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80028">
      <w:pPr>
        <w:spacing w:line="600" w:lineRule="exact"/>
        <w:outlineLvl w:val="9"/>
        <w:rPr>
          <w:rFonts w:ascii="方正小标宋简体" w:hAnsi="宋体" w:eastAsia="方正小标宋简体"/>
          <w:color w:val="000000"/>
          <w:sz w:val="72"/>
          <w:szCs w:val="72"/>
        </w:rPr>
      </w:pPr>
      <w:bookmarkStart w:id="0" w:name="_Toc15306267"/>
    </w:p>
    <w:p w14:paraId="2A6D2266">
      <w:pPr>
        <w:spacing w:line="600" w:lineRule="exact"/>
        <w:jc w:val="center"/>
        <w:outlineLvl w:val="9"/>
        <w:rPr>
          <w:rFonts w:ascii="方正小标宋简体" w:hAnsi="宋体" w:eastAsia="方正小标宋简体"/>
          <w:color w:val="000000"/>
          <w:sz w:val="72"/>
          <w:szCs w:val="72"/>
        </w:rPr>
      </w:pPr>
    </w:p>
    <w:p w14:paraId="3630D8F2">
      <w:pPr>
        <w:adjustRightInd w:val="0"/>
        <w:snapToGrid w:val="0"/>
        <w:spacing w:line="360" w:lineRule="auto"/>
        <w:jc w:val="center"/>
        <w:outlineLvl w:val="0"/>
        <w:rPr>
          <w:rFonts w:ascii="黑体" w:hAnsi="黑体" w:eastAsia="黑体"/>
          <w:color w:val="000000"/>
          <w:sz w:val="72"/>
          <w:szCs w:val="72"/>
        </w:rPr>
      </w:pPr>
      <w:bookmarkStart w:id="1" w:name="_Toc9658"/>
      <w:bookmarkStart w:id="2" w:name="_Toc52180062"/>
      <w:bookmarkStart w:id="3" w:name="_Toc15377425"/>
      <w:bookmarkStart w:id="4" w:name="_Toc15396597"/>
      <w:bookmarkStart w:id="5" w:name="_Toc15396475"/>
      <w:bookmarkStart w:id="6" w:name="_Toc15378441"/>
      <w:bookmarkStart w:id="7" w:name="_Toc15377193"/>
      <w:r>
        <w:rPr>
          <w:rFonts w:ascii="黑体" w:hAnsi="黑体" w:eastAsia="黑体"/>
          <w:color w:val="000000"/>
          <w:sz w:val="72"/>
          <w:szCs w:val="72"/>
        </w:rPr>
        <w:t>201</w:t>
      </w:r>
      <w:r>
        <w:rPr>
          <w:rFonts w:hint="eastAsia" w:ascii="黑体" w:hAnsi="黑体" w:eastAsia="黑体"/>
          <w:color w:val="000000"/>
          <w:sz w:val="72"/>
          <w:szCs w:val="72"/>
        </w:rPr>
        <w:t>9年度</w:t>
      </w:r>
      <w:bookmarkEnd w:id="1"/>
      <w:bookmarkEnd w:id="2"/>
      <w:bookmarkEnd w:id="3"/>
      <w:bookmarkEnd w:id="4"/>
      <w:bookmarkEnd w:id="5"/>
      <w:bookmarkEnd w:id="6"/>
      <w:bookmarkEnd w:id="7"/>
    </w:p>
    <w:p w14:paraId="7D0FB017">
      <w:pPr>
        <w:adjustRightInd w:val="0"/>
        <w:snapToGrid w:val="0"/>
        <w:spacing w:line="360" w:lineRule="auto"/>
        <w:jc w:val="center"/>
        <w:outlineLvl w:val="0"/>
        <w:rPr>
          <w:rFonts w:ascii="黑体" w:hAnsi="黑体" w:eastAsia="黑体"/>
          <w:color w:val="000000"/>
          <w:sz w:val="72"/>
          <w:szCs w:val="72"/>
        </w:rPr>
      </w:pPr>
      <w:bookmarkStart w:id="8" w:name="_Toc29981"/>
      <w:bookmarkStart w:id="9" w:name="_Toc15378442"/>
      <w:bookmarkStart w:id="10" w:name="_Toc15377194"/>
      <w:bookmarkStart w:id="11" w:name="_Toc52180063"/>
      <w:bookmarkStart w:id="12" w:name="_Toc15396476"/>
      <w:bookmarkStart w:id="13" w:name="_Toc15377426"/>
      <w:bookmarkStart w:id="14" w:name="_Toc15396598"/>
      <w:r>
        <w:rPr>
          <w:rFonts w:hint="eastAsia" w:ascii="黑体" w:hAnsi="黑体" w:eastAsia="黑体"/>
          <w:color w:val="000000"/>
          <w:sz w:val="72"/>
          <w:szCs w:val="72"/>
        </w:rPr>
        <w:t>盐边县</w:t>
      </w:r>
      <w:bookmarkEnd w:id="0"/>
      <w:bookmarkStart w:id="15" w:name="_Toc15306268"/>
      <w:r>
        <w:rPr>
          <w:rFonts w:hint="eastAsia" w:ascii="黑体" w:hAnsi="黑体" w:eastAsia="黑体"/>
          <w:color w:val="000000"/>
          <w:sz w:val="72"/>
          <w:szCs w:val="72"/>
        </w:rPr>
        <w:t>红果乡人民政府</w:t>
      </w:r>
      <w:bookmarkEnd w:id="8"/>
    </w:p>
    <w:p w14:paraId="3D3C4BD7">
      <w:pPr>
        <w:adjustRightInd w:val="0"/>
        <w:snapToGrid w:val="0"/>
        <w:spacing w:line="360" w:lineRule="auto"/>
        <w:jc w:val="center"/>
        <w:outlineLvl w:val="0"/>
        <w:rPr>
          <w:rFonts w:ascii="黑体" w:hAnsi="黑体" w:eastAsia="黑体"/>
          <w:color w:val="000000"/>
          <w:sz w:val="72"/>
          <w:szCs w:val="72"/>
        </w:rPr>
      </w:pPr>
      <w:bookmarkStart w:id="16" w:name="_Toc77"/>
      <w:r>
        <w:rPr>
          <w:rFonts w:hint="eastAsia" w:ascii="黑体" w:hAnsi="黑体" w:eastAsia="黑体"/>
          <w:color w:val="000000"/>
          <w:sz w:val="72"/>
          <w:szCs w:val="72"/>
        </w:rPr>
        <w:t>部门决算</w:t>
      </w:r>
      <w:bookmarkEnd w:id="9"/>
      <w:bookmarkEnd w:id="10"/>
      <w:bookmarkEnd w:id="11"/>
      <w:bookmarkEnd w:id="12"/>
      <w:bookmarkEnd w:id="13"/>
      <w:bookmarkEnd w:id="14"/>
      <w:bookmarkEnd w:id="15"/>
      <w:bookmarkEnd w:id="16"/>
    </w:p>
    <w:p w14:paraId="0BF52B27">
      <w:pPr>
        <w:widowControl/>
        <w:jc w:val="both"/>
        <w:rPr>
          <w:rFonts w:ascii="方正小标宋简体" w:hAnsi="宋体" w:eastAsia="方正小标宋简体"/>
          <w:color w:val="000000"/>
          <w:sz w:val="36"/>
          <w:szCs w:val="36"/>
        </w:rPr>
      </w:pPr>
    </w:p>
    <w:p w14:paraId="36E6C861">
      <w:pPr>
        <w:widowControl/>
        <w:jc w:val="center"/>
        <w:rPr>
          <w:rFonts w:hint="eastAsia" w:ascii="黑体" w:hAnsi="黑体" w:eastAsia="黑体"/>
          <w:color w:val="000000"/>
          <w:sz w:val="48"/>
          <w:szCs w:val="48"/>
        </w:rPr>
      </w:pPr>
    </w:p>
    <w:p w14:paraId="0138CEBB">
      <w:pPr>
        <w:widowControl/>
        <w:jc w:val="center"/>
        <w:rPr>
          <w:rFonts w:hint="eastAsia" w:ascii="黑体" w:hAnsi="黑体" w:eastAsia="黑体"/>
          <w:color w:val="000000"/>
          <w:sz w:val="48"/>
          <w:szCs w:val="48"/>
        </w:rPr>
      </w:pPr>
    </w:p>
    <w:p w14:paraId="4019904D">
      <w:pPr>
        <w:widowControl/>
        <w:jc w:val="center"/>
        <w:rPr>
          <w:rFonts w:hint="eastAsia" w:ascii="黑体" w:hAnsi="黑体" w:eastAsia="黑体"/>
          <w:color w:val="000000"/>
          <w:sz w:val="48"/>
          <w:szCs w:val="48"/>
        </w:rPr>
      </w:pPr>
    </w:p>
    <w:p w14:paraId="62062F37">
      <w:pPr>
        <w:widowControl/>
        <w:jc w:val="center"/>
        <w:rPr>
          <w:rFonts w:hint="eastAsia" w:ascii="黑体" w:hAnsi="黑体" w:eastAsia="黑体"/>
          <w:color w:val="000000"/>
          <w:sz w:val="48"/>
          <w:szCs w:val="48"/>
        </w:rPr>
      </w:pPr>
    </w:p>
    <w:p w14:paraId="50BD08F6">
      <w:pPr>
        <w:widowControl/>
        <w:jc w:val="center"/>
        <w:rPr>
          <w:rFonts w:hint="eastAsia" w:ascii="黑体" w:hAnsi="黑体" w:eastAsia="黑体"/>
          <w:color w:val="000000"/>
          <w:sz w:val="48"/>
          <w:szCs w:val="48"/>
        </w:rPr>
      </w:pPr>
    </w:p>
    <w:p w14:paraId="65D7308B">
      <w:pPr>
        <w:widowControl/>
        <w:jc w:val="center"/>
        <w:rPr>
          <w:rFonts w:hint="eastAsia" w:ascii="黑体" w:hAnsi="黑体" w:eastAsia="黑体"/>
          <w:color w:val="000000"/>
          <w:sz w:val="48"/>
          <w:szCs w:val="48"/>
        </w:rPr>
      </w:pPr>
    </w:p>
    <w:p w14:paraId="27EBE402">
      <w:pPr>
        <w:widowControl/>
        <w:jc w:val="center"/>
        <w:rPr>
          <w:rFonts w:hint="eastAsia" w:ascii="黑体" w:hAnsi="黑体" w:eastAsia="黑体"/>
          <w:color w:val="000000"/>
          <w:sz w:val="48"/>
          <w:szCs w:val="48"/>
        </w:rPr>
      </w:pPr>
    </w:p>
    <w:p w14:paraId="40464A1B">
      <w:pPr>
        <w:widowControl/>
        <w:jc w:val="center"/>
        <w:rPr>
          <w:rFonts w:hint="eastAsia" w:ascii="黑体" w:hAnsi="黑体" w:eastAsia="黑体"/>
          <w:color w:val="000000"/>
          <w:sz w:val="48"/>
          <w:szCs w:val="48"/>
        </w:rPr>
      </w:pPr>
    </w:p>
    <w:p w14:paraId="6928B28E">
      <w:pPr>
        <w:widowControl/>
        <w:jc w:val="center"/>
        <w:rPr>
          <w:rFonts w:hint="eastAsia" w:ascii="黑体" w:hAnsi="黑体" w:eastAsia="黑体"/>
          <w:color w:val="000000"/>
          <w:sz w:val="48"/>
          <w:szCs w:val="48"/>
        </w:rPr>
      </w:pPr>
    </w:p>
    <w:p w14:paraId="03294022">
      <w:pPr>
        <w:widowControl/>
        <w:jc w:val="center"/>
        <w:rPr>
          <w:rFonts w:hint="eastAsia" w:ascii="黑体" w:hAnsi="黑体" w:eastAsia="黑体"/>
          <w:color w:val="000000"/>
          <w:sz w:val="48"/>
          <w:szCs w:val="48"/>
        </w:rPr>
      </w:pPr>
    </w:p>
    <w:p w14:paraId="0204E853"/>
    <w:p w14:paraId="3A7350A3">
      <w:pPr>
        <w:widowControl/>
        <w:spacing w:line="440" w:lineRule="exact"/>
        <w:jc w:val="left"/>
        <w:outlineLvl w:val="9"/>
        <w:rPr>
          <w:rFonts w:ascii="仿宋" w:hAnsi="仿宋" w:eastAsia="仿宋"/>
          <w:b/>
          <w:sz w:val="24"/>
        </w:rPr>
      </w:pPr>
      <w:bookmarkStart w:id="17" w:name="_Toc15377196"/>
      <w:bookmarkStart w:id="18" w:name="_Toc15396599"/>
      <w:r>
        <w:rPr>
          <w:rFonts w:ascii="仿宋" w:hAnsi="仿宋" w:eastAsia="仿宋"/>
          <w:b/>
          <w:sz w:val="24"/>
        </w:rPr>
        <w:br w:type="page"/>
      </w:r>
    </w:p>
    <w:p w14:paraId="52810D4C">
      <w:pPr>
        <w:spacing w:before="0" w:beforeLines="0" w:after="0" w:afterLines="0" w:line="240" w:lineRule="auto"/>
        <w:ind w:left="0" w:leftChars="0" w:right="0" w:rightChars="0" w:firstLine="0" w:firstLineChars="0"/>
        <w:jc w:val="center"/>
        <w:rPr>
          <w:sz w:val="48"/>
          <w:szCs w:val="48"/>
        </w:rPr>
      </w:pPr>
      <w:r>
        <w:rPr>
          <w:rFonts w:ascii="宋体" w:hAnsi="宋体" w:eastAsia="宋体"/>
          <w:sz w:val="48"/>
          <w:szCs w:val="48"/>
        </w:rPr>
        <w:t>目录</w:t>
      </w:r>
    </w:p>
    <w:p w14:paraId="5D07A02F">
      <w:pPr>
        <w:pStyle w:val="36"/>
        <w:tabs>
          <w:tab w:val="right" w:leader="dot" w:pos="8845"/>
        </w:tabs>
      </w:pPr>
      <w:r>
        <w:rPr>
          <w:rFonts w:ascii="仿宋" w:hAnsi="仿宋" w:eastAsia="仿宋"/>
          <w:b/>
          <w:sz w:val="24"/>
        </w:rPr>
        <w:fldChar w:fldCharType="begin"/>
      </w:r>
      <w:r>
        <w:rPr>
          <w:rFonts w:ascii="仿宋" w:hAnsi="仿宋" w:eastAsia="仿宋"/>
          <w:b/>
          <w:sz w:val="24"/>
        </w:rPr>
        <w:instrText xml:space="preserve">TOC \o "1-3" \h \u </w:instrText>
      </w:r>
      <w:r>
        <w:rPr>
          <w:rFonts w:ascii="仿宋" w:hAnsi="仿宋" w:eastAsia="仿宋"/>
          <w:b/>
          <w:sz w:val="24"/>
        </w:rPr>
        <w:fldChar w:fldCharType="separate"/>
      </w:r>
    </w:p>
    <w:p w14:paraId="5E7CEA0F">
      <w:pPr>
        <w:pStyle w:val="36"/>
        <w:tabs>
          <w:tab w:val="right" w:leader="dot" w:pos="8845"/>
        </w:tabs>
      </w:pPr>
      <w:r>
        <w:rPr>
          <w:rFonts w:ascii="仿宋" w:hAnsi="仿宋" w:eastAsia="仿宋"/>
        </w:rPr>
        <w:fldChar w:fldCharType="begin"/>
      </w:r>
      <w:r>
        <w:rPr>
          <w:rFonts w:ascii="仿宋" w:hAnsi="仿宋" w:eastAsia="仿宋"/>
        </w:rPr>
        <w:instrText xml:space="preserve"> HYPERLINK \l _Toc3809 </w:instrText>
      </w:r>
      <w:r>
        <w:rPr>
          <w:rFonts w:ascii="仿宋" w:hAnsi="仿宋" w:eastAsia="仿宋"/>
        </w:rPr>
        <w:fldChar w:fldCharType="separate"/>
      </w:r>
      <w:r>
        <w:rPr>
          <w:rFonts w:hint="eastAsia" w:ascii="方正小标宋_GBK" w:hAnsi="方正小标宋_GBK" w:eastAsia="方正小标宋_GBK" w:cs="方正小标宋_GBK"/>
          <w:szCs w:val="38"/>
        </w:rPr>
        <w:t>第一部分 部门概况</w:t>
      </w:r>
      <w:r>
        <w:tab/>
      </w:r>
      <w:r>
        <w:fldChar w:fldCharType="begin"/>
      </w:r>
      <w:r>
        <w:instrText xml:space="preserve"> PAGEREF _Toc3809 </w:instrText>
      </w:r>
      <w:r>
        <w:fldChar w:fldCharType="separate"/>
      </w:r>
      <w:r>
        <w:t>- 1 -</w:t>
      </w:r>
      <w:r>
        <w:fldChar w:fldCharType="end"/>
      </w:r>
      <w:r>
        <w:rPr>
          <w:rFonts w:ascii="仿宋" w:hAnsi="仿宋" w:eastAsia="仿宋"/>
        </w:rPr>
        <w:fldChar w:fldCharType="end"/>
      </w:r>
    </w:p>
    <w:p w14:paraId="6095D341">
      <w:pPr>
        <w:pStyle w:val="37"/>
        <w:tabs>
          <w:tab w:val="right" w:leader="dot" w:pos="8845"/>
        </w:tabs>
      </w:pPr>
      <w:r>
        <w:rPr>
          <w:rFonts w:ascii="仿宋" w:hAnsi="仿宋" w:eastAsia="仿宋"/>
        </w:rPr>
        <w:fldChar w:fldCharType="begin"/>
      </w:r>
      <w:r>
        <w:rPr>
          <w:rFonts w:ascii="仿宋" w:hAnsi="仿宋" w:eastAsia="仿宋"/>
        </w:rPr>
        <w:instrText xml:space="preserve"> HYPERLINK \l _Toc15914 </w:instrText>
      </w:r>
      <w:r>
        <w:rPr>
          <w:rFonts w:ascii="仿宋" w:hAnsi="仿宋" w:eastAsia="仿宋"/>
        </w:rPr>
        <w:fldChar w:fldCharType="separate"/>
      </w:r>
      <w:r>
        <w:rPr>
          <w:rFonts w:hint="eastAsia" w:ascii="方正黑体_GBK" w:hAnsi="方正黑体_GBK" w:eastAsia="方正黑体_GBK" w:cs="方正黑体_GBK"/>
          <w:bCs w:val="0"/>
          <w:szCs w:val="33"/>
        </w:rPr>
        <w:t>一、基本职能及主要工作</w:t>
      </w:r>
      <w:r>
        <w:tab/>
      </w:r>
      <w:r>
        <w:fldChar w:fldCharType="begin"/>
      </w:r>
      <w:r>
        <w:instrText xml:space="preserve"> PAGEREF _Toc15914 </w:instrText>
      </w:r>
      <w:r>
        <w:fldChar w:fldCharType="separate"/>
      </w:r>
      <w:r>
        <w:t>- 1 -</w:t>
      </w:r>
      <w:r>
        <w:fldChar w:fldCharType="end"/>
      </w:r>
      <w:r>
        <w:rPr>
          <w:rFonts w:ascii="仿宋" w:hAnsi="仿宋" w:eastAsia="仿宋"/>
        </w:rPr>
        <w:fldChar w:fldCharType="end"/>
      </w:r>
    </w:p>
    <w:p w14:paraId="6A191F56">
      <w:pPr>
        <w:pStyle w:val="38"/>
        <w:tabs>
          <w:tab w:val="right" w:leader="dot" w:pos="8845"/>
        </w:tabs>
      </w:pPr>
      <w:r>
        <w:rPr>
          <w:rFonts w:ascii="仿宋" w:hAnsi="仿宋" w:eastAsia="仿宋"/>
        </w:rPr>
        <w:fldChar w:fldCharType="begin"/>
      </w:r>
      <w:r>
        <w:rPr>
          <w:rFonts w:ascii="仿宋" w:hAnsi="仿宋" w:eastAsia="仿宋"/>
        </w:rPr>
        <w:instrText xml:space="preserve"> HYPERLINK \l _Toc7413 </w:instrText>
      </w:r>
      <w:r>
        <w:rPr>
          <w:rFonts w:ascii="仿宋" w:hAnsi="仿宋" w:eastAsia="仿宋"/>
        </w:rPr>
        <w:fldChar w:fldCharType="separate"/>
      </w:r>
      <w:r>
        <w:rPr>
          <w:rFonts w:hint="eastAsia" w:ascii="方正楷体_GBK" w:hAnsi="方正楷体_GBK" w:eastAsia="方正楷体_GBK" w:cs="方正楷体_GBK"/>
          <w:szCs w:val="33"/>
        </w:rPr>
        <w:t>（一）主要职能</w:t>
      </w:r>
      <w:r>
        <w:tab/>
      </w:r>
      <w:r>
        <w:fldChar w:fldCharType="begin"/>
      </w:r>
      <w:r>
        <w:instrText xml:space="preserve"> PAGEREF _Toc7413 </w:instrText>
      </w:r>
      <w:r>
        <w:fldChar w:fldCharType="separate"/>
      </w:r>
      <w:r>
        <w:t>- 1 -</w:t>
      </w:r>
      <w:r>
        <w:fldChar w:fldCharType="end"/>
      </w:r>
      <w:r>
        <w:rPr>
          <w:rFonts w:ascii="仿宋" w:hAnsi="仿宋" w:eastAsia="仿宋"/>
        </w:rPr>
        <w:fldChar w:fldCharType="end"/>
      </w:r>
    </w:p>
    <w:p w14:paraId="664CDFA9">
      <w:pPr>
        <w:pStyle w:val="38"/>
        <w:tabs>
          <w:tab w:val="right" w:leader="dot" w:pos="8845"/>
        </w:tabs>
      </w:pPr>
      <w:r>
        <w:rPr>
          <w:rFonts w:ascii="仿宋" w:hAnsi="仿宋" w:eastAsia="仿宋"/>
        </w:rPr>
        <w:fldChar w:fldCharType="begin"/>
      </w:r>
      <w:r>
        <w:rPr>
          <w:rFonts w:ascii="仿宋" w:hAnsi="仿宋" w:eastAsia="仿宋"/>
        </w:rPr>
        <w:instrText xml:space="preserve"> HYPERLINK \l _Toc404 </w:instrText>
      </w:r>
      <w:r>
        <w:rPr>
          <w:rFonts w:ascii="仿宋" w:hAnsi="仿宋" w:eastAsia="仿宋"/>
        </w:rPr>
        <w:fldChar w:fldCharType="separate"/>
      </w:r>
      <w:r>
        <w:rPr>
          <w:rFonts w:hint="eastAsia" w:ascii="方正楷体_GBK" w:hAnsi="方正楷体_GBK" w:eastAsia="方正楷体_GBK" w:cs="方正楷体_GBK"/>
          <w:szCs w:val="33"/>
        </w:rPr>
        <w:t>（二）2019年重点工作完成情况</w:t>
      </w:r>
      <w:r>
        <w:tab/>
      </w:r>
      <w:r>
        <w:fldChar w:fldCharType="begin"/>
      </w:r>
      <w:r>
        <w:instrText xml:space="preserve"> PAGEREF _Toc404 </w:instrText>
      </w:r>
      <w:r>
        <w:fldChar w:fldCharType="separate"/>
      </w:r>
      <w:r>
        <w:t>- 2 -</w:t>
      </w:r>
      <w:r>
        <w:fldChar w:fldCharType="end"/>
      </w:r>
      <w:r>
        <w:rPr>
          <w:rFonts w:ascii="仿宋" w:hAnsi="仿宋" w:eastAsia="仿宋"/>
        </w:rPr>
        <w:fldChar w:fldCharType="end"/>
      </w:r>
    </w:p>
    <w:p w14:paraId="58A3FA10">
      <w:pPr>
        <w:pStyle w:val="37"/>
        <w:tabs>
          <w:tab w:val="right" w:leader="dot" w:pos="8845"/>
        </w:tabs>
      </w:pPr>
      <w:r>
        <w:rPr>
          <w:rFonts w:ascii="仿宋" w:hAnsi="仿宋" w:eastAsia="仿宋"/>
        </w:rPr>
        <w:fldChar w:fldCharType="begin"/>
      </w:r>
      <w:r>
        <w:rPr>
          <w:rFonts w:ascii="仿宋" w:hAnsi="仿宋" w:eastAsia="仿宋"/>
        </w:rPr>
        <w:instrText xml:space="preserve"> HYPERLINK \l _Toc227 </w:instrText>
      </w:r>
      <w:r>
        <w:rPr>
          <w:rFonts w:ascii="仿宋" w:hAnsi="仿宋" w:eastAsia="仿宋"/>
        </w:rPr>
        <w:fldChar w:fldCharType="separate"/>
      </w:r>
      <w:r>
        <w:rPr>
          <w:rFonts w:hint="eastAsia" w:ascii="方正黑体_GBK" w:hAnsi="方正黑体_GBK" w:eastAsia="方正黑体_GBK" w:cs="方正黑体_GBK"/>
          <w:szCs w:val="33"/>
        </w:rPr>
        <w:t>二、机</w:t>
      </w:r>
      <w:r>
        <w:rPr>
          <w:rFonts w:hint="eastAsia" w:ascii="方正黑体_GBK" w:hAnsi="方正黑体_GBK" w:eastAsia="方正黑体_GBK" w:cs="方正黑体_GBK"/>
          <w:bCs w:val="0"/>
          <w:szCs w:val="33"/>
        </w:rPr>
        <w:t>构设置</w:t>
      </w:r>
      <w:r>
        <w:tab/>
      </w:r>
      <w:r>
        <w:fldChar w:fldCharType="begin"/>
      </w:r>
      <w:r>
        <w:instrText xml:space="preserve"> PAGEREF _Toc227 </w:instrText>
      </w:r>
      <w:r>
        <w:fldChar w:fldCharType="separate"/>
      </w:r>
      <w:r>
        <w:t>- 5 -</w:t>
      </w:r>
      <w:r>
        <w:fldChar w:fldCharType="end"/>
      </w:r>
      <w:r>
        <w:rPr>
          <w:rFonts w:ascii="仿宋" w:hAnsi="仿宋" w:eastAsia="仿宋"/>
        </w:rPr>
        <w:fldChar w:fldCharType="end"/>
      </w:r>
    </w:p>
    <w:p w14:paraId="007C7326">
      <w:pPr>
        <w:pStyle w:val="37"/>
        <w:tabs>
          <w:tab w:val="right" w:leader="dot" w:pos="8845"/>
        </w:tabs>
      </w:pPr>
      <w:r>
        <w:rPr>
          <w:rFonts w:ascii="仿宋" w:hAnsi="仿宋" w:eastAsia="仿宋"/>
        </w:rPr>
        <w:fldChar w:fldCharType="begin"/>
      </w:r>
      <w:r>
        <w:rPr>
          <w:rFonts w:ascii="仿宋" w:hAnsi="仿宋" w:eastAsia="仿宋"/>
        </w:rPr>
        <w:instrText xml:space="preserve"> HYPERLINK \l _Toc4073 </w:instrText>
      </w:r>
      <w:r>
        <w:rPr>
          <w:rFonts w:ascii="仿宋" w:hAnsi="仿宋" w:eastAsia="仿宋"/>
        </w:rPr>
        <w:fldChar w:fldCharType="separate"/>
      </w:r>
      <w:r>
        <w:rPr>
          <w:rFonts w:hint="eastAsia" w:ascii="方正小标宋_GBK" w:hAnsi="方正小标宋_GBK" w:eastAsia="方正小标宋_GBK" w:cs="方正小标宋_GBK"/>
          <w:szCs w:val="38"/>
        </w:rPr>
        <w:t>第二部分2019年度部门决算情况说明</w:t>
      </w:r>
      <w:r>
        <w:tab/>
      </w:r>
      <w:r>
        <w:fldChar w:fldCharType="begin"/>
      </w:r>
      <w:r>
        <w:instrText xml:space="preserve"> PAGEREF _Toc4073 </w:instrText>
      </w:r>
      <w:r>
        <w:fldChar w:fldCharType="separate"/>
      </w:r>
      <w:r>
        <w:t>- 6 -</w:t>
      </w:r>
      <w:r>
        <w:fldChar w:fldCharType="end"/>
      </w:r>
      <w:r>
        <w:rPr>
          <w:rFonts w:ascii="仿宋" w:hAnsi="仿宋" w:eastAsia="仿宋"/>
        </w:rPr>
        <w:fldChar w:fldCharType="end"/>
      </w:r>
    </w:p>
    <w:p w14:paraId="37296386">
      <w:pPr>
        <w:pStyle w:val="37"/>
        <w:tabs>
          <w:tab w:val="right" w:leader="dot" w:pos="8845"/>
        </w:tabs>
      </w:pPr>
      <w:r>
        <w:rPr>
          <w:rFonts w:ascii="仿宋" w:hAnsi="仿宋" w:eastAsia="仿宋"/>
        </w:rPr>
        <w:fldChar w:fldCharType="begin"/>
      </w:r>
      <w:r>
        <w:rPr>
          <w:rFonts w:ascii="仿宋" w:hAnsi="仿宋" w:eastAsia="仿宋"/>
        </w:rPr>
        <w:instrText xml:space="preserve"> HYPERLINK \l _Toc455 </w:instrText>
      </w:r>
      <w:r>
        <w:rPr>
          <w:rFonts w:ascii="仿宋" w:hAnsi="仿宋" w:eastAsia="仿宋"/>
        </w:rPr>
        <w:fldChar w:fldCharType="separate"/>
      </w:r>
      <w:r>
        <w:rPr>
          <w:rFonts w:hint="eastAsia" w:ascii="方正黑体_GBK" w:hAnsi="方正黑体_GBK" w:eastAsia="方正黑体_GBK" w:cs="方正黑体_GBK"/>
          <w:bCs w:val="0"/>
          <w:szCs w:val="33"/>
        </w:rPr>
        <w:t>一、收入支出决算总体情况说明</w:t>
      </w:r>
      <w:r>
        <w:tab/>
      </w:r>
      <w:r>
        <w:fldChar w:fldCharType="begin"/>
      </w:r>
      <w:r>
        <w:instrText xml:space="preserve"> PAGEREF _Toc455 </w:instrText>
      </w:r>
      <w:r>
        <w:fldChar w:fldCharType="separate"/>
      </w:r>
      <w:r>
        <w:t>- 6 -</w:t>
      </w:r>
      <w:r>
        <w:fldChar w:fldCharType="end"/>
      </w:r>
      <w:r>
        <w:rPr>
          <w:rFonts w:ascii="仿宋" w:hAnsi="仿宋" w:eastAsia="仿宋"/>
        </w:rPr>
        <w:fldChar w:fldCharType="end"/>
      </w:r>
    </w:p>
    <w:p w14:paraId="7351502B">
      <w:pPr>
        <w:pStyle w:val="37"/>
        <w:tabs>
          <w:tab w:val="right" w:leader="dot" w:pos="8845"/>
        </w:tabs>
      </w:pPr>
      <w:r>
        <w:rPr>
          <w:rFonts w:ascii="仿宋" w:hAnsi="仿宋" w:eastAsia="仿宋"/>
        </w:rPr>
        <w:fldChar w:fldCharType="begin"/>
      </w:r>
      <w:r>
        <w:rPr>
          <w:rFonts w:ascii="仿宋" w:hAnsi="仿宋" w:eastAsia="仿宋"/>
        </w:rPr>
        <w:instrText xml:space="preserve"> HYPERLINK \l _Toc12709 </w:instrText>
      </w:r>
      <w:r>
        <w:rPr>
          <w:rFonts w:ascii="仿宋" w:hAnsi="仿宋" w:eastAsia="仿宋"/>
        </w:rPr>
        <w:fldChar w:fldCharType="separate"/>
      </w:r>
      <w:r>
        <w:rPr>
          <w:rFonts w:hint="default" w:ascii="方正黑体_GBK" w:hAnsi="方正黑体_GBK" w:eastAsia="方正黑体_GBK" w:cs="方正黑体_GBK"/>
          <w:bCs w:val="0"/>
          <w:szCs w:val="33"/>
        </w:rPr>
        <w:t>二、收入决算情况说明</w:t>
      </w:r>
      <w:r>
        <w:tab/>
      </w:r>
      <w:r>
        <w:fldChar w:fldCharType="begin"/>
      </w:r>
      <w:r>
        <w:instrText xml:space="preserve"> PAGEREF _Toc12709 </w:instrText>
      </w:r>
      <w:r>
        <w:fldChar w:fldCharType="separate"/>
      </w:r>
      <w:r>
        <w:t>- 6 -</w:t>
      </w:r>
      <w:r>
        <w:fldChar w:fldCharType="end"/>
      </w:r>
      <w:r>
        <w:rPr>
          <w:rFonts w:ascii="仿宋" w:hAnsi="仿宋" w:eastAsia="仿宋"/>
        </w:rPr>
        <w:fldChar w:fldCharType="end"/>
      </w:r>
    </w:p>
    <w:p w14:paraId="6B5B4503">
      <w:pPr>
        <w:pStyle w:val="37"/>
        <w:tabs>
          <w:tab w:val="right" w:leader="dot" w:pos="8845"/>
        </w:tabs>
      </w:pPr>
      <w:r>
        <w:rPr>
          <w:rFonts w:ascii="仿宋" w:hAnsi="仿宋" w:eastAsia="仿宋"/>
        </w:rPr>
        <w:fldChar w:fldCharType="begin"/>
      </w:r>
      <w:r>
        <w:rPr>
          <w:rFonts w:ascii="仿宋" w:hAnsi="仿宋" w:eastAsia="仿宋"/>
        </w:rPr>
        <w:instrText xml:space="preserve"> HYPERLINK \l _Toc24411 </w:instrText>
      </w:r>
      <w:r>
        <w:rPr>
          <w:rFonts w:ascii="仿宋" w:hAnsi="仿宋" w:eastAsia="仿宋"/>
        </w:rPr>
        <w:fldChar w:fldCharType="separate"/>
      </w:r>
      <w:r>
        <w:rPr>
          <w:rFonts w:hint="default" w:ascii="方正黑体_GBK" w:hAnsi="方正黑体_GBK" w:eastAsia="方正黑体_GBK" w:cs="方正黑体_GBK"/>
          <w:bCs w:val="0"/>
          <w:szCs w:val="33"/>
        </w:rPr>
        <w:t>三、支出决算情况说明</w:t>
      </w:r>
      <w:r>
        <w:tab/>
      </w:r>
      <w:r>
        <w:fldChar w:fldCharType="begin"/>
      </w:r>
      <w:r>
        <w:instrText xml:space="preserve"> PAGEREF _Toc24411 </w:instrText>
      </w:r>
      <w:r>
        <w:fldChar w:fldCharType="separate"/>
      </w:r>
      <w:r>
        <w:t>- 6 -</w:t>
      </w:r>
      <w:r>
        <w:fldChar w:fldCharType="end"/>
      </w:r>
      <w:r>
        <w:rPr>
          <w:rFonts w:ascii="仿宋" w:hAnsi="仿宋" w:eastAsia="仿宋"/>
        </w:rPr>
        <w:fldChar w:fldCharType="end"/>
      </w:r>
    </w:p>
    <w:p w14:paraId="7CB3FDF6">
      <w:pPr>
        <w:pStyle w:val="37"/>
        <w:tabs>
          <w:tab w:val="right" w:leader="dot" w:pos="8845"/>
        </w:tabs>
      </w:pPr>
      <w:r>
        <w:rPr>
          <w:rFonts w:ascii="仿宋" w:hAnsi="仿宋" w:eastAsia="仿宋"/>
        </w:rPr>
        <w:fldChar w:fldCharType="begin"/>
      </w:r>
      <w:r>
        <w:rPr>
          <w:rFonts w:ascii="仿宋" w:hAnsi="仿宋" w:eastAsia="仿宋"/>
        </w:rPr>
        <w:instrText xml:space="preserve"> HYPERLINK \l _Toc19871 </w:instrText>
      </w:r>
      <w:r>
        <w:rPr>
          <w:rFonts w:ascii="仿宋" w:hAnsi="仿宋" w:eastAsia="仿宋"/>
        </w:rPr>
        <w:fldChar w:fldCharType="separate"/>
      </w:r>
      <w:r>
        <w:rPr>
          <w:rFonts w:hint="default" w:ascii="方正黑体_GBK" w:hAnsi="方正黑体_GBK" w:eastAsia="方正黑体_GBK" w:cs="方正黑体_GBK"/>
          <w:bCs w:val="0"/>
          <w:szCs w:val="33"/>
        </w:rPr>
        <w:t>四、财政拨款收入支出决算总体情况说明</w:t>
      </w:r>
      <w:r>
        <w:tab/>
      </w:r>
      <w:r>
        <w:fldChar w:fldCharType="begin"/>
      </w:r>
      <w:r>
        <w:instrText xml:space="preserve"> PAGEREF _Toc19871 </w:instrText>
      </w:r>
      <w:r>
        <w:fldChar w:fldCharType="separate"/>
      </w:r>
      <w:r>
        <w:t>- 6 -</w:t>
      </w:r>
      <w:r>
        <w:fldChar w:fldCharType="end"/>
      </w:r>
      <w:r>
        <w:rPr>
          <w:rFonts w:ascii="仿宋" w:hAnsi="仿宋" w:eastAsia="仿宋"/>
        </w:rPr>
        <w:fldChar w:fldCharType="end"/>
      </w:r>
    </w:p>
    <w:p w14:paraId="55F3D640">
      <w:pPr>
        <w:pStyle w:val="37"/>
        <w:tabs>
          <w:tab w:val="right" w:leader="dot" w:pos="8845"/>
        </w:tabs>
      </w:pPr>
      <w:r>
        <w:rPr>
          <w:rFonts w:ascii="仿宋" w:hAnsi="仿宋" w:eastAsia="仿宋"/>
        </w:rPr>
        <w:fldChar w:fldCharType="begin"/>
      </w:r>
      <w:r>
        <w:rPr>
          <w:rFonts w:ascii="仿宋" w:hAnsi="仿宋" w:eastAsia="仿宋"/>
        </w:rPr>
        <w:instrText xml:space="preserve"> HYPERLINK \l _Toc22597 </w:instrText>
      </w:r>
      <w:r>
        <w:rPr>
          <w:rFonts w:ascii="仿宋" w:hAnsi="仿宋" w:eastAsia="仿宋"/>
        </w:rPr>
        <w:fldChar w:fldCharType="separate"/>
      </w:r>
      <w:r>
        <w:rPr>
          <w:rFonts w:hint="default" w:ascii="方正黑体_GBK" w:hAnsi="方正黑体_GBK" w:eastAsia="方正黑体_GBK" w:cs="方正黑体_GBK"/>
          <w:bCs w:val="0"/>
          <w:szCs w:val="33"/>
        </w:rPr>
        <w:t>五、一般公共预算财政拨款支出决算情况说明</w:t>
      </w:r>
      <w:r>
        <w:tab/>
      </w:r>
      <w:r>
        <w:fldChar w:fldCharType="begin"/>
      </w:r>
      <w:r>
        <w:instrText xml:space="preserve"> PAGEREF _Toc22597 </w:instrText>
      </w:r>
      <w:r>
        <w:fldChar w:fldCharType="separate"/>
      </w:r>
      <w:r>
        <w:t>- 7 -</w:t>
      </w:r>
      <w:r>
        <w:fldChar w:fldCharType="end"/>
      </w:r>
      <w:r>
        <w:rPr>
          <w:rFonts w:ascii="仿宋" w:hAnsi="仿宋" w:eastAsia="仿宋"/>
        </w:rPr>
        <w:fldChar w:fldCharType="end"/>
      </w:r>
    </w:p>
    <w:p w14:paraId="337CBBBF">
      <w:pPr>
        <w:pStyle w:val="38"/>
        <w:tabs>
          <w:tab w:val="right" w:leader="dot" w:pos="8845"/>
        </w:tabs>
      </w:pPr>
      <w:r>
        <w:rPr>
          <w:rFonts w:ascii="仿宋" w:hAnsi="仿宋" w:eastAsia="仿宋"/>
        </w:rPr>
        <w:fldChar w:fldCharType="begin"/>
      </w:r>
      <w:r>
        <w:rPr>
          <w:rFonts w:ascii="仿宋" w:hAnsi="仿宋" w:eastAsia="仿宋"/>
        </w:rPr>
        <w:instrText xml:space="preserve"> HYPERLINK \l _Toc30849 </w:instrText>
      </w:r>
      <w:r>
        <w:rPr>
          <w:rFonts w:ascii="仿宋" w:hAnsi="仿宋" w:eastAsia="仿宋"/>
        </w:rPr>
        <w:fldChar w:fldCharType="separate"/>
      </w:r>
      <w:r>
        <w:rPr>
          <w:rFonts w:hint="default" w:ascii="方正楷体_GBK" w:hAnsi="方正楷体_GBK" w:eastAsia="方正楷体_GBK" w:cs="方正楷体_GBK"/>
          <w:szCs w:val="33"/>
        </w:rPr>
        <w:t>（二）一般公共预算财政拨款支出决算结构情况</w:t>
      </w:r>
      <w:r>
        <w:tab/>
      </w:r>
      <w:r>
        <w:fldChar w:fldCharType="begin"/>
      </w:r>
      <w:r>
        <w:instrText xml:space="preserve"> PAGEREF _Toc30849 </w:instrText>
      </w:r>
      <w:r>
        <w:fldChar w:fldCharType="separate"/>
      </w:r>
      <w:r>
        <w:t>- 7 -</w:t>
      </w:r>
      <w:r>
        <w:fldChar w:fldCharType="end"/>
      </w:r>
      <w:r>
        <w:rPr>
          <w:rFonts w:ascii="仿宋" w:hAnsi="仿宋" w:eastAsia="仿宋"/>
        </w:rPr>
        <w:fldChar w:fldCharType="end"/>
      </w:r>
    </w:p>
    <w:p w14:paraId="1755EA31">
      <w:pPr>
        <w:pStyle w:val="38"/>
        <w:tabs>
          <w:tab w:val="right" w:leader="dot" w:pos="8845"/>
        </w:tabs>
      </w:pPr>
      <w:r>
        <w:rPr>
          <w:rFonts w:ascii="仿宋" w:hAnsi="仿宋" w:eastAsia="仿宋"/>
        </w:rPr>
        <w:fldChar w:fldCharType="begin"/>
      </w:r>
      <w:r>
        <w:rPr>
          <w:rFonts w:ascii="仿宋" w:hAnsi="仿宋" w:eastAsia="仿宋"/>
        </w:rPr>
        <w:instrText xml:space="preserve"> HYPERLINK \l _Toc327 </w:instrText>
      </w:r>
      <w:r>
        <w:rPr>
          <w:rFonts w:ascii="仿宋" w:hAnsi="仿宋" w:eastAsia="仿宋"/>
        </w:rPr>
        <w:fldChar w:fldCharType="separate"/>
      </w:r>
      <w:r>
        <w:rPr>
          <w:rFonts w:hint="default" w:ascii="方正楷体_GBK" w:hAnsi="方正楷体_GBK" w:eastAsia="方正楷体_GBK" w:cs="方正楷体_GBK"/>
          <w:szCs w:val="33"/>
        </w:rPr>
        <w:t>（三）一般公共预算财政拨款支出决算具体情况</w:t>
      </w:r>
      <w:r>
        <w:tab/>
      </w:r>
      <w:r>
        <w:fldChar w:fldCharType="begin"/>
      </w:r>
      <w:r>
        <w:instrText xml:space="preserve"> PAGEREF _Toc327 </w:instrText>
      </w:r>
      <w:r>
        <w:fldChar w:fldCharType="separate"/>
      </w:r>
      <w:r>
        <w:t>- 7 -</w:t>
      </w:r>
      <w:r>
        <w:fldChar w:fldCharType="end"/>
      </w:r>
      <w:r>
        <w:rPr>
          <w:rFonts w:ascii="仿宋" w:hAnsi="仿宋" w:eastAsia="仿宋"/>
        </w:rPr>
        <w:fldChar w:fldCharType="end"/>
      </w:r>
    </w:p>
    <w:p w14:paraId="40FB43D6">
      <w:pPr>
        <w:pStyle w:val="37"/>
        <w:tabs>
          <w:tab w:val="right" w:leader="dot" w:pos="8845"/>
        </w:tabs>
      </w:pPr>
      <w:r>
        <w:rPr>
          <w:rFonts w:ascii="仿宋" w:hAnsi="仿宋" w:eastAsia="仿宋"/>
        </w:rPr>
        <w:fldChar w:fldCharType="begin"/>
      </w:r>
      <w:r>
        <w:rPr>
          <w:rFonts w:ascii="仿宋" w:hAnsi="仿宋" w:eastAsia="仿宋"/>
        </w:rPr>
        <w:instrText xml:space="preserve"> HYPERLINK \l _Toc5967 </w:instrText>
      </w:r>
      <w:r>
        <w:rPr>
          <w:rFonts w:ascii="仿宋" w:hAnsi="仿宋" w:eastAsia="仿宋"/>
        </w:rPr>
        <w:fldChar w:fldCharType="separate"/>
      </w:r>
      <w:r>
        <w:rPr>
          <w:rFonts w:hint="default" w:ascii="方正黑体_GBK" w:hAnsi="方正黑体_GBK" w:eastAsia="方正黑体_GBK" w:cs="方正黑体_GBK"/>
          <w:bCs w:val="0"/>
          <w:szCs w:val="33"/>
        </w:rPr>
        <w:t>六、一般公共预算财政拨款基本支出决算情况说明</w:t>
      </w:r>
      <w:r>
        <w:tab/>
      </w:r>
      <w:r>
        <w:fldChar w:fldCharType="begin"/>
      </w:r>
      <w:r>
        <w:instrText xml:space="preserve"> PAGEREF _Toc5967 </w:instrText>
      </w:r>
      <w:r>
        <w:fldChar w:fldCharType="separate"/>
      </w:r>
      <w:r>
        <w:t>- 9 -</w:t>
      </w:r>
      <w:r>
        <w:fldChar w:fldCharType="end"/>
      </w:r>
      <w:r>
        <w:rPr>
          <w:rFonts w:ascii="仿宋" w:hAnsi="仿宋" w:eastAsia="仿宋"/>
        </w:rPr>
        <w:fldChar w:fldCharType="end"/>
      </w:r>
    </w:p>
    <w:p w14:paraId="52B7D873">
      <w:pPr>
        <w:pStyle w:val="37"/>
        <w:tabs>
          <w:tab w:val="right" w:leader="dot" w:pos="8845"/>
        </w:tabs>
      </w:pPr>
      <w:r>
        <w:rPr>
          <w:rFonts w:ascii="仿宋" w:hAnsi="仿宋" w:eastAsia="仿宋"/>
        </w:rPr>
        <w:fldChar w:fldCharType="begin"/>
      </w:r>
      <w:r>
        <w:rPr>
          <w:rFonts w:ascii="仿宋" w:hAnsi="仿宋" w:eastAsia="仿宋"/>
        </w:rPr>
        <w:instrText xml:space="preserve"> HYPERLINK \l _Toc27135 </w:instrText>
      </w:r>
      <w:r>
        <w:rPr>
          <w:rFonts w:ascii="仿宋" w:hAnsi="仿宋" w:eastAsia="仿宋"/>
        </w:rPr>
        <w:fldChar w:fldCharType="separate"/>
      </w:r>
      <w:r>
        <w:rPr>
          <w:rFonts w:hint="default" w:ascii="方正黑体_GBK" w:hAnsi="方正黑体_GBK" w:eastAsia="方正黑体_GBK" w:cs="方正黑体_GBK"/>
          <w:bCs w:val="0"/>
          <w:szCs w:val="33"/>
        </w:rPr>
        <w:t>七、“三公”经费财政拨款支出决算情况说明</w:t>
      </w:r>
      <w:r>
        <w:tab/>
      </w:r>
      <w:r>
        <w:fldChar w:fldCharType="begin"/>
      </w:r>
      <w:r>
        <w:instrText xml:space="preserve"> PAGEREF _Toc27135 </w:instrText>
      </w:r>
      <w:r>
        <w:fldChar w:fldCharType="separate"/>
      </w:r>
      <w:r>
        <w:t>- 10 -</w:t>
      </w:r>
      <w:r>
        <w:fldChar w:fldCharType="end"/>
      </w:r>
      <w:r>
        <w:rPr>
          <w:rFonts w:ascii="仿宋" w:hAnsi="仿宋" w:eastAsia="仿宋"/>
        </w:rPr>
        <w:fldChar w:fldCharType="end"/>
      </w:r>
    </w:p>
    <w:p w14:paraId="1D61B28D">
      <w:pPr>
        <w:pStyle w:val="38"/>
        <w:tabs>
          <w:tab w:val="right" w:leader="dot" w:pos="8845"/>
        </w:tabs>
      </w:pPr>
      <w:r>
        <w:rPr>
          <w:rFonts w:ascii="仿宋" w:hAnsi="仿宋" w:eastAsia="仿宋"/>
        </w:rPr>
        <w:fldChar w:fldCharType="begin"/>
      </w:r>
      <w:r>
        <w:rPr>
          <w:rFonts w:ascii="仿宋" w:hAnsi="仿宋" w:eastAsia="仿宋"/>
        </w:rPr>
        <w:instrText xml:space="preserve"> HYPERLINK \l _Toc25625 </w:instrText>
      </w:r>
      <w:r>
        <w:rPr>
          <w:rFonts w:ascii="仿宋" w:hAnsi="仿宋" w:eastAsia="仿宋"/>
        </w:rPr>
        <w:fldChar w:fldCharType="separate"/>
      </w:r>
      <w:r>
        <w:rPr>
          <w:rFonts w:hint="default" w:ascii="方正楷体_GBK" w:hAnsi="方正楷体_GBK" w:eastAsia="方正楷体_GBK" w:cs="方正楷体_GBK"/>
          <w:szCs w:val="33"/>
        </w:rPr>
        <w:t>（一）“三公”经费财政拨款支出决算总体情况说明</w:t>
      </w:r>
      <w:r>
        <w:tab/>
      </w:r>
      <w:r>
        <w:fldChar w:fldCharType="begin"/>
      </w:r>
      <w:r>
        <w:instrText xml:space="preserve"> PAGEREF _Toc25625 </w:instrText>
      </w:r>
      <w:r>
        <w:fldChar w:fldCharType="separate"/>
      </w:r>
      <w:r>
        <w:t>- 10 -</w:t>
      </w:r>
      <w:r>
        <w:fldChar w:fldCharType="end"/>
      </w:r>
      <w:r>
        <w:rPr>
          <w:rFonts w:ascii="仿宋" w:hAnsi="仿宋" w:eastAsia="仿宋"/>
        </w:rPr>
        <w:fldChar w:fldCharType="end"/>
      </w:r>
    </w:p>
    <w:p w14:paraId="22696616">
      <w:pPr>
        <w:pStyle w:val="38"/>
        <w:tabs>
          <w:tab w:val="right" w:leader="dot" w:pos="8845"/>
        </w:tabs>
      </w:pPr>
      <w:r>
        <w:rPr>
          <w:rFonts w:ascii="仿宋" w:hAnsi="仿宋" w:eastAsia="仿宋"/>
        </w:rPr>
        <w:fldChar w:fldCharType="begin"/>
      </w:r>
      <w:r>
        <w:rPr>
          <w:rFonts w:ascii="仿宋" w:hAnsi="仿宋" w:eastAsia="仿宋"/>
        </w:rPr>
        <w:instrText xml:space="preserve"> HYPERLINK \l _Toc32313 </w:instrText>
      </w:r>
      <w:r>
        <w:rPr>
          <w:rFonts w:ascii="仿宋" w:hAnsi="仿宋" w:eastAsia="仿宋"/>
        </w:rPr>
        <w:fldChar w:fldCharType="separate"/>
      </w:r>
      <w:r>
        <w:rPr>
          <w:rFonts w:hint="default" w:ascii="方正楷体_GBK" w:hAnsi="方正楷体_GBK" w:eastAsia="方正楷体_GBK" w:cs="方正楷体_GBK"/>
          <w:szCs w:val="33"/>
        </w:rPr>
        <w:t>（二）“三公”经费财政拨款支出决算具体情况说明</w:t>
      </w:r>
      <w:r>
        <w:tab/>
      </w:r>
      <w:r>
        <w:fldChar w:fldCharType="begin"/>
      </w:r>
      <w:r>
        <w:instrText xml:space="preserve"> PAGEREF _Toc32313 </w:instrText>
      </w:r>
      <w:r>
        <w:fldChar w:fldCharType="separate"/>
      </w:r>
      <w:r>
        <w:t>- 10 -</w:t>
      </w:r>
      <w:r>
        <w:fldChar w:fldCharType="end"/>
      </w:r>
      <w:r>
        <w:rPr>
          <w:rFonts w:ascii="仿宋" w:hAnsi="仿宋" w:eastAsia="仿宋"/>
        </w:rPr>
        <w:fldChar w:fldCharType="end"/>
      </w:r>
    </w:p>
    <w:p w14:paraId="54325DEB">
      <w:pPr>
        <w:pStyle w:val="37"/>
        <w:tabs>
          <w:tab w:val="right" w:leader="dot" w:pos="8845"/>
        </w:tabs>
      </w:pPr>
      <w:r>
        <w:rPr>
          <w:rFonts w:ascii="仿宋" w:hAnsi="仿宋" w:eastAsia="仿宋"/>
        </w:rPr>
        <w:fldChar w:fldCharType="begin"/>
      </w:r>
      <w:r>
        <w:rPr>
          <w:rFonts w:ascii="仿宋" w:hAnsi="仿宋" w:eastAsia="仿宋"/>
        </w:rPr>
        <w:instrText xml:space="preserve"> HYPERLINK \l _Toc14780 </w:instrText>
      </w:r>
      <w:r>
        <w:rPr>
          <w:rFonts w:ascii="仿宋" w:hAnsi="仿宋" w:eastAsia="仿宋"/>
        </w:rPr>
        <w:fldChar w:fldCharType="separate"/>
      </w:r>
      <w:r>
        <w:rPr>
          <w:rFonts w:hint="default" w:ascii="方正黑体_GBK" w:hAnsi="方正黑体_GBK" w:eastAsia="方正黑体_GBK" w:cs="方正黑体_GBK"/>
          <w:bCs w:val="0"/>
          <w:szCs w:val="33"/>
        </w:rPr>
        <w:t>八、政府性基金预算支出决算情况说明</w:t>
      </w:r>
      <w:r>
        <w:tab/>
      </w:r>
      <w:r>
        <w:fldChar w:fldCharType="begin"/>
      </w:r>
      <w:r>
        <w:instrText xml:space="preserve"> PAGEREF _Toc14780 </w:instrText>
      </w:r>
      <w:r>
        <w:fldChar w:fldCharType="separate"/>
      </w:r>
      <w:r>
        <w:t>- 11 -</w:t>
      </w:r>
      <w:r>
        <w:fldChar w:fldCharType="end"/>
      </w:r>
      <w:r>
        <w:rPr>
          <w:rFonts w:ascii="仿宋" w:hAnsi="仿宋" w:eastAsia="仿宋"/>
        </w:rPr>
        <w:fldChar w:fldCharType="end"/>
      </w:r>
    </w:p>
    <w:p w14:paraId="59F2D642">
      <w:pPr>
        <w:pStyle w:val="37"/>
        <w:tabs>
          <w:tab w:val="right" w:leader="dot" w:pos="8845"/>
        </w:tabs>
      </w:pPr>
      <w:r>
        <w:rPr>
          <w:rFonts w:ascii="仿宋" w:hAnsi="仿宋" w:eastAsia="仿宋"/>
        </w:rPr>
        <w:fldChar w:fldCharType="begin"/>
      </w:r>
      <w:r>
        <w:rPr>
          <w:rFonts w:ascii="仿宋" w:hAnsi="仿宋" w:eastAsia="仿宋"/>
        </w:rPr>
        <w:instrText xml:space="preserve"> HYPERLINK \l _Toc16379 </w:instrText>
      </w:r>
      <w:r>
        <w:rPr>
          <w:rFonts w:ascii="仿宋" w:hAnsi="仿宋" w:eastAsia="仿宋"/>
        </w:rPr>
        <w:fldChar w:fldCharType="separate"/>
      </w:r>
      <w:r>
        <w:rPr>
          <w:rFonts w:hint="default" w:ascii="方正黑体_GBK" w:hAnsi="方正黑体_GBK" w:eastAsia="方正黑体_GBK" w:cs="方正黑体_GBK"/>
          <w:bCs w:val="0"/>
          <w:szCs w:val="33"/>
        </w:rPr>
        <w:t>九、国有资本经营预算支出决算情况说明</w:t>
      </w:r>
      <w:r>
        <w:tab/>
      </w:r>
      <w:r>
        <w:fldChar w:fldCharType="begin"/>
      </w:r>
      <w:r>
        <w:instrText xml:space="preserve"> PAGEREF _Toc16379 </w:instrText>
      </w:r>
      <w:r>
        <w:fldChar w:fldCharType="separate"/>
      </w:r>
      <w:r>
        <w:t>- 11 -</w:t>
      </w:r>
      <w:r>
        <w:fldChar w:fldCharType="end"/>
      </w:r>
      <w:r>
        <w:rPr>
          <w:rFonts w:ascii="仿宋" w:hAnsi="仿宋" w:eastAsia="仿宋"/>
        </w:rPr>
        <w:fldChar w:fldCharType="end"/>
      </w:r>
    </w:p>
    <w:p w14:paraId="3DD07D06">
      <w:pPr>
        <w:pStyle w:val="37"/>
        <w:tabs>
          <w:tab w:val="right" w:leader="dot" w:pos="8845"/>
        </w:tabs>
      </w:pPr>
      <w:r>
        <w:rPr>
          <w:rFonts w:ascii="仿宋" w:hAnsi="仿宋" w:eastAsia="仿宋"/>
        </w:rPr>
        <w:fldChar w:fldCharType="begin"/>
      </w:r>
      <w:r>
        <w:rPr>
          <w:rFonts w:ascii="仿宋" w:hAnsi="仿宋" w:eastAsia="仿宋"/>
        </w:rPr>
        <w:instrText xml:space="preserve"> HYPERLINK \l _Toc16280 </w:instrText>
      </w:r>
      <w:r>
        <w:rPr>
          <w:rFonts w:ascii="仿宋" w:hAnsi="仿宋" w:eastAsia="仿宋"/>
        </w:rPr>
        <w:fldChar w:fldCharType="separate"/>
      </w:r>
      <w:r>
        <w:rPr>
          <w:rFonts w:hint="default" w:ascii="方正黑体_GBK" w:hAnsi="方正黑体_GBK" w:eastAsia="方正黑体_GBK" w:cs="方正黑体_GBK"/>
          <w:bCs w:val="0"/>
          <w:szCs w:val="33"/>
        </w:rPr>
        <w:t>十、其他重要事项的情况说明</w:t>
      </w:r>
      <w:r>
        <w:tab/>
      </w:r>
      <w:r>
        <w:fldChar w:fldCharType="begin"/>
      </w:r>
      <w:r>
        <w:instrText xml:space="preserve"> PAGEREF _Toc16280 </w:instrText>
      </w:r>
      <w:r>
        <w:fldChar w:fldCharType="separate"/>
      </w:r>
      <w:r>
        <w:t>- 12 -</w:t>
      </w:r>
      <w:r>
        <w:fldChar w:fldCharType="end"/>
      </w:r>
      <w:r>
        <w:rPr>
          <w:rFonts w:ascii="仿宋" w:hAnsi="仿宋" w:eastAsia="仿宋"/>
        </w:rPr>
        <w:fldChar w:fldCharType="end"/>
      </w:r>
    </w:p>
    <w:p w14:paraId="2A393CC1">
      <w:pPr>
        <w:pStyle w:val="38"/>
        <w:tabs>
          <w:tab w:val="right" w:leader="dot" w:pos="8845"/>
        </w:tabs>
      </w:pPr>
      <w:r>
        <w:rPr>
          <w:rFonts w:ascii="仿宋" w:hAnsi="仿宋" w:eastAsia="仿宋"/>
        </w:rPr>
        <w:fldChar w:fldCharType="begin"/>
      </w:r>
      <w:r>
        <w:rPr>
          <w:rFonts w:ascii="仿宋" w:hAnsi="仿宋" w:eastAsia="仿宋"/>
        </w:rPr>
        <w:instrText xml:space="preserve"> HYPERLINK \l _Toc5028 </w:instrText>
      </w:r>
      <w:r>
        <w:rPr>
          <w:rFonts w:ascii="仿宋" w:hAnsi="仿宋" w:eastAsia="仿宋"/>
        </w:rPr>
        <w:fldChar w:fldCharType="separate"/>
      </w:r>
      <w:r>
        <w:rPr>
          <w:rFonts w:hint="default" w:ascii="方正楷体_GBK" w:hAnsi="方正楷体_GBK" w:eastAsia="方正楷体_GBK" w:cs="方正楷体_GBK"/>
          <w:szCs w:val="33"/>
        </w:rPr>
        <w:t>（一）机关运行经费支出情况</w:t>
      </w:r>
      <w:r>
        <w:tab/>
      </w:r>
      <w:r>
        <w:fldChar w:fldCharType="begin"/>
      </w:r>
      <w:r>
        <w:instrText xml:space="preserve"> PAGEREF _Toc5028 </w:instrText>
      </w:r>
      <w:r>
        <w:fldChar w:fldCharType="separate"/>
      </w:r>
      <w:r>
        <w:t>- 12 -</w:t>
      </w:r>
      <w:r>
        <w:fldChar w:fldCharType="end"/>
      </w:r>
      <w:r>
        <w:rPr>
          <w:rFonts w:ascii="仿宋" w:hAnsi="仿宋" w:eastAsia="仿宋"/>
        </w:rPr>
        <w:fldChar w:fldCharType="end"/>
      </w:r>
    </w:p>
    <w:p w14:paraId="4B5A39E1">
      <w:pPr>
        <w:pStyle w:val="38"/>
        <w:tabs>
          <w:tab w:val="right" w:leader="dot" w:pos="8845"/>
        </w:tabs>
      </w:pPr>
      <w:r>
        <w:rPr>
          <w:rFonts w:ascii="仿宋" w:hAnsi="仿宋" w:eastAsia="仿宋"/>
        </w:rPr>
        <w:fldChar w:fldCharType="begin"/>
      </w:r>
      <w:r>
        <w:rPr>
          <w:rFonts w:ascii="仿宋" w:hAnsi="仿宋" w:eastAsia="仿宋"/>
        </w:rPr>
        <w:instrText xml:space="preserve"> HYPERLINK \l _Toc16647 </w:instrText>
      </w:r>
      <w:r>
        <w:rPr>
          <w:rFonts w:ascii="仿宋" w:hAnsi="仿宋" w:eastAsia="仿宋"/>
        </w:rPr>
        <w:fldChar w:fldCharType="separate"/>
      </w:r>
      <w:r>
        <w:rPr>
          <w:rFonts w:hint="default" w:ascii="方正楷体_GBK" w:hAnsi="方正楷体_GBK" w:eastAsia="方正楷体_GBK" w:cs="方正楷体_GBK"/>
          <w:szCs w:val="33"/>
        </w:rPr>
        <w:t>（二）政府采购支出情况</w:t>
      </w:r>
      <w:r>
        <w:tab/>
      </w:r>
      <w:r>
        <w:fldChar w:fldCharType="begin"/>
      </w:r>
      <w:r>
        <w:instrText xml:space="preserve"> PAGEREF _Toc16647 </w:instrText>
      </w:r>
      <w:r>
        <w:fldChar w:fldCharType="separate"/>
      </w:r>
      <w:r>
        <w:t>- 12 -</w:t>
      </w:r>
      <w:r>
        <w:fldChar w:fldCharType="end"/>
      </w:r>
      <w:r>
        <w:rPr>
          <w:rFonts w:ascii="仿宋" w:hAnsi="仿宋" w:eastAsia="仿宋"/>
        </w:rPr>
        <w:fldChar w:fldCharType="end"/>
      </w:r>
    </w:p>
    <w:p w14:paraId="556FBB33">
      <w:pPr>
        <w:pStyle w:val="38"/>
        <w:tabs>
          <w:tab w:val="right" w:leader="dot" w:pos="8845"/>
        </w:tabs>
      </w:pPr>
      <w:r>
        <w:rPr>
          <w:rFonts w:ascii="仿宋" w:hAnsi="仿宋" w:eastAsia="仿宋"/>
        </w:rPr>
        <w:fldChar w:fldCharType="begin"/>
      </w:r>
      <w:r>
        <w:rPr>
          <w:rFonts w:ascii="仿宋" w:hAnsi="仿宋" w:eastAsia="仿宋"/>
        </w:rPr>
        <w:instrText xml:space="preserve"> HYPERLINK \l _Toc5559 </w:instrText>
      </w:r>
      <w:r>
        <w:rPr>
          <w:rFonts w:ascii="仿宋" w:hAnsi="仿宋" w:eastAsia="仿宋"/>
        </w:rPr>
        <w:fldChar w:fldCharType="separate"/>
      </w:r>
      <w:r>
        <w:rPr>
          <w:rFonts w:hint="default" w:ascii="方正楷体_GBK" w:hAnsi="方正楷体_GBK" w:eastAsia="方正楷体_GBK" w:cs="方正楷体_GBK"/>
          <w:szCs w:val="33"/>
        </w:rPr>
        <w:t>（三）国有资产占有使用情况</w:t>
      </w:r>
      <w:r>
        <w:tab/>
      </w:r>
      <w:r>
        <w:fldChar w:fldCharType="begin"/>
      </w:r>
      <w:r>
        <w:instrText xml:space="preserve"> PAGEREF _Toc5559 </w:instrText>
      </w:r>
      <w:r>
        <w:fldChar w:fldCharType="separate"/>
      </w:r>
      <w:r>
        <w:t>- 12 -</w:t>
      </w:r>
      <w:r>
        <w:fldChar w:fldCharType="end"/>
      </w:r>
      <w:r>
        <w:rPr>
          <w:rFonts w:ascii="仿宋" w:hAnsi="仿宋" w:eastAsia="仿宋"/>
        </w:rPr>
        <w:fldChar w:fldCharType="end"/>
      </w:r>
    </w:p>
    <w:p w14:paraId="2F95D570">
      <w:pPr>
        <w:pStyle w:val="38"/>
        <w:tabs>
          <w:tab w:val="right" w:leader="dot" w:pos="8845"/>
        </w:tabs>
      </w:pPr>
      <w:r>
        <w:rPr>
          <w:rFonts w:ascii="仿宋" w:hAnsi="仿宋" w:eastAsia="仿宋"/>
        </w:rPr>
        <w:fldChar w:fldCharType="begin"/>
      </w:r>
      <w:r>
        <w:rPr>
          <w:rFonts w:ascii="仿宋" w:hAnsi="仿宋" w:eastAsia="仿宋"/>
        </w:rPr>
        <w:instrText xml:space="preserve"> HYPERLINK \l _Toc13516 </w:instrText>
      </w:r>
      <w:r>
        <w:rPr>
          <w:rFonts w:ascii="仿宋" w:hAnsi="仿宋" w:eastAsia="仿宋"/>
        </w:rPr>
        <w:fldChar w:fldCharType="separate"/>
      </w:r>
      <w:r>
        <w:rPr>
          <w:rFonts w:hint="default" w:ascii="方正楷体_GBK" w:hAnsi="方正楷体_GBK" w:eastAsia="方正楷体_GBK" w:cs="方正楷体_GBK"/>
          <w:szCs w:val="33"/>
        </w:rPr>
        <w:t>（四）预算绩效管理情况。</w:t>
      </w:r>
      <w:r>
        <w:tab/>
      </w:r>
      <w:r>
        <w:fldChar w:fldCharType="begin"/>
      </w:r>
      <w:r>
        <w:instrText xml:space="preserve"> PAGEREF _Toc13516 </w:instrText>
      </w:r>
      <w:r>
        <w:fldChar w:fldCharType="separate"/>
      </w:r>
      <w:r>
        <w:t>- 12 -</w:t>
      </w:r>
      <w:r>
        <w:fldChar w:fldCharType="end"/>
      </w:r>
      <w:r>
        <w:rPr>
          <w:rFonts w:ascii="仿宋" w:hAnsi="仿宋" w:eastAsia="仿宋"/>
        </w:rPr>
        <w:fldChar w:fldCharType="end"/>
      </w:r>
    </w:p>
    <w:p w14:paraId="5D1F1D88">
      <w:pPr>
        <w:pStyle w:val="37"/>
        <w:tabs>
          <w:tab w:val="right" w:leader="dot" w:pos="8845"/>
        </w:tabs>
      </w:pPr>
      <w:r>
        <w:rPr>
          <w:rFonts w:ascii="仿宋" w:hAnsi="仿宋" w:eastAsia="仿宋"/>
        </w:rPr>
        <w:fldChar w:fldCharType="begin"/>
      </w:r>
      <w:r>
        <w:rPr>
          <w:rFonts w:ascii="仿宋" w:hAnsi="仿宋" w:eastAsia="仿宋"/>
        </w:rPr>
        <w:instrText xml:space="preserve"> HYPERLINK \l _Toc9486 </w:instrText>
      </w:r>
      <w:r>
        <w:rPr>
          <w:rFonts w:ascii="仿宋" w:hAnsi="仿宋" w:eastAsia="仿宋"/>
        </w:rPr>
        <w:fldChar w:fldCharType="separate"/>
      </w:r>
      <w:r>
        <w:rPr>
          <w:rFonts w:hint="default" w:ascii="Times New Roman" w:hAnsi="Times New Roman" w:eastAsia="方正仿宋_GBK" w:cs="Times New Roman"/>
          <w:szCs w:val="33"/>
        </w:rPr>
        <w:t>附件1</w:t>
      </w:r>
      <w:r>
        <w:tab/>
      </w:r>
      <w:r>
        <w:fldChar w:fldCharType="begin"/>
      </w:r>
      <w:r>
        <w:instrText xml:space="preserve"> PAGEREF _Toc9486 </w:instrText>
      </w:r>
      <w:r>
        <w:fldChar w:fldCharType="separate"/>
      </w:r>
      <w:r>
        <w:t>- 17 -</w:t>
      </w:r>
      <w:r>
        <w:fldChar w:fldCharType="end"/>
      </w:r>
      <w:r>
        <w:rPr>
          <w:rFonts w:ascii="仿宋" w:hAnsi="仿宋" w:eastAsia="仿宋"/>
        </w:rPr>
        <w:fldChar w:fldCharType="end"/>
      </w:r>
    </w:p>
    <w:p w14:paraId="5FC05934">
      <w:pPr>
        <w:pStyle w:val="37"/>
        <w:tabs>
          <w:tab w:val="right" w:leader="dot" w:pos="8845"/>
        </w:tabs>
      </w:pPr>
      <w:r>
        <w:rPr>
          <w:rFonts w:ascii="仿宋" w:hAnsi="仿宋" w:eastAsia="仿宋"/>
        </w:rPr>
        <w:fldChar w:fldCharType="begin"/>
      </w:r>
      <w:r>
        <w:rPr>
          <w:rFonts w:ascii="仿宋" w:hAnsi="仿宋" w:eastAsia="仿宋"/>
        </w:rPr>
        <w:instrText xml:space="preserve"> HYPERLINK \l _Toc15601 </w:instrText>
      </w:r>
      <w:r>
        <w:rPr>
          <w:rFonts w:ascii="仿宋" w:hAnsi="仿宋" w:eastAsia="仿宋"/>
        </w:rPr>
        <w:fldChar w:fldCharType="separate"/>
      </w:r>
      <w:r>
        <w:rPr>
          <w:rFonts w:hint="eastAsia" w:ascii="方正黑体_GBK" w:hAnsi="方正黑体_GBK" w:eastAsia="方正黑体_GBK" w:cs="方正黑体_GBK"/>
          <w:bCs w:val="0"/>
          <w:szCs w:val="33"/>
        </w:rPr>
        <w:t>一、项目基本情况</w:t>
      </w:r>
      <w:r>
        <w:tab/>
      </w:r>
      <w:r>
        <w:fldChar w:fldCharType="begin"/>
      </w:r>
      <w:r>
        <w:instrText xml:space="preserve"> PAGEREF _Toc15601 </w:instrText>
      </w:r>
      <w:r>
        <w:fldChar w:fldCharType="separate"/>
      </w:r>
      <w:r>
        <w:t>- 17 -</w:t>
      </w:r>
      <w:r>
        <w:fldChar w:fldCharType="end"/>
      </w:r>
      <w:r>
        <w:rPr>
          <w:rFonts w:ascii="仿宋" w:hAnsi="仿宋" w:eastAsia="仿宋"/>
        </w:rPr>
        <w:fldChar w:fldCharType="end"/>
      </w:r>
    </w:p>
    <w:p w14:paraId="4A222401">
      <w:pPr>
        <w:pStyle w:val="37"/>
        <w:tabs>
          <w:tab w:val="right" w:leader="dot" w:pos="8845"/>
        </w:tabs>
      </w:pPr>
      <w:r>
        <w:rPr>
          <w:rFonts w:ascii="仿宋" w:hAnsi="仿宋" w:eastAsia="仿宋"/>
        </w:rPr>
        <w:fldChar w:fldCharType="begin"/>
      </w:r>
      <w:r>
        <w:rPr>
          <w:rFonts w:ascii="仿宋" w:hAnsi="仿宋" w:eastAsia="仿宋"/>
        </w:rPr>
        <w:instrText xml:space="preserve"> HYPERLINK \l _Toc1984 </w:instrText>
      </w:r>
      <w:r>
        <w:rPr>
          <w:rFonts w:ascii="仿宋" w:hAnsi="仿宋" w:eastAsia="仿宋"/>
        </w:rPr>
        <w:fldChar w:fldCharType="separate"/>
      </w:r>
      <w:r>
        <w:rPr>
          <w:rFonts w:hint="eastAsia" w:ascii="方正楷体_GBK" w:hAnsi="方正楷体_GBK" w:eastAsia="方正楷体_GBK" w:cs="方正楷体_GBK"/>
          <w:szCs w:val="33"/>
        </w:rPr>
        <w:t>（</w:t>
      </w:r>
      <w:r>
        <w:rPr>
          <w:rFonts w:hint="eastAsia" w:ascii="方正楷体_GBK" w:hAnsi="方正楷体_GBK" w:eastAsia="方正楷体_GBK" w:cs="方正楷体_GBK"/>
          <w:szCs w:val="33"/>
          <w:lang w:eastAsia="zh-CN"/>
        </w:rPr>
        <w:t>一</w:t>
      </w:r>
      <w:r>
        <w:rPr>
          <w:rFonts w:hint="eastAsia" w:ascii="方正楷体_GBK" w:hAnsi="方正楷体_GBK" w:eastAsia="方正楷体_GBK" w:cs="方正楷体_GBK"/>
          <w:szCs w:val="33"/>
        </w:rPr>
        <w:t>）项目概况</w:t>
      </w:r>
      <w:r>
        <w:tab/>
      </w:r>
      <w:r>
        <w:fldChar w:fldCharType="begin"/>
      </w:r>
      <w:r>
        <w:instrText xml:space="preserve"> PAGEREF _Toc1984 </w:instrText>
      </w:r>
      <w:r>
        <w:fldChar w:fldCharType="separate"/>
      </w:r>
      <w:r>
        <w:t>- 17 -</w:t>
      </w:r>
      <w:r>
        <w:fldChar w:fldCharType="end"/>
      </w:r>
      <w:r>
        <w:rPr>
          <w:rFonts w:ascii="仿宋" w:hAnsi="仿宋" w:eastAsia="仿宋"/>
        </w:rPr>
        <w:fldChar w:fldCharType="end"/>
      </w:r>
    </w:p>
    <w:p w14:paraId="72DFA01A">
      <w:pPr>
        <w:pStyle w:val="37"/>
        <w:tabs>
          <w:tab w:val="right" w:leader="dot" w:pos="8845"/>
        </w:tabs>
      </w:pPr>
      <w:r>
        <w:rPr>
          <w:rFonts w:ascii="仿宋" w:hAnsi="仿宋" w:eastAsia="仿宋"/>
        </w:rPr>
        <w:fldChar w:fldCharType="begin"/>
      </w:r>
      <w:r>
        <w:rPr>
          <w:rFonts w:ascii="仿宋" w:hAnsi="仿宋" w:eastAsia="仿宋"/>
        </w:rPr>
        <w:instrText xml:space="preserve"> HYPERLINK \l _Toc18453 </w:instrText>
      </w:r>
      <w:r>
        <w:rPr>
          <w:rFonts w:ascii="仿宋" w:hAnsi="仿宋" w:eastAsia="仿宋"/>
        </w:rPr>
        <w:fldChar w:fldCharType="separate"/>
      </w:r>
      <w:r>
        <w:rPr>
          <w:rFonts w:hint="default" w:ascii="方正楷体_GBK" w:hAnsi="方正楷体_GBK" w:eastAsia="方正楷体_GBK" w:cs="方正楷体_GBK"/>
          <w:szCs w:val="33"/>
        </w:rPr>
        <w:t>（二）红果乡预算整日支出性质、用途和主要内容</w:t>
      </w:r>
      <w:r>
        <w:tab/>
      </w:r>
      <w:r>
        <w:fldChar w:fldCharType="begin"/>
      </w:r>
      <w:r>
        <w:instrText xml:space="preserve"> PAGEREF _Toc18453 </w:instrText>
      </w:r>
      <w:r>
        <w:fldChar w:fldCharType="separate"/>
      </w:r>
      <w:r>
        <w:t>- 17 -</w:t>
      </w:r>
      <w:r>
        <w:fldChar w:fldCharType="end"/>
      </w:r>
      <w:r>
        <w:rPr>
          <w:rFonts w:ascii="仿宋" w:hAnsi="仿宋" w:eastAsia="仿宋"/>
        </w:rPr>
        <w:fldChar w:fldCharType="end"/>
      </w:r>
    </w:p>
    <w:p w14:paraId="10098453">
      <w:pPr>
        <w:pStyle w:val="37"/>
        <w:tabs>
          <w:tab w:val="right" w:leader="dot" w:pos="8845"/>
        </w:tabs>
      </w:pPr>
      <w:r>
        <w:rPr>
          <w:rFonts w:ascii="仿宋" w:hAnsi="仿宋" w:eastAsia="仿宋"/>
        </w:rPr>
        <w:fldChar w:fldCharType="begin"/>
      </w:r>
      <w:r>
        <w:rPr>
          <w:rFonts w:ascii="仿宋" w:hAnsi="仿宋" w:eastAsia="仿宋"/>
        </w:rPr>
        <w:instrText xml:space="preserve"> HYPERLINK \l _Toc4669 </w:instrText>
      </w:r>
      <w:r>
        <w:rPr>
          <w:rFonts w:ascii="仿宋" w:hAnsi="仿宋" w:eastAsia="仿宋"/>
        </w:rPr>
        <w:fldChar w:fldCharType="separate"/>
      </w:r>
      <w:r>
        <w:rPr>
          <w:rFonts w:hint="default" w:ascii="方正黑体_GBK" w:hAnsi="方正黑体_GBK" w:eastAsia="方正黑体_GBK" w:cs="方正黑体_GBK"/>
          <w:bCs w:val="0"/>
          <w:szCs w:val="33"/>
        </w:rPr>
        <w:t>二、项目资金使用及管理情况</w:t>
      </w:r>
      <w:r>
        <w:tab/>
      </w:r>
      <w:r>
        <w:fldChar w:fldCharType="begin"/>
      </w:r>
      <w:r>
        <w:instrText xml:space="preserve"> PAGEREF _Toc4669 </w:instrText>
      </w:r>
      <w:r>
        <w:fldChar w:fldCharType="separate"/>
      </w:r>
      <w:r>
        <w:t>- 18 -</w:t>
      </w:r>
      <w:r>
        <w:fldChar w:fldCharType="end"/>
      </w:r>
      <w:r>
        <w:rPr>
          <w:rFonts w:ascii="仿宋" w:hAnsi="仿宋" w:eastAsia="仿宋"/>
        </w:rPr>
        <w:fldChar w:fldCharType="end"/>
      </w:r>
    </w:p>
    <w:p w14:paraId="4DE1D893">
      <w:pPr>
        <w:pStyle w:val="37"/>
        <w:tabs>
          <w:tab w:val="right" w:leader="dot" w:pos="8845"/>
        </w:tabs>
      </w:pPr>
      <w:r>
        <w:rPr>
          <w:rFonts w:ascii="仿宋" w:hAnsi="仿宋" w:eastAsia="仿宋"/>
        </w:rPr>
        <w:fldChar w:fldCharType="begin"/>
      </w:r>
      <w:r>
        <w:rPr>
          <w:rFonts w:ascii="仿宋" w:hAnsi="仿宋" w:eastAsia="仿宋"/>
        </w:rPr>
        <w:instrText xml:space="preserve"> HYPERLINK \l _Toc22058 </w:instrText>
      </w:r>
      <w:r>
        <w:rPr>
          <w:rFonts w:ascii="仿宋" w:hAnsi="仿宋" w:eastAsia="仿宋"/>
        </w:rPr>
        <w:fldChar w:fldCharType="separate"/>
      </w:r>
      <w:r>
        <w:rPr>
          <w:rFonts w:hint="default" w:ascii="方正楷体_GBK" w:hAnsi="方正楷体_GBK" w:eastAsia="方正楷体_GBK" w:cs="方正楷体_GBK"/>
          <w:szCs w:val="33"/>
        </w:rPr>
        <w:t>（一）项目资金到位情况分析</w:t>
      </w:r>
      <w:r>
        <w:tab/>
      </w:r>
      <w:r>
        <w:fldChar w:fldCharType="begin"/>
      </w:r>
      <w:r>
        <w:instrText xml:space="preserve"> PAGEREF _Toc22058 </w:instrText>
      </w:r>
      <w:r>
        <w:fldChar w:fldCharType="separate"/>
      </w:r>
      <w:r>
        <w:t>- 18 -</w:t>
      </w:r>
      <w:r>
        <w:fldChar w:fldCharType="end"/>
      </w:r>
      <w:r>
        <w:rPr>
          <w:rFonts w:ascii="仿宋" w:hAnsi="仿宋" w:eastAsia="仿宋"/>
        </w:rPr>
        <w:fldChar w:fldCharType="end"/>
      </w:r>
    </w:p>
    <w:p w14:paraId="05F0892C">
      <w:pPr>
        <w:pStyle w:val="37"/>
        <w:tabs>
          <w:tab w:val="right" w:leader="dot" w:pos="8845"/>
        </w:tabs>
      </w:pPr>
      <w:r>
        <w:rPr>
          <w:rFonts w:ascii="仿宋" w:hAnsi="仿宋" w:eastAsia="仿宋"/>
        </w:rPr>
        <w:fldChar w:fldCharType="begin"/>
      </w:r>
      <w:r>
        <w:rPr>
          <w:rFonts w:ascii="仿宋" w:hAnsi="仿宋" w:eastAsia="仿宋"/>
        </w:rPr>
        <w:instrText xml:space="preserve"> HYPERLINK \l _Toc32144 </w:instrText>
      </w:r>
      <w:r>
        <w:rPr>
          <w:rFonts w:ascii="仿宋" w:hAnsi="仿宋" w:eastAsia="仿宋"/>
        </w:rPr>
        <w:fldChar w:fldCharType="separate"/>
      </w:r>
      <w:r>
        <w:rPr>
          <w:rFonts w:hint="default" w:ascii="方正楷体_GBK" w:hAnsi="方正楷体_GBK" w:eastAsia="方正楷体_GBK" w:cs="方正楷体_GBK"/>
          <w:szCs w:val="33"/>
        </w:rPr>
        <w:t>（二）项目自己使用情况分析</w:t>
      </w:r>
      <w:r>
        <w:tab/>
      </w:r>
      <w:r>
        <w:fldChar w:fldCharType="begin"/>
      </w:r>
      <w:r>
        <w:instrText xml:space="preserve"> PAGEREF _Toc32144 </w:instrText>
      </w:r>
      <w:r>
        <w:fldChar w:fldCharType="separate"/>
      </w:r>
      <w:r>
        <w:t>- 18 -</w:t>
      </w:r>
      <w:r>
        <w:fldChar w:fldCharType="end"/>
      </w:r>
      <w:r>
        <w:rPr>
          <w:rFonts w:ascii="仿宋" w:hAnsi="仿宋" w:eastAsia="仿宋"/>
        </w:rPr>
        <w:fldChar w:fldCharType="end"/>
      </w:r>
    </w:p>
    <w:p w14:paraId="4E021FEA">
      <w:pPr>
        <w:pStyle w:val="37"/>
        <w:tabs>
          <w:tab w:val="right" w:leader="dot" w:pos="8845"/>
        </w:tabs>
      </w:pPr>
      <w:r>
        <w:rPr>
          <w:rFonts w:ascii="仿宋" w:hAnsi="仿宋" w:eastAsia="仿宋"/>
        </w:rPr>
        <w:fldChar w:fldCharType="begin"/>
      </w:r>
      <w:r>
        <w:rPr>
          <w:rFonts w:ascii="仿宋" w:hAnsi="仿宋" w:eastAsia="仿宋"/>
        </w:rPr>
        <w:instrText xml:space="preserve"> HYPERLINK \l _Toc24835 </w:instrText>
      </w:r>
      <w:r>
        <w:rPr>
          <w:rFonts w:ascii="仿宋" w:hAnsi="仿宋" w:eastAsia="仿宋"/>
        </w:rPr>
        <w:fldChar w:fldCharType="separate"/>
      </w:r>
      <w:r>
        <w:rPr>
          <w:rFonts w:hint="default" w:ascii="方正楷体_GBK" w:hAnsi="方正楷体_GBK" w:eastAsia="方正楷体_GBK" w:cs="方正楷体_GBK"/>
          <w:szCs w:val="33"/>
        </w:rPr>
        <w:t>（三）项目资金管理情况</w:t>
      </w:r>
      <w:r>
        <w:tab/>
      </w:r>
      <w:r>
        <w:fldChar w:fldCharType="begin"/>
      </w:r>
      <w:r>
        <w:instrText xml:space="preserve"> PAGEREF _Toc24835 </w:instrText>
      </w:r>
      <w:r>
        <w:fldChar w:fldCharType="separate"/>
      </w:r>
      <w:r>
        <w:t>- 18 -</w:t>
      </w:r>
      <w:r>
        <w:fldChar w:fldCharType="end"/>
      </w:r>
      <w:r>
        <w:rPr>
          <w:rFonts w:ascii="仿宋" w:hAnsi="仿宋" w:eastAsia="仿宋"/>
        </w:rPr>
        <w:fldChar w:fldCharType="end"/>
      </w:r>
    </w:p>
    <w:p w14:paraId="65F412FB">
      <w:pPr>
        <w:pStyle w:val="37"/>
        <w:tabs>
          <w:tab w:val="right" w:leader="dot" w:pos="8845"/>
        </w:tabs>
      </w:pPr>
      <w:r>
        <w:rPr>
          <w:rFonts w:ascii="仿宋" w:hAnsi="仿宋" w:eastAsia="仿宋"/>
        </w:rPr>
        <w:fldChar w:fldCharType="begin"/>
      </w:r>
      <w:r>
        <w:rPr>
          <w:rFonts w:ascii="仿宋" w:hAnsi="仿宋" w:eastAsia="仿宋"/>
        </w:rPr>
        <w:instrText xml:space="preserve"> HYPERLINK \l _Toc14511 </w:instrText>
      </w:r>
      <w:r>
        <w:rPr>
          <w:rFonts w:ascii="仿宋" w:hAnsi="仿宋" w:eastAsia="仿宋"/>
        </w:rPr>
        <w:fldChar w:fldCharType="separate"/>
      </w:r>
      <w:r>
        <w:rPr>
          <w:rFonts w:hint="default" w:ascii="方正黑体_GBK" w:hAnsi="方正黑体_GBK" w:eastAsia="方正黑体_GBK" w:cs="方正黑体_GBK"/>
          <w:bCs w:val="0"/>
          <w:szCs w:val="33"/>
        </w:rPr>
        <w:t>三、项目绩效情况</w:t>
      </w:r>
      <w:r>
        <w:tab/>
      </w:r>
      <w:r>
        <w:fldChar w:fldCharType="begin"/>
      </w:r>
      <w:r>
        <w:instrText xml:space="preserve"> PAGEREF _Toc14511 </w:instrText>
      </w:r>
      <w:r>
        <w:fldChar w:fldCharType="separate"/>
      </w:r>
      <w:r>
        <w:t>- 18 -</w:t>
      </w:r>
      <w:r>
        <w:fldChar w:fldCharType="end"/>
      </w:r>
      <w:r>
        <w:rPr>
          <w:rFonts w:ascii="仿宋" w:hAnsi="仿宋" w:eastAsia="仿宋"/>
        </w:rPr>
        <w:fldChar w:fldCharType="end"/>
      </w:r>
    </w:p>
    <w:p w14:paraId="0275CE64">
      <w:pPr>
        <w:pStyle w:val="38"/>
        <w:tabs>
          <w:tab w:val="right" w:leader="dot" w:pos="8845"/>
        </w:tabs>
      </w:pPr>
      <w:r>
        <w:rPr>
          <w:rFonts w:ascii="仿宋" w:hAnsi="仿宋" w:eastAsia="仿宋"/>
        </w:rPr>
        <w:fldChar w:fldCharType="begin"/>
      </w:r>
      <w:r>
        <w:rPr>
          <w:rFonts w:ascii="仿宋" w:hAnsi="仿宋" w:eastAsia="仿宋"/>
        </w:rPr>
        <w:instrText xml:space="preserve"> HYPERLINK \l _Toc22510 </w:instrText>
      </w:r>
      <w:r>
        <w:rPr>
          <w:rFonts w:ascii="仿宋" w:hAnsi="仿宋" w:eastAsia="仿宋"/>
        </w:rPr>
        <w:fldChar w:fldCharType="separate"/>
      </w:r>
      <w:r>
        <w:rPr>
          <w:rFonts w:hint="default" w:ascii="方正楷体_GBK" w:hAnsi="方正楷体_GBK" w:eastAsia="方正楷体_GBK" w:cs="方正楷体_GBK"/>
          <w:bCs/>
          <w:kern w:val="2"/>
          <w:szCs w:val="33"/>
          <w:lang w:val="en-US" w:eastAsia="zh-CN" w:bidi="ar-SA"/>
        </w:rPr>
        <w:t>（一）项目的实施进度</w:t>
      </w:r>
      <w:r>
        <w:tab/>
      </w:r>
      <w:r>
        <w:fldChar w:fldCharType="begin"/>
      </w:r>
      <w:r>
        <w:instrText xml:space="preserve"> PAGEREF _Toc22510 </w:instrText>
      </w:r>
      <w:r>
        <w:fldChar w:fldCharType="separate"/>
      </w:r>
      <w:r>
        <w:t>- 18 -</w:t>
      </w:r>
      <w:r>
        <w:fldChar w:fldCharType="end"/>
      </w:r>
      <w:r>
        <w:rPr>
          <w:rFonts w:ascii="仿宋" w:hAnsi="仿宋" w:eastAsia="仿宋"/>
        </w:rPr>
        <w:fldChar w:fldCharType="end"/>
      </w:r>
    </w:p>
    <w:p w14:paraId="0AACF93F">
      <w:pPr>
        <w:pStyle w:val="37"/>
        <w:tabs>
          <w:tab w:val="right" w:leader="dot" w:pos="8845"/>
        </w:tabs>
      </w:pPr>
      <w:r>
        <w:rPr>
          <w:rFonts w:ascii="仿宋" w:hAnsi="仿宋" w:eastAsia="仿宋"/>
        </w:rPr>
        <w:fldChar w:fldCharType="begin"/>
      </w:r>
      <w:r>
        <w:rPr>
          <w:rFonts w:ascii="仿宋" w:hAnsi="仿宋" w:eastAsia="仿宋"/>
        </w:rPr>
        <w:instrText xml:space="preserve"> HYPERLINK \l _Toc8610 </w:instrText>
      </w:r>
      <w:r>
        <w:rPr>
          <w:rFonts w:ascii="仿宋" w:hAnsi="仿宋" w:eastAsia="仿宋"/>
        </w:rPr>
        <w:fldChar w:fldCharType="separate"/>
      </w:r>
      <w:r>
        <w:rPr>
          <w:rFonts w:hint="default" w:ascii="方正楷体_GBK" w:hAnsi="方正楷体_GBK" w:eastAsia="方正楷体_GBK" w:cs="方正楷体_GBK"/>
          <w:szCs w:val="33"/>
        </w:rPr>
        <w:t>（二）项目的效益性分析</w:t>
      </w:r>
      <w:r>
        <w:tab/>
      </w:r>
      <w:r>
        <w:fldChar w:fldCharType="begin"/>
      </w:r>
      <w:r>
        <w:instrText xml:space="preserve"> PAGEREF _Toc8610 </w:instrText>
      </w:r>
      <w:r>
        <w:fldChar w:fldCharType="separate"/>
      </w:r>
      <w:r>
        <w:t>- 19 -</w:t>
      </w:r>
      <w:r>
        <w:fldChar w:fldCharType="end"/>
      </w:r>
      <w:r>
        <w:rPr>
          <w:rFonts w:ascii="仿宋" w:hAnsi="仿宋" w:eastAsia="仿宋"/>
        </w:rPr>
        <w:fldChar w:fldCharType="end"/>
      </w:r>
    </w:p>
    <w:p w14:paraId="3188BC3B">
      <w:pPr>
        <w:pStyle w:val="37"/>
        <w:tabs>
          <w:tab w:val="right" w:leader="dot" w:pos="8845"/>
        </w:tabs>
      </w:pPr>
      <w:r>
        <w:rPr>
          <w:rFonts w:ascii="仿宋" w:hAnsi="仿宋" w:eastAsia="仿宋"/>
        </w:rPr>
        <w:fldChar w:fldCharType="begin"/>
      </w:r>
      <w:r>
        <w:rPr>
          <w:rFonts w:ascii="仿宋" w:hAnsi="仿宋" w:eastAsia="仿宋"/>
        </w:rPr>
        <w:instrText xml:space="preserve"> HYPERLINK \l _Toc22258 </w:instrText>
      </w:r>
      <w:r>
        <w:rPr>
          <w:rFonts w:ascii="仿宋" w:hAnsi="仿宋" w:eastAsia="仿宋"/>
        </w:rPr>
        <w:fldChar w:fldCharType="separate"/>
      </w:r>
      <w:r>
        <w:rPr>
          <w:rFonts w:hint="eastAsia" w:ascii="方正黑体_GBK" w:hAnsi="方正黑体_GBK" w:eastAsia="方正黑体_GBK" w:cs="方正黑体_GBK"/>
          <w:bCs w:val="0"/>
          <w:szCs w:val="33"/>
          <w:lang w:eastAsia="zh-CN"/>
        </w:rPr>
        <w:t>四、</w:t>
      </w:r>
      <w:r>
        <w:rPr>
          <w:rFonts w:hint="default" w:ascii="方正黑体_GBK" w:hAnsi="方正黑体_GBK" w:eastAsia="方正黑体_GBK" w:cs="方正黑体_GBK"/>
          <w:bCs w:val="0"/>
          <w:szCs w:val="33"/>
        </w:rPr>
        <w:t>主要经验及做法、存在的问题和建议</w:t>
      </w:r>
      <w:r>
        <w:tab/>
      </w:r>
      <w:r>
        <w:fldChar w:fldCharType="begin"/>
      </w:r>
      <w:r>
        <w:instrText xml:space="preserve"> PAGEREF _Toc22258 </w:instrText>
      </w:r>
      <w:r>
        <w:fldChar w:fldCharType="separate"/>
      </w:r>
      <w:r>
        <w:t>- 20 -</w:t>
      </w:r>
      <w:r>
        <w:fldChar w:fldCharType="end"/>
      </w:r>
      <w:r>
        <w:rPr>
          <w:rFonts w:ascii="仿宋" w:hAnsi="仿宋" w:eastAsia="仿宋"/>
        </w:rPr>
        <w:fldChar w:fldCharType="end"/>
      </w:r>
    </w:p>
    <w:p w14:paraId="215C9EF2">
      <w:pPr>
        <w:pStyle w:val="37"/>
        <w:tabs>
          <w:tab w:val="right" w:leader="dot" w:pos="8845"/>
        </w:tabs>
      </w:pPr>
    </w:p>
    <w:p w14:paraId="2EF03E9A">
      <w:pPr>
        <w:pStyle w:val="37"/>
        <w:tabs>
          <w:tab w:val="right" w:leader="dot" w:pos="8845"/>
        </w:tabs>
      </w:pPr>
      <w:r>
        <w:rPr>
          <w:rFonts w:ascii="仿宋" w:hAnsi="仿宋" w:eastAsia="仿宋"/>
        </w:rPr>
        <w:fldChar w:fldCharType="begin"/>
      </w:r>
      <w:r>
        <w:rPr>
          <w:rFonts w:ascii="仿宋" w:hAnsi="仿宋" w:eastAsia="仿宋"/>
        </w:rPr>
        <w:instrText xml:space="preserve"> HYPERLINK \l _Toc12278 </w:instrText>
      </w:r>
      <w:r>
        <w:rPr>
          <w:rFonts w:ascii="仿宋" w:hAnsi="仿宋" w:eastAsia="仿宋"/>
        </w:rPr>
        <w:fldChar w:fldCharType="separate"/>
      </w:r>
      <w:r>
        <w:rPr>
          <w:rFonts w:hint="eastAsia" w:ascii="方正黑体_GBK" w:hAnsi="方正黑体_GBK" w:eastAsia="方正黑体_GBK" w:cs="方正黑体_GBK"/>
          <w:bCs w:val="0"/>
          <w:szCs w:val="33"/>
        </w:rPr>
        <w:t>一、项目基本情况</w:t>
      </w:r>
      <w:r>
        <w:tab/>
      </w:r>
      <w:r>
        <w:fldChar w:fldCharType="begin"/>
      </w:r>
      <w:r>
        <w:instrText xml:space="preserve"> PAGEREF _Toc12278 </w:instrText>
      </w:r>
      <w:r>
        <w:fldChar w:fldCharType="separate"/>
      </w:r>
      <w:r>
        <w:t>- 21 -</w:t>
      </w:r>
      <w:r>
        <w:fldChar w:fldCharType="end"/>
      </w:r>
      <w:r>
        <w:rPr>
          <w:rFonts w:ascii="仿宋" w:hAnsi="仿宋" w:eastAsia="仿宋"/>
        </w:rPr>
        <w:fldChar w:fldCharType="end"/>
      </w:r>
    </w:p>
    <w:p w14:paraId="00371CE5">
      <w:pPr>
        <w:pStyle w:val="38"/>
        <w:tabs>
          <w:tab w:val="right" w:leader="dot" w:pos="8845"/>
        </w:tabs>
      </w:pPr>
      <w:r>
        <w:rPr>
          <w:rFonts w:ascii="仿宋" w:hAnsi="仿宋" w:eastAsia="仿宋"/>
        </w:rPr>
        <w:fldChar w:fldCharType="begin"/>
      </w:r>
      <w:r>
        <w:rPr>
          <w:rFonts w:ascii="仿宋" w:hAnsi="仿宋" w:eastAsia="仿宋"/>
        </w:rPr>
        <w:instrText xml:space="preserve"> HYPERLINK \l _Toc6820 </w:instrText>
      </w:r>
      <w:r>
        <w:rPr>
          <w:rFonts w:ascii="仿宋" w:hAnsi="仿宋" w:eastAsia="仿宋"/>
        </w:rPr>
        <w:fldChar w:fldCharType="separate"/>
      </w:r>
      <w:r>
        <w:rPr>
          <w:rFonts w:hint="eastAsia" w:ascii="方正楷体_GBK" w:hAnsi="方正楷体_GBK" w:eastAsia="方正楷体_GBK" w:cs="方正楷体_GBK"/>
          <w:szCs w:val="33"/>
        </w:rPr>
        <w:t>（一）理想背景</w:t>
      </w:r>
      <w:r>
        <w:tab/>
      </w:r>
      <w:r>
        <w:fldChar w:fldCharType="begin"/>
      </w:r>
      <w:r>
        <w:instrText xml:space="preserve"> PAGEREF _Toc6820 </w:instrText>
      </w:r>
      <w:r>
        <w:fldChar w:fldCharType="separate"/>
      </w:r>
      <w:r>
        <w:t>- 21 -</w:t>
      </w:r>
      <w:r>
        <w:fldChar w:fldCharType="end"/>
      </w:r>
      <w:r>
        <w:rPr>
          <w:rFonts w:ascii="仿宋" w:hAnsi="仿宋" w:eastAsia="仿宋"/>
        </w:rPr>
        <w:fldChar w:fldCharType="end"/>
      </w:r>
    </w:p>
    <w:p w14:paraId="2BEAAB12">
      <w:pPr>
        <w:pStyle w:val="38"/>
        <w:tabs>
          <w:tab w:val="right" w:leader="dot" w:pos="8845"/>
        </w:tabs>
      </w:pPr>
      <w:r>
        <w:rPr>
          <w:rFonts w:ascii="仿宋" w:hAnsi="仿宋" w:eastAsia="仿宋"/>
        </w:rPr>
        <w:fldChar w:fldCharType="begin"/>
      </w:r>
      <w:r>
        <w:rPr>
          <w:rFonts w:ascii="仿宋" w:hAnsi="仿宋" w:eastAsia="仿宋"/>
        </w:rPr>
        <w:instrText xml:space="preserve"> HYPERLINK \l _Toc11409 </w:instrText>
      </w:r>
      <w:r>
        <w:rPr>
          <w:rFonts w:ascii="仿宋" w:hAnsi="仿宋" w:eastAsia="仿宋"/>
        </w:rPr>
        <w:fldChar w:fldCharType="separate"/>
      </w:r>
      <w:r>
        <w:rPr>
          <w:rFonts w:hint="default" w:ascii="方正楷体_GBK" w:hAnsi="方正楷体_GBK" w:eastAsia="方正楷体_GBK" w:cs="方正楷体_GBK"/>
          <w:szCs w:val="33"/>
        </w:rPr>
        <w:t>（二）项目绩效目标</w:t>
      </w:r>
      <w:r>
        <w:tab/>
      </w:r>
      <w:r>
        <w:fldChar w:fldCharType="begin"/>
      </w:r>
      <w:r>
        <w:instrText xml:space="preserve"> PAGEREF _Toc11409 </w:instrText>
      </w:r>
      <w:r>
        <w:fldChar w:fldCharType="separate"/>
      </w:r>
      <w:r>
        <w:t>- 21 -</w:t>
      </w:r>
      <w:r>
        <w:fldChar w:fldCharType="end"/>
      </w:r>
      <w:r>
        <w:rPr>
          <w:rFonts w:ascii="仿宋" w:hAnsi="仿宋" w:eastAsia="仿宋"/>
        </w:rPr>
        <w:fldChar w:fldCharType="end"/>
      </w:r>
    </w:p>
    <w:p w14:paraId="2CC8D9FC">
      <w:pPr>
        <w:pStyle w:val="36"/>
        <w:tabs>
          <w:tab w:val="right" w:leader="dot" w:pos="8845"/>
        </w:tabs>
      </w:pPr>
      <w:r>
        <w:rPr>
          <w:rFonts w:ascii="仿宋" w:hAnsi="仿宋" w:eastAsia="仿宋"/>
        </w:rPr>
        <w:fldChar w:fldCharType="begin"/>
      </w:r>
      <w:r>
        <w:rPr>
          <w:rFonts w:ascii="仿宋" w:hAnsi="仿宋" w:eastAsia="仿宋"/>
        </w:rPr>
        <w:instrText xml:space="preserve"> HYPERLINK \l _Toc13170 </w:instrText>
      </w:r>
      <w:r>
        <w:rPr>
          <w:rFonts w:ascii="仿宋" w:hAnsi="仿宋" w:eastAsia="仿宋"/>
        </w:rPr>
        <w:fldChar w:fldCharType="separate"/>
      </w:r>
      <w:r>
        <w:rPr>
          <w:rFonts w:hint="eastAsia" w:ascii="方正小标宋_GBK" w:hAnsi="方正小标宋_GBK" w:eastAsia="方正小标宋_GBK" w:cs="方正小标宋_GBK"/>
          <w:szCs w:val="38"/>
        </w:rPr>
        <w:t>第三部分 名词解释</w:t>
      </w:r>
      <w:r>
        <w:tab/>
      </w:r>
      <w:r>
        <w:fldChar w:fldCharType="begin"/>
      </w:r>
      <w:r>
        <w:instrText xml:space="preserve"> PAGEREF _Toc13170 </w:instrText>
      </w:r>
      <w:r>
        <w:fldChar w:fldCharType="separate"/>
      </w:r>
      <w:r>
        <w:t>- 23 -</w:t>
      </w:r>
      <w:r>
        <w:fldChar w:fldCharType="end"/>
      </w:r>
      <w:r>
        <w:rPr>
          <w:rFonts w:ascii="仿宋" w:hAnsi="仿宋" w:eastAsia="仿宋"/>
        </w:rPr>
        <w:fldChar w:fldCharType="end"/>
      </w:r>
    </w:p>
    <w:p w14:paraId="0A795CEA">
      <w:pPr>
        <w:pStyle w:val="36"/>
        <w:tabs>
          <w:tab w:val="right" w:leader="dot" w:pos="8845"/>
        </w:tabs>
      </w:pPr>
      <w:r>
        <w:rPr>
          <w:rFonts w:ascii="仿宋" w:hAnsi="仿宋" w:eastAsia="仿宋"/>
        </w:rPr>
        <w:fldChar w:fldCharType="begin"/>
      </w:r>
      <w:r>
        <w:rPr>
          <w:rFonts w:ascii="仿宋" w:hAnsi="仿宋" w:eastAsia="仿宋"/>
        </w:rPr>
        <w:instrText xml:space="preserve"> HYPERLINK \l _Toc20864 </w:instrText>
      </w:r>
      <w:r>
        <w:rPr>
          <w:rFonts w:ascii="仿宋" w:hAnsi="仿宋" w:eastAsia="仿宋"/>
        </w:rPr>
        <w:fldChar w:fldCharType="separate"/>
      </w:r>
      <w:r>
        <w:rPr>
          <w:rFonts w:hint="eastAsia" w:ascii="方正小标宋_GBK" w:hAnsi="方正小标宋_GBK" w:eastAsia="方正小标宋_GBK" w:cs="方正小标宋_GBK"/>
        </w:rPr>
        <w:t>第四部分 附件</w:t>
      </w:r>
      <w:r>
        <w:tab/>
      </w:r>
      <w:r>
        <w:fldChar w:fldCharType="begin"/>
      </w:r>
      <w:r>
        <w:instrText xml:space="preserve"> PAGEREF _Toc20864 </w:instrText>
      </w:r>
      <w:r>
        <w:fldChar w:fldCharType="separate"/>
      </w:r>
      <w:r>
        <w:t>- 26 -</w:t>
      </w:r>
      <w:r>
        <w:fldChar w:fldCharType="end"/>
      </w:r>
      <w:r>
        <w:rPr>
          <w:rFonts w:ascii="仿宋" w:hAnsi="仿宋" w:eastAsia="仿宋"/>
        </w:rPr>
        <w:fldChar w:fldCharType="end"/>
      </w:r>
    </w:p>
    <w:p w14:paraId="5CE8A508">
      <w:pPr>
        <w:pStyle w:val="37"/>
        <w:tabs>
          <w:tab w:val="right" w:leader="dot" w:pos="8845"/>
        </w:tabs>
      </w:pPr>
      <w:r>
        <w:rPr>
          <w:rFonts w:ascii="仿宋" w:hAnsi="仿宋" w:eastAsia="仿宋"/>
        </w:rPr>
        <w:fldChar w:fldCharType="begin"/>
      </w:r>
      <w:r>
        <w:rPr>
          <w:rFonts w:ascii="仿宋" w:hAnsi="仿宋" w:eastAsia="仿宋"/>
        </w:rPr>
        <w:instrText xml:space="preserve"> HYPERLINK \l _Toc26741 </w:instrText>
      </w:r>
      <w:r>
        <w:rPr>
          <w:rFonts w:ascii="仿宋" w:hAnsi="仿宋" w:eastAsia="仿宋"/>
        </w:rPr>
        <w:fldChar w:fldCharType="separate"/>
      </w:r>
      <w:r>
        <w:rPr>
          <w:rFonts w:hint="eastAsia" w:ascii="方正黑体_GBK" w:hAnsi="方正黑体_GBK" w:eastAsia="方正黑体_GBK" w:cs="方正黑体_GBK"/>
          <w:bCs w:val="0"/>
          <w:szCs w:val="33"/>
        </w:rPr>
        <w:t>一、部门概况</w:t>
      </w:r>
      <w:r>
        <w:tab/>
      </w:r>
      <w:r>
        <w:fldChar w:fldCharType="begin"/>
      </w:r>
      <w:r>
        <w:instrText xml:space="preserve"> PAGEREF _Toc26741 </w:instrText>
      </w:r>
      <w:r>
        <w:fldChar w:fldCharType="separate"/>
      </w:r>
      <w:r>
        <w:t>- 26 -</w:t>
      </w:r>
      <w:r>
        <w:fldChar w:fldCharType="end"/>
      </w:r>
      <w:r>
        <w:rPr>
          <w:rFonts w:ascii="仿宋" w:hAnsi="仿宋" w:eastAsia="仿宋"/>
        </w:rPr>
        <w:fldChar w:fldCharType="end"/>
      </w:r>
    </w:p>
    <w:p w14:paraId="7DA6C532">
      <w:pPr>
        <w:pStyle w:val="37"/>
        <w:tabs>
          <w:tab w:val="right" w:leader="dot" w:pos="8845"/>
        </w:tabs>
      </w:pPr>
      <w:r>
        <w:rPr>
          <w:rFonts w:ascii="仿宋" w:hAnsi="仿宋" w:eastAsia="仿宋"/>
        </w:rPr>
        <w:fldChar w:fldCharType="begin"/>
      </w:r>
      <w:r>
        <w:rPr>
          <w:rFonts w:ascii="仿宋" w:hAnsi="仿宋" w:eastAsia="仿宋"/>
        </w:rPr>
        <w:instrText xml:space="preserve"> HYPERLINK \l _Toc29866 </w:instrText>
      </w:r>
      <w:r>
        <w:rPr>
          <w:rFonts w:ascii="仿宋" w:hAnsi="仿宋" w:eastAsia="仿宋"/>
        </w:rPr>
        <w:fldChar w:fldCharType="separate"/>
      </w:r>
      <w:r>
        <w:rPr>
          <w:rFonts w:hint="eastAsia" w:ascii="方正楷体_GBK" w:hAnsi="方正楷体_GBK" w:eastAsia="方正楷体_GBK" w:cs="方正楷体_GBK"/>
          <w:kern w:val="0"/>
          <w:szCs w:val="33"/>
          <w:shd w:val="clear" w:color="auto" w:fill="FFFFFF"/>
          <w:lang w:val="zh-CN"/>
        </w:rPr>
        <w:t>（一）机构组成</w:t>
      </w:r>
      <w:r>
        <w:tab/>
      </w:r>
      <w:r>
        <w:fldChar w:fldCharType="begin"/>
      </w:r>
      <w:r>
        <w:instrText xml:space="preserve"> PAGEREF _Toc29866 </w:instrText>
      </w:r>
      <w:r>
        <w:fldChar w:fldCharType="separate"/>
      </w:r>
      <w:r>
        <w:t>- 26 -</w:t>
      </w:r>
      <w:r>
        <w:fldChar w:fldCharType="end"/>
      </w:r>
      <w:r>
        <w:rPr>
          <w:rFonts w:ascii="仿宋" w:hAnsi="仿宋" w:eastAsia="仿宋"/>
        </w:rPr>
        <w:fldChar w:fldCharType="end"/>
      </w:r>
    </w:p>
    <w:p w14:paraId="612B5CE8">
      <w:pPr>
        <w:pStyle w:val="37"/>
        <w:tabs>
          <w:tab w:val="right" w:leader="dot" w:pos="8845"/>
        </w:tabs>
      </w:pPr>
      <w:r>
        <w:rPr>
          <w:rFonts w:ascii="仿宋" w:hAnsi="仿宋" w:eastAsia="仿宋"/>
        </w:rPr>
        <w:fldChar w:fldCharType="begin"/>
      </w:r>
      <w:r>
        <w:rPr>
          <w:rFonts w:ascii="仿宋" w:hAnsi="仿宋" w:eastAsia="仿宋"/>
        </w:rPr>
        <w:instrText xml:space="preserve"> HYPERLINK \l _Toc12158 </w:instrText>
      </w:r>
      <w:r>
        <w:rPr>
          <w:rFonts w:ascii="仿宋" w:hAnsi="仿宋" w:eastAsia="仿宋"/>
        </w:rPr>
        <w:fldChar w:fldCharType="separate"/>
      </w:r>
      <w:r>
        <w:rPr>
          <w:rFonts w:hint="default" w:ascii="方正楷体_GBK" w:hAnsi="方正楷体_GBK" w:eastAsia="方正楷体_GBK" w:cs="方正楷体_GBK"/>
          <w:kern w:val="0"/>
          <w:szCs w:val="33"/>
          <w:shd w:val="clear" w:color="auto" w:fill="FFFFFF"/>
          <w:lang w:val="zh-CN"/>
        </w:rPr>
        <w:t>（二）机构职能</w:t>
      </w:r>
      <w:r>
        <w:tab/>
      </w:r>
      <w:r>
        <w:fldChar w:fldCharType="begin"/>
      </w:r>
      <w:r>
        <w:instrText xml:space="preserve"> PAGEREF _Toc12158 </w:instrText>
      </w:r>
      <w:r>
        <w:fldChar w:fldCharType="separate"/>
      </w:r>
      <w:r>
        <w:t>- 26 -</w:t>
      </w:r>
      <w:r>
        <w:fldChar w:fldCharType="end"/>
      </w:r>
      <w:r>
        <w:rPr>
          <w:rFonts w:ascii="仿宋" w:hAnsi="仿宋" w:eastAsia="仿宋"/>
        </w:rPr>
        <w:fldChar w:fldCharType="end"/>
      </w:r>
    </w:p>
    <w:p w14:paraId="24324B76">
      <w:pPr>
        <w:pStyle w:val="37"/>
        <w:tabs>
          <w:tab w:val="right" w:leader="dot" w:pos="8845"/>
        </w:tabs>
      </w:pPr>
      <w:r>
        <w:rPr>
          <w:rFonts w:ascii="仿宋" w:hAnsi="仿宋" w:eastAsia="仿宋"/>
        </w:rPr>
        <w:fldChar w:fldCharType="begin"/>
      </w:r>
      <w:r>
        <w:rPr>
          <w:rFonts w:ascii="仿宋" w:hAnsi="仿宋" w:eastAsia="仿宋"/>
        </w:rPr>
        <w:instrText xml:space="preserve"> HYPERLINK \l _Toc10397 </w:instrText>
      </w:r>
      <w:r>
        <w:rPr>
          <w:rFonts w:ascii="仿宋" w:hAnsi="仿宋" w:eastAsia="仿宋"/>
        </w:rPr>
        <w:fldChar w:fldCharType="separate"/>
      </w:r>
      <w:r>
        <w:rPr>
          <w:rFonts w:hint="default" w:ascii="方正楷体_GBK" w:hAnsi="方正楷体_GBK" w:eastAsia="方正楷体_GBK" w:cs="方正楷体_GBK"/>
          <w:kern w:val="0"/>
          <w:szCs w:val="33"/>
          <w:shd w:val="clear" w:color="auto" w:fill="FFFFFF"/>
          <w:lang w:val="zh-CN"/>
        </w:rPr>
        <w:t>（</w:t>
      </w:r>
      <w:r>
        <w:rPr>
          <w:rFonts w:hint="eastAsia" w:ascii="方正楷体_GBK" w:hAnsi="方正楷体_GBK" w:eastAsia="方正楷体_GBK" w:cs="方正楷体_GBK"/>
          <w:kern w:val="0"/>
          <w:szCs w:val="33"/>
          <w:shd w:val="clear" w:color="auto" w:fill="FFFFFF"/>
          <w:lang w:val="zh-CN"/>
        </w:rPr>
        <w:t>三</w:t>
      </w:r>
      <w:r>
        <w:rPr>
          <w:rFonts w:hint="default" w:ascii="方正楷体_GBK" w:hAnsi="方正楷体_GBK" w:eastAsia="方正楷体_GBK" w:cs="方正楷体_GBK"/>
          <w:kern w:val="0"/>
          <w:szCs w:val="33"/>
          <w:shd w:val="clear" w:color="auto" w:fill="FFFFFF"/>
          <w:lang w:val="zh-CN"/>
        </w:rPr>
        <w:t>）人员概况</w:t>
      </w:r>
      <w:r>
        <w:tab/>
      </w:r>
      <w:r>
        <w:fldChar w:fldCharType="begin"/>
      </w:r>
      <w:r>
        <w:instrText xml:space="preserve"> PAGEREF _Toc10397 </w:instrText>
      </w:r>
      <w:r>
        <w:fldChar w:fldCharType="separate"/>
      </w:r>
      <w:r>
        <w:t>- 28 -</w:t>
      </w:r>
      <w:r>
        <w:fldChar w:fldCharType="end"/>
      </w:r>
      <w:r>
        <w:rPr>
          <w:rFonts w:ascii="仿宋" w:hAnsi="仿宋" w:eastAsia="仿宋"/>
        </w:rPr>
        <w:fldChar w:fldCharType="end"/>
      </w:r>
    </w:p>
    <w:p w14:paraId="31751D71">
      <w:pPr>
        <w:pStyle w:val="37"/>
        <w:tabs>
          <w:tab w:val="right" w:leader="dot" w:pos="8845"/>
        </w:tabs>
      </w:pPr>
      <w:r>
        <w:rPr>
          <w:rFonts w:ascii="仿宋" w:hAnsi="仿宋" w:eastAsia="仿宋"/>
        </w:rPr>
        <w:fldChar w:fldCharType="begin"/>
      </w:r>
      <w:r>
        <w:rPr>
          <w:rFonts w:ascii="仿宋" w:hAnsi="仿宋" w:eastAsia="仿宋"/>
        </w:rPr>
        <w:instrText xml:space="preserve"> HYPERLINK \l _Toc10394 </w:instrText>
      </w:r>
      <w:r>
        <w:rPr>
          <w:rFonts w:ascii="仿宋" w:hAnsi="仿宋" w:eastAsia="仿宋"/>
        </w:rPr>
        <w:fldChar w:fldCharType="separate"/>
      </w:r>
      <w:r>
        <w:rPr>
          <w:rFonts w:hint="default" w:ascii="方正黑体_GBK" w:hAnsi="方正黑体_GBK" w:eastAsia="方正黑体_GBK" w:cs="方正黑体_GBK"/>
          <w:bCs w:val="0"/>
          <w:szCs w:val="33"/>
        </w:rPr>
        <w:t>二、部门资金基本情况</w:t>
      </w:r>
      <w:r>
        <w:tab/>
      </w:r>
      <w:r>
        <w:fldChar w:fldCharType="begin"/>
      </w:r>
      <w:r>
        <w:instrText xml:space="preserve"> PAGEREF _Toc10394 </w:instrText>
      </w:r>
      <w:r>
        <w:fldChar w:fldCharType="separate"/>
      </w:r>
      <w:r>
        <w:t>- 28 -</w:t>
      </w:r>
      <w:r>
        <w:fldChar w:fldCharType="end"/>
      </w:r>
      <w:r>
        <w:rPr>
          <w:rFonts w:ascii="仿宋" w:hAnsi="仿宋" w:eastAsia="仿宋"/>
        </w:rPr>
        <w:fldChar w:fldCharType="end"/>
      </w:r>
    </w:p>
    <w:p w14:paraId="60B8EC29">
      <w:pPr>
        <w:pStyle w:val="37"/>
        <w:tabs>
          <w:tab w:val="right" w:leader="dot" w:pos="8845"/>
        </w:tabs>
      </w:pPr>
      <w:r>
        <w:rPr>
          <w:rFonts w:ascii="仿宋" w:hAnsi="仿宋" w:eastAsia="仿宋"/>
        </w:rPr>
        <w:fldChar w:fldCharType="begin"/>
      </w:r>
      <w:r>
        <w:rPr>
          <w:rFonts w:ascii="仿宋" w:hAnsi="仿宋" w:eastAsia="仿宋"/>
        </w:rPr>
        <w:instrText xml:space="preserve"> HYPERLINK \l _Toc28163 </w:instrText>
      </w:r>
      <w:r>
        <w:rPr>
          <w:rFonts w:ascii="仿宋" w:hAnsi="仿宋" w:eastAsia="仿宋"/>
        </w:rPr>
        <w:fldChar w:fldCharType="separate"/>
      </w:r>
      <w:r>
        <w:rPr>
          <w:rFonts w:hint="default" w:ascii="方正楷体_GBK" w:hAnsi="方正楷体_GBK" w:eastAsia="方正楷体_GBK" w:cs="方正楷体_GBK"/>
          <w:kern w:val="0"/>
          <w:szCs w:val="33"/>
          <w:shd w:val="clear" w:color="auto" w:fill="FFFFFF"/>
          <w:lang w:val="zh-CN"/>
        </w:rPr>
        <w:t>（一）年初部门预算安排及支出情况</w:t>
      </w:r>
      <w:r>
        <w:tab/>
      </w:r>
      <w:r>
        <w:fldChar w:fldCharType="begin"/>
      </w:r>
      <w:r>
        <w:instrText xml:space="preserve"> PAGEREF _Toc28163 </w:instrText>
      </w:r>
      <w:r>
        <w:fldChar w:fldCharType="separate"/>
      </w:r>
      <w:r>
        <w:t>- 28 -</w:t>
      </w:r>
      <w:r>
        <w:fldChar w:fldCharType="end"/>
      </w:r>
      <w:r>
        <w:rPr>
          <w:rFonts w:ascii="仿宋" w:hAnsi="仿宋" w:eastAsia="仿宋"/>
        </w:rPr>
        <w:fldChar w:fldCharType="end"/>
      </w:r>
    </w:p>
    <w:p w14:paraId="478D01E2">
      <w:pPr>
        <w:pStyle w:val="37"/>
        <w:tabs>
          <w:tab w:val="right" w:leader="dot" w:pos="8845"/>
        </w:tabs>
      </w:pPr>
      <w:r>
        <w:rPr>
          <w:rFonts w:ascii="仿宋" w:hAnsi="仿宋" w:eastAsia="仿宋"/>
        </w:rPr>
        <w:fldChar w:fldCharType="begin"/>
      </w:r>
      <w:r>
        <w:rPr>
          <w:rFonts w:ascii="仿宋" w:hAnsi="仿宋" w:eastAsia="仿宋"/>
        </w:rPr>
        <w:instrText xml:space="preserve"> HYPERLINK \l _Toc30556 </w:instrText>
      </w:r>
      <w:r>
        <w:rPr>
          <w:rFonts w:ascii="仿宋" w:hAnsi="仿宋" w:eastAsia="仿宋"/>
        </w:rPr>
        <w:fldChar w:fldCharType="separate"/>
      </w:r>
      <w:r>
        <w:rPr>
          <w:rFonts w:hint="eastAsia" w:ascii="方正黑体_GBK" w:hAnsi="方正黑体_GBK" w:eastAsia="方正黑体_GBK" w:cs="方正黑体_GBK"/>
          <w:bCs w:val="0"/>
          <w:szCs w:val="33"/>
        </w:rPr>
        <w:t>三、绩效目标完成情况分析</w:t>
      </w:r>
      <w:r>
        <w:tab/>
      </w:r>
      <w:r>
        <w:fldChar w:fldCharType="begin"/>
      </w:r>
      <w:r>
        <w:instrText xml:space="preserve"> PAGEREF _Toc30556 </w:instrText>
      </w:r>
      <w:r>
        <w:fldChar w:fldCharType="separate"/>
      </w:r>
      <w:r>
        <w:t>- 30 -</w:t>
      </w:r>
      <w:r>
        <w:fldChar w:fldCharType="end"/>
      </w:r>
      <w:r>
        <w:rPr>
          <w:rFonts w:ascii="仿宋" w:hAnsi="仿宋" w:eastAsia="仿宋"/>
        </w:rPr>
        <w:fldChar w:fldCharType="end"/>
      </w:r>
    </w:p>
    <w:p w14:paraId="2D7E13D5">
      <w:pPr>
        <w:pStyle w:val="37"/>
        <w:tabs>
          <w:tab w:val="right" w:leader="dot" w:pos="8845"/>
        </w:tabs>
      </w:pPr>
      <w:r>
        <w:rPr>
          <w:rFonts w:ascii="仿宋" w:hAnsi="仿宋" w:eastAsia="仿宋"/>
        </w:rPr>
        <w:fldChar w:fldCharType="begin"/>
      </w:r>
      <w:r>
        <w:rPr>
          <w:rFonts w:ascii="仿宋" w:hAnsi="仿宋" w:eastAsia="仿宋"/>
        </w:rPr>
        <w:instrText xml:space="preserve"> HYPERLINK \l _Toc4485 </w:instrText>
      </w:r>
      <w:r>
        <w:rPr>
          <w:rFonts w:ascii="仿宋" w:hAnsi="仿宋" w:eastAsia="仿宋"/>
        </w:rPr>
        <w:fldChar w:fldCharType="separate"/>
      </w:r>
      <w:r>
        <w:rPr>
          <w:rFonts w:hint="default" w:ascii="方正楷体_GBK" w:hAnsi="方正楷体_GBK" w:eastAsia="方正楷体_GBK" w:cs="方正楷体_GBK"/>
          <w:kern w:val="0"/>
          <w:szCs w:val="33"/>
          <w:shd w:val="clear" w:color="auto" w:fill="FFFFFF"/>
          <w:lang w:val="zh-CN"/>
        </w:rPr>
        <w:t>（一）县级财政资金绩效目标完成情况</w:t>
      </w:r>
      <w:r>
        <w:tab/>
      </w:r>
      <w:r>
        <w:fldChar w:fldCharType="begin"/>
      </w:r>
      <w:r>
        <w:instrText xml:space="preserve"> PAGEREF _Toc4485 </w:instrText>
      </w:r>
      <w:r>
        <w:fldChar w:fldCharType="separate"/>
      </w:r>
      <w:r>
        <w:t>- 30 -</w:t>
      </w:r>
      <w:r>
        <w:fldChar w:fldCharType="end"/>
      </w:r>
      <w:r>
        <w:rPr>
          <w:rFonts w:ascii="仿宋" w:hAnsi="仿宋" w:eastAsia="仿宋"/>
        </w:rPr>
        <w:fldChar w:fldCharType="end"/>
      </w:r>
    </w:p>
    <w:p w14:paraId="033A692B">
      <w:pPr>
        <w:pStyle w:val="37"/>
        <w:tabs>
          <w:tab w:val="right" w:leader="dot" w:pos="8845"/>
        </w:tabs>
      </w:pPr>
      <w:r>
        <w:rPr>
          <w:rFonts w:ascii="仿宋" w:hAnsi="仿宋" w:eastAsia="仿宋"/>
        </w:rPr>
        <w:fldChar w:fldCharType="begin"/>
      </w:r>
      <w:r>
        <w:rPr>
          <w:rFonts w:ascii="仿宋" w:hAnsi="仿宋" w:eastAsia="仿宋"/>
        </w:rPr>
        <w:instrText xml:space="preserve"> HYPERLINK \l _Toc6046 </w:instrText>
      </w:r>
      <w:r>
        <w:rPr>
          <w:rFonts w:ascii="仿宋" w:hAnsi="仿宋" w:eastAsia="仿宋"/>
        </w:rPr>
        <w:fldChar w:fldCharType="separate"/>
      </w:r>
      <w:r>
        <w:rPr>
          <w:rFonts w:hint="default" w:ascii="方正楷体_GBK" w:hAnsi="方正楷体_GBK" w:eastAsia="方正楷体_GBK" w:cs="方正楷体_GBK"/>
          <w:kern w:val="0"/>
          <w:szCs w:val="33"/>
          <w:shd w:val="clear" w:color="auto" w:fill="FFFFFF"/>
          <w:lang w:val="zh-CN"/>
        </w:rPr>
        <w:t>（二）上级专项（项目）资金绩效目标完成情况</w:t>
      </w:r>
      <w:r>
        <w:tab/>
      </w:r>
      <w:r>
        <w:fldChar w:fldCharType="begin"/>
      </w:r>
      <w:r>
        <w:instrText xml:space="preserve"> PAGEREF _Toc6046 </w:instrText>
      </w:r>
      <w:r>
        <w:fldChar w:fldCharType="separate"/>
      </w:r>
      <w:r>
        <w:t>- 32 -</w:t>
      </w:r>
      <w:r>
        <w:fldChar w:fldCharType="end"/>
      </w:r>
      <w:r>
        <w:rPr>
          <w:rFonts w:ascii="仿宋" w:hAnsi="仿宋" w:eastAsia="仿宋"/>
        </w:rPr>
        <w:fldChar w:fldCharType="end"/>
      </w:r>
    </w:p>
    <w:p w14:paraId="5D0CCB51">
      <w:pPr>
        <w:pStyle w:val="37"/>
        <w:tabs>
          <w:tab w:val="right" w:leader="dot" w:pos="8845"/>
        </w:tabs>
      </w:pPr>
      <w:r>
        <w:rPr>
          <w:rFonts w:ascii="仿宋" w:hAnsi="仿宋" w:eastAsia="仿宋"/>
        </w:rPr>
        <w:fldChar w:fldCharType="begin"/>
      </w:r>
      <w:r>
        <w:rPr>
          <w:rFonts w:ascii="仿宋" w:hAnsi="仿宋" w:eastAsia="仿宋"/>
        </w:rPr>
        <w:instrText xml:space="preserve"> HYPERLINK \l _Toc25096 </w:instrText>
      </w:r>
      <w:r>
        <w:rPr>
          <w:rFonts w:ascii="仿宋" w:hAnsi="仿宋" w:eastAsia="仿宋"/>
        </w:rPr>
        <w:fldChar w:fldCharType="separate"/>
      </w:r>
      <w:r>
        <w:rPr>
          <w:rFonts w:hint="default" w:ascii="方正楷体_GBK" w:hAnsi="方正楷体_GBK" w:eastAsia="方正楷体_GBK" w:cs="方正楷体_GBK"/>
          <w:kern w:val="0"/>
          <w:szCs w:val="33"/>
          <w:shd w:val="clear" w:color="auto" w:fill="FFFFFF"/>
          <w:lang w:val="zh-CN"/>
        </w:rPr>
        <w:t>（三）其他需要说明的情况</w:t>
      </w:r>
      <w:r>
        <w:tab/>
      </w:r>
      <w:r>
        <w:fldChar w:fldCharType="begin"/>
      </w:r>
      <w:r>
        <w:instrText xml:space="preserve"> PAGEREF _Toc25096 </w:instrText>
      </w:r>
      <w:r>
        <w:fldChar w:fldCharType="separate"/>
      </w:r>
      <w:r>
        <w:t>- 33 -</w:t>
      </w:r>
      <w:r>
        <w:fldChar w:fldCharType="end"/>
      </w:r>
      <w:r>
        <w:rPr>
          <w:rFonts w:ascii="仿宋" w:hAnsi="仿宋" w:eastAsia="仿宋"/>
        </w:rPr>
        <w:fldChar w:fldCharType="end"/>
      </w:r>
    </w:p>
    <w:p w14:paraId="6B256CB1">
      <w:pPr>
        <w:pStyle w:val="37"/>
        <w:tabs>
          <w:tab w:val="right" w:leader="dot" w:pos="8845"/>
        </w:tabs>
      </w:pPr>
      <w:r>
        <w:rPr>
          <w:rFonts w:ascii="仿宋" w:hAnsi="仿宋" w:eastAsia="仿宋"/>
        </w:rPr>
        <w:fldChar w:fldCharType="begin"/>
      </w:r>
      <w:r>
        <w:rPr>
          <w:rFonts w:ascii="仿宋" w:hAnsi="仿宋" w:eastAsia="仿宋"/>
        </w:rPr>
        <w:instrText xml:space="preserve"> HYPERLINK \l _Toc7517 </w:instrText>
      </w:r>
      <w:r>
        <w:rPr>
          <w:rFonts w:ascii="仿宋" w:hAnsi="仿宋" w:eastAsia="仿宋"/>
        </w:rPr>
        <w:fldChar w:fldCharType="separate"/>
      </w:r>
      <w:r>
        <w:rPr>
          <w:rFonts w:hint="default" w:ascii="方正楷体_GBK" w:hAnsi="方正楷体_GBK" w:eastAsia="方正楷体_GBK" w:cs="方正楷体_GBK"/>
          <w:kern w:val="0"/>
          <w:szCs w:val="33"/>
          <w:shd w:val="clear" w:color="auto" w:fill="FFFFFF"/>
          <w:lang w:val="zh-CN"/>
        </w:rPr>
        <w:t>（四）自评结论</w:t>
      </w:r>
      <w:r>
        <w:tab/>
      </w:r>
      <w:r>
        <w:fldChar w:fldCharType="begin"/>
      </w:r>
      <w:r>
        <w:instrText xml:space="preserve"> PAGEREF _Toc7517 </w:instrText>
      </w:r>
      <w:r>
        <w:fldChar w:fldCharType="separate"/>
      </w:r>
      <w:r>
        <w:t>- 33 -</w:t>
      </w:r>
      <w:r>
        <w:fldChar w:fldCharType="end"/>
      </w:r>
      <w:r>
        <w:rPr>
          <w:rFonts w:ascii="仿宋" w:hAnsi="仿宋" w:eastAsia="仿宋"/>
        </w:rPr>
        <w:fldChar w:fldCharType="end"/>
      </w:r>
    </w:p>
    <w:p w14:paraId="44DAB81A">
      <w:pPr>
        <w:pStyle w:val="37"/>
        <w:tabs>
          <w:tab w:val="right" w:leader="dot" w:pos="8845"/>
        </w:tabs>
      </w:pPr>
      <w:r>
        <w:rPr>
          <w:rFonts w:ascii="仿宋" w:hAnsi="仿宋" w:eastAsia="仿宋"/>
        </w:rPr>
        <w:fldChar w:fldCharType="begin"/>
      </w:r>
      <w:r>
        <w:rPr>
          <w:rFonts w:ascii="仿宋" w:hAnsi="仿宋" w:eastAsia="仿宋"/>
        </w:rPr>
        <w:instrText xml:space="preserve"> HYPERLINK \l _Toc18836 </w:instrText>
      </w:r>
      <w:r>
        <w:rPr>
          <w:rFonts w:ascii="仿宋" w:hAnsi="仿宋" w:eastAsia="仿宋"/>
        </w:rPr>
        <w:fldChar w:fldCharType="separate"/>
      </w:r>
      <w:r>
        <w:rPr>
          <w:rFonts w:hint="default" w:ascii="方正楷体_GBK" w:hAnsi="方正楷体_GBK" w:eastAsia="方正楷体_GBK" w:cs="方正楷体_GBK"/>
          <w:kern w:val="0"/>
          <w:szCs w:val="33"/>
          <w:shd w:val="clear" w:color="auto" w:fill="FFFFFF"/>
          <w:lang w:val="zh-CN"/>
        </w:rPr>
        <w:t>（五）偏离绩效目标的原因和下一步改进措施</w:t>
      </w:r>
      <w:r>
        <w:tab/>
      </w:r>
      <w:r>
        <w:fldChar w:fldCharType="begin"/>
      </w:r>
      <w:r>
        <w:instrText xml:space="preserve"> PAGEREF _Toc18836 </w:instrText>
      </w:r>
      <w:r>
        <w:fldChar w:fldCharType="separate"/>
      </w:r>
      <w:r>
        <w:t>- 33 -</w:t>
      </w:r>
      <w:r>
        <w:fldChar w:fldCharType="end"/>
      </w:r>
      <w:r>
        <w:rPr>
          <w:rFonts w:ascii="仿宋" w:hAnsi="仿宋" w:eastAsia="仿宋"/>
        </w:rPr>
        <w:fldChar w:fldCharType="end"/>
      </w:r>
    </w:p>
    <w:p w14:paraId="5AF86149">
      <w:pPr>
        <w:pStyle w:val="37"/>
        <w:tabs>
          <w:tab w:val="right" w:leader="dot" w:pos="8845"/>
        </w:tabs>
      </w:pPr>
      <w:r>
        <w:rPr>
          <w:rFonts w:ascii="仿宋" w:hAnsi="仿宋" w:eastAsia="仿宋"/>
        </w:rPr>
        <w:fldChar w:fldCharType="begin"/>
      </w:r>
      <w:r>
        <w:rPr>
          <w:rFonts w:ascii="仿宋" w:hAnsi="仿宋" w:eastAsia="仿宋"/>
        </w:rPr>
        <w:instrText xml:space="preserve"> HYPERLINK \l _Toc24696 </w:instrText>
      </w:r>
      <w:r>
        <w:rPr>
          <w:rFonts w:ascii="仿宋" w:hAnsi="仿宋" w:eastAsia="仿宋"/>
        </w:rPr>
        <w:fldChar w:fldCharType="separate"/>
      </w:r>
      <w:r>
        <w:rPr>
          <w:rFonts w:hint="default" w:ascii="方正黑体_GBK" w:hAnsi="方正黑体_GBK" w:eastAsia="方正黑体_GBK" w:cs="方正黑体_GBK"/>
          <w:bCs w:val="0"/>
          <w:szCs w:val="33"/>
        </w:rPr>
        <w:t>四、绩效自评结果拟应用和公开公示情况</w:t>
      </w:r>
      <w:r>
        <w:tab/>
      </w:r>
      <w:r>
        <w:fldChar w:fldCharType="begin"/>
      </w:r>
      <w:r>
        <w:instrText xml:space="preserve"> PAGEREF _Toc24696 </w:instrText>
      </w:r>
      <w:r>
        <w:fldChar w:fldCharType="separate"/>
      </w:r>
      <w:r>
        <w:t>- 34 -</w:t>
      </w:r>
      <w:r>
        <w:fldChar w:fldCharType="end"/>
      </w:r>
      <w:r>
        <w:rPr>
          <w:rFonts w:ascii="仿宋" w:hAnsi="仿宋" w:eastAsia="仿宋"/>
        </w:rPr>
        <w:fldChar w:fldCharType="end"/>
      </w:r>
    </w:p>
    <w:p w14:paraId="15CDE742">
      <w:pPr>
        <w:pStyle w:val="37"/>
        <w:tabs>
          <w:tab w:val="right" w:leader="dot" w:pos="8845"/>
        </w:tabs>
      </w:pPr>
      <w:r>
        <w:rPr>
          <w:rFonts w:ascii="仿宋" w:hAnsi="仿宋" w:eastAsia="仿宋"/>
        </w:rPr>
        <w:fldChar w:fldCharType="begin"/>
      </w:r>
      <w:r>
        <w:rPr>
          <w:rFonts w:ascii="仿宋" w:hAnsi="仿宋" w:eastAsia="仿宋"/>
        </w:rPr>
        <w:instrText xml:space="preserve"> HYPERLINK \l _Toc26273 </w:instrText>
      </w:r>
      <w:r>
        <w:rPr>
          <w:rFonts w:ascii="仿宋" w:hAnsi="仿宋" w:eastAsia="仿宋"/>
        </w:rPr>
        <w:fldChar w:fldCharType="separate"/>
      </w:r>
      <w:r>
        <w:rPr>
          <w:rFonts w:hint="default" w:ascii="方正楷体_GBK" w:hAnsi="方正楷体_GBK" w:eastAsia="方正楷体_GBK" w:cs="方正楷体_GBK"/>
          <w:kern w:val="0"/>
          <w:szCs w:val="33"/>
          <w:shd w:val="clear" w:color="auto" w:fill="FFFFFF"/>
          <w:lang w:val="zh-CN"/>
        </w:rPr>
        <w:t>（一）绩效自评结果拟应用</w:t>
      </w:r>
      <w:r>
        <w:tab/>
      </w:r>
      <w:r>
        <w:fldChar w:fldCharType="begin"/>
      </w:r>
      <w:r>
        <w:instrText xml:space="preserve"> PAGEREF _Toc26273 </w:instrText>
      </w:r>
      <w:r>
        <w:fldChar w:fldCharType="separate"/>
      </w:r>
      <w:r>
        <w:t>- 34 -</w:t>
      </w:r>
      <w:r>
        <w:fldChar w:fldCharType="end"/>
      </w:r>
      <w:r>
        <w:rPr>
          <w:rFonts w:ascii="仿宋" w:hAnsi="仿宋" w:eastAsia="仿宋"/>
        </w:rPr>
        <w:fldChar w:fldCharType="end"/>
      </w:r>
    </w:p>
    <w:p w14:paraId="3F32EAE6">
      <w:pPr>
        <w:pStyle w:val="37"/>
        <w:tabs>
          <w:tab w:val="right" w:leader="dot" w:pos="8845"/>
        </w:tabs>
      </w:pPr>
      <w:r>
        <w:rPr>
          <w:rFonts w:ascii="仿宋" w:hAnsi="仿宋" w:eastAsia="仿宋"/>
        </w:rPr>
        <w:fldChar w:fldCharType="begin"/>
      </w:r>
      <w:r>
        <w:rPr>
          <w:rFonts w:ascii="仿宋" w:hAnsi="仿宋" w:eastAsia="仿宋"/>
        </w:rPr>
        <w:instrText xml:space="preserve"> HYPERLINK \l _Toc23381 </w:instrText>
      </w:r>
      <w:r>
        <w:rPr>
          <w:rFonts w:ascii="仿宋" w:hAnsi="仿宋" w:eastAsia="仿宋"/>
        </w:rPr>
        <w:fldChar w:fldCharType="separate"/>
      </w:r>
      <w:r>
        <w:rPr>
          <w:rFonts w:hint="default" w:ascii="方正楷体_GBK" w:hAnsi="方正楷体_GBK" w:eastAsia="方正楷体_GBK" w:cs="方正楷体_GBK"/>
          <w:kern w:val="0"/>
          <w:szCs w:val="33"/>
          <w:shd w:val="clear" w:color="auto" w:fill="FFFFFF"/>
          <w:lang w:val="zh-CN"/>
        </w:rPr>
        <w:t>（二）公开公示情况</w:t>
      </w:r>
      <w:r>
        <w:tab/>
      </w:r>
      <w:r>
        <w:fldChar w:fldCharType="begin"/>
      </w:r>
      <w:r>
        <w:instrText xml:space="preserve"> PAGEREF _Toc23381 </w:instrText>
      </w:r>
      <w:r>
        <w:fldChar w:fldCharType="separate"/>
      </w:r>
      <w:r>
        <w:t>- 35 -</w:t>
      </w:r>
      <w:r>
        <w:fldChar w:fldCharType="end"/>
      </w:r>
      <w:r>
        <w:rPr>
          <w:rFonts w:ascii="仿宋" w:hAnsi="仿宋" w:eastAsia="仿宋"/>
        </w:rPr>
        <w:fldChar w:fldCharType="end"/>
      </w:r>
    </w:p>
    <w:p w14:paraId="48D47D17">
      <w:pPr>
        <w:pStyle w:val="36"/>
        <w:tabs>
          <w:tab w:val="right" w:leader="dot" w:pos="8845"/>
        </w:tabs>
      </w:pPr>
      <w:r>
        <w:rPr>
          <w:rFonts w:ascii="仿宋" w:hAnsi="仿宋" w:eastAsia="仿宋"/>
        </w:rPr>
        <w:fldChar w:fldCharType="begin"/>
      </w:r>
      <w:r>
        <w:rPr>
          <w:rFonts w:ascii="仿宋" w:hAnsi="仿宋" w:eastAsia="仿宋"/>
        </w:rPr>
        <w:instrText xml:space="preserve"> HYPERLINK \l _Toc28833 </w:instrText>
      </w:r>
      <w:r>
        <w:rPr>
          <w:rFonts w:ascii="仿宋" w:hAnsi="仿宋" w:eastAsia="仿宋"/>
        </w:rPr>
        <w:fldChar w:fldCharType="separate"/>
      </w:r>
      <w:r>
        <w:rPr>
          <w:rFonts w:hint="default" w:ascii="Times New Roman" w:hAnsi="Times New Roman" w:eastAsia="方正小标宋_GBK" w:cs="Times New Roman"/>
          <w:kern w:val="0"/>
          <w:szCs w:val="38"/>
        </w:rPr>
        <w:t>购买垃圾车</w:t>
      </w:r>
      <w:r>
        <w:rPr>
          <w:rFonts w:hint="default" w:ascii="Times New Roman" w:hAnsi="Times New Roman" w:eastAsia="方正小标宋_GBK" w:cs="Times New Roman"/>
          <w:kern w:val="0"/>
          <w:szCs w:val="38"/>
          <w:lang w:val="zh-CN"/>
        </w:rPr>
        <w:t>项目</w:t>
      </w:r>
      <w:r>
        <w:rPr>
          <w:rFonts w:hint="default" w:ascii="Times New Roman" w:hAnsi="Times New Roman" w:eastAsia="方正小标宋_GBK" w:cs="Times New Roman"/>
          <w:kern w:val="0"/>
          <w:szCs w:val="38"/>
        </w:rPr>
        <w:t>2019年</w:t>
      </w:r>
      <w:r>
        <w:rPr>
          <w:rFonts w:hint="default" w:ascii="Times New Roman" w:hAnsi="Times New Roman" w:eastAsia="方正小标宋_GBK" w:cs="Times New Roman"/>
          <w:kern w:val="0"/>
          <w:szCs w:val="38"/>
          <w:lang w:val="zh-CN"/>
        </w:rPr>
        <w:t>绩效评价报告</w:t>
      </w:r>
      <w:r>
        <w:tab/>
      </w:r>
      <w:r>
        <w:fldChar w:fldCharType="begin"/>
      </w:r>
      <w:r>
        <w:instrText xml:space="preserve"> PAGEREF _Toc28833 </w:instrText>
      </w:r>
      <w:r>
        <w:fldChar w:fldCharType="separate"/>
      </w:r>
      <w:r>
        <w:t>- 36 -</w:t>
      </w:r>
      <w:r>
        <w:fldChar w:fldCharType="end"/>
      </w:r>
      <w:r>
        <w:rPr>
          <w:rFonts w:ascii="仿宋" w:hAnsi="仿宋" w:eastAsia="仿宋"/>
        </w:rPr>
        <w:fldChar w:fldCharType="end"/>
      </w:r>
    </w:p>
    <w:p w14:paraId="0E8D1C5B">
      <w:pPr>
        <w:pStyle w:val="37"/>
        <w:tabs>
          <w:tab w:val="right" w:leader="dot" w:pos="8845"/>
        </w:tabs>
      </w:pPr>
      <w:r>
        <w:rPr>
          <w:rFonts w:ascii="仿宋" w:hAnsi="仿宋" w:eastAsia="仿宋"/>
        </w:rPr>
        <w:fldChar w:fldCharType="begin"/>
      </w:r>
      <w:r>
        <w:rPr>
          <w:rFonts w:ascii="仿宋" w:hAnsi="仿宋" w:eastAsia="仿宋"/>
        </w:rPr>
        <w:instrText xml:space="preserve"> HYPERLINK \l _Toc31669 </w:instrText>
      </w:r>
      <w:r>
        <w:rPr>
          <w:rFonts w:ascii="仿宋" w:hAnsi="仿宋" w:eastAsia="仿宋"/>
        </w:rPr>
        <w:fldChar w:fldCharType="separate"/>
      </w:r>
      <w:r>
        <w:rPr>
          <w:rFonts w:hint="eastAsia" w:ascii="方正黑体_GBK" w:hAnsi="方正黑体_GBK" w:eastAsia="方正黑体_GBK" w:cs="方正黑体_GBK"/>
          <w:szCs w:val="33"/>
        </w:rPr>
        <w:t>一、项目基本情况</w:t>
      </w:r>
      <w:r>
        <w:tab/>
      </w:r>
      <w:r>
        <w:fldChar w:fldCharType="begin"/>
      </w:r>
      <w:r>
        <w:instrText xml:space="preserve"> PAGEREF _Toc31669 </w:instrText>
      </w:r>
      <w:r>
        <w:fldChar w:fldCharType="separate"/>
      </w:r>
      <w:r>
        <w:t>- 36 -</w:t>
      </w:r>
      <w:r>
        <w:fldChar w:fldCharType="end"/>
      </w:r>
      <w:r>
        <w:rPr>
          <w:rFonts w:ascii="仿宋" w:hAnsi="仿宋" w:eastAsia="仿宋"/>
        </w:rPr>
        <w:fldChar w:fldCharType="end"/>
      </w:r>
    </w:p>
    <w:p w14:paraId="47AB18FC">
      <w:pPr>
        <w:pStyle w:val="38"/>
        <w:tabs>
          <w:tab w:val="right" w:leader="dot" w:pos="8845"/>
        </w:tabs>
      </w:pPr>
      <w:r>
        <w:rPr>
          <w:rFonts w:ascii="仿宋" w:hAnsi="仿宋" w:eastAsia="仿宋"/>
        </w:rPr>
        <w:fldChar w:fldCharType="begin"/>
      </w:r>
      <w:r>
        <w:rPr>
          <w:rFonts w:ascii="仿宋" w:hAnsi="仿宋" w:eastAsia="仿宋"/>
        </w:rPr>
        <w:instrText xml:space="preserve"> HYPERLINK \l _Toc18940 </w:instrText>
      </w:r>
      <w:r>
        <w:rPr>
          <w:rFonts w:ascii="仿宋" w:hAnsi="仿宋" w:eastAsia="仿宋"/>
        </w:rPr>
        <w:fldChar w:fldCharType="separate"/>
      </w:r>
      <w:r>
        <w:rPr>
          <w:rFonts w:hint="default" w:ascii="方正楷体_GBK" w:hAnsi="方正楷体_GBK" w:eastAsia="方正楷体_GBK" w:cs="方正楷体_GBK"/>
          <w:szCs w:val="33"/>
        </w:rPr>
        <w:t>（一）理想背景</w:t>
      </w:r>
      <w:r>
        <w:tab/>
      </w:r>
      <w:r>
        <w:fldChar w:fldCharType="begin"/>
      </w:r>
      <w:r>
        <w:instrText xml:space="preserve"> PAGEREF _Toc18940 </w:instrText>
      </w:r>
      <w:r>
        <w:fldChar w:fldCharType="separate"/>
      </w:r>
      <w:r>
        <w:t>- 36 -</w:t>
      </w:r>
      <w:r>
        <w:fldChar w:fldCharType="end"/>
      </w:r>
      <w:r>
        <w:rPr>
          <w:rFonts w:ascii="仿宋" w:hAnsi="仿宋" w:eastAsia="仿宋"/>
        </w:rPr>
        <w:fldChar w:fldCharType="end"/>
      </w:r>
    </w:p>
    <w:p w14:paraId="38D969B3">
      <w:pPr>
        <w:pStyle w:val="38"/>
        <w:tabs>
          <w:tab w:val="right" w:leader="dot" w:pos="8845"/>
        </w:tabs>
      </w:pPr>
      <w:r>
        <w:rPr>
          <w:rFonts w:ascii="仿宋" w:hAnsi="仿宋" w:eastAsia="仿宋"/>
        </w:rPr>
        <w:fldChar w:fldCharType="begin"/>
      </w:r>
      <w:r>
        <w:rPr>
          <w:rFonts w:ascii="仿宋" w:hAnsi="仿宋" w:eastAsia="仿宋"/>
        </w:rPr>
        <w:instrText xml:space="preserve"> HYPERLINK \l _Toc24396 </w:instrText>
      </w:r>
      <w:r>
        <w:rPr>
          <w:rFonts w:ascii="仿宋" w:hAnsi="仿宋" w:eastAsia="仿宋"/>
        </w:rPr>
        <w:fldChar w:fldCharType="separate"/>
      </w:r>
      <w:r>
        <w:rPr>
          <w:rFonts w:hint="default" w:ascii="方正楷体_GBK" w:hAnsi="方正楷体_GBK" w:eastAsia="方正楷体_GBK" w:cs="方正楷体_GBK"/>
          <w:szCs w:val="33"/>
        </w:rPr>
        <w:t>（二）立项目的</w:t>
      </w:r>
      <w:r>
        <w:tab/>
      </w:r>
      <w:r>
        <w:fldChar w:fldCharType="begin"/>
      </w:r>
      <w:r>
        <w:instrText xml:space="preserve"> PAGEREF _Toc24396 </w:instrText>
      </w:r>
      <w:r>
        <w:fldChar w:fldCharType="separate"/>
      </w:r>
      <w:r>
        <w:t>- 36 -</w:t>
      </w:r>
      <w:r>
        <w:fldChar w:fldCharType="end"/>
      </w:r>
      <w:r>
        <w:rPr>
          <w:rFonts w:ascii="仿宋" w:hAnsi="仿宋" w:eastAsia="仿宋"/>
        </w:rPr>
        <w:fldChar w:fldCharType="end"/>
      </w:r>
    </w:p>
    <w:p w14:paraId="11F53296">
      <w:pPr>
        <w:pStyle w:val="37"/>
        <w:tabs>
          <w:tab w:val="right" w:leader="dot" w:pos="8845"/>
        </w:tabs>
      </w:pPr>
      <w:r>
        <w:rPr>
          <w:rFonts w:ascii="仿宋" w:hAnsi="仿宋" w:eastAsia="仿宋"/>
        </w:rPr>
        <w:fldChar w:fldCharType="begin"/>
      </w:r>
      <w:r>
        <w:rPr>
          <w:rFonts w:ascii="仿宋" w:hAnsi="仿宋" w:eastAsia="仿宋"/>
        </w:rPr>
        <w:instrText xml:space="preserve"> HYPERLINK \l _Toc29409 </w:instrText>
      </w:r>
      <w:r>
        <w:rPr>
          <w:rFonts w:ascii="仿宋" w:hAnsi="仿宋" w:eastAsia="仿宋"/>
        </w:rPr>
        <w:fldChar w:fldCharType="separate"/>
      </w:r>
      <w:r>
        <w:rPr>
          <w:rFonts w:hint="default" w:ascii="方正黑体_GBK" w:hAnsi="方正黑体_GBK" w:eastAsia="方正黑体_GBK" w:cs="方正黑体_GBK"/>
          <w:szCs w:val="33"/>
        </w:rPr>
        <w:t>二、资金使用情况</w:t>
      </w:r>
      <w:r>
        <w:tab/>
      </w:r>
      <w:r>
        <w:fldChar w:fldCharType="begin"/>
      </w:r>
      <w:r>
        <w:instrText xml:space="preserve"> PAGEREF _Toc29409 </w:instrText>
      </w:r>
      <w:r>
        <w:fldChar w:fldCharType="separate"/>
      </w:r>
      <w:r>
        <w:t>- 36 -</w:t>
      </w:r>
      <w:r>
        <w:fldChar w:fldCharType="end"/>
      </w:r>
      <w:r>
        <w:rPr>
          <w:rFonts w:ascii="仿宋" w:hAnsi="仿宋" w:eastAsia="仿宋"/>
        </w:rPr>
        <w:fldChar w:fldCharType="end"/>
      </w:r>
    </w:p>
    <w:p w14:paraId="1006EF4A">
      <w:pPr>
        <w:pStyle w:val="37"/>
        <w:tabs>
          <w:tab w:val="right" w:leader="dot" w:pos="8845"/>
        </w:tabs>
      </w:pPr>
      <w:r>
        <w:rPr>
          <w:rFonts w:ascii="仿宋" w:hAnsi="仿宋" w:eastAsia="仿宋"/>
        </w:rPr>
        <w:fldChar w:fldCharType="begin"/>
      </w:r>
      <w:r>
        <w:rPr>
          <w:rFonts w:ascii="仿宋" w:hAnsi="仿宋" w:eastAsia="仿宋"/>
        </w:rPr>
        <w:instrText xml:space="preserve"> HYPERLINK \l _Toc457 </w:instrText>
      </w:r>
      <w:r>
        <w:rPr>
          <w:rFonts w:ascii="仿宋" w:hAnsi="仿宋" w:eastAsia="仿宋"/>
        </w:rPr>
        <w:fldChar w:fldCharType="separate"/>
      </w:r>
      <w:r>
        <w:rPr>
          <w:rFonts w:hint="default" w:ascii="方正黑体_GBK" w:hAnsi="方正黑体_GBK" w:eastAsia="方正黑体_GBK" w:cs="方正黑体_GBK"/>
          <w:szCs w:val="33"/>
        </w:rPr>
        <w:t>三、项目绩效目标</w:t>
      </w:r>
      <w:r>
        <w:tab/>
      </w:r>
      <w:r>
        <w:fldChar w:fldCharType="begin"/>
      </w:r>
      <w:r>
        <w:instrText xml:space="preserve"> PAGEREF _Toc457 </w:instrText>
      </w:r>
      <w:r>
        <w:fldChar w:fldCharType="separate"/>
      </w:r>
      <w:r>
        <w:t>- 37 -</w:t>
      </w:r>
      <w:r>
        <w:fldChar w:fldCharType="end"/>
      </w:r>
      <w:r>
        <w:rPr>
          <w:rFonts w:ascii="仿宋" w:hAnsi="仿宋" w:eastAsia="仿宋"/>
        </w:rPr>
        <w:fldChar w:fldCharType="end"/>
      </w:r>
    </w:p>
    <w:p w14:paraId="51C99159">
      <w:pPr>
        <w:pStyle w:val="38"/>
        <w:tabs>
          <w:tab w:val="right" w:leader="dot" w:pos="8845"/>
        </w:tabs>
      </w:pPr>
      <w:r>
        <w:rPr>
          <w:rFonts w:ascii="仿宋" w:hAnsi="仿宋" w:eastAsia="仿宋"/>
        </w:rPr>
        <w:fldChar w:fldCharType="begin"/>
      </w:r>
      <w:r>
        <w:rPr>
          <w:rFonts w:ascii="仿宋" w:hAnsi="仿宋" w:eastAsia="仿宋"/>
        </w:rPr>
        <w:instrText xml:space="preserve"> HYPERLINK \l _Toc27534 </w:instrText>
      </w:r>
      <w:r>
        <w:rPr>
          <w:rFonts w:ascii="仿宋" w:hAnsi="仿宋" w:eastAsia="仿宋"/>
        </w:rPr>
        <w:fldChar w:fldCharType="separate"/>
      </w:r>
      <w:r>
        <w:rPr>
          <w:rFonts w:hint="default" w:ascii="方正楷体_GBK" w:hAnsi="方正楷体_GBK" w:eastAsia="方正楷体_GBK" w:cs="方正楷体_GBK"/>
          <w:szCs w:val="33"/>
        </w:rPr>
        <w:t>（一）项目绩效总体目标</w:t>
      </w:r>
      <w:r>
        <w:tab/>
      </w:r>
      <w:r>
        <w:fldChar w:fldCharType="begin"/>
      </w:r>
      <w:r>
        <w:instrText xml:space="preserve"> PAGEREF _Toc27534 </w:instrText>
      </w:r>
      <w:r>
        <w:fldChar w:fldCharType="separate"/>
      </w:r>
      <w:r>
        <w:t>- 37 -</w:t>
      </w:r>
      <w:r>
        <w:fldChar w:fldCharType="end"/>
      </w:r>
      <w:r>
        <w:rPr>
          <w:rFonts w:ascii="仿宋" w:hAnsi="仿宋" w:eastAsia="仿宋"/>
        </w:rPr>
        <w:fldChar w:fldCharType="end"/>
      </w:r>
    </w:p>
    <w:p w14:paraId="5D3C5C53">
      <w:pPr>
        <w:pStyle w:val="38"/>
        <w:tabs>
          <w:tab w:val="right" w:leader="dot" w:pos="8845"/>
        </w:tabs>
      </w:pPr>
      <w:r>
        <w:rPr>
          <w:rFonts w:ascii="仿宋" w:hAnsi="仿宋" w:eastAsia="仿宋"/>
        </w:rPr>
        <w:fldChar w:fldCharType="begin"/>
      </w:r>
      <w:r>
        <w:rPr>
          <w:rFonts w:ascii="仿宋" w:hAnsi="仿宋" w:eastAsia="仿宋"/>
        </w:rPr>
        <w:instrText xml:space="preserve"> HYPERLINK \l _Toc20598 </w:instrText>
      </w:r>
      <w:r>
        <w:rPr>
          <w:rFonts w:ascii="仿宋" w:hAnsi="仿宋" w:eastAsia="仿宋"/>
        </w:rPr>
        <w:fldChar w:fldCharType="separate"/>
      </w:r>
      <w:r>
        <w:rPr>
          <w:rFonts w:hint="default" w:ascii="方正楷体_GBK" w:hAnsi="方正楷体_GBK" w:eastAsia="方正楷体_GBK" w:cs="方正楷体_GBK"/>
          <w:szCs w:val="33"/>
        </w:rPr>
        <w:t>（二）项目年度绩效目标</w:t>
      </w:r>
      <w:r>
        <w:tab/>
      </w:r>
      <w:r>
        <w:fldChar w:fldCharType="begin"/>
      </w:r>
      <w:r>
        <w:instrText xml:space="preserve"> PAGEREF _Toc20598 </w:instrText>
      </w:r>
      <w:r>
        <w:fldChar w:fldCharType="separate"/>
      </w:r>
      <w:r>
        <w:t>- 37 -</w:t>
      </w:r>
      <w:r>
        <w:fldChar w:fldCharType="end"/>
      </w:r>
      <w:r>
        <w:rPr>
          <w:rFonts w:ascii="仿宋" w:hAnsi="仿宋" w:eastAsia="仿宋"/>
        </w:rPr>
        <w:fldChar w:fldCharType="end"/>
      </w:r>
    </w:p>
    <w:p w14:paraId="45C8B7A3">
      <w:pPr>
        <w:pStyle w:val="38"/>
        <w:tabs>
          <w:tab w:val="right" w:leader="dot" w:pos="8845"/>
        </w:tabs>
      </w:pPr>
      <w:r>
        <w:rPr>
          <w:rFonts w:ascii="仿宋" w:hAnsi="仿宋" w:eastAsia="仿宋"/>
        </w:rPr>
        <w:fldChar w:fldCharType="begin"/>
      </w:r>
      <w:r>
        <w:rPr>
          <w:rFonts w:ascii="仿宋" w:hAnsi="仿宋" w:eastAsia="仿宋"/>
        </w:rPr>
        <w:instrText xml:space="preserve"> HYPERLINK \l _Toc18951 </w:instrText>
      </w:r>
      <w:r>
        <w:rPr>
          <w:rFonts w:ascii="仿宋" w:hAnsi="仿宋" w:eastAsia="仿宋"/>
        </w:rPr>
        <w:fldChar w:fldCharType="separate"/>
      </w:r>
      <w:r>
        <w:rPr>
          <w:rFonts w:hint="eastAsia" w:ascii="方正楷体_GBK" w:hAnsi="方正楷体_GBK" w:eastAsia="方正楷体_GBK" w:cs="方正楷体_GBK"/>
          <w:szCs w:val="33"/>
        </w:rPr>
        <w:t>（三）项目资金管理情况</w:t>
      </w:r>
      <w:r>
        <w:tab/>
      </w:r>
      <w:r>
        <w:fldChar w:fldCharType="begin"/>
      </w:r>
      <w:r>
        <w:instrText xml:space="preserve"> PAGEREF _Toc18951 </w:instrText>
      </w:r>
      <w:r>
        <w:fldChar w:fldCharType="separate"/>
      </w:r>
      <w:r>
        <w:t>- 37 -</w:t>
      </w:r>
      <w:r>
        <w:fldChar w:fldCharType="end"/>
      </w:r>
      <w:r>
        <w:rPr>
          <w:rFonts w:ascii="仿宋" w:hAnsi="仿宋" w:eastAsia="仿宋"/>
        </w:rPr>
        <w:fldChar w:fldCharType="end"/>
      </w:r>
    </w:p>
    <w:p w14:paraId="43E03BA5">
      <w:pPr>
        <w:pStyle w:val="36"/>
        <w:tabs>
          <w:tab w:val="right" w:leader="dot" w:pos="8845"/>
        </w:tabs>
      </w:pPr>
      <w:r>
        <w:rPr>
          <w:rFonts w:ascii="仿宋" w:hAnsi="仿宋" w:eastAsia="仿宋"/>
        </w:rPr>
        <w:fldChar w:fldCharType="begin"/>
      </w:r>
      <w:r>
        <w:rPr>
          <w:rFonts w:ascii="仿宋" w:hAnsi="仿宋" w:eastAsia="仿宋"/>
        </w:rPr>
        <w:instrText xml:space="preserve"> HYPERLINK \l _Toc9812 </w:instrText>
      </w:r>
      <w:r>
        <w:rPr>
          <w:rFonts w:ascii="仿宋" w:hAnsi="仿宋" w:eastAsia="仿宋"/>
        </w:rPr>
        <w:fldChar w:fldCharType="separate"/>
      </w:r>
      <w:r>
        <w:rPr>
          <w:rFonts w:hint="eastAsia" w:ascii="方正小标宋_GBK" w:hAnsi="方正小标宋_GBK" w:eastAsia="方正小标宋_GBK" w:cs="方正小标宋_GBK"/>
        </w:rPr>
        <w:t>第五部分 附表</w:t>
      </w:r>
      <w:r>
        <w:tab/>
      </w:r>
      <w:r>
        <w:fldChar w:fldCharType="begin"/>
      </w:r>
      <w:r>
        <w:instrText xml:space="preserve"> PAGEREF _Toc9812 </w:instrText>
      </w:r>
      <w:r>
        <w:fldChar w:fldCharType="separate"/>
      </w:r>
      <w:r>
        <w:t>- 38 -</w:t>
      </w:r>
      <w:r>
        <w:fldChar w:fldCharType="end"/>
      </w:r>
      <w:r>
        <w:rPr>
          <w:rFonts w:ascii="仿宋" w:hAnsi="仿宋" w:eastAsia="仿宋"/>
        </w:rPr>
        <w:fldChar w:fldCharType="end"/>
      </w:r>
    </w:p>
    <w:p w14:paraId="6442A489">
      <w:pPr>
        <w:pStyle w:val="37"/>
        <w:tabs>
          <w:tab w:val="right" w:leader="dot" w:pos="8845"/>
        </w:tabs>
      </w:pPr>
      <w:r>
        <w:rPr>
          <w:rFonts w:ascii="仿宋" w:hAnsi="仿宋" w:eastAsia="仿宋"/>
        </w:rPr>
        <w:fldChar w:fldCharType="begin"/>
      </w:r>
      <w:r>
        <w:rPr>
          <w:rFonts w:ascii="仿宋" w:hAnsi="仿宋" w:eastAsia="仿宋"/>
        </w:rPr>
        <w:instrText xml:space="preserve"> HYPERLINK \l _Toc8294 </w:instrText>
      </w:r>
      <w:r>
        <w:rPr>
          <w:rFonts w:ascii="仿宋" w:hAnsi="仿宋" w:eastAsia="仿宋"/>
        </w:rPr>
        <w:fldChar w:fldCharType="separate"/>
      </w:r>
      <w:r>
        <w:rPr>
          <w:rFonts w:hint="default" w:ascii="Times New Roman" w:hAnsi="Times New Roman" w:eastAsia="方正仿宋_GBK" w:cs="Times New Roman"/>
          <w:szCs w:val="33"/>
        </w:rPr>
        <w:t>一、收入支出决算总表</w:t>
      </w:r>
      <w:r>
        <w:tab/>
      </w:r>
      <w:r>
        <w:fldChar w:fldCharType="begin"/>
      </w:r>
      <w:r>
        <w:instrText xml:space="preserve"> PAGEREF _Toc8294 </w:instrText>
      </w:r>
      <w:r>
        <w:fldChar w:fldCharType="separate"/>
      </w:r>
      <w:r>
        <w:t>- 38 -</w:t>
      </w:r>
      <w:r>
        <w:fldChar w:fldCharType="end"/>
      </w:r>
      <w:r>
        <w:rPr>
          <w:rFonts w:ascii="仿宋" w:hAnsi="仿宋" w:eastAsia="仿宋"/>
        </w:rPr>
        <w:fldChar w:fldCharType="end"/>
      </w:r>
    </w:p>
    <w:p w14:paraId="19BED1E3">
      <w:pPr>
        <w:pStyle w:val="37"/>
        <w:tabs>
          <w:tab w:val="right" w:leader="dot" w:pos="8845"/>
        </w:tabs>
      </w:pPr>
      <w:r>
        <w:rPr>
          <w:rFonts w:ascii="仿宋" w:hAnsi="仿宋" w:eastAsia="仿宋"/>
        </w:rPr>
        <w:fldChar w:fldCharType="begin"/>
      </w:r>
      <w:r>
        <w:rPr>
          <w:rFonts w:ascii="仿宋" w:hAnsi="仿宋" w:eastAsia="仿宋"/>
        </w:rPr>
        <w:instrText xml:space="preserve"> HYPERLINK \l _Toc22960 </w:instrText>
      </w:r>
      <w:r>
        <w:rPr>
          <w:rFonts w:ascii="仿宋" w:hAnsi="仿宋" w:eastAsia="仿宋"/>
        </w:rPr>
        <w:fldChar w:fldCharType="separate"/>
      </w:r>
      <w:r>
        <w:rPr>
          <w:rFonts w:hint="default" w:ascii="Times New Roman" w:hAnsi="Times New Roman" w:eastAsia="方正仿宋_GBK" w:cs="Times New Roman"/>
          <w:szCs w:val="33"/>
        </w:rPr>
        <w:t>二、收入决算表</w:t>
      </w:r>
      <w:r>
        <w:tab/>
      </w:r>
      <w:r>
        <w:fldChar w:fldCharType="begin"/>
      </w:r>
      <w:r>
        <w:instrText xml:space="preserve"> PAGEREF _Toc22960 </w:instrText>
      </w:r>
      <w:r>
        <w:fldChar w:fldCharType="separate"/>
      </w:r>
      <w:r>
        <w:t>- 38 -</w:t>
      </w:r>
      <w:r>
        <w:fldChar w:fldCharType="end"/>
      </w:r>
      <w:r>
        <w:rPr>
          <w:rFonts w:ascii="仿宋" w:hAnsi="仿宋" w:eastAsia="仿宋"/>
        </w:rPr>
        <w:fldChar w:fldCharType="end"/>
      </w:r>
    </w:p>
    <w:p w14:paraId="5BE9C1DD">
      <w:pPr>
        <w:pStyle w:val="37"/>
        <w:tabs>
          <w:tab w:val="right" w:leader="dot" w:pos="8845"/>
        </w:tabs>
      </w:pPr>
      <w:r>
        <w:rPr>
          <w:rFonts w:ascii="仿宋" w:hAnsi="仿宋" w:eastAsia="仿宋"/>
        </w:rPr>
        <w:fldChar w:fldCharType="begin"/>
      </w:r>
      <w:r>
        <w:rPr>
          <w:rFonts w:ascii="仿宋" w:hAnsi="仿宋" w:eastAsia="仿宋"/>
        </w:rPr>
        <w:instrText xml:space="preserve"> HYPERLINK \l _Toc18820 </w:instrText>
      </w:r>
      <w:r>
        <w:rPr>
          <w:rFonts w:ascii="仿宋" w:hAnsi="仿宋" w:eastAsia="仿宋"/>
        </w:rPr>
        <w:fldChar w:fldCharType="separate"/>
      </w:r>
      <w:r>
        <w:rPr>
          <w:rFonts w:hint="default" w:ascii="Times New Roman" w:hAnsi="Times New Roman" w:eastAsia="方正仿宋_GBK" w:cs="Times New Roman"/>
          <w:szCs w:val="33"/>
        </w:rPr>
        <w:t>三、支出决算表</w:t>
      </w:r>
      <w:r>
        <w:tab/>
      </w:r>
      <w:r>
        <w:fldChar w:fldCharType="begin"/>
      </w:r>
      <w:r>
        <w:instrText xml:space="preserve"> PAGEREF _Toc18820 </w:instrText>
      </w:r>
      <w:r>
        <w:fldChar w:fldCharType="separate"/>
      </w:r>
      <w:r>
        <w:t>- 38 -</w:t>
      </w:r>
      <w:r>
        <w:fldChar w:fldCharType="end"/>
      </w:r>
      <w:r>
        <w:rPr>
          <w:rFonts w:ascii="仿宋" w:hAnsi="仿宋" w:eastAsia="仿宋"/>
        </w:rPr>
        <w:fldChar w:fldCharType="end"/>
      </w:r>
    </w:p>
    <w:p w14:paraId="3AB25985">
      <w:pPr>
        <w:pStyle w:val="37"/>
        <w:tabs>
          <w:tab w:val="right" w:leader="dot" w:pos="8845"/>
        </w:tabs>
      </w:pPr>
      <w:r>
        <w:rPr>
          <w:rFonts w:ascii="仿宋" w:hAnsi="仿宋" w:eastAsia="仿宋"/>
        </w:rPr>
        <w:fldChar w:fldCharType="begin"/>
      </w:r>
      <w:r>
        <w:rPr>
          <w:rFonts w:ascii="仿宋" w:hAnsi="仿宋" w:eastAsia="仿宋"/>
        </w:rPr>
        <w:instrText xml:space="preserve"> HYPERLINK \l _Toc12383 </w:instrText>
      </w:r>
      <w:r>
        <w:rPr>
          <w:rFonts w:ascii="仿宋" w:hAnsi="仿宋" w:eastAsia="仿宋"/>
        </w:rPr>
        <w:fldChar w:fldCharType="separate"/>
      </w:r>
      <w:r>
        <w:rPr>
          <w:rFonts w:hint="default" w:ascii="Times New Roman" w:hAnsi="Times New Roman" w:eastAsia="方正仿宋_GBK" w:cs="Times New Roman"/>
          <w:szCs w:val="33"/>
        </w:rPr>
        <w:t>四、财政拨款收入支出决算总表</w:t>
      </w:r>
      <w:r>
        <w:tab/>
      </w:r>
      <w:r>
        <w:fldChar w:fldCharType="begin"/>
      </w:r>
      <w:r>
        <w:instrText xml:space="preserve"> PAGEREF _Toc12383 </w:instrText>
      </w:r>
      <w:r>
        <w:fldChar w:fldCharType="separate"/>
      </w:r>
      <w:r>
        <w:t>- 38 -</w:t>
      </w:r>
      <w:r>
        <w:fldChar w:fldCharType="end"/>
      </w:r>
      <w:r>
        <w:rPr>
          <w:rFonts w:ascii="仿宋" w:hAnsi="仿宋" w:eastAsia="仿宋"/>
        </w:rPr>
        <w:fldChar w:fldCharType="end"/>
      </w:r>
    </w:p>
    <w:p w14:paraId="0786C22C">
      <w:pPr>
        <w:pStyle w:val="37"/>
        <w:tabs>
          <w:tab w:val="right" w:leader="dot" w:pos="8845"/>
        </w:tabs>
      </w:pPr>
      <w:r>
        <w:rPr>
          <w:rFonts w:ascii="仿宋" w:hAnsi="仿宋" w:eastAsia="仿宋"/>
        </w:rPr>
        <w:fldChar w:fldCharType="begin"/>
      </w:r>
      <w:r>
        <w:rPr>
          <w:rFonts w:ascii="仿宋" w:hAnsi="仿宋" w:eastAsia="仿宋"/>
        </w:rPr>
        <w:instrText xml:space="preserve"> HYPERLINK \l _Toc31870 </w:instrText>
      </w:r>
      <w:r>
        <w:rPr>
          <w:rFonts w:ascii="仿宋" w:hAnsi="仿宋" w:eastAsia="仿宋"/>
        </w:rPr>
        <w:fldChar w:fldCharType="separate"/>
      </w:r>
      <w:r>
        <w:rPr>
          <w:rFonts w:hint="default" w:ascii="Times New Roman" w:hAnsi="Times New Roman" w:eastAsia="方正仿宋_GBK" w:cs="Times New Roman"/>
          <w:szCs w:val="33"/>
        </w:rPr>
        <w:t>五、财政拨款支出决算明细表</w:t>
      </w:r>
      <w:r>
        <w:tab/>
      </w:r>
      <w:r>
        <w:fldChar w:fldCharType="begin"/>
      </w:r>
      <w:r>
        <w:instrText xml:space="preserve"> PAGEREF _Toc31870 </w:instrText>
      </w:r>
      <w:r>
        <w:fldChar w:fldCharType="separate"/>
      </w:r>
      <w:r>
        <w:t>- 38 -</w:t>
      </w:r>
      <w:r>
        <w:fldChar w:fldCharType="end"/>
      </w:r>
      <w:r>
        <w:rPr>
          <w:rFonts w:ascii="仿宋" w:hAnsi="仿宋" w:eastAsia="仿宋"/>
        </w:rPr>
        <w:fldChar w:fldCharType="end"/>
      </w:r>
    </w:p>
    <w:p w14:paraId="4747D2CC">
      <w:pPr>
        <w:pStyle w:val="37"/>
        <w:tabs>
          <w:tab w:val="right" w:leader="dot" w:pos="8845"/>
        </w:tabs>
      </w:pPr>
      <w:r>
        <w:rPr>
          <w:rFonts w:ascii="仿宋" w:hAnsi="仿宋" w:eastAsia="仿宋"/>
        </w:rPr>
        <w:fldChar w:fldCharType="begin"/>
      </w:r>
      <w:r>
        <w:rPr>
          <w:rFonts w:ascii="仿宋" w:hAnsi="仿宋" w:eastAsia="仿宋"/>
        </w:rPr>
        <w:instrText xml:space="preserve"> HYPERLINK \l _Toc27391 </w:instrText>
      </w:r>
      <w:r>
        <w:rPr>
          <w:rFonts w:ascii="仿宋" w:hAnsi="仿宋" w:eastAsia="仿宋"/>
        </w:rPr>
        <w:fldChar w:fldCharType="separate"/>
      </w:r>
      <w:r>
        <w:rPr>
          <w:rFonts w:hint="default" w:ascii="Times New Roman" w:hAnsi="Times New Roman" w:eastAsia="方正仿宋_GBK" w:cs="Times New Roman"/>
          <w:szCs w:val="33"/>
        </w:rPr>
        <w:t>六、一般公共预算财政拨款支出决算表</w:t>
      </w:r>
      <w:r>
        <w:tab/>
      </w:r>
      <w:r>
        <w:fldChar w:fldCharType="begin"/>
      </w:r>
      <w:r>
        <w:instrText xml:space="preserve"> PAGEREF _Toc27391 </w:instrText>
      </w:r>
      <w:r>
        <w:fldChar w:fldCharType="separate"/>
      </w:r>
      <w:r>
        <w:t>- 38 -</w:t>
      </w:r>
      <w:r>
        <w:fldChar w:fldCharType="end"/>
      </w:r>
      <w:r>
        <w:rPr>
          <w:rFonts w:ascii="仿宋" w:hAnsi="仿宋" w:eastAsia="仿宋"/>
        </w:rPr>
        <w:fldChar w:fldCharType="end"/>
      </w:r>
    </w:p>
    <w:p w14:paraId="08D70ACF">
      <w:pPr>
        <w:pStyle w:val="37"/>
        <w:tabs>
          <w:tab w:val="right" w:leader="dot" w:pos="8845"/>
        </w:tabs>
      </w:pPr>
      <w:r>
        <w:rPr>
          <w:rFonts w:ascii="仿宋" w:hAnsi="仿宋" w:eastAsia="仿宋"/>
        </w:rPr>
        <w:fldChar w:fldCharType="begin"/>
      </w:r>
      <w:r>
        <w:rPr>
          <w:rFonts w:ascii="仿宋" w:hAnsi="仿宋" w:eastAsia="仿宋"/>
        </w:rPr>
        <w:instrText xml:space="preserve"> HYPERLINK \l _Toc26640 </w:instrText>
      </w:r>
      <w:r>
        <w:rPr>
          <w:rFonts w:ascii="仿宋" w:hAnsi="仿宋" w:eastAsia="仿宋"/>
        </w:rPr>
        <w:fldChar w:fldCharType="separate"/>
      </w:r>
      <w:r>
        <w:rPr>
          <w:rFonts w:hint="default" w:ascii="Times New Roman" w:hAnsi="Times New Roman" w:eastAsia="方正仿宋_GBK" w:cs="Times New Roman"/>
          <w:szCs w:val="33"/>
        </w:rPr>
        <w:t>七、一般公共预算财政拨款支出决算明细表</w:t>
      </w:r>
      <w:r>
        <w:tab/>
      </w:r>
      <w:r>
        <w:fldChar w:fldCharType="begin"/>
      </w:r>
      <w:r>
        <w:instrText xml:space="preserve"> PAGEREF _Toc26640 </w:instrText>
      </w:r>
      <w:r>
        <w:fldChar w:fldCharType="separate"/>
      </w:r>
      <w:r>
        <w:t>- 38 -</w:t>
      </w:r>
      <w:r>
        <w:fldChar w:fldCharType="end"/>
      </w:r>
      <w:r>
        <w:rPr>
          <w:rFonts w:ascii="仿宋" w:hAnsi="仿宋" w:eastAsia="仿宋"/>
        </w:rPr>
        <w:fldChar w:fldCharType="end"/>
      </w:r>
    </w:p>
    <w:p w14:paraId="57DA7986">
      <w:pPr>
        <w:pStyle w:val="37"/>
        <w:tabs>
          <w:tab w:val="right" w:leader="dot" w:pos="8845"/>
        </w:tabs>
      </w:pPr>
      <w:r>
        <w:rPr>
          <w:rFonts w:ascii="仿宋" w:hAnsi="仿宋" w:eastAsia="仿宋"/>
        </w:rPr>
        <w:fldChar w:fldCharType="begin"/>
      </w:r>
      <w:r>
        <w:rPr>
          <w:rFonts w:ascii="仿宋" w:hAnsi="仿宋" w:eastAsia="仿宋"/>
        </w:rPr>
        <w:instrText xml:space="preserve"> HYPERLINK \l _Toc5007 </w:instrText>
      </w:r>
      <w:r>
        <w:rPr>
          <w:rFonts w:ascii="仿宋" w:hAnsi="仿宋" w:eastAsia="仿宋"/>
        </w:rPr>
        <w:fldChar w:fldCharType="separate"/>
      </w:r>
      <w:r>
        <w:rPr>
          <w:rFonts w:hint="default" w:ascii="Times New Roman" w:hAnsi="Times New Roman" w:eastAsia="方正仿宋_GBK" w:cs="Times New Roman"/>
          <w:szCs w:val="33"/>
        </w:rPr>
        <w:t>八、一般公共预算财政拨款基本支出决算表</w:t>
      </w:r>
      <w:r>
        <w:tab/>
      </w:r>
      <w:r>
        <w:fldChar w:fldCharType="begin"/>
      </w:r>
      <w:r>
        <w:instrText xml:space="preserve"> PAGEREF _Toc5007 </w:instrText>
      </w:r>
      <w:r>
        <w:fldChar w:fldCharType="separate"/>
      </w:r>
      <w:r>
        <w:t>- 38 -</w:t>
      </w:r>
      <w:r>
        <w:fldChar w:fldCharType="end"/>
      </w:r>
      <w:r>
        <w:rPr>
          <w:rFonts w:ascii="仿宋" w:hAnsi="仿宋" w:eastAsia="仿宋"/>
        </w:rPr>
        <w:fldChar w:fldCharType="end"/>
      </w:r>
    </w:p>
    <w:p w14:paraId="31357F36">
      <w:pPr>
        <w:pStyle w:val="37"/>
        <w:tabs>
          <w:tab w:val="right" w:leader="dot" w:pos="8845"/>
        </w:tabs>
      </w:pPr>
      <w:r>
        <w:rPr>
          <w:rFonts w:ascii="仿宋" w:hAnsi="仿宋" w:eastAsia="仿宋"/>
        </w:rPr>
        <w:fldChar w:fldCharType="begin"/>
      </w:r>
      <w:r>
        <w:rPr>
          <w:rFonts w:ascii="仿宋" w:hAnsi="仿宋" w:eastAsia="仿宋"/>
        </w:rPr>
        <w:instrText xml:space="preserve"> HYPERLINK \l _Toc29610 </w:instrText>
      </w:r>
      <w:r>
        <w:rPr>
          <w:rFonts w:ascii="仿宋" w:hAnsi="仿宋" w:eastAsia="仿宋"/>
        </w:rPr>
        <w:fldChar w:fldCharType="separate"/>
      </w:r>
      <w:r>
        <w:rPr>
          <w:rFonts w:hint="default" w:ascii="Times New Roman" w:hAnsi="Times New Roman" w:eastAsia="方正仿宋_GBK" w:cs="Times New Roman"/>
          <w:szCs w:val="33"/>
        </w:rPr>
        <w:t>九、一般公共预算财政拨款项目支出决算表</w:t>
      </w:r>
      <w:r>
        <w:tab/>
      </w:r>
      <w:r>
        <w:fldChar w:fldCharType="begin"/>
      </w:r>
      <w:r>
        <w:instrText xml:space="preserve"> PAGEREF _Toc29610 </w:instrText>
      </w:r>
      <w:r>
        <w:fldChar w:fldCharType="separate"/>
      </w:r>
      <w:r>
        <w:t>- 38 -</w:t>
      </w:r>
      <w:r>
        <w:fldChar w:fldCharType="end"/>
      </w:r>
      <w:r>
        <w:rPr>
          <w:rFonts w:ascii="仿宋" w:hAnsi="仿宋" w:eastAsia="仿宋"/>
        </w:rPr>
        <w:fldChar w:fldCharType="end"/>
      </w:r>
    </w:p>
    <w:p w14:paraId="2447C297">
      <w:pPr>
        <w:pStyle w:val="37"/>
        <w:tabs>
          <w:tab w:val="right" w:leader="dot" w:pos="8845"/>
        </w:tabs>
      </w:pPr>
      <w:r>
        <w:rPr>
          <w:rFonts w:ascii="仿宋" w:hAnsi="仿宋" w:eastAsia="仿宋"/>
        </w:rPr>
        <w:fldChar w:fldCharType="begin"/>
      </w:r>
      <w:r>
        <w:rPr>
          <w:rFonts w:ascii="仿宋" w:hAnsi="仿宋" w:eastAsia="仿宋"/>
        </w:rPr>
        <w:instrText xml:space="preserve"> HYPERLINK \l _Toc2948 </w:instrText>
      </w:r>
      <w:r>
        <w:rPr>
          <w:rFonts w:ascii="仿宋" w:hAnsi="仿宋" w:eastAsia="仿宋"/>
        </w:rPr>
        <w:fldChar w:fldCharType="separate"/>
      </w:r>
      <w:r>
        <w:rPr>
          <w:rFonts w:hint="default" w:ascii="Times New Roman" w:hAnsi="Times New Roman" w:eastAsia="方正仿宋_GBK" w:cs="Times New Roman"/>
          <w:szCs w:val="33"/>
        </w:rPr>
        <w:t>十、一般公共预算财政拨款“三公”经费支出决算表</w:t>
      </w:r>
      <w:r>
        <w:tab/>
      </w:r>
      <w:r>
        <w:fldChar w:fldCharType="begin"/>
      </w:r>
      <w:r>
        <w:instrText xml:space="preserve"> PAGEREF _Toc2948 </w:instrText>
      </w:r>
      <w:r>
        <w:fldChar w:fldCharType="separate"/>
      </w:r>
      <w:r>
        <w:t>- 38 -</w:t>
      </w:r>
      <w:r>
        <w:fldChar w:fldCharType="end"/>
      </w:r>
      <w:r>
        <w:rPr>
          <w:rFonts w:ascii="仿宋" w:hAnsi="仿宋" w:eastAsia="仿宋"/>
        </w:rPr>
        <w:fldChar w:fldCharType="end"/>
      </w:r>
    </w:p>
    <w:p w14:paraId="35C44E00">
      <w:pPr>
        <w:pStyle w:val="37"/>
        <w:tabs>
          <w:tab w:val="right" w:leader="dot" w:pos="8845"/>
        </w:tabs>
      </w:pPr>
      <w:r>
        <w:rPr>
          <w:rFonts w:ascii="仿宋" w:hAnsi="仿宋" w:eastAsia="仿宋"/>
        </w:rPr>
        <w:fldChar w:fldCharType="begin"/>
      </w:r>
      <w:r>
        <w:rPr>
          <w:rFonts w:ascii="仿宋" w:hAnsi="仿宋" w:eastAsia="仿宋"/>
        </w:rPr>
        <w:instrText xml:space="preserve"> HYPERLINK \l _Toc15270 </w:instrText>
      </w:r>
      <w:r>
        <w:rPr>
          <w:rFonts w:ascii="仿宋" w:hAnsi="仿宋" w:eastAsia="仿宋"/>
        </w:rPr>
        <w:fldChar w:fldCharType="separate"/>
      </w:r>
      <w:r>
        <w:rPr>
          <w:rFonts w:hint="default" w:ascii="Times New Roman" w:hAnsi="Times New Roman" w:eastAsia="方正仿宋_GBK" w:cs="Times New Roman"/>
          <w:szCs w:val="33"/>
        </w:rPr>
        <w:t>十一、政府性基金预算财政拨款收入支出决算表</w:t>
      </w:r>
      <w:r>
        <w:tab/>
      </w:r>
      <w:r>
        <w:fldChar w:fldCharType="begin"/>
      </w:r>
      <w:r>
        <w:instrText xml:space="preserve"> PAGEREF _Toc15270 </w:instrText>
      </w:r>
      <w:r>
        <w:fldChar w:fldCharType="separate"/>
      </w:r>
      <w:r>
        <w:t>- 38 -</w:t>
      </w:r>
      <w:r>
        <w:fldChar w:fldCharType="end"/>
      </w:r>
      <w:r>
        <w:rPr>
          <w:rFonts w:ascii="仿宋" w:hAnsi="仿宋" w:eastAsia="仿宋"/>
        </w:rPr>
        <w:fldChar w:fldCharType="end"/>
      </w:r>
    </w:p>
    <w:p w14:paraId="3DC56D08">
      <w:pPr>
        <w:pStyle w:val="37"/>
        <w:tabs>
          <w:tab w:val="right" w:leader="dot" w:pos="8845"/>
        </w:tabs>
      </w:pPr>
      <w:r>
        <w:rPr>
          <w:rFonts w:ascii="仿宋" w:hAnsi="仿宋" w:eastAsia="仿宋"/>
        </w:rPr>
        <w:fldChar w:fldCharType="begin"/>
      </w:r>
      <w:r>
        <w:rPr>
          <w:rFonts w:ascii="仿宋" w:hAnsi="仿宋" w:eastAsia="仿宋"/>
        </w:rPr>
        <w:instrText xml:space="preserve"> HYPERLINK \l _Toc9119 </w:instrText>
      </w:r>
      <w:r>
        <w:rPr>
          <w:rFonts w:ascii="仿宋" w:hAnsi="仿宋" w:eastAsia="仿宋"/>
        </w:rPr>
        <w:fldChar w:fldCharType="separate"/>
      </w:r>
      <w:r>
        <w:rPr>
          <w:rFonts w:hint="default" w:ascii="Times New Roman" w:hAnsi="Times New Roman" w:eastAsia="方正仿宋_GBK" w:cs="Times New Roman"/>
          <w:szCs w:val="33"/>
        </w:rPr>
        <w:t>十二、政府性基金预算财政拨款“三公”经费支出决算表</w:t>
      </w:r>
      <w:r>
        <w:tab/>
      </w:r>
      <w:r>
        <w:fldChar w:fldCharType="begin"/>
      </w:r>
      <w:r>
        <w:instrText xml:space="preserve"> PAGEREF _Toc9119 </w:instrText>
      </w:r>
      <w:r>
        <w:fldChar w:fldCharType="separate"/>
      </w:r>
      <w:r>
        <w:t>- 38 -</w:t>
      </w:r>
      <w:r>
        <w:fldChar w:fldCharType="end"/>
      </w:r>
      <w:r>
        <w:rPr>
          <w:rFonts w:ascii="仿宋" w:hAnsi="仿宋" w:eastAsia="仿宋"/>
        </w:rPr>
        <w:fldChar w:fldCharType="end"/>
      </w:r>
    </w:p>
    <w:p w14:paraId="4AC694CC">
      <w:pPr>
        <w:pStyle w:val="37"/>
        <w:tabs>
          <w:tab w:val="right" w:leader="dot" w:pos="8845"/>
        </w:tabs>
      </w:pPr>
      <w:r>
        <w:rPr>
          <w:rFonts w:ascii="仿宋" w:hAnsi="仿宋" w:eastAsia="仿宋"/>
        </w:rPr>
        <w:fldChar w:fldCharType="begin"/>
      </w:r>
      <w:r>
        <w:rPr>
          <w:rFonts w:ascii="仿宋" w:hAnsi="仿宋" w:eastAsia="仿宋"/>
        </w:rPr>
        <w:instrText xml:space="preserve"> HYPERLINK \l _Toc9294 </w:instrText>
      </w:r>
      <w:r>
        <w:rPr>
          <w:rFonts w:ascii="仿宋" w:hAnsi="仿宋" w:eastAsia="仿宋"/>
        </w:rPr>
        <w:fldChar w:fldCharType="separate"/>
      </w:r>
      <w:r>
        <w:rPr>
          <w:rFonts w:hint="default" w:ascii="Times New Roman" w:hAnsi="Times New Roman" w:eastAsia="方正仿宋_GBK" w:cs="Times New Roman"/>
          <w:szCs w:val="33"/>
        </w:rPr>
        <w:t>十三、国有资本经营预算支出决算表</w:t>
      </w:r>
      <w:r>
        <w:tab/>
      </w:r>
      <w:r>
        <w:fldChar w:fldCharType="begin"/>
      </w:r>
      <w:r>
        <w:instrText xml:space="preserve"> PAGEREF _Toc9294 </w:instrText>
      </w:r>
      <w:r>
        <w:fldChar w:fldCharType="separate"/>
      </w:r>
      <w:r>
        <w:t>- 38 -</w:t>
      </w:r>
      <w:r>
        <w:fldChar w:fldCharType="end"/>
      </w:r>
      <w:r>
        <w:rPr>
          <w:rFonts w:ascii="仿宋" w:hAnsi="仿宋" w:eastAsia="仿宋"/>
        </w:rPr>
        <w:fldChar w:fldCharType="end"/>
      </w:r>
    </w:p>
    <w:p w14:paraId="2E094340">
      <w:pPr>
        <w:widowControl/>
        <w:spacing w:line="440" w:lineRule="exact"/>
        <w:jc w:val="left"/>
        <w:outlineLvl w:val="9"/>
        <w:rPr>
          <w:rFonts w:ascii="仿宋" w:hAnsi="仿宋" w:eastAsia="仿宋"/>
          <w:b/>
          <w:sz w:val="24"/>
        </w:rPr>
        <w:sectPr>
          <w:footerReference r:id="rId5" w:type="first"/>
          <w:headerReference r:id="rId3" w:type="default"/>
          <w:footerReference r:id="rId4" w:type="default"/>
          <w:pgSz w:w="11906" w:h="16838"/>
          <w:pgMar w:top="2098" w:right="1474" w:bottom="1984" w:left="1587" w:header="851" w:footer="992" w:gutter="0"/>
          <w:pgNumType w:start="1"/>
          <w:cols w:space="720" w:num="1"/>
          <w:titlePg/>
          <w:docGrid w:type="lines" w:linePitch="312" w:charSpace="0"/>
        </w:sectPr>
      </w:pPr>
      <w:r>
        <w:rPr>
          <w:rFonts w:ascii="仿宋" w:hAnsi="仿宋" w:eastAsia="仿宋"/>
        </w:rPr>
        <w:fldChar w:fldCharType="end"/>
      </w:r>
    </w:p>
    <w:p w14:paraId="79D8F5C4">
      <w:pPr>
        <w:widowControl/>
        <w:spacing w:line="440" w:lineRule="exact"/>
        <w:jc w:val="left"/>
        <w:rPr>
          <w:rFonts w:ascii="仿宋" w:hAnsi="仿宋" w:eastAsia="仿宋"/>
          <w:b/>
          <w:sz w:val="24"/>
        </w:rPr>
      </w:pPr>
    </w:p>
    <w:p w14:paraId="26E96EE7">
      <w:pPr>
        <w:pStyle w:val="2"/>
        <w:jc w:val="center"/>
        <w:outlineLvl w:val="0"/>
        <w:rPr>
          <w:rFonts w:hint="eastAsia" w:ascii="方正小标宋_GBK" w:hAnsi="方正小标宋_GBK" w:eastAsia="方正小标宋_GBK" w:cs="方正小标宋_GBK"/>
          <w:sz w:val="38"/>
          <w:szCs w:val="38"/>
        </w:rPr>
      </w:pPr>
      <w:bookmarkStart w:id="19" w:name="_Toc3809"/>
      <w:bookmarkStart w:id="20" w:name="_Toc52180065"/>
      <w:r>
        <w:rPr>
          <w:rFonts w:hint="eastAsia" w:ascii="方正小标宋_GBK" w:hAnsi="方正小标宋_GBK" w:eastAsia="方正小标宋_GBK" w:cs="方正小标宋_GBK"/>
          <w:sz w:val="38"/>
          <w:szCs w:val="38"/>
        </w:rPr>
        <w:t>第一部分 部门概况</w:t>
      </w:r>
      <w:bookmarkEnd w:id="17"/>
      <w:bookmarkEnd w:id="18"/>
      <w:bookmarkEnd w:id="19"/>
      <w:bookmarkEnd w:id="20"/>
    </w:p>
    <w:p w14:paraId="3FF8E592">
      <w:pPr>
        <w:widowControl/>
        <w:jc w:val="left"/>
        <w:rPr>
          <w:rFonts w:ascii="黑体" w:eastAsia="黑体"/>
          <w:color w:val="000000"/>
          <w:sz w:val="32"/>
          <w:szCs w:val="32"/>
        </w:rPr>
      </w:pPr>
    </w:p>
    <w:p w14:paraId="4BBAFC97">
      <w:pPr>
        <w:pStyle w:val="3"/>
        <w:pageBreakBefore w:val="0"/>
        <w:kinsoku/>
        <w:wordWrap/>
        <w:overflowPunct/>
        <w:topLinePunct w:val="0"/>
        <w:bidi w:val="0"/>
        <w:spacing w:line="576" w:lineRule="exact"/>
        <w:ind w:firstLine="660" w:firstLineChars="200"/>
        <w:textAlignment w:val="auto"/>
        <w:outlineLvl w:val="1"/>
        <w:rPr>
          <w:rFonts w:hint="eastAsia" w:ascii="方正黑体_GBK" w:hAnsi="方正黑体_GBK" w:eastAsia="方正黑体_GBK" w:cs="方正黑体_GBK"/>
          <w:b w:val="0"/>
          <w:bCs w:val="0"/>
          <w:sz w:val="33"/>
          <w:szCs w:val="33"/>
        </w:rPr>
      </w:pPr>
      <w:bookmarkStart w:id="21" w:name="_Toc52180066"/>
      <w:bookmarkStart w:id="22" w:name="_Toc15377197"/>
      <w:bookmarkStart w:id="23" w:name="_Toc15914"/>
      <w:bookmarkStart w:id="24" w:name="_Toc15396600"/>
      <w:r>
        <w:rPr>
          <w:rFonts w:hint="eastAsia" w:ascii="方正黑体_GBK" w:hAnsi="方正黑体_GBK" w:eastAsia="方正黑体_GBK" w:cs="方正黑体_GBK"/>
          <w:b w:val="0"/>
          <w:bCs w:val="0"/>
          <w:sz w:val="33"/>
          <w:szCs w:val="33"/>
        </w:rPr>
        <w:t>一、基本职能及主要工作</w:t>
      </w:r>
      <w:bookmarkEnd w:id="21"/>
      <w:bookmarkEnd w:id="22"/>
      <w:bookmarkEnd w:id="23"/>
      <w:bookmarkEnd w:id="24"/>
    </w:p>
    <w:p w14:paraId="389EC4A7">
      <w:pPr>
        <w:pStyle w:val="4"/>
        <w:pageBreakBefore w:val="0"/>
        <w:widowControl w:val="0"/>
        <w:kinsoku/>
        <w:wordWrap/>
        <w:overflowPunct/>
        <w:topLinePunct w:val="0"/>
        <w:autoSpaceDE/>
        <w:autoSpaceDN/>
        <w:bidi w:val="0"/>
        <w:adjustRightInd/>
        <w:snapToGrid/>
        <w:spacing w:line="576" w:lineRule="exact"/>
        <w:ind w:firstLine="663" w:firstLineChars="200"/>
        <w:textAlignment w:val="auto"/>
        <w:rPr>
          <w:rFonts w:hint="eastAsia" w:ascii="方正楷体_GBK" w:hAnsi="方正楷体_GBK" w:eastAsia="方正楷体_GBK" w:cs="方正楷体_GBK"/>
          <w:sz w:val="33"/>
          <w:szCs w:val="33"/>
        </w:rPr>
      </w:pPr>
      <w:bookmarkStart w:id="25" w:name="_Toc52180067"/>
      <w:bookmarkStart w:id="26" w:name="_Toc7413"/>
      <w:bookmarkStart w:id="27" w:name="_Toc15378445"/>
      <w:bookmarkStart w:id="28" w:name="_Toc15377198"/>
      <w:r>
        <w:rPr>
          <w:rFonts w:hint="eastAsia" w:ascii="方正楷体_GBK" w:hAnsi="方正楷体_GBK" w:eastAsia="方正楷体_GBK" w:cs="方正楷体_GBK"/>
          <w:sz w:val="33"/>
          <w:szCs w:val="33"/>
        </w:rPr>
        <w:t>（一）主要职能</w:t>
      </w:r>
      <w:bookmarkEnd w:id="25"/>
      <w:bookmarkEnd w:id="26"/>
      <w:bookmarkEnd w:id="27"/>
      <w:bookmarkEnd w:id="28"/>
    </w:p>
    <w:p w14:paraId="071A8F6D">
      <w:pPr>
        <w:pageBreakBefore w:val="0"/>
        <w:widowControl w:val="0"/>
        <w:kinsoku/>
        <w:wordWrap/>
        <w:overflowPunct/>
        <w:topLinePunct w:val="0"/>
        <w:autoSpaceDE/>
        <w:autoSpaceDN/>
        <w:bidi w:val="0"/>
        <w:adjustRightInd/>
        <w:snapToGrid/>
        <w:spacing w:line="576" w:lineRule="exact"/>
        <w:ind w:firstLine="660" w:firstLineChars="200"/>
        <w:textAlignment w:val="auto"/>
        <w:outlineLvl w:val="3"/>
        <w:rPr>
          <w:rFonts w:hint="default" w:ascii="Times New Roman" w:hAnsi="Times New Roman" w:eastAsia="方正仿宋_GBK" w:cs="Times New Roman"/>
          <w:bCs/>
          <w:sz w:val="33"/>
          <w:szCs w:val="33"/>
        </w:rPr>
      </w:pPr>
      <w:r>
        <w:rPr>
          <w:rFonts w:hint="default" w:ascii="Times New Roman" w:hAnsi="Times New Roman" w:eastAsia="方正仿宋_GBK" w:cs="Times New Roman"/>
          <w:bCs/>
          <w:sz w:val="33"/>
          <w:szCs w:val="33"/>
        </w:rPr>
        <w:t>红果乡党政机构具有党委和政府两种职能，党委领导政府工作。主要是政治思想和方针政策的领导，干部的选拔，考核和监督，经济和行政工作中重大问题的决策。乡政府是基层国家行政机关，行使本行政区的行政职能。</w:t>
      </w:r>
      <w:r>
        <w:rPr>
          <w:rFonts w:hint="default" w:ascii="Times New Roman" w:hAnsi="Times New Roman" w:eastAsia="方正仿宋_GBK" w:cs="Times New Roman"/>
          <w:sz w:val="33"/>
          <w:szCs w:val="33"/>
        </w:rPr>
        <w:br w:type="textWrapping"/>
      </w:r>
      <w:r>
        <w:rPr>
          <w:rFonts w:hint="eastAsia" w:eastAsia="方正仿宋_GBK" w:cs="Times New Roman"/>
          <w:sz w:val="33"/>
          <w:szCs w:val="33"/>
          <w:lang w:val="en-US" w:eastAsia="zh-CN"/>
        </w:rPr>
        <w:t xml:space="preserve">    </w:t>
      </w:r>
      <w:r>
        <w:rPr>
          <w:rStyle w:val="34"/>
          <w:rFonts w:hint="default" w:ascii="Times New Roman" w:hAnsi="Times New Roman" w:eastAsia="方正仿宋_GBK" w:cs="Times New Roman"/>
          <w:sz w:val="33"/>
          <w:szCs w:val="33"/>
        </w:rPr>
        <w:t>1.党委工作职责</w:t>
      </w:r>
      <w:r>
        <w:rPr>
          <w:rStyle w:val="34"/>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 xml:space="preserve">   </w:t>
      </w:r>
      <w:r>
        <w:rPr>
          <w:rFonts w:hint="default" w:ascii="Times New Roman" w:hAnsi="Times New Roman" w:eastAsia="方正仿宋_GBK" w:cs="Times New Roman"/>
          <w:bCs/>
          <w:sz w:val="33"/>
          <w:szCs w:val="33"/>
        </w:rPr>
        <w:t xml:space="preserve"> 保证党的路线、方针、政策的坚决贯彻执行。保证监督职能、教育和管理职能、服从和服务于经济建设的职能、负责抓好本乡党建工作、群团工作、精神文明建设工作、新闻宣传工作、完成县委、县政府交给的其他工作任务。</w:t>
      </w:r>
    </w:p>
    <w:p w14:paraId="7F56BF3E">
      <w:pPr>
        <w:pStyle w:val="5"/>
        <w:pageBreakBefore w:val="0"/>
        <w:kinsoku/>
        <w:wordWrap/>
        <w:overflowPunct/>
        <w:topLinePunct w:val="0"/>
        <w:bidi w:val="0"/>
        <w:spacing w:line="576" w:lineRule="exact"/>
        <w:ind w:firstLine="663" w:firstLineChars="200"/>
        <w:textAlignment w:val="auto"/>
        <w:outlineLvl w:val="3"/>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2.政府职能</w:t>
      </w:r>
    </w:p>
    <w:p w14:paraId="60194685">
      <w:pPr>
        <w:pageBreakBefore w:val="0"/>
        <w:kinsoku/>
        <w:wordWrap/>
        <w:overflowPunct/>
        <w:topLinePunct w:val="0"/>
        <w:bidi w:val="0"/>
        <w:spacing w:line="576" w:lineRule="exact"/>
        <w:ind w:firstLine="660" w:firstLineChars="200"/>
        <w:textAlignment w:val="auto"/>
        <w:rPr>
          <w:rFonts w:hint="default" w:ascii="Times New Roman" w:hAnsi="Times New Roman" w:eastAsia="方正仿宋_GBK" w:cs="Times New Roman"/>
          <w:bCs/>
          <w:sz w:val="33"/>
          <w:szCs w:val="33"/>
        </w:rPr>
        <w:sectPr>
          <w:footerReference r:id="rId7" w:type="first"/>
          <w:footerReference r:id="rId6" w:type="default"/>
          <w:pgSz w:w="11906" w:h="16838"/>
          <w:pgMar w:top="2098" w:right="1474" w:bottom="1984" w:left="1587" w:header="851" w:footer="992" w:gutter="0"/>
          <w:pgNumType w:fmt="numberInDash" w:start="1"/>
          <w:cols w:space="720" w:num="1"/>
          <w:titlePg/>
          <w:docGrid w:type="lines" w:linePitch="312" w:charSpace="0"/>
        </w:sectPr>
      </w:pPr>
      <w:r>
        <w:rPr>
          <w:rFonts w:hint="default" w:ascii="Times New Roman" w:hAnsi="Times New Roman" w:eastAsia="方正仿宋_GBK" w:cs="Times New Roman"/>
          <w:bCs/>
          <w:sz w:val="33"/>
          <w:szCs w:val="33"/>
        </w:rPr>
        <w:t>制定和组织实施经济、科技和社会发展计划，制定资源开发技术改造和产业结构调整方案，组织指导好各业生产，搞好商品流通，协调好本乡与外地区的经济交流与合作，抓好招商</w:t>
      </w:r>
    </w:p>
    <w:p w14:paraId="4BF64A3F">
      <w:pPr>
        <w:pageBreakBefore w:val="0"/>
        <w:kinsoku/>
        <w:wordWrap/>
        <w:overflowPunct/>
        <w:topLinePunct w:val="0"/>
        <w:bidi w:val="0"/>
        <w:spacing w:line="576" w:lineRule="exact"/>
        <w:ind w:firstLine="660" w:firstLineChars="200"/>
        <w:textAlignment w:val="auto"/>
        <w:rPr>
          <w:rFonts w:hint="default" w:ascii="Times New Roman" w:hAnsi="Times New Roman" w:eastAsia="方正仿宋_GBK" w:cs="Times New Roman"/>
          <w:bCs/>
          <w:sz w:val="33"/>
          <w:szCs w:val="33"/>
        </w:rPr>
      </w:pPr>
      <w:r>
        <w:rPr>
          <w:rFonts w:hint="default" w:ascii="Times New Roman" w:hAnsi="Times New Roman" w:eastAsia="方正仿宋_GBK" w:cs="Times New Roman"/>
          <w:bCs/>
          <w:sz w:val="33"/>
          <w:szCs w:val="33"/>
        </w:rPr>
        <w:t>引资，人才引进项目开发，不断培育市场体系，组织经济运行，促进经济发展。制定并组织实施村（社区）建设规划，部署重点工程建设，地方道路建设及公共设施，水利设施的管理，负责土地、林木、水等自然资源和生态环境的保护，做好护林防火工作。负责本行政区域内的民政、计划生育、文化教育、卫生、体育等社会公益事业的综合性工作，维护一切经济单位和个人的正当经济权益，取缔非法经济活动，调解和处理民事纠纷，打击刑事犯罪维护社会稳定，按计划组织本级财政收入和地方税的征收，完成国家财政计划，不断培植税源，管好财政资金，增强财政实力，抓好精神文明建设，丰富群众文化生活，提倡移风易俗，反对封建迷信，破除陈规陋习，树立社会主义新风尚，完成上级政府交办的其它事项。</w:t>
      </w:r>
    </w:p>
    <w:p w14:paraId="1E8768C4">
      <w:pPr>
        <w:pStyle w:val="4"/>
        <w:pageBreakBefore w:val="0"/>
        <w:kinsoku/>
        <w:wordWrap/>
        <w:overflowPunct/>
        <w:topLinePunct w:val="0"/>
        <w:bidi w:val="0"/>
        <w:spacing w:line="576" w:lineRule="exact"/>
        <w:ind w:firstLine="663" w:firstLineChars="200"/>
        <w:textAlignment w:val="auto"/>
        <w:rPr>
          <w:rFonts w:hint="eastAsia" w:ascii="方正楷体_GBK" w:hAnsi="方正楷体_GBK" w:eastAsia="方正楷体_GBK" w:cs="方正楷体_GBK"/>
          <w:sz w:val="33"/>
          <w:szCs w:val="33"/>
        </w:rPr>
      </w:pPr>
      <w:bookmarkStart w:id="29" w:name="_Toc52180068"/>
      <w:bookmarkStart w:id="30" w:name="_Toc15377199"/>
      <w:bookmarkStart w:id="31" w:name="_Toc404"/>
      <w:bookmarkStart w:id="32" w:name="_Toc15378446"/>
      <w:r>
        <w:rPr>
          <w:rFonts w:hint="eastAsia" w:ascii="方正楷体_GBK" w:hAnsi="方正楷体_GBK" w:eastAsia="方正楷体_GBK" w:cs="方正楷体_GBK"/>
          <w:sz w:val="33"/>
          <w:szCs w:val="33"/>
        </w:rPr>
        <w:t>（二）2019年重点工作完成情况</w:t>
      </w:r>
      <w:bookmarkEnd w:id="29"/>
      <w:bookmarkEnd w:id="30"/>
      <w:bookmarkEnd w:id="31"/>
      <w:bookmarkEnd w:id="32"/>
    </w:p>
    <w:p w14:paraId="222CFBE1">
      <w:pPr>
        <w:pStyle w:val="5"/>
        <w:pageBreakBefore w:val="0"/>
        <w:kinsoku/>
        <w:wordWrap/>
        <w:overflowPunct/>
        <w:topLinePunct w:val="0"/>
        <w:bidi w:val="0"/>
        <w:spacing w:line="576" w:lineRule="exact"/>
        <w:ind w:firstLine="663" w:firstLineChars="200"/>
        <w:textAlignment w:val="auto"/>
        <w:outlineLvl w:val="3"/>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1.深入开展脱贫攻坚工作</w:t>
      </w:r>
    </w:p>
    <w:p w14:paraId="3841DF32">
      <w:pPr>
        <w:pageBreakBefore w:val="0"/>
        <w:kinsoku/>
        <w:wordWrap/>
        <w:overflowPunct/>
        <w:topLinePunct w:val="0"/>
        <w:bidi w:val="0"/>
        <w:spacing w:line="576" w:lineRule="exact"/>
        <w:ind w:firstLine="660" w:firstLineChars="200"/>
        <w:textAlignment w:val="auto"/>
        <w:rPr>
          <w:rFonts w:hint="default" w:ascii="Times New Roman" w:hAnsi="Times New Roman" w:eastAsia="方正仿宋_GBK" w:cs="Times New Roman"/>
          <w:bCs/>
          <w:sz w:val="33"/>
          <w:szCs w:val="33"/>
        </w:rPr>
      </w:pPr>
      <w:r>
        <w:rPr>
          <w:rFonts w:hint="default" w:ascii="Times New Roman" w:hAnsi="Times New Roman" w:eastAsia="方正仿宋_GBK" w:cs="Times New Roman"/>
          <w:bCs/>
          <w:sz w:val="33"/>
          <w:szCs w:val="33"/>
        </w:rPr>
        <w:t>一是聚焦凉山自迁贫困户，实现脱贫任务。对照“两不愁、三保障”标准，突出抓好全乡102户499人凉山自迁贫困户脱贫任务，严格按照项目实施标准、程序和要求，抓好2019年脱贫攻坚项目建设任务。实现“两不愁、三保障、三有”目标任务， 2019年11月10日经县脱贫领验收全部达标退出。二是因村因户施策，全面巩固提升脱贫攻坚成果。红果乡共辖4个贫困村，2014年-2019共有已退出贫困人口481户2253人，2019年度4个贫困村“一低五有”指标均得到保障，按照“脱贫不脱帮、脱贫不脱政策”的工作思路，紧盯已退出贫困户“两不愁、三保障、三有”指标，因村规划，加大基础设施建设资金投入，继续在贫困户户内医疗、教育、产业、就业等方面提供有力保障，确保贫困户不返贫,保持较好发展。开展“大走访、大排查”“三精准、三落实、三保障”等专项行动，对标核验、逐户排查，红果乡2019年年内无返贫现象发生。三是强力争取项目，逐步完善基础设施建设。2019年红果乡实施基础设施建设项目43项，共计投入资金1583.36万元。</w:t>
      </w:r>
    </w:p>
    <w:p w14:paraId="665A36A5">
      <w:pPr>
        <w:pStyle w:val="5"/>
        <w:pageBreakBefore w:val="0"/>
        <w:kinsoku/>
        <w:wordWrap/>
        <w:overflowPunct/>
        <w:topLinePunct w:val="0"/>
        <w:bidi w:val="0"/>
        <w:spacing w:line="576" w:lineRule="exact"/>
        <w:ind w:firstLine="663" w:firstLineChars="200"/>
        <w:textAlignment w:val="auto"/>
        <w:outlineLvl w:val="3"/>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2.全力推进棚户区改造工作</w:t>
      </w:r>
    </w:p>
    <w:p w14:paraId="3980E4D2">
      <w:pPr>
        <w:pageBreakBefore w:val="0"/>
        <w:widowControl/>
        <w:shd w:val="clear" w:color="auto" w:fill="FFFFFF"/>
        <w:kinsoku/>
        <w:wordWrap/>
        <w:overflowPunct/>
        <w:topLinePunct w:val="0"/>
        <w:bidi w:val="0"/>
        <w:spacing w:line="576" w:lineRule="exact"/>
        <w:ind w:firstLine="660" w:firstLineChars="200"/>
        <w:textAlignment w:val="auto"/>
        <w:rPr>
          <w:rFonts w:hint="default" w:ascii="Times New Roman" w:hAnsi="Times New Roman" w:eastAsia="方正仿宋_GBK" w:cs="Times New Roman"/>
          <w:bCs/>
          <w:sz w:val="33"/>
          <w:szCs w:val="33"/>
        </w:rPr>
      </w:pPr>
      <w:r>
        <w:rPr>
          <w:rFonts w:hint="default" w:ascii="Times New Roman" w:hAnsi="Times New Roman" w:eastAsia="方正仿宋_GBK" w:cs="Times New Roman"/>
          <w:bCs/>
          <w:sz w:val="33"/>
          <w:szCs w:val="33"/>
        </w:rPr>
        <w:t>一是落实国开行的1.97亿贷款资金，目前已完成第一批147户2002.4808万元的报账资料上报，下一步陆续进行第二批、第三批居民报账。二是全力推进棚户区改造基础设施建设，自来水厂项目已完成取水口工程、13公里取水管道安装、挡墙、边坡、清水池及厂房主体结构搭建，道路工程项目正在招投标。三是开展了棚户区腾空土地一期开发筹备土地挂牌工作，初步拟定一期挂牌5宗土地，并配建社区服务中心和600余米道路。</w:t>
      </w:r>
    </w:p>
    <w:p w14:paraId="51704DDB">
      <w:pPr>
        <w:pStyle w:val="5"/>
        <w:pageBreakBefore w:val="0"/>
        <w:kinsoku/>
        <w:wordWrap/>
        <w:overflowPunct/>
        <w:topLinePunct w:val="0"/>
        <w:bidi w:val="0"/>
        <w:spacing w:line="576" w:lineRule="exact"/>
        <w:ind w:firstLine="663" w:firstLineChars="200"/>
        <w:textAlignment w:val="auto"/>
        <w:outlineLvl w:val="3"/>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3.全面抓好安全生产工作</w:t>
      </w:r>
    </w:p>
    <w:p w14:paraId="7C4946E9">
      <w:pPr>
        <w:pageBreakBefore w:val="0"/>
        <w:widowControl/>
        <w:shd w:val="clear" w:color="auto" w:fill="FFFFFF"/>
        <w:kinsoku/>
        <w:wordWrap/>
        <w:overflowPunct/>
        <w:topLinePunct w:val="0"/>
        <w:bidi w:val="0"/>
        <w:spacing w:line="576" w:lineRule="exact"/>
        <w:ind w:firstLine="660" w:firstLineChars="200"/>
        <w:textAlignment w:val="auto"/>
        <w:rPr>
          <w:rFonts w:hint="default" w:ascii="Times New Roman" w:hAnsi="Times New Roman" w:eastAsia="方正仿宋_GBK" w:cs="Times New Roman"/>
          <w:bCs/>
          <w:sz w:val="33"/>
          <w:szCs w:val="33"/>
        </w:rPr>
      </w:pPr>
      <w:r>
        <w:rPr>
          <w:rFonts w:hint="default" w:ascii="Times New Roman" w:hAnsi="Times New Roman" w:eastAsia="方正仿宋_GBK" w:cs="Times New Roman"/>
          <w:bCs/>
          <w:sz w:val="33"/>
          <w:szCs w:val="33"/>
        </w:rPr>
        <w:t>一是坚持一把手亲自抓，全面落实责任。2019年，乡政府听取安全生产工作汇报4次，主要领导及分管领导组织召开安全生产专题会议6次，在重要时段亲临生产一线检查安全生产工作10次。年初与辖区各企业和村（社区）签订了安全生产目标责任书，落实了安全生产责任。二是制定监管计划，形成闭环管理。对辖区11口煤矿制定了监管计划，开展井下执法检查86矿次，巡查99矿次，查出问题240余条，所有问题已整改完毕并通过了安监所的复查验收，形成了隐患的闭环管理。三是建立健全道路交通、水上交通岗位职责，依法处理违法违规驾车、超载、超员、无证照等违法行为120余起，实现我乡道路及水上交通零伤亡、零事故。四是严守耕地红线，保障建房安全。加强农村建设用地管理，严格按照法定程序审核把关，全年共受理农村村民建房162户，开展土地动态巡查60多次、170多人次，巡查覆盖率达95%以上。五是编制应急预案，加强巡查及应急演练。对8个地质灾害隐患点进行动态监测，向隐患点群众发放“明白卡”，“一表两卡”100余张，全年开展了1次地质灾害及棚户区消防安全应急演练，完成3户地质灾害避险搬迁，拨付补助资金12万元。六是加强对辖区食品药品安全监管，全年签订300余份责任书，全面压实责任，确保辖区无食品药品安全事故。</w:t>
      </w:r>
    </w:p>
    <w:p w14:paraId="3C42323E">
      <w:pPr>
        <w:pageBreakBefore w:val="0"/>
        <w:kinsoku/>
        <w:wordWrap/>
        <w:overflowPunct/>
        <w:topLinePunct w:val="0"/>
        <w:autoSpaceDE w:val="0"/>
        <w:autoSpaceDN w:val="0"/>
        <w:bidi w:val="0"/>
        <w:spacing w:line="576" w:lineRule="exact"/>
        <w:ind w:firstLine="663" w:firstLineChars="200"/>
        <w:textAlignment w:val="auto"/>
        <w:outlineLvl w:val="3"/>
        <w:rPr>
          <w:rFonts w:hint="default" w:ascii="Times New Roman" w:hAnsi="Times New Roman" w:eastAsia="方正仿宋_GBK" w:cs="Times New Roman"/>
          <w:b/>
          <w:sz w:val="33"/>
          <w:szCs w:val="33"/>
        </w:rPr>
      </w:pPr>
      <w:r>
        <w:rPr>
          <w:rFonts w:hint="default" w:ascii="Times New Roman" w:hAnsi="Times New Roman" w:eastAsia="方正仿宋_GBK" w:cs="Times New Roman"/>
          <w:b/>
          <w:sz w:val="33"/>
          <w:szCs w:val="33"/>
        </w:rPr>
        <w:t>4.持续加强环境保护工作</w:t>
      </w:r>
    </w:p>
    <w:p w14:paraId="255C235F">
      <w:pPr>
        <w:pageBreakBefore w:val="0"/>
        <w:kinsoku/>
        <w:wordWrap/>
        <w:overflowPunct/>
        <w:topLinePunct w:val="0"/>
        <w:autoSpaceDE w:val="0"/>
        <w:autoSpaceDN w:val="0"/>
        <w:bidi w:val="0"/>
        <w:spacing w:line="576" w:lineRule="exact"/>
        <w:ind w:firstLine="660" w:firstLineChars="200"/>
        <w:textAlignment w:val="auto"/>
        <w:rPr>
          <w:rFonts w:hint="default" w:ascii="Times New Roman" w:hAnsi="Times New Roman" w:eastAsia="方正仿宋_GBK" w:cs="Times New Roman"/>
          <w:bCs/>
          <w:sz w:val="33"/>
          <w:szCs w:val="33"/>
        </w:rPr>
      </w:pPr>
      <w:r>
        <w:rPr>
          <w:rFonts w:hint="default" w:ascii="Times New Roman" w:hAnsi="Times New Roman" w:eastAsia="方正仿宋_GBK" w:cs="Times New Roman"/>
          <w:bCs/>
          <w:sz w:val="33"/>
          <w:szCs w:val="33"/>
        </w:rPr>
        <w:t>一是狠抓林业工作。以发展林下经济来带动林业资源保护，狠抓护林防火和林地清理调查工作，切实保护林业资源，2019年对重点林区重点地段进行计划烧除3000亩，宣传森林防火知识40余次，制定林防火宣传标语300余条、森林防火告知书500余份，登记“五类人员”20人、放牧人员253人，落实了监护人员及放牧地点，登记坟主400人，共清理林业案件9起。二是全面落实环保工作和河长制工作。按照盐边县大气、水、土壤污染防治“三大战役”工作要求，对长林轮运公司红果码头处堆放的5000吨煤矸石进行整改；发动群众，出动人员500余人次，清理二潍水库内垃圾240余吨，要求沿河餐馆修建污水处理池10余户；开展河道护绿活动，组织乡机关及村（社区）干部全面清扫河道垃圾，以点带面保障河道护绿、植绿保护。</w:t>
      </w:r>
    </w:p>
    <w:p w14:paraId="405DD2B5">
      <w:pPr>
        <w:pStyle w:val="7"/>
        <w:pageBreakBefore w:val="0"/>
        <w:kinsoku/>
        <w:wordWrap/>
        <w:overflowPunct/>
        <w:topLinePunct w:val="0"/>
        <w:bidi w:val="0"/>
        <w:adjustRightInd w:val="0"/>
        <w:snapToGrid w:val="0"/>
        <w:spacing w:before="93" w:line="576" w:lineRule="exact"/>
        <w:ind w:firstLine="663" w:firstLineChars="200"/>
        <w:textAlignment w:val="auto"/>
        <w:outlineLvl w:val="2"/>
        <w:rPr>
          <w:rFonts w:hint="default" w:ascii="Times New Roman" w:hAnsi="Times New Roman" w:eastAsia="方正仿宋_GBK" w:cs="Times New Roman"/>
          <w:b/>
          <w:kern w:val="2"/>
          <w:sz w:val="33"/>
          <w:szCs w:val="33"/>
        </w:rPr>
      </w:pPr>
      <w:bookmarkStart w:id="33" w:name="_Toc15332"/>
      <w:r>
        <w:rPr>
          <w:rFonts w:hint="default" w:ascii="Times New Roman" w:hAnsi="Times New Roman" w:eastAsia="方正仿宋_GBK" w:cs="Times New Roman"/>
          <w:b/>
          <w:kern w:val="2"/>
          <w:sz w:val="33"/>
          <w:szCs w:val="33"/>
        </w:rPr>
        <w:t>5.按照要求完成建制村调整工作</w:t>
      </w:r>
      <w:bookmarkEnd w:id="33"/>
    </w:p>
    <w:p w14:paraId="262B40BF">
      <w:pPr>
        <w:pStyle w:val="7"/>
        <w:pageBreakBefore w:val="0"/>
        <w:kinsoku/>
        <w:wordWrap/>
        <w:overflowPunct/>
        <w:topLinePunct w:val="0"/>
        <w:bidi w:val="0"/>
        <w:adjustRightInd w:val="0"/>
        <w:snapToGrid w:val="0"/>
        <w:spacing w:before="93" w:line="576" w:lineRule="exact"/>
        <w:ind w:firstLine="580" w:firstLineChars="200"/>
        <w:textAlignment w:val="auto"/>
        <w:outlineLvl w:val="2"/>
        <w:rPr>
          <w:rFonts w:hint="default" w:ascii="Times New Roman" w:hAnsi="Times New Roman" w:eastAsia="方正仿宋_GBK" w:cs="Times New Roman"/>
          <w:bCs/>
          <w:spacing w:val="-20"/>
          <w:kern w:val="2"/>
          <w:sz w:val="33"/>
          <w:szCs w:val="33"/>
        </w:rPr>
      </w:pPr>
      <w:bookmarkStart w:id="34" w:name="_Toc21214"/>
      <w:r>
        <w:rPr>
          <w:rFonts w:hint="default" w:ascii="Times New Roman" w:hAnsi="Times New Roman" w:eastAsia="方正仿宋_GBK" w:cs="Times New Roman"/>
          <w:bCs/>
          <w:spacing w:val="-20"/>
          <w:kern w:val="2"/>
          <w:sz w:val="33"/>
          <w:szCs w:val="33"/>
        </w:rPr>
        <w:t>一是按照全县区划调整改革要求，将我乡原12个村（居）、49个村（居）民小组调整为7个村（居），35个村（居）民小组。</w:t>
      </w:r>
      <w:bookmarkEnd w:id="34"/>
    </w:p>
    <w:p w14:paraId="37F05AD6">
      <w:pPr>
        <w:pStyle w:val="3"/>
        <w:pageBreakBefore w:val="0"/>
        <w:kinsoku/>
        <w:wordWrap/>
        <w:overflowPunct/>
        <w:topLinePunct w:val="0"/>
        <w:bidi w:val="0"/>
        <w:spacing w:line="576" w:lineRule="exact"/>
        <w:ind w:firstLine="660" w:firstLineChars="200"/>
        <w:textAlignment w:val="auto"/>
        <w:rPr>
          <w:rStyle w:val="30"/>
          <w:rFonts w:hint="eastAsia" w:ascii="方正黑体_GBK" w:hAnsi="方正黑体_GBK" w:eastAsia="方正黑体_GBK" w:cs="方正黑体_GBK"/>
          <w:b w:val="0"/>
          <w:bCs w:val="0"/>
          <w:sz w:val="33"/>
          <w:szCs w:val="33"/>
        </w:rPr>
      </w:pPr>
      <w:bookmarkStart w:id="35" w:name="_Toc52180069"/>
      <w:bookmarkStart w:id="36" w:name="_Toc15377200"/>
      <w:bookmarkStart w:id="37" w:name="_Toc15396601"/>
      <w:bookmarkStart w:id="38" w:name="_Toc227"/>
      <w:r>
        <w:rPr>
          <w:rFonts w:hint="eastAsia" w:ascii="方正黑体_GBK" w:hAnsi="方正黑体_GBK" w:eastAsia="方正黑体_GBK" w:cs="方正黑体_GBK"/>
          <w:b w:val="0"/>
          <w:color w:val="000000"/>
          <w:sz w:val="33"/>
          <w:szCs w:val="33"/>
        </w:rPr>
        <w:t>二、机</w:t>
      </w:r>
      <w:r>
        <w:rPr>
          <w:rStyle w:val="30"/>
          <w:rFonts w:hint="eastAsia" w:ascii="方正黑体_GBK" w:hAnsi="方正黑体_GBK" w:eastAsia="方正黑体_GBK" w:cs="方正黑体_GBK"/>
          <w:b w:val="0"/>
          <w:bCs w:val="0"/>
          <w:sz w:val="33"/>
          <w:szCs w:val="33"/>
        </w:rPr>
        <w:t>构设置</w:t>
      </w:r>
      <w:bookmarkEnd w:id="35"/>
      <w:bookmarkEnd w:id="36"/>
      <w:bookmarkEnd w:id="37"/>
      <w:bookmarkEnd w:id="38"/>
    </w:p>
    <w:p w14:paraId="4554B07D">
      <w:pPr>
        <w:pStyle w:val="7"/>
        <w:pageBreakBefore w:val="0"/>
        <w:kinsoku/>
        <w:wordWrap/>
        <w:overflowPunct/>
        <w:topLinePunct w:val="0"/>
        <w:bidi w:val="0"/>
        <w:adjustRightInd w:val="0"/>
        <w:snapToGrid w:val="0"/>
        <w:spacing w:before="93" w:line="576" w:lineRule="exact"/>
        <w:ind w:firstLine="580" w:firstLineChars="200"/>
        <w:textAlignment w:val="auto"/>
        <w:rPr>
          <w:rFonts w:hint="default" w:ascii="Times New Roman" w:hAnsi="Times New Roman" w:eastAsia="方正仿宋_GBK" w:cs="Times New Roman"/>
          <w:bCs/>
          <w:spacing w:val="-20"/>
          <w:kern w:val="2"/>
          <w:sz w:val="33"/>
          <w:szCs w:val="33"/>
        </w:rPr>
      </w:pPr>
      <w:r>
        <w:rPr>
          <w:rFonts w:hint="default" w:ascii="Times New Roman" w:hAnsi="Times New Roman" w:eastAsia="方正仿宋_GBK" w:cs="Times New Roman"/>
          <w:bCs/>
          <w:spacing w:val="-20"/>
          <w:kern w:val="2"/>
          <w:sz w:val="33"/>
          <w:szCs w:val="33"/>
        </w:rPr>
        <w:t>盐边县红果乡人民政府属于机关事业一级单位，其中行政单位1个，事业单位3个，包含：农业服务中心、宣文中心、社会保障和就业服务中心。</w:t>
      </w:r>
    </w:p>
    <w:p w14:paraId="0B741CC5">
      <w:pPr>
        <w:pStyle w:val="3"/>
        <w:keepNext/>
        <w:keepLines/>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方正小标宋_GBK" w:hAnsi="方正小标宋_GBK" w:eastAsia="方正小标宋_GBK" w:cs="方正小标宋_GBK"/>
          <w:sz w:val="38"/>
          <w:szCs w:val="38"/>
        </w:rPr>
      </w:pPr>
      <w:bookmarkStart w:id="39" w:name="_Toc15377204"/>
      <w:bookmarkStart w:id="40" w:name="_Toc4073"/>
      <w:bookmarkStart w:id="41" w:name="_Toc52180073"/>
      <w:bookmarkStart w:id="42" w:name="_Toc15396602"/>
      <w:r>
        <w:rPr>
          <w:rFonts w:hint="eastAsia" w:ascii="方正小标宋_GBK" w:hAnsi="方正小标宋_GBK" w:eastAsia="方正小标宋_GBK" w:cs="方正小标宋_GBK"/>
          <w:sz w:val="38"/>
          <w:szCs w:val="38"/>
        </w:rPr>
        <w:t>第二部分2019年度部门决算情况说明</w:t>
      </w:r>
      <w:bookmarkEnd w:id="39"/>
      <w:bookmarkEnd w:id="40"/>
      <w:bookmarkEnd w:id="41"/>
      <w:bookmarkEnd w:id="42"/>
      <w:bookmarkStart w:id="43" w:name="_Toc15396603"/>
      <w:bookmarkStart w:id="44" w:name="_Toc52180074"/>
      <w:bookmarkStart w:id="45" w:name="_Toc15377205"/>
    </w:p>
    <w:p w14:paraId="31A2AF22">
      <w:pPr>
        <w:pStyle w:val="3"/>
        <w:keepNext/>
        <w:keepLines/>
        <w:pageBreakBefore w:val="0"/>
        <w:widowControl w:val="0"/>
        <w:kinsoku/>
        <w:wordWrap/>
        <w:overflowPunct/>
        <w:topLinePunct w:val="0"/>
        <w:autoSpaceDE/>
        <w:autoSpaceDN/>
        <w:bidi w:val="0"/>
        <w:adjustRightInd/>
        <w:snapToGrid/>
        <w:spacing w:line="576" w:lineRule="exact"/>
        <w:textAlignment w:val="auto"/>
        <w:outlineLvl w:val="9"/>
        <w:rPr>
          <w:rFonts w:hint="eastAsia"/>
        </w:rPr>
      </w:pPr>
    </w:p>
    <w:p w14:paraId="3B1EE79E">
      <w:pPr>
        <w:pStyle w:val="3"/>
        <w:keepNext/>
        <w:keepLines/>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方正黑体_GBK" w:hAnsi="方正黑体_GBK" w:eastAsia="方正黑体_GBK" w:cs="方正黑体_GBK"/>
          <w:b w:val="0"/>
          <w:bCs w:val="0"/>
          <w:sz w:val="33"/>
          <w:szCs w:val="33"/>
        </w:rPr>
      </w:pPr>
      <w:bookmarkStart w:id="46" w:name="_Toc455"/>
      <w:r>
        <w:rPr>
          <w:rFonts w:hint="eastAsia" w:ascii="方正黑体_GBK" w:hAnsi="方正黑体_GBK" w:eastAsia="方正黑体_GBK" w:cs="方正黑体_GBK"/>
          <w:b w:val="0"/>
          <w:bCs w:val="0"/>
          <w:sz w:val="33"/>
          <w:szCs w:val="33"/>
        </w:rPr>
        <w:t>一、收入支出决算总体情况说明</w:t>
      </w:r>
      <w:bookmarkEnd w:id="43"/>
      <w:bookmarkEnd w:id="44"/>
      <w:bookmarkEnd w:id="45"/>
      <w:bookmarkEnd w:id="46"/>
    </w:p>
    <w:p w14:paraId="29D689CC">
      <w:pPr>
        <w:pStyle w:val="20"/>
        <w:pageBreakBefore w:val="0"/>
        <w:widowControl w:val="0"/>
        <w:kinsoku/>
        <w:wordWrap/>
        <w:overflowPunct/>
        <w:topLinePunct w:val="0"/>
        <w:bidi w:val="0"/>
        <w:snapToGrid/>
        <w:spacing w:line="576" w:lineRule="exact"/>
        <w:textAlignment w:val="auto"/>
        <w:outlineLvl w:val="1"/>
        <w:rPr>
          <w:rFonts w:hint="default" w:ascii="Times New Roman" w:hAnsi="Times New Roman" w:eastAsia="方正仿宋_GBK" w:cs="Times New Roman"/>
          <w:bCs/>
          <w:sz w:val="33"/>
          <w:szCs w:val="33"/>
        </w:rPr>
      </w:pPr>
      <w:bookmarkStart w:id="47" w:name="_Toc20680"/>
      <w:bookmarkStart w:id="48" w:name="_Toc15377206"/>
      <w:bookmarkStart w:id="49" w:name="_Toc15396604"/>
      <w:bookmarkStart w:id="50" w:name="_Toc52180075"/>
      <w:r>
        <w:rPr>
          <w:rFonts w:hint="default" w:ascii="Times New Roman" w:hAnsi="Times New Roman" w:eastAsia="方正仿宋_GBK" w:cs="Times New Roman"/>
          <w:bCs/>
          <w:sz w:val="33"/>
          <w:szCs w:val="33"/>
        </w:rPr>
        <w:t>2019年度收入1352万元，与2018年1133万元相比，增加219万元，增长19%；支出1417.37万元，与2018年1202.95万元相比，增加214万元，增,17%。主要变动原因是人员新增较多，和专户项目并入基本户账户进行资金核算。</w:t>
      </w:r>
      <w:bookmarkEnd w:id="47"/>
    </w:p>
    <w:p w14:paraId="55BB50DB">
      <w:pPr>
        <w:pStyle w:val="3"/>
        <w:keepNext/>
        <w:keepLines/>
        <w:pageBreakBefore w:val="0"/>
        <w:widowControl w:val="0"/>
        <w:kinsoku/>
        <w:wordWrap/>
        <w:overflowPunct/>
        <w:topLinePunct w:val="0"/>
        <w:autoSpaceDE/>
        <w:autoSpaceDN/>
        <w:bidi w:val="0"/>
        <w:adjustRightInd/>
        <w:snapToGrid/>
        <w:spacing w:line="576" w:lineRule="exact"/>
        <w:ind w:firstLine="660" w:firstLineChars="200"/>
        <w:textAlignment w:val="auto"/>
        <w:rPr>
          <w:rFonts w:hint="default" w:ascii="方正黑体_GBK" w:hAnsi="方正黑体_GBK" w:eastAsia="方正黑体_GBK" w:cs="方正黑体_GBK"/>
          <w:b w:val="0"/>
          <w:bCs w:val="0"/>
          <w:sz w:val="33"/>
          <w:szCs w:val="33"/>
        </w:rPr>
      </w:pPr>
      <w:bookmarkStart w:id="51" w:name="_Toc12709"/>
      <w:r>
        <w:rPr>
          <w:rFonts w:hint="default" w:ascii="方正黑体_GBK" w:hAnsi="方正黑体_GBK" w:eastAsia="方正黑体_GBK" w:cs="方正黑体_GBK"/>
          <w:b w:val="0"/>
          <w:bCs w:val="0"/>
          <w:sz w:val="33"/>
          <w:szCs w:val="33"/>
        </w:rPr>
        <w:t>二、收入决算情况说明</w:t>
      </w:r>
      <w:bookmarkEnd w:id="48"/>
      <w:bookmarkEnd w:id="49"/>
      <w:bookmarkEnd w:id="50"/>
      <w:bookmarkEnd w:id="51"/>
    </w:p>
    <w:p w14:paraId="05D49D85">
      <w:pPr>
        <w:pStyle w:val="20"/>
        <w:pageBreakBefore w:val="0"/>
        <w:widowControl w:val="0"/>
        <w:kinsoku/>
        <w:wordWrap/>
        <w:overflowPunct/>
        <w:topLinePunct w:val="0"/>
        <w:bidi w:val="0"/>
        <w:snapToGrid/>
        <w:spacing w:line="576" w:lineRule="exact"/>
        <w:ind w:firstLine="660"/>
        <w:textAlignment w:val="auto"/>
        <w:outlineLvl w:val="1"/>
        <w:rPr>
          <w:rFonts w:hint="default" w:ascii="Times New Roman" w:hAnsi="Times New Roman" w:eastAsia="方正仿宋_GBK" w:cs="Times New Roman"/>
          <w:bCs/>
          <w:sz w:val="33"/>
          <w:szCs w:val="33"/>
        </w:rPr>
      </w:pPr>
      <w:bookmarkStart w:id="52" w:name="_Toc52180076"/>
      <w:bookmarkStart w:id="53" w:name="_Toc12899"/>
      <w:bookmarkStart w:id="54" w:name="_Toc54277975"/>
      <w:bookmarkStart w:id="55" w:name="_Toc15377207"/>
      <w:bookmarkStart w:id="56" w:name="_Toc15396605"/>
      <w:bookmarkStart w:id="57" w:name="_Toc52180077"/>
      <w:r>
        <w:rPr>
          <w:rFonts w:hint="default" w:ascii="Times New Roman" w:hAnsi="Times New Roman" w:eastAsia="方正仿宋_GBK" w:cs="Times New Roman"/>
          <w:bCs/>
          <w:sz w:val="33"/>
          <w:szCs w:val="33"/>
        </w:rPr>
        <w:t>2019年本年收入合计1352万元，其中：一般公共预算财政拨款收入1352万元，占100%</w:t>
      </w:r>
      <w:bookmarkEnd w:id="52"/>
      <w:r>
        <w:rPr>
          <w:rFonts w:hint="default" w:ascii="Times New Roman" w:hAnsi="Times New Roman" w:eastAsia="方正仿宋_GBK" w:cs="Times New Roman"/>
          <w:bCs/>
          <w:sz w:val="33"/>
          <w:szCs w:val="33"/>
        </w:rPr>
        <w:t>。</w:t>
      </w:r>
      <w:bookmarkEnd w:id="53"/>
      <w:bookmarkEnd w:id="54"/>
      <w:r>
        <w:rPr>
          <w:rFonts w:hint="default" w:ascii="Times New Roman" w:hAnsi="Times New Roman" w:eastAsia="方正仿宋_GBK" w:cs="Times New Roman"/>
          <w:bCs/>
          <w:sz w:val="33"/>
          <w:szCs w:val="33"/>
        </w:rPr>
        <w:t xml:space="preserve"> </w:t>
      </w:r>
    </w:p>
    <w:p w14:paraId="211E8608">
      <w:pPr>
        <w:pStyle w:val="3"/>
        <w:keepNext/>
        <w:keepLines/>
        <w:pageBreakBefore w:val="0"/>
        <w:widowControl w:val="0"/>
        <w:kinsoku/>
        <w:wordWrap/>
        <w:overflowPunct/>
        <w:topLinePunct w:val="0"/>
        <w:autoSpaceDE/>
        <w:autoSpaceDN/>
        <w:bidi w:val="0"/>
        <w:adjustRightInd/>
        <w:snapToGrid/>
        <w:spacing w:line="576" w:lineRule="exact"/>
        <w:ind w:firstLine="660" w:firstLineChars="200"/>
        <w:textAlignment w:val="auto"/>
        <w:rPr>
          <w:rFonts w:hint="default" w:ascii="方正黑体_GBK" w:hAnsi="方正黑体_GBK" w:eastAsia="方正黑体_GBK" w:cs="方正黑体_GBK"/>
          <w:b w:val="0"/>
          <w:bCs w:val="0"/>
          <w:sz w:val="33"/>
          <w:szCs w:val="33"/>
        </w:rPr>
      </w:pPr>
      <w:bookmarkStart w:id="58" w:name="_Toc24411"/>
      <w:r>
        <w:rPr>
          <w:rFonts w:hint="default" w:ascii="方正黑体_GBK" w:hAnsi="方正黑体_GBK" w:eastAsia="方正黑体_GBK" w:cs="方正黑体_GBK"/>
          <w:b w:val="0"/>
          <w:bCs w:val="0"/>
          <w:sz w:val="33"/>
          <w:szCs w:val="33"/>
        </w:rPr>
        <w:t>三、支出决算情况说明</w:t>
      </w:r>
      <w:bookmarkEnd w:id="55"/>
      <w:bookmarkEnd w:id="56"/>
      <w:bookmarkEnd w:id="57"/>
      <w:bookmarkEnd w:id="58"/>
    </w:p>
    <w:p w14:paraId="7CB8A520">
      <w:pPr>
        <w:pStyle w:val="20"/>
        <w:pageBreakBefore w:val="0"/>
        <w:widowControl w:val="0"/>
        <w:kinsoku/>
        <w:wordWrap/>
        <w:overflowPunct/>
        <w:topLinePunct w:val="0"/>
        <w:bidi w:val="0"/>
        <w:snapToGrid/>
        <w:spacing w:line="576" w:lineRule="exact"/>
        <w:ind w:firstLine="660"/>
        <w:textAlignment w:val="auto"/>
        <w:outlineLvl w:val="1"/>
        <w:rPr>
          <w:rFonts w:hint="default" w:ascii="Times New Roman" w:hAnsi="Times New Roman" w:eastAsia="方正仿宋_GBK" w:cs="Times New Roman"/>
          <w:bCs/>
          <w:sz w:val="33"/>
          <w:szCs w:val="33"/>
        </w:rPr>
      </w:pPr>
      <w:bookmarkStart w:id="59" w:name="_Toc52180078"/>
      <w:bookmarkStart w:id="60" w:name="_Toc16203"/>
      <w:r>
        <w:rPr>
          <w:rFonts w:hint="default" w:ascii="Times New Roman" w:hAnsi="Times New Roman" w:eastAsia="方正仿宋_GBK" w:cs="Times New Roman"/>
          <w:bCs/>
          <w:sz w:val="33"/>
          <w:szCs w:val="33"/>
        </w:rPr>
        <w:t>2019年本年支出合计1417.37万元，其中：基本支出878.68万元，占61%；项目支出538.69万元，占39%</w:t>
      </w:r>
      <w:bookmarkEnd w:id="59"/>
      <w:r>
        <w:rPr>
          <w:rFonts w:hint="default" w:ascii="Times New Roman" w:hAnsi="Times New Roman" w:eastAsia="方正仿宋_GBK" w:cs="Times New Roman"/>
          <w:bCs/>
          <w:sz w:val="33"/>
          <w:szCs w:val="33"/>
        </w:rPr>
        <w:t>。</w:t>
      </w:r>
      <w:bookmarkEnd w:id="60"/>
    </w:p>
    <w:p w14:paraId="28767698">
      <w:pPr>
        <w:pStyle w:val="3"/>
        <w:keepNext/>
        <w:keepLines/>
        <w:pageBreakBefore w:val="0"/>
        <w:widowControl w:val="0"/>
        <w:kinsoku/>
        <w:wordWrap/>
        <w:overflowPunct/>
        <w:topLinePunct w:val="0"/>
        <w:autoSpaceDE/>
        <w:autoSpaceDN/>
        <w:bidi w:val="0"/>
        <w:adjustRightInd/>
        <w:snapToGrid/>
        <w:spacing w:line="576" w:lineRule="exact"/>
        <w:ind w:firstLine="660" w:firstLineChars="200"/>
        <w:textAlignment w:val="auto"/>
        <w:rPr>
          <w:rFonts w:hint="default" w:ascii="方正黑体_GBK" w:hAnsi="方正黑体_GBK" w:eastAsia="方正黑体_GBK" w:cs="方正黑体_GBK"/>
          <w:b w:val="0"/>
          <w:bCs w:val="0"/>
          <w:sz w:val="33"/>
          <w:szCs w:val="33"/>
        </w:rPr>
      </w:pPr>
      <w:bookmarkStart w:id="61" w:name="_Toc15377208"/>
      <w:bookmarkStart w:id="62" w:name="_Toc15396606"/>
      <w:bookmarkStart w:id="63" w:name="_Toc19871"/>
      <w:bookmarkStart w:id="64" w:name="_Toc52180079"/>
      <w:r>
        <w:rPr>
          <w:rFonts w:hint="default" w:ascii="方正黑体_GBK" w:hAnsi="方正黑体_GBK" w:eastAsia="方正黑体_GBK" w:cs="方正黑体_GBK"/>
          <w:b w:val="0"/>
          <w:bCs w:val="0"/>
          <w:sz w:val="33"/>
          <w:szCs w:val="33"/>
        </w:rPr>
        <w:t>四、财政拨款收入支出决算总体情况说明</w:t>
      </w:r>
      <w:bookmarkEnd w:id="61"/>
      <w:bookmarkEnd w:id="62"/>
      <w:bookmarkEnd w:id="63"/>
      <w:bookmarkEnd w:id="64"/>
    </w:p>
    <w:p w14:paraId="036FB3C8">
      <w:pPr>
        <w:pStyle w:val="20"/>
        <w:pageBreakBefore w:val="0"/>
        <w:widowControl w:val="0"/>
        <w:kinsoku/>
        <w:wordWrap/>
        <w:overflowPunct/>
        <w:topLinePunct w:val="0"/>
        <w:bidi w:val="0"/>
        <w:snapToGrid/>
        <w:spacing w:line="576" w:lineRule="exact"/>
        <w:ind w:firstLine="660"/>
        <w:textAlignment w:val="auto"/>
        <w:outlineLvl w:val="1"/>
        <w:rPr>
          <w:rFonts w:hint="default" w:ascii="Times New Roman" w:hAnsi="Times New Roman" w:eastAsia="方正仿宋_GBK" w:cs="Times New Roman"/>
          <w:bCs/>
          <w:sz w:val="33"/>
          <w:szCs w:val="33"/>
        </w:rPr>
      </w:pPr>
      <w:bookmarkStart w:id="65" w:name="_Toc12324"/>
      <w:r>
        <w:rPr>
          <w:rFonts w:hint="default" w:ascii="Times New Roman" w:hAnsi="Times New Roman" w:eastAsia="方正仿宋_GBK" w:cs="Times New Roman"/>
          <w:bCs/>
          <w:sz w:val="33"/>
          <w:szCs w:val="33"/>
        </w:rPr>
        <w:t>2019年度收入1352.36万元，支出1417.37万元。与2018年相比，收、支各增加218.92、214.42万元，分别增长19%、17%。主要变动原因是基本工资增加、中途追加预算项目增加、村社经费增加、项目经费增加。</w:t>
      </w:r>
      <w:bookmarkEnd w:id="65"/>
    </w:p>
    <w:p w14:paraId="62011208">
      <w:pPr>
        <w:pStyle w:val="3"/>
        <w:keepNext/>
        <w:keepLines/>
        <w:pageBreakBefore w:val="0"/>
        <w:widowControl w:val="0"/>
        <w:kinsoku/>
        <w:wordWrap/>
        <w:overflowPunct/>
        <w:topLinePunct w:val="0"/>
        <w:autoSpaceDE/>
        <w:autoSpaceDN/>
        <w:bidi w:val="0"/>
        <w:adjustRightInd/>
        <w:snapToGrid/>
        <w:spacing w:line="576" w:lineRule="exact"/>
        <w:ind w:firstLine="660" w:firstLineChars="200"/>
        <w:textAlignment w:val="auto"/>
        <w:rPr>
          <w:rFonts w:hint="default" w:ascii="方正黑体_GBK" w:hAnsi="方正黑体_GBK" w:eastAsia="方正黑体_GBK" w:cs="方正黑体_GBK"/>
          <w:b w:val="0"/>
          <w:bCs w:val="0"/>
          <w:sz w:val="33"/>
          <w:szCs w:val="33"/>
        </w:rPr>
      </w:pPr>
      <w:bookmarkStart w:id="66" w:name="_Toc15396607"/>
      <w:bookmarkStart w:id="67" w:name="_Toc22597"/>
      <w:bookmarkStart w:id="68" w:name="_Toc52180080"/>
      <w:bookmarkStart w:id="69" w:name="_Toc15377209"/>
      <w:r>
        <w:rPr>
          <w:rFonts w:hint="default" w:ascii="方正黑体_GBK" w:hAnsi="方正黑体_GBK" w:eastAsia="方正黑体_GBK" w:cs="方正黑体_GBK"/>
          <w:b w:val="0"/>
          <w:bCs w:val="0"/>
          <w:sz w:val="33"/>
          <w:szCs w:val="33"/>
        </w:rPr>
        <w:t>五、一般公共预算财政拨款支出决算情况说明</w:t>
      </w:r>
      <w:bookmarkEnd w:id="66"/>
      <w:bookmarkEnd w:id="67"/>
      <w:bookmarkEnd w:id="68"/>
      <w:bookmarkEnd w:id="69"/>
    </w:p>
    <w:p w14:paraId="599C08A0">
      <w:pPr>
        <w:pStyle w:val="4"/>
        <w:pageBreakBefore w:val="0"/>
        <w:widowControl w:val="0"/>
        <w:kinsoku/>
        <w:wordWrap/>
        <w:overflowPunct/>
        <w:topLinePunct w:val="0"/>
        <w:bidi w:val="0"/>
        <w:snapToGrid/>
        <w:spacing w:line="576" w:lineRule="exact"/>
        <w:ind w:firstLine="663" w:firstLineChars="200"/>
        <w:textAlignment w:val="auto"/>
        <w:rPr>
          <w:rFonts w:hint="eastAsia" w:ascii="方正楷体_GBK" w:hAnsi="方正楷体_GBK" w:eastAsia="方正楷体_GBK" w:cs="方正楷体_GBK"/>
          <w:sz w:val="33"/>
          <w:szCs w:val="33"/>
        </w:rPr>
      </w:pPr>
      <w:bookmarkStart w:id="70" w:name="_Toc18500"/>
      <w:bookmarkStart w:id="71" w:name="_Toc15377210"/>
      <w:bookmarkStart w:id="72" w:name="_Toc52180081"/>
      <w:r>
        <w:rPr>
          <w:rFonts w:hint="eastAsia" w:ascii="方正楷体_GBK" w:hAnsi="方正楷体_GBK" w:eastAsia="方正楷体_GBK" w:cs="方正楷体_GBK"/>
          <w:sz w:val="33"/>
          <w:szCs w:val="33"/>
        </w:rPr>
        <w:t>（一）一般公共预算财政拨款支出决算总体情况</w:t>
      </w:r>
      <w:bookmarkEnd w:id="70"/>
      <w:bookmarkEnd w:id="71"/>
      <w:bookmarkEnd w:id="72"/>
    </w:p>
    <w:p w14:paraId="2C7FFA84">
      <w:pPr>
        <w:pStyle w:val="20"/>
        <w:pageBreakBefore w:val="0"/>
        <w:widowControl w:val="0"/>
        <w:kinsoku/>
        <w:wordWrap/>
        <w:overflowPunct/>
        <w:topLinePunct w:val="0"/>
        <w:bidi w:val="0"/>
        <w:snapToGrid/>
        <w:spacing w:line="576" w:lineRule="exact"/>
        <w:ind w:firstLine="660"/>
        <w:textAlignment w:val="auto"/>
        <w:outlineLvl w:val="1"/>
        <w:rPr>
          <w:rFonts w:hint="default" w:ascii="Times New Roman" w:hAnsi="Times New Roman" w:eastAsia="方正仿宋_GBK" w:cs="Times New Roman"/>
          <w:bCs/>
          <w:sz w:val="33"/>
          <w:szCs w:val="33"/>
        </w:rPr>
      </w:pPr>
      <w:bookmarkStart w:id="73" w:name="_Toc30929"/>
      <w:r>
        <w:rPr>
          <w:rFonts w:hint="default" w:ascii="Times New Roman" w:hAnsi="Times New Roman" w:eastAsia="方正仿宋_GBK" w:cs="Times New Roman"/>
          <w:bCs/>
          <w:sz w:val="33"/>
          <w:szCs w:val="33"/>
        </w:rPr>
        <w:t>2019年一般公共预算财政拨款支出1352万元，占本年支出合计的100%。与2018年相比，一般公共预算财政拨款增加219万元，增长19%。主要变动原因是基本工资增加、中途追加预算项目增加、村社经费增加，项目支出较多。</w:t>
      </w:r>
      <w:bookmarkEnd w:id="73"/>
    </w:p>
    <w:p w14:paraId="7469B526">
      <w:pPr>
        <w:pStyle w:val="4"/>
        <w:pageBreakBefore w:val="0"/>
        <w:widowControl w:val="0"/>
        <w:kinsoku/>
        <w:wordWrap/>
        <w:overflowPunct/>
        <w:topLinePunct w:val="0"/>
        <w:bidi w:val="0"/>
        <w:snapToGrid/>
        <w:spacing w:line="576" w:lineRule="exact"/>
        <w:ind w:firstLine="663" w:firstLineChars="200"/>
        <w:textAlignment w:val="auto"/>
        <w:rPr>
          <w:rFonts w:hint="default" w:ascii="方正楷体_GBK" w:hAnsi="方正楷体_GBK" w:eastAsia="方正楷体_GBK" w:cs="方正楷体_GBK"/>
          <w:sz w:val="33"/>
          <w:szCs w:val="33"/>
        </w:rPr>
      </w:pPr>
      <w:bookmarkStart w:id="74" w:name="_Toc30849"/>
      <w:bookmarkStart w:id="75" w:name="_Toc52180082"/>
      <w:bookmarkStart w:id="76" w:name="_Toc15377211"/>
      <w:r>
        <w:rPr>
          <w:rFonts w:hint="default" w:ascii="方正楷体_GBK" w:hAnsi="方正楷体_GBK" w:eastAsia="方正楷体_GBK" w:cs="方正楷体_GBK"/>
          <w:sz w:val="33"/>
          <w:szCs w:val="33"/>
        </w:rPr>
        <w:t>（二）一般公共预算财政拨款支出决算结构情况</w:t>
      </w:r>
      <w:bookmarkEnd w:id="74"/>
      <w:bookmarkEnd w:id="75"/>
      <w:bookmarkEnd w:id="76"/>
    </w:p>
    <w:p w14:paraId="7FA47E72">
      <w:pPr>
        <w:pStyle w:val="20"/>
        <w:pageBreakBefore w:val="0"/>
        <w:widowControl w:val="0"/>
        <w:kinsoku/>
        <w:wordWrap/>
        <w:overflowPunct/>
        <w:topLinePunct w:val="0"/>
        <w:bidi w:val="0"/>
        <w:snapToGrid/>
        <w:spacing w:line="576" w:lineRule="exact"/>
        <w:ind w:firstLine="660"/>
        <w:textAlignment w:val="auto"/>
        <w:outlineLvl w:val="1"/>
        <w:rPr>
          <w:rFonts w:hint="default" w:ascii="Times New Roman" w:hAnsi="Times New Roman" w:eastAsia="方正仿宋_GBK" w:cs="Times New Roman"/>
          <w:bCs/>
          <w:sz w:val="33"/>
          <w:szCs w:val="33"/>
        </w:rPr>
      </w:pPr>
      <w:bookmarkStart w:id="77" w:name="_Toc19610"/>
      <w:bookmarkStart w:id="78" w:name="_Toc52180083"/>
      <w:bookmarkStart w:id="79" w:name="_Toc15377212"/>
      <w:r>
        <w:rPr>
          <w:rFonts w:hint="default" w:ascii="Times New Roman" w:hAnsi="Times New Roman" w:eastAsia="方正仿宋_GBK" w:cs="Times New Roman"/>
          <w:bCs/>
          <w:sz w:val="33"/>
          <w:szCs w:val="33"/>
        </w:rPr>
        <w:t>2019年一般公共预算财政拨款支出1417万元，主要用于以下方面:一般公共服务（类）支出589万元，占41.56%%；教育支出（类）0万元，占0%；科学技术（类）支出0万元，占0%；文化旅游体育与传媒（类）支出16.7万元，占0.01%；社会保障和就业（类）支出163万元，占11.5%；卫生健康支出19.3万元，占1.4%；住房保障支出67.3万元，占4.7%；城乡社区支出42万元，占2.9%；农林水支出476.8万占33.6%；交通运输支出23万元，占1.6%；灾害防治和应急支出20万，占1.4%。</w:t>
      </w:r>
      <w:bookmarkEnd w:id="77"/>
    </w:p>
    <w:p w14:paraId="16DA5A6A">
      <w:pPr>
        <w:pStyle w:val="4"/>
        <w:pageBreakBefore w:val="0"/>
        <w:widowControl w:val="0"/>
        <w:kinsoku/>
        <w:wordWrap/>
        <w:overflowPunct/>
        <w:topLinePunct w:val="0"/>
        <w:bidi w:val="0"/>
        <w:snapToGrid/>
        <w:spacing w:line="576" w:lineRule="exact"/>
        <w:ind w:firstLine="663" w:firstLineChars="200"/>
        <w:textAlignment w:val="auto"/>
        <w:rPr>
          <w:rFonts w:hint="default" w:ascii="方正楷体_GBK" w:hAnsi="方正楷体_GBK" w:eastAsia="方正楷体_GBK" w:cs="方正楷体_GBK"/>
          <w:sz w:val="33"/>
          <w:szCs w:val="33"/>
        </w:rPr>
      </w:pPr>
      <w:bookmarkStart w:id="80" w:name="_Toc327"/>
      <w:r>
        <w:rPr>
          <w:rFonts w:hint="default" w:ascii="方正楷体_GBK" w:hAnsi="方正楷体_GBK" w:eastAsia="方正楷体_GBK" w:cs="方正楷体_GBK"/>
          <w:sz w:val="33"/>
          <w:szCs w:val="33"/>
        </w:rPr>
        <w:t>（三）一般公共预算财政拨款支出决算具体情况</w:t>
      </w:r>
      <w:bookmarkEnd w:id="78"/>
      <w:bookmarkEnd w:id="79"/>
      <w:bookmarkEnd w:id="80"/>
    </w:p>
    <w:p w14:paraId="54D9ED6B">
      <w:pPr>
        <w:pStyle w:val="20"/>
        <w:pageBreakBefore w:val="0"/>
        <w:widowControl w:val="0"/>
        <w:kinsoku/>
        <w:wordWrap/>
        <w:overflowPunct/>
        <w:topLinePunct w:val="0"/>
        <w:bidi w:val="0"/>
        <w:snapToGrid/>
        <w:spacing w:line="576" w:lineRule="exact"/>
        <w:ind w:firstLine="660"/>
        <w:textAlignment w:val="auto"/>
        <w:outlineLvl w:val="1"/>
        <w:rPr>
          <w:rFonts w:hint="default" w:ascii="Times New Roman" w:hAnsi="Times New Roman" w:eastAsia="方正仿宋_GBK" w:cs="Times New Roman"/>
          <w:sz w:val="33"/>
          <w:szCs w:val="33"/>
        </w:rPr>
      </w:pPr>
      <w:bookmarkStart w:id="81" w:name="_Toc15377444"/>
      <w:bookmarkStart w:id="82" w:name="_Toc4359"/>
      <w:bookmarkStart w:id="83" w:name="_Toc15378460"/>
      <w:bookmarkStart w:id="84" w:name="_Toc15377213"/>
      <w:bookmarkStart w:id="85" w:name="_Toc52180084"/>
      <w:r>
        <w:rPr>
          <w:rFonts w:hint="default" w:ascii="Times New Roman" w:hAnsi="Times New Roman" w:eastAsia="方正仿宋_GBK" w:cs="Times New Roman"/>
          <w:sz w:val="33"/>
          <w:szCs w:val="33"/>
        </w:rPr>
        <w:t>2019年一般公共预算支出决算数为589.18万元，完成预算100%。其中：</w:t>
      </w:r>
      <w:bookmarkEnd w:id="81"/>
      <w:bookmarkEnd w:id="82"/>
      <w:bookmarkEnd w:id="83"/>
      <w:bookmarkEnd w:id="84"/>
      <w:bookmarkEnd w:id="85"/>
    </w:p>
    <w:p w14:paraId="57D85C95">
      <w:pPr>
        <w:pStyle w:val="20"/>
        <w:pageBreakBefore w:val="0"/>
        <w:widowControl w:val="0"/>
        <w:kinsoku/>
        <w:wordWrap/>
        <w:overflowPunct/>
        <w:topLinePunct w:val="0"/>
        <w:bidi w:val="0"/>
        <w:snapToGrid/>
        <w:spacing w:line="576" w:lineRule="exact"/>
        <w:ind w:firstLine="660"/>
        <w:textAlignment w:val="auto"/>
        <w:outlineLvl w:val="1"/>
        <w:rPr>
          <w:rFonts w:hint="default" w:ascii="Times New Roman" w:hAnsi="Times New Roman" w:eastAsia="方正仿宋_GBK" w:cs="Times New Roman"/>
          <w:sz w:val="33"/>
          <w:szCs w:val="33"/>
        </w:rPr>
      </w:pPr>
      <w:bookmarkStart w:id="86" w:name="_Toc22115"/>
      <w:r>
        <w:rPr>
          <w:rFonts w:hint="default" w:ascii="Times New Roman" w:hAnsi="Times New Roman" w:eastAsia="方正仿宋_GBK" w:cs="Times New Roman"/>
          <w:sz w:val="33"/>
          <w:szCs w:val="33"/>
        </w:rPr>
        <w:t>1.</w:t>
      </w:r>
      <w:r>
        <w:rPr>
          <w:rFonts w:hint="default" w:ascii="Times New Roman" w:hAnsi="Times New Roman" w:eastAsia="方正仿宋_GBK" w:cs="Times New Roman"/>
          <w:b/>
          <w:sz w:val="33"/>
          <w:szCs w:val="33"/>
        </w:rPr>
        <w:t>一般公共服务支出</w:t>
      </w:r>
      <w:r>
        <w:rPr>
          <w:rFonts w:hint="default" w:ascii="Times New Roman" w:hAnsi="Times New Roman" w:eastAsia="方正仿宋_GBK" w:cs="Times New Roman"/>
          <w:sz w:val="33"/>
          <w:szCs w:val="33"/>
        </w:rPr>
        <w:t>:2010101人大事务行政运行支出决算为31.2万元，完成预算100%； 2010301政府行政运行支出决算为409.05万元，完成预算100%；2010302政府一般行政管理事务支出决算为7.49万元，完成预算100%；2010350  事业运行支出决算为16.53万元，完成预算100%；2010602财政一般行政管理事务支出决算为0.72万元，完成预算100%；2012304民族工作专项支出预算33万元，完成预算100%；2012901行政运行支出预算39.89万元，完成预算100%；2012999其他群众团体事务预算支出8万元，完成预算100%；2013101党委行政运行支出决算为43.3万元，完成预算100%；</w:t>
      </w:r>
      <w:bookmarkEnd w:id="86"/>
      <w:r>
        <w:rPr>
          <w:rFonts w:hint="default" w:ascii="Times New Roman" w:hAnsi="Times New Roman" w:eastAsia="方正仿宋_GBK" w:cs="Times New Roman"/>
          <w:sz w:val="33"/>
          <w:szCs w:val="33"/>
        </w:rPr>
        <w:t xml:space="preserve"> </w:t>
      </w:r>
    </w:p>
    <w:p w14:paraId="565DCD4A">
      <w:pPr>
        <w:pStyle w:val="20"/>
        <w:pageBreakBefore w:val="0"/>
        <w:widowControl w:val="0"/>
        <w:kinsoku/>
        <w:wordWrap/>
        <w:overflowPunct/>
        <w:topLinePunct w:val="0"/>
        <w:bidi w:val="0"/>
        <w:snapToGrid/>
        <w:spacing w:line="576" w:lineRule="exact"/>
        <w:ind w:firstLine="663"/>
        <w:textAlignment w:val="auto"/>
        <w:outlineLvl w:val="1"/>
        <w:rPr>
          <w:rFonts w:hint="default" w:ascii="Times New Roman" w:hAnsi="Times New Roman" w:eastAsia="方正仿宋_GBK" w:cs="Times New Roman"/>
          <w:sz w:val="33"/>
          <w:szCs w:val="33"/>
        </w:rPr>
      </w:pPr>
      <w:bookmarkStart w:id="87" w:name="_Toc28332"/>
      <w:r>
        <w:rPr>
          <w:rFonts w:hint="default" w:ascii="Times New Roman" w:hAnsi="Times New Roman" w:eastAsia="方正仿宋_GBK" w:cs="Times New Roman"/>
          <w:b/>
          <w:sz w:val="33"/>
          <w:szCs w:val="33"/>
        </w:rPr>
        <w:t>2.</w:t>
      </w:r>
      <w:r>
        <w:rPr>
          <w:rFonts w:hint="default" w:ascii="Times New Roman" w:hAnsi="Times New Roman" w:eastAsia="方正仿宋_GBK" w:cs="Times New Roman"/>
          <w:bCs/>
          <w:sz w:val="33"/>
          <w:szCs w:val="33"/>
        </w:rPr>
        <w:t xml:space="preserve"> </w:t>
      </w:r>
      <w:r>
        <w:rPr>
          <w:rFonts w:hint="default" w:ascii="Times New Roman" w:hAnsi="Times New Roman" w:eastAsia="方正仿宋_GBK" w:cs="Times New Roman"/>
          <w:b/>
          <w:sz w:val="33"/>
          <w:szCs w:val="33"/>
        </w:rPr>
        <w:t>文化旅游体育与传媒支出:</w:t>
      </w:r>
      <w:r>
        <w:rPr>
          <w:rFonts w:hint="default" w:ascii="Times New Roman" w:hAnsi="Times New Roman" w:eastAsia="方正仿宋_GBK" w:cs="Times New Roman"/>
          <w:sz w:val="33"/>
          <w:szCs w:val="33"/>
        </w:rPr>
        <w:t xml:space="preserve"> 2070109群众文化预算支出16.67万元，完成预算100%；</w:t>
      </w:r>
      <w:bookmarkEnd w:id="87"/>
    </w:p>
    <w:p w14:paraId="767FDBF4">
      <w:pPr>
        <w:pStyle w:val="20"/>
        <w:pageBreakBefore w:val="0"/>
        <w:widowControl w:val="0"/>
        <w:kinsoku/>
        <w:wordWrap/>
        <w:overflowPunct/>
        <w:topLinePunct w:val="0"/>
        <w:bidi w:val="0"/>
        <w:snapToGrid/>
        <w:spacing w:line="576" w:lineRule="exact"/>
        <w:ind w:firstLine="663"/>
        <w:textAlignment w:val="auto"/>
        <w:outlineLvl w:val="1"/>
        <w:rPr>
          <w:rFonts w:hint="default" w:ascii="Times New Roman" w:hAnsi="Times New Roman" w:eastAsia="方正仿宋_GBK" w:cs="Times New Roman"/>
          <w:sz w:val="33"/>
          <w:szCs w:val="33"/>
        </w:rPr>
      </w:pPr>
      <w:bookmarkStart w:id="88" w:name="_Toc23083"/>
      <w:r>
        <w:rPr>
          <w:rFonts w:hint="default" w:ascii="Times New Roman" w:hAnsi="Times New Roman" w:eastAsia="方正仿宋_GBK" w:cs="Times New Roman"/>
          <w:b/>
          <w:sz w:val="33"/>
          <w:szCs w:val="33"/>
        </w:rPr>
        <w:t>3.</w:t>
      </w:r>
      <w:r>
        <w:rPr>
          <w:rFonts w:hint="default" w:ascii="Times New Roman" w:hAnsi="Times New Roman" w:eastAsia="方正仿宋_GBK" w:cs="Times New Roman"/>
          <w:bCs/>
          <w:sz w:val="33"/>
          <w:szCs w:val="33"/>
        </w:rPr>
        <w:t xml:space="preserve"> 社会保障和就业支出</w:t>
      </w:r>
      <w:r>
        <w:rPr>
          <w:rFonts w:hint="default" w:ascii="Times New Roman" w:hAnsi="Times New Roman" w:eastAsia="方正仿宋_GBK" w:cs="Times New Roman"/>
          <w:b/>
          <w:sz w:val="33"/>
          <w:szCs w:val="33"/>
        </w:rPr>
        <w:t>:</w:t>
      </w:r>
      <w:r>
        <w:rPr>
          <w:rFonts w:hint="default" w:ascii="Times New Roman" w:hAnsi="Times New Roman" w:eastAsia="方正仿宋_GBK" w:cs="Times New Roman"/>
          <w:sz w:val="33"/>
          <w:szCs w:val="33"/>
        </w:rPr>
        <w:t xml:space="preserve"> 2080109社会保障和就业预算支出30.59万元，完成预算100%；2080208基层政权和社区建设预算支出50.21万元。完成预算100%;2080504未归口管理的行政单位离退休预算支出19.76万元。完成预算100%；2080505机关事业单位基本养老保险缴费预算支出49.71万元，完成预算100%；2082102农村特困人员救助供养支出12.8万元，完成预算100%；</w:t>
      </w:r>
      <w:bookmarkEnd w:id="88"/>
    </w:p>
    <w:p w14:paraId="612E6571">
      <w:pPr>
        <w:pStyle w:val="20"/>
        <w:pageBreakBefore w:val="0"/>
        <w:widowControl w:val="0"/>
        <w:kinsoku/>
        <w:wordWrap/>
        <w:overflowPunct/>
        <w:topLinePunct w:val="0"/>
        <w:bidi w:val="0"/>
        <w:snapToGrid/>
        <w:spacing w:line="576" w:lineRule="exact"/>
        <w:ind w:firstLine="663"/>
        <w:textAlignment w:val="auto"/>
        <w:outlineLvl w:val="1"/>
        <w:rPr>
          <w:rFonts w:hint="default" w:ascii="Times New Roman" w:hAnsi="Times New Roman" w:eastAsia="方正仿宋_GBK" w:cs="Times New Roman"/>
          <w:sz w:val="33"/>
          <w:szCs w:val="33"/>
        </w:rPr>
      </w:pPr>
      <w:bookmarkStart w:id="89" w:name="_Toc29263"/>
      <w:r>
        <w:rPr>
          <w:rFonts w:hint="default" w:ascii="Times New Roman" w:hAnsi="Times New Roman" w:eastAsia="方正仿宋_GBK" w:cs="Times New Roman"/>
          <w:b/>
          <w:sz w:val="33"/>
          <w:szCs w:val="33"/>
        </w:rPr>
        <w:t>4.卫生健康支出：</w:t>
      </w:r>
      <w:r>
        <w:rPr>
          <w:rFonts w:hint="default" w:ascii="Times New Roman" w:hAnsi="Times New Roman" w:eastAsia="方正仿宋_GBK" w:cs="Times New Roman"/>
          <w:sz w:val="33"/>
          <w:szCs w:val="33"/>
        </w:rPr>
        <w:t>2100799卫生健康支出19.37万元，完成预算100%；</w:t>
      </w:r>
      <w:bookmarkEnd w:id="89"/>
    </w:p>
    <w:p w14:paraId="004A03BF">
      <w:pPr>
        <w:pStyle w:val="20"/>
        <w:pageBreakBefore w:val="0"/>
        <w:widowControl w:val="0"/>
        <w:kinsoku/>
        <w:wordWrap/>
        <w:overflowPunct/>
        <w:topLinePunct w:val="0"/>
        <w:bidi w:val="0"/>
        <w:snapToGrid/>
        <w:spacing w:line="576" w:lineRule="exact"/>
        <w:ind w:firstLine="663"/>
        <w:textAlignment w:val="auto"/>
        <w:outlineLvl w:val="1"/>
        <w:rPr>
          <w:rFonts w:hint="default" w:ascii="Times New Roman" w:hAnsi="Times New Roman" w:eastAsia="方正仿宋_GBK" w:cs="Times New Roman"/>
          <w:sz w:val="33"/>
          <w:szCs w:val="33"/>
        </w:rPr>
      </w:pPr>
      <w:bookmarkStart w:id="90" w:name="_Toc29420"/>
      <w:r>
        <w:rPr>
          <w:rFonts w:hint="default" w:ascii="Times New Roman" w:hAnsi="Times New Roman" w:eastAsia="方正仿宋_GBK" w:cs="Times New Roman"/>
          <w:b/>
          <w:sz w:val="33"/>
          <w:szCs w:val="33"/>
        </w:rPr>
        <w:t>5.城乡社区支出：</w:t>
      </w:r>
      <w:r>
        <w:rPr>
          <w:rFonts w:hint="default" w:ascii="Times New Roman" w:hAnsi="Times New Roman" w:eastAsia="方正仿宋_GBK" w:cs="Times New Roman"/>
          <w:sz w:val="33"/>
          <w:szCs w:val="33"/>
        </w:rPr>
        <w:t>2120501城乡社区环境卫生预算支出42.04万元，完成预算100%；</w:t>
      </w:r>
      <w:bookmarkEnd w:id="90"/>
    </w:p>
    <w:p w14:paraId="48F88C4E">
      <w:pPr>
        <w:pStyle w:val="20"/>
        <w:pageBreakBefore w:val="0"/>
        <w:widowControl w:val="0"/>
        <w:kinsoku/>
        <w:wordWrap/>
        <w:overflowPunct/>
        <w:topLinePunct w:val="0"/>
        <w:bidi w:val="0"/>
        <w:snapToGrid/>
        <w:spacing w:line="576" w:lineRule="exact"/>
        <w:ind w:firstLine="663"/>
        <w:textAlignment w:val="auto"/>
        <w:outlineLvl w:val="1"/>
        <w:rPr>
          <w:rFonts w:hint="default" w:ascii="Times New Roman" w:hAnsi="Times New Roman" w:eastAsia="方正仿宋_GBK" w:cs="Times New Roman"/>
          <w:sz w:val="33"/>
          <w:szCs w:val="33"/>
        </w:rPr>
      </w:pPr>
      <w:bookmarkStart w:id="91" w:name="_Toc19235"/>
      <w:r>
        <w:rPr>
          <w:rFonts w:hint="default" w:ascii="Times New Roman" w:hAnsi="Times New Roman" w:eastAsia="方正仿宋_GBK" w:cs="Times New Roman"/>
          <w:b/>
          <w:sz w:val="33"/>
          <w:szCs w:val="33"/>
        </w:rPr>
        <w:t>6.</w:t>
      </w:r>
      <w:r>
        <w:rPr>
          <w:rFonts w:hint="default" w:ascii="Times New Roman" w:hAnsi="Times New Roman" w:eastAsia="方正仿宋_GBK" w:cs="Times New Roman"/>
          <w:bCs/>
          <w:sz w:val="33"/>
          <w:szCs w:val="33"/>
        </w:rPr>
        <w:t xml:space="preserve"> </w:t>
      </w:r>
      <w:r>
        <w:rPr>
          <w:rFonts w:hint="default" w:ascii="Times New Roman" w:hAnsi="Times New Roman" w:eastAsia="方正仿宋_GBK" w:cs="Times New Roman"/>
          <w:b/>
          <w:sz w:val="33"/>
          <w:szCs w:val="33"/>
        </w:rPr>
        <w:t>农林水支出：</w:t>
      </w:r>
      <w:r>
        <w:rPr>
          <w:rFonts w:hint="default" w:ascii="Times New Roman" w:hAnsi="Times New Roman" w:eastAsia="方正仿宋_GBK" w:cs="Times New Roman"/>
          <w:sz w:val="33"/>
          <w:szCs w:val="33"/>
        </w:rPr>
        <w:t>2130104事业运行预算支出132.24万元，完成预算100%；2130599其他扶贫支出19.76万元，完成预算100%；2130701对村级一事一议的补助预算支出15.88万元，完成预算100%；2130705对村民委员会和村党支部的补助预算支出297.47万元，完成预算100%；</w:t>
      </w:r>
      <w:bookmarkEnd w:id="91"/>
    </w:p>
    <w:p w14:paraId="2797E78C">
      <w:pPr>
        <w:pStyle w:val="20"/>
        <w:pageBreakBefore w:val="0"/>
        <w:widowControl w:val="0"/>
        <w:kinsoku/>
        <w:wordWrap/>
        <w:overflowPunct/>
        <w:topLinePunct w:val="0"/>
        <w:bidi w:val="0"/>
        <w:snapToGrid/>
        <w:spacing w:line="576" w:lineRule="exact"/>
        <w:ind w:firstLine="663"/>
        <w:textAlignment w:val="auto"/>
        <w:outlineLvl w:val="1"/>
        <w:rPr>
          <w:rFonts w:hint="default" w:ascii="Times New Roman" w:hAnsi="Times New Roman" w:eastAsia="方正仿宋_GBK" w:cs="Times New Roman"/>
          <w:sz w:val="33"/>
          <w:szCs w:val="33"/>
        </w:rPr>
      </w:pPr>
      <w:bookmarkStart w:id="92" w:name="_Toc21704"/>
      <w:r>
        <w:rPr>
          <w:rFonts w:hint="default" w:ascii="Times New Roman" w:hAnsi="Times New Roman" w:eastAsia="方正仿宋_GBK" w:cs="Times New Roman"/>
          <w:b/>
          <w:sz w:val="33"/>
          <w:szCs w:val="33"/>
        </w:rPr>
        <w:t>7.</w:t>
      </w:r>
      <w:r>
        <w:rPr>
          <w:rFonts w:hint="default" w:ascii="Times New Roman" w:hAnsi="Times New Roman" w:eastAsia="方正仿宋_GBK" w:cs="Times New Roman"/>
          <w:bCs/>
          <w:sz w:val="33"/>
          <w:szCs w:val="33"/>
        </w:rPr>
        <w:t xml:space="preserve"> </w:t>
      </w:r>
      <w:r>
        <w:rPr>
          <w:rFonts w:hint="default" w:ascii="Times New Roman" w:hAnsi="Times New Roman" w:eastAsia="方正仿宋_GBK" w:cs="Times New Roman"/>
          <w:b/>
          <w:sz w:val="33"/>
          <w:szCs w:val="33"/>
        </w:rPr>
        <w:t>交通运输支出:</w:t>
      </w:r>
      <w:r>
        <w:rPr>
          <w:rFonts w:hint="default" w:ascii="Times New Roman" w:hAnsi="Times New Roman" w:eastAsia="方正仿宋_GBK" w:cs="Times New Roman"/>
          <w:sz w:val="33"/>
          <w:szCs w:val="33"/>
        </w:rPr>
        <w:t xml:space="preserve"> 2140106交通运输支出22.57万元，完成预算100%；</w:t>
      </w:r>
      <w:bookmarkEnd w:id="92"/>
    </w:p>
    <w:p w14:paraId="523CA4C3">
      <w:pPr>
        <w:pStyle w:val="20"/>
        <w:pageBreakBefore w:val="0"/>
        <w:widowControl w:val="0"/>
        <w:kinsoku/>
        <w:wordWrap/>
        <w:overflowPunct/>
        <w:topLinePunct w:val="0"/>
        <w:bidi w:val="0"/>
        <w:snapToGrid/>
        <w:spacing w:line="576" w:lineRule="exact"/>
        <w:ind w:firstLine="663"/>
        <w:textAlignment w:val="auto"/>
        <w:outlineLvl w:val="1"/>
        <w:rPr>
          <w:rFonts w:hint="default" w:ascii="Times New Roman" w:hAnsi="Times New Roman" w:eastAsia="方正仿宋_GBK" w:cs="Times New Roman"/>
          <w:sz w:val="33"/>
          <w:szCs w:val="33"/>
        </w:rPr>
      </w:pPr>
      <w:bookmarkStart w:id="93" w:name="_Toc24496"/>
      <w:r>
        <w:rPr>
          <w:rFonts w:hint="default" w:ascii="Times New Roman" w:hAnsi="Times New Roman" w:eastAsia="方正仿宋_GBK" w:cs="Times New Roman"/>
          <w:b/>
          <w:sz w:val="33"/>
          <w:szCs w:val="33"/>
        </w:rPr>
        <w:t>8.住房保障支出:</w:t>
      </w:r>
      <w:r>
        <w:rPr>
          <w:rFonts w:hint="default" w:ascii="Times New Roman" w:hAnsi="Times New Roman" w:eastAsia="方正仿宋_GBK" w:cs="Times New Roman"/>
          <w:sz w:val="33"/>
          <w:szCs w:val="33"/>
        </w:rPr>
        <w:t xml:space="preserve"> 2210103棚户区改造预算支出11.16万元，完成预算100%；2210201住房公积金56.16万元，完成预算100%；</w:t>
      </w:r>
      <w:bookmarkEnd w:id="93"/>
    </w:p>
    <w:p w14:paraId="00300247">
      <w:pPr>
        <w:pStyle w:val="20"/>
        <w:pageBreakBefore w:val="0"/>
        <w:widowControl w:val="0"/>
        <w:kinsoku/>
        <w:wordWrap/>
        <w:overflowPunct/>
        <w:topLinePunct w:val="0"/>
        <w:bidi w:val="0"/>
        <w:snapToGrid/>
        <w:spacing w:line="576" w:lineRule="exact"/>
        <w:ind w:firstLine="663"/>
        <w:textAlignment w:val="auto"/>
        <w:outlineLvl w:val="1"/>
        <w:rPr>
          <w:rFonts w:hint="default" w:ascii="Times New Roman" w:hAnsi="Times New Roman" w:eastAsia="方正仿宋_GBK" w:cs="Times New Roman"/>
          <w:bCs/>
          <w:sz w:val="33"/>
          <w:szCs w:val="33"/>
        </w:rPr>
      </w:pPr>
      <w:bookmarkStart w:id="94" w:name="_Toc27486"/>
      <w:r>
        <w:rPr>
          <w:rFonts w:hint="default" w:ascii="Times New Roman" w:hAnsi="Times New Roman" w:eastAsia="方正仿宋_GBK" w:cs="Times New Roman"/>
          <w:b/>
          <w:sz w:val="33"/>
          <w:szCs w:val="33"/>
        </w:rPr>
        <w:t>9.</w:t>
      </w:r>
      <w:r>
        <w:rPr>
          <w:rFonts w:hint="default" w:ascii="Times New Roman" w:hAnsi="Times New Roman" w:eastAsia="方正仿宋_GBK" w:cs="Times New Roman"/>
          <w:bCs/>
          <w:sz w:val="33"/>
          <w:szCs w:val="33"/>
        </w:rPr>
        <w:t xml:space="preserve"> </w:t>
      </w:r>
      <w:r>
        <w:rPr>
          <w:rFonts w:hint="default" w:ascii="Times New Roman" w:hAnsi="Times New Roman" w:eastAsia="方正仿宋_GBK" w:cs="Times New Roman"/>
          <w:b/>
          <w:sz w:val="33"/>
          <w:szCs w:val="33"/>
        </w:rPr>
        <w:t>灾害防治及应急管理支出:</w:t>
      </w:r>
      <w:r>
        <w:rPr>
          <w:rFonts w:hint="default" w:ascii="Times New Roman" w:hAnsi="Times New Roman" w:eastAsia="方正仿宋_GBK" w:cs="Times New Roman"/>
          <w:sz w:val="33"/>
          <w:szCs w:val="33"/>
        </w:rPr>
        <w:t xml:space="preserve"> 2240106安全监管预算支出19.96万元，完成预算100%;2240701中央自然灾害生活补助预算支出0.37万元，完成预算100%。</w:t>
      </w:r>
      <w:bookmarkEnd w:id="94"/>
    </w:p>
    <w:p w14:paraId="15BD7651">
      <w:pPr>
        <w:pStyle w:val="3"/>
        <w:keepNext/>
        <w:keepLines/>
        <w:pageBreakBefore w:val="0"/>
        <w:widowControl w:val="0"/>
        <w:kinsoku/>
        <w:wordWrap/>
        <w:overflowPunct/>
        <w:topLinePunct w:val="0"/>
        <w:autoSpaceDE/>
        <w:autoSpaceDN/>
        <w:bidi w:val="0"/>
        <w:adjustRightInd/>
        <w:snapToGrid/>
        <w:spacing w:line="576" w:lineRule="exact"/>
        <w:ind w:firstLine="660" w:firstLineChars="200"/>
        <w:textAlignment w:val="auto"/>
        <w:rPr>
          <w:rFonts w:hint="default" w:ascii="方正黑体_GBK" w:hAnsi="方正黑体_GBK" w:eastAsia="方正黑体_GBK" w:cs="方正黑体_GBK"/>
          <w:b w:val="0"/>
          <w:bCs w:val="0"/>
          <w:sz w:val="33"/>
          <w:szCs w:val="33"/>
        </w:rPr>
      </w:pPr>
      <w:bookmarkStart w:id="95" w:name="_Toc5967"/>
      <w:bookmarkStart w:id="96" w:name="_Toc52180085"/>
      <w:bookmarkStart w:id="97" w:name="_Toc15377214"/>
      <w:bookmarkStart w:id="98" w:name="_Toc15396608"/>
      <w:r>
        <w:rPr>
          <w:rFonts w:hint="default" w:ascii="方正黑体_GBK" w:hAnsi="方正黑体_GBK" w:eastAsia="方正黑体_GBK" w:cs="方正黑体_GBK"/>
          <w:b w:val="0"/>
          <w:bCs w:val="0"/>
          <w:sz w:val="33"/>
          <w:szCs w:val="33"/>
        </w:rPr>
        <w:t>六、一般公共预算财政拨款基本支出决算情况说明</w:t>
      </w:r>
      <w:bookmarkEnd w:id="95"/>
      <w:bookmarkEnd w:id="96"/>
      <w:bookmarkEnd w:id="97"/>
      <w:bookmarkEnd w:id="98"/>
      <w:r>
        <w:rPr>
          <w:rFonts w:hint="default" w:ascii="方正黑体_GBK" w:hAnsi="方正黑体_GBK" w:eastAsia="方正黑体_GBK" w:cs="方正黑体_GBK"/>
          <w:b w:val="0"/>
          <w:bCs w:val="0"/>
          <w:sz w:val="33"/>
          <w:szCs w:val="33"/>
        </w:rPr>
        <w:tab/>
      </w:r>
    </w:p>
    <w:p w14:paraId="33E2642F">
      <w:pPr>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2019年一般公共预算财政拨款基本支出620.03万元，其中：人员经费717.84万元，主要包括：基本工资140.3万元、津贴补贴152.99万元、奖金207.31万元、绩效工资82.92万元、机关事业单位基本养老保险缴费49.71万元、其他社会保障缴费28.44万元、住房公积金56.16万元等。</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　　日常公用经费119.32万元，主要包括：办公费18.8万元、电费3.12万元、邮电费1.91万元、差旅费18.15万元、维修费0.05万元、租赁费0.04万元、会议费7.39万元、培训费1.38万元、公务接待费0.07万元、劳务费22.46万元、工会经费6.26万元、福利费4.41万元、公务用车运行维护费8.01万元、其他交通费19.5万元、其他商品和服务支出8万元等。</w:t>
      </w:r>
    </w:p>
    <w:p w14:paraId="196084CE">
      <w:pPr>
        <w:pStyle w:val="3"/>
        <w:keepNext/>
        <w:keepLines/>
        <w:pageBreakBefore w:val="0"/>
        <w:widowControl w:val="0"/>
        <w:kinsoku/>
        <w:wordWrap/>
        <w:overflowPunct/>
        <w:topLinePunct w:val="0"/>
        <w:autoSpaceDE/>
        <w:autoSpaceDN/>
        <w:bidi w:val="0"/>
        <w:adjustRightInd/>
        <w:snapToGrid/>
        <w:spacing w:line="576" w:lineRule="exact"/>
        <w:ind w:firstLine="660" w:firstLineChars="200"/>
        <w:textAlignment w:val="auto"/>
        <w:rPr>
          <w:rFonts w:hint="default" w:ascii="方正黑体_GBK" w:hAnsi="方正黑体_GBK" w:eastAsia="方正黑体_GBK" w:cs="方正黑体_GBK"/>
          <w:b w:val="0"/>
          <w:bCs w:val="0"/>
          <w:sz w:val="33"/>
          <w:szCs w:val="33"/>
        </w:rPr>
      </w:pPr>
      <w:bookmarkStart w:id="99" w:name="_Toc15396609"/>
      <w:bookmarkStart w:id="100" w:name="_Toc52180086"/>
      <w:bookmarkStart w:id="101" w:name="_Toc27135"/>
      <w:bookmarkStart w:id="102" w:name="_Toc15377215"/>
      <w:r>
        <w:rPr>
          <w:rFonts w:hint="default" w:ascii="方正黑体_GBK" w:hAnsi="方正黑体_GBK" w:eastAsia="方正黑体_GBK" w:cs="方正黑体_GBK"/>
          <w:b w:val="0"/>
          <w:bCs w:val="0"/>
          <w:sz w:val="33"/>
          <w:szCs w:val="33"/>
        </w:rPr>
        <w:t>七、“三公”经费财政拨款支出决算情况说明</w:t>
      </w:r>
      <w:bookmarkEnd w:id="99"/>
      <w:bookmarkEnd w:id="100"/>
      <w:bookmarkEnd w:id="101"/>
      <w:bookmarkEnd w:id="102"/>
    </w:p>
    <w:p w14:paraId="5A866526">
      <w:pPr>
        <w:pStyle w:val="4"/>
        <w:pageBreakBefore w:val="0"/>
        <w:widowControl w:val="0"/>
        <w:kinsoku/>
        <w:wordWrap/>
        <w:overflowPunct/>
        <w:topLinePunct w:val="0"/>
        <w:bidi w:val="0"/>
        <w:snapToGrid/>
        <w:spacing w:line="576" w:lineRule="exact"/>
        <w:ind w:firstLine="663" w:firstLineChars="200"/>
        <w:textAlignment w:val="auto"/>
        <w:rPr>
          <w:rFonts w:hint="default" w:ascii="方正楷体_GBK" w:hAnsi="方正楷体_GBK" w:eastAsia="方正楷体_GBK" w:cs="方正楷体_GBK"/>
          <w:sz w:val="33"/>
          <w:szCs w:val="33"/>
        </w:rPr>
      </w:pPr>
      <w:bookmarkStart w:id="103" w:name="_Toc15377216"/>
      <w:bookmarkStart w:id="104" w:name="_Toc52180087"/>
      <w:bookmarkStart w:id="105" w:name="_Toc25625"/>
      <w:r>
        <w:rPr>
          <w:rFonts w:hint="default" w:ascii="方正楷体_GBK" w:hAnsi="方正楷体_GBK" w:eastAsia="方正楷体_GBK" w:cs="方正楷体_GBK"/>
          <w:sz w:val="33"/>
          <w:szCs w:val="33"/>
        </w:rPr>
        <w:t>（一）“三公”经费财政拨款支出决算总体情况说明</w:t>
      </w:r>
      <w:bookmarkEnd w:id="103"/>
      <w:bookmarkEnd w:id="104"/>
      <w:bookmarkEnd w:id="105"/>
    </w:p>
    <w:p w14:paraId="73241010">
      <w:pPr>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2019年“三公”经费财政拨款支出决算为8.08万元，完成预算100%，其中：公务用车运行维护费8.01万元，公务接待费0.07万元、。</w:t>
      </w:r>
    </w:p>
    <w:p w14:paraId="2286BDA4">
      <w:pPr>
        <w:pStyle w:val="4"/>
        <w:pageBreakBefore w:val="0"/>
        <w:widowControl w:val="0"/>
        <w:kinsoku/>
        <w:wordWrap/>
        <w:overflowPunct/>
        <w:topLinePunct w:val="0"/>
        <w:bidi w:val="0"/>
        <w:snapToGrid/>
        <w:spacing w:line="576" w:lineRule="exact"/>
        <w:ind w:firstLine="663" w:firstLineChars="200"/>
        <w:textAlignment w:val="auto"/>
        <w:rPr>
          <w:rFonts w:hint="default" w:ascii="方正楷体_GBK" w:hAnsi="方正楷体_GBK" w:eastAsia="方正楷体_GBK" w:cs="方正楷体_GBK"/>
          <w:sz w:val="33"/>
          <w:szCs w:val="33"/>
        </w:rPr>
      </w:pPr>
      <w:bookmarkStart w:id="106" w:name="_Toc52180088"/>
      <w:bookmarkStart w:id="107" w:name="_Toc32313"/>
      <w:bookmarkStart w:id="108" w:name="_Toc15377217"/>
      <w:r>
        <w:rPr>
          <w:rFonts w:hint="default" w:ascii="方正楷体_GBK" w:hAnsi="方正楷体_GBK" w:eastAsia="方正楷体_GBK" w:cs="方正楷体_GBK"/>
          <w:sz w:val="33"/>
          <w:szCs w:val="33"/>
        </w:rPr>
        <w:t>（二）“三公”经费财政拨款支出决算具体情况说明</w:t>
      </w:r>
      <w:bookmarkEnd w:id="106"/>
      <w:bookmarkEnd w:id="107"/>
      <w:bookmarkEnd w:id="108"/>
    </w:p>
    <w:p w14:paraId="4C6D2FD0">
      <w:pPr>
        <w:pageBreakBefore w:val="0"/>
        <w:widowControl w:val="0"/>
        <w:kinsoku/>
        <w:wordWrap/>
        <w:overflowPunct/>
        <w:topLinePunct w:val="0"/>
        <w:bidi w:val="0"/>
        <w:snapToGrid/>
        <w:spacing w:line="576" w:lineRule="exact"/>
        <w:ind w:firstLine="825" w:firstLineChars="25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2019年“三公”经费财政拨款支出决算中，因公出国（境）费支出决算0万元；公务用车购置及运行维护费支出决算8.01万元，占99.1%；公务接待费支出决算0.07万元，占0.9%。具体情况如下：</w:t>
      </w:r>
    </w:p>
    <w:p w14:paraId="1528AA49">
      <w:pPr>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1.因公出国（境）经费支出0万元。</w:t>
      </w:r>
    </w:p>
    <w:p w14:paraId="10B9CDF1">
      <w:pPr>
        <w:pageBreakBefore w:val="0"/>
        <w:widowControl w:val="0"/>
        <w:kinsoku/>
        <w:wordWrap/>
        <w:overflowPunct/>
        <w:topLinePunct w:val="0"/>
        <w:bidi w:val="0"/>
        <w:snapToGrid/>
        <w:spacing w:line="576" w:lineRule="exact"/>
        <w:ind w:firstLine="825" w:firstLineChars="25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公务用车购置及运行维护费支出8.01万元,完成预算100%。公务用车购置及运行维护费支出决算比2018年增加2.01万元，上升33%。主要原因是维修费用增加，其中：公务用车购置支出0万元。全年按规定更新购置公务用车0辆，金额0元。截至2019年12月底，单位共有公务用车2辆，其中：主要领导干部用车0辆、机要通信用车1辆、应急保障用车1辆、 执法执勤用车0辆、特种专业技术用车0辆。</w:t>
      </w:r>
    </w:p>
    <w:p w14:paraId="431D2A73">
      <w:pPr>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3. 公务接待费支出0.07万元。公务接待费支出决算比2018年减少0.05万元，下降41%。</w:t>
      </w:r>
    </w:p>
    <w:p w14:paraId="2AD7241C">
      <w:pPr>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（1）公务用车运行维护费支出8.01万元。主要用于具体工作等所需的公务用车燃料费、维修费、过路过桥费、保险费等支出。</w:t>
      </w:r>
    </w:p>
    <w:p w14:paraId="1E0ED15A">
      <w:pPr>
        <w:pageBreakBefore w:val="0"/>
        <w:widowControl w:val="0"/>
        <w:kinsoku/>
        <w:wordWrap/>
        <w:overflowPunct/>
        <w:topLinePunct w:val="0"/>
        <w:bidi w:val="0"/>
        <w:snapToGrid/>
        <w:spacing w:line="576" w:lineRule="exact"/>
        <w:ind w:firstLine="64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（2）国内公务接待支出0.07万元。主要用于执行公务、开展业务活动开支的交通费、住宿费、用餐费等。具体内容包括：市、县各部门公务接待用餐。外事接待支出0万元，外事接待0批次，0人，共计支出0万元。</w:t>
      </w:r>
      <w:bookmarkStart w:id="109" w:name="_Toc15377218"/>
      <w:bookmarkStart w:id="110" w:name="_Toc15396610"/>
    </w:p>
    <w:p w14:paraId="0D1BC268">
      <w:pPr>
        <w:pStyle w:val="3"/>
        <w:keepNext/>
        <w:keepLines/>
        <w:pageBreakBefore w:val="0"/>
        <w:widowControl w:val="0"/>
        <w:kinsoku/>
        <w:wordWrap/>
        <w:overflowPunct/>
        <w:topLinePunct w:val="0"/>
        <w:autoSpaceDE/>
        <w:autoSpaceDN/>
        <w:bidi w:val="0"/>
        <w:adjustRightInd/>
        <w:snapToGrid/>
        <w:spacing w:line="576" w:lineRule="exact"/>
        <w:ind w:firstLine="660" w:firstLineChars="200"/>
        <w:textAlignment w:val="auto"/>
        <w:rPr>
          <w:rFonts w:hint="default" w:ascii="方正黑体_GBK" w:hAnsi="方正黑体_GBK" w:eastAsia="方正黑体_GBK" w:cs="方正黑体_GBK"/>
          <w:b w:val="0"/>
          <w:bCs w:val="0"/>
          <w:sz w:val="33"/>
          <w:szCs w:val="33"/>
        </w:rPr>
      </w:pPr>
      <w:bookmarkStart w:id="111" w:name="_Toc14780"/>
      <w:bookmarkStart w:id="112" w:name="_Toc52180089"/>
      <w:r>
        <w:rPr>
          <w:rFonts w:hint="default" w:ascii="方正黑体_GBK" w:hAnsi="方正黑体_GBK" w:eastAsia="方正黑体_GBK" w:cs="方正黑体_GBK"/>
          <w:b w:val="0"/>
          <w:bCs w:val="0"/>
          <w:sz w:val="33"/>
          <w:szCs w:val="33"/>
        </w:rPr>
        <w:t>八、政府性基金预算支出决算情况说明</w:t>
      </w:r>
      <w:bookmarkEnd w:id="109"/>
      <w:bookmarkEnd w:id="110"/>
      <w:bookmarkEnd w:id="111"/>
      <w:bookmarkEnd w:id="112"/>
    </w:p>
    <w:p w14:paraId="65B089D8">
      <w:pPr>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2019年政府性基金预算拨款支出0万元。</w:t>
      </w:r>
    </w:p>
    <w:p w14:paraId="0D40CBBD">
      <w:pPr>
        <w:pStyle w:val="3"/>
        <w:keepNext/>
        <w:keepLines/>
        <w:pageBreakBefore w:val="0"/>
        <w:widowControl w:val="0"/>
        <w:kinsoku/>
        <w:wordWrap/>
        <w:overflowPunct/>
        <w:topLinePunct w:val="0"/>
        <w:autoSpaceDE/>
        <w:autoSpaceDN/>
        <w:bidi w:val="0"/>
        <w:adjustRightInd/>
        <w:snapToGrid/>
        <w:spacing w:line="576" w:lineRule="exact"/>
        <w:ind w:firstLine="660" w:firstLineChars="200"/>
        <w:textAlignment w:val="auto"/>
        <w:rPr>
          <w:rFonts w:hint="default" w:ascii="方正黑体_GBK" w:hAnsi="方正黑体_GBK" w:eastAsia="方正黑体_GBK" w:cs="方正黑体_GBK"/>
          <w:b w:val="0"/>
          <w:bCs w:val="0"/>
          <w:sz w:val="33"/>
          <w:szCs w:val="33"/>
        </w:rPr>
      </w:pPr>
      <w:bookmarkStart w:id="113" w:name="_Toc16379"/>
      <w:bookmarkStart w:id="114" w:name="_Toc15396611"/>
      <w:bookmarkStart w:id="115" w:name="_Toc15377219"/>
      <w:bookmarkStart w:id="116" w:name="_Toc52180090"/>
      <w:r>
        <w:rPr>
          <w:rFonts w:hint="default" w:ascii="方正黑体_GBK" w:hAnsi="方正黑体_GBK" w:eastAsia="方正黑体_GBK" w:cs="方正黑体_GBK"/>
          <w:b w:val="0"/>
          <w:bCs w:val="0"/>
          <w:sz w:val="33"/>
          <w:szCs w:val="33"/>
        </w:rPr>
        <w:t>九、国有资本经营预算支出决算情况说明</w:t>
      </w:r>
      <w:bookmarkEnd w:id="113"/>
      <w:bookmarkEnd w:id="114"/>
      <w:bookmarkEnd w:id="115"/>
      <w:bookmarkEnd w:id="116"/>
    </w:p>
    <w:p w14:paraId="0FAC169C">
      <w:pPr>
        <w:pageBreakBefore w:val="0"/>
        <w:widowControl w:val="0"/>
        <w:kinsoku/>
        <w:wordWrap/>
        <w:overflowPunct/>
        <w:topLinePunct w:val="0"/>
        <w:bidi w:val="0"/>
        <w:snapToGrid/>
        <w:spacing w:line="576" w:lineRule="exact"/>
        <w:ind w:firstLine="990" w:firstLineChars="3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2019年国有资本经营预算拨款支出0万元。</w:t>
      </w:r>
    </w:p>
    <w:p w14:paraId="49CFC0AB">
      <w:pPr>
        <w:pStyle w:val="3"/>
        <w:keepNext/>
        <w:keepLines/>
        <w:pageBreakBefore w:val="0"/>
        <w:widowControl w:val="0"/>
        <w:kinsoku/>
        <w:wordWrap/>
        <w:overflowPunct/>
        <w:topLinePunct w:val="0"/>
        <w:autoSpaceDE/>
        <w:autoSpaceDN/>
        <w:bidi w:val="0"/>
        <w:adjustRightInd/>
        <w:snapToGrid/>
        <w:spacing w:line="576" w:lineRule="exact"/>
        <w:ind w:firstLine="660" w:firstLineChars="200"/>
        <w:textAlignment w:val="auto"/>
        <w:rPr>
          <w:rFonts w:hint="default" w:ascii="方正黑体_GBK" w:hAnsi="方正黑体_GBK" w:eastAsia="方正黑体_GBK" w:cs="方正黑体_GBK"/>
          <w:b w:val="0"/>
          <w:bCs w:val="0"/>
          <w:sz w:val="33"/>
          <w:szCs w:val="33"/>
        </w:rPr>
      </w:pPr>
      <w:bookmarkStart w:id="117" w:name="_Toc15396612"/>
      <w:bookmarkStart w:id="118" w:name="_Toc16280"/>
      <w:bookmarkStart w:id="119" w:name="_Toc52180091"/>
      <w:bookmarkStart w:id="120" w:name="_Toc15377221"/>
      <w:r>
        <w:rPr>
          <w:rFonts w:hint="default" w:ascii="方正黑体_GBK" w:hAnsi="方正黑体_GBK" w:eastAsia="方正黑体_GBK" w:cs="方正黑体_GBK"/>
          <w:b w:val="0"/>
          <w:bCs w:val="0"/>
          <w:sz w:val="33"/>
          <w:szCs w:val="33"/>
        </w:rPr>
        <w:t>十、其他重要事项的情况说明</w:t>
      </w:r>
      <w:bookmarkEnd w:id="117"/>
      <w:bookmarkEnd w:id="118"/>
      <w:bookmarkEnd w:id="119"/>
      <w:bookmarkEnd w:id="120"/>
    </w:p>
    <w:p w14:paraId="3D15971D">
      <w:pPr>
        <w:pStyle w:val="4"/>
        <w:pageBreakBefore w:val="0"/>
        <w:widowControl w:val="0"/>
        <w:kinsoku/>
        <w:wordWrap/>
        <w:overflowPunct/>
        <w:topLinePunct w:val="0"/>
        <w:bidi w:val="0"/>
        <w:snapToGrid/>
        <w:spacing w:line="576" w:lineRule="exact"/>
        <w:ind w:firstLine="663" w:firstLineChars="200"/>
        <w:textAlignment w:val="auto"/>
        <w:rPr>
          <w:rFonts w:hint="default" w:ascii="方正楷体_GBK" w:hAnsi="方正楷体_GBK" w:eastAsia="方正楷体_GBK" w:cs="方正楷体_GBK"/>
          <w:sz w:val="33"/>
          <w:szCs w:val="33"/>
        </w:rPr>
      </w:pPr>
      <w:bookmarkStart w:id="121" w:name="_Toc52180092"/>
      <w:bookmarkStart w:id="122" w:name="_Toc15377222"/>
      <w:bookmarkStart w:id="123" w:name="_Toc5028"/>
      <w:r>
        <w:rPr>
          <w:rFonts w:hint="default" w:ascii="方正楷体_GBK" w:hAnsi="方正楷体_GBK" w:eastAsia="方正楷体_GBK" w:cs="方正楷体_GBK"/>
          <w:sz w:val="33"/>
          <w:szCs w:val="33"/>
        </w:rPr>
        <w:t>（一）机关运行经费支出情况</w:t>
      </w:r>
      <w:bookmarkEnd w:id="121"/>
      <w:bookmarkEnd w:id="122"/>
      <w:bookmarkEnd w:id="123"/>
    </w:p>
    <w:p w14:paraId="7EC99D75">
      <w:pPr>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sz w:val="33"/>
          <w:szCs w:val="33"/>
        </w:rPr>
        <w:t>2019年，红果乡机关运行经费支出1352万元，比2018年增加219万元，增长19%。主要原因是项目支出较多</w:t>
      </w:r>
      <w:r>
        <w:rPr>
          <w:rFonts w:hint="default" w:ascii="Times New Roman" w:hAnsi="Times New Roman" w:eastAsia="方正仿宋_GBK" w:cs="Times New Roman"/>
          <w:color w:val="000000"/>
          <w:sz w:val="33"/>
          <w:szCs w:val="33"/>
        </w:rPr>
        <w:t>。</w:t>
      </w:r>
    </w:p>
    <w:p w14:paraId="1D233320">
      <w:pPr>
        <w:pStyle w:val="4"/>
        <w:pageBreakBefore w:val="0"/>
        <w:widowControl w:val="0"/>
        <w:kinsoku/>
        <w:wordWrap/>
        <w:overflowPunct/>
        <w:topLinePunct w:val="0"/>
        <w:bidi w:val="0"/>
        <w:snapToGrid/>
        <w:spacing w:line="576" w:lineRule="exact"/>
        <w:ind w:firstLine="663" w:firstLineChars="200"/>
        <w:textAlignment w:val="auto"/>
        <w:rPr>
          <w:rFonts w:hint="default" w:ascii="方正楷体_GBK" w:hAnsi="方正楷体_GBK" w:eastAsia="方正楷体_GBK" w:cs="方正楷体_GBK"/>
          <w:sz w:val="33"/>
          <w:szCs w:val="33"/>
        </w:rPr>
      </w:pPr>
      <w:bookmarkStart w:id="124" w:name="_Toc52180093"/>
      <w:bookmarkStart w:id="125" w:name="_Toc15377223"/>
      <w:bookmarkStart w:id="126" w:name="_Toc16647"/>
      <w:r>
        <w:rPr>
          <w:rFonts w:hint="default" w:ascii="方正楷体_GBK" w:hAnsi="方正楷体_GBK" w:eastAsia="方正楷体_GBK" w:cs="方正楷体_GBK"/>
          <w:sz w:val="33"/>
          <w:szCs w:val="33"/>
        </w:rPr>
        <w:t>（二）政府采购支出情况</w:t>
      </w:r>
      <w:bookmarkEnd w:id="124"/>
      <w:bookmarkEnd w:id="125"/>
      <w:bookmarkEnd w:id="126"/>
    </w:p>
    <w:p w14:paraId="1B57CB82">
      <w:pPr>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2019年，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0DE39915">
      <w:pPr>
        <w:pStyle w:val="4"/>
        <w:pageBreakBefore w:val="0"/>
        <w:widowControl w:val="0"/>
        <w:kinsoku/>
        <w:wordWrap/>
        <w:overflowPunct/>
        <w:topLinePunct w:val="0"/>
        <w:bidi w:val="0"/>
        <w:snapToGrid/>
        <w:spacing w:line="576" w:lineRule="exact"/>
        <w:ind w:firstLine="663" w:firstLineChars="200"/>
        <w:textAlignment w:val="auto"/>
        <w:rPr>
          <w:rFonts w:hint="default" w:ascii="方正楷体_GBK" w:hAnsi="方正楷体_GBK" w:eastAsia="方正楷体_GBK" w:cs="方正楷体_GBK"/>
          <w:sz w:val="33"/>
          <w:szCs w:val="33"/>
        </w:rPr>
      </w:pPr>
      <w:bookmarkStart w:id="127" w:name="_Toc15377224"/>
      <w:bookmarkStart w:id="128" w:name="_Toc5559"/>
      <w:bookmarkStart w:id="129" w:name="_Toc52180094"/>
      <w:r>
        <w:rPr>
          <w:rFonts w:hint="default" w:ascii="方正楷体_GBK" w:hAnsi="方正楷体_GBK" w:eastAsia="方正楷体_GBK" w:cs="方正楷体_GBK"/>
          <w:sz w:val="33"/>
          <w:szCs w:val="33"/>
        </w:rPr>
        <w:t>（三）国有资产占有使用情况</w:t>
      </w:r>
      <w:bookmarkEnd w:id="127"/>
      <w:bookmarkEnd w:id="128"/>
      <w:bookmarkEnd w:id="129"/>
    </w:p>
    <w:p w14:paraId="6BFC38C6">
      <w:pPr>
        <w:pageBreakBefore w:val="0"/>
        <w:widowControl w:val="0"/>
        <w:kinsoku/>
        <w:wordWrap/>
        <w:overflowPunct/>
        <w:topLinePunct w:val="0"/>
        <w:autoSpaceDE w:val="0"/>
        <w:autoSpaceDN w:val="0"/>
        <w:bidi w:val="0"/>
        <w:adjustRightInd w:val="0"/>
        <w:snapToGrid/>
        <w:spacing w:line="576" w:lineRule="exact"/>
        <w:ind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截至2019年12月31日，共有车辆2辆，其中：主要领导干部用车0辆、机要通信用车1辆、应急保障用车1辆、特种专业技术用车0辆，单价50万元以上通用设备0台（套），单价100万元以上专用设备0台（套）。</w:t>
      </w:r>
    </w:p>
    <w:p w14:paraId="68AE5783">
      <w:pPr>
        <w:pStyle w:val="4"/>
        <w:pageBreakBefore w:val="0"/>
        <w:widowControl w:val="0"/>
        <w:kinsoku/>
        <w:wordWrap/>
        <w:overflowPunct/>
        <w:topLinePunct w:val="0"/>
        <w:bidi w:val="0"/>
        <w:snapToGrid/>
        <w:spacing w:line="576" w:lineRule="exact"/>
        <w:ind w:firstLine="663" w:firstLineChars="200"/>
        <w:textAlignment w:val="auto"/>
        <w:rPr>
          <w:rFonts w:hint="default" w:ascii="方正楷体_GBK" w:hAnsi="方正楷体_GBK" w:eastAsia="方正楷体_GBK" w:cs="方正楷体_GBK"/>
          <w:sz w:val="33"/>
          <w:szCs w:val="33"/>
        </w:rPr>
      </w:pPr>
      <w:bookmarkStart w:id="130" w:name="_Toc13516"/>
      <w:bookmarkStart w:id="131" w:name="_Toc52180095"/>
      <w:r>
        <w:rPr>
          <w:rFonts w:hint="default" w:ascii="方正楷体_GBK" w:hAnsi="方正楷体_GBK" w:eastAsia="方正楷体_GBK" w:cs="方正楷体_GBK"/>
          <w:sz w:val="33"/>
          <w:szCs w:val="33"/>
        </w:rPr>
        <w:t>（四）预算绩效管理情况。</w:t>
      </w:r>
      <w:bookmarkEnd w:id="130"/>
      <w:bookmarkEnd w:id="131"/>
    </w:p>
    <w:p w14:paraId="610018F9">
      <w:pPr>
        <w:pageBreakBefore w:val="0"/>
        <w:widowControl w:val="0"/>
        <w:kinsoku/>
        <w:wordWrap/>
        <w:overflowPunct/>
        <w:topLinePunct w:val="0"/>
        <w:autoSpaceDE w:val="0"/>
        <w:autoSpaceDN w:val="0"/>
        <w:bidi w:val="0"/>
        <w:adjustRightInd w:val="0"/>
        <w:snapToGrid/>
        <w:spacing w:line="576" w:lineRule="exact"/>
        <w:ind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根据预算绩效管理要求，红果乡人民政府在年初预算编制阶段，组织对红果乡项目开展了预算事前绩效评估，对47个项目编制了绩效目标，预算执行过程中，选取47个项目开展绩效监控，年终执行完毕后，对47个项目开展了绩效目标完成情况自评。</w:t>
      </w:r>
    </w:p>
    <w:p w14:paraId="0EAD7F40">
      <w:pPr>
        <w:pageBreakBefore w:val="0"/>
        <w:widowControl w:val="0"/>
        <w:kinsoku/>
        <w:wordWrap/>
        <w:overflowPunct/>
        <w:topLinePunct w:val="0"/>
        <w:autoSpaceDE w:val="0"/>
        <w:autoSpaceDN w:val="0"/>
        <w:bidi w:val="0"/>
        <w:adjustRightInd w:val="0"/>
        <w:snapToGrid/>
        <w:spacing w:line="576" w:lineRule="exact"/>
        <w:ind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项目绩效目标完成情况：本部门在2019年度部门决算中反映“公共运行””对村级一事一议的补助”“三州开发项目用于红果乡人行桥和水毁道路恢复项目”等47个项目绩效目标实际完成情况。</w:t>
      </w:r>
    </w:p>
    <w:p w14:paraId="1C3067FE">
      <w:pPr>
        <w:pageBreakBefore w:val="0"/>
        <w:widowControl w:val="0"/>
        <w:kinsoku/>
        <w:wordWrap/>
        <w:overflowPunct/>
        <w:topLinePunct w:val="0"/>
        <w:autoSpaceDE w:val="0"/>
        <w:autoSpaceDN w:val="0"/>
        <w:bidi w:val="0"/>
        <w:adjustRightInd w:val="0"/>
        <w:snapToGrid/>
        <w:spacing w:line="576" w:lineRule="exact"/>
        <w:ind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乡镇公共运行红果乡基层组织活动和公共服务运行经费项目绩效目标完成情况综述。项目全年预算数56万元，执行数为56万元，完成预算的100%。通过项目实施，提高了个村的公共运行项目和基础设施的改善，提高各村的运行效率。发现的主要问题：项目报账较慢。下一步改进措施：加快公共运行的报账。</w:t>
      </w:r>
    </w:p>
    <w:p w14:paraId="05CF969C">
      <w:pPr>
        <w:pageBreakBefore w:val="0"/>
        <w:widowControl w:val="0"/>
        <w:kinsoku/>
        <w:wordWrap/>
        <w:overflowPunct/>
        <w:topLinePunct w:val="0"/>
        <w:autoSpaceDE w:val="0"/>
        <w:autoSpaceDN w:val="0"/>
        <w:bidi w:val="0"/>
        <w:adjustRightInd w:val="0"/>
        <w:snapToGrid/>
        <w:spacing w:line="576" w:lineRule="exact"/>
        <w:ind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对村民一事一议奖补资金项目绩效目标完成情况综述。项目全年预算数15.88万元，执行数为15.88万元，完成预算的100%。通过项目实施，保障各村一事一议项目的顺利推进和开展，发现的主要问题：资金的利用产的效益较低。下一步改进措施：努力提高资金的利用效益。</w:t>
      </w:r>
    </w:p>
    <w:p w14:paraId="55B23FE7">
      <w:pPr>
        <w:pageBreakBefore w:val="0"/>
        <w:widowControl w:val="0"/>
        <w:kinsoku/>
        <w:wordWrap/>
        <w:overflowPunct/>
        <w:topLinePunct w:val="0"/>
        <w:autoSpaceDE w:val="0"/>
        <w:autoSpaceDN w:val="0"/>
        <w:bidi w:val="0"/>
        <w:adjustRightInd w:val="0"/>
        <w:snapToGrid/>
        <w:spacing w:line="576" w:lineRule="exact"/>
        <w:ind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3.三州开发项目用于红果乡人行桥和水毁道路恢复项目绩效目标完成情况综述。项目全年预算数33万元，执行数为33万元，完成预算的100%。通过项目实施，提高了红果三社农户出行安全，有力于促进该村社的农户生产和生活，提高生产效率。发现的主要问题：该项目实施进度较慢。下一步改进措施：以后加快项目推进的速度。</w:t>
      </w:r>
    </w:p>
    <w:p w14:paraId="53D04B89">
      <w:pPr>
        <w:pageBreakBefore w:val="0"/>
        <w:widowControl w:val="0"/>
        <w:kinsoku/>
        <w:wordWrap/>
        <w:overflowPunct/>
        <w:topLinePunct w:val="0"/>
        <w:autoSpaceDE w:val="0"/>
        <w:autoSpaceDN w:val="0"/>
        <w:bidi w:val="0"/>
        <w:adjustRightInd w:val="0"/>
        <w:snapToGrid/>
        <w:spacing w:line="576" w:lineRule="exact"/>
        <w:ind w:firstLine="660" w:firstLineChars="200"/>
        <w:jc w:val="left"/>
        <w:textAlignment w:val="auto"/>
        <w:rPr>
          <w:rFonts w:hint="default" w:ascii="Times New Roman" w:hAnsi="Times New Roman" w:eastAsia="方正仿宋_GBK" w:cs="Times New Roman"/>
          <w:sz w:val="33"/>
          <w:szCs w:val="33"/>
        </w:rPr>
      </w:pPr>
    </w:p>
    <w:p w14:paraId="34C8BCD2">
      <w:pPr>
        <w:pageBreakBefore w:val="0"/>
        <w:widowControl w:val="0"/>
        <w:kinsoku/>
        <w:wordWrap/>
        <w:overflowPunct/>
        <w:topLinePunct w:val="0"/>
        <w:autoSpaceDE w:val="0"/>
        <w:autoSpaceDN w:val="0"/>
        <w:bidi w:val="0"/>
        <w:adjustRightInd w:val="0"/>
        <w:snapToGrid/>
        <w:spacing w:line="576" w:lineRule="exact"/>
        <w:ind w:firstLine="660" w:firstLineChars="200"/>
        <w:jc w:val="left"/>
        <w:textAlignment w:val="auto"/>
        <w:rPr>
          <w:rFonts w:hint="default" w:ascii="Times New Roman" w:hAnsi="Times New Roman" w:eastAsia="方正仿宋_GBK" w:cs="Times New Roman"/>
          <w:sz w:val="33"/>
          <w:szCs w:val="33"/>
        </w:rPr>
      </w:pPr>
    </w:p>
    <w:p w14:paraId="6582B3D4">
      <w:pPr>
        <w:pageBreakBefore w:val="0"/>
        <w:widowControl w:val="0"/>
        <w:kinsoku/>
        <w:wordWrap/>
        <w:overflowPunct/>
        <w:topLinePunct w:val="0"/>
        <w:autoSpaceDE w:val="0"/>
        <w:autoSpaceDN w:val="0"/>
        <w:bidi w:val="0"/>
        <w:adjustRightInd w:val="0"/>
        <w:snapToGrid/>
        <w:spacing w:line="576" w:lineRule="exact"/>
        <w:ind w:firstLine="660" w:firstLineChars="200"/>
        <w:jc w:val="left"/>
        <w:textAlignment w:val="auto"/>
        <w:rPr>
          <w:rFonts w:hint="default" w:ascii="Times New Roman" w:hAnsi="Times New Roman" w:eastAsia="方正仿宋_GBK" w:cs="Times New Roman"/>
          <w:sz w:val="33"/>
          <w:szCs w:val="33"/>
        </w:rPr>
      </w:pPr>
    </w:p>
    <w:p w14:paraId="28B9EBFA">
      <w:pPr>
        <w:pageBreakBefore w:val="0"/>
        <w:widowControl w:val="0"/>
        <w:kinsoku/>
        <w:wordWrap/>
        <w:overflowPunct/>
        <w:topLinePunct w:val="0"/>
        <w:autoSpaceDE w:val="0"/>
        <w:autoSpaceDN w:val="0"/>
        <w:bidi w:val="0"/>
        <w:adjustRightInd w:val="0"/>
        <w:snapToGrid/>
        <w:spacing w:line="576" w:lineRule="exact"/>
        <w:ind w:firstLine="660" w:firstLineChars="200"/>
        <w:jc w:val="left"/>
        <w:textAlignment w:val="auto"/>
        <w:rPr>
          <w:rFonts w:hint="default" w:ascii="Times New Roman" w:hAnsi="Times New Roman" w:eastAsia="方正仿宋_GBK" w:cs="Times New Roman"/>
          <w:sz w:val="33"/>
          <w:szCs w:val="33"/>
        </w:rPr>
      </w:pPr>
    </w:p>
    <w:p w14:paraId="15F2C447">
      <w:pPr>
        <w:pageBreakBefore w:val="0"/>
        <w:widowControl w:val="0"/>
        <w:kinsoku/>
        <w:wordWrap/>
        <w:overflowPunct/>
        <w:topLinePunct w:val="0"/>
        <w:autoSpaceDE w:val="0"/>
        <w:autoSpaceDN w:val="0"/>
        <w:bidi w:val="0"/>
        <w:adjustRightInd w:val="0"/>
        <w:snapToGrid/>
        <w:spacing w:line="576" w:lineRule="exact"/>
        <w:ind w:firstLine="660" w:firstLineChars="200"/>
        <w:jc w:val="left"/>
        <w:textAlignment w:val="auto"/>
        <w:rPr>
          <w:rFonts w:hint="default" w:ascii="Times New Roman" w:hAnsi="Times New Roman" w:eastAsia="方正仿宋_GBK" w:cs="Times New Roman"/>
          <w:sz w:val="33"/>
          <w:szCs w:val="33"/>
        </w:rPr>
      </w:pPr>
    </w:p>
    <w:p w14:paraId="22052F49">
      <w:pPr>
        <w:pageBreakBefore w:val="0"/>
        <w:widowControl w:val="0"/>
        <w:kinsoku/>
        <w:wordWrap/>
        <w:overflowPunct/>
        <w:topLinePunct w:val="0"/>
        <w:autoSpaceDE w:val="0"/>
        <w:autoSpaceDN w:val="0"/>
        <w:bidi w:val="0"/>
        <w:adjustRightInd w:val="0"/>
        <w:snapToGrid/>
        <w:spacing w:line="576" w:lineRule="exact"/>
        <w:ind w:firstLine="660" w:firstLineChars="200"/>
        <w:jc w:val="left"/>
        <w:textAlignment w:val="auto"/>
        <w:rPr>
          <w:rFonts w:hint="default" w:ascii="Times New Roman" w:hAnsi="Times New Roman" w:eastAsia="方正仿宋_GBK" w:cs="Times New Roman"/>
          <w:sz w:val="33"/>
          <w:szCs w:val="33"/>
        </w:rPr>
      </w:pPr>
    </w:p>
    <w:p w14:paraId="0B0E8B0E">
      <w:pPr>
        <w:pageBreakBefore w:val="0"/>
        <w:widowControl w:val="0"/>
        <w:kinsoku/>
        <w:wordWrap/>
        <w:overflowPunct/>
        <w:topLinePunct w:val="0"/>
        <w:autoSpaceDE w:val="0"/>
        <w:autoSpaceDN w:val="0"/>
        <w:bidi w:val="0"/>
        <w:adjustRightInd w:val="0"/>
        <w:snapToGrid/>
        <w:spacing w:line="576" w:lineRule="exact"/>
        <w:ind w:firstLine="660" w:firstLineChars="200"/>
        <w:jc w:val="left"/>
        <w:textAlignment w:val="auto"/>
        <w:rPr>
          <w:rFonts w:hint="default" w:ascii="Times New Roman" w:hAnsi="Times New Roman" w:eastAsia="方正仿宋_GBK" w:cs="Times New Roman"/>
          <w:sz w:val="33"/>
          <w:szCs w:val="33"/>
        </w:rPr>
      </w:pPr>
    </w:p>
    <w:p w14:paraId="5CCD7DBC">
      <w:pPr>
        <w:pageBreakBefore w:val="0"/>
        <w:widowControl w:val="0"/>
        <w:kinsoku/>
        <w:wordWrap/>
        <w:overflowPunct/>
        <w:topLinePunct w:val="0"/>
        <w:autoSpaceDE w:val="0"/>
        <w:autoSpaceDN w:val="0"/>
        <w:bidi w:val="0"/>
        <w:adjustRightInd w:val="0"/>
        <w:snapToGrid/>
        <w:spacing w:line="576" w:lineRule="exact"/>
        <w:ind w:firstLine="660" w:firstLineChars="200"/>
        <w:jc w:val="left"/>
        <w:textAlignment w:val="auto"/>
        <w:rPr>
          <w:rFonts w:hint="default" w:ascii="Times New Roman" w:hAnsi="Times New Roman" w:eastAsia="方正仿宋_GBK" w:cs="Times New Roman"/>
          <w:sz w:val="33"/>
          <w:szCs w:val="33"/>
        </w:rPr>
      </w:pPr>
    </w:p>
    <w:p w14:paraId="175D533C">
      <w:pPr>
        <w:pageBreakBefore w:val="0"/>
        <w:widowControl w:val="0"/>
        <w:kinsoku/>
        <w:wordWrap/>
        <w:overflowPunct/>
        <w:topLinePunct w:val="0"/>
        <w:autoSpaceDE w:val="0"/>
        <w:autoSpaceDN w:val="0"/>
        <w:bidi w:val="0"/>
        <w:adjustRightInd w:val="0"/>
        <w:snapToGrid/>
        <w:spacing w:line="576" w:lineRule="exact"/>
        <w:ind w:firstLine="660" w:firstLineChars="200"/>
        <w:jc w:val="left"/>
        <w:textAlignment w:val="auto"/>
        <w:rPr>
          <w:rFonts w:hint="default" w:ascii="Times New Roman" w:hAnsi="Times New Roman" w:eastAsia="方正仿宋_GBK" w:cs="Times New Roman"/>
          <w:sz w:val="33"/>
          <w:szCs w:val="33"/>
        </w:rPr>
      </w:pPr>
    </w:p>
    <w:p w14:paraId="243CA4A2">
      <w:pPr>
        <w:pageBreakBefore w:val="0"/>
        <w:widowControl w:val="0"/>
        <w:kinsoku/>
        <w:wordWrap/>
        <w:overflowPunct/>
        <w:topLinePunct w:val="0"/>
        <w:autoSpaceDE w:val="0"/>
        <w:autoSpaceDN w:val="0"/>
        <w:bidi w:val="0"/>
        <w:adjustRightInd w:val="0"/>
        <w:snapToGrid/>
        <w:spacing w:line="576" w:lineRule="exact"/>
        <w:ind w:firstLine="660" w:firstLineChars="200"/>
        <w:jc w:val="left"/>
        <w:textAlignment w:val="auto"/>
        <w:rPr>
          <w:rFonts w:hint="default" w:ascii="Times New Roman" w:hAnsi="Times New Roman" w:eastAsia="方正仿宋_GBK" w:cs="Times New Roman"/>
          <w:sz w:val="33"/>
          <w:szCs w:val="33"/>
        </w:rPr>
      </w:pPr>
    </w:p>
    <w:p w14:paraId="0C365355">
      <w:pPr>
        <w:pageBreakBefore w:val="0"/>
        <w:widowControl w:val="0"/>
        <w:kinsoku/>
        <w:wordWrap/>
        <w:overflowPunct/>
        <w:topLinePunct w:val="0"/>
        <w:autoSpaceDE w:val="0"/>
        <w:autoSpaceDN w:val="0"/>
        <w:bidi w:val="0"/>
        <w:adjustRightInd w:val="0"/>
        <w:snapToGrid/>
        <w:spacing w:line="576" w:lineRule="exact"/>
        <w:ind w:firstLine="660" w:firstLineChars="200"/>
        <w:jc w:val="left"/>
        <w:textAlignment w:val="auto"/>
        <w:rPr>
          <w:rFonts w:hint="default" w:ascii="Times New Roman" w:hAnsi="Times New Roman" w:eastAsia="方正仿宋_GBK" w:cs="Times New Roman"/>
          <w:sz w:val="33"/>
          <w:szCs w:val="33"/>
        </w:rPr>
      </w:pPr>
    </w:p>
    <w:p w14:paraId="76680D13">
      <w:pPr>
        <w:pageBreakBefore w:val="0"/>
        <w:widowControl w:val="0"/>
        <w:kinsoku/>
        <w:wordWrap/>
        <w:overflowPunct/>
        <w:topLinePunct w:val="0"/>
        <w:autoSpaceDE w:val="0"/>
        <w:autoSpaceDN w:val="0"/>
        <w:bidi w:val="0"/>
        <w:adjustRightInd w:val="0"/>
        <w:snapToGrid/>
        <w:spacing w:line="576" w:lineRule="exact"/>
        <w:ind w:firstLine="660" w:firstLineChars="200"/>
        <w:jc w:val="left"/>
        <w:textAlignment w:val="auto"/>
        <w:rPr>
          <w:rFonts w:hint="default" w:ascii="Times New Roman" w:hAnsi="Times New Roman" w:eastAsia="方正仿宋_GBK" w:cs="Times New Roman"/>
          <w:sz w:val="33"/>
          <w:szCs w:val="33"/>
        </w:rPr>
      </w:pPr>
    </w:p>
    <w:p w14:paraId="3EE3F651">
      <w:pPr>
        <w:pageBreakBefore w:val="0"/>
        <w:widowControl w:val="0"/>
        <w:kinsoku/>
        <w:wordWrap/>
        <w:overflowPunct/>
        <w:topLinePunct w:val="0"/>
        <w:autoSpaceDE w:val="0"/>
        <w:autoSpaceDN w:val="0"/>
        <w:bidi w:val="0"/>
        <w:adjustRightInd w:val="0"/>
        <w:snapToGrid/>
        <w:spacing w:line="576" w:lineRule="exact"/>
        <w:ind w:firstLine="660" w:firstLineChars="200"/>
        <w:jc w:val="left"/>
        <w:textAlignment w:val="auto"/>
        <w:rPr>
          <w:rFonts w:hint="default" w:ascii="Times New Roman" w:hAnsi="Times New Roman" w:eastAsia="方正仿宋_GBK" w:cs="Times New Roman"/>
          <w:sz w:val="33"/>
          <w:szCs w:val="33"/>
        </w:rPr>
      </w:pPr>
    </w:p>
    <w:p w14:paraId="6A71CEF4">
      <w:pPr>
        <w:pageBreakBefore w:val="0"/>
        <w:widowControl w:val="0"/>
        <w:kinsoku/>
        <w:wordWrap/>
        <w:overflowPunct/>
        <w:topLinePunct w:val="0"/>
        <w:autoSpaceDE w:val="0"/>
        <w:autoSpaceDN w:val="0"/>
        <w:bidi w:val="0"/>
        <w:adjustRightInd w:val="0"/>
        <w:snapToGrid/>
        <w:spacing w:line="576" w:lineRule="exact"/>
        <w:ind w:firstLine="660" w:firstLineChars="200"/>
        <w:jc w:val="left"/>
        <w:textAlignment w:val="auto"/>
        <w:rPr>
          <w:rFonts w:hint="default" w:ascii="Times New Roman" w:hAnsi="Times New Roman" w:eastAsia="方正仿宋_GBK" w:cs="Times New Roman"/>
          <w:sz w:val="33"/>
          <w:szCs w:val="33"/>
        </w:rPr>
      </w:pPr>
    </w:p>
    <w:p w14:paraId="347241E7">
      <w:pPr>
        <w:pageBreakBefore w:val="0"/>
        <w:widowControl w:val="0"/>
        <w:kinsoku/>
        <w:wordWrap/>
        <w:overflowPunct/>
        <w:topLinePunct w:val="0"/>
        <w:autoSpaceDE w:val="0"/>
        <w:autoSpaceDN w:val="0"/>
        <w:bidi w:val="0"/>
        <w:adjustRightInd w:val="0"/>
        <w:snapToGrid/>
        <w:spacing w:line="576" w:lineRule="exact"/>
        <w:ind w:firstLine="660" w:firstLineChars="200"/>
        <w:jc w:val="left"/>
        <w:textAlignment w:val="auto"/>
        <w:rPr>
          <w:rFonts w:hint="default" w:ascii="Times New Roman" w:hAnsi="Times New Roman" w:eastAsia="方正仿宋_GBK" w:cs="Times New Roman"/>
          <w:sz w:val="33"/>
          <w:szCs w:val="33"/>
        </w:rPr>
      </w:pPr>
    </w:p>
    <w:p w14:paraId="4851FC73">
      <w:pPr>
        <w:pageBreakBefore w:val="0"/>
        <w:widowControl w:val="0"/>
        <w:kinsoku/>
        <w:wordWrap/>
        <w:overflowPunct/>
        <w:topLinePunct w:val="0"/>
        <w:autoSpaceDE w:val="0"/>
        <w:autoSpaceDN w:val="0"/>
        <w:bidi w:val="0"/>
        <w:adjustRightInd w:val="0"/>
        <w:snapToGrid/>
        <w:spacing w:line="576" w:lineRule="exact"/>
        <w:ind w:firstLine="660" w:firstLineChars="200"/>
        <w:jc w:val="left"/>
        <w:textAlignment w:val="auto"/>
        <w:rPr>
          <w:rFonts w:hint="default" w:ascii="Times New Roman" w:hAnsi="Times New Roman" w:eastAsia="方正仿宋_GBK" w:cs="Times New Roman"/>
          <w:sz w:val="33"/>
          <w:szCs w:val="33"/>
        </w:rPr>
      </w:pPr>
    </w:p>
    <w:p w14:paraId="45C3EE87">
      <w:pPr>
        <w:pageBreakBefore w:val="0"/>
        <w:widowControl w:val="0"/>
        <w:kinsoku/>
        <w:wordWrap/>
        <w:overflowPunct/>
        <w:topLinePunct w:val="0"/>
        <w:autoSpaceDE w:val="0"/>
        <w:autoSpaceDN w:val="0"/>
        <w:bidi w:val="0"/>
        <w:adjustRightInd w:val="0"/>
        <w:snapToGrid/>
        <w:spacing w:line="576" w:lineRule="exact"/>
        <w:ind w:firstLine="660" w:firstLineChars="200"/>
        <w:jc w:val="left"/>
        <w:textAlignment w:val="auto"/>
        <w:rPr>
          <w:rFonts w:hint="default" w:ascii="Times New Roman" w:hAnsi="Times New Roman" w:eastAsia="方正仿宋_GBK" w:cs="Times New Roman"/>
          <w:sz w:val="33"/>
          <w:szCs w:val="33"/>
        </w:rPr>
      </w:pPr>
    </w:p>
    <w:p w14:paraId="43307028">
      <w:pPr>
        <w:autoSpaceDE w:val="0"/>
        <w:autoSpaceDN w:val="0"/>
        <w:adjustRightInd w:val="0"/>
        <w:spacing w:line="600" w:lineRule="exact"/>
        <w:ind w:firstLine="660" w:firstLineChars="200"/>
        <w:jc w:val="left"/>
        <w:rPr>
          <w:rFonts w:hint="default" w:ascii="Times New Roman" w:hAnsi="Times New Roman" w:eastAsia="方正仿宋_GBK" w:cs="Times New Roman"/>
          <w:sz w:val="33"/>
          <w:szCs w:val="33"/>
        </w:rPr>
      </w:pP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3F61CAB7">
        <w:tblPrEx>
          <w:tblCellMar>
            <w:top w:w="0" w:type="dxa"/>
            <w:left w:w="0" w:type="dxa"/>
            <w:bottom w:w="0" w:type="dxa"/>
            <w:right w:w="0" w:type="dxa"/>
          </w:tblCellMar>
        </w:tblPrEx>
        <w:trPr>
          <w:trHeight w:val="1143" w:hRule="atLeast"/>
          <w:jc w:val="center"/>
        </w:trPr>
        <w:tc>
          <w:tcPr>
            <w:tcW w:w="9960" w:type="dxa"/>
            <w:gridSpan w:val="6"/>
            <w:tcBorders>
              <w:top w:val="nil"/>
              <w:left w:val="nil"/>
              <w:bottom w:val="nil"/>
              <w:right w:val="nil"/>
            </w:tcBorders>
            <w:tcMar>
              <w:top w:w="15" w:type="dxa"/>
              <w:left w:w="15" w:type="dxa"/>
              <w:right w:w="15" w:type="dxa"/>
            </w:tcMar>
            <w:vAlign w:val="center"/>
          </w:tcPr>
          <w:p w14:paraId="4424F142">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(2019年度)</w:t>
            </w:r>
          </w:p>
        </w:tc>
      </w:tr>
      <w:tr w14:paraId="35B5E20F">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06AD3">
            <w:pPr>
              <w:widowControl/>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D3C2A3">
            <w:pPr>
              <w:widowControl/>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一</w:t>
            </w:r>
            <w:r>
              <w:rPr>
                <w:rStyle w:val="30"/>
                <w:rFonts w:hint="default" w:ascii="Times New Roman" w:hAnsi="Times New Roman" w:eastAsia="方正仿宋_GBK" w:cs="Times New Roman"/>
                <w:sz w:val="20"/>
                <w:szCs w:val="20"/>
              </w:rPr>
              <w:t>般公共预算财政拨款</w:t>
            </w:r>
          </w:p>
        </w:tc>
      </w:tr>
      <w:tr w14:paraId="3DA464BE">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19AD52">
            <w:pPr>
              <w:widowControl/>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309FE4">
            <w:pPr>
              <w:widowControl/>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红果乡人民政府</w:t>
            </w:r>
          </w:p>
        </w:tc>
      </w:tr>
      <w:tr w14:paraId="657CBFCE">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E692EC">
            <w:pPr>
              <w:widowControl/>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B619A">
            <w:pPr>
              <w:widowControl/>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246440">
            <w:pPr>
              <w:widowControl/>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538万元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5D38D2">
            <w:pPr>
              <w:widowControl/>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97775">
            <w:pPr>
              <w:widowControl/>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538万元</w:t>
            </w:r>
          </w:p>
        </w:tc>
      </w:tr>
      <w:tr w14:paraId="6D69515A">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7BDF8">
            <w:pPr>
              <w:jc w:val="center"/>
              <w:rPr>
                <w:rFonts w:hint="default" w:ascii="Times New Roman" w:hAnsi="Times New Roman" w:eastAsia="方正仿宋_GBK" w:cs="Times New Roman"/>
                <w:color w:val="000000"/>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E87B27">
            <w:pPr>
              <w:widowControl/>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BAD3C1">
            <w:pPr>
              <w:widowControl/>
              <w:jc w:val="center"/>
              <w:textAlignment w:val="center"/>
              <w:rPr>
                <w:rFonts w:hint="default" w:ascii="Times New Roman" w:hAnsi="Times New Roman" w:eastAsia="方正仿宋_GBK" w:cs="Times New Roman"/>
                <w:color w:val="000000"/>
                <w:sz w:val="20"/>
                <w:szCs w:val="20"/>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F7BBE">
            <w:pPr>
              <w:widowControl/>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7EED8F">
            <w:pPr>
              <w:widowControl/>
              <w:jc w:val="center"/>
              <w:textAlignment w:val="center"/>
              <w:rPr>
                <w:rFonts w:hint="default" w:ascii="Times New Roman" w:hAnsi="Times New Roman" w:eastAsia="方正仿宋_GBK" w:cs="Times New Roman"/>
                <w:color w:val="000000"/>
                <w:sz w:val="20"/>
                <w:szCs w:val="20"/>
              </w:rPr>
            </w:pPr>
          </w:p>
        </w:tc>
      </w:tr>
      <w:tr w14:paraId="214C3D5F">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F667C1">
            <w:pPr>
              <w:jc w:val="center"/>
              <w:rPr>
                <w:rFonts w:hint="default" w:ascii="Times New Roman" w:hAnsi="Times New Roman" w:eastAsia="方正仿宋_GBK" w:cs="Times New Roman"/>
                <w:color w:val="000000"/>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519B6">
            <w:pPr>
              <w:widowControl/>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B2E157">
            <w:pPr>
              <w:widowControl/>
              <w:jc w:val="center"/>
              <w:textAlignment w:val="center"/>
              <w:rPr>
                <w:rFonts w:hint="default" w:ascii="Times New Roman" w:hAnsi="Times New Roman" w:eastAsia="方正仿宋_GBK" w:cs="Times New Roman"/>
                <w:color w:val="000000"/>
                <w:sz w:val="20"/>
                <w:szCs w:val="20"/>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5A04D">
            <w:pPr>
              <w:widowControl/>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BB5D5">
            <w:pPr>
              <w:jc w:val="center"/>
              <w:rPr>
                <w:rFonts w:hint="default" w:ascii="Times New Roman" w:hAnsi="Times New Roman" w:eastAsia="方正仿宋_GBK" w:cs="Times New Roman"/>
                <w:color w:val="000000"/>
                <w:sz w:val="20"/>
                <w:szCs w:val="20"/>
              </w:rPr>
            </w:pPr>
          </w:p>
        </w:tc>
      </w:tr>
      <w:tr w14:paraId="364F084C">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A1E11">
            <w:pPr>
              <w:widowControl/>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D4E545">
            <w:pPr>
              <w:widowControl/>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BA75E3">
            <w:pPr>
              <w:widowControl/>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实际完成目标</w:t>
            </w:r>
          </w:p>
        </w:tc>
      </w:tr>
      <w:tr w14:paraId="78310817">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AA871">
            <w:pPr>
              <w:jc w:val="center"/>
              <w:rPr>
                <w:rFonts w:hint="default" w:ascii="Times New Roman" w:hAnsi="Times New Roman" w:eastAsia="方正仿宋_GBK" w:cs="Times New Roman"/>
                <w:color w:val="000000"/>
                <w:sz w:val="20"/>
                <w:szCs w:val="20"/>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3BB94D">
            <w:pPr>
              <w:widowControl/>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预计完成全年目标的95%以上。</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5CC6CD">
            <w:pPr>
              <w:widowControl/>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达到了年初预期目标</w:t>
            </w:r>
          </w:p>
        </w:tc>
      </w:tr>
      <w:tr w14:paraId="201C2D37">
        <w:tblPrEx>
          <w:tblCellMar>
            <w:top w:w="0" w:type="dxa"/>
            <w:left w:w="0" w:type="dxa"/>
            <w:bottom w:w="0" w:type="dxa"/>
            <w:right w:w="0" w:type="dxa"/>
          </w:tblCellMar>
        </w:tblPrEx>
        <w:trPr>
          <w:trHeight w:val="454" w:hRule="exact"/>
          <w:jc w:val="center"/>
        </w:trPr>
        <w:tc>
          <w:tcPr>
            <w:tcW w:w="390"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14:paraId="0C1EB529">
            <w:pPr>
              <w:widowControl/>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DF59AA">
            <w:pPr>
              <w:widowControl/>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437D42">
            <w:pPr>
              <w:widowControl/>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FAACB">
            <w:pPr>
              <w:widowControl/>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ACB0D">
            <w:pPr>
              <w:widowControl/>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CE74CE">
            <w:pPr>
              <w:widowControl/>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实际完成指标值(包含数字及文字描述)</w:t>
            </w:r>
          </w:p>
        </w:tc>
      </w:tr>
      <w:tr w14:paraId="730F4F64">
        <w:tblPrEx>
          <w:tblCellMar>
            <w:top w:w="0" w:type="dxa"/>
            <w:left w:w="0" w:type="dxa"/>
            <w:bottom w:w="0" w:type="dxa"/>
            <w:right w:w="0" w:type="dxa"/>
          </w:tblCellMar>
        </w:tblPrEx>
        <w:trPr>
          <w:trHeight w:val="454" w:hRule="exac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5991AE9C">
            <w:pPr>
              <w:widowControl/>
              <w:jc w:val="center"/>
              <w:textAlignment w:val="center"/>
              <w:rPr>
                <w:rFonts w:hint="default" w:ascii="Times New Roman" w:hAnsi="Times New Roman" w:eastAsia="方正仿宋_GBK" w:cs="Times New Roman"/>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A28EB">
            <w:pPr>
              <w:widowControl/>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12C3CD">
            <w:pPr>
              <w:widowControl/>
              <w:jc w:val="center"/>
              <w:textAlignment w:val="center"/>
              <w:rPr>
                <w:rFonts w:hint="default" w:ascii="Times New Roman" w:hAnsi="Times New Roman" w:eastAsia="方正仿宋_GBK" w:cs="Times New Roman"/>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657B7F">
            <w:pPr>
              <w:widowControl/>
              <w:jc w:val="center"/>
              <w:textAlignment w:val="center"/>
              <w:rPr>
                <w:rFonts w:hint="default" w:ascii="Times New Roman" w:hAnsi="Times New Roman" w:eastAsia="方正仿宋_GBK" w:cs="Times New Roman"/>
                <w:color w:val="000000"/>
                <w:sz w:val="20"/>
                <w:szCs w:val="20"/>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B1871E">
            <w:pPr>
              <w:widowControl/>
              <w:jc w:val="center"/>
              <w:textAlignment w:val="center"/>
              <w:rPr>
                <w:rFonts w:hint="default" w:ascii="Times New Roman" w:hAnsi="Times New Roman" w:eastAsia="方正仿宋_GBK" w:cs="Times New Roman"/>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E6F9B8">
            <w:pPr>
              <w:widowControl/>
              <w:jc w:val="center"/>
              <w:textAlignment w:val="center"/>
              <w:rPr>
                <w:rFonts w:hint="default" w:ascii="Times New Roman" w:hAnsi="Times New Roman" w:eastAsia="方正仿宋_GBK" w:cs="Times New Roman"/>
                <w:color w:val="000000"/>
                <w:sz w:val="20"/>
                <w:szCs w:val="20"/>
              </w:rPr>
            </w:pPr>
          </w:p>
        </w:tc>
      </w:tr>
      <w:tr w14:paraId="75362017">
        <w:tblPrEx>
          <w:tblCellMar>
            <w:top w:w="0" w:type="dxa"/>
            <w:left w:w="0" w:type="dxa"/>
            <w:bottom w:w="0" w:type="dxa"/>
            <w:right w:w="0" w:type="dxa"/>
          </w:tblCellMar>
        </w:tblPrEx>
        <w:trPr>
          <w:trHeight w:val="454" w:hRule="exac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40819DA9">
            <w:pPr>
              <w:widowControl/>
              <w:jc w:val="center"/>
              <w:textAlignment w:val="center"/>
              <w:rPr>
                <w:rFonts w:hint="default" w:ascii="Times New Roman" w:hAnsi="Times New Roman" w:eastAsia="方正仿宋_GBK" w:cs="Times New Roman"/>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02E68">
            <w:pPr>
              <w:widowControl/>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EE4511">
            <w:pPr>
              <w:widowControl/>
              <w:jc w:val="center"/>
              <w:textAlignment w:val="center"/>
              <w:rPr>
                <w:rFonts w:hint="default" w:ascii="Times New Roman" w:hAnsi="Times New Roman" w:eastAsia="方正仿宋_GBK" w:cs="Times New Roman"/>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03DE54">
            <w:pPr>
              <w:widowControl/>
              <w:jc w:val="center"/>
              <w:textAlignment w:val="center"/>
              <w:rPr>
                <w:rFonts w:hint="default" w:ascii="Times New Roman" w:hAnsi="Times New Roman" w:eastAsia="方正仿宋_GBK" w:cs="Times New Roman"/>
                <w:color w:val="000000"/>
                <w:sz w:val="20"/>
                <w:szCs w:val="20"/>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34D92F">
            <w:pPr>
              <w:widowControl/>
              <w:jc w:val="center"/>
              <w:textAlignment w:val="center"/>
              <w:rPr>
                <w:rFonts w:hint="default" w:ascii="Times New Roman" w:hAnsi="Times New Roman" w:eastAsia="方正仿宋_GBK" w:cs="Times New Roman"/>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7383B7">
            <w:pPr>
              <w:widowControl/>
              <w:jc w:val="center"/>
              <w:textAlignment w:val="center"/>
              <w:rPr>
                <w:rFonts w:hint="default" w:ascii="Times New Roman" w:hAnsi="Times New Roman" w:eastAsia="方正仿宋_GBK" w:cs="Times New Roman"/>
                <w:color w:val="000000"/>
                <w:sz w:val="20"/>
                <w:szCs w:val="20"/>
              </w:rPr>
            </w:pPr>
          </w:p>
        </w:tc>
      </w:tr>
      <w:tr w14:paraId="2DA4BBC2">
        <w:tblPrEx>
          <w:tblCellMar>
            <w:top w:w="0" w:type="dxa"/>
            <w:left w:w="0" w:type="dxa"/>
            <w:bottom w:w="0" w:type="dxa"/>
            <w:right w:w="0" w:type="dxa"/>
          </w:tblCellMar>
        </w:tblPrEx>
        <w:trPr>
          <w:trHeight w:val="454" w:hRule="exac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53265EEE">
            <w:pPr>
              <w:widowControl/>
              <w:jc w:val="center"/>
              <w:textAlignment w:val="center"/>
              <w:rPr>
                <w:rFonts w:hint="default" w:ascii="Times New Roman" w:hAnsi="Times New Roman" w:eastAsia="方正仿宋_GBK" w:cs="Times New Roman"/>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8D349">
            <w:pPr>
              <w:widowControl/>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C4833">
            <w:pPr>
              <w:widowControl/>
              <w:jc w:val="center"/>
              <w:textAlignment w:val="center"/>
              <w:rPr>
                <w:rFonts w:hint="default" w:ascii="Times New Roman" w:hAnsi="Times New Roman" w:eastAsia="方正仿宋_GBK" w:cs="Times New Roman"/>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18B96">
            <w:pPr>
              <w:widowControl/>
              <w:jc w:val="center"/>
              <w:textAlignment w:val="center"/>
              <w:rPr>
                <w:rFonts w:hint="default" w:ascii="Times New Roman" w:hAnsi="Times New Roman" w:eastAsia="方正仿宋_GBK" w:cs="Times New Roman"/>
                <w:color w:val="000000"/>
                <w:sz w:val="20"/>
                <w:szCs w:val="20"/>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3119C">
            <w:pPr>
              <w:widowControl/>
              <w:jc w:val="center"/>
              <w:textAlignment w:val="center"/>
              <w:rPr>
                <w:rFonts w:hint="default" w:ascii="Times New Roman" w:hAnsi="Times New Roman" w:eastAsia="方正仿宋_GBK" w:cs="Times New Roman"/>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05F5A0">
            <w:pPr>
              <w:widowControl/>
              <w:jc w:val="center"/>
              <w:textAlignment w:val="center"/>
              <w:rPr>
                <w:rFonts w:hint="default" w:ascii="Times New Roman" w:hAnsi="Times New Roman" w:eastAsia="方正仿宋_GBK" w:cs="Times New Roman"/>
                <w:color w:val="000000"/>
                <w:sz w:val="20"/>
                <w:szCs w:val="20"/>
              </w:rPr>
            </w:pPr>
          </w:p>
        </w:tc>
      </w:tr>
      <w:tr w14:paraId="76757D20">
        <w:tblPrEx>
          <w:tblCellMar>
            <w:top w:w="0" w:type="dxa"/>
            <w:left w:w="0" w:type="dxa"/>
            <w:bottom w:w="0" w:type="dxa"/>
            <w:right w:w="0" w:type="dxa"/>
          </w:tblCellMar>
        </w:tblPrEx>
        <w:trPr>
          <w:trHeight w:val="454" w:hRule="exact"/>
          <w:jc w:val="center"/>
        </w:trPr>
        <w:tc>
          <w:tcPr>
            <w:tcW w:w="390"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099460E4">
            <w:pPr>
              <w:widowControl/>
              <w:jc w:val="center"/>
              <w:textAlignment w:val="center"/>
              <w:rPr>
                <w:rFonts w:hint="default" w:ascii="Times New Roman" w:hAnsi="Times New Roman" w:eastAsia="方正仿宋_GBK" w:cs="Times New Roman"/>
                <w:color w:val="000000"/>
                <w:sz w:val="20"/>
                <w:szCs w:val="20"/>
              </w:rPr>
            </w:pPr>
          </w:p>
        </w:tc>
        <w:tc>
          <w:tcPr>
            <w:tcW w:w="13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D625418">
            <w:pPr>
              <w:widowControl/>
              <w:jc w:val="center"/>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项目完成指标</w:t>
            </w:r>
          </w:p>
        </w:tc>
        <w:tc>
          <w:tcPr>
            <w:tcW w:w="10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3F5BC5C">
            <w:pPr>
              <w:widowControl/>
              <w:jc w:val="center"/>
              <w:textAlignment w:val="center"/>
              <w:rPr>
                <w:rFonts w:hint="default" w:ascii="Times New Roman" w:hAnsi="Times New Roman" w:eastAsia="方正仿宋_GBK" w:cs="Times New Roman"/>
                <w:color w:val="000000"/>
                <w:sz w:val="20"/>
                <w:szCs w:val="20"/>
              </w:rPr>
            </w:pPr>
          </w:p>
        </w:tc>
        <w:tc>
          <w:tcPr>
            <w:tcW w:w="239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CC765D8">
            <w:pPr>
              <w:widowControl/>
              <w:jc w:val="center"/>
              <w:textAlignment w:val="center"/>
              <w:rPr>
                <w:rFonts w:hint="default" w:ascii="Times New Roman" w:hAnsi="Times New Roman" w:eastAsia="方正仿宋_GBK" w:cs="Times New Roman"/>
                <w:color w:val="000000"/>
                <w:sz w:val="20"/>
                <w:szCs w:val="20"/>
              </w:rPr>
            </w:pPr>
          </w:p>
        </w:tc>
        <w:tc>
          <w:tcPr>
            <w:tcW w:w="239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B3FD93C">
            <w:pPr>
              <w:widowControl/>
              <w:jc w:val="center"/>
              <w:textAlignment w:val="center"/>
              <w:rPr>
                <w:rFonts w:hint="default" w:ascii="Times New Roman" w:hAnsi="Times New Roman" w:eastAsia="方正仿宋_GBK" w:cs="Times New Roman"/>
                <w:color w:val="000000"/>
                <w:sz w:val="20"/>
                <w:szCs w:val="20"/>
              </w:rPr>
            </w:pPr>
          </w:p>
        </w:tc>
        <w:tc>
          <w:tcPr>
            <w:tcW w:w="239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9F63E1D">
            <w:pPr>
              <w:widowControl/>
              <w:jc w:val="center"/>
              <w:textAlignment w:val="center"/>
              <w:rPr>
                <w:rFonts w:hint="default" w:ascii="Times New Roman" w:hAnsi="Times New Roman" w:eastAsia="方正仿宋_GBK" w:cs="Times New Roman"/>
                <w:color w:val="000000"/>
                <w:sz w:val="20"/>
                <w:szCs w:val="20"/>
              </w:rPr>
            </w:pPr>
          </w:p>
        </w:tc>
      </w:tr>
      <w:tr w14:paraId="6E4D1092">
        <w:tblPrEx>
          <w:tblCellMar>
            <w:top w:w="0" w:type="dxa"/>
            <w:left w:w="0" w:type="dxa"/>
            <w:bottom w:w="0" w:type="dxa"/>
            <w:right w:w="0" w:type="dxa"/>
          </w:tblCellMar>
        </w:tblPrEx>
        <w:trPr>
          <w:trHeight w:val="454" w:hRule="exact"/>
          <w:jc w:val="center"/>
        </w:trPr>
        <w:tc>
          <w:tcPr>
            <w:tcW w:w="390" w:type="dxa"/>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0FBDAABF">
            <w:pPr>
              <w:widowControl/>
              <w:jc w:val="center"/>
              <w:textAlignment w:val="center"/>
              <w:rPr>
                <w:rFonts w:hint="default" w:ascii="Times New Roman" w:hAnsi="Times New Roman" w:eastAsia="方正仿宋_GBK" w:cs="Times New Roman"/>
                <w:color w:val="000000"/>
                <w:sz w:val="20"/>
                <w:szCs w:val="20"/>
              </w:rPr>
            </w:pPr>
          </w:p>
        </w:tc>
        <w:tc>
          <w:tcPr>
            <w:tcW w:w="1367"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68BB3C5">
            <w:pPr>
              <w:widowControl/>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项目完成指标</w:t>
            </w:r>
          </w:p>
        </w:tc>
        <w:tc>
          <w:tcPr>
            <w:tcW w:w="10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293E64A">
            <w:pPr>
              <w:widowControl/>
              <w:jc w:val="center"/>
              <w:textAlignment w:val="center"/>
              <w:rPr>
                <w:rFonts w:hint="default" w:ascii="Times New Roman" w:hAnsi="Times New Roman" w:eastAsia="方正仿宋_GBK" w:cs="Times New Roman"/>
                <w:color w:val="000000"/>
                <w:sz w:val="20"/>
                <w:szCs w:val="20"/>
              </w:rPr>
            </w:pPr>
          </w:p>
        </w:tc>
        <w:tc>
          <w:tcPr>
            <w:tcW w:w="2392"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F183C38">
            <w:pPr>
              <w:widowControl/>
              <w:jc w:val="center"/>
              <w:textAlignment w:val="center"/>
              <w:rPr>
                <w:rFonts w:hint="default" w:ascii="Times New Roman" w:hAnsi="Times New Roman" w:eastAsia="方正仿宋_GBK" w:cs="Times New Roman"/>
                <w:color w:val="000000"/>
                <w:sz w:val="20"/>
                <w:szCs w:val="20"/>
              </w:rPr>
            </w:pPr>
          </w:p>
        </w:tc>
        <w:tc>
          <w:tcPr>
            <w:tcW w:w="23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C1B752A">
            <w:pPr>
              <w:widowControl/>
              <w:jc w:val="center"/>
              <w:textAlignment w:val="center"/>
              <w:rPr>
                <w:rFonts w:hint="default" w:ascii="Times New Roman" w:hAnsi="Times New Roman" w:eastAsia="方正仿宋_GBK" w:cs="Times New Roman"/>
                <w:color w:val="000000"/>
                <w:sz w:val="20"/>
                <w:szCs w:val="20"/>
              </w:rPr>
            </w:pPr>
          </w:p>
        </w:tc>
        <w:tc>
          <w:tcPr>
            <w:tcW w:w="2392"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6962B2C">
            <w:pPr>
              <w:widowControl/>
              <w:jc w:val="center"/>
              <w:textAlignment w:val="center"/>
              <w:rPr>
                <w:rFonts w:hint="default" w:ascii="Times New Roman" w:hAnsi="Times New Roman" w:eastAsia="方正仿宋_GBK" w:cs="Times New Roman"/>
                <w:color w:val="000000"/>
                <w:sz w:val="20"/>
                <w:szCs w:val="20"/>
              </w:rPr>
            </w:pPr>
          </w:p>
        </w:tc>
      </w:tr>
      <w:tr w14:paraId="29B7813F">
        <w:tblPrEx>
          <w:tblCellMar>
            <w:top w:w="0" w:type="dxa"/>
            <w:left w:w="0" w:type="dxa"/>
            <w:bottom w:w="0" w:type="dxa"/>
            <w:right w:w="0" w:type="dxa"/>
          </w:tblCellMar>
        </w:tblPrEx>
        <w:trPr>
          <w:trHeight w:val="454" w:hRule="exact"/>
          <w:jc w:val="center"/>
        </w:trPr>
        <w:tc>
          <w:tcPr>
            <w:tcW w:w="390" w:type="dxa"/>
            <w:vMerge w:val="continue"/>
            <w:tcBorders>
              <w:top w:val="single" w:color="auto" w:sz="4" w:space="0"/>
              <w:left w:val="single" w:color="auto" w:sz="4" w:space="0"/>
              <w:right w:val="single" w:color="000000" w:sz="4" w:space="0"/>
            </w:tcBorders>
            <w:tcMar>
              <w:top w:w="15" w:type="dxa"/>
              <w:left w:w="15" w:type="dxa"/>
              <w:right w:w="15" w:type="dxa"/>
            </w:tcMar>
            <w:vAlign w:val="center"/>
          </w:tcPr>
          <w:p w14:paraId="3677C589">
            <w:pPr>
              <w:widowControl/>
              <w:jc w:val="center"/>
              <w:textAlignment w:val="center"/>
              <w:rPr>
                <w:rFonts w:hint="default" w:ascii="Times New Roman" w:hAnsi="Times New Roman" w:eastAsia="方正仿宋_GBK" w:cs="Times New Roman"/>
                <w:color w:val="000000"/>
                <w:sz w:val="20"/>
                <w:szCs w:val="20"/>
              </w:rPr>
            </w:pPr>
          </w:p>
        </w:tc>
        <w:tc>
          <w:tcPr>
            <w:tcW w:w="13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67AD993">
            <w:pPr>
              <w:widowControl/>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102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38B9974D">
            <w:pPr>
              <w:widowControl/>
              <w:jc w:val="center"/>
              <w:textAlignment w:val="center"/>
              <w:rPr>
                <w:rFonts w:hint="default" w:ascii="Times New Roman" w:hAnsi="Times New Roman" w:eastAsia="方正仿宋_GBK" w:cs="Times New Roman"/>
                <w:color w:val="000000"/>
                <w:sz w:val="20"/>
                <w:szCs w:val="20"/>
              </w:rPr>
            </w:pPr>
          </w:p>
        </w:tc>
        <w:tc>
          <w:tcPr>
            <w:tcW w:w="239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658E556E">
            <w:pPr>
              <w:widowControl/>
              <w:jc w:val="center"/>
              <w:textAlignment w:val="center"/>
              <w:rPr>
                <w:rFonts w:hint="default" w:ascii="Times New Roman" w:hAnsi="Times New Roman" w:eastAsia="方正仿宋_GBK" w:cs="Times New Roman"/>
                <w:color w:val="000000"/>
                <w:sz w:val="20"/>
                <w:szCs w:val="20"/>
              </w:rPr>
            </w:pPr>
          </w:p>
        </w:tc>
        <w:tc>
          <w:tcPr>
            <w:tcW w:w="239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47F80349">
            <w:pPr>
              <w:widowControl/>
              <w:jc w:val="center"/>
              <w:textAlignment w:val="center"/>
              <w:rPr>
                <w:rFonts w:hint="default" w:ascii="Times New Roman" w:hAnsi="Times New Roman" w:eastAsia="方正仿宋_GBK" w:cs="Times New Roman"/>
                <w:color w:val="000000"/>
                <w:sz w:val="20"/>
                <w:szCs w:val="20"/>
              </w:rPr>
            </w:pPr>
          </w:p>
        </w:tc>
        <w:tc>
          <w:tcPr>
            <w:tcW w:w="239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7EAB7DC2">
            <w:pPr>
              <w:widowControl/>
              <w:jc w:val="center"/>
              <w:textAlignment w:val="center"/>
              <w:rPr>
                <w:rFonts w:hint="default" w:ascii="Times New Roman" w:hAnsi="Times New Roman" w:eastAsia="方正仿宋_GBK" w:cs="Times New Roman"/>
                <w:color w:val="000000"/>
                <w:sz w:val="20"/>
                <w:szCs w:val="20"/>
              </w:rPr>
            </w:pPr>
          </w:p>
        </w:tc>
      </w:tr>
      <w:tr w14:paraId="1AC737E3">
        <w:tblPrEx>
          <w:tblCellMar>
            <w:top w:w="0" w:type="dxa"/>
            <w:left w:w="0" w:type="dxa"/>
            <w:bottom w:w="0" w:type="dxa"/>
            <w:right w:w="0" w:type="dxa"/>
          </w:tblCellMar>
        </w:tblPrEx>
        <w:trPr>
          <w:trHeight w:val="454" w:hRule="exac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4991024E">
            <w:pPr>
              <w:widowControl/>
              <w:jc w:val="center"/>
              <w:textAlignment w:val="center"/>
              <w:rPr>
                <w:rFonts w:hint="default" w:ascii="Times New Roman" w:hAnsi="Times New Roman" w:eastAsia="方正仿宋_GBK" w:cs="Times New Roman"/>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E0873A">
            <w:pPr>
              <w:widowControl/>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89F2E">
            <w:pPr>
              <w:widowControl/>
              <w:jc w:val="center"/>
              <w:textAlignment w:val="center"/>
              <w:rPr>
                <w:rFonts w:hint="default" w:ascii="Times New Roman" w:hAnsi="Times New Roman" w:eastAsia="方正仿宋_GBK" w:cs="Times New Roman"/>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E8DEE">
            <w:pPr>
              <w:widowControl/>
              <w:jc w:val="center"/>
              <w:textAlignment w:val="center"/>
              <w:rPr>
                <w:rFonts w:hint="default" w:ascii="Times New Roman" w:hAnsi="Times New Roman" w:eastAsia="方正仿宋_GBK" w:cs="Times New Roman"/>
                <w:color w:val="000000"/>
                <w:sz w:val="20"/>
                <w:szCs w:val="20"/>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E04537">
            <w:pPr>
              <w:widowControl/>
              <w:jc w:val="center"/>
              <w:textAlignment w:val="center"/>
              <w:rPr>
                <w:rFonts w:hint="default" w:ascii="Times New Roman" w:hAnsi="Times New Roman" w:eastAsia="方正仿宋_GBK" w:cs="Times New Roman"/>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C7AAD1">
            <w:pPr>
              <w:widowControl/>
              <w:jc w:val="center"/>
              <w:textAlignment w:val="center"/>
              <w:rPr>
                <w:rFonts w:hint="default" w:ascii="Times New Roman" w:hAnsi="Times New Roman" w:eastAsia="方正仿宋_GBK" w:cs="Times New Roman"/>
                <w:color w:val="000000"/>
                <w:sz w:val="20"/>
                <w:szCs w:val="20"/>
              </w:rPr>
            </w:pPr>
          </w:p>
        </w:tc>
      </w:tr>
      <w:tr w14:paraId="1A34377F">
        <w:tblPrEx>
          <w:tblCellMar>
            <w:top w:w="0" w:type="dxa"/>
            <w:left w:w="0" w:type="dxa"/>
            <w:bottom w:w="0" w:type="dxa"/>
            <w:right w:w="0" w:type="dxa"/>
          </w:tblCellMar>
        </w:tblPrEx>
        <w:trPr>
          <w:trHeight w:val="454" w:hRule="exac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2DDD79EB">
            <w:pPr>
              <w:widowControl/>
              <w:jc w:val="center"/>
              <w:textAlignment w:val="center"/>
              <w:rPr>
                <w:rFonts w:hint="default" w:ascii="Times New Roman" w:hAnsi="Times New Roman" w:eastAsia="方正仿宋_GBK" w:cs="Times New Roman"/>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EDB8A1">
            <w:pPr>
              <w:widowControl/>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DBB8A2">
            <w:pPr>
              <w:widowControl/>
              <w:jc w:val="center"/>
              <w:textAlignment w:val="center"/>
              <w:rPr>
                <w:rFonts w:hint="default" w:ascii="Times New Roman" w:hAnsi="Times New Roman" w:eastAsia="方正仿宋_GBK" w:cs="Times New Roman"/>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BE3041">
            <w:pPr>
              <w:widowControl/>
              <w:jc w:val="center"/>
              <w:textAlignment w:val="center"/>
              <w:rPr>
                <w:rFonts w:hint="default" w:ascii="Times New Roman" w:hAnsi="Times New Roman" w:eastAsia="方正仿宋_GBK" w:cs="Times New Roman"/>
                <w:color w:val="000000"/>
                <w:sz w:val="20"/>
                <w:szCs w:val="20"/>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13FE8E">
            <w:pPr>
              <w:widowControl/>
              <w:jc w:val="center"/>
              <w:textAlignment w:val="center"/>
              <w:rPr>
                <w:rFonts w:hint="default" w:ascii="Times New Roman" w:hAnsi="Times New Roman" w:eastAsia="方正仿宋_GBK" w:cs="Times New Roman"/>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9ECBC">
            <w:pPr>
              <w:widowControl/>
              <w:jc w:val="center"/>
              <w:textAlignment w:val="center"/>
              <w:rPr>
                <w:rFonts w:hint="default" w:ascii="Times New Roman" w:hAnsi="Times New Roman" w:eastAsia="方正仿宋_GBK" w:cs="Times New Roman"/>
                <w:color w:val="000000"/>
                <w:sz w:val="20"/>
                <w:szCs w:val="20"/>
              </w:rPr>
            </w:pPr>
          </w:p>
        </w:tc>
      </w:tr>
      <w:tr w14:paraId="3549EE6B">
        <w:tblPrEx>
          <w:tblCellMar>
            <w:top w:w="0" w:type="dxa"/>
            <w:left w:w="0" w:type="dxa"/>
            <w:bottom w:w="0" w:type="dxa"/>
            <w:right w:w="0" w:type="dxa"/>
          </w:tblCellMar>
        </w:tblPrEx>
        <w:trPr>
          <w:trHeight w:val="454" w:hRule="exac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442BD045">
            <w:pPr>
              <w:widowControl/>
              <w:jc w:val="center"/>
              <w:textAlignment w:val="center"/>
              <w:rPr>
                <w:rFonts w:hint="default" w:ascii="Times New Roman" w:hAnsi="Times New Roman" w:eastAsia="方正仿宋_GBK" w:cs="Times New Roman"/>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3F883E">
            <w:pPr>
              <w:widowControl/>
              <w:jc w:val="center"/>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5ADB28">
            <w:pPr>
              <w:widowControl/>
              <w:jc w:val="center"/>
              <w:textAlignment w:val="center"/>
              <w:rPr>
                <w:rFonts w:hint="default" w:ascii="Times New Roman" w:hAnsi="Times New Roman" w:eastAsia="方正仿宋_GBK" w:cs="Times New Roman"/>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6AF34">
            <w:pPr>
              <w:widowControl/>
              <w:jc w:val="center"/>
              <w:textAlignment w:val="center"/>
              <w:rPr>
                <w:rFonts w:hint="default" w:ascii="Times New Roman" w:hAnsi="Times New Roman" w:eastAsia="方正仿宋_GBK" w:cs="Times New Roman"/>
                <w:color w:val="000000"/>
                <w:sz w:val="20"/>
                <w:szCs w:val="20"/>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09FE8">
            <w:pPr>
              <w:widowControl/>
              <w:jc w:val="center"/>
              <w:textAlignment w:val="center"/>
              <w:rPr>
                <w:rFonts w:hint="default" w:ascii="Times New Roman" w:hAnsi="Times New Roman" w:eastAsia="方正仿宋_GBK" w:cs="Times New Roman"/>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35E15">
            <w:pPr>
              <w:widowControl/>
              <w:jc w:val="center"/>
              <w:textAlignment w:val="center"/>
              <w:rPr>
                <w:rFonts w:hint="default" w:ascii="Times New Roman" w:hAnsi="Times New Roman" w:eastAsia="方正仿宋_GBK" w:cs="Times New Roman"/>
                <w:color w:val="000000"/>
                <w:sz w:val="20"/>
                <w:szCs w:val="20"/>
              </w:rPr>
            </w:pPr>
          </w:p>
        </w:tc>
      </w:tr>
      <w:tr w14:paraId="4A0973A7">
        <w:tblPrEx>
          <w:tblCellMar>
            <w:top w:w="0" w:type="dxa"/>
            <w:left w:w="0" w:type="dxa"/>
            <w:bottom w:w="0" w:type="dxa"/>
            <w:right w:w="0" w:type="dxa"/>
          </w:tblCellMar>
        </w:tblPrEx>
        <w:trPr>
          <w:trHeight w:val="454" w:hRule="exact"/>
          <w:jc w:val="center"/>
        </w:trPr>
        <w:tc>
          <w:tcPr>
            <w:tcW w:w="390" w:type="dxa"/>
            <w:vMerge w:val="continue"/>
            <w:tcBorders>
              <w:left w:val="single" w:color="auto" w:sz="4" w:space="0"/>
              <w:bottom w:val="single" w:color="000000" w:sz="4" w:space="0"/>
              <w:right w:val="single" w:color="000000" w:sz="4" w:space="0"/>
            </w:tcBorders>
            <w:tcMar>
              <w:top w:w="15" w:type="dxa"/>
              <w:left w:w="15" w:type="dxa"/>
              <w:right w:w="15" w:type="dxa"/>
            </w:tcMar>
            <w:vAlign w:val="center"/>
          </w:tcPr>
          <w:p w14:paraId="37A2FFBF">
            <w:pPr>
              <w:widowControl/>
              <w:jc w:val="center"/>
              <w:textAlignment w:val="center"/>
              <w:rPr>
                <w:rFonts w:hint="default" w:ascii="Times New Roman" w:hAnsi="Times New Roman" w:eastAsia="方正仿宋_GBK" w:cs="Times New Roman"/>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EB66D">
            <w:pPr>
              <w:widowControl/>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8EAE9">
            <w:pPr>
              <w:widowControl/>
              <w:jc w:val="center"/>
              <w:textAlignment w:val="center"/>
              <w:rPr>
                <w:rFonts w:hint="default" w:ascii="Times New Roman" w:hAnsi="Times New Roman" w:eastAsia="方正仿宋_GBK" w:cs="Times New Roman"/>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68424">
            <w:pPr>
              <w:widowControl/>
              <w:jc w:val="center"/>
              <w:textAlignment w:val="center"/>
              <w:rPr>
                <w:rFonts w:hint="default" w:ascii="Times New Roman" w:hAnsi="Times New Roman" w:eastAsia="方正仿宋_GBK" w:cs="Times New Roman"/>
                <w:color w:val="000000"/>
                <w:sz w:val="20"/>
                <w:szCs w:val="20"/>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60072">
            <w:pPr>
              <w:widowControl/>
              <w:jc w:val="center"/>
              <w:textAlignment w:val="center"/>
              <w:rPr>
                <w:rFonts w:hint="default" w:ascii="Times New Roman" w:hAnsi="Times New Roman" w:eastAsia="方正仿宋_GBK" w:cs="Times New Roman"/>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58D47">
            <w:pPr>
              <w:widowControl/>
              <w:jc w:val="center"/>
              <w:textAlignment w:val="center"/>
              <w:rPr>
                <w:rFonts w:hint="default" w:ascii="Times New Roman" w:hAnsi="Times New Roman" w:eastAsia="方正仿宋_GBK" w:cs="Times New Roman"/>
                <w:color w:val="000000"/>
                <w:sz w:val="20"/>
                <w:szCs w:val="20"/>
              </w:rPr>
            </w:pPr>
          </w:p>
        </w:tc>
      </w:tr>
    </w:tbl>
    <w:p w14:paraId="3564670D">
      <w:pPr>
        <w:spacing w:line="580" w:lineRule="exact"/>
        <w:ind w:left="630"/>
        <w:jc w:val="center"/>
        <w:rPr>
          <w:rFonts w:hint="eastAsia"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rPr>
        <w:t>部门绩效评价结果</w:t>
      </w:r>
    </w:p>
    <w:p w14:paraId="5526A55A">
      <w:pPr>
        <w:spacing w:line="580" w:lineRule="exact"/>
        <w:ind w:firstLine="660" w:firstLineChars="200"/>
        <w:rPr>
          <w:rFonts w:hint="eastAsia" w:cs="方正仿宋_GBK"/>
          <w:sz w:val="33"/>
          <w:szCs w:val="33"/>
        </w:rPr>
      </w:pPr>
    </w:p>
    <w:p w14:paraId="230E703A">
      <w:pPr>
        <w:spacing w:line="580" w:lineRule="exact"/>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本部门按要求对2019年度部门整体支出绩效评价情况开展自评，《红果乡2019年部门整体支出绩效评价报告》见附件（附件1）。</w:t>
      </w:r>
    </w:p>
    <w:p w14:paraId="58704C15">
      <w:pPr>
        <w:spacing w:line="580" w:lineRule="exact"/>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本部门自行组织对 “红果乡垃圾车购买”项目、项目开展了绩效评价，《红果乡垃圾车购买项目2019年绩效评价报告》见附件（附件2）。</w:t>
      </w:r>
    </w:p>
    <w:p w14:paraId="634FDDDE">
      <w:pPr>
        <w:spacing w:line="600" w:lineRule="exact"/>
        <w:jc w:val="left"/>
        <w:outlineLvl w:val="9"/>
        <w:rPr>
          <w:rFonts w:ascii="黑体" w:hAnsi="黑体" w:eastAsia="黑体" w:cs="黑体"/>
          <w:sz w:val="32"/>
          <w:szCs w:val="32"/>
        </w:rPr>
      </w:pPr>
      <w:bookmarkStart w:id="132" w:name="_Toc50042290"/>
      <w:bookmarkStart w:id="133" w:name="_Toc50042766"/>
      <w:bookmarkStart w:id="134" w:name="_Toc54277995"/>
    </w:p>
    <w:p w14:paraId="469DF342">
      <w:pPr>
        <w:spacing w:line="600" w:lineRule="exact"/>
        <w:jc w:val="left"/>
        <w:outlineLvl w:val="9"/>
        <w:rPr>
          <w:rFonts w:ascii="黑体" w:hAnsi="黑体" w:eastAsia="黑体" w:cs="黑体"/>
          <w:sz w:val="32"/>
          <w:szCs w:val="32"/>
        </w:rPr>
      </w:pPr>
    </w:p>
    <w:p w14:paraId="711CA321">
      <w:pPr>
        <w:spacing w:line="600" w:lineRule="exact"/>
        <w:jc w:val="left"/>
        <w:outlineLvl w:val="9"/>
        <w:rPr>
          <w:rFonts w:ascii="黑体" w:hAnsi="黑体" w:eastAsia="黑体" w:cs="黑体"/>
          <w:sz w:val="32"/>
          <w:szCs w:val="32"/>
        </w:rPr>
      </w:pPr>
    </w:p>
    <w:p w14:paraId="45932892">
      <w:pPr>
        <w:spacing w:line="600" w:lineRule="exact"/>
        <w:jc w:val="left"/>
        <w:outlineLvl w:val="9"/>
        <w:rPr>
          <w:rFonts w:ascii="黑体" w:hAnsi="黑体" w:eastAsia="黑体" w:cs="黑体"/>
          <w:sz w:val="32"/>
          <w:szCs w:val="32"/>
        </w:rPr>
      </w:pPr>
    </w:p>
    <w:p w14:paraId="250E65DD">
      <w:pPr>
        <w:spacing w:line="600" w:lineRule="exact"/>
        <w:jc w:val="left"/>
        <w:outlineLvl w:val="9"/>
        <w:rPr>
          <w:rFonts w:hint="eastAsia" w:ascii="黑体" w:hAnsi="黑体" w:eastAsia="黑体" w:cs="黑体"/>
          <w:sz w:val="32"/>
          <w:szCs w:val="32"/>
        </w:rPr>
      </w:pPr>
    </w:p>
    <w:p w14:paraId="1A1EBF8D">
      <w:pPr>
        <w:spacing w:line="600" w:lineRule="exact"/>
        <w:jc w:val="left"/>
        <w:outlineLvl w:val="9"/>
        <w:rPr>
          <w:rFonts w:hint="eastAsia" w:ascii="黑体" w:hAnsi="黑体" w:eastAsia="黑体" w:cs="黑体"/>
          <w:sz w:val="32"/>
          <w:szCs w:val="32"/>
        </w:rPr>
      </w:pPr>
    </w:p>
    <w:p w14:paraId="4E891FC3">
      <w:pPr>
        <w:spacing w:line="600" w:lineRule="exact"/>
        <w:jc w:val="left"/>
        <w:outlineLvl w:val="9"/>
        <w:rPr>
          <w:rFonts w:hint="eastAsia" w:ascii="黑体" w:hAnsi="黑体" w:eastAsia="黑体" w:cs="黑体"/>
          <w:sz w:val="32"/>
          <w:szCs w:val="32"/>
        </w:rPr>
      </w:pPr>
    </w:p>
    <w:p w14:paraId="506729C8">
      <w:pPr>
        <w:spacing w:line="600" w:lineRule="exact"/>
        <w:jc w:val="left"/>
        <w:outlineLvl w:val="9"/>
        <w:rPr>
          <w:rFonts w:hint="eastAsia" w:ascii="黑体" w:hAnsi="黑体" w:eastAsia="黑体" w:cs="黑体"/>
          <w:sz w:val="32"/>
          <w:szCs w:val="32"/>
        </w:rPr>
      </w:pPr>
    </w:p>
    <w:p w14:paraId="7747DCD8">
      <w:pPr>
        <w:spacing w:line="600" w:lineRule="exact"/>
        <w:jc w:val="left"/>
        <w:outlineLvl w:val="9"/>
        <w:rPr>
          <w:rFonts w:hint="eastAsia" w:ascii="黑体" w:hAnsi="黑体" w:eastAsia="黑体" w:cs="黑体"/>
          <w:sz w:val="32"/>
          <w:szCs w:val="32"/>
        </w:rPr>
      </w:pPr>
    </w:p>
    <w:p w14:paraId="12DA60C8">
      <w:pPr>
        <w:spacing w:line="600" w:lineRule="exact"/>
        <w:jc w:val="left"/>
        <w:outlineLvl w:val="9"/>
        <w:rPr>
          <w:rFonts w:hint="eastAsia" w:ascii="黑体" w:hAnsi="黑体" w:eastAsia="黑体" w:cs="黑体"/>
          <w:sz w:val="32"/>
          <w:szCs w:val="32"/>
        </w:rPr>
      </w:pPr>
    </w:p>
    <w:p w14:paraId="51DD8711">
      <w:pPr>
        <w:spacing w:line="600" w:lineRule="exact"/>
        <w:jc w:val="left"/>
        <w:outlineLvl w:val="9"/>
        <w:rPr>
          <w:rFonts w:hint="eastAsia" w:ascii="黑体" w:hAnsi="黑体" w:eastAsia="黑体" w:cs="黑体"/>
          <w:sz w:val="32"/>
          <w:szCs w:val="32"/>
        </w:rPr>
      </w:pPr>
    </w:p>
    <w:p w14:paraId="498AB25C">
      <w:pPr>
        <w:spacing w:line="600" w:lineRule="exact"/>
        <w:jc w:val="left"/>
        <w:outlineLvl w:val="9"/>
        <w:rPr>
          <w:rFonts w:hint="eastAsia" w:ascii="黑体" w:hAnsi="黑体" w:eastAsia="黑体" w:cs="黑体"/>
          <w:sz w:val="32"/>
          <w:szCs w:val="32"/>
        </w:rPr>
      </w:pPr>
    </w:p>
    <w:p w14:paraId="164F70E3">
      <w:pPr>
        <w:spacing w:line="600" w:lineRule="exact"/>
        <w:jc w:val="left"/>
        <w:outlineLvl w:val="9"/>
        <w:rPr>
          <w:rFonts w:hint="eastAsia" w:ascii="黑体" w:hAnsi="黑体" w:eastAsia="黑体" w:cs="黑体"/>
          <w:sz w:val="32"/>
          <w:szCs w:val="32"/>
        </w:rPr>
      </w:pPr>
    </w:p>
    <w:p w14:paraId="6007427A">
      <w:pPr>
        <w:spacing w:line="600" w:lineRule="exact"/>
        <w:jc w:val="left"/>
        <w:outlineLvl w:val="1"/>
        <w:rPr>
          <w:rFonts w:hint="default" w:ascii="Times New Roman" w:hAnsi="Times New Roman" w:eastAsia="方正仿宋_GBK" w:cs="Times New Roman"/>
          <w:sz w:val="33"/>
          <w:szCs w:val="33"/>
        </w:rPr>
      </w:pPr>
      <w:bookmarkStart w:id="135" w:name="_Toc9486"/>
      <w:r>
        <w:rPr>
          <w:rFonts w:hint="default" w:ascii="Times New Roman" w:hAnsi="Times New Roman" w:eastAsia="方正仿宋_GBK" w:cs="Times New Roman"/>
          <w:sz w:val="33"/>
          <w:szCs w:val="33"/>
        </w:rPr>
        <w:t>附件1</w:t>
      </w:r>
      <w:bookmarkEnd w:id="132"/>
      <w:bookmarkEnd w:id="133"/>
      <w:bookmarkEnd w:id="134"/>
      <w:bookmarkEnd w:id="135"/>
    </w:p>
    <w:p w14:paraId="3FEAD45D">
      <w:pPr>
        <w:spacing w:line="600" w:lineRule="exact"/>
        <w:jc w:val="center"/>
        <w:rPr>
          <w:rFonts w:ascii="仿宋_GB2312" w:hAnsi="仿宋_GB2312" w:eastAsia="仿宋_GB2312" w:cs="仿宋_GB2312"/>
          <w:sz w:val="32"/>
          <w:szCs w:val="32"/>
        </w:rPr>
      </w:pPr>
    </w:p>
    <w:p w14:paraId="317866F2">
      <w:pPr>
        <w:spacing w:line="600" w:lineRule="exact"/>
        <w:jc w:val="center"/>
        <w:rPr>
          <w:rFonts w:hint="default" w:ascii="Times New Roman" w:hAnsi="Times New Roman" w:eastAsia="方正小标宋_GBK" w:cs="Times New Roman"/>
          <w:sz w:val="38"/>
          <w:szCs w:val="38"/>
        </w:rPr>
      </w:pPr>
      <w:r>
        <w:rPr>
          <w:rFonts w:hint="default" w:ascii="Times New Roman" w:hAnsi="Times New Roman" w:eastAsia="方正小标宋_GBK" w:cs="Times New Roman"/>
          <w:sz w:val="38"/>
          <w:szCs w:val="38"/>
        </w:rPr>
        <w:t>2019年部门预算整体支出绩效</w:t>
      </w:r>
    </w:p>
    <w:p w14:paraId="0EB88F72">
      <w:pPr>
        <w:spacing w:line="600" w:lineRule="exact"/>
        <w:jc w:val="center"/>
        <w:rPr>
          <w:rFonts w:hint="default" w:ascii="Times New Roman" w:hAnsi="Times New Roman" w:eastAsia="方正小标宋_GBK" w:cs="Times New Roman"/>
          <w:sz w:val="38"/>
          <w:szCs w:val="38"/>
        </w:rPr>
      </w:pPr>
      <w:r>
        <w:rPr>
          <w:rFonts w:hint="default" w:ascii="Times New Roman" w:hAnsi="Times New Roman" w:eastAsia="方正小标宋_GBK" w:cs="Times New Roman"/>
          <w:sz w:val="38"/>
          <w:szCs w:val="38"/>
        </w:rPr>
        <w:t>自评报告</w:t>
      </w:r>
    </w:p>
    <w:p w14:paraId="23D0956C">
      <w:pPr>
        <w:pStyle w:val="3"/>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方正黑体_GBK" w:hAnsi="方正黑体_GBK" w:eastAsia="方正黑体_GBK" w:cs="方正黑体_GBK"/>
          <w:b w:val="0"/>
          <w:bCs w:val="0"/>
          <w:sz w:val="33"/>
          <w:szCs w:val="33"/>
        </w:rPr>
      </w:pPr>
      <w:bookmarkStart w:id="136" w:name="_Toc54277996"/>
      <w:bookmarkStart w:id="137" w:name="_Toc15601"/>
      <w:r>
        <w:rPr>
          <w:rFonts w:hint="eastAsia" w:ascii="方正黑体_GBK" w:hAnsi="方正黑体_GBK" w:eastAsia="方正黑体_GBK" w:cs="方正黑体_GBK"/>
          <w:b w:val="0"/>
          <w:bCs w:val="0"/>
          <w:sz w:val="33"/>
          <w:szCs w:val="33"/>
        </w:rPr>
        <w:t>一、项目基本情况</w:t>
      </w:r>
      <w:bookmarkEnd w:id="136"/>
      <w:bookmarkEnd w:id="137"/>
    </w:p>
    <w:p w14:paraId="618EF1C2">
      <w:pPr>
        <w:pStyle w:val="3"/>
        <w:pageBreakBefore w:val="0"/>
        <w:widowControl w:val="0"/>
        <w:kinsoku/>
        <w:wordWrap/>
        <w:overflowPunct/>
        <w:topLinePunct w:val="0"/>
        <w:autoSpaceDE/>
        <w:autoSpaceDN/>
        <w:bidi w:val="0"/>
        <w:adjustRightInd/>
        <w:snapToGrid/>
        <w:spacing w:line="576" w:lineRule="exact"/>
        <w:ind w:firstLine="663" w:firstLineChars="200"/>
        <w:textAlignment w:val="auto"/>
        <w:rPr>
          <w:rFonts w:hint="eastAsia" w:ascii="方正楷体_GBK" w:hAnsi="方正楷体_GBK" w:eastAsia="方正楷体_GBK" w:cs="方正楷体_GBK"/>
          <w:sz w:val="33"/>
          <w:szCs w:val="33"/>
        </w:rPr>
      </w:pPr>
      <w:bookmarkStart w:id="138" w:name="_Toc54277997"/>
      <w:bookmarkStart w:id="139" w:name="_Toc1984"/>
      <w:r>
        <w:rPr>
          <w:rFonts w:hint="eastAsia" w:ascii="方正楷体_GBK" w:hAnsi="方正楷体_GBK" w:eastAsia="方正楷体_GBK" w:cs="方正楷体_GBK"/>
          <w:sz w:val="33"/>
          <w:szCs w:val="33"/>
        </w:rPr>
        <w:t>（</w:t>
      </w:r>
      <w:r>
        <w:rPr>
          <w:rFonts w:hint="eastAsia" w:ascii="方正楷体_GBK" w:hAnsi="方正楷体_GBK" w:eastAsia="方正楷体_GBK" w:cs="方正楷体_GBK"/>
          <w:sz w:val="33"/>
          <w:szCs w:val="33"/>
          <w:lang w:eastAsia="zh-CN"/>
        </w:rPr>
        <w:t>一</w:t>
      </w:r>
      <w:r>
        <w:rPr>
          <w:rFonts w:hint="eastAsia" w:ascii="方正楷体_GBK" w:hAnsi="方正楷体_GBK" w:eastAsia="方正楷体_GBK" w:cs="方正楷体_GBK"/>
          <w:sz w:val="33"/>
          <w:szCs w:val="33"/>
        </w:rPr>
        <w:t>）项目概况</w:t>
      </w:r>
      <w:bookmarkEnd w:id="138"/>
      <w:bookmarkEnd w:id="139"/>
    </w:p>
    <w:p w14:paraId="0FCE2935">
      <w:pPr>
        <w:pageBreakBefore w:val="0"/>
        <w:widowControl w:val="0"/>
        <w:kinsoku/>
        <w:wordWrap/>
        <w:overflowPunct/>
        <w:topLinePunct w:val="0"/>
        <w:autoSpaceDE/>
        <w:autoSpaceDN/>
        <w:bidi w:val="0"/>
        <w:adjustRightInd/>
        <w:snapToGrid/>
        <w:spacing w:line="576" w:lineRule="exact"/>
        <w:ind w:firstLine="660" w:firstLineChars="200"/>
        <w:textAlignment w:val="auto"/>
        <w:outlineLvl w:val="1"/>
        <w:rPr>
          <w:rFonts w:hint="default" w:ascii="Times New Roman" w:hAnsi="Times New Roman" w:eastAsia="方正仿宋_GBK" w:cs="Times New Roman"/>
          <w:sz w:val="33"/>
          <w:szCs w:val="33"/>
        </w:rPr>
      </w:pPr>
      <w:bookmarkStart w:id="140" w:name="_Toc54277998"/>
      <w:r>
        <w:rPr>
          <w:rFonts w:hint="default" w:ascii="Times New Roman" w:hAnsi="Times New Roman" w:eastAsia="方正仿宋_GBK" w:cs="Times New Roman"/>
          <w:sz w:val="33"/>
          <w:szCs w:val="33"/>
        </w:rPr>
        <w:t xml:space="preserve"> </w:t>
      </w:r>
      <w:bookmarkStart w:id="141" w:name="_Toc19101"/>
      <w:r>
        <w:rPr>
          <w:rFonts w:hint="default" w:ascii="Times New Roman" w:hAnsi="Times New Roman" w:eastAsia="方正仿宋_GBK" w:cs="Times New Roman"/>
          <w:sz w:val="33"/>
          <w:szCs w:val="33"/>
        </w:rPr>
        <w:t>2019年红果乡预算项目总共28项。</w:t>
      </w:r>
      <w:bookmarkStart w:id="269" w:name="_GoBack"/>
      <w:r>
        <w:rPr>
          <w:rFonts w:hint="eastAsia" w:eastAsia="方正仿宋_GBK" w:cs="Times New Roman"/>
          <w:sz w:val="33"/>
          <w:szCs w:val="33"/>
          <w:lang w:eastAsia="zh-CN"/>
        </w:rPr>
        <w:t>涉及</w:t>
      </w:r>
      <w:bookmarkEnd w:id="269"/>
      <w:r>
        <w:rPr>
          <w:rFonts w:hint="default" w:ascii="Times New Roman" w:hAnsi="Times New Roman" w:eastAsia="方正仿宋_GBK" w:cs="Times New Roman"/>
          <w:sz w:val="33"/>
          <w:szCs w:val="33"/>
        </w:rPr>
        <w:t>红果乡2019年全年工作的正常运行。</w:t>
      </w:r>
      <w:bookmarkEnd w:id="140"/>
      <w:bookmarkEnd w:id="141"/>
    </w:p>
    <w:p w14:paraId="416B7E2E">
      <w:pPr>
        <w:pStyle w:val="3"/>
        <w:pageBreakBefore w:val="0"/>
        <w:widowControl w:val="0"/>
        <w:kinsoku/>
        <w:wordWrap/>
        <w:overflowPunct/>
        <w:topLinePunct w:val="0"/>
        <w:autoSpaceDE/>
        <w:autoSpaceDN/>
        <w:bidi w:val="0"/>
        <w:adjustRightInd/>
        <w:snapToGrid/>
        <w:spacing w:line="576" w:lineRule="exact"/>
        <w:ind w:firstLine="663" w:firstLineChars="200"/>
        <w:textAlignment w:val="auto"/>
        <w:rPr>
          <w:rFonts w:hint="default" w:ascii="方正楷体_GBK" w:hAnsi="方正楷体_GBK" w:eastAsia="方正楷体_GBK" w:cs="方正楷体_GBK"/>
          <w:sz w:val="33"/>
          <w:szCs w:val="33"/>
        </w:rPr>
      </w:pPr>
      <w:bookmarkStart w:id="142" w:name="_Toc18453"/>
      <w:bookmarkStart w:id="143" w:name="_Toc54277999"/>
      <w:r>
        <w:rPr>
          <w:rFonts w:hint="default" w:ascii="方正楷体_GBK" w:hAnsi="方正楷体_GBK" w:eastAsia="方正楷体_GBK" w:cs="方正楷体_GBK"/>
          <w:sz w:val="33"/>
          <w:szCs w:val="33"/>
        </w:rPr>
        <w:t>（二）红果乡预算整日支出性质、用途和主要内容</w:t>
      </w:r>
      <w:bookmarkEnd w:id="142"/>
      <w:bookmarkEnd w:id="143"/>
    </w:p>
    <w:p w14:paraId="551B0989">
      <w:pPr>
        <w:pageBreakBefore w:val="0"/>
        <w:widowControl w:val="0"/>
        <w:kinsoku/>
        <w:wordWrap/>
        <w:overflowPunct/>
        <w:topLinePunct w:val="0"/>
        <w:autoSpaceDE/>
        <w:autoSpaceDN/>
        <w:bidi w:val="0"/>
        <w:adjustRightInd/>
        <w:snapToGrid/>
        <w:spacing w:line="576" w:lineRule="exact"/>
        <w:ind w:firstLine="660" w:firstLineChars="200"/>
        <w:textAlignment w:val="auto"/>
        <w:outlineLvl w:val="1"/>
        <w:rPr>
          <w:rFonts w:hint="default" w:ascii="Times New Roman" w:hAnsi="Times New Roman" w:eastAsia="方正仿宋_GBK" w:cs="Times New Roman"/>
          <w:sz w:val="33"/>
          <w:szCs w:val="33"/>
        </w:rPr>
      </w:pPr>
      <w:bookmarkStart w:id="144" w:name="_Toc54278000"/>
      <w:bookmarkStart w:id="145" w:name="_Toc11698"/>
      <w:r>
        <w:rPr>
          <w:rFonts w:hint="default" w:ascii="Times New Roman" w:hAnsi="Times New Roman" w:eastAsia="方正仿宋_GBK" w:cs="Times New Roman"/>
          <w:sz w:val="33"/>
          <w:szCs w:val="33"/>
        </w:rPr>
        <w:t>项目包括基层政权建设，资金设计范围：社区管理与建设，用于红星社区人员经费和公用经费；对村级一事一议的补助，用于各村一事一议项目奖补资金；对村民委员会和村党支部的补助，用途为各村村社干部报酬和办公费；三州资金民政专项资金，用于红果乡红果村人行桥项目和水毁道路恢复；红果乡劳务费，用于红果乡聘用临时人员工资和民工劳务费用；城乡环境卫生清运垃圾劳务费，用于红果乡集镇垃圾车集中清运垃圾劳务费；土地资源调查资金，用于红果乡第三次国土资源调查经费；棚户区改造配套设施自来水厂修建森林恢复植被恢复资金，用于棚户区自来水厂植被恢复资金；2019年下达火把节经费，用于红果乡火把节活动费；安全生产监督专项资金，用于全乡安全监督生产专项经费；二滩库区非农安置移民困难人口生活补助资金； 计划生育员补助经费，用于计生员补助。</w:t>
      </w:r>
      <w:bookmarkEnd w:id="144"/>
      <w:bookmarkEnd w:id="145"/>
    </w:p>
    <w:p w14:paraId="4D2F2D10">
      <w:pPr>
        <w:pStyle w:val="3"/>
        <w:pageBreakBefore w:val="0"/>
        <w:widowControl w:val="0"/>
        <w:kinsoku/>
        <w:wordWrap/>
        <w:overflowPunct/>
        <w:topLinePunct w:val="0"/>
        <w:autoSpaceDE/>
        <w:autoSpaceDN/>
        <w:bidi w:val="0"/>
        <w:adjustRightInd/>
        <w:snapToGrid/>
        <w:spacing w:line="576" w:lineRule="exact"/>
        <w:ind w:firstLine="660" w:firstLineChars="200"/>
        <w:textAlignment w:val="auto"/>
        <w:rPr>
          <w:rFonts w:hint="default" w:ascii="方正黑体_GBK" w:hAnsi="方正黑体_GBK" w:eastAsia="方正黑体_GBK" w:cs="方正黑体_GBK"/>
          <w:b w:val="0"/>
          <w:bCs w:val="0"/>
          <w:sz w:val="33"/>
          <w:szCs w:val="33"/>
        </w:rPr>
      </w:pPr>
      <w:bookmarkStart w:id="146" w:name="_Toc4669"/>
      <w:bookmarkStart w:id="147" w:name="_Toc54278003"/>
      <w:r>
        <w:rPr>
          <w:rFonts w:hint="default" w:ascii="方正黑体_GBK" w:hAnsi="方正黑体_GBK" w:eastAsia="方正黑体_GBK" w:cs="方正黑体_GBK"/>
          <w:b w:val="0"/>
          <w:bCs w:val="0"/>
          <w:sz w:val="33"/>
          <w:szCs w:val="33"/>
        </w:rPr>
        <w:t>二、项目资金使用及管理情况</w:t>
      </w:r>
      <w:bookmarkEnd w:id="146"/>
      <w:bookmarkEnd w:id="147"/>
    </w:p>
    <w:p w14:paraId="2C805644">
      <w:pPr>
        <w:pStyle w:val="3"/>
        <w:pageBreakBefore w:val="0"/>
        <w:widowControl w:val="0"/>
        <w:kinsoku/>
        <w:wordWrap/>
        <w:overflowPunct/>
        <w:topLinePunct w:val="0"/>
        <w:autoSpaceDE/>
        <w:autoSpaceDN/>
        <w:bidi w:val="0"/>
        <w:adjustRightInd/>
        <w:snapToGrid/>
        <w:spacing w:line="576" w:lineRule="exact"/>
        <w:ind w:firstLine="663" w:firstLineChars="200"/>
        <w:textAlignment w:val="auto"/>
        <w:rPr>
          <w:rFonts w:hint="default" w:ascii="方正楷体_GBK" w:hAnsi="方正楷体_GBK" w:eastAsia="方正楷体_GBK" w:cs="方正楷体_GBK"/>
          <w:sz w:val="33"/>
          <w:szCs w:val="33"/>
        </w:rPr>
      </w:pPr>
      <w:bookmarkStart w:id="148" w:name="_Toc54278004"/>
      <w:bookmarkStart w:id="149" w:name="_Toc22058"/>
      <w:r>
        <w:rPr>
          <w:rFonts w:hint="default" w:ascii="方正楷体_GBK" w:hAnsi="方正楷体_GBK" w:eastAsia="方正楷体_GBK" w:cs="方正楷体_GBK"/>
          <w:sz w:val="33"/>
          <w:szCs w:val="33"/>
        </w:rPr>
        <w:t>（一）项目资金到位情况分析</w:t>
      </w:r>
      <w:bookmarkEnd w:id="148"/>
      <w:bookmarkEnd w:id="149"/>
    </w:p>
    <w:p w14:paraId="2BE211CE">
      <w:pPr>
        <w:pageBreakBefore w:val="0"/>
        <w:widowControl w:val="0"/>
        <w:kinsoku/>
        <w:wordWrap/>
        <w:overflowPunct/>
        <w:topLinePunct w:val="0"/>
        <w:autoSpaceDE/>
        <w:autoSpaceDN/>
        <w:bidi w:val="0"/>
        <w:adjustRightInd/>
        <w:snapToGrid/>
        <w:spacing w:line="576" w:lineRule="exact"/>
        <w:ind w:firstLine="660" w:firstLineChars="200"/>
        <w:textAlignment w:val="auto"/>
        <w:outlineLvl w:val="1"/>
        <w:rPr>
          <w:rFonts w:hint="default" w:ascii="Times New Roman" w:hAnsi="Times New Roman" w:eastAsia="方正仿宋_GBK" w:cs="Times New Roman"/>
          <w:sz w:val="33"/>
          <w:szCs w:val="33"/>
        </w:rPr>
      </w:pPr>
      <w:bookmarkStart w:id="150" w:name="_Toc24743"/>
      <w:bookmarkStart w:id="151" w:name="_Toc54278005"/>
      <w:r>
        <w:rPr>
          <w:rFonts w:hint="default" w:ascii="Times New Roman" w:hAnsi="Times New Roman" w:eastAsia="方正仿宋_GBK" w:cs="Times New Roman"/>
          <w:sz w:val="33"/>
          <w:szCs w:val="33"/>
        </w:rPr>
        <w:t>财政安排全年项目预算金额为778万元，本级财政拨款778万元。实际到位资金778万元，到位率100%。</w:t>
      </w:r>
      <w:bookmarkEnd w:id="150"/>
      <w:bookmarkEnd w:id="151"/>
    </w:p>
    <w:p w14:paraId="168467EF">
      <w:pPr>
        <w:pStyle w:val="3"/>
        <w:pageBreakBefore w:val="0"/>
        <w:widowControl w:val="0"/>
        <w:kinsoku/>
        <w:wordWrap/>
        <w:overflowPunct/>
        <w:topLinePunct w:val="0"/>
        <w:autoSpaceDE/>
        <w:autoSpaceDN/>
        <w:bidi w:val="0"/>
        <w:adjustRightInd/>
        <w:snapToGrid/>
        <w:spacing w:line="576" w:lineRule="exact"/>
        <w:ind w:firstLine="663" w:firstLineChars="200"/>
        <w:textAlignment w:val="auto"/>
        <w:rPr>
          <w:rFonts w:hint="default" w:ascii="方正楷体_GBK" w:hAnsi="方正楷体_GBK" w:eastAsia="方正楷体_GBK" w:cs="方正楷体_GBK"/>
          <w:sz w:val="33"/>
          <w:szCs w:val="33"/>
        </w:rPr>
      </w:pPr>
      <w:bookmarkStart w:id="152" w:name="_Toc32144"/>
      <w:bookmarkStart w:id="153" w:name="_Toc54278006"/>
      <w:r>
        <w:rPr>
          <w:rFonts w:hint="default" w:ascii="方正楷体_GBK" w:hAnsi="方正楷体_GBK" w:eastAsia="方正楷体_GBK" w:cs="方正楷体_GBK"/>
          <w:sz w:val="33"/>
          <w:szCs w:val="33"/>
        </w:rPr>
        <w:t>（二）项目自己使用情况分析</w:t>
      </w:r>
      <w:bookmarkEnd w:id="152"/>
      <w:bookmarkEnd w:id="153"/>
    </w:p>
    <w:p w14:paraId="6196D648">
      <w:pPr>
        <w:pageBreakBefore w:val="0"/>
        <w:widowControl w:val="0"/>
        <w:kinsoku/>
        <w:wordWrap/>
        <w:overflowPunct/>
        <w:topLinePunct w:val="0"/>
        <w:autoSpaceDE/>
        <w:autoSpaceDN/>
        <w:bidi w:val="0"/>
        <w:adjustRightInd/>
        <w:snapToGrid/>
        <w:spacing w:line="576" w:lineRule="exact"/>
        <w:textAlignment w:val="auto"/>
        <w:outlineLvl w:val="1"/>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 xml:space="preserve"> </w:t>
      </w:r>
      <w:bookmarkStart w:id="154" w:name="_Toc54278007"/>
      <w:r>
        <w:rPr>
          <w:rFonts w:hint="default" w:ascii="Times New Roman" w:hAnsi="Times New Roman" w:eastAsia="方正仿宋_GBK" w:cs="Times New Roman"/>
          <w:sz w:val="33"/>
          <w:szCs w:val="33"/>
        </w:rPr>
        <w:t xml:space="preserve"> </w:t>
      </w:r>
      <w:bookmarkStart w:id="155" w:name="_Toc29740"/>
      <w:r>
        <w:rPr>
          <w:rFonts w:hint="default" w:ascii="Times New Roman" w:hAnsi="Times New Roman" w:eastAsia="方正仿宋_GBK" w:cs="Times New Roman"/>
          <w:sz w:val="33"/>
          <w:szCs w:val="33"/>
        </w:rPr>
        <w:t>截止到评价日，该项资金实际已支付538万元，资金使用率69.15%。</w:t>
      </w:r>
      <w:bookmarkEnd w:id="154"/>
      <w:bookmarkEnd w:id="155"/>
    </w:p>
    <w:p w14:paraId="38B6A290">
      <w:pPr>
        <w:pStyle w:val="3"/>
        <w:pageBreakBefore w:val="0"/>
        <w:widowControl w:val="0"/>
        <w:kinsoku/>
        <w:wordWrap/>
        <w:overflowPunct/>
        <w:topLinePunct w:val="0"/>
        <w:autoSpaceDE/>
        <w:autoSpaceDN/>
        <w:bidi w:val="0"/>
        <w:adjustRightInd/>
        <w:snapToGrid/>
        <w:spacing w:line="576" w:lineRule="exact"/>
        <w:ind w:firstLine="663" w:firstLineChars="200"/>
        <w:textAlignment w:val="auto"/>
        <w:rPr>
          <w:rFonts w:hint="default" w:ascii="方正楷体_GBK" w:hAnsi="方正楷体_GBK" w:eastAsia="方正楷体_GBK" w:cs="方正楷体_GBK"/>
          <w:sz w:val="33"/>
          <w:szCs w:val="33"/>
        </w:rPr>
      </w:pPr>
      <w:bookmarkStart w:id="156" w:name="_Toc54278008"/>
      <w:bookmarkStart w:id="157" w:name="_Toc24835"/>
      <w:r>
        <w:rPr>
          <w:rFonts w:hint="default" w:ascii="方正楷体_GBK" w:hAnsi="方正楷体_GBK" w:eastAsia="方正楷体_GBK" w:cs="方正楷体_GBK"/>
          <w:sz w:val="33"/>
          <w:szCs w:val="33"/>
        </w:rPr>
        <w:t>（三）项目资金管理情况</w:t>
      </w:r>
      <w:bookmarkEnd w:id="156"/>
      <w:bookmarkEnd w:id="157"/>
      <w:r>
        <w:rPr>
          <w:rFonts w:hint="default" w:ascii="方正楷体_GBK" w:hAnsi="方正楷体_GBK" w:eastAsia="方正楷体_GBK" w:cs="方正楷体_GBK"/>
          <w:sz w:val="33"/>
          <w:szCs w:val="33"/>
        </w:rPr>
        <w:t xml:space="preserve"> </w:t>
      </w:r>
    </w:p>
    <w:p w14:paraId="1238D30C">
      <w:pPr>
        <w:pageBreakBefore w:val="0"/>
        <w:widowControl w:val="0"/>
        <w:kinsoku/>
        <w:wordWrap/>
        <w:overflowPunct/>
        <w:topLinePunct w:val="0"/>
        <w:autoSpaceDE/>
        <w:autoSpaceDN/>
        <w:bidi w:val="0"/>
        <w:adjustRightInd/>
        <w:snapToGrid/>
        <w:spacing w:line="576" w:lineRule="exact"/>
        <w:ind w:firstLine="660" w:firstLineChars="200"/>
        <w:textAlignment w:val="auto"/>
        <w:outlineLvl w:val="1"/>
        <w:rPr>
          <w:rFonts w:hint="default" w:ascii="Times New Roman" w:hAnsi="Times New Roman" w:eastAsia="方正仿宋_GBK" w:cs="Times New Roman"/>
          <w:sz w:val="33"/>
          <w:szCs w:val="33"/>
        </w:rPr>
      </w:pPr>
      <w:bookmarkStart w:id="158" w:name="_Toc15975"/>
      <w:bookmarkStart w:id="159" w:name="_Toc54278009"/>
      <w:r>
        <w:rPr>
          <w:rFonts w:hint="default" w:ascii="Times New Roman" w:hAnsi="Times New Roman" w:eastAsia="方正仿宋_GBK" w:cs="Times New Roman"/>
          <w:sz w:val="33"/>
          <w:szCs w:val="33"/>
        </w:rPr>
        <w:t>在项目资金管理上，红果乡项目资金均严格按照国家法律法规执行，转款专用。按照具体财政要求，财务均由财政所统一进行核算。</w:t>
      </w:r>
      <w:bookmarkEnd w:id="158"/>
      <w:bookmarkEnd w:id="159"/>
    </w:p>
    <w:p w14:paraId="292942D1">
      <w:pPr>
        <w:pStyle w:val="3"/>
        <w:pageBreakBefore w:val="0"/>
        <w:widowControl w:val="0"/>
        <w:kinsoku/>
        <w:wordWrap/>
        <w:overflowPunct/>
        <w:topLinePunct w:val="0"/>
        <w:autoSpaceDE/>
        <w:autoSpaceDN/>
        <w:bidi w:val="0"/>
        <w:adjustRightInd/>
        <w:snapToGrid/>
        <w:spacing w:line="576" w:lineRule="exact"/>
        <w:ind w:firstLine="660" w:firstLineChars="200"/>
        <w:textAlignment w:val="auto"/>
        <w:rPr>
          <w:rFonts w:hint="default" w:ascii="方正黑体_GBK" w:hAnsi="方正黑体_GBK" w:eastAsia="方正黑体_GBK" w:cs="方正黑体_GBK"/>
          <w:b w:val="0"/>
          <w:bCs w:val="0"/>
          <w:sz w:val="33"/>
          <w:szCs w:val="33"/>
        </w:rPr>
      </w:pPr>
      <w:bookmarkStart w:id="160" w:name="_Toc54278010"/>
      <w:bookmarkStart w:id="161" w:name="_Toc14511"/>
      <w:r>
        <w:rPr>
          <w:rFonts w:hint="default" w:ascii="方正黑体_GBK" w:hAnsi="方正黑体_GBK" w:eastAsia="方正黑体_GBK" w:cs="方正黑体_GBK"/>
          <w:b w:val="0"/>
          <w:bCs w:val="0"/>
          <w:sz w:val="33"/>
          <w:szCs w:val="33"/>
        </w:rPr>
        <w:t>三、项目绩效情况</w:t>
      </w:r>
      <w:bookmarkEnd w:id="160"/>
      <w:bookmarkEnd w:id="161"/>
    </w:p>
    <w:p w14:paraId="471F15BC">
      <w:pPr>
        <w:pStyle w:val="4"/>
        <w:pageBreakBefore w:val="0"/>
        <w:widowControl w:val="0"/>
        <w:kinsoku/>
        <w:wordWrap/>
        <w:overflowPunct/>
        <w:topLinePunct w:val="0"/>
        <w:autoSpaceDE/>
        <w:autoSpaceDN/>
        <w:bidi w:val="0"/>
        <w:adjustRightInd/>
        <w:snapToGrid/>
        <w:spacing w:line="576" w:lineRule="exact"/>
        <w:textAlignment w:val="auto"/>
        <w:rPr>
          <w:rFonts w:hint="default" w:ascii="方正楷体_GBK" w:hAnsi="方正楷体_GBK" w:eastAsia="方正楷体_GBK" w:cs="方正楷体_GBK"/>
          <w:b/>
          <w:bCs/>
          <w:kern w:val="2"/>
          <w:sz w:val="33"/>
          <w:szCs w:val="33"/>
          <w:lang w:val="en-US" w:eastAsia="zh-CN" w:bidi="ar-SA"/>
        </w:rPr>
      </w:pPr>
      <w:bookmarkStart w:id="162" w:name="_Toc54278011"/>
      <w:r>
        <w:rPr>
          <w:rFonts w:hint="default" w:ascii="Times New Roman" w:hAnsi="Times New Roman" w:eastAsia="方正仿宋_GBK" w:cs="Times New Roman"/>
          <w:sz w:val="33"/>
          <w:szCs w:val="33"/>
        </w:rPr>
        <w:t xml:space="preserve"> </w:t>
      </w:r>
      <w:r>
        <w:rPr>
          <w:rFonts w:hint="default" w:ascii="方正楷体_GBK" w:hAnsi="方正楷体_GBK" w:eastAsia="方正楷体_GBK" w:cs="方正楷体_GBK"/>
          <w:b/>
          <w:bCs/>
          <w:kern w:val="2"/>
          <w:sz w:val="33"/>
          <w:szCs w:val="33"/>
          <w:lang w:val="en-US" w:eastAsia="zh-CN" w:bidi="ar-SA"/>
        </w:rPr>
        <w:t xml:space="preserve">  </w:t>
      </w:r>
      <w:bookmarkStart w:id="163" w:name="_Toc22510"/>
      <w:r>
        <w:rPr>
          <w:rFonts w:hint="default" w:ascii="方正楷体_GBK" w:hAnsi="方正楷体_GBK" w:eastAsia="方正楷体_GBK" w:cs="方正楷体_GBK"/>
          <w:b/>
          <w:bCs/>
          <w:kern w:val="2"/>
          <w:sz w:val="33"/>
          <w:szCs w:val="33"/>
          <w:lang w:val="en-US" w:eastAsia="zh-CN" w:bidi="ar-SA"/>
        </w:rPr>
        <w:t>（一）项目的实施进度</w:t>
      </w:r>
      <w:bookmarkEnd w:id="162"/>
      <w:bookmarkEnd w:id="163"/>
      <w:bookmarkStart w:id="164" w:name="_Toc54278012"/>
    </w:p>
    <w:p w14:paraId="5D446755">
      <w:pPr>
        <w:pageBreakBefore w:val="0"/>
        <w:widowControl w:val="0"/>
        <w:kinsoku/>
        <w:wordWrap/>
        <w:overflowPunct/>
        <w:topLinePunct w:val="0"/>
        <w:autoSpaceDE/>
        <w:autoSpaceDN/>
        <w:bidi w:val="0"/>
        <w:adjustRightInd/>
        <w:snapToGrid/>
        <w:spacing w:line="576" w:lineRule="exact"/>
        <w:ind w:firstLine="660" w:firstLineChars="200"/>
        <w:textAlignment w:val="auto"/>
        <w:outlineLvl w:val="1"/>
        <w:rPr>
          <w:rFonts w:hint="default" w:ascii="Times New Roman" w:hAnsi="Times New Roman" w:eastAsia="方正仿宋_GBK" w:cs="Times New Roman"/>
          <w:sz w:val="33"/>
          <w:szCs w:val="33"/>
        </w:rPr>
      </w:pPr>
      <w:bookmarkStart w:id="165" w:name="_Toc16281"/>
      <w:r>
        <w:rPr>
          <w:rFonts w:hint="default" w:ascii="Times New Roman" w:hAnsi="Times New Roman" w:eastAsia="方正仿宋_GBK" w:cs="Times New Roman"/>
          <w:sz w:val="33"/>
          <w:szCs w:val="33"/>
        </w:rPr>
        <w:t>截止到2019年年底，红果乡预算绩效目标完成情况如下：</w:t>
      </w:r>
      <w:bookmarkEnd w:id="164"/>
      <w:bookmarkEnd w:id="165"/>
    </w:p>
    <w:p w14:paraId="048551AB">
      <w:pPr>
        <w:pageBreakBefore w:val="0"/>
        <w:widowControl w:val="0"/>
        <w:kinsoku/>
        <w:wordWrap/>
        <w:overflowPunct/>
        <w:topLinePunct w:val="0"/>
        <w:autoSpaceDE/>
        <w:autoSpaceDN/>
        <w:bidi w:val="0"/>
        <w:adjustRightInd/>
        <w:snapToGrid/>
        <w:spacing w:line="576" w:lineRule="exact"/>
        <w:textAlignment w:val="auto"/>
        <w:outlineLvl w:val="1"/>
        <w:rPr>
          <w:rFonts w:hint="default" w:ascii="Times New Roman" w:hAnsi="Times New Roman" w:eastAsia="方正仿宋_GBK" w:cs="Times New Roman"/>
          <w:sz w:val="33"/>
          <w:szCs w:val="33"/>
        </w:rPr>
      </w:pPr>
      <w:bookmarkStart w:id="166" w:name="_Toc54278013"/>
      <w:r>
        <w:rPr>
          <w:rFonts w:hint="default" w:ascii="Times New Roman" w:hAnsi="Times New Roman" w:eastAsia="方正仿宋_GBK" w:cs="Times New Roman"/>
          <w:sz w:val="33"/>
          <w:szCs w:val="33"/>
        </w:rPr>
        <w:t xml:space="preserve">    </w:t>
      </w:r>
      <w:bookmarkStart w:id="167" w:name="_Toc10578"/>
      <w:r>
        <w:rPr>
          <w:rFonts w:hint="default" w:ascii="Times New Roman" w:hAnsi="Times New Roman" w:eastAsia="方正仿宋_GBK" w:cs="Times New Roman"/>
          <w:sz w:val="33"/>
          <w:szCs w:val="33"/>
        </w:rPr>
        <w:t>根据川财基【2017】14号下达2018年公共运行经费，该项目款为保证11个村（居）的正常的公共运行，合计下达56万，以前全部拨付到位。</w:t>
      </w:r>
      <w:bookmarkEnd w:id="166"/>
      <w:bookmarkEnd w:id="167"/>
    </w:p>
    <w:p w14:paraId="50149D76">
      <w:pPr>
        <w:pageBreakBefore w:val="0"/>
        <w:widowControl w:val="0"/>
        <w:kinsoku/>
        <w:wordWrap/>
        <w:overflowPunct/>
        <w:topLinePunct w:val="0"/>
        <w:autoSpaceDE/>
        <w:autoSpaceDN/>
        <w:bidi w:val="0"/>
        <w:adjustRightInd/>
        <w:snapToGrid/>
        <w:spacing w:line="576" w:lineRule="exact"/>
        <w:textAlignment w:val="auto"/>
        <w:outlineLvl w:val="1"/>
        <w:rPr>
          <w:rFonts w:hint="default" w:ascii="Times New Roman" w:hAnsi="Times New Roman" w:eastAsia="方正仿宋_GBK" w:cs="Times New Roman"/>
          <w:sz w:val="33"/>
          <w:szCs w:val="33"/>
        </w:rPr>
      </w:pPr>
      <w:bookmarkStart w:id="168" w:name="_Toc54278014"/>
      <w:r>
        <w:rPr>
          <w:rFonts w:hint="default" w:ascii="Times New Roman" w:hAnsi="Times New Roman" w:eastAsia="方正仿宋_GBK" w:cs="Times New Roman"/>
          <w:sz w:val="33"/>
          <w:szCs w:val="33"/>
        </w:rPr>
        <w:t xml:space="preserve">     </w:t>
      </w:r>
      <w:bookmarkStart w:id="169" w:name="_Toc30507"/>
      <w:r>
        <w:rPr>
          <w:rFonts w:hint="default" w:ascii="Times New Roman" w:hAnsi="Times New Roman" w:eastAsia="方正仿宋_GBK" w:cs="Times New Roman"/>
          <w:sz w:val="33"/>
          <w:szCs w:val="33"/>
        </w:rPr>
        <w:t>民族工作专项资金方面，包括三滩社道路1公里硬化项目和红果村人行桥以及水毁道路恢复项目，合计63万，其中红果村人行桥项目已经完工并支付完毕，三滩村社道路硬化，由于工程未完工故未进行支付。</w:t>
      </w:r>
      <w:bookmarkEnd w:id="168"/>
      <w:bookmarkEnd w:id="169"/>
    </w:p>
    <w:p w14:paraId="3BC96FF5">
      <w:pPr>
        <w:pageBreakBefore w:val="0"/>
        <w:widowControl w:val="0"/>
        <w:kinsoku/>
        <w:wordWrap/>
        <w:overflowPunct/>
        <w:topLinePunct w:val="0"/>
        <w:autoSpaceDE/>
        <w:autoSpaceDN/>
        <w:bidi w:val="0"/>
        <w:adjustRightInd/>
        <w:snapToGrid/>
        <w:spacing w:line="576" w:lineRule="exact"/>
        <w:ind w:firstLine="645"/>
        <w:textAlignment w:val="auto"/>
        <w:outlineLvl w:val="1"/>
        <w:rPr>
          <w:rFonts w:hint="default" w:ascii="Times New Roman" w:hAnsi="Times New Roman" w:eastAsia="方正仿宋_GBK" w:cs="Times New Roman"/>
          <w:sz w:val="33"/>
          <w:szCs w:val="33"/>
        </w:rPr>
      </w:pPr>
      <w:bookmarkStart w:id="170" w:name="_Toc25862"/>
      <w:bookmarkStart w:id="171" w:name="_Toc54278015"/>
      <w:r>
        <w:rPr>
          <w:rFonts w:hint="default" w:ascii="Times New Roman" w:hAnsi="Times New Roman" w:eastAsia="方正仿宋_GBK" w:cs="Times New Roman"/>
          <w:sz w:val="33"/>
          <w:szCs w:val="33"/>
        </w:rPr>
        <w:t>公路硬化方面，红果乡合计安排32.9万，用于红果乡全乡道路水毁项目工程款，全年合计安排支出20.9万，其余资金结转到下一年安排使用。</w:t>
      </w:r>
      <w:bookmarkEnd w:id="170"/>
      <w:bookmarkEnd w:id="171"/>
    </w:p>
    <w:p w14:paraId="1A3C4C6F">
      <w:pPr>
        <w:pageBreakBefore w:val="0"/>
        <w:widowControl w:val="0"/>
        <w:kinsoku/>
        <w:wordWrap/>
        <w:overflowPunct/>
        <w:topLinePunct w:val="0"/>
        <w:autoSpaceDE/>
        <w:autoSpaceDN/>
        <w:bidi w:val="0"/>
        <w:adjustRightInd/>
        <w:snapToGrid/>
        <w:spacing w:line="576" w:lineRule="exact"/>
        <w:ind w:firstLine="645"/>
        <w:textAlignment w:val="auto"/>
        <w:outlineLvl w:val="1"/>
        <w:rPr>
          <w:rFonts w:hint="default" w:ascii="Times New Roman" w:hAnsi="Times New Roman" w:eastAsia="方正仿宋_GBK" w:cs="Times New Roman"/>
          <w:sz w:val="33"/>
          <w:szCs w:val="33"/>
        </w:rPr>
      </w:pPr>
      <w:bookmarkStart w:id="172" w:name="_Toc54278016"/>
      <w:bookmarkStart w:id="173" w:name="_Toc27635"/>
      <w:r>
        <w:rPr>
          <w:rFonts w:hint="default" w:ascii="Times New Roman" w:hAnsi="Times New Roman" w:eastAsia="方正仿宋_GBK" w:cs="Times New Roman"/>
          <w:sz w:val="33"/>
          <w:szCs w:val="33"/>
        </w:rPr>
        <w:t>红果乡垃圾车采购资金，根据盐财资建【2018】51号将元省级专项资金盘活，用于红果乡垃圾车购买，红果乡需要将红果集镇垃圾集中转运到垃圾车处理，故需要采购垃圾车一台，为保障该项工作的顺利开展，故申请县级财政安排45万资金，用于红果乡垃圾车购买，实际使用37.9万，剩余资金请示县级部门后自行安排使用。</w:t>
      </w:r>
      <w:bookmarkEnd w:id="172"/>
      <w:bookmarkEnd w:id="173"/>
    </w:p>
    <w:p w14:paraId="16B687E1">
      <w:pPr>
        <w:pStyle w:val="3"/>
        <w:pageBreakBefore w:val="0"/>
        <w:widowControl w:val="0"/>
        <w:kinsoku/>
        <w:wordWrap/>
        <w:overflowPunct/>
        <w:topLinePunct w:val="0"/>
        <w:autoSpaceDE/>
        <w:autoSpaceDN/>
        <w:bidi w:val="0"/>
        <w:adjustRightInd/>
        <w:snapToGrid/>
        <w:spacing w:line="576" w:lineRule="exact"/>
        <w:ind w:firstLine="663" w:firstLineChars="200"/>
        <w:textAlignment w:val="auto"/>
        <w:rPr>
          <w:rFonts w:hint="default" w:ascii="方正楷体_GBK" w:hAnsi="方正楷体_GBK" w:eastAsia="方正楷体_GBK" w:cs="方正楷体_GBK"/>
          <w:sz w:val="33"/>
          <w:szCs w:val="33"/>
        </w:rPr>
      </w:pPr>
      <w:bookmarkStart w:id="174" w:name="_Toc54278017"/>
      <w:bookmarkStart w:id="175" w:name="_Toc8610"/>
      <w:r>
        <w:rPr>
          <w:rFonts w:hint="default" w:ascii="方正楷体_GBK" w:hAnsi="方正楷体_GBK" w:eastAsia="方正楷体_GBK" w:cs="方正楷体_GBK"/>
          <w:sz w:val="33"/>
          <w:szCs w:val="33"/>
        </w:rPr>
        <w:t>（二）项目的效益性分析</w:t>
      </w:r>
      <w:bookmarkEnd w:id="174"/>
      <w:bookmarkEnd w:id="175"/>
    </w:p>
    <w:p w14:paraId="6AB3689E">
      <w:pPr>
        <w:pStyle w:val="5"/>
        <w:pageBreakBefore w:val="0"/>
        <w:widowControl w:val="0"/>
        <w:kinsoku/>
        <w:wordWrap/>
        <w:overflowPunct/>
        <w:topLinePunct w:val="0"/>
        <w:autoSpaceDE/>
        <w:autoSpaceDN/>
        <w:bidi w:val="0"/>
        <w:adjustRightInd/>
        <w:snapToGrid/>
        <w:spacing w:line="576" w:lineRule="exact"/>
        <w:ind w:firstLine="663" w:firstLineChars="200"/>
        <w:textAlignment w:val="auto"/>
        <w:rPr>
          <w:rFonts w:hint="default" w:ascii="Times New Roman" w:hAnsi="Times New Roman" w:eastAsia="方正仿宋_GBK" w:cs="Times New Roman"/>
          <w:sz w:val="33"/>
          <w:szCs w:val="33"/>
        </w:rPr>
      </w:pPr>
      <w:bookmarkStart w:id="176" w:name="_Toc54278018"/>
      <w:r>
        <w:rPr>
          <w:rFonts w:hint="default" w:ascii="Times New Roman" w:hAnsi="Times New Roman" w:eastAsia="方正仿宋_GBK" w:cs="Times New Roman"/>
          <w:sz w:val="33"/>
          <w:szCs w:val="33"/>
        </w:rPr>
        <w:t>1.项目实施对经济和社会的影响</w:t>
      </w:r>
      <w:bookmarkEnd w:id="176"/>
    </w:p>
    <w:p w14:paraId="4DA941F1">
      <w:pPr>
        <w:pageBreakBefore w:val="0"/>
        <w:widowControl w:val="0"/>
        <w:kinsoku/>
        <w:wordWrap/>
        <w:overflowPunct/>
        <w:topLinePunct w:val="0"/>
        <w:autoSpaceDE/>
        <w:autoSpaceDN/>
        <w:bidi w:val="0"/>
        <w:adjustRightInd/>
        <w:snapToGrid/>
        <w:spacing w:line="576" w:lineRule="exact"/>
        <w:ind w:firstLine="660" w:firstLineChars="200"/>
        <w:textAlignment w:val="auto"/>
        <w:outlineLvl w:val="1"/>
        <w:rPr>
          <w:rFonts w:hint="default" w:ascii="Times New Roman" w:hAnsi="Times New Roman" w:eastAsia="方正仿宋_GBK" w:cs="Times New Roman"/>
          <w:sz w:val="33"/>
          <w:szCs w:val="33"/>
        </w:rPr>
      </w:pPr>
      <w:bookmarkStart w:id="177" w:name="_Toc54278019"/>
      <w:bookmarkStart w:id="178" w:name="_Toc11620"/>
      <w:r>
        <w:rPr>
          <w:rFonts w:hint="default" w:ascii="Times New Roman" w:hAnsi="Times New Roman" w:eastAsia="方正仿宋_GBK" w:cs="Times New Roman"/>
          <w:sz w:val="33"/>
          <w:szCs w:val="33"/>
        </w:rPr>
        <w:t>这些项目的实施，保障了红果乡的经济发展和基础设施建设，有力的推进了红果乡的全面发展，有利的保障了红果政府各方面工作的全面进展。</w:t>
      </w:r>
      <w:bookmarkEnd w:id="177"/>
      <w:bookmarkEnd w:id="178"/>
      <w:bookmarkStart w:id="179" w:name="_Toc54278020"/>
    </w:p>
    <w:p w14:paraId="4EE0CE29">
      <w:pPr>
        <w:pageBreakBefore w:val="0"/>
        <w:widowControl w:val="0"/>
        <w:kinsoku/>
        <w:wordWrap/>
        <w:overflowPunct/>
        <w:topLinePunct w:val="0"/>
        <w:autoSpaceDE/>
        <w:autoSpaceDN/>
        <w:bidi w:val="0"/>
        <w:adjustRightInd/>
        <w:snapToGrid/>
        <w:spacing w:line="576" w:lineRule="exact"/>
        <w:ind w:firstLine="663" w:firstLineChars="200"/>
        <w:textAlignment w:val="auto"/>
        <w:outlineLvl w:val="1"/>
        <w:rPr>
          <w:rFonts w:hint="default" w:ascii="Times New Roman" w:hAnsi="Times New Roman" w:eastAsia="方正仿宋_GBK" w:cs="Times New Roman"/>
          <w:b/>
          <w:bCs/>
          <w:sz w:val="33"/>
          <w:szCs w:val="33"/>
        </w:rPr>
      </w:pPr>
      <w:bookmarkStart w:id="180" w:name="_Toc7966"/>
      <w:r>
        <w:rPr>
          <w:rFonts w:hint="default" w:ascii="Times New Roman" w:hAnsi="Times New Roman" w:eastAsia="方正仿宋_GBK" w:cs="Times New Roman"/>
          <w:b/>
          <w:bCs/>
          <w:sz w:val="33"/>
          <w:szCs w:val="33"/>
        </w:rPr>
        <w:t>2.该项目的可持续性分析</w:t>
      </w:r>
      <w:bookmarkEnd w:id="179"/>
      <w:bookmarkEnd w:id="180"/>
    </w:p>
    <w:p w14:paraId="7273C50C">
      <w:pPr>
        <w:pageBreakBefore w:val="0"/>
        <w:widowControl w:val="0"/>
        <w:kinsoku/>
        <w:wordWrap/>
        <w:overflowPunct/>
        <w:topLinePunct w:val="0"/>
        <w:autoSpaceDE/>
        <w:autoSpaceDN/>
        <w:bidi w:val="0"/>
        <w:adjustRightInd/>
        <w:snapToGrid/>
        <w:spacing w:line="576" w:lineRule="exact"/>
        <w:ind w:firstLine="660" w:firstLineChars="200"/>
        <w:textAlignment w:val="auto"/>
        <w:outlineLvl w:val="1"/>
        <w:rPr>
          <w:rFonts w:hint="default" w:ascii="Times New Roman" w:hAnsi="Times New Roman" w:eastAsia="方正仿宋_GBK" w:cs="Times New Roman"/>
          <w:sz w:val="33"/>
          <w:szCs w:val="33"/>
        </w:rPr>
      </w:pPr>
      <w:bookmarkStart w:id="181" w:name="_Toc54278021"/>
      <w:bookmarkStart w:id="182" w:name="_Toc30882"/>
      <w:r>
        <w:rPr>
          <w:rFonts w:hint="default" w:ascii="Times New Roman" w:hAnsi="Times New Roman" w:eastAsia="方正仿宋_GBK" w:cs="Times New Roman"/>
          <w:sz w:val="33"/>
          <w:szCs w:val="33"/>
        </w:rPr>
        <w:t>国家及地方财政每年均全额拨款，保障项目建设的可持续性。</w:t>
      </w:r>
      <w:bookmarkEnd w:id="181"/>
      <w:bookmarkEnd w:id="182"/>
    </w:p>
    <w:p w14:paraId="19227751">
      <w:pPr>
        <w:pStyle w:val="3"/>
        <w:pageBreakBefore w:val="0"/>
        <w:widowControl w:val="0"/>
        <w:kinsoku/>
        <w:wordWrap/>
        <w:overflowPunct/>
        <w:topLinePunct w:val="0"/>
        <w:autoSpaceDE/>
        <w:autoSpaceDN/>
        <w:bidi w:val="0"/>
        <w:adjustRightInd/>
        <w:snapToGrid/>
        <w:spacing w:line="576" w:lineRule="exact"/>
        <w:ind w:firstLine="660" w:firstLineChars="200"/>
        <w:textAlignment w:val="auto"/>
        <w:rPr>
          <w:rFonts w:hint="default" w:ascii="方正黑体_GBK" w:hAnsi="方正黑体_GBK" w:eastAsia="方正黑体_GBK" w:cs="方正黑体_GBK"/>
          <w:b w:val="0"/>
          <w:bCs w:val="0"/>
          <w:sz w:val="33"/>
          <w:szCs w:val="33"/>
        </w:rPr>
      </w:pPr>
      <w:bookmarkStart w:id="183" w:name="_Toc54278022"/>
      <w:bookmarkStart w:id="184" w:name="_Toc22258"/>
      <w:r>
        <w:rPr>
          <w:rFonts w:hint="eastAsia" w:ascii="方正黑体_GBK" w:hAnsi="方正黑体_GBK" w:eastAsia="方正黑体_GBK" w:cs="方正黑体_GBK"/>
          <w:b w:val="0"/>
          <w:bCs w:val="0"/>
          <w:sz w:val="33"/>
          <w:szCs w:val="33"/>
          <w:lang w:eastAsia="zh-CN"/>
        </w:rPr>
        <w:t>四、</w:t>
      </w:r>
      <w:r>
        <w:rPr>
          <w:rFonts w:hint="default" w:ascii="方正黑体_GBK" w:hAnsi="方正黑体_GBK" w:eastAsia="方正黑体_GBK" w:cs="方正黑体_GBK"/>
          <w:b w:val="0"/>
          <w:bCs w:val="0"/>
          <w:sz w:val="33"/>
          <w:szCs w:val="33"/>
        </w:rPr>
        <w:t>主要经验及做法、存在的问题和建议</w:t>
      </w:r>
      <w:bookmarkEnd w:id="183"/>
      <w:bookmarkEnd w:id="184"/>
    </w:p>
    <w:p w14:paraId="3C1963DB">
      <w:pPr>
        <w:pageBreakBefore w:val="0"/>
        <w:widowControl w:val="0"/>
        <w:kinsoku/>
        <w:wordWrap/>
        <w:overflowPunct/>
        <w:topLinePunct w:val="0"/>
        <w:autoSpaceDE/>
        <w:autoSpaceDN/>
        <w:bidi w:val="0"/>
        <w:adjustRightInd/>
        <w:snapToGrid/>
        <w:spacing w:line="576" w:lineRule="exact"/>
        <w:ind w:firstLine="660" w:firstLineChars="200"/>
        <w:textAlignment w:val="auto"/>
        <w:outlineLvl w:val="1"/>
        <w:rPr>
          <w:rFonts w:hint="default" w:ascii="Times New Roman" w:hAnsi="Times New Roman" w:eastAsia="方正仿宋_GBK" w:cs="Times New Roman"/>
          <w:sz w:val="33"/>
          <w:szCs w:val="33"/>
        </w:rPr>
      </w:pPr>
      <w:bookmarkStart w:id="185" w:name="_Toc22169"/>
      <w:bookmarkStart w:id="186" w:name="_Toc54278023"/>
      <w:r>
        <w:rPr>
          <w:rFonts w:hint="default" w:ascii="Times New Roman" w:hAnsi="Times New Roman" w:eastAsia="方正仿宋_GBK" w:cs="Times New Roman"/>
          <w:sz w:val="33"/>
          <w:szCs w:val="33"/>
        </w:rPr>
        <w:t>1.预算绩效有部分安排不合理，未能有效的进行支付。</w:t>
      </w:r>
      <w:bookmarkEnd w:id="185"/>
      <w:bookmarkEnd w:id="186"/>
    </w:p>
    <w:p w14:paraId="3713038C">
      <w:pPr>
        <w:pageBreakBefore w:val="0"/>
        <w:widowControl w:val="0"/>
        <w:kinsoku/>
        <w:wordWrap/>
        <w:overflowPunct/>
        <w:topLinePunct w:val="0"/>
        <w:autoSpaceDE/>
        <w:autoSpaceDN/>
        <w:bidi w:val="0"/>
        <w:adjustRightInd/>
        <w:snapToGrid/>
        <w:spacing w:line="576" w:lineRule="exact"/>
        <w:ind w:firstLine="660" w:firstLineChars="200"/>
        <w:textAlignment w:val="auto"/>
        <w:outlineLvl w:val="1"/>
        <w:rPr>
          <w:rFonts w:hint="default" w:ascii="Times New Roman" w:hAnsi="Times New Roman" w:eastAsia="方正仿宋_GBK" w:cs="Times New Roman"/>
          <w:sz w:val="33"/>
          <w:szCs w:val="33"/>
        </w:rPr>
      </w:pPr>
      <w:bookmarkStart w:id="187" w:name="_Toc54278024"/>
      <w:bookmarkStart w:id="188" w:name="_Toc13898"/>
      <w:r>
        <w:rPr>
          <w:rFonts w:hint="default" w:ascii="Times New Roman" w:hAnsi="Times New Roman" w:eastAsia="方正仿宋_GBK" w:cs="Times New Roman"/>
          <w:sz w:val="33"/>
          <w:szCs w:val="33"/>
        </w:rPr>
        <w:t>2.项目进度较慢，导致资金项目不能及时进行支付。</w:t>
      </w:r>
      <w:bookmarkEnd w:id="187"/>
      <w:bookmarkEnd w:id="188"/>
    </w:p>
    <w:p w14:paraId="6302DE55">
      <w:pPr>
        <w:pageBreakBefore w:val="0"/>
        <w:widowControl w:val="0"/>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Times New Roman"/>
          <w:sz w:val="33"/>
          <w:szCs w:val="33"/>
        </w:rPr>
      </w:pPr>
    </w:p>
    <w:p w14:paraId="675D854B">
      <w:pPr>
        <w:pageBreakBefore w:val="0"/>
        <w:widowControl w:val="0"/>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Times New Roman"/>
          <w:sz w:val="33"/>
          <w:szCs w:val="33"/>
        </w:rPr>
      </w:pPr>
    </w:p>
    <w:p w14:paraId="36AF3F16">
      <w:pPr>
        <w:pageBreakBefore w:val="0"/>
        <w:widowControl w:val="0"/>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Times New Roman"/>
          <w:sz w:val="33"/>
          <w:szCs w:val="33"/>
        </w:rPr>
      </w:pPr>
    </w:p>
    <w:p w14:paraId="0609A68E">
      <w:pPr>
        <w:pageBreakBefore w:val="0"/>
        <w:widowControl w:val="0"/>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Times New Roman"/>
          <w:sz w:val="33"/>
          <w:szCs w:val="33"/>
        </w:rPr>
      </w:pPr>
    </w:p>
    <w:p w14:paraId="2E17A253">
      <w:pPr>
        <w:pageBreakBefore w:val="0"/>
        <w:widowControl w:val="0"/>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Times New Roman"/>
          <w:sz w:val="33"/>
          <w:szCs w:val="33"/>
        </w:rPr>
      </w:pPr>
    </w:p>
    <w:p w14:paraId="655F3559">
      <w:pPr>
        <w:spacing w:line="600" w:lineRule="exact"/>
        <w:jc w:val="left"/>
        <w:rPr>
          <w:rFonts w:ascii="仿宋" w:hAnsi="仿宋" w:eastAsia="仿宋" w:cs="黑体"/>
          <w:sz w:val="32"/>
          <w:szCs w:val="32"/>
        </w:rPr>
      </w:pPr>
    </w:p>
    <w:p w14:paraId="5A2611F0">
      <w:pPr>
        <w:spacing w:line="600" w:lineRule="exact"/>
        <w:jc w:val="left"/>
        <w:rPr>
          <w:rFonts w:ascii="仿宋" w:hAnsi="仿宋" w:eastAsia="仿宋" w:cs="黑体"/>
          <w:sz w:val="32"/>
          <w:szCs w:val="32"/>
        </w:rPr>
      </w:pPr>
    </w:p>
    <w:p w14:paraId="6EDE8065">
      <w:pPr>
        <w:spacing w:line="600" w:lineRule="exact"/>
        <w:jc w:val="left"/>
        <w:rPr>
          <w:rFonts w:ascii="仿宋" w:hAnsi="仿宋" w:eastAsia="仿宋" w:cs="黑体"/>
          <w:sz w:val="32"/>
          <w:szCs w:val="32"/>
        </w:rPr>
      </w:pPr>
    </w:p>
    <w:p w14:paraId="74D35766">
      <w:pPr>
        <w:spacing w:line="600" w:lineRule="exact"/>
        <w:jc w:val="left"/>
        <w:rPr>
          <w:rFonts w:ascii="仿宋" w:hAnsi="仿宋" w:eastAsia="仿宋" w:cs="黑体"/>
          <w:sz w:val="32"/>
          <w:szCs w:val="32"/>
        </w:rPr>
      </w:pPr>
    </w:p>
    <w:p w14:paraId="20EE61E2">
      <w:pPr>
        <w:spacing w:line="600" w:lineRule="exact"/>
        <w:jc w:val="left"/>
        <w:rPr>
          <w:rFonts w:ascii="仿宋" w:hAnsi="仿宋" w:eastAsia="仿宋" w:cs="黑体"/>
          <w:sz w:val="32"/>
          <w:szCs w:val="32"/>
        </w:rPr>
      </w:pPr>
    </w:p>
    <w:p w14:paraId="144FEC2B">
      <w:pPr>
        <w:spacing w:line="600" w:lineRule="exact"/>
        <w:jc w:val="left"/>
        <w:rPr>
          <w:rFonts w:ascii="仿宋" w:hAnsi="仿宋" w:eastAsia="仿宋" w:cs="黑体"/>
          <w:sz w:val="32"/>
          <w:szCs w:val="32"/>
        </w:rPr>
      </w:pPr>
    </w:p>
    <w:p w14:paraId="13C11424">
      <w:pPr>
        <w:spacing w:line="600" w:lineRule="exact"/>
        <w:jc w:val="left"/>
        <w:rPr>
          <w:rFonts w:ascii="仿宋" w:hAnsi="仿宋" w:eastAsia="仿宋" w:cs="黑体"/>
          <w:sz w:val="32"/>
          <w:szCs w:val="32"/>
        </w:rPr>
      </w:pPr>
    </w:p>
    <w:p w14:paraId="3D502B9A">
      <w:pPr>
        <w:spacing w:line="600" w:lineRule="exact"/>
        <w:jc w:val="left"/>
        <w:rPr>
          <w:rFonts w:ascii="仿宋" w:hAnsi="仿宋" w:eastAsia="仿宋" w:cs="黑体"/>
          <w:sz w:val="32"/>
          <w:szCs w:val="32"/>
        </w:rPr>
      </w:pPr>
    </w:p>
    <w:p w14:paraId="0BDBE61B">
      <w:pPr>
        <w:spacing w:line="600" w:lineRule="exact"/>
        <w:jc w:val="left"/>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附件2：</w:t>
      </w:r>
    </w:p>
    <w:p w14:paraId="3220BDA5">
      <w:pPr>
        <w:spacing w:line="600" w:lineRule="exact"/>
        <w:jc w:val="center"/>
        <w:rPr>
          <w:rFonts w:hint="default" w:ascii="Times New Roman" w:hAnsi="Times New Roman" w:eastAsia="方正小标宋_GBK" w:cs="Times New Roman"/>
          <w:sz w:val="38"/>
          <w:szCs w:val="38"/>
        </w:rPr>
      </w:pPr>
    </w:p>
    <w:p w14:paraId="314F9F91">
      <w:pPr>
        <w:spacing w:line="600" w:lineRule="exact"/>
        <w:jc w:val="center"/>
        <w:rPr>
          <w:rFonts w:hint="default" w:ascii="Times New Roman" w:hAnsi="Times New Roman" w:eastAsia="方正小标宋_GBK" w:cs="Times New Roman"/>
          <w:sz w:val="38"/>
          <w:szCs w:val="38"/>
        </w:rPr>
      </w:pPr>
      <w:r>
        <w:rPr>
          <w:rFonts w:hint="default" w:ascii="Times New Roman" w:hAnsi="Times New Roman" w:eastAsia="方正小标宋_GBK" w:cs="Times New Roman"/>
          <w:sz w:val="38"/>
          <w:szCs w:val="38"/>
        </w:rPr>
        <w:t>2019年绩效评价报告</w:t>
      </w:r>
    </w:p>
    <w:p w14:paraId="27C0B450">
      <w:pPr>
        <w:pStyle w:val="3"/>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方正黑体_GBK" w:hAnsi="方正黑体_GBK" w:eastAsia="方正黑体_GBK" w:cs="方正黑体_GBK"/>
          <w:b w:val="0"/>
          <w:bCs w:val="0"/>
          <w:sz w:val="33"/>
          <w:szCs w:val="33"/>
        </w:rPr>
      </w:pPr>
      <w:bookmarkStart w:id="189" w:name="_Toc12278"/>
      <w:r>
        <w:rPr>
          <w:rFonts w:hint="eastAsia" w:ascii="方正黑体_GBK" w:hAnsi="方正黑体_GBK" w:eastAsia="方正黑体_GBK" w:cs="方正黑体_GBK"/>
          <w:b w:val="0"/>
          <w:bCs w:val="0"/>
          <w:sz w:val="33"/>
          <w:szCs w:val="33"/>
        </w:rPr>
        <w:t>一、项目基本情况</w:t>
      </w:r>
      <w:bookmarkEnd w:id="189"/>
    </w:p>
    <w:p w14:paraId="1A411553">
      <w:pPr>
        <w:pStyle w:val="4"/>
        <w:pageBreakBefore w:val="0"/>
        <w:widowControl w:val="0"/>
        <w:kinsoku/>
        <w:wordWrap/>
        <w:overflowPunct/>
        <w:topLinePunct w:val="0"/>
        <w:autoSpaceDE/>
        <w:autoSpaceDN/>
        <w:bidi w:val="0"/>
        <w:adjustRightInd/>
        <w:snapToGrid/>
        <w:spacing w:line="576" w:lineRule="exact"/>
        <w:ind w:firstLine="663" w:firstLineChars="200"/>
        <w:textAlignment w:val="auto"/>
        <w:rPr>
          <w:rFonts w:hint="eastAsia" w:ascii="方正楷体_GBK" w:hAnsi="方正楷体_GBK" w:eastAsia="方正楷体_GBK" w:cs="方正楷体_GBK"/>
          <w:sz w:val="33"/>
          <w:szCs w:val="33"/>
        </w:rPr>
      </w:pPr>
      <w:bookmarkStart w:id="190" w:name="_Toc6820"/>
      <w:r>
        <w:rPr>
          <w:rFonts w:hint="eastAsia" w:ascii="方正楷体_GBK" w:hAnsi="方正楷体_GBK" w:eastAsia="方正楷体_GBK" w:cs="方正楷体_GBK"/>
          <w:sz w:val="33"/>
          <w:szCs w:val="33"/>
        </w:rPr>
        <w:t>（一）理想背景</w:t>
      </w:r>
      <w:bookmarkEnd w:id="190"/>
    </w:p>
    <w:p w14:paraId="78344605">
      <w:pPr>
        <w:pStyle w:val="4"/>
        <w:pageBreakBefore w:val="0"/>
        <w:widowControl w:val="0"/>
        <w:kinsoku/>
        <w:wordWrap/>
        <w:overflowPunct/>
        <w:topLinePunct w:val="0"/>
        <w:autoSpaceDE/>
        <w:autoSpaceDN/>
        <w:bidi w:val="0"/>
        <w:adjustRightInd/>
        <w:snapToGrid/>
        <w:spacing w:line="576" w:lineRule="exact"/>
        <w:ind w:firstLine="660" w:firstLineChars="200"/>
        <w:textAlignment w:val="auto"/>
        <w:rPr>
          <w:rFonts w:hint="default" w:ascii="Times New Roman" w:hAnsi="Times New Roman" w:eastAsia="方正仿宋_GBK" w:cs="Times New Roman"/>
          <w:b w:val="0"/>
          <w:bCs w:val="0"/>
          <w:sz w:val="33"/>
          <w:szCs w:val="33"/>
        </w:rPr>
      </w:pPr>
      <w:bookmarkStart w:id="191" w:name="_Toc11705"/>
      <w:r>
        <w:rPr>
          <w:rFonts w:hint="default" w:ascii="Times New Roman" w:hAnsi="Times New Roman" w:eastAsia="方正仿宋_GBK" w:cs="Times New Roman"/>
          <w:b w:val="0"/>
          <w:bCs w:val="0"/>
          <w:sz w:val="33"/>
          <w:szCs w:val="33"/>
        </w:rPr>
        <w:t>红果乡城镇化建设和环境卫生的要求，需要将红果乡的垃圾集中转运到专业垃圾处理场进行集中处理，需要购置垃圾车一辆。</w:t>
      </w:r>
      <w:bookmarkEnd w:id="191"/>
    </w:p>
    <w:p w14:paraId="217AAD66">
      <w:pPr>
        <w:pageBreakBefore w:val="0"/>
        <w:widowControl w:val="0"/>
        <w:kinsoku/>
        <w:wordWrap/>
        <w:overflowPunct/>
        <w:topLinePunct w:val="0"/>
        <w:autoSpaceDE/>
        <w:autoSpaceDN/>
        <w:bidi w:val="0"/>
        <w:adjustRightInd/>
        <w:snapToGrid/>
        <w:spacing w:line="576"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1.立项目的：为满足红果乡的垃圾转运的要求</w:t>
      </w:r>
    </w:p>
    <w:p w14:paraId="3E236005">
      <w:pPr>
        <w:pageBreakBefore w:val="0"/>
        <w:widowControl w:val="0"/>
        <w:kinsoku/>
        <w:wordWrap/>
        <w:overflowPunct/>
        <w:topLinePunct w:val="0"/>
        <w:autoSpaceDE/>
        <w:autoSpaceDN/>
        <w:bidi w:val="0"/>
        <w:adjustRightInd/>
        <w:snapToGrid/>
        <w:spacing w:line="576"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2.资金使用情况: 该项目为县住建局盘活资金，合计下达45万，实际开支37.9万。</w:t>
      </w:r>
    </w:p>
    <w:p w14:paraId="3BC15687">
      <w:pPr>
        <w:pStyle w:val="4"/>
        <w:pageBreakBefore w:val="0"/>
        <w:widowControl w:val="0"/>
        <w:kinsoku/>
        <w:wordWrap/>
        <w:overflowPunct/>
        <w:topLinePunct w:val="0"/>
        <w:autoSpaceDE/>
        <w:autoSpaceDN/>
        <w:bidi w:val="0"/>
        <w:adjustRightInd/>
        <w:snapToGrid/>
        <w:spacing w:line="576" w:lineRule="exact"/>
        <w:ind w:firstLine="663" w:firstLineChars="200"/>
        <w:textAlignment w:val="auto"/>
        <w:rPr>
          <w:rFonts w:hint="default" w:ascii="方正楷体_GBK" w:hAnsi="方正楷体_GBK" w:eastAsia="方正楷体_GBK" w:cs="方正楷体_GBK"/>
          <w:sz w:val="33"/>
          <w:szCs w:val="33"/>
        </w:rPr>
      </w:pPr>
      <w:bookmarkStart w:id="192" w:name="_Toc11409"/>
      <w:r>
        <w:rPr>
          <w:rFonts w:hint="default" w:ascii="方正楷体_GBK" w:hAnsi="方正楷体_GBK" w:eastAsia="方正楷体_GBK" w:cs="方正楷体_GBK"/>
          <w:sz w:val="33"/>
          <w:szCs w:val="33"/>
        </w:rPr>
        <w:t>（二）项目绩效目标</w:t>
      </w:r>
      <w:bookmarkEnd w:id="192"/>
    </w:p>
    <w:p w14:paraId="20715B16">
      <w:pPr>
        <w:pageBreakBefore w:val="0"/>
        <w:widowControl w:val="0"/>
        <w:kinsoku/>
        <w:wordWrap/>
        <w:overflowPunct/>
        <w:topLinePunct w:val="0"/>
        <w:autoSpaceDE/>
        <w:autoSpaceDN/>
        <w:bidi w:val="0"/>
        <w:adjustRightInd/>
        <w:snapToGrid/>
        <w:spacing w:line="576"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1.项目绩效总体目标：为了满足环保要求，加快红果乡集镇化建设，提高红果乡卫生水平，为此县财政专门拨款45万，实际支出 。2019年完成采购任务，成功将垃圾车采购到位。保证环境卫生工作的正常开展。</w:t>
      </w:r>
    </w:p>
    <w:p w14:paraId="256CE493">
      <w:pPr>
        <w:pageBreakBefore w:val="0"/>
        <w:widowControl w:val="0"/>
        <w:kinsoku/>
        <w:wordWrap/>
        <w:overflowPunct/>
        <w:topLinePunct w:val="0"/>
        <w:autoSpaceDE/>
        <w:autoSpaceDN/>
        <w:bidi w:val="0"/>
        <w:adjustRightInd/>
        <w:snapToGrid/>
        <w:spacing w:line="576"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2.项目年度绩效目标：完成红果乡的垃圾集中清运，保证红果乡的环境卫生工作的开展。</w:t>
      </w:r>
    </w:p>
    <w:p w14:paraId="313F5249">
      <w:pPr>
        <w:pageBreakBefore w:val="0"/>
        <w:widowControl w:val="0"/>
        <w:kinsoku/>
        <w:wordWrap/>
        <w:overflowPunct/>
        <w:topLinePunct w:val="0"/>
        <w:autoSpaceDE/>
        <w:autoSpaceDN/>
        <w:bidi w:val="0"/>
        <w:adjustRightInd/>
        <w:snapToGrid/>
        <w:spacing w:line="576"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3.项目资金管理情况:</w:t>
      </w:r>
      <w:bookmarkStart w:id="193" w:name="_Toc54278026"/>
      <w:r>
        <w:rPr>
          <w:rFonts w:hint="default" w:ascii="Times New Roman" w:hAnsi="Times New Roman" w:eastAsia="方正仿宋_GBK" w:cs="Times New Roman"/>
          <w:sz w:val="33"/>
          <w:szCs w:val="33"/>
        </w:rPr>
        <w:t xml:space="preserve"> 在项目资金管理上，红果乡项目资金均严格按照国家法律法规执行，转款专用。按照具体财政要求，财务均由财政所统一进行核算。</w:t>
      </w:r>
      <w:bookmarkEnd w:id="193"/>
    </w:p>
    <w:p w14:paraId="2C47C3D7">
      <w:pPr>
        <w:pStyle w:val="2"/>
        <w:jc w:val="center"/>
        <w:outlineLvl w:val="9"/>
        <w:rPr>
          <w:rFonts w:hint="eastAsia" w:ascii="方正小标宋_GBK" w:hAnsi="方正小标宋_GBK" w:eastAsia="方正小标宋_GBK" w:cs="方正小标宋_GBK"/>
          <w:sz w:val="38"/>
          <w:szCs w:val="38"/>
          <w:lang w:val="en-US" w:eastAsia="zh-CN"/>
        </w:rPr>
      </w:pPr>
      <w:bookmarkStart w:id="194" w:name="_Toc15396613"/>
      <w:bookmarkStart w:id="195" w:name="_Toc15377225"/>
      <w:bookmarkStart w:id="196" w:name="_Toc52180096"/>
    </w:p>
    <w:p w14:paraId="7DBA75F5">
      <w:pPr>
        <w:pStyle w:val="2"/>
        <w:jc w:val="center"/>
        <w:outlineLvl w:val="9"/>
        <w:rPr>
          <w:rFonts w:hint="eastAsia" w:ascii="方正小标宋_GBK" w:hAnsi="方正小标宋_GBK" w:eastAsia="方正小标宋_GBK" w:cs="方正小标宋_GBK"/>
          <w:sz w:val="38"/>
          <w:szCs w:val="38"/>
          <w:lang w:val="en-US" w:eastAsia="zh-CN"/>
        </w:rPr>
      </w:pPr>
    </w:p>
    <w:p w14:paraId="2C17ED58">
      <w:pPr>
        <w:pStyle w:val="2"/>
        <w:jc w:val="center"/>
        <w:outlineLvl w:val="9"/>
        <w:rPr>
          <w:rFonts w:hint="eastAsia" w:ascii="方正小标宋_GBK" w:hAnsi="方正小标宋_GBK" w:eastAsia="方正小标宋_GBK" w:cs="方正小标宋_GBK"/>
          <w:sz w:val="38"/>
          <w:szCs w:val="38"/>
          <w:lang w:val="en-US" w:eastAsia="zh-CN"/>
        </w:rPr>
      </w:pPr>
    </w:p>
    <w:p w14:paraId="1C182D68">
      <w:pPr>
        <w:pStyle w:val="2"/>
        <w:jc w:val="center"/>
        <w:outlineLvl w:val="9"/>
        <w:rPr>
          <w:rFonts w:hint="eastAsia" w:ascii="方正小标宋_GBK" w:hAnsi="方正小标宋_GBK" w:eastAsia="方正小标宋_GBK" w:cs="方正小标宋_GBK"/>
          <w:sz w:val="38"/>
          <w:szCs w:val="38"/>
          <w:lang w:val="en-US" w:eastAsia="zh-CN"/>
        </w:rPr>
      </w:pPr>
      <w:r>
        <w:rPr>
          <w:rFonts w:hint="eastAsia" w:ascii="方正小标宋_GBK" w:hAnsi="方正小标宋_GBK" w:eastAsia="方正小标宋_GBK" w:cs="方正小标宋_GBK"/>
          <w:sz w:val="38"/>
          <w:szCs w:val="38"/>
          <w:lang w:val="en-US" w:eastAsia="zh-CN"/>
        </w:rPr>
        <w:t xml:space="preserve">                                                                 </w:t>
      </w:r>
    </w:p>
    <w:p w14:paraId="6EB5E588">
      <w:pPr>
        <w:pStyle w:val="2"/>
        <w:jc w:val="center"/>
        <w:outlineLvl w:val="9"/>
        <w:rPr>
          <w:rFonts w:hint="eastAsia" w:ascii="方正小标宋_GBK" w:hAnsi="方正小标宋_GBK" w:eastAsia="方正小标宋_GBK" w:cs="方正小标宋_GBK"/>
          <w:sz w:val="38"/>
          <w:szCs w:val="38"/>
          <w:lang w:val="en-US" w:eastAsia="zh-CN"/>
        </w:rPr>
      </w:pPr>
    </w:p>
    <w:p w14:paraId="42A21493">
      <w:pPr>
        <w:pStyle w:val="2"/>
        <w:jc w:val="center"/>
        <w:outlineLvl w:val="9"/>
        <w:rPr>
          <w:rFonts w:hint="eastAsia" w:ascii="方正小标宋_GBK" w:hAnsi="方正小标宋_GBK" w:eastAsia="方正小标宋_GBK" w:cs="方正小标宋_GBK"/>
          <w:sz w:val="38"/>
          <w:szCs w:val="38"/>
          <w:lang w:val="en-US" w:eastAsia="zh-CN"/>
        </w:rPr>
      </w:pPr>
    </w:p>
    <w:p w14:paraId="156FBC0B">
      <w:pPr>
        <w:pStyle w:val="2"/>
        <w:jc w:val="center"/>
        <w:outlineLvl w:val="9"/>
        <w:rPr>
          <w:rFonts w:hint="eastAsia" w:ascii="方正小标宋_GBK" w:hAnsi="方正小标宋_GBK" w:eastAsia="方正小标宋_GBK" w:cs="方正小标宋_GBK"/>
          <w:sz w:val="38"/>
          <w:szCs w:val="38"/>
          <w:lang w:val="en-US" w:eastAsia="zh-CN"/>
        </w:rPr>
      </w:pPr>
    </w:p>
    <w:p w14:paraId="4C8B396D">
      <w:pPr>
        <w:pStyle w:val="2"/>
        <w:jc w:val="center"/>
        <w:outlineLvl w:val="9"/>
        <w:rPr>
          <w:rFonts w:hint="eastAsia" w:ascii="方正小标宋_GBK" w:hAnsi="方正小标宋_GBK" w:eastAsia="方正小标宋_GBK" w:cs="方正小标宋_GBK"/>
          <w:sz w:val="38"/>
          <w:szCs w:val="38"/>
          <w:lang w:val="en-US" w:eastAsia="zh-CN"/>
        </w:rPr>
      </w:pPr>
    </w:p>
    <w:p w14:paraId="1A513730">
      <w:pPr>
        <w:rPr>
          <w:rFonts w:hint="eastAsia" w:ascii="方正小标宋_GBK" w:hAnsi="方正小标宋_GBK" w:eastAsia="方正小标宋_GBK" w:cs="方正小标宋_GBK"/>
          <w:sz w:val="38"/>
          <w:szCs w:val="38"/>
          <w:lang w:val="en-US" w:eastAsia="zh-CN"/>
        </w:rPr>
      </w:pPr>
    </w:p>
    <w:p w14:paraId="28A2A793">
      <w:pPr>
        <w:rPr>
          <w:rFonts w:hint="eastAsia" w:ascii="方正小标宋_GBK" w:hAnsi="方正小标宋_GBK" w:eastAsia="方正小标宋_GBK" w:cs="方正小标宋_GBK"/>
          <w:sz w:val="38"/>
          <w:szCs w:val="38"/>
          <w:lang w:val="en-US" w:eastAsia="zh-CN"/>
        </w:rPr>
      </w:pPr>
    </w:p>
    <w:p w14:paraId="5B0C758E">
      <w:pPr>
        <w:pStyle w:val="2"/>
        <w:jc w:val="center"/>
        <w:rPr>
          <w:rFonts w:hint="eastAsia" w:ascii="方正小标宋_GBK" w:hAnsi="方正小标宋_GBK" w:eastAsia="方正小标宋_GBK" w:cs="方正小标宋_GBK"/>
          <w:sz w:val="38"/>
          <w:szCs w:val="38"/>
        </w:rPr>
      </w:pPr>
      <w:bookmarkStart w:id="197" w:name="_Toc13170"/>
      <w:r>
        <w:rPr>
          <w:rFonts w:hint="eastAsia" w:ascii="方正小标宋_GBK" w:hAnsi="方正小标宋_GBK" w:eastAsia="方正小标宋_GBK" w:cs="方正小标宋_GBK"/>
          <w:sz w:val="38"/>
          <w:szCs w:val="38"/>
        </w:rPr>
        <w:t>第三部分 名词解释</w:t>
      </w:r>
      <w:bookmarkEnd w:id="194"/>
      <w:bookmarkEnd w:id="195"/>
      <w:bookmarkEnd w:id="196"/>
      <w:bookmarkEnd w:id="197"/>
    </w:p>
    <w:p w14:paraId="25356A1D">
      <w:pPr>
        <w:pStyle w:val="19"/>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auto"/>
          <w:kern w:val="2"/>
          <w:sz w:val="33"/>
          <w:szCs w:val="33"/>
        </w:rPr>
      </w:pPr>
      <w:r>
        <w:rPr>
          <w:rFonts w:hint="default" w:ascii="Times New Roman" w:hAnsi="Times New Roman" w:eastAsia="方正仿宋_GBK" w:cs="Times New Roman"/>
          <w:sz w:val="33"/>
          <w:szCs w:val="33"/>
        </w:rPr>
        <w:t>1.财政拨款收入：</w:t>
      </w:r>
      <w:r>
        <w:rPr>
          <w:rFonts w:hint="default" w:ascii="Times New Roman" w:hAnsi="Times New Roman" w:eastAsia="方正仿宋_GBK" w:cs="Times New Roman"/>
          <w:color w:val="auto"/>
          <w:kern w:val="2"/>
          <w:sz w:val="33"/>
          <w:szCs w:val="33"/>
        </w:rPr>
        <w:t>指单位从同级财政部门取得的财政预算资金。</w:t>
      </w:r>
    </w:p>
    <w:p w14:paraId="6074F4B5">
      <w:pPr>
        <w:pStyle w:val="19"/>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auto"/>
          <w:kern w:val="2"/>
          <w:sz w:val="33"/>
          <w:szCs w:val="33"/>
        </w:rPr>
      </w:pPr>
      <w:r>
        <w:rPr>
          <w:rFonts w:hint="default" w:ascii="Times New Roman" w:hAnsi="Times New Roman" w:eastAsia="方正仿宋_GBK" w:cs="Times New Roman"/>
          <w:sz w:val="33"/>
          <w:szCs w:val="33"/>
        </w:rPr>
        <w:t>2.事业收入：</w:t>
      </w:r>
      <w:r>
        <w:rPr>
          <w:rFonts w:hint="default" w:ascii="Times New Roman" w:hAnsi="Times New Roman" w:eastAsia="方正仿宋_GBK" w:cs="Times New Roman"/>
          <w:color w:val="auto"/>
          <w:kern w:val="2"/>
          <w:sz w:val="33"/>
          <w:szCs w:val="33"/>
        </w:rPr>
        <w:t>指事业单位开展专业业务活动及辅助活动取得的收入。如…（二级预算单位事业收入情况）等。</w:t>
      </w:r>
    </w:p>
    <w:p w14:paraId="5476DCF4">
      <w:pPr>
        <w:pStyle w:val="19"/>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auto"/>
          <w:kern w:val="2"/>
          <w:sz w:val="33"/>
          <w:szCs w:val="33"/>
        </w:rPr>
      </w:pPr>
      <w:r>
        <w:rPr>
          <w:rFonts w:hint="default" w:ascii="Times New Roman" w:hAnsi="Times New Roman" w:eastAsia="方正仿宋_GBK" w:cs="Times New Roman"/>
          <w:sz w:val="33"/>
          <w:szCs w:val="33"/>
        </w:rPr>
        <w:t>3.经营收入：</w:t>
      </w:r>
      <w:r>
        <w:rPr>
          <w:rFonts w:hint="default" w:ascii="Times New Roman" w:hAnsi="Times New Roman" w:eastAsia="方正仿宋_GBK" w:cs="Times New Roman"/>
          <w:color w:val="auto"/>
          <w:kern w:val="2"/>
          <w:sz w:val="33"/>
          <w:szCs w:val="33"/>
        </w:rPr>
        <w:t>指事业单位在专业业务活动及其辅助活动之外开展非独立核算经营活动取得的收入。如…（二级预算单位经营收入情况）等。</w:t>
      </w:r>
    </w:p>
    <w:p w14:paraId="17C9A589">
      <w:pPr>
        <w:pStyle w:val="19"/>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4.其他收入：</w:t>
      </w:r>
      <w:r>
        <w:rPr>
          <w:rFonts w:hint="default" w:ascii="Times New Roman" w:hAnsi="Times New Roman" w:eastAsia="方正仿宋_GBK" w:cs="Times New Roman"/>
          <w:color w:val="auto"/>
          <w:kern w:val="2"/>
          <w:sz w:val="33"/>
          <w:szCs w:val="33"/>
        </w:rPr>
        <w:t>指单位取得的除上述收入以外的各项收入。主要是…（收入类型）等。</w:t>
      </w:r>
    </w:p>
    <w:p w14:paraId="0BE00F83">
      <w:pPr>
        <w:pStyle w:val="19"/>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auto"/>
          <w:kern w:val="2"/>
          <w:sz w:val="33"/>
          <w:szCs w:val="33"/>
        </w:rPr>
      </w:pPr>
      <w:r>
        <w:rPr>
          <w:rFonts w:hint="default" w:ascii="Times New Roman" w:hAnsi="Times New Roman" w:eastAsia="方正仿宋_GBK" w:cs="Times New Roman"/>
          <w:sz w:val="33"/>
          <w:szCs w:val="33"/>
        </w:rPr>
        <w:t>5.用事业基金弥补收支差额：</w:t>
      </w:r>
      <w:r>
        <w:rPr>
          <w:rFonts w:hint="default" w:ascii="Times New Roman" w:hAnsi="Times New Roman" w:eastAsia="方正仿宋_GBK" w:cs="Times New Roman"/>
          <w:color w:val="auto"/>
          <w:kern w:val="2"/>
          <w:sz w:val="33"/>
          <w:szCs w:val="33"/>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22E98D05">
      <w:pPr>
        <w:pStyle w:val="19"/>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auto"/>
          <w:kern w:val="2"/>
          <w:sz w:val="33"/>
          <w:szCs w:val="33"/>
        </w:rPr>
      </w:pPr>
      <w:r>
        <w:rPr>
          <w:rFonts w:hint="default" w:ascii="Times New Roman" w:hAnsi="Times New Roman" w:eastAsia="方正仿宋_GBK" w:cs="Times New Roman"/>
          <w:sz w:val="33"/>
          <w:szCs w:val="33"/>
        </w:rPr>
        <w:t>6.年初结转和结余：</w:t>
      </w:r>
      <w:r>
        <w:rPr>
          <w:rFonts w:hint="default" w:ascii="Times New Roman" w:hAnsi="Times New Roman" w:eastAsia="方正仿宋_GBK" w:cs="Times New Roman"/>
          <w:color w:val="auto"/>
          <w:kern w:val="2"/>
          <w:sz w:val="33"/>
          <w:szCs w:val="33"/>
        </w:rPr>
        <w:t>指以前年度尚未完成、结转到本年按有关规定继续使用的资金。</w:t>
      </w:r>
    </w:p>
    <w:p w14:paraId="6B6942A6">
      <w:pPr>
        <w:pStyle w:val="19"/>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7.结余分配：</w:t>
      </w:r>
      <w:r>
        <w:rPr>
          <w:rFonts w:hint="default" w:ascii="Times New Roman" w:hAnsi="Times New Roman" w:eastAsia="方正仿宋_GBK" w:cs="Times New Roman"/>
          <w:color w:val="auto"/>
          <w:kern w:val="2"/>
          <w:sz w:val="33"/>
          <w:szCs w:val="33"/>
        </w:rPr>
        <w:t>指事业单位按照事业单位会计制度的规定从非财政补助结余中分配的事业基金和职工福利基金等。</w:t>
      </w:r>
    </w:p>
    <w:p w14:paraId="5175180A">
      <w:pPr>
        <w:pStyle w:val="19"/>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auto"/>
          <w:kern w:val="2"/>
          <w:sz w:val="33"/>
          <w:szCs w:val="33"/>
        </w:rPr>
      </w:pPr>
      <w:r>
        <w:rPr>
          <w:rFonts w:hint="default" w:ascii="Times New Roman" w:hAnsi="Times New Roman" w:eastAsia="方正仿宋_GBK" w:cs="Times New Roman"/>
          <w:sz w:val="33"/>
          <w:szCs w:val="33"/>
        </w:rPr>
        <w:t>8、年末结转和结余：</w:t>
      </w:r>
      <w:r>
        <w:rPr>
          <w:rFonts w:hint="default" w:ascii="Times New Roman" w:hAnsi="Times New Roman" w:eastAsia="方正仿宋_GBK" w:cs="Times New Roman"/>
          <w:color w:val="auto"/>
          <w:kern w:val="2"/>
          <w:sz w:val="33"/>
          <w:szCs w:val="33"/>
        </w:rPr>
        <w:t>指单位按有关规定结转到下年或以后年度继续使用的资金。</w:t>
      </w:r>
    </w:p>
    <w:p w14:paraId="4E147049">
      <w:pPr>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9.一般公共服务（类）…（款）…（项）：指……。</w:t>
      </w:r>
    </w:p>
    <w:p w14:paraId="2080FD2F">
      <w:pPr>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10.外交（类）…（款）…（项）：指……。</w:t>
      </w:r>
    </w:p>
    <w:p w14:paraId="45375FE8">
      <w:pPr>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11.公共安全（类）…（款）…（项）：指……。</w:t>
      </w:r>
    </w:p>
    <w:p w14:paraId="140AB1F1">
      <w:pPr>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12.教育（类）…（款）…（项）：指……。</w:t>
      </w:r>
    </w:p>
    <w:p w14:paraId="7984FA3C">
      <w:pPr>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13.科学技术（类）…（款）…（项）：指……。</w:t>
      </w:r>
    </w:p>
    <w:p w14:paraId="7F02E543">
      <w:pPr>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14.文化体育与传媒（类）…（款）…（项）：指……。</w:t>
      </w:r>
    </w:p>
    <w:p w14:paraId="01E99966">
      <w:pPr>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15.社会保障和就业（类）…（款）…（项）：指……。</w:t>
      </w:r>
    </w:p>
    <w:p w14:paraId="69B2230A">
      <w:pPr>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16.医疗卫生与计划生育（类）…（款）…（项）：指……。</w:t>
      </w:r>
    </w:p>
    <w:p w14:paraId="5A42EC07">
      <w:pPr>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17.节能环保（类）…（款）…（项）：指……。</w:t>
      </w:r>
    </w:p>
    <w:p w14:paraId="2EB5DAD3">
      <w:pPr>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18.城乡社区（类）…（款）…（项）：指……。</w:t>
      </w:r>
    </w:p>
    <w:p w14:paraId="039936F1">
      <w:pPr>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19.农林水（类）…（款）…（项）：指……。</w:t>
      </w:r>
    </w:p>
    <w:p w14:paraId="6F877233">
      <w:pPr>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20.交通运输（类）…（款）…（项）：指……。</w:t>
      </w:r>
    </w:p>
    <w:p w14:paraId="5F54D248">
      <w:pPr>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21.资源勘探信息等（类）…（款）…（项）：指……。</w:t>
      </w:r>
    </w:p>
    <w:p w14:paraId="3B1F6B99">
      <w:pPr>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22.商业服务业（类）…（款）…（项）：指……。</w:t>
      </w:r>
    </w:p>
    <w:p w14:paraId="1939DC08">
      <w:pPr>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23.金融（类）…（款）…（项）：指……。</w:t>
      </w:r>
    </w:p>
    <w:p w14:paraId="5CCC1A81">
      <w:pPr>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24.国土海洋气象等（类）…（款）…（项）：指……。</w:t>
      </w:r>
    </w:p>
    <w:p w14:paraId="13442AD7">
      <w:pPr>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25.住房保障（类）…（款）…（项）：指……。</w:t>
      </w:r>
    </w:p>
    <w:p w14:paraId="77367011">
      <w:pPr>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26.粮油物资储备（类）…（款）…（项）：指……。</w:t>
      </w:r>
    </w:p>
    <w:p w14:paraId="6D74AE9D">
      <w:pPr>
        <w:pageBreakBefore w:val="0"/>
        <w:widowControl w:val="0"/>
        <w:kinsoku/>
        <w:wordWrap/>
        <w:overflowPunct/>
        <w:topLinePunct w:val="0"/>
        <w:bidi w:val="0"/>
        <w:snapToGrid/>
        <w:spacing w:line="576" w:lineRule="exact"/>
        <w:ind w:firstLine="640"/>
        <w:textAlignment w:val="auto"/>
        <w:rPr>
          <w:rFonts w:hint="default" w:ascii="Times New Roman" w:hAnsi="Times New Roman" w:eastAsia="方正仿宋_GBK" w:cs="Times New Roman"/>
          <w:b/>
          <w:color w:val="000000"/>
          <w:sz w:val="33"/>
          <w:szCs w:val="33"/>
        </w:rPr>
      </w:pPr>
      <w:r>
        <w:rPr>
          <w:rFonts w:hint="default" w:ascii="Times New Roman" w:hAnsi="Times New Roman" w:eastAsia="方正仿宋_GBK" w:cs="Times New Roman"/>
          <w:b/>
          <w:color w:val="000000"/>
          <w:sz w:val="33"/>
          <w:szCs w:val="33"/>
        </w:rPr>
        <w:t>（解释本部门决算报表中全部功能分类科目至项级，请参照《2019年政府收支分类科目》增减内容。）</w:t>
      </w:r>
    </w:p>
    <w:p w14:paraId="28A15C02">
      <w:pPr>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27.基本支出：</w:t>
      </w:r>
      <w:r>
        <w:rPr>
          <w:rFonts w:hint="default" w:ascii="Times New Roman" w:hAnsi="Times New Roman" w:eastAsia="方正仿宋_GBK" w:cs="Times New Roman"/>
          <w:sz w:val="33"/>
          <w:szCs w:val="33"/>
        </w:rPr>
        <w:t>指为保障机构正常运转、完成日常工作任务而发生的人员支出和公用支出。</w:t>
      </w:r>
    </w:p>
    <w:p w14:paraId="48B1034A">
      <w:pPr>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28.项目支出：</w:t>
      </w:r>
      <w:r>
        <w:rPr>
          <w:rFonts w:hint="default" w:ascii="Times New Roman" w:hAnsi="Times New Roman" w:eastAsia="方正仿宋_GBK" w:cs="Times New Roman"/>
          <w:sz w:val="33"/>
          <w:szCs w:val="33"/>
        </w:rPr>
        <w:t>指在基本支出之外为完成特定行政任务和事业发展目标所发生的支出。</w:t>
      </w:r>
    </w:p>
    <w:p w14:paraId="1E890698">
      <w:pPr>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29.经营支出：</w:t>
      </w:r>
      <w:r>
        <w:rPr>
          <w:rFonts w:hint="default" w:ascii="Times New Roman" w:hAnsi="Times New Roman" w:eastAsia="方正仿宋_GBK" w:cs="Times New Roman"/>
          <w:sz w:val="33"/>
          <w:szCs w:val="33"/>
        </w:rPr>
        <w:t>指事业单位在专业业务活动及其辅助活动之外开展非独立核算经营活动发生的支出。</w:t>
      </w:r>
    </w:p>
    <w:p w14:paraId="62380FC9">
      <w:pPr>
        <w:pStyle w:val="19"/>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auto"/>
          <w:kern w:val="2"/>
          <w:sz w:val="33"/>
          <w:szCs w:val="33"/>
        </w:rPr>
      </w:pPr>
      <w:r>
        <w:rPr>
          <w:rFonts w:hint="default" w:ascii="Times New Roman" w:hAnsi="Times New Roman" w:eastAsia="方正仿宋_GBK" w:cs="Times New Roman"/>
          <w:sz w:val="33"/>
          <w:szCs w:val="33"/>
        </w:rPr>
        <w:t>30.“三公”经费：</w:t>
      </w:r>
      <w:r>
        <w:rPr>
          <w:rFonts w:hint="default" w:ascii="Times New Roman" w:hAnsi="Times New Roman" w:eastAsia="方正仿宋_GBK" w:cs="Times New Roman"/>
          <w:color w:val="auto"/>
          <w:kern w:val="2"/>
          <w:sz w:val="33"/>
          <w:szCs w:val="33"/>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9E445C0">
      <w:pPr>
        <w:pStyle w:val="19"/>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auto"/>
          <w:kern w:val="2"/>
          <w:sz w:val="33"/>
          <w:szCs w:val="33"/>
        </w:rPr>
      </w:pPr>
      <w:r>
        <w:rPr>
          <w:rFonts w:hint="default" w:ascii="Times New Roman" w:hAnsi="Times New Roman" w:eastAsia="方正仿宋_GBK" w:cs="Times New Roman"/>
          <w:sz w:val="33"/>
          <w:szCs w:val="33"/>
        </w:rPr>
        <w:t>31.机关运行经费：</w:t>
      </w:r>
      <w:r>
        <w:rPr>
          <w:rFonts w:hint="default" w:ascii="Times New Roman" w:hAnsi="Times New Roman" w:eastAsia="方正仿宋_GBK" w:cs="Times New Roman"/>
          <w:color w:val="auto"/>
          <w:kern w:val="2"/>
          <w:sz w:val="33"/>
          <w:szCs w:val="33"/>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335E38A">
      <w:pPr>
        <w:pStyle w:val="19"/>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sz w:val="33"/>
          <w:szCs w:val="33"/>
        </w:rPr>
      </w:pPr>
    </w:p>
    <w:p w14:paraId="6DE16F6F">
      <w:pPr>
        <w:pStyle w:val="2"/>
        <w:pageBreakBefore w:val="0"/>
        <w:widowControl w:val="0"/>
        <w:kinsoku/>
        <w:wordWrap/>
        <w:overflowPunct/>
        <w:topLinePunct w:val="0"/>
        <w:bidi w:val="0"/>
        <w:snapToGrid/>
        <w:spacing w:line="576" w:lineRule="exact"/>
        <w:jc w:val="center"/>
        <w:textAlignment w:val="auto"/>
      </w:pPr>
      <w:bookmarkStart w:id="198" w:name="_Toc15377226"/>
      <w:r>
        <w:rPr>
          <w:rFonts w:hint="default" w:ascii="Times New Roman" w:hAnsi="Times New Roman" w:eastAsia="方正仿宋_GBK" w:cs="Times New Roman"/>
          <w:color w:val="000000"/>
          <w:sz w:val="33"/>
          <w:szCs w:val="33"/>
        </w:rPr>
        <w:br w:type="page"/>
      </w:r>
      <w:bookmarkStart w:id="199" w:name="_Toc52180097"/>
      <w:bookmarkStart w:id="200" w:name="_Toc15396614"/>
      <w:bookmarkStart w:id="201" w:name="_Toc20864"/>
      <w:r>
        <w:rPr>
          <w:rFonts w:hint="eastAsia" w:ascii="方正小标宋_GBK" w:hAnsi="方正小标宋_GBK" w:eastAsia="方正小标宋_GBK" w:cs="方正小标宋_GBK"/>
          <w:color w:val="000000"/>
        </w:rPr>
        <w:t>第</w:t>
      </w:r>
      <w:r>
        <w:rPr>
          <w:rFonts w:hint="eastAsia" w:ascii="方正小标宋_GBK" w:hAnsi="方正小标宋_GBK" w:eastAsia="方正小标宋_GBK" w:cs="方正小标宋_GBK"/>
        </w:rPr>
        <w:t>四部分 附件</w:t>
      </w:r>
      <w:bookmarkEnd w:id="199"/>
      <w:bookmarkEnd w:id="200"/>
      <w:bookmarkEnd w:id="201"/>
    </w:p>
    <w:p w14:paraId="7C4CB9E5">
      <w:pPr>
        <w:spacing w:line="580" w:lineRule="exact"/>
        <w:jc w:val="center"/>
        <w:rPr>
          <w:rFonts w:ascii="方正小标宋简体" w:hAnsi="方正小标宋简体" w:eastAsia="方正小标宋简体" w:cs="方正小标宋简体"/>
          <w:sz w:val="44"/>
          <w:szCs w:val="44"/>
        </w:rPr>
      </w:pPr>
    </w:p>
    <w:p w14:paraId="615584FD">
      <w:pPr>
        <w:spacing w:line="600" w:lineRule="exact"/>
        <w:jc w:val="center"/>
        <w:rPr>
          <w:rFonts w:hint="default" w:ascii="Times New Roman" w:hAnsi="Times New Roman" w:eastAsia="方正小标宋_GBK" w:cs="Times New Roman"/>
          <w:color w:val="333333"/>
          <w:sz w:val="38"/>
          <w:szCs w:val="38"/>
          <w:shd w:val="clear" w:color="auto" w:fill="FFFFFF"/>
        </w:rPr>
      </w:pPr>
      <w:r>
        <w:rPr>
          <w:rFonts w:hint="default" w:ascii="Times New Roman" w:hAnsi="Times New Roman" w:eastAsia="方正小标宋_GBK" w:cs="Times New Roman"/>
          <w:color w:val="333333"/>
          <w:sz w:val="38"/>
          <w:szCs w:val="38"/>
          <w:shd w:val="clear" w:color="auto" w:fill="FFFFFF"/>
        </w:rPr>
        <w:t>红果彝族乡人民政府</w:t>
      </w:r>
    </w:p>
    <w:p w14:paraId="363EBA53">
      <w:pPr>
        <w:spacing w:line="600" w:lineRule="exact"/>
        <w:jc w:val="center"/>
        <w:rPr>
          <w:rFonts w:hint="default" w:ascii="Times New Roman" w:hAnsi="Times New Roman" w:eastAsia="方正小标宋_GBK" w:cs="Times New Roman"/>
          <w:color w:val="333333"/>
          <w:sz w:val="38"/>
          <w:szCs w:val="38"/>
          <w:shd w:val="clear" w:color="auto" w:fill="FFFFFF"/>
        </w:rPr>
      </w:pPr>
      <w:r>
        <w:rPr>
          <w:rFonts w:hint="default" w:ascii="Times New Roman" w:hAnsi="Times New Roman" w:eastAsia="方正小标宋_GBK" w:cs="Times New Roman"/>
          <w:color w:val="333333"/>
          <w:sz w:val="38"/>
          <w:szCs w:val="38"/>
          <w:shd w:val="clear" w:color="auto" w:fill="FFFFFF"/>
        </w:rPr>
        <w:t>2019年部门整体支出绩效评价报告</w:t>
      </w:r>
    </w:p>
    <w:p w14:paraId="5E369F99">
      <w:pPr>
        <w:pStyle w:val="3"/>
        <w:pageBreakBefore w:val="0"/>
        <w:kinsoku/>
        <w:wordWrap/>
        <w:overflowPunct/>
        <w:topLinePunct w:val="0"/>
        <w:autoSpaceDE/>
        <w:autoSpaceDN/>
        <w:bidi w:val="0"/>
        <w:spacing w:line="576" w:lineRule="exact"/>
        <w:ind w:firstLine="663" w:firstLineChars="200"/>
        <w:textAlignment w:val="auto"/>
        <w:outlineLvl w:val="9"/>
        <w:rPr>
          <w:rFonts w:hint="default" w:ascii="Times New Roman" w:hAnsi="Times New Roman" w:eastAsia="方正仿宋_GBK" w:cs="Times New Roman"/>
          <w:sz w:val="33"/>
          <w:szCs w:val="33"/>
        </w:rPr>
      </w:pPr>
    </w:p>
    <w:p w14:paraId="3D18394C">
      <w:pPr>
        <w:pStyle w:val="3"/>
        <w:pageBreakBefore w:val="0"/>
        <w:kinsoku/>
        <w:wordWrap/>
        <w:overflowPunct/>
        <w:topLinePunct w:val="0"/>
        <w:autoSpaceDE/>
        <w:autoSpaceDN/>
        <w:bidi w:val="0"/>
        <w:spacing w:line="576" w:lineRule="exact"/>
        <w:ind w:firstLine="660" w:firstLineChars="200"/>
        <w:textAlignment w:val="auto"/>
        <w:rPr>
          <w:rFonts w:hint="eastAsia" w:ascii="方正黑体_GBK" w:hAnsi="方正黑体_GBK" w:eastAsia="方正黑体_GBK" w:cs="方正黑体_GBK"/>
          <w:b w:val="0"/>
          <w:bCs w:val="0"/>
          <w:sz w:val="33"/>
          <w:szCs w:val="33"/>
        </w:rPr>
      </w:pPr>
      <w:bookmarkStart w:id="202" w:name="_Toc26741"/>
      <w:r>
        <w:rPr>
          <w:rFonts w:hint="eastAsia" w:ascii="方正黑体_GBK" w:hAnsi="方正黑体_GBK" w:eastAsia="方正黑体_GBK" w:cs="方正黑体_GBK"/>
          <w:b w:val="0"/>
          <w:bCs w:val="0"/>
          <w:sz w:val="33"/>
          <w:szCs w:val="33"/>
        </w:rPr>
        <w:t>一、部门概况</w:t>
      </w:r>
      <w:bookmarkEnd w:id="202"/>
    </w:p>
    <w:p w14:paraId="54001C21">
      <w:pPr>
        <w:pStyle w:val="3"/>
        <w:pageBreakBefore w:val="0"/>
        <w:kinsoku/>
        <w:wordWrap/>
        <w:overflowPunct/>
        <w:topLinePunct w:val="0"/>
        <w:autoSpaceDE/>
        <w:autoSpaceDN/>
        <w:bidi w:val="0"/>
        <w:spacing w:line="576" w:lineRule="exact"/>
        <w:ind w:firstLine="663" w:firstLineChars="200"/>
        <w:textAlignment w:val="auto"/>
        <w:rPr>
          <w:rFonts w:hint="eastAsia" w:ascii="方正楷体_GBK" w:hAnsi="方正楷体_GBK" w:eastAsia="方正楷体_GBK" w:cs="方正楷体_GBK"/>
          <w:kern w:val="0"/>
          <w:sz w:val="33"/>
          <w:szCs w:val="33"/>
          <w:shd w:val="clear" w:color="auto" w:fill="FFFFFF"/>
          <w:lang w:val="zh-CN"/>
        </w:rPr>
      </w:pPr>
      <w:bookmarkStart w:id="203" w:name="_Toc29866"/>
      <w:r>
        <w:rPr>
          <w:rFonts w:hint="eastAsia" w:ascii="方正楷体_GBK" w:hAnsi="方正楷体_GBK" w:eastAsia="方正楷体_GBK" w:cs="方正楷体_GBK"/>
          <w:kern w:val="0"/>
          <w:sz w:val="33"/>
          <w:szCs w:val="33"/>
          <w:shd w:val="clear" w:color="auto" w:fill="FFFFFF"/>
          <w:lang w:val="zh-CN"/>
        </w:rPr>
        <w:t>（一）机构组成</w:t>
      </w:r>
      <w:bookmarkEnd w:id="203"/>
    </w:p>
    <w:p w14:paraId="064ED598">
      <w:pPr>
        <w:pageBreakBefore w:val="0"/>
        <w:widowControl/>
        <w:kinsoku/>
        <w:wordWrap/>
        <w:overflowPunct/>
        <w:topLinePunct w:val="0"/>
        <w:autoSpaceDE/>
        <w:autoSpaceDN/>
        <w:bidi w:val="0"/>
        <w:adjustRightInd w:val="0"/>
        <w:snapToGrid w:val="0"/>
        <w:spacing w:line="576" w:lineRule="exact"/>
        <w:ind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红果彝族乡人民政府现有11个内设机构，分别是农业服务中心、党政办、民政办、宣文中心、社会事务办、综治办、武装部、计生办、社会事务办、经济发展办</w:t>
      </w:r>
    </w:p>
    <w:p w14:paraId="6041798D">
      <w:pPr>
        <w:pStyle w:val="3"/>
        <w:pageBreakBefore w:val="0"/>
        <w:kinsoku/>
        <w:wordWrap/>
        <w:overflowPunct/>
        <w:topLinePunct w:val="0"/>
        <w:autoSpaceDE/>
        <w:autoSpaceDN/>
        <w:bidi w:val="0"/>
        <w:spacing w:line="576" w:lineRule="exact"/>
        <w:ind w:firstLine="663" w:firstLineChars="200"/>
        <w:textAlignment w:val="auto"/>
        <w:rPr>
          <w:rFonts w:hint="default" w:ascii="方正楷体_GBK" w:hAnsi="方正楷体_GBK" w:eastAsia="方正楷体_GBK" w:cs="方正楷体_GBK"/>
          <w:kern w:val="0"/>
          <w:sz w:val="33"/>
          <w:szCs w:val="33"/>
          <w:shd w:val="clear" w:color="auto" w:fill="FFFFFF"/>
          <w:lang w:val="zh-CN"/>
        </w:rPr>
      </w:pPr>
      <w:bookmarkStart w:id="204" w:name="_Toc12158"/>
      <w:r>
        <w:rPr>
          <w:rFonts w:hint="default" w:ascii="方正楷体_GBK" w:hAnsi="方正楷体_GBK" w:eastAsia="方正楷体_GBK" w:cs="方正楷体_GBK"/>
          <w:kern w:val="0"/>
          <w:sz w:val="33"/>
          <w:szCs w:val="33"/>
          <w:shd w:val="clear" w:color="auto" w:fill="FFFFFF"/>
          <w:lang w:val="zh-CN"/>
        </w:rPr>
        <w:t>（二）机构职能</w:t>
      </w:r>
      <w:bookmarkEnd w:id="204"/>
    </w:p>
    <w:p w14:paraId="76C3F584">
      <w:pPr>
        <w:pageBreakBefore w:val="0"/>
        <w:widowControl/>
        <w:kinsoku/>
        <w:wordWrap/>
        <w:overflowPunct/>
        <w:topLinePunct w:val="0"/>
        <w:autoSpaceDE/>
        <w:autoSpaceDN/>
        <w:bidi w:val="0"/>
        <w:adjustRightInd w:val="0"/>
        <w:snapToGrid w:val="0"/>
        <w:spacing w:line="576" w:lineRule="exact"/>
        <w:ind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1.贯彻执行党的路线、方针、政策和上级党组织及党员代表大会的决议、决定。</w:t>
      </w:r>
    </w:p>
    <w:p w14:paraId="070666FB">
      <w:pPr>
        <w:pageBreakBefore w:val="0"/>
        <w:widowControl/>
        <w:kinsoku/>
        <w:wordWrap/>
        <w:overflowPunct/>
        <w:topLinePunct w:val="0"/>
        <w:autoSpaceDE/>
        <w:autoSpaceDN/>
        <w:bidi w:val="0"/>
        <w:adjustRightInd w:val="0"/>
        <w:snapToGrid w:val="0"/>
        <w:spacing w:line="576" w:lineRule="exact"/>
        <w:ind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2.研究决定全镇经济建设和社会发展中带有全局性的重大问题。</w:t>
      </w:r>
    </w:p>
    <w:p w14:paraId="627572C6">
      <w:pPr>
        <w:pageBreakBefore w:val="0"/>
        <w:widowControl/>
        <w:kinsoku/>
        <w:wordWrap/>
        <w:overflowPunct/>
        <w:topLinePunct w:val="0"/>
        <w:autoSpaceDE/>
        <w:autoSpaceDN/>
        <w:bidi w:val="0"/>
        <w:adjustRightInd w:val="0"/>
        <w:snapToGrid w:val="0"/>
        <w:spacing w:line="576" w:lineRule="exact"/>
        <w:ind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3.负责抓好所属党组织的思想建设、组织建设、作风建设。负责全面从严治党、党风廉政建设和反腐败工作。</w:t>
      </w:r>
    </w:p>
    <w:p w14:paraId="792D2E4C">
      <w:pPr>
        <w:pageBreakBefore w:val="0"/>
        <w:widowControl/>
        <w:kinsoku/>
        <w:wordWrap/>
        <w:overflowPunct/>
        <w:topLinePunct w:val="0"/>
        <w:autoSpaceDE/>
        <w:autoSpaceDN/>
        <w:bidi w:val="0"/>
        <w:adjustRightInd w:val="0"/>
        <w:snapToGrid w:val="0"/>
        <w:spacing w:line="576" w:lineRule="exact"/>
        <w:ind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4.按照干部管理权限，负责对干部的教育、培养、选拔任免和监督工作，向上级党组织推荐干部。</w:t>
      </w:r>
    </w:p>
    <w:p w14:paraId="19E3091C">
      <w:pPr>
        <w:pageBreakBefore w:val="0"/>
        <w:widowControl/>
        <w:kinsoku/>
        <w:wordWrap/>
        <w:overflowPunct/>
        <w:topLinePunct w:val="0"/>
        <w:autoSpaceDE/>
        <w:autoSpaceDN/>
        <w:bidi w:val="0"/>
        <w:adjustRightInd w:val="0"/>
        <w:snapToGrid w:val="0"/>
        <w:spacing w:line="576" w:lineRule="exact"/>
        <w:ind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5.领导工会、共青团、妇联、科协等群团组织，协调党政之间的关系。</w:t>
      </w:r>
    </w:p>
    <w:p w14:paraId="5F956F87">
      <w:pPr>
        <w:pageBreakBefore w:val="0"/>
        <w:widowControl/>
        <w:kinsoku/>
        <w:wordWrap/>
        <w:overflowPunct/>
        <w:topLinePunct w:val="0"/>
        <w:autoSpaceDE/>
        <w:autoSpaceDN/>
        <w:bidi w:val="0"/>
        <w:adjustRightInd w:val="0"/>
        <w:snapToGrid w:val="0"/>
        <w:spacing w:line="576" w:lineRule="exact"/>
        <w:ind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6.负责本行政区域的政治思想、宣传、统战、政法、保密、武装、精神文明建设和民主法制建设等工作。</w:t>
      </w:r>
    </w:p>
    <w:p w14:paraId="585A6575">
      <w:pPr>
        <w:pageBreakBefore w:val="0"/>
        <w:widowControl/>
        <w:kinsoku/>
        <w:wordWrap/>
        <w:overflowPunct/>
        <w:topLinePunct w:val="0"/>
        <w:autoSpaceDE/>
        <w:autoSpaceDN/>
        <w:bidi w:val="0"/>
        <w:adjustRightInd w:val="0"/>
        <w:snapToGrid w:val="0"/>
        <w:spacing w:line="576" w:lineRule="exact"/>
        <w:ind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7.制定并执行本行政区域内经济和社会发展规划、计划。</w:t>
      </w:r>
    </w:p>
    <w:p w14:paraId="55A46056">
      <w:pPr>
        <w:pageBreakBefore w:val="0"/>
        <w:widowControl/>
        <w:kinsoku/>
        <w:wordWrap/>
        <w:overflowPunct/>
        <w:topLinePunct w:val="0"/>
        <w:autoSpaceDE/>
        <w:autoSpaceDN/>
        <w:bidi w:val="0"/>
        <w:adjustRightInd w:val="0"/>
        <w:snapToGrid w:val="0"/>
        <w:spacing w:line="576" w:lineRule="exact"/>
        <w:ind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8.负责乡村振兴、新农村建设和推进城乡一体化的组织和实施。</w:t>
      </w:r>
    </w:p>
    <w:p w14:paraId="7A32D638">
      <w:pPr>
        <w:pageBreakBefore w:val="0"/>
        <w:widowControl/>
        <w:kinsoku/>
        <w:wordWrap/>
        <w:overflowPunct/>
        <w:topLinePunct w:val="0"/>
        <w:autoSpaceDE/>
        <w:autoSpaceDN/>
        <w:bidi w:val="0"/>
        <w:adjustRightInd w:val="0"/>
        <w:snapToGrid w:val="0"/>
        <w:spacing w:line="576" w:lineRule="exact"/>
        <w:ind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9.负责辖区经济、文化、教育、科学、卫生健康、民政、社会保障、民族宗教、村镇建设、司法、退役军人、扶贫、信访、安全、统计等行政管理和服务工作。</w:t>
      </w:r>
    </w:p>
    <w:p w14:paraId="6A776077">
      <w:pPr>
        <w:pageBreakBefore w:val="0"/>
        <w:widowControl/>
        <w:kinsoku/>
        <w:wordWrap/>
        <w:overflowPunct/>
        <w:topLinePunct w:val="0"/>
        <w:autoSpaceDE/>
        <w:autoSpaceDN/>
        <w:bidi w:val="0"/>
        <w:adjustRightInd w:val="0"/>
        <w:snapToGrid w:val="0"/>
        <w:spacing w:line="576" w:lineRule="exact"/>
        <w:ind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10.负责农业产业结构调整和“三农”服务工作。</w:t>
      </w:r>
    </w:p>
    <w:p w14:paraId="0B3EF838">
      <w:pPr>
        <w:pageBreakBefore w:val="0"/>
        <w:widowControl/>
        <w:kinsoku/>
        <w:wordWrap/>
        <w:overflowPunct/>
        <w:topLinePunct w:val="0"/>
        <w:autoSpaceDE/>
        <w:autoSpaceDN/>
        <w:bidi w:val="0"/>
        <w:adjustRightInd w:val="0"/>
        <w:snapToGrid w:val="0"/>
        <w:spacing w:line="576" w:lineRule="exact"/>
        <w:ind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11.建立健全社会治理防控体系，开展爱国卫生、环境卫生监督检查，承担环境、资源保护等工作，促进人与自然和谐发展。</w:t>
      </w:r>
    </w:p>
    <w:p w14:paraId="1C684418">
      <w:pPr>
        <w:pageBreakBefore w:val="0"/>
        <w:widowControl/>
        <w:kinsoku/>
        <w:wordWrap/>
        <w:overflowPunct/>
        <w:topLinePunct w:val="0"/>
        <w:autoSpaceDE/>
        <w:autoSpaceDN/>
        <w:bidi w:val="0"/>
        <w:adjustRightInd w:val="0"/>
        <w:snapToGrid w:val="0"/>
        <w:spacing w:line="576" w:lineRule="exact"/>
        <w:ind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12.负责应急管理、安全生产、抢险救灾等工作，保护人民群众生命财产安全。</w:t>
      </w:r>
    </w:p>
    <w:p w14:paraId="34D15C63">
      <w:pPr>
        <w:pageBreakBefore w:val="0"/>
        <w:widowControl/>
        <w:kinsoku/>
        <w:wordWrap/>
        <w:overflowPunct/>
        <w:topLinePunct w:val="0"/>
        <w:autoSpaceDE/>
        <w:autoSpaceDN/>
        <w:bidi w:val="0"/>
        <w:adjustRightInd w:val="0"/>
        <w:snapToGrid w:val="0"/>
        <w:spacing w:line="576" w:lineRule="exact"/>
        <w:ind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13.完成上级党委、政府交办的其他工作。</w:t>
      </w:r>
    </w:p>
    <w:p w14:paraId="079E8BDF">
      <w:pPr>
        <w:pStyle w:val="3"/>
        <w:pageBreakBefore w:val="0"/>
        <w:kinsoku/>
        <w:wordWrap/>
        <w:overflowPunct/>
        <w:topLinePunct w:val="0"/>
        <w:autoSpaceDE/>
        <w:autoSpaceDN/>
        <w:bidi w:val="0"/>
        <w:spacing w:line="576" w:lineRule="exact"/>
        <w:ind w:firstLine="663" w:firstLineChars="200"/>
        <w:textAlignment w:val="auto"/>
        <w:rPr>
          <w:rFonts w:hint="default" w:ascii="方正楷体_GBK" w:hAnsi="方正楷体_GBK" w:eastAsia="方正楷体_GBK" w:cs="方正楷体_GBK"/>
          <w:kern w:val="0"/>
          <w:sz w:val="33"/>
          <w:szCs w:val="33"/>
          <w:shd w:val="clear" w:color="auto" w:fill="FFFFFF"/>
          <w:lang w:val="zh-CN"/>
        </w:rPr>
      </w:pPr>
      <w:bookmarkStart w:id="205" w:name="_Toc10397"/>
      <w:r>
        <w:rPr>
          <w:rFonts w:hint="default" w:ascii="方正楷体_GBK" w:hAnsi="方正楷体_GBK" w:eastAsia="方正楷体_GBK" w:cs="方正楷体_GBK"/>
          <w:kern w:val="0"/>
          <w:sz w:val="33"/>
          <w:szCs w:val="33"/>
          <w:shd w:val="clear" w:color="auto" w:fill="FFFFFF"/>
          <w:lang w:val="zh-CN"/>
        </w:rPr>
        <w:t>（</w:t>
      </w:r>
      <w:r>
        <w:rPr>
          <w:rFonts w:hint="eastAsia" w:ascii="方正楷体_GBK" w:hAnsi="方正楷体_GBK" w:eastAsia="方正楷体_GBK" w:cs="方正楷体_GBK"/>
          <w:kern w:val="0"/>
          <w:sz w:val="33"/>
          <w:szCs w:val="33"/>
          <w:shd w:val="clear" w:color="auto" w:fill="FFFFFF"/>
          <w:lang w:val="zh-CN"/>
        </w:rPr>
        <w:t>三</w:t>
      </w:r>
      <w:r>
        <w:rPr>
          <w:rFonts w:hint="default" w:ascii="方正楷体_GBK" w:hAnsi="方正楷体_GBK" w:eastAsia="方正楷体_GBK" w:cs="方正楷体_GBK"/>
          <w:kern w:val="0"/>
          <w:sz w:val="33"/>
          <w:szCs w:val="33"/>
          <w:shd w:val="clear" w:color="auto" w:fill="FFFFFF"/>
          <w:lang w:val="zh-CN"/>
        </w:rPr>
        <w:t>）人员概况</w:t>
      </w:r>
      <w:bookmarkEnd w:id="205"/>
    </w:p>
    <w:p w14:paraId="3356FBF2">
      <w:pPr>
        <w:pageBreakBefore w:val="0"/>
        <w:widowControl/>
        <w:kinsoku/>
        <w:wordWrap/>
        <w:overflowPunct/>
        <w:topLinePunct w:val="0"/>
        <w:autoSpaceDE/>
        <w:autoSpaceDN/>
        <w:bidi w:val="0"/>
        <w:adjustRightInd w:val="0"/>
        <w:snapToGrid w:val="0"/>
        <w:spacing w:line="576" w:lineRule="exact"/>
        <w:ind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红果乡人民政府现有编制数40人，其中：行政编制22人，工勤人员2人，事业编制16人，2019年年末在职人员39人，其中行政编制21人，工勤编制2人，事业编制16人。</w:t>
      </w:r>
    </w:p>
    <w:p w14:paraId="073705FC">
      <w:pPr>
        <w:pStyle w:val="3"/>
        <w:pageBreakBefore w:val="0"/>
        <w:kinsoku/>
        <w:wordWrap/>
        <w:overflowPunct/>
        <w:topLinePunct w:val="0"/>
        <w:autoSpaceDE/>
        <w:autoSpaceDN/>
        <w:bidi w:val="0"/>
        <w:spacing w:line="576" w:lineRule="exact"/>
        <w:ind w:firstLine="660" w:firstLineChars="200"/>
        <w:textAlignment w:val="auto"/>
        <w:rPr>
          <w:rFonts w:hint="default" w:ascii="方正黑体_GBK" w:hAnsi="方正黑体_GBK" w:eastAsia="方正黑体_GBK" w:cs="方正黑体_GBK"/>
          <w:b w:val="0"/>
          <w:bCs w:val="0"/>
          <w:sz w:val="33"/>
          <w:szCs w:val="33"/>
        </w:rPr>
      </w:pPr>
      <w:bookmarkStart w:id="206" w:name="_Toc10394"/>
      <w:r>
        <w:rPr>
          <w:rFonts w:hint="default" w:ascii="方正黑体_GBK" w:hAnsi="方正黑体_GBK" w:eastAsia="方正黑体_GBK" w:cs="方正黑体_GBK"/>
          <w:b w:val="0"/>
          <w:bCs w:val="0"/>
          <w:sz w:val="33"/>
          <w:szCs w:val="33"/>
        </w:rPr>
        <w:t>二、部门资金基本情况</w:t>
      </w:r>
      <w:bookmarkEnd w:id="206"/>
    </w:p>
    <w:p w14:paraId="74D87617">
      <w:pPr>
        <w:pStyle w:val="3"/>
        <w:pageBreakBefore w:val="0"/>
        <w:kinsoku/>
        <w:wordWrap/>
        <w:overflowPunct/>
        <w:topLinePunct w:val="0"/>
        <w:autoSpaceDE/>
        <w:autoSpaceDN/>
        <w:bidi w:val="0"/>
        <w:spacing w:line="576" w:lineRule="exact"/>
        <w:ind w:firstLine="663" w:firstLineChars="200"/>
        <w:textAlignment w:val="auto"/>
        <w:rPr>
          <w:rFonts w:hint="default" w:ascii="方正楷体_GBK" w:hAnsi="方正楷体_GBK" w:eastAsia="方正楷体_GBK" w:cs="方正楷体_GBK"/>
          <w:kern w:val="0"/>
          <w:sz w:val="33"/>
          <w:szCs w:val="33"/>
          <w:shd w:val="clear" w:color="auto" w:fill="FFFFFF"/>
          <w:lang w:val="zh-CN"/>
        </w:rPr>
      </w:pPr>
      <w:bookmarkStart w:id="207" w:name="_Toc28163"/>
      <w:r>
        <w:rPr>
          <w:rFonts w:hint="default" w:ascii="方正楷体_GBK" w:hAnsi="方正楷体_GBK" w:eastAsia="方正楷体_GBK" w:cs="方正楷体_GBK"/>
          <w:kern w:val="0"/>
          <w:sz w:val="33"/>
          <w:szCs w:val="33"/>
          <w:shd w:val="clear" w:color="auto" w:fill="FFFFFF"/>
          <w:lang w:val="zh-CN"/>
        </w:rPr>
        <w:t>（一）年初部门预算安排及支出情况</w:t>
      </w:r>
      <w:bookmarkEnd w:id="207"/>
    </w:p>
    <w:p w14:paraId="741D39E8">
      <w:pPr>
        <w:pageBreakBefore w:val="0"/>
        <w:widowControl/>
        <w:kinsoku/>
        <w:wordWrap/>
        <w:overflowPunct/>
        <w:topLinePunct w:val="0"/>
        <w:autoSpaceDE/>
        <w:autoSpaceDN/>
        <w:bidi w:val="0"/>
        <w:adjustRightInd w:val="0"/>
        <w:snapToGrid w:val="0"/>
        <w:spacing w:line="576" w:lineRule="exact"/>
        <w:ind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2019年部门预算收入安排资金1079万元，较上年减少132万元，减少1%，增长原因人员经费增加，项目资金增加；支出1417.37万元，较上年增加214.42万元，增长17%，增长原因人员经费支出增加，项目增多。</w:t>
      </w:r>
    </w:p>
    <w:p w14:paraId="5CC6DD7F">
      <w:pPr>
        <w:pStyle w:val="6"/>
        <w:pageBreakBefore w:val="0"/>
        <w:kinsoku/>
        <w:wordWrap/>
        <w:overflowPunct/>
        <w:topLinePunct w:val="0"/>
        <w:autoSpaceDE/>
        <w:autoSpaceDN/>
        <w:bidi w:val="0"/>
        <w:spacing w:line="576" w:lineRule="exact"/>
        <w:ind w:firstLine="663"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1.基本支出安排及使用情况</w:t>
      </w:r>
    </w:p>
    <w:p w14:paraId="34F96DF4">
      <w:pPr>
        <w:pageBreakBefore w:val="0"/>
        <w:widowControl/>
        <w:kinsoku/>
        <w:wordWrap/>
        <w:overflowPunct/>
        <w:topLinePunct w:val="0"/>
        <w:autoSpaceDE/>
        <w:autoSpaceDN/>
        <w:bidi w:val="0"/>
        <w:adjustRightInd w:val="0"/>
        <w:snapToGrid w:val="0"/>
        <w:spacing w:line="576" w:lineRule="exact"/>
        <w:ind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基本支出878.68万元，主要用于基本工资、津贴补贴、办公费、差旅费、水电邮电费、车辆运行维护费等日常公用经费。其中：一般公共服务支出547.97万元，文化旅游体育与传媒支出16.67万元，社会保障和就业支出100.06万元，卫生健康支出6.26万元，农林水支出151.54万元，住房保障支出56.16万元。</w:t>
      </w:r>
    </w:p>
    <w:p w14:paraId="019589E1">
      <w:pPr>
        <w:pStyle w:val="6"/>
        <w:pageBreakBefore w:val="0"/>
        <w:kinsoku/>
        <w:wordWrap/>
        <w:overflowPunct/>
        <w:topLinePunct w:val="0"/>
        <w:autoSpaceDE/>
        <w:autoSpaceDN/>
        <w:bidi w:val="0"/>
        <w:spacing w:line="576" w:lineRule="exact"/>
        <w:ind w:firstLine="663"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2.部门预算项目安排及支出情况</w:t>
      </w:r>
    </w:p>
    <w:p w14:paraId="5D3F1681">
      <w:pPr>
        <w:pageBreakBefore w:val="0"/>
        <w:widowControl/>
        <w:kinsoku/>
        <w:wordWrap/>
        <w:overflowPunct/>
        <w:topLinePunct w:val="0"/>
        <w:autoSpaceDE/>
        <w:autoSpaceDN/>
        <w:bidi w:val="0"/>
        <w:adjustRightInd w:val="0"/>
        <w:snapToGrid w:val="0"/>
        <w:spacing w:line="576" w:lineRule="exact"/>
        <w:ind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项目支出538.69万元，主要用于一般公共服务支出41.21万元，社会保障和就业支出63.01万元，卫生健康支出13.1万元，城乡社区支出42.04万元，农林水支出325.26万元，交通运输支出22.57万元，住房保障支出11.16万元，灾害防治及应急管理支出20.33万元。</w:t>
      </w:r>
    </w:p>
    <w:p w14:paraId="4D9D0779">
      <w:pPr>
        <w:pStyle w:val="5"/>
        <w:pageBreakBefore w:val="0"/>
        <w:kinsoku/>
        <w:wordWrap/>
        <w:overflowPunct/>
        <w:topLinePunct w:val="0"/>
        <w:autoSpaceDE/>
        <w:autoSpaceDN/>
        <w:bidi w:val="0"/>
        <w:spacing w:line="576" w:lineRule="exact"/>
        <w:ind w:firstLine="663"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3.专项资金安排及支出情况</w:t>
      </w:r>
    </w:p>
    <w:p w14:paraId="2B5D6268">
      <w:pPr>
        <w:pageBreakBefore w:val="0"/>
        <w:widowControl/>
        <w:kinsoku/>
        <w:wordWrap/>
        <w:overflowPunct/>
        <w:topLinePunct w:val="0"/>
        <w:autoSpaceDE/>
        <w:autoSpaceDN/>
        <w:bidi w:val="0"/>
        <w:adjustRightInd w:val="0"/>
        <w:snapToGrid w:val="0"/>
        <w:spacing w:line="576" w:lineRule="exact"/>
        <w:ind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专项资金支出538.69万元，按项目分类：人大代表会议费3.25万元；临时工劳务费0.27万元；支付临时工工资7万元；乡村治理2.51万元；经财网维护费1.59万元；社区工资社保住房公积金51.98万元；五保户生活费丧葬费御寒费28.15万元；计生员补助13.1万元；清运垃圾费用劳务费4.05万元；垃圾车采购45万元；村官报酬和社保0.56万元；脱贫攻坚专项工作经费3.75万元；一事一议补助15..88万元；农村公共运行57万元；村社干部补助及办公费183.8万元；红果乡水毁道路工程款16.63万元；红果乡水毁道路项目款32.92万元；中央自然灾害补助0.37万元。</w:t>
      </w:r>
    </w:p>
    <w:p w14:paraId="08EAC384">
      <w:pPr>
        <w:pStyle w:val="3"/>
        <w:pageBreakBefore w:val="0"/>
        <w:kinsoku/>
        <w:wordWrap/>
        <w:overflowPunct/>
        <w:topLinePunct w:val="0"/>
        <w:autoSpaceDE/>
        <w:autoSpaceDN/>
        <w:bidi w:val="0"/>
        <w:spacing w:line="576" w:lineRule="exact"/>
        <w:ind w:firstLine="660" w:firstLineChars="200"/>
        <w:textAlignment w:val="auto"/>
        <w:rPr>
          <w:rFonts w:hint="eastAsia" w:ascii="方正黑体_GBK" w:hAnsi="方正黑体_GBK" w:eastAsia="方正黑体_GBK" w:cs="方正黑体_GBK"/>
          <w:b w:val="0"/>
          <w:bCs w:val="0"/>
          <w:kern w:val="2"/>
          <w:sz w:val="33"/>
          <w:szCs w:val="33"/>
        </w:rPr>
      </w:pPr>
      <w:bookmarkStart w:id="208" w:name="_Toc30556"/>
      <w:r>
        <w:rPr>
          <w:rFonts w:hint="eastAsia" w:ascii="方正黑体_GBK" w:hAnsi="方正黑体_GBK" w:eastAsia="方正黑体_GBK" w:cs="方正黑体_GBK"/>
          <w:b w:val="0"/>
          <w:bCs w:val="0"/>
          <w:sz w:val="33"/>
          <w:szCs w:val="33"/>
        </w:rPr>
        <w:t>三、绩效目标完成情况分析</w:t>
      </w:r>
      <w:bookmarkEnd w:id="208"/>
    </w:p>
    <w:p w14:paraId="50CC4361">
      <w:pPr>
        <w:pStyle w:val="3"/>
        <w:pageBreakBefore w:val="0"/>
        <w:kinsoku/>
        <w:wordWrap/>
        <w:overflowPunct/>
        <w:topLinePunct w:val="0"/>
        <w:autoSpaceDE/>
        <w:autoSpaceDN/>
        <w:bidi w:val="0"/>
        <w:spacing w:line="576" w:lineRule="exact"/>
        <w:ind w:firstLine="663" w:firstLineChars="200"/>
        <w:textAlignment w:val="auto"/>
        <w:rPr>
          <w:rFonts w:hint="default" w:ascii="方正楷体_GBK" w:hAnsi="方正楷体_GBK" w:eastAsia="方正楷体_GBK" w:cs="方正楷体_GBK"/>
          <w:kern w:val="0"/>
          <w:sz w:val="33"/>
          <w:szCs w:val="33"/>
          <w:shd w:val="clear" w:color="auto" w:fill="FFFFFF"/>
          <w:lang w:val="zh-CN"/>
        </w:rPr>
      </w:pPr>
      <w:bookmarkStart w:id="209" w:name="_Toc4485"/>
      <w:r>
        <w:rPr>
          <w:rFonts w:hint="default" w:ascii="方正楷体_GBK" w:hAnsi="方正楷体_GBK" w:eastAsia="方正楷体_GBK" w:cs="方正楷体_GBK"/>
          <w:kern w:val="0"/>
          <w:sz w:val="33"/>
          <w:szCs w:val="33"/>
          <w:shd w:val="clear" w:color="auto" w:fill="FFFFFF"/>
          <w:lang w:val="zh-CN"/>
        </w:rPr>
        <w:t>（一）县级财政资金绩效目标完成情况</w:t>
      </w:r>
      <w:bookmarkEnd w:id="209"/>
    </w:p>
    <w:p w14:paraId="61F3EF1C">
      <w:pPr>
        <w:pStyle w:val="5"/>
        <w:pageBreakBefore w:val="0"/>
        <w:kinsoku/>
        <w:wordWrap/>
        <w:overflowPunct/>
        <w:topLinePunct w:val="0"/>
        <w:autoSpaceDE/>
        <w:autoSpaceDN/>
        <w:bidi w:val="0"/>
        <w:spacing w:line="576" w:lineRule="exact"/>
        <w:ind w:firstLine="663"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1.年初部门预算绩效目标完成情况</w:t>
      </w:r>
    </w:p>
    <w:p w14:paraId="7650CF58">
      <w:pPr>
        <w:pStyle w:val="6"/>
        <w:pageBreakBefore w:val="0"/>
        <w:kinsoku/>
        <w:wordWrap/>
        <w:overflowPunct/>
        <w:topLinePunct w:val="0"/>
        <w:autoSpaceDE/>
        <w:autoSpaceDN/>
        <w:bidi w:val="0"/>
        <w:spacing w:line="576" w:lineRule="exact"/>
        <w:ind w:firstLine="663"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（1）产出指标完成情况分析</w:t>
      </w:r>
    </w:p>
    <w:p w14:paraId="2BFB84F4">
      <w:pPr>
        <w:pStyle w:val="9"/>
        <w:pageBreakBefore w:val="0"/>
        <w:kinsoku/>
        <w:wordWrap/>
        <w:overflowPunct/>
        <w:topLinePunct w:val="0"/>
        <w:autoSpaceDE/>
        <w:autoSpaceDN/>
        <w:bidi w:val="0"/>
        <w:spacing w:line="576" w:lineRule="exact"/>
        <w:ind w:firstLine="660" w:firstLineChars="200"/>
        <w:textAlignment w:val="auto"/>
        <w:rPr>
          <w:rFonts w:hint="default" w:ascii="Times New Roman" w:hAnsi="Times New Roman" w:eastAsia="方正仿宋_GBK" w:cs="Times New Roman"/>
          <w:kern w:val="2"/>
          <w:sz w:val="33"/>
          <w:szCs w:val="33"/>
        </w:rPr>
      </w:pPr>
      <w:r>
        <w:rPr>
          <w:rFonts w:hint="default" w:ascii="Times New Roman" w:hAnsi="Times New Roman" w:eastAsia="方正仿宋_GBK" w:cs="Times New Roman"/>
          <w:kern w:val="2"/>
          <w:sz w:val="33"/>
          <w:szCs w:val="33"/>
        </w:rPr>
        <w:t>我乡严格遵守各项财经纪律，加强单位财务管理，制定了相关规章制度，加强和细化了预算编制，严格按照预算执行，确保财务收支平衡。按照全年进度保证机关正常工作需要的人员经费和公用经费，保障机关正常运转，完成日常工作任务，有效推动工作的顺利开展。</w:t>
      </w:r>
    </w:p>
    <w:p w14:paraId="788394CF">
      <w:pPr>
        <w:pStyle w:val="6"/>
        <w:pageBreakBefore w:val="0"/>
        <w:kinsoku/>
        <w:wordWrap/>
        <w:overflowPunct/>
        <w:topLinePunct w:val="0"/>
        <w:autoSpaceDE/>
        <w:autoSpaceDN/>
        <w:bidi w:val="0"/>
        <w:spacing w:line="576" w:lineRule="exact"/>
        <w:ind w:firstLine="663"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（2）效益指标完成情况分析</w:t>
      </w:r>
    </w:p>
    <w:p w14:paraId="1C49851A">
      <w:pPr>
        <w:pageBreakBefore w:val="0"/>
        <w:kinsoku/>
        <w:wordWrap/>
        <w:overflowPunct/>
        <w:topLinePunct w:val="0"/>
        <w:autoSpaceDE/>
        <w:autoSpaceDN/>
        <w:bidi w:val="0"/>
        <w:spacing w:line="576" w:lineRule="exact"/>
        <w:ind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我乡主要安排用于一般公共服务支出、社会保障和就业支出、卫生健康支出、节能环保支出、城乡社区支出、农林水支出、自然资源海洋气象等支出、灾害防治及应急管理支出等。</w:t>
      </w:r>
    </w:p>
    <w:p w14:paraId="2F13D592">
      <w:pPr>
        <w:pStyle w:val="6"/>
        <w:pageBreakBefore w:val="0"/>
        <w:kinsoku/>
        <w:wordWrap/>
        <w:overflowPunct/>
        <w:topLinePunct w:val="0"/>
        <w:autoSpaceDE/>
        <w:autoSpaceDN/>
        <w:bidi w:val="0"/>
        <w:spacing w:line="576" w:lineRule="exact"/>
        <w:ind w:firstLine="663"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（3）满意度指标完成情况分析</w:t>
      </w:r>
    </w:p>
    <w:p w14:paraId="41CC17C5">
      <w:pPr>
        <w:pStyle w:val="9"/>
        <w:pageBreakBefore w:val="0"/>
        <w:widowControl w:val="0"/>
        <w:kinsoku/>
        <w:wordWrap/>
        <w:overflowPunct/>
        <w:topLinePunct w:val="0"/>
        <w:autoSpaceDE/>
        <w:autoSpaceDN/>
        <w:bidi w:val="0"/>
        <w:spacing w:line="576" w:lineRule="exact"/>
        <w:ind w:firstLine="660" w:firstLineChars="200"/>
        <w:textAlignment w:val="auto"/>
        <w:rPr>
          <w:rFonts w:hint="default" w:ascii="Times New Roman" w:hAnsi="Times New Roman" w:eastAsia="方正仿宋_GBK" w:cs="Times New Roman"/>
          <w:kern w:val="2"/>
          <w:sz w:val="33"/>
          <w:szCs w:val="33"/>
        </w:rPr>
      </w:pPr>
      <w:r>
        <w:rPr>
          <w:rFonts w:hint="default" w:ascii="Times New Roman" w:hAnsi="Times New Roman" w:eastAsia="方正仿宋_GBK" w:cs="Times New Roman"/>
          <w:kern w:val="2"/>
          <w:sz w:val="33"/>
          <w:szCs w:val="33"/>
        </w:rPr>
        <w:t>通过财政绩效目标管理，基本达到满意。</w:t>
      </w:r>
    </w:p>
    <w:p w14:paraId="66E6B5B7">
      <w:pPr>
        <w:pStyle w:val="5"/>
        <w:pageBreakBefore w:val="0"/>
        <w:kinsoku/>
        <w:wordWrap/>
        <w:overflowPunct/>
        <w:topLinePunct w:val="0"/>
        <w:autoSpaceDE/>
        <w:autoSpaceDN/>
        <w:bidi w:val="0"/>
        <w:spacing w:line="576" w:lineRule="exact"/>
        <w:ind w:firstLine="663"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2.专项（项目）资金绩效目标完成情况</w:t>
      </w:r>
    </w:p>
    <w:p w14:paraId="7D1C87CC">
      <w:pPr>
        <w:pStyle w:val="6"/>
        <w:pageBreakBefore w:val="0"/>
        <w:kinsoku/>
        <w:wordWrap/>
        <w:overflowPunct/>
        <w:topLinePunct w:val="0"/>
        <w:autoSpaceDE/>
        <w:autoSpaceDN/>
        <w:bidi w:val="0"/>
        <w:spacing w:line="576" w:lineRule="exact"/>
        <w:ind w:firstLine="663"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（1）产出指标完成情况分析</w:t>
      </w:r>
    </w:p>
    <w:p w14:paraId="41AB72AB">
      <w:pPr>
        <w:pageBreakBefore w:val="0"/>
        <w:kinsoku/>
        <w:wordWrap/>
        <w:overflowPunct/>
        <w:topLinePunct w:val="0"/>
        <w:autoSpaceDE/>
        <w:autoSpaceDN/>
        <w:bidi w:val="0"/>
        <w:spacing w:line="576" w:lineRule="exact"/>
        <w:ind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对项目资金的预算，提出具体的项目、目标和实施计划，精准编制项目支出绩效申报表，提供准确的项目支撑依据，切实做到项目资金编制的合理化、人性化，并在规定的时限内完整、准确的报送到县级财政部门。</w:t>
      </w:r>
    </w:p>
    <w:p w14:paraId="05EC5F4B">
      <w:pPr>
        <w:pageBreakBefore w:val="0"/>
        <w:kinsoku/>
        <w:wordWrap/>
        <w:overflowPunct/>
        <w:topLinePunct w:val="0"/>
        <w:autoSpaceDE/>
        <w:autoSpaceDN/>
        <w:bidi w:val="0"/>
        <w:spacing w:line="576" w:lineRule="exact"/>
        <w:ind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 xml:space="preserve"> 在项目资金的支出执行上严格按照预算执行，坚持“反对浪费、节约开支”的原则，专款专用，不拖欠、不挪用。在收到财政对口股室下达的各类指标后，按照资金的用途，在把好审核关的基础上，按时按量按照资金预算进度及时拨付各项款项。项目资金分配严格按照实际工作需要，依据项目进度和开展情况、合理安全、资金严格按照规范程序申请、管理和使用。</w:t>
      </w:r>
    </w:p>
    <w:p w14:paraId="2AB8C544">
      <w:pPr>
        <w:pStyle w:val="6"/>
        <w:pageBreakBefore w:val="0"/>
        <w:kinsoku/>
        <w:wordWrap/>
        <w:overflowPunct/>
        <w:topLinePunct w:val="0"/>
        <w:autoSpaceDE/>
        <w:autoSpaceDN/>
        <w:bidi w:val="0"/>
        <w:spacing w:line="576" w:lineRule="exact"/>
        <w:ind w:firstLine="663"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（2）效益指标完成情况分析</w:t>
      </w:r>
    </w:p>
    <w:p w14:paraId="693A2F48">
      <w:pPr>
        <w:pStyle w:val="9"/>
        <w:pageBreakBefore w:val="0"/>
        <w:widowControl w:val="0"/>
        <w:kinsoku/>
        <w:wordWrap/>
        <w:overflowPunct/>
        <w:topLinePunct w:val="0"/>
        <w:autoSpaceDE/>
        <w:autoSpaceDN/>
        <w:bidi w:val="0"/>
        <w:spacing w:line="576" w:lineRule="exact"/>
        <w:ind w:firstLine="660" w:firstLineChars="200"/>
        <w:textAlignment w:val="auto"/>
        <w:rPr>
          <w:rFonts w:hint="default" w:ascii="Times New Roman" w:hAnsi="Times New Roman" w:eastAsia="方正仿宋_GBK" w:cs="Times New Roman"/>
          <w:kern w:val="2"/>
          <w:sz w:val="33"/>
          <w:szCs w:val="33"/>
        </w:rPr>
      </w:pPr>
      <w:r>
        <w:rPr>
          <w:rFonts w:hint="default" w:ascii="Times New Roman" w:hAnsi="Times New Roman" w:eastAsia="方正仿宋_GBK" w:cs="Times New Roman"/>
          <w:kern w:val="2"/>
          <w:sz w:val="33"/>
          <w:szCs w:val="33"/>
        </w:rPr>
        <w:t>我乡项目资金主要安排用于一般公共服务支出、社会保障和就业支出、卫生健康支出、节能环保支出、城乡社区支出、农林水支出、自然资源海洋气象等支出、灾害防治及应急管理支出等。</w:t>
      </w:r>
    </w:p>
    <w:p w14:paraId="3187A4C2">
      <w:pPr>
        <w:pStyle w:val="6"/>
        <w:pageBreakBefore w:val="0"/>
        <w:kinsoku/>
        <w:wordWrap/>
        <w:overflowPunct/>
        <w:topLinePunct w:val="0"/>
        <w:autoSpaceDE/>
        <w:autoSpaceDN/>
        <w:bidi w:val="0"/>
        <w:spacing w:line="576" w:lineRule="exact"/>
        <w:ind w:firstLine="663"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（3）满意度指标完成情况分析</w:t>
      </w:r>
    </w:p>
    <w:p w14:paraId="0BEC894D">
      <w:pPr>
        <w:pStyle w:val="9"/>
        <w:pageBreakBefore w:val="0"/>
        <w:widowControl w:val="0"/>
        <w:kinsoku/>
        <w:wordWrap/>
        <w:overflowPunct/>
        <w:topLinePunct w:val="0"/>
        <w:autoSpaceDE/>
        <w:autoSpaceDN/>
        <w:bidi w:val="0"/>
        <w:spacing w:line="576" w:lineRule="exact"/>
        <w:ind w:firstLine="660" w:firstLineChars="200"/>
        <w:textAlignment w:val="auto"/>
        <w:rPr>
          <w:rFonts w:hint="default" w:ascii="Times New Roman" w:hAnsi="Times New Roman" w:eastAsia="方正仿宋_GBK" w:cs="Times New Roman"/>
          <w:kern w:val="2"/>
          <w:sz w:val="33"/>
          <w:szCs w:val="33"/>
        </w:rPr>
      </w:pPr>
      <w:r>
        <w:rPr>
          <w:rFonts w:hint="default" w:ascii="Times New Roman" w:hAnsi="Times New Roman" w:eastAsia="方正仿宋_GBK" w:cs="Times New Roman"/>
          <w:kern w:val="2"/>
          <w:sz w:val="33"/>
          <w:szCs w:val="33"/>
        </w:rPr>
        <w:t>通过财政绩效目标管理，基本达到满意。</w:t>
      </w:r>
    </w:p>
    <w:p w14:paraId="362FDB25">
      <w:pPr>
        <w:pStyle w:val="3"/>
        <w:pageBreakBefore w:val="0"/>
        <w:kinsoku/>
        <w:wordWrap/>
        <w:overflowPunct/>
        <w:topLinePunct w:val="0"/>
        <w:autoSpaceDE/>
        <w:autoSpaceDN/>
        <w:bidi w:val="0"/>
        <w:spacing w:line="576" w:lineRule="exact"/>
        <w:ind w:firstLine="663" w:firstLineChars="200"/>
        <w:textAlignment w:val="auto"/>
        <w:rPr>
          <w:rFonts w:hint="default" w:ascii="方正楷体_GBK" w:hAnsi="方正楷体_GBK" w:eastAsia="方正楷体_GBK" w:cs="方正楷体_GBK"/>
          <w:kern w:val="0"/>
          <w:sz w:val="33"/>
          <w:szCs w:val="33"/>
          <w:shd w:val="clear" w:color="auto" w:fill="FFFFFF"/>
          <w:lang w:val="zh-CN"/>
        </w:rPr>
      </w:pPr>
      <w:bookmarkStart w:id="210" w:name="_Toc6046"/>
      <w:r>
        <w:rPr>
          <w:rFonts w:hint="default" w:ascii="方正楷体_GBK" w:hAnsi="方正楷体_GBK" w:eastAsia="方正楷体_GBK" w:cs="方正楷体_GBK"/>
          <w:kern w:val="0"/>
          <w:sz w:val="33"/>
          <w:szCs w:val="33"/>
          <w:shd w:val="clear" w:color="auto" w:fill="FFFFFF"/>
          <w:lang w:val="zh-CN"/>
        </w:rPr>
        <w:t>（二）上级专项（项目）资金绩效目标完成情况</w:t>
      </w:r>
      <w:bookmarkEnd w:id="210"/>
    </w:p>
    <w:p w14:paraId="64FBEF29">
      <w:pPr>
        <w:pStyle w:val="5"/>
        <w:pageBreakBefore w:val="0"/>
        <w:kinsoku/>
        <w:wordWrap/>
        <w:overflowPunct/>
        <w:topLinePunct w:val="0"/>
        <w:autoSpaceDE/>
        <w:autoSpaceDN/>
        <w:bidi w:val="0"/>
        <w:spacing w:line="576" w:lineRule="exact"/>
        <w:ind w:firstLine="663"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1.产出指标完成情况分析</w:t>
      </w:r>
    </w:p>
    <w:p w14:paraId="7D467490">
      <w:pPr>
        <w:pageBreakBefore w:val="0"/>
        <w:kinsoku/>
        <w:wordWrap/>
        <w:overflowPunct/>
        <w:topLinePunct w:val="0"/>
        <w:autoSpaceDE/>
        <w:autoSpaceDN/>
        <w:bidi w:val="0"/>
        <w:spacing w:line="576" w:lineRule="exact"/>
        <w:ind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人大代表会议费3.25万元；临时工劳务费0.27万元；支付临时工工资7万元；乡村治理2.51万元；经财网维护费1.59万元；社区工资社保住房公积金51.98万元；五保户生活费丧葬费御寒费28.15万元；计生员补助13.1万元；清运垃圾费用劳务费4.05万元；垃圾车采购45万元；村官报酬和社保0.56万元；脱贫攻坚专项工作经费3.75万元；一事一议补助15..88万元；农村公共运行57万元；村社干部补助及办公费183.8万元；红果乡水毁道路工程款16.63万元；红果乡水毁道路项目款32.92万元；中央自然灾害补助0.37万元。</w:t>
      </w:r>
    </w:p>
    <w:p w14:paraId="17FADB7F">
      <w:pPr>
        <w:pStyle w:val="5"/>
        <w:pageBreakBefore w:val="0"/>
        <w:kinsoku/>
        <w:wordWrap/>
        <w:overflowPunct/>
        <w:topLinePunct w:val="0"/>
        <w:autoSpaceDE/>
        <w:autoSpaceDN/>
        <w:bidi w:val="0"/>
        <w:spacing w:line="576" w:lineRule="exact"/>
        <w:ind w:firstLine="663"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2.效益指标完成情况分析</w:t>
      </w:r>
    </w:p>
    <w:p w14:paraId="2831D57B">
      <w:pPr>
        <w:pStyle w:val="9"/>
        <w:pageBreakBefore w:val="0"/>
        <w:widowControl w:val="0"/>
        <w:kinsoku/>
        <w:wordWrap/>
        <w:overflowPunct/>
        <w:topLinePunct w:val="0"/>
        <w:autoSpaceDE/>
        <w:autoSpaceDN/>
        <w:bidi w:val="0"/>
        <w:spacing w:line="576" w:lineRule="exact"/>
        <w:ind w:firstLine="660" w:firstLineChars="200"/>
        <w:textAlignment w:val="auto"/>
        <w:rPr>
          <w:rFonts w:hint="default" w:ascii="Times New Roman" w:hAnsi="Times New Roman" w:eastAsia="方正仿宋_GBK" w:cs="Times New Roman"/>
          <w:kern w:val="2"/>
          <w:sz w:val="33"/>
          <w:szCs w:val="33"/>
        </w:rPr>
      </w:pPr>
      <w:r>
        <w:rPr>
          <w:rFonts w:hint="default" w:ascii="Times New Roman" w:hAnsi="Times New Roman" w:eastAsia="方正仿宋_GBK" w:cs="Times New Roman"/>
          <w:kern w:val="2"/>
          <w:sz w:val="33"/>
          <w:szCs w:val="33"/>
        </w:rPr>
        <w:t>我乡项目资金主要安排用于一般公共服务支出、社会保障和就业支出、卫生健康支出、节能环保支出、城乡社区支出、农林水支出、自然资源海洋气象等支出、灾害防治及应急管理支出等。</w:t>
      </w:r>
    </w:p>
    <w:p w14:paraId="31A974A5">
      <w:pPr>
        <w:pStyle w:val="6"/>
        <w:pageBreakBefore w:val="0"/>
        <w:kinsoku/>
        <w:wordWrap/>
        <w:overflowPunct/>
        <w:topLinePunct w:val="0"/>
        <w:autoSpaceDE/>
        <w:autoSpaceDN/>
        <w:bidi w:val="0"/>
        <w:spacing w:line="576" w:lineRule="exact"/>
        <w:ind w:firstLine="663"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（3）满意度指标完成情况分析</w:t>
      </w:r>
    </w:p>
    <w:p w14:paraId="188D9F6F">
      <w:pPr>
        <w:pStyle w:val="9"/>
        <w:pageBreakBefore w:val="0"/>
        <w:widowControl w:val="0"/>
        <w:kinsoku/>
        <w:wordWrap/>
        <w:overflowPunct/>
        <w:topLinePunct w:val="0"/>
        <w:autoSpaceDE/>
        <w:autoSpaceDN/>
        <w:bidi w:val="0"/>
        <w:spacing w:line="576" w:lineRule="exact"/>
        <w:ind w:firstLine="660" w:firstLineChars="200"/>
        <w:textAlignment w:val="auto"/>
        <w:rPr>
          <w:rFonts w:hint="default" w:ascii="Times New Roman" w:hAnsi="Times New Roman" w:eastAsia="方正仿宋_GBK" w:cs="Times New Roman"/>
          <w:kern w:val="2"/>
          <w:sz w:val="33"/>
          <w:szCs w:val="33"/>
        </w:rPr>
      </w:pPr>
      <w:r>
        <w:rPr>
          <w:rFonts w:hint="default" w:ascii="Times New Roman" w:hAnsi="Times New Roman" w:eastAsia="方正仿宋_GBK" w:cs="Times New Roman"/>
          <w:kern w:val="2"/>
          <w:sz w:val="33"/>
          <w:szCs w:val="33"/>
        </w:rPr>
        <w:t>通过财政绩效目标管理，基本达到满意。</w:t>
      </w:r>
    </w:p>
    <w:p w14:paraId="1DF9389F">
      <w:pPr>
        <w:pStyle w:val="3"/>
        <w:pageBreakBefore w:val="0"/>
        <w:kinsoku/>
        <w:wordWrap/>
        <w:overflowPunct/>
        <w:topLinePunct w:val="0"/>
        <w:autoSpaceDE/>
        <w:autoSpaceDN/>
        <w:bidi w:val="0"/>
        <w:spacing w:line="576" w:lineRule="exact"/>
        <w:ind w:firstLine="663" w:firstLineChars="200"/>
        <w:textAlignment w:val="auto"/>
        <w:rPr>
          <w:rFonts w:hint="default" w:ascii="方正楷体_GBK" w:hAnsi="方正楷体_GBK" w:eastAsia="方正楷体_GBK" w:cs="方正楷体_GBK"/>
          <w:kern w:val="0"/>
          <w:sz w:val="33"/>
          <w:szCs w:val="33"/>
          <w:shd w:val="clear" w:color="auto" w:fill="FFFFFF"/>
          <w:lang w:val="zh-CN"/>
        </w:rPr>
      </w:pPr>
      <w:bookmarkStart w:id="211" w:name="_Toc25096"/>
      <w:r>
        <w:rPr>
          <w:rFonts w:hint="default" w:ascii="方正楷体_GBK" w:hAnsi="方正楷体_GBK" w:eastAsia="方正楷体_GBK" w:cs="方正楷体_GBK"/>
          <w:kern w:val="0"/>
          <w:sz w:val="33"/>
          <w:szCs w:val="33"/>
          <w:shd w:val="clear" w:color="auto" w:fill="FFFFFF"/>
          <w:lang w:val="zh-CN"/>
        </w:rPr>
        <w:t>（三）其他需要说明的情况</w:t>
      </w:r>
      <w:bookmarkEnd w:id="211"/>
    </w:p>
    <w:p w14:paraId="7856C0E9">
      <w:pPr>
        <w:pStyle w:val="9"/>
        <w:pageBreakBefore w:val="0"/>
        <w:kinsoku/>
        <w:wordWrap/>
        <w:overflowPunct/>
        <w:topLinePunct w:val="0"/>
        <w:autoSpaceDE/>
        <w:autoSpaceDN/>
        <w:bidi w:val="0"/>
        <w:spacing w:line="576" w:lineRule="exact"/>
        <w:ind w:firstLine="660" w:firstLineChars="200"/>
        <w:textAlignment w:val="auto"/>
        <w:rPr>
          <w:rFonts w:hint="default" w:ascii="Times New Roman" w:hAnsi="Times New Roman" w:eastAsia="方正仿宋_GBK" w:cs="Times New Roman"/>
          <w:bCs/>
          <w:kern w:val="2"/>
          <w:sz w:val="33"/>
          <w:szCs w:val="33"/>
        </w:rPr>
      </w:pPr>
      <w:r>
        <w:rPr>
          <w:rFonts w:hint="default" w:ascii="Times New Roman" w:hAnsi="Times New Roman" w:eastAsia="方正仿宋_GBK" w:cs="Times New Roman"/>
          <w:bCs/>
          <w:kern w:val="2"/>
          <w:sz w:val="33"/>
          <w:szCs w:val="33"/>
        </w:rPr>
        <w:t>无</w:t>
      </w:r>
    </w:p>
    <w:p w14:paraId="56866208">
      <w:pPr>
        <w:pStyle w:val="3"/>
        <w:pageBreakBefore w:val="0"/>
        <w:kinsoku/>
        <w:wordWrap/>
        <w:overflowPunct/>
        <w:topLinePunct w:val="0"/>
        <w:autoSpaceDE/>
        <w:autoSpaceDN/>
        <w:bidi w:val="0"/>
        <w:spacing w:line="576" w:lineRule="exact"/>
        <w:ind w:firstLine="663" w:firstLineChars="200"/>
        <w:textAlignment w:val="auto"/>
        <w:rPr>
          <w:rFonts w:hint="default" w:ascii="方正楷体_GBK" w:hAnsi="方正楷体_GBK" w:eastAsia="方正楷体_GBK" w:cs="方正楷体_GBK"/>
          <w:kern w:val="0"/>
          <w:sz w:val="33"/>
          <w:szCs w:val="33"/>
          <w:shd w:val="clear" w:color="auto" w:fill="FFFFFF"/>
          <w:lang w:val="zh-CN"/>
        </w:rPr>
      </w:pPr>
      <w:bookmarkStart w:id="212" w:name="_Toc7517"/>
      <w:r>
        <w:rPr>
          <w:rFonts w:hint="default" w:ascii="方正楷体_GBK" w:hAnsi="方正楷体_GBK" w:eastAsia="方正楷体_GBK" w:cs="方正楷体_GBK"/>
          <w:kern w:val="0"/>
          <w:sz w:val="33"/>
          <w:szCs w:val="33"/>
          <w:shd w:val="clear" w:color="auto" w:fill="FFFFFF"/>
          <w:lang w:val="zh-CN"/>
        </w:rPr>
        <w:t>（四）自评结论</w:t>
      </w:r>
      <w:bookmarkEnd w:id="212"/>
    </w:p>
    <w:p w14:paraId="24E92292">
      <w:pPr>
        <w:pStyle w:val="9"/>
        <w:pageBreakBefore w:val="0"/>
        <w:kinsoku/>
        <w:wordWrap/>
        <w:overflowPunct/>
        <w:topLinePunct w:val="0"/>
        <w:autoSpaceDE/>
        <w:autoSpaceDN/>
        <w:bidi w:val="0"/>
        <w:spacing w:line="576" w:lineRule="exact"/>
        <w:ind w:firstLine="660" w:firstLineChars="200"/>
        <w:textAlignment w:val="auto"/>
        <w:rPr>
          <w:rFonts w:hint="default" w:ascii="Times New Roman" w:hAnsi="Times New Roman" w:eastAsia="方正仿宋_GBK" w:cs="Times New Roman"/>
          <w:kern w:val="2"/>
          <w:sz w:val="33"/>
          <w:szCs w:val="33"/>
        </w:rPr>
      </w:pPr>
      <w:r>
        <w:rPr>
          <w:rFonts w:hint="default" w:ascii="Times New Roman" w:hAnsi="Times New Roman" w:eastAsia="方正仿宋_GBK" w:cs="Times New Roman"/>
          <w:kern w:val="2"/>
          <w:sz w:val="33"/>
          <w:szCs w:val="33"/>
        </w:rPr>
        <w:t>我乡严格按照《预算法》按时完成预决算编制。在资金预算编制方面，预算执行、综合管理、整体绩效方面，均按照国家政策规范规定，结合本单位实际情况及相关规定严格执行，并合理安排项目资金，使财政资金发挥最大的效益，确保我局各项工作高效规范有序推进，圆满完成年初下达的各项工作任务，有效推动工作开展，扎实为全县社会稳定、秩序良好更好地服务好。</w:t>
      </w:r>
    </w:p>
    <w:p w14:paraId="56116C4C">
      <w:pPr>
        <w:pStyle w:val="3"/>
        <w:pageBreakBefore w:val="0"/>
        <w:kinsoku/>
        <w:wordWrap/>
        <w:overflowPunct/>
        <w:topLinePunct w:val="0"/>
        <w:autoSpaceDE/>
        <w:autoSpaceDN/>
        <w:bidi w:val="0"/>
        <w:spacing w:line="576" w:lineRule="exact"/>
        <w:ind w:firstLine="663" w:firstLineChars="200"/>
        <w:textAlignment w:val="auto"/>
        <w:rPr>
          <w:rFonts w:hint="default" w:ascii="方正楷体_GBK" w:hAnsi="方正楷体_GBK" w:eastAsia="方正楷体_GBK" w:cs="方正楷体_GBK"/>
          <w:kern w:val="0"/>
          <w:sz w:val="33"/>
          <w:szCs w:val="33"/>
          <w:shd w:val="clear" w:color="auto" w:fill="FFFFFF"/>
          <w:lang w:val="zh-CN"/>
        </w:rPr>
      </w:pPr>
      <w:bookmarkStart w:id="213" w:name="_Toc18836"/>
      <w:r>
        <w:rPr>
          <w:rFonts w:hint="default" w:ascii="方正楷体_GBK" w:hAnsi="方正楷体_GBK" w:eastAsia="方正楷体_GBK" w:cs="方正楷体_GBK"/>
          <w:kern w:val="0"/>
          <w:sz w:val="33"/>
          <w:szCs w:val="33"/>
          <w:shd w:val="clear" w:color="auto" w:fill="FFFFFF"/>
          <w:lang w:val="zh-CN"/>
        </w:rPr>
        <w:t>（五）偏离绩效目标的原因和下一步改进措施</w:t>
      </w:r>
      <w:bookmarkEnd w:id="213"/>
    </w:p>
    <w:p w14:paraId="206E9E3A">
      <w:pPr>
        <w:pStyle w:val="9"/>
        <w:pageBreakBefore w:val="0"/>
        <w:kinsoku/>
        <w:wordWrap/>
        <w:overflowPunct/>
        <w:topLinePunct w:val="0"/>
        <w:autoSpaceDE/>
        <w:autoSpaceDN/>
        <w:bidi w:val="0"/>
        <w:spacing w:line="576" w:lineRule="exact"/>
        <w:ind w:firstLine="660" w:firstLineChars="200"/>
        <w:textAlignment w:val="auto"/>
        <w:rPr>
          <w:rFonts w:hint="default" w:ascii="Times New Roman" w:hAnsi="Times New Roman" w:eastAsia="方正仿宋_GBK" w:cs="Times New Roman"/>
          <w:kern w:val="2"/>
          <w:sz w:val="33"/>
          <w:szCs w:val="33"/>
        </w:rPr>
      </w:pPr>
      <w:r>
        <w:rPr>
          <w:rFonts w:hint="eastAsia" w:ascii="Times New Roman" w:hAnsi="Times New Roman" w:eastAsia="方正仿宋_GBK" w:cs="Times New Roman"/>
          <w:kern w:val="2"/>
          <w:sz w:val="33"/>
          <w:szCs w:val="33"/>
          <w:lang w:val="en-US" w:eastAsia="zh-CN"/>
        </w:rPr>
        <w:t>1.</w:t>
      </w:r>
      <w:r>
        <w:rPr>
          <w:rFonts w:hint="default" w:ascii="Times New Roman" w:hAnsi="Times New Roman" w:eastAsia="方正仿宋_GBK" w:cs="Times New Roman"/>
          <w:kern w:val="2"/>
          <w:sz w:val="33"/>
          <w:szCs w:val="33"/>
        </w:rPr>
        <w:t>预算编制和预算管理还需进一步细化和加强，严禁超预算和无预算安排支出，严格开支范围和标准，严格审核各项经费的支出，提高资金使用效率。</w:t>
      </w:r>
    </w:p>
    <w:p w14:paraId="504DE524">
      <w:pPr>
        <w:pStyle w:val="9"/>
        <w:pageBreakBefore w:val="0"/>
        <w:kinsoku/>
        <w:wordWrap/>
        <w:overflowPunct/>
        <w:topLinePunct w:val="0"/>
        <w:autoSpaceDE/>
        <w:autoSpaceDN/>
        <w:bidi w:val="0"/>
        <w:spacing w:line="576" w:lineRule="exact"/>
        <w:ind w:firstLine="660" w:firstLineChars="200"/>
        <w:textAlignment w:val="auto"/>
        <w:rPr>
          <w:rFonts w:hint="default" w:ascii="Times New Roman" w:hAnsi="Times New Roman" w:eastAsia="方正仿宋_GBK" w:cs="Times New Roman"/>
          <w:kern w:val="2"/>
          <w:sz w:val="33"/>
          <w:szCs w:val="33"/>
        </w:rPr>
      </w:pPr>
      <w:r>
        <w:rPr>
          <w:rFonts w:hint="eastAsia" w:ascii="Times New Roman" w:hAnsi="Times New Roman" w:eastAsia="方正仿宋_GBK" w:cs="Times New Roman"/>
          <w:kern w:val="2"/>
          <w:sz w:val="33"/>
          <w:szCs w:val="33"/>
          <w:lang w:val="en-US" w:eastAsia="zh-CN"/>
        </w:rPr>
        <w:t>2.</w:t>
      </w:r>
      <w:r>
        <w:rPr>
          <w:rFonts w:hint="default" w:ascii="Times New Roman" w:hAnsi="Times New Roman" w:eastAsia="方正仿宋_GBK" w:cs="Times New Roman"/>
          <w:kern w:val="2"/>
          <w:sz w:val="33"/>
          <w:szCs w:val="33"/>
        </w:rPr>
        <w:t>严格控制“三公”经费，认真贯彻落实中央八项规定和省、市十项规定，严格“三公”经费支出的审核和审批，合理压缩“三公”经费支出。合理、节俭、高效地利用资金，保证机关各项工作顺利有序开展。</w:t>
      </w:r>
    </w:p>
    <w:p w14:paraId="4FA2ED41">
      <w:pPr>
        <w:pStyle w:val="3"/>
        <w:pageBreakBefore w:val="0"/>
        <w:kinsoku/>
        <w:wordWrap/>
        <w:overflowPunct/>
        <w:topLinePunct w:val="0"/>
        <w:autoSpaceDE/>
        <w:autoSpaceDN/>
        <w:bidi w:val="0"/>
        <w:spacing w:line="576" w:lineRule="exact"/>
        <w:ind w:firstLine="660" w:firstLineChars="200"/>
        <w:textAlignment w:val="auto"/>
        <w:rPr>
          <w:rFonts w:hint="default" w:ascii="方正黑体_GBK" w:hAnsi="方正黑体_GBK" w:eastAsia="方正黑体_GBK" w:cs="方正黑体_GBK"/>
          <w:b w:val="0"/>
          <w:bCs w:val="0"/>
          <w:sz w:val="33"/>
          <w:szCs w:val="33"/>
        </w:rPr>
      </w:pPr>
      <w:bookmarkStart w:id="214" w:name="_Toc24696"/>
      <w:r>
        <w:rPr>
          <w:rFonts w:hint="default" w:ascii="方正黑体_GBK" w:hAnsi="方正黑体_GBK" w:eastAsia="方正黑体_GBK" w:cs="方正黑体_GBK"/>
          <w:b w:val="0"/>
          <w:bCs w:val="0"/>
          <w:sz w:val="33"/>
          <w:szCs w:val="33"/>
        </w:rPr>
        <w:t>四、绩效自评结果拟应用和公开公示情况</w:t>
      </w:r>
      <w:bookmarkEnd w:id="214"/>
    </w:p>
    <w:p w14:paraId="2C46A1E8">
      <w:pPr>
        <w:pStyle w:val="3"/>
        <w:pageBreakBefore w:val="0"/>
        <w:kinsoku/>
        <w:wordWrap/>
        <w:overflowPunct/>
        <w:topLinePunct w:val="0"/>
        <w:autoSpaceDE/>
        <w:autoSpaceDN/>
        <w:bidi w:val="0"/>
        <w:spacing w:line="576" w:lineRule="exact"/>
        <w:ind w:firstLine="663" w:firstLineChars="200"/>
        <w:textAlignment w:val="auto"/>
        <w:rPr>
          <w:rFonts w:hint="default" w:ascii="方正楷体_GBK" w:hAnsi="方正楷体_GBK" w:eastAsia="方正楷体_GBK" w:cs="方正楷体_GBK"/>
          <w:kern w:val="0"/>
          <w:sz w:val="33"/>
          <w:szCs w:val="33"/>
          <w:shd w:val="clear" w:color="auto" w:fill="FFFFFF"/>
          <w:lang w:val="zh-CN"/>
        </w:rPr>
      </w:pPr>
      <w:bookmarkStart w:id="215" w:name="_Toc26273"/>
      <w:r>
        <w:rPr>
          <w:rFonts w:hint="default" w:ascii="方正楷体_GBK" w:hAnsi="方正楷体_GBK" w:eastAsia="方正楷体_GBK" w:cs="方正楷体_GBK"/>
          <w:kern w:val="0"/>
          <w:sz w:val="33"/>
          <w:szCs w:val="33"/>
          <w:shd w:val="clear" w:color="auto" w:fill="FFFFFF"/>
          <w:lang w:val="zh-CN"/>
        </w:rPr>
        <w:t>（一）绩效自评结果拟应用</w:t>
      </w:r>
      <w:bookmarkEnd w:id="215"/>
    </w:p>
    <w:p w14:paraId="2C318C53">
      <w:pPr>
        <w:pageBreakBefore w:val="0"/>
        <w:kinsoku/>
        <w:wordWrap/>
        <w:overflowPunct/>
        <w:topLinePunct w:val="0"/>
        <w:autoSpaceDE/>
        <w:autoSpaceDN/>
        <w:bidi w:val="0"/>
        <w:spacing w:line="576" w:lineRule="exact"/>
        <w:ind w:firstLine="663" w:firstLineChars="200"/>
        <w:textAlignment w:val="auto"/>
        <w:rPr>
          <w:rFonts w:hint="default" w:ascii="Times New Roman" w:hAnsi="Times New Roman" w:eastAsia="方正仿宋_GBK" w:cs="Times New Roman"/>
          <w:bCs/>
          <w:sz w:val="33"/>
          <w:szCs w:val="33"/>
        </w:rPr>
      </w:pPr>
      <w:r>
        <w:rPr>
          <w:rStyle w:val="35"/>
          <w:rFonts w:hint="default" w:ascii="Times New Roman" w:hAnsi="Times New Roman" w:eastAsia="方正仿宋_GBK" w:cs="Times New Roman"/>
          <w:sz w:val="33"/>
          <w:szCs w:val="33"/>
        </w:rPr>
        <w:t>1.深化绩效评价工作，不断提高部门预算整体绩效目标管理水平</w:t>
      </w:r>
    </w:p>
    <w:p w14:paraId="20F7D2D3">
      <w:pPr>
        <w:pageBreakBefore w:val="0"/>
        <w:kinsoku/>
        <w:wordWrap/>
        <w:overflowPunct/>
        <w:topLinePunct w:val="0"/>
        <w:autoSpaceDE/>
        <w:autoSpaceDN/>
        <w:bidi w:val="0"/>
        <w:spacing w:line="576"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 xml:space="preserve">按照《预算法》按时完成预决算编制。在执行过程中有计划进行资金申报、使用，完善资金管理及内部控制制度，确保资金安全，做到账款、账账、账实相符。 </w:t>
      </w:r>
    </w:p>
    <w:p w14:paraId="473111D4">
      <w:pPr>
        <w:pStyle w:val="6"/>
        <w:pageBreakBefore w:val="0"/>
        <w:kinsoku/>
        <w:wordWrap/>
        <w:overflowPunct/>
        <w:topLinePunct w:val="0"/>
        <w:autoSpaceDE/>
        <w:autoSpaceDN/>
        <w:bidi w:val="0"/>
        <w:spacing w:line="576" w:lineRule="exact"/>
        <w:ind w:firstLine="663"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2.通过绩效自评建立机关厉行节约制度、节能降耗</w:t>
      </w:r>
    </w:p>
    <w:p w14:paraId="0244311F">
      <w:pPr>
        <w:pageBreakBefore w:val="0"/>
        <w:kinsoku/>
        <w:wordWrap/>
        <w:overflowPunct/>
        <w:topLinePunct w:val="0"/>
        <w:autoSpaceDE/>
        <w:autoSpaceDN/>
        <w:bidi w:val="0"/>
        <w:spacing w:line="576"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我</w:t>
      </w:r>
      <w:r>
        <w:rPr>
          <w:rFonts w:hint="eastAsia" w:eastAsia="方正仿宋_GBK" w:cs="Times New Roman"/>
          <w:sz w:val="33"/>
          <w:szCs w:val="33"/>
          <w:lang w:eastAsia="zh-CN"/>
        </w:rPr>
        <w:t>乡</w:t>
      </w:r>
      <w:r>
        <w:rPr>
          <w:rFonts w:hint="default" w:ascii="Times New Roman" w:hAnsi="Times New Roman" w:eastAsia="方正仿宋_GBK" w:cs="Times New Roman"/>
          <w:sz w:val="33"/>
          <w:szCs w:val="33"/>
        </w:rPr>
        <w:t>认真执行中央八项规定，秉承开源节流的宗旨，严格管控三公经费支出，厉行节约。扎实抓好机关节能降耗，一是严格用电管理。倡导在自然光照较好的条件下不使用照明灯具，使用照明工具时保证人走灯灭，杜绝“长明灯”等能耗空放现象；尽可能地减少电脑、打印机、复印机等办公设备的待机时间，不用时关闭电源或置于节能状态；二是严格用水管理。人走时及时关闭关紧水龙头，杜绝“长流水”和“跑、冒、滴、漏”现象。三是推行无纸化办公。尽量利用网络传输文件，在电脑上修改文稿；打印材料时，提倡双面用纸；公文传阅尽量通过协同办公平台进行。四是加强车辆燃油管理。建立机关车辆燃油使用、行驶里程管理台账，定期公示燃油使用情况。同时，倡导全体干部职工绿色出行。</w:t>
      </w:r>
    </w:p>
    <w:p w14:paraId="04D80F9D">
      <w:pPr>
        <w:pStyle w:val="6"/>
        <w:pageBreakBefore w:val="0"/>
        <w:kinsoku/>
        <w:wordWrap/>
        <w:overflowPunct/>
        <w:topLinePunct w:val="0"/>
        <w:autoSpaceDE/>
        <w:autoSpaceDN/>
        <w:bidi w:val="0"/>
        <w:spacing w:line="576" w:lineRule="exact"/>
        <w:ind w:firstLine="663"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3.强化单位财务管理工作，提高资金使用效率</w:t>
      </w:r>
    </w:p>
    <w:p w14:paraId="54D2FF00">
      <w:pPr>
        <w:pageBreakBefore w:val="0"/>
        <w:kinsoku/>
        <w:wordWrap/>
        <w:overflowPunct/>
        <w:topLinePunct w:val="0"/>
        <w:autoSpaceDE/>
        <w:autoSpaceDN/>
        <w:bidi w:val="0"/>
        <w:spacing w:line="576"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按照年初预算项目，在资金的管理和使用上，严守法律底线、纪律底线，严格追授财务管理、财经纪律，会计核算真实完整，项目资金支出和原定用途、预算批复用途相符，提高财政资金使用效率。严格执行机关财务管理制度，及时进行会计核算，对项目资金、政府采购进行公开公示，接受群众监督。</w:t>
      </w:r>
    </w:p>
    <w:p w14:paraId="3D2A6E77">
      <w:pPr>
        <w:pStyle w:val="3"/>
        <w:pageBreakBefore w:val="0"/>
        <w:kinsoku/>
        <w:wordWrap/>
        <w:overflowPunct/>
        <w:topLinePunct w:val="0"/>
        <w:autoSpaceDE/>
        <w:autoSpaceDN/>
        <w:bidi w:val="0"/>
        <w:spacing w:line="576" w:lineRule="exact"/>
        <w:ind w:firstLine="663" w:firstLineChars="200"/>
        <w:textAlignment w:val="auto"/>
        <w:rPr>
          <w:rFonts w:hint="default" w:ascii="方正楷体_GBK" w:hAnsi="方正楷体_GBK" w:eastAsia="方正楷体_GBK" w:cs="方正楷体_GBK"/>
          <w:kern w:val="0"/>
          <w:sz w:val="33"/>
          <w:szCs w:val="33"/>
          <w:shd w:val="clear" w:color="auto" w:fill="FFFFFF"/>
          <w:lang w:val="zh-CN"/>
        </w:rPr>
      </w:pPr>
      <w:bookmarkStart w:id="216" w:name="_Toc23381"/>
      <w:r>
        <w:rPr>
          <w:rFonts w:hint="default" w:ascii="方正楷体_GBK" w:hAnsi="方正楷体_GBK" w:eastAsia="方正楷体_GBK" w:cs="方正楷体_GBK"/>
          <w:kern w:val="0"/>
          <w:sz w:val="33"/>
          <w:szCs w:val="33"/>
          <w:shd w:val="clear" w:color="auto" w:fill="FFFFFF"/>
          <w:lang w:val="zh-CN"/>
        </w:rPr>
        <w:t>（二）公开公示情况</w:t>
      </w:r>
      <w:bookmarkEnd w:id="216"/>
    </w:p>
    <w:p w14:paraId="37A28663">
      <w:pPr>
        <w:pageBreakBefore w:val="0"/>
        <w:kinsoku/>
        <w:wordWrap/>
        <w:overflowPunct/>
        <w:topLinePunct w:val="0"/>
        <w:autoSpaceDE/>
        <w:autoSpaceDN/>
        <w:bidi w:val="0"/>
        <w:spacing w:line="576" w:lineRule="exact"/>
        <w:ind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为深入贯彻落实《中共四川省委四川省人民政府关于全面实施预算绩效管理的实施意见》（川委发【2019】8号）文件精神，进一步深化事后绩效评价工作，不断提高部门预算整体绩效目标管理水平，按盐边财绩【2020】4号《盐边县财政局关于开展2019年度部门预算整体绩效自评工作的通知》要求，于2020年10月将《盐边县人民政府2019年部门预算整体绩效自评表》和《盐边县红果彝族乡人民政府2019年度部门预算情况公开编制说明》在“盐边县公众信息网”财政信息板块下的“财政绩效评价信息专栏”进行公开公示。</w:t>
      </w:r>
    </w:p>
    <w:p w14:paraId="5E4427BD">
      <w:pPr>
        <w:spacing w:line="580" w:lineRule="exact"/>
        <w:rPr>
          <w:rFonts w:hint="default" w:ascii="Times New Roman" w:hAnsi="Times New Roman" w:eastAsia="方正仿宋_GBK" w:cs="Times New Roman"/>
          <w:sz w:val="33"/>
          <w:szCs w:val="33"/>
        </w:rPr>
      </w:pPr>
    </w:p>
    <w:p w14:paraId="0D86B4BB">
      <w:pPr>
        <w:spacing w:line="580" w:lineRule="exact"/>
        <w:rPr>
          <w:rFonts w:hint="default" w:ascii="Times New Roman" w:hAnsi="Times New Roman" w:eastAsia="方正仿宋_GBK" w:cs="Times New Roman"/>
          <w:sz w:val="33"/>
          <w:szCs w:val="33"/>
        </w:rPr>
      </w:pPr>
    </w:p>
    <w:p w14:paraId="4E76CD43">
      <w:pPr>
        <w:spacing w:line="580" w:lineRule="exact"/>
        <w:rPr>
          <w:rFonts w:hint="default" w:ascii="Times New Roman" w:hAnsi="Times New Roman" w:eastAsia="方正仿宋_GBK" w:cs="Times New Roman"/>
          <w:sz w:val="33"/>
          <w:szCs w:val="33"/>
        </w:rPr>
      </w:pPr>
    </w:p>
    <w:p w14:paraId="2B4A0B2E">
      <w:pPr>
        <w:spacing w:line="580" w:lineRule="exact"/>
        <w:rPr>
          <w:rFonts w:hint="default" w:ascii="Times New Roman" w:hAnsi="Times New Roman" w:eastAsia="方正仿宋_GBK" w:cs="Times New Roman"/>
          <w:sz w:val="33"/>
          <w:szCs w:val="33"/>
        </w:rPr>
      </w:pPr>
    </w:p>
    <w:p w14:paraId="2F855BC6">
      <w:pPr>
        <w:spacing w:line="580" w:lineRule="exact"/>
        <w:jc w:val="left"/>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附件2</w:t>
      </w:r>
    </w:p>
    <w:p w14:paraId="52BF9BAD">
      <w:pPr>
        <w:spacing w:line="580" w:lineRule="exact"/>
        <w:ind w:firstLine="640" w:firstLineChars="200"/>
        <w:rPr>
          <w:rFonts w:ascii="仿宋_GB2312" w:hAnsi="仿宋_GB2312" w:eastAsia="仿宋_GB2312" w:cs="仿宋_GB2312"/>
          <w:sz w:val="32"/>
          <w:szCs w:val="32"/>
        </w:rPr>
      </w:pPr>
    </w:p>
    <w:p w14:paraId="7A192394">
      <w:pPr>
        <w:pStyle w:val="2"/>
        <w:jc w:val="center"/>
        <w:rPr>
          <w:kern w:val="0"/>
          <w:lang w:val="zh-CN"/>
        </w:rPr>
      </w:pPr>
      <w:bookmarkStart w:id="217" w:name="_Toc28833"/>
      <w:r>
        <w:rPr>
          <w:rFonts w:hint="default" w:ascii="Times New Roman" w:hAnsi="Times New Roman" w:eastAsia="方正小标宋_GBK" w:cs="Times New Roman"/>
          <w:kern w:val="0"/>
          <w:sz w:val="38"/>
          <w:szCs w:val="38"/>
        </w:rPr>
        <w:t>购买垃圾车</w:t>
      </w:r>
      <w:r>
        <w:rPr>
          <w:rFonts w:hint="default" w:ascii="Times New Roman" w:hAnsi="Times New Roman" w:eastAsia="方正小标宋_GBK" w:cs="Times New Roman"/>
          <w:kern w:val="0"/>
          <w:sz w:val="38"/>
          <w:szCs w:val="38"/>
          <w:lang w:val="zh-CN"/>
        </w:rPr>
        <w:t>项目</w:t>
      </w:r>
      <w:r>
        <w:rPr>
          <w:rFonts w:hint="default" w:ascii="Times New Roman" w:hAnsi="Times New Roman" w:eastAsia="方正小标宋_GBK" w:cs="Times New Roman"/>
          <w:kern w:val="0"/>
          <w:sz w:val="38"/>
          <w:szCs w:val="38"/>
        </w:rPr>
        <w:t>2019年</w:t>
      </w:r>
      <w:r>
        <w:rPr>
          <w:rFonts w:hint="default" w:ascii="Times New Roman" w:hAnsi="Times New Roman" w:eastAsia="方正小标宋_GBK" w:cs="Times New Roman"/>
          <w:kern w:val="0"/>
          <w:sz w:val="38"/>
          <w:szCs w:val="38"/>
          <w:lang w:val="zh-CN"/>
        </w:rPr>
        <w:t>绩效评价报告</w:t>
      </w:r>
      <w:bookmarkEnd w:id="217"/>
    </w:p>
    <w:p w14:paraId="7A779A14">
      <w:pPr>
        <w:spacing w:line="600" w:lineRule="exact"/>
        <w:rPr>
          <w:rFonts w:ascii="黑体" w:hAnsi="黑体" w:eastAsia="黑体" w:cs="仿宋_GB2312"/>
          <w:sz w:val="32"/>
          <w:szCs w:val="32"/>
        </w:rPr>
      </w:pPr>
      <w:r>
        <w:rPr>
          <w:rFonts w:hint="eastAsia" w:ascii="黑体" w:hAnsi="黑体" w:eastAsia="黑体" w:cs="仿宋_GB2312"/>
          <w:sz w:val="32"/>
          <w:szCs w:val="32"/>
        </w:rPr>
        <w:t xml:space="preserve">  </w:t>
      </w:r>
    </w:p>
    <w:p w14:paraId="3BD800DC">
      <w:pPr>
        <w:pStyle w:val="3"/>
        <w:pageBreakBefore w:val="0"/>
        <w:kinsoku/>
        <w:wordWrap/>
        <w:overflowPunct/>
        <w:topLinePunct w:val="0"/>
        <w:autoSpaceDE/>
        <w:autoSpaceDN/>
        <w:bidi w:val="0"/>
        <w:adjustRightInd/>
        <w:snapToGrid/>
        <w:spacing w:line="576" w:lineRule="exact"/>
        <w:ind w:firstLine="663" w:firstLineChars="200"/>
        <w:textAlignment w:val="auto"/>
        <w:rPr>
          <w:rFonts w:hint="eastAsia" w:ascii="方正黑体_GBK" w:hAnsi="方正黑体_GBK" w:eastAsia="方正黑体_GBK" w:cs="方正黑体_GBK"/>
          <w:sz w:val="33"/>
          <w:szCs w:val="33"/>
        </w:rPr>
      </w:pPr>
      <w:bookmarkStart w:id="218" w:name="_Toc31669"/>
      <w:r>
        <w:rPr>
          <w:rFonts w:hint="eastAsia" w:ascii="方正黑体_GBK" w:hAnsi="方正黑体_GBK" w:eastAsia="方正黑体_GBK" w:cs="方正黑体_GBK"/>
          <w:sz w:val="33"/>
          <w:szCs w:val="33"/>
        </w:rPr>
        <w:t>一、项目基本情况</w:t>
      </w:r>
      <w:bookmarkEnd w:id="218"/>
    </w:p>
    <w:p w14:paraId="2DD409E2">
      <w:pPr>
        <w:pStyle w:val="4"/>
        <w:pageBreakBefore w:val="0"/>
        <w:kinsoku/>
        <w:wordWrap/>
        <w:overflowPunct/>
        <w:topLinePunct w:val="0"/>
        <w:autoSpaceDE/>
        <w:autoSpaceDN/>
        <w:bidi w:val="0"/>
        <w:adjustRightInd/>
        <w:snapToGrid/>
        <w:spacing w:line="576" w:lineRule="exact"/>
        <w:ind w:firstLine="663" w:firstLineChars="200"/>
        <w:textAlignment w:val="auto"/>
        <w:rPr>
          <w:rFonts w:hint="default" w:ascii="方正楷体_GBK" w:hAnsi="方正楷体_GBK" w:eastAsia="方正楷体_GBK" w:cs="方正楷体_GBK"/>
          <w:sz w:val="33"/>
          <w:szCs w:val="33"/>
        </w:rPr>
      </w:pPr>
      <w:bookmarkStart w:id="219" w:name="_Toc18940"/>
      <w:r>
        <w:rPr>
          <w:rFonts w:hint="default" w:ascii="方正楷体_GBK" w:hAnsi="方正楷体_GBK" w:eastAsia="方正楷体_GBK" w:cs="方正楷体_GBK"/>
          <w:sz w:val="33"/>
          <w:szCs w:val="33"/>
        </w:rPr>
        <w:t>（一）理想背景</w:t>
      </w:r>
      <w:bookmarkEnd w:id="219"/>
    </w:p>
    <w:p w14:paraId="15D02E84">
      <w:pPr>
        <w:pageBreakBefore w:val="0"/>
        <w:kinsoku/>
        <w:wordWrap/>
        <w:overflowPunct/>
        <w:topLinePunct w:val="0"/>
        <w:autoSpaceDE/>
        <w:autoSpaceDN/>
        <w:bidi w:val="0"/>
        <w:adjustRightInd/>
        <w:snapToGrid/>
        <w:spacing w:line="576"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红果乡集镇化建设和环境卫生的要求，需要将红果乡的垃圾集中转运到专业垃圾处理场进行集中处理，需要购置垃圾车一辆。</w:t>
      </w:r>
    </w:p>
    <w:p w14:paraId="315165D0">
      <w:pPr>
        <w:pStyle w:val="4"/>
        <w:pageBreakBefore w:val="0"/>
        <w:kinsoku/>
        <w:wordWrap/>
        <w:overflowPunct/>
        <w:topLinePunct w:val="0"/>
        <w:autoSpaceDE/>
        <w:autoSpaceDN/>
        <w:bidi w:val="0"/>
        <w:adjustRightInd/>
        <w:snapToGrid/>
        <w:spacing w:line="576" w:lineRule="exact"/>
        <w:ind w:firstLine="663" w:firstLineChars="200"/>
        <w:textAlignment w:val="auto"/>
        <w:rPr>
          <w:rFonts w:hint="default" w:ascii="方正楷体_GBK" w:hAnsi="方正楷体_GBK" w:eastAsia="方正楷体_GBK" w:cs="方正楷体_GBK"/>
          <w:sz w:val="33"/>
          <w:szCs w:val="33"/>
        </w:rPr>
      </w:pPr>
      <w:bookmarkStart w:id="220" w:name="_Toc24396"/>
      <w:r>
        <w:rPr>
          <w:rFonts w:hint="default" w:ascii="方正楷体_GBK" w:hAnsi="方正楷体_GBK" w:eastAsia="方正楷体_GBK" w:cs="方正楷体_GBK"/>
          <w:sz w:val="33"/>
          <w:szCs w:val="33"/>
        </w:rPr>
        <w:t>（二）立项目的</w:t>
      </w:r>
      <w:bookmarkEnd w:id="220"/>
    </w:p>
    <w:p w14:paraId="013068F2">
      <w:pPr>
        <w:pageBreakBefore w:val="0"/>
        <w:kinsoku/>
        <w:wordWrap/>
        <w:overflowPunct/>
        <w:topLinePunct w:val="0"/>
        <w:autoSpaceDE/>
        <w:autoSpaceDN/>
        <w:bidi w:val="0"/>
        <w:adjustRightInd/>
        <w:snapToGrid/>
        <w:spacing w:line="576"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为满足红果乡的垃圾转运的要求。</w:t>
      </w:r>
    </w:p>
    <w:p w14:paraId="49273A7D">
      <w:pPr>
        <w:pStyle w:val="3"/>
        <w:pageBreakBefore w:val="0"/>
        <w:kinsoku/>
        <w:wordWrap/>
        <w:overflowPunct/>
        <w:topLinePunct w:val="0"/>
        <w:autoSpaceDE/>
        <w:autoSpaceDN/>
        <w:bidi w:val="0"/>
        <w:adjustRightInd/>
        <w:snapToGrid/>
        <w:spacing w:line="576" w:lineRule="exact"/>
        <w:ind w:firstLine="663" w:firstLineChars="200"/>
        <w:textAlignment w:val="auto"/>
        <w:rPr>
          <w:rFonts w:hint="default" w:ascii="方正黑体_GBK" w:hAnsi="方正黑体_GBK" w:eastAsia="方正黑体_GBK" w:cs="方正黑体_GBK"/>
          <w:sz w:val="33"/>
          <w:szCs w:val="33"/>
        </w:rPr>
      </w:pPr>
      <w:bookmarkStart w:id="221" w:name="_Toc29409"/>
      <w:r>
        <w:rPr>
          <w:rFonts w:hint="default" w:ascii="方正黑体_GBK" w:hAnsi="方正黑体_GBK" w:eastAsia="方正黑体_GBK" w:cs="方正黑体_GBK"/>
          <w:sz w:val="33"/>
          <w:szCs w:val="33"/>
        </w:rPr>
        <w:t>二、资金使用情况</w:t>
      </w:r>
      <w:bookmarkEnd w:id="221"/>
    </w:p>
    <w:p w14:paraId="12009932">
      <w:pPr>
        <w:pageBreakBefore w:val="0"/>
        <w:kinsoku/>
        <w:wordWrap/>
        <w:overflowPunct/>
        <w:topLinePunct w:val="0"/>
        <w:autoSpaceDE/>
        <w:autoSpaceDN/>
        <w:bidi w:val="0"/>
        <w:adjustRightInd/>
        <w:snapToGrid/>
        <w:spacing w:line="576"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该项目为县住建局盘活资金，合计下达45万，实际开支37.9万。</w:t>
      </w:r>
    </w:p>
    <w:p w14:paraId="048340AF">
      <w:pPr>
        <w:pStyle w:val="3"/>
        <w:pageBreakBefore w:val="0"/>
        <w:kinsoku/>
        <w:wordWrap/>
        <w:overflowPunct/>
        <w:topLinePunct w:val="0"/>
        <w:autoSpaceDE/>
        <w:autoSpaceDN/>
        <w:bidi w:val="0"/>
        <w:adjustRightInd/>
        <w:snapToGrid/>
        <w:spacing w:line="576" w:lineRule="exact"/>
        <w:ind w:firstLine="663" w:firstLineChars="200"/>
        <w:textAlignment w:val="auto"/>
        <w:rPr>
          <w:rFonts w:hint="default" w:ascii="方正黑体_GBK" w:hAnsi="方正黑体_GBK" w:eastAsia="方正黑体_GBK" w:cs="方正黑体_GBK"/>
          <w:sz w:val="33"/>
          <w:szCs w:val="33"/>
        </w:rPr>
      </w:pPr>
      <w:bookmarkStart w:id="222" w:name="_Toc457"/>
      <w:r>
        <w:rPr>
          <w:rFonts w:hint="default" w:ascii="方正黑体_GBK" w:hAnsi="方正黑体_GBK" w:eastAsia="方正黑体_GBK" w:cs="方正黑体_GBK"/>
          <w:sz w:val="33"/>
          <w:szCs w:val="33"/>
        </w:rPr>
        <w:t>三、项目绩效目标</w:t>
      </w:r>
      <w:bookmarkEnd w:id="222"/>
    </w:p>
    <w:p w14:paraId="50AC84AB">
      <w:pPr>
        <w:pStyle w:val="4"/>
        <w:pageBreakBefore w:val="0"/>
        <w:kinsoku/>
        <w:wordWrap/>
        <w:overflowPunct/>
        <w:topLinePunct w:val="0"/>
        <w:autoSpaceDE/>
        <w:autoSpaceDN/>
        <w:bidi w:val="0"/>
        <w:adjustRightInd/>
        <w:snapToGrid/>
        <w:spacing w:line="576" w:lineRule="exact"/>
        <w:ind w:firstLine="663" w:firstLineChars="200"/>
        <w:textAlignment w:val="auto"/>
        <w:rPr>
          <w:rFonts w:hint="default" w:ascii="方正楷体_GBK" w:hAnsi="方正楷体_GBK" w:eastAsia="方正楷体_GBK" w:cs="方正楷体_GBK"/>
          <w:sz w:val="33"/>
          <w:szCs w:val="33"/>
        </w:rPr>
      </w:pPr>
      <w:bookmarkStart w:id="223" w:name="_Toc27534"/>
      <w:r>
        <w:rPr>
          <w:rFonts w:hint="default" w:ascii="方正楷体_GBK" w:hAnsi="方正楷体_GBK" w:eastAsia="方正楷体_GBK" w:cs="方正楷体_GBK"/>
          <w:sz w:val="33"/>
          <w:szCs w:val="33"/>
        </w:rPr>
        <w:t>（一）项目绩效总体目标</w:t>
      </w:r>
      <w:bookmarkEnd w:id="223"/>
    </w:p>
    <w:p w14:paraId="33714F93">
      <w:pPr>
        <w:pageBreakBefore w:val="0"/>
        <w:kinsoku/>
        <w:wordWrap/>
        <w:overflowPunct/>
        <w:topLinePunct w:val="0"/>
        <w:autoSpaceDE/>
        <w:autoSpaceDN/>
        <w:bidi w:val="0"/>
        <w:adjustRightInd/>
        <w:snapToGrid/>
        <w:spacing w:line="576" w:lineRule="exact"/>
        <w:ind w:firstLine="330" w:firstLineChars="1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为了满足环保要求，加快红果乡集镇化建设，提高红果乡卫生水平，为此县财政专门拨款45万，实际支出 。2019年完成采购任务，成功将垃圾车采购到位。保证环境卫生工作的正常开展。</w:t>
      </w:r>
    </w:p>
    <w:p w14:paraId="6FD634B8">
      <w:pPr>
        <w:pStyle w:val="4"/>
        <w:pageBreakBefore w:val="0"/>
        <w:kinsoku/>
        <w:wordWrap/>
        <w:overflowPunct/>
        <w:topLinePunct w:val="0"/>
        <w:autoSpaceDE/>
        <w:autoSpaceDN/>
        <w:bidi w:val="0"/>
        <w:adjustRightInd/>
        <w:snapToGrid/>
        <w:spacing w:line="576" w:lineRule="exact"/>
        <w:ind w:firstLine="663" w:firstLineChars="200"/>
        <w:textAlignment w:val="auto"/>
        <w:rPr>
          <w:rFonts w:hint="default" w:ascii="方正楷体_GBK" w:hAnsi="方正楷体_GBK" w:eastAsia="方正楷体_GBK" w:cs="方正楷体_GBK"/>
          <w:sz w:val="33"/>
          <w:szCs w:val="33"/>
        </w:rPr>
      </w:pPr>
      <w:bookmarkStart w:id="224" w:name="_Toc20598"/>
      <w:r>
        <w:rPr>
          <w:rFonts w:hint="default" w:ascii="方正楷体_GBK" w:hAnsi="方正楷体_GBK" w:eastAsia="方正楷体_GBK" w:cs="方正楷体_GBK"/>
          <w:sz w:val="33"/>
          <w:szCs w:val="33"/>
        </w:rPr>
        <w:t>（二）项目年度绩效目标</w:t>
      </w:r>
      <w:bookmarkEnd w:id="224"/>
    </w:p>
    <w:p w14:paraId="709FE3DE">
      <w:pPr>
        <w:pageBreakBefore w:val="0"/>
        <w:kinsoku/>
        <w:wordWrap/>
        <w:overflowPunct/>
        <w:topLinePunct w:val="0"/>
        <w:autoSpaceDE/>
        <w:autoSpaceDN/>
        <w:bidi w:val="0"/>
        <w:adjustRightInd/>
        <w:snapToGrid/>
        <w:spacing w:line="576" w:lineRule="exact"/>
        <w:ind w:firstLine="330" w:firstLineChars="1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完成红果乡的垃圾集中清运，保证红果乡的环境卫生工作的开展。</w:t>
      </w:r>
    </w:p>
    <w:p w14:paraId="0FB2D5AC">
      <w:pPr>
        <w:pStyle w:val="4"/>
        <w:pageBreakBefore w:val="0"/>
        <w:kinsoku/>
        <w:wordWrap/>
        <w:overflowPunct/>
        <w:topLinePunct w:val="0"/>
        <w:autoSpaceDE/>
        <w:autoSpaceDN/>
        <w:bidi w:val="0"/>
        <w:adjustRightInd/>
        <w:snapToGrid/>
        <w:spacing w:line="576" w:lineRule="exact"/>
        <w:ind w:firstLine="663" w:firstLineChars="200"/>
        <w:textAlignment w:val="auto"/>
        <w:rPr>
          <w:rFonts w:hint="eastAsia" w:ascii="方正楷体_GBK" w:hAnsi="方正楷体_GBK" w:eastAsia="方正楷体_GBK" w:cs="方正楷体_GBK"/>
          <w:sz w:val="33"/>
          <w:szCs w:val="33"/>
        </w:rPr>
      </w:pPr>
      <w:bookmarkStart w:id="225" w:name="_Toc18951"/>
      <w:r>
        <w:rPr>
          <w:rFonts w:hint="eastAsia" w:ascii="方正楷体_GBK" w:hAnsi="方正楷体_GBK" w:eastAsia="方正楷体_GBK" w:cs="方正楷体_GBK"/>
          <w:sz w:val="33"/>
          <w:szCs w:val="33"/>
        </w:rPr>
        <w:t>（三）项目资金管理情况</w:t>
      </w:r>
      <w:bookmarkEnd w:id="225"/>
    </w:p>
    <w:p w14:paraId="5D1FF473">
      <w:pPr>
        <w:pageBreakBefore w:val="0"/>
        <w:kinsoku/>
        <w:wordWrap/>
        <w:overflowPunct/>
        <w:topLinePunct w:val="0"/>
        <w:autoSpaceDE/>
        <w:autoSpaceDN/>
        <w:bidi w:val="0"/>
        <w:adjustRightInd/>
        <w:snapToGrid/>
        <w:spacing w:line="576" w:lineRule="exact"/>
        <w:ind w:left="479" w:leftChars="228"/>
        <w:textAlignment w:val="auto"/>
        <w:outlineLvl w:val="1"/>
        <w:rPr>
          <w:rFonts w:hint="default" w:ascii="Times New Roman" w:hAnsi="Times New Roman" w:eastAsia="方正仿宋_GBK" w:cs="Times New Roman"/>
          <w:sz w:val="33"/>
          <w:szCs w:val="33"/>
        </w:rPr>
      </w:pPr>
      <w:bookmarkStart w:id="226" w:name="_Toc30627"/>
      <w:r>
        <w:rPr>
          <w:rFonts w:hint="default" w:ascii="Times New Roman" w:hAnsi="Times New Roman" w:eastAsia="方正仿宋_GBK" w:cs="Times New Roman"/>
          <w:sz w:val="33"/>
          <w:szCs w:val="33"/>
        </w:rPr>
        <w:t>在项目资金管理上，红果乡项目资金均严格按照国家法律法规执行，转款专用。按照具体财政要求，财务均由财政所统一进行核算。</w:t>
      </w:r>
      <w:bookmarkEnd w:id="226"/>
    </w:p>
    <w:p w14:paraId="7C46A1E7">
      <w:pPr>
        <w:pageBreakBefore w:val="0"/>
        <w:widowControl/>
        <w:kinsoku/>
        <w:wordWrap/>
        <w:overflowPunct/>
        <w:topLinePunct w:val="0"/>
        <w:autoSpaceDE/>
        <w:autoSpaceDN/>
        <w:bidi w:val="0"/>
        <w:adjustRightInd/>
        <w:snapToGrid/>
        <w:spacing w:line="576" w:lineRule="exact"/>
        <w:jc w:val="left"/>
        <w:textAlignment w:val="auto"/>
        <w:rPr>
          <w:rStyle w:val="29"/>
          <w:rFonts w:hint="default" w:ascii="Times New Roman" w:hAnsi="Times New Roman" w:eastAsia="方正仿宋_GBK" w:cs="Times New Roman"/>
          <w:b w:val="0"/>
          <w:sz w:val="33"/>
          <w:szCs w:val="33"/>
        </w:rPr>
      </w:pPr>
    </w:p>
    <w:p w14:paraId="264456E5">
      <w:pPr>
        <w:pageBreakBefore w:val="0"/>
        <w:kinsoku/>
        <w:wordWrap/>
        <w:overflowPunct/>
        <w:topLinePunct w:val="0"/>
        <w:autoSpaceDE/>
        <w:autoSpaceDN/>
        <w:bidi w:val="0"/>
        <w:adjustRightInd/>
        <w:snapToGrid/>
        <w:spacing w:line="576" w:lineRule="exact"/>
        <w:jc w:val="center"/>
        <w:textAlignment w:val="auto"/>
        <w:outlineLvl w:val="9"/>
        <w:rPr>
          <w:rStyle w:val="29"/>
          <w:rFonts w:hint="default" w:ascii="Times New Roman" w:hAnsi="Times New Roman" w:eastAsia="方正仿宋_GBK" w:cs="Times New Roman"/>
          <w:b w:val="0"/>
          <w:sz w:val="33"/>
          <w:szCs w:val="33"/>
        </w:rPr>
      </w:pPr>
    </w:p>
    <w:p w14:paraId="599FCA3F">
      <w:pPr>
        <w:spacing w:line="600" w:lineRule="exact"/>
        <w:jc w:val="center"/>
        <w:outlineLvl w:val="9"/>
        <w:rPr>
          <w:rFonts w:hint="default" w:ascii="Times New Roman" w:hAnsi="Times New Roman" w:eastAsia="方正仿宋_GBK" w:cs="Times New Roman"/>
          <w:color w:val="000000"/>
          <w:sz w:val="33"/>
          <w:szCs w:val="33"/>
        </w:rPr>
      </w:pPr>
      <w:bookmarkStart w:id="227" w:name="_Toc15396618"/>
      <w:bookmarkStart w:id="228" w:name="_Toc52180099"/>
    </w:p>
    <w:p w14:paraId="2480BAF0">
      <w:pPr>
        <w:spacing w:line="600" w:lineRule="exact"/>
        <w:jc w:val="center"/>
        <w:outlineLvl w:val="9"/>
        <w:rPr>
          <w:rFonts w:hint="default" w:ascii="Times New Roman" w:hAnsi="Times New Roman" w:eastAsia="方正仿宋_GBK" w:cs="Times New Roman"/>
          <w:color w:val="000000"/>
          <w:sz w:val="33"/>
          <w:szCs w:val="33"/>
        </w:rPr>
      </w:pPr>
    </w:p>
    <w:p w14:paraId="6A051858">
      <w:pPr>
        <w:spacing w:line="600" w:lineRule="exact"/>
        <w:jc w:val="center"/>
        <w:outlineLvl w:val="9"/>
        <w:rPr>
          <w:rFonts w:hint="default" w:ascii="Times New Roman" w:hAnsi="Times New Roman" w:eastAsia="方正仿宋_GBK" w:cs="Times New Roman"/>
          <w:color w:val="000000"/>
          <w:sz w:val="33"/>
          <w:szCs w:val="33"/>
        </w:rPr>
      </w:pPr>
    </w:p>
    <w:p w14:paraId="6A910F64">
      <w:pPr>
        <w:spacing w:line="600" w:lineRule="exact"/>
        <w:outlineLvl w:val="9"/>
        <w:rPr>
          <w:rFonts w:hint="default" w:ascii="Times New Roman" w:hAnsi="Times New Roman" w:eastAsia="方正仿宋_GBK" w:cs="Times New Roman"/>
          <w:color w:val="000000"/>
          <w:sz w:val="33"/>
          <w:szCs w:val="33"/>
        </w:rPr>
      </w:pPr>
    </w:p>
    <w:p w14:paraId="423741A5">
      <w:pPr>
        <w:pStyle w:val="2"/>
        <w:jc w:val="center"/>
        <w:rPr>
          <w:rFonts w:hint="eastAsia" w:ascii="方正小标宋_GBK" w:hAnsi="方正小标宋_GBK" w:eastAsia="方正小标宋_GBK" w:cs="方正小标宋_GBK"/>
        </w:rPr>
      </w:pPr>
      <w:bookmarkStart w:id="229" w:name="_Toc9812"/>
      <w:r>
        <w:rPr>
          <w:rFonts w:hint="eastAsia" w:ascii="方正小标宋_GBK" w:hAnsi="方正小标宋_GBK" w:eastAsia="方正小标宋_GBK" w:cs="方正小标宋_GBK"/>
          <w:color w:val="000000"/>
        </w:rPr>
        <w:t>第</w:t>
      </w:r>
      <w:r>
        <w:rPr>
          <w:rFonts w:hint="eastAsia" w:ascii="方正小标宋_GBK" w:hAnsi="方正小标宋_GBK" w:eastAsia="方正小标宋_GBK" w:cs="方正小标宋_GBK"/>
        </w:rPr>
        <w:t>五部分 附表</w:t>
      </w:r>
      <w:bookmarkEnd w:id="198"/>
      <w:bookmarkEnd w:id="227"/>
      <w:bookmarkEnd w:id="228"/>
      <w:bookmarkEnd w:id="229"/>
    </w:p>
    <w:p w14:paraId="6F5DD96D">
      <w:pPr>
        <w:pStyle w:val="3"/>
        <w:rPr>
          <w:rFonts w:hint="default" w:ascii="Times New Roman" w:hAnsi="Times New Roman" w:eastAsia="方正仿宋_GBK" w:cs="Times New Roman"/>
          <w:sz w:val="33"/>
          <w:szCs w:val="33"/>
        </w:rPr>
      </w:pPr>
      <w:bookmarkStart w:id="230" w:name="_Toc15396619"/>
      <w:bookmarkStart w:id="231" w:name="_Toc52180100"/>
      <w:bookmarkStart w:id="232" w:name="_Toc8294"/>
      <w:r>
        <w:rPr>
          <w:rFonts w:hint="default" w:ascii="Times New Roman" w:hAnsi="Times New Roman" w:eastAsia="方正仿宋_GBK" w:cs="Times New Roman"/>
          <w:sz w:val="33"/>
          <w:szCs w:val="33"/>
        </w:rPr>
        <w:t>一、收入支出决算总表</w:t>
      </w:r>
      <w:bookmarkEnd w:id="230"/>
      <w:bookmarkEnd w:id="231"/>
      <w:bookmarkEnd w:id="232"/>
    </w:p>
    <w:p w14:paraId="151AEDC4">
      <w:pPr>
        <w:pStyle w:val="3"/>
        <w:rPr>
          <w:rFonts w:hint="default" w:ascii="Times New Roman" w:hAnsi="Times New Roman" w:eastAsia="方正仿宋_GBK" w:cs="Times New Roman"/>
          <w:sz w:val="33"/>
          <w:szCs w:val="33"/>
        </w:rPr>
      </w:pPr>
      <w:bookmarkStart w:id="233" w:name="_Toc15396620"/>
      <w:bookmarkStart w:id="234" w:name="_Toc52180101"/>
      <w:bookmarkStart w:id="235" w:name="_Toc22960"/>
      <w:r>
        <w:rPr>
          <w:rFonts w:hint="default" w:ascii="Times New Roman" w:hAnsi="Times New Roman" w:eastAsia="方正仿宋_GBK" w:cs="Times New Roman"/>
          <w:sz w:val="33"/>
          <w:szCs w:val="33"/>
        </w:rPr>
        <w:t>二、收入决算表</w:t>
      </w:r>
      <w:bookmarkEnd w:id="233"/>
      <w:bookmarkEnd w:id="234"/>
      <w:bookmarkEnd w:id="235"/>
    </w:p>
    <w:p w14:paraId="66B26CA1">
      <w:pPr>
        <w:pStyle w:val="3"/>
        <w:rPr>
          <w:rFonts w:hint="default" w:ascii="Times New Roman" w:hAnsi="Times New Roman" w:eastAsia="方正仿宋_GBK" w:cs="Times New Roman"/>
          <w:sz w:val="33"/>
          <w:szCs w:val="33"/>
        </w:rPr>
      </w:pPr>
      <w:bookmarkStart w:id="236" w:name="_Toc52180102"/>
      <w:bookmarkStart w:id="237" w:name="_Toc15396621"/>
      <w:bookmarkStart w:id="238" w:name="_Toc18820"/>
      <w:r>
        <w:rPr>
          <w:rFonts w:hint="default" w:ascii="Times New Roman" w:hAnsi="Times New Roman" w:eastAsia="方正仿宋_GBK" w:cs="Times New Roman"/>
          <w:sz w:val="33"/>
          <w:szCs w:val="33"/>
        </w:rPr>
        <w:t>三、支出决算表</w:t>
      </w:r>
      <w:bookmarkEnd w:id="236"/>
      <w:bookmarkEnd w:id="237"/>
      <w:bookmarkEnd w:id="238"/>
    </w:p>
    <w:p w14:paraId="1DE4CFE1">
      <w:pPr>
        <w:pStyle w:val="3"/>
        <w:rPr>
          <w:rFonts w:hint="default" w:ascii="Times New Roman" w:hAnsi="Times New Roman" w:eastAsia="方正仿宋_GBK" w:cs="Times New Roman"/>
          <w:sz w:val="33"/>
          <w:szCs w:val="33"/>
        </w:rPr>
      </w:pPr>
      <w:bookmarkStart w:id="239" w:name="_Toc52180103"/>
      <w:bookmarkStart w:id="240" w:name="_Toc15396622"/>
      <w:bookmarkStart w:id="241" w:name="_Toc12383"/>
      <w:r>
        <w:rPr>
          <w:rFonts w:hint="default" w:ascii="Times New Roman" w:hAnsi="Times New Roman" w:eastAsia="方正仿宋_GBK" w:cs="Times New Roman"/>
          <w:sz w:val="33"/>
          <w:szCs w:val="33"/>
        </w:rPr>
        <w:t>四、财政拨款收入支出决算总表</w:t>
      </w:r>
      <w:bookmarkEnd w:id="239"/>
      <w:bookmarkEnd w:id="240"/>
      <w:bookmarkEnd w:id="241"/>
    </w:p>
    <w:p w14:paraId="0040C5DF">
      <w:pPr>
        <w:pStyle w:val="3"/>
        <w:rPr>
          <w:rFonts w:hint="default" w:ascii="Times New Roman" w:hAnsi="Times New Roman" w:eastAsia="方正仿宋_GBK" w:cs="Times New Roman"/>
          <w:sz w:val="33"/>
          <w:szCs w:val="33"/>
        </w:rPr>
      </w:pPr>
      <w:bookmarkStart w:id="242" w:name="_Toc15396623"/>
      <w:bookmarkStart w:id="243" w:name="_Toc52180104"/>
      <w:bookmarkStart w:id="244" w:name="_Toc31870"/>
      <w:r>
        <w:rPr>
          <w:rFonts w:hint="default" w:ascii="Times New Roman" w:hAnsi="Times New Roman" w:eastAsia="方正仿宋_GBK" w:cs="Times New Roman"/>
          <w:sz w:val="33"/>
          <w:szCs w:val="33"/>
        </w:rPr>
        <w:t>五、财政拨款支出决算明细表</w:t>
      </w:r>
      <w:bookmarkEnd w:id="242"/>
      <w:bookmarkEnd w:id="243"/>
      <w:bookmarkEnd w:id="244"/>
      <w:bookmarkStart w:id="245" w:name="_Toc15396624"/>
    </w:p>
    <w:p w14:paraId="2855ED78">
      <w:pPr>
        <w:pStyle w:val="3"/>
        <w:rPr>
          <w:rFonts w:hint="default" w:ascii="Times New Roman" w:hAnsi="Times New Roman" w:eastAsia="方正仿宋_GBK" w:cs="Times New Roman"/>
          <w:sz w:val="33"/>
          <w:szCs w:val="33"/>
        </w:rPr>
      </w:pPr>
      <w:bookmarkStart w:id="246" w:name="_Toc27391"/>
      <w:bookmarkStart w:id="247" w:name="_Toc52180105"/>
      <w:r>
        <w:rPr>
          <w:rFonts w:hint="default" w:ascii="Times New Roman" w:hAnsi="Times New Roman" w:eastAsia="方正仿宋_GBK" w:cs="Times New Roman"/>
          <w:sz w:val="33"/>
          <w:szCs w:val="33"/>
        </w:rPr>
        <w:t>六、一般公共预算财政拨款支出决算表</w:t>
      </w:r>
      <w:bookmarkEnd w:id="245"/>
      <w:bookmarkEnd w:id="246"/>
      <w:bookmarkEnd w:id="247"/>
    </w:p>
    <w:p w14:paraId="250EA240">
      <w:pPr>
        <w:pStyle w:val="3"/>
        <w:rPr>
          <w:rFonts w:hint="default" w:ascii="Times New Roman" w:hAnsi="Times New Roman" w:eastAsia="方正仿宋_GBK" w:cs="Times New Roman"/>
          <w:sz w:val="33"/>
          <w:szCs w:val="33"/>
        </w:rPr>
      </w:pPr>
      <w:bookmarkStart w:id="248" w:name="_Toc15396625"/>
      <w:bookmarkStart w:id="249" w:name="_Toc52180106"/>
      <w:bookmarkStart w:id="250" w:name="_Toc26640"/>
      <w:r>
        <w:rPr>
          <w:rFonts w:hint="default" w:ascii="Times New Roman" w:hAnsi="Times New Roman" w:eastAsia="方正仿宋_GBK" w:cs="Times New Roman"/>
          <w:sz w:val="33"/>
          <w:szCs w:val="33"/>
        </w:rPr>
        <w:t>七、一般公共预算财政拨款支出决算明细表</w:t>
      </w:r>
      <w:bookmarkEnd w:id="248"/>
      <w:bookmarkEnd w:id="249"/>
      <w:bookmarkEnd w:id="250"/>
    </w:p>
    <w:p w14:paraId="4D69508A">
      <w:pPr>
        <w:pStyle w:val="3"/>
        <w:rPr>
          <w:rFonts w:hint="default" w:ascii="Times New Roman" w:hAnsi="Times New Roman" w:eastAsia="方正仿宋_GBK" w:cs="Times New Roman"/>
          <w:sz w:val="33"/>
          <w:szCs w:val="33"/>
        </w:rPr>
      </w:pPr>
      <w:bookmarkStart w:id="251" w:name="_Toc52180107"/>
      <w:bookmarkStart w:id="252" w:name="_Toc15396626"/>
      <w:bookmarkStart w:id="253" w:name="_Toc5007"/>
      <w:r>
        <w:rPr>
          <w:rFonts w:hint="default" w:ascii="Times New Roman" w:hAnsi="Times New Roman" w:eastAsia="方正仿宋_GBK" w:cs="Times New Roman"/>
          <w:sz w:val="33"/>
          <w:szCs w:val="33"/>
        </w:rPr>
        <w:t>八、一般公共预算财政拨款基本支出决算表</w:t>
      </w:r>
      <w:bookmarkEnd w:id="251"/>
      <w:bookmarkEnd w:id="252"/>
      <w:bookmarkEnd w:id="253"/>
    </w:p>
    <w:p w14:paraId="50133130">
      <w:pPr>
        <w:pStyle w:val="3"/>
        <w:rPr>
          <w:rFonts w:hint="default" w:ascii="Times New Roman" w:hAnsi="Times New Roman" w:eastAsia="方正仿宋_GBK" w:cs="Times New Roman"/>
          <w:sz w:val="33"/>
          <w:szCs w:val="33"/>
        </w:rPr>
      </w:pPr>
      <w:bookmarkStart w:id="254" w:name="_Toc29610"/>
      <w:bookmarkStart w:id="255" w:name="_Toc15396627"/>
      <w:bookmarkStart w:id="256" w:name="_Toc52180108"/>
      <w:r>
        <w:rPr>
          <w:rFonts w:hint="default" w:ascii="Times New Roman" w:hAnsi="Times New Roman" w:eastAsia="方正仿宋_GBK" w:cs="Times New Roman"/>
          <w:sz w:val="33"/>
          <w:szCs w:val="33"/>
        </w:rPr>
        <w:t>九、一般公共预算财政拨款项目支出决算表</w:t>
      </w:r>
      <w:bookmarkEnd w:id="254"/>
      <w:bookmarkEnd w:id="255"/>
      <w:bookmarkEnd w:id="256"/>
    </w:p>
    <w:p w14:paraId="22D7F365">
      <w:pPr>
        <w:pStyle w:val="3"/>
        <w:rPr>
          <w:rFonts w:hint="default" w:ascii="Times New Roman" w:hAnsi="Times New Roman" w:eastAsia="方正仿宋_GBK" w:cs="Times New Roman"/>
          <w:sz w:val="33"/>
          <w:szCs w:val="33"/>
        </w:rPr>
      </w:pPr>
      <w:bookmarkStart w:id="257" w:name="_Toc15396628"/>
      <w:bookmarkStart w:id="258" w:name="_Toc52180109"/>
      <w:bookmarkStart w:id="259" w:name="_Toc2948"/>
      <w:r>
        <w:rPr>
          <w:rFonts w:hint="default" w:ascii="Times New Roman" w:hAnsi="Times New Roman" w:eastAsia="方正仿宋_GBK" w:cs="Times New Roman"/>
          <w:sz w:val="33"/>
          <w:szCs w:val="33"/>
        </w:rPr>
        <w:t>十、一般公共预算财政拨款“三公”经费支出决算表</w:t>
      </w:r>
      <w:bookmarkEnd w:id="257"/>
      <w:bookmarkEnd w:id="258"/>
      <w:bookmarkEnd w:id="259"/>
    </w:p>
    <w:p w14:paraId="7B358535">
      <w:pPr>
        <w:pStyle w:val="3"/>
        <w:rPr>
          <w:rFonts w:hint="default" w:ascii="Times New Roman" w:hAnsi="Times New Roman" w:eastAsia="方正仿宋_GBK" w:cs="Times New Roman"/>
          <w:sz w:val="33"/>
          <w:szCs w:val="33"/>
        </w:rPr>
      </w:pPr>
      <w:bookmarkStart w:id="260" w:name="_Toc15396629"/>
      <w:bookmarkStart w:id="261" w:name="_Toc52180110"/>
      <w:bookmarkStart w:id="262" w:name="_Toc15270"/>
      <w:r>
        <w:rPr>
          <w:rFonts w:hint="default" w:ascii="Times New Roman" w:hAnsi="Times New Roman" w:eastAsia="方正仿宋_GBK" w:cs="Times New Roman"/>
          <w:sz w:val="33"/>
          <w:szCs w:val="33"/>
        </w:rPr>
        <w:t>十一、政府性基金预算财政拨款收入支出决算表</w:t>
      </w:r>
      <w:bookmarkEnd w:id="260"/>
      <w:bookmarkEnd w:id="261"/>
      <w:bookmarkEnd w:id="262"/>
    </w:p>
    <w:p w14:paraId="2F378AA6">
      <w:pPr>
        <w:pStyle w:val="3"/>
        <w:rPr>
          <w:rFonts w:hint="default" w:ascii="Times New Roman" w:hAnsi="Times New Roman" w:eastAsia="方正仿宋_GBK" w:cs="Times New Roman"/>
          <w:sz w:val="33"/>
          <w:szCs w:val="33"/>
        </w:rPr>
      </w:pPr>
      <w:bookmarkStart w:id="263" w:name="_Toc9119"/>
      <w:bookmarkStart w:id="264" w:name="_Toc52180111"/>
      <w:bookmarkStart w:id="265" w:name="_Toc15396630"/>
      <w:r>
        <w:rPr>
          <w:rFonts w:hint="default" w:ascii="Times New Roman" w:hAnsi="Times New Roman" w:eastAsia="方正仿宋_GBK" w:cs="Times New Roman"/>
          <w:sz w:val="33"/>
          <w:szCs w:val="33"/>
        </w:rPr>
        <w:t>十二、政府性基金预算财政拨款“三公”经费支出决算表</w:t>
      </w:r>
      <w:bookmarkEnd w:id="263"/>
      <w:bookmarkEnd w:id="264"/>
      <w:bookmarkEnd w:id="265"/>
    </w:p>
    <w:p w14:paraId="611DFCBE">
      <w:pPr>
        <w:pStyle w:val="3"/>
        <w:rPr>
          <w:rFonts w:hint="default" w:ascii="Times New Roman" w:hAnsi="Times New Roman" w:eastAsia="方正仿宋_GBK" w:cs="Times New Roman"/>
          <w:sz w:val="33"/>
          <w:szCs w:val="33"/>
        </w:rPr>
      </w:pPr>
      <w:bookmarkStart w:id="266" w:name="_Toc15396631"/>
      <w:bookmarkStart w:id="267" w:name="_Toc9294"/>
      <w:bookmarkStart w:id="268" w:name="_Toc52180112"/>
      <w:r>
        <w:rPr>
          <w:rFonts w:hint="default" w:ascii="Times New Roman" w:hAnsi="Times New Roman" w:eastAsia="方正仿宋_GBK" w:cs="Times New Roman"/>
          <w:sz w:val="33"/>
          <w:szCs w:val="33"/>
        </w:rPr>
        <w:t>十三、国有资本经营预算支出决算表</w:t>
      </w:r>
      <w:bookmarkEnd w:id="266"/>
      <w:bookmarkEnd w:id="267"/>
      <w:bookmarkEnd w:id="268"/>
    </w:p>
    <w:sectPr>
      <w:footerReference r:id="rId9" w:type="first"/>
      <w:footerReference r:id="rId8"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4ED2E">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7C3F528">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AJUn0TTAQAApgMAAA4AAAAAAAAAAQAgAAAA&#10;IgEAAGRycy9lMm9Eb2MueG1sUEsFBgAAAAAGAAYAWQEAAGcFAAAAAA==&#10;">
              <v:fill on="f" focussize="0,0"/>
              <v:stroke on="f" weight="1.25pt"/>
              <v:imagedata o:title=""/>
              <o:lock v:ext="edit" aspectratio="f"/>
              <v:textbox inset="0mm,0mm,0mm,0mm" style="mso-fit-shape-to-text:t;">
                <w:txbxContent>
                  <w:p w14:paraId="27C3F528">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D04B5">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2174AC4">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BFr0hv1AEAAKYDAAAOAAAAAAAAAAEAIAAA&#10;ACIBAABkcnMvZTJvRG9jLnhtbFBLBQYAAAAABgAGAFkBAABoBQAAAAA=&#10;">
              <v:fill on="f" focussize="0,0"/>
              <v:stroke on="f" weight="1.25pt"/>
              <v:imagedata o:title=""/>
              <o:lock v:ext="edit" aspectratio="f"/>
              <v:textbox inset="0mm,0mm,0mm,0mm" style="mso-fit-shape-to-text:t;">
                <w:txbxContent>
                  <w:p w14:paraId="62174AC4">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14916">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ED541DB">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tCaFzUAQAApg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ixXVVKo91Bj4r3H1Di8dwPuzXwPeJmIDzKY9EVKBOOo7/mqrxgi4elRtaqqEkMcY7OD+MXj&#10;cx8gfhDOkGQ0NOAAs67s9AnimDqnpGrW3Smt8xC1JT2irqt36/ziGkJ0bbFIYjF2m6w47IeJ2t61&#10;Z2TW4xY01OLSU6I/WhQ5LcxshNnYz8bRB3Xo8kalVsDfHiO2k7tMFUbYqTCOL/OcVi3tx79+znr8&#10;vb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7Qmhc1AEAAKYDAAAOAAAAAAAAAAEAIAAA&#10;ACIBAABkcnMvZTJvRG9jLnhtbFBLBQYAAAAABgAGAFkBAABoBQAAAAA=&#10;">
              <v:fill on="f" focussize="0,0"/>
              <v:stroke on="f" weight="1.25pt"/>
              <v:imagedata o:title=""/>
              <o:lock v:ext="edit" aspectratio="f"/>
              <v:textbox inset="0mm,0mm,0mm,0mm" style="mso-fit-shape-to-text:t;">
                <w:txbxContent>
                  <w:p w14:paraId="4ED541DB">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rFonts w:hint="eastAsia"/>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5DF6F">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07F2FB1">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fZIxM1AEAAKYDAAAOAAAAAAAAAAEAIAAA&#10;ACIBAABkcnMvZTJvRG9jLnhtbFBLBQYAAAAABgAGAFkBAABoBQAAAAA=&#10;">
              <v:fill on="f" focussize="0,0"/>
              <v:stroke on="f" weight="1.25pt"/>
              <v:imagedata o:title=""/>
              <o:lock v:ext="edit" aspectratio="f"/>
              <v:textbox inset="0mm,0mm,0mm,0mm" style="mso-fit-shape-to-text:t;">
                <w:txbxContent>
                  <w:p w14:paraId="707F2FB1">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1907E">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8F98CBB">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LMO+LPTAQAApgMAAA4AAAAAAAAAAQAgAAAA&#10;IgEAAGRycy9lMm9Eb2MueG1sUEsFBgAAAAAGAAYAWQEAAGcFAAAAAA==&#10;">
              <v:fill on="f" focussize="0,0"/>
              <v:stroke on="f" weight="1.25pt"/>
              <v:imagedata o:title=""/>
              <o:lock v:ext="edit" aspectratio="f"/>
              <v:textbox inset="0mm,0mm,0mm,0mm" style="mso-fit-shape-to-text:t;">
                <w:txbxContent>
                  <w:p w14:paraId="48F98CBB">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BC8A0">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DC2DC89">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56fXz1AEAAKYDAAAOAAAAAAAAAAEAIAAA&#10;ACIBAABkcnMvZTJvRG9jLnhtbFBLBQYAAAAABgAGAFkBAABoBQAAAAA=&#10;">
              <v:fill on="f" focussize="0,0"/>
              <v:stroke on="f" weight="1.25pt"/>
              <v:imagedata o:title=""/>
              <o:lock v:ext="edit" aspectratio="f"/>
              <v:textbox inset="0mm,0mm,0mm,0mm" style="mso-fit-shape-to-text:t;">
                <w:txbxContent>
                  <w:p w14:paraId="5DC2DC89">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264E4">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FB9"/>
    <w:rsid w:val="00016998"/>
    <w:rsid w:val="00092AD3"/>
    <w:rsid w:val="00115965"/>
    <w:rsid w:val="00140A5C"/>
    <w:rsid w:val="0015541E"/>
    <w:rsid w:val="001D40B0"/>
    <w:rsid w:val="0025662B"/>
    <w:rsid w:val="00265C0B"/>
    <w:rsid w:val="00271FEF"/>
    <w:rsid w:val="002A6F42"/>
    <w:rsid w:val="00330A22"/>
    <w:rsid w:val="00384BF8"/>
    <w:rsid w:val="00402033"/>
    <w:rsid w:val="0045479F"/>
    <w:rsid w:val="00483FB9"/>
    <w:rsid w:val="004B0C67"/>
    <w:rsid w:val="00536B0E"/>
    <w:rsid w:val="005406E3"/>
    <w:rsid w:val="00652B6C"/>
    <w:rsid w:val="006A2567"/>
    <w:rsid w:val="006C28F0"/>
    <w:rsid w:val="00725122"/>
    <w:rsid w:val="0074712F"/>
    <w:rsid w:val="00766664"/>
    <w:rsid w:val="00797124"/>
    <w:rsid w:val="008F1163"/>
    <w:rsid w:val="008F1499"/>
    <w:rsid w:val="00A02F26"/>
    <w:rsid w:val="00B85F0E"/>
    <w:rsid w:val="00BB6F41"/>
    <w:rsid w:val="00BF62D6"/>
    <w:rsid w:val="00BF6D48"/>
    <w:rsid w:val="00CB0E1C"/>
    <w:rsid w:val="00CD4450"/>
    <w:rsid w:val="00D12648"/>
    <w:rsid w:val="00E16422"/>
    <w:rsid w:val="00E2654A"/>
    <w:rsid w:val="00E36B48"/>
    <w:rsid w:val="00E449EB"/>
    <w:rsid w:val="00ED75F1"/>
    <w:rsid w:val="00EE7BC8"/>
    <w:rsid w:val="00F04A56"/>
    <w:rsid w:val="00F43F1E"/>
    <w:rsid w:val="00F83922"/>
    <w:rsid w:val="083F7EBE"/>
    <w:rsid w:val="16A74C55"/>
    <w:rsid w:val="25A235F8"/>
    <w:rsid w:val="274F72C1"/>
    <w:rsid w:val="47AC6551"/>
    <w:rsid w:val="47D26E7B"/>
    <w:rsid w:val="F1ED9164"/>
    <w:rsid w:val="F1FFEEFB"/>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99"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99" w:semiHidden="0" w:name="Strong"/>
    <w:lsdException w:qFormat="1" w:unhideWhenUsed="0" w:uiPriority="20" w:semiHidden="0" w:name="Emphasis"/>
    <w:lsdException w:uiPriority="0" w:name="Document Map"/>
    <w:lsdException w:qFormat="1"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Cambria" w:hAnsi="Cambria" w:cs="黑体"/>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4"/>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35"/>
    <w:unhideWhenUsed/>
    <w:qFormat/>
    <w:uiPriority w:val="9"/>
    <w:pPr>
      <w:keepNext/>
      <w:keepLines/>
      <w:spacing w:before="280" w:after="290" w:line="376" w:lineRule="auto"/>
      <w:outlineLvl w:val="4"/>
    </w:pPr>
    <w:rPr>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28"/>
    <w:qFormat/>
    <w:uiPriority w:val="99"/>
    <w:pPr>
      <w:spacing w:beforeLines="30"/>
    </w:pPr>
    <w:rPr>
      <w:rFonts w:ascii="仿宋_GB2312" w:eastAsia="仿宋_GB2312"/>
      <w:kern w:val="0"/>
      <w:sz w:val="24"/>
      <w:szCs w:val="20"/>
    </w:rPr>
  </w:style>
  <w:style w:type="paragraph" w:styleId="8">
    <w:name w:val="toc 3"/>
    <w:basedOn w:val="1"/>
    <w:next w:val="1"/>
    <w:unhideWhenUsed/>
    <w:qFormat/>
    <w:uiPriority w:val="39"/>
    <w:pPr>
      <w:tabs>
        <w:tab w:val="right" w:leader="dot" w:pos="8296"/>
      </w:tabs>
      <w:ind w:left="840" w:leftChars="400"/>
    </w:pPr>
  </w:style>
  <w:style w:type="paragraph" w:styleId="9">
    <w:name w:val="Plain Text"/>
    <w:semiHidden/>
    <w:unhideWhenUsed/>
    <w:qFormat/>
    <w:uiPriority w:val="0"/>
    <w:rPr>
      <w:rFonts w:ascii="宋体" w:hAnsi="Courier New" w:eastAsia="宋体" w:cs="Calibri"/>
      <w:lang w:val="en-US" w:eastAsia="zh-CN" w:bidi="ar-SA"/>
    </w:rPr>
  </w:style>
  <w:style w:type="paragraph" w:styleId="10">
    <w:name w:val="Balloon Text"/>
    <w:basedOn w:val="1"/>
    <w:link w:val="31"/>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20"/>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u w:val="single"/>
    </w:rPr>
  </w:style>
  <w:style w:type="paragraph" w:customStyle="1" w:styleId="1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TOC 标题1"/>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22">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character" w:customStyle="1" w:styleId="23">
    <w:name w:val="Header Char"/>
    <w:basedOn w:val="16"/>
    <w:semiHidden/>
    <w:qFormat/>
    <w:uiPriority w:val="99"/>
    <w:rPr>
      <w:rFonts w:ascii="Times New Roman" w:hAnsi="Times New Roman"/>
      <w:sz w:val="18"/>
      <w:szCs w:val="18"/>
    </w:rPr>
  </w:style>
  <w:style w:type="character" w:customStyle="1" w:styleId="24">
    <w:name w:val="页眉 Char"/>
    <w:link w:val="12"/>
    <w:semiHidden/>
    <w:qFormat/>
    <w:locked/>
    <w:uiPriority w:val="99"/>
    <w:rPr>
      <w:sz w:val="18"/>
    </w:rPr>
  </w:style>
  <w:style w:type="character" w:customStyle="1" w:styleId="25">
    <w:name w:val="Footer Char"/>
    <w:basedOn w:val="16"/>
    <w:semiHidden/>
    <w:qFormat/>
    <w:uiPriority w:val="99"/>
    <w:rPr>
      <w:rFonts w:ascii="Times New Roman" w:hAnsi="Times New Roman"/>
      <w:sz w:val="18"/>
      <w:szCs w:val="18"/>
    </w:rPr>
  </w:style>
  <w:style w:type="character" w:customStyle="1" w:styleId="26">
    <w:name w:val="页脚 Char"/>
    <w:link w:val="11"/>
    <w:qFormat/>
    <w:locked/>
    <w:uiPriority w:val="99"/>
    <w:rPr>
      <w:sz w:val="18"/>
    </w:rPr>
  </w:style>
  <w:style w:type="character" w:customStyle="1" w:styleId="27">
    <w:name w:val="Body Text Char"/>
    <w:basedOn w:val="16"/>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character" w:customStyle="1" w:styleId="29">
    <w:name w:val="标题 1 Char"/>
    <w:basedOn w:val="16"/>
    <w:link w:val="2"/>
    <w:qFormat/>
    <w:uiPriority w:val="9"/>
    <w:rPr>
      <w:rFonts w:ascii="Times New Roman" w:hAnsi="Times New Roman"/>
      <w:b/>
      <w:bCs/>
      <w:kern w:val="44"/>
      <w:sz w:val="44"/>
      <w:szCs w:val="44"/>
    </w:rPr>
  </w:style>
  <w:style w:type="character" w:customStyle="1" w:styleId="30">
    <w:name w:val="标题 2 Char"/>
    <w:basedOn w:val="16"/>
    <w:link w:val="3"/>
    <w:qFormat/>
    <w:uiPriority w:val="9"/>
    <w:rPr>
      <w:rFonts w:ascii="Cambria" w:hAnsi="Cambria" w:eastAsia="宋体" w:cs="黑体"/>
      <w:b/>
      <w:bCs/>
      <w:kern w:val="2"/>
      <w:sz w:val="32"/>
      <w:szCs w:val="32"/>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character" w:customStyle="1" w:styleId="33">
    <w:name w:val="NormalCharacter"/>
    <w:qFormat/>
    <w:uiPriority w:val="99"/>
    <w:rPr>
      <w:rFonts w:ascii="Times New Roman" w:hAnsi="Times New Roman" w:eastAsia="宋体"/>
    </w:rPr>
  </w:style>
  <w:style w:type="character" w:customStyle="1" w:styleId="34">
    <w:name w:val="标题 4 Char"/>
    <w:basedOn w:val="16"/>
    <w:link w:val="5"/>
    <w:qFormat/>
    <w:uiPriority w:val="9"/>
    <w:rPr>
      <w:rFonts w:ascii="Cambria" w:hAnsi="Cambria" w:eastAsia="宋体" w:cs="Times New Roman"/>
      <w:b/>
      <w:bCs/>
      <w:kern w:val="2"/>
      <w:sz w:val="28"/>
      <w:szCs w:val="28"/>
    </w:rPr>
  </w:style>
  <w:style w:type="character" w:customStyle="1" w:styleId="35">
    <w:name w:val="标题 5 Char"/>
    <w:basedOn w:val="16"/>
    <w:link w:val="6"/>
    <w:qFormat/>
    <w:uiPriority w:val="9"/>
    <w:rPr>
      <w:rFonts w:ascii="Times New Roman" w:hAnsi="Times New Roman" w:cs="Times New Roman"/>
      <w:b/>
      <w:bCs/>
      <w:kern w:val="2"/>
      <w:sz w:val="28"/>
      <w:szCs w:val="28"/>
    </w:rPr>
  </w:style>
  <w:style w:type="paragraph" w:customStyle="1" w:styleId="36">
    <w:name w:val="WPSOffice手动目录 1"/>
    <w:qFormat/>
    <w:uiPriority w:val="0"/>
    <w:pPr>
      <w:ind w:leftChars="0"/>
    </w:pPr>
    <w:rPr>
      <w:rFonts w:ascii="Calibri" w:hAnsi="Calibri" w:eastAsia="宋体" w:cs="Calibri"/>
      <w:sz w:val="20"/>
      <w:szCs w:val="20"/>
    </w:rPr>
  </w:style>
  <w:style w:type="paragraph" w:customStyle="1" w:styleId="37">
    <w:name w:val="WPSOffice手动目录 2"/>
    <w:qFormat/>
    <w:uiPriority w:val="0"/>
    <w:pPr>
      <w:ind w:leftChars="200"/>
    </w:pPr>
    <w:rPr>
      <w:rFonts w:ascii="Calibri" w:hAnsi="Calibri" w:eastAsia="宋体" w:cs="Calibri"/>
      <w:sz w:val="20"/>
      <w:szCs w:val="20"/>
    </w:rPr>
  </w:style>
  <w:style w:type="paragraph" w:customStyle="1" w:styleId="38">
    <w:name w:val="WPSOffice手动目录 3"/>
    <w:uiPriority w:val="0"/>
    <w:pPr>
      <w:ind w:leftChars="400"/>
    </w:pPr>
    <w:rPr>
      <w:rFonts w:ascii="Calibri" w:hAnsi="Calibri" w:eastAsia="宋体" w:cs="Calibr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639D57-D6D3-4EC9-8D56-EE33390D60A3}">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42</Pages>
  <Words>2639</Words>
  <Characters>15047</Characters>
  <Lines>125</Lines>
  <Paragraphs>35</Paragraphs>
  <TotalTime>16</TotalTime>
  <ScaleCrop>false</ScaleCrop>
  <LinksUpToDate>false</LinksUpToDate>
  <CharactersWithSpaces>17651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2020-09-28T09:52:00Z</dcterms:created>
  <dc:creator>曹颖</dc:creator>
  <cp:lastModifiedBy>user</cp:lastModifiedBy>
  <cp:lastPrinted>2020-10-29T08:52:00Z</cp:lastPrinted>
  <dcterms:modified xsi:type="dcterms:W3CDTF">2026-02-03T11:03:46Z</dcterms:modified>
  <dc:title>四川省***</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D8A36747B4700E3F92658169BC59DBB9_43</vt:lpwstr>
  </property>
</Properties>
</file>