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78441"/>
      <w:bookmarkStart w:id="1" w:name="_Toc15396597"/>
      <w:bookmarkStart w:id="2" w:name="_Toc15396475"/>
      <w:bookmarkStart w:id="3" w:name="_Toc15377193"/>
      <w:bookmarkStart w:id="4" w:name="_Toc15377425"/>
      <w:bookmarkStart w:id="5" w:name="_Toc15306267"/>
      <w:r>
        <w:rPr>
          <w:rFonts w:hint="eastAsia" w:ascii="方正小标宋简体" w:hAnsi="宋体" w:eastAsia="方正小标宋简体"/>
          <w:sz w:val="72"/>
          <w:szCs w:val="72"/>
        </w:rPr>
        <w:t xml:space="preserve">  </w:t>
      </w: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2022年度</w:t>
      </w:r>
      <w:bookmarkEnd w:id="0"/>
      <w:bookmarkEnd w:id="1"/>
      <w:bookmarkEnd w:id="2"/>
      <w:bookmarkEnd w:id="3"/>
      <w:bookmarkEnd w:id="4"/>
    </w:p>
    <w:bookmarkEnd w:id="5"/>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96598"/>
      <w:bookmarkStart w:id="7" w:name="_Toc15306268"/>
      <w:bookmarkStart w:id="8" w:name="_Toc15377194"/>
      <w:bookmarkStart w:id="9" w:name="_Toc15396476"/>
      <w:bookmarkStart w:id="10" w:name="_Toc15377426"/>
      <w:bookmarkStart w:id="11" w:name="_Toc15378442"/>
      <w:r>
        <w:rPr>
          <w:rFonts w:hint="eastAsia" w:ascii="方正小标宋简体" w:hAnsi="方正小标宋简体" w:eastAsia="方正小标宋简体" w:cs="方正小标宋简体"/>
          <w:sz w:val="72"/>
          <w:szCs w:val="72"/>
        </w:rPr>
        <w:t>盐边县红果彝族乡人民政府部门决算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4"/>
      </w:pPr>
      <w:r>
        <w:rPr>
          <w:rFonts w:hint="eastAsia"/>
        </w:rPr>
        <w:t>公开时间：2023年12月</w:t>
      </w:r>
      <w:r>
        <w:rPr>
          <w:rFonts w:hint="eastAsia"/>
          <w:lang w:val="en-US" w:eastAsia="zh-CN"/>
        </w:rPr>
        <w:t>11</w:t>
      </w:r>
      <w:r>
        <w:rPr>
          <w:rFonts w:hint="eastAsia"/>
        </w:rPr>
        <w:t>日</w:t>
      </w:r>
    </w:p>
    <w:p/>
    <w:p>
      <w:pPr>
        <w:pStyle w:val="14"/>
        <w:adjustRightInd w:val="0"/>
        <w:snapToGrid w:val="0"/>
        <w:spacing w:before="0" w:line="440" w:lineRule="exact"/>
        <w:jc w:val="left"/>
        <w:rPr>
          <w:rFonts w:cstheme="minorBidi"/>
          <w:sz w:val="24"/>
          <w:szCs w:val="24"/>
        </w:rPr>
      </w:pPr>
      <w:r>
        <w:rPr>
          <w:rFonts w:hint="eastAsia"/>
          <w:sz w:val="24"/>
        </w:rPr>
        <w:t>第一部分部门概况</w:t>
      </w:r>
    </w:p>
    <w:p>
      <w:pPr>
        <w:pStyle w:val="15"/>
        <w:adjustRightInd w:val="0"/>
        <w:snapToGrid w:val="0"/>
        <w:spacing w:line="440" w:lineRule="exact"/>
        <w:jc w:val="left"/>
        <w:rPr>
          <w:sz w:val="24"/>
        </w:rPr>
      </w:pPr>
      <w:r>
        <w:rPr>
          <w:rFonts w:hint="eastAsia"/>
          <w:sz w:val="24"/>
        </w:rPr>
        <w:t>一、部门职责</w:t>
      </w:r>
    </w:p>
    <w:p>
      <w:pPr>
        <w:pStyle w:val="15"/>
        <w:adjustRightInd w:val="0"/>
        <w:snapToGrid w:val="0"/>
        <w:spacing w:line="440" w:lineRule="exact"/>
        <w:jc w:val="left"/>
        <w:rPr>
          <w:rFonts w:ascii="仿宋" w:hAnsi="仿宋" w:eastAsia="仿宋" w:cstheme="minorBidi"/>
          <w:sz w:val="24"/>
        </w:rPr>
      </w:pPr>
      <w:r>
        <w:rPr>
          <w:rFonts w:hint="eastAsia"/>
          <w:sz w:val="24"/>
        </w:rPr>
        <w:t>二、机构设置</w:t>
      </w:r>
    </w:p>
    <w:p>
      <w:pPr>
        <w:pStyle w:val="14"/>
        <w:adjustRightInd w:val="0"/>
        <w:snapToGrid w:val="0"/>
        <w:spacing w:before="0" w:line="440" w:lineRule="exact"/>
        <w:jc w:val="left"/>
        <w:rPr>
          <w:sz w:val="24"/>
          <w:szCs w:val="24"/>
        </w:rPr>
      </w:pPr>
      <w:r>
        <w:rPr>
          <w:rFonts w:hint="eastAsia"/>
          <w:sz w:val="24"/>
        </w:rPr>
        <w:t>第二部分 2022年度部门决算情况说明</w:t>
      </w:r>
    </w:p>
    <w:p>
      <w:pPr>
        <w:pStyle w:val="15"/>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pPr>
        <w:pStyle w:val="15"/>
        <w:adjustRightInd w:val="0"/>
        <w:snapToGrid w:val="0"/>
        <w:spacing w:line="440" w:lineRule="exact"/>
        <w:jc w:val="left"/>
        <w:rPr>
          <w:rFonts w:ascii="仿宋" w:hAnsi="仿宋" w:eastAsia="仿宋" w:cstheme="minorBidi"/>
          <w:sz w:val="24"/>
        </w:rPr>
      </w:pPr>
      <w:r>
        <w:rPr>
          <w:rFonts w:hint="eastAsia"/>
          <w:sz w:val="24"/>
        </w:rPr>
        <w:t>二、收入决算情况说明</w:t>
      </w:r>
    </w:p>
    <w:p>
      <w:pPr>
        <w:pStyle w:val="15"/>
        <w:adjustRightInd w:val="0"/>
        <w:snapToGrid w:val="0"/>
        <w:spacing w:line="440" w:lineRule="exact"/>
        <w:jc w:val="left"/>
        <w:rPr>
          <w:rFonts w:ascii="仿宋" w:hAnsi="仿宋" w:eastAsia="仿宋" w:cstheme="minorBidi"/>
          <w:sz w:val="24"/>
        </w:rPr>
      </w:pPr>
      <w:r>
        <w:rPr>
          <w:rFonts w:hint="eastAsia"/>
          <w:sz w:val="24"/>
        </w:rPr>
        <w:t>三、支出决算情况说明</w:t>
      </w:r>
    </w:p>
    <w:p>
      <w:pPr>
        <w:pStyle w:val="15"/>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pPr>
        <w:pStyle w:val="15"/>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pPr>
        <w:pStyle w:val="15"/>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pPr>
        <w:pStyle w:val="15"/>
        <w:adjustRightInd w:val="0"/>
        <w:snapToGrid w:val="0"/>
        <w:spacing w:line="440" w:lineRule="exact"/>
        <w:jc w:val="left"/>
        <w:rPr>
          <w:rFonts w:ascii="仿宋" w:hAnsi="仿宋" w:eastAsia="仿宋" w:cstheme="minorBidi"/>
          <w:sz w:val="24"/>
        </w:rPr>
      </w:pPr>
      <w:r>
        <w:rPr>
          <w:rFonts w:hint="eastAsia"/>
          <w:sz w:val="24"/>
        </w:rPr>
        <w:t>七、财政拨款“三公”经费支出决算情况说明</w:t>
      </w:r>
    </w:p>
    <w:p>
      <w:pPr>
        <w:pStyle w:val="15"/>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pPr>
        <w:pStyle w:val="15"/>
        <w:adjustRightInd w:val="0"/>
        <w:snapToGrid w:val="0"/>
        <w:spacing w:line="440" w:lineRule="exact"/>
        <w:ind w:leftChars="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九、国有资本经营预算支出决算情况说明</w:t>
      </w:r>
    </w:p>
    <w:p>
      <w:pPr>
        <w:adjustRightInd w:val="0"/>
        <w:snapToGrid w:val="0"/>
        <w:spacing w:line="440" w:lineRule="exact"/>
        <w:ind w:firstLine="420" w:firstLineChars="175"/>
        <w:jc w:val="left"/>
        <w:rPr>
          <w:rFonts w:asciiTheme="minorEastAsia" w:hAnsiTheme="minorEastAsia" w:eastAsiaTheme="minorEastAsia" w:cstheme="minorEastAsia"/>
          <w:sz w:val="24"/>
        </w:rPr>
      </w:pPr>
      <w:r>
        <w:rPr>
          <w:rStyle w:val="21"/>
          <w:rFonts w:hint="eastAsia" w:asciiTheme="minorEastAsia" w:hAnsiTheme="minorEastAsia" w:eastAsiaTheme="minorEastAsia" w:cstheme="minorEastAsia"/>
          <w:color w:val="auto"/>
          <w:sz w:val="24"/>
          <w:u w:val="none"/>
        </w:rPr>
        <w:t>十、</w:t>
      </w:r>
      <w:r>
        <w:rPr>
          <w:rFonts w:hint="eastAsia" w:asciiTheme="minorEastAsia" w:hAnsiTheme="minorEastAsia" w:eastAsiaTheme="minorEastAsia" w:cstheme="minorEastAsia"/>
          <w:sz w:val="24"/>
        </w:rPr>
        <w:t>其他重要事项的情况说明</w:t>
      </w:r>
      <w:r>
        <w:rPr>
          <w:rFonts w:hint="eastAsia" w:asciiTheme="minorEastAsia" w:hAnsiTheme="minorEastAsia" w:eastAsiaTheme="minorEastAsia" w:cstheme="minorEastAsia"/>
          <w:sz w:val="24"/>
        </w:rPr>
        <w:tab/>
      </w:r>
    </w:p>
    <w:p>
      <w:pPr>
        <w:pStyle w:val="14"/>
        <w:adjustRightInd w:val="0"/>
        <w:snapToGrid w:val="0"/>
        <w:spacing w:before="0" w:line="440" w:lineRule="exact"/>
        <w:jc w:val="left"/>
        <w:rPr>
          <w:rFonts w:cstheme="minorBidi"/>
          <w:sz w:val="24"/>
          <w:szCs w:val="24"/>
        </w:rPr>
      </w:pPr>
      <w:r>
        <w:rPr>
          <w:rFonts w:hint="eastAsia"/>
          <w:sz w:val="24"/>
        </w:rPr>
        <w:t>第三部分名词解释</w:t>
      </w:r>
    </w:p>
    <w:p>
      <w:pPr>
        <w:pStyle w:val="14"/>
        <w:adjustRightInd w:val="0"/>
        <w:snapToGrid w:val="0"/>
        <w:spacing w:before="0" w:line="440" w:lineRule="exact"/>
        <w:jc w:val="left"/>
        <w:rPr>
          <w:rFonts w:cstheme="minorBidi"/>
          <w:sz w:val="24"/>
          <w:szCs w:val="24"/>
        </w:rPr>
      </w:pPr>
      <w:r>
        <w:rPr>
          <w:rFonts w:hint="eastAsia"/>
          <w:sz w:val="24"/>
        </w:rPr>
        <w:t>第四部分附件</w:t>
      </w:r>
    </w:p>
    <w:p>
      <w:pPr>
        <w:pStyle w:val="14"/>
        <w:adjustRightInd w:val="0"/>
        <w:snapToGrid w:val="0"/>
        <w:spacing w:before="0" w:line="440" w:lineRule="exact"/>
        <w:jc w:val="left"/>
        <w:rPr>
          <w:rFonts w:cstheme="minorBidi"/>
          <w:sz w:val="24"/>
          <w:szCs w:val="24"/>
        </w:rPr>
      </w:pPr>
      <w:r>
        <w:rPr>
          <w:rFonts w:hint="eastAsia"/>
          <w:sz w:val="24"/>
        </w:rPr>
        <w:t>第五部分附表</w:t>
      </w:r>
    </w:p>
    <w:p>
      <w:pPr>
        <w:pStyle w:val="15"/>
        <w:adjustRightInd w:val="0"/>
        <w:snapToGrid w:val="0"/>
        <w:spacing w:line="440" w:lineRule="exact"/>
        <w:jc w:val="left"/>
        <w:rPr>
          <w:sz w:val="24"/>
        </w:rPr>
      </w:pPr>
      <w:r>
        <w:rPr>
          <w:rFonts w:hint="eastAsia"/>
          <w:sz w:val="24"/>
        </w:rPr>
        <w:t>一、收入支出决算总表</w:t>
      </w:r>
    </w:p>
    <w:p>
      <w:pPr>
        <w:pStyle w:val="15"/>
        <w:adjustRightInd w:val="0"/>
        <w:snapToGrid w:val="0"/>
        <w:spacing w:line="440" w:lineRule="exact"/>
        <w:jc w:val="left"/>
        <w:rPr>
          <w:sz w:val="24"/>
        </w:rPr>
      </w:pPr>
      <w:r>
        <w:rPr>
          <w:rFonts w:hint="eastAsia"/>
          <w:sz w:val="24"/>
        </w:rPr>
        <w:t>二、收入决算表</w:t>
      </w:r>
    </w:p>
    <w:p>
      <w:pPr>
        <w:pStyle w:val="15"/>
        <w:adjustRightInd w:val="0"/>
        <w:snapToGrid w:val="0"/>
        <w:spacing w:line="440" w:lineRule="exact"/>
        <w:jc w:val="left"/>
        <w:rPr>
          <w:sz w:val="24"/>
        </w:rPr>
      </w:pPr>
      <w:r>
        <w:rPr>
          <w:rFonts w:hint="eastAsia"/>
          <w:sz w:val="24"/>
        </w:rPr>
        <w:t>三、支出决算表</w:t>
      </w:r>
    </w:p>
    <w:p>
      <w:pPr>
        <w:pStyle w:val="15"/>
        <w:adjustRightInd w:val="0"/>
        <w:snapToGrid w:val="0"/>
        <w:spacing w:line="440" w:lineRule="exact"/>
        <w:jc w:val="left"/>
        <w:rPr>
          <w:sz w:val="24"/>
        </w:rPr>
      </w:pPr>
      <w:r>
        <w:rPr>
          <w:rFonts w:hint="eastAsia"/>
          <w:sz w:val="24"/>
        </w:rPr>
        <w:t>四、财政拨款收入支出决算总表</w:t>
      </w:r>
    </w:p>
    <w:p>
      <w:pPr>
        <w:pStyle w:val="15"/>
        <w:adjustRightInd w:val="0"/>
        <w:snapToGrid w:val="0"/>
        <w:spacing w:line="440" w:lineRule="exact"/>
        <w:jc w:val="left"/>
        <w:rPr>
          <w:sz w:val="24"/>
        </w:rPr>
      </w:pPr>
      <w:r>
        <w:rPr>
          <w:rFonts w:hint="eastAsia"/>
          <w:sz w:val="24"/>
        </w:rPr>
        <w:t>五、财政拨款支出决算明细表</w:t>
      </w:r>
    </w:p>
    <w:p>
      <w:pPr>
        <w:pStyle w:val="15"/>
        <w:adjustRightInd w:val="0"/>
        <w:snapToGrid w:val="0"/>
        <w:spacing w:line="440" w:lineRule="exact"/>
        <w:jc w:val="left"/>
        <w:rPr>
          <w:sz w:val="24"/>
        </w:rPr>
      </w:pPr>
      <w:r>
        <w:rPr>
          <w:rFonts w:hint="eastAsia"/>
          <w:sz w:val="24"/>
        </w:rPr>
        <w:t>六、一般公共预算财政拨款支出决算表</w:t>
      </w:r>
    </w:p>
    <w:p>
      <w:pPr>
        <w:pStyle w:val="15"/>
        <w:adjustRightInd w:val="0"/>
        <w:snapToGrid w:val="0"/>
        <w:spacing w:line="440" w:lineRule="exact"/>
        <w:jc w:val="left"/>
        <w:rPr>
          <w:sz w:val="24"/>
        </w:rPr>
      </w:pPr>
      <w:r>
        <w:rPr>
          <w:rFonts w:hint="eastAsia"/>
          <w:sz w:val="24"/>
        </w:rPr>
        <w:t>七、一般公共预算财政拨款支出决算明细表</w:t>
      </w:r>
    </w:p>
    <w:p>
      <w:pPr>
        <w:pStyle w:val="15"/>
        <w:adjustRightInd w:val="0"/>
        <w:snapToGrid w:val="0"/>
        <w:spacing w:line="440" w:lineRule="exact"/>
        <w:jc w:val="left"/>
        <w:rPr>
          <w:sz w:val="24"/>
        </w:rPr>
      </w:pPr>
      <w:r>
        <w:rPr>
          <w:rFonts w:hint="eastAsia"/>
          <w:sz w:val="24"/>
        </w:rPr>
        <w:t>八、一般公共预算财政拨款基本支出决算明细表</w:t>
      </w:r>
    </w:p>
    <w:p>
      <w:pPr>
        <w:pStyle w:val="15"/>
        <w:adjustRightInd w:val="0"/>
        <w:snapToGrid w:val="0"/>
        <w:spacing w:line="440" w:lineRule="exact"/>
        <w:jc w:val="left"/>
        <w:rPr>
          <w:sz w:val="24"/>
        </w:rPr>
      </w:pPr>
      <w:r>
        <w:rPr>
          <w:rFonts w:hint="eastAsia"/>
          <w:sz w:val="24"/>
        </w:rPr>
        <w:t>九、一般公共预算财政拨款项目支出决算表</w:t>
      </w:r>
    </w:p>
    <w:p>
      <w:pPr>
        <w:pStyle w:val="15"/>
        <w:adjustRightInd w:val="0"/>
        <w:snapToGrid w:val="0"/>
        <w:spacing w:line="440" w:lineRule="exact"/>
        <w:jc w:val="left"/>
        <w:rPr>
          <w:rFonts w:hint="eastAsia"/>
          <w:sz w:val="24"/>
        </w:rPr>
        <w:sectPr>
          <w:headerReference r:id="rId4" w:type="first"/>
          <w:headerReference r:id="rId3" w:type="default"/>
          <w:pgSz w:w="11906" w:h="16838"/>
          <w:pgMar w:top="1440" w:right="1800" w:bottom="1440" w:left="1800" w:header="851" w:footer="992" w:gutter="0"/>
          <w:pgNumType w:start="1"/>
          <w:cols w:space="425" w:num="1"/>
          <w:docGrid w:type="lines" w:linePitch="312" w:charSpace="0"/>
        </w:sectPr>
      </w:pPr>
    </w:p>
    <w:p>
      <w:pPr>
        <w:pStyle w:val="15"/>
        <w:adjustRightInd w:val="0"/>
        <w:snapToGrid w:val="0"/>
        <w:spacing w:line="440" w:lineRule="exact"/>
        <w:jc w:val="left"/>
        <w:rPr>
          <w:sz w:val="24"/>
        </w:rPr>
      </w:pPr>
      <w:r>
        <w:rPr>
          <w:rFonts w:hint="eastAsia"/>
          <w:sz w:val="24"/>
        </w:rPr>
        <w:t>十、政府性基金预算财政拨款收入支出决算表</w:t>
      </w:r>
    </w:p>
    <w:p>
      <w:pPr>
        <w:pStyle w:val="15"/>
        <w:adjustRightInd w:val="0"/>
        <w:snapToGrid w:val="0"/>
        <w:spacing w:line="440" w:lineRule="exact"/>
        <w:jc w:val="left"/>
        <w:rPr>
          <w:sz w:val="24"/>
        </w:rPr>
      </w:pPr>
      <w:r>
        <w:rPr>
          <w:rFonts w:hint="eastAsia"/>
          <w:sz w:val="24"/>
        </w:rPr>
        <w:t>十一、国有资本经营预算财政拨款收入支出决算表</w:t>
      </w:r>
    </w:p>
    <w:p>
      <w:pPr>
        <w:pStyle w:val="15"/>
        <w:adjustRightInd w:val="0"/>
        <w:snapToGrid w:val="0"/>
        <w:spacing w:line="440" w:lineRule="exact"/>
        <w:jc w:val="left"/>
        <w:rPr>
          <w:sz w:val="24"/>
        </w:rPr>
      </w:pPr>
      <w:r>
        <w:rPr>
          <w:rFonts w:hint="eastAsia"/>
          <w:sz w:val="24"/>
        </w:rPr>
        <w:t>十二、国有资本经营预算财政拨款支出决算表</w:t>
      </w:r>
    </w:p>
    <w:p>
      <w:pPr>
        <w:pStyle w:val="15"/>
        <w:adjustRightInd w:val="0"/>
        <w:snapToGrid w:val="0"/>
        <w:spacing w:line="440" w:lineRule="exact"/>
        <w:jc w:val="left"/>
        <w:rPr>
          <w:rFonts w:asciiTheme="minorEastAsia" w:hAnsiTheme="minorEastAsia" w:eastAsiaTheme="minorEastAsia" w:cstheme="minorEastAsia"/>
          <w:sz w:val="24"/>
        </w:rPr>
      </w:pPr>
      <w:r>
        <w:rPr>
          <w:rFonts w:hint="eastAsia"/>
          <w:sz w:val="24"/>
        </w:rPr>
        <w:t>十三、财政拨款“三公”经费支出决算表</w:t>
      </w:r>
    </w:p>
    <w:p>
      <w:pPr>
        <w:pStyle w:val="3"/>
        <w:jc w:val="center"/>
        <w:rPr>
          <w:rFonts w:hint="eastAsia" w:ascii="黑体" w:hAnsi="黑体" w:eastAsia="黑体"/>
          <w:b w:val="0"/>
        </w:rPr>
        <w:sectPr>
          <w:footerReference r:id="rId5" w:type="default"/>
          <w:pgSz w:w="11906" w:h="16838"/>
          <w:pgMar w:top="1440" w:right="1800" w:bottom="1440" w:left="1800" w:header="851" w:footer="992" w:gutter="0"/>
          <w:pgNumType w:start="1"/>
          <w:cols w:space="425" w:num="1"/>
          <w:docGrid w:type="lines" w:linePitch="312" w:charSpace="0"/>
        </w:sectPr>
      </w:pPr>
      <w:bookmarkStart w:id="12" w:name="_Toc15396599"/>
      <w:bookmarkStart w:id="13" w:name="_Toc15377196"/>
    </w:p>
    <w:p>
      <w:pPr>
        <w:pStyle w:val="3"/>
        <w:jc w:val="center"/>
        <w:rPr>
          <w:rFonts w:ascii="黑体" w:hAnsi="黑体" w:eastAsia="黑体"/>
          <w:bCs w:val="0"/>
        </w:rPr>
      </w:pPr>
      <w:r>
        <w:rPr>
          <w:rFonts w:hint="eastAsia" w:ascii="黑体" w:hAnsi="黑体" w:eastAsia="黑体"/>
          <w:b w:val="0"/>
        </w:rPr>
        <w:t xml:space="preserve">第一部分 </w:t>
      </w:r>
      <w:r>
        <w:rPr>
          <w:rStyle w:val="23"/>
          <w:rFonts w:hint="eastAsia" w:ascii="黑体" w:hAnsi="黑体" w:eastAsia="黑体"/>
          <w:b w:val="0"/>
          <w:bCs w:val="0"/>
        </w:rPr>
        <w:t>部门概况</w:t>
      </w:r>
      <w:bookmarkEnd w:id="12"/>
      <w:bookmarkEnd w:id="13"/>
    </w:p>
    <w:p>
      <w:pPr>
        <w:pStyle w:val="4"/>
        <w:numPr>
          <w:ilvl w:val="0"/>
          <w:numId w:val="1"/>
        </w:numPr>
        <w:rPr>
          <w:rFonts w:ascii="黑体" w:hAnsi="黑体" w:eastAsia="黑体"/>
          <w:b w:val="0"/>
        </w:rPr>
      </w:pPr>
      <w:r>
        <w:rPr>
          <w:rFonts w:hint="eastAsia" w:ascii="黑体" w:hAnsi="黑体" w:eastAsia="黑体"/>
          <w:b w:val="0"/>
        </w:rPr>
        <w:t>部门职责</w:t>
      </w:r>
      <w:bookmarkStart w:id="14" w:name="_Toc15378446"/>
      <w:bookmarkStart w:id="15" w:name="_Toc15377199"/>
      <w:bookmarkStart w:id="16" w:name="_Toc52180068"/>
    </w:p>
    <w:p>
      <w:pPr>
        <w:pStyle w:val="4"/>
        <w:ind w:left="660"/>
        <w:rPr>
          <w:rFonts w:ascii="仿宋_GB2312" w:hAnsi="仿宋_GB2312" w:eastAsia="仿宋_GB2312" w:cs="Times New Roman"/>
          <w:b w:val="0"/>
          <w:bCs w:val="0"/>
          <w:color w:val="000000"/>
          <w:szCs w:val="22"/>
          <w:lang w:val="zh-CN"/>
        </w:rPr>
      </w:pPr>
      <w:r>
        <w:rPr>
          <w:rFonts w:hint="eastAsia" w:ascii="仿宋_GB2312" w:hAnsi="仿宋_GB2312" w:eastAsia="仿宋_GB2312" w:cs="Times New Roman"/>
          <w:b w:val="0"/>
          <w:bCs w:val="0"/>
          <w:color w:val="000000"/>
          <w:szCs w:val="22"/>
          <w:lang w:val="zh-CN"/>
        </w:rPr>
        <w:t>红果彝族乡乡党政机构具有党委和政府两种职能，党委领导政府工作。主要是政治思想和方针政策的领导，干部的选拔，考核和监督，经济和行政工作中重大问题的决策。乡政府是基层国家行政机关，行使本行政区的行政职能。</w:t>
      </w:r>
    </w:p>
    <w:p>
      <w:pPr>
        <w:pStyle w:val="34"/>
        <w:keepNext/>
        <w:keepLines/>
        <w:spacing w:line="576" w:lineRule="exact"/>
        <w:ind w:left="660" w:firstLine="0" w:firstLineChars="0"/>
        <w:rPr>
          <w:rFonts w:ascii="仿宋_GB2312" w:hAnsi="仿宋_GB2312" w:eastAsia="仿宋_GB2312"/>
          <w:color w:val="000000"/>
          <w:sz w:val="32"/>
          <w:szCs w:val="22"/>
          <w:lang w:val="zh-CN"/>
        </w:rPr>
      </w:pPr>
      <w:r>
        <w:rPr>
          <w:rFonts w:hint="eastAsia" w:ascii="仿宋_GB2312" w:hAnsi="仿宋_GB2312" w:eastAsia="仿宋_GB2312"/>
          <w:color w:val="000000"/>
          <w:sz w:val="32"/>
          <w:szCs w:val="22"/>
          <w:lang w:val="zh-CN"/>
        </w:rPr>
        <w:t>（一）党委工作职能</w:t>
      </w:r>
    </w:p>
    <w:p>
      <w:pPr>
        <w:pStyle w:val="34"/>
        <w:keepNext/>
        <w:keepLines/>
        <w:spacing w:line="576" w:lineRule="exact"/>
        <w:ind w:left="660" w:firstLine="0" w:firstLineChars="0"/>
        <w:rPr>
          <w:rFonts w:ascii="仿宋_GB2312" w:hAnsi="仿宋_GB2312" w:eastAsia="仿宋_GB2312"/>
          <w:color w:val="000000"/>
          <w:sz w:val="32"/>
          <w:szCs w:val="22"/>
          <w:lang w:val="zh-CN"/>
        </w:rPr>
      </w:pPr>
      <w:r>
        <w:rPr>
          <w:rFonts w:hint="eastAsia" w:ascii="仿宋_GB2312" w:hAnsi="仿宋_GB2312" w:eastAsia="仿宋_GB2312"/>
          <w:color w:val="000000"/>
          <w:sz w:val="32"/>
          <w:szCs w:val="22"/>
          <w:lang w:val="zh-CN"/>
        </w:rPr>
        <w:t>1. 贯彻执行党的路线、方针、政策和上级党组织及党员代表大会的决议、决定。</w:t>
      </w:r>
    </w:p>
    <w:p>
      <w:pPr>
        <w:pStyle w:val="34"/>
        <w:keepNext/>
        <w:keepLines/>
        <w:spacing w:line="576" w:lineRule="exact"/>
        <w:ind w:left="660" w:firstLine="0" w:firstLineChars="0"/>
        <w:rPr>
          <w:rFonts w:ascii="仿宋_GB2312" w:hAnsi="仿宋_GB2312" w:eastAsia="仿宋_GB2312"/>
          <w:color w:val="000000"/>
          <w:sz w:val="32"/>
          <w:szCs w:val="22"/>
          <w:lang w:val="zh-CN"/>
        </w:rPr>
      </w:pPr>
      <w:r>
        <w:rPr>
          <w:rFonts w:hint="eastAsia" w:ascii="仿宋_GB2312" w:hAnsi="仿宋_GB2312" w:eastAsia="仿宋_GB2312"/>
          <w:color w:val="000000"/>
          <w:sz w:val="32"/>
          <w:szCs w:val="22"/>
          <w:lang w:val="zh-CN"/>
        </w:rPr>
        <w:t>2. 研究决定全乡经济建设和社会发展中带有全局性的重大问题。</w:t>
      </w:r>
    </w:p>
    <w:p>
      <w:pPr>
        <w:pStyle w:val="34"/>
        <w:keepNext/>
        <w:keepLines/>
        <w:spacing w:line="576" w:lineRule="exact"/>
        <w:ind w:left="660" w:firstLine="0" w:firstLineChars="0"/>
        <w:rPr>
          <w:rFonts w:ascii="仿宋_GB2312" w:hAnsi="仿宋_GB2312" w:eastAsia="仿宋_GB2312"/>
          <w:color w:val="000000"/>
          <w:sz w:val="32"/>
          <w:szCs w:val="22"/>
          <w:lang w:val="zh-CN"/>
        </w:rPr>
      </w:pPr>
      <w:r>
        <w:rPr>
          <w:rFonts w:hint="eastAsia" w:ascii="仿宋_GB2312" w:hAnsi="仿宋_GB2312" w:eastAsia="仿宋_GB2312"/>
          <w:color w:val="000000"/>
          <w:sz w:val="32"/>
          <w:szCs w:val="22"/>
          <w:lang w:val="zh-CN"/>
        </w:rPr>
        <w:t>3. 负责抓好所属党组织的思想建设、组织建设、作风建设。负责全面从严治党、党风廉政建设和反腐败工作。</w:t>
      </w:r>
    </w:p>
    <w:p>
      <w:pPr>
        <w:pStyle w:val="34"/>
        <w:keepNext/>
        <w:keepLines/>
        <w:spacing w:line="576" w:lineRule="exact"/>
        <w:ind w:left="660" w:firstLine="0" w:firstLineChars="0"/>
        <w:rPr>
          <w:rFonts w:ascii="仿宋_GB2312" w:hAnsi="仿宋_GB2312" w:eastAsia="仿宋_GB2312"/>
          <w:color w:val="000000"/>
          <w:sz w:val="32"/>
          <w:szCs w:val="22"/>
          <w:lang w:val="zh-CN"/>
        </w:rPr>
      </w:pPr>
      <w:r>
        <w:rPr>
          <w:rFonts w:hint="eastAsia" w:ascii="仿宋_GB2312" w:hAnsi="仿宋_GB2312" w:eastAsia="仿宋_GB2312"/>
          <w:color w:val="000000"/>
          <w:sz w:val="32"/>
          <w:szCs w:val="22"/>
          <w:lang w:val="zh-CN"/>
        </w:rPr>
        <w:t>4. 按照干部管理权限，负责对干部的教育、培养、选拔任免和监督工作，向上级党组织推荐干部。</w:t>
      </w:r>
    </w:p>
    <w:p>
      <w:pPr>
        <w:pStyle w:val="34"/>
        <w:keepNext/>
        <w:keepLines/>
        <w:spacing w:line="576" w:lineRule="exact"/>
        <w:ind w:left="660" w:firstLine="0" w:firstLineChars="0"/>
        <w:rPr>
          <w:rFonts w:ascii="仿宋_GB2312" w:hAnsi="仿宋_GB2312" w:eastAsia="仿宋_GB2312"/>
          <w:color w:val="000000"/>
          <w:sz w:val="32"/>
          <w:szCs w:val="22"/>
          <w:lang w:val="zh-CN"/>
        </w:rPr>
      </w:pPr>
      <w:r>
        <w:rPr>
          <w:rFonts w:hint="eastAsia" w:ascii="仿宋_GB2312" w:hAnsi="仿宋_GB2312" w:eastAsia="仿宋_GB2312"/>
          <w:color w:val="000000"/>
          <w:sz w:val="32"/>
          <w:szCs w:val="22"/>
          <w:lang w:val="zh-CN"/>
        </w:rPr>
        <w:t>5.领导工会、共青团、妇联、科协等群团组织，协调党政之间的关系。</w:t>
      </w:r>
    </w:p>
    <w:p>
      <w:pPr>
        <w:pStyle w:val="34"/>
        <w:keepNext/>
        <w:keepLines/>
        <w:spacing w:line="576" w:lineRule="exact"/>
        <w:ind w:left="660" w:firstLine="0" w:firstLineChars="0"/>
        <w:rPr>
          <w:rFonts w:ascii="仿宋_GB2312" w:hAnsi="仿宋_GB2312" w:eastAsia="仿宋_GB2312"/>
          <w:color w:val="000000"/>
          <w:sz w:val="32"/>
          <w:szCs w:val="22"/>
          <w:lang w:val="zh-CN"/>
        </w:rPr>
      </w:pPr>
      <w:r>
        <w:rPr>
          <w:rFonts w:hint="eastAsia" w:ascii="仿宋_GB2312" w:hAnsi="仿宋_GB2312" w:eastAsia="仿宋_GB2312"/>
          <w:color w:val="000000"/>
          <w:sz w:val="32"/>
          <w:szCs w:val="22"/>
          <w:lang w:val="zh-CN"/>
        </w:rPr>
        <w:t>6. 负责本行政区域的政治思想、宣传、统战、政法、保密、武装、精神文明建设和民主法治建设等工作。</w:t>
      </w:r>
    </w:p>
    <w:p>
      <w:pPr>
        <w:pStyle w:val="34"/>
        <w:keepNext/>
        <w:keepLines/>
        <w:spacing w:line="576" w:lineRule="exact"/>
        <w:ind w:left="660" w:firstLine="0" w:firstLineChars="0"/>
        <w:rPr>
          <w:rFonts w:ascii="仿宋_GB2312" w:hAnsi="仿宋_GB2312" w:eastAsia="仿宋_GB2312"/>
          <w:color w:val="000000"/>
          <w:sz w:val="32"/>
          <w:szCs w:val="22"/>
          <w:lang w:val="zh-CN"/>
        </w:rPr>
      </w:pPr>
      <w:r>
        <w:rPr>
          <w:rFonts w:hint="eastAsia" w:ascii="仿宋_GB2312" w:hAnsi="仿宋_GB2312" w:eastAsia="仿宋_GB2312"/>
          <w:color w:val="000000"/>
          <w:sz w:val="32"/>
          <w:szCs w:val="22"/>
          <w:lang w:val="zh-CN"/>
        </w:rPr>
        <w:t>7. 完成上级党组织交办的其他任务。</w:t>
      </w:r>
    </w:p>
    <w:p>
      <w:pPr>
        <w:pStyle w:val="34"/>
        <w:keepNext/>
        <w:keepLines/>
        <w:spacing w:line="576" w:lineRule="exact"/>
        <w:ind w:left="660" w:firstLine="0" w:firstLineChars="0"/>
        <w:rPr>
          <w:rFonts w:ascii="仿宋_GB2312" w:hAnsi="仿宋_GB2312" w:eastAsia="仿宋_GB2312"/>
          <w:color w:val="000000"/>
          <w:sz w:val="32"/>
          <w:szCs w:val="22"/>
          <w:lang w:val="zh-CN"/>
        </w:rPr>
      </w:pPr>
      <w:r>
        <w:rPr>
          <w:rFonts w:hint="eastAsia" w:ascii="仿宋_GB2312" w:hAnsi="仿宋_GB2312" w:eastAsia="仿宋_GB2312"/>
          <w:color w:val="000000"/>
          <w:sz w:val="32"/>
          <w:szCs w:val="22"/>
          <w:lang w:val="zh-CN"/>
        </w:rPr>
        <w:t>（二）政府工作职能</w:t>
      </w:r>
    </w:p>
    <w:p>
      <w:pPr>
        <w:pStyle w:val="34"/>
        <w:keepNext/>
        <w:keepLines/>
        <w:spacing w:line="576" w:lineRule="exact"/>
        <w:ind w:left="660" w:firstLine="0" w:firstLineChars="0"/>
        <w:rPr>
          <w:rFonts w:ascii="仿宋_GB2312" w:hAnsi="仿宋_GB2312" w:eastAsia="仿宋_GB2312"/>
          <w:color w:val="000000"/>
          <w:sz w:val="32"/>
          <w:szCs w:val="22"/>
          <w:lang w:val="zh-CN"/>
        </w:rPr>
      </w:pPr>
      <w:r>
        <w:rPr>
          <w:rFonts w:hint="eastAsia" w:ascii="仿宋_GB2312" w:hAnsi="仿宋_GB2312" w:eastAsia="仿宋_GB2312"/>
          <w:color w:val="000000"/>
          <w:sz w:val="32"/>
          <w:szCs w:val="22"/>
          <w:lang w:val="zh-CN"/>
        </w:rPr>
        <w:t>1. 贯彻执行党和国家的各项方针、政策、法律、法规，以及上级行政机关和本乡党委、乡人大的决定、决议。</w:t>
      </w:r>
    </w:p>
    <w:p>
      <w:pPr>
        <w:pStyle w:val="34"/>
        <w:keepNext/>
        <w:keepLines/>
        <w:spacing w:line="576" w:lineRule="exact"/>
        <w:ind w:left="660" w:firstLine="0" w:firstLineChars="0"/>
        <w:rPr>
          <w:rFonts w:ascii="仿宋_GB2312" w:hAnsi="仿宋_GB2312" w:eastAsia="仿宋_GB2312"/>
          <w:color w:val="000000"/>
          <w:sz w:val="32"/>
          <w:szCs w:val="22"/>
          <w:lang w:val="zh-CN"/>
        </w:rPr>
      </w:pPr>
      <w:r>
        <w:rPr>
          <w:rFonts w:hint="eastAsia" w:ascii="仿宋_GB2312" w:hAnsi="仿宋_GB2312" w:eastAsia="仿宋_GB2312"/>
          <w:color w:val="000000"/>
          <w:sz w:val="32"/>
          <w:szCs w:val="22"/>
          <w:lang w:val="zh-CN"/>
        </w:rPr>
        <w:t>2. 制定并执行本行政区域内经济和社会发展规划、计划。</w:t>
      </w:r>
    </w:p>
    <w:p>
      <w:pPr>
        <w:pStyle w:val="34"/>
        <w:keepNext/>
        <w:keepLines/>
        <w:spacing w:line="576" w:lineRule="exact"/>
        <w:ind w:left="660" w:firstLine="0" w:firstLineChars="0"/>
        <w:rPr>
          <w:rFonts w:ascii="仿宋_GB2312" w:hAnsi="仿宋_GB2312" w:eastAsia="仿宋_GB2312"/>
          <w:color w:val="000000"/>
          <w:sz w:val="32"/>
          <w:szCs w:val="22"/>
          <w:lang w:val="zh-CN"/>
        </w:rPr>
      </w:pPr>
      <w:r>
        <w:rPr>
          <w:rFonts w:hint="eastAsia" w:ascii="仿宋_GB2312" w:hAnsi="仿宋_GB2312" w:eastAsia="仿宋_GB2312"/>
          <w:color w:val="000000"/>
          <w:sz w:val="32"/>
          <w:szCs w:val="22"/>
          <w:lang w:val="zh-CN"/>
        </w:rPr>
        <w:t>3. 负责乡村振兴、新农村建设和推进城乡一体化的组织和实施。</w:t>
      </w:r>
    </w:p>
    <w:p>
      <w:pPr>
        <w:pStyle w:val="34"/>
        <w:keepNext/>
        <w:keepLines/>
        <w:spacing w:line="576" w:lineRule="exact"/>
        <w:ind w:left="660" w:firstLine="0" w:firstLineChars="0"/>
        <w:rPr>
          <w:rFonts w:ascii="仿宋_GB2312" w:hAnsi="仿宋_GB2312" w:eastAsia="仿宋_GB2312"/>
          <w:color w:val="000000"/>
          <w:sz w:val="32"/>
          <w:szCs w:val="22"/>
          <w:lang w:val="zh-CN"/>
        </w:rPr>
      </w:pPr>
      <w:r>
        <w:rPr>
          <w:rFonts w:hint="eastAsia" w:ascii="仿宋_GB2312" w:hAnsi="仿宋_GB2312" w:eastAsia="仿宋_GB2312"/>
          <w:color w:val="000000"/>
          <w:sz w:val="32"/>
          <w:szCs w:val="22"/>
          <w:lang w:val="zh-CN"/>
        </w:rPr>
        <w:t>4. 负责辖区经济、文化、教育、科学、卫生健康、民政、社会保障、民族宗教、村镇建设、司法、退役军人、 扶贫、信访、安全、统计等行政管理和服务工作。</w:t>
      </w:r>
    </w:p>
    <w:p>
      <w:pPr>
        <w:keepNext/>
        <w:keepLines/>
        <w:spacing w:line="576" w:lineRule="exact"/>
        <w:ind w:firstLine="480" w:firstLineChars="150"/>
        <w:rPr>
          <w:rFonts w:ascii="仿宋_GB2312" w:hAnsi="仿宋_GB2312" w:eastAsia="仿宋_GB2312"/>
          <w:color w:val="000000"/>
          <w:sz w:val="32"/>
          <w:szCs w:val="22"/>
          <w:lang w:val="zh-CN"/>
        </w:rPr>
      </w:pPr>
      <w:r>
        <w:rPr>
          <w:rFonts w:hint="eastAsia" w:ascii="仿宋_GB2312" w:hAnsi="仿宋_GB2312" w:eastAsia="仿宋_GB2312"/>
          <w:color w:val="000000"/>
          <w:sz w:val="32"/>
          <w:szCs w:val="22"/>
          <w:lang w:val="zh-CN"/>
        </w:rPr>
        <w:t>5. 负责农业产业结构调整和“三农”服务工作。</w:t>
      </w:r>
    </w:p>
    <w:p>
      <w:pPr>
        <w:keepNext/>
        <w:keepLines/>
        <w:spacing w:line="576" w:lineRule="exact"/>
        <w:ind w:firstLine="480" w:firstLineChars="150"/>
        <w:rPr>
          <w:rFonts w:ascii="仿宋_GB2312" w:hAnsi="仿宋_GB2312" w:eastAsia="仿宋_GB2312"/>
          <w:color w:val="000000"/>
          <w:sz w:val="32"/>
          <w:szCs w:val="22"/>
          <w:lang w:val="zh-CN"/>
        </w:rPr>
      </w:pPr>
      <w:r>
        <w:rPr>
          <w:rFonts w:hint="eastAsia" w:ascii="仿宋_GB2312" w:hAnsi="仿宋_GB2312" w:eastAsia="仿宋_GB2312"/>
          <w:color w:val="000000"/>
          <w:sz w:val="32"/>
          <w:szCs w:val="22"/>
          <w:lang w:val="zh-CN"/>
        </w:rPr>
        <w:t>6. 建立健全社会治理防控体系，开展爱国卫生、环境卫生监督检查，承担环境、资源保护等工作，促进人与自然和谐发展。</w:t>
      </w:r>
    </w:p>
    <w:p>
      <w:pPr>
        <w:keepNext/>
        <w:keepLines/>
        <w:spacing w:line="576" w:lineRule="exact"/>
        <w:ind w:firstLine="320" w:firstLineChars="100"/>
        <w:rPr>
          <w:rFonts w:ascii="仿宋_GB2312" w:hAnsi="仿宋_GB2312" w:eastAsia="仿宋_GB2312"/>
          <w:color w:val="000000"/>
          <w:sz w:val="32"/>
          <w:szCs w:val="22"/>
          <w:lang w:val="zh-CN"/>
        </w:rPr>
      </w:pPr>
      <w:r>
        <w:rPr>
          <w:rFonts w:hint="eastAsia" w:ascii="仿宋_GB2312" w:hAnsi="仿宋_GB2312" w:eastAsia="仿宋_GB2312"/>
          <w:color w:val="000000"/>
          <w:sz w:val="32"/>
          <w:szCs w:val="22"/>
          <w:lang w:val="zh-CN"/>
        </w:rPr>
        <w:t>7. 负责应急管理、安全生产、抢险救灾等工作，保护人民群众生命财产安全。</w:t>
      </w:r>
    </w:p>
    <w:p>
      <w:pPr>
        <w:keepNext/>
        <w:keepLines/>
        <w:spacing w:line="576" w:lineRule="exact"/>
        <w:ind w:firstLine="320" w:firstLineChars="100"/>
        <w:rPr>
          <w:rFonts w:ascii="仿宋_GB2312" w:hAnsi="仿宋_GB2312" w:eastAsia="仿宋_GB2312"/>
          <w:color w:val="000000"/>
          <w:sz w:val="32"/>
          <w:szCs w:val="22"/>
          <w:lang w:val="zh-CN"/>
        </w:rPr>
      </w:pPr>
      <w:r>
        <w:rPr>
          <w:rFonts w:hint="eastAsia" w:ascii="仿宋_GB2312" w:hAnsi="仿宋_GB2312" w:eastAsia="仿宋_GB2312"/>
          <w:color w:val="000000"/>
          <w:sz w:val="32"/>
          <w:szCs w:val="22"/>
          <w:lang w:val="zh-CN"/>
        </w:rPr>
        <w:t>8. 完成上级党委、政府交办的其他工作。</w:t>
      </w:r>
    </w:p>
    <w:p>
      <w:pPr>
        <w:pStyle w:val="34"/>
        <w:keepNext/>
        <w:keepLines/>
        <w:spacing w:line="576" w:lineRule="exact"/>
        <w:ind w:left="660" w:firstLine="0" w:firstLineChars="0"/>
        <w:rPr>
          <w:rFonts w:ascii="仿宋_GB2312" w:hAnsi="仿宋_GB2312" w:eastAsia="仿宋_GB2312"/>
          <w:color w:val="000000"/>
          <w:sz w:val="32"/>
          <w:szCs w:val="22"/>
          <w:lang w:val="zh-CN"/>
        </w:rPr>
      </w:pPr>
      <w:r>
        <w:rPr>
          <w:rFonts w:hint="eastAsia" w:ascii="仿宋_GB2312" w:hAnsi="仿宋_GB2312" w:eastAsia="仿宋_GB2312"/>
          <w:color w:val="000000"/>
          <w:sz w:val="32"/>
          <w:szCs w:val="22"/>
          <w:lang w:val="zh-CN"/>
        </w:rPr>
        <w:t>（二）</w:t>
      </w:r>
      <w:r>
        <w:rPr>
          <w:rFonts w:ascii="仿宋_GB2312" w:hAnsi="仿宋_GB2312" w:eastAsia="仿宋_GB2312"/>
          <w:color w:val="000000"/>
          <w:sz w:val="32"/>
          <w:szCs w:val="22"/>
          <w:lang w:val="zh-CN"/>
        </w:rPr>
        <w:t>20</w:t>
      </w:r>
      <w:r>
        <w:rPr>
          <w:rFonts w:hint="eastAsia" w:ascii="仿宋_GB2312" w:hAnsi="仿宋_GB2312" w:eastAsia="仿宋_GB2312"/>
          <w:color w:val="000000"/>
          <w:sz w:val="32"/>
          <w:szCs w:val="22"/>
          <w:lang w:val="zh-CN"/>
        </w:rPr>
        <w:t>22年重点工作完成情况。</w:t>
      </w:r>
      <w:bookmarkEnd w:id="14"/>
      <w:bookmarkEnd w:id="15"/>
      <w:bookmarkEnd w:id="16"/>
    </w:p>
    <w:p>
      <w:pPr>
        <w:pStyle w:val="2"/>
        <w:spacing w:before="93" w:line="560" w:lineRule="exact"/>
        <w:ind w:firstLine="662" w:firstLineChars="200"/>
        <w:rPr>
          <w:rFonts w:eastAsia="方正仿宋_GBK"/>
          <w:color w:val="000000" w:themeColor="text1"/>
          <w:sz w:val="33"/>
          <w:szCs w:val="33"/>
          <w14:textFill>
            <w14:solidFill>
              <w14:schemeClr w14:val="tx1"/>
            </w14:solidFill>
          </w14:textFill>
        </w:rPr>
      </w:pPr>
      <w:r>
        <w:rPr>
          <w:rFonts w:ascii="Times New Roman" w:eastAsia="方正楷体_GBK"/>
          <w:b/>
          <w:bCs/>
          <w:color w:val="000000" w:themeColor="text1"/>
          <w:sz w:val="33"/>
          <w:szCs w:val="33"/>
          <w14:textFill>
            <w14:solidFill>
              <w14:schemeClr w14:val="tx1"/>
            </w14:solidFill>
          </w14:textFill>
        </w:rPr>
        <w:t>经济稳中有进，综合实力不断增强。</w:t>
      </w:r>
      <w:r>
        <w:rPr>
          <w:rFonts w:ascii="Times New Roman" w:eastAsia="方正仿宋_GBK"/>
          <w:color w:val="000000" w:themeColor="text1"/>
          <w:sz w:val="33"/>
          <w:szCs w:val="33"/>
          <w14:textFill>
            <w14:solidFill>
              <w14:schemeClr w14:val="tx1"/>
            </w14:solidFill>
          </w14:textFill>
        </w:rPr>
        <w:t>2022年，完成地区生产总值（GDP）3.78亿元，同比增长7.7%。其中第一产业增加值完成2.04亿元，同比增长7.6%</w:t>
      </w:r>
      <w:r>
        <w:rPr>
          <w:rFonts w:hint="eastAsia" w:eastAsia="方正仿宋_GBK"/>
          <w:color w:val="000000" w:themeColor="text1"/>
          <w:sz w:val="33"/>
          <w:szCs w:val="33"/>
          <w14:textFill>
            <w14:solidFill>
              <w14:schemeClr w14:val="tx1"/>
            </w14:solidFill>
          </w14:textFill>
        </w:rPr>
        <w:t>；</w:t>
      </w:r>
      <w:r>
        <w:rPr>
          <w:rFonts w:ascii="Times New Roman" w:eastAsia="方正仿宋_GBK"/>
          <w:color w:val="000000" w:themeColor="text1"/>
          <w:sz w:val="33"/>
          <w:szCs w:val="33"/>
          <w14:textFill>
            <w14:solidFill>
              <w14:schemeClr w14:val="tx1"/>
            </w14:solidFill>
          </w14:textFill>
        </w:rPr>
        <w:t>第二产业增加值完成0.79亿元，同比增长7.1%</w:t>
      </w:r>
      <w:r>
        <w:rPr>
          <w:rFonts w:hint="eastAsia" w:eastAsia="方正仿宋_GBK"/>
          <w:color w:val="000000" w:themeColor="text1"/>
          <w:sz w:val="33"/>
          <w:szCs w:val="33"/>
          <w14:textFill>
            <w14:solidFill>
              <w14:schemeClr w14:val="tx1"/>
            </w14:solidFill>
          </w14:textFill>
        </w:rPr>
        <w:t>；</w:t>
      </w:r>
      <w:r>
        <w:rPr>
          <w:rFonts w:ascii="Times New Roman" w:eastAsia="方正仿宋_GBK"/>
          <w:color w:val="000000" w:themeColor="text1"/>
          <w:sz w:val="33"/>
          <w:szCs w:val="33"/>
          <w14:textFill>
            <w14:solidFill>
              <w14:schemeClr w14:val="tx1"/>
            </w14:solidFill>
          </w14:textFill>
        </w:rPr>
        <w:t>第三产业增加值完成0.95万元，同比增长9.7%。农民人均可支配收入达到2.07万元，同比增长9.5%，粮食总产量完成8420吨，同比增长7.5%；固定资产投资超额完成目标任务</w:t>
      </w:r>
      <w:r>
        <w:rPr>
          <w:rFonts w:hint="eastAsia" w:eastAsia="方正仿宋_GBK"/>
          <w:color w:val="000000" w:themeColor="text1"/>
          <w:sz w:val="33"/>
          <w:szCs w:val="33"/>
          <w14:textFill>
            <w14:solidFill>
              <w14:schemeClr w14:val="tx1"/>
            </w14:solidFill>
          </w14:textFill>
        </w:rPr>
        <w:t>，其中，</w:t>
      </w:r>
      <w:r>
        <w:rPr>
          <w:rFonts w:ascii="Times New Roman" w:eastAsia="方正仿宋_GBK"/>
          <w:color w:val="000000" w:themeColor="text1"/>
          <w:sz w:val="33"/>
          <w:szCs w:val="33"/>
          <w14:textFill>
            <w14:solidFill>
              <w14:schemeClr w14:val="tx1"/>
            </w14:solidFill>
          </w14:textFill>
        </w:rPr>
        <w:t>完成</w:t>
      </w:r>
      <w:r>
        <w:rPr>
          <w:rFonts w:hint="eastAsia" w:eastAsia="方正仿宋_GBK"/>
          <w:color w:val="000000" w:themeColor="text1"/>
          <w:sz w:val="33"/>
          <w:szCs w:val="33"/>
          <w14:textFill>
            <w14:solidFill>
              <w14:schemeClr w14:val="tx1"/>
            </w14:solidFill>
          </w14:textFill>
        </w:rPr>
        <w:t>项目</w:t>
      </w:r>
      <w:r>
        <w:rPr>
          <w:rFonts w:ascii="Times New Roman" w:eastAsia="方正仿宋_GBK"/>
          <w:color w:val="000000" w:themeColor="text1"/>
          <w:sz w:val="33"/>
          <w:szCs w:val="33"/>
          <w14:textFill>
            <w14:solidFill>
              <w14:schemeClr w14:val="tx1"/>
            </w14:solidFill>
          </w14:textFill>
        </w:rPr>
        <w:t>入库3.51亿元，</w:t>
      </w:r>
      <w:r>
        <w:rPr>
          <w:rFonts w:hint="eastAsia" w:eastAsia="方正仿宋_GBK"/>
          <w:color w:val="000000" w:themeColor="text1"/>
          <w:sz w:val="33"/>
          <w:szCs w:val="33"/>
          <w14:textFill>
            <w14:solidFill>
              <w14:schemeClr w14:val="tx1"/>
            </w14:solidFill>
          </w14:textFill>
        </w:rPr>
        <w:t>投资</w:t>
      </w:r>
      <w:r>
        <w:rPr>
          <w:rFonts w:ascii="Times New Roman" w:eastAsia="方正仿宋_GBK"/>
          <w:color w:val="000000" w:themeColor="text1"/>
          <w:sz w:val="33"/>
          <w:szCs w:val="33"/>
          <w14:textFill>
            <w14:solidFill>
              <w14:schemeClr w14:val="tx1"/>
            </w14:solidFill>
          </w14:textFill>
        </w:rPr>
        <w:t>2.1856亿元。</w:t>
      </w:r>
    </w:p>
    <w:p>
      <w:pPr>
        <w:pStyle w:val="2"/>
        <w:spacing w:before="93" w:line="560" w:lineRule="exact"/>
        <w:ind w:firstLine="662" w:firstLineChars="200"/>
        <w:rPr>
          <w:rFonts w:ascii="方正仿宋_GBK" w:hAnsi="方正仿宋_GBK" w:eastAsia="方正仿宋_GBK" w:cs="方正仿宋_GBK"/>
          <w:color w:val="000000" w:themeColor="text1"/>
          <w:sz w:val="33"/>
          <w:szCs w:val="33"/>
          <w14:textFill>
            <w14:solidFill>
              <w14:schemeClr w14:val="tx1"/>
            </w14:solidFill>
          </w14:textFill>
        </w:rPr>
      </w:pPr>
      <w:r>
        <w:rPr>
          <w:rFonts w:ascii="Times New Roman" w:eastAsia="方正楷体_GBK"/>
          <w:b/>
          <w:bCs/>
          <w:color w:val="000000" w:themeColor="text1"/>
          <w:sz w:val="33"/>
          <w:szCs w:val="33"/>
          <w14:textFill>
            <w14:solidFill>
              <w14:schemeClr w14:val="tx1"/>
            </w14:solidFill>
          </w14:textFill>
        </w:rPr>
        <w:t>加快转型</w:t>
      </w:r>
      <w:r>
        <w:rPr>
          <w:rFonts w:hint="eastAsia" w:eastAsia="方正楷体_GBK"/>
          <w:b/>
          <w:bCs/>
          <w:color w:val="000000" w:themeColor="text1"/>
          <w:sz w:val="33"/>
          <w:szCs w:val="33"/>
          <w14:textFill>
            <w14:solidFill>
              <w14:schemeClr w14:val="tx1"/>
            </w14:solidFill>
          </w14:textFill>
        </w:rPr>
        <w:t>升级，</w:t>
      </w:r>
      <w:r>
        <w:rPr>
          <w:rFonts w:ascii="Times New Roman" w:eastAsia="方正楷体_GBK"/>
          <w:b/>
          <w:bCs/>
          <w:color w:val="000000" w:themeColor="text1"/>
          <w:sz w:val="33"/>
          <w:szCs w:val="33"/>
          <w14:textFill>
            <w14:solidFill>
              <w14:schemeClr w14:val="tx1"/>
            </w14:solidFill>
          </w14:textFill>
        </w:rPr>
        <w:t>工业经济</w:t>
      </w:r>
      <w:r>
        <w:rPr>
          <w:rFonts w:hint="eastAsia" w:eastAsia="方正楷体_GBK"/>
          <w:b/>
          <w:bCs/>
          <w:color w:val="000000" w:themeColor="text1"/>
          <w:sz w:val="33"/>
          <w:szCs w:val="33"/>
          <w14:textFill>
            <w14:solidFill>
              <w14:schemeClr w14:val="tx1"/>
            </w14:solidFill>
          </w14:textFill>
        </w:rPr>
        <w:t>提质增效。</w:t>
      </w:r>
      <w:r>
        <w:rPr>
          <w:rFonts w:ascii="Times New Roman" w:eastAsia="方正仿宋_GBK"/>
          <w:color w:val="000000" w:themeColor="text1"/>
          <w:sz w:val="33"/>
          <w:szCs w:val="33"/>
          <w14:textFill>
            <w14:solidFill>
              <w14:schemeClr w14:val="tx1"/>
            </w14:solidFill>
          </w14:textFill>
        </w:rPr>
        <w:t>红果彝族乡是盐边县的产煤大乡，辖区已探明煤炭储量1.8亿吨，各煤矿共保有0.4亿吨，已动用0.32亿吨，未占用煤炭资源储量共有1.08亿吨</w:t>
      </w:r>
      <w:r>
        <w:rPr>
          <w:rFonts w:hint="eastAsia" w:ascii="Times New Roman" w:eastAsia="方正仿宋_GBK"/>
          <w:color w:val="000000" w:themeColor="text1"/>
          <w:sz w:val="33"/>
          <w:szCs w:val="33"/>
          <w14:textFill>
            <w14:solidFill>
              <w14:schemeClr w14:val="tx1"/>
            </w14:solidFill>
          </w14:textFill>
        </w:rPr>
        <w:t>，</w:t>
      </w:r>
      <w:r>
        <w:rPr>
          <w:rFonts w:ascii="Times New Roman" w:eastAsia="方正仿宋_GBK"/>
          <w:color w:val="000000" w:themeColor="text1"/>
          <w:sz w:val="33"/>
          <w:szCs w:val="33"/>
          <w14:textFill>
            <w14:solidFill>
              <w14:schemeClr w14:val="tx1"/>
            </w14:solidFill>
          </w14:textFill>
        </w:rPr>
        <w:t>煤炭产业是红果立乡之本，有过辉煌的</w:t>
      </w:r>
      <w:r>
        <w:rPr>
          <w:rFonts w:hint="eastAsia" w:ascii="方正仿宋_GBK" w:hAnsi="方正仿宋_GBK" w:eastAsia="方正仿宋_GBK" w:cs="方正仿宋_GBK"/>
          <w:color w:val="000000" w:themeColor="text1"/>
          <w:sz w:val="33"/>
          <w:szCs w:val="33"/>
          <w14:textFill>
            <w14:solidFill>
              <w14:schemeClr w14:val="tx1"/>
            </w14:solidFill>
          </w14:textFill>
        </w:rPr>
        <w:t>历史。因国家政策调整，煤矿企业要兼并重组，长期处于关闭关停状态。停产升级改造使经济发展步伐缓慢，停产升级改造使维稳压力倍增。如今，县委推进煤炭产业清洁高效整合提升攻坚突破行动。丰源煤矿、三维煤业、龙蟒煤业重整扩能招商取得成效，攀枝花市钢企集团、达州新开建设发展集团有限公司、四川德满盛有限责任公司等一批国有企业入驻红果。恒辉煤业、金谷煤业和永生炭业招商重整工作和改造升级工程有序推进。红果煤业复工复产指日可待，工业经济提质增效可期。</w:t>
      </w:r>
    </w:p>
    <w:p>
      <w:pPr>
        <w:pStyle w:val="2"/>
        <w:spacing w:before="93" w:line="560" w:lineRule="exact"/>
        <w:ind w:firstLine="662" w:firstLineChars="200"/>
        <w:rPr>
          <w:rFonts w:eastAsia="方正仿宋_GBK"/>
          <w:color w:val="000000" w:themeColor="text1"/>
          <w:sz w:val="33"/>
          <w:szCs w:val="33"/>
          <w14:textFill>
            <w14:solidFill>
              <w14:schemeClr w14:val="tx1"/>
            </w14:solidFill>
          </w14:textFill>
        </w:rPr>
      </w:pPr>
      <w:r>
        <w:rPr>
          <w:rFonts w:hint="eastAsia" w:eastAsia="方正楷体_GBK"/>
          <w:b/>
          <w:bCs/>
          <w:color w:val="000000" w:themeColor="text1"/>
          <w:sz w:val="33"/>
          <w:szCs w:val="33"/>
          <w14:textFill>
            <w14:solidFill>
              <w14:schemeClr w14:val="tx1"/>
            </w14:solidFill>
          </w14:textFill>
        </w:rPr>
        <w:t>坚持</w:t>
      </w:r>
      <w:r>
        <w:rPr>
          <w:rFonts w:ascii="Times New Roman" w:eastAsia="方正楷体_GBK"/>
          <w:b/>
          <w:bCs/>
          <w:color w:val="000000" w:themeColor="text1"/>
          <w:sz w:val="33"/>
          <w:szCs w:val="33"/>
          <w14:textFill>
            <w14:solidFill>
              <w14:schemeClr w14:val="tx1"/>
            </w14:solidFill>
          </w14:textFill>
        </w:rPr>
        <w:t>党建引领，</w:t>
      </w:r>
      <w:r>
        <w:rPr>
          <w:rFonts w:hint="eastAsia" w:eastAsia="方正楷体_GBK"/>
          <w:b/>
          <w:bCs/>
          <w:color w:val="000000" w:themeColor="text1"/>
          <w:sz w:val="33"/>
          <w:szCs w:val="33"/>
          <w14:textFill>
            <w14:solidFill>
              <w14:schemeClr w14:val="tx1"/>
            </w14:solidFill>
          </w14:textFill>
        </w:rPr>
        <w:t>全面</w:t>
      </w:r>
      <w:r>
        <w:rPr>
          <w:rFonts w:ascii="Times New Roman" w:eastAsia="方正楷体_GBK"/>
          <w:b/>
          <w:bCs/>
          <w:color w:val="000000" w:themeColor="text1"/>
          <w:sz w:val="33"/>
          <w:szCs w:val="33"/>
          <w14:textFill>
            <w14:solidFill>
              <w14:schemeClr w14:val="tx1"/>
            </w14:solidFill>
          </w14:textFill>
        </w:rPr>
        <w:t>助力乡村振兴。</w:t>
      </w:r>
      <w:r>
        <w:rPr>
          <w:rFonts w:ascii="Times New Roman" w:eastAsia="方正仿宋_GBK"/>
          <w:b/>
          <w:bCs/>
          <w:color w:val="000000" w:themeColor="text1"/>
          <w:sz w:val="33"/>
          <w:szCs w:val="33"/>
          <w14:textFill>
            <w14:solidFill>
              <w14:schemeClr w14:val="tx1"/>
            </w14:solidFill>
          </w14:textFill>
        </w:rPr>
        <w:t>一是</w:t>
      </w:r>
      <w:r>
        <w:rPr>
          <w:rFonts w:ascii="Times New Roman" w:eastAsia="方正仿宋_GBK"/>
          <w:color w:val="000000" w:themeColor="text1"/>
          <w:sz w:val="33"/>
          <w:szCs w:val="33"/>
          <w14:textFill>
            <w14:solidFill>
              <w14:schemeClr w14:val="tx1"/>
            </w14:solidFill>
          </w14:textFill>
        </w:rPr>
        <w:t>打造升级标准化党员活动室和村级活动阵地5个</w:t>
      </w:r>
      <w:r>
        <w:rPr>
          <w:rFonts w:hint="eastAsia" w:eastAsia="方正仿宋_GBK"/>
          <w:color w:val="000000" w:themeColor="text1"/>
          <w:sz w:val="33"/>
          <w:szCs w:val="33"/>
          <w14:textFill>
            <w14:solidFill>
              <w14:schemeClr w14:val="tx1"/>
            </w14:solidFill>
          </w14:textFill>
        </w:rPr>
        <w:t>，</w:t>
      </w:r>
      <w:r>
        <w:rPr>
          <w:rFonts w:ascii="Times New Roman" w:eastAsia="方正仿宋_GBK"/>
          <w:color w:val="000000" w:themeColor="text1"/>
          <w:sz w:val="33"/>
          <w:szCs w:val="33"/>
          <w14:textFill>
            <w14:solidFill>
              <w14:schemeClr w14:val="tx1"/>
            </w14:solidFill>
          </w14:textFill>
        </w:rPr>
        <w:t>不断夯实基层战斗堡垒</w:t>
      </w:r>
      <w:r>
        <w:rPr>
          <w:rFonts w:hint="eastAsia" w:eastAsia="方正仿宋_GBK"/>
          <w:color w:val="000000" w:themeColor="text1"/>
          <w:sz w:val="33"/>
          <w:szCs w:val="33"/>
          <w14:textFill>
            <w14:solidFill>
              <w14:schemeClr w14:val="tx1"/>
            </w14:solidFill>
          </w14:textFill>
        </w:rPr>
        <w:t>，</w:t>
      </w:r>
      <w:r>
        <w:rPr>
          <w:rFonts w:ascii="Times New Roman" w:eastAsia="方正仿宋_GBK"/>
          <w:color w:val="000000" w:themeColor="text1"/>
          <w:sz w:val="33"/>
          <w:szCs w:val="33"/>
          <w14:textFill>
            <w14:solidFill>
              <w14:schemeClr w14:val="tx1"/>
            </w14:solidFill>
          </w14:textFill>
        </w:rPr>
        <w:t>动员60余名机关干部及200余名基层党员主动参与“我为群众办实事”实践活动，完成重点民生实事13件，不断提升群众满意度。</w:t>
      </w:r>
      <w:r>
        <w:rPr>
          <w:rFonts w:ascii="Times New Roman" w:eastAsia="方正仿宋_GBK"/>
          <w:b/>
          <w:bCs/>
          <w:color w:val="000000" w:themeColor="text1"/>
          <w:sz w:val="33"/>
          <w:szCs w:val="33"/>
          <w14:textFill>
            <w14:solidFill>
              <w14:schemeClr w14:val="tx1"/>
            </w14:solidFill>
          </w14:textFill>
        </w:rPr>
        <w:t>二是</w:t>
      </w:r>
      <w:r>
        <w:rPr>
          <w:rFonts w:ascii="Times New Roman" w:eastAsia="方正仿宋_GBK"/>
          <w:color w:val="000000" w:themeColor="text1"/>
          <w:sz w:val="33"/>
          <w:szCs w:val="33"/>
          <w14:textFill>
            <w14:solidFill>
              <w14:schemeClr w14:val="tx1"/>
            </w14:solidFill>
          </w14:textFill>
        </w:rPr>
        <w:t>制定集体经济“一村一策”，促进集体经济发展，谋划集体经济项目16个。</w:t>
      </w:r>
      <w:r>
        <w:rPr>
          <w:rFonts w:hint="eastAsia" w:eastAsia="方正仿宋_GBK"/>
          <w:color w:val="000000" w:themeColor="text1"/>
          <w:sz w:val="33"/>
          <w:szCs w:val="33"/>
          <w14:textFill>
            <w14:solidFill>
              <w14:schemeClr w14:val="tx1"/>
            </w14:solidFill>
          </w14:textFill>
        </w:rPr>
        <w:t>2022年，</w:t>
      </w:r>
      <w:r>
        <w:rPr>
          <w:rFonts w:ascii="Times New Roman" w:eastAsia="方正仿宋_GBK"/>
          <w:color w:val="000000" w:themeColor="text1"/>
          <w:sz w:val="33"/>
          <w:szCs w:val="33"/>
          <w14:textFill>
            <w14:solidFill>
              <w14:schemeClr w14:val="tx1"/>
            </w14:solidFill>
          </w14:textFill>
        </w:rPr>
        <w:t>全乡集体经济总收入72.1万元，6个村均完成3万元以上的消薄任务，</w:t>
      </w:r>
      <w:r>
        <w:rPr>
          <w:rFonts w:hint="eastAsia" w:eastAsia="方正仿宋_GBK"/>
          <w:color w:val="000000" w:themeColor="text1"/>
          <w:sz w:val="33"/>
          <w:szCs w:val="33"/>
          <w14:textFill>
            <w14:solidFill>
              <w14:schemeClr w14:val="tx1"/>
            </w14:solidFill>
          </w14:textFill>
        </w:rPr>
        <w:t>进一步提升</w:t>
      </w:r>
      <w:r>
        <w:rPr>
          <w:rFonts w:ascii="Times New Roman" w:eastAsia="方正仿宋_GBK"/>
          <w:color w:val="000000" w:themeColor="text1"/>
          <w:sz w:val="33"/>
          <w:szCs w:val="33"/>
          <w14:textFill>
            <w14:solidFill>
              <w14:schemeClr w14:val="tx1"/>
            </w14:solidFill>
          </w14:textFill>
        </w:rPr>
        <w:t>集体经济活力。</w:t>
      </w:r>
      <w:r>
        <w:rPr>
          <w:rFonts w:ascii="Times New Roman" w:eastAsia="方正仿宋_GBK"/>
          <w:b/>
          <w:color w:val="000000" w:themeColor="text1"/>
          <w:sz w:val="33"/>
          <w:szCs w:val="33"/>
          <w14:textFill>
            <w14:solidFill>
              <w14:schemeClr w14:val="tx1"/>
            </w14:solidFill>
          </w14:textFill>
        </w:rPr>
        <w:t>三是</w:t>
      </w:r>
      <w:r>
        <w:rPr>
          <w:rFonts w:ascii="Times New Roman" w:eastAsia="方正仿宋_GBK"/>
          <w:color w:val="000000" w:themeColor="text1"/>
          <w:sz w:val="33"/>
          <w:szCs w:val="33"/>
          <w14:textFill>
            <w14:solidFill>
              <w14:schemeClr w14:val="tx1"/>
            </w14:solidFill>
          </w14:textFill>
        </w:rPr>
        <w:t>建</w:t>
      </w:r>
      <w:r>
        <w:rPr>
          <w:rFonts w:hint="eastAsia" w:eastAsia="方正仿宋_GBK"/>
          <w:color w:val="000000" w:themeColor="text1"/>
          <w:sz w:val="33"/>
          <w:szCs w:val="33"/>
          <w14:textFill>
            <w14:solidFill>
              <w14:schemeClr w14:val="tx1"/>
            </w14:solidFill>
          </w14:textFill>
        </w:rPr>
        <w:t>成</w:t>
      </w:r>
      <w:r>
        <w:rPr>
          <w:rFonts w:ascii="Times New Roman" w:eastAsia="方正仿宋_GBK"/>
          <w:color w:val="000000" w:themeColor="text1"/>
          <w:sz w:val="33"/>
          <w:szCs w:val="33"/>
          <w14:textFill>
            <w14:solidFill>
              <w14:schemeClr w14:val="tx1"/>
            </w14:solidFill>
          </w14:textFill>
        </w:rPr>
        <w:t>三滩村、红果村、花地村1.5万亩标准化、规模化芒果基地，2.5万亩核桃基地，花地村、梁子田村油桃、李子基地5千亩。新增家庭农场31家，获得县级示范家庭农场2户，市级示范家庭农场3户。</w:t>
      </w:r>
    </w:p>
    <w:p>
      <w:pPr>
        <w:pStyle w:val="2"/>
        <w:spacing w:before="93" w:line="560" w:lineRule="exact"/>
        <w:ind w:firstLine="662" w:firstLineChars="200"/>
        <w:rPr>
          <w:rFonts w:eastAsia="方正仿宋_GBK"/>
          <w:color w:val="000000" w:themeColor="text1"/>
          <w:sz w:val="33"/>
          <w:szCs w:val="33"/>
          <w14:textFill>
            <w14:solidFill>
              <w14:schemeClr w14:val="tx1"/>
            </w14:solidFill>
          </w14:textFill>
        </w:rPr>
      </w:pPr>
      <w:r>
        <w:rPr>
          <w:rFonts w:hint="eastAsia" w:ascii="Times New Roman" w:eastAsia="方正楷体_GBK"/>
          <w:b/>
          <w:bCs/>
          <w:color w:val="000000" w:themeColor="text1"/>
          <w:sz w:val="33"/>
          <w:szCs w:val="33"/>
          <w14:textFill>
            <w14:solidFill>
              <w14:schemeClr w14:val="tx1"/>
            </w14:solidFill>
          </w14:textFill>
        </w:rPr>
        <w:t>提升</w:t>
      </w:r>
      <w:r>
        <w:rPr>
          <w:rFonts w:ascii="Times New Roman" w:eastAsia="方正楷体_GBK"/>
          <w:b/>
          <w:bCs/>
          <w:color w:val="000000" w:themeColor="text1"/>
          <w:sz w:val="33"/>
          <w:szCs w:val="33"/>
          <w14:textFill>
            <w14:solidFill>
              <w14:schemeClr w14:val="tx1"/>
            </w14:solidFill>
          </w14:textFill>
        </w:rPr>
        <w:t>服务</w:t>
      </w:r>
      <w:r>
        <w:rPr>
          <w:rFonts w:hint="eastAsia" w:ascii="Times New Roman" w:eastAsia="方正楷体_GBK"/>
          <w:b/>
          <w:bCs/>
          <w:color w:val="000000" w:themeColor="text1"/>
          <w:sz w:val="33"/>
          <w:szCs w:val="33"/>
          <w14:textFill>
            <w14:solidFill>
              <w14:schemeClr w14:val="tx1"/>
            </w14:solidFill>
          </w14:textFill>
        </w:rPr>
        <w:t>质量</w:t>
      </w:r>
      <w:r>
        <w:rPr>
          <w:rFonts w:ascii="Times New Roman" w:eastAsia="方正楷体_GBK"/>
          <w:b/>
          <w:bCs/>
          <w:color w:val="000000" w:themeColor="text1"/>
          <w:sz w:val="33"/>
          <w:szCs w:val="33"/>
          <w14:textFill>
            <w14:solidFill>
              <w14:schemeClr w14:val="tx1"/>
            </w14:solidFill>
          </w14:textFill>
        </w:rPr>
        <w:t>，加速“农文旅”融合发展。</w:t>
      </w:r>
      <w:r>
        <w:rPr>
          <w:rFonts w:hint="eastAsia" w:ascii="方正仿宋_GBK" w:hAnsi="方正仿宋_GBK" w:eastAsia="方正仿宋_GBK" w:cs="方正仿宋_GBK"/>
          <w:b/>
          <w:bCs/>
          <w:color w:val="000000" w:themeColor="text1"/>
          <w:sz w:val="33"/>
          <w:szCs w:val="33"/>
          <w14:textFill>
            <w14:solidFill>
              <w14:schemeClr w14:val="tx1"/>
            </w14:solidFill>
          </w14:textFill>
        </w:rPr>
        <w:t>一是</w:t>
      </w:r>
      <w:r>
        <w:rPr>
          <w:rFonts w:hint="eastAsia" w:ascii="方正仿宋_GBK" w:hAnsi="方正仿宋_GBK" w:eastAsia="方正仿宋_GBK" w:cs="方正仿宋_GBK"/>
          <w:color w:val="000000" w:themeColor="text1"/>
          <w:sz w:val="33"/>
          <w:szCs w:val="33"/>
          <w14:textFill>
            <w14:solidFill>
              <w14:schemeClr w14:val="tx1"/>
            </w14:solidFill>
          </w14:textFill>
        </w:rPr>
        <w:t>立足</w:t>
      </w:r>
      <w:r>
        <w:rPr>
          <w:rFonts w:ascii="Times New Roman" w:eastAsia="方正仿宋_GBK"/>
          <w:color w:val="000000" w:themeColor="text1"/>
          <w:sz w:val="33"/>
          <w:szCs w:val="33"/>
          <w14:textFill>
            <w14:solidFill>
              <w14:schemeClr w14:val="tx1"/>
            </w14:solidFill>
          </w14:textFill>
        </w:rPr>
        <w:t>“</w:t>
      </w:r>
      <w:r>
        <w:rPr>
          <w:rFonts w:hint="eastAsia" w:ascii="方正仿宋_GBK" w:hAnsi="方正仿宋_GBK" w:eastAsia="方正仿宋_GBK" w:cs="方正仿宋_GBK"/>
          <w:color w:val="000000" w:themeColor="text1"/>
          <w:sz w:val="33"/>
          <w:szCs w:val="33"/>
          <w14:textFill>
            <w14:solidFill>
              <w14:schemeClr w14:val="tx1"/>
            </w14:solidFill>
          </w14:textFill>
        </w:rPr>
        <w:t>二滩一湖水</w:t>
      </w:r>
      <w:r>
        <w:rPr>
          <w:rFonts w:ascii="Times New Roman" w:eastAsia="方正仿宋_GBK"/>
          <w:color w:val="000000" w:themeColor="text1"/>
          <w:sz w:val="33"/>
          <w:szCs w:val="33"/>
          <w14:textFill>
            <w14:solidFill>
              <w14:schemeClr w14:val="tx1"/>
            </w14:solidFill>
          </w14:textFill>
        </w:rPr>
        <w:t>”</w:t>
      </w:r>
      <w:r>
        <w:rPr>
          <w:rFonts w:hint="eastAsia" w:ascii="方正仿宋_GBK" w:hAnsi="方正仿宋_GBK" w:eastAsia="方正仿宋_GBK" w:cs="方正仿宋_GBK"/>
          <w:color w:val="000000" w:themeColor="text1"/>
          <w:sz w:val="33"/>
          <w:szCs w:val="33"/>
          <w14:textFill>
            <w14:solidFill>
              <w14:schemeClr w14:val="tx1"/>
            </w14:solidFill>
          </w14:textFill>
        </w:rPr>
        <w:t>核心资源优势，实施文旅融合提质行动，创新培育文旅特色品牌，围绕</w:t>
      </w:r>
      <w:r>
        <w:rPr>
          <w:rFonts w:ascii="Times New Roman" w:eastAsia="方正仿宋_GBK"/>
          <w:color w:val="000000" w:themeColor="text1"/>
          <w:sz w:val="33"/>
          <w:szCs w:val="33"/>
          <w14:textFill>
            <w14:solidFill>
              <w14:schemeClr w14:val="tx1"/>
            </w14:solidFill>
          </w14:textFill>
        </w:rPr>
        <w:t>“</w:t>
      </w:r>
      <w:r>
        <w:rPr>
          <w:rFonts w:hint="eastAsia" w:ascii="方正仿宋_GBK" w:hAnsi="方正仿宋_GBK" w:eastAsia="方正仿宋_GBK" w:cs="方正仿宋_GBK"/>
          <w:color w:val="000000" w:themeColor="text1"/>
          <w:sz w:val="33"/>
          <w:szCs w:val="33"/>
          <w14:textFill>
            <w14:solidFill>
              <w14:schemeClr w14:val="tx1"/>
            </w14:solidFill>
          </w14:textFill>
        </w:rPr>
        <w:t>滋味盐边</w:t>
      </w:r>
      <w:r>
        <w:rPr>
          <w:rFonts w:ascii="Times New Roman" w:eastAsia="方正仿宋_GBK"/>
          <w:color w:val="000000" w:themeColor="text1"/>
          <w:sz w:val="33"/>
          <w:szCs w:val="33"/>
          <w14:textFill>
            <w14:solidFill>
              <w14:schemeClr w14:val="tx1"/>
            </w14:solidFill>
          </w14:textFill>
        </w:rPr>
        <w:t>”</w:t>
      </w:r>
      <w:r>
        <w:rPr>
          <w:rFonts w:hint="eastAsia" w:ascii="方正仿宋_GBK" w:hAnsi="方正仿宋_GBK" w:eastAsia="方正仿宋_GBK" w:cs="方正仿宋_GBK"/>
          <w:color w:val="000000" w:themeColor="text1"/>
          <w:sz w:val="33"/>
          <w:szCs w:val="33"/>
          <w14:textFill>
            <w14:solidFill>
              <w14:schemeClr w14:val="tx1"/>
            </w14:solidFill>
          </w14:textFill>
        </w:rPr>
        <w:t>品牌建设，持续加大傈僳族特色</w:t>
      </w:r>
      <w:r>
        <w:rPr>
          <w:rFonts w:ascii="Times New Roman" w:eastAsia="方正仿宋_GBK"/>
          <w:color w:val="000000" w:themeColor="text1"/>
          <w:sz w:val="33"/>
          <w:szCs w:val="33"/>
          <w14:textFill>
            <w14:solidFill>
              <w14:schemeClr w14:val="tx1"/>
            </w14:solidFill>
          </w14:textFill>
        </w:rPr>
        <w:t>“</w:t>
      </w:r>
      <w:r>
        <w:rPr>
          <w:rFonts w:hint="eastAsia" w:ascii="方正仿宋_GBK" w:hAnsi="方正仿宋_GBK" w:eastAsia="方正仿宋_GBK" w:cs="方正仿宋_GBK"/>
          <w:color w:val="000000" w:themeColor="text1"/>
          <w:sz w:val="33"/>
          <w:szCs w:val="33"/>
          <w14:textFill>
            <w14:solidFill>
              <w14:schemeClr w14:val="tx1"/>
            </w14:solidFill>
          </w14:textFill>
        </w:rPr>
        <w:t>手抓饭</w:t>
      </w:r>
      <w:r>
        <w:rPr>
          <w:rFonts w:ascii="Times New Roman" w:eastAsia="方正仿宋_GBK"/>
          <w:color w:val="000000" w:themeColor="text1"/>
          <w:sz w:val="33"/>
          <w:szCs w:val="33"/>
          <w14:textFill>
            <w14:solidFill>
              <w14:schemeClr w14:val="tx1"/>
            </w14:solidFill>
          </w14:textFill>
        </w:rPr>
        <w:t>”</w:t>
      </w:r>
      <w:r>
        <w:rPr>
          <w:rFonts w:hint="eastAsia" w:ascii="方正仿宋_GBK" w:hAnsi="方正仿宋_GBK" w:eastAsia="方正仿宋_GBK" w:cs="方正仿宋_GBK"/>
          <w:color w:val="000000" w:themeColor="text1"/>
          <w:sz w:val="33"/>
          <w:szCs w:val="33"/>
          <w14:textFill>
            <w14:solidFill>
              <w14:schemeClr w14:val="tx1"/>
            </w14:solidFill>
          </w14:textFill>
        </w:rPr>
        <w:t>宣传推广力度，持续推进旅游基础设施建设，把对外交通改观优势转化为四方来客聚集优势。</w:t>
      </w:r>
      <w:r>
        <w:rPr>
          <w:rFonts w:ascii="Times New Roman" w:eastAsia="方正仿宋_GBK"/>
          <w:b/>
          <w:bCs/>
          <w:color w:val="000000" w:themeColor="text1"/>
          <w:sz w:val="33"/>
          <w:szCs w:val="33"/>
          <w14:textFill>
            <w14:solidFill>
              <w14:schemeClr w14:val="tx1"/>
            </w14:solidFill>
          </w14:textFill>
        </w:rPr>
        <w:t>二是</w:t>
      </w:r>
      <w:r>
        <w:rPr>
          <w:rFonts w:ascii="Times New Roman" w:eastAsia="方正仿宋_GBK"/>
          <w:color w:val="000000" w:themeColor="text1"/>
          <w:sz w:val="33"/>
          <w:szCs w:val="33"/>
          <w14:textFill>
            <w14:solidFill>
              <w14:schemeClr w14:val="tx1"/>
            </w14:solidFill>
          </w14:textFill>
        </w:rPr>
        <w:t>成功申报6项傈僳族非物质文化遗产，傈僳族非物质文化遗产传习中心挂牌为“攀枝花三线博物馆分馆”，红果彝族乡被命名为“四川省民间文化艺术之乡”，三滩村成功被中国非物质文化遗产保护协会命名为“2022年全国非遗与旅游融合发展优选项目名录”。</w:t>
      </w:r>
    </w:p>
    <w:p>
      <w:pPr>
        <w:pStyle w:val="2"/>
        <w:spacing w:before="93" w:line="560" w:lineRule="exact"/>
        <w:rPr>
          <w:rFonts w:eastAsia="方正仿宋_GBK"/>
          <w:color w:val="000000" w:themeColor="text1"/>
          <w:sz w:val="33"/>
          <w:szCs w:val="33"/>
          <w14:textFill>
            <w14:solidFill>
              <w14:schemeClr w14:val="tx1"/>
            </w14:solidFill>
          </w14:textFill>
        </w:rPr>
      </w:pPr>
      <w:r>
        <w:rPr>
          <w:rFonts w:hint="eastAsia" w:eastAsia="方正仿宋_GBK"/>
          <w:b/>
          <w:bCs/>
          <w:color w:val="000000" w:themeColor="text1"/>
          <w:sz w:val="33"/>
          <w:szCs w:val="33"/>
          <w14:textFill>
            <w14:solidFill>
              <w14:schemeClr w14:val="tx1"/>
            </w14:solidFill>
          </w14:textFill>
        </w:rPr>
        <w:t>三</w:t>
      </w:r>
      <w:r>
        <w:rPr>
          <w:rFonts w:ascii="Times New Roman" w:eastAsia="方正仿宋_GBK"/>
          <w:b/>
          <w:bCs/>
          <w:color w:val="000000" w:themeColor="text1"/>
          <w:sz w:val="33"/>
          <w:szCs w:val="33"/>
          <w14:textFill>
            <w14:solidFill>
              <w14:schemeClr w14:val="tx1"/>
            </w14:solidFill>
          </w14:textFill>
        </w:rPr>
        <w:t>是</w:t>
      </w:r>
      <w:r>
        <w:rPr>
          <w:rFonts w:ascii="Times New Roman" w:eastAsia="方正仿宋_GBK"/>
          <w:color w:val="000000" w:themeColor="text1"/>
          <w:sz w:val="33"/>
          <w:szCs w:val="33"/>
          <w14:textFill>
            <w14:solidFill>
              <w14:schemeClr w14:val="tx1"/>
            </w14:solidFill>
          </w14:textFill>
        </w:rPr>
        <w:t>组织开展实用技能培训班2场次70余人次、召开专场招聘会1次，提供就业岗位120余个，持续做强优质劳务产业。</w:t>
      </w:r>
    </w:p>
    <w:p>
      <w:pPr>
        <w:spacing w:line="560" w:lineRule="exact"/>
        <w:ind w:firstLine="662" w:firstLineChars="200"/>
        <w:rPr>
          <w:color w:val="000000" w:themeColor="text1"/>
          <w14:textFill>
            <w14:solidFill>
              <w14:schemeClr w14:val="tx1"/>
            </w14:solidFill>
          </w14:textFill>
        </w:rPr>
      </w:pPr>
      <w:r>
        <w:rPr>
          <w:rFonts w:eastAsia="方正楷体_GBK"/>
          <w:b/>
          <w:bCs/>
          <w:color w:val="000000" w:themeColor="text1"/>
          <w:sz w:val="33"/>
          <w:szCs w:val="33"/>
          <w14:textFill>
            <w14:solidFill>
              <w14:schemeClr w14:val="tx1"/>
            </w14:solidFill>
          </w14:textFill>
        </w:rPr>
        <w:t>（五）强化责任担当，</w:t>
      </w:r>
      <w:r>
        <w:rPr>
          <w:rFonts w:hint="eastAsia" w:eastAsia="方正楷体_GBK"/>
          <w:b/>
          <w:bCs/>
          <w:color w:val="000000" w:themeColor="text1"/>
          <w:sz w:val="33"/>
          <w:szCs w:val="33"/>
          <w14:textFill>
            <w14:solidFill>
              <w14:schemeClr w14:val="tx1"/>
            </w14:solidFill>
          </w14:textFill>
        </w:rPr>
        <w:t>“双防”工作实现“双胜利”</w:t>
      </w:r>
      <w:r>
        <w:rPr>
          <w:rFonts w:eastAsia="方正楷体_GBK"/>
          <w:b/>
          <w:bCs/>
          <w:color w:val="000000" w:themeColor="text1"/>
          <w:sz w:val="33"/>
          <w:szCs w:val="33"/>
          <w14:textFill>
            <w14:solidFill>
              <w14:schemeClr w14:val="tx1"/>
            </w14:solidFill>
          </w14:textFill>
        </w:rPr>
        <w:t>。</w:t>
      </w:r>
      <w:r>
        <w:rPr>
          <w:rFonts w:eastAsia="方正仿宋_GBK"/>
          <w:b/>
          <w:bCs/>
          <w:color w:val="000000" w:themeColor="text1"/>
          <w:sz w:val="33"/>
          <w:szCs w:val="33"/>
          <w14:textFill>
            <w14:solidFill>
              <w14:schemeClr w14:val="tx1"/>
            </w14:solidFill>
          </w14:textFill>
        </w:rPr>
        <w:t>一是</w:t>
      </w:r>
      <w:r>
        <w:rPr>
          <w:rFonts w:eastAsia="方正仿宋_GBK"/>
          <w:color w:val="000000" w:themeColor="text1"/>
          <w:sz w:val="33"/>
          <w:szCs w:val="33"/>
          <w14:textFill>
            <w14:solidFill>
              <w14:schemeClr w14:val="tx1"/>
            </w14:solidFill>
          </w14:textFill>
        </w:rPr>
        <w:t>扎实开展森林草原防灭火工作，</w:t>
      </w:r>
      <w:r>
        <w:rPr>
          <w:rFonts w:hint="eastAsia" w:eastAsia="方正仿宋_GBK"/>
          <w:color w:val="000000" w:themeColor="text1"/>
          <w:sz w:val="33"/>
          <w:szCs w:val="33"/>
          <w14:textFill>
            <w14:solidFill>
              <w14:schemeClr w14:val="tx1"/>
            </w14:solidFill>
          </w14:textFill>
        </w:rPr>
        <w:t>构建273个联保体覆盖全乡2880户，不断</w:t>
      </w:r>
      <w:r>
        <w:rPr>
          <w:rFonts w:eastAsia="方正仿宋_GBK"/>
          <w:color w:val="000000" w:themeColor="text1"/>
          <w:sz w:val="33"/>
          <w:szCs w:val="33"/>
          <w14:textFill>
            <w14:solidFill>
              <w14:schemeClr w14:val="tx1"/>
            </w14:solidFill>
          </w14:textFill>
        </w:rPr>
        <w:t>压实“十户联保”责任，构建联防联控机制，印发宣传载体1万余份、清理四边里程50公里、清理可燃物50余吨、设立9个联防联控检查卡点</w:t>
      </w:r>
      <w:r>
        <w:rPr>
          <w:rFonts w:hint="eastAsia" w:eastAsia="方正仿宋_GBK"/>
          <w:color w:val="000000" w:themeColor="text1"/>
          <w:sz w:val="33"/>
          <w:szCs w:val="33"/>
          <w14:textFill>
            <w14:solidFill>
              <w14:schemeClr w14:val="tx1"/>
            </w14:solidFill>
          </w14:textFill>
        </w:rPr>
        <w:t>，全年实现“零火情”</w:t>
      </w:r>
      <w:r>
        <w:rPr>
          <w:rFonts w:eastAsia="方正仿宋_GBK"/>
          <w:color w:val="000000" w:themeColor="text1"/>
          <w:sz w:val="33"/>
          <w:szCs w:val="33"/>
          <w14:textFill>
            <w14:solidFill>
              <w14:schemeClr w14:val="tx1"/>
            </w14:solidFill>
          </w14:textFill>
        </w:rPr>
        <w:t>。</w:t>
      </w:r>
      <w:r>
        <w:rPr>
          <w:rFonts w:eastAsia="方正仿宋_GBK"/>
          <w:b/>
          <w:bCs/>
          <w:color w:val="000000" w:themeColor="text1"/>
          <w:sz w:val="33"/>
          <w:szCs w:val="33"/>
          <w14:textFill>
            <w14:solidFill>
              <w14:schemeClr w14:val="tx1"/>
            </w14:solidFill>
          </w14:textFill>
        </w:rPr>
        <w:t>二是</w:t>
      </w:r>
      <w:r>
        <w:rPr>
          <w:rFonts w:eastAsia="方正仿宋_GBK"/>
          <w:color w:val="000000" w:themeColor="text1"/>
          <w:sz w:val="33"/>
          <w:szCs w:val="33"/>
          <w14:textFill>
            <w14:solidFill>
              <w14:schemeClr w14:val="tx1"/>
            </w14:solidFill>
          </w14:textFill>
        </w:rPr>
        <w:t>坚持人民至上、生命至上，常态化</w:t>
      </w:r>
      <w:r>
        <w:rPr>
          <w:rFonts w:hint="eastAsia" w:eastAsia="方正仿宋_GBK"/>
          <w:color w:val="000000" w:themeColor="text1"/>
          <w:sz w:val="33"/>
          <w:szCs w:val="33"/>
          <w14:textFill>
            <w14:solidFill>
              <w14:schemeClr w14:val="tx1"/>
            </w14:solidFill>
          </w14:textFill>
        </w:rPr>
        <w:t>落实好</w:t>
      </w:r>
      <w:r>
        <w:rPr>
          <w:rFonts w:eastAsia="方正仿宋_GBK"/>
          <w:color w:val="000000" w:themeColor="text1"/>
          <w:sz w:val="33"/>
          <w:szCs w:val="33"/>
          <w14:textFill>
            <w14:solidFill>
              <w14:schemeClr w14:val="tx1"/>
            </w14:solidFill>
          </w14:textFill>
        </w:rPr>
        <w:t>防控措施，设立卡点排查10618人次，村（社区）网格化排查1863人次。全民接种新冠疫苗5191余剂次，开展7轮全员核酸检测，覆盖35700人次，</w:t>
      </w:r>
      <w:r>
        <w:rPr>
          <w:rFonts w:hint="eastAsia" w:eastAsia="方正仿宋_GBK"/>
          <w:color w:val="000000" w:themeColor="text1"/>
          <w:sz w:val="33"/>
          <w:szCs w:val="33"/>
          <w14:textFill>
            <w14:solidFill>
              <w14:schemeClr w14:val="tx1"/>
            </w14:solidFill>
          </w14:textFill>
        </w:rPr>
        <w:t>人民群众生命财产安全得到有效保障</w:t>
      </w:r>
      <w:r>
        <w:rPr>
          <w:rFonts w:eastAsia="方正仿宋_GBK"/>
          <w:color w:val="000000" w:themeColor="text1"/>
          <w:sz w:val="33"/>
          <w:szCs w:val="33"/>
          <w14:textFill>
            <w14:solidFill>
              <w14:schemeClr w14:val="tx1"/>
            </w14:solidFill>
          </w14:textFill>
        </w:rPr>
        <w:t>。</w:t>
      </w:r>
    </w:p>
    <w:p>
      <w:pPr>
        <w:pStyle w:val="2"/>
        <w:spacing w:before="93" w:line="560" w:lineRule="exact"/>
        <w:ind w:firstLine="662" w:firstLineChars="200"/>
        <w:rPr>
          <w:rFonts w:eastAsia="方正仿宋_GBK"/>
          <w:color w:val="000000" w:themeColor="text1"/>
          <w:sz w:val="33"/>
          <w:szCs w:val="33"/>
          <w14:textFill>
            <w14:solidFill>
              <w14:schemeClr w14:val="tx1"/>
            </w14:solidFill>
          </w14:textFill>
        </w:rPr>
      </w:pPr>
      <w:r>
        <w:rPr>
          <w:rFonts w:ascii="Times New Roman" w:eastAsia="方正楷体_GBK"/>
          <w:b/>
          <w:bCs/>
          <w:color w:val="000000" w:themeColor="text1"/>
          <w:kern w:val="2"/>
          <w:sz w:val="33"/>
          <w:szCs w:val="33"/>
          <w14:textFill>
            <w14:solidFill>
              <w14:schemeClr w14:val="tx1"/>
            </w14:solidFill>
          </w14:textFill>
        </w:rPr>
        <w:t>强化</w:t>
      </w:r>
      <w:r>
        <w:rPr>
          <w:rFonts w:hint="eastAsia" w:eastAsia="方正楷体_GBK"/>
          <w:b/>
          <w:bCs/>
          <w:color w:val="000000" w:themeColor="text1"/>
          <w:kern w:val="2"/>
          <w:sz w:val="33"/>
          <w:szCs w:val="33"/>
          <w14:textFill>
            <w14:solidFill>
              <w14:schemeClr w14:val="tx1"/>
            </w14:solidFill>
          </w14:textFill>
        </w:rPr>
        <w:t>生态</w:t>
      </w:r>
      <w:r>
        <w:rPr>
          <w:rFonts w:ascii="Times New Roman" w:eastAsia="方正楷体_GBK"/>
          <w:b/>
          <w:bCs/>
          <w:color w:val="000000" w:themeColor="text1"/>
          <w:kern w:val="2"/>
          <w:sz w:val="33"/>
          <w:szCs w:val="33"/>
          <w14:textFill>
            <w14:solidFill>
              <w14:schemeClr w14:val="tx1"/>
            </w14:solidFill>
          </w14:textFill>
        </w:rPr>
        <w:t>治理，乡域环境质量逐步提</w:t>
      </w:r>
      <w:r>
        <w:rPr>
          <w:rFonts w:hint="eastAsia" w:eastAsia="方正楷体_GBK"/>
          <w:b/>
          <w:bCs/>
          <w:color w:val="000000" w:themeColor="text1"/>
          <w:kern w:val="2"/>
          <w:sz w:val="33"/>
          <w:szCs w:val="33"/>
          <w14:textFill>
            <w14:solidFill>
              <w14:schemeClr w14:val="tx1"/>
            </w14:solidFill>
          </w14:textFill>
        </w:rPr>
        <w:t>升</w:t>
      </w:r>
      <w:r>
        <w:rPr>
          <w:rFonts w:ascii="Times New Roman" w:eastAsia="方正楷体_GBK"/>
          <w:b/>
          <w:bCs/>
          <w:color w:val="000000" w:themeColor="text1"/>
          <w:kern w:val="2"/>
          <w:sz w:val="33"/>
          <w:szCs w:val="33"/>
          <w14:textFill>
            <w14:solidFill>
              <w14:schemeClr w14:val="tx1"/>
            </w14:solidFill>
          </w14:textFill>
        </w:rPr>
        <w:t>。</w:t>
      </w:r>
      <w:r>
        <w:rPr>
          <w:rFonts w:ascii="Times New Roman" w:eastAsia="方正仿宋_GBK"/>
          <w:b/>
          <w:bCs/>
          <w:color w:val="000000" w:themeColor="text1"/>
          <w:kern w:val="2"/>
          <w:sz w:val="33"/>
          <w:szCs w:val="33"/>
          <w14:textFill>
            <w14:solidFill>
              <w14:schemeClr w14:val="tx1"/>
            </w14:solidFill>
          </w14:textFill>
        </w:rPr>
        <w:t>一是</w:t>
      </w:r>
      <w:r>
        <w:rPr>
          <w:rFonts w:ascii="Times New Roman" w:eastAsia="方正仿宋_GBK"/>
          <w:color w:val="000000" w:themeColor="text1"/>
          <w:sz w:val="33"/>
          <w:szCs w:val="33"/>
          <w14:textFill>
            <w14:solidFill>
              <w14:schemeClr w14:val="tx1"/>
            </w14:solidFill>
          </w14:textFill>
        </w:rPr>
        <w:t>持续打好污染防治攻坚战，完成中央生态环保督察反馈问题整改，持续开展长江流域十年禁渔</w:t>
      </w:r>
      <w:r>
        <w:rPr>
          <w:rFonts w:hint="eastAsia" w:eastAsia="方正仿宋_GBK"/>
          <w:color w:val="000000" w:themeColor="text1"/>
          <w:sz w:val="33"/>
          <w:szCs w:val="33"/>
          <w14:textFill>
            <w14:solidFill>
              <w14:schemeClr w14:val="tx1"/>
            </w14:solidFill>
          </w14:textFill>
        </w:rPr>
        <w:t>和</w:t>
      </w:r>
      <w:r>
        <w:rPr>
          <w:rFonts w:ascii="Times New Roman" w:eastAsia="方正仿宋_GBK"/>
          <w:color w:val="000000" w:themeColor="text1"/>
          <w:sz w:val="33"/>
          <w:szCs w:val="33"/>
          <w14:textFill>
            <w14:solidFill>
              <w14:schemeClr w14:val="tx1"/>
            </w14:solidFill>
          </w14:textFill>
        </w:rPr>
        <w:t>“河长制”</w:t>
      </w:r>
      <w:r>
        <w:rPr>
          <w:rFonts w:hint="eastAsia" w:eastAsia="方正仿宋_GBK"/>
          <w:color w:val="000000" w:themeColor="text1"/>
          <w:sz w:val="33"/>
          <w:szCs w:val="33"/>
          <w14:textFill>
            <w14:solidFill>
              <w14:schemeClr w14:val="tx1"/>
            </w14:solidFill>
          </w14:textFill>
        </w:rPr>
        <w:t>工作</w:t>
      </w:r>
      <w:r>
        <w:rPr>
          <w:rFonts w:ascii="Times New Roman" w:eastAsia="方正仿宋_GBK"/>
          <w:color w:val="000000" w:themeColor="text1"/>
          <w:sz w:val="33"/>
          <w:szCs w:val="33"/>
          <w14:textFill>
            <w14:solidFill>
              <w14:schemeClr w14:val="tx1"/>
            </w14:solidFill>
          </w14:textFill>
        </w:rPr>
        <w:t>，红果河、红坭河流域、二滩库区生态环境综合治理</w:t>
      </w:r>
      <w:r>
        <w:rPr>
          <w:rFonts w:hint="eastAsia" w:eastAsia="方正仿宋_GBK"/>
          <w:color w:val="000000" w:themeColor="text1"/>
          <w:sz w:val="33"/>
          <w:szCs w:val="33"/>
          <w14:textFill>
            <w14:solidFill>
              <w14:schemeClr w14:val="tx1"/>
            </w14:solidFill>
          </w14:textFill>
        </w:rPr>
        <w:t>成效初显</w:t>
      </w:r>
      <w:r>
        <w:rPr>
          <w:rFonts w:ascii="Times New Roman" w:eastAsia="方正仿宋_GBK"/>
          <w:color w:val="000000" w:themeColor="text1"/>
          <w:sz w:val="33"/>
          <w:szCs w:val="33"/>
          <w14:textFill>
            <w14:solidFill>
              <w14:schemeClr w14:val="tx1"/>
            </w14:solidFill>
          </w14:textFill>
        </w:rPr>
        <w:t>。</w:t>
      </w:r>
      <w:r>
        <w:rPr>
          <w:rFonts w:ascii="Times New Roman" w:eastAsia="方正仿宋_GBK"/>
          <w:b/>
          <w:bCs/>
          <w:color w:val="000000" w:themeColor="text1"/>
          <w:kern w:val="2"/>
          <w:sz w:val="33"/>
          <w:szCs w:val="33"/>
          <w14:textFill>
            <w14:solidFill>
              <w14:schemeClr w14:val="tx1"/>
            </w14:solidFill>
          </w14:textFill>
        </w:rPr>
        <w:t>二是</w:t>
      </w:r>
      <w:r>
        <w:rPr>
          <w:rFonts w:hint="eastAsia" w:eastAsia="方正仿宋_GBK"/>
          <w:color w:val="000000" w:themeColor="text1"/>
          <w:sz w:val="33"/>
          <w:szCs w:val="33"/>
          <w14:textFill>
            <w14:solidFill>
              <w14:schemeClr w14:val="tx1"/>
            </w14:solidFill>
          </w14:textFill>
        </w:rPr>
        <w:t>认真践行“绿水青山就是金山银山”生态理念，</w:t>
      </w:r>
      <w:r>
        <w:rPr>
          <w:rFonts w:ascii="Times New Roman" w:eastAsia="方正仿宋_GBK"/>
          <w:color w:val="000000" w:themeColor="text1"/>
          <w:sz w:val="33"/>
          <w:szCs w:val="33"/>
          <w14:textFill>
            <w14:solidFill>
              <w14:schemeClr w14:val="tx1"/>
            </w14:solidFill>
          </w14:textFill>
        </w:rPr>
        <w:t>加强矿山生态修复，全面落实“林长制”工作</w:t>
      </w:r>
      <w:r>
        <w:rPr>
          <w:rFonts w:hint="eastAsia" w:eastAsia="方正仿宋_GBK"/>
          <w:color w:val="000000" w:themeColor="text1"/>
          <w:sz w:val="33"/>
          <w:szCs w:val="33"/>
          <w14:textFill>
            <w14:solidFill>
              <w14:schemeClr w14:val="tx1"/>
            </w14:solidFill>
          </w14:textFill>
        </w:rPr>
        <w:t>，全年乡村两级林长巡林1058次，发现问题3个，解决问题3个</w:t>
      </w:r>
      <w:r>
        <w:rPr>
          <w:rFonts w:ascii="Times New Roman" w:eastAsia="方正仿宋_GBK"/>
          <w:color w:val="000000" w:themeColor="text1"/>
          <w:sz w:val="33"/>
          <w:szCs w:val="33"/>
          <w14:textFill>
            <w14:solidFill>
              <w14:schemeClr w14:val="tx1"/>
            </w14:solidFill>
          </w14:textFill>
        </w:rPr>
        <w:t>。</w:t>
      </w:r>
      <w:r>
        <w:rPr>
          <w:rFonts w:ascii="Times New Roman" w:eastAsia="方正仿宋_GBK"/>
          <w:b/>
          <w:bCs/>
          <w:color w:val="000000" w:themeColor="text1"/>
          <w:sz w:val="33"/>
          <w:szCs w:val="33"/>
          <w14:textFill>
            <w14:solidFill>
              <w14:schemeClr w14:val="tx1"/>
            </w14:solidFill>
          </w14:textFill>
        </w:rPr>
        <w:t>三是</w:t>
      </w:r>
      <w:r>
        <w:rPr>
          <w:rFonts w:ascii="Times New Roman" w:eastAsia="方正仿宋_GBK"/>
          <w:color w:val="000000" w:themeColor="text1"/>
          <w:sz w:val="33"/>
          <w:szCs w:val="33"/>
          <w14:textFill>
            <w14:solidFill>
              <w14:schemeClr w14:val="tx1"/>
            </w14:solidFill>
          </w14:textFill>
        </w:rPr>
        <w:t>扎实开展农村人居环境综合整治提升行动，完成846户农户农村厕所革命工作，建立完善“户分类、村收集、乡转运”的生活垃圾收运处置体系。</w:t>
      </w:r>
      <w:r>
        <w:rPr>
          <w:rFonts w:ascii="Times New Roman" w:eastAsia="方正仿宋_GBK"/>
          <w:b/>
          <w:bCs/>
          <w:color w:val="000000" w:themeColor="text1"/>
          <w:sz w:val="33"/>
          <w:szCs w:val="33"/>
          <w14:textFill>
            <w14:solidFill>
              <w14:schemeClr w14:val="tx1"/>
            </w14:solidFill>
          </w14:textFill>
        </w:rPr>
        <w:t>四是</w:t>
      </w:r>
      <w:r>
        <w:rPr>
          <w:rFonts w:ascii="Times New Roman" w:eastAsia="方正仿宋_GBK"/>
          <w:color w:val="000000" w:themeColor="text1"/>
          <w:sz w:val="33"/>
          <w:szCs w:val="33"/>
          <w14:textFill>
            <w14:solidFill>
              <w14:schemeClr w14:val="tx1"/>
            </w14:solidFill>
          </w14:textFill>
        </w:rPr>
        <w:t>完成梁子田村、红果村、蒿枝坪村、花椒箐村共计33.2公里“四好农村路”建设，共绿化村社道、田间道11公里，栽植各类苗木1万株，乡域面貌全面提升。</w:t>
      </w:r>
    </w:p>
    <w:p>
      <w:pPr>
        <w:spacing w:line="560" w:lineRule="exact"/>
        <w:ind w:firstLine="662" w:firstLineChars="200"/>
        <w:rPr>
          <w:rFonts w:eastAsia="方正仿宋_GBK"/>
          <w:color w:val="000000" w:themeColor="text1"/>
          <w:sz w:val="33"/>
          <w:szCs w:val="33"/>
          <w14:textFill>
            <w14:solidFill>
              <w14:schemeClr w14:val="tx1"/>
            </w14:solidFill>
          </w14:textFill>
        </w:rPr>
      </w:pPr>
      <w:r>
        <w:rPr>
          <w:rFonts w:eastAsia="方正楷体_GBK"/>
          <w:b/>
          <w:bCs/>
          <w:color w:val="000000" w:themeColor="text1"/>
          <w:sz w:val="33"/>
          <w:szCs w:val="33"/>
          <w14:textFill>
            <w14:solidFill>
              <w14:schemeClr w14:val="tx1"/>
            </w14:solidFill>
          </w14:textFill>
        </w:rPr>
        <w:t>聚焦民生福祉，社会保障体系不断</w:t>
      </w:r>
      <w:r>
        <w:rPr>
          <w:rFonts w:hint="eastAsia" w:eastAsia="方正楷体_GBK"/>
          <w:b/>
          <w:bCs/>
          <w:color w:val="000000" w:themeColor="text1"/>
          <w:sz w:val="33"/>
          <w:szCs w:val="33"/>
          <w14:textFill>
            <w14:solidFill>
              <w14:schemeClr w14:val="tx1"/>
            </w14:solidFill>
          </w14:textFill>
        </w:rPr>
        <w:t>完善</w:t>
      </w:r>
      <w:r>
        <w:rPr>
          <w:rFonts w:eastAsia="方正楷体_GBK"/>
          <w:b/>
          <w:bCs/>
          <w:color w:val="000000" w:themeColor="text1"/>
          <w:sz w:val="33"/>
          <w:szCs w:val="33"/>
          <w14:textFill>
            <w14:solidFill>
              <w14:schemeClr w14:val="tx1"/>
            </w14:solidFill>
          </w14:textFill>
        </w:rPr>
        <w:t>。</w:t>
      </w:r>
      <w:r>
        <w:rPr>
          <w:rFonts w:hint="eastAsia" w:eastAsia="方正楷体_GBK"/>
          <w:b/>
          <w:bCs/>
          <w:color w:val="000000" w:themeColor="text1"/>
          <w:sz w:val="33"/>
          <w:szCs w:val="33"/>
          <w14:textFill>
            <w14:solidFill>
              <w14:schemeClr w14:val="tx1"/>
            </w14:solidFill>
          </w14:textFill>
        </w:rPr>
        <w:t>一是</w:t>
      </w:r>
      <w:r>
        <w:rPr>
          <w:rFonts w:eastAsia="方正仿宋_GBK"/>
          <w:color w:val="000000" w:themeColor="text1"/>
          <w:sz w:val="33"/>
          <w:szCs w:val="33"/>
          <w14:textFill>
            <w14:solidFill>
              <w14:schemeClr w14:val="tx1"/>
            </w14:solidFill>
          </w14:textFill>
        </w:rPr>
        <w:t>落实民政救济和社会保障政策，纳入农村低保300户685人，城市低保共计11户13人，发放</w:t>
      </w:r>
      <w:r>
        <w:rPr>
          <w:rFonts w:hint="eastAsia" w:eastAsia="方正仿宋_GBK"/>
          <w:color w:val="000000" w:themeColor="text1"/>
          <w:sz w:val="33"/>
          <w:szCs w:val="33"/>
          <w14:textFill>
            <w14:solidFill>
              <w14:schemeClr w14:val="tx1"/>
            </w14:solidFill>
          </w14:textFill>
        </w:rPr>
        <w:t>城乡</w:t>
      </w:r>
      <w:r>
        <w:rPr>
          <w:rFonts w:eastAsia="方正仿宋_GBK"/>
          <w:color w:val="000000" w:themeColor="text1"/>
          <w:sz w:val="33"/>
          <w:szCs w:val="33"/>
          <w14:textFill>
            <w14:solidFill>
              <w14:schemeClr w14:val="tx1"/>
            </w14:solidFill>
          </w14:textFill>
        </w:rPr>
        <w:t>低保资金</w:t>
      </w:r>
      <w:r>
        <w:rPr>
          <w:rFonts w:hint="eastAsia" w:eastAsia="方正仿宋_GBK"/>
          <w:color w:val="000000" w:themeColor="text1"/>
          <w:sz w:val="33"/>
          <w:szCs w:val="33"/>
          <w14:textFill>
            <w14:solidFill>
              <w14:schemeClr w14:val="tx1"/>
            </w14:solidFill>
          </w14:textFill>
        </w:rPr>
        <w:t>386.5353</w:t>
      </w:r>
      <w:r>
        <w:rPr>
          <w:rFonts w:eastAsia="方正仿宋_GBK"/>
          <w:color w:val="000000" w:themeColor="text1"/>
          <w:sz w:val="33"/>
          <w:szCs w:val="33"/>
          <w14:textFill>
            <w14:solidFill>
              <w14:schemeClr w14:val="tx1"/>
            </w14:solidFill>
          </w14:textFill>
        </w:rPr>
        <w:t>万元，纳入五保户24人，发放五保生活款</w:t>
      </w:r>
      <w:r>
        <w:rPr>
          <w:rFonts w:hint="eastAsia" w:eastAsia="方正仿宋_GBK"/>
          <w:color w:val="000000" w:themeColor="text1"/>
          <w:sz w:val="33"/>
          <w:szCs w:val="33"/>
          <w14:textFill>
            <w14:solidFill>
              <w14:schemeClr w14:val="tx1"/>
            </w14:solidFill>
          </w14:textFill>
        </w:rPr>
        <w:t>20.216</w:t>
      </w:r>
      <w:r>
        <w:rPr>
          <w:rFonts w:eastAsia="方正仿宋_GBK"/>
          <w:color w:val="000000" w:themeColor="text1"/>
          <w:sz w:val="33"/>
          <w:szCs w:val="33"/>
          <w14:textFill>
            <w14:solidFill>
              <w14:schemeClr w14:val="tx1"/>
            </w14:solidFill>
          </w14:textFill>
        </w:rPr>
        <w:t>万元。</w:t>
      </w:r>
      <w:r>
        <w:rPr>
          <w:rFonts w:hint="eastAsia" w:eastAsia="方正仿宋_GBK"/>
          <w:b/>
          <w:bCs/>
          <w:color w:val="000000" w:themeColor="text1"/>
          <w:sz w:val="33"/>
          <w:szCs w:val="33"/>
          <w14:textFill>
            <w14:solidFill>
              <w14:schemeClr w14:val="tx1"/>
            </w14:solidFill>
          </w14:textFill>
        </w:rPr>
        <w:t>二是</w:t>
      </w:r>
      <w:r>
        <w:rPr>
          <w:rFonts w:eastAsia="方正仿宋_GBK"/>
          <w:color w:val="000000" w:themeColor="text1"/>
          <w:sz w:val="33"/>
          <w:szCs w:val="33"/>
          <w14:textFill>
            <w14:solidFill>
              <w14:schemeClr w14:val="tx1"/>
            </w14:solidFill>
          </w14:textFill>
        </w:rPr>
        <w:t>落实科教卫生各项政策，修建完善新时代文明实践所（站）功能，满足广大群众的文化需求。</w:t>
      </w:r>
      <w:r>
        <w:rPr>
          <w:rFonts w:hint="eastAsia" w:eastAsia="方正仿宋_GBK"/>
          <w:b/>
          <w:bCs/>
          <w:color w:val="000000" w:themeColor="text1"/>
          <w:sz w:val="33"/>
          <w:szCs w:val="33"/>
          <w14:textFill>
            <w14:solidFill>
              <w14:schemeClr w14:val="tx1"/>
            </w14:solidFill>
          </w14:textFill>
        </w:rPr>
        <w:t>三是</w:t>
      </w:r>
      <w:r>
        <w:rPr>
          <w:rFonts w:eastAsia="方正仿宋_GBK"/>
          <w:color w:val="000000" w:themeColor="text1"/>
          <w:sz w:val="33"/>
          <w:szCs w:val="33"/>
          <w14:textFill>
            <w14:solidFill>
              <w14:schemeClr w14:val="tx1"/>
            </w14:solidFill>
          </w14:textFill>
        </w:rPr>
        <w:t>安装户户通和天地网200余户，检修设备95余套，群众幸福感不断提升。</w:t>
      </w:r>
    </w:p>
    <w:p>
      <w:pPr>
        <w:spacing w:line="560" w:lineRule="exact"/>
        <w:ind w:firstLine="662" w:firstLineChars="200"/>
        <w:rPr>
          <w:rFonts w:eastAsia="方正仿宋_GBK"/>
          <w:color w:val="000000" w:themeColor="text1"/>
          <w:sz w:val="33"/>
          <w:szCs w:val="33"/>
          <w14:textFill>
            <w14:solidFill>
              <w14:schemeClr w14:val="tx1"/>
            </w14:solidFill>
          </w14:textFill>
        </w:rPr>
      </w:pPr>
      <w:r>
        <w:rPr>
          <w:rFonts w:eastAsia="方正楷体_GBK"/>
          <w:b/>
          <w:bCs/>
          <w:color w:val="000000" w:themeColor="text1"/>
          <w:sz w:val="33"/>
          <w:szCs w:val="33"/>
          <w14:textFill>
            <w14:solidFill>
              <w14:schemeClr w14:val="tx1"/>
            </w14:solidFill>
          </w14:textFill>
        </w:rPr>
        <w:t>加强隐患排查，安全</w:t>
      </w:r>
      <w:r>
        <w:rPr>
          <w:rFonts w:hint="eastAsia" w:eastAsia="方正楷体_GBK"/>
          <w:b/>
          <w:bCs/>
          <w:color w:val="000000" w:themeColor="text1"/>
          <w:sz w:val="33"/>
          <w:szCs w:val="33"/>
          <w14:textFill>
            <w14:solidFill>
              <w14:schemeClr w14:val="tx1"/>
            </w14:solidFill>
          </w14:textFill>
        </w:rPr>
        <w:t>防线</w:t>
      </w:r>
      <w:r>
        <w:rPr>
          <w:rFonts w:eastAsia="方正楷体_GBK"/>
          <w:b/>
          <w:bCs/>
          <w:color w:val="000000" w:themeColor="text1"/>
          <w:sz w:val="33"/>
          <w:szCs w:val="33"/>
          <w14:textFill>
            <w14:solidFill>
              <w14:schemeClr w14:val="tx1"/>
            </w14:solidFill>
          </w14:textFill>
        </w:rPr>
        <w:t>不断筑牢。</w:t>
      </w:r>
      <w:r>
        <w:rPr>
          <w:rFonts w:eastAsia="方正仿宋_GBK"/>
          <w:color w:val="000000" w:themeColor="text1"/>
          <w:sz w:val="33"/>
          <w:szCs w:val="33"/>
          <w14:textFill>
            <w14:solidFill>
              <w14:schemeClr w14:val="tx1"/>
            </w14:solidFill>
          </w14:textFill>
        </w:rPr>
        <w:t>狠抓煤矿、食品药品、水上道路交通、住房建设、地质灾害点、山洪危险区等重点行业领域安全生产工作，全面排查治理事故隐患。打击私挖盗采行为1起，开展道路交通安全劝导500余人次、食品药品安全巡查300人次、水上交通安全巡查50余次，开展自建房屋安全隐患整治专项行动，完成全乡7363个图斑、66户经营性自建房排查和录入并完成安全鉴定，管控整治2户安全隐患房屋。成功化解1件信访积案，化解初信初访20余起，</w:t>
      </w:r>
      <w:r>
        <w:rPr>
          <w:rFonts w:hint="eastAsia" w:eastAsia="方正仿宋_GBK"/>
          <w:color w:val="000000" w:themeColor="text1"/>
          <w:sz w:val="33"/>
          <w:szCs w:val="33"/>
          <w14:textFill>
            <w14:solidFill>
              <w14:schemeClr w14:val="tx1"/>
            </w14:solidFill>
          </w14:textFill>
        </w:rPr>
        <w:t>为经济社会稳定发展提供了坚实保障</w:t>
      </w:r>
      <w:r>
        <w:rPr>
          <w:rFonts w:eastAsia="方正仿宋_GBK"/>
          <w:color w:val="000000" w:themeColor="text1"/>
          <w:sz w:val="33"/>
          <w:szCs w:val="33"/>
          <w14:textFill>
            <w14:solidFill>
              <w14:schemeClr w14:val="tx1"/>
            </w14:solidFill>
          </w14:textFill>
        </w:rPr>
        <w:t>。</w:t>
      </w:r>
    </w:p>
    <w:p>
      <w:pPr>
        <w:pStyle w:val="2"/>
        <w:spacing w:before="93" w:line="560" w:lineRule="exact"/>
        <w:ind w:firstLine="662" w:firstLineChars="200"/>
        <w:rPr>
          <w:rFonts w:eastAsia="方正仿宋_GBK"/>
          <w:color w:val="000000" w:themeColor="text1"/>
          <w:sz w:val="33"/>
          <w:szCs w:val="33"/>
          <w14:textFill>
            <w14:solidFill>
              <w14:schemeClr w14:val="tx1"/>
            </w14:solidFill>
          </w14:textFill>
        </w:rPr>
      </w:pPr>
      <w:r>
        <w:rPr>
          <w:rFonts w:hint="eastAsia" w:ascii="Times New Roman" w:eastAsia="方正楷体_GBK"/>
          <w:b/>
          <w:bCs/>
          <w:color w:val="000000" w:themeColor="text1"/>
          <w:kern w:val="2"/>
          <w:sz w:val="33"/>
          <w:szCs w:val="33"/>
          <w14:textFill>
            <w14:solidFill>
              <w14:schemeClr w14:val="tx1"/>
            </w14:solidFill>
          </w14:textFill>
        </w:rPr>
        <w:t>全力推进棚改</w:t>
      </w:r>
      <w:r>
        <w:rPr>
          <w:rFonts w:ascii="Times New Roman" w:eastAsia="方正楷体_GBK"/>
          <w:b/>
          <w:bCs/>
          <w:color w:val="000000" w:themeColor="text1"/>
          <w:kern w:val="2"/>
          <w:sz w:val="33"/>
          <w:szCs w:val="33"/>
          <w14:textFill>
            <w14:solidFill>
              <w14:schemeClr w14:val="tx1"/>
            </w14:solidFill>
          </w14:textFill>
        </w:rPr>
        <w:t>，</w:t>
      </w:r>
      <w:r>
        <w:rPr>
          <w:rFonts w:hint="eastAsia" w:ascii="Times New Roman" w:eastAsia="方正楷体_GBK"/>
          <w:b/>
          <w:bCs/>
          <w:color w:val="000000" w:themeColor="text1"/>
          <w:kern w:val="2"/>
          <w:sz w:val="33"/>
          <w:szCs w:val="33"/>
          <w14:textFill>
            <w14:solidFill>
              <w14:schemeClr w14:val="tx1"/>
            </w14:solidFill>
          </w14:textFill>
        </w:rPr>
        <w:t>加快</w:t>
      </w:r>
      <w:r>
        <w:rPr>
          <w:rFonts w:ascii="Times New Roman" w:eastAsia="方正楷体_GBK"/>
          <w:b/>
          <w:bCs/>
          <w:color w:val="000000" w:themeColor="text1"/>
          <w:kern w:val="2"/>
          <w:sz w:val="33"/>
          <w:szCs w:val="33"/>
          <w14:textFill>
            <w14:solidFill>
              <w14:schemeClr w14:val="tx1"/>
            </w14:solidFill>
          </w14:textFill>
        </w:rPr>
        <w:t>集镇</w:t>
      </w:r>
      <w:r>
        <w:rPr>
          <w:rFonts w:hint="eastAsia" w:ascii="Times New Roman" w:eastAsia="方正楷体_GBK"/>
          <w:b/>
          <w:bCs/>
          <w:color w:val="000000" w:themeColor="text1"/>
          <w:kern w:val="2"/>
          <w:sz w:val="33"/>
          <w:szCs w:val="33"/>
          <w14:textFill>
            <w14:solidFill>
              <w14:schemeClr w14:val="tx1"/>
            </w14:solidFill>
          </w14:textFill>
        </w:rPr>
        <w:t>有机更新</w:t>
      </w:r>
      <w:r>
        <w:rPr>
          <w:rFonts w:ascii="Times New Roman" w:eastAsia="方正楷体_GBK"/>
          <w:b/>
          <w:bCs/>
          <w:color w:val="000000" w:themeColor="text1"/>
          <w:kern w:val="2"/>
          <w:sz w:val="33"/>
          <w:szCs w:val="33"/>
          <w14:textFill>
            <w14:solidFill>
              <w14:schemeClr w14:val="tx1"/>
            </w14:solidFill>
          </w14:textFill>
        </w:rPr>
        <w:t>。</w:t>
      </w:r>
      <w:r>
        <w:rPr>
          <w:rFonts w:ascii="Times New Roman" w:eastAsia="方正仿宋_GBK"/>
          <w:color w:val="000000" w:themeColor="text1"/>
          <w:sz w:val="33"/>
          <w:szCs w:val="33"/>
          <w14:textFill>
            <w14:solidFill>
              <w14:schemeClr w14:val="tx1"/>
            </w14:solidFill>
          </w14:textFill>
        </w:rPr>
        <w:t>红果片区棚户区改造配套基础设施项目投入7200万元，完成1#、3#、4#、5#楼主体修建并基本完成楼内外装饰、6#楼完成基础建设，完成钢结构施工量60%；拆迁安置654户，目前完成444户，210户待拆迁安置。投入3800万元建成自来水厂、一号道路、二号道路、幼儿园农贸市场、客运站等社区服务中心基础设施项目，</w:t>
      </w:r>
      <w:r>
        <w:rPr>
          <w:rFonts w:hint="eastAsia" w:ascii="Times New Roman" w:eastAsia="方正仿宋_GBK"/>
          <w:color w:val="000000" w:themeColor="text1"/>
          <w:sz w:val="33"/>
          <w:szCs w:val="33"/>
          <w14:textFill>
            <w14:solidFill>
              <w14:schemeClr w14:val="tx1"/>
            </w14:solidFill>
          </w14:textFill>
        </w:rPr>
        <w:t>进一步加快红果</w:t>
      </w:r>
      <w:r>
        <w:rPr>
          <w:rFonts w:ascii="Times New Roman" w:eastAsia="方正仿宋_GBK"/>
          <w:color w:val="000000" w:themeColor="text1"/>
          <w:sz w:val="33"/>
          <w:szCs w:val="33"/>
          <w14:textFill>
            <w14:solidFill>
              <w14:schemeClr w14:val="tx1"/>
            </w14:solidFill>
          </w14:textFill>
        </w:rPr>
        <w:t>集镇</w:t>
      </w:r>
      <w:r>
        <w:rPr>
          <w:rFonts w:hint="eastAsia" w:ascii="Times New Roman" w:eastAsia="方正仿宋_GBK"/>
          <w:color w:val="000000" w:themeColor="text1"/>
          <w:sz w:val="33"/>
          <w:szCs w:val="33"/>
          <w14:textFill>
            <w14:solidFill>
              <w14:schemeClr w14:val="tx1"/>
            </w14:solidFill>
          </w14:textFill>
        </w:rPr>
        <w:t>更新换代，集镇</w:t>
      </w:r>
      <w:r>
        <w:rPr>
          <w:rFonts w:ascii="Times New Roman" w:eastAsia="方正仿宋_GBK"/>
          <w:color w:val="000000" w:themeColor="text1"/>
          <w:sz w:val="33"/>
          <w:szCs w:val="33"/>
          <w14:textFill>
            <w14:solidFill>
              <w14:schemeClr w14:val="tx1"/>
            </w14:solidFill>
          </w14:textFill>
        </w:rPr>
        <w:t>功能</w:t>
      </w:r>
      <w:r>
        <w:rPr>
          <w:rFonts w:hint="eastAsia" w:ascii="Times New Roman" w:eastAsia="方正仿宋_GBK"/>
          <w:color w:val="000000" w:themeColor="text1"/>
          <w:sz w:val="33"/>
          <w:szCs w:val="33"/>
          <w14:textFill>
            <w14:solidFill>
              <w14:schemeClr w14:val="tx1"/>
            </w14:solidFill>
          </w14:textFill>
        </w:rPr>
        <w:t>不断健全</w:t>
      </w:r>
      <w:r>
        <w:rPr>
          <w:rFonts w:ascii="Times New Roman" w:eastAsia="方正仿宋_GBK"/>
          <w:color w:val="000000" w:themeColor="text1"/>
          <w:sz w:val="33"/>
          <w:szCs w:val="33"/>
          <w14:textFill>
            <w14:solidFill>
              <w14:schemeClr w14:val="tx1"/>
            </w14:solidFill>
          </w14:textFill>
        </w:rPr>
        <w:t>完善</w:t>
      </w:r>
      <w:r>
        <w:rPr>
          <w:rFonts w:hint="eastAsia" w:ascii="Times New Roman" w:eastAsia="方正仿宋_GBK"/>
          <w:color w:val="000000" w:themeColor="text1"/>
          <w:sz w:val="33"/>
          <w:szCs w:val="33"/>
          <w14:textFill>
            <w14:solidFill>
              <w14:schemeClr w14:val="tx1"/>
            </w14:solidFill>
          </w14:textFill>
        </w:rPr>
        <w:t>，不断提高人民群众幸福感、获得感</w:t>
      </w:r>
      <w:r>
        <w:rPr>
          <w:rFonts w:ascii="Times New Roman" w:eastAsia="方正仿宋_GBK"/>
          <w:color w:val="000000" w:themeColor="text1"/>
          <w:sz w:val="33"/>
          <w:szCs w:val="33"/>
          <w14:textFill>
            <w14:solidFill>
              <w14:schemeClr w14:val="tx1"/>
            </w14:solidFill>
          </w14:textFill>
        </w:rPr>
        <w:t>。</w:t>
      </w:r>
    </w:p>
    <w:p>
      <w:pPr>
        <w:pStyle w:val="7"/>
        <w:spacing w:line="560" w:lineRule="exact"/>
        <w:ind w:left="0" w:leftChars="0" w:firstLine="662" w:firstLineChars="200"/>
        <w:rPr>
          <w:rFonts w:eastAsia="方正仿宋_GBK"/>
        </w:rPr>
      </w:pPr>
      <w:r>
        <w:rPr>
          <w:rFonts w:hint="eastAsia" w:ascii="方正楷体_GBK" w:hAnsi="方正楷体_GBK" w:eastAsia="方正楷体_GBK" w:cs="方正楷体_GBK"/>
          <w:b/>
          <w:bCs/>
          <w:color w:val="000000"/>
          <w:sz w:val="33"/>
          <w:szCs w:val="33"/>
        </w:rPr>
        <w:t>旗帜鲜明讲政治，狠抓党风廉政建设。</w:t>
      </w:r>
      <w:r>
        <w:rPr>
          <w:rFonts w:hint="eastAsia" w:ascii="方正仿宋_GBK" w:hAnsi="方正仿宋_GBK" w:eastAsia="方正仿宋_GBK" w:cs="方正仿宋_GBK"/>
          <w:b/>
          <w:bCs/>
          <w:color w:val="000000"/>
          <w:sz w:val="33"/>
          <w:szCs w:val="33"/>
        </w:rPr>
        <w:t>一是</w:t>
      </w:r>
      <w:r>
        <w:rPr>
          <w:rFonts w:hint="eastAsia" w:ascii="方正仿宋_GBK" w:hAnsi="方正仿宋_GBK" w:eastAsia="方正仿宋_GBK" w:cs="方正仿宋_GBK"/>
          <w:color w:val="000000"/>
          <w:sz w:val="33"/>
          <w:szCs w:val="33"/>
          <w:lang w:val="zh-CN"/>
        </w:rPr>
        <w:t>不断增强“四个意识”、坚定“四个自信”、做到“两个维护”、</w:t>
      </w:r>
      <w:r>
        <w:rPr>
          <w:rFonts w:hint="eastAsia" w:ascii="方正仿宋_GBK" w:hAnsi="方正仿宋_GBK" w:eastAsia="方正仿宋_GBK" w:cs="方正仿宋_GBK"/>
          <w:color w:val="000000"/>
          <w:sz w:val="33"/>
          <w:szCs w:val="33"/>
        </w:rPr>
        <w:t>拥护</w:t>
      </w:r>
      <w:r>
        <w:rPr>
          <w:rFonts w:hint="eastAsia" w:ascii="方正仿宋_GBK" w:hAnsi="方正仿宋_GBK" w:eastAsia="方正仿宋_GBK" w:cs="方正仿宋_GBK"/>
          <w:color w:val="000000"/>
          <w:sz w:val="33"/>
          <w:szCs w:val="33"/>
          <w:lang w:eastAsia="zh-CN"/>
        </w:rPr>
        <w:t>“</w:t>
      </w:r>
      <w:r>
        <w:rPr>
          <w:rFonts w:hint="eastAsia" w:ascii="方正仿宋_GBK" w:hAnsi="方正仿宋_GBK" w:eastAsia="方正仿宋_GBK" w:cs="方正仿宋_GBK"/>
          <w:color w:val="000000"/>
          <w:sz w:val="33"/>
          <w:szCs w:val="33"/>
        </w:rPr>
        <w:t>两个确立</w:t>
      </w:r>
      <w:r>
        <w:rPr>
          <w:rFonts w:hint="eastAsia" w:ascii="方正仿宋_GBK" w:hAnsi="方正仿宋_GBK" w:eastAsia="方正仿宋_GBK" w:cs="方正仿宋_GBK"/>
          <w:color w:val="000000"/>
          <w:sz w:val="33"/>
          <w:szCs w:val="33"/>
          <w:lang w:eastAsia="zh-CN"/>
        </w:rPr>
        <w:t>”</w:t>
      </w:r>
      <w:r>
        <w:rPr>
          <w:rFonts w:hint="eastAsia" w:ascii="方正仿宋_GBK" w:hAnsi="方正仿宋_GBK" w:eastAsia="方正仿宋_GBK" w:cs="方正仿宋_GBK"/>
          <w:color w:val="000000"/>
          <w:sz w:val="33"/>
          <w:szCs w:val="33"/>
          <w:lang w:val="zh-CN"/>
        </w:rPr>
        <w:t>。</w:t>
      </w:r>
      <w:r>
        <w:rPr>
          <w:rFonts w:hint="eastAsia" w:ascii="方正仿宋_GBK" w:hAnsi="方正仿宋_GBK" w:eastAsia="方正仿宋_GBK" w:cs="方正仿宋_GBK"/>
          <w:b/>
          <w:bCs/>
          <w:color w:val="000000"/>
          <w:sz w:val="33"/>
          <w:szCs w:val="33"/>
        </w:rPr>
        <w:t>二是</w:t>
      </w:r>
      <w:r>
        <w:rPr>
          <w:rFonts w:hint="eastAsia" w:eastAsia="方正仿宋_GBK"/>
          <w:bCs/>
          <w:color w:val="000000"/>
          <w:sz w:val="33"/>
          <w:szCs w:val="33"/>
        </w:rPr>
        <w:t>认真贯彻中央八项规定精神和省委省政府、市委市政府、县委县政府</w:t>
      </w:r>
      <w:r>
        <w:rPr>
          <w:rFonts w:hint="eastAsia" w:eastAsia="方正仿宋_GBK"/>
          <w:bCs/>
          <w:color w:val="000000"/>
          <w:sz w:val="33"/>
          <w:szCs w:val="33"/>
          <w:lang w:eastAsia="zh-CN"/>
        </w:rPr>
        <w:t>“</w:t>
      </w:r>
      <w:r>
        <w:rPr>
          <w:rFonts w:hint="eastAsia" w:eastAsia="方正仿宋_GBK"/>
          <w:bCs/>
          <w:color w:val="000000"/>
          <w:sz w:val="33"/>
          <w:szCs w:val="33"/>
        </w:rPr>
        <w:t>十项规定</w:t>
      </w:r>
      <w:r>
        <w:rPr>
          <w:rFonts w:hint="eastAsia" w:eastAsia="方正仿宋_GBK"/>
          <w:bCs/>
          <w:color w:val="000000"/>
          <w:sz w:val="33"/>
          <w:szCs w:val="33"/>
          <w:lang w:eastAsia="zh-CN"/>
        </w:rPr>
        <w:t>”</w:t>
      </w:r>
      <w:r>
        <w:rPr>
          <w:rFonts w:hint="eastAsia" w:eastAsia="方正仿宋_GBK"/>
          <w:bCs/>
          <w:color w:val="000000"/>
          <w:sz w:val="33"/>
          <w:szCs w:val="33"/>
        </w:rPr>
        <w:t>及其实施细则</w:t>
      </w:r>
      <w:r>
        <w:rPr>
          <w:rFonts w:hint="eastAsia" w:ascii="方正仿宋_GBK" w:hAnsi="方正仿宋_GBK" w:eastAsia="方正仿宋_GBK" w:cs="方正仿宋_GBK"/>
          <w:color w:val="000000"/>
          <w:sz w:val="33"/>
          <w:szCs w:val="33"/>
          <w:lang w:val="zh-CN"/>
        </w:rPr>
        <w:t>。</w:t>
      </w:r>
      <w:r>
        <w:rPr>
          <w:rFonts w:hint="eastAsia" w:ascii="方正仿宋_GBK" w:hAnsi="方正仿宋_GBK" w:eastAsia="方正仿宋_GBK" w:cs="方正仿宋_GBK"/>
          <w:b/>
          <w:bCs/>
          <w:color w:val="000000"/>
          <w:sz w:val="33"/>
          <w:szCs w:val="33"/>
          <w:lang w:val="zh-CN"/>
        </w:rPr>
        <w:t>三是</w:t>
      </w:r>
      <w:r>
        <w:rPr>
          <w:rFonts w:hint="eastAsia" w:ascii="方正仿宋_GBK" w:hAnsi="方正仿宋_GBK" w:eastAsia="方正仿宋_GBK" w:cs="方正仿宋_GBK"/>
          <w:color w:val="000000"/>
          <w:sz w:val="33"/>
          <w:szCs w:val="33"/>
          <w:lang w:val="zh-CN"/>
        </w:rPr>
        <w:t>纵深推进政府系统党风廉政建设，持之以恒纠治“四风”，从严落实中央八项规定及省市县十项规定及其实</w:t>
      </w:r>
      <w:bookmarkStart w:id="78" w:name="_GoBack"/>
      <w:bookmarkEnd w:id="78"/>
      <w:r>
        <w:rPr>
          <w:rFonts w:hint="eastAsia" w:ascii="方正仿宋_GBK" w:hAnsi="方正仿宋_GBK" w:eastAsia="方正仿宋_GBK" w:cs="方正仿宋_GBK"/>
          <w:color w:val="000000"/>
          <w:sz w:val="33"/>
          <w:szCs w:val="33"/>
          <w:lang w:val="zh-CN"/>
        </w:rPr>
        <w:t>施细则。</w:t>
      </w:r>
    </w:p>
    <w:p>
      <w:pPr>
        <w:spacing w:line="560" w:lineRule="exact"/>
        <w:ind w:firstLine="660" w:firstLineChars="200"/>
        <w:rPr>
          <w:rFonts w:ascii="方正仿宋_GBK" w:hAnsi="方正仿宋_GBK" w:eastAsia="方正仿宋_GBK" w:cs="方正仿宋_GBK"/>
          <w:bCs/>
          <w:sz w:val="33"/>
          <w:szCs w:val="33"/>
        </w:rPr>
      </w:pPr>
      <w:r>
        <w:rPr>
          <w:rFonts w:hint="eastAsia" w:ascii="方正仿宋_GBK" w:hAnsi="方正仿宋_GBK" w:eastAsia="方正仿宋_GBK" w:cs="方正仿宋_GBK"/>
          <w:bCs/>
          <w:sz w:val="33"/>
          <w:szCs w:val="33"/>
        </w:rPr>
        <w:t>除</w:t>
      </w:r>
      <w:r>
        <w:rPr>
          <w:rFonts w:ascii="方正仿宋_GBK" w:hAnsi="方正仿宋_GBK" w:eastAsia="方正仿宋_GBK" w:cs="方正仿宋_GBK"/>
          <w:bCs/>
          <w:sz w:val="33"/>
          <w:szCs w:val="33"/>
        </w:rPr>
        <w:t>此</w:t>
      </w:r>
      <w:r>
        <w:rPr>
          <w:rFonts w:hint="eastAsia" w:ascii="方正仿宋_GBK" w:hAnsi="方正仿宋_GBK" w:eastAsia="方正仿宋_GBK" w:cs="方正仿宋_GBK"/>
          <w:bCs/>
          <w:sz w:val="33"/>
          <w:szCs w:val="33"/>
        </w:rPr>
        <w:t>之</w:t>
      </w:r>
      <w:r>
        <w:rPr>
          <w:rFonts w:ascii="方正仿宋_GBK" w:hAnsi="方正仿宋_GBK" w:eastAsia="方正仿宋_GBK" w:cs="方正仿宋_GBK"/>
          <w:bCs/>
          <w:sz w:val="33"/>
          <w:szCs w:val="33"/>
        </w:rPr>
        <w:t>外，精神文明建设、</w:t>
      </w:r>
      <w:r>
        <w:rPr>
          <w:rFonts w:hint="eastAsia" w:eastAsia="方正仿宋_GBK"/>
          <w:sz w:val="33"/>
          <w:szCs w:val="33"/>
        </w:rPr>
        <w:t>共青团、民族宗教、武装、退役军人事务、工会、妇联、科协、残联、审计、</w:t>
      </w:r>
      <w:r>
        <w:rPr>
          <w:rFonts w:ascii="方正仿宋_GBK" w:hAnsi="方正仿宋_GBK" w:eastAsia="方正仿宋_GBK" w:cs="方正仿宋_GBK"/>
          <w:bCs/>
          <w:sz w:val="33"/>
          <w:szCs w:val="33"/>
        </w:rPr>
        <w:t>防灾减震、档案、保密、统计、气象等工作</w:t>
      </w:r>
      <w:r>
        <w:rPr>
          <w:rFonts w:hint="eastAsia" w:ascii="方正仿宋_GBK" w:hAnsi="方正仿宋_GBK" w:eastAsia="方正仿宋_GBK" w:cs="方正仿宋_GBK"/>
          <w:bCs/>
          <w:sz w:val="33"/>
          <w:szCs w:val="33"/>
        </w:rPr>
        <w:t>稳步</w:t>
      </w:r>
      <w:r>
        <w:rPr>
          <w:rFonts w:hint="eastAsia" w:eastAsia="方正仿宋_GBK"/>
          <w:sz w:val="33"/>
          <w:szCs w:val="33"/>
        </w:rPr>
        <w:t>有序推进</w:t>
      </w:r>
      <w:r>
        <w:rPr>
          <w:rFonts w:hint="eastAsia" w:ascii="方正仿宋_GBK" w:hAnsi="方正仿宋_GBK" w:eastAsia="方正仿宋_GBK" w:cs="方正仿宋_GBK"/>
          <w:bCs/>
          <w:sz w:val="33"/>
          <w:szCs w:val="33"/>
        </w:rPr>
        <w:t>。</w:t>
      </w:r>
    </w:p>
    <w:p/>
    <w:p>
      <w:pPr>
        <w:pStyle w:val="4"/>
        <w:rPr>
          <w:rStyle w:val="24"/>
          <w:b w:val="0"/>
          <w:bCs w:val="0"/>
        </w:rPr>
      </w:pPr>
      <w:bookmarkStart w:id="17" w:name="_Toc15396601"/>
      <w:bookmarkStart w:id="18" w:name="_Toc15377200"/>
      <w:r>
        <w:rPr>
          <w:rFonts w:hint="eastAsia" w:ascii="黑体" w:eastAsia="黑体"/>
          <w:b w:val="0"/>
        </w:rPr>
        <w:t>二、</w:t>
      </w:r>
      <w:r>
        <w:rPr>
          <w:rFonts w:hint="eastAsia" w:ascii="黑体" w:hAnsi="黑体" w:eastAsia="黑体"/>
          <w:b w:val="0"/>
        </w:rPr>
        <w:t>机</w:t>
      </w:r>
      <w:r>
        <w:rPr>
          <w:rStyle w:val="24"/>
          <w:rFonts w:hint="eastAsia" w:ascii="黑体" w:hAnsi="黑体" w:eastAsia="黑体"/>
          <w:b w:val="0"/>
          <w:bCs w:val="0"/>
        </w:rPr>
        <w:t>构设置</w:t>
      </w:r>
      <w:bookmarkEnd w:id="17"/>
      <w:bookmarkEnd w:id="18"/>
    </w:p>
    <w:p>
      <w:pPr>
        <w:ind w:firstLine="800" w:firstLineChars="250"/>
        <w:rPr>
          <w:rFonts w:ascii="仿宋" w:hAnsi="仿宋" w:eastAsia="仿宋"/>
          <w:sz w:val="32"/>
          <w:szCs w:val="32"/>
        </w:rPr>
      </w:pPr>
      <w:r>
        <w:rPr>
          <w:rFonts w:hint="eastAsia" w:ascii="仿宋" w:hAnsi="仿宋" w:eastAsia="仿宋"/>
          <w:sz w:val="32"/>
          <w:szCs w:val="32"/>
        </w:rPr>
        <w:t>红果彝族乡下属二级预算单位4个，其中行政单位0个，参照公务员法管理的事业单位</w:t>
      </w:r>
      <w:r>
        <w:rPr>
          <w:rFonts w:hint="eastAsia" w:ascii="仿宋" w:hAnsi="仿宋" w:eastAsia="仿宋"/>
          <w:bCs/>
          <w:sz w:val="32"/>
          <w:szCs w:val="32"/>
        </w:rPr>
        <w:t>0</w:t>
      </w:r>
      <w:r>
        <w:rPr>
          <w:rFonts w:hint="eastAsia" w:ascii="仿宋" w:hAnsi="仿宋" w:eastAsia="仿宋"/>
          <w:sz w:val="32"/>
          <w:szCs w:val="32"/>
        </w:rPr>
        <w:t>个，其他事业单位4个。</w:t>
      </w:r>
    </w:p>
    <w:p>
      <w:pPr>
        <w:pStyle w:val="2"/>
        <w:adjustRightInd w:val="0"/>
        <w:snapToGrid w:val="0"/>
        <w:spacing w:before="93" w:line="600" w:lineRule="exact"/>
        <w:ind w:firstLine="672" w:firstLineChars="210"/>
        <w:rPr>
          <w:rFonts w:ascii="仿宋" w:hAnsi="仿宋" w:eastAsia="仿宋"/>
          <w:sz w:val="32"/>
          <w:szCs w:val="32"/>
        </w:rPr>
      </w:pPr>
      <w:r>
        <w:rPr>
          <w:rFonts w:hint="eastAsia" w:ascii="仿宋" w:hAnsi="仿宋" w:eastAsia="仿宋"/>
          <w:sz w:val="32"/>
          <w:szCs w:val="32"/>
        </w:rPr>
        <w:t>纳入红果彝族乡2022年度部门决算编制范围的二级预算单位包括：</w:t>
      </w:r>
    </w:p>
    <w:p>
      <w:pPr>
        <w:pStyle w:val="2"/>
        <w:numPr>
          <w:ilvl w:val="0"/>
          <w:numId w:val="2"/>
        </w:numPr>
        <w:adjustRightInd w:val="0"/>
        <w:snapToGrid w:val="0"/>
        <w:spacing w:before="93" w:line="560" w:lineRule="exact"/>
        <w:ind w:firstLine="0"/>
        <w:outlineLvl w:val="2"/>
        <w:rPr>
          <w:rFonts w:ascii="Times New Roman" w:eastAsia="仿宋"/>
          <w:sz w:val="32"/>
          <w:szCs w:val="32"/>
        </w:rPr>
      </w:pPr>
      <w:bookmarkStart w:id="19" w:name="_Toc15306276"/>
      <w:bookmarkStart w:id="20" w:name="_Toc15378449"/>
      <w:bookmarkStart w:id="21" w:name="_Toc15377202"/>
      <w:bookmarkStart w:id="22" w:name="_Toc15377433"/>
      <w:r>
        <w:rPr>
          <w:rFonts w:ascii="Times New Roman" w:eastAsia="仿宋"/>
          <w:sz w:val="32"/>
          <w:szCs w:val="32"/>
        </w:rPr>
        <w:t>红果彝族乡便民服务中心</w:t>
      </w:r>
    </w:p>
    <w:p>
      <w:pPr>
        <w:pStyle w:val="2"/>
        <w:numPr>
          <w:ilvl w:val="0"/>
          <w:numId w:val="2"/>
        </w:numPr>
        <w:adjustRightInd w:val="0"/>
        <w:snapToGrid w:val="0"/>
        <w:spacing w:before="93" w:line="560" w:lineRule="exact"/>
        <w:ind w:firstLine="0"/>
        <w:rPr>
          <w:rFonts w:ascii="Times New Roman" w:eastAsia="仿宋"/>
          <w:sz w:val="32"/>
          <w:szCs w:val="32"/>
        </w:rPr>
      </w:pPr>
      <w:r>
        <w:rPr>
          <w:rFonts w:ascii="Times New Roman" w:eastAsia="仿宋"/>
          <w:sz w:val="32"/>
          <w:szCs w:val="32"/>
        </w:rPr>
        <w:t>红果彝族乡农业农村服务中心</w:t>
      </w:r>
    </w:p>
    <w:p>
      <w:pPr>
        <w:pStyle w:val="2"/>
        <w:numPr>
          <w:ilvl w:val="0"/>
          <w:numId w:val="2"/>
        </w:numPr>
        <w:adjustRightInd w:val="0"/>
        <w:snapToGrid w:val="0"/>
        <w:spacing w:before="93" w:line="560" w:lineRule="exact"/>
        <w:ind w:firstLine="0"/>
        <w:rPr>
          <w:rFonts w:ascii="Times New Roman" w:eastAsia="仿宋"/>
          <w:sz w:val="32"/>
          <w:szCs w:val="32"/>
        </w:rPr>
      </w:pPr>
      <w:r>
        <w:rPr>
          <w:rFonts w:ascii="Times New Roman" w:eastAsia="仿宋"/>
          <w:sz w:val="32"/>
          <w:szCs w:val="32"/>
        </w:rPr>
        <w:t>红果彝族乡村镇建设服务中心</w:t>
      </w:r>
    </w:p>
    <w:p>
      <w:pPr>
        <w:pStyle w:val="2"/>
        <w:numPr>
          <w:ilvl w:val="0"/>
          <w:numId w:val="2"/>
        </w:numPr>
        <w:adjustRightInd w:val="0"/>
        <w:snapToGrid w:val="0"/>
        <w:spacing w:before="93" w:line="560" w:lineRule="exact"/>
        <w:ind w:firstLine="0"/>
        <w:rPr>
          <w:rStyle w:val="23"/>
          <w:rFonts w:eastAsia="仿宋"/>
          <w:b w:val="0"/>
          <w:bCs w:val="0"/>
          <w:kern w:val="0"/>
          <w:sz w:val="32"/>
          <w:szCs w:val="32"/>
        </w:rPr>
      </w:pPr>
      <w:r>
        <w:rPr>
          <w:rFonts w:ascii="Times New Roman" w:eastAsia="仿宋"/>
          <w:sz w:val="32"/>
          <w:szCs w:val="32"/>
        </w:rPr>
        <w:t>红果彝族乡宣传文化旅游服务中心</w:t>
      </w:r>
    </w:p>
    <w:bookmarkEnd w:id="19"/>
    <w:bookmarkEnd w:id="20"/>
    <w:bookmarkEnd w:id="21"/>
    <w:bookmarkEnd w:id="22"/>
    <w:p>
      <w:pPr>
        <w:widowControl/>
        <w:jc w:val="left"/>
        <w:rPr>
          <w:rFonts w:ascii="仿宋" w:hAnsi="仿宋" w:eastAsia="仿宋"/>
          <w:kern w:val="0"/>
          <w:sz w:val="32"/>
          <w:szCs w:val="32"/>
        </w:rPr>
      </w:pPr>
      <w:r>
        <w:rPr>
          <w:rFonts w:ascii="仿宋" w:hAnsi="仿宋" w:eastAsia="仿宋"/>
          <w:sz w:val="32"/>
          <w:szCs w:val="32"/>
        </w:rPr>
        <w:br w:type="page"/>
      </w:r>
    </w:p>
    <w:p>
      <w:pPr>
        <w:pStyle w:val="3"/>
        <w:ind w:right="440"/>
        <w:jc w:val="center"/>
        <w:rPr>
          <w:rStyle w:val="23"/>
          <w:rFonts w:ascii="黑体" w:hAnsi="黑体" w:eastAsia="黑体"/>
          <w:b w:val="0"/>
          <w:bCs/>
        </w:rPr>
      </w:pPr>
      <w:bookmarkStart w:id="23" w:name="_Toc15396602"/>
      <w:bookmarkStart w:id="24" w:name="_Toc15377204"/>
      <w:r>
        <w:rPr>
          <w:rFonts w:hint="eastAsia" w:ascii="黑体" w:hAnsi="黑体" w:eastAsia="黑体"/>
          <w:b w:val="0"/>
        </w:rPr>
        <w:t>第二部分 2022年度</w:t>
      </w:r>
      <w:r>
        <w:rPr>
          <w:rStyle w:val="23"/>
          <w:rFonts w:hint="eastAsia" w:ascii="黑体" w:hAnsi="黑体" w:eastAsia="黑体"/>
          <w:b w:val="0"/>
          <w:bCs/>
        </w:rPr>
        <w:t>部门决算情况说明</w:t>
      </w:r>
      <w:bookmarkEnd w:id="23"/>
      <w:bookmarkEnd w:id="24"/>
    </w:p>
    <w:p/>
    <w:p>
      <w:pPr>
        <w:pStyle w:val="34"/>
        <w:numPr>
          <w:ilvl w:val="0"/>
          <w:numId w:val="3"/>
        </w:numPr>
        <w:spacing w:line="600" w:lineRule="exact"/>
        <w:ind w:firstLineChars="0"/>
        <w:outlineLvl w:val="1"/>
        <w:rPr>
          <w:rStyle w:val="24"/>
          <w:rFonts w:ascii="黑体" w:hAnsi="黑体" w:eastAsia="黑体"/>
          <w:b w:val="0"/>
        </w:rPr>
      </w:pPr>
      <w:bookmarkStart w:id="25" w:name="_Toc15396603"/>
      <w:bookmarkStart w:id="26" w:name="_Toc15377205"/>
      <w:r>
        <w:rPr>
          <w:rFonts w:hint="eastAsia" w:ascii="黑体" w:hAnsi="黑体" w:eastAsia="黑体"/>
          <w:sz w:val="32"/>
          <w:szCs w:val="32"/>
        </w:rPr>
        <w:t>收</w:t>
      </w:r>
      <w:r>
        <w:rPr>
          <w:rStyle w:val="24"/>
          <w:rFonts w:hint="eastAsia" w:ascii="黑体" w:hAnsi="黑体" w:eastAsia="黑体"/>
          <w:b w:val="0"/>
        </w:rPr>
        <w:t>入支出决算总体情况说明</w:t>
      </w:r>
      <w:bookmarkEnd w:id="25"/>
      <w:bookmarkEnd w:id="26"/>
    </w:p>
    <w:p>
      <w:pPr>
        <w:spacing w:line="600" w:lineRule="exact"/>
        <w:ind w:firstLine="640" w:firstLineChars="200"/>
        <w:rPr>
          <w:rFonts w:ascii="仿宋" w:hAnsi="仿宋" w:eastAsia="仿宋"/>
          <w:sz w:val="32"/>
          <w:szCs w:val="32"/>
        </w:rPr>
      </w:pPr>
      <w:r>
        <w:rPr>
          <w:rFonts w:hint="eastAsia" w:ascii="仿宋" w:hAnsi="仿宋" w:eastAsia="仿宋"/>
          <w:sz w:val="32"/>
          <w:szCs w:val="32"/>
        </w:rPr>
        <w:t>2022年度收入总计1897.3万元、支出总计1897.3万元。与2021年相比，收入总计增加239.84万元、支出总计增加121.99万元，收入增长14.47</w:t>
      </w:r>
      <w:r>
        <w:rPr>
          <w:rFonts w:ascii="仿宋" w:hAnsi="仿宋" w:eastAsia="仿宋"/>
          <w:sz w:val="32"/>
          <w:szCs w:val="32"/>
        </w:rPr>
        <w:t>%</w:t>
      </w:r>
      <w:r>
        <w:rPr>
          <w:rFonts w:hint="eastAsia" w:ascii="仿宋" w:hAnsi="仿宋" w:eastAsia="仿宋"/>
          <w:sz w:val="32"/>
          <w:szCs w:val="32"/>
        </w:rPr>
        <w:t>，支出增长6.87%。主要变动原因是项目资金增加。</w:t>
      </w:r>
    </w:p>
    <w:p>
      <w:pPr>
        <w:pStyle w:val="2"/>
        <w:spacing w:before="93"/>
        <w:rPr>
          <w:rFonts w:ascii="仿宋" w:hAnsi="仿宋" w:eastAsia="仿宋"/>
          <w:sz w:val="32"/>
          <w:szCs w:val="32"/>
        </w:rPr>
      </w:pPr>
      <w:r>
        <w:drawing>
          <wp:inline distT="0" distB="0" distL="114300" distR="114300">
            <wp:extent cx="5238115" cy="2743200"/>
            <wp:effectExtent l="4445" t="4445" r="15240"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2"/>
        <w:spacing w:before="93"/>
        <w:rPr>
          <w:rFonts w:ascii="仿宋" w:hAnsi="仿宋" w:eastAsia="仿宋"/>
          <w:sz w:val="32"/>
          <w:szCs w:val="32"/>
        </w:rPr>
      </w:pPr>
    </w:p>
    <w:p>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pPr>
        <w:spacing w:line="600" w:lineRule="exact"/>
        <w:ind w:firstLine="640" w:firstLineChars="200"/>
        <w:jc w:val="left"/>
        <w:rPr>
          <w:rFonts w:ascii="仿宋_GB2312" w:eastAsia="仿宋_GB2312"/>
          <w:sz w:val="32"/>
          <w:szCs w:val="32"/>
        </w:rPr>
      </w:pPr>
    </w:p>
    <w:p>
      <w:pPr>
        <w:pStyle w:val="34"/>
        <w:numPr>
          <w:ilvl w:val="0"/>
          <w:numId w:val="3"/>
        </w:numPr>
        <w:spacing w:line="600" w:lineRule="exact"/>
        <w:ind w:firstLineChars="0"/>
        <w:outlineLvl w:val="1"/>
        <w:rPr>
          <w:rStyle w:val="24"/>
          <w:rFonts w:ascii="黑体" w:hAnsi="黑体" w:eastAsia="黑体"/>
          <w:b w:val="0"/>
        </w:rPr>
      </w:pPr>
      <w:bookmarkStart w:id="27" w:name="_Toc15396604"/>
      <w:bookmarkStart w:id="28" w:name="_Toc15377206"/>
      <w:r>
        <w:rPr>
          <w:rFonts w:hint="eastAsia" w:ascii="黑体" w:hAnsi="黑体" w:eastAsia="黑体"/>
          <w:sz w:val="32"/>
          <w:szCs w:val="32"/>
        </w:rPr>
        <w:t>收</w:t>
      </w:r>
      <w:r>
        <w:rPr>
          <w:rStyle w:val="24"/>
          <w:rFonts w:hint="eastAsia" w:ascii="黑体" w:hAnsi="黑体" w:eastAsia="黑体"/>
          <w:b w:val="0"/>
        </w:rPr>
        <w:t>入决算情况说明</w:t>
      </w:r>
      <w:bookmarkEnd w:id="27"/>
      <w:bookmarkEnd w:id="28"/>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22年本年收入合计1897.3万元，其中：一般公共预算财政拨款收入1792.46万元，占94.47</w:t>
      </w:r>
      <w:r>
        <w:rPr>
          <w:rFonts w:ascii="仿宋" w:hAnsi="仿宋" w:eastAsia="仿宋"/>
          <w:sz w:val="32"/>
          <w:szCs w:val="32"/>
        </w:rPr>
        <w:t>%</w:t>
      </w:r>
      <w:r>
        <w:rPr>
          <w:rFonts w:hint="eastAsia" w:ascii="仿宋" w:hAnsi="仿宋" w:eastAsia="仿宋"/>
          <w:sz w:val="32"/>
          <w:szCs w:val="32"/>
        </w:rPr>
        <w:t>；政府性基金预算财政拨款收入69.84万元，占3.68</w:t>
      </w:r>
      <w:r>
        <w:rPr>
          <w:rFonts w:ascii="仿宋" w:hAnsi="仿宋" w:eastAsia="仿宋"/>
          <w:sz w:val="32"/>
          <w:szCs w:val="32"/>
        </w:rPr>
        <w:t>%</w:t>
      </w:r>
      <w:r>
        <w:rPr>
          <w:rFonts w:hint="eastAsia" w:ascii="仿宋" w:hAnsi="仿宋" w:eastAsia="仿宋"/>
          <w:sz w:val="32"/>
          <w:szCs w:val="32"/>
        </w:rPr>
        <w:t>；其他收入35万元，占1.85</w:t>
      </w:r>
      <w:r>
        <w:rPr>
          <w:rFonts w:ascii="仿宋" w:hAnsi="仿宋" w:eastAsia="仿宋"/>
          <w:sz w:val="32"/>
          <w:szCs w:val="32"/>
        </w:rPr>
        <w:t>%</w:t>
      </w:r>
      <w:r>
        <w:rPr>
          <w:rFonts w:hint="eastAsia" w:ascii="仿宋" w:hAnsi="仿宋" w:eastAsia="仿宋"/>
          <w:sz w:val="32"/>
          <w:szCs w:val="32"/>
        </w:rPr>
        <w:t>。</w:t>
      </w:r>
    </w:p>
    <w:p>
      <w:pPr>
        <w:pStyle w:val="2"/>
        <w:spacing w:before="93"/>
        <w:rPr>
          <w:rFonts w:ascii="仿宋" w:hAnsi="仿宋" w:eastAsia="仿宋"/>
          <w:sz w:val="32"/>
          <w:szCs w:val="32"/>
        </w:rPr>
      </w:pPr>
      <w:r>
        <w:drawing>
          <wp:inline distT="0" distB="0" distL="114300" distR="114300">
            <wp:extent cx="5276850" cy="2743200"/>
            <wp:effectExtent l="4445" t="4445" r="14605" b="1460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rPr>
          <w:rFonts w:ascii="仿宋_GB2312" w:eastAsia="仿宋_GB2312"/>
          <w:sz w:val="32"/>
          <w:szCs w:val="32"/>
        </w:rPr>
      </w:pPr>
      <w:r>
        <w:rPr>
          <w:rFonts w:hint="eastAsia" w:ascii="仿宋" w:hAnsi="仿宋" w:eastAsia="仿宋"/>
          <w:sz w:val="32"/>
          <w:szCs w:val="32"/>
        </w:rPr>
        <w:t>（图2：收入决算结构图）</w:t>
      </w:r>
    </w:p>
    <w:p>
      <w:pPr>
        <w:pStyle w:val="34"/>
        <w:numPr>
          <w:ilvl w:val="0"/>
          <w:numId w:val="3"/>
        </w:numPr>
        <w:spacing w:line="600" w:lineRule="exact"/>
        <w:ind w:firstLineChars="0"/>
        <w:outlineLvl w:val="1"/>
        <w:rPr>
          <w:rStyle w:val="24"/>
          <w:rFonts w:ascii="黑体" w:hAnsi="黑体" w:eastAsia="黑体"/>
          <w:b w:val="0"/>
        </w:rPr>
      </w:pPr>
      <w:bookmarkStart w:id="29" w:name="_Toc15396605"/>
      <w:bookmarkStart w:id="30" w:name="_Toc15377207"/>
      <w:r>
        <w:rPr>
          <w:rFonts w:hint="eastAsia" w:ascii="黑体" w:hAnsi="黑体" w:eastAsia="黑体"/>
          <w:sz w:val="32"/>
          <w:szCs w:val="32"/>
        </w:rPr>
        <w:t>支</w:t>
      </w:r>
      <w:r>
        <w:rPr>
          <w:rStyle w:val="24"/>
          <w:rFonts w:hint="eastAsia" w:ascii="黑体" w:hAnsi="黑体" w:eastAsia="黑体"/>
          <w:b w:val="0"/>
        </w:rPr>
        <w:t>出决算情况说明</w:t>
      </w:r>
      <w:bookmarkEnd w:id="29"/>
      <w:bookmarkEnd w:id="30"/>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22年本年支出合计1892.3万元，其中：基本支出1373.53万元，占72.59</w:t>
      </w:r>
      <w:r>
        <w:rPr>
          <w:rFonts w:ascii="仿宋" w:hAnsi="仿宋" w:eastAsia="仿宋"/>
          <w:sz w:val="32"/>
          <w:szCs w:val="32"/>
        </w:rPr>
        <w:t>%</w:t>
      </w:r>
      <w:r>
        <w:rPr>
          <w:rFonts w:hint="eastAsia" w:ascii="仿宋" w:hAnsi="仿宋" w:eastAsia="仿宋"/>
          <w:sz w:val="32"/>
          <w:szCs w:val="32"/>
        </w:rPr>
        <w:t>；项目支出518.77万元，占27.41</w:t>
      </w:r>
      <w:r>
        <w:rPr>
          <w:rFonts w:ascii="仿宋" w:hAnsi="仿宋" w:eastAsia="仿宋"/>
          <w:sz w:val="32"/>
          <w:szCs w:val="32"/>
        </w:rPr>
        <w:t>%</w:t>
      </w:r>
      <w:r>
        <w:rPr>
          <w:rFonts w:hint="eastAsia" w:ascii="仿宋" w:hAnsi="仿宋" w:eastAsia="仿宋"/>
          <w:sz w:val="32"/>
          <w:szCs w:val="32"/>
        </w:rPr>
        <w:t>。</w:t>
      </w:r>
    </w:p>
    <w:p>
      <w:pPr>
        <w:pStyle w:val="2"/>
        <w:spacing w:before="93"/>
        <w:rPr>
          <w:rFonts w:ascii="仿宋" w:hAnsi="仿宋" w:eastAsia="仿宋"/>
          <w:sz w:val="32"/>
          <w:szCs w:val="32"/>
        </w:rPr>
      </w:pPr>
      <w:r>
        <w:drawing>
          <wp:inline distT="0" distB="0" distL="114300" distR="114300">
            <wp:extent cx="5353050" cy="2743200"/>
            <wp:effectExtent l="4445" t="4445" r="14605" b="14605"/>
            <wp:docPr id="2"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rPr>
          <w:rFonts w:ascii="仿宋_GB2312" w:eastAsia="仿宋_GB2312"/>
          <w:sz w:val="32"/>
          <w:szCs w:val="32"/>
        </w:rPr>
      </w:pPr>
      <w:r>
        <w:rPr>
          <w:rFonts w:hint="eastAsia" w:ascii="仿宋" w:hAnsi="仿宋" w:eastAsia="仿宋"/>
          <w:sz w:val="32"/>
          <w:szCs w:val="32"/>
        </w:rPr>
        <w:t>（图3：支出决算结构图）</w:t>
      </w:r>
    </w:p>
    <w:p>
      <w:pPr>
        <w:spacing w:line="600" w:lineRule="exact"/>
        <w:ind w:firstLine="640" w:firstLineChars="200"/>
        <w:outlineLvl w:val="1"/>
        <w:rPr>
          <w:rStyle w:val="24"/>
          <w:rFonts w:ascii="黑体" w:hAnsi="黑体" w:eastAsia="黑体"/>
          <w:b w:val="0"/>
        </w:rPr>
      </w:pPr>
      <w:bookmarkStart w:id="31" w:name="_Toc15377208"/>
      <w:bookmarkStart w:id="32" w:name="_Toc15396606"/>
      <w:r>
        <w:rPr>
          <w:rFonts w:hint="eastAsia" w:ascii="黑体" w:hAnsi="黑体" w:eastAsia="黑体"/>
          <w:sz w:val="32"/>
          <w:szCs w:val="32"/>
        </w:rPr>
        <w:t>四、财</w:t>
      </w:r>
      <w:r>
        <w:rPr>
          <w:rStyle w:val="24"/>
          <w:rFonts w:hint="eastAsia" w:ascii="黑体" w:hAnsi="黑体" w:eastAsia="黑体"/>
          <w:b w:val="0"/>
        </w:rPr>
        <w:t>政拨款收入支出决算总体情况说明</w:t>
      </w:r>
      <w:bookmarkEnd w:id="31"/>
      <w:bookmarkEnd w:id="32"/>
    </w:p>
    <w:p>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22年财政拨款收入总计1862.3万元、支出总计1862.3万元。与</w:t>
      </w:r>
      <w:r>
        <w:rPr>
          <w:rFonts w:ascii="仿宋" w:hAnsi="仿宋" w:eastAsia="仿宋"/>
          <w:sz w:val="32"/>
          <w:szCs w:val="32"/>
        </w:rPr>
        <w:t>20</w:t>
      </w:r>
      <w:r>
        <w:rPr>
          <w:rFonts w:hint="eastAsia" w:ascii="仿宋" w:hAnsi="仿宋" w:eastAsia="仿宋"/>
          <w:sz w:val="32"/>
          <w:szCs w:val="32"/>
        </w:rPr>
        <w:t>21年相比，财政拨款收入总计增加204.84万元、支出总计各增加86.99万元，收入增长11</w:t>
      </w:r>
      <w:r>
        <w:rPr>
          <w:rFonts w:ascii="仿宋" w:hAnsi="仿宋" w:eastAsia="仿宋"/>
          <w:sz w:val="32"/>
          <w:szCs w:val="32"/>
        </w:rPr>
        <w:t>%</w:t>
      </w:r>
      <w:r>
        <w:rPr>
          <w:rFonts w:hint="eastAsia" w:ascii="仿宋" w:hAnsi="仿宋" w:eastAsia="仿宋"/>
          <w:sz w:val="32"/>
          <w:szCs w:val="32"/>
        </w:rPr>
        <w:t>，支出增长4.9</w:t>
      </w:r>
      <w:r>
        <w:rPr>
          <w:rFonts w:ascii="仿宋" w:hAnsi="仿宋" w:eastAsia="仿宋"/>
          <w:sz w:val="32"/>
          <w:szCs w:val="32"/>
        </w:rPr>
        <w:t>%</w:t>
      </w:r>
      <w:r>
        <w:rPr>
          <w:rFonts w:hint="eastAsia" w:ascii="仿宋" w:hAnsi="仿宋" w:eastAsia="仿宋"/>
          <w:sz w:val="32"/>
          <w:szCs w:val="32"/>
        </w:rPr>
        <w:t>。主要变动原因是项目资金变动。</w:t>
      </w:r>
    </w:p>
    <w:p>
      <w:pPr>
        <w:pStyle w:val="2"/>
        <w:spacing w:before="93"/>
        <w:rPr>
          <w:rFonts w:ascii="仿宋" w:hAnsi="仿宋" w:eastAsia="仿宋"/>
          <w:sz w:val="32"/>
          <w:szCs w:val="32"/>
        </w:rPr>
      </w:pPr>
    </w:p>
    <w:p>
      <w:pPr>
        <w:pStyle w:val="2"/>
        <w:spacing w:before="93"/>
        <w:rPr>
          <w:rFonts w:ascii="仿宋" w:hAnsi="仿宋" w:eastAsia="仿宋"/>
          <w:sz w:val="32"/>
          <w:szCs w:val="32"/>
        </w:rPr>
      </w:pPr>
      <w:r>
        <w:drawing>
          <wp:inline distT="0" distB="0" distL="114300" distR="114300">
            <wp:extent cx="5382895" cy="2647950"/>
            <wp:effectExtent l="4445" t="4445" r="22860" b="1460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rPr>
          <w:rFonts w:ascii="仿宋" w:hAnsi="仿宋" w:eastAsia="仿宋"/>
          <w:b/>
          <w:sz w:val="32"/>
          <w:szCs w:val="32"/>
        </w:rPr>
      </w:pPr>
      <w:r>
        <w:rPr>
          <w:rFonts w:hint="eastAsia" w:ascii="仿宋" w:hAnsi="仿宋" w:eastAsia="仿宋"/>
          <w:sz w:val="32"/>
          <w:szCs w:val="32"/>
        </w:rPr>
        <w:t>（图4：财政拨款收、支决算总计变动情况）</w:t>
      </w:r>
    </w:p>
    <w:p>
      <w:pPr>
        <w:spacing w:line="600" w:lineRule="exact"/>
        <w:ind w:firstLine="640" w:firstLineChars="200"/>
        <w:outlineLvl w:val="1"/>
        <w:rPr>
          <w:rStyle w:val="24"/>
          <w:rFonts w:ascii="黑体" w:hAnsi="黑体" w:eastAsia="黑体"/>
          <w:b w:val="0"/>
        </w:rPr>
      </w:pPr>
      <w:bookmarkStart w:id="33" w:name="_Toc15396607"/>
      <w:bookmarkStart w:id="34" w:name="_Toc15377209"/>
      <w:r>
        <w:rPr>
          <w:rFonts w:hint="eastAsia" w:ascii="黑体" w:hAnsi="黑体" w:eastAsia="黑体"/>
          <w:sz w:val="32"/>
          <w:szCs w:val="32"/>
        </w:rPr>
        <w:t>五、</w:t>
      </w:r>
      <w:r>
        <w:rPr>
          <w:rFonts w:hint="eastAsia" w:ascii="黑体" w:hAnsi="黑体" w:eastAsia="黑体"/>
          <w:b/>
          <w:sz w:val="32"/>
          <w:szCs w:val="32"/>
        </w:rPr>
        <w:t>一</w:t>
      </w:r>
      <w:r>
        <w:rPr>
          <w:rStyle w:val="24"/>
          <w:rFonts w:hint="eastAsia" w:ascii="黑体" w:hAnsi="黑体" w:eastAsia="黑体"/>
          <w:b w:val="0"/>
        </w:rPr>
        <w:t>般公共预算财政拨款支出决算情况说明</w:t>
      </w:r>
      <w:bookmarkEnd w:id="33"/>
      <w:bookmarkEnd w:id="34"/>
    </w:p>
    <w:p>
      <w:pPr>
        <w:spacing w:line="600" w:lineRule="exact"/>
        <w:ind w:firstLine="642" w:firstLineChars="200"/>
        <w:outlineLvl w:val="2"/>
        <w:rPr>
          <w:rFonts w:ascii="仿宋" w:hAnsi="仿宋" w:eastAsia="仿宋"/>
          <w:b/>
          <w:sz w:val="32"/>
          <w:szCs w:val="32"/>
        </w:rPr>
      </w:pPr>
      <w:bookmarkStart w:id="35" w:name="_Toc15377210"/>
      <w:r>
        <w:rPr>
          <w:rFonts w:hint="eastAsia" w:ascii="仿宋" w:hAnsi="仿宋" w:eastAsia="仿宋"/>
          <w:b/>
          <w:sz w:val="32"/>
          <w:szCs w:val="32"/>
        </w:rPr>
        <w:t>（一）一般公共预算财政拨款支出决算总体情况</w:t>
      </w:r>
      <w:bookmarkEnd w:id="35"/>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22年一般公共预算财政拨款支出1792.46万元，占本年支出合计的94.47</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21年相比，一般公共预算财政拨款支出增加142.45万元，增长8.63</w:t>
      </w:r>
      <w:r>
        <w:rPr>
          <w:rFonts w:ascii="仿宋" w:hAnsi="仿宋" w:eastAsia="仿宋"/>
          <w:sz w:val="32"/>
          <w:szCs w:val="32"/>
        </w:rPr>
        <w:t>%</w:t>
      </w:r>
      <w:r>
        <w:rPr>
          <w:rFonts w:hint="eastAsia" w:ascii="仿宋" w:hAnsi="仿宋" w:eastAsia="仿宋"/>
          <w:sz w:val="32"/>
          <w:szCs w:val="32"/>
        </w:rPr>
        <w:t>。主要变动原因是人员增多、项目资金增加。</w:t>
      </w:r>
    </w:p>
    <w:p>
      <w:pPr>
        <w:pStyle w:val="2"/>
        <w:spacing w:before="93"/>
        <w:rPr>
          <w:rFonts w:ascii="仿宋" w:hAnsi="仿宋" w:eastAsia="仿宋"/>
          <w:sz w:val="32"/>
          <w:szCs w:val="32"/>
        </w:rPr>
      </w:pPr>
      <w:r>
        <w:drawing>
          <wp:inline distT="0" distB="0" distL="114300" distR="114300">
            <wp:extent cx="5210175" cy="2743200"/>
            <wp:effectExtent l="4445" t="4445" r="5080" b="1460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w:t>
      </w:r>
    </w:p>
    <w:p>
      <w:pPr>
        <w:spacing w:line="600" w:lineRule="exact"/>
        <w:ind w:firstLine="642" w:firstLineChars="200"/>
        <w:outlineLvl w:val="2"/>
        <w:rPr>
          <w:rFonts w:ascii="仿宋" w:hAnsi="仿宋" w:eastAsia="仿宋"/>
          <w:b/>
          <w:sz w:val="32"/>
          <w:szCs w:val="32"/>
        </w:rPr>
      </w:pPr>
      <w:bookmarkStart w:id="36" w:name="_Toc15377211"/>
      <w:r>
        <w:rPr>
          <w:rFonts w:hint="eastAsia" w:ascii="仿宋" w:hAnsi="仿宋" w:eastAsia="仿宋"/>
          <w:b/>
          <w:sz w:val="32"/>
          <w:szCs w:val="32"/>
        </w:rPr>
        <w:t>（二）一般公共预算财政拨款支出决算结构情况</w:t>
      </w:r>
      <w:bookmarkEnd w:id="36"/>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22年一般公共预算财政拨款支出1792.46万元，主要用于以下方面</w:t>
      </w:r>
      <w:r>
        <w:rPr>
          <w:rFonts w:ascii="仿宋" w:hAnsi="仿宋" w:eastAsia="仿宋"/>
          <w:sz w:val="32"/>
          <w:szCs w:val="32"/>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rPr>
        <w:t>558.5万元，占31.16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公共安全支出</w:t>
      </w:r>
      <w:r>
        <w:rPr>
          <w:rFonts w:hint="eastAsia" w:ascii="仿宋" w:hAnsi="仿宋" w:eastAsia="仿宋"/>
          <w:sz w:val="32"/>
          <w:szCs w:val="32"/>
        </w:rPr>
        <w:t>8.19万元，占0.46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文化旅游体育与传媒支出</w:t>
      </w:r>
      <w:r>
        <w:rPr>
          <w:rFonts w:hint="eastAsia" w:ascii="仿宋" w:hAnsi="仿宋" w:eastAsia="仿宋"/>
          <w:bCs/>
          <w:sz w:val="32"/>
          <w:szCs w:val="32"/>
        </w:rPr>
        <w:t>46.9万元</w:t>
      </w:r>
      <w:r>
        <w:rPr>
          <w:rFonts w:hint="eastAsia" w:ascii="仿宋" w:hAnsi="仿宋" w:eastAsia="仿宋"/>
          <w:b/>
          <w:bCs/>
          <w:sz w:val="32"/>
          <w:szCs w:val="32"/>
        </w:rPr>
        <w:t>，</w:t>
      </w:r>
      <w:r>
        <w:rPr>
          <w:rFonts w:hint="eastAsia" w:ascii="仿宋" w:hAnsi="仿宋" w:eastAsia="仿宋"/>
          <w:bCs/>
          <w:sz w:val="32"/>
          <w:szCs w:val="32"/>
        </w:rPr>
        <w:t>占2.62</w:t>
      </w:r>
      <w:r>
        <w:rPr>
          <w:rFonts w:ascii="仿宋" w:hAnsi="仿宋" w:eastAsia="仿宋"/>
          <w:bCs/>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rPr>
        <w:t>252.24万元，占14.07</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rPr>
        <w:t>97.77万元，占5.45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城乡社区支出</w:t>
      </w:r>
      <w:r>
        <w:rPr>
          <w:rFonts w:hint="eastAsia" w:ascii="仿宋" w:hAnsi="仿宋" w:eastAsia="仿宋"/>
          <w:sz w:val="32"/>
          <w:szCs w:val="32"/>
        </w:rPr>
        <w:t>2.82万元，占0.15%；</w:t>
      </w:r>
      <w:r>
        <w:rPr>
          <w:rFonts w:hint="eastAsia" w:ascii="仿宋" w:hAnsi="仿宋" w:eastAsia="仿宋"/>
          <w:b/>
          <w:sz w:val="32"/>
          <w:szCs w:val="32"/>
        </w:rPr>
        <w:t>农林水支出</w:t>
      </w:r>
      <w:r>
        <w:rPr>
          <w:rFonts w:hint="eastAsia" w:ascii="仿宋" w:hAnsi="仿宋" w:eastAsia="仿宋"/>
          <w:sz w:val="32"/>
          <w:szCs w:val="32"/>
        </w:rPr>
        <w:t>667.51万元，占37.24%；</w:t>
      </w:r>
      <w:r>
        <w:rPr>
          <w:rFonts w:hint="eastAsia" w:ascii="仿宋" w:hAnsi="仿宋" w:eastAsia="仿宋"/>
          <w:b/>
          <w:sz w:val="32"/>
          <w:szCs w:val="32"/>
        </w:rPr>
        <w:t>交通运输支出</w:t>
      </w:r>
      <w:r>
        <w:rPr>
          <w:rFonts w:hint="eastAsia" w:ascii="仿宋" w:hAnsi="仿宋" w:eastAsia="仿宋"/>
          <w:sz w:val="32"/>
          <w:szCs w:val="32"/>
        </w:rPr>
        <w:t>1.72万元，占0.1%；</w:t>
      </w:r>
      <w:r>
        <w:rPr>
          <w:rFonts w:hint="eastAsia" w:ascii="仿宋" w:hAnsi="仿宋" w:eastAsia="仿宋"/>
          <w:b/>
          <w:bCs/>
          <w:sz w:val="32"/>
          <w:szCs w:val="32"/>
        </w:rPr>
        <w:t>住房保障支出</w:t>
      </w:r>
      <w:r>
        <w:rPr>
          <w:rFonts w:hint="eastAsia" w:ascii="仿宋" w:hAnsi="仿宋" w:eastAsia="仿宋"/>
          <w:sz w:val="32"/>
          <w:szCs w:val="32"/>
        </w:rPr>
        <w:t>93.07万元，占5.19</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灾害防治及应急管理支出</w:t>
      </w:r>
      <w:r>
        <w:rPr>
          <w:rFonts w:hint="eastAsia" w:ascii="仿宋" w:hAnsi="仿宋" w:eastAsia="仿宋"/>
          <w:sz w:val="32"/>
          <w:szCs w:val="32"/>
        </w:rPr>
        <w:t>9.97万元，占0.56%；</w:t>
      </w:r>
      <w:r>
        <w:rPr>
          <w:rFonts w:hint="eastAsia" w:ascii="仿宋" w:hAnsi="仿宋" w:eastAsia="仿宋"/>
          <w:b/>
          <w:bCs/>
          <w:sz w:val="32"/>
          <w:szCs w:val="32"/>
        </w:rPr>
        <w:t>其他支出</w:t>
      </w:r>
      <w:r>
        <w:rPr>
          <w:rFonts w:hint="eastAsia" w:ascii="仿宋" w:hAnsi="仿宋" w:eastAsia="仿宋"/>
          <w:sz w:val="32"/>
          <w:szCs w:val="32"/>
        </w:rPr>
        <w:t>53.77万元，占3%。</w:t>
      </w:r>
    </w:p>
    <w:p>
      <w:pPr>
        <w:pStyle w:val="2"/>
        <w:spacing w:before="93"/>
      </w:pPr>
    </w:p>
    <w:p>
      <w:pPr>
        <w:pStyle w:val="2"/>
        <w:spacing w:before="93"/>
      </w:pPr>
      <w:r>
        <w:drawing>
          <wp:inline distT="0" distB="0" distL="0" distR="0">
            <wp:extent cx="4608830" cy="2780030"/>
            <wp:effectExtent l="19050" t="0" r="1270"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noChangeArrowheads="1"/>
                    </pic:cNvPicPr>
                  </pic:nvPicPr>
                  <pic:blipFill>
                    <a:blip r:embed="rId13"/>
                    <a:srcRect/>
                    <a:stretch>
                      <a:fillRect/>
                    </a:stretch>
                  </pic:blipFill>
                  <pic:spPr>
                    <a:xfrm>
                      <a:off x="0" y="0"/>
                      <a:ext cx="4608830" cy="2780030"/>
                    </a:xfrm>
                    <a:prstGeom prst="rect">
                      <a:avLst/>
                    </a:prstGeom>
                    <a:noFill/>
                  </pic:spPr>
                </pic:pic>
              </a:graphicData>
            </a:graphic>
          </wp:inline>
        </w:drawing>
      </w:r>
    </w:p>
    <w:p>
      <w:pPr>
        <w:spacing w:line="600" w:lineRule="exact"/>
        <w:rPr>
          <w:rFonts w:ascii="仿宋" w:hAnsi="仿宋" w:eastAsia="仿宋"/>
          <w:sz w:val="32"/>
          <w:szCs w:val="32"/>
        </w:rPr>
      </w:pPr>
      <w:r>
        <w:rPr>
          <w:rFonts w:hint="eastAsia" w:ascii="仿宋" w:hAnsi="仿宋" w:eastAsia="仿宋"/>
          <w:sz w:val="32"/>
          <w:szCs w:val="32"/>
        </w:rPr>
        <w:t>（图6：一般公共预算财政拨款支出决算结构）（饼状图）</w:t>
      </w:r>
    </w:p>
    <w:p>
      <w:pPr>
        <w:spacing w:line="600" w:lineRule="exact"/>
        <w:ind w:firstLine="642" w:firstLineChars="200"/>
        <w:outlineLvl w:val="2"/>
        <w:rPr>
          <w:rFonts w:ascii="仿宋" w:hAnsi="仿宋" w:eastAsia="仿宋"/>
          <w:b/>
          <w:sz w:val="32"/>
          <w:szCs w:val="32"/>
        </w:rPr>
      </w:pPr>
      <w:bookmarkStart w:id="37" w:name="_Toc15377212"/>
      <w:r>
        <w:rPr>
          <w:rFonts w:hint="eastAsia" w:ascii="仿宋" w:hAnsi="仿宋" w:eastAsia="仿宋"/>
          <w:b/>
          <w:sz w:val="32"/>
          <w:szCs w:val="32"/>
        </w:rPr>
        <w:t>（三）一般公共预算财政拨款支出决算具体情况</w:t>
      </w:r>
      <w:bookmarkEnd w:id="37"/>
    </w:p>
    <w:p>
      <w:pPr>
        <w:spacing w:line="600" w:lineRule="exact"/>
        <w:ind w:firstLine="642" w:firstLineChars="200"/>
        <w:outlineLvl w:val="2"/>
        <w:rPr>
          <w:rFonts w:ascii="仿宋" w:hAnsi="仿宋" w:eastAsia="仿宋"/>
          <w:sz w:val="32"/>
          <w:szCs w:val="32"/>
        </w:rPr>
      </w:pPr>
      <w:bookmarkStart w:id="38" w:name="_Toc15378460"/>
      <w:bookmarkStart w:id="39" w:name="_Toc15377444"/>
      <w:bookmarkStart w:id="40" w:name="_Toc15377213"/>
      <w:r>
        <w:rPr>
          <w:rFonts w:hint="eastAsia" w:ascii="仿宋" w:hAnsi="仿宋" w:eastAsia="仿宋"/>
          <w:b/>
          <w:sz w:val="32"/>
          <w:szCs w:val="32"/>
        </w:rPr>
        <w:t>2022年一般公共预算支出决算数为1792.46万元</w:t>
      </w:r>
      <w:r>
        <w:rPr>
          <w:rFonts w:hint="eastAsia" w:ascii="仿宋" w:hAnsi="仿宋" w:eastAsia="仿宋"/>
          <w:sz w:val="32"/>
          <w:szCs w:val="32"/>
        </w:rPr>
        <w:t>，</w:t>
      </w:r>
      <w:r>
        <w:rPr>
          <w:rStyle w:val="19"/>
          <w:rFonts w:hint="eastAsia" w:ascii="仿宋" w:hAnsi="仿宋" w:eastAsia="仿宋"/>
          <w:bCs/>
          <w:sz w:val="32"/>
          <w:szCs w:val="32"/>
        </w:rPr>
        <w:t>完成预算100</w:t>
      </w:r>
      <w:r>
        <w:rPr>
          <w:rStyle w:val="19"/>
          <w:rFonts w:ascii="仿宋" w:hAnsi="仿宋" w:eastAsia="仿宋"/>
          <w:bCs/>
          <w:sz w:val="32"/>
          <w:szCs w:val="32"/>
        </w:rPr>
        <w:t>%</w:t>
      </w:r>
      <w:r>
        <w:rPr>
          <w:rStyle w:val="19"/>
          <w:rFonts w:hint="eastAsia" w:ascii="仿宋" w:hAnsi="仿宋" w:eastAsia="仿宋"/>
          <w:bCs/>
          <w:sz w:val="32"/>
          <w:szCs w:val="32"/>
        </w:rPr>
        <w:t>。其中：</w:t>
      </w:r>
      <w:bookmarkEnd w:id="38"/>
      <w:bookmarkEnd w:id="39"/>
      <w:bookmarkEnd w:id="40"/>
    </w:p>
    <w:p>
      <w:pPr>
        <w:spacing w:line="600" w:lineRule="exact"/>
        <w:ind w:firstLine="642" w:firstLineChars="200"/>
        <w:rPr>
          <w:rStyle w:val="19"/>
          <w:rFonts w:ascii="仿宋" w:hAnsi="仿宋" w:eastAsia="仿宋"/>
          <w:bCs/>
          <w:sz w:val="32"/>
          <w:szCs w:val="32"/>
        </w:rPr>
      </w:pPr>
      <w:r>
        <w:rPr>
          <w:rStyle w:val="19"/>
          <w:rFonts w:ascii="仿宋" w:hAnsi="仿宋" w:eastAsia="仿宋"/>
          <w:bCs/>
          <w:sz w:val="32"/>
          <w:szCs w:val="32"/>
        </w:rPr>
        <w:t>1.</w:t>
      </w:r>
      <w:r>
        <w:rPr>
          <w:rStyle w:val="19"/>
          <w:rFonts w:hint="eastAsia" w:ascii="仿宋" w:hAnsi="仿宋" w:eastAsia="仿宋"/>
          <w:bCs/>
          <w:sz w:val="32"/>
          <w:szCs w:val="32"/>
        </w:rPr>
        <w:t>一般公共服务支出</w:t>
      </w:r>
    </w:p>
    <w:p>
      <w:pPr>
        <w:spacing w:line="600" w:lineRule="exact"/>
        <w:ind w:firstLine="642" w:firstLineChars="200"/>
        <w:rPr>
          <w:rStyle w:val="19"/>
          <w:rFonts w:ascii="仿宋" w:hAnsi="仿宋" w:eastAsia="仿宋"/>
          <w:b w:val="0"/>
          <w:bCs/>
          <w:sz w:val="32"/>
          <w:szCs w:val="32"/>
        </w:rPr>
      </w:pPr>
      <w:r>
        <w:rPr>
          <w:rStyle w:val="19"/>
          <w:rFonts w:hint="eastAsia" w:ascii="仿宋" w:hAnsi="仿宋" w:eastAsia="仿宋"/>
          <w:bCs/>
          <w:sz w:val="32"/>
          <w:szCs w:val="32"/>
        </w:rPr>
        <w:t>2010101人大行政运行</w:t>
      </w:r>
      <w:r>
        <w:rPr>
          <w:rStyle w:val="19"/>
          <w:rFonts w:ascii="仿宋" w:hAnsi="仿宋" w:eastAsia="仿宋"/>
          <w:bCs/>
          <w:sz w:val="32"/>
          <w:szCs w:val="32"/>
        </w:rPr>
        <w:t>:</w:t>
      </w:r>
      <w:r>
        <w:rPr>
          <w:rStyle w:val="19"/>
          <w:rFonts w:hint="eastAsia" w:ascii="仿宋" w:hAnsi="仿宋" w:eastAsia="仿宋"/>
          <w:b w:val="0"/>
          <w:bCs/>
          <w:sz w:val="32"/>
          <w:szCs w:val="32"/>
        </w:rPr>
        <w:t>支出决算为24.53万元，完成预算100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，决算数等于预算数的主要原因是收支平衡。</w:t>
      </w:r>
    </w:p>
    <w:p>
      <w:pPr>
        <w:spacing w:line="600" w:lineRule="exact"/>
        <w:ind w:firstLine="642" w:firstLineChars="200"/>
        <w:rPr>
          <w:rStyle w:val="19"/>
          <w:rFonts w:ascii="仿宋" w:hAnsi="仿宋" w:eastAsia="仿宋"/>
          <w:b w:val="0"/>
          <w:bCs/>
          <w:sz w:val="32"/>
          <w:szCs w:val="32"/>
        </w:rPr>
      </w:pPr>
      <w:r>
        <w:rPr>
          <w:rStyle w:val="19"/>
          <w:rFonts w:hint="eastAsia" w:ascii="仿宋" w:hAnsi="仿宋" w:eastAsia="仿宋"/>
          <w:bCs/>
          <w:sz w:val="32"/>
          <w:szCs w:val="32"/>
        </w:rPr>
        <w:t>2010104人大会议：</w:t>
      </w:r>
      <w:r>
        <w:rPr>
          <w:rStyle w:val="19"/>
          <w:rFonts w:hint="eastAsia" w:ascii="仿宋" w:hAnsi="仿宋" w:eastAsia="仿宋"/>
          <w:b w:val="0"/>
          <w:bCs/>
          <w:sz w:val="32"/>
          <w:szCs w:val="32"/>
        </w:rPr>
        <w:t>支出决算为1.55万元</w:t>
      </w:r>
      <w:r>
        <w:rPr>
          <w:rStyle w:val="19"/>
          <w:rFonts w:hint="eastAsia" w:ascii="仿宋" w:hAnsi="仿宋" w:eastAsia="仿宋"/>
          <w:bCs/>
          <w:sz w:val="32"/>
          <w:szCs w:val="32"/>
        </w:rPr>
        <w:t>，</w:t>
      </w:r>
      <w:r>
        <w:rPr>
          <w:rStyle w:val="19"/>
          <w:rFonts w:hint="eastAsia" w:ascii="仿宋" w:hAnsi="仿宋" w:eastAsia="仿宋"/>
          <w:b w:val="0"/>
          <w:bCs/>
          <w:sz w:val="32"/>
          <w:szCs w:val="32"/>
        </w:rPr>
        <w:t>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，决算数等于预算数的主要原因是收支平衡。</w:t>
      </w:r>
    </w:p>
    <w:p>
      <w:pPr>
        <w:spacing w:line="600" w:lineRule="exact"/>
        <w:ind w:firstLine="642" w:firstLineChars="200"/>
        <w:rPr>
          <w:rStyle w:val="19"/>
          <w:rFonts w:ascii="仿宋" w:hAnsi="仿宋" w:eastAsia="仿宋"/>
          <w:b w:val="0"/>
          <w:bCs/>
          <w:sz w:val="32"/>
          <w:szCs w:val="32"/>
        </w:rPr>
      </w:pPr>
      <w:r>
        <w:rPr>
          <w:rStyle w:val="19"/>
          <w:rFonts w:hint="eastAsia" w:ascii="仿宋" w:hAnsi="仿宋" w:eastAsia="仿宋"/>
          <w:bCs/>
          <w:sz w:val="32"/>
          <w:szCs w:val="32"/>
        </w:rPr>
        <w:t>2010301政府行政运行：</w:t>
      </w:r>
      <w:r>
        <w:rPr>
          <w:rStyle w:val="19"/>
          <w:rFonts w:hint="eastAsia" w:ascii="仿宋" w:hAnsi="仿宋" w:eastAsia="仿宋"/>
          <w:b w:val="0"/>
          <w:bCs/>
          <w:sz w:val="32"/>
          <w:szCs w:val="32"/>
        </w:rPr>
        <w:t>支出决算为463.56万元，完成预算100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，决算数等于预算数的主要原因是收支平衡。</w:t>
      </w:r>
    </w:p>
    <w:p>
      <w:pPr>
        <w:spacing w:line="600" w:lineRule="exact"/>
        <w:ind w:firstLine="642" w:firstLineChars="200"/>
        <w:rPr>
          <w:rStyle w:val="19"/>
          <w:rFonts w:ascii="仿宋" w:hAnsi="仿宋" w:eastAsia="仿宋"/>
          <w:b w:val="0"/>
          <w:bCs/>
          <w:sz w:val="32"/>
          <w:szCs w:val="32"/>
        </w:rPr>
      </w:pPr>
      <w:r>
        <w:rPr>
          <w:rStyle w:val="19"/>
          <w:rFonts w:hint="eastAsia" w:ascii="仿宋" w:hAnsi="仿宋" w:eastAsia="仿宋"/>
          <w:bCs/>
          <w:sz w:val="32"/>
          <w:szCs w:val="32"/>
        </w:rPr>
        <w:t>2010302政府一般行政管理事务：</w:t>
      </w:r>
      <w:r>
        <w:rPr>
          <w:rStyle w:val="19"/>
          <w:rFonts w:hint="eastAsia" w:ascii="仿宋" w:hAnsi="仿宋" w:eastAsia="仿宋"/>
          <w:b w:val="0"/>
          <w:bCs/>
          <w:sz w:val="32"/>
          <w:szCs w:val="32"/>
        </w:rPr>
        <w:t>支出决算为2.67万元，完成预算100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，决算数等于预算数的主要原因是收支平衡。</w:t>
      </w:r>
    </w:p>
    <w:p>
      <w:pPr>
        <w:spacing w:line="600" w:lineRule="exact"/>
        <w:ind w:firstLine="642" w:firstLineChars="200"/>
        <w:rPr>
          <w:rStyle w:val="19"/>
          <w:rFonts w:ascii="仿宋" w:hAnsi="仿宋" w:eastAsia="仿宋"/>
          <w:b w:val="0"/>
          <w:bCs/>
          <w:sz w:val="32"/>
          <w:szCs w:val="32"/>
        </w:rPr>
      </w:pPr>
      <w:r>
        <w:rPr>
          <w:rStyle w:val="19"/>
          <w:rFonts w:hint="eastAsia" w:ascii="仿宋" w:hAnsi="仿宋" w:eastAsia="仿宋"/>
          <w:bCs/>
          <w:sz w:val="32"/>
          <w:szCs w:val="32"/>
        </w:rPr>
        <w:t>2010308政府信访事务：</w:t>
      </w:r>
      <w:r>
        <w:rPr>
          <w:rStyle w:val="19"/>
          <w:rFonts w:hint="eastAsia" w:ascii="仿宋" w:hAnsi="仿宋" w:eastAsia="仿宋"/>
          <w:b w:val="0"/>
          <w:bCs/>
          <w:sz w:val="32"/>
          <w:szCs w:val="32"/>
        </w:rPr>
        <w:t>支出决算为16万元，完成预算100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，决算数等于预算数的主要原因是收支平衡。</w:t>
      </w:r>
    </w:p>
    <w:p>
      <w:pPr>
        <w:spacing w:line="600" w:lineRule="exact"/>
        <w:ind w:firstLine="642" w:firstLineChars="200"/>
        <w:rPr>
          <w:rStyle w:val="19"/>
          <w:rFonts w:ascii="仿宋" w:hAnsi="仿宋" w:eastAsia="仿宋"/>
          <w:b w:val="0"/>
          <w:bCs/>
          <w:sz w:val="32"/>
          <w:szCs w:val="32"/>
        </w:rPr>
      </w:pPr>
      <w:r>
        <w:rPr>
          <w:rStyle w:val="19"/>
          <w:rFonts w:hint="eastAsia" w:ascii="仿宋" w:hAnsi="仿宋" w:eastAsia="仿宋"/>
          <w:bCs/>
          <w:sz w:val="32"/>
          <w:szCs w:val="32"/>
        </w:rPr>
        <w:t>2010350政府事业运行：</w:t>
      </w:r>
      <w:r>
        <w:rPr>
          <w:rStyle w:val="19"/>
          <w:rFonts w:hint="eastAsia" w:ascii="仿宋" w:hAnsi="仿宋" w:eastAsia="仿宋"/>
          <w:b w:val="0"/>
          <w:bCs/>
          <w:sz w:val="32"/>
          <w:szCs w:val="32"/>
        </w:rPr>
        <w:t>支出决算为25.01万元，完成预算100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，决算数等于预算数的主要原因是收支平衡。</w:t>
      </w:r>
    </w:p>
    <w:p>
      <w:pPr>
        <w:spacing w:line="600" w:lineRule="exact"/>
        <w:ind w:firstLine="642" w:firstLineChars="200"/>
        <w:rPr>
          <w:rStyle w:val="19"/>
          <w:rFonts w:ascii="仿宋" w:hAnsi="仿宋" w:eastAsia="仿宋"/>
          <w:b w:val="0"/>
          <w:bCs/>
          <w:sz w:val="32"/>
          <w:szCs w:val="32"/>
        </w:rPr>
      </w:pPr>
      <w:r>
        <w:rPr>
          <w:rStyle w:val="19"/>
          <w:rFonts w:hint="eastAsia" w:ascii="仿宋" w:hAnsi="仿宋" w:eastAsia="仿宋"/>
          <w:bCs/>
          <w:sz w:val="32"/>
          <w:szCs w:val="32"/>
        </w:rPr>
        <w:t>2011199其他纪检监察事务支出：</w:t>
      </w:r>
      <w:r>
        <w:rPr>
          <w:rStyle w:val="19"/>
          <w:rFonts w:hint="eastAsia" w:ascii="仿宋" w:hAnsi="仿宋" w:eastAsia="仿宋"/>
          <w:b w:val="0"/>
          <w:bCs/>
          <w:sz w:val="32"/>
          <w:szCs w:val="32"/>
        </w:rPr>
        <w:t>支出决算为2万元，完成预算100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，决算数等于预算数的主要原因是收支平衡。</w:t>
      </w:r>
    </w:p>
    <w:p>
      <w:pPr>
        <w:spacing w:line="600" w:lineRule="exact"/>
        <w:ind w:firstLine="642" w:firstLineChars="200"/>
        <w:rPr>
          <w:rStyle w:val="19"/>
          <w:rFonts w:ascii="仿宋" w:hAnsi="仿宋" w:eastAsia="仿宋"/>
          <w:b w:val="0"/>
          <w:bCs/>
          <w:sz w:val="32"/>
          <w:szCs w:val="32"/>
        </w:rPr>
      </w:pPr>
      <w:r>
        <w:rPr>
          <w:rStyle w:val="19"/>
          <w:rFonts w:hint="eastAsia" w:ascii="仿宋" w:hAnsi="仿宋" w:eastAsia="仿宋"/>
          <w:bCs/>
          <w:sz w:val="32"/>
          <w:szCs w:val="32"/>
        </w:rPr>
        <w:t>2012304民族工作专项：</w:t>
      </w:r>
      <w:r>
        <w:rPr>
          <w:rStyle w:val="19"/>
          <w:rFonts w:hint="eastAsia" w:ascii="仿宋" w:hAnsi="仿宋" w:eastAsia="仿宋"/>
          <w:b w:val="0"/>
          <w:bCs/>
          <w:sz w:val="32"/>
          <w:szCs w:val="32"/>
        </w:rPr>
        <w:t>支出决算为3万元，完成预算100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，决算数等于预算数的主要原因是收支平衡。</w:t>
      </w:r>
    </w:p>
    <w:p>
      <w:pPr>
        <w:spacing w:line="600" w:lineRule="exact"/>
        <w:ind w:firstLine="642" w:firstLineChars="200"/>
        <w:rPr>
          <w:rStyle w:val="19"/>
          <w:rFonts w:ascii="仿宋" w:hAnsi="仿宋" w:eastAsia="仿宋"/>
          <w:b w:val="0"/>
          <w:bCs/>
          <w:sz w:val="32"/>
          <w:szCs w:val="32"/>
        </w:rPr>
      </w:pPr>
      <w:r>
        <w:rPr>
          <w:rStyle w:val="19"/>
          <w:rFonts w:hint="eastAsia" w:ascii="仿宋" w:hAnsi="仿宋" w:eastAsia="仿宋"/>
          <w:bCs/>
          <w:sz w:val="32"/>
          <w:szCs w:val="32"/>
        </w:rPr>
        <w:t>2012399其他民族事务支出：</w:t>
      </w:r>
      <w:r>
        <w:rPr>
          <w:rStyle w:val="19"/>
          <w:rFonts w:hint="eastAsia" w:ascii="仿宋" w:hAnsi="仿宋" w:eastAsia="仿宋"/>
          <w:b w:val="0"/>
          <w:bCs/>
          <w:sz w:val="32"/>
          <w:szCs w:val="32"/>
        </w:rPr>
        <w:t>支出决算为2万元，完成预算100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，决算数等于预算数的主要原因是收支平衡。</w:t>
      </w:r>
    </w:p>
    <w:p>
      <w:pPr>
        <w:spacing w:line="600" w:lineRule="exact"/>
        <w:ind w:firstLine="642" w:firstLineChars="200"/>
        <w:rPr>
          <w:rStyle w:val="19"/>
          <w:rFonts w:ascii="仿宋" w:hAnsi="仿宋" w:eastAsia="仿宋"/>
          <w:b w:val="0"/>
          <w:bCs/>
          <w:sz w:val="32"/>
          <w:szCs w:val="32"/>
        </w:rPr>
      </w:pPr>
      <w:r>
        <w:rPr>
          <w:rStyle w:val="19"/>
          <w:rFonts w:hint="eastAsia" w:ascii="仿宋" w:hAnsi="仿宋" w:eastAsia="仿宋"/>
          <w:bCs/>
          <w:sz w:val="32"/>
          <w:szCs w:val="32"/>
        </w:rPr>
        <w:t>203101党委办公室及相关机构事务行政运行：</w:t>
      </w:r>
      <w:r>
        <w:rPr>
          <w:rStyle w:val="19"/>
          <w:rFonts w:hint="eastAsia" w:ascii="仿宋" w:hAnsi="仿宋" w:eastAsia="仿宋"/>
          <w:b w:val="0"/>
          <w:bCs/>
          <w:sz w:val="32"/>
          <w:szCs w:val="32"/>
        </w:rPr>
        <w:t>支出决算为15.68万元，完成预算100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，决算数等于预算数的主要原因是收支平衡。</w:t>
      </w:r>
    </w:p>
    <w:p>
      <w:pPr>
        <w:spacing w:line="600" w:lineRule="exact"/>
        <w:ind w:firstLine="642" w:firstLineChars="200"/>
        <w:rPr>
          <w:rStyle w:val="19"/>
          <w:rFonts w:ascii="仿宋" w:hAnsi="仿宋" w:eastAsia="仿宋"/>
          <w:b w:val="0"/>
          <w:bCs/>
          <w:sz w:val="32"/>
          <w:szCs w:val="32"/>
        </w:rPr>
      </w:pPr>
      <w:r>
        <w:rPr>
          <w:rStyle w:val="19"/>
          <w:rFonts w:hint="eastAsia" w:ascii="仿宋" w:hAnsi="仿宋" w:eastAsia="仿宋"/>
          <w:bCs/>
          <w:sz w:val="32"/>
          <w:szCs w:val="32"/>
        </w:rPr>
        <w:t>2013399其他宣传事务支出：</w:t>
      </w:r>
      <w:r>
        <w:rPr>
          <w:rStyle w:val="19"/>
          <w:rFonts w:hint="eastAsia" w:ascii="仿宋" w:hAnsi="仿宋" w:eastAsia="仿宋"/>
          <w:b w:val="0"/>
          <w:bCs/>
          <w:sz w:val="32"/>
          <w:szCs w:val="32"/>
        </w:rPr>
        <w:t>支出决算为2.5万元，完成预算100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，决算数等于预算数的主要原因是收支平衡。</w:t>
      </w:r>
    </w:p>
    <w:p>
      <w:pPr>
        <w:spacing w:line="600" w:lineRule="exact"/>
        <w:ind w:firstLine="642" w:firstLineChars="200"/>
        <w:rPr>
          <w:rStyle w:val="19"/>
          <w:rFonts w:ascii="仿宋" w:hAnsi="仿宋" w:eastAsia="仿宋"/>
          <w:bCs/>
          <w:sz w:val="32"/>
          <w:szCs w:val="32"/>
        </w:rPr>
      </w:pPr>
      <w:r>
        <w:rPr>
          <w:rStyle w:val="19"/>
          <w:rFonts w:ascii="仿宋" w:hAnsi="仿宋" w:eastAsia="仿宋"/>
          <w:bCs/>
          <w:sz w:val="32"/>
          <w:szCs w:val="32"/>
        </w:rPr>
        <w:t>2</w:t>
      </w:r>
      <w:r>
        <w:rPr>
          <w:rStyle w:val="19"/>
          <w:rFonts w:hint="eastAsia" w:ascii="仿宋" w:hAnsi="仿宋" w:eastAsia="仿宋"/>
          <w:bCs/>
          <w:sz w:val="32"/>
          <w:szCs w:val="32"/>
        </w:rPr>
        <w:t>公共安全支出</w:t>
      </w:r>
    </w:p>
    <w:p>
      <w:pPr>
        <w:spacing w:line="600" w:lineRule="exact"/>
        <w:ind w:firstLine="642" w:firstLineChars="200"/>
        <w:rPr>
          <w:rStyle w:val="19"/>
          <w:rFonts w:ascii="仿宋" w:hAnsi="仿宋" w:eastAsia="仿宋"/>
          <w:b w:val="0"/>
          <w:bCs/>
          <w:sz w:val="32"/>
          <w:szCs w:val="32"/>
        </w:rPr>
      </w:pPr>
      <w:r>
        <w:rPr>
          <w:rStyle w:val="19"/>
          <w:rFonts w:hint="eastAsia" w:ascii="仿宋" w:hAnsi="仿宋" w:eastAsia="仿宋"/>
          <w:bCs/>
          <w:sz w:val="32"/>
          <w:szCs w:val="32"/>
        </w:rPr>
        <w:t>2049999其他公共安全支出</w:t>
      </w:r>
      <w:r>
        <w:rPr>
          <w:rStyle w:val="19"/>
          <w:rFonts w:ascii="仿宋" w:hAnsi="仿宋" w:eastAsia="仿宋"/>
          <w:bCs/>
          <w:sz w:val="32"/>
          <w:szCs w:val="32"/>
        </w:rPr>
        <w:t>:</w:t>
      </w:r>
      <w:r>
        <w:rPr>
          <w:rStyle w:val="19"/>
          <w:rFonts w:hint="eastAsia" w:ascii="仿宋" w:hAnsi="仿宋" w:eastAsia="仿宋"/>
          <w:b w:val="0"/>
          <w:bCs/>
          <w:sz w:val="32"/>
          <w:szCs w:val="32"/>
        </w:rPr>
        <w:t>支出决算为8.19万元，完成预算100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，决算数等于预算数的主要原因是收支平衡。</w:t>
      </w:r>
    </w:p>
    <w:p>
      <w:pPr>
        <w:spacing w:line="600" w:lineRule="exact"/>
        <w:ind w:firstLine="642" w:firstLineChars="200"/>
        <w:rPr>
          <w:rStyle w:val="19"/>
          <w:rFonts w:ascii="仿宋" w:hAnsi="仿宋" w:eastAsia="仿宋"/>
          <w:bCs/>
          <w:sz w:val="32"/>
          <w:szCs w:val="32"/>
        </w:rPr>
      </w:pPr>
      <w:r>
        <w:rPr>
          <w:rStyle w:val="19"/>
          <w:rFonts w:ascii="仿宋" w:hAnsi="仿宋" w:eastAsia="仿宋"/>
          <w:bCs/>
          <w:sz w:val="32"/>
          <w:szCs w:val="32"/>
        </w:rPr>
        <w:t>3.</w:t>
      </w:r>
      <w:r>
        <w:rPr>
          <w:rStyle w:val="19"/>
          <w:rFonts w:hint="eastAsia" w:ascii="仿宋" w:hAnsi="仿宋" w:eastAsia="仿宋"/>
          <w:bCs/>
          <w:sz w:val="32"/>
          <w:szCs w:val="32"/>
        </w:rPr>
        <w:t>文化旅游体育与传媒支出</w:t>
      </w:r>
    </w:p>
    <w:p>
      <w:pPr>
        <w:spacing w:line="600" w:lineRule="exact"/>
        <w:ind w:firstLine="642" w:firstLineChars="200"/>
        <w:rPr>
          <w:rStyle w:val="19"/>
          <w:rFonts w:ascii="仿宋" w:hAnsi="仿宋" w:eastAsia="仿宋"/>
          <w:b w:val="0"/>
          <w:bCs/>
          <w:sz w:val="32"/>
          <w:szCs w:val="32"/>
        </w:rPr>
      </w:pPr>
      <w:r>
        <w:rPr>
          <w:rStyle w:val="19"/>
          <w:rFonts w:hint="eastAsia" w:ascii="仿宋" w:hAnsi="仿宋" w:eastAsia="仿宋"/>
          <w:bCs/>
          <w:sz w:val="32"/>
          <w:szCs w:val="32"/>
        </w:rPr>
        <w:t>2070109群众文化</w:t>
      </w:r>
      <w:r>
        <w:rPr>
          <w:rStyle w:val="19"/>
          <w:rFonts w:ascii="仿宋" w:hAnsi="仿宋" w:eastAsia="仿宋"/>
          <w:bCs/>
          <w:sz w:val="32"/>
          <w:szCs w:val="32"/>
        </w:rPr>
        <w:t>:</w:t>
      </w:r>
      <w:r>
        <w:rPr>
          <w:rStyle w:val="19"/>
          <w:rFonts w:hint="eastAsia" w:ascii="仿宋" w:hAnsi="仿宋" w:eastAsia="仿宋"/>
          <w:b w:val="0"/>
          <w:bCs/>
          <w:sz w:val="32"/>
          <w:szCs w:val="32"/>
        </w:rPr>
        <w:t>支出决算为41.7万元，完成预算100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，决算数等于预算数的主要原因是收支平衡。</w:t>
      </w:r>
    </w:p>
    <w:p>
      <w:pPr>
        <w:spacing w:line="600" w:lineRule="exact"/>
        <w:ind w:firstLine="642" w:firstLineChars="200"/>
        <w:rPr>
          <w:rFonts w:ascii="仿宋" w:hAnsi="仿宋" w:eastAsia="仿宋"/>
          <w:bCs/>
          <w:sz w:val="32"/>
          <w:szCs w:val="32"/>
        </w:rPr>
      </w:pPr>
      <w:r>
        <w:rPr>
          <w:rStyle w:val="19"/>
          <w:rFonts w:hint="eastAsia" w:ascii="仿宋" w:hAnsi="仿宋" w:eastAsia="仿宋"/>
          <w:bCs/>
          <w:sz w:val="32"/>
          <w:szCs w:val="32"/>
        </w:rPr>
        <w:t>2070199其他文化和旅游支出</w:t>
      </w:r>
      <w:r>
        <w:rPr>
          <w:rStyle w:val="19"/>
          <w:rFonts w:ascii="仿宋" w:hAnsi="仿宋" w:eastAsia="仿宋"/>
          <w:bCs/>
          <w:sz w:val="32"/>
          <w:szCs w:val="32"/>
        </w:rPr>
        <w:t>:</w:t>
      </w:r>
      <w:r>
        <w:rPr>
          <w:rStyle w:val="19"/>
          <w:rFonts w:hint="eastAsia" w:ascii="仿宋" w:hAnsi="仿宋" w:eastAsia="仿宋"/>
          <w:b w:val="0"/>
          <w:bCs/>
          <w:sz w:val="32"/>
          <w:szCs w:val="32"/>
        </w:rPr>
        <w:t>支出决算为5.2万元，完成预算100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，决算数等于预算数的主要原因是收支平衡。</w:t>
      </w:r>
    </w:p>
    <w:p>
      <w:pPr>
        <w:spacing w:line="600" w:lineRule="exact"/>
        <w:ind w:firstLine="642" w:firstLineChars="200"/>
        <w:rPr>
          <w:rStyle w:val="19"/>
          <w:rFonts w:ascii="仿宋" w:hAnsi="仿宋" w:eastAsia="仿宋"/>
          <w:bCs/>
          <w:sz w:val="32"/>
          <w:szCs w:val="32"/>
        </w:rPr>
      </w:pPr>
      <w:r>
        <w:rPr>
          <w:rStyle w:val="19"/>
          <w:rFonts w:hint="eastAsia" w:ascii="仿宋" w:hAnsi="仿宋" w:eastAsia="仿宋"/>
          <w:bCs/>
          <w:sz w:val="32"/>
          <w:szCs w:val="32"/>
        </w:rPr>
        <w:t>4</w:t>
      </w:r>
      <w:r>
        <w:rPr>
          <w:rStyle w:val="19"/>
          <w:rFonts w:ascii="仿宋" w:hAnsi="仿宋" w:eastAsia="仿宋"/>
          <w:bCs/>
          <w:sz w:val="32"/>
          <w:szCs w:val="32"/>
        </w:rPr>
        <w:t>.</w:t>
      </w:r>
      <w:r>
        <w:rPr>
          <w:rStyle w:val="19"/>
          <w:rFonts w:hint="eastAsia" w:ascii="仿宋" w:hAnsi="仿宋" w:eastAsia="仿宋"/>
          <w:bCs/>
          <w:sz w:val="32"/>
          <w:szCs w:val="32"/>
        </w:rPr>
        <w:t>社会保障和就业支出</w:t>
      </w:r>
    </w:p>
    <w:p>
      <w:pPr>
        <w:spacing w:line="600" w:lineRule="exact"/>
        <w:ind w:firstLine="642" w:firstLineChars="200"/>
        <w:rPr>
          <w:rStyle w:val="19"/>
          <w:rFonts w:ascii="仿宋" w:hAnsi="仿宋" w:eastAsia="仿宋"/>
          <w:b w:val="0"/>
          <w:bCs/>
          <w:sz w:val="32"/>
          <w:szCs w:val="32"/>
        </w:rPr>
      </w:pPr>
      <w:r>
        <w:rPr>
          <w:rStyle w:val="19"/>
          <w:rFonts w:hint="eastAsia" w:ascii="仿宋" w:hAnsi="仿宋" w:eastAsia="仿宋"/>
          <w:bCs/>
          <w:sz w:val="32"/>
          <w:szCs w:val="32"/>
        </w:rPr>
        <w:t>2080109社会保险经办机构</w:t>
      </w:r>
      <w:r>
        <w:rPr>
          <w:rStyle w:val="19"/>
          <w:rFonts w:ascii="仿宋" w:hAnsi="仿宋" w:eastAsia="仿宋"/>
          <w:bCs/>
          <w:sz w:val="32"/>
          <w:szCs w:val="32"/>
        </w:rPr>
        <w:t>:</w:t>
      </w:r>
      <w:r>
        <w:rPr>
          <w:rStyle w:val="19"/>
          <w:rFonts w:hint="eastAsia" w:ascii="仿宋" w:hAnsi="仿宋" w:eastAsia="仿宋"/>
          <w:b w:val="0"/>
          <w:bCs/>
          <w:sz w:val="32"/>
          <w:szCs w:val="32"/>
        </w:rPr>
        <w:t>支出决算为44.2万元，完成预算100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，决算数等于预算数的主要原因是收支平衡。</w:t>
      </w:r>
    </w:p>
    <w:p>
      <w:pPr>
        <w:spacing w:line="600" w:lineRule="exact"/>
        <w:ind w:firstLine="642" w:firstLineChars="200"/>
        <w:rPr>
          <w:rStyle w:val="19"/>
          <w:rFonts w:ascii="仿宋" w:hAnsi="仿宋" w:eastAsia="仿宋"/>
          <w:b w:val="0"/>
          <w:bCs/>
          <w:sz w:val="32"/>
          <w:szCs w:val="32"/>
        </w:rPr>
      </w:pPr>
      <w:r>
        <w:rPr>
          <w:rStyle w:val="19"/>
          <w:rFonts w:hint="eastAsia" w:ascii="仿宋" w:hAnsi="仿宋" w:eastAsia="仿宋"/>
          <w:bCs/>
          <w:sz w:val="32"/>
          <w:szCs w:val="32"/>
        </w:rPr>
        <w:t>2080199其他人力资源和社会保障管理事务支出</w:t>
      </w:r>
      <w:r>
        <w:rPr>
          <w:rStyle w:val="19"/>
          <w:rFonts w:ascii="仿宋" w:hAnsi="仿宋" w:eastAsia="仿宋"/>
          <w:bCs/>
          <w:sz w:val="32"/>
          <w:szCs w:val="32"/>
        </w:rPr>
        <w:t>:</w:t>
      </w:r>
      <w:r>
        <w:rPr>
          <w:rStyle w:val="19"/>
          <w:rFonts w:hint="eastAsia" w:ascii="仿宋" w:hAnsi="仿宋" w:eastAsia="仿宋"/>
          <w:b w:val="0"/>
          <w:bCs/>
          <w:sz w:val="32"/>
          <w:szCs w:val="32"/>
        </w:rPr>
        <w:t>支出决算为16.7万元，完成预算100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，决算数等于预算数的主要原因是收支平衡。</w:t>
      </w:r>
    </w:p>
    <w:p>
      <w:pPr>
        <w:spacing w:line="600" w:lineRule="exact"/>
        <w:ind w:firstLine="642" w:firstLineChars="200"/>
        <w:rPr>
          <w:rStyle w:val="19"/>
          <w:rFonts w:ascii="仿宋" w:hAnsi="仿宋" w:eastAsia="仿宋"/>
          <w:b w:val="0"/>
          <w:bCs/>
          <w:sz w:val="32"/>
          <w:szCs w:val="32"/>
        </w:rPr>
      </w:pPr>
      <w:r>
        <w:rPr>
          <w:rStyle w:val="19"/>
          <w:rFonts w:hint="eastAsia" w:ascii="仿宋" w:hAnsi="仿宋" w:eastAsia="仿宋"/>
          <w:bCs/>
          <w:sz w:val="32"/>
          <w:szCs w:val="32"/>
        </w:rPr>
        <w:t>2080208基层政权建设和社区治理</w:t>
      </w:r>
      <w:r>
        <w:rPr>
          <w:rStyle w:val="19"/>
          <w:rFonts w:ascii="仿宋" w:hAnsi="仿宋" w:eastAsia="仿宋"/>
          <w:bCs/>
          <w:sz w:val="32"/>
          <w:szCs w:val="32"/>
        </w:rPr>
        <w:t>:</w:t>
      </w:r>
      <w:r>
        <w:rPr>
          <w:rStyle w:val="19"/>
          <w:rFonts w:hint="eastAsia" w:ascii="仿宋" w:hAnsi="仿宋" w:eastAsia="仿宋"/>
          <w:b w:val="0"/>
          <w:bCs/>
          <w:sz w:val="32"/>
          <w:szCs w:val="32"/>
        </w:rPr>
        <w:t>支出决算为69.14万元，完成预算100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，决算数等于预算数的主要原因是收支平衡。</w:t>
      </w:r>
    </w:p>
    <w:p>
      <w:pPr>
        <w:spacing w:line="600" w:lineRule="exact"/>
        <w:ind w:firstLine="642" w:firstLineChars="200"/>
        <w:rPr>
          <w:rStyle w:val="19"/>
          <w:rFonts w:ascii="仿宋" w:hAnsi="仿宋" w:eastAsia="仿宋"/>
          <w:b w:val="0"/>
          <w:bCs/>
          <w:sz w:val="32"/>
          <w:szCs w:val="32"/>
        </w:rPr>
      </w:pPr>
      <w:r>
        <w:rPr>
          <w:rStyle w:val="19"/>
          <w:rFonts w:hint="eastAsia" w:ascii="仿宋" w:hAnsi="仿宋" w:eastAsia="仿宋"/>
          <w:bCs/>
          <w:sz w:val="32"/>
          <w:szCs w:val="32"/>
        </w:rPr>
        <w:t>2080501行政单位离退休</w:t>
      </w:r>
      <w:r>
        <w:rPr>
          <w:rStyle w:val="19"/>
          <w:rFonts w:ascii="仿宋" w:hAnsi="仿宋" w:eastAsia="仿宋"/>
          <w:bCs/>
          <w:sz w:val="32"/>
          <w:szCs w:val="32"/>
        </w:rPr>
        <w:t>:</w:t>
      </w:r>
      <w:r>
        <w:rPr>
          <w:rStyle w:val="19"/>
          <w:rFonts w:hint="eastAsia" w:ascii="仿宋" w:hAnsi="仿宋" w:eastAsia="仿宋"/>
          <w:b w:val="0"/>
          <w:bCs/>
          <w:sz w:val="32"/>
          <w:szCs w:val="32"/>
        </w:rPr>
        <w:t>支出决算为26.39万元，完成预算100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，决算数等于预算数的主要原因是收支平衡。</w:t>
      </w:r>
    </w:p>
    <w:p>
      <w:pPr>
        <w:spacing w:line="600" w:lineRule="exact"/>
        <w:ind w:firstLine="642" w:firstLineChars="200"/>
        <w:rPr>
          <w:rStyle w:val="19"/>
          <w:rFonts w:ascii="仿宋" w:hAnsi="仿宋" w:eastAsia="仿宋"/>
          <w:b w:val="0"/>
          <w:bCs/>
          <w:sz w:val="32"/>
          <w:szCs w:val="32"/>
        </w:rPr>
      </w:pPr>
      <w:r>
        <w:rPr>
          <w:rStyle w:val="19"/>
          <w:rFonts w:hint="eastAsia" w:ascii="仿宋" w:hAnsi="仿宋" w:eastAsia="仿宋"/>
          <w:bCs/>
          <w:sz w:val="32"/>
          <w:szCs w:val="32"/>
        </w:rPr>
        <w:t>2080502事业单位离退休</w:t>
      </w:r>
      <w:r>
        <w:rPr>
          <w:rStyle w:val="19"/>
          <w:rFonts w:ascii="仿宋" w:hAnsi="仿宋" w:eastAsia="仿宋"/>
          <w:bCs/>
          <w:sz w:val="32"/>
          <w:szCs w:val="32"/>
        </w:rPr>
        <w:t>:</w:t>
      </w:r>
      <w:r>
        <w:rPr>
          <w:rStyle w:val="19"/>
          <w:rFonts w:hint="eastAsia" w:ascii="仿宋" w:hAnsi="仿宋" w:eastAsia="仿宋"/>
          <w:b w:val="0"/>
          <w:bCs/>
          <w:sz w:val="32"/>
          <w:szCs w:val="32"/>
        </w:rPr>
        <w:t>支出决算为5.97万元，完成预算100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，决算数等于预算数的主要原因是收支平衡。</w:t>
      </w:r>
    </w:p>
    <w:p>
      <w:pPr>
        <w:spacing w:line="600" w:lineRule="exact"/>
        <w:ind w:firstLine="642" w:firstLineChars="200"/>
        <w:rPr>
          <w:rStyle w:val="19"/>
          <w:rFonts w:ascii="仿宋" w:hAnsi="仿宋" w:eastAsia="仿宋"/>
          <w:b w:val="0"/>
          <w:bCs/>
          <w:sz w:val="32"/>
          <w:szCs w:val="32"/>
        </w:rPr>
      </w:pPr>
      <w:r>
        <w:rPr>
          <w:rStyle w:val="19"/>
          <w:rFonts w:hint="eastAsia" w:ascii="仿宋" w:hAnsi="仿宋" w:eastAsia="仿宋"/>
          <w:bCs/>
          <w:sz w:val="32"/>
          <w:szCs w:val="32"/>
        </w:rPr>
        <w:t>2080505机关事业单位基本养老保险缴费支出</w:t>
      </w:r>
      <w:r>
        <w:rPr>
          <w:rStyle w:val="19"/>
          <w:rFonts w:ascii="仿宋" w:hAnsi="仿宋" w:eastAsia="仿宋"/>
          <w:bCs/>
          <w:sz w:val="32"/>
          <w:szCs w:val="32"/>
        </w:rPr>
        <w:t>:</w:t>
      </w:r>
      <w:r>
        <w:rPr>
          <w:rStyle w:val="19"/>
          <w:rFonts w:hint="eastAsia" w:ascii="仿宋" w:hAnsi="仿宋" w:eastAsia="仿宋"/>
          <w:b w:val="0"/>
          <w:bCs/>
          <w:sz w:val="32"/>
          <w:szCs w:val="32"/>
        </w:rPr>
        <w:t>支出决算为68.83万元，完成预算100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，决算数等于预算数的主要原因是收支平衡。</w:t>
      </w:r>
    </w:p>
    <w:p>
      <w:pPr>
        <w:spacing w:line="600" w:lineRule="exact"/>
        <w:ind w:firstLine="642" w:firstLineChars="200"/>
        <w:rPr>
          <w:rStyle w:val="19"/>
          <w:rFonts w:ascii="仿宋" w:hAnsi="仿宋" w:eastAsia="仿宋"/>
          <w:b w:val="0"/>
          <w:bCs/>
          <w:sz w:val="32"/>
          <w:szCs w:val="32"/>
        </w:rPr>
      </w:pPr>
      <w:r>
        <w:rPr>
          <w:rStyle w:val="19"/>
          <w:rFonts w:hint="eastAsia" w:ascii="仿宋" w:hAnsi="仿宋" w:eastAsia="仿宋"/>
          <w:bCs/>
          <w:sz w:val="32"/>
          <w:szCs w:val="32"/>
        </w:rPr>
        <w:t>2080506机关事业单位职业年金缴费支出</w:t>
      </w:r>
      <w:r>
        <w:rPr>
          <w:rStyle w:val="19"/>
          <w:rFonts w:ascii="仿宋" w:hAnsi="仿宋" w:eastAsia="仿宋"/>
          <w:bCs/>
          <w:sz w:val="32"/>
          <w:szCs w:val="32"/>
        </w:rPr>
        <w:t>:</w:t>
      </w:r>
      <w:r>
        <w:rPr>
          <w:rStyle w:val="19"/>
          <w:rFonts w:hint="eastAsia" w:ascii="仿宋" w:hAnsi="仿宋" w:eastAsia="仿宋"/>
          <w:b w:val="0"/>
          <w:bCs/>
          <w:sz w:val="32"/>
          <w:szCs w:val="32"/>
        </w:rPr>
        <w:t>支出决算为16.8万元，完成预算100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，决算数等于预算数的主要原因是收支平衡。</w:t>
      </w:r>
    </w:p>
    <w:p>
      <w:pPr>
        <w:spacing w:line="600" w:lineRule="exact"/>
        <w:ind w:firstLine="642" w:firstLineChars="200"/>
        <w:rPr>
          <w:rStyle w:val="19"/>
          <w:rFonts w:ascii="仿宋" w:hAnsi="仿宋" w:eastAsia="仿宋"/>
          <w:b w:val="0"/>
          <w:bCs/>
          <w:sz w:val="32"/>
          <w:szCs w:val="32"/>
        </w:rPr>
      </w:pPr>
      <w:r>
        <w:rPr>
          <w:rStyle w:val="19"/>
          <w:rFonts w:hint="eastAsia" w:ascii="仿宋" w:hAnsi="仿宋" w:eastAsia="仿宋"/>
          <w:bCs/>
          <w:sz w:val="32"/>
          <w:szCs w:val="32"/>
        </w:rPr>
        <w:t>2080799其他就业补助支出</w:t>
      </w:r>
      <w:r>
        <w:rPr>
          <w:rStyle w:val="19"/>
          <w:rFonts w:ascii="仿宋" w:hAnsi="仿宋" w:eastAsia="仿宋"/>
          <w:bCs/>
          <w:sz w:val="32"/>
          <w:szCs w:val="32"/>
        </w:rPr>
        <w:t>:</w:t>
      </w:r>
      <w:r>
        <w:rPr>
          <w:rStyle w:val="19"/>
          <w:rFonts w:hint="eastAsia" w:ascii="仿宋" w:hAnsi="仿宋" w:eastAsia="仿宋"/>
          <w:b w:val="0"/>
          <w:bCs/>
          <w:sz w:val="32"/>
          <w:szCs w:val="32"/>
        </w:rPr>
        <w:t>支出决算为1.95万元，完成预算100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，决算数等于预算数的主要原因是收支平衡。</w:t>
      </w:r>
    </w:p>
    <w:p>
      <w:pPr>
        <w:spacing w:line="600" w:lineRule="exact"/>
        <w:ind w:firstLine="642" w:firstLineChars="200"/>
        <w:rPr>
          <w:rStyle w:val="19"/>
          <w:rFonts w:ascii="仿宋" w:hAnsi="仿宋" w:eastAsia="仿宋"/>
          <w:b w:val="0"/>
          <w:bCs/>
          <w:sz w:val="32"/>
          <w:szCs w:val="32"/>
        </w:rPr>
      </w:pPr>
      <w:r>
        <w:rPr>
          <w:rStyle w:val="19"/>
          <w:rFonts w:hint="eastAsia" w:ascii="仿宋" w:hAnsi="仿宋" w:eastAsia="仿宋"/>
          <w:bCs/>
          <w:sz w:val="32"/>
          <w:szCs w:val="32"/>
        </w:rPr>
        <w:t>2080801死亡抚恤</w:t>
      </w:r>
      <w:r>
        <w:rPr>
          <w:rStyle w:val="19"/>
          <w:rFonts w:ascii="仿宋" w:hAnsi="仿宋" w:eastAsia="仿宋"/>
          <w:bCs/>
          <w:sz w:val="32"/>
          <w:szCs w:val="32"/>
        </w:rPr>
        <w:t>:</w:t>
      </w:r>
      <w:r>
        <w:rPr>
          <w:rStyle w:val="19"/>
          <w:rFonts w:hint="eastAsia" w:ascii="仿宋" w:hAnsi="仿宋" w:eastAsia="仿宋"/>
          <w:b w:val="0"/>
          <w:bCs/>
          <w:sz w:val="32"/>
          <w:szCs w:val="32"/>
        </w:rPr>
        <w:t>支出决算为0.95万元，完成预算100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，决算数等于预算数的主要原因是收支平衡。</w:t>
      </w:r>
    </w:p>
    <w:p>
      <w:pPr>
        <w:spacing w:line="600" w:lineRule="exact"/>
        <w:ind w:firstLine="642" w:firstLineChars="200"/>
        <w:rPr>
          <w:rStyle w:val="19"/>
          <w:rFonts w:ascii="仿宋" w:hAnsi="仿宋" w:eastAsia="仿宋"/>
          <w:b w:val="0"/>
          <w:bCs/>
          <w:sz w:val="32"/>
          <w:szCs w:val="32"/>
        </w:rPr>
      </w:pPr>
      <w:r>
        <w:rPr>
          <w:rStyle w:val="19"/>
          <w:rFonts w:hint="eastAsia" w:ascii="仿宋" w:hAnsi="仿宋" w:eastAsia="仿宋"/>
          <w:bCs/>
          <w:sz w:val="32"/>
          <w:szCs w:val="32"/>
        </w:rPr>
        <w:t>2081199其他残疾人事业支出</w:t>
      </w:r>
      <w:r>
        <w:rPr>
          <w:rStyle w:val="19"/>
          <w:rFonts w:ascii="仿宋" w:hAnsi="仿宋" w:eastAsia="仿宋"/>
          <w:bCs/>
          <w:sz w:val="32"/>
          <w:szCs w:val="32"/>
        </w:rPr>
        <w:t>:</w:t>
      </w:r>
      <w:r>
        <w:rPr>
          <w:rStyle w:val="19"/>
          <w:rFonts w:hint="eastAsia" w:ascii="仿宋" w:hAnsi="仿宋" w:eastAsia="仿宋"/>
          <w:b w:val="0"/>
          <w:bCs/>
          <w:sz w:val="32"/>
          <w:szCs w:val="32"/>
        </w:rPr>
        <w:t>支出决算为1.01万元，完成预算100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，决算数等于预算数的主要原因是收支平衡。</w:t>
      </w:r>
    </w:p>
    <w:p>
      <w:pPr>
        <w:spacing w:line="600" w:lineRule="exact"/>
        <w:ind w:firstLine="642" w:firstLineChars="200"/>
        <w:rPr>
          <w:rStyle w:val="19"/>
          <w:rFonts w:ascii="仿宋" w:hAnsi="仿宋" w:eastAsia="仿宋"/>
          <w:b w:val="0"/>
          <w:bCs/>
          <w:sz w:val="32"/>
          <w:szCs w:val="32"/>
        </w:rPr>
      </w:pPr>
      <w:r>
        <w:rPr>
          <w:rStyle w:val="19"/>
          <w:rFonts w:hint="eastAsia" w:ascii="仿宋" w:hAnsi="仿宋" w:eastAsia="仿宋"/>
          <w:bCs/>
          <w:sz w:val="32"/>
          <w:szCs w:val="32"/>
        </w:rPr>
        <w:t>2082102农村特困人员救助供养支出</w:t>
      </w:r>
      <w:r>
        <w:rPr>
          <w:rStyle w:val="19"/>
          <w:rFonts w:ascii="仿宋" w:hAnsi="仿宋" w:eastAsia="仿宋"/>
          <w:bCs/>
          <w:sz w:val="32"/>
          <w:szCs w:val="32"/>
        </w:rPr>
        <w:t>:</w:t>
      </w:r>
      <w:r>
        <w:rPr>
          <w:rStyle w:val="19"/>
          <w:rFonts w:hint="eastAsia" w:ascii="仿宋" w:hAnsi="仿宋" w:eastAsia="仿宋"/>
          <w:b w:val="0"/>
          <w:bCs/>
          <w:sz w:val="32"/>
          <w:szCs w:val="32"/>
        </w:rPr>
        <w:t>支出决算为0.3万元，完成预算100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，决算数等于预算数的主要原因是收支平衡。</w:t>
      </w:r>
    </w:p>
    <w:p>
      <w:pPr>
        <w:spacing w:line="600" w:lineRule="exact"/>
        <w:ind w:firstLine="642" w:firstLineChars="200"/>
        <w:rPr>
          <w:rFonts w:ascii="仿宋" w:hAnsi="仿宋" w:eastAsia="仿宋"/>
          <w:b/>
          <w:bCs/>
          <w:sz w:val="32"/>
          <w:szCs w:val="32"/>
        </w:rPr>
      </w:pPr>
      <w:r>
        <w:rPr>
          <w:rStyle w:val="19"/>
          <w:rFonts w:hint="eastAsia" w:ascii="仿宋" w:hAnsi="仿宋" w:eastAsia="仿宋"/>
          <w:bCs/>
          <w:sz w:val="32"/>
          <w:szCs w:val="32"/>
        </w:rPr>
        <w:t>5</w:t>
      </w:r>
      <w:r>
        <w:rPr>
          <w:rStyle w:val="19"/>
          <w:rFonts w:ascii="仿宋" w:hAnsi="仿宋" w:eastAsia="仿宋"/>
          <w:bCs/>
          <w:sz w:val="32"/>
          <w:szCs w:val="32"/>
        </w:rPr>
        <w:t>.</w:t>
      </w:r>
      <w:r>
        <w:rPr>
          <w:rFonts w:hint="eastAsia" w:ascii="仿宋" w:hAnsi="仿宋" w:eastAsia="仿宋"/>
          <w:b/>
          <w:bCs/>
          <w:sz w:val="32"/>
          <w:szCs w:val="32"/>
        </w:rPr>
        <w:t>卫生健康支出</w:t>
      </w:r>
    </w:p>
    <w:p>
      <w:pPr>
        <w:spacing w:line="600" w:lineRule="exact"/>
        <w:ind w:firstLine="642" w:firstLineChars="200"/>
        <w:rPr>
          <w:rStyle w:val="19"/>
          <w:rFonts w:ascii="仿宋" w:hAnsi="仿宋" w:eastAsia="仿宋"/>
          <w:b w:val="0"/>
          <w:bCs/>
          <w:sz w:val="32"/>
          <w:szCs w:val="32"/>
        </w:rPr>
      </w:pPr>
      <w:r>
        <w:rPr>
          <w:rStyle w:val="19"/>
          <w:rFonts w:hint="eastAsia" w:ascii="仿宋" w:hAnsi="仿宋" w:eastAsia="仿宋"/>
          <w:bCs/>
          <w:sz w:val="32"/>
          <w:szCs w:val="32"/>
        </w:rPr>
        <w:t>2100409重大公共卫生服务</w:t>
      </w:r>
      <w:r>
        <w:rPr>
          <w:rStyle w:val="19"/>
          <w:rFonts w:ascii="仿宋" w:hAnsi="仿宋" w:eastAsia="仿宋"/>
          <w:bCs/>
          <w:sz w:val="32"/>
          <w:szCs w:val="32"/>
        </w:rPr>
        <w:t>:</w:t>
      </w:r>
      <w:r>
        <w:rPr>
          <w:rStyle w:val="19"/>
          <w:rFonts w:hint="eastAsia" w:ascii="仿宋" w:hAnsi="仿宋" w:eastAsia="仿宋"/>
          <w:b w:val="0"/>
          <w:bCs/>
          <w:sz w:val="32"/>
          <w:szCs w:val="32"/>
        </w:rPr>
        <w:t>支出决算为13.67万元，完成预算100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，决算数等于预算数的主要原因是收支平衡。</w:t>
      </w:r>
    </w:p>
    <w:p>
      <w:pPr>
        <w:spacing w:line="600" w:lineRule="exact"/>
        <w:ind w:firstLine="642" w:firstLineChars="200"/>
        <w:rPr>
          <w:rStyle w:val="19"/>
          <w:rFonts w:ascii="仿宋" w:hAnsi="仿宋" w:eastAsia="仿宋"/>
          <w:b w:val="0"/>
          <w:bCs/>
          <w:sz w:val="32"/>
          <w:szCs w:val="32"/>
        </w:rPr>
      </w:pPr>
      <w:r>
        <w:rPr>
          <w:rStyle w:val="19"/>
          <w:rFonts w:hint="eastAsia" w:ascii="仿宋" w:hAnsi="仿宋" w:eastAsia="仿宋"/>
          <w:bCs/>
          <w:sz w:val="32"/>
          <w:szCs w:val="32"/>
        </w:rPr>
        <w:t>2100499其他公共卫生支出</w:t>
      </w:r>
      <w:r>
        <w:rPr>
          <w:rStyle w:val="19"/>
          <w:rFonts w:ascii="仿宋" w:hAnsi="仿宋" w:eastAsia="仿宋"/>
          <w:bCs/>
          <w:sz w:val="32"/>
          <w:szCs w:val="32"/>
        </w:rPr>
        <w:t>:</w:t>
      </w:r>
      <w:r>
        <w:rPr>
          <w:rStyle w:val="19"/>
          <w:rFonts w:hint="eastAsia" w:ascii="仿宋" w:hAnsi="仿宋" w:eastAsia="仿宋"/>
          <w:b w:val="0"/>
          <w:bCs/>
          <w:sz w:val="32"/>
          <w:szCs w:val="32"/>
        </w:rPr>
        <w:t>支出决算为2.58万元，完成预算100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，决算数等于预算数的主要原因是收支平衡。</w:t>
      </w:r>
    </w:p>
    <w:p>
      <w:pPr>
        <w:spacing w:line="600" w:lineRule="exact"/>
        <w:ind w:firstLine="642" w:firstLineChars="200"/>
        <w:rPr>
          <w:rStyle w:val="19"/>
          <w:rFonts w:ascii="仿宋" w:hAnsi="仿宋" w:eastAsia="仿宋"/>
          <w:b w:val="0"/>
          <w:bCs/>
          <w:sz w:val="32"/>
          <w:szCs w:val="32"/>
        </w:rPr>
      </w:pPr>
      <w:r>
        <w:rPr>
          <w:rStyle w:val="19"/>
          <w:rFonts w:hint="eastAsia" w:ascii="仿宋" w:hAnsi="仿宋" w:eastAsia="仿宋"/>
          <w:bCs/>
          <w:sz w:val="32"/>
          <w:szCs w:val="32"/>
        </w:rPr>
        <w:t>2101101行政单位医疗</w:t>
      </w:r>
      <w:r>
        <w:rPr>
          <w:rStyle w:val="19"/>
          <w:rFonts w:ascii="仿宋" w:hAnsi="仿宋" w:eastAsia="仿宋"/>
          <w:bCs/>
          <w:sz w:val="32"/>
          <w:szCs w:val="32"/>
        </w:rPr>
        <w:t>:</w:t>
      </w:r>
      <w:r>
        <w:rPr>
          <w:rStyle w:val="19"/>
          <w:rFonts w:hint="eastAsia" w:ascii="仿宋" w:hAnsi="仿宋" w:eastAsia="仿宋"/>
          <w:b w:val="0"/>
          <w:bCs/>
          <w:sz w:val="32"/>
          <w:szCs w:val="32"/>
        </w:rPr>
        <w:t>支出决算为31.63万元，完成预算100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，决算数等于预算数的主要原因是收支平衡。</w:t>
      </w:r>
    </w:p>
    <w:p>
      <w:pPr>
        <w:spacing w:line="600" w:lineRule="exact"/>
        <w:ind w:firstLine="642" w:firstLineChars="200"/>
        <w:rPr>
          <w:rStyle w:val="19"/>
          <w:rFonts w:ascii="仿宋" w:hAnsi="仿宋" w:eastAsia="仿宋"/>
          <w:b w:val="0"/>
          <w:bCs/>
          <w:sz w:val="32"/>
          <w:szCs w:val="32"/>
        </w:rPr>
      </w:pPr>
      <w:r>
        <w:rPr>
          <w:rStyle w:val="19"/>
          <w:rFonts w:hint="eastAsia" w:ascii="仿宋" w:hAnsi="仿宋" w:eastAsia="仿宋"/>
          <w:bCs/>
          <w:sz w:val="32"/>
          <w:szCs w:val="32"/>
        </w:rPr>
        <w:t>2101102事业单位医疗</w:t>
      </w:r>
      <w:r>
        <w:rPr>
          <w:rStyle w:val="19"/>
          <w:rFonts w:ascii="仿宋" w:hAnsi="仿宋" w:eastAsia="仿宋"/>
          <w:bCs/>
          <w:sz w:val="32"/>
          <w:szCs w:val="32"/>
        </w:rPr>
        <w:t>:</w:t>
      </w:r>
      <w:r>
        <w:rPr>
          <w:rStyle w:val="19"/>
          <w:rFonts w:hint="eastAsia" w:ascii="仿宋" w:hAnsi="仿宋" w:eastAsia="仿宋"/>
          <w:b w:val="0"/>
          <w:bCs/>
          <w:sz w:val="32"/>
          <w:szCs w:val="32"/>
        </w:rPr>
        <w:t>支出决算为22.09万元，完成预算100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，决算数等于预算数的主要原因是收支平衡。</w:t>
      </w:r>
    </w:p>
    <w:p>
      <w:pPr>
        <w:spacing w:line="600" w:lineRule="exact"/>
        <w:ind w:firstLine="642" w:firstLineChars="200"/>
        <w:rPr>
          <w:rStyle w:val="19"/>
          <w:rFonts w:ascii="仿宋" w:hAnsi="仿宋" w:eastAsia="仿宋"/>
          <w:b w:val="0"/>
          <w:bCs/>
          <w:sz w:val="32"/>
          <w:szCs w:val="32"/>
        </w:rPr>
      </w:pPr>
      <w:r>
        <w:rPr>
          <w:rStyle w:val="19"/>
          <w:rFonts w:hint="eastAsia" w:ascii="仿宋" w:hAnsi="仿宋" w:eastAsia="仿宋"/>
          <w:bCs/>
          <w:sz w:val="32"/>
          <w:szCs w:val="32"/>
        </w:rPr>
        <w:t>2101103公务员医疗补助</w:t>
      </w:r>
      <w:r>
        <w:rPr>
          <w:rStyle w:val="19"/>
          <w:rFonts w:ascii="仿宋" w:hAnsi="仿宋" w:eastAsia="仿宋"/>
          <w:bCs/>
          <w:sz w:val="32"/>
          <w:szCs w:val="32"/>
        </w:rPr>
        <w:t>:</w:t>
      </w:r>
      <w:r>
        <w:rPr>
          <w:rStyle w:val="19"/>
          <w:rFonts w:hint="eastAsia" w:ascii="仿宋" w:hAnsi="仿宋" w:eastAsia="仿宋"/>
          <w:b w:val="0"/>
          <w:bCs/>
          <w:sz w:val="32"/>
          <w:szCs w:val="32"/>
        </w:rPr>
        <w:t>支出决算为14.4万元，完成预算100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，决算数等于预算数的主要原因是收支平衡。</w:t>
      </w:r>
    </w:p>
    <w:p>
      <w:pPr>
        <w:spacing w:line="600" w:lineRule="exact"/>
        <w:ind w:left="672"/>
        <w:rPr>
          <w:rFonts w:ascii="仿宋" w:hAnsi="仿宋" w:eastAsia="仿宋"/>
          <w:b/>
          <w:sz w:val="32"/>
          <w:szCs w:val="32"/>
        </w:rPr>
      </w:pPr>
      <w:r>
        <w:rPr>
          <w:rFonts w:hint="eastAsia" w:ascii="仿宋" w:hAnsi="仿宋" w:eastAsia="仿宋"/>
          <w:b/>
          <w:sz w:val="32"/>
          <w:szCs w:val="32"/>
        </w:rPr>
        <w:t>6.城乡社区支出</w:t>
      </w:r>
    </w:p>
    <w:p>
      <w:pPr>
        <w:spacing w:line="600" w:lineRule="exact"/>
        <w:ind w:firstLine="642" w:firstLineChars="200"/>
        <w:rPr>
          <w:rStyle w:val="19"/>
          <w:rFonts w:ascii="仿宋" w:hAnsi="仿宋" w:eastAsia="仿宋"/>
          <w:b w:val="0"/>
          <w:bCs/>
          <w:sz w:val="32"/>
          <w:szCs w:val="32"/>
        </w:rPr>
      </w:pPr>
      <w:r>
        <w:rPr>
          <w:rStyle w:val="19"/>
          <w:rFonts w:hint="eastAsia" w:ascii="仿宋" w:hAnsi="仿宋" w:eastAsia="仿宋"/>
          <w:bCs/>
          <w:sz w:val="32"/>
          <w:szCs w:val="32"/>
        </w:rPr>
        <w:t>2120501城乡社区环境卫生</w:t>
      </w:r>
      <w:r>
        <w:rPr>
          <w:rStyle w:val="19"/>
          <w:rFonts w:ascii="仿宋" w:hAnsi="仿宋" w:eastAsia="仿宋"/>
          <w:bCs/>
          <w:sz w:val="32"/>
          <w:szCs w:val="32"/>
        </w:rPr>
        <w:t>:</w:t>
      </w:r>
      <w:r>
        <w:rPr>
          <w:rStyle w:val="19"/>
          <w:rFonts w:hint="eastAsia" w:ascii="仿宋" w:hAnsi="仿宋" w:eastAsia="仿宋"/>
          <w:b w:val="0"/>
          <w:bCs/>
          <w:sz w:val="32"/>
          <w:szCs w:val="32"/>
        </w:rPr>
        <w:t>支出决算为2.82万元，完成预算100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，决算数等于预算数的主要原因是收支平衡。</w:t>
      </w:r>
    </w:p>
    <w:p>
      <w:pPr>
        <w:spacing w:line="600" w:lineRule="exact"/>
        <w:ind w:left="672"/>
        <w:rPr>
          <w:rFonts w:ascii="仿宋" w:hAnsi="仿宋" w:eastAsia="仿宋"/>
          <w:b/>
          <w:sz w:val="32"/>
          <w:szCs w:val="32"/>
        </w:rPr>
      </w:pPr>
      <w:r>
        <w:rPr>
          <w:rFonts w:hint="eastAsia" w:ascii="仿宋" w:hAnsi="仿宋" w:eastAsia="仿宋"/>
          <w:b/>
          <w:sz w:val="32"/>
          <w:szCs w:val="32"/>
        </w:rPr>
        <w:t>7.农林水支出</w:t>
      </w:r>
    </w:p>
    <w:p>
      <w:pPr>
        <w:spacing w:line="600" w:lineRule="exact"/>
        <w:ind w:firstLine="642" w:firstLineChars="200"/>
        <w:rPr>
          <w:rStyle w:val="19"/>
          <w:rFonts w:ascii="仿宋" w:hAnsi="仿宋" w:eastAsia="仿宋"/>
          <w:b w:val="0"/>
          <w:bCs/>
          <w:sz w:val="32"/>
          <w:szCs w:val="32"/>
        </w:rPr>
      </w:pPr>
      <w:r>
        <w:rPr>
          <w:rStyle w:val="19"/>
          <w:rFonts w:hint="eastAsia" w:ascii="仿宋" w:hAnsi="仿宋" w:eastAsia="仿宋"/>
          <w:bCs/>
          <w:sz w:val="32"/>
          <w:szCs w:val="32"/>
        </w:rPr>
        <w:t>2130104事业运行</w:t>
      </w:r>
      <w:r>
        <w:rPr>
          <w:rStyle w:val="19"/>
          <w:rFonts w:ascii="仿宋" w:hAnsi="仿宋" w:eastAsia="仿宋"/>
          <w:bCs/>
          <w:sz w:val="32"/>
          <w:szCs w:val="32"/>
        </w:rPr>
        <w:t>:</w:t>
      </w:r>
      <w:r>
        <w:rPr>
          <w:rStyle w:val="19"/>
          <w:rFonts w:hint="eastAsia" w:ascii="仿宋" w:hAnsi="仿宋" w:eastAsia="仿宋"/>
          <w:b w:val="0"/>
          <w:bCs/>
          <w:sz w:val="32"/>
          <w:szCs w:val="32"/>
        </w:rPr>
        <w:t>支出决算为198.35万元，完成预算100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，决算数等于预算数的主要原因是收支平衡。</w:t>
      </w:r>
    </w:p>
    <w:p>
      <w:pPr>
        <w:spacing w:line="600" w:lineRule="exact"/>
        <w:ind w:firstLine="642" w:firstLineChars="200"/>
        <w:rPr>
          <w:rStyle w:val="19"/>
          <w:rFonts w:ascii="仿宋" w:hAnsi="仿宋" w:eastAsia="仿宋"/>
          <w:b w:val="0"/>
          <w:bCs/>
          <w:sz w:val="32"/>
          <w:szCs w:val="32"/>
        </w:rPr>
      </w:pPr>
      <w:r>
        <w:rPr>
          <w:rStyle w:val="19"/>
          <w:rFonts w:hint="eastAsia" w:ascii="仿宋" w:hAnsi="仿宋" w:eastAsia="仿宋"/>
          <w:bCs/>
          <w:sz w:val="32"/>
          <w:szCs w:val="32"/>
        </w:rPr>
        <w:t>2130199其他农业农村支出</w:t>
      </w:r>
      <w:r>
        <w:rPr>
          <w:rStyle w:val="19"/>
          <w:rFonts w:ascii="仿宋" w:hAnsi="仿宋" w:eastAsia="仿宋"/>
          <w:bCs/>
          <w:sz w:val="32"/>
          <w:szCs w:val="32"/>
        </w:rPr>
        <w:t>:</w:t>
      </w:r>
      <w:r>
        <w:rPr>
          <w:rStyle w:val="19"/>
          <w:rFonts w:hint="eastAsia" w:ascii="仿宋" w:hAnsi="仿宋" w:eastAsia="仿宋"/>
          <w:b w:val="0"/>
          <w:bCs/>
          <w:sz w:val="32"/>
          <w:szCs w:val="32"/>
        </w:rPr>
        <w:t>支出决算为10.66万元，完成预算100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，决算数等于预算数的主要原因是收支平衡。</w:t>
      </w:r>
    </w:p>
    <w:p>
      <w:pPr>
        <w:spacing w:line="600" w:lineRule="exact"/>
        <w:ind w:firstLine="642" w:firstLineChars="200"/>
        <w:rPr>
          <w:rStyle w:val="19"/>
          <w:rFonts w:ascii="仿宋" w:hAnsi="仿宋" w:eastAsia="仿宋"/>
          <w:b w:val="0"/>
          <w:bCs/>
          <w:sz w:val="32"/>
          <w:szCs w:val="32"/>
        </w:rPr>
      </w:pPr>
      <w:r>
        <w:rPr>
          <w:rStyle w:val="19"/>
          <w:rFonts w:hint="eastAsia" w:ascii="仿宋" w:hAnsi="仿宋" w:eastAsia="仿宋"/>
          <w:bCs/>
          <w:sz w:val="32"/>
          <w:szCs w:val="32"/>
        </w:rPr>
        <w:t>2130299其他林业和草原支出</w:t>
      </w:r>
      <w:r>
        <w:rPr>
          <w:rStyle w:val="19"/>
          <w:rFonts w:ascii="仿宋" w:hAnsi="仿宋" w:eastAsia="仿宋"/>
          <w:bCs/>
          <w:sz w:val="32"/>
          <w:szCs w:val="32"/>
        </w:rPr>
        <w:t>:</w:t>
      </w:r>
      <w:r>
        <w:rPr>
          <w:rStyle w:val="19"/>
          <w:rFonts w:hint="eastAsia" w:ascii="仿宋" w:hAnsi="仿宋" w:eastAsia="仿宋"/>
          <w:b w:val="0"/>
          <w:bCs/>
          <w:sz w:val="32"/>
          <w:szCs w:val="32"/>
        </w:rPr>
        <w:t>支出决算为11.52万元，完成预算100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，决算数等于预算数的主要原因是收支平衡。</w:t>
      </w:r>
    </w:p>
    <w:p>
      <w:pPr>
        <w:spacing w:line="600" w:lineRule="exact"/>
        <w:ind w:firstLine="642" w:firstLineChars="200"/>
        <w:rPr>
          <w:rStyle w:val="19"/>
          <w:rFonts w:ascii="仿宋" w:hAnsi="仿宋" w:eastAsia="仿宋"/>
          <w:b w:val="0"/>
          <w:bCs/>
          <w:sz w:val="32"/>
          <w:szCs w:val="32"/>
        </w:rPr>
      </w:pPr>
      <w:r>
        <w:rPr>
          <w:rStyle w:val="19"/>
          <w:rFonts w:hint="eastAsia" w:ascii="仿宋" w:hAnsi="仿宋" w:eastAsia="仿宋"/>
          <w:bCs/>
          <w:sz w:val="32"/>
          <w:szCs w:val="32"/>
        </w:rPr>
        <w:t>2130314防汛</w:t>
      </w:r>
      <w:r>
        <w:rPr>
          <w:rStyle w:val="19"/>
          <w:rFonts w:ascii="仿宋" w:hAnsi="仿宋" w:eastAsia="仿宋"/>
          <w:bCs/>
          <w:sz w:val="32"/>
          <w:szCs w:val="32"/>
        </w:rPr>
        <w:t>:</w:t>
      </w:r>
      <w:r>
        <w:rPr>
          <w:rStyle w:val="19"/>
          <w:rFonts w:hint="eastAsia" w:ascii="仿宋" w:hAnsi="仿宋" w:eastAsia="仿宋"/>
          <w:b w:val="0"/>
          <w:bCs/>
          <w:sz w:val="32"/>
          <w:szCs w:val="32"/>
        </w:rPr>
        <w:t>支出决算为4万元，完成预算100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，决算数等于预算数的主要原因是收支平衡。</w:t>
      </w:r>
    </w:p>
    <w:p>
      <w:pPr>
        <w:spacing w:line="600" w:lineRule="exact"/>
        <w:ind w:firstLine="642" w:firstLineChars="200"/>
        <w:rPr>
          <w:rStyle w:val="19"/>
          <w:rFonts w:ascii="仿宋" w:hAnsi="仿宋" w:eastAsia="仿宋"/>
          <w:b w:val="0"/>
          <w:bCs/>
          <w:sz w:val="32"/>
          <w:szCs w:val="32"/>
        </w:rPr>
      </w:pPr>
      <w:r>
        <w:rPr>
          <w:rStyle w:val="19"/>
          <w:rFonts w:hint="eastAsia" w:ascii="仿宋" w:hAnsi="仿宋" w:eastAsia="仿宋"/>
          <w:bCs/>
          <w:sz w:val="32"/>
          <w:szCs w:val="32"/>
        </w:rPr>
        <w:t>2130705对村民委员和村党支部的补助</w:t>
      </w:r>
      <w:r>
        <w:rPr>
          <w:rStyle w:val="19"/>
          <w:rFonts w:ascii="仿宋" w:hAnsi="仿宋" w:eastAsia="仿宋"/>
          <w:bCs/>
          <w:sz w:val="32"/>
          <w:szCs w:val="32"/>
        </w:rPr>
        <w:t>:</w:t>
      </w:r>
      <w:r>
        <w:rPr>
          <w:rStyle w:val="19"/>
          <w:rFonts w:hint="eastAsia" w:ascii="仿宋" w:hAnsi="仿宋" w:eastAsia="仿宋"/>
          <w:b w:val="0"/>
          <w:bCs/>
          <w:sz w:val="32"/>
          <w:szCs w:val="32"/>
        </w:rPr>
        <w:t>支出决算为249.6万元，完成预算100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，决算数等于预算数的主要原因是收支平衡。</w:t>
      </w:r>
    </w:p>
    <w:p>
      <w:pPr>
        <w:spacing w:line="600" w:lineRule="exact"/>
        <w:ind w:firstLine="642" w:firstLineChars="200"/>
        <w:rPr>
          <w:rStyle w:val="19"/>
          <w:rFonts w:ascii="仿宋" w:hAnsi="仿宋" w:eastAsia="仿宋"/>
          <w:b w:val="0"/>
          <w:bCs/>
          <w:sz w:val="32"/>
          <w:szCs w:val="32"/>
        </w:rPr>
      </w:pPr>
      <w:r>
        <w:rPr>
          <w:rStyle w:val="19"/>
          <w:rFonts w:hint="eastAsia" w:ascii="仿宋" w:hAnsi="仿宋" w:eastAsia="仿宋"/>
          <w:bCs/>
          <w:sz w:val="32"/>
          <w:szCs w:val="32"/>
        </w:rPr>
        <w:t>2130706对村集体经济组织的补助</w:t>
      </w:r>
      <w:r>
        <w:rPr>
          <w:rStyle w:val="19"/>
          <w:rFonts w:ascii="仿宋" w:hAnsi="仿宋" w:eastAsia="仿宋"/>
          <w:bCs/>
          <w:sz w:val="32"/>
          <w:szCs w:val="32"/>
        </w:rPr>
        <w:t>:</w:t>
      </w:r>
      <w:r>
        <w:rPr>
          <w:rStyle w:val="19"/>
          <w:rFonts w:hint="eastAsia" w:ascii="仿宋" w:hAnsi="仿宋" w:eastAsia="仿宋"/>
          <w:b w:val="0"/>
          <w:bCs/>
          <w:sz w:val="32"/>
          <w:szCs w:val="32"/>
        </w:rPr>
        <w:t>支出决算为180万元，完成预算100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，决算数等于预算数的主要原因是收支平衡。</w:t>
      </w:r>
    </w:p>
    <w:p>
      <w:pPr>
        <w:spacing w:line="600" w:lineRule="exact"/>
        <w:ind w:firstLine="642" w:firstLineChars="200"/>
        <w:rPr>
          <w:rStyle w:val="19"/>
          <w:rFonts w:ascii="仿宋" w:hAnsi="仿宋" w:eastAsia="仿宋"/>
          <w:b w:val="0"/>
          <w:bCs/>
          <w:sz w:val="32"/>
          <w:szCs w:val="32"/>
        </w:rPr>
      </w:pPr>
      <w:r>
        <w:rPr>
          <w:rStyle w:val="19"/>
          <w:rFonts w:hint="eastAsia" w:ascii="仿宋" w:hAnsi="仿宋" w:eastAsia="仿宋"/>
          <w:bCs/>
          <w:sz w:val="32"/>
          <w:szCs w:val="32"/>
        </w:rPr>
        <w:t>2139999其他农林水支出</w:t>
      </w:r>
      <w:r>
        <w:rPr>
          <w:rStyle w:val="19"/>
          <w:rFonts w:ascii="仿宋" w:hAnsi="仿宋" w:eastAsia="仿宋"/>
          <w:bCs/>
          <w:sz w:val="32"/>
          <w:szCs w:val="32"/>
        </w:rPr>
        <w:t>:</w:t>
      </w:r>
      <w:r>
        <w:rPr>
          <w:rStyle w:val="19"/>
          <w:rFonts w:hint="eastAsia" w:ascii="仿宋" w:hAnsi="仿宋" w:eastAsia="仿宋"/>
          <w:b w:val="0"/>
          <w:bCs/>
          <w:sz w:val="32"/>
          <w:szCs w:val="32"/>
        </w:rPr>
        <w:t>支出决算为13.38万元，完成预算100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，决算数等于预算数的主要原因是收支平衡。</w:t>
      </w:r>
    </w:p>
    <w:p>
      <w:pPr>
        <w:spacing w:line="600" w:lineRule="exact"/>
        <w:ind w:left="672"/>
        <w:rPr>
          <w:rFonts w:ascii="仿宋" w:hAnsi="仿宋" w:eastAsia="仿宋"/>
          <w:b/>
          <w:sz w:val="32"/>
          <w:szCs w:val="32"/>
        </w:rPr>
      </w:pPr>
      <w:r>
        <w:rPr>
          <w:rFonts w:hint="eastAsia" w:ascii="仿宋" w:hAnsi="仿宋" w:eastAsia="仿宋"/>
          <w:b/>
          <w:sz w:val="32"/>
          <w:szCs w:val="32"/>
        </w:rPr>
        <w:t>8.交通运输支出</w:t>
      </w:r>
    </w:p>
    <w:p>
      <w:pPr>
        <w:spacing w:line="600" w:lineRule="exact"/>
        <w:ind w:firstLine="642" w:firstLineChars="200"/>
        <w:rPr>
          <w:rStyle w:val="19"/>
          <w:rFonts w:ascii="仿宋" w:hAnsi="仿宋" w:eastAsia="仿宋"/>
          <w:b w:val="0"/>
          <w:bCs/>
          <w:sz w:val="32"/>
          <w:szCs w:val="32"/>
        </w:rPr>
      </w:pPr>
      <w:r>
        <w:rPr>
          <w:rStyle w:val="19"/>
          <w:rFonts w:hint="eastAsia" w:ascii="仿宋" w:hAnsi="仿宋" w:eastAsia="仿宋"/>
          <w:bCs/>
          <w:sz w:val="32"/>
          <w:szCs w:val="32"/>
        </w:rPr>
        <w:t>2140110公路和运输安全</w:t>
      </w:r>
      <w:r>
        <w:rPr>
          <w:rStyle w:val="19"/>
          <w:rFonts w:ascii="仿宋" w:hAnsi="仿宋" w:eastAsia="仿宋"/>
          <w:bCs/>
          <w:sz w:val="32"/>
          <w:szCs w:val="32"/>
        </w:rPr>
        <w:t>:</w:t>
      </w:r>
      <w:r>
        <w:rPr>
          <w:rStyle w:val="19"/>
          <w:rFonts w:hint="eastAsia" w:ascii="仿宋" w:hAnsi="仿宋" w:eastAsia="仿宋"/>
          <w:b w:val="0"/>
          <w:bCs/>
          <w:sz w:val="32"/>
          <w:szCs w:val="32"/>
        </w:rPr>
        <w:t>支出决算为1.72万元，完成预算100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，决算数等于预算数的主要原因是收支平衡。</w:t>
      </w:r>
    </w:p>
    <w:p>
      <w:pPr>
        <w:spacing w:line="600" w:lineRule="exact"/>
        <w:ind w:left="672"/>
        <w:rPr>
          <w:rFonts w:ascii="仿宋" w:hAnsi="仿宋" w:eastAsia="仿宋"/>
          <w:b/>
          <w:sz w:val="32"/>
          <w:szCs w:val="32"/>
        </w:rPr>
      </w:pPr>
      <w:r>
        <w:rPr>
          <w:rFonts w:hint="eastAsia" w:ascii="仿宋" w:hAnsi="仿宋" w:eastAsia="仿宋"/>
          <w:b/>
          <w:sz w:val="32"/>
          <w:szCs w:val="32"/>
        </w:rPr>
        <w:t>9.住房保障支出</w:t>
      </w:r>
    </w:p>
    <w:p>
      <w:pPr>
        <w:spacing w:line="600" w:lineRule="exact"/>
        <w:ind w:firstLine="642" w:firstLineChars="200"/>
        <w:rPr>
          <w:rStyle w:val="19"/>
          <w:rFonts w:ascii="仿宋" w:hAnsi="仿宋" w:eastAsia="仿宋"/>
          <w:b w:val="0"/>
          <w:bCs/>
          <w:sz w:val="32"/>
          <w:szCs w:val="32"/>
        </w:rPr>
      </w:pPr>
      <w:r>
        <w:rPr>
          <w:rStyle w:val="19"/>
          <w:rFonts w:hint="eastAsia" w:ascii="仿宋" w:hAnsi="仿宋" w:eastAsia="仿宋"/>
          <w:bCs/>
          <w:sz w:val="32"/>
          <w:szCs w:val="32"/>
        </w:rPr>
        <w:t>2210103棚户区改造</w:t>
      </w:r>
      <w:r>
        <w:rPr>
          <w:rStyle w:val="19"/>
          <w:rFonts w:ascii="仿宋" w:hAnsi="仿宋" w:eastAsia="仿宋"/>
          <w:bCs/>
          <w:sz w:val="32"/>
          <w:szCs w:val="32"/>
        </w:rPr>
        <w:t>:</w:t>
      </w:r>
      <w:r>
        <w:rPr>
          <w:rStyle w:val="19"/>
          <w:rFonts w:hint="eastAsia" w:ascii="仿宋" w:hAnsi="仿宋" w:eastAsia="仿宋"/>
          <w:b w:val="0"/>
          <w:bCs/>
          <w:sz w:val="32"/>
          <w:szCs w:val="32"/>
        </w:rPr>
        <w:t>支出决算为14.3万元，完成预算100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，决算数等于预算数的主要原因是收支平衡。</w:t>
      </w:r>
    </w:p>
    <w:p>
      <w:pPr>
        <w:spacing w:line="600" w:lineRule="exact"/>
        <w:ind w:firstLine="642" w:firstLineChars="200"/>
        <w:rPr>
          <w:rStyle w:val="19"/>
          <w:rFonts w:ascii="仿宋" w:hAnsi="仿宋" w:eastAsia="仿宋"/>
          <w:b w:val="0"/>
          <w:bCs/>
          <w:sz w:val="32"/>
          <w:szCs w:val="32"/>
        </w:rPr>
      </w:pPr>
      <w:r>
        <w:rPr>
          <w:rStyle w:val="19"/>
          <w:rFonts w:hint="eastAsia" w:ascii="仿宋" w:hAnsi="仿宋" w:eastAsia="仿宋"/>
          <w:bCs/>
          <w:sz w:val="32"/>
          <w:szCs w:val="32"/>
        </w:rPr>
        <w:t>2210201住房公积金</w:t>
      </w:r>
      <w:r>
        <w:rPr>
          <w:rStyle w:val="19"/>
          <w:rFonts w:ascii="仿宋" w:hAnsi="仿宋" w:eastAsia="仿宋"/>
          <w:bCs/>
          <w:sz w:val="32"/>
          <w:szCs w:val="32"/>
        </w:rPr>
        <w:t>:</w:t>
      </w:r>
      <w:r>
        <w:rPr>
          <w:rStyle w:val="19"/>
          <w:rFonts w:hint="eastAsia" w:ascii="仿宋" w:hAnsi="仿宋" w:eastAsia="仿宋"/>
          <w:b w:val="0"/>
          <w:bCs/>
          <w:sz w:val="32"/>
          <w:szCs w:val="32"/>
        </w:rPr>
        <w:t>支出决算为78.77万元，完成预算100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，决算数等于预算数的主要原因是收支平衡。</w:t>
      </w:r>
    </w:p>
    <w:p>
      <w:pPr>
        <w:spacing w:line="600" w:lineRule="exact"/>
        <w:ind w:firstLine="642" w:firstLineChars="200"/>
        <w:rPr>
          <w:rStyle w:val="19"/>
          <w:rFonts w:ascii="仿宋" w:hAnsi="仿宋" w:eastAsia="仿宋"/>
          <w:bCs/>
          <w:sz w:val="32"/>
          <w:szCs w:val="32"/>
        </w:rPr>
      </w:pPr>
      <w:r>
        <w:rPr>
          <w:rStyle w:val="19"/>
          <w:rFonts w:hint="eastAsia" w:ascii="仿宋" w:hAnsi="仿宋" w:eastAsia="仿宋"/>
          <w:bCs/>
          <w:sz w:val="32"/>
          <w:szCs w:val="32"/>
        </w:rPr>
        <w:t>10.灾害防治及应急管理支出</w:t>
      </w:r>
    </w:p>
    <w:p>
      <w:pPr>
        <w:spacing w:line="600" w:lineRule="exact"/>
        <w:ind w:firstLine="642" w:firstLineChars="200"/>
        <w:rPr>
          <w:rStyle w:val="19"/>
          <w:rFonts w:ascii="仿宋" w:hAnsi="仿宋" w:eastAsia="仿宋"/>
          <w:b w:val="0"/>
          <w:bCs/>
          <w:sz w:val="32"/>
          <w:szCs w:val="32"/>
        </w:rPr>
      </w:pPr>
      <w:r>
        <w:rPr>
          <w:rStyle w:val="19"/>
          <w:rFonts w:hint="eastAsia" w:ascii="仿宋" w:hAnsi="仿宋" w:eastAsia="仿宋"/>
          <w:bCs/>
          <w:sz w:val="32"/>
          <w:szCs w:val="32"/>
        </w:rPr>
        <w:t>2240106安全监管</w:t>
      </w:r>
      <w:r>
        <w:rPr>
          <w:rStyle w:val="19"/>
          <w:rFonts w:ascii="仿宋" w:hAnsi="仿宋" w:eastAsia="仿宋"/>
          <w:bCs/>
          <w:sz w:val="32"/>
          <w:szCs w:val="32"/>
        </w:rPr>
        <w:t>:</w:t>
      </w:r>
      <w:r>
        <w:rPr>
          <w:rStyle w:val="19"/>
          <w:rFonts w:hint="eastAsia" w:ascii="仿宋" w:hAnsi="仿宋" w:eastAsia="仿宋"/>
          <w:b w:val="0"/>
          <w:bCs/>
          <w:sz w:val="32"/>
          <w:szCs w:val="32"/>
        </w:rPr>
        <w:t>支出决算为9.97万元，完成预算100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，决算数等于预算数的主要原因是收支平衡。</w:t>
      </w:r>
    </w:p>
    <w:p>
      <w:pPr>
        <w:pStyle w:val="2"/>
        <w:spacing w:before="93"/>
        <w:ind w:firstLine="642" w:firstLineChars="200"/>
        <w:rPr>
          <w:rStyle w:val="19"/>
          <w:rFonts w:ascii="仿宋" w:hAnsi="仿宋" w:eastAsia="仿宋"/>
          <w:bCs/>
          <w:kern w:val="2"/>
          <w:sz w:val="32"/>
          <w:szCs w:val="32"/>
        </w:rPr>
      </w:pPr>
      <w:r>
        <w:rPr>
          <w:rStyle w:val="19"/>
          <w:rFonts w:hint="eastAsia" w:ascii="仿宋" w:hAnsi="仿宋" w:eastAsia="仿宋"/>
          <w:bCs/>
          <w:kern w:val="2"/>
          <w:sz w:val="32"/>
          <w:szCs w:val="32"/>
        </w:rPr>
        <w:t>11.其他支出</w:t>
      </w:r>
    </w:p>
    <w:p>
      <w:pPr>
        <w:pStyle w:val="2"/>
        <w:spacing w:before="93"/>
        <w:ind w:firstLine="481" w:firstLineChars="150"/>
        <w:rPr>
          <w:rFonts w:ascii="仿宋" w:hAnsi="仿宋" w:eastAsia="仿宋"/>
          <w:b/>
          <w:bCs/>
          <w:kern w:val="2"/>
          <w:sz w:val="32"/>
          <w:szCs w:val="32"/>
        </w:rPr>
      </w:pPr>
      <w:r>
        <w:rPr>
          <w:rStyle w:val="19"/>
          <w:rFonts w:hint="eastAsia" w:ascii="仿宋" w:hAnsi="仿宋" w:eastAsia="仿宋"/>
          <w:bCs/>
          <w:sz w:val="32"/>
          <w:szCs w:val="32"/>
        </w:rPr>
        <w:t>2299999其他支出</w:t>
      </w:r>
      <w:r>
        <w:rPr>
          <w:rStyle w:val="19"/>
          <w:rFonts w:ascii="仿宋" w:hAnsi="仿宋" w:eastAsia="仿宋"/>
          <w:bCs/>
          <w:sz w:val="32"/>
          <w:szCs w:val="32"/>
        </w:rPr>
        <w:t>:</w:t>
      </w:r>
      <w:r>
        <w:rPr>
          <w:rStyle w:val="19"/>
          <w:rFonts w:hint="eastAsia" w:ascii="仿宋" w:hAnsi="仿宋" w:eastAsia="仿宋"/>
          <w:b w:val="0"/>
          <w:bCs/>
          <w:sz w:val="32"/>
          <w:szCs w:val="32"/>
        </w:rPr>
        <w:t>支出决算为53.77万元，完成预算100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，决算数等于预算数的主要原因是收支平衡。</w:t>
      </w:r>
    </w:p>
    <w:p>
      <w:pPr>
        <w:tabs>
          <w:tab w:val="right" w:pos="8306"/>
        </w:tabs>
        <w:spacing w:line="600" w:lineRule="exact"/>
        <w:ind w:firstLine="640"/>
        <w:outlineLvl w:val="1"/>
        <w:rPr>
          <w:rStyle w:val="24"/>
        </w:rPr>
      </w:pPr>
      <w:bookmarkStart w:id="41" w:name="_Toc15377214"/>
      <w:bookmarkStart w:id="42"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4"/>
          <w:rFonts w:hint="eastAsia" w:ascii="黑体" w:hAnsi="黑体" w:eastAsia="黑体"/>
          <w:b w:val="0"/>
        </w:rPr>
        <w:t>般公共预算财政拨款基本支出决算情况说明</w:t>
      </w:r>
      <w:bookmarkEnd w:id="41"/>
      <w:bookmarkEnd w:id="42"/>
      <w:r>
        <w:rPr>
          <w:rStyle w:val="24"/>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22年一般公共预算财政拨款基本支出1792.46万元，其中：</w:t>
      </w:r>
    </w:p>
    <w:p>
      <w:pPr>
        <w:spacing w:line="600" w:lineRule="exact"/>
        <w:ind w:firstLine="645"/>
        <w:rPr>
          <w:rFonts w:ascii="仿宋" w:hAnsi="仿宋" w:eastAsia="仿宋"/>
          <w:b/>
          <w:sz w:val="32"/>
          <w:szCs w:val="32"/>
        </w:rPr>
      </w:pPr>
      <w:r>
        <w:rPr>
          <w:rFonts w:hint="eastAsia" w:ascii="仿宋" w:hAnsi="仿宋" w:eastAsia="仿宋"/>
          <w:sz w:val="32"/>
          <w:szCs w:val="32"/>
        </w:rPr>
        <w:t>人员经费1223.92万元，主要包括：基本工资、津贴补贴、奖金、绩效工资、机关事业单位基本养老保险缴费、职业年金缴费、职工基本医疗保险缴费、公务员医疗补助缴费、其他社会保障缴费、住房公积金、医疗费、其他工资福利支出、抚恤金、生活补助、救济金、医疗费补助、其他对个人和家庭的补助支出。</w:t>
      </w:r>
      <w:r>
        <w:rPr>
          <w:rFonts w:ascii="仿宋" w:hAnsi="仿宋" w:eastAsia="仿宋"/>
          <w:sz w:val="32"/>
          <w:szCs w:val="32"/>
        </w:rPr>
        <w:br w:type="textWrapping"/>
      </w:r>
      <w:r>
        <w:rPr>
          <w:rFonts w:hint="eastAsia" w:ascii="仿宋" w:hAnsi="仿宋" w:eastAsia="仿宋"/>
          <w:sz w:val="32"/>
          <w:szCs w:val="32"/>
        </w:rPr>
        <w:t>　　公用经费149.61万元，主要包括：办公费、电费、邮电费、差旅费、维修（护）费、会议费、培训费、公务接待费、劳务费、委托业务费、工会经费、福利费、公务用车运行维护费、其他交通费用、其他商品和服务支出。</w:t>
      </w:r>
    </w:p>
    <w:p>
      <w:pPr>
        <w:spacing w:line="600" w:lineRule="exact"/>
        <w:ind w:firstLine="640"/>
        <w:outlineLvl w:val="1"/>
        <w:rPr>
          <w:rStyle w:val="24"/>
          <w:rFonts w:ascii="黑体" w:hAnsi="黑体" w:eastAsia="黑体"/>
          <w:b w:val="0"/>
        </w:rPr>
      </w:pPr>
      <w:bookmarkStart w:id="43" w:name="_Toc15396609"/>
      <w:bookmarkStart w:id="44" w:name="_Toc15377215"/>
      <w:r>
        <w:rPr>
          <w:rFonts w:hint="eastAsia" w:ascii="黑体" w:eastAsia="黑体"/>
          <w:sz w:val="32"/>
          <w:szCs w:val="32"/>
        </w:rPr>
        <w:t>七、</w:t>
      </w:r>
      <w:r>
        <w:rPr>
          <w:rStyle w:val="24"/>
          <w:rFonts w:hint="eastAsia" w:ascii="黑体" w:hAnsi="黑体" w:eastAsia="黑体"/>
          <w:b w:val="0"/>
        </w:rPr>
        <w:t>财政拨款</w:t>
      </w:r>
      <w:r>
        <w:rPr>
          <w:rStyle w:val="24"/>
          <w:rFonts w:hint="eastAsia" w:ascii="黑体" w:hAnsi="黑体" w:eastAsia="黑体"/>
        </w:rPr>
        <w:t>“</w:t>
      </w:r>
      <w:r>
        <w:rPr>
          <w:rStyle w:val="24"/>
          <w:rFonts w:hint="eastAsia" w:ascii="黑体" w:hAnsi="黑体" w:eastAsia="黑体"/>
          <w:b w:val="0"/>
        </w:rPr>
        <w:t>三公”经费支出决算情况说明</w:t>
      </w:r>
      <w:bookmarkEnd w:id="43"/>
      <w:bookmarkEnd w:id="44"/>
    </w:p>
    <w:p>
      <w:pPr>
        <w:spacing w:line="600" w:lineRule="exact"/>
        <w:ind w:firstLine="640"/>
        <w:outlineLvl w:val="2"/>
        <w:rPr>
          <w:rFonts w:ascii="仿宋" w:hAnsi="仿宋" w:eastAsia="仿宋"/>
          <w:b/>
          <w:sz w:val="32"/>
          <w:szCs w:val="32"/>
        </w:rPr>
      </w:pPr>
      <w:bookmarkStart w:id="45" w:name="_Toc15377216"/>
      <w:r>
        <w:rPr>
          <w:rFonts w:hint="eastAsia" w:ascii="仿宋" w:hAnsi="仿宋" w:eastAsia="仿宋"/>
          <w:b/>
          <w:sz w:val="32"/>
          <w:szCs w:val="32"/>
        </w:rPr>
        <w:t>（一）“三公”经费财政拨款支出决算总体情况说明</w:t>
      </w:r>
      <w:bookmarkEnd w:id="45"/>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22年“三公”经费财政拨款支出决算为2.62万元，完成预算79.4</w:t>
      </w:r>
      <w:r>
        <w:rPr>
          <w:rFonts w:ascii="仿宋" w:hAnsi="仿宋" w:eastAsia="仿宋"/>
          <w:sz w:val="32"/>
          <w:szCs w:val="32"/>
        </w:rPr>
        <w:t>%</w:t>
      </w:r>
      <w:r>
        <w:rPr>
          <w:rFonts w:hint="eastAsia" w:ascii="仿宋" w:hAnsi="仿宋" w:eastAsia="仿宋"/>
          <w:sz w:val="32"/>
          <w:szCs w:val="32"/>
        </w:rPr>
        <w:t>，较上年减少2.89万元，下降52.45%。决算数小于预算数的主要原因是严格控制资金用途，压减“三公经费”支出。</w:t>
      </w:r>
    </w:p>
    <w:p>
      <w:pPr>
        <w:spacing w:line="600" w:lineRule="exact"/>
        <w:ind w:firstLine="640"/>
        <w:outlineLvl w:val="2"/>
        <w:rPr>
          <w:rFonts w:ascii="仿宋" w:hAnsi="仿宋" w:eastAsia="仿宋"/>
          <w:b/>
          <w:sz w:val="32"/>
          <w:szCs w:val="32"/>
        </w:rPr>
      </w:pPr>
      <w:bookmarkStart w:id="46" w:name="_Toc15377217"/>
      <w:r>
        <w:rPr>
          <w:rFonts w:hint="eastAsia" w:ascii="仿宋" w:hAnsi="仿宋" w:eastAsia="仿宋"/>
          <w:b/>
          <w:sz w:val="32"/>
          <w:szCs w:val="32"/>
        </w:rPr>
        <w:t>（二）“三公”经费财政拨款支出决算具体情况说明</w:t>
      </w:r>
      <w:bookmarkEnd w:id="46"/>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；公务用车购置及运行维护费支出决算2.37万元，占90</w:t>
      </w:r>
      <w:r>
        <w:rPr>
          <w:rFonts w:ascii="仿宋" w:hAnsi="仿宋" w:eastAsia="仿宋"/>
          <w:sz w:val="32"/>
          <w:szCs w:val="32"/>
        </w:rPr>
        <w:t>%</w:t>
      </w:r>
      <w:r>
        <w:rPr>
          <w:rFonts w:hint="eastAsia" w:ascii="仿宋" w:hAnsi="仿宋" w:eastAsia="仿宋"/>
          <w:sz w:val="32"/>
          <w:szCs w:val="32"/>
        </w:rPr>
        <w:t>；公务接待费支出决算0.26万元，占10</w:t>
      </w:r>
      <w:r>
        <w:rPr>
          <w:rFonts w:ascii="仿宋" w:hAnsi="仿宋" w:eastAsia="仿宋"/>
          <w:sz w:val="32"/>
          <w:szCs w:val="32"/>
        </w:rPr>
        <w:t>%</w:t>
      </w:r>
      <w:r>
        <w:rPr>
          <w:rFonts w:hint="eastAsia" w:ascii="仿宋" w:hAnsi="仿宋" w:eastAsia="仿宋"/>
          <w:sz w:val="32"/>
          <w:szCs w:val="32"/>
        </w:rPr>
        <w:t>。具体情况如下：</w:t>
      </w:r>
    </w:p>
    <w:p>
      <w:pPr>
        <w:pStyle w:val="2"/>
        <w:spacing w:before="93"/>
      </w:pPr>
      <w:r>
        <w:drawing>
          <wp:inline distT="0" distB="0" distL="0" distR="0">
            <wp:extent cx="5219700" cy="2743200"/>
            <wp:effectExtent l="19050" t="0" r="19050" b="0"/>
            <wp:docPr id="12"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pPr>
        <w:spacing w:line="600" w:lineRule="exact"/>
        <w:ind w:firstLine="640"/>
        <w:rPr>
          <w:rFonts w:ascii="仿宋_GB2312" w:eastAsia="仿宋_GB2312"/>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rPr>
        <w:t>0万元，</w:t>
      </w:r>
      <w:r>
        <w:rPr>
          <w:rStyle w:val="19"/>
          <w:rFonts w:hint="eastAsia" w:ascii="仿宋" w:hAnsi="仿宋" w:eastAsia="仿宋"/>
          <w:b w:val="0"/>
          <w:bCs/>
          <w:sz w:val="32"/>
          <w:szCs w:val="32"/>
        </w:rPr>
        <w:t>完成预算0</w:t>
      </w:r>
      <w:r>
        <w:rPr>
          <w:rStyle w:val="19"/>
          <w:rFonts w:ascii="仿宋" w:hAnsi="仿宋" w:eastAsia="仿宋"/>
          <w:b w:val="0"/>
          <w:bCs/>
          <w:sz w:val="32"/>
          <w:szCs w:val="32"/>
        </w:rPr>
        <w:t>%</w:t>
      </w:r>
      <w:r>
        <w:rPr>
          <w:rStyle w:val="19"/>
          <w:rFonts w:hint="eastAsia" w:ascii="仿宋" w:hAnsi="仿宋" w:eastAsia="仿宋"/>
          <w:b w:val="0"/>
          <w:bCs/>
          <w:sz w:val="32"/>
          <w:szCs w:val="32"/>
        </w:rPr>
        <w:t>。</w:t>
      </w:r>
      <w:r>
        <w:rPr>
          <w:rFonts w:hint="eastAsia" w:ascii="仿宋_GB2312" w:eastAsia="仿宋_GB2312"/>
          <w:sz w:val="32"/>
          <w:szCs w:val="32"/>
        </w:rPr>
        <w:t>全年安排因公出国（境）团组0次，出国（境）0人。</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rPr>
        <w:t>2.37万元,</w:t>
      </w:r>
      <w:r>
        <w:rPr>
          <w:rStyle w:val="19"/>
          <w:rFonts w:hint="eastAsia" w:ascii="仿宋" w:hAnsi="仿宋" w:eastAsia="仿宋"/>
          <w:b w:val="0"/>
          <w:bCs/>
          <w:sz w:val="32"/>
          <w:szCs w:val="32"/>
        </w:rPr>
        <w:t>完成预算91.15</w:t>
      </w:r>
      <w:r>
        <w:rPr>
          <w:rStyle w:val="19"/>
          <w:rFonts w:ascii="仿宋" w:hAnsi="仿宋" w:eastAsia="仿宋"/>
          <w:b w:val="0"/>
          <w:bCs/>
          <w:sz w:val="32"/>
          <w:szCs w:val="32"/>
        </w:rPr>
        <w:t>%</w:t>
      </w:r>
      <w:r>
        <w:rPr>
          <w:rStyle w:val="19"/>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21年减少2.97万元，下降55.6</w:t>
      </w:r>
      <w:r>
        <w:rPr>
          <w:rFonts w:ascii="仿宋_GB2312" w:eastAsia="仿宋_GB2312"/>
          <w:sz w:val="32"/>
          <w:szCs w:val="32"/>
        </w:rPr>
        <w:t>%</w:t>
      </w:r>
      <w:r>
        <w:rPr>
          <w:rFonts w:hint="eastAsia" w:ascii="仿宋_GB2312" w:eastAsia="仿宋_GB2312"/>
          <w:sz w:val="32"/>
          <w:szCs w:val="32"/>
        </w:rPr>
        <w:t>。主要原因是严格控制资金用途，压减“三公经费”支出。其中：</w:t>
      </w:r>
      <w:r>
        <w:rPr>
          <w:rFonts w:hint="eastAsia" w:ascii="仿宋_GB2312" w:eastAsia="仿宋_GB2312"/>
          <w:b/>
          <w:sz w:val="32"/>
          <w:szCs w:val="32"/>
        </w:rPr>
        <w:t>公务用车购置支出</w:t>
      </w:r>
      <w:r>
        <w:rPr>
          <w:rFonts w:hint="eastAsia" w:ascii="仿宋_GB2312" w:eastAsia="仿宋_GB2312"/>
          <w:sz w:val="32"/>
          <w:szCs w:val="32"/>
        </w:rPr>
        <w:t>0万元。全年按规定更新购置公务用车0辆，其中：轿车0辆、金额0万元，越野车0辆、金额0万元，载客汽车0辆、金额0万元，主要用于常规工作开展、森林草原防灭火工作等。截至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月底，单位共有公务用车3辆，其中：轿车1辆、越野车2辆、载客汽车0辆。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rPr>
        <w:t>2.37万元。主要用于森林草原防灭火、农林工作、安全生产工作、疫情等所需的公务用车燃料费、维修费、过路过桥费、保险费等支出。</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rPr>
        <w:t>0.26万元，完成预算26</w:t>
      </w:r>
      <w:r>
        <w:rPr>
          <w:rFonts w:ascii="仿宋_GB2312" w:eastAsia="仿宋_GB2312"/>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21年增加</w:t>
      </w:r>
      <w:r>
        <w:rPr>
          <w:rFonts w:ascii="仿宋_GB2312" w:eastAsia="仿宋_GB2312"/>
          <w:sz w:val="32"/>
          <w:szCs w:val="32"/>
        </w:rPr>
        <w:t xml:space="preserve"> </w:t>
      </w:r>
      <w:r>
        <w:rPr>
          <w:rFonts w:hint="eastAsia" w:ascii="仿宋_GB2312" w:eastAsia="仿宋_GB2312"/>
          <w:sz w:val="32"/>
          <w:szCs w:val="32"/>
        </w:rPr>
        <w:t>0.1万元，增长38</w:t>
      </w:r>
      <w:r>
        <w:rPr>
          <w:rFonts w:ascii="仿宋_GB2312" w:eastAsia="仿宋_GB2312"/>
          <w:sz w:val="32"/>
          <w:szCs w:val="32"/>
        </w:rPr>
        <w:t>%</w:t>
      </w:r>
      <w:r>
        <w:rPr>
          <w:rFonts w:hint="eastAsia" w:ascii="仿宋_GB2312" w:eastAsia="仿宋_GB2312"/>
          <w:sz w:val="32"/>
          <w:szCs w:val="32"/>
        </w:rPr>
        <w:t>。主要原因是接待人次增多。其中：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rPr>
        <w:t>0.26</w:t>
      </w:r>
      <w:r>
        <w:rPr>
          <w:rFonts w:hint="eastAsia" w:ascii="仿宋_GB2312" w:eastAsia="仿宋_GB2312"/>
          <w:sz w:val="32"/>
          <w:szCs w:val="32"/>
        </w:rPr>
        <w:t>万元，主要用于</w:t>
      </w:r>
      <w:r>
        <w:rPr>
          <w:rFonts w:hint="eastAsia" w:ascii="仿宋_GB2312" w:eastAsia="仿宋_GB2312"/>
          <w:sz w:val="32"/>
          <w:szCs w:val="32"/>
          <w:lang w:val="en-US" w:eastAsia="zh-CN"/>
        </w:rPr>
        <w:t>接待</w:t>
      </w:r>
      <w:r>
        <w:rPr>
          <w:rFonts w:hint="eastAsia" w:ascii="仿宋_GB2312" w:eastAsia="仿宋_GB2312"/>
          <w:sz w:val="32"/>
          <w:szCs w:val="32"/>
        </w:rPr>
        <w:t>用餐费。国内公务接待5批次，44人次（不包括陪同人员），共计支出0.26万元，具体内容包括：2022年1月20日统计局开展祝户调查业务指导工作150元；2021年12月27县应急管理局开展辖区烟花爆竹零售经营现场安全审查工作150元；2021年11月30日县文化馆开展图书馆分管建设工作600元；2022年4月18日市、县政协及乡村振兴局到乡开展乡村振兴民族监督视察工作1500；县林业局到乡开展食用林产品采样工作150元。</w:t>
      </w:r>
    </w:p>
    <w:p>
      <w:pPr>
        <w:spacing w:line="600" w:lineRule="exact"/>
        <w:ind w:firstLine="642" w:firstLineChars="200"/>
        <w:rPr>
          <w:rFonts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sz w:val="32"/>
          <w:szCs w:val="32"/>
        </w:rPr>
        <w:t>0</w:t>
      </w:r>
      <w:r>
        <w:rPr>
          <w:rFonts w:hint="eastAsia" w:ascii="仿宋_GB2312" w:eastAsia="仿宋_GB2312"/>
          <w:sz w:val="32"/>
          <w:szCs w:val="32"/>
        </w:rPr>
        <w:t>万元，外事接待0批次，0人次，共计支出0万元。</w:t>
      </w:r>
    </w:p>
    <w:p>
      <w:pPr>
        <w:spacing w:line="600" w:lineRule="exact"/>
        <w:ind w:firstLine="640"/>
        <w:outlineLvl w:val="1"/>
        <w:rPr>
          <w:rFonts w:ascii="黑体" w:eastAsia="黑体"/>
          <w:sz w:val="32"/>
          <w:szCs w:val="32"/>
        </w:rPr>
      </w:pPr>
      <w:bookmarkStart w:id="47" w:name="_Toc15396610"/>
      <w:bookmarkStart w:id="48" w:name="_Toc15377218"/>
    </w:p>
    <w:p>
      <w:pPr>
        <w:spacing w:line="600" w:lineRule="exact"/>
        <w:ind w:firstLine="640"/>
        <w:outlineLvl w:val="1"/>
        <w:rPr>
          <w:rStyle w:val="24"/>
          <w:rFonts w:ascii="黑体" w:hAnsi="黑体" w:eastAsia="黑体"/>
        </w:rPr>
      </w:pPr>
      <w:r>
        <w:rPr>
          <w:rFonts w:hint="eastAsia" w:ascii="黑体" w:eastAsia="黑体"/>
          <w:sz w:val="32"/>
          <w:szCs w:val="32"/>
        </w:rPr>
        <w:t>八、</w:t>
      </w:r>
      <w:r>
        <w:rPr>
          <w:rStyle w:val="24"/>
          <w:rFonts w:hint="eastAsia" w:ascii="黑体" w:hAnsi="黑体" w:eastAsia="黑体"/>
          <w:b w:val="0"/>
        </w:rPr>
        <w:t>政府性基金预算支出决算情况说明</w:t>
      </w:r>
      <w:bookmarkEnd w:id="47"/>
      <w:bookmarkEnd w:id="48"/>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22年政府性基金预算财政拨款支出69.84万元。</w:t>
      </w:r>
    </w:p>
    <w:p>
      <w:pPr>
        <w:numPr>
          <w:ilvl w:val="0"/>
          <w:numId w:val="4"/>
        </w:numPr>
        <w:spacing w:line="600" w:lineRule="exact"/>
        <w:ind w:firstLine="640"/>
        <w:outlineLvl w:val="1"/>
        <w:rPr>
          <w:rStyle w:val="24"/>
          <w:rFonts w:ascii="黑体" w:hAnsi="黑体" w:eastAsia="黑体"/>
          <w:b w:val="0"/>
        </w:rPr>
      </w:pPr>
      <w:bookmarkStart w:id="49" w:name="_Toc15377219"/>
      <w:bookmarkStart w:id="50" w:name="_Toc15396611"/>
      <w:r>
        <w:rPr>
          <w:rStyle w:val="24"/>
          <w:rFonts w:hint="eastAsia" w:ascii="黑体" w:hAnsi="黑体" w:eastAsia="黑体"/>
          <w:b w:val="0"/>
        </w:rPr>
        <w:t>国有资本经营预算支出决算情况说明</w:t>
      </w:r>
      <w:bookmarkEnd w:id="49"/>
      <w:bookmarkEnd w:id="50"/>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22年国有资本经营预算财政拨款支出0万元。</w:t>
      </w:r>
    </w:p>
    <w:p>
      <w:pPr>
        <w:spacing w:line="580" w:lineRule="exact"/>
        <w:jc w:val="center"/>
        <w:rPr>
          <w:rFonts w:ascii="方正小标宋简体" w:hAnsi="方正小标宋简体" w:eastAsia="方正小标宋简体" w:cs="方正小标宋简体"/>
          <w:sz w:val="44"/>
          <w:szCs w:val="44"/>
        </w:rPr>
      </w:pPr>
    </w:p>
    <w:p>
      <w:pPr>
        <w:numPr>
          <w:ilvl w:val="0"/>
          <w:numId w:val="4"/>
        </w:numPr>
        <w:spacing w:line="600" w:lineRule="exact"/>
        <w:ind w:firstLine="640"/>
        <w:outlineLvl w:val="1"/>
        <w:rPr>
          <w:rStyle w:val="24"/>
          <w:rFonts w:ascii="黑体" w:hAnsi="黑体" w:eastAsia="黑体"/>
          <w:b w:val="0"/>
        </w:rPr>
      </w:pPr>
      <w:bookmarkStart w:id="51" w:name="_Toc15377221"/>
      <w:bookmarkStart w:id="52" w:name="_Toc15396612"/>
      <w:r>
        <w:rPr>
          <w:rStyle w:val="24"/>
          <w:rFonts w:hint="eastAsia" w:ascii="黑体" w:hAnsi="黑体" w:eastAsia="黑体"/>
          <w:b w:val="0"/>
        </w:rPr>
        <w:t>其他重要事项的情况说明</w:t>
      </w:r>
      <w:bookmarkEnd w:id="51"/>
      <w:bookmarkEnd w:id="52"/>
    </w:p>
    <w:p>
      <w:pPr>
        <w:spacing w:line="600" w:lineRule="exact"/>
        <w:ind w:firstLine="642" w:firstLineChars="200"/>
        <w:outlineLvl w:val="2"/>
        <w:rPr>
          <w:rFonts w:ascii="仿宋" w:hAnsi="仿宋" w:eastAsia="仿宋"/>
          <w:sz w:val="32"/>
          <w:szCs w:val="32"/>
        </w:rPr>
      </w:pPr>
      <w:bookmarkStart w:id="53" w:name="_Toc15377222"/>
      <w:r>
        <w:rPr>
          <w:rFonts w:hint="eastAsia" w:ascii="仿宋" w:hAnsi="仿宋" w:eastAsia="仿宋"/>
          <w:b/>
          <w:sz w:val="32"/>
          <w:szCs w:val="32"/>
        </w:rPr>
        <w:t>（一）机关运行经费支出情况</w:t>
      </w:r>
      <w:bookmarkEnd w:id="53"/>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22年，红果彝族乡机关运行经费支出204.89万元，比</w:t>
      </w:r>
      <w:r>
        <w:rPr>
          <w:rFonts w:ascii="仿宋_GB2312" w:eastAsia="仿宋_GB2312"/>
          <w:sz w:val="32"/>
          <w:szCs w:val="32"/>
        </w:rPr>
        <w:t>20</w:t>
      </w:r>
      <w:r>
        <w:rPr>
          <w:rFonts w:hint="eastAsia" w:ascii="仿宋_GB2312" w:eastAsia="仿宋_GB2312"/>
          <w:sz w:val="32"/>
          <w:szCs w:val="32"/>
        </w:rPr>
        <w:t>21年增加91.44万元，增长80.5</w:t>
      </w:r>
      <w:r>
        <w:rPr>
          <w:rFonts w:ascii="仿宋_GB2312" w:eastAsia="仿宋_GB2312"/>
          <w:sz w:val="32"/>
          <w:szCs w:val="32"/>
        </w:rPr>
        <w:t>%</w:t>
      </w:r>
      <w:r>
        <w:rPr>
          <w:rFonts w:hint="eastAsia" w:ascii="仿宋_GB2312" w:eastAsia="仿宋_GB2312"/>
          <w:sz w:val="32"/>
          <w:szCs w:val="32"/>
        </w:rPr>
        <w:t>，主要原因是人员增加。。</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54" w:name="_Toc15377223"/>
      <w:r>
        <w:rPr>
          <w:rFonts w:hint="eastAsia" w:ascii="仿宋" w:hAnsi="仿宋" w:eastAsia="仿宋"/>
          <w:b/>
          <w:sz w:val="32"/>
          <w:szCs w:val="32"/>
        </w:rPr>
        <w:t>（二）政府采购支出情况</w:t>
      </w:r>
      <w:bookmarkEnd w:id="54"/>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22年，红果彝族乡政府采购支出总额0万元，其中：政府采购货物支出0万元、政府采购工程支出0万元、政府采购服务支出0万元。授予中小企业合同金额0万元，占政府采购支出总额的0</w:t>
      </w:r>
      <w:r>
        <w:rPr>
          <w:rFonts w:ascii="仿宋_GB2312" w:eastAsia="仿宋_GB2312"/>
          <w:sz w:val="32"/>
          <w:szCs w:val="32"/>
        </w:rPr>
        <w:t>%</w:t>
      </w:r>
      <w:r>
        <w:rPr>
          <w:rFonts w:hint="eastAsia" w:ascii="仿宋_GB2312" w:eastAsia="仿宋_GB2312"/>
          <w:sz w:val="32"/>
          <w:szCs w:val="32"/>
        </w:rPr>
        <w:t>，其中：授予小微企业合同金额0万元，占政府采购支出总额的0</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55" w:name="_Toc15377224"/>
      <w:r>
        <w:rPr>
          <w:rFonts w:hint="eastAsia" w:ascii="仿宋" w:hAnsi="仿宋" w:eastAsia="仿宋"/>
          <w:b/>
          <w:sz w:val="32"/>
          <w:szCs w:val="32"/>
        </w:rPr>
        <w:t>（三）国有资产占有使用情况</w:t>
      </w:r>
      <w:bookmarkEnd w:id="55"/>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日，红果彝族乡共有车辆3辆，其中：主要领导干部用车0辆、机要通信用车0辆、应急保障用车0辆、其他用车3辆，其他用车主要是用于森林草原防灭火、疫情、农业农村等工作。单价</w:t>
      </w:r>
      <w:r>
        <w:rPr>
          <w:rFonts w:ascii="仿宋_GB2312" w:eastAsia="仿宋_GB2312"/>
          <w:sz w:val="32"/>
          <w:szCs w:val="32"/>
        </w:rPr>
        <w:t>100</w:t>
      </w:r>
      <w:r>
        <w:rPr>
          <w:rFonts w:hint="eastAsia" w:ascii="仿宋_GB2312" w:eastAsia="仿宋_GB2312"/>
          <w:sz w:val="32"/>
          <w:szCs w:val="32"/>
        </w:rPr>
        <w:t>万元以上专用设备0台（套）。</w:t>
      </w:r>
    </w:p>
    <w:p>
      <w:pPr>
        <w:autoSpaceDE w:val="0"/>
        <w:autoSpaceDN w:val="0"/>
        <w:adjustRightInd w:val="0"/>
        <w:spacing w:line="600" w:lineRule="exact"/>
        <w:ind w:firstLine="642"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widowControl/>
        <w:ind w:firstLine="640" w:firstLineChars="200"/>
        <w:jc w:val="left"/>
        <w:rPr>
          <w:rFonts w:ascii="仿宋_GB2312" w:eastAsia="仿宋_GB2312"/>
          <w:b/>
          <w:sz w:val="32"/>
          <w:szCs w:val="32"/>
        </w:rPr>
      </w:pPr>
      <w:r>
        <w:rPr>
          <w:rFonts w:hint="eastAsia" w:ascii="仿宋_GB2312" w:hAnsi="仿宋_GB2312" w:eastAsia="仿宋_GB2312" w:cs="仿宋_GB2312"/>
          <w:sz w:val="32"/>
          <w:szCs w:val="32"/>
        </w:rPr>
        <w:t>根据预算绩效管理要求，本部门在2022年度预算编制阶段，组织对2022年度部门所有预算资金全面开展绩效自评，形成盐边县红果彝族乡部门整体（含部门预算项目）绩效自评报告、对2022年人大代表活动经费及人代会、2022年农村特困供养人员经费、2022年基本公共卫生服务经费、2022年少数民族工作经费、2022年乡村治理经费、</w:t>
      </w:r>
      <w:r>
        <w:rPr>
          <w:rFonts w:hint="eastAsia" w:ascii="仿宋_GB2312" w:hAnsi="仿宋_GB2312" w:eastAsia="仿宋_GB2312"/>
          <w:sz w:val="32"/>
          <w:highlight w:val="white"/>
        </w:rPr>
        <w:t>2022年基层组织活动和公共服务运行</w:t>
      </w:r>
      <w:r>
        <w:rPr>
          <w:rFonts w:hint="eastAsia" w:ascii="仿宋_GB2312" w:hAnsi="仿宋_GB2312" w:eastAsia="仿宋_GB2312" w:cs="仿宋_GB2312"/>
          <w:sz w:val="32"/>
          <w:szCs w:val="32"/>
        </w:rPr>
        <w:t>等专项预算项目绩效自评报告，其中，盐边县红果彝族乡部门整体（含部门预算项目）绩效自评得分为91分，2022年农村特困供养人员经费专项预算项目绩效自评得分为95分，绩效自评报告详见附件。（</w:t>
      </w:r>
      <w:r>
        <w:rPr>
          <w:rFonts w:hint="eastAsia" w:ascii="仿宋_GB2312" w:hAnsi="仿宋_GB2312" w:eastAsia="仿宋_GB2312"/>
          <w:sz w:val="32"/>
        </w:rPr>
        <w:t>第四部分</w:t>
      </w:r>
      <w:r>
        <w:rPr>
          <w:rFonts w:hint="eastAsia" w:ascii="仿宋_GB2312" w:hAnsi="仿宋_GB2312" w:eastAsia="仿宋_GB2312" w:cs="仿宋_GB2312"/>
          <w:sz w:val="32"/>
          <w:szCs w:val="32"/>
        </w:rPr>
        <w:t>）</w:t>
      </w:r>
      <w:r>
        <w:rPr>
          <w:rFonts w:ascii="仿宋_GB2312" w:eastAsia="仿宋_GB2312"/>
          <w:b/>
          <w:sz w:val="32"/>
          <w:szCs w:val="32"/>
        </w:rPr>
        <w:br w:type="page"/>
      </w:r>
    </w:p>
    <w:p>
      <w:pPr>
        <w:numPr>
          <w:ilvl w:val="0"/>
          <w:numId w:val="5"/>
        </w:numPr>
        <w:spacing w:line="600" w:lineRule="exact"/>
        <w:ind w:firstLine="660" w:firstLineChars="150"/>
        <w:jc w:val="center"/>
        <w:outlineLvl w:val="0"/>
        <w:rPr>
          <w:rStyle w:val="23"/>
          <w:rFonts w:ascii="黑体" w:hAnsi="黑体" w:eastAsia="黑体"/>
          <w:b w:val="0"/>
        </w:rPr>
      </w:pPr>
      <w:bookmarkStart w:id="56" w:name="_Toc15396613"/>
      <w:bookmarkStart w:id="57" w:name="_Toc15377225"/>
      <w:r>
        <w:rPr>
          <w:rFonts w:hint="eastAsia" w:ascii="黑体" w:hAnsi="黑体" w:eastAsia="黑体"/>
          <w:sz w:val="44"/>
          <w:szCs w:val="44"/>
        </w:rPr>
        <w:t>名</w:t>
      </w:r>
      <w:r>
        <w:rPr>
          <w:rStyle w:val="23"/>
          <w:rFonts w:hint="eastAsia" w:ascii="黑体" w:hAnsi="黑体" w:eastAsia="黑体"/>
          <w:b w:val="0"/>
        </w:rPr>
        <w:t>词解释</w:t>
      </w:r>
      <w:bookmarkEnd w:id="56"/>
      <w:bookmarkEnd w:id="57"/>
    </w:p>
    <w:p>
      <w:pPr>
        <w:spacing w:line="600" w:lineRule="exact"/>
        <w:jc w:val="left"/>
        <w:rPr>
          <w:rFonts w:ascii="宋体"/>
          <w:b/>
          <w:sz w:val="44"/>
          <w:szCs w:val="44"/>
        </w:rPr>
      </w:pPr>
    </w:p>
    <w:p>
      <w:pPr>
        <w:spacing w:line="576" w:lineRule="exact"/>
        <w:ind w:firstLine="640"/>
        <w:rPr>
          <w:rFonts w:ascii="仿宋_GB2312" w:hAnsi="仿宋_GB2312" w:eastAsia="仿宋_GB2312"/>
          <w:color w:val="000000"/>
          <w:sz w:val="32"/>
        </w:rPr>
      </w:pPr>
      <w:r>
        <w:rPr>
          <w:rFonts w:hint="eastAsia" w:ascii="仿宋_GB2312" w:hAnsi="仿宋_GB2312" w:eastAsia="仿宋_GB2312"/>
          <w:color w:val="000000"/>
          <w:sz w:val="32"/>
        </w:rPr>
        <w:t>1.财政拨款收入：指单位从同级财政部门取得的财政预算资金。</w:t>
      </w:r>
    </w:p>
    <w:p>
      <w:pPr>
        <w:spacing w:line="576" w:lineRule="exact"/>
        <w:ind w:firstLine="640"/>
        <w:rPr>
          <w:rFonts w:ascii="仿宋_GB2312" w:hAnsi="仿宋_GB2312" w:eastAsia="仿宋_GB2312"/>
          <w:color w:val="000000"/>
          <w:sz w:val="32"/>
        </w:rPr>
      </w:pPr>
      <w:r>
        <w:rPr>
          <w:rFonts w:hint="eastAsia" w:ascii="仿宋_GB2312" w:hAnsi="仿宋_GB2312" w:eastAsia="仿宋_GB2312"/>
          <w:color w:val="000000"/>
          <w:sz w:val="32"/>
        </w:rPr>
        <w:t>2.事业收入：指事业单位开展专业业务活动及辅助活动取得的收入。</w:t>
      </w:r>
    </w:p>
    <w:p>
      <w:pPr>
        <w:spacing w:line="576" w:lineRule="exact"/>
        <w:ind w:firstLine="640"/>
        <w:rPr>
          <w:rFonts w:ascii="仿宋_GB2312" w:hAnsi="仿宋_GB2312" w:eastAsia="仿宋_GB2312"/>
          <w:color w:val="000000"/>
          <w:sz w:val="32"/>
        </w:rPr>
      </w:pPr>
      <w:r>
        <w:rPr>
          <w:rFonts w:hint="eastAsia" w:ascii="仿宋_GB2312" w:hAnsi="仿宋_GB2312" w:eastAsia="仿宋_GB2312"/>
          <w:color w:val="000000"/>
          <w:sz w:val="32"/>
        </w:rPr>
        <w:t>3.经营收入：指事业单位在专业业务活动及其辅助活动之外开展非独立核算经营活动取得的收入。</w:t>
      </w:r>
    </w:p>
    <w:p>
      <w:pPr>
        <w:spacing w:line="576" w:lineRule="exact"/>
        <w:ind w:firstLine="640"/>
        <w:rPr>
          <w:rFonts w:ascii="仿宋_GB2312" w:hAnsi="仿宋_GB2312" w:eastAsia="仿宋_GB2312"/>
          <w:color w:val="000000"/>
          <w:sz w:val="32"/>
        </w:rPr>
      </w:pPr>
      <w:r>
        <w:rPr>
          <w:rFonts w:hint="eastAsia" w:ascii="仿宋_GB2312" w:hAnsi="仿宋_GB2312" w:eastAsia="仿宋_GB2312"/>
          <w:color w:val="000000"/>
          <w:sz w:val="32"/>
        </w:rPr>
        <w:t>4.其他收入：指单位取得的除上述收入以外的各项入。</w:t>
      </w:r>
    </w:p>
    <w:p>
      <w:pPr>
        <w:spacing w:line="576" w:lineRule="exact"/>
        <w:ind w:firstLine="640"/>
        <w:rPr>
          <w:rFonts w:ascii="仿宋_GB2312" w:hAnsi="仿宋_GB2312" w:eastAsia="仿宋_GB2312"/>
          <w:color w:val="000000"/>
          <w:sz w:val="32"/>
        </w:rPr>
      </w:pPr>
      <w:r>
        <w:rPr>
          <w:rFonts w:hint="eastAsia" w:ascii="仿宋_GB2312" w:hAnsi="仿宋_GB2312" w:eastAsia="仿宋_GB2312"/>
          <w:color w:val="000000"/>
          <w:sz w:val="32"/>
        </w:rPr>
        <w:t xml:space="preserve">5.使用非财政拨款结余：指事业单位使用以前年度积累的非财政拨款结余弥补当年收支差额的金额。 </w:t>
      </w:r>
    </w:p>
    <w:p>
      <w:pPr>
        <w:spacing w:line="576" w:lineRule="exact"/>
        <w:ind w:firstLine="640"/>
        <w:rPr>
          <w:rFonts w:ascii="仿宋_GB2312" w:hAnsi="仿宋_GB2312" w:eastAsia="仿宋_GB2312"/>
          <w:color w:val="000000"/>
          <w:sz w:val="32"/>
        </w:rPr>
      </w:pPr>
      <w:r>
        <w:rPr>
          <w:rFonts w:hint="eastAsia" w:ascii="仿宋_GB2312" w:hAnsi="仿宋_GB2312" w:eastAsia="仿宋_GB2312"/>
          <w:color w:val="000000"/>
          <w:sz w:val="32"/>
        </w:rPr>
        <w:t xml:space="preserve">6.年初结转和结余：指以前年度尚未完成、结转到本年按有关规定继续使用的资金。 </w:t>
      </w:r>
    </w:p>
    <w:p>
      <w:pPr>
        <w:spacing w:line="576" w:lineRule="exact"/>
        <w:ind w:firstLine="640"/>
        <w:rPr>
          <w:rFonts w:ascii="仿宋_GB2312" w:hAnsi="仿宋_GB2312" w:eastAsia="仿宋_GB2312"/>
          <w:color w:val="000000"/>
          <w:sz w:val="32"/>
        </w:rPr>
      </w:pPr>
      <w:r>
        <w:rPr>
          <w:rFonts w:hint="eastAsia" w:ascii="仿宋_GB2312" w:hAnsi="仿宋_GB2312" w:eastAsia="仿宋_GB2312"/>
          <w:color w:val="000000"/>
          <w:sz w:val="32"/>
        </w:rPr>
        <w:t>7.结余分配：指事业单位按照会计制度规定缴纳的所得税、提取的专用结余以及转入非财政拨款结余的金额等。</w:t>
      </w:r>
    </w:p>
    <w:p>
      <w:pPr>
        <w:spacing w:line="576" w:lineRule="exact"/>
        <w:ind w:firstLine="640"/>
        <w:rPr>
          <w:rFonts w:ascii="仿宋_GB2312" w:hAnsi="仿宋_GB2312" w:eastAsia="仿宋_GB2312"/>
          <w:color w:val="000000"/>
          <w:sz w:val="32"/>
        </w:rPr>
      </w:pPr>
      <w:r>
        <w:rPr>
          <w:rFonts w:hint="eastAsia" w:ascii="仿宋_GB2312" w:hAnsi="仿宋_GB2312" w:eastAsia="仿宋_GB2312"/>
          <w:color w:val="000000"/>
          <w:sz w:val="32"/>
        </w:rPr>
        <w:t>8.年末结转和结余：指单位按有关规定结转到下年或以后年度继续使用的资金。</w:t>
      </w:r>
    </w:p>
    <w:p>
      <w:pPr>
        <w:spacing w:line="576" w:lineRule="exact"/>
        <w:ind w:firstLine="640"/>
        <w:rPr>
          <w:rFonts w:ascii="仿宋_GB2312" w:hAnsi="仿宋_GB2312" w:eastAsia="仿宋_GB2312"/>
          <w:color w:val="000000"/>
          <w:sz w:val="32"/>
          <w:szCs w:val="22"/>
        </w:rPr>
      </w:pPr>
      <w:r>
        <w:rPr>
          <w:rFonts w:hint="eastAsia" w:ascii="仿宋_GB2312" w:hAnsi="仿宋_GB2312" w:eastAsia="仿宋_GB2312"/>
          <w:color w:val="000000"/>
          <w:sz w:val="32"/>
          <w:szCs w:val="22"/>
        </w:rPr>
        <w:t>9.一般公共服务支出（201类）人大事务（01款）行政运行（01项）：指反映行政单位（包括实行公务员管理的事业单位）的基本支出。</w:t>
      </w:r>
    </w:p>
    <w:p>
      <w:pPr>
        <w:spacing w:line="576" w:lineRule="exact"/>
        <w:ind w:firstLine="640"/>
        <w:rPr>
          <w:rFonts w:ascii="仿宋_GB2312" w:hAnsi="仿宋_GB2312" w:eastAsia="仿宋_GB2312"/>
          <w:color w:val="000000"/>
          <w:sz w:val="32"/>
          <w:szCs w:val="22"/>
        </w:rPr>
      </w:pPr>
      <w:r>
        <w:rPr>
          <w:rFonts w:hint="eastAsia" w:ascii="仿宋_GB2312" w:hAnsi="仿宋_GB2312" w:eastAsia="仿宋_GB2312"/>
          <w:color w:val="000000"/>
          <w:sz w:val="32"/>
          <w:szCs w:val="22"/>
        </w:rPr>
        <w:t>10.一般公共服务支出（201类）人大事务（01款）人大会议（04项）：指指反映各级人大召开人民代表大会等专门会议的支出。</w:t>
      </w:r>
    </w:p>
    <w:p>
      <w:pPr>
        <w:spacing w:line="576" w:lineRule="exact"/>
        <w:ind w:firstLine="640"/>
        <w:rPr>
          <w:rFonts w:ascii="仿宋_GB2312" w:hAnsi="仿宋_GB2312" w:eastAsia="仿宋_GB2312"/>
          <w:color w:val="000000"/>
          <w:sz w:val="32"/>
          <w:szCs w:val="22"/>
        </w:rPr>
      </w:pPr>
      <w:r>
        <w:rPr>
          <w:rFonts w:hint="eastAsia" w:ascii="仿宋_GB2312" w:hAnsi="仿宋_GB2312" w:eastAsia="仿宋_GB2312"/>
          <w:color w:val="000000"/>
          <w:sz w:val="32"/>
          <w:szCs w:val="22"/>
        </w:rPr>
        <w:t>11.一般公共服务（201类）政府办公厅（室）及相关机构事务（03款）行政运行（01项）：指反映行政单位（包括实行公务员管理的事业单位）的基本支出。</w:t>
      </w:r>
    </w:p>
    <w:p>
      <w:pPr>
        <w:spacing w:line="576" w:lineRule="exact"/>
        <w:ind w:firstLine="640"/>
        <w:rPr>
          <w:rFonts w:ascii="仿宋_GB2312" w:hAnsi="仿宋_GB2312" w:eastAsia="仿宋_GB2312"/>
          <w:color w:val="000000"/>
          <w:sz w:val="32"/>
          <w:szCs w:val="22"/>
        </w:rPr>
      </w:pPr>
      <w:r>
        <w:rPr>
          <w:rFonts w:hint="eastAsia" w:ascii="仿宋_GB2312" w:hAnsi="仿宋_GB2312" w:eastAsia="仿宋_GB2312"/>
          <w:color w:val="000000"/>
          <w:sz w:val="32"/>
          <w:szCs w:val="22"/>
        </w:rPr>
        <w:t>12.一般公共服务（201类）政府办公厅（室）及相关机构事务（03款）一般行政管理事务（02项）：指反映行政单位（包括实行公务员管理的事业单位）未单独设置项级科目的其他项目支出。</w:t>
      </w:r>
    </w:p>
    <w:p>
      <w:pPr>
        <w:spacing w:line="576" w:lineRule="exact"/>
        <w:ind w:firstLine="640"/>
        <w:rPr>
          <w:rFonts w:ascii="仿宋_GB2312" w:hAnsi="仿宋_GB2312" w:eastAsia="仿宋_GB2312"/>
          <w:color w:val="000000"/>
          <w:sz w:val="32"/>
          <w:szCs w:val="22"/>
        </w:rPr>
      </w:pPr>
      <w:r>
        <w:rPr>
          <w:rFonts w:hint="eastAsia" w:ascii="仿宋_GB2312" w:hAnsi="仿宋_GB2312" w:eastAsia="仿宋_GB2312"/>
          <w:color w:val="000000"/>
          <w:sz w:val="32"/>
          <w:szCs w:val="22"/>
        </w:rPr>
        <w:t>13.一般公共服务（201类）政府办公厅（室）及相关机构事务（03款）事业运行（50项）：指反映事业单位的基本支出，不包括行政单位（包括实行公务员管理的事业单位）后勤服务中心，医务室等附属事业单位。</w:t>
      </w:r>
    </w:p>
    <w:p>
      <w:pPr>
        <w:spacing w:line="576" w:lineRule="exact"/>
        <w:ind w:firstLine="640"/>
        <w:rPr>
          <w:rFonts w:ascii="仿宋_GB2312" w:hAnsi="仿宋_GB2312" w:eastAsia="仿宋_GB2312"/>
          <w:color w:val="000000"/>
          <w:sz w:val="32"/>
          <w:szCs w:val="22"/>
        </w:rPr>
      </w:pPr>
      <w:r>
        <w:rPr>
          <w:rFonts w:hint="eastAsia" w:ascii="仿宋_GB2312" w:hAnsi="仿宋_GB2312" w:eastAsia="仿宋_GB2312"/>
          <w:color w:val="000000"/>
          <w:sz w:val="32"/>
          <w:szCs w:val="22"/>
        </w:rPr>
        <w:t>14.一般公共服务（201类纪委监察事务支出（11款）其他纪委监察事务支出（99项）：指反映除上述项目以外其他纪委监察事务方面支出。</w:t>
      </w:r>
    </w:p>
    <w:p>
      <w:pPr>
        <w:spacing w:line="576" w:lineRule="exact"/>
        <w:ind w:firstLine="640"/>
        <w:rPr>
          <w:rFonts w:ascii="仿宋_GB2312" w:hAnsi="仿宋_GB2312" w:eastAsia="仿宋_GB2312"/>
          <w:color w:val="000000"/>
          <w:sz w:val="32"/>
          <w:szCs w:val="22"/>
        </w:rPr>
      </w:pPr>
      <w:r>
        <w:rPr>
          <w:rFonts w:hint="eastAsia" w:ascii="仿宋_GB2312" w:hAnsi="仿宋_GB2312" w:eastAsia="仿宋_GB2312"/>
          <w:color w:val="000000"/>
          <w:sz w:val="32"/>
          <w:szCs w:val="22"/>
        </w:rPr>
        <w:t>15.一般公共服务（201类）民族事务（23款）民族工作专项（04项）：指反映用于民族事务管理方面的专项支出。</w:t>
      </w:r>
    </w:p>
    <w:p>
      <w:pPr>
        <w:spacing w:line="576" w:lineRule="exact"/>
        <w:ind w:firstLine="640"/>
        <w:rPr>
          <w:rFonts w:ascii="仿宋_GB2312" w:hAnsi="仿宋_GB2312" w:eastAsia="仿宋_GB2312"/>
          <w:color w:val="000000"/>
          <w:sz w:val="32"/>
          <w:szCs w:val="22"/>
        </w:rPr>
      </w:pPr>
      <w:r>
        <w:rPr>
          <w:rFonts w:hint="eastAsia" w:ascii="仿宋_GB2312" w:hAnsi="仿宋_GB2312" w:eastAsia="仿宋_GB2312"/>
          <w:color w:val="000000"/>
          <w:sz w:val="32"/>
          <w:szCs w:val="22"/>
        </w:rPr>
        <w:t>16. .一般公共服务（201类）民族事务（23款）其他民族事务支出（99项）：指反映除上述项目以外其他用于民族事务方面的支出。</w:t>
      </w:r>
    </w:p>
    <w:p>
      <w:pPr>
        <w:spacing w:line="576" w:lineRule="exact"/>
        <w:ind w:firstLine="640"/>
        <w:rPr>
          <w:rFonts w:ascii="仿宋_GB2312" w:hAnsi="仿宋_GB2312" w:eastAsia="仿宋_GB2312"/>
          <w:color w:val="000000"/>
          <w:sz w:val="32"/>
          <w:szCs w:val="22"/>
        </w:rPr>
      </w:pPr>
      <w:r>
        <w:rPr>
          <w:rFonts w:hint="eastAsia" w:ascii="仿宋_GB2312" w:hAnsi="仿宋_GB2312" w:eastAsia="仿宋_GB2312"/>
          <w:color w:val="000000"/>
          <w:sz w:val="32"/>
          <w:szCs w:val="22"/>
        </w:rPr>
        <w:t>17.一般公共服务（201类）党委办公厅（室）及相关机构事务（31款）行政运行（01项）：指反映行政单位（包括实行公务员管理的事业单位）的基本支出。</w:t>
      </w:r>
    </w:p>
    <w:p>
      <w:pPr>
        <w:spacing w:line="576" w:lineRule="exact"/>
        <w:ind w:firstLine="640"/>
        <w:rPr>
          <w:rFonts w:ascii="仿宋_GB2312" w:hAnsi="仿宋_GB2312" w:eastAsia="仿宋_GB2312"/>
          <w:color w:val="000000"/>
          <w:sz w:val="32"/>
          <w:szCs w:val="22"/>
        </w:rPr>
      </w:pPr>
      <w:r>
        <w:rPr>
          <w:rFonts w:hint="eastAsia" w:ascii="仿宋_GB2312" w:hAnsi="仿宋_GB2312" w:eastAsia="仿宋_GB2312"/>
          <w:color w:val="000000"/>
          <w:sz w:val="32"/>
          <w:szCs w:val="22"/>
        </w:rPr>
        <w:t>18.一般公共服务支出（201类）宣传事务（33款）其他宣传事务支出（99项）：指反映除上述项目以外其他用于中国共产党宣传部门的事务支出。</w:t>
      </w:r>
    </w:p>
    <w:p>
      <w:pPr>
        <w:spacing w:line="576" w:lineRule="exact"/>
        <w:ind w:firstLine="640"/>
        <w:rPr>
          <w:rFonts w:ascii="仿宋_GB2312" w:hAnsi="仿宋_GB2312" w:eastAsia="仿宋_GB2312"/>
          <w:color w:val="000000"/>
          <w:sz w:val="32"/>
          <w:szCs w:val="22"/>
        </w:rPr>
      </w:pPr>
      <w:r>
        <w:rPr>
          <w:rFonts w:hint="eastAsia" w:ascii="仿宋_GB2312" w:hAnsi="仿宋_GB2312" w:eastAsia="仿宋_GB2312"/>
          <w:color w:val="000000"/>
          <w:sz w:val="32"/>
          <w:szCs w:val="22"/>
        </w:rPr>
        <w:t>19.公共安全支出（204类）其他公共安全支出（99款）其他公共安全支出（99项）：指反映除上述项目以外其他用于公共安全方面的支出。</w:t>
      </w:r>
    </w:p>
    <w:p>
      <w:pPr>
        <w:spacing w:line="576" w:lineRule="exact"/>
        <w:ind w:firstLine="640"/>
        <w:rPr>
          <w:rFonts w:ascii="仿宋_GB2312" w:hAnsi="仿宋_GB2312" w:eastAsia="仿宋_GB2312"/>
          <w:color w:val="000000"/>
          <w:sz w:val="32"/>
          <w:szCs w:val="22"/>
        </w:rPr>
      </w:pPr>
      <w:r>
        <w:rPr>
          <w:rFonts w:hint="eastAsia" w:ascii="仿宋_GB2312" w:hAnsi="仿宋_GB2312" w:eastAsia="仿宋_GB2312"/>
          <w:color w:val="000000"/>
          <w:sz w:val="32"/>
          <w:szCs w:val="22"/>
        </w:rPr>
        <w:t>20.文化旅游体育与传媒支出（207类）文化和旅游（01款）群众文化（09项）：指反映群众文化方面的支出，包括基层文化馆（站）、群众艺术馆支出等。</w:t>
      </w:r>
    </w:p>
    <w:p>
      <w:pPr>
        <w:spacing w:line="576" w:lineRule="exact"/>
        <w:ind w:firstLine="640"/>
        <w:rPr>
          <w:rFonts w:ascii="仿宋_GB2312" w:hAnsi="仿宋_GB2312" w:eastAsia="仿宋_GB2312"/>
          <w:color w:val="000000"/>
          <w:sz w:val="32"/>
          <w:szCs w:val="22"/>
        </w:rPr>
      </w:pPr>
      <w:r>
        <w:rPr>
          <w:rFonts w:hint="eastAsia" w:ascii="仿宋_GB2312" w:hAnsi="仿宋_GB2312" w:eastAsia="仿宋_GB2312"/>
          <w:color w:val="000000"/>
          <w:sz w:val="32"/>
          <w:szCs w:val="22"/>
        </w:rPr>
        <w:t>21.文化旅游体育与传媒（207类）文化和旅游（01款）其他群众文化（99项）：指反映除上述项目以外其他群众文化事务方面支出。</w:t>
      </w:r>
    </w:p>
    <w:p>
      <w:pPr>
        <w:spacing w:line="576" w:lineRule="exact"/>
        <w:ind w:firstLine="640"/>
        <w:rPr>
          <w:rFonts w:ascii="仿宋_GB2312" w:hAnsi="仿宋_GB2312" w:eastAsia="仿宋_GB2312"/>
          <w:color w:val="000000"/>
          <w:sz w:val="32"/>
          <w:szCs w:val="22"/>
        </w:rPr>
      </w:pPr>
      <w:r>
        <w:rPr>
          <w:rFonts w:hint="eastAsia" w:ascii="仿宋_GB2312" w:hAnsi="仿宋_GB2312" w:eastAsia="仿宋_GB2312"/>
          <w:color w:val="000000"/>
          <w:sz w:val="32"/>
          <w:szCs w:val="22"/>
        </w:rPr>
        <w:t>22.社会保障和就业支出（208类）人力资源和社会保障管理事务（01款）社会保险经办机构（09项）：指指反映社会保险经办机构开展业务工作的支出。</w:t>
      </w:r>
    </w:p>
    <w:p>
      <w:pPr>
        <w:spacing w:line="576" w:lineRule="exact"/>
        <w:ind w:firstLine="640"/>
        <w:rPr>
          <w:rFonts w:ascii="仿宋_GB2312" w:hAnsi="仿宋_GB2312" w:eastAsia="仿宋_GB2312"/>
          <w:color w:val="000000"/>
          <w:sz w:val="32"/>
          <w:szCs w:val="22"/>
        </w:rPr>
      </w:pPr>
      <w:r>
        <w:rPr>
          <w:rFonts w:hint="eastAsia" w:ascii="仿宋_GB2312" w:hAnsi="仿宋_GB2312" w:eastAsia="仿宋_GB2312"/>
          <w:color w:val="000000"/>
          <w:sz w:val="32"/>
          <w:szCs w:val="22"/>
        </w:rPr>
        <w:t>23.社会保障和就业支出（208类）人力资源和社会保障管理（01款）其他人力资源和社会保障管理事务支出（99项）：指反映除上述项目以外其他用于人力资源和社会保障管理事务方面的支出。</w:t>
      </w:r>
    </w:p>
    <w:p>
      <w:pPr>
        <w:spacing w:line="576" w:lineRule="exact"/>
        <w:ind w:firstLine="640"/>
        <w:rPr>
          <w:rFonts w:ascii="仿宋_GB2312" w:hAnsi="仿宋_GB2312" w:eastAsia="仿宋_GB2312"/>
          <w:color w:val="000000"/>
          <w:sz w:val="32"/>
          <w:szCs w:val="22"/>
        </w:rPr>
      </w:pPr>
      <w:r>
        <w:rPr>
          <w:rFonts w:hint="eastAsia" w:ascii="仿宋_GB2312" w:hAnsi="仿宋_GB2312" w:eastAsia="仿宋_GB2312"/>
          <w:color w:val="000000"/>
          <w:sz w:val="32"/>
          <w:szCs w:val="22"/>
        </w:rPr>
        <w:t>24.社会保障和就业支出（208类）民政管理事务（02款）其他民政管理事务支出（99项）：指反映除上述项目以外其他用于民政管理事务的支出。</w:t>
      </w:r>
    </w:p>
    <w:p>
      <w:pPr>
        <w:spacing w:line="576" w:lineRule="exact"/>
        <w:ind w:firstLine="640"/>
        <w:rPr>
          <w:rFonts w:ascii="仿宋_GB2312" w:hAnsi="仿宋_GB2312" w:eastAsia="仿宋_GB2312"/>
          <w:color w:val="000000"/>
          <w:sz w:val="32"/>
          <w:szCs w:val="22"/>
        </w:rPr>
      </w:pPr>
      <w:r>
        <w:rPr>
          <w:rFonts w:hint="eastAsia" w:ascii="仿宋_GB2312" w:hAnsi="仿宋_GB2312" w:eastAsia="仿宋_GB2312"/>
          <w:color w:val="000000"/>
          <w:sz w:val="32"/>
          <w:szCs w:val="22"/>
        </w:rPr>
        <w:t>25.社会保障和就业支出（208类）行政事业单位养老支出（05款）行政单位离退休（01项）：指反映行政单位（包括实行公务员管理的事业单位）开支的离退休经费。</w:t>
      </w:r>
    </w:p>
    <w:p>
      <w:pPr>
        <w:spacing w:line="576" w:lineRule="exact"/>
        <w:ind w:firstLine="640"/>
        <w:rPr>
          <w:rFonts w:ascii="仿宋_GB2312" w:hAnsi="仿宋_GB2312" w:eastAsia="仿宋_GB2312"/>
          <w:color w:val="000000"/>
          <w:sz w:val="32"/>
          <w:szCs w:val="22"/>
        </w:rPr>
      </w:pPr>
      <w:r>
        <w:rPr>
          <w:rFonts w:hint="eastAsia" w:ascii="仿宋_GB2312" w:hAnsi="仿宋_GB2312" w:eastAsia="仿宋_GB2312"/>
          <w:color w:val="000000"/>
          <w:sz w:val="32"/>
          <w:szCs w:val="22"/>
        </w:rPr>
        <w:t>26.社会保障和就业支出（208类）行政事业单位养老支出（05款）事业单位离退休（02项）：指反映事业单位开支的离退休经费。</w:t>
      </w:r>
    </w:p>
    <w:p>
      <w:pPr>
        <w:spacing w:line="576" w:lineRule="exact"/>
        <w:ind w:firstLine="640"/>
        <w:rPr>
          <w:rFonts w:ascii="仿宋_GB2312" w:hAnsi="仿宋_GB2312" w:eastAsia="仿宋_GB2312"/>
          <w:color w:val="000000"/>
          <w:sz w:val="32"/>
          <w:szCs w:val="22"/>
        </w:rPr>
      </w:pPr>
      <w:r>
        <w:rPr>
          <w:rFonts w:hint="eastAsia" w:ascii="仿宋_GB2312" w:hAnsi="仿宋_GB2312" w:eastAsia="仿宋_GB2312"/>
          <w:color w:val="000000"/>
          <w:sz w:val="32"/>
          <w:szCs w:val="22"/>
        </w:rPr>
        <w:t>27.社会保障和就业支出（208类）行政事业单位养老支出（05款）机关事业单位基本养老保险缴费支出（05项）：指反映机关事业单位实施养老保险制度由单位缴纳的基本养老保险费支出。</w:t>
      </w:r>
    </w:p>
    <w:p>
      <w:pPr>
        <w:spacing w:line="576" w:lineRule="exact"/>
        <w:ind w:firstLine="640"/>
        <w:rPr>
          <w:rFonts w:ascii="仿宋_GB2312" w:hAnsi="仿宋_GB2312" w:eastAsia="仿宋_GB2312"/>
          <w:color w:val="000000"/>
          <w:sz w:val="32"/>
          <w:szCs w:val="22"/>
        </w:rPr>
      </w:pPr>
      <w:r>
        <w:rPr>
          <w:rFonts w:hint="eastAsia" w:ascii="仿宋_GB2312" w:hAnsi="仿宋_GB2312" w:eastAsia="仿宋_GB2312"/>
          <w:color w:val="000000"/>
          <w:sz w:val="32"/>
          <w:szCs w:val="22"/>
        </w:rPr>
        <w:t>28. 社会保障和就业支出（208类）就业补助（07款）其他就业补助支出（99项）：指反映指反映除上述项目以外按规定确定的其他用于促进就业的补助支出。</w:t>
      </w:r>
    </w:p>
    <w:p>
      <w:pPr>
        <w:spacing w:line="576" w:lineRule="exact"/>
        <w:ind w:firstLine="640"/>
        <w:rPr>
          <w:rFonts w:ascii="仿宋_GB2312" w:hAnsi="仿宋_GB2312" w:eastAsia="仿宋_GB2312"/>
          <w:color w:val="000000"/>
          <w:sz w:val="32"/>
          <w:szCs w:val="22"/>
        </w:rPr>
      </w:pPr>
      <w:r>
        <w:rPr>
          <w:rFonts w:hint="eastAsia" w:ascii="仿宋_GB2312" w:hAnsi="仿宋_GB2312" w:eastAsia="仿宋_GB2312"/>
          <w:color w:val="000000"/>
          <w:sz w:val="32"/>
          <w:szCs w:val="22"/>
        </w:rPr>
        <w:t>29.社会保障和就业支出（208类）抚恤（08款）死亡抚恤（01项）：指反映按规定用于烈士和牺牲、病故人员家属的一次性和定期抚恤金、丧葬补助费以及烈士褒扬金。</w:t>
      </w:r>
    </w:p>
    <w:p>
      <w:pPr>
        <w:spacing w:line="576" w:lineRule="exact"/>
        <w:ind w:firstLine="640"/>
        <w:rPr>
          <w:rFonts w:ascii="仿宋_GB2312" w:hAnsi="仿宋_GB2312" w:eastAsia="仿宋_GB2312"/>
          <w:color w:val="000000"/>
          <w:sz w:val="32"/>
          <w:szCs w:val="22"/>
        </w:rPr>
      </w:pPr>
      <w:r>
        <w:rPr>
          <w:rFonts w:hint="eastAsia" w:ascii="仿宋_GB2312" w:hAnsi="仿宋_GB2312" w:eastAsia="仿宋_GB2312"/>
          <w:color w:val="000000"/>
          <w:sz w:val="32"/>
          <w:szCs w:val="22"/>
        </w:rPr>
        <w:t>30.社会保障和就业支出（208类）残疾人事业（11款）其他残疾人事业支出（99项）：指反映除上述项目以外其他用于残疾人事业方面的支出。</w:t>
      </w:r>
    </w:p>
    <w:p>
      <w:pPr>
        <w:spacing w:line="576" w:lineRule="exact"/>
        <w:ind w:firstLine="640"/>
        <w:rPr>
          <w:rFonts w:ascii="仿宋_GB2312" w:hAnsi="仿宋_GB2312" w:eastAsia="仿宋_GB2312"/>
          <w:color w:val="000000"/>
          <w:sz w:val="32"/>
          <w:szCs w:val="22"/>
        </w:rPr>
      </w:pPr>
      <w:r>
        <w:rPr>
          <w:rFonts w:hint="eastAsia" w:ascii="仿宋_GB2312" w:hAnsi="仿宋_GB2312" w:eastAsia="仿宋_GB2312"/>
          <w:color w:val="000000"/>
          <w:sz w:val="32"/>
          <w:szCs w:val="22"/>
        </w:rPr>
        <w:t>31.社会保障和就业支出（208类）特困人员救助供养（21款）农村特困人员救助供养支出（02项）：指反映农村特困人员救助供养支出。</w:t>
      </w:r>
    </w:p>
    <w:p>
      <w:pPr>
        <w:spacing w:line="576" w:lineRule="exact"/>
        <w:ind w:firstLine="640"/>
        <w:rPr>
          <w:rFonts w:ascii="仿宋_GB2312" w:hAnsi="仿宋_GB2312" w:eastAsia="仿宋_GB2312"/>
          <w:color w:val="000000"/>
          <w:sz w:val="32"/>
          <w:szCs w:val="22"/>
        </w:rPr>
      </w:pPr>
      <w:r>
        <w:rPr>
          <w:rFonts w:hint="eastAsia" w:ascii="仿宋_GB2312" w:hAnsi="仿宋_GB2312" w:eastAsia="仿宋_GB2312"/>
          <w:color w:val="000000"/>
          <w:sz w:val="32"/>
          <w:szCs w:val="22"/>
        </w:rPr>
        <w:t>32.卫生健康支出（210类）公共卫生（04款）重大公共卫生服务（09项）：指反映重大疾病、重大传染病预防控制等重大公共卫生服务项目支出。</w:t>
      </w:r>
    </w:p>
    <w:p>
      <w:pPr>
        <w:spacing w:line="576" w:lineRule="exact"/>
        <w:ind w:firstLine="640"/>
        <w:rPr>
          <w:rFonts w:ascii="仿宋_GB2312" w:hAnsi="仿宋_GB2312" w:eastAsia="仿宋_GB2312"/>
          <w:color w:val="000000"/>
          <w:sz w:val="32"/>
          <w:szCs w:val="22"/>
        </w:rPr>
      </w:pPr>
      <w:r>
        <w:rPr>
          <w:rFonts w:hint="eastAsia" w:ascii="仿宋_GB2312" w:hAnsi="仿宋_GB2312" w:eastAsia="仿宋_GB2312"/>
          <w:color w:val="000000"/>
          <w:sz w:val="32"/>
          <w:szCs w:val="22"/>
        </w:rPr>
        <w:t>33.生健康支出（210类）公共卫生（04款）其他公共卫生支出（99项）：反映除上述项目以外其他公共卫生支出事务方面支出。</w:t>
      </w:r>
    </w:p>
    <w:p>
      <w:pPr>
        <w:spacing w:line="576" w:lineRule="exact"/>
        <w:ind w:firstLine="640"/>
        <w:rPr>
          <w:rFonts w:ascii="仿宋_GB2312" w:hAnsi="仿宋_GB2312" w:eastAsia="仿宋_GB2312"/>
          <w:color w:val="000000"/>
          <w:sz w:val="32"/>
          <w:szCs w:val="22"/>
        </w:rPr>
      </w:pPr>
      <w:r>
        <w:rPr>
          <w:rFonts w:hint="eastAsia" w:ascii="仿宋_GB2312" w:hAnsi="仿宋_GB2312" w:eastAsia="仿宋_GB2312"/>
          <w:color w:val="000000"/>
          <w:sz w:val="32"/>
          <w:szCs w:val="22"/>
        </w:rPr>
        <w:t>34.卫生健康支出（210类）行政事业单位医疗（11款）行政单位医疗（01项）：指反映财政部门安排的行政单位（包括实行公务员管理的事业单位，下同）基本医疗保险缴费经费，未参加医疗保险的行政单位的公费医疗经费，按国家规定享受离退休人员、红军老战士待遇人员的医疗经费。</w:t>
      </w:r>
    </w:p>
    <w:p>
      <w:pPr>
        <w:spacing w:line="576" w:lineRule="exact"/>
        <w:ind w:firstLine="640"/>
        <w:rPr>
          <w:rFonts w:ascii="仿宋_GB2312" w:hAnsi="仿宋_GB2312" w:eastAsia="仿宋_GB2312"/>
          <w:color w:val="000000"/>
          <w:sz w:val="32"/>
          <w:szCs w:val="22"/>
        </w:rPr>
      </w:pPr>
      <w:r>
        <w:rPr>
          <w:rFonts w:hint="eastAsia" w:ascii="仿宋_GB2312" w:hAnsi="仿宋_GB2312" w:eastAsia="仿宋_GB2312"/>
          <w:color w:val="000000"/>
          <w:sz w:val="32"/>
          <w:szCs w:val="22"/>
        </w:rPr>
        <w:t>35.卫生健康支出（210类）行政事业单位医疗（11款）事业单位医疗（02项）:指反映财政部门安排的事业单位基本医疗保险缴费经费，未参加医疗保险的事业单位的公费医疗经费，按国家规定享受离休人员待遇的医疗经费。</w:t>
      </w:r>
    </w:p>
    <w:p>
      <w:pPr>
        <w:spacing w:line="576" w:lineRule="exact"/>
        <w:ind w:firstLine="640"/>
        <w:rPr>
          <w:rFonts w:ascii="仿宋_GB2312" w:hAnsi="仿宋_GB2312" w:eastAsia="仿宋_GB2312"/>
          <w:color w:val="000000"/>
          <w:sz w:val="32"/>
          <w:szCs w:val="22"/>
        </w:rPr>
      </w:pPr>
      <w:r>
        <w:rPr>
          <w:rFonts w:hint="eastAsia" w:ascii="仿宋_GB2312" w:hAnsi="仿宋_GB2312" w:eastAsia="仿宋_GB2312"/>
          <w:color w:val="000000"/>
          <w:sz w:val="32"/>
          <w:szCs w:val="22"/>
        </w:rPr>
        <w:t>36.卫生健康支出（210类）行政事业单位医疗（11款）公务员医疗补助（03项）：指反映财政部门安排的公务员医疗补助经费。</w:t>
      </w:r>
    </w:p>
    <w:p>
      <w:pPr>
        <w:spacing w:line="576" w:lineRule="exact"/>
        <w:ind w:firstLine="640"/>
        <w:rPr>
          <w:rFonts w:ascii="仿宋_GB2312" w:hAnsi="仿宋_GB2312" w:eastAsia="仿宋_GB2312"/>
          <w:color w:val="000000"/>
          <w:sz w:val="32"/>
          <w:szCs w:val="22"/>
        </w:rPr>
      </w:pPr>
      <w:r>
        <w:rPr>
          <w:rFonts w:hint="eastAsia" w:ascii="仿宋_GB2312" w:hAnsi="仿宋_GB2312" w:eastAsia="仿宋_GB2312"/>
          <w:color w:val="000000"/>
          <w:sz w:val="32"/>
          <w:szCs w:val="22"/>
        </w:rPr>
        <w:t>37.卫生健康支出（210类）行政事业单位医疗（11款）其他行政事业单位医疗支出（99项）：指反映除上述项目以外的其他行政事业单位医疗支出的项目。</w:t>
      </w:r>
    </w:p>
    <w:p>
      <w:pPr>
        <w:spacing w:line="576" w:lineRule="exact"/>
        <w:ind w:firstLine="640"/>
        <w:rPr>
          <w:rFonts w:ascii="仿宋_GB2312" w:hAnsi="仿宋_GB2312" w:eastAsia="仿宋_GB2312"/>
          <w:color w:val="000000"/>
          <w:sz w:val="32"/>
          <w:szCs w:val="22"/>
        </w:rPr>
      </w:pPr>
      <w:r>
        <w:rPr>
          <w:rFonts w:hint="eastAsia" w:ascii="仿宋_GB2312" w:hAnsi="仿宋_GB2312" w:eastAsia="仿宋_GB2312"/>
          <w:color w:val="000000"/>
          <w:sz w:val="32"/>
          <w:szCs w:val="22"/>
        </w:rPr>
        <w:t>38．城市社区支出（212类）城乡社区环境卫生（05类）城乡社区环境卫生（01项）：指反映城乡社区道路清扫、垃圾清运与处理、公厕建设与维护、园林绿化等方面的支出。</w:t>
      </w:r>
    </w:p>
    <w:p>
      <w:pPr>
        <w:spacing w:line="576" w:lineRule="exact"/>
        <w:ind w:firstLine="640"/>
        <w:rPr>
          <w:rFonts w:ascii="仿宋_GB2312" w:hAnsi="仿宋_GB2312" w:eastAsia="仿宋_GB2312"/>
          <w:color w:val="000000"/>
          <w:sz w:val="32"/>
          <w:szCs w:val="22"/>
        </w:rPr>
      </w:pPr>
      <w:r>
        <w:rPr>
          <w:rFonts w:hint="eastAsia" w:ascii="仿宋_GB2312" w:hAnsi="仿宋_GB2312" w:eastAsia="仿宋_GB2312"/>
          <w:color w:val="000000"/>
          <w:sz w:val="32"/>
          <w:szCs w:val="22"/>
        </w:rPr>
        <w:t>39.城市社区支出（212类）国有土地使用权出让收入安排的支出（08类）征地和拆迁补偿支出（01项</w:t>
      </w:r>
      <w:r>
        <w:rPr>
          <w:rFonts w:ascii="仿宋_GB2312" w:hAnsi="仿宋_GB2312" w:eastAsia="仿宋_GB2312"/>
          <w:color w:val="000000"/>
          <w:sz w:val="32"/>
          <w:szCs w:val="22"/>
        </w:rPr>
        <w:t>）</w:t>
      </w:r>
      <w:r>
        <w:rPr>
          <w:rFonts w:hint="eastAsia" w:ascii="仿宋_GB2312" w:hAnsi="仿宋_GB2312" w:eastAsia="仿宋_GB2312"/>
          <w:color w:val="000000"/>
          <w:sz w:val="32"/>
          <w:szCs w:val="22"/>
        </w:rPr>
        <w:t>:反映指地方政府在征地和收购土地过程中支付的土地补偿费、安置补助费、地上附着和青苗补偿、搬迁补偿费支出。</w:t>
      </w:r>
    </w:p>
    <w:p>
      <w:pPr>
        <w:spacing w:line="576" w:lineRule="exact"/>
        <w:ind w:firstLine="640"/>
        <w:rPr>
          <w:rFonts w:ascii="仿宋_GB2312" w:hAnsi="仿宋_GB2312" w:eastAsia="仿宋_GB2312"/>
          <w:color w:val="000000"/>
          <w:sz w:val="32"/>
          <w:szCs w:val="22"/>
        </w:rPr>
      </w:pPr>
      <w:r>
        <w:rPr>
          <w:rFonts w:hint="eastAsia" w:ascii="仿宋_GB2312" w:hAnsi="仿宋_GB2312" w:eastAsia="仿宋_GB2312"/>
          <w:color w:val="000000"/>
          <w:sz w:val="32"/>
          <w:szCs w:val="22"/>
        </w:rPr>
        <w:t>40.城市社区支出（212类）国有土地使用权出让收入安排的支出（08类）农村基础设施建设支出：反映土地出让收入用于农村饮水、环境、卫生、教育以及文化等基础设施建设支出。</w:t>
      </w:r>
    </w:p>
    <w:p>
      <w:pPr>
        <w:spacing w:line="576" w:lineRule="exact"/>
        <w:ind w:firstLine="640"/>
        <w:rPr>
          <w:rFonts w:ascii="仿宋_GB2312" w:eastAsia="仿宋_GB2312"/>
          <w:color w:val="000000"/>
          <w:sz w:val="32"/>
          <w:szCs w:val="32"/>
        </w:rPr>
      </w:pPr>
      <w:r>
        <w:rPr>
          <w:rFonts w:hint="eastAsia" w:ascii="仿宋_GB2312" w:hAnsi="仿宋_GB2312" w:eastAsia="仿宋_GB2312"/>
          <w:color w:val="000000"/>
          <w:sz w:val="32"/>
          <w:szCs w:val="22"/>
        </w:rPr>
        <w:t xml:space="preserve"> 41.</w:t>
      </w:r>
      <w:r>
        <w:rPr>
          <w:rFonts w:hint="eastAsia" w:ascii="仿宋_GB2312" w:eastAsia="仿宋_GB2312"/>
          <w:color w:val="000000"/>
          <w:sz w:val="32"/>
          <w:szCs w:val="32"/>
        </w:rPr>
        <w:t>农林水支出（213类）农业农村（01款）事业运行（04项）：指反映用于农业事业单位的基本支出，事业单位设施、系统运行与资产维护等方面的支出。</w:t>
      </w:r>
    </w:p>
    <w:p>
      <w:pPr>
        <w:spacing w:line="576" w:lineRule="exact"/>
        <w:ind w:firstLine="640"/>
        <w:rPr>
          <w:rFonts w:ascii="仿宋_GB2312" w:hAnsi="仿宋_GB2312" w:eastAsia="仿宋_GB2312"/>
          <w:color w:val="000000"/>
          <w:sz w:val="32"/>
          <w:szCs w:val="22"/>
        </w:rPr>
      </w:pPr>
      <w:r>
        <w:rPr>
          <w:rFonts w:hint="eastAsia" w:ascii="仿宋_GB2312" w:hAnsi="仿宋_GB2312" w:eastAsia="仿宋_GB2312"/>
          <w:color w:val="000000"/>
          <w:sz w:val="32"/>
          <w:szCs w:val="22"/>
        </w:rPr>
        <w:t>42.农林水支出（213类）农业农村（01款）其他农业和草原支出（99项）：指反映除上述项目以外用于其他农业农村方面的支出。</w:t>
      </w:r>
    </w:p>
    <w:p>
      <w:pPr>
        <w:spacing w:line="576" w:lineRule="exact"/>
        <w:ind w:firstLine="640"/>
        <w:rPr>
          <w:rFonts w:ascii="仿宋_GB2312" w:hAnsi="仿宋_GB2312" w:eastAsia="仿宋_GB2312"/>
          <w:color w:val="000000"/>
          <w:sz w:val="32"/>
          <w:szCs w:val="22"/>
        </w:rPr>
      </w:pPr>
      <w:r>
        <w:rPr>
          <w:rFonts w:hint="eastAsia" w:ascii="仿宋_GB2312" w:hAnsi="仿宋_GB2312" w:eastAsia="仿宋_GB2312"/>
          <w:color w:val="000000"/>
          <w:sz w:val="32"/>
          <w:szCs w:val="22"/>
        </w:rPr>
        <w:t>43.农林水支出（213类）林业和草原（02款）其他林业和草原（99项）：指反映除上述项目以外的其他用于林业和草原方面的支出。</w:t>
      </w:r>
    </w:p>
    <w:p>
      <w:pPr>
        <w:spacing w:line="576" w:lineRule="exact"/>
        <w:ind w:firstLine="640"/>
        <w:rPr>
          <w:rFonts w:ascii="仿宋_GB2312" w:hAnsi="仿宋_GB2312" w:eastAsia="仿宋_GB2312"/>
          <w:color w:val="000000"/>
          <w:sz w:val="32"/>
          <w:szCs w:val="22"/>
        </w:rPr>
      </w:pPr>
      <w:r>
        <w:rPr>
          <w:rFonts w:hint="eastAsia" w:ascii="仿宋_GB2312" w:hAnsi="仿宋_GB2312" w:eastAsia="仿宋_GB2312"/>
          <w:color w:val="000000"/>
          <w:sz w:val="32"/>
          <w:szCs w:val="22"/>
        </w:rPr>
        <w:t>44.农林水支出（213类）水利（03款）防汛（14项）：</w:t>
      </w:r>
      <w:r>
        <w:rPr>
          <w:rFonts w:hint="eastAsia" w:ascii="仿宋_GB2312" w:eastAsia="仿宋_GB2312"/>
          <w:color w:val="000000"/>
          <w:sz w:val="32"/>
          <w:szCs w:val="32"/>
        </w:rPr>
        <w:t>反映防汛业务支出。有关事项包括防汛物资购置管护，防汛通信设施设备、网络系统、车船设备运行维护，防汛值班、水情报汛、防汛指挥系统运行维护、水毁恢复以及防汛组织（如防汛预案编制、检查、演习、宣传、会议等），防汛调用民工及劳动保护，水利设施灾后重建，退田还湖，蓄滞洪区补偿、水情、雨情、决策支持，防汛视频会商，应急度汛，山洪灾后防治等。</w:t>
      </w:r>
    </w:p>
    <w:p>
      <w:pPr>
        <w:spacing w:line="576" w:lineRule="exact"/>
        <w:ind w:firstLine="640"/>
        <w:rPr>
          <w:rFonts w:ascii="仿宋_GB2312" w:hAnsi="仿宋_GB2312" w:eastAsia="仿宋_GB2312"/>
          <w:color w:val="000000"/>
          <w:sz w:val="32"/>
          <w:szCs w:val="22"/>
        </w:rPr>
      </w:pPr>
      <w:r>
        <w:rPr>
          <w:rFonts w:hint="eastAsia" w:ascii="仿宋_GB2312" w:hAnsi="仿宋_GB2312" w:eastAsia="仿宋_GB2312"/>
          <w:color w:val="000000"/>
          <w:sz w:val="32"/>
          <w:szCs w:val="22"/>
        </w:rPr>
        <w:t>45.农林水支出（213类）农村综合改革（07款）对村集体经济组织的补助（06项）：指反映农村税费改革后对村集体经济组织的补助支出。</w:t>
      </w:r>
    </w:p>
    <w:p>
      <w:pPr>
        <w:pStyle w:val="6"/>
        <w:ind w:firstLine="640"/>
        <w:rPr>
          <w:rFonts w:ascii="仿宋_GB2312" w:hAnsi="仿宋_GB2312" w:eastAsia="仿宋_GB2312"/>
          <w:color w:val="000000"/>
          <w:sz w:val="32"/>
        </w:rPr>
      </w:pPr>
      <w:r>
        <w:rPr>
          <w:rFonts w:hint="eastAsia" w:ascii="仿宋_GB2312" w:hAnsi="仿宋_GB2312" w:eastAsia="仿宋_GB2312"/>
          <w:color w:val="000000"/>
          <w:sz w:val="32"/>
        </w:rPr>
        <w:t>47.农林水支出（213类）其他农林水支出（99款）其他农林水支出（99项）：反映除上述项目以外其他农林水支出事务方面支出。</w:t>
      </w:r>
    </w:p>
    <w:p>
      <w:pPr>
        <w:pStyle w:val="6"/>
        <w:ind w:firstLine="640"/>
        <w:rPr>
          <w:rFonts w:ascii="仿宋_GB2312" w:hAnsi="仿宋_GB2312" w:eastAsia="仿宋_GB2312"/>
          <w:color w:val="000000"/>
          <w:sz w:val="32"/>
        </w:rPr>
      </w:pPr>
      <w:r>
        <w:rPr>
          <w:rFonts w:hint="eastAsia" w:ascii="仿宋_GB2312" w:hAnsi="仿宋_GB2312" w:eastAsia="仿宋_GB2312"/>
          <w:color w:val="000000"/>
          <w:sz w:val="32"/>
        </w:rPr>
        <w:t>48.交通运输支出（214类）公路水路运输（01款）公路和运输安全（10项）：指反映公路和运输安全支出。</w:t>
      </w:r>
    </w:p>
    <w:p>
      <w:pPr>
        <w:pStyle w:val="6"/>
        <w:ind w:firstLine="640"/>
        <w:rPr>
          <w:rFonts w:ascii="仿宋_GB2312" w:hAnsi="仿宋_GB2312" w:eastAsia="仿宋_GB2312"/>
          <w:color w:val="000000"/>
          <w:sz w:val="32"/>
        </w:rPr>
      </w:pPr>
      <w:r>
        <w:rPr>
          <w:rFonts w:hint="eastAsia" w:ascii="仿宋_GB2312" w:hAnsi="仿宋_GB2312" w:eastAsia="仿宋_GB2312"/>
          <w:color w:val="000000"/>
          <w:sz w:val="32"/>
        </w:rPr>
        <w:t>49.房保障支出（221类）住房改革支出（02款）住房公积金（01项）：指反映行政事业单位按人力资源和社会保障部、财政部规定的基本工资和津贴补贴以及规定比例为职工缴纳的住房公积金。</w:t>
      </w:r>
    </w:p>
    <w:p>
      <w:pPr>
        <w:pStyle w:val="6"/>
        <w:ind w:firstLine="640"/>
        <w:rPr>
          <w:rFonts w:ascii="仿宋_GB2312" w:hAnsi="仿宋_GB2312" w:eastAsia="仿宋_GB2312"/>
          <w:color w:val="000000"/>
          <w:sz w:val="32"/>
        </w:rPr>
      </w:pPr>
      <w:r>
        <w:rPr>
          <w:rFonts w:hint="eastAsia" w:ascii="仿宋_GB2312" w:hAnsi="仿宋_GB2312" w:eastAsia="仿宋_GB2312"/>
          <w:color w:val="000000"/>
          <w:sz w:val="32"/>
        </w:rPr>
        <w:t>50.灾害防治及应急管理支出（224类）应急管理事务（01款）安全监控（06项）：指反映安全生产综合监督管理和工贸行业安全生产监督管理等方面的支出。</w:t>
      </w:r>
    </w:p>
    <w:p>
      <w:pPr>
        <w:pStyle w:val="6"/>
        <w:ind w:firstLine="640"/>
        <w:rPr>
          <w:rFonts w:ascii="仿宋_GB2312" w:hAnsi="仿宋_GB2312" w:eastAsia="仿宋_GB2312"/>
          <w:color w:val="000000"/>
          <w:sz w:val="32"/>
        </w:rPr>
      </w:pPr>
      <w:r>
        <w:rPr>
          <w:rFonts w:hint="eastAsia" w:ascii="仿宋_GB2312" w:hAnsi="仿宋_GB2312" w:eastAsia="仿宋_GB2312"/>
          <w:color w:val="000000"/>
          <w:sz w:val="32"/>
        </w:rPr>
        <w:t>51.灾害防治及应急管理支出（224类）自然灾害防治（06款）森林草原防灾减灾（02项）：指反映防灾森林草原火灾、自然水旱灾害等发生的支出。</w:t>
      </w:r>
    </w:p>
    <w:p>
      <w:pPr>
        <w:pStyle w:val="6"/>
        <w:ind w:firstLine="640"/>
        <w:rPr>
          <w:rFonts w:ascii="仿宋_GB2312" w:hAnsi="仿宋_GB2312" w:eastAsia="仿宋_GB2312"/>
          <w:color w:val="000000"/>
          <w:sz w:val="32"/>
        </w:rPr>
      </w:pPr>
      <w:r>
        <w:rPr>
          <w:rFonts w:hint="eastAsia" w:ascii="仿宋_GB2312" w:hAnsi="仿宋_GB2312" w:eastAsia="仿宋_GB2312"/>
          <w:color w:val="000000"/>
          <w:sz w:val="32"/>
        </w:rPr>
        <w:t>51.其他支出（229类）其他支出（99款）其他支出（99项）：指反映除上述项目以外其他不能划分到具体功能科目中的支出项目。</w:t>
      </w:r>
    </w:p>
    <w:p>
      <w:pPr>
        <w:spacing w:line="576" w:lineRule="exact"/>
        <w:ind w:firstLine="640"/>
        <w:rPr>
          <w:rFonts w:ascii="仿宋_GB2312" w:hAnsi="仿宋_GB2312" w:eastAsia="仿宋_GB2312"/>
          <w:color w:val="000000"/>
          <w:sz w:val="32"/>
        </w:rPr>
      </w:pPr>
      <w:r>
        <w:rPr>
          <w:rFonts w:hint="eastAsia" w:ascii="仿宋_GB2312" w:hAnsi="仿宋_GB2312" w:eastAsia="仿宋_GB2312"/>
          <w:color w:val="000000"/>
          <w:sz w:val="32"/>
        </w:rPr>
        <w:t>52.基本支出：指为保障机构正常运转、完成日常工作任务而发生的人员支出和公用支出。</w:t>
      </w:r>
    </w:p>
    <w:p>
      <w:pPr>
        <w:spacing w:line="576" w:lineRule="exact"/>
        <w:ind w:firstLine="640"/>
        <w:rPr>
          <w:rFonts w:ascii="仿宋_GB2312" w:hAnsi="仿宋_GB2312" w:eastAsia="仿宋_GB2312"/>
          <w:color w:val="000000"/>
          <w:sz w:val="32"/>
        </w:rPr>
      </w:pPr>
      <w:r>
        <w:rPr>
          <w:rFonts w:hint="eastAsia" w:ascii="仿宋_GB2312" w:hAnsi="仿宋_GB2312" w:eastAsia="仿宋_GB2312"/>
          <w:color w:val="000000"/>
          <w:sz w:val="32"/>
        </w:rPr>
        <w:t xml:space="preserve">53.项目支出：指在基本支出之外为完成特定行政任务和事业发展目标所发生的支出。 </w:t>
      </w:r>
    </w:p>
    <w:p>
      <w:pPr>
        <w:spacing w:line="576" w:lineRule="exact"/>
        <w:ind w:firstLine="640"/>
        <w:rPr>
          <w:rFonts w:ascii="仿宋_GB2312" w:hAnsi="仿宋_GB2312" w:eastAsia="仿宋_GB2312"/>
          <w:color w:val="000000"/>
          <w:sz w:val="32"/>
        </w:rPr>
      </w:pPr>
      <w:r>
        <w:rPr>
          <w:rFonts w:hint="eastAsia" w:ascii="仿宋_GB2312" w:hAnsi="仿宋_GB2312" w:eastAsia="仿宋_GB2312"/>
          <w:color w:val="000000"/>
          <w:sz w:val="32"/>
        </w:rPr>
        <w:t>54.经营支出：指事业单位在专业业务活动及其辅助活动之外开展非独立核算经营活动发生的支出。</w:t>
      </w:r>
    </w:p>
    <w:p>
      <w:pPr>
        <w:spacing w:line="576" w:lineRule="exact"/>
        <w:ind w:firstLine="640"/>
        <w:rPr>
          <w:rFonts w:ascii="仿宋_GB2312" w:hAnsi="仿宋_GB2312" w:eastAsia="仿宋_GB2312"/>
          <w:color w:val="000000"/>
          <w:sz w:val="32"/>
        </w:rPr>
      </w:pPr>
      <w:r>
        <w:rPr>
          <w:rFonts w:hint="eastAsia" w:ascii="仿宋_GB2312" w:hAnsi="仿宋_GB2312" w:eastAsia="仿宋_GB2312"/>
          <w:color w:val="000000"/>
          <w:sz w:val="32"/>
        </w:rPr>
        <w:t>55.</w:t>
      </w:r>
      <w:r>
        <w:rPr>
          <w:rFonts w:ascii="仿宋_GB2312" w:hAnsi="仿宋_GB2312" w:eastAsia="仿宋_GB2312"/>
          <w:color w:val="000000"/>
          <w:sz w:val="32"/>
        </w:rPr>
        <w:t>“</w:t>
      </w:r>
      <w:r>
        <w:rPr>
          <w:rFonts w:hint="eastAsia" w:ascii="仿宋_GB2312" w:hAnsi="仿宋_GB2312" w:eastAsia="仿宋_GB2312"/>
          <w:color w:val="000000"/>
          <w:sz w:val="32"/>
        </w:rPr>
        <w:t>三公</w:t>
      </w:r>
      <w:r>
        <w:rPr>
          <w:rFonts w:ascii="仿宋_GB2312" w:hAnsi="仿宋_GB2312" w:eastAsia="仿宋_GB2312"/>
          <w:color w:val="000000"/>
          <w:sz w:val="32"/>
        </w:rPr>
        <w:t>”</w:t>
      </w:r>
      <w:r>
        <w:rPr>
          <w:rFonts w:hint="eastAsia" w:ascii="仿宋_GB2312" w:hAnsi="仿宋_GB2312" w:eastAsia="仿宋_GB2312"/>
          <w:color w:val="000000"/>
          <w:sz w:val="32"/>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560" w:lineRule="exact"/>
        <w:ind w:firstLine="640"/>
        <w:rPr>
          <w:rFonts w:ascii="仿宋_GB2312" w:hAnsi="仿宋_GB2312" w:eastAsia="仿宋_GB2312"/>
          <w:sz w:val="32"/>
        </w:rPr>
      </w:pPr>
      <w:r>
        <w:rPr>
          <w:rFonts w:hint="eastAsia" w:ascii="仿宋_GB2312" w:hAnsi="仿宋_GB2312" w:eastAsia="仿宋_GB2312"/>
          <w:color w:val="000000"/>
          <w:sz w:val="32"/>
        </w:rPr>
        <w:t>56.机关运行经费：</w:t>
      </w:r>
      <w:r>
        <w:rPr>
          <w:rFonts w:hint="eastAsia" w:ascii="仿宋_GB2312" w:hAnsi="仿宋_GB2312" w:eastAsia="仿宋_GB2312"/>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Fonts w:ascii="黑体" w:hAnsi="黑体" w:eastAsia="黑体"/>
          <w:sz w:val="44"/>
          <w:szCs w:val="44"/>
        </w:rPr>
      </w:pPr>
      <w:bookmarkStart w:id="58" w:name="_Toc15396614"/>
      <w:bookmarkStart w:id="59" w:name="_Toc15377226"/>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Style w:val="23"/>
          <w:rFonts w:ascii="黑体" w:hAnsi="黑体" w:eastAsia="黑体"/>
          <w:b w:val="0"/>
        </w:rPr>
      </w:pPr>
      <w:r>
        <w:rPr>
          <w:rFonts w:hint="eastAsia" w:ascii="黑体" w:hAnsi="黑体" w:eastAsia="黑体"/>
          <w:sz w:val="44"/>
          <w:szCs w:val="44"/>
        </w:rPr>
        <w:t>第</w:t>
      </w:r>
      <w:r>
        <w:rPr>
          <w:rStyle w:val="23"/>
          <w:rFonts w:hint="eastAsia" w:ascii="黑体" w:hAnsi="黑体" w:eastAsia="黑体"/>
          <w:b w:val="0"/>
        </w:rPr>
        <w:t>四部分 附件</w:t>
      </w:r>
      <w:bookmarkEnd w:id="58"/>
    </w:p>
    <w:p>
      <w:pPr>
        <w:widowControl/>
        <w:spacing w:line="560" w:lineRule="exact"/>
        <w:contextualSpacing/>
        <w:rPr>
          <w:rFonts w:ascii="宋体" w:hAnsi="宋体"/>
          <w:b/>
          <w:sz w:val="32"/>
          <w:szCs w:val="32"/>
          <w:shd w:val="clear" w:color="auto" w:fill="FFFFFF"/>
        </w:rPr>
      </w:pPr>
      <w:r>
        <w:rPr>
          <w:rFonts w:hint="eastAsia" w:ascii="宋体" w:hAnsi="宋体"/>
          <w:b/>
          <w:sz w:val="32"/>
          <w:szCs w:val="32"/>
          <w:shd w:val="clear" w:color="auto" w:fill="FFFFFF"/>
        </w:rPr>
        <w:t>附件1</w:t>
      </w:r>
    </w:p>
    <w:p>
      <w:pPr>
        <w:widowControl/>
        <w:spacing w:line="560" w:lineRule="exact"/>
        <w:contextualSpacing/>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2023年部门整体绩效评价报告（红果彝族乡）</w:t>
      </w:r>
    </w:p>
    <w:p>
      <w:pPr>
        <w:pStyle w:val="16"/>
        <w:ind w:left="420"/>
        <w:rPr>
          <w:lang w:val="zh-CN"/>
        </w:rPr>
      </w:pPr>
    </w:p>
    <w:p>
      <w:pPr>
        <w:widowControl/>
        <w:numPr>
          <w:ilvl w:val="0"/>
          <w:numId w:val="6"/>
        </w:numPr>
        <w:adjustRightInd w:val="0"/>
        <w:snapToGrid w:val="0"/>
        <w:spacing w:line="580" w:lineRule="exact"/>
        <w:ind w:firstLine="760" w:firstLineChars="200"/>
        <w:contextualSpacing/>
        <w:jc w:val="left"/>
        <w:rPr>
          <w:rFonts w:ascii="方正黑体_GBK" w:hAnsi="方正黑体_GBK" w:eastAsia="方正黑体_GBK" w:cs="方正黑体_GBK"/>
          <w:sz w:val="38"/>
          <w:szCs w:val="38"/>
        </w:rPr>
      </w:pPr>
      <w:bookmarkStart w:id="60" w:name="_Toc8430_WPSOffice_Level2"/>
      <w:bookmarkStart w:id="61" w:name="_Toc18116_WPSOffice_Level2"/>
      <w:r>
        <w:rPr>
          <w:rFonts w:hint="eastAsia" w:ascii="方正黑体_GBK" w:hAnsi="方正黑体_GBK" w:eastAsia="方正黑体_GBK" w:cs="方正黑体_GBK"/>
          <w:sz w:val="38"/>
          <w:szCs w:val="38"/>
        </w:rPr>
        <w:t>部门概况</w:t>
      </w:r>
      <w:bookmarkEnd w:id="60"/>
      <w:bookmarkEnd w:id="61"/>
    </w:p>
    <w:p>
      <w:pPr>
        <w:widowControl/>
        <w:numPr>
          <w:ilvl w:val="0"/>
          <w:numId w:val="7"/>
        </w:numPr>
        <w:adjustRightInd w:val="0"/>
        <w:snapToGrid w:val="0"/>
        <w:spacing w:line="580" w:lineRule="exact"/>
        <w:ind w:firstLine="662" w:firstLineChars="200"/>
        <w:contextualSpacing/>
        <w:jc w:val="left"/>
        <w:rPr>
          <w:rFonts w:ascii="方正楷体_GBK" w:hAnsi="方正楷体_GBK" w:eastAsia="方正楷体_GBK" w:cs="方正楷体_GBK"/>
          <w:b/>
          <w:bCs/>
          <w:color w:val="000000"/>
          <w:sz w:val="33"/>
          <w:szCs w:val="33"/>
        </w:rPr>
      </w:pPr>
      <w:r>
        <w:rPr>
          <w:rFonts w:hint="eastAsia" w:ascii="方正楷体_GBK" w:hAnsi="方正楷体_GBK" w:eastAsia="方正楷体_GBK" w:cs="方正楷体_GBK"/>
          <w:b/>
          <w:bCs/>
          <w:color w:val="000000"/>
          <w:sz w:val="33"/>
          <w:szCs w:val="33"/>
        </w:rPr>
        <w:t>机构组成</w:t>
      </w:r>
    </w:p>
    <w:p>
      <w:pPr>
        <w:widowControl/>
        <w:adjustRightInd w:val="0"/>
        <w:snapToGrid w:val="0"/>
        <w:spacing w:line="560" w:lineRule="exact"/>
        <w:ind w:firstLine="660" w:firstLineChars="200"/>
        <w:contextualSpacing/>
        <w:jc w:val="left"/>
        <w:rPr>
          <w:rFonts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红果彝族乡地处攀枝花市盐边县东南部雅砻江下游二滩库区，全乡幅员面积245.73平方公里，东和本县桐子林镇相连，南和仁和区务本乡接壤，西同本县渔门镇毗邻，北与本县原鳡鱼乡接壤，与米易县得石镇隔江相望。距盐边县城30公里，距攀枝花市区75公里。建制村调整后现辖6个村（红果村、蒿枝坪村、花椒箐村、三滩村、花地村、梁子田村）、1个社区（红星社区），31个村民小组和3个居民小组。全乡总人口12474人，2882户，有彝族、傈僳族、蒙古族等少数民族，少数民族人口5451人（其中，彝族4915人，傈僳族536人），占43.7%。乡机关设置7个党政综合办事机构（党政办、党建办、经济发展办、社会事务办、综合执法办、社会治理办、财政所）、4个直属公益一类事业单位（农业农村服务中心、便民服务中心、村镇建设中心、宣传文化旅游中心）。</w:t>
      </w:r>
    </w:p>
    <w:p>
      <w:pPr>
        <w:widowControl/>
        <w:adjustRightInd w:val="0"/>
        <w:snapToGrid w:val="0"/>
        <w:spacing w:line="580" w:lineRule="exact"/>
        <w:ind w:firstLine="662" w:firstLineChars="200"/>
        <w:contextualSpacing/>
        <w:jc w:val="left"/>
        <w:rPr>
          <w:rFonts w:ascii="方正楷体_GBK" w:hAnsi="方正楷体_GBK" w:eastAsia="方正楷体_GBK" w:cs="方正楷体_GBK"/>
          <w:b/>
          <w:bCs/>
          <w:color w:val="000000"/>
          <w:sz w:val="33"/>
          <w:szCs w:val="33"/>
        </w:rPr>
      </w:pPr>
      <w:r>
        <w:rPr>
          <w:rFonts w:hint="eastAsia" w:ascii="方正楷体_GBK" w:hAnsi="方正楷体_GBK" w:eastAsia="方正楷体_GBK" w:cs="方正楷体_GBK"/>
          <w:b/>
          <w:bCs/>
          <w:color w:val="000000"/>
          <w:sz w:val="33"/>
          <w:szCs w:val="33"/>
        </w:rPr>
        <w:t>（二）机构职能</w:t>
      </w:r>
    </w:p>
    <w:p>
      <w:pPr>
        <w:widowControl/>
        <w:adjustRightInd w:val="0"/>
        <w:snapToGrid w:val="0"/>
        <w:spacing w:line="580" w:lineRule="exact"/>
        <w:ind w:firstLine="660" w:firstLineChars="200"/>
        <w:jc w:val="left"/>
        <w:rPr>
          <w:rFonts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1.贯彻执行党和国家的各项方针、政策、法律、法规，以及上级行政机关和乡党委、乡人代会的决定、决议。2.制定并执行本行政区域内经济和社会发展规划、计划。3.负责乡村振兴、新农村建设和推进城乡一体化的组织和实施。4.负责辖区经济、文化、教育、科学、卫生健康、民政、社会保障、民族宗教、村镇建设、司法、退役军人、扶贫、信访、安全、统计等行政管理和服务工作。</w:t>
      </w:r>
    </w:p>
    <w:p>
      <w:pPr>
        <w:widowControl/>
        <w:adjustRightInd w:val="0"/>
        <w:snapToGrid w:val="0"/>
        <w:spacing w:line="580" w:lineRule="exact"/>
        <w:ind w:firstLine="660" w:firstLineChars="200"/>
        <w:contextualSpacing/>
        <w:jc w:val="left"/>
        <w:rPr>
          <w:rFonts w:ascii="方正楷体_GBK" w:hAnsi="方正楷体_GBK" w:eastAsia="方正楷体_GBK" w:cs="方正楷体_GBK"/>
          <w:color w:val="000000"/>
          <w:sz w:val="33"/>
          <w:szCs w:val="33"/>
        </w:rPr>
      </w:pPr>
      <w:r>
        <w:rPr>
          <w:rFonts w:hint="eastAsia" w:ascii="方正楷体_GBK" w:hAnsi="方正楷体_GBK" w:eastAsia="方正楷体_GBK" w:cs="方正楷体_GBK"/>
          <w:color w:val="000000"/>
          <w:sz w:val="33"/>
          <w:szCs w:val="33"/>
        </w:rPr>
        <w:t>（三）人员概况</w:t>
      </w:r>
    </w:p>
    <w:p>
      <w:pPr>
        <w:widowControl/>
        <w:adjustRightInd w:val="0"/>
        <w:snapToGrid w:val="0"/>
        <w:spacing w:line="560" w:lineRule="exact"/>
        <w:ind w:firstLine="660" w:firstLineChars="200"/>
        <w:contextualSpacing/>
        <w:jc w:val="left"/>
        <w:rPr>
          <w:rFonts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截至2022年底，红果彝族乡人员编制54人（其中：公务员编制25人，机关工勤编制3人，事业编制26人），实有50人（其中：公务员25人，机关工勤1人，事业24人）。</w:t>
      </w:r>
    </w:p>
    <w:p>
      <w:pPr>
        <w:spacing w:line="560" w:lineRule="exact"/>
        <w:ind w:firstLine="660" w:firstLineChars="200"/>
        <w:rPr>
          <w:rFonts w:ascii="方正黑体_GBK" w:hAnsi="方正黑体_GBK" w:eastAsia="方正黑体_GBK" w:cs="方正黑体_GBK"/>
          <w:sz w:val="33"/>
          <w:szCs w:val="33"/>
        </w:rPr>
      </w:pPr>
      <w:bookmarkStart w:id="62" w:name="_Toc23087_WPSOffice_Level2"/>
      <w:bookmarkStart w:id="63" w:name="_Toc24364_WPSOffice_Level2"/>
      <w:r>
        <w:rPr>
          <w:rFonts w:hint="eastAsia" w:ascii="方正黑体_GBK" w:hAnsi="方正黑体_GBK" w:eastAsia="方正黑体_GBK" w:cs="方正黑体_GBK"/>
          <w:sz w:val="33"/>
          <w:szCs w:val="33"/>
        </w:rPr>
        <w:t>二、部门财政资金基本情况</w:t>
      </w:r>
      <w:bookmarkEnd w:id="62"/>
      <w:bookmarkEnd w:id="63"/>
    </w:p>
    <w:p>
      <w:pPr>
        <w:widowControl/>
        <w:adjustRightInd w:val="0"/>
        <w:snapToGrid w:val="0"/>
        <w:spacing w:line="580" w:lineRule="exact"/>
        <w:ind w:firstLine="662" w:firstLineChars="200"/>
        <w:contextualSpacing/>
        <w:jc w:val="left"/>
        <w:rPr>
          <w:rFonts w:ascii="方正楷体_GBK" w:hAnsi="方正楷体_GBK" w:eastAsia="方正楷体_GBK" w:cs="方正楷体_GBK"/>
          <w:b/>
          <w:bCs/>
          <w:color w:val="000000"/>
          <w:sz w:val="33"/>
          <w:szCs w:val="33"/>
        </w:rPr>
      </w:pPr>
      <w:r>
        <w:rPr>
          <w:rFonts w:hint="eastAsia" w:ascii="方正楷体_GBK" w:hAnsi="方正楷体_GBK" w:eastAsia="方正楷体_GBK" w:cs="方正楷体_GBK"/>
          <w:b/>
          <w:bCs/>
          <w:color w:val="000000"/>
          <w:sz w:val="33"/>
          <w:szCs w:val="33"/>
        </w:rPr>
        <w:t>（一）财政资金收入情况</w:t>
      </w:r>
    </w:p>
    <w:p>
      <w:pPr>
        <w:widowControl/>
        <w:adjustRightInd w:val="0"/>
        <w:snapToGrid w:val="0"/>
        <w:spacing w:line="560" w:lineRule="exact"/>
        <w:ind w:firstLine="660" w:firstLineChars="200"/>
        <w:contextualSpacing/>
        <w:jc w:val="left"/>
        <w:rPr>
          <w:rFonts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2022年度财政资金收入1897.3万元，其中：一般公共预算财政拨款收入1792.46万元,占总收入的94.5%；政府性基金预算财政拨款收入69.84万元，占总收入的3.7%；其他收入（非本级财政拨款）35万元，占总收入的1.8%。</w:t>
      </w:r>
    </w:p>
    <w:p>
      <w:pPr>
        <w:widowControl/>
        <w:adjustRightInd w:val="0"/>
        <w:snapToGrid w:val="0"/>
        <w:spacing w:line="580" w:lineRule="exact"/>
        <w:ind w:firstLine="662" w:firstLineChars="200"/>
        <w:contextualSpacing/>
        <w:jc w:val="left"/>
        <w:rPr>
          <w:rFonts w:ascii="方正楷体_GBK" w:hAnsi="方正楷体_GBK" w:eastAsia="方正楷体_GBK" w:cs="方正楷体_GBK"/>
          <w:b/>
          <w:bCs/>
          <w:sz w:val="33"/>
          <w:szCs w:val="33"/>
        </w:rPr>
      </w:pPr>
      <w:r>
        <w:rPr>
          <w:rFonts w:hint="eastAsia" w:ascii="方正楷体_GBK" w:hAnsi="方正楷体_GBK" w:eastAsia="方正楷体_GBK" w:cs="方正楷体_GBK"/>
          <w:b/>
          <w:bCs/>
          <w:sz w:val="33"/>
          <w:szCs w:val="33"/>
        </w:rPr>
        <w:t>（二）财政资金支出情况。</w:t>
      </w:r>
    </w:p>
    <w:p>
      <w:pPr>
        <w:widowControl/>
        <w:adjustRightInd w:val="0"/>
        <w:snapToGrid w:val="0"/>
        <w:spacing w:line="560" w:lineRule="exact"/>
        <w:ind w:firstLine="660" w:firstLineChars="200"/>
        <w:contextualSpacing/>
        <w:jc w:val="left"/>
        <w:rPr>
          <w:rFonts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2022年度财政资金支出1892.3万元，其中：一般公共预算财政拨款支出1792.46万元,占总支出的94.7%；政府性基金预算财政拨款支出69.84万元，占总支出的3.7%；其他支出（非本级财政拨款）30万元，占总支出的1.5%。基本支出1373.53万元，占比72.59%；项目支出518.77万元，占比27.41%%。</w:t>
      </w:r>
    </w:p>
    <w:p>
      <w:pPr>
        <w:widowControl/>
        <w:adjustRightInd w:val="0"/>
        <w:snapToGrid w:val="0"/>
        <w:spacing w:line="580" w:lineRule="exact"/>
        <w:ind w:firstLine="662" w:firstLineChars="200"/>
        <w:contextualSpacing/>
        <w:jc w:val="left"/>
        <w:rPr>
          <w:rFonts w:ascii="方正楷体_GBK" w:hAnsi="方正楷体_GBK" w:eastAsia="方正楷体_GBK" w:cs="方正楷体_GBK"/>
          <w:b/>
          <w:bCs/>
          <w:color w:val="000000"/>
          <w:sz w:val="33"/>
          <w:szCs w:val="33"/>
        </w:rPr>
      </w:pPr>
      <w:r>
        <w:rPr>
          <w:rFonts w:hint="eastAsia" w:ascii="方正楷体_GBK" w:hAnsi="方正楷体_GBK" w:eastAsia="方正楷体_GBK" w:cs="方正楷体_GBK"/>
          <w:b/>
          <w:bCs/>
          <w:color w:val="000000"/>
          <w:sz w:val="33"/>
          <w:szCs w:val="33"/>
        </w:rPr>
        <w:t>（三）财政资金结转结余情况。</w:t>
      </w:r>
    </w:p>
    <w:p>
      <w:pPr>
        <w:widowControl/>
        <w:adjustRightInd w:val="0"/>
        <w:snapToGrid w:val="0"/>
        <w:spacing w:line="560" w:lineRule="exact"/>
        <w:ind w:firstLine="660" w:firstLineChars="200"/>
        <w:contextualSpacing/>
        <w:jc w:val="left"/>
        <w:rPr>
          <w:rFonts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2022年年末结转和结余资金5万元。</w:t>
      </w:r>
    </w:p>
    <w:p>
      <w:pPr>
        <w:keepNext/>
        <w:keepLines/>
        <w:spacing w:line="560" w:lineRule="exact"/>
        <w:ind w:firstLine="640"/>
        <w:rPr>
          <w:rFonts w:ascii="黑体" w:hAnsi="黑体" w:eastAsia="黑体"/>
          <w:sz w:val="32"/>
        </w:rPr>
      </w:pPr>
      <w:r>
        <w:rPr>
          <w:rFonts w:hint="eastAsia" w:ascii="黑体" w:hAnsi="黑体" w:eastAsia="黑体"/>
          <w:sz w:val="32"/>
        </w:rPr>
        <w:t>三、部门整体绩效分析（根据适用指标体系进行调整，涉及有专项资金预算项目的部门，专项资金预算项目自评报告作为本报告附件一并公开）</w:t>
      </w:r>
    </w:p>
    <w:p>
      <w:pPr>
        <w:keepNext/>
        <w:keepLines/>
        <w:spacing w:line="560" w:lineRule="exact"/>
        <w:ind w:firstLine="643"/>
        <w:rPr>
          <w:rFonts w:ascii="仿宋_GB2312" w:hAnsi="仿宋_GB2312" w:eastAsia="仿宋_GB2312"/>
          <w:sz w:val="32"/>
          <w:lang w:val="zh-CN"/>
        </w:rPr>
      </w:pPr>
      <w:r>
        <w:rPr>
          <w:rFonts w:hint="eastAsia" w:ascii="楷体_GB2312" w:hAnsi="楷体_GB2312" w:eastAsia="楷体_GB2312"/>
          <w:b/>
          <w:sz w:val="32"/>
          <w:lang w:val="zh-CN"/>
        </w:rPr>
        <w:t>（一）部门预算项目绩效分析。</w:t>
      </w:r>
    </w:p>
    <w:p>
      <w:pPr>
        <w:keepNext/>
        <w:keepLines/>
        <w:spacing w:line="560" w:lineRule="exact"/>
        <w:ind w:firstLine="640"/>
        <w:rPr>
          <w:rFonts w:ascii="仿宋_GB2312" w:hAnsi="仿宋_GB2312" w:eastAsia="仿宋_GB2312"/>
          <w:sz w:val="32"/>
        </w:rPr>
      </w:pPr>
      <w:r>
        <w:rPr>
          <w:rFonts w:hint="eastAsia" w:ascii="仿宋_GB2312" w:hAnsi="仿宋_GB2312" w:eastAsia="仿宋_GB2312"/>
          <w:sz w:val="32"/>
        </w:rPr>
        <w:t>1.人员类项目绩效分析</w:t>
      </w:r>
    </w:p>
    <w:p>
      <w:pPr>
        <w:keepNext/>
        <w:keepLines/>
        <w:spacing w:line="560" w:lineRule="exact"/>
        <w:ind w:firstLine="640"/>
        <w:rPr>
          <w:rFonts w:ascii="仿宋_GB2312" w:hAnsi="仿宋_GB2312" w:eastAsia="仿宋_GB2312"/>
          <w:sz w:val="32"/>
        </w:rPr>
      </w:pPr>
      <w:r>
        <w:rPr>
          <w:rFonts w:hint="eastAsia" w:ascii="仿宋_GB2312" w:hAnsi="仿宋_GB2312" w:eastAsia="仿宋_GB2312"/>
          <w:sz w:val="32"/>
          <w:lang w:val="zh-CN"/>
        </w:rPr>
        <w:t>包括部门绩效目标制定、目标实现、支出控制、及时处置、执行进度、预算完成情况、资金结余率（低效无效率）和违规记录等情况。</w:t>
      </w:r>
    </w:p>
    <w:p>
      <w:pPr>
        <w:keepNext/>
        <w:keepLines/>
        <w:numPr>
          <w:ilvl w:val="0"/>
          <w:numId w:val="8"/>
        </w:numPr>
        <w:autoSpaceDE w:val="0"/>
        <w:autoSpaceDN w:val="0"/>
        <w:adjustRightInd w:val="0"/>
        <w:spacing w:line="560" w:lineRule="exact"/>
        <w:ind w:firstLine="640"/>
        <w:jc w:val="left"/>
        <w:rPr>
          <w:rFonts w:ascii="仿宋_GB2312" w:hAnsi="仿宋_GB2312" w:eastAsia="仿宋_GB2312"/>
          <w:sz w:val="32"/>
          <w:szCs w:val="22"/>
        </w:rPr>
      </w:pPr>
      <w:r>
        <w:rPr>
          <w:rFonts w:hint="eastAsia" w:ascii="仿宋_GB2312" w:hAnsi="仿宋_GB2312" w:eastAsia="仿宋_GB2312"/>
          <w:sz w:val="32"/>
          <w:szCs w:val="22"/>
        </w:rPr>
        <w:t>目标制定。</w:t>
      </w:r>
    </w:p>
    <w:p>
      <w:pPr>
        <w:keepNext/>
        <w:keepLines/>
        <w:spacing w:line="560" w:lineRule="exact"/>
        <w:ind w:firstLine="640"/>
        <w:rPr>
          <w:rFonts w:ascii="仿宋_GB2312" w:hAnsi="仿宋_GB2312" w:eastAsia="仿宋_GB2312"/>
          <w:sz w:val="32"/>
          <w:szCs w:val="22"/>
        </w:rPr>
      </w:pPr>
      <w:r>
        <w:rPr>
          <w:rFonts w:hint="eastAsia" w:ascii="仿宋_GB2312" w:hAnsi="仿宋_GB2312" w:eastAsia="仿宋_GB2312"/>
          <w:sz w:val="32"/>
          <w:szCs w:val="22"/>
        </w:rPr>
        <w:t>2022年，盐边县红果彝族乡人民政府在编制部门预算时严格按要求编报了部门整体支出的绩效目标，覆盖了人员类项目，人员类支出预算按照工资福利标准和编制内实有人员核定，绩效目标填报完整合理。</w:t>
      </w:r>
    </w:p>
    <w:p>
      <w:pPr>
        <w:keepNext/>
        <w:keepLines/>
        <w:numPr>
          <w:ilvl w:val="0"/>
          <w:numId w:val="8"/>
        </w:numPr>
        <w:autoSpaceDE w:val="0"/>
        <w:autoSpaceDN w:val="0"/>
        <w:adjustRightInd w:val="0"/>
        <w:spacing w:line="560" w:lineRule="exact"/>
        <w:ind w:firstLine="640"/>
        <w:jc w:val="left"/>
        <w:rPr>
          <w:rFonts w:ascii="仿宋_GB2312" w:hAnsi="仿宋_GB2312" w:eastAsia="仿宋_GB2312"/>
          <w:sz w:val="32"/>
        </w:rPr>
      </w:pPr>
      <w:r>
        <w:rPr>
          <w:rFonts w:hint="eastAsia" w:ascii="仿宋_GB2312" w:hAnsi="仿宋_GB2312" w:eastAsia="仿宋_GB2312"/>
          <w:sz w:val="32"/>
        </w:rPr>
        <w:t>目标实现。</w:t>
      </w:r>
    </w:p>
    <w:p>
      <w:pPr>
        <w:keepNext/>
        <w:keepLines/>
        <w:spacing w:line="560" w:lineRule="exact"/>
        <w:ind w:firstLine="640"/>
        <w:rPr>
          <w:rFonts w:ascii="仿宋_GB2312" w:hAnsi="仿宋_GB2312" w:eastAsia="仿宋_GB2312"/>
          <w:sz w:val="32"/>
          <w:szCs w:val="22"/>
        </w:rPr>
      </w:pPr>
      <w:r>
        <w:rPr>
          <w:rFonts w:hint="eastAsia" w:ascii="仿宋_GB2312" w:hAnsi="仿宋_GB2312" w:eastAsia="仿宋_GB2312"/>
          <w:sz w:val="32"/>
          <w:szCs w:val="22"/>
        </w:rPr>
        <w:t>人员经费合计1260.82万元。其中，工资福利支出962.8万元，对个人和家庭的补助298.04万元，目标完成率100%。</w:t>
      </w:r>
    </w:p>
    <w:p>
      <w:pPr>
        <w:keepNext/>
        <w:keepLines/>
        <w:numPr>
          <w:ilvl w:val="0"/>
          <w:numId w:val="8"/>
        </w:numPr>
        <w:autoSpaceDE w:val="0"/>
        <w:autoSpaceDN w:val="0"/>
        <w:adjustRightInd w:val="0"/>
        <w:spacing w:line="560" w:lineRule="exact"/>
        <w:ind w:firstLine="640"/>
        <w:jc w:val="left"/>
        <w:rPr>
          <w:rFonts w:ascii="仿宋_GB2312" w:hAnsi="仿宋_GB2312" w:eastAsia="仿宋_GB2312"/>
          <w:sz w:val="32"/>
          <w:szCs w:val="22"/>
        </w:rPr>
      </w:pPr>
      <w:r>
        <w:rPr>
          <w:rFonts w:hint="eastAsia" w:ascii="仿宋_GB2312" w:hAnsi="仿宋_GB2312" w:eastAsia="仿宋_GB2312"/>
          <w:sz w:val="32"/>
          <w:szCs w:val="22"/>
        </w:rPr>
        <w:t>支出控制。</w:t>
      </w:r>
    </w:p>
    <w:p>
      <w:pPr>
        <w:keepNext/>
        <w:keepLines/>
        <w:spacing w:line="560" w:lineRule="exact"/>
        <w:ind w:firstLine="640"/>
        <w:rPr>
          <w:rFonts w:ascii="仿宋_GB2312" w:hAnsi="仿宋_GB2312" w:eastAsia="仿宋_GB2312"/>
          <w:sz w:val="32"/>
        </w:rPr>
      </w:pPr>
      <w:r>
        <w:rPr>
          <w:rFonts w:hint="eastAsia" w:ascii="仿宋_GB2312" w:hAnsi="仿宋_GB2312" w:eastAsia="仿宋_GB2312"/>
          <w:sz w:val="32"/>
        </w:rPr>
        <w:t>2022年度，盐边县红果彝族乡人民政府人员经费年初预算数为968.43万元，决算数为1260.82万元，预决算偏差30.1%。</w:t>
      </w:r>
    </w:p>
    <w:p>
      <w:pPr>
        <w:keepNext/>
        <w:keepLines/>
        <w:spacing w:line="560" w:lineRule="exact"/>
        <w:ind w:firstLine="640"/>
        <w:rPr>
          <w:rFonts w:ascii="仿宋_GB2312" w:hAnsi="仿宋_GB2312" w:eastAsia="仿宋_GB2312"/>
          <w:sz w:val="32"/>
        </w:rPr>
      </w:pPr>
      <w:r>
        <w:rPr>
          <w:rFonts w:hint="eastAsia" w:ascii="仿宋_GB2312" w:hAnsi="仿宋_GB2312" w:eastAsia="仿宋_GB2312"/>
          <w:sz w:val="32"/>
        </w:rPr>
        <w:t>（4）及时处置</w:t>
      </w:r>
    </w:p>
    <w:p>
      <w:pPr>
        <w:keepNext/>
        <w:keepLines/>
        <w:spacing w:line="560" w:lineRule="exact"/>
        <w:ind w:firstLine="640"/>
        <w:rPr>
          <w:rFonts w:ascii="仿宋_GB2312" w:hAnsi="仿宋_GB2312" w:eastAsia="仿宋_GB2312"/>
          <w:sz w:val="32"/>
        </w:rPr>
      </w:pPr>
      <w:r>
        <w:rPr>
          <w:rFonts w:hint="eastAsia" w:ascii="仿宋_GB2312" w:hAnsi="仿宋_GB2312" w:eastAsia="仿宋_GB2312"/>
          <w:sz w:val="32"/>
        </w:rPr>
        <w:t>年中、年末追加预算。</w:t>
      </w:r>
    </w:p>
    <w:p>
      <w:pPr>
        <w:keepNext/>
        <w:keepLines/>
        <w:spacing w:line="560" w:lineRule="exact"/>
        <w:ind w:firstLine="640"/>
        <w:rPr>
          <w:rFonts w:ascii="仿宋_GB2312" w:hAnsi="仿宋_GB2312" w:eastAsia="仿宋_GB2312"/>
          <w:sz w:val="32"/>
        </w:rPr>
      </w:pPr>
      <w:r>
        <w:rPr>
          <w:rFonts w:hint="eastAsia" w:ascii="仿宋_GB2312" w:hAnsi="仿宋_GB2312" w:eastAsia="仿宋_GB2312"/>
          <w:sz w:val="32"/>
        </w:rPr>
        <w:t>（5）执行进度</w:t>
      </w:r>
    </w:p>
    <w:p>
      <w:pPr>
        <w:keepNext/>
        <w:keepLines/>
        <w:spacing w:line="560" w:lineRule="exact"/>
        <w:ind w:firstLine="640"/>
        <w:rPr>
          <w:rFonts w:ascii="仿宋_GB2312" w:hAnsi="仿宋_GB2312" w:eastAsia="仿宋_GB2312"/>
          <w:sz w:val="32"/>
          <w:szCs w:val="22"/>
        </w:rPr>
      </w:pPr>
      <w:r>
        <w:rPr>
          <w:rFonts w:hint="eastAsia" w:ascii="仿宋_GB2312" w:hAnsi="仿宋_GB2312" w:eastAsia="仿宋_GB2312"/>
          <w:sz w:val="32"/>
        </w:rPr>
        <w:t>2022年度人员经费预算为1260.82万元</w:t>
      </w:r>
      <w:r>
        <w:rPr>
          <w:rFonts w:hint="eastAsia" w:ascii="仿宋_GB2312" w:hAnsi="仿宋_GB2312" w:eastAsia="仿宋_GB2312"/>
          <w:sz w:val="32"/>
          <w:szCs w:val="22"/>
        </w:rPr>
        <w:t>均达到绩效要求的执行进度。</w:t>
      </w:r>
    </w:p>
    <w:p>
      <w:pPr>
        <w:keepNext/>
        <w:keepLines/>
        <w:spacing w:line="560" w:lineRule="exact"/>
        <w:ind w:firstLine="640"/>
        <w:rPr>
          <w:rFonts w:ascii="仿宋_GB2312" w:hAnsi="仿宋_GB2312" w:eastAsia="仿宋_GB2312"/>
          <w:sz w:val="32"/>
        </w:rPr>
      </w:pPr>
      <w:r>
        <w:rPr>
          <w:rFonts w:hint="eastAsia" w:ascii="仿宋_GB2312" w:hAnsi="仿宋_GB2312" w:eastAsia="仿宋_GB2312"/>
          <w:sz w:val="32"/>
        </w:rPr>
        <w:t>（6）预算完成情况</w:t>
      </w:r>
    </w:p>
    <w:p>
      <w:pPr>
        <w:keepNext/>
        <w:keepLines/>
        <w:spacing w:line="560" w:lineRule="exact"/>
        <w:ind w:firstLine="640"/>
        <w:rPr>
          <w:rFonts w:ascii="仿宋_GB2312" w:hAnsi="仿宋_GB2312" w:eastAsia="仿宋_GB2312"/>
          <w:sz w:val="32"/>
        </w:rPr>
      </w:pPr>
      <w:r>
        <w:rPr>
          <w:rFonts w:hint="eastAsia" w:ascii="仿宋_GB2312" w:hAnsi="仿宋_GB2312" w:eastAsia="仿宋_GB2312"/>
          <w:sz w:val="32"/>
        </w:rPr>
        <w:t>2022年度年底预算实际支付进度为100%。</w:t>
      </w:r>
    </w:p>
    <w:p>
      <w:pPr>
        <w:keepNext/>
        <w:keepLines/>
        <w:spacing w:line="560" w:lineRule="exact"/>
        <w:ind w:firstLine="640"/>
        <w:rPr>
          <w:rFonts w:ascii="仿宋_GB2312" w:hAnsi="仿宋_GB2312" w:eastAsia="仿宋_GB2312"/>
          <w:sz w:val="32"/>
        </w:rPr>
      </w:pPr>
      <w:r>
        <w:rPr>
          <w:rFonts w:hint="eastAsia" w:ascii="仿宋_GB2312" w:hAnsi="仿宋_GB2312" w:eastAsia="仿宋_GB2312"/>
          <w:sz w:val="32"/>
        </w:rPr>
        <w:t>（7）资金结余率</w:t>
      </w:r>
    </w:p>
    <w:p>
      <w:pPr>
        <w:keepNext/>
        <w:keepLines/>
        <w:spacing w:line="560" w:lineRule="exact"/>
        <w:ind w:firstLine="640"/>
        <w:rPr>
          <w:rFonts w:ascii="仿宋_GB2312" w:hAnsi="仿宋_GB2312" w:eastAsia="仿宋_GB2312"/>
          <w:sz w:val="32"/>
        </w:rPr>
      </w:pPr>
      <w:r>
        <w:rPr>
          <w:rFonts w:hint="eastAsia" w:ascii="仿宋_GB2312" w:hAnsi="仿宋_GB2312" w:eastAsia="仿宋_GB2312"/>
          <w:sz w:val="32"/>
        </w:rPr>
        <w:t>无资金结余。</w:t>
      </w:r>
    </w:p>
    <w:p>
      <w:pPr>
        <w:keepNext/>
        <w:keepLines/>
        <w:spacing w:line="560" w:lineRule="exact"/>
        <w:ind w:firstLine="640"/>
        <w:rPr>
          <w:rFonts w:ascii="仿宋_GB2312" w:hAnsi="仿宋_GB2312" w:eastAsia="仿宋_GB2312"/>
          <w:sz w:val="32"/>
        </w:rPr>
      </w:pPr>
      <w:r>
        <w:rPr>
          <w:rFonts w:hint="eastAsia" w:ascii="仿宋_GB2312" w:hAnsi="仿宋_GB2312" w:eastAsia="仿宋_GB2312"/>
          <w:sz w:val="32"/>
        </w:rPr>
        <w:t>2.运转类项目绩效分析</w:t>
      </w:r>
    </w:p>
    <w:p>
      <w:pPr>
        <w:keepNext/>
        <w:keepLines/>
        <w:spacing w:line="560" w:lineRule="exact"/>
        <w:ind w:firstLine="640"/>
        <w:rPr>
          <w:rFonts w:ascii="仿宋_GB2312" w:hAnsi="仿宋_GB2312" w:eastAsia="仿宋_GB2312"/>
          <w:sz w:val="32"/>
          <w:szCs w:val="22"/>
        </w:rPr>
      </w:pPr>
      <w:r>
        <w:rPr>
          <w:rFonts w:hint="eastAsia" w:ascii="仿宋_GB2312" w:hAnsi="仿宋_GB2312" w:eastAsia="仿宋_GB2312"/>
          <w:sz w:val="32"/>
          <w:szCs w:val="22"/>
        </w:rPr>
        <w:t>（1）目标制定。</w:t>
      </w:r>
    </w:p>
    <w:p>
      <w:pPr>
        <w:keepNext/>
        <w:keepLines/>
        <w:spacing w:line="560" w:lineRule="exact"/>
        <w:ind w:firstLine="640"/>
        <w:rPr>
          <w:rFonts w:ascii="仿宋_GB2312" w:hAnsi="仿宋_GB2312" w:eastAsia="仿宋_GB2312"/>
          <w:sz w:val="32"/>
          <w:szCs w:val="22"/>
        </w:rPr>
      </w:pPr>
      <w:r>
        <w:rPr>
          <w:rFonts w:hint="eastAsia" w:ascii="仿宋_GB2312" w:hAnsi="仿宋_GB2312" w:eastAsia="仿宋_GB2312"/>
          <w:sz w:val="32"/>
          <w:szCs w:val="22"/>
        </w:rPr>
        <w:t>2022年，盐边县红果彝族乡人民政府在编制部门预算时按要求编报了部门整体支出的绩效目标，覆盖了运转类项目。运转类项目预算绩效目标编制科学合理，要素完整。</w:t>
      </w:r>
    </w:p>
    <w:p>
      <w:pPr>
        <w:keepNext/>
        <w:keepLines/>
        <w:tabs>
          <w:tab w:val="left" w:pos="1155"/>
        </w:tabs>
        <w:spacing w:line="560" w:lineRule="exact"/>
        <w:ind w:left="640"/>
        <w:rPr>
          <w:rFonts w:ascii="仿宋_GB2312" w:hAnsi="仿宋_GB2312" w:eastAsia="仿宋_GB2312"/>
          <w:sz w:val="32"/>
        </w:rPr>
      </w:pPr>
      <w:r>
        <w:rPr>
          <w:rFonts w:hint="eastAsia" w:ascii="仿宋_GB2312" w:hAnsi="仿宋_GB2312" w:eastAsia="仿宋_GB2312"/>
          <w:sz w:val="32"/>
        </w:rPr>
        <w:t>（2）目标实现。</w:t>
      </w:r>
    </w:p>
    <w:p>
      <w:pPr>
        <w:keepNext/>
        <w:keepLines/>
        <w:spacing w:line="560" w:lineRule="exact"/>
        <w:ind w:firstLine="640"/>
        <w:rPr>
          <w:rFonts w:ascii="仿宋_GB2312" w:hAnsi="仿宋_GB2312" w:eastAsia="仿宋_GB2312"/>
          <w:sz w:val="32"/>
          <w:szCs w:val="22"/>
        </w:rPr>
      </w:pPr>
      <w:r>
        <w:rPr>
          <w:rFonts w:hint="eastAsia" w:ascii="仿宋_GB2312" w:hAnsi="仿宋_GB2312" w:eastAsia="仿宋_GB2312"/>
          <w:sz w:val="32"/>
          <w:szCs w:val="22"/>
        </w:rPr>
        <w:t>运转类经费合计204.89万元。其中，商品和服务支出204.89万元，目标完成率100%。</w:t>
      </w:r>
    </w:p>
    <w:p>
      <w:pPr>
        <w:keepNext/>
        <w:keepLines/>
        <w:tabs>
          <w:tab w:val="left" w:pos="1155"/>
        </w:tabs>
        <w:spacing w:line="560" w:lineRule="exact"/>
        <w:ind w:left="640"/>
        <w:rPr>
          <w:rFonts w:ascii="仿宋_GB2312" w:hAnsi="仿宋_GB2312" w:eastAsia="仿宋_GB2312"/>
          <w:sz w:val="32"/>
          <w:szCs w:val="22"/>
        </w:rPr>
      </w:pPr>
      <w:r>
        <w:rPr>
          <w:rFonts w:hint="eastAsia" w:ascii="仿宋_GB2312" w:hAnsi="仿宋_GB2312" w:eastAsia="仿宋_GB2312"/>
          <w:sz w:val="32"/>
          <w:szCs w:val="22"/>
        </w:rPr>
        <w:t>（3）支出控制。</w:t>
      </w:r>
    </w:p>
    <w:p>
      <w:pPr>
        <w:keepNext/>
        <w:keepLines/>
        <w:spacing w:line="560" w:lineRule="exact"/>
        <w:ind w:firstLine="640"/>
        <w:rPr>
          <w:rFonts w:ascii="仿宋_GB2312" w:hAnsi="仿宋_GB2312" w:eastAsia="仿宋_GB2312"/>
          <w:sz w:val="32"/>
        </w:rPr>
      </w:pPr>
      <w:r>
        <w:rPr>
          <w:rFonts w:hint="eastAsia" w:ascii="仿宋_GB2312" w:hAnsi="仿宋_GB2312" w:eastAsia="仿宋_GB2312"/>
          <w:sz w:val="32"/>
        </w:rPr>
        <w:t>2022年度，盐边县红果彝族乡人民政府运转类年初预算数为179.03万元，决算数为204.89万元，预决算偏差14.4%。</w:t>
      </w:r>
    </w:p>
    <w:p>
      <w:pPr>
        <w:keepNext/>
        <w:keepLines/>
        <w:spacing w:line="560" w:lineRule="exact"/>
        <w:ind w:firstLine="640"/>
        <w:rPr>
          <w:rFonts w:ascii="仿宋_GB2312" w:hAnsi="仿宋_GB2312" w:eastAsia="仿宋_GB2312"/>
          <w:sz w:val="32"/>
        </w:rPr>
      </w:pPr>
      <w:r>
        <w:rPr>
          <w:rFonts w:hint="eastAsia" w:ascii="仿宋_GB2312" w:hAnsi="仿宋_GB2312" w:eastAsia="仿宋_GB2312"/>
          <w:sz w:val="32"/>
        </w:rPr>
        <w:t>（4）及时处置</w:t>
      </w:r>
    </w:p>
    <w:p>
      <w:pPr>
        <w:keepNext/>
        <w:keepLines/>
        <w:spacing w:line="560" w:lineRule="exact"/>
        <w:ind w:firstLine="640"/>
        <w:rPr>
          <w:rFonts w:ascii="仿宋_GB2312" w:hAnsi="仿宋_GB2312" w:eastAsia="仿宋_GB2312"/>
          <w:sz w:val="32"/>
        </w:rPr>
      </w:pPr>
      <w:r>
        <w:rPr>
          <w:rFonts w:hint="eastAsia" w:ascii="仿宋_GB2312" w:hAnsi="仿宋_GB2312" w:eastAsia="仿宋_GB2312"/>
          <w:sz w:val="32"/>
        </w:rPr>
        <w:t>年底追加预算。</w:t>
      </w:r>
    </w:p>
    <w:p>
      <w:pPr>
        <w:keepNext/>
        <w:keepLines/>
        <w:spacing w:line="560" w:lineRule="exact"/>
        <w:ind w:firstLine="640"/>
        <w:rPr>
          <w:rFonts w:ascii="仿宋_GB2312" w:hAnsi="仿宋_GB2312" w:eastAsia="仿宋_GB2312"/>
          <w:sz w:val="32"/>
        </w:rPr>
      </w:pPr>
      <w:r>
        <w:rPr>
          <w:rFonts w:hint="eastAsia" w:ascii="仿宋_GB2312" w:hAnsi="仿宋_GB2312" w:eastAsia="仿宋_GB2312"/>
          <w:sz w:val="32"/>
        </w:rPr>
        <w:t>（5）执行进度</w:t>
      </w:r>
    </w:p>
    <w:p>
      <w:pPr>
        <w:keepNext/>
        <w:keepLines/>
        <w:spacing w:line="560" w:lineRule="exact"/>
        <w:ind w:firstLine="640"/>
        <w:rPr>
          <w:rFonts w:ascii="仿宋_GB2312" w:hAnsi="仿宋_GB2312" w:eastAsia="仿宋_GB2312"/>
          <w:sz w:val="32"/>
        </w:rPr>
      </w:pPr>
      <w:r>
        <w:rPr>
          <w:rFonts w:hint="eastAsia" w:ascii="仿宋_GB2312" w:hAnsi="仿宋_GB2312" w:eastAsia="仿宋_GB2312"/>
          <w:sz w:val="32"/>
        </w:rPr>
        <w:t>2022年运转类项目均达到绩效评价要求的进度。</w:t>
      </w:r>
    </w:p>
    <w:p>
      <w:pPr>
        <w:keepNext/>
        <w:keepLines/>
        <w:spacing w:line="560" w:lineRule="exact"/>
        <w:ind w:firstLine="640"/>
        <w:rPr>
          <w:rFonts w:ascii="仿宋_GB2312" w:hAnsi="仿宋_GB2312" w:eastAsia="仿宋_GB2312"/>
          <w:sz w:val="32"/>
        </w:rPr>
      </w:pPr>
      <w:r>
        <w:rPr>
          <w:rFonts w:hint="eastAsia" w:ascii="仿宋_GB2312" w:hAnsi="仿宋_GB2312" w:eastAsia="仿宋_GB2312"/>
          <w:sz w:val="32"/>
        </w:rPr>
        <w:t>（6）预算完成情况</w:t>
      </w:r>
    </w:p>
    <w:p>
      <w:pPr>
        <w:keepNext/>
        <w:keepLines/>
        <w:spacing w:line="560" w:lineRule="exact"/>
        <w:ind w:firstLine="640"/>
        <w:rPr>
          <w:rFonts w:ascii="仿宋_GB2312" w:hAnsi="仿宋_GB2312" w:eastAsia="仿宋_GB2312"/>
          <w:sz w:val="32"/>
        </w:rPr>
      </w:pPr>
      <w:r>
        <w:rPr>
          <w:rFonts w:hint="eastAsia" w:ascii="仿宋_GB2312" w:hAnsi="仿宋_GB2312" w:eastAsia="仿宋_GB2312"/>
          <w:sz w:val="32"/>
        </w:rPr>
        <w:t>2022年度年底预算实际支付进度为100%。</w:t>
      </w:r>
    </w:p>
    <w:p>
      <w:pPr>
        <w:keepNext/>
        <w:keepLines/>
        <w:spacing w:line="560" w:lineRule="exact"/>
        <w:ind w:firstLine="640"/>
        <w:rPr>
          <w:rFonts w:ascii="仿宋_GB2312" w:hAnsi="仿宋_GB2312" w:eastAsia="仿宋_GB2312"/>
          <w:sz w:val="32"/>
        </w:rPr>
      </w:pPr>
      <w:r>
        <w:rPr>
          <w:rFonts w:hint="eastAsia" w:ascii="仿宋_GB2312" w:hAnsi="仿宋_GB2312" w:eastAsia="仿宋_GB2312"/>
          <w:sz w:val="32"/>
        </w:rPr>
        <w:t>（7）资金结余率</w:t>
      </w:r>
    </w:p>
    <w:p>
      <w:pPr>
        <w:keepNext/>
        <w:keepLines/>
        <w:spacing w:line="560" w:lineRule="exact"/>
        <w:ind w:firstLine="640"/>
        <w:rPr>
          <w:rFonts w:ascii="仿宋_GB2312" w:hAnsi="仿宋_GB2312" w:eastAsia="仿宋_GB2312"/>
          <w:sz w:val="32"/>
        </w:rPr>
      </w:pPr>
      <w:r>
        <w:rPr>
          <w:rFonts w:hint="eastAsia" w:ascii="仿宋_GB2312" w:hAnsi="仿宋_GB2312" w:eastAsia="仿宋_GB2312"/>
          <w:sz w:val="32"/>
        </w:rPr>
        <w:t>无资金结余。</w:t>
      </w:r>
    </w:p>
    <w:p>
      <w:pPr>
        <w:keepNext/>
        <w:keepLines/>
        <w:spacing w:line="560" w:lineRule="exact"/>
        <w:ind w:firstLine="640"/>
        <w:rPr>
          <w:rFonts w:ascii="仿宋_GB2312" w:hAnsi="仿宋_GB2312" w:eastAsia="仿宋_GB2312"/>
          <w:sz w:val="32"/>
        </w:rPr>
      </w:pPr>
      <w:r>
        <w:rPr>
          <w:rFonts w:hint="eastAsia" w:ascii="仿宋_GB2312" w:hAnsi="仿宋_GB2312" w:eastAsia="仿宋_GB2312"/>
          <w:sz w:val="32"/>
        </w:rPr>
        <w:t>3.特定目标类项目绩效分析</w:t>
      </w:r>
    </w:p>
    <w:p>
      <w:pPr>
        <w:keepNext/>
        <w:keepLines/>
        <w:spacing w:line="560" w:lineRule="exact"/>
        <w:ind w:firstLine="640"/>
        <w:rPr>
          <w:rFonts w:ascii="仿宋_GB2312" w:hAnsi="仿宋_GB2312" w:eastAsia="仿宋_GB2312"/>
          <w:sz w:val="32"/>
          <w:szCs w:val="22"/>
        </w:rPr>
      </w:pPr>
      <w:r>
        <w:rPr>
          <w:rFonts w:hint="eastAsia" w:ascii="仿宋_GB2312" w:hAnsi="仿宋_GB2312" w:eastAsia="仿宋_GB2312"/>
          <w:sz w:val="32"/>
          <w:szCs w:val="22"/>
        </w:rPr>
        <w:t>（1）目标制定。</w:t>
      </w:r>
    </w:p>
    <w:p>
      <w:pPr>
        <w:keepNext/>
        <w:keepLines/>
        <w:spacing w:line="560" w:lineRule="exact"/>
        <w:ind w:firstLine="640"/>
        <w:rPr>
          <w:rFonts w:ascii="仿宋_GB2312" w:hAnsi="仿宋_GB2312" w:eastAsia="仿宋_GB2312"/>
          <w:sz w:val="32"/>
          <w:szCs w:val="22"/>
        </w:rPr>
      </w:pPr>
      <w:r>
        <w:rPr>
          <w:rFonts w:hint="eastAsia" w:ascii="仿宋_GB2312" w:hAnsi="仿宋_GB2312" w:eastAsia="仿宋_GB2312"/>
          <w:sz w:val="32"/>
          <w:szCs w:val="22"/>
        </w:rPr>
        <w:t>2022年，盐边县红果彝族乡人民政府在编制部门预算时按要求编报了部门预算项目绩效目标，</w:t>
      </w:r>
      <w:r>
        <w:rPr>
          <w:rFonts w:ascii="仿宋" w:hAnsi="仿宋" w:eastAsia="仿宋" w:cs="仿宋"/>
          <w:spacing w:val="8"/>
          <w:sz w:val="31"/>
          <w:szCs w:val="31"/>
        </w:rPr>
        <w:t>根据部门整体</w:t>
      </w:r>
      <w:r>
        <w:rPr>
          <w:rFonts w:ascii="仿宋" w:hAnsi="仿宋" w:eastAsia="仿宋" w:cs="仿宋"/>
          <w:spacing w:val="6"/>
          <w:sz w:val="31"/>
          <w:szCs w:val="31"/>
        </w:rPr>
        <w:t>支出绩效目标自评和项目支出绩效目标自评情况，</w:t>
      </w:r>
      <w:r>
        <w:rPr>
          <w:rFonts w:hint="eastAsia" w:ascii="仿宋" w:hAnsi="仿宋" w:eastAsia="仿宋" w:cs="仿宋"/>
          <w:spacing w:val="6"/>
          <w:sz w:val="31"/>
          <w:szCs w:val="31"/>
        </w:rPr>
        <w:t>盐边县红果彝族乡人民政府</w:t>
      </w:r>
      <w:r>
        <w:rPr>
          <w:rFonts w:ascii="仿宋" w:hAnsi="仿宋" w:eastAsia="仿宋" w:cs="仿宋"/>
          <w:spacing w:val="8"/>
          <w:sz w:val="31"/>
          <w:szCs w:val="31"/>
        </w:rPr>
        <w:t>绩效目标编制科学合理、要素完整</w:t>
      </w:r>
      <w:r>
        <w:rPr>
          <w:rFonts w:hint="eastAsia" w:ascii="仿宋_GB2312" w:hAnsi="仿宋_GB2312" w:eastAsia="仿宋_GB2312"/>
          <w:sz w:val="32"/>
          <w:szCs w:val="22"/>
        </w:rPr>
        <w:t>。</w:t>
      </w:r>
    </w:p>
    <w:p>
      <w:pPr>
        <w:keepNext/>
        <w:keepLines/>
        <w:spacing w:line="560" w:lineRule="exact"/>
        <w:ind w:left="640"/>
        <w:rPr>
          <w:rFonts w:ascii="仿宋_GB2312" w:hAnsi="仿宋_GB2312" w:eastAsia="仿宋_GB2312"/>
          <w:sz w:val="32"/>
        </w:rPr>
      </w:pPr>
      <w:r>
        <w:rPr>
          <w:rFonts w:hint="eastAsia" w:ascii="仿宋_GB2312" w:hAnsi="仿宋_GB2312" w:eastAsia="仿宋_GB2312"/>
          <w:sz w:val="32"/>
        </w:rPr>
        <w:t>（2）目标实现。</w:t>
      </w:r>
    </w:p>
    <w:p>
      <w:pPr>
        <w:keepNext/>
        <w:keepLines/>
        <w:spacing w:line="560" w:lineRule="exact"/>
        <w:ind w:firstLine="640"/>
        <w:rPr>
          <w:rFonts w:ascii="仿宋_GB2312" w:hAnsi="仿宋_GB2312" w:eastAsia="仿宋_GB2312"/>
          <w:sz w:val="32"/>
          <w:szCs w:val="22"/>
        </w:rPr>
      </w:pPr>
      <w:r>
        <w:rPr>
          <w:rFonts w:hint="eastAsia" w:ascii="仿宋_GB2312" w:hAnsi="仿宋_GB2312" w:eastAsia="仿宋_GB2312"/>
          <w:sz w:val="32"/>
          <w:szCs w:val="22"/>
        </w:rPr>
        <w:t>特定目标类项目经费合计518.77万元，目标完成率100%。</w:t>
      </w:r>
    </w:p>
    <w:p>
      <w:pPr>
        <w:keepNext/>
        <w:keepLines/>
        <w:spacing w:line="560" w:lineRule="exact"/>
        <w:ind w:left="640"/>
        <w:rPr>
          <w:rFonts w:ascii="仿宋_GB2312" w:hAnsi="仿宋_GB2312" w:eastAsia="仿宋_GB2312"/>
          <w:sz w:val="32"/>
          <w:szCs w:val="22"/>
        </w:rPr>
      </w:pPr>
      <w:r>
        <w:rPr>
          <w:rFonts w:hint="eastAsia" w:ascii="仿宋_GB2312" w:hAnsi="仿宋_GB2312" w:eastAsia="仿宋_GB2312"/>
          <w:sz w:val="32"/>
          <w:szCs w:val="22"/>
        </w:rPr>
        <w:t>（3）支出控制。</w:t>
      </w:r>
    </w:p>
    <w:p>
      <w:pPr>
        <w:keepNext/>
        <w:keepLines/>
        <w:spacing w:line="560" w:lineRule="exact"/>
        <w:ind w:firstLine="640"/>
        <w:rPr>
          <w:rFonts w:ascii="仿宋_GB2312" w:hAnsi="仿宋_GB2312" w:eastAsia="仿宋_GB2312"/>
          <w:sz w:val="32"/>
        </w:rPr>
      </w:pPr>
      <w:r>
        <w:rPr>
          <w:rFonts w:hint="eastAsia" w:ascii="仿宋_GB2312" w:hAnsi="仿宋_GB2312" w:eastAsia="仿宋_GB2312"/>
          <w:sz w:val="32"/>
        </w:rPr>
        <w:t>2022年度，盐边县红果彝族乡人民政府</w:t>
      </w:r>
      <w:r>
        <w:rPr>
          <w:rFonts w:hint="eastAsia" w:ascii="仿宋_GB2312" w:hAnsi="仿宋_GB2312" w:eastAsia="仿宋_GB2312"/>
          <w:sz w:val="32"/>
          <w:szCs w:val="22"/>
        </w:rPr>
        <w:t>特定目标类项目</w:t>
      </w:r>
      <w:r>
        <w:rPr>
          <w:rFonts w:hint="eastAsia" w:ascii="仿宋_GB2312" w:hAnsi="仿宋_GB2312" w:eastAsia="仿宋_GB2312"/>
          <w:sz w:val="32"/>
        </w:rPr>
        <w:t>经费年初预算数为58.9万元，决算数为518.77万元。</w:t>
      </w:r>
    </w:p>
    <w:p>
      <w:pPr>
        <w:keepNext/>
        <w:keepLines/>
        <w:spacing w:line="560" w:lineRule="exact"/>
        <w:ind w:firstLine="640"/>
        <w:rPr>
          <w:rFonts w:ascii="仿宋_GB2312" w:hAnsi="仿宋_GB2312" w:eastAsia="仿宋_GB2312"/>
          <w:sz w:val="32"/>
        </w:rPr>
      </w:pPr>
      <w:r>
        <w:rPr>
          <w:rFonts w:hint="eastAsia" w:ascii="仿宋_GB2312" w:hAnsi="仿宋_GB2312" w:eastAsia="仿宋_GB2312"/>
          <w:sz w:val="32"/>
        </w:rPr>
        <w:t>（4）及时处置</w:t>
      </w:r>
    </w:p>
    <w:p>
      <w:pPr>
        <w:keepNext/>
        <w:keepLines/>
        <w:spacing w:line="560" w:lineRule="exact"/>
        <w:ind w:firstLine="640"/>
        <w:rPr>
          <w:rFonts w:ascii="仿宋_GB2312" w:hAnsi="仿宋_GB2312" w:eastAsia="仿宋_GB2312"/>
          <w:sz w:val="32"/>
        </w:rPr>
      </w:pPr>
      <w:r>
        <w:rPr>
          <w:rFonts w:hint="eastAsia" w:ascii="仿宋_GB2312" w:hAnsi="仿宋_GB2312" w:eastAsia="仿宋_GB2312"/>
          <w:sz w:val="32"/>
        </w:rPr>
        <w:t>全年追加项目。</w:t>
      </w:r>
    </w:p>
    <w:p>
      <w:pPr>
        <w:keepNext/>
        <w:keepLines/>
        <w:spacing w:line="560" w:lineRule="exact"/>
        <w:ind w:firstLine="640"/>
        <w:rPr>
          <w:rFonts w:ascii="仿宋_GB2312" w:hAnsi="仿宋_GB2312" w:eastAsia="仿宋_GB2312"/>
          <w:sz w:val="32"/>
        </w:rPr>
      </w:pPr>
      <w:r>
        <w:rPr>
          <w:rFonts w:hint="eastAsia" w:ascii="仿宋_GB2312" w:hAnsi="仿宋_GB2312" w:eastAsia="仿宋_GB2312"/>
          <w:sz w:val="32"/>
        </w:rPr>
        <w:t>（5）执行进度</w:t>
      </w:r>
    </w:p>
    <w:p>
      <w:pPr>
        <w:keepNext/>
        <w:keepLines/>
        <w:spacing w:line="560" w:lineRule="exact"/>
        <w:ind w:firstLine="640"/>
        <w:rPr>
          <w:rFonts w:ascii="仿宋_GB2312" w:hAnsi="仿宋_GB2312" w:eastAsia="仿宋_GB2312"/>
          <w:sz w:val="32"/>
          <w:szCs w:val="22"/>
        </w:rPr>
      </w:pPr>
      <w:r>
        <w:rPr>
          <w:rFonts w:hint="eastAsia" w:ascii="仿宋_GB2312" w:hAnsi="仿宋_GB2312" w:eastAsia="仿宋_GB2312"/>
          <w:sz w:val="32"/>
          <w:szCs w:val="22"/>
        </w:rPr>
        <w:t>2022年度特定目标类项目经费支出均未达到绩效要求的进度。</w:t>
      </w:r>
    </w:p>
    <w:p>
      <w:pPr>
        <w:keepNext/>
        <w:keepLines/>
        <w:spacing w:line="560" w:lineRule="exact"/>
        <w:ind w:firstLine="640"/>
        <w:rPr>
          <w:rFonts w:ascii="仿宋_GB2312" w:hAnsi="仿宋_GB2312" w:eastAsia="仿宋_GB2312"/>
          <w:sz w:val="32"/>
        </w:rPr>
      </w:pPr>
      <w:r>
        <w:rPr>
          <w:rFonts w:hint="eastAsia" w:ascii="仿宋_GB2312" w:hAnsi="仿宋_GB2312" w:eastAsia="仿宋_GB2312"/>
          <w:sz w:val="32"/>
        </w:rPr>
        <w:t>（6）预算完成情况</w:t>
      </w:r>
    </w:p>
    <w:p>
      <w:pPr>
        <w:keepNext/>
        <w:keepLines/>
        <w:spacing w:line="560" w:lineRule="exact"/>
        <w:ind w:firstLine="640"/>
        <w:rPr>
          <w:rFonts w:ascii="仿宋_GB2312" w:hAnsi="仿宋_GB2312" w:eastAsia="仿宋_GB2312"/>
          <w:sz w:val="32"/>
        </w:rPr>
      </w:pPr>
      <w:r>
        <w:rPr>
          <w:rFonts w:hint="eastAsia" w:ascii="仿宋_GB2312" w:hAnsi="仿宋_GB2312" w:eastAsia="仿宋_GB2312"/>
          <w:sz w:val="32"/>
        </w:rPr>
        <w:t>2022年度年底预算实际支付进度为100%。</w:t>
      </w:r>
    </w:p>
    <w:p>
      <w:pPr>
        <w:keepNext/>
        <w:keepLines/>
        <w:spacing w:line="560" w:lineRule="exact"/>
        <w:ind w:firstLine="640"/>
        <w:rPr>
          <w:rFonts w:ascii="仿宋_GB2312" w:hAnsi="仿宋_GB2312" w:eastAsia="仿宋_GB2312"/>
          <w:sz w:val="32"/>
        </w:rPr>
      </w:pPr>
      <w:r>
        <w:rPr>
          <w:rFonts w:hint="eastAsia" w:ascii="仿宋_GB2312" w:hAnsi="仿宋_GB2312" w:eastAsia="仿宋_GB2312"/>
          <w:sz w:val="32"/>
        </w:rPr>
        <w:t>（7）资金结余率</w:t>
      </w:r>
    </w:p>
    <w:p>
      <w:pPr>
        <w:keepNext/>
        <w:keepLines/>
        <w:spacing w:line="560" w:lineRule="exact"/>
        <w:ind w:firstLine="640"/>
        <w:rPr>
          <w:rFonts w:ascii="仿宋_GB2312" w:hAnsi="仿宋_GB2312" w:eastAsia="仿宋_GB2312"/>
          <w:sz w:val="32"/>
        </w:rPr>
      </w:pPr>
      <w:r>
        <w:rPr>
          <w:rFonts w:hint="eastAsia" w:ascii="仿宋_GB2312" w:hAnsi="仿宋_GB2312" w:eastAsia="仿宋_GB2312"/>
          <w:sz w:val="32"/>
        </w:rPr>
        <w:t>无资金结余。</w:t>
      </w:r>
    </w:p>
    <w:p>
      <w:pPr>
        <w:keepNext/>
        <w:keepLines/>
        <w:spacing w:line="560" w:lineRule="exact"/>
        <w:ind w:firstLine="643"/>
        <w:rPr>
          <w:rFonts w:ascii="楷体_GB2312" w:hAnsi="楷体_GB2312" w:eastAsia="楷体_GB2312"/>
          <w:b/>
          <w:sz w:val="32"/>
          <w:lang w:val="zh-CN"/>
        </w:rPr>
      </w:pPr>
      <w:r>
        <w:rPr>
          <w:rFonts w:hint="eastAsia" w:ascii="楷体_GB2312" w:hAnsi="楷体_GB2312" w:eastAsia="楷体_GB2312"/>
          <w:b/>
          <w:sz w:val="32"/>
          <w:lang w:val="zh-CN"/>
        </w:rPr>
        <w:t>（二）部门整体履职绩效分析。</w:t>
      </w:r>
    </w:p>
    <w:p>
      <w:pPr>
        <w:keepNext/>
        <w:keepLines/>
        <w:spacing w:line="560" w:lineRule="exact"/>
        <w:ind w:firstLine="640"/>
        <w:rPr>
          <w:rFonts w:ascii="仿宋_GB2312" w:hAnsi="仿宋_GB2312" w:eastAsia="仿宋_GB2312"/>
          <w:sz w:val="32"/>
          <w:lang w:val="zh-CN"/>
        </w:rPr>
      </w:pPr>
      <w:r>
        <w:rPr>
          <w:rFonts w:hint="eastAsia" w:ascii="仿宋_GB2312" w:hAnsi="仿宋_GB2312" w:eastAsia="仿宋_GB2312"/>
          <w:sz w:val="32"/>
          <w:lang w:val="zh-CN"/>
        </w:rPr>
        <w:t>盐边县红果彝族乡人民政府部门整体绩效目标完成情况良好，部门履职情况良好。</w:t>
      </w:r>
    </w:p>
    <w:p>
      <w:pPr>
        <w:keepNext/>
        <w:keepLines/>
        <w:spacing w:line="560" w:lineRule="exact"/>
        <w:ind w:firstLine="643"/>
        <w:rPr>
          <w:rFonts w:ascii="楷体_GB2312" w:hAnsi="楷体_GB2312" w:eastAsia="楷体_GB2312"/>
          <w:b/>
          <w:sz w:val="32"/>
          <w:lang w:val="zh-CN"/>
        </w:rPr>
      </w:pPr>
      <w:r>
        <w:rPr>
          <w:rFonts w:hint="eastAsia" w:ascii="楷体_GB2312" w:hAnsi="楷体_GB2312" w:eastAsia="楷体_GB2312"/>
          <w:b/>
          <w:sz w:val="32"/>
          <w:lang w:val="zh-CN"/>
        </w:rPr>
        <w:t>（三）结果应用情况。</w:t>
      </w:r>
    </w:p>
    <w:p>
      <w:pPr>
        <w:keepNext/>
        <w:keepLines/>
        <w:spacing w:line="560" w:lineRule="exact"/>
        <w:ind w:firstLine="640"/>
        <w:rPr>
          <w:rFonts w:ascii="仿宋_GB2312" w:hAnsi="仿宋_GB2312" w:eastAsia="仿宋_GB2312"/>
          <w:sz w:val="32"/>
          <w:szCs w:val="22"/>
        </w:rPr>
      </w:pPr>
      <w:r>
        <w:rPr>
          <w:rFonts w:hint="eastAsia" w:ascii="仿宋_GB2312" w:hAnsi="仿宋_GB2312" w:eastAsia="仿宋_GB2312"/>
          <w:sz w:val="32"/>
          <w:szCs w:val="22"/>
        </w:rPr>
        <w:t>内部应用：从预算制定、绩效目标管理、事前绩效评估、预算绩效运行跟踪监控管理、绩效评价、结果反馈和应用管理进行了全面设计与规范，建立了有目标、有监控、有评价、有反馈、有应用的全过程预算绩效管理机制。</w:t>
      </w:r>
    </w:p>
    <w:p>
      <w:pPr>
        <w:keepNext/>
        <w:keepLines/>
        <w:spacing w:line="560" w:lineRule="exact"/>
        <w:ind w:firstLine="640"/>
        <w:rPr>
          <w:rFonts w:ascii="仿宋_GB2312" w:hAnsi="仿宋_GB2312" w:eastAsia="仿宋_GB2312"/>
          <w:sz w:val="32"/>
          <w:szCs w:val="22"/>
        </w:rPr>
      </w:pPr>
      <w:r>
        <w:rPr>
          <w:rFonts w:hint="eastAsia" w:ascii="仿宋_GB2312" w:hAnsi="仿宋_GB2312" w:eastAsia="仿宋_GB2312"/>
          <w:sz w:val="32"/>
          <w:szCs w:val="22"/>
        </w:rPr>
        <w:t>自评公开：本单位已按要求将相关绩效信息随同决算进行信息公开。</w:t>
      </w:r>
    </w:p>
    <w:p>
      <w:pPr>
        <w:keepNext/>
        <w:keepLines/>
        <w:spacing w:line="560" w:lineRule="exact"/>
        <w:ind w:firstLine="640"/>
        <w:rPr>
          <w:rFonts w:ascii="仿宋_GB2312" w:hAnsi="仿宋_GB2312" w:eastAsia="仿宋_GB2312"/>
          <w:sz w:val="32"/>
          <w:szCs w:val="22"/>
        </w:rPr>
      </w:pPr>
      <w:r>
        <w:rPr>
          <w:rFonts w:hint="eastAsia" w:ascii="仿宋_GB2312" w:hAnsi="仿宋_GB2312" w:eastAsia="仿宋_GB2312"/>
          <w:sz w:val="32"/>
          <w:szCs w:val="22"/>
        </w:rPr>
        <w:t>问题整改和应用反馈：盐边县红果彝族乡人民政府对绩效目标核查、绩效监控核查和重点 绩效评价提出的问题进行认真整改，将绩效管理结果应用于完善单位制度，改进管理等方面。并及时报告了部门反馈应用绩效结果情况。</w:t>
      </w:r>
    </w:p>
    <w:p>
      <w:pPr>
        <w:keepNext/>
        <w:keepLines/>
        <w:spacing w:line="560" w:lineRule="exact"/>
        <w:ind w:firstLine="643"/>
        <w:rPr>
          <w:rFonts w:ascii="楷体_GB2312" w:hAnsi="楷体_GB2312" w:eastAsia="楷体_GB2312"/>
          <w:b/>
          <w:sz w:val="32"/>
          <w:szCs w:val="22"/>
          <w:lang w:val="zh-CN"/>
        </w:rPr>
      </w:pPr>
      <w:r>
        <w:rPr>
          <w:rFonts w:hint="eastAsia" w:ascii="楷体_GB2312" w:hAnsi="楷体_GB2312" w:eastAsia="楷体_GB2312"/>
          <w:b/>
          <w:sz w:val="32"/>
          <w:szCs w:val="22"/>
        </w:rPr>
        <w:t>（四）</w:t>
      </w:r>
      <w:r>
        <w:rPr>
          <w:rFonts w:hint="eastAsia" w:ascii="楷体_GB2312" w:hAnsi="楷体_GB2312" w:eastAsia="楷体_GB2312"/>
          <w:b/>
          <w:sz w:val="32"/>
          <w:szCs w:val="22"/>
          <w:lang w:val="zh-CN"/>
        </w:rPr>
        <w:t>自评质量。</w:t>
      </w:r>
    </w:p>
    <w:p>
      <w:pPr>
        <w:keepNext/>
        <w:keepLines/>
        <w:spacing w:line="560" w:lineRule="exact"/>
        <w:ind w:firstLine="640"/>
        <w:rPr>
          <w:rFonts w:ascii="仿宋_GB2312" w:hAnsi="仿宋_GB2312" w:eastAsia="仿宋_GB2312"/>
          <w:sz w:val="32"/>
        </w:rPr>
      </w:pPr>
      <w:r>
        <w:rPr>
          <w:rFonts w:hint="eastAsia" w:ascii="仿宋_GB2312" w:hAnsi="仿宋_GB2312" w:eastAsia="仿宋_GB2312"/>
          <w:sz w:val="32"/>
        </w:rPr>
        <w:t>盐边县红果彝族乡人民政府严格按照预算编制相关文件的要求，认真贯彻执行《中华人民共和国预算法》，抓好机关支出预算结构的优化和调整。严格控制一般性支出，细化“三公”经费预算管理，继续按照“零增长”的原则编制“三公”经费预算，科学、真实、准确、全面地反映部门收支情况。在预算执行过程中，一是严格按照年度预算安排及国库管理制度有关规定，基本支出按序时进度支付，项目支出围绕绩效目标，按规定程序及时支付。二是严格执行中央八项规   定精神、《党政机关厉行节约反对浪费条例》等若干规定， 从严从紧控制“三公”经费、会议费、培训费等一般性支出，认真执行公务卡强制结算。</w:t>
      </w:r>
    </w:p>
    <w:p>
      <w:pPr>
        <w:keepNext/>
        <w:keepLines/>
        <w:spacing w:line="560" w:lineRule="exact"/>
        <w:ind w:firstLine="640"/>
        <w:rPr>
          <w:rFonts w:ascii="仿宋_GB2312" w:hAnsi="仿宋_GB2312" w:eastAsia="仿宋_GB2312"/>
          <w:sz w:val="32"/>
        </w:rPr>
      </w:pPr>
      <w:r>
        <w:rPr>
          <w:rFonts w:hint="eastAsia" w:ascii="仿宋_GB2312" w:hAnsi="仿宋_GB2312" w:eastAsia="仿宋_GB2312"/>
          <w:sz w:val="32"/>
        </w:rPr>
        <w:t>认真开展部门绩效评价工作。从整体上看，2022年度， 我机关资金管理规范，政策执行有力，有效发挥了财政资金的使用效率。绩效目标基本达成，服务对象满意度达95%，并取得了良好的社会效益。部门整体支出自评准确情况为100%。</w:t>
      </w:r>
    </w:p>
    <w:p>
      <w:pPr>
        <w:keepNext/>
        <w:keepLines/>
        <w:spacing w:line="560" w:lineRule="exact"/>
        <w:ind w:firstLine="640"/>
        <w:rPr>
          <w:rFonts w:ascii="黑体" w:hAnsi="黑体" w:eastAsia="黑体"/>
          <w:sz w:val="32"/>
        </w:rPr>
      </w:pPr>
      <w:r>
        <w:rPr>
          <w:rFonts w:hint="eastAsia" w:ascii="黑体" w:hAnsi="黑体" w:eastAsia="黑体"/>
          <w:sz w:val="32"/>
        </w:rPr>
        <w:t>四、评价结论及建议</w:t>
      </w:r>
    </w:p>
    <w:p>
      <w:pPr>
        <w:keepNext/>
        <w:keepLines/>
        <w:spacing w:line="560" w:lineRule="exact"/>
        <w:ind w:firstLine="643"/>
        <w:rPr>
          <w:rFonts w:ascii="楷体_GB2312" w:hAnsi="楷体_GB2312" w:eastAsia="楷体_GB2312"/>
          <w:b/>
          <w:sz w:val="32"/>
          <w:lang w:val="zh-CN"/>
        </w:rPr>
      </w:pPr>
      <w:r>
        <w:rPr>
          <w:rFonts w:hint="eastAsia" w:ascii="楷体_GB2312" w:hAnsi="楷体_GB2312" w:eastAsia="楷体_GB2312"/>
          <w:b/>
          <w:sz w:val="32"/>
          <w:lang w:val="zh-CN"/>
        </w:rPr>
        <w:t>（一）评价结论。</w:t>
      </w:r>
    </w:p>
    <w:p>
      <w:pPr>
        <w:pStyle w:val="10"/>
        <w:spacing w:line="600" w:lineRule="exact"/>
        <w:ind w:firstLine="640" w:firstLineChars="200"/>
        <w:rPr>
          <w:rFonts w:ascii="Times New Roman" w:hAnsi="Times New Roman" w:eastAsia="仿宋_GB2312"/>
          <w:sz w:val="32"/>
          <w:szCs w:val="32"/>
        </w:rPr>
      </w:pPr>
      <w:r>
        <w:rPr>
          <w:rFonts w:hint="eastAsia" w:ascii="仿宋_GB2312" w:hAnsi="仿宋_GB2312" w:eastAsia="仿宋_GB2312"/>
          <w:sz w:val="32"/>
          <w:szCs w:val="22"/>
        </w:rPr>
        <w:t>2022年，我单位积极履职，强化管理</w:t>
      </w:r>
      <w:r>
        <w:rPr>
          <w:rFonts w:ascii="Times New Roman" w:hAnsi="Times New Roman" w:eastAsia="仿宋_GB2312"/>
          <w:sz w:val="32"/>
          <w:szCs w:val="32"/>
        </w:rPr>
        <w:t>，较好地完成了年度工作目标</w:t>
      </w:r>
      <w:r>
        <w:rPr>
          <w:rFonts w:hint="eastAsia" w:ascii="Times New Roman" w:hAnsi="Times New Roman" w:eastAsia="仿宋_GB2312"/>
          <w:sz w:val="32"/>
          <w:szCs w:val="32"/>
        </w:rPr>
        <w:t>，</w:t>
      </w:r>
      <w:r>
        <w:rPr>
          <w:rFonts w:hint="eastAsia" w:ascii="仿宋_GB2312" w:hAnsi="仿宋_GB2312" w:eastAsia="仿宋_GB2312"/>
          <w:sz w:val="32"/>
          <w:szCs w:val="22"/>
        </w:rPr>
        <w:t>2022年部门整体支出绩效评价自评得分为95分</w:t>
      </w:r>
      <w:r>
        <w:rPr>
          <w:rFonts w:ascii="仿宋_GB2312" w:hAnsi="仿宋_GB2312" w:eastAsia="仿宋_GB2312"/>
          <w:sz w:val="32"/>
          <w:szCs w:val="22"/>
        </w:rPr>
        <w:t>。</w:t>
      </w:r>
      <w:r>
        <w:rPr>
          <w:rFonts w:ascii="Times New Roman" w:hAnsi="Times New Roman" w:eastAsia="仿宋_GB2312"/>
          <w:sz w:val="32"/>
          <w:szCs w:val="32"/>
        </w:rPr>
        <w:t>通过加强预算收支绩效管理，不断建立健全内部控制管理制度，梳理内部管理流程，部门预算整体支出管理水平得到了提升。但也存在一些不足之处：如预算编制工作不够细化；预算管理意识有待增强；财务人员业务知识有待更新等。下一步我单位将从以下几个方面进行改进：一是细化预算编制工作，认真做好预算的编制。进一步加强单位内部机构各股室的预算管理意识，严格按照预算编制的相关制度和要求进行预算编制。二是加强财务管理，严格财务审核。加强单位财务管理，健全单位财务管理制度体系，规范单位财务行为。三是完善资产管理，抓好“三公”经费控制。严格编制政府采购年初预算和计划，规范各类资产的购置审批制度、资产采购制度、使用管理制度、资产处理和报废审批制度、资产管理岗职责制度等，加强单位内部的资产管理工作。严格控制“三公”经费的规模和比例，把关“三公”经费支出的审核、审批，杜绝挪用和挤占其他预算资金行为；进一步细化“三公”经费的管理，合理压缩“三公”经费支出。四是对相关人员加强培训，特别是针对《预算法》、《政府会计制度》等学习培训，规范部门预算收支核算，切实提高部门预算收支管理水平。</w:t>
      </w:r>
    </w:p>
    <w:p>
      <w:pPr>
        <w:keepNext/>
        <w:keepLines/>
        <w:spacing w:line="560" w:lineRule="exact"/>
        <w:ind w:firstLine="643"/>
        <w:rPr>
          <w:rFonts w:ascii="楷体_GB2312" w:hAnsi="楷体_GB2312" w:eastAsia="楷体_GB2312"/>
          <w:b/>
          <w:sz w:val="32"/>
          <w:lang w:val="zh-CN"/>
        </w:rPr>
      </w:pPr>
      <w:r>
        <w:rPr>
          <w:rFonts w:hint="eastAsia" w:ascii="楷体_GB2312" w:hAnsi="楷体_GB2312" w:eastAsia="楷体_GB2312"/>
          <w:b/>
          <w:sz w:val="32"/>
          <w:lang w:val="zh-CN"/>
        </w:rPr>
        <w:t>（二）存在问题。</w:t>
      </w:r>
    </w:p>
    <w:p>
      <w:pPr>
        <w:pStyle w:val="10"/>
        <w:spacing w:line="600" w:lineRule="exact"/>
        <w:ind w:firstLine="640" w:firstLineChars="200"/>
        <w:rPr>
          <w:rFonts w:ascii="Times New Roman" w:hAnsi="Times New Roman" w:eastAsia="仿宋_GB2312"/>
          <w:sz w:val="32"/>
          <w:szCs w:val="32"/>
          <w:lang w:val="zh-CN"/>
        </w:rPr>
      </w:pPr>
      <w:r>
        <w:rPr>
          <w:rFonts w:ascii="Times New Roman" w:hAnsi="Times New Roman" w:eastAsia="仿宋_GB2312"/>
          <w:sz w:val="32"/>
          <w:szCs w:val="32"/>
        </w:rPr>
        <w:t>预算编制和预算管理还需进一步细化和加强，严禁超预算和无预算安排支出，严格开支范围和标准，严格审核各项经费的支出，提高资金使用效率。</w:t>
      </w:r>
    </w:p>
    <w:p>
      <w:pPr>
        <w:keepNext/>
        <w:keepLines/>
        <w:numPr>
          <w:ilvl w:val="0"/>
          <w:numId w:val="9"/>
        </w:numPr>
        <w:autoSpaceDE w:val="0"/>
        <w:autoSpaceDN w:val="0"/>
        <w:adjustRightInd w:val="0"/>
        <w:spacing w:line="560" w:lineRule="exact"/>
        <w:ind w:left="643"/>
        <w:jc w:val="left"/>
        <w:rPr>
          <w:rFonts w:ascii="楷体_GB2312" w:hAnsi="楷体_GB2312" w:eastAsia="楷体_GB2312"/>
          <w:b/>
          <w:sz w:val="32"/>
          <w:szCs w:val="22"/>
          <w:lang w:val="zh-CN"/>
        </w:rPr>
      </w:pPr>
      <w:r>
        <w:rPr>
          <w:rFonts w:hint="eastAsia" w:ascii="楷体_GB2312" w:hAnsi="楷体_GB2312" w:eastAsia="楷体_GB2312"/>
          <w:b/>
          <w:sz w:val="32"/>
          <w:szCs w:val="22"/>
          <w:lang w:val="zh-CN"/>
        </w:rPr>
        <w:t>改进建议。</w:t>
      </w:r>
    </w:p>
    <w:p>
      <w:pPr>
        <w:pStyle w:val="10"/>
        <w:spacing w:line="600" w:lineRule="exact"/>
        <w:ind w:firstLine="640" w:firstLineChars="200"/>
        <w:rPr>
          <w:rFonts w:ascii="Times New Roman" w:hAnsi="Times New Roman" w:eastAsia="仿宋_GB2312"/>
          <w:sz w:val="32"/>
          <w:szCs w:val="32"/>
          <w:lang w:val="zh-CN"/>
        </w:rPr>
      </w:pPr>
      <w:r>
        <w:rPr>
          <w:rFonts w:ascii="Times New Roman" w:hAnsi="Times New Roman" w:eastAsia="仿宋_GB2312"/>
          <w:sz w:val="32"/>
          <w:szCs w:val="32"/>
        </w:rPr>
        <w:t>严格控制“三公”经费，认真贯彻落实中央八项规定和省、市十项规定，严格“三公”经费支出的审核和审批，合理压缩“三公”经费支出。合理、节俭、高效地利用资金，保证机关各项工作顺利有序开展。</w:t>
      </w:r>
    </w:p>
    <w:p>
      <w:pPr>
        <w:keepNext/>
        <w:keepLines/>
        <w:spacing w:after="120" w:line="560" w:lineRule="exact"/>
        <w:ind w:firstLine="640"/>
        <w:rPr>
          <w:rFonts w:ascii="仿宋_GB2312" w:hAnsi="仿宋_GB2312" w:eastAsia="仿宋_GB2312"/>
          <w:sz w:val="32"/>
          <w:lang w:val="zh-CN"/>
        </w:rPr>
      </w:pPr>
      <w:r>
        <w:rPr>
          <w:rFonts w:hint="eastAsia" w:ascii="仿宋_GB2312" w:hAnsi="仿宋_GB2312" w:eastAsia="仿宋_GB2312"/>
          <w:sz w:val="32"/>
          <w:lang w:val="zh-CN"/>
        </w:rPr>
        <w:t>附表：</w:t>
      </w:r>
      <w:r>
        <w:rPr>
          <w:rFonts w:hint="eastAsia" w:ascii="仿宋_GB2312" w:hAnsi="仿宋_GB2312" w:eastAsia="仿宋_GB2312"/>
          <w:sz w:val="32"/>
        </w:rPr>
        <w:t>部门预算项目支出绩效自评表（2022年度）</w:t>
      </w:r>
    </w:p>
    <w:p>
      <w:pPr>
        <w:keepNext/>
        <w:keepLines/>
        <w:spacing w:after="120" w:line="560" w:lineRule="exact"/>
        <w:rPr>
          <w:rFonts w:ascii="宋体" w:hAnsi="宋体"/>
          <w:sz w:val="32"/>
          <w:lang w:val="zh-CN"/>
        </w:rPr>
      </w:pPr>
    </w:p>
    <w:p>
      <w:pPr>
        <w:pStyle w:val="6"/>
        <w:ind w:firstLine="640"/>
        <w:rPr>
          <w:rFonts w:ascii="宋体" w:hAnsi="宋体"/>
          <w:sz w:val="32"/>
          <w:lang w:val="zh-CN"/>
        </w:rPr>
      </w:pPr>
    </w:p>
    <w:p>
      <w:pPr>
        <w:pStyle w:val="6"/>
        <w:ind w:firstLine="640"/>
        <w:rPr>
          <w:rFonts w:ascii="宋体" w:hAnsi="宋体"/>
          <w:sz w:val="32"/>
          <w:lang w:val="zh-CN"/>
        </w:rPr>
      </w:pPr>
    </w:p>
    <w:p>
      <w:pPr>
        <w:pStyle w:val="6"/>
        <w:ind w:firstLine="640"/>
        <w:rPr>
          <w:rFonts w:ascii="宋体" w:hAnsi="宋体"/>
          <w:sz w:val="32"/>
          <w:lang w:val="zh-CN"/>
        </w:rPr>
      </w:pPr>
    </w:p>
    <w:p>
      <w:pPr>
        <w:pStyle w:val="6"/>
        <w:ind w:firstLine="640"/>
        <w:rPr>
          <w:rFonts w:ascii="宋体" w:hAnsi="宋体"/>
          <w:sz w:val="32"/>
          <w:lang w:val="zh-CN"/>
        </w:rPr>
      </w:pPr>
    </w:p>
    <w:p>
      <w:pPr>
        <w:pStyle w:val="6"/>
        <w:ind w:firstLine="640"/>
        <w:rPr>
          <w:rFonts w:ascii="宋体" w:hAnsi="宋体"/>
          <w:sz w:val="32"/>
          <w:lang w:val="zh-CN"/>
        </w:rPr>
      </w:pPr>
    </w:p>
    <w:p>
      <w:pPr>
        <w:pStyle w:val="6"/>
        <w:ind w:firstLine="640"/>
        <w:rPr>
          <w:rFonts w:ascii="宋体" w:hAnsi="宋体"/>
          <w:sz w:val="32"/>
          <w:lang w:val="zh-CN"/>
        </w:rPr>
      </w:pPr>
    </w:p>
    <w:p>
      <w:pPr>
        <w:pStyle w:val="6"/>
        <w:ind w:firstLine="640"/>
        <w:rPr>
          <w:rFonts w:ascii="宋体" w:hAnsi="宋体"/>
          <w:sz w:val="32"/>
          <w:lang w:val="zh-CN"/>
        </w:rPr>
      </w:pPr>
    </w:p>
    <w:p>
      <w:pPr>
        <w:pStyle w:val="6"/>
        <w:ind w:firstLine="640"/>
        <w:rPr>
          <w:rFonts w:ascii="宋体" w:hAnsi="宋体"/>
          <w:sz w:val="32"/>
          <w:lang w:val="zh-CN"/>
        </w:rPr>
      </w:pPr>
    </w:p>
    <w:p>
      <w:pPr>
        <w:pStyle w:val="6"/>
        <w:ind w:firstLine="640"/>
        <w:rPr>
          <w:rFonts w:ascii="宋体" w:hAnsi="宋体"/>
          <w:sz w:val="32"/>
          <w:lang w:val="zh-CN"/>
        </w:rPr>
      </w:pPr>
    </w:p>
    <w:p>
      <w:pPr>
        <w:pStyle w:val="6"/>
        <w:ind w:firstLine="640"/>
        <w:rPr>
          <w:rFonts w:ascii="宋体" w:hAnsi="宋体"/>
          <w:sz w:val="32"/>
          <w:lang w:val="zh-CN"/>
        </w:rPr>
      </w:pPr>
    </w:p>
    <w:p>
      <w:pPr>
        <w:pStyle w:val="6"/>
        <w:ind w:firstLine="640"/>
        <w:rPr>
          <w:rFonts w:ascii="宋体" w:hAnsi="宋体"/>
          <w:sz w:val="32"/>
          <w:lang w:val="zh-CN"/>
        </w:rPr>
      </w:pPr>
    </w:p>
    <w:p>
      <w:pPr>
        <w:pStyle w:val="6"/>
        <w:ind w:firstLine="640"/>
        <w:rPr>
          <w:rFonts w:ascii="宋体" w:hAnsi="宋体"/>
          <w:sz w:val="32"/>
          <w:lang w:val="zh-CN"/>
        </w:rPr>
      </w:pPr>
    </w:p>
    <w:p>
      <w:pPr>
        <w:pStyle w:val="6"/>
        <w:ind w:left="0" w:leftChars="0" w:firstLine="0" w:firstLineChars="0"/>
        <w:rPr>
          <w:rFonts w:ascii="宋体" w:hAnsi="宋体"/>
          <w:sz w:val="32"/>
          <w:lang w:val="zh-CN"/>
        </w:rPr>
      </w:pPr>
    </w:p>
    <w:tbl>
      <w:tblPr>
        <w:tblStyle w:val="17"/>
        <w:tblW w:w="8504" w:type="dxa"/>
        <w:tblInd w:w="91" w:type="dxa"/>
        <w:tblLayout w:type="autofit"/>
        <w:tblCellMar>
          <w:top w:w="0" w:type="dxa"/>
          <w:left w:w="108" w:type="dxa"/>
          <w:bottom w:w="0" w:type="dxa"/>
          <w:right w:w="108" w:type="dxa"/>
        </w:tblCellMar>
      </w:tblPr>
      <w:tblGrid>
        <w:gridCol w:w="591"/>
        <w:gridCol w:w="659"/>
        <w:gridCol w:w="883"/>
        <w:gridCol w:w="1291"/>
        <w:gridCol w:w="426"/>
        <w:gridCol w:w="898"/>
        <w:gridCol w:w="756"/>
        <w:gridCol w:w="908"/>
        <w:gridCol w:w="576"/>
        <w:gridCol w:w="411"/>
        <w:gridCol w:w="1105"/>
      </w:tblGrid>
      <w:tr>
        <w:trPr>
          <w:trHeight w:val="323" w:hRule="atLeast"/>
        </w:trPr>
        <w:tc>
          <w:tcPr>
            <w:tcW w:w="850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rPr>
          <w:trHeight w:val="525"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51042221R000000067320-退休费（事业）</w:t>
            </w:r>
          </w:p>
        </w:tc>
      </w:tr>
      <w:tr>
        <w:trPr>
          <w:trHeight w:val="570"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盐边县乡镇财政</w:t>
            </w:r>
          </w:p>
        </w:tc>
        <w:tc>
          <w:tcPr>
            <w:tcW w:w="908" w:type="dxa"/>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0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盐边县红果彝族乡人民政府</w:t>
            </w:r>
          </w:p>
        </w:tc>
      </w:tr>
      <w:tr>
        <w:trPr>
          <w:trHeight w:val="720"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720"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严格执行相关政策，保障工资及时发放、足额发放，预算编制科学合理，减少结余资金</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完成</w:t>
            </w:r>
          </w:p>
        </w:tc>
      </w:tr>
      <w:tr>
        <w:trPr>
          <w:trHeight w:val="1400"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585"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525"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0.15</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0.04</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0.04</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p>
        </w:tc>
        <w:tc>
          <w:tcPr>
            <w:tcW w:w="110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p>
        </w:tc>
      </w:tr>
      <w:tr>
        <w:trPr>
          <w:trHeight w:val="645"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0.15</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0.04</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0.04</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center"/>
              <w:rPr>
                <w:rFonts w:ascii="Courier New" w:hAnsi="Courier New" w:cs="Courier New"/>
                <w:color w:val="000000"/>
                <w:kern w:val="0"/>
                <w:sz w:val="18"/>
                <w:szCs w:val="18"/>
              </w:rPr>
            </w:pPr>
          </w:p>
        </w:tc>
      </w:tr>
      <w:tr>
        <w:trPr>
          <w:trHeight w:val="630"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center"/>
              <w:rPr>
                <w:rFonts w:ascii="Courier New" w:hAnsi="Courier New" w:cs="Courier New"/>
                <w:color w:val="000000"/>
                <w:kern w:val="0"/>
                <w:sz w:val="18"/>
                <w:szCs w:val="18"/>
              </w:rPr>
            </w:pPr>
          </w:p>
        </w:tc>
      </w:tr>
      <w:tr>
        <w:trPr>
          <w:trHeight w:val="645"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center"/>
              <w:rPr>
                <w:rFonts w:ascii="Courier New" w:hAnsi="Courier New" w:cs="Courier New"/>
                <w:color w:val="000000"/>
                <w:kern w:val="0"/>
                <w:sz w:val="18"/>
                <w:szCs w:val="18"/>
              </w:rPr>
            </w:pPr>
          </w:p>
        </w:tc>
      </w:tr>
      <w:tr>
        <w:trPr>
          <w:trHeight w:val="420"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center"/>
              <w:rPr>
                <w:rFonts w:ascii="Courier New" w:hAnsi="Courier New" w:cs="Courier New"/>
                <w:color w:val="000000"/>
                <w:kern w:val="0"/>
                <w:sz w:val="18"/>
                <w:szCs w:val="18"/>
              </w:rPr>
            </w:pPr>
          </w:p>
        </w:tc>
      </w:tr>
      <w:tr>
        <w:trPr>
          <w:trHeight w:val="808"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9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883"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足额保障率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p>
        </w:tc>
      </w:tr>
      <w:tr>
        <w:trPr>
          <w:trHeight w:val="630"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p>
        </w:tc>
        <w:tc>
          <w:tcPr>
            <w:tcW w:w="883" w:type="dxa"/>
            <w:vMerge w:val="continue"/>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科目调整次数</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次</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p>
        </w:tc>
      </w:tr>
      <w:tr>
        <w:trPr>
          <w:trHeight w:val="720"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按时发放率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p>
        </w:tc>
      </w:tr>
      <w:tr>
        <w:trPr>
          <w:trHeight w:val="720"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结余率（计算方法为：结余数/预算数）</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p>
        </w:tc>
      </w:tr>
      <w:tr>
        <w:trPr>
          <w:trHeight w:val="330" w:hRule="atLeast"/>
        </w:trPr>
        <w:tc>
          <w:tcPr>
            <w:tcW w:w="641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p>
        </w:tc>
      </w:tr>
      <w:tr>
        <w:trPr>
          <w:trHeight w:val="525"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严格执行相关政策，保障退休人员工资及时发放、足额发放。</w:t>
            </w:r>
          </w:p>
        </w:tc>
      </w:tr>
      <w:tr>
        <w:trPr>
          <w:trHeight w:val="540"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465"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285" w:hRule="atLeast"/>
        </w:trPr>
        <w:tc>
          <w:tcPr>
            <w:tcW w:w="38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65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trPr>
          <w:trHeight w:val="285" w:hRule="atLeast"/>
        </w:trPr>
        <w:tc>
          <w:tcPr>
            <w:tcW w:w="591" w:type="dxa"/>
            <w:tcBorders>
              <w:top w:val="nil"/>
              <w:left w:val="nil"/>
              <w:bottom w:val="nil"/>
              <w:right w:val="nil"/>
            </w:tcBorders>
            <w:shd w:val="clear" w:color="auto" w:fill="auto"/>
            <w:vAlign w:val="center"/>
          </w:tcPr>
          <w:p>
            <w:pPr>
              <w:widowControl/>
              <w:jc w:val="center"/>
              <w:rPr>
                <w:rFonts w:ascii="宋体" w:hAnsi="宋体" w:cs="宋体"/>
                <w:kern w:val="0"/>
                <w:sz w:val="18"/>
                <w:szCs w:val="18"/>
              </w:rP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tc>
        <w:tc>
          <w:tcPr>
            <w:tcW w:w="659" w:type="dxa"/>
            <w:tcBorders>
              <w:top w:val="nil"/>
              <w:left w:val="nil"/>
              <w:bottom w:val="nil"/>
              <w:right w:val="nil"/>
            </w:tcBorders>
            <w:shd w:val="clear" w:color="auto" w:fill="auto"/>
            <w:vAlign w:val="center"/>
          </w:tcPr>
          <w:p>
            <w:pPr>
              <w:widowControl/>
              <w:jc w:val="center"/>
              <w:rPr>
                <w:rFonts w:ascii="宋体" w:hAnsi="宋体" w:cs="宋体"/>
                <w:kern w:val="0"/>
                <w:sz w:val="18"/>
                <w:szCs w:val="18"/>
              </w:rPr>
            </w:pPr>
          </w:p>
        </w:tc>
        <w:tc>
          <w:tcPr>
            <w:tcW w:w="883" w:type="dxa"/>
            <w:tcBorders>
              <w:top w:val="nil"/>
              <w:left w:val="nil"/>
              <w:bottom w:val="nil"/>
              <w:right w:val="nil"/>
            </w:tcBorders>
            <w:shd w:val="clear" w:color="auto" w:fill="auto"/>
            <w:vAlign w:val="center"/>
          </w:tcPr>
          <w:p>
            <w:pPr>
              <w:widowControl/>
              <w:jc w:val="center"/>
              <w:rPr>
                <w:rFonts w:ascii="宋体" w:hAnsi="宋体" w:cs="宋体"/>
                <w:kern w:val="0"/>
                <w:sz w:val="18"/>
                <w:szCs w:val="18"/>
              </w:rPr>
            </w:pPr>
          </w:p>
        </w:tc>
        <w:tc>
          <w:tcPr>
            <w:tcW w:w="1291" w:type="dxa"/>
            <w:tcBorders>
              <w:top w:val="nil"/>
              <w:left w:val="nil"/>
              <w:bottom w:val="nil"/>
              <w:right w:val="nil"/>
            </w:tcBorders>
            <w:shd w:val="clear" w:color="auto" w:fill="auto"/>
            <w:vAlign w:val="center"/>
          </w:tcPr>
          <w:p>
            <w:pPr>
              <w:widowControl/>
              <w:jc w:val="center"/>
              <w:rPr>
                <w:rFonts w:ascii="宋体" w:hAnsi="宋体" w:cs="宋体"/>
                <w:kern w:val="0"/>
                <w:sz w:val="18"/>
                <w:szCs w:val="18"/>
              </w:rPr>
            </w:pPr>
          </w:p>
        </w:tc>
        <w:tc>
          <w:tcPr>
            <w:tcW w:w="426" w:type="dxa"/>
            <w:tcBorders>
              <w:top w:val="nil"/>
              <w:left w:val="nil"/>
              <w:bottom w:val="nil"/>
              <w:right w:val="nil"/>
            </w:tcBorders>
            <w:shd w:val="clear" w:color="auto" w:fill="auto"/>
            <w:vAlign w:val="center"/>
          </w:tcPr>
          <w:p>
            <w:pPr>
              <w:widowControl/>
              <w:jc w:val="center"/>
              <w:rPr>
                <w:rFonts w:ascii="宋体" w:hAnsi="宋体" w:cs="宋体"/>
                <w:kern w:val="0"/>
                <w:sz w:val="18"/>
                <w:szCs w:val="18"/>
              </w:rPr>
            </w:pPr>
          </w:p>
        </w:tc>
        <w:tc>
          <w:tcPr>
            <w:tcW w:w="898" w:type="dxa"/>
            <w:tcBorders>
              <w:top w:val="nil"/>
              <w:left w:val="nil"/>
              <w:bottom w:val="nil"/>
              <w:right w:val="nil"/>
            </w:tcBorders>
            <w:shd w:val="clear" w:color="auto" w:fill="auto"/>
            <w:vAlign w:val="center"/>
          </w:tcPr>
          <w:p>
            <w:pPr>
              <w:widowControl/>
              <w:jc w:val="center"/>
              <w:rPr>
                <w:rFonts w:ascii="宋体" w:hAnsi="宋体" w:cs="宋体"/>
                <w:kern w:val="0"/>
                <w:sz w:val="18"/>
                <w:szCs w:val="18"/>
              </w:rPr>
            </w:pPr>
          </w:p>
        </w:tc>
        <w:tc>
          <w:tcPr>
            <w:tcW w:w="756" w:type="dxa"/>
            <w:tcBorders>
              <w:top w:val="nil"/>
              <w:left w:val="nil"/>
              <w:bottom w:val="nil"/>
              <w:right w:val="nil"/>
            </w:tcBorders>
            <w:shd w:val="clear" w:color="auto" w:fill="auto"/>
            <w:vAlign w:val="center"/>
          </w:tcPr>
          <w:p>
            <w:pPr>
              <w:widowControl/>
              <w:jc w:val="center"/>
              <w:rPr>
                <w:rFonts w:ascii="宋体" w:hAnsi="宋体" w:cs="宋体"/>
                <w:kern w:val="0"/>
                <w:sz w:val="18"/>
                <w:szCs w:val="18"/>
              </w:rPr>
            </w:pPr>
          </w:p>
        </w:tc>
        <w:tc>
          <w:tcPr>
            <w:tcW w:w="908" w:type="dxa"/>
            <w:tcBorders>
              <w:top w:val="nil"/>
              <w:left w:val="nil"/>
              <w:bottom w:val="nil"/>
              <w:right w:val="nil"/>
            </w:tcBorders>
            <w:shd w:val="clear" w:color="auto" w:fill="auto"/>
            <w:vAlign w:val="center"/>
          </w:tcPr>
          <w:p>
            <w:pPr>
              <w:widowControl/>
              <w:jc w:val="center"/>
              <w:rPr>
                <w:rFonts w:ascii="宋体" w:hAnsi="宋体" w:cs="宋体"/>
                <w:kern w:val="0"/>
                <w:sz w:val="18"/>
                <w:szCs w:val="18"/>
              </w:rPr>
            </w:pPr>
          </w:p>
        </w:tc>
        <w:tc>
          <w:tcPr>
            <w:tcW w:w="576" w:type="dxa"/>
            <w:tcBorders>
              <w:top w:val="nil"/>
              <w:left w:val="nil"/>
              <w:bottom w:val="nil"/>
              <w:right w:val="nil"/>
            </w:tcBorders>
            <w:shd w:val="clear" w:color="auto" w:fill="auto"/>
            <w:vAlign w:val="center"/>
          </w:tcPr>
          <w:p>
            <w:pPr>
              <w:widowControl/>
              <w:jc w:val="center"/>
              <w:rPr>
                <w:rFonts w:ascii="宋体" w:hAnsi="宋体" w:cs="宋体"/>
                <w:kern w:val="0"/>
                <w:sz w:val="18"/>
                <w:szCs w:val="18"/>
              </w:rPr>
            </w:pPr>
          </w:p>
        </w:tc>
        <w:tc>
          <w:tcPr>
            <w:tcW w:w="411" w:type="dxa"/>
            <w:tcBorders>
              <w:top w:val="nil"/>
              <w:left w:val="nil"/>
              <w:bottom w:val="nil"/>
              <w:right w:val="nil"/>
            </w:tcBorders>
            <w:shd w:val="clear" w:color="auto" w:fill="auto"/>
            <w:vAlign w:val="center"/>
          </w:tcPr>
          <w:p>
            <w:pPr>
              <w:widowControl/>
              <w:jc w:val="center"/>
              <w:rPr>
                <w:rFonts w:ascii="宋体" w:hAnsi="宋体" w:cs="宋体"/>
                <w:kern w:val="0"/>
                <w:sz w:val="18"/>
                <w:szCs w:val="18"/>
              </w:rPr>
            </w:pPr>
          </w:p>
        </w:tc>
        <w:tc>
          <w:tcPr>
            <w:tcW w:w="1105" w:type="dxa"/>
            <w:tcBorders>
              <w:top w:val="nil"/>
              <w:left w:val="nil"/>
              <w:bottom w:val="nil"/>
              <w:right w:val="nil"/>
            </w:tcBorders>
            <w:shd w:val="clear" w:color="auto" w:fill="auto"/>
            <w:vAlign w:val="center"/>
          </w:tcPr>
          <w:p>
            <w:pPr>
              <w:widowControl/>
              <w:jc w:val="center"/>
              <w:rPr>
                <w:rFonts w:ascii="宋体" w:hAnsi="宋体" w:cs="宋体"/>
                <w:kern w:val="0"/>
                <w:sz w:val="18"/>
                <w:szCs w:val="18"/>
              </w:rPr>
            </w:pPr>
          </w:p>
        </w:tc>
      </w:tr>
      <w:tr>
        <w:trPr>
          <w:trHeight w:val="720" w:hRule="atLeast"/>
        </w:trPr>
        <w:tc>
          <w:tcPr>
            <w:tcW w:w="850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rPr>
          <w:trHeight w:val="720"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51042221R000000104506-遗属人员经费</w:t>
            </w:r>
          </w:p>
        </w:tc>
      </w:tr>
      <w:tr>
        <w:trPr>
          <w:trHeight w:val="720"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盐边县乡镇财政</w:t>
            </w:r>
          </w:p>
        </w:tc>
        <w:tc>
          <w:tcPr>
            <w:tcW w:w="908" w:type="dxa"/>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0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盐边县红果彝族乡人民政府</w:t>
            </w:r>
          </w:p>
        </w:tc>
      </w:tr>
      <w:tr>
        <w:trPr>
          <w:trHeight w:val="720"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720"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严格执行相关政策，保障工资及时发放、足额发放，预算编制科学合理，减少结余资金</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完成</w:t>
            </w:r>
          </w:p>
        </w:tc>
      </w:tr>
      <w:tr>
        <w:trPr>
          <w:trHeight w:val="720"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严格执行相关政策，保障遗属人员补助及时发放、足额发放，预算编制科学合理，减少结余资金</w:t>
            </w:r>
          </w:p>
        </w:tc>
      </w:tr>
      <w:tr>
        <w:trPr>
          <w:trHeight w:val="720"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720"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6.67</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6.63</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6.63</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rPr>
          <w:trHeight w:val="720"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6.67</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6.63</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6.63</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720"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720"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720"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720"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720"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883"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科目调整次数</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次</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720"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88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足额保障率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720"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按时发放率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720"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结余率（计算方法为：结余数/预算数）</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720" w:hRule="atLeast"/>
        </w:trPr>
        <w:tc>
          <w:tcPr>
            <w:tcW w:w="641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1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720"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完成遗属人员补助发放</w:t>
            </w:r>
          </w:p>
        </w:tc>
      </w:tr>
      <w:tr>
        <w:trPr>
          <w:trHeight w:val="720"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720"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720" w:hRule="atLeast"/>
        </w:trPr>
        <w:tc>
          <w:tcPr>
            <w:tcW w:w="38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65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trPr>
          <w:trHeight w:val="720" w:hRule="atLeast"/>
        </w:trPr>
        <w:tc>
          <w:tcPr>
            <w:tcW w:w="591" w:type="dxa"/>
            <w:tcBorders>
              <w:top w:val="nil"/>
              <w:left w:val="nil"/>
              <w:bottom w:val="nil"/>
              <w:right w:val="nil"/>
            </w:tcBorders>
            <w:shd w:val="clear" w:color="auto" w:fill="auto"/>
            <w:vAlign w:val="center"/>
          </w:tcPr>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c>
        <w:tc>
          <w:tcPr>
            <w:tcW w:w="65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83"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2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2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9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75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90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1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105"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r>
      <w:tr>
        <w:trPr>
          <w:trHeight w:val="720" w:hRule="atLeast"/>
        </w:trPr>
        <w:tc>
          <w:tcPr>
            <w:tcW w:w="850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rPr>
          <w:trHeight w:val="720"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51042221Y000000067570-公用经费-公务员、参公人员交通补贴</w:t>
            </w:r>
          </w:p>
        </w:tc>
      </w:tr>
      <w:tr>
        <w:trPr>
          <w:trHeight w:val="720"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盐边县乡镇财政</w:t>
            </w:r>
          </w:p>
        </w:tc>
        <w:tc>
          <w:tcPr>
            <w:tcW w:w="908" w:type="dxa"/>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0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盐边县红果彝族乡人民政府</w:t>
            </w:r>
          </w:p>
        </w:tc>
      </w:tr>
      <w:tr>
        <w:trPr>
          <w:trHeight w:val="720"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720"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保障单位日常运转，提高预算编制质量，严格执行预算</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完成</w:t>
            </w:r>
          </w:p>
        </w:tc>
      </w:tr>
      <w:tr>
        <w:trPr>
          <w:trHeight w:val="720"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保障单位日常运转，提高预算编制质量，严格执行预算</w:t>
            </w:r>
          </w:p>
        </w:tc>
      </w:tr>
      <w:tr>
        <w:trPr>
          <w:trHeight w:val="720"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720"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22.98</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19.18</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19.18</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720"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22.98</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19.18</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19.18</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r>
      <w:tr>
        <w:trPr>
          <w:trHeight w:val="720"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r>
      <w:tr>
        <w:trPr>
          <w:trHeight w:val="720"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r>
      <w:tr>
        <w:trPr>
          <w:trHeight w:val="720"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i/>
                <w:iCs/>
                <w:color w:val="000000"/>
                <w:kern w:val="0"/>
                <w:sz w:val="16"/>
                <w:szCs w:val="16"/>
              </w:rPr>
            </w:pPr>
            <w:r>
              <w:rPr>
                <w:rFonts w:hint="eastAsia" w:ascii="宋体" w:hAnsi="宋体" w:cs="宋体"/>
                <w:i/>
                <w:iCs/>
                <w:color w:val="000000"/>
                <w:kern w:val="0"/>
                <w:sz w:val="16"/>
                <w:szCs w:val="16"/>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i/>
                <w:iCs/>
                <w:color w:val="000000"/>
                <w:kern w:val="0"/>
                <w:sz w:val="16"/>
                <w:szCs w:val="16"/>
              </w:rPr>
            </w:pPr>
            <w:r>
              <w:rPr>
                <w:rFonts w:hint="eastAsia" w:ascii="宋体" w:hAnsi="宋体" w:cs="宋体"/>
                <w:i/>
                <w:iCs/>
                <w:color w:val="000000"/>
                <w:kern w:val="0"/>
                <w:sz w:val="16"/>
                <w:szCs w:val="16"/>
              </w:rPr>
              <w:t>　</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i/>
                <w:iCs/>
                <w:color w:val="000000"/>
                <w:kern w:val="0"/>
                <w:sz w:val="16"/>
                <w:szCs w:val="16"/>
              </w:rPr>
            </w:pPr>
            <w:r>
              <w:rPr>
                <w:rFonts w:hint="eastAsia" w:ascii="宋体" w:hAnsi="宋体" w:cs="宋体"/>
                <w:i/>
                <w:iCs/>
                <w:color w:val="000000"/>
                <w:kern w:val="0"/>
                <w:sz w:val="16"/>
                <w:szCs w:val="16"/>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i/>
                <w:iCs/>
                <w:color w:val="000000"/>
                <w:kern w:val="0"/>
                <w:sz w:val="16"/>
                <w:szCs w:val="16"/>
              </w:rPr>
            </w:pPr>
            <w:r>
              <w:rPr>
                <w:rFonts w:hint="eastAsia" w:ascii="宋体" w:hAnsi="宋体"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r>
      <w:tr>
        <w:trPr>
          <w:trHeight w:val="720"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720"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科目调整次数</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次</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720"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预算编制准确率（计算方法为：∣（执行数-预算数）/预算数∣）</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720"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883"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“三公经费”控制率[计算方法为：（三公经费实际支出数/预算安排数]×100%）</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720"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88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运转保障率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720" w:hRule="atLeast"/>
        </w:trPr>
        <w:tc>
          <w:tcPr>
            <w:tcW w:w="641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1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720"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完成公务员、机关工勤人员公务交通补贴发放。</w:t>
            </w:r>
          </w:p>
        </w:tc>
      </w:tr>
      <w:tr>
        <w:trPr>
          <w:trHeight w:val="720"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720"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720" w:hRule="atLeast"/>
        </w:trPr>
        <w:tc>
          <w:tcPr>
            <w:tcW w:w="38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65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trPr>
          <w:trHeight w:val="720" w:hRule="atLeast"/>
        </w:trPr>
        <w:tc>
          <w:tcPr>
            <w:tcW w:w="5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p>
            <w:pPr>
              <w:pStyle w:val="2"/>
            </w:pPr>
          </w:p>
          <w:p>
            <w:pPr>
              <w:pStyle w:val="2"/>
            </w:pPr>
          </w:p>
          <w:p>
            <w:pPr>
              <w:pStyle w:val="2"/>
            </w:pPr>
          </w:p>
          <w:p>
            <w:pPr>
              <w:pStyle w:val="2"/>
            </w:pPr>
          </w:p>
          <w:p>
            <w:pPr>
              <w:pStyle w:val="2"/>
            </w:pPr>
          </w:p>
          <w:p>
            <w:pPr>
              <w:pStyle w:val="2"/>
            </w:pPr>
          </w:p>
        </w:tc>
        <w:tc>
          <w:tcPr>
            <w:tcW w:w="65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83"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2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2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9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75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90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1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105"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r>
      <w:tr>
        <w:trPr>
          <w:trHeight w:val="720" w:hRule="atLeast"/>
        </w:trPr>
        <w:tc>
          <w:tcPr>
            <w:tcW w:w="850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rPr>
          <w:trHeight w:val="720"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51042221Y000000067571-公用经费-各单位金财网网络运行维护费</w:t>
            </w:r>
          </w:p>
        </w:tc>
      </w:tr>
      <w:tr>
        <w:trPr>
          <w:trHeight w:val="720"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盐边县乡镇财政</w:t>
            </w:r>
          </w:p>
        </w:tc>
        <w:tc>
          <w:tcPr>
            <w:tcW w:w="908" w:type="dxa"/>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0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盐边县红果彝族乡人民政府</w:t>
            </w:r>
          </w:p>
        </w:tc>
      </w:tr>
      <w:tr>
        <w:trPr>
          <w:trHeight w:val="720"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720"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保障单位日常运转，提高预算编制质量，严格执行预算</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完成</w:t>
            </w:r>
          </w:p>
        </w:tc>
      </w:tr>
      <w:tr>
        <w:trPr>
          <w:trHeight w:val="720"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保障单位日常运转，提高预算编制质量，严格执行预算</w:t>
            </w:r>
          </w:p>
        </w:tc>
      </w:tr>
      <w:tr>
        <w:trPr>
          <w:trHeight w:val="720"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720"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0.12</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0.12</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0.12</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rPr>
          <w:trHeight w:val="720"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0.12</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0.12</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0.12</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720"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720"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720"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720"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720"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科目调整次数</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次</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720"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预算编制准确率（计算方法为：∣（执行数-预算数）/预算数∣）</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720"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883"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运转保障率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720"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88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“三公经费”控制率[计算方法为：（三公经费实际支出数/预算安排数]×100%）</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720" w:hRule="atLeast"/>
        </w:trPr>
        <w:tc>
          <w:tcPr>
            <w:tcW w:w="641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1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720"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支付2022年金财网维护费</w:t>
            </w:r>
          </w:p>
        </w:tc>
      </w:tr>
      <w:tr>
        <w:trPr>
          <w:trHeight w:val="720"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720"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720" w:hRule="atLeast"/>
        </w:trPr>
        <w:tc>
          <w:tcPr>
            <w:tcW w:w="38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65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trPr>
          <w:trHeight w:val="720" w:hRule="atLeast"/>
        </w:trPr>
        <w:tc>
          <w:tcPr>
            <w:tcW w:w="5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p>
            <w:pPr>
              <w:pStyle w:val="2"/>
            </w:pPr>
          </w:p>
          <w:p>
            <w:pPr>
              <w:pStyle w:val="2"/>
            </w:pPr>
          </w:p>
          <w:p>
            <w:pPr>
              <w:pStyle w:val="2"/>
            </w:pPr>
          </w:p>
          <w:p>
            <w:pPr>
              <w:pStyle w:val="2"/>
            </w:pPr>
          </w:p>
          <w:p>
            <w:pPr>
              <w:pStyle w:val="2"/>
            </w:pPr>
          </w:p>
          <w:p>
            <w:pPr>
              <w:pStyle w:val="2"/>
            </w:pPr>
          </w:p>
        </w:tc>
        <w:tc>
          <w:tcPr>
            <w:tcW w:w="65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83"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2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2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9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75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90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1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105"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r>
      <w:tr>
        <w:trPr>
          <w:trHeight w:val="720" w:hRule="atLeast"/>
        </w:trPr>
        <w:tc>
          <w:tcPr>
            <w:tcW w:w="850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rPr>
          <w:trHeight w:val="720"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51042221Y000000102324-公用经费-离退休人员（行政）</w:t>
            </w:r>
          </w:p>
        </w:tc>
      </w:tr>
      <w:tr>
        <w:trPr>
          <w:trHeight w:val="720"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盐边县乡镇财政</w:t>
            </w:r>
          </w:p>
        </w:tc>
        <w:tc>
          <w:tcPr>
            <w:tcW w:w="908" w:type="dxa"/>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0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盐边县红果彝族乡人民政府</w:t>
            </w:r>
          </w:p>
        </w:tc>
      </w:tr>
      <w:tr>
        <w:trPr>
          <w:trHeight w:val="720"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720"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保障单位日常运转，提高预算编制质量，严格执行预算</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完成</w:t>
            </w:r>
          </w:p>
        </w:tc>
      </w:tr>
      <w:tr>
        <w:trPr>
          <w:trHeight w:val="720"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保障单位日常运转，提高预算编制质量，严格执行预算</w:t>
            </w:r>
          </w:p>
        </w:tc>
      </w:tr>
      <w:tr>
        <w:trPr>
          <w:trHeight w:val="720"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720"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rPr>
          <w:trHeight w:val="720"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720"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720"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720"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720"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720"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科目调整次数</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次</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720"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预算编制准确率（计算方法为：∣（执行数-预算数）/预算数∣）</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720"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883"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“三公经费”控制率[计算方法为：（三公经费实际支出数/预算安排数]×100%）</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720"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88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运转保障率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720" w:hRule="atLeast"/>
        </w:trPr>
        <w:tc>
          <w:tcPr>
            <w:tcW w:w="641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1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720"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退休人员退休费</w:t>
            </w:r>
          </w:p>
        </w:tc>
      </w:tr>
      <w:tr>
        <w:trPr>
          <w:trHeight w:val="720"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720"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吴</w:t>
            </w:r>
          </w:p>
        </w:tc>
      </w:tr>
      <w:tr>
        <w:trPr>
          <w:trHeight w:val="720" w:hRule="atLeast"/>
        </w:trPr>
        <w:tc>
          <w:tcPr>
            <w:tcW w:w="38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65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trPr>
          <w:trHeight w:val="285" w:hRule="atLeast"/>
        </w:trPr>
        <w:tc>
          <w:tcPr>
            <w:tcW w:w="5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p>
            <w:pPr>
              <w:pStyle w:val="2"/>
            </w:pPr>
          </w:p>
          <w:p>
            <w:pPr>
              <w:pStyle w:val="2"/>
            </w:pPr>
          </w:p>
          <w:p>
            <w:pPr>
              <w:pStyle w:val="2"/>
            </w:pPr>
          </w:p>
          <w:p>
            <w:pPr>
              <w:pStyle w:val="2"/>
            </w:pPr>
          </w:p>
          <w:p>
            <w:pPr>
              <w:pStyle w:val="2"/>
            </w:pPr>
          </w:p>
          <w:p>
            <w:pPr>
              <w:pStyle w:val="2"/>
            </w:pPr>
          </w:p>
        </w:tc>
        <w:tc>
          <w:tcPr>
            <w:tcW w:w="65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83"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2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2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9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75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90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1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105"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r>
      <w:tr>
        <w:trPr>
          <w:trHeight w:val="904" w:hRule="atLeast"/>
        </w:trPr>
        <w:tc>
          <w:tcPr>
            <w:tcW w:w="850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rPr>
          <w:trHeight w:val="285"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51042221Y000000102332-公用经费-离退休人员（事业）</w:t>
            </w:r>
          </w:p>
        </w:tc>
      </w:tr>
      <w:tr>
        <w:trPr>
          <w:trHeight w:val="514"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盐边县乡镇财政</w:t>
            </w:r>
          </w:p>
        </w:tc>
        <w:tc>
          <w:tcPr>
            <w:tcW w:w="908" w:type="dxa"/>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0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盐边县红果彝族乡人民政府</w:t>
            </w:r>
          </w:p>
        </w:tc>
      </w:tr>
      <w:tr>
        <w:trPr>
          <w:trHeight w:val="285"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70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保障单位日常运转，提高预算编制质量，严格执行预算</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完成</w:t>
            </w:r>
          </w:p>
        </w:tc>
      </w:tr>
      <w:tr>
        <w:trPr>
          <w:trHeight w:val="69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保障单位日常运转，提高预算编制质量，严格执行预算</w:t>
            </w:r>
          </w:p>
        </w:tc>
      </w:tr>
      <w:tr>
        <w:trPr>
          <w:trHeight w:val="360"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38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0.30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0.30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0.30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rPr>
          <w:trHeight w:val="43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0.30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0.30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0.30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4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0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37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54"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科目调整次数</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次</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67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预算编制准确率（计算方法为：∣（执行数-预算数）/预算数∣）</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883"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运转保障率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90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88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“三公经费”控制率[计算方法为：（三公经费实际支出数/预算安排数]×100%）</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285" w:hRule="atLeast"/>
        </w:trPr>
        <w:tc>
          <w:tcPr>
            <w:tcW w:w="641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1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60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退休人员经费</w:t>
            </w:r>
          </w:p>
        </w:tc>
      </w:tr>
      <w:tr>
        <w:trPr>
          <w:trHeight w:val="57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63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285" w:hRule="atLeast"/>
        </w:trPr>
        <w:tc>
          <w:tcPr>
            <w:tcW w:w="38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65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trPr>
          <w:trHeight w:val="285" w:hRule="atLeast"/>
        </w:trPr>
        <w:tc>
          <w:tcPr>
            <w:tcW w:w="591" w:type="dxa"/>
            <w:tcBorders>
              <w:top w:val="nil"/>
              <w:left w:val="nil"/>
              <w:bottom w:val="nil"/>
              <w:right w:val="nil"/>
            </w:tcBorders>
            <w:shd w:val="clear" w:color="auto" w:fill="auto"/>
            <w:vAlign w:val="center"/>
          </w:tcPr>
          <w:p>
            <w:pPr>
              <w:pStyle w:val="2"/>
            </w:pPr>
          </w:p>
          <w:p>
            <w:pPr>
              <w:pStyle w:val="2"/>
            </w:pPr>
          </w:p>
          <w:p>
            <w:pPr>
              <w:pStyle w:val="2"/>
            </w:pPr>
          </w:p>
          <w:p>
            <w:pPr>
              <w:pStyle w:val="2"/>
            </w:pPr>
          </w:p>
          <w:p>
            <w:pPr>
              <w:pStyle w:val="2"/>
            </w:pPr>
          </w:p>
          <w:p>
            <w:pPr>
              <w:pStyle w:val="2"/>
            </w:pPr>
          </w:p>
          <w:p>
            <w:pPr>
              <w:pStyle w:val="2"/>
            </w:pPr>
          </w:p>
          <w:p>
            <w:pPr>
              <w:pStyle w:val="2"/>
            </w:pPr>
          </w:p>
          <w:p>
            <w:pPr>
              <w:pStyle w:val="2"/>
            </w:pPr>
          </w:p>
        </w:tc>
        <w:tc>
          <w:tcPr>
            <w:tcW w:w="65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83"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2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2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9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75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90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1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105"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r>
      <w:tr>
        <w:trPr>
          <w:trHeight w:val="904" w:hRule="atLeast"/>
        </w:trPr>
        <w:tc>
          <w:tcPr>
            <w:tcW w:w="850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rPr>
          <w:trHeight w:val="285"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51042222R000000300149-工资性支出（党政办公室-乡镇党委）</w:t>
            </w:r>
          </w:p>
        </w:tc>
      </w:tr>
      <w:tr>
        <w:trPr>
          <w:trHeight w:val="514"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盐边县乡镇财政</w:t>
            </w:r>
          </w:p>
        </w:tc>
        <w:tc>
          <w:tcPr>
            <w:tcW w:w="908" w:type="dxa"/>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0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盐边县红果彝族乡人民政府</w:t>
            </w:r>
          </w:p>
        </w:tc>
      </w:tr>
      <w:tr>
        <w:trPr>
          <w:trHeight w:val="285"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70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严格执行相关政策，保障工资及时发放、足额发放，预算编制科学合理，减少结余资金</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完成</w:t>
            </w:r>
          </w:p>
        </w:tc>
      </w:tr>
      <w:tr>
        <w:trPr>
          <w:trHeight w:val="69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严格执行相关政策，保障工资及时发放、足额发放，预算编制科学合理，减少结余资金</w:t>
            </w:r>
          </w:p>
        </w:tc>
      </w:tr>
      <w:tr>
        <w:trPr>
          <w:trHeight w:val="360"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38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14.47</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19.34</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19.34</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rPr>
          <w:trHeight w:val="43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14.47</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19.34</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19.34</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4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0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37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54"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883"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足额保障率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88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科目调整次数</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次</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按时发放率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45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结余率（计算方法为：结余数/预算数）</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285" w:hRule="atLeast"/>
        </w:trPr>
        <w:tc>
          <w:tcPr>
            <w:tcW w:w="641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1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60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工资</w:t>
            </w:r>
          </w:p>
        </w:tc>
      </w:tr>
      <w:tr>
        <w:trPr>
          <w:trHeight w:val="57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63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285" w:hRule="atLeast"/>
        </w:trPr>
        <w:tc>
          <w:tcPr>
            <w:tcW w:w="38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65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trPr>
          <w:trHeight w:val="285" w:hRule="atLeast"/>
        </w:trPr>
        <w:tc>
          <w:tcPr>
            <w:tcW w:w="591" w:type="dxa"/>
            <w:tcBorders>
              <w:top w:val="nil"/>
              <w:left w:val="nil"/>
              <w:bottom w:val="nil"/>
              <w:right w:val="nil"/>
            </w:tcBorders>
            <w:shd w:val="clear" w:color="auto" w:fill="auto"/>
            <w:vAlign w:val="center"/>
          </w:tcPr>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c>
        <w:tc>
          <w:tcPr>
            <w:tcW w:w="65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83"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2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2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9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75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90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1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105"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r>
      <w:tr>
        <w:trPr>
          <w:trHeight w:val="904" w:hRule="atLeast"/>
        </w:trPr>
        <w:tc>
          <w:tcPr>
            <w:tcW w:w="850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rPr>
          <w:trHeight w:val="285"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51042222R000000300330-工资性支出（党政办公室-乡镇人大）</w:t>
            </w:r>
          </w:p>
        </w:tc>
      </w:tr>
      <w:tr>
        <w:trPr>
          <w:trHeight w:val="514"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盐边县乡镇财政</w:t>
            </w:r>
          </w:p>
        </w:tc>
        <w:tc>
          <w:tcPr>
            <w:tcW w:w="908" w:type="dxa"/>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0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盐边县红果彝族乡人民政府</w:t>
            </w:r>
          </w:p>
        </w:tc>
      </w:tr>
      <w:tr>
        <w:trPr>
          <w:trHeight w:val="285"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70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严格执行相关政策，保障工资及时发放、足额发放，预算编制科学合理，减少结余资金</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完成</w:t>
            </w:r>
          </w:p>
        </w:tc>
      </w:tr>
      <w:tr>
        <w:trPr>
          <w:trHeight w:val="69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严格执行相关政策，保障工资及时发放、足额发放，预算编制科学合理，减少结余资金</w:t>
            </w:r>
          </w:p>
        </w:tc>
      </w:tr>
      <w:tr>
        <w:trPr>
          <w:trHeight w:val="360"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38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29.14</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33.37</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33.37</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追加预算</w:t>
            </w:r>
          </w:p>
        </w:tc>
      </w:tr>
      <w:tr>
        <w:trPr>
          <w:trHeight w:val="43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29.14</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33.37</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33.37</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4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0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37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54"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883"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科目调整次数</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次</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88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足额保障率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按时发放率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45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结余率（计算方法为：结余数/预算数）</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285" w:hRule="atLeast"/>
        </w:trPr>
        <w:tc>
          <w:tcPr>
            <w:tcW w:w="641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1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60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工资</w:t>
            </w:r>
          </w:p>
        </w:tc>
      </w:tr>
      <w:tr>
        <w:trPr>
          <w:trHeight w:val="57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63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285" w:hRule="atLeast"/>
        </w:trPr>
        <w:tc>
          <w:tcPr>
            <w:tcW w:w="38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65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trPr>
          <w:trHeight w:val="285" w:hRule="atLeast"/>
        </w:trPr>
        <w:tc>
          <w:tcPr>
            <w:tcW w:w="591" w:type="dxa"/>
            <w:tcBorders>
              <w:top w:val="nil"/>
              <w:left w:val="nil"/>
              <w:bottom w:val="nil"/>
              <w:right w:val="nil"/>
            </w:tcBorders>
            <w:shd w:val="clear" w:color="auto" w:fill="auto"/>
            <w:vAlign w:val="center"/>
          </w:tcPr>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c>
        <w:tc>
          <w:tcPr>
            <w:tcW w:w="65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83"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2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2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9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75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90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1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105"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r>
      <w:tr>
        <w:trPr>
          <w:trHeight w:val="904" w:hRule="atLeast"/>
        </w:trPr>
        <w:tc>
          <w:tcPr>
            <w:tcW w:w="850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rPr>
          <w:trHeight w:val="285"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51042222R000000300336-工资性支出（党政办公室-乡镇政府）</w:t>
            </w:r>
          </w:p>
        </w:tc>
      </w:tr>
      <w:tr>
        <w:trPr>
          <w:trHeight w:val="514"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盐边县乡镇财政</w:t>
            </w:r>
          </w:p>
        </w:tc>
        <w:tc>
          <w:tcPr>
            <w:tcW w:w="908" w:type="dxa"/>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0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盐边县红果彝族乡人民政府</w:t>
            </w:r>
          </w:p>
        </w:tc>
      </w:tr>
      <w:tr>
        <w:trPr>
          <w:trHeight w:val="285"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70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严格执行相关政策，保障工资及时发放、足额发放，预算编制科学合理，减少结余资金</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完成</w:t>
            </w:r>
          </w:p>
        </w:tc>
      </w:tr>
      <w:tr>
        <w:trPr>
          <w:trHeight w:val="69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严格执行相关政策，保障工资及时发放、足额发放，预算编制科学合理，减少结余资金</w:t>
            </w:r>
          </w:p>
        </w:tc>
      </w:tr>
      <w:tr>
        <w:trPr>
          <w:trHeight w:val="360"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38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334.65</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362.29</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362.29</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追加预算</w:t>
            </w:r>
          </w:p>
        </w:tc>
      </w:tr>
      <w:tr>
        <w:trPr>
          <w:trHeight w:val="43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334.65</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362.29</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362.29</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4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0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37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54"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883"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科目调整次数</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次</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88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足额保障率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按时发放率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45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结余率（计算方法为：结余数/预算数）</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285" w:hRule="atLeast"/>
        </w:trPr>
        <w:tc>
          <w:tcPr>
            <w:tcW w:w="641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1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60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工资</w:t>
            </w:r>
          </w:p>
        </w:tc>
      </w:tr>
      <w:tr>
        <w:trPr>
          <w:trHeight w:val="57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63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285" w:hRule="atLeast"/>
        </w:trPr>
        <w:tc>
          <w:tcPr>
            <w:tcW w:w="38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65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trPr>
          <w:trHeight w:val="285" w:hRule="atLeast"/>
        </w:trPr>
        <w:tc>
          <w:tcPr>
            <w:tcW w:w="5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c>
        <w:tc>
          <w:tcPr>
            <w:tcW w:w="65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83"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2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2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9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75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90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1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105"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r>
      <w:tr>
        <w:trPr>
          <w:trHeight w:val="904" w:hRule="atLeast"/>
        </w:trPr>
        <w:tc>
          <w:tcPr>
            <w:tcW w:w="850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rPr>
          <w:trHeight w:val="285"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51042222R000000300359-工资性支出（便民服务中心）</w:t>
            </w:r>
          </w:p>
        </w:tc>
      </w:tr>
      <w:tr>
        <w:trPr>
          <w:trHeight w:val="514"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盐边县乡镇财政</w:t>
            </w:r>
          </w:p>
        </w:tc>
        <w:tc>
          <w:tcPr>
            <w:tcW w:w="908" w:type="dxa"/>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0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盐边县红果彝族乡人民政府</w:t>
            </w:r>
          </w:p>
        </w:tc>
      </w:tr>
      <w:tr>
        <w:trPr>
          <w:trHeight w:val="285"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70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严格执行相关政策，保障工资及时发放、足额发放，预算编制科学合理，减少结余资金</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完成</w:t>
            </w:r>
          </w:p>
        </w:tc>
      </w:tr>
      <w:tr>
        <w:trPr>
          <w:trHeight w:val="69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严格执行相关政策，保障工资及时发放、足额发放，预算编制科学合理，减少结余资金</w:t>
            </w:r>
          </w:p>
        </w:tc>
      </w:tr>
      <w:tr>
        <w:trPr>
          <w:trHeight w:val="360"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38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81.38</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89.14</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89.14</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rPr>
          <w:trHeight w:val="43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81.38</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89.14</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89.14</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4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0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37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54"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883"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足额保障率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88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科目调整次数</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次</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按时发放率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45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结余率（计算方法为：结余数/预算数）</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285" w:hRule="atLeast"/>
        </w:trPr>
        <w:tc>
          <w:tcPr>
            <w:tcW w:w="641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1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60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工资</w:t>
            </w:r>
          </w:p>
        </w:tc>
      </w:tr>
      <w:tr>
        <w:trPr>
          <w:trHeight w:val="57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63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285" w:hRule="atLeast"/>
        </w:trPr>
        <w:tc>
          <w:tcPr>
            <w:tcW w:w="38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65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trPr>
          <w:trHeight w:val="285" w:hRule="atLeast"/>
        </w:trPr>
        <w:tc>
          <w:tcPr>
            <w:tcW w:w="5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c>
        <w:tc>
          <w:tcPr>
            <w:tcW w:w="65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83"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2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2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9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75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90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1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105"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r>
      <w:tr>
        <w:trPr>
          <w:trHeight w:val="904" w:hRule="atLeast"/>
        </w:trPr>
        <w:tc>
          <w:tcPr>
            <w:tcW w:w="850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rPr>
          <w:trHeight w:val="285"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51042222R000000300364-工资性支出（农业农村服务中心）</w:t>
            </w:r>
          </w:p>
        </w:tc>
      </w:tr>
      <w:tr>
        <w:trPr>
          <w:trHeight w:val="514"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盐边县乡镇财政</w:t>
            </w:r>
          </w:p>
        </w:tc>
        <w:tc>
          <w:tcPr>
            <w:tcW w:w="908" w:type="dxa"/>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0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盐边县红果彝族乡人民政府</w:t>
            </w:r>
          </w:p>
        </w:tc>
      </w:tr>
      <w:tr>
        <w:trPr>
          <w:trHeight w:val="285"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70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严格执行相关政策，保障工资及时发放、足额发放，预算编制科学合理，减少结余资金</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完成</w:t>
            </w:r>
          </w:p>
        </w:tc>
      </w:tr>
      <w:tr>
        <w:trPr>
          <w:trHeight w:val="69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严格执行相关政策，保障工资及时发放、足额发放，预算编制科学合理，减少结余资金</w:t>
            </w:r>
          </w:p>
        </w:tc>
      </w:tr>
      <w:tr>
        <w:trPr>
          <w:trHeight w:val="360"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38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119.08</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145.18</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145.18</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追加预算</w:t>
            </w:r>
          </w:p>
        </w:tc>
      </w:tr>
      <w:tr>
        <w:trPr>
          <w:trHeight w:val="43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119.08</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145.18</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145.18</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4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0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37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54"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883"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足额保障率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88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科目调整次数</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次</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按时发放率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45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结余率（计算方法为：结余数/预算数）</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285" w:hRule="atLeast"/>
        </w:trPr>
        <w:tc>
          <w:tcPr>
            <w:tcW w:w="641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1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60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工资</w:t>
            </w:r>
          </w:p>
        </w:tc>
      </w:tr>
      <w:tr>
        <w:trPr>
          <w:trHeight w:val="57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63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285" w:hRule="atLeast"/>
        </w:trPr>
        <w:tc>
          <w:tcPr>
            <w:tcW w:w="38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65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trPr>
          <w:trHeight w:val="285" w:hRule="atLeast"/>
        </w:trPr>
        <w:tc>
          <w:tcPr>
            <w:tcW w:w="5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c>
        <w:tc>
          <w:tcPr>
            <w:tcW w:w="65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83"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2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2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9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75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90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1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105"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r>
      <w:tr>
        <w:trPr>
          <w:trHeight w:val="904" w:hRule="atLeast"/>
        </w:trPr>
        <w:tc>
          <w:tcPr>
            <w:tcW w:w="850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rPr>
          <w:trHeight w:val="285"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51042222R000000300365-工资性支出（村镇建设服务中心）</w:t>
            </w:r>
          </w:p>
        </w:tc>
      </w:tr>
      <w:tr>
        <w:trPr>
          <w:trHeight w:val="514"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盐边县乡镇财政</w:t>
            </w:r>
          </w:p>
        </w:tc>
        <w:tc>
          <w:tcPr>
            <w:tcW w:w="908" w:type="dxa"/>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0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盐边县红果彝族乡人民政府</w:t>
            </w:r>
          </w:p>
        </w:tc>
      </w:tr>
      <w:tr>
        <w:trPr>
          <w:trHeight w:val="285"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70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严格执行相关政策，保障工资及时发放、足额发放，预算编制科学合理，减少结余资金</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完成</w:t>
            </w:r>
          </w:p>
        </w:tc>
      </w:tr>
      <w:tr>
        <w:trPr>
          <w:trHeight w:val="69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严格执行相关政策，保障工资及时发放、足额发放，预算编制科学合理，减少结余资金</w:t>
            </w:r>
          </w:p>
        </w:tc>
      </w:tr>
      <w:tr>
        <w:trPr>
          <w:trHeight w:val="360"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38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24.80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39.23</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39.23</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rPr>
          <w:trHeight w:val="43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24.80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39.23</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39.23</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4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0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37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54"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883"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科目调整次数</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次</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88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足额保障率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按时发放率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45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结余率（计算方法为：结余数/预算数）</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285" w:hRule="atLeast"/>
        </w:trPr>
        <w:tc>
          <w:tcPr>
            <w:tcW w:w="641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1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60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工资</w:t>
            </w:r>
          </w:p>
        </w:tc>
      </w:tr>
      <w:tr>
        <w:trPr>
          <w:trHeight w:val="57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63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285" w:hRule="atLeast"/>
        </w:trPr>
        <w:tc>
          <w:tcPr>
            <w:tcW w:w="38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65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trPr>
          <w:trHeight w:val="285" w:hRule="atLeast"/>
        </w:trPr>
        <w:tc>
          <w:tcPr>
            <w:tcW w:w="5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c>
        <w:tc>
          <w:tcPr>
            <w:tcW w:w="65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83"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2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2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9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75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90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1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105"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r>
      <w:tr>
        <w:trPr>
          <w:trHeight w:val="904" w:hRule="atLeast"/>
        </w:trPr>
        <w:tc>
          <w:tcPr>
            <w:tcW w:w="850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rPr>
          <w:trHeight w:val="285"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51042222R000000300367-工资性支出（宣传文化旅游服务中心）</w:t>
            </w:r>
          </w:p>
        </w:tc>
      </w:tr>
      <w:tr>
        <w:trPr>
          <w:trHeight w:val="514"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盐边县乡镇财政</w:t>
            </w:r>
          </w:p>
        </w:tc>
        <w:tc>
          <w:tcPr>
            <w:tcW w:w="908" w:type="dxa"/>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0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盐边县红果彝族乡人民政府</w:t>
            </w:r>
          </w:p>
        </w:tc>
      </w:tr>
      <w:tr>
        <w:trPr>
          <w:trHeight w:val="285"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70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严格执行相关政策，保障工资及时发放、足额发放，预算编制科学合理，减少结余资金</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完成</w:t>
            </w:r>
          </w:p>
        </w:tc>
      </w:tr>
      <w:tr>
        <w:trPr>
          <w:trHeight w:val="69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严格执行相关政策，保障工资及时发放、足额发放，预算编制科学合理，减少结余资金</w:t>
            </w:r>
          </w:p>
        </w:tc>
      </w:tr>
      <w:tr>
        <w:trPr>
          <w:trHeight w:val="360"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38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58.57</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64.25</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64.25</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追加预算</w:t>
            </w:r>
          </w:p>
        </w:tc>
      </w:tr>
      <w:tr>
        <w:trPr>
          <w:trHeight w:val="43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58.57</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64.25</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64.25</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4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0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37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54"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883"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科目调整次数</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次</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88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足额保障率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按时发放率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45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结余率（计算方法为：结余数/预算数）</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285" w:hRule="atLeast"/>
        </w:trPr>
        <w:tc>
          <w:tcPr>
            <w:tcW w:w="641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1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60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工资</w:t>
            </w:r>
          </w:p>
        </w:tc>
      </w:tr>
      <w:tr>
        <w:trPr>
          <w:trHeight w:val="57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63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285" w:hRule="atLeast"/>
        </w:trPr>
        <w:tc>
          <w:tcPr>
            <w:tcW w:w="38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65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trPr>
          <w:trHeight w:val="285" w:hRule="atLeast"/>
        </w:trPr>
        <w:tc>
          <w:tcPr>
            <w:tcW w:w="5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c>
        <w:tc>
          <w:tcPr>
            <w:tcW w:w="65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83"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2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2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9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75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90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1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105"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r>
      <w:tr>
        <w:trPr>
          <w:trHeight w:val="904" w:hRule="atLeast"/>
        </w:trPr>
        <w:tc>
          <w:tcPr>
            <w:tcW w:w="850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rPr>
          <w:trHeight w:val="285"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51042222R000000436250-“三支一扶”人员经费</w:t>
            </w:r>
          </w:p>
        </w:tc>
      </w:tr>
      <w:tr>
        <w:trPr>
          <w:trHeight w:val="514"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盐边县乡镇财政</w:t>
            </w:r>
          </w:p>
        </w:tc>
        <w:tc>
          <w:tcPr>
            <w:tcW w:w="908" w:type="dxa"/>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0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盐边县红果彝族乡人民政府</w:t>
            </w:r>
          </w:p>
        </w:tc>
      </w:tr>
      <w:tr>
        <w:trPr>
          <w:trHeight w:val="285"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70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严格执行相关政策，保障工资及时发放、足额发放，预算编制科学合理，减少结余资金</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完成</w:t>
            </w:r>
          </w:p>
        </w:tc>
      </w:tr>
      <w:tr>
        <w:trPr>
          <w:trHeight w:val="69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严格执行相关政策，保障工资及时发放、足额发放，预算编制科学合理，减少结余资金</w:t>
            </w:r>
          </w:p>
        </w:tc>
      </w:tr>
      <w:tr>
        <w:trPr>
          <w:trHeight w:val="360"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38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25.10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14.78</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14.78</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rPr>
          <w:trHeight w:val="43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25.10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14.78</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14.78</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4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0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37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54"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883"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足额保障率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88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科目调整次数</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次</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按时发放率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45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结余率（计算方法为：结余数/预算数）</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285" w:hRule="atLeast"/>
        </w:trPr>
        <w:tc>
          <w:tcPr>
            <w:tcW w:w="641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1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60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三支一扶人员经费</w:t>
            </w:r>
          </w:p>
        </w:tc>
      </w:tr>
      <w:tr>
        <w:trPr>
          <w:trHeight w:val="57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63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285" w:hRule="atLeast"/>
        </w:trPr>
        <w:tc>
          <w:tcPr>
            <w:tcW w:w="38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65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trPr>
          <w:trHeight w:val="285" w:hRule="atLeast"/>
        </w:trPr>
        <w:tc>
          <w:tcPr>
            <w:tcW w:w="5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c>
        <w:tc>
          <w:tcPr>
            <w:tcW w:w="65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83"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2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2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9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75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90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1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105"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r>
      <w:tr>
        <w:trPr>
          <w:trHeight w:val="904" w:hRule="atLeast"/>
        </w:trPr>
        <w:tc>
          <w:tcPr>
            <w:tcW w:w="850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rPr>
          <w:trHeight w:val="285"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51042222R000004798730-村社干部报酬</w:t>
            </w:r>
          </w:p>
        </w:tc>
      </w:tr>
      <w:tr>
        <w:trPr>
          <w:trHeight w:val="514"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盐边县乡镇财政</w:t>
            </w:r>
          </w:p>
        </w:tc>
        <w:tc>
          <w:tcPr>
            <w:tcW w:w="908" w:type="dxa"/>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0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盐边县红果彝族乡人民政府</w:t>
            </w:r>
          </w:p>
        </w:tc>
      </w:tr>
      <w:tr>
        <w:trPr>
          <w:trHeight w:val="285"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70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严格执行相关政策，保障工资及时发放、足额发放，预算编制科学合理，减少结余资金</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完成</w:t>
            </w:r>
          </w:p>
        </w:tc>
      </w:tr>
      <w:tr>
        <w:trPr>
          <w:trHeight w:val="69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严格执行相关政策，保障工资及时发放、足额发放，预算编制科学合理，减少结余资金</w:t>
            </w:r>
          </w:p>
        </w:tc>
      </w:tr>
      <w:tr>
        <w:trPr>
          <w:trHeight w:val="360"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38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173.29</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159.60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159.60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rPr>
          <w:trHeight w:val="43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173.29</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159.60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159.60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4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0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37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54"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883"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科目调整次数</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次</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88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足额保障率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按时发放率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45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结余率（计算方法为：结余数/预算数）</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285" w:hRule="atLeast"/>
        </w:trPr>
        <w:tc>
          <w:tcPr>
            <w:tcW w:w="641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1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60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村社干部工资</w:t>
            </w:r>
          </w:p>
        </w:tc>
      </w:tr>
      <w:tr>
        <w:trPr>
          <w:trHeight w:val="57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63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285" w:hRule="atLeast"/>
        </w:trPr>
        <w:tc>
          <w:tcPr>
            <w:tcW w:w="38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65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trPr>
          <w:trHeight w:val="285" w:hRule="atLeast"/>
        </w:trPr>
        <w:tc>
          <w:tcPr>
            <w:tcW w:w="5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c>
        <w:tc>
          <w:tcPr>
            <w:tcW w:w="65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83"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2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2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9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75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90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1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105"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r>
      <w:tr>
        <w:trPr>
          <w:trHeight w:val="904" w:hRule="atLeast"/>
        </w:trPr>
        <w:tc>
          <w:tcPr>
            <w:tcW w:w="850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rPr>
          <w:trHeight w:val="285"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51042222R000004798759-社区干部报酬</w:t>
            </w:r>
          </w:p>
        </w:tc>
      </w:tr>
      <w:tr>
        <w:trPr>
          <w:trHeight w:val="514"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盐边县乡镇财政</w:t>
            </w:r>
          </w:p>
        </w:tc>
        <w:tc>
          <w:tcPr>
            <w:tcW w:w="908" w:type="dxa"/>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0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盐边县红果彝族乡人民政府</w:t>
            </w:r>
          </w:p>
        </w:tc>
      </w:tr>
      <w:tr>
        <w:trPr>
          <w:trHeight w:val="285"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70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严格执行相关政策，保障工资及时发放、足额发放，预算编制科学合理，减少结余资金</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完成</w:t>
            </w:r>
          </w:p>
        </w:tc>
      </w:tr>
      <w:tr>
        <w:trPr>
          <w:trHeight w:val="69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严格执行相关政策，保障工资及时发放、足额发放，预算编制科学合理，减少结余资金</w:t>
            </w:r>
          </w:p>
        </w:tc>
      </w:tr>
      <w:tr>
        <w:trPr>
          <w:trHeight w:val="360"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38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64.37</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61.81</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61.81</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rPr>
          <w:trHeight w:val="43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64.37</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61.81</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61.81</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4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0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37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54"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883"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科目调整次数</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次</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88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足额保障率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按时发放率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45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结余率（计算方法为：结余数/预算数）</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285" w:hRule="atLeast"/>
        </w:trPr>
        <w:tc>
          <w:tcPr>
            <w:tcW w:w="641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1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60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社区干部报酬</w:t>
            </w:r>
          </w:p>
        </w:tc>
      </w:tr>
      <w:tr>
        <w:trPr>
          <w:trHeight w:val="57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63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285" w:hRule="atLeast"/>
        </w:trPr>
        <w:tc>
          <w:tcPr>
            <w:tcW w:w="38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65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trPr>
          <w:trHeight w:val="285" w:hRule="atLeast"/>
        </w:trPr>
        <w:tc>
          <w:tcPr>
            <w:tcW w:w="591" w:type="dxa"/>
            <w:tcBorders>
              <w:top w:val="nil"/>
              <w:left w:val="nil"/>
              <w:bottom w:val="nil"/>
              <w:right w:val="nil"/>
            </w:tcBorders>
            <w:shd w:val="clear" w:color="auto" w:fill="auto"/>
            <w:vAlign w:val="center"/>
          </w:tcPr>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c>
        <w:tc>
          <w:tcPr>
            <w:tcW w:w="65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83"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2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2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9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75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90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1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105"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r>
      <w:tr>
        <w:trPr>
          <w:trHeight w:val="904" w:hRule="atLeast"/>
        </w:trPr>
        <w:tc>
          <w:tcPr>
            <w:tcW w:w="850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rPr>
          <w:trHeight w:val="285"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51042222R000004950956-未发放2020年目标绩效奖（行政退休）</w:t>
            </w:r>
          </w:p>
        </w:tc>
      </w:tr>
      <w:tr>
        <w:trPr>
          <w:trHeight w:val="514"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盐边县乡镇财政</w:t>
            </w:r>
          </w:p>
        </w:tc>
        <w:tc>
          <w:tcPr>
            <w:tcW w:w="908" w:type="dxa"/>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0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盐边县红果彝族乡人民政府</w:t>
            </w:r>
          </w:p>
        </w:tc>
      </w:tr>
      <w:tr>
        <w:trPr>
          <w:trHeight w:val="285"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70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严格执行相关政策，保障工资及时发放、足额发放，预算编制科学合理，减少结余资金</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完成</w:t>
            </w:r>
          </w:p>
        </w:tc>
      </w:tr>
      <w:tr>
        <w:trPr>
          <w:trHeight w:val="69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严格执行相关政策，保障工资及时发放、足额发放，预算编制科学合理，减少结余资金</w:t>
            </w:r>
          </w:p>
        </w:tc>
      </w:tr>
      <w:tr>
        <w:trPr>
          <w:trHeight w:val="360"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38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4.80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4.47</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4.47</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rPr>
          <w:trHeight w:val="43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4.80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4.47</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4.47</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4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0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37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54"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883"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科目调整次数</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次</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88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足额保障率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按时发放率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45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结余率（计算方法为：结余数/预算数）</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285" w:hRule="atLeast"/>
        </w:trPr>
        <w:tc>
          <w:tcPr>
            <w:tcW w:w="641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1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60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目标奖</w:t>
            </w:r>
          </w:p>
        </w:tc>
      </w:tr>
      <w:tr>
        <w:trPr>
          <w:trHeight w:val="57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63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285" w:hRule="atLeast"/>
        </w:trPr>
        <w:tc>
          <w:tcPr>
            <w:tcW w:w="38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65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trPr>
          <w:trHeight w:val="285" w:hRule="atLeast"/>
        </w:trPr>
        <w:tc>
          <w:tcPr>
            <w:tcW w:w="5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c>
        <w:tc>
          <w:tcPr>
            <w:tcW w:w="65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83"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2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2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9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75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90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1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105"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r>
      <w:tr>
        <w:trPr>
          <w:trHeight w:val="904" w:hRule="atLeast"/>
        </w:trPr>
        <w:tc>
          <w:tcPr>
            <w:tcW w:w="850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rPr>
          <w:trHeight w:val="285"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51042222R000004951079-未发放2020年目标绩效奖（事业退休）</w:t>
            </w:r>
          </w:p>
        </w:tc>
      </w:tr>
      <w:tr>
        <w:trPr>
          <w:trHeight w:val="514"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盐边县乡镇财政</w:t>
            </w:r>
          </w:p>
        </w:tc>
        <w:tc>
          <w:tcPr>
            <w:tcW w:w="908" w:type="dxa"/>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0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盐边县红果彝族乡人民政府</w:t>
            </w:r>
          </w:p>
        </w:tc>
      </w:tr>
      <w:tr>
        <w:trPr>
          <w:trHeight w:val="285"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70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严格执行相关政策，保障工资及时发放、足额发放，预算编制科学合理，减少结余资金</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完成</w:t>
            </w:r>
          </w:p>
        </w:tc>
      </w:tr>
      <w:tr>
        <w:trPr>
          <w:trHeight w:val="69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严格执行相关政策，保障工资及时发放、足额发放，预算编制科学合理，减少结余资金</w:t>
            </w:r>
          </w:p>
        </w:tc>
      </w:tr>
      <w:tr>
        <w:trPr>
          <w:trHeight w:val="360"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38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0.96</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0.96</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0.96</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rPr>
          <w:trHeight w:val="43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0.96</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0.96</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0.96</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4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0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37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54"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883"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足额保障率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88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科目调整次数</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次</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按时发放率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45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结余率（计算方法为：结余数/预算数）</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285" w:hRule="atLeast"/>
        </w:trPr>
        <w:tc>
          <w:tcPr>
            <w:tcW w:w="641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1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60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目标奖</w:t>
            </w:r>
          </w:p>
        </w:tc>
      </w:tr>
      <w:tr>
        <w:trPr>
          <w:trHeight w:val="57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63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285" w:hRule="atLeast"/>
        </w:trPr>
        <w:tc>
          <w:tcPr>
            <w:tcW w:w="38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65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trPr>
          <w:trHeight w:val="285" w:hRule="atLeast"/>
        </w:trPr>
        <w:tc>
          <w:tcPr>
            <w:tcW w:w="5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c>
        <w:tc>
          <w:tcPr>
            <w:tcW w:w="65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83"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2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2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9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75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90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1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105"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r>
      <w:tr>
        <w:trPr>
          <w:trHeight w:val="904" w:hRule="atLeast"/>
        </w:trPr>
        <w:tc>
          <w:tcPr>
            <w:tcW w:w="850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rPr>
          <w:trHeight w:val="285"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51042222R000004951394-未发放2020年目标绩效奖（乡镇便民服务中心）</w:t>
            </w:r>
          </w:p>
        </w:tc>
      </w:tr>
      <w:tr>
        <w:trPr>
          <w:trHeight w:val="514"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盐边县乡镇财政</w:t>
            </w:r>
          </w:p>
        </w:tc>
        <w:tc>
          <w:tcPr>
            <w:tcW w:w="908" w:type="dxa"/>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0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盐边县红果彝族乡人民政府</w:t>
            </w:r>
          </w:p>
        </w:tc>
      </w:tr>
      <w:tr>
        <w:trPr>
          <w:trHeight w:val="285"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70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严格执行相关政策，保障工资及时发放、足额发放，预算编制科学合理，减少结余资金</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完成</w:t>
            </w:r>
          </w:p>
        </w:tc>
      </w:tr>
      <w:tr>
        <w:trPr>
          <w:trHeight w:val="69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严格执行相关政策，保障工资及时发放、足额发放，预算编制科学合理，减少结余资金</w:t>
            </w:r>
          </w:p>
        </w:tc>
      </w:tr>
      <w:tr>
        <w:trPr>
          <w:trHeight w:val="360"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38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2.54</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2.54</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2.54</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rPr>
          <w:trHeight w:val="43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2.54</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2.54</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2.54</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4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0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37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54"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883"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科目调整次数</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次</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88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足额保障率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按时发放率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45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结余率（计算方法为：结余数/预算数）</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285" w:hRule="atLeast"/>
        </w:trPr>
        <w:tc>
          <w:tcPr>
            <w:tcW w:w="641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1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60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目标奖</w:t>
            </w:r>
          </w:p>
        </w:tc>
      </w:tr>
      <w:tr>
        <w:trPr>
          <w:trHeight w:val="57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63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285" w:hRule="atLeast"/>
        </w:trPr>
        <w:tc>
          <w:tcPr>
            <w:tcW w:w="38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65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trPr>
          <w:trHeight w:val="285" w:hRule="atLeast"/>
        </w:trPr>
        <w:tc>
          <w:tcPr>
            <w:tcW w:w="5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c>
        <w:tc>
          <w:tcPr>
            <w:tcW w:w="65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83"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2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2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9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75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90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1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105"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r>
      <w:tr>
        <w:trPr>
          <w:trHeight w:val="904" w:hRule="atLeast"/>
        </w:trPr>
        <w:tc>
          <w:tcPr>
            <w:tcW w:w="850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rPr>
          <w:trHeight w:val="285"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51042222R000004951412-未发放2020年目标绩效奖（乡镇农业农村服务中心）</w:t>
            </w:r>
          </w:p>
        </w:tc>
      </w:tr>
      <w:tr>
        <w:trPr>
          <w:trHeight w:val="514"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盐边县乡镇财政</w:t>
            </w:r>
          </w:p>
        </w:tc>
        <w:tc>
          <w:tcPr>
            <w:tcW w:w="908" w:type="dxa"/>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0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盐边县红果彝族乡人民政府</w:t>
            </w:r>
          </w:p>
        </w:tc>
      </w:tr>
      <w:tr>
        <w:trPr>
          <w:trHeight w:val="285"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70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严格执行相关政策，保障工资及时发放、足额发放，预算编制科学合理，减少结余资金</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完成</w:t>
            </w:r>
          </w:p>
        </w:tc>
      </w:tr>
      <w:tr>
        <w:trPr>
          <w:trHeight w:val="69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严格执行相关政策，保障工资及时发放、足额发放，预算编制科学合理，减少结余资金</w:t>
            </w:r>
          </w:p>
        </w:tc>
      </w:tr>
      <w:tr>
        <w:trPr>
          <w:trHeight w:val="360"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38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20.05</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20.05</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20.05</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rPr>
          <w:trHeight w:val="43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20.05</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20.05</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20.05</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4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0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37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54"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883"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科目调整次数</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次</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88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足额保障率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按时发放率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45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结余率（计算方法为：结余数/预算数）</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285" w:hRule="atLeast"/>
        </w:trPr>
        <w:tc>
          <w:tcPr>
            <w:tcW w:w="641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1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60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目标奖</w:t>
            </w:r>
          </w:p>
        </w:tc>
      </w:tr>
      <w:tr>
        <w:trPr>
          <w:trHeight w:val="57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63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285" w:hRule="atLeast"/>
        </w:trPr>
        <w:tc>
          <w:tcPr>
            <w:tcW w:w="38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65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trPr>
          <w:trHeight w:val="285" w:hRule="atLeast"/>
        </w:trPr>
        <w:tc>
          <w:tcPr>
            <w:tcW w:w="5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c>
        <w:tc>
          <w:tcPr>
            <w:tcW w:w="65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83"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2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2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9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75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90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1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105"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r>
      <w:tr>
        <w:trPr>
          <w:trHeight w:val="904" w:hRule="atLeast"/>
        </w:trPr>
        <w:tc>
          <w:tcPr>
            <w:tcW w:w="850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rPr>
          <w:trHeight w:val="285"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51042222R000004951430-未发放2020年目标绩效奖（乡镇村镇建设服务中心）</w:t>
            </w:r>
          </w:p>
        </w:tc>
      </w:tr>
      <w:tr>
        <w:trPr>
          <w:trHeight w:val="514"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盐边县乡镇财政</w:t>
            </w:r>
          </w:p>
        </w:tc>
        <w:tc>
          <w:tcPr>
            <w:tcW w:w="908" w:type="dxa"/>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0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盐边县红果彝族乡人民政府</w:t>
            </w:r>
          </w:p>
        </w:tc>
      </w:tr>
      <w:tr>
        <w:trPr>
          <w:trHeight w:val="285"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70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严格执行相关政策，保障工资及时发放、足额发放，预算编制科学合理，减少结余资金</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完成</w:t>
            </w:r>
          </w:p>
        </w:tc>
      </w:tr>
      <w:tr>
        <w:trPr>
          <w:trHeight w:val="69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严格执行相关政策，保障工资及时发放、足额发放，预算编制科学合理，减少结余资金</w:t>
            </w:r>
          </w:p>
        </w:tc>
      </w:tr>
      <w:tr>
        <w:trPr>
          <w:trHeight w:val="360"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38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1.32</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1.32</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1.32</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rPr>
          <w:trHeight w:val="43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1.32</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1.32</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1.32</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4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0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37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54"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883"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科目调整次数</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次</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88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足额保障率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按时发放率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45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结余率（计算方法为：结余数/预算数）</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285" w:hRule="atLeast"/>
        </w:trPr>
        <w:tc>
          <w:tcPr>
            <w:tcW w:w="641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1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60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目标奖</w:t>
            </w:r>
          </w:p>
        </w:tc>
      </w:tr>
      <w:tr>
        <w:trPr>
          <w:trHeight w:val="57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63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285" w:hRule="atLeast"/>
        </w:trPr>
        <w:tc>
          <w:tcPr>
            <w:tcW w:w="38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65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trPr>
          <w:trHeight w:val="285" w:hRule="atLeast"/>
        </w:trPr>
        <w:tc>
          <w:tcPr>
            <w:tcW w:w="5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c>
        <w:tc>
          <w:tcPr>
            <w:tcW w:w="65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83"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2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2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9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75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90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1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105"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r>
      <w:tr>
        <w:trPr>
          <w:trHeight w:val="904" w:hRule="atLeast"/>
        </w:trPr>
        <w:tc>
          <w:tcPr>
            <w:tcW w:w="850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rPr>
          <w:trHeight w:val="285"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51042222R000004951451-未发放2020年目标绩效奖（乡镇宣传文化服务中心）</w:t>
            </w:r>
          </w:p>
        </w:tc>
      </w:tr>
      <w:tr>
        <w:trPr>
          <w:trHeight w:val="514"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盐边县乡镇财政</w:t>
            </w:r>
          </w:p>
        </w:tc>
        <w:tc>
          <w:tcPr>
            <w:tcW w:w="908" w:type="dxa"/>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0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盐边县红果彝族乡人民政府</w:t>
            </w:r>
          </w:p>
        </w:tc>
      </w:tr>
      <w:tr>
        <w:trPr>
          <w:trHeight w:val="285"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70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严格执行相关政策，保障工资及时发放、足额发放，预算编制科学合理，减少结余资金</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完成</w:t>
            </w:r>
          </w:p>
        </w:tc>
      </w:tr>
      <w:tr>
        <w:trPr>
          <w:trHeight w:val="69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严格执行相关政策，保障工资及时发放、足额发放，预算编制科学合理，减少结余资金</w:t>
            </w:r>
          </w:p>
        </w:tc>
      </w:tr>
      <w:tr>
        <w:trPr>
          <w:trHeight w:val="360"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38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2.10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2.10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2.10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rPr>
          <w:trHeight w:val="43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2.10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2.10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2.10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4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0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37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54"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883"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足额保障率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88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科目调整次数</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次</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按时发放率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45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结余率（计算方法为：结余数/预算数）</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285" w:hRule="atLeast"/>
        </w:trPr>
        <w:tc>
          <w:tcPr>
            <w:tcW w:w="641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1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60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2020年目标奖</w:t>
            </w:r>
          </w:p>
        </w:tc>
      </w:tr>
      <w:tr>
        <w:trPr>
          <w:trHeight w:val="57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63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285" w:hRule="atLeast"/>
        </w:trPr>
        <w:tc>
          <w:tcPr>
            <w:tcW w:w="38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65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trPr>
          <w:trHeight w:val="285" w:hRule="atLeast"/>
        </w:trPr>
        <w:tc>
          <w:tcPr>
            <w:tcW w:w="5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c>
        <w:tc>
          <w:tcPr>
            <w:tcW w:w="65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83"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2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2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9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75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90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1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105"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r>
      <w:tr>
        <w:trPr>
          <w:trHeight w:val="904" w:hRule="atLeast"/>
        </w:trPr>
        <w:tc>
          <w:tcPr>
            <w:tcW w:w="850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rPr>
          <w:trHeight w:val="285"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51042222R000004953825-未发放2020年目标绩效奖（机关工勤）</w:t>
            </w:r>
          </w:p>
        </w:tc>
      </w:tr>
      <w:tr>
        <w:trPr>
          <w:trHeight w:val="514"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盐边县乡镇财政</w:t>
            </w:r>
          </w:p>
        </w:tc>
        <w:tc>
          <w:tcPr>
            <w:tcW w:w="908" w:type="dxa"/>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0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盐边县红果彝族乡人民政府</w:t>
            </w:r>
          </w:p>
        </w:tc>
      </w:tr>
      <w:tr>
        <w:trPr>
          <w:trHeight w:val="285"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70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严格执行相关政策，保障工资及时发放、足额发放，预算编制科学合理，减少结余资金</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完成</w:t>
            </w:r>
          </w:p>
        </w:tc>
      </w:tr>
      <w:tr>
        <w:trPr>
          <w:trHeight w:val="69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严格执行相关政策，保障工资及时发放、足额发放，预算编制科学合理，减少结余资金</w:t>
            </w:r>
          </w:p>
        </w:tc>
      </w:tr>
      <w:tr>
        <w:trPr>
          <w:trHeight w:val="360"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38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2.65</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2.65</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2.65</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rPr>
          <w:trHeight w:val="43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2.65</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2.65</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2.65</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4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0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37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54"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883"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科目调整次数</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次</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88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足额保障率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按时发放率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45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结余率（计算方法为：结余数/预算数）</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285" w:hRule="atLeast"/>
        </w:trPr>
        <w:tc>
          <w:tcPr>
            <w:tcW w:w="641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1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60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目标奖</w:t>
            </w:r>
          </w:p>
        </w:tc>
      </w:tr>
      <w:tr>
        <w:trPr>
          <w:trHeight w:val="57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63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285" w:hRule="atLeast"/>
        </w:trPr>
        <w:tc>
          <w:tcPr>
            <w:tcW w:w="38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65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trPr>
          <w:trHeight w:val="285" w:hRule="atLeast"/>
        </w:trPr>
        <w:tc>
          <w:tcPr>
            <w:tcW w:w="5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c>
        <w:tc>
          <w:tcPr>
            <w:tcW w:w="65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83"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2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2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9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75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90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1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105"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r>
      <w:tr>
        <w:trPr>
          <w:trHeight w:val="904" w:hRule="atLeast"/>
        </w:trPr>
        <w:tc>
          <w:tcPr>
            <w:tcW w:w="850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rPr>
          <w:trHeight w:val="285"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51042222R000005336430-职业年金纪实缴费</w:t>
            </w:r>
          </w:p>
        </w:tc>
      </w:tr>
      <w:tr>
        <w:trPr>
          <w:trHeight w:val="514"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盐边县乡镇财政</w:t>
            </w:r>
          </w:p>
        </w:tc>
        <w:tc>
          <w:tcPr>
            <w:tcW w:w="908" w:type="dxa"/>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0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盐边县红果彝族乡人民政府</w:t>
            </w:r>
          </w:p>
        </w:tc>
      </w:tr>
      <w:tr>
        <w:trPr>
          <w:trHeight w:val="285"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70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职业年金纪实缴费</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完成</w:t>
            </w:r>
          </w:p>
        </w:tc>
      </w:tr>
      <w:tr>
        <w:trPr>
          <w:trHeight w:val="69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职业年金纪实缴费</w:t>
            </w:r>
          </w:p>
        </w:tc>
      </w:tr>
      <w:tr>
        <w:trPr>
          <w:trHeight w:val="360"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38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16.80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16.80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追加预算</w:t>
            </w:r>
          </w:p>
        </w:tc>
      </w:tr>
      <w:tr>
        <w:trPr>
          <w:trHeight w:val="43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16.80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16.80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4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0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37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54"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285" w:hRule="atLeast"/>
        </w:trPr>
        <w:tc>
          <w:tcPr>
            <w:tcW w:w="641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1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60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职业年金纪实缴费</w:t>
            </w:r>
          </w:p>
        </w:tc>
      </w:tr>
      <w:tr>
        <w:trPr>
          <w:trHeight w:val="57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63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285" w:hRule="atLeast"/>
        </w:trPr>
        <w:tc>
          <w:tcPr>
            <w:tcW w:w="38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65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trPr>
          <w:trHeight w:val="285" w:hRule="atLeast"/>
        </w:trPr>
        <w:tc>
          <w:tcPr>
            <w:tcW w:w="5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c>
        <w:tc>
          <w:tcPr>
            <w:tcW w:w="65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83"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2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2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9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75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90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1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105"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r>
      <w:tr>
        <w:trPr>
          <w:trHeight w:val="904" w:hRule="atLeast"/>
        </w:trPr>
        <w:tc>
          <w:tcPr>
            <w:tcW w:w="850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rPr>
          <w:trHeight w:val="285"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51042222R000005770870-2021年度表彰表扬奖励</w:t>
            </w:r>
          </w:p>
        </w:tc>
      </w:tr>
      <w:tr>
        <w:trPr>
          <w:trHeight w:val="514"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盐边县乡镇财政</w:t>
            </w:r>
          </w:p>
        </w:tc>
        <w:tc>
          <w:tcPr>
            <w:tcW w:w="908" w:type="dxa"/>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0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盐边县红果彝族乡人民政府</w:t>
            </w:r>
          </w:p>
        </w:tc>
      </w:tr>
      <w:tr>
        <w:trPr>
          <w:trHeight w:val="285"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70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完成</w:t>
            </w:r>
          </w:p>
        </w:tc>
      </w:tr>
      <w:tr>
        <w:trPr>
          <w:trHeight w:val="69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360"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38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12.40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12.40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追加预算</w:t>
            </w:r>
          </w:p>
        </w:tc>
      </w:tr>
      <w:tr>
        <w:trPr>
          <w:trHeight w:val="43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12.40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12.40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4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0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37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54"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285" w:hRule="atLeast"/>
        </w:trPr>
        <w:tc>
          <w:tcPr>
            <w:tcW w:w="641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1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60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57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63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285" w:hRule="atLeast"/>
        </w:trPr>
        <w:tc>
          <w:tcPr>
            <w:tcW w:w="38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65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trPr>
          <w:trHeight w:val="285" w:hRule="atLeast"/>
        </w:trPr>
        <w:tc>
          <w:tcPr>
            <w:tcW w:w="5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c>
        <w:tc>
          <w:tcPr>
            <w:tcW w:w="65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83"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2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2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9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75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90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1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105"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r>
      <w:tr>
        <w:trPr>
          <w:trHeight w:val="904" w:hRule="atLeast"/>
        </w:trPr>
        <w:tc>
          <w:tcPr>
            <w:tcW w:w="850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rPr>
          <w:trHeight w:val="285"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51042222R000005814951-2021年度目标绩效奖（离退休人员）</w:t>
            </w:r>
          </w:p>
        </w:tc>
      </w:tr>
      <w:tr>
        <w:trPr>
          <w:trHeight w:val="514"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盐边县乡镇财政</w:t>
            </w:r>
          </w:p>
        </w:tc>
        <w:tc>
          <w:tcPr>
            <w:tcW w:w="908" w:type="dxa"/>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0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盐边县红果彝族乡人民政府</w:t>
            </w:r>
          </w:p>
        </w:tc>
      </w:tr>
      <w:tr>
        <w:trPr>
          <w:trHeight w:val="285"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70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完成</w:t>
            </w:r>
          </w:p>
        </w:tc>
      </w:tr>
      <w:tr>
        <w:trPr>
          <w:trHeight w:val="69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360"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38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5.10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5.10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追加预算</w:t>
            </w:r>
          </w:p>
        </w:tc>
      </w:tr>
      <w:tr>
        <w:trPr>
          <w:trHeight w:val="43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5.10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5.10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4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0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37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54"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285" w:hRule="atLeast"/>
        </w:trPr>
        <w:tc>
          <w:tcPr>
            <w:tcW w:w="641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1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60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退休人员目标奖</w:t>
            </w:r>
          </w:p>
        </w:tc>
      </w:tr>
      <w:tr>
        <w:trPr>
          <w:trHeight w:val="57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63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285" w:hRule="atLeast"/>
        </w:trPr>
        <w:tc>
          <w:tcPr>
            <w:tcW w:w="38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65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trPr>
          <w:trHeight w:val="285" w:hRule="atLeast"/>
        </w:trPr>
        <w:tc>
          <w:tcPr>
            <w:tcW w:w="5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c>
        <w:tc>
          <w:tcPr>
            <w:tcW w:w="65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83"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2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2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9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75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90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1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105"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r>
      <w:tr>
        <w:trPr>
          <w:trHeight w:val="904" w:hRule="atLeast"/>
        </w:trPr>
        <w:tc>
          <w:tcPr>
            <w:tcW w:w="850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rPr>
          <w:trHeight w:val="285"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51042222R000006732419-川财预【2022】30号下达财力性补助用于2022年基础性绩效奖金（中央直达资金）</w:t>
            </w:r>
          </w:p>
        </w:tc>
      </w:tr>
      <w:tr>
        <w:trPr>
          <w:trHeight w:val="514"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盐边县乡镇财政</w:t>
            </w:r>
          </w:p>
        </w:tc>
        <w:tc>
          <w:tcPr>
            <w:tcW w:w="908" w:type="dxa"/>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0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盐边县红果彝族乡人民政府</w:t>
            </w:r>
          </w:p>
        </w:tc>
      </w:tr>
      <w:tr>
        <w:trPr>
          <w:trHeight w:val="285"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70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2022年基础性绩效奖金</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完成</w:t>
            </w:r>
          </w:p>
        </w:tc>
      </w:tr>
      <w:tr>
        <w:trPr>
          <w:trHeight w:val="69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2022年基础性绩效奖金</w:t>
            </w:r>
          </w:p>
        </w:tc>
      </w:tr>
      <w:tr>
        <w:trPr>
          <w:trHeight w:val="360"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38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47.48</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47.48</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追加预算</w:t>
            </w:r>
          </w:p>
        </w:tc>
      </w:tr>
      <w:tr>
        <w:trPr>
          <w:trHeight w:val="43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47.48</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47.48</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4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0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37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54"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285" w:hRule="atLeast"/>
        </w:trPr>
        <w:tc>
          <w:tcPr>
            <w:tcW w:w="641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1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60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2022年基础性绩效奖金</w:t>
            </w:r>
          </w:p>
        </w:tc>
      </w:tr>
      <w:tr>
        <w:trPr>
          <w:trHeight w:val="57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63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285" w:hRule="atLeast"/>
        </w:trPr>
        <w:tc>
          <w:tcPr>
            <w:tcW w:w="38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65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trPr>
          <w:trHeight w:val="285" w:hRule="atLeast"/>
        </w:trPr>
        <w:tc>
          <w:tcPr>
            <w:tcW w:w="5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c>
        <w:tc>
          <w:tcPr>
            <w:tcW w:w="65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83"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2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2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9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75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90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1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105"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r>
      <w:tr>
        <w:trPr>
          <w:trHeight w:val="904" w:hRule="atLeast"/>
        </w:trPr>
        <w:tc>
          <w:tcPr>
            <w:tcW w:w="850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rPr>
          <w:trHeight w:val="285"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51042222R000007032056-公务员补充医疗保险（单位部分）</w:t>
            </w:r>
          </w:p>
        </w:tc>
      </w:tr>
      <w:tr>
        <w:trPr>
          <w:trHeight w:val="514"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盐边县乡镇财政</w:t>
            </w:r>
          </w:p>
        </w:tc>
        <w:tc>
          <w:tcPr>
            <w:tcW w:w="908" w:type="dxa"/>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0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盐边县红果彝族乡人民政府</w:t>
            </w:r>
          </w:p>
        </w:tc>
      </w:tr>
      <w:tr>
        <w:trPr>
          <w:trHeight w:val="285"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70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公务员补充医疗保险</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完成</w:t>
            </w:r>
          </w:p>
        </w:tc>
      </w:tr>
      <w:tr>
        <w:trPr>
          <w:trHeight w:val="69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公务员补充医疗保险</w:t>
            </w:r>
          </w:p>
        </w:tc>
      </w:tr>
      <w:tr>
        <w:trPr>
          <w:trHeight w:val="360"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38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32.54</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32.54</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追加预算</w:t>
            </w:r>
          </w:p>
        </w:tc>
      </w:tr>
      <w:tr>
        <w:trPr>
          <w:trHeight w:val="43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32.54</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32.54</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4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0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37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54"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285" w:hRule="atLeast"/>
        </w:trPr>
        <w:tc>
          <w:tcPr>
            <w:tcW w:w="641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1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60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公务员补充医疗保险</w:t>
            </w:r>
          </w:p>
        </w:tc>
      </w:tr>
      <w:tr>
        <w:trPr>
          <w:trHeight w:val="57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63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285" w:hRule="atLeast"/>
        </w:trPr>
        <w:tc>
          <w:tcPr>
            <w:tcW w:w="38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65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trPr>
          <w:trHeight w:val="285" w:hRule="atLeast"/>
        </w:trPr>
        <w:tc>
          <w:tcPr>
            <w:tcW w:w="38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p>
        </w:tc>
        <w:tc>
          <w:tcPr>
            <w:tcW w:w="465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p>
        </w:tc>
      </w:tr>
      <w:tr>
        <w:trPr>
          <w:trHeight w:val="285" w:hRule="atLeast"/>
        </w:trPr>
        <w:tc>
          <w:tcPr>
            <w:tcW w:w="5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c>
        <w:tc>
          <w:tcPr>
            <w:tcW w:w="65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83"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2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2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9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75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90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1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105"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r>
      <w:tr>
        <w:trPr>
          <w:trHeight w:val="904" w:hRule="atLeast"/>
        </w:trPr>
        <w:tc>
          <w:tcPr>
            <w:tcW w:w="850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rPr>
          <w:trHeight w:val="285"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51042222R000007057449-2022年6月预发绩效奖</w:t>
            </w:r>
          </w:p>
        </w:tc>
      </w:tr>
      <w:tr>
        <w:trPr>
          <w:trHeight w:val="514"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盐边县乡镇财政</w:t>
            </w:r>
          </w:p>
        </w:tc>
        <w:tc>
          <w:tcPr>
            <w:tcW w:w="908" w:type="dxa"/>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0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盐边县红果彝族乡人民政府</w:t>
            </w:r>
          </w:p>
        </w:tc>
      </w:tr>
      <w:tr>
        <w:trPr>
          <w:trHeight w:val="285"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70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目2022年目标奖</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对照年度目标，说明相关任务目标的完成情况（100字以内）</w:t>
            </w:r>
          </w:p>
        </w:tc>
      </w:tr>
      <w:tr>
        <w:trPr>
          <w:trHeight w:val="69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360"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38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22.43</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22.43</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追加预算</w:t>
            </w:r>
          </w:p>
        </w:tc>
      </w:tr>
      <w:tr>
        <w:trPr>
          <w:trHeight w:val="43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22.43</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22.43</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4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0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37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54"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285" w:hRule="atLeast"/>
        </w:trPr>
        <w:tc>
          <w:tcPr>
            <w:tcW w:w="641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1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60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目标奖</w:t>
            </w:r>
          </w:p>
        </w:tc>
      </w:tr>
      <w:tr>
        <w:trPr>
          <w:trHeight w:val="57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63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285" w:hRule="atLeast"/>
        </w:trPr>
        <w:tc>
          <w:tcPr>
            <w:tcW w:w="38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65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trPr>
          <w:trHeight w:val="285" w:hRule="atLeast"/>
        </w:trPr>
        <w:tc>
          <w:tcPr>
            <w:tcW w:w="5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c>
        <w:tc>
          <w:tcPr>
            <w:tcW w:w="65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83"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2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2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9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75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90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1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105"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r>
      <w:tr>
        <w:trPr>
          <w:trHeight w:val="904" w:hRule="atLeast"/>
        </w:trPr>
        <w:tc>
          <w:tcPr>
            <w:tcW w:w="850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rPr>
          <w:trHeight w:val="285"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51042222R000007209973-盐边县2022年三支一扶安家费补助</w:t>
            </w:r>
          </w:p>
        </w:tc>
      </w:tr>
      <w:tr>
        <w:trPr>
          <w:trHeight w:val="514"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盐边县乡镇财政</w:t>
            </w:r>
          </w:p>
        </w:tc>
        <w:tc>
          <w:tcPr>
            <w:tcW w:w="908" w:type="dxa"/>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0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盐边县红果彝族乡人民政府</w:t>
            </w:r>
          </w:p>
        </w:tc>
      </w:tr>
      <w:tr>
        <w:trPr>
          <w:trHeight w:val="285"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70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2022年三支一扶安家费补助</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完成</w:t>
            </w:r>
          </w:p>
        </w:tc>
      </w:tr>
      <w:tr>
        <w:trPr>
          <w:trHeight w:val="69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2022年三支一扶安家费补助</w:t>
            </w:r>
          </w:p>
        </w:tc>
      </w:tr>
      <w:tr>
        <w:trPr>
          <w:trHeight w:val="360"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38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0.60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0.60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0.60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rPr>
          <w:trHeight w:val="43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0.60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0.60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0.60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4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0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37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54"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285" w:hRule="atLeast"/>
        </w:trPr>
        <w:tc>
          <w:tcPr>
            <w:tcW w:w="641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1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60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2022年三支一扶安家费补助</w:t>
            </w:r>
          </w:p>
        </w:tc>
      </w:tr>
      <w:tr>
        <w:trPr>
          <w:trHeight w:val="57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63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285" w:hRule="atLeast"/>
        </w:trPr>
        <w:tc>
          <w:tcPr>
            <w:tcW w:w="38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65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trPr>
          <w:trHeight w:val="285" w:hRule="atLeast"/>
        </w:trPr>
        <w:tc>
          <w:tcPr>
            <w:tcW w:w="5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c>
        <w:tc>
          <w:tcPr>
            <w:tcW w:w="65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83"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2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2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9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75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90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1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105"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r>
      <w:tr>
        <w:trPr>
          <w:trHeight w:val="904" w:hRule="atLeast"/>
        </w:trPr>
        <w:tc>
          <w:tcPr>
            <w:tcW w:w="850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rPr>
          <w:trHeight w:val="285"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51042222T000004821489-乡人大会议费</w:t>
            </w:r>
          </w:p>
        </w:tc>
      </w:tr>
      <w:tr>
        <w:trPr>
          <w:trHeight w:val="514"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盐边县乡镇财政</w:t>
            </w:r>
          </w:p>
        </w:tc>
        <w:tc>
          <w:tcPr>
            <w:tcW w:w="908" w:type="dxa"/>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0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盐边县红果彝族乡人民政府</w:t>
            </w:r>
          </w:p>
        </w:tc>
      </w:tr>
      <w:tr>
        <w:trPr>
          <w:trHeight w:val="285"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70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保障全乡人大会议的正常召开和举办，让人大更好的完成监督任务，听取人大代表的意见和建议，更好的提高政府执政能力和形象。</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完成</w:t>
            </w:r>
          </w:p>
        </w:tc>
      </w:tr>
      <w:tr>
        <w:trPr>
          <w:trHeight w:val="69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人大会议</w:t>
            </w:r>
          </w:p>
        </w:tc>
      </w:tr>
      <w:tr>
        <w:trPr>
          <w:trHeight w:val="360"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38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3.51</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1.55</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1.55</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tc>
      </w:tr>
      <w:tr>
        <w:trPr>
          <w:trHeight w:val="43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3.51</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1.55</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1.55</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4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0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37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54"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45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全乡举办人大会议次数</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次/年</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听取报告和决议并采纳</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条</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会议决议的时效</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2022</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45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成本指标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会议总成本</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35100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元/年</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提高政府执行能力率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45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群众满意度</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285" w:hRule="atLeast"/>
        </w:trPr>
        <w:tc>
          <w:tcPr>
            <w:tcW w:w="641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1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60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人大会议</w:t>
            </w:r>
          </w:p>
        </w:tc>
      </w:tr>
      <w:tr>
        <w:trPr>
          <w:trHeight w:val="57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63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285" w:hRule="atLeast"/>
        </w:trPr>
        <w:tc>
          <w:tcPr>
            <w:tcW w:w="38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65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trPr>
          <w:trHeight w:val="285" w:hRule="atLeast"/>
        </w:trPr>
        <w:tc>
          <w:tcPr>
            <w:tcW w:w="5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p>
            <w:pPr>
              <w:pStyle w:val="2"/>
            </w:pPr>
          </w:p>
          <w:p>
            <w:pPr>
              <w:pStyle w:val="2"/>
            </w:pPr>
          </w:p>
          <w:p>
            <w:pPr>
              <w:pStyle w:val="2"/>
            </w:pPr>
          </w:p>
          <w:p>
            <w:pPr>
              <w:pStyle w:val="2"/>
            </w:pPr>
          </w:p>
          <w:p>
            <w:pPr>
              <w:pStyle w:val="2"/>
            </w:pPr>
          </w:p>
          <w:p>
            <w:pPr>
              <w:pStyle w:val="2"/>
            </w:pPr>
          </w:p>
          <w:p>
            <w:pPr>
              <w:pStyle w:val="2"/>
            </w:pPr>
          </w:p>
          <w:p>
            <w:pPr>
              <w:pStyle w:val="2"/>
            </w:pPr>
          </w:p>
        </w:tc>
        <w:tc>
          <w:tcPr>
            <w:tcW w:w="65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83"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2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2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9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75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90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1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105"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r>
      <w:tr>
        <w:trPr>
          <w:trHeight w:val="904" w:hRule="atLeast"/>
        </w:trPr>
        <w:tc>
          <w:tcPr>
            <w:tcW w:w="850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rPr>
          <w:trHeight w:val="285"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51042222T000004821607-乡村治理经费</w:t>
            </w:r>
          </w:p>
        </w:tc>
      </w:tr>
      <w:tr>
        <w:trPr>
          <w:trHeight w:val="514"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盐边县乡镇财政</w:t>
            </w:r>
          </w:p>
        </w:tc>
        <w:tc>
          <w:tcPr>
            <w:tcW w:w="908" w:type="dxa"/>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0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盐边县红果彝族乡人民政府</w:t>
            </w:r>
          </w:p>
        </w:tc>
      </w:tr>
      <w:tr>
        <w:trPr>
          <w:trHeight w:val="285"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70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用于构建法治、德治与自治乡融合的红果乡治理体系。不断推动以法治村，实施网格化管理，不断提升基层社会治理能力，积极化解信访问题，促进乡村社会稳定。</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完成</w:t>
            </w:r>
          </w:p>
        </w:tc>
      </w:tr>
      <w:tr>
        <w:trPr>
          <w:trHeight w:val="69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乡村治理经费</w:t>
            </w:r>
          </w:p>
        </w:tc>
      </w:tr>
      <w:tr>
        <w:trPr>
          <w:trHeight w:val="360"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38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1.96</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1.96</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1.96</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rPr>
          <w:trHeight w:val="43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1.96</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1.96</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1.96</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4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0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37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54"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45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全乡综治维稳开展工作</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次/年</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社会稳定率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维稳时间</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45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成本指标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总成本</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19565</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元/年</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提高全乡社会稳定</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45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群众满意度</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人数</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285" w:hRule="atLeast"/>
        </w:trPr>
        <w:tc>
          <w:tcPr>
            <w:tcW w:w="641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1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60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乡村治理经费</w:t>
            </w:r>
          </w:p>
        </w:tc>
      </w:tr>
      <w:tr>
        <w:trPr>
          <w:trHeight w:val="57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63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285" w:hRule="atLeast"/>
        </w:trPr>
        <w:tc>
          <w:tcPr>
            <w:tcW w:w="38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65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trPr>
          <w:trHeight w:val="285" w:hRule="atLeast"/>
        </w:trPr>
        <w:tc>
          <w:tcPr>
            <w:tcW w:w="5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c>
        <w:tc>
          <w:tcPr>
            <w:tcW w:w="65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83"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2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2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9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75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90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1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105"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r>
      <w:tr>
        <w:trPr>
          <w:trHeight w:val="904" w:hRule="atLeast"/>
        </w:trPr>
        <w:tc>
          <w:tcPr>
            <w:tcW w:w="850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rPr>
          <w:trHeight w:val="285"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51042222T000004837590-农村特困人员经费</w:t>
            </w:r>
          </w:p>
        </w:tc>
      </w:tr>
      <w:tr>
        <w:trPr>
          <w:trHeight w:val="514"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盐边县乡镇财政</w:t>
            </w:r>
          </w:p>
        </w:tc>
        <w:tc>
          <w:tcPr>
            <w:tcW w:w="908" w:type="dxa"/>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0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盐边县红果彝族乡人民政府</w:t>
            </w:r>
          </w:p>
        </w:tc>
      </w:tr>
      <w:tr>
        <w:trPr>
          <w:trHeight w:val="285"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70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2021年红果彝族乡五保户分散供养人员死亡一名，为该户丧葬费。</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完成</w:t>
            </w:r>
          </w:p>
        </w:tc>
      </w:tr>
      <w:tr>
        <w:trPr>
          <w:trHeight w:val="69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p>
        </w:tc>
      </w:tr>
      <w:tr>
        <w:trPr>
          <w:trHeight w:val="360"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38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0.30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0.30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0.30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rPr>
          <w:trHeight w:val="43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0.30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0.30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0.30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4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0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37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54"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五保户丧葬费</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次</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67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保障五保户合理安葬</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元/人·次</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2021年</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67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成本指标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总成本</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3000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元/人·次</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可持续影响指标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保障五保户权益</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45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帮扶对象满意度指标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五保户满意度</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285" w:hRule="atLeast"/>
        </w:trPr>
        <w:tc>
          <w:tcPr>
            <w:tcW w:w="641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1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60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农村特困人员经费</w:t>
            </w:r>
          </w:p>
        </w:tc>
      </w:tr>
      <w:tr>
        <w:trPr>
          <w:trHeight w:val="57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63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285" w:hRule="atLeast"/>
        </w:trPr>
        <w:tc>
          <w:tcPr>
            <w:tcW w:w="38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65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trPr>
          <w:trHeight w:val="285" w:hRule="atLeast"/>
        </w:trPr>
        <w:tc>
          <w:tcPr>
            <w:tcW w:w="5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c>
        <w:tc>
          <w:tcPr>
            <w:tcW w:w="65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83"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2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2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9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75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90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1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105"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r>
      <w:tr>
        <w:trPr>
          <w:trHeight w:val="904" w:hRule="atLeast"/>
        </w:trPr>
        <w:tc>
          <w:tcPr>
            <w:tcW w:w="850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rPr>
          <w:trHeight w:val="285"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51042222T000004837680-红果乡基本公共卫生服务经费</w:t>
            </w:r>
          </w:p>
        </w:tc>
      </w:tr>
      <w:tr>
        <w:trPr>
          <w:trHeight w:val="514"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盐边县乡镇财政</w:t>
            </w:r>
          </w:p>
        </w:tc>
        <w:tc>
          <w:tcPr>
            <w:tcW w:w="908" w:type="dxa"/>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0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盐边县红果彝族乡人民政府</w:t>
            </w:r>
          </w:p>
        </w:tc>
      </w:tr>
      <w:tr>
        <w:trPr>
          <w:trHeight w:val="285"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70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完成红果彝族乡主要街道和办公场所的日常卫生清扫，保障我乡基本卫生能达到相关标准和要求，保障街道和办公场所的干净整洁。</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完成</w:t>
            </w:r>
          </w:p>
        </w:tc>
      </w:tr>
      <w:tr>
        <w:trPr>
          <w:trHeight w:val="69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完成红果彝族乡主要街道和办公场所的日常卫生清扫，保障我乡基本卫生能达到相关标准和要求，保障街道和办公场所的干净整洁。</w:t>
            </w:r>
          </w:p>
        </w:tc>
      </w:tr>
      <w:tr>
        <w:trPr>
          <w:trHeight w:val="360"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38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4.89</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2.58</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2.58</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rPr>
          <w:trHeight w:val="43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4.89</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2.58</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2.58</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4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0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37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54"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45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全乡基本卫生清扫次数</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次/年</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45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打扫完成质量</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次/年</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一年正常的卫生清扫</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成本指标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全年卫生打扫经费</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48195</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元</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生态效益指标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保障基本卫生整洁</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45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群众满意度</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285" w:hRule="atLeast"/>
        </w:trPr>
        <w:tc>
          <w:tcPr>
            <w:tcW w:w="641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1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60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乡基本公共卫生服务经费</w:t>
            </w:r>
          </w:p>
        </w:tc>
      </w:tr>
      <w:tr>
        <w:trPr>
          <w:trHeight w:val="57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63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285" w:hRule="atLeast"/>
        </w:trPr>
        <w:tc>
          <w:tcPr>
            <w:tcW w:w="38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65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trPr>
          <w:trHeight w:val="285" w:hRule="atLeast"/>
        </w:trPr>
        <w:tc>
          <w:tcPr>
            <w:tcW w:w="5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c>
        <w:tc>
          <w:tcPr>
            <w:tcW w:w="65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83"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2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2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9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75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90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1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105"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r>
      <w:tr>
        <w:trPr>
          <w:trHeight w:val="904" w:hRule="atLeast"/>
        </w:trPr>
        <w:tc>
          <w:tcPr>
            <w:tcW w:w="850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rPr>
          <w:trHeight w:val="285"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51042222T000004862435-红果乡</w:t>
            </w:r>
            <w:r>
              <w:rPr>
                <w:rFonts w:hint="eastAsia" w:ascii="宋体" w:hAnsi="宋体" w:cs="宋体"/>
                <w:color w:val="000000"/>
                <w:kern w:val="0"/>
                <w:sz w:val="18"/>
                <w:szCs w:val="18"/>
                <w:lang w:eastAsia="zh-CN"/>
              </w:rPr>
              <w:t>少数民族</w:t>
            </w:r>
            <w:r>
              <w:rPr>
                <w:rFonts w:hint="eastAsia" w:ascii="宋体" w:hAnsi="宋体" w:cs="宋体"/>
                <w:color w:val="000000"/>
                <w:kern w:val="0"/>
                <w:sz w:val="18"/>
                <w:szCs w:val="18"/>
              </w:rPr>
              <w:t>工作补助</w:t>
            </w:r>
          </w:p>
        </w:tc>
      </w:tr>
      <w:tr>
        <w:trPr>
          <w:trHeight w:val="514"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盐边县乡镇财政</w:t>
            </w:r>
          </w:p>
        </w:tc>
        <w:tc>
          <w:tcPr>
            <w:tcW w:w="908" w:type="dxa"/>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0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盐边县红果彝族乡人民政府</w:t>
            </w:r>
          </w:p>
        </w:tc>
      </w:tr>
      <w:tr>
        <w:trPr>
          <w:trHeight w:val="285"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70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用于红果彝族乡少数民族工作补贴</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完成</w:t>
            </w:r>
          </w:p>
        </w:tc>
      </w:tr>
      <w:tr>
        <w:trPr>
          <w:trHeight w:val="69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少数民族工作补助</w:t>
            </w:r>
          </w:p>
        </w:tc>
      </w:tr>
      <w:tr>
        <w:trPr>
          <w:trHeight w:val="360"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38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2.94</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rPr>
          <w:trHeight w:val="43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2.94</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4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0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37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54"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45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全乡</w:t>
            </w:r>
            <w:r>
              <w:rPr>
                <w:rFonts w:hint="eastAsia" w:ascii="宋体" w:hAnsi="宋体" w:cs="宋体"/>
                <w:color w:val="000000"/>
                <w:kern w:val="0"/>
                <w:sz w:val="18"/>
                <w:szCs w:val="18"/>
                <w:lang w:eastAsia="zh-CN"/>
              </w:rPr>
              <w:t>少数民族</w:t>
            </w:r>
            <w:r>
              <w:rPr>
                <w:rFonts w:hint="eastAsia" w:ascii="宋体" w:hAnsi="宋体" w:cs="宋体"/>
                <w:color w:val="000000"/>
                <w:kern w:val="0"/>
                <w:sz w:val="18"/>
                <w:szCs w:val="18"/>
              </w:rPr>
              <w:t>人数</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5872</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元/人</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45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每人标准5元</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29360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元/年</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全年</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45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成本指标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成本控制</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29360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元/年</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保障民族工作的正常开展</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45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群众满意</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285" w:hRule="atLeast"/>
        </w:trPr>
        <w:tc>
          <w:tcPr>
            <w:tcW w:w="641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1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60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2022年少数民族工作经费</w:t>
            </w:r>
          </w:p>
        </w:tc>
      </w:tr>
      <w:tr>
        <w:trPr>
          <w:trHeight w:val="57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63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285" w:hRule="atLeast"/>
        </w:trPr>
        <w:tc>
          <w:tcPr>
            <w:tcW w:w="38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65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trPr>
          <w:trHeight w:val="285" w:hRule="atLeast"/>
        </w:trPr>
        <w:tc>
          <w:tcPr>
            <w:tcW w:w="5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c>
        <w:tc>
          <w:tcPr>
            <w:tcW w:w="65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83"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2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2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9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75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90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1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105"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r>
      <w:tr>
        <w:trPr>
          <w:trHeight w:val="904" w:hRule="atLeast"/>
        </w:trPr>
        <w:tc>
          <w:tcPr>
            <w:tcW w:w="850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rPr>
          <w:trHeight w:val="285"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51042222T000004881014-红果乡卫生健康艾滋病防治和疫情防控经费</w:t>
            </w:r>
          </w:p>
        </w:tc>
      </w:tr>
      <w:tr>
        <w:trPr>
          <w:trHeight w:val="514"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盐边县乡镇财政</w:t>
            </w:r>
          </w:p>
        </w:tc>
        <w:tc>
          <w:tcPr>
            <w:tcW w:w="908" w:type="dxa"/>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0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盐边县红果彝族乡人民政府</w:t>
            </w:r>
          </w:p>
        </w:tc>
      </w:tr>
      <w:tr>
        <w:trPr>
          <w:trHeight w:val="285"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70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完成红果彝族乡6村一居卫生健康艾滋病防治和疫情防控</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完成</w:t>
            </w:r>
          </w:p>
        </w:tc>
      </w:tr>
      <w:tr>
        <w:trPr>
          <w:trHeight w:val="69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红果彝族乡6村一居卫生健康艾滋病防治和疫情防控</w:t>
            </w:r>
          </w:p>
        </w:tc>
      </w:tr>
      <w:tr>
        <w:trPr>
          <w:trHeight w:val="360"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38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9.72</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9.72</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rPr>
          <w:trHeight w:val="43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9.72</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9.72</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4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0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37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54"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285" w:hRule="atLeast"/>
        </w:trPr>
        <w:tc>
          <w:tcPr>
            <w:tcW w:w="641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1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60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完成红果彝族乡6村一居卫生健康艾滋病防治和疫情防控</w:t>
            </w:r>
          </w:p>
        </w:tc>
      </w:tr>
      <w:tr>
        <w:trPr>
          <w:trHeight w:val="57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63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285" w:hRule="atLeast"/>
        </w:trPr>
        <w:tc>
          <w:tcPr>
            <w:tcW w:w="38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65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trPr>
          <w:trHeight w:val="285" w:hRule="atLeast"/>
        </w:trPr>
        <w:tc>
          <w:tcPr>
            <w:tcW w:w="5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c>
        <w:tc>
          <w:tcPr>
            <w:tcW w:w="65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83"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2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2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9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75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90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1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105"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r>
      <w:tr>
        <w:trPr>
          <w:trHeight w:val="904" w:hRule="atLeast"/>
        </w:trPr>
        <w:tc>
          <w:tcPr>
            <w:tcW w:w="850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rPr>
          <w:trHeight w:val="285"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51042222T000004958309-红果乡2022年文化免费开发经费</w:t>
            </w:r>
          </w:p>
        </w:tc>
      </w:tr>
      <w:tr>
        <w:trPr>
          <w:trHeight w:val="514"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盐边县乡镇财政</w:t>
            </w:r>
          </w:p>
        </w:tc>
        <w:tc>
          <w:tcPr>
            <w:tcW w:w="908" w:type="dxa"/>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0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盐边县红果彝族乡人民政府</w:t>
            </w:r>
          </w:p>
        </w:tc>
      </w:tr>
      <w:tr>
        <w:trPr>
          <w:trHeight w:val="285"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70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2022年文化免费开发经费</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完成</w:t>
            </w:r>
          </w:p>
        </w:tc>
      </w:tr>
      <w:tr>
        <w:trPr>
          <w:trHeight w:val="69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2022年文化免费开发经费</w:t>
            </w:r>
          </w:p>
        </w:tc>
      </w:tr>
      <w:tr>
        <w:trPr>
          <w:trHeight w:val="360"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38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5.20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5.20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rPr>
          <w:trHeight w:val="43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5.20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5.20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4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0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37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54"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285" w:hRule="atLeast"/>
        </w:trPr>
        <w:tc>
          <w:tcPr>
            <w:tcW w:w="641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1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60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2022年文化免费开发经费</w:t>
            </w:r>
          </w:p>
        </w:tc>
      </w:tr>
      <w:tr>
        <w:trPr>
          <w:trHeight w:val="57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63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285" w:hRule="atLeast"/>
        </w:trPr>
        <w:tc>
          <w:tcPr>
            <w:tcW w:w="38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65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trPr>
          <w:trHeight w:val="285" w:hRule="atLeast"/>
        </w:trPr>
        <w:tc>
          <w:tcPr>
            <w:tcW w:w="5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c>
        <w:tc>
          <w:tcPr>
            <w:tcW w:w="65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83"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2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2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9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75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90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1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105"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r>
      <w:tr>
        <w:trPr>
          <w:trHeight w:val="904" w:hRule="atLeast"/>
        </w:trPr>
        <w:tc>
          <w:tcPr>
            <w:tcW w:w="850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rPr>
          <w:trHeight w:val="285"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51042222T000005726852-三维公司棚改房屋征收款</w:t>
            </w:r>
          </w:p>
        </w:tc>
      </w:tr>
      <w:tr>
        <w:trPr>
          <w:trHeight w:val="514"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盐边县乡镇财政</w:t>
            </w:r>
          </w:p>
        </w:tc>
        <w:tc>
          <w:tcPr>
            <w:tcW w:w="908" w:type="dxa"/>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0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盐边县红果彝族乡人民政府</w:t>
            </w:r>
          </w:p>
        </w:tc>
      </w:tr>
      <w:tr>
        <w:trPr>
          <w:trHeight w:val="285"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70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三维公司棚改房屋征收款</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完成</w:t>
            </w:r>
          </w:p>
        </w:tc>
      </w:tr>
      <w:tr>
        <w:trPr>
          <w:trHeight w:val="69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三维公司棚改房屋征收款</w:t>
            </w:r>
          </w:p>
        </w:tc>
      </w:tr>
      <w:tr>
        <w:trPr>
          <w:trHeight w:val="360"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38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4.69</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4.69</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中途追加预算</w:t>
            </w:r>
          </w:p>
        </w:tc>
      </w:tr>
      <w:tr>
        <w:trPr>
          <w:trHeight w:val="43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4.69</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4.69</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4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0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37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54"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285" w:hRule="atLeast"/>
        </w:trPr>
        <w:tc>
          <w:tcPr>
            <w:tcW w:w="641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1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60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三维公司棚改房屋征收款</w:t>
            </w:r>
          </w:p>
        </w:tc>
      </w:tr>
      <w:tr>
        <w:trPr>
          <w:trHeight w:val="57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63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285" w:hRule="atLeast"/>
        </w:trPr>
        <w:tc>
          <w:tcPr>
            <w:tcW w:w="38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65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trPr>
          <w:trHeight w:val="285" w:hRule="atLeast"/>
        </w:trPr>
        <w:tc>
          <w:tcPr>
            <w:tcW w:w="5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c>
        <w:tc>
          <w:tcPr>
            <w:tcW w:w="65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83"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2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2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9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75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90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1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105"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r>
      <w:tr>
        <w:trPr>
          <w:trHeight w:val="904" w:hRule="atLeast"/>
        </w:trPr>
        <w:tc>
          <w:tcPr>
            <w:tcW w:w="850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rPr>
          <w:trHeight w:val="285"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51042222T000005887669-关于红果乡危旧房棚户区改造配套设施费</w:t>
            </w:r>
          </w:p>
        </w:tc>
      </w:tr>
      <w:tr>
        <w:trPr>
          <w:trHeight w:val="514"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盐边县乡镇财政</w:t>
            </w:r>
          </w:p>
        </w:tc>
        <w:tc>
          <w:tcPr>
            <w:tcW w:w="908" w:type="dxa"/>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0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盐边县红果彝族乡人民政府</w:t>
            </w:r>
          </w:p>
        </w:tc>
      </w:tr>
      <w:tr>
        <w:trPr>
          <w:trHeight w:val="285"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70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棚户区基础设施</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完成</w:t>
            </w:r>
          </w:p>
        </w:tc>
      </w:tr>
      <w:tr>
        <w:trPr>
          <w:trHeight w:val="69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棚户区基础设施</w:t>
            </w:r>
          </w:p>
        </w:tc>
      </w:tr>
      <w:tr>
        <w:trPr>
          <w:trHeight w:val="360"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38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14.30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14.30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中途追加预算</w:t>
            </w:r>
          </w:p>
        </w:tc>
      </w:tr>
      <w:tr>
        <w:trPr>
          <w:trHeight w:val="43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14.30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14.30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4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0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37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54"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285" w:hRule="atLeast"/>
        </w:trPr>
        <w:tc>
          <w:tcPr>
            <w:tcW w:w="641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1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60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棚户区基础设施</w:t>
            </w:r>
          </w:p>
        </w:tc>
      </w:tr>
      <w:tr>
        <w:trPr>
          <w:trHeight w:val="57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63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285" w:hRule="atLeast"/>
        </w:trPr>
        <w:tc>
          <w:tcPr>
            <w:tcW w:w="38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65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trPr>
          <w:trHeight w:val="285" w:hRule="atLeast"/>
        </w:trPr>
        <w:tc>
          <w:tcPr>
            <w:tcW w:w="5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c>
        <w:tc>
          <w:tcPr>
            <w:tcW w:w="65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83"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2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2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9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75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90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1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105"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r>
      <w:tr>
        <w:trPr>
          <w:trHeight w:val="904" w:hRule="atLeast"/>
        </w:trPr>
        <w:tc>
          <w:tcPr>
            <w:tcW w:w="850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rPr>
          <w:trHeight w:val="285"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51042222T000006041772-三维公司棚改房屋征收款2022年第二次</w:t>
            </w:r>
          </w:p>
        </w:tc>
      </w:tr>
      <w:tr>
        <w:trPr>
          <w:trHeight w:val="514"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盐边县乡镇财政</w:t>
            </w:r>
          </w:p>
        </w:tc>
        <w:tc>
          <w:tcPr>
            <w:tcW w:w="908" w:type="dxa"/>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0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盐边县红果彝族乡人民政府</w:t>
            </w:r>
          </w:p>
        </w:tc>
      </w:tr>
      <w:tr>
        <w:trPr>
          <w:trHeight w:val="285"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70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三维公司棚改房屋征收款</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完成</w:t>
            </w:r>
          </w:p>
        </w:tc>
      </w:tr>
      <w:tr>
        <w:trPr>
          <w:trHeight w:val="69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三维公司棚改房屋征收款</w:t>
            </w:r>
          </w:p>
        </w:tc>
      </w:tr>
      <w:tr>
        <w:trPr>
          <w:trHeight w:val="360"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38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3.90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3.90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rPr>
          <w:trHeight w:val="43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3.90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3.90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4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0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37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54"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285" w:hRule="atLeast"/>
        </w:trPr>
        <w:tc>
          <w:tcPr>
            <w:tcW w:w="641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1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60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三维公司棚改房屋征收款</w:t>
            </w:r>
          </w:p>
        </w:tc>
      </w:tr>
      <w:tr>
        <w:trPr>
          <w:trHeight w:val="57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63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285" w:hRule="atLeast"/>
        </w:trPr>
        <w:tc>
          <w:tcPr>
            <w:tcW w:w="38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65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trPr>
          <w:trHeight w:val="285" w:hRule="atLeast"/>
        </w:trPr>
        <w:tc>
          <w:tcPr>
            <w:tcW w:w="5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c>
        <w:tc>
          <w:tcPr>
            <w:tcW w:w="65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83"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2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2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9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75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90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1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105"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r>
      <w:tr>
        <w:trPr>
          <w:trHeight w:val="904" w:hRule="atLeast"/>
        </w:trPr>
        <w:tc>
          <w:tcPr>
            <w:tcW w:w="850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rPr>
          <w:trHeight w:val="285"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51042222T000006087978-根据盐财资预【2022】17号下达2022年基层组织活动和公共运行服务经费（省级资金）（红果彝族乡）</w:t>
            </w:r>
          </w:p>
        </w:tc>
      </w:tr>
      <w:tr>
        <w:trPr>
          <w:trHeight w:val="514"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盐边县乡镇财政</w:t>
            </w:r>
          </w:p>
        </w:tc>
        <w:tc>
          <w:tcPr>
            <w:tcW w:w="908" w:type="dxa"/>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0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盐边县红果彝族乡人民政府</w:t>
            </w:r>
          </w:p>
        </w:tc>
      </w:tr>
      <w:tr>
        <w:trPr>
          <w:trHeight w:val="285"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70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完成2022年度6村1居委公共运行维护项目</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完成</w:t>
            </w:r>
          </w:p>
        </w:tc>
      </w:tr>
      <w:tr>
        <w:trPr>
          <w:trHeight w:val="69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完成2022年度6村1居委公共运行维护项目</w:t>
            </w:r>
          </w:p>
        </w:tc>
      </w:tr>
      <w:tr>
        <w:trPr>
          <w:trHeight w:val="360"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38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44.00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45.00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45.00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rPr>
          <w:trHeight w:val="43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44.00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45.00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45.00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4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0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37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54"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285" w:hRule="atLeast"/>
        </w:trPr>
        <w:tc>
          <w:tcPr>
            <w:tcW w:w="641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1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60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完成2022年度6村1居委公共运行维护项目</w:t>
            </w:r>
          </w:p>
        </w:tc>
      </w:tr>
      <w:tr>
        <w:trPr>
          <w:trHeight w:val="57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63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285" w:hRule="atLeast"/>
        </w:trPr>
        <w:tc>
          <w:tcPr>
            <w:tcW w:w="38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65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trPr>
          <w:trHeight w:val="285" w:hRule="atLeast"/>
        </w:trPr>
        <w:tc>
          <w:tcPr>
            <w:tcW w:w="5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c>
        <w:tc>
          <w:tcPr>
            <w:tcW w:w="65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83"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2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2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9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75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90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1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105"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r>
      <w:tr>
        <w:trPr>
          <w:trHeight w:val="904" w:hRule="atLeast"/>
        </w:trPr>
        <w:tc>
          <w:tcPr>
            <w:tcW w:w="850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rPr>
          <w:trHeight w:val="285"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51042222T000006485479-根据盐财资建【2022】51号下达2020年红果片区危旧房棚户区改造配套基础设施项目（红果彝族乡）</w:t>
            </w:r>
          </w:p>
        </w:tc>
      </w:tr>
      <w:tr>
        <w:trPr>
          <w:trHeight w:val="514"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盐边县乡镇财政</w:t>
            </w:r>
          </w:p>
        </w:tc>
        <w:tc>
          <w:tcPr>
            <w:tcW w:w="908" w:type="dxa"/>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0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盐边县红果彝族乡人民政府</w:t>
            </w:r>
          </w:p>
        </w:tc>
      </w:tr>
      <w:tr>
        <w:trPr>
          <w:trHeight w:val="285"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70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完成</w:t>
            </w:r>
          </w:p>
        </w:tc>
      </w:tr>
      <w:tr>
        <w:trPr>
          <w:trHeight w:val="69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360"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38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23.20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23.20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中途追加预算</w:t>
            </w:r>
          </w:p>
        </w:tc>
      </w:tr>
      <w:tr>
        <w:trPr>
          <w:trHeight w:val="43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23.20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23.20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4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0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37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54"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285" w:hRule="atLeast"/>
        </w:trPr>
        <w:tc>
          <w:tcPr>
            <w:tcW w:w="641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1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60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房棚户区改造配套基础设施项目</w:t>
            </w:r>
          </w:p>
        </w:tc>
      </w:tr>
      <w:tr>
        <w:trPr>
          <w:trHeight w:val="57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63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285" w:hRule="atLeast"/>
        </w:trPr>
        <w:tc>
          <w:tcPr>
            <w:tcW w:w="38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65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trPr>
          <w:trHeight w:val="285" w:hRule="atLeast"/>
        </w:trPr>
        <w:tc>
          <w:tcPr>
            <w:tcW w:w="38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p>
        </w:tc>
        <w:tc>
          <w:tcPr>
            <w:tcW w:w="465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p>
        </w:tc>
      </w:tr>
      <w:tr>
        <w:trPr>
          <w:trHeight w:val="285" w:hRule="atLeast"/>
        </w:trPr>
        <w:tc>
          <w:tcPr>
            <w:tcW w:w="5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c>
        <w:tc>
          <w:tcPr>
            <w:tcW w:w="65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83"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2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2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9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75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90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1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105"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r>
      <w:tr>
        <w:trPr>
          <w:trHeight w:val="904" w:hRule="atLeast"/>
        </w:trPr>
        <w:tc>
          <w:tcPr>
            <w:tcW w:w="850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rPr>
          <w:trHeight w:val="285"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51042222T000006485752-根据盐财资综【2022】17号下达2018年红果片区危旧房棚户区改造配套基础设施项目（红果彝族乡）</w:t>
            </w:r>
          </w:p>
        </w:tc>
      </w:tr>
      <w:tr>
        <w:trPr>
          <w:trHeight w:val="514"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盐边县乡镇财政</w:t>
            </w:r>
          </w:p>
        </w:tc>
        <w:tc>
          <w:tcPr>
            <w:tcW w:w="908" w:type="dxa"/>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0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盐边县红果彝族乡人民政府</w:t>
            </w:r>
          </w:p>
        </w:tc>
      </w:tr>
      <w:tr>
        <w:trPr>
          <w:trHeight w:val="285"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70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房棚户区改造配套基础设施项目</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完成</w:t>
            </w:r>
          </w:p>
        </w:tc>
      </w:tr>
      <w:tr>
        <w:trPr>
          <w:trHeight w:val="69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房棚户区改造配套基础设施项目</w:t>
            </w:r>
          </w:p>
        </w:tc>
      </w:tr>
      <w:tr>
        <w:trPr>
          <w:trHeight w:val="360"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38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13.38</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13.38</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rPr>
          <w:trHeight w:val="43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13.38</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13.38</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4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0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37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54"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285" w:hRule="atLeast"/>
        </w:trPr>
        <w:tc>
          <w:tcPr>
            <w:tcW w:w="641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1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60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房棚户区改造配套基础设施项目</w:t>
            </w:r>
          </w:p>
        </w:tc>
      </w:tr>
      <w:tr>
        <w:trPr>
          <w:trHeight w:val="57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63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285" w:hRule="atLeast"/>
        </w:trPr>
        <w:tc>
          <w:tcPr>
            <w:tcW w:w="38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65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trPr>
          <w:trHeight w:val="285" w:hRule="atLeast"/>
        </w:trPr>
        <w:tc>
          <w:tcPr>
            <w:tcW w:w="5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c>
        <w:tc>
          <w:tcPr>
            <w:tcW w:w="65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83"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2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2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9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75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90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1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105"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r>
      <w:tr>
        <w:trPr>
          <w:trHeight w:val="904" w:hRule="atLeast"/>
        </w:trPr>
        <w:tc>
          <w:tcPr>
            <w:tcW w:w="850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rPr>
          <w:trHeight w:val="285"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51042222T000006520333-根据盐财资建【2022】59号关于在2022年国有土地出让金中下达三维公司棚改房屋征收款(红果乡）</w:t>
            </w:r>
          </w:p>
        </w:tc>
      </w:tr>
      <w:tr>
        <w:trPr>
          <w:trHeight w:val="514"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盐边县乡镇财政</w:t>
            </w:r>
          </w:p>
        </w:tc>
        <w:tc>
          <w:tcPr>
            <w:tcW w:w="908" w:type="dxa"/>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0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盐边县红果彝族乡人民政府</w:t>
            </w:r>
          </w:p>
        </w:tc>
      </w:tr>
      <w:tr>
        <w:trPr>
          <w:trHeight w:val="285"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70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三维公司棚改房屋征收款</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完成</w:t>
            </w:r>
          </w:p>
        </w:tc>
      </w:tr>
      <w:tr>
        <w:trPr>
          <w:trHeight w:val="69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三维公司棚改房屋征收款</w:t>
            </w:r>
          </w:p>
        </w:tc>
      </w:tr>
      <w:tr>
        <w:trPr>
          <w:trHeight w:val="360"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38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8.18</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8.18</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cs="Courier New"/>
                <w:i/>
                <w:iCs/>
                <w:color w:val="000000"/>
                <w:kern w:val="0"/>
                <w:sz w:val="18"/>
                <w:szCs w:val="18"/>
              </w:rPr>
            </w:pPr>
            <w:r>
              <w:rPr>
                <w:rFonts w:ascii="Courier New" w:hAnsi="Courier New" w:cs="Courier New"/>
                <w:i/>
                <w:iCs/>
                <w:color w:val="000000"/>
                <w:kern w:val="0"/>
                <w:sz w:val="18"/>
                <w:szCs w:val="18"/>
              </w:rPr>
              <w:t>追加预算</w:t>
            </w:r>
          </w:p>
        </w:tc>
      </w:tr>
      <w:tr>
        <w:trPr>
          <w:trHeight w:val="43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8.18</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8.18</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4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0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37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54"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285" w:hRule="atLeast"/>
        </w:trPr>
        <w:tc>
          <w:tcPr>
            <w:tcW w:w="641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1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60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三维公司棚改房屋征收款</w:t>
            </w:r>
          </w:p>
        </w:tc>
      </w:tr>
      <w:tr>
        <w:trPr>
          <w:trHeight w:val="57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63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285" w:hRule="atLeast"/>
        </w:trPr>
        <w:tc>
          <w:tcPr>
            <w:tcW w:w="38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65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trPr>
          <w:trHeight w:val="285" w:hRule="atLeast"/>
        </w:trPr>
        <w:tc>
          <w:tcPr>
            <w:tcW w:w="5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c>
        <w:tc>
          <w:tcPr>
            <w:tcW w:w="65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83"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2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2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9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75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90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1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105"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r>
      <w:tr>
        <w:trPr>
          <w:trHeight w:val="904" w:hRule="atLeast"/>
        </w:trPr>
        <w:tc>
          <w:tcPr>
            <w:tcW w:w="850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rPr>
          <w:trHeight w:val="285"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51042222T000006659592-根据盐财资预【2022】39号下达新时代文明实践所（站）建设经费（红果乡））</w:t>
            </w:r>
          </w:p>
        </w:tc>
      </w:tr>
      <w:tr>
        <w:trPr>
          <w:trHeight w:val="514"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盐边县乡镇财政</w:t>
            </w:r>
          </w:p>
        </w:tc>
        <w:tc>
          <w:tcPr>
            <w:tcW w:w="908" w:type="dxa"/>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0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盐边县红果彝族乡人民政府</w:t>
            </w:r>
          </w:p>
        </w:tc>
      </w:tr>
      <w:tr>
        <w:trPr>
          <w:trHeight w:val="285"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70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新时代文明实践所（站）建设</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完成</w:t>
            </w:r>
          </w:p>
        </w:tc>
      </w:tr>
      <w:tr>
        <w:trPr>
          <w:trHeight w:val="69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新时代文明实践所（站）建设</w:t>
            </w:r>
          </w:p>
        </w:tc>
      </w:tr>
      <w:tr>
        <w:trPr>
          <w:trHeight w:val="360"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38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2.50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2.50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cs="Courier New"/>
                <w:i/>
                <w:iCs/>
                <w:color w:val="000000"/>
                <w:kern w:val="0"/>
                <w:sz w:val="18"/>
                <w:szCs w:val="18"/>
              </w:rPr>
            </w:pPr>
            <w:r>
              <w:rPr>
                <w:rFonts w:ascii="Courier New" w:hAnsi="Courier New" w:cs="Courier New"/>
                <w:i/>
                <w:iCs/>
                <w:color w:val="000000"/>
                <w:kern w:val="0"/>
                <w:sz w:val="18"/>
                <w:szCs w:val="18"/>
              </w:rPr>
              <w:t>追加预算</w:t>
            </w:r>
          </w:p>
        </w:tc>
      </w:tr>
      <w:tr>
        <w:trPr>
          <w:trHeight w:val="43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2.50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2.50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4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0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37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54"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285" w:hRule="atLeast"/>
        </w:trPr>
        <w:tc>
          <w:tcPr>
            <w:tcW w:w="641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1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60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新时代文明实践所（站）建设</w:t>
            </w:r>
          </w:p>
        </w:tc>
      </w:tr>
      <w:tr>
        <w:trPr>
          <w:trHeight w:val="57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63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285" w:hRule="atLeast"/>
        </w:trPr>
        <w:tc>
          <w:tcPr>
            <w:tcW w:w="38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65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trPr>
          <w:trHeight w:val="285" w:hRule="atLeast"/>
        </w:trPr>
        <w:tc>
          <w:tcPr>
            <w:tcW w:w="5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c>
        <w:tc>
          <w:tcPr>
            <w:tcW w:w="65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83"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2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2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9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75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90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1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105"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r>
      <w:tr>
        <w:trPr>
          <w:trHeight w:val="904" w:hRule="atLeast"/>
        </w:trPr>
        <w:tc>
          <w:tcPr>
            <w:tcW w:w="850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rPr>
          <w:trHeight w:val="285"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51042222T000006666247-根据盐财资预【2022】36号关于重新下达红果乡2021年盘活存量资金需继续使用项目款（红果彝族乡）</w:t>
            </w:r>
          </w:p>
        </w:tc>
      </w:tr>
      <w:tr>
        <w:trPr>
          <w:trHeight w:val="514"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盐边县乡镇财政</w:t>
            </w:r>
          </w:p>
        </w:tc>
        <w:tc>
          <w:tcPr>
            <w:tcW w:w="908" w:type="dxa"/>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0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盐边县红果彝族乡人民政府</w:t>
            </w:r>
          </w:p>
        </w:tc>
      </w:tr>
      <w:tr>
        <w:trPr>
          <w:trHeight w:val="285"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70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完成</w:t>
            </w:r>
          </w:p>
        </w:tc>
      </w:tr>
      <w:tr>
        <w:trPr>
          <w:trHeight w:val="69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360"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38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24.37</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24.37</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rPr>
          <w:trHeight w:val="43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24.37</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24.37</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4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0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37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54"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285" w:hRule="atLeast"/>
        </w:trPr>
        <w:tc>
          <w:tcPr>
            <w:tcW w:w="641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1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60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57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63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285" w:hRule="atLeast"/>
        </w:trPr>
        <w:tc>
          <w:tcPr>
            <w:tcW w:w="38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65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trPr>
          <w:trHeight w:val="285" w:hRule="atLeast"/>
        </w:trPr>
        <w:tc>
          <w:tcPr>
            <w:tcW w:w="5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c>
        <w:tc>
          <w:tcPr>
            <w:tcW w:w="65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83"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2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2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9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75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90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1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105"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r>
      <w:tr>
        <w:trPr>
          <w:trHeight w:val="904" w:hRule="atLeast"/>
        </w:trPr>
        <w:tc>
          <w:tcPr>
            <w:tcW w:w="850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rPr>
          <w:trHeight w:val="285"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51042222T000006685357-乡镇新冠肺炎疫情防控经费</w:t>
            </w:r>
          </w:p>
        </w:tc>
      </w:tr>
      <w:tr>
        <w:trPr>
          <w:trHeight w:val="514"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盐边县乡镇财政</w:t>
            </w:r>
          </w:p>
        </w:tc>
        <w:tc>
          <w:tcPr>
            <w:tcW w:w="908" w:type="dxa"/>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0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盐边县红果彝族乡人民政府</w:t>
            </w:r>
          </w:p>
        </w:tc>
      </w:tr>
      <w:tr>
        <w:trPr>
          <w:trHeight w:val="285"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70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新冠肺炎疫情防控经费</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完成</w:t>
            </w:r>
          </w:p>
        </w:tc>
      </w:tr>
      <w:tr>
        <w:trPr>
          <w:trHeight w:val="69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新冠肺炎疫情防控经费</w:t>
            </w:r>
          </w:p>
        </w:tc>
      </w:tr>
      <w:tr>
        <w:trPr>
          <w:trHeight w:val="360"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38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3.94</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3.94</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rPr>
          <w:trHeight w:val="43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3.94</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3.94</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4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0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37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54"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285" w:hRule="atLeast"/>
        </w:trPr>
        <w:tc>
          <w:tcPr>
            <w:tcW w:w="641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1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60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新冠肺炎疫情防控经费</w:t>
            </w:r>
          </w:p>
        </w:tc>
      </w:tr>
      <w:tr>
        <w:trPr>
          <w:trHeight w:val="57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63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285" w:hRule="atLeast"/>
        </w:trPr>
        <w:tc>
          <w:tcPr>
            <w:tcW w:w="38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65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trPr>
          <w:trHeight w:val="285" w:hRule="atLeast"/>
        </w:trPr>
        <w:tc>
          <w:tcPr>
            <w:tcW w:w="5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c>
        <w:tc>
          <w:tcPr>
            <w:tcW w:w="65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83"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2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2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9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75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90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1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105"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r>
      <w:tr>
        <w:trPr>
          <w:trHeight w:val="904" w:hRule="atLeast"/>
        </w:trPr>
        <w:tc>
          <w:tcPr>
            <w:tcW w:w="850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rPr>
          <w:trHeight w:val="285"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51042222T000006797472-盐财资预【2022】49号关于下达2022年县级基层组织活动和公共服务运行经费（红果乡）</w:t>
            </w:r>
          </w:p>
        </w:tc>
      </w:tr>
      <w:tr>
        <w:trPr>
          <w:trHeight w:val="514"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盐边县乡镇财政</w:t>
            </w:r>
          </w:p>
        </w:tc>
        <w:tc>
          <w:tcPr>
            <w:tcW w:w="908" w:type="dxa"/>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0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盐边县红果彝族乡人民政府</w:t>
            </w:r>
          </w:p>
        </w:tc>
      </w:tr>
      <w:tr>
        <w:trPr>
          <w:trHeight w:val="285"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70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公共运行维护项目</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完成</w:t>
            </w:r>
          </w:p>
        </w:tc>
      </w:tr>
      <w:tr>
        <w:trPr>
          <w:trHeight w:val="69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公共运行维护项目</w:t>
            </w:r>
          </w:p>
        </w:tc>
      </w:tr>
      <w:tr>
        <w:trPr>
          <w:trHeight w:val="360"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38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rPr>
          <w:trHeight w:val="43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4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0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37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54"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285" w:hRule="atLeast"/>
        </w:trPr>
        <w:tc>
          <w:tcPr>
            <w:tcW w:w="641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1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60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公共运行维护项目</w:t>
            </w:r>
          </w:p>
        </w:tc>
      </w:tr>
      <w:tr>
        <w:trPr>
          <w:trHeight w:val="57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63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285" w:hRule="atLeast"/>
        </w:trPr>
        <w:tc>
          <w:tcPr>
            <w:tcW w:w="38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65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trPr>
          <w:trHeight w:val="285" w:hRule="atLeast"/>
        </w:trPr>
        <w:tc>
          <w:tcPr>
            <w:tcW w:w="5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c>
        <w:tc>
          <w:tcPr>
            <w:tcW w:w="65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83"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2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2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9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75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90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1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105"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r>
      <w:tr>
        <w:trPr>
          <w:trHeight w:val="904" w:hRule="atLeast"/>
        </w:trPr>
        <w:tc>
          <w:tcPr>
            <w:tcW w:w="850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rPr>
          <w:trHeight w:val="285"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51042222T000006919236-根据盐财资农【2022】43号下达2022年农村综合改革转移支付资金（红果乡）</w:t>
            </w:r>
          </w:p>
        </w:tc>
      </w:tr>
      <w:tr>
        <w:trPr>
          <w:trHeight w:val="514"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盐边县乡镇财政</w:t>
            </w:r>
          </w:p>
        </w:tc>
        <w:tc>
          <w:tcPr>
            <w:tcW w:w="908" w:type="dxa"/>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0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盐边县红果彝族乡人民政府</w:t>
            </w:r>
          </w:p>
        </w:tc>
      </w:tr>
      <w:tr>
        <w:trPr>
          <w:trHeight w:val="285"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70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一事一议项目</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完成</w:t>
            </w:r>
          </w:p>
        </w:tc>
      </w:tr>
      <w:tr>
        <w:trPr>
          <w:trHeight w:val="69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一事一议项目</w:t>
            </w:r>
          </w:p>
        </w:tc>
      </w:tr>
      <w:tr>
        <w:trPr>
          <w:trHeight w:val="360"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38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tc>
      </w:tr>
      <w:tr>
        <w:trPr>
          <w:trHeight w:val="43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4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0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37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54"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285" w:hRule="atLeast"/>
        </w:trPr>
        <w:tc>
          <w:tcPr>
            <w:tcW w:w="641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1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60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一事一议项目</w:t>
            </w:r>
          </w:p>
        </w:tc>
      </w:tr>
      <w:tr>
        <w:trPr>
          <w:trHeight w:val="57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63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285" w:hRule="atLeast"/>
        </w:trPr>
        <w:tc>
          <w:tcPr>
            <w:tcW w:w="38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65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trPr>
          <w:trHeight w:val="285" w:hRule="atLeast"/>
        </w:trPr>
        <w:tc>
          <w:tcPr>
            <w:tcW w:w="5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65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83"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2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2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9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75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90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1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105"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r>
      <w:tr>
        <w:trPr>
          <w:trHeight w:val="904" w:hRule="atLeast"/>
        </w:trPr>
        <w:tc>
          <w:tcPr>
            <w:tcW w:w="850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rPr>
          <w:trHeight w:val="285"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51042222T000006919880-根据盐财资行【2022】191号下达政法委2020-2021年原有网格员补助经费</w:t>
            </w:r>
          </w:p>
        </w:tc>
      </w:tr>
      <w:tr>
        <w:trPr>
          <w:trHeight w:val="514"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盐边县乡镇财政</w:t>
            </w:r>
          </w:p>
        </w:tc>
        <w:tc>
          <w:tcPr>
            <w:tcW w:w="908" w:type="dxa"/>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0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盐边县红果彝族乡人民政府</w:t>
            </w:r>
          </w:p>
        </w:tc>
      </w:tr>
      <w:tr>
        <w:trPr>
          <w:trHeight w:val="285"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70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网格员补助</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对照年度目标，说明相关任务目标的完成情况（100字以内）</w:t>
            </w:r>
          </w:p>
        </w:tc>
      </w:tr>
      <w:tr>
        <w:trPr>
          <w:trHeight w:val="69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网格员补助</w:t>
            </w:r>
          </w:p>
        </w:tc>
      </w:tr>
      <w:tr>
        <w:trPr>
          <w:trHeight w:val="360"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38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8.19</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8.19</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中途追加预算</w:t>
            </w:r>
          </w:p>
        </w:tc>
      </w:tr>
      <w:tr>
        <w:trPr>
          <w:trHeight w:val="43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8.19</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8.19</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4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0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37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54"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285" w:hRule="atLeast"/>
        </w:trPr>
        <w:tc>
          <w:tcPr>
            <w:tcW w:w="641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1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60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网格员补助</w:t>
            </w:r>
          </w:p>
        </w:tc>
      </w:tr>
      <w:tr>
        <w:trPr>
          <w:trHeight w:val="57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63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285" w:hRule="atLeast"/>
        </w:trPr>
        <w:tc>
          <w:tcPr>
            <w:tcW w:w="38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65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trPr>
          <w:trHeight w:val="285" w:hRule="atLeast"/>
        </w:trPr>
        <w:tc>
          <w:tcPr>
            <w:tcW w:w="5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c>
        <w:tc>
          <w:tcPr>
            <w:tcW w:w="65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83"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2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2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9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75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90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1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105"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r>
      <w:tr>
        <w:trPr>
          <w:trHeight w:val="904" w:hRule="atLeast"/>
        </w:trPr>
        <w:tc>
          <w:tcPr>
            <w:tcW w:w="850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rPr>
          <w:trHeight w:val="454"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51042222T000007077454-根据盐财资农【2022】64号盐边县财政局、中共盐边县委组织部关于下达2022年盐边县集体经济扶持村县级配套资金（红果乡）</w:t>
            </w:r>
          </w:p>
        </w:tc>
      </w:tr>
      <w:tr>
        <w:trPr>
          <w:trHeight w:val="514"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盐边县乡镇财政</w:t>
            </w:r>
          </w:p>
        </w:tc>
        <w:tc>
          <w:tcPr>
            <w:tcW w:w="908" w:type="dxa"/>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0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盐边县红果彝族乡人民政府</w:t>
            </w:r>
          </w:p>
        </w:tc>
      </w:tr>
      <w:tr>
        <w:trPr>
          <w:trHeight w:val="285"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70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中省扶持集体资金</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完成</w:t>
            </w:r>
          </w:p>
        </w:tc>
      </w:tr>
      <w:tr>
        <w:trPr>
          <w:trHeight w:val="69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中省扶持集体资金</w:t>
            </w:r>
          </w:p>
        </w:tc>
      </w:tr>
      <w:tr>
        <w:trPr>
          <w:trHeight w:val="360"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38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rPr>
          <w:trHeight w:val="43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4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0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37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54"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285" w:hRule="atLeast"/>
        </w:trPr>
        <w:tc>
          <w:tcPr>
            <w:tcW w:w="641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1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60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中省扶持集体资金</w:t>
            </w:r>
          </w:p>
        </w:tc>
      </w:tr>
      <w:tr>
        <w:trPr>
          <w:trHeight w:val="57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63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285" w:hRule="atLeast"/>
        </w:trPr>
        <w:tc>
          <w:tcPr>
            <w:tcW w:w="38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65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trPr>
          <w:trHeight w:val="285" w:hRule="atLeast"/>
        </w:trPr>
        <w:tc>
          <w:tcPr>
            <w:tcW w:w="5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c>
        <w:tc>
          <w:tcPr>
            <w:tcW w:w="65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83"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2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2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9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75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90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1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105"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r>
      <w:tr>
        <w:trPr>
          <w:trHeight w:val="904" w:hRule="atLeast"/>
        </w:trPr>
        <w:tc>
          <w:tcPr>
            <w:tcW w:w="850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rPr>
          <w:trHeight w:val="285"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51042222T000007109911-根据盐财资建【2022】112号在2022年国有土地出让金中下达三维公司棚改房屋征收款</w:t>
            </w:r>
          </w:p>
        </w:tc>
      </w:tr>
      <w:tr>
        <w:trPr>
          <w:trHeight w:val="514"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盐边县乡镇财政</w:t>
            </w:r>
          </w:p>
        </w:tc>
        <w:tc>
          <w:tcPr>
            <w:tcW w:w="908" w:type="dxa"/>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0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盐边县红果彝族乡人民政府</w:t>
            </w:r>
          </w:p>
        </w:tc>
      </w:tr>
      <w:tr>
        <w:trPr>
          <w:trHeight w:val="285"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70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三维公司棚改房屋征收款</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完成</w:t>
            </w:r>
          </w:p>
        </w:tc>
      </w:tr>
      <w:tr>
        <w:trPr>
          <w:trHeight w:val="69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三维公司棚改房屋征收款</w:t>
            </w:r>
          </w:p>
        </w:tc>
      </w:tr>
      <w:tr>
        <w:trPr>
          <w:trHeight w:val="360"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38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8.86</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8.86</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rPr>
          <w:trHeight w:val="43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8.86</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8.86</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4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0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37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54"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285" w:hRule="atLeast"/>
        </w:trPr>
        <w:tc>
          <w:tcPr>
            <w:tcW w:w="641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1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60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三维公司棚改房屋征收款</w:t>
            </w:r>
          </w:p>
        </w:tc>
      </w:tr>
      <w:tr>
        <w:trPr>
          <w:trHeight w:val="57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63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285" w:hRule="atLeast"/>
        </w:trPr>
        <w:tc>
          <w:tcPr>
            <w:tcW w:w="38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65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trPr>
          <w:trHeight w:val="285" w:hRule="atLeast"/>
        </w:trPr>
        <w:tc>
          <w:tcPr>
            <w:tcW w:w="5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c>
        <w:tc>
          <w:tcPr>
            <w:tcW w:w="65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83"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2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2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9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75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90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1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105"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r>
      <w:tr>
        <w:trPr>
          <w:trHeight w:val="904" w:hRule="atLeast"/>
        </w:trPr>
        <w:tc>
          <w:tcPr>
            <w:tcW w:w="850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rPr>
          <w:trHeight w:val="285"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51042222T000007196582-根据盐财建【2022】62号下达“四好农村路”示范县创建经费（红果乡）</w:t>
            </w:r>
          </w:p>
        </w:tc>
      </w:tr>
      <w:tr>
        <w:trPr>
          <w:trHeight w:val="514"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盐边县乡镇财政</w:t>
            </w:r>
          </w:p>
        </w:tc>
        <w:tc>
          <w:tcPr>
            <w:tcW w:w="908" w:type="dxa"/>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0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盐边县红果彝族乡人民政府</w:t>
            </w:r>
          </w:p>
        </w:tc>
      </w:tr>
      <w:tr>
        <w:trPr>
          <w:trHeight w:val="285"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70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完成四好农村路”示范县创建经费</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完成</w:t>
            </w:r>
          </w:p>
        </w:tc>
      </w:tr>
      <w:tr>
        <w:trPr>
          <w:trHeight w:val="69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完成四好农村路”示范县创建经费</w:t>
            </w:r>
          </w:p>
        </w:tc>
      </w:tr>
      <w:tr>
        <w:trPr>
          <w:trHeight w:val="360"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38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1.72</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1.72</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中途追加预算</w:t>
            </w:r>
          </w:p>
        </w:tc>
      </w:tr>
      <w:tr>
        <w:trPr>
          <w:trHeight w:val="43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1.72</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1.72</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4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0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37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54"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285" w:hRule="atLeast"/>
        </w:trPr>
        <w:tc>
          <w:tcPr>
            <w:tcW w:w="641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1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60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完成四好农村路”示范县创建经费</w:t>
            </w:r>
          </w:p>
        </w:tc>
      </w:tr>
      <w:tr>
        <w:trPr>
          <w:trHeight w:val="57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63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285" w:hRule="atLeast"/>
        </w:trPr>
        <w:tc>
          <w:tcPr>
            <w:tcW w:w="38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65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trPr>
          <w:trHeight w:val="285" w:hRule="atLeast"/>
        </w:trPr>
        <w:tc>
          <w:tcPr>
            <w:tcW w:w="5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c>
        <w:tc>
          <w:tcPr>
            <w:tcW w:w="65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83"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2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2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9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75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90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1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105"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r>
      <w:tr>
        <w:trPr>
          <w:trHeight w:val="904" w:hRule="atLeast"/>
        </w:trPr>
        <w:tc>
          <w:tcPr>
            <w:tcW w:w="850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rPr>
          <w:trHeight w:val="285"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51042222T000007233126-根据盐财建【2022】64号下达2022年乡（镇）应急和安全监管补助经费（红果乡）</w:t>
            </w:r>
          </w:p>
        </w:tc>
      </w:tr>
      <w:tr>
        <w:trPr>
          <w:trHeight w:val="514"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盐边县乡镇财政</w:t>
            </w:r>
          </w:p>
        </w:tc>
        <w:tc>
          <w:tcPr>
            <w:tcW w:w="908" w:type="dxa"/>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0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盐边县红果彝族乡人民政府</w:t>
            </w:r>
          </w:p>
        </w:tc>
      </w:tr>
      <w:tr>
        <w:trPr>
          <w:trHeight w:val="285"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70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2022年安全生产经费</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完成</w:t>
            </w:r>
          </w:p>
        </w:tc>
      </w:tr>
      <w:tr>
        <w:trPr>
          <w:trHeight w:val="69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2022年安全生产经费</w:t>
            </w:r>
          </w:p>
        </w:tc>
      </w:tr>
      <w:tr>
        <w:trPr>
          <w:trHeight w:val="360"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38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9.97</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9.97</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rPr>
          <w:trHeight w:val="43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9.97</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9.97</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4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0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37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54"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285" w:hRule="atLeast"/>
        </w:trPr>
        <w:tc>
          <w:tcPr>
            <w:tcW w:w="641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1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60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2022年安全生产经费</w:t>
            </w:r>
          </w:p>
        </w:tc>
      </w:tr>
      <w:tr>
        <w:trPr>
          <w:trHeight w:val="57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63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285" w:hRule="atLeast"/>
        </w:trPr>
        <w:tc>
          <w:tcPr>
            <w:tcW w:w="38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65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trPr>
          <w:trHeight w:val="285" w:hRule="atLeast"/>
        </w:trPr>
        <w:tc>
          <w:tcPr>
            <w:tcW w:w="5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c>
        <w:tc>
          <w:tcPr>
            <w:tcW w:w="65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83"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2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2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9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75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90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1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105"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r>
      <w:tr>
        <w:trPr>
          <w:trHeight w:val="904" w:hRule="atLeast"/>
        </w:trPr>
        <w:tc>
          <w:tcPr>
            <w:tcW w:w="850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rPr>
          <w:trHeight w:val="285"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51042222T000007241864-盐财资建【2022】127号下达2022年乡镇1-6月森林草原防灭火卡点人员及临时巡山员补助专项资金</w:t>
            </w:r>
          </w:p>
        </w:tc>
      </w:tr>
      <w:tr>
        <w:trPr>
          <w:trHeight w:val="514"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盐边县乡镇财政</w:t>
            </w:r>
          </w:p>
        </w:tc>
        <w:tc>
          <w:tcPr>
            <w:tcW w:w="908" w:type="dxa"/>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0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盐边县红果彝族乡人民政府</w:t>
            </w:r>
          </w:p>
        </w:tc>
      </w:tr>
      <w:tr>
        <w:trPr>
          <w:trHeight w:val="285"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70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2022年1-6月森林草原防灭火卡点人员及临时巡山员补助专项资金</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完成</w:t>
            </w:r>
          </w:p>
        </w:tc>
      </w:tr>
      <w:tr>
        <w:trPr>
          <w:trHeight w:val="69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2022年1-6月森林草原防灭火卡点人员及临时巡山员补助</w:t>
            </w:r>
          </w:p>
        </w:tc>
      </w:tr>
      <w:tr>
        <w:trPr>
          <w:trHeight w:val="360"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38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11.52</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11.52</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rPr>
          <w:trHeight w:val="43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11.52</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11.52</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4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0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37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54"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285" w:hRule="atLeast"/>
        </w:trPr>
        <w:tc>
          <w:tcPr>
            <w:tcW w:w="641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1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60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2022年1-6月森林草原防灭火卡点人员及临时巡山员补助</w:t>
            </w:r>
          </w:p>
        </w:tc>
      </w:tr>
      <w:tr>
        <w:trPr>
          <w:trHeight w:val="57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63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285" w:hRule="atLeast"/>
        </w:trPr>
        <w:tc>
          <w:tcPr>
            <w:tcW w:w="38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65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trPr>
          <w:trHeight w:val="285" w:hRule="atLeast"/>
        </w:trPr>
        <w:tc>
          <w:tcPr>
            <w:tcW w:w="5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c>
        <w:tc>
          <w:tcPr>
            <w:tcW w:w="65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83"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2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2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9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75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90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1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105"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r>
      <w:tr>
        <w:trPr>
          <w:trHeight w:val="904" w:hRule="atLeast"/>
        </w:trPr>
        <w:tc>
          <w:tcPr>
            <w:tcW w:w="850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rPr>
          <w:trHeight w:val="285"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51042222T000007266356-根据盐财资行〔2022〕309号下达2021-2022年度驻村第一书记和工作队专项工作经费（红果乡）</w:t>
            </w:r>
          </w:p>
        </w:tc>
      </w:tr>
      <w:tr>
        <w:trPr>
          <w:trHeight w:val="514"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盐边县乡镇财政</w:t>
            </w:r>
          </w:p>
        </w:tc>
        <w:tc>
          <w:tcPr>
            <w:tcW w:w="908" w:type="dxa"/>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0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盐边县红果彝族乡人民政府</w:t>
            </w:r>
          </w:p>
        </w:tc>
      </w:tr>
      <w:tr>
        <w:trPr>
          <w:trHeight w:val="285"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70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驻村第一书记和工作队专项工作经费</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完成</w:t>
            </w:r>
          </w:p>
        </w:tc>
      </w:tr>
      <w:tr>
        <w:trPr>
          <w:trHeight w:val="69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驻村第一书记和工作队专项工作经费</w:t>
            </w:r>
          </w:p>
        </w:tc>
      </w:tr>
      <w:tr>
        <w:trPr>
          <w:trHeight w:val="360"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38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6.66</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6.66</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rPr>
          <w:trHeight w:val="43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6.66</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6.66</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4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0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37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54"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285" w:hRule="atLeast"/>
        </w:trPr>
        <w:tc>
          <w:tcPr>
            <w:tcW w:w="641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1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60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驻村第一书记和工作队专项工作经费</w:t>
            </w:r>
          </w:p>
        </w:tc>
      </w:tr>
      <w:tr>
        <w:trPr>
          <w:trHeight w:val="57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63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285" w:hRule="atLeast"/>
        </w:trPr>
        <w:tc>
          <w:tcPr>
            <w:tcW w:w="38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65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trPr>
          <w:trHeight w:val="285" w:hRule="atLeast"/>
        </w:trPr>
        <w:tc>
          <w:tcPr>
            <w:tcW w:w="5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c>
        <w:tc>
          <w:tcPr>
            <w:tcW w:w="65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83"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2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2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9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75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90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1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105"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r>
      <w:tr>
        <w:trPr>
          <w:trHeight w:val="904" w:hRule="atLeast"/>
        </w:trPr>
        <w:tc>
          <w:tcPr>
            <w:tcW w:w="850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rPr>
          <w:trHeight w:val="285"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51042222T000007266364-根据盐财资行〔2022〕301号下达2022年民族地区春节送温暖活动慰问金（红果乡）</w:t>
            </w:r>
          </w:p>
        </w:tc>
      </w:tr>
      <w:tr>
        <w:trPr>
          <w:trHeight w:val="514"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盐边县乡镇财政</w:t>
            </w:r>
          </w:p>
        </w:tc>
        <w:tc>
          <w:tcPr>
            <w:tcW w:w="908" w:type="dxa"/>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0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盐边县红果彝族乡人民政府</w:t>
            </w:r>
          </w:p>
        </w:tc>
      </w:tr>
      <w:tr>
        <w:trPr>
          <w:trHeight w:val="285"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70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2022年民族地区春节送温暖活动慰问</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完成</w:t>
            </w:r>
          </w:p>
        </w:tc>
      </w:tr>
      <w:tr>
        <w:trPr>
          <w:trHeight w:val="69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2022年民族地区春节送温暖活动慰问</w:t>
            </w:r>
          </w:p>
        </w:tc>
      </w:tr>
      <w:tr>
        <w:trPr>
          <w:trHeight w:val="360"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38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rPr>
          <w:trHeight w:val="43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4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0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37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54"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285" w:hRule="atLeast"/>
        </w:trPr>
        <w:tc>
          <w:tcPr>
            <w:tcW w:w="641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1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60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2022年民族地区春节送温暖活动慰问</w:t>
            </w:r>
          </w:p>
        </w:tc>
      </w:tr>
      <w:tr>
        <w:trPr>
          <w:trHeight w:val="57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63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285" w:hRule="atLeast"/>
        </w:trPr>
        <w:tc>
          <w:tcPr>
            <w:tcW w:w="38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65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trPr>
          <w:trHeight w:val="285" w:hRule="atLeast"/>
        </w:trPr>
        <w:tc>
          <w:tcPr>
            <w:tcW w:w="5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c>
        <w:tc>
          <w:tcPr>
            <w:tcW w:w="65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83"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2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2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9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75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90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1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105"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r>
      <w:tr>
        <w:trPr>
          <w:trHeight w:val="904" w:hRule="atLeast"/>
        </w:trPr>
        <w:tc>
          <w:tcPr>
            <w:tcW w:w="850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rPr>
          <w:trHeight w:val="285"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51042222T000007317877-根据盐财资行〔2022〕333号下达2022年村（社区）残协建设全覆盖工作经费（红果乡）</w:t>
            </w:r>
          </w:p>
        </w:tc>
      </w:tr>
      <w:tr>
        <w:trPr>
          <w:trHeight w:val="514"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盐边县乡镇财政</w:t>
            </w:r>
          </w:p>
        </w:tc>
        <w:tc>
          <w:tcPr>
            <w:tcW w:w="908" w:type="dxa"/>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0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盐边县红果彝族乡人民政府</w:t>
            </w:r>
          </w:p>
        </w:tc>
      </w:tr>
      <w:tr>
        <w:trPr>
          <w:trHeight w:val="285"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70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完成</w:t>
            </w:r>
          </w:p>
        </w:tc>
      </w:tr>
      <w:tr>
        <w:trPr>
          <w:trHeight w:val="69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360"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38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1.01</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1.01</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rPr>
          <w:trHeight w:val="43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1.01</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1.01</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4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0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37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54"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285" w:hRule="atLeast"/>
        </w:trPr>
        <w:tc>
          <w:tcPr>
            <w:tcW w:w="641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1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60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57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63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285" w:hRule="atLeast"/>
        </w:trPr>
        <w:tc>
          <w:tcPr>
            <w:tcW w:w="38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65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trPr>
          <w:trHeight w:val="285" w:hRule="atLeast"/>
        </w:trPr>
        <w:tc>
          <w:tcPr>
            <w:tcW w:w="5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c>
        <w:tc>
          <w:tcPr>
            <w:tcW w:w="65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83"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2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2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9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75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90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1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105"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r>
      <w:tr>
        <w:trPr>
          <w:trHeight w:val="904" w:hRule="atLeast"/>
        </w:trPr>
        <w:tc>
          <w:tcPr>
            <w:tcW w:w="850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rPr>
          <w:trHeight w:val="285"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51042222T000007421928-根据盐财资行〔2022〕363号下达2022年中央纪检监察转移支付资金（红果乡）</w:t>
            </w:r>
          </w:p>
        </w:tc>
      </w:tr>
      <w:tr>
        <w:trPr>
          <w:trHeight w:val="514"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盐边县乡镇财政</w:t>
            </w:r>
          </w:p>
        </w:tc>
        <w:tc>
          <w:tcPr>
            <w:tcW w:w="908" w:type="dxa"/>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0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盐边县红果彝族乡人民政府</w:t>
            </w:r>
          </w:p>
        </w:tc>
      </w:tr>
      <w:tr>
        <w:trPr>
          <w:trHeight w:val="285"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70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纪检监察</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完成</w:t>
            </w:r>
          </w:p>
        </w:tc>
      </w:tr>
      <w:tr>
        <w:trPr>
          <w:trHeight w:val="69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纪检监察</w:t>
            </w:r>
          </w:p>
        </w:tc>
      </w:tr>
      <w:tr>
        <w:trPr>
          <w:trHeight w:val="360"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38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2.15</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93.02%</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rPr>
          <w:trHeight w:val="43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2.15</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93.02%</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4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0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37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54"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285" w:hRule="atLeast"/>
        </w:trPr>
        <w:tc>
          <w:tcPr>
            <w:tcW w:w="641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1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60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纪检监察</w:t>
            </w:r>
          </w:p>
        </w:tc>
      </w:tr>
      <w:tr>
        <w:trPr>
          <w:trHeight w:val="57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63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285" w:hRule="atLeast"/>
        </w:trPr>
        <w:tc>
          <w:tcPr>
            <w:tcW w:w="38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65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trPr>
          <w:trHeight w:val="285" w:hRule="atLeast"/>
        </w:trPr>
        <w:tc>
          <w:tcPr>
            <w:tcW w:w="5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c>
        <w:tc>
          <w:tcPr>
            <w:tcW w:w="65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83"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2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2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9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75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90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1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105"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r>
      <w:tr>
        <w:trPr>
          <w:trHeight w:val="904" w:hRule="atLeast"/>
        </w:trPr>
        <w:tc>
          <w:tcPr>
            <w:tcW w:w="850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rPr>
          <w:trHeight w:val="454"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51042222T000007485579-根据盐财资建〔2022〕169号关于下达解决红果乡危旧房棚户区改造配套基础设施建设及棚户区还建项目征地拆迁补偿款（红果乡）</w:t>
            </w:r>
          </w:p>
        </w:tc>
      </w:tr>
      <w:tr>
        <w:trPr>
          <w:trHeight w:val="514"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盐边县乡镇财政</w:t>
            </w:r>
          </w:p>
        </w:tc>
        <w:tc>
          <w:tcPr>
            <w:tcW w:w="908" w:type="dxa"/>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0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盐边县红果彝族乡人民政府</w:t>
            </w:r>
          </w:p>
        </w:tc>
      </w:tr>
      <w:tr>
        <w:trPr>
          <w:trHeight w:val="285"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70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棚户区改造配套基础设施建设及棚户区还建项目征地拆迁补偿款</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完成</w:t>
            </w:r>
          </w:p>
        </w:tc>
      </w:tr>
      <w:tr>
        <w:trPr>
          <w:trHeight w:val="69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棚户区改造配套基础设施建设及棚户区还建项目征地拆迁补偿款</w:t>
            </w:r>
          </w:p>
        </w:tc>
      </w:tr>
      <w:tr>
        <w:trPr>
          <w:trHeight w:val="360"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38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21.01</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21.01</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rPr>
          <w:trHeight w:val="43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21.01</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21.01</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4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0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37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54"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285" w:hRule="atLeast"/>
        </w:trPr>
        <w:tc>
          <w:tcPr>
            <w:tcW w:w="641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1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60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棚户区改造配套基础设施建设及棚户区还建项目征地拆迁补偿款</w:t>
            </w:r>
          </w:p>
        </w:tc>
      </w:tr>
      <w:tr>
        <w:trPr>
          <w:trHeight w:val="57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63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285" w:hRule="atLeast"/>
        </w:trPr>
        <w:tc>
          <w:tcPr>
            <w:tcW w:w="38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65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trPr>
          <w:trHeight w:val="285" w:hRule="atLeast"/>
        </w:trPr>
        <w:tc>
          <w:tcPr>
            <w:tcW w:w="5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c>
        <w:tc>
          <w:tcPr>
            <w:tcW w:w="65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83"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2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2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9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75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90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1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105"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r>
      <w:tr>
        <w:trPr>
          <w:trHeight w:val="904" w:hRule="atLeast"/>
        </w:trPr>
        <w:tc>
          <w:tcPr>
            <w:tcW w:w="850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rPr>
          <w:trHeight w:val="285"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51042222Y000000304067-公用经费-党政办公室（乡镇党委）</w:t>
            </w:r>
          </w:p>
        </w:tc>
      </w:tr>
      <w:tr>
        <w:trPr>
          <w:trHeight w:val="514"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盐边县乡镇财政</w:t>
            </w:r>
          </w:p>
        </w:tc>
        <w:tc>
          <w:tcPr>
            <w:tcW w:w="908" w:type="dxa"/>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0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盐边县红果彝族乡人民政府</w:t>
            </w:r>
          </w:p>
        </w:tc>
      </w:tr>
      <w:tr>
        <w:trPr>
          <w:trHeight w:val="285"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70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保障单位日常运转，提高预算编制质量，严格执行预算</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完成</w:t>
            </w:r>
          </w:p>
        </w:tc>
      </w:tr>
      <w:tr>
        <w:trPr>
          <w:trHeight w:val="69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360"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38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1.30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15.03</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15.03</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rPr>
          <w:trHeight w:val="43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1.30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15.03</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15.03</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4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0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37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54"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科目调整次数</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次</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67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预算编制准确率（计算方法为：∣（执行数-预算数）/预算数∣）</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90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883"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“三公经费”控制率[计算方法为：（三公经费实际支出数/预算安排数]×100%）</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88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运转保障率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285" w:hRule="atLeast"/>
        </w:trPr>
        <w:tc>
          <w:tcPr>
            <w:tcW w:w="641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1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60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机关运行经费</w:t>
            </w:r>
          </w:p>
        </w:tc>
      </w:tr>
      <w:tr>
        <w:trPr>
          <w:trHeight w:val="57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63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285" w:hRule="atLeast"/>
        </w:trPr>
        <w:tc>
          <w:tcPr>
            <w:tcW w:w="38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65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trPr>
          <w:trHeight w:val="285" w:hRule="atLeast"/>
        </w:trPr>
        <w:tc>
          <w:tcPr>
            <w:tcW w:w="5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c>
        <w:tc>
          <w:tcPr>
            <w:tcW w:w="65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83"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2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2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9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75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90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1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105"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r>
      <w:tr>
        <w:trPr>
          <w:trHeight w:val="904" w:hRule="atLeast"/>
        </w:trPr>
        <w:tc>
          <w:tcPr>
            <w:tcW w:w="850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rPr>
          <w:trHeight w:val="285"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51042222Y000000304070-公用经费-党政办公室（乡镇人大）</w:t>
            </w:r>
          </w:p>
        </w:tc>
      </w:tr>
      <w:tr>
        <w:trPr>
          <w:trHeight w:val="514"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盐边县乡镇财政</w:t>
            </w:r>
          </w:p>
        </w:tc>
        <w:tc>
          <w:tcPr>
            <w:tcW w:w="908" w:type="dxa"/>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0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盐边县红果彝族乡人民政府</w:t>
            </w:r>
          </w:p>
        </w:tc>
      </w:tr>
      <w:tr>
        <w:trPr>
          <w:trHeight w:val="285"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70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保障单位日常运转，提高预算编制质量，严格执行预算</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完成</w:t>
            </w:r>
          </w:p>
        </w:tc>
      </w:tr>
      <w:tr>
        <w:trPr>
          <w:trHeight w:val="69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360"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38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2.60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2.58</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2.58</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rPr>
          <w:trHeight w:val="43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2.60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2.58</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2.58</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4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0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37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54"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科目调整次数</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次</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67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预算编制准确率（计算方法为：∣（执行数-预算数）/预算数∣）</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90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883"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“三公经费”控制率[计算方法为：（三公经费实际支出数/预算安排数]×100%）</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88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运转保障率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285" w:hRule="atLeast"/>
        </w:trPr>
        <w:tc>
          <w:tcPr>
            <w:tcW w:w="641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1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60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57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63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285" w:hRule="atLeast"/>
        </w:trPr>
        <w:tc>
          <w:tcPr>
            <w:tcW w:w="38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65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trPr>
          <w:trHeight w:val="285" w:hRule="atLeast"/>
        </w:trPr>
        <w:tc>
          <w:tcPr>
            <w:tcW w:w="5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c>
        <w:tc>
          <w:tcPr>
            <w:tcW w:w="65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83"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2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2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9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75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90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1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105"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r>
      <w:tr>
        <w:trPr>
          <w:trHeight w:val="904" w:hRule="atLeast"/>
        </w:trPr>
        <w:tc>
          <w:tcPr>
            <w:tcW w:w="850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rPr>
          <w:trHeight w:val="285"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51042222Y000000304071-公用经费-党政办公室（乡镇政府）</w:t>
            </w:r>
          </w:p>
        </w:tc>
      </w:tr>
      <w:tr>
        <w:trPr>
          <w:trHeight w:val="514"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盐边县乡镇财政</w:t>
            </w:r>
          </w:p>
        </w:tc>
        <w:tc>
          <w:tcPr>
            <w:tcW w:w="908" w:type="dxa"/>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0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盐边县红果彝族乡人民政府</w:t>
            </w:r>
          </w:p>
        </w:tc>
      </w:tr>
      <w:tr>
        <w:trPr>
          <w:trHeight w:val="285"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70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保障单位日常运转，提高预算编制质量，严格执行预算</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无</w:t>
            </w:r>
          </w:p>
        </w:tc>
      </w:tr>
      <w:tr>
        <w:trPr>
          <w:trHeight w:val="69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360"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38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31.09</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45.92</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45.92</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rPr>
          <w:trHeight w:val="43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31.09</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45.92</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45.92</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4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0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37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54"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科目调整次数</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次</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67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预算编制准确率（计算方法为：∣（执行数-预算数）/预算数∣）</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883"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运转保障率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90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88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“三公经费”控制率[计算方法为：（三公经费实际支出数/预算安排数]×100%）</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285" w:hRule="atLeast"/>
        </w:trPr>
        <w:tc>
          <w:tcPr>
            <w:tcW w:w="641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1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60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57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63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285" w:hRule="atLeast"/>
        </w:trPr>
        <w:tc>
          <w:tcPr>
            <w:tcW w:w="38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65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trPr>
          <w:trHeight w:val="285" w:hRule="atLeast"/>
        </w:trPr>
        <w:tc>
          <w:tcPr>
            <w:tcW w:w="5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c>
        <w:tc>
          <w:tcPr>
            <w:tcW w:w="65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83"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2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2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9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75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90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1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105"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r>
      <w:tr>
        <w:trPr>
          <w:trHeight w:val="904" w:hRule="atLeast"/>
        </w:trPr>
        <w:tc>
          <w:tcPr>
            <w:tcW w:w="850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rPr>
          <w:trHeight w:val="285"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51042222Y000000304089-公用经费-便民服务中心</w:t>
            </w:r>
          </w:p>
        </w:tc>
      </w:tr>
      <w:tr>
        <w:trPr>
          <w:trHeight w:val="514"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盐边县乡镇财政</w:t>
            </w:r>
          </w:p>
        </w:tc>
        <w:tc>
          <w:tcPr>
            <w:tcW w:w="908" w:type="dxa"/>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0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盐边县红果彝族乡人民政府</w:t>
            </w:r>
          </w:p>
        </w:tc>
      </w:tr>
      <w:tr>
        <w:trPr>
          <w:trHeight w:val="285"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70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保障单位日常运转，提高预算编制质量，严格执行预算</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完成</w:t>
            </w:r>
          </w:p>
        </w:tc>
      </w:tr>
      <w:tr>
        <w:trPr>
          <w:trHeight w:val="69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360"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38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8.69</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6.17</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6.17</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rPr>
          <w:trHeight w:val="43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8.69</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6.17</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6.17</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4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0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37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54"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科目调整次数</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次</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67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预算编制准确率（计算方法为：∣（执行数-预算数）/预算数∣）</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90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883"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“三公经费”控制率[计算方法为：（三公经费实际支出数/预算安排数]×100%）</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88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运转保障率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285" w:hRule="atLeast"/>
        </w:trPr>
        <w:tc>
          <w:tcPr>
            <w:tcW w:w="641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1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60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57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63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285" w:hRule="atLeast"/>
        </w:trPr>
        <w:tc>
          <w:tcPr>
            <w:tcW w:w="38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65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trPr>
          <w:trHeight w:val="285" w:hRule="atLeast"/>
        </w:trPr>
        <w:tc>
          <w:tcPr>
            <w:tcW w:w="5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c>
        <w:tc>
          <w:tcPr>
            <w:tcW w:w="65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83"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2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2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9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75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90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1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105"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r>
      <w:tr>
        <w:trPr>
          <w:trHeight w:val="904" w:hRule="atLeast"/>
        </w:trPr>
        <w:tc>
          <w:tcPr>
            <w:tcW w:w="850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rPr>
          <w:trHeight w:val="285"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51042222Y000000304091-公用经费-农业农村服务中心</w:t>
            </w:r>
          </w:p>
        </w:tc>
      </w:tr>
      <w:tr>
        <w:trPr>
          <w:trHeight w:val="514"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盐边县乡镇财政</w:t>
            </w:r>
          </w:p>
        </w:tc>
        <w:tc>
          <w:tcPr>
            <w:tcW w:w="908" w:type="dxa"/>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0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盐边县红果彝族乡人民政府</w:t>
            </w:r>
          </w:p>
        </w:tc>
      </w:tr>
      <w:tr>
        <w:trPr>
          <w:trHeight w:val="285"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70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保障单位日常运转，提高预算编制质量，严格执行预算</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完成</w:t>
            </w:r>
          </w:p>
        </w:tc>
      </w:tr>
      <w:tr>
        <w:trPr>
          <w:trHeight w:val="69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360"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38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11.47</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11.47</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11.47</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rPr>
          <w:trHeight w:val="43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11.47</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11.47</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11.47</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4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0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37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54"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科目调整次数</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次</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67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预算编制准确率（计算方法为：∣（执行数-预算数）/预算数∣）</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883"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运转保障率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90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88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“三公经费”控制率[计算方法为：（三公经费实际支出数/预算安排数]×100%）</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285" w:hRule="atLeast"/>
        </w:trPr>
        <w:tc>
          <w:tcPr>
            <w:tcW w:w="641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1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60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57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63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285" w:hRule="atLeast"/>
        </w:trPr>
        <w:tc>
          <w:tcPr>
            <w:tcW w:w="38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65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trPr>
          <w:trHeight w:val="285" w:hRule="atLeast"/>
        </w:trPr>
        <w:tc>
          <w:tcPr>
            <w:tcW w:w="5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c>
        <w:tc>
          <w:tcPr>
            <w:tcW w:w="65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83"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2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2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9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75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90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1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105"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r>
      <w:tr>
        <w:trPr>
          <w:trHeight w:val="904" w:hRule="atLeast"/>
        </w:trPr>
        <w:tc>
          <w:tcPr>
            <w:tcW w:w="850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rPr>
          <w:trHeight w:val="285"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51042222Y000000304093-公用经费-村镇建设服务中心</w:t>
            </w:r>
          </w:p>
        </w:tc>
      </w:tr>
      <w:tr>
        <w:trPr>
          <w:trHeight w:val="514"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盐边县乡镇财政</w:t>
            </w:r>
          </w:p>
        </w:tc>
        <w:tc>
          <w:tcPr>
            <w:tcW w:w="908" w:type="dxa"/>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0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盐边县红果彝族乡人民政府</w:t>
            </w:r>
          </w:p>
        </w:tc>
      </w:tr>
      <w:tr>
        <w:trPr>
          <w:trHeight w:val="285"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70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保障单位日常运转，提高预算编制质量，严格执行预算</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完成</w:t>
            </w:r>
          </w:p>
        </w:tc>
      </w:tr>
      <w:tr>
        <w:trPr>
          <w:trHeight w:val="69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360"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38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2.50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2.50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2.50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rPr>
          <w:trHeight w:val="43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2.50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2.50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2.50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4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0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37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54"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科目调整次数</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次</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67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预算编制准确率（计算方法为：∣（执行数-预算数）/预算数∣）</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883"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运转保障率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90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88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“三公经费”控制率[计算方法为：（三公经费实际支出数/预算安排数]×100%）</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285" w:hRule="atLeast"/>
        </w:trPr>
        <w:tc>
          <w:tcPr>
            <w:tcW w:w="641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1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60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57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63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285" w:hRule="atLeast"/>
        </w:trPr>
        <w:tc>
          <w:tcPr>
            <w:tcW w:w="38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65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trPr>
          <w:trHeight w:val="285" w:hRule="atLeast"/>
        </w:trPr>
        <w:tc>
          <w:tcPr>
            <w:tcW w:w="5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c>
        <w:tc>
          <w:tcPr>
            <w:tcW w:w="65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83"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2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2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9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75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90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1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105"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r>
      <w:tr>
        <w:trPr>
          <w:trHeight w:val="904" w:hRule="atLeast"/>
        </w:trPr>
        <w:tc>
          <w:tcPr>
            <w:tcW w:w="850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rPr>
          <w:trHeight w:val="285"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51042222Y000000304096-公用经费-宣传文化旅游服务中心</w:t>
            </w:r>
          </w:p>
        </w:tc>
      </w:tr>
      <w:tr>
        <w:trPr>
          <w:trHeight w:val="514"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盐边县乡镇财政</w:t>
            </w:r>
          </w:p>
        </w:tc>
        <w:tc>
          <w:tcPr>
            <w:tcW w:w="908" w:type="dxa"/>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0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盐边县红果彝族乡人民政府</w:t>
            </w:r>
          </w:p>
        </w:tc>
      </w:tr>
      <w:tr>
        <w:trPr>
          <w:trHeight w:val="285"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70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保障单位日常运转，提高预算编制质量，严格执行预算</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完成</w:t>
            </w:r>
          </w:p>
        </w:tc>
      </w:tr>
      <w:tr>
        <w:trPr>
          <w:trHeight w:val="69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360"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38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6.19</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6.19</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6.19</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rPr>
          <w:trHeight w:val="43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6.19</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6.19</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6.19</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4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0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37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54"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科目调整次数</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次</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67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预算编制准确率（计算方法为：∣（执行数-预算数）/预算数∣）</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883"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运转保障率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90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88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“三公经费”控制率[计算方法为：（三公经费实际支出数/预算安排数]×100%）</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285" w:hRule="atLeast"/>
        </w:trPr>
        <w:tc>
          <w:tcPr>
            <w:tcW w:w="641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1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60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57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63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285" w:hRule="atLeast"/>
        </w:trPr>
        <w:tc>
          <w:tcPr>
            <w:tcW w:w="38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65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trPr>
          <w:trHeight w:val="285" w:hRule="atLeast"/>
        </w:trPr>
        <w:tc>
          <w:tcPr>
            <w:tcW w:w="5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c>
        <w:tc>
          <w:tcPr>
            <w:tcW w:w="65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83"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2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2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9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75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90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1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105"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r>
      <w:tr>
        <w:trPr>
          <w:trHeight w:val="904" w:hRule="atLeast"/>
        </w:trPr>
        <w:tc>
          <w:tcPr>
            <w:tcW w:w="850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rPr>
          <w:trHeight w:val="285"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51042222Y000004798870-村社公用经费</w:t>
            </w:r>
          </w:p>
        </w:tc>
      </w:tr>
      <w:tr>
        <w:trPr>
          <w:trHeight w:val="514"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盐边县乡镇财政</w:t>
            </w:r>
          </w:p>
        </w:tc>
        <w:tc>
          <w:tcPr>
            <w:tcW w:w="908" w:type="dxa"/>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0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盐边县红果彝族乡人民政府</w:t>
            </w:r>
          </w:p>
        </w:tc>
      </w:tr>
      <w:tr>
        <w:trPr>
          <w:trHeight w:val="285"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70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保障单位日常运转，提高预算编制质量，严格执行预算</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完成</w:t>
            </w:r>
          </w:p>
        </w:tc>
      </w:tr>
      <w:tr>
        <w:trPr>
          <w:trHeight w:val="69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360"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38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28.00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28.00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28.00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rPr>
          <w:trHeight w:val="43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28.00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28.00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28.00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4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0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37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54"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科目调整次数</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次</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67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预算编制准确率（计算方法为：∣（执行数-预算数）/预算数∣）</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90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883"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“三公经费”控制率[计算方法为：（三公经费实际支出数/预算安排数]×100%）</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88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运转保障率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285" w:hRule="atLeast"/>
        </w:trPr>
        <w:tc>
          <w:tcPr>
            <w:tcW w:w="641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1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60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57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63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285" w:hRule="atLeast"/>
        </w:trPr>
        <w:tc>
          <w:tcPr>
            <w:tcW w:w="38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65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trPr>
          <w:trHeight w:val="285" w:hRule="atLeast"/>
        </w:trPr>
        <w:tc>
          <w:tcPr>
            <w:tcW w:w="5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c>
        <w:tc>
          <w:tcPr>
            <w:tcW w:w="65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83"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2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2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9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75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90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1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105"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r>
      <w:tr>
        <w:trPr>
          <w:trHeight w:val="904" w:hRule="atLeast"/>
        </w:trPr>
        <w:tc>
          <w:tcPr>
            <w:tcW w:w="850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rPr>
          <w:trHeight w:val="285"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51042222Y000004798889-社区公用经费</w:t>
            </w:r>
          </w:p>
        </w:tc>
      </w:tr>
      <w:tr>
        <w:trPr>
          <w:trHeight w:val="514"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盐边县乡镇财政</w:t>
            </w:r>
          </w:p>
        </w:tc>
        <w:tc>
          <w:tcPr>
            <w:tcW w:w="908" w:type="dxa"/>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0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盐边县红果彝族乡人民政府</w:t>
            </w:r>
          </w:p>
        </w:tc>
      </w:tr>
      <w:tr>
        <w:trPr>
          <w:trHeight w:val="285"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70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保障单位日常运转，提高预算编制质量，严格执行预算</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完成</w:t>
            </w:r>
          </w:p>
        </w:tc>
      </w:tr>
      <w:tr>
        <w:trPr>
          <w:trHeight w:val="69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360"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38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4.33</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4.33</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rPr>
          <w:trHeight w:val="43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4.33</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4.33</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4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0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37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54"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科目调整次数</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次</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67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预算编制准确率（计算方法为：∣（执行数-预算数）/预算数∣）</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883"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运转保障率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90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88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“三公经费”控制率[计算方法为：（三公经费实际支出数/预算安排数]×100%）</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285" w:hRule="atLeast"/>
        </w:trPr>
        <w:tc>
          <w:tcPr>
            <w:tcW w:w="641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1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60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57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63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285" w:hRule="atLeast"/>
        </w:trPr>
        <w:tc>
          <w:tcPr>
            <w:tcW w:w="38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65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trPr>
          <w:trHeight w:val="285" w:hRule="atLeast"/>
        </w:trPr>
        <w:tc>
          <w:tcPr>
            <w:tcW w:w="5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c>
        <w:tc>
          <w:tcPr>
            <w:tcW w:w="65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83"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2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2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9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75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90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1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105"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r>
      <w:tr>
        <w:trPr>
          <w:trHeight w:val="904" w:hRule="atLeast"/>
        </w:trPr>
        <w:tc>
          <w:tcPr>
            <w:tcW w:w="850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rPr>
          <w:trHeight w:val="285"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51042223R000007511924-2022年9月预发绩效奖</w:t>
            </w:r>
          </w:p>
        </w:tc>
      </w:tr>
      <w:tr>
        <w:trPr>
          <w:trHeight w:val="514"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盐边县乡镇财政</w:t>
            </w:r>
          </w:p>
        </w:tc>
        <w:tc>
          <w:tcPr>
            <w:tcW w:w="908" w:type="dxa"/>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0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盐边县红果彝族乡人民政府</w:t>
            </w:r>
          </w:p>
        </w:tc>
      </w:tr>
      <w:tr>
        <w:trPr>
          <w:trHeight w:val="285"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70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完成</w:t>
            </w:r>
          </w:p>
        </w:tc>
      </w:tr>
      <w:tr>
        <w:trPr>
          <w:trHeight w:val="69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360"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38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58.72</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58.72</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rPr>
          <w:trHeight w:val="43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58.72</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58.72</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4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0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37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54"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285" w:hRule="atLeast"/>
        </w:trPr>
        <w:tc>
          <w:tcPr>
            <w:tcW w:w="641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1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60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57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63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285" w:hRule="atLeast"/>
        </w:trPr>
        <w:tc>
          <w:tcPr>
            <w:tcW w:w="38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65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trPr>
          <w:trHeight w:val="285" w:hRule="atLeast"/>
        </w:trPr>
        <w:tc>
          <w:tcPr>
            <w:tcW w:w="5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c>
        <w:tc>
          <w:tcPr>
            <w:tcW w:w="65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83"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2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2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9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75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90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1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105"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r>
      <w:tr>
        <w:trPr>
          <w:trHeight w:val="904" w:hRule="atLeast"/>
        </w:trPr>
        <w:tc>
          <w:tcPr>
            <w:tcW w:w="850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rPr>
          <w:trHeight w:val="285"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51042223R000008137371-2022年社工人员经费（乡镇）</w:t>
            </w:r>
          </w:p>
        </w:tc>
      </w:tr>
      <w:tr>
        <w:trPr>
          <w:trHeight w:val="514"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盐边县乡镇财政</w:t>
            </w:r>
          </w:p>
        </w:tc>
        <w:tc>
          <w:tcPr>
            <w:tcW w:w="908" w:type="dxa"/>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0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盐边县红果彝族乡人民政府</w:t>
            </w:r>
          </w:p>
        </w:tc>
      </w:tr>
      <w:tr>
        <w:trPr>
          <w:trHeight w:val="285"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70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完成</w:t>
            </w:r>
          </w:p>
        </w:tc>
      </w:tr>
      <w:tr>
        <w:trPr>
          <w:trHeight w:val="69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360"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38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4.55</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4.55</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rPr>
          <w:trHeight w:val="43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4.55</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4.55</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4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0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37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54"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285" w:hRule="atLeast"/>
        </w:trPr>
        <w:tc>
          <w:tcPr>
            <w:tcW w:w="641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1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60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57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63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285" w:hRule="atLeast"/>
        </w:trPr>
        <w:tc>
          <w:tcPr>
            <w:tcW w:w="38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65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trPr>
          <w:trHeight w:val="285" w:hRule="atLeast"/>
        </w:trPr>
        <w:tc>
          <w:tcPr>
            <w:tcW w:w="5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c>
        <w:tc>
          <w:tcPr>
            <w:tcW w:w="65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83"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2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2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9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75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90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1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105"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r>
      <w:tr>
        <w:trPr>
          <w:trHeight w:val="904" w:hRule="atLeast"/>
        </w:trPr>
        <w:tc>
          <w:tcPr>
            <w:tcW w:w="850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rPr>
          <w:trHeight w:val="285"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51042223T000007671880-根据盐财资行〔2022〕426号关于调整下达2022年度就业创业补助资金（红果乡）</w:t>
            </w:r>
          </w:p>
        </w:tc>
      </w:tr>
      <w:tr>
        <w:trPr>
          <w:trHeight w:val="514"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盐边县乡镇财政</w:t>
            </w:r>
          </w:p>
        </w:tc>
        <w:tc>
          <w:tcPr>
            <w:tcW w:w="908" w:type="dxa"/>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0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盐边县红果彝族乡人民政府</w:t>
            </w:r>
          </w:p>
        </w:tc>
      </w:tr>
      <w:tr>
        <w:trPr>
          <w:trHeight w:val="285"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70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完成</w:t>
            </w:r>
          </w:p>
        </w:tc>
      </w:tr>
      <w:tr>
        <w:trPr>
          <w:trHeight w:val="69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360"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38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1.95</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1.95</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rPr>
          <w:trHeight w:val="43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1.95</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1.95</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4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0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37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54"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285" w:hRule="atLeast"/>
        </w:trPr>
        <w:tc>
          <w:tcPr>
            <w:tcW w:w="641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1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60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57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63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285" w:hRule="atLeast"/>
        </w:trPr>
        <w:tc>
          <w:tcPr>
            <w:tcW w:w="38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65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trPr>
          <w:trHeight w:val="285" w:hRule="atLeast"/>
        </w:trPr>
        <w:tc>
          <w:tcPr>
            <w:tcW w:w="5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c>
        <w:tc>
          <w:tcPr>
            <w:tcW w:w="65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83"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2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2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9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75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90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1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105"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r>
      <w:tr>
        <w:trPr>
          <w:trHeight w:val="904" w:hRule="atLeast"/>
        </w:trPr>
        <w:tc>
          <w:tcPr>
            <w:tcW w:w="850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rPr>
          <w:trHeight w:val="285"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51042223T000007758319-根据盐边财政【2020】157号收回存量资金重新安排下达红果乡大槽村村道改善整治资金（红果乡）</w:t>
            </w:r>
          </w:p>
        </w:tc>
      </w:tr>
      <w:tr>
        <w:trPr>
          <w:trHeight w:val="514"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盐边县乡镇财政</w:t>
            </w:r>
          </w:p>
        </w:tc>
        <w:tc>
          <w:tcPr>
            <w:tcW w:w="908" w:type="dxa"/>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0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盐边县红果彝族乡人民政府</w:t>
            </w:r>
          </w:p>
        </w:tc>
      </w:tr>
      <w:tr>
        <w:trPr>
          <w:trHeight w:val="285"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70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基础设施改善，解决出行困难问题。</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完成</w:t>
            </w:r>
          </w:p>
        </w:tc>
      </w:tr>
      <w:tr>
        <w:trPr>
          <w:trHeight w:val="69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360"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38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2.28</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rPr>
          <w:trHeight w:val="43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4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0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2.28</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37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54"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受益人数</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保障项目保质保量完成</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99</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2022年</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人均增收</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元</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45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服务对象满意度</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成本指标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经济成本指标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成本控制</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2.28356</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285" w:hRule="atLeast"/>
        </w:trPr>
        <w:tc>
          <w:tcPr>
            <w:tcW w:w="641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1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60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57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63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285" w:hRule="atLeast"/>
        </w:trPr>
        <w:tc>
          <w:tcPr>
            <w:tcW w:w="38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65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trPr>
          <w:trHeight w:val="285" w:hRule="atLeast"/>
        </w:trPr>
        <w:tc>
          <w:tcPr>
            <w:tcW w:w="5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c>
        <w:tc>
          <w:tcPr>
            <w:tcW w:w="65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83"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2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2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9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75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90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1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105"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r>
      <w:tr>
        <w:trPr>
          <w:trHeight w:val="904" w:hRule="atLeast"/>
        </w:trPr>
        <w:tc>
          <w:tcPr>
            <w:tcW w:w="850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rPr>
          <w:trHeight w:val="285"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51042223T000007758322-根据盐边财政【2020】157号收回存量资金重新安排下达红果乡大槽村砍船箐道路维修整治资金（红果乡）</w:t>
            </w:r>
          </w:p>
        </w:tc>
      </w:tr>
      <w:tr>
        <w:trPr>
          <w:trHeight w:val="514"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盐边县乡镇财政</w:t>
            </w:r>
          </w:p>
        </w:tc>
        <w:tc>
          <w:tcPr>
            <w:tcW w:w="908" w:type="dxa"/>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0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盐边县红果彝族乡人民政府</w:t>
            </w:r>
          </w:p>
        </w:tc>
      </w:tr>
      <w:tr>
        <w:trPr>
          <w:trHeight w:val="285"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70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改善红果乡大槽村砍船箐社基础设施改善，解决出行困难问题。</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　</w:t>
            </w:r>
          </w:p>
        </w:tc>
      </w:tr>
      <w:tr>
        <w:trPr>
          <w:trHeight w:val="69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360"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38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4.99</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rPr>
          <w:trHeight w:val="43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4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0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4.99</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37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54"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受益人数</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确保项目保质保量完成</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99</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2022年</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人均增收</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元</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45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服务对象满意度</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成本指标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经济成本指标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成本控制</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4.992</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285" w:hRule="atLeast"/>
        </w:trPr>
        <w:tc>
          <w:tcPr>
            <w:tcW w:w="641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1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60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57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63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285" w:hRule="atLeast"/>
        </w:trPr>
        <w:tc>
          <w:tcPr>
            <w:tcW w:w="38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65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trPr>
          <w:trHeight w:val="285" w:hRule="atLeast"/>
        </w:trPr>
        <w:tc>
          <w:tcPr>
            <w:tcW w:w="5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c>
        <w:tc>
          <w:tcPr>
            <w:tcW w:w="65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83"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2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2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9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75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90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1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105"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r>
      <w:tr>
        <w:trPr>
          <w:trHeight w:val="904" w:hRule="atLeast"/>
        </w:trPr>
        <w:tc>
          <w:tcPr>
            <w:tcW w:w="850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rPr>
          <w:trHeight w:val="285"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51042223T000007758325-根据盐边财政【2020】157号收回存量资金重新安排下达红果乡职工福利费</w:t>
            </w:r>
          </w:p>
        </w:tc>
      </w:tr>
      <w:tr>
        <w:trPr>
          <w:trHeight w:val="514"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盐边县乡镇财政</w:t>
            </w:r>
          </w:p>
        </w:tc>
        <w:tc>
          <w:tcPr>
            <w:tcW w:w="908" w:type="dxa"/>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0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盐边县红果彝族乡人民政府</w:t>
            </w:r>
          </w:p>
        </w:tc>
      </w:tr>
      <w:tr>
        <w:trPr>
          <w:trHeight w:val="285"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70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保障职工体检。</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　</w:t>
            </w:r>
          </w:p>
        </w:tc>
      </w:tr>
      <w:tr>
        <w:trPr>
          <w:trHeight w:val="69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360"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38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5.47</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5.47</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rPr>
          <w:trHeight w:val="43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4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0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5.47</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5.47</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37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54"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职工人数</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保障职工按时体检</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99</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2022年</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保障职工身体健康</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45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服务对象满意度</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96</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成本指标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经济成本指标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成本控制</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5.474</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285" w:hRule="atLeast"/>
        </w:trPr>
        <w:tc>
          <w:tcPr>
            <w:tcW w:w="641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1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60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57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63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285" w:hRule="atLeast"/>
        </w:trPr>
        <w:tc>
          <w:tcPr>
            <w:tcW w:w="38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65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trPr>
          <w:trHeight w:val="285" w:hRule="atLeast"/>
        </w:trPr>
        <w:tc>
          <w:tcPr>
            <w:tcW w:w="5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c>
        <w:tc>
          <w:tcPr>
            <w:tcW w:w="65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83"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2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2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9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75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90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1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105"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r>
      <w:tr>
        <w:trPr>
          <w:trHeight w:val="904" w:hRule="atLeast"/>
        </w:trPr>
        <w:tc>
          <w:tcPr>
            <w:tcW w:w="850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rPr>
          <w:trHeight w:val="285"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51042223T000007855047-盐边财政〔2022〕51号“两项清理”未使用代管资金经信科技局直接下达红果乡义务护线工作经费</w:t>
            </w:r>
          </w:p>
        </w:tc>
      </w:tr>
      <w:tr>
        <w:trPr>
          <w:trHeight w:val="514"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盐边县乡镇财政</w:t>
            </w:r>
          </w:p>
        </w:tc>
        <w:tc>
          <w:tcPr>
            <w:tcW w:w="908" w:type="dxa"/>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0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盐边县红果彝族乡人民政府</w:t>
            </w:r>
          </w:p>
        </w:tc>
      </w:tr>
      <w:tr>
        <w:trPr>
          <w:trHeight w:val="285"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70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保障全乡范围内电网安全、稳定运行。</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　</w:t>
            </w:r>
          </w:p>
        </w:tc>
      </w:tr>
      <w:tr>
        <w:trPr>
          <w:trHeight w:val="69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360"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38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2.50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2.50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rPr>
          <w:trHeight w:val="43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4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0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2.50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2.50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37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54"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六村一居</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个</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高质量保障电网安全运行</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2020年-2022年</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保障全乡电网安全</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45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服务对象满意度</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成本指标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经济成本指标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成本控制</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25000</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元</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285" w:hRule="atLeast"/>
        </w:trPr>
        <w:tc>
          <w:tcPr>
            <w:tcW w:w="641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1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60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57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63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285" w:hRule="atLeast"/>
        </w:trPr>
        <w:tc>
          <w:tcPr>
            <w:tcW w:w="38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65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trPr>
          <w:trHeight w:val="285" w:hRule="atLeast"/>
        </w:trPr>
        <w:tc>
          <w:tcPr>
            <w:tcW w:w="5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c>
        <w:tc>
          <w:tcPr>
            <w:tcW w:w="65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83"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2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2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9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75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90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1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105"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r>
      <w:tr>
        <w:trPr>
          <w:trHeight w:val="904" w:hRule="atLeast"/>
        </w:trPr>
        <w:tc>
          <w:tcPr>
            <w:tcW w:w="850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rPr>
          <w:trHeight w:val="285"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51042223T000007888846-根据盐财资行[2022]468号下达创建民族团结进步示范县所需经费</w:t>
            </w:r>
          </w:p>
        </w:tc>
      </w:tr>
      <w:tr>
        <w:trPr>
          <w:trHeight w:val="514"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盐边县乡镇财政</w:t>
            </w:r>
          </w:p>
        </w:tc>
        <w:tc>
          <w:tcPr>
            <w:tcW w:w="908" w:type="dxa"/>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0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盐边县红果彝族乡人民政府</w:t>
            </w:r>
          </w:p>
        </w:tc>
      </w:tr>
      <w:tr>
        <w:trPr>
          <w:trHeight w:val="285"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70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　</w:t>
            </w:r>
          </w:p>
        </w:tc>
      </w:tr>
      <w:tr>
        <w:trPr>
          <w:trHeight w:val="69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360"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38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rPr>
          <w:trHeight w:val="43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4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0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37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54"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285" w:hRule="atLeast"/>
        </w:trPr>
        <w:tc>
          <w:tcPr>
            <w:tcW w:w="641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1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60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57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63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285" w:hRule="atLeast"/>
        </w:trPr>
        <w:tc>
          <w:tcPr>
            <w:tcW w:w="38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65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trPr>
          <w:trHeight w:val="285" w:hRule="atLeast"/>
        </w:trPr>
        <w:tc>
          <w:tcPr>
            <w:tcW w:w="5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c>
        <w:tc>
          <w:tcPr>
            <w:tcW w:w="65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83"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2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2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9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75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90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1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105"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r>
      <w:tr>
        <w:trPr>
          <w:trHeight w:val="904" w:hRule="atLeast"/>
        </w:trPr>
        <w:tc>
          <w:tcPr>
            <w:tcW w:w="850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rPr>
          <w:trHeight w:val="285"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51042223T000008127745-根据盐财资预〔2022〕103号文件下达红果乡化解“10·17”事故信访事项专项经费（红果乡）</w:t>
            </w:r>
          </w:p>
        </w:tc>
      </w:tr>
      <w:tr>
        <w:trPr>
          <w:trHeight w:val="514"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盐边县乡镇财政</w:t>
            </w:r>
          </w:p>
        </w:tc>
        <w:tc>
          <w:tcPr>
            <w:tcW w:w="908" w:type="dxa"/>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0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盐边县红果彝族乡人民政府</w:t>
            </w:r>
          </w:p>
        </w:tc>
      </w:tr>
      <w:tr>
        <w:trPr>
          <w:trHeight w:val="285"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70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　</w:t>
            </w:r>
          </w:p>
        </w:tc>
      </w:tr>
      <w:tr>
        <w:trPr>
          <w:trHeight w:val="69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360"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38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rPr>
          <w:trHeight w:val="43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4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0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37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54"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285" w:hRule="atLeast"/>
        </w:trPr>
        <w:tc>
          <w:tcPr>
            <w:tcW w:w="641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1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60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57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63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285" w:hRule="atLeast"/>
        </w:trPr>
        <w:tc>
          <w:tcPr>
            <w:tcW w:w="38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65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trPr>
          <w:trHeight w:val="285" w:hRule="atLeast"/>
        </w:trPr>
        <w:tc>
          <w:tcPr>
            <w:tcW w:w="5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c>
        <w:tc>
          <w:tcPr>
            <w:tcW w:w="65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83"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2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2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9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75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90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1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105"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r>
      <w:tr>
        <w:trPr>
          <w:trHeight w:val="904" w:hRule="atLeast"/>
        </w:trPr>
        <w:tc>
          <w:tcPr>
            <w:tcW w:w="850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rPr>
          <w:trHeight w:val="285"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51042223T000008353092-根据盐财资行【2022】508号下达乡镇便民服务中心“三化”建设经费</w:t>
            </w:r>
          </w:p>
        </w:tc>
      </w:tr>
      <w:tr>
        <w:trPr>
          <w:trHeight w:val="514"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盐边县乡镇财政</w:t>
            </w:r>
          </w:p>
        </w:tc>
        <w:tc>
          <w:tcPr>
            <w:tcW w:w="908" w:type="dxa"/>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0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盐边县红果彝族乡人民政府</w:t>
            </w:r>
          </w:p>
        </w:tc>
      </w:tr>
      <w:tr>
        <w:trPr>
          <w:trHeight w:val="285"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70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　</w:t>
            </w:r>
          </w:p>
        </w:tc>
      </w:tr>
      <w:tr>
        <w:trPr>
          <w:trHeight w:val="69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360"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38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0.59</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11.80%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rPr>
          <w:trHeight w:val="43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0.59</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11.80%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4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0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37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54"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285" w:hRule="atLeast"/>
        </w:trPr>
        <w:tc>
          <w:tcPr>
            <w:tcW w:w="641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1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60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57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63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285" w:hRule="atLeast"/>
        </w:trPr>
        <w:tc>
          <w:tcPr>
            <w:tcW w:w="38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65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trPr>
          <w:trHeight w:val="285" w:hRule="atLeast"/>
        </w:trPr>
        <w:tc>
          <w:tcPr>
            <w:tcW w:w="5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c>
        <w:tc>
          <w:tcPr>
            <w:tcW w:w="65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83"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2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2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9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75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90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1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105"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r>
      <w:tr>
        <w:trPr>
          <w:trHeight w:val="904" w:hRule="atLeast"/>
        </w:trPr>
        <w:tc>
          <w:tcPr>
            <w:tcW w:w="850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rPr>
          <w:trHeight w:val="285"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51042223T000008501488-根据盐财资农〔2022〕125号文件下达2022年省级农村综合改革转移支付资金</w:t>
            </w:r>
          </w:p>
        </w:tc>
      </w:tr>
      <w:tr>
        <w:trPr>
          <w:trHeight w:val="514"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盐边县乡镇财政</w:t>
            </w:r>
          </w:p>
        </w:tc>
        <w:tc>
          <w:tcPr>
            <w:tcW w:w="908" w:type="dxa"/>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0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盐边县红果彝族乡人民政府</w:t>
            </w:r>
          </w:p>
        </w:tc>
      </w:tr>
      <w:tr>
        <w:trPr>
          <w:trHeight w:val="285"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70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　</w:t>
            </w:r>
          </w:p>
        </w:tc>
      </w:tr>
      <w:tr>
        <w:trPr>
          <w:trHeight w:val="69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360"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38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52.15</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rPr>
          <w:trHeight w:val="43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52.15</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4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0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37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54"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285" w:hRule="atLeast"/>
        </w:trPr>
        <w:tc>
          <w:tcPr>
            <w:tcW w:w="641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1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60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57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63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285" w:hRule="atLeast"/>
        </w:trPr>
        <w:tc>
          <w:tcPr>
            <w:tcW w:w="38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65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trPr>
          <w:trHeight w:val="285" w:hRule="atLeast"/>
        </w:trPr>
        <w:tc>
          <w:tcPr>
            <w:tcW w:w="5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c>
        <w:tc>
          <w:tcPr>
            <w:tcW w:w="65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83"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2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2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9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75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90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1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105"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r>
      <w:tr>
        <w:trPr>
          <w:trHeight w:val="904" w:hRule="atLeast"/>
        </w:trPr>
        <w:tc>
          <w:tcPr>
            <w:tcW w:w="850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rPr>
          <w:trHeight w:val="285"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51042223T000008683812-红果彝族乡2022年全省村（社区）森林防灭火奖补资金预算</w:t>
            </w:r>
          </w:p>
        </w:tc>
      </w:tr>
      <w:tr>
        <w:trPr>
          <w:trHeight w:val="514"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盐边县乡镇财政</w:t>
            </w:r>
          </w:p>
        </w:tc>
        <w:tc>
          <w:tcPr>
            <w:tcW w:w="908" w:type="dxa"/>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0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盐边县红果彝族乡人民政府</w:t>
            </w:r>
          </w:p>
        </w:tc>
      </w:tr>
      <w:tr>
        <w:trPr>
          <w:trHeight w:val="285"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70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　</w:t>
            </w:r>
          </w:p>
        </w:tc>
      </w:tr>
      <w:tr>
        <w:trPr>
          <w:trHeight w:val="69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360"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38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24.00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rPr>
          <w:trHeight w:val="43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24.00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4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0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37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54"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285" w:hRule="atLeast"/>
        </w:trPr>
        <w:tc>
          <w:tcPr>
            <w:tcW w:w="641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1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60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57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63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285" w:hRule="atLeast"/>
        </w:trPr>
        <w:tc>
          <w:tcPr>
            <w:tcW w:w="38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65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trPr>
          <w:trHeight w:val="285" w:hRule="atLeast"/>
        </w:trPr>
        <w:tc>
          <w:tcPr>
            <w:tcW w:w="5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c>
        <w:tc>
          <w:tcPr>
            <w:tcW w:w="65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83"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2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2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9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75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90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1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105"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r>
      <w:tr>
        <w:trPr>
          <w:trHeight w:val="904" w:hRule="atLeast"/>
        </w:trPr>
        <w:tc>
          <w:tcPr>
            <w:tcW w:w="850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rPr>
          <w:trHeight w:val="285"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51042223T000008788459-2022年末消化暂付款（红果彝族乡）</w:t>
            </w:r>
          </w:p>
        </w:tc>
      </w:tr>
      <w:tr>
        <w:trPr>
          <w:trHeight w:val="514"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盐边县乡镇财政</w:t>
            </w:r>
          </w:p>
        </w:tc>
        <w:tc>
          <w:tcPr>
            <w:tcW w:w="908" w:type="dxa"/>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0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盐边县红果彝族乡人民政府</w:t>
            </w:r>
          </w:p>
        </w:tc>
      </w:tr>
      <w:tr>
        <w:trPr>
          <w:trHeight w:val="285"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70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　</w:t>
            </w:r>
          </w:p>
        </w:tc>
      </w:tr>
      <w:tr>
        <w:trPr>
          <w:trHeight w:val="69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360"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38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53.77</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53.77</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rPr>
          <w:trHeight w:val="43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53.77</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53.77</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4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0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37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54"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285" w:hRule="atLeast"/>
        </w:trPr>
        <w:tc>
          <w:tcPr>
            <w:tcW w:w="641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1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60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57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63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285" w:hRule="atLeast"/>
        </w:trPr>
        <w:tc>
          <w:tcPr>
            <w:tcW w:w="38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65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trPr>
          <w:trHeight w:val="285" w:hRule="atLeast"/>
        </w:trPr>
        <w:tc>
          <w:tcPr>
            <w:tcW w:w="5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c>
        <w:tc>
          <w:tcPr>
            <w:tcW w:w="65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83"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29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2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89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75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90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11"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105"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r>
      <w:tr>
        <w:trPr>
          <w:trHeight w:val="904" w:hRule="atLeast"/>
        </w:trPr>
        <w:tc>
          <w:tcPr>
            <w:tcW w:w="850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rPr>
          <w:trHeight w:val="285"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51042223T000008932049-根据盐财资预〔2022〕124号下达2022年市县级基层组织活动和公共服务运行经费（红果乡）</w:t>
            </w:r>
          </w:p>
        </w:tc>
      </w:tr>
      <w:tr>
        <w:trPr>
          <w:trHeight w:val="514"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盐边县乡镇财政</w:t>
            </w:r>
          </w:p>
        </w:tc>
        <w:tc>
          <w:tcPr>
            <w:tcW w:w="908" w:type="dxa"/>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0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盐边县红果彝族乡人民政府</w:t>
            </w:r>
          </w:p>
        </w:tc>
      </w:tr>
      <w:tr>
        <w:trPr>
          <w:trHeight w:val="285"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70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2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00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　</w:t>
            </w:r>
          </w:p>
        </w:tc>
      </w:tr>
      <w:tr>
        <w:trPr>
          <w:trHeight w:val="694"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254"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360"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38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11.00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rPr>
          <w:trHeight w:val="43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11.00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47"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02"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379"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54" w:hRule="atLeast"/>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338" w:hRule="atLeast"/>
        </w:trPr>
        <w:tc>
          <w:tcPr>
            <w:tcW w:w="5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285" w:hRule="atLeast"/>
        </w:trPr>
        <w:tc>
          <w:tcPr>
            <w:tcW w:w="641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1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60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57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634" w:hRule="atLeast"/>
        </w:trPr>
        <w:tc>
          <w:tcPr>
            <w:tcW w:w="59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rPr>
          <w:trHeight w:val="285" w:hRule="atLeast"/>
        </w:trPr>
        <w:tc>
          <w:tcPr>
            <w:tcW w:w="38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65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bl>
    <w:p>
      <w:pPr>
        <w:pStyle w:val="6"/>
        <w:ind w:firstLine="640"/>
        <w:rPr>
          <w:rFonts w:ascii="宋体" w:hAnsi="宋体"/>
          <w:sz w:val="32"/>
          <w:lang w:val="zh-CN"/>
        </w:rPr>
      </w:pPr>
    </w:p>
    <w:p>
      <w:pPr>
        <w:pStyle w:val="6"/>
        <w:ind w:firstLine="640"/>
        <w:rPr>
          <w:rFonts w:ascii="宋体" w:hAnsi="宋体"/>
          <w:sz w:val="32"/>
          <w:lang w:val="zh-CN"/>
        </w:rPr>
      </w:pPr>
    </w:p>
    <w:p>
      <w:pPr>
        <w:pStyle w:val="6"/>
        <w:ind w:firstLine="640"/>
        <w:rPr>
          <w:rFonts w:ascii="宋体" w:hAnsi="宋体"/>
          <w:sz w:val="32"/>
          <w:lang w:val="zh-CN"/>
        </w:rPr>
      </w:pPr>
    </w:p>
    <w:p>
      <w:pPr>
        <w:pStyle w:val="6"/>
        <w:ind w:firstLine="640"/>
        <w:rPr>
          <w:rFonts w:ascii="宋体" w:hAnsi="宋体"/>
          <w:sz w:val="32"/>
          <w:lang w:val="zh-CN"/>
        </w:rPr>
      </w:pPr>
    </w:p>
    <w:p>
      <w:pPr>
        <w:pStyle w:val="6"/>
        <w:ind w:firstLine="640"/>
        <w:rPr>
          <w:rFonts w:ascii="宋体" w:hAnsi="宋体"/>
          <w:sz w:val="32"/>
          <w:lang w:val="zh-CN"/>
        </w:rPr>
      </w:pPr>
    </w:p>
    <w:p>
      <w:pPr>
        <w:pStyle w:val="6"/>
        <w:ind w:firstLine="640"/>
        <w:rPr>
          <w:rFonts w:ascii="宋体" w:hAnsi="宋体"/>
          <w:sz w:val="32"/>
          <w:lang w:val="zh-CN"/>
        </w:rPr>
      </w:pPr>
    </w:p>
    <w:p>
      <w:pPr>
        <w:pStyle w:val="6"/>
        <w:ind w:firstLine="640"/>
        <w:rPr>
          <w:rFonts w:ascii="宋体" w:hAnsi="宋体"/>
          <w:sz w:val="32"/>
          <w:lang w:val="zh-CN"/>
        </w:rPr>
      </w:pPr>
    </w:p>
    <w:p>
      <w:pPr>
        <w:pStyle w:val="6"/>
        <w:ind w:firstLine="640"/>
        <w:rPr>
          <w:rFonts w:ascii="宋体" w:hAnsi="宋体"/>
          <w:sz w:val="32"/>
          <w:lang w:val="zh-CN"/>
        </w:rPr>
      </w:pPr>
    </w:p>
    <w:p>
      <w:pPr>
        <w:pStyle w:val="6"/>
        <w:ind w:firstLine="640"/>
        <w:rPr>
          <w:rFonts w:ascii="宋体" w:hAnsi="宋体"/>
          <w:sz w:val="32"/>
          <w:lang w:val="zh-CN"/>
        </w:rPr>
      </w:pPr>
    </w:p>
    <w:p>
      <w:pPr>
        <w:pStyle w:val="6"/>
        <w:ind w:firstLine="640"/>
        <w:rPr>
          <w:rFonts w:ascii="宋体" w:hAnsi="宋体"/>
          <w:sz w:val="32"/>
          <w:lang w:val="zh-CN"/>
        </w:rPr>
      </w:pPr>
    </w:p>
    <w:p>
      <w:pPr>
        <w:pStyle w:val="6"/>
        <w:ind w:firstLine="640"/>
        <w:rPr>
          <w:rFonts w:ascii="宋体" w:hAnsi="宋体"/>
          <w:sz w:val="32"/>
          <w:lang w:val="zh-CN"/>
        </w:rPr>
      </w:pPr>
    </w:p>
    <w:p>
      <w:pPr>
        <w:spacing w:line="600" w:lineRule="exact"/>
        <w:jc w:val="both"/>
        <w:outlineLvl w:val="0"/>
        <w:rPr>
          <w:rFonts w:ascii="仿宋_GB2312" w:hAnsi="仿宋_GB2312" w:eastAsia="仿宋_GB2312" w:cs="仿宋_GB2312"/>
          <w:kern w:val="0"/>
          <w:sz w:val="32"/>
          <w:szCs w:val="32"/>
          <w:shd w:val="clear" w:color="auto" w:fill="FFFFFF"/>
          <w:lang w:val="zh-CN"/>
        </w:rPr>
      </w:pPr>
      <w:bookmarkStart w:id="64" w:name="_Toc15396618"/>
    </w:p>
    <w:p>
      <w:pPr>
        <w:spacing w:line="600" w:lineRule="exact"/>
        <w:jc w:val="center"/>
        <w:outlineLvl w:val="0"/>
        <w:rPr>
          <w:rFonts w:ascii="仿宋_GB2312" w:hAnsi="仿宋_GB2312" w:eastAsia="仿宋_GB2312" w:cs="仿宋_GB2312"/>
          <w:kern w:val="0"/>
          <w:sz w:val="32"/>
          <w:szCs w:val="32"/>
          <w:shd w:val="clear" w:color="auto" w:fill="FFFFFF"/>
          <w:lang w:val="zh-CN"/>
        </w:rPr>
      </w:pPr>
    </w:p>
    <w:p>
      <w:pPr>
        <w:spacing w:line="600" w:lineRule="exact"/>
        <w:jc w:val="center"/>
        <w:outlineLvl w:val="0"/>
        <w:rPr>
          <w:rFonts w:ascii="仿宋_GB2312" w:hAnsi="仿宋_GB2312" w:eastAsia="仿宋_GB2312" w:cs="仿宋_GB2312"/>
          <w:kern w:val="0"/>
          <w:sz w:val="32"/>
          <w:szCs w:val="32"/>
          <w:shd w:val="clear" w:color="auto" w:fill="FFFFFF"/>
          <w:lang w:val="zh-CN"/>
        </w:rPr>
      </w:pPr>
    </w:p>
    <w:p>
      <w:pPr>
        <w:spacing w:line="600" w:lineRule="exact"/>
        <w:jc w:val="center"/>
        <w:outlineLvl w:val="0"/>
        <w:rPr>
          <w:rFonts w:ascii="仿宋_GB2312" w:hAnsi="仿宋_GB2312" w:eastAsia="仿宋_GB2312" w:cs="仿宋_GB2312"/>
          <w:kern w:val="0"/>
          <w:sz w:val="32"/>
          <w:szCs w:val="32"/>
          <w:shd w:val="clear" w:color="auto" w:fill="FFFFFF"/>
          <w:lang w:val="zh-CN"/>
        </w:rPr>
      </w:pPr>
    </w:p>
    <w:p>
      <w:pPr>
        <w:spacing w:line="600" w:lineRule="exact"/>
        <w:jc w:val="center"/>
        <w:outlineLvl w:val="0"/>
        <w:rPr>
          <w:rFonts w:ascii="仿宋_GB2312" w:hAnsi="仿宋_GB2312" w:eastAsia="仿宋_GB2312" w:cs="仿宋_GB2312"/>
          <w:kern w:val="0"/>
          <w:sz w:val="32"/>
          <w:szCs w:val="32"/>
          <w:shd w:val="clear" w:color="auto" w:fill="FFFFFF"/>
          <w:lang w:val="zh-CN"/>
        </w:rPr>
      </w:pPr>
    </w:p>
    <w:p>
      <w:pPr>
        <w:spacing w:line="600" w:lineRule="exact"/>
        <w:jc w:val="center"/>
        <w:outlineLvl w:val="0"/>
        <w:rPr>
          <w:rFonts w:ascii="仿宋_GB2312" w:hAnsi="仿宋_GB2312" w:eastAsia="仿宋_GB2312" w:cs="仿宋_GB2312"/>
          <w:kern w:val="0"/>
          <w:sz w:val="32"/>
          <w:szCs w:val="32"/>
          <w:shd w:val="clear" w:color="auto" w:fill="FFFFFF"/>
          <w:lang w:val="zh-CN"/>
        </w:rPr>
      </w:pPr>
    </w:p>
    <w:p>
      <w:pPr>
        <w:spacing w:line="600" w:lineRule="exact"/>
        <w:jc w:val="center"/>
        <w:outlineLvl w:val="0"/>
        <w:rPr>
          <w:rFonts w:ascii="仿宋_GB2312" w:hAnsi="仿宋_GB2312" w:eastAsia="仿宋_GB2312" w:cs="仿宋_GB2312"/>
          <w:kern w:val="0"/>
          <w:sz w:val="32"/>
          <w:szCs w:val="32"/>
          <w:shd w:val="clear" w:color="auto" w:fill="FFFFFF"/>
          <w:lang w:val="zh-CN"/>
        </w:rPr>
      </w:pPr>
    </w:p>
    <w:p>
      <w:pPr>
        <w:spacing w:line="600" w:lineRule="exact"/>
        <w:jc w:val="both"/>
        <w:outlineLvl w:val="0"/>
        <w:rPr>
          <w:rFonts w:ascii="仿宋_GB2312" w:hAnsi="仿宋_GB2312" w:eastAsia="仿宋_GB2312" w:cs="仿宋_GB2312"/>
          <w:kern w:val="0"/>
          <w:sz w:val="32"/>
          <w:szCs w:val="32"/>
          <w:shd w:val="clear" w:color="auto" w:fill="FFFFFF"/>
          <w:lang w:val="zh-CN"/>
        </w:rPr>
      </w:pPr>
    </w:p>
    <w:p>
      <w:pPr>
        <w:spacing w:line="600" w:lineRule="exact"/>
        <w:jc w:val="center"/>
        <w:outlineLvl w:val="0"/>
        <w:rPr>
          <w:rFonts w:ascii="仿宋_GB2312" w:hAnsi="仿宋_GB2312" w:eastAsia="仿宋_GB2312" w:cs="仿宋_GB2312"/>
          <w:kern w:val="0"/>
          <w:sz w:val="32"/>
          <w:szCs w:val="32"/>
          <w:shd w:val="clear" w:color="auto" w:fill="FFFFFF"/>
          <w:lang w:val="zh-CN"/>
        </w:rPr>
      </w:pPr>
    </w:p>
    <w:p>
      <w:pPr>
        <w:spacing w:line="600" w:lineRule="exact"/>
        <w:jc w:val="center"/>
        <w:outlineLvl w:val="0"/>
        <w:rPr>
          <w:rFonts w:ascii="仿宋" w:hAnsi="仿宋" w:eastAsia="仿宋"/>
        </w:rPr>
      </w:pPr>
      <w:r>
        <w:rPr>
          <w:rFonts w:hint="eastAsia" w:ascii="黑体" w:hAnsi="黑体" w:eastAsia="黑体"/>
          <w:sz w:val="44"/>
          <w:szCs w:val="44"/>
        </w:rPr>
        <w:t>第</w:t>
      </w:r>
      <w:r>
        <w:rPr>
          <w:rStyle w:val="23"/>
          <w:rFonts w:hint="eastAsia" w:ascii="黑体" w:hAnsi="黑体" w:eastAsia="黑体"/>
          <w:b w:val="0"/>
        </w:rPr>
        <w:t>五部分 附表</w:t>
      </w:r>
      <w:bookmarkEnd w:id="59"/>
      <w:bookmarkEnd w:id="64"/>
      <w:bookmarkStart w:id="65" w:name="_Toc15396619"/>
    </w:p>
    <w:p>
      <w:pPr>
        <w:pStyle w:val="4"/>
        <w:rPr>
          <w:rFonts w:ascii="仿宋" w:hAnsi="仿宋" w:eastAsia="仿宋"/>
        </w:rPr>
      </w:pPr>
      <w:r>
        <w:rPr>
          <w:rFonts w:hint="eastAsia" w:ascii="仿宋" w:hAnsi="仿宋" w:eastAsia="仿宋"/>
          <w:b w:val="0"/>
        </w:rPr>
        <w:t>一、收</w:t>
      </w:r>
      <w:r>
        <w:rPr>
          <w:rStyle w:val="24"/>
          <w:rFonts w:hint="eastAsia" w:ascii="仿宋" w:hAnsi="仿宋" w:eastAsia="仿宋"/>
          <w:b w:val="0"/>
          <w:bCs w:val="0"/>
        </w:rPr>
        <w:t>入支出决算总表</w:t>
      </w:r>
      <w:bookmarkEnd w:id="65"/>
    </w:p>
    <w:p>
      <w:pPr>
        <w:pStyle w:val="4"/>
        <w:rPr>
          <w:rFonts w:ascii="仿宋" w:hAnsi="仿宋" w:eastAsia="仿宋"/>
        </w:rPr>
      </w:pPr>
      <w:bookmarkStart w:id="66" w:name="_Toc15396620"/>
      <w:r>
        <w:rPr>
          <w:rFonts w:hint="eastAsia" w:ascii="仿宋" w:hAnsi="仿宋" w:eastAsia="仿宋"/>
          <w:b w:val="0"/>
        </w:rPr>
        <w:t>二、收</w:t>
      </w:r>
      <w:r>
        <w:rPr>
          <w:rStyle w:val="24"/>
          <w:rFonts w:hint="eastAsia" w:ascii="仿宋" w:hAnsi="仿宋" w:eastAsia="仿宋"/>
          <w:b w:val="0"/>
          <w:bCs w:val="0"/>
        </w:rPr>
        <w:t>入决算表</w:t>
      </w:r>
      <w:bookmarkEnd w:id="66"/>
    </w:p>
    <w:p>
      <w:pPr>
        <w:pStyle w:val="4"/>
        <w:rPr>
          <w:rFonts w:ascii="仿宋" w:hAnsi="仿宋" w:eastAsia="仿宋"/>
        </w:rPr>
      </w:pPr>
      <w:bookmarkStart w:id="67" w:name="_Toc15396621"/>
      <w:r>
        <w:rPr>
          <w:rStyle w:val="24"/>
          <w:rFonts w:hint="eastAsia" w:ascii="仿宋" w:hAnsi="仿宋" w:eastAsia="仿宋"/>
          <w:b w:val="0"/>
          <w:bCs w:val="0"/>
        </w:rPr>
        <w:t>三、</w:t>
      </w:r>
      <w:r>
        <w:rPr>
          <w:rFonts w:hint="eastAsia" w:ascii="仿宋" w:hAnsi="仿宋" w:eastAsia="仿宋"/>
          <w:b w:val="0"/>
        </w:rPr>
        <w:t>支</w:t>
      </w:r>
      <w:r>
        <w:rPr>
          <w:rStyle w:val="24"/>
          <w:rFonts w:hint="eastAsia" w:ascii="仿宋" w:hAnsi="仿宋" w:eastAsia="仿宋"/>
          <w:b w:val="0"/>
          <w:bCs w:val="0"/>
        </w:rPr>
        <w:t>出决算表</w:t>
      </w:r>
      <w:bookmarkEnd w:id="67"/>
    </w:p>
    <w:p>
      <w:pPr>
        <w:pStyle w:val="4"/>
        <w:rPr>
          <w:rFonts w:ascii="仿宋" w:hAnsi="仿宋" w:eastAsia="仿宋"/>
          <w:b w:val="0"/>
        </w:rPr>
      </w:pPr>
      <w:bookmarkStart w:id="68" w:name="_Toc15396622"/>
      <w:r>
        <w:rPr>
          <w:rStyle w:val="24"/>
          <w:rFonts w:hint="eastAsia" w:ascii="仿宋" w:hAnsi="仿宋" w:eastAsia="仿宋"/>
          <w:b w:val="0"/>
          <w:bCs w:val="0"/>
        </w:rPr>
        <w:t>四、</w:t>
      </w:r>
      <w:r>
        <w:rPr>
          <w:rFonts w:hint="eastAsia" w:ascii="仿宋" w:hAnsi="仿宋" w:eastAsia="仿宋"/>
          <w:b w:val="0"/>
        </w:rPr>
        <w:t>财</w:t>
      </w:r>
      <w:r>
        <w:rPr>
          <w:rStyle w:val="24"/>
          <w:rFonts w:hint="eastAsia" w:ascii="仿宋" w:hAnsi="仿宋" w:eastAsia="仿宋"/>
          <w:b w:val="0"/>
          <w:bCs w:val="0"/>
        </w:rPr>
        <w:t>政拨款收入支出决算总表</w:t>
      </w:r>
      <w:bookmarkEnd w:id="68"/>
    </w:p>
    <w:p>
      <w:pPr>
        <w:pStyle w:val="4"/>
        <w:rPr>
          <w:rStyle w:val="24"/>
          <w:rFonts w:ascii="仿宋" w:hAnsi="仿宋" w:eastAsia="仿宋"/>
          <w:b w:val="0"/>
          <w:bCs w:val="0"/>
        </w:rPr>
      </w:pPr>
      <w:bookmarkStart w:id="69" w:name="_Toc15396623"/>
      <w:r>
        <w:rPr>
          <w:rStyle w:val="24"/>
          <w:rFonts w:hint="eastAsia" w:ascii="仿宋" w:hAnsi="仿宋" w:eastAsia="仿宋"/>
          <w:b w:val="0"/>
          <w:bCs w:val="0"/>
        </w:rPr>
        <w:t>五、</w:t>
      </w:r>
      <w:r>
        <w:rPr>
          <w:rFonts w:hint="eastAsia" w:ascii="仿宋" w:hAnsi="仿宋" w:eastAsia="仿宋"/>
          <w:b w:val="0"/>
        </w:rPr>
        <w:t>财</w:t>
      </w:r>
      <w:r>
        <w:rPr>
          <w:rStyle w:val="24"/>
          <w:rFonts w:hint="eastAsia" w:ascii="仿宋" w:hAnsi="仿宋" w:eastAsia="仿宋"/>
          <w:b w:val="0"/>
          <w:bCs w:val="0"/>
        </w:rPr>
        <w:t>政拨款支出决算明细表</w:t>
      </w:r>
      <w:bookmarkEnd w:id="69"/>
      <w:bookmarkStart w:id="70" w:name="_Toc15396624"/>
    </w:p>
    <w:p>
      <w:pPr>
        <w:pStyle w:val="4"/>
        <w:rPr>
          <w:rFonts w:ascii="仿宋" w:hAnsi="仿宋" w:eastAsia="仿宋"/>
        </w:rPr>
      </w:pPr>
      <w:r>
        <w:rPr>
          <w:rStyle w:val="24"/>
          <w:rFonts w:hint="eastAsia" w:ascii="仿宋" w:hAnsi="仿宋" w:eastAsia="仿宋"/>
          <w:b w:val="0"/>
          <w:bCs w:val="0"/>
        </w:rPr>
        <w:t>六、</w:t>
      </w:r>
      <w:r>
        <w:rPr>
          <w:rFonts w:hint="eastAsia" w:ascii="仿宋" w:hAnsi="仿宋" w:eastAsia="仿宋"/>
          <w:b w:val="0"/>
        </w:rPr>
        <w:t>一</w:t>
      </w:r>
      <w:r>
        <w:rPr>
          <w:rStyle w:val="24"/>
          <w:rFonts w:hint="eastAsia" w:ascii="仿宋" w:hAnsi="仿宋" w:eastAsia="仿宋"/>
          <w:b w:val="0"/>
          <w:bCs w:val="0"/>
        </w:rPr>
        <w:t>般公共预算财政拨款支出决算表</w:t>
      </w:r>
      <w:bookmarkEnd w:id="70"/>
    </w:p>
    <w:p>
      <w:pPr>
        <w:pStyle w:val="4"/>
        <w:rPr>
          <w:rFonts w:ascii="仿宋" w:hAnsi="仿宋" w:eastAsia="仿宋"/>
        </w:rPr>
      </w:pPr>
      <w:bookmarkStart w:id="71" w:name="_Toc15396625"/>
      <w:r>
        <w:rPr>
          <w:rStyle w:val="24"/>
          <w:rFonts w:hint="eastAsia" w:ascii="仿宋" w:hAnsi="仿宋" w:eastAsia="仿宋"/>
          <w:b w:val="0"/>
          <w:bCs w:val="0"/>
        </w:rPr>
        <w:t>七、</w:t>
      </w:r>
      <w:r>
        <w:rPr>
          <w:rFonts w:hint="eastAsia" w:ascii="仿宋" w:hAnsi="仿宋" w:eastAsia="仿宋"/>
          <w:b w:val="0"/>
        </w:rPr>
        <w:t>一</w:t>
      </w:r>
      <w:r>
        <w:rPr>
          <w:rStyle w:val="24"/>
          <w:rFonts w:hint="eastAsia" w:ascii="仿宋" w:hAnsi="仿宋" w:eastAsia="仿宋"/>
          <w:b w:val="0"/>
          <w:bCs w:val="0"/>
        </w:rPr>
        <w:t>般公共预算财政拨款支出决算明细表</w:t>
      </w:r>
      <w:bookmarkEnd w:id="71"/>
    </w:p>
    <w:p>
      <w:pPr>
        <w:pStyle w:val="4"/>
        <w:rPr>
          <w:rFonts w:ascii="仿宋" w:hAnsi="仿宋" w:eastAsia="仿宋"/>
        </w:rPr>
      </w:pPr>
      <w:bookmarkStart w:id="72" w:name="_Toc15396626"/>
      <w:r>
        <w:rPr>
          <w:rStyle w:val="24"/>
          <w:rFonts w:hint="eastAsia" w:ascii="仿宋" w:hAnsi="仿宋" w:eastAsia="仿宋"/>
          <w:b w:val="0"/>
          <w:bCs w:val="0"/>
        </w:rPr>
        <w:t>八、</w:t>
      </w:r>
      <w:r>
        <w:rPr>
          <w:rFonts w:hint="eastAsia" w:ascii="仿宋" w:hAnsi="仿宋" w:eastAsia="仿宋"/>
          <w:b w:val="0"/>
        </w:rPr>
        <w:t>一</w:t>
      </w:r>
      <w:r>
        <w:rPr>
          <w:rStyle w:val="24"/>
          <w:rFonts w:hint="eastAsia" w:ascii="仿宋" w:hAnsi="仿宋" w:eastAsia="仿宋"/>
          <w:b w:val="0"/>
          <w:bCs w:val="0"/>
        </w:rPr>
        <w:t>般公共预算财政拨款基本支出决算表</w:t>
      </w:r>
      <w:bookmarkEnd w:id="72"/>
    </w:p>
    <w:p>
      <w:pPr>
        <w:pStyle w:val="4"/>
        <w:rPr>
          <w:rFonts w:ascii="仿宋" w:hAnsi="仿宋" w:eastAsia="仿宋"/>
        </w:rPr>
      </w:pPr>
      <w:bookmarkStart w:id="73" w:name="_Toc15396627"/>
      <w:r>
        <w:rPr>
          <w:rStyle w:val="24"/>
          <w:rFonts w:hint="eastAsia" w:ascii="仿宋" w:hAnsi="仿宋" w:eastAsia="仿宋"/>
          <w:b w:val="0"/>
          <w:bCs w:val="0"/>
        </w:rPr>
        <w:t>九、</w:t>
      </w:r>
      <w:r>
        <w:rPr>
          <w:rFonts w:hint="eastAsia" w:ascii="仿宋" w:hAnsi="仿宋" w:eastAsia="仿宋"/>
          <w:b w:val="0"/>
        </w:rPr>
        <w:t>一</w:t>
      </w:r>
      <w:r>
        <w:rPr>
          <w:rStyle w:val="24"/>
          <w:rFonts w:hint="eastAsia" w:ascii="仿宋" w:hAnsi="仿宋" w:eastAsia="仿宋"/>
          <w:b w:val="0"/>
          <w:bCs w:val="0"/>
        </w:rPr>
        <w:t>般公共预算财政拨款项目支出决算表</w:t>
      </w:r>
      <w:bookmarkEnd w:id="73"/>
    </w:p>
    <w:p>
      <w:pPr>
        <w:pStyle w:val="4"/>
        <w:rPr>
          <w:rFonts w:ascii="仿宋" w:hAnsi="仿宋" w:eastAsia="仿宋"/>
        </w:rPr>
      </w:pPr>
      <w:bookmarkStart w:id="74" w:name="_Toc15396628"/>
      <w:r>
        <w:rPr>
          <w:rStyle w:val="24"/>
          <w:rFonts w:hint="eastAsia" w:ascii="仿宋" w:hAnsi="仿宋" w:eastAsia="仿宋"/>
          <w:b w:val="0"/>
          <w:bCs w:val="0"/>
        </w:rPr>
        <w:t>十、</w:t>
      </w:r>
      <w:bookmarkEnd w:id="74"/>
      <w:r>
        <w:rPr>
          <w:rFonts w:hint="eastAsia" w:ascii="仿宋" w:hAnsi="仿宋" w:eastAsia="仿宋"/>
          <w:b w:val="0"/>
        </w:rPr>
        <w:t>政</w:t>
      </w:r>
      <w:r>
        <w:rPr>
          <w:rStyle w:val="24"/>
          <w:rFonts w:hint="eastAsia" w:ascii="仿宋" w:hAnsi="仿宋" w:eastAsia="仿宋"/>
          <w:b w:val="0"/>
          <w:bCs w:val="0"/>
        </w:rPr>
        <w:t>府性基金预算财政拨款收入支出决算表</w:t>
      </w:r>
    </w:p>
    <w:p>
      <w:pPr>
        <w:pStyle w:val="4"/>
        <w:rPr>
          <w:rFonts w:ascii="仿宋" w:hAnsi="仿宋" w:eastAsia="仿宋"/>
        </w:rPr>
      </w:pPr>
      <w:bookmarkStart w:id="75" w:name="_Toc15396629"/>
      <w:r>
        <w:rPr>
          <w:rStyle w:val="24"/>
          <w:rFonts w:hint="eastAsia" w:ascii="仿宋" w:hAnsi="仿宋" w:eastAsia="仿宋"/>
          <w:b w:val="0"/>
          <w:bCs w:val="0"/>
        </w:rPr>
        <w:t>十一、</w:t>
      </w:r>
      <w:bookmarkEnd w:id="75"/>
      <w:r>
        <w:rPr>
          <w:rFonts w:hint="eastAsia" w:ascii="仿宋" w:hAnsi="仿宋" w:eastAsia="仿宋"/>
          <w:b w:val="0"/>
        </w:rPr>
        <w:t>国</w:t>
      </w:r>
      <w:r>
        <w:rPr>
          <w:rStyle w:val="24"/>
          <w:rFonts w:hint="eastAsia" w:ascii="仿宋" w:hAnsi="仿宋" w:eastAsia="仿宋"/>
          <w:b w:val="0"/>
          <w:bCs w:val="0"/>
        </w:rPr>
        <w:t>有资本经营预算财政拨款收入支出决算表</w:t>
      </w:r>
    </w:p>
    <w:p>
      <w:pPr>
        <w:pStyle w:val="4"/>
        <w:rPr>
          <w:rFonts w:ascii="仿宋" w:hAnsi="仿宋" w:eastAsia="仿宋"/>
        </w:rPr>
      </w:pPr>
      <w:bookmarkStart w:id="76" w:name="_Toc15396630"/>
      <w:r>
        <w:rPr>
          <w:rStyle w:val="24"/>
          <w:rFonts w:hint="eastAsia" w:ascii="仿宋" w:hAnsi="仿宋" w:eastAsia="仿宋"/>
          <w:b w:val="0"/>
          <w:bCs w:val="0"/>
        </w:rPr>
        <w:t>十二、</w:t>
      </w:r>
      <w:bookmarkEnd w:id="76"/>
      <w:r>
        <w:rPr>
          <w:rStyle w:val="24"/>
          <w:rFonts w:hint="eastAsia" w:ascii="仿宋" w:hAnsi="仿宋" w:eastAsia="仿宋"/>
          <w:b w:val="0"/>
          <w:bCs w:val="0"/>
        </w:rPr>
        <w:t>国有资本经营预算财政拨款支出决算表</w:t>
      </w:r>
    </w:p>
    <w:p>
      <w:pPr>
        <w:pStyle w:val="4"/>
        <w:rPr>
          <w:rFonts w:eastAsia="仿宋"/>
        </w:rPr>
      </w:pPr>
      <w:bookmarkStart w:id="77" w:name="_Toc15396631"/>
      <w:r>
        <w:rPr>
          <w:rStyle w:val="24"/>
          <w:rFonts w:hint="eastAsia" w:ascii="仿宋" w:hAnsi="仿宋" w:eastAsia="仿宋"/>
          <w:b w:val="0"/>
          <w:bCs w:val="0"/>
        </w:rPr>
        <w:t>十三、</w:t>
      </w:r>
      <w:bookmarkEnd w:id="77"/>
      <w:r>
        <w:rPr>
          <w:rStyle w:val="24"/>
          <w:rFonts w:hint="eastAsia" w:ascii="仿宋" w:hAnsi="仿宋" w:eastAsia="仿宋"/>
          <w:b w:val="0"/>
          <w:bCs w:val="0"/>
        </w:rPr>
        <w:t>财政拨款“三公”经费支出决算表</w:t>
      </w:r>
    </w:p>
    <w:sectPr>
      <w:footerReference r:id="rId6" w:type="default"/>
      <w:pgSz w:w="11906" w:h="16838"/>
      <w:pgMar w:top="1134" w:right="1474" w:bottom="1644" w:left="1587" w:header="851" w:footer="992" w:gutter="0"/>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BYAAABkcnMvUEsBAhQA&#10;FAAAAAgAh07iQM6pebnPAAAABQEAAA8AAAAAAAAAAQAgAAAAOAAAAGRycy9kb3ducmV2LnhtbFBL&#10;AQIUABQAAAAIAIdO4kDcu1tXsAEAAE4DAAAOAAAAAAAAAAEAIAAAADQBAABkcnMvZTJvRG9jLnht&#10;bFBLBQYAAAAABgAGAFkBAABWBQ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jc w:val="both"/>
                          </w:pP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WAAAAZHJzL1BLAQIU&#10;ABQAAAAIAIdO4kDOqXm5zwAAAAUBAAAPAAAAAAAAAAEAIAAAADgAAABkcnMvZG93bnJldi54bWxQ&#10;SwECFAAUAAAACACHTuJAdzeqibEBAABOAwAADgAAAAAAAAABACAAAAA0AQAAZHJzL2Uyb0RvYy54&#10;bWxQSwUGAAAAAAYABgBZAQAAVwUAAAAA&#10;">
              <v:fill on="f" focussize="0,0"/>
              <v:stroke on="f"/>
              <v:imagedata o:title=""/>
              <o:lock v:ext="edit" aspectratio="f"/>
              <v:textbox inset="0mm,0mm,0mm,0mm" style="mso-fit-shape-to-text:t;">
                <w:txbxContent>
                  <w:p>
                    <w:pPr>
                      <w:pStyle w:val="13"/>
                      <w:jc w:val="both"/>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fldChar w:fldCharType="begin"/>
                          </w:r>
                          <w:r>
                            <w:instrText xml:space="preserve"> PAGE  \* MERGEFORMAT </w:instrText>
                          </w:r>
                          <w:r>
                            <w:fldChar w:fldCharType="separate"/>
                          </w:r>
                          <w:r>
                            <w:t>26</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zql5uc8AAAAFAQAADwAAAAAAAAABACAAAAA4AAAAZHJzL2Rvd25yZXYueG1s&#10;UEsBAhQAFAAAAAgAh07iQExGDP6yAQAATgMAAA4AAAAAAAAAAQAgAAAANAEAAGRycy9lMm9Eb2Mu&#10;eG1sUEsFBgAAAAAGAAYAWQEAAFgFA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26</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D38454"/>
    <w:multiLevelType w:val="singleLevel"/>
    <w:tmpl w:val="8BD38454"/>
    <w:lvl w:ilvl="0" w:tentative="0">
      <w:start w:val="2"/>
      <w:numFmt w:val="chineseCounting"/>
      <w:suff w:val="nothing"/>
      <w:lvlText w:val="（%1）"/>
      <w:lvlJc w:val="left"/>
      <w:rPr>
        <w:rFonts w:hint="eastAsia"/>
      </w:rPr>
    </w:lvl>
  </w:abstractNum>
  <w:abstractNum w:abstractNumId="1">
    <w:nsid w:val="958A0DC5"/>
    <w:multiLevelType w:val="singleLevel"/>
    <w:tmpl w:val="958A0DC5"/>
    <w:lvl w:ilvl="0" w:tentative="0">
      <w:start w:val="1"/>
      <w:numFmt w:val="chineseCounting"/>
      <w:suff w:val="nothing"/>
      <w:lvlText w:val="（%1）"/>
      <w:lvlJc w:val="left"/>
      <w:rPr>
        <w:rFonts w:hint="eastAsia"/>
      </w:r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204408F5"/>
    <w:multiLevelType w:val="multilevel"/>
    <w:tmpl w:val="204408F5"/>
    <w:lvl w:ilvl="0" w:tentative="0">
      <w:start w:val="1"/>
      <w:numFmt w:val="japaneseCounting"/>
      <w:lvlText w:val="%1、"/>
      <w:lvlJc w:val="left"/>
      <w:pPr>
        <w:ind w:left="660" w:hanging="6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B308E48"/>
    <w:multiLevelType w:val="singleLevel"/>
    <w:tmpl w:val="2B308E48"/>
    <w:lvl w:ilvl="0" w:tentative="0">
      <w:start w:val="1"/>
      <w:numFmt w:val="decimal"/>
      <w:suff w:val="nothing"/>
      <w:lvlText w:val="（%1）"/>
      <w:lvlJc w:val="left"/>
    </w:lvl>
  </w:abstractNum>
  <w:abstractNum w:abstractNumId="7">
    <w:nsid w:val="3D5C601E"/>
    <w:multiLevelType w:val="singleLevel"/>
    <w:tmpl w:val="3D5C601E"/>
    <w:lvl w:ilvl="0" w:tentative="0">
      <w:start w:val="1"/>
      <w:numFmt w:val="chineseCounting"/>
      <w:suff w:val="nothing"/>
      <w:lvlText w:val="%1、"/>
      <w:lvlJc w:val="left"/>
      <w:rPr>
        <w:rFonts w:hint="eastAsia"/>
      </w:rPr>
    </w:lvl>
  </w:abstractNum>
  <w:abstractNum w:abstractNumId="8">
    <w:nsid w:val="62621CDC"/>
    <w:multiLevelType w:val="multilevel"/>
    <w:tmpl w:val="62621CDC"/>
    <w:lvl w:ilvl="0" w:tentative="0">
      <w:start w:val="1"/>
      <w:numFmt w:val="decimal"/>
      <w:lvlText w:val="%1."/>
      <w:lvlJc w:val="left"/>
      <w:pPr>
        <w:ind w:left="1152" w:hanging="480"/>
      </w:pPr>
      <w:rPr>
        <w:rFonts w:hint="default"/>
      </w:rPr>
    </w:lvl>
    <w:lvl w:ilvl="1" w:tentative="0">
      <w:start w:val="1"/>
      <w:numFmt w:val="lowerLetter"/>
      <w:lvlText w:val="%2)"/>
      <w:lvlJc w:val="left"/>
      <w:pPr>
        <w:ind w:left="1512" w:hanging="420"/>
      </w:pPr>
    </w:lvl>
    <w:lvl w:ilvl="2" w:tentative="0">
      <w:start w:val="1"/>
      <w:numFmt w:val="lowerRoman"/>
      <w:lvlText w:val="%3."/>
      <w:lvlJc w:val="right"/>
      <w:pPr>
        <w:ind w:left="1932" w:hanging="420"/>
      </w:p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num w:numId="1">
    <w:abstractNumId w:val="5"/>
  </w:num>
  <w:num w:numId="2">
    <w:abstractNumId w:val="8"/>
  </w:num>
  <w:num w:numId="3">
    <w:abstractNumId w:val="4"/>
  </w:num>
  <w:num w:numId="4">
    <w:abstractNumId w:val="2"/>
  </w:num>
  <w:num w:numId="5">
    <w:abstractNumId w:val="3"/>
  </w:num>
  <w:num w:numId="6">
    <w:abstractNumId w:val="7"/>
  </w:num>
  <w:num w:numId="7">
    <w:abstractNumId w:val="1"/>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2ZjIzYjM5NjYxMGI1NTUxYmZhMmU3NTllNjBjMTkifQ=="/>
  </w:docVars>
  <w:rsids>
    <w:rsidRoot w:val="00F1361C"/>
    <w:rsid w:val="000114CD"/>
    <w:rsid w:val="000142FB"/>
    <w:rsid w:val="0001685C"/>
    <w:rsid w:val="000222C6"/>
    <w:rsid w:val="0002549F"/>
    <w:rsid w:val="000468DB"/>
    <w:rsid w:val="0006487A"/>
    <w:rsid w:val="00065F8F"/>
    <w:rsid w:val="00070A43"/>
    <w:rsid w:val="000768F2"/>
    <w:rsid w:val="0009184B"/>
    <w:rsid w:val="00094236"/>
    <w:rsid w:val="0009593C"/>
    <w:rsid w:val="00097322"/>
    <w:rsid w:val="000A6A92"/>
    <w:rsid w:val="000B047F"/>
    <w:rsid w:val="000B1D1B"/>
    <w:rsid w:val="000B5923"/>
    <w:rsid w:val="000B5A48"/>
    <w:rsid w:val="000B6FF3"/>
    <w:rsid w:val="000B7774"/>
    <w:rsid w:val="000C3467"/>
    <w:rsid w:val="000C3CA6"/>
    <w:rsid w:val="000D1267"/>
    <w:rsid w:val="000D1D50"/>
    <w:rsid w:val="000D5782"/>
    <w:rsid w:val="000E21E4"/>
    <w:rsid w:val="000E6613"/>
    <w:rsid w:val="000E7119"/>
    <w:rsid w:val="00114E9B"/>
    <w:rsid w:val="00115EF5"/>
    <w:rsid w:val="00142216"/>
    <w:rsid w:val="00144D6A"/>
    <w:rsid w:val="0014729F"/>
    <w:rsid w:val="001502E8"/>
    <w:rsid w:val="00150700"/>
    <w:rsid w:val="00157BAB"/>
    <w:rsid w:val="001654D1"/>
    <w:rsid w:val="00174518"/>
    <w:rsid w:val="0018106D"/>
    <w:rsid w:val="001877A7"/>
    <w:rsid w:val="00191536"/>
    <w:rsid w:val="00196687"/>
    <w:rsid w:val="001C0962"/>
    <w:rsid w:val="001D7531"/>
    <w:rsid w:val="001E2D14"/>
    <w:rsid w:val="001E737D"/>
    <w:rsid w:val="001F0592"/>
    <w:rsid w:val="001F7506"/>
    <w:rsid w:val="002006CD"/>
    <w:rsid w:val="00202B36"/>
    <w:rsid w:val="00204B7A"/>
    <w:rsid w:val="00204CDE"/>
    <w:rsid w:val="0021101A"/>
    <w:rsid w:val="00220536"/>
    <w:rsid w:val="0022527F"/>
    <w:rsid w:val="0023195A"/>
    <w:rsid w:val="00235629"/>
    <w:rsid w:val="00260C38"/>
    <w:rsid w:val="002616C0"/>
    <w:rsid w:val="00265372"/>
    <w:rsid w:val="002662AA"/>
    <w:rsid w:val="00280496"/>
    <w:rsid w:val="00294DC9"/>
    <w:rsid w:val="00295495"/>
    <w:rsid w:val="002A31DE"/>
    <w:rsid w:val="002A66F7"/>
    <w:rsid w:val="002B2613"/>
    <w:rsid w:val="002B5CDD"/>
    <w:rsid w:val="002D6D05"/>
    <w:rsid w:val="002F1818"/>
    <w:rsid w:val="002F567B"/>
    <w:rsid w:val="003000F2"/>
    <w:rsid w:val="003216A9"/>
    <w:rsid w:val="00335A74"/>
    <w:rsid w:val="00336609"/>
    <w:rsid w:val="0036561B"/>
    <w:rsid w:val="0037013F"/>
    <w:rsid w:val="00380C92"/>
    <w:rsid w:val="003A484F"/>
    <w:rsid w:val="003A4883"/>
    <w:rsid w:val="003B0BE0"/>
    <w:rsid w:val="003B0C1B"/>
    <w:rsid w:val="003B688C"/>
    <w:rsid w:val="003C0291"/>
    <w:rsid w:val="003C39AE"/>
    <w:rsid w:val="003C4B0A"/>
    <w:rsid w:val="003C6115"/>
    <w:rsid w:val="003C7B60"/>
    <w:rsid w:val="003D0C0F"/>
    <w:rsid w:val="003D1FB2"/>
    <w:rsid w:val="003D3495"/>
    <w:rsid w:val="003D66DA"/>
    <w:rsid w:val="003E1310"/>
    <w:rsid w:val="003E6F55"/>
    <w:rsid w:val="00406254"/>
    <w:rsid w:val="004177BA"/>
    <w:rsid w:val="004223DE"/>
    <w:rsid w:val="00434489"/>
    <w:rsid w:val="00437085"/>
    <w:rsid w:val="00443880"/>
    <w:rsid w:val="004464F4"/>
    <w:rsid w:val="00471401"/>
    <w:rsid w:val="00473F31"/>
    <w:rsid w:val="0048263A"/>
    <w:rsid w:val="00487E5D"/>
    <w:rsid w:val="004A711F"/>
    <w:rsid w:val="004B199D"/>
    <w:rsid w:val="004B2AD7"/>
    <w:rsid w:val="004B4690"/>
    <w:rsid w:val="004D44EF"/>
    <w:rsid w:val="004E0A2D"/>
    <w:rsid w:val="004E206B"/>
    <w:rsid w:val="004E6DF7"/>
    <w:rsid w:val="004F0FBD"/>
    <w:rsid w:val="005016C4"/>
    <w:rsid w:val="00505A47"/>
    <w:rsid w:val="0051250D"/>
    <w:rsid w:val="00512E7D"/>
    <w:rsid w:val="00512FDA"/>
    <w:rsid w:val="00520DA0"/>
    <w:rsid w:val="00533F37"/>
    <w:rsid w:val="005664BB"/>
    <w:rsid w:val="00566FFA"/>
    <w:rsid w:val="0057481D"/>
    <w:rsid w:val="0058486E"/>
    <w:rsid w:val="00585B33"/>
    <w:rsid w:val="0059014D"/>
    <w:rsid w:val="0059083F"/>
    <w:rsid w:val="005B1663"/>
    <w:rsid w:val="005B5C64"/>
    <w:rsid w:val="005C5337"/>
    <w:rsid w:val="005C6BD0"/>
    <w:rsid w:val="005D1C8B"/>
    <w:rsid w:val="005D468D"/>
    <w:rsid w:val="005D5CED"/>
    <w:rsid w:val="005F1282"/>
    <w:rsid w:val="005F1A4C"/>
    <w:rsid w:val="00605688"/>
    <w:rsid w:val="006070AF"/>
    <w:rsid w:val="00607E6C"/>
    <w:rsid w:val="006101B1"/>
    <w:rsid w:val="006108B4"/>
    <w:rsid w:val="00614E44"/>
    <w:rsid w:val="0062270A"/>
    <w:rsid w:val="00622830"/>
    <w:rsid w:val="00623DA0"/>
    <w:rsid w:val="00630AEF"/>
    <w:rsid w:val="006325F8"/>
    <w:rsid w:val="00633463"/>
    <w:rsid w:val="00634C9A"/>
    <w:rsid w:val="00640DFF"/>
    <w:rsid w:val="00642FBC"/>
    <w:rsid w:val="006440E4"/>
    <w:rsid w:val="0066088A"/>
    <w:rsid w:val="0066343B"/>
    <w:rsid w:val="006634B0"/>
    <w:rsid w:val="00664777"/>
    <w:rsid w:val="00664781"/>
    <w:rsid w:val="0067464A"/>
    <w:rsid w:val="006748A4"/>
    <w:rsid w:val="00681A31"/>
    <w:rsid w:val="00683E73"/>
    <w:rsid w:val="006A3141"/>
    <w:rsid w:val="006A5E34"/>
    <w:rsid w:val="006B2422"/>
    <w:rsid w:val="006B2B9A"/>
    <w:rsid w:val="006B3E82"/>
    <w:rsid w:val="006C1937"/>
    <w:rsid w:val="006E66C8"/>
    <w:rsid w:val="006F020C"/>
    <w:rsid w:val="00704FFB"/>
    <w:rsid w:val="007127B7"/>
    <w:rsid w:val="0071798E"/>
    <w:rsid w:val="007239E0"/>
    <w:rsid w:val="007416B6"/>
    <w:rsid w:val="00746F48"/>
    <w:rsid w:val="00751E9B"/>
    <w:rsid w:val="007532E1"/>
    <w:rsid w:val="007536EF"/>
    <w:rsid w:val="0075404D"/>
    <w:rsid w:val="007540CD"/>
    <w:rsid w:val="0076182A"/>
    <w:rsid w:val="00767B7E"/>
    <w:rsid w:val="007770C3"/>
    <w:rsid w:val="00784D24"/>
    <w:rsid w:val="00785FBA"/>
    <w:rsid w:val="00786E4A"/>
    <w:rsid w:val="007875EB"/>
    <w:rsid w:val="0079426B"/>
    <w:rsid w:val="007D1682"/>
    <w:rsid w:val="007D312A"/>
    <w:rsid w:val="007D3F19"/>
    <w:rsid w:val="007E1BD0"/>
    <w:rsid w:val="007E23B0"/>
    <w:rsid w:val="007E23E5"/>
    <w:rsid w:val="007E4DD9"/>
    <w:rsid w:val="007F1991"/>
    <w:rsid w:val="007F2C2F"/>
    <w:rsid w:val="007F55FC"/>
    <w:rsid w:val="007F5665"/>
    <w:rsid w:val="00800112"/>
    <w:rsid w:val="00813348"/>
    <w:rsid w:val="008253BB"/>
    <w:rsid w:val="0083706E"/>
    <w:rsid w:val="008408F6"/>
    <w:rsid w:val="008423A5"/>
    <w:rsid w:val="00850625"/>
    <w:rsid w:val="008514B3"/>
    <w:rsid w:val="00853718"/>
    <w:rsid w:val="00855221"/>
    <w:rsid w:val="00855E97"/>
    <w:rsid w:val="00860645"/>
    <w:rsid w:val="00871F71"/>
    <w:rsid w:val="00872FD8"/>
    <w:rsid w:val="00885AF4"/>
    <w:rsid w:val="008939CD"/>
    <w:rsid w:val="008A27CD"/>
    <w:rsid w:val="008B11B1"/>
    <w:rsid w:val="008B768C"/>
    <w:rsid w:val="008C4DB1"/>
    <w:rsid w:val="008C4EAF"/>
    <w:rsid w:val="008C5176"/>
    <w:rsid w:val="008C6CA5"/>
    <w:rsid w:val="008C7FD0"/>
    <w:rsid w:val="008E1DE7"/>
    <w:rsid w:val="008E2216"/>
    <w:rsid w:val="008E707C"/>
    <w:rsid w:val="008F7771"/>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38FA"/>
    <w:rsid w:val="00A56DF2"/>
    <w:rsid w:val="00A56E6E"/>
    <w:rsid w:val="00A67AB5"/>
    <w:rsid w:val="00A733B2"/>
    <w:rsid w:val="00A741C2"/>
    <w:rsid w:val="00A9134F"/>
    <w:rsid w:val="00A91760"/>
    <w:rsid w:val="00A93B00"/>
    <w:rsid w:val="00A93C21"/>
    <w:rsid w:val="00AB64C9"/>
    <w:rsid w:val="00AC0F3F"/>
    <w:rsid w:val="00AC3C6A"/>
    <w:rsid w:val="00AD5620"/>
    <w:rsid w:val="00AD656B"/>
    <w:rsid w:val="00AD6763"/>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6127B"/>
    <w:rsid w:val="00B6480C"/>
    <w:rsid w:val="00B769CD"/>
    <w:rsid w:val="00B77EA6"/>
    <w:rsid w:val="00B81598"/>
    <w:rsid w:val="00B841F1"/>
    <w:rsid w:val="00B85074"/>
    <w:rsid w:val="00B90A81"/>
    <w:rsid w:val="00B944D6"/>
    <w:rsid w:val="00BB2D1A"/>
    <w:rsid w:val="00BB4DF0"/>
    <w:rsid w:val="00BC289F"/>
    <w:rsid w:val="00BC2D50"/>
    <w:rsid w:val="00BC5361"/>
    <w:rsid w:val="00BC5460"/>
    <w:rsid w:val="00BC6B50"/>
    <w:rsid w:val="00BD0E25"/>
    <w:rsid w:val="00BE083A"/>
    <w:rsid w:val="00BE19C8"/>
    <w:rsid w:val="00BE3A3D"/>
    <w:rsid w:val="00BF1BD2"/>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B78"/>
    <w:rsid w:val="00CB4E70"/>
    <w:rsid w:val="00CC09B6"/>
    <w:rsid w:val="00CC666F"/>
    <w:rsid w:val="00CD1933"/>
    <w:rsid w:val="00CD1E3F"/>
    <w:rsid w:val="00CE44F6"/>
    <w:rsid w:val="00CE49DA"/>
    <w:rsid w:val="00CE7B61"/>
    <w:rsid w:val="00CF2FD5"/>
    <w:rsid w:val="00D00095"/>
    <w:rsid w:val="00D114F0"/>
    <w:rsid w:val="00D20620"/>
    <w:rsid w:val="00D254F7"/>
    <w:rsid w:val="00D26091"/>
    <w:rsid w:val="00D2685C"/>
    <w:rsid w:val="00D34E7C"/>
    <w:rsid w:val="00D35489"/>
    <w:rsid w:val="00D36AFE"/>
    <w:rsid w:val="00D51276"/>
    <w:rsid w:val="00D7035F"/>
    <w:rsid w:val="00D83846"/>
    <w:rsid w:val="00D85A6D"/>
    <w:rsid w:val="00DA1812"/>
    <w:rsid w:val="00DA634F"/>
    <w:rsid w:val="00DA65AC"/>
    <w:rsid w:val="00DB1913"/>
    <w:rsid w:val="00DC410D"/>
    <w:rsid w:val="00DC5A81"/>
    <w:rsid w:val="00DC68CA"/>
    <w:rsid w:val="00DC7CBA"/>
    <w:rsid w:val="00DD73B7"/>
    <w:rsid w:val="00DF18A3"/>
    <w:rsid w:val="00DF28BC"/>
    <w:rsid w:val="00DF34B9"/>
    <w:rsid w:val="00DF49F1"/>
    <w:rsid w:val="00E01053"/>
    <w:rsid w:val="00E06220"/>
    <w:rsid w:val="00E07ACF"/>
    <w:rsid w:val="00E331A1"/>
    <w:rsid w:val="00E33202"/>
    <w:rsid w:val="00E336A9"/>
    <w:rsid w:val="00E472B1"/>
    <w:rsid w:val="00E50624"/>
    <w:rsid w:val="00E5174E"/>
    <w:rsid w:val="00E568DF"/>
    <w:rsid w:val="00E64269"/>
    <w:rsid w:val="00E82267"/>
    <w:rsid w:val="00E853CE"/>
    <w:rsid w:val="00E867B6"/>
    <w:rsid w:val="00EA010F"/>
    <w:rsid w:val="00EA594A"/>
    <w:rsid w:val="00EB316C"/>
    <w:rsid w:val="00ED1B63"/>
    <w:rsid w:val="00ED3C1F"/>
    <w:rsid w:val="00ED4085"/>
    <w:rsid w:val="00ED420E"/>
    <w:rsid w:val="00ED6FBE"/>
    <w:rsid w:val="00EE2F57"/>
    <w:rsid w:val="00EF4C34"/>
    <w:rsid w:val="00EF77C6"/>
    <w:rsid w:val="00F05438"/>
    <w:rsid w:val="00F05D1B"/>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C2148"/>
    <w:rsid w:val="00FD3CC1"/>
    <w:rsid w:val="00FE489D"/>
    <w:rsid w:val="00FF1E02"/>
    <w:rsid w:val="00FF30B4"/>
    <w:rsid w:val="015975B8"/>
    <w:rsid w:val="01D75FBC"/>
    <w:rsid w:val="02143E91"/>
    <w:rsid w:val="02825FC8"/>
    <w:rsid w:val="02976123"/>
    <w:rsid w:val="02EA2BC5"/>
    <w:rsid w:val="066E0107"/>
    <w:rsid w:val="07996F6E"/>
    <w:rsid w:val="0A2032A3"/>
    <w:rsid w:val="0F98263C"/>
    <w:rsid w:val="101860EC"/>
    <w:rsid w:val="10C055FF"/>
    <w:rsid w:val="118107EC"/>
    <w:rsid w:val="13D50BC4"/>
    <w:rsid w:val="16BB723D"/>
    <w:rsid w:val="187C0E65"/>
    <w:rsid w:val="1B0C396F"/>
    <w:rsid w:val="1BE8440E"/>
    <w:rsid w:val="1D155CEE"/>
    <w:rsid w:val="1D721D0C"/>
    <w:rsid w:val="1FF35744"/>
    <w:rsid w:val="23860B96"/>
    <w:rsid w:val="240371BF"/>
    <w:rsid w:val="29FD04D3"/>
    <w:rsid w:val="2C8A61B5"/>
    <w:rsid w:val="2DF04E50"/>
    <w:rsid w:val="2F040D46"/>
    <w:rsid w:val="319F7F4E"/>
    <w:rsid w:val="3304709D"/>
    <w:rsid w:val="361F45CF"/>
    <w:rsid w:val="36AA5135"/>
    <w:rsid w:val="376D39B2"/>
    <w:rsid w:val="37E16F03"/>
    <w:rsid w:val="38D469F0"/>
    <w:rsid w:val="3D98207C"/>
    <w:rsid w:val="3E78745D"/>
    <w:rsid w:val="44E268DA"/>
    <w:rsid w:val="4A4706A8"/>
    <w:rsid w:val="4A627F82"/>
    <w:rsid w:val="4B0E749A"/>
    <w:rsid w:val="4B4F25DA"/>
    <w:rsid w:val="4BE068DB"/>
    <w:rsid w:val="4D577224"/>
    <w:rsid w:val="4EAB630A"/>
    <w:rsid w:val="4ECE2238"/>
    <w:rsid w:val="537E6D0A"/>
    <w:rsid w:val="58F33C8B"/>
    <w:rsid w:val="5AF92295"/>
    <w:rsid w:val="5CD71FC4"/>
    <w:rsid w:val="67D33F51"/>
    <w:rsid w:val="69920BC1"/>
    <w:rsid w:val="6C4A05C8"/>
    <w:rsid w:val="6E7E3605"/>
    <w:rsid w:val="6F052DF8"/>
    <w:rsid w:val="6FF5CC65"/>
    <w:rsid w:val="715C0E4B"/>
    <w:rsid w:val="72734D90"/>
    <w:rsid w:val="73481D47"/>
    <w:rsid w:val="73AD73D5"/>
    <w:rsid w:val="73B6EB34"/>
    <w:rsid w:val="744731E5"/>
    <w:rsid w:val="74E97CF8"/>
    <w:rsid w:val="76E3355F"/>
    <w:rsid w:val="778769C8"/>
    <w:rsid w:val="79EE5BA4"/>
    <w:rsid w:val="7A894339"/>
    <w:rsid w:val="7EEF11D3"/>
    <w:rsid w:val="7FA30C79"/>
    <w:rsid w:val="7FB7269E"/>
    <w:rsid w:val="7FC96657"/>
    <w:rsid w:val="D8D6DB89"/>
    <w:rsid w:val="DB6F4CAB"/>
    <w:rsid w:val="DF6F9789"/>
    <w:rsid w:val="FD3CE79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5"/>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2"/>
    <w:qFormat/>
    <w:uiPriority w:val="99"/>
    <w:pPr>
      <w:spacing w:beforeLines="30"/>
    </w:pPr>
    <w:rPr>
      <w:rFonts w:ascii="仿宋_GB2312" w:eastAsia="仿宋_GB2312"/>
      <w:kern w:val="0"/>
      <w:sz w:val="30"/>
    </w:rPr>
  </w:style>
  <w:style w:type="paragraph" w:styleId="6">
    <w:name w:val="Normal Indent"/>
    <w:unhideWhenUsed/>
    <w:qFormat/>
    <w:uiPriority w:val="99"/>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styleId="7">
    <w:name w:val="index 5"/>
    <w:next w:val="1"/>
    <w:qFormat/>
    <w:uiPriority w:val="0"/>
    <w:pPr>
      <w:widowControl w:val="0"/>
      <w:ind w:left="800" w:leftChars="800"/>
      <w:jc w:val="both"/>
    </w:pPr>
    <w:rPr>
      <w:rFonts w:ascii="Times New Roman" w:hAnsi="Times New Roman" w:eastAsia="仿宋_GB2312" w:cs="Times New Roman"/>
      <w:kern w:val="2"/>
      <w:sz w:val="21"/>
      <w:szCs w:val="24"/>
      <w:lang w:val="en-US" w:eastAsia="zh-CN" w:bidi="ar-SA"/>
    </w:rPr>
  </w:style>
  <w:style w:type="paragraph" w:styleId="8">
    <w:name w:val="Body Text Indent"/>
    <w:basedOn w:val="1"/>
    <w:qFormat/>
    <w:uiPriority w:val="0"/>
    <w:pPr>
      <w:spacing w:after="120"/>
      <w:ind w:left="200" w:leftChars="200"/>
    </w:pPr>
    <w:rPr>
      <w:rFonts w:ascii="仿宋_GB2312"/>
      <w:szCs w:val="32"/>
    </w:rPr>
  </w:style>
  <w:style w:type="paragraph" w:styleId="9">
    <w:name w:val="toc 3"/>
    <w:basedOn w:val="1"/>
    <w:next w:val="1"/>
    <w:unhideWhenUsed/>
    <w:qFormat/>
    <w:uiPriority w:val="39"/>
    <w:pPr>
      <w:tabs>
        <w:tab w:val="right" w:leader="dot" w:pos="8296"/>
      </w:tabs>
      <w:ind w:left="840" w:leftChars="400"/>
    </w:pPr>
  </w:style>
  <w:style w:type="paragraph" w:styleId="10">
    <w:name w:val="Plain Text"/>
    <w:basedOn w:val="1"/>
    <w:link w:val="39"/>
    <w:qFormat/>
    <w:uiPriority w:val="0"/>
    <w:pPr>
      <w:autoSpaceDE w:val="0"/>
      <w:autoSpaceDN w:val="0"/>
      <w:adjustRightInd w:val="0"/>
      <w:jc w:val="left"/>
    </w:pPr>
    <w:rPr>
      <w:rFonts w:ascii="宋体" w:hAnsi="Courier New"/>
      <w:kern w:val="0"/>
      <w:sz w:val="24"/>
      <w:szCs w:val="20"/>
    </w:rPr>
  </w:style>
  <w:style w:type="paragraph" w:styleId="11">
    <w:name w:val="Balloon Text"/>
    <w:basedOn w:val="1"/>
    <w:link w:val="26"/>
    <w:semiHidden/>
    <w:unhideWhenUsed/>
    <w:qFormat/>
    <w:uiPriority w:val="99"/>
    <w:rPr>
      <w:sz w:val="18"/>
      <w:szCs w:val="18"/>
    </w:rPr>
  </w:style>
  <w:style w:type="paragraph" w:styleId="12">
    <w:name w:val="footer"/>
    <w:basedOn w:val="1"/>
    <w:link w:val="27"/>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oc 2"/>
    <w:basedOn w:val="1"/>
    <w:next w:val="1"/>
    <w:unhideWhenUsed/>
    <w:qFormat/>
    <w:uiPriority w:val="39"/>
    <w:pPr>
      <w:tabs>
        <w:tab w:val="right" w:leader="dot" w:pos="8296"/>
      </w:tabs>
      <w:ind w:left="420" w:leftChars="200"/>
    </w:pPr>
  </w:style>
  <w:style w:type="paragraph" w:styleId="16">
    <w:name w:val="Body Text First Indent 2"/>
    <w:basedOn w:val="8"/>
    <w:next w:val="1"/>
    <w:unhideWhenUsed/>
    <w:qFormat/>
    <w:uiPriority w:val="99"/>
    <w:pPr>
      <w:ind w:firstLine="420" w:firstLineChars="200"/>
    </w:pPr>
  </w:style>
  <w:style w:type="character" w:styleId="19">
    <w:name w:val="Strong"/>
    <w:basedOn w:val="18"/>
    <w:qFormat/>
    <w:uiPriority w:val="99"/>
    <w:rPr>
      <w:b/>
    </w:rPr>
  </w:style>
  <w:style w:type="character" w:styleId="20">
    <w:name w:val="FollowedHyperlink"/>
    <w:basedOn w:val="18"/>
    <w:semiHidden/>
    <w:unhideWhenUsed/>
    <w:qFormat/>
    <w:uiPriority w:val="99"/>
    <w:rPr>
      <w:color w:val="954F72"/>
      <w:u w:val="single"/>
    </w:rPr>
  </w:style>
  <w:style w:type="character" w:styleId="21">
    <w:name w:val="Hyperlink"/>
    <w:basedOn w:val="18"/>
    <w:unhideWhenUsed/>
    <w:qFormat/>
    <w:uiPriority w:val="99"/>
    <w:rPr>
      <w:color w:val="0000FF" w:themeColor="hyperlink"/>
      <w:u w:val="single"/>
      <w14:textFill>
        <w14:solidFill>
          <w14:schemeClr w14:val="hlink"/>
        </w14:solidFill>
      </w14:textFill>
    </w:rPr>
  </w:style>
  <w:style w:type="character" w:customStyle="1" w:styleId="22">
    <w:name w:val="正文文本 Char"/>
    <w:link w:val="2"/>
    <w:qFormat/>
    <w:locked/>
    <w:uiPriority w:val="99"/>
    <w:rPr>
      <w:rFonts w:ascii="仿宋_GB2312" w:hAnsi="Times New Roman" w:eastAsia="仿宋_GB2312"/>
      <w:sz w:val="24"/>
    </w:rPr>
  </w:style>
  <w:style w:type="character" w:customStyle="1" w:styleId="23">
    <w:name w:val="标题 1 Char"/>
    <w:basedOn w:val="18"/>
    <w:link w:val="3"/>
    <w:qFormat/>
    <w:uiPriority w:val="9"/>
    <w:rPr>
      <w:rFonts w:ascii="Times New Roman" w:hAnsi="Times New Roman"/>
      <w:b/>
      <w:bCs/>
      <w:kern w:val="44"/>
      <w:sz w:val="44"/>
      <w:szCs w:val="44"/>
    </w:rPr>
  </w:style>
  <w:style w:type="character" w:customStyle="1" w:styleId="24">
    <w:name w:val="标题 2 Char"/>
    <w:basedOn w:val="18"/>
    <w:link w:val="4"/>
    <w:qFormat/>
    <w:uiPriority w:val="9"/>
    <w:rPr>
      <w:rFonts w:asciiTheme="majorHAnsi" w:hAnsiTheme="majorHAnsi" w:eastAsiaTheme="majorEastAsia" w:cstheme="majorBidi"/>
      <w:b/>
      <w:bCs/>
      <w:kern w:val="2"/>
      <w:sz w:val="32"/>
      <w:szCs w:val="32"/>
    </w:rPr>
  </w:style>
  <w:style w:type="character" w:customStyle="1" w:styleId="25">
    <w:name w:val="标题 3 Char"/>
    <w:basedOn w:val="18"/>
    <w:link w:val="5"/>
    <w:qFormat/>
    <w:uiPriority w:val="9"/>
    <w:rPr>
      <w:rFonts w:ascii="Times New Roman" w:hAnsi="Times New Roman"/>
      <w:b/>
      <w:bCs/>
      <w:kern w:val="2"/>
      <w:sz w:val="32"/>
      <w:szCs w:val="32"/>
    </w:rPr>
  </w:style>
  <w:style w:type="character" w:customStyle="1" w:styleId="26">
    <w:name w:val="批注框文本 Char"/>
    <w:basedOn w:val="18"/>
    <w:link w:val="11"/>
    <w:semiHidden/>
    <w:qFormat/>
    <w:uiPriority w:val="99"/>
    <w:rPr>
      <w:rFonts w:ascii="Times New Roman" w:hAnsi="Times New Roman"/>
      <w:kern w:val="2"/>
      <w:sz w:val="18"/>
      <w:szCs w:val="18"/>
    </w:rPr>
  </w:style>
  <w:style w:type="character" w:customStyle="1" w:styleId="27">
    <w:name w:val="页脚 Char"/>
    <w:link w:val="12"/>
    <w:qFormat/>
    <w:locked/>
    <w:uiPriority w:val="99"/>
    <w:rPr>
      <w:sz w:val="18"/>
    </w:rPr>
  </w:style>
  <w:style w:type="character" w:customStyle="1" w:styleId="28">
    <w:name w:val="页眉 Char"/>
    <w:link w:val="13"/>
    <w:semiHidden/>
    <w:qFormat/>
    <w:locked/>
    <w:uiPriority w:val="99"/>
    <w:rPr>
      <w:sz w:val="18"/>
    </w:rPr>
  </w:style>
  <w:style w:type="paragraph" w:customStyle="1" w:styleId="2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30">
    <w:name w:val="Header Char"/>
    <w:basedOn w:val="18"/>
    <w:semiHidden/>
    <w:qFormat/>
    <w:uiPriority w:val="99"/>
    <w:rPr>
      <w:rFonts w:ascii="Times New Roman" w:hAnsi="Times New Roman"/>
      <w:sz w:val="18"/>
      <w:szCs w:val="18"/>
    </w:rPr>
  </w:style>
  <w:style w:type="character" w:customStyle="1" w:styleId="31">
    <w:name w:val="Footer Char"/>
    <w:basedOn w:val="18"/>
    <w:semiHidden/>
    <w:qFormat/>
    <w:uiPriority w:val="99"/>
    <w:rPr>
      <w:rFonts w:ascii="Times New Roman" w:hAnsi="Times New Roman"/>
      <w:sz w:val="18"/>
      <w:szCs w:val="18"/>
    </w:rPr>
  </w:style>
  <w:style w:type="character" w:customStyle="1" w:styleId="32">
    <w:name w:val="Body Text Char"/>
    <w:basedOn w:val="18"/>
    <w:semiHidden/>
    <w:qFormat/>
    <w:uiPriority w:val="99"/>
    <w:rPr>
      <w:rFonts w:ascii="Times New Roman" w:hAnsi="Times New Roman"/>
      <w:szCs w:val="24"/>
    </w:rPr>
  </w:style>
  <w:style w:type="paragraph" w:customStyle="1" w:styleId="3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4">
    <w:name w:val="List Paragraph"/>
    <w:basedOn w:val="1"/>
    <w:qFormat/>
    <w:uiPriority w:val="34"/>
    <w:pPr>
      <w:ind w:firstLine="420" w:firstLineChars="200"/>
    </w:pPr>
  </w:style>
  <w:style w:type="paragraph" w:customStyle="1" w:styleId="35">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四号正文"/>
    <w:basedOn w:val="1"/>
    <w:qFormat/>
    <w:uiPriority w:val="0"/>
    <w:pPr>
      <w:spacing w:line="360" w:lineRule="auto"/>
    </w:pPr>
    <w:rPr>
      <w:rFonts w:ascii="??" w:hAnsi="??"/>
      <w:color w:val="000000"/>
      <w:kern w:val="0"/>
      <w:sz w:val="28"/>
      <w:szCs w:val="21"/>
      <w:lang w:val="zh-CN"/>
    </w:rPr>
  </w:style>
  <w:style w:type="character" w:customStyle="1" w:styleId="38">
    <w:name w:val="NormalCharacter"/>
    <w:qFormat/>
    <w:uiPriority w:val="99"/>
    <w:rPr>
      <w:rFonts w:ascii="Times New Roman" w:hAnsi="Times New Roman" w:eastAsia="宋体"/>
    </w:rPr>
  </w:style>
  <w:style w:type="character" w:customStyle="1" w:styleId="39">
    <w:name w:val="纯文本 Char"/>
    <w:basedOn w:val="18"/>
    <w:link w:val="10"/>
    <w:qFormat/>
    <w:uiPriority w:val="0"/>
    <w:rPr>
      <w:rFonts w:ascii="宋体" w:hAnsi="Courier New"/>
      <w:sz w:val="24"/>
    </w:rPr>
  </w:style>
  <w:style w:type="paragraph" w:customStyle="1" w:styleId="4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1">
    <w:name w:val="xl63"/>
    <w:basedOn w:val="1"/>
    <w:qFormat/>
    <w:uiPriority w:val="0"/>
    <w:pPr>
      <w:widowControl/>
      <w:spacing w:before="100" w:beforeAutospacing="1" w:after="100" w:afterAutospacing="1"/>
      <w:jc w:val="left"/>
    </w:pPr>
    <w:rPr>
      <w:rFonts w:ascii="Courier New" w:hAnsi="Courier New" w:cs="Courier New"/>
      <w:color w:val="000000"/>
      <w:kern w:val="0"/>
      <w:sz w:val="18"/>
      <w:szCs w:val="18"/>
    </w:rPr>
  </w:style>
  <w:style w:type="paragraph" w:customStyle="1" w:styleId="42">
    <w:name w:val="xl6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18"/>
      <w:szCs w:val="18"/>
    </w:rPr>
  </w:style>
  <w:style w:type="paragraph" w:customStyle="1" w:styleId="43">
    <w:name w:val="xl6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44">
    <w:name w:val="xl6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45">
    <w:name w:val="xl6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46">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cs="宋体"/>
      <w:i/>
      <w:iCs/>
      <w:color w:val="000000"/>
      <w:kern w:val="0"/>
      <w:sz w:val="16"/>
      <w:szCs w:val="16"/>
    </w:rPr>
  </w:style>
  <w:style w:type="paragraph" w:customStyle="1" w:styleId="47">
    <w:name w:val="xl6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8">
    <w:name w:val="xl70"/>
    <w:basedOn w:val="1"/>
    <w:qFormat/>
    <w:uiPriority w:val="0"/>
    <w:pPr>
      <w:widowControl/>
      <w:spacing w:before="100" w:beforeAutospacing="1" w:after="100" w:afterAutospacing="1"/>
      <w:jc w:val="left"/>
    </w:pPr>
    <w:rPr>
      <w:rFonts w:ascii="宋体" w:hAnsi="宋体" w:cs="宋体"/>
      <w:kern w:val="0"/>
      <w:sz w:val="24"/>
    </w:rPr>
  </w:style>
  <w:style w:type="paragraph" w:customStyle="1" w:styleId="49">
    <w:name w:val="xl7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50">
    <w:name w:val="xl7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51">
    <w:name w:val="xl7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52">
    <w:name w:val="xl7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i/>
      <w:iCs/>
      <w:color w:val="000000"/>
      <w:kern w:val="0"/>
      <w:sz w:val="16"/>
      <w:szCs w:val="16"/>
    </w:rPr>
  </w:style>
  <w:style w:type="paragraph" w:customStyle="1" w:styleId="53">
    <w:name w:val="xl7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黑体" w:hAnsi="黑体" w:eastAsia="黑体" w:cs="宋体"/>
      <w:b/>
      <w:bCs/>
      <w:color w:val="000000"/>
      <w:kern w:val="0"/>
      <w:sz w:val="30"/>
      <w:szCs w:val="30"/>
    </w:rPr>
  </w:style>
  <w:style w:type="paragraph" w:customStyle="1" w:styleId="54">
    <w:name w:val="xl7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color w:val="000000"/>
      <w:kern w:val="0"/>
      <w:sz w:val="18"/>
      <w:szCs w:val="18"/>
    </w:rPr>
  </w:style>
  <w:style w:type="paragraph" w:customStyle="1" w:styleId="55">
    <w:name w:val="xl7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color w:val="000000"/>
      <w:kern w:val="0"/>
      <w:sz w:val="18"/>
      <w:szCs w:val="18"/>
    </w:rPr>
  </w:style>
  <w:style w:type="paragraph" w:customStyle="1" w:styleId="56">
    <w:name w:val="xl78"/>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pPr>
    <w:rPr>
      <w:rFonts w:ascii="微软雅黑" w:hAnsi="微软雅黑" w:eastAsia="微软雅黑" w:cs="宋体"/>
      <w:i/>
      <w:iCs/>
      <w:color w:val="000000"/>
      <w:kern w:val="0"/>
      <w:sz w:val="16"/>
      <w:szCs w:val="16"/>
    </w:rPr>
  </w:style>
  <w:style w:type="paragraph" w:customStyle="1" w:styleId="57">
    <w:name w:val="xl79"/>
    <w:basedOn w:val="1"/>
    <w:qFormat/>
    <w:uiPriority w:val="0"/>
    <w:pPr>
      <w:widowControl/>
      <w:pBdr>
        <w:top w:val="single" w:color="000000" w:sz="4" w:space="0"/>
        <w:bottom w:val="single" w:color="000000" w:sz="4" w:space="0"/>
      </w:pBdr>
      <w:spacing w:before="100" w:beforeAutospacing="1" w:after="100" w:afterAutospacing="1"/>
      <w:jc w:val="left"/>
    </w:pPr>
    <w:rPr>
      <w:rFonts w:ascii="微软雅黑" w:hAnsi="微软雅黑" w:eastAsia="微软雅黑" w:cs="宋体"/>
      <w:i/>
      <w:iCs/>
      <w:color w:val="000000"/>
      <w:kern w:val="0"/>
      <w:sz w:val="16"/>
      <w:szCs w:val="16"/>
    </w:rPr>
  </w:style>
  <w:style w:type="paragraph" w:customStyle="1" w:styleId="58">
    <w:name w:val="xl80"/>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i/>
      <w:iCs/>
      <w:color w:val="000000"/>
      <w:kern w:val="0"/>
      <w:sz w:val="16"/>
      <w:szCs w:val="16"/>
    </w:rPr>
  </w:style>
  <w:style w:type="paragraph" w:customStyle="1" w:styleId="59">
    <w:name w:val="xl8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i/>
      <w:iCs/>
      <w:color w:val="000000"/>
      <w:kern w:val="0"/>
      <w:sz w:val="16"/>
      <w:szCs w:val="16"/>
    </w:rPr>
  </w:style>
  <w:style w:type="paragraph" w:customStyle="1" w:styleId="60">
    <w:name w:val="xl82"/>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Courier New" w:hAnsi="Courier New" w:cs="Courier New"/>
      <w:color w:val="000000"/>
      <w:kern w:val="0"/>
      <w:sz w:val="18"/>
      <w:szCs w:val="18"/>
    </w:rPr>
  </w:style>
  <w:style w:type="paragraph" w:customStyle="1" w:styleId="61">
    <w:name w:val="xl83"/>
    <w:basedOn w:val="1"/>
    <w:qFormat/>
    <w:uiPriority w:val="0"/>
    <w:pPr>
      <w:widowControl/>
      <w:pBdr>
        <w:top w:val="single" w:color="000000" w:sz="4" w:space="0"/>
        <w:bottom w:val="single" w:color="000000" w:sz="4" w:space="0"/>
      </w:pBdr>
      <w:spacing w:before="100" w:beforeAutospacing="1" w:after="100" w:afterAutospacing="1"/>
      <w:jc w:val="center"/>
    </w:pPr>
    <w:rPr>
      <w:rFonts w:ascii="Courier New" w:hAnsi="Courier New" w:cs="Courier New"/>
      <w:color w:val="000000"/>
      <w:kern w:val="0"/>
      <w:sz w:val="18"/>
      <w:szCs w:val="18"/>
    </w:rPr>
  </w:style>
  <w:style w:type="paragraph" w:customStyle="1" w:styleId="62">
    <w:name w:val="xl84"/>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color w:val="000000"/>
      <w:kern w:val="0"/>
      <w:sz w:val="18"/>
      <w:szCs w:val="18"/>
    </w:rPr>
  </w:style>
  <w:style w:type="paragraph" w:customStyle="1" w:styleId="63">
    <w:name w:val="xl85"/>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pPr>
    <w:rPr>
      <w:rFonts w:ascii="宋体" w:hAnsi="宋体" w:cs="宋体"/>
      <w:color w:val="000000"/>
      <w:kern w:val="0"/>
      <w:sz w:val="18"/>
      <w:szCs w:val="18"/>
    </w:rPr>
  </w:style>
  <w:style w:type="paragraph" w:customStyle="1" w:styleId="64">
    <w:name w:val="xl86"/>
    <w:basedOn w:val="1"/>
    <w:qFormat/>
    <w:uiPriority w:val="0"/>
    <w:pPr>
      <w:widowControl/>
      <w:pBdr>
        <w:top w:val="single" w:color="000000" w:sz="4" w:space="0"/>
        <w:bottom w:val="single" w:color="000000" w:sz="4" w:space="0"/>
      </w:pBdr>
      <w:spacing w:before="100" w:beforeAutospacing="1" w:after="100" w:afterAutospacing="1"/>
      <w:jc w:val="left"/>
    </w:pPr>
    <w:rPr>
      <w:rFonts w:ascii="宋体" w:hAnsi="宋体" w:cs="宋体"/>
      <w:color w:val="000000"/>
      <w:kern w:val="0"/>
      <w:sz w:val="18"/>
      <w:szCs w:val="18"/>
    </w:rPr>
  </w:style>
  <w:style w:type="paragraph" w:customStyle="1" w:styleId="65">
    <w:name w:val="xl87"/>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18"/>
      <w:szCs w:val="18"/>
    </w:rPr>
  </w:style>
  <w:style w:type="paragraph" w:customStyle="1" w:styleId="66">
    <w:name w:val="xl8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i/>
      <w:iCs/>
      <w:color w:val="000000"/>
      <w:kern w:val="0"/>
      <w:sz w:val="16"/>
      <w:szCs w:val="16"/>
    </w:rPr>
  </w:style>
  <w:style w:type="paragraph" w:customStyle="1" w:styleId="67">
    <w:name w:val="xl8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i/>
      <w:iCs/>
      <w:color w:val="000000"/>
      <w:kern w:val="0"/>
      <w:sz w:val="18"/>
      <w:szCs w:val="18"/>
    </w:rPr>
  </w:style>
  <w:style w:type="paragraph" w:customStyle="1" w:styleId="68">
    <w:name w:val="xl90"/>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Courier New" w:hAnsi="Courier New" w:cs="Courier New"/>
      <w:i/>
      <w:iCs/>
      <w:color w:val="000000"/>
      <w:kern w:val="0"/>
      <w:sz w:val="18"/>
      <w:szCs w:val="18"/>
    </w:rPr>
  </w:style>
  <w:style w:type="paragraph" w:customStyle="1" w:styleId="69">
    <w:name w:val="xl91"/>
    <w:basedOn w:val="1"/>
    <w:qFormat/>
    <w:uiPriority w:val="0"/>
    <w:pPr>
      <w:widowControl/>
      <w:pBdr>
        <w:left w:val="single" w:color="000000" w:sz="4" w:space="0"/>
        <w:right w:val="single" w:color="000000" w:sz="4" w:space="0"/>
      </w:pBdr>
      <w:spacing w:before="100" w:beforeAutospacing="1" w:after="100" w:afterAutospacing="1"/>
      <w:jc w:val="center"/>
    </w:pPr>
    <w:rPr>
      <w:rFonts w:ascii="Courier New" w:hAnsi="Courier New" w:cs="Courier New"/>
      <w:i/>
      <w:iCs/>
      <w:color w:val="000000"/>
      <w:kern w:val="0"/>
      <w:sz w:val="18"/>
      <w:szCs w:val="18"/>
    </w:rPr>
  </w:style>
  <w:style w:type="paragraph" w:customStyle="1" w:styleId="70">
    <w:name w:val="xl92"/>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i/>
      <w:iCs/>
      <w:color w:val="000000"/>
      <w:kern w:val="0"/>
      <w:sz w:val="18"/>
      <w:szCs w:val="18"/>
    </w:rPr>
  </w:style>
  <w:style w:type="paragraph" w:customStyle="1" w:styleId="71">
    <w:name w:val="xl9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6.xml"/><Relationship Id="rId13" Type="http://schemas.openxmlformats.org/officeDocument/2006/relationships/image" Target="media/image1.png"/><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227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2227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2227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22270;.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22270;.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3833333333333"/>
          <c:y val="0.159027777777778"/>
          <c:w val="0.882"/>
          <c:h val="0.606805555555558"/>
        </c:manualLayout>
      </c:layout>
      <c:barChart>
        <c:barDir val="col"/>
        <c:grouping val="clustered"/>
        <c:varyColors val="0"/>
        <c:ser>
          <c:idx val="0"/>
          <c:order val="0"/>
          <c:tx>
            <c:strRef>
              <c:f>[图.xlsx]Sheet1!$E$4</c:f>
              <c:strCache>
                <c:ptCount val="1"/>
                <c:pt idx="0">
                  <c:v>2021</c:v>
                </c:pt>
              </c:strCache>
            </c:strRef>
          </c:tx>
          <c:spPr>
            <a:solidFill>
              <a:schemeClr val="accent1"/>
            </a:solidFill>
            <a:ln>
              <a:noFill/>
            </a:ln>
            <a:effectLst/>
          </c:spPr>
          <c:invertIfNegative val="0"/>
          <c:dLbls>
            <c:delete val="1"/>
          </c:dLbls>
          <c:cat>
            <c:strRef>
              <c:f>[图.xlsx]Sheet1!$F$3:$G$3</c:f>
              <c:strCache>
                <c:ptCount val="2"/>
                <c:pt idx="0">
                  <c:v>收入总计</c:v>
                </c:pt>
                <c:pt idx="1">
                  <c:v>支出总计</c:v>
                </c:pt>
              </c:strCache>
            </c:strRef>
          </c:cat>
          <c:val>
            <c:numRef>
              <c:f>[图.xlsx]Sheet1!$F$4:$G$4</c:f>
              <c:numCache>
                <c:formatCode>General</c:formatCode>
                <c:ptCount val="2"/>
                <c:pt idx="0">
                  <c:v>1657.46</c:v>
                </c:pt>
                <c:pt idx="1">
                  <c:v>1775.31</c:v>
                </c:pt>
              </c:numCache>
            </c:numRef>
          </c:val>
        </c:ser>
        <c:ser>
          <c:idx val="1"/>
          <c:order val="1"/>
          <c:tx>
            <c:strRef>
              <c:f>[图.xlsx]Sheet1!$E$5</c:f>
              <c:strCache>
                <c:ptCount val="1"/>
                <c:pt idx="0">
                  <c:v>2022</c:v>
                </c:pt>
              </c:strCache>
            </c:strRef>
          </c:tx>
          <c:spPr>
            <a:solidFill>
              <a:schemeClr val="accent2"/>
            </a:solidFill>
            <a:ln>
              <a:noFill/>
            </a:ln>
            <a:effectLst/>
          </c:spPr>
          <c:invertIfNegative val="0"/>
          <c:dLbls>
            <c:delete val="1"/>
          </c:dLbls>
          <c:cat>
            <c:strRef>
              <c:f>[图.xlsx]Sheet1!$F$3:$G$3</c:f>
              <c:strCache>
                <c:ptCount val="2"/>
                <c:pt idx="0">
                  <c:v>收入总计</c:v>
                </c:pt>
                <c:pt idx="1">
                  <c:v>支出总计</c:v>
                </c:pt>
              </c:strCache>
            </c:strRef>
          </c:cat>
          <c:val>
            <c:numRef>
              <c:f>[图.xlsx]Sheet1!$F$5:$G$5</c:f>
              <c:numCache>
                <c:formatCode>General</c:formatCode>
                <c:ptCount val="2"/>
                <c:pt idx="0">
                  <c:v>1897.3</c:v>
                </c:pt>
                <c:pt idx="1">
                  <c:v>1897.3</c:v>
                </c:pt>
              </c:numCache>
            </c:numRef>
          </c:val>
        </c:ser>
        <c:dLbls>
          <c:showLegendKey val="0"/>
          <c:showVal val="0"/>
          <c:showCatName val="0"/>
          <c:showSerName val="0"/>
          <c:showPercent val="0"/>
          <c:showBubbleSize val="0"/>
        </c:dLbls>
        <c:gapWidth val="219"/>
        <c:overlap val="-27"/>
        <c:axId val="149105664"/>
        <c:axId val="150352640"/>
      </c:barChart>
      <c:catAx>
        <c:axId val="149105664"/>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0352640"/>
        <c:crosses val="autoZero"/>
        <c:auto val="1"/>
        <c:lblAlgn val="ctr"/>
        <c:lblOffset val="100"/>
        <c:noMultiLvlLbl val="0"/>
      </c:catAx>
      <c:valAx>
        <c:axId val="15035264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910566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elete val="1"/>
          </c:dLbls>
          <c:cat>
            <c:strRef>
              <c:f>[图.xlsx]Sheet1!$E$4:$E$6</c:f>
              <c:strCache>
                <c:ptCount val="3"/>
                <c:pt idx="0">
                  <c:v>一般公共预算财政拨款收入</c:v>
                </c:pt>
                <c:pt idx="1">
                  <c:v>政府性基金预算财政拨款收入</c:v>
                </c:pt>
                <c:pt idx="2">
                  <c:v>其他收入</c:v>
                </c:pt>
              </c:strCache>
            </c:strRef>
          </c:cat>
          <c:val>
            <c:numRef>
              <c:f>[图.xlsx]Sheet1!$F$4:$F$6</c:f>
              <c:numCache>
                <c:formatCode>General</c:formatCode>
                <c:ptCount val="3"/>
                <c:pt idx="0">
                  <c:v>1792.46</c:v>
                </c:pt>
                <c:pt idx="1">
                  <c:v>69.84</c:v>
                </c:pt>
                <c:pt idx="2">
                  <c:v>35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elete val="1"/>
          </c:dLbls>
          <c:cat>
            <c:strRef>
              <c:f>[图.xlsx]Sheet1!$E$4:$E$6</c:f>
              <c:strCache>
                <c:ptCount val="3"/>
                <c:pt idx="0">
                  <c:v>基本支出</c:v>
                </c:pt>
                <c:pt idx="1">
                  <c:v>项目支出</c:v>
                </c:pt>
              </c:strCache>
            </c:strRef>
          </c:cat>
          <c:val>
            <c:numRef>
              <c:f>[图.xlsx]Sheet1!$F$4:$F$6</c:f>
              <c:numCache>
                <c:formatCode>General</c:formatCode>
                <c:ptCount val="3"/>
                <c:pt idx="0">
                  <c:v>1892.3</c:v>
                </c:pt>
                <c:pt idx="1">
                  <c:v>518.770000000001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01895206243032"/>
          <c:y val="0.0509259259259259"/>
          <c:w val="0.88789297658863"/>
          <c:h val="0.73226851851852"/>
        </c:manualLayout>
      </c:layout>
      <c:barChart>
        <c:barDir val="col"/>
        <c:grouping val="clustered"/>
        <c:varyColors val="0"/>
        <c:ser>
          <c:idx val="0"/>
          <c:order val="0"/>
          <c:tx>
            <c:strRef>
              <c:f>[图.xlsx]Sheet1!$F$3</c:f>
              <c:strCache>
                <c:ptCount val="1"/>
                <c:pt idx="0">
                  <c:v>收入总计</c:v>
                </c:pt>
              </c:strCache>
            </c:strRef>
          </c:tx>
          <c:spPr>
            <a:solidFill>
              <a:schemeClr val="accent1"/>
            </a:solidFill>
            <a:ln>
              <a:noFill/>
            </a:ln>
            <a:effectLst/>
          </c:spPr>
          <c:invertIfNegative val="0"/>
          <c:dLbls>
            <c:delete val="1"/>
          </c:dLbls>
          <c:cat>
            <c:numRef>
              <c:f>[图.xlsx]Sheet1!$E$4:$E$6</c:f>
              <c:numCache>
                <c:formatCode>General</c:formatCode>
                <c:ptCount val="3"/>
                <c:pt idx="0">
                  <c:v>2021</c:v>
                </c:pt>
                <c:pt idx="1">
                  <c:v>2022</c:v>
                </c:pt>
              </c:numCache>
            </c:numRef>
          </c:cat>
          <c:val>
            <c:numRef>
              <c:f>[图.xlsx]Sheet1!$F$4:$F$6</c:f>
              <c:numCache>
                <c:formatCode>General</c:formatCode>
                <c:ptCount val="3"/>
                <c:pt idx="0">
                  <c:v>1657.46</c:v>
                </c:pt>
                <c:pt idx="1">
                  <c:v>1862.3</c:v>
                </c:pt>
              </c:numCache>
            </c:numRef>
          </c:val>
        </c:ser>
        <c:ser>
          <c:idx val="1"/>
          <c:order val="1"/>
          <c:tx>
            <c:strRef>
              <c:f>[图.xlsx]Sheet1!$G$3</c:f>
              <c:strCache>
                <c:ptCount val="1"/>
                <c:pt idx="0">
                  <c:v>支出总计</c:v>
                </c:pt>
              </c:strCache>
            </c:strRef>
          </c:tx>
          <c:spPr>
            <a:solidFill>
              <a:schemeClr val="accent2"/>
            </a:solidFill>
            <a:ln>
              <a:noFill/>
            </a:ln>
            <a:effectLst/>
          </c:spPr>
          <c:invertIfNegative val="0"/>
          <c:dLbls>
            <c:delete val="1"/>
          </c:dLbls>
          <c:cat>
            <c:numRef>
              <c:f>[图.xlsx]Sheet1!$E$4:$E$6</c:f>
              <c:numCache>
                <c:formatCode>General</c:formatCode>
                <c:ptCount val="3"/>
                <c:pt idx="0">
                  <c:v>2021</c:v>
                </c:pt>
                <c:pt idx="1">
                  <c:v>2022</c:v>
                </c:pt>
              </c:numCache>
            </c:numRef>
          </c:cat>
          <c:val>
            <c:numRef>
              <c:f>[图.xlsx]Sheet1!$G$4:$G$6</c:f>
              <c:numCache>
                <c:formatCode>General</c:formatCode>
                <c:ptCount val="3"/>
                <c:pt idx="0">
                  <c:v>1775.31</c:v>
                </c:pt>
                <c:pt idx="1">
                  <c:v>1862.3</c:v>
                </c:pt>
              </c:numCache>
            </c:numRef>
          </c:val>
        </c:ser>
        <c:dLbls>
          <c:showLegendKey val="0"/>
          <c:showVal val="0"/>
          <c:showCatName val="0"/>
          <c:showSerName val="0"/>
          <c:showPercent val="0"/>
          <c:showBubbleSize val="0"/>
        </c:dLbls>
        <c:gapWidth val="219"/>
        <c:overlap val="-27"/>
        <c:axId val="152963712"/>
        <c:axId val="152965504"/>
      </c:barChart>
      <c:catAx>
        <c:axId val="152963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2965504"/>
        <c:crosses val="autoZero"/>
        <c:auto val="1"/>
        <c:lblAlgn val="ctr"/>
        <c:lblOffset val="100"/>
        <c:noMultiLvlLbl val="0"/>
      </c:catAx>
      <c:valAx>
        <c:axId val="15296550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296371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stacked"/>
        <c:varyColors val="0"/>
        <c:ser>
          <c:idx val="0"/>
          <c:order val="0"/>
          <c:tx>
            <c:strRef>
              <c:f>[图.xlsx]Sheet1!$E$5</c:f>
              <c:strCache>
                <c:ptCount val="1"/>
                <c:pt idx="0">
                  <c:v>一般公共预算财政拨款支出</c:v>
                </c:pt>
              </c:strCache>
            </c:strRef>
          </c:tx>
          <c:spPr>
            <a:solidFill>
              <a:schemeClr val="accent1"/>
            </a:solidFill>
            <a:ln>
              <a:noFill/>
            </a:ln>
            <a:effectLst/>
          </c:spPr>
          <c:invertIfNegative val="0"/>
          <c:dLbls>
            <c:delete val="1"/>
          </c:dLbls>
          <c:cat>
            <c:numRef>
              <c:f>[图.xlsx]Sheet1!$F$4:$G$4</c:f>
              <c:numCache>
                <c:formatCode>General</c:formatCode>
                <c:ptCount val="2"/>
                <c:pt idx="0">
                  <c:v>2021</c:v>
                </c:pt>
                <c:pt idx="1">
                  <c:v>2022</c:v>
                </c:pt>
              </c:numCache>
            </c:numRef>
          </c:cat>
          <c:val>
            <c:numRef>
              <c:f>[图.xlsx]Sheet1!$F$5:$G$5</c:f>
              <c:numCache>
                <c:formatCode>General</c:formatCode>
                <c:ptCount val="2"/>
                <c:pt idx="0">
                  <c:v>1650.01</c:v>
                </c:pt>
                <c:pt idx="1">
                  <c:v>1792.46</c:v>
                </c:pt>
              </c:numCache>
            </c:numRef>
          </c:val>
        </c:ser>
        <c:dLbls>
          <c:showLegendKey val="0"/>
          <c:showVal val="0"/>
          <c:showCatName val="0"/>
          <c:showSerName val="0"/>
          <c:showPercent val="0"/>
          <c:showBubbleSize val="0"/>
        </c:dLbls>
        <c:gapWidth val="150"/>
        <c:overlap val="100"/>
        <c:axId val="152997888"/>
        <c:axId val="152999424"/>
      </c:barChart>
      <c:catAx>
        <c:axId val="152997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2999424"/>
        <c:crosses val="autoZero"/>
        <c:auto val="1"/>
        <c:lblAlgn val="ctr"/>
        <c:lblOffset val="100"/>
        <c:noMultiLvlLbl val="0"/>
      </c:catAx>
      <c:valAx>
        <c:axId val="15299942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29978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Lbls>
            <c:delete val="1"/>
          </c:dLbls>
          <c:cat>
            <c:strRef>
              <c:f>Sheet1!$D$4:$E$4</c:f>
              <c:strCache>
                <c:ptCount val="2"/>
                <c:pt idx="0">
                  <c:v>公务用车购置及运行维护费支出</c:v>
                </c:pt>
                <c:pt idx="1">
                  <c:v>公务接待费支出</c:v>
                </c:pt>
              </c:strCache>
            </c:strRef>
          </c:cat>
          <c:val>
            <c:numRef>
              <c:f>Sheet1!$D$5:$E$5</c:f>
              <c:numCache>
                <c:formatCode>General</c:formatCode>
                <c:ptCount val="2"/>
                <c:pt idx="0">
                  <c:v>2.37</c:v>
                </c:pt>
                <c:pt idx="1">
                  <c:v>0.26</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205</Pages>
  <Words>47165</Words>
  <Characters>25500</Characters>
  <Lines>212</Lines>
  <Paragraphs>145</Paragraphs>
  <TotalTime>38</TotalTime>
  <ScaleCrop>false</ScaleCrop>
  <LinksUpToDate>false</LinksUpToDate>
  <CharactersWithSpaces>72520</CharactersWithSpaces>
  <Application>WPS Office_11.8.2.1114_F1E327BC-269C-435d-A152-05C5408002CA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2023-11-13T22:02:00Z</dcterms:created>
  <dc:creator>曹颖</dc:creator>
  <cp:lastModifiedBy>huawei</cp:lastModifiedBy>
  <cp:lastPrinted>2023-07-31T10:35:00Z</cp:lastPrinted>
  <dcterms:modified xsi:type="dcterms:W3CDTF">2026-01-19T16:40:27Z</dcterms:modified>
  <dc:title>四川省***</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2052-11.8.2.1114</vt:lpwstr>
  </property>
  <property fmtid="{D5CDD505-2E9C-101B-9397-08002B2CF9AE}" pid="3" name="ICV">
    <vt:lpwstr>7BD8C7B561B740138E197CEAE08E4C1D_13</vt:lpwstr>
  </property>
</Properties>
</file>