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hint="default" w:ascii="Times New Roman" w:hAnsi="Times New Roman" w:eastAsia="方正小标宋简体" w:cs="Times New Roman"/>
          <w:kern w:val="2"/>
          <w:sz w:val="72"/>
          <w:szCs w:val="72"/>
        </w:rPr>
      </w:pPr>
      <w:bookmarkStart w:id="0" w:name="_Toc15378441"/>
      <w:bookmarkStart w:id="1" w:name="_Toc15377193"/>
      <w:bookmarkStart w:id="2" w:name="_Toc15396597"/>
      <w:bookmarkStart w:id="3" w:name="_Toc15396475"/>
      <w:bookmarkStart w:id="4" w:name="_Toc15306267"/>
      <w:bookmarkStart w:id="5" w:name="_Toc15377425"/>
    </w:p>
    <w:p>
      <w:pPr>
        <w:pStyle w:val="6"/>
        <w:spacing w:before="93"/>
        <w:rPr>
          <w:rFonts w:hint="default" w:ascii="Times New Roman" w:hAnsi="Times New Roman" w:eastAsia="方正小标宋简体" w:cs="Times New Roman"/>
          <w:kern w:val="2"/>
          <w:sz w:val="72"/>
          <w:szCs w:val="72"/>
        </w:rPr>
      </w:pPr>
    </w:p>
    <w:p>
      <w:pPr>
        <w:pStyle w:val="6"/>
        <w:spacing w:before="93"/>
        <w:rPr>
          <w:rFonts w:hint="default" w:ascii="Times New Roman" w:hAnsi="Times New Roman" w:eastAsia="方正小标宋简体" w:cs="Times New Roman"/>
          <w:kern w:val="2"/>
          <w:sz w:val="72"/>
          <w:szCs w:val="72"/>
        </w:rPr>
      </w:pPr>
    </w:p>
    <w:p>
      <w:pPr>
        <w:pStyle w:val="6"/>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pPr>
        <w:pStyle w:val="6"/>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中共盐边县委社会</w:t>
      </w:r>
      <w:bookmarkStart w:id="63" w:name="_GoBack"/>
      <w:bookmarkEnd w:id="63"/>
      <w:r>
        <w:rPr>
          <w:rFonts w:hint="default" w:ascii="Times New Roman" w:hAnsi="Times New Roman" w:eastAsia="方正小标宋简体" w:cs="Times New Roman"/>
          <w:kern w:val="2"/>
          <w:sz w:val="72"/>
          <w:szCs w:val="72"/>
        </w:rPr>
        <w:t>工作部部门决算公开编制说明</w:t>
      </w:r>
    </w:p>
    <w:p>
      <w:pPr>
        <w:spacing w:line="600" w:lineRule="exact"/>
        <w:jc w:val="center"/>
        <w:outlineLvl w:val="0"/>
        <w:rPr>
          <w:rFonts w:hint="default" w:ascii="Times New Roman" w:hAnsi="Times New Roman" w:eastAsia="方正小标宋简体" w:cs="Times New Roman"/>
          <w:sz w:val="72"/>
          <w:szCs w:val="72"/>
        </w:rPr>
      </w:pPr>
    </w:p>
    <w:p>
      <w:pPr>
        <w:pStyle w:val="2"/>
        <w:rPr>
          <w:rFonts w:hint="default"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bookmarkEnd w:id="0"/>
    <w:bookmarkEnd w:id="1"/>
    <w:bookmarkEnd w:id="2"/>
    <w:bookmarkEnd w:id="3"/>
    <w:bookmarkEnd w:id="4"/>
    <w:bookmarkEnd w:id="5"/>
    <w:p>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公开时间：2025年10月28日</w:t>
      </w:r>
    </w:p>
    <w:p>
      <w:pPr>
        <w:rPr>
          <w:rFonts w:hint="default" w:ascii="Times New Roman" w:hAnsi="Times New Roman" w:cs="Times New Roman"/>
        </w:rPr>
      </w:pP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第一部分 部门概况</w:t>
      </w:r>
      <w:r>
        <w:rPr>
          <w:rFonts w:hint="eastAsia" w:ascii="Times New Roman" w:hAnsi="Times New Roman" w:eastAsia="黑体" w:cs="Times New Roman"/>
          <w:sz w:val="32"/>
          <w:szCs w:val="32"/>
          <w:lang w:val="en-US" w:eastAsia="zh-CN"/>
        </w:rPr>
        <w:t>...................................................................3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一、部门职责</w:t>
      </w:r>
      <w:r>
        <w:rPr>
          <w:rFonts w:hint="eastAsia" w:eastAsia="仿宋_GB2312" w:cs="Times New Roman"/>
          <w:sz w:val="32"/>
          <w:szCs w:val="32"/>
          <w:lang w:val="en-US" w:eastAsia="zh-CN"/>
        </w:rPr>
        <w:t>.......................................................................3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二、机构设置</w:t>
      </w:r>
      <w:r>
        <w:rPr>
          <w:rFonts w:hint="eastAsia" w:eastAsia="仿宋_GB2312" w:cs="Times New Roman"/>
          <w:sz w:val="32"/>
          <w:szCs w:val="32"/>
          <w:lang w:val="en-US" w:eastAsia="zh-CN"/>
        </w:rPr>
        <w:t>.......................................................................4</w:t>
      </w: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第二部分 2024年度部门决算情况说明</w:t>
      </w:r>
      <w:r>
        <w:rPr>
          <w:rFonts w:hint="eastAsia" w:ascii="Times New Roman" w:hAnsi="Times New Roman" w:eastAsia="黑体" w:cs="Times New Roman"/>
          <w:sz w:val="32"/>
          <w:szCs w:val="32"/>
          <w:lang w:val="en-US" w:eastAsia="zh-CN"/>
        </w:rPr>
        <w:t>...................................4</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一、收入支出决算总体情况说明</w:t>
      </w:r>
      <w:r>
        <w:rPr>
          <w:rFonts w:hint="eastAsia" w:eastAsia="仿宋_GB2312" w:cs="Times New Roman"/>
          <w:sz w:val="32"/>
          <w:szCs w:val="32"/>
          <w:lang w:val="en-US" w:eastAsia="zh-CN"/>
        </w:rPr>
        <w:t>.......................................4</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二、收入决算情况说明</w:t>
      </w:r>
      <w:r>
        <w:rPr>
          <w:rFonts w:hint="eastAsia" w:eastAsia="仿宋_GB2312" w:cs="Times New Roman"/>
          <w:sz w:val="32"/>
          <w:szCs w:val="32"/>
          <w:lang w:val="en-US" w:eastAsia="zh-CN"/>
        </w:rPr>
        <w:t>.......................................................5</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三、支出决算情况说明</w:t>
      </w:r>
      <w:r>
        <w:rPr>
          <w:rFonts w:hint="eastAsia" w:eastAsia="仿宋_GB2312" w:cs="Times New Roman"/>
          <w:sz w:val="32"/>
          <w:szCs w:val="32"/>
          <w:lang w:val="en-US" w:eastAsia="zh-CN"/>
        </w:rPr>
        <w:t>.......................................................6</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四、财政拨款收入支出决算总体情况说明</w:t>
      </w:r>
      <w:r>
        <w:rPr>
          <w:rFonts w:hint="eastAsia" w:eastAsia="仿宋_GB2312" w:cs="Times New Roman"/>
          <w:sz w:val="32"/>
          <w:szCs w:val="32"/>
          <w:lang w:val="en-US" w:eastAsia="zh-CN"/>
        </w:rPr>
        <w:t>.......................7</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五、一般公共预算财政拨款支出决算情况说明</w:t>
      </w:r>
      <w:r>
        <w:rPr>
          <w:rFonts w:hint="eastAsia" w:eastAsia="仿宋_GB2312" w:cs="Times New Roman"/>
          <w:sz w:val="32"/>
          <w:szCs w:val="32"/>
          <w:lang w:val="en-US" w:eastAsia="zh-CN"/>
        </w:rPr>
        <w:t>...............7</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六、一般公共预算财政拨款基本支出决算情况说明</w:t>
      </w:r>
      <w:r>
        <w:rPr>
          <w:rFonts w:hint="eastAsia" w:eastAsia="仿宋_GB2312" w:cs="Times New Roman"/>
          <w:sz w:val="32"/>
          <w:szCs w:val="32"/>
          <w:lang w:val="en-US" w:eastAsia="zh-CN"/>
        </w:rPr>
        <w:t>.......9</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七、财政拨款“三公”经费支出决算情况说明</w:t>
      </w:r>
      <w:r>
        <w:rPr>
          <w:rFonts w:hint="eastAsia" w:eastAsia="仿宋_GB2312" w:cs="Times New Roman"/>
          <w:sz w:val="32"/>
          <w:szCs w:val="32"/>
          <w:lang w:val="en-US" w:eastAsia="zh-CN"/>
        </w:rPr>
        <w:t>..................10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八、政府性基金预算支出决算情况说明</w:t>
      </w:r>
      <w:r>
        <w:rPr>
          <w:rFonts w:hint="eastAsia" w:eastAsia="仿宋_GB2312" w:cs="Times New Roman"/>
          <w:sz w:val="32"/>
          <w:szCs w:val="32"/>
          <w:lang w:val="en-US" w:eastAsia="zh-CN"/>
        </w:rPr>
        <w:t>.........................11</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九、国有资本经营预算支出决算情况说明</w:t>
      </w:r>
      <w:r>
        <w:rPr>
          <w:rFonts w:hint="eastAsia" w:eastAsia="仿宋_GB2312" w:cs="Times New Roman"/>
          <w:sz w:val="32"/>
          <w:szCs w:val="32"/>
          <w:lang w:val="en-US" w:eastAsia="zh-CN"/>
        </w:rPr>
        <w:t>.....................11</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十、其他重要事项的情况说明</w:t>
      </w:r>
      <w:r>
        <w:rPr>
          <w:rFonts w:hint="eastAsia" w:eastAsia="仿宋_GB2312" w:cs="Times New Roman"/>
          <w:sz w:val="32"/>
          <w:szCs w:val="32"/>
          <w:lang w:val="en-US" w:eastAsia="zh-CN"/>
        </w:rPr>
        <w:t>.........................................11</w:t>
      </w: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第三部分 名词解释</w:t>
      </w:r>
      <w:r>
        <w:rPr>
          <w:rFonts w:hint="eastAsia" w:ascii="Times New Roman" w:hAnsi="Times New Roman" w:eastAsia="黑体" w:cs="Times New Roman"/>
          <w:sz w:val="32"/>
          <w:szCs w:val="32"/>
          <w:lang w:val="en-US" w:eastAsia="zh-CN"/>
        </w:rPr>
        <w:t>.................................................................14</w:t>
      </w: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第四部分 附件</w:t>
      </w:r>
      <w:r>
        <w:rPr>
          <w:rFonts w:hint="eastAsia" w:ascii="Times New Roman" w:hAnsi="Times New Roman" w:eastAsia="黑体" w:cs="Times New Roman"/>
          <w:sz w:val="32"/>
          <w:szCs w:val="32"/>
          <w:lang w:val="en-US" w:eastAsia="zh-CN"/>
        </w:rPr>
        <w:t>.........................................................................17</w:t>
      </w:r>
    </w:p>
    <w:p>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第五部分 附表</w:t>
      </w:r>
      <w:r>
        <w:rPr>
          <w:rFonts w:hint="eastAsia" w:ascii="Times New Roman" w:hAnsi="Times New Roman" w:eastAsia="黑体"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三、支出决算表</w:t>
      </w:r>
      <w:r>
        <w:rPr>
          <w:rFonts w:hint="eastAsia" w:eastAsia="仿宋_GB2312" w:cs="Times New Roman"/>
          <w:sz w:val="32"/>
          <w:szCs w:val="32"/>
          <w:lang w:val="en-US" w:eastAsia="zh-CN"/>
        </w:rPr>
        <w:t>.................................................................23</w:t>
      </w:r>
    </w:p>
    <w:p>
      <w:pPr>
        <w:rPr>
          <w:rFonts w:hint="default" w:ascii="Times New Roman" w:hAnsi="Times New Roman" w:cs="Times New Roman"/>
        </w:rPr>
      </w:pP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五、财政拨款支出决算明细表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六、一般公共预算财政拨款支出决算表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七、一般公共预算财政拨款支出决算明细表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八、一般公共预算财政拨款基本支出决算明细表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九、一般公共预算财政拨款项目支出决算表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十、政府性基金预算财政拨款收入支出决算表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十一、国有资本经营预算财政拨款收入支出决算表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十二、国有资本经营预算财政拨款支出决算表</w:t>
      </w:r>
      <w:r>
        <w:rPr>
          <w:rFonts w:hint="eastAsia" w:eastAsia="仿宋_GB2312" w:cs="Times New Roman"/>
          <w:sz w:val="32"/>
          <w:szCs w:val="32"/>
          <w:lang w:val="en-US" w:eastAsia="zh-CN"/>
        </w:rPr>
        <w:t>.............23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十三、财政拨款“三公”经费支出决算表</w:t>
      </w:r>
      <w:r>
        <w:rPr>
          <w:rFonts w:hint="eastAsia" w:eastAsia="仿宋_GB2312" w:cs="Times New Roman"/>
          <w:sz w:val="32"/>
          <w:szCs w:val="32"/>
          <w:lang w:val="en-US" w:eastAsia="zh-CN"/>
        </w:rPr>
        <w:t>..........................23</w:t>
      </w:r>
    </w:p>
    <w:p>
      <w:pPr>
        <w:widowControl/>
        <w:spacing w:line="560" w:lineRule="exact"/>
        <w:jc w:val="left"/>
        <w:rPr>
          <w:rFonts w:hint="default" w:ascii="Times New Roman" w:hAnsi="Times New Roman" w:eastAsia="仿宋_GB2312" w:cs="Times New Roman"/>
          <w:bCs/>
          <w:kern w:val="44"/>
          <w:sz w:val="32"/>
          <w:szCs w:val="32"/>
        </w:rPr>
      </w:pPr>
      <w:bookmarkStart w:id="6" w:name="_Toc15396599"/>
      <w:bookmarkStart w:id="7" w:name="_Toc15377196"/>
      <w:r>
        <w:rPr>
          <w:rFonts w:hint="default" w:ascii="Times New Roman" w:hAnsi="Times New Roman" w:eastAsia="仿宋_GB2312" w:cs="Times New Roman"/>
          <w:b/>
          <w:sz w:val="32"/>
          <w:szCs w:val="32"/>
        </w:rPr>
        <w:br w:type="page"/>
      </w:r>
    </w:p>
    <w:p>
      <w:pPr>
        <w:pStyle w:val="3"/>
        <w:jc w:val="center"/>
        <w:rPr>
          <w:rFonts w:hint="default" w:ascii="Times New Roman" w:hAnsi="Times New Roman" w:eastAsia="黑体" w:cs="Times New Roman"/>
          <w:sz w:val="32"/>
          <w:szCs w:val="32"/>
        </w:rPr>
      </w:pPr>
      <w:r>
        <w:rPr>
          <w:rFonts w:hint="default" w:ascii="Times New Roman" w:hAnsi="Times New Roman" w:eastAsia="方正小标宋简体" w:cs="Times New Roman"/>
          <w:b w:val="0"/>
        </w:rPr>
        <w:t xml:space="preserve">第一部分  </w:t>
      </w:r>
      <w:r>
        <w:rPr>
          <w:rStyle w:val="28"/>
          <w:rFonts w:hint="default" w:ascii="Times New Roman" w:hAnsi="Times New Roman" w:eastAsia="方正小标宋简体" w:cs="Times New Roman"/>
          <w:b w:val="0"/>
          <w:bCs w:val="0"/>
        </w:rPr>
        <w:t>部门概况</w:t>
      </w:r>
      <w:bookmarkEnd w:id="6"/>
      <w:bookmarkEnd w:id="7"/>
    </w:p>
    <w:p>
      <w:pPr>
        <w:pStyle w:val="4"/>
        <w:ind w:firstLine="640" w:firstLineChars="200"/>
        <w:rPr>
          <w:rFonts w:hint="default" w:ascii="Times New Roman" w:hAnsi="Times New Roman" w:eastAsia="黑体" w:cs="Times New Roman"/>
          <w:b w:val="0"/>
        </w:rPr>
      </w:pPr>
      <w:bookmarkStart w:id="8" w:name="_Toc15396600"/>
      <w:bookmarkStart w:id="9" w:name="_Toc15377197"/>
      <w:r>
        <w:rPr>
          <w:rFonts w:hint="default" w:ascii="Times New Roman" w:hAnsi="Times New Roman" w:eastAsia="黑体" w:cs="Times New Roman"/>
          <w:b w:val="0"/>
        </w:rPr>
        <w:t>一、</w:t>
      </w:r>
      <w:bookmarkEnd w:id="8"/>
      <w:bookmarkEnd w:id="9"/>
      <w:r>
        <w:rPr>
          <w:rFonts w:hint="default" w:ascii="Times New Roman" w:hAnsi="Times New Roman" w:eastAsia="黑体" w:cs="Times New Roman"/>
          <w:b w:val="0"/>
        </w:rPr>
        <w:t>部门职责</w:t>
      </w:r>
    </w:p>
    <w:p>
      <w:pPr>
        <w:pStyle w:val="6"/>
        <w:spacing w:before="93"/>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（一）研究相关理论、政策和规划、拟订相关规范性文件并组织实施。深入调查研究，及时向县委报告工作情况并提出建议。指导乡（镇）党委开展社会工作。</w:t>
      </w:r>
    </w:p>
    <w:p>
      <w:pPr>
        <w:pStyle w:val="6"/>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二）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党和国家事业发展提出的重要意见建议。</w:t>
      </w:r>
    </w:p>
    <w:p>
      <w:pPr>
        <w:pStyle w:val="6"/>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（三）统筹推进党建引领基层治理和基层政权建设 ，协调推进城乡社会治理体系、服务体系和治理能力建设 ，推动基层民主政治建设，指导监督基层骄人自治制度的有效实施，健全基层群众自治机制。</w:t>
      </w:r>
    </w:p>
    <w:p>
      <w:pPr>
        <w:pStyle w:val="6"/>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（四）指导全县性社会组织党建工作，统一领导全县性行业协会商会负责人人选的审核。协调推动全县行业协会商会深化改革和转型发展，调查研究相关重大问题。</w:t>
      </w:r>
    </w:p>
    <w:p>
      <w:pPr>
        <w:pStyle w:val="6"/>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（五）指导全县混合所有制企业 、非公有制企业和新经济组织、新社会组织、新就业群体（以下简称“两企三新”）党建工作，指导协调相关企业单位、社会组织、就业群体中党员的教育、管理、监督和服务工作，研究完善相关领域群众利益协调机制。</w:t>
      </w:r>
    </w:p>
    <w:p>
      <w:pPr>
        <w:pStyle w:val="6"/>
        <w:spacing w:before="93"/>
        <w:ind w:firstLine="480"/>
        <w:rPr>
          <w:rFonts w:hint="default" w:ascii="Times New Roman" w:hAnsi="Times New Roman" w:cs="Times New Roman"/>
          <w:kern w:val="2"/>
          <w:sz w:val="32"/>
          <w:szCs w:val="32"/>
        </w:rPr>
      </w:pPr>
      <w:r>
        <w:rPr>
          <w:rFonts w:hint="default" w:ascii="Times New Roman" w:hAnsi="Times New Roman" w:cs="Times New Roman"/>
          <w:kern w:val="2"/>
          <w:sz w:val="32"/>
          <w:szCs w:val="32"/>
        </w:rPr>
        <w:t>(六)负责全县志愿服务工作的统筹规划、协调指导、督促检查，指导推动社会工作人才队伍建设、志愿服务人才队伍建设和阵地建设，协调推动社会工作服务体系和志愿服务体系建设。</w:t>
      </w:r>
    </w:p>
    <w:p>
      <w:pPr>
        <w:pStyle w:val="6"/>
        <w:spacing w:before="93"/>
        <w:ind w:firstLine="480"/>
        <w:rPr>
          <w:rFonts w:hint="default" w:ascii="Times New Roman" w:hAnsi="Times New Roman" w:cs="Times New Roman"/>
        </w:rPr>
      </w:pPr>
      <w:r>
        <w:rPr>
          <w:rFonts w:hint="default" w:ascii="Times New Roman" w:hAnsi="Times New Roman" w:cs="Times New Roman"/>
          <w:kern w:val="2"/>
          <w:sz w:val="32"/>
          <w:szCs w:val="32"/>
        </w:rPr>
        <w:t>（七）完成县委交办的其他任务。</w:t>
      </w:r>
    </w:p>
    <w:p>
      <w:pPr>
        <w:pStyle w:val="4"/>
        <w:ind w:firstLine="640" w:firstLineChars="200"/>
        <w:rPr>
          <w:rStyle w:val="29"/>
          <w:rFonts w:hint="default" w:ascii="Times New Roman" w:hAnsi="Times New Roman" w:cs="Times New Roman"/>
          <w:b w:val="0"/>
          <w:bCs w:val="0"/>
        </w:rPr>
      </w:pPr>
      <w:bookmarkStart w:id="10" w:name="_Toc15377200"/>
      <w:bookmarkStart w:id="11" w:name="_Toc15396601"/>
      <w:r>
        <w:rPr>
          <w:rFonts w:hint="default" w:ascii="Times New Roman" w:hAnsi="Times New Roman" w:eastAsia="黑体" w:cs="Times New Roman"/>
          <w:b w:val="0"/>
        </w:rPr>
        <w:t>二、机</w:t>
      </w:r>
      <w:r>
        <w:rPr>
          <w:rStyle w:val="29"/>
          <w:rFonts w:hint="default" w:ascii="Times New Roman" w:hAnsi="Times New Roman" w:eastAsia="黑体" w:cs="Times New Roman"/>
          <w:b w:val="0"/>
          <w:bCs w:val="0"/>
        </w:rPr>
        <w:t>构设置</w:t>
      </w:r>
      <w:bookmarkEnd w:id="10"/>
      <w:bookmarkEnd w:id="11"/>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中共盐边县委社会工作部下属二级预算单位0个，其中行政单位0个，参照公务员法管理的事业单位</w:t>
      </w:r>
      <w:r>
        <w:rPr>
          <w:rFonts w:hint="default" w:ascii="Times New Roman" w:hAnsi="Times New Roman" w:eastAsia="仿宋_GB2312" w:cs="Times New Roman"/>
          <w:bCs/>
          <w:sz w:val="32"/>
          <w:szCs w:val="32"/>
        </w:rPr>
        <w:t>0</w:t>
      </w:r>
      <w:r>
        <w:rPr>
          <w:rFonts w:hint="default" w:ascii="Times New Roman" w:hAnsi="Times New Roman" w:eastAsia="仿宋_GB2312" w:cs="Times New Roman"/>
          <w:sz w:val="32"/>
          <w:szCs w:val="32"/>
        </w:rPr>
        <w:t>个，其他事业单位0个。</w:t>
      </w:r>
    </w:p>
    <w:p>
      <w:pPr>
        <w:pStyle w:val="6"/>
        <w:adjustRightInd w:val="0"/>
        <w:snapToGrid w:val="0"/>
        <w:spacing w:before="93"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cs="Times New Roman"/>
          <w:sz w:val="32"/>
          <w:szCs w:val="32"/>
        </w:rPr>
        <w:t>我部门无下属二级预算单位。</w:t>
      </w:r>
    </w:p>
    <w:p>
      <w:pPr>
        <w:pStyle w:val="3"/>
        <w:jc w:val="center"/>
        <w:rPr>
          <w:rFonts w:hint="default" w:ascii="Times New Roman" w:hAnsi="Times New Roman" w:eastAsia="方正小标宋简体" w:cs="Times New Roman"/>
          <w:b w:val="0"/>
        </w:rPr>
      </w:pPr>
      <w:bookmarkStart w:id="12" w:name="_Toc15396602"/>
      <w:bookmarkStart w:id="13" w:name="_Toc15377204"/>
      <w:bookmarkStart w:id="14" w:name="_Toc15396614"/>
      <w:bookmarkStart w:id="15" w:name="_Toc15377226"/>
      <w:r>
        <w:rPr>
          <w:rFonts w:hint="default" w:ascii="Times New Roman" w:hAnsi="Times New Roman" w:eastAsia="方正小标宋简体" w:cs="Times New Roman"/>
          <w:b w:val="0"/>
        </w:rPr>
        <w:t>第二部分  2024年度部门决算情况说明</w:t>
      </w:r>
      <w:bookmarkEnd w:id="12"/>
      <w:bookmarkEnd w:id="13"/>
    </w:p>
    <w:p>
      <w:pPr>
        <w:pStyle w:val="27"/>
        <w:spacing w:line="600" w:lineRule="exact"/>
        <w:ind w:firstLine="640"/>
        <w:outlineLvl w:val="1"/>
        <w:rPr>
          <w:rStyle w:val="29"/>
          <w:rFonts w:hint="default" w:ascii="Times New Roman" w:hAnsi="Times New Roman" w:eastAsia="黑体" w:cs="Times New Roman"/>
          <w:b w:val="0"/>
        </w:rPr>
      </w:pPr>
      <w:bookmarkStart w:id="16" w:name="_Toc15377205"/>
      <w:bookmarkStart w:id="17" w:name="_Toc15396603"/>
      <w:r>
        <w:rPr>
          <w:rFonts w:hint="default" w:ascii="Times New Roman" w:hAnsi="Times New Roman" w:eastAsia="黑体" w:cs="Times New Roman"/>
          <w:sz w:val="32"/>
          <w:szCs w:val="32"/>
        </w:rPr>
        <w:t>一、收</w:t>
      </w:r>
      <w:r>
        <w:rPr>
          <w:rStyle w:val="29"/>
          <w:rFonts w:hint="default" w:ascii="Times New Roman" w:hAnsi="Times New Roman" w:eastAsia="黑体" w:cs="Times New Roman"/>
          <w:b w:val="0"/>
        </w:rPr>
        <w:t>入支出决算总体情况说明</w:t>
      </w:r>
      <w:bookmarkEnd w:id="16"/>
      <w:bookmarkEnd w:id="17"/>
    </w:p>
    <w:p>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2024年度收入、支出总计均为108.55万元。该单位于2024年5月新成立，无2023年数据。</w:t>
      </w:r>
    </w:p>
    <w:p>
      <w:pPr>
        <w:pStyle w:val="27"/>
        <w:spacing w:line="600" w:lineRule="exact"/>
        <w:ind w:firstLine="640"/>
        <w:outlineLvl w:val="1"/>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1" locked="0" layoutInCell="1" allowOverlap="1">
            <wp:simplePos x="0" y="0"/>
            <wp:positionH relativeFrom="column">
              <wp:posOffset>428625</wp:posOffset>
            </wp:positionH>
            <wp:positionV relativeFrom="paragraph">
              <wp:posOffset>257175</wp:posOffset>
            </wp:positionV>
            <wp:extent cx="4810125" cy="3095625"/>
            <wp:effectExtent l="19050" t="0" r="9525" b="0"/>
            <wp:wrapTight wrapText="bothSides">
              <wp:wrapPolygon>
                <wp:start x="-86" y="0"/>
                <wp:lineTo x="-86" y="21534"/>
                <wp:lineTo x="21643" y="21534"/>
                <wp:lineTo x="21643" y="0"/>
                <wp:lineTo x="-86"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18" w:name="_Toc15396604"/>
      <w:bookmarkStart w:id="19" w:name="_Toc15377206"/>
      <w:r>
        <w:rPr>
          <w:rFonts w:hint="default" w:ascii="Times New Roman" w:hAnsi="Times New Roman" w:eastAsia="黑体" w:cs="Times New Roman"/>
          <w:sz w:val="32"/>
          <w:szCs w:val="32"/>
        </w:rPr>
        <w:t>二、收入决算情况说明</w:t>
      </w:r>
      <w:bookmarkEnd w:id="18"/>
      <w:bookmarkEnd w:id="19"/>
    </w:p>
    <w:p>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108.55万元，其中：一般公共预算财政拨款收入108.55万元，占100%；政府性基金预算财政拨款收入0万元，占0%；国有资本经营预算财政拨款收入0万元，占0%；上级补助收入0万元，占0%；事业收入0万元，占0%；经营收入0万元，占0%；附属单位上缴收入0万元，占0%；其他收入0万元，占0%。</w:t>
      </w:r>
    </w:p>
    <w:p>
      <w:pPr>
        <w:pStyle w:val="27"/>
        <w:spacing w:line="600" w:lineRule="exact"/>
        <w:ind w:firstLine="640"/>
        <w:jc w:val="left"/>
        <w:outlineLvl w:val="1"/>
        <w:rPr>
          <w:rFonts w:hint="default" w:ascii="Times New Roman" w:hAnsi="Times New Roman" w:eastAsia="黑体" w:cs="Times New Roman"/>
          <w:sz w:val="32"/>
          <w:szCs w:val="32"/>
        </w:rPr>
      </w:pPr>
    </w:p>
    <w:p>
      <w:pPr>
        <w:pStyle w:val="27"/>
        <w:spacing w:line="600" w:lineRule="exact"/>
        <w:ind w:firstLine="640"/>
        <w:jc w:val="left"/>
        <w:outlineLvl w:val="1"/>
        <w:rPr>
          <w:rStyle w:val="29"/>
          <w:rFonts w:hint="default" w:ascii="Times New Roman" w:hAnsi="Times New Roman" w:eastAsia="黑体" w:cs="Times New Roman"/>
          <w:b w:val="0"/>
        </w:rPr>
      </w:pPr>
      <w:r>
        <w:rPr>
          <w:rFonts w:hint="default" w:ascii="Times New Roman" w:hAnsi="Times New Roman" w:eastAsia="仿宋_GB2312" w:cs="Times New Roman"/>
          <w:sz w:val="32"/>
          <w:szCs w:val="32"/>
        </w:rPr>
        <w:drawing>
          <wp:anchor distT="0" distB="0" distL="114300" distR="114300" simplePos="0" relativeHeight="251660288" behindDoc="1" locked="0" layoutInCell="1" allowOverlap="1">
            <wp:simplePos x="0" y="0"/>
            <wp:positionH relativeFrom="column">
              <wp:posOffset>428625</wp:posOffset>
            </wp:positionH>
            <wp:positionV relativeFrom="paragraph">
              <wp:posOffset>180975</wp:posOffset>
            </wp:positionV>
            <wp:extent cx="4638675" cy="2786380"/>
            <wp:effectExtent l="19050" t="0" r="9525" b="0"/>
            <wp:wrapTight wrapText="bothSides">
              <wp:wrapPolygon>
                <wp:start x="-89" y="0"/>
                <wp:lineTo x="-89" y="21561"/>
                <wp:lineTo x="21644" y="21561"/>
                <wp:lineTo x="21644" y="0"/>
                <wp:lineTo x="-89"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20" w:name="_Toc15377207"/>
      <w:bookmarkStart w:id="21" w:name="_Toc15396605"/>
      <w:r>
        <w:rPr>
          <w:rFonts w:hint="default" w:ascii="Times New Roman" w:hAnsi="Times New Roman" w:eastAsia="黑体" w:cs="Times New Roman"/>
          <w:sz w:val="32"/>
          <w:szCs w:val="32"/>
        </w:rPr>
        <w:t>三、支</w:t>
      </w:r>
      <w:r>
        <w:rPr>
          <w:rStyle w:val="29"/>
          <w:rFonts w:hint="default" w:ascii="Times New Roman" w:hAnsi="Times New Roman" w:eastAsia="黑体" w:cs="Times New Roman"/>
          <w:b w:val="0"/>
        </w:rPr>
        <w:t>出决算情况说明</w:t>
      </w:r>
      <w:bookmarkEnd w:id="20"/>
      <w:bookmarkEnd w:id="21"/>
    </w:p>
    <w:p>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2024年度本年支出合计108.55万元，其中：基本支出102.7万元，占94.61%；项目支出5.85万元，占5.39%；上缴上级支出0万元，占0%；经营支出0万元，占0%；对附属单位补助支出0万元，占0%。</w:t>
      </w:r>
    </w:p>
    <w:p>
      <w:pPr>
        <w:pStyle w:val="27"/>
        <w:spacing w:line="600" w:lineRule="exact"/>
        <w:ind w:firstLine="640"/>
        <w:jc w:val="left"/>
        <w:outlineLvl w:val="1"/>
        <w:rPr>
          <w:rFonts w:hint="default" w:ascii="Times New Roman" w:hAnsi="Times New Roman" w:eastAsia="仿宋_GB2312" w:cs="Times New Roman"/>
          <w:sz w:val="32"/>
          <w:szCs w:val="32"/>
        </w:rPr>
      </w:pPr>
    </w:p>
    <w:p>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1312" behindDoc="1" locked="0" layoutInCell="1" allowOverlap="1">
            <wp:simplePos x="0" y="0"/>
            <wp:positionH relativeFrom="column">
              <wp:posOffset>428625</wp:posOffset>
            </wp:positionH>
            <wp:positionV relativeFrom="paragraph">
              <wp:posOffset>127000</wp:posOffset>
            </wp:positionV>
            <wp:extent cx="4695825" cy="2466975"/>
            <wp:effectExtent l="19050" t="0" r="9525" b="0"/>
            <wp:wrapTight wrapText="bothSides">
              <wp:wrapPolygon>
                <wp:start x="-88" y="0"/>
                <wp:lineTo x="-88" y="21517"/>
                <wp:lineTo x="21644" y="21517"/>
                <wp:lineTo x="21644" y="0"/>
                <wp:lineTo x="-88"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7"/>
        <w:spacing w:line="600" w:lineRule="exact"/>
        <w:ind w:firstLine="640"/>
        <w:jc w:val="left"/>
        <w:outlineLvl w:val="1"/>
        <w:rPr>
          <w:rFonts w:hint="default" w:ascii="Times New Roman" w:hAnsi="Times New Roman" w:eastAsia="仿宋_GB2312" w:cs="Times New Roman"/>
          <w:sz w:val="32"/>
          <w:szCs w:val="32"/>
        </w:rPr>
      </w:pPr>
    </w:p>
    <w:p>
      <w:pPr>
        <w:spacing w:line="600" w:lineRule="exact"/>
        <w:ind w:firstLine="640" w:firstLineChars="200"/>
        <w:outlineLvl w:val="1"/>
        <w:rPr>
          <w:rStyle w:val="29"/>
          <w:rFonts w:hint="default" w:ascii="Times New Roman" w:hAnsi="Times New Roman" w:eastAsia="黑体" w:cs="Times New Roman"/>
          <w:b w:val="0"/>
        </w:rPr>
      </w:pPr>
      <w:bookmarkStart w:id="22" w:name="_Toc15396606"/>
      <w:bookmarkStart w:id="23" w:name="_Toc15377208"/>
      <w:r>
        <w:rPr>
          <w:rFonts w:hint="default" w:ascii="Times New Roman" w:hAnsi="Times New Roman" w:eastAsia="黑体" w:cs="Times New Roman"/>
          <w:sz w:val="32"/>
          <w:szCs w:val="32"/>
        </w:rPr>
        <w:t>四、财</w:t>
      </w:r>
      <w:r>
        <w:rPr>
          <w:rStyle w:val="29"/>
          <w:rFonts w:hint="default" w:ascii="Times New Roman" w:hAnsi="Times New Roman" w:eastAsia="黑体" w:cs="Times New Roman"/>
          <w:b w:val="0"/>
        </w:rPr>
        <w:t>政拨款收入支出决算总体情况说明</w:t>
      </w:r>
      <w:bookmarkEnd w:id="22"/>
      <w:bookmarkEnd w:id="23"/>
    </w:p>
    <w:p>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2024年度财政拨款收入、支出总计均为108.55万元。该单位于2024年5月新成立，无2023年数据。</w:t>
      </w:r>
    </w:p>
    <w:p>
      <w:pPr>
        <w:pStyle w:val="27"/>
        <w:spacing w:line="600" w:lineRule="exact"/>
        <w:ind w:firstLine="640"/>
        <w:outlineLvl w:val="1"/>
        <w:rPr>
          <w:rStyle w:val="29"/>
          <w:rFonts w:hint="default" w:ascii="Times New Roman" w:hAnsi="Times New Roman" w:eastAsia="黑体" w:cs="Times New Roman"/>
          <w:b w:val="0"/>
        </w:rPr>
      </w:pPr>
      <w:r>
        <w:rPr>
          <w:rFonts w:hint="default" w:ascii="Times New Roman" w:hAnsi="Times New Roman" w:eastAsia="仿宋_GB2312" w:cs="Times New Roman"/>
          <w:sz w:val="32"/>
          <w:szCs w:val="32"/>
        </w:rPr>
        <w:drawing>
          <wp:anchor distT="0" distB="0" distL="114300" distR="114300" simplePos="0" relativeHeight="251662336" behindDoc="1" locked="0" layoutInCell="1" allowOverlap="1">
            <wp:simplePos x="0" y="0"/>
            <wp:positionH relativeFrom="column">
              <wp:posOffset>428625</wp:posOffset>
            </wp:positionH>
            <wp:positionV relativeFrom="paragraph">
              <wp:posOffset>8890</wp:posOffset>
            </wp:positionV>
            <wp:extent cx="4943475" cy="2962275"/>
            <wp:effectExtent l="19050" t="0" r="9525" b="0"/>
            <wp:wrapTight wrapText="bothSides">
              <wp:wrapPolygon>
                <wp:start x="-83" y="0"/>
                <wp:lineTo x="-83" y="21531"/>
                <wp:lineTo x="21642" y="21531"/>
                <wp:lineTo x="21642" y="0"/>
                <wp:lineTo x="-83"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24" w:name="_Toc15377209"/>
      <w:bookmarkStart w:id="25"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般公共预算财政拨款支出决算情况说明</w:t>
      </w:r>
      <w:bookmarkEnd w:id="24"/>
      <w:bookmarkEnd w:id="25"/>
    </w:p>
    <w:p>
      <w:pPr>
        <w:spacing w:line="600" w:lineRule="exact"/>
        <w:ind w:firstLine="643" w:firstLineChars="200"/>
        <w:outlineLvl w:val="2"/>
        <w:rPr>
          <w:rFonts w:hint="default" w:ascii="Times New Roman" w:hAnsi="Times New Roman" w:eastAsia="楷体_GB2312" w:cs="Times New Roman"/>
          <w:b/>
          <w:sz w:val="32"/>
          <w:szCs w:val="32"/>
        </w:rPr>
      </w:pPr>
      <w:bookmarkStart w:id="26" w:name="_Toc15377210"/>
      <w:r>
        <w:rPr>
          <w:rFonts w:hint="default" w:ascii="Times New Roman" w:hAnsi="Times New Roman" w:eastAsia="楷体_GB2312" w:cs="Times New Roman"/>
          <w:b/>
          <w:sz w:val="32"/>
          <w:szCs w:val="32"/>
        </w:rPr>
        <w:t>（一）一般公共预算财政拨款支出决算总体情况</w:t>
      </w:r>
      <w:bookmarkEnd w:id="26"/>
    </w:p>
    <w:p>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2024年度一般公共预算财政拨款支出108.55万元，占本年支出合计的100%。该单位于2024年5月新成立，无2023年数据。</w:t>
      </w:r>
    </w:p>
    <w:p>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3360" behindDoc="1" locked="0" layoutInCell="1" allowOverlap="1">
            <wp:simplePos x="0" y="0"/>
            <wp:positionH relativeFrom="column">
              <wp:posOffset>428625</wp:posOffset>
            </wp:positionH>
            <wp:positionV relativeFrom="paragraph">
              <wp:posOffset>180975</wp:posOffset>
            </wp:positionV>
            <wp:extent cx="4581525" cy="2790825"/>
            <wp:effectExtent l="19050" t="0" r="9525" b="0"/>
            <wp:wrapTight wrapText="bothSides">
              <wp:wrapPolygon>
                <wp:start x="-90" y="0"/>
                <wp:lineTo x="-90" y="21526"/>
                <wp:lineTo x="21645" y="21526"/>
                <wp:lineTo x="21645" y="0"/>
                <wp:lineTo x="-90"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spacing w:line="600" w:lineRule="exact"/>
        <w:ind w:firstLine="643" w:firstLineChars="200"/>
        <w:outlineLvl w:val="2"/>
        <w:rPr>
          <w:rFonts w:hint="default" w:ascii="Times New Roman" w:hAnsi="Times New Roman" w:eastAsia="楷体_GB2312" w:cs="Times New Roman"/>
          <w:b/>
          <w:sz w:val="32"/>
          <w:szCs w:val="32"/>
        </w:rPr>
      </w:pPr>
      <w:bookmarkStart w:id="27" w:name="_Toc15377211"/>
      <w:r>
        <w:rPr>
          <w:rFonts w:hint="default" w:ascii="Times New Roman" w:hAnsi="Times New Roman" w:eastAsia="楷体_GB2312" w:cs="Times New Roman"/>
          <w:b/>
          <w:sz w:val="32"/>
          <w:szCs w:val="32"/>
        </w:rPr>
        <w:t>（二）一般公共预算财政拨款支出决算结构情况</w:t>
      </w:r>
      <w:bookmarkEnd w:id="27"/>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2024年度一般公共预算财政拨款支出108.55万元，主要用于以下方面：一般公共服务支出84.35万元，占77.71%；社会保障和就业支出9.66万元，占8.9%；卫生健康支出6.12万元，占5.64%；住房保障支出8.42万元，占7.76%；</w:t>
      </w:r>
    </w:p>
    <w:p>
      <w:pPr>
        <w:pStyle w:val="14"/>
        <w:rPr>
          <w:rFonts w:hint="default" w:ascii="Times New Roman" w:hAnsi="Times New Roman" w:cs="Times New Roman"/>
        </w:rPr>
      </w:pPr>
    </w:p>
    <w:p>
      <w:pPr>
        <w:pStyle w:val="8"/>
        <w:ind w:left="420"/>
        <w:rPr>
          <w:rFonts w:hint="default" w:ascii="Times New Roman" w:hAnsi="Times New Roman" w:cs="Times New Roman"/>
        </w:rPr>
      </w:pPr>
      <w:r>
        <w:rPr>
          <w:rFonts w:hint="default" w:ascii="Times New Roman" w:hAnsi="Times New Roman" w:cs="Times New Roman"/>
        </w:rPr>
        <w:drawing>
          <wp:inline distT="0" distB="0" distL="0" distR="0">
            <wp:extent cx="4572000" cy="33147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3" w:firstLineChars="200"/>
        <w:outlineLvl w:val="2"/>
        <w:rPr>
          <w:rFonts w:hint="default" w:ascii="Times New Roman" w:hAnsi="Times New Roman" w:eastAsia="楷体_GB2312" w:cs="Times New Roman"/>
          <w:b/>
          <w:sz w:val="32"/>
          <w:szCs w:val="32"/>
        </w:rPr>
      </w:pPr>
      <w:bookmarkStart w:id="28" w:name="_Toc15377212"/>
      <w:r>
        <w:rPr>
          <w:rFonts w:hint="default" w:ascii="Times New Roman" w:hAnsi="Times New Roman" w:eastAsia="楷体_GB2312" w:cs="Times New Roman"/>
          <w:b/>
          <w:sz w:val="32"/>
          <w:szCs w:val="32"/>
        </w:rPr>
        <w:t>（三）一般公共预算财政拨款支出决算具体情况</w:t>
      </w:r>
      <w:bookmarkEnd w:id="28"/>
    </w:p>
    <w:p>
      <w:pPr>
        <w:spacing w:line="600" w:lineRule="exact"/>
        <w:ind w:firstLine="640"/>
        <w:rPr>
          <w:rFonts w:hint="default" w:ascii="Times New Roman" w:hAnsi="Times New Roman" w:eastAsia="仿宋_GB2312" w:cs="Times New Roman"/>
          <w:sz w:val="32"/>
          <w:szCs w:val="32"/>
        </w:rPr>
      </w:pPr>
      <w:bookmarkStart w:id="29" w:name="_Toc15377213"/>
      <w:bookmarkStart w:id="30" w:name="_Toc15378460"/>
      <w:bookmarkStart w:id="31" w:name="_Toc15377444"/>
      <w:r>
        <w:rPr>
          <w:rFonts w:hint="default" w:ascii="Times New Roman" w:hAnsi="Times New Roman" w:eastAsia="仿宋_GB2312" w:cs="Times New Roman"/>
          <w:sz w:val="32"/>
          <w:szCs w:val="32"/>
        </w:rPr>
        <w:t>2024年度一般公共预算财政拨款支出决算数为108.55万元，完成预算100%。其中：</w:t>
      </w:r>
      <w:bookmarkEnd w:id="29"/>
      <w:bookmarkEnd w:id="30"/>
      <w:bookmarkEnd w:id="31"/>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1.一般公共服务支出（类）社会工作事务（款）行政运行（项）：支出决算为47.98万元，完成预算100%，决算数与预算数持平。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一般公共服务支出（类）社会工作事务（款）事业运行（项）：支出决算为30.52万元，完成预算100%，决算数与预算数持平。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一般公共服务支出（类）社会工作事务（款）其他社会工作事务支出（项）：支出决算为5.85万元，完成预算100%，决算数与预算数持平。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4.社会保障和就业支出（类）行政事业单位养老支出（款）机关事业单位基本养老保险缴费支出（项）：支出决算为9.66万元，完成预算100%，决算数与预算数持平。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5.卫生健康支出（类）行政事业单位医疗（款）行政单位医疗（项）：支出决算为3.06万元，完成预算100%，决算数与预算数持平。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6.卫生健康支出（类）行政事业单位医疗（款）事业单位医疗（项）：支出决算为2.36万元，完成预算100%，决算数与预算数持平。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7.卫生健康支出（类）行政事业单位医疗（款）公务员医疗补助（项）：支出决算为0.35万元，完成预算100%，决算数与预算数持平。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8.卫生健康支出（类）行政事业单位医疗（款）其他行政事业单位医疗支出（项）：支出决算为0.35万元，完成预算100%，决算数与预算数持平。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9.住房保障支出（类）住房改革支出（款）住房公积金（项）：支出决算为8.42万元，完成预算100%，决算数与预算数持平。</w:t>
      </w:r>
    </w:p>
    <w:p>
      <w:pPr>
        <w:tabs>
          <w:tab w:val="right" w:pos="8306"/>
        </w:tabs>
        <w:spacing w:line="600" w:lineRule="exact"/>
        <w:ind w:firstLine="640"/>
        <w:outlineLvl w:val="1"/>
        <w:rPr>
          <w:rStyle w:val="29"/>
          <w:rFonts w:hint="default" w:ascii="Times New Roman" w:hAnsi="Times New Roman" w:cs="Times New Roman"/>
        </w:rPr>
      </w:pPr>
      <w:bookmarkStart w:id="32" w:name="_Toc15377214"/>
      <w:bookmarkStart w:id="33"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bookmarkEnd w:id="32"/>
      <w:bookmarkEnd w:id="33"/>
      <w:r>
        <w:rPr>
          <w:rStyle w:val="29"/>
          <w:rFonts w:hint="default" w:ascii="Times New Roman" w:hAnsi="Times New Roman" w:eastAsia="黑体" w:cs="Times New Roman"/>
          <w:b w:val="0"/>
        </w:rPr>
        <w:tab/>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2024年度一般公共预算财政拨款基本支出102.7万元，其中：</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人员经费93.54万元，主要包括：基本工资、津贴补贴、奖金、绩效工资、机关事业单位基本养老保险缴费、其他社会保障缴费、职工基本医疗保险缴费、公务员医疗补助缴费、医疗费、住房公积金支出等。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公用经费9.16万元，主要包括：办公费、邮电费、差旅费、其他交通费支出等。</w:t>
      </w:r>
    </w:p>
    <w:p>
      <w:pPr>
        <w:spacing w:line="600" w:lineRule="exact"/>
        <w:ind w:firstLine="640"/>
        <w:outlineLvl w:val="1"/>
        <w:rPr>
          <w:rStyle w:val="29"/>
          <w:rFonts w:hint="default" w:ascii="Times New Roman" w:hAnsi="Times New Roman" w:eastAsia="黑体" w:cs="Times New Roman"/>
          <w:b w:val="0"/>
        </w:rPr>
      </w:pPr>
      <w:bookmarkStart w:id="34" w:name="_Toc15377215"/>
      <w:bookmarkStart w:id="35" w:name="_Toc15396609"/>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34"/>
      <w:bookmarkEnd w:id="35"/>
    </w:p>
    <w:p>
      <w:pPr>
        <w:spacing w:line="600" w:lineRule="exact"/>
        <w:ind w:firstLine="643" w:firstLineChars="200"/>
        <w:outlineLvl w:val="2"/>
        <w:rPr>
          <w:rFonts w:hint="default" w:ascii="Times New Roman" w:hAnsi="Times New Roman" w:eastAsia="楷体_GB2312" w:cs="Times New Roman"/>
          <w:b/>
          <w:sz w:val="32"/>
          <w:szCs w:val="32"/>
        </w:rPr>
      </w:pPr>
      <w:bookmarkStart w:id="36" w:name="_Toc15377216"/>
      <w:r>
        <w:rPr>
          <w:rFonts w:hint="default" w:ascii="Times New Roman" w:hAnsi="Times New Roman" w:eastAsia="楷体_GB2312" w:cs="Times New Roman"/>
          <w:b/>
          <w:sz w:val="32"/>
          <w:szCs w:val="32"/>
        </w:rPr>
        <w:t>（一）“三公”经费财政拨款支出决算总体情况说明</w:t>
      </w:r>
      <w:bookmarkEnd w:id="36"/>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2024年度“三公”经费财政拨款支出决算为0万元，完成预算100%，该单位于2024年5月成立，2023年度无数据。</w:t>
      </w:r>
    </w:p>
    <w:p>
      <w:pPr>
        <w:spacing w:line="600" w:lineRule="exact"/>
        <w:ind w:firstLine="643" w:firstLineChars="200"/>
        <w:outlineLvl w:val="2"/>
        <w:rPr>
          <w:rFonts w:hint="default" w:ascii="Times New Roman" w:hAnsi="Times New Roman" w:eastAsia="楷体_GB2312" w:cs="Times New Roman"/>
          <w:b/>
          <w:sz w:val="32"/>
          <w:szCs w:val="32"/>
        </w:rPr>
      </w:pPr>
      <w:bookmarkStart w:id="37" w:name="_Toc15377217"/>
      <w:r>
        <w:rPr>
          <w:rFonts w:hint="default" w:ascii="Times New Roman" w:hAnsi="Times New Roman" w:eastAsia="楷体_GB2312" w:cs="Times New Roman"/>
          <w:b/>
          <w:sz w:val="32"/>
          <w:szCs w:val="32"/>
        </w:rPr>
        <w:t>（二）“三公”经费财政拨款支出决算具体情况说明</w:t>
      </w:r>
      <w:bookmarkEnd w:id="37"/>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2024年度“三公”经费财政拨款支出决算中，因公出国（境）费支出决算0万元，占0%；公务用车购置及运行维护费支出决算0万元，占0%；公务接待费支出决算0万元，占0%。具体情况如下：</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1.因公出国（境）经费支出0万元，完成预算0%。</w:t>
      </w:r>
      <w:r>
        <w:rPr>
          <w:rFonts w:hint="default" w:ascii="Times New Roman" w:hAnsi="Times New Roman" w:eastAsia="仿宋_GB2312" w:cs="Times New Roman"/>
          <w:sz w:val="32"/>
          <w:szCs w:val="32"/>
        </w:rPr>
        <w:t>全年安排因公出国（境）团组0次，出国（境0人。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2024年度我单位无因公出国（境）工作安排。</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2.公务用车购置及运行维护费支出0万元，完成预算0%。</w:t>
      </w:r>
      <w:r>
        <w:rPr>
          <w:rFonts w:hint="default" w:ascii="Times New Roman" w:hAnsi="Times New Roman" w:eastAsia="仿宋_GB2312" w:cs="Times New Roman"/>
          <w:sz w:val="32"/>
          <w:szCs w:val="32"/>
        </w:rPr>
        <w:t>该单位于2024年5月成立，2023年度无数据。</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0辆。</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公务用车运行维护费支出0万元。主</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3.公务接待费支出0万元，完成预算100%。</w:t>
      </w:r>
      <w:r>
        <w:rPr>
          <w:rFonts w:hint="default" w:ascii="Times New Roman" w:hAnsi="Times New Roman" w:eastAsia="仿宋_GB2312" w:cs="Times New Roman"/>
          <w:sz w:val="32"/>
          <w:szCs w:val="32"/>
        </w:rPr>
        <w:t>该单位于2024年5月成立，2023年度无数据。</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w:t>
      </w:r>
      <w:bookmarkStart w:id="38" w:name="_Toc15377218"/>
      <w:bookmarkStart w:id="39" w:name="_Toc15396610"/>
    </w:p>
    <w:p>
      <w:pPr>
        <w:spacing w:line="600" w:lineRule="exact"/>
        <w:ind w:firstLine="640"/>
        <w:outlineLvl w:val="1"/>
        <w:rPr>
          <w:rStyle w:val="29"/>
          <w:rFonts w:hint="default" w:ascii="Times New Roman" w:hAnsi="Times New Roman" w:eastAsia="黑体" w:cs="Times New Roman"/>
        </w:rPr>
      </w:pPr>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38"/>
      <w:bookmarkEnd w:id="39"/>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2024年度政府性基金预算财政拨款支出0万元，占本年支出合计的0%。该单位于2024年5月新成立，2023年度无数据。</w:t>
      </w:r>
    </w:p>
    <w:p>
      <w:pPr>
        <w:spacing w:line="600" w:lineRule="exact"/>
        <w:ind w:left="630"/>
        <w:outlineLvl w:val="1"/>
        <w:rPr>
          <w:rStyle w:val="29"/>
          <w:rFonts w:hint="default" w:ascii="Times New Roman" w:hAnsi="Times New Roman" w:eastAsia="黑体" w:cs="Times New Roman"/>
          <w:b w:val="0"/>
        </w:rPr>
      </w:pPr>
      <w:bookmarkStart w:id="40" w:name="_Toc15377219"/>
      <w:bookmarkStart w:id="41" w:name="_Toc15396611"/>
      <w:r>
        <w:rPr>
          <w:rStyle w:val="29"/>
          <w:rFonts w:hint="default" w:ascii="Times New Roman" w:hAnsi="Times New Roman" w:eastAsia="黑体" w:cs="Times New Roman"/>
          <w:b w:val="0"/>
        </w:rPr>
        <w:t>九、国有资本经营预算支出决算情况说明</w:t>
      </w:r>
      <w:bookmarkEnd w:id="40"/>
      <w:bookmarkEnd w:id="41"/>
    </w:p>
    <w:p>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2024年度国有资本经营预算财政拨款支出0万元，</w:t>
      </w:r>
      <w:r>
        <w:rPr>
          <w:rFonts w:hint="default" w:ascii="Times New Roman" w:hAnsi="Times New Roman" w:eastAsia="仿宋_GB2312" w:cs="Times New Roman"/>
          <w:kern w:val="0"/>
          <w:sz w:val="32"/>
          <w:szCs w:val="32"/>
        </w:rPr>
        <w:t>本部门没有国有资本经营预算拔款收入，也没有使用国有资本经营预算拔款安排的支出。</w:t>
      </w:r>
      <w:bookmarkStart w:id="42" w:name="_Toc15396612"/>
      <w:bookmarkStart w:id="43" w:name="_Toc15377221"/>
    </w:p>
    <w:p>
      <w:pPr>
        <w:pBdr>
          <w:bottom w:val="single" w:color="FFFFFF" w:sz="4" w:space="31"/>
        </w:pBdr>
        <w:shd w:val="clear" w:color="auto" w:fill="FFFFFF"/>
        <w:tabs>
          <w:tab w:val="left" w:pos="1440"/>
        </w:tabs>
        <w:adjustRightInd w:val="0"/>
        <w:snapToGrid w:val="0"/>
        <w:spacing w:line="560" w:lineRule="exact"/>
        <w:ind w:firstLine="640" w:firstLineChars="200"/>
        <w:rPr>
          <w:rStyle w:val="29"/>
          <w:rFonts w:hint="default" w:ascii="Times New Roman" w:hAnsi="Times New Roman" w:eastAsia="黑体" w:cs="Times New Roman"/>
          <w:b w:val="0"/>
        </w:rPr>
      </w:pPr>
      <w:r>
        <w:rPr>
          <w:rStyle w:val="29"/>
          <w:rFonts w:hint="default" w:ascii="Times New Roman" w:hAnsi="Times New Roman" w:eastAsia="黑体" w:cs="Times New Roman"/>
          <w:b w:val="0"/>
        </w:rPr>
        <w:t>十、其他重要事项的情况说明</w:t>
      </w:r>
      <w:bookmarkEnd w:id="42"/>
      <w:bookmarkEnd w:id="43"/>
      <w:bookmarkStart w:id="44" w:name="_Toc15377222"/>
    </w:p>
    <w:p>
      <w:pPr>
        <w:pBdr>
          <w:bottom w:val="single" w:color="FFFFFF" w:sz="4" w:space="31"/>
        </w:pBdr>
        <w:shd w:val="clear" w:color="auto" w:fill="FFFFFF"/>
        <w:tabs>
          <w:tab w:val="left" w:pos="1440"/>
        </w:tabs>
        <w:adjustRightInd w:val="0"/>
        <w:snapToGrid w:val="0"/>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（一）机关运行经费支出情况</w:t>
      </w:r>
      <w:bookmarkEnd w:id="44"/>
    </w:p>
    <w:p>
      <w:pPr>
        <w:pBdr>
          <w:bottom w:val="single" w:color="FFFFFF" w:sz="4" w:space="31"/>
        </w:pBdr>
        <w:shd w:val="clear" w:color="auto" w:fill="FFFFFF"/>
        <w:tabs>
          <w:tab w:val="left" w:pos="1440"/>
        </w:tabs>
        <w:adjustRightInd w:val="0"/>
        <w:snapToGrid w:val="0"/>
        <w:spacing w:line="560" w:lineRule="exact"/>
        <w:ind w:firstLine="640" w:firstLineChars="200"/>
        <w:rPr>
          <w:rFonts w:hint="eastAsia" w:eastAsia="仿宋_GB2312" w:cs="Times New Roman"/>
          <w:sz w:val="32"/>
          <w:szCs w:val="32"/>
          <w:lang w:val="en-US" w:eastAsia="zh-CN"/>
        </w:rPr>
      </w:pPr>
      <w:r>
        <w:rPr>
          <w:rFonts w:hint="default" w:ascii="Times New Roman" w:hAnsi="Times New Roman" w:eastAsia="仿宋_GB2312" w:cs="Times New Roman"/>
          <w:sz w:val="32"/>
          <w:szCs w:val="32"/>
        </w:rPr>
        <w:t>2024年度，中共盐边县委社会工作部机关运行经费支出9.16万元，该单位于2024年5月新成立，2023年度无数据。</w:t>
      </w:r>
      <w:bookmarkStart w:id="45" w:name="_Toc15377223"/>
      <w:r>
        <w:rPr>
          <w:rFonts w:hint="eastAsia" w:eastAsia="仿宋_GB2312" w:cs="Times New Roman"/>
          <w:sz w:val="32"/>
          <w:szCs w:val="32"/>
          <w:lang w:val="en-US" w:eastAsia="zh-CN"/>
        </w:rPr>
        <w:t xml:space="preserve">  </w:t>
      </w:r>
    </w:p>
    <w:p>
      <w:pPr>
        <w:pBdr>
          <w:bottom w:val="single" w:color="FFFFFF" w:sz="4" w:space="31"/>
        </w:pBdr>
        <w:shd w:val="clear" w:color="auto" w:fill="FFFFFF"/>
        <w:tabs>
          <w:tab w:val="left" w:pos="1440"/>
        </w:tabs>
        <w:adjustRightInd w:val="0"/>
        <w:snapToGrid w:val="0"/>
        <w:spacing w:line="560" w:lineRule="exact"/>
        <w:rPr>
          <w:rFonts w:hint="default" w:ascii="Times New Roman" w:hAnsi="Times New Roman" w:eastAsia="楷体_GB2312" w:cs="Times New Roman"/>
          <w:b/>
          <w:sz w:val="32"/>
          <w:szCs w:val="32"/>
        </w:rPr>
      </w:pPr>
      <w:r>
        <w:rPr>
          <w:rFonts w:hint="eastAsia" w:eastAsia="仿宋_GB2312" w:cs="Times New Roman"/>
          <w:sz w:val="32"/>
          <w:szCs w:val="32"/>
          <w:lang w:val="en-US" w:eastAsia="zh-CN"/>
        </w:rPr>
        <w:t xml:space="preserve">   </w:t>
      </w:r>
      <w:r>
        <w:rPr>
          <w:rFonts w:hint="default" w:ascii="Times New Roman" w:hAnsi="Times New Roman" w:eastAsia="楷体_GB2312" w:cs="Times New Roman"/>
          <w:b/>
          <w:sz w:val="32"/>
          <w:szCs w:val="32"/>
        </w:rPr>
        <w:t>（二）政府采购支出情况</w:t>
      </w:r>
      <w:bookmarkEnd w:id="45"/>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中共盐边县委社会工作部政府采购支出总额4.9万元，其中：政府采购货物支出4.9万元、政府采购工程支出0万元、政府采购服务支出0万元。主要用于购置办公设备。授予中小企业合同金额0万元，占政府采购支出总额的0%，其中：授予小微企业合同金额4.9万元，占政府采购支出总额的100%。</w:t>
      </w:r>
    </w:p>
    <w:p>
      <w:pPr>
        <w:spacing w:line="600" w:lineRule="exact"/>
        <w:ind w:firstLine="643" w:firstLineChars="200"/>
        <w:outlineLvl w:val="2"/>
        <w:rPr>
          <w:rFonts w:hint="default" w:ascii="Times New Roman" w:hAnsi="Times New Roman" w:eastAsia="楷体_GB2312" w:cs="Times New Roman"/>
          <w:b/>
          <w:sz w:val="32"/>
          <w:szCs w:val="32"/>
        </w:rPr>
      </w:pPr>
      <w:bookmarkStart w:id="46" w:name="_Toc15377224"/>
      <w:r>
        <w:rPr>
          <w:rFonts w:hint="default" w:ascii="Times New Roman" w:hAnsi="Times New Roman" w:eastAsia="楷体_GB2312" w:cs="Times New Roman"/>
          <w:b/>
          <w:sz w:val="32"/>
          <w:szCs w:val="32"/>
        </w:rPr>
        <w:t>（三）国有资产占有使用情况</w:t>
      </w:r>
      <w:bookmarkEnd w:id="46"/>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截至2024年12月31日，中共盐边县委社会工作部共有车辆0辆，其中：主要负责人用车0辆、机要通信用车0辆、应急保障用车0辆、其他用车0辆。单价100万元（含）以上设备（不含车辆）0台（套）。</w:t>
      </w:r>
    </w:p>
    <w:p>
      <w:pPr>
        <w:spacing w:line="600" w:lineRule="exact"/>
        <w:ind w:firstLine="643" w:firstLineChars="200"/>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根据预算绩效管理要求，预算执行过程中，选取设施设备购置经费1个项目开展绩效监控。</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组织对2024年度一般公共预算、政府性基金预算等全面开展绩效自评，形成中共盐边县委社会工作部部门整体（含部门预算项目）绩效自评报告，其中，中共盐边县委社会工作部部门整体（含部门预算项目）绩效自评得分为95分，绩效自评综述：根据绩效目标，按照经费管理使用要求和相应项目实施方案要求进行收支管理，做到专款专用，投入到位，发挥效益。围绕预算编制、预算执行、支出绩效三个方面对2024年度预算绩效进行了认真自评，完成较好；设施设备购置经费专项预算项目绩效自评得分为95分，绩效自评综述：主是购置办公电脑和其他办公设备，项目完成较好。绩效自评报告详见附件。</w:t>
      </w:r>
    </w:p>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pStyle w:val="14"/>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spacing w:line="600" w:lineRule="exact"/>
        <w:jc w:val="center"/>
        <w:outlineLvl w:val="0"/>
        <w:rPr>
          <w:rFonts w:hint="default" w:ascii="Times New Roman" w:hAnsi="Times New Roman" w:eastAsia="黑体" w:cs="Times New Roman"/>
          <w:sz w:val="44"/>
          <w:szCs w:val="44"/>
        </w:rPr>
      </w:pPr>
      <w:bookmarkStart w:id="47" w:name="_Toc15396613"/>
      <w:bookmarkStart w:id="48" w:name="_Toc15377225"/>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cs="Times New Roman"/>
          <w:b/>
          <w:sz w:val="44"/>
          <w:szCs w:val="44"/>
        </w:rPr>
      </w:pPr>
      <w:r>
        <w:rPr>
          <w:rFonts w:hint="default" w:ascii="Times New Roman" w:hAnsi="Times New Roman" w:eastAsia="黑体" w:cs="Times New Roman"/>
          <w:sz w:val="44"/>
          <w:szCs w:val="44"/>
        </w:rPr>
        <w:t>第三部分  名词解释</w:t>
      </w:r>
      <w:bookmarkEnd w:id="47"/>
      <w:bookmarkEnd w:id="48"/>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3.年初结转和结余：指以前年度尚未完成、结转到本年按有关规定继续使用的资金。 </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4.年末结转和结余：指单位按有关规定结转到下年或以后年度继续使用的资金。</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5.一般公共服务支出（类）社会工作事务支出(款)行政运行（项）指反映行政单位（包括实行公务员管理的事业单位）的基本支出。</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6.一般公共服务支出（类）社会工作事务支出(款)事业运行（项）指反映事业单位的基本支出，不包括行政单位（包括实行公务员管理的事业单位）后勤服务中心、医务室等附属事业单位。</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 一般公共服务支出（类）社会工作事务支出(款)其他社会工作事务支出（项）指反映除上述项目以外其他用于社会工作事务的支出。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 社会保障和就业支出（类）行政事业单位养老支出（款）机关事业单位基本养老保险缴费支出指反映机关事业单位实施养老保险制度由单位缴纳的基本养老保险费支出。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卫生健康支出（类）行政事业单位医疗（款）行政单位医疗（款）指反映财政部门安排的行政单位（包括实行公务员管理的事业单位，下同）基本医疗保险缴费经费，未参加医疗保险的行政单位的公费医疗经费，按国家规定享受离休人员、红军才战士待遇人员的医疗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 卫生健康支出（类）行政事业单位医疗（款）事业单位医疗（款）指反映财政部门安排的事业单位基本医疗保险缴费经费，未参加医疗保险的事业单位的公费医疗经费，按国家规定享受离休人员待遇的医疗经费。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 卫生健康支出（类）行政事业单位医疗（款）公务员医疗补助（款）指反映财政部门安排的公务员医疗补助经费。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 卫生健康支出（类）行政事业单位医疗（款）其他行政事业单位医疗支出（款）指反映除上述项目以外的其他用于行政事业单位医疗方面的支出。</w:t>
      </w:r>
    </w:p>
    <w:p>
      <w:pPr>
        <w:pStyle w:val="6"/>
        <w:spacing w:before="93"/>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13.住房保障支出（类）住房改革支出（款）住房公积金（项）指反映行政事业单位按人力资源的社会保障部、财政部规定的基本工资和津贴补贴以及规定比例为职工缴纳的住房公积金。</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14.基本支出：指为保障机构正常运转、完成日常工作任务而发生的人员支出和公用支出。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15.项目支出：指在基本支出之外为完成特定行政任务和事业发展目标所发生的支出。 </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16.“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费用。</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640" w:firstLineChars="200"/>
        <w:rPr>
          <w:rFonts w:hint="default" w:ascii="Times New Roman" w:hAnsi="Times New Roman" w:eastAsia="仿宋_GB2312" w:cs="Times New Roman"/>
          <w:color w:val="auto"/>
          <w:sz w:val="32"/>
          <w:szCs w:val="32"/>
        </w:rPr>
      </w:pPr>
    </w:p>
    <w:p>
      <w:pPr>
        <w:pStyle w:val="26"/>
        <w:spacing w:line="560" w:lineRule="exact"/>
        <w:ind w:firstLine="880" w:firstLineChars="200"/>
        <w:rPr>
          <w:rFonts w:hint="default" w:ascii="Times New Roman" w:hAnsi="Times New Roman" w:eastAsia="黑体" w:cs="Times New Roman"/>
          <w:sz w:val="44"/>
          <w:szCs w:val="44"/>
        </w:rPr>
      </w:pPr>
    </w:p>
    <w:p>
      <w:pPr>
        <w:spacing w:line="600" w:lineRule="exact"/>
        <w:jc w:val="center"/>
        <w:rPr>
          <w:rFonts w:hint="default" w:ascii="Times New Roman" w:hAnsi="Times New Roman" w:eastAsia="黑体" w:cs="Times New Roman"/>
          <w:sz w:val="44"/>
          <w:szCs w:val="44"/>
        </w:rPr>
      </w:pPr>
    </w:p>
    <w:p>
      <w:pPr>
        <w:spacing w:line="600" w:lineRule="exact"/>
        <w:jc w:val="center"/>
        <w:rPr>
          <w:rStyle w:val="28"/>
          <w:rFonts w:hint="default" w:ascii="Times New Roman" w:hAnsi="Times New Roman" w:eastAsia="黑体" w:cs="Times New Roman"/>
          <w:b w:val="0"/>
        </w:rPr>
      </w:pPr>
      <w:r>
        <w:rPr>
          <w:rFonts w:hint="default" w:ascii="Times New Roman" w:hAnsi="Times New Roman" w:eastAsia="黑体" w:cs="Times New Roman"/>
          <w:sz w:val="44"/>
          <w:szCs w:val="44"/>
        </w:rPr>
        <w:t>第四部分  附件</w:t>
      </w:r>
      <w:bookmarkEnd w:id="14"/>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p>
    <w:p>
      <w:pPr>
        <w:spacing w:line="0" w:lineRule="atLeas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中共盐边县委社会工作部</w:t>
      </w:r>
    </w:p>
    <w:p>
      <w:pPr>
        <w:spacing w:line="0" w:lineRule="atLeast"/>
        <w:jc w:val="center"/>
        <w:rPr>
          <w:rFonts w:hint="default" w:ascii="Times New Roman" w:hAnsi="Times New Roman" w:eastAsia="方正楷体_GBK" w:cs="Times New Roman"/>
          <w:b/>
        </w:rPr>
      </w:pPr>
      <w:r>
        <w:rPr>
          <w:rFonts w:hint="default" w:ascii="Times New Roman" w:hAnsi="Times New Roman" w:eastAsia="方正小标宋_GBK" w:cs="Times New Roman"/>
          <w:b/>
          <w:sz w:val="44"/>
          <w:szCs w:val="44"/>
        </w:rPr>
        <w:t>2024年度部门预算绩效自评报告</w:t>
      </w:r>
    </w:p>
    <w:p>
      <w:pPr>
        <w:widowControl/>
        <w:adjustRightInd w:val="0"/>
        <w:snapToGrid w:val="0"/>
        <w:spacing w:line="578" w:lineRule="exact"/>
        <w:ind w:firstLine="640" w:firstLineChars="200"/>
        <w:contextualSpacing/>
        <w:jc w:val="left"/>
        <w:rPr>
          <w:rFonts w:hint="default" w:ascii="Times New Roman" w:hAnsi="Times New Roman" w:eastAsia="黑体" w:cs="Times New Roman"/>
          <w:color w:val="000000"/>
          <w:kern w:val="0"/>
          <w:sz w:val="32"/>
          <w:szCs w:val="32"/>
          <w:shd w:val="clear" w:color="auto" w:fill="FFFFFF"/>
        </w:rPr>
      </w:pPr>
    </w:p>
    <w:p>
      <w:pPr>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一、部门（单位）基本情况</w:t>
      </w:r>
    </w:p>
    <w:p>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（一）机构组成。</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中共盐边县委社会工作部内设股室4个，即办公室、一股、二股、三股。下属事业单位1个，盐边县社会工作服务中心。</w:t>
      </w:r>
    </w:p>
    <w:p>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（二）机构职能。</w:t>
      </w:r>
    </w:p>
    <w:p>
      <w:pPr>
        <w:pStyle w:val="6"/>
        <w:spacing w:before="93"/>
        <w:ind w:firstLine="480"/>
        <w:rPr>
          <w:rFonts w:hint="default" w:ascii="Times New Roman" w:hAnsi="Times New Roman" w:cs="Times New Roman"/>
          <w:sz w:val="32"/>
          <w:szCs w:val="32"/>
        </w:rPr>
      </w:pPr>
      <w:r>
        <w:rPr>
          <w:rFonts w:hint="default" w:ascii="Times New Roman" w:hAnsi="Times New Roman" w:cs="Times New Roman"/>
          <w:sz w:val="32"/>
          <w:szCs w:val="32"/>
        </w:rPr>
        <w:t>（一）研究相关理论、政策和规划、拟订相关规范性文件并组织实施。深入调查研究，及时向县委报告工作情况并提出建议。指导乡（镇）党委开展社会工作。</w:t>
      </w:r>
    </w:p>
    <w:p>
      <w:pPr>
        <w:pStyle w:val="6"/>
        <w:spacing w:before="93"/>
        <w:ind w:firstLine="480"/>
        <w:rPr>
          <w:rFonts w:hint="default" w:ascii="Times New Roman" w:hAnsi="Times New Roman" w:cs="Times New Roman"/>
          <w:sz w:val="32"/>
          <w:szCs w:val="32"/>
        </w:rPr>
      </w:pPr>
      <w:r>
        <w:rPr>
          <w:rFonts w:hint="default" w:ascii="Times New Roman" w:hAnsi="Times New Roman" w:cs="Times New Roman"/>
          <w:sz w:val="32"/>
          <w:szCs w:val="32"/>
        </w:rPr>
        <w:t>（二）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党和国家事业发展提出的重要意见建议。</w:t>
      </w:r>
    </w:p>
    <w:p>
      <w:pPr>
        <w:pStyle w:val="6"/>
        <w:spacing w:before="93"/>
        <w:ind w:firstLine="480"/>
        <w:rPr>
          <w:rFonts w:hint="default" w:ascii="Times New Roman" w:hAnsi="Times New Roman" w:cs="Times New Roman"/>
          <w:sz w:val="32"/>
          <w:szCs w:val="32"/>
        </w:rPr>
      </w:pPr>
      <w:r>
        <w:rPr>
          <w:rFonts w:hint="default" w:ascii="Times New Roman" w:hAnsi="Times New Roman" w:cs="Times New Roman"/>
          <w:sz w:val="32"/>
          <w:szCs w:val="32"/>
        </w:rPr>
        <w:t>（三）统筹推进党建引领基层治理和基层政权建设 ，协调推进城乡社会治理体系、服务体系和治理能力建设 ，推动基层民主政治建设，指导监督基层骄人自治制度的有效实施，健全基层群众自治机制。</w:t>
      </w:r>
    </w:p>
    <w:p>
      <w:pPr>
        <w:pStyle w:val="6"/>
        <w:spacing w:before="93"/>
        <w:ind w:firstLine="480"/>
        <w:rPr>
          <w:rFonts w:hint="default" w:ascii="Times New Roman" w:hAnsi="Times New Roman" w:cs="Times New Roman"/>
          <w:sz w:val="32"/>
          <w:szCs w:val="32"/>
        </w:rPr>
      </w:pPr>
      <w:r>
        <w:rPr>
          <w:rFonts w:hint="default" w:ascii="Times New Roman" w:hAnsi="Times New Roman" w:cs="Times New Roman"/>
          <w:sz w:val="32"/>
          <w:szCs w:val="32"/>
        </w:rPr>
        <w:t>（四）指导全县性社会组织党建工作，统一领导全县性行业协会商会负责人人选的审核。协调推动全县行业协会商会深化改革和转型发展，调查研究相关重大问题。</w:t>
      </w:r>
    </w:p>
    <w:p>
      <w:pPr>
        <w:pStyle w:val="6"/>
        <w:spacing w:before="93"/>
        <w:ind w:firstLine="480"/>
        <w:rPr>
          <w:rFonts w:hint="default" w:ascii="Times New Roman" w:hAnsi="Times New Roman" w:cs="Times New Roman"/>
          <w:sz w:val="32"/>
          <w:szCs w:val="32"/>
        </w:rPr>
      </w:pPr>
      <w:r>
        <w:rPr>
          <w:rFonts w:hint="default" w:ascii="Times New Roman" w:hAnsi="Times New Roman" w:cs="Times New Roman"/>
          <w:sz w:val="32"/>
          <w:szCs w:val="32"/>
        </w:rPr>
        <w:t>（五）指导全县混合所有制企业 、非公有制企业和新经济组织、新社会组织、新就业群体（以下简称“两企三新”）党建工作，指导协调相关企业单位、社会组织、就业群体中党员的教育、管理、监督和服务工作，研究完善相关领域群众利益协调机制。</w:t>
      </w:r>
    </w:p>
    <w:p>
      <w:pPr>
        <w:pStyle w:val="6"/>
        <w:spacing w:before="93"/>
        <w:ind w:firstLine="480"/>
        <w:rPr>
          <w:rFonts w:hint="default" w:ascii="Times New Roman" w:hAnsi="Times New Roman" w:cs="Times New Roman"/>
          <w:sz w:val="32"/>
          <w:szCs w:val="32"/>
        </w:rPr>
      </w:pPr>
      <w:r>
        <w:rPr>
          <w:rFonts w:hint="default" w:ascii="Times New Roman" w:hAnsi="Times New Roman" w:cs="Times New Roman"/>
          <w:sz w:val="32"/>
          <w:szCs w:val="32"/>
        </w:rPr>
        <w:t>(六)负责全县志愿服务工作的统筹规划、协调指导、督促检查，指导推动社会工作人才队伍建设、志愿服务人才队伍建设和阵地建设，协调推动社会工作服务体系和志愿服务体系建设。</w:t>
      </w:r>
    </w:p>
    <w:p>
      <w:pPr>
        <w:pStyle w:val="6"/>
        <w:spacing w:before="93"/>
        <w:ind w:firstLine="480"/>
        <w:rPr>
          <w:rFonts w:hint="default" w:ascii="Times New Roman" w:hAnsi="Times New Roman" w:cs="Times New Roman"/>
          <w:sz w:val="32"/>
          <w:szCs w:val="32"/>
        </w:rPr>
      </w:pPr>
      <w:r>
        <w:rPr>
          <w:rFonts w:hint="default" w:ascii="Times New Roman" w:hAnsi="Times New Roman" w:cs="Times New Roman"/>
          <w:sz w:val="32"/>
          <w:szCs w:val="32"/>
        </w:rPr>
        <w:t>（七）完成县委交办的其他任务。</w:t>
      </w:r>
    </w:p>
    <w:p>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（三）人员概况。</w:t>
      </w: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 xml:space="preserve">截至2024年末，中共盐边县委社会工作部及下属单位编制情况及年末实有人数情况。单位核定编制(含群团组织、下属事业单位）包括：行政编制8名，事业编制7名。2024年末在岗14名：其中公务员7名，事业人员7名，机关工勤0名。 </w:t>
      </w:r>
    </w:p>
    <w:p>
      <w:pPr>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二、部门资金收支情况</w:t>
      </w:r>
    </w:p>
    <w:p>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（一）收入情况。</w:t>
      </w:r>
    </w:p>
    <w:p>
      <w:pPr>
        <w:spacing w:line="560" w:lineRule="exact"/>
        <w:ind w:firstLine="800" w:firstLineChars="2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盐边县委社会工作部于2024年5月新成立单位，2024年收入年初预算安排0万元（其中人员经费0万元，公用经费0万元，项目经费0万元）。年中调整预算数108.55万元（其中人员经费93.54万元，项目经费5.85万元）。2024年全年预算收入108.55万元（其中基本支出102.7万元，项目支出5.85万元）。</w:t>
      </w:r>
    </w:p>
    <w:p>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（二）支出情况。</w:t>
      </w:r>
    </w:p>
    <w:p>
      <w:pPr>
        <w:spacing w:line="55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盐边县委社会工作部于2024年5月新成立单位，2024年年初预算支出0万元（其中人员经费0万元，公用经费0万元，项目经费0万元）。2024年决算支出108.55万元，其中基本支出102.7万元，主要用于单位14名在职职工的工资、保险等人员经费以及办公费、水电费、差旅费等日常公用经费支出。项目支出5.85万元，主要用于单位办公设备购置支出。</w:t>
      </w:r>
    </w:p>
    <w:p>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（三）结余分配和结转结余情况。</w:t>
      </w:r>
    </w:p>
    <w:p>
      <w:pPr>
        <w:spacing w:line="55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中共盐边县委社会工作部2024年度无结转结余。</w:t>
      </w:r>
    </w:p>
    <w:p>
      <w:pPr>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三、部门预算绩效分析</w:t>
      </w:r>
    </w:p>
    <w:p>
      <w:pPr>
        <w:spacing w:line="550" w:lineRule="exact"/>
        <w:ind w:firstLine="643" w:firstLineChars="200"/>
        <w:rPr>
          <w:rFonts w:hint="default" w:ascii="Times New Roman" w:hAnsi="Times New Roman" w:cs="Times New Roman"/>
          <w:sz w:val="32"/>
          <w:szCs w:val="32"/>
        </w:rPr>
      </w:pPr>
      <w:r>
        <w:rPr>
          <w:rFonts w:hint="default" w:ascii="Times New Roman" w:hAnsi="Times New Roman" w:eastAsia="方正楷体_GBK" w:cs="Times New Roman"/>
          <w:b/>
          <w:sz w:val="32"/>
          <w:szCs w:val="32"/>
        </w:rPr>
        <w:t>（一）部门预算总体绩效分析。</w:t>
      </w:r>
    </w:p>
    <w:p>
      <w:pPr>
        <w:pStyle w:val="35"/>
        <w:spacing w:before="0" w:beforeAutospacing="0" w:after="0" w:afterAutospacing="0" w:line="576" w:lineRule="exact"/>
        <w:ind w:firstLine="663"/>
        <w:rPr>
          <w:rFonts w:hint="default" w:ascii="Times New Roman" w:hAnsi="Times New Roman" w:cs="Times New Roman"/>
        </w:rPr>
      </w:pPr>
      <w:r>
        <w:rPr>
          <w:rFonts w:hint="default" w:ascii="Times New Roman" w:hAnsi="Times New Roman" w:cs="Times New Roman"/>
        </w:rPr>
        <w:t>1.履职效能方面</w:t>
      </w:r>
    </w:p>
    <w:p>
      <w:pPr>
        <w:overflowPunct w:val="0"/>
        <w:ind w:firstLine="663"/>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1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①</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夯基固本，建立完善社会工作体系。为开好局起好步，县委社会工作部聚焦部门组建和职责承接两项重点，同步推进，夯实基础。</w:t>
      </w:r>
    </w:p>
    <w:p>
      <w:pPr>
        <w:overflowPunct w:val="0"/>
        <w:ind w:firstLine="663"/>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2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聚焦重点，细化举措狠抓任务落实。按照“牵头抓总、统筹协调、重点突破、督办落实”的工作要求，迅速承接职能职责，积极推进各项重点任务落地见效。</w:t>
      </w:r>
    </w:p>
    <w:p>
      <w:pPr>
        <w:overflowPunct w:val="0"/>
        <w:ind w:firstLine="663"/>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3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③</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创新解题，探索社会工作有效路径。面对新部门、新人、新情况，通过调研、座谈、会商等方式，积极探索，创新破题。</w:t>
      </w:r>
    </w:p>
    <w:p>
      <w:pPr>
        <w:pStyle w:val="35"/>
        <w:spacing w:before="0" w:beforeAutospacing="0" w:after="0" w:afterAutospacing="0" w:line="576" w:lineRule="exact"/>
        <w:ind w:firstLine="663"/>
        <w:rPr>
          <w:rFonts w:hint="default" w:ascii="Times New Roman" w:hAnsi="Times New Roman" w:cs="Times New Roman"/>
        </w:rPr>
      </w:pPr>
      <w:r>
        <w:rPr>
          <w:rFonts w:hint="default" w:ascii="Times New Roman" w:hAnsi="Times New Roman" w:cs="Times New Roman"/>
        </w:rPr>
        <w:t>2.预算管理。</w:t>
      </w:r>
    </w:p>
    <w:p>
      <w:pPr>
        <w:widowControl/>
        <w:spacing w:after="240"/>
        <w:ind w:firstLine="5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（1）基本支出</w:t>
      </w:r>
    </w:p>
    <w:p>
      <w:pPr>
        <w:widowControl/>
        <w:spacing w:after="240"/>
        <w:ind w:firstLine="54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全年预算安排108.55万元，主要用于：在职职工基本工资、津贴补贴等人员经费以及</w:t>
      </w:r>
      <w:r>
        <w:rPr>
          <w:rFonts w:hint="eastAsia" w:eastAsia="仿宋_GB2312" w:cs="Times New Roman"/>
          <w:kern w:val="0"/>
          <w:sz w:val="32"/>
          <w:szCs w:val="32"/>
          <w:lang w:eastAsia="zh-CN"/>
        </w:rPr>
        <w:t>办公费、印刷费、水电费、差旅费等日常公用经费。2024年一般财政拨款基本支出决算数108.55万元</w:t>
      </w:r>
      <w:r>
        <w:rPr>
          <w:rFonts w:hint="default" w:ascii="Times New Roman" w:hAnsi="Times New Roman" w:eastAsia="仿宋_GB2312" w:cs="Times New Roman"/>
          <w:kern w:val="0"/>
          <w:sz w:val="32"/>
          <w:szCs w:val="32"/>
        </w:rPr>
        <w:t>，其中工资福利支出93.54万元，公用经费支出9.16万元。按经济科目分类如下：</w:t>
      </w:r>
    </w:p>
    <w:p>
      <w:pPr>
        <w:widowControl/>
        <w:spacing w:after="240"/>
        <w:ind w:firstLine="54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资福利支出93.54万元，其中：基本工资21.85万元；津贴补贴15.6元；奖金13.6万元；绩效工资18.04万元；机关事业单位基本养老保险缴费9.66万元；职工基本医疗保险缴费5.42万元；公务员医疗补助缴费0.35万元；其他社会保障缴费0.25万元；住房公积金8.42万元；医疗费0.35万元。</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商品和服务支出9.16万元，其中：办公费3.06万元；邮电费0.54万元；差旅费2.32万元；其他交通费3.24万元。</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“三公”经费情况</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因公出国（境）费0元，公务用车购置及运行维护费0元；公务接待费0万元。</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（2）项目支出</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全年预算安排5.85万元，主要用于以下项目：</w:t>
      </w:r>
    </w:p>
    <w:p>
      <w:pPr>
        <w:snapToGrid w:val="0"/>
        <w:spacing w:line="56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（1）根据盐财资行【2024】301号文下达办公设备购置费5.85万元，己完成支付1.18万元，完成率100%。项目资金主要用于单位新购置电脑及其他办公设备。项目完成较好，自评得分95分。</w:t>
      </w:r>
    </w:p>
    <w:p>
      <w:pPr>
        <w:ind w:firstLine="63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3.财务管理。</w:t>
      </w:r>
    </w:p>
    <w:p>
      <w:pPr>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单位严格按照《财政总预算会计制度》和本单位财务管理制度执行，资金支付均采用“一支笔”审批制度；严格按照预算规定的支出用途使用资金；会计核算按权责发生制的确认原则按新行政单位会计制度执行。部门决算的组织、编报按程序进行并且审核已通过。</w:t>
      </w:r>
    </w:p>
    <w:p>
      <w:pPr>
        <w:spacing w:line="55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4.资产管理</w:t>
      </w:r>
    </w:p>
    <w:p>
      <w:pPr>
        <w:spacing w:line="55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建立规范的国有资产管理制度，按照规定对单位资产的账卡管理、清查登记、统计报告及日常监督检查，单位处置资产时严格审批程序，并将资产处置费上缴财政。接受财政部门的指导和监督。</w:t>
      </w:r>
    </w:p>
    <w:p>
      <w:pPr>
        <w:spacing w:line="55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5.采购管理。</w:t>
      </w:r>
    </w:p>
    <w:p>
      <w:pPr>
        <w:spacing w:line="55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根据实际需求明确采购项目、预算及时间安排，并经领导审批后根据采购金额和性质选择采购方式。2024年采购支出4.9万元，其中授予小微企业合同金额4.9万元。</w:t>
      </w:r>
    </w:p>
    <w:p>
      <w:pPr>
        <w:spacing w:line="550" w:lineRule="exact"/>
        <w:ind w:firstLine="643" w:firstLineChars="200"/>
        <w:rPr>
          <w:rFonts w:hint="default" w:ascii="Times New Roman" w:hAnsi="Times New Roman" w:cs="Times New Roman"/>
          <w:sz w:val="32"/>
          <w:szCs w:val="32"/>
        </w:rPr>
      </w:pPr>
      <w:r>
        <w:rPr>
          <w:rFonts w:hint="default" w:ascii="Times New Roman" w:hAnsi="Times New Roman" w:eastAsia="方正楷体_GBK" w:cs="Times New Roman"/>
          <w:b/>
          <w:sz w:val="32"/>
          <w:szCs w:val="32"/>
        </w:rPr>
        <w:t>（二）部门预算项目绩效分析。</w:t>
      </w:r>
    </w:p>
    <w:p>
      <w:pPr>
        <w:spacing w:line="55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常年项目绩效分析。该类项目总数 0个，涉及预算总金额0万元，1—12月预算执行总体进度为 100 %，其中：预算结余率大于10%的项目共计0个。</w:t>
      </w:r>
    </w:p>
    <w:p>
      <w:pPr>
        <w:spacing w:line="55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阶段（含一次性）项目绩效分析。该类项目总数1个，涉及预算总金额 5.85万元，1—12月预算执行总体进度为 100 %，其中：预算结余率大于10%的项目共计 0 个。</w:t>
      </w:r>
    </w:p>
    <w:p>
      <w:pPr>
        <w:spacing w:line="550" w:lineRule="exact"/>
        <w:ind w:firstLine="643" w:firstLineChars="200"/>
        <w:rPr>
          <w:rFonts w:hint="default" w:ascii="Times New Roman" w:hAnsi="Times New Roman" w:cs="Times New Roman"/>
          <w:sz w:val="32"/>
          <w:szCs w:val="32"/>
        </w:rPr>
      </w:pPr>
      <w:r>
        <w:rPr>
          <w:rFonts w:hint="default" w:ascii="Times New Roman" w:hAnsi="Times New Roman" w:eastAsia="方正楷体_GBK" w:cs="Times New Roman"/>
          <w:b/>
          <w:sz w:val="32"/>
          <w:szCs w:val="32"/>
        </w:rPr>
        <w:t>（三）绩效结果应用情况。</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根据绩效目标，参照经费管理使用要求和相应项目实施方案要求进行收支管理，做到专款专用，投入到位，发挥效益。</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黑体_GBK" w:cs="Times New Roman"/>
          <w:sz w:val="32"/>
          <w:szCs w:val="32"/>
        </w:rPr>
        <w:t>四、</w:t>
      </w:r>
      <w:r>
        <w:rPr>
          <w:rFonts w:hint="default" w:ascii="Times New Roman" w:hAnsi="Times New Roman" w:eastAsia="仿宋_GB2312" w:cs="Times New Roman"/>
          <w:sz w:val="32"/>
          <w:szCs w:val="32"/>
        </w:rPr>
        <w:t>评价结论及建议</w:t>
      </w:r>
    </w:p>
    <w:p>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（一）评价结论。</w:t>
      </w: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我单位根据盐边县财政局《关于开展2024年度预算绩效自评工作的通知》（盐边财绩【2025】2号文件精神，围绕预算编制、预算执行、支出绩效三个方面对2023年度预算绩效进行了认真自评，完成较好，自评得分95分。</w:t>
      </w:r>
    </w:p>
    <w:p>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（二）存在问题。</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项目的经济社会效益指标、可持续影响力指标难以量化评估。</w:t>
      </w:r>
    </w:p>
    <w:p>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（三）改进建议。</w:t>
      </w:r>
    </w:p>
    <w:p>
      <w:pPr>
        <w:spacing w:line="550" w:lineRule="exact"/>
        <w:ind w:firstLine="420" w:firstLineChars="200"/>
        <w:rPr>
          <w:rFonts w:hint="default" w:ascii="Times New Roman" w:hAnsi="Times New Roman" w:eastAsia="仿宋_GB2312" w:cs="Times New Roman"/>
          <w:kern w:val="0"/>
          <w:sz w:val="32"/>
          <w:szCs w:val="32"/>
        </w:rPr>
      </w:pPr>
      <w:r>
        <w:rPr>
          <w:rFonts w:hint="default" w:ascii="Times New Roman" w:hAnsi="Times New Roman" w:cs="Times New Roman"/>
        </w:rPr>
        <w:t xml:space="preserve">    </w:t>
      </w:r>
      <w:r>
        <w:rPr>
          <w:rFonts w:hint="default" w:ascii="Times New Roman" w:hAnsi="Times New Roman" w:eastAsia="仿宋_GB2312" w:cs="Times New Roman"/>
          <w:kern w:val="0"/>
          <w:sz w:val="32"/>
          <w:szCs w:val="32"/>
        </w:rPr>
        <w:t>无</w:t>
      </w:r>
    </w:p>
    <w:p>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widowControl/>
        <w:jc w:val="center"/>
        <w:rPr>
          <w:rFonts w:hint="default" w:ascii="Times New Roman" w:hAnsi="Times New Roman" w:eastAsia="仿宋" w:cs="Times New Roman"/>
        </w:rPr>
      </w:pPr>
      <w:bookmarkStart w:id="49" w:name="_Toc15396618"/>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15"/>
      <w:bookmarkEnd w:id="49"/>
      <w:bookmarkStart w:id="50" w:name="_Toc15396619"/>
    </w:p>
    <w:p>
      <w:pPr>
        <w:pStyle w:val="15"/>
        <w:adjustRightInd w:val="0"/>
        <w:snapToGrid w:val="0"/>
        <w:spacing w:line="560" w:lineRule="exact"/>
        <w:jc w:val="left"/>
        <w:rPr>
          <w:rFonts w:hint="default" w:ascii="Times New Roman" w:hAnsi="Times New Roman" w:eastAsia="仿宋_GB2312" w:cs="Times New Roman"/>
          <w:sz w:val="32"/>
          <w:szCs w:val="32"/>
        </w:rPr>
      </w:pPr>
    </w:p>
    <w:p>
      <w:pPr>
        <w:pStyle w:val="15"/>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0"/>
    </w:p>
    <w:p>
      <w:pPr>
        <w:pStyle w:val="15"/>
        <w:adjustRightInd w:val="0"/>
        <w:snapToGrid w:val="0"/>
        <w:spacing w:line="560" w:lineRule="exact"/>
        <w:jc w:val="left"/>
        <w:rPr>
          <w:rFonts w:hint="default" w:ascii="Times New Roman" w:hAnsi="Times New Roman" w:eastAsia="仿宋_GB2312" w:cs="Times New Roman"/>
          <w:sz w:val="32"/>
          <w:szCs w:val="32"/>
        </w:rPr>
      </w:pPr>
      <w:bookmarkStart w:id="51" w:name="_Toc15396620"/>
      <w:r>
        <w:rPr>
          <w:rFonts w:hint="default" w:ascii="Times New Roman" w:hAnsi="Times New Roman" w:eastAsia="仿宋_GB2312" w:cs="Times New Roman"/>
          <w:sz w:val="32"/>
          <w:szCs w:val="32"/>
        </w:rPr>
        <w:t>二、收入决算表</w:t>
      </w:r>
      <w:bookmarkEnd w:id="51"/>
    </w:p>
    <w:p>
      <w:pPr>
        <w:pStyle w:val="15"/>
        <w:adjustRightInd w:val="0"/>
        <w:snapToGrid w:val="0"/>
        <w:spacing w:line="560" w:lineRule="exact"/>
        <w:jc w:val="left"/>
        <w:rPr>
          <w:rFonts w:hint="default" w:ascii="Times New Roman" w:hAnsi="Times New Roman" w:eastAsia="仿宋_GB2312" w:cs="Times New Roman"/>
          <w:sz w:val="32"/>
          <w:szCs w:val="32"/>
        </w:rPr>
      </w:pPr>
      <w:bookmarkStart w:id="52" w:name="_Toc15396621"/>
      <w:r>
        <w:rPr>
          <w:rFonts w:hint="default" w:ascii="Times New Roman" w:hAnsi="Times New Roman" w:eastAsia="仿宋_GB2312" w:cs="Times New Roman"/>
          <w:sz w:val="32"/>
          <w:szCs w:val="32"/>
        </w:rPr>
        <w:t>三、支出决算表</w:t>
      </w:r>
      <w:bookmarkEnd w:id="52"/>
    </w:p>
    <w:p>
      <w:pPr>
        <w:pStyle w:val="15"/>
        <w:adjustRightInd w:val="0"/>
        <w:snapToGrid w:val="0"/>
        <w:spacing w:line="560" w:lineRule="exact"/>
        <w:jc w:val="left"/>
        <w:rPr>
          <w:rFonts w:hint="default" w:ascii="Times New Roman" w:hAnsi="Times New Roman" w:eastAsia="仿宋_GB2312" w:cs="Times New Roman"/>
          <w:sz w:val="32"/>
          <w:szCs w:val="32"/>
        </w:rPr>
      </w:pPr>
      <w:bookmarkStart w:id="53" w:name="_Toc15396622"/>
      <w:r>
        <w:rPr>
          <w:rFonts w:hint="default" w:ascii="Times New Roman" w:hAnsi="Times New Roman" w:eastAsia="仿宋_GB2312" w:cs="Times New Roman"/>
          <w:sz w:val="32"/>
          <w:szCs w:val="32"/>
        </w:rPr>
        <w:t>四、财政拨款收入支出决算总表</w:t>
      </w:r>
      <w:bookmarkEnd w:id="53"/>
    </w:p>
    <w:p>
      <w:pPr>
        <w:pStyle w:val="15"/>
        <w:adjustRightInd w:val="0"/>
        <w:snapToGrid w:val="0"/>
        <w:spacing w:line="560" w:lineRule="exact"/>
        <w:jc w:val="left"/>
        <w:rPr>
          <w:rFonts w:hint="default" w:ascii="Times New Roman" w:hAnsi="Times New Roman" w:eastAsia="仿宋_GB2312" w:cs="Times New Roman"/>
          <w:sz w:val="32"/>
          <w:szCs w:val="32"/>
        </w:rPr>
      </w:pPr>
      <w:bookmarkStart w:id="54" w:name="_Toc15396623"/>
      <w:r>
        <w:rPr>
          <w:rFonts w:hint="default" w:ascii="Times New Roman" w:hAnsi="Times New Roman" w:eastAsia="仿宋_GB2312" w:cs="Times New Roman"/>
          <w:sz w:val="32"/>
          <w:szCs w:val="32"/>
        </w:rPr>
        <w:t>五、财政拨款支出决算明细表</w:t>
      </w:r>
      <w:bookmarkEnd w:id="54"/>
      <w:bookmarkStart w:id="55" w:name="_Toc15396624"/>
    </w:p>
    <w:p>
      <w:pPr>
        <w:pStyle w:val="15"/>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55"/>
    </w:p>
    <w:p>
      <w:pPr>
        <w:pStyle w:val="15"/>
        <w:adjustRightInd w:val="0"/>
        <w:snapToGrid w:val="0"/>
        <w:spacing w:line="560" w:lineRule="exact"/>
        <w:jc w:val="left"/>
        <w:rPr>
          <w:rFonts w:hint="default" w:ascii="Times New Roman" w:hAnsi="Times New Roman" w:eastAsia="仿宋_GB2312" w:cs="Times New Roman"/>
          <w:sz w:val="32"/>
          <w:szCs w:val="32"/>
        </w:rPr>
      </w:pPr>
      <w:bookmarkStart w:id="56" w:name="_Toc15396625"/>
      <w:r>
        <w:rPr>
          <w:rFonts w:hint="default" w:ascii="Times New Roman" w:hAnsi="Times New Roman" w:eastAsia="仿宋_GB2312" w:cs="Times New Roman"/>
          <w:sz w:val="32"/>
          <w:szCs w:val="32"/>
        </w:rPr>
        <w:t>七、一般公共预算财政拨款支出决算明细表</w:t>
      </w:r>
      <w:bookmarkEnd w:id="56"/>
    </w:p>
    <w:p>
      <w:pPr>
        <w:pStyle w:val="15"/>
        <w:adjustRightInd w:val="0"/>
        <w:snapToGrid w:val="0"/>
        <w:spacing w:line="560" w:lineRule="exact"/>
        <w:jc w:val="left"/>
        <w:rPr>
          <w:rFonts w:hint="default" w:ascii="Times New Roman" w:hAnsi="Times New Roman" w:eastAsia="仿宋_GB2312" w:cs="Times New Roman"/>
          <w:sz w:val="32"/>
          <w:szCs w:val="32"/>
        </w:rPr>
      </w:pPr>
      <w:bookmarkStart w:id="57" w:name="_Toc15396626"/>
      <w:r>
        <w:rPr>
          <w:rFonts w:hint="default" w:ascii="Times New Roman" w:hAnsi="Times New Roman" w:eastAsia="仿宋_GB2312" w:cs="Times New Roman"/>
          <w:sz w:val="32"/>
          <w:szCs w:val="32"/>
        </w:rPr>
        <w:t>八、一般公共预算财政拨款基本支出决算表</w:t>
      </w:r>
      <w:bookmarkEnd w:id="57"/>
    </w:p>
    <w:p>
      <w:pPr>
        <w:pStyle w:val="15"/>
        <w:adjustRightInd w:val="0"/>
        <w:snapToGrid w:val="0"/>
        <w:spacing w:line="560" w:lineRule="exact"/>
        <w:jc w:val="left"/>
        <w:rPr>
          <w:rFonts w:hint="default" w:ascii="Times New Roman" w:hAnsi="Times New Roman" w:eastAsia="仿宋_GB2312" w:cs="Times New Roman"/>
          <w:sz w:val="32"/>
          <w:szCs w:val="32"/>
        </w:rPr>
      </w:pPr>
      <w:bookmarkStart w:id="58" w:name="_Toc15396627"/>
      <w:r>
        <w:rPr>
          <w:rFonts w:hint="default" w:ascii="Times New Roman" w:hAnsi="Times New Roman" w:eastAsia="仿宋_GB2312" w:cs="Times New Roman"/>
          <w:sz w:val="32"/>
          <w:szCs w:val="32"/>
        </w:rPr>
        <w:t>九、一般公共预算财政拨款项目支出决算表</w:t>
      </w:r>
      <w:bookmarkEnd w:id="58"/>
    </w:p>
    <w:p>
      <w:pPr>
        <w:pStyle w:val="15"/>
        <w:adjustRightInd w:val="0"/>
        <w:snapToGrid w:val="0"/>
        <w:spacing w:line="560" w:lineRule="exact"/>
        <w:jc w:val="left"/>
        <w:rPr>
          <w:rFonts w:hint="default" w:ascii="Times New Roman" w:hAnsi="Times New Roman" w:eastAsia="仿宋_GB2312" w:cs="Times New Roman"/>
          <w:sz w:val="32"/>
          <w:szCs w:val="32"/>
        </w:rPr>
      </w:pPr>
      <w:bookmarkStart w:id="59" w:name="_Toc15396628"/>
      <w:r>
        <w:rPr>
          <w:rFonts w:hint="default" w:ascii="Times New Roman" w:hAnsi="Times New Roman" w:eastAsia="仿宋_GB2312" w:cs="Times New Roman"/>
          <w:sz w:val="32"/>
          <w:szCs w:val="32"/>
        </w:rPr>
        <w:t>十、</w:t>
      </w:r>
      <w:bookmarkEnd w:id="59"/>
      <w:r>
        <w:rPr>
          <w:rFonts w:hint="default" w:ascii="Times New Roman" w:hAnsi="Times New Roman" w:eastAsia="仿宋_GB2312" w:cs="Times New Roman"/>
          <w:sz w:val="32"/>
          <w:szCs w:val="32"/>
        </w:rPr>
        <w:t>政府性基金预算财政拨款收入支出决算表</w:t>
      </w:r>
    </w:p>
    <w:p>
      <w:pPr>
        <w:pStyle w:val="15"/>
        <w:adjustRightInd w:val="0"/>
        <w:snapToGrid w:val="0"/>
        <w:spacing w:line="560" w:lineRule="exact"/>
        <w:jc w:val="left"/>
        <w:rPr>
          <w:rFonts w:hint="default" w:ascii="Times New Roman" w:hAnsi="Times New Roman" w:eastAsia="仿宋_GB2312" w:cs="Times New Roman"/>
          <w:sz w:val="32"/>
          <w:szCs w:val="32"/>
        </w:rPr>
      </w:pPr>
      <w:bookmarkStart w:id="60" w:name="_Toc15396629"/>
      <w:r>
        <w:rPr>
          <w:rFonts w:hint="default" w:ascii="Times New Roman" w:hAnsi="Times New Roman" w:eastAsia="仿宋_GB2312" w:cs="Times New Roman"/>
          <w:sz w:val="32"/>
          <w:szCs w:val="32"/>
        </w:rPr>
        <w:t>十一、</w:t>
      </w:r>
      <w:bookmarkEnd w:id="60"/>
      <w:r>
        <w:rPr>
          <w:rFonts w:hint="default" w:ascii="Times New Roman" w:hAnsi="Times New Roman" w:eastAsia="仿宋_GB2312" w:cs="Times New Roman"/>
          <w:sz w:val="32"/>
          <w:szCs w:val="32"/>
        </w:rPr>
        <w:t>国有资本经营预算财政拨款收入支出决算表</w:t>
      </w:r>
    </w:p>
    <w:p>
      <w:pPr>
        <w:pStyle w:val="15"/>
        <w:adjustRightInd w:val="0"/>
        <w:snapToGrid w:val="0"/>
        <w:spacing w:line="560" w:lineRule="exact"/>
        <w:jc w:val="left"/>
        <w:rPr>
          <w:rFonts w:hint="default" w:ascii="Times New Roman" w:hAnsi="Times New Roman" w:eastAsia="仿宋_GB2312" w:cs="Times New Roman"/>
          <w:sz w:val="32"/>
          <w:szCs w:val="32"/>
        </w:rPr>
      </w:pPr>
      <w:bookmarkStart w:id="61" w:name="_Toc15396630"/>
      <w:r>
        <w:rPr>
          <w:rFonts w:hint="default" w:ascii="Times New Roman" w:hAnsi="Times New Roman" w:eastAsia="仿宋_GB2312" w:cs="Times New Roman"/>
          <w:sz w:val="32"/>
          <w:szCs w:val="32"/>
        </w:rPr>
        <w:t>十二、</w:t>
      </w:r>
      <w:bookmarkEnd w:id="61"/>
      <w:r>
        <w:rPr>
          <w:rFonts w:hint="default" w:ascii="Times New Roman" w:hAnsi="Times New Roman" w:eastAsia="仿宋_GB2312" w:cs="Times New Roman"/>
          <w:sz w:val="32"/>
          <w:szCs w:val="32"/>
        </w:rPr>
        <w:t>国有资本经营预算财政拨款支出决算表</w:t>
      </w:r>
    </w:p>
    <w:p>
      <w:pPr>
        <w:pStyle w:val="15"/>
        <w:adjustRightInd w:val="0"/>
        <w:snapToGrid w:val="0"/>
        <w:spacing w:line="560" w:lineRule="exact"/>
        <w:jc w:val="left"/>
        <w:rPr>
          <w:rFonts w:hint="default" w:ascii="Times New Roman" w:hAnsi="Times New Roman" w:eastAsia="仿宋_GB2312" w:cs="Times New Roman"/>
          <w:sz w:val="32"/>
          <w:szCs w:val="32"/>
        </w:rPr>
      </w:pPr>
      <w:bookmarkStart w:id="62" w:name="_Toc15396631"/>
      <w:r>
        <w:rPr>
          <w:rFonts w:hint="default" w:ascii="Times New Roman" w:hAnsi="Times New Roman" w:eastAsia="仿宋_GB2312" w:cs="Times New Roman"/>
          <w:sz w:val="32"/>
          <w:szCs w:val="32"/>
        </w:rPr>
        <w:t>十三、</w:t>
      </w:r>
      <w:bookmarkEnd w:id="62"/>
      <w:r>
        <w:rPr>
          <w:rFonts w:hint="default" w:ascii="Times New Roman" w:hAnsi="Times New Roman" w:eastAsia="仿宋_GB2312" w:cs="Times New Roman"/>
          <w:sz w:val="32"/>
          <w:szCs w:val="32"/>
        </w:rPr>
        <w:t>财政拨款“三公”经费支出决算表</w:t>
      </w:r>
    </w:p>
    <w:p>
      <w:pPr>
        <w:rPr>
          <w:rFonts w:hint="default" w:ascii="Times New Roman" w:hAnsi="Times New Roman" w:cs="Times New Roman"/>
        </w:rPr>
      </w:pPr>
    </w:p>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0394"/>
      <w:docPartObj>
        <w:docPartGallery w:val="autotext"/>
      </w:docPartObj>
    </w:sdtPr>
    <w:sdtContent>
      <w:p>
        <w:pPr>
          <w:pStyle w:val="11"/>
          <w:jc w:val="right"/>
        </w:pPr>
        <w:r>
          <w:fldChar w:fldCharType="begin"/>
        </w:r>
        <w:r>
          <w:instrText xml:space="preserve"> PAGE   \* MERGEFORMAT </w:instrText>
        </w:r>
        <w:r>
          <w:fldChar w:fldCharType="separate"/>
        </w:r>
        <w:r>
          <w:rPr>
            <w:lang w:val="zh-CN"/>
          </w:rPr>
          <w:t>-</w:t>
        </w:r>
        <w:r>
          <w:t xml:space="preserve"> 9 -</w:t>
        </w:r>
        <w:r>
          <w:fldChar w:fldCharType="end"/>
        </w: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0395"/>
      <w:docPartObj>
        <w:docPartGallery w:val="autotext"/>
      </w:docPartObj>
    </w:sdtPr>
    <w:sdtContent>
      <w:p>
        <w:pPr>
          <w:pStyle w:val="11"/>
          <w:jc w:val="right"/>
        </w:pPr>
        <w:r>
          <w:fldChar w:fldCharType="begin"/>
        </w:r>
        <w:r>
          <w:instrText xml:space="preserve"> PAGE   \* MERGEFORMAT </w:instrText>
        </w:r>
        <w:r>
          <w:fldChar w:fldCharType="separate"/>
        </w:r>
        <w:r>
          <w:rPr>
            <w:lang w:val="zh-CN"/>
          </w:rPr>
          <w:t>-</w:t>
        </w:r>
        <w:r>
          <w:t xml:space="preserve"> 1 -</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0813"/>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26AA"/>
    <w:rsid w:val="001F7506"/>
    <w:rsid w:val="002006CD"/>
    <w:rsid w:val="00202B36"/>
    <w:rsid w:val="00204B7A"/>
    <w:rsid w:val="00204CDE"/>
    <w:rsid w:val="0021101A"/>
    <w:rsid w:val="00220536"/>
    <w:rsid w:val="00235629"/>
    <w:rsid w:val="00260C38"/>
    <w:rsid w:val="002616C0"/>
    <w:rsid w:val="00265372"/>
    <w:rsid w:val="002662AA"/>
    <w:rsid w:val="00280496"/>
    <w:rsid w:val="002947AC"/>
    <w:rsid w:val="00294DC9"/>
    <w:rsid w:val="00295495"/>
    <w:rsid w:val="002A1F46"/>
    <w:rsid w:val="002A31DE"/>
    <w:rsid w:val="002B2613"/>
    <w:rsid w:val="002D6D05"/>
    <w:rsid w:val="002F1818"/>
    <w:rsid w:val="002F1AEF"/>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604F"/>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15294"/>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281E"/>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5C12"/>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F5661B"/>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normal"/>
    <w:basedOn w:val="1"/>
    <w:semiHidden/>
    <w:qFormat/>
    <w:uiPriority w:val="99"/>
    <w:pPr>
      <w:spacing w:before="100" w:beforeAutospacing="1" w:after="100" w:afterAutospacing="1"/>
    </w:pPr>
    <w:rPr>
      <w:rFonts w:ascii="Calibri" w:hAnsi="Calibri"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收入、支出决算总计变动情况</a:t>
            </a:r>
            <a:endParaRPr lang="zh-CN" altLang="en-US"/>
          </a:p>
        </c:rich>
      </c:tx>
      <c:layout>
        <c:manualLayout>
          <c:xMode val="edge"/>
          <c:yMode val="edge"/>
          <c:x val="0.275216243593654"/>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49"/>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0</c:v>
                </c:pt>
                <c:pt idx="1">
                  <c:v>108.55</c:v>
                </c:pt>
              </c:numCache>
            </c:numRef>
          </c:val>
        </c:ser>
        <c:dLbls>
          <c:showLegendKey val="0"/>
          <c:showVal val="1"/>
          <c:showCatName val="0"/>
          <c:showSerName val="0"/>
          <c:showPercent val="0"/>
          <c:showBubbleSize val="0"/>
        </c:dLbls>
        <c:gapWidth val="150"/>
        <c:axId val="167125376"/>
        <c:axId val="167126912"/>
      </c:barChart>
      <c:catAx>
        <c:axId val="16712537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7126912"/>
        <c:crosses val="autoZero"/>
        <c:auto val="1"/>
        <c:lblAlgn val="ctr"/>
        <c:lblOffset val="100"/>
        <c:tickLblSkip val="1"/>
        <c:noMultiLvlLbl val="0"/>
      </c:catAx>
      <c:valAx>
        <c:axId val="16712691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7125376"/>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23179204"/>
          <c:y val="0.508557970595974"/>
          <c:w val="0.195965611902529"/>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收入决算结构图</a:t>
            </a:r>
            <a:endParaRPr lang="zh-CN" altLang="en-US"/>
          </a:p>
        </c:rich>
      </c:tx>
      <c:layout>
        <c:manualLayout>
          <c:xMode val="edge"/>
          <c:yMode val="edge"/>
          <c:x val="0.33760726717671"/>
          <c:y val="0.033240997229917"/>
        </c:manualLayout>
      </c:layout>
      <c:overlay val="0"/>
      <c:spPr>
        <a:noFill/>
        <a:ln w="25400">
          <a:noFill/>
        </a:ln>
      </c:spPr>
    </c:title>
    <c:autoTitleDeleted val="0"/>
    <c:plotArea>
      <c:layout>
        <c:manualLayout>
          <c:layoutTarget val="inner"/>
          <c:xMode val="edge"/>
          <c:yMode val="edge"/>
          <c:x val="0.209402000703905"/>
          <c:y val="0.329640335061482"/>
          <c:w val="0.245014585857631"/>
          <c:h val="0.476454938072058"/>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108.55</c:v>
                </c:pt>
                <c:pt idx="1">
                  <c:v>0</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8120585990582"/>
          <c:y val="0.243767603841764"/>
          <c:w val="0.33048483833138"/>
          <c:h val="0.650970401552992"/>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支出决算结构图</a:t>
            </a:r>
            <a:endParaRPr lang="zh-CN" altLang="en-US"/>
          </a:p>
        </c:rich>
      </c:tx>
      <c:layout>
        <c:manualLayout>
          <c:xMode val="edge"/>
          <c:yMode val="edge"/>
          <c:x val="0.355648974840489"/>
          <c:y val="0.033240997229917"/>
        </c:manualLayout>
      </c:layout>
      <c:overlay val="0"/>
      <c:spPr>
        <a:noFill/>
        <a:ln w="25400">
          <a:noFill/>
        </a:ln>
      </c:spPr>
    </c:title>
    <c:autoTitleDeleted val="0"/>
    <c:plotArea>
      <c:layout>
        <c:manualLayout>
          <c:layoutTarget val="inner"/>
          <c:xMode val="edge"/>
          <c:yMode val="edge"/>
          <c:x val="0.262203983345296"/>
          <c:y val="0.335180508759995"/>
          <c:w val="0.232915240524812"/>
          <c:h val="0.462604503825777"/>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Sheet1!$B$34:$B$38</c:f>
              <c:strCache>
                <c:ptCount val="5"/>
                <c:pt idx="0">
                  <c:v>基本支出</c:v>
                </c:pt>
                <c:pt idx="1">
                  <c:v>项目支出</c:v>
                </c:pt>
                <c:pt idx="2">
                  <c:v>上缴上级支出</c:v>
                </c:pt>
                <c:pt idx="3">
                  <c:v>经营支出</c:v>
                </c:pt>
                <c:pt idx="4">
                  <c:v>对附属单位补助支出</c:v>
                </c:pt>
              </c:strCache>
            </c:strRef>
          </c:cat>
          <c:val>
            <c:numRef>
              <c:f>Sheet1!$C$34:$C$38</c:f>
              <c:numCache>
                <c:formatCode>General</c:formatCode>
                <c:ptCount val="5"/>
                <c:pt idx="0">
                  <c:v>102.7</c:v>
                </c:pt>
                <c:pt idx="1">
                  <c:v>5.85</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elete val="1"/>
          </c:dLbls>
          <c:cat>
            <c:strRef>
              <c:f>Sheet1!$B$34:$B$38</c:f>
              <c:strCache>
                <c:ptCount val="5"/>
                <c:pt idx="0">
                  <c:v>基本支出</c:v>
                </c:pt>
                <c:pt idx="1">
                  <c:v>项目支出</c:v>
                </c:pt>
                <c:pt idx="2">
                  <c:v>上缴上级支出</c:v>
                </c:pt>
                <c:pt idx="3">
                  <c:v>经营支出</c:v>
                </c:pt>
                <c:pt idx="4">
                  <c:v>对附属单位补助支出</c:v>
                </c:pt>
              </c:strCache>
            </c:strRef>
          </c:cat>
          <c:val>
            <c:numRef>
              <c:f>Sheet1!$D$34:$D$38</c:f>
              <c:numCache>
                <c:formatCode>0.00%</c:formatCode>
                <c:ptCount val="5"/>
                <c:pt idx="0">
                  <c:v>0.9461</c:v>
                </c:pt>
                <c:pt idx="1">
                  <c:v>0.0539</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4533800429758"/>
          <c:y val="0.421053213223693"/>
          <c:w val="0.234309916281385"/>
          <c:h val="0.29362909968663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收入、支出决算总计变动情况</a:t>
            </a:r>
            <a:endParaRPr lang="zh-CN" altLang="en-US"/>
          </a:p>
        </c:rich>
      </c:tx>
      <c:layout>
        <c:manualLayout>
          <c:xMode val="edge"/>
          <c:yMode val="edge"/>
          <c:x val="0.275216243593654"/>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49"/>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0</c:v>
                </c:pt>
                <c:pt idx="1">
                  <c:v>108.55</c:v>
                </c:pt>
              </c:numCache>
            </c:numRef>
          </c:val>
        </c:ser>
        <c:dLbls>
          <c:showLegendKey val="0"/>
          <c:showVal val="1"/>
          <c:showCatName val="0"/>
          <c:showSerName val="0"/>
          <c:showPercent val="0"/>
          <c:showBubbleSize val="0"/>
        </c:dLbls>
        <c:gapWidth val="150"/>
        <c:axId val="167234560"/>
        <c:axId val="168231680"/>
      </c:barChart>
      <c:catAx>
        <c:axId val="16723456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8231680"/>
        <c:crosses val="autoZero"/>
        <c:auto val="1"/>
        <c:lblAlgn val="ctr"/>
        <c:lblOffset val="100"/>
        <c:tickLblSkip val="1"/>
        <c:noMultiLvlLbl val="0"/>
      </c:catAx>
      <c:valAx>
        <c:axId val="16823168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7234560"/>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23179204"/>
          <c:y val="0.508557970595974"/>
          <c:w val="0.195965611902529"/>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5      </a:t>
            </a:r>
            <a:r>
              <a:rPr lang="zh-CN" altLang="en-US" sz="1400" b="0" i="0" u="none" strike="noStrike" baseline="0">
                <a:solidFill>
                  <a:srgbClr val="000000"/>
                </a:solidFill>
                <a:latin typeface="宋体" panose="02010600030101010101" charset="-122"/>
                <a:ea typeface="宋体" panose="02010600030101010101" charset="-122"/>
              </a:rPr>
              <a:t>一般公共预算财政拨款支出决算变动情况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18587903915167"/>
          <c:y val="0.033240997229917"/>
        </c:manualLayout>
      </c:layout>
      <c:overlay val="0"/>
      <c:spPr>
        <a:noFill/>
        <a:ln w="25400">
          <a:noFill/>
        </a:ln>
      </c:spPr>
    </c:title>
    <c:autoTitleDeleted val="0"/>
    <c:plotArea>
      <c:layout>
        <c:manualLayout>
          <c:layoutTarget val="inner"/>
          <c:xMode val="edge"/>
          <c:yMode val="edge"/>
          <c:x val="0.0763689298119836"/>
          <c:y val="0.202216339995699"/>
          <c:w val="0.585014820823873"/>
          <c:h val="0.667590930670733"/>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0</c:v>
                </c:pt>
                <c:pt idx="1">
                  <c:v>108.55</c:v>
                </c:pt>
              </c:numCache>
            </c:numRef>
          </c:val>
        </c:ser>
        <c:dLbls>
          <c:showLegendKey val="0"/>
          <c:showVal val="1"/>
          <c:showCatName val="0"/>
          <c:showSerName val="0"/>
          <c:showPercent val="0"/>
          <c:showBubbleSize val="0"/>
        </c:dLbls>
        <c:gapWidth val="150"/>
        <c:axId val="168256256"/>
        <c:axId val="168257792"/>
      </c:barChart>
      <c:catAx>
        <c:axId val="16825625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8257792"/>
        <c:crosses val="autoZero"/>
        <c:auto val="1"/>
        <c:lblAlgn val="ctr"/>
        <c:lblOffset val="100"/>
        <c:tickLblSkip val="1"/>
        <c:noMultiLvlLbl val="0"/>
      </c:catAx>
      <c:valAx>
        <c:axId val="16825779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8256256"/>
        <c:crosses val="autoZero"/>
        <c:crossBetween val="between"/>
      </c:valAx>
      <c:spPr>
        <a:solidFill>
          <a:srgbClr val="C0C0C0"/>
        </a:solidFill>
        <a:ln w="12700">
          <a:solidFill>
            <a:srgbClr val="808080"/>
          </a:solidFill>
          <a:prstDash val="solid"/>
        </a:ln>
      </c:spPr>
    </c:plotArea>
    <c:legend>
      <c:legendPos val="r"/>
      <c:layout>
        <c:manualLayout>
          <c:xMode val="edge"/>
          <c:yMode val="edge"/>
          <c:x val="0.677233889522777"/>
          <c:y val="0.506925789400979"/>
          <c:w val="0.311239394932161"/>
          <c:h val="0.0609418282548476"/>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25" b="0" i="0" u="none" strike="noStrike" baseline="0">
                <a:solidFill>
                  <a:srgbClr val="000000"/>
                </a:solidFill>
                <a:latin typeface="宋体" panose="02010600030101010101" charset="-122"/>
                <a:ea typeface="宋体" panose="02010600030101010101" charset="-122"/>
              </a:rPr>
              <a:t>图</a:t>
            </a:r>
            <a:r>
              <a:rPr lang="en-US" altLang="zh-CN" sz="1425" b="0" i="0" u="none" strike="noStrike" baseline="0">
                <a:solidFill>
                  <a:srgbClr val="000000"/>
                </a:solidFill>
                <a:latin typeface="宋体" panose="02010600030101010101" charset="-122"/>
                <a:ea typeface="宋体" panose="02010600030101010101" charset="-122"/>
              </a:rPr>
              <a:t>6    </a:t>
            </a:r>
            <a:r>
              <a:rPr lang="zh-CN" altLang="en-US" sz="1425" b="0" i="0" u="none" strike="noStrike" baseline="0">
                <a:solidFill>
                  <a:srgbClr val="000000"/>
                </a:solidFill>
                <a:latin typeface="宋体" panose="02010600030101010101" charset="-122"/>
                <a:ea typeface="宋体" panose="02010600030101010101" charset="-122"/>
              </a:rPr>
              <a:t>一般公共预算财政拨款支出决算结构</a:t>
            </a:r>
            <a:endParaRPr lang="zh-CN" altLang="en-US" sz="1425"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35624129386061"/>
          <c:y val="0.0289855072463768"/>
        </c:manualLayout>
      </c:layout>
      <c:overlay val="0"/>
      <c:spPr>
        <a:noFill/>
        <a:ln w="25400">
          <a:noFill/>
        </a:ln>
      </c:spPr>
    </c:title>
    <c:autoTitleDeleted val="0"/>
    <c:plotArea>
      <c:layout>
        <c:manualLayout>
          <c:layoutTarget val="inner"/>
          <c:xMode val="edge"/>
          <c:yMode val="edge"/>
          <c:x val="0.255259467040673"/>
          <c:y val="0.372671560946317"/>
          <c:w val="0.246844319775596"/>
          <c:h val="0.364389970703067"/>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9999FF"/>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Sheet1!$A$110:$A$116</c:f>
              <c:strCache>
                <c:ptCount val="5"/>
                <c:pt idx="0">
                  <c:v>一般公共服务支出</c:v>
                </c:pt>
                <c:pt idx="1">
                  <c:v>卫生健康支出</c:v>
                </c:pt>
                <c:pt idx="2">
                  <c:v>社会保障和就业支出</c:v>
                </c:pt>
                <c:pt idx="4">
                  <c:v>住房保障支出</c:v>
                </c:pt>
              </c:strCache>
            </c:strRef>
          </c:cat>
          <c:val>
            <c:numRef>
              <c:f>Sheet1!$B$110:$B$116</c:f>
              <c:numCache>
                <c:formatCode>General</c:formatCode>
                <c:ptCount val="7"/>
                <c:pt idx="0">
                  <c:v>84.35</c:v>
                </c:pt>
                <c:pt idx="1">
                  <c:v>6.12</c:v>
                </c:pt>
                <c:pt idx="2">
                  <c:v>9.66</c:v>
                </c:pt>
                <c:pt idx="3">
                  <c:v>0</c:v>
                </c:pt>
                <c:pt idx="4">
                  <c:v>8.42</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Sheet1!$A$111:$A$116</c:f>
              <c:strCache>
                <c:ptCount val="5"/>
                <c:pt idx="0">
                  <c:v>一般公共服务支出</c:v>
                </c:pt>
                <c:pt idx="1">
                  <c:v>卫生健康支出</c:v>
                </c:pt>
                <c:pt idx="2">
                  <c:v>社会保障和就业支出</c:v>
                </c:pt>
                <c:pt idx="4">
                  <c:v>住房保障支出</c:v>
                </c:pt>
              </c:strCache>
            </c:strRef>
          </c:cat>
          <c:val>
            <c:numRef>
              <c:f>Sheet1!$C$111:$C$116</c:f>
              <c:numCache>
                <c:formatCode>0.00%</c:formatCode>
                <c:ptCount val="6"/>
                <c:pt idx="0">
                  <c:v>0.0564</c:v>
                </c:pt>
                <c:pt idx="1">
                  <c:v>0.0890000000000001</c:v>
                </c:pt>
                <c:pt idx="2">
                  <c:v>0</c:v>
                </c:pt>
                <c:pt idx="3">
                  <c:v>0.0776</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3155618117569"/>
          <c:y val="0.424431511278482"/>
          <c:w val="0.235624129386061"/>
          <c:h val="0.262940393320401"/>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7574</Words>
  <Characters>8130</Characters>
  <Lines>60</Lines>
  <Paragraphs>16</Paragraphs>
  <TotalTime>36</TotalTime>
  <ScaleCrop>false</ScaleCrop>
  <LinksUpToDate>false</LinksUpToDate>
  <CharactersWithSpaces>8179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2025-11-14T10:52:04Z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04787F2533EB45DC91BCDE4AB213247F</vt:lpwstr>
  </property>
  <property fmtid="{D5CDD505-2E9C-101B-9397-08002B2CF9AE}" pid="4" name="KSOTemplateDocerSaveRecord">
    <vt:lpwstr>eyJoZGlkIjoiYWUwMjNjMGMwYmExYTdmY2I5ZDg5ZmJlMTFhNGViNGQifQ==</vt:lpwstr>
  </property>
</Properties>
</file>