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E5F6B">
      <w:pPr>
        <w:pStyle w:val="2"/>
        <w:spacing w:before="93"/>
        <w:jc w:val="center"/>
        <w:rPr>
          <w:rFonts w:hint="default" w:ascii="Times New Roman" w:hAnsi="Times New Roman" w:eastAsia="方正小标宋简体" w:cs="Times New Roman"/>
          <w:kern w:val="2"/>
          <w:sz w:val="44"/>
          <w:szCs w:val="44"/>
        </w:rPr>
      </w:pPr>
    </w:p>
    <w:p w14:paraId="6FF01D02">
      <w:pPr>
        <w:pStyle w:val="2"/>
        <w:spacing w:before="93"/>
        <w:jc w:val="center"/>
        <w:rPr>
          <w:rFonts w:hint="default" w:ascii="Times New Roman" w:hAnsi="Times New Roman" w:eastAsia="方正小标宋简体" w:cs="Times New Roman"/>
          <w:kern w:val="2"/>
          <w:sz w:val="72"/>
          <w:szCs w:val="72"/>
        </w:rPr>
      </w:pPr>
    </w:p>
    <w:p w14:paraId="5A6F69CF">
      <w:pPr>
        <w:pStyle w:val="2"/>
        <w:spacing w:before="93"/>
        <w:jc w:val="center"/>
        <w:rPr>
          <w:rFonts w:hint="default" w:ascii="Times New Roman" w:hAnsi="Times New Roman" w:eastAsia="方正小标宋简体" w:cs="Times New Roman"/>
          <w:kern w:val="2"/>
          <w:sz w:val="72"/>
          <w:szCs w:val="72"/>
        </w:rPr>
      </w:pPr>
    </w:p>
    <w:p w14:paraId="68530FFE">
      <w:pPr>
        <w:pStyle w:val="2"/>
        <w:spacing w:before="93"/>
        <w:jc w:val="center"/>
        <w:rPr>
          <w:rFonts w:hint="default" w:ascii="Times New Roman" w:hAnsi="Times New Roman" w:eastAsia="方正小标宋简体" w:cs="Times New Roman"/>
          <w:kern w:val="2"/>
          <w:sz w:val="72"/>
          <w:szCs w:val="72"/>
        </w:rPr>
      </w:pPr>
    </w:p>
    <w:p w14:paraId="5E0959AA">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w:t>
      </w:r>
      <w:r>
        <w:rPr>
          <w:rFonts w:hint="eastAsia" w:ascii="Times New Roman" w:hAnsi="Times New Roman" w:eastAsia="方正小标宋简体" w:cs="Times New Roman"/>
          <w:kern w:val="2"/>
          <w:sz w:val="72"/>
          <w:szCs w:val="72"/>
          <w:lang w:val="en-US" w:eastAsia="zh-CN"/>
        </w:rPr>
        <w:t>4</w:t>
      </w:r>
      <w:r>
        <w:rPr>
          <w:rFonts w:hint="default" w:ascii="Times New Roman" w:hAnsi="Times New Roman" w:eastAsia="方正小标宋简体" w:cs="Times New Roman"/>
          <w:kern w:val="2"/>
          <w:sz w:val="72"/>
          <w:szCs w:val="72"/>
        </w:rPr>
        <w:t>年度</w:t>
      </w:r>
    </w:p>
    <w:p w14:paraId="2B5C08C8">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rPr>
        <w:t>盐边县</w:t>
      </w:r>
      <w:r>
        <w:rPr>
          <w:rFonts w:hint="eastAsia" w:ascii="Times New Roman" w:hAnsi="Times New Roman" w:eastAsia="方正小标宋简体" w:cs="Times New Roman"/>
          <w:kern w:val="2"/>
          <w:sz w:val="72"/>
          <w:szCs w:val="72"/>
          <w:lang w:val="en-US" w:eastAsia="zh-CN"/>
        </w:rPr>
        <w:t>红宝苗族彝族乡</w:t>
      </w:r>
    </w:p>
    <w:p w14:paraId="17065BB5">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lang w:val="en-US" w:eastAsia="zh-CN"/>
        </w:rPr>
        <w:t>人民政府</w:t>
      </w:r>
      <w:r>
        <w:rPr>
          <w:rFonts w:hint="default" w:ascii="Times New Roman" w:hAnsi="Times New Roman" w:eastAsia="方正小标宋简体" w:cs="Times New Roman"/>
          <w:kern w:val="2"/>
          <w:sz w:val="72"/>
          <w:szCs w:val="72"/>
        </w:rPr>
        <w:t>单位决算</w:t>
      </w:r>
    </w:p>
    <w:p w14:paraId="64B9200E">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公开编制说明</w:t>
      </w:r>
    </w:p>
    <w:p w14:paraId="57430E8D">
      <w:pPr>
        <w:spacing w:line="600" w:lineRule="exact"/>
        <w:jc w:val="center"/>
        <w:outlineLvl w:val="0"/>
        <w:rPr>
          <w:rFonts w:hint="default" w:ascii="Times New Roman" w:hAnsi="Times New Roman" w:eastAsia="方正小标宋简体" w:cs="Times New Roman"/>
          <w:sz w:val="72"/>
          <w:szCs w:val="72"/>
        </w:rPr>
      </w:pPr>
    </w:p>
    <w:p w14:paraId="2AEFD901">
      <w:pPr>
        <w:pStyle w:val="21"/>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4C92E823">
      <w:pPr>
        <w:rPr>
          <w:rFonts w:hint="default" w:ascii="Times New Roman" w:hAnsi="Times New Roman" w:cs="Times New Roman"/>
        </w:rPr>
      </w:pPr>
    </w:p>
    <w:sdt>
      <w:sdtPr>
        <w:rPr>
          <w:rFonts w:hint="eastAsia" w:ascii="Times New Roman" w:hAnsi="Times New Roman" w:eastAsia="黑体" w:cs="Times New Roman"/>
          <w:sz w:val="48"/>
          <w:szCs w:val="48"/>
          <w:lang w:val="en-US" w:eastAsia="zh-CN"/>
        </w:rPr>
        <w:id w:val="147479226"/>
        <w:docPartObj>
          <w:docPartGallery w:val="Table of Contents"/>
          <w:docPartUnique/>
        </w:docPartObj>
      </w:sdtPr>
      <w:sdtEndPr>
        <w:rPr>
          <w:rFonts w:hint="eastAsia" w:ascii="方正仿宋_GBK" w:hAnsi="方正仿宋_GBK" w:eastAsia="方正仿宋_GBK" w:cs="方正仿宋_GBK"/>
          <w:kern w:val="2"/>
          <w:sz w:val="24"/>
          <w:szCs w:val="24"/>
          <w:lang w:val="en-US" w:eastAsia="zh-CN" w:bidi="ar-SA"/>
        </w:rPr>
      </w:sdtEndPr>
      <w:sdtContent>
        <w:p w14:paraId="4EB1CF81">
          <w:pPr>
            <w:widowControl/>
            <w:jc w:val="center"/>
            <w:rPr>
              <w:rFonts w:hint="eastAsia" w:ascii="Times New Roman" w:hAnsi="Times New Roman" w:eastAsia="黑体" w:cs="Times New Roman"/>
              <w:sz w:val="48"/>
              <w:szCs w:val="48"/>
            </w:rPr>
          </w:pPr>
          <w:bookmarkStart w:id="0" w:name="_Toc16376_WPSOffice_Type2"/>
          <w:r>
            <w:rPr>
              <w:rFonts w:hint="eastAsia" w:ascii="Times New Roman" w:hAnsi="Times New Roman" w:eastAsia="黑体" w:cs="Times New Roman"/>
              <w:sz w:val="48"/>
              <w:szCs w:val="48"/>
            </w:rPr>
            <w:t>目录</w:t>
          </w:r>
        </w:p>
        <w:p w14:paraId="77503359">
          <w:pPr>
            <w:widowControl/>
            <w:jc w:val="center"/>
            <w:rPr>
              <w:rFonts w:hint="eastAsia" w:ascii="Times New Roman" w:hAnsi="Times New Roman" w:eastAsia="黑体" w:cstheme="minorBidi"/>
              <w:sz w:val="28"/>
              <w:szCs w:val="28"/>
            </w:rPr>
          </w:pPr>
        </w:p>
        <w:p w14:paraId="4E92689B">
          <w:pPr>
            <w:pStyle w:val="14"/>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日</w:t>
          </w:r>
        </w:p>
        <w:p w14:paraId="16F431BA">
          <w:pPr>
            <w:rPr>
              <w:rFonts w:hint="eastAsia"/>
            </w:rPr>
          </w:pPr>
        </w:p>
        <w:p w14:paraId="56C06FF7">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_Toc20825_WPSOffice_Level1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1827"/>
              <w:placeholder>
                <w:docPart w:val="{70ef65b1-90b1-4840-b90b-3d2a1dd029db}"/>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第一部分 单位概况</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b/>
              <w:bCs/>
              <w:sz w:val="28"/>
              <w:szCs w:val="28"/>
            </w:rPr>
            <w:fldChar w:fldCharType="end"/>
          </w:r>
        </w:p>
        <w:p w14:paraId="0F8B8030">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_Toc16376_WPSOffice_Level2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372"/>
              <w:placeholder>
                <w:docPart w:val="{5f639bb1-02eb-47bb-93de-6cbac8a0ece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一、主要职责</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p>
        <w:p w14:paraId="6E88F261">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_Toc31066_WPSOffice_Level2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878"/>
              <w:placeholder>
                <w:docPart w:val="{2871d88a-e227-40c1-b0ed-d869dee1ddc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二、机构设置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p>
        <w:p w14:paraId="3D25518D">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_Toc16376_WPSOffice_Level1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72294"/>
              <w:placeholder>
                <w:docPart w:val="{9359373c-8353-4646-a120-388132dfe0ad}"/>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第二部分 2024年度部门决算情况说明</w:t>
              </w:r>
            </w:sdtContent>
          </w:sdt>
          <w:r>
            <w:rPr>
              <w:rFonts w:hint="eastAsia" w:ascii="方正仿宋_GBK" w:hAnsi="方正仿宋_GBK" w:eastAsia="方正仿宋_GBK" w:cs="方正仿宋_GBK"/>
              <w:b w:val="0"/>
              <w:bCs w:val="0"/>
              <w:sz w:val="28"/>
              <w:szCs w:val="28"/>
            </w:rPr>
            <w:tab/>
          </w:r>
          <w:bookmarkStart w:id="1" w:name="_Toc16376_WPSOffice_Level1Page"/>
          <w:r>
            <w:rPr>
              <w:rFonts w:hint="eastAsia" w:ascii="方正仿宋_GBK" w:hAnsi="方正仿宋_GBK" w:eastAsia="方正仿宋_GBK" w:cs="方正仿宋_GBK"/>
              <w:sz w:val="24"/>
              <w:szCs w:val="24"/>
            </w:rPr>
            <w:t>5</w:t>
          </w:r>
          <w:bookmarkEnd w:id="1"/>
          <w:r>
            <w:rPr>
              <w:rFonts w:hint="eastAsia" w:ascii="方正仿宋_GBK" w:hAnsi="方正仿宋_GBK" w:eastAsia="方正仿宋_GBK" w:cs="方正仿宋_GBK"/>
              <w:b/>
              <w:bCs/>
              <w:sz w:val="28"/>
              <w:szCs w:val="28"/>
            </w:rPr>
            <w:fldChar w:fldCharType="end"/>
          </w:r>
        </w:p>
        <w:p w14:paraId="6B8399F0">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_Toc1780_WPSOffice_Level2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774"/>
              <w:placeholder>
                <w:docPart w:val="{9f1ab447-040d-4eb8-9a46-47157c4b61f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一、收入支出决算总体情况说明</w:t>
              </w:r>
            </w:sdtContent>
          </w:sdt>
          <w:r>
            <w:rPr>
              <w:rFonts w:hint="eastAsia" w:ascii="方正仿宋_GBK" w:hAnsi="方正仿宋_GBK" w:eastAsia="方正仿宋_GBK" w:cs="方正仿宋_GBK"/>
              <w:sz w:val="24"/>
              <w:szCs w:val="24"/>
            </w:rPr>
            <w:tab/>
          </w:r>
          <w:bookmarkStart w:id="2" w:name="_Toc1780_WPSOffice_Level2Page"/>
          <w:r>
            <w:rPr>
              <w:rFonts w:hint="eastAsia" w:ascii="方正仿宋_GBK" w:hAnsi="方正仿宋_GBK" w:eastAsia="方正仿宋_GBK" w:cs="方正仿宋_GBK"/>
              <w:sz w:val="24"/>
              <w:szCs w:val="24"/>
            </w:rPr>
            <w:t>5</w:t>
          </w:r>
          <w:bookmarkEnd w:id="2"/>
          <w:r>
            <w:rPr>
              <w:rFonts w:hint="eastAsia" w:ascii="方正仿宋_GBK" w:hAnsi="方正仿宋_GBK" w:eastAsia="方正仿宋_GBK" w:cs="方正仿宋_GBK"/>
              <w:sz w:val="24"/>
              <w:szCs w:val="24"/>
            </w:rPr>
            <w:fldChar w:fldCharType="end"/>
          </w:r>
        </w:p>
        <w:p w14:paraId="2A613BB5">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_Toc1780_WPSOffice_Level2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2137"/>
              <w:placeholder>
                <w:docPart w:val="{d88160e9-17b1-41c2-9291-0bf8d8bfb7f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kern w:val="2"/>
                  <w:sz w:val="24"/>
                  <w:szCs w:val="24"/>
                  <w:lang w:val="en-US" w:eastAsia="zh-CN" w:bidi="ar-SA"/>
                </w:rPr>
                <w:t>二</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收入</w:t>
              </w:r>
              <w:r>
                <w:rPr>
                  <w:rFonts w:hint="eastAsia" w:ascii="方正仿宋_GBK" w:hAnsi="方正仿宋_GBK" w:eastAsia="方正仿宋_GBK" w:cs="方正仿宋_GBK"/>
                  <w:sz w:val="24"/>
                  <w:szCs w:val="24"/>
                </w:rPr>
                <w:t>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fldChar w:fldCharType="end"/>
          </w:r>
        </w:p>
        <w:p w14:paraId="688B9BD2">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_Toc7188_WPSOffice_Level2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179"/>
              <w:placeholder>
                <w:docPart w:val="{d498b8b2-48bc-49f4-8a15-2649b66271a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三、支出决算情况说明</w:t>
              </w:r>
            </w:sdtContent>
          </w:sdt>
          <w:r>
            <w:rPr>
              <w:rFonts w:hint="eastAsia" w:ascii="方正仿宋_GBK" w:hAnsi="方正仿宋_GBK" w:eastAsia="方正仿宋_GBK" w:cs="方正仿宋_GBK"/>
              <w:sz w:val="24"/>
              <w:szCs w:val="24"/>
            </w:rPr>
            <w:tab/>
          </w:r>
          <w:bookmarkStart w:id="3" w:name="_Toc7188_WPSOffice_Level2Page"/>
          <w:r>
            <w:rPr>
              <w:rFonts w:hint="eastAsia" w:ascii="方正仿宋_GBK" w:hAnsi="方正仿宋_GBK" w:eastAsia="方正仿宋_GBK" w:cs="方正仿宋_GBK"/>
              <w:sz w:val="24"/>
              <w:szCs w:val="24"/>
            </w:rPr>
            <w:t>6</w:t>
          </w:r>
          <w:bookmarkEnd w:id="3"/>
          <w:r>
            <w:rPr>
              <w:rFonts w:hint="eastAsia" w:ascii="方正仿宋_GBK" w:hAnsi="方正仿宋_GBK" w:eastAsia="方正仿宋_GBK" w:cs="方正仿宋_GBK"/>
              <w:sz w:val="24"/>
              <w:szCs w:val="24"/>
            </w:rPr>
            <w:fldChar w:fldCharType="end"/>
          </w:r>
        </w:p>
        <w:p w14:paraId="7A7E878C">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_Toc8540_WPSOffice_Level2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257"/>
              <w:placeholder>
                <w:docPart w:val="{3e8e6d1d-810c-4e1a-b23d-d4e711ac454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四、财政拨款收入支出决算总体情况说明</w:t>
              </w:r>
            </w:sdtContent>
          </w:sdt>
          <w:r>
            <w:rPr>
              <w:rFonts w:hint="eastAsia" w:ascii="方正仿宋_GBK" w:hAnsi="方正仿宋_GBK" w:eastAsia="方正仿宋_GBK" w:cs="方正仿宋_GBK"/>
              <w:sz w:val="24"/>
              <w:szCs w:val="24"/>
            </w:rPr>
            <w:tab/>
          </w:r>
          <w:bookmarkStart w:id="4" w:name="_Toc8540_WPSOffice_Level2Page"/>
          <w:r>
            <w:rPr>
              <w:rFonts w:hint="eastAsia" w:ascii="方正仿宋_GBK" w:hAnsi="方正仿宋_GBK" w:eastAsia="方正仿宋_GBK" w:cs="方正仿宋_GBK"/>
              <w:sz w:val="24"/>
              <w:szCs w:val="24"/>
            </w:rPr>
            <w:t>7</w:t>
          </w:r>
          <w:bookmarkEnd w:id="4"/>
          <w:r>
            <w:rPr>
              <w:rFonts w:hint="eastAsia" w:ascii="方正仿宋_GBK" w:hAnsi="方正仿宋_GBK" w:eastAsia="方正仿宋_GBK" w:cs="方正仿宋_GBK"/>
              <w:sz w:val="24"/>
              <w:szCs w:val="24"/>
            </w:rPr>
            <w:fldChar w:fldCharType="end"/>
          </w:r>
        </w:p>
        <w:p w14:paraId="24329F77">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_Toc2103_WPSOffice_Level2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142"/>
              <w:placeholder>
                <w:docPart w:val="{27a11600-c83f-4eba-8278-8ae7051e79b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五、一般公共预算财政拨款支出决算情况说明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p>
        <w:p w14:paraId="0660468C">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_Toc24955_WPSOffice_Level2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980"/>
              <w:placeholder>
                <w:docPart w:val="{1c6d5487-40a4-45f4-931c-a492ee0b6e1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六、一般公共预算财政拨款基本支出决算情况说明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5</w:t>
          </w:r>
        </w:p>
        <w:p w14:paraId="2662D165">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_Toc5729_WPSOffice_Level2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9209"/>
              <w:placeholder>
                <w:docPart w:val="{3dcc31ae-f02e-41b1-98a3-637e1258891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七、财政拨款“三公”经费支出决算情况说明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6</w:t>
          </w:r>
        </w:p>
        <w:p w14:paraId="7313B3B1">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_Toc14091_WPSOffice_Level2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403"/>
              <w:placeholder>
                <w:docPart w:val="{07401c3f-b3f0-44fa-95e1-0b23508aaf9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八、政府性基金预算支出决算情况说明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7</w:t>
          </w:r>
        </w:p>
        <w:p w14:paraId="260DF696">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_Toc21165_WPSOffice_Level2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530"/>
              <w:placeholder>
                <w:docPart w:val="{e847f15e-5e73-408f-9031-0b663e65835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九、国有资本经营预算支出决算情况说明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14:paraId="1D70CBDE">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_Toc5083_WPSOffice_Level2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059"/>
              <w:placeholder>
                <w:docPart w:val="{8067abf4-bf9e-4eef-a19a-aae943399d2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十、其他重要事项的情况说明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14:paraId="458CC2D5">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_Toc31066_WPSOffice_Level1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2233"/>
              <w:placeholder>
                <w:docPart w:val="{d92a14d4-9711-498c-992d-72fff78f37a9}"/>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第三部分 名词解释</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sz w:val="24"/>
              <w:szCs w:val="24"/>
              <w:lang w:val="en-US" w:eastAsia="zh-CN"/>
            </w:rPr>
            <w:t>3</w:t>
          </w:r>
        </w:p>
        <w:p w14:paraId="7F44056B">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_Toc1780_WPSOffice_Level1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82094"/>
              <w:placeholder>
                <w:docPart w:val="{3b058271-38cb-47e7-bd0a-5b6f68986907}"/>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第四部分 附件</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sz w:val="24"/>
              <w:szCs w:val="24"/>
              <w:lang w:val="en-US" w:eastAsia="zh-CN"/>
            </w:rPr>
            <w:t>2</w:t>
          </w:r>
        </w:p>
        <w:p w14:paraId="74BD212A">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_Toc11586_WPSOffice_Level2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5839"/>
              <w:placeholder>
                <w:docPart w:val="{4405a3f9-bff7-4894-99bd-f6b2922696e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部门预算项目支出绩效评价表（2024年度）</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14:paraId="3DB7596A">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rPr>
            <w:fldChar w:fldCharType="begin"/>
          </w:r>
          <w:r>
            <w:rPr>
              <w:rFonts w:hint="eastAsia" w:ascii="方正仿宋_GBK" w:hAnsi="方正仿宋_GBK" w:eastAsia="方正仿宋_GBK" w:cs="方正仿宋_GBK"/>
              <w:sz w:val="24"/>
              <w:szCs w:val="24"/>
            </w:rPr>
            <w:instrText xml:space="preserve"> HYPERLINK \l _Toc7188_WPSOffice_Level1 </w:instrText>
          </w:r>
          <w:r>
            <w:rPr>
              <w:rFonts w:hint="eastAsia" w:ascii="方正仿宋_GBK" w:hAnsi="方正仿宋_GBK" w:eastAsia="方正仿宋_GBK" w:cs="方正仿宋_GBK"/>
              <w:b/>
              <w:bCs/>
              <w:sz w:val="24"/>
              <w:szCs w:val="24"/>
            </w:rPr>
            <w:fldChar w:fldCharType="separate"/>
          </w:r>
          <w:sdt>
            <w:sdtPr>
              <w:rPr>
                <w:rFonts w:hint="eastAsia" w:ascii="方正仿宋_GBK" w:hAnsi="方正仿宋_GBK" w:eastAsia="方正仿宋_GBK" w:cs="方正仿宋_GBK"/>
                <w:b/>
                <w:bCs/>
                <w:kern w:val="2"/>
                <w:sz w:val="24"/>
                <w:szCs w:val="24"/>
                <w:lang w:val="en-US" w:eastAsia="zh-CN" w:bidi="ar-SA"/>
              </w:rPr>
              <w:id w:val="147450943"/>
              <w:placeholder>
                <w:docPart w:val="{ee15e411-862a-4b0a-b95d-b93f54639bb3}"/>
              </w:placeholder>
            </w:sdtPr>
            <w:sdtEndPr>
              <w:rPr>
                <w:rFonts w:hint="eastAsia" w:ascii="方正仿宋_GBK" w:hAnsi="方正仿宋_GBK" w:eastAsia="方正仿宋_GBK" w:cs="方正仿宋_GBK"/>
                <w:b w:val="0"/>
                <w:bCs w:val="0"/>
                <w:kern w:val="2"/>
                <w:sz w:val="28"/>
                <w:szCs w:val="28"/>
                <w:lang w:val="en-US" w:eastAsia="zh-CN" w:bidi="ar-SA"/>
              </w:rPr>
            </w:sdtEndPr>
            <w:sdtContent>
              <w:r>
                <w:rPr>
                  <w:rFonts w:hint="eastAsia" w:ascii="方正仿宋_GBK" w:hAnsi="方正仿宋_GBK" w:eastAsia="方正仿宋_GBK" w:cs="方正仿宋_GBK"/>
                  <w:b/>
                  <w:bCs/>
                  <w:sz w:val="28"/>
                  <w:szCs w:val="28"/>
                </w:rPr>
                <w:t>第五部分 附表</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b/>
              <w:bCs/>
              <w:sz w:val="24"/>
              <w:szCs w:val="24"/>
            </w:rPr>
            <w:fldChar w:fldCharType="end"/>
          </w:r>
          <w:r>
            <w:rPr>
              <w:rFonts w:hint="eastAsia" w:ascii="方正仿宋_GBK" w:hAnsi="方正仿宋_GBK" w:eastAsia="方正仿宋_GBK" w:cs="方正仿宋_GBK"/>
              <w:sz w:val="24"/>
              <w:szCs w:val="24"/>
              <w:lang w:val="en-US" w:eastAsia="zh-CN"/>
            </w:rPr>
            <w:t>3</w:t>
          </w:r>
        </w:p>
        <w:p w14:paraId="7280D864">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_Toc16038_WPSOffice_Level2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9579"/>
              <w:placeholder>
                <w:docPart w:val="{785dc43f-5137-4a26-8d50-a2ff73d7920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6BE6C4B8">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_Toc21599_WPSOffice_Level2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737"/>
              <w:placeholder>
                <w:docPart w:val="{7f5170d7-6ccd-4ad4-86d0-1d44ad40868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二、收入决算表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79EFBD26">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_Toc19830_WPSOffice_Level2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3693"/>
              <w:placeholder>
                <w:docPart w:val="{30c46150-b9f0-42b6-b533-4027312b6df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40E6DEFA">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_Toc11166_WPSOffice_Level2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632"/>
              <w:placeholder>
                <w:docPart w:val="{7f0d9605-6cb9-4bdf-9328-f622ec9f4af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7A471AF7">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_Toc3147_WPSOffice_Level2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972"/>
              <w:placeholder>
                <w:docPart w:val="{fe383121-c70a-4214-afc6-6ff9536131e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五、财政拨款支出决算明细表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54DFF8AB">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_Toc12939_WPSOffice_Level2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443"/>
              <w:placeholder>
                <w:docPart w:val="{3c184a6f-856e-4df1-a073-94d6e963109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6032DB9A">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_Toc31201_WPSOffice_Level2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0900"/>
              <w:placeholder>
                <w:docPart w:val="{b6c6a74a-372f-473f-abc6-4a59cd8f0a9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七、一般公共预算财政拨款支出决算明细表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66A4ABAB">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_Toc31943_WPSOffice_Level2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8017"/>
              <w:placeholder>
                <w:docPart w:val="{e5daa38a-b9f5-48e3-8eea-30a7a3ed3ac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八、一般公共预算财政拨款基本支出决算表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461E5141">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7275"/>
              <w:placeholder>
                <w:docPart w:val="{6fca9e31-70cd-4d64-82cc-9b5c0af81b2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九、一般公共预算财政拨款项目支出决算表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4C65A790">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_Toc12352_WPSOffice_Level2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1773"/>
              <w:placeholder>
                <w:docPart w:val="{d4d24fe7-77ba-43a7-941c-851faf11e44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十、政府性基金预算财政拨款收入支出决算表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783BBA0F">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_Toc13382_WPSOffice_Level2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0476"/>
              <w:placeholder>
                <w:docPart w:val="{0533813d-0f3b-4318-a07c-c6079bf2ad2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十一、国有资本经营预算财政拨款收入支出决算表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37B25DF0">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_Toc25170_WPSOffice_Level2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3915"/>
              <w:placeholder>
                <w:docPart w:val="{eb4d2ccd-952c-4e1b-81e4-764c99c4cb5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十二、国有资本经营预算财政拨款支出决算表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14:paraId="2E557267">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方正小标宋简体" w:cs="Times New Roman"/>
              <w:b w:val="0"/>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_Toc5958_WPSOffice_Level2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5223"/>
              <w:placeholder>
                <w:docPart w:val="{6bb9255a-4caf-4a83-ac17-c09d52990a5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十三、财政拨款“三公”经费支出决算表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bookmarkEnd w:id="0"/>
          <w:r>
            <w:rPr>
              <w:rFonts w:hint="eastAsia" w:ascii="方正仿宋_GBK" w:hAnsi="方正仿宋_GBK" w:eastAsia="方正仿宋_GBK" w:cs="方正仿宋_GBK"/>
              <w:sz w:val="24"/>
              <w:szCs w:val="24"/>
              <w:lang w:val="en-US" w:eastAsia="zh-CN"/>
            </w:rPr>
            <w:t>3</w:t>
          </w:r>
        </w:p>
      </w:sdtContent>
    </w:sdt>
    <w:p w14:paraId="5A5D4A61">
      <w:pPr>
        <w:pStyle w:val="6"/>
        <w:rPr>
          <w:rFonts w:hint="default" w:ascii="Times New Roman" w:hAnsi="Times New Roman" w:eastAsia="方正小标宋简体" w:cs="Times New Roman"/>
          <w:b w:val="0"/>
        </w:rPr>
      </w:pPr>
    </w:p>
    <w:p w14:paraId="61F911EF">
      <w:pPr>
        <w:rPr>
          <w:rFonts w:hint="default"/>
        </w:rPr>
      </w:pPr>
      <w:bookmarkStart w:id="5" w:name="_Toc20825_WPSOffice_Level1"/>
      <w:r>
        <w:rPr>
          <w:rFonts w:hint="default"/>
        </w:rPr>
        <w:br w:type="page"/>
      </w:r>
    </w:p>
    <w:p w14:paraId="19E06031">
      <w:pPr>
        <w:pStyle w:val="3"/>
        <w:bidi w:val="0"/>
        <w:rPr>
          <w:rFonts w:hint="default"/>
        </w:rPr>
      </w:pPr>
      <w:r>
        <w:rPr>
          <w:rFonts w:hint="default"/>
        </w:rPr>
        <w:t>第一部分  单位概况</w:t>
      </w:r>
      <w:bookmarkEnd w:id="5"/>
    </w:p>
    <w:p w14:paraId="439CEFA9">
      <w:pPr>
        <w:pStyle w:val="4"/>
        <w:numPr>
          <w:ilvl w:val="0"/>
          <w:numId w:val="1"/>
        </w:numPr>
        <w:bidi w:val="0"/>
        <w:rPr>
          <w:rFonts w:hint="default"/>
        </w:rPr>
      </w:pPr>
      <w:bookmarkStart w:id="6" w:name="_Toc16376_WPSOffice_Level2"/>
      <w:r>
        <w:rPr>
          <w:rFonts w:hint="default"/>
        </w:rPr>
        <w:t>主要职责</w:t>
      </w:r>
      <w:bookmarkEnd w:id="6"/>
    </w:p>
    <w:p w14:paraId="0769DF69">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bookmarkStart w:id="7" w:name="_Toc19126_WPSOffice_Level3"/>
      <w:r>
        <w:rPr>
          <w:rFonts w:hint="default" w:ascii="Times New Roman" w:hAnsi="Times New Roman" w:eastAsia="方正仿宋_GBK" w:cs="Times New Roman"/>
          <w:bCs/>
          <w:sz w:val="32"/>
          <w:u w:val="none"/>
        </w:rPr>
        <w:t>盐边县红宝苗族彝族乡人民政府具有党委和政府两种职责，党委领导政府工作。主要是政治思想和政策方针的领导，干部的选拔，考核和监督，经济和行政工作中重大问题的决策。乡政府是基层国家行政机关，行使本行政区的行政职能。</w:t>
      </w:r>
    </w:p>
    <w:p w14:paraId="19290E9A">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1、党委职责：</w:t>
      </w:r>
    </w:p>
    <w:p w14:paraId="20029E73">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（1）保证党的路线、方针、政策的坚决贯彻执行。</w:t>
      </w:r>
    </w:p>
    <w:p w14:paraId="208DB83C">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（2）保证监督职能。</w:t>
      </w:r>
    </w:p>
    <w:p w14:paraId="707C4070">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（3）教育和管理职能。</w:t>
      </w:r>
    </w:p>
    <w:p w14:paraId="1D8BF856">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（4）服从和服务于经济建设的职能。</w:t>
      </w:r>
    </w:p>
    <w:p w14:paraId="1F327BED">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（5）负责抓好本乡党建工作、群团工作、精神文明建设工作、新闻宣传工作。</w:t>
      </w:r>
    </w:p>
    <w:p w14:paraId="3C60BE7E">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（6）完成县委、县政府交予的其他工作任务。</w:t>
      </w:r>
    </w:p>
    <w:p w14:paraId="2147AB59">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2、政府职责：</w:t>
      </w:r>
    </w:p>
    <w:p w14:paraId="57325617">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（1）制定和组织实施经济、科技和社会发展计划，组织指导好各行业生产，搞好商品流通交易服务，协调好本乡与其他部门的交流与合作，抓好项目建设，不断培育市场体系，组织经济运行，促进经济发展。</w:t>
      </w:r>
    </w:p>
    <w:p w14:paraId="195FA52D">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（2）制定并组织实施行政村的建设规划，部署重点工程建设，地方道路建设及公共设施，水利设施的管理，负责土地、林木、水等自然资源和生态环境的保护，做好护林防火工作。</w:t>
      </w:r>
    </w:p>
    <w:p w14:paraId="75442B28">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3）负责本行政区域内的民政、计划生育、文化教育、卫生、体育等社会公益事业的综合性工作，维护一切经济单位和个人的正当经济权益，取缔非法经济活动，调解和处理民事纠纷，打击刑事犯罪维护社会稳定。</w:t>
      </w:r>
    </w:p>
    <w:p w14:paraId="00668632">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（4）按计划组织本级财政收入，完成国家财政计划，不断培植税源，管好财政资金，增强财政实力。</w:t>
      </w:r>
    </w:p>
    <w:p w14:paraId="2E3C7C5F">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（5）抓好精神文明建设，丰富群众文化生活，提倡移风易俗，反对封建迷信，破除陈规陋习，树立社会主义新风尚。</w:t>
      </w:r>
    </w:p>
    <w:p w14:paraId="72294F15">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（6）完成上级政府交办的其它事项。</w:t>
      </w:r>
    </w:p>
    <w:bookmarkEnd w:id="7"/>
    <w:p w14:paraId="279B09FA">
      <w:pPr>
        <w:pStyle w:val="4"/>
        <w:bidi w:val="0"/>
        <w:rPr>
          <w:rFonts w:hint="eastAsia"/>
        </w:rPr>
      </w:pPr>
      <w:bookmarkStart w:id="8" w:name="_Toc15377200"/>
      <w:bookmarkStart w:id="9" w:name="_Toc31066_WPSOffice_Level2"/>
      <w:bookmarkStart w:id="10" w:name="_Toc15396601"/>
      <w:r>
        <w:rPr>
          <w:rFonts w:hint="eastAsia"/>
        </w:rPr>
        <w:t>二、机构设置</w:t>
      </w:r>
      <w:bookmarkEnd w:id="8"/>
      <w:bookmarkEnd w:id="9"/>
      <w:bookmarkEnd w:id="10"/>
    </w:p>
    <w:p w14:paraId="6B96B857">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lang w:val="en-US" w:eastAsia="zh-CN"/>
        </w:rPr>
      </w:pPr>
      <w:r>
        <w:rPr>
          <w:rFonts w:hint="default" w:ascii="Times New Roman" w:hAnsi="Times New Roman" w:eastAsia="方正仿宋_GBK" w:cs="Times New Roman"/>
          <w:bCs/>
          <w:sz w:val="32"/>
          <w:u w:val="none"/>
          <w:lang w:val="en-US" w:eastAsia="zh-CN"/>
        </w:rPr>
        <w:t>盐边县红宝苗族彝族乡人民政府下属二级预算单位0个，其中行政单位0个，参照公务员法管理的事业单位0个，其他事业单位0个，现有部门9个：便民服务中心、农业综合服务中心、村镇建设服务中心、综合办公室、党建工作办公室、应急管理办公室、社会治理和综合行政办公室、经济发展和社会事务办公室、财政所。</w:t>
      </w:r>
      <w:bookmarkStart w:id="87" w:name="_GoBack"/>
      <w:bookmarkEnd w:id="87"/>
    </w:p>
    <w:p w14:paraId="440E9BF3">
      <w:pPr>
        <w:rPr>
          <w:rFonts w:hint="default"/>
        </w:rPr>
      </w:pPr>
      <w:bookmarkStart w:id="11" w:name="_Toc16376_WPSOffice_Level1"/>
      <w:bookmarkStart w:id="12" w:name="_Toc15396602"/>
      <w:bookmarkStart w:id="13" w:name="_Toc15377204"/>
      <w:r>
        <w:rPr>
          <w:rFonts w:hint="default"/>
        </w:rPr>
        <w:br w:type="page"/>
      </w:r>
    </w:p>
    <w:p w14:paraId="1ABB88B0">
      <w:pPr>
        <w:pStyle w:val="3"/>
        <w:bidi w:val="0"/>
        <w:rPr>
          <w:rFonts w:hint="default"/>
        </w:rPr>
      </w:pPr>
      <w:r>
        <w:rPr>
          <w:rFonts w:hint="default"/>
        </w:rPr>
        <w:t>第二部分  2024年度部门决算情况说明</w:t>
      </w:r>
      <w:bookmarkEnd w:id="11"/>
      <w:bookmarkEnd w:id="12"/>
      <w:bookmarkEnd w:id="13"/>
    </w:p>
    <w:p w14:paraId="234572CE">
      <w:pPr>
        <w:pStyle w:val="4"/>
        <w:bidi w:val="0"/>
        <w:rPr>
          <w:rFonts w:hint="default"/>
        </w:rPr>
      </w:pPr>
      <w:bookmarkStart w:id="14" w:name="_Toc15396603"/>
      <w:bookmarkStart w:id="15" w:name="_Toc15377205"/>
      <w:bookmarkStart w:id="16" w:name="_Toc1780_WPSOffice_Level2"/>
      <w:r>
        <w:rPr>
          <w:rFonts w:hint="default"/>
        </w:rPr>
        <w:t>一、收入支出决算总体情况说明</w:t>
      </w:r>
      <w:bookmarkEnd w:id="14"/>
      <w:bookmarkEnd w:id="15"/>
      <w:bookmarkEnd w:id="16"/>
    </w:p>
    <w:p w14:paraId="2CEE3777">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b w:val="0"/>
          <w:bCs/>
          <w:kern w:val="0"/>
          <w:sz w:val="32"/>
          <w:szCs w:val="20"/>
          <w:u w:val="none"/>
          <w:lang w:val="en-US" w:eastAsia="zh-CN" w:bidi="ar-SA"/>
        </w:rPr>
      </w:pPr>
      <w:r>
        <w:rPr>
          <w:rFonts w:hint="default" w:ascii="Times New Roman" w:hAnsi="Times New Roman" w:eastAsia="方正仿宋_GBK" w:cs="Times New Roman"/>
          <w:b w:val="0"/>
          <w:bCs/>
          <w:kern w:val="0"/>
          <w:sz w:val="32"/>
          <w:szCs w:val="20"/>
          <w:u w:val="none"/>
          <w:lang w:val="en-US" w:eastAsia="zh-CN" w:bidi="ar-SA"/>
        </w:rPr>
        <w:t>2024年度收</w:t>
      </w:r>
      <w:r>
        <w:rPr>
          <w:rFonts w:hint="eastAsia" w:eastAsia="方正仿宋_GBK" w:cs="Times New Roman"/>
          <w:b w:val="0"/>
          <w:bCs/>
          <w:kern w:val="0"/>
          <w:sz w:val="32"/>
          <w:szCs w:val="20"/>
          <w:u w:val="none"/>
          <w:lang w:val="en-US" w:eastAsia="zh-CN" w:bidi="ar-SA"/>
        </w:rPr>
        <w:t>入</w:t>
      </w:r>
      <w:r>
        <w:rPr>
          <w:rFonts w:hint="default" w:ascii="Times New Roman" w:hAnsi="Times New Roman" w:eastAsia="方正仿宋_GBK" w:cs="Times New Roman"/>
          <w:b w:val="0"/>
          <w:bCs/>
          <w:kern w:val="0"/>
          <w:sz w:val="32"/>
          <w:szCs w:val="20"/>
          <w:u w:val="none"/>
          <w:lang w:val="en-US" w:eastAsia="zh-CN" w:bidi="ar-SA"/>
        </w:rPr>
        <w:t>总计</w:t>
      </w:r>
      <w:r>
        <w:rPr>
          <w:rFonts w:hint="eastAsia" w:eastAsia="方正仿宋_GBK" w:cs="Times New Roman"/>
          <w:b w:val="0"/>
          <w:bCs/>
          <w:kern w:val="0"/>
          <w:sz w:val="32"/>
          <w:szCs w:val="20"/>
          <w:highlight w:val="none"/>
          <w:u w:val="none"/>
          <w:lang w:val="en-US" w:eastAsia="zh-CN" w:bidi="ar-SA"/>
        </w:rPr>
        <w:t>1560.49</w:t>
      </w:r>
      <w:r>
        <w:rPr>
          <w:rFonts w:hint="default" w:ascii="Times New Roman" w:hAnsi="Times New Roman" w:eastAsia="方正仿宋_GBK" w:cs="Times New Roman"/>
          <w:b w:val="0"/>
          <w:bCs/>
          <w:kern w:val="0"/>
          <w:sz w:val="32"/>
          <w:szCs w:val="20"/>
          <w:u w:val="none"/>
          <w:lang w:val="en-US" w:eastAsia="zh-CN" w:bidi="ar-SA"/>
        </w:rPr>
        <w:t>万元，</w:t>
      </w:r>
      <w:r>
        <w:rPr>
          <w:rFonts w:hint="eastAsia" w:eastAsia="方正仿宋_GBK" w:cs="Times New Roman"/>
          <w:b w:val="0"/>
          <w:bCs/>
          <w:kern w:val="0"/>
          <w:sz w:val="32"/>
          <w:szCs w:val="20"/>
          <w:u w:val="none"/>
          <w:lang w:val="en-US" w:eastAsia="zh-CN" w:bidi="ar-SA"/>
        </w:rPr>
        <w:t>支出总计1551.55万元，</w:t>
      </w:r>
      <w:r>
        <w:rPr>
          <w:rFonts w:hint="default" w:ascii="Times New Roman" w:hAnsi="Times New Roman" w:eastAsia="方正仿宋_GBK" w:cs="Times New Roman"/>
          <w:b w:val="0"/>
          <w:bCs/>
          <w:kern w:val="0"/>
          <w:sz w:val="32"/>
          <w:szCs w:val="20"/>
          <w:u w:val="none"/>
          <w:lang w:val="en-US" w:eastAsia="zh-CN" w:bidi="ar-SA"/>
        </w:rPr>
        <w:t>与2023年</w:t>
      </w:r>
      <w:r>
        <w:rPr>
          <w:rFonts w:hint="eastAsia" w:eastAsia="方正仿宋_GBK" w:cs="Times New Roman"/>
          <w:b w:val="0"/>
          <w:bCs/>
          <w:kern w:val="0"/>
          <w:sz w:val="32"/>
          <w:szCs w:val="20"/>
          <w:u w:val="none"/>
          <w:lang w:val="en-US" w:eastAsia="zh-CN" w:bidi="ar-SA"/>
        </w:rPr>
        <w:t>1293.72</w:t>
      </w:r>
      <w:r>
        <w:rPr>
          <w:rFonts w:hint="default" w:ascii="Times New Roman" w:hAnsi="Times New Roman" w:eastAsia="方正仿宋_GBK" w:cs="Times New Roman"/>
          <w:b w:val="0"/>
          <w:bCs/>
          <w:kern w:val="0"/>
          <w:sz w:val="32"/>
          <w:szCs w:val="20"/>
          <w:u w:val="none"/>
          <w:lang w:val="en-US" w:eastAsia="zh-CN" w:bidi="ar-SA"/>
        </w:rPr>
        <w:t>万元相比，收</w:t>
      </w:r>
      <w:r>
        <w:rPr>
          <w:rFonts w:hint="eastAsia" w:eastAsia="方正仿宋_GBK" w:cs="Times New Roman"/>
          <w:b w:val="0"/>
          <w:bCs/>
          <w:kern w:val="0"/>
          <w:sz w:val="32"/>
          <w:szCs w:val="20"/>
          <w:u w:val="none"/>
          <w:lang w:val="en-US" w:eastAsia="zh-CN" w:bidi="ar-SA"/>
        </w:rPr>
        <w:t>入</w:t>
      </w:r>
      <w:r>
        <w:rPr>
          <w:rFonts w:hint="default" w:ascii="Times New Roman" w:hAnsi="Times New Roman" w:eastAsia="方正仿宋_GBK" w:cs="Times New Roman"/>
          <w:b w:val="0"/>
          <w:bCs/>
          <w:kern w:val="0"/>
          <w:sz w:val="32"/>
          <w:szCs w:val="20"/>
          <w:u w:val="none"/>
          <w:lang w:val="en-US" w:eastAsia="zh-CN" w:bidi="ar-SA"/>
        </w:rPr>
        <w:t>总计</w:t>
      </w:r>
      <w:r>
        <w:rPr>
          <w:rFonts w:hint="eastAsia" w:eastAsia="方正仿宋_GBK" w:cs="Times New Roman"/>
          <w:b w:val="0"/>
          <w:bCs/>
          <w:kern w:val="0"/>
          <w:sz w:val="32"/>
          <w:szCs w:val="20"/>
          <w:u w:val="none"/>
          <w:lang w:val="en-US" w:eastAsia="zh-CN" w:bidi="ar-SA"/>
        </w:rPr>
        <w:t>增加266.77</w:t>
      </w:r>
      <w:r>
        <w:rPr>
          <w:rFonts w:hint="default" w:ascii="Times New Roman" w:hAnsi="Times New Roman" w:eastAsia="方正仿宋_GBK" w:cs="Times New Roman"/>
          <w:b w:val="0"/>
          <w:bCs/>
          <w:kern w:val="0"/>
          <w:sz w:val="32"/>
          <w:szCs w:val="20"/>
          <w:u w:val="none"/>
          <w:lang w:val="en-US" w:eastAsia="zh-CN" w:bidi="ar-SA"/>
        </w:rPr>
        <w:t>万元，</w:t>
      </w:r>
      <w:r>
        <w:rPr>
          <w:rFonts w:hint="eastAsia" w:ascii="仿宋" w:hAnsi="仿宋" w:eastAsia="仿宋"/>
          <w:sz w:val="32"/>
          <w:szCs w:val="32"/>
        </w:rPr>
        <w:t>增长</w:t>
      </w:r>
      <w:r>
        <w:rPr>
          <w:rFonts w:hint="eastAsia" w:ascii="仿宋" w:hAnsi="仿宋" w:eastAsia="仿宋"/>
          <w:sz w:val="32"/>
          <w:szCs w:val="32"/>
          <w:lang w:val="en-US" w:eastAsia="zh-CN"/>
        </w:rPr>
        <w:t>17.09</w:t>
      </w:r>
      <w:r>
        <w:rPr>
          <w:rFonts w:ascii="仿宋" w:hAnsi="仿宋" w:eastAsia="仿宋"/>
          <w:sz w:val="32"/>
          <w:szCs w:val="32"/>
        </w:rPr>
        <w:t>%</w:t>
      </w:r>
      <w:r>
        <w:rPr>
          <w:rFonts w:hint="eastAsia" w:ascii="仿宋" w:hAnsi="仿宋" w:eastAsia="仿宋"/>
          <w:sz w:val="32"/>
          <w:szCs w:val="32"/>
          <w:lang w:eastAsia="zh-CN"/>
        </w:rPr>
        <w:t>，</w:t>
      </w:r>
      <w:r>
        <w:rPr>
          <w:rFonts w:hint="eastAsia" w:eastAsia="方正仿宋_GBK" w:cs="Times New Roman"/>
          <w:b w:val="0"/>
          <w:bCs/>
          <w:kern w:val="0"/>
          <w:sz w:val="32"/>
          <w:szCs w:val="20"/>
          <w:u w:val="none"/>
          <w:lang w:val="en-US" w:eastAsia="zh-CN" w:bidi="ar-SA"/>
        </w:rPr>
        <w:t>支出总计增加257.83万元，</w:t>
      </w:r>
      <w:r>
        <w:rPr>
          <w:rFonts w:hint="eastAsia" w:ascii="仿宋" w:hAnsi="仿宋" w:eastAsia="仿宋"/>
          <w:sz w:val="32"/>
          <w:szCs w:val="32"/>
        </w:rPr>
        <w:t>增长</w:t>
      </w:r>
      <w:r>
        <w:rPr>
          <w:rFonts w:hint="eastAsia" w:ascii="仿宋" w:hAnsi="仿宋" w:eastAsia="仿宋"/>
          <w:sz w:val="32"/>
          <w:szCs w:val="32"/>
          <w:lang w:val="en-US" w:eastAsia="zh-CN"/>
        </w:rPr>
        <w:t>16.62</w:t>
      </w:r>
      <w:r>
        <w:rPr>
          <w:rFonts w:ascii="仿宋" w:hAnsi="仿宋" w:eastAsia="仿宋"/>
          <w:sz w:val="32"/>
          <w:szCs w:val="32"/>
        </w:rPr>
        <w:t>%</w:t>
      </w:r>
      <w:r>
        <w:rPr>
          <w:rFonts w:hint="default" w:ascii="Times New Roman" w:hAnsi="Times New Roman" w:eastAsia="方正仿宋_GBK" w:cs="Times New Roman"/>
          <w:b w:val="0"/>
          <w:bCs/>
          <w:kern w:val="0"/>
          <w:sz w:val="32"/>
          <w:szCs w:val="20"/>
          <w:u w:val="none"/>
          <w:lang w:val="en-US" w:eastAsia="zh-CN" w:bidi="ar-SA"/>
        </w:rPr>
        <w:t>。主要变动原因是</w:t>
      </w:r>
      <w:r>
        <w:rPr>
          <w:rFonts w:hint="eastAsia" w:eastAsia="方正仿宋_GBK" w:cs="Times New Roman"/>
          <w:b w:val="0"/>
          <w:bCs/>
          <w:kern w:val="0"/>
          <w:sz w:val="32"/>
          <w:szCs w:val="20"/>
          <w:u w:val="none"/>
          <w:lang w:val="en-US" w:eastAsia="zh-CN" w:bidi="ar-SA"/>
        </w:rPr>
        <w:t>：</w:t>
      </w:r>
      <w:r>
        <w:rPr>
          <w:rFonts w:hint="default" w:ascii="Times New Roman" w:hAnsi="Times New Roman" w:eastAsia="方正仿宋_GBK" w:cs="Times New Roman"/>
          <w:b w:val="0"/>
          <w:bCs/>
          <w:kern w:val="0"/>
          <w:sz w:val="32"/>
          <w:szCs w:val="32"/>
          <w:u w:val="none"/>
          <w:lang w:val="en-US" w:eastAsia="zh-CN" w:bidi="ar-SA"/>
        </w:rPr>
        <w:t>2024年</w:t>
      </w:r>
      <w:r>
        <w:rPr>
          <w:rFonts w:hint="default" w:ascii="Times New Roman" w:hAnsi="Times New Roman" w:eastAsia="方正仿宋_GBK" w:cs="Times New Roman"/>
          <w:b w:val="0"/>
          <w:bCs/>
          <w:kern w:val="0"/>
          <w:sz w:val="32"/>
          <w:szCs w:val="20"/>
          <w:u w:val="none"/>
          <w:lang w:val="en-US" w:eastAsia="zh-CN" w:bidi="ar-SA"/>
        </w:rPr>
        <w:t>一般公共预算财政拨款收入增加，政府性基金预算财政拨款收入增加，收、支总计增加。</w:t>
      </w:r>
    </w:p>
    <w:p w14:paraId="4C0828F4">
      <w:pPr>
        <w:spacing w:line="600" w:lineRule="exact"/>
        <w:jc w:val="center"/>
        <w:rPr>
          <w:rFonts w:hint="eastAsia" w:ascii="仿宋" w:hAnsi="仿宋" w:eastAsia="仿宋"/>
          <w:sz w:val="32"/>
          <w:szCs w:val="32"/>
        </w:rPr>
      </w:pPr>
      <w:bookmarkStart w:id="17" w:name="_Toc15377206"/>
      <w:bookmarkStart w:id="18" w:name="_Toc15396604"/>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481C7C5C">
      <w:pPr>
        <w:pStyle w:val="2"/>
        <w:jc w:val="center"/>
      </w:pPr>
      <w:r>
        <w:drawing>
          <wp:inline distT="0" distB="0" distL="114300" distR="114300">
            <wp:extent cx="5051425" cy="3055620"/>
            <wp:effectExtent l="0" t="0" r="15875" b="1143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9"/>
                    <a:stretch>
                      <a:fillRect/>
                    </a:stretch>
                  </pic:blipFill>
                  <pic:spPr>
                    <a:xfrm>
                      <a:off x="0" y="0"/>
                      <a:ext cx="5051425" cy="3055620"/>
                    </a:xfrm>
                    <a:prstGeom prst="rect">
                      <a:avLst/>
                    </a:prstGeom>
                    <a:noFill/>
                    <a:ln>
                      <a:noFill/>
                    </a:ln>
                  </pic:spPr>
                </pic:pic>
              </a:graphicData>
            </a:graphic>
          </wp:inline>
        </w:drawing>
      </w:r>
    </w:p>
    <w:p w14:paraId="398A2BE7">
      <w:pPr>
        <w:pStyle w:val="4"/>
        <w:bidi w:val="0"/>
        <w:rPr>
          <w:rFonts w:hint="default"/>
        </w:rPr>
      </w:pPr>
      <w:r>
        <w:rPr>
          <w:rFonts w:hint="default"/>
        </w:rPr>
        <w:t>二、收入决算情况说明</w:t>
      </w:r>
      <w:bookmarkEnd w:id="17"/>
      <w:bookmarkEnd w:id="18"/>
    </w:p>
    <w:p w14:paraId="054E7E7A">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年度本年收入合计</w:t>
      </w:r>
      <w:r>
        <w:rPr>
          <w:rFonts w:hint="eastAsia" w:eastAsia="方正仿宋_GBK" w:cs="Times New Roman"/>
          <w:sz w:val="32"/>
          <w:szCs w:val="32"/>
          <w:highlight w:val="none"/>
          <w:lang w:val="en-US" w:eastAsia="zh-CN"/>
        </w:rPr>
        <w:t>1560.49</w:t>
      </w:r>
      <w:r>
        <w:rPr>
          <w:rFonts w:hint="default" w:ascii="Times New Roman" w:hAnsi="Times New Roman" w:eastAsia="方正仿宋_GBK" w:cs="Times New Roman"/>
          <w:sz w:val="32"/>
          <w:szCs w:val="32"/>
          <w:highlight w:val="none"/>
        </w:rPr>
        <w:t>万元，其中：一般公共预算财政拨款收入1534.14万元，占</w:t>
      </w:r>
      <w:r>
        <w:rPr>
          <w:rFonts w:hint="eastAsia" w:eastAsia="方正仿宋_GBK" w:cs="Times New Roman"/>
          <w:sz w:val="32"/>
          <w:szCs w:val="32"/>
          <w:highlight w:val="none"/>
          <w:lang w:val="en-US" w:eastAsia="zh-CN"/>
        </w:rPr>
        <w:t>98.31</w:t>
      </w:r>
      <w:r>
        <w:rPr>
          <w:rFonts w:hint="default" w:ascii="Times New Roman" w:hAnsi="Times New Roman" w:eastAsia="方正仿宋_GBK" w:cs="Times New Roman"/>
          <w:sz w:val="32"/>
          <w:szCs w:val="32"/>
          <w:highlight w:val="none"/>
        </w:rPr>
        <w:t>%；政府性基金预算财政拨款收入11.35万元，占</w:t>
      </w:r>
      <w:r>
        <w:rPr>
          <w:rFonts w:hint="eastAsia" w:eastAsia="方正仿宋_GBK" w:cs="Times New Roman"/>
          <w:sz w:val="32"/>
          <w:szCs w:val="32"/>
          <w:highlight w:val="none"/>
          <w:lang w:val="en-US" w:eastAsia="zh-CN"/>
        </w:rPr>
        <w:t>0.73</w:t>
      </w:r>
      <w:r>
        <w:rPr>
          <w:rFonts w:hint="default" w:ascii="Times New Roman" w:hAnsi="Times New Roman" w:eastAsia="方正仿宋_GBK" w:cs="Times New Roman"/>
          <w:sz w:val="32"/>
          <w:szCs w:val="32"/>
          <w:highlight w:val="none"/>
        </w:rPr>
        <w:t>%；其他收入1</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.00万元，占</w:t>
      </w:r>
      <w:r>
        <w:rPr>
          <w:rFonts w:hint="eastAsia" w:eastAsia="方正仿宋_GBK" w:cs="Times New Roman"/>
          <w:sz w:val="32"/>
          <w:szCs w:val="32"/>
          <w:highlight w:val="none"/>
          <w:lang w:val="en-US" w:eastAsia="zh-CN"/>
        </w:rPr>
        <w:t>0.96</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eastAsia="zh-CN"/>
        </w:rPr>
        <w:t>。</w:t>
      </w:r>
    </w:p>
    <w:p w14:paraId="0C0F85BB">
      <w:pPr>
        <w:spacing w:line="600" w:lineRule="exact"/>
        <w:jc w:val="center"/>
        <w:rPr>
          <w:rFonts w:ascii="仿宋" w:hAnsi="仿宋" w:eastAsia="仿宋"/>
          <w:sz w:val="32"/>
          <w:szCs w:val="32"/>
        </w:rPr>
      </w:pPr>
      <w:bookmarkStart w:id="19" w:name="_Toc15377207"/>
      <w:bookmarkStart w:id="20" w:name="_Toc15396605"/>
      <w:bookmarkStart w:id="21" w:name="_Toc7188_WPSOffice_Level2"/>
      <w:r>
        <w:rPr>
          <w:rFonts w:hint="eastAsia" w:ascii="仿宋" w:hAnsi="仿宋" w:eastAsia="仿宋"/>
          <w:sz w:val="32"/>
          <w:szCs w:val="32"/>
        </w:rPr>
        <w:t>（图</w:t>
      </w:r>
      <w:r>
        <w:rPr>
          <w:rFonts w:hint="eastAsia" w:ascii="仿宋" w:hAnsi="仿宋" w:eastAsia="仿宋"/>
          <w:sz w:val="32"/>
          <w:szCs w:val="32"/>
          <w:lang w:val="en-US" w:eastAsia="zh-CN"/>
        </w:rPr>
        <w:t>2</w:t>
      </w:r>
      <w:r>
        <w:rPr>
          <w:rFonts w:hint="eastAsia" w:ascii="仿宋" w:hAnsi="仿宋" w:eastAsia="仿宋"/>
          <w:sz w:val="32"/>
          <w:szCs w:val="32"/>
        </w:rPr>
        <w:t>：收入决算结构图）（饼状图）</w:t>
      </w:r>
    </w:p>
    <w:p w14:paraId="0FC22C7F">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方正黑体_GBK" w:cs="Times New Roman"/>
          <w:sz w:val="32"/>
          <w:szCs w:val="32"/>
        </w:rPr>
      </w:pPr>
      <w:r>
        <w:drawing>
          <wp:inline distT="0" distB="0" distL="114300" distR="114300">
            <wp:extent cx="5143500" cy="2696210"/>
            <wp:effectExtent l="0" t="0" r="0" b="889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0"/>
                    <a:stretch>
                      <a:fillRect/>
                    </a:stretch>
                  </pic:blipFill>
                  <pic:spPr>
                    <a:xfrm>
                      <a:off x="0" y="0"/>
                      <a:ext cx="5143500" cy="2696210"/>
                    </a:xfrm>
                    <a:prstGeom prst="rect">
                      <a:avLst/>
                    </a:prstGeom>
                    <a:noFill/>
                    <a:ln>
                      <a:noFill/>
                    </a:ln>
                  </pic:spPr>
                </pic:pic>
              </a:graphicData>
            </a:graphic>
          </wp:inline>
        </w:drawing>
      </w:r>
    </w:p>
    <w:p w14:paraId="091B3A5E">
      <w:pPr>
        <w:pStyle w:val="4"/>
        <w:bidi w:val="0"/>
        <w:rPr>
          <w:rFonts w:hint="default"/>
        </w:rPr>
      </w:pPr>
      <w:r>
        <w:rPr>
          <w:rFonts w:hint="default"/>
        </w:rPr>
        <w:t>三、支出决算情况说明</w:t>
      </w:r>
      <w:bookmarkEnd w:id="19"/>
      <w:bookmarkEnd w:id="20"/>
      <w:bookmarkEnd w:id="21"/>
    </w:p>
    <w:p w14:paraId="55FB8A86">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年度本年支出合计</w:t>
      </w:r>
      <w:r>
        <w:rPr>
          <w:rFonts w:hint="eastAsia" w:eastAsia="方正仿宋_GBK" w:cs="Times New Roman"/>
          <w:sz w:val="32"/>
          <w:szCs w:val="32"/>
          <w:highlight w:val="none"/>
          <w:lang w:val="en-US" w:eastAsia="zh-CN"/>
        </w:rPr>
        <w:t>1551.55</w:t>
      </w:r>
      <w:r>
        <w:rPr>
          <w:rFonts w:hint="default" w:ascii="Times New Roman" w:hAnsi="Times New Roman" w:eastAsia="方正仿宋_GBK" w:cs="Times New Roman"/>
          <w:sz w:val="32"/>
          <w:szCs w:val="32"/>
          <w:highlight w:val="none"/>
        </w:rPr>
        <w:t>万元，其中：基本支出</w:t>
      </w:r>
      <w:r>
        <w:rPr>
          <w:rFonts w:hint="eastAsia" w:eastAsia="方正仿宋_GBK" w:cs="Times New Roman"/>
          <w:sz w:val="32"/>
          <w:szCs w:val="32"/>
          <w:highlight w:val="none"/>
          <w:lang w:val="en-US" w:eastAsia="zh-CN"/>
        </w:rPr>
        <w:t>933.44</w:t>
      </w:r>
      <w:r>
        <w:rPr>
          <w:rFonts w:hint="default" w:ascii="Times New Roman" w:hAnsi="Times New Roman" w:eastAsia="方正仿宋_GBK" w:cs="Times New Roman"/>
          <w:sz w:val="32"/>
          <w:szCs w:val="32"/>
          <w:highlight w:val="none"/>
        </w:rPr>
        <w:t>万元，占</w:t>
      </w:r>
      <w:r>
        <w:rPr>
          <w:rFonts w:hint="eastAsia" w:eastAsia="方正仿宋_GBK" w:cs="Times New Roman"/>
          <w:sz w:val="32"/>
          <w:szCs w:val="32"/>
          <w:highlight w:val="none"/>
          <w:lang w:val="en-US" w:eastAsia="zh-CN"/>
        </w:rPr>
        <w:t>60.16</w:t>
      </w:r>
      <w:r>
        <w:rPr>
          <w:rFonts w:hint="default" w:ascii="Times New Roman" w:hAnsi="Times New Roman" w:eastAsia="方正仿宋_GBK" w:cs="Times New Roman"/>
          <w:sz w:val="32"/>
          <w:szCs w:val="32"/>
          <w:highlight w:val="none"/>
        </w:rPr>
        <w:t>%；项目支出</w:t>
      </w:r>
      <w:r>
        <w:rPr>
          <w:rFonts w:hint="eastAsia" w:eastAsia="方正仿宋_GBK" w:cs="Times New Roman"/>
          <w:sz w:val="32"/>
          <w:szCs w:val="32"/>
          <w:highlight w:val="none"/>
          <w:lang w:val="en-US" w:eastAsia="zh-CN"/>
        </w:rPr>
        <w:t>618.11</w:t>
      </w:r>
      <w:r>
        <w:rPr>
          <w:rFonts w:hint="default" w:ascii="Times New Roman" w:hAnsi="Times New Roman" w:eastAsia="方正仿宋_GBK" w:cs="Times New Roman"/>
          <w:sz w:val="32"/>
          <w:szCs w:val="32"/>
          <w:highlight w:val="none"/>
        </w:rPr>
        <w:t>万元，占</w:t>
      </w:r>
      <w:r>
        <w:rPr>
          <w:rFonts w:hint="eastAsia" w:eastAsia="方正仿宋_GBK" w:cs="Times New Roman"/>
          <w:sz w:val="32"/>
          <w:szCs w:val="32"/>
          <w:highlight w:val="none"/>
          <w:lang w:val="en-US" w:eastAsia="zh-CN"/>
        </w:rPr>
        <w:t>39.84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p>
    <w:p w14:paraId="651F8245">
      <w:pPr>
        <w:spacing w:line="600" w:lineRule="exact"/>
        <w:jc w:val="center"/>
        <w:rPr>
          <w:rFonts w:ascii="仿宋" w:hAnsi="仿宋" w:eastAsia="仿宋"/>
          <w:sz w:val="32"/>
          <w:szCs w:val="32"/>
        </w:rPr>
      </w:pPr>
      <w:r>
        <w:rPr>
          <w:rFonts w:hint="eastAsia" w:ascii="仿宋" w:hAnsi="仿宋" w:eastAsia="仿宋"/>
          <w:sz w:val="32"/>
          <w:szCs w:val="32"/>
        </w:rPr>
        <w:t>（图</w:t>
      </w:r>
      <w:r>
        <w:rPr>
          <w:rFonts w:hint="eastAsia" w:ascii="仿宋" w:hAnsi="仿宋" w:eastAsia="仿宋"/>
          <w:sz w:val="32"/>
          <w:szCs w:val="32"/>
          <w:lang w:val="en-US" w:eastAsia="zh-CN"/>
        </w:rPr>
        <w:t>3</w:t>
      </w:r>
      <w:r>
        <w:rPr>
          <w:rFonts w:hint="eastAsia" w:ascii="仿宋" w:hAnsi="仿宋" w:eastAsia="仿宋"/>
          <w:sz w:val="32"/>
          <w:szCs w:val="32"/>
        </w:rPr>
        <w:t>：支出决算结构图）（饼状图）</w:t>
      </w:r>
    </w:p>
    <w:p w14:paraId="1DD073E8">
      <w:pPr>
        <w:rPr>
          <w:rFonts w:hint="default" w:ascii="Times New Roman" w:hAnsi="Times New Roman" w:eastAsia="仿宋_GB2312" w:cs="Times New Roman"/>
          <w:sz w:val="32"/>
          <w:szCs w:val="32"/>
        </w:rPr>
      </w:pPr>
      <w:r>
        <w:drawing>
          <wp:inline distT="0" distB="0" distL="114300" distR="114300">
            <wp:extent cx="5172075" cy="2828925"/>
            <wp:effectExtent l="0" t="0" r="9525" b="952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stretch>
                      <a:fillRect/>
                    </a:stretch>
                  </pic:blipFill>
                  <pic:spPr>
                    <a:xfrm>
                      <a:off x="0" y="0"/>
                      <a:ext cx="5172075" cy="2828925"/>
                    </a:xfrm>
                    <a:prstGeom prst="rect">
                      <a:avLst/>
                    </a:prstGeom>
                    <a:noFill/>
                    <a:ln>
                      <a:noFill/>
                    </a:ln>
                  </pic:spPr>
                </pic:pic>
              </a:graphicData>
            </a:graphic>
          </wp:inline>
        </w:drawing>
      </w:r>
    </w:p>
    <w:p w14:paraId="65E18D11">
      <w:pPr>
        <w:pStyle w:val="4"/>
        <w:bidi w:val="0"/>
        <w:rPr>
          <w:rFonts w:hint="default"/>
        </w:rPr>
      </w:pPr>
      <w:bookmarkStart w:id="22" w:name="_Toc15396606"/>
      <w:bookmarkStart w:id="23" w:name="_Toc8540_WPSOffice_Level2"/>
      <w:bookmarkStart w:id="24" w:name="_Toc15377208"/>
      <w:r>
        <w:rPr>
          <w:rFonts w:hint="default"/>
        </w:rPr>
        <w:t>四、财政拨款收入支出决算总体情况说明</w:t>
      </w:r>
      <w:bookmarkEnd w:id="22"/>
      <w:bookmarkEnd w:id="23"/>
      <w:bookmarkEnd w:id="24"/>
    </w:p>
    <w:p w14:paraId="3E087E1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年度财政拨款收、支总计均为</w:t>
      </w:r>
      <w:r>
        <w:rPr>
          <w:rFonts w:hint="eastAsia" w:eastAsia="方正仿宋_GBK" w:cs="Times New Roman"/>
          <w:sz w:val="32"/>
          <w:szCs w:val="32"/>
          <w:lang w:val="en-US" w:eastAsia="zh-CN"/>
        </w:rPr>
        <w:t>1545.49</w:t>
      </w:r>
      <w:r>
        <w:rPr>
          <w:rFonts w:hint="default" w:ascii="Times New Roman" w:hAnsi="Times New Roman" w:eastAsia="方正仿宋_GBK" w:cs="Times New Roman"/>
          <w:sz w:val="32"/>
          <w:szCs w:val="32"/>
        </w:rPr>
        <w:t>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eastAsia" w:eastAsia="方正仿宋_GBK" w:cs="Times New Roman"/>
          <w:sz w:val="32"/>
          <w:szCs w:val="32"/>
          <w:lang w:val="en-US" w:eastAsia="zh-CN"/>
        </w:rPr>
        <w:t>1278.72</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相比，财政拨款收、支总计各</w:t>
      </w:r>
      <w:r>
        <w:rPr>
          <w:rFonts w:hint="default" w:ascii="Times New Roman" w:hAnsi="Times New Roman" w:eastAsia="方正仿宋_GBK" w:cs="Times New Roman"/>
          <w:sz w:val="32"/>
          <w:szCs w:val="32"/>
          <w:lang w:val="en-US" w:eastAsia="zh-CN"/>
        </w:rPr>
        <w:t>增加</w:t>
      </w:r>
      <w:r>
        <w:rPr>
          <w:rFonts w:hint="eastAsia" w:eastAsia="方正仿宋_GBK" w:cs="Times New Roman"/>
          <w:sz w:val="32"/>
          <w:szCs w:val="32"/>
          <w:lang w:val="en-US" w:eastAsia="zh-CN"/>
        </w:rPr>
        <w:t>266.77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增长</w:t>
      </w:r>
      <w:r>
        <w:rPr>
          <w:rFonts w:hint="eastAsia" w:eastAsia="方正仿宋_GBK" w:cs="Times New Roman"/>
          <w:sz w:val="32"/>
          <w:szCs w:val="32"/>
          <w:lang w:val="en-US" w:eastAsia="zh-CN"/>
        </w:rPr>
        <w:t>17.26</w:t>
      </w:r>
      <w:r>
        <w:rPr>
          <w:rFonts w:hint="default" w:ascii="Times New Roman" w:hAnsi="Times New Roman" w:eastAsia="方正仿宋_GBK" w:cs="Times New Roman"/>
          <w:sz w:val="32"/>
          <w:szCs w:val="32"/>
        </w:rPr>
        <w:t>%。主要变动原因</w:t>
      </w:r>
      <w:r>
        <w:rPr>
          <w:rFonts w:hint="default" w:ascii="Times New Roman" w:hAnsi="Times New Roman" w:eastAsia="方正仿宋_GBK" w:cs="Times New Roman"/>
          <w:b w:val="0"/>
          <w:bCs/>
          <w:kern w:val="0"/>
          <w:sz w:val="32"/>
          <w:szCs w:val="32"/>
          <w:u w:val="none"/>
          <w:lang w:val="en-US" w:eastAsia="zh-CN" w:bidi="ar-SA"/>
        </w:rPr>
        <w:t>是</w:t>
      </w:r>
      <w:r>
        <w:rPr>
          <w:rFonts w:hint="eastAsia" w:eastAsia="方正仿宋_GBK" w:cs="Times New Roman"/>
          <w:b w:val="0"/>
          <w:bCs/>
          <w:kern w:val="0"/>
          <w:sz w:val="32"/>
          <w:szCs w:val="32"/>
          <w:u w:val="none"/>
          <w:lang w:val="en-US" w:eastAsia="zh-CN" w:bidi="ar-SA"/>
        </w:rPr>
        <w:t>：</w:t>
      </w:r>
      <w:r>
        <w:rPr>
          <w:rFonts w:hint="default" w:ascii="Times New Roman" w:hAnsi="Times New Roman" w:eastAsia="方正仿宋_GBK" w:cs="Times New Roman"/>
          <w:b w:val="0"/>
          <w:bCs/>
          <w:kern w:val="0"/>
          <w:sz w:val="32"/>
          <w:szCs w:val="32"/>
          <w:u w:val="none"/>
          <w:lang w:val="en-US" w:eastAsia="zh-CN" w:bidi="ar-SA"/>
        </w:rPr>
        <w:t>2024年一般公共预算财政拨款收入增加，政府性基金预算财政拨款收入增加，收、支总计增加。</w:t>
      </w:r>
    </w:p>
    <w:p w14:paraId="5BA478FD">
      <w:pPr>
        <w:spacing w:line="600" w:lineRule="exact"/>
        <w:jc w:val="center"/>
        <w:rPr>
          <w:rFonts w:ascii="仿宋" w:hAnsi="仿宋" w:eastAsia="仿宋"/>
          <w:sz w:val="32"/>
          <w:szCs w:val="32"/>
        </w:rPr>
      </w:pPr>
      <w:bookmarkStart w:id="25" w:name="_Toc15396607"/>
      <w:bookmarkStart w:id="26" w:name="_Toc15377209"/>
      <w:r>
        <w:rPr>
          <w:rFonts w:hint="eastAsia" w:ascii="仿宋" w:hAnsi="仿宋" w:eastAsia="仿宋"/>
          <w:sz w:val="32"/>
          <w:szCs w:val="32"/>
        </w:rPr>
        <w:t>（图4：财政拨款收、支决算总计变动情况）（柱状图）</w:t>
      </w:r>
    </w:p>
    <w:p w14:paraId="7B91CF0F">
      <w:pPr>
        <w:rPr>
          <w:rFonts w:hint="default"/>
        </w:rPr>
      </w:pPr>
      <w:r>
        <w:drawing>
          <wp:inline distT="0" distB="0" distL="114300" distR="114300">
            <wp:extent cx="5271135" cy="3894455"/>
            <wp:effectExtent l="0" t="0" r="5715" b="1079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2"/>
                    <a:stretch>
                      <a:fillRect/>
                    </a:stretch>
                  </pic:blipFill>
                  <pic:spPr>
                    <a:xfrm>
                      <a:off x="0" y="0"/>
                      <a:ext cx="5271135" cy="3894455"/>
                    </a:xfrm>
                    <a:prstGeom prst="rect">
                      <a:avLst/>
                    </a:prstGeom>
                    <a:noFill/>
                    <a:ln>
                      <a:noFill/>
                    </a:ln>
                  </pic:spPr>
                </pic:pic>
              </a:graphicData>
            </a:graphic>
          </wp:inline>
        </w:drawing>
      </w:r>
    </w:p>
    <w:p w14:paraId="7F6238E0">
      <w:pPr>
        <w:pStyle w:val="4"/>
        <w:bidi w:val="0"/>
        <w:rPr>
          <w:rFonts w:hint="default"/>
        </w:rPr>
      </w:pPr>
      <w:bookmarkStart w:id="27" w:name="_Toc2103_WPSOffice_Level2"/>
      <w:r>
        <w:rPr>
          <w:rFonts w:hint="default"/>
        </w:rPr>
        <w:t>五、一般公共预算财政拨款支出决算情况说明</w:t>
      </w:r>
      <w:bookmarkEnd w:id="25"/>
      <w:bookmarkEnd w:id="26"/>
      <w:bookmarkEnd w:id="27"/>
    </w:p>
    <w:p w14:paraId="26E02143">
      <w:pPr>
        <w:spacing w:line="600" w:lineRule="exact"/>
        <w:ind w:firstLine="643" w:firstLineChars="200"/>
        <w:outlineLvl w:val="2"/>
        <w:rPr>
          <w:rFonts w:hint="default" w:ascii="Times New Roman" w:hAnsi="Times New Roman" w:eastAsia="方正楷体_GBK" w:cs="Times New Roman"/>
          <w:b/>
          <w:sz w:val="32"/>
          <w:szCs w:val="32"/>
        </w:rPr>
      </w:pPr>
      <w:bookmarkStart w:id="28" w:name="_Toc15377210"/>
      <w:r>
        <w:rPr>
          <w:rFonts w:hint="default" w:ascii="Times New Roman" w:hAnsi="Times New Roman" w:eastAsia="方正楷体_GBK" w:cs="Times New Roman"/>
          <w:b/>
          <w:sz w:val="32"/>
          <w:szCs w:val="32"/>
        </w:rPr>
        <w:t>（一）一般公共预算财政拨款支出决算总体情况</w:t>
      </w:r>
      <w:bookmarkEnd w:id="28"/>
    </w:p>
    <w:p w14:paraId="58A6684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仿宋"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eastAsia" w:eastAsia="方正仿宋_GBK" w:cs="Times New Roman"/>
          <w:sz w:val="32"/>
          <w:szCs w:val="32"/>
          <w:lang w:val="en-US" w:eastAsia="zh-CN"/>
        </w:rPr>
        <w:t>1534.14</w:t>
      </w:r>
      <w:r>
        <w:rPr>
          <w:rFonts w:hint="default" w:ascii="Times New Roman" w:hAnsi="Times New Roman" w:eastAsia="方正仿宋_GBK" w:cs="Times New Roman"/>
          <w:sz w:val="32"/>
          <w:szCs w:val="32"/>
        </w:rPr>
        <w:t>万元，占本年支出合计的</w:t>
      </w:r>
      <w:r>
        <w:rPr>
          <w:rFonts w:hint="eastAsia" w:eastAsia="方正仿宋_GBK" w:cs="Times New Roman"/>
          <w:sz w:val="32"/>
          <w:szCs w:val="32"/>
          <w:lang w:val="en-US" w:eastAsia="zh-CN"/>
        </w:rPr>
        <w:t>98.88</w:t>
      </w:r>
      <w:r>
        <w:rPr>
          <w:rFonts w:hint="default" w:ascii="Times New Roman" w:hAnsi="Times New Roman" w:eastAsia="方正仿宋_GBK" w:cs="Times New Roman"/>
          <w:sz w:val="32"/>
          <w:szCs w:val="32"/>
        </w:rPr>
        <w:t>%。与202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eastAsia" w:eastAsia="方正仿宋_GBK" w:cs="Times New Roman"/>
          <w:sz w:val="32"/>
          <w:szCs w:val="32"/>
          <w:lang w:val="en-US" w:eastAsia="zh-CN"/>
        </w:rPr>
        <w:t>1278.72</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相比，一般公共预算财政拨款支出</w:t>
      </w:r>
      <w:r>
        <w:rPr>
          <w:rFonts w:hint="default" w:ascii="Times New Roman" w:hAnsi="Times New Roman" w:eastAsia="方正仿宋_GBK" w:cs="Times New Roman"/>
          <w:sz w:val="32"/>
          <w:szCs w:val="32"/>
          <w:lang w:val="en-US" w:eastAsia="zh-CN"/>
        </w:rPr>
        <w:t>增加</w:t>
      </w:r>
      <w:r>
        <w:rPr>
          <w:rFonts w:hint="eastAsia" w:eastAsia="方正仿宋_GBK" w:cs="Times New Roman"/>
          <w:sz w:val="32"/>
          <w:szCs w:val="32"/>
          <w:lang w:val="en-US" w:eastAsia="zh-CN"/>
        </w:rPr>
        <w:t>255.42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增加</w:t>
      </w:r>
      <w:r>
        <w:rPr>
          <w:rFonts w:hint="eastAsia" w:eastAsia="方正仿宋_GBK" w:cs="Times New Roman"/>
          <w:sz w:val="32"/>
          <w:szCs w:val="32"/>
          <w:lang w:val="en-US" w:eastAsia="zh-CN"/>
        </w:rPr>
        <w:t>16.64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kern w:val="0"/>
          <w:sz w:val="32"/>
          <w:szCs w:val="20"/>
          <w:u w:val="none"/>
          <w:lang w:val="en-US" w:eastAsia="zh-CN" w:bidi="ar-SA"/>
        </w:rPr>
        <w:t>主要变动原因是</w:t>
      </w:r>
      <w:r>
        <w:rPr>
          <w:rFonts w:hint="eastAsia" w:eastAsia="方正仿宋_GBK" w:cs="Times New Roman"/>
          <w:b w:val="0"/>
          <w:bCs/>
          <w:kern w:val="0"/>
          <w:sz w:val="32"/>
          <w:szCs w:val="20"/>
          <w:u w:val="none"/>
          <w:lang w:val="en-US" w:eastAsia="zh-CN" w:bidi="ar-SA"/>
        </w:rPr>
        <w:t>：</w:t>
      </w:r>
      <w:r>
        <w:rPr>
          <w:rFonts w:hint="default" w:ascii="Times New Roman" w:hAnsi="Times New Roman" w:eastAsia="方正仿宋_GBK" w:cs="Times New Roman"/>
          <w:b w:val="0"/>
          <w:bCs/>
          <w:kern w:val="0"/>
          <w:sz w:val="32"/>
          <w:szCs w:val="20"/>
          <w:u w:val="none"/>
          <w:lang w:val="en-US" w:eastAsia="zh-CN" w:bidi="ar-SA"/>
        </w:rPr>
        <w:t>2024年一般公共预算财政拨款收入增加，</w:t>
      </w:r>
      <w:r>
        <w:rPr>
          <w:rFonts w:hint="eastAsia" w:eastAsia="方正仿宋_GBK" w:cs="Times New Roman"/>
          <w:b w:val="0"/>
          <w:bCs/>
          <w:kern w:val="0"/>
          <w:sz w:val="32"/>
          <w:szCs w:val="20"/>
          <w:u w:val="none"/>
          <w:lang w:val="en-US" w:eastAsia="zh-CN" w:bidi="ar-SA"/>
        </w:rPr>
        <w:t>支出</w:t>
      </w:r>
      <w:r>
        <w:rPr>
          <w:rFonts w:hint="default" w:ascii="Times New Roman" w:hAnsi="Times New Roman" w:eastAsia="方正仿宋_GBK" w:cs="Times New Roman"/>
          <w:b w:val="0"/>
          <w:bCs/>
          <w:kern w:val="0"/>
          <w:sz w:val="32"/>
          <w:szCs w:val="20"/>
          <w:u w:val="none"/>
          <w:lang w:val="en-US" w:eastAsia="zh-CN" w:bidi="ar-SA"/>
        </w:rPr>
        <w:t>总计增加。</w:t>
      </w:r>
    </w:p>
    <w:p w14:paraId="50FBFF08">
      <w:pPr>
        <w:spacing w:line="600" w:lineRule="exact"/>
        <w:jc w:val="center"/>
        <w:rPr>
          <w:rFonts w:ascii="仿宋" w:hAnsi="仿宋" w:eastAsia="仿宋"/>
          <w:sz w:val="32"/>
          <w:szCs w:val="32"/>
        </w:rPr>
      </w:pPr>
      <w:bookmarkStart w:id="29" w:name="_Toc15377211"/>
      <w:r>
        <w:rPr>
          <w:rFonts w:hint="eastAsia" w:ascii="仿宋" w:hAnsi="仿宋" w:eastAsia="仿宋"/>
          <w:sz w:val="32"/>
          <w:szCs w:val="32"/>
        </w:rPr>
        <w:t>（图5：一般公共预算财政拨款支出决算变动情况）（柱状图）</w:t>
      </w:r>
    </w:p>
    <w:p w14:paraId="2AFD8886">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方正楷体_GBK" w:cs="Times New Roman"/>
          <w:b/>
          <w:sz w:val="32"/>
          <w:szCs w:val="32"/>
        </w:rPr>
      </w:pPr>
      <w:r>
        <w:drawing>
          <wp:inline distT="0" distB="0" distL="114300" distR="114300">
            <wp:extent cx="5210175" cy="2819400"/>
            <wp:effectExtent l="0" t="0" r="9525"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3"/>
                    <a:stretch>
                      <a:fillRect/>
                    </a:stretch>
                  </pic:blipFill>
                  <pic:spPr>
                    <a:xfrm>
                      <a:off x="0" y="0"/>
                      <a:ext cx="5210175" cy="2819400"/>
                    </a:xfrm>
                    <a:prstGeom prst="rect">
                      <a:avLst/>
                    </a:prstGeom>
                    <a:noFill/>
                    <a:ln>
                      <a:noFill/>
                    </a:ln>
                  </pic:spPr>
                </pic:pic>
              </a:graphicData>
            </a:graphic>
          </wp:inline>
        </w:drawing>
      </w:r>
    </w:p>
    <w:p w14:paraId="760923CB">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（二）一般公共预算财政拨款支出决算结构情况</w:t>
      </w:r>
      <w:bookmarkEnd w:id="29"/>
    </w:p>
    <w:p w14:paraId="2C5B21C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年度一般公共预算财政拨款支出</w:t>
      </w:r>
      <w:r>
        <w:rPr>
          <w:rFonts w:hint="eastAsia" w:eastAsia="方正仿宋_GBK" w:cs="Times New Roman"/>
          <w:b w:val="0"/>
          <w:bCs w:val="0"/>
          <w:sz w:val="32"/>
          <w:szCs w:val="32"/>
          <w:lang w:val="en-US" w:eastAsia="zh-CN"/>
        </w:rPr>
        <w:t>1534.14</w:t>
      </w:r>
      <w:r>
        <w:rPr>
          <w:rFonts w:hint="default" w:ascii="Times New Roman" w:hAnsi="Times New Roman" w:eastAsia="方正仿宋_GBK" w:cs="Times New Roman"/>
          <w:b w:val="0"/>
          <w:bCs w:val="0"/>
          <w:sz w:val="32"/>
          <w:szCs w:val="32"/>
        </w:rPr>
        <w:t>万元，主要用于以下方面:一般公共服务支出</w:t>
      </w:r>
      <w:r>
        <w:rPr>
          <w:rFonts w:hint="eastAsia" w:eastAsia="方正仿宋_GBK" w:cs="Times New Roman"/>
          <w:b w:val="0"/>
          <w:bCs w:val="0"/>
          <w:sz w:val="32"/>
          <w:szCs w:val="32"/>
          <w:lang w:val="en-US" w:eastAsia="zh-CN"/>
        </w:rPr>
        <w:t>471.72</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30.75</w:t>
      </w:r>
      <w:r>
        <w:rPr>
          <w:rFonts w:hint="default" w:ascii="Times New Roman" w:hAnsi="Times New Roman" w:eastAsia="方正仿宋_GBK" w:cs="Times New Roman"/>
          <w:b w:val="0"/>
          <w:bCs w:val="0"/>
          <w:sz w:val="32"/>
          <w:szCs w:val="32"/>
        </w:rPr>
        <w:t>%；文化旅游体育与传媒支出</w:t>
      </w:r>
      <w:r>
        <w:rPr>
          <w:rFonts w:hint="eastAsia" w:eastAsia="方正仿宋_GBK" w:cs="Times New Roman"/>
          <w:b w:val="0"/>
          <w:bCs w:val="0"/>
          <w:sz w:val="32"/>
          <w:szCs w:val="32"/>
          <w:lang w:val="en-US" w:eastAsia="zh-CN"/>
        </w:rPr>
        <w:t>33.73</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2.20</w:t>
      </w:r>
      <w:r>
        <w:rPr>
          <w:rFonts w:hint="default" w:ascii="Times New Roman" w:hAnsi="Times New Roman" w:eastAsia="方正仿宋_GBK" w:cs="Times New Roman"/>
          <w:b w:val="0"/>
          <w:bCs w:val="0"/>
          <w:sz w:val="32"/>
          <w:szCs w:val="32"/>
        </w:rPr>
        <w:t>%；社会保障和就业支出</w:t>
      </w:r>
      <w:r>
        <w:rPr>
          <w:rFonts w:hint="eastAsia" w:eastAsia="方正仿宋_GBK" w:cs="Times New Roman"/>
          <w:b w:val="0"/>
          <w:bCs w:val="0"/>
          <w:sz w:val="32"/>
          <w:szCs w:val="32"/>
          <w:lang w:val="en-US" w:eastAsia="zh-CN"/>
        </w:rPr>
        <w:t>168.68</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highlight w:val="none"/>
        </w:rPr>
        <w:t>，占</w:t>
      </w:r>
      <w:r>
        <w:rPr>
          <w:rFonts w:hint="eastAsia" w:eastAsia="方正仿宋_GBK" w:cs="Times New Roman"/>
          <w:b w:val="0"/>
          <w:bCs w:val="0"/>
          <w:sz w:val="32"/>
          <w:szCs w:val="32"/>
          <w:highlight w:val="none"/>
          <w:lang w:val="en-US" w:eastAsia="zh-CN"/>
        </w:rPr>
        <w:t>11.00</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rPr>
        <w:t>卫生健康支出</w:t>
      </w:r>
      <w:r>
        <w:rPr>
          <w:rFonts w:hint="eastAsia" w:eastAsia="方正仿宋_GBK" w:cs="Times New Roman"/>
          <w:b w:val="0"/>
          <w:bCs w:val="0"/>
          <w:sz w:val="32"/>
          <w:szCs w:val="32"/>
          <w:lang w:val="en-US" w:eastAsia="zh-CN"/>
        </w:rPr>
        <w:t>60.95</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3.97</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节能环保</w:t>
      </w:r>
      <w:r>
        <w:rPr>
          <w:rFonts w:hint="default" w:ascii="Times New Roman" w:hAnsi="Times New Roman" w:eastAsia="方正仿宋_GBK" w:cs="Times New Roman"/>
          <w:b w:val="0"/>
          <w:bCs w:val="0"/>
          <w:sz w:val="32"/>
          <w:szCs w:val="32"/>
        </w:rPr>
        <w:t>支出</w:t>
      </w:r>
      <w:r>
        <w:rPr>
          <w:rFonts w:hint="eastAsia" w:eastAsia="方正仿宋_GBK" w:cs="Times New Roman"/>
          <w:b w:val="0"/>
          <w:bCs w:val="0"/>
          <w:sz w:val="32"/>
          <w:szCs w:val="32"/>
          <w:lang w:val="en-US" w:eastAsia="zh-CN"/>
        </w:rPr>
        <w:t>19.90</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1.30</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kern w:val="0"/>
          <w:sz w:val="32"/>
          <w:szCs w:val="20"/>
          <w:highlight w:val="none"/>
          <w:u w:val="none"/>
          <w:lang w:val="en-US" w:eastAsia="zh-CN" w:bidi="ar-SA"/>
        </w:rPr>
        <w:t>农林水支出</w:t>
      </w:r>
      <w:r>
        <w:rPr>
          <w:rFonts w:hint="eastAsia" w:eastAsia="方正仿宋_GBK" w:cs="Times New Roman"/>
          <w:b w:val="0"/>
          <w:bCs w:val="0"/>
          <w:kern w:val="0"/>
          <w:sz w:val="32"/>
          <w:szCs w:val="20"/>
          <w:highlight w:val="none"/>
          <w:u w:val="none"/>
          <w:lang w:val="en-US" w:eastAsia="zh-CN" w:bidi="ar-SA"/>
        </w:rPr>
        <w:t>722.72</w:t>
      </w:r>
      <w:r>
        <w:rPr>
          <w:rFonts w:hint="default" w:ascii="Times New Roman" w:hAnsi="Times New Roman" w:eastAsia="方正仿宋_GBK" w:cs="Times New Roman"/>
          <w:b w:val="0"/>
          <w:bCs w:val="0"/>
          <w:kern w:val="0"/>
          <w:sz w:val="32"/>
          <w:szCs w:val="20"/>
          <w:highlight w:val="none"/>
          <w:u w:val="none"/>
          <w:lang w:val="en-US" w:eastAsia="zh-CN" w:bidi="ar-SA"/>
        </w:rPr>
        <w:t>万元，占</w:t>
      </w:r>
      <w:r>
        <w:rPr>
          <w:rFonts w:hint="eastAsia" w:eastAsia="方正仿宋_GBK" w:cs="Times New Roman"/>
          <w:b w:val="0"/>
          <w:bCs w:val="0"/>
          <w:kern w:val="0"/>
          <w:sz w:val="32"/>
          <w:szCs w:val="20"/>
          <w:highlight w:val="none"/>
          <w:u w:val="none"/>
          <w:lang w:val="en-US" w:eastAsia="zh-CN" w:bidi="ar-SA"/>
        </w:rPr>
        <w:t>47.11</w:t>
      </w:r>
      <w:r>
        <w:rPr>
          <w:rFonts w:hint="default" w:ascii="Times New Roman" w:hAnsi="Times New Roman" w:eastAsia="方正仿宋_GBK" w:cs="Times New Roman"/>
          <w:b w:val="0"/>
          <w:bCs w:val="0"/>
          <w:kern w:val="0"/>
          <w:sz w:val="32"/>
          <w:szCs w:val="20"/>
          <w:highlight w:val="none"/>
          <w:u w:val="none"/>
          <w:lang w:val="en-US" w:eastAsia="zh-CN" w:bidi="ar-SA"/>
        </w:rPr>
        <w:t>%；住房保障支出</w:t>
      </w:r>
      <w:r>
        <w:rPr>
          <w:rFonts w:hint="eastAsia" w:eastAsia="方正仿宋_GBK" w:cs="Times New Roman"/>
          <w:b w:val="0"/>
          <w:bCs w:val="0"/>
          <w:kern w:val="0"/>
          <w:sz w:val="32"/>
          <w:szCs w:val="20"/>
          <w:highlight w:val="none"/>
          <w:u w:val="none"/>
          <w:lang w:val="en-US" w:eastAsia="zh-CN" w:bidi="ar-SA"/>
        </w:rPr>
        <w:t>56.44</w:t>
      </w:r>
      <w:r>
        <w:rPr>
          <w:rFonts w:hint="default" w:ascii="Times New Roman" w:hAnsi="Times New Roman" w:eastAsia="方正仿宋_GBK" w:cs="Times New Roman"/>
          <w:b w:val="0"/>
          <w:bCs w:val="0"/>
          <w:kern w:val="0"/>
          <w:sz w:val="32"/>
          <w:szCs w:val="20"/>
          <w:highlight w:val="none"/>
          <w:u w:val="none"/>
          <w:lang w:val="en-US" w:eastAsia="zh-CN" w:bidi="ar-SA"/>
        </w:rPr>
        <w:t>万元，占</w:t>
      </w:r>
      <w:r>
        <w:rPr>
          <w:rFonts w:hint="eastAsia" w:eastAsia="方正仿宋_GBK" w:cs="Times New Roman"/>
          <w:b w:val="0"/>
          <w:bCs w:val="0"/>
          <w:kern w:val="0"/>
          <w:sz w:val="32"/>
          <w:szCs w:val="20"/>
          <w:highlight w:val="none"/>
          <w:u w:val="none"/>
          <w:lang w:val="en-US" w:eastAsia="zh-CN" w:bidi="ar-SA"/>
        </w:rPr>
        <w:t>3.68</w:t>
      </w:r>
      <w:r>
        <w:rPr>
          <w:rFonts w:hint="default" w:ascii="Times New Roman" w:hAnsi="Times New Roman" w:eastAsia="方正仿宋_GBK" w:cs="Times New Roman"/>
          <w:b w:val="0"/>
          <w:bCs w:val="0"/>
          <w:kern w:val="0"/>
          <w:sz w:val="32"/>
          <w:szCs w:val="20"/>
          <w:highlight w:val="none"/>
          <w:u w:val="none"/>
          <w:lang w:val="en-US" w:eastAsia="zh-CN" w:bidi="ar-SA"/>
        </w:rPr>
        <w:t>%。</w:t>
      </w:r>
    </w:p>
    <w:p w14:paraId="42DE133D">
      <w:pPr>
        <w:rPr>
          <w:rFonts w:hint="eastAsia" w:ascii="仿宋" w:hAnsi="仿宋" w:eastAsia="仿宋"/>
          <w:sz w:val="32"/>
          <w:szCs w:val="32"/>
        </w:rPr>
      </w:pPr>
      <w:r>
        <w:rPr>
          <w:rFonts w:hint="eastAsia" w:ascii="仿宋" w:hAnsi="仿宋" w:eastAsia="仿宋"/>
          <w:sz w:val="32"/>
          <w:szCs w:val="32"/>
        </w:rPr>
        <w:br w:type="page"/>
      </w:r>
    </w:p>
    <w:p w14:paraId="38CF0B3C">
      <w:pPr>
        <w:spacing w:line="600" w:lineRule="exact"/>
        <w:jc w:val="center"/>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4BE9AEBD">
      <w:pPr>
        <w:jc w:val="center"/>
        <w:rPr>
          <w:rFonts w:hint="default"/>
        </w:rPr>
      </w:pPr>
      <w:r>
        <w:drawing>
          <wp:inline distT="0" distB="0" distL="114300" distR="114300">
            <wp:extent cx="5295900" cy="4008120"/>
            <wp:effectExtent l="0" t="0" r="0" b="1143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4"/>
                    <a:stretch>
                      <a:fillRect/>
                    </a:stretch>
                  </pic:blipFill>
                  <pic:spPr>
                    <a:xfrm>
                      <a:off x="0" y="0"/>
                      <a:ext cx="5295900" cy="4008120"/>
                    </a:xfrm>
                    <a:prstGeom prst="rect">
                      <a:avLst/>
                    </a:prstGeom>
                    <a:noFill/>
                    <a:ln>
                      <a:noFill/>
                    </a:ln>
                  </pic:spPr>
                </pic:pic>
              </a:graphicData>
            </a:graphic>
          </wp:inline>
        </w:drawing>
      </w:r>
    </w:p>
    <w:p w14:paraId="32129A6F">
      <w:pPr>
        <w:spacing w:line="600" w:lineRule="exact"/>
        <w:ind w:firstLine="643" w:firstLineChars="200"/>
        <w:outlineLvl w:val="2"/>
        <w:rPr>
          <w:rFonts w:hint="default" w:ascii="Times New Roman" w:hAnsi="Times New Roman" w:eastAsia="方正楷体_GBK" w:cs="Times New Roman"/>
          <w:b/>
          <w:sz w:val="32"/>
          <w:szCs w:val="32"/>
        </w:rPr>
      </w:pPr>
      <w:bookmarkStart w:id="30" w:name="_Toc15377212"/>
      <w:r>
        <w:rPr>
          <w:rFonts w:hint="default" w:ascii="Times New Roman" w:hAnsi="Times New Roman" w:eastAsia="方正楷体_GBK" w:cs="Times New Roman"/>
          <w:b/>
          <w:sz w:val="32"/>
          <w:szCs w:val="32"/>
        </w:rPr>
        <w:t>（三）一般公共预算财政拨款支出决算具体情况</w:t>
      </w:r>
      <w:bookmarkEnd w:id="30"/>
    </w:p>
    <w:p w14:paraId="4C6C0E1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default" w:ascii="Times New Roman" w:hAnsi="Times New Roman" w:eastAsia="方正仿宋_GBK" w:cs="Times New Roman"/>
          <w:b w:val="0"/>
          <w:bCs/>
          <w:sz w:val="32"/>
          <w:szCs w:val="32"/>
        </w:rPr>
      </w:pPr>
      <w:bookmarkStart w:id="31" w:name="_Toc15378460"/>
      <w:bookmarkStart w:id="32" w:name="_Toc15377213"/>
      <w:bookmarkStart w:id="33" w:name="_Toc15377444"/>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年度一般公共预算支出决算数为</w:t>
      </w:r>
      <w:r>
        <w:rPr>
          <w:rFonts w:hint="eastAsia" w:eastAsia="方正仿宋_GBK" w:cs="Times New Roman"/>
          <w:b w:val="0"/>
          <w:bCs/>
          <w:sz w:val="32"/>
          <w:szCs w:val="32"/>
          <w:lang w:val="en-US" w:eastAsia="zh-CN"/>
        </w:rPr>
        <w:t>1534.14</w:t>
      </w:r>
      <w:r>
        <w:rPr>
          <w:rFonts w:hint="default" w:ascii="Times New Roman" w:hAnsi="Times New Roman" w:eastAsia="方正仿宋_GBK" w:cs="Times New Roman"/>
          <w:b w:val="0"/>
          <w:bCs/>
          <w:sz w:val="32"/>
          <w:szCs w:val="32"/>
          <w:lang w:val="en-US" w:eastAsia="zh-CN"/>
        </w:rPr>
        <w:t>万元</w:t>
      </w:r>
      <w:r>
        <w:rPr>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rPr>
        <w:t>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%。其中：</w:t>
      </w:r>
      <w:bookmarkEnd w:id="31"/>
      <w:bookmarkEnd w:id="32"/>
      <w:bookmarkEnd w:id="33"/>
    </w:p>
    <w:p w14:paraId="356AB696">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w:t>
      </w:r>
      <w:r>
        <w:rPr>
          <w:rFonts w:hint="default" w:ascii="Times New Roman" w:hAnsi="Times New Roman" w:eastAsia="方正仿宋_GBK" w:cs="Times New Roman"/>
          <w:b w:val="0"/>
          <w:bCs/>
          <w:sz w:val="32"/>
          <w:szCs w:val="32"/>
          <w:highlight w:val="none"/>
          <w:lang w:val="en-US" w:eastAsia="zh-CN"/>
        </w:rPr>
        <w:t>一般公共服务201（类）人大事务01（款）行政运行01（项）:支出决算为</w:t>
      </w:r>
      <w:r>
        <w:rPr>
          <w:rFonts w:hint="eastAsia" w:eastAsia="方正仿宋_GBK" w:cs="Times New Roman"/>
          <w:b w:val="0"/>
          <w:bCs/>
          <w:sz w:val="32"/>
          <w:szCs w:val="32"/>
          <w:highlight w:val="none"/>
          <w:lang w:val="en-US" w:eastAsia="zh-CN"/>
        </w:rPr>
        <w:t>70.23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2F102EDC">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w:t>
      </w:r>
      <w:r>
        <w:rPr>
          <w:rFonts w:hint="default" w:ascii="Times New Roman" w:hAnsi="Times New Roman" w:eastAsia="方正仿宋_GBK" w:cs="Times New Roman"/>
          <w:b w:val="0"/>
          <w:bCs/>
          <w:sz w:val="32"/>
          <w:szCs w:val="32"/>
          <w:highlight w:val="none"/>
          <w:lang w:val="en-US" w:eastAsia="zh-CN"/>
        </w:rPr>
        <w:t>一般公共服务201（类）人大事务01（款）人大会议04（项）：支出决算为</w:t>
      </w:r>
      <w:r>
        <w:rPr>
          <w:rFonts w:hint="eastAsia" w:eastAsia="方正仿宋_GBK" w:cs="Times New Roman"/>
          <w:b w:val="0"/>
          <w:bCs/>
          <w:sz w:val="32"/>
          <w:szCs w:val="32"/>
          <w:highlight w:val="none"/>
          <w:lang w:val="en-US" w:eastAsia="zh-CN"/>
        </w:rPr>
        <w:t>3.18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7065D1A1">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w:t>
      </w:r>
      <w:r>
        <w:rPr>
          <w:rFonts w:hint="default" w:ascii="Times New Roman" w:hAnsi="Times New Roman" w:eastAsia="方正仿宋_GBK" w:cs="Times New Roman"/>
          <w:b w:val="0"/>
          <w:bCs/>
          <w:sz w:val="32"/>
          <w:szCs w:val="32"/>
          <w:highlight w:val="none"/>
          <w:lang w:val="en-US" w:eastAsia="zh-CN"/>
        </w:rPr>
        <w:t>一般公共服务201（类）人大事务01（款）99其他人大事务支出（项）：支出决算为</w:t>
      </w:r>
      <w:r>
        <w:rPr>
          <w:rFonts w:hint="eastAsia" w:eastAsia="方正仿宋_GBK" w:cs="Times New Roman"/>
          <w:b w:val="0"/>
          <w:bCs/>
          <w:sz w:val="32"/>
          <w:szCs w:val="32"/>
          <w:highlight w:val="none"/>
          <w:lang w:val="en-US" w:eastAsia="zh-CN"/>
        </w:rPr>
        <w:t>3.00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2793C103">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4.</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一般公共服务201（类）政府办公厅（室）及相关机构事务03（款）行政运行01（项）：支出决算为</w:t>
      </w:r>
      <w:r>
        <w:rPr>
          <w:rFonts w:hint="eastAsia" w:eastAsia="方正仿宋_GBK" w:cs="Times New Roman"/>
          <w:b w:val="0"/>
          <w:bCs/>
          <w:sz w:val="32"/>
          <w:szCs w:val="32"/>
          <w:highlight w:val="none"/>
          <w:lang w:val="en-US" w:eastAsia="zh-CN"/>
        </w:rPr>
        <w:t>225.80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6411B29D">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5.</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一般公共服务201（类）政府办公厅（室）及相关机构事务03（款）一般行政管理事务02（项）：支出决算为</w:t>
      </w:r>
      <w:r>
        <w:rPr>
          <w:rFonts w:hint="eastAsia" w:eastAsia="方正仿宋_GBK" w:cs="Times New Roman"/>
          <w:b w:val="0"/>
          <w:bCs/>
          <w:sz w:val="32"/>
          <w:szCs w:val="32"/>
          <w:highlight w:val="none"/>
          <w:lang w:val="en-US" w:eastAsia="zh-CN"/>
        </w:rPr>
        <w:t>28.33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61D070A2">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6.</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一般公共服务201（类）政府办公厅（室）及相关机构事务03（款）事业运行</w:t>
      </w:r>
      <w:r>
        <w:rPr>
          <w:rFonts w:hint="eastAsia" w:eastAsia="方正仿宋_GBK" w:cs="Times New Roman"/>
          <w:b w:val="0"/>
          <w:bCs/>
          <w:sz w:val="32"/>
          <w:szCs w:val="32"/>
          <w:highlight w:val="none"/>
          <w:lang w:val="en-US" w:eastAsia="zh-CN"/>
        </w:rPr>
        <w:t>50</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57.26</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3765201F">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7.</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一般公共服务201（类）政府办公厅（室）及相关机构事务03（款）其他政府办公厅(室)及相关机构事务支出99（项）:支出决算为</w:t>
      </w:r>
      <w:r>
        <w:rPr>
          <w:rFonts w:hint="eastAsia" w:eastAsia="方正仿宋_GBK" w:cs="Times New Roman"/>
          <w:b w:val="0"/>
          <w:bCs/>
          <w:sz w:val="32"/>
          <w:szCs w:val="32"/>
          <w:highlight w:val="none"/>
          <w:lang w:val="en-US" w:eastAsia="zh-CN"/>
        </w:rPr>
        <w:t>4.50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12DE05CD">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8.</w:t>
      </w:r>
      <w:r>
        <w:rPr>
          <w:rFonts w:hint="default" w:ascii="Times New Roman" w:hAnsi="Times New Roman" w:eastAsia="方正仿宋_GBK" w:cs="Times New Roman"/>
          <w:b w:val="0"/>
          <w:bCs/>
          <w:sz w:val="32"/>
          <w:szCs w:val="32"/>
          <w:highlight w:val="none"/>
          <w:lang w:val="en-US" w:eastAsia="zh-CN"/>
        </w:rPr>
        <w:t>一般公共服务201（类）</w:t>
      </w:r>
      <w:r>
        <w:rPr>
          <w:rFonts w:hint="eastAsia" w:eastAsia="方正仿宋_GBK" w:cs="Times New Roman"/>
          <w:b w:val="0"/>
          <w:bCs/>
          <w:sz w:val="32"/>
          <w:szCs w:val="32"/>
          <w:highlight w:val="none"/>
          <w:lang w:val="en-US" w:eastAsia="zh-CN"/>
        </w:rPr>
        <w:t>统计信息事务</w:t>
      </w:r>
      <w:r>
        <w:rPr>
          <w:rFonts w:hint="default" w:ascii="Times New Roman" w:hAnsi="Times New Roman" w:eastAsia="方正仿宋_GBK" w:cs="Times New Roman"/>
          <w:b w:val="0"/>
          <w:bCs/>
          <w:sz w:val="32"/>
          <w:szCs w:val="32"/>
          <w:highlight w:val="none"/>
          <w:lang w:val="en-US" w:eastAsia="zh-CN"/>
        </w:rPr>
        <w:t>0</w:t>
      </w:r>
      <w:r>
        <w:rPr>
          <w:rFonts w:hint="eastAsia" w:eastAsia="方正仿宋_GBK" w:cs="Times New Roman"/>
          <w:b w:val="0"/>
          <w:bCs/>
          <w:sz w:val="32"/>
          <w:szCs w:val="32"/>
          <w:highlight w:val="none"/>
          <w:lang w:val="en-US" w:eastAsia="zh-CN"/>
        </w:rPr>
        <w:t>5</w:t>
      </w:r>
      <w:r>
        <w:rPr>
          <w:rFonts w:hint="default" w:ascii="Times New Roman" w:hAnsi="Times New Roman" w:eastAsia="方正仿宋_GBK" w:cs="Times New Roman"/>
          <w:b w:val="0"/>
          <w:bCs/>
          <w:sz w:val="32"/>
          <w:szCs w:val="32"/>
          <w:highlight w:val="none"/>
          <w:lang w:val="en-US" w:eastAsia="zh-CN"/>
        </w:rPr>
        <w:t>（款）</w:t>
      </w:r>
      <w:r>
        <w:rPr>
          <w:rFonts w:hint="eastAsia" w:eastAsia="方正仿宋_GBK" w:cs="Times New Roman"/>
          <w:b w:val="0"/>
          <w:bCs/>
          <w:sz w:val="32"/>
          <w:szCs w:val="32"/>
          <w:highlight w:val="none"/>
          <w:lang w:val="en-US" w:eastAsia="zh-CN"/>
        </w:rPr>
        <w:t>专项普查活动07</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3.14</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0AB132C9">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9.</w:t>
      </w:r>
      <w:r>
        <w:rPr>
          <w:rFonts w:hint="default" w:ascii="Times New Roman" w:hAnsi="Times New Roman" w:eastAsia="方正仿宋_GBK" w:cs="Times New Roman"/>
          <w:b w:val="0"/>
          <w:bCs/>
          <w:sz w:val="32"/>
          <w:szCs w:val="32"/>
          <w:highlight w:val="none"/>
          <w:lang w:val="en-US" w:eastAsia="zh-CN"/>
        </w:rPr>
        <w:t>一般公共服务201（类）民族事务23（款）民族工作专项04（项）：支出决算为</w:t>
      </w:r>
      <w:r>
        <w:rPr>
          <w:rFonts w:hint="eastAsia" w:eastAsia="方正仿宋_GBK" w:cs="Times New Roman"/>
          <w:b w:val="0"/>
          <w:bCs/>
          <w:sz w:val="32"/>
          <w:szCs w:val="32"/>
          <w:highlight w:val="none"/>
          <w:lang w:val="en-US" w:eastAsia="zh-CN"/>
        </w:rPr>
        <w:t>1.51</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39BF9513">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10.</w:t>
      </w:r>
      <w:r>
        <w:rPr>
          <w:rFonts w:hint="default" w:ascii="Times New Roman" w:hAnsi="Times New Roman" w:eastAsia="方正仿宋_GBK" w:cs="Times New Roman"/>
          <w:b w:val="0"/>
          <w:bCs/>
          <w:sz w:val="32"/>
          <w:szCs w:val="32"/>
          <w:highlight w:val="none"/>
          <w:lang w:val="en-US" w:eastAsia="zh-CN"/>
        </w:rPr>
        <w:t>一般公共服务201（类）民族事务23（款）其他民族事务99（项）:支出决算为</w:t>
      </w:r>
      <w:r>
        <w:rPr>
          <w:rFonts w:hint="eastAsia" w:eastAsia="方正仿宋_GBK" w:cs="Times New Roman"/>
          <w:b w:val="0"/>
          <w:bCs/>
          <w:sz w:val="32"/>
          <w:szCs w:val="32"/>
          <w:highlight w:val="none"/>
          <w:lang w:val="en-US" w:eastAsia="zh-CN"/>
        </w:rPr>
        <w:t>1.20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7BE59979">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11.</w:t>
      </w:r>
      <w:r>
        <w:rPr>
          <w:rFonts w:hint="default" w:ascii="Times New Roman" w:hAnsi="Times New Roman" w:eastAsia="方正仿宋_GBK" w:cs="Times New Roman"/>
          <w:b w:val="0"/>
          <w:bCs/>
          <w:sz w:val="32"/>
          <w:szCs w:val="32"/>
          <w:highlight w:val="none"/>
          <w:lang w:val="en-US" w:eastAsia="zh-CN"/>
        </w:rPr>
        <w:t>一般公共服务201（类）党委办公厅（室）及相关机构事务31（款）行政运行01（项）:支出决算为</w:t>
      </w:r>
      <w:r>
        <w:rPr>
          <w:rFonts w:hint="eastAsia" w:eastAsia="方正仿宋_GBK" w:cs="Times New Roman"/>
          <w:b w:val="0"/>
          <w:bCs/>
          <w:sz w:val="32"/>
          <w:szCs w:val="32"/>
          <w:highlight w:val="none"/>
          <w:lang w:val="en-US" w:eastAsia="zh-CN"/>
        </w:rPr>
        <w:t>63.83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2B32D54D">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12.</w:t>
      </w:r>
      <w:r>
        <w:rPr>
          <w:rFonts w:hint="default" w:ascii="Times New Roman" w:hAnsi="Times New Roman" w:eastAsia="方正仿宋_GBK" w:cs="Times New Roman"/>
          <w:b w:val="0"/>
          <w:bCs/>
          <w:sz w:val="32"/>
          <w:szCs w:val="32"/>
          <w:highlight w:val="none"/>
          <w:lang w:val="en-US" w:eastAsia="zh-CN"/>
        </w:rPr>
        <w:t>一般公共服务201（类）党委办公厅（室）及相关机构事务31（款）一般行政管理事务02（项）:支出决算为</w:t>
      </w:r>
      <w:r>
        <w:rPr>
          <w:rFonts w:hint="eastAsia" w:eastAsia="方正仿宋_GBK" w:cs="Times New Roman"/>
          <w:b w:val="0"/>
          <w:bCs/>
          <w:sz w:val="32"/>
          <w:szCs w:val="32"/>
          <w:highlight w:val="none"/>
          <w:lang w:val="en-US" w:eastAsia="zh-CN"/>
        </w:rPr>
        <w:t>0.74</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1552D9EA">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13.</w:t>
      </w:r>
      <w:r>
        <w:rPr>
          <w:rFonts w:hint="default" w:ascii="Times New Roman" w:hAnsi="Times New Roman" w:eastAsia="方正仿宋_GBK" w:cs="Times New Roman"/>
          <w:b w:val="0"/>
          <w:bCs/>
          <w:sz w:val="32"/>
          <w:szCs w:val="32"/>
          <w:highlight w:val="none"/>
          <w:lang w:val="en-US" w:eastAsia="zh-CN"/>
        </w:rPr>
        <w:t>一般公共服务201（类）其他一般公共服务支出99（款）其他一般公共服务支出99（项）:支出决算为9</w:t>
      </w:r>
      <w:r>
        <w:rPr>
          <w:rFonts w:hint="eastAsia" w:eastAsia="方正仿宋_GBK" w:cs="Times New Roman"/>
          <w:b w:val="0"/>
          <w:bCs/>
          <w:sz w:val="32"/>
          <w:szCs w:val="32"/>
          <w:highlight w:val="none"/>
          <w:lang w:val="en-US" w:eastAsia="zh-CN"/>
        </w:rPr>
        <w:t>.00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23E0747A">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14.</w:t>
      </w:r>
      <w:r>
        <w:rPr>
          <w:rFonts w:hint="default" w:ascii="Times New Roman" w:hAnsi="Times New Roman" w:eastAsia="方正仿宋_GBK" w:cs="Times New Roman"/>
          <w:b w:val="0"/>
          <w:bCs/>
          <w:sz w:val="32"/>
          <w:szCs w:val="32"/>
          <w:highlight w:val="none"/>
          <w:lang w:val="en-US" w:eastAsia="zh-CN"/>
        </w:rPr>
        <w:t>文化旅游体育与传媒支出207（类）文化和旅游01（款）群众文化09（项）:支出决算为</w:t>
      </w:r>
      <w:r>
        <w:rPr>
          <w:rFonts w:hint="eastAsia" w:eastAsia="方正仿宋_GBK" w:cs="Times New Roman"/>
          <w:b w:val="0"/>
          <w:bCs/>
          <w:sz w:val="32"/>
          <w:szCs w:val="32"/>
          <w:highlight w:val="none"/>
          <w:lang w:val="en-US" w:eastAsia="zh-CN"/>
        </w:rPr>
        <w:t>29.38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70B889FD">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15.</w:t>
      </w:r>
      <w:r>
        <w:rPr>
          <w:rFonts w:hint="default" w:ascii="Times New Roman" w:hAnsi="Times New Roman" w:eastAsia="方正仿宋_GBK" w:cs="Times New Roman"/>
          <w:b w:val="0"/>
          <w:bCs/>
          <w:sz w:val="32"/>
          <w:szCs w:val="32"/>
          <w:highlight w:val="none"/>
          <w:lang w:val="en-US" w:eastAsia="zh-CN"/>
        </w:rPr>
        <w:t>文化旅游体育与传媒支出207（类）文化和旅游01（款）其他文化和旅游支出99（项）:支出决算为</w:t>
      </w:r>
      <w:r>
        <w:rPr>
          <w:rFonts w:hint="eastAsia" w:eastAsia="方正仿宋_GBK" w:cs="Times New Roman"/>
          <w:b w:val="0"/>
          <w:bCs/>
          <w:sz w:val="32"/>
          <w:szCs w:val="32"/>
          <w:highlight w:val="none"/>
          <w:lang w:val="en-US" w:eastAsia="zh-CN"/>
        </w:rPr>
        <w:t>4.35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23246572">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16.</w:t>
      </w:r>
      <w:r>
        <w:rPr>
          <w:rFonts w:hint="default" w:ascii="Times New Roman" w:hAnsi="Times New Roman" w:eastAsia="方正仿宋_GBK" w:cs="Times New Roman"/>
          <w:b w:val="0"/>
          <w:bCs/>
          <w:sz w:val="32"/>
          <w:szCs w:val="32"/>
          <w:highlight w:val="none"/>
          <w:lang w:val="en-US" w:eastAsia="zh-CN"/>
        </w:rPr>
        <w:t>社会保障和就业支出208（类）人力资源和社会保障管理事务01（款）社会保险经办机构09（项）：支出决算为</w:t>
      </w:r>
      <w:r>
        <w:rPr>
          <w:rFonts w:hint="eastAsia" w:eastAsia="方正仿宋_GBK" w:cs="Times New Roman"/>
          <w:b w:val="0"/>
          <w:bCs/>
          <w:sz w:val="32"/>
          <w:szCs w:val="32"/>
          <w:highlight w:val="none"/>
          <w:lang w:val="en-US" w:eastAsia="zh-CN"/>
        </w:rPr>
        <w:t>43.45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6910C8C6">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17.</w:t>
      </w:r>
      <w:r>
        <w:rPr>
          <w:rFonts w:hint="default" w:ascii="Times New Roman" w:hAnsi="Times New Roman" w:eastAsia="方正仿宋_GBK" w:cs="Times New Roman"/>
          <w:b w:val="0"/>
          <w:bCs/>
          <w:sz w:val="32"/>
          <w:szCs w:val="32"/>
          <w:highlight w:val="none"/>
          <w:lang w:val="en-US" w:eastAsia="zh-CN"/>
        </w:rPr>
        <w:t>社会保障和就业支出208（类）人力资源和社会保障管理事务01（款）其他人力资源和社会保障管理实务支出99（项）:支出决算为</w:t>
      </w:r>
      <w:r>
        <w:rPr>
          <w:rFonts w:hint="eastAsia" w:eastAsia="方正仿宋_GBK" w:cs="Times New Roman"/>
          <w:b w:val="0"/>
          <w:bCs/>
          <w:sz w:val="32"/>
          <w:szCs w:val="32"/>
          <w:highlight w:val="none"/>
          <w:lang w:val="en-US" w:eastAsia="zh-CN"/>
        </w:rPr>
        <w:t>20.23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643FF90B">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18.</w:t>
      </w:r>
      <w:r>
        <w:rPr>
          <w:rFonts w:hint="default" w:ascii="Times New Roman" w:hAnsi="Times New Roman" w:eastAsia="方正仿宋_GBK" w:cs="Times New Roman"/>
          <w:b w:val="0"/>
          <w:bCs/>
          <w:sz w:val="32"/>
          <w:szCs w:val="32"/>
          <w:highlight w:val="none"/>
          <w:lang w:val="en-US" w:eastAsia="zh-CN"/>
        </w:rPr>
        <w:t>社会保障和就业支出208（类）民政管理事务02（款）基层政权建设和社区治理08（项）:支出决算为</w:t>
      </w:r>
      <w:r>
        <w:rPr>
          <w:rFonts w:hint="eastAsia" w:eastAsia="方正仿宋_GBK" w:cs="Times New Roman"/>
          <w:b w:val="0"/>
          <w:bCs/>
          <w:sz w:val="32"/>
          <w:szCs w:val="32"/>
          <w:highlight w:val="none"/>
          <w:lang w:val="en-US" w:eastAsia="zh-CN"/>
        </w:rPr>
        <w:t>3.00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58BB363F">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19.</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社会保障和就业支出208（类）行政事业单位养老支出05（款）行政单位离退休01（项）：支出决算为</w:t>
      </w:r>
      <w:r>
        <w:rPr>
          <w:rFonts w:hint="eastAsia" w:eastAsia="方正仿宋_GBK" w:cs="Times New Roman"/>
          <w:b w:val="0"/>
          <w:bCs/>
          <w:sz w:val="32"/>
          <w:szCs w:val="32"/>
          <w:highlight w:val="none"/>
          <w:lang w:val="en-US" w:eastAsia="zh-CN"/>
        </w:rPr>
        <w:t>15.30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592339B0">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20.</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社会保障和就业支出208（类）行政事业单位养老支出05（款）事业单位离退休02（项）：支出决算为</w:t>
      </w:r>
      <w:r>
        <w:rPr>
          <w:rFonts w:hint="eastAsia" w:eastAsia="方正仿宋_GBK" w:cs="Times New Roman"/>
          <w:b w:val="0"/>
          <w:bCs/>
          <w:sz w:val="32"/>
          <w:szCs w:val="32"/>
          <w:highlight w:val="none"/>
          <w:lang w:val="en-US" w:eastAsia="zh-CN"/>
        </w:rPr>
        <w:t>17.23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2614C881">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21.</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社会保障和就业支出208（类）行政事业单位养老支出05（款）机关事业单位基本养老保险缴费支出05（项）：支出决算为</w:t>
      </w:r>
      <w:r>
        <w:rPr>
          <w:rFonts w:hint="eastAsia" w:eastAsia="方正仿宋_GBK" w:cs="Times New Roman"/>
          <w:b w:val="0"/>
          <w:bCs/>
          <w:sz w:val="32"/>
          <w:szCs w:val="32"/>
          <w:highlight w:val="none"/>
          <w:lang w:val="en-US" w:eastAsia="zh-CN"/>
        </w:rPr>
        <w:t>62.75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7BCBBDCF">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22.</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社会保障和就业支出208（类）行政事业单位养老支出05（款）机关事业单位职业年金缴费支出06（项）：支出决算为</w:t>
      </w:r>
      <w:r>
        <w:rPr>
          <w:rFonts w:hint="eastAsia" w:eastAsia="方正仿宋_GBK" w:cs="Times New Roman"/>
          <w:b w:val="0"/>
          <w:bCs/>
          <w:sz w:val="32"/>
          <w:szCs w:val="32"/>
          <w:highlight w:val="none"/>
          <w:lang w:val="en-US" w:eastAsia="zh-CN"/>
        </w:rPr>
        <w:t>5.23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06B9F444">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23.</w:t>
      </w:r>
      <w:r>
        <w:rPr>
          <w:rFonts w:hint="default" w:ascii="Times New Roman" w:hAnsi="Times New Roman" w:eastAsia="方正仿宋_GBK" w:cs="Times New Roman"/>
          <w:b w:val="0"/>
          <w:bCs/>
          <w:sz w:val="32"/>
          <w:szCs w:val="32"/>
          <w:highlight w:val="none"/>
          <w:lang w:val="en-US" w:eastAsia="zh-CN"/>
        </w:rPr>
        <w:t>社会保障和就业支出208（类）特困人员救助供养21（款）农村特困人员救助供养支出02（项）：支出决算为</w:t>
      </w:r>
      <w:r>
        <w:rPr>
          <w:rFonts w:hint="eastAsia" w:eastAsia="方正仿宋_GBK" w:cs="Times New Roman"/>
          <w:b w:val="0"/>
          <w:bCs/>
          <w:sz w:val="32"/>
          <w:szCs w:val="32"/>
          <w:highlight w:val="none"/>
          <w:lang w:val="en-US" w:eastAsia="zh-CN"/>
        </w:rPr>
        <w:t>1.50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0803BAFA">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24.</w:t>
      </w:r>
      <w:r>
        <w:rPr>
          <w:rFonts w:hint="default" w:ascii="Times New Roman" w:hAnsi="Times New Roman" w:eastAsia="方正仿宋_GBK" w:cs="Times New Roman"/>
          <w:b w:val="0"/>
          <w:bCs/>
          <w:sz w:val="32"/>
          <w:szCs w:val="32"/>
          <w:highlight w:val="none"/>
          <w:lang w:val="en-US" w:eastAsia="zh-CN"/>
        </w:rPr>
        <w:t>卫生健康支出210（类）公共卫生04（款）其他公共卫生支出99（项）:支出决算为</w:t>
      </w:r>
      <w:r>
        <w:rPr>
          <w:rFonts w:hint="eastAsia" w:eastAsia="方正仿宋_GBK" w:cs="Times New Roman"/>
          <w:b w:val="0"/>
          <w:bCs/>
          <w:sz w:val="32"/>
          <w:szCs w:val="32"/>
          <w:highlight w:val="none"/>
          <w:lang w:val="en-US" w:eastAsia="zh-CN"/>
        </w:rPr>
        <w:t>1.80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1009314A">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25.</w:t>
      </w:r>
      <w:r>
        <w:rPr>
          <w:rFonts w:hint="default" w:ascii="Times New Roman" w:hAnsi="Times New Roman" w:eastAsia="方正仿宋_GBK" w:cs="Times New Roman"/>
          <w:b w:val="0"/>
          <w:bCs/>
          <w:sz w:val="32"/>
          <w:szCs w:val="32"/>
          <w:highlight w:val="none"/>
          <w:lang w:val="en-US" w:eastAsia="zh-CN"/>
        </w:rPr>
        <w:t>卫生健康支出210（类）行政事业单位医疗11（款）行政单位医疗01（项）:支出决算为</w:t>
      </w:r>
      <w:r>
        <w:rPr>
          <w:rFonts w:hint="eastAsia" w:eastAsia="方正仿宋_GBK" w:cs="Times New Roman"/>
          <w:b w:val="0"/>
          <w:bCs/>
          <w:sz w:val="32"/>
          <w:szCs w:val="32"/>
          <w:highlight w:val="none"/>
          <w:lang w:val="en-US" w:eastAsia="zh-CN"/>
        </w:rPr>
        <w:t>20.38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7938C2B7">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26.</w:t>
      </w:r>
      <w:r>
        <w:rPr>
          <w:rFonts w:hint="default" w:ascii="Times New Roman" w:hAnsi="Times New Roman" w:eastAsia="方正仿宋_GBK" w:cs="Times New Roman"/>
          <w:b w:val="0"/>
          <w:bCs/>
          <w:sz w:val="32"/>
          <w:szCs w:val="32"/>
          <w:highlight w:val="none"/>
          <w:lang w:val="en-US" w:eastAsia="zh-CN"/>
        </w:rPr>
        <w:t>卫生健康支出210（类）行政事业单位医疗11（款）事业单位医疗02（项）:支出决算为</w:t>
      </w:r>
      <w:r>
        <w:rPr>
          <w:rFonts w:hint="eastAsia" w:eastAsia="方正仿宋_GBK" w:cs="Times New Roman"/>
          <w:b w:val="0"/>
          <w:bCs/>
          <w:sz w:val="32"/>
          <w:szCs w:val="32"/>
          <w:highlight w:val="none"/>
          <w:lang w:val="en-US" w:eastAsia="zh-CN"/>
        </w:rPr>
        <w:t>17.02</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2C10E7FB">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27.</w:t>
      </w:r>
      <w:r>
        <w:rPr>
          <w:rFonts w:hint="default" w:ascii="Times New Roman" w:hAnsi="Times New Roman" w:eastAsia="方正仿宋_GBK" w:cs="Times New Roman"/>
          <w:b w:val="0"/>
          <w:bCs/>
          <w:sz w:val="32"/>
          <w:szCs w:val="32"/>
          <w:highlight w:val="none"/>
          <w:lang w:val="en-US" w:eastAsia="zh-CN"/>
        </w:rPr>
        <w:t>卫生健康支出210（类）行政事业单位医疗11（款）公务员医疗补助03（项）:支出决算为</w:t>
      </w:r>
      <w:r>
        <w:rPr>
          <w:rFonts w:hint="eastAsia" w:eastAsia="方正仿宋_GBK" w:cs="Times New Roman"/>
          <w:b w:val="0"/>
          <w:bCs/>
          <w:sz w:val="32"/>
          <w:szCs w:val="32"/>
          <w:highlight w:val="none"/>
          <w:lang w:val="en-US" w:eastAsia="zh-CN"/>
        </w:rPr>
        <w:t>2.16</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67EDFD38">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28.</w:t>
      </w:r>
      <w:r>
        <w:rPr>
          <w:rFonts w:hint="default" w:ascii="Times New Roman" w:hAnsi="Times New Roman" w:eastAsia="方正仿宋_GBK" w:cs="Times New Roman"/>
          <w:b w:val="0"/>
          <w:bCs/>
          <w:sz w:val="32"/>
          <w:szCs w:val="32"/>
          <w:highlight w:val="none"/>
          <w:lang w:val="en-US" w:eastAsia="zh-CN"/>
        </w:rPr>
        <w:t>卫生健康支出210（类）行政事业单位医疗11（款）其他行政事业单位医疗支出99（项）:支出决算为</w:t>
      </w:r>
      <w:r>
        <w:rPr>
          <w:rFonts w:hint="eastAsia" w:eastAsia="方正仿宋_GBK" w:cs="Times New Roman"/>
          <w:b w:val="0"/>
          <w:bCs/>
          <w:sz w:val="32"/>
          <w:szCs w:val="32"/>
          <w:highlight w:val="none"/>
          <w:lang w:val="en-US" w:eastAsia="zh-CN"/>
        </w:rPr>
        <w:t>19.58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0C1D282F">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29.</w:t>
      </w:r>
      <w:r>
        <w:rPr>
          <w:rFonts w:hint="default" w:ascii="Times New Roman" w:hAnsi="Times New Roman" w:eastAsia="方正仿宋_GBK" w:cs="Times New Roman"/>
          <w:b w:val="0"/>
          <w:bCs/>
          <w:sz w:val="32"/>
          <w:szCs w:val="32"/>
          <w:highlight w:val="none"/>
          <w:lang w:val="en-US" w:eastAsia="zh-CN"/>
        </w:rPr>
        <w:t>节能环保支出211（类）污染防治03（款）其他污染防治支出99（项）：支出决算为</w:t>
      </w:r>
      <w:r>
        <w:rPr>
          <w:rFonts w:hint="eastAsia" w:eastAsia="方正仿宋_GBK" w:cs="Times New Roman"/>
          <w:b w:val="0"/>
          <w:bCs/>
          <w:sz w:val="32"/>
          <w:szCs w:val="32"/>
          <w:highlight w:val="none"/>
          <w:lang w:val="en-US" w:eastAsia="zh-CN"/>
        </w:rPr>
        <w:t>5.85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329D2F69">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lang w:val="en-US" w:eastAsia="zh-CN"/>
        </w:rPr>
      </w:pPr>
      <w:r>
        <w:rPr>
          <w:rFonts w:hint="eastAsia" w:eastAsia="方正仿宋_GBK" w:cs="Times New Roman"/>
          <w:b w:val="0"/>
          <w:bCs/>
          <w:sz w:val="32"/>
          <w:szCs w:val="32"/>
          <w:highlight w:val="none"/>
          <w:lang w:val="en-US" w:eastAsia="zh-CN"/>
        </w:rPr>
        <w:t>30.</w:t>
      </w:r>
      <w:r>
        <w:rPr>
          <w:rFonts w:hint="default" w:ascii="Times New Roman" w:hAnsi="Times New Roman" w:eastAsia="方正仿宋_GBK" w:cs="Times New Roman"/>
          <w:b w:val="0"/>
          <w:bCs/>
          <w:sz w:val="32"/>
          <w:szCs w:val="32"/>
          <w:highlight w:val="none"/>
          <w:lang w:val="en-US" w:eastAsia="zh-CN"/>
        </w:rPr>
        <w:t>节能环保支出211（类）</w:t>
      </w:r>
      <w:r>
        <w:rPr>
          <w:rFonts w:hint="eastAsia" w:eastAsia="方正仿宋_GBK" w:cs="Times New Roman"/>
          <w:b w:val="0"/>
          <w:bCs/>
          <w:sz w:val="32"/>
          <w:szCs w:val="32"/>
          <w:highlight w:val="none"/>
          <w:lang w:val="en-US" w:eastAsia="zh-CN"/>
        </w:rPr>
        <w:t>其他节能环保支出99</w:t>
      </w:r>
      <w:r>
        <w:rPr>
          <w:rFonts w:hint="default" w:ascii="Times New Roman" w:hAnsi="Times New Roman" w:eastAsia="方正仿宋_GBK" w:cs="Times New Roman"/>
          <w:b w:val="0"/>
          <w:bCs/>
          <w:sz w:val="32"/>
          <w:szCs w:val="32"/>
          <w:highlight w:val="none"/>
          <w:lang w:val="en-US" w:eastAsia="zh-CN"/>
        </w:rPr>
        <w:t>（款）</w:t>
      </w:r>
      <w:r>
        <w:rPr>
          <w:rFonts w:hint="eastAsia" w:eastAsia="方正仿宋_GBK" w:cs="Times New Roman"/>
          <w:b w:val="0"/>
          <w:bCs/>
          <w:sz w:val="32"/>
          <w:szCs w:val="32"/>
          <w:highlight w:val="none"/>
          <w:lang w:val="en-US" w:eastAsia="zh-CN"/>
        </w:rPr>
        <w:t>其他节能环保支出</w:t>
      </w:r>
      <w:r>
        <w:rPr>
          <w:rFonts w:hint="default" w:ascii="Times New Roman" w:hAnsi="Times New Roman" w:eastAsia="方正仿宋_GBK" w:cs="Times New Roman"/>
          <w:b w:val="0"/>
          <w:bCs/>
          <w:sz w:val="32"/>
          <w:szCs w:val="32"/>
          <w:highlight w:val="none"/>
          <w:lang w:val="en-US" w:eastAsia="zh-CN"/>
        </w:rPr>
        <w:t>99（项）：支出决算为</w:t>
      </w:r>
      <w:r>
        <w:rPr>
          <w:rFonts w:hint="eastAsia" w:eastAsia="方正仿宋_GBK" w:cs="Times New Roman"/>
          <w:b w:val="0"/>
          <w:bCs/>
          <w:sz w:val="32"/>
          <w:szCs w:val="32"/>
          <w:highlight w:val="none"/>
          <w:lang w:val="en-US" w:eastAsia="zh-CN"/>
        </w:rPr>
        <w:t>14.05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14AE59D7">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31.</w:t>
      </w:r>
      <w:r>
        <w:rPr>
          <w:rFonts w:hint="default" w:ascii="Times New Roman" w:hAnsi="Times New Roman" w:eastAsia="方正仿宋_GBK" w:cs="Times New Roman"/>
          <w:b w:val="0"/>
          <w:bCs/>
          <w:sz w:val="32"/>
          <w:szCs w:val="32"/>
          <w:highlight w:val="none"/>
          <w:lang w:val="en-US" w:eastAsia="zh-CN"/>
        </w:rPr>
        <w:t>农林水支出213（类）农业农村01（款）事业运行04（项）：支出决算为</w:t>
      </w:r>
      <w:r>
        <w:rPr>
          <w:rFonts w:hint="eastAsia" w:eastAsia="方正仿宋_GBK" w:cs="Times New Roman"/>
          <w:b w:val="0"/>
          <w:bCs/>
          <w:sz w:val="32"/>
          <w:szCs w:val="32"/>
          <w:highlight w:val="none"/>
          <w:lang w:val="en-US" w:eastAsia="zh-CN"/>
        </w:rPr>
        <w:t>110.68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219C94F0">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lang w:val="en-US" w:eastAsia="zh-CN"/>
        </w:rPr>
      </w:pPr>
      <w:r>
        <w:rPr>
          <w:rFonts w:hint="eastAsia" w:eastAsia="方正仿宋_GBK" w:cs="Times New Roman"/>
          <w:b w:val="0"/>
          <w:bCs/>
          <w:sz w:val="32"/>
          <w:szCs w:val="32"/>
          <w:highlight w:val="none"/>
          <w:lang w:val="en-US" w:eastAsia="zh-CN"/>
        </w:rPr>
        <w:t>32.</w:t>
      </w:r>
      <w:r>
        <w:rPr>
          <w:rFonts w:hint="default" w:ascii="Times New Roman" w:hAnsi="Times New Roman" w:eastAsia="方正仿宋_GBK" w:cs="Times New Roman"/>
          <w:b w:val="0"/>
          <w:bCs/>
          <w:sz w:val="32"/>
          <w:szCs w:val="32"/>
          <w:highlight w:val="none"/>
          <w:lang w:val="en-US" w:eastAsia="zh-CN"/>
        </w:rPr>
        <w:t>农林水支出213（类）农业农村01（款）</w:t>
      </w:r>
      <w:r>
        <w:rPr>
          <w:rFonts w:hint="eastAsia" w:eastAsia="方正仿宋_GBK" w:cs="Times New Roman"/>
          <w:b w:val="0"/>
          <w:bCs/>
          <w:sz w:val="32"/>
          <w:szCs w:val="32"/>
          <w:highlight w:val="none"/>
          <w:lang w:val="en-US" w:eastAsia="zh-CN"/>
        </w:rPr>
        <w:t>其他农业农村支出99</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5.97</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0403979F">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33.</w:t>
      </w:r>
      <w:r>
        <w:rPr>
          <w:rFonts w:hint="default" w:ascii="Times New Roman" w:hAnsi="Times New Roman" w:eastAsia="方正仿宋_GBK" w:cs="Times New Roman"/>
          <w:b w:val="0"/>
          <w:bCs/>
          <w:sz w:val="32"/>
          <w:szCs w:val="32"/>
          <w:highlight w:val="none"/>
          <w:lang w:val="en-US" w:eastAsia="zh-CN"/>
        </w:rPr>
        <w:t>农林水支出213（类）林业和草原02（款）林业草原防灾减灾34（项）：支出决算为</w:t>
      </w:r>
      <w:r>
        <w:rPr>
          <w:rFonts w:hint="eastAsia" w:eastAsia="方正仿宋_GBK" w:cs="Times New Roman"/>
          <w:b w:val="0"/>
          <w:bCs/>
          <w:sz w:val="32"/>
          <w:szCs w:val="32"/>
          <w:highlight w:val="none"/>
          <w:lang w:val="en-US" w:eastAsia="zh-CN"/>
        </w:rPr>
        <w:t>24.00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053F91FD">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34.</w:t>
      </w:r>
      <w:r>
        <w:rPr>
          <w:rFonts w:hint="default" w:ascii="Times New Roman" w:hAnsi="Times New Roman" w:eastAsia="方正仿宋_GBK" w:cs="Times New Roman"/>
          <w:b w:val="0"/>
          <w:bCs/>
          <w:sz w:val="32"/>
          <w:szCs w:val="32"/>
          <w:highlight w:val="none"/>
          <w:lang w:val="en-US" w:eastAsia="zh-CN"/>
        </w:rPr>
        <w:t>农林水支出213（类）水利03（款）</w:t>
      </w:r>
      <w:r>
        <w:rPr>
          <w:rFonts w:hint="eastAsia" w:eastAsia="方正仿宋_GBK" w:cs="Times New Roman"/>
          <w:b w:val="0"/>
          <w:bCs/>
          <w:sz w:val="32"/>
          <w:szCs w:val="32"/>
          <w:highlight w:val="none"/>
          <w:lang w:val="en-US" w:eastAsia="zh-CN"/>
        </w:rPr>
        <w:t>防汛14</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104.00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71AB0B66">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35.</w:t>
      </w:r>
      <w:r>
        <w:rPr>
          <w:rFonts w:hint="default" w:ascii="Times New Roman" w:hAnsi="Times New Roman" w:eastAsia="方正仿宋_GBK" w:cs="Times New Roman"/>
          <w:b w:val="0"/>
          <w:bCs/>
          <w:sz w:val="32"/>
          <w:szCs w:val="32"/>
          <w:highlight w:val="none"/>
          <w:lang w:val="en-US" w:eastAsia="zh-CN"/>
        </w:rPr>
        <w:t>农林水支出213（类）</w:t>
      </w:r>
      <w:r>
        <w:rPr>
          <w:rFonts w:hint="eastAsia" w:eastAsia="方正仿宋_GBK" w:cs="Times New Roman"/>
          <w:b w:val="0"/>
          <w:bCs/>
          <w:sz w:val="32"/>
          <w:szCs w:val="32"/>
          <w:highlight w:val="none"/>
          <w:lang w:val="en-US" w:eastAsia="zh-CN"/>
        </w:rPr>
        <w:t>巩固脱贫攻坚成果衔接乡村振兴</w:t>
      </w:r>
      <w:r>
        <w:rPr>
          <w:rFonts w:hint="default" w:ascii="Times New Roman" w:hAnsi="Times New Roman" w:eastAsia="方正仿宋_GBK" w:cs="Times New Roman"/>
          <w:b w:val="0"/>
          <w:bCs/>
          <w:sz w:val="32"/>
          <w:szCs w:val="32"/>
          <w:highlight w:val="none"/>
          <w:lang w:val="en-US" w:eastAsia="zh-CN"/>
        </w:rPr>
        <w:t>0</w:t>
      </w:r>
      <w:r>
        <w:rPr>
          <w:rFonts w:hint="eastAsia" w:eastAsia="方正仿宋_GBK" w:cs="Times New Roman"/>
          <w:b w:val="0"/>
          <w:bCs/>
          <w:sz w:val="32"/>
          <w:szCs w:val="32"/>
          <w:highlight w:val="none"/>
          <w:lang w:val="en-US" w:eastAsia="zh-CN"/>
        </w:rPr>
        <w:t>5</w:t>
      </w:r>
      <w:r>
        <w:rPr>
          <w:rFonts w:hint="default" w:ascii="Times New Roman" w:hAnsi="Times New Roman" w:eastAsia="方正仿宋_GBK" w:cs="Times New Roman"/>
          <w:b w:val="0"/>
          <w:bCs/>
          <w:sz w:val="32"/>
          <w:szCs w:val="32"/>
          <w:highlight w:val="none"/>
          <w:lang w:val="en-US" w:eastAsia="zh-CN"/>
        </w:rPr>
        <w:t>（款）</w:t>
      </w:r>
      <w:r>
        <w:rPr>
          <w:rFonts w:hint="eastAsia" w:eastAsia="方正仿宋_GBK" w:cs="Times New Roman"/>
          <w:b w:val="0"/>
          <w:bCs/>
          <w:sz w:val="32"/>
          <w:szCs w:val="32"/>
          <w:highlight w:val="none"/>
          <w:lang w:val="en-US" w:eastAsia="zh-CN"/>
        </w:rPr>
        <w:t>其他巩固脱贫攻坚成果衔接乡村振兴支出99</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16.40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0C06C0C0">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36.</w:t>
      </w:r>
      <w:r>
        <w:rPr>
          <w:rFonts w:hint="default" w:eastAsia="方正仿宋_GBK" w:cs="Times New Roman"/>
          <w:b w:val="0"/>
          <w:bCs/>
          <w:sz w:val="32"/>
          <w:szCs w:val="32"/>
          <w:highlight w:val="none"/>
          <w:lang w:val="en-US" w:eastAsia="zh-CN"/>
        </w:rPr>
        <w:t>农林水支出213（类）农村综合改革07（款）对村民委员会和村党支部的补助05（项）：支出决算为</w:t>
      </w:r>
      <w:r>
        <w:rPr>
          <w:rFonts w:hint="eastAsia" w:eastAsia="方正仿宋_GBK" w:cs="Times New Roman"/>
          <w:b w:val="0"/>
          <w:bCs/>
          <w:sz w:val="32"/>
          <w:szCs w:val="32"/>
          <w:highlight w:val="none"/>
          <w:lang w:val="en-US" w:eastAsia="zh-CN"/>
        </w:rPr>
        <w:t>145.25</w:t>
      </w:r>
      <w:r>
        <w:rPr>
          <w:rFonts w:hint="default" w:eastAsia="方正仿宋_GBK" w:cs="Times New Roman"/>
          <w:b w:val="0"/>
          <w:bCs/>
          <w:sz w:val="32"/>
          <w:szCs w:val="32"/>
          <w:highlight w:val="none"/>
          <w:lang w:val="en-US" w:eastAsia="zh-CN"/>
        </w:rPr>
        <w:t>万元，完成预算100%，决算数等于预算数的主要原因是，收支平衡。</w:t>
      </w:r>
    </w:p>
    <w:p w14:paraId="1893947F">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37.</w:t>
      </w:r>
      <w:r>
        <w:rPr>
          <w:rFonts w:hint="default" w:ascii="Times New Roman" w:hAnsi="Times New Roman" w:eastAsia="方正仿宋_GBK" w:cs="Times New Roman"/>
          <w:b w:val="0"/>
          <w:bCs/>
          <w:sz w:val="32"/>
          <w:szCs w:val="32"/>
          <w:highlight w:val="none"/>
          <w:lang w:val="en-US" w:eastAsia="zh-CN"/>
        </w:rPr>
        <w:t>农林水支出213（类）其他农林水支出99（款）其他农林水支出99（项）：支出决算为</w:t>
      </w:r>
      <w:r>
        <w:rPr>
          <w:rFonts w:hint="eastAsia" w:eastAsia="方正仿宋_GBK" w:cs="Times New Roman"/>
          <w:b w:val="0"/>
          <w:bCs/>
          <w:sz w:val="32"/>
          <w:szCs w:val="32"/>
          <w:highlight w:val="none"/>
          <w:lang w:val="en-US" w:eastAsia="zh-CN"/>
        </w:rPr>
        <w:t>316.43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48544529">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38.</w:t>
      </w:r>
      <w:r>
        <w:rPr>
          <w:rFonts w:hint="default" w:ascii="Times New Roman" w:hAnsi="Times New Roman" w:eastAsia="方正仿宋_GBK" w:cs="Times New Roman"/>
          <w:b w:val="0"/>
          <w:bCs/>
          <w:sz w:val="32"/>
          <w:szCs w:val="32"/>
          <w:highlight w:val="none"/>
          <w:lang w:val="en-US" w:eastAsia="zh-CN"/>
        </w:rPr>
        <w:t>住房保障支出221（类）住房改革支出02（款）住房公积金01（项）：支出决算为</w:t>
      </w:r>
      <w:r>
        <w:rPr>
          <w:rFonts w:hint="eastAsia" w:eastAsia="方正仿宋_GBK" w:cs="Times New Roman"/>
          <w:b w:val="0"/>
          <w:bCs/>
          <w:sz w:val="32"/>
          <w:szCs w:val="32"/>
          <w:highlight w:val="none"/>
          <w:lang w:val="en-US" w:eastAsia="zh-CN"/>
        </w:rPr>
        <w:t>56.44</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14:paraId="5311C506">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cs="Times New Roman"/>
        </w:rPr>
      </w:pPr>
      <w:bookmarkStart w:id="34" w:name="_Toc15396608"/>
      <w:bookmarkStart w:id="35" w:name="_Toc15377214"/>
      <w:bookmarkStart w:id="36" w:name="_Toc24955_WPSOffice_Level2"/>
      <w:r>
        <w:rPr>
          <w:rFonts w:hint="default" w:ascii="Times New Roman" w:hAnsi="Times New Roman" w:eastAsia="方正黑体_GBK" w:cs="Times New Roman"/>
          <w:sz w:val="32"/>
          <w:szCs w:val="32"/>
        </w:rPr>
        <w:t>六</w:t>
      </w:r>
      <w:r>
        <w:rPr>
          <w:rFonts w:hint="default" w:ascii="Times New Roman" w:hAnsi="Times New Roman" w:eastAsia="方正黑体_GBK" w:cs="Times New Roman"/>
          <w:b/>
          <w:sz w:val="32"/>
          <w:szCs w:val="32"/>
        </w:rPr>
        <w:t>、一</w:t>
      </w:r>
      <w:r>
        <w:rPr>
          <w:rStyle w:val="31"/>
          <w:rFonts w:hint="default" w:ascii="Times New Roman" w:hAnsi="Times New Roman" w:eastAsia="方正黑体_GBK" w:cs="Times New Roman"/>
          <w:b w:val="0"/>
        </w:rPr>
        <w:t>般公共预算财政拨款基本支出决算情况说明</w:t>
      </w:r>
      <w:bookmarkEnd w:id="34"/>
      <w:bookmarkEnd w:id="35"/>
      <w:bookmarkEnd w:id="36"/>
    </w:p>
    <w:p w14:paraId="20F7BA4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年度一般公共预算财政拨款基本支出</w:t>
      </w:r>
      <w:r>
        <w:rPr>
          <w:rFonts w:hint="eastAsia" w:eastAsia="方正仿宋_GBK" w:cs="Times New Roman"/>
          <w:sz w:val="32"/>
          <w:szCs w:val="32"/>
          <w:lang w:val="en-US" w:eastAsia="zh-CN"/>
        </w:rPr>
        <w:t>933.44</w:t>
      </w:r>
      <w:r>
        <w:rPr>
          <w:rFonts w:hint="default" w:ascii="Times New Roman" w:hAnsi="Times New Roman" w:eastAsia="方正仿宋_GBK" w:cs="Times New Roman"/>
          <w:sz w:val="32"/>
          <w:szCs w:val="32"/>
        </w:rPr>
        <w:t>万元，其中：</w:t>
      </w:r>
    </w:p>
    <w:p w14:paraId="2CCDC62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人员经费814.29万元，主要包括：基本工资、津贴补贴、奖金、绩效工资、机关事业单位基本养老保险缴费、职业年金缴费、职工基本医疗保险缴费、公务员医疗补助缴费、其他社会保障缴费、住房公积金、医疗费、其他工资福利支出、生活补助、医疗费补助、其他对个人和家庭的补助支出等。</w:t>
      </w:r>
    </w:p>
    <w:p w14:paraId="4C5D15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公用经费119.15万元，主要包括：办公费、电费、差旅费、维修（护）费、会议费、劳务费、委托业务费、工会经费、福利费、公务用车运行维护费、其他交通费、其他商品和服务支出等。</w:t>
      </w:r>
    </w:p>
    <w:p w14:paraId="366C062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eastAsia="黑体" w:cs="Times New Roman"/>
          <w:b w:val="0"/>
        </w:rPr>
      </w:pPr>
      <w:bookmarkStart w:id="37" w:name="_Toc15396609"/>
      <w:bookmarkStart w:id="38" w:name="_Toc15377215"/>
      <w:bookmarkStart w:id="39" w:name="_Toc5729_WPSOffice_Level2"/>
      <w:r>
        <w:rPr>
          <w:rFonts w:hint="default" w:ascii="Times New Roman" w:hAnsi="Times New Roman" w:eastAsia="方正黑体_GBK" w:cs="Times New Roman"/>
          <w:sz w:val="32"/>
          <w:szCs w:val="32"/>
        </w:rPr>
        <w:t>七、</w:t>
      </w:r>
      <w:r>
        <w:rPr>
          <w:rStyle w:val="31"/>
          <w:rFonts w:hint="default" w:ascii="Times New Roman" w:hAnsi="Times New Roman" w:eastAsia="方正黑体_GBK" w:cs="Times New Roman"/>
          <w:b w:val="0"/>
        </w:rPr>
        <w:t>财政拨款</w:t>
      </w:r>
      <w:r>
        <w:rPr>
          <w:rStyle w:val="31"/>
          <w:rFonts w:hint="default" w:ascii="Times New Roman" w:hAnsi="Times New Roman" w:eastAsia="方正黑体_GBK" w:cs="Times New Roman"/>
        </w:rPr>
        <w:t>“</w:t>
      </w:r>
      <w:r>
        <w:rPr>
          <w:rStyle w:val="31"/>
          <w:rFonts w:hint="default" w:ascii="Times New Roman" w:hAnsi="Times New Roman" w:eastAsia="方正黑体_GBK" w:cs="Times New Roman"/>
          <w:b w:val="0"/>
        </w:rPr>
        <w:t>三公”经费支出决算情况说明</w:t>
      </w:r>
      <w:bookmarkEnd w:id="37"/>
      <w:bookmarkEnd w:id="38"/>
      <w:bookmarkEnd w:id="39"/>
    </w:p>
    <w:p w14:paraId="4DBD4C9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sz w:val="32"/>
          <w:szCs w:val="32"/>
        </w:rPr>
      </w:pPr>
      <w:bookmarkStart w:id="40" w:name="_Toc15377216"/>
      <w:r>
        <w:rPr>
          <w:rFonts w:hint="default" w:ascii="Times New Roman" w:hAnsi="Times New Roman" w:eastAsia="方正楷体_GBK" w:cs="Times New Roman"/>
          <w:b/>
          <w:sz w:val="32"/>
          <w:szCs w:val="32"/>
        </w:rPr>
        <w:t>（一）“三公”经费财政拨款支出决算总体情况说明</w:t>
      </w:r>
      <w:bookmarkEnd w:id="40"/>
    </w:p>
    <w:p w14:paraId="43491C6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20"/>
          <w:highlight w:val="none"/>
          <w:u w:val="none"/>
          <w:lang w:val="en-US" w:eastAsia="zh-CN" w:bidi="ar-SA"/>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年度“三公”经费财政拨款支出决算为</w:t>
      </w:r>
      <w:r>
        <w:rPr>
          <w:rFonts w:hint="default" w:ascii="Times New Roman" w:hAnsi="Times New Roman" w:eastAsia="方正仿宋_GBK" w:cs="Times New Roman"/>
          <w:sz w:val="32"/>
          <w:szCs w:val="32"/>
          <w:lang w:val="en-US" w:eastAsia="zh-CN"/>
        </w:rPr>
        <w:t>5.71万</w:t>
      </w:r>
      <w:r>
        <w:rPr>
          <w:rFonts w:hint="default" w:ascii="Times New Roman" w:hAnsi="Times New Roman" w:eastAsia="方正仿宋_GBK" w:cs="Times New Roman"/>
          <w:sz w:val="32"/>
          <w:szCs w:val="32"/>
        </w:rPr>
        <w:t>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%，较上年度</w:t>
      </w:r>
      <w:r>
        <w:rPr>
          <w:rFonts w:hint="default" w:ascii="Times New Roman" w:hAnsi="Times New Roman" w:eastAsia="方正仿宋_GBK" w:cs="Times New Roman"/>
          <w:sz w:val="32"/>
          <w:szCs w:val="32"/>
          <w:lang w:val="en-US" w:eastAsia="zh-CN"/>
        </w:rPr>
        <w:t>6.47万元</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0.76</w:t>
      </w:r>
      <w:r>
        <w:rPr>
          <w:rFonts w:hint="default" w:ascii="Times New Roman" w:hAnsi="Times New Roman" w:eastAsia="方正仿宋_GBK" w:cs="Times New Roman"/>
          <w:sz w:val="32"/>
          <w:szCs w:val="32"/>
        </w:rPr>
        <w:t>万元，下降</w:t>
      </w:r>
      <w:r>
        <w:rPr>
          <w:rFonts w:hint="eastAsia" w:eastAsia="方正仿宋_GBK" w:cs="Times New Roman"/>
          <w:sz w:val="32"/>
          <w:szCs w:val="32"/>
          <w:lang w:val="en-US" w:eastAsia="zh-CN"/>
        </w:rPr>
        <w:t>11.75</w:t>
      </w:r>
      <w:r>
        <w:rPr>
          <w:rFonts w:hint="default" w:ascii="Times New Roman" w:hAnsi="Times New Roman" w:eastAsia="方正仿宋_GBK" w:cs="Times New Roman"/>
          <w:sz w:val="32"/>
          <w:szCs w:val="32"/>
        </w:rPr>
        <w:t>%。决算数与预算数持平</w:t>
      </w:r>
      <w:r>
        <w:rPr>
          <w:rFonts w:hint="default" w:ascii="Times New Roman" w:hAnsi="Times New Roman" w:eastAsia="方正仿宋_GBK" w:cs="Times New Roman"/>
          <w:b w:val="0"/>
          <w:bCs/>
          <w:kern w:val="0"/>
          <w:sz w:val="32"/>
          <w:szCs w:val="20"/>
          <w:highlight w:val="none"/>
          <w:u w:val="none"/>
          <w:lang w:val="en-US" w:eastAsia="zh-CN" w:bidi="ar-SA"/>
        </w:rPr>
        <w:t>。</w:t>
      </w:r>
    </w:p>
    <w:p w14:paraId="642705C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sz w:val="32"/>
          <w:szCs w:val="32"/>
        </w:rPr>
      </w:pPr>
      <w:bookmarkStart w:id="41" w:name="_Toc15377217"/>
      <w:r>
        <w:rPr>
          <w:rFonts w:hint="default" w:ascii="Times New Roman" w:hAnsi="Times New Roman" w:eastAsia="方正楷体_GBK" w:cs="Times New Roman"/>
          <w:b/>
          <w:sz w:val="32"/>
          <w:szCs w:val="32"/>
        </w:rPr>
        <w:t>（二）“三公”经费财政拨款支出决算具体情况说明</w:t>
      </w:r>
      <w:bookmarkEnd w:id="41"/>
    </w:p>
    <w:p w14:paraId="4D75A5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年度“三公”经费财政拨款支出决算中，因公出国（境）费支出决算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5.71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%。具体情况</w:t>
      </w:r>
      <w:r>
        <w:rPr>
          <w:rFonts w:hint="default" w:ascii="Times New Roman" w:hAnsi="Times New Roman" w:eastAsia="方正仿宋_GBK" w:cs="Times New Roman"/>
          <w:sz w:val="32"/>
          <w:szCs w:val="32"/>
          <w:lang w:val="en-US" w:eastAsia="zh-CN"/>
        </w:rPr>
        <w:t>如下：</w:t>
      </w:r>
    </w:p>
    <w:p w14:paraId="490E51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（图7：“三公”经费财政拨款支出结构）（饼状图）</w:t>
      </w:r>
    </w:p>
    <w:p w14:paraId="2A7B00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lang w:eastAsia="zh-CN"/>
        </w:rPr>
      </w:pPr>
      <w:r>
        <w:drawing>
          <wp:inline distT="0" distB="0" distL="114300" distR="114300">
            <wp:extent cx="4724400" cy="2315210"/>
            <wp:effectExtent l="0" t="0" r="0" b="8890"/>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5"/>
                    <a:stretch>
                      <a:fillRect/>
                    </a:stretch>
                  </pic:blipFill>
                  <pic:spPr>
                    <a:xfrm>
                      <a:off x="0" y="0"/>
                      <a:ext cx="4724400" cy="2315210"/>
                    </a:xfrm>
                    <a:prstGeom prst="rect">
                      <a:avLst/>
                    </a:prstGeom>
                    <a:noFill/>
                    <a:ln>
                      <a:noFill/>
                    </a:ln>
                  </pic:spPr>
                </pic:pic>
              </a:graphicData>
            </a:graphic>
          </wp:inline>
        </w:drawing>
      </w:r>
    </w:p>
    <w:p w14:paraId="5F2AB8EA">
      <w:pP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br w:type="page"/>
      </w:r>
    </w:p>
    <w:p w14:paraId="370F2D6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val="0"/>
          <w:bCs w:val="0"/>
          <w:sz w:val="32"/>
          <w:szCs w:val="32"/>
        </w:rPr>
      </w:pPr>
      <w:bookmarkStart w:id="42" w:name="_Toc15377218"/>
      <w:bookmarkStart w:id="43" w:name="_Toc15396610"/>
      <w:r>
        <w:rPr>
          <w:rFonts w:hint="default" w:ascii="Times New Roman" w:hAnsi="Times New Roman" w:eastAsia="方正仿宋_GBK" w:cs="Times New Roman"/>
          <w:b/>
          <w:bCs/>
          <w:sz w:val="32"/>
          <w:szCs w:val="32"/>
        </w:rPr>
        <w:t>1.因公出国（境）经费支出</w:t>
      </w:r>
      <w:r>
        <w:rPr>
          <w:rFonts w:hint="eastAsia"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eastAsia"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val="0"/>
          <w:bCs w:val="0"/>
          <w:sz w:val="32"/>
          <w:szCs w:val="32"/>
        </w:rPr>
        <w:t>全年安排因公出国（境）团组</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次，出国（境）</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人。因公出国（境）支出决算与2023年持平，主要原因是无因公出国业务。</w:t>
      </w:r>
    </w:p>
    <w:p w14:paraId="6E9FF74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sz w:val="32"/>
          <w:szCs w:val="32"/>
        </w:rPr>
        <w:t>2.公务用车购置及运行维护费支出5.71万元，完成预算</w:t>
      </w:r>
      <w:r>
        <w:rPr>
          <w:rFonts w:hint="eastAsia"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val="0"/>
          <w:bCs w:val="0"/>
          <w:sz w:val="32"/>
          <w:szCs w:val="32"/>
        </w:rPr>
        <w:t>公务用车购置及运行维护费支出决算比2023年度增减少</w:t>
      </w:r>
      <w:r>
        <w:rPr>
          <w:rFonts w:hint="eastAsia" w:eastAsia="方正仿宋_GBK" w:cs="Times New Roman"/>
          <w:b w:val="0"/>
          <w:bCs w:val="0"/>
          <w:sz w:val="32"/>
          <w:szCs w:val="32"/>
          <w:lang w:val="en-US" w:eastAsia="zh-CN"/>
        </w:rPr>
        <w:t>0.76</w:t>
      </w:r>
      <w:r>
        <w:rPr>
          <w:rFonts w:hint="default" w:ascii="Times New Roman" w:hAnsi="Times New Roman" w:eastAsia="方正仿宋_GBK" w:cs="Times New Roman"/>
          <w:b w:val="0"/>
          <w:bCs w:val="0"/>
          <w:sz w:val="32"/>
          <w:szCs w:val="32"/>
        </w:rPr>
        <w:t>万元，下降</w:t>
      </w:r>
      <w:r>
        <w:rPr>
          <w:rFonts w:hint="eastAsia" w:eastAsia="方正仿宋_GBK" w:cs="Times New Roman"/>
          <w:b w:val="0"/>
          <w:bCs w:val="0"/>
          <w:sz w:val="32"/>
          <w:szCs w:val="32"/>
          <w:lang w:val="en-US" w:eastAsia="zh-CN"/>
        </w:rPr>
        <w:t>11.74</w:t>
      </w:r>
      <w:r>
        <w:rPr>
          <w:rFonts w:hint="default" w:ascii="Times New Roman" w:hAnsi="Times New Roman" w:eastAsia="方正仿宋_GBK" w:cs="Times New Roman"/>
          <w:b w:val="0"/>
          <w:bCs w:val="0"/>
          <w:sz w:val="32"/>
          <w:szCs w:val="32"/>
        </w:rPr>
        <w:t>%。主要原因是</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落实过紧日子要求，厉行节约，从严控制和压缩“三公”经费支出。</w:t>
      </w:r>
    </w:p>
    <w:p w14:paraId="1C0D639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其中：公务用车购置支出</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万元。全年按规定更新购置公务用车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辆，其中：轿车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万元，越野车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万元，载客汽车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万元。截至2024年12月31日，单位共有公务用车</w:t>
      </w:r>
      <w:r>
        <w:rPr>
          <w:rFonts w:hint="eastAsia"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辆，其中：轿车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辆、越野车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辆、载客汽车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应急保障用车2辆。</w:t>
      </w:r>
    </w:p>
    <w:p w14:paraId="491DE0A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公务用车运行维护费支出</w:t>
      </w:r>
      <w:r>
        <w:rPr>
          <w:rFonts w:hint="eastAsia" w:eastAsia="方正仿宋_GBK" w:cs="Times New Roman"/>
          <w:b w:val="0"/>
          <w:bCs w:val="0"/>
          <w:sz w:val="32"/>
          <w:szCs w:val="32"/>
          <w:lang w:val="en-US" w:eastAsia="zh-CN"/>
        </w:rPr>
        <w:t>5.71</w:t>
      </w:r>
      <w:r>
        <w:rPr>
          <w:rFonts w:hint="default" w:ascii="Times New Roman" w:hAnsi="Times New Roman" w:eastAsia="方正仿宋_GBK" w:cs="Times New Roman"/>
          <w:b w:val="0"/>
          <w:bCs w:val="0"/>
          <w:sz w:val="32"/>
          <w:szCs w:val="32"/>
        </w:rPr>
        <w:t>万元。主要用于日常下</w:t>
      </w:r>
      <w:r>
        <w:rPr>
          <w:rFonts w:hint="eastAsia" w:eastAsia="方正仿宋_GBK" w:cs="Times New Roman"/>
          <w:b w:val="0"/>
          <w:bCs w:val="0"/>
          <w:sz w:val="32"/>
          <w:szCs w:val="32"/>
          <w:lang w:eastAsia="zh-CN"/>
        </w:rPr>
        <w:t>村</w:t>
      </w:r>
      <w:r>
        <w:rPr>
          <w:rFonts w:hint="default" w:ascii="Times New Roman" w:hAnsi="Times New Roman" w:eastAsia="方正仿宋_GBK" w:cs="Times New Roman"/>
          <w:b w:val="0"/>
          <w:bCs w:val="0"/>
          <w:sz w:val="32"/>
          <w:szCs w:val="32"/>
        </w:rPr>
        <w:t>工作</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森林草原防灭火工作</w:t>
      </w:r>
      <w:r>
        <w:rPr>
          <w:rFonts w:hint="eastAsia" w:eastAsia="方正仿宋_GBK" w:cs="Times New Roman"/>
          <w:b w:val="0"/>
          <w:bCs w:val="0"/>
          <w:sz w:val="32"/>
          <w:szCs w:val="32"/>
          <w:lang w:eastAsia="zh-CN"/>
        </w:rPr>
        <w:t>、防汛工作等</w:t>
      </w:r>
      <w:r>
        <w:rPr>
          <w:rFonts w:hint="default" w:ascii="Times New Roman" w:hAnsi="Times New Roman" w:eastAsia="方正仿宋_GBK" w:cs="Times New Roman"/>
          <w:b w:val="0"/>
          <w:bCs w:val="0"/>
          <w:sz w:val="32"/>
          <w:szCs w:val="32"/>
        </w:rPr>
        <w:t>所需的公务用车燃料费、维修费、过路过桥费、保险费等支出。</w:t>
      </w:r>
    </w:p>
    <w:p w14:paraId="3DDE553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bCs/>
          <w:sz w:val="32"/>
          <w:szCs w:val="32"/>
        </w:rPr>
        <w:t>3.公务接待费支出</w:t>
      </w:r>
      <w:r>
        <w:rPr>
          <w:rFonts w:hint="eastAsia"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eastAsia"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val="0"/>
          <w:bCs w:val="0"/>
          <w:sz w:val="32"/>
          <w:szCs w:val="32"/>
        </w:rPr>
        <w:t>公务接待费支出决算</w:t>
      </w:r>
      <w:r>
        <w:rPr>
          <w:rFonts w:hint="eastAsia" w:eastAsia="方正仿宋_GBK" w:cs="Times New Roman"/>
          <w:b w:val="0"/>
          <w:bCs w:val="0"/>
          <w:sz w:val="32"/>
          <w:szCs w:val="32"/>
          <w:lang w:eastAsia="zh-CN"/>
        </w:rPr>
        <w:t>与</w:t>
      </w:r>
      <w:r>
        <w:rPr>
          <w:rFonts w:hint="default" w:ascii="Times New Roman" w:hAnsi="Times New Roman" w:eastAsia="方正仿宋_GBK" w:cs="Times New Roman"/>
          <w:b w:val="0"/>
          <w:bCs w:val="0"/>
          <w:sz w:val="32"/>
          <w:szCs w:val="32"/>
        </w:rPr>
        <w:t>2023年度</w:t>
      </w:r>
      <w:r>
        <w:rPr>
          <w:rFonts w:hint="eastAsia" w:eastAsia="方正仿宋_GBK" w:cs="Times New Roman"/>
          <w:b w:val="0"/>
          <w:bCs w:val="0"/>
          <w:sz w:val="32"/>
          <w:szCs w:val="32"/>
          <w:lang w:eastAsia="zh-CN"/>
        </w:rPr>
        <w:t>持平</w:t>
      </w:r>
      <w:r>
        <w:rPr>
          <w:rFonts w:hint="default" w:ascii="Times New Roman" w:hAnsi="Times New Roman" w:eastAsia="方正仿宋_GBK" w:cs="Times New Roman"/>
          <w:b w:val="0"/>
          <w:bCs w:val="0"/>
          <w:sz w:val="32"/>
          <w:szCs w:val="32"/>
        </w:rPr>
        <w:t>。主要原因是</w:t>
      </w:r>
      <w:r>
        <w:rPr>
          <w:rFonts w:hint="eastAsia" w:eastAsia="方正仿宋_GBK" w:cs="Times New Roman"/>
          <w:b w:val="0"/>
          <w:bCs w:val="0"/>
          <w:sz w:val="32"/>
          <w:szCs w:val="32"/>
          <w:lang w:eastAsia="zh-CN"/>
        </w:rPr>
        <w:t>无</w:t>
      </w:r>
      <w:r>
        <w:rPr>
          <w:rFonts w:hint="default" w:ascii="Times New Roman" w:hAnsi="Times New Roman" w:eastAsia="方正仿宋_GBK" w:cs="Times New Roman"/>
          <w:b w:val="0"/>
          <w:bCs w:val="0"/>
          <w:sz w:val="32"/>
          <w:szCs w:val="32"/>
        </w:rPr>
        <w:t>公务接待</w:t>
      </w:r>
      <w:r>
        <w:rPr>
          <w:rFonts w:hint="eastAsia" w:eastAsia="方正仿宋_GBK" w:cs="Times New Roman"/>
          <w:b w:val="0"/>
          <w:bCs w:val="0"/>
          <w:sz w:val="32"/>
          <w:szCs w:val="32"/>
          <w:lang w:eastAsia="zh-CN"/>
        </w:rPr>
        <w:t>费用。</w:t>
      </w:r>
    </w:p>
    <w:p w14:paraId="6829A878">
      <w:pPr>
        <w:keepNext w:val="0"/>
        <w:keepLines w:val="0"/>
        <w:pageBreakBefore w:val="0"/>
        <w:widowControl w:val="0"/>
        <w:kinsoku/>
        <w:wordWrap/>
        <w:overflowPunct/>
        <w:topLinePunct w:val="0"/>
        <w:autoSpaceDE/>
        <w:autoSpaceDN/>
        <w:bidi w:val="0"/>
        <w:adjustRightInd/>
        <w:snapToGrid/>
        <w:spacing w:line="240" w:lineRule="auto"/>
        <w:ind w:left="0" w:firstLine="640"/>
        <w:textAlignment w:val="auto"/>
        <w:outlineLvl w:val="1"/>
        <w:rPr>
          <w:rStyle w:val="31"/>
          <w:rFonts w:hint="default" w:ascii="Times New Roman" w:hAnsi="Times New Roman" w:eastAsia="方正黑体_GBK" w:cs="Times New Roman"/>
        </w:rPr>
      </w:pPr>
      <w:bookmarkStart w:id="44" w:name="_Toc14091_WPSOffice_Level2"/>
      <w:r>
        <w:rPr>
          <w:rFonts w:hint="default" w:ascii="Times New Roman" w:hAnsi="Times New Roman" w:eastAsia="方正黑体_GBK" w:cs="Times New Roman"/>
          <w:sz w:val="32"/>
          <w:szCs w:val="32"/>
        </w:rPr>
        <w:t>八、</w:t>
      </w:r>
      <w:r>
        <w:rPr>
          <w:rStyle w:val="31"/>
          <w:rFonts w:hint="default" w:ascii="Times New Roman" w:hAnsi="Times New Roman" w:eastAsia="方正黑体_GBK" w:cs="Times New Roman"/>
          <w:b w:val="0"/>
        </w:rPr>
        <w:t>政府性基金预算支出决算情况说明</w:t>
      </w:r>
      <w:bookmarkEnd w:id="42"/>
      <w:bookmarkEnd w:id="43"/>
      <w:bookmarkEnd w:id="44"/>
    </w:p>
    <w:p w14:paraId="2CA4097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20"/>
          <w:highlight w:val="none"/>
          <w:u w:val="none"/>
          <w:lang w:val="en-US" w:eastAsia="zh-CN" w:bidi="ar-SA"/>
        </w:rPr>
        <w:t>2024年度政府性基金预算财政拨款支出11.35万元，占本年支出合计的</w:t>
      </w:r>
      <w:r>
        <w:rPr>
          <w:rFonts w:hint="eastAsia" w:eastAsia="方正仿宋_GBK" w:cs="Times New Roman"/>
          <w:b w:val="0"/>
          <w:bCs/>
          <w:kern w:val="0"/>
          <w:sz w:val="32"/>
          <w:szCs w:val="20"/>
          <w:highlight w:val="none"/>
          <w:u w:val="none"/>
          <w:lang w:val="en-US" w:eastAsia="zh-CN" w:bidi="ar-SA"/>
        </w:rPr>
        <w:t>0.73</w:t>
      </w:r>
      <w:r>
        <w:rPr>
          <w:rFonts w:hint="default" w:ascii="Times New Roman" w:hAnsi="Times New Roman" w:eastAsia="方正仿宋_GBK" w:cs="Times New Roman"/>
          <w:b w:val="0"/>
          <w:bCs/>
          <w:kern w:val="0"/>
          <w:sz w:val="32"/>
          <w:szCs w:val="20"/>
          <w:highlight w:val="none"/>
          <w:u w:val="none"/>
          <w:lang w:val="en-US" w:eastAsia="zh-CN" w:bidi="ar-SA"/>
        </w:rPr>
        <w:t>%。与2023年度相比，政府性基金预算财政拨款支出增加11.35万元，增长</w:t>
      </w:r>
      <w:r>
        <w:rPr>
          <w:rFonts w:hint="eastAsia" w:eastAsia="方正仿宋_GBK" w:cs="Times New Roman"/>
          <w:b w:val="0"/>
          <w:bCs/>
          <w:kern w:val="0"/>
          <w:sz w:val="32"/>
          <w:szCs w:val="20"/>
          <w:highlight w:val="none"/>
          <w:u w:val="none"/>
          <w:lang w:val="en-US" w:eastAsia="zh-CN" w:bidi="ar-SA"/>
        </w:rPr>
        <w:t>100</w:t>
      </w:r>
      <w:r>
        <w:rPr>
          <w:rFonts w:hint="default" w:ascii="Times New Roman" w:hAnsi="Times New Roman" w:eastAsia="方正仿宋_GBK" w:cs="Times New Roman"/>
          <w:b w:val="0"/>
          <w:bCs/>
          <w:kern w:val="0"/>
          <w:sz w:val="32"/>
          <w:szCs w:val="20"/>
          <w:highlight w:val="none"/>
          <w:u w:val="none"/>
          <w:lang w:val="en-US" w:eastAsia="zh-CN" w:bidi="ar-SA"/>
        </w:rPr>
        <w:t>%。主要变动原因是</w:t>
      </w:r>
      <w:r>
        <w:rPr>
          <w:rFonts w:hint="eastAsia" w:eastAsia="方正仿宋_GBK" w:cs="Times New Roman"/>
          <w:b w:val="0"/>
          <w:bCs/>
          <w:kern w:val="0"/>
          <w:sz w:val="32"/>
          <w:szCs w:val="20"/>
          <w:highlight w:val="none"/>
          <w:u w:val="none"/>
          <w:lang w:val="en-US" w:eastAsia="zh-CN" w:bidi="ar-SA"/>
        </w:rPr>
        <w:t>：本年度</w:t>
      </w:r>
      <w:r>
        <w:rPr>
          <w:rFonts w:hint="default" w:ascii="Times New Roman" w:hAnsi="Times New Roman" w:eastAsia="方正仿宋_GBK" w:cs="Times New Roman"/>
          <w:b w:val="0"/>
          <w:bCs/>
          <w:kern w:val="0"/>
          <w:sz w:val="32"/>
          <w:szCs w:val="20"/>
          <w:highlight w:val="none"/>
          <w:u w:val="none"/>
          <w:lang w:val="en-US" w:eastAsia="zh-CN" w:bidi="ar-SA"/>
        </w:rPr>
        <w:t>国有土地使用权出让收入安排的支出</w:t>
      </w:r>
      <w:r>
        <w:rPr>
          <w:rFonts w:hint="eastAsia" w:eastAsia="方正仿宋_GBK" w:cs="Times New Roman"/>
          <w:b w:val="0"/>
          <w:bCs/>
          <w:kern w:val="0"/>
          <w:sz w:val="32"/>
          <w:szCs w:val="20"/>
          <w:highlight w:val="none"/>
          <w:u w:val="none"/>
          <w:lang w:val="en-US" w:eastAsia="zh-CN" w:bidi="ar-SA"/>
        </w:rPr>
        <w:t>。</w:t>
      </w:r>
    </w:p>
    <w:p w14:paraId="5E70CDF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1"/>
        <w:rPr>
          <w:rStyle w:val="31"/>
          <w:rFonts w:hint="default" w:ascii="Times New Roman" w:hAnsi="Times New Roman" w:eastAsia="方正黑体_GBK" w:cs="Times New Roman"/>
          <w:b w:val="0"/>
        </w:rPr>
      </w:pPr>
      <w:bookmarkStart w:id="45" w:name="_Toc21165_WPSOffice_Level2"/>
      <w:bookmarkStart w:id="46" w:name="_Toc15377219"/>
      <w:bookmarkStart w:id="47" w:name="_Toc15396611"/>
      <w:r>
        <w:rPr>
          <w:rStyle w:val="31"/>
          <w:rFonts w:hint="default" w:ascii="Times New Roman" w:hAnsi="Times New Roman" w:eastAsia="方正黑体_GBK" w:cs="Times New Roman"/>
          <w:b w:val="0"/>
        </w:rPr>
        <w:t>九、国有资本经营预算支出决算情况说明</w:t>
      </w:r>
      <w:bookmarkEnd w:id="45"/>
      <w:bookmarkEnd w:id="46"/>
      <w:bookmarkEnd w:id="47"/>
    </w:p>
    <w:p w14:paraId="7CB43C2F">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2024年度国有资本经营预算财政拨款支出</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%。与2023年度持平</w:t>
      </w:r>
      <w:r>
        <w:rPr>
          <w:rFonts w:hint="eastAsia" w:eastAsia="方正仿宋_GBK" w:cs="Times New Roman"/>
          <w:sz w:val="32"/>
          <w:szCs w:val="32"/>
          <w:lang w:eastAsia="zh-CN"/>
        </w:rPr>
        <w:t>。</w:t>
      </w:r>
    </w:p>
    <w:p w14:paraId="7F61A832">
      <w:pPr>
        <w:keepNext w:val="0"/>
        <w:keepLines w:val="0"/>
        <w:pageBreakBefore w:val="0"/>
        <w:widowControl w:val="0"/>
        <w:kinsoku/>
        <w:wordWrap/>
        <w:overflowPunct/>
        <w:topLinePunct w:val="0"/>
        <w:bidi w:val="0"/>
        <w:snapToGrid/>
        <w:spacing w:line="240" w:lineRule="auto"/>
        <w:ind w:left="0" w:firstLine="640" w:firstLineChars="200"/>
        <w:textAlignment w:val="auto"/>
        <w:outlineLvl w:val="1"/>
        <w:rPr>
          <w:rStyle w:val="31"/>
          <w:rFonts w:hint="default" w:ascii="Times New Roman" w:hAnsi="Times New Roman" w:eastAsia="方正黑体_GBK" w:cs="Times New Roman"/>
          <w:b w:val="0"/>
        </w:rPr>
      </w:pPr>
      <w:bookmarkStart w:id="48" w:name="_Toc5083_WPSOffice_Level2"/>
      <w:bookmarkStart w:id="49" w:name="_Toc15396612"/>
      <w:bookmarkStart w:id="50" w:name="_Toc15377221"/>
      <w:r>
        <w:rPr>
          <w:rStyle w:val="31"/>
          <w:rFonts w:hint="default" w:ascii="Times New Roman" w:hAnsi="Times New Roman" w:eastAsia="方正黑体_GBK" w:cs="Times New Roman"/>
          <w:b w:val="0"/>
        </w:rPr>
        <w:t>十、其他重要事项的情况说明</w:t>
      </w:r>
      <w:bookmarkEnd w:id="48"/>
      <w:bookmarkEnd w:id="49"/>
      <w:bookmarkEnd w:id="50"/>
    </w:p>
    <w:p w14:paraId="2C0B882E">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51" w:name="_Toc15377222"/>
      <w:r>
        <w:rPr>
          <w:rFonts w:hint="default" w:ascii="Times New Roman" w:hAnsi="Times New Roman" w:eastAsia="方正楷体_GBK" w:cs="Times New Roman"/>
          <w:b/>
          <w:sz w:val="32"/>
          <w:szCs w:val="32"/>
        </w:rPr>
        <w:t>（一）机关运行经费支出情况</w:t>
      </w:r>
      <w:bookmarkEnd w:id="51"/>
    </w:p>
    <w:p w14:paraId="6D91494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eastAsia" w:eastAsia="方正仿宋_GBK" w:cs="Times New Roman"/>
          <w:sz w:val="32"/>
          <w:szCs w:val="32"/>
          <w:lang w:eastAsia="zh-CN"/>
        </w:rPr>
        <w:t>盐边县</w:t>
      </w:r>
      <w:r>
        <w:rPr>
          <w:rFonts w:hint="eastAsia" w:eastAsia="方正仿宋_GBK" w:cs="Times New Roman"/>
          <w:sz w:val="32"/>
          <w:szCs w:val="32"/>
          <w:lang w:val="en-US" w:eastAsia="zh-CN"/>
        </w:rPr>
        <w:t>红宝苗族彝族乡人民政府</w:t>
      </w:r>
      <w:r>
        <w:rPr>
          <w:rFonts w:hint="default" w:ascii="Times New Roman" w:hAnsi="Times New Roman" w:eastAsia="方正仿宋_GBK" w:cs="Times New Roman"/>
          <w:sz w:val="32"/>
          <w:szCs w:val="32"/>
        </w:rPr>
        <w:t>机关运行经费支出</w:t>
      </w:r>
      <w:r>
        <w:rPr>
          <w:rFonts w:hint="default" w:ascii="Times New Roman" w:hAnsi="Times New Roman" w:eastAsia="方正仿宋_GBK" w:cs="Times New Roman"/>
          <w:sz w:val="32"/>
          <w:szCs w:val="32"/>
          <w:lang w:val="en-US" w:eastAsia="zh-CN"/>
        </w:rPr>
        <w:t>119.15</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155.07万元</w:t>
      </w:r>
      <w:r>
        <w:rPr>
          <w:rFonts w:hint="eastAsia" w:eastAsia="方正仿宋_GBK" w:cs="Times New Roman"/>
          <w:sz w:val="32"/>
          <w:szCs w:val="32"/>
          <w:lang w:val="en-US" w:eastAsia="zh-CN"/>
        </w:rPr>
        <w:t>减少35.92</w:t>
      </w:r>
      <w:r>
        <w:rPr>
          <w:rFonts w:hint="default" w:ascii="Times New Roman" w:hAnsi="Times New Roman" w:eastAsia="方正仿宋_GBK" w:cs="Times New Roman"/>
          <w:sz w:val="32"/>
          <w:szCs w:val="32"/>
        </w:rPr>
        <w:t>万元，</w:t>
      </w:r>
      <w:r>
        <w:rPr>
          <w:rFonts w:hint="eastAsia" w:eastAsia="方正仿宋_GBK" w:cs="Times New Roman"/>
          <w:sz w:val="32"/>
          <w:szCs w:val="32"/>
          <w:lang w:val="en-US" w:eastAsia="zh-CN"/>
        </w:rPr>
        <w:t>下降23.17</w:t>
      </w:r>
      <w:r>
        <w:rPr>
          <w:rFonts w:hint="default" w:ascii="Times New Roman" w:hAnsi="Times New Roman" w:eastAsia="方正仿宋_GBK" w:cs="Times New Roman"/>
          <w:sz w:val="32"/>
          <w:szCs w:val="32"/>
        </w:rPr>
        <w:t>%。主要原因是</w:t>
      </w:r>
      <w:r>
        <w:rPr>
          <w:rFonts w:hint="eastAsia" w:eastAsia="方正仿宋_GBK" w:cs="Times New Roman"/>
          <w:sz w:val="32"/>
          <w:szCs w:val="32"/>
          <w:lang w:eastAsia="zh-CN"/>
        </w:rPr>
        <w:t>：</w:t>
      </w:r>
      <w:r>
        <w:rPr>
          <w:rFonts w:hint="default" w:ascii="Times New Roman" w:hAnsi="Times New Roman" w:eastAsia="方正仿宋_GBK" w:cs="Times New Roman"/>
          <w:b w:val="0"/>
          <w:bCs/>
          <w:kern w:val="0"/>
          <w:sz w:val="32"/>
          <w:szCs w:val="20"/>
          <w:highlight w:val="none"/>
          <w:u w:val="none"/>
          <w:lang w:val="en-US" w:eastAsia="zh-CN" w:bidi="ar-SA"/>
        </w:rPr>
        <w:t>厉行节约，从严控制机关运行经费支出</w:t>
      </w:r>
      <w:r>
        <w:rPr>
          <w:rFonts w:hint="default" w:ascii="Times New Roman" w:hAnsi="Times New Roman" w:eastAsia="方正仿宋_GBK" w:cs="Times New Roman"/>
          <w:sz w:val="32"/>
          <w:szCs w:val="32"/>
        </w:rPr>
        <w:t>。</w:t>
      </w:r>
    </w:p>
    <w:p w14:paraId="74C2CDF7">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52" w:name="_Toc15377223"/>
      <w:r>
        <w:rPr>
          <w:rFonts w:hint="default" w:ascii="Times New Roman" w:hAnsi="Times New Roman" w:eastAsia="方正楷体_GBK" w:cs="Times New Roman"/>
          <w:b/>
          <w:sz w:val="32"/>
          <w:szCs w:val="32"/>
        </w:rPr>
        <w:t>（二）政府采购支出情况</w:t>
      </w:r>
      <w:bookmarkEnd w:id="52"/>
    </w:p>
    <w:p w14:paraId="2E13C0D3">
      <w:pPr>
        <w:keepNext w:val="0"/>
        <w:keepLines w:val="0"/>
        <w:pageBreakBefore w:val="0"/>
        <w:widowControl w:val="0"/>
        <w:kinsoku/>
        <w:wordWrap/>
        <w:overflowPunct/>
        <w:topLinePunct w:val="0"/>
        <w:bidi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eastAsia" w:eastAsia="方正仿宋_GBK" w:cs="Times New Roman"/>
          <w:sz w:val="32"/>
          <w:szCs w:val="32"/>
          <w:lang w:eastAsia="zh-CN"/>
        </w:rPr>
        <w:t>盐边县红宝苗族彝族乡人民政府</w:t>
      </w:r>
      <w:r>
        <w:rPr>
          <w:rFonts w:hint="default" w:ascii="Times New Roman" w:hAnsi="Times New Roman" w:eastAsia="方正仿宋_GBK" w:cs="Times New Roman"/>
          <w:sz w:val="32"/>
          <w:szCs w:val="32"/>
        </w:rPr>
        <w:t>采购支出总额4.39万元，其中：政府采购货物支出3.12万元、政府采购工程支出</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万元、政府采购服务支出1.26万元。主要用于</w:t>
      </w:r>
      <w:r>
        <w:rPr>
          <w:rFonts w:hint="eastAsia" w:eastAsia="方正仿宋_GBK" w:cs="Times New Roman"/>
          <w:sz w:val="32"/>
          <w:szCs w:val="32"/>
          <w:lang w:eastAsia="zh-CN"/>
        </w:rPr>
        <w:t>：主要用于双中心建设购买办公软件服务和购买洗衣机、打印机、电脑等设备</w:t>
      </w:r>
      <w:r>
        <w:rPr>
          <w:rFonts w:hint="default" w:ascii="Times New Roman" w:hAnsi="Times New Roman" w:eastAsia="方正仿宋_GBK" w:cs="Times New Roman"/>
          <w:sz w:val="32"/>
          <w:szCs w:val="32"/>
        </w:rPr>
        <w:t>。授予中小企业合同金额3.77万元，占政府采购支出总额的</w:t>
      </w:r>
      <w:r>
        <w:rPr>
          <w:rFonts w:hint="eastAsia" w:eastAsia="方正仿宋_GBK" w:cs="Times New Roman"/>
          <w:sz w:val="32"/>
          <w:szCs w:val="32"/>
          <w:lang w:val="en-US" w:eastAsia="zh-CN"/>
        </w:rPr>
        <w:t>85.88</w:t>
      </w:r>
      <w:r>
        <w:rPr>
          <w:rFonts w:hint="default" w:ascii="Times New Roman" w:hAnsi="Times New Roman" w:eastAsia="方正仿宋_GBK" w:cs="Times New Roman"/>
          <w:sz w:val="32"/>
          <w:szCs w:val="32"/>
        </w:rPr>
        <w:t>%，其中：授予小微企业合同金额3.77万元，占政府采购支出总额的</w:t>
      </w:r>
      <w:r>
        <w:rPr>
          <w:rFonts w:hint="eastAsia" w:eastAsia="方正仿宋_GBK" w:cs="Times New Roman"/>
          <w:sz w:val="32"/>
          <w:szCs w:val="32"/>
          <w:lang w:val="en-US" w:eastAsia="zh-CN"/>
        </w:rPr>
        <w:t>85.88</w:t>
      </w:r>
      <w:r>
        <w:rPr>
          <w:rFonts w:hint="default" w:ascii="Times New Roman" w:hAnsi="Times New Roman" w:eastAsia="方正仿宋_GBK" w:cs="Times New Roman"/>
          <w:sz w:val="32"/>
          <w:szCs w:val="32"/>
        </w:rPr>
        <w:t>%。</w:t>
      </w:r>
    </w:p>
    <w:p w14:paraId="18A55524">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53" w:name="_Toc15377224"/>
      <w:r>
        <w:rPr>
          <w:rFonts w:hint="default" w:ascii="Times New Roman" w:hAnsi="Times New Roman" w:eastAsia="方正楷体_GBK" w:cs="Times New Roman"/>
          <w:b/>
          <w:sz w:val="32"/>
          <w:szCs w:val="32"/>
        </w:rPr>
        <w:t>（三）国有资产占有使用情况</w:t>
      </w:r>
      <w:bookmarkEnd w:id="53"/>
    </w:p>
    <w:p w14:paraId="457398C8">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截至2024年12月31日，盐边县红宝苗族彝族乡人民政府共有车辆</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辆，其中：主要负责人用车</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辆、机要通信用车</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辆、其他用车</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辆。单价100万元（含）以上设备（不含车辆）</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台（套）。</w:t>
      </w:r>
    </w:p>
    <w:p w14:paraId="486F0454">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14:paraId="0B8521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根据预算绩效管理要求，</w:t>
      </w:r>
      <w:r>
        <w:rPr>
          <w:rFonts w:hint="eastAsia" w:eastAsia="方正仿宋_GBK" w:cs="Times New Roman"/>
          <w:b w:val="0"/>
          <w:bCs/>
          <w:kern w:val="0"/>
          <w:sz w:val="32"/>
          <w:szCs w:val="32"/>
          <w:highlight w:val="none"/>
          <w:u w:val="none"/>
          <w:lang w:val="en-US" w:eastAsia="zh-CN" w:bidi="ar-SA"/>
        </w:rPr>
        <w:t>盐边县红宝苗族彝族乡人民政府</w:t>
      </w:r>
      <w:r>
        <w:rPr>
          <w:rFonts w:hint="default" w:ascii="Times New Roman" w:hAnsi="Times New Roman" w:eastAsia="方正仿宋_GBK" w:cs="Times New Roman"/>
          <w:b w:val="0"/>
          <w:bCs/>
          <w:kern w:val="0"/>
          <w:sz w:val="32"/>
          <w:szCs w:val="32"/>
          <w:highlight w:val="none"/>
          <w:u w:val="none"/>
          <w:lang w:val="en-US" w:eastAsia="zh-CN" w:bidi="ar-SA"/>
        </w:rPr>
        <w:t>在2024年度预算编制阶段，组织对红宝苗族彝族乡2024年社工服务站经费</w:t>
      </w:r>
      <w:r>
        <w:rPr>
          <w:rFonts w:hint="eastAsia" w:eastAsia="方正仿宋_GBK" w:cs="Times New Roman"/>
          <w:b w:val="0"/>
          <w:bCs/>
          <w:kern w:val="0"/>
          <w:sz w:val="32"/>
          <w:szCs w:val="32"/>
          <w:highlight w:val="none"/>
          <w:u w:val="none"/>
          <w:lang w:val="en-US" w:eastAsia="zh-CN" w:bidi="ar-SA"/>
        </w:rPr>
        <w:t>、红宝苗族彝族乡2024年少数民族工作经费、盐财资农【2024】42号关于下达择木龙村美丽乡村建设项目资金的通知</w:t>
      </w:r>
      <w:r>
        <w:rPr>
          <w:rFonts w:hint="default" w:ascii="Times New Roman" w:hAnsi="Times New Roman" w:eastAsia="方正仿宋_GBK" w:cs="Times New Roman"/>
          <w:b w:val="0"/>
          <w:bCs/>
          <w:kern w:val="0"/>
          <w:sz w:val="32"/>
          <w:szCs w:val="32"/>
          <w:highlight w:val="none"/>
          <w:u w:val="none"/>
          <w:lang w:val="en-US" w:eastAsia="zh-CN" w:bidi="ar-SA"/>
        </w:rPr>
        <w:t>等33个项目开展了预算事前绩效评估，对33个项目编制了绩效目标，预算执行过程中，选取</w:t>
      </w:r>
      <w:r>
        <w:rPr>
          <w:rFonts w:hint="eastAsia" w:eastAsia="方正仿宋_GBK" w:cs="Times New Roman"/>
          <w:b w:val="0"/>
          <w:bCs/>
          <w:kern w:val="0"/>
          <w:sz w:val="32"/>
          <w:szCs w:val="32"/>
          <w:highlight w:val="none"/>
          <w:u w:val="none"/>
          <w:lang w:val="en-US" w:eastAsia="zh-CN" w:bidi="ar-SA"/>
        </w:rPr>
        <w:t>33</w:t>
      </w:r>
      <w:r>
        <w:rPr>
          <w:rFonts w:hint="default" w:ascii="Times New Roman" w:hAnsi="Times New Roman" w:eastAsia="方正仿宋_GBK" w:cs="Times New Roman"/>
          <w:b w:val="0"/>
          <w:bCs/>
          <w:kern w:val="0"/>
          <w:sz w:val="32"/>
          <w:szCs w:val="32"/>
          <w:highlight w:val="none"/>
          <w:u w:val="none"/>
          <w:lang w:val="en-US" w:eastAsia="zh-CN" w:bidi="ar-SA"/>
        </w:rPr>
        <w:t>个项目开展绩效监控。</w:t>
      </w:r>
    </w:p>
    <w:p w14:paraId="279269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组织对2024年度一般公共预算、政府性基金预算、国有资本经营预算、社会保险基金预算以及资本资产、债券资金等全面开展绩效自评，形成</w:t>
      </w:r>
      <w:r>
        <w:rPr>
          <w:rFonts w:hint="eastAsia" w:eastAsia="方正仿宋_GBK" w:cs="Times New Roman"/>
          <w:b w:val="0"/>
          <w:bCs/>
          <w:kern w:val="0"/>
          <w:sz w:val="32"/>
          <w:szCs w:val="32"/>
          <w:highlight w:val="none"/>
          <w:u w:val="none"/>
          <w:lang w:val="en-US" w:eastAsia="zh-CN" w:bidi="ar-SA"/>
        </w:rPr>
        <w:t>盐边县红宝苗族彝族乡人民政府</w:t>
      </w:r>
      <w:r>
        <w:rPr>
          <w:rFonts w:hint="default" w:ascii="Times New Roman" w:hAnsi="Times New Roman" w:eastAsia="方正仿宋_GBK" w:cs="Times New Roman"/>
          <w:b w:val="0"/>
          <w:bCs/>
          <w:kern w:val="0"/>
          <w:sz w:val="32"/>
          <w:szCs w:val="32"/>
          <w:highlight w:val="none"/>
          <w:u w:val="none"/>
          <w:lang w:val="en-US" w:eastAsia="zh-CN" w:bidi="ar-SA"/>
        </w:rPr>
        <w:t>部门整体（含部门预算项目）绩效自评报告</w:t>
      </w:r>
      <w:r>
        <w:rPr>
          <w:rFonts w:hint="eastAsia" w:eastAsia="方正仿宋_GBK" w:cs="Times New Roman"/>
          <w:b w:val="0"/>
          <w:bCs/>
          <w:kern w:val="0"/>
          <w:sz w:val="32"/>
          <w:szCs w:val="32"/>
          <w:highlight w:val="none"/>
          <w:u w:val="none"/>
          <w:lang w:val="en-US" w:eastAsia="zh-CN" w:bidi="ar-SA"/>
        </w:rPr>
        <w:t>，形成</w:t>
      </w:r>
      <w:r>
        <w:rPr>
          <w:rFonts w:hint="default" w:ascii="Times New Roman" w:hAnsi="Times New Roman" w:eastAsia="方正仿宋_GBK" w:cs="Times New Roman"/>
          <w:b w:val="0"/>
          <w:bCs/>
          <w:kern w:val="0"/>
          <w:sz w:val="32"/>
          <w:szCs w:val="32"/>
          <w:highlight w:val="none"/>
          <w:u w:val="none"/>
          <w:lang w:val="en-US" w:eastAsia="zh-CN" w:bidi="ar-SA"/>
        </w:rPr>
        <w:t>盐财资建【2024】50号关于下达2023年省村（社区）森林防火奖补资金预算的通知</w:t>
      </w:r>
      <w:r>
        <w:rPr>
          <w:rFonts w:hint="eastAsia" w:eastAsia="方正仿宋_GBK" w:cs="Times New Roman"/>
          <w:b w:val="0"/>
          <w:bCs/>
          <w:kern w:val="0"/>
          <w:sz w:val="32"/>
          <w:szCs w:val="32"/>
          <w:highlight w:val="none"/>
          <w:u w:val="none"/>
          <w:lang w:val="en-US" w:eastAsia="zh-CN" w:bidi="ar-SA"/>
        </w:rPr>
        <w:t>、盐财资预【2024】17号盐边县财政局关于下达2024年省级村级公共服务经费的通知、盐财资行【2024】362号下达2024年中央和省级财政公共图书馆、美术馆、文化馆（站）免费开放补助资金项目</w:t>
      </w:r>
      <w:r>
        <w:rPr>
          <w:rFonts w:hint="default" w:ascii="Times New Roman" w:hAnsi="Times New Roman" w:eastAsia="方正仿宋_GBK" w:cs="Times New Roman"/>
          <w:b w:val="0"/>
          <w:bCs/>
          <w:kern w:val="0"/>
          <w:sz w:val="32"/>
          <w:szCs w:val="32"/>
          <w:highlight w:val="none"/>
          <w:u w:val="none"/>
          <w:lang w:val="en-US" w:eastAsia="zh-CN" w:bidi="ar-SA"/>
        </w:rPr>
        <w:t>等专项预算项目绩效自评报告</w:t>
      </w:r>
      <w:r>
        <w:rPr>
          <w:rFonts w:hint="eastAsia" w:eastAsia="方正仿宋_GBK" w:cs="Times New Roman"/>
          <w:b w:val="0"/>
          <w:bCs/>
          <w:kern w:val="0"/>
          <w:sz w:val="32"/>
          <w:szCs w:val="32"/>
          <w:highlight w:val="none"/>
          <w:u w:val="none"/>
          <w:lang w:val="en-US" w:eastAsia="zh-CN" w:bidi="ar-SA"/>
        </w:rPr>
        <w:t>。</w:t>
      </w:r>
    </w:p>
    <w:p w14:paraId="7DED2E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eastAsia"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其中，盐边县红宝苗族彝族乡人民政府部门整体（含部门预算项目）绩效自评得分为95.1分，绩效自评综述</w:t>
      </w:r>
      <w:r>
        <w:rPr>
          <w:rFonts w:hint="eastAsia" w:eastAsia="方正仿宋_GBK" w:cs="Times New Roman"/>
          <w:b w:val="0"/>
          <w:bCs/>
          <w:kern w:val="0"/>
          <w:sz w:val="32"/>
          <w:szCs w:val="32"/>
          <w:highlight w:val="none"/>
          <w:u w:val="none"/>
          <w:lang w:val="en-US" w:eastAsia="zh-CN" w:bidi="ar-SA"/>
        </w:rPr>
        <w:t>：</w:t>
      </w:r>
      <w:r>
        <w:rPr>
          <w:rFonts w:hint="default" w:ascii="Times New Roman" w:hAnsi="Times New Roman" w:eastAsia="方正仿宋_GBK" w:cs="Times New Roman"/>
          <w:b w:val="0"/>
          <w:bCs/>
          <w:kern w:val="0"/>
          <w:sz w:val="32"/>
          <w:szCs w:val="32"/>
          <w:highlight w:val="none"/>
          <w:u w:val="none"/>
          <w:lang w:val="en-US" w:eastAsia="zh-CN" w:bidi="ar-SA"/>
        </w:rPr>
        <w:t>项目总体绩效目标基本实现，资金使用规范有效，全年财政资金紧缺，部分项目资金报账拖沓，导致预算支出执行进度偏慢，支付进度滞后，影响项目进度，同时预算绩效管理水平有待进一步提升</w:t>
      </w:r>
      <w:r>
        <w:rPr>
          <w:rFonts w:hint="eastAsia" w:eastAsia="方正仿宋_GBK" w:cs="Times New Roman"/>
          <w:b w:val="0"/>
          <w:bCs/>
          <w:kern w:val="0"/>
          <w:sz w:val="32"/>
          <w:szCs w:val="32"/>
          <w:highlight w:val="none"/>
          <w:u w:val="none"/>
          <w:lang w:val="en-US" w:eastAsia="zh-CN" w:bidi="ar-SA"/>
        </w:rPr>
        <w:t>。</w:t>
      </w:r>
    </w:p>
    <w:p w14:paraId="76E4BA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盐财资行【2024】94号关于下达2024年公共图书馆、美术馆、文化馆（站）免费开放中央补助资金预算的通知专项预算项目绩效自评得分为</w:t>
      </w:r>
      <w:r>
        <w:rPr>
          <w:rFonts w:hint="eastAsia" w:eastAsia="方正仿宋_GBK" w:cs="Times New Roman"/>
          <w:b w:val="0"/>
          <w:bCs/>
          <w:kern w:val="0"/>
          <w:sz w:val="32"/>
          <w:szCs w:val="32"/>
          <w:highlight w:val="none"/>
          <w:u w:val="none"/>
          <w:lang w:val="en-US" w:eastAsia="zh-CN" w:bidi="ar-SA"/>
        </w:rPr>
        <w:t>100</w:t>
      </w:r>
      <w:r>
        <w:rPr>
          <w:rFonts w:hint="default" w:ascii="Times New Roman" w:hAnsi="Times New Roman" w:eastAsia="方正仿宋_GBK" w:cs="Times New Roman"/>
          <w:b w:val="0"/>
          <w:bCs/>
          <w:kern w:val="0"/>
          <w:sz w:val="32"/>
          <w:szCs w:val="32"/>
          <w:highlight w:val="none"/>
          <w:u w:val="none"/>
          <w:lang w:val="en-US" w:eastAsia="zh-CN" w:bidi="ar-SA"/>
        </w:rPr>
        <w:t>分，绩效自评综述</w:t>
      </w:r>
      <w:r>
        <w:rPr>
          <w:rFonts w:hint="eastAsia" w:eastAsia="方正仿宋_GBK" w:cs="Times New Roman"/>
          <w:b w:val="0"/>
          <w:bCs/>
          <w:kern w:val="0"/>
          <w:sz w:val="32"/>
          <w:szCs w:val="32"/>
          <w:highlight w:val="none"/>
          <w:u w:val="none"/>
          <w:lang w:val="en-US" w:eastAsia="zh-CN" w:bidi="ar-SA"/>
        </w:rPr>
        <w:t>：项目总体绩效目标基本实现，资金使用规范有效，完善我乡文化站1座基础设施，为辖区3605名群众提供文化服务，满足居民基本精神文明需求，评价等级为“优”。</w:t>
      </w:r>
    </w:p>
    <w:p w14:paraId="3F201A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盐财资行【2024】362号下达2024年中央和省级财政公共图书馆、美术馆、文化馆（站）免费开放补助资金项目</w:t>
      </w:r>
      <w:r>
        <w:rPr>
          <w:rFonts w:hint="default" w:ascii="Times New Roman" w:hAnsi="Times New Roman"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完善我乡文化站1座基础设施，为辖区3605名群众提供文化服务，满足居民基本精神文明需求</w:t>
      </w:r>
      <w:r>
        <w:rPr>
          <w:rFonts w:hint="default" w:eastAsia="方正仿宋_GBK" w:cs="Times New Roman"/>
          <w:b w:val="0"/>
          <w:bCs/>
          <w:kern w:val="0"/>
          <w:sz w:val="32"/>
          <w:szCs w:val="32"/>
          <w:highlight w:val="none"/>
          <w:u w:val="none"/>
          <w:lang w:val="en-US" w:eastAsia="zh-CN" w:bidi="ar-SA"/>
        </w:rPr>
        <w:t>，评价等级为“优”。</w:t>
      </w:r>
    </w:p>
    <w:p w14:paraId="29DE31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盐财资建【2024】50号关于下达2023年省村（社区）森林防火奖补资金预算的通知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保障我乡5个村森林草原防灭火工作安全，加强对森林资源和人民生命安全的保护，促进林业发展，改善生态环境</w:t>
      </w:r>
      <w:r>
        <w:rPr>
          <w:rFonts w:hint="default" w:eastAsia="方正仿宋_GBK" w:cs="Times New Roman"/>
          <w:b w:val="0"/>
          <w:bCs/>
          <w:kern w:val="0"/>
          <w:sz w:val="32"/>
          <w:szCs w:val="32"/>
          <w:highlight w:val="none"/>
          <w:u w:val="none"/>
          <w:lang w:val="en-US" w:eastAsia="zh-CN" w:bidi="ar-SA"/>
        </w:rPr>
        <w:t>，评价等级为“优”。</w:t>
      </w:r>
    </w:p>
    <w:p w14:paraId="7E3870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盐财资预【2024】17号盐边县财政局关于下达2024年省级村级公共服务经费的通知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保障我乡5个村公共服务正常运行，提升群众获得感、幸福感</w:t>
      </w:r>
      <w:r>
        <w:rPr>
          <w:rFonts w:hint="default" w:eastAsia="方正仿宋_GBK" w:cs="Times New Roman"/>
          <w:b w:val="0"/>
          <w:bCs/>
          <w:kern w:val="0"/>
          <w:sz w:val="32"/>
          <w:szCs w:val="32"/>
          <w:highlight w:val="none"/>
          <w:u w:val="none"/>
          <w:lang w:val="en-US" w:eastAsia="zh-CN" w:bidi="ar-SA"/>
        </w:rPr>
        <w:t>，评价等级为“优”。</w:t>
      </w:r>
    </w:p>
    <w:p w14:paraId="230937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盐财资预【2023】115号关于下达2023年省级村级公共服务经费的通知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保障村级标准建设，更好的开展村级工作，增强基层组织凝聚力</w:t>
      </w:r>
      <w:r>
        <w:rPr>
          <w:rFonts w:hint="default" w:eastAsia="方正仿宋_GBK" w:cs="Times New Roman"/>
          <w:b w:val="0"/>
          <w:bCs/>
          <w:kern w:val="0"/>
          <w:sz w:val="32"/>
          <w:szCs w:val="32"/>
          <w:highlight w:val="none"/>
          <w:u w:val="none"/>
          <w:lang w:val="en-US" w:eastAsia="zh-CN" w:bidi="ar-SA"/>
        </w:rPr>
        <w:t>，评价等级为“优”。</w:t>
      </w:r>
    </w:p>
    <w:p w14:paraId="4F742F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盐财资农【2024】42号关于下达择木龙村美丽乡村建设项目资金的通知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完成择木龙驿站提档升级、集中点路面修缮、新修便民路、维修便民桥，长草坪组产业园基础设施配套，核桃产业基础设施配套，沿线居住点墙绘，集中居住点环境规整，生活垃圾治理，村民活动广场提档升级，交通服务站修建等</w:t>
      </w:r>
      <w:r>
        <w:rPr>
          <w:rFonts w:hint="default" w:eastAsia="方正仿宋_GBK" w:cs="Times New Roman"/>
          <w:b w:val="0"/>
          <w:bCs/>
          <w:kern w:val="0"/>
          <w:sz w:val="32"/>
          <w:szCs w:val="32"/>
          <w:highlight w:val="none"/>
          <w:u w:val="none"/>
          <w:lang w:val="en-US" w:eastAsia="zh-CN" w:bidi="ar-SA"/>
        </w:rPr>
        <w:t>，评价等级为“优”。</w:t>
      </w:r>
    </w:p>
    <w:p w14:paraId="14D569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盐财资预【2024】59号关于下达应急抢险救灾资金预算指标的通知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保障受灾区域内的电力、通讯、道路等基础设施正常使用，合理补助相关受灾群众</w:t>
      </w:r>
      <w:r>
        <w:rPr>
          <w:rFonts w:hint="default" w:eastAsia="方正仿宋_GBK" w:cs="Times New Roman"/>
          <w:b w:val="0"/>
          <w:bCs/>
          <w:kern w:val="0"/>
          <w:sz w:val="32"/>
          <w:szCs w:val="32"/>
          <w:highlight w:val="none"/>
          <w:u w:val="none"/>
          <w:lang w:val="en-US" w:eastAsia="zh-CN" w:bidi="ar-SA"/>
        </w:rPr>
        <w:t>，评价等级为“优”。</w:t>
      </w:r>
    </w:p>
    <w:p w14:paraId="500F59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盐财资建【2024】285号关于下达2024年生态功能区资金的通知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保障森林资源不受影响，改善生态环境，为我乡林业经济、社会稳定起到重要作用</w:t>
      </w:r>
      <w:r>
        <w:rPr>
          <w:rFonts w:hint="default" w:eastAsia="方正仿宋_GBK" w:cs="Times New Roman"/>
          <w:b w:val="0"/>
          <w:bCs/>
          <w:kern w:val="0"/>
          <w:sz w:val="32"/>
          <w:szCs w:val="32"/>
          <w:highlight w:val="none"/>
          <w:u w:val="none"/>
          <w:lang w:val="en-US" w:eastAsia="zh-CN" w:bidi="ar-SA"/>
        </w:rPr>
        <w:t>，评价等级为“优”。</w:t>
      </w:r>
    </w:p>
    <w:p w14:paraId="3D5393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盐财资预【2024】15号关于下达2024年度市级森林草原防灭火工作协调经费的通知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设立防火卡点，宣传森林草原防灭火工作知识</w:t>
      </w:r>
      <w:r>
        <w:rPr>
          <w:rFonts w:hint="default" w:eastAsia="方正仿宋_GBK" w:cs="Times New Roman"/>
          <w:b w:val="0"/>
          <w:bCs/>
          <w:kern w:val="0"/>
          <w:sz w:val="32"/>
          <w:szCs w:val="32"/>
          <w:highlight w:val="none"/>
          <w:u w:val="none"/>
          <w:lang w:val="en-US" w:eastAsia="zh-CN" w:bidi="ar-SA"/>
        </w:rPr>
        <w:t>，保障森林资源不受影响，改善生态环境，为我乡林业经济、社会稳定起到重要作用</w:t>
      </w:r>
      <w:r>
        <w:rPr>
          <w:rFonts w:hint="eastAsia" w:eastAsia="方正仿宋_GBK" w:cs="Times New Roman"/>
          <w:b w:val="0"/>
          <w:bCs/>
          <w:kern w:val="0"/>
          <w:sz w:val="32"/>
          <w:szCs w:val="32"/>
          <w:highlight w:val="none"/>
          <w:u w:val="none"/>
          <w:lang w:val="en-US" w:eastAsia="zh-CN" w:bidi="ar-SA"/>
        </w:rPr>
        <w:t>，</w:t>
      </w:r>
      <w:r>
        <w:rPr>
          <w:rFonts w:hint="default" w:eastAsia="方正仿宋_GBK" w:cs="Times New Roman"/>
          <w:b w:val="0"/>
          <w:bCs/>
          <w:kern w:val="0"/>
          <w:sz w:val="32"/>
          <w:szCs w:val="32"/>
          <w:highlight w:val="none"/>
          <w:u w:val="none"/>
          <w:lang w:val="en-US" w:eastAsia="zh-CN" w:bidi="ar-SA"/>
        </w:rPr>
        <w:t>评价等级为“优”。</w:t>
      </w:r>
    </w:p>
    <w:p w14:paraId="4E9F870A">
      <w:pPr>
        <w:rPr>
          <w:rFonts w:hint="default"/>
        </w:rPr>
      </w:pPr>
      <w:bookmarkStart w:id="54" w:name="_Toc31066_WPSOffice_Level1"/>
      <w:bookmarkStart w:id="55" w:name="_Toc15377226"/>
      <w:r>
        <w:rPr>
          <w:rFonts w:hint="default"/>
        </w:rPr>
        <w:br w:type="page"/>
      </w:r>
    </w:p>
    <w:p w14:paraId="4B5956B2">
      <w:pPr>
        <w:pStyle w:val="3"/>
        <w:bidi w:val="0"/>
        <w:rPr>
          <w:rFonts w:hint="default"/>
        </w:rPr>
      </w:pPr>
      <w:r>
        <w:rPr>
          <w:rFonts w:hint="default"/>
        </w:rPr>
        <w:t>第三部分  名词解释</w:t>
      </w:r>
      <w:bookmarkEnd w:id="54"/>
    </w:p>
    <w:p w14:paraId="495A8EFD">
      <w:pPr>
        <w:keepNext w:val="0"/>
        <w:keepLines w:val="0"/>
        <w:pageBreakBefore w:val="0"/>
        <w:widowControl w:val="0"/>
        <w:kinsoku/>
        <w:wordWrap/>
        <w:overflowPunct/>
        <w:topLinePunct w:val="0"/>
        <w:bidi w:val="0"/>
        <w:snapToGrid/>
        <w:spacing w:line="240" w:lineRule="auto"/>
        <w:ind w:firstLine="883" w:firstLineChars="200"/>
        <w:jc w:val="both"/>
        <w:textAlignment w:val="auto"/>
        <w:rPr>
          <w:rFonts w:hint="default" w:ascii="Times New Roman" w:hAnsi="Times New Roman" w:cs="Times New Roman"/>
          <w:b/>
          <w:sz w:val="44"/>
          <w:szCs w:val="44"/>
        </w:rPr>
      </w:pPr>
    </w:p>
    <w:p w14:paraId="3269A958">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1.财政拨款收入：指单位从同级财政部门取得的财政预算资金。</w:t>
      </w:r>
    </w:p>
    <w:p w14:paraId="72F3E510">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w:t>
      </w:r>
    </w:p>
    <w:p w14:paraId="46240D9F">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w:t>
      </w:r>
    </w:p>
    <w:p w14:paraId="1F7C8CA9">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4.其他收入：指单位取得的除上述收入以外的各项收入。主要是市级</w:t>
      </w:r>
      <w:r>
        <w:rPr>
          <w:rFonts w:hint="eastAsia" w:ascii="Times New Roman" w:hAnsi="Times New Roman" w:eastAsia="方正仿宋_GBK" w:cs="Times New Roman"/>
          <w:color w:val="auto"/>
          <w:sz w:val="32"/>
          <w:szCs w:val="32"/>
          <w:lang w:eastAsia="zh-CN"/>
        </w:rPr>
        <w:t>森林草原防灭火</w:t>
      </w:r>
      <w:r>
        <w:rPr>
          <w:rFonts w:hint="default" w:ascii="Times New Roman" w:hAnsi="Times New Roman" w:eastAsia="方正仿宋_GBK" w:cs="Times New Roman"/>
          <w:color w:val="auto"/>
          <w:sz w:val="32"/>
          <w:szCs w:val="32"/>
        </w:rPr>
        <w:t>资金收入。</w:t>
      </w:r>
    </w:p>
    <w:p w14:paraId="004C486E">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5.使用非财政拨款结余（含专用结余）：指事业单位使用以前年度积累的非财政拨款结余弥补当年收支差额的金额。</w:t>
      </w:r>
    </w:p>
    <w:p w14:paraId="0D7B84A2">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6.年初结转和结余：指以前年度尚未完成、结转到本年按有关规定继续使用的资金。</w:t>
      </w:r>
    </w:p>
    <w:p w14:paraId="0E8C6EFB">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14:paraId="5512BF5D">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8.年末结转和结余：指单位按有关规定结转到下年或以后年度继续使用的资金。</w:t>
      </w:r>
    </w:p>
    <w:p w14:paraId="7FDBDEF3">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9.</w:t>
      </w: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14:paraId="0C274E91">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10.</w:t>
      </w: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一般公共服务201（类）人大事务01（款）人大会议04（项）</w:t>
      </w:r>
      <w:r>
        <w:rPr>
          <w:rFonts w:hint="default" w:ascii="Times New Roman" w:hAnsi="Times New Roman" w:eastAsia="方正仿宋_GBK" w:cs="Times New Roman"/>
          <w:color w:val="000000"/>
          <w:sz w:val="32"/>
          <w:szCs w:val="32"/>
        </w:rPr>
        <w:t>：指反映各级人大召开人民代表大会等专门会议的支出。</w:t>
      </w:r>
    </w:p>
    <w:p w14:paraId="57D87C90">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b w:val="0"/>
          <w:bCs/>
          <w:kern w:val="0"/>
          <w:sz w:val="32"/>
          <w:szCs w:val="32"/>
          <w:highlight w:val="none"/>
          <w:u w:val="none"/>
          <w:lang w:val="en-US" w:eastAsia="zh-CN" w:bidi="ar-SA"/>
        </w:rPr>
        <w:t>11.</w:t>
      </w: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一般公共服务201（类）人大事务01（款）99其他人大事务支出（项）</w:t>
      </w:r>
      <w:r>
        <w:rPr>
          <w:rFonts w:hint="default" w:ascii="Times New Roman" w:hAnsi="Times New Roman" w:eastAsia="方正仿宋_GBK" w:cs="Times New Roman"/>
          <w:color w:val="000000"/>
          <w:sz w:val="32"/>
          <w:szCs w:val="32"/>
          <w:lang w:val="en-US" w:eastAsia="zh-CN"/>
        </w:rPr>
        <w:t>：指反映除上述项目以外的其他人大事务支出。</w:t>
      </w:r>
    </w:p>
    <w:p w14:paraId="46B8C3F5">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12.</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14:paraId="48CAFF81">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13.</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一般公共服务201（类）政府办公厅（室）及相关机构事务03（款）一般行政管理事务02（项）</w:t>
      </w:r>
      <w:r>
        <w:rPr>
          <w:rFonts w:hint="default" w:ascii="Times New Roman" w:hAnsi="Times New Roman" w:eastAsia="方正仿宋_GBK" w:cs="Times New Roman"/>
          <w:color w:val="000000"/>
          <w:sz w:val="32"/>
          <w:szCs w:val="32"/>
        </w:rPr>
        <w:t>：指反映行政单位（包括实行公务员管理的事业单位）未单独设置项级科目的其他项目支出。</w:t>
      </w:r>
    </w:p>
    <w:p w14:paraId="486400E5">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14.</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一般公共服务201（类）政府办公厅（室）及相关机构事务03（款）事业运行</w:t>
      </w:r>
      <w:r>
        <w:rPr>
          <w:rFonts w:hint="eastAsia" w:eastAsia="方正仿宋_GBK" w:cs="Times New Roman"/>
          <w:b w:val="0"/>
          <w:bCs/>
          <w:kern w:val="0"/>
          <w:sz w:val="32"/>
          <w:szCs w:val="32"/>
          <w:highlight w:val="none"/>
          <w:u w:val="none"/>
          <w:lang w:val="en-US" w:eastAsia="zh-CN" w:bidi="ar-SA"/>
        </w:rPr>
        <w:t>50</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：指反映事业单位的基本支出，不包括行政单位（包括实行公务员管理的事业单位）后勤服务中心、医务室等附属事业单位。</w:t>
      </w:r>
    </w:p>
    <w:p w14:paraId="60AEEF9E">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eastAsia="方正仿宋_GBK" w:cs="Times New Roman"/>
          <w:b w:val="0"/>
          <w:bCs/>
          <w:kern w:val="0"/>
          <w:sz w:val="32"/>
          <w:szCs w:val="32"/>
          <w:highlight w:val="none"/>
          <w:u w:val="none"/>
          <w:lang w:val="en-US" w:eastAsia="zh-CN" w:bidi="ar-SA"/>
        </w:rPr>
        <w:t>15.</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一般公共服务201（类）政府办公厅（室）及相关机构事务03（款）其他政府办公厅(室)及相关机构事务支出99（项）</w:t>
      </w:r>
      <w:r>
        <w:rPr>
          <w:rFonts w:hint="default" w:ascii="Times New Roman" w:hAnsi="Times New Roman" w:eastAsia="方正仿宋_GBK" w:cs="Times New Roman"/>
          <w:color w:val="000000"/>
          <w:sz w:val="32"/>
          <w:szCs w:val="32"/>
          <w:lang w:val="en-US" w:eastAsia="zh-CN"/>
        </w:rPr>
        <w:t>：指反映除上述项目以外其他政府办公厅(室)及相关机构事务支出</w:t>
      </w:r>
    </w:p>
    <w:p w14:paraId="674399EC">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16.</w:t>
      </w:r>
      <w:r>
        <w:rPr>
          <w:rFonts w:hint="default" w:ascii="Times New Roman" w:hAnsi="Times New Roman" w:eastAsia="方正仿宋_GBK" w:cs="Times New Roman"/>
          <w:b w:val="0"/>
          <w:bCs/>
          <w:kern w:val="0"/>
          <w:sz w:val="32"/>
          <w:szCs w:val="32"/>
          <w:highlight w:val="none"/>
          <w:u w:val="none"/>
          <w:lang w:val="en-US" w:eastAsia="zh-CN" w:bidi="ar-SA"/>
        </w:rPr>
        <w:t>一般公共服务201（类）</w:t>
      </w:r>
      <w:r>
        <w:rPr>
          <w:rFonts w:hint="eastAsia" w:eastAsia="方正仿宋_GBK" w:cs="Times New Roman"/>
          <w:b w:val="0"/>
          <w:bCs/>
          <w:kern w:val="0"/>
          <w:sz w:val="32"/>
          <w:szCs w:val="32"/>
          <w:highlight w:val="none"/>
          <w:u w:val="none"/>
          <w:lang w:val="en-US" w:eastAsia="zh-CN" w:bidi="ar-SA"/>
        </w:rPr>
        <w:t>统计信息事务05</w:t>
      </w:r>
      <w:r>
        <w:rPr>
          <w:rFonts w:hint="default" w:ascii="Times New Roman" w:hAnsi="Times New Roman" w:eastAsia="方正仿宋_GBK" w:cs="Times New Roman"/>
          <w:b w:val="0"/>
          <w:bCs/>
          <w:kern w:val="0"/>
          <w:sz w:val="32"/>
          <w:szCs w:val="32"/>
          <w:highlight w:val="none"/>
          <w:u w:val="none"/>
          <w:lang w:val="en-US" w:eastAsia="zh-CN" w:bidi="ar-SA"/>
        </w:rPr>
        <w:t>（款）</w:t>
      </w:r>
      <w:r>
        <w:rPr>
          <w:rFonts w:hint="eastAsia" w:eastAsia="方正仿宋_GBK" w:cs="Times New Roman"/>
          <w:b w:val="0"/>
          <w:bCs/>
          <w:kern w:val="0"/>
          <w:sz w:val="32"/>
          <w:szCs w:val="32"/>
          <w:highlight w:val="none"/>
          <w:u w:val="none"/>
          <w:lang w:val="en-US" w:eastAsia="zh-CN" w:bidi="ar-SA"/>
        </w:rPr>
        <w:t>专项普查活动07</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eastAsia" w:eastAsia="方正仿宋_GBK" w:cs="Times New Roman"/>
          <w:color w:val="000000"/>
          <w:sz w:val="32"/>
          <w:szCs w:val="32"/>
          <w:lang w:eastAsia="zh-CN"/>
        </w:rPr>
        <w:t>统计部门开展人口普查、经济普查、农业普查、投入产出调查等周期性普查工作的支出</w:t>
      </w:r>
      <w:r>
        <w:rPr>
          <w:rFonts w:hint="default" w:ascii="Times New Roman" w:hAnsi="Times New Roman" w:eastAsia="方正仿宋_GBK" w:cs="Times New Roman"/>
          <w:color w:val="000000"/>
          <w:sz w:val="32"/>
          <w:szCs w:val="32"/>
        </w:rPr>
        <w:t>。</w:t>
      </w:r>
    </w:p>
    <w:p w14:paraId="2D2FA6DF">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17.</w:t>
      </w: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一般公共服务201（类）民族事务23（款）民族工作专项04（项）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eastAsia" w:eastAsia="方正仿宋_GBK" w:cs="Times New Roman"/>
          <w:color w:val="000000"/>
          <w:sz w:val="32"/>
          <w:szCs w:val="32"/>
          <w:lang w:eastAsia="zh-CN"/>
        </w:rPr>
        <w:t>用于</w:t>
      </w:r>
      <w:r>
        <w:rPr>
          <w:rFonts w:hint="default" w:ascii="Times New Roman" w:hAnsi="Times New Roman" w:eastAsia="方正仿宋_GBK" w:cs="Times New Roman"/>
          <w:color w:val="000000"/>
          <w:sz w:val="32"/>
          <w:szCs w:val="32"/>
        </w:rPr>
        <w:t>民族事务管理方面的专项支出。</w:t>
      </w:r>
    </w:p>
    <w:p w14:paraId="7A757240">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18.</w:t>
      </w: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一般公共服务201（类）民族事务23（款）其他民族事务99（项）</w:t>
      </w:r>
      <w:r>
        <w:rPr>
          <w:rFonts w:hint="default" w:ascii="Times New Roman" w:hAnsi="Times New Roman" w:eastAsia="方正仿宋_GBK" w:cs="Times New Roman"/>
          <w:color w:val="000000"/>
          <w:sz w:val="32"/>
          <w:szCs w:val="32"/>
        </w:rPr>
        <w:t>：指反映除上述项目以外其他用于民族事务方面的支出。</w:t>
      </w:r>
    </w:p>
    <w:p w14:paraId="3DC92CA4">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19.</w:t>
      </w: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14:paraId="083E406C">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eastAsia="方正仿宋_GBK" w:cs="Times New Roman"/>
          <w:b w:val="0"/>
          <w:bCs/>
          <w:kern w:val="0"/>
          <w:sz w:val="32"/>
          <w:szCs w:val="32"/>
          <w:highlight w:val="none"/>
          <w:u w:val="none"/>
          <w:lang w:val="en-US" w:eastAsia="zh-CN" w:bidi="ar-SA"/>
        </w:rPr>
        <w:t>20.</w:t>
      </w: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一般公共服务201（类）党委办公厅（室）及相关机构事务31（款）一般行政管理事务02（项）</w:t>
      </w:r>
      <w:r>
        <w:rPr>
          <w:rFonts w:hint="default" w:ascii="Times New Roman" w:hAnsi="Times New Roman" w:eastAsia="方正仿宋_GBK" w:cs="Times New Roman"/>
          <w:color w:val="000000"/>
          <w:sz w:val="32"/>
          <w:szCs w:val="32"/>
          <w:lang w:val="en-US" w:eastAsia="zh-CN"/>
        </w:rPr>
        <w:t>：指反映行政单位（包括实行公务员管理的事业单位）未单独设置项级科目的其他项目支出。</w:t>
      </w:r>
    </w:p>
    <w:p w14:paraId="0E9885D1">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eastAsia="方正仿宋_GBK" w:cs="Times New Roman"/>
          <w:b w:val="0"/>
          <w:bCs/>
          <w:kern w:val="0"/>
          <w:sz w:val="32"/>
          <w:szCs w:val="32"/>
          <w:highlight w:val="none"/>
          <w:u w:val="none"/>
          <w:lang w:val="en-US" w:eastAsia="zh-CN" w:bidi="ar-SA"/>
        </w:rPr>
      </w:pPr>
      <w:r>
        <w:rPr>
          <w:rFonts w:hint="eastAsia" w:ascii="Times New Roman" w:eastAsia="方正仿宋_GBK" w:cs="Times New Roman"/>
          <w:b w:val="0"/>
          <w:bCs/>
          <w:kern w:val="0"/>
          <w:sz w:val="32"/>
          <w:szCs w:val="32"/>
          <w:highlight w:val="none"/>
          <w:u w:val="none"/>
          <w:lang w:val="en-US" w:eastAsia="zh-CN" w:bidi="ar-SA"/>
        </w:rPr>
        <w:t>21.</w:t>
      </w:r>
      <w:r>
        <w:rPr>
          <w:rFonts w:hint="default" w:ascii="Times New Roman" w:eastAsia="方正仿宋_GBK" w:cs="Times New Roman"/>
          <w:b w:val="0"/>
          <w:bCs/>
          <w:kern w:val="0"/>
          <w:sz w:val="32"/>
          <w:szCs w:val="32"/>
          <w:highlight w:val="none"/>
          <w:u w:val="none"/>
          <w:lang w:val="en-US" w:eastAsia="zh-CN" w:bidi="ar-SA"/>
        </w:rPr>
        <w:t>一般公共服务201（类）其他一般公共服务支出99（款）其他一般公共服务支出99（项）：指反映除上述项目以外的其他一般公共服务支出。</w:t>
      </w:r>
    </w:p>
    <w:p w14:paraId="171FAED8">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22.</w:t>
      </w: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文化旅游体育与传媒支出207（类）文化和旅游01（款）群众文化09（项）</w:t>
      </w:r>
      <w:r>
        <w:rPr>
          <w:rFonts w:hint="default" w:ascii="Times New Roman" w:hAnsi="Times New Roman" w:eastAsia="方正仿宋_GBK" w:cs="Times New Roman"/>
          <w:color w:val="000000"/>
          <w:sz w:val="32"/>
          <w:szCs w:val="32"/>
          <w:highlight w:val="none"/>
        </w:rPr>
        <w:t>：指反映群</w:t>
      </w:r>
      <w:r>
        <w:rPr>
          <w:rFonts w:hint="default" w:ascii="Times New Roman" w:hAnsi="Times New Roman" w:eastAsia="方正仿宋_GBK" w:cs="Times New Roman"/>
          <w:color w:val="000000"/>
          <w:sz w:val="32"/>
          <w:szCs w:val="32"/>
        </w:rPr>
        <w:t>众文化方面的支出，包括基层文化馆（站）、群众艺术馆支出等。</w:t>
      </w:r>
    </w:p>
    <w:p w14:paraId="3628E5A4">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23.</w:t>
      </w: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文化旅游体育与传媒支出207（类）文化和旅游01（款）其他文化和旅游支出99（项）</w:t>
      </w:r>
      <w:r>
        <w:rPr>
          <w:rFonts w:hint="default" w:ascii="Times New Roman" w:hAnsi="Times New Roman" w:eastAsia="方正仿宋_GBK" w:cs="Times New Roman"/>
          <w:color w:val="000000"/>
          <w:sz w:val="32"/>
          <w:szCs w:val="32"/>
        </w:rPr>
        <w:t>：反映除上述项目以外其他用于文化和旅游方</w:t>
      </w:r>
      <w:r>
        <w:rPr>
          <w:rFonts w:hint="default" w:ascii="Times New Roman" w:hAnsi="Times New Roman" w:eastAsia="方正仿宋_GBK" w:cs="Times New Roman"/>
          <w:color w:val="000000"/>
          <w:sz w:val="32"/>
          <w:szCs w:val="32"/>
          <w:lang w:eastAsia="zh-CN"/>
        </w:rPr>
        <w:t>面的</w:t>
      </w:r>
      <w:r>
        <w:rPr>
          <w:rFonts w:hint="default" w:ascii="Times New Roman" w:hAnsi="Times New Roman" w:eastAsia="方正仿宋_GBK" w:cs="Times New Roman"/>
          <w:color w:val="000000"/>
          <w:sz w:val="32"/>
          <w:szCs w:val="32"/>
        </w:rPr>
        <w:t>支出。</w:t>
      </w:r>
    </w:p>
    <w:p w14:paraId="04D6C541">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24.</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社会保障和就业支出208（类）人力资源和社会保障管理事务01（款）社会保险经办机构09（项）</w:t>
      </w:r>
      <w:r>
        <w:rPr>
          <w:rFonts w:hint="default" w:ascii="Times New Roman" w:hAnsi="Times New Roman" w:eastAsia="方正仿宋_GBK" w:cs="Times New Roman"/>
          <w:color w:val="000000"/>
          <w:sz w:val="32"/>
          <w:szCs w:val="32"/>
        </w:rPr>
        <w:t>：指反映社会保险经办机构开展业务工作的支出。</w:t>
      </w:r>
    </w:p>
    <w:p w14:paraId="79916552">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25.</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社会保障和就业支出208（类）人力资源和社会保障管理事务01（款）其他人力资源和社会保障管理实务支出99（项）</w:t>
      </w:r>
      <w:r>
        <w:rPr>
          <w:rFonts w:hint="default" w:ascii="Times New Roman" w:hAnsi="Times New Roman" w:eastAsia="方正仿宋_GBK" w:cs="Times New Roman"/>
          <w:color w:val="000000"/>
          <w:sz w:val="32"/>
          <w:szCs w:val="32"/>
        </w:rPr>
        <w:t>：反映除上述项目以外其他用于人力资源社会保障管理事务方面的支出。</w:t>
      </w:r>
    </w:p>
    <w:p w14:paraId="3C94D76D">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26.</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社会保障和就业支出208（类）民政管理事务02（款）基层政权建设和社区治理08（项）</w:t>
      </w:r>
      <w:r>
        <w:rPr>
          <w:rFonts w:hint="default" w:ascii="Times New Roman" w:hAnsi="Times New Roman" w:eastAsia="方正仿宋_GBK" w:cs="Times New Roman"/>
          <w:color w:val="000000"/>
          <w:sz w:val="32"/>
          <w:szCs w:val="32"/>
        </w:rPr>
        <w:t>：指反映开展城乡社区治理、城乡社区服务（乡村便民服务）村（居）民自治、村（居）务公开、乡镇（街道）服务能力建设等基层政权建设和社区治理工作支出。</w:t>
      </w:r>
    </w:p>
    <w:p w14:paraId="06F544BD">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27.</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社会保障和就业支出208（类）行政事业单位养老支出05（款）行政单位离退休01（项）</w:t>
      </w:r>
      <w:r>
        <w:rPr>
          <w:rFonts w:hint="default" w:ascii="Times New Roman" w:hAnsi="Times New Roman" w:eastAsia="方正仿宋_GBK" w:cs="Times New Roman"/>
          <w:color w:val="000000"/>
          <w:sz w:val="32"/>
          <w:szCs w:val="32"/>
        </w:rPr>
        <w:t>：指反映行政单位（包括实行公务员管理的事业单位）开支的离退休经费。</w:t>
      </w:r>
    </w:p>
    <w:p w14:paraId="1EA80514">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28.</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社会保障和就业支出208（类）行政事业单位养老支出05（款）事业单位离退休02（项）</w:t>
      </w:r>
      <w:r>
        <w:rPr>
          <w:rFonts w:hint="default" w:ascii="Times New Roman" w:hAnsi="Times New Roman" w:eastAsia="方正仿宋_GBK" w:cs="Times New Roman"/>
          <w:color w:val="000000"/>
          <w:sz w:val="32"/>
          <w:szCs w:val="32"/>
        </w:rPr>
        <w:t>：指反映事业单位开支的离退休经费。</w:t>
      </w:r>
    </w:p>
    <w:p w14:paraId="4D2D67C4">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29.</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社会保障和就业支出208（类）行政事业单位养老支出05（款）机关事业单位基本养老保险缴费支出05（项）</w:t>
      </w:r>
      <w:r>
        <w:rPr>
          <w:rFonts w:hint="default" w:ascii="Times New Roman" w:hAnsi="Times New Roman" w:eastAsia="方正仿宋_GBK" w:cs="Times New Roman"/>
          <w:color w:val="000000"/>
          <w:sz w:val="32"/>
          <w:szCs w:val="32"/>
        </w:rPr>
        <w:t>：指反映机关事业单位实施养老保险制度由单位缴纳的基本养老保险费支出。</w:t>
      </w:r>
    </w:p>
    <w:p w14:paraId="0AC8BB95">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30.</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社会保障和就业支出208（类）行政事业单位养老支出05（款）机关事业单位职业年金缴费支出06（项）</w:t>
      </w:r>
      <w:r>
        <w:rPr>
          <w:rFonts w:hint="default" w:ascii="Times New Roman" w:hAnsi="Times New Roman" w:eastAsia="方正仿宋_GBK" w:cs="Times New Roman"/>
          <w:color w:val="000000"/>
          <w:sz w:val="32"/>
          <w:szCs w:val="32"/>
        </w:rPr>
        <w:t>：指反映机关事业单位实施养老保险制度由单位实际缴纳的职业年金支出。</w:t>
      </w:r>
    </w:p>
    <w:p w14:paraId="4E843AAE">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b w:val="0"/>
          <w:bCs/>
          <w:kern w:val="0"/>
          <w:sz w:val="32"/>
          <w:szCs w:val="32"/>
          <w:highlight w:val="none"/>
          <w:u w:val="none"/>
          <w:lang w:val="en-US" w:eastAsia="zh-CN" w:bidi="ar-SA"/>
        </w:rPr>
        <w:t>31.</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社会保障和就业支出208（类）特困人员救助供养21（款）农村特困人员救助供养支出02（项）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农村特困人员救助供养支出。</w:t>
      </w:r>
    </w:p>
    <w:p w14:paraId="0CBECDD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32.</w:t>
      </w:r>
      <w:r>
        <w:rPr>
          <w:rFonts w:hint="default" w:ascii="Times New Roman" w:hAnsi="Times New Roman" w:eastAsia="方正仿宋_GBK" w:cs="Times New Roman"/>
          <w:b w:val="0"/>
          <w:bCs/>
          <w:kern w:val="0"/>
          <w:sz w:val="32"/>
          <w:szCs w:val="32"/>
          <w:highlight w:val="none"/>
          <w:u w:val="none"/>
          <w:lang w:val="en-US" w:eastAsia="zh-CN" w:bidi="ar-SA"/>
        </w:rPr>
        <w:t>卫生健康支出210（类）公共卫生04（款）其他公共卫生支出99（项）</w:t>
      </w:r>
      <w:r>
        <w:rPr>
          <w:rFonts w:hint="default" w:ascii="Times New Roman" w:hAnsi="Times New Roman" w:eastAsia="方正仿宋_GBK" w:cs="Times New Roman"/>
          <w:color w:val="000000"/>
          <w:sz w:val="32"/>
          <w:szCs w:val="32"/>
        </w:rPr>
        <w:t>：指反映除其他公共卫生支出反映上述项目以外的其他用于公共卫生方面的支出。</w:t>
      </w:r>
    </w:p>
    <w:p w14:paraId="6D8B3C0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33.</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卫生健康支出210（类）行政事业单位医疗11（款）行政单位医疗01（项）</w:t>
      </w:r>
      <w:r>
        <w:rPr>
          <w:rFonts w:hint="default" w:ascii="Times New Roman" w:hAnsi="Times New Roman" w:eastAsia="方正仿宋_GBK" w:cs="Times New Roman"/>
          <w:color w:val="000000"/>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p>
    <w:p w14:paraId="72D5672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34.</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卫生健康支出210（类）行政事业单位医疗11（款）事业单位医疗02（项）</w:t>
      </w:r>
      <w:r>
        <w:rPr>
          <w:rFonts w:hint="default" w:ascii="Times New Roman" w:hAnsi="Times New Roman" w:eastAsia="方正仿宋_GBK" w:cs="Times New Roman"/>
          <w:color w:val="000000"/>
          <w:sz w:val="32"/>
          <w:szCs w:val="32"/>
        </w:rPr>
        <w:t>：指反映财政部门安排的事业单位基本医疗保险缴费经费，未参加医疗保险的事业单位的公费医疗经费，按国家规定享受离休人员的医疗经费。</w:t>
      </w:r>
    </w:p>
    <w:p w14:paraId="2927602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35.</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卫生健康支出210（类）行政事业单位医疗11（款）公务员医疗补助03（项）</w:t>
      </w:r>
      <w:r>
        <w:rPr>
          <w:rFonts w:hint="default" w:ascii="Times New Roman" w:hAnsi="Times New Roman" w:eastAsia="方正仿宋_GBK" w:cs="Times New Roman"/>
          <w:color w:val="000000"/>
          <w:sz w:val="32"/>
          <w:szCs w:val="32"/>
        </w:rPr>
        <w:t>：指反映财政部门安排的公务员医疗补助经费。</w:t>
      </w:r>
    </w:p>
    <w:p w14:paraId="507F0B9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36.</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卫生健康支出210（类）行政事业单位医疗11（款）其他行政事业单位医疗支出99（项）</w:t>
      </w:r>
      <w:r>
        <w:rPr>
          <w:rFonts w:hint="default" w:ascii="Times New Roman" w:hAnsi="Times New Roman" w:eastAsia="方正仿宋_GBK" w:cs="Times New Roman"/>
          <w:color w:val="000000"/>
          <w:sz w:val="32"/>
          <w:szCs w:val="32"/>
        </w:rPr>
        <w:t>：指反映除上述项目以外的其他用于行政事业单位医疗方面的支出。</w:t>
      </w:r>
    </w:p>
    <w:p w14:paraId="73F4C19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37.</w:t>
      </w:r>
      <w:r>
        <w:rPr>
          <w:rFonts w:hint="default" w:eastAsia="方正仿宋_GBK" w:cs="Times New Roman"/>
          <w:b w:val="0"/>
          <w:bCs/>
          <w:kern w:val="0"/>
          <w:sz w:val="32"/>
          <w:szCs w:val="32"/>
          <w:highlight w:val="none"/>
          <w:u w:val="none"/>
          <w:lang w:val="en-US" w:eastAsia="zh-CN" w:bidi="ar-SA"/>
        </w:rPr>
        <w:t>节能环保支出211（类）污染防治03（款）其他污染防治支出99（项）：指反除上述项目以外其他用于污染防治方面的支出</w:t>
      </w:r>
      <w:r>
        <w:rPr>
          <w:rFonts w:hint="eastAsia" w:eastAsia="方正仿宋_GBK" w:cs="Times New Roman"/>
          <w:b w:val="0"/>
          <w:bCs/>
          <w:kern w:val="0"/>
          <w:sz w:val="32"/>
          <w:szCs w:val="32"/>
          <w:highlight w:val="none"/>
          <w:u w:val="none"/>
          <w:lang w:val="en-US" w:eastAsia="zh-CN" w:bidi="ar-SA"/>
        </w:rPr>
        <w:t>。</w:t>
      </w:r>
    </w:p>
    <w:p w14:paraId="4E8FB99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lang w:val="en-US" w:eastAsia="zh-CN"/>
        </w:rPr>
      </w:pPr>
      <w:r>
        <w:rPr>
          <w:rFonts w:hint="eastAsia" w:eastAsia="方正仿宋_GBK" w:cs="Times New Roman"/>
          <w:b w:val="0"/>
          <w:bCs/>
          <w:kern w:val="0"/>
          <w:sz w:val="32"/>
          <w:szCs w:val="32"/>
          <w:highlight w:val="none"/>
          <w:u w:val="none"/>
          <w:lang w:val="en-US" w:eastAsia="zh-CN" w:bidi="ar-SA"/>
        </w:rPr>
        <w:t>38.</w:t>
      </w:r>
      <w:r>
        <w:rPr>
          <w:rFonts w:hint="default" w:eastAsia="方正仿宋_GBK" w:cs="Times New Roman"/>
          <w:b w:val="0"/>
          <w:bCs/>
          <w:kern w:val="0"/>
          <w:sz w:val="32"/>
          <w:szCs w:val="32"/>
          <w:highlight w:val="none"/>
          <w:u w:val="none"/>
          <w:lang w:val="en-US" w:eastAsia="zh-CN" w:bidi="ar-SA"/>
        </w:rPr>
        <w:t>节能环保支出211（类）</w:t>
      </w:r>
      <w:r>
        <w:rPr>
          <w:rFonts w:hint="eastAsia" w:eastAsia="方正仿宋_GBK" w:cs="Times New Roman"/>
          <w:b w:val="0"/>
          <w:bCs/>
          <w:kern w:val="0"/>
          <w:sz w:val="32"/>
          <w:szCs w:val="32"/>
          <w:highlight w:val="none"/>
          <w:u w:val="none"/>
          <w:lang w:val="en-US" w:eastAsia="zh-CN" w:bidi="ar-SA"/>
        </w:rPr>
        <w:t>污染减排11</w:t>
      </w:r>
      <w:r>
        <w:rPr>
          <w:rFonts w:hint="default" w:eastAsia="方正仿宋_GBK" w:cs="Times New Roman"/>
          <w:b w:val="0"/>
          <w:bCs/>
          <w:kern w:val="0"/>
          <w:sz w:val="32"/>
          <w:szCs w:val="32"/>
          <w:highlight w:val="none"/>
          <w:u w:val="none"/>
          <w:lang w:val="en-US" w:eastAsia="zh-CN" w:bidi="ar-SA"/>
        </w:rPr>
        <w:t>（款）</w:t>
      </w:r>
      <w:r>
        <w:rPr>
          <w:rFonts w:hint="eastAsia" w:eastAsia="方正仿宋_GBK" w:cs="Times New Roman"/>
          <w:b w:val="0"/>
          <w:bCs/>
          <w:kern w:val="0"/>
          <w:sz w:val="32"/>
          <w:szCs w:val="32"/>
          <w:highlight w:val="none"/>
          <w:u w:val="none"/>
          <w:lang w:val="en-US" w:eastAsia="zh-CN" w:bidi="ar-SA"/>
        </w:rPr>
        <w:t>其他污染减排支出</w:t>
      </w:r>
      <w:r>
        <w:rPr>
          <w:rFonts w:hint="default" w:eastAsia="方正仿宋_GBK" w:cs="Times New Roman"/>
          <w:b w:val="0"/>
          <w:bCs/>
          <w:kern w:val="0"/>
          <w:sz w:val="32"/>
          <w:szCs w:val="32"/>
          <w:highlight w:val="none"/>
          <w:u w:val="none"/>
          <w:lang w:val="en-US" w:eastAsia="zh-CN" w:bidi="ar-SA"/>
        </w:rPr>
        <w:t>99（项）：指反除上述项目以外其他</w:t>
      </w:r>
      <w:r>
        <w:rPr>
          <w:rFonts w:hint="eastAsia" w:eastAsia="方正仿宋_GBK" w:cs="Times New Roman"/>
          <w:b w:val="0"/>
          <w:bCs/>
          <w:kern w:val="0"/>
          <w:sz w:val="32"/>
          <w:szCs w:val="32"/>
          <w:highlight w:val="none"/>
          <w:u w:val="none"/>
          <w:lang w:val="en-US" w:eastAsia="zh-CN" w:bidi="ar-SA"/>
        </w:rPr>
        <w:t>用于</w:t>
      </w:r>
      <w:r>
        <w:rPr>
          <w:rFonts w:hint="default" w:eastAsia="方正仿宋_GBK" w:cs="Times New Roman"/>
          <w:b w:val="0"/>
          <w:bCs/>
          <w:kern w:val="0"/>
          <w:sz w:val="32"/>
          <w:szCs w:val="32"/>
          <w:highlight w:val="none"/>
          <w:u w:val="none"/>
          <w:lang w:val="en-US" w:eastAsia="zh-CN" w:bidi="ar-SA"/>
        </w:rPr>
        <w:t>污染减排方面的支出</w:t>
      </w:r>
      <w:r>
        <w:rPr>
          <w:rFonts w:hint="eastAsia" w:eastAsia="方正仿宋_GBK" w:cs="Times New Roman"/>
          <w:b w:val="0"/>
          <w:bCs/>
          <w:kern w:val="0"/>
          <w:sz w:val="32"/>
          <w:szCs w:val="32"/>
          <w:highlight w:val="none"/>
          <w:u w:val="none"/>
          <w:lang w:val="en-US" w:eastAsia="zh-CN" w:bidi="ar-SA"/>
        </w:rPr>
        <w:t>。</w:t>
      </w:r>
    </w:p>
    <w:p w14:paraId="48C257FB">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b w:val="0"/>
          <w:bCs/>
          <w:kern w:val="0"/>
          <w:sz w:val="32"/>
          <w:szCs w:val="32"/>
          <w:highlight w:val="none"/>
          <w:u w:val="none"/>
          <w:lang w:val="en-US" w:eastAsia="zh-CN" w:bidi="ar-SA"/>
        </w:rPr>
        <w:t>39.</w:t>
      </w: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城乡社区支出212（类）国有土地使用权出让收入安排的支出08（款）农村基础设施建设支出04（项）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土地出让收入用于农村供水保障、村庄公共设施建设和管护以及与农村直接相关的以工代赈等方面的</w:t>
      </w:r>
      <w:r>
        <w:rPr>
          <w:rFonts w:hint="default" w:ascii="Times New Roman" w:hAnsi="Times New Roman" w:eastAsia="方正仿宋_GBK" w:cs="Times New Roman"/>
          <w:color w:val="000000"/>
          <w:sz w:val="32"/>
          <w:szCs w:val="32"/>
        </w:rPr>
        <w:t>支出。</w:t>
      </w:r>
    </w:p>
    <w:p w14:paraId="1FCA5B97">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40.</w:t>
      </w: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农林水支出213（类）农业农村01（款）事业运行04（项）</w:t>
      </w:r>
      <w:r>
        <w:rPr>
          <w:rFonts w:hint="default" w:ascii="Times New Roman" w:hAnsi="Times New Roman" w:eastAsia="方正仿宋_GBK" w:cs="Times New Roman"/>
          <w:color w:val="000000"/>
          <w:sz w:val="32"/>
          <w:szCs w:val="32"/>
        </w:rPr>
        <w:t>：指反映用于农业事业单位基本支出，事业单位设施、系统运行与资产维护等方面的支出。</w:t>
      </w:r>
    </w:p>
    <w:p w14:paraId="1BE3AF64">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rPr>
      </w:pPr>
      <w:r>
        <w:rPr>
          <w:rFonts w:hint="eastAsia" w:eastAsia="方正仿宋_GBK" w:cs="Times New Roman"/>
          <w:b w:val="0"/>
          <w:bCs/>
          <w:kern w:val="0"/>
          <w:sz w:val="32"/>
          <w:szCs w:val="32"/>
          <w:highlight w:val="none"/>
          <w:u w:val="none"/>
          <w:lang w:val="en-US" w:eastAsia="zh-CN" w:bidi="ar-SA"/>
        </w:rPr>
        <w:t>41.</w:t>
      </w: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w:t>
      </w:r>
      <w:r>
        <w:rPr>
          <w:rFonts w:hint="eastAsia" w:eastAsia="方正仿宋_GBK" w:cs="Times New Roman"/>
          <w:b w:val="0"/>
          <w:bCs/>
          <w:kern w:val="0"/>
          <w:sz w:val="32"/>
          <w:szCs w:val="32"/>
          <w:highlight w:val="none"/>
          <w:u w:val="none"/>
          <w:lang w:val="en-US" w:eastAsia="zh-CN" w:bidi="ar-SA"/>
        </w:rPr>
        <w:t>其他农业农村支出99</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：指反映</w:t>
      </w:r>
      <w:r>
        <w:rPr>
          <w:rFonts w:hint="eastAsia" w:eastAsia="方正仿宋_GBK" w:cs="Times New Roman"/>
          <w:color w:val="000000"/>
          <w:sz w:val="32"/>
          <w:szCs w:val="32"/>
          <w:lang w:eastAsia="zh-CN"/>
        </w:rPr>
        <w:t>除上述项目以为其他用于农业农村方面的支出</w:t>
      </w:r>
      <w:r>
        <w:rPr>
          <w:rFonts w:hint="default" w:ascii="Times New Roman" w:hAnsi="Times New Roman" w:eastAsia="方正仿宋_GBK" w:cs="Times New Roman"/>
          <w:color w:val="000000"/>
          <w:sz w:val="32"/>
          <w:szCs w:val="32"/>
        </w:rPr>
        <w:t>。</w:t>
      </w:r>
    </w:p>
    <w:p w14:paraId="043DEA8B">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42.</w:t>
      </w: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农林水支出213（类）林业和草原02（款）林业草原防灾减灾34（项）</w:t>
      </w:r>
      <w:r>
        <w:rPr>
          <w:rFonts w:hint="default" w:ascii="Times New Roman" w:hAnsi="Times New Roman" w:eastAsia="方正仿宋_GBK" w:cs="Times New Roman"/>
          <w:color w:val="000000"/>
          <w:sz w:val="32"/>
          <w:szCs w:val="32"/>
        </w:rPr>
        <w:t>：指反映用于</w:t>
      </w:r>
      <w:r>
        <w:rPr>
          <w:rFonts w:hint="default" w:ascii="Times New Roman" w:hAnsi="Times New Roman" w:eastAsia="方正仿宋_GBK" w:cs="Times New Roman"/>
          <w:color w:val="000000"/>
          <w:sz w:val="32"/>
          <w:szCs w:val="32"/>
          <w:lang w:val="en-US" w:eastAsia="zh-CN"/>
        </w:rPr>
        <w:t>病虫害等有害生物灾害、森林草原防火、野生动物疫病灾害等方面的支出</w:t>
      </w:r>
      <w:r>
        <w:rPr>
          <w:rFonts w:hint="default" w:ascii="Times New Roman" w:hAnsi="Times New Roman" w:eastAsia="方正仿宋_GBK" w:cs="Times New Roman"/>
          <w:color w:val="000000"/>
          <w:sz w:val="32"/>
          <w:szCs w:val="32"/>
        </w:rPr>
        <w:t>。</w:t>
      </w:r>
    </w:p>
    <w:p w14:paraId="78503598">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b w:val="0"/>
          <w:bCs/>
          <w:kern w:val="0"/>
          <w:sz w:val="32"/>
          <w:szCs w:val="32"/>
          <w:highlight w:val="none"/>
          <w:u w:val="none"/>
          <w:lang w:val="en-US" w:eastAsia="zh-CN" w:bidi="ar-SA"/>
        </w:rPr>
        <w:t>43.</w:t>
      </w:r>
      <w:r>
        <w:rPr>
          <w:rFonts w:hint="default" w:ascii="Times New Roman" w:hAnsi="Times New Roman" w:eastAsia="方正仿宋_GBK" w:cs="Times New Roman"/>
          <w:b w:val="0"/>
          <w:bCs/>
          <w:kern w:val="0"/>
          <w:sz w:val="32"/>
          <w:szCs w:val="32"/>
          <w:highlight w:val="none"/>
          <w:u w:val="none"/>
          <w:lang w:val="en-US" w:eastAsia="zh-CN" w:bidi="ar-SA"/>
        </w:rPr>
        <w:t>农林水支出213（类）</w:t>
      </w:r>
      <w:r>
        <w:rPr>
          <w:rFonts w:hint="eastAsia" w:eastAsia="方正仿宋_GBK" w:cs="Times New Roman"/>
          <w:b w:val="0"/>
          <w:bCs/>
          <w:kern w:val="0"/>
          <w:sz w:val="32"/>
          <w:szCs w:val="32"/>
          <w:highlight w:val="none"/>
          <w:u w:val="none"/>
          <w:lang w:val="en-US" w:eastAsia="zh-CN" w:bidi="ar-SA"/>
        </w:rPr>
        <w:t>水利03</w:t>
      </w:r>
      <w:r>
        <w:rPr>
          <w:rFonts w:hint="default" w:ascii="Times New Roman" w:hAnsi="Times New Roman" w:eastAsia="方正仿宋_GBK" w:cs="Times New Roman"/>
          <w:b w:val="0"/>
          <w:bCs/>
          <w:kern w:val="0"/>
          <w:sz w:val="32"/>
          <w:szCs w:val="32"/>
          <w:highlight w:val="none"/>
          <w:u w:val="none"/>
          <w:lang w:val="en-US" w:eastAsia="zh-CN" w:bidi="ar-SA"/>
        </w:rPr>
        <w:t>（款）</w:t>
      </w:r>
      <w:r>
        <w:rPr>
          <w:rFonts w:hint="eastAsia" w:eastAsia="方正仿宋_GBK" w:cs="Times New Roman"/>
          <w:b w:val="0"/>
          <w:bCs/>
          <w:kern w:val="0"/>
          <w:sz w:val="32"/>
          <w:szCs w:val="32"/>
          <w:highlight w:val="none"/>
          <w:u w:val="none"/>
          <w:lang w:val="en-US" w:eastAsia="zh-CN" w:bidi="ar-SA"/>
        </w:rPr>
        <w:t>防汛14</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指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调度，山洪灾害防治等</w:t>
      </w:r>
      <w:r>
        <w:rPr>
          <w:rFonts w:hint="default" w:ascii="Times New Roman" w:hAnsi="Times New Roman" w:eastAsia="方正仿宋_GBK" w:cs="Times New Roman"/>
          <w:color w:val="000000"/>
          <w:sz w:val="32"/>
          <w:szCs w:val="32"/>
          <w:lang w:val="en-US" w:eastAsia="zh-CN"/>
        </w:rPr>
        <w:t>。</w:t>
      </w:r>
    </w:p>
    <w:p w14:paraId="1430FC45">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eastAsia="方正仿宋_GBK" w:cs="Times New Roman"/>
          <w:b w:val="0"/>
          <w:bCs/>
          <w:kern w:val="0"/>
          <w:sz w:val="32"/>
          <w:szCs w:val="32"/>
          <w:highlight w:val="none"/>
          <w:u w:val="none"/>
          <w:lang w:val="en-US" w:eastAsia="zh-CN" w:bidi="ar-SA"/>
        </w:rPr>
        <w:t>44.</w:t>
      </w:r>
      <w:r>
        <w:rPr>
          <w:rFonts w:hint="default" w:ascii="Times New Roman" w:hAnsi="Times New Roman" w:eastAsia="方正仿宋_GBK" w:cs="Times New Roman"/>
          <w:b w:val="0"/>
          <w:bCs/>
          <w:kern w:val="0"/>
          <w:sz w:val="32"/>
          <w:szCs w:val="32"/>
          <w:highlight w:val="none"/>
          <w:u w:val="none"/>
          <w:lang w:val="en-US" w:eastAsia="zh-CN" w:bidi="ar-SA"/>
        </w:rPr>
        <w:t>农林水支出213（类）</w:t>
      </w:r>
      <w:r>
        <w:rPr>
          <w:rFonts w:hint="eastAsia" w:ascii="Times New Roman" w:eastAsia="方正仿宋_GBK" w:cs="Times New Roman"/>
          <w:b w:val="0"/>
          <w:bCs/>
          <w:kern w:val="0"/>
          <w:sz w:val="32"/>
          <w:szCs w:val="32"/>
          <w:highlight w:val="none"/>
          <w:u w:val="none"/>
          <w:lang w:val="en-US" w:eastAsia="zh-CN" w:bidi="ar-SA"/>
        </w:rPr>
        <w:t>巩固脱贫攻坚成果衔接乡村振兴05</w:t>
      </w:r>
      <w:r>
        <w:rPr>
          <w:rFonts w:hint="default" w:ascii="Times New Roman" w:hAnsi="Times New Roman" w:eastAsia="方正仿宋_GBK" w:cs="Times New Roman"/>
          <w:b w:val="0"/>
          <w:bCs/>
          <w:kern w:val="0"/>
          <w:sz w:val="32"/>
          <w:szCs w:val="32"/>
          <w:highlight w:val="none"/>
          <w:u w:val="none"/>
          <w:lang w:val="en-US" w:eastAsia="zh-CN" w:bidi="ar-SA"/>
        </w:rPr>
        <w:t>（款）</w:t>
      </w:r>
      <w:r>
        <w:rPr>
          <w:rFonts w:hint="eastAsia" w:ascii="Times New Roman" w:eastAsia="方正仿宋_GBK" w:cs="Times New Roman"/>
          <w:b w:val="0"/>
          <w:bCs/>
          <w:kern w:val="0"/>
          <w:sz w:val="32"/>
          <w:szCs w:val="32"/>
          <w:highlight w:val="none"/>
          <w:u w:val="none"/>
          <w:lang w:val="en-US" w:eastAsia="zh-CN" w:bidi="ar-SA"/>
        </w:rPr>
        <w:t>其他巩固脱贫攻坚成果衔接乡村振兴支出99</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lang w:val="en-US" w:eastAsia="zh-CN"/>
        </w:rPr>
        <w:t>：指反映</w:t>
      </w:r>
      <w:r>
        <w:rPr>
          <w:rFonts w:hint="eastAsia" w:ascii="Times New Roman" w:eastAsia="方正仿宋_GBK" w:cs="Times New Roman"/>
          <w:color w:val="000000"/>
          <w:sz w:val="32"/>
          <w:szCs w:val="32"/>
          <w:lang w:val="en-US" w:eastAsia="zh-CN"/>
        </w:rPr>
        <w:t>除上述项目以外其他用于巩固拓展脱贫攻坚成果同乡村振兴有效衔接方面的支出</w:t>
      </w:r>
      <w:r>
        <w:rPr>
          <w:rFonts w:hint="default" w:ascii="Times New Roman" w:hAnsi="Times New Roman" w:eastAsia="方正仿宋_GBK" w:cs="Times New Roman"/>
          <w:color w:val="000000"/>
          <w:sz w:val="32"/>
          <w:szCs w:val="32"/>
          <w:lang w:val="en-US" w:eastAsia="zh-CN"/>
        </w:rPr>
        <w:t>。</w:t>
      </w:r>
    </w:p>
    <w:p w14:paraId="7D94C054">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45.</w:t>
      </w:r>
      <w:r>
        <w:rPr>
          <w:rFonts w:hint="default" w:ascii="Times New Roman" w:hAnsi="Times New Roman" w:eastAsia="方正仿宋_GBK" w:cs="Times New Roman"/>
          <w:b w:val="0"/>
          <w:bCs/>
          <w:kern w:val="0"/>
          <w:sz w:val="32"/>
          <w:szCs w:val="32"/>
          <w:highlight w:val="none"/>
          <w:u w:val="none"/>
          <w:lang w:val="en-US" w:eastAsia="zh-CN" w:bidi="ar-SA"/>
        </w:rPr>
        <w:t>农林水支出213（类）农村综合改革07（款）对村民委员会和村党支部的补助05（项）</w:t>
      </w:r>
      <w:r>
        <w:rPr>
          <w:rFonts w:hint="default" w:ascii="Times New Roman" w:hAnsi="Times New Roman" w:eastAsia="方正仿宋_GBK" w:cs="Times New Roman"/>
          <w:color w:val="000000"/>
          <w:sz w:val="32"/>
          <w:szCs w:val="32"/>
        </w:rPr>
        <w:t>：指反映各级财政对村民委员会和村党支部的补助支出，以及支持建立县级基本财力保障机制安排的村级组织运转奖补资金。</w:t>
      </w:r>
    </w:p>
    <w:p w14:paraId="3B0847D7">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46.</w:t>
      </w:r>
      <w:r>
        <w:rPr>
          <w:rFonts w:hint="default" w:ascii="Times New Roman" w:hAnsi="Times New Roman" w:eastAsia="方正仿宋_GBK" w:cs="Times New Roman"/>
          <w:b w:val="0"/>
          <w:bCs/>
          <w:kern w:val="0"/>
          <w:sz w:val="32"/>
          <w:szCs w:val="32"/>
          <w:highlight w:val="none"/>
          <w:u w:val="none"/>
          <w:lang w:val="en-US" w:eastAsia="zh-CN" w:bidi="ar-SA"/>
        </w:rPr>
        <w:t>农林水支出213（类）其他农林水支出99（款）其他农林水支出99（项）</w:t>
      </w:r>
      <w:r>
        <w:rPr>
          <w:rFonts w:hint="default" w:ascii="Times New Roman" w:hAnsi="Times New Roman" w:eastAsia="方正仿宋_GBK" w:cs="Times New Roman"/>
          <w:color w:val="000000"/>
          <w:sz w:val="32"/>
          <w:szCs w:val="32"/>
          <w:lang w:val="en-US" w:eastAsia="zh-CN"/>
        </w:rPr>
        <w:t>：指反映除化解债务支出以外其他用于农林水方面的支出。</w:t>
      </w:r>
    </w:p>
    <w:p w14:paraId="32B1C49E">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47.</w:t>
      </w: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住房保障支出221（类）住房改革支出02（款）住房公积金01（项）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反映行政事业单位按人力资源和社会保障部、财政部规定的基本工资和津补贴以及规定比例为职工缴纳的住房公积金。</w:t>
      </w:r>
    </w:p>
    <w:p w14:paraId="30A9ADB6">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48.</w:t>
      </w:r>
      <w:r>
        <w:rPr>
          <w:rFonts w:hint="default" w:ascii="Times New Roman" w:hAnsi="Times New Roman" w:eastAsia="方正仿宋_GBK" w:cs="Times New Roman"/>
          <w:color w:val="000000"/>
          <w:sz w:val="32"/>
          <w:szCs w:val="32"/>
        </w:rPr>
        <w:t>灾害防治及应急管理支出</w:t>
      </w:r>
      <w:r>
        <w:rPr>
          <w:rFonts w:hint="default" w:ascii="Times New Roman" w:hAnsi="Times New Roman" w:eastAsia="方正仿宋_GBK" w:cs="Times New Roman"/>
          <w:b w:val="0"/>
          <w:bCs/>
          <w:kern w:val="0"/>
          <w:sz w:val="32"/>
          <w:szCs w:val="32"/>
          <w:highlight w:val="none"/>
          <w:u w:val="none"/>
          <w:lang w:val="en-US" w:eastAsia="zh-CN" w:bidi="ar-SA"/>
        </w:rPr>
        <w:t>224（类）自然灾害防治06（款）森林草原防灾减灾02（项）</w:t>
      </w:r>
      <w:r>
        <w:rPr>
          <w:rFonts w:hint="default" w:ascii="Times New Roman" w:hAnsi="Times New Roman" w:eastAsia="方正仿宋_GBK" w:cs="Times New Roman"/>
          <w:color w:val="000000"/>
          <w:sz w:val="32"/>
          <w:szCs w:val="32"/>
        </w:rPr>
        <w:t>：指反映防治森林草原火灾、自然水旱灾害等发生的支出。</w:t>
      </w:r>
    </w:p>
    <w:p w14:paraId="4366DF82">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49</w:t>
      </w:r>
      <w:r>
        <w:rPr>
          <w:rFonts w:hint="default" w:ascii="Times New Roman" w:hAnsi="Times New Roman" w:eastAsia="方正仿宋_GBK" w:cs="Times New Roman"/>
          <w:color w:val="000000"/>
          <w:sz w:val="32"/>
          <w:szCs w:val="32"/>
          <w:lang w:val="en-US" w:eastAsia="zh-CN"/>
        </w:rPr>
        <w:t>.基本支出：指为保障机构正常运转、完成日常工作任务而发生的人员支出和公用支出。</w:t>
      </w:r>
    </w:p>
    <w:p w14:paraId="431B053F">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50</w:t>
      </w:r>
      <w:r>
        <w:rPr>
          <w:rFonts w:hint="default" w:ascii="Times New Roman" w:hAnsi="Times New Roman" w:eastAsia="方正仿宋_GBK" w:cs="Times New Roman"/>
          <w:color w:val="000000"/>
          <w:sz w:val="32"/>
          <w:szCs w:val="32"/>
          <w:lang w:val="en-US" w:eastAsia="zh-CN"/>
        </w:rPr>
        <w:t xml:space="preserve">.项目支出：指在基本支出之外为完成特定行政任务和事业发展目标所发生的支出。 </w:t>
      </w:r>
    </w:p>
    <w:p w14:paraId="28B60546">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51</w:t>
      </w:r>
      <w:r>
        <w:rPr>
          <w:rFonts w:hint="default" w:ascii="Times New Roman" w:hAnsi="Times New Roman" w:eastAsia="方正仿宋_GBK" w:cs="Times New Roman"/>
          <w:color w:val="000000"/>
          <w:sz w:val="32"/>
          <w:szCs w:val="32"/>
          <w:lang w:val="en-US" w:eastAsia="zh-CN"/>
        </w:rPr>
        <w:t>.经营支出：指事业单位在专业业务活动及其辅助活动之外开展非独立核算经营活动发生的支出。</w:t>
      </w:r>
    </w:p>
    <w:p w14:paraId="6C571629">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52</w:t>
      </w:r>
      <w:r>
        <w:rPr>
          <w:rFonts w:hint="default" w:ascii="Times New Roman" w:hAnsi="Times New Roman" w:eastAsia="方正仿宋_GBK" w:cs="Times New Roman"/>
          <w:color w:val="000000"/>
          <w:sz w:val="32"/>
          <w:szCs w:val="32"/>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EF755FA">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53</w:t>
      </w:r>
      <w:r>
        <w:rPr>
          <w:rFonts w:hint="default" w:ascii="Times New Roman" w:hAnsi="Times New Roman" w:eastAsia="方正仿宋_GBK" w:cs="Times New Roman"/>
          <w:color w:val="000000"/>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F43AF1">
      <w:pPr>
        <w:rPr>
          <w:rFonts w:hint="default"/>
        </w:rPr>
      </w:pPr>
      <w:bookmarkStart w:id="56" w:name="_Toc1780_WPSOffice_Level1"/>
      <w:bookmarkStart w:id="57" w:name="_Toc15396614"/>
      <w:r>
        <w:rPr>
          <w:rFonts w:hint="default"/>
        </w:rPr>
        <w:br w:type="page"/>
      </w:r>
    </w:p>
    <w:p w14:paraId="43B96DA9">
      <w:pPr>
        <w:pStyle w:val="3"/>
        <w:bidi w:val="0"/>
        <w:rPr>
          <w:rFonts w:hint="default"/>
        </w:rPr>
      </w:pPr>
      <w:r>
        <w:rPr>
          <w:rFonts w:hint="default"/>
        </w:rPr>
        <w:t>第四部分  附件</w:t>
      </w:r>
      <w:bookmarkEnd w:id="56"/>
      <w:bookmarkEnd w:id="57"/>
    </w:p>
    <w:p w14:paraId="6EE8185D">
      <w:pPr>
        <w:spacing w:line="572" w:lineRule="exact"/>
        <w:jc w:val="left"/>
        <w:outlineLvl w:val="0"/>
        <w:rPr>
          <w:rFonts w:hint="default" w:ascii="Times New Roman" w:hAnsi="Times New Roman" w:eastAsia="黑体" w:cs="Times New Roman"/>
          <w:sz w:val="32"/>
          <w:szCs w:val="32"/>
        </w:rPr>
      </w:pPr>
    </w:p>
    <w:p w14:paraId="2BCB5C7A">
      <w:pPr>
        <w:keepNext w:val="0"/>
        <w:keepLines w:val="0"/>
        <w:pageBreakBefore w:val="0"/>
        <w:widowControl w:val="0"/>
        <w:tabs>
          <w:tab w:val="right" w:pos="8306"/>
        </w:tabs>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bCs/>
          <w:sz w:val="32"/>
          <w:szCs w:val="32"/>
        </w:rPr>
      </w:pPr>
      <w:bookmarkStart w:id="58" w:name="_Toc11586_WPSOffice_Level2"/>
      <w:r>
        <w:rPr>
          <w:rFonts w:hint="eastAsia" w:ascii="仿宋" w:hAnsi="仿宋" w:eastAsia="仿宋" w:cs="仿宋"/>
          <w:b/>
          <w:bCs/>
          <w:sz w:val="32"/>
          <w:szCs w:val="32"/>
        </w:rPr>
        <w:t>部门预算项目支出绩效评价表（2024年度）</w:t>
      </w:r>
      <w:bookmarkEnd w:id="58"/>
    </w:p>
    <w:p w14:paraId="49C64A7F">
      <w:pPr>
        <w:pStyle w:val="8"/>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p>
    <w:p w14:paraId="02024BF8">
      <w:pPr>
        <w:pStyle w:val="8"/>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p>
    <w:p w14:paraId="1C57AAA4">
      <w:pPr>
        <w:pStyle w:val="8"/>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r>
        <w:rPr>
          <w:rFonts w:hint="default" w:ascii="Times New Roman" w:hAnsi="Times New Roman" w:eastAsia="方正仿宋_GBK" w:cs="Times New Roman"/>
          <w:sz w:val="32"/>
          <w:szCs w:val="32"/>
          <w:lang w:val="zh-CN" w:bidi="ar"/>
        </w:rPr>
        <w:t>附表：</w:t>
      </w:r>
      <w:r>
        <w:rPr>
          <w:rFonts w:hint="default" w:ascii="Times New Roman" w:hAnsi="Times New Roman" w:eastAsia="方正仿宋_GBK" w:cs="Times New Roman"/>
          <w:sz w:val="32"/>
          <w:szCs w:val="32"/>
          <w:lang w:bidi="ar"/>
        </w:rPr>
        <w:t>部门预算项目支出绩效自评表（2024年度）</w:t>
      </w:r>
    </w:p>
    <w:p w14:paraId="67F9AE55">
      <w:pPr>
        <w:pStyle w:val="8"/>
        <w:spacing w:line="560" w:lineRule="exact"/>
        <w:ind w:left="0" w:leftChars="0" w:firstLine="0" w:firstLineChars="0"/>
        <w:rPr>
          <w:rFonts w:hint="default" w:ascii="Times New Roman" w:hAnsi="Times New Roman" w:cs="Times New Roman"/>
          <w:sz w:val="32"/>
          <w:highlight w:val="yellow"/>
          <w:lang w:val="zh-CN"/>
        </w:rPr>
      </w:pPr>
    </w:p>
    <w:p w14:paraId="0ADE80BB">
      <w:pPr>
        <w:pStyle w:val="2"/>
        <w:spacing w:before="93"/>
        <w:rPr>
          <w:rFonts w:hint="default" w:ascii="Times New Roman" w:hAnsi="Times New Roman" w:cs="Times New Roman"/>
          <w:sz w:val="32"/>
          <w:szCs w:val="32"/>
          <w:highlight w:val="yellow"/>
          <w:shd w:val="clear" w:color="auto" w:fill="FFFFFF"/>
          <w:lang w:val="zh-CN"/>
        </w:rPr>
      </w:pPr>
    </w:p>
    <w:p w14:paraId="1A6886A3">
      <w:pPr>
        <w:rPr>
          <w:rFonts w:hint="eastAsia"/>
        </w:rPr>
      </w:pPr>
      <w:bookmarkStart w:id="59" w:name="_Toc15396618"/>
      <w:bookmarkStart w:id="60" w:name="_Toc7188_WPSOffice_Level1"/>
      <w:r>
        <w:rPr>
          <w:rFonts w:hint="eastAsia"/>
        </w:rPr>
        <w:br w:type="page"/>
      </w:r>
    </w:p>
    <w:p w14:paraId="2F45A874">
      <w:pPr>
        <w:pStyle w:val="3"/>
        <w:bidi w:val="0"/>
        <w:rPr>
          <w:rFonts w:hint="eastAsia"/>
        </w:rPr>
      </w:pPr>
      <w:r>
        <w:rPr>
          <w:rFonts w:hint="eastAsia"/>
        </w:rPr>
        <w:t>第五部分 附表</w:t>
      </w:r>
      <w:bookmarkEnd w:id="55"/>
      <w:bookmarkEnd w:id="59"/>
      <w:bookmarkEnd w:id="60"/>
      <w:bookmarkStart w:id="61" w:name="_Toc15396619"/>
    </w:p>
    <w:p w14:paraId="5963DAB2">
      <w:pPr>
        <w:pStyle w:val="16"/>
        <w:adjustRightInd w:val="0"/>
        <w:snapToGrid w:val="0"/>
        <w:spacing w:line="560" w:lineRule="exact"/>
        <w:jc w:val="left"/>
        <w:rPr>
          <w:rFonts w:hint="default" w:ascii="Times New Roman" w:hAnsi="Times New Roman" w:eastAsia="仿宋_GB2312" w:cs="Times New Roman"/>
          <w:sz w:val="32"/>
          <w:szCs w:val="32"/>
        </w:rPr>
      </w:pPr>
    </w:p>
    <w:p w14:paraId="1479FCB9">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2" w:name="_Toc16038_WPSOffice_Level2"/>
      <w:r>
        <w:rPr>
          <w:rFonts w:hint="eastAsia" w:ascii="仿宋" w:hAnsi="仿宋" w:eastAsia="仿宋" w:cs="仿宋"/>
          <w:sz w:val="32"/>
          <w:szCs w:val="32"/>
        </w:rPr>
        <w:t>一、收入支出决算总表</w:t>
      </w:r>
      <w:bookmarkEnd w:id="61"/>
      <w:bookmarkEnd w:id="62"/>
    </w:p>
    <w:p w14:paraId="5F1E9F1A">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3" w:name="_Toc15396620"/>
      <w:bookmarkStart w:id="64" w:name="_Toc21599_WPSOffice_Level2"/>
      <w:r>
        <w:rPr>
          <w:rFonts w:hint="eastAsia" w:ascii="仿宋" w:hAnsi="仿宋" w:eastAsia="仿宋" w:cs="仿宋"/>
          <w:sz w:val="32"/>
          <w:szCs w:val="32"/>
        </w:rPr>
        <w:t>二、收入决算表</w:t>
      </w:r>
      <w:bookmarkEnd w:id="63"/>
      <w:bookmarkEnd w:id="64"/>
    </w:p>
    <w:p w14:paraId="10B6A45F">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5" w:name="_Toc15396621"/>
      <w:bookmarkStart w:id="66" w:name="_Toc19830_WPSOffice_Level2"/>
      <w:r>
        <w:rPr>
          <w:rFonts w:hint="eastAsia" w:ascii="仿宋" w:hAnsi="仿宋" w:eastAsia="仿宋" w:cs="仿宋"/>
          <w:sz w:val="32"/>
          <w:szCs w:val="32"/>
        </w:rPr>
        <w:t>三、支出决算表</w:t>
      </w:r>
      <w:bookmarkEnd w:id="65"/>
      <w:bookmarkEnd w:id="66"/>
    </w:p>
    <w:p w14:paraId="05A4727E">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7" w:name="_Toc15396622"/>
      <w:bookmarkStart w:id="68" w:name="_Toc11166_WPSOffice_Level2"/>
      <w:r>
        <w:rPr>
          <w:rFonts w:hint="eastAsia" w:ascii="仿宋" w:hAnsi="仿宋" w:eastAsia="仿宋" w:cs="仿宋"/>
          <w:sz w:val="32"/>
          <w:szCs w:val="32"/>
        </w:rPr>
        <w:t>四、财政拨款收入支出决算总表</w:t>
      </w:r>
      <w:bookmarkEnd w:id="67"/>
      <w:bookmarkEnd w:id="68"/>
    </w:p>
    <w:p w14:paraId="6F8E3E43">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9" w:name="_Toc3147_WPSOffice_Level2"/>
      <w:bookmarkStart w:id="70" w:name="_Toc15396623"/>
      <w:r>
        <w:rPr>
          <w:rFonts w:hint="eastAsia" w:ascii="仿宋" w:hAnsi="仿宋" w:eastAsia="仿宋" w:cs="仿宋"/>
          <w:sz w:val="32"/>
          <w:szCs w:val="32"/>
        </w:rPr>
        <w:t>五、财政拨款支出决算明细表</w:t>
      </w:r>
      <w:bookmarkEnd w:id="69"/>
      <w:bookmarkEnd w:id="70"/>
      <w:bookmarkStart w:id="71" w:name="_Toc15396624"/>
    </w:p>
    <w:p w14:paraId="7AB5995A">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2" w:name="_Toc12939_WPSOffice_Level2"/>
      <w:r>
        <w:rPr>
          <w:rFonts w:hint="eastAsia" w:ascii="仿宋" w:hAnsi="仿宋" w:eastAsia="仿宋" w:cs="仿宋"/>
          <w:sz w:val="32"/>
          <w:szCs w:val="32"/>
        </w:rPr>
        <w:t>六、一般公共预算财政拨款支出决算表</w:t>
      </w:r>
      <w:bookmarkEnd w:id="71"/>
      <w:bookmarkEnd w:id="72"/>
    </w:p>
    <w:p w14:paraId="2960CACB">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3" w:name="_Toc31201_WPSOffice_Level2"/>
      <w:bookmarkStart w:id="74" w:name="_Toc15396625"/>
      <w:r>
        <w:rPr>
          <w:rFonts w:hint="eastAsia" w:ascii="仿宋" w:hAnsi="仿宋" w:eastAsia="仿宋" w:cs="仿宋"/>
          <w:sz w:val="32"/>
          <w:szCs w:val="32"/>
        </w:rPr>
        <w:t>七、一般公共预算财政拨款支出决算明细表</w:t>
      </w:r>
      <w:bookmarkEnd w:id="73"/>
      <w:bookmarkEnd w:id="74"/>
    </w:p>
    <w:p w14:paraId="5ED98829">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5" w:name="_Toc15396626"/>
      <w:bookmarkStart w:id="76" w:name="_Toc31943_WPSOffice_Level2"/>
      <w:r>
        <w:rPr>
          <w:rFonts w:hint="eastAsia" w:ascii="仿宋" w:hAnsi="仿宋" w:eastAsia="仿宋" w:cs="仿宋"/>
          <w:sz w:val="32"/>
          <w:szCs w:val="32"/>
        </w:rPr>
        <w:t>八、一般公共预算财政拨款基本支出决算表</w:t>
      </w:r>
      <w:bookmarkEnd w:id="75"/>
      <w:bookmarkEnd w:id="76"/>
    </w:p>
    <w:p w14:paraId="6E5B2770">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7" w:name="_Toc15396627"/>
      <w:bookmarkStart w:id="78" w:name="_Toc5070_WPSOffice_Level2"/>
      <w:r>
        <w:rPr>
          <w:rFonts w:hint="eastAsia" w:ascii="仿宋" w:hAnsi="仿宋" w:eastAsia="仿宋" w:cs="仿宋"/>
          <w:sz w:val="32"/>
          <w:szCs w:val="32"/>
        </w:rPr>
        <w:t>九、一般公共预算财政拨款项目支出决算表</w:t>
      </w:r>
      <w:bookmarkEnd w:id="77"/>
      <w:bookmarkEnd w:id="78"/>
    </w:p>
    <w:p w14:paraId="77D36C44">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9" w:name="_Toc15396628"/>
      <w:bookmarkStart w:id="80" w:name="_Toc12352_WPSOffice_Level2"/>
      <w:r>
        <w:rPr>
          <w:rFonts w:hint="eastAsia" w:ascii="仿宋" w:hAnsi="仿宋" w:eastAsia="仿宋" w:cs="仿宋"/>
          <w:sz w:val="32"/>
          <w:szCs w:val="32"/>
        </w:rPr>
        <w:t>十、</w:t>
      </w:r>
      <w:bookmarkEnd w:id="79"/>
      <w:r>
        <w:rPr>
          <w:rFonts w:hint="eastAsia" w:ascii="仿宋" w:hAnsi="仿宋" w:eastAsia="仿宋" w:cs="仿宋"/>
          <w:sz w:val="32"/>
          <w:szCs w:val="32"/>
        </w:rPr>
        <w:t>政府性基金预算财政拨款收入支出决算表</w:t>
      </w:r>
      <w:bookmarkEnd w:id="80"/>
    </w:p>
    <w:p w14:paraId="754A8E7A">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81" w:name="_Toc15396629"/>
      <w:bookmarkStart w:id="82" w:name="_Toc13382_WPSOffice_Level2"/>
      <w:r>
        <w:rPr>
          <w:rFonts w:hint="eastAsia" w:ascii="仿宋" w:hAnsi="仿宋" w:eastAsia="仿宋" w:cs="仿宋"/>
          <w:sz w:val="32"/>
          <w:szCs w:val="32"/>
        </w:rPr>
        <w:t>十一、</w:t>
      </w:r>
      <w:bookmarkEnd w:id="81"/>
      <w:r>
        <w:rPr>
          <w:rFonts w:hint="eastAsia" w:ascii="仿宋" w:hAnsi="仿宋" w:eastAsia="仿宋" w:cs="仿宋"/>
          <w:sz w:val="32"/>
          <w:szCs w:val="32"/>
        </w:rPr>
        <w:t>国有资本经营预算财政拨款收入支出决算表</w:t>
      </w:r>
      <w:bookmarkEnd w:id="82"/>
    </w:p>
    <w:p w14:paraId="2B189BA8">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83" w:name="_Toc15396630"/>
      <w:bookmarkStart w:id="84" w:name="_Toc25170_WPSOffice_Level2"/>
      <w:r>
        <w:rPr>
          <w:rFonts w:hint="eastAsia" w:ascii="仿宋" w:hAnsi="仿宋" w:eastAsia="仿宋" w:cs="仿宋"/>
          <w:sz w:val="32"/>
          <w:szCs w:val="32"/>
        </w:rPr>
        <w:t>十二、</w:t>
      </w:r>
      <w:bookmarkEnd w:id="83"/>
      <w:r>
        <w:rPr>
          <w:rFonts w:hint="eastAsia" w:ascii="仿宋" w:hAnsi="仿宋" w:eastAsia="仿宋" w:cs="仿宋"/>
          <w:sz w:val="32"/>
          <w:szCs w:val="32"/>
        </w:rPr>
        <w:t>国有资本经营预算财政拨款支出决算表</w:t>
      </w:r>
      <w:bookmarkEnd w:id="84"/>
    </w:p>
    <w:p w14:paraId="7B0474DD">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85" w:name="_Toc15396631"/>
      <w:bookmarkStart w:id="86" w:name="_Toc5958_WPSOffice_Level2"/>
      <w:r>
        <w:rPr>
          <w:rFonts w:hint="eastAsia" w:ascii="仿宋" w:hAnsi="仿宋" w:eastAsia="仿宋" w:cs="仿宋"/>
          <w:sz w:val="32"/>
          <w:szCs w:val="32"/>
        </w:rPr>
        <w:t>十三、</w:t>
      </w:r>
      <w:bookmarkEnd w:id="85"/>
      <w:r>
        <w:rPr>
          <w:rFonts w:hint="eastAsia" w:ascii="仿宋" w:hAnsi="仿宋" w:eastAsia="仿宋" w:cs="仿宋"/>
          <w:sz w:val="32"/>
          <w:szCs w:val="32"/>
        </w:rPr>
        <w:t>财政拨款“三公”经费支出决算表</w:t>
      </w:r>
      <w:bookmarkEnd w:id="86"/>
    </w:p>
    <w:p w14:paraId="7B8C5B4C">
      <w:pPr>
        <w:rPr>
          <w:rFonts w:hint="default" w:ascii="Times New Roman" w:hAnsi="Times New Roman" w:cs="Times New Roman"/>
        </w:rPr>
      </w:pPr>
    </w:p>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7C6C">
    <w:pPr>
      <w:pStyle w:val="12"/>
      <w:jc w:val="center"/>
    </w:pPr>
  </w:p>
  <w:p w14:paraId="272ABE3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1B37">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685FB">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4685FB">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1FF44D4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3E95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37083">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037083">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85EF">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A33B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46BEA"/>
    <w:multiLevelType w:val="singleLevel"/>
    <w:tmpl w:val="21046B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ZDU0NDIyZTEwMjE2YjUzZDE4OTgxMjZhZDhhY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492396"/>
    <w:rsid w:val="061E35DE"/>
    <w:rsid w:val="06290BF2"/>
    <w:rsid w:val="066E0107"/>
    <w:rsid w:val="079734EE"/>
    <w:rsid w:val="07996F6E"/>
    <w:rsid w:val="07DFD8BA"/>
    <w:rsid w:val="07E85FBA"/>
    <w:rsid w:val="09867E8F"/>
    <w:rsid w:val="09FB2845"/>
    <w:rsid w:val="0A2032A3"/>
    <w:rsid w:val="0CA8290A"/>
    <w:rsid w:val="0D35B1ED"/>
    <w:rsid w:val="0D600146"/>
    <w:rsid w:val="0E254B6B"/>
    <w:rsid w:val="0E846768"/>
    <w:rsid w:val="0F98263C"/>
    <w:rsid w:val="101860EC"/>
    <w:rsid w:val="101F47CC"/>
    <w:rsid w:val="10C055FF"/>
    <w:rsid w:val="11694EBD"/>
    <w:rsid w:val="11772AA4"/>
    <w:rsid w:val="118107EC"/>
    <w:rsid w:val="12E24EE2"/>
    <w:rsid w:val="13D50BC4"/>
    <w:rsid w:val="13F803AD"/>
    <w:rsid w:val="14B17F78"/>
    <w:rsid w:val="155D4BB4"/>
    <w:rsid w:val="165E0673"/>
    <w:rsid w:val="16B831D5"/>
    <w:rsid w:val="16BB723D"/>
    <w:rsid w:val="17E50567"/>
    <w:rsid w:val="17E67CCD"/>
    <w:rsid w:val="186504BB"/>
    <w:rsid w:val="19A445FC"/>
    <w:rsid w:val="1B91016A"/>
    <w:rsid w:val="1BAD4F97"/>
    <w:rsid w:val="1BE8440E"/>
    <w:rsid w:val="1CC6347C"/>
    <w:rsid w:val="1D155CEE"/>
    <w:rsid w:val="1D1638FE"/>
    <w:rsid w:val="1E312DEB"/>
    <w:rsid w:val="1E740ACF"/>
    <w:rsid w:val="1FAC60C3"/>
    <w:rsid w:val="1FF35744"/>
    <w:rsid w:val="1FF6BC77"/>
    <w:rsid w:val="20C46322"/>
    <w:rsid w:val="20CB0DF6"/>
    <w:rsid w:val="2186353C"/>
    <w:rsid w:val="22B22234"/>
    <w:rsid w:val="23860B96"/>
    <w:rsid w:val="240371BF"/>
    <w:rsid w:val="244F3473"/>
    <w:rsid w:val="24C97D99"/>
    <w:rsid w:val="24D20313"/>
    <w:rsid w:val="25A718F0"/>
    <w:rsid w:val="25BB59F6"/>
    <w:rsid w:val="260F557C"/>
    <w:rsid w:val="26970054"/>
    <w:rsid w:val="281408E2"/>
    <w:rsid w:val="297E4C80"/>
    <w:rsid w:val="29FD04D3"/>
    <w:rsid w:val="2BFF7BC6"/>
    <w:rsid w:val="2C8A61B5"/>
    <w:rsid w:val="2CCA34DF"/>
    <w:rsid w:val="2DF04E50"/>
    <w:rsid w:val="2E586DFA"/>
    <w:rsid w:val="2E940C87"/>
    <w:rsid w:val="2F040D46"/>
    <w:rsid w:val="2F6B035B"/>
    <w:rsid w:val="2FAE5751"/>
    <w:rsid w:val="2FB1A395"/>
    <w:rsid w:val="2FD9A7D8"/>
    <w:rsid w:val="2FDBF714"/>
    <w:rsid w:val="30AB6865"/>
    <w:rsid w:val="319F7F4E"/>
    <w:rsid w:val="32584DE8"/>
    <w:rsid w:val="32BD1EF1"/>
    <w:rsid w:val="3304709D"/>
    <w:rsid w:val="336E61C7"/>
    <w:rsid w:val="33A773CB"/>
    <w:rsid w:val="349D6851"/>
    <w:rsid w:val="353C6D47"/>
    <w:rsid w:val="3543266F"/>
    <w:rsid w:val="3548378A"/>
    <w:rsid w:val="35FC337E"/>
    <w:rsid w:val="36AA5135"/>
    <w:rsid w:val="36BE0DA7"/>
    <w:rsid w:val="376B6AA6"/>
    <w:rsid w:val="376D39B2"/>
    <w:rsid w:val="379F78DD"/>
    <w:rsid w:val="37A54799"/>
    <w:rsid w:val="37E16F03"/>
    <w:rsid w:val="37F53A3B"/>
    <w:rsid w:val="382D2380"/>
    <w:rsid w:val="389B6C89"/>
    <w:rsid w:val="38B6748C"/>
    <w:rsid w:val="38D469F0"/>
    <w:rsid w:val="39627CCD"/>
    <w:rsid w:val="397BAF1F"/>
    <w:rsid w:val="39972259"/>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2D7AEA"/>
    <w:rsid w:val="44E268DA"/>
    <w:rsid w:val="450D13D7"/>
    <w:rsid w:val="45506656"/>
    <w:rsid w:val="464922B7"/>
    <w:rsid w:val="486A6C7A"/>
    <w:rsid w:val="4A627F82"/>
    <w:rsid w:val="4AFE571A"/>
    <w:rsid w:val="4B0E749A"/>
    <w:rsid w:val="4B2477C4"/>
    <w:rsid w:val="4B4F25DA"/>
    <w:rsid w:val="4B851076"/>
    <w:rsid w:val="4BE068DB"/>
    <w:rsid w:val="4CE019AB"/>
    <w:rsid w:val="4D577224"/>
    <w:rsid w:val="4DBF1CEB"/>
    <w:rsid w:val="4DF0007C"/>
    <w:rsid w:val="4EAB630A"/>
    <w:rsid w:val="4EAE0DF9"/>
    <w:rsid w:val="4ECE2238"/>
    <w:rsid w:val="4F833267"/>
    <w:rsid w:val="4FCE2A71"/>
    <w:rsid w:val="4FE7187C"/>
    <w:rsid w:val="4FE9BD67"/>
    <w:rsid w:val="4FFB052F"/>
    <w:rsid w:val="507B2B3F"/>
    <w:rsid w:val="51AE5133"/>
    <w:rsid w:val="537E6D0A"/>
    <w:rsid w:val="53F74C96"/>
    <w:rsid w:val="542D289A"/>
    <w:rsid w:val="55170BA8"/>
    <w:rsid w:val="553218C9"/>
    <w:rsid w:val="55430FDA"/>
    <w:rsid w:val="561706D4"/>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94A97"/>
    <w:rsid w:val="5ECEC941"/>
    <w:rsid w:val="5FBF9FF3"/>
    <w:rsid w:val="5FCD4E2C"/>
    <w:rsid w:val="5FED17FB"/>
    <w:rsid w:val="5FEF394A"/>
    <w:rsid w:val="5FF67715"/>
    <w:rsid w:val="62BF3928"/>
    <w:rsid w:val="63027D6E"/>
    <w:rsid w:val="63A469BF"/>
    <w:rsid w:val="63B3701E"/>
    <w:rsid w:val="646B5292"/>
    <w:rsid w:val="647F5392"/>
    <w:rsid w:val="65001CD7"/>
    <w:rsid w:val="65E66580"/>
    <w:rsid w:val="664B1D71"/>
    <w:rsid w:val="664B4E8E"/>
    <w:rsid w:val="67277B67"/>
    <w:rsid w:val="67AA3209"/>
    <w:rsid w:val="698D0931"/>
    <w:rsid w:val="6A7FE5F3"/>
    <w:rsid w:val="6A9753D3"/>
    <w:rsid w:val="6B053271"/>
    <w:rsid w:val="6BA0551C"/>
    <w:rsid w:val="6BDD78B3"/>
    <w:rsid w:val="6C4A05C8"/>
    <w:rsid w:val="6C8742B8"/>
    <w:rsid w:val="6DBF5E93"/>
    <w:rsid w:val="6DFF077E"/>
    <w:rsid w:val="6E714EF0"/>
    <w:rsid w:val="6E7831F6"/>
    <w:rsid w:val="6E7E3605"/>
    <w:rsid w:val="6E7FDCC7"/>
    <w:rsid w:val="6ED6A62E"/>
    <w:rsid w:val="6EE00B15"/>
    <w:rsid w:val="6EF6013B"/>
    <w:rsid w:val="6F6FB3EB"/>
    <w:rsid w:val="6F8731EA"/>
    <w:rsid w:val="6FCE6052"/>
    <w:rsid w:val="6FD57C00"/>
    <w:rsid w:val="6FEFFFD8"/>
    <w:rsid w:val="6FF5CC65"/>
    <w:rsid w:val="6FF63E27"/>
    <w:rsid w:val="6FFB47EC"/>
    <w:rsid w:val="6FFF034A"/>
    <w:rsid w:val="70484440"/>
    <w:rsid w:val="704F770E"/>
    <w:rsid w:val="70F4678F"/>
    <w:rsid w:val="712A28F1"/>
    <w:rsid w:val="715C0E4B"/>
    <w:rsid w:val="71992E7C"/>
    <w:rsid w:val="72233669"/>
    <w:rsid w:val="72734D90"/>
    <w:rsid w:val="73160E6D"/>
    <w:rsid w:val="7332FE48"/>
    <w:rsid w:val="73365044"/>
    <w:rsid w:val="73672D16"/>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26890"/>
    <w:rsid w:val="78282981"/>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0C37E6"/>
    <w:rsid w:val="7E1110EB"/>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77468"/>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9" w:lineRule="auto"/>
      <w:jc w:val="center"/>
      <w:outlineLvl w:val="0"/>
    </w:pPr>
    <w:rPr>
      <w:rFonts w:ascii="Times New Roman" w:hAnsi="Times New Roman"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eastAsia="黑体" w:asciiTheme="majorAscii" w:hAnsiTheme="majorAscii" w:cstheme="majorBidi"/>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rPr>
      <w:rFonts w:ascii="仿宋_GB2312" w:hAnsi="仿宋_GB2312" w:eastAsia="仿宋_GB2312"/>
      <w:kern w:val="0"/>
      <w:sz w:val="30"/>
    </w:rPr>
  </w:style>
  <w:style w:type="paragraph" w:styleId="6">
    <w:name w:val="Normal Indent"/>
    <w:basedOn w:val="1"/>
    <w:qFormat/>
    <w:uiPriority w:val="0"/>
    <w:pPr>
      <w:ind w:firstLine="420" w:firstLineChars="200"/>
    </w:pPr>
    <w:rPr>
      <w:rFonts w:hint="default" w:ascii="Times New Roman" w:hAnsi="Times New Roman" w:eastAsia="宋体" w:cs="Times New Roman"/>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szCs w:val="22"/>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仿宋_GB2312"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eastAsia="方正小标宋简体"/>
      <w:bCs/>
      <w:kern w:val="44"/>
      <w:sz w:val="44"/>
      <w:szCs w:val="44"/>
    </w:rPr>
  </w:style>
  <w:style w:type="character" w:customStyle="1" w:styleId="31">
    <w:name w:val="标题 2 Char"/>
    <w:basedOn w:val="18"/>
    <w:link w:val="4"/>
    <w:qFormat/>
    <w:uiPriority w:val="9"/>
    <w:rPr>
      <w:rFonts w:eastAsia="黑体" w:asciiTheme="majorAscii" w:hAnsiTheme="majorAscii" w:cstheme="majorBidi"/>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0ef65b1-90b1-4840-b90b-3d2a1dd029db}"/>
        <w:style w:val=""/>
        <w:category>
          <w:name w:val="常规"/>
          <w:gallery w:val="placeholder"/>
        </w:category>
        <w:types>
          <w:type w:val="bbPlcHdr"/>
        </w:types>
        <w:behaviors>
          <w:behavior w:val="content"/>
        </w:behaviors>
        <w:description w:val=""/>
        <w:guid w:val="{70ef65b1-90b1-4840-b90b-3d2a1dd029db}"/>
      </w:docPartPr>
      <w:docPartBody>
        <w:p w14:paraId="79E7407D">
          <w:r>
            <w:rPr>
              <w:color w:val="808080"/>
            </w:rPr>
            <w:t>单击此处输入文字。</w:t>
          </w:r>
        </w:p>
      </w:docPartBody>
    </w:docPart>
    <w:docPart>
      <w:docPartPr>
        <w:name w:val="{5f639bb1-02eb-47bb-93de-6cbac8a0ecec}"/>
        <w:style w:val=""/>
        <w:category>
          <w:name w:val="常规"/>
          <w:gallery w:val="placeholder"/>
        </w:category>
        <w:types>
          <w:type w:val="bbPlcHdr"/>
        </w:types>
        <w:behaviors>
          <w:behavior w:val="content"/>
        </w:behaviors>
        <w:description w:val=""/>
        <w:guid w:val="{5f639bb1-02eb-47bb-93de-6cbac8a0ecec}"/>
      </w:docPartPr>
      <w:docPartBody>
        <w:p w14:paraId="6419D758">
          <w:r>
            <w:rPr>
              <w:color w:val="808080"/>
            </w:rPr>
            <w:t>单击此处输入文字。</w:t>
          </w:r>
        </w:p>
      </w:docPartBody>
    </w:docPart>
    <w:docPart>
      <w:docPartPr>
        <w:name w:val="{2871d88a-e227-40c1-b0ed-d869dee1ddc4}"/>
        <w:style w:val=""/>
        <w:category>
          <w:name w:val="常规"/>
          <w:gallery w:val="placeholder"/>
        </w:category>
        <w:types>
          <w:type w:val="bbPlcHdr"/>
        </w:types>
        <w:behaviors>
          <w:behavior w:val="content"/>
        </w:behaviors>
        <w:description w:val=""/>
        <w:guid w:val="{2871d88a-e227-40c1-b0ed-d869dee1ddc4}"/>
      </w:docPartPr>
      <w:docPartBody>
        <w:p w14:paraId="55B4B246">
          <w:r>
            <w:rPr>
              <w:color w:val="808080"/>
            </w:rPr>
            <w:t>单击此处输入文字。</w:t>
          </w:r>
        </w:p>
      </w:docPartBody>
    </w:docPart>
    <w:docPart>
      <w:docPartPr>
        <w:name w:val="{9359373c-8353-4646-a120-388132dfe0ad}"/>
        <w:style w:val=""/>
        <w:category>
          <w:name w:val="常规"/>
          <w:gallery w:val="placeholder"/>
        </w:category>
        <w:types>
          <w:type w:val="bbPlcHdr"/>
        </w:types>
        <w:behaviors>
          <w:behavior w:val="content"/>
        </w:behaviors>
        <w:description w:val=""/>
        <w:guid w:val="{9359373c-8353-4646-a120-388132dfe0ad}"/>
      </w:docPartPr>
      <w:docPartBody>
        <w:p w14:paraId="37A331FB">
          <w:r>
            <w:rPr>
              <w:color w:val="808080"/>
            </w:rPr>
            <w:t>单击此处输入文字。</w:t>
          </w:r>
        </w:p>
      </w:docPartBody>
    </w:docPart>
    <w:docPart>
      <w:docPartPr>
        <w:name w:val="{9f1ab447-040d-4eb8-9a46-47157c4b61fe}"/>
        <w:style w:val=""/>
        <w:category>
          <w:name w:val="常规"/>
          <w:gallery w:val="placeholder"/>
        </w:category>
        <w:types>
          <w:type w:val="bbPlcHdr"/>
        </w:types>
        <w:behaviors>
          <w:behavior w:val="content"/>
        </w:behaviors>
        <w:description w:val=""/>
        <w:guid w:val="{9f1ab447-040d-4eb8-9a46-47157c4b61fe}"/>
      </w:docPartPr>
      <w:docPartBody>
        <w:p w14:paraId="005547A6">
          <w:r>
            <w:rPr>
              <w:color w:val="808080"/>
            </w:rPr>
            <w:t>单击此处输入文字。</w:t>
          </w:r>
        </w:p>
      </w:docPartBody>
    </w:docPart>
    <w:docPart>
      <w:docPartPr>
        <w:name w:val="{d498b8b2-48bc-49f4-8a15-2649b66271a4}"/>
        <w:style w:val=""/>
        <w:category>
          <w:name w:val="常规"/>
          <w:gallery w:val="placeholder"/>
        </w:category>
        <w:types>
          <w:type w:val="bbPlcHdr"/>
        </w:types>
        <w:behaviors>
          <w:behavior w:val="content"/>
        </w:behaviors>
        <w:description w:val=""/>
        <w:guid w:val="{d498b8b2-48bc-49f4-8a15-2649b66271a4}"/>
      </w:docPartPr>
      <w:docPartBody>
        <w:p w14:paraId="7D47898B">
          <w:r>
            <w:rPr>
              <w:color w:val="808080"/>
            </w:rPr>
            <w:t>单击此处输入文字。</w:t>
          </w:r>
        </w:p>
      </w:docPartBody>
    </w:docPart>
    <w:docPart>
      <w:docPartPr>
        <w:name w:val="{3e8e6d1d-810c-4e1a-b23d-d4e711ac4548}"/>
        <w:style w:val=""/>
        <w:category>
          <w:name w:val="常规"/>
          <w:gallery w:val="placeholder"/>
        </w:category>
        <w:types>
          <w:type w:val="bbPlcHdr"/>
        </w:types>
        <w:behaviors>
          <w:behavior w:val="content"/>
        </w:behaviors>
        <w:description w:val=""/>
        <w:guid w:val="{3e8e6d1d-810c-4e1a-b23d-d4e711ac4548}"/>
      </w:docPartPr>
      <w:docPartBody>
        <w:p w14:paraId="4BBB2DCA">
          <w:r>
            <w:rPr>
              <w:color w:val="808080"/>
            </w:rPr>
            <w:t>单击此处输入文字。</w:t>
          </w:r>
        </w:p>
      </w:docPartBody>
    </w:docPart>
    <w:docPart>
      <w:docPartPr>
        <w:name w:val="{27a11600-c83f-4eba-8278-8ae7051e79b2}"/>
        <w:style w:val=""/>
        <w:category>
          <w:name w:val="常规"/>
          <w:gallery w:val="placeholder"/>
        </w:category>
        <w:types>
          <w:type w:val="bbPlcHdr"/>
        </w:types>
        <w:behaviors>
          <w:behavior w:val="content"/>
        </w:behaviors>
        <w:description w:val=""/>
        <w:guid w:val="{27a11600-c83f-4eba-8278-8ae7051e79b2}"/>
      </w:docPartPr>
      <w:docPartBody>
        <w:p w14:paraId="79779F2F">
          <w:r>
            <w:rPr>
              <w:color w:val="808080"/>
            </w:rPr>
            <w:t>单击此处输入文字。</w:t>
          </w:r>
        </w:p>
      </w:docPartBody>
    </w:docPart>
    <w:docPart>
      <w:docPartPr>
        <w:name w:val="{1c6d5487-40a4-45f4-931c-a492ee0b6e1b}"/>
        <w:style w:val=""/>
        <w:category>
          <w:name w:val="常规"/>
          <w:gallery w:val="placeholder"/>
        </w:category>
        <w:types>
          <w:type w:val="bbPlcHdr"/>
        </w:types>
        <w:behaviors>
          <w:behavior w:val="content"/>
        </w:behaviors>
        <w:description w:val=""/>
        <w:guid w:val="{1c6d5487-40a4-45f4-931c-a492ee0b6e1b}"/>
      </w:docPartPr>
      <w:docPartBody>
        <w:p w14:paraId="660FA50A">
          <w:r>
            <w:rPr>
              <w:color w:val="808080"/>
            </w:rPr>
            <w:t>单击此处输入文字。</w:t>
          </w:r>
        </w:p>
      </w:docPartBody>
    </w:docPart>
    <w:docPart>
      <w:docPartPr>
        <w:name w:val="{3dcc31ae-f02e-41b1-98a3-637e12588912}"/>
        <w:style w:val=""/>
        <w:category>
          <w:name w:val="常规"/>
          <w:gallery w:val="placeholder"/>
        </w:category>
        <w:types>
          <w:type w:val="bbPlcHdr"/>
        </w:types>
        <w:behaviors>
          <w:behavior w:val="content"/>
        </w:behaviors>
        <w:description w:val=""/>
        <w:guid w:val="{3dcc31ae-f02e-41b1-98a3-637e12588912}"/>
      </w:docPartPr>
      <w:docPartBody>
        <w:p w14:paraId="3C8E5F6B">
          <w:r>
            <w:rPr>
              <w:color w:val="808080"/>
            </w:rPr>
            <w:t>单击此处输入文字。</w:t>
          </w:r>
        </w:p>
      </w:docPartBody>
    </w:docPart>
    <w:docPart>
      <w:docPartPr>
        <w:name w:val="{07401c3f-b3f0-44fa-95e1-0b23508aaf9b}"/>
        <w:style w:val=""/>
        <w:category>
          <w:name w:val="常规"/>
          <w:gallery w:val="placeholder"/>
        </w:category>
        <w:types>
          <w:type w:val="bbPlcHdr"/>
        </w:types>
        <w:behaviors>
          <w:behavior w:val="content"/>
        </w:behaviors>
        <w:description w:val=""/>
        <w:guid w:val="{07401c3f-b3f0-44fa-95e1-0b23508aaf9b}"/>
      </w:docPartPr>
      <w:docPartBody>
        <w:p w14:paraId="33E86E93">
          <w:r>
            <w:rPr>
              <w:color w:val="808080"/>
            </w:rPr>
            <w:t>单击此处输入文字。</w:t>
          </w:r>
        </w:p>
      </w:docPartBody>
    </w:docPart>
    <w:docPart>
      <w:docPartPr>
        <w:name w:val="{e847f15e-5e73-408f-9031-0b663e658350}"/>
        <w:style w:val=""/>
        <w:category>
          <w:name w:val="常规"/>
          <w:gallery w:val="placeholder"/>
        </w:category>
        <w:types>
          <w:type w:val="bbPlcHdr"/>
        </w:types>
        <w:behaviors>
          <w:behavior w:val="content"/>
        </w:behaviors>
        <w:description w:val=""/>
        <w:guid w:val="{e847f15e-5e73-408f-9031-0b663e658350}"/>
      </w:docPartPr>
      <w:docPartBody>
        <w:p w14:paraId="0B1048D1">
          <w:r>
            <w:rPr>
              <w:color w:val="808080"/>
            </w:rPr>
            <w:t>单击此处输入文字。</w:t>
          </w:r>
        </w:p>
      </w:docPartBody>
    </w:docPart>
    <w:docPart>
      <w:docPartPr>
        <w:name w:val="{8067abf4-bf9e-4eef-a19a-aae943399d2f}"/>
        <w:style w:val=""/>
        <w:category>
          <w:name w:val="常规"/>
          <w:gallery w:val="placeholder"/>
        </w:category>
        <w:types>
          <w:type w:val="bbPlcHdr"/>
        </w:types>
        <w:behaviors>
          <w:behavior w:val="content"/>
        </w:behaviors>
        <w:description w:val=""/>
        <w:guid w:val="{8067abf4-bf9e-4eef-a19a-aae943399d2f}"/>
      </w:docPartPr>
      <w:docPartBody>
        <w:p w14:paraId="4D8F8067">
          <w:r>
            <w:rPr>
              <w:color w:val="808080"/>
            </w:rPr>
            <w:t>单击此处输入文字。</w:t>
          </w:r>
        </w:p>
      </w:docPartBody>
    </w:docPart>
    <w:docPart>
      <w:docPartPr>
        <w:name w:val="{d92a14d4-9711-498c-992d-72fff78f37a9}"/>
        <w:style w:val=""/>
        <w:category>
          <w:name w:val="常规"/>
          <w:gallery w:val="placeholder"/>
        </w:category>
        <w:types>
          <w:type w:val="bbPlcHdr"/>
        </w:types>
        <w:behaviors>
          <w:behavior w:val="content"/>
        </w:behaviors>
        <w:description w:val=""/>
        <w:guid w:val="{d92a14d4-9711-498c-992d-72fff78f37a9}"/>
      </w:docPartPr>
      <w:docPartBody>
        <w:p w14:paraId="19D433DF">
          <w:r>
            <w:rPr>
              <w:color w:val="808080"/>
            </w:rPr>
            <w:t>单击此处输入文字。</w:t>
          </w:r>
        </w:p>
      </w:docPartBody>
    </w:docPart>
    <w:docPart>
      <w:docPartPr>
        <w:name w:val="{3b058271-38cb-47e7-bd0a-5b6f68986907}"/>
        <w:style w:val=""/>
        <w:category>
          <w:name w:val="常规"/>
          <w:gallery w:val="placeholder"/>
        </w:category>
        <w:types>
          <w:type w:val="bbPlcHdr"/>
        </w:types>
        <w:behaviors>
          <w:behavior w:val="content"/>
        </w:behaviors>
        <w:description w:val=""/>
        <w:guid w:val="{3b058271-38cb-47e7-bd0a-5b6f68986907}"/>
      </w:docPartPr>
      <w:docPartBody>
        <w:p w14:paraId="0671F810">
          <w:r>
            <w:rPr>
              <w:color w:val="808080"/>
            </w:rPr>
            <w:t>单击此处输入文字。</w:t>
          </w:r>
        </w:p>
      </w:docPartBody>
    </w:docPart>
    <w:docPart>
      <w:docPartPr>
        <w:name w:val="{4405a3f9-bff7-4894-99bd-f6b2922696e9}"/>
        <w:style w:val=""/>
        <w:category>
          <w:name w:val="常规"/>
          <w:gallery w:val="placeholder"/>
        </w:category>
        <w:types>
          <w:type w:val="bbPlcHdr"/>
        </w:types>
        <w:behaviors>
          <w:behavior w:val="content"/>
        </w:behaviors>
        <w:description w:val=""/>
        <w:guid w:val="{4405a3f9-bff7-4894-99bd-f6b2922696e9}"/>
      </w:docPartPr>
      <w:docPartBody>
        <w:p w14:paraId="63900B33">
          <w:r>
            <w:rPr>
              <w:color w:val="808080"/>
            </w:rPr>
            <w:t>单击此处输入文字。</w:t>
          </w:r>
        </w:p>
      </w:docPartBody>
    </w:docPart>
    <w:docPart>
      <w:docPartPr>
        <w:name w:val="{ee15e411-862a-4b0a-b95d-b93f54639bb3}"/>
        <w:style w:val=""/>
        <w:category>
          <w:name w:val="常规"/>
          <w:gallery w:val="placeholder"/>
        </w:category>
        <w:types>
          <w:type w:val="bbPlcHdr"/>
        </w:types>
        <w:behaviors>
          <w:behavior w:val="content"/>
        </w:behaviors>
        <w:description w:val=""/>
        <w:guid w:val="{ee15e411-862a-4b0a-b95d-b93f54639bb3}"/>
      </w:docPartPr>
      <w:docPartBody>
        <w:p w14:paraId="319949B2">
          <w:r>
            <w:rPr>
              <w:color w:val="808080"/>
            </w:rPr>
            <w:t>单击此处输入文字。</w:t>
          </w:r>
        </w:p>
      </w:docPartBody>
    </w:docPart>
    <w:docPart>
      <w:docPartPr>
        <w:name w:val="{785dc43f-5137-4a26-8d50-a2ff73d7920b}"/>
        <w:style w:val=""/>
        <w:category>
          <w:name w:val="常规"/>
          <w:gallery w:val="placeholder"/>
        </w:category>
        <w:types>
          <w:type w:val="bbPlcHdr"/>
        </w:types>
        <w:behaviors>
          <w:behavior w:val="content"/>
        </w:behaviors>
        <w:description w:val=""/>
        <w:guid w:val="{785dc43f-5137-4a26-8d50-a2ff73d7920b}"/>
      </w:docPartPr>
      <w:docPartBody>
        <w:p w14:paraId="6755DAC3">
          <w:r>
            <w:rPr>
              <w:color w:val="808080"/>
            </w:rPr>
            <w:t>单击此处输入文字。</w:t>
          </w:r>
        </w:p>
      </w:docPartBody>
    </w:docPart>
    <w:docPart>
      <w:docPartPr>
        <w:name w:val="{7f5170d7-6ccd-4ad4-86d0-1d44ad40868f}"/>
        <w:style w:val=""/>
        <w:category>
          <w:name w:val="常规"/>
          <w:gallery w:val="placeholder"/>
        </w:category>
        <w:types>
          <w:type w:val="bbPlcHdr"/>
        </w:types>
        <w:behaviors>
          <w:behavior w:val="content"/>
        </w:behaviors>
        <w:description w:val=""/>
        <w:guid w:val="{7f5170d7-6ccd-4ad4-86d0-1d44ad40868f}"/>
      </w:docPartPr>
      <w:docPartBody>
        <w:p w14:paraId="7B4205E4">
          <w:r>
            <w:rPr>
              <w:color w:val="808080"/>
            </w:rPr>
            <w:t>单击此处输入文字。</w:t>
          </w:r>
        </w:p>
      </w:docPartBody>
    </w:docPart>
    <w:docPart>
      <w:docPartPr>
        <w:name w:val="{30c46150-b9f0-42b6-b533-4027312b6df3}"/>
        <w:style w:val=""/>
        <w:category>
          <w:name w:val="常规"/>
          <w:gallery w:val="placeholder"/>
        </w:category>
        <w:types>
          <w:type w:val="bbPlcHdr"/>
        </w:types>
        <w:behaviors>
          <w:behavior w:val="content"/>
        </w:behaviors>
        <w:description w:val=""/>
        <w:guid w:val="{30c46150-b9f0-42b6-b533-4027312b6df3}"/>
      </w:docPartPr>
      <w:docPartBody>
        <w:p w14:paraId="3E0D6792">
          <w:r>
            <w:rPr>
              <w:color w:val="808080"/>
            </w:rPr>
            <w:t>单击此处输入文字。</w:t>
          </w:r>
        </w:p>
      </w:docPartBody>
    </w:docPart>
    <w:docPart>
      <w:docPartPr>
        <w:name w:val="{7f0d9605-6cb9-4bdf-9328-f622ec9f4af4}"/>
        <w:style w:val=""/>
        <w:category>
          <w:name w:val="常规"/>
          <w:gallery w:val="placeholder"/>
        </w:category>
        <w:types>
          <w:type w:val="bbPlcHdr"/>
        </w:types>
        <w:behaviors>
          <w:behavior w:val="content"/>
        </w:behaviors>
        <w:description w:val=""/>
        <w:guid w:val="{7f0d9605-6cb9-4bdf-9328-f622ec9f4af4}"/>
      </w:docPartPr>
      <w:docPartBody>
        <w:p w14:paraId="7CE6729E">
          <w:r>
            <w:rPr>
              <w:color w:val="808080"/>
            </w:rPr>
            <w:t>单击此处输入文字。</w:t>
          </w:r>
        </w:p>
      </w:docPartBody>
    </w:docPart>
    <w:docPart>
      <w:docPartPr>
        <w:name w:val="{fe383121-c70a-4214-afc6-6ff9536131e5}"/>
        <w:style w:val=""/>
        <w:category>
          <w:name w:val="常规"/>
          <w:gallery w:val="placeholder"/>
        </w:category>
        <w:types>
          <w:type w:val="bbPlcHdr"/>
        </w:types>
        <w:behaviors>
          <w:behavior w:val="content"/>
        </w:behaviors>
        <w:description w:val=""/>
        <w:guid w:val="{fe383121-c70a-4214-afc6-6ff9536131e5}"/>
      </w:docPartPr>
      <w:docPartBody>
        <w:p w14:paraId="35F9C422">
          <w:r>
            <w:rPr>
              <w:color w:val="808080"/>
            </w:rPr>
            <w:t>单击此处输入文字。</w:t>
          </w:r>
        </w:p>
      </w:docPartBody>
    </w:docPart>
    <w:docPart>
      <w:docPartPr>
        <w:name w:val="{3c184a6f-856e-4df1-a073-94d6e963109d}"/>
        <w:style w:val=""/>
        <w:category>
          <w:name w:val="常规"/>
          <w:gallery w:val="placeholder"/>
        </w:category>
        <w:types>
          <w:type w:val="bbPlcHdr"/>
        </w:types>
        <w:behaviors>
          <w:behavior w:val="content"/>
        </w:behaviors>
        <w:description w:val=""/>
        <w:guid w:val="{3c184a6f-856e-4df1-a073-94d6e963109d}"/>
      </w:docPartPr>
      <w:docPartBody>
        <w:p w14:paraId="1640B5B3">
          <w:r>
            <w:rPr>
              <w:color w:val="808080"/>
            </w:rPr>
            <w:t>单击此处输入文字。</w:t>
          </w:r>
        </w:p>
      </w:docPartBody>
    </w:docPart>
    <w:docPart>
      <w:docPartPr>
        <w:name w:val="{b6c6a74a-372f-473f-abc6-4a59cd8f0a96}"/>
        <w:style w:val=""/>
        <w:category>
          <w:name w:val="常规"/>
          <w:gallery w:val="placeholder"/>
        </w:category>
        <w:types>
          <w:type w:val="bbPlcHdr"/>
        </w:types>
        <w:behaviors>
          <w:behavior w:val="content"/>
        </w:behaviors>
        <w:description w:val=""/>
        <w:guid w:val="{b6c6a74a-372f-473f-abc6-4a59cd8f0a96}"/>
      </w:docPartPr>
      <w:docPartBody>
        <w:p w14:paraId="42E05295">
          <w:r>
            <w:rPr>
              <w:color w:val="808080"/>
            </w:rPr>
            <w:t>单击此处输入文字。</w:t>
          </w:r>
        </w:p>
      </w:docPartBody>
    </w:docPart>
    <w:docPart>
      <w:docPartPr>
        <w:name w:val="{e5daa38a-b9f5-48e3-8eea-30a7a3ed3aca}"/>
        <w:style w:val=""/>
        <w:category>
          <w:name w:val="常规"/>
          <w:gallery w:val="placeholder"/>
        </w:category>
        <w:types>
          <w:type w:val="bbPlcHdr"/>
        </w:types>
        <w:behaviors>
          <w:behavior w:val="content"/>
        </w:behaviors>
        <w:description w:val=""/>
        <w:guid w:val="{e5daa38a-b9f5-48e3-8eea-30a7a3ed3aca}"/>
      </w:docPartPr>
      <w:docPartBody>
        <w:p w14:paraId="5C6E9C2C">
          <w:r>
            <w:rPr>
              <w:color w:val="808080"/>
            </w:rPr>
            <w:t>单击此处输入文字。</w:t>
          </w:r>
        </w:p>
      </w:docPartBody>
    </w:docPart>
    <w:docPart>
      <w:docPartPr>
        <w:name w:val="{6fca9e31-70cd-4d64-82cc-9b5c0af81b2b}"/>
        <w:style w:val=""/>
        <w:category>
          <w:name w:val="常规"/>
          <w:gallery w:val="placeholder"/>
        </w:category>
        <w:types>
          <w:type w:val="bbPlcHdr"/>
        </w:types>
        <w:behaviors>
          <w:behavior w:val="content"/>
        </w:behaviors>
        <w:description w:val=""/>
        <w:guid w:val="{6fca9e31-70cd-4d64-82cc-9b5c0af81b2b}"/>
      </w:docPartPr>
      <w:docPartBody>
        <w:p w14:paraId="7C75338E">
          <w:r>
            <w:rPr>
              <w:color w:val="808080"/>
            </w:rPr>
            <w:t>单击此处输入文字。</w:t>
          </w:r>
        </w:p>
      </w:docPartBody>
    </w:docPart>
    <w:docPart>
      <w:docPartPr>
        <w:name w:val="{d4d24fe7-77ba-43a7-941c-851faf11e44c}"/>
        <w:style w:val=""/>
        <w:category>
          <w:name w:val="常规"/>
          <w:gallery w:val="placeholder"/>
        </w:category>
        <w:types>
          <w:type w:val="bbPlcHdr"/>
        </w:types>
        <w:behaviors>
          <w:behavior w:val="content"/>
        </w:behaviors>
        <w:description w:val=""/>
        <w:guid w:val="{d4d24fe7-77ba-43a7-941c-851faf11e44c}"/>
      </w:docPartPr>
      <w:docPartBody>
        <w:p w14:paraId="6F76372D">
          <w:r>
            <w:rPr>
              <w:color w:val="808080"/>
            </w:rPr>
            <w:t>单击此处输入文字。</w:t>
          </w:r>
        </w:p>
      </w:docPartBody>
    </w:docPart>
    <w:docPart>
      <w:docPartPr>
        <w:name w:val="{0533813d-0f3b-4318-a07c-c6079bf2ad25}"/>
        <w:style w:val=""/>
        <w:category>
          <w:name w:val="常规"/>
          <w:gallery w:val="placeholder"/>
        </w:category>
        <w:types>
          <w:type w:val="bbPlcHdr"/>
        </w:types>
        <w:behaviors>
          <w:behavior w:val="content"/>
        </w:behaviors>
        <w:description w:val=""/>
        <w:guid w:val="{0533813d-0f3b-4318-a07c-c6079bf2ad25}"/>
      </w:docPartPr>
      <w:docPartBody>
        <w:p w14:paraId="221441E6">
          <w:r>
            <w:rPr>
              <w:color w:val="808080"/>
            </w:rPr>
            <w:t>单击此处输入文字。</w:t>
          </w:r>
        </w:p>
      </w:docPartBody>
    </w:docPart>
    <w:docPart>
      <w:docPartPr>
        <w:name w:val="{eb4d2ccd-952c-4e1b-81e4-764c99c4cb5e}"/>
        <w:style w:val=""/>
        <w:category>
          <w:name w:val="常规"/>
          <w:gallery w:val="placeholder"/>
        </w:category>
        <w:types>
          <w:type w:val="bbPlcHdr"/>
        </w:types>
        <w:behaviors>
          <w:behavior w:val="content"/>
        </w:behaviors>
        <w:description w:val=""/>
        <w:guid w:val="{eb4d2ccd-952c-4e1b-81e4-764c99c4cb5e}"/>
      </w:docPartPr>
      <w:docPartBody>
        <w:p w14:paraId="599962AB">
          <w:r>
            <w:rPr>
              <w:color w:val="808080"/>
            </w:rPr>
            <w:t>单击此处输入文字。</w:t>
          </w:r>
        </w:p>
      </w:docPartBody>
    </w:docPart>
    <w:docPart>
      <w:docPartPr>
        <w:name w:val="{6bb9255a-4caf-4a83-ac17-c09d52990a5a}"/>
        <w:style w:val=""/>
        <w:category>
          <w:name w:val="常规"/>
          <w:gallery w:val="placeholder"/>
        </w:category>
        <w:types>
          <w:type w:val="bbPlcHdr"/>
        </w:types>
        <w:behaviors>
          <w:behavior w:val="content"/>
        </w:behaviors>
        <w:description w:val=""/>
        <w:guid w:val="{6bb9255a-4caf-4a83-ac17-c09d52990a5a}"/>
      </w:docPartPr>
      <w:docPartBody>
        <w:p w14:paraId="34C5A936">
          <w:r>
            <w:rPr>
              <w:color w:val="808080"/>
            </w:rPr>
            <w:t>单击此处输入文字。</w:t>
          </w:r>
        </w:p>
      </w:docPartBody>
    </w:docPart>
    <w:docPart>
      <w:docPartPr>
        <w:name w:val="{d88160e9-17b1-41c2-9291-0bf8d8bfb7f0}"/>
        <w:style w:val=""/>
        <w:category>
          <w:name w:val="常规"/>
          <w:gallery w:val="placeholder"/>
        </w:category>
        <w:types>
          <w:type w:val="bbPlcHdr"/>
        </w:types>
        <w:behaviors>
          <w:behavior w:val="content"/>
        </w:behaviors>
        <w:description w:val=""/>
        <w:guid w:val="{d88160e9-17b1-41c2-9291-0bf8d8bfb7f0}"/>
      </w:docPartPr>
      <w:docPartBody>
        <w:p w14:paraId="2C635CB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1785</Words>
  <Characters>1967</Characters>
  <Lines>63</Lines>
  <Paragraphs>17</Paragraphs>
  <TotalTime>7</TotalTime>
  <ScaleCrop>false</ScaleCrop>
  <LinksUpToDate>false</LinksUpToDate>
  <CharactersWithSpaces>2069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吴燕平</cp:lastModifiedBy>
  <cp:lastPrinted>2025-10-28T15:00:00Z</cp:lastPrinted>
  <dcterms:modified xsi:type="dcterms:W3CDTF">2025-12-31T03:29:15Z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04787F2533EB45DC91BCDE4AB213247F</vt:lpwstr>
  </property>
  <property fmtid="{D5CDD505-2E9C-101B-9397-08002B2CF9AE}" pid="4" name="KSOTemplateDocerSaveRecord">
    <vt:lpwstr>eyJoZGlkIjoiNGIzNzA4MWUwY2FlODU5Y2IyY2MwMTBkMjJlMWMwZWYiLCJ1c2VySWQiOiI1MDc4OTU3NjUifQ==</vt:lpwstr>
  </property>
</Properties>
</file>