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D0C59">
      <w:pPr>
        <w:spacing w:line="600" w:lineRule="exact"/>
        <w:jc w:val="center"/>
        <w:outlineLvl w:val="0"/>
        <w:rPr>
          <w:rFonts w:ascii="方正小标宋简体" w:hAnsi="宋体" w:eastAsia="方正小标宋简体"/>
          <w:sz w:val="72"/>
          <w:szCs w:val="72"/>
        </w:rPr>
      </w:pPr>
      <w:bookmarkStart w:id="0" w:name="_Toc15306267"/>
    </w:p>
    <w:p w14:paraId="209BAE7C">
      <w:pPr>
        <w:spacing w:line="600" w:lineRule="exact"/>
        <w:jc w:val="center"/>
        <w:outlineLvl w:val="0"/>
        <w:rPr>
          <w:rFonts w:ascii="方正小标宋简体" w:hAnsi="宋体" w:eastAsia="方正小标宋简体"/>
          <w:sz w:val="72"/>
          <w:szCs w:val="72"/>
        </w:rPr>
      </w:pPr>
    </w:p>
    <w:p w14:paraId="4E8D8272">
      <w:pPr>
        <w:spacing w:line="600" w:lineRule="exact"/>
        <w:jc w:val="center"/>
        <w:outlineLvl w:val="0"/>
        <w:rPr>
          <w:rFonts w:ascii="方正小标宋简体" w:hAnsi="宋体" w:eastAsia="方正小标宋简体"/>
          <w:sz w:val="72"/>
          <w:szCs w:val="72"/>
        </w:rPr>
      </w:pPr>
    </w:p>
    <w:p w14:paraId="4D117880">
      <w:pPr>
        <w:spacing w:line="600" w:lineRule="exact"/>
        <w:jc w:val="center"/>
        <w:outlineLvl w:val="0"/>
        <w:rPr>
          <w:rFonts w:ascii="方正小标宋简体" w:hAnsi="宋体" w:eastAsia="方正小标宋简体"/>
          <w:sz w:val="72"/>
          <w:szCs w:val="72"/>
        </w:rPr>
      </w:pPr>
    </w:p>
    <w:p w14:paraId="556EBC06">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597"/>
      <w:bookmarkStart w:id="3" w:name="_Toc15377193"/>
      <w:bookmarkStart w:id="4" w:name="_Toc15378441"/>
      <w:bookmarkStart w:id="5" w:name="_Toc1539647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14:paraId="0B5740B3">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194"/>
      <w:bookmarkStart w:id="8" w:name="_Toc15378442"/>
      <w:bookmarkStart w:id="9" w:name="_Toc15377426"/>
      <w:bookmarkStart w:id="10" w:name="_Toc15396476"/>
      <w:r>
        <w:rPr>
          <w:rFonts w:hint="eastAsia" w:ascii="方正小标宋简体" w:hAnsi="方正小标宋简体" w:eastAsia="方正小标宋简体" w:cs="方正小标宋简体"/>
          <w:sz w:val="72"/>
          <w:szCs w:val="72"/>
        </w:rPr>
        <w:t>盐边县</w:t>
      </w:r>
      <w:bookmarkEnd w:id="0"/>
      <w:bookmarkStart w:id="11" w:name="_Toc15306268"/>
      <w:r>
        <w:rPr>
          <w:rFonts w:hint="eastAsia" w:ascii="方正小标宋简体" w:hAnsi="方正小标宋简体" w:eastAsia="方正小标宋简体" w:cs="方正小标宋简体"/>
          <w:sz w:val="72"/>
          <w:szCs w:val="72"/>
        </w:rPr>
        <w:t>审计局单位决算</w:t>
      </w:r>
      <w:bookmarkEnd w:id="6"/>
      <w:bookmarkEnd w:id="7"/>
      <w:bookmarkEnd w:id="8"/>
      <w:bookmarkEnd w:id="9"/>
      <w:bookmarkEnd w:id="10"/>
      <w:bookmarkEnd w:id="11"/>
    </w:p>
    <w:p w14:paraId="6103D314">
      <w:pPr>
        <w:adjustRightInd w:val="0"/>
        <w:snapToGrid w:val="0"/>
        <w:spacing w:line="360" w:lineRule="auto"/>
        <w:jc w:val="center"/>
        <w:outlineLvl w:val="0"/>
        <w:rPr>
          <w:rFonts w:ascii="方正小标宋简体" w:hAnsi="宋体" w:eastAsia="方正小标宋简体"/>
          <w:sz w:val="52"/>
          <w:szCs w:val="52"/>
        </w:rPr>
      </w:pPr>
    </w:p>
    <w:p w14:paraId="18D9F1A6">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19C386BA">
      <w:pPr>
        <w:widowControl/>
        <w:jc w:val="center"/>
        <w:rPr>
          <w:rFonts w:ascii="黑体" w:hAnsi="黑体" w:eastAsia="黑体" w:cstheme="minorBidi"/>
          <w:sz w:val="28"/>
          <w:szCs w:val="28"/>
        </w:rPr>
      </w:pPr>
    </w:p>
    <w:p w14:paraId="24094E38">
      <w:pPr>
        <w:pStyle w:val="11"/>
      </w:pPr>
      <w:r>
        <w:rPr>
          <w:rFonts w:hint="eastAsia"/>
        </w:rPr>
        <w:t>公开时间：2022年10月20日</w:t>
      </w:r>
    </w:p>
    <w:p w14:paraId="7A1BCFA9"/>
    <w:p w14:paraId="6D297309">
      <w:pPr>
        <w:pStyle w:val="31"/>
        <w:tabs>
          <w:tab w:val="right" w:leader="dot" w:pos="8306"/>
        </w:tabs>
        <w:rPr>
          <w:rFonts w:ascii="仿宋_GB2312" w:hAnsi="仿宋_GB2312" w:eastAsia="仿宋_GB2312" w:cs="仿宋_GB2312"/>
          <w:sz w:val="28"/>
          <w:szCs w:val="28"/>
        </w:rPr>
      </w:pPr>
      <w:r>
        <w:fldChar w:fldCharType="begin"/>
      </w:r>
      <w:r>
        <w:instrText xml:space="preserve"> HYPERLINK \l "_Toc934813413_WPSOffice_Level1" </w:instrText>
      </w:r>
      <w:r>
        <w:fldChar w:fldCharType="separate"/>
      </w:r>
      <w:r>
        <w:rPr>
          <w:rFonts w:hint="eastAsia" w:ascii="仿宋_GB2312" w:hAnsi="仿宋_GB2312" w:eastAsia="仿宋_GB2312" w:cs="仿宋_GB2312"/>
          <w:b/>
          <w:bCs/>
          <w:sz w:val="28"/>
          <w:szCs w:val="28"/>
        </w:rPr>
        <w:t>第一部分 单位概况</w:t>
      </w:r>
      <w:r>
        <w:rPr>
          <w:rFonts w:hint="eastAsia" w:ascii="仿宋_GB2312" w:hAnsi="仿宋_GB2312" w:eastAsia="仿宋_GB2312" w:cs="仿宋_GB2312"/>
          <w:b/>
          <w:bCs/>
          <w:sz w:val="28"/>
          <w:szCs w:val="28"/>
        </w:rPr>
        <w:tab/>
      </w:r>
      <w:bookmarkStart w:id="12" w:name="_Toc934813413_WPSOffice_Level1Page"/>
      <w:r>
        <w:rPr>
          <w:rFonts w:hint="eastAsia" w:ascii="仿宋_GB2312" w:hAnsi="仿宋_GB2312" w:eastAsia="仿宋_GB2312" w:cs="仿宋_GB2312"/>
          <w:b/>
          <w:bCs/>
          <w:sz w:val="28"/>
          <w:szCs w:val="28"/>
        </w:rPr>
        <w:t>4</w:t>
      </w:r>
      <w:bookmarkEnd w:id="12"/>
      <w:r>
        <w:rPr>
          <w:rFonts w:hint="eastAsia" w:ascii="仿宋_GB2312" w:hAnsi="仿宋_GB2312" w:eastAsia="仿宋_GB2312" w:cs="仿宋_GB2312"/>
          <w:b/>
          <w:bCs/>
          <w:sz w:val="28"/>
          <w:szCs w:val="28"/>
        </w:rPr>
        <w:fldChar w:fldCharType="end"/>
      </w:r>
    </w:p>
    <w:p w14:paraId="1C2CD8CD">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"_Toc490740160_WPSOffice_Level2" </w:instrText>
      </w:r>
      <w:r>
        <w:fldChar w:fldCharType="separate"/>
      </w:r>
      <w:r>
        <w:rPr>
          <w:rFonts w:hint="eastAsia" w:ascii="仿宋_GB2312" w:hAnsi="仿宋_GB2312" w:eastAsia="仿宋_GB2312" w:cs="仿宋_GB2312"/>
          <w:sz w:val="28"/>
          <w:szCs w:val="28"/>
        </w:rPr>
        <w:t>一、职能简介</w:t>
      </w:r>
      <w:r>
        <w:rPr>
          <w:rFonts w:hint="eastAsia" w:ascii="仿宋_GB2312" w:hAnsi="仿宋_GB2312" w:eastAsia="仿宋_GB2312" w:cs="仿宋_GB2312"/>
          <w:sz w:val="28"/>
          <w:szCs w:val="28"/>
        </w:rPr>
        <w:tab/>
      </w:r>
      <w:bookmarkStart w:id="13" w:name="_Toc490740160_WPSOffice_Level2Page"/>
      <w:r>
        <w:rPr>
          <w:rFonts w:hint="eastAsia" w:ascii="仿宋_GB2312" w:hAnsi="仿宋_GB2312" w:eastAsia="仿宋_GB2312" w:cs="仿宋_GB2312"/>
          <w:sz w:val="28"/>
          <w:szCs w:val="28"/>
        </w:rPr>
        <w:t>4</w:t>
      </w:r>
      <w:bookmarkEnd w:id="13"/>
      <w:r>
        <w:rPr>
          <w:rFonts w:hint="eastAsia" w:ascii="仿宋_GB2312" w:hAnsi="仿宋_GB2312" w:eastAsia="仿宋_GB2312" w:cs="仿宋_GB2312"/>
          <w:sz w:val="28"/>
          <w:szCs w:val="28"/>
        </w:rPr>
        <w:fldChar w:fldCharType="end"/>
      </w:r>
    </w:p>
    <w:p w14:paraId="44AF41A4">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"_Toc842863272_WPSOffice_Level2" </w:instrText>
      </w:r>
      <w:r>
        <w:fldChar w:fldCharType="separate"/>
      </w:r>
      <w:r>
        <w:rPr>
          <w:rFonts w:hint="eastAsia" w:ascii="仿宋_GB2312" w:hAnsi="仿宋_GB2312" w:eastAsia="仿宋_GB2312" w:cs="仿宋_GB2312"/>
          <w:sz w:val="28"/>
          <w:szCs w:val="28"/>
        </w:rPr>
        <w:t>二、2</w:t>
      </w:r>
      <w:r>
        <w:rPr>
          <w:rFonts w:ascii="仿宋_GB2312" w:hAnsi="仿宋_GB2312" w:eastAsia="仿宋_GB2312" w:cs="仿宋_GB2312"/>
          <w:sz w:val="28"/>
          <w:szCs w:val="28"/>
        </w:rPr>
        <w:t>021年重点工作完成情况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p>
    <w:p w14:paraId="7CEA862E">
      <w:pPr>
        <w:pStyle w:val="31"/>
        <w:tabs>
          <w:tab w:val="right" w:leader="dot" w:pos="8306"/>
        </w:tabs>
        <w:rPr>
          <w:rFonts w:ascii="仿宋_GB2312" w:hAnsi="仿宋_GB2312" w:eastAsia="仿宋_GB2312" w:cs="仿宋_GB2312"/>
          <w:sz w:val="28"/>
          <w:szCs w:val="28"/>
        </w:rPr>
      </w:pPr>
      <w:r>
        <w:fldChar w:fldCharType="begin"/>
      </w:r>
      <w:r>
        <w:instrText xml:space="preserve"> HYPERLINK \l "_Toc2048163656_WPSOffice_Level1" </w:instrText>
      </w:r>
      <w:r>
        <w:fldChar w:fldCharType="separate"/>
      </w:r>
      <w:r>
        <w:rPr>
          <w:rFonts w:hint="eastAsia" w:ascii="仿宋_GB2312" w:hAnsi="仿宋_GB2312" w:eastAsia="仿宋_GB2312" w:cs="仿宋_GB2312"/>
          <w:b/>
          <w:bCs/>
          <w:sz w:val="28"/>
          <w:szCs w:val="28"/>
        </w:rPr>
        <w:t>第二部分 2021年度部门决算情况说明</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8</w:t>
      </w:r>
      <w:r>
        <w:rPr>
          <w:rFonts w:hint="eastAsia" w:ascii="仿宋_GB2312" w:hAnsi="仿宋_GB2312" w:eastAsia="仿宋_GB2312" w:cs="仿宋_GB2312"/>
          <w:b/>
          <w:bCs/>
          <w:sz w:val="28"/>
          <w:szCs w:val="28"/>
        </w:rPr>
        <w:fldChar w:fldCharType="end"/>
      </w:r>
    </w:p>
    <w:p w14:paraId="7DEE9602">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"_Toc1366485891_WPSOffice_Level2" </w:instrText>
      </w:r>
      <w:r>
        <w:fldChar w:fldCharType="separate"/>
      </w:r>
      <w:r>
        <w:rPr>
          <w:rFonts w:hint="eastAsia" w:ascii="仿宋_GB2312" w:hAnsi="仿宋_GB2312" w:eastAsia="仿宋_GB2312" w:cs="仿宋_GB2312"/>
          <w:sz w:val="28"/>
          <w:szCs w:val="28"/>
        </w:rPr>
        <w:t>一、 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p>
    <w:p w14:paraId="14BBB70D">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"_Toc1549714430_WPSOffice_Level2" </w:instrText>
      </w:r>
      <w:r>
        <w:fldChar w:fldCharType="separate"/>
      </w:r>
      <w:r>
        <w:rPr>
          <w:rFonts w:hint="eastAsia" w:ascii="仿宋_GB2312" w:hAnsi="仿宋_GB2312" w:eastAsia="仿宋_GB2312" w:cs="仿宋_GB2312"/>
          <w:sz w:val="28"/>
          <w:szCs w:val="28"/>
        </w:rPr>
        <w:t>二、 收入决算情况说明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p>
    <w:p w14:paraId="24848B9F">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"_Toc244396022_WPSOffice_Level2" </w:instrText>
      </w:r>
      <w:r>
        <w:fldChar w:fldCharType="separate"/>
      </w:r>
      <w:r>
        <w:rPr>
          <w:rFonts w:hint="eastAsia" w:ascii="仿宋_GB2312" w:hAnsi="仿宋_GB2312" w:eastAsia="仿宋_GB2312" w:cs="仿宋_GB2312"/>
          <w:sz w:val="28"/>
          <w:szCs w:val="28"/>
        </w:rPr>
        <w:t>三、 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0</w:t>
      </w:r>
    </w:p>
    <w:p w14:paraId="39B77A0F">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"_Toc14042612_WPSOffice_Level2" </w:instrText>
      </w:r>
      <w:r>
        <w:fldChar w:fldCharType="separate"/>
      </w:r>
      <w:r>
        <w:rPr>
          <w:rFonts w:hint="eastAsia" w:ascii="仿宋_GB2312" w:hAnsi="仿宋_GB2312" w:eastAsia="仿宋_GB2312" w:cs="仿宋_GB2312"/>
          <w:sz w:val="28"/>
          <w:szCs w:val="28"/>
        </w:rPr>
        <w:t>四、财政拨款收入支出决算总体情况说明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1</w:t>
      </w:r>
    </w:p>
    <w:p w14:paraId="502B882A">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"_Toc1516982811_WPSOffice_Level2" </w:instrText>
      </w:r>
      <w:r>
        <w:fldChar w:fldCharType="separate"/>
      </w:r>
      <w:r>
        <w:rPr>
          <w:rFonts w:hint="eastAsia" w:ascii="仿宋_GB2312" w:hAnsi="仿宋_GB2312" w:eastAsia="仿宋_GB2312" w:cs="仿宋_GB2312"/>
          <w:sz w:val="28"/>
          <w:szCs w:val="28"/>
        </w:rPr>
        <w:t>五、一般公共预算财政拨款支出决算情况说明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p>
    <w:p w14:paraId="6581A13C">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"_Toc865202451_WPSOffice_Level2" </w:instrText>
      </w:r>
      <w:r>
        <w:fldChar w:fldCharType="separate"/>
      </w:r>
      <w:r>
        <w:rPr>
          <w:rFonts w:hint="eastAsia" w:ascii="仿宋_GB2312" w:hAnsi="仿宋_GB2312" w:eastAsia="仿宋_GB2312" w:cs="仿宋_GB2312"/>
          <w:sz w:val="28"/>
          <w:szCs w:val="28"/>
        </w:rPr>
        <w:t>六、一般公共预算财政拨款基本支出决算情况说明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5</w:t>
      </w:r>
    </w:p>
    <w:p w14:paraId="7A089BEF">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"_Toc125972173_WPSOffice_Level2" </w:instrText>
      </w:r>
      <w:r>
        <w:fldChar w:fldCharType="separate"/>
      </w:r>
      <w:r>
        <w:rPr>
          <w:rFonts w:hint="eastAsia" w:ascii="仿宋_GB2312" w:hAnsi="仿宋_GB2312" w:eastAsia="仿宋_GB2312" w:cs="仿宋_GB2312"/>
          <w:sz w:val="28"/>
          <w:szCs w:val="28"/>
        </w:rPr>
        <w:t>七、“三公”经费财政拨款支出决算情况说明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5</w:t>
      </w:r>
    </w:p>
    <w:p w14:paraId="073BE52B">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"_Toc1027049543_WPSOffice_Level2" </w:instrText>
      </w:r>
      <w:r>
        <w:fldChar w:fldCharType="separate"/>
      </w:r>
      <w:r>
        <w:rPr>
          <w:rFonts w:hint="eastAsia" w:ascii="仿宋_GB2312" w:hAnsi="仿宋_GB2312" w:eastAsia="仿宋_GB2312" w:cs="仿宋_GB2312"/>
          <w:sz w:val="28"/>
          <w:szCs w:val="28"/>
        </w:rPr>
        <w:t>八、政府性基金预算支出决算情况说明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7</w:t>
      </w:r>
    </w:p>
    <w:p w14:paraId="08F5F9FA">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"_Toc1692570219_WPSOffice_Level2" </w:instrText>
      </w:r>
      <w:r>
        <w:fldChar w:fldCharType="separate"/>
      </w:r>
      <w:r>
        <w:rPr>
          <w:rFonts w:hint="eastAsia" w:ascii="仿宋_GB2312" w:hAnsi="仿宋_GB2312" w:eastAsia="仿宋_GB2312" w:cs="仿宋_GB2312"/>
          <w:sz w:val="28"/>
          <w:szCs w:val="28"/>
        </w:rPr>
        <w:t>九、 国有资本经营预算支出决算情况说明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7</w:t>
      </w:r>
    </w:p>
    <w:p w14:paraId="125F132D">
      <w:pPr>
        <w:pStyle w:val="32"/>
        <w:tabs>
          <w:tab w:val="right" w:leader="dot" w:pos="8306"/>
        </w:tabs>
        <w:ind w:left="420"/>
        <w:rPr>
          <w:rFonts w:ascii="仿宋_GB2312" w:hAnsi="仿宋_GB2312" w:eastAsia="仿宋_GB2312" w:cs="仿宋_GB2312"/>
          <w:sz w:val="28"/>
          <w:szCs w:val="28"/>
        </w:rPr>
      </w:pPr>
      <w:r>
        <w:fldChar w:fldCharType="begin"/>
      </w:r>
      <w:r>
        <w:instrText xml:space="preserve"> HYPERLINK \l "_Toc735402698_WPSOffice_Level2" </w:instrText>
      </w:r>
      <w:r>
        <w:fldChar w:fldCharType="separate"/>
      </w:r>
      <w:r>
        <w:rPr>
          <w:rFonts w:hint="eastAsia" w:ascii="仿宋_GB2312" w:hAnsi="仿宋_GB2312" w:eastAsia="仿宋_GB2312" w:cs="仿宋_GB2312"/>
          <w:sz w:val="28"/>
          <w:szCs w:val="28"/>
        </w:rPr>
        <w:t>十、 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7</w:t>
      </w:r>
    </w:p>
    <w:p w14:paraId="6523EB11">
      <w:pPr>
        <w:pStyle w:val="31"/>
        <w:tabs>
          <w:tab w:val="right" w:leader="dot" w:pos="8306"/>
        </w:tabs>
        <w:rPr>
          <w:rFonts w:ascii="仿宋_GB2312" w:hAnsi="仿宋_GB2312" w:eastAsia="仿宋_GB2312" w:cs="仿宋_GB2312"/>
          <w:sz w:val="28"/>
          <w:szCs w:val="28"/>
        </w:rPr>
      </w:pPr>
      <w:r>
        <w:fldChar w:fldCharType="begin"/>
      </w:r>
      <w:r>
        <w:instrText xml:space="preserve"> HYPERLINK \l "_Toc1580281231_WPSOffice_Level1" </w:instrText>
      </w:r>
      <w:r>
        <w:fldChar w:fldCharType="separate"/>
      </w:r>
      <w:r>
        <w:rPr>
          <w:rFonts w:hint="eastAsia" w:ascii="仿宋_GB2312" w:hAnsi="仿宋_GB2312" w:eastAsia="仿宋_GB2312" w:cs="仿宋_GB2312"/>
          <w:b/>
          <w:bCs/>
          <w:sz w:val="28"/>
          <w:szCs w:val="28"/>
        </w:rPr>
        <w:t>第三部分 名词解释</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20</w:t>
      </w:r>
      <w:r>
        <w:rPr>
          <w:rFonts w:hint="eastAsia" w:ascii="仿宋_GB2312" w:hAnsi="仿宋_GB2312" w:eastAsia="仿宋_GB2312" w:cs="仿宋_GB2312"/>
          <w:b/>
          <w:bCs/>
          <w:sz w:val="28"/>
          <w:szCs w:val="28"/>
        </w:rPr>
        <w:fldChar w:fldCharType="end"/>
      </w:r>
    </w:p>
    <w:p w14:paraId="5AD2137A">
      <w:pPr>
        <w:pStyle w:val="31"/>
        <w:tabs>
          <w:tab w:val="right" w:leader="dot" w:pos="8306"/>
        </w:tabs>
        <w:rPr>
          <w:rFonts w:ascii="仿宋_GB2312" w:hAnsi="仿宋_GB2312" w:eastAsia="仿宋_GB2312" w:cs="仿宋_GB2312"/>
          <w:b/>
          <w:bCs/>
          <w:sz w:val="28"/>
          <w:szCs w:val="28"/>
        </w:rPr>
      </w:pPr>
      <w:r>
        <w:fldChar w:fldCharType="begin"/>
      </w:r>
      <w:r>
        <w:instrText xml:space="preserve"> HYPERLINK \l "_Toc1938969653_WPSOffice_Level1" </w:instrText>
      </w:r>
      <w:r>
        <w:fldChar w:fldCharType="separate"/>
      </w:r>
      <w:r>
        <w:rPr>
          <w:rFonts w:hint="eastAsia" w:ascii="仿宋_GB2312" w:hAnsi="仿宋_GB2312" w:eastAsia="仿宋_GB2312" w:cs="仿宋_GB2312"/>
          <w:b/>
          <w:bCs/>
          <w:sz w:val="28"/>
          <w:szCs w:val="28"/>
        </w:rPr>
        <w:t>第四部分 附件</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3</w:t>
      </w:r>
    </w:p>
    <w:p w14:paraId="0A8BC65F">
      <w:pPr>
        <w:pStyle w:val="31"/>
        <w:tabs>
          <w:tab w:val="right" w:leader="dot" w:pos="8306"/>
        </w:tabs>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一、附件1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23</w:t>
      </w:r>
    </w:p>
    <w:p w14:paraId="112AC03B">
      <w:pPr>
        <w:pStyle w:val="31"/>
        <w:tabs>
          <w:tab w:val="right" w:leader="dot" w:pos="8306"/>
        </w:tabs>
        <w:rPr>
          <w:rFonts w:ascii="仿宋_GB2312" w:hAnsi="仿宋_GB2312" w:eastAsia="仿宋_GB2312" w:cs="仿宋_GB2312"/>
          <w:sz w:val="28"/>
          <w:szCs w:val="28"/>
        </w:rPr>
      </w:pPr>
    </w:p>
    <w:p w14:paraId="44BAA373">
      <w:pPr>
        <w:pStyle w:val="31"/>
        <w:tabs>
          <w:tab w:val="right" w:leader="dot" w:pos="8306"/>
        </w:tabs>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二、附件2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29</w:t>
      </w:r>
    </w:p>
    <w:p w14:paraId="3D7E1F6E">
      <w:pPr>
        <w:pStyle w:val="31"/>
        <w:tabs>
          <w:tab w:val="right" w:leader="dot" w:pos="8306"/>
        </w:tabs>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三、附件3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33</w:t>
      </w:r>
    </w:p>
    <w:p w14:paraId="01C79A6E">
      <w:pPr>
        <w:pStyle w:val="31"/>
        <w:tabs>
          <w:tab w:val="right" w:leader="dot" w:pos="8306"/>
        </w:tabs>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四、附件4</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37</w:t>
      </w:r>
    </w:p>
    <w:p w14:paraId="0AA1F285">
      <w:pPr>
        <w:pStyle w:val="31"/>
        <w:tabs>
          <w:tab w:val="right" w:leader="dot" w:pos="8306"/>
        </w:tabs>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五、附件5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39</w:t>
      </w:r>
    </w:p>
    <w:p w14:paraId="3099FF65">
      <w:pPr>
        <w:widowControl/>
        <w:tabs>
          <w:tab w:val="right" w:leader="dot" w:pos="8306"/>
        </w:tabs>
        <w:jc w:val="left"/>
        <w:rPr>
          <w:rFonts w:ascii="仿宋_GB2312" w:hAnsi="仿宋_GB2312" w:eastAsia="仿宋_GB2312" w:cs="仿宋_GB2312"/>
          <w:kern w:val="0"/>
          <w:sz w:val="28"/>
          <w:szCs w:val="28"/>
        </w:rPr>
      </w:pPr>
      <w:bookmarkStart w:id="14" w:name="_Toc15396599"/>
      <w:bookmarkStart w:id="15" w:name="_Toc15377196"/>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kern w:val="0"/>
          <w:sz w:val="28"/>
          <w:szCs w:val="28"/>
        </w:rPr>
        <w:instrText xml:space="preserve"> HYPERLINK \l _Toc551476614_WPSOffice_Level1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第五部分 附表</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t>41</w:t>
      </w:r>
    </w:p>
    <w:p w14:paraId="54D5C4BA">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"_Toc121800905_WPSOffice_Level2" </w:instrText>
      </w:r>
      <w:r>
        <w:fldChar w:fldCharType="separate"/>
      </w:r>
      <w:r>
        <w:rPr>
          <w:rFonts w:hint="eastAsia" w:ascii="仿宋_GB2312" w:hAnsi="仿宋_GB2312" w:eastAsia="仿宋_GB2312" w:cs="仿宋_GB2312"/>
          <w:kern w:val="0"/>
          <w:sz w:val="28"/>
          <w:szCs w:val="28"/>
        </w:rPr>
        <w:t>一、收入支出决算总表</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fldChar w:fldCharType="end"/>
      </w:r>
      <w:r>
        <w:rPr>
          <w:rFonts w:hint="eastAsia"/>
          <w:sz w:val="28"/>
          <w:szCs w:val="28"/>
        </w:rPr>
        <w:t>41</w:t>
      </w:r>
    </w:p>
    <w:p w14:paraId="4613E255">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"_Toc925990398_WPSOffice_Level2" </w:instrText>
      </w:r>
      <w:r>
        <w:fldChar w:fldCharType="separate"/>
      </w:r>
      <w:r>
        <w:rPr>
          <w:rFonts w:hint="eastAsia" w:ascii="仿宋_GB2312" w:hAnsi="仿宋_GB2312" w:eastAsia="仿宋_GB2312" w:cs="仿宋_GB2312"/>
          <w:kern w:val="0"/>
          <w:sz w:val="28"/>
          <w:szCs w:val="28"/>
        </w:rPr>
        <w:t>二、收入决算表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3C97B076">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"_Toc263582464_WPSOffice_Level2" </w:instrText>
      </w:r>
      <w:r>
        <w:fldChar w:fldCharType="separate"/>
      </w:r>
      <w:r>
        <w:rPr>
          <w:rFonts w:hint="eastAsia" w:ascii="仿宋_GB2312" w:hAnsi="仿宋_GB2312" w:eastAsia="仿宋_GB2312" w:cs="仿宋_GB2312"/>
          <w:kern w:val="0"/>
          <w:sz w:val="28"/>
          <w:szCs w:val="28"/>
        </w:rPr>
        <w:t>三、支出决算表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095EC155">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"_Toc140570545_WPSOffice_Level2" </w:instrText>
      </w:r>
      <w:r>
        <w:fldChar w:fldCharType="separate"/>
      </w:r>
      <w:r>
        <w:rPr>
          <w:rFonts w:hint="eastAsia" w:ascii="仿宋_GB2312" w:hAnsi="仿宋_GB2312" w:eastAsia="仿宋_GB2312" w:cs="仿宋_GB2312"/>
          <w:kern w:val="0"/>
          <w:sz w:val="28"/>
          <w:szCs w:val="28"/>
        </w:rPr>
        <w:t>四、财政拨款收入支出决算总表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4D1FCD3C">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"_Toc1633346732_WPSOffice_Level2" </w:instrText>
      </w:r>
      <w:r>
        <w:fldChar w:fldCharType="separate"/>
      </w:r>
      <w:r>
        <w:rPr>
          <w:rFonts w:hint="eastAsia" w:ascii="仿宋_GB2312" w:hAnsi="仿宋_GB2312" w:eastAsia="仿宋_GB2312" w:cs="仿宋_GB2312"/>
          <w:kern w:val="0"/>
          <w:sz w:val="28"/>
          <w:szCs w:val="28"/>
        </w:rPr>
        <w:t>五、财政拨款支出决算明细表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659304B9">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"_Toc299924220_WPSOffice_Level2" </w:instrText>
      </w:r>
      <w:r>
        <w:fldChar w:fldCharType="separate"/>
      </w:r>
      <w:r>
        <w:rPr>
          <w:rFonts w:hint="eastAsia" w:ascii="仿宋_GB2312" w:hAnsi="仿宋_GB2312" w:eastAsia="仿宋_GB2312" w:cs="仿宋_GB2312"/>
          <w:kern w:val="0"/>
          <w:sz w:val="28"/>
          <w:szCs w:val="28"/>
        </w:rPr>
        <w:t>六、一般公共预算财政拨款支出决算表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2818BF6C">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"_Toc1097067853_WPSOffice_Level2" </w:instrText>
      </w:r>
      <w:r>
        <w:fldChar w:fldCharType="separate"/>
      </w:r>
      <w:r>
        <w:rPr>
          <w:rFonts w:hint="eastAsia" w:ascii="仿宋_GB2312" w:hAnsi="仿宋_GB2312" w:eastAsia="仿宋_GB2312" w:cs="仿宋_GB2312"/>
          <w:kern w:val="0"/>
          <w:sz w:val="28"/>
          <w:szCs w:val="28"/>
        </w:rPr>
        <w:t>七、一般公共预算财政拨款支出决算明细表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244721FD">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"_Toc1549105985_WPSOffice_Level2" </w:instrText>
      </w:r>
      <w:r>
        <w:fldChar w:fldCharType="separate"/>
      </w:r>
      <w:r>
        <w:rPr>
          <w:rFonts w:hint="eastAsia" w:ascii="仿宋_GB2312" w:hAnsi="仿宋_GB2312" w:eastAsia="仿宋_GB2312" w:cs="仿宋_GB2312"/>
          <w:kern w:val="0"/>
          <w:sz w:val="28"/>
          <w:szCs w:val="28"/>
        </w:rPr>
        <w:t>八、一般公共预算财政拨款基本支出决算表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2A1E4E05">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"_Toc1923873910_WPSOffice_Level2" </w:instrText>
      </w:r>
      <w:r>
        <w:fldChar w:fldCharType="separate"/>
      </w:r>
      <w:r>
        <w:rPr>
          <w:rFonts w:hint="eastAsia" w:ascii="仿宋_GB2312" w:hAnsi="仿宋_GB2312" w:eastAsia="仿宋_GB2312" w:cs="仿宋_GB2312"/>
          <w:kern w:val="0"/>
          <w:sz w:val="28"/>
          <w:szCs w:val="28"/>
        </w:rPr>
        <w:t>九、一般公共预算财政拨款项目支出决算表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4388F1EA">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"_Toc1362346416_WPSOffice_Level2" </w:instrText>
      </w:r>
      <w:r>
        <w:fldChar w:fldCharType="separate"/>
      </w:r>
      <w:r>
        <w:rPr>
          <w:rFonts w:hint="eastAsia" w:ascii="仿宋_GB2312" w:hAnsi="仿宋_GB2312" w:eastAsia="仿宋_GB2312" w:cs="仿宋_GB2312"/>
          <w:kern w:val="0"/>
          <w:sz w:val="28"/>
          <w:szCs w:val="28"/>
        </w:rPr>
        <w:t>十、一般公共预算财政拨款“三公”经费支出决算表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2A646482">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"_Toc252195004_WPSOffice_Level2" </w:instrText>
      </w:r>
      <w:r>
        <w:fldChar w:fldCharType="separate"/>
      </w:r>
      <w:r>
        <w:rPr>
          <w:rFonts w:hint="eastAsia" w:ascii="仿宋_GB2312" w:hAnsi="仿宋_GB2312" w:eastAsia="仿宋_GB2312" w:cs="仿宋_GB2312"/>
          <w:kern w:val="0"/>
          <w:sz w:val="28"/>
          <w:szCs w:val="28"/>
        </w:rPr>
        <w:t>十一、政府性基金预算财政拨款收入支出决算表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13985645">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"_Toc1891080112_WPSOffice_Level2" </w:instrText>
      </w:r>
      <w:r>
        <w:fldChar w:fldCharType="separate"/>
      </w:r>
      <w:r>
        <w:rPr>
          <w:rFonts w:hint="eastAsia" w:ascii="仿宋_GB2312" w:hAnsi="仿宋_GB2312" w:eastAsia="仿宋_GB2312" w:cs="仿宋_GB2312"/>
          <w:kern w:val="0"/>
          <w:sz w:val="28"/>
          <w:szCs w:val="28"/>
        </w:rPr>
        <w:t>十二、政府性基金预算财政拨款“三公”经费支出决算表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705CA6E5">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"_Toc323004604_WPSOffice_Level2" </w:instrText>
      </w:r>
      <w:r>
        <w:fldChar w:fldCharType="separate"/>
      </w:r>
      <w:r>
        <w:rPr>
          <w:rFonts w:hint="eastAsia" w:ascii="仿宋_GB2312" w:hAnsi="仿宋_GB2312" w:eastAsia="仿宋_GB2312" w:cs="仿宋_GB2312"/>
          <w:kern w:val="0"/>
          <w:sz w:val="28"/>
          <w:szCs w:val="28"/>
        </w:rPr>
        <w:t>十三、国有资本经营预算财政拨款收入支出决算表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427DC8D7">
      <w:pPr>
        <w:widowControl/>
        <w:tabs>
          <w:tab w:val="right" w:leader="dot" w:pos="8306"/>
        </w:tabs>
        <w:ind w:left="420" w:leftChars="200"/>
        <w:jc w:val="left"/>
        <w:rPr>
          <w:rFonts w:ascii="仿宋_GB2312" w:hAnsi="仿宋_GB2312" w:eastAsia="仿宋_GB2312" w:cs="仿宋_GB2312"/>
          <w:kern w:val="0"/>
          <w:sz w:val="28"/>
          <w:szCs w:val="28"/>
        </w:rPr>
      </w:pPr>
      <w:r>
        <w:fldChar w:fldCharType="begin"/>
      </w:r>
      <w:r>
        <w:instrText xml:space="preserve"> HYPERLINK \l "_Toc1003447679_WPSOffice_Level2" </w:instrText>
      </w:r>
      <w:r>
        <w:fldChar w:fldCharType="separate"/>
      </w:r>
      <w:r>
        <w:rPr>
          <w:rFonts w:hint="eastAsia" w:ascii="仿宋_GB2312" w:hAnsi="仿宋_GB2312" w:eastAsia="仿宋_GB2312" w:cs="仿宋_GB2312"/>
          <w:kern w:val="0"/>
          <w:sz w:val="28"/>
          <w:szCs w:val="28"/>
        </w:rPr>
        <w:t>十四、国有资本经营预算财政拨款支出决算表</w:t>
      </w:r>
      <w:r>
        <w:rPr>
          <w:rFonts w:hint="eastAsia" w:ascii="仿宋_GB2312" w:hAnsi="仿宋_GB2312" w:eastAsia="仿宋_GB2312" w:cs="仿宋_GB2312"/>
          <w:kern w:val="0"/>
          <w:sz w:val="28"/>
          <w:szCs w:val="28"/>
        </w:rPr>
        <w:tab/>
      </w:r>
      <w:r>
        <w:rPr>
          <w:rFonts w:hint="eastAsia"/>
          <w:sz w:val="28"/>
          <w:szCs w:val="28"/>
        </w:rPr>
        <w:t>41</w:t>
      </w:r>
      <w:r>
        <w:rPr>
          <w:rFonts w:hint="eastAsia"/>
          <w:sz w:val="28"/>
          <w:szCs w:val="28"/>
        </w:rPr>
        <w:fldChar w:fldCharType="end"/>
      </w:r>
    </w:p>
    <w:p w14:paraId="68774A5B">
      <w:pPr>
        <w:pStyle w:val="3"/>
        <w:jc w:val="center"/>
        <w:rPr>
          <w:rStyle w:val="25"/>
          <w:rFonts w:ascii="黑体" w:hAnsi="黑体" w:eastAsia="黑体"/>
          <w:b/>
          <w:bCs w:val="0"/>
        </w:rPr>
      </w:pPr>
      <w:r>
        <w:rPr>
          <w:rFonts w:hint="eastAsia" w:ascii="仿宋_GB2312" w:hAnsi="仿宋_GB2312" w:eastAsia="仿宋_GB2312" w:cs="仿宋_GB2312"/>
          <w:bCs w:val="0"/>
          <w:kern w:val="2"/>
          <w:sz w:val="28"/>
          <w:szCs w:val="28"/>
        </w:rPr>
        <w:br w:type="page"/>
      </w:r>
      <w:r>
        <w:rPr>
          <w:rFonts w:hint="eastAsia" w:ascii="黑体" w:hAnsi="黑体" w:eastAsia="黑体"/>
          <w:b w:val="0"/>
        </w:rPr>
        <w:t>第一部分 单位</w:t>
      </w:r>
      <w:r>
        <w:rPr>
          <w:rStyle w:val="25"/>
          <w:rFonts w:hint="eastAsia" w:ascii="黑体" w:hAnsi="黑体" w:eastAsia="黑体"/>
          <w:b w:val="0"/>
          <w:bCs w:val="0"/>
        </w:rPr>
        <w:t>概况</w:t>
      </w:r>
      <w:bookmarkEnd w:id="14"/>
      <w:bookmarkEnd w:id="15"/>
    </w:p>
    <w:p w14:paraId="60C96D89">
      <w:pPr>
        <w:pStyle w:val="4"/>
        <w:numPr>
          <w:ilvl w:val="0"/>
          <w:numId w:val="1"/>
        </w:numPr>
        <w:rPr>
          <w:rStyle w:val="26"/>
          <w:rFonts w:ascii="黑体" w:hAnsi="黑体" w:eastAsia="黑体"/>
          <w:b w:val="0"/>
          <w:bCs w:val="0"/>
        </w:rPr>
      </w:pPr>
      <w:bookmarkStart w:id="16" w:name="_Toc15396600"/>
      <w:bookmarkStart w:id="17" w:name="_Toc15377197"/>
      <w:r>
        <w:rPr>
          <w:rStyle w:val="26"/>
          <w:rFonts w:hint="eastAsia" w:ascii="黑体" w:hAnsi="黑体" w:eastAsia="黑体"/>
          <w:b w:val="0"/>
          <w:bCs w:val="0"/>
        </w:rPr>
        <w:t>职能简介</w:t>
      </w:r>
    </w:p>
    <w:p w14:paraId="618044B5">
      <w:pPr>
        <w:snapToGrid w:val="0"/>
        <w:spacing w:line="520" w:lineRule="exact"/>
        <w:ind w:firstLine="803" w:firstLineChars="250"/>
        <w:rPr>
          <w:rFonts w:ascii="楷体_GB2312" w:hAnsi="仿宋" w:eastAsia="楷体_GB2312"/>
          <w:b/>
          <w:sz w:val="32"/>
          <w:szCs w:val="32"/>
        </w:rPr>
      </w:pPr>
      <w:r>
        <w:rPr>
          <w:rFonts w:hint="eastAsia" w:ascii="楷体_GB2312" w:hAnsi="仿宋" w:eastAsia="楷体_GB2312"/>
          <w:b/>
          <w:sz w:val="32"/>
          <w:szCs w:val="32"/>
          <w:lang w:eastAsia="zh-CN"/>
        </w:rPr>
        <w:t>1.</w:t>
      </w:r>
      <w:r>
        <w:rPr>
          <w:rFonts w:hint="eastAsia" w:ascii="楷体_GB2312" w:hAnsi="仿宋" w:eastAsia="楷体_GB2312"/>
          <w:b/>
          <w:sz w:val="32"/>
          <w:szCs w:val="32"/>
        </w:rPr>
        <w:t>主要职能。</w:t>
      </w:r>
    </w:p>
    <w:p w14:paraId="496497C0">
      <w:pPr>
        <w:spacing w:line="560" w:lineRule="exact"/>
        <w:ind w:firstLine="800" w:firstLineChars="250"/>
        <w:rPr>
          <w:rFonts w:ascii="仿宋_GB2312" w:hAnsi="仿宋" w:eastAsia="仿宋_GB2312"/>
          <w:sz w:val="32"/>
          <w:szCs w:val="32"/>
        </w:rPr>
      </w:pPr>
      <w:r>
        <w:rPr>
          <w:rFonts w:hint="eastAsia" w:ascii="仿宋_GB2312" w:hAnsi="仿宋" w:eastAsia="仿宋_GB2312"/>
          <w:sz w:val="32"/>
          <w:szCs w:val="32"/>
        </w:rPr>
        <w:t>县审计局贯彻落实党中央关于审计工作方针政策和省委、市委、县委的决策部署，在履行职责过程中坚持和加强党对审计工作的集中统一领导。主要职责是：</w:t>
      </w:r>
    </w:p>
    <w:p w14:paraId="13F8A07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主管全县审计工作。负责对县级财政收支和法律法规规定属于审计监督范围的财务收支的真实、合法和效益进行审计监督，对公共资金、国有资产、国有资源和领导干部履行经济责任情况实行审计全覆盖，对领导干部实行自然资源资产离任审计，对国家和省市有关重大政策措施贯彻落实情况进行跟踪审计。对审计、专项审计调查和核查社会审计机构相关审计报告的结果承担责任，并负有督促被审计单位整改的责任。</w:t>
      </w:r>
    </w:p>
    <w:p w14:paraId="2DE5C053">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贯彻执行国家、省、市有关审计工作的方针政策和法律法规。起草地方性审计规范性文件。制定并组织实施全县专业领域审计工作规划。参与起草地方性财政经济及相关规范性文件。组织对全县性重大投资项目、重大突发性公共事项、重要专项资金的审计和专项审计调查。对直接审计、调查和核查的事项依法进行审计评价，作出审计决定或提出审计建议。</w:t>
      </w:r>
    </w:p>
    <w:p w14:paraId="512A1F33">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向县委审计委员会提出年度县级预算执行和其他财政支出情况审计报告。向县政府和市审计局提出年度县级预算执行及其他财政收支情况的审计结果报告。受县政府委托向县人大常委会提出县级预算执行和其他财政收支情况的审计工作报告，审计查出问题整改情况报告。向县委、县政府报告对其他事项的审计和专项审计调查情况及结果。依法向社会公布审计结果。向县级有关部门（单位）和乡（镇）党委、政府通报审计情况和审计结果。</w:t>
      </w:r>
    </w:p>
    <w:p w14:paraId="4973CAF8">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直接审计下列事项，出具审计报告，在法定职权范围内作出审计决定，包括国家和省市县有关重大政策措施贯彻落实情况；县级预算执行情况和其他财政收支，县级各部门（单位）预算执行情况、决算草案和其他财政收支；乡（镇）政府预算执行情况、决算草案和其他财政收支，县级财政转移支付资金；使用县级财政资金的事业单位和社会团体的财务收支；县级政府投资和以县级政府投资为主的建设项目的预算执行情况和决算，县级重大公共工程项目的资金管理使用和建设运营情况，自然资源管理，污染防治和生态保护与修复情况；县属国有企业和地方金融机构、国有资本占控股或主导地位的企业和金融机构境内外资产、负债和损益，县政府及有关部门驻外非经营性机构的财务收支；有关社会保障基金、社会捐赠资金、安全生产和职业健康财政资金以及其他基金资金、资金的财务收支；国际组织和外国政府援助、贷款项目；法律法规规定的其他事项。</w:t>
      </w:r>
    </w:p>
    <w:p w14:paraId="636CBA7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（五）按规定对县管党政主要领导干部及其他单位主要负责人实施经济责任审计和自然资源资产离任审计。</w:t>
      </w:r>
    </w:p>
    <w:p w14:paraId="4FF73DEF">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（六）组织实施对国家财经法律法规、规章、政策和宏观调控措施执行情况、财政预算管理及国有资产管理使用等与县级财政收支有关的特定事项进行专项审计调查。</w:t>
      </w:r>
    </w:p>
    <w:p w14:paraId="666C696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（七）依法检查审计决定执行情况，督促整改审计查出的问题，依法办理被审计单位对审计决定提请行政复议、行政诉讼或县政府裁决中的有关事项，协助配合有关部门查处相关重大案件。</w:t>
      </w:r>
    </w:p>
    <w:p w14:paraId="1BC0B9E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（八）指导和监督内部审计工作，核查社会审计机构对依法属于审计监督对象的单位出具的相关审计报告。</w:t>
      </w:r>
    </w:p>
    <w:p w14:paraId="1C899DA4">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（九）组织开展审计</w:t>
      </w:r>
      <w:r>
        <w:rPr>
          <w:rFonts w:hint="eastAsia" w:ascii="仿宋_GB2312" w:hAnsi="仿宋" w:eastAsia="仿宋_GB2312"/>
          <w:sz w:val="32"/>
          <w:szCs w:val="32"/>
          <w:lang w:eastAsia="zh-CN"/>
        </w:rPr>
        <w:t>领域</w:t>
      </w:r>
      <w:r>
        <w:rPr>
          <w:rFonts w:hint="eastAsia" w:ascii="仿宋_GB2312" w:hAnsi="仿宋" w:eastAsia="仿宋_GB2312"/>
          <w:sz w:val="32"/>
          <w:szCs w:val="32"/>
        </w:rPr>
        <w:t>的交流与合作，指导和组织开展信息技术在审计领域的应用。</w:t>
      </w:r>
    </w:p>
    <w:p w14:paraId="6C473D3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（十）负责职责范围内的安全生产和职业健康、生态环境保护、审批服务便民化等工作。</w:t>
      </w:r>
    </w:p>
    <w:p w14:paraId="702382D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（十一）完成县委、县政府交办的其他任务。</w:t>
      </w:r>
    </w:p>
    <w:p w14:paraId="71639D92">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十二）职能转变。进一步完善审计管理体制，加强全县审计工作统筹，明晰职能定位，理顺内部职责关系，优化审计资源配置，充实加强一线审计力量，构建集中统一、全面覆盖、权威高效的审计监督体系。优化审计工作机制，坚持科技强审，完善业务流程，改进工作方式，加强与有关部门的沟通协调，充分调动内部审计和社会审计力量，增强监督合力。</w:t>
      </w:r>
    </w:p>
    <w:p w14:paraId="2EFE3926">
      <w:pPr>
        <w:snapToGrid w:val="0"/>
        <w:spacing w:line="520" w:lineRule="exact"/>
        <w:ind w:firstLine="630" w:firstLineChars="196"/>
        <w:rPr>
          <w:rFonts w:ascii="楷体_GB2312" w:hAnsi="仿宋" w:eastAsia="楷体_GB2312"/>
          <w:b/>
          <w:sz w:val="32"/>
          <w:szCs w:val="32"/>
        </w:rPr>
      </w:pPr>
      <w:r>
        <w:rPr>
          <w:rFonts w:hint="eastAsia" w:ascii="楷体_GB2312" w:hAnsi="仿宋" w:eastAsia="楷体_GB2312"/>
          <w:b/>
          <w:sz w:val="32"/>
          <w:szCs w:val="32"/>
        </w:rPr>
        <w:t>2.机构情况。</w:t>
      </w:r>
    </w:p>
    <w:p w14:paraId="0AEF4A4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我局行政机构1个，内设4个股室，下属参公事业单位投资审计服务中心1个。</w:t>
      </w:r>
    </w:p>
    <w:p w14:paraId="3C8659B3">
      <w:pPr>
        <w:snapToGrid w:val="0"/>
        <w:spacing w:line="520" w:lineRule="exact"/>
        <w:ind w:firstLine="472" w:firstLineChars="147"/>
        <w:rPr>
          <w:rFonts w:ascii="楷体_GB2312" w:hAnsi="仿宋" w:eastAsia="楷体_GB2312"/>
          <w:b/>
          <w:sz w:val="32"/>
          <w:szCs w:val="32"/>
        </w:rPr>
      </w:pPr>
      <w:r>
        <w:rPr>
          <w:rFonts w:hint="eastAsia" w:ascii="楷体_GB2312" w:hAnsi="仿宋" w:eastAsia="楷体_GB2312"/>
          <w:b/>
          <w:sz w:val="32"/>
          <w:szCs w:val="32"/>
        </w:rPr>
        <w:t xml:space="preserve"> 3.人员情况。</w:t>
      </w:r>
    </w:p>
    <w:p w14:paraId="6BD69400">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我局现有行政编制11人，工勤编制1人，参公编制8人；</w:t>
      </w:r>
      <w:r>
        <w:rPr>
          <w:rFonts w:hint="eastAsia" w:ascii="仿宋_GB2312" w:hAnsi="仿宋" w:eastAsia="仿宋_GB2312"/>
          <w:sz w:val="32"/>
          <w:szCs w:val="32"/>
          <w:lang w:eastAsia="zh-CN"/>
        </w:rPr>
        <w:t>2021</w:t>
      </w:r>
      <w:r>
        <w:rPr>
          <w:rFonts w:hint="eastAsia" w:ascii="仿宋_GB2312" w:hAnsi="仿宋" w:eastAsia="仿宋_GB2312"/>
          <w:sz w:val="32"/>
          <w:szCs w:val="32"/>
        </w:rPr>
        <w:t>年末实有行政编制人员9人，工勤人员1人，参公编制人员8人</w:t>
      </w:r>
      <w:r>
        <w:rPr>
          <w:rFonts w:hint="eastAsia" w:ascii="仿宋_GB2312" w:hAnsi="仿宋" w:eastAsia="仿宋_GB2312"/>
          <w:sz w:val="32"/>
          <w:szCs w:val="32"/>
          <w:lang w:eastAsia="zh-CN"/>
        </w:rPr>
        <w:t>，</w:t>
      </w:r>
      <w:r>
        <w:rPr>
          <w:rFonts w:hint="eastAsia" w:ascii="仿宋_GB2312" w:hAnsi="仿宋" w:eastAsia="仿宋_GB2312"/>
          <w:sz w:val="32"/>
          <w:szCs w:val="32"/>
        </w:rPr>
        <w:t>较去年增加新招录参公人员2人。</w:t>
      </w:r>
    </w:p>
    <w:p w14:paraId="25002F3F"/>
    <w:p w14:paraId="6D728ED6">
      <w:pPr>
        <w:pStyle w:val="4"/>
        <w:rPr>
          <w:rFonts w:ascii="黑体" w:hAnsi="黑体" w:eastAsia="黑体"/>
          <w:b w:val="0"/>
        </w:rPr>
      </w:pPr>
      <w:r>
        <w:rPr>
          <w:rFonts w:hint="eastAsia" w:ascii="黑体" w:hAnsi="黑体" w:eastAsia="黑体"/>
          <w:b w:val="0"/>
        </w:rPr>
        <w:t>二、2021年重点工作</w:t>
      </w:r>
      <w:bookmarkEnd w:id="16"/>
      <w:bookmarkEnd w:id="17"/>
      <w:r>
        <w:rPr>
          <w:rFonts w:hint="eastAsia" w:ascii="黑体" w:hAnsi="黑体" w:eastAsia="黑体"/>
          <w:b w:val="0"/>
        </w:rPr>
        <w:t>完成情况</w:t>
      </w:r>
    </w:p>
    <w:p w14:paraId="320A1105">
      <w:pPr>
        <w:adjustRightInd w:val="0"/>
        <w:ind w:firstLine="960" w:firstLineChars="300"/>
        <w:rPr>
          <w:rFonts w:ascii="仿宋_GB2312" w:hAnsi="仿宋" w:eastAsia="仿宋_GB2312"/>
          <w:sz w:val="32"/>
          <w:szCs w:val="32"/>
        </w:rPr>
      </w:pPr>
      <w:r>
        <w:rPr>
          <w:rFonts w:hint="eastAsia" w:ascii="仿宋_GB2312" w:hAnsi="仿宋" w:eastAsia="仿宋_GB2312"/>
          <w:sz w:val="32"/>
          <w:szCs w:val="32"/>
        </w:rPr>
        <w:t>2021年</w:t>
      </w:r>
      <w:r>
        <w:rPr>
          <w:rFonts w:hint="eastAsia" w:ascii="仿宋_GB2312" w:hAnsi="仿宋" w:eastAsia="仿宋_GB2312"/>
          <w:sz w:val="32"/>
          <w:szCs w:val="32"/>
          <w:lang w:eastAsia="zh-CN"/>
        </w:rPr>
        <w:t>，按照</w:t>
      </w:r>
      <w:r>
        <w:rPr>
          <w:rFonts w:hint="eastAsia" w:ascii="仿宋_GB2312" w:hAnsi="仿宋" w:eastAsia="仿宋_GB2312"/>
          <w:sz w:val="32"/>
          <w:szCs w:val="32"/>
        </w:rPr>
        <w:t>市审计局巡审结合安排，为助推政法系统教育整顿活动，认真开展了对盐边县人民法院</w:t>
      </w:r>
      <w:r>
        <w:rPr>
          <w:rFonts w:ascii="仿宋_GB2312" w:hAnsi="仿宋" w:eastAsia="仿宋_GB2312"/>
          <w:sz w:val="32"/>
          <w:szCs w:val="32"/>
        </w:rPr>
        <w:t>2020</w:t>
      </w:r>
      <w:r>
        <w:rPr>
          <w:rFonts w:hint="eastAsia" w:ascii="仿宋_GB2312" w:hAnsi="仿宋" w:eastAsia="仿宋_GB2312"/>
          <w:sz w:val="32"/>
          <w:szCs w:val="32"/>
        </w:rPr>
        <w:t>年度预算执行及其他财政收支情况审计和盐边县人民检察院</w:t>
      </w:r>
      <w:r>
        <w:rPr>
          <w:rFonts w:ascii="仿宋_GB2312" w:hAnsi="仿宋" w:eastAsia="仿宋_GB2312"/>
          <w:sz w:val="32"/>
          <w:szCs w:val="32"/>
        </w:rPr>
        <w:t>2020</w:t>
      </w:r>
      <w:r>
        <w:rPr>
          <w:rFonts w:hint="eastAsia" w:ascii="仿宋_GB2312" w:hAnsi="仿宋" w:eastAsia="仿宋_GB2312"/>
          <w:sz w:val="32"/>
          <w:szCs w:val="32"/>
        </w:rPr>
        <w:t>年度预算执行及其他财政收支情况审计；开展了盐边县</w:t>
      </w:r>
      <w:r>
        <w:rPr>
          <w:rFonts w:ascii="仿宋_GB2312" w:hAnsi="仿宋" w:eastAsia="仿宋_GB2312"/>
          <w:sz w:val="32"/>
          <w:szCs w:val="32"/>
        </w:rPr>
        <w:t>2020</w:t>
      </w:r>
      <w:r>
        <w:rPr>
          <w:rFonts w:hint="eastAsia" w:ascii="仿宋_GB2312" w:hAnsi="仿宋" w:eastAsia="仿宋_GB2312"/>
          <w:sz w:val="32"/>
          <w:szCs w:val="32"/>
        </w:rPr>
        <w:t>年度防范化解财政风险情况及部分专项资金审计和盐边县高标准农田建设管理和使用情况专项审计调查；紧紧围绕县政府重点投资建设项目，深入贯彻落实投资审计</w:t>
      </w:r>
      <w:r>
        <w:rPr>
          <w:rFonts w:ascii="仿宋_GB2312" w:hAnsi="仿宋" w:eastAsia="仿宋_GB2312"/>
          <w:sz w:val="32"/>
          <w:szCs w:val="32"/>
        </w:rPr>
        <w:t>“</w:t>
      </w:r>
      <w:r>
        <w:rPr>
          <w:rFonts w:hint="eastAsia" w:ascii="仿宋_GB2312" w:hAnsi="仿宋" w:eastAsia="仿宋_GB2312"/>
          <w:sz w:val="32"/>
          <w:szCs w:val="32"/>
        </w:rPr>
        <w:t>三个转变</w:t>
      </w:r>
      <w:r>
        <w:rPr>
          <w:rFonts w:ascii="仿宋_GB2312" w:hAnsi="仿宋" w:eastAsia="仿宋_GB2312"/>
          <w:sz w:val="32"/>
          <w:szCs w:val="32"/>
        </w:rPr>
        <w:t>”</w:t>
      </w:r>
      <w:r>
        <w:rPr>
          <w:rFonts w:hint="eastAsia" w:ascii="仿宋_GB2312" w:hAnsi="仿宋" w:eastAsia="仿宋_GB2312"/>
          <w:sz w:val="32"/>
          <w:szCs w:val="32"/>
        </w:rPr>
        <w:t>要求，重点对攀枝花合盛工程建设开发有限公司合盛康悦建设项目一标段竣工结算调查；认真核实清理县发展集团债务情况；组织开展了村级换届财务收支情况专项审计抽查，</w:t>
      </w:r>
      <w:r>
        <w:rPr>
          <w:rFonts w:hint="eastAsia" w:ascii="仿宋_GB2312" w:hAnsi="仿宋" w:eastAsia="仿宋_GB2312"/>
          <w:sz w:val="32"/>
          <w:szCs w:val="32"/>
          <w:lang w:eastAsia="zh-CN"/>
        </w:rPr>
        <w:t>制定</w:t>
      </w:r>
      <w:r>
        <w:rPr>
          <w:rFonts w:hint="eastAsia" w:ascii="仿宋_GB2312" w:hAnsi="仿宋" w:eastAsia="仿宋_GB2312"/>
          <w:sz w:val="32"/>
          <w:szCs w:val="32"/>
        </w:rPr>
        <w:t>了《盐边县村（社区）两委成员换届村级财务清理和审计工作方案》，审计发现有</w:t>
      </w:r>
      <w:r>
        <w:rPr>
          <w:rFonts w:ascii="仿宋_GB2312" w:hAnsi="仿宋" w:eastAsia="仿宋_GB2312"/>
          <w:sz w:val="32"/>
          <w:szCs w:val="32"/>
        </w:rPr>
        <w:t>10</w:t>
      </w:r>
      <w:r>
        <w:rPr>
          <w:rFonts w:hint="eastAsia" w:ascii="仿宋_GB2312" w:hAnsi="仿宋" w:eastAsia="仿宋_GB2312"/>
          <w:sz w:val="32"/>
          <w:szCs w:val="32"/>
        </w:rPr>
        <w:t>个方面的共性问题，提出审计建议</w:t>
      </w:r>
      <w:r>
        <w:rPr>
          <w:rFonts w:ascii="仿宋_GB2312" w:hAnsi="仿宋" w:eastAsia="仿宋_GB2312"/>
          <w:sz w:val="32"/>
          <w:szCs w:val="32"/>
        </w:rPr>
        <w:t>9</w:t>
      </w:r>
      <w:r>
        <w:rPr>
          <w:rFonts w:hint="eastAsia" w:ascii="仿宋_GB2312" w:hAnsi="仿宋" w:eastAsia="仿宋_GB2312"/>
          <w:sz w:val="32"/>
          <w:szCs w:val="32"/>
        </w:rPr>
        <w:t>条；积极配合县财政局、县纪委监委</w:t>
      </w:r>
      <w:r>
        <w:rPr>
          <w:rFonts w:hint="eastAsia" w:ascii="仿宋_GB2312" w:hAnsi="仿宋" w:eastAsia="仿宋_GB2312"/>
          <w:sz w:val="32"/>
          <w:szCs w:val="32"/>
          <w:lang w:eastAsia="zh-CN"/>
        </w:rPr>
        <w:t>，认真开展</w:t>
      </w:r>
      <w:r>
        <w:rPr>
          <w:rFonts w:hint="eastAsia" w:ascii="仿宋_GB2312" w:hAnsi="仿宋" w:eastAsia="仿宋_GB2312"/>
          <w:sz w:val="32"/>
          <w:szCs w:val="32"/>
        </w:rPr>
        <w:t>严肃财经纪律及财务管理风险排查工作。</w:t>
      </w:r>
    </w:p>
    <w:p w14:paraId="681608F7">
      <w:pPr>
        <w:adjustRightInd w:val="0"/>
        <w:ind w:firstLine="640" w:firstLineChars="200"/>
        <w:rPr>
          <w:rFonts w:ascii="仿宋_GB2312" w:hAnsi="仿宋" w:eastAsia="仿宋_GB2312"/>
          <w:sz w:val="32"/>
          <w:szCs w:val="32"/>
        </w:rPr>
      </w:pPr>
      <w:r>
        <w:rPr>
          <w:rFonts w:hint="eastAsia" w:ascii="仿宋_GB2312" w:hAnsi="仿宋" w:eastAsia="仿宋_GB2312"/>
          <w:sz w:val="32"/>
          <w:szCs w:val="32"/>
        </w:rPr>
        <w:t>根据县委、县政府工作要求和上级审计机关总体部署，</w:t>
      </w:r>
      <w:bookmarkStart w:id="71" w:name="_GoBack"/>
      <w:r>
        <w:rPr>
          <w:rFonts w:hint="eastAsia" w:ascii="仿宋_GB2312" w:hAnsi="仿宋" w:eastAsia="仿宋_GB2312"/>
          <w:sz w:val="32"/>
          <w:szCs w:val="32"/>
        </w:rPr>
        <w:t>圆满完成</w:t>
      </w:r>
      <w:bookmarkEnd w:id="71"/>
      <w:r>
        <w:rPr>
          <w:rFonts w:hint="eastAsia" w:ascii="仿宋_GB2312" w:hAnsi="仿宋" w:eastAsia="仿宋_GB2312"/>
          <w:sz w:val="32"/>
          <w:szCs w:val="32"/>
        </w:rPr>
        <w:t>了县委、县政府委托项目审计调查工作。审计查出主要问题金额49,229万元，其中：管理不规范金额49,121万元，违规金额108万元。审计处理处罚</w:t>
      </w:r>
      <w:r>
        <w:rPr>
          <w:rFonts w:hint="eastAsia" w:ascii="仿宋_GB2312" w:hAnsi="仿宋" w:eastAsia="仿宋_GB2312"/>
          <w:sz w:val="32"/>
          <w:szCs w:val="32"/>
          <w:lang w:eastAsia="zh-CN"/>
        </w:rPr>
        <w:t>金额30</w:t>
      </w:r>
      <w:r>
        <w:rPr>
          <w:rFonts w:hint="eastAsia" w:ascii="仿宋_GB2312" w:hAnsi="仿宋" w:eastAsia="仿宋_GB2312"/>
          <w:sz w:val="32"/>
          <w:szCs w:val="32"/>
        </w:rPr>
        <w:t>,454.9万元，其中，应上缴财政35万元，应减少财政拨款或补贴613.35万元，应归还原渠道资金689万元，应缴纳其他资金12,687.55万元，应调账处理金额16,430万元。核减投资额613.35万元。提出审计建议38条，被采纳审计建议38条。</w:t>
      </w:r>
    </w:p>
    <w:p w14:paraId="50F5B72B">
      <w:pPr>
        <w:pStyle w:val="3"/>
        <w:ind w:right="440"/>
        <w:jc w:val="center"/>
        <w:rPr>
          <w:rStyle w:val="25"/>
          <w:rFonts w:ascii="黑体" w:hAnsi="黑体" w:eastAsia="黑体"/>
          <w:b w:val="0"/>
          <w:bCs/>
        </w:rPr>
      </w:pPr>
      <w:bookmarkStart w:id="18" w:name="_Toc15396602"/>
      <w:bookmarkStart w:id="19" w:name="_Toc15377204"/>
      <w:r>
        <w:rPr>
          <w:rFonts w:hint="eastAsia" w:ascii="黑体" w:hAnsi="黑体" w:eastAsia="黑体"/>
          <w:b w:val="0"/>
        </w:rPr>
        <w:t>第二部分 2021年度</w:t>
      </w:r>
      <w:r>
        <w:rPr>
          <w:rStyle w:val="25"/>
          <w:rFonts w:hint="eastAsia" w:ascii="黑体" w:hAnsi="黑体" w:eastAsia="黑体"/>
          <w:b w:val="0"/>
          <w:bCs/>
        </w:rPr>
        <w:t>单位决算情况说明</w:t>
      </w:r>
      <w:bookmarkEnd w:id="18"/>
      <w:bookmarkEnd w:id="19"/>
    </w:p>
    <w:p w14:paraId="43F35930">
      <w:pPr>
        <w:pStyle w:val="24"/>
        <w:numPr>
          <w:ilvl w:val="0"/>
          <w:numId w:val="2"/>
        </w:numPr>
        <w:spacing w:line="600" w:lineRule="exact"/>
        <w:ind w:firstLineChars="0"/>
        <w:outlineLvl w:val="1"/>
        <w:rPr>
          <w:rStyle w:val="26"/>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20"/>
      <w:bookmarkEnd w:id="21"/>
    </w:p>
    <w:p w14:paraId="06A7120B">
      <w:pPr>
        <w:spacing w:line="560" w:lineRule="exact"/>
        <w:ind w:firstLine="640" w:firstLineChars="200"/>
        <w:rPr>
          <w:rFonts w:ascii="仿宋" w:hAnsi="仿宋" w:eastAsia="仿宋"/>
          <w:sz w:val="32"/>
          <w:szCs w:val="32"/>
        </w:rPr>
      </w:pPr>
      <w:r>
        <w:rPr>
          <w:rFonts w:hint="eastAsia" w:ascii="仿宋" w:hAnsi="仿宋" w:eastAsia="仿宋"/>
          <w:sz w:val="32"/>
          <w:szCs w:val="32"/>
        </w:rPr>
        <w:t>2021年度</w:t>
      </w:r>
      <w:r>
        <w:rPr>
          <w:rFonts w:hint="eastAsia" w:ascii="仿宋" w:hAnsi="仿宋" w:eastAsia="仿宋"/>
          <w:sz w:val="32"/>
          <w:szCs w:val="32"/>
          <w:lang w:eastAsia="zh-CN"/>
        </w:rPr>
        <w:t>收支</w:t>
      </w:r>
      <w:r>
        <w:rPr>
          <w:rFonts w:hint="eastAsia" w:ascii="仿宋" w:hAnsi="仿宋" w:eastAsia="仿宋"/>
          <w:sz w:val="32"/>
          <w:szCs w:val="32"/>
        </w:rPr>
        <w:t>总计432.86万元。与2020年</w:t>
      </w:r>
      <w:r>
        <w:rPr>
          <w:rFonts w:hint="eastAsia" w:ascii="仿宋" w:hAnsi="仿宋" w:eastAsia="仿宋"/>
          <w:sz w:val="32"/>
          <w:szCs w:val="32"/>
          <w:lang w:eastAsia="zh-CN"/>
        </w:rPr>
        <w:t>的384</w:t>
      </w:r>
      <w:r>
        <w:rPr>
          <w:rFonts w:hint="eastAsia" w:ascii="仿宋" w:hAnsi="仿宋" w:eastAsia="仿宋"/>
          <w:sz w:val="32"/>
          <w:szCs w:val="32"/>
        </w:rPr>
        <w:t>.43万元相比，</w:t>
      </w:r>
      <w:r>
        <w:rPr>
          <w:rFonts w:hint="eastAsia" w:ascii="仿宋" w:hAnsi="仿宋" w:eastAsia="仿宋"/>
          <w:sz w:val="32"/>
          <w:szCs w:val="32"/>
          <w:lang w:eastAsia="zh-CN"/>
        </w:rPr>
        <w:t>收支</w:t>
      </w:r>
      <w:r>
        <w:rPr>
          <w:rFonts w:hint="eastAsia" w:ascii="仿宋" w:hAnsi="仿宋" w:eastAsia="仿宋"/>
          <w:sz w:val="32"/>
          <w:szCs w:val="32"/>
        </w:rPr>
        <w:t>总计</w:t>
      </w:r>
      <w:r>
        <w:rPr>
          <w:rFonts w:hint="eastAsia" w:ascii="仿宋" w:hAnsi="仿宋" w:eastAsia="仿宋"/>
          <w:sz w:val="32"/>
          <w:szCs w:val="32"/>
          <w:lang w:eastAsia="zh-CN"/>
        </w:rPr>
        <w:t>各</w:t>
      </w:r>
      <w:r>
        <w:rPr>
          <w:rFonts w:hint="eastAsia" w:ascii="仿宋_GB2312" w:hAnsi="仿宋" w:eastAsia="仿宋_GB2312"/>
          <w:sz w:val="32"/>
          <w:szCs w:val="32"/>
        </w:rPr>
        <w:t>增加48.43万元，</w:t>
      </w:r>
      <w:r>
        <w:rPr>
          <w:rFonts w:hint="eastAsia" w:ascii="仿宋" w:hAnsi="仿宋" w:eastAsia="仿宋"/>
          <w:sz w:val="32"/>
          <w:szCs w:val="32"/>
        </w:rPr>
        <w:t>增长12.60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：本</w:t>
      </w:r>
      <w:r>
        <w:rPr>
          <w:rFonts w:hint="eastAsia" w:ascii="仿宋_GB2312" w:hAnsi="仿宋" w:eastAsia="仿宋_GB2312"/>
          <w:sz w:val="32"/>
          <w:szCs w:val="32"/>
        </w:rPr>
        <w:t>年项目支出较上年增加20.55万元（其中</w:t>
      </w:r>
      <w:r>
        <w:rPr>
          <w:rFonts w:hint="eastAsia" w:ascii="仿宋_GB2312" w:hAnsi="仿宋" w:eastAsia="仿宋_GB2312"/>
          <w:sz w:val="32"/>
          <w:szCs w:val="32"/>
          <w:lang w:eastAsia="zh-CN"/>
        </w:rPr>
        <w:t>，财政</w:t>
      </w:r>
      <w:r>
        <w:rPr>
          <w:rFonts w:hint="eastAsia" w:ascii="仿宋_GB2312" w:hAnsi="仿宋" w:eastAsia="仿宋_GB2312"/>
          <w:sz w:val="32"/>
          <w:szCs w:val="32"/>
        </w:rPr>
        <w:t>用“两项”清理工作中上缴的存量资金统筹用于化解财政暂付款</w:t>
      </w:r>
      <w:r>
        <w:rPr>
          <w:rFonts w:hint="eastAsia" w:ascii="仿宋_GB2312" w:hAnsi="仿宋" w:eastAsia="仿宋_GB2312"/>
          <w:sz w:val="32"/>
          <w:szCs w:val="32"/>
          <w:lang w:eastAsia="zh-CN"/>
        </w:rPr>
        <w:t>，安排</w:t>
      </w:r>
      <w:r>
        <w:rPr>
          <w:rFonts w:hint="eastAsia" w:ascii="仿宋_GB2312" w:hAnsi="仿宋" w:eastAsia="仿宋_GB2312"/>
          <w:sz w:val="32"/>
          <w:szCs w:val="32"/>
        </w:rPr>
        <w:t>化解我局以前年度财政暂付款7.40万元</w:t>
      </w:r>
      <w:r>
        <w:rPr>
          <w:rFonts w:hint="eastAsia" w:ascii="仿宋_GB2312" w:hAnsi="仿宋" w:eastAsia="仿宋_GB2312"/>
          <w:sz w:val="32"/>
          <w:szCs w:val="32"/>
          <w:lang w:eastAsia="zh-CN"/>
        </w:rPr>
        <w:t>；</w:t>
      </w:r>
      <w:r>
        <w:rPr>
          <w:rFonts w:hint="eastAsia" w:ascii="仿宋_GB2312" w:hAnsi="仿宋" w:eastAsia="仿宋_GB2312"/>
          <w:sz w:val="32"/>
          <w:szCs w:val="32"/>
        </w:rPr>
        <w:t>政府投资审计项目委托中介机构支付费用16.66万元），基本支出中公用经费减少25.74万元</w:t>
      </w:r>
      <w:r>
        <w:rPr>
          <w:rFonts w:hint="eastAsia" w:ascii="仿宋_GB2312" w:hAnsi="仿宋" w:eastAsia="仿宋_GB2312"/>
          <w:sz w:val="32"/>
          <w:szCs w:val="32"/>
          <w:lang w:eastAsia="zh-CN"/>
        </w:rPr>
        <w:t>（</w:t>
      </w:r>
      <w:r>
        <w:rPr>
          <w:rFonts w:hint="eastAsia" w:ascii="仿宋_GB2312" w:hAnsi="仿宋" w:eastAsia="仿宋_GB2312"/>
          <w:sz w:val="32"/>
          <w:szCs w:val="32"/>
        </w:rPr>
        <w:t>原因是上年度一项经费财政</w:t>
      </w:r>
      <w:r>
        <w:rPr>
          <w:rFonts w:hint="eastAsia" w:ascii="仿宋_GB2312" w:hAnsi="仿宋" w:eastAsia="仿宋_GB2312"/>
          <w:sz w:val="32"/>
          <w:szCs w:val="32"/>
          <w:lang w:eastAsia="zh-CN"/>
        </w:rPr>
        <w:t>已列入</w:t>
      </w:r>
      <w:r>
        <w:rPr>
          <w:rFonts w:hint="eastAsia" w:ascii="仿宋_GB2312" w:hAnsi="仿宋" w:eastAsia="仿宋_GB2312"/>
          <w:sz w:val="32"/>
          <w:szCs w:val="32"/>
        </w:rPr>
        <w:t>基本支出预算下达，今年以项目预算下达，金额26.05万元</w:t>
      </w:r>
      <w:r>
        <w:rPr>
          <w:rFonts w:hint="eastAsia" w:ascii="仿宋_GB2312" w:hAnsi="仿宋" w:eastAsia="仿宋_GB2312"/>
          <w:sz w:val="32"/>
          <w:szCs w:val="32"/>
          <w:lang w:eastAsia="zh-CN"/>
        </w:rPr>
        <w:t>），</w:t>
      </w:r>
      <w:r>
        <w:rPr>
          <w:rFonts w:hint="eastAsia" w:ascii="仿宋_GB2312" w:hAnsi="仿宋" w:eastAsia="仿宋_GB2312"/>
          <w:sz w:val="32"/>
          <w:szCs w:val="32"/>
        </w:rPr>
        <w:t>工资福利支出较上年增加38.17万元</w:t>
      </w:r>
      <w:r>
        <w:rPr>
          <w:rFonts w:hint="eastAsia" w:ascii="仿宋" w:hAnsi="仿宋" w:eastAsia="仿宋"/>
          <w:sz w:val="32"/>
          <w:szCs w:val="32"/>
        </w:rPr>
        <w:t>﹝</w:t>
      </w:r>
      <w:r>
        <w:rPr>
          <w:rFonts w:hint="eastAsia" w:ascii="仿宋_GB2312" w:hAnsi="仿宋" w:eastAsia="仿宋_GB2312"/>
          <w:sz w:val="32"/>
          <w:szCs w:val="32"/>
        </w:rPr>
        <w:t>其中</w:t>
      </w:r>
      <w:r>
        <w:rPr>
          <w:rFonts w:hint="eastAsia" w:ascii="仿宋_GB2312" w:hAnsi="仿宋" w:eastAsia="仿宋_GB2312"/>
          <w:sz w:val="32"/>
          <w:szCs w:val="32"/>
          <w:lang w:eastAsia="zh-CN"/>
        </w:rPr>
        <w:t>，基本工资</w:t>
      </w:r>
      <w:r>
        <w:rPr>
          <w:rFonts w:hint="eastAsia" w:ascii="仿宋_GB2312" w:hAnsi="仿宋" w:eastAsia="仿宋_GB2312"/>
          <w:sz w:val="32"/>
          <w:szCs w:val="32"/>
        </w:rPr>
        <w:t>、津贴补贴和奖金较上年度增加20.11万元，社保支出增加15.76万元（其中</w:t>
      </w:r>
      <w:r>
        <w:rPr>
          <w:rFonts w:hint="eastAsia" w:ascii="仿宋_GB2312" w:hAnsi="仿宋" w:eastAsia="仿宋_GB2312"/>
          <w:sz w:val="32"/>
          <w:szCs w:val="32"/>
          <w:lang w:eastAsia="zh-CN"/>
        </w:rPr>
        <w:t>，退休</w:t>
      </w:r>
      <w:r>
        <w:rPr>
          <w:rFonts w:hint="eastAsia" w:ascii="仿宋_GB2312" w:hAnsi="仿宋" w:eastAsia="仿宋_GB2312"/>
          <w:sz w:val="32"/>
          <w:szCs w:val="32"/>
        </w:rPr>
        <w:t>人员职业年金记实增加6.54万元），住房公积金增加1.85万元</w:t>
      </w:r>
      <w:r>
        <w:rPr>
          <w:rFonts w:hint="eastAsia" w:ascii="仿宋" w:hAnsi="仿宋" w:eastAsia="仿宋"/>
          <w:sz w:val="32"/>
          <w:szCs w:val="32"/>
        </w:rPr>
        <w:t>﹞</w:t>
      </w:r>
    </w:p>
    <w:p w14:paraId="197E75CC">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4481830" cy="3771900"/>
            <wp:effectExtent l="5080" t="4445" r="8890"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297C9E9">
      <w:pPr>
        <w:spacing w:line="600" w:lineRule="exact"/>
        <w:ind w:firstLine="640" w:firstLineChars="200"/>
        <w:rPr>
          <w:rFonts w:ascii="仿宋" w:hAnsi="仿宋" w:eastAsia="仿宋"/>
          <w:sz w:val="32"/>
          <w:szCs w:val="32"/>
        </w:rPr>
      </w:pPr>
    </w:p>
    <w:p w14:paraId="22E9551C">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0829F8DB">
      <w:pPr>
        <w:pStyle w:val="24"/>
        <w:numPr>
          <w:ilvl w:val="0"/>
          <w:numId w:val="2"/>
        </w:numPr>
        <w:spacing w:line="600" w:lineRule="exact"/>
        <w:ind w:firstLineChars="0"/>
        <w:outlineLvl w:val="1"/>
        <w:rPr>
          <w:rStyle w:val="26"/>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26"/>
          <w:rFonts w:hint="eastAsia" w:ascii="黑体" w:hAnsi="黑体" w:eastAsia="黑体"/>
          <w:b w:val="0"/>
        </w:rPr>
        <w:t>入决算情况说明</w:t>
      </w:r>
      <w:bookmarkEnd w:id="22"/>
      <w:bookmarkEnd w:id="23"/>
    </w:p>
    <w:p w14:paraId="3F4FA7B4">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w:t>
      </w:r>
      <w:r>
        <w:rPr>
          <w:rFonts w:hint="eastAsia" w:ascii="仿宋" w:hAnsi="仿宋" w:eastAsia="仿宋"/>
          <w:sz w:val="32"/>
          <w:szCs w:val="32"/>
          <w:lang w:eastAsia="zh-CN"/>
        </w:rPr>
        <w:t>，本</w:t>
      </w:r>
      <w:r>
        <w:rPr>
          <w:rFonts w:hint="eastAsia" w:ascii="仿宋" w:hAnsi="仿宋" w:eastAsia="仿宋"/>
          <w:sz w:val="32"/>
          <w:szCs w:val="32"/>
        </w:rPr>
        <w:t>年收入合计432.86万元，其中：一般公共预算财政拨款收入425.46万元，占98.29</w:t>
      </w:r>
      <w:r>
        <w:rPr>
          <w:rFonts w:ascii="仿宋" w:hAnsi="仿宋" w:eastAsia="仿宋"/>
          <w:sz w:val="32"/>
          <w:szCs w:val="32"/>
        </w:rPr>
        <w:t>%</w:t>
      </w:r>
      <w:r>
        <w:rPr>
          <w:rFonts w:hint="eastAsia" w:ascii="仿宋" w:hAnsi="仿宋" w:eastAsia="仿宋"/>
          <w:sz w:val="32"/>
          <w:szCs w:val="32"/>
        </w:rPr>
        <w:t>；上年财政结转结余7.40万元，占1.71%；政府性基金预算财政拨款收入0万元，占0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14:paraId="0BF94DA1">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788872EC">
      <w:pPr>
        <w:pStyle w:val="2"/>
        <w:spacing w:before="93"/>
        <w:jc w:val="left"/>
        <w:rPr>
          <w:rFonts w:ascii="仿宋" w:hAnsi="仿宋" w:eastAsia="仿宋"/>
          <w:sz w:val="32"/>
          <w:szCs w:val="32"/>
        </w:rPr>
      </w:pPr>
      <w:r>
        <w:rPr>
          <w:rFonts w:hint="eastAsia" w:ascii="仿宋" w:hAnsi="仿宋" w:eastAsia="仿宋"/>
          <w:sz w:val="32"/>
          <w:szCs w:val="32"/>
        </w:rPr>
        <w:t>　　　　　　　收入决算结构图</w:t>
      </w:r>
    </w:p>
    <w:p w14:paraId="56536664">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4813300" cy="3895725"/>
            <wp:effectExtent l="4445" t="5080" r="20955" b="44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A520A1B">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w:t>
      </w:r>
      <w:r>
        <w:rPr>
          <w:rFonts w:hint="eastAsia" w:ascii="仿宋" w:hAnsi="仿宋" w:eastAsia="仿宋"/>
          <w:sz w:val="32"/>
          <w:szCs w:val="32"/>
          <w:lang w:eastAsia="zh-CN"/>
        </w:rPr>
        <w:t>，</w:t>
      </w:r>
      <w:r>
        <w:rPr>
          <w:rFonts w:hint="eastAsia" w:ascii="仿宋" w:hAnsi="仿宋" w:eastAsia="仿宋"/>
          <w:sz w:val="32"/>
          <w:szCs w:val="32"/>
        </w:rPr>
        <w:t>饼状图）</w:t>
      </w:r>
    </w:p>
    <w:p w14:paraId="35091EAB">
      <w:pPr>
        <w:spacing w:line="600" w:lineRule="exact"/>
        <w:ind w:firstLine="640" w:firstLineChars="200"/>
        <w:rPr>
          <w:rFonts w:ascii="仿宋_GB2312" w:eastAsia="仿宋_GB2312"/>
          <w:sz w:val="32"/>
          <w:szCs w:val="32"/>
        </w:rPr>
      </w:pPr>
    </w:p>
    <w:p w14:paraId="6590D66E">
      <w:pPr>
        <w:pStyle w:val="24"/>
        <w:numPr>
          <w:ilvl w:val="0"/>
          <w:numId w:val="2"/>
        </w:numPr>
        <w:spacing w:line="600" w:lineRule="exact"/>
        <w:ind w:firstLineChars="0"/>
        <w:outlineLvl w:val="1"/>
        <w:rPr>
          <w:rStyle w:val="26"/>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26"/>
          <w:rFonts w:hint="eastAsia" w:ascii="黑体" w:hAnsi="黑体" w:eastAsia="黑体"/>
          <w:b w:val="0"/>
        </w:rPr>
        <w:t>出决算情况说明</w:t>
      </w:r>
      <w:bookmarkEnd w:id="24"/>
      <w:bookmarkEnd w:id="25"/>
    </w:p>
    <w:p w14:paraId="60843529">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w:t>
      </w:r>
      <w:r>
        <w:rPr>
          <w:rFonts w:hint="eastAsia" w:ascii="仿宋" w:hAnsi="仿宋" w:eastAsia="仿宋"/>
          <w:sz w:val="32"/>
          <w:szCs w:val="32"/>
          <w:lang w:eastAsia="zh-CN"/>
        </w:rPr>
        <w:t>，本</w:t>
      </w:r>
      <w:r>
        <w:rPr>
          <w:rFonts w:hint="eastAsia" w:ascii="仿宋" w:hAnsi="仿宋" w:eastAsia="仿宋"/>
          <w:sz w:val="32"/>
          <w:szCs w:val="32"/>
        </w:rPr>
        <w:t>年支出合计432.86万元，其中：基本支出376.24万元，占86.92</w:t>
      </w:r>
      <w:r>
        <w:rPr>
          <w:rFonts w:ascii="仿宋" w:hAnsi="仿宋" w:eastAsia="仿宋"/>
          <w:sz w:val="32"/>
          <w:szCs w:val="32"/>
        </w:rPr>
        <w:t>%</w:t>
      </w:r>
      <w:r>
        <w:rPr>
          <w:rFonts w:hint="eastAsia" w:ascii="仿宋" w:hAnsi="仿宋" w:eastAsia="仿宋"/>
          <w:sz w:val="32"/>
          <w:szCs w:val="32"/>
        </w:rPr>
        <w:t>；项目支出56.62万元，占13.08</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14:paraId="226970D5">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7D7E15C3">
      <w:pPr>
        <w:spacing w:line="600" w:lineRule="exact"/>
        <w:ind w:firstLine="640"/>
        <w:rPr>
          <w:rFonts w:ascii="仿宋" w:hAnsi="仿宋" w:eastAsia="仿宋"/>
          <w:sz w:val="32"/>
          <w:szCs w:val="32"/>
          <w:shd w:val="pct10" w:color="auto" w:fill="FFFFFF"/>
        </w:rPr>
      </w:pPr>
    </w:p>
    <w:p w14:paraId="43F98BA5">
      <w:pPr>
        <w:spacing w:line="600" w:lineRule="exact"/>
        <w:ind w:firstLine="640" w:firstLineChars="200"/>
        <w:rPr>
          <w:rFonts w:ascii="仿宋" w:hAnsi="仿宋" w:eastAsia="仿宋"/>
          <w:sz w:val="32"/>
          <w:szCs w:val="32"/>
        </w:rPr>
      </w:pPr>
    </w:p>
    <w:p w14:paraId="5D49141C">
      <w:pPr>
        <w:pStyle w:val="2"/>
        <w:spacing w:before="93"/>
        <w:rPr>
          <w:rFonts w:ascii="仿宋" w:hAnsi="仿宋" w:eastAsia="仿宋"/>
          <w:sz w:val="32"/>
          <w:szCs w:val="32"/>
        </w:rPr>
      </w:pPr>
      <w:r>
        <w:rPr>
          <w:rFonts w:hint="eastAsia"/>
        </w:rPr>
        <w:drawing>
          <wp:anchor distT="0" distB="0" distL="114300" distR="114300" simplePos="0" relativeHeight="251659264" behindDoc="0" locked="0" layoutInCell="1" allowOverlap="1">
            <wp:simplePos x="0" y="0"/>
            <wp:positionH relativeFrom="column">
              <wp:posOffset>4445</wp:posOffset>
            </wp:positionH>
            <wp:positionV relativeFrom="paragraph">
              <wp:posOffset>71120</wp:posOffset>
            </wp:positionV>
            <wp:extent cx="5080000" cy="3810000"/>
            <wp:effectExtent l="4445" t="4445" r="20955" b="1460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A31392F">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w:t>
      </w:r>
      <w:r>
        <w:rPr>
          <w:rFonts w:hint="eastAsia" w:ascii="仿宋" w:hAnsi="仿宋" w:eastAsia="仿宋"/>
          <w:sz w:val="32"/>
          <w:szCs w:val="32"/>
          <w:lang w:eastAsia="zh-CN"/>
        </w:rPr>
        <w:t>，</w:t>
      </w:r>
      <w:r>
        <w:rPr>
          <w:rFonts w:hint="eastAsia" w:ascii="仿宋" w:hAnsi="仿宋" w:eastAsia="仿宋"/>
          <w:sz w:val="32"/>
          <w:szCs w:val="32"/>
        </w:rPr>
        <w:t>饼状图）</w:t>
      </w:r>
    </w:p>
    <w:p w14:paraId="28CDF7CA">
      <w:pPr>
        <w:spacing w:line="600" w:lineRule="exact"/>
        <w:ind w:firstLine="640" w:firstLineChars="200"/>
        <w:rPr>
          <w:rFonts w:ascii="仿宋_GB2312" w:eastAsia="仿宋_GB2312"/>
          <w:sz w:val="32"/>
          <w:szCs w:val="32"/>
        </w:rPr>
      </w:pPr>
    </w:p>
    <w:p w14:paraId="6AF0DC5C">
      <w:pPr>
        <w:spacing w:line="600" w:lineRule="exact"/>
        <w:ind w:firstLine="640" w:firstLineChars="200"/>
        <w:outlineLvl w:val="1"/>
        <w:rPr>
          <w:rStyle w:val="26"/>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6"/>
      <w:bookmarkEnd w:id="27"/>
    </w:p>
    <w:p w14:paraId="26766895">
      <w:pPr>
        <w:spacing w:line="560" w:lineRule="exact"/>
        <w:ind w:firstLine="960" w:firstLineChars="3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w:t>
      </w:r>
      <w:r>
        <w:rPr>
          <w:rFonts w:hint="eastAsia" w:ascii="仿宋" w:hAnsi="仿宋" w:eastAsia="仿宋"/>
          <w:sz w:val="32"/>
          <w:szCs w:val="32"/>
          <w:lang w:eastAsia="zh-CN"/>
        </w:rPr>
        <w:t>，财政拨款</w:t>
      </w:r>
      <w:r>
        <w:rPr>
          <w:rFonts w:hint="eastAsia" w:ascii="仿宋" w:hAnsi="仿宋" w:eastAsia="仿宋"/>
          <w:sz w:val="32"/>
          <w:szCs w:val="32"/>
        </w:rPr>
        <w:t>收入总计432.86万元，支出总计432.86万元。与</w:t>
      </w:r>
      <w:r>
        <w:rPr>
          <w:rFonts w:ascii="仿宋" w:hAnsi="仿宋" w:eastAsia="仿宋"/>
          <w:sz w:val="32"/>
          <w:szCs w:val="32"/>
        </w:rPr>
        <w:t>20</w:t>
      </w:r>
      <w:r>
        <w:rPr>
          <w:rFonts w:hint="eastAsia" w:ascii="仿宋" w:hAnsi="仿宋" w:eastAsia="仿宋"/>
          <w:sz w:val="32"/>
          <w:szCs w:val="32"/>
        </w:rPr>
        <w:t>20年</w:t>
      </w:r>
      <w:r>
        <w:rPr>
          <w:rFonts w:hint="eastAsia" w:ascii="仿宋" w:hAnsi="仿宋" w:eastAsia="仿宋"/>
          <w:sz w:val="32"/>
          <w:szCs w:val="32"/>
          <w:lang w:eastAsia="zh-CN"/>
        </w:rPr>
        <w:t>的384</w:t>
      </w:r>
      <w:r>
        <w:rPr>
          <w:rFonts w:hint="eastAsia" w:ascii="仿宋" w:hAnsi="仿宋" w:eastAsia="仿宋"/>
          <w:sz w:val="32"/>
          <w:szCs w:val="32"/>
        </w:rPr>
        <w:t>.43万元相比，财政拨款收、支总计各增加</w:t>
      </w:r>
      <w:r>
        <w:rPr>
          <w:rFonts w:ascii="仿宋" w:hAnsi="仿宋" w:eastAsia="仿宋"/>
          <w:sz w:val="32"/>
          <w:szCs w:val="32"/>
        </w:rPr>
        <w:t>48.43</w:t>
      </w:r>
      <w:r>
        <w:rPr>
          <w:rFonts w:hint="eastAsia" w:ascii="仿宋" w:hAnsi="仿宋" w:eastAsia="仿宋"/>
          <w:sz w:val="32"/>
          <w:szCs w:val="32"/>
        </w:rPr>
        <w:t>万元，增长</w:t>
      </w:r>
      <w:r>
        <w:rPr>
          <w:rFonts w:ascii="仿宋" w:hAnsi="仿宋" w:eastAsia="仿宋"/>
          <w:sz w:val="32"/>
          <w:szCs w:val="32"/>
        </w:rPr>
        <w:t>12.60%</w:t>
      </w:r>
      <w:r>
        <w:rPr>
          <w:rFonts w:hint="eastAsia" w:ascii="仿宋" w:hAnsi="仿宋" w:eastAsia="仿宋"/>
          <w:sz w:val="32"/>
          <w:szCs w:val="32"/>
        </w:rPr>
        <w:t>。主要变动</w:t>
      </w:r>
      <w:r>
        <w:rPr>
          <w:rFonts w:hint="eastAsia" w:ascii="仿宋" w:hAnsi="仿宋" w:eastAsia="仿宋"/>
          <w:sz w:val="32"/>
          <w:szCs w:val="32"/>
          <w:lang w:eastAsia="zh-CN"/>
        </w:rPr>
        <w:t>原因</w:t>
      </w:r>
      <w:r>
        <w:rPr>
          <w:rFonts w:hint="eastAsia" w:ascii="仿宋_GB2312" w:hAnsi="仿宋" w:eastAsia="仿宋_GB2312"/>
          <w:sz w:val="32"/>
          <w:szCs w:val="32"/>
        </w:rPr>
        <w:t>是本年项目支出较上年增加20.55万元（其中</w:t>
      </w:r>
      <w:r>
        <w:rPr>
          <w:rFonts w:hint="eastAsia" w:ascii="仿宋_GB2312" w:hAnsi="仿宋" w:eastAsia="仿宋_GB2312"/>
          <w:sz w:val="32"/>
          <w:szCs w:val="32"/>
          <w:lang w:eastAsia="zh-CN"/>
        </w:rPr>
        <w:t>，财政</w:t>
      </w:r>
      <w:r>
        <w:rPr>
          <w:rFonts w:hint="eastAsia" w:ascii="仿宋_GB2312" w:hAnsi="仿宋" w:eastAsia="仿宋_GB2312"/>
          <w:sz w:val="32"/>
          <w:szCs w:val="32"/>
        </w:rPr>
        <w:t>用“两项”清理工作中上缴的存量资金统筹用于化解财政暂付款</w:t>
      </w:r>
      <w:r>
        <w:rPr>
          <w:rFonts w:hint="eastAsia" w:ascii="仿宋_GB2312" w:hAnsi="仿宋" w:eastAsia="仿宋_GB2312"/>
          <w:sz w:val="32"/>
          <w:szCs w:val="32"/>
          <w:lang w:eastAsia="zh-CN"/>
        </w:rPr>
        <w:t>，安排</w:t>
      </w:r>
      <w:r>
        <w:rPr>
          <w:rFonts w:hint="eastAsia" w:ascii="仿宋_GB2312" w:hAnsi="仿宋" w:eastAsia="仿宋_GB2312"/>
          <w:sz w:val="32"/>
          <w:szCs w:val="32"/>
        </w:rPr>
        <w:t>化解我局以前年度财政暂付款7.40万元</w:t>
      </w:r>
      <w:r>
        <w:rPr>
          <w:rFonts w:hint="eastAsia" w:ascii="仿宋_GB2312" w:hAnsi="仿宋" w:eastAsia="仿宋_GB2312"/>
          <w:sz w:val="32"/>
          <w:szCs w:val="32"/>
          <w:lang w:eastAsia="zh-CN"/>
        </w:rPr>
        <w:t>；</w:t>
      </w:r>
      <w:r>
        <w:rPr>
          <w:rFonts w:hint="eastAsia" w:ascii="仿宋_GB2312" w:hAnsi="仿宋" w:eastAsia="仿宋_GB2312"/>
          <w:sz w:val="32"/>
          <w:szCs w:val="32"/>
        </w:rPr>
        <w:t>政府投资审计项目委托中介机构支付费用16.66万元），基本支出中公用经费减少25.74万元</w:t>
      </w:r>
      <w:r>
        <w:rPr>
          <w:rFonts w:hint="eastAsia" w:ascii="仿宋_GB2312" w:hAnsi="仿宋" w:eastAsia="仿宋_GB2312"/>
          <w:sz w:val="32"/>
          <w:szCs w:val="32"/>
          <w:lang w:eastAsia="zh-CN"/>
        </w:rPr>
        <w:t>（</w:t>
      </w:r>
      <w:r>
        <w:rPr>
          <w:rFonts w:hint="eastAsia" w:ascii="仿宋_GB2312" w:hAnsi="仿宋" w:eastAsia="仿宋_GB2312"/>
          <w:sz w:val="32"/>
          <w:szCs w:val="32"/>
        </w:rPr>
        <w:t>原因是上年度一项经费财政</w:t>
      </w:r>
      <w:r>
        <w:rPr>
          <w:rFonts w:hint="eastAsia" w:ascii="仿宋_GB2312" w:hAnsi="仿宋" w:eastAsia="仿宋_GB2312"/>
          <w:sz w:val="32"/>
          <w:szCs w:val="32"/>
          <w:lang w:val="en-US" w:eastAsia="zh-CN"/>
        </w:rPr>
        <w:t>已纳</w:t>
      </w:r>
      <w:r>
        <w:rPr>
          <w:rFonts w:hint="eastAsia" w:ascii="仿宋_GB2312" w:hAnsi="仿宋" w:eastAsia="仿宋_GB2312"/>
          <w:sz w:val="32"/>
          <w:szCs w:val="32"/>
        </w:rPr>
        <w:t>入基本支出预算下达，今年以项目预算下达，金额26.05万元</w:t>
      </w:r>
      <w:r>
        <w:rPr>
          <w:rFonts w:hint="eastAsia" w:ascii="仿宋_GB2312" w:hAnsi="仿宋" w:eastAsia="仿宋_GB2312"/>
          <w:sz w:val="32"/>
          <w:szCs w:val="32"/>
          <w:lang w:eastAsia="zh-CN"/>
        </w:rPr>
        <w:t>）。），</w:t>
      </w:r>
      <w:r>
        <w:rPr>
          <w:rFonts w:hint="eastAsia" w:ascii="仿宋_GB2312" w:hAnsi="仿宋" w:eastAsia="仿宋_GB2312"/>
          <w:sz w:val="32"/>
          <w:szCs w:val="32"/>
        </w:rPr>
        <w:t>工资福利支出较上年增加38.17万元</w:t>
      </w:r>
      <w:r>
        <w:rPr>
          <w:rFonts w:hint="eastAsia" w:ascii="仿宋" w:hAnsi="仿宋" w:eastAsia="仿宋"/>
          <w:sz w:val="32"/>
          <w:szCs w:val="32"/>
        </w:rPr>
        <w:t>﹝</w:t>
      </w:r>
      <w:r>
        <w:rPr>
          <w:rFonts w:hint="eastAsia" w:ascii="仿宋_GB2312" w:hAnsi="仿宋" w:eastAsia="仿宋_GB2312"/>
          <w:sz w:val="32"/>
          <w:szCs w:val="32"/>
        </w:rPr>
        <w:t>其中基本工资、津贴补贴和奖金较上年度增加20.11万元，社保支出增加15.76万元（其中退休人员职业年金记实增加6.54万元），住房公积金增加1.85万元</w:t>
      </w:r>
      <w:r>
        <w:rPr>
          <w:rFonts w:hint="eastAsia" w:ascii="仿宋" w:hAnsi="仿宋" w:eastAsia="仿宋"/>
          <w:sz w:val="32"/>
          <w:szCs w:val="32"/>
        </w:rPr>
        <w:t>﹞</w:t>
      </w:r>
    </w:p>
    <w:p w14:paraId="358016D2">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10F80733">
      <w:pPr>
        <w:pStyle w:val="2"/>
        <w:spacing w:before="93"/>
        <w:jc w:val="right"/>
        <w:rPr>
          <w:rFonts w:ascii="仿宋" w:hAnsi="仿宋" w:eastAsia="仿宋"/>
          <w:sz w:val="32"/>
          <w:szCs w:val="32"/>
        </w:rPr>
      </w:pPr>
      <w:r>
        <w:rPr>
          <w:rFonts w:hint="eastAsia" w:ascii="仿宋" w:hAnsi="仿宋" w:eastAsia="仿宋"/>
          <w:sz w:val="32"/>
          <w:szCs w:val="32"/>
        </w:rPr>
        <w:t>单位：万元</w:t>
      </w:r>
    </w:p>
    <w:p w14:paraId="241066EB">
      <w:pPr>
        <w:pStyle w:val="2"/>
        <w:spacing w:before="93"/>
        <w:rPr>
          <w:rFonts w:ascii="仿宋" w:hAnsi="仿宋" w:eastAsia="仿宋"/>
          <w:sz w:val="32"/>
          <w:szCs w:val="32"/>
        </w:rPr>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4445</wp:posOffset>
            </wp:positionH>
            <wp:positionV relativeFrom="page">
              <wp:posOffset>3264535</wp:posOffset>
            </wp:positionV>
            <wp:extent cx="5974715" cy="4295775"/>
            <wp:effectExtent l="4445" t="4445" r="21590" b="5080"/>
            <wp:wrapNone/>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C6B9FE6">
      <w:pPr>
        <w:pStyle w:val="2"/>
        <w:spacing w:before="93"/>
        <w:rPr>
          <w:rFonts w:ascii="仿宋" w:hAnsi="仿宋" w:eastAsia="仿宋"/>
          <w:sz w:val="32"/>
          <w:szCs w:val="32"/>
        </w:rPr>
      </w:pPr>
    </w:p>
    <w:p w14:paraId="5E0DFF02">
      <w:pPr>
        <w:pStyle w:val="2"/>
        <w:spacing w:before="93"/>
        <w:rPr>
          <w:rFonts w:ascii="仿宋" w:hAnsi="仿宋" w:eastAsia="仿宋"/>
          <w:sz w:val="32"/>
          <w:szCs w:val="32"/>
        </w:rPr>
      </w:pPr>
    </w:p>
    <w:p w14:paraId="0A18736D">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736602A0">
      <w:pPr>
        <w:spacing w:line="600" w:lineRule="exact"/>
        <w:ind w:firstLine="640"/>
        <w:rPr>
          <w:rFonts w:ascii="仿宋" w:hAnsi="仿宋" w:eastAsia="仿宋"/>
          <w:b/>
          <w:sz w:val="32"/>
          <w:szCs w:val="32"/>
        </w:rPr>
      </w:pPr>
    </w:p>
    <w:p w14:paraId="2177BCB1">
      <w:pPr>
        <w:spacing w:line="600" w:lineRule="exact"/>
        <w:ind w:firstLine="640" w:firstLineChars="200"/>
        <w:outlineLvl w:val="1"/>
        <w:rPr>
          <w:rStyle w:val="26"/>
          <w:rFonts w:ascii="黑体" w:hAnsi="黑体" w:eastAsia="黑体"/>
          <w:b w:val="0"/>
        </w:rPr>
      </w:pPr>
      <w:bookmarkStart w:id="28" w:name="_Toc15396607"/>
      <w:bookmarkStart w:id="29"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8"/>
      <w:bookmarkEnd w:id="29"/>
    </w:p>
    <w:p w14:paraId="33C8B25C">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14:paraId="55AADCFE">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w:t>
      </w:r>
      <w:r>
        <w:rPr>
          <w:rFonts w:hint="eastAsia" w:ascii="仿宋" w:hAnsi="仿宋" w:eastAsia="仿宋"/>
          <w:sz w:val="32"/>
          <w:szCs w:val="32"/>
        </w:rPr>
        <w:t>万元，占本年支出合计的</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w:t>
      </w:r>
      <w:r>
        <w:rPr>
          <w:rFonts w:ascii="仿宋" w:hAnsi="仿宋" w:eastAsia="仿宋"/>
          <w:sz w:val="32"/>
          <w:szCs w:val="32"/>
        </w:rPr>
        <w:t>/</w:t>
      </w:r>
      <w:r>
        <w:rPr>
          <w:rFonts w:hint="eastAsia" w:ascii="仿宋" w:hAnsi="仿宋" w:eastAsia="仿宋"/>
          <w:sz w:val="32"/>
          <w:szCs w:val="32"/>
        </w:rPr>
        <w:t>减少</w:t>
      </w:r>
      <w:r>
        <w:rPr>
          <w:rFonts w:ascii="仿宋" w:hAnsi="仿宋" w:eastAsia="仿宋"/>
          <w:sz w:val="32"/>
          <w:szCs w:val="32"/>
        </w:rPr>
        <w:t>**</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ascii="仿宋" w:hAnsi="仿宋" w:eastAsia="仿宋"/>
          <w:sz w:val="32"/>
          <w:szCs w:val="32"/>
        </w:rPr>
        <w:t>**%</w:t>
      </w:r>
      <w:r>
        <w:rPr>
          <w:rFonts w:hint="eastAsia" w:ascii="仿宋" w:hAnsi="仿宋" w:eastAsia="仿宋"/>
          <w:sz w:val="32"/>
          <w:szCs w:val="32"/>
        </w:rPr>
        <w:t>。主要变动原因是……</w:t>
      </w:r>
    </w:p>
    <w:p w14:paraId="7A1F394E">
      <w:pPr>
        <w:spacing w:line="600" w:lineRule="exact"/>
        <w:ind w:firstLine="640" w:firstLineChars="200"/>
        <w:rPr>
          <w:rFonts w:ascii="仿宋" w:hAnsi="仿宋" w:eastAsia="仿宋"/>
          <w:sz w:val="32"/>
          <w:szCs w:val="32"/>
        </w:rPr>
      </w:pPr>
    </w:p>
    <w:p w14:paraId="0D322A14">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0712E230">
      <w:pPr>
        <w:spacing w:line="600" w:lineRule="exact"/>
        <w:ind w:firstLine="640" w:firstLineChars="200"/>
        <w:rPr>
          <w:rFonts w:ascii="仿宋" w:hAnsi="仿宋" w:eastAsia="仿宋"/>
          <w:sz w:val="32"/>
          <w:szCs w:val="32"/>
        </w:rPr>
      </w:pPr>
    </w:p>
    <w:p w14:paraId="66EA468C">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14:paraId="23645F0D">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21年一般公共预算财政拨款支出432.86万元，主要用于以下方面</w:t>
      </w:r>
      <w:r>
        <w:rPr>
          <w:rFonts w:hint="eastAsia" w:ascii="仿宋" w:hAnsi="仿宋" w:eastAsia="仿宋"/>
          <w:sz w:val="32"/>
          <w:szCs w:val="32"/>
          <w:lang w:eastAsia="zh-CN"/>
        </w:rPr>
        <w:t>：</w:t>
      </w:r>
      <w:r>
        <w:rPr>
          <w:rFonts w:hint="eastAsia" w:ascii="仿宋" w:hAnsi="仿宋" w:eastAsia="仿宋"/>
          <w:sz w:val="32"/>
          <w:szCs w:val="32"/>
        </w:rPr>
        <w:t>一般公共服务（类）支出322.51万元，占74.51</w:t>
      </w:r>
      <w:r>
        <w:rPr>
          <w:rFonts w:ascii="仿宋" w:hAnsi="仿宋" w:eastAsia="仿宋"/>
          <w:sz w:val="32"/>
          <w:szCs w:val="32"/>
        </w:rPr>
        <w:t>%</w:t>
      </w:r>
      <w:r>
        <w:rPr>
          <w:rFonts w:hint="eastAsia" w:ascii="仿宋" w:hAnsi="仿宋" w:eastAsia="仿宋"/>
          <w:sz w:val="32"/>
          <w:szCs w:val="32"/>
        </w:rPr>
        <w:t>；教育支出（类）0万元，占0</w:t>
      </w:r>
      <w:r>
        <w:rPr>
          <w:rFonts w:ascii="仿宋" w:hAnsi="仿宋" w:eastAsia="仿宋"/>
          <w:sz w:val="32"/>
          <w:szCs w:val="32"/>
        </w:rPr>
        <w:t>%</w:t>
      </w:r>
      <w:r>
        <w:rPr>
          <w:rFonts w:hint="eastAsia" w:ascii="仿宋" w:hAnsi="仿宋" w:eastAsia="仿宋"/>
          <w:sz w:val="32"/>
          <w:szCs w:val="32"/>
        </w:rPr>
        <w:t>；科学技术（类）支出0万元，占0</w:t>
      </w:r>
      <w:r>
        <w:rPr>
          <w:rFonts w:ascii="仿宋" w:hAnsi="仿宋" w:eastAsia="仿宋"/>
          <w:sz w:val="32"/>
          <w:szCs w:val="32"/>
        </w:rPr>
        <w:t>%</w:t>
      </w:r>
      <w:r>
        <w:rPr>
          <w:rFonts w:hint="eastAsia" w:ascii="仿宋" w:hAnsi="仿宋" w:eastAsia="仿宋"/>
          <w:sz w:val="32"/>
          <w:szCs w:val="32"/>
        </w:rPr>
        <w:t>；文化旅游体育与传媒（类）支出0万元，占0</w:t>
      </w:r>
      <w:r>
        <w:rPr>
          <w:rFonts w:ascii="仿宋" w:hAnsi="仿宋" w:eastAsia="仿宋"/>
          <w:sz w:val="32"/>
          <w:szCs w:val="32"/>
        </w:rPr>
        <w:t>%</w:t>
      </w:r>
      <w:r>
        <w:rPr>
          <w:rFonts w:hint="eastAsia" w:ascii="仿宋" w:hAnsi="仿宋" w:eastAsia="仿宋"/>
          <w:sz w:val="32"/>
          <w:szCs w:val="32"/>
        </w:rPr>
        <w:t>；社会保障和就业（类）支出55.09万元，占12.73</w:t>
      </w:r>
      <w:r>
        <w:rPr>
          <w:rFonts w:ascii="仿宋" w:hAnsi="仿宋" w:eastAsia="仿宋"/>
          <w:sz w:val="32"/>
          <w:szCs w:val="32"/>
        </w:rPr>
        <w:t>%</w:t>
      </w:r>
      <w:r>
        <w:rPr>
          <w:rFonts w:hint="eastAsia" w:ascii="仿宋" w:hAnsi="仿宋" w:eastAsia="仿宋"/>
          <w:sz w:val="32"/>
          <w:szCs w:val="32"/>
        </w:rPr>
        <w:t>；卫生健康支出19.66万元，占4.54</w:t>
      </w:r>
      <w:r>
        <w:rPr>
          <w:rFonts w:ascii="仿宋" w:hAnsi="仿宋" w:eastAsia="仿宋"/>
          <w:sz w:val="32"/>
          <w:szCs w:val="32"/>
        </w:rPr>
        <w:t>%</w:t>
      </w:r>
      <w:r>
        <w:rPr>
          <w:rFonts w:hint="eastAsia" w:ascii="仿宋" w:hAnsi="仿宋" w:eastAsia="仿宋"/>
          <w:sz w:val="32"/>
          <w:szCs w:val="32"/>
        </w:rPr>
        <w:t>；住房保障支出29.59万元，占6.84</w:t>
      </w:r>
      <w:r>
        <w:rPr>
          <w:rFonts w:ascii="仿宋" w:hAnsi="仿宋" w:eastAsia="仿宋"/>
          <w:sz w:val="32"/>
          <w:szCs w:val="32"/>
        </w:rPr>
        <w:t>%</w:t>
      </w:r>
      <w:r>
        <w:rPr>
          <w:rFonts w:hint="eastAsia" w:ascii="仿宋" w:hAnsi="仿宋" w:eastAsia="仿宋"/>
          <w:sz w:val="32"/>
          <w:szCs w:val="32"/>
        </w:rPr>
        <w:t>；其他支出6.00万元，占比1.38%。</w:t>
      </w:r>
    </w:p>
    <w:p w14:paraId="3D74FD5F">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14:paraId="781A02AC">
      <w:pPr>
        <w:pStyle w:val="2"/>
        <w:spacing w:before="93"/>
        <w:rPr>
          <w:rFonts w:ascii="仿宋" w:hAnsi="仿宋" w:eastAsia="仿宋"/>
          <w:sz w:val="32"/>
          <w:szCs w:val="32"/>
        </w:rPr>
      </w:pPr>
    </w:p>
    <w:p w14:paraId="2B71763A">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403215" cy="4450080"/>
            <wp:effectExtent l="4445" t="4445" r="21590" b="222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F88495">
      <w:pPr>
        <w:spacing w:line="60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eastAsia="zh-CN"/>
        </w:rPr>
        <w:t>（</w:t>
      </w:r>
      <w:r>
        <w:rPr>
          <w:rFonts w:hint="eastAsia" w:ascii="仿宋" w:hAnsi="仿宋" w:eastAsia="仿宋"/>
          <w:sz w:val="32"/>
          <w:szCs w:val="32"/>
        </w:rPr>
        <w:t>图6：一般公共预算财政拨款支出决算结构）（饼状图）</w:t>
      </w:r>
    </w:p>
    <w:p w14:paraId="4A489CC8">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14:paraId="57C8CDA3">
      <w:pPr>
        <w:spacing w:line="600" w:lineRule="exact"/>
        <w:ind w:firstLine="643" w:firstLineChars="200"/>
        <w:outlineLvl w:val="2"/>
        <w:rPr>
          <w:rFonts w:ascii="仿宋" w:hAnsi="仿宋" w:eastAsia="仿宋"/>
          <w:sz w:val="32"/>
          <w:szCs w:val="32"/>
        </w:rPr>
      </w:pPr>
      <w:bookmarkStart w:id="33" w:name="_Toc15377444"/>
      <w:bookmarkStart w:id="34" w:name="_Toc15377213"/>
      <w:bookmarkStart w:id="35" w:name="_Toc15378460"/>
      <w:r>
        <w:rPr>
          <w:rFonts w:hint="eastAsia" w:ascii="仿宋" w:hAnsi="仿宋" w:eastAsia="仿宋"/>
          <w:b/>
          <w:sz w:val="32"/>
          <w:szCs w:val="32"/>
        </w:rPr>
        <w:t>2021年一般公共预算支出决算数为432.86万元</w:t>
      </w:r>
      <w:r>
        <w:rPr>
          <w:rFonts w:hint="eastAsia" w:ascii="仿宋" w:hAnsi="仿宋" w:eastAsia="仿宋"/>
          <w:sz w:val="32"/>
          <w:szCs w:val="32"/>
        </w:rPr>
        <w:t>，</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33"/>
      <w:bookmarkEnd w:id="34"/>
      <w:bookmarkEnd w:id="35"/>
    </w:p>
    <w:p w14:paraId="2BA8313B">
      <w:pPr>
        <w:spacing w:line="600" w:lineRule="exact"/>
        <w:ind w:firstLine="643" w:firstLineChars="200"/>
        <w:rPr>
          <w:rFonts w:ascii="仿宋" w:hAnsi="仿宋" w:eastAsia="仿宋"/>
          <w:b/>
          <w:sz w:val="32"/>
          <w:szCs w:val="32"/>
        </w:rPr>
      </w:pPr>
      <w:r>
        <w:rPr>
          <w:rStyle w:val="15"/>
          <w:rFonts w:ascii="仿宋" w:hAnsi="仿宋" w:eastAsia="仿宋"/>
          <w:bCs/>
          <w:sz w:val="32"/>
          <w:szCs w:val="32"/>
        </w:rPr>
        <w:t>1.</w:t>
      </w:r>
      <w:r>
        <w:rPr>
          <w:rStyle w:val="15"/>
          <w:rFonts w:hint="eastAsia" w:ascii="仿宋" w:hAnsi="仿宋" w:eastAsia="仿宋"/>
          <w:bCs/>
          <w:sz w:val="32"/>
          <w:szCs w:val="32"/>
        </w:rPr>
        <w:t>一般公共服务（类）201（款）08（项）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支出决算为322.51万元，完成预算163.64</w:t>
      </w:r>
      <w:r>
        <w:rPr>
          <w:rStyle w:val="15"/>
          <w:rFonts w:ascii="仿宋" w:hAnsi="仿宋" w:eastAsia="仿宋"/>
          <w:b w:val="0"/>
          <w:bCs/>
          <w:sz w:val="32"/>
          <w:szCs w:val="32"/>
        </w:rPr>
        <w:t>%</w:t>
      </w:r>
      <w:r>
        <w:rPr>
          <w:rStyle w:val="15"/>
          <w:rFonts w:hint="eastAsia" w:ascii="仿宋" w:hAnsi="仿宋" w:eastAsia="仿宋"/>
          <w:b w:val="0"/>
          <w:bCs/>
          <w:sz w:val="32"/>
          <w:szCs w:val="32"/>
        </w:rPr>
        <w:t>，决算数大于预算数的主要原因是</w:t>
      </w:r>
      <w:r>
        <w:rPr>
          <w:rFonts w:eastAsia="仿宋_GB2312"/>
          <w:sz w:val="32"/>
          <w:szCs w:val="32"/>
        </w:rPr>
        <w:t>年初未下达</w:t>
      </w:r>
      <w:r>
        <w:rPr>
          <w:rFonts w:hint="eastAsia" w:eastAsia="仿宋_GB2312"/>
          <w:sz w:val="32"/>
          <w:szCs w:val="32"/>
        </w:rPr>
        <w:t>目标奖和项目支出等</w:t>
      </w:r>
      <w:r>
        <w:rPr>
          <w:rFonts w:eastAsia="仿宋_GB2312"/>
          <w:sz w:val="32"/>
          <w:szCs w:val="32"/>
        </w:rPr>
        <w:t>指标</w:t>
      </w:r>
      <w:r>
        <w:rPr>
          <w:rStyle w:val="15"/>
          <w:rFonts w:hint="eastAsia" w:ascii="仿宋" w:hAnsi="仿宋" w:eastAsia="仿宋"/>
          <w:b w:val="0"/>
          <w:bCs/>
          <w:sz w:val="32"/>
          <w:szCs w:val="32"/>
        </w:rPr>
        <w:t>。</w:t>
      </w:r>
    </w:p>
    <w:p w14:paraId="17317DA2">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Style w:val="15"/>
          <w:rFonts w:hint="eastAsia" w:ascii="仿宋" w:hAnsi="仿宋" w:eastAsia="仿宋"/>
          <w:bCs/>
          <w:sz w:val="32"/>
          <w:szCs w:val="32"/>
        </w:rPr>
        <w:t>社会保障和就业（类）208（款）05（项）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支出决算为55.09万元，完成预算107.50</w:t>
      </w:r>
      <w:r>
        <w:rPr>
          <w:rStyle w:val="15"/>
          <w:rFonts w:ascii="仿宋" w:hAnsi="仿宋" w:eastAsia="仿宋"/>
          <w:b w:val="0"/>
          <w:bCs/>
          <w:sz w:val="32"/>
          <w:szCs w:val="32"/>
        </w:rPr>
        <w:t>%</w:t>
      </w:r>
      <w:r>
        <w:rPr>
          <w:rStyle w:val="15"/>
          <w:rFonts w:hint="eastAsia" w:ascii="仿宋" w:hAnsi="仿宋" w:eastAsia="仿宋"/>
          <w:b w:val="0"/>
          <w:bCs/>
          <w:sz w:val="32"/>
          <w:szCs w:val="32"/>
        </w:rPr>
        <w:t>，决算数</w:t>
      </w:r>
      <w:r>
        <w:rPr>
          <w:rFonts w:hint="eastAsia" w:eastAsia="仿宋_GB2312"/>
          <w:sz w:val="32"/>
          <w:szCs w:val="32"/>
        </w:rPr>
        <w:t>大于预算数的主要原因是当年人员增减变动</w:t>
      </w:r>
      <w:r>
        <w:rPr>
          <w:rStyle w:val="15"/>
          <w:rFonts w:hint="eastAsia" w:ascii="仿宋" w:hAnsi="仿宋" w:eastAsia="仿宋"/>
          <w:b w:val="0"/>
          <w:bCs/>
          <w:sz w:val="32"/>
          <w:szCs w:val="32"/>
        </w:rPr>
        <w:t>。</w:t>
      </w:r>
    </w:p>
    <w:p w14:paraId="47CF9727">
      <w:pPr>
        <w:spacing w:line="600" w:lineRule="exact"/>
        <w:ind w:firstLine="643" w:firstLineChars="200"/>
        <w:rPr>
          <w:rFonts w:eastAsia="仿宋_GB2312"/>
          <w:sz w:val="32"/>
          <w:szCs w:val="32"/>
        </w:rPr>
      </w:pPr>
      <w:r>
        <w:rPr>
          <w:rStyle w:val="15"/>
          <w:rFonts w:hint="eastAsia" w:ascii="仿宋" w:hAnsi="仿宋" w:eastAsia="仿宋"/>
          <w:bCs/>
          <w:sz w:val="32"/>
          <w:szCs w:val="32"/>
        </w:rPr>
        <w:t>3</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（类）210（款）11（项）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支出决算为19.66万元，完成预算133.95</w:t>
      </w:r>
      <w:r>
        <w:rPr>
          <w:rStyle w:val="15"/>
          <w:rFonts w:ascii="仿宋" w:hAnsi="仿宋" w:eastAsia="仿宋"/>
          <w:b w:val="0"/>
          <w:bCs/>
          <w:sz w:val="32"/>
          <w:szCs w:val="32"/>
        </w:rPr>
        <w:t>%</w:t>
      </w:r>
      <w:r>
        <w:rPr>
          <w:rStyle w:val="15"/>
          <w:rFonts w:hint="eastAsia" w:ascii="仿宋" w:hAnsi="仿宋" w:eastAsia="仿宋"/>
          <w:b w:val="0"/>
          <w:bCs/>
          <w:sz w:val="32"/>
          <w:szCs w:val="32"/>
        </w:rPr>
        <w:t>，决算数</w:t>
      </w:r>
      <w:r>
        <w:rPr>
          <w:rFonts w:hint="eastAsia" w:eastAsia="仿宋_GB2312"/>
          <w:sz w:val="32"/>
          <w:szCs w:val="32"/>
        </w:rPr>
        <w:t>大于预算数的主要原因是当年人员增减变动。</w:t>
      </w:r>
    </w:p>
    <w:p w14:paraId="610773CD">
      <w:pPr>
        <w:spacing w:line="600" w:lineRule="exact"/>
        <w:rPr>
          <w:rFonts w:eastAsia="仿宋_GB2312"/>
          <w:sz w:val="32"/>
          <w:szCs w:val="32"/>
        </w:rPr>
      </w:pPr>
      <w:r>
        <w:rPr>
          <w:rFonts w:hint="eastAsia"/>
          <w:sz w:val="32"/>
          <w:szCs w:val="32"/>
        </w:rPr>
        <w:t>　　4.</w:t>
      </w:r>
      <w:r>
        <w:rPr>
          <w:rFonts w:hint="eastAsia" w:eastAsia="仿宋_GB2312"/>
          <w:b/>
          <w:bCs/>
          <w:sz w:val="32"/>
          <w:szCs w:val="32"/>
        </w:rPr>
        <w:t>住房保障（类）</w:t>
      </w:r>
      <w:r>
        <w:rPr>
          <w:rFonts w:eastAsia="仿宋_GB2312"/>
          <w:b/>
          <w:bCs/>
          <w:sz w:val="32"/>
          <w:szCs w:val="32"/>
        </w:rPr>
        <w:t>221</w:t>
      </w:r>
      <w:r>
        <w:rPr>
          <w:rFonts w:hint="eastAsia" w:eastAsia="仿宋_GB2312"/>
          <w:b/>
          <w:bCs/>
          <w:sz w:val="32"/>
          <w:szCs w:val="32"/>
        </w:rPr>
        <w:t>（款）</w:t>
      </w:r>
      <w:r>
        <w:rPr>
          <w:rFonts w:eastAsia="仿宋_GB2312"/>
          <w:b/>
          <w:bCs/>
          <w:sz w:val="32"/>
          <w:szCs w:val="32"/>
        </w:rPr>
        <w:t>02</w:t>
      </w:r>
      <w:r>
        <w:rPr>
          <w:rFonts w:hint="eastAsia" w:eastAsia="仿宋_GB2312"/>
          <w:b/>
          <w:bCs/>
          <w:sz w:val="32"/>
          <w:szCs w:val="32"/>
        </w:rPr>
        <w:t>（项）</w:t>
      </w:r>
      <w:r>
        <w:rPr>
          <w:rFonts w:hint="eastAsia" w:eastAsia="仿宋_GB2312"/>
          <w:sz w:val="32"/>
          <w:szCs w:val="32"/>
        </w:rPr>
        <w:t>：住房公积金支出决算为29.59万元，完成预算97.25</w:t>
      </w:r>
      <w:r>
        <w:rPr>
          <w:rFonts w:eastAsia="仿宋_GB2312"/>
          <w:sz w:val="32"/>
          <w:szCs w:val="32"/>
        </w:rPr>
        <w:t>%</w:t>
      </w:r>
      <w:r>
        <w:rPr>
          <w:rFonts w:hint="eastAsia" w:eastAsia="仿宋_GB2312"/>
          <w:sz w:val="32"/>
          <w:szCs w:val="32"/>
        </w:rPr>
        <w:t>，决算数小于预算数的主要原因是当年人员增减变动。</w:t>
      </w:r>
    </w:p>
    <w:p w14:paraId="3877A621">
      <w:pPr>
        <w:spacing w:line="600" w:lineRule="exact"/>
        <w:ind w:firstLine="640" w:firstLineChars="200"/>
        <w:rPr>
          <w:rFonts w:eastAsia="仿宋_GB2312"/>
          <w:sz w:val="32"/>
          <w:szCs w:val="32"/>
        </w:rPr>
      </w:pPr>
      <w:r>
        <w:rPr>
          <w:rFonts w:hint="eastAsia" w:eastAsia="仿宋_GB2312"/>
          <w:sz w:val="32"/>
          <w:szCs w:val="32"/>
        </w:rPr>
        <w:t>5.</w:t>
      </w:r>
      <w:r>
        <w:rPr>
          <w:rFonts w:hint="eastAsia" w:eastAsia="仿宋_GB2312"/>
          <w:b/>
          <w:bCs/>
          <w:sz w:val="32"/>
          <w:szCs w:val="32"/>
        </w:rPr>
        <w:t>其他支出（类）229（款）99（项）</w:t>
      </w:r>
      <w:r>
        <w:rPr>
          <w:rFonts w:hint="eastAsia" w:eastAsia="仿宋_GB2312"/>
          <w:sz w:val="32"/>
          <w:szCs w:val="32"/>
        </w:rPr>
        <w:t>：其他支出决算为6万元，完成预算100</w:t>
      </w:r>
      <w:r>
        <w:rPr>
          <w:rFonts w:eastAsia="仿宋_GB2312"/>
          <w:sz w:val="32"/>
          <w:szCs w:val="32"/>
        </w:rPr>
        <w:t>%</w:t>
      </w:r>
      <w:r>
        <w:rPr>
          <w:rFonts w:hint="eastAsia" w:eastAsia="仿宋_GB2312"/>
          <w:sz w:val="32"/>
          <w:szCs w:val="32"/>
        </w:rPr>
        <w:t>。</w:t>
      </w:r>
    </w:p>
    <w:p w14:paraId="24CDD9BC">
      <w:pPr>
        <w:spacing w:line="600" w:lineRule="exact"/>
        <w:ind w:firstLine="643" w:firstLineChars="200"/>
        <w:rPr>
          <w:rFonts w:ascii="仿宋" w:hAnsi="仿宋" w:eastAsia="仿宋"/>
          <w:b/>
          <w:sz w:val="32"/>
          <w:szCs w:val="32"/>
        </w:rPr>
      </w:pPr>
    </w:p>
    <w:p w14:paraId="110CB525">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1-1表和财决08表，仅罗列本单位涉及的全部功能分类科目，至项级。上述“预算”口径为调整预算数。增减变动原因为决算数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和调整预算数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4984D8AA">
      <w:pPr>
        <w:spacing w:line="600" w:lineRule="exact"/>
        <w:ind w:firstLine="640"/>
        <w:rPr>
          <w:rFonts w:ascii="仿宋" w:hAnsi="仿宋" w:eastAsia="仿宋"/>
          <w:b/>
          <w:sz w:val="32"/>
          <w:szCs w:val="32"/>
        </w:rPr>
      </w:pPr>
    </w:p>
    <w:p w14:paraId="40D44236">
      <w:pPr>
        <w:tabs>
          <w:tab w:val="right" w:pos="8306"/>
        </w:tabs>
        <w:spacing w:line="600" w:lineRule="exact"/>
        <w:ind w:firstLine="640"/>
        <w:outlineLvl w:val="1"/>
        <w:rPr>
          <w:rStyle w:val="26"/>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6"/>
      <w:bookmarkEnd w:id="37"/>
      <w:r>
        <w:rPr>
          <w:rStyle w:val="26"/>
          <w:rFonts w:ascii="黑体" w:hAnsi="黑体" w:eastAsia="黑体"/>
          <w:b w:val="0"/>
        </w:rPr>
        <w:tab/>
      </w:r>
    </w:p>
    <w:p w14:paraId="29081FD7">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21年一般公共预算财政拨款基本支出376.24万元，其中：</w:t>
      </w:r>
    </w:p>
    <w:p w14:paraId="19AA59A9">
      <w:pPr>
        <w:spacing w:line="600" w:lineRule="exact"/>
        <w:ind w:firstLine="645"/>
        <w:rPr>
          <w:rFonts w:ascii="仿宋" w:hAnsi="仿宋" w:eastAsia="仿宋"/>
          <w:sz w:val="32"/>
          <w:szCs w:val="32"/>
        </w:rPr>
      </w:pPr>
      <w:r>
        <w:rPr>
          <w:rFonts w:hint="eastAsia" w:ascii="仿宋" w:hAnsi="仿宋" w:eastAsia="仿宋"/>
          <w:sz w:val="32"/>
          <w:szCs w:val="32"/>
        </w:rPr>
        <w:t>人员经费341.08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35.17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497A9B5">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071A40C3">
      <w:pPr>
        <w:spacing w:line="600" w:lineRule="exact"/>
        <w:ind w:firstLine="640"/>
        <w:rPr>
          <w:rFonts w:ascii="仿宋" w:hAnsi="仿宋" w:eastAsia="仿宋"/>
          <w:b/>
          <w:sz w:val="32"/>
          <w:szCs w:val="32"/>
        </w:rPr>
      </w:pPr>
    </w:p>
    <w:p w14:paraId="4E200692">
      <w:pPr>
        <w:spacing w:line="600" w:lineRule="exact"/>
        <w:ind w:firstLine="640"/>
        <w:outlineLvl w:val="1"/>
        <w:rPr>
          <w:rStyle w:val="26"/>
          <w:rFonts w:ascii="黑体" w:hAnsi="黑体" w:eastAsia="黑体"/>
          <w:b w:val="0"/>
        </w:rPr>
      </w:pPr>
      <w:bookmarkStart w:id="38" w:name="_Toc15377215"/>
      <w:bookmarkStart w:id="39"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8"/>
      <w:bookmarkEnd w:id="39"/>
    </w:p>
    <w:p w14:paraId="17A245D1">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14:paraId="1295BA1D">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21年“三公”经费财政拨款支出决算为0.05万元，完成预算100</w:t>
      </w:r>
      <w:r>
        <w:rPr>
          <w:rFonts w:ascii="仿宋" w:hAnsi="仿宋" w:eastAsia="仿宋"/>
          <w:sz w:val="32"/>
          <w:szCs w:val="32"/>
        </w:rPr>
        <w:t>%</w:t>
      </w:r>
      <w:r>
        <w:rPr>
          <w:rFonts w:hint="eastAsia" w:ascii="仿宋" w:hAnsi="仿宋" w:eastAsia="仿宋"/>
          <w:sz w:val="32"/>
          <w:szCs w:val="32"/>
        </w:rPr>
        <w:t>。</w:t>
      </w:r>
    </w:p>
    <w:p w14:paraId="2FAD1275">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（注：上述“预算”口径为调整预算数，包括一般公共预算和政府性基金预算财政拨款支出决算情况。）</w:t>
      </w:r>
    </w:p>
    <w:p w14:paraId="01AB2A30">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14:paraId="648B33F3">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；公务接待费支出决算0.05万元，占100</w:t>
      </w:r>
      <w:r>
        <w:rPr>
          <w:rFonts w:ascii="仿宋" w:hAnsi="仿宋" w:eastAsia="仿宋"/>
          <w:sz w:val="32"/>
          <w:szCs w:val="32"/>
        </w:rPr>
        <w:t>%</w:t>
      </w:r>
      <w:r>
        <w:rPr>
          <w:rFonts w:hint="eastAsia" w:ascii="仿宋" w:hAnsi="仿宋" w:eastAsia="仿宋"/>
          <w:sz w:val="32"/>
          <w:szCs w:val="32"/>
        </w:rPr>
        <w:t>。具体情况如下：</w:t>
      </w:r>
    </w:p>
    <w:p w14:paraId="5E1DBBCD">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D4F71B">
      <w:pPr>
        <w:spacing w:line="600" w:lineRule="exact"/>
        <w:ind w:firstLine="640"/>
        <w:rPr>
          <w:rFonts w:ascii="仿宋" w:hAnsi="仿宋" w:eastAsia="仿宋"/>
          <w:sz w:val="32"/>
          <w:szCs w:val="32"/>
        </w:rPr>
      </w:pPr>
    </w:p>
    <w:p w14:paraId="0115536C">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43A2AE1A">
      <w:pPr>
        <w:tabs>
          <w:tab w:val="left" w:pos="312"/>
        </w:tabs>
        <w:spacing w:line="600" w:lineRule="exact"/>
        <w:ind w:left="640"/>
        <w:rPr>
          <w:rFonts w:ascii="仿宋_GB2312" w:eastAsia="仿宋_GB2312"/>
          <w:sz w:val="32"/>
          <w:szCs w:val="32"/>
        </w:rPr>
      </w:pPr>
      <w:r>
        <w:rPr>
          <w:rFonts w:hint="eastAsia" w:ascii="仿宋_GB2312" w:eastAsia="仿宋_GB2312"/>
          <w:b/>
          <w:sz w:val="32"/>
          <w:szCs w:val="32"/>
        </w:rPr>
        <w:t>1</w:t>
      </w:r>
      <w:r>
        <w:rPr>
          <w:rFonts w:ascii="仿宋_GB2312" w:eastAsia="仿宋_GB2312"/>
          <w:b/>
          <w:sz w:val="32"/>
          <w:szCs w:val="32"/>
        </w:rPr>
        <w:t>.</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全年安排因公出国（境）团组0次，出国（境）0人。</w:t>
      </w:r>
    </w:p>
    <w:p w14:paraId="71B1B14A">
      <w:pPr>
        <w:spacing w:line="600" w:lineRule="exact"/>
        <w:rPr>
          <w:rFonts w:ascii="仿宋_GB2312" w:eastAsia="仿宋_GB2312"/>
          <w:b/>
          <w:sz w:val="32"/>
          <w:szCs w:val="32"/>
        </w:rPr>
      </w:pPr>
      <w:r>
        <w:rPr>
          <w:rFonts w:hint="eastAsia" w:ascii="仿宋_GB2312" w:eastAsia="仿宋_GB2312"/>
          <w:b/>
          <w:sz w:val="32"/>
          <w:szCs w:val="32"/>
        </w:rPr>
        <w:t>　　</w:t>
      </w: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Fonts w:hint="eastAsia" w:ascii="仿宋_GB2312" w:eastAsia="仿宋_GB2312"/>
          <w:sz w:val="32"/>
          <w:szCs w:val="32"/>
          <w:lang w:eastAsia="zh-CN"/>
        </w:rPr>
        <w:t>，</w:t>
      </w:r>
      <w:r>
        <w:rPr>
          <w:rStyle w:val="15"/>
          <w:rFonts w:hint="eastAsia" w:ascii="仿宋" w:hAnsi="仿宋" w:eastAsia="仿宋"/>
          <w:b w:val="0"/>
          <w:bCs/>
          <w:sz w:val="32"/>
          <w:szCs w:val="32"/>
        </w:rPr>
        <w:t>完成预算1</w:t>
      </w:r>
      <w:r>
        <w:rPr>
          <w:rStyle w:val="15"/>
          <w:rFonts w:ascii="仿宋" w:hAnsi="仿宋" w:eastAsia="仿宋"/>
          <w:b w:val="0"/>
          <w:bCs/>
          <w:sz w:val="32"/>
          <w:szCs w:val="32"/>
        </w:rPr>
        <w:t>00%</w:t>
      </w:r>
      <w:r>
        <w:rPr>
          <w:rStyle w:val="15"/>
          <w:rFonts w:hint="eastAsia" w:ascii="仿宋" w:hAnsi="仿宋" w:eastAsia="仿宋"/>
          <w:b w:val="0"/>
          <w:bCs/>
          <w:sz w:val="32"/>
          <w:szCs w:val="32"/>
        </w:rPr>
        <w:t>。</w:t>
      </w:r>
    </w:p>
    <w:p w14:paraId="282DB21C">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其中：公务用车购置支出0万元。全年按规定更新购置公务用车0辆，其中：轿车0辆、金额0万元，越野车0辆、金额0万元，载客汽车0辆、金额0万元。截至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14:paraId="4336F6CB">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0万元。主要用于审计工作等所需的公务用车燃料费、维修费、过路过桥费、保险费等支出。</w:t>
      </w:r>
    </w:p>
    <w:p w14:paraId="74B70060">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0.05万元，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 w:hAnsi="仿宋" w:eastAsia="仿宋"/>
          <w:b/>
          <w:sz w:val="32"/>
          <w:szCs w:val="32"/>
        </w:rPr>
        <w:t>国内公务接待支出</w:t>
      </w:r>
      <w:r>
        <w:rPr>
          <w:rFonts w:hint="eastAsia" w:ascii="仿宋" w:hAnsi="仿宋" w:eastAsia="仿宋"/>
          <w:sz w:val="32"/>
          <w:szCs w:val="32"/>
        </w:rPr>
        <w:t>0.05</w:t>
      </w:r>
      <w:r>
        <w:rPr>
          <w:rFonts w:hint="eastAsia" w:ascii="仿宋_GB2312" w:eastAsia="仿宋_GB2312"/>
          <w:sz w:val="32"/>
          <w:szCs w:val="32"/>
        </w:rPr>
        <w:t>万元，主要用于执行公务接待的用餐费。国内公务接待</w:t>
      </w:r>
      <w:r>
        <w:rPr>
          <w:rFonts w:ascii="仿宋_GB2312" w:eastAsia="仿宋_GB2312"/>
          <w:sz w:val="32"/>
          <w:szCs w:val="32"/>
        </w:rPr>
        <w:t>1</w:t>
      </w:r>
      <w:r>
        <w:rPr>
          <w:rFonts w:hint="eastAsia" w:ascii="仿宋_GB2312" w:eastAsia="仿宋_GB2312"/>
          <w:sz w:val="32"/>
          <w:szCs w:val="32"/>
        </w:rPr>
        <w:t>批次，</w:t>
      </w:r>
      <w:r>
        <w:rPr>
          <w:rFonts w:ascii="仿宋_GB2312" w:eastAsia="仿宋_GB2312"/>
          <w:sz w:val="32"/>
          <w:szCs w:val="32"/>
        </w:rPr>
        <w:t>5</w:t>
      </w:r>
      <w:r>
        <w:rPr>
          <w:rFonts w:hint="eastAsia" w:ascii="仿宋_GB2312" w:eastAsia="仿宋_GB2312"/>
          <w:sz w:val="32"/>
          <w:szCs w:val="32"/>
        </w:rPr>
        <w:t>人次（不包括陪同人员），共计支出0.05万元，具体内容包括：上级有关部门到我局开展工作调研。</w:t>
      </w:r>
    </w:p>
    <w:p w14:paraId="13544110">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bookmarkStart w:id="42" w:name="_Toc15396610"/>
      <w:bookmarkStart w:id="43" w:name="_Toc15377218"/>
    </w:p>
    <w:p w14:paraId="1D0B10E8">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2"/>
      <w:bookmarkEnd w:id="43"/>
    </w:p>
    <w:p w14:paraId="3EA998A2">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14:paraId="50FD4DB5">
      <w:pPr>
        <w:numPr>
          <w:ilvl w:val="0"/>
          <w:numId w:val="3"/>
        </w:numPr>
        <w:spacing w:line="600" w:lineRule="exact"/>
        <w:ind w:firstLine="640"/>
        <w:outlineLvl w:val="1"/>
        <w:rPr>
          <w:rStyle w:val="26"/>
          <w:rFonts w:ascii="黑体" w:hAnsi="黑体" w:eastAsia="黑体"/>
          <w:b w:val="0"/>
        </w:rPr>
      </w:pPr>
      <w:bookmarkStart w:id="44" w:name="_Toc15396611"/>
      <w:bookmarkStart w:id="45" w:name="_Toc15377219"/>
      <w:r>
        <w:rPr>
          <w:rStyle w:val="26"/>
          <w:rFonts w:hint="eastAsia" w:ascii="黑体" w:hAnsi="黑体" w:eastAsia="黑体"/>
          <w:b w:val="0"/>
        </w:rPr>
        <w:t>国有资本经营预算支出决算情况说明</w:t>
      </w:r>
      <w:bookmarkEnd w:id="44"/>
      <w:bookmarkEnd w:id="45"/>
    </w:p>
    <w:p w14:paraId="2DE22736">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517E3C0A">
      <w:pPr>
        <w:numPr>
          <w:ilvl w:val="0"/>
          <w:numId w:val="3"/>
        </w:numPr>
        <w:spacing w:line="600" w:lineRule="exact"/>
        <w:ind w:firstLine="640"/>
        <w:outlineLvl w:val="1"/>
        <w:rPr>
          <w:rStyle w:val="26"/>
          <w:rFonts w:ascii="黑体" w:hAnsi="黑体" w:eastAsia="黑体"/>
          <w:b w:val="0"/>
        </w:rPr>
      </w:pPr>
      <w:bookmarkStart w:id="46" w:name="_Toc15396612"/>
      <w:bookmarkStart w:id="47" w:name="_Toc15377221"/>
      <w:r>
        <w:rPr>
          <w:rStyle w:val="26"/>
          <w:rFonts w:hint="eastAsia" w:ascii="黑体" w:hAnsi="黑体" w:eastAsia="黑体"/>
          <w:b w:val="0"/>
        </w:rPr>
        <w:t>其他重要事项的情况说明</w:t>
      </w:r>
      <w:bookmarkEnd w:id="46"/>
      <w:bookmarkEnd w:id="47"/>
    </w:p>
    <w:p w14:paraId="74B671E3">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14:paraId="283C3DBD">
      <w:pPr>
        <w:ind w:firstLine="709"/>
        <w:rPr>
          <w:rFonts w:ascii="仿宋_GB2312" w:hAnsi="仿宋" w:eastAsia="仿宋_GB2312" w:cs="仿宋"/>
          <w:color w:val="000000"/>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color w:val="000000"/>
          <w:sz w:val="32"/>
          <w:szCs w:val="32"/>
        </w:rPr>
        <w:t>盐边县审计局</w:t>
      </w:r>
      <w:r>
        <w:rPr>
          <w:rFonts w:hint="eastAsia" w:ascii="仿宋_GB2312" w:eastAsia="仿宋_GB2312"/>
          <w:sz w:val="32"/>
          <w:szCs w:val="32"/>
        </w:rPr>
        <w:t>机关运行经费支出35.17万元，比</w:t>
      </w:r>
      <w:r>
        <w:rPr>
          <w:rFonts w:ascii="仿宋_GB2312" w:eastAsia="仿宋_GB2312"/>
          <w:sz w:val="32"/>
          <w:szCs w:val="32"/>
        </w:rPr>
        <w:t>20</w:t>
      </w:r>
      <w:r>
        <w:rPr>
          <w:rFonts w:hint="eastAsia" w:ascii="仿宋_GB2312" w:eastAsia="仿宋_GB2312"/>
          <w:sz w:val="32"/>
          <w:szCs w:val="32"/>
        </w:rPr>
        <w:t>20年减少26.36万元，下降42.84</w:t>
      </w:r>
      <w:r>
        <w:rPr>
          <w:rFonts w:ascii="仿宋_GB2312" w:eastAsia="仿宋_GB2312"/>
          <w:sz w:val="32"/>
          <w:szCs w:val="32"/>
        </w:rPr>
        <w:t>%</w:t>
      </w:r>
      <w:r>
        <w:rPr>
          <w:rFonts w:hint="eastAsia" w:ascii="仿宋_GB2312" w:eastAsia="仿宋_GB2312"/>
          <w:sz w:val="32"/>
          <w:szCs w:val="32"/>
        </w:rPr>
        <w:t>。主要</w:t>
      </w:r>
      <w:r>
        <w:rPr>
          <w:rFonts w:hint="eastAsia" w:ascii="仿宋_GB2312" w:eastAsia="仿宋_GB2312"/>
          <w:sz w:val="32"/>
          <w:szCs w:val="32"/>
          <w:lang w:eastAsia="zh-CN"/>
        </w:rPr>
        <w:t>原因是</w:t>
      </w:r>
      <w:r>
        <w:rPr>
          <w:rFonts w:hint="eastAsia" w:ascii="仿宋_GB2312" w:hAnsi="仿宋" w:eastAsia="仿宋_GB2312" w:cs="仿宋"/>
          <w:color w:val="000000"/>
          <w:sz w:val="32"/>
          <w:szCs w:val="32"/>
        </w:rPr>
        <w:t>审计业务中的审计组实施项目时发生的经费支出上年财政以基本支出下达，今年以项目支出下达。</w:t>
      </w:r>
    </w:p>
    <w:p w14:paraId="0C51656A">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7EF057C7">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14:paraId="43CCABFB">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21年，盐边县审计局政府采购支出总额6.08万元，其中：政府采购货物支出6.08万元、政府采购工程支出0万元、政府采购服务支出0万元。主要用于购买</w:t>
      </w:r>
      <w:r>
        <w:rPr>
          <w:rFonts w:ascii="仿宋_GB2312" w:eastAsia="仿宋_GB2312"/>
          <w:sz w:val="32"/>
          <w:szCs w:val="32"/>
        </w:rPr>
        <w:t>三台笔记本电脑，四台台式电脑，一台单反相机</w:t>
      </w:r>
      <w:r>
        <w:rPr>
          <w:rFonts w:hint="eastAsia" w:ascii="仿宋_GB2312" w:eastAsia="仿宋_GB2312"/>
          <w:sz w:val="32"/>
          <w:szCs w:val="32"/>
        </w:rPr>
        <w:t>。授予中小企业合同金额6.08万元，占政府采购支出总额的100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14:paraId="5848CEEF">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47076842">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14:paraId="2FC54D8A">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日，盐边县审计局共有车辆0辆，其中：主要领导干部用车0辆、机要通信用车0辆、应急保障用车0辆、其他用车0辆、</w:t>
      </w:r>
      <w:r>
        <w:rPr>
          <w:rFonts w:hint="eastAsia" w:ascii="仿宋_GB2312" w:eastAsia="仿宋_GB2312"/>
          <w:sz w:val="32"/>
          <w:szCs w:val="32"/>
          <w:lang w:eastAsia="zh-CN"/>
        </w:rPr>
        <w:t>主要</w:t>
      </w:r>
      <w:r>
        <w:rPr>
          <w:rFonts w:hint="eastAsia" w:ascii="仿宋_GB2312" w:eastAsia="仿宋_GB2312"/>
          <w:sz w:val="32"/>
          <w:szCs w:val="32"/>
        </w:rPr>
        <w:t>用于单价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5A36B273">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5CE10C14">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4F0814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w:t>
      </w:r>
      <w:r>
        <w:rPr>
          <w:rFonts w:ascii="仿宋_GB2312" w:hAnsi="仿宋_GB2312" w:eastAsia="仿宋_GB2312" w:cs="仿宋_GB2312"/>
          <w:sz w:val="32"/>
          <w:szCs w:val="32"/>
        </w:rPr>
        <w:t>2个</w:t>
      </w:r>
      <w:r>
        <w:rPr>
          <w:rFonts w:hint="eastAsia" w:ascii="仿宋_GB2312" w:hAnsi="仿宋_GB2312" w:eastAsia="仿宋_GB2312" w:cs="仿宋_GB2312"/>
          <w:sz w:val="32"/>
          <w:szCs w:val="32"/>
        </w:rPr>
        <w:t>项目（对上争取资金奖励和投资项目审计委托服务费）等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个项目开展了绩效自评，2021年特定目标类部门预算项目绩效目标自评表见附件（第四部分）。</w:t>
      </w:r>
    </w:p>
    <w:p w14:paraId="311F044D">
      <w:pPr>
        <w:spacing w:line="580" w:lineRule="exact"/>
        <w:ind w:firstLine="640" w:firstLineChars="200"/>
        <w:rPr>
          <w:rFonts w:eastAsia="仿宋_GB2312"/>
          <w:sz w:val="32"/>
          <w:szCs w:val="32"/>
        </w:rPr>
      </w:pPr>
      <w:r>
        <w:rPr>
          <w:rFonts w:hint="eastAsia" w:eastAsia="仿宋_GB2312"/>
          <w:sz w:val="32"/>
          <w:szCs w:val="32"/>
        </w:rPr>
        <w:t>本部门按要求对202</w:t>
      </w:r>
      <w:r>
        <w:rPr>
          <w:rFonts w:eastAsia="仿宋_GB2312"/>
          <w:sz w:val="32"/>
          <w:szCs w:val="32"/>
        </w:rPr>
        <w:t>1</w:t>
      </w:r>
      <w:r>
        <w:rPr>
          <w:rFonts w:hint="eastAsia" w:eastAsia="仿宋_GB2312"/>
          <w:sz w:val="32"/>
          <w:szCs w:val="32"/>
        </w:rPr>
        <w:t>年部门整体支出开展绩效自评，从评价情况来看，我局预算编制及执行决算较为准确，支出管理较为规范，部门整体绩效较好。本部门还自行组织了</w:t>
      </w:r>
      <w:r>
        <w:rPr>
          <w:rFonts w:eastAsia="仿宋_GB2312"/>
          <w:sz w:val="32"/>
          <w:szCs w:val="32"/>
        </w:rPr>
        <w:t>2</w:t>
      </w:r>
      <w:r>
        <w:rPr>
          <w:rFonts w:hint="eastAsia" w:eastAsia="仿宋_GB2312"/>
          <w:sz w:val="32"/>
          <w:szCs w:val="32"/>
        </w:rPr>
        <w:t>个项目支出绩效评价，从评价情况来看，我局严格落实上级关于绩效管理的有关规定</w:t>
      </w:r>
      <w:r>
        <w:rPr>
          <w:rFonts w:hint="eastAsia" w:eastAsia="仿宋_GB2312"/>
          <w:sz w:val="32"/>
          <w:szCs w:val="32"/>
          <w:lang w:eastAsia="zh-CN"/>
        </w:rPr>
        <w:t>，在</w:t>
      </w:r>
      <w:r>
        <w:rPr>
          <w:rFonts w:hint="eastAsia" w:eastAsia="仿宋_GB2312"/>
          <w:sz w:val="32"/>
          <w:szCs w:val="32"/>
        </w:rPr>
        <w:t>年初做好预算申报，从严控制预算支出，严格执行单位财务管理制度，强化支出审批、审签，有效使用项目资金。</w:t>
      </w:r>
    </w:p>
    <w:p w14:paraId="5EE8B4BD">
      <w:pPr>
        <w:spacing w:line="580" w:lineRule="exact"/>
        <w:ind w:firstLine="640" w:firstLineChars="200"/>
        <w:rPr>
          <w:rFonts w:eastAsia="仿宋_GB2312"/>
          <w:sz w:val="32"/>
          <w:szCs w:val="32"/>
        </w:rPr>
      </w:pPr>
      <w:r>
        <w:rPr>
          <w:rFonts w:hint="eastAsia" w:eastAsia="仿宋_GB2312"/>
          <w:sz w:val="32"/>
          <w:szCs w:val="32"/>
        </w:rPr>
        <w:t>1.项目绩效目标完成情况。</w:t>
      </w:r>
      <w:r>
        <w:rPr>
          <w:rFonts w:hint="eastAsia" w:eastAsia="仿宋_GB2312"/>
          <w:sz w:val="32"/>
          <w:szCs w:val="32"/>
        </w:rPr>
        <w:br w:type="textWrapping"/>
      </w:r>
      <w:r>
        <w:rPr>
          <w:rFonts w:hint="eastAsia" w:eastAsia="仿宋_GB2312"/>
          <w:sz w:val="32"/>
          <w:szCs w:val="32"/>
        </w:rPr>
        <w:t>（</w:t>
      </w:r>
      <w:r>
        <w:rPr>
          <w:rFonts w:eastAsia="仿宋_GB2312"/>
          <w:sz w:val="32"/>
          <w:szCs w:val="32"/>
        </w:rPr>
        <w:t>1</w:t>
      </w:r>
      <w:r>
        <w:rPr>
          <w:rFonts w:hint="eastAsia" w:eastAsia="仿宋_GB2312"/>
          <w:sz w:val="32"/>
          <w:szCs w:val="32"/>
        </w:rPr>
        <w:t>）投资项目审计委托服务费项目</w:t>
      </w:r>
      <w:r>
        <w:rPr>
          <w:rFonts w:hint="eastAsia" w:ascii="仿宋_GB2312" w:hAnsi="仿宋_GB2312" w:eastAsia="仿宋_GB2312" w:cs="仿宋_GB2312"/>
          <w:sz w:val="32"/>
          <w:szCs w:val="32"/>
        </w:rPr>
        <w:t>完成情况综述。</w:t>
      </w:r>
      <w:r>
        <w:rPr>
          <w:rFonts w:hint="eastAsia" w:eastAsia="仿宋_GB2312"/>
          <w:sz w:val="32"/>
          <w:szCs w:val="32"/>
        </w:rPr>
        <w:t>项目全年预算数</w:t>
      </w:r>
      <w:r>
        <w:rPr>
          <w:rFonts w:eastAsia="仿宋_GB2312"/>
          <w:sz w:val="32"/>
          <w:szCs w:val="32"/>
        </w:rPr>
        <w:t>16.66</w:t>
      </w:r>
      <w:r>
        <w:rPr>
          <w:rFonts w:hint="eastAsia" w:eastAsia="仿宋_GB2312"/>
          <w:sz w:val="32"/>
          <w:szCs w:val="32"/>
        </w:rPr>
        <w:t>万元，执行数为</w:t>
      </w:r>
      <w:r>
        <w:rPr>
          <w:rFonts w:eastAsia="仿宋_GB2312"/>
          <w:sz w:val="32"/>
          <w:szCs w:val="32"/>
        </w:rPr>
        <w:t>16.66</w:t>
      </w:r>
      <w:r>
        <w:rPr>
          <w:rFonts w:hint="eastAsia" w:eastAsia="仿宋_GB2312"/>
          <w:sz w:val="32"/>
          <w:szCs w:val="32"/>
        </w:rPr>
        <w:t>万元，完成预算的100</w:t>
      </w:r>
      <w:r>
        <w:rPr>
          <w:rFonts w:eastAsia="仿宋_GB2312"/>
          <w:sz w:val="32"/>
          <w:szCs w:val="32"/>
        </w:rPr>
        <w:t>%</w:t>
      </w:r>
      <w:r>
        <w:rPr>
          <w:rFonts w:hint="eastAsia" w:eastAsia="仿宋_GB2312"/>
          <w:sz w:val="32"/>
          <w:szCs w:val="32"/>
        </w:rPr>
        <w:t>。通过项目实施，促进和提高了政府项目资金使用效率，</w:t>
      </w:r>
      <w:r>
        <w:rPr>
          <w:rFonts w:hint="eastAsia" w:eastAsia="仿宋_GB2312"/>
          <w:sz w:val="32"/>
          <w:szCs w:val="32"/>
          <w:lang w:eastAsia="zh-CN"/>
        </w:rPr>
        <w:t>各</w:t>
      </w:r>
      <w:r>
        <w:rPr>
          <w:rFonts w:hint="eastAsia" w:eastAsia="仿宋_GB2312"/>
          <w:sz w:val="32"/>
          <w:szCs w:val="32"/>
        </w:rPr>
        <w:t>级政府节约了投资建设资金，避免和减少了浪费和重复建设。</w:t>
      </w:r>
    </w:p>
    <w:p w14:paraId="1D99D263">
      <w:pPr>
        <w:spacing w:line="580" w:lineRule="exact"/>
        <w:ind w:firstLine="315" w:firstLineChars="150"/>
        <w:rPr>
          <w:rFonts w:eastAsia="仿宋_GB2312"/>
          <w:sz w:val="32"/>
          <w:szCs w:val="32"/>
        </w:rPr>
      </w:pPr>
      <w:r>
        <w:t>（</w:t>
      </w:r>
      <w:r>
        <w:rPr>
          <w:rFonts w:hint="eastAsia"/>
        </w:rPr>
        <w:t>2）</w:t>
      </w:r>
      <w:r>
        <w:rPr>
          <w:rFonts w:hint="eastAsia" w:eastAsia="仿宋_GB2312"/>
          <w:sz w:val="32"/>
          <w:szCs w:val="32"/>
        </w:rPr>
        <w:t>对上争取资金奖励项目</w:t>
      </w:r>
      <w:r>
        <w:rPr>
          <w:rFonts w:hint="eastAsia" w:ascii="仿宋_GB2312" w:hAnsi="仿宋_GB2312" w:eastAsia="仿宋_GB2312" w:cs="仿宋_GB2312"/>
          <w:sz w:val="32"/>
          <w:szCs w:val="32"/>
        </w:rPr>
        <w:t>完成情况综述。</w:t>
      </w:r>
      <w:r>
        <w:rPr>
          <w:rFonts w:hint="eastAsia" w:eastAsia="仿宋_GB2312"/>
          <w:sz w:val="32"/>
          <w:szCs w:val="32"/>
        </w:rPr>
        <w:t>项目全年预算数</w:t>
      </w:r>
      <w:r>
        <w:rPr>
          <w:rFonts w:eastAsia="仿宋_GB2312"/>
          <w:sz w:val="32"/>
          <w:szCs w:val="32"/>
        </w:rPr>
        <w:t>6</w:t>
      </w:r>
      <w:r>
        <w:rPr>
          <w:rFonts w:hint="eastAsia" w:eastAsia="仿宋_GB2312"/>
          <w:sz w:val="32"/>
          <w:szCs w:val="32"/>
        </w:rPr>
        <w:t>万元，执行数为</w:t>
      </w:r>
      <w:r>
        <w:rPr>
          <w:rFonts w:eastAsia="仿宋_GB2312"/>
          <w:sz w:val="32"/>
          <w:szCs w:val="32"/>
        </w:rPr>
        <w:t>6</w:t>
      </w:r>
      <w:r>
        <w:rPr>
          <w:rFonts w:hint="eastAsia" w:eastAsia="仿宋_GB2312"/>
          <w:sz w:val="32"/>
          <w:szCs w:val="32"/>
        </w:rPr>
        <w:t>万元，完成预算的100</w:t>
      </w:r>
      <w:r>
        <w:rPr>
          <w:rFonts w:eastAsia="仿宋_GB2312"/>
          <w:sz w:val="32"/>
          <w:szCs w:val="32"/>
        </w:rPr>
        <w:t>%</w:t>
      </w:r>
      <w:r>
        <w:rPr>
          <w:rFonts w:hint="eastAsia" w:eastAsia="仿宋_GB2312"/>
          <w:sz w:val="32"/>
          <w:szCs w:val="32"/>
        </w:rPr>
        <w:t>。通过项目实施，按计划保质保量完成审计项目任务，达到维护市场经济秩序、保证经济健康发展，促进经济平稳运行的目标。</w:t>
      </w:r>
    </w:p>
    <w:p w14:paraId="6143E475">
      <w:pPr>
        <w:autoSpaceDE w:val="0"/>
        <w:autoSpaceDN w:val="0"/>
        <w:adjustRightInd w:val="0"/>
        <w:spacing w:line="600" w:lineRule="exact"/>
        <w:ind w:firstLine="643" w:firstLineChars="200"/>
        <w:rPr>
          <w:rFonts w:ascii="仿宋" w:hAnsi="仿宋" w:eastAsia="仿宋"/>
          <w:b/>
          <w:sz w:val="32"/>
          <w:szCs w:val="32"/>
        </w:rPr>
      </w:pPr>
      <w:r>
        <w:rPr>
          <w:rFonts w:hint="eastAsia" w:ascii="仿宋" w:hAnsi="仿宋" w:eastAsia="仿宋"/>
          <w:b/>
          <w:sz w:val="32"/>
          <w:szCs w:val="32"/>
        </w:rPr>
        <w:t>（注：单位</w:t>
      </w:r>
      <w:r>
        <w:rPr>
          <w:rFonts w:hint="eastAsia" w:ascii="仿宋_GB2312" w:hAnsi="仿宋_GB2312" w:eastAsia="仿宋_GB2312" w:cs="仿宋_GB2312"/>
          <w:b/>
          <w:sz w:val="32"/>
          <w:szCs w:val="32"/>
        </w:rPr>
        <w:t>2021年特定目标类部门预算项目绩效目标自评表为本部门2021年部门整体支出绩效评价报告中涉及本单位的附表</w:t>
      </w:r>
      <w:r>
        <w:rPr>
          <w:rFonts w:hint="eastAsia" w:ascii="仿宋" w:hAnsi="仿宋" w:eastAsia="仿宋"/>
          <w:b/>
          <w:sz w:val="32"/>
          <w:szCs w:val="32"/>
        </w:rPr>
        <w:t>）</w:t>
      </w:r>
    </w:p>
    <w:p w14:paraId="71A10B40">
      <w:pPr>
        <w:pStyle w:val="2"/>
        <w:spacing w:before="93"/>
      </w:pPr>
    </w:p>
    <w:p w14:paraId="6D587F16">
      <w:pPr>
        <w:numPr>
          <w:ilvl w:val="0"/>
          <w:numId w:val="4"/>
        </w:numPr>
        <w:spacing w:line="600" w:lineRule="exact"/>
        <w:ind w:firstLine="660" w:firstLineChars="150"/>
        <w:jc w:val="center"/>
        <w:outlineLvl w:val="0"/>
        <w:rPr>
          <w:rStyle w:val="25"/>
          <w:rFonts w:ascii="黑体" w:hAnsi="黑体" w:eastAsia="黑体"/>
          <w:b w:val="0"/>
        </w:rPr>
      </w:pPr>
      <w:bookmarkStart w:id="51" w:name="_Toc15396613"/>
      <w:bookmarkStart w:id="52" w:name="_Toc15377225"/>
      <w:r>
        <w:rPr>
          <w:rFonts w:hint="eastAsia" w:ascii="黑体" w:hAnsi="黑体" w:eastAsia="黑体"/>
          <w:sz w:val="44"/>
          <w:szCs w:val="44"/>
        </w:rPr>
        <w:t>名</w:t>
      </w:r>
      <w:r>
        <w:rPr>
          <w:rStyle w:val="25"/>
          <w:rFonts w:hint="eastAsia" w:ascii="黑体" w:hAnsi="黑体" w:eastAsia="黑体"/>
          <w:b w:val="0"/>
        </w:rPr>
        <w:t>词解释</w:t>
      </w:r>
      <w:bookmarkEnd w:id="51"/>
      <w:bookmarkEnd w:id="52"/>
    </w:p>
    <w:p w14:paraId="4592B366">
      <w:pPr>
        <w:spacing w:line="600" w:lineRule="exact"/>
        <w:jc w:val="left"/>
        <w:rPr>
          <w:rFonts w:ascii="宋体"/>
          <w:b/>
          <w:sz w:val="44"/>
          <w:szCs w:val="44"/>
        </w:rPr>
      </w:pPr>
    </w:p>
    <w:p w14:paraId="567BE4DD">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009BCC7">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p>
    <w:p w14:paraId="48AD9938">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.年末结转和结余：指单位按有关规定结转到下年或以后年度继续使用的资金。</w:t>
      </w:r>
    </w:p>
    <w:p w14:paraId="43AE8814">
      <w:pPr>
        <w:ind w:firstLine="640" w:firstLineChars="200"/>
        <w:rPr>
          <w:rFonts w:ascii="仿宋_GB2312" w:eastAsia="仿宋_GB2312"/>
          <w:sz w:val="32"/>
          <w:szCs w:val="32"/>
        </w:rPr>
      </w:pPr>
      <w:r>
        <w:rPr>
          <w:rFonts w:ascii="仿宋_GB2312" w:eastAsia="仿宋_GB2312"/>
          <w:sz w:val="32"/>
          <w:szCs w:val="32"/>
        </w:rPr>
        <w:t>4.</w:t>
      </w:r>
      <w:r>
        <w:rPr>
          <w:rFonts w:hint="eastAsia" w:ascii="仿宋" w:hAnsi="仿宋" w:eastAsia="仿宋" w:cs="仿宋"/>
          <w:color w:val="000000"/>
          <w:kern w:val="0"/>
          <w:sz w:val="32"/>
          <w:szCs w:val="32"/>
        </w:rPr>
        <w:t>一般公共服务支出（类）审计业务（款）行政运行（项）：指行政单位（包</w:t>
      </w:r>
      <w:r>
        <w:rPr>
          <w:rFonts w:hint="eastAsia" w:ascii="仿宋" w:hAnsi="仿宋" w:eastAsia="仿宋" w:cs="仿宋"/>
          <w:color w:val="000000"/>
          <w:sz w:val="32"/>
          <w:szCs w:val="32"/>
        </w:rPr>
        <w:t>括实行公务员管理的事业单位）的基本支出。</w:t>
      </w:r>
    </w:p>
    <w:p w14:paraId="5B6AB77A">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 w:hAnsi="仿宋" w:eastAsia="仿宋" w:cs="仿宋"/>
          <w:color w:val="000000"/>
          <w:kern w:val="0"/>
          <w:sz w:val="32"/>
          <w:szCs w:val="32"/>
        </w:rPr>
        <w:t>一般公共服务支出（类）审计业务（款）一般行政管理事务（项）：指行政单位（包括实行公务员管理的事业单位）未单独设置项级科目的其他项目支出。</w:t>
      </w:r>
    </w:p>
    <w:p w14:paraId="42DB281E">
      <w:pPr>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 w:hAnsi="仿宋" w:eastAsia="仿宋" w:cs="仿宋"/>
          <w:color w:val="000000"/>
          <w:kern w:val="0"/>
          <w:sz w:val="32"/>
          <w:szCs w:val="32"/>
        </w:rPr>
        <w:t>一般公共服务支出（类）审计业务（款）审计业务（项）：指审计部门</w:t>
      </w:r>
      <w:r>
        <w:rPr>
          <w:rFonts w:hint="eastAsia" w:ascii="仿宋" w:hAnsi="仿宋" w:eastAsia="仿宋" w:cs="仿宋"/>
          <w:color w:val="000000"/>
          <w:kern w:val="0"/>
          <w:sz w:val="32"/>
          <w:szCs w:val="32"/>
          <w:lang w:eastAsia="zh-CN"/>
        </w:rPr>
        <w:t>法治建设</w:t>
      </w:r>
      <w:r>
        <w:rPr>
          <w:rFonts w:hint="eastAsia" w:ascii="仿宋" w:hAnsi="仿宋" w:eastAsia="仿宋" w:cs="仿宋"/>
          <w:color w:val="000000"/>
          <w:kern w:val="0"/>
          <w:sz w:val="32"/>
          <w:szCs w:val="32"/>
        </w:rPr>
        <w:t>、审计质量控制、审计结果公告、宣传、教育、职称考试等方面的支出。</w:t>
      </w:r>
    </w:p>
    <w:p w14:paraId="6B774A59">
      <w:pPr>
        <w:ind w:firstLine="640" w:firstLineChars="200"/>
        <w:rPr>
          <w:rFonts w:ascii="仿宋_GB2312" w:eastAsia="仿宋_GB2312"/>
          <w:sz w:val="32"/>
          <w:szCs w:val="32"/>
        </w:rPr>
      </w:pPr>
      <w:r>
        <w:rPr>
          <w:rFonts w:ascii="仿宋_GB2312" w:eastAsia="仿宋_GB2312"/>
          <w:sz w:val="32"/>
          <w:szCs w:val="32"/>
        </w:rPr>
        <w:t>7.</w:t>
      </w:r>
      <w:r>
        <w:rPr>
          <w:rFonts w:hint="eastAsia" w:ascii="仿宋" w:hAnsi="仿宋" w:eastAsia="仿宋" w:cs="仿宋"/>
          <w:color w:val="000000"/>
          <w:kern w:val="0"/>
          <w:sz w:val="32"/>
          <w:szCs w:val="32"/>
        </w:rPr>
        <w:t>一般公共服务支出（类）审计业务（款）信息化建设（项）：指审计部门用于信息化建设方面的支出。</w:t>
      </w:r>
    </w:p>
    <w:p w14:paraId="117F7944">
      <w:pPr>
        <w:spacing w:line="60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 w:hAnsi="仿宋" w:eastAsia="仿宋" w:cs="仿宋"/>
          <w:color w:val="000000"/>
          <w:kern w:val="0"/>
          <w:sz w:val="32"/>
          <w:szCs w:val="32"/>
        </w:rPr>
        <w:t>一般公共服务支出（类）审计业务（款）事业运行（项）：指事业退休人员的公用经费支出。</w:t>
      </w:r>
    </w:p>
    <w:p w14:paraId="2309C46F">
      <w:pPr>
        <w:spacing w:line="60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 w:hAnsi="仿宋" w:eastAsia="仿宋" w:cs="仿宋"/>
          <w:color w:val="000000"/>
          <w:kern w:val="0"/>
          <w:sz w:val="32"/>
          <w:szCs w:val="32"/>
        </w:rPr>
        <w:t>社会保障和就业支出（类）行政事业单位离退休（款）未归口管理的行政单位离退休（项）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指未实行归口管理的行政单位（包括实行公务员管理的事业单位）开支的离退休支出。</w:t>
      </w:r>
    </w:p>
    <w:p w14:paraId="50DC034C">
      <w:pPr>
        <w:spacing w:line="600" w:lineRule="exact"/>
        <w:ind w:firstLine="640" w:firstLineChars="200"/>
        <w:rPr>
          <w:rFonts w:ascii="仿宋" w:hAnsi="仿宋" w:eastAsia="仿宋" w:cs="仿宋"/>
          <w:color w:val="000000"/>
          <w:kern w:val="0"/>
          <w:sz w:val="32"/>
          <w:szCs w:val="32"/>
        </w:rPr>
      </w:pPr>
      <w:r>
        <w:rPr>
          <w:rFonts w:ascii="仿宋_GB2312" w:eastAsia="仿宋_GB2312"/>
          <w:sz w:val="32"/>
          <w:szCs w:val="32"/>
        </w:rPr>
        <w:t>10.</w:t>
      </w:r>
      <w:r>
        <w:rPr>
          <w:rFonts w:hint="eastAsia" w:ascii="仿宋" w:hAnsi="仿宋" w:eastAsia="仿宋" w:cs="仿宋"/>
          <w:color w:val="000000"/>
          <w:kern w:val="0"/>
          <w:sz w:val="32"/>
          <w:szCs w:val="32"/>
        </w:rPr>
        <w:t>卫生健康支出（类）行政事业单位医疗（款）行政单位医疗（项）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指财政部门集中安排的行政单位基本医疗保险缴费经费。</w:t>
      </w:r>
    </w:p>
    <w:p w14:paraId="0CA32EF7">
      <w:pPr>
        <w:spacing w:line="600" w:lineRule="exact"/>
        <w:ind w:firstLine="640" w:firstLineChars="200"/>
        <w:rPr>
          <w:rFonts w:ascii="仿宋" w:hAnsi="仿宋" w:eastAsia="仿宋" w:cs="仿宋"/>
          <w:color w:val="000000"/>
          <w:kern w:val="0"/>
          <w:sz w:val="32"/>
          <w:szCs w:val="32"/>
        </w:rPr>
      </w:pPr>
      <w:r>
        <w:rPr>
          <w:rFonts w:ascii="仿宋_GB2312" w:eastAsia="仿宋_GB2312"/>
          <w:sz w:val="32"/>
          <w:szCs w:val="32"/>
        </w:rPr>
        <w:t>11.</w:t>
      </w:r>
      <w:r>
        <w:rPr>
          <w:rFonts w:hint="eastAsia" w:ascii="仿宋" w:hAnsi="仿宋" w:eastAsia="仿宋" w:cs="仿宋"/>
          <w:color w:val="000000"/>
          <w:kern w:val="0"/>
          <w:sz w:val="32"/>
          <w:szCs w:val="32"/>
        </w:rPr>
        <w:t>卫生健康支出（类）行政事业单位医疗（款）公务员医疗补助（项）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指财政部门集中安排的公务员医疗补助经费。</w:t>
      </w:r>
    </w:p>
    <w:p w14:paraId="7B095CB7">
      <w:pPr>
        <w:ind w:firstLine="640" w:firstLineChars="200"/>
        <w:rPr>
          <w:rFonts w:ascii="仿宋_GB2312" w:eastAsia="仿宋_GB2312"/>
          <w:sz w:val="32"/>
          <w:szCs w:val="32"/>
        </w:rPr>
      </w:pPr>
      <w:r>
        <w:rPr>
          <w:rFonts w:ascii="仿宋_GB2312" w:eastAsia="仿宋_GB2312"/>
          <w:sz w:val="32"/>
          <w:szCs w:val="32"/>
        </w:rPr>
        <w:t>12.</w:t>
      </w:r>
      <w:r>
        <w:rPr>
          <w:rFonts w:hint="eastAsia" w:ascii="仿宋" w:hAnsi="仿宋" w:eastAsia="仿宋" w:cs="仿宋"/>
          <w:color w:val="000000"/>
          <w:kern w:val="0"/>
          <w:sz w:val="32"/>
          <w:szCs w:val="32"/>
        </w:rPr>
        <w:t>住房保障支出（类）住房改革支出（款）住房公积金（项）：指行政事业单位按人力资源和社会保障部、财政部规定的基本工资和津贴补贴以及规定比例为职工缴纳的住房公积金。</w:t>
      </w:r>
    </w:p>
    <w:p w14:paraId="3956DCCB">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基本支出：指为保障机构正常运转、完成日常工作任务而发生的人员支出和公用支出。</w:t>
      </w:r>
    </w:p>
    <w:p w14:paraId="7AFC9C9C">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项目支出：指在基本支出之外为完成特定行政任务和事业发展目标所发生的支出。</w:t>
      </w:r>
    </w:p>
    <w:p w14:paraId="5502B613">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经营支出：指事业单位在专业业务活动及其辅助活动之外开展非独立核算经营活动发生的支出。</w:t>
      </w:r>
    </w:p>
    <w:p w14:paraId="08836032">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16.</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E41A5FB">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17.</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8821CA">
      <w:pPr>
        <w:pStyle w:val="23"/>
        <w:spacing w:line="560" w:lineRule="exact"/>
        <w:ind w:firstLine="640" w:firstLineChars="200"/>
        <w:rPr>
          <w:rFonts w:ascii="仿宋_GB2312" w:eastAsia="仿宋_GB2312" w:cs="黑体"/>
          <w:color w:val="auto"/>
          <w:sz w:val="32"/>
          <w:szCs w:val="32"/>
        </w:rPr>
      </w:pPr>
    </w:p>
    <w:p w14:paraId="7D697498">
      <w:pPr>
        <w:spacing w:line="600" w:lineRule="exact"/>
        <w:jc w:val="center"/>
        <w:outlineLvl w:val="0"/>
        <w:rPr>
          <w:rStyle w:val="25"/>
          <w:rFonts w:ascii="黑体" w:hAnsi="黑体" w:eastAsia="黑体"/>
          <w:b w:val="0"/>
        </w:rPr>
      </w:pPr>
      <w:bookmarkStart w:id="53" w:name="_Toc15377226"/>
      <w:r>
        <w:rPr>
          <w:rFonts w:ascii="宋体"/>
          <w:b/>
          <w:sz w:val="44"/>
          <w:szCs w:val="44"/>
        </w:rPr>
        <w:br w:type="page"/>
      </w:r>
      <w:bookmarkStart w:id="54" w:name="_Toc15396614"/>
      <w:r>
        <w:rPr>
          <w:rFonts w:hint="eastAsia" w:ascii="黑体" w:hAnsi="黑体" w:eastAsia="黑体"/>
          <w:sz w:val="44"/>
          <w:szCs w:val="44"/>
        </w:rPr>
        <w:t>第</w:t>
      </w:r>
      <w:r>
        <w:rPr>
          <w:rStyle w:val="25"/>
          <w:rFonts w:hint="eastAsia" w:ascii="黑体" w:hAnsi="黑体" w:eastAsia="黑体"/>
          <w:b w:val="0"/>
        </w:rPr>
        <w:t>四部分 附件</w:t>
      </w:r>
      <w:bookmarkEnd w:id="54"/>
    </w:p>
    <w:p w14:paraId="0F8F5DE8">
      <w:pPr>
        <w:spacing w:line="572" w:lineRule="exact"/>
        <w:jc w:val="left"/>
        <w:outlineLvl w:val="0"/>
        <w:rPr>
          <w:rFonts w:ascii="黑体" w:hAnsi="黑体" w:eastAsia="黑体" w:cs="黑体"/>
          <w:sz w:val="32"/>
          <w:szCs w:val="32"/>
        </w:rPr>
      </w:pPr>
    </w:p>
    <w:p w14:paraId="4E7A8F7E">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附件1</w:t>
      </w:r>
    </w:p>
    <w:p w14:paraId="53D344B6">
      <w:pPr>
        <w:spacing w:line="572" w:lineRule="exact"/>
        <w:jc w:val="center"/>
        <w:rPr>
          <w:rFonts w:ascii="方正小标宋简体" w:hAnsi="宋体" w:eastAsia="方正小标宋简体"/>
          <w:kern w:val="0"/>
          <w:sz w:val="40"/>
          <w:szCs w:val="44"/>
          <w:lang w:val="zh-CN"/>
        </w:rPr>
      </w:pPr>
      <w:bookmarkStart w:id="55" w:name="_Toc1388113248_WPSOffice_Level2"/>
      <w:r>
        <w:rPr>
          <w:rFonts w:ascii="方正小标宋简体" w:hAnsi="宋体" w:eastAsia="方正小标宋简体"/>
          <w:kern w:val="0"/>
          <w:sz w:val="40"/>
          <w:szCs w:val="44"/>
        </w:rPr>
        <w:t>2021</w:t>
      </w:r>
      <w:r>
        <w:rPr>
          <w:rFonts w:hint="eastAsia" w:ascii="方正小标宋简体" w:hAnsi="宋体" w:eastAsia="方正小标宋简体"/>
          <w:kern w:val="0"/>
          <w:sz w:val="40"/>
          <w:szCs w:val="44"/>
        </w:rPr>
        <w:t>年</w:t>
      </w:r>
      <w:r>
        <w:rPr>
          <w:rFonts w:ascii="方正小标宋简体" w:hAnsi="宋体" w:eastAsia="方正小标宋简体"/>
          <w:kern w:val="0"/>
          <w:sz w:val="40"/>
          <w:szCs w:val="44"/>
        </w:rPr>
        <w:t>盐边县</w:t>
      </w:r>
      <w:r>
        <w:rPr>
          <w:rFonts w:hint="eastAsia" w:ascii="方正小标宋简体" w:hAnsi="宋体" w:eastAsia="方正小标宋简体"/>
          <w:kern w:val="0"/>
          <w:sz w:val="40"/>
          <w:szCs w:val="44"/>
        </w:rPr>
        <w:t>审计局部门整体绩效评价报告</w:t>
      </w:r>
      <w:bookmarkEnd w:id="55"/>
    </w:p>
    <w:p w14:paraId="06A493BB">
      <w:pPr>
        <w:spacing w:line="560" w:lineRule="exact"/>
        <w:jc w:val="left"/>
        <w:rPr>
          <w:rFonts w:eastAsia="方正仿宋_GBK"/>
          <w:b/>
          <w:color w:val="000000"/>
          <w:sz w:val="32"/>
          <w:szCs w:val="32"/>
        </w:rPr>
      </w:pPr>
      <w:r>
        <w:rPr>
          <w:rFonts w:eastAsia="黑体"/>
          <w:bCs/>
          <w:color w:val="000000"/>
          <w:sz w:val="32"/>
          <w:szCs w:val="32"/>
        </w:rPr>
        <w:t>一、部门概况</w:t>
      </w:r>
    </w:p>
    <w:p w14:paraId="35C1505C">
      <w:pPr>
        <w:widowControl/>
        <w:adjustRightInd w:val="0"/>
        <w:snapToGrid w:val="0"/>
        <w:spacing w:line="560" w:lineRule="exact"/>
        <w:jc w:val="left"/>
        <w:rPr>
          <w:rFonts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w:t>
      </w:r>
      <w:r>
        <w:rPr>
          <w:rFonts w:eastAsia="楷体_GB2312"/>
          <w:b/>
          <w:bCs/>
          <w:sz w:val="32"/>
          <w:szCs w:val="32"/>
          <w:lang w:val="zh-CN"/>
        </w:rPr>
        <w:t>一</w:t>
      </w:r>
      <w:r>
        <w:rPr>
          <w:rFonts w:eastAsia="仿宋_GB2312"/>
          <w:b/>
          <w:bCs/>
          <w:color w:val="000000"/>
          <w:kern w:val="0"/>
          <w:sz w:val="32"/>
          <w:szCs w:val="32"/>
          <w:shd w:val="clear" w:color="auto" w:fill="FFFFFF"/>
          <w:lang w:val="zh-CN"/>
        </w:rPr>
        <w:t>）</w:t>
      </w:r>
      <w:r>
        <w:rPr>
          <w:rFonts w:eastAsia="楷体_GB2312"/>
          <w:b/>
          <w:bCs/>
          <w:sz w:val="32"/>
          <w:szCs w:val="32"/>
          <w:lang w:val="zh-CN"/>
        </w:rPr>
        <w:t>机构组成。</w:t>
      </w:r>
    </w:p>
    <w:p w14:paraId="2B2A1E3B">
      <w:pPr>
        <w:widowControl/>
        <w:adjustRightInd w:val="0"/>
        <w:snapToGrid w:val="0"/>
        <w:spacing w:line="560" w:lineRule="exact"/>
        <w:ind w:firstLine="640"/>
        <w:jc w:val="left"/>
        <w:rPr>
          <w:rFonts w:eastAsia="方正仿宋_GBK"/>
          <w:color w:val="000000"/>
          <w:sz w:val="32"/>
          <w:szCs w:val="32"/>
          <w:shd w:val="clear" w:color="auto" w:fill="FFFFFF"/>
        </w:rPr>
      </w:pPr>
      <w:r>
        <w:rPr>
          <w:rFonts w:eastAsia="方正仿宋_GBK"/>
          <w:color w:val="000000"/>
          <w:sz w:val="32"/>
          <w:szCs w:val="32"/>
          <w:shd w:val="clear" w:color="auto" w:fill="FFFFFF"/>
        </w:rPr>
        <w:t>盐边县审计局</w:t>
      </w:r>
      <w:r>
        <w:rPr>
          <w:rFonts w:hint="eastAsia" w:eastAsia="方正仿宋_GBK"/>
          <w:color w:val="000000"/>
          <w:sz w:val="32"/>
          <w:szCs w:val="32"/>
          <w:shd w:val="clear" w:color="auto" w:fill="FFFFFF"/>
        </w:rPr>
        <w:t>内设办公室、固定资产投资审计股、农业社保和企业审计股、财政和行政事业审计股、经济责任审计股，下属参公管理事业单位盐边县投资审计服务中心。</w:t>
      </w:r>
      <w:r>
        <w:rPr>
          <w:rFonts w:eastAsia="方正仿宋_GBK"/>
          <w:color w:val="000000"/>
          <w:sz w:val="32"/>
          <w:szCs w:val="32"/>
          <w:shd w:val="clear" w:color="auto" w:fill="FFFFFF"/>
        </w:rPr>
        <w:t>其下属单位财务、人事未独立核算。</w:t>
      </w:r>
    </w:p>
    <w:p w14:paraId="4198AAF4">
      <w:pPr>
        <w:widowControl/>
        <w:adjustRightInd w:val="0"/>
        <w:snapToGrid w:val="0"/>
        <w:spacing w:line="560" w:lineRule="exact"/>
        <w:ind w:firstLine="640"/>
        <w:jc w:val="left"/>
        <w:rPr>
          <w:rFonts w:eastAsia="方正仿宋_GBK"/>
          <w:color w:val="000000"/>
          <w:sz w:val="32"/>
          <w:szCs w:val="32"/>
          <w:shd w:val="clear" w:color="auto" w:fill="FFFFFF"/>
        </w:rPr>
      </w:pPr>
      <w:r>
        <w:rPr>
          <w:rFonts w:eastAsia="仿宋_GB2312"/>
          <w:b/>
          <w:bCs/>
          <w:color w:val="000000"/>
          <w:kern w:val="0"/>
          <w:sz w:val="32"/>
          <w:szCs w:val="32"/>
          <w:shd w:val="clear" w:color="auto" w:fill="FFFFFF"/>
          <w:lang w:val="zh-CN"/>
        </w:rPr>
        <w:t>（二）机构职能。</w:t>
      </w:r>
    </w:p>
    <w:p w14:paraId="543EE945">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 xml:space="preserve"> 1.主管全县审计工作。负责对县级财政收支和法律法规规定属于审计监督范围的财务收支的真实、合法和效益进行审计监督，对公共资金、国有资产、国有资源和领导干部履行经济责任情况实行审计全覆盖，对领导干部实行自然资源资产离任审计，对国家和省市有关重大政策措施贯彻落实情况进行跟踪审计。对审计、专项审计调查和核查社会审计机构相关审计报告的结果承担责任，并负有督促被审计单位整改的责任。</w:t>
      </w:r>
    </w:p>
    <w:p w14:paraId="6093A094">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2.贯彻执行国家、省、市有关审计工作的方针政策和法律法规。起草地方性审计规范性文件。制定并组织实施全县专业领域审计工作规划。参与起草地方性财政经济及相关规范性文件。组织对全县性重大投资项目、重大突发性公共事项、重要专项资金的审计和专项审计调查。对直接审计、调查和核查的事项依法进行审计评价，作出审计决定或提出审计建议。</w:t>
      </w:r>
    </w:p>
    <w:p w14:paraId="1730B83F">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3.向县委审计委员会提出年度县级预算执行和其他财政支出情况审计报告。向县政府和市审计局提出年度县级预算执行及其他财政收支情况的审计结果报告。受县政府委托向县人大常委会提出县级预算执行和其他财政收支情况的审计工作报告，审计查出问题整改情况报告。向县委、县政府报告对其他事项的审计和专项审计调查情况及结果。依法向社会公布审计结果。向县级有关单位（单位）和乡（镇）党委、政府通报审计情况和审计结果。</w:t>
      </w:r>
    </w:p>
    <w:p w14:paraId="7327F6A0">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4.直接审计下列事项，出具审计报告，在法定职权范围内作出审计决定，包括国家和省市县有关重大政策措施贯彻落实情况；县级预算执行情况和其他财政收支，县级各单位（单位）预算执行情况、决算草案和其他财政收支；乡（镇）政府预算执行情况、决算草案和其他财政收支，县级财政转移支付资金；使用县级财政资金的事业单位和社会团体的财务收支；县级政府投资和以县级政府投资为主的建设项目的预算执行情况和决算，县级重大公共工程项目的资金管理使用和建设运营情况，自然资源管理，污染防治和生态保护与修复情况；县属国有企业和地方金融机构、国有资本占控股或主导地位的企业和金融机构境内外资产、负债和损益，县政府及有关单位驻外非经营性机构的财务收支；有关社会保障基金、社会捐赠资金、安全生产和职业健康财政资金以及其他基金资金、资金的财务收支；国际组织和外国政府援助、贷款项目；法律法规规定的其他事项。</w:t>
      </w:r>
    </w:p>
    <w:p w14:paraId="1F82A911">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5.按规定对县管党政主要领导干部及其他单位主要负责人实施经济责任审计和自然资源资产离任审计。</w:t>
      </w:r>
    </w:p>
    <w:p w14:paraId="4A83419B">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6.组织实施对国家财经法律法规、规章、政策和宏观调控措施执行情况、财政预算管理及国有资产管理使用等与县级财政收支有关的特定事项进行专项审计调查。</w:t>
      </w:r>
    </w:p>
    <w:p w14:paraId="4734BFC5">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7.依法检查审计决定执行情况，督促整改审计查出的问题，依法办理被审计单位对审计决定提请行政复议、行政诉讼或县政府裁决中的有关事项，协助配合有关单位查处相关重大案件。</w:t>
      </w:r>
    </w:p>
    <w:p w14:paraId="7C1874CB">
      <w:pPr>
        <w:widowControl/>
        <w:adjustRightInd w:val="0"/>
        <w:snapToGrid w:val="0"/>
        <w:spacing w:line="560" w:lineRule="exact"/>
        <w:ind w:firstLine="640"/>
        <w:jc w:val="left"/>
        <w:rPr>
          <w:rFonts w:eastAsia="楷体_GB2312"/>
          <w:b/>
          <w:bCs/>
          <w:sz w:val="32"/>
          <w:szCs w:val="32"/>
          <w:lang w:val="zh-CN"/>
        </w:rPr>
      </w:pPr>
      <w:r>
        <w:rPr>
          <w:rFonts w:eastAsia="楷体_GB2312"/>
          <w:b/>
          <w:bCs/>
          <w:sz w:val="32"/>
          <w:szCs w:val="32"/>
          <w:lang w:val="zh-CN"/>
        </w:rPr>
        <w:t>（三）人员概况。</w:t>
      </w:r>
    </w:p>
    <w:p w14:paraId="341911B9">
      <w:pPr>
        <w:spacing w:line="560" w:lineRule="exact"/>
        <w:ind w:firstLine="640" w:firstLineChars="200"/>
        <w:jc w:val="left"/>
        <w:rPr>
          <w:rFonts w:eastAsia="方正仿宋_GBK"/>
          <w:color w:val="000000"/>
          <w:sz w:val="32"/>
          <w:szCs w:val="32"/>
          <w:shd w:val="clear" w:color="auto" w:fill="FFFFFF"/>
        </w:rPr>
      </w:pPr>
      <w:r>
        <w:rPr>
          <w:rFonts w:eastAsia="方正仿宋_GBK"/>
          <w:color w:val="000000"/>
          <w:sz w:val="32"/>
          <w:szCs w:val="32"/>
          <w:shd w:val="clear" w:color="auto" w:fill="FFFFFF"/>
        </w:rPr>
        <w:t>盐边县审计局总编制</w:t>
      </w:r>
      <w:r>
        <w:rPr>
          <w:rFonts w:hint="eastAsia" w:eastAsia="方正仿宋_GBK"/>
          <w:color w:val="000000"/>
          <w:sz w:val="32"/>
          <w:szCs w:val="32"/>
          <w:shd w:val="clear" w:color="auto" w:fill="FFFFFF"/>
        </w:rPr>
        <w:t>12</w:t>
      </w:r>
      <w:r>
        <w:rPr>
          <w:rFonts w:eastAsia="方正仿宋_GBK"/>
          <w:color w:val="000000"/>
          <w:sz w:val="32"/>
          <w:szCs w:val="32"/>
          <w:shd w:val="clear" w:color="auto" w:fill="FFFFFF"/>
        </w:rPr>
        <w:t>名，其中：行政编制</w:t>
      </w:r>
      <w:r>
        <w:rPr>
          <w:rFonts w:hint="eastAsia" w:eastAsia="方正仿宋_GBK"/>
          <w:color w:val="000000"/>
          <w:sz w:val="32"/>
          <w:szCs w:val="32"/>
          <w:shd w:val="clear" w:color="auto" w:fill="FFFFFF"/>
        </w:rPr>
        <w:t>11</w:t>
      </w:r>
      <w:r>
        <w:rPr>
          <w:rFonts w:eastAsia="方正仿宋_GBK"/>
          <w:color w:val="000000"/>
          <w:sz w:val="32"/>
          <w:szCs w:val="32"/>
          <w:shd w:val="clear" w:color="auto" w:fill="FFFFFF"/>
        </w:rPr>
        <w:t>名、工勤编制1名，年末实有人数</w:t>
      </w:r>
      <w:r>
        <w:rPr>
          <w:rFonts w:hint="eastAsia" w:eastAsia="方正仿宋_GBK"/>
          <w:color w:val="000000"/>
          <w:sz w:val="32"/>
          <w:szCs w:val="32"/>
          <w:shd w:val="clear" w:color="auto" w:fill="FFFFFF"/>
        </w:rPr>
        <w:t>10人</w:t>
      </w:r>
      <w:r>
        <w:rPr>
          <w:rFonts w:eastAsia="方正仿宋_GBK"/>
          <w:color w:val="000000"/>
          <w:sz w:val="32"/>
          <w:szCs w:val="32"/>
          <w:shd w:val="clear" w:color="auto" w:fill="FFFFFF"/>
        </w:rPr>
        <w:t>；参照公务员管理事业单位编制</w:t>
      </w:r>
      <w:r>
        <w:rPr>
          <w:rFonts w:hint="eastAsia" w:eastAsia="方正仿宋_GBK"/>
          <w:color w:val="000000"/>
          <w:sz w:val="32"/>
          <w:szCs w:val="32"/>
          <w:shd w:val="clear" w:color="auto" w:fill="FFFFFF"/>
        </w:rPr>
        <w:t>8</w:t>
      </w:r>
      <w:r>
        <w:rPr>
          <w:rFonts w:eastAsia="方正仿宋_GBK"/>
          <w:color w:val="000000"/>
          <w:sz w:val="32"/>
          <w:szCs w:val="32"/>
          <w:shd w:val="clear" w:color="auto" w:fill="FFFFFF"/>
        </w:rPr>
        <w:t>名</w:t>
      </w:r>
      <w:r>
        <w:rPr>
          <w:rFonts w:hint="eastAsia" w:eastAsia="方正仿宋_GBK"/>
          <w:color w:val="000000"/>
          <w:sz w:val="32"/>
          <w:szCs w:val="32"/>
          <w:shd w:val="clear" w:color="auto" w:fill="FFFFFF"/>
        </w:rPr>
        <w:t>，</w:t>
      </w:r>
      <w:r>
        <w:rPr>
          <w:rFonts w:eastAsia="方正仿宋_GBK"/>
          <w:color w:val="000000"/>
          <w:sz w:val="32"/>
          <w:szCs w:val="32"/>
          <w:shd w:val="clear" w:color="auto" w:fill="FFFFFF"/>
        </w:rPr>
        <w:t>年末实有人数</w:t>
      </w:r>
      <w:r>
        <w:rPr>
          <w:rFonts w:hint="eastAsia" w:eastAsia="方正仿宋_GBK"/>
          <w:color w:val="000000"/>
          <w:sz w:val="32"/>
          <w:szCs w:val="32"/>
          <w:shd w:val="clear" w:color="auto" w:fill="FFFFFF"/>
        </w:rPr>
        <w:t>8</w:t>
      </w:r>
      <w:r>
        <w:rPr>
          <w:rFonts w:eastAsia="方正仿宋_GBK"/>
          <w:color w:val="000000"/>
          <w:sz w:val="32"/>
          <w:szCs w:val="32"/>
          <w:shd w:val="clear" w:color="auto" w:fill="FFFFFF"/>
        </w:rPr>
        <w:t>人。</w:t>
      </w:r>
    </w:p>
    <w:p w14:paraId="0339DD44">
      <w:pPr>
        <w:spacing w:line="560" w:lineRule="exact"/>
        <w:ind w:firstLine="640" w:firstLineChars="200"/>
        <w:jc w:val="left"/>
        <w:rPr>
          <w:rFonts w:eastAsia="黑体"/>
          <w:sz w:val="32"/>
          <w:szCs w:val="32"/>
        </w:rPr>
      </w:pPr>
      <w:r>
        <w:rPr>
          <w:rFonts w:hint="eastAsia" w:eastAsia="黑体"/>
          <w:sz w:val="32"/>
          <w:szCs w:val="32"/>
        </w:rPr>
        <w:t>二、</w:t>
      </w:r>
      <w:r>
        <w:rPr>
          <w:rFonts w:eastAsia="黑体"/>
          <w:sz w:val="32"/>
          <w:szCs w:val="32"/>
        </w:rPr>
        <w:t>部门财政资金基本情况</w:t>
      </w:r>
    </w:p>
    <w:p w14:paraId="248A4AC1">
      <w:pPr>
        <w:pStyle w:val="7"/>
        <w:spacing w:line="560" w:lineRule="exact"/>
        <w:jc w:val="left"/>
        <w:rPr>
          <w:rFonts w:ascii="Times New Roman" w:hAnsi="Times New Roman" w:eastAsia="楷体_GB2312"/>
          <w:b/>
          <w:bCs/>
          <w:sz w:val="32"/>
          <w:szCs w:val="32"/>
        </w:rPr>
      </w:pPr>
      <w:r>
        <w:rPr>
          <w:rFonts w:ascii="Times New Roman" w:hAnsi="Times New Roman" w:eastAsia="楷体_GB2312"/>
          <w:b/>
          <w:bCs/>
          <w:sz w:val="32"/>
          <w:szCs w:val="32"/>
        </w:rPr>
        <w:t>（一）部门财政资金收入情况。</w:t>
      </w:r>
    </w:p>
    <w:p w14:paraId="0371621D">
      <w:pPr>
        <w:spacing w:line="560" w:lineRule="exact"/>
        <w:ind w:firstLine="640" w:firstLineChars="200"/>
        <w:jc w:val="left"/>
        <w:rPr>
          <w:rFonts w:eastAsia="方正仿宋_GBK"/>
          <w:color w:val="000000"/>
          <w:sz w:val="32"/>
          <w:szCs w:val="32"/>
          <w:shd w:val="clear" w:color="auto" w:fill="FFFFFF"/>
        </w:rPr>
      </w:pPr>
      <w:r>
        <w:rPr>
          <w:rFonts w:eastAsia="方正仿宋_GBK"/>
          <w:color w:val="000000"/>
          <w:sz w:val="32"/>
          <w:szCs w:val="32"/>
          <w:shd w:val="clear" w:color="auto" w:fill="FFFFFF"/>
        </w:rPr>
        <w:t>2021年我单位</w:t>
      </w:r>
      <w:r>
        <w:rPr>
          <w:rFonts w:hint="eastAsia" w:eastAsia="方正仿宋_GBK"/>
          <w:color w:val="000000"/>
          <w:sz w:val="32"/>
          <w:szCs w:val="32"/>
          <w:shd w:val="clear" w:color="auto" w:fill="FFFFFF"/>
        </w:rPr>
        <w:t>本年</w:t>
      </w:r>
      <w:r>
        <w:rPr>
          <w:rFonts w:eastAsia="方正仿宋_GBK"/>
          <w:color w:val="000000"/>
          <w:sz w:val="32"/>
          <w:szCs w:val="32"/>
          <w:shd w:val="clear" w:color="auto" w:fill="FFFFFF"/>
        </w:rPr>
        <w:t>收入总额为</w:t>
      </w:r>
      <w:r>
        <w:rPr>
          <w:rFonts w:hint="eastAsia" w:eastAsia="方正仿宋_GBK"/>
          <w:color w:val="000000"/>
          <w:sz w:val="32"/>
          <w:szCs w:val="32"/>
          <w:shd w:val="clear" w:color="auto" w:fill="FFFFFF"/>
        </w:rPr>
        <w:t>432.86 万元，其中一般公共预算财政拨款收入425.46万元，上年结转和结余7.40万元（财政下达化解我局以前年度财政暂付款7.40万元），与2020年相比财政拨款收入增加总计48.43万元，增加12.60%。</w:t>
      </w:r>
    </w:p>
    <w:p w14:paraId="0039C2DC">
      <w:pPr>
        <w:widowControl/>
        <w:adjustRightInd w:val="0"/>
        <w:snapToGrid w:val="0"/>
        <w:spacing w:line="580" w:lineRule="exact"/>
        <w:ind w:firstLine="643" w:firstLineChars="200"/>
        <w:contextualSpacing/>
        <w:jc w:val="left"/>
        <w:rPr>
          <w:rFonts w:eastAsia="方正仿宋_GBK"/>
          <w:color w:val="000000"/>
          <w:sz w:val="32"/>
          <w:szCs w:val="32"/>
          <w:shd w:val="clear" w:color="auto" w:fill="FFFFFF"/>
        </w:rPr>
      </w:pPr>
      <w:r>
        <w:rPr>
          <w:rFonts w:eastAsia="楷体_GB2312"/>
          <w:b/>
          <w:bCs/>
          <w:color w:val="000000"/>
          <w:sz w:val="32"/>
          <w:szCs w:val="32"/>
        </w:rPr>
        <w:t>（二）</w:t>
      </w:r>
      <w:r>
        <w:rPr>
          <w:rFonts w:eastAsia="楷体_GB2312"/>
          <w:b/>
          <w:bCs/>
          <w:sz w:val="32"/>
          <w:szCs w:val="32"/>
        </w:rPr>
        <w:t>部门财政资金</w:t>
      </w:r>
      <w:r>
        <w:rPr>
          <w:rFonts w:eastAsia="楷体_GB2312"/>
          <w:b/>
          <w:bCs/>
          <w:color w:val="000000"/>
          <w:sz w:val="32"/>
          <w:szCs w:val="32"/>
        </w:rPr>
        <w:t>支出情况。</w:t>
      </w:r>
    </w:p>
    <w:p w14:paraId="7EDC74FE">
      <w:pPr>
        <w:spacing w:line="560" w:lineRule="exact"/>
        <w:ind w:firstLine="640" w:firstLineChars="200"/>
        <w:jc w:val="left"/>
        <w:rPr>
          <w:rFonts w:eastAsia="方正仿宋_GBK"/>
          <w:color w:val="000000"/>
          <w:sz w:val="32"/>
          <w:szCs w:val="32"/>
          <w:shd w:val="clear" w:color="auto" w:fill="FFFFFF"/>
        </w:rPr>
      </w:pPr>
      <w:r>
        <w:rPr>
          <w:rFonts w:eastAsia="方正仿宋_GBK"/>
          <w:color w:val="000000"/>
          <w:sz w:val="32"/>
          <w:szCs w:val="32"/>
          <w:shd w:val="clear" w:color="auto" w:fill="FFFFFF"/>
        </w:rPr>
        <w:t>2021我单位本年支出总额</w:t>
      </w:r>
      <w:r>
        <w:rPr>
          <w:rFonts w:hint="eastAsia" w:eastAsia="方正仿宋_GBK"/>
          <w:color w:val="000000"/>
          <w:sz w:val="32"/>
          <w:szCs w:val="32"/>
          <w:shd w:val="clear" w:color="auto" w:fill="FFFFFF"/>
        </w:rPr>
        <w:t>432.86</w:t>
      </w:r>
      <w:r>
        <w:rPr>
          <w:rFonts w:eastAsia="方正仿宋_GBK"/>
          <w:color w:val="000000"/>
          <w:sz w:val="32"/>
          <w:szCs w:val="32"/>
          <w:shd w:val="clear" w:color="auto" w:fill="FFFFFF"/>
        </w:rPr>
        <w:t>万元，均为财政拨款补助支出，占总支出的100%，与</w:t>
      </w:r>
      <w:r>
        <w:rPr>
          <w:rFonts w:hint="eastAsia" w:eastAsia="方正仿宋_GBK"/>
          <w:color w:val="000000"/>
          <w:sz w:val="32"/>
          <w:szCs w:val="32"/>
          <w:shd w:val="clear" w:color="auto" w:fill="FFFFFF"/>
        </w:rPr>
        <w:t>2020年相比支出增加12.60%</w:t>
      </w:r>
      <w:r>
        <w:rPr>
          <w:rFonts w:eastAsia="方正仿宋_GBK"/>
          <w:color w:val="000000"/>
          <w:sz w:val="32"/>
          <w:szCs w:val="32"/>
          <w:shd w:val="clear" w:color="auto" w:fill="FFFFFF"/>
        </w:rPr>
        <w:t>。其中：基本支出</w:t>
      </w:r>
      <w:r>
        <w:rPr>
          <w:rFonts w:hint="eastAsia" w:eastAsia="方正仿宋_GBK"/>
          <w:color w:val="000000"/>
          <w:sz w:val="32"/>
          <w:szCs w:val="32"/>
          <w:shd w:val="clear" w:color="auto" w:fill="FFFFFF"/>
        </w:rPr>
        <w:t>376.24</w:t>
      </w:r>
      <w:r>
        <w:rPr>
          <w:rFonts w:eastAsia="方正仿宋_GBK"/>
          <w:color w:val="000000"/>
          <w:sz w:val="32"/>
          <w:szCs w:val="32"/>
          <w:shd w:val="clear" w:color="auto" w:fill="FFFFFF"/>
        </w:rPr>
        <w:t>万元，占总支出的</w:t>
      </w:r>
      <w:r>
        <w:rPr>
          <w:rFonts w:hint="eastAsia" w:eastAsia="方正仿宋_GBK"/>
          <w:color w:val="000000"/>
          <w:sz w:val="32"/>
          <w:szCs w:val="32"/>
          <w:shd w:val="clear" w:color="auto" w:fill="FFFFFF"/>
        </w:rPr>
        <w:t>86.92</w:t>
      </w:r>
      <w:r>
        <w:rPr>
          <w:rFonts w:eastAsia="方正仿宋_GBK"/>
          <w:color w:val="000000"/>
          <w:sz w:val="32"/>
          <w:szCs w:val="32"/>
          <w:shd w:val="clear" w:color="auto" w:fill="FFFFFF"/>
        </w:rPr>
        <w:t>%，项目支出</w:t>
      </w:r>
      <w:r>
        <w:rPr>
          <w:rFonts w:hint="eastAsia" w:eastAsia="方正仿宋_GBK"/>
          <w:color w:val="000000"/>
          <w:sz w:val="32"/>
          <w:szCs w:val="32"/>
          <w:shd w:val="clear" w:color="auto" w:fill="FFFFFF"/>
        </w:rPr>
        <w:t>56.62</w:t>
      </w:r>
      <w:r>
        <w:rPr>
          <w:rFonts w:eastAsia="方正仿宋_GBK"/>
          <w:color w:val="000000"/>
          <w:sz w:val="32"/>
          <w:szCs w:val="32"/>
          <w:shd w:val="clear" w:color="auto" w:fill="FFFFFF"/>
        </w:rPr>
        <w:t>万元，占总支出的</w:t>
      </w:r>
      <w:r>
        <w:rPr>
          <w:rFonts w:hint="eastAsia" w:eastAsia="方正仿宋_GBK"/>
          <w:color w:val="000000"/>
          <w:sz w:val="32"/>
          <w:szCs w:val="32"/>
          <w:shd w:val="clear" w:color="auto" w:fill="FFFFFF"/>
        </w:rPr>
        <w:t>13.08</w:t>
      </w:r>
      <w:r>
        <w:rPr>
          <w:rFonts w:eastAsia="方正仿宋_GBK"/>
          <w:color w:val="000000"/>
          <w:sz w:val="32"/>
          <w:szCs w:val="32"/>
          <w:shd w:val="clear" w:color="auto" w:fill="FFFFFF"/>
        </w:rPr>
        <w:t>%。</w:t>
      </w:r>
    </w:p>
    <w:p w14:paraId="6CEEFC35">
      <w:pPr>
        <w:pStyle w:val="7"/>
        <w:numPr>
          <w:ilvl w:val="0"/>
          <w:numId w:val="5"/>
        </w:numPr>
        <w:spacing w:line="560" w:lineRule="exact"/>
        <w:ind w:firstLine="643" w:firstLineChars="200"/>
        <w:jc w:val="left"/>
        <w:rPr>
          <w:rFonts w:ascii="Times New Roman" w:hAnsi="Times New Roman" w:eastAsia="楷体_GB2312"/>
          <w:b/>
          <w:bCs/>
          <w:sz w:val="32"/>
          <w:szCs w:val="32"/>
        </w:rPr>
      </w:pPr>
      <w:r>
        <w:rPr>
          <w:rFonts w:ascii="Times New Roman" w:hAnsi="Times New Roman" w:eastAsia="楷体_GB2312"/>
          <w:b/>
          <w:bCs/>
          <w:sz w:val="32"/>
          <w:szCs w:val="32"/>
          <w:lang w:val="zh-CN"/>
        </w:rPr>
        <w:t>结转结余情况。</w:t>
      </w:r>
    </w:p>
    <w:p w14:paraId="054EA749">
      <w:pPr>
        <w:spacing w:line="560" w:lineRule="exact"/>
        <w:ind w:firstLine="640" w:firstLineChars="200"/>
        <w:jc w:val="left"/>
        <w:rPr>
          <w:rFonts w:eastAsia="方正仿宋_GBK"/>
          <w:color w:val="000000"/>
          <w:sz w:val="32"/>
          <w:szCs w:val="32"/>
          <w:shd w:val="clear" w:color="auto" w:fill="FFFFFF"/>
        </w:rPr>
      </w:pPr>
      <w:r>
        <w:rPr>
          <w:rFonts w:hint="eastAsia" w:eastAsia="方正仿宋_GBK"/>
          <w:color w:val="000000"/>
          <w:sz w:val="32"/>
          <w:szCs w:val="32"/>
          <w:shd w:val="clear" w:color="auto" w:fill="FFFFFF"/>
        </w:rPr>
        <w:t>2021年我单位无结转结余资金。</w:t>
      </w:r>
    </w:p>
    <w:p w14:paraId="45F8EA3F">
      <w:pPr>
        <w:pStyle w:val="7"/>
        <w:spacing w:line="560" w:lineRule="exact"/>
        <w:jc w:val="left"/>
        <w:rPr>
          <w:rFonts w:ascii="Times New Roman" w:hAnsi="Times New Roman" w:eastAsia="方正仿宋_GBK"/>
          <w:b/>
          <w:color w:val="000000"/>
          <w:sz w:val="32"/>
          <w:szCs w:val="32"/>
        </w:rPr>
      </w:pPr>
      <w:r>
        <w:rPr>
          <w:rFonts w:ascii="Times New Roman" w:hAnsi="Times New Roman" w:eastAsia="黑体"/>
          <w:sz w:val="32"/>
          <w:szCs w:val="32"/>
        </w:rPr>
        <w:t>三</w:t>
      </w:r>
      <w:r>
        <w:rPr>
          <w:rFonts w:ascii="Times New Roman" w:hAnsi="Times New Roman" w:eastAsia="黑体"/>
          <w:color w:val="000000"/>
          <w:sz w:val="32"/>
          <w:szCs w:val="32"/>
        </w:rPr>
        <w:t>、部门预算绩效管理情况</w:t>
      </w:r>
    </w:p>
    <w:p w14:paraId="55BB30ED">
      <w:pPr>
        <w:numPr>
          <w:ilvl w:val="0"/>
          <w:numId w:val="6"/>
        </w:numPr>
        <w:spacing w:line="560" w:lineRule="exact"/>
        <w:ind w:firstLine="643" w:firstLineChars="200"/>
        <w:rPr>
          <w:rFonts w:eastAsia="楷体_GB2312"/>
          <w:b/>
          <w:bCs/>
          <w:sz w:val="32"/>
          <w:szCs w:val="32"/>
        </w:rPr>
      </w:pPr>
      <w:r>
        <w:rPr>
          <w:rFonts w:eastAsia="楷体_GB2312"/>
          <w:b/>
          <w:bCs/>
          <w:sz w:val="32"/>
          <w:szCs w:val="32"/>
        </w:rPr>
        <w:t>部门预算绩效管理。</w:t>
      </w:r>
    </w:p>
    <w:p w14:paraId="44A8934A">
      <w:pPr>
        <w:spacing w:line="560" w:lineRule="exact"/>
        <w:ind w:firstLine="643" w:firstLineChars="200"/>
        <w:rPr>
          <w:rFonts w:eastAsia="方正仿宋_GBK"/>
          <w:b/>
          <w:bCs/>
          <w:color w:val="000000"/>
          <w:sz w:val="32"/>
          <w:szCs w:val="32"/>
          <w:shd w:val="clear" w:color="auto" w:fill="FFFFFF"/>
        </w:rPr>
      </w:pPr>
      <w:r>
        <w:rPr>
          <w:rFonts w:eastAsia="方正仿宋_GBK"/>
          <w:b/>
          <w:bCs/>
          <w:color w:val="000000"/>
          <w:sz w:val="32"/>
          <w:szCs w:val="32"/>
          <w:shd w:val="clear" w:color="auto" w:fill="FFFFFF"/>
        </w:rPr>
        <w:t xml:space="preserve"> 1.绩效目标制定</w:t>
      </w:r>
    </w:p>
    <w:p w14:paraId="40CCEE90">
      <w:pPr>
        <w:spacing w:line="560" w:lineRule="exact"/>
        <w:ind w:firstLine="640" w:firstLineChars="200"/>
        <w:jc w:val="left"/>
        <w:rPr>
          <w:rFonts w:eastAsia="方正仿宋_GBK"/>
          <w:color w:val="000000"/>
          <w:sz w:val="32"/>
          <w:szCs w:val="32"/>
          <w:shd w:val="clear" w:color="auto" w:fill="FFFFFF"/>
        </w:rPr>
      </w:pPr>
      <w:r>
        <w:rPr>
          <w:rFonts w:eastAsia="方正仿宋_GBK"/>
          <w:color w:val="000000"/>
          <w:sz w:val="32"/>
          <w:szCs w:val="32"/>
          <w:shd w:val="clear" w:color="auto" w:fill="FFFFFF"/>
        </w:rPr>
        <w:t>2021年县审计局整体绩效目标是“围绕中心、服务大局”，按照县委、县政府的年度工作重点，切实履行审计监督职责，根据预算绩效管理工作的有关要求，进一步完善预算绩效管理制度，全面加强绩效目标管理，年初制定了相应的部门绩效目标，扎实有效开展稳增长跟踪审计、财政审计、民生资金项目审计、经济责任审计和政府重大投资建设项目审计，大力推进审计全覆盖，不断拓展审计监督广度和深度，维护财经秩序，促进经济高质量发展、促进全面深化改革、促进权力规范运行、促进反腐倡廉。</w:t>
      </w:r>
    </w:p>
    <w:p w14:paraId="6DAE4C2A">
      <w:pPr>
        <w:numPr>
          <w:ilvl w:val="0"/>
          <w:numId w:val="7"/>
        </w:numPr>
        <w:spacing w:line="560" w:lineRule="exact"/>
        <w:ind w:firstLine="643" w:firstLineChars="200"/>
        <w:rPr>
          <w:rFonts w:eastAsia="方正仿宋_GBK"/>
          <w:b/>
          <w:bCs/>
          <w:sz w:val="32"/>
          <w:szCs w:val="32"/>
          <w:shd w:val="clear" w:color="auto" w:fill="FFFFFF"/>
        </w:rPr>
      </w:pPr>
      <w:r>
        <w:rPr>
          <w:rFonts w:eastAsia="方正仿宋_GBK"/>
          <w:b/>
          <w:bCs/>
          <w:sz w:val="32"/>
          <w:szCs w:val="32"/>
          <w:shd w:val="clear" w:color="auto" w:fill="FFFFFF"/>
        </w:rPr>
        <w:t>绩效目标执行情况</w:t>
      </w:r>
    </w:p>
    <w:p w14:paraId="0FC657F4">
      <w:pPr>
        <w:spacing w:line="560" w:lineRule="exact"/>
        <w:ind w:firstLine="640" w:firstLineChars="200"/>
        <w:jc w:val="left"/>
        <w:rPr>
          <w:rFonts w:eastAsia="方正仿宋_GBK"/>
          <w:color w:val="000000"/>
          <w:sz w:val="32"/>
          <w:szCs w:val="32"/>
          <w:shd w:val="clear" w:color="auto" w:fill="FFFFFF"/>
        </w:rPr>
      </w:pPr>
      <w:r>
        <w:rPr>
          <w:rFonts w:eastAsia="方正仿宋_GBK"/>
          <w:color w:val="000000"/>
          <w:sz w:val="32"/>
          <w:szCs w:val="32"/>
          <w:shd w:val="clear" w:color="auto" w:fill="FFFFFF"/>
        </w:rPr>
        <w:t>盐边县审计局2021年度全年资金拨付和使用均按计划进度完成，在资金的使用上，严格遵守财经法律法规，</w:t>
      </w:r>
      <w:r>
        <w:rPr>
          <w:rFonts w:hint="eastAsia" w:eastAsia="方正仿宋_GBK"/>
          <w:color w:val="000000"/>
          <w:sz w:val="32"/>
          <w:szCs w:val="32"/>
          <w:shd w:val="clear" w:color="auto" w:fill="FFFFFF"/>
        </w:rPr>
        <w:t>认真落实厉行节约政策，</w:t>
      </w:r>
      <w:r>
        <w:rPr>
          <w:rFonts w:eastAsia="方正仿宋_GBK"/>
          <w:color w:val="000000"/>
          <w:sz w:val="32"/>
          <w:szCs w:val="32"/>
          <w:shd w:val="clear" w:color="auto" w:fill="FFFFFF"/>
        </w:rPr>
        <w:t>积极响应国家 “过紧日子”的号召，</w:t>
      </w:r>
      <w:r>
        <w:rPr>
          <w:rFonts w:hint="eastAsia" w:eastAsia="方正仿宋_GBK"/>
          <w:color w:val="000000"/>
          <w:sz w:val="32"/>
          <w:szCs w:val="32"/>
          <w:shd w:val="clear" w:color="auto" w:fill="FFFFFF"/>
        </w:rPr>
        <w:t>严格控制办公费、水电费、公务接待费等一般性支出。并合理安排项目资金，使财政资金发挥最大的效益，保证了部门的正常运行和日常工作的正常开展，</w:t>
      </w:r>
      <w:r>
        <w:rPr>
          <w:rFonts w:eastAsia="方正仿宋_GBK"/>
          <w:color w:val="000000"/>
          <w:sz w:val="32"/>
          <w:szCs w:val="32"/>
          <w:shd w:val="clear" w:color="auto" w:fill="FFFFFF"/>
        </w:rPr>
        <w:t>确保各项工作的顺利开展和财政资金的有效使用，</w:t>
      </w:r>
      <w:r>
        <w:rPr>
          <w:rFonts w:hint="eastAsia" w:eastAsia="方正仿宋_GBK"/>
          <w:color w:val="000000"/>
          <w:sz w:val="32"/>
          <w:szCs w:val="32"/>
          <w:shd w:val="clear" w:color="auto" w:fill="FFFFFF"/>
        </w:rPr>
        <w:t>整体支出绩效良好。</w:t>
      </w:r>
    </w:p>
    <w:p w14:paraId="3672AEE7">
      <w:pPr>
        <w:widowControl/>
        <w:adjustRightInd w:val="0"/>
        <w:snapToGrid w:val="0"/>
        <w:spacing w:line="560" w:lineRule="exact"/>
        <w:contextualSpacing/>
        <w:jc w:val="left"/>
        <w:rPr>
          <w:rFonts w:eastAsia="楷体_GB2312"/>
          <w:b/>
          <w:bCs/>
          <w:sz w:val="32"/>
          <w:szCs w:val="32"/>
        </w:rPr>
      </w:pPr>
      <w:r>
        <w:rPr>
          <w:rFonts w:eastAsia="楷体_GB2312"/>
          <w:b/>
          <w:bCs/>
          <w:sz w:val="32"/>
          <w:szCs w:val="32"/>
        </w:rPr>
        <w:t>（二）结果应用情况。</w:t>
      </w:r>
    </w:p>
    <w:p w14:paraId="5A082472">
      <w:pPr>
        <w:spacing w:line="560"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建立完善的预算绩效信息公开机制，</w:t>
      </w:r>
      <w:r>
        <w:rPr>
          <w:rFonts w:eastAsia="方正仿宋_GBK"/>
          <w:sz w:val="32"/>
          <w:szCs w:val="32"/>
          <w:shd w:val="clear" w:color="auto" w:fill="FFFFFF"/>
        </w:rPr>
        <w:t>加强预算绩效信息发布管理制度建设，及时将财政部门批复的部门预算、决算、</w:t>
      </w:r>
      <w:r>
        <w:rPr>
          <w:rFonts w:hint="eastAsia" w:eastAsia="方正仿宋_GBK"/>
          <w:sz w:val="32"/>
          <w:szCs w:val="32"/>
          <w:shd w:val="clear" w:color="auto" w:fill="FFFFFF"/>
        </w:rPr>
        <w:t>“</w:t>
      </w:r>
      <w:r>
        <w:rPr>
          <w:rFonts w:eastAsia="方正仿宋_GBK"/>
          <w:sz w:val="32"/>
          <w:szCs w:val="32"/>
          <w:shd w:val="clear" w:color="auto" w:fill="FFFFFF"/>
        </w:rPr>
        <w:t>三公”经费使用情况、部门整体支出绩效评价、</w:t>
      </w:r>
      <w:r>
        <w:rPr>
          <w:rFonts w:hint="eastAsia" w:eastAsia="方正仿宋_GBK"/>
          <w:sz w:val="32"/>
          <w:szCs w:val="32"/>
          <w:shd w:val="clear" w:color="auto" w:fill="FFFFFF"/>
        </w:rPr>
        <w:t>专项（项目）资金绩效评价</w:t>
      </w:r>
      <w:r>
        <w:rPr>
          <w:rFonts w:hint="eastAsia" w:eastAsia="方正仿宋_GBK"/>
          <w:sz w:val="32"/>
          <w:szCs w:val="32"/>
          <w:shd w:val="clear" w:color="auto" w:fill="FFFFFF"/>
          <w:lang w:eastAsia="zh-CN"/>
        </w:rPr>
        <w:t>等</w:t>
      </w:r>
      <w:r>
        <w:rPr>
          <w:rFonts w:eastAsia="方正仿宋_GBK"/>
          <w:sz w:val="32"/>
          <w:szCs w:val="32"/>
          <w:shd w:val="clear" w:color="auto" w:fill="FFFFFF"/>
        </w:rPr>
        <w:t>信息按相关规定和要求在盐边县公众信息网“财政信息”栏中进行公开公示。</w:t>
      </w:r>
    </w:p>
    <w:p w14:paraId="0FFF1E22">
      <w:pPr>
        <w:spacing w:line="560"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我局</w:t>
      </w:r>
      <w:r>
        <w:rPr>
          <w:rFonts w:eastAsia="方正仿宋_GBK"/>
          <w:sz w:val="32"/>
          <w:szCs w:val="32"/>
          <w:shd w:val="clear" w:color="auto" w:fill="FFFFFF"/>
        </w:rPr>
        <w:t>2021</w:t>
      </w:r>
      <w:r>
        <w:rPr>
          <w:rFonts w:hint="eastAsia" w:eastAsia="方正仿宋_GBK"/>
          <w:sz w:val="32"/>
          <w:szCs w:val="32"/>
          <w:shd w:val="clear" w:color="auto" w:fill="FFFFFF"/>
        </w:rPr>
        <w:t>年在资金预算编制方面、预算执行、综合管理、整体绩效方面，均按照国家政策法规规定，结合本单位实际情况及相关规定严格执行。在资金使用和管理方面，认真落实厉行节约政策，严格控制和压缩支出。合理安排使用资金，</w:t>
      </w:r>
      <w:r>
        <w:rPr>
          <w:rFonts w:hint="eastAsia" w:eastAsia="方正仿宋_GBK"/>
          <w:sz w:val="32"/>
          <w:szCs w:val="32"/>
          <w:shd w:val="clear" w:color="auto" w:fill="FFFFFF"/>
          <w:lang w:eastAsia="zh-CN"/>
        </w:rPr>
        <w:t>保</w:t>
      </w:r>
      <w:r>
        <w:rPr>
          <w:rFonts w:hint="eastAsia" w:eastAsia="方正仿宋_GBK"/>
          <w:sz w:val="32"/>
          <w:szCs w:val="32"/>
          <w:shd w:val="clear" w:color="auto" w:fill="FFFFFF"/>
        </w:rPr>
        <w:t>障了部门的正常运行，保证了</w:t>
      </w:r>
      <w:r>
        <w:rPr>
          <w:rFonts w:eastAsia="方正仿宋_GBK"/>
          <w:sz w:val="32"/>
          <w:szCs w:val="32"/>
          <w:shd w:val="clear" w:color="auto" w:fill="FFFFFF"/>
        </w:rPr>
        <w:t>年度职能目标、综合目标、工作计划任务的完成</w:t>
      </w:r>
      <w:r>
        <w:rPr>
          <w:rFonts w:hint="eastAsia" w:eastAsia="方正仿宋_GBK"/>
          <w:sz w:val="32"/>
          <w:szCs w:val="32"/>
          <w:shd w:val="clear" w:color="auto" w:fill="FFFFFF"/>
        </w:rPr>
        <w:t>，整体支出绩效良好。</w:t>
      </w:r>
    </w:p>
    <w:p w14:paraId="115F4D9E">
      <w:pPr>
        <w:spacing w:line="560" w:lineRule="exact"/>
        <w:ind w:firstLine="640" w:firstLineChars="200"/>
        <w:rPr>
          <w:rFonts w:eastAsia="黑体"/>
          <w:sz w:val="32"/>
          <w:szCs w:val="32"/>
        </w:rPr>
      </w:pPr>
      <w:r>
        <w:rPr>
          <w:rFonts w:eastAsia="黑体"/>
          <w:sz w:val="32"/>
          <w:szCs w:val="32"/>
        </w:rPr>
        <w:t>五、评价结论及建议</w:t>
      </w:r>
    </w:p>
    <w:p w14:paraId="53A9563B">
      <w:pPr>
        <w:numPr>
          <w:ilvl w:val="0"/>
          <w:numId w:val="8"/>
        </w:numPr>
        <w:spacing w:line="560" w:lineRule="exact"/>
        <w:ind w:firstLine="643" w:firstLineChars="200"/>
        <w:rPr>
          <w:rFonts w:eastAsia="楷体_GB2312"/>
          <w:sz w:val="32"/>
          <w:szCs w:val="32"/>
        </w:rPr>
      </w:pPr>
      <w:r>
        <w:rPr>
          <w:rFonts w:eastAsia="楷体_GB2312"/>
          <w:b/>
          <w:bCs/>
          <w:sz w:val="32"/>
          <w:szCs w:val="32"/>
        </w:rPr>
        <w:t>评价结论。</w:t>
      </w:r>
    </w:p>
    <w:p w14:paraId="1A489D17">
      <w:pPr>
        <w:spacing w:line="560" w:lineRule="exact"/>
        <w:ind w:firstLine="640" w:firstLineChars="200"/>
      </w:pPr>
      <w:r>
        <w:rPr>
          <w:rFonts w:eastAsia="方正仿宋_GBK"/>
          <w:sz w:val="32"/>
          <w:szCs w:val="32"/>
          <w:shd w:val="clear" w:color="auto" w:fill="FFFFFF"/>
        </w:rPr>
        <w:t>按照《关于贯彻落实四川省全面实施预算绩效管理实施意见的工作方案》的通知文件要求</w:t>
      </w:r>
      <w:r>
        <w:rPr>
          <w:rFonts w:hint="eastAsia" w:eastAsia="方正仿宋_GBK"/>
          <w:sz w:val="32"/>
          <w:szCs w:val="32"/>
          <w:shd w:val="clear" w:color="auto" w:fill="FFFFFF"/>
        </w:rPr>
        <w:t>，</w:t>
      </w:r>
      <w:r>
        <w:rPr>
          <w:rFonts w:eastAsia="方正仿宋_GBK"/>
          <w:sz w:val="32"/>
          <w:szCs w:val="32"/>
          <w:shd w:val="clear" w:color="auto" w:fill="FFFFFF"/>
        </w:rPr>
        <w:t>我单位认真开展了</w:t>
      </w:r>
      <w:r>
        <w:rPr>
          <w:rFonts w:hint="eastAsia" w:eastAsia="方正仿宋_GBK"/>
          <w:sz w:val="32"/>
          <w:szCs w:val="32"/>
          <w:shd w:val="clear" w:color="auto" w:fill="FFFFFF"/>
        </w:rPr>
        <w:t>2021</w:t>
      </w:r>
      <w:r>
        <w:rPr>
          <w:rFonts w:eastAsia="方正仿宋_GBK"/>
          <w:sz w:val="32"/>
          <w:szCs w:val="32"/>
          <w:shd w:val="clear" w:color="auto" w:fill="FFFFFF"/>
        </w:rPr>
        <w:t>年度部门预算整体绩效评价自评工作。20</w:t>
      </w:r>
      <w:r>
        <w:rPr>
          <w:rFonts w:hint="eastAsia" w:eastAsia="方正仿宋_GBK"/>
          <w:sz w:val="32"/>
          <w:szCs w:val="32"/>
          <w:shd w:val="clear" w:color="auto" w:fill="FFFFFF"/>
        </w:rPr>
        <w:t>21</w:t>
      </w:r>
      <w:r>
        <w:rPr>
          <w:rFonts w:eastAsia="方正仿宋_GBK"/>
          <w:sz w:val="32"/>
          <w:szCs w:val="32"/>
          <w:shd w:val="clear" w:color="auto" w:fill="FFFFFF"/>
        </w:rPr>
        <w:t>年我</w:t>
      </w:r>
      <w:r>
        <w:rPr>
          <w:rFonts w:hint="eastAsia" w:eastAsia="方正仿宋_GBK"/>
          <w:sz w:val="32"/>
          <w:szCs w:val="32"/>
          <w:shd w:val="clear" w:color="auto" w:fill="FFFFFF"/>
        </w:rPr>
        <w:t>单位</w:t>
      </w:r>
      <w:r>
        <w:rPr>
          <w:rFonts w:eastAsia="方正仿宋_GBK"/>
          <w:sz w:val="32"/>
          <w:szCs w:val="32"/>
          <w:shd w:val="clear" w:color="auto" w:fill="FFFFFF"/>
        </w:rPr>
        <w:t>在执行财政预算的过程中，强化了预算绩效意识</w:t>
      </w:r>
      <w:r>
        <w:rPr>
          <w:rFonts w:hint="eastAsia" w:eastAsia="方正仿宋_GBK"/>
          <w:sz w:val="32"/>
          <w:szCs w:val="32"/>
          <w:shd w:val="clear" w:color="auto" w:fill="FFFFFF"/>
        </w:rPr>
        <w:t>，</w:t>
      </w:r>
      <w:r>
        <w:rPr>
          <w:rFonts w:eastAsia="方正仿宋_GBK"/>
          <w:sz w:val="32"/>
          <w:szCs w:val="32"/>
          <w:shd w:val="clear" w:color="auto" w:fill="FFFFFF"/>
        </w:rPr>
        <w:t>严格按照预算项目支出绩效目标开展相关工作，</w:t>
      </w:r>
      <w:r>
        <w:rPr>
          <w:rFonts w:hint="eastAsia" w:eastAsia="方正仿宋_GBK"/>
          <w:sz w:val="32"/>
          <w:szCs w:val="32"/>
          <w:shd w:val="clear" w:color="auto" w:fill="FFFFFF"/>
        </w:rPr>
        <w:t>整体支出情况良好，预算执行严格有序，预算管理规范可控，资金效益合乎预期，达到预期绩效目标</w:t>
      </w:r>
      <w:r>
        <w:rPr>
          <w:rFonts w:eastAsia="方正仿宋_GBK"/>
          <w:sz w:val="32"/>
          <w:szCs w:val="32"/>
          <w:shd w:val="clear" w:color="auto" w:fill="FFFFFF"/>
        </w:rPr>
        <w:t>。</w:t>
      </w:r>
    </w:p>
    <w:p w14:paraId="0EAB7D0E">
      <w:pPr>
        <w:numPr>
          <w:ilvl w:val="0"/>
          <w:numId w:val="8"/>
        </w:numPr>
        <w:spacing w:line="560" w:lineRule="exact"/>
        <w:ind w:firstLine="643" w:firstLineChars="200"/>
        <w:rPr>
          <w:rFonts w:eastAsia="楷体_GB2312"/>
          <w:sz w:val="32"/>
          <w:szCs w:val="32"/>
        </w:rPr>
      </w:pPr>
      <w:r>
        <w:rPr>
          <w:rFonts w:eastAsia="楷体_GB2312"/>
          <w:b/>
          <w:bCs/>
          <w:sz w:val="32"/>
          <w:szCs w:val="32"/>
        </w:rPr>
        <w:t>存在问题。</w:t>
      </w:r>
    </w:p>
    <w:p w14:paraId="164F6FB0">
      <w:pPr>
        <w:spacing w:line="560"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1绩效目标编制有待进一步提高，</w:t>
      </w:r>
      <w:r>
        <w:rPr>
          <w:rFonts w:eastAsia="方正仿宋_GBK"/>
          <w:sz w:val="32"/>
          <w:szCs w:val="32"/>
          <w:shd w:val="clear" w:color="auto" w:fill="FFFFFF"/>
        </w:rPr>
        <w:t>绩效指标有待完善，绩效指标的明确性、可衡量性、相关性有待进一步提升。</w:t>
      </w:r>
    </w:p>
    <w:p w14:paraId="79A263F5">
      <w:pPr>
        <w:spacing w:line="560"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2.预算编制仍需进一步精确。需要在预算编制时进一步对各项费用进行合理估计，加强对资金使用的前瞻性预估。</w:t>
      </w:r>
    </w:p>
    <w:p w14:paraId="6CB935B6">
      <w:pPr>
        <w:spacing w:line="560" w:lineRule="exact"/>
        <w:ind w:firstLine="640" w:firstLineChars="200"/>
        <w:rPr>
          <w:rFonts w:eastAsia="方正仿宋_GBK"/>
          <w:color w:val="000000"/>
          <w:sz w:val="32"/>
          <w:szCs w:val="32"/>
        </w:rPr>
      </w:pPr>
      <w:r>
        <w:rPr>
          <w:rFonts w:eastAsia="楷体_GB2312"/>
          <w:sz w:val="32"/>
          <w:szCs w:val="32"/>
        </w:rPr>
        <w:t>（三）</w:t>
      </w:r>
      <w:r>
        <w:rPr>
          <w:rFonts w:eastAsia="楷体_GB2312"/>
          <w:b/>
          <w:bCs/>
          <w:sz w:val="32"/>
          <w:szCs w:val="32"/>
        </w:rPr>
        <w:t>改进建议。</w:t>
      </w:r>
    </w:p>
    <w:p w14:paraId="69EF3D9A">
      <w:pPr>
        <w:spacing w:line="560"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1.细化预算指标，提高预算科学性。预算编制前根据年度内单位可预见的工作任务，确定单位年度预算目标，细化预算指标，科学合理编制部门预算，推进预算编制科学化、准确化。</w:t>
      </w:r>
    </w:p>
    <w:p w14:paraId="035971CE">
      <w:pPr>
        <w:spacing w:line="560" w:lineRule="exact"/>
        <w:ind w:firstLine="640" w:firstLineChars="200"/>
        <w:rPr>
          <w:rFonts w:eastAsia="方正仿宋_GBK"/>
          <w:sz w:val="32"/>
          <w:szCs w:val="32"/>
          <w:shd w:val="clear" w:color="auto" w:fill="FFFFFF"/>
        </w:rPr>
      </w:pPr>
      <w:r>
        <w:rPr>
          <w:rFonts w:hint="eastAsia" w:eastAsia="方正仿宋_GBK"/>
          <w:sz w:val="32"/>
          <w:szCs w:val="32"/>
          <w:shd w:val="clear" w:color="auto" w:fill="FFFFFF"/>
        </w:rPr>
        <w:t>2</w:t>
      </w:r>
      <w:r>
        <w:rPr>
          <w:rFonts w:eastAsia="方正仿宋_GBK"/>
          <w:sz w:val="32"/>
          <w:szCs w:val="32"/>
          <w:shd w:val="clear" w:color="auto" w:fill="FFFFFF"/>
        </w:rPr>
        <w:t>.建立预算绩效管理制度，进一步完善预算编报、执行、监督和评价工作流程，落实绩效管理主体职责。建立健全项目支出绩效指标体系，为编制预算绩效目标及开展预算绩效评价提供指导及依据。</w:t>
      </w:r>
    </w:p>
    <w:p w14:paraId="6017840C">
      <w:pPr>
        <w:pStyle w:val="2"/>
        <w:spacing w:before="93"/>
        <w:rPr>
          <w:rFonts w:hAnsi="宋体" w:cs="宋体"/>
          <w:sz w:val="32"/>
          <w:szCs w:val="32"/>
          <w:shd w:val="clear" w:color="auto" w:fill="FFFFFF"/>
          <w:lang w:val="zh-CN"/>
        </w:rPr>
      </w:pPr>
    </w:p>
    <w:p w14:paraId="75180FF0">
      <w:pPr>
        <w:pStyle w:val="2"/>
        <w:spacing w:before="93"/>
        <w:rPr>
          <w:rFonts w:hAnsi="宋体" w:cs="宋体"/>
          <w:sz w:val="32"/>
          <w:szCs w:val="32"/>
          <w:shd w:val="clear" w:color="auto" w:fill="FFFFFF"/>
          <w:lang w:val="zh-CN"/>
        </w:rPr>
      </w:pPr>
    </w:p>
    <w:p w14:paraId="535B13AE">
      <w:pPr>
        <w:pStyle w:val="2"/>
        <w:spacing w:before="93"/>
        <w:rPr>
          <w:rFonts w:hAnsi="宋体" w:cs="宋体"/>
          <w:sz w:val="32"/>
          <w:szCs w:val="32"/>
          <w:shd w:val="clear" w:color="auto" w:fill="FFFFFF"/>
          <w:lang w:val="zh-CN"/>
        </w:rPr>
      </w:pPr>
    </w:p>
    <w:p w14:paraId="3F36AA68">
      <w:pPr>
        <w:pStyle w:val="2"/>
        <w:spacing w:before="93"/>
        <w:rPr>
          <w:rFonts w:hAnsi="宋体" w:cs="宋体"/>
          <w:sz w:val="32"/>
          <w:szCs w:val="32"/>
          <w:shd w:val="clear" w:color="auto" w:fill="FFFFFF"/>
          <w:lang w:val="zh-CN"/>
        </w:rPr>
      </w:pPr>
    </w:p>
    <w:p w14:paraId="45FA3288">
      <w:pPr>
        <w:pStyle w:val="2"/>
        <w:spacing w:before="93"/>
        <w:rPr>
          <w:rFonts w:hAnsi="宋体" w:cs="宋体"/>
          <w:sz w:val="32"/>
          <w:szCs w:val="32"/>
          <w:shd w:val="clear" w:color="auto" w:fill="FFFFFF"/>
          <w:lang w:val="zh-CN"/>
        </w:rPr>
      </w:pPr>
    </w:p>
    <w:p w14:paraId="495BBA46">
      <w:pPr>
        <w:pStyle w:val="2"/>
        <w:spacing w:before="93"/>
        <w:rPr>
          <w:rFonts w:hAnsi="宋体" w:cs="宋体"/>
          <w:sz w:val="32"/>
          <w:szCs w:val="32"/>
          <w:shd w:val="clear" w:color="auto" w:fill="FFFFFF"/>
          <w:lang w:val="zh-CN"/>
        </w:rPr>
      </w:pPr>
    </w:p>
    <w:p w14:paraId="14D228F9">
      <w:pPr>
        <w:pStyle w:val="2"/>
        <w:spacing w:before="93"/>
        <w:rPr>
          <w:rFonts w:hAnsi="宋体" w:cs="宋体"/>
          <w:sz w:val="32"/>
          <w:szCs w:val="32"/>
          <w:shd w:val="clear" w:color="auto" w:fill="FFFFFF"/>
          <w:lang w:val="zh-CN"/>
        </w:rPr>
      </w:pPr>
    </w:p>
    <w:p w14:paraId="7DAC0DC7">
      <w:pPr>
        <w:pStyle w:val="2"/>
        <w:spacing w:before="93"/>
        <w:rPr>
          <w:rFonts w:hAnsi="宋体" w:cs="宋体"/>
          <w:sz w:val="32"/>
          <w:szCs w:val="32"/>
          <w:shd w:val="clear" w:color="auto" w:fill="FFFFFF"/>
          <w:lang w:val="zh-CN"/>
        </w:rPr>
      </w:pPr>
    </w:p>
    <w:p w14:paraId="4CCB9D6B">
      <w:pPr>
        <w:pStyle w:val="2"/>
        <w:spacing w:before="93"/>
        <w:rPr>
          <w:rFonts w:hAnsi="宋体" w:cs="宋体"/>
          <w:sz w:val="32"/>
          <w:szCs w:val="32"/>
          <w:shd w:val="clear" w:color="auto" w:fill="FFFFFF"/>
          <w:lang w:val="zh-CN"/>
        </w:rPr>
      </w:pPr>
    </w:p>
    <w:p w14:paraId="16628738">
      <w:pPr>
        <w:pStyle w:val="2"/>
        <w:spacing w:before="93"/>
        <w:rPr>
          <w:rFonts w:hAnsi="宋体" w:cs="宋体"/>
          <w:sz w:val="32"/>
          <w:szCs w:val="32"/>
          <w:shd w:val="clear" w:color="auto" w:fill="FFFFFF"/>
          <w:lang w:val="zh-CN"/>
        </w:rPr>
      </w:pPr>
    </w:p>
    <w:p w14:paraId="3BC4CE3B">
      <w:pPr>
        <w:pStyle w:val="2"/>
        <w:spacing w:before="93"/>
        <w:rPr>
          <w:rFonts w:hAnsi="宋体" w:cs="宋体"/>
          <w:sz w:val="32"/>
          <w:szCs w:val="32"/>
          <w:shd w:val="clear" w:color="auto" w:fill="FFFFFF"/>
          <w:lang w:val="zh-CN"/>
        </w:rPr>
      </w:pPr>
    </w:p>
    <w:p w14:paraId="6CBB5615">
      <w:pPr>
        <w:spacing w:line="572" w:lineRule="exact"/>
        <w:jc w:val="left"/>
        <w:outlineLvl w:val="0"/>
        <w:rPr>
          <w:rFonts w:ascii="仿宋_GB2312" w:hAnsi="仿宋_GB2312" w:eastAsia="仿宋_GB2312" w:cs="仿宋_GB2312"/>
          <w:sz w:val="32"/>
          <w:szCs w:val="32"/>
        </w:rPr>
      </w:pPr>
      <w:bookmarkStart w:id="56" w:name="_Toc821794543_WPSOffice_Level2"/>
      <w:r>
        <w:rPr>
          <w:rFonts w:hint="eastAsia" w:ascii="黑体" w:hAnsi="黑体" w:eastAsia="黑体" w:cs="黑体"/>
          <w:sz w:val="32"/>
          <w:szCs w:val="32"/>
        </w:rPr>
        <w:t>附件</w:t>
      </w:r>
      <w:r>
        <w:rPr>
          <w:rFonts w:ascii="黑体" w:hAnsi="黑体" w:eastAsia="黑体" w:cs="黑体"/>
          <w:sz w:val="32"/>
          <w:szCs w:val="32"/>
        </w:rPr>
        <w:t>2</w:t>
      </w:r>
    </w:p>
    <w:p w14:paraId="5D21EDA1">
      <w:pPr>
        <w:spacing w:line="64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2021年</w:t>
      </w:r>
      <w:r>
        <w:rPr>
          <w:rFonts w:ascii="方正小标宋简体" w:hAnsi="方正小标宋简体" w:eastAsia="方正小标宋简体" w:cs="方正小标宋简体"/>
          <w:sz w:val="40"/>
          <w:szCs w:val="40"/>
          <w:lang w:val="zh-CN"/>
        </w:rPr>
        <w:t>投资项目审计委托服务费</w:t>
      </w:r>
    </w:p>
    <w:p w14:paraId="1A787421">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项目支出绩效自评报告</w:t>
      </w:r>
      <w:bookmarkEnd w:id="56"/>
    </w:p>
    <w:p w14:paraId="1B620A24">
      <w:pPr>
        <w:spacing w:line="560" w:lineRule="exact"/>
        <w:ind w:firstLine="640" w:firstLineChars="200"/>
        <w:rPr>
          <w:rFonts w:eastAsia="黑体"/>
          <w:sz w:val="32"/>
          <w:szCs w:val="32"/>
        </w:rPr>
      </w:pPr>
      <w:r>
        <w:rPr>
          <w:rFonts w:eastAsia="黑体"/>
          <w:sz w:val="32"/>
          <w:szCs w:val="32"/>
        </w:rPr>
        <w:t>一、项目概况</w:t>
      </w:r>
    </w:p>
    <w:p w14:paraId="3D6ABAA1">
      <w:pPr>
        <w:spacing w:line="560" w:lineRule="exact"/>
        <w:ind w:firstLine="640" w:firstLineChars="200"/>
        <w:rPr>
          <w:rFonts w:eastAsia="楷体_GB2312"/>
          <w:sz w:val="32"/>
          <w:szCs w:val="32"/>
        </w:rPr>
      </w:pPr>
      <w:r>
        <w:rPr>
          <w:rFonts w:eastAsia="楷体_GB2312"/>
          <w:sz w:val="32"/>
          <w:szCs w:val="32"/>
        </w:rPr>
        <w:t>（一）项目基本情况。</w:t>
      </w:r>
    </w:p>
    <w:p w14:paraId="2A5094BE">
      <w:pPr>
        <w:spacing w:line="560" w:lineRule="exact"/>
        <w:ind w:firstLine="640" w:firstLineChars="200"/>
        <w:rPr>
          <w:rFonts w:eastAsia="仿宋_GB2312"/>
          <w:sz w:val="32"/>
          <w:szCs w:val="32"/>
        </w:rPr>
      </w:pPr>
      <w:r>
        <w:rPr>
          <w:rFonts w:hint="eastAsia" w:eastAsia="仿宋_GB2312"/>
          <w:sz w:val="32"/>
          <w:szCs w:val="32"/>
        </w:rPr>
        <w:t>1.投资项目审计是审计机关的法定职责之一，加强对政府投资为主，关系全局性、战略性、基础性的重大公共基础设施工程的审计监督，促进相关单位履职尽责、促进项目顺利完成。投资项目审计是国家对固定资产投资活动实施监督的有效手段，是国家审计监督的重要内容。开展投资项目审计，对重大投资项目跟踪审计，是实现审计全覆盖的必然要求。2021年我局对22个投资审计项目进行了审计，其中委托中介机构实施3个。</w:t>
      </w:r>
    </w:p>
    <w:p w14:paraId="5CDA87C3">
      <w:pPr>
        <w:spacing w:line="560" w:lineRule="exact"/>
        <w:ind w:firstLine="640" w:firstLineChars="200"/>
        <w:rPr>
          <w:rFonts w:eastAsia="仿宋_GB2312"/>
          <w:sz w:val="32"/>
          <w:szCs w:val="32"/>
        </w:rPr>
      </w:pPr>
      <w:r>
        <w:rPr>
          <w:rFonts w:eastAsia="仿宋_GB2312"/>
          <w:sz w:val="32"/>
          <w:szCs w:val="32"/>
        </w:rPr>
        <w:t>2.项目立项、资金申报的依据。</w:t>
      </w:r>
    </w:p>
    <w:p w14:paraId="1B9B8C1D">
      <w:pPr>
        <w:spacing w:line="560" w:lineRule="exact"/>
        <w:ind w:firstLine="640" w:firstLineChars="200"/>
        <w:rPr>
          <w:rFonts w:eastAsia="仿宋_GB2312"/>
          <w:sz w:val="32"/>
          <w:szCs w:val="32"/>
        </w:rPr>
      </w:pPr>
      <w:r>
        <w:rPr>
          <w:rFonts w:eastAsia="仿宋_GB2312"/>
          <w:sz w:val="32"/>
          <w:szCs w:val="32"/>
        </w:rPr>
        <w:t>根据《中华人民共和国审计法》第十一条</w:t>
      </w:r>
      <w:r>
        <w:rPr>
          <w:rFonts w:hint="eastAsia" w:eastAsia="仿宋_GB2312"/>
          <w:sz w:val="32"/>
          <w:szCs w:val="32"/>
        </w:rPr>
        <w:t>“</w:t>
      </w:r>
      <w:r>
        <w:rPr>
          <w:rFonts w:eastAsia="仿宋_GB2312"/>
          <w:sz w:val="32"/>
          <w:szCs w:val="32"/>
        </w:rPr>
        <w:t>审计机关履行职责所必需的经费，应当列入财政预算，由本级人民政府予以保证</w:t>
      </w:r>
      <w:r>
        <w:rPr>
          <w:rFonts w:hint="eastAsia" w:eastAsia="仿宋_GB2312"/>
          <w:sz w:val="32"/>
          <w:szCs w:val="32"/>
        </w:rPr>
        <w:t>”</w:t>
      </w:r>
      <w:r>
        <w:rPr>
          <w:rFonts w:eastAsia="仿宋_GB2312"/>
          <w:sz w:val="32"/>
          <w:szCs w:val="32"/>
        </w:rPr>
        <w:t>和《四川省政府投资建设项目审计条例》第十二条</w:t>
      </w:r>
      <w:r>
        <w:rPr>
          <w:rFonts w:hint="eastAsia" w:eastAsia="仿宋_GB2312"/>
          <w:sz w:val="32"/>
          <w:szCs w:val="32"/>
        </w:rPr>
        <w:t>“</w:t>
      </w:r>
      <w:r>
        <w:rPr>
          <w:rFonts w:eastAsia="仿宋_GB2312"/>
          <w:sz w:val="32"/>
          <w:szCs w:val="32"/>
        </w:rPr>
        <w:t>审计机关根据工作需要，可委托或者组织具有法定资质的社会中介机构，聘请具有相应专业技术资格的人员参与政府投资建设项目审计工作</w:t>
      </w:r>
      <w:r>
        <w:rPr>
          <w:rFonts w:hint="eastAsia" w:eastAsia="仿宋_GB2312"/>
          <w:sz w:val="32"/>
          <w:szCs w:val="32"/>
        </w:rPr>
        <w:t>”</w:t>
      </w:r>
      <w:r>
        <w:rPr>
          <w:rFonts w:eastAsia="仿宋_GB2312"/>
          <w:sz w:val="32"/>
          <w:szCs w:val="32"/>
        </w:rPr>
        <w:t>规定</w:t>
      </w:r>
      <w:r>
        <w:rPr>
          <w:rFonts w:hint="eastAsia" w:eastAsia="仿宋_GB2312"/>
          <w:sz w:val="32"/>
          <w:szCs w:val="32"/>
        </w:rPr>
        <w:t>。</w:t>
      </w:r>
      <w:r>
        <w:rPr>
          <w:rFonts w:eastAsia="仿宋_GB2312"/>
          <w:sz w:val="32"/>
          <w:szCs w:val="32"/>
        </w:rPr>
        <w:t>由于审计任务繁重，一些投资审计项目需要的专业人员力量严重不足，</w:t>
      </w:r>
      <w:r>
        <w:rPr>
          <w:rFonts w:hint="eastAsia" w:eastAsia="仿宋_GB2312"/>
          <w:sz w:val="32"/>
          <w:szCs w:val="32"/>
        </w:rPr>
        <w:t>我局2021年申报了投资项目审计委托服务费33.52万元，县财政局根据县政府批示审批下达项目经费33.52万元。</w:t>
      </w:r>
    </w:p>
    <w:p w14:paraId="0CD511EB">
      <w:pPr>
        <w:spacing w:line="560" w:lineRule="exact"/>
        <w:ind w:firstLine="640" w:firstLineChars="200"/>
        <w:rPr>
          <w:rFonts w:eastAsia="仿宋_GB2312"/>
          <w:sz w:val="32"/>
          <w:szCs w:val="32"/>
        </w:rPr>
      </w:pPr>
      <w:r>
        <w:rPr>
          <w:rFonts w:eastAsia="仿宋_GB2312"/>
          <w:sz w:val="32"/>
          <w:szCs w:val="32"/>
        </w:rPr>
        <w:t>3.资金管理办法制定情况，资金支持具体项目的条件、范围与支持方式概况。</w:t>
      </w:r>
    </w:p>
    <w:p w14:paraId="1D861C24">
      <w:pPr>
        <w:spacing w:line="560" w:lineRule="exact"/>
        <w:ind w:firstLine="640" w:firstLineChars="200"/>
        <w:rPr>
          <w:rFonts w:eastAsia="仿宋_GB2312"/>
          <w:sz w:val="32"/>
          <w:szCs w:val="32"/>
        </w:rPr>
      </w:pPr>
      <w:r>
        <w:rPr>
          <w:rFonts w:eastAsia="仿宋_GB2312"/>
          <w:sz w:val="32"/>
          <w:szCs w:val="32"/>
        </w:rPr>
        <w:t>审计项目实施有合法、合规和完整的业务管理制度和操作规范，日常检查督导工作较为全面。根据我局固定资产投资审计股人员情况和专业知识情况</w:t>
      </w:r>
      <w:r>
        <w:rPr>
          <w:rFonts w:hint="eastAsia" w:eastAsia="仿宋_GB2312"/>
          <w:sz w:val="32"/>
          <w:szCs w:val="32"/>
        </w:rPr>
        <w:t>合理</w:t>
      </w:r>
      <w:r>
        <w:rPr>
          <w:rFonts w:eastAsia="仿宋_GB2312"/>
          <w:sz w:val="32"/>
          <w:szCs w:val="32"/>
        </w:rPr>
        <w:t>安排投资审计项目开展，根据工作需要聘请中介机构或专业人士参与投资项目审计。</w:t>
      </w:r>
    </w:p>
    <w:p w14:paraId="05EC7CB7">
      <w:pPr>
        <w:spacing w:line="560" w:lineRule="exact"/>
        <w:ind w:firstLine="640" w:firstLineChars="200"/>
        <w:rPr>
          <w:rFonts w:eastAsia="仿宋_GB2312"/>
          <w:sz w:val="32"/>
          <w:szCs w:val="32"/>
        </w:rPr>
      </w:pPr>
      <w:r>
        <w:rPr>
          <w:rFonts w:eastAsia="仿宋_GB2312"/>
          <w:sz w:val="32"/>
          <w:szCs w:val="32"/>
        </w:rPr>
        <w:t>4.资金分配的原则及考虑因素。</w:t>
      </w:r>
    </w:p>
    <w:p w14:paraId="29BAA041">
      <w:pPr>
        <w:spacing w:line="600" w:lineRule="exact"/>
        <w:ind w:firstLine="640" w:firstLineChars="200"/>
        <w:rPr>
          <w:rFonts w:eastAsia="方正仿宋_GBK"/>
          <w:sz w:val="32"/>
          <w:szCs w:val="32"/>
        </w:rPr>
      </w:pPr>
      <w:r>
        <w:rPr>
          <w:rFonts w:eastAsia="仿宋_GB2312"/>
          <w:sz w:val="32"/>
          <w:szCs w:val="32"/>
        </w:rPr>
        <w:t>项目经费</w:t>
      </w:r>
      <w:r>
        <w:rPr>
          <w:rFonts w:hint="eastAsia" w:eastAsia="仿宋_GB2312"/>
          <w:sz w:val="32"/>
          <w:szCs w:val="32"/>
        </w:rPr>
        <w:t>用于支付</w:t>
      </w:r>
      <w:r>
        <w:rPr>
          <w:rFonts w:eastAsia="仿宋_GB2312"/>
          <w:sz w:val="32"/>
          <w:szCs w:val="32"/>
        </w:rPr>
        <w:t>聘请中介机构和专业人士委托服务费用，</w:t>
      </w:r>
      <w:r>
        <w:rPr>
          <w:rFonts w:hint="eastAsia" w:eastAsia="仿宋_GB2312"/>
          <w:sz w:val="32"/>
          <w:szCs w:val="32"/>
        </w:rPr>
        <w:t>综合考虑</w:t>
      </w:r>
      <w:r>
        <w:rPr>
          <w:rFonts w:eastAsia="仿宋_GB2312"/>
          <w:sz w:val="32"/>
          <w:szCs w:val="32"/>
        </w:rPr>
        <w:t>项目审计质量和削减工程造价情况</w:t>
      </w:r>
      <w:r>
        <w:rPr>
          <w:rFonts w:hint="eastAsia" w:eastAsia="仿宋_GB2312"/>
          <w:sz w:val="32"/>
          <w:szCs w:val="32"/>
        </w:rPr>
        <w:t>。资金</w:t>
      </w:r>
      <w:r>
        <w:rPr>
          <w:rFonts w:eastAsia="仿宋_GB2312"/>
          <w:sz w:val="32"/>
          <w:szCs w:val="32"/>
        </w:rPr>
        <w:t>分配符合财务管理制度以及有关专项资金管理办法的规定。</w:t>
      </w:r>
    </w:p>
    <w:p w14:paraId="1EDA97FB">
      <w:pPr>
        <w:spacing w:line="560" w:lineRule="exact"/>
        <w:ind w:firstLine="640" w:firstLineChars="200"/>
        <w:rPr>
          <w:rFonts w:eastAsia="楷体_GB2312"/>
          <w:sz w:val="32"/>
          <w:szCs w:val="32"/>
        </w:rPr>
      </w:pPr>
      <w:r>
        <w:rPr>
          <w:rFonts w:eastAsia="楷体_GB2312"/>
          <w:sz w:val="32"/>
          <w:szCs w:val="32"/>
        </w:rPr>
        <w:t>（二）项目绩效目标。</w:t>
      </w:r>
    </w:p>
    <w:p w14:paraId="09FD4FCF">
      <w:pPr>
        <w:spacing w:line="560" w:lineRule="exact"/>
        <w:ind w:firstLine="640" w:firstLineChars="200"/>
        <w:rPr>
          <w:rFonts w:eastAsia="仿宋_GB2312"/>
          <w:sz w:val="32"/>
          <w:szCs w:val="32"/>
        </w:rPr>
      </w:pPr>
      <w:r>
        <w:rPr>
          <w:rFonts w:hint="eastAsia" w:eastAsia="仿宋_GB2312"/>
          <w:sz w:val="32"/>
          <w:szCs w:val="32"/>
        </w:rPr>
        <w:t>外聘中介机构和投资项目审计专业技术人员，一是缓解审计机关投资审计项目专业人员力量严重不足的情况。二是依据“谁委托，谁付费”原则，国家审计机关委托中介机构从事审计的费用由国家审计机关支付，彻底切断中介机构与被审计单位的联系，较好地保证国家审计机关实质与形式上的独立。三是圆满完成上级审计机关和县委、县政府下达给我局的投资项目审计工作，提高审计项目完成质量。</w:t>
      </w:r>
    </w:p>
    <w:p w14:paraId="78BD47D6">
      <w:pPr>
        <w:spacing w:line="560" w:lineRule="exact"/>
        <w:ind w:firstLine="640" w:firstLineChars="200"/>
        <w:rPr>
          <w:rFonts w:eastAsia="黑体"/>
          <w:sz w:val="32"/>
          <w:szCs w:val="32"/>
        </w:rPr>
      </w:pPr>
      <w:r>
        <w:rPr>
          <w:rFonts w:eastAsia="黑体"/>
          <w:sz w:val="32"/>
          <w:szCs w:val="32"/>
        </w:rPr>
        <w:t>二、项目资金申报及使用情况</w:t>
      </w:r>
    </w:p>
    <w:p w14:paraId="1F5D5F6D">
      <w:pPr>
        <w:spacing w:line="560" w:lineRule="exact"/>
        <w:ind w:firstLine="640" w:firstLineChars="200"/>
        <w:rPr>
          <w:rFonts w:eastAsia="楷体_GB2312"/>
          <w:sz w:val="32"/>
          <w:szCs w:val="32"/>
        </w:rPr>
      </w:pPr>
      <w:r>
        <w:rPr>
          <w:rFonts w:eastAsia="楷体_GB2312"/>
          <w:sz w:val="32"/>
          <w:szCs w:val="32"/>
        </w:rPr>
        <w:t>（一）项目资金申报及批复情况。</w:t>
      </w:r>
    </w:p>
    <w:p w14:paraId="18C2E95C">
      <w:pPr>
        <w:spacing w:line="560" w:lineRule="exact"/>
        <w:ind w:firstLine="640" w:firstLineChars="200"/>
        <w:rPr>
          <w:rFonts w:eastAsia="仿宋_GB2312"/>
          <w:color w:val="000000"/>
          <w:sz w:val="33"/>
          <w:szCs w:val="33"/>
        </w:rPr>
      </w:pPr>
      <w:r>
        <w:rPr>
          <w:rFonts w:hint="eastAsia" w:eastAsia="仿宋_GB2312"/>
          <w:sz w:val="32"/>
          <w:szCs w:val="32"/>
        </w:rPr>
        <w:t>我局以</w:t>
      </w:r>
      <w:r>
        <w:rPr>
          <w:rFonts w:eastAsia="仿宋_GB2312"/>
          <w:sz w:val="32"/>
          <w:szCs w:val="32"/>
        </w:rPr>
        <w:t>盐边审〔2</w:t>
      </w:r>
      <w:r>
        <w:rPr>
          <w:rFonts w:eastAsia="仿宋_GB2312"/>
          <w:color w:val="000000"/>
          <w:sz w:val="33"/>
          <w:szCs w:val="33"/>
        </w:rPr>
        <w:t>02</w:t>
      </w:r>
      <w:r>
        <w:rPr>
          <w:rFonts w:hint="eastAsia" w:eastAsia="仿宋_GB2312"/>
          <w:color w:val="000000"/>
          <w:sz w:val="33"/>
          <w:szCs w:val="33"/>
        </w:rPr>
        <w:t>1</w:t>
      </w:r>
      <w:r>
        <w:rPr>
          <w:rFonts w:eastAsia="仿宋_GB2312"/>
          <w:color w:val="000000"/>
          <w:sz w:val="33"/>
          <w:szCs w:val="33"/>
        </w:rPr>
        <w:t>〕</w:t>
      </w:r>
      <w:r>
        <w:rPr>
          <w:rFonts w:hint="eastAsia" w:eastAsia="仿宋_GB2312"/>
          <w:color w:val="000000"/>
          <w:sz w:val="33"/>
          <w:szCs w:val="33"/>
        </w:rPr>
        <w:t>3</w:t>
      </w:r>
      <w:r>
        <w:rPr>
          <w:rFonts w:eastAsia="仿宋_GB2312"/>
          <w:color w:val="000000"/>
          <w:sz w:val="33"/>
          <w:szCs w:val="33"/>
        </w:rPr>
        <w:t>号申请项目经费</w:t>
      </w:r>
      <w:r>
        <w:rPr>
          <w:rFonts w:hint="eastAsia" w:eastAsia="仿宋_GB2312"/>
          <w:color w:val="000000"/>
          <w:sz w:val="33"/>
          <w:szCs w:val="33"/>
        </w:rPr>
        <w:t>33.52万元，县财政盐财资行</w:t>
      </w:r>
      <w:r>
        <w:rPr>
          <w:rFonts w:eastAsia="仿宋_GB2312"/>
          <w:color w:val="000000"/>
          <w:sz w:val="33"/>
          <w:szCs w:val="33"/>
        </w:rPr>
        <w:t>〔202</w:t>
      </w:r>
      <w:r>
        <w:rPr>
          <w:rFonts w:hint="eastAsia" w:eastAsia="仿宋_GB2312"/>
          <w:color w:val="000000"/>
          <w:sz w:val="33"/>
          <w:szCs w:val="33"/>
        </w:rPr>
        <w:t>1</w:t>
      </w:r>
      <w:r>
        <w:rPr>
          <w:rFonts w:eastAsia="仿宋_GB2312"/>
          <w:color w:val="000000"/>
          <w:sz w:val="33"/>
          <w:szCs w:val="33"/>
        </w:rPr>
        <w:t>〕</w:t>
      </w:r>
      <w:r>
        <w:rPr>
          <w:rFonts w:hint="eastAsia" w:eastAsia="仿宋_GB2312"/>
          <w:color w:val="000000"/>
          <w:sz w:val="33"/>
          <w:szCs w:val="33"/>
        </w:rPr>
        <w:t>71号下达项目资金33.52万元。</w:t>
      </w:r>
    </w:p>
    <w:p w14:paraId="5982EFAC">
      <w:pPr>
        <w:spacing w:line="560" w:lineRule="exact"/>
        <w:ind w:firstLine="640" w:firstLineChars="200"/>
        <w:rPr>
          <w:rFonts w:eastAsia="仿宋_GB2312"/>
          <w:color w:val="000000"/>
          <w:sz w:val="33"/>
          <w:szCs w:val="33"/>
        </w:rPr>
      </w:pPr>
      <w:r>
        <w:rPr>
          <w:rFonts w:eastAsia="楷体_GB2312"/>
          <w:sz w:val="32"/>
          <w:szCs w:val="32"/>
        </w:rPr>
        <w:t>（二）资金计划、到位及使用情况。</w:t>
      </w:r>
    </w:p>
    <w:p w14:paraId="742D7601">
      <w:pPr>
        <w:spacing w:line="560" w:lineRule="exact"/>
        <w:ind w:firstLine="640" w:firstLineChars="200"/>
        <w:rPr>
          <w:rFonts w:eastAsia="方正仿宋_GBK"/>
          <w:sz w:val="32"/>
          <w:szCs w:val="32"/>
        </w:rPr>
      </w:pPr>
      <w:r>
        <w:rPr>
          <w:rFonts w:hint="eastAsia" w:eastAsia="仿宋_GB2312"/>
          <w:sz w:val="32"/>
          <w:szCs w:val="32"/>
        </w:rPr>
        <w:t>该项目计划资金33.52万元，已全部拨付到位，资金到位率100%。2021年全年支付投资项目审计委托的中介机构和专业技术人员服务费用16.66万元，年末财政追减16.86万元，年末该项目资金无结余。</w:t>
      </w:r>
    </w:p>
    <w:p w14:paraId="20245804">
      <w:pPr>
        <w:spacing w:line="560" w:lineRule="exact"/>
        <w:ind w:firstLine="640" w:firstLineChars="200"/>
        <w:rPr>
          <w:rFonts w:eastAsia="楷体_GB2312"/>
          <w:sz w:val="32"/>
          <w:szCs w:val="32"/>
        </w:rPr>
      </w:pPr>
      <w:r>
        <w:rPr>
          <w:rFonts w:eastAsia="楷体_GB2312"/>
          <w:sz w:val="32"/>
          <w:szCs w:val="32"/>
        </w:rPr>
        <w:t>（三）项目财务管理情况。</w:t>
      </w:r>
    </w:p>
    <w:p w14:paraId="42402092">
      <w:pPr>
        <w:spacing w:line="560" w:lineRule="exact"/>
        <w:ind w:firstLine="640" w:firstLineChars="200"/>
        <w:rPr>
          <w:rFonts w:eastAsia="仿宋_GB2312"/>
          <w:sz w:val="32"/>
          <w:szCs w:val="32"/>
        </w:rPr>
      </w:pPr>
      <w:r>
        <w:rPr>
          <w:rFonts w:hint="eastAsia" w:eastAsia="仿宋_GB2312"/>
          <w:sz w:val="32"/>
          <w:szCs w:val="32"/>
        </w:rPr>
        <w:t>严格按照专项资金管</w:t>
      </w:r>
      <w:r>
        <w:rPr>
          <w:rFonts w:hint="eastAsia" w:eastAsia="仿宋_GB2312"/>
          <w:sz w:val="32"/>
          <w:szCs w:val="32"/>
          <w:lang w:eastAsia="zh-CN"/>
        </w:rPr>
        <w:t>理和</w:t>
      </w:r>
      <w:r>
        <w:rPr>
          <w:rFonts w:hint="eastAsia" w:eastAsia="仿宋_GB2312"/>
          <w:sz w:val="32"/>
          <w:szCs w:val="32"/>
        </w:rPr>
        <w:t>使用的有关要求，项目资金管理和使用符合财务管理制度规定。项目资金支付仅限于投资审计项目聘请中介机构和专业技术人员协助审计发生费用，按照项目完成质量和完成进度支付款项，支出</w:t>
      </w:r>
      <w:r>
        <w:rPr>
          <w:rFonts w:eastAsia="仿宋_GB2312"/>
          <w:sz w:val="32"/>
          <w:szCs w:val="32"/>
        </w:rPr>
        <w:t>合理，会计核算规范</w:t>
      </w:r>
      <w:r>
        <w:rPr>
          <w:rFonts w:hint="eastAsia" w:eastAsia="仿宋_GB2312"/>
          <w:sz w:val="32"/>
          <w:szCs w:val="32"/>
        </w:rPr>
        <w:t>，会计资料完整真实，做到资金专款专用、无挪用和截留现象，没有列支与项目内容无关的费用。</w:t>
      </w:r>
    </w:p>
    <w:p w14:paraId="552B8072">
      <w:pPr>
        <w:spacing w:line="560" w:lineRule="exact"/>
        <w:ind w:firstLine="640" w:firstLineChars="200"/>
        <w:rPr>
          <w:rFonts w:eastAsia="黑体"/>
          <w:sz w:val="32"/>
          <w:szCs w:val="32"/>
        </w:rPr>
      </w:pPr>
      <w:r>
        <w:rPr>
          <w:rFonts w:eastAsia="黑体"/>
          <w:sz w:val="32"/>
          <w:szCs w:val="32"/>
        </w:rPr>
        <w:t>三、项目实施及管理情况</w:t>
      </w:r>
    </w:p>
    <w:p w14:paraId="1706277C">
      <w:pPr>
        <w:spacing w:line="560" w:lineRule="exact"/>
        <w:ind w:firstLine="640" w:firstLineChars="200"/>
        <w:rPr>
          <w:rFonts w:eastAsia="仿宋_GB2312"/>
          <w:sz w:val="32"/>
          <w:szCs w:val="32"/>
        </w:rPr>
      </w:pPr>
      <w:r>
        <w:rPr>
          <w:rFonts w:hint="eastAsia" w:eastAsia="仿宋_GB2312"/>
          <w:sz w:val="32"/>
          <w:szCs w:val="32"/>
        </w:rPr>
        <w:t>项目承办股室需要聘请社会中介机构参与项目审计的，向分管局领导请示汇报，经党组研究后，根据项目的具体情况，采取公开招标或竞争性谈判等方式确定参审中介机构或聘请专业技术人员，参审中介机构或聘请的专业技术人员与我局签订合同，正式参与政府投资建设项目的审计工作。参审中介机构或聘请的专业技术人员在审计过程中，需向建设、施工等有关单位调查核实相关事项时，应提前两个工作日向项目承办股室提出，由项目承办股室指定人员全程参与监督。参审中介机构或聘请的专业技术人员在项目初审工作完成后，提交项目初审报告或《建设工程结算审核初步结果表》，再由我局组织人员对初审结果进行复核。在复核完成并对其审计质量进行考核后，根据</w:t>
      </w:r>
      <w:r>
        <w:rPr>
          <w:rFonts w:hint="eastAsia" w:eastAsia="仿宋_GB2312"/>
          <w:sz w:val="32"/>
          <w:szCs w:val="32"/>
          <w:lang w:eastAsia="zh-CN"/>
        </w:rPr>
        <w:t>合同</w:t>
      </w:r>
      <w:r>
        <w:rPr>
          <w:rFonts w:hint="eastAsia" w:eastAsia="仿宋_GB2312"/>
          <w:sz w:val="32"/>
          <w:szCs w:val="32"/>
        </w:rPr>
        <w:t>规定的程序向中介机构或聘请的专业技术人员支付委托服务费。</w:t>
      </w:r>
    </w:p>
    <w:p w14:paraId="79EE0F7B">
      <w:pPr>
        <w:spacing w:line="560" w:lineRule="exact"/>
        <w:ind w:firstLine="630"/>
        <w:rPr>
          <w:rFonts w:ascii="方正仿宋_GBK" w:hAnsi="仿宋" w:eastAsia="方正仿宋_GBK"/>
          <w:sz w:val="32"/>
          <w:szCs w:val="32"/>
        </w:rPr>
      </w:pPr>
      <w:r>
        <w:rPr>
          <w:rFonts w:eastAsia="黑体"/>
          <w:sz w:val="32"/>
          <w:szCs w:val="32"/>
        </w:rPr>
        <w:t>四、项目绩效情况</w:t>
      </w:r>
      <w:r>
        <w:rPr>
          <w:rFonts w:eastAsia="黑体"/>
          <w:sz w:val="32"/>
          <w:szCs w:val="32"/>
        </w:rPr>
        <w:tab/>
      </w:r>
    </w:p>
    <w:p w14:paraId="42202ECF">
      <w:pPr>
        <w:spacing w:line="560" w:lineRule="exact"/>
        <w:ind w:firstLine="640" w:firstLineChars="200"/>
        <w:rPr>
          <w:rFonts w:eastAsia="楷体_GB2312"/>
          <w:sz w:val="32"/>
          <w:szCs w:val="32"/>
        </w:rPr>
      </w:pPr>
      <w:r>
        <w:rPr>
          <w:rFonts w:eastAsia="楷体_GB2312"/>
          <w:sz w:val="32"/>
          <w:szCs w:val="32"/>
        </w:rPr>
        <w:t>（一）项目完成情况。</w:t>
      </w:r>
    </w:p>
    <w:p w14:paraId="239F6557">
      <w:pPr>
        <w:spacing w:line="560" w:lineRule="exact"/>
        <w:ind w:firstLine="640" w:firstLineChars="200"/>
        <w:rPr>
          <w:rFonts w:eastAsia="仿宋_GB2312"/>
          <w:sz w:val="32"/>
          <w:szCs w:val="32"/>
        </w:rPr>
      </w:pPr>
      <w:r>
        <w:rPr>
          <w:rFonts w:hint="eastAsia" w:eastAsia="仿宋_GB2312"/>
          <w:sz w:val="32"/>
          <w:szCs w:val="32"/>
        </w:rPr>
        <w:t>2021年，我局共完成22个投资审计审核项目（已出具报告或定案表），圆满完成年度审计计划和县委、县政府交办的投资项目审计工作。</w:t>
      </w:r>
    </w:p>
    <w:p w14:paraId="5E03D0EC">
      <w:pPr>
        <w:spacing w:line="560" w:lineRule="exact"/>
        <w:ind w:firstLine="640" w:firstLineChars="200"/>
        <w:rPr>
          <w:rFonts w:eastAsia="楷体_GB2312"/>
          <w:sz w:val="32"/>
          <w:szCs w:val="32"/>
        </w:rPr>
      </w:pPr>
      <w:r>
        <w:rPr>
          <w:rFonts w:eastAsia="楷体_GB2312"/>
          <w:sz w:val="32"/>
          <w:szCs w:val="32"/>
        </w:rPr>
        <w:t>（二）项目效益情况。</w:t>
      </w:r>
    </w:p>
    <w:p w14:paraId="625D2ADB">
      <w:pPr>
        <w:spacing w:line="560" w:lineRule="exact"/>
        <w:ind w:firstLine="640" w:firstLineChars="200"/>
        <w:rPr>
          <w:rFonts w:ascii="方正仿宋_GBK" w:hAnsi="仿宋" w:eastAsia="方正仿宋_GBK"/>
          <w:color w:val="FF0000"/>
          <w:sz w:val="32"/>
          <w:szCs w:val="32"/>
        </w:rPr>
      </w:pPr>
      <w:r>
        <w:rPr>
          <w:rFonts w:hint="eastAsia" w:eastAsia="仿宋_GB2312"/>
          <w:sz w:val="32"/>
          <w:szCs w:val="32"/>
        </w:rPr>
        <w:t>2021年度，我局对22个投资审计项目进行了审计，其中委托中介机构实施3个，支付中介机构委托服务费16.66万元，核减投资额613.35万元。</w:t>
      </w:r>
    </w:p>
    <w:p w14:paraId="4832086C">
      <w:pPr>
        <w:spacing w:line="560" w:lineRule="exact"/>
        <w:ind w:firstLine="640" w:firstLineChars="200"/>
        <w:rPr>
          <w:rFonts w:eastAsia="黑体"/>
          <w:sz w:val="32"/>
          <w:szCs w:val="32"/>
        </w:rPr>
      </w:pPr>
      <w:r>
        <w:rPr>
          <w:rFonts w:eastAsia="黑体"/>
          <w:sz w:val="32"/>
          <w:szCs w:val="32"/>
        </w:rPr>
        <w:t>五、评价结论及建议</w:t>
      </w:r>
    </w:p>
    <w:p w14:paraId="17474615">
      <w:pPr>
        <w:spacing w:line="560" w:lineRule="exact"/>
        <w:ind w:firstLine="640" w:firstLineChars="200"/>
        <w:rPr>
          <w:rFonts w:eastAsia="楷体_GB2312"/>
          <w:sz w:val="32"/>
          <w:szCs w:val="32"/>
        </w:rPr>
      </w:pPr>
      <w:r>
        <w:rPr>
          <w:rFonts w:eastAsia="楷体_GB2312"/>
          <w:sz w:val="32"/>
          <w:szCs w:val="32"/>
        </w:rPr>
        <w:t>（一）评价结论。</w:t>
      </w:r>
    </w:p>
    <w:p w14:paraId="546E0306">
      <w:pPr>
        <w:spacing w:line="560" w:lineRule="exact"/>
        <w:ind w:firstLine="640" w:firstLineChars="200"/>
        <w:rPr>
          <w:rFonts w:eastAsia="仿宋_GB2312"/>
          <w:sz w:val="32"/>
          <w:szCs w:val="32"/>
        </w:rPr>
      </w:pPr>
      <w:r>
        <w:rPr>
          <w:rFonts w:hint="eastAsia" w:eastAsia="仿宋_GB2312"/>
          <w:sz w:val="32"/>
          <w:szCs w:val="32"/>
        </w:rPr>
        <w:t>本年度</w:t>
      </w:r>
      <w:r>
        <w:rPr>
          <w:rFonts w:eastAsia="仿宋_GB2312"/>
          <w:sz w:val="32"/>
          <w:szCs w:val="32"/>
        </w:rPr>
        <w:t>投资项目审计委托中介机构和聘请专业技术人员管理规范，项目审计质量符合要求，</w:t>
      </w:r>
      <w:r>
        <w:rPr>
          <w:rFonts w:hint="eastAsia" w:eastAsia="仿宋_GB2312"/>
          <w:sz w:val="32"/>
          <w:szCs w:val="32"/>
        </w:rPr>
        <w:t>缓解了审计机关投资审计项目专业人员不足，加强了投资审计项目领域的覆盖，符合预期目标。</w:t>
      </w:r>
    </w:p>
    <w:p w14:paraId="1BDB25AD">
      <w:pPr>
        <w:spacing w:line="560" w:lineRule="exact"/>
        <w:ind w:firstLine="640" w:firstLineChars="200"/>
        <w:rPr>
          <w:rFonts w:eastAsia="楷体_GB2312"/>
          <w:sz w:val="32"/>
          <w:szCs w:val="32"/>
        </w:rPr>
      </w:pPr>
      <w:r>
        <w:rPr>
          <w:rFonts w:eastAsia="楷体_GB2312"/>
          <w:sz w:val="32"/>
          <w:szCs w:val="32"/>
        </w:rPr>
        <w:t>（二）存在的问题。</w:t>
      </w:r>
    </w:p>
    <w:p w14:paraId="54934D5A">
      <w:pPr>
        <w:spacing w:line="560" w:lineRule="exact"/>
        <w:ind w:firstLine="640" w:firstLineChars="200"/>
        <w:rPr>
          <w:rFonts w:eastAsia="仿宋_GB2312"/>
          <w:sz w:val="32"/>
          <w:szCs w:val="32"/>
        </w:rPr>
      </w:pPr>
      <w:r>
        <w:rPr>
          <w:rFonts w:hint="eastAsia" w:eastAsia="仿宋_GB2312"/>
          <w:sz w:val="32"/>
          <w:szCs w:val="32"/>
        </w:rPr>
        <w:t>1.投资审计项目多，审计人员力量不足，审计成本高。</w:t>
      </w:r>
    </w:p>
    <w:p w14:paraId="21AB65FF">
      <w:pPr>
        <w:spacing w:line="560" w:lineRule="exact"/>
        <w:ind w:firstLine="640" w:firstLineChars="200"/>
        <w:rPr>
          <w:rFonts w:eastAsia="仿宋_GB2312"/>
          <w:sz w:val="32"/>
          <w:szCs w:val="32"/>
        </w:rPr>
      </w:pPr>
      <w:r>
        <w:rPr>
          <w:rFonts w:hint="eastAsia" w:eastAsia="仿宋_GB2312"/>
          <w:sz w:val="32"/>
          <w:szCs w:val="32"/>
        </w:rPr>
        <w:t>2.项目管理和实施，还需要进一步摸索更好的方式方法。</w:t>
      </w:r>
    </w:p>
    <w:p w14:paraId="23F64640">
      <w:pPr>
        <w:spacing w:line="560" w:lineRule="exact"/>
        <w:ind w:firstLine="640" w:firstLineChars="200"/>
        <w:rPr>
          <w:rFonts w:eastAsia="楷体_GB2312"/>
          <w:sz w:val="32"/>
          <w:szCs w:val="32"/>
        </w:rPr>
      </w:pPr>
      <w:r>
        <w:rPr>
          <w:rFonts w:eastAsia="楷体_GB2312"/>
          <w:sz w:val="32"/>
          <w:szCs w:val="32"/>
        </w:rPr>
        <w:t>（三）相关建议。</w:t>
      </w:r>
    </w:p>
    <w:p w14:paraId="530A98E8">
      <w:pPr>
        <w:spacing w:line="560" w:lineRule="exact"/>
        <w:ind w:firstLine="640" w:firstLineChars="200"/>
        <w:rPr>
          <w:rFonts w:eastAsia="仿宋_GB2312"/>
          <w:sz w:val="32"/>
          <w:szCs w:val="32"/>
        </w:rPr>
      </w:pPr>
      <w:r>
        <w:rPr>
          <w:rFonts w:hint="eastAsia" w:eastAsia="仿宋_GB2312"/>
          <w:sz w:val="32"/>
          <w:szCs w:val="32"/>
        </w:rPr>
        <w:t>一是继续加强项目资金使用管理，继续完善相关管理制度；二是充实我局投资项目审计人员力量，加大我局投资项目审计人员的培训，拓宽和提高投资项目审计人员专业知识和能力水平。</w:t>
      </w:r>
    </w:p>
    <w:p w14:paraId="2F164882">
      <w:pPr>
        <w:spacing w:line="640" w:lineRule="exact"/>
        <w:jc w:val="center"/>
        <w:rPr>
          <w:rFonts w:eastAsia="方正小标宋_GBK"/>
          <w:sz w:val="44"/>
          <w:szCs w:val="44"/>
        </w:rPr>
      </w:pPr>
    </w:p>
    <w:p w14:paraId="51B27EC7">
      <w:pPr>
        <w:spacing w:line="572"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3</w:t>
      </w:r>
    </w:p>
    <w:p w14:paraId="7C4AD002">
      <w:pPr>
        <w:spacing w:line="640" w:lineRule="exact"/>
        <w:jc w:val="center"/>
        <w:rPr>
          <w:rFonts w:ascii="方正小标宋简体" w:hAnsi="方正小标宋简体" w:eastAsia="方正小标宋简体" w:cs="方正小标宋简体"/>
          <w:sz w:val="40"/>
          <w:szCs w:val="40"/>
          <w:lang w:val="zh-CN"/>
        </w:rPr>
      </w:pPr>
    </w:p>
    <w:p w14:paraId="5109C5BF">
      <w:pPr>
        <w:spacing w:line="640" w:lineRule="exact"/>
        <w:jc w:val="center"/>
        <w:rPr>
          <w:rFonts w:eastAsia="方正小标宋_GBK"/>
          <w:sz w:val="44"/>
          <w:szCs w:val="44"/>
        </w:rPr>
      </w:pPr>
      <w:r>
        <w:rPr>
          <w:rFonts w:hint="eastAsia" w:ascii="方正小标宋简体" w:hAnsi="方正小标宋简体" w:eastAsia="方正小标宋简体" w:cs="方正小标宋简体"/>
          <w:sz w:val="40"/>
          <w:szCs w:val="40"/>
          <w:lang w:val="zh-CN"/>
        </w:rPr>
        <w:t>2021年对上争取资金奖励</w:t>
      </w:r>
    </w:p>
    <w:p w14:paraId="135FD50B">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项目支出绩效自评报告</w:t>
      </w:r>
    </w:p>
    <w:p w14:paraId="464C2443">
      <w:pPr>
        <w:spacing w:line="600" w:lineRule="exact"/>
        <w:rPr>
          <w:sz w:val="32"/>
          <w:szCs w:val="32"/>
          <w:lang w:val="zh-CN"/>
        </w:rPr>
      </w:pPr>
    </w:p>
    <w:p w14:paraId="5B8646B2">
      <w:pPr>
        <w:spacing w:line="560" w:lineRule="exact"/>
        <w:ind w:firstLine="640" w:firstLineChars="200"/>
        <w:rPr>
          <w:rFonts w:eastAsia="黑体"/>
          <w:sz w:val="32"/>
          <w:szCs w:val="32"/>
        </w:rPr>
      </w:pPr>
      <w:r>
        <w:rPr>
          <w:rFonts w:eastAsia="黑体"/>
          <w:sz w:val="32"/>
          <w:szCs w:val="32"/>
        </w:rPr>
        <w:t>一、项目概况</w:t>
      </w:r>
    </w:p>
    <w:p w14:paraId="0B3CC603">
      <w:pPr>
        <w:spacing w:line="560" w:lineRule="exact"/>
        <w:ind w:firstLine="320" w:firstLineChars="100"/>
        <w:rPr>
          <w:rFonts w:eastAsia="楷体_GB2312"/>
          <w:sz w:val="32"/>
          <w:szCs w:val="32"/>
        </w:rPr>
      </w:pPr>
      <w:r>
        <w:rPr>
          <w:rFonts w:eastAsia="楷体_GB2312"/>
          <w:sz w:val="32"/>
          <w:szCs w:val="32"/>
        </w:rPr>
        <w:t>（一）项目基本情况。</w:t>
      </w:r>
    </w:p>
    <w:p w14:paraId="721DB192">
      <w:pPr>
        <w:spacing w:line="560" w:lineRule="exact"/>
        <w:ind w:firstLine="640" w:firstLineChars="200"/>
        <w:rPr>
          <w:rFonts w:eastAsia="仿宋_GB2312"/>
          <w:sz w:val="32"/>
          <w:szCs w:val="32"/>
        </w:rPr>
      </w:pPr>
      <w:r>
        <w:rPr>
          <w:rFonts w:hint="eastAsia" w:eastAsia="方正仿宋_GBK"/>
          <w:sz w:val="32"/>
          <w:szCs w:val="32"/>
        </w:rPr>
        <w:t>1.</w:t>
      </w:r>
      <w:r>
        <w:rPr>
          <w:rFonts w:eastAsia="仿宋_GB2312"/>
          <w:sz w:val="32"/>
          <w:szCs w:val="32"/>
        </w:rPr>
        <w:t>县</w:t>
      </w:r>
      <w:r>
        <w:rPr>
          <w:rFonts w:hint="eastAsia" w:eastAsia="仿宋_GB2312"/>
          <w:sz w:val="32"/>
          <w:szCs w:val="32"/>
        </w:rPr>
        <w:t>审计</w:t>
      </w:r>
      <w:r>
        <w:rPr>
          <w:rFonts w:eastAsia="仿宋_GB2312"/>
          <w:sz w:val="32"/>
          <w:szCs w:val="32"/>
        </w:rPr>
        <w:t>局</w:t>
      </w:r>
      <w:r>
        <w:rPr>
          <w:rFonts w:hint="eastAsia" w:eastAsia="仿宋_GB2312"/>
          <w:sz w:val="32"/>
          <w:szCs w:val="32"/>
        </w:rPr>
        <w:t>主管全县审计工作。负责对县级财政收支和法律法规规定属于审计监督范围的财务收支的真实、合法和效益进行审计监督，对公共资金、国有资产、国有资源和领导干部履行经济责任情况实行审计全覆盖，对领导干部实行自然资源资产离任审计，对国家和省市有关重大政策措施贯彻落实情况进行跟踪审计。对审计、专项审计调查和核查社会审计机构相关审计报告的结果承担责任，并负有督促被审计单位整改的责任。为完成上级审计机关及县委、县政府交办的审计项目，为审计工作实施提供经费保障，我局积极主动对接上级部门，了解项目资金政策，积极向省市争取资金。</w:t>
      </w:r>
    </w:p>
    <w:p w14:paraId="27C18448">
      <w:pPr>
        <w:spacing w:line="560" w:lineRule="exact"/>
        <w:ind w:firstLine="640" w:firstLineChars="200"/>
        <w:rPr>
          <w:rFonts w:eastAsia="仿宋_GB2312"/>
          <w:sz w:val="32"/>
          <w:szCs w:val="32"/>
        </w:rPr>
      </w:pPr>
      <w:r>
        <w:rPr>
          <w:rFonts w:hint="eastAsia" w:eastAsia="仿宋_GB2312"/>
          <w:sz w:val="32"/>
          <w:szCs w:val="32"/>
        </w:rPr>
        <w:t>根据盐财资预〔2021〕28号、〔2021〕80号文，下达我局2019年9月至12月和2020年1至10月及2021年1</w:t>
      </w:r>
      <w:r>
        <w:rPr>
          <w:rFonts w:hint="eastAsia" w:eastAsia="仿宋_GB2312"/>
          <w:sz w:val="32"/>
          <w:szCs w:val="32"/>
          <w:lang w:eastAsia="zh-CN"/>
        </w:rPr>
        <w:t>—</w:t>
      </w:r>
      <w:r>
        <w:rPr>
          <w:rFonts w:hint="eastAsia" w:eastAsia="仿宋_GB2312"/>
          <w:sz w:val="32"/>
          <w:szCs w:val="32"/>
        </w:rPr>
        <w:t>6月对上争取资金奖励6万元。</w:t>
      </w:r>
    </w:p>
    <w:p w14:paraId="350EF452">
      <w:pPr>
        <w:spacing w:line="560" w:lineRule="exact"/>
        <w:ind w:firstLine="640" w:firstLineChars="200"/>
        <w:rPr>
          <w:rFonts w:eastAsia="仿宋_GB2312"/>
          <w:sz w:val="32"/>
          <w:szCs w:val="32"/>
        </w:rPr>
      </w:pPr>
      <w:r>
        <w:rPr>
          <w:rFonts w:eastAsia="仿宋_GB2312"/>
          <w:sz w:val="32"/>
          <w:szCs w:val="32"/>
        </w:rPr>
        <w:t>2.项目立项、资金申报的依据。</w:t>
      </w:r>
    </w:p>
    <w:p w14:paraId="259B0C44">
      <w:pPr>
        <w:spacing w:line="560" w:lineRule="exact"/>
        <w:ind w:firstLine="640" w:firstLineChars="200"/>
        <w:rPr>
          <w:rFonts w:eastAsia="仿宋_GB2312"/>
          <w:sz w:val="32"/>
          <w:szCs w:val="32"/>
        </w:rPr>
      </w:pPr>
      <w:r>
        <w:rPr>
          <w:rFonts w:hint="eastAsia" w:eastAsia="仿宋_GB2312"/>
          <w:sz w:val="32"/>
          <w:szCs w:val="32"/>
        </w:rPr>
        <w:t>根据盐财资预〔2021〕28号、〔2021〕80号文，下达我局2019年9月至12月和2020年1至10月及2021年1</w:t>
      </w:r>
      <w:r>
        <w:rPr>
          <w:rFonts w:hint="eastAsia" w:eastAsia="仿宋_GB2312"/>
          <w:sz w:val="32"/>
          <w:szCs w:val="32"/>
          <w:lang w:eastAsia="zh-CN"/>
        </w:rPr>
        <w:t>—</w:t>
      </w:r>
      <w:r>
        <w:rPr>
          <w:rFonts w:hint="eastAsia" w:eastAsia="仿宋_GB2312"/>
          <w:sz w:val="32"/>
          <w:szCs w:val="32"/>
        </w:rPr>
        <w:t>6月对上争取资金奖励6万元，用于审计业务工作支出。</w:t>
      </w:r>
    </w:p>
    <w:p w14:paraId="457D046A">
      <w:pPr>
        <w:spacing w:line="560" w:lineRule="exact"/>
        <w:ind w:firstLine="640" w:firstLineChars="200"/>
        <w:rPr>
          <w:rFonts w:ascii="仿宋" w:hAnsi="仿宋" w:eastAsia="仿宋" w:cs="仿宋"/>
          <w:color w:val="000000"/>
          <w:kern w:val="0"/>
          <w:sz w:val="32"/>
          <w:szCs w:val="32"/>
        </w:rPr>
      </w:pPr>
      <w:r>
        <w:rPr>
          <w:rFonts w:eastAsia="仿宋_GB2312"/>
          <w:sz w:val="32"/>
          <w:szCs w:val="32"/>
        </w:rPr>
        <w:t>3.</w:t>
      </w:r>
      <w:r>
        <w:rPr>
          <w:rFonts w:hint="eastAsia" w:ascii="仿宋" w:hAnsi="仿宋" w:eastAsia="仿宋" w:cs="仿宋"/>
          <w:color w:val="000000"/>
          <w:kern w:val="0"/>
          <w:sz w:val="32"/>
          <w:szCs w:val="32"/>
        </w:rPr>
        <w:t>盐边县审计局</w:t>
      </w:r>
      <w:r>
        <w:rPr>
          <w:rFonts w:hint="eastAsia" w:eastAsia="仿宋_GB2312"/>
          <w:sz w:val="32"/>
          <w:szCs w:val="32"/>
        </w:rPr>
        <w:t>根据盐财资预〔2021〕28号文件相关要求，对资金使用方向，范围严格审核把关，按工作开展情况</w:t>
      </w:r>
      <w:r>
        <w:rPr>
          <w:rFonts w:hint="eastAsia" w:ascii="仿宋" w:hAnsi="仿宋" w:eastAsia="仿宋" w:cs="仿宋"/>
          <w:color w:val="000000"/>
          <w:kern w:val="0"/>
          <w:sz w:val="32"/>
          <w:szCs w:val="32"/>
        </w:rPr>
        <w:t>及时支付，严格执行专款专用。</w:t>
      </w:r>
    </w:p>
    <w:p w14:paraId="477AF651">
      <w:pPr>
        <w:spacing w:line="560" w:lineRule="exact"/>
        <w:ind w:firstLine="640" w:firstLineChars="200"/>
        <w:rPr>
          <w:rFonts w:eastAsia="仿宋_GB2312"/>
          <w:sz w:val="32"/>
          <w:szCs w:val="32"/>
        </w:rPr>
      </w:pPr>
      <w:r>
        <w:rPr>
          <w:rFonts w:eastAsia="仿宋_GB2312"/>
          <w:sz w:val="32"/>
          <w:szCs w:val="32"/>
        </w:rPr>
        <w:t>4.资金分配的原则及考虑因素。</w:t>
      </w:r>
      <w:r>
        <w:rPr>
          <w:rFonts w:hint="eastAsia" w:eastAsia="仿宋_GB2312"/>
          <w:sz w:val="32"/>
          <w:szCs w:val="32"/>
        </w:rPr>
        <w:t>该项目的资金来自县本级追加预算安排，主要补充用于机关运转的各项费用支出。</w:t>
      </w:r>
    </w:p>
    <w:p w14:paraId="57E6BDF1">
      <w:pPr>
        <w:numPr>
          <w:ilvl w:val="0"/>
          <w:numId w:val="9"/>
        </w:numPr>
        <w:spacing w:line="560" w:lineRule="exact"/>
        <w:ind w:firstLine="640" w:firstLineChars="200"/>
        <w:rPr>
          <w:rFonts w:eastAsia="楷体_GB2312"/>
          <w:sz w:val="32"/>
          <w:szCs w:val="32"/>
        </w:rPr>
      </w:pPr>
      <w:r>
        <w:rPr>
          <w:rFonts w:eastAsia="楷体_GB2312"/>
          <w:sz w:val="32"/>
          <w:szCs w:val="32"/>
        </w:rPr>
        <w:t>项目绩效目标。</w:t>
      </w:r>
    </w:p>
    <w:p w14:paraId="2FA362B4">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项目主要内容</w:t>
      </w:r>
      <w:r>
        <w:rPr>
          <w:rFonts w:hint="eastAsia" w:eastAsia="仿宋_GB2312"/>
          <w:sz w:val="32"/>
          <w:szCs w:val="32"/>
        </w:rPr>
        <w:t>。</w:t>
      </w:r>
    </w:p>
    <w:p w14:paraId="5C258D13">
      <w:pPr>
        <w:spacing w:line="560" w:lineRule="exact"/>
        <w:ind w:firstLine="640" w:firstLineChars="200"/>
        <w:rPr>
          <w:rFonts w:eastAsia="仿宋_GB2312"/>
          <w:sz w:val="32"/>
          <w:szCs w:val="32"/>
        </w:rPr>
      </w:pPr>
      <w:r>
        <w:rPr>
          <w:rFonts w:hint="eastAsia" w:eastAsia="仿宋_GB2312"/>
          <w:sz w:val="32"/>
          <w:szCs w:val="32"/>
        </w:rPr>
        <w:t>对接上级部门，了解当年工作目标任务，积极主动向省市争取上级专项资金和工作经费。</w:t>
      </w:r>
    </w:p>
    <w:p w14:paraId="0D66BA44">
      <w:pPr>
        <w:spacing w:line="560" w:lineRule="exact"/>
        <w:ind w:firstLine="640" w:firstLineChars="200"/>
        <w:rPr>
          <w:rFonts w:eastAsia="仿宋_GB2312"/>
          <w:sz w:val="32"/>
          <w:szCs w:val="32"/>
        </w:rPr>
      </w:pPr>
      <w:r>
        <w:rPr>
          <w:rFonts w:hint="eastAsia" w:eastAsia="仿宋_GB2312"/>
          <w:sz w:val="32"/>
          <w:szCs w:val="32"/>
        </w:rPr>
        <w:t>2.所争取项目成熟，与上级沟通充足，上级专项资金争取成功概率较高。</w:t>
      </w:r>
    </w:p>
    <w:p w14:paraId="039D2216">
      <w:pPr>
        <w:spacing w:line="560" w:lineRule="exact"/>
        <w:ind w:firstLine="640" w:firstLineChars="200"/>
        <w:rPr>
          <w:rFonts w:eastAsia="仿宋_GB2312"/>
          <w:sz w:val="32"/>
          <w:szCs w:val="32"/>
        </w:rPr>
      </w:pPr>
      <w:r>
        <w:rPr>
          <w:rFonts w:hint="eastAsia" w:eastAsia="仿宋_GB2312"/>
          <w:sz w:val="32"/>
          <w:szCs w:val="32"/>
        </w:rPr>
        <w:t>3.对上争取资金奖励经费用于审计业务工作开展，为审计工作顺利实施提供必要的经费补充，对鼓励加大对上争取资金具有重要意义。</w:t>
      </w:r>
    </w:p>
    <w:p w14:paraId="15922D8B">
      <w:pPr>
        <w:spacing w:line="560" w:lineRule="exact"/>
        <w:ind w:firstLine="640" w:firstLineChars="200"/>
        <w:rPr>
          <w:rFonts w:eastAsia="黑体"/>
          <w:sz w:val="32"/>
          <w:szCs w:val="32"/>
        </w:rPr>
      </w:pPr>
      <w:r>
        <w:rPr>
          <w:rFonts w:eastAsia="黑体"/>
          <w:sz w:val="32"/>
          <w:szCs w:val="32"/>
        </w:rPr>
        <w:t>二、项目资金申报及使用情况</w:t>
      </w:r>
    </w:p>
    <w:p w14:paraId="3D96766B">
      <w:pPr>
        <w:spacing w:line="560" w:lineRule="exact"/>
        <w:ind w:firstLine="640" w:firstLineChars="200"/>
        <w:rPr>
          <w:rFonts w:eastAsia="楷体_GB2312"/>
          <w:sz w:val="32"/>
          <w:szCs w:val="32"/>
        </w:rPr>
      </w:pPr>
      <w:r>
        <w:rPr>
          <w:rFonts w:eastAsia="楷体_GB2312"/>
          <w:sz w:val="32"/>
          <w:szCs w:val="32"/>
        </w:rPr>
        <w:t>（一）项目资金申报及批复情况</w:t>
      </w:r>
    </w:p>
    <w:p w14:paraId="4FA6A9C8">
      <w:pPr>
        <w:spacing w:line="560" w:lineRule="exact"/>
        <w:ind w:firstLine="640" w:firstLineChars="200"/>
        <w:rPr>
          <w:rFonts w:eastAsia="仿宋_GB2312"/>
          <w:sz w:val="32"/>
          <w:szCs w:val="32"/>
        </w:rPr>
      </w:pPr>
      <w:r>
        <w:rPr>
          <w:rFonts w:hint="eastAsia" w:eastAsia="仿宋_GB2312"/>
          <w:sz w:val="32"/>
          <w:szCs w:val="32"/>
        </w:rPr>
        <w:t>根据审计局2021年工作实际需求，盐财资预〔2021〕28号、〔2021〕80号文下达2019年9月至12月和2020年1至10月及2021年1</w:t>
      </w:r>
      <w:r>
        <w:rPr>
          <w:rFonts w:hint="eastAsia" w:eastAsia="仿宋_GB2312"/>
          <w:sz w:val="32"/>
          <w:szCs w:val="32"/>
          <w:lang w:eastAsia="zh-CN"/>
        </w:rPr>
        <w:t>—</w:t>
      </w:r>
      <w:r>
        <w:rPr>
          <w:rFonts w:hint="eastAsia" w:eastAsia="仿宋_GB2312"/>
          <w:sz w:val="32"/>
          <w:szCs w:val="32"/>
        </w:rPr>
        <w:t>6月对上争取资金奖励6万元。</w:t>
      </w:r>
    </w:p>
    <w:p w14:paraId="770D9180">
      <w:pPr>
        <w:spacing w:line="560" w:lineRule="exact"/>
        <w:ind w:firstLine="640" w:firstLineChars="200"/>
        <w:rPr>
          <w:rFonts w:eastAsia="楷体_GB2312"/>
          <w:sz w:val="32"/>
          <w:szCs w:val="32"/>
        </w:rPr>
      </w:pPr>
      <w:r>
        <w:rPr>
          <w:rFonts w:eastAsia="楷体_GB2312"/>
          <w:sz w:val="32"/>
          <w:szCs w:val="32"/>
        </w:rPr>
        <w:t>（二）资金计划、到位及使用情况</w:t>
      </w:r>
    </w:p>
    <w:p w14:paraId="5B9F3609">
      <w:pPr>
        <w:spacing w:line="560" w:lineRule="exact"/>
        <w:ind w:firstLine="640" w:firstLineChars="200"/>
        <w:rPr>
          <w:rFonts w:eastAsia="仿宋_GB2312"/>
          <w:sz w:val="32"/>
          <w:szCs w:val="32"/>
        </w:rPr>
      </w:pPr>
      <w:r>
        <w:rPr>
          <w:rFonts w:eastAsia="仿宋_GB2312"/>
          <w:sz w:val="32"/>
          <w:szCs w:val="32"/>
        </w:rPr>
        <w:t>1.资金计划</w:t>
      </w:r>
    </w:p>
    <w:p w14:paraId="410434F6">
      <w:pPr>
        <w:spacing w:line="560" w:lineRule="exact"/>
        <w:ind w:firstLine="640" w:firstLineChars="200"/>
        <w:rPr>
          <w:rFonts w:eastAsia="仿宋_GB2312"/>
          <w:sz w:val="32"/>
          <w:szCs w:val="32"/>
        </w:rPr>
      </w:pPr>
      <w:r>
        <w:rPr>
          <w:rFonts w:hint="eastAsia" w:eastAsia="仿宋_GB2312"/>
          <w:sz w:val="32"/>
          <w:szCs w:val="32"/>
        </w:rPr>
        <w:t>主要补充用于机关运转的各项费用支出和</w:t>
      </w:r>
      <w:r>
        <w:rPr>
          <w:rFonts w:hint="eastAsia" w:eastAsia="仿宋_GB2312"/>
          <w:kern w:val="0"/>
          <w:sz w:val="32"/>
          <w:szCs w:val="32"/>
        </w:rPr>
        <w:t>金审三期设备购置及投资项目审计</w:t>
      </w:r>
      <w:r>
        <w:rPr>
          <w:rFonts w:hint="eastAsia" w:eastAsia="仿宋_GB2312"/>
          <w:sz w:val="32"/>
          <w:szCs w:val="32"/>
        </w:rPr>
        <w:t>软件购置。</w:t>
      </w:r>
    </w:p>
    <w:p w14:paraId="4D57617E">
      <w:pPr>
        <w:spacing w:line="560" w:lineRule="exact"/>
        <w:ind w:firstLine="640" w:firstLineChars="200"/>
        <w:rPr>
          <w:rFonts w:eastAsia="仿宋_GB2312"/>
          <w:sz w:val="32"/>
          <w:szCs w:val="32"/>
        </w:rPr>
      </w:pPr>
      <w:r>
        <w:rPr>
          <w:rFonts w:eastAsia="仿宋_GB2312"/>
          <w:sz w:val="32"/>
          <w:szCs w:val="32"/>
        </w:rPr>
        <w:t>2.资金到位</w:t>
      </w:r>
    </w:p>
    <w:p w14:paraId="4FEC2F1C">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rPr>
        <w:t>该项目计划资金6万元，实际到位资金6万元，资金到位率100%。</w:t>
      </w:r>
    </w:p>
    <w:p w14:paraId="2C0C3DF3">
      <w:pPr>
        <w:spacing w:line="560" w:lineRule="exact"/>
        <w:ind w:firstLine="640" w:firstLineChars="200"/>
        <w:rPr>
          <w:rFonts w:eastAsia="仿宋_GB2312"/>
          <w:sz w:val="32"/>
          <w:szCs w:val="32"/>
        </w:rPr>
      </w:pPr>
      <w:r>
        <w:rPr>
          <w:rFonts w:eastAsia="仿宋_GB2312"/>
          <w:sz w:val="32"/>
          <w:szCs w:val="32"/>
        </w:rPr>
        <w:t>3.资金使用</w:t>
      </w:r>
    </w:p>
    <w:p w14:paraId="0B19D771">
      <w:pPr>
        <w:spacing w:line="560" w:lineRule="exact"/>
        <w:ind w:firstLine="640" w:firstLineChars="200"/>
        <w:rPr>
          <w:rFonts w:eastAsia="仿宋_GB2312"/>
          <w:sz w:val="32"/>
          <w:szCs w:val="32"/>
        </w:rPr>
      </w:pPr>
      <w:r>
        <w:rPr>
          <w:rFonts w:hint="eastAsia" w:eastAsia="仿宋_GB2312"/>
          <w:sz w:val="32"/>
          <w:szCs w:val="32"/>
        </w:rPr>
        <w:t>县财</w:t>
      </w:r>
      <w:r>
        <w:rPr>
          <w:rFonts w:hint="eastAsia" w:eastAsia="仿宋_GB2312"/>
          <w:sz w:val="32"/>
          <w:szCs w:val="32"/>
          <w:lang w:eastAsia="zh-CN"/>
        </w:rPr>
        <w:t>政局</w:t>
      </w:r>
      <w:r>
        <w:rPr>
          <w:rFonts w:hint="eastAsia" w:eastAsia="仿宋_GB2312"/>
          <w:sz w:val="32"/>
          <w:szCs w:val="32"/>
        </w:rPr>
        <w:t>下达审计局对上争取资金奖励经费6万元，用于审计业务工作需要。经费到位后，资金的使用严格按照盐财资预〔2021〕28号文件相关要</w:t>
      </w:r>
      <w:r>
        <w:rPr>
          <w:rFonts w:hint="eastAsia" w:eastAsia="仿宋_GB2312"/>
          <w:sz w:val="32"/>
          <w:szCs w:val="32"/>
          <w:lang w:eastAsia="zh-CN"/>
        </w:rPr>
        <w:t>求和</w:t>
      </w:r>
      <w:r>
        <w:rPr>
          <w:rFonts w:hint="eastAsia" w:eastAsia="仿宋_GB2312"/>
          <w:sz w:val="32"/>
          <w:szCs w:val="32"/>
        </w:rPr>
        <w:t>资金支付范围、支付标准进行，</w:t>
      </w:r>
      <w:r>
        <w:rPr>
          <w:rFonts w:hint="eastAsia" w:eastAsia="仿宋_GB2312"/>
          <w:kern w:val="0"/>
          <w:sz w:val="32"/>
          <w:szCs w:val="32"/>
        </w:rPr>
        <w:t>主要用于支付办公用品书籍报刊费用、差旅费、金审三期设备购置、投资项目审计</w:t>
      </w:r>
      <w:r>
        <w:rPr>
          <w:rFonts w:hint="eastAsia" w:eastAsia="仿宋_GB2312"/>
          <w:sz w:val="32"/>
          <w:szCs w:val="32"/>
        </w:rPr>
        <w:t>软件购置</w:t>
      </w:r>
      <w:r>
        <w:rPr>
          <w:rFonts w:hint="eastAsia" w:eastAsia="仿宋_GB2312"/>
          <w:kern w:val="0"/>
          <w:sz w:val="32"/>
          <w:szCs w:val="32"/>
        </w:rPr>
        <w:t>等方面</w:t>
      </w:r>
      <w:r>
        <w:rPr>
          <w:rFonts w:eastAsia="仿宋_GB2312"/>
          <w:kern w:val="0"/>
          <w:sz w:val="32"/>
          <w:szCs w:val="32"/>
        </w:rPr>
        <w:t>。</w:t>
      </w:r>
    </w:p>
    <w:p w14:paraId="6BCC053E">
      <w:pPr>
        <w:spacing w:line="560" w:lineRule="exact"/>
        <w:ind w:firstLine="640" w:firstLineChars="200"/>
        <w:rPr>
          <w:rFonts w:eastAsia="楷体_GB2312"/>
          <w:sz w:val="32"/>
          <w:szCs w:val="32"/>
        </w:rPr>
      </w:pPr>
      <w:r>
        <w:rPr>
          <w:rFonts w:eastAsia="楷体_GB2312"/>
          <w:sz w:val="32"/>
          <w:szCs w:val="32"/>
        </w:rPr>
        <w:t>（三）项目财务管理情况</w:t>
      </w:r>
    </w:p>
    <w:p w14:paraId="0F38FB0D">
      <w:pPr>
        <w:spacing w:line="560" w:lineRule="exact"/>
        <w:ind w:firstLine="640" w:firstLineChars="200"/>
        <w:rPr>
          <w:rFonts w:eastAsia="仿宋_GB2312"/>
          <w:sz w:val="32"/>
          <w:szCs w:val="32"/>
        </w:rPr>
      </w:pPr>
      <w:r>
        <w:rPr>
          <w:rFonts w:hint="eastAsia" w:ascii="仿宋" w:hAnsi="仿宋" w:eastAsia="仿宋" w:cs="仿宋"/>
          <w:sz w:val="32"/>
          <w:szCs w:val="32"/>
        </w:rPr>
        <w:t>我单位严格执行《行政事业单位财务管理制度》，</w:t>
      </w:r>
      <w:r>
        <w:rPr>
          <w:rFonts w:eastAsia="仿宋_GB2312"/>
          <w:kern w:val="0"/>
          <w:sz w:val="32"/>
          <w:szCs w:val="32"/>
        </w:rPr>
        <w:t>严格按照管理制度进行审批支付，做到及时审批及时拨付，按规定进行会计核算。</w:t>
      </w:r>
      <w:r>
        <w:rPr>
          <w:rFonts w:hint="eastAsia" w:ascii="仿宋" w:hAnsi="仿宋" w:eastAsia="仿宋" w:cs="仿宋"/>
          <w:sz w:val="32"/>
          <w:szCs w:val="32"/>
        </w:rPr>
        <w:t>审批有手续、支出合理规范。</w:t>
      </w:r>
    </w:p>
    <w:p w14:paraId="51BAA11B">
      <w:pPr>
        <w:spacing w:line="560" w:lineRule="exact"/>
        <w:ind w:firstLine="640" w:firstLineChars="200"/>
        <w:rPr>
          <w:rFonts w:eastAsia="黑体"/>
          <w:sz w:val="32"/>
          <w:szCs w:val="32"/>
        </w:rPr>
      </w:pPr>
      <w:r>
        <w:rPr>
          <w:rFonts w:eastAsia="黑体"/>
          <w:sz w:val="32"/>
          <w:szCs w:val="32"/>
        </w:rPr>
        <w:t>三、项目实施及管理情况</w:t>
      </w:r>
    </w:p>
    <w:p w14:paraId="1A546B61">
      <w:pPr>
        <w:autoSpaceDE w:val="0"/>
        <w:autoSpaceDN w:val="0"/>
        <w:adjustRightInd w:val="0"/>
        <w:spacing w:line="600" w:lineRule="exact"/>
        <w:ind w:firstLine="640" w:firstLineChars="200"/>
        <w:jc w:val="left"/>
        <w:rPr>
          <w:rFonts w:eastAsia="楷体_GB2312"/>
          <w:b/>
          <w:bCs/>
          <w:kern w:val="0"/>
          <w:sz w:val="32"/>
          <w:szCs w:val="32"/>
        </w:rPr>
      </w:pPr>
      <w:r>
        <w:rPr>
          <w:rFonts w:eastAsia="楷体_GB2312"/>
          <w:sz w:val="32"/>
          <w:szCs w:val="32"/>
        </w:rPr>
        <w:t>（一）项目组织架构及实施流程</w:t>
      </w:r>
    </w:p>
    <w:p w14:paraId="6BDE12B4">
      <w:pPr>
        <w:autoSpaceDE w:val="0"/>
        <w:autoSpaceDN w:val="0"/>
        <w:adjustRightInd w:val="0"/>
        <w:spacing w:line="600" w:lineRule="exact"/>
        <w:ind w:firstLine="640" w:firstLineChars="200"/>
        <w:jc w:val="left"/>
        <w:rPr>
          <w:rFonts w:eastAsia="楷体_GB2312"/>
          <w:kern w:val="0"/>
          <w:sz w:val="32"/>
          <w:szCs w:val="32"/>
        </w:rPr>
      </w:pPr>
      <w:r>
        <w:rPr>
          <w:rFonts w:hint="eastAsia" w:eastAsia="仿宋_GB2312"/>
          <w:sz w:val="32"/>
          <w:szCs w:val="32"/>
        </w:rPr>
        <w:t>我局严格按照年初审计项目计划有序推进工作，根据工作开展情况和需要，严格按照财政资金报销流程，根据轻重缓急程度合理安排费用支出</w:t>
      </w:r>
      <w:r>
        <w:rPr>
          <w:rFonts w:hint="eastAsia" w:ascii="仿宋" w:hAnsi="仿宋" w:eastAsia="仿宋" w:cs="仿宋"/>
          <w:color w:val="000000"/>
          <w:kern w:val="0"/>
          <w:sz w:val="32"/>
          <w:szCs w:val="32"/>
        </w:rPr>
        <w:t>。</w:t>
      </w:r>
    </w:p>
    <w:p w14:paraId="1DF9EA48">
      <w:pPr>
        <w:autoSpaceDE w:val="0"/>
        <w:autoSpaceDN w:val="0"/>
        <w:adjustRightInd w:val="0"/>
        <w:spacing w:line="600" w:lineRule="exact"/>
        <w:ind w:firstLine="640" w:firstLineChars="200"/>
        <w:jc w:val="left"/>
        <w:rPr>
          <w:rFonts w:eastAsia="楷体_GB2312"/>
          <w:sz w:val="32"/>
          <w:szCs w:val="32"/>
        </w:rPr>
      </w:pPr>
      <w:r>
        <w:rPr>
          <w:rFonts w:eastAsia="楷体_GB2312"/>
          <w:sz w:val="32"/>
          <w:szCs w:val="32"/>
        </w:rPr>
        <w:t>（二）项目管理情况</w:t>
      </w:r>
    </w:p>
    <w:p w14:paraId="0D8B5244">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rPr>
        <w:t>对上争取资金奖励经费支出严格按照财务管理制度执行。对原始凭证进行审核报销，并对项目实施进度、资金支付真实性、必要性、及时性进行严格审核把关。</w:t>
      </w:r>
    </w:p>
    <w:p w14:paraId="7E114B63">
      <w:pPr>
        <w:autoSpaceDE w:val="0"/>
        <w:autoSpaceDN w:val="0"/>
        <w:adjustRightInd w:val="0"/>
        <w:spacing w:line="600" w:lineRule="exact"/>
        <w:ind w:firstLine="640" w:firstLineChars="200"/>
        <w:jc w:val="left"/>
        <w:rPr>
          <w:rFonts w:eastAsia="楷体_GB2312"/>
          <w:sz w:val="32"/>
          <w:szCs w:val="32"/>
        </w:rPr>
      </w:pPr>
      <w:r>
        <w:rPr>
          <w:rFonts w:eastAsia="楷体_GB2312"/>
          <w:sz w:val="32"/>
          <w:szCs w:val="32"/>
        </w:rPr>
        <w:t>（三）项目监管情况</w:t>
      </w:r>
    </w:p>
    <w:p w14:paraId="6A2639C8">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严格按照财经纪律，对项目后期实施进度、项目绩效目标实现情况进行跟踪分析，总结经验。</w:t>
      </w:r>
    </w:p>
    <w:p w14:paraId="6AC4A23A">
      <w:pPr>
        <w:spacing w:line="560" w:lineRule="exact"/>
        <w:rPr>
          <w:rFonts w:eastAsia="黑体"/>
          <w:sz w:val="32"/>
          <w:szCs w:val="32"/>
        </w:rPr>
      </w:pPr>
      <w:r>
        <w:rPr>
          <w:rFonts w:eastAsia="黑体"/>
          <w:sz w:val="32"/>
          <w:szCs w:val="32"/>
        </w:rPr>
        <w:t>四、项目绩效情况</w:t>
      </w:r>
      <w:r>
        <w:rPr>
          <w:rFonts w:eastAsia="黑体"/>
          <w:sz w:val="32"/>
          <w:szCs w:val="32"/>
        </w:rPr>
        <w:tab/>
      </w:r>
    </w:p>
    <w:p w14:paraId="29178652">
      <w:pPr>
        <w:autoSpaceDE w:val="0"/>
        <w:autoSpaceDN w:val="0"/>
        <w:adjustRightInd w:val="0"/>
        <w:spacing w:line="600" w:lineRule="exact"/>
        <w:ind w:firstLine="640" w:firstLineChars="200"/>
        <w:jc w:val="left"/>
        <w:rPr>
          <w:rFonts w:eastAsia="楷体_GB2312"/>
          <w:sz w:val="32"/>
          <w:szCs w:val="32"/>
        </w:rPr>
      </w:pPr>
      <w:r>
        <w:rPr>
          <w:rFonts w:eastAsia="楷体_GB2312"/>
          <w:sz w:val="32"/>
          <w:szCs w:val="32"/>
        </w:rPr>
        <w:t>（一）项目完成情况</w:t>
      </w:r>
    </w:p>
    <w:p w14:paraId="727F5955">
      <w:pPr>
        <w:autoSpaceDE w:val="0"/>
        <w:autoSpaceDN w:val="0"/>
        <w:adjustRightInd w:val="0"/>
        <w:spacing w:line="600" w:lineRule="exact"/>
        <w:ind w:firstLine="640" w:firstLineChars="200"/>
        <w:jc w:val="left"/>
        <w:rPr>
          <w:rFonts w:eastAsia="仿宋_GB2312"/>
          <w:sz w:val="32"/>
          <w:szCs w:val="32"/>
        </w:rPr>
      </w:pPr>
      <w:r>
        <w:rPr>
          <w:rFonts w:hint="eastAsia" w:eastAsia="仿宋_GB2312"/>
          <w:sz w:val="32"/>
          <w:szCs w:val="32"/>
        </w:rPr>
        <w:t>对上争取资金奖励经费在2021年完成了项目的总体实施，执行率100%</w:t>
      </w:r>
    </w:p>
    <w:p w14:paraId="72F85D90">
      <w:pPr>
        <w:autoSpaceDE w:val="0"/>
        <w:autoSpaceDN w:val="0"/>
        <w:adjustRightInd w:val="0"/>
        <w:spacing w:line="600" w:lineRule="exact"/>
        <w:ind w:firstLine="640" w:firstLineChars="200"/>
        <w:jc w:val="left"/>
        <w:rPr>
          <w:rFonts w:eastAsia="楷体_GB2312"/>
          <w:sz w:val="32"/>
          <w:szCs w:val="32"/>
        </w:rPr>
      </w:pPr>
      <w:r>
        <w:rPr>
          <w:rFonts w:eastAsia="楷体_GB2312"/>
          <w:sz w:val="32"/>
          <w:szCs w:val="32"/>
        </w:rPr>
        <w:t>（二）项目效益情况</w:t>
      </w:r>
    </w:p>
    <w:p w14:paraId="2DB3D8FF">
      <w:pPr>
        <w:spacing w:line="560" w:lineRule="exact"/>
        <w:ind w:firstLine="640" w:firstLineChars="200"/>
        <w:rPr>
          <w:rFonts w:eastAsia="仿宋_GB2312"/>
          <w:kern w:val="0"/>
          <w:sz w:val="32"/>
          <w:szCs w:val="32"/>
        </w:rPr>
      </w:pPr>
      <w:r>
        <w:rPr>
          <w:rFonts w:hint="eastAsia" w:eastAsia="仿宋_GB2312"/>
          <w:sz w:val="32"/>
          <w:szCs w:val="32"/>
        </w:rPr>
        <w:t>该笔资金弥补了我局公用经费的不足，同时也解决了金审三期设备购置和投资项目审计软件购置经费缺口。</w:t>
      </w:r>
    </w:p>
    <w:p w14:paraId="4F195AD6">
      <w:pPr>
        <w:spacing w:line="560" w:lineRule="exact"/>
        <w:ind w:firstLine="640" w:firstLineChars="200"/>
        <w:rPr>
          <w:rFonts w:eastAsia="黑体"/>
          <w:sz w:val="32"/>
          <w:szCs w:val="32"/>
        </w:rPr>
      </w:pPr>
      <w:r>
        <w:rPr>
          <w:rFonts w:eastAsia="黑体"/>
          <w:sz w:val="32"/>
          <w:szCs w:val="32"/>
        </w:rPr>
        <w:t>五、评价结论及建议</w:t>
      </w:r>
    </w:p>
    <w:p w14:paraId="37519E67">
      <w:pPr>
        <w:spacing w:line="560" w:lineRule="exact"/>
        <w:ind w:firstLine="640" w:firstLineChars="200"/>
        <w:rPr>
          <w:rFonts w:eastAsia="楷体_GB2312"/>
          <w:sz w:val="32"/>
          <w:szCs w:val="32"/>
        </w:rPr>
      </w:pPr>
      <w:r>
        <w:rPr>
          <w:rFonts w:eastAsia="楷体_GB2312"/>
          <w:sz w:val="32"/>
          <w:szCs w:val="32"/>
        </w:rPr>
        <w:t>（一）评价结论</w:t>
      </w:r>
    </w:p>
    <w:p w14:paraId="056744FA">
      <w:pPr>
        <w:spacing w:line="560" w:lineRule="exact"/>
        <w:ind w:firstLine="640" w:firstLineChars="200"/>
        <w:rPr>
          <w:rFonts w:eastAsia="仿宋_GB2312"/>
          <w:sz w:val="32"/>
          <w:szCs w:val="32"/>
        </w:rPr>
      </w:pPr>
      <w:r>
        <w:rPr>
          <w:rFonts w:hint="eastAsia" w:eastAsia="仿宋_GB2312"/>
          <w:sz w:val="32"/>
          <w:szCs w:val="32"/>
        </w:rPr>
        <w:t>该</w:t>
      </w:r>
      <w:r>
        <w:rPr>
          <w:rFonts w:hint="eastAsia" w:ascii="仿宋" w:hAnsi="仿宋" w:eastAsia="仿宋" w:cs="仿宋"/>
          <w:sz w:val="32"/>
          <w:szCs w:val="32"/>
        </w:rPr>
        <w:t>项目执行率100%，满意度100%，</w:t>
      </w:r>
      <w:r>
        <w:rPr>
          <w:rFonts w:hint="eastAsia" w:eastAsia="仿宋_GB2312"/>
          <w:sz w:val="32"/>
          <w:szCs w:val="32"/>
        </w:rPr>
        <w:t>对保障审计业务工作顺利开展，鼓励县审计局加大对上争取资金具有重要意义。</w:t>
      </w:r>
    </w:p>
    <w:p w14:paraId="2673F1FD">
      <w:pPr>
        <w:spacing w:line="560" w:lineRule="exact"/>
        <w:ind w:firstLine="640" w:firstLineChars="200"/>
        <w:rPr>
          <w:rFonts w:eastAsia="楷体_GB2312"/>
          <w:b/>
          <w:bCs/>
          <w:kern w:val="0"/>
          <w:sz w:val="32"/>
          <w:szCs w:val="32"/>
        </w:rPr>
      </w:pPr>
      <w:r>
        <w:rPr>
          <w:rFonts w:eastAsia="楷体_GB2312"/>
          <w:sz w:val="32"/>
          <w:szCs w:val="32"/>
        </w:rPr>
        <w:t>（二）存在的问题</w:t>
      </w:r>
    </w:p>
    <w:p w14:paraId="68A60D8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w:t>
      </w:r>
    </w:p>
    <w:p w14:paraId="2A599849">
      <w:pPr>
        <w:spacing w:line="560" w:lineRule="exact"/>
        <w:ind w:firstLine="640" w:firstLineChars="200"/>
        <w:rPr>
          <w:rFonts w:eastAsia="楷体_GB2312"/>
          <w:sz w:val="32"/>
          <w:szCs w:val="32"/>
        </w:rPr>
      </w:pPr>
      <w:r>
        <w:rPr>
          <w:rFonts w:eastAsia="楷体_GB2312"/>
          <w:sz w:val="32"/>
          <w:szCs w:val="32"/>
        </w:rPr>
        <w:t>（三）相关建议</w:t>
      </w:r>
    </w:p>
    <w:p w14:paraId="27B97A13">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进一步积极主动学习上级相关文件，加大与上级、同级部门之间沟通力度，拓展思维，争取向省市争取更多资金。</w:t>
      </w:r>
    </w:p>
    <w:p w14:paraId="30ADD9C0">
      <w:pPr>
        <w:spacing w:line="572" w:lineRule="exact"/>
        <w:jc w:val="left"/>
        <w:outlineLvl w:val="0"/>
        <w:rPr>
          <w:rFonts w:ascii="黑体" w:hAnsi="黑体" w:eastAsia="黑体" w:cs="黑体"/>
          <w:sz w:val="32"/>
          <w:szCs w:val="32"/>
        </w:rPr>
      </w:pPr>
    </w:p>
    <w:p w14:paraId="210F295F">
      <w:pPr>
        <w:pStyle w:val="2"/>
        <w:spacing w:before="93"/>
      </w:pPr>
    </w:p>
    <w:p w14:paraId="5654F19C">
      <w:pPr>
        <w:pStyle w:val="2"/>
        <w:spacing w:before="93"/>
      </w:pPr>
    </w:p>
    <w:p w14:paraId="3560EE61">
      <w:pPr>
        <w:pStyle w:val="2"/>
        <w:spacing w:before="93"/>
      </w:pPr>
    </w:p>
    <w:p w14:paraId="301A4853">
      <w:pPr>
        <w:pStyle w:val="2"/>
        <w:spacing w:before="93"/>
      </w:pPr>
    </w:p>
    <w:p w14:paraId="5880BF0E">
      <w:pPr>
        <w:pStyle w:val="2"/>
        <w:spacing w:before="93"/>
      </w:pPr>
    </w:p>
    <w:p w14:paraId="3B2B8D20">
      <w:pPr>
        <w:spacing w:line="572"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附件4</w:t>
      </w: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2C41A869">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14:paraId="032B0023">
            <w:pPr>
              <w:widowControl/>
              <w:jc w:val="center"/>
              <w:textAlignment w:val="center"/>
              <w:rPr>
                <w:rFonts w:ascii="宋体" w:hAnsi="宋体" w:cs="宋体"/>
                <w:b/>
                <w:sz w:val="32"/>
                <w:szCs w:val="32"/>
              </w:rPr>
            </w:pPr>
            <w:bookmarkStart w:id="57" w:name="_Toc15396618"/>
            <w:r>
              <w:rPr>
                <w:rFonts w:hint="eastAsia" w:ascii="宋体" w:hAnsi="宋体" w:cs="宋体"/>
                <w:b/>
                <w:sz w:val="32"/>
                <w:szCs w:val="32"/>
              </w:rPr>
              <w:t>2021年特定目标类部门预算项目绩效目标自评</w:t>
            </w:r>
          </w:p>
        </w:tc>
        <w:tc>
          <w:tcPr>
            <w:tcW w:w="234" w:type="dxa"/>
            <w:tcBorders>
              <w:top w:val="nil"/>
              <w:left w:val="nil"/>
              <w:bottom w:val="nil"/>
              <w:right w:val="nil"/>
            </w:tcBorders>
            <w:shd w:val="clear" w:color="auto" w:fill="auto"/>
            <w:vAlign w:val="center"/>
          </w:tcPr>
          <w:p w14:paraId="1F0EDCFF">
            <w:pPr>
              <w:widowControl/>
              <w:jc w:val="center"/>
              <w:textAlignment w:val="center"/>
              <w:rPr>
                <w:rFonts w:ascii="宋体" w:hAnsi="宋体" w:cs="宋体"/>
                <w:b/>
                <w:kern w:val="0"/>
                <w:sz w:val="32"/>
                <w:szCs w:val="32"/>
              </w:rPr>
            </w:pPr>
          </w:p>
        </w:tc>
      </w:tr>
      <w:tr w14:paraId="6C357409">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58E0">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F2C41">
            <w:pPr>
              <w:widowControl/>
              <w:spacing w:line="320" w:lineRule="exact"/>
              <w:textAlignment w:val="center"/>
              <w:rPr>
                <w:rFonts w:ascii="宋体" w:hAnsi="宋体" w:cs="宋体"/>
                <w:sz w:val="24"/>
              </w:rPr>
            </w:pPr>
            <w:r>
              <w:rPr>
                <w:rFonts w:hint="eastAsia" w:ascii="宋体" w:hAnsi="宋体" w:cs="宋体"/>
                <w:sz w:val="24"/>
              </w:rPr>
              <w:t>2</w:t>
            </w:r>
            <w:r>
              <w:rPr>
                <w:rFonts w:ascii="宋体" w:hAnsi="宋体" w:cs="宋体"/>
                <w:sz w:val="24"/>
              </w:rPr>
              <w:t>11001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6BE4">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AC67">
            <w:pPr>
              <w:widowControl/>
              <w:spacing w:line="320" w:lineRule="exact"/>
              <w:jc w:val="center"/>
              <w:textAlignment w:val="center"/>
              <w:rPr>
                <w:rFonts w:ascii="宋体" w:hAnsi="宋体" w:cs="宋体"/>
                <w:sz w:val="24"/>
              </w:rPr>
            </w:pPr>
            <w:r>
              <w:rPr>
                <w:rFonts w:ascii="宋体" w:hAnsi="宋体" w:cs="宋体"/>
                <w:sz w:val="24"/>
              </w:rPr>
              <w:t>盐边县审计局</w:t>
            </w:r>
          </w:p>
        </w:tc>
      </w:tr>
      <w:tr w14:paraId="1EEAC965">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68AD3">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28AA">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582E">
            <w:pPr>
              <w:widowControl/>
              <w:spacing w:line="320" w:lineRule="exact"/>
              <w:jc w:val="left"/>
              <w:textAlignment w:val="center"/>
              <w:rPr>
                <w:rFonts w:ascii="宋体" w:hAnsi="宋体" w:cs="宋体"/>
                <w:sz w:val="24"/>
              </w:rPr>
            </w:pPr>
            <w:r>
              <w:rPr>
                <w:rFonts w:hint="eastAsia" w:ascii="宋体" w:hAnsi="宋体" w:cs="宋体"/>
                <w:sz w:val="24"/>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CCCD">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6B75">
            <w:pPr>
              <w:widowControl/>
              <w:spacing w:line="320" w:lineRule="exact"/>
              <w:jc w:val="right"/>
              <w:textAlignment w:val="center"/>
              <w:rPr>
                <w:rFonts w:ascii="宋体" w:hAnsi="宋体" w:cs="宋体"/>
                <w:sz w:val="24"/>
              </w:rPr>
            </w:pPr>
            <w:r>
              <w:rPr>
                <w:rFonts w:hint="eastAsia" w:ascii="宋体" w:hAnsi="宋体" w:cs="宋体"/>
                <w:sz w:val="24"/>
              </w:rPr>
              <w:t>6</w:t>
            </w:r>
          </w:p>
        </w:tc>
      </w:tr>
      <w:tr w14:paraId="7C70329F">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FEA8C">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87D2">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4ED600A4">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BCDE">
            <w:pPr>
              <w:widowControl/>
              <w:spacing w:line="320" w:lineRule="exact"/>
              <w:jc w:val="left"/>
              <w:textAlignment w:val="center"/>
              <w:rPr>
                <w:rFonts w:ascii="宋体" w:hAnsi="宋体" w:cs="宋体"/>
                <w:sz w:val="24"/>
              </w:rPr>
            </w:pPr>
            <w:r>
              <w:rPr>
                <w:rFonts w:hint="eastAsia" w:ascii="宋体" w:hAnsi="宋体" w:cs="宋体"/>
                <w:sz w:val="24"/>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ED70">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678A5FBD">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7E88">
            <w:pPr>
              <w:widowControl/>
              <w:spacing w:line="320" w:lineRule="exact"/>
              <w:textAlignment w:val="center"/>
              <w:rPr>
                <w:rFonts w:ascii="宋体" w:hAnsi="宋体" w:cs="宋体"/>
                <w:sz w:val="24"/>
              </w:rPr>
            </w:pPr>
            <w:r>
              <w:rPr>
                <w:rFonts w:hint="eastAsia" w:ascii="宋体" w:hAnsi="宋体" w:cs="宋体"/>
                <w:sz w:val="24"/>
              </w:rPr>
              <w:t>6</w:t>
            </w:r>
          </w:p>
        </w:tc>
      </w:tr>
      <w:tr w14:paraId="4C5EF170">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46393">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AFB0">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9FF5">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E52D">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6F16">
            <w:pPr>
              <w:widowControl/>
              <w:spacing w:line="320" w:lineRule="exact"/>
              <w:jc w:val="center"/>
              <w:textAlignment w:val="center"/>
              <w:rPr>
                <w:rFonts w:ascii="宋体" w:hAnsi="宋体" w:cs="宋体"/>
                <w:sz w:val="24"/>
              </w:rPr>
            </w:pPr>
          </w:p>
        </w:tc>
      </w:tr>
      <w:tr w14:paraId="1228EF07">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92EEA">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43F7293A">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34ADC">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AF8A3">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4DAF99D9">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8CAE4">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3BE1C90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为完成上级审计机关及县委、县政府交办的审计项目，为审计工作实施提供经费保障，我局积极主动对接上级部门，了解项目资金政策，积极向省市争取资金。</w:t>
            </w:r>
          </w:p>
          <w:p w14:paraId="666FBE78">
            <w:pPr>
              <w:widowControl/>
              <w:jc w:val="left"/>
              <w:rPr>
                <w:rFonts w:ascii="宋体" w:hAnsi="宋体" w:cs="宋体"/>
                <w:sz w:val="24"/>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14:paraId="1E42FEA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已全面完成年度设定目标。</w:t>
            </w:r>
          </w:p>
          <w:p w14:paraId="451137E5">
            <w:pPr>
              <w:widowControl/>
              <w:spacing w:line="320" w:lineRule="exact"/>
              <w:jc w:val="left"/>
              <w:textAlignment w:val="top"/>
              <w:rPr>
                <w:rFonts w:ascii="宋体" w:hAnsi="宋体" w:cs="宋体"/>
                <w:sz w:val="24"/>
              </w:rPr>
            </w:pPr>
          </w:p>
        </w:tc>
      </w:tr>
      <w:tr w14:paraId="408E224D">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14:paraId="67BFA19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3AC62A7C">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5FA02B7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D34F">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543BDBC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064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128888A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544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C6B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0D7BEB9D">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5355BE7A">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ACA49">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087F1B9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FCAE5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885366">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奖励资金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14E119">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按工作计划</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DA3FB9">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0E0C9338">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41813C32">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D28892F">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EFBAE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C9A41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保质保量</w:t>
            </w:r>
            <w:r>
              <w:rPr>
                <w:rFonts w:ascii="仿宋_GB2312" w:hAnsi="仿宋_GB2312" w:eastAsia="仿宋_GB2312" w:cs="仿宋_GB2312"/>
                <w:sz w:val="28"/>
                <w:szCs w:val="28"/>
              </w:rPr>
              <w:t>完成审计项目</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B7F734">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按计划</w:t>
            </w:r>
            <w:r>
              <w:rPr>
                <w:rFonts w:hint="eastAsia" w:ascii="仿宋_GB2312" w:hAnsi="仿宋_GB2312" w:eastAsia="仿宋_GB2312" w:cs="仿宋_GB2312"/>
                <w:sz w:val="28"/>
                <w:szCs w:val="28"/>
                <w:lang w:eastAsia="zh-CN"/>
              </w:rPr>
              <w:t>保质保量</w:t>
            </w:r>
            <w:r>
              <w:rPr>
                <w:rFonts w:ascii="仿宋_GB2312" w:hAnsi="仿宋_GB2312" w:eastAsia="仿宋_GB2312" w:cs="仿宋_GB2312"/>
                <w:sz w:val="28"/>
                <w:szCs w:val="28"/>
              </w:rPr>
              <w:t>完成审计项目</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F5619C">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311DB28D">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06C135AF">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893A2AD">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50F0C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17393">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按工作计划</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8C1D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021年</w:t>
            </w:r>
            <w:r>
              <w:rPr>
                <w:rFonts w:hint="eastAsia" w:ascii="仿宋_GB2312" w:hAnsi="仿宋_GB2312" w:eastAsia="仿宋_GB2312" w:cs="仿宋_GB2312"/>
                <w:sz w:val="28"/>
                <w:szCs w:val="28"/>
              </w:rPr>
              <w:t>1月至1</w:t>
            </w:r>
            <w:r>
              <w:rPr>
                <w:rFonts w:ascii="仿宋_GB2312" w:hAnsi="仿宋_GB2312" w:eastAsia="仿宋_GB2312" w:cs="仿宋_GB2312"/>
                <w:sz w:val="28"/>
                <w:szCs w:val="28"/>
              </w:rPr>
              <w:t>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C39AE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021年</w:t>
            </w:r>
            <w:r>
              <w:rPr>
                <w:rFonts w:hint="eastAsia" w:ascii="仿宋_GB2312" w:hAnsi="仿宋_GB2312" w:eastAsia="仿宋_GB2312" w:cs="仿宋_GB2312"/>
                <w:sz w:val="28"/>
                <w:szCs w:val="28"/>
              </w:rPr>
              <w:t>1月至1</w:t>
            </w:r>
            <w:r>
              <w:rPr>
                <w:rFonts w:ascii="仿宋_GB2312" w:hAnsi="仿宋_GB2312" w:eastAsia="仿宋_GB2312" w:cs="仿宋_GB2312"/>
                <w:sz w:val="28"/>
                <w:szCs w:val="28"/>
              </w:rPr>
              <w:t>2月</w:t>
            </w:r>
          </w:p>
        </w:tc>
      </w:tr>
      <w:tr w14:paraId="61E620B0">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2869A591">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EDDA950">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B6921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2E90E6">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资金额度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92FF6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6万元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B60D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6万元</w:t>
            </w:r>
          </w:p>
        </w:tc>
      </w:tr>
      <w:tr w14:paraId="25E903A4">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224BF896">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D501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3724D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E1EC8F">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审计机关运转保障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B77C0">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保证审计项目开展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ED72A">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75EDF66F">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01F0E364">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663E863">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13316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CAD7C">
            <w:pPr>
              <w:widowControl/>
              <w:jc w:val="center"/>
              <w:rPr>
                <w:kern w:val="0"/>
                <w:sz w:val="22"/>
                <w:szCs w:val="22"/>
              </w:rPr>
            </w:pPr>
            <w:r>
              <w:rPr>
                <w:rFonts w:hint="eastAsia"/>
                <w:sz w:val="22"/>
                <w:szCs w:val="22"/>
              </w:rPr>
              <w:t>维护市场经济秩序、保证经济健康发展</w:t>
            </w:r>
          </w:p>
          <w:p w14:paraId="4CC23820">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D0841">
            <w:pPr>
              <w:widowControl/>
              <w:jc w:val="center"/>
              <w:rPr>
                <w:color w:val="000000"/>
                <w:kern w:val="0"/>
                <w:sz w:val="22"/>
                <w:szCs w:val="22"/>
              </w:rPr>
            </w:pPr>
            <w:r>
              <w:rPr>
                <w:rFonts w:hint="eastAsia"/>
                <w:color w:val="000000"/>
                <w:sz w:val="22"/>
                <w:szCs w:val="22"/>
              </w:rPr>
              <w:t>促进经济平稳运行，保稳定</w:t>
            </w:r>
          </w:p>
          <w:p w14:paraId="0689715D">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024AEF">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52ECDA30">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14:paraId="67A9B448">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7A27F1B">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DF062">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1D37E2">
            <w:pPr>
              <w:widowControl/>
              <w:spacing w:line="320" w:lineRule="exact"/>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关注生态环境，推动项目高品质建设</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9DBFE7">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推动项目高品质建设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4D76A1">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110E3567">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2DC70969">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FBE744A">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FAD42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51131">
            <w:pPr>
              <w:widowControl/>
              <w:jc w:val="center"/>
              <w:rPr>
                <w:kern w:val="0"/>
                <w:sz w:val="22"/>
                <w:szCs w:val="22"/>
              </w:rPr>
            </w:pPr>
            <w:r>
              <w:rPr>
                <w:rFonts w:hint="eastAsia"/>
                <w:sz w:val="22"/>
                <w:szCs w:val="22"/>
              </w:rPr>
              <w:t>审计机关运转保障</w:t>
            </w:r>
          </w:p>
          <w:p w14:paraId="0593050D">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E82433">
            <w:pPr>
              <w:widowControl/>
              <w:jc w:val="center"/>
              <w:rPr>
                <w:kern w:val="0"/>
                <w:sz w:val="22"/>
                <w:szCs w:val="22"/>
              </w:rPr>
            </w:pPr>
            <w:r>
              <w:rPr>
                <w:rFonts w:hint="eastAsia"/>
                <w:sz w:val="22"/>
                <w:szCs w:val="22"/>
              </w:rPr>
              <w:t>保证审计项目开展必要设备软件购置，必要经费补充</w:t>
            </w:r>
          </w:p>
          <w:p w14:paraId="1BC9F129">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C8926">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0BE07828">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14:paraId="783A3982">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AE3D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5F91E">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22B3CEB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B9F230">
            <w:pPr>
              <w:widowControl/>
              <w:jc w:val="center"/>
              <w:rPr>
                <w:color w:val="000000"/>
                <w:kern w:val="0"/>
                <w:sz w:val="22"/>
                <w:szCs w:val="22"/>
              </w:rPr>
            </w:pPr>
            <w:r>
              <w:rPr>
                <w:rFonts w:hint="eastAsia"/>
                <w:color w:val="000000"/>
                <w:sz w:val="22"/>
                <w:szCs w:val="22"/>
              </w:rPr>
              <w:t>服务对象满意度</w:t>
            </w:r>
          </w:p>
          <w:p w14:paraId="044DFAD9">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F2C51">
            <w:pPr>
              <w:widowControl/>
              <w:jc w:val="center"/>
              <w:rPr>
                <w:kern w:val="0"/>
                <w:sz w:val="22"/>
                <w:szCs w:val="22"/>
              </w:rPr>
            </w:pPr>
            <w:r>
              <w:rPr>
                <w:rFonts w:hint="eastAsia"/>
                <w:sz w:val="22"/>
                <w:szCs w:val="22"/>
              </w:rPr>
              <w:t>达到基本满意及以上</w:t>
            </w:r>
          </w:p>
          <w:p w14:paraId="1D142943">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085E5A">
            <w:pPr>
              <w:widowControl/>
              <w:jc w:val="center"/>
              <w:rPr>
                <w:kern w:val="0"/>
                <w:sz w:val="22"/>
                <w:szCs w:val="22"/>
              </w:rPr>
            </w:pPr>
            <w:r>
              <w:rPr>
                <w:rFonts w:hint="eastAsia"/>
                <w:sz w:val="22"/>
                <w:szCs w:val="22"/>
              </w:rPr>
              <w:t>达到基本满意及以上</w:t>
            </w:r>
          </w:p>
          <w:p w14:paraId="647BD795">
            <w:pPr>
              <w:widowControl/>
              <w:spacing w:line="320" w:lineRule="exact"/>
              <w:jc w:val="center"/>
              <w:textAlignment w:val="bottom"/>
              <w:rPr>
                <w:rFonts w:ascii="仿宋_GB2312" w:hAnsi="仿宋_GB2312" w:eastAsia="仿宋_GB2312" w:cs="仿宋_GB2312"/>
                <w:sz w:val="28"/>
                <w:szCs w:val="28"/>
              </w:rPr>
            </w:pPr>
          </w:p>
        </w:tc>
      </w:tr>
    </w:tbl>
    <w:p w14:paraId="0DEF2228">
      <w:pPr>
        <w:spacing w:line="600" w:lineRule="exact"/>
        <w:jc w:val="center"/>
        <w:outlineLvl w:val="0"/>
        <w:rPr>
          <w:rFonts w:ascii="黑体" w:hAnsi="黑体" w:eastAsia="黑体"/>
          <w:sz w:val="44"/>
          <w:szCs w:val="44"/>
        </w:rPr>
      </w:pPr>
    </w:p>
    <w:p w14:paraId="1E94C275">
      <w:pPr>
        <w:widowControl/>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【注：有两个及以上100万元以上（含）特定目标类部门预算项目的，需分别开展绩效目标自评并填写附表】</w:t>
      </w:r>
    </w:p>
    <w:p w14:paraId="187ED346">
      <w:pPr>
        <w:spacing w:line="600" w:lineRule="exact"/>
        <w:jc w:val="center"/>
        <w:outlineLvl w:val="0"/>
        <w:rPr>
          <w:rFonts w:ascii="黑体" w:hAnsi="黑体" w:eastAsia="黑体"/>
          <w:sz w:val="44"/>
          <w:szCs w:val="44"/>
        </w:rPr>
      </w:pPr>
    </w:p>
    <w:p w14:paraId="63E701CF">
      <w:pPr>
        <w:pStyle w:val="2"/>
        <w:spacing w:before="93"/>
      </w:pPr>
    </w:p>
    <w:p w14:paraId="002ABEF4">
      <w:pPr>
        <w:pStyle w:val="2"/>
        <w:spacing w:before="93"/>
      </w:pPr>
    </w:p>
    <w:p w14:paraId="61C18B0D">
      <w:pPr>
        <w:pStyle w:val="2"/>
        <w:spacing w:before="93"/>
      </w:pPr>
    </w:p>
    <w:p w14:paraId="69DF75C2">
      <w:pPr>
        <w:pStyle w:val="2"/>
        <w:spacing w:before="93"/>
      </w:pPr>
    </w:p>
    <w:p w14:paraId="45AE0DBF">
      <w:pPr>
        <w:pStyle w:val="2"/>
        <w:spacing w:before="93"/>
      </w:pPr>
    </w:p>
    <w:p w14:paraId="1FEDF0AC">
      <w:pPr>
        <w:pStyle w:val="2"/>
        <w:spacing w:before="93"/>
      </w:pPr>
    </w:p>
    <w:p w14:paraId="21043C0A">
      <w:pPr>
        <w:pStyle w:val="2"/>
        <w:spacing w:before="93"/>
      </w:pPr>
    </w:p>
    <w:p w14:paraId="39994BA7">
      <w:pPr>
        <w:spacing w:line="600" w:lineRule="exact"/>
        <w:jc w:val="center"/>
        <w:outlineLvl w:val="0"/>
        <w:rPr>
          <w:rFonts w:ascii="黑体" w:hAnsi="黑体" w:eastAsia="黑体"/>
          <w:sz w:val="44"/>
          <w:szCs w:val="44"/>
        </w:rPr>
      </w:pPr>
    </w:p>
    <w:p w14:paraId="2A5B9D64">
      <w:pPr>
        <w:spacing w:line="572"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附件5</w:t>
      </w:r>
    </w:p>
    <w:p w14:paraId="1DE8D972">
      <w:pPr>
        <w:spacing w:line="600" w:lineRule="exact"/>
        <w:jc w:val="center"/>
        <w:outlineLvl w:val="0"/>
        <w:rPr>
          <w:rFonts w:ascii="黑体" w:hAnsi="黑体" w:eastAsia="黑体"/>
          <w:sz w:val="44"/>
          <w:szCs w:val="44"/>
        </w:rPr>
      </w:pPr>
      <w:r>
        <w:rPr>
          <w:rFonts w:hint="eastAsia" w:ascii="宋体" w:hAnsi="宋体" w:cs="宋体"/>
          <w:b/>
          <w:sz w:val="32"/>
          <w:szCs w:val="32"/>
        </w:rPr>
        <w:t>2021年特定目标类部门预算项目绩效目标自评</w:t>
      </w:r>
    </w:p>
    <w:p w14:paraId="6659FE63">
      <w:pPr>
        <w:pStyle w:val="2"/>
        <w:spacing w:before="93"/>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2025"/>
        <w:gridCol w:w="1170"/>
        <w:gridCol w:w="1675"/>
        <w:gridCol w:w="1218"/>
        <w:gridCol w:w="1254"/>
        <w:gridCol w:w="2469"/>
      </w:tblGrid>
      <w:tr w14:paraId="54230199">
        <w:tblPrEx>
          <w:tblCellMar>
            <w:top w:w="0" w:type="dxa"/>
            <w:left w:w="108" w:type="dxa"/>
            <w:bottom w:w="0" w:type="dxa"/>
            <w:right w:w="108" w:type="dxa"/>
          </w:tblCellMar>
        </w:tblPrEx>
        <w:trPr>
          <w:trHeight w:val="254"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CE53E">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6C239">
            <w:pPr>
              <w:widowControl/>
              <w:spacing w:line="320" w:lineRule="exact"/>
              <w:textAlignment w:val="center"/>
              <w:rPr>
                <w:rFonts w:ascii="宋体" w:hAnsi="宋体" w:cs="宋体"/>
                <w:sz w:val="24"/>
              </w:rPr>
            </w:pPr>
            <w:r>
              <w:rPr>
                <w:rFonts w:hint="eastAsia" w:ascii="宋体" w:hAnsi="宋体" w:cs="宋体"/>
                <w:sz w:val="24"/>
              </w:rPr>
              <w:t>2</w:t>
            </w:r>
            <w:r>
              <w:rPr>
                <w:rFonts w:ascii="宋体" w:hAnsi="宋体" w:cs="宋体"/>
                <w:sz w:val="24"/>
              </w:rPr>
              <w:t>11001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08C5">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B0EE">
            <w:pPr>
              <w:widowControl/>
              <w:spacing w:line="320" w:lineRule="exact"/>
              <w:jc w:val="center"/>
              <w:textAlignment w:val="center"/>
              <w:rPr>
                <w:rFonts w:ascii="宋体" w:hAnsi="宋体" w:cs="宋体"/>
                <w:sz w:val="24"/>
              </w:rPr>
            </w:pPr>
            <w:r>
              <w:rPr>
                <w:rFonts w:ascii="宋体" w:hAnsi="宋体" w:cs="宋体"/>
                <w:sz w:val="24"/>
              </w:rPr>
              <w:t>盐边县审计局</w:t>
            </w:r>
          </w:p>
        </w:tc>
      </w:tr>
      <w:tr w14:paraId="63D42E49">
        <w:tblPrEx>
          <w:tblCellMar>
            <w:top w:w="0" w:type="dxa"/>
            <w:left w:w="108" w:type="dxa"/>
            <w:bottom w:w="0" w:type="dxa"/>
            <w:right w:w="108" w:type="dxa"/>
          </w:tblCellMar>
        </w:tblPrEx>
        <w:trPr>
          <w:trHeight w:val="341" w:hRule="atLeast"/>
        </w:trPr>
        <w:tc>
          <w:tcPr>
            <w:tcW w:w="3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78A1A">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066B">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ABD6">
            <w:pPr>
              <w:widowControl/>
              <w:spacing w:line="320" w:lineRule="exact"/>
              <w:jc w:val="left"/>
              <w:textAlignment w:val="center"/>
              <w:rPr>
                <w:rFonts w:ascii="宋体" w:hAnsi="宋体" w:cs="宋体"/>
                <w:sz w:val="24"/>
              </w:rPr>
            </w:pPr>
            <w:r>
              <w:rPr>
                <w:rFonts w:hint="eastAsia" w:ascii="宋体" w:hAnsi="宋体" w:cs="宋体"/>
                <w:sz w:val="24"/>
              </w:rPr>
              <w:t>1</w:t>
            </w:r>
            <w:r>
              <w:rPr>
                <w:rFonts w:ascii="宋体" w:hAnsi="宋体" w:cs="宋体"/>
                <w:sz w:val="24"/>
              </w:rPr>
              <w:t>6.66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F511">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6EC5">
            <w:pPr>
              <w:widowControl/>
              <w:spacing w:line="320" w:lineRule="exact"/>
              <w:jc w:val="right"/>
              <w:textAlignment w:val="center"/>
              <w:rPr>
                <w:rFonts w:ascii="宋体" w:hAnsi="宋体" w:cs="宋体"/>
                <w:sz w:val="24"/>
              </w:rPr>
            </w:pPr>
            <w:r>
              <w:rPr>
                <w:rFonts w:hint="eastAsia" w:ascii="宋体" w:hAnsi="宋体" w:cs="宋体"/>
                <w:sz w:val="24"/>
              </w:rPr>
              <w:t>1</w:t>
            </w:r>
            <w:r>
              <w:rPr>
                <w:rFonts w:ascii="宋体" w:hAnsi="宋体" w:cs="宋体"/>
                <w:sz w:val="24"/>
              </w:rPr>
              <w:t>6.66</w:t>
            </w:r>
          </w:p>
        </w:tc>
      </w:tr>
      <w:tr w14:paraId="3E349530">
        <w:tblPrEx>
          <w:tblCellMar>
            <w:top w:w="0" w:type="dxa"/>
            <w:left w:w="108" w:type="dxa"/>
            <w:bottom w:w="0" w:type="dxa"/>
            <w:right w:w="108" w:type="dxa"/>
          </w:tblCellMar>
        </w:tblPrEx>
        <w:trPr>
          <w:trHeight w:val="555"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86728">
            <w:pPr>
              <w:spacing w:line="320" w:lineRule="exact"/>
              <w:jc w:val="center"/>
              <w:rPr>
                <w:rFonts w:ascii="宋体" w:hAnsi="宋体" w:cs="宋体"/>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B188">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7D5D601E">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10A9">
            <w:pPr>
              <w:widowControl/>
              <w:spacing w:line="320" w:lineRule="exact"/>
              <w:jc w:val="left"/>
              <w:textAlignment w:val="center"/>
              <w:rPr>
                <w:rFonts w:ascii="宋体" w:hAnsi="宋体" w:cs="宋体"/>
                <w:sz w:val="24"/>
              </w:rPr>
            </w:pPr>
            <w:r>
              <w:rPr>
                <w:rFonts w:hint="eastAsia" w:ascii="宋体" w:hAnsi="宋体" w:cs="宋体"/>
                <w:sz w:val="24"/>
              </w:rPr>
              <w:t>1</w:t>
            </w:r>
            <w:r>
              <w:rPr>
                <w:rFonts w:ascii="宋体" w:hAnsi="宋体" w:cs="宋体"/>
                <w:sz w:val="24"/>
              </w:rPr>
              <w:t>6.66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2F12">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7CFCCE8D">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932E">
            <w:pPr>
              <w:widowControl/>
              <w:spacing w:line="320" w:lineRule="exact"/>
              <w:textAlignment w:val="center"/>
              <w:rPr>
                <w:rFonts w:ascii="宋体" w:hAnsi="宋体" w:cs="宋体"/>
                <w:sz w:val="24"/>
              </w:rPr>
            </w:pPr>
            <w:r>
              <w:rPr>
                <w:rFonts w:hint="eastAsia" w:ascii="宋体" w:hAnsi="宋体" w:cs="宋体"/>
                <w:sz w:val="24"/>
              </w:rPr>
              <w:t>1</w:t>
            </w:r>
            <w:r>
              <w:rPr>
                <w:rFonts w:ascii="宋体" w:hAnsi="宋体" w:cs="宋体"/>
                <w:sz w:val="24"/>
              </w:rPr>
              <w:t>6.66</w:t>
            </w:r>
          </w:p>
        </w:tc>
      </w:tr>
      <w:tr w14:paraId="27BCFBEB">
        <w:tblPrEx>
          <w:tblCellMar>
            <w:top w:w="0" w:type="dxa"/>
            <w:left w:w="108" w:type="dxa"/>
            <w:bottom w:w="0" w:type="dxa"/>
            <w:right w:w="108" w:type="dxa"/>
          </w:tblCellMar>
        </w:tblPrEx>
        <w:trPr>
          <w:trHeight w:val="341" w:hRule="atLeast"/>
        </w:trPr>
        <w:tc>
          <w:tcPr>
            <w:tcW w:w="3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DE2E">
            <w:pPr>
              <w:spacing w:line="320" w:lineRule="exact"/>
              <w:jc w:val="center"/>
              <w:rPr>
                <w:rFonts w:ascii="宋体" w:hAnsi="宋体" w:cs="宋体"/>
                <w:sz w:val="24"/>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A2AF">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186E">
            <w:pPr>
              <w:widowControl/>
              <w:spacing w:line="320" w:lineRule="exact"/>
              <w:jc w:val="left"/>
              <w:textAlignment w:val="center"/>
              <w:rPr>
                <w:rFonts w:ascii="宋体" w:hAnsi="宋体" w:cs="宋体"/>
                <w:sz w:val="24"/>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B74F">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EC5A">
            <w:pPr>
              <w:widowControl/>
              <w:spacing w:line="320" w:lineRule="exact"/>
              <w:jc w:val="center"/>
              <w:textAlignment w:val="center"/>
              <w:rPr>
                <w:rFonts w:ascii="宋体" w:hAnsi="宋体" w:cs="宋体"/>
                <w:sz w:val="24"/>
              </w:rPr>
            </w:pPr>
          </w:p>
        </w:tc>
      </w:tr>
      <w:tr w14:paraId="08467017">
        <w:tblPrEx>
          <w:tblCellMar>
            <w:top w:w="0" w:type="dxa"/>
            <w:left w:w="108" w:type="dxa"/>
            <w:bottom w:w="0" w:type="dxa"/>
            <w:right w:w="108" w:type="dxa"/>
          </w:tblCellMar>
        </w:tblPrEx>
        <w:trPr>
          <w:trHeight w:val="217" w:hRule="atLeast"/>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E7D8B">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3293BA63">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35AFB">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6D6A9">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615DA781">
        <w:tblPrEx>
          <w:tblCellMar>
            <w:top w:w="0" w:type="dxa"/>
            <w:left w:w="108" w:type="dxa"/>
            <w:bottom w:w="0" w:type="dxa"/>
            <w:right w:w="108" w:type="dxa"/>
          </w:tblCellMar>
        </w:tblPrEx>
        <w:trPr>
          <w:trHeight w:val="797" w:hRule="atLeast"/>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31F04">
            <w:pPr>
              <w:spacing w:line="320" w:lineRule="exact"/>
              <w:jc w:val="center"/>
              <w:rPr>
                <w:rFonts w:ascii="宋体" w:hAnsi="宋体" w:cs="宋体"/>
                <w:sz w:val="24"/>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Pr>
          <w:p w14:paraId="30CAAC44">
            <w:pPr>
              <w:widowControl/>
              <w:jc w:val="left"/>
              <w:rPr>
                <w:kern w:val="0"/>
                <w:sz w:val="20"/>
                <w:szCs w:val="20"/>
              </w:rPr>
            </w:pPr>
            <w:r>
              <w:rPr>
                <w:rFonts w:hint="eastAsia"/>
                <w:sz w:val="20"/>
                <w:szCs w:val="20"/>
              </w:rPr>
              <w:t>外聘中介机构和投资项目审计专业技术人员，一是缓解审计机关投资审计项目专业人员力量严重不足的情况。二是依据“谁委托，谁付费”原则，国家审计机关委托中介机构从事审计的费用由国家审计机关支付，彻底切断中介机构与被审计单位的联系，较好地保证国家审计机关实质与形式上的独立。</w:t>
            </w:r>
          </w:p>
          <w:p w14:paraId="39BC770B">
            <w:pPr>
              <w:widowControl/>
              <w:spacing w:line="320" w:lineRule="exact"/>
              <w:jc w:val="left"/>
              <w:textAlignment w:val="top"/>
              <w:rPr>
                <w:rFonts w:ascii="宋体" w:hAnsi="宋体" w:cs="宋体"/>
                <w:sz w:val="24"/>
              </w:rPr>
            </w:pPr>
          </w:p>
        </w:tc>
        <w:tc>
          <w:tcPr>
            <w:tcW w:w="3723" w:type="dxa"/>
            <w:gridSpan w:val="2"/>
            <w:tcBorders>
              <w:top w:val="single" w:color="000000" w:sz="4" w:space="0"/>
              <w:left w:val="single" w:color="000000" w:sz="4" w:space="0"/>
              <w:bottom w:val="single" w:color="000000" w:sz="4" w:space="0"/>
              <w:right w:val="single" w:color="000000" w:sz="4" w:space="0"/>
            </w:tcBorders>
            <w:shd w:val="clear" w:color="auto" w:fill="auto"/>
          </w:tcPr>
          <w:p w14:paraId="0D64A7A9">
            <w:pPr>
              <w:widowControl/>
              <w:jc w:val="left"/>
              <w:rPr>
                <w:kern w:val="0"/>
                <w:sz w:val="22"/>
                <w:szCs w:val="22"/>
              </w:rPr>
            </w:pPr>
            <w:r>
              <w:rPr>
                <w:rFonts w:hint="eastAsia"/>
                <w:sz w:val="22"/>
                <w:szCs w:val="22"/>
              </w:rPr>
              <w:t>已全面完成年度设定目标。</w:t>
            </w:r>
          </w:p>
          <w:p w14:paraId="5192B696">
            <w:pPr>
              <w:widowControl/>
              <w:spacing w:line="320" w:lineRule="exact"/>
              <w:jc w:val="left"/>
              <w:textAlignment w:val="top"/>
              <w:rPr>
                <w:rFonts w:ascii="宋体" w:hAnsi="宋体" w:cs="宋体"/>
                <w:sz w:val="24"/>
              </w:rPr>
            </w:pPr>
          </w:p>
        </w:tc>
      </w:tr>
      <w:tr w14:paraId="3CDAEB5C">
        <w:tblPrEx>
          <w:tblCellMar>
            <w:top w:w="0" w:type="dxa"/>
            <w:left w:w="108" w:type="dxa"/>
            <w:bottom w:w="0" w:type="dxa"/>
            <w:right w:w="108" w:type="dxa"/>
          </w:tblCellMar>
        </w:tblPrEx>
        <w:trPr>
          <w:trHeight w:val="693" w:hRule="atLeast"/>
        </w:trPr>
        <w:tc>
          <w:tcPr>
            <w:tcW w:w="2025" w:type="dxa"/>
            <w:vMerge w:val="restart"/>
            <w:tcBorders>
              <w:top w:val="single" w:color="000000" w:sz="4" w:space="0"/>
              <w:left w:val="single" w:color="000000" w:sz="4" w:space="0"/>
              <w:right w:val="single" w:color="000000" w:sz="4" w:space="0"/>
            </w:tcBorders>
            <w:shd w:val="clear" w:color="auto" w:fill="auto"/>
            <w:vAlign w:val="center"/>
          </w:tcPr>
          <w:p w14:paraId="235EE1E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1F0ABADB">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0A69ECC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239F">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089B173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B9F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3157F7A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1B8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488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0D2B3D23">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14:paraId="2BC95A1B">
            <w:pPr>
              <w:spacing w:line="320" w:lineRule="exact"/>
              <w:jc w:val="center"/>
              <w:rPr>
                <w:rFonts w:ascii="仿宋_GB2312" w:hAnsi="仿宋_GB2312" w:eastAsia="仿宋_GB2312" w:cs="仿宋_GB2312"/>
                <w:sz w:val="28"/>
                <w:szCs w:val="28"/>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93835">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7688E94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0B4DD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BA86CC">
            <w:pPr>
              <w:widowControl/>
              <w:jc w:val="center"/>
              <w:rPr>
                <w:rFonts w:ascii="方正仿宋_GBK" w:eastAsia="方正仿宋_GBK"/>
                <w:color w:val="000000"/>
                <w:kern w:val="0"/>
                <w:sz w:val="22"/>
                <w:szCs w:val="22"/>
              </w:rPr>
            </w:pPr>
            <w:r>
              <w:rPr>
                <w:rFonts w:hint="eastAsia" w:ascii="方正仿宋_GBK" w:eastAsia="方正仿宋_GBK"/>
                <w:color w:val="000000"/>
                <w:sz w:val="22"/>
                <w:szCs w:val="22"/>
              </w:rPr>
              <w:t>委托中介机构参与审计</w:t>
            </w:r>
          </w:p>
          <w:p w14:paraId="488F2245">
            <w:pPr>
              <w:widowControl/>
              <w:spacing w:line="320" w:lineRule="exact"/>
              <w:jc w:val="center"/>
              <w:textAlignment w:val="bottom"/>
              <w:rPr>
                <w:rFonts w:ascii="仿宋_GB2312" w:hAnsi="仿宋_GB2312" w:eastAsia="仿宋_GB2312" w:cs="仿宋_GB2312"/>
                <w:sz w:val="28"/>
                <w:szCs w:val="28"/>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F4069C">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不少于</w:t>
            </w:r>
            <w:r>
              <w:rPr>
                <w:rFonts w:hint="eastAsia" w:ascii="仿宋_GB2312" w:hAnsi="仿宋_GB2312" w:eastAsia="仿宋_GB2312" w:cs="仿宋_GB2312"/>
                <w:sz w:val="28"/>
                <w:szCs w:val="28"/>
              </w:rPr>
              <w:t>3个</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D8225A">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707EE7C1">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14:paraId="25353C1B">
            <w:pPr>
              <w:spacing w:line="320" w:lineRule="exact"/>
              <w:jc w:val="center"/>
              <w:rPr>
                <w:rFonts w:ascii="仿宋_GB2312" w:hAnsi="仿宋_GB2312" w:eastAsia="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F23649D">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F8AA4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3491A">
            <w:pPr>
              <w:widowControl/>
              <w:jc w:val="center"/>
              <w:rPr>
                <w:kern w:val="0"/>
                <w:sz w:val="22"/>
                <w:szCs w:val="22"/>
              </w:rPr>
            </w:pPr>
            <w:r>
              <w:rPr>
                <w:rFonts w:hint="eastAsia"/>
                <w:sz w:val="22"/>
                <w:szCs w:val="22"/>
              </w:rPr>
              <w:t>投资项目审计报告等审计结论性文书质量</w:t>
            </w:r>
          </w:p>
          <w:p w14:paraId="2D36A3FB">
            <w:pPr>
              <w:widowControl/>
              <w:spacing w:line="320" w:lineRule="exact"/>
              <w:jc w:val="center"/>
              <w:textAlignment w:val="bottom"/>
              <w:rPr>
                <w:rFonts w:ascii="仿宋_GB2312" w:hAnsi="仿宋_GB2312" w:eastAsia="仿宋_GB2312" w:cs="仿宋_GB2312"/>
                <w:sz w:val="28"/>
                <w:szCs w:val="28"/>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9CC0B3">
            <w:pPr>
              <w:widowControl/>
              <w:jc w:val="center"/>
              <w:rPr>
                <w:kern w:val="0"/>
                <w:sz w:val="22"/>
                <w:szCs w:val="22"/>
              </w:rPr>
            </w:pPr>
            <w:r>
              <w:rPr>
                <w:rFonts w:hint="eastAsia"/>
                <w:sz w:val="22"/>
                <w:szCs w:val="22"/>
              </w:rPr>
              <w:t>符合审计机关投资审计项目质量要求</w:t>
            </w:r>
          </w:p>
          <w:p w14:paraId="49E831CA">
            <w:pPr>
              <w:widowControl/>
              <w:spacing w:line="320" w:lineRule="exact"/>
              <w:textAlignment w:val="bottom"/>
              <w:rPr>
                <w:rFonts w:ascii="仿宋_GB2312" w:hAnsi="仿宋_GB2312" w:eastAsia="仿宋_GB2312" w:cs="仿宋_GB2312"/>
                <w:sz w:val="28"/>
                <w:szCs w:val="28"/>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68656">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5CD2DFBF">
        <w:tblPrEx>
          <w:tblCellMar>
            <w:top w:w="0" w:type="dxa"/>
            <w:left w:w="108" w:type="dxa"/>
            <w:bottom w:w="0" w:type="dxa"/>
            <w:right w:w="108" w:type="dxa"/>
          </w:tblCellMar>
        </w:tblPrEx>
        <w:trPr>
          <w:trHeight w:val="415" w:hRule="atLeast"/>
        </w:trPr>
        <w:tc>
          <w:tcPr>
            <w:tcW w:w="2025" w:type="dxa"/>
            <w:vMerge w:val="continue"/>
            <w:tcBorders>
              <w:left w:val="single" w:color="000000" w:sz="4" w:space="0"/>
              <w:right w:val="single" w:color="000000" w:sz="4" w:space="0"/>
            </w:tcBorders>
            <w:shd w:val="clear" w:color="auto" w:fill="auto"/>
            <w:vAlign w:val="center"/>
          </w:tcPr>
          <w:p w14:paraId="3B023406">
            <w:pPr>
              <w:spacing w:line="320" w:lineRule="exact"/>
              <w:jc w:val="center"/>
              <w:rPr>
                <w:rFonts w:ascii="仿宋_GB2312" w:hAnsi="仿宋_GB2312" w:eastAsia="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FE30DD2">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E2D1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1CFF0A">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按工作计划</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2465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021年</w:t>
            </w:r>
            <w:r>
              <w:rPr>
                <w:rFonts w:hint="eastAsia" w:ascii="仿宋_GB2312" w:hAnsi="仿宋_GB2312" w:eastAsia="仿宋_GB2312" w:cs="仿宋_GB2312"/>
                <w:sz w:val="28"/>
                <w:szCs w:val="28"/>
              </w:rPr>
              <w:t>1月至1</w:t>
            </w:r>
            <w:r>
              <w:rPr>
                <w:rFonts w:ascii="仿宋_GB2312" w:hAnsi="仿宋_GB2312" w:eastAsia="仿宋_GB2312" w:cs="仿宋_GB2312"/>
                <w:sz w:val="28"/>
                <w:szCs w:val="28"/>
              </w:rPr>
              <w:t>2月</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3D6F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021年</w:t>
            </w:r>
            <w:r>
              <w:rPr>
                <w:rFonts w:hint="eastAsia" w:ascii="仿宋_GB2312" w:hAnsi="仿宋_GB2312" w:eastAsia="仿宋_GB2312" w:cs="仿宋_GB2312"/>
                <w:sz w:val="28"/>
                <w:szCs w:val="28"/>
              </w:rPr>
              <w:t>1月至1</w:t>
            </w:r>
            <w:r>
              <w:rPr>
                <w:rFonts w:ascii="仿宋_GB2312" w:hAnsi="仿宋_GB2312" w:eastAsia="仿宋_GB2312" w:cs="仿宋_GB2312"/>
                <w:sz w:val="28"/>
                <w:szCs w:val="28"/>
              </w:rPr>
              <w:t>2月</w:t>
            </w:r>
          </w:p>
        </w:tc>
      </w:tr>
      <w:tr w14:paraId="7D87B524">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14:paraId="37BFCD1D">
            <w:pPr>
              <w:spacing w:line="320" w:lineRule="exact"/>
              <w:jc w:val="center"/>
              <w:rPr>
                <w:rFonts w:ascii="仿宋_GB2312" w:hAnsi="仿宋_GB2312" w:eastAsia="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43B9BF0">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7C46D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AB081E">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委托服务费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608C6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6.66万元</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B5B8D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6.66万元</w:t>
            </w:r>
          </w:p>
        </w:tc>
      </w:tr>
      <w:tr w14:paraId="2C221547">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14:paraId="00706FC5">
            <w:pPr>
              <w:spacing w:line="320" w:lineRule="exact"/>
              <w:jc w:val="center"/>
              <w:rPr>
                <w:rFonts w:ascii="仿宋_GB2312" w:hAnsi="仿宋_GB2312" w:eastAsia="仿宋_GB2312" w:cs="仿宋_GB2312"/>
                <w:sz w:val="28"/>
                <w:szCs w:val="28"/>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EFF8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6DA96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333FEC">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增强和激活市场活力</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096F6">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助力监督力量新模式</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9E82A">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助力监督力量新模式</w:t>
            </w:r>
          </w:p>
        </w:tc>
      </w:tr>
      <w:tr w14:paraId="7424B12D">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14:paraId="4E75382F">
            <w:pPr>
              <w:spacing w:line="320" w:lineRule="exact"/>
              <w:jc w:val="center"/>
              <w:rPr>
                <w:rFonts w:ascii="仿宋_GB2312" w:hAnsi="仿宋_GB2312" w:eastAsia="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FD10A12">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0F3C6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15EFB9">
            <w:pPr>
              <w:widowControl/>
              <w:jc w:val="center"/>
              <w:rPr>
                <w:kern w:val="0"/>
                <w:sz w:val="22"/>
                <w:szCs w:val="22"/>
              </w:rPr>
            </w:pPr>
            <w:r>
              <w:rPr>
                <w:rFonts w:hint="eastAsia"/>
                <w:sz w:val="22"/>
                <w:szCs w:val="22"/>
              </w:rPr>
              <w:t>促进提高政府投资绩效，促进加强政府投资管理</w:t>
            </w:r>
          </w:p>
          <w:p w14:paraId="2ED797AF">
            <w:pPr>
              <w:widowControl/>
              <w:spacing w:line="320" w:lineRule="exact"/>
              <w:jc w:val="center"/>
              <w:textAlignment w:val="bottom"/>
              <w:rPr>
                <w:rFonts w:ascii="仿宋_GB2312" w:hAnsi="仿宋_GB2312" w:eastAsia="仿宋_GB2312" w:cs="仿宋_GB2312"/>
                <w:sz w:val="28"/>
                <w:szCs w:val="28"/>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9CC2F">
            <w:pPr>
              <w:widowControl/>
              <w:jc w:val="center"/>
              <w:rPr>
                <w:color w:val="000000"/>
                <w:kern w:val="0"/>
                <w:sz w:val="22"/>
                <w:szCs w:val="22"/>
              </w:rPr>
            </w:pPr>
            <w:r>
              <w:rPr>
                <w:rFonts w:hint="eastAsia"/>
                <w:color w:val="000000"/>
                <w:sz w:val="22"/>
                <w:szCs w:val="22"/>
              </w:rPr>
              <w:t>避免或减少浪费和重复建设</w:t>
            </w:r>
          </w:p>
          <w:p w14:paraId="6CB9AE5F">
            <w:pPr>
              <w:widowControl/>
              <w:spacing w:line="320" w:lineRule="exact"/>
              <w:jc w:val="center"/>
              <w:textAlignment w:val="bottom"/>
              <w:rPr>
                <w:rFonts w:ascii="仿宋_GB2312" w:hAnsi="仿宋_GB2312" w:eastAsia="仿宋_GB2312" w:cs="仿宋_GB2312"/>
                <w:sz w:val="28"/>
                <w:szCs w:val="28"/>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21B75">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01955E42">
        <w:tblPrEx>
          <w:tblCellMar>
            <w:top w:w="0" w:type="dxa"/>
            <w:left w:w="108" w:type="dxa"/>
            <w:bottom w:w="0" w:type="dxa"/>
            <w:right w:w="108" w:type="dxa"/>
          </w:tblCellMar>
        </w:tblPrEx>
        <w:trPr>
          <w:trHeight w:val="577" w:hRule="atLeast"/>
        </w:trPr>
        <w:tc>
          <w:tcPr>
            <w:tcW w:w="2025" w:type="dxa"/>
            <w:vMerge w:val="continue"/>
            <w:tcBorders>
              <w:left w:val="single" w:color="000000" w:sz="4" w:space="0"/>
              <w:right w:val="single" w:color="000000" w:sz="4" w:space="0"/>
            </w:tcBorders>
            <w:shd w:val="clear" w:color="auto" w:fill="auto"/>
            <w:vAlign w:val="center"/>
          </w:tcPr>
          <w:p w14:paraId="2FF64268">
            <w:pPr>
              <w:spacing w:line="320" w:lineRule="exact"/>
              <w:jc w:val="center"/>
              <w:rPr>
                <w:rFonts w:ascii="仿宋_GB2312" w:hAnsi="仿宋_GB2312" w:eastAsia="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BE47289">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698CB6">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38F104">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积极</w:t>
            </w:r>
            <w:r>
              <w:rPr>
                <w:rFonts w:hint="eastAsia" w:ascii="仿宋_GB2312" w:hAnsi="仿宋_GB2312" w:eastAsia="仿宋_GB2312" w:cs="仿宋_GB2312"/>
                <w:sz w:val="28"/>
                <w:szCs w:val="28"/>
                <w:lang w:eastAsia="zh-CN"/>
              </w:rPr>
              <w:t>推进</w:t>
            </w:r>
            <w:r>
              <w:rPr>
                <w:rFonts w:ascii="仿宋_GB2312" w:hAnsi="仿宋_GB2312" w:eastAsia="仿宋_GB2312" w:cs="仿宋_GB2312"/>
                <w:sz w:val="28"/>
                <w:szCs w:val="28"/>
              </w:rPr>
              <w:t>投资审计全覆盖，确保经济稳定发展</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4FEBF8">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积极</w:t>
            </w:r>
            <w:r>
              <w:rPr>
                <w:rFonts w:hint="eastAsia" w:ascii="仿宋_GB2312" w:hAnsi="仿宋_GB2312" w:eastAsia="仿宋_GB2312" w:cs="仿宋_GB2312"/>
                <w:sz w:val="28"/>
                <w:szCs w:val="28"/>
                <w:lang w:eastAsia="zh-CN"/>
              </w:rPr>
              <w:t>推进</w:t>
            </w:r>
            <w:r>
              <w:rPr>
                <w:rFonts w:ascii="仿宋_GB2312" w:hAnsi="仿宋_GB2312" w:eastAsia="仿宋_GB2312" w:cs="仿宋_GB2312"/>
                <w:sz w:val="28"/>
                <w:szCs w:val="28"/>
              </w:rPr>
              <w:t>投资审计全覆盖，确保经济稳定发展</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E61263">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积极</w:t>
            </w:r>
            <w:r>
              <w:rPr>
                <w:rFonts w:hint="eastAsia" w:ascii="仿宋_GB2312" w:hAnsi="仿宋_GB2312" w:eastAsia="仿宋_GB2312" w:cs="仿宋_GB2312"/>
                <w:sz w:val="28"/>
                <w:szCs w:val="28"/>
                <w:lang w:eastAsia="zh-CN"/>
              </w:rPr>
              <w:t>推进</w:t>
            </w:r>
            <w:r>
              <w:rPr>
                <w:rFonts w:ascii="仿宋_GB2312" w:hAnsi="仿宋_GB2312" w:eastAsia="仿宋_GB2312" w:cs="仿宋_GB2312"/>
                <w:sz w:val="28"/>
                <w:szCs w:val="28"/>
              </w:rPr>
              <w:t>投资审计全覆盖，确保经济稳定发展</w:t>
            </w:r>
          </w:p>
        </w:tc>
      </w:tr>
      <w:tr w14:paraId="021B8E98">
        <w:tblPrEx>
          <w:tblCellMar>
            <w:top w:w="0" w:type="dxa"/>
            <w:left w:w="108" w:type="dxa"/>
            <w:bottom w:w="0" w:type="dxa"/>
            <w:right w:w="108" w:type="dxa"/>
          </w:tblCellMar>
        </w:tblPrEx>
        <w:trPr>
          <w:trHeight w:val="480" w:hRule="atLeast"/>
        </w:trPr>
        <w:tc>
          <w:tcPr>
            <w:tcW w:w="2025" w:type="dxa"/>
            <w:vMerge w:val="continue"/>
            <w:tcBorders>
              <w:left w:val="single" w:color="000000" w:sz="4" w:space="0"/>
              <w:right w:val="single" w:color="000000" w:sz="4" w:space="0"/>
            </w:tcBorders>
            <w:shd w:val="clear" w:color="auto" w:fill="auto"/>
            <w:vAlign w:val="center"/>
          </w:tcPr>
          <w:p w14:paraId="2FF8CDCC">
            <w:pPr>
              <w:spacing w:line="320" w:lineRule="exact"/>
              <w:jc w:val="center"/>
              <w:rPr>
                <w:rFonts w:ascii="仿宋_GB2312" w:hAnsi="仿宋_GB2312" w:eastAsia="仿宋_GB2312" w:cs="仿宋_GB2312"/>
                <w:sz w:val="28"/>
                <w:szCs w:val="2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692A8D7">
            <w:pPr>
              <w:spacing w:line="320" w:lineRule="exact"/>
              <w:jc w:val="center"/>
              <w:rPr>
                <w:rFonts w:ascii="仿宋_GB2312" w:hAnsi="仿宋_GB2312" w:eastAsia="仿宋_GB2312" w:cs="仿宋_GB2312"/>
                <w:sz w:val="28"/>
                <w:szCs w:val="28"/>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40537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0F572">
            <w:pPr>
              <w:widowControl/>
              <w:jc w:val="center"/>
              <w:rPr>
                <w:kern w:val="0"/>
                <w:sz w:val="22"/>
                <w:szCs w:val="22"/>
              </w:rPr>
            </w:pPr>
            <w:r>
              <w:rPr>
                <w:rFonts w:hint="eastAsia"/>
                <w:sz w:val="22"/>
                <w:szCs w:val="22"/>
              </w:rPr>
              <w:t>促进提高建设资金使用绩效</w:t>
            </w:r>
          </w:p>
          <w:p w14:paraId="29E2DD26">
            <w:pPr>
              <w:widowControl/>
              <w:spacing w:line="320" w:lineRule="exact"/>
              <w:jc w:val="center"/>
              <w:textAlignment w:val="bottom"/>
              <w:rPr>
                <w:rFonts w:ascii="仿宋_GB2312" w:hAnsi="仿宋_GB2312" w:eastAsia="仿宋_GB2312" w:cs="仿宋_GB2312"/>
                <w:sz w:val="28"/>
                <w:szCs w:val="28"/>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CCDF96">
            <w:pPr>
              <w:widowControl/>
              <w:jc w:val="center"/>
              <w:rPr>
                <w:kern w:val="0"/>
                <w:sz w:val="22"/>
                <w:szCs w:val="22"/>
              </w:rPr>
            </w:pPr>
            <w:r>
              <w:rPr>
                <w:rFonts w:hint="eastAsia"/>
                <w:sz w:val="22"/>
                <w:szCs w:val="22"/>
              </w:rPr>
              <w:t>为各级政府节约投资建设资金</w:t>
            </w:r>
          </w:p>
          <w:p w14:paraId="0E21EDBD">
            <w:pPr>
              <w:widowControl/>
              <w:spacing w:line="320" w:lineRule="exact"/>
              <w:jc w:val="center"/>
              <w:textAlignment w:val="bottom"/>
              <w:rPr>
                <w:rFonts w:ascii="仿宋_GB2312" w:hAnsi="仿宋_GB2312" w:eastAsia="仿宋_GB2312" w:cs="仿宋_GB2312"/>
                <w:sz w:val="28"/>
                <w:szCs w:val="28"/>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08BF6">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已完成</w:t>
            </w:r>
          </w:p>
        </w:tc>
      </w:tr>
      <w:tr w14:paraId="27261426">
        <w:tblPrEx>
          <w:tblCellMar>
            <w:top w:w="0" w:type="dxa"/>
            <w:left w:w="108" w:type="dxa"/>
            <w:bottom w:w="0" w:type="dxa"/>
            <w:right w:w="108" w:type="dxa"/>
          </w:tblCellMar>
        </w:tblPrEx>
        <w:trPr>
          <w:trHeight w:val="530" w:hRule="atLeast"/>
        </w:trPr>
        <w:tc>
          <w:tcPr>
            <w:tcW w:w="2025" w:type="dxa"/>
            <w:vMerge w:val="continue"/>
            <w:tcBorders>
              <w:left w:val="single" w:color="000000" w:sz="4" w:space="0"/>
              <w:bottom w:val="single" w:color="000000" w:sz="4" w:space="0"/>
              <w:right w:val="single" w:color="000000" w:sz="4" w:space="0"/>
            </w:tcBorders>
            <w:shd w:val="clear" w:color="auto" w:fill="auto"/>
            <w:vAlign w:val="center"/>
          </w:tcPr>
          <w:p w14:paraId="2355381E">
            <w:pPr>
              <w:spacing w:line="320" w:lineRule="exact"/>
              <w:jc w:val="center"/>
              <w:rPr>
                <w:rFonts w:ascii="仿宋_GB2312" w:hAnsi="仿宋_GB2312" w:eastAsia="仿宋_GB2312" w:cs="仿宋_GB2312"/>
                <w:sz w:val="28"/>
                <w:szCs w:val="28"/>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0F5FA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EFDA25">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7D007F5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1D40FD">
            <w:pPr>
              <w:widowControl/>
              <w:jc w:val="center"/>
              <w:rPr>
                <w:color w:val="000000"/>
                <w:kern w:val="0"/>
                <w:sz w:val="22"/>
                <w:szCs w:val="22"/>
              </w:rPr>
            </w:pPr>
            <w:r>
              <w:rPr>
                <w:rFonts w:hint="eastAsia"/>
                <w:color w:val="000000"/>
                <w:sz w:val="22"/>
                <w:szCs w:val="22"/>
              </w:rPr>
              <w:t>服务对象满意度</w:t>
            </w:r>
          </w:p>
          <w:p w14:paraId="24BE14CE">
            <w:pPr>
              <w:widowControl/>
              <w:spacing w:line="320" w:lineRule="exact"/>
              <w:jc w:val="center"/>
              <w:textAlignment w:val="bottom"/>
              <w:rPr>
                <w:rFonts w:ascii="仿宋_GB2312" w:hAnsi="仿宋_GB2312" w:eastAsia="仿宋_GB2312" w:cs="仿宋_GB2312"/>
                <w:sz w:val="28"/>
                <w:szCs w:val="28"/>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7A28B9">
            <w:pPr>
              <w:widowControl/>
              <w:jc w:val="center"/>
              <w:rPr>
                <w:kern w:val="0"/>
                <w:sz w:val="22"/>
                <w:szCs w:val="22"/>
              </w:rPr>
            </w:pPr>
            <w:r>
              <w:rPr>
                <w:rFonts w:hint="eastAsia"/>
                <w:sz w:val="22"/>
                <w:szCs w:val="22"/>
              </w:rPr>
              <w:t>达到基本满意及以上</w:t>
            </w:r>
          </w:p>
          <w:p w14:paraId="62C9C2DC">
            <w:pPr>
              <w:widowControl/>
              <w:spacing w:line="320" w:lineRule="exact"/>
              <w:jc w:val="center"/>
              <w:textAlignment w:val="bottom"/>
              <w:rPr>
                <w:rFonts w:ascii="仿宋_GB2312" w:hAnsi="仿宋_GB2312" w:eastAsia="仿宋_GB2312" w:cs="仿宋_GB2312"/>
                <w:sz w:val="28"/>
                <w:szCs w:val="28"/>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C78FCE">
            <w:pPr>
              <w:widowControl/>
              <w:jc w:val="center"/>
              <w:rPr>
                <w:kern w:val="0"/>
                <w:sz w:val="22"/>
                <w:szCs w:val="22"/>
              </w:rPr>
            </w:pPr>
            <w:r>
              <w:rPr>
                <w:rFonts w:hint="eastAsia"/>
                <w:sz w:val="22"/>
                <w:szCs w:val="22"/>
              </w:rPr>
              <w:t>达到基本满意及以上</w:t>
            </w:r>
          </w:p>
          <w:p w14:paraId="4B65E4D4">
            <w:pPr>
              <w:widowControl/>
              <w:spacing w:line="320" w:lineRule="exact"/>
              <w:jc w:val="center"/>
              <w:textAlignment w:val="bottom"/>
              <w:rPr>
                <w:rFonts w:ascii="仿宋_GB2312" w:hAnsi="仿宋_GB2312" w:eastAsia="仿宋_GB2312" w:cs="仿宋_GB2312"/>
                <w:sz w:val="28"/>
                <w:szCs w:val="28"/>
              </w:rPr>
            </w:pPr>
          </w:p>
        </w:tc>
      </w:tr>
    </w:tbl>
    <w:p w14:paraId="0F898FF1">
      <w:pPr>
        <w:widowControl/>
        <w:adjustRightInd w:val="0"/>
        <w:snapToGrid w:val="0"/>
        <w:spacing w:line="580" w:lineRule="exact"/>
        <w:contextualSpacing/>
        <w:jc w:val="left"/>
      </w:pPr>
      <w:r>
        <w:rPr>
          <w:rFonts w:hint="eastAsia" w:ascii="仿宋_GB2312" w:hAnsi="宋体" w:eastAsia="仿宋_GB2312" w:cs="宋体"/>
          <w:color w:val="000000"/>
          <w:kern w:val="0"/>
          <w:sz w:val="32"/>
          <w:szCs w:val="32"/>
          <w:shd w:val="clear" w:color="auto" w:fill="FFFFFF"/>
        </w:rPr>
        <w:t>（注：有两个及以上100万元以上（含）特定目标类部门预算项目的，需分别开展绩效目标自评并填写附表）</w:t>
      </w:r>
    </w:p>
    <w:p w14:paraId="44AB1B94">
      <w:pPr>
        <w:pStyle w:val="2"/>
        <w:spacing w:before="93"/>
      </w:pPr>
    </w:p>
    <w:p w14:paraId="3BA28A41">
      <w:pPr>
        <w:pStyle w:val="2"/>
        <w:spacing w:before="93"/>
      </w:pPr>
    </w:p>
    <w:p w14:paraId="0E0C369E">
      <w:pPr>
        <w:pStyle w:val="2"/>
        <w:spacing w:before="93"/>
      </w:pPr>
    </w:p>
    <w:p w14:paraId="2149502F">
      <w:pPr>
        <w:pStyle w:val="2"/>
        <w:spacing w:before="93"/>
      </w:pPr>
    </w:p>
    <w:p w14:paraId="05277E33">
      <w:pPr>
        <w:pStyle w:val="2"/>
        <w:spacing w:before="93"/>
      </w:pPr>
    </w:p>
    <w:p w14:paraId="63757DEC">
      <w:pPr>
        <w:pStyle w:val="2"/>
        <w:spacing w:before="93"/>
      </w:pPr>
    </w:p>
    <w:p w14:paraId="002D0B8D">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3"/>
      <w:bookmarkEnd w:id="57"/>
      <w:bookmarkStart w:id="58" w:name="_Toc15396619"/>
    </w:p>
    <w:p w14:paraId="126E6A82">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8"/>
    </w:p>
    <w:p w14:paraId="40F19ACD">
      <w:pPr>
        <w:pStyle w:val="4"/>
        <w:rPr>
          <w:rFonts w:ascii="仿宋" w:hAnsi="仿宋" w:eastAsia="仿宋"/>
        </w:rPr>
      </w:pPr>
      <w:bookmarkStart w:id="59" w:name="_Toc15396620"/>
      <w:r>
        <w:rPr>
          <w:rFonts w:hint="eastAsia" w:ascii="仿宋" w:hAnsi="仿宋" w:eastAsia="仿宋"/>
          <w:b w:val="0"/>
        </w:rPr>
        <w:t>二、收</w:t>
      </w:r>
      <w:r>
        <w:rPr>
          <w:rStyle w:val="26"/>
          <w:rFonts w:hint="eastAsia" w:ascii="仿宋" w:hAnsi="仿宋" w:eastAsia="仿宋"/>
          <w:b w:val="0"/>
          <w:bCs w:val="0"/>
        </w:rPr>
        <w:t>入决算表</w:t>
      </w:r>
      <w:bookmarkEnd w:id="59"/>
    </w:p>
    <w:p w14:paraId="5617508B">
      <w:pPr>
        <w:pStyle w:val="4"/>
        <w:rPr>
          <w:rFonts w:ascii="仿宋" w:hAnsi="仿宋" w:eastAsia="仿宋"/>
        </w:rPr>
      </w:pPr>
      <w:bookmarkStart w:id="60"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60"/>
    </w:p>
    <w:p w14:paraId="42F07D5C">
      <w:pPr>
        <w:pStyle w:val="4"/>
        <w:rPr>
          <w:rFonts w:ascii="仿宋" w:hAnsi="仿宋" w:eastAsia="仿宋"/>
          <w:b w:val="0"/>
        </w:rPr>
      </w:pPr>
      <w:bookmarkStart w:id="61"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61"/>
    </w:p>
    <w:p w14:paraId="422E7BC8">
      <w:pPr>
        <w:pStyle w:val="4"/>
        <w:rPr>
          <w:rStyle w:val="26"/>
          <w:rFonts w:ascii="仿宋" w:hAnsi="仿宋" w:eastAsia="仿宋"/>
          <w:b w:val="0"/>
          <w:bCs w:val="0"/>
        </w:rPr>
      </w:pPr>
      <w:bookmarkStart w:id="62"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62"/>
      <w:bookmarkStart w:id="63" w:name="_Toc15396624"/>
    </w:p>
    <w:p w14:paraId="743174BE">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3"/>
    </w:p>
    <w:p w14:paraId="1A47AEC7">
      <w:pPr>
        <w:pStyle w:val="4"/>
        <w:rPr>
          <w:rFonts w:ascii="仿宋" w:hAnsi="仿宋" w:eastAsia="仿宋"/>
        </w:rPr>
      </w:pPr>
      <w:bookmarkStart w:id="64"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4"/>
    </w:p>
    <w:p w14:paraId="3D3F6AA6">
      <w:pPr>
        <w:pStyle w:val="4"/>
        <w:rPr>
          <w:rFonts w:ascii="仿宋" w:hAnsi="仿宋" w:eastAsia="仿宋"/>
        </w:rPr>
      </w:pPr>
      <w:bookmarkStart w:id="65"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5"/>
    </w:p>
    <w:p w14:paraId="6FEEFADA">
      <w:pPr>
        <w:pStyle w:val="4"/>
        <w:rPr>
          <w:rFonts w:ascii="仿宋" w:hAnsi="仿宋" w:eastAsia="仿宋"/>
        </w:rPr>
      </w:pPr>
      <w:bookmarkStart w:id="66"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6"/>
    </w:p>
    <w:p w14:paraId="4882EBFE">
      <w:pPr>
        <w:pStyle w:val="4"/>
        <w:rPr>
          <w:rFonts w:ascii="仿宋" w:hAnsi="仿宋" w:eastAsia="仿宋"/>
        </w:rPr>
      </w:pPr>
      <w:bookmarkStart w:id="67"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67"/>
    </w:p>
    <w:p w14:paraId="62E01371">
      <w:pPr>
        <w:pStyle w:val="4"/>
        <w:rPr>
          <w:rFonts w:ascii="仿宋" w:hAnsi="仿宋" w:eastAsia="仿宋"/>
        </w:rPr>
      </w:pPr>
      <w:bookmarkStart w:id="68"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68"/>
    </w:p>
    <w:p w14:paraId="1D5B44B7">
      <w:pPr>
        <w:pStyle w:val="4"/>
        <w:rPr>
          <w:rFonts w:ascii="仿宋" w:hAnsi="仿宋" w:eastAsia="仿宋"/>
        </w:rPr>
      </w:pPr>
      <w:bookmarkStart w:id="69"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69"/>
    </w:p>
    <w:p w14:paraId="6D47280F">
      <w:pPr>
        <w:pStyle w:val="4"/>
        <w:rPr>
          <w:rStyle w:val="26"/>
          <w:rFonts w:ascii="仿宋" w:hAnsi="仿宋" w:eastAsia="仿宋"/>
          <w:b w:val="0"/>
          <w:bCs w:val="0"/>
        </w:rPr>
      </w:pPr>
      <w:bookmarkStart w:id="70"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70"/>
    </w:p>
    <w:p w14:paraId="0AA5BD15">
      <w:pPr>
        <w:rPr>
          <w:rStyle w:val="26"/>
          <w:rFonts w:ascii="仿宋" w:hAnsi="仿宋" w:eastAsia="仿宋"/>
          <w:b w:val="0"/>
          <w:bCs w:val="0"/>
        </w:rPr>
      </w:pPr>
      <w:r>
        <w:rPr>
          <w:rStyle w:val="26"/>
          <w:rFonts w:hint="eastAsia" w:ascii="仿宋" w:hAnsi="仿宋" w:eastAsia="仿宋"/>
          <w:b w:val="0"/>
          <w:bCs w:val="0"/>
        </w:rPr>
        <w:t>十四、国有资本经营预算财政拨款支出决算表</w:t>
      </w:r>
    </w:p>
    <w:p w14:paraId="37950BD6">
      <w:pPr>
        <w:pStyle w:val="2"/>
        <w:spacing w:before="93"/>
        <w:rPr>
          <w:rStyle w:val="26"/>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3EBCB9F">
        <w:pPr>
          <w:pStyle w:val="9"/>
          <w:jc w:val="center"/>
        </w:pPr>
        <w:r>
          <w:rPr>
            <w:lang w:val="zh-CN"/>
          </w:rPr>
          <w:fldChar w:fldCharType="begin"/>
        </w:r>
        <w:r>
          <w:rPr>
            <w:lang w:val="zh-CN"/>
          </w:rPr>
          <w:instrText xml:space="preserve">PAGE   \* MERGEFORMAT</w:instrText>
        </w:r>
        <w:r>
          <w:rPr>
            <w:lang w:val="zh-CN"/>
          </w:rPr>
          <w:fldChar w:fldCharType="separate"/>
        </w:r>
        <w:r>
          <w:rPr>
            <w:lang w:val="zh-CN"/>
          </w:rPr>
          <w:t>27</w:t>
        </w:r>
        <w:r>
          <w:rPr>
            <w:lang w:val="zh-CN"/>
          </w:rPr>
          <w:fldChar w:fldCharType="end"/>
        </w:r>
      </w:p>
    </w:sdtContent>
  </w:sdt>
  <w:p w14:paraId="56B52D0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852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802E7"/>
    <w:multiLevelType w:val="singleLevel"/>
    <w:tmpl w:val="C09802E7"/>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F89045C"/>
    <w:multiLevelType w:val="singleLevel"/>
    <w:tmpl w:val="5F89045C"/>
    <w:lvl w:ilvl="0" w:tentative="0">
      <w:start w:val="3"/>
      <w:numFmt w:val="chineseCounting"/>
      <w:suff w:val="nothing"/>
      <w:lvlText w:val="（%1）"/>
      <w:lvlJc w:val="left"/>
    </w:lvl>
  </w:abstractNum>
  <w:abstractNum w:abstractNumId="5">
    <w:nsid w:val="61319331"/>
    <w:multiLevelType w:val="singleLevel"/>
    <w:tmpl w:val="61319331"/>
    <w:lvl w:ilvl="0" w:tentative="0">
      <w:start w:val="1"/>
      <w:numFmt w:val="chineseCounting"/>
      <w:suff w:val="nothing"/>
      <w:lvlText w:val="（%1）"/>
      <w:lvlJc w:val="left"/>
    </w:lvl>
  </w:abstractNum>
  <w:abstractNum w:abstractNumId="6">
    <w:nsid w:val="6135DEAC"/>
    <w:multiLevelType w:val="singleLevel"/>
    <w:tmpl w:val="6135DEAC"/>
    <w:lvl w:ilvl="0" w:tentative="0">
      <w:start w:val="1"/>
      <w:numFmt w:val="chineseCounting"/>
      <w:suff w:val="nothing"/>
      <w:lvlText w:val="（%1）"/>
      <w:lvlJc w:val="left"/>
    </w:lvl>
  </w:abstractNum>
  <w:abstractNum w:abstractNumId="7">
    <w:nsid w:val="627A298E"/>
    <w:multiLevelType w:val="singleLevel"/>
    <w:tmpl w:val="627A298E"/>
    <w:lvl w:ilvl="0" w:tentative="0">
      <w:start w:val="2"/>
      <w:numFmt w:val="decimal"/>
      <w:suff w:val="nothing"/>
      <w:lvlText w:val="%1."/>
      <w:lvlJc w:val="left"/>
    </w:lvl>
  </w:abstractNum>
  <w:abstractNum w:abstractNumId="8">
    <w:nsid w:val="627C682C"/>
    <w:multiLevelType w:val="singleLevel"/>
    <w:tmpl w:val="627C682C"/>
    <w:lvl w:ilvl="0" w:tentative="0">
      <w:start w:val="2"/>
      <w:numFmt w:val="chineseCounting"/>
      <w:suff w:val="nothing"/>
      <w:lvlText w:val="（%1）"/>
      <w:lvlJc w:val="left"/>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ZjM2ZlNzA4M2FkYzQ4OTFlYmNlZDBjNzgzZDlhNDkifQ=="/>
  </w:docVars>
  <w:rsids>
    <w:rsidRoot w:val="00F1361C"/>
    <w:rsid w:val="00013AB6"/>
    <w:rsid w:val="000222C6"/>
    <w:rsid w:val="0002549F"/>
    <w:rsid w:val="000468DB"/>
    <w:rsid w:val="0006487A"/>
    <w:rsid w:val="00065F8F"/>
    <w:rsid w:val="00070A43"/>
    <w:rsid w:val="000768F2"/>
    <w:rsid w:val="0009184B"/>
    <w:rsid w:val="00091A0A"/>
    <w:rsid w:val="00094236"/>
    <w:rsid w:val="0009593C"/>
    <w:rsid w:val="00097218"/>
    <w:rsid w:val="00097322"/>
    <w:rsid w:val="000A6A92"/>
    <w:rsid w:val="000B047F"/>
    <w:rsid w:val="000B0F08"/>
    <w:rsid w:val="000B1E5E"/>
    <w:rsid w:val="000B5923"/>
    <w:rsid w:val="000B5A48"/>
    <w:rsid w:val="000B6FF3"/>
    <w:rsid w:val="000C2800"/>
    <w:rsid w:val="000C3467"/>
    <w:rsid w:val="000C3CA6"/>
    <w:rsid w:val="000C457B"/>
    <w:rsid w:val="000D1267"/>
    <w:rsid w:val="000D1D50"/>
    <w:rsid w:val="000D3883"/>
    <w:rsid w:val="000D5782"/>
    <w:rsid w:val="000D6609"/>
    <w:rsid w:val="000E6613"/>
    <w:rsid w:val="000E6B86"/>
    <w:rsid w:val="000E7119"/>
    <w:rsid w:val="001117C8"/>
    <w:rsid w:val="0011432C"/>
    <w:rsid w:val="00114675"/>
    <w:rsid w:val="00114E9B"/>
    <w:rsid w:val="00133257"/>
    <w:rsid w:val="00142216"/>
    <w:rsid w:val="00144D6A"/>
    <w:rsid w:val="0014729F"/>
    <w:rsid w:val="00157BAB"/>
    <w:rsid w:val="001654D1"/>
    <w:rsid w:val="00174518"/>
    <w:rsid w:val="001749EB"/>
    <w:rsid w:val="00177C44"/>
    <w:rsid w:val="001804C3"/>
    <w:rsid w:val="0018106D"/>
    <w:rsid w:val="001877A7"/>
    <w:rsid w:val="00191536"/>
    <w:rsid w:val="00196687"/>
    <w:rsid w:val="001A3E35"/>
    <w:rsid w:val="001B6634"/>
    <w:rsid w:val="001C0962"/>
    <w:rsid w:val="001C302E"/>
    <w:rsid w:val="001D52D2"/>
    <w:rsid w:val="001D7531"/>
    <w:rsid w:val="001D788A"/>
    <w:rsid w:val="001D7D62"/>
    <w:rsid w:val="001E737D"/>
    <w:rsid w:val="001F0592"/>
    <w:rsid w:val="001F7506"/>
    <w:rsid w:val="002006CD"/>
    <w:rsid w:val="00202B36"/>
    <w:rsid w:val="00204B7A"/>
    <w:rsid w:val="00204CDE"/>
    <w:rsid w:val="0021101A"/>
    <w:rsid w:val="00220536"/>
    <w:rsid w:val="0023363E"/>
    <w:rsid w:val="002336E6"/>
    <w:rsid w:val="00235629"/>
    <w:rsid w:val="00242171"/>
    <w:rsid w:val="00251848"/>
    <w:rsid w:val="00260C38"/>
    <w:rsid w:val="002616C0"/>
    <w:rsid w:val="00265372"/>
    <w:rsid w:val="002662AA"/>
    <w:rsid w:val="00280496"/>
    <w:rsid w:val="00294DC9"/>
    <w:rsid w:val="00295495"/>
    <w:rsid w:val="002A0FF3"/>
    <w:rsid w:val="002A31DE"/>
    <w:rsid w:val="002B2613"/>
    <w:rsid w:val="002B56D3"/>
    <w:rsid w:val="002C60A4"/>
    <w:rsid w:val="002D6D05"/>
    <w:rsid w:val="002F1818"/>
    <w:rsid w:val="002F567B"/>
    <w:rsid w:val="0030419F"/>
    <w:rsid w:val="00313542"/>
    <w:rsid w:val="00313B10"/>
    <w:rsid w:val="003216A9"/>
    <w:rsid w:val="00335A74"/>
    <w:rsid w:val="0036561B"/>
    <w:rsid w:val="0037013F"/>
    <w:rsid w:val="00371BE9"/>
    <w:rsid w:val="0037429A"/>
    <w:rsid w:val="00380302"/>
    <w:rsid w:val="00380C92"/>
    <w:rsid w:val="00391FD6"/>
    <w:rsid w:val="003A484F"/>
    <w:rsid w:val="003A4883"/>
    <w:rsid w:val="003B0BE0"/>
    <w:rsid w:val="003B0C1B"/>
    <w:rsid w:val="003B688C"/>
    <w:rsid w:val="003B7F4D"/>
    <w:rsid w:val="003C0291"/>
    <w:rsid w:val="003C0F09"/>
    <w:rsid w:val="003C39AE"/>
    <w:rsid w:val="003C7B60"/>
    <w:rsid w:val="003D0C0F"/>
    <w:rsid w:val="003D1FB2"/>
    <w:rsid w:val="003D66DA"/>
    <w:rsid w:val="003E1310"/>
    <w:rsid w:val="003E6F55"/>
    <w:rsid w:val="00406254"/>
    <w:rsid w:val="004223DE"/>
    <w:rsid w:val="00423F9C"/>
    <w:rsid w:val="0043087A"/>
    <w:rsid w:val="00434489"/>
    <w:rsid w:val="00437085"/>
    <w:rsid w:val="0044300E"/>
    <w:rsid w:val="00443880"/>
    <w:rsid w:val="00445C7E"/>
    <w:rsid w:val="004464F4"/>
    <w:rsid w:val="00455AA0"/>
    <w:rsid w:val="00471401"/>
    <w:rsid w:val="00473F31"/>
    <w:rsid w:val="0048263A"/>
    <w:rsid w:val="00483552"/>
    <w:rsid w:val="00484981"/>
    <w:rsid w:val="00487E5D"/>
    <w:rsid w:val="0049679B"/>
    <w:rsid w:val="004A692C"/>
    <w:rsid w:val="004A711F"/>
    <w:rsid w:val="004B199D"/>
    <w:rsid w:val="004B4690"/>
    <w:rsid w:val="004D7501"/>
    <w:rsid w:val="004E0A2D"/>
    <w:rsid w:val="004E206B"/>
    <w:rsid w:val="004E6DF7"/>
    <w:rsid w:val="004F0FBD"/>
    <w:rsid w:val="00503E7C"/>
    <w:rsid w:val="00505A47"/>
    <w:rsid w:val="00512FDA"/>
    <w:rsid w:val="005170AD"/>
    <w:rsid w:val="00517B92"/>
    <w:rsid w:val="00520DA0"/>
    <w:rsid w:val="0053305F"/>
    <w:rsid w:val="00540FF6"/>
    <w:rsid w:val="005664BB"/>
    <w:rsid w:val="00566FFA"/>
    <w:rsid w:val="0057481D"/>
    <w:rsid w:val="005847FD"/>
    <w:rsid w:val="0058486E"/>
    <w:rsid w:val="00585B33"/>
    <w:rsid w:val="0059014D"/>
    <w:rsid w:val="00590461"/>
    <w:rsid w:val="0059089D"/>
    <w:rsid w:val="005B5C64"/>
    <w:rsid w:val="005C5337"/>
    <w:rsid w:val="005C6BD0"/>
    <w:rsid w:val="005D1C8B"/>
    <w:rsid w:val="005D468D"/>
    <w:rsid w:val="005D5CED"/>
    <w:rsid w:val="005D6365"/>
    <w:rsid w:val="005D72AC"/>
    <w:rsid w:val="005E3978"/>
    <w:rsid w:val="005F1A4C"/>
    <w:rsid w:val="006048BF"/>
    <w:rsid w:val="00605688"/>
    <w:rsid w:val="006070AF"/>
    <w:rsid w:val="00607E6C"/>
    <w:rsid w:val="006101B1"/>
    <w:rsid w:val="00614E44"/>
    <w:rsid w:val="0062270A"/>
    <w:rsid w:val="00622830"/>
    <w:rsid w:val="00623DA0"/>
    <w:rsid w:val="00630AEF"/>
    <w:rsid w:val="006325F8"/>
    <w:rsid w:val="00632B5D"/>
    <w:rsid w:val="00633463"/>
    <w:rsid w:val="00634C9A"/>
    <w:rsid w:val="00641749"/>
    <w:rsid w:val="006440E4"/>
    <w:rsid w:val="00653E5F"/>
    <w:rsid w:val="0066343B"/>
    <w:rsid w:val="00664777"/>
    <w:rsid w:val="006748A4"/>
    <w:rsid w:val="00681A31"/>
    <w:rsid w:val="00683E73"/>
    <w:rsid w:val="00692625"/>
    <w:rsid w:val="006A3141"/>
    <w:rsid w:val="006A5E34"/>
    <w:rsid w:val="006B1439"/>
    <w:rsid w:val="006B2422"/>
    <w:rsid w:val="006B2B9A"/>
    <w:rsid w:val="006C1937"/>
    <w:rsid w:val="006C7CB6"/>
    <w:rsid w:val="006F020C"/>
    <w:rsid w:val="006F2783"/>
    <w:rsid w:val="00707C5F"/>
    <w:rsid w:val="007127B7"/>
    <w:rsid w:val="0071798E"/>
    <w:rsid w:val="007416B6"/>
    <w:rsid w:val="00746F48"/>
    <w:rsid w:val="0075404D"/>
    <w:rsid w:val="0076182A"/>
    <w:rsid w:val="00766B19"/>
    <w:rsid w:val="00767B7E"/>
    <w:rsid w:val="007770C3"/>
    <w:rsid w:val="00784D24"/>
    <w:rsid w:val="00785FBA"/>
    <w:rsid w:val="00786E4A"/>
    <w:rsid w:val="007875EB"/>
    <w:rsid w:val="00791524"/>
    <w:rsid w:val="0079426B"/>
    <w:rsid w:val="007A6F24"/>
    <w:rsid w:val="007D1682"/>
    <w:rsid w:val="007D312A"/>
    <w:rsid w:val="007D3F19"/>
    <w:rsid w:val="007D750B"/>
    <w:rsid w:val="007E23B0"/>
    <w:rsid w:val="007E23E5"/>
    <w:rsid w:val="007E6001"/>
    <w:rsid w:val="007F1991"/>
    <w:rsid w:val="007F2C2F"/>
    <w:rsid w:val="007F55FC"/>
    <w:rsid w:val="007F5665"/>
    <w:rsid w:val="007F7E90"/>
    <w:rsid w:val="00800112"/>
    <w:rsid w:val="00813348"/>
    <w:rsid w:val="008253BB"/>
    <w:rsid w:val="00827E1F"/>
    <w:rsid w:val="0083706E"/>
    <w:rsid w:val="008408F6"/>
    <w:rsid w:val="008416A6"/>
    <w:rsid w:val="008423A5"/>
    <w:rsid w:val="00850625"/>
    <w:rsid w:val="00852F83"/>
    <w:rsid w:val="00853718"/>
    <w:rsid w:val="00855221"/>
    <w:rsid w:val="00860645"/>
    <w:rsid w:val="00870A2E"/>
    <w:rsid w:val="00871B4B"/>
    <w:rsid w:val="00871F71"/>
    <w:rsid w:val="00872FD8"/>
    <w:rsid w:val="0088246C"/>
    <w:rsid w:val="00885AF4"/>
    <w:rsid w:val="008939CD"/>
    <w:rsid w:val="008B1170"/>
    <w:rsid w:val="008B768C"/>
    <w:rsid w:val="008C4DB1"/>
    <w:rsid w:val="008C4EAF"/>
    <w:rsid w:val="008C5176"/>
    <w:rsid w:val="008C7FD0"/>
    <w:rsid w:val="008D6198"/>
    <w:rsid w:val="008D7849"/>
    <w:rsid w:val="008E1DE7"/>
    <w:rsid w:val="008E707C"/>
    <w:rsid w:val="00900B08"/>
    <w:rsid w:val="00902155"/>
    <w:rsid w:val="00902FA3"/>
    <w:rsid w:val="00912992"/>
    <w:rsid w:val="00923564"/>
    <w:rsid w:val="0092392E"/>
    <w:rsid w:val="009315F9"/>
    <w:rsid w:val="00933499"/>
    <w:rsid w:val="00935C98"/>
    <w:rsid w:val="00946945"/>
    <w:rsid w:val="00951248"/>
    <w:rsid w:val="0095152F"/>
    <w:rsid w:val="00954C49"/>
    <w:rsid w:val="00955E37"/>
    <w:rsid w:val="0097099F"/>
    <w:rsid w:val="00971997"/>
    <w:rsid w:val="00971FFC"/>
    <w:rsid w:val="00985948"/>
    <w:rsid w:val="0098660A"/>
    <w:rsid w:val="0098673D"/>
    <w:rsid w:val="009931C3"/>
    <w:rsid w:val="009A6FE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630B"/>
    <w:rsid w:val="00A40A00"/>
    <w:rsid w:val="00A4142F"/>
    <w:rsid w:val="00A422EB"/>
    <w:rsid w:val="00A45BB7"/>
    <w:rsid w:val="00A52F0C"/>
    <w:rsid w:val="00A56DF2"/>
    <w:rsid w:val="00A56E6E"/>
    <w:rsid w:val="00A64247"/>
    <w:rsid w:val="00A65398"/>
    <w:rsid w:val="00A67AB5"/>
    <w:rsid w:val="00A733B2"/>
    <w:rsid w:val="00A741C2"/>
    <w:rsid w:val="00A840D8"/>
    <w:rsid w:val="00A91760"/>
    <w:rsid w:val="00A93B00"/>
    <w:rsid w:val="00A93C21"/>
    <w:rsid w:val="00AB64C9"/>
    <w:rsid w:val="00AC14BC"/>
    <w:rsid w:val="00AC3C6A"/>
    <w:rsid w:val="00AC75D9"/>
    <w:rsid w:val="00AD5620"/>
    <w:rsid w:val="00AD656B"/>
    <w:rsid w:val="00AD7C1B"/>
    <w:rsid w:val="00AE16BA"/>
    <w:rsid w:val="00AE1EBE"/>
    <w:rsid w:val="00AF40EB"/>
    <w:rsid w:val="00B03C9D"/>
    <w:rsid w:val="00B060AE"/>
    <w:rsid w:val="00B10517"/>
    <w:rsid w:val="00B14E76"/>
    <w:rsid w:val="00B161B8"/>
    <w:rsid w:val="00B2048C"/>
    <w:rsid w:val="00B276B9"/>
    <w:rsid w:val="00B310B9"/>
    <w:rsid w:val="00B35F3F"/>
    <w:rsid w:val="00B36CBB"/>
    <w:rsid w:val="00B3705A"/>
    <w:rsid w:val="00B37C30"/>
    <w:rsid w:val="00B425E0"/>
    <w:rsid w:val="00B440AA"/>
    <w:rsid w:val="00B44B70"/>
    <w:rsid w:val="00B47264"/>
    <w:rsid w:val="00B4749E"/>
    <w:rsid w:val="00B53C56"/>
    <w:rsid w:val="00B57DAF"/>
    <w:rsid w:val="00B67C1A"/>
    <w:rsid w:val="00B71F65"/>
    <w:rsid w:val="00B73148"/>
    <w:rsid w:val="00B77DBD"/>
    <w:rsid w:val="00B77EA6"/>
    <w:rsid w:val="00B81598"/>
    <w:rsid w:val="00B841F1"/>
    <w:rsid w:val="00B944D6"/>
    <w:rsid w:val="00BB4DF0"/>
    <w:rsid w:val="00BC289F"/>
    <w:rsid w:val="00BC2D50"/>
    <w:rsid w:val="00BC5361"/>
    <w:rsid w:val="00BC5460"/>
    <w:rsid w:val="00BC6B50"/>
    <w:rsid w:val="00BD0E25"/>
    <w:rsid w:val="00BE2E79"/>
    <w:rsid w:val="00BE39E5"/>
    <w:rsid w:val="00BF5BD6"/>
    <w:rsid w:val="00C03E31"/>
    <w:rsid w:val="00C33E72"/>
    <w:rsid w:val="00C354B2"/>
    <w:rsid w:val="00C35554"/>
    <w:rsid w:val="00C42709"/>
    <w:rsid w:val="00C50B91"/>
    <w:rsid w:val="00C533CC"/>
    <w:rsid w:val="00C5751C"/>
    <w:rsid w:val="00C61BFC"/>
    <w:rsid w:val="00C62B85"/>
    <w:rsid w:val="00C65438"/>
    <w:rsid w:val="00C8500E"/>
    <w:rsid w:val="00C87FD8"/>
    <w:rsid w:val="00C91381"/>
    <w:rsid w:val="00C91CBB"/>
    <w:rsid w:val="00CA740C"/>
    <w:rsid w:val="00CB4E70"/>
    <w:rsid w:val="00CB6039"/>
    <w:rsid w:val="00CC09B6"/>
    <w:rsid w:val="00CC666F"/>
    <w:rsid w:val="00CD1E3F"/>
    <w:rsid w:val="00CE44F6"/>
    <w:rsid w:val="00CE49DA"/>
    <w:rsid w:val="00CE7B61"/>
    <w:rsid w:val="00D00095"/>
    <w:rsid w:val="00D00CE7"/>
    <w:rsid w:val="00D114F0"/>
    <w:rsid w:val="00D11B82"/>
    <w:rsid w:val="00D20620"/>
    <w:rsid w:val="00D254F7"/>
    <w:rsid w:val="00D26091"/>
    <w:rsid w:val="00D2685C"/>
    <w:rsid w:val="00D30DA6"/>
    <w:rsid w:val="00D313D0"/>
    <w:rsid w:val="00D34E7C"/>
    <w:rsid w:val="00D35489"/>
    <w:rsid w:val="00D36AFE"/>
    <w:rsid w:val="00D41E1E"/>
    <w:rsid w:val="00D51276"/>
    <w:rsid w:val="00D54FA1"/>
    <w:rsid w:val="00D7035F"/>
    <w:rsid w:val="00D91A22"/>
    <w:rsid w:val="00DA634F"/>
    <w:rsid w:val="00DA65AC"/>
    <w:rsid w:val="00DB1913"/>
    <w:rsid w:val="00DB76B2"/>
    <w:rsid w:val="00DC410D"/>
    <w:rsid w:val="00DC5A81"/>
    <w:rsid w:val="00DC633D"/>
    <w:rsid w:val="00DC68CA"/>
    <w:rsid w:val="00DC7CBA"/>
    <w:rsid w:val="00DD73B7"/>
    <w:rsid w:val="00DF28BC"/>
    <w:rsid w:val="00DF34B9"/>
    <w:rsid w:val="00E01053"/>
    <w:rsid w:val="00E06AE6"/>
    <w:rsid w:val="00E07ACF"/>
    <w:rsid w:val="00E331A1"/>
    <w:rsid w:val="00E33202"/>
    <w:rsid w:val="00E336A9"/>
    <w:rsid w:val="00E472B1"/>
    <w:rsid w:val="00E50624"/>
    <w:rsid w:val="00E568DF"/>
    <w:rsid w:val="00E64269"/>
    <w:rsid w:val="00E80370"/>
    <w:rsid w:val="00E82267"/>
    <w:rsid w:val="00E853CE"/>
    <w:rsid w:val="00E8544F"/>
    <w:rsid w:val="00E867B6"/>
    <w:rsid w:val="00EA010F"/>
    <w:rsid w:val="00EA518F"/>
    <w:rsid w:val="00EA6D08"/>
    <w:rsid w:val="00ED0E27"/>
    <w:rsid w:val="00ED1B63"/>
    <w:rsid w:val="00ED3C1F"/>
    <w:rsid w:val="00ED4085"/>
    <w:rsid w:val="00ED420E"/>
    <w:rsid w:val="00ED6FBE"/>
    <w:rsid w:val="00EE2F57"/>
    <w:rsid w:val="00EF4C34"/>
    <w:rsid w:val="00EF579E"/>
    <w:rsid w:val="00EF77C6"/>
    <w:rsid w:val="00F05438"/>
    <w:rsid w:val="00F1361C"/>
    <w:rsid w:val="00F156F0"/>
    <w:rsid w:val="00F160C7"/>
    <w:rsid w:val="00F2408F"/>
    <w:rsid w:val="00F240E9"/>
    <w:rsid w:val="00F334E3"/>
    <w:rsid w:val="00F350BB"/>
    <w:rsid w:val="00F36D8F"/>
    <w:rsid w:val="00F417B1"/>
    <w:rsid w:val="00F45853"/>
    <w:rsid w:val="00F602DF"/>
    <w:rsid w:val="00F754A1"/>
    <w:rsid w:val="00F81FD9"/>
    <w:rsid w:val="00F841AA"/>
    <w:rsid w:val="00F84A94"/>
    <w:rsid w:val="00F87E96"/>
    <w:rsid w:val="00FA23E8"/>
    <w:rsid w:val="00FB1901"/>
    <w:rsid w:val="00FC22E2"/>
    <w:rsid w:val="00FC65DE"/>
    <w:rsid w:val="00FD00CD"/>
    <w:rsid w:val="00FD3CC1"/>
    <w:rsid w:val="00FE1D9F"/>
    <w:rsid w:val="00FF1E02"/>
    <w:rsid w:val="00FF30B4"/>
    <w:rsid w:val="01A23310"/>
    <w:rsid w:val="02E132C9"/>
    <w:rsid w:val="02E62FD5"/>
    <w:rsid w:val="034F2928"/>
    <w:rsid w:val="03D1158F"/>
    <w:rsid w:val="03DB240E"/>
    <w:rsid w:val="03EA43FF"/>
    <w:rsid w:val="03F90AE6"/>
    <w:rsid w:val="04096F7B"/>
    <w:rsid w:val="04655A71"/>
    <w:rsid w:val="050140F6"/>
    <w:rsid w:val="05463ADE"/>
    <w:rsid w:val="054E09BE"/>
    <w:rsid w:val="054F4E62"/>
    <w:rsid w:val="056A57F8"/>
    <w:rsid w:val="05776166"/>
    <w:rsid w:val="05C375FE"/>
    <w:rsid w:val="06712BB6"/>
    <w:rsid w:val="06CE0E4D"/>
    <w:rsid w:val="06DA67A1"/>
    <w:rsid w:val="090B43DE"/>
    <w:rsid w:val="0926237D"/>
    <w:rsid w:val="095347F5"/>
    <w:rsid w:val="0A2032A3"/>
    <w:rsid w:val="0AA25A34"/>
    <w:rsid w:val="0AA572D2"/>
    <w:rsid w:val="0AFD0EBC"/>
    <w:rsid w:val="0B217701"/>
    <w:rsid w:val="0B2D79F3"/>
    <w:rsid w:val="0B8A37D8"/>
    <w:rsid w:val="0BC63207"/>
    <w:rsid w:val="0C000C64"/>
    <w:rsid w:val="0C2B1A59"/>
    <w:rsid w:val="0C5C3223"/>
    <w:rsid w:val="0D646FD0"/>
    <w:rsid w:val="0DD04666"/>
    <w:rsid w:val="0E8F175C"/>
    <w:rsid w:val="0EA578A0"/>
    <w:rsid w:val="0EB43F87"/>
    <w:rsid w:val="0F1F0848"/>
    <w:rsid w:val="0F361271"/>
    <w:rsid w:val="0F5117D6"/>
    <w:rsid w:val="102410F0"/>
    <w:rsid w:val="10787CE1"/>
    <w:rsid w:val="10C055FF"/>
    <w:rsid w:val="111D5E14"/>
    <w:rsid w:val="116C0B49"/>
    <w:rsid w:val="118107EC"/>
    <w:rsid w:val="118934A9"/>
    <w:rsid w:val="11A45CD2"/>
    <w:rsid w:val="11DD6519"/>
    <w:rsid w:val="11F1474D"/>
    <w:rsid w:val="127C5F86"/>
    <w:rsid w:val="12BF42DB"/>
    <w:rsid w:val="12C56763"/>
    <w:rsid w:val="13EE5A25"/>
    <w:rsid w:val="14DB226E"/>
    <w:rsid w:val="15826B8D"/>
    <w:rsid w:val="15F5735F"/>
    <w:rsid w:val="16302145"/>
    <w:rsid w:val="16817409"/>
    <w:rsid w:val="16BB723D"/>
    <w:rsid w:val="16E64EFA"/>
    <w:rsid w:val="174B3DBF"/>
    <w:rsid w:val="18015F3F"/>
    <w:rsid w:val="18383533"/>
    <w:rsid w:val="183F2B14"/>
    <w:rsid w:val="18414ADE"/>
    <w:rsid w:val="18610CDC"/>
    <w:rsid w:val="19DF45AE"/>
    <w:rsid w:val="1A420699"/>
    <w:rsid w:val="1A5B175B"/>
    <w:rsid w:val="1A700FED"/>
    <w:rsid w:val="1A89451A"/>
    <w:rsid w:val="1B2B737F"/>
    <w:rsid w:val="1B6D5BEA"/>
    <w:rsid w:val="1BE8440E"/>
    <w:rsid w:val="1C9A2A0F"/>
    <w:rsid w:val="1C9A47BD"/>
    <w:rsid w:val="1CC47A8B"/>
    <w:rsid w:val="1D155CEE"/>
    <w:rsid w:val="1D436C02"/>
    <w:rsid w:val="1D884F5D"/>
    <w:rsid w:val="1EEB392A"/>
    <w:rsid w:val="20000DDB"/>
    <w:rsid w:val="203F1925"/>
    <w:rsid w:val="20E96000"/>
    <w:rsid w:val="20F57F95"/>
    <w:rsid w:val="218B0B78"/>
    <w:rsid w:val="21CB1C8A"/>
    <w:rsid w:val="237C6220"/>
    <w:rsid w:val="23C84BB4"/>
    <w:rsid w:val="240371BF"/>
    <w:rsid w:val="24863878"/>
    <w:rsid w:val="24D6035C"/>
    <w:rsid w:val="25C741E6"/>
    <w:rsid w:val="25D7082F"/>
    <w:rsid w:val="26993D37"/>
    <w:rsid w:val="26ED5E31"/>
    <w:rsid w:val="27842671"/>
    <w:rsid w:val="27A26C1B"/>
    <w:rsid w:val="27D747BE"/>
    <w:rsid w:val="28BE4858"/>
    <w:rsid w:val="29BD7D3C"/>
    <w:rsid w:val="29FD04D3"/>
    <w:rsid w:val="2ABE7A3E"/>
    <w:rsid w:val="2B3C3F0D"/>
    <w:rsid w:val="2B683CD8"/>
    <w:rsid w:val="2B7663F5"/>
    <w:rsid w:val="2B8D0683"/>
    <w:rsid w:val="2B8F74B6"/>
    <w:rsid w:val="2C332538"/>
    <w:rsid w:val="2C404409"/>
    <w:rsid w:val="2C981EAB"/>
    <w:rsid w:val="2D1E5F41"/>
    <w:rsid w:val="2EDA6C9B"/>
    <w:rsid w:val="2EFA178C"/>
    <w:rsid w:val="2F00589C"/>
    <w:rsid w:val="2F0A3A24"/>
    <w:rsid w:val="2F81180C"/>
    <w:rsid w:val="300E30A0"/>
    <w:rsid w:val="30B46D73"/>
    <w:rsid w:val="30D140CD"/>
    <w:rsid w:val="30DD2A72"/>
    <w:rsid w:val="31501496"/>
    <w:rsid w:val="319F7F4E"/>
    <w:rsid w:val="31C14142"/>
    <w:rsid w:val="31D75713"/>
    <w:rsid w:val="326C2300"/>
    <w:rsid w:val="33C57F19"/>
    <w:rsid w:val="349A75F8"/>
    <w:rsid w:val="352E5F92"/>
    <w:rsid w:val="36AF3103"/>
    <w:rsid w:val="39904B26"/>
    <w:rsid w:val="39AE70AB"/>
    <w:rsid w:val="3A940645"/>
    <w:rsid w:val="3B47390A"/>
    <w:rsid w:val="3C0C0783"/>
    <w:rsid w:val="3C601127"/>
    <w:rsid w:val="3C7D70DA"/>
    <w:rsid w:val="3C7F70D3"/>
    <w:rsid w:val="3D712EC0"/>
    <w:rsid w:val="3D8F1598"/>
    <w:rsid w:val="3E23065E"/>
    <w:rsid w:val="3E3068D7"/>
    <w:rsid w:val="3F9F3A96"/>
    <w:rsid w:val="3FD634AE"/>
    <w:rsid w:val="3FE61943"/>
    <w:rsid w:val="40624D42"/>
    <w:rsid w:val="40C0251D"/>
    <w:rsid w:val="414F176A"/>
    <w:rsid w:val="41686388"/>
    <w:rsid w:val="41CD0038"/>
    <w:rsid w:val="424C5CAA"/>
    <w:rsid w:val="445F7F16"/>
    <w:rsid w:val="44CB735A"/>
    <w:rsid w:val="46317690"/>
    <w:rsid w:val="465515D1"/>
    <w:rsid w:val="46963997"/>
    <w:rsid w:val="47354F5E"/>
    <w:rsid w:val="474745B0"/>
    <w:rsid w:val="47BC742D"/>
    <w:rsid w:val="480A1F47"/>
    <w:rsid w:val="48311BC9"/>
    <w:rsid w:val="489839F7"/>
    <w:rsid w:val="48AE427C"/>
    <w:rsid w:val="49025314"/>
    <w:rsid w:val="4907292A"/>
    <w:rsid w:val="493C27E9"/>
    <w:rsid w:val="495F2766"/>
    <w:rsid w:val="496F39ED"/>
    <w:rsid w:val="49EA2030"/>
    <w:rsid w:val="49FF41D3"/>
    <w:rsid w:val="4BE068DB"/>
    <w:rsid w:val="4BF6002B"/>
    <w:rsid w:val="4C1A4723"/>
    <w:rsid w:val="4C285091"/>
    <w:rsid w:val="4C367A59"/>
    <w:rsid w:val="4C6E7290"/>
    <w:rsid w:val="4D4E44BE"/>
    <w:rsid w:val="4DE1199C"/>
    <w:rsid w:val="4ECE2238"/>
    <w:rsid w:val="4F3D0E54"/>
    <w:rsid w:val="4FED3D8F"/>
    <w:rsid w:val="505E72D4"/>
    <w:rsid w:val="51254295"/>
    <w:rsid w:val="51733EAB"/>
    <w:rsid w:val="51CE2A8B"/>
    <w:rsid w:val="51DB4B86"/>
    <w:rsid w:val="52412A09"/>
    <w:rsid w:val="53376C36"/>
    <w:rsid w:val="53B33E89"/>
    <w:rsid w:val="55320D2F"/>
    <w:rsid w:val="55333C3E"/>
    <w:rsid w:val="553700F3"/>
    <w:rsid w:val="553E1482"/>
    <w:rsid w:val="555313D1"/>
    <w:rsid w:val="56513437"/>
    <w:rsid w:val="567F1D52"/>
    <w:rsid w:val="56C65BD3"/>
    <w:rsid w:val="56D976B4"/>
    <w:rsid w:val="577473DD"/>
    <w:rsid w:val="577E025B"/>
    <w:rsid w:val="57AE1663"/>
    <w:rsid w:val="589A10C5"/>
    <w:rsid w:val="58FA6008"/>
    <w:rsid w:val="590472CF"/>
    <w:rsid w:val="59140E77"/>
    <w:rsid w:val="598F04FE"/>
    <w:rsid w:val="598F49A2"/>
    <w:rsid w:val="5AA47FD9"/>
    <w:rsid w:val="5C7E485A"/>
    <w:rsid w:val="5DED7EE9"/>
    <w:rsid w:val="5F6B7317"/>
    <w:rsid w:val="5FE570CA"/>
    <w:rsid w:val="609A4F3F"/>
    <w:rsid w:val="60E70DD2"/>
    <w:rsid w:val="622F369F"/>
    <w:rsid w:val="62634C1E"/>
    <w:rsid w:val="62BA35AB"/>
    <w:rsid w:val="63312626"/>
    <w:rsid w:val="63B70AC0"/>
    <w:rsid w:val="63F43D7F"/>
    <w:rsid w:val="64CA39A1"/>
    <w:rsid w:val="64E40449"/>
    <w:rsid w:val="64E75692"/>
    <w:rsid w:val="64E83E44"/>
    <w:rsid w:val="659B022A"/>
    <w:rsid w:val="65DF45BB"/>
    <w:rsid w:val="66606718"/>
    <w:rsid w:val="675B4115"/>
    <w:rsid w:val="68550A20"/>
    <w:rsid w:val="6884575B"/>
    <w:rsid w:val="689B5EC2"/>
    <w:rsid w:val="68D66149"/>
    <w:rsid w:val="68F6059A"/>
    <w:rsid w:val="69747710"/>
    <w:rsid w:val="69C064B2"/>
    <w:rsid w:val="6A114F5F"/>
    <w:rsid w:val="6AE60C00"/>
    <w:rsid w:val="6B8A6D77"/>
    <w:rsid w:val="6C4A05C8"/>
    <w:rsid w:val="6C820E5D"/>
    <w:rsid w:val="6D464F20"/>
    <w:rsid w:val="6DC02F24"/>
    <w:rsid w:val="6FE949B4"/>
    <w:rsid w:val="706A31E5"/>
    <w:rsid w:val="724E407B"/>
    <w:rsid w:val="72734D90"/>
    <w:rsid w:val="741C69DA"/>
    <w:rsid w:val="74546174"/>
    <w:rsid w:val="74A013B9"/>
    <w:rsid w:val="75271ADB"/>
    <w:rsid w:val="75695C4F"/>
    <w:rsid w:val="75E33C54"/>
    <w:rsid w:val="77DC7202"/>
    <w:rsid w:val="77EE068E"/>
    <w:rsid w:val="783C589D"/>
    <w:rsid w:val="79254583"/>
    <w:rsid w:val="79E7B28D"/>
    <w:rsid w:val="79EB1AC6"/>
    <w:rsid w:val="7A1A39BC"/>
    <w:rsid w:val="7B3D5BB4"/>
    <w:rsid w:val="7C223070"/>
    <w:rsid w:val="7C9F252C"/>
    <w:rsid w:val="7DC600E3"/>
    <w:rsid w:val="7E5751DF"/>
    <w:rsid w:val="7EF7251E"/>
    <w:rsid w:val="7F2C0419"/>
    <w:rsid w:val="7F737DF6"/>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link w:val="33"/>
    <w:qFormat/>
    <w:uiPriority w:val="0"/>
    <w:rPr>
      <w:rFonts w:ascii="宋体" w:hAnsi="Courier New"/>
      <w:szCs w:val="22"/>
    </w:r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3">
    <w:name w:val="纯文本 Char"/>
    <w:basedOn w:val="14"/>
    <w:link w:val="7"/>
    <w:uiPriority w:val="0"/>
    <w:rPr>
      <w:rFonts w:ascii="宋体" w:hAnsi="Courier New"/>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　　　单位：万元</a:t>
            </a:r>
            <a:endParaRPr lang="zh-CN" altLang="en-US"/>
          </a:p>
        </c:rich>
      </c:tx>
      <c:layout>
        <c:manualLayout>
          <c:xMode val="edge"/>
          <c:yMode val="edge"/>
          <c:x val="0.189062580136844"/>
          <c:y val="0.0123621425934807"/>
        </c:manualLayout>
      </c:layout>
      <c:overlay val="0"/>
      <c:spPr>
        <a:noFill/>
        <a:ln>
          <a:noFill/>
        </a:ln>
        <a:effectLst/>
      </c:spPr>
    </c:title>
    <c:autoTitleDeleted val="0"/>
    <c:plotArea>
      <c:layout>
        <c:manualLayout>
          <c:layoutTarget val="inner"/>
          <c:xMode val="edge"/>
          <c:yMode val="edge"/>
          <c:x val="0.105160075448458"/>
          <c:y val="0.13949192382987"/>
          <c:w val="0.861135657011946"/>
          <c:h val="0.703747193921602"/>
        </c:manualLayout>
      </c:layout>
      <c:barChart>
        <c:barDir val="col"/>
        <c:grouping val="stacked"/>
        <c:varyColors val="0"/>
        <c:ser>
          <c:idx val="0"/>
          <c:order val="0"/>
          <c:tx>
            <c:strRef>
              <c:f>Sheet1!$B$1</c:f>
              <c:strCache>
                <c:ptCount val="1"/>
                <c:pt idx="0">
                  <c:v>384.43万元</c:v>
                </c:pt>
              </c:strCache>
            </c:strRef>
          </c:tx>
          <c:spPr>
            <a:solidFill>
              <a:schemeClr val="accent1"/>
            </a:solidFill>
            <a:ln>
              <a:noFill/>
            </a:ln>
            <a:effectLst/>
          </c:spPr>
          <c:invertIfNegative val="0"/>
          <c:dLbls>
            <c:dLbl>
              <c:idx val="0"/>
              <c:layout>
                <c:manualLayout>
                  <c:x val="-0.00229638701775873"/>
                  <c:y val="-0.32972877149441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2020年</c:v>
                </c:pt>
                <c:pt idx="1">
                  <c:v>2021年</c:v>
                </c:pt>
              </c:strCache>
            </c:strRef>
          </c:cat>
          <c:val>
            <c:numRef>
              <c:f>Sheet1!$B$2:$B$4</c:f>
              <c:numCache>
                <c:formatCode>General</c:formatCode>
                <c:ptCount val="3"/>
                <c:pt idx="0">
                  <c:v>384.43</c:v>
                </c:pt>
              </c:numCache>
            </c:numRef>
          </c:val>
        </c:ser>
        <c:ser>
          <c:idx val="1"/>
          <c:order val="1"/>
          <c:tx>
            <c:strRef>
              <c:f>Sheet1!$C$1</c:f>
              <c:strCache>
                <c:ptCount val="1"/>
                <c:pt idx="0">
                  <c:v>432.86万元</c:v>
                </c:pt>
              </c:strCache>
            </c:strRef>
          </c:tx>
          <c:spPr>
            <a:solidFill>
              <a:schemeClr val="accent2"/>
            </a:solidFill>
            <a:ln>
              <a:noFill/>
            </a:ln>
            <a:effectLst/>
          </c:spPr>
          <c:invertIfNegative val="0"/>
          <c:dLbls>
            <c:dLbl>
              <c:idx val="1"/>
              <c:layout>
                <c:manualLayout>
                  <c:x val="-0.000756135368273179"/>
                  <c:y val="-0.354196100340401"/>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16463587418532"/>
                      <c:h val="0.0569023569023569"/>
                    </c:manualLayout>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2020年</c:v>
                </c:pt>
                <c:pt idx="1">
                  <c:v>2021年</c:v>
                </c:pt>
              </c:strCache>
            </c:strRef>
          </c:cat>
          <c:val>
            <c:numRef>
              <c:f>Sheet1!$C$2:$C$4</c:f>
              <c:numCache>
                <c:formatCode>General</c:formatCode>
                <c:ptCount val="3"/>
                <c:pt idx="1">
                  <c:v>432.86</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2020年</c:v>
                </c:pt>
                <c:pt idx="1">
                  <c:v>2021年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100"/>
        <c:axId val="355411456"/>
        <c:axId val="355412992"/>
      </c:barChart>
      <c:catAx>
        <c:axId val="3554114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55412992"/>
        <c:crosses val="autoZero"/>
        <c:auto val="1"/>
        <c:lblAlgn val="ctr"/>
        <c:lblOffset val="100"/>
        <c:noMultiLvlLbl val="0"/>
      </c:catAx>
      <c:valAx>
        <c:axId val="3554129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411456"/>
        <c:crosses val="autoZero"/>
        <c:crossBetween val="between"/>
      </c:valAx>
      <c:spPr>
        <a:noFill/>
        <a:ln>
          <a:noFill/>
        </a:ln>
        <a:effectLst/>
      </c:spPr>
    </c:plotArea>
    <c:plotVisOnly val="1"/>
    <c:dispBlanksAs val="gap"/>
    <c:showDLblsOverMax val="0"/>
    <c:extLst>
      <c:ext uri="{0b15fc19-7d7d-44ad-8c2d-2c3a37ce22c3}">
        <chartProps xmlns="https://web.wps.cn/et/2018/main" chartId="{f1118ea2-85f9-4076-a124-ca0d7ca76f9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列2</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54961349266733"/>
                  <c:y val="7.39195925276776e-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5875820989369"/>
                  <c:y val="0.0157058612367917"/>
                </c:manualLayout>
              </c:layout>
              <c:tx>
                <c:rich>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lang="en-US" altLang="zh-CN" sz="1200" u="none" strike="noStrike" cap="none" normalizeH="0">
                        <a:solidFill>
                          <a:schemeClr val="tx1">
                            <a:lumMod val="75000"/>
                            <a:lumOff val="25000"/>
                          </a:schemeClr>
                        </a:solidFill>
                        <a:uFill>
                          <a:solidFill>
                            <a:schemeClr val="tx1">
                              <a:lumMod val="75000"/>
                              <a:lumOff val="25000"/>
                            </a:schemeClr>
                          </a:solidFill>
                        </a:uFill>
                      </a:rPr>
                      <a:t>1.71%</a:t>
                    </a:r>
                    <a:endParaRPr lang="en-US" altLang="zh-CN" sz="1200" u="none" strike="noStrike" cap="none" normalizeH="0">
                      <a:solidFill>
                        <a:schemeClr val="tx1">
                          <a:lumMod val="75000"/>
                          <a:lumOff val="25000"/>
                        </a:schemeClr>
                      </a:solidFill>
                      <a:uFill>
                        <a:solidFill>
                          <a:schemeClr val="tx1">
                            <a:lumMod val="75000"/>
                            <a:lumOff val="25000"/>
                          </a:schemeClr>
                        </a:solidFill>
                      </a:uFill>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上年结转结余</c:v>
                </c:pt>
              </c:strCache>
            </c:strRef>
          </c:cat>
          <c:val>
            <c:numRef>
              <c:f>Sheet1!$B$2:$B$3</c:f>
              <c:numCache>
                <c:formatCode>0.00%</c:formatCode>
                <c:ptCount val="2"/>
                <c:pt idx="0">
                  <c:v>0.9829</c:v>
                </c:pt>
                <c:pt idx="1">
                  <c:v>0.0171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898416886543536"/>
          <c:y val="0.9119804400978"/>
          <c:w val="0.84802110817942"/>
          <c:h val="0.0684596577017115"/>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ad567c97-e66d-4d28-aa31-89fab69db9b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支出决算结构图</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dLbl>
              <c:idx val="0"/>
              <c:layout>
                <c:manualLayout>
                  <c:x val="0.266638767631764"/>
                  <c:y val="-0.10569224886784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sz="1200" b="1">
                        <a:solidFill>
                          <a:schemeClr val="tx1">
                            <a:lumMod val="75000"/>
                            <a:lumOff val="25000"/>
                          </a:schemeClr>
                        </a:solidFill>
                        <a:uFillTx/>
                      </a:rPr>
                      <a:t>86.92%</a:t>
                    </a:r>
                    <a:endParaRPr lang="en-US" altLang="zh-CN" sz="1200" b="1">
                      <a:solidFill>
                        <a:schemeClr val="tx1">
                          <a:lumMod val="75000"/>
                          <a:lumOff val="25000"/>
                        </a:schemeClr>
                      </a:solidFill>
                      <a:uFillTx/>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111875"/>
                      <c:h val="0.0481666666666667"/>
                    </c:manualLayout>
                  </c15:layout>
                </c:ext>
              </c:extLst>
            </c:dLbl>
            <c:dLbl>
              <c:idx val="1"/>
              <c:layout>
                <c:manualLayout>
                  <c:x val="-0.0653567465820161"/>
                  <c:y val="-0.039806223817331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sz="1200" b="1">
                        <a:solidFill>
                          <a:schemeClr val="tx1">
                            <a:lumMod val="75000"/>
                            <a:lumOff val="25000"/>
                          </a:schemeClr>
                        </a:solidFill>
                        <a:uFillTx/>
                      </a:rPr>
                      <a:t>13.08%</a:t>
                    </a:r>
                    <a:endParaRPr lang="en-US" altLang="zh-CN" sz="1200" b="1">
                      <a:solidFill>
                        <a:schemeClr val="tx1">
                          <a:lumMod val="75000"/>
                          <a:lumOff val="25000"/>
                        </a:schemeClr>
                      </a:solidFill>
                      <a:uFillTx/>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0.8692</c:v>
                </c:pt>
                <c:pt idx="1">
                  <c:v>0.1308</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651b4075-0500-464d-8f7c-c98cebda3b8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solidFill>
                  <a:schemeClr val="tx1">
                    <a:lumMod val="65000"/>
                    <a:lumOff val="35000"/>
                  </a:schemeClr>
                </a:solidFill>
                <a:uFillTx/>
              </a:rPr>
              <a:t>财政拨款收、支决算总计变动情况</a:t>
            </a:r>
            <a:endParaRPr lang="zh-CN" altLang="en-US" b="1">
              <a:solidFill>
                <a:schemeClr val="tx1">
                  <a:lumMod val="65000"/>
                  <a:lumOff val="35000"/>
                </a:schemeClr>
              </a:solidFill>
              <a:uFillTx/>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a:defRPr lang="zh-CN" sz="12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lang="en-US" altLang="zh-CN" sz="1200" b="1" u="none" strike="noStrike" cap="none" normalizeH="0">
                        <a:solidFill>
                          <a:schemeClr val="tx1">
                            <a:lumMod val="75000"/>
                            <a:lumOff val="25000"/>
                          </a:schemeClr>
                        </a:solidFill>
                        <a:uFill>
                          <a:solidFill>
                            <a:schemeClr val="tx1">
                              <a:lumMod val="75000"/>
                              <a:lumOff val="25000"/>
                            </a:schemeClr>
                          </a:solidFill>
                        </a:uFill>
                      </a:rPr>
                      <a:t>384.43</a:t>
                    </a:r>
                    <a:endParaRPr lang="en-US" altLang="zh-CN" sz="1200" b="1" u="none" strike="noStrike" cap="none" normalizeH="0">
                      <a:solidFill>
                        <a:schemeClr val="tx1">
                          <a:lumMod val="75000"/>
                          <a:lumOff val="25000"/>
                        </a:schemeClr>
                      </a:solidFill>
                      <a:uFill>
                        <a:solidFill>
                          <a:schemeClr val="tx1">
                            <a:lumMod val="75000"/>
                            <a:lumOff val="25000"/>
                          </a:schemeClr>
                        </a:solidFill>
                      </a:uFill>
                    </a:endParaRP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2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2020年</c:v>
                </c:pt>
                <c:pt idx="1">
                  <c:v>2021年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384.43</c:v>
                </c:pt>
                <c:pt idx="1">
                  <c:v>432.86</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1"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2020年</c:v>
                </c:pt>
                <c:pt idx="1">
                  <c:v>2021年</c:v>
                </c:pt>
              </c:strCache>
            </c:strRef>
          </c:cat>
          <c:val>
            <c:numRef>
              <c:extLst>
                <c:ext xmlns:c15="http://schemas.microsoft.com/office/drawing/2012/chart" uri="{02D57815-91ED-43cb-92C2-25804820EDAC}">
                  <c15:fullRef>
                    <c15:sqref>Sheet1!$C$2:$C$5</c15:sqref>
                  </c15:fullRef>
                </c:ext>
              </c:extLst>
              <c:f>Sheet1!$C$2:$C$3</c:f>
              <c:numCache>
                <c:formatCode>General</c:formatCode>
                <c:ptCount val="2"/>
                <c:pt idx="0">
                  <c:v>384.43</c:v>
                </c:pt>
                <c:pt idx="1">
                  <c:v>432.86</c:v>
                </c:pt>
              </c:numCache>
            </c:numRef>
          </c:val>
        </c:ser>
        <c:dLbls>
          <c:showLegendKey val="0"/>
          <c:showVal val="0"/>
          <c:showCatName val="0"/>
          <c:showSerName val="0"/>
          <c:showPercent val="0"/>
          <c:showBubbleSize val="0"/>
        </c:dLbls>
        <c:gapWidth val="219"/>
        <c:overlap val="-27"/>
        <c:axId val="356201984"/>
        <c:axId val="35620352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delete val="1"/>
                </c:dLbls>
                <c:cat>
                  <c:strRef>
                    <c:extLst>
                      <c:ext uri="{02D57815-91ED-43cb-92C2-25804820EDAC}">
                        <c15:fullRef>
                          <c15:sqref>Sheet1!$A$2:$A$5</c15:sqref>
                        </c15:fullRef>
                        <c15:formulaRef>
                          <c15:sqref>Sheet1!$A$2:$A$3</c15:sqref>
                        </c15:formulaRef>
                      </c:ext>
                    </c:extLst>
                    <c:strCache>
                      <c:ptCount val="2"/>
                      <c:pt idx="0">
                        <c:v>2020年</c:v>
                      </c:pt>
                      <c:pt idx="1">
                        <c:v>2021年</c:v>
                      </c:pt>
                    </c:strCache>
                  </c:strRef>
                </c:cat>
                <c:val>
                  <c:numRef>
                    <c:extLst>
                      <c:ext uri="{02D57815-91ED-43cb-92C2-25804820EDAC}">
                        <c15:fullRef>
                          <c15:sqref>Sheet1!$D$2:$D$5</c15:sqref>
                        </c15:fullRef>
                        <c15:formulaRef>
                          <c15:sqref>Sheet1!$D$2:$D$3</c15:sqref>
                        </c15:formulaRef>
                      </c:ext>
                    </c:extLst>
                    <c:numCache>
                      <c:formatCode>General</c:formatCode>
                      <c:ptCount val="2"/>
                      <c:pt idx="0">
                        <c:v>2</c:v>
                      </c:pt>
                      <c:pt idx="1">
                        <c:v>2</c:v>
                      </c:pt>
                    </c:numCache>
                  </c:numRef>
                </c:val>
              </c15:ser>
            </c15:filteredBarSeries>
          </c:ext>
        </c:extLst>
      </c:barChart>
      <c:catAx>
        <c:axId val="3562019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2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56203520"/>
        <c:crosses val="autoZero"/>
        <c:auto val="1"/>
        <c:lblAlgn val="ctr"/>
        <c:lblOffset val="100"/>
        <c:noMultiLvlLbl val="0"/>
      </c:catAx>
      <c:valAx>
        <c:axId val="3562035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620198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extLst>
      <c:ext uri="{0b15fc19-7d7d-44ad-8c2d-2c3a37ce22c3}">
        <chartProps xmlns="https://web.wps.cn/et/2018/main" chartId="{a4990028-7385-41c3-9d0b-817d2241eb3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56803926957235"/>
          <c:y val="0.00703640234017361"/>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936377602747244"/>
                  <c:y val="-0.007493991139397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49715381892925"/>
                  <c:y val="4.15838877822049e-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76071691917896"/>
                  <c:y val="-0.0128156531470865"/>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810906099424139"/>
                      <c:h val="0.0356735159817352"/>
                    </c:manualLayout>
                  </c15:layout>
                </c:ext>
              </c:extLst>
            </c:dLbl>
            <c:dLbl>
              <c:idx val="3"/>
              <c:layout>
                <c:manualLayout>
                  <c:x val="-0.0336901375214158"/>
                  <c:y val="-0.013600332805067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696004342516161"/>
                  <c:y val="-0.014075204817271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Sheet1!$A$2:$B$6</c:f>
              <c:multiLvlStrCache>
                <c:ptCount val="5"/>
                <c:lvl>
                  <c:pt idx="0">
                    <c:v>74.51%</c:v>
                  </c:pt>
                  <c:pt idx="1">
                    <c:v>12.73%</c:v>
                  </c:pt>
                  <c:pt idx="2">
                    <c:v>4.54%</c:v>
                  </c:pt>
                  <c:pt idx="3">
                    <c:v>6.84%</c:v>
                  </c:pt>
                  <c:pt idx="4">
                    <c:v>1.38%</c:v>
                  </c:pt>
                </c:lvl>
                <c:lvl>
                  <c:pt idx="0">
                    <c:v>一般公共服务支出</c:v>
                  </c:pt>
                  <c:pt idx="1">
                    <c:v>社会保障与就业支出</c:v>
                  </c:pt>
                  <c:pt idx="2">
                    <c:v>卫生健康支出</c:v>
                  </c:pt>
                  <c:pt idx="3">
                    <c:v>住房保障支出</c:v>
                  </c:pt>
                  <c:pt idx="4">
                    <c:v>其他支出</c:v>
                  </c:pt>
                </c:lvl>
              </c:multiLvlStrCache>
            </c:multiLvlStrRef>
          </c:cat>
          <c:val>
            <c:numRef>
              <c:f>Sheet1!$B$2:$B$6</c:f>
              <c:numCache>
                <c:formatCode>0.00%</c:formatCode>
                <c:ptCount val="5"/>
                <c:pt idx="0">
                  <c:v>0.7451</c:v>
                </c:pt>
                <c:pt idx="1">
                  <c:v>0.1273</c:v>
                </c:pt>
                <c:pt idx="2">
                  <c:v>0.0454</c:v>
                </c:pt>
                <c:pt idx="3">
                  <c:v>0.0684</c:v>
                </c:pt>
                <c:pt idx="4">
                  <c:v>0.0138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896f551b-af63-4063-a3c5-6d56fd72dca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spPr>
              <a:solidFill>
                <a:schemeClr val="accent1"/>
              </a:solidFill>
              <a:ln w="19050">
                <a:solidFill>
                  <a:schemeClr val="lt1"/>
                </a:solidFill>
              </a:ln>
              <a:effectLst/>
            </c:spPr>
          </c:dPt>
          <c:dLbls>
            <c:dLbl>
              <c:idx val="0"/>
              <c:layout>
                <c:manualLayout>
                  <c:x val="0.00749906285908478"/>
                  <c:y val="-0.7451002075272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1"/>
                <c:pt idx="0">
                  <c:v>公务接待费</c:v>
                </c:pt>
              </c:strCache>
            </c:strRef>
          </c:cat>
          <c:val>
            <c:numRef>
              <c:f>Sheet1!$B$2:$B$5</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81034d9-b1e7-4b02-9449-a6d73687f18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ae449ffe-b2b3-4bfe-a63a-82b132e2aab3</errorID>
      <errorWord>国家</errorWord>
      <group>L1_AI</group>
      <groupName>深度校对</groupName>
      <ability>L2_AI_Punc</ability>
      <abilityName>标点纠错</abilityName>
      <candidateList>
        <item>：国家</item>
      </candidateList>
      <explain/>
      <paraID>4973CAF8</paraID>
      <start>36</start>
      <end>38</end>
      <status>unmodified</status>
      <modifiedWord/>
      <trackRevisions>false</trackRevisions>
    </reviewItem>
    <reviewItem>
      <errorID>68b18be5-c62a-4e6e-8999-72b1cbe0cfdd</errorID>
      <errorWord>，</errorWord>
      <group>L1_AI</group>
      <groupName>深度校对</groupName>
      <ability>L2_AI_Punc</ability>
      <abilityName>标点纠错</abilityName>
      <candidateList>
        <item>、</item>
      </candidateList>
      <explain/>
      <paraID>4973CAF8</paraID>
      <start>224</start>
      <end>225</end>
      <status>unmodified</status>
      <modifiedWord/>
      <trackRevisions>false</trackRevisions>
    </reviewItem>
    <reviewItem>
      <errorID>ab1e2d53-6abb-4459-86b7-425cf0313bc1</errorID>
      <errorWord>基金资金、</errorWord>
      <group>L1_AI</group>
      <groupName>深度校对</groupName>
      <ability>L2_AI_Grammar</ability>
      <abilityName>语法纠错</abilityName>
      <candidateList>
        <item>基金</item>
      </candidateList>
      <explain/>
      <paraID>4973CAF8</paraID>
      <start>341</start>
      <end>346</end>
      <status>unmodified</status>
      <modifiedWord/>
      <trackRevisions>false</trackRevisions>
    </reviewItem>
    <reviewItem>
      <errorID>a004c3f6-5c27-40c7-a867-11d704a5feaf</errorID>
      <errorWord>资金的</errorWord>
      <group>L1_AI</group>
      <groupName>深度校对</groupName>
      <ability>L2_AI_Word</ability>
      <abilityName>字词纠错</abilityName>
      <candidateList>
        <item>的资金</item>
      </candidateList>
      <explain/>
      <paraID>4973CAF8</paraID>
      <start>346</start>
      <end>349</end>
      <status>unmodified</status>
      <modifiedWord/>
      <trackRevisions>false</trackRevisions>
    </reviewItem>
    <reviewItem>
      <errorID>76eb2931-44d0-4969-9094-e9a1225fd72a</errorID>
      <errorWord>、</errorWord>
      <group>L1_AI</group>
      <groupName>深度校对</groupName>
      <ability>L2_AI_Punc</ability>
      <abilityName>标点纠错</abilityName>
      <candidateList>
        <item>，</item>
      </candidateList>
      <explain/>
      <paraID>4FF73DEF</paraID>
      <start>33</start>
      <end>34</end>
      <status>unmodified</status>
      <modifiedWord/>
      <trackRevisions>false</trackRevisions>
    </reviewItem>
    <reviewItem>
      <errorID>bdbb07b2-bffc-4a39-b9c7-aa80a8eeaa54</errorID>
      <errorWord>安排</errorWord>
      <group>L1_AI</group>
      <groupName>深度校对</groupName>
      <ability>L2_AI_Word</ability>
      <abilityName>字词纠错</abilityName>
      <candidateList>
        <item>的安排</item>
      </candidateList>
      <explain/>
      <paraID>320A1105</paraID>
      <start>16</start>
      <end>18</end>
      <status>unmodified</status>
      <modifiedWord/>
      <trackRevisions>false</trackRevisions>
    </reviewItem>
    <reviewItem>
      <errorID>c4d1992d-77c7-45be-8c63-25340916eb02</errorID>
      <errorWord>审计</errorWord>
      <group>L1_AI</group>
      <groupName>深度校对</groupName>
      <ability>L2_AI_Word</ability>
      <abilityName>字词纠错</abilityName>
      <candidateList>
        <item>的审计</item>
      </candidateList>
      <explain/>
      <paraID>320A1105</paraID>
      <start>65</start>
      <end>67</end>
      <status>unmodified</status>
      <modifiedWord/>
      <trackRevisions>false</trackRevisions>
    </reviewItem>
    <reviewItem>
      <errorID>6731c168-3077-485a-99c3-8b9d04daa966</errorID>
      <errorWord>和</errorWord>
      <group>L1_AI</group>
      <groupName>深度校对</groupName>
      <ability>L2_AI_Grammar</ability>
      <abilityName>语法纠错</abilityName>
      <candidateList>
        <item>，以及对</item>
      </candidateList>
      <explain/>
      <paraID>320A1105</paraID>
      <start>67</start>
      <end>68</end>
      <status>unmodified</status>
      <modifiedWord/>
      <trackRevisions>false</trackRevisions>
    </reviewItem>
    <reviewItem>
      <errorID>612eeca1-7aac-4001-976f-2470568b4845</errorID>
      <errorWord>审计</errorWord>
      <group>L1_AI</group>
      <groupName>深度校对</groupName>
      <ability>L2_AI_Word</ability>
      <abilityName>字词纠错</abilityName>
      <candidateList>
        <item>的审计</item>
      </candidateList>
      <explain/>
      <paraID>320A1105</paraID>
      <start>95</start>
      <end>97</end>
      <status>unmodified</status>
      <modifiedWord/>
      <trackRevisions>false</trackRevisions>
    </reviewItem>
    <reviewItem>
      <errorID>c21fca16-aeb3-43a8-b368-df5d73f67f1f</errorID>
      <errorWord>审计</errorWord>
      <group>L1_AI</group>
      <groupName>深度校对</groupName>
      <ability>L2_AI_Word</ability>
      <abilityName>字词纠错</abilityName>
      <candidateList>
        <item>的审计</item>
      </candidateList>
      <explain/>
      <paraID>320A1105</paraID>
      <start>127</start>
      <end>129</end>
      <status>unmodified</status>
      <modifiedWord/>
      <trackRevisions>false</trackRevisions>
    </reviewItem>
    <reviewItem>
      <errorID>ca3873bd-bbe2-470b-9636-8b822fe2715f</errorID>
      <errorWord>和</errorWord>
      <group>L1_AI</group>
      <groupName>深度校对</groupName>
      <ability>L2_AI_Grammar</ability>
      <abilityName>语法纠错</abilityName>
      <candidateList>
        <item>，以及</item>
      </candidateList>
      <explain/>
      <paraID>320A1105</paraID>
      <start>129</start>
      <end>130</end>
      <status>unmodified</status>
      <modifiedWord/>
      <trackRevisions>false</trackRevisions>
    </reviewItem>
    <reviewItem>
      <errorID>74d6256a-2ec1-4c68-a1f9-ed9cb4ffd012</errorID>
      <errorWord>专项</errorWord>
      <group>L1_AI</group>
      <groupName>深度校对</groupName>
      <ability>L2_AI_Word</ability>
      <abilityName>字词纠错</abilityName>
      <candidateList>
        <item>的专项</item>
      </candidateList>
      <explain/>
      <paraID>320A1105</paraID>
      <start>147</start>
      <end>149</end>
      <status>unmodified</status>
      <modifiedWord/>
      <trackRevisions>false</trackRevisions>
    </reviewItem>
    <reviewItem>
      <errorID>f03dbd37-7321-406f-b9a0-008aadbe553c</errorID>
      <errorWord>调查</errorWord>
      <group>L1_AI</group>
      <groupName>深度校对</groupName>
      <ability>L2_AI_Grammar</ability>
      <abilityName>语法纠错</abilityName>
      <candidateList>
        <item>进行调查</item>
      </candidateList>
      <explain/>
      <paraID>320A1105</paraID>
      <start>222</start>
      <end>224</end>
      <status>unmodified</status>
      <modifiedWord/>
      <trackRevisions>false</trackRevisions>
    </reviewItem>
    <reviewItem>
      <errorID>4af2306a-8ecc-4734-b327-790ce813c817</errorID>
      <errorWord>专项</errorWord>
      <group>L1_AI</group>
      <groupName>深度校对</groupName>
      <ability>L2_AI_Word</ability>
      <abilityName>字词纠错</abilityName>
      <candidateList>
        <item>的专项</item>
      </candidateList>
      <explain/>
      <paraID>320A1105</paraID>
      <start>256</start>
      <end>258</end>
      <status>unmodified</status>
      <modifiedWord/>
      <trackRevisions>false</trackRevisions>
    </reviewItem>
    <reviewItem>
      <errorID>e6220f36-6bbd-4ad8-94b6-744266bcb0cd</errorID>
      <errorWord>圆满完成</errorWord>
      <group>L1_AI</group>
      <groupName>深度校对</groupName>
      <ability>L2_AI_Grammar</ability>
      <abilityName>语法纠错</abilityName>
      <candidateList>
        <item>我们圆满完成</item>
      </candidateList>
      <explain/>
      <paraID>681608F7</paraID>
      <start>24</start>
      <end>28</end>
      <status>unmodified</status>
      <modifiedWord/>
      <trackRevisions>false</trackRevisions>
    </reviewItem>
    <reviewItem>
      <errorID>1962c5f5-7ccb-462a-b328-ad34b8f651b1</errorID>
      <errorWord>项目</errorWord>
      <group>L1_AI</group>
      <groupName>深度校对</groupName>
      <ability>L2_AI_Word</ability>
      <abilityName>字词纠错</abilityName>
      <candidateList>
        <item>的项目</item>
      </candidateList>
      <explain/>
      <paraID>681608F7</paraID>
      <start>37</start>
      <end>39</end>
      <status>unmodified</status>
      <modifiedWord/>
      <trackRevisions>false</trackRevisions>
    </reviewItem>
    <reviewItem>
      <errorID>ca02ef35-7046-4c1d-99d4-371361d01277</errorID>
      <errorWord>总计各</errorWord>
      <group>L1_AI</group>
      <groupName>深度校对</groupName>
      <ability>L2_AI_Word</ability>
      <abilityName>字词纠错</abilityName>
      <candidateList>
        <item>总计</item>
      </candidateList>
      <explain/>
      <paraID> 6A7120B</paraID>
      <start>39</start>
      <end>42</end>
      <status>unmodified</status>
      <modifiedWord/>
      <trackRevisions>false</trackRevisions>
    </reviewItem>
    <reviewItem>
      <errorID>f54fa5ed-2977-4d7d-b1fe-43750f0baf67</errorID>
      <errorWord>用</errorWord>
      <group>L1_AI</group>
      <groupName>深度校对</groupName>
      <ability>L2_AI_Word</ability>
      <abilityName>字词纠错</abilityName>
      <candidateList>
        <item>从</item>
      </candidateList>
      <explain/>
      <paraID> 6A7120B</paraID>
      <start>93</start>
      <end>94</end>
      <status>unmodified</status>
      <modifiedWord/>
      <trackRevisions>false</trackRevisions>
    </reviewItem>
    <reviewItem>
      <errorID>213ab3f0-cde9-4bd1-8dbb-b1623f7fd035</errorID>
      <errorWord>﹝其中，基本工资、津贴补贴和奖金较上年度增加20.11万元，社保支出增加15.76万元（其中，退休人员职业年金记实增加6.54万元），住房公积金增加1.85万元﹞</errorWord>
      <group>L1_AI</group>
      <groupName>深度校对</groupName>
      <ability>L2_AI_Punc</ability>
      <abilityName>标点纠错</abilityName>
      <candidateList>
        <item>（其中，基本工资、津贴补贴和奖金较上年度增加20.11万元，社保支出增加15.76万元（其中，退休人员职业年金记实增加6.54万元），住房公积金增加1.85万元）</item>
      </candidateList>
      <explain/>
      <paraID> 6A7120B</paraID>
      <start>253</start>
      <end>334</end>
      <status>unmodified</status>
      <modifiedWord/>
      <trackRevisions>false</trackRevisions>
    </reviewItem>
    <reviewItem>
      <errorID>f5ee9f46-d02b-4e22-ab41-62dacb53c3d0</errorID>
      <errorWord>，</errorWord>
      <group>L1_AI</group>
      <groupName>深度校对</groupName>
      <ability>L2_AI_Punc</ability>
      <abilityName>标点纠错</abilityName>
      <candidateList>
        <item>。</item>
      </candidateList>
      <explain/>
      <paraID>26766895</paraID>
      <start>191</start>
      <end>192</end>
      <status>unmodified</status>
      <modifiedWord/>
      <trackRevisions>false</trackRevisions>
    </reviewItem>
    <reviewItem>
      <errorID>b9f5cc86-c0ca-4c48-ad1a-466a93e7a347</errorID>
      <errorWord>（</errorWord>
      <group>L1_Punc</group>
      <groupName>标点问题</groupName>
      <ability>L2_Punc</ability>
      <abilityName>标点符号检查</abilityName>
      <candidateList/>
      <explain>同一形式括号套用。</explain>
      <paraID> F898FF1</paraID>
      <start>16</start>
      <end>17</end>
      <status>unmodified</status>
      <modifiedWord/>
      <trackRevisions>false</trackRevisions>
    </reviewItem>
    <reviewItem>
      <errorID>37c11de0-aa8c-4ede-8f59-a366c5d5bfd0</errorID>
      <errorWord>）</errorWord>
      <group>L1_Punc</group>
      <groupName>标点问题</groupName>
      <ability>L2_Punc</ability>
      <abilityName>标点符号检查</abilityName>
      <candidateList/>
      <explain>同一形式括号套用。</explain>
      <paraID> F898FF1</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681342E0-9AE0-4202-A788-8A6234675E3B}">
  <ds:schemaRefs/>
</ds:datastoreItem>
</file>

<file path=customXml/itemProps2.xml><?xml version="1.0" encoding="utf-8"?>
<ds:datastoreItem xmlns:ds="http://schemas.openxmlformats.org/officeDocument/2006/customXml" ds:itemID="{94dcb595-a69c-43d6-9d9a-d349065b1c1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4533</Words>
  <Characters>4991</Characters>
  <Lines>131</Lines>
  <Paragraphs>37</Paragraphs>
  <TotalTime>91</TotalTime>
  <ScaleCrop>false</ScaleCrop>
  <LinksUpToDate>false</LinksUpToDate>
  <CharactersWithSpaces>5064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2022-10-18T13:55:00Z</dcterms:created>
  <dc:creator>曹颖</dc:creator>
  <cp:lastModifiedBy>ASUS</cp:lastModifiedBy>
  <cp:lastPrinted>2022-10-18T12:52:00Z</cp:lastPrinted>
  <dcterms:modified xsi:type="dcterms:W3CDTF">2025-12-31T03:28:52Z</dcterms:modified>
  <dc:title>四川省***</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654D6A26A79F47A9B348D9DA67C88051</vt:lpwstr>
  </property>
  <property fmtid="{D5CDD505-2E9C-101B-9397-08002B2CF9AE}" pid="4" name="KSOTemplateDocerSaveRecord">
    <vt:lpwstr>eyJoZGlkIjoiMjI2ZDc5MjNiZGFkZjk5OGMwNjI2ZTE2NTM2NGFjZjMiLCJ1c2VySWQiOiI0NDk3ODc5NjAifQ==</vt:lpwstr>
  </property>
</Properties>
</file>