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93"/>
        <w:jc w:val="center"/>
        <w:rPr>
          <w:rFonts w:hint="default" w:ascii="Times New Roman" w:hAnsi="Times New Roman" w:eastAsia="方正小标宋简体" w:cs="Times New Roman"/>
          <w:kern w:val="2"/>
          <w:sz w:val="44"/>
          <w:szCs w:val="44"/>
        </w:rPr>
      </w:pPr>
    </w:p>
    <w:p>
      <w:pPr>
        <w:pStyle w:val="2"/>
        <w:spacing w:before="93"/>
        <w:jc w:val="center"/>
        <w:rPr>
          <w:rFonts w:hint="default" w:ascii="Times New Roman" w:hAnsi="Times New Roman" w:eastAsia="方正小标宋简体" w:cs="Times New Roman"/>
          <w:kern w:val="2"/>
          <w:sz w:val="72"/>
          <w:szCs w:val="72"/>
        </w:rPr>
      </w:pPr>
    </w:p>
    <w:p>
      <w:pPr>
        <w:pStyle w:val="2"/>
        <w:spacing w:before="93"/>
        <w:jc w:val="center"/>
        <w:rPr>
          <w:rFonts w:hint="default" w:ascii="Times New Roman" w:hAnsi="Times New Roman" w:eastAsia="方正小标宋简体" w:cs="Times New Roman"/>
          <w:kern w:val="2"/>
          <w:sz w:val="72"/>
          <w:szCs w:val="72"/>
        </w:rPr>
      </w:pPr>
    </w:p>
    <w:p>
      <w:pPr>
        <w:pStyle w:val="2"/>
        <w:spacing w:before="93"/>
        <w:jc w:val="center"/>
        <w:rPr>
          <w:rFonts w:hint="default" w:ascii="Times New Roman" w:hAnsi="Times New Roman" w:eastAsia="方正小标宋简体" w:cs="Times New Roman"/>
          <w:kern w:val="2"/>
          <w:sz w:val="72"/>
          <w:szCs w:val="72"/>
        </w:rPr>
      </w:pPr>
    </w:p>
    <w:p>
      <w:pPr>
        <w:pStyle w:val="2"/>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方正小标宋简体" w:cs="Times New Roman"/>
          <w:kern w:val="2"/>
          <w:sz w:val="72"/>
          <w:szCs w:val="72"/>
        </w:rPr>
      </w:pPr>
      <w:r>
        <w:rPr>
          <w:rFonts w:hint="default" w:ascii="Times New Roman" w:hAnsi="Times New Roman" w:eastAsia="方正小标宋简体" w:cs="Times New Roman"/>
          <w:kern w:val="2"/>
          <w:sz w:val="72"/>
          <w:szCs w:val="72"/>
        </w:rPr>
        <w:t>202</w:t>
      </w:r>
      <w:r>
        <w:rPr>
          <w:rFonts w:hint="eastAsia" w:ascii="Times New Roman" w:hAnsi="Times New Roman" w:eastAsia="方正小标宋简体" w:cs="Times New Roman"/>
          <w:kern w:val="2"/>
          <w:sz w:val="72"/>
          <w:szCs w:val="72"/>
          <w:lang w:val="en-US" w:eastAsia="zh-CN"/>
        </w:rPr>
        <w:t>4</w:t>
      </w:r>
      <w:r>
        <w:rPr>
          <w:rFonts w:hint="default" w:ascii="Times New Roman" w:hAnsi="Times New Roman" w:eastAsia="方正小标宋简体" w:cs="Times New Roman"/>
          <w:kern w:val="2"/>
          <w:sz w:val="72"/>
          <w:szCs w:val="72"/>
        </w:rPr>
        <w:t>年度</w:t>
      </w:r>
    </w:p>
    <w:p>
      <w:pPr>
        <w:pStyle w:val="2"/>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eastAsia="方正小标宋简体" w:cs="Times New Roman"/>
          <w:kern w:val="2"/>
          <w:sz w:val="72"/>
          <w:szCs w:val="72"/>
          <w:lang w:val="en-US" w:eastAsia="zh-CN"/>
        </w:rPr>
      </w:pPr>
      <w:r>
        <w:rPr>
          <w:rFonts w:hint="default" w:ascii="Times New Roman" w:hAnsi="Times New Roman" w:eastAsia="方正小标宋简体" w:cs="Times New Roman"/>
          <w:kern w:val="2"/>
          <w:sz w:val="72"/>
          <w:szCs w:val="72"/>
        </w:rPr>
        <w:t>盐边县</w:t>
      </w:r>
      <w:r>
        <w:rPr>
          <w:rFonts w:hint="eastAsia" w:ascii="Times New Roman" w:hAnsi="Times New Roman" w:eastAsia="方正小标宋简体" w:cs="Times New Roman"/>
          <w:kern w:val="2"/>
          <w:sz w:val="72"/>
          <w:szCs w:val="72"/>
          <w:lang w:val="en-US" w:eastAsia="zh-CN"/>
        </w:rPr>
        <w:t>红宝苗族彝族乡</w:t>
      </w:r>
    </w:p>
    <w:p>
      <w:pPr>
        <w:pStyle w:val="2"/>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方正小标宋简体" w:cs="Times New Roman"/>
          <w:kern w:val="2"/>
          <w:sz w:val="72"/>
          <w:szCs w:val="72"/>
        </w:rPr>
      </w:pPr>
      <w:r>
        <w:rPr>
          <w:rFonts w:hint="default" w:ascii="Times New Roman" w:hAnsi="Times New Roman" w:eastAsia="方正小标宋简体" w:cs="Times New Roman"/>
          <w:kern w:val="2"/>
          <w:sz w:val="72"/>
          <w:szCs w:val="72"/>
          <w:lang w:val="en-US" w:eastAsia="zh-CN"/>
        </w:rPr>
        <w:t>人民政府</w:t>
      </w:r>
      <w:r>
        <w:rPr>
          <w:rFonts w:hint="default" w:ascii="Times New Roman" w:hAnsi="Times New Roman" w:eastAsia="方正小标宋简体" w:cs="Times New Roman"/>
          <w:kern w:val="2"/>
          <w:sz w:val="72"/>
          <w:szCs w:val="72"/>
        </w:rPr>
        <w:t>单位决算</w:t>
      </w:r>
    </w:p>
    <w:p>
      <w:pPr>
        <w:pStyle w:val="2"/>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方正小标宋简体" w:cs="Times New Roman"/>
          <w:kern w:val="2"/>
          <w:sz w:val="72"/>
          <w:szCs w:val="72"/>
        </w:rPr>
      </w:pPr>
      <w:r>
        <w:rPr>
          <w:rFonts w:hint="default" w:ascii="Times New Roman" w:hAnsi="Times New Roman" w:eastAsia="方正小标宋简体" w:cs="Times New Roman"/>
          <w:kern w:val="2"/>
          <w:sz w:val="72"/>
          <w:szCs w:val="72"/>
        </w:rPr>
        <w:t>公开编制说明</w:t>
      </w:r>
    </w:p>
    <w:p>
      <w:pPr>
        <w:spacing w:line="600" w:lineRule="exact"/>
        <w:jc w:val="center"/>
        <w:outlineLvl w:val="0"/>
        <w:rPr>
          <w:rFonts w:hint="default" w:ascii="Times New Roman" w:hAnsi="Times New Roman" w:eastAsia="方正小标宋简体" w:cs="Times New Roman"/>
          <w:sz w:val="72"/>
          <w:szCs w:val="72"/>
        </w:rPr>
      </w:pPr>
    </w:p>
    <w:p>
      <w:pPr>
        <w:pStyle w:val="21"/>
        <w:rPr>
          <w:rFonts w:hint="default" w:ascii="Times New Roman" w:hAnsi="Times New Roman" w:cs="Times New Roman"/>
        </w:rPr>
        <w:sectPr>
          <w:headerReference r:id="rId3" w:type="default"/>
          <w:footerReference r:id="rId4" w:type="default"/>
          <w:pgSz w:w="11906" w:h="16838"/>
          <w:pgMar w:top="1440" w:right="1800" w:bottom="1440" w:left="1800" w:header="851" w:footer="992" w:gutter="0"/>
          <w:pgNumType w:fmt="numberInDash" w:start="1"/>
          <w:cols w:space="425" w:num="1"/>
          <w:titlePg/>
          <w:docGrid w:type="lines" w:linePitch="312" w:charSpace="0"/>
        </w:sectPr>
      </w:pPr>
    </w:p>
    <w:p>
      <w:pPr>
        <w:rPr>
          <w:rFonts w:hint="default" w:ascii="Times New Roman" w:hAnsi="Times New Roman" w:cs="Times New Roman"/>
        </w:rPr>
      </w:pPr>
    </w:p>
    <w:sdt>
      <w:sdtPr>
        <w:rPr>
          <w:rFonts w:hint="eastAsia" w:ascii="Times New Roman" w:hAnsi="Times New Roman" w:eastAsia="黑体" w:cs="Times New Roman"/>
          <w:sz w:val="48"/>
          <w:szCs w:val="48"/>
          <w:lang w:val="en-US" w:eastAsia="zh-CN"/>
        </w:rPr>
        <w:id w:val="147479226"/>
        <w:docPartObj>
          <w:docPartGallery w:val="Table of Contents"/>
          <w:docPartUnique/>
        </w:docPartObj>
      </w:sdtPr>
      <w:sdtEndPr>
        <w:rPr>
          <w:rFonts w:hint="eastAsia" w:ascii="方正仿宋_GBK" w:hAnsi="方正仿宋_GBK" w:eastAsia="方正仿宋_GBK" w:cs="方正仿宋_GBK"/>
          <w:kern w:val="2"/>
          <w:sz w:val="24"/>
          <w:szCs w:val="24"/>
          <w:lang w:val="en-US" w:eastAsia="zh-CN" w:bidi="ar-SA"/>
        </w:rPr>
      </w:sdtEndPr>
      <w:sdtContent>
        <w:p>
          <w:pPr>
            <w:widowControl/>
            <w:jc w:val="center"/>
            <w:rPr>
              <w:rFonts w:hint="eastAsia" w:ascii="Times New Roman" w:hAnsi="Times New Roman" w:eastAsia="黑体" w:cs="Times New Roman"/>
              <w:sz w:val="48"/>
              <w:szCs w:val="48"/>
            </w:rPr>
          </w:pPr>
          <w:bookmarkStart w:id="0" w:name="_Toc16376_WPSOffice_Type2"/>
          <w:r>
            <w:rPr>
              <w:rFonts w:hint="eastAsia" w:ascii="Times New Roman" w:hAnsi="Times New Roman" w:eastAsia="黑体" w:cs="Times New Roman"/>
              <w:sz w:val="48"/>
              <w:szCs w:val="48"/>
            </w:rPr>
            <w:t>目录</w:t>
          </w:r>
        </w:p>
        <w:p>
          <w:pPr>
            <w:widowControl/>
            <w:jc w:val="center"/>
            <w:rPr>
              <w:rFonts w:hint="eastAsia" w:ascii="Times New Roman" w:hAnsi="Times New Roman" w:eastAsia="黑体" w:cstheme="minorBidi"/>
              <w:sz w:val="28"/>
              <w:szCs w:val="28"/>
            </w:rPr>
          </w:pPr>
          <w:bookmarkStart w:id="87" w:name="_GoBack"/>
          <w:bookmarkEnd w:id="87"/>
        </w:p>
        <w:p>
          <w:pPr>
            <w:pStyle w:val="14"/>
            <w:keepNext w:val="0"/>
            <w:keepLines w:val="0"/>
            <w:pageBreakBefore w:val="0"/>
            <w:widowControl w:val="0"/>
            <w:kinsoku/>
            <w:wordWrap/>
            <w:overflowPunct/>
            <w:topLinePunct w:val="0"/>
            <w:autoSpaceDE/>
            <w:autoSpaceDN/>
            <w:bidi w:val="0"/>
            <w:adjustRightInd/>
            <w:snapToGrid/>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公开时间：2025年</w:t>
          </w:r>
          <w:r>
            <w:rPr>
              <w:rFonts w:hint="eastAsia" w:ascii="Times New Roman" w:hAnsi="Times New Roman" w:eastAsia="仿宋_GB2312" w:cs="仿宋_GB2312"/>
              <w:sz w:val="32"/>
              <w:szCs w:val="32"/>
              <w:lang w:val="en-US" w:eastAsia="zh-CN"/>
            </w:rPr>
            <w:t>12</w:t>
          </w:r>
          <w:r>
            <w:rPr>
              <w:rFonts w:hint="eastAsia" w:ascii="Times New Roman" w:hAnsi="Times New Roman" w:eastAsia="仿宋_GB2312" w:cs="仿宋_GB2312"/>
              <w:sz w:val="32"/>
              <w:szCs w:val="32"/>
            </w:rPr>
            <w:t>月</w:t>
          </w:r>
          <w:r>
            <w:rPr>
              <w:rFonts w:hint="eastAsia" w:ascii="Times New Roman" w:hAnsi="Times New Roman" w:eastAsia="仿宋_GB2312" w:cs="仿宋_GB2312"/>
              <w:sz w:val="32"/>
              <w:szCs w:val="32"/>
              <w:lang w:val="en-US" w:eastAsia="zh-CN"/>
            </w:rPr>
            <w:t>10</w:t>
          </w:r>
          <w:r>
            <w:rPr>
              <w:rFonts w:hint="eastAsia" w:ascii="Times New Roman" w:hAnsi="Times New Roman" w:eastAsia="仿宋_GB2312" w:cs="仿宋_GB2312"/>
              <w:sz w:val="32"/>
              <w:szCs w:val="32"/>
            </w:rPr>
            <w:t>日</w:t>
          </w:r>
        </w:p>
        <w:p>
          <w:pPr>
            <w:rPr>
              <w:rFonts w:hint="eastAsia"/>
            </w:rPr>
          </w:pPr>
        </w:p>
        <w:p>
          <w:pPr>
            <w:pStyle w:val="37"/>
            <w:keepNext w:val="0"/>
            <w:keepLines w:val="0"/>
            <w:pageBreakBefore w:val="0"/>
            <w:tabs>
              <w:tab w:val="right" w:leader="dot" w:pos="8306"/>
            </w:tabs>
            <w:kinsoku/>
            <w:wordWrap/>
            <w:overflowPunct/>
            <w:topLinePunct w:val="0"/>
            <w:autoSpaceDE/>
            <w:autoSpaceDN/>
            <w:bidi w:val="0"/>
            <w:adjustRightInd/>
            <w:snapToGrid/>
            <w:spacing w:line="240" w:lineRule="auto"/>
            <w:textAlignment w:val="auto"/>
            <w:rPr>
              <w:rFonts w:hint="eastAsia" w:ascii="方正仿宋_GBK" w:hAnsi="方正仿宋_GBK" w:eastAsia="方正仿宋_GBK" w:cs="方正仿宋_GBK"/>
              <w:b/>
              <w:bCs/>
              <w:sz w:val="28"/>
              <w:szCs w:val="28"/>
            </w:rPr>
          </w:pPr>
          <w:r>
            <w:rPr>
              <w:rFonts w:hint="eastAsia" w:ascii="方正仿宋_GBK" w:hAnsi="方正仿宋_GBK" w:eastAsia="方正仿宋_GBK" w:cs="方正仿宋_GBK"/>
              <w:b/>
              <w:bCs/>
              <w:sz w:val="28"/>
              <w:szCs w:val="28"/>
            </w:rPr>
            <w:fldChar w:fldCharType="begin"/>
          </w:r>
          <w:r>
            <w:rPr>
              <w:rFonts w:hint="eastAsia" w:ascii="方正仿宋_GBK" w:hAnsi="方正仿宋_GBK" w:eastAsia="方正仿宋_GBK" w:cs="方正仿宋_GBK"/>
              <w:b/>
              <w:bCs/>
              <w:sz w:val="28"/>
              <w:szCs w:val="28"/>
            </w:rPr>
            <w:instrText xml:space="preserve"> HYPERLINK \l _Toc20825_WPSOffice_Level1 </w:instrText>
          </w:r>
          <w:r>
            <w:rPr>
              <w:rFonts w:hint="eastAsia" w:ascii="方正仿宋_GBK" w:hAnsi="方正仿宋_GBK" w:eastAsia="方正仿宋_GBK" w:cs="方正仿宋_GBK"/>
              <w:b/>
              <w:bCs/>
              <w:sz w:val="28"/>
              <w:szCs w:val="28"/>
            </w:rPr>
            <w:fldChar w:fldCharType="separate"/>
          </w:r>
          <w:sdt>
            <w:sdtPr>
              <w:rPr>
                <w:rFonts w:hint="eastAsia" w:ascii="方正仿宋_GBK" w:hAnsi="方正仿宋_GBK" w:eastAsia="方正仿宋_GBK" w:cs="方正仿宋_GBK"/>
                <w:b/>
                <w:bCs/>
                <w:sz w:val="28"/>
                <w:szCs w:val="28"/>
                <w:lang w:val="en-US" w:eastAsia="zh-CN"/>
              </w:rPr>
              <w:id w:val="147451827"/>
              <w:placeholder>
                <w:docPart w:val="{70ef65b1-90b1-4840-b90b-3d2a1dd029db}"/>
              </w:placeholder>
            </w:sdtPr>
            <w:sdtEndPr>
              <w:rPr>
                <w:rFonts w:hint="eastAsia" w:ascii="方正仿宋_GBK" w:hAnsi="方正仿宋_GBK" w:eastAsia="方正仿宋_GBK" w:cs="方正仿宋_GBK"/>
                <w:b w:val="0"/>
                <w:bCs w:val="0"/>
                <w:sz w:val="28"/>
                <w:szCs w:val="28"/>
                <w:lang w:val="en-US" w:eastAsia="zh-CN"/>
              </w:rPr>
            </w:sdtEndPr>
            <w:sdtContent>
              <w:r>
                <w:rPr>
                  <w:rFonts w:hint="eastAsia" w:ascii="方正仿宋_GBK" w:hAnsi="方正仿宋_GBK" w:eastAsia="方正仿宋_GBK" w:cs="方正仿宋_GBK"/>
                  <w:b/>
                  <w:bCs/>
                  <w:sz w:val="28"/>
                  <w:szCs w:val="28"/>
                </w:rPr>
                <w:t>第一部分 单位概况</w:t>
              </w:r>
            </w:sdtContent>
          </w:sdt>
          <w:r>
            <w:rPr>
              <w:rFonts w:hint="eastAsia" w:ascii="方正仿宋_GBK" w:hAnsi="方正仿宋_GBK" w:eastAsia="方正仿宋_GBK" w:cs="方正仿宋_GBK"/>
              <w:b w:val="0"/>
              <w:bCs w:val="0"/>
              <w:sz w:val="28"/>
              <w:szCs w:val="28"/>
            </w:rPr>
            <w:tab/>
          </w:r>
          <w:r>
            <w:rPr>
              <w:rFonts w:hint="eastAsia" w:ascii="方正仿宋_GBK" w:hAnsi="方正仿宋_GBK" w:eastAsia="方正仿宋_GBK" w:cs="方正仿宋_GBK"/>
              <w:sz w:val="24"/>
              <w:szCs w:val="24"/>
              <w:lang w:val="en-US" w:eastAsia="zh-CN"/>
            </w:rPr>
            <w:t>3</w:t>
          </w:r>
          <w:r>
            <w:rPr>
              <w:rFonts w:hint="eastAsia" w:ascii="方正仿宋_GBK" w:hAnsi="方正仿宋_GBK" w:eastAsia="方正仿宋_GBK" w:cs="方正仿宋_GBK"/>
              <w:b/>
              <w:bCs/>
              <w:sz w:val="28"/>
              <w:szCs w:val="28"/>
            </w:rPr>
            <w:fldChar w:fldCharType="end"/>
          </w:r>
        </w:p>
        <w:p>
          <w:pPr>
            <w:pStyle w:val="38"/>
            <w:keepNext w:val="0"/>
            <w:keepLines w:val="0"/>
            <w:pageBreakBefore w:val="0"/>
            <w:tabs>
              <w:tab w:val="right" w:leader="dot" w:pos="8306"/>
            </w:tabs>
            <w:kinsoku/>
            <w:wordWrap/>
            <w:overflowPunct/>
            <w:topLinePunct w:val="0"/>
            <w:autoSpaceDE/>
            <w:autoSpaceDN/>
            <w:bidi w:val="0"/>
            <w:adjustRightInd/>
            <w:snapToGrid/>
            <w:spacing w:line="240" w:lineRule="auto"/>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fldChar w:fldCharType="begin"/>
          </w:r>
          <w:r>
            <w:rPr>
              <w:rFonts w:hint="eastAsia" w:ascii="方正仿宋_GBK" w:hAnsi="方正仿宋_GBK" w:eastAsia="方正仿宋_GBK" w:cs="方正仿宋_GBK"/>
              <w:sz w:val="24"/>
              <w:szCs w:val="24"/>
            </w:rPr>
            <w:instrText xml:space="preserve"> HYPERLINK \l _Toc16376_WPSOffice_Level2 </w:instrText>
          </w:r>
          <w:r>
            <w:rPr>
              <w:rFonts w:hint="eastAsia" w:ascii="方正仿宋_GBK" w:hAnsi="方正仿宋_GBK" w:eastAsia="方正仿宋_GBK" w:cs="方正仿宋_GBK"/>
              <w:sz w:val="24"/>
              <w:szCs w:val="24"/>
            </w:rPr>
            <w:fldChar w:fldCharType="separate"/>
          </w:r>
          <w:sdt>
            <w:sdtPr>
              <w:rPr>
                <w:rFonts w:hint="eastAsia" w:ascii="方正仿宋_GBK" w:hAnsi="方正仿宋_GBK" w:eastAsia="方正仿宋_GBK" w:cs="方正仿宋_GBK"/>
                <w:kern w:val="2"/>
                <w:sz w:val="24"/>
                <w:szCs w:val="24"/>
                <w:lang w:val="en-US" w:eastAsia="zh-CN" w:bidi="ar-SA"/>
              </w:rPr>
              <w:id w:val="147471372"/>
              <w:placeholder>
                <w:docPart w:val="{5f639bb1-02eb-47bb-93de-6cbac8a0ecec}"/>
              </w:placeholder>
            </w:sdtPr>
            <w:sdtEndPr>
              <w:rPr>
                <w:rFonts w:hint="eastAsia" w:ascii="方正仿宋_GBK" w:hAnsi="方正仿宋_GBK" w:eastAsia="方正仿宋_GBK" w:cs="方正仿宋_GBK"/>
                <w:kern w:val="2"/>
                <w:sz w:val="24"/>
                <w:szCs w:val="24"/>
                <w:lang w:val="en-US" w:eastAsia="zh-CN" w:bidi="ar-SA"/>
              </w:rPr>
            </w:sdtEndPr>
            <w:sdtContent>
              <w:r>
                <w:rPr>
                  <w:rFonts w:hint="eastAsia" w:ascii="方正仿宋_GBK" w:hAnsi="方正仿宋_GBK" w:eastAsia="方正仿宋_GBK" w:cs="方正仿宋_GBK"/>
                  <w:sz w:val="24"/>
                  <w:szCs w:val="24"/>
                </w:rPr>
                <w:t>一、主要职责</w:t>
              </w:r>
            </w:sdtContent>
          </w:sdt>
          <w:r>
            <w:rPr>
              <w:rFonts w:hint="eastAsia" w:ascii="方正仿宋_GBK" w:hAnsi="方正仿宋_GBK" w:eastAsia="方正仿宋_GBK" w:cs="方正仿宋_GBK"/>
              <w:sz w:val="24"/>
              <w:szCs w:val="24"/>
            </w:rPr>
            <w:tab/>
          </w:r>
          <w:r>
            <w:rPr>
              <w:rFonts w:hint="eastAsia" w:ascii="方正仿宋_GBK" w:hAnsi="方正仿宋_GBK" w:eastAsia="方正仿宋_GBK" w:cs="方正仿宋_GBK"/>
              <w:sz w:val="24"/>
              <w:szCs w:val="24"/>
              <w:lang w:val="en-US" w:eastAsia="zh-CN"/>
            </w:rPr>
            <w:t>3</w:t>
          </w:r>
          <w:r>
            <w:rPr>
              <w:rFonts w:hint="eastAsia" w:ascii="方正仿宋_GBK" w:hAnsi="方正仿宋_GBK" w:eastAsia="方正仿宋_GBK" w:cs="方正仿宋_GBK"/>
              <w:sz w:val="24"/>
              <w:szCs w:val="24"/>
            </w:rPr>
            <w:fldChar w:fldCharType="end"/>
          </w:r>
        </w:p>
        <w:p>
          <w:pPr>
            <w:pStyle w:val="38"/>
            <w:keepNext w:val="0"/>
            <w:keepLines w:val="0"/>
            <w:pageBreakBefore w:val="0"/>
            <w:tabs>
              <w:tab w:val="right" w:leader="dot" w:pos="8306"/>
            </w:tabs>
            <w:kinsoku/>
            <w:wordWrap/>
            <w:overflowPunct/>
            <w:topLinePunct w:val="0"/>
            <w:autoSpaceDE/>
            <w:autoSpaceDN/>
            <w:bidi w:val="0"/>
            <w:adjustRightInd/>
            <w:snapToGrid/>
            <w:spacing w:line="240" w:lineRule="auto"/>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fldChar w:fldCharType="begin"/>
          </w:r>
          <w:r>
            <w:rPr>
              <w:rFonts w:hint="eastAsia" w:ascii="方正仿宋_GBK" w:hAnsi="方正仿宋_GBK" w:eastAsia="方正仿宋_GBK" w:cs="方正仿宋_GBK"/>
              <w:sz w:val="24"/>
              <w:szCs w:val="24"/>
            </w:rPr>
            <w:instrText xml:space="preserve"> HYPERLINK \l _Toc31066_WPSOffice_Level2 </w:instrText>
          </w:r>
          <w:r>
            <w:rPr>
              <w:rFonts w:hint="eastAsia" w:ascii="方正仿宋_GBK" w:hAnsi="方正仿宋_GBK" w:eastAsia="方正仿宋_GBK" w:cs="方正仿宋_GBK"/>
              <w:sz w:val="24"/>
              <w:szCs w:val="24"/>
            </w:rPr>
            <w:fldChar w:fldCharType="separate"/>
          </w:r>
          <w:sdt>
            <w:sdtPr>
              <w:rPr>
                <w:rFonts w:hint="eastAsia" w:ascii="方正仿宋_GBK" w:hAnsi="方正仿宋_GBK" w:eastAsia="方正仿宋_GBK" w:cs="方正仿宋_GBK"/>
                <w:kern w:val="2"/>
                <w:sz w:val="24"/>
                <w:szCs w:val="24"/>
                <w:lang w:val="en-US" w:eastAsia="zh-CN" w:bidi="ar-SA"/>
              </w:rPr>
              <w:id w:val="147462878"/>
              <w:placeholder>
                <w:docPart w:val="{2871d88a-e227-40c1-b0ed-d869dee1ddc4}"/>
              </w:placeholder>
            </w:sdtPr>
            <w:sdtEndPr>
              <w:rPr>
                <w:rFonts w:hint="eastAsia" w:ascii="方正仿宋_GBK" w:hAnsi="方正仿宋_GBK" w:eastAsia="方正仿宋_GBK" w:cs="方正仿宋_GBK"/>
                <w:kern w:val="2"/>
                <w:sz w:val="24"/>
                <w:szCs w:val="24"/>
                <w:lang w:val="en-US" w:eastAsia="zh-CN" w:bidi="ar-SA"/>
              </w:rPr>
            </w:sdtEndPr>
            <w:sdtContent>
              <w:r>
                <w:rPr>
                  <w:rFonts w:hint="eastAsia" w:ascii="方正仿宋_GBK" w:hAnsi="方正仿宋_GBK" w:eastAsia="方正仿宋_GBK" w:cs="方正仿宋_GBK"/>
                  <w:sz w:val="24"/>
                  <w:szCs w:val="24"/>
                </w:rPr>
                <w:t>二、机构设置</w:t>
              </w:r>
            </w:sdtContent>
          </w:sdt>
          <w:r>
            <w:rPr>
              <w:rFonts w:hint="eastAsia" w:ascii="方正仿宋_GBK" w:hAnsi="方正仿宋_GBK" w:eastAsia="方正仿宋_GBK" w:cs="方正仿宋_GBK"/>
              <w:sz w:val="24"/>
              <w:szCs w:val="24"/>
            </w:rPr>
            <w:tab/>
          </w:r>
          <w:r>
            <w:rPr>
              <w:rFonts w:hint="eastAsia" w:ascii="方正仿宋_GBK" w:hAnsi="方正仿宋_GBK" w:eastAsia="方正仿宋_GBK" w:cs="方正仿宋_GBK"/>
              <w:sz w:val="24"/>
              <w:szCs w:val="24"/>
              <w:lang w:val="en-US" w:eastAsia="zh-CN"/>
            </w:rPr>
            <w:t>4</w:t>
          </w:r>
          <w:r>
            <w:rPr>
              <w:rFonts w:hint="eastAsia" w:ascii="方正仿宋_GBK" w:hAnsi="方正仿宋_GBK" w:eastAsia="方正仿宋_GBK" w:cs="方正仿宋_GBK"/>
              <w:sz w:val="24"/>
              <w:szCs w:val="24"/>
            </w:rPr>
            <w:fldChar w:fldCharType="end"/>
          </w:r>
        </w:p>
        <w:p>
          <w:pPr>
            <w:pStyle w:val="37"/>
            <w:keepNext w:val="0"/>
            <w:keepLines w:val="0"/>
            <w:pageBreakBefore w:val="0"/>
            <w:tabs>
              <w:tab w:val="right" w:leader="dot" w:pos="8306"/>
            </w:tabs>
            <w:kinsoku/>
            <w:wordWrap/>
            <w:overflowPunct/>
            <w:topLinePunct w:val="0"/>
            <w:autoSpaceDE/>
            <w:autoSpaceDN/>
            <w:bidi w:val="0"/>
            <w:adjustRightInd/>
            <w:snapToGrid/>
            <w:spacing w:line="240" w:lineRule="auto"/>
            <w:textAlignment w:val="auto"/>
            <w:rPr>
              <w:rFonts w:hint="eastAsia" w:ascii="方正仿宋_GBK" w:hAnsi="方正仿宋_GBK" w:eastAsia="方正仿宋_GBK" w:cs="方正仿宋_GBK"/>
              <w:b/>
              <w:bCs/>
              <w:sz w:val="28"/>
              <w:szCs w:val="28"/>
            </w:rPr>
          </w:pPr>
          <w:r>
            <w:rPr>
              <w:rFonts w:hint="eastAsia" w:ascii="方正仿宋_GBK" w:hAnsi="方正仿宋_GBK" w:eastAsia="方正仿宋_GBK" w:cs="方正仿宋_GBK"/>
              <w:b/>
              <w:bCs/>
              <w:sz w:val="28"/>
              <w:szCs w:val="28"/>
            </w:rPr>
            <w:fldChar w:fldCharType="begin"/>
          </w:r>
          <w:r>
            <w:rPr>
              <w:rFonts w:hint="eastAsia" w:ascii="方正仿宋_GBK" w:hAnsi="方正仿宋_GBK" w:eastAsia="方正仿宋_GBK" w:cs="方正仿宋_GBK"/>
              <w:b/>
              <w:bCs/>
              <w:sz w:val="28"/>
              <w:szCs w:val="28"/>
            </w:rPr>
            <w:instrText xml:space="preserve"> HYPERLINK \l _Toc16376_WPSOffice_Level1 </w:instrText>
          </w:r>
          <w:r>
            <w:rPr>
              <w:rFonts w:hint="eastAsia" w:ascii="方正仿宋_GBK" w:hAnsi="方正仿宋_GBK" w:eastAsia="方正仿宋_GBK" w:cs="方正仿宋_GBK"/>
              <w:b/>
              <w:bCs/>
              <w:sz w:val="28"/>
              <w:szCs w:val="28"/>
            </w:rPr>
            <w:fldChar w:fldCharType="separate"/>
          </w:r>
          <w:sdt>
            <w:sdtPr>
              <w:rPr>
                <w:rFonts w:hint="eastAsia" w:ascii="方正仿宋_GBK" w:hAnsi="方正仿宋_GBK" w:eastAsia="方正仿宋_GBK" w:cs="方正仿宋_GBK"/>
                <w:b/>
                <w:bCs/>
                <w:sz w:val="28"/>
                <w:szCs w:val="28"/>
                <w:lang w:val="en-US" w:eastAsia="zh-CN"/>
              </w:rPr>
              <w:id w:val="147472294"/>
              <w:placeholder>
                <w:docPart w:val="{9359373c-8353-4646-a120-388132dfe0ad}"/>
              </w:placeholder>
            </w:sdtPr>
            <w:sdtEndPr>
              <w:rPr>
                <w:rFonts w:hint="eastAsia" w:ascii="方正仿宋_GBK" w:hAnsi="方正仿宋_GBK" w:eastAsia="方正仿宋_GBK" w:cs="方正仿宋_GBK"/>
                <w:b w:val="0"/>
                <w:bCs w:val="0"/>
                <w:sz w:val="28"/>
                <w:szCs w:val="28"/>
                <w:lang w:val="en-US" w:eastAsia="zh-CN"/>
              </w:rPr>
            </w:sdtEndPr>
            <w:sdtContent>
              <w:r>
                <w:rPr>
                  <w:rFonts w:hint="eastAsia" w:ascii="方正仿宋_GBK" w:hAnsi="方正仿宋_GBK" w:eastAsia="方正仿宋_GBK" w:cs="方正仿宋_GBK"/>
                  <w:b/>
                  <w:bCs/>
                  <w:sz w:val="28"/>
                  <w:szCs w:val="28"/>
                </w:rPr>
                <w:t>第二部分 2024年度部门决算情况说明</w:t>
              </w:r>
            </w:sdtContent>
          </w:sdt>
          <w:r>
            <w:rPr>
              <w:rFonts w:hint="eastAsia" w:ascii="方正仿宋_GBK" w:hAnsi="方正仿宋_GBK" w:eastAsia="方正仿宋_GBK" w:cs="方正仿宋_GBK"/>
              <w:b w:val="0"/>
              <w:bCs w:val="0"/>
              <w:sz w:val="28"/>
              <w:szCs w:val="28"/>
            </w:rPr>
            <w:tab/>
          </w:r>
          <w:bookmarkStart w:id="1" w:name="_Toc16376_WPSOffice_Level1Page"/>
          <w:r>
            <w:rPr>
              <w:rFonts w:hint="eastAsia" w:ascii="方正仿宋_GBK" w:hAnsi="方正仿宋_GBK" w:eastAsia="方正仿宋_GBK" w:cs="方正仿宋_GBK"/>
              <w:sz w:val="24"/>
              <w:szCs w:val="24"/>
            </w:rPr>
            <w:t>5</w:t>
          </w:r>
          <w:bookmarkEnd w:id="1"/>
          <w:r>
            <w:rPr>
              <w:rFonts w:hint="eastAsia" w:ascii="方正仿宋_GBK" w:hAnsi="方正仿宋_GBK" w:eastAsia="方正仿宋_GBK" w:cs="方正仿宋_GBK"/>
              <w:b/>
              <w:bCs/>
              <w:sz w:val="28"/>
              <w:szCs w:val="28"/>
            </w:rPr>
            <w:fldChar w:fldCharType="end"/>
          </w:r>
        </w:p>
        <w:p>
          <w:pPr>
            <w:pStyle w:val="38"/>
            <w:keepNext w:val="0"/>
            <w:keepLines w:val="0"/>
            <w:pageBreakBefore w:val="0"/>
            <w:tabs>
              <w:tab w:val="right" w:leader="dot" w:pos="8306"/>
            </w:tabs>
            <w:kinsoku/>
            <w:wordWrap/>
            <w:overflowPunct/>
            <w:topLinePunct w:val="0"/>
            <w:autoSpaceDE/>
            <w:autoSpaceDN/>
            <w:bidi w:val="0"/>
            <w:adjustRightInd/>
            <w:snapToGrid/>
            <w:spacing w:line="240" w:lineRule="auto"/>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fldChar w:fldCharType="begin"/>
          </w:r>
          <w:r>
            <w:rPr>
              <w:rFonts w:hint="eastAsia" w:ascii="方正仿宋_GBK" w:hAnsi="方正仿宋_GBK" w:eastAsia="方正仿宋_GBK" w:cs="方正仿宋_GBK"/>
              <w:sz w:val="24"/>
              <w:szCs w:val="24"/>
            </w:rPr>
            <w:instrText xml:space="preserve"> HYPERLINK \l _Toc1780_WPSOffice_Level2 </w:instrText>
          </w:r>
          <w:r>
            <w:rPr>
              <w:rFonts w:hint="eastAsia" w:ascii="方正仿宋_GBK" w:hAnsi="方正仿宋_GBK" w:eastAsia="方正仿宋_GBK" w:cs="方正仿宋_GBK"/>
              <w:sz w:val="24"/>
              <w:szCs w:val="24"/>
            </w:rPr>
            <w:fldChar w:fldCharType="separate"/>
          </w:r>
          <w:sdt>
            <w:sdtPr>
              <w:rPr>
                <w:rFonts w:hint="eastAsia" w:ascii="方正仿宋_GBK" w:hAnsi="方正仿宋_GBK" w:eastAsia="方正仿宋_GBK" w:cs="方正仿宋_GBK"/>
                <w:kern w:val="2"/>
                <w:sz w:val="24"/>
                <w:szCs w:val="24"/>
                <w:lang w:val="en-US" w:eastAsia="zh-CN" w:bidi="ar-SA"/>
              </w:rPr>
              <w:id w:val="147468774"/>
              <w:placeholder>
                <w:docPart w:val="{9f1ab447-040d-4eb8-9a46-47157c4b61fe}"/>
              </w:placeholder>
            </w:sdtPr>
            <w:sdtEndPr>
              <w:rPr>
                <w:rFonts w:hint="eastAsia" w:ascii="方正仿宋_GBK" w:hAnsi="方正仿宋_GBK" w:eastAsia="方正仿宋_GBK" w:cs="方正仿宋_GBK"/>
                <w:kern w:val="2"/>
                <w:sz w:val="24"/>
                <w:szCs w:val="24"/>
                <w:lang w:val="en-US" w:eastAsia="zh-CN" w:bidi="ar-SA"/>
              </w:rPr>
            </w:sdtEndPr>
            <w:sdtContent>
              <w:r>
                <w:rPr>
                  <w:rFonts w:hint="eastAsia" w:ascii="方正仿宋_GBK" w:hAnsi="方正仿宋_GBK" w:eastAsia="方正仿宋_GBK" w:cs="方正仿宋_GBK"/>
                  <w:sz w:val="24"/>
                  <w:szCs w:val="24"/>
                </w:rPr>
                <w:t>一、收入支出决算总体情况说明</w:t>
              </w:r>
            </w:sdtContent>
          </w:sdt>
          <w:r>
            <w:rPr>
              <w:rFonts w:hint="eastAsia" w:ascii="方正仿宋_GBK" w:hAnsi="方正仿宋_GBK" w:eastAsia="方正仿宋_GBK" w:cs="方正仿宋_GBK"/>
              <w:sz w:val="24"/>
              <w:szCs w:val="24"/>
            </w:rPr>
            <w:tab/>
          </w:r>
          <w:bookmarkStart w:id="2" w:name="_Toc1780_WPSOffice_Level2Page"/>
          <w:r>
            <w:rPr>
              <w:rFonts w:hint="eastAsia" w:ascii="方正仿宋_GBK" w:hAnsi="方正仿宋_GBK" w:eastAsia="方正仿宋_GBK" w:cs="方正仿宋_GBK"/>
              <w:sz w:val="24"/>
              <w:szCs w:val="24"/>
            </w:rPr>
            <w:t>5</w:t>
          </w:r>
          <w:bookmarkEnd w:id="2"/>
          <w:r>
            <w:rPr>
              <w:rFonts w:hint="eastAsia" w:ascii="方正仿宋_GBK" w:hAnsi="方正仿宋_GBK" w:eastAsia="方正仿宋_GBK" w:cs="方正仿宋_GBK"/>
              <w:sz w:val="24"/>
              <w:szCs w:val="24"/>
            </w:rPr>
            <w:fldChar w:fldCharType="end"/>
          </w:r>
        </w:p>
        <w:p>
          <w:pPr>
            <w:pStyle w:val="38"/>
            <w:keepNext w:val="0"/>
            <w:keepLines w:val="0"/>
            <w:pageBreakBefore w:val="0"/>
            <w:tabs>
              <w:tab w:val="right" w:leader="dot" w:pos="8306"/>
            </w:tabs>
            <w:kinsoku/>
            <w:wordWrap/>
            <w:overflowPunct/>
            <w:topLinePunct w:val="0"/>
            <w:autoSpaceDE/>
            <w:autoSpaceDN/>
            <w:bidi w:val="0"/>
            <w:adjustRightInd/>
            <w:snapToGrid/>
            <w:spacing w:line="240" w:lineRule="auto"/>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fldChar w:fldCharType="begin"/>
          </w:r>
          <w:r>
            <w:rPr>
              <w:rFonts w:hint="eastAsia" w:ascii="方正仿宋_GBK" w:hAnsi="方正仿宋_GBK" w:eastAsia="方正仿宋_GBK" w:cs="方正仿宋_GBK"/>
              <w:sz w:val="24"/>
              <w:szCs w:val="24"/>
            </w:rPr>
            <w:instrText xml:space="preserve"> HYPERLINK \l _Toc1780_WPSOffice_Level2 </w:instrText>
          </w:r>
          <w:r>
            <w:rPr>
              <w:rFonts w:hint="eastAsia" w:ascii="方正仿宋_GBK" w:hAnsi="方正仿宋_GBK" w:eastAsia="方正仿宋_GBK" w:cs="方正仿宋_GBK"/>
              <w:sz w:val="24"/>
              <w:szCs w:val="24"/>
            </w:rPr>
            <w:fldChar w:fldCharType="separate"/>
          </w:r>
          <w:sdt>
            <w:sdtPr>
              <w:rPr>
                <w:rFonts w:hint="eastAsia" w:ascii="方正仿宋_GBK" w:hAnsi="方正仿宋_GBK" w:eastAsia="方正仿宋_GBK" w:cs="方正仿宋_GBK"/>
                <w:kern w:val="2"/>
                <w:sz w:val="24"/>
                <w:szCs w:val="24"/>
                <w:lang w:val="en-US" w:eastAsia="zh-CN" w:bidi="ar-SA"/>
              </w:rPr>
              <w:id w:val="147468774"/>
              <w:placeholder>
                <w:docPart w:val="{d88160e9-17b1-41c2-9291-0bf8d8bfb7f0}"/>
              </w:placeholder>
            </w:sdtPr>
            <w:sdtEndPr>
              <w:rPr>
                <w:rFonts w:hint="eastAsia" w:ascii="方正仿宋_GBK" w:hAnsi="方正仿宋_GBK" w:eastAsia="方正仿宋_GBK" w:cs="方正仿宋_GBK"/>
                <w:kern w:val="2"/>
                <w:sz w:val="24"/>
                <w:szCs w:val="24"/>
                <w:lang w:val="en-US" w:eastAsia="zh-CN" w:bidi="ar-SA"/>
              </w:rPr>
            </w:sdtEndPr>
            <w:sdtContent>
              <w:r>
                <w:rPr>
                  <w:rFonts w:hint="eastAsia" w:ascii="方正仿宋_GBK" w:hAnsi="方正仿宋_GBK" w:eastAsia="方正仿宋_GBK" w:cs="方正仿宋_GBK"/>
                  <w:kern w:val="2"/>
                  <w:sz w:val="24"/>
                  <w:szCs w:val="24"/>
                  <w:lang w:val="en-US" w:eastAsia="zh-CN" w:bidi="ar-SA"/>
                </w:rPr>
                <w:t>二</w:t>
              </w:r>
              <w:r>
                <w:rPr>
                  <w:rFonts w:hint="eastAsia" w:ascii="方正仿宋_GBK" w:hAnsi="方正仿宋_GBK" w:eastAsia="方正仿宋_GBK" w:cs="方正仿宋_GBK"/>
                  <w:sz w:val="24"/>
                  <w:szCs w:val="24"/>
                </w:rPr>
                <w:t>、</w:t>
              </w:r>
              <w:r>
                <w:rPr>
                  <w:rFonts w:hint="eastAsia" w:ascii="方正仿宋_GBK" w:hAnsi="方正仿宋_GBK" w:eastAsia="方正仿宋_GBK" w:cs="方正仿宋_GBK"/>
                  <w:sz w:val="24"/>
                  <w:szCs w:val="24"/>
                  <w:lang w:eastAsia="zh-CN"/>
                </w:rPr>
                <w:t>收入</w:t>
              </w:r>
              <w:r>
                <w:rPr>
                  <w:rFonts w:hint="eastAsia" w:ascii="方正仿宋_GBK" w:hAnsi="方正仿宋_GBK" w:eastAsia="方正仿宋_GBK" w:cs="方正仿宋_GBK"/>
                  <w:sz w:val="24"/>
                  <w:szCs w:val="24"/>
                </w:rPr>
                <w:t>决算情况说明</w:t>
              </w:r>
            </w:sdtContent>
          </w:sdt>
          <w:r>
            <w:rPr>
              <w:rFonts w:hint="eastAsia" w:ascii="方正仿宋_GBK" w:hAnsi="方正仿宋_GBK" w:eastAsia="方正仿宋_GBK" w:cs="方正仿宋_GBK"/>
              <w:sz w:val="24"/>
              <w:szCs w:val="24"/>
            </w:rPr>
            <w:tab/>
          </w:r>
          <w:r>
            <w:rPr>
              <w:rFonts w:hint="eastAsia" w:ascii="方正仿宋_GBK" w:hAnsi="方正仿宋_GBK" w:eastAsia="方正仿宋_GBK" w:cs="方正仿宋_GBK"/>
              <w:sz w:val="24"/>
              <w:szCs w:val="24"/>
            </w:rPr>
            <w:t>5</w:t>
          </w:r>
          <w:r>
            <w:rPr>
              <w:rFonts w:hint="eastAsia" w:ascii="方正仿宋_GBK" w:hAnsi="方正仿宋_GBK" w:eastAsia="方正仿宋_GBK" w:cs="方正仿宋_GBK"/>
              <w:sz w:val="24"/>
              <w:szCs w:val="24"/>
            </w:rPr>
            <w:fldChar w:fldCharType="end"/>
          </w:r>
        </w:p>
        <w:p>
          <w:pPr>
            <w:pStyle w:val="38"/>
            <w:keepNext w:val="0"/>
            <w:keepLines w:val="0"/>
            <w:pageBreakBefore w:val="0"/>
            <w:tabs>
              <w:tab w:val="right" w:leader="dot" w:pos="8306"/>
            </w:tabs>
            <w:kinsoku/>
            <w:wordWrap/>
            <w:overflowPunct/>
            <w:topLinePunct w:val="0"/>
            <w:autoSpaceDE/>
            <w:autoSpaceDN/>
            <w:bidi w:val="0"/>
            <w:adjustRightInd/>
            <w:snapToGrid/>
            <w:spacing w:line="240" w:lineRule="auto"/>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fldChar w:fldCharType="begin"/>
          </w:r>
          <w:r>
            <w:rPr>
              <w:rFonts w:hint="eastAsia" w:ascii="方正仿宋_GBK" w:hAnsi="方正仿宋_GBK" w:eastAsia="方正仿宋_GBK" w:cs="方正仿宋_GBK"/>
              <w:sz w:val="24"/>
              <w:szCs w:val="24"/>
            </w:rPr>
            <w:instrText xml:space="preserve"> HYPERLINK \l _Toc7188_WPSOffice_Level2 </w:instrText>
          </w:r>
          <w:r>
            <w:rPr>
              <w:rFonts w:hint="eastAsia" w:ascii="方正仿宋_GBK" w:hAnsi="方正仿宋_GBK" w:eastAsia="方正仿宋_GBK" w:cs="方正仿宋_GBK"/>
              <w:sz w:val="24"/>
              <w:szCs w:val="24"/>
            </w:rPr>
            <w:fldChar w:fldCharType="separate"/>
          </w:r>
          <w:sdt>
            <w:sdtPr>
              <w:rPr>
                <w:rFonts w:hint="eastAsia" w:ascii="方正仿宋_GBK" w:hAnsi="方正仿宋_GBK" w:eastAsia="方正仿宋_GBK" w:cs="方正仿宋_GBK"/>
                <w:kern w:val="2"/>
                <w:sz w:val="24"/>
                <w:szCs w:val="24"/>
                <w:lang w:val="en-US" w:eastAsia="zh-CN" w:bidi="ar-SA"/>
              </w:rPr>
              <w:id w:val="147459179"/>
              <w:placeholder>
                <w:docPart w:val="{d498b8b2-48bc-49f4-8a15-2649b66271a4}"/>
              </w:placeholder>
            </w:sdtPr>
            <w:sdtEndPr>
              <w:rPr>
                <w:rFonts w:hint="eastAsia" w:ascii="方正仿宋_GBK" w:hAnsi="方正仿宋_GBK" w:eastAsia="方正仿宋_GBK" w:cs="方正仿宋_GBK"/>
                <w:kern w:val="2"/>
                <w:sz w:val="24"/>
                <w:szCs w:val="24"/>
                <w:lang w:val="en-US" w:eastAsia="zh-CN" w:bidi="ar-SA"/>
              </w:rPr>
            </w:sdtEndPr>
            <w:sdtContent>
              <w:r>
                <w:rPr>
                  <w:rFonts w:hint="eastAsia" w:ascii="方正仿宋_GBK" w:hAnsi="方正仿宋_GBK" w:eastAsia="方正仿宋_GBK" w:cs="方正仿宋_GBK"/>
                  <w:sz w:val="24"/>
                  <w:szCs w:val="24"/>
                </w:rPr>
                <w:t>三、支出决算情况说明</w:t>
              </w:r>
            </w:sdtContent>
          </w:sdt>
          <w:r>
            <w:rPr>
              <w:rFonts w:hint="eastAsia" w:ascii="方正仿宋_GBK" w:hAnsi="方正仿宋_GBK" w:eastAsia="方正仿宋_GBK" w:cs="方正仿宋_GBK"/>
              <w:sz w:val="24"/>
              <w:szCs w:val="24"/>
            </w:rPr>
            <w:tab/>
          </w:r>
          <w:bookmarkStart w:id="3" w:name="_Toc7188_WPSOffice_Level2Page"/>
          <w:r>
            <w:rPr>
              <w:rFonts w:hint="eastAsia" w:ascii="方正仿宋_GBK" w:hAnsi="方正仿宋_GBK" w:eastAsia="方正仿宋_GBK" w:cs="方正仿宋_GBK"/>
              <w:sz w:val="24"/>
              <w:szCs w:val="24"/>
            </w:rPr>
            <w:t>6</w:t>
          </w:r>
          <w:bookmarkEnd w:id="3"/>
          <w:r>
            <w:rPr>
              <w:rFonts w:hint="eastAsia" w:ascii="方正仿宋_GBK" w:hAnsi="方正仿宋_GBK" w:eastAsia="方正仿宋_GBK" w:cs="方正仿宋_GBK"/>
              <w:sz w:val="24"/>
              <w:szCs w:val="24"/>
            </w:rPr>
            <w:fldChar w:fldCharType="end"/>
          </w:r>
        </w:p>
        <w:p>
          <w:pPr>
            <w:pStyle w:val="38"/>
            <w:keepNext w:val="0"/>
            <w:keepLines w:val="0"/>
            <w:pageBreakBefore w:val="0"/>
            <w:tabs>
              <w:tab w:val="right" w:leader="dot" w:pos="8306"/>
            </w:tabs>
            <w:kinsoku/>
            <w:wordWrap/>
            <w:overflowPunct/>
            <w:topLinePunct w:val="0"/>
            <w:autoSpaceDE/>
            <w:autoSpaceDN/>
            <w:bidi w:val="0"/>
            <w:adjustRightInd/>
            <w:snapToGrid/>
            <w:spacing w:line="240" w:lineRule="auto"/>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fldChar w:fldCharType="begin"/>
          </w:r>
          <w:r>
            <w:rPr>
              <w:rFonts w:hint="eastAsia" w:ascii="方正仿宋_GBK" w:hAnsi="方正仿宋_GBK" w:eastAsia="方正仿宋_GBK" w:cs="方正仿宋_GBK"/>
              <w:sz w:val="24"/>
              <w:szCs w:val="24"/>
            </w:rPr>
            <w:instrText xml:space="preserve"> HYPERLINK \l _Toc8540_WPSOffice_Level2 </w:instrText>
          </w:r>
          <w:r>
            <w:rPr>
              <w:rFonts w:hint="eastAsia" w:ascii="方正仿宋_GBK" w:hAnsi="方正仿宋_GBK" w:eastAsia="方正仿宋_GBK" w:cs="方正仿宋_GBK"/>
              <w:sz w:val="24"/>
              <w:szCs w:val="24"/>
            </w:rPr>
            <w:fldChar w:fldCharType="separate"/>
          </w:r>
          <w:sdt>
            <w:sdtPr>
              <w:rPr>
                <w:rFonts w:hint="eastAsia" w:ascii="方正仿宋_GBK" w:hAnsi="方正仿宋_GBK" w:eastAsia="方正仿宋_GBK" w:cs="方正仿宋_GBK"/>
                <w:kern w:val="2"/>
                <w:sz w:val="24"/>
                <w:szCs w:val="24"/>
                <w:lang w:val="en-US" w:eastAsia="zh-CN" w:bidi="ar-SA"/>
              </w:rPr>
              <w:id w:val="147468257"/>
              <w:placeholder>
                <w:docPart w:val="{3e8e6d1d-810c-4e1a-b23d-d4e711ac4548}"/>
              </w:placeholder>
            </w:sdtPr>
            <w:sdtEndPr>
              <w:rPr>
                <w:rFonts w:hint="eastAsia" w:ascii="方正仿宋_GBK" w:hAnsi="方正仿宋_GBK" w:eastAsia="方正仿宋_GBK" w:cs="方正仿宋_GBK"/>
                <w:kern w:val="2"/>
                <w:sz w:val="24"/>
                <w:szCs w:val="24"/>
                <w:lang w:val="en-US" w:eastAsia="zh-CN" w:bidi="ar-SA"/>
              </w:rPr>
            </w:sdtEndPr>
            <w:sdtContent>
              <w:r>
                <w:rPr>
                  <w:rFonts w:hint="eastAsia" w:ascii="方正仿宋_GBK" w:hAnsi="方正仿宋_GBK" w:eastAsia="方正仿宋_GBK" w:cs="方正仿宋_GBK"/>
                  <w:sz w:val="24"/>
                  <w:szCs w:val="24"/>
                </w:rPr>
                <w:t>四、财政拨款收入支出决算总体情况说明</w:t>
              </w:r>
            </w:sdtContent>
          </w:sdt>
          <w:r>
            <w:rPr>
              <w:rFonts w:hint="eastAsia" w:ascii="方正仿宋_GBK" w:hAnsi="方正仿宋_GBK" w:eastAsia="方正仿宋_GBK" w:cs="方正仿宋_GBK"/>
              <w:sz w:val="24"/>
              <w:szCs w:val="24"/>
            </w:rPr>
            <w:tab/>
          </w:r>
          <w:bookmarkStart w:id="4" w:name="_Toc8540_WPSOffice_Level2Page"/>
          <w:r>
            <w:rPr>
              <w:rFonts w:hint="eastAsia" w:ascii="方正仿宋_GBK" w:hAnsi="方正仿宋_GBK" w:eastAsia="方正仿宋_GBK" w:cs="方正仿宋_GBK"/>
              <w:sz w:val="24"/>
              <w:szCs w:val="24"/>
            </w:rPr>
            <w:t>7</w:t>
          </w:r>
          <w:bookmarkEnd w:id="4"/>
          <w:r>
            <w:rPr>
              <w:rFonts w:hint="eastAsia" w:ascii="方正仿宋_GBK" w:hAnsi="方正仿宋_GBK" w:eastAsia="方正仿宋_GBK" w:cs="方正仿宋_GBK"/>
              <w:sz w:val="24"/>
              <w:szCs w:val="24"/>
            </w:rPr>
            <w:fldChar w:fldCharType="end"/>
          </w:r>
        </w:p>
        <w:p>
          <w:pPr>
            <w:pStyle w:val="38"/>
            <w:keepNext w:val="0"/>
            <w:keepLines w:val="0"/>
            <w:pageBreakBefore w:val="0"/>
            <w:tabs>
              <w:tab w:val="right" w:leader="dot" w:pos="8306"/>
            </w:tabs>
            <w:kinsoku/>
            <w:wordWrap/>
            <w:overflowPunct/>
            <w:topLinePunct w:val="0"/>
            <w:autoSpaceDE/>
            <w:autoSpaceDN/>
            <w:bidi w:val="0"/>
            <w:adjustRightInd/>
            <w:snapToGrid/>
            <w:spacing w:line="240" w:lineRule="auto"/>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fldChar w:fldCharType="begin"/>
          </w:r>
          <w:r>
            <w:rPr>
              <w:rFonts w:hint="eastAsia" w:ascii="方正仿宋_GBK" w:hAnsi="方正仿宋_GBK" w:eastAsia="方正仿宋_GBK" w:cs="方正仿宋_GBK"/>
              <w:sz w:val="24"/>
              <w:szCs w:val="24"/>
            </w:rPr>
            <w:instrText xml:space="preserve"> HYPERLINK \l _Toc2103_WPSOffice_Level2 </w:instrText>
          </w:r>
          <w:r>
            <w:rPr>
              <w:rFonts w:hint="eastAsia" w:ascii="方正仿宋_GBK" w:hAnsi="方正仿宋_GBK" w:eastAsia="方正仿宋_GBK" w:cs="方正仿宋_GBK"/>
              <w:sz w:val="24"/>
              <w:szCs w:val="24"/>
            </w:rPr>
            <w:fldChar w:fldCharType="separate"/>
          </w:r>
          <w:sdt>
            <w:sdtPr>
              <w:rPr>
                <w:rFonts w:hint="eastAsia" w:ascii="方正仿宋_GBK" w:hAnsi="方正仿宋_GBK" w:eastAsia="方正仿宋_GBK" w:cs="方正仿宋_GBK"/>
                <w:kern w:val="2"/>
                <w:sz w:val="24"/>
                <w:szCs w:val="24"/>
                <w:lang w:val="en-US" w:eastAsia="zh-CN" w:bidi="ar-SA"/>
              </w:rPr>
              <w:id w:val="147462142"/>
              <w:placeholder>
                <w:docPart w:val="{27a11600-c83f-4eba-8278-8ae7051e79b2}"/>
              </w:placeholder>
            </w:sdtPr>
            <w:sdtEndPr>
              <w:rPr>
                <w:rFonts w:hint="eastAsia" w:ascii="方正仿宋_GBK" w:hAnsi="方正仿宋_GBK" w:eastAsia="方正仿宋_GBK" w:cs="方正仿宋_GBK"/>
                <w:kern w:val="2"/>
                <w:sz w:val="24"/>
                <w:szCs w:val="24"/>
                <w:lang w:val="en-US" w:eastAsia="zh-CN" w:bidi="ar-SA"/>
              </w:rPr>
            </w:sdtEndPr>
            <w:sdtContent>
              <w:r>
                <w:rPr>
                  <w:rFonts w:hint="eastAsia" w:ascii="方正仿宋_GBK" w:hAnsi="方正仿宋_GBK" w:eastAsia="方正仿宋_GBK" w:cs="方正仿宋_GBK"/>
                  <w:sz w:val="24"/>
                  <w:szCs w:val="24"/>
                </w:rPr>
                <w:t>五、一般公共预算财政拨款支出决算情况说明</w:t>
              </w:r>
            </w:sdtContent>
          </w:sdt>
          <w:r>
            <w:rPr>
              <w:rFonts w:hint="eastAsia" w:ascii="方正仿宋_GBK" w:hAnsi="方正仿宋_GBK" w:eastAsia="方正仿宋_GBK" w:cs="方正仿宋_GBK"/>
              <w:sz w:val="24"/>
              <w:szCs w:val="24"/>
            </w:rPr>
            <w:tab/>
          </w:r>
          <w:r>
            <w:rPr>
              <w:rFonts w:hint="eastAsia" w:ascii="方正仿宋_GBK" w:hAnsi="方正仿宋_GBK" w:eastAsia="方正仿宋_GBK" w:cs="方正仿宋_GBK"/>
              <w:sz w:val="24"/>
              <w:szCs w:val="24"/>
              <w:lang w:val="en-US" w:eastAsia="zh-CN"/>
            </w:rPr>
            <w:t>7</w:t>
          </w:r>
          <w:r>
            <w:rPr>
              <w:rFonts w:hint="eastAsia" w:ascii="方正仿宋_GBK" w:hAnsi="方正仿宋_GBK" w:eastAsia="方正仿宋_GBK" w:cs="方正仿宋_GBK"/>
              <w:sz w:val="24"/>
              <w:szCs w:val="24"/>
            </w:rPr>
            <w:fldChar w:fldCharType="end"/>
          </w:r>
        </w:p>
        <w:p>
          <w:pPr>
            <w:pStyle w:val="38"/>
            <w:keepNext w:val="0"/>
            <w:keepLines w:val="0"/>
            <w:pageBreakBefore w:val="0"/>
            <w:tabs>
              <w:tab w:val="right" w:leader="dot" w:pos="8306"/>
            </w:tabs>
            <w:kinsoku/>
            <w:wordWrap/>
            <w:overflowPunct/>
            <w:topLinePunct w:val="0"/>
            <w:autoSpaceDE/>
            <w:autoSpaceDN/>
            <w:bidi w:val="0"/>
            <w:adjustRightInd/>
            <w:snapToGrid/>
            <w:spacing w:line="240" w:lineRule="auto"/>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rPr>
            <w:fldChar w:fldCharType="begin"/>
          </w:r>
          <w:r>
            <w:rPr>
              <w:rFonts w:hint="eastAsia" w:ascii="方正仿宋_GBK" w:hAnsi="方正仿宋_GBK" w:eastAsia="方正仿宋_GBK" w:cs="方正仿宋_GBK"/>
              <w:sz w:val="24"/>
              <w:szCs w:val="24"/>
            </w:rPr>
            <w:instrText xml:space="preserve"> HYPERLINK \l _Toc24955_WPSOffice_Level2 </w:instrText>
          </w:r>
          <w:r>
            <w:rPr>
              <w:rFonts w:hint="eastAsia" w:ascii="方正仿宋_GBK" w:hAnsi="方正仿宋_GBK" w:eastAsia="方正仿宋_GBK" w:cs="方正仿宋_GBK"/>
              <w:sz w:val="24"/>
              <w:szCs w:val="24"/>
            </w:rPr>
            <w:fldChar w:fldCharType="separate"/>
          </w:r>
          <w:sdt>
            <w:sdtPr>
              <w:rPr>
                <w:rFonts w:hint="eastAsia" w:ascii="方正仿宋_GBK" w:hAnsi="方正仿宋_GBK" w:eastAsia="方正仿宋_GBK" w:cs="方正仿宋_GBK"/>
                <w:kern w:val="2"/>
                <w:sz w:val="24"/>
                <w:szCs w:val="24"/>
                <w:lang w:val="en-US" w:eastAsia="zh-CN" w:bidi="ar-SA"/>
              </w:rPr>
              <w:id w:val="147481980"/>
              <w:placeholder>
                <w:docPart w:val="{1c6d5487-40a4-45f4-931c-a492ee0b6e1b}"/>
              </w:placeholder>
            </w:sdtPr>
            <w:sdtEndPr>
              <w:rPr>
                <w:rFonts w:hint="eastAsia" w:ascii="方正仿宋_GBK" w:hAnsi="方正仿宋_GBK" w:eastAsia="方正仿宋_GBK" w:cs="方正仿宋_GBK"/>
                <w:kern w:val="2"/>
                <w:sz w:val="24"/>
                <w:szCs w:val="24"/>
                <w:lang w:val="en-US" w:eastAsia="zh-CN" w:bidi="ar-SA"/>
              </w:rPr>
            </w:sdtEndPr>
            <w:sdtContent>
              <w:r>
                <w:rPr>
                  <w:rFonts w:hint="eastAsia" w:ascii="方正仿宋_GBK" w:hAnsi="方正仿宋_GBK" w:eastAsia="方正仿宋_GBK" w:cs="方正仿宋_GBK"/>
                  <w:sz w:val="24"/>
                  <w:szCs w:val="24"/>
                </w:rPr>
                <w:t>六、一般公共预算财政拨款基本支出决算情况说明</w:t>
              </w:r>
            </w:sdtContent>
          </w:sdt>
          <w:r>
            <w:rPr>
              <w:rFonts w:hint="eastAsia" w:ascii="方正仿宋_GBK" w:hAnsi="方正仿宋_GBK" w:eastAsia="方正仿宋_GBK" w:cs="方正仿宋_GBK"/>
              <w:sz w:val="24"/>
              <w:szCs w:val="24"/>
            </w:rPr>
            <w:tab/>
          </w:r>
          <w:r>
            <w:rPr>
              <w:rFonts w:hint="eastAsia" w:ascii="方正仿宋_GBK" w:hAnsi="方正仿宋_GBK" w:eastAsia="方正仿宋_GBK" w:cs="方正仿宋_GBK"/>
              <w:sz w:val="24"/>
              <w:szCs w:val="24"/>
              <w:lang w:val="en-US" w:eastAsia="zh-CN"/>
            </w:rPr>
            <w:t>1</w:t>
          </w:r>
          <w:r>
            <w:rPr>
              <w:rFonts w:hint="eastAsia" w:ascii="方正仿宋_GBK" w:hAnsi="方正仿宋_GBK" w:eastAsia="方正仿宋_GBK" w:cs="方正仿宋_GBK"/>
              <w:sz w:val="24"/>
              <w:szCs w:val="24"/>
            </w:rPr>
            <w:fldChar w:fldCharType="end"/>
          </w:r>
          <w:r>
            <w:rPr>
              <w:rFonts w:hint="eastAsia" w:ascii="方正仿宋_GBK" w:hAnsi="方正仿宋_GBK" w:eastAsia="方正仿宋_GBK" w:cs="方正仿宋_GBK"/>
              <w:sz w:val="24"/>
              <w:szCs w:val="24"/>
              <w:lang w:val="en-US" w:eastAsia="zh-CN"/>
            </w:rPr>
            <w:t>5</w:t>
          </w:r>
        </w:p>
        <w:p>
          <w:pPr>
            <w:pStyle w:val="38"/>
            <w:keepNext w:val="0"/>
            <w:keepLines w:val="0"/>
            <w:pageBreakBefore w:val="0"/>
            <w:tabs>
              <w:tab w:val="right" w:leader="dot" w:pos="8306"/>
            </w:tabs>
            <w:kinsoku/>
            <w:wordWrap/>
            <w:overflowPunct/>
            <w:topLinePunct w:val="0"/>
            <w:autoSpaceDE/>
            <w:autoSpaceDN/>
            <w:bidi w:val="0"/>
            <w:adjustRightInd/>
            <w:snapToGrid/>
            <w:spacing w:line="240" w:lineRule="auto"/>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rPr>
            <w:fldChar w:fldCharType="begin"/>
          </w:r>
          <w:r>
            <w:rPr>
              <w:rFonts w:hint="eastAsia" w:ascii="方正仿宋_GBK" w:hAnsi="方正仿宋_GBK" w:eastAsia="方正仿宋_GBK" w:cs="方正仿宋_GBK"/>
              <w:sz w:val="24"/>
              <w:szCs w:val="24"/>
            </w:rPr>
            <w:instrText xml:space="preserve"> HYPERLINK \l _Toc5729_WPSOffice_Level2 </w:instrText>
          </w:r>
          <w:r>
            <w:rPr>
              <w:rFonts w:hint="eastAsia" w:ascii="方正仿宋_GBK" w:hAnsi="方正仿宋_GBK" w:eastAsia="方正仿宋_GBK" w:cs="方正仿宋_GBK"/>
              <w:sz w:val="24"/>
              <w:szCs w:val="24"/>
            </w:rPr>
            <w:fldChar w:fldCharType="separate"/>
          </w:r>
          <w:sdt>
            <w:sdtPr>
              <w:rPr>
                <w:rFonts w:hint="eastAsia" w:ascii="方正仿宋_GBK" w:hAnsi="方正仿宋_GBK" w:eastAsia="方正仿宋_GBK" w:cs="方正仿宋_GBK"/>
                <w:kern w:val="2"/>
                <w:sz w:val="24"/>
                <w:szCs w:val="24"/>
                <w:lang w:val="en-US" w:eastAsia="zh-CN" w:bidi="ar-SA"/>
              </w:rPr>
              <w:id w:val="147469209"/>
              <w:placeholder>
                <w:docPart w:val="{3dcc31ae-f02e-41b1-98a3-637e12588912}"/>
              </w:placeholder>
            </w:sdtPr>
            <w:sdtEndPr>
              <w:rPr>
                <w:rFonts w:hint="eastAsia" w:ascii="方正仿宋_GBK" w:hAnsi="方正仿宋_GBK" w:eastAsia="方正仿宋_GBK" w:cs="方正仿宋_GBK"/>
                <w:kern w:val="2"/>
                <w:sz w:val="24"/>
                <w:szCs w:val="24"/>
                <w:lang w:val="en-US" w:eastAsia="zh-CN" w:bidi="ar-SA"/>
              </w:rPr>
            </w:sdtEndPr>
            <w:sdtContent>
              <w:r>
                <w:rPr>
                  <w:rFonts w:hint="eastAsia" w:ascii="方正仿宋_GBK" w:hAnsi="方正仿宋_GBK" w:eastAsia="方正仿宋_GBK" w:cs="方正仿宋_GBK"/>
                  <w:sz w:val="24"/>
                  <w:szCs w:val="24"/>
                </w:rPr>
                <w:t>七、财政拨款“三公”经费支出决算情况说明</w:t>
              </w:r>
            </w:sdtContent>
          </w:sdt>
          <w:r>
            <w:rPr>
              <w:rFonts w:hint="eastAsia" w:ascii="方正仿宋_GBK" w:hAnsi="方正仿宋_GBK" w:eastAsia="方正仿宋_GBK" w:cs="方正仿宋_GBK"/>
              <w:sz w:val="24"/>
              <w:szCs w:val="24"/>
            </w:rPr>
            <w:tab/>
          </w:r>
          <w:r>
            <w:rPr>
              <w:rFonts w:hint="eastAsia" w:ascii="方正仿宋_GBK" w:hAnsi="方正仿宋_GBK" w:eastAsia="方正仿宋_GBK" w:cs="方正仿宋_GBK"/>
              <w:sz w:val="24"/>
              <w:szCs w:val="24"/>
              <w:lang w:val="en-US" w:eastAsia="zh-CN"/>
            </w:rPr>
            <w:t>1</w:t>
          </w:r>
          <w:r>
            <w:rPr>
              <w:rFonts w:hint="eastAsia" w:ascii="方正仿宋_GBK" w:hAnsi="方正仿宋_GBK" w:eastAsia="方正仿宋_GBK" w:cs="方正仿宋_GBK"/>
              <w:sz w:val="24"/>
              <w:szCs w:val="24"/>
            </w:rPr>
            <w:fldChar w:fldCharType="end"/>
          </w:r>
          <w:r>
            <w:rPr>
              <w:rFonts w:hint="eastAsia" w:ascii="方正仿宋_GBK" w:hAnsi="方正仿宋_GBK" w:eastAsia="方正仿宋_GBK" w:cs="方正仿宋_GBK"/>
              <w:sz w:val="24"/>
              <w:szCs w:val="24"/>
              <w:lang w:val="en-US" w:eastAsia="zh-CN"/>
            </w:rPr>
            <w:t>6</w:t>
          </w:r>
        </w:p>
        <w:p>
          <w:pPr>
            <w:pStyle w:val="38"/>
            <w:keepNext w:val="0"/>
            <w:keepLines w:val="0"/>
            <w:pageBreakBefore w:val="0"/>
            <w:tabs>
              <w:tab w:val="right" w:leader="dot" w:pos="8306"/>
            </w:tabs>
            <w:kinsoku/>
            <w:wordWrap/>
            <w:overflowPunct/>
            <w:topLinePunct w:val="0"/>
            <w:autoSpaceDE/>
            <w:autoSpaceDN/>
            <w:bidi w:val="0"/>
            <w:adjustRightInd/>
            <w:snapToGrid/>
            <w:spacing w:line="240" w:lineRule="auto"/>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rPr>
            <w:fldChar w:fldCharType="begin"/>
          </w:r>
          <w:r>
            <w:rPr>
              <w:rFonts w:hint="eastAsia" w:ascii="方正仿宋_GBK" w:hAnsi="方正仿宋_GBK" w:eastAsia="方正仿宋_GBK" w:cs="方正仿宋_GBK"/>
              <w:sz w:val="24"/>
              <w:szCs w:val="24"/>
            </w:rPr>
            <w:instrText xml:space="preserve"> HYPERLINK \l _Toc14091_WPSOffice_Level2 </w:instrText>
          </w:r>
          <w:r>
            <w:rPr>
              <w:rFonts w:hint="eastAsia" w:ascii="方正仿宋_GBK" w:hAnsi="方正仿宋_GBK" w:eastAsia="方正仿宋_GBK" w:cs="方正仿宋_GBK"/>
              <w:sz w:val="24"/>
              <w:szCs w:val="24"/>
            </w:rPr>
            <w:fldChar w:fldCharType="separate"/>
          </w:r>
          <w:sdt>
            <w:sdtPr>
              <w:rPr>
                <w:rFonts w:hint="eastAsia" w:ascii="方正仿宋_GBK" w:hAnsi="方正仿宋_GBK" w:eastAsia="方正仿宋_GBK" w:cs="方正仿宋_GBK"/>
                <w:kern w:val="2"/>
                <w:sz w:val="24"/>
                <w:szCs w:val="24"/>
                <w:lang w:val="en-US" w:eastAsia="zh-CN" w:bidi="ar-SA"/>
              </w:rPr>
              <w:id w:val="147459403"/>
              <w:placeholder>
                <w:docPart w:val="{07401c3f-b3f0-44fa-95e1-0b23508aaf9b}"/>
              </w:placeholder>
            </w:sdtPr>
            <w:sdtEndPr>
              <w:rPr>
                <w:rFonts w:hint="eastAsia" w:ascii="方正仿宋_GBK" w:hAnsi="方正仿宋_GBK" w:eastAsia="方正仿宋_GBK" w:cs="方正仿宋_GBK"/>
                <w:kern w:val="2"/>
                <w:sz w:val="24"/>
                <w:szCs w:val="24"/>
                <w:lang w:val="en-US" w:eastAsia="zh-CN" w:bidi="ar-SA"/>
              </w:rPr>
            </w:sdtEndPr>
            <w:sdtContent>
              <w:r>
                <w:rPr>
                  <w:rFonts w:hint="eastAsia" w:ascii="方正仿宋_GBK" w:hAnsi="方正仿宋_GBK" w:eastAsia="方正仿宋_GBK" w:cs="方正仿宋_GBK"/>
                  <w:sz w:val="24"/>
                  <w:szCs w:val="24"/>
                </w:rPr>
                <w:t>八、政府性基金预算支出决算情况说明</w:t>
              </w:r>
            </w:sdtContent>
          </w:sdt>
          <w:r>
            <w:rPr>
              <w:rFonts w:hint="eastAsia" w:ascii="方正仿宋_GBK" w:hAnsi="方正仿宋_GBK" w:eastAsia="方正仿宋_GBK" w:cs="方正仿宋_GBK"/>
              <w:sz w:val="24"/>
              <w:szCs w:val="24"/>
            </w:rPr>
            <w:tab/>
          </w:r>
          <w:r>
            <w:rPr>
              <w:rFonts w:hint="eastAsia" w:ascii="方正仿宋_GBK" w:hAnsi="方正仿宋_GBK" w:eastAsia="方正仿宋_GBK" w:cs="方正仿宋_GBK"/>
              <w:sz w:val="24"/>
              <w:szCs w:val="24"/>
              <w:lang w:val="en-US" w:eastAsia="zh-CN"/>
            </w:rPr>
            <w:t>1</w:t>
          </w:r>
          <w:r>
            <w:rPr>
              <w:rFonts w:hint="eastAsia" w:ascii="方正仿宋_GBK" w:hAnsi="方正仿宋_GBK" w:eastAsia="方正仿宋_GBK" w:cs="方正仿宋_GBK"/>
              <w:sz w:val="24"/>
              <w:szCs w:val="24"/>
            </w:rPr>
            <w:fldChar w:fldCharType="end"/>
          </w:r>
          <w:r>
            <w:rPr>
              <w:rFonts w:hint="eastAsia" w:ascii="方正仿宋_GBK" w:hAnsi="方正仿宋_GBK" w:eastAsia="方正仿宋_GBK" w:cs="方正仿宋_GBK"/>
              <w:sz w:val="24"/>
              <w:szCs w:val="24"/>
              <w:lang w:val="en-US" w:eastAsia="zh-CN"/>
            </w:rPr>
            <w:t>7</w:t>
          </w:r>
        </w:p>
        <w:p>
          <w:pPr>
            <w:pStyle w:val="38"/>
            <w:keepNext w:val="0"/>
            <w:keepLines w:val="0"/>
            <w:pageBreakBefore w:val="0"/>
            <w:tabs>
              <w:tab w:val="right" w:leader="dot" w:pos="8306"/>
            </w:tabs>
            <w:kinsoku/>
            <w:wordWrap/>
            <w:overflowPunct/>
            <w:topLinePunct w:val="0"/>
            <w:autoSpaceDE/>
            <w:autoSpaceDN/>
            <w:bidi w:val="0"/>
            <w:adjustRightInd/>
            <w:snapToGrid/>
            <w:spacing w:line="240" w:lineRule="auto"/>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rPr>
            <w:fldChar w:fldCharType="begin"/>
          </w:r>
          <w:r>
            <w:rPr>
              <w:rFonts w:hint="eastAsia" w:ascii="方正仿宋_GBK" w:hAnsi="方正仿宋_GBK" w:eastAsia="方正仿宋_GBK" w:cs="方正仿宋_GBK"/>
              <w:sz w:val="24"/>
              <w:szCs w:val="24"/>
            </w:rPr>
            <w:instrText xml:space="preserve"> HYPERLINK \l _Toc21165_WPSOffice_Level2 </w:instrText>
          </w:r>
          <w:r>
            <w:rPr>
              <w:rFonts w:hint="eastAsia" w:ascii="方正仿宋_GBK" w:hAnsi="方正仿宋_GBK" w:eastAsia="方正仿宋_GBK" w:cs="方正仿宋_GBK"/>
              <w:sz w:val="24"/>
              <w:szCs w:val="24"/>
            </w:rPr>
            <w:fldChar w:fldCharType="separate"/>
          </w:r>
          <w:sdt>
            <w:sdtPr>
              <w:rPr>
                <w:rFonts w:hint="eastAsia" w:ascii="方正仿宋_GBK" w:hAnsi="方正仿宋_GBK" w:eastAsia="方正仿宋_GBK" w:cs="方正仿宋_GBK"/>
                <w:kern w:val="2"/>
                <w:sz w:val="24"/>
                <w:szCs w:val="24"/>
                <w:lang w:val="en-US" w:eastAsia="zh-CN" w:bidi="ar-SA"/>
              </w:rPr>
              <w:id w:val="147471530"/>
              <w:placeholder>
                <w:docPart w:val="{e847f15e-5e73-408f-9031-0b663e658350}"/>
              </w:placeholder>
            </w:sdtPr>
            <w:sdtEndPr>
              <w:rPr>
                <w:rFonts w:hint="eastAsia" w:ascii="方正仿宋_GBK" w:hAnsi="方正仿宋_GBK" w:eastAsia="方正仿宋_GBK" w:cs="方正仿宋_GBK"/>
                <w:kern w:val="2"/>
                <w:sz w:val="24"/>
                <w:szCs w:val="24"/>
                <w:lang w:val="en-US" w:eastAsia="zh-CN" w:bidi="ar-SA"/>
              </w:rPr>
            </w:sdtEndPr>
            <w:sdtContent>
              <w:r>
                <w:rPr>
                  <w:rFonts w:hint="eastAsia" w:ascii="方正仿宋_GBK" w:hAnsi="方正仿宋_GBK" w:eastAsia="方正仿宋_GBK" w:cs="方正仿宋_GBK"/>
                  <w:sz w:val="24"/>
                  <w:szCs w:val="24"/>
                </w:rPr>
                <w:t>九、国有资本经营预算支出决算情况说明</w:t>
              </w:r>
            </w:sdtContent>
          </w:sdt>
          <w:r>
            <w:rPr>
              <w:rFonts w:hint="eastAsia" w:ascii="方正仿宋_GBK" w:hAnsi="方正仿宋_GBK" w:eastAsia="方正仿宋_GBK" w:cs="方正仿宋_GBK"/>
              <w:sz w:val="24"/>
              <w:szCs w:val="24"/>
            </w:rPr>
            <w:tab/>
          </w:r>
          <w:r>
            <w:rPr>
              <w:rFonts w:hint="eastAsia" w:ascii="方正仿宋_GBK" w:hAnsi="方正仿宋_GBK" w:eastAsia="方正仿宋_GBK" w:cs="方正仿宋_GBK"/>
              <w:sz w:val="24"/>
              <w:szCs w:val="24"/>
              <w:lang w:val="en-US" w:eastAsia="zh-CN"/>
            </w:rPr>
            <w:t>1</w:t>
          </w:r>
          <w:r>
            <w:rPr>
              <w:rFonts w:hint="eastAsia" w:ascii="方正仿宋_GBK" w:hAnsi="方正仿宋_GBK" w:eastAsia="方正仿宋_GBK" w:cs="方正仿宋_GBK"/>
              <w:sz w:val="24"/>
              <w:szCs w:val="24"/>
            </w:rPr>
            <w:fldChar w:fldCharType="end"/>
          </w:r>
          <w:r>
            <w:rPr>
              <w:rFonts w:hint="eastAsia" w:ascii="方正仿宋_GBK" w:hAnsi="方正仿宋_GBK" w:eastAsia="方正仿宋_GBK" w:cs="方正仿宋_GBK"/>
              <w:sz w:val="24"/>
              <w:szCs w:val="24"/>
              <w:lang w:val="en-US" w:eastAsia="zh-CN"/>
            </w:rPr>
            <w:t>8</w:t>
          </w:r>
        </w:p>
        <w:p>
          <w:pPr>
            <w:pStyle w:val="38"/>
            <w:keepNext w:val="0"/>
            <w:keepLines w:val="0"/>
            <w:pageBreakBefore w:val="0"/>
            <w:tabs>
              <w:tab w:val="right" w:leader="dot" w:pos="8306"/>
            </w:tabs>
            <w:kinsoku/>
            <w:wordWrap/>
            <w:overflowPunct/>
            <w:topLinePunct w:val="0"/>
            <w:autoSpaceDE/>
            <w:autoSpaceDN/>
            <w:bidi w:val="0"/>
            <w:adjustRightInd/>
            <w:snapToGrid/>
            <w:spacing w:line="240" w:lineRule="auto"/>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rPr>
            <w:fldChar w:fldCharType="begin"/>
          </w:r>
          <w:r>
            <w:rPr>
              <w:rFonts w:hint="eastAsia" w:ascii="方正仿宋_GBK" w:hAnsi="方正仿宋_GBK" w:eastAsia="方正仿宋_GBK" w:cs="方正仿宋_GBK"/>
              <w:sz w:val="24"/>
              <w:szCs w:val="24"/>
            </w:rPr>
            <w:instrText xml:space="preserve"> HYPERLINK \l _Toc5083_WPSOffice_Level2 </w:instrText>
          </w:r>
          <w:r>
            <w:rPr>
              <w:rFonts w:hint="eastAsia" w:ascii="方正仿宋_GBK" w:hAnsi="方正仿宋_GBK" w:eastAsia="方正仿宋_GBK" w:cs="方正仿宋_GBK"/>
              <w:sz w:val="24"/>
              <w:szCs w:val="24"/>
            </w:rPr>
            <w:fldChar w:fldCharType="separate"/>
          </w:r>
          <w:sdt>
            <w:sdtPr>
              <w:rPr>
                <w:rFonts w:hint="eastAsia" w:ascii="方正仿宋_GBK" w:hAnsi="方正仿宋_GBK" w:eastAsia="方正仿宋_GBK" w:cs="方正仿宋_GBK"/>
                <w:kern w:val="2"/>
                <w:sz w:val="24"/>
                <w:szCs w:val="24"/>
                <w:lang w:val="en-US" w:eastAsia="zh-CN" w:bidi="ar-SA"/>
              </w:rPr>
              <w:id w:val="147464059"/>
              <w:placeholder>
                <w:docPart w:val="{8067abf4-bf9e-4eef-a19a-aae943399d2f}"/>
              </w:placeholder>
            </w:sdtPr>
            <w:sdtEndPr>
              <w:rPr>
                <w:rFonts w:hint="eastAsia" w:ascii="方正仿宋_GBK" w:hAnsi="方正仿宋_GBK" w:eastAsia="方正仿宋_GBK" w:cs="方正仿宋_GBK"/>
                <w:kern w:val="2"/>
                <w:sz w:val="24"/>
                <w:szCs w:val="24"/>
                <w:lang w:val="en-US" w:eastAsia="zh-CN" w:bidi="ar-SA"/>
              </w:rPr>
            </w:sdtEndPr>
            <w:sdtContent>
              <w:r>
                <w:rPr>
                  <w:rFonts w:hint="eastAsia" w:ascii="方正仿宋_GBK" w:hAnsi="方正仿宋_GBK" w:eastAsia="方正仿宋_GBK" w:cs="方正仿宋_GBK"/>
                  <w:sz w:val="24"/>
                  <w:szCs w:val="24"/>
                </w:rPr>
                <w:t>十、其他重要事项的情况说明</w:t>
              </w:r>
            </w:sdtContent>
          </w:sdt>
          <w:r>
            <w:rPr>
              <w:rFonts w:hint="eastAsia" w:ascii="方正仿宋_GBK" w:hAnsi="方正仿宋_GBK" w:eastAsia="方正仿宋_GBK" w:cs="方正仿宋_GBK"/>
              <w:sz w:val="24"/>
              <w:szCs w:val="24"/>
            </w:rPr>
            <w:tab/>
          </w:r>
          <w:r>
            <w:rPr>
              <w:rFonts w:hint="eastAsia" w:ascii="方正仿宋_GBK" w:hAnsi="方正仿宋_GBK" w:eastAsia="方正仿宋_GBK" w:cs="方正仿宋_GBK"/>
              <w:sz w:val="24"/>
              <w:szCs w:val="24"/>
              <w:lang w:val="en-US" w:eastAsia="zh-CN"/>
            </w:rPr>
            <w:t>1</w:t>
          </w:r>
          <w:r>
            <w:rPr>
              <w:rFonts w:hint="eastAsia" w:ascii="方正仿宋_GBK" w:hAnsi="方正仿宋_GBK" w:eastAsia="方正仿宋_GBK" w:cs="方正仿宋_GBK"/>
              <w:sz w:val="24"/>
              <w:szCs w:val="24"/>
            </w:rPr>
            <w:fldChar w:fldCharType="end"/>
          </w:r>
          <w:r>
            <w:rPr>
              <w:rFonts w:hint="eastAsia" w:ascii="方正仿宋_GBK" w:hAnsi="方正仿宋_GBK" w:eastAsia="方正仿宋_GBK" w:cs="方正仿宋_GBK"/>
              <w:sz w:val="24"/>
              <w:szCs w:val="24"/>
              <w:lang w:val="en-US" w:eastAsia="zh-CN"/>
            </w:rPr>
            <w:t>8</w:t>
          </w:r>
        </w:p>
        <w:p>
          <w:pPr>
            <w:pStyle w:val="37"/>
            <w:keepNext w:val="0"/>
            <w:keepLines w:val="0"/>
            <w:pageBreakBefore w:val="0"/>
            <w:tabs>
              <w:tab w:val="right" w:leader="dot" w:pos="8306"/>
            </w:tabs>
            <w:kinsoku/>
            <w:wordWrap/>
            <w:overflowPunct/>
            <w:topLinePunct w:val="0"/>
            <w:autoSpaceDE/>
            <w:autoSpaceDN/>
            <w:bidi w:val="0"/>
            <w:adjustRightInd/>
            <w:snapToGrid/>
            <w:spacing w:line="240" w:lineRule="auto"/>
            <w:textAlignment w:val="auto"/>
            <w:rPr>
              <w:rFonts w:hint="eastAsia" w:ascii="方正仿宋_GBK" w:hAnsi="方正仿宋_GBK" w:eastAsia="方正仿宋_GBK" w:cs="方正仿宋_GBK"/>
              <w:b/>
              <w:bCs/>
              <w:sz w:val="28"/>
              <w:szCs w:val="28"/>
              <w:lang w:val="en-US" w:eastAsia="zh-CN"/>
            </w:rPr>
          </w:pPr>
          <w:r>
            <w:rPr>
              <w:rFonts w:hint="eastAsia" w:ascii="方正仿宋_GBK" w:hAnsi="方正仿宋_GBK" w:eastAsia="方正仿宋_GBK" w:cs="方正仿宋_GBK"/>
              <w:b/>
              <w:bCs/>
              <w:sz w:val="28"/>
              <w:szCs w:val="28"/>
            </w:rPr>
            <w:fldChar w:fldCharType="begin"/>
          </w:r>
          <w:r>
            <w:rPr>
              <w:rFonts w:hint="eastAsia" w:ascii="方正仿宋_GBK" w:hAnsi="方正仿宋_GBK" w:eastAsia="方正仿宋_GBK" w:cs="方正仿宋_GBK"/>
              <w:b/>
              <w:bCs/>
              <w:sz w:val="28"/>
              <w:szCs w:val="28"/>
            </w:rPr>
            <w:instrText xml:space="preserve"> HYPERLINK \l _Toc31066_WPSOffice_Level1 </w:instrText>
          </w:r>
          <w:r>
            <w:rPr>
              <w:rFonts w:hint="eastAsia" w:ascii="方正仿宋_GBK" w:hAnsi="方正仿宋_GBK" w:eastAsia="方正仿宋_GBK" w:cs="方正仿宋_GBK"/>
              <w:b/>
              <w:bCs/>
              <w:sz w:val="28"/>
              <w:szCs w:val="28"/>
            </w:rPr>
            <w:fldChar w:fldCharType="separate"/>
          </w:r>
          <w:sdt>
            <w:sdtPr>
              <w:rPr>
                <w:rFonts w:hint="eastAsia" w:ascii="方正仿宋_GBK" w:hAnsi="方正仿宋_GBK" w:eastAsia="方正仿宋_GBK" w:cs="方正仿宋_GBK"/>
                <w:b/>
                <w:bCs/>
                <w:sz w:val="28"/>
                <w:szCs w:val="28"/>
                <w:lang w:val="en-US" w:eastAsia="zh-CN"/>
              </w:rPr>
              <w:id w:val="147452233"/>
              <w:placeholder>
                <w:docPart w:val="{d92a14d4-9711-498c-992d-72fff78f37a9}"/>
              </w:placeholder>
            </w:sdtPr>
            <w:sdtEndPr>
              <w:rPr>
                <w:rFonts w:hint="eastAsia" w:ascii="方正仿宋_GBK" w:hAnsi="方正仿宋_GBK" w:eastAsia="方正仿宋_GBK" w:cs="方正仿宋_GBK"/>
                <w:b w:val="0"/>
                <w:bCs w:val="0"/>
                <w:sz w:val="28"/>
                <w:szCs w:val="28"/>
                <w:lang w:val="en-US" w:eastAsia="zh-CN"/>
              </w:rPr>
            </w:sdtEndPr>
            <w:sdtContent>
              <w:r>
                <w:rPr>
                  <w:rFonts w:hint="eastAsia" w:ascii="方正仿宋_GBK" w:hAnsi="方正仿宋_GBK" w:eastAsia="方正仿宋_GBK" w:cs="方正仿宋_GBK"/>
                  <w:b/>
                  <w:bCs/>
                  <w:sz w:val="28"/>
                  <w:szCs w:val="28"/>
                </w:rPr>
                <w:t>第三部分 名词解释</w:t>
              </w:r>
            </w:sdtContent>
          </w:sdt>
          <w:r>
            <w:rPr>
              <w:rFonts w:hint="eastAsia" w:ascii="方正仿宋_GBK" w:hAnsi="方正仿宋_GBK" w:eastAsia="方正仿宋_GBK" w:cs="方正仿宋_GBK"/>
              <w:b w:val="0"/>
              <w:bCs w:val="0"/>
              <w:sz w:val="28"/>
              <w:szCs w:val="28"/>
            </w:rPr>
            <w:tab/>
          </w:r>
          <w:r>
            <w:rPr>
              <w:rFonts w:hint="eastAsia" w:ascii="方正仿宋_GBK" w:hAnsi="方正仿宋_GBK" w:eastAsia="方正仿宋_GBK" w:cs="方正仿宋_GBK"/>
              <w:sz w:val="24"/>
              <w:szCs w:val="24"/>
              <w:lang w:val="en-US" w:eastAsia="zh-CN"/>
            </w:rPr>
            <w:t>2</w:t>
          </w:r>
          <w:r>
            <w:rPr>
              <w:rFonts w:hint="eastAsia" w:ascii="方正仿宋_GBK" w:hAnsi="方正仿宋_GBK" w:eastAsia="方正仿宋_GBK" w:cs="方正仿宋_GBK"/>
              <w:b/>
              <w:bCs/>
              <w:sz w:val="28"/>
              <w:szCs w:val="28"/>
            </w:rPr>
            <w:fldChar w:fldCharType="end"/>
          </w:r>
          <w:r>
            <w:rPr>
              <w:rFonts w:hint="eastAsia" w:ascii="方正仿宋_GBK" w:hAnsi="方正仿宋_GBK" w:eastAsia="方正仿宋_GBK" w:cs="方正仿宋_GBK"/>
              <w:sz w:val="24"/>
              <w:szCs w:val="24"/>
              <w:lang w:val="en-US" w:eastAsia="zh-CN"/>
            </w:rPr>
            <w:t>3</w:t>
          </w:r>
        </w:p>
        <w:p>
          <w:pPr>
            <w:pStyle w:val="37"/>
            <w:keepNext w:val="0"/>
            <w:keepLines w:val="0"/>
            <w:pageBreakBefore w:val="0"/>
            <w:tabs>
              <w:tab w:val="right" w:leader="dot" w:pos="8306"/>
            </w:tabs>
            <w:kinsoku/>
            <w:wordWrap/>
            <w:overflowPunct/>
            <w:topLinePunct w:val="0"/>
            <w:autoSpaceDE/>
            <w:autoSpaceDN/>
            <w:bidi w:val="0"/>
            <w:adjustRightInd/>
            <w:snapToGrid/>
            <w:spacing w:line="240" w:lineRule="auto"/>
            <w:textAlignment w:val="auto"/>
            <w:rPr>
              <w:rFonts w:hint="eastAsia" w:ascii="方正仿宋_GBK" w:hAnsi="方正仿宋_GBK" w:eastAsia="方正仿宋_GBK" w:cs="方正仿宋_GBK"/>
              <w:b/>
              <w:bCs/>
              <w:sz w:val="28"/>
              <w:szCs w:val="28"/>
              <w:lang w:val="en-US" w:eastAsia="zh-CN"/>
            </w:rPr>
          </w:pPr>
          <w:r>
            <w:rPr>
              <w:rFonts w:hint="eastAsia" w:ascii="方正仿宋_GBK" w:hAnsi="方正仿宋_GBK" w:eastAsia="方正仿宋_GBK" w:cs="方正仿宋_GBK"/>
              <w:b/>
              <w:bCs/>
              <w:sz w:val="28"/>
              <w:szCs w:val="28"/>
            </w:rPr>
            <w:fldChar w:fldCharType="begin"/>
          </w:r>
          <w:r>
            <w:rPr>
              <w:rFonts w:hint="eastAsia" w:ascii="方正仿宋_GBK" w:hAnsi="方正仿宋_GBK" w:eastAsia="方正仿宋_GBK" w:cs="方正仿宋_GBK"/>
              <w:b/>
              <w:bCs/>
              <w:sz w:val="28"/>
              <w:szCs w:val="28"/>
            </w:rPr>
            <w:instrText xml:space="preserve"> HYPERLINK \l _Toc1780_WPSOffice_Level1 </w:instrText>
          </w:r>
          <w:r>
            <w:rPr>
              <w:rFonts w:hint="eastAsia" w:ascii="方正仿宋_GBK" w:hAnsi="方正仿宋_GBK" w:eastAsia="方正仿宋_GBK" w:cs="方正仿宋_GBK"/>
              <w:b/>
              <w:bCs/>
              <w:sz w:val="28"/>
              <w:szCs w:val="28"/>
            </w:rPr>
            <w:fldChar w:fldCharType="separate"/>
          </w:r>
          <w:sdt>
            <w:sdtPr>
              <w:rPr>
                <w:rFonts w:hint="eastAsia" w:ascii="方正仿宋_GBK" w:hAnsi="方正仿宋_GBK" w:eastAsia="方正仿宋_GBK" w:cs="方正仿宋_GBK"/>
                <w:b/>
                <w:bCs/>
                <w:sz w:val="28"/>
                <w:szCs w:val="28"/>
                <w:lang w:val="en-US" w:eastAsia="zh-CN"/>
              </w:rPr>
              <w:id w:val="147482094"/>
              <w:placeholder>
                <w:docPart w:val="{3b058271-38cb-47e7-bd0a-5b6f68986907}"/>
              </w:placeholder>
            </w:sdtPr>
            <w:sdtEndPr>
              <w:rPr>
                <w:rFonts w:hint="eastAsia" w:ascii="方正仿宋_GBK" w:hAnsi="方正仿宋_GBK" w:eastAsia="方正仿宋_GBK" w:cs="方正仿宋_GBK"/>
                <w:b w:val="0"/>
                <w:bCs w:val="0"/>
                <w:sz w:val="28"/>
                <w:szCs w:val="28"/>
                <w:lang w:val="en-US" w:eastAsia="zh-CN"/>
              </w:rPr>
            </w:sdtEndPr>
            <w:sdtContent>
              <w:r>
                <w:rPr>
                  <w:rFonts w:hint="eastAsia" w:ascii="方正仿宋_GBK" w:hAnsi="方正仿宋_GBK" w:eastAsia="方正仿宋_GBK" w:cs="方正仿宋_GBK"/>
                  <w:b/>
                  <w:bCs/>
                  <w:sz w:val="28"/>
                  <w:szCs w:val="28"/>
                </w:rPr>
                <w:t>第四部分 附件</w:t>
              </w:r>
            </w:sdtContent>
          </w:sdt>
          <w:r>
            <w:rPr>
              <w:rFonts w:hint="eastAsia" w:ascii="方正仿宋_GBK" w:hAnsi="方正仿宋_GBK" w:eastAsia="方正仿宋_GBK" w:cs="方正仿宋_GBK"/>
              <w:b w:val="0"/>
              <w:bCs w:val="0"/>
              <w:sz w:val="28"/>
              <w:szCs w:val="28"/>
            </w:rPr>
            <w:tab/>
          </w:r>
          <w:r>
            <w:rPr>
              <w:rFonts w:hint="eastAsia" w:ascii="方正仿宋_GBK" w:hAnsi="方正仿宋_GBK" w:eastAsia="方正仿宋_GBK" w:cs="方正仿宋_GBK"/>
              <w:sz w:val="24"/>
              <w:szCs w:val="24"/>
              <w:lang w:val="en-US" w:eastAsia="zh-CN"/>
            </w:rPr>
            <w:t>3</w:t>
          </w:r>
          <w:r>
            <w:rPr>
              <w:rFonts w:hint="eastAsia" w:ascii="方正仿宋_GBK" w:hAnsi="方正仿宋_GBK" w:eastAsia="方正仿宋_GBK" w:cs="方正仿宋_GBK"/>
              <w:b/>
              <w:bCs/>
              <w:sz w:val="28"/>
              <w:szCs w:val="28"/>
            </w:rPr>
            <w:fldChar w:fldCharType="end"/>
          </w:r>
          <w:r>
            <w:rPr>
              <w:rFonts w:hint="eastAsia" w:ascii="方正仿宋_GBK" w:hAnsi="方正仿宋_GBK" w:eastAsia="方正仿宋_GBK" w:cs="方正仿宋_GBK"/>
              <w:sz w:val="24"/>
              <w:szCs w:val="24"/>
              <w:lang w:val="en-US" w:eastAsia="zh-CN"/>
            </w:rPr>
            <w:t>2</w:t>
          </w:r>
        </w:p>
        <w:p>
          <w:pPr>
            <w:pStyle w:val="38"/>
            <w:keepNext w:val="0"/>
            <w:keepLines w:val="0"/>
            <w:pageBreakBefore w:val="0"/>
            <w:tabs>
              <w:tab w:val="right" w:leader="dot" w:pos="8306"/>
            </w:tabs>
            <w:kinsoku/>
            <w:wordWrap/>
            <w:overflowPunct/>
            <w:topLinePunct w:val="0"/>
            <w:autoSpaceDE/>
            <w:autoSpaceDN/>
            <w:bidi w:val="0"/>
            <w:adjustRightInd/>
            <w:snapToGrid/>
            <w:spacing w:line="240" w:lineRule="auto"/>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rPr>
            <w:fldChar w:fldCharType="begin"/>
          </w:r>
          <w:r>
            <w:rPr>
              <w:rFonts w:hint="eastAsia" w:ascii="方正仿宋_GBK" w:hAnsi="方正仿宋_GBK" w:eastAsia="方正仿宋_GBK" w:cs="方正仿宋_GBK"/>
              <w:sz w:val="24"/>
              <w:szCs w:val="24"/>
            </w:rPr>
            <w:instrText xml:space="preserve"> HYPERLINK \l _Toc11586_WPSOffice_Level2 </w:instrText>
          </w:r>
          <w:r>
            <w:rPr>
              <w:rFonts w:hint="eastAsia" w:ascii="方正仿宋_GBK" w:hAnsi="方正仿宋_GBK" w:eastAsia="方正仿宋_GBK" w:cs="方正仿宋_GBK"/>
              <w:sz w:val="24"/>
              <w:szCs w:val="24"/>
            </w:rPr>
            <w:fldChar w:fldCharType="separate"/>
          </w:r>
          <w:sdt>
            <w:sdtPr>
              <w:rPr>
                <w:rFonts w:hint="eastAsia" w:ascii="方正仿宋_GBK" w:hAnsi="方正仿宋_GBK" w:eastAsia="方正仿宋_GBK" w:cs="方正仿宋_GBK"/>
                <w:kern w:val="2"/>
                <w:sz w:val="24"/>
                <w:szCs w:val="24"/>
                <w:lang w:val="en-US" w:eastAsia="zh-CN" w:bidi="ar-SA"/>
              </w:rPr>
              <w:id w:val="147455839"/>
              <w:placeholder>
                <w:docPart w:val="{4405a3f9-bff7-4894-99bd-f6b2922696e9}"/>
              </w:placeholder>
            </w:sdtPr>
            <w:sdtEndPr>
              <w:rPr>
                <w:rFonts w:hint="eastAsia" w:ascii="方正仿宋_GBK" w:hAnsi="方正仿宋_GBK" w:eastAsia="方正仿宋_GBK" w:cs="方正仿宋_GBK"/>
                <w:kern w:val="2"/>
                <w:sz w:val="24"/>
                <w:szCs w:val="24"/>
                <w:lang w:val="en-US" w:eastAsia="zh-CN" w:bidi="ar-SA"/>
              </w:rPr>
            </w:sdtEndPr>
            <w:sdtContent>
              <w:r>
                <w:rPr>
                  <w:rFonts w:hint="eastAsia" w:ascii="方正仿宋_GBK" w:hAnsi="方正仿宋_GBK" w:eastAsia="方正仿宋_GBK" w:cs="方正仿宋_GBK"/>
                  <w:sz w:val="24"/>
                  <w:szCs w:val="24"/>
                </w:rPr>
                <w:t>部门预算项目支出绩效评价表（2024年度）</w:t>
              </w:r>
            </w:sdtContent>
          </w:sdt>
          <w:r>
            <w:rPr>
              <w:rFonts w:hint="eastAsia" w:ascii="方正仿宋_GBK" w:hAnsi="方正仿宋_GBK" w:eastAsia="方正仿宋_GBK" w:cs="方正仿宋_GBK"/>
              <w:sz w:val="24"/>
              <w:szCs w:val="24"/>
            </w:rPr>
            <w:tab/>
          </w:r>
          <w:r>
            <w:rPr>
              <w:rFonts w:hint="eastAsia" w:ascii="方正仿宋_GBK" w:hAnsi="方正仿宋_GBK" w:eastAsia="方正仿宋_GBK" w:cs="方正仿宋_GBK"/>
              <w:sz w:val="24"/>
              <w:szCs w:val="24"/>
              <w:lang w:val="en-US" w:eastAsia="zh-CN"/>
            </w:rPr>
            <w:t>3</w:t>
          </w:r>
          <w:r>
            <w:rPr>
              <w:rFonts w:hint="eastAsia" w:ascii="方正仿宋_GBK" w:hAnsi="方正仿宋_GBK" w:eastAsia="方正仿宋_GBK" w:cs="方正仿宋_GBK"/>
              <w:sz w:val="24"/>
              <w:szCs w:val="24"/>
            </w:rPr>
            <w:fldChar w:fldCharType="end"/>
          </w:r>
          <w:r>
            <w:rPr>
              <w:rFonts w:hint="eastAsia" w:ascii="方正仿宋_GBK" w:hAnsi="方正仿宋_GBK" w:eastAsia="方正仿宋_GBK" w:cs="方正仿宋_GBK"/>
              <w:sz w:val="24"/>
              <w:szCs w:val="24"/>
              <w:lang w:val="en-US" w:eastAsia="zh-CN"/>
            </w:rPr>
            <w:t>2</w:t>
          </w:r>
        </w:p>
        <w:p>
          <w:pPr>
            <w:pStyle w:val="37"/>
            <w:keepNext w:val="0"/>
            <w:keepLines w:val="0"/>
            <w:pageBreakBefore w:val="0"/>
            <w:tabs>
              <w:tab w:val="right" w:leader="dot" w:pos="8306"/>
            </w:tabs>
            <w:kinsoku/>
            <w:wordWrap/>
            <w:overflowPunct/>
            <w:topLinePunct w:val="0"/>
            <w:autoSpaceDE/>
            <w:autoSpaceDN/>
            <w:bidi w:val="0"/>
            <w:adjustRightInd/>
            <w:snapToGrid/>
            <w:spacing w:line="240" w:lineRule="auto"/>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b/>
              <w:bCs/>
              <w:sz w:val="24"/>
              <w:szCs w:val="24"/>
            </w:rPr>
            <w:fldChar w:fldCharType="begin"/>
          </w:r>
          <w:r>
            <w:rPr>
              <w:rFonts w:hint="eastAsia" w:ascii="方正仿宋_GBK" w:hAnsi="方正仿宋_GBK" w:eastAsia="方正仿宋_GBK" w:cs="方正仿宋_GBK"/>
              <w:sz w:val="24"/>
              <w:szCs w:val="24"/>
            </w:rPr>
            <w:instrText xml:space="preserve"> HYPERLINK \l _Toc7188_WPSOffice_Level1 </w:instrText>
          </w:r>
          <w:r>
            <w:rPr>
              <w:rFonts w:hint="eastAsia" w:ascii="方正仿宋_GBK" w:hAnsi="方正仿宋_GBK" w:eastAsia="方正仿宋_GBK" w:cs="方正仿宋_GBK"/>
              <w:b/>
              <w:bCs/>
              <w:sz w:val="24"/>
              <w:szCs w:val="24"/>
            </w:rPr>
            <w:fldChar w:fldCharType="separate"/>
          </w:r>
          <w:sdt>
            <w:sdtPr>
              <w:rPr>
                <w:rFonts w:hint="eastAsia" w:ascii="方正仿宋_GBK" w:hAnsi="方正仿宋_GBK" w:eastAsia="方正仿宋_GBK" w:cs="方正仿宋_GBK"/>
                <w:b/>
                <w:bCs/>
                <w:kern w:val="2"/>
                <w:sz w:val="24"/>
                <w:szCs w:val="24"/>
                <w:lang w:val="en-US" w:eastAsia="zh-CN" w:bidi="ar-SA"/>
              </w:rPr>
              <w:id w:val="147450943"/>
              <w:placeholder>
                <w:docPart w:val="{ee15e411-862a-4b0a-b95d-b93f54639bb3}"/>
              </w:placeholder>
            </w:sdtPr>
            <w:sdtEndPr>
              <w:rPr>
                <w:rFonts w:hint="eastAsia" w:ascii="方正仿宋_GBK" w:hAnsi="方正仿宋_GBK" w:eastAsia="方正仿宋_GBK" w:cs="方正仿宋_GBK"/>
                <w:b w:val="0"/>
                <w:bCs w:val="0"/>
                <w:kern w:val="2"/>
                <w:sz w:val="28"/>
                <w:szCs w:val="28"/>
                <w:lang w:val="en-US" w:eastAsia="zh-CN" w:bidi="ar-SA"/>
              </w:rPr>
            </w:sdtEndPr>
            <w:sdtContent>
              <w:r>
                <w:rPr>
                  <w:rFonts w:hint="eastAsia" w:ascii="方正仿宋_GBK" w:hAnsi="方正仿宋_GBK" w:eastAsia="方正仿宋_GBK" w:cs="方正仿宋_GBK"/>
                  <w:b/>
                  <w:bCs/>
                  <w:sz w:val="28"/>
                  <w:szCs w:val="28"/>
                </w:rPr>
                <w:t>第五部分 附表</w:t>
              </w:r>
            </w:sdtContent>
          </w:sdt>
          <w:r>
            <w:rPr>
              <w:rFonts w:hint="eastAsia" w:ascii="方正仿宋_GBK" w:hAnsi="方正仿宋_GBK" w:eastAsia="方正仿宋_GBK" w:cs="方正仿宋_GBK"/>
              <w:b w:val="0"/>
              <w:bCs w:val="0"/>
              <w:sz w:val="28"/>
              <w:szCs w:val="28"/>
            </w:rPr>
            <w:tab/>
          </w:r>
          <w:r>
            <w:rPr>
              <w:rFonts w:hint="eastAsia" w:ascii="方正仿宋_GBK" w:hAnsi="方正仿宋_GBK" w:eastAsia="方正仿宋_GBK" w:cs="方正仿宋_GBK"/>
              <w:sz w:val="24"/>
              <w:szCs w:val="24"/>
              <w:lang w:val="en-US" w:eastAsia="zh-CN"/>
            </w:rPr>
            <w:t>3</w:t>
          </w:r>
          <w:r>
            <w:rPr>
              <w:rFonts w:hint="eastAsia" w:ascii="方正仿宋_GBK" w:hAnsi="方正仿宋_GBK" w:eastAsia="方正仿宋_GBK" w:cs="方正仿宋_GBK"/>
              <w:b/>
              <w:bCs/>
              <w:sz w:val="24"/>
              <w:szCs w:val="24"/>
            </w:rPr>
            <w:fldChar w:fldCharType="end"/>
          </w:r>
          <w:r>
            <w:rPr>
              <w:rFonts w:hint="eastAsia" w:ascii="方正仿宋_GBK" w:hAnsi="方正仿宋_GBK" w:eastAsia="方正仿宋_GBK" w:cs="方正仿宋_GBK"/>
              <w:sz w:val="24"/>
              <w:szCs w:val="24"/>
              <w:lang w:val="en-US" w:eastAsia="zh-CN"/>
            </w:rPr>
            <w:t>3</w:t>
          </w:r>
        </w:p>
        <w:p>
          <w:pPr>
            <w:pStyle w:val="38"/>
            <w:keepNext w:val="0"/>
            <w:keepLines w:val="0"/>
            <w:pageBreakBefore w:val="0"/>
            <w:tabs>
              <w:tab w:val="right" w:leader="dot" w:pos="8306"/>
            </w:tabs>
            <w:kinsoku/>
            <w:wordWrap/>
            <w:overflowPunct/>
            <w:topLinePunct w:val="0"/>
            <w:autoSpaceDE/>
            <w:autoSpaceDN/>
            <w:bidi w:val="0"/>
            <w:adjustRightInd/>
            <w:snapToGrid/>
            <w:spacing w:line="240" w:lineRule="auto"/>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rPr>
            <w:fldChar w:fldCharType="begin"/>
          </w:r>
          <w:r>
            <w:rPr>
              <w:rFonts w:hint="eastAsia" w:ascii="方正仿宋_GBK" w:hAnsi="方正仿宋_GBK" w:eastAsia="方正仿宋_GBK" w:cs="方正仿宋_GBK"/>
              <w:sz w:val="24"/>
              <w:szCs w:val="24"/>
            </w:rPr>
            <w:instrText xml:space="preserve"> HYPERLINK \l _Toc16038_WPSOffice_Level2 </w:instrText>
          </w:r>
          <w:r>
            <w:rPr>
              <w:rFonts w:hint="eastAsia" w:ascii="方正仿宋_GBK" w:hAnsi="方正仿宋_GBK" w:eastAsia="方正仿宋_GBK" w:cs="方正仿宋_GBK"/>
              <w:sz w:val="24"/>
              <w:szCs w:val="24"/>
            </w:rPr>
            <w:fldChar w:fldCharType="separate"/>
          </w:r>
          <w:sdt>
            <w:sdtPr>
              <w:rPr>
                <w:rFonts w:hint="eastAsia" w:ascii="方正仿宋_GBK" w:hAnsi="方正仿宋_GBK" w:eastAsia="方正仿宋_GBK" w:cs="方正仿宋_GBK"/>
                <w:kern w:val="2"/>
                <w:sz w:val="24"/>
                <w:szCs w:val="24"/>
                <w:lang w:val="en-US" w:eastAsia="zh-CN" w:bidi="ar-SA"/>
              </w:rPr>
              <w:id w:val="147479579"/>
              <w:placeholder>
                <w:docPart w:val="{785dc43f-5137-4a26-8d50-a2ff73d7920b}"/>
              </w:placeholder>
            </w:sdtPr>
            <w:sdtEndPr>
              <w:rPr>
                <w:rFonts w:hint="eastAsia" w:ascii="方正仿宋_GBK" w:hAnsi="方正仿宋_GBK" w:eastAsia="方正仿宋_GBK" w:cs="方正仿宋_GBK"/>
                <w:kern w:val="2"/>
                <w:sz w:val="24"/>
                <w:szCs w:val="24"/>
                <w:lang w:val="en-US" w:eastAsia="zh-CN" w:bidi="ar-SA"/>
              </w:rPr>
            </w:sdtEndPr>
            <w:sdtContent>
              <w:r>
                <w:rPr>
                  <w:rFonts w:hint="eastAsia" w:ascii="方正仿宋_GBK" w:hAnsi="方正仿宋_GBK" w:eastAsia="方正仿宋_GBK" w:cs="方正仿宋_GBK"/>
                  <w:sz w:val="24"/>
                  <w:szCs w:val="24"/>
                </w:rPr>
                <w:t>一、收入支出决算总表</w:t>
              </w:r>
            </w:sdtContent>
          </w:sdt>
          <w:r>
            <w:rPr>
              <w:rFonts w:hint="eastAsia" w:ascii="方正仿宋_GBK" w:hAnsi="方正仿宋_GBK" w:eastAsia="方正仿宋_GBK" w:cs="方正仿宋_GBK"/>
              <w:sz w:val="24"/>
              <w:szCs w:val="24"/>
            </w:rPr>
            <w:tab/>
          </w:r>
          <w:r>
            <w:rPr>
              <w:rFonts w:hint="eastAsia" w:ascii="方正仿宋_GBK" w:hAnsi="方正仿宋_GBK" w:eastAsia="方正仿宋_GBK" w:cs="方正仿宋_GBK"/>
              <w:sz w:val="24"/>
              <w:szCs w:val="24"/>
              <w:lang w:val="en-US" w:eastAsia="zh-CN"/>
            </w:rPr>
            <w:t>3</w:t>
          </w:r>
          <w:r>
            <w:rPr>
              <w:rFonts w:hint="eastAsia" w:ascii="方正仿宋_GBK" w:hAnsi="方正仿宋_GBK" w:eastAsia="方正仿宋_GBK" w:cs="方正仿宋_GBK"/>
              <w:sz w:val="24"/>
              <w:szCs w:val="24"/>
            </w:rPr>
            <w:fldChar w:fldCharType="end"/>
          </w:r>
          <w:r>
            <w:rPr>
              <w:rFonts w:hint="eastAsia" w:ascii="方正仿宋_GBK" w:hAnsi="方正仿宋_GBK" w:eastAsia="方正仿宋_GBK" w:cs="方正仿宋_GBK"/>
              <w:sz w:val="24"/>
              <w:szCs w:val="24"/>
              <w:lang w:val="en-US" w:eastAsia="zh-CN"/>
            </w:rPr>
            <w:t>3</w:t>
          </w:r>
        </w:p>
        <w:p>
          <w:pPr>
            <w:pStyle w:val="38"/>
            <w:keepNext w:val="0"/>
            <w:keepLines w:val="0"/>
            <w:pageBreakBefore w:val="0"/>
            <w:tabs>
              <w:tab w:val="right" w:leader="dot" w:pos="8306"/>
            </w:tabs>
            <w:kinsoku/>
            <w:wordWrap/>
            <w:overflowPunct/>
            <w:topLinePunct w:val="0"/>
            <w:autoSpaceDE/>
            <w:autoSpaceDN/>
            <w:bidi w:val="0"/>
            <w:adjustRightInd/>
            <w:snapToGrid/>
            <w:spacing w:line="240" w:lineRule="auto"/>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rPr>
            <w:fldChar w:fldCharType="begin"/>
          </w:r>
          <w:r>
            <w:rPr>
              <w:rFonts w:hint="eastAsia" w:ascii="方正仿宋_GBK" w:hAnsi="方正仿宋_GBK" w:eastAsia="方正仿宋_GBK" w:cs="方正仿宋_GBK"/>
              <w:sz w:val="24"/>
              <w:szCs w:val="24"/>
            </w:rPr>
            <w:instrText xml:space="preserve"> HYPERLINK \l _Toc21599_WPSOffice_Level2 </w:instrText>
          </w:r>
          <w:r>
            <w:rPr>
              <w:rFonts w:hint="eastAsia" w:ascii="方正仿宋_GBK" w:hAnsi="方正仿宋_GBK" w:eastAsia="方正仿宋_GBK" w:cs="方正仿宋_GBK"/>
              <w:sz w:val="24"/>
              <w:szCs w:val="24"/>
            </w:rPr>
            <w:fldChar w:fldCharType="separate"/>
          </w:r>
          <w:sdt>
            <w:sdtPr>
              <w:rPr>
                <w:rFonts w:hint="eastAsia" w:ascii="方正仿宋_GBK" w:hAnsi="方正仿宋_GBK" w:eastAsia="方正仿宋_GBK" w:cs="方正仿宋_GBK"/>
                <w:kern w:val="2"/>
                <w:sz w:val="24"/>
                <w:szCs w:val="24"/>
                <w:lang w:val="en-US" w:eastAsia="zh-CN" w:bidi="ar-SA"/>
              </w:rPr>
              <w:id w:val="147456737"/>
              <w:placeholder>
                <w:docPart w:val="{7f5170d7-6ccd-4ad4-86d0-1d44ad40868f}"/>
              </w:placeholder>
            </w:sdtPr>
            <w:sdtEndPr>
              <w:rPr>
                <w:rFonts w:hint="eastAsia" w:ascii="方正仿宋_GBK" w:hAnsi="方正仿宋_GBK" w:eastAsia="方正仿宋_GBK" w:cs="方正仿宋_GBK"/>
                <w:kern w:val="2"/>
                <w:sz w:val="24"/>
                <w:szCs w:val="24"/>
                <w:lang w:val="en-US" w:eastAsia="zh-CN" w:bidi="ar-SA"/>
              </w:rPr>
            </w:sdtEndPr>
            <w:sdtContent>
              <w:r>
                <w:rPr>
                  <w:rFonts w:hint="eastAsia" w:ascii="方正仿宋_GBK" w:hAnsi="方正仿宋_GBK" w:eastAsia="方正仿宋_GBK" w:cs="方正仿宋_GBK"/>
                  <w:sz w:val="24"/>
                  <w:szCs w:val="24"/>
                </w:rPr>
                <w:t>二、收入决算表</w:t>
              </w:r>
            </w:sdtContent>
          </w:sdt>
          <w:r>
            <w:rPr>
              <w:rFonts w:hint="eastAsia" w:ascii="方正仿宋_GBK" w:hAnsi="方正仿宋_GBK" w:eastAsia="方正仿宋_GBK" w:cs="方正仿宋_GBK"/>
              <w:sz w:val="24"/>
              <w:szCs w:val="24"/>
            </w:rPr>
            <w:tab/>
          </w:r>
          <w:r>
            <w:rPr>
              <w:rFonts w:hint="eastAsia" w:ascii="方正仿宋_GBK" w:hAnsi="方正仿宋_GBK" w:eastAsia="方正仿宋_GBK" w:cs="方正仿宋_GBK"/>
              <w:sz w:val="24"/>
              <w:szCs w:val="24"/>
              <w:lang w:val="en-US" w:eastAsia="zh-CN"/>
            </w:rPr>
            <w:t>3</w:t>
          </w:r>
          <w:r>
            <w:rPr>
              <w:rFonts w:hint="eastAsia" w:ascii="方正仿宋_GBK" w:hAnsi="方正仿宋_GBK" w:eastAsia="方正仿宋_GBK" w:cs="方正仿宋_GBK"/>
              <w:sz w:val="24"/>
              <w:szCs w:val="24"/>
            </w:rPr>
            <w:fldChar w:fldCharType="end"/>
          </w:r>
          <w:r>
            <w:rPr>
              <w:rFonts w:hint="eastAsia" w:ascii="方正仿宋_GBK" w:hAnsi="方正仿宋_GBK" w:eastAsia="方正仿宋_GBK" w:cs="方正仿宋_GBK"/>
              <w:sz w:val="24"/>
              <w:szCs w:val="24"/>
              <w:lang w:val="en-US" w:eastAsia="zh-CN"/>
            </w:rPr>
            <w:t>3</w:t>
          </w:r>
        </w:p>
        <w:p>
          <w:pPr>
            <w:pStyle w:val="38"/>
            <w:keepNext w:val="0"/>
            <w:keepLines w:val="0"/>
            <w:pageBreakBefore w:val="0"/>
            <w:tabs>
              <w:tab w:val="right" w:leader="dot" w:pos="8306"/>
            </w:tabs>
            <w:kinsoku/>
            <w:wordWrap/>
            <w:overflowPunct/>
            <w:topLinePunct w:val="0"/>
            <w:autoSpaceDE/>
            <w:autoSpaceDN/>
            <w:bidi w:val="0"/>
            <w:adjustRightInd/>
            <w:snapToGrid/>
            <w:spacing w:line="240" w:lineRule="auto"/>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rPr>
            <w:fldChar w:fldCharType="begin"/>
          </w:r>
          <w:r>
            <w:rPr>
              <w:rFonts w:hint="eastAsia" w:ascii="方正仿宋_GBK" w:hAnsi="方正仿宋_GBK" w:eastAsia="方正仿宋_GBK" w:cs="方正仿宋_GBK"/>
              <w:sz w:val="24"/>
              <w:szCs w:val="24"/>
            </w:rPr>
            <w:instrText xml:space="preserve"> HYPERLINK \l _Toc19830_WPSOffice_Level2 </w:instrText>
          </w:r>
          <w:r>
            <w:rPr>
              <w:rFonts w:hint="eastAsia" w:ascii="方正仿宋_GBK" w:hAnsi="方正仿宋_GBK" w:eastAsia="方正仿宋_GBK" w:cs="方正仿宋_GBK"/>
              <w:sz w:val="24"/>
              <w:szCs w:val="24"/>
            </w:rPr>
            <w:fldChar w:fldCharType="separate"/>
          </w:r>
          <w:sdt>
            <w:sdtPr>
              <w:rPr>
                <w:rFonts w:hint="eastAsia" w:ascii="方正仿宋_GBK" w:hAnsi="方正仿宋_GBK" w:eastAsia="方正仿宋_GBK" w:cs="方正仿宋_GBK"/>
                <w:kern w:val="2"/>
                <w:sz w:val="24"/>
                <w:szCs w:val="24"/>
                <w:lang w:val="en-US" w:eastAsia="zh-CN" w:bidi="ar-SA"/>
              </w:rPr>
              <w:id w:val="147463693"/>
              <w:placeholder>
                <w:docPart w:val="{30c46150-b9f0-42b6-b533-4027312b6df3}"/>
              </w:placeholder>
            </w:sdtPr>
            <w:sdtEndPr>
              <w:rPr>
                <w:rFonts w:hint="eastAsia" w:ascii="方正仿宋_GBK" w:hAnsi="方正仿宋_GBK" w:eastAsia="方正仿宋_GBK" w:cs="方正仿宋_GBK"/>
                <w:kern w:val="2"/>
                <w:sz w:val="24"/>
                <w:szCs w:val="24"/>
                <w:lang w:val="en-US" w:eastAsia="zh-CN" w:bidi="ar-SA"/>
              </w:rPr>
            </w:sdtEndPr>
            <w:sdtContent>
              <w:r>
                <w:rPr>
                  <w:rFonts w:hint="eastAsia" w:ascii="方正仿宋_GBK" w:hAnsi="方正仿宋_GBK" w:eastAsia="方正仿宋_GBK" w:cs="方正仿宋_GBK"/>
                  <w:sz w:val="24"/>
                  <w:szCs w:val="24"/>
                </w:rPr>
                <w:t>三、支出决算表</w:t>
              </w:r>
            </w:sdtContent>
          </w:sdt>
          <w:r>
            <w:rPr>
              <w:rFonts w:hint="eastAsia" w:ascii="方正仿宋_GBK" w:hAnsi="方正仿宋_GBK" w:eastAsia="方正仿宋_GBK" w:cs="方正仿宋_GBK"/>
              <w:sz w:val="24"/>
              <w:szCs w:val="24"/>
            </w:rPr>
            <w:tab/>
          </w:r>
          <w:r>
            <w:rPr>
              <w:rFonts w:hint="eastAsia" w:ascii="方正仿宋_GBK" w:hAnsi="方正仿宋_GBK" w:eastAsia="方正仿宋_GBK" w:cs="方正仿宋_GBK"/>
              <w:sz w:val="24"/>
              <w:szCs w:val="24"/>
              <w:lang w:val="en-US" w:eastAsia="zh-CN"/>
            </w:rPr>
            <w:t>3</w:t>
          </w:r>
          <w:r>
            <w:rPr>
              <w:rFonts w:hint="eastAsia" w:ascii="方正仿宋_GBK" w:hAnsi="方正仿宋_GBK" w:eastAsia="方正仿宋_GBK" w:cs="方正仿宋_GBK"/>
              <w:sz w:val="24"/>
              <w:szCs w:val="24"/>
            </w:rPr>
            <w:fldChar w:fldCharType="end"/>
          </w:r>
          <w:r>
            <w:rPr>
              <w:rFonts w:hint="eastAsia" w:ascii="方正仿宋_GBK" w:hAnsi="方正仿宋_GBK" w:eastAsia="方正仿宋_GBK" w:cs="方正仿宋_GBK"/>
              <w:sz w:val="24"/>
              <w:szCs w:val="24"/>
              <w:lang w:val="en-US" w:eastAsia="zh-CN"/>
            </w:rPr>
            <w:t>3</w:t>
          </w:r>
        </w:p>
        <w:p>
          <w:pPr>
            <w:pStyle w:val="38"/>
            <w:keepNext w:val="0"/>
            <w:keepLines w:val="0"/>
            <w:pageBreakBefore w:val="0"/>
            <w:tabs>
              <w:tab w:val="right" w:leader="dot" w:pos="8306"/>
            </w:tabs>
            <w:kinsoku/>
            <w:wordWrap/>
            <w:overflowPunct/>
            <w:topLinePunct w:val="0"/>
            <w:autoSpaceDE/>
            <w:autoSpaceDN/>
            <w:bidi w:val="0"/>
            <w:adjustRightInd/>
            <w:snapToGrid/>
            <w:spacing w:line="240" w:lineRule="auto"/>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rPr>
            <w:fldChar w:fldCharType="begin"/>
          </w:r>
          <w:r>
            <w:rPr>
              <w:rFonts w:hint="eastAsia" w:ascii="方正仿宋_GBK" w:hAnsi="方正仿宋_GBK" w:eastAsia="方正仿宋_GBK" w:cs="方正仿宋_GBK"/>
              <w:sz w:val="24"/>
              <w:szCs w:val="24"/>
            </w:rPr>
            <w:instrText xml:space="preserve"> HYPERLINK \l _Toc11166_WPSOffice_Level2 </w:instrText>
          </w:r>
          <w:r>
            <w:rPr>
              <w:rFonts w:hint="eastAsia" w:ascii="方正仿宋_GBK" w:hAnsi="方正仿宋_GBK" w:eastAsia="方正仿宋_GBK" w:cs="方正仿宋_GBK"/>
              <w:sz w:val="24"/>
              <w:szCs w:val="24"/>
            </w:rPr>
            <w:fldChar w:fldCharType="separate"/>
          </w:r>
          <w:sdt>
            <w:sdtPr>
              <w:rPr>
                <w:rFonts w:hint="eastAsia" w:ascii="方正仿宋_GBK" w:hAnsi="方正仿宋_GBK" w:eastAsia="方正仿宋_GBK" w:cs="方正仿宋_GBK"/>
                <w:kern w:val="2"/>
                <w:sz w:val="24"/>
                <w:szCs w:val="24"/>
                <w:lang w:val="en-US" w:eastAsia="zh-CN" w:bidi="ar-SA"/>
              </w:rPr>
              <w:id w:val="147457632"/>
              <w:placeholder>
                <w:docPart w:val="{7f0d9605-6cb9-4bdf-9328-f622ec9f4af4}"/>
              </w:placeholder>
            </w:sdtPr>
            <w:sdtEndPr>
              <w:rPr>
                <w:rFonts w:hint="eastAsia" w:ascii="方正仿宋_GBK" w:hAnsi="方正仿宋_GBK" w:eastAsia="方正仿宋_GBK" w:cs="方正仿宋_GBK"/>
                <w:kern w:val="2"/>
                <w:sz w:val="24"/>
                <w:szCs w:val="24"/>
                <w:lang w:val="en-US" w:eastAsia="zh-CN" w:bidi="ar-SA"/>
              </w:rPr>
            </w:sdtEndPr>
            <w:sdtContent>
              <w:r>
                <w:rPr>
                  <w:rFonts w:hint="eastAsia" w:ascii="方正仿宋_GBK" w:hAnsi="方正仿宋_GBK" w:eastAsia="方正仿宋_GBK" w:cs="方正仿宋_GBK"/>
                  <w:sz w:val="24"/>
                  <w:szCs w:val="24"/>
                </w:rPr>
                <w:t>四、财政拨款收入支出决算总表</w:t>
              </w:r>
            </w:sdtContent>
          </w:sdt>
          <w:r>
            <w:rPr>
              <w:rFonts w:hint="eastAsia" w:ascii="方正仿宋_GBK" w:hAnsi="方正仿宋_GBK" w:eastAsia="方正仿宋_GBK" w:cs="方正仿宋_GBK"/>
              <w:sz w:val="24"/>
              <w:szCs w:val="24"/>
            </w:rPr>
            <w:tab/>
          </w:r>
          <w:r>
            <w:rPr>
              <w:rFonts w:hint="eastAsia" w:ascii="方正仿宋_GBK" w:hAnsi="方正仿宋_GBK" w:eastAsia="方正仿宋_GBK" w:cs="方正仿宋_GBK"/>
              <w:sz w:val="24"/>
              <w:szCs w:val="24"/>
              <w:lang w:val="en-US" w:eastAsia="zh-CN"/>
            </w:rPr>
            <w:t>3</w:t>
          </w:r>
          <w:r>
            <w:rPr>
              <w:rFonts w:hint="eastAsia" w:ascii="方正仿宋_GBK" w:hAnsi="方正仿宋_GBK" w:eastAsia="方正仿宋_GBK" w:cs="方正仿宋_GBK"/>
              <w:sz w:val="24"/>
              <w:szCs w:val="24"/>
            </w:rPr>
            <w:fldChar w:fldCharType="end"/>
          </w:r>
          <w:r>
            <w:rPr>
              <w:rFonts w:hint="eastAsia" w:ascii="方正仿宋_GBK" w:hAnsi="方正仿宋_GBK" w:eastAsia="方正仿宋_GBK" w:cs="方正仿宋_GBK"/>
              <w:sz w:val="24"/>
              <w:szCs w:val="24"/>
              <w:lang w:val="en-US" w:eastAsia="zh-CN"/>
            </w:rPr>
            <w:t>3</w:t>
          </w:r>
        </w:p>
        <w:p>
          <w:pPr>
            <w:pStyle w:val="38"/>
            <w:keepNext w:val="0"/>
            <w:keepLines w:val="0"/>
            <w:pageBreakBefore w:val="0"/>
            <w:tabs>
              <w:tab w:val="right" w:leader="dot" w:pos="8306"/>
            </w:tabs>
            <w:kinsoku/>
            <w:wordWrap/>
            <w:overflowPunct/>
            <w:topLinePunct w:val="0"/>
            <w:autoSpaceDE/>
            <w:autoSpaceDN/>
            <w:bidi w:val="0"/>
            <w:adjustRightInd/>
            <w:snapToGrid/>
            <w:spacing w:line="240" w:lineRule="auto"/>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rPr>
            <w:fldChar w:fldCharType="begin"/>
          </w:r>
          <w:r>
            <w:rPr>
              <w:rFonts w:hint="eastAsia" w:ascii="方正仿宋_GBK" w:hAnsi="方正仿宋_GBK" w:eastAsia="方正仿宋_GBK" w:cs="方正仿宋_GBK"/>
              <w:sz w:val="24"/>
              <w:szCs w:val="24"/>
            </w:rPr>
            <w:instrText xml:space="preserve"> HYPERLINK \l _Toc3147_WPSOffice_Level2 </w:instrText>
          </w:r>
          <w:r>
            <w:rPr>
              <w:rFonts w:hint="eastAsia" w:ascii="方正仿宋_GBK" w:hAnsi="方正仿宋_GBK" w:eastAsia="方正仿宋_GBK" w:cs="方正仿宋_GBK"/>
              <w:sz w:val="24"/>
              <w:szCs w:val="24"/>
            </w:rPr>
            <w:fldChar w:fldCharType="separate"/>
          </w:r>
          <w:sdt>
            <w:sdtPr>
              <w:rPr>
                <w:rFonts w:hint="eastAsia" w:ascii="方正仿宋_GBK" w:hAnsi="方正仿宋_GBK" w:eastAsia="方正仿宋_GBK" w:cs="方正仿宋_GBK"/>
                <w:kern w:val="2"/>
                <w:sz w:val="24"/>
                <w:szCs w:val="24"/>
                <w:lang w:val="en-US" w:eastAsia="zh-CN" w:bidi="ar-SA"/>
              </w:rPr>
              <w:id w:val="147465972"/>
              <w:placeholder>
                <w:docPart w:val="{fe383121-c70a-4214-afc6-6ff9536131e5}"/>
              </w:placeholder>
            </w:sdtPr>
            <w:sdtEndPr>
              <w:rPr>
                <w:rFonts w:hint="eastAsia" w:ascii="方正仿宋_GBK" w:hAnsi="方正仿宋_GBK" w:eastAsia="方正仿宋_GBK" w:cs="方正仿宋_GBK"/>
                <w:kern w:val="2"/>
                <w:sz w:val="24"/>
                <w:szCs w:val="24"/>
                <w:lang w:val="en-US" w:eastAsia="zh-CN" w:bidi="ar-SA"/>
              </w:rPr>
            </w:sdtEndPr>
            <w:sdtContent>
              <w:r>
                <w:rPr>
                  <w:rFonts w:hint="eastAsia" w:ascii="方正仿宋_GBK" w:hAnsi="方正仿宋_GBK" w:eastAsia="方正仿宋_GBK" w:cs="方正仿宋_GBK"/>
                  <w:sz w:val="24"/>
                  <w:szCs w:val="24"/>
                </w:rPr>
                <w:t>五、财政拨款支出决算明细表</w:t>
              </w:r>
            </w:sdtContent>
          </w:sdt>
          <w:r>
            <w:rPr>
              <w:rFonts w:hint="eastAsia" w:ascii="方正仿宋_GBK" w:hAnsi="方正仿宋_GBK" w:eastAsia="方正仿宋_GBK" w:cs="方正仿宋_GBK"/>
              <w:sz w:val="24"/>
              <w:szCs w:val="24"/>
            </w:rPr>
            <w:tab/>
          </w:r>
          <w:r>
            <w:rPr>
              <w:rFonts w:hint="eastAsia" w:ascii="方正仿宋_GBK" w:hAnsi="方正仿宋_GBK" w:eastAsia="方正仿宋_GBK" w:cs="方正仿宋_GBK"/>
              <w:sz w:val="24"/>
              <w:szCs w:val="24"/>
              <w:lang w:val="en-US" w:eastAsia="zh-CN"/>
            </w:rPr>
            <w:t>3</w:t>
          </w:r>
          <w:r>
            <w:rPr>
              <w:rFonts w:hint="eastAsia" w:ascii="方正仿宋_GBK" w:hAnsi="方正仿宋_GBK" w:eastAsia="方正仿宋_GBK" w:cs="方正仿宋_GBK"/>
              <w:sz w:val="24"/>
              <w:szCs w:val="24"/>
            </w:rPr>
            <w:fldChar w:fldCharType="end"/>
          </w:r>
          <w:r>
            <w:rPr>
              <w:rFonts w:hint="eastAsia" w:ascii="方正仿宋_GBK" w:hAnsi="方正仿宋_GBK" w:eastAsia="方正仿宋_GBK" w:cs="方正仿宋_GBK"/>
              <w:sz w:val="24"/>
              <w:szCs w:val="24"/>
              <w:lang w:val="en-US" w:eastAsia="zh-CN"/>
            </w:rPr>
            <w:t>3</w:t>
          </w:r>
        </w:p>
        <w:p>
          <w:pPr>
            <w:pStyle w:val="38"/>
            <w:keepNext w:val="0"/>
            <w:keepLines w:val="0"/>
            <w:pageBreakBefore w:val="0"/>
            <w:tabs>
              <w:tab w:val="right" w:leader="dot" w:pos="8306"/>
            </w:tabs>
            <w:kinsoku/>
            <w:wordWrap/>
            <w:overflowPunct/>
            <w:topLinePunct w:val="0"/>
            <w:autoSpaceDE/>
            <w:autoSpaceDN/>
            <w:bidi w:val="0"/>
            <w:adjustRightInd/>
            <w:snapToGrid/>
            <w:spacing w:line="240" w:lineRule="auto"/>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rPr>
            <w:fldChar w:fldCharType="begin"/>
          </w:r>
          <w:r>
            <w:rPr>
              <w:rFonts w:hint="eastAsia" w:ascii="方正仿宋_GBK" w:hAnsi="方正仿宋_GBK" w:eastAsia="方正仿宋_GBK" w:cs="方正仿宋_GBK"/>
              <w:sz w:val="24"/>
              <w:szCs w:val="24"/>
            </w:rPr>
            <w:instrText xml:space="preserve"> HYPERLINK \l _Toc12939_WPSOffice_Level2 </w:instrText>
          </w:r>
          <w:r>
            <w:rPr>
              <w:rFonts w:hint="eastAsia" w:ascii="方正仿宋_GBK" w:hAnsi="方正仿宋_GBK" w:eastAsia="方正仿宋_GBK" w:cs="方正仿宋_GBK"/>
              <w:sz w:val="24"/>
              <w:szCs w:val="24"/>
            </w:rPr>
            <w:fldChar w:fldCharType="separate"/>
          </w:r>
          <w:sdt>
            <w:sdtPr>
              <w:rPr>
                <w:rFonts w:hint="eastAsia" w:ascii="方正仿宋_GBK" w:hAnsi="方正仿宋_GBK" w:eastAsia="方正仿宋_GBK" w:cs="方正仿宋_GBK"/>
                <w:kern w:val="2"/>
                <w:sz w:val="24"/>
                <w:szCs w:val="24"/>
                <w:lang w:val="en-US" w:eastAsia="zh-CN" w:bidi="ar-SA"/>
              </w:rPr>
              <w:id w:val="147481443"/>
              <w:placeholder>
                <w:docPart w:val="{3c184a6f-856e-4df1-a073-94d6e963109d}"/>
              </w:placeholder>
            </w:sdtPr>
            <w:sdtEndPr>
              <w:rPr>
                <w:rFonts w:hint="eastAsia" w:ascii="方正仿宋_GBK" w:hAnsi="方正仿宋_GBK" w:eastAsia="方正仿宋_GBK" w:cs="方正仿宋_GBK"/>
                <w:kern w:val="2"/>
                <w:sz w:val="24"/>
                <w:szCs w:val="24"/>
                <w:lang w:val="en-US" w:eastAsia="zh-CN" w:bidi="ar-SA"/>
              </w:rPr>
            </w:sdtEndPr>
            <w:sdtContent>
              <w:r>
                <w:rPr>
                  <w:rFonts w:hint="eastAsia" w:ascii="方正仿宋_GBK" w:hAnsi="方正仿宋_GBK" w:eastAsia="方正仿宋_GBK" w:cs="方正仿宋_GBK"/>
                  <w:sz w:val="24"/>
                  <w:szCs w:val="24"/>
                </w:rPr>
                <w:t>六、一般公共预算财政拨款支出决算表</w:t>
              </w:r>
            </w:sdtContent>
          </w:sdt>
          <w:r>
            <w:rPr>
              <w:rFonts w:hint="eastAsia" w:ascii="方正仿宋_GBK" w:hAnsi="方正仿宋_GBK" w:eastAsia="方正仿宋_GBK" w:cs="方正仿宋_GBK"/>
              <w:sz w:val="24"/>
              <w:szCs w:val="24"/>
            </w:rPr>
            <w:tab/>
          </w:r>
          <w:r>
            <w:rPr>
              <w:rFonts w:hint="eastAsia" w:ascii="方正仿宋_GBK" w:hAnsi="方正仿宋_GBK" w:eastAsia="方正仿宋_GBK" w:cs="方正仿宋_GBK"/>
              <w:sz w:val="24"/>
              <w:szCs w:val="24"/>
              <w:lang w:val="en-US" w:eastAsia="zh-CN"/>
            </w:rPr>
            <w:t>3</w:t>
          </w:r>
          <w:r>
            <w:rPr>
              <w:rFonts w:hint="eastAsia" w:ascii="方正仿宋_GBK" w:hAnsi="方正仿宋_GBK" w:eastAsia="方正仿宋_GBK" w:cs="方正仿宋_GBK"/>
              <w:sz w:val="24"/>
              <w:szCs w:val="24"/>
            </w:rPr>
            <w:fldChar w:fldCharType="end"/>
          </w:r>
          <w:r>
            <w:rPr>
              <w:rFonts w:hint="eastAsia" w:ascii="方正仿宋_GBK" w:hAnsi="方正仿宋_GBK" w:eastAsia="方正仿宋_GBK" w:cs="方正仿宋_GBK"/>
              <w:sz w:val="24"/>
              <w:szCs w:val="24"/>
              <w:lang w:val="en-US" w:eastAsia="zh-CN"/>
            </w:rPr>
            <w:t>3</w:t>
          </w:r>
        </w:p>
        <w:p>
          <w:pPr>
            <w:pStyle w:val="38"/>
            <w:keepNext w:val="0"/>
            <w:keepLines w:val="0"/>
            <w:pageBreakBefore w:val="0"/>
            <w:tabs>
              <w:tab w:val="right" w:leader="dot" w:pos="8306"/>
            </w:tabs>
            <w:kinsoku/>
            <w:wordWrap/>
            <w:overflowPunct/>
            <w:topLinePunct w:val="0"/>
            <w:autoSpaceDE/>
            <w:autoSpaceDN/>
            <w:bidi w:val="0"/>
            <w:adjustRightInd/>
            <w:snapToGrid/>
            <w:spacing w:line="240" w:lineRule="auto"/>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rPr>
            <w:fldChar w:fldCharType="begin"/>
          </w:r>
          <w:r>
            <w:rPr>
              <w:rFonts w:hint="eastAsia" w:ascii="方正仿宋_GBK" w:hAnsi="方正仿宋_GBK" w:eastAsia="方正仿宋_GBK" w:cs="方正仿宋_GBK"/>
              <w:sz w:val="24"/>
              <w:szCs w:val="24"/>
            </w:rPr>
            <w:instrText xml:space="preserve"> HYPERLINK \l _Toc31201_WPSOffice_Level2 </w:instrText>
          </w:r>
          <w:r>
            <w:rPr>
              <w:rFonts w:hint="eastAsia" w:ascii="方正仿宋_GBK" w:hAnsi="方正仿宋_GBK" w:eastAsia="方正仿宋_GBK" w:cs="方正仿宋_GBK"/>
              <w:sz w:val="24"/>
              <w:szCs w:val="24"/>
            </w:rPr>
            <w:fldChar w:fldCharType="separate"/>
          </w:r>
          <w:sdt>
            <w:sdtPr>
              <w:rPr>
                <w:rFonts w:hint="eastAsia" w:ascii="方正仿宋_GBK" w:hAnsi="方正仿宋_GBK" w:eastAsia="方正仿宋_GBK" w:cs="方正仿宋_GBK"/>
                <w:kern w:val="2"/>
                <w:sz w:val="24"/>
                <w:szCs w:val="24"/>
                <w:lang w:val="en-US" w:eastAsia="zh-CN" w:bidi="ar-SA"/>
              </w:rPr>
              <w:id w:val="147460900"/>
              <w:placeholder>
                <w:docPart w:val="{b6c6a74a-372f-473f-abc6-4a59cd8f0a96}"/>
              </w:placeholder>
            </w:sdtPr>
            <w:sdtEndPr>
              <w:rPr>
                <w:rFonts w:hint="eastAsia" w:ascii="方正仿宋_GBK" w:hAnsi="方正仿宋_GBK" w:eastAsia="方正仿宋_GBK" w:cs="方正仿宋_GBK"/>
                <w:kern w:val="2"/>
                <w:sz w:val="24"/>
                <w:szCs w:val="24"/>
                <w:lang w:val="en-US" w:eastAsia="zh-CN" w:bidi="ar-SA"/>
              </w:rPr>
            </w:sdtEndPr>
            <w:sdtContent>
              <w:r>
                <w:rPr>
                  <w:rFonts w:hint="eastAsia" w:ascii="方正仿宋_GBK" w:hAnsi="方正仿宋_GBK" w:eastAsia="方正仿宋_GBK" w:cs="方正仿宋_GBK"/>
                  <w:sz w:val="24"/>
                  <w:szCs w:val="24"/>
                </w:rPr>
                <w:t>七、一般公共预算财政拨款支出决算明细表</w:t>
              </w:r>
            </w:sdtContent>
          </w:sdt>
          <w:r>
            <w:rPr>
              <w:rFonts w:hint="eastAsia" w:ascii="方正仿宋_GBK" w:hAnsi="方正仿宋_GBK" w:eastAsia="方正仿宋_GBK" w:cs="方正仿宋_GBK"/>
              <w:sz w:val="24"/>
              <w:szCs w:val="24"/>
            </w:rPr>
            <w:tab/>
          </w:r>
          <w:r>
            <w:rPr>
              <w:rFonts w:hint="eastAsia" w:ascii="方正仿宋_GBK" w:hAnsi="方正仿宋_GBK" w:eastAsia="方正仿宋_GBK" w:cs="方正仿宋_GBK"/>
              <w:sz w:val="24"/>
              <w:szCs w:val="24"/>
              <w:lang w:val="en-US" w:eastAsia="zh-CN"/>
            </w:rPr>
            <w:t>3</w:t>
          </w:r>
          <w:r>
            <w:rPr>
              <w:rFonts w:hint="eastAsia" w:ascii="方正仿宋_GBK" w:hAnsi="方正仿宋_GBK" w:eastAsia="方正仿宋_GBK" w:cs="方正仿宋_GBK"/>
              <w:sz w:val="24"/>
              <w:szCs w:val="24"/>
            </w:rPr>
            <w:fldChar w:fldCharType="end"/>
          </w:r>
          <w:r>
            <w:rPr>
              <w:rFonts w:hint="eastAsia" w:ascii="方正仿宋_GBK" w:hAnsi="方正仿宋_GBK" w:eastAsia="方正仿宋_GBK" w:cs="方正仿宋_GBK"/>
              <w:sz w:val="24"/>
              <w:szCs w:val="24"/>
              <w:lang w:val="en-US" w:eastAsia="zh-CN"/>
            </w:rPr>
            <w:t>3</w:t>
          </w:r>
        </w:p>
        <w:p>
          <w:pPr>
            <w:pStyle w:val="38"/>
            <w:keepNext w:val="0"/>
            <w:keepLines w:val="0"/>
            <w:pageBreakBefore w:val="0"/>
            <w:tabs>
              <w:tab w:val="right" w:leader="dot" w:pos="8306"/>
            </w:tabs>
            <w:kinsoku/>
            <w:wordWrap/>
            <w:overflowPunct/>
            <w:topLinePunct w:val="0"/>
            <w:autoSpaceDE/>
            <w:autoSpaceDN/>
            <w:bidi w:val="0"/>
            <w:adjustRightInd/>
            <w:snapToGrid/>
            <w:spacing w:line="240" w:lineRule="auto"/>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rPr>
            <w:fldChar w:fldCharType="begin"/>
          </w:r>
          <w:r>
            <w:rPr>
              <w:rFonts w:hint="eastAsia" w:ascii="方正仿宋_GBK" w:hAnsi="方正仿宋_GBK" w:eastAsia="方正仿宋_GBK" w:cs="方正仿宋_GBK"/>
              <w:sz w:val="24"/>
              <w:szCs w:val="24"/>
            </w:rPr>
            <w:instrText xml:space="preserve"> HYPERLINK \l _Toc31943_WPSOffice_Level2 </w:instrText>
          </w:r>
          <w:r>
            <w:rPr>
              <w:rFonts w:hint="eastAsia" w:ascii="方正仿宋_GBK" w:hAnsi="方正仿宋_GBK" w:eastAsia="方正仿宋_GBK" w:cs="方正仿宋_GBK"/>
              <w:sz w:val="24"/>
              <w:szCs w:val="24"/>
            </w:rPr>
            <w:fldChar w:fldCharType="separate"/>
          </w:r>
          <w:sdt>
            <w:sdtPr>
              <w:rPr>
                <w:rFonts w:hint="eastAsia" w:ascii="方正仿宋_GBK" w:hAnsi="方正仿宋_GBK" w:eastAsia="方正仿宋_GBK" w:cs="方正仿宋_GBK"/>
                <w:kern w:val="2"/>
                <w:sz w:val="24"/>
                <w:szCs w:val="24"/>
                <w:lang w:val="en-US" w:eastAsia="zh-CN" w:bidi="ar-SA"/>
              </w:rPr>
              <w:id w:val="147478017"/>
              <w:placeholder>
                <w:docPart w:val="{e5daa38a-b9f5-48e3-8eea-30a7a3ed3aca}"/>
              </w:placeholder>
            </w:sdtPr>
            <w:sdtEndPr>
              <w:rPr>
                <w:rFonts w:hint="eastAsia" w:ascii="方正仿宋_GBK" w:hAnsi="方正仿宋_GBK" w:eastAsia="方正仿宋_GBK" w:cs="方正仿宋_GBK"/>
                <w:kern w:val="2"/>
                <w:sz w:val="24"/>
                <w:szCs w:val="24"/>
                <w:lang w:val="en-US" w:eastAsia="zh-CN" w:bidi="ar-SA"/>
              </w:rPr>
            </w:sdtEndPr>
            <w:sdtContent>
              <w:r>
                <w:rPr>
                  <w:rFonts w:hint="eastAsia" w:ascii="方正仿宋_GBK" w:hAnsi="方正仿宋_GBK" w:eastAsia="方正仿宋_GBK" w:cs="方正仿宋_GBK"/>
                  <w:sz w:val="24"/>
                  <w:szCs w:val="24"/>
                </w:rPr>
                <w:t>八、一般公共预算财政拨款基本支出决算表</w:t>
              </w:r>
            </w:sdtContent>
          </w:sdt>
          <w:r>
            <w:rPr>
              <w:rFonts w:hint="eastAsia" w:ascii="方正仿宋_GBK" w:hAnsi="方正仿宋_GBK" w:eastAsia="方正仿宋_GBK" w:cs="方正仿宋_GBK"/>
              <w:sz w:val="24"/>
              <w:szCs w:val="24"/>
            </w:rPr>
            <w:tab/>
          </w:r>
          <w:r>
            <w:rPr>
              <w:rFonts w:hint="eastAsia" w:ascii="方正仿宋_GBK" w:hAnsi="方正仿宋_GBK" w:eastAsia="方正仿宋_GBK" w:cs="方正仿宋_GBK"/>
              <w:sz w:val="24"/>
              <w:szCs w:val="24"/>
              <w:lang w:val="en-US" w:eastAsia="zh-CN"/>
            </w:rPr>
            <w:t>3</w:t>
          </w:r>
          <w:r>
            <w:rPr>
              <w:rFonts w:hint="eastAsia" w:ascii="方正仿宋_GBK" w:hAnsi="方正仿宋_GBK" w:eastAsia="方正仿宋_GBK" w:cs="方正仿宋_GBK"/>
              <w:sz w:val="24"/>
              <w:szCs w:val="24"/>
            </w:rPr>
            <w:fldChar w:fldCharType="end"/>
          </w:r>
          <w:r>
            <w:rPr>
              <w:rFonts w:hint="eastAsia" w:ascii="方正仿宋_GBK" w:hAnsi="方正仿宋_GBK" w:eastAsia="方正仿宋_GBK" w:cs="方正仿宋_GBK"/>
              <w:sz w:val="24"/>
              <w:szCs w:val="24"/>
              <w:lang w:val="en-US" w:eastAsia="zh-CN"/>
            </w:rPr>
            <w:t>3</w:t>
          </w:r>
        </w:p>
        <w:p>
          <w:pPr>
            <w:pStyle w:val="38"/>
            <w:keepNext w:val="0"/>
            <w:keepLines w:val="0"/>
            <w:pageBreakBefore w:val="0"/>
            <w:tabs>
              <w:tab w:val="right" w:leader="dot" w:pos="8306"/>
            </w:tabs>
            <w:kinsoku/>
            <w:wordWrap/>
            <w:overflowPunct/>
            <w:topLinePunct w:val="0"/>
            <w:autoSpaceDE/>
            <w:autoSpaceDN/>
            <w:bidi w:val="0"/>
            <w:adjustRightInd/>
            <w:snapToGrid/>
            <w:spacing w:line="240" w:lineRule="auto"/>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rPr>
            <w:fldChar w:fldCharType="begin"/>
          </w:r>
          <w:r>
            <w:rPr>
              <w:rFonts w:hint="eastAsia" w:ascii="方正仿宋_GBK" w:hAnsi="方正仿宋_GBK" w:eastAsia="方正仿宋_GBK" w:cs="方正仿宋_GBK"/>
              <w:sz w:val="24"/>
              <w:szCs w:val="24"/>
            </w:rPr>
            <w:instrText xml:space="preserve"> HYPERLINK \l _Toc5070_WPSOffice_Level2 </w:instrText>
          </w:r>
          <w:r>
            <w:rPr>
              <w:rFonts w:hint="eastAsia" w:ascii="方正仿宋_GBK" w:hAnsi="方正仿宋_GBK" w:eastAsia="方正仿宋_GBK" w:cs="方正仿宋_GBK"/>
              <w:sz w:val="24"/>
              <w:szCs w:val="24"/>
            </w:rPr>
            <w:fldChar w:fldCharType="separate"/>
          </w:r>
          <w:sdt>
            <w:sdtPr>
              <w:rPr>
                <w:rFonts w:hint="eastAsia" w:ascii="方正仿宋_GBK" w:hAnsi="方正仿宋_GBK" w:eastAsia="方正仿宋_GBK" w:cs="方正仿宋_GBK"/>
                <w:kern w:val="2"/>
                <w:sz w:val="24"/>
                <w:szCs w:val="24"/>
                <w:lang w:val="en-US" w:eastAsia="zh-CN" w:bidi="ar-SA"/>
              </w:rPr>
              <w:id w:val="147477275"/>
              <w:placeholder>
                <w:docPart w:val="{6fca9e31-70cd-4d64-82cc-9b5c0af81b2b}"/>
              </w:placeholder>
            </w:sdtPr>
            <w:sdtEndPr>
              <w:rPr>
                <w:rFonts w:hint="eastAsia" w:ascii="方正仿宋_GBK" w:hAnsi="方正仿宋_GBK" w:eastAsia="方正仿宋_GBK" w:cs="方正仿宋_GBK"/>
                <w:kern w:val="2"/>
                <w:sz w:val="24"/>
                <w:szCs w:val="24"/>
                <w:lang w:val="en-US" w:eastAsia="zh-CN" w:bidi="ar-SA"/>
              </w:rPr>
            </w:sdtEndPr>
            <w:sdtContent>
              <w:r>
                <w:rPr>
                  <w:rFonts w:hint="eastAsia" w:ascii="方正仿宋_GBK" w:hAnsi="方正仿宋_GBK" w:eastAsia="方正仿宋_GBK" w:cs="方正仿宋_GBK"/>
                  <w:sz w:val="24"/>
                  <w:szCs w:val="24"/>
                </w:rPr>
                <w:t>九、一般公共预算财政拨款项目支出决算表</w:t>
              </w:r>
            </w:sdtContent>
          </w:sdt>
          <w:r>
            <w:rPr>
              <w:rFonts w:hint="eastAsia" w:ascii="方正仿宋_GBK" w:hAnsi="方正仿宋_GBK" w:eastAsia="方正仿宋_GBK" w:cs="方正仿宋_GBK"/>
              <w:sz w:val="24"/>
              <w:szCs w:val="24"/>
            </w:rPr>
            <w:tab/>
          </w:r>
          <w:r>
            <w:rPr>
              <w:rFonts w:hint="eastAsia" w:ascii="方正仿宋_GBK" w:hAnsi="方正仿宋_GBK" w:eastAsia="方正仿宋_GBK" w:cs="方正仿宋_GBK"/>
              <w:sz w:val="24"/>
              <w:szCs w:val="24"/>
              <w:lang w:val="en-US" w:eastAsia="zh-CN"/>
            </w:rPr>
            <w:t>3</w:t>
          </w:r>
          <w:r>
            <w:rPr>
              <w:rFonts w:hint="eastAsia" w:ascii="方正仿宋_GBK" w:hAnsi="方正仿宋_GBK" w:eastAsia="方正仿宋_GBK" w:cs="方正仿宋_GBK"/>
              <w:sz w:val="24"/>
              <w:szCs w:val="24"/>
            </w:rPr>
            <w:fldChar w:fldCharType="end"/>
          </w:r>
          <w:r>
            <w:rPr>
              <w:rFonts w:hint="eastAsia" w:ascii="方正仿宋_GBK" w:hAnsi="方正仿宋_GBK" w:eastAsia="方正仿宋_GBK" w:cs="方正仿宋_GBK"/>
              <w:sz w:val="24"/>
              <w:szCs w:val="24"/>
              <w:lang w:val="en-US" w:eastAsia="zh-CN"/>
            </w:rPr>
            <w:t>3</w:t>
          </w:r>
        </w:p>
        <w:p>
          <w:pPr>
            <w:pStyle w:val="38"/>
            <w:keepNext w:val="0"/>
            <w:keepLines w:val="0"/>
            <w:pageBreakBefore w:val="0"/>
            <w:tabs>
              <w:tab w:val="right" w:leader="dot" w:pos="8306"/>
            </w:tabs>
            <w:kinsoku/>
            <w:wordWrap/>
            <w:overflowPunct/>
            <w:topLinePunct w:val="0"/>
            <w:autoSpaceDE/>
            <w:autoSpaceDN/>
            <w:bidi w:val="0"/>
            <w:adjustRightInd/>
            <w:snapToGrid/>
            <w:spacing w:line="240" w:lineRule="auto"/>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rPr>
            <w:fldChar w:fldCharType="begin"/>
          </w:r>
          <w:r>
            <w:rPr>
              <w:rFonts w:hint="eastAsia" w:ascii="方正仿宋_GBK" w:hAnsi="方正仿宋_GBK" w:eastAsia="方正仿宋_GBK" w:cs="方正仿宋_GBK"/>
              <w:sz w:val="24"/>
              <w:szCs w:val="24"/>
            </w:rPr>
            <w:instrText xml:space="preserve"> HYPERLINK \l _Toc12352_WPSOffice_Level2 </w:instrText>
          </w:r>
          <w:r>
            <w:rPr>
              <w:rFonts w:hint="eastAsia" w:ascii="方正仿宋_GBK" w:hAnsi="方正仿宋_GBK" w:eastAsia="方正仿宋_GBK" w:cs="方正仿宋_GBK"/>
              <w:sz w:val="24"/>
              <w:szCs w:val="24"/>
            </w:rPr>
            <w:fldChar w:fldCharType="separate"/>
          </w:r>
          <w:sdt>
            <w:sdtPr>
              <w:rPr>
                <w:rFonts w:hint="eastAsia" w:ascii="方正仿宋_GBK" w:hAnsi="方正仿宋_GBK" w:eastAsia="方正仿宋_GBK" w:cs="方正仿宋_GBK"/>
                <w:kern w:val="2"/>
                <w:sz w:val="24"/>
                <w:szCs w:val="24"/>
                <w:lang w:val="en-US" w:eastAsia="zh-CN" w:bidi="ar-SA"/>
              </w:rPr>
              <w:id w:val="147461773"/>
              <w:placeholder>
                <w:docPart w:val="{d4d24fe7-77ba-43a7-941c-851faf11e44c}"/>
              </w:placeholder>
            </w:sdtPr>
            <w:sdtEndPr>
              <w:rPr>
                <w:rFonts w:hint="eastAsia" w:ascii="方正仿宋_GBK" w:hAnsi="方正仿宋_GBK" w:eastAsia="方正仿宋_GBK" w:cs="方正仿宋_GBK"/>
                <w:kern w:val="2"/>
                <w:sz w:val="24"/>
                <w:szCs w:val="24"/>
                <w:lang w:val="en-US" w:eastAsia="zh-CN" w:bidi="ar-SA"/>
              </w:rPr>
            </w:sdtEndPr>
            <w:sdtContent>
              <w:r>
                <w:rPr>
                  <w:rFonts w:hint="eastAsia" w:ascii="方正仿宋_GBK" w:hAnsi="方正仿宋_GBK" w:eastAsia="方正仿宋_GBK" w:cs="方正仿宋_GBK"/>
                  <w:sz w:val="24"/>
                  <w:szCs w:val="24"/>
                </w:rPr>
                <w:t>十、政府性基金预算财政拨款收入支出决算表</w:t>
              </w:r>
            </w:sdtContent>
          </w:sdt>
          <w:r>
            <w:rPr>
              <w:rFonts w:hint="eastAsia" w:ascii="方正仿宋_GBK" w:hAnsi="方正仿宋_GBK" w:eastAsia="方正仿宋_GBK" w:cs="方正仿宋_GBK"/>
              <w:sz w:val="24"/>
              <w:szCs w:val="24"/>
            </w:rPr>
            <w:tab/>
          </w:r>
          <w:r>
            <w:rPr>
              <w:rFonts w:hint="eastAsia" w:ascii="方正仿宋_GBK" w:hAnsi="方正仿宋_GBK" w:eastAsia="方正仿宋_GBK" w:cs="方正仿宋_GBK"/>
              <w:sz w:val="24"/>
              <w:szCs w:val="24"/>
              <w:lang w:val="en-US" w:eastAsia="zh-CN"/>
            </w:rPr>
            <w:t>3</w:t>
          </w:r>
          <w:r>
            <w:rPr>
              <w:rFonts w:hint="eastAsia" w:ascii="方正仿宋_GBK" w:hAnsi="方正仿宋_GBK" w:eastAsia="方正仿宋_GBK" w:cs="方正仿宋_GBK"/>
              <w:sz w:val="24"/>
              <w:szCs w:val="24"/>
            </w:rPr>
            <w:fldChar w:fldCharType="end"/>
          </w:r>
          <w:r>
            <w:rPr>
              <w:rFonts w:hint="eastAsia" w:ascii="方正仿宋_GBK" w:hAnsi="方正仿宋_GBK" w:eastAsia="方正仿宋_GBK" w:cs="方正仿宋_GBK"/>
              <w:sz w:val="24"/>
              <w:szCs w:val="24"/>
              <w:lang w:val="en-US" w:eastAsia="zh-CN"/>
            </w:rPr>
            <w:t>3</w:t>
          </w:r>
        </w:p>
        <w:p>
          <w:pPr>
            <w:pStyle w:val="38"/>
            <w:keepNext w:val="0"/>
            <w:keepLines w:val="0"/>
            <w:pageBreakBefore w:val="0"/>
            <w:tabs>
              <w:tab w:val="right" w:leader="dot" w:pos="8306"/>
            </w:tabs>
            <w:kinsoku/>
            <w:wordWrap/>
            <w:overflowPunct/>
            <w:topLinePunct w:val="0"/>
            <w:autoSpaceDE/>
            <w:autoSpaceDN/>
            <w:bidi w:val="0"/>
            <w:adjustRightInd/>
            <w:snapToGrid/>
            <w:spacing w:line="240" w:lineRule="auto"/>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rPr>
            <w:fldChar w:fldCharType="begin"/>
          </w:r>
          <w:r>
            <w:rPr>
              <w:rFonts w:hint="eastAsia" w:ascii="方正仿宋_GBK" w:hAnsi="方正仿宋_GBK" w:eastAsia="方正仿宋_GBK" w:cs="方正仿宋_GBK"/>
              <w:sz w:val="24"/>
              <w:szCs w:val="24"/>
            </w:rPr>
            <w:instrText xml:space="preserve"> HYPERLINK \l _Toc13382_WPSOffice_Level2 </w:instrText>
          </w:r>
          <w:r>
            <w:rPr>
              <w:rFonts w:hint="eastAsia" w:ascii="方正仿宋_GBK" w:hAnsi="方正仿宋_GBK" w:eastAsia="方正仿宋_GBK" w:cs="方正仿宋_GBK"/>
              <w:sz w:val="24"/>
              <w:szCs w:val="24"/>
            </w:rPr>
            <w:fldChar w:fldCharType="separate"/>
          </w:r>
          <w:sdt>
            <w:sdtPr>
              <w:rPr>
                <w:rFonts w:hint="eastAsia" w:ascii="方正仿宋_GBK" w:hAnsi="方正仿宋_GBK" w:eastAsia="方正仿宋_GBK" w:cs="方正仿宋_GBK"/>
                <w:kern w:val="2"/>
                <w:sz w:val="24"/>
                <w:szCs w:val="24"/>
                <w:lang w:val="en-US" w:eastAsia="zh-CN" w:bidi="ar-SA"/>
              </w:rPr>
              <w:id w:val="147470476"/>
              <w:placeholder>
                <w:docPart w:val="{0533813d-0f3b-4318-a07c-c6079bf2ad25}"/>
              </w:placeholder>
            </w:sdtPr>
            <w:sdtEndPr>
              <w:rPr>
                <w:rFonts w:hint="eastAsia" w:ascii="方正仿宋_GBK" w:hAnsi="方正仿宋_GBK" w:eastAsia="方正仿宋_GBK" w:cs="方正仿宋_GBK"/>
                <w:kern w:val="2"/>
                <w:sz w:val="24"/>
                <w:szCs w:val="24"/>
                <w:lang w:val="en-US" w:eastAsia="zh-CN" w:bidi="ar-SA"/>
              </w:rPr>
            </w:sdtEndPr>
            <w:sdtContent>
              <w:r>
                <w:rPr>
                  <w:rFonts w:hint="eastAsia" w:ascii="方正仿宋_GBK" w:hAnsi="方正仿宋_GBK" w:eastAsia="方正仿宋_GBK" w:cs="方正仿宋_GBK"/>
                  <w:sz w:val="24"/>
                  <w:szCs w:val="24"/>
                </w:rPr>
                <w:t>十一、国有资本经营预算财政拨款收入支出决算表</w:t>
              </w:r>
            </w:sdtContent>
          </w:sdt>
          <w:r>
            <w:rPr>
              <w:rFonts w:hint="eastAsia" w:ascii="方正仿宋_GBK" w:hAnsi="方正仿宋_GBK" w:eastAsia="方正仿宋_GBK" w:cs="方正仿宋_GBK"/>
              <w:sz w:val="24"/>
              <w:szCs w:val="24"/>
            </w:rPr>
            <w:tab/>
          </w:r>
          <w:r>
            <w:rPr>
              <w:rFonts w:hint="eastAsia" w:ascii="方正仿宋_GBK" w:hAnsi="方正仿宋_GBK" w:eastAsia="方正仿宋_GBK" w:cs="方正仿宋_GBK"/>
              <w:sz w:val="24"/>
              <w:szCs w:val="24"/>
              <w:lang w:val="en-US" w:eastAsia="zh-CN"/>
            </w:rPr>
            <w:t>3</w:t>
          </w:r>
          <w:r>
            <w:rPr>
              <w:rFonts w:hint="eastAsia" w:ascii="方正仿宋_GBK" w:hAnsi="方正仿宋_GBK" w:eastAsia="方正仿宋_GBK" w:cs="方正仿宋_GBK"/>
              <w:sz w:val="24"/>
              <w:szCs w:val="24"/>
            </w:rPr>
            <w:fldChar w:fldCharType="end"/>
          </w:r>
          <w:r>
            <w:rPr>
              <w:rFonts w:hint="eastAsia" w:ascii="方正仿宋_GBK" w:hAnsi="方正仿宋_GBK" w:eastAsia="方正仿宋_GBK" w:cs="方正仿宋_GBK"/>
              <w:sz w:val="24"/>
              <w:szCs w:val="24"/>
              <w:lang w:val="en-US" w:eastAsia="zh-CN"/>
            </w:rPr>
            <w:t>3</w:t>
          </w:r>
        </w:p>
        <w:p>
          <w:pPr>
            <w:pStyle w:val="38"/>
            <w:keepNext w:val="0"/>
            <w:keepLines w:val="0"/>
            <w:pageBreakBefore w:val="0"/>
            <w:tabs>
              <w:tab w:val="right" w:leader="dot" w:pos="8306"/>
            </w:tabs>
            <w:kinsoku/>
            <w:wordWrap/>
            <w:overflowPunct/>
            <w:topLinePunct w:val="0"/>
            <w:autoSpaceDE/>
            <w:autoSpaceDN/>
            <w:bidi w:val="0"/>
            <w:adjustRightInd/>
            <w:snapToGrid/>
            <w:spacing w:line="240" w:lineRule="auto"/>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rPr>
            <w:fldChar w:fldCharType="begin"/>
          </w:r>
          <w:r>
            <w:rPr>
              <w:rFonts w:hint="eastAsia" w:ascii="方正仿宋_GBK" w:hAnsi="方正仿宋_GBK" w:eastAsia="方正仿宋_GBK" w:cs="方正仿宋_GBK"/>
              <w:sz w:val="24"/>
              <w:szCs w:val="24"/>
            </w:rPr>
            <w:instrText xml:space="preserve"> HYPERLINK \l _Toc25170_WPSOffice_Level2 </w:instrText>
          </w:r>
          <w:r>
            <w:rPr>
              <w:rFonts w:hint="eastAsia" w:ascii="方正仿宋_GBK" w:hAnsi="方正仿宋_GBK" w:eastAsia="方正仿宋_GBK" w:cs="方正仿宋_GBK"/>
              <w:sz w:val="24"/>
              <w:szCs w:val="24"/>
            </w:rPr>
            <w:fldChar w:fldCharType="separate"/>
          </w:r>
          <w:sdt>
            <w:sdtPr>
              <w:rPr>
                <w:rFonts w:hint="eastAsia" w:ascii="方正仿宋_GBK" w:hAnsi="方正仿宋_GBK" w:eastAsia="方正仿宋_GBK" w:cs="方正仿宋_GBK"/>
                <w:kern w:val="2"/>
                <w:sz w:val="24"/>
                <w:szCs w:val="24"/>
                <w:lang w:val="en-US" w:eastAsia="zh-CN" w:bidi="ar-SA"/>
              </w:rPr>
              <w:id w:val="147453915"/>
              <w:placeholder>
                <w:docPart w:val="{eb4d2ccd-952c-4e1b-81e4-764c99c4cb5e}"/>
              </w:placeholder>
            </w:sdtPr>
            <w:sdtEndPr>
              <w:rPr>
                <w:rFonts w:hint="eastAsia" w:ascii="方正仿宋_GBK" w:hAnsi="方正仿宋_GBK" w:eastAsia="方正仿宋_GBK" w:cs="方正仿宋_GBK"/>
                <w:kern w:val="2"/>
                <w:sz w:val="24"/>
                <w:szCs w:val="24"/>
                <w:lang w:val="en-US" w:eastAsia="zh-CN" w:bidi="ar-SA"/>
              </w:rPr>
            </w:sdtEndPr>
            <w:sdtContent>
              <w:r>
                <w:rPr>
                  <w:rFonts w:hint="eastAsia" w:ascii="方正仿宋_GBK" w:hAnsi="方正仿宋_GBK" w:eastAsia="方正仿宋_GBK" w:cs="方正仿宋_GBK"/>
                  <w:sz w:val="24"/>
                  <w:szCs w:val="24"/>
                </w:rPr>
                <w:t>十二、国有资本经营预算财政拨款支出决算表</w:t>
              </w:r>
            </w:sdtContent>
          </w:sdt>
          <w:r>
            <w:rPr>
              <w:rFonts w:hint="eastAsia" w:ascii="方正仿宋_GBK" w:hAnsi="方正仿宋_GBK" w:eastAsia="方正仿宋_GBK" w:cs="方正仿宋_GBK"/>
              <w:sz w:val="24"/>
              <w:szCs w:val="24"/>
            </w:rPr>
            <w:tab/>
          </w:r>
          <w:r>
            <w:rPr>
              <w:rFonts w:hint="eastAsia" w:ascii="方正仿宋_GBK" w:hAnsi="方正仿宋_GBK" w:eastAsia="方正仿宋_GBK" w:cs="方正仿宋_GBK"/>
              <w:sz w:val="24"/>
              <w:szCs w:val="24"/>
              <w:lang w:val="en-US" w:eastAsia="zh-CN"/>
            </w:rPr>
            <w:t>3</w:t>
          </w:r>
          <w:r>
            <w:rPr>
              <w:rFonts w:hint="eastAsia" w:ascii="方正仿宋_GBK" w:hAnsi="方正仿宋_GBK" w:eastAsia="方正仿宋_GBK" w:cs="方正仿宋_GBK"/>
              <w:sz w:val="24"/>
              <w:szCs w:val="24"/>
            </w:rPr>
            <w:fldChar w:fldCharType="end"/>
          </w:r>
          <w:r>
            <w:rPr>
              <w:rFonts w:hint="eastAsia" w:ascii="方正仿宋_GBK" w:hAnsi="方正仿宋_GBK" w:eastAsia="方正仿宋_GBK" w:cs="方正仿宋_GBK"/>
              <w:sz w:val="24"/>
              <w:szCs w:val="24"/>
              <w:lang w:val="en-US" w:eastAsia="zh-CN"/>
            </w:rPr>
            <w:t>3</w:t>
          </w:r>
        </w:p>
        <w:p>
          <w:pPr>
            <w:pStyle w:val="38"/>
            <w:keepNext w:val="0"/>
            <w:keepLines w:val="0"/>
            <w:pageBreakBefore w:val="0"/>
            <w:tabs>
              <w:tab w:val="right" w:leader="dot" w:pos="8306"/>
            </w:tabs>
            <w:kinsoku/>
            <w:wordWrap/>
            <w:overflowPunct/>
            <w:topLinePunct w:val="0"/>
            <w:autoSpaceDE/>
            <w:autoSpaceDN/>
            <w:bidi w:val="0"/>
            <w:adjustRightInd/>
            <w:snapToGrid/>
            <w:spacing w:line="240" w:lineRule="auto"/>
            <w:textAlignment w:val="auto"/>
            <w:rPr>
              <w:rFonts w:hint="default" w:ascii="Times New Roman" w:hAnsi="Times New Roman" w:eastAsia="方正小标宋简体" w:cs="Times New Roman"/>
              <w:b w:val="0"/>
            </w:rPr>
          </w:pPr>
          <w:r>
            <w:rPr>
              <w:rFonts w:hint="eastAsia" w:ascii="方正仿宋_GBK" w:hAnsi="方正仿宋_GBK" w:eastAsia="方正仿宋_GBK" w:cs="方正仿宋_GBK"/>
              <w:sz w:val="24"/>
              <w:szCs w:val="24"/>
            </w:rPr>
            <w:fldChar w:fldCharType="begin"/>
          </w:r>
          <w:r>
            <w:rPr>
              <w:rFonts w:hint="eastAsia" w:ascii="方正仿宋_GBK" w:hAnsi="方正仿宋_GBK" w:eastAsia="方正仿宋_GBK" w:cs="方正仿宋_GBK"/>
              <w:sz w:val="24"/>
              <w:szCs w:val="24"/>
            </w:rPr>
            <w:instrText xml:space="preserve"> HYPERLINK \l _Toc5958_WPSOffice_Level2 </w:instrText>
          </w:r>
          <w:r>
            <w:rPr>
              <w:rFonts w:hint="eastAsia" w:ascii="方正仿宋_GBK" w:hAnsi="方正仿宋_GBK" w:eastAsia="方正仿宋_GBK" w:cs="方正仿宋_GBK"/>
              <w:sz w:val="24"/>
              <w:szCs w:val="24"/>
            </w:rPr>
            <w:fldChar w:fldCharType="separate"/>
          </w:r>
          <w:sdt>
            <w:sdtPr>
              <w:rPr>
                <w:rFonts w:hint="eastAsia" w:ascii="方正仿宋_GBK" w:hAnsi="方正仿宋_GBK" w:eastAsia="方正仿宋_GBK" w:cs="方正仿宋_GBK"/>
                <w:kern w:val="2"/>
                <w:sz w:val="24"/>
                <w:szCs w:val="24"/>
                <w:lang w:val="en-US" w:eastAsia="zh-CN" w:bidi="ar-SA"/>
              </w:rPr>
              <w:id w:val="147475223"/>
              <w:placeholder>
                <w:docPart w:val="{6bb9255a-4caf-4a83-ac17-c09d52990a5a}"/>
              </w:placeholder>
            </w:sdtPr>
            <w:sdtEndPr>
              <w:rPr>
                <w:rFonts w:hint="eastAsia" w:ascii="方正仿宋_GBK" w:hAnsi="方正仿宋_GBK" w:eastAsia="方正仿宋_GBK" w:cs="方正仿宋_GBK"/>
                <w:kern w:val="2"/>
                <w:sz w:val="24"/>
                <w:szCs w:val="24"/>
                <w:lang w:val="en-US" w:eastAsia="zh-CN" w:bidi="ar-SA"/>
              </w:rPr>
            </w:sdtEndPr>
            <w:sdtContent>
              <w:r>
                <w:rPr>
                  <w:rFonts w:hint="eastAsia" w:ascii="方正仿宋_GBK" w:hAnsi="方正仿宋_GBK" w:eastAsia="方正仿宋_GBK" w:cs="方正仿宋_GBK"/>
                  <w:sz w:val="24"/>
                  <w:szCs w:val="24"/>
                </w:rPr>
                <w:t>十三、财政拨款“三公”经费支出决算表</w:t>
              </w:r>
            </w:sdtContent>
          </w:sdt>
          <w:r>
            <w:rPr>
              <w:rFonts w:hint="eastAsia" w:ascii="方正仿宋_GBK" w:hAnsi="方正仿宋_GBK" w:eastAsia="方正仿宋_GBK" w:cs="方正仿宋_GBK"/>
              <w:sz w:val="24"/>
              <w:szCs w:val="24"/>
            </w:rPr>
            <w:tab/>
          </w:r>
          <w:r>
            <w:rPr>
              <w:rFonts w:hint="eastAsia" w:ascii="方正仿宋_GBK" w:hAnsi="方正仿宋_GBK" w:eastAsia="方正仿宋_GBK" w:cs="方正仿宋_GBK"/>
              <w:sz w:val="24"/>
              <w:szCs w:val="24"/>
              <w:lang w:val="en-US" w:eastAsia="zh-CN"/>
            </w:rPr>
            <w:t>3</w:t>
          </w:r>
          <w:r>
            <w:rPr>
              <w:rFonts w:hint="eastAsia" w:ascii="方正仿宋_GBK" w:hAnsi="方正仿宋_GBK" w:eastAsia="方正仿宋_GBK" w:cs="方正仿宋_GBK"/>
              <w:sz w:val="24"/>
              <w:szCs w:val="24"/>
            </w:rPr>
            <w:fldChar w:fldCharType="end"/>
          </w:r>
          <w:bookmarkEnd w:id="0"/>
          <w:r>
            <w:rPr>
              <w:rFonts w:hint="eastAsia" w:ascii="方正仿宋_GBK" w:hAnsi="方正仿宋_GBK" w:eastAsia="方正仿宋_GBK" w:cs="方正仿宋_GBK"/>
              <w:sz w:val="24"/>
              <w:szCs w:val="24"/>
              <w:lang w:val="en-US" w:eastAsia="zh-CN"/>
            </w:rPr>
            <w:t>3</w:t>
          </w:r>
        </w:p>
      </w:sdtContent>
    </w:sdt>
    <w:p>
      <w:pPr>
        <w:pStyle w:val="6"/>
        <w:rPr>
          <w:rFonts w:hint="default" w:ascii="Times New Roman" w:hAnsi="Times New Roman" w:eastAsia="方正小标宋简体" w:cs="Times New Roman"/>
          <w:b w:val="0"/>
        </w:rPr>
      </w:pPr>
    </w:p>
    <w:p>
      <w:pPr>
        <w:rPr>
          <w:rFonts w:hint="default"/>
        </w:rPr>
      </w:pPr>
      <w:bookmarkStart w:id="5" w:name="_Toc20825_WPSOffice_Level1"/>
      <w:r>
        <w:rPr>
          <w:rFonts w:hint="default"/>
        </w:rPr>
        <w:br w:type="page"/>
      </w:r>
    </w:p>
    <w:p>
      <w:pPr>
        <w:pStyle w:val="3"/>
        <w:bidi w:val="0"/>
        <w:rPr>
          <w:rFonts w:hint="default"/>
        </w:rPr>
      </w:pPr>
      <w:r>
        <w:rPr>
          <w:rFonts w:hint="default"/>
        </w:rPr>
        <w:t>第一部分  单位概况</w:t>
      </w:r>
      <w:bookmarkEnd w:id="5"/>
    </w:p>
    <w:p>
      <w:pPr>
        <w:pStyle w:val="4"/>
        <w:numPr>
          <w:ilvl w:val="0"/>
          <w:numId w:val="1"/>
        </w:numPr>
        <w:bidi w:val="0"/>
        <w:rPr>
          <w:rFonts w:hint="default"/>
        </w:rPr>
      </w:pPr>
      <w:bookmarkStart w:id="6" w:name="_Toc16376_WPSOffice_Level2"/>
      <w:r>
        <w:rPr>
          <w:rFonts w:hint="default"/>
        </w:rPr>
        <w:t>主要职责</w:t>
      </w:r>
      <w:bookmarkEnd w:id="6"/>
    </w:p>
    <w:p>
      <w:pPr>
        <w:pStyle w:val="2"/>
        <w:keepNext w:val="0"/>
        <w:keepLines w:val="0"/>
        <w:pageBreakBefore w:val="0"/>
        <w:widowControl w:val="0"/>
        <w:kinsoku/>
        <w:wordWrap/>
        <w:overflowPunct/>
        <w:topLinePunct w:val="0"/>
        <w:autoSpaceDE/>
        <w:autoSpaceDN/>
        <w:bidi w:val="0"/>
        <w:adjustRightInd w:val="0"/>
        <w:snapToGrid/>
        <w:spacing w:before="0" w:beforeLines="0" w:after="0" w:line="240" w:lineRule="auto"/>
        <w:ind w:left="0" w:leftChars="0" w:firstLine="640" w:firstLineChars="200"/>
        <w:textAlignment w:val="auto"/>
        <w:rPr>
          <w:rFonts w:hint="default" w:ascii="Times New Roman" w:hAnsi="Times New Roman" w:eastAsia="方正仿宋_GBK" w:cs="Times New Roman"/>
          <w:bCs/>
          <w:sz w:val="32"/>
          <w:u w:val="none"/>
        </w:rPr>
      </w:pPr>
      <w:bookmarkStart w:id="7" w:name="_Toc19126_WPSOffice_Level3"/>
      <w:r>
        <w:rPr>
          <w:rFonts w:hint="default" w:ascii="Times New Roman" w:hAnsi="Times New Roman" w:eastAsia="方正仿宋_GBK" w:cs="Times New Roman"/>
          <w:bCs/>
          <w:sz w:val="32"/>
          <w:u w:val="none"/>
        </w:rPr>
        <w:t>盐边县红宝苗族彝族乡人民政府具有党委和政府两种职责，党委领导政府工作。主要是政治思想和政策方针的领导，干部的选拔，考核和监督，经济和行政工作中重大问题的决策。乡政府是基层国家行政机关，行使本行政区的行政职能。</w:t>
      </w:r>
    </w:p>
    <w:p>
      <w:pPr>
        <w:pStyle w:val="2"/>
        <w:keepNext w:val="0"/>
        <w:keepLines w:val="0"/>
        <w:pageBreakBefore w:val="0"/>
        <w:widowControl w:val="0"/>
        <w:kinsoku/>
        <w:wordWrap/>
        <w:overflowPunct/>
        <w:topLinePunct w:val="0"/>
        <w:autoSpaceDE/>
        <w:autoSpaceDN/>
        <w:bidi w:val="0"/>
        <w:adjustRightInd w:val="0"/>
        <w:snapToGrid/>
        <w:spacing w:before="0" w:beforeLines="0" w:after="0" w:line="240" w:lineRule="auto"/>
        <w:ind w:left="0" w:leftChars="0" w:firstLine="640" w:firstLineChars="200"/>
        <w:textAlignment w:val="auto"/>
        <w:rPr>
          <w:rFonts w:hint="default" w:ascii="Times New Roman" w:hAnsi="Times New Roman" w:eastAsia="方正仿宋_GBK" w:cs="Times New Roman"/>
          <w:bCs/>
          <w:sz w:val="32"/>
          <w:u w:val="none"/>
        </w:rPr>
      </w:pPr>
      <w:r>
        <w:rPr>
          <w:rFonts w:hint="default" w:ascii="Times New Roman" w:hAnsi="Times New Roman" w:eastAsia="方正仿宋_GBK" w:cs="Times New Roman"/>
          <w:bCs/>
          <w:sz w:val="32"/>
          <w:u w:val="none"/>
        </w:rPr>
        <w:t>1、党委职责：</w:t>
      </w:r>
    </w:p>
    <w:p>
      <w:pPr>
        <w:pStyle w:val="2"/>
        <w:keepNext w:val="0"/>
        <w:keepLines w:val="0"/>
        <w:pageBreakBefore w:val="0"/>
        <w:widowControl w:val="0"/>
        <w:kinsoku/>
        <w:wordWrap/>
        <w:overflowPunct/>
        <w:topLinePunct w:val="0"/>
        <w:autoSpaceDE/>
        <w:autoSpaceDN/>
        <w:bidi w:val="0"/>
        <w:adjustRightInd w:val="0"/>
        <w:snapToGrid/>
        <w:spacing w:before="0" w:beforeLines="0" w:after="0" w:line="240" w:lineRule="auto"/>
        <w:ind w:left="0" w:leftChars="0" w:firstLine="640" w:firstLineChars="200"/>
        <w:textAlignment w:val="auto"/>
        <w:rPr>
          <w:rFonts w:hint="default" w:ascii="Times New Roman" w:hAnsi="Times New Roman" w:eastAsia="方正仿宋_GBK" w:cs="Times New Roman"/>
          <w:bCs/>
          <w:sz w:val="32"/>
          <w:u w:val="none"/>
        </w:rPr>
      </w:pPr>
      <w:r>
        <w:rPr>
          <w:rFonts w:hint="default" w:ascii="Times New Roman" w:hAnsi="Times New Roman" w:eastAsia="方正仿宋_GBK" w:cs="Times New Roman"/>
          <w:bCs/>
          <w:sz w:val="32"/>
          <w:u w:val="none"/>
        </w:rPr>
        <w:t>（1）保证党的路线、方针、政策的坚决贯彻执行。</w:t>
      </w:r>
    </w:p>
    <w:p>
      <w:pPr>
        <w:pStyle w:val="2"/>
        <w:keepNext w:val="0"/>
        <w:keepLines w:val="0"/>
        <w:pageBreakBefore w:val="0"/>
        <w:widowControl w:val="0"/>
        <w:kinsoku/>
        <w:wordWrap/>
        <w:overflowPunct/>
        <w:topLinePunct w:val="0"/>
        <w:autoSpaceDE/>
        <w:autoSpaceDN/>
        <w:bidi w:val="0"/>
        <w:adjustRightInd w:val="0"/>
        <w:snapToGrid/>
        <w:spacing w:before="0" w:beforeLines="0" w:after="0" w:line="240" w:lineRule="auto"/>
        <w:ind w:left="0" w:leftChars="0" w:firstLine="640" w:firstLineChars="200"/>
        <w:textAlignment w:val="auto"/>
        <w:rPr>
          <w:rFonts w:hint="default" w:ascii="Times New Roman" w:hAnsi="Times New Roman" w:eastAsia="方正仿宋_GBK" w:cs="Times New Roman"/>
          <w:bCs/>
          <w:sz w:val="32"/>
          <w:u w:val="none"/>
        </w:rPr>
      </w:pPr>
      <w:r>
        <w:rPr>
          <w:rFonts w:hint="default" w:ascii="Times New Roman" w:hAnsi="Times New Roman" w:eastAsia="方正仿宋_GBK" w:cs="Times New Roman"/>
          <w:bCs/>
          <w:sz w:val="32"/>
          <w:u w:val="none"/>
        </w:rPr>
        <w:t>（2）保证监督职能。</w:t>
      </w:r>
    </w:p>
    <w:p>
      <w:pPr>
        <w:pStyle w:val="2"/>
        <w:keepNext w:val="0"/>
        <w:keepLines w:val="0"/>
        <w:pageBreakBefore w:val="0"/>
        <w:widowControl w:val="0"/>
        <w:kinsoku/>
        <w:wordWrap/>
        <w:overflowPunct/>
        <w:topLinePunct w:val="0"/>
        <w:autoSpaceDE/>
        <w:autoSpaceDN/>
        <w:bidi w:val="0"/>
        <w:adjustRightInd w:val="0"/>
        <w:snapToGrid/>
        <w:spacing w:before="0" w:beforeLines="0" w:after="0" w:line="240" w:lineRule="auto"/>
        <w:ind w:left="0" w:leftChars="0" w:firstLine="640" w:firstLineChars="200"/>
        <w:textAlignment w:val="auto"/>
        <w:rPr>
          <w:rFonts w:hint="default" w:ascii="Times New Roman" w:hAnsi="Times New Roman" w:eastAsia="方正仿宋_GBK" w:cs="Times New Roman"/>
          <w:bCs/>
          <w:sz w:val="32"/>
          <w:u w:val="none"/>
        </w:rPr>
      </w:pPr>
      <w:r>
        <w:rPr>
          <w:rFonts w:hint="default" w:ascii="Times New Roman" w:hAnsi="Times New Roman" w:eastAsia="方正仿宋_GBK" w:cs="Times New Roman"/>
          <w:bCs/>
          <w:sz w:val="32"/>
          <w:u w:val="none"/>
        </w:rPr>
        <w:t>（3）教育和管理职能。</w:t>
      </w:r>
    </w:p>
    <w:p>
      <w:pPr>
        <w:pStyle w:val="2"/>
        <w:keepNext w:val="0"/>
        <w:keepLines w:val="0"/>
        <w:pageBreakBefore w:val="0"/>
        <w:widowControl w:val="0"/>
        <w:kinsoku/>
        <w:wordWrap/>
        <w:overflowPunct/>
        <w:topLinePunct w:val="0"/>
        <w:autoSpaceDE/>
        <w:autoSpaceDN/>
        <w:bidi w:val="0"/>
        <w:adjustRightInd w:val="0"/>
        <w:snapToGrid/>
        <w:spacing w:before="0" w:beforeLines="0" w:after="0" w:line="240" w:lineRule="auto"/>
        <w:ind w:left="0" w:leftChars="0" w:firstLine="640" w:firstLineChars="200"/>
        <w:textAlignment w:val="auto"/>
        <w:rPr>
          <w:rFonts w:hint="default" w:ascii="Times New Roman" w:hAnsi="Times New Roman" w:eastAsia="方正仿宋_GBK" w:cs="Times New Roman"/>
          <w:bCs/>
          <w:sz w:val="32"/>
          <w:u w:val="none"/>
        </w:rPr>
      </w:pPr>
      <w:r>
        <w:rPr>
          <w:rFonts w:hint="default" w:ascii="Times New Roman" w:hAnsi="Times New Roman" w:eastAsia="方正仿宋_GBK" w:cs="Times New Roman"/>
          <w:bCs/>
          <w:sz w:val="32"/>
          <w:u w:val="none"/>
        </w:rPr>
        <w:t>（4）服从和服务于经济建设的职能。</w:t>
      </w:r>
    </w:p>
    <w:p>
      <w:pPr>
        <w:pStyle w:val="2"/>
        <w:keepNext w:val="0"/>
        <w:keepLines w:val="0"/>
        <w:pageBreakBefore w:val="0"/>
        <w:widowControl w:val="0"/>
        <w:kinsoku/>
        <w:wordWrap/>
        <w:overflowPunct/>
        <w:topLinePunct w:val="0"/>
        <w:autoSpaceDE/>
        <w:autoSpaceDN/>
        <w:bidi w:val="0"/>
        <w:adjustRightInd w:val="0"/>
        <w:snapToGrid/>
        <w:spacing w:before="0" w:beforeLines="0" w:after="0" w:line="240" w:lineRule="auto"/>
        <w:ind w:left="0" w:leftChars="0" w:firstLine="640" w:firstLineChars="200"/>
        <w:textAlignment w:val="auto"/>
        <w:rPr>
          <w:rFonts w:hint="default" w:ascii="Times New Roman" w:hAnsi="Times New Roman" w:eastAsia="方正仿宋_GBK" w:cs="Times New Roman"/>
          <w:bCs/>
          <w:sz w:val="32"/>
          <w:u w:val="none"/>
        </w:rPr>
      </w:pPr>
      <w:r>
        <w:rPr>
          <w:rFonts w:hint="default" w:ascii="Times New Roman" w:hAnsi="Times New Roman" w:eastAsia="方正仿宋_GBK" w:cs="Times New Roman"/>
          <w:bCs/>
          <w:sz w:val="32"/>
          <w:u w:val="none"/>
        </w:rPr>
        <w:t>（5）负责抓好本乡党建工作、群团工作、精神文明建设工作、新闻宣传工作。</w:t>
      </w:r>
    </w:p>
    <w:p>
      <w:pPr>
        <w:pStyle w:val="2"/>
        <w:keepNext w:val="0"/>
        <w:keepLines w:val="0"/>
        <w:pageBreakBefore w:val="0"/>
        <w:widowControl w:val="0"/>
        <w:kinsoku/>
        <w:wordWrap/>
        <w:overflowPunct/>
        <w:topLinePunct w:val="0"/>
        <w:autoSpaceDE/>
        <w:autoSpaceDN/>
        <w:bidi w:val="0"/>
        <w:adjustRightInd w:val="0"/>
        <w:snapToGrid/>
        <w:spacing w:before="0" w:beforeLines="0" w:after="0" w:line="240" w:lineRule="auto"/>
        <w:ind w:left="0" w:leftChars="0" w:firstLine="640" w:firstLineChars="200"/>
        <w:textAlignment w:val="auto"/>
        <w:rPr>
          <w:rFonts w:hint="default" w:ascii="Times New Roman" w:hAnsi="Times New Roman" w:eastAsia="方正仿宋_GBK" w:cs="Times New Roman"/>
          <w:bCs/>
          <w:sz w:val="32"/>
          <w:u w:val="none"/>
        </w:rPr>
      </w:pPr>
      <w:r>
        <w:rPr>
          <w:rFonts w:hint="default" w:ascii="Times New Roman" w:hAnsi="Times New Roman" w:eastAsia="方正仿宋_GBK" w:cs="Times New Roman"/>
          <w:bCs/>
          <w:sz w:val="32"/>
          <w:u w:val="none"/>
        </w:rPr>
        <w:t>（6）完成县委、县政府交予的其他工作任务。</w:t>
      </w:r>
    </w:p>
    <w:p>
      <w:pPr>
        <w:pStyle w:val="2"/>
        <w:keepNext w:val="0"/>
        <w:keepLines w:val="0"/>
        <w:pageBreakBefore w:val="0"/>
        <w:widowControl w:val="0"/>
        <w:kinsoku/>
        <w:wordWrap/>
        <w:overflowPunct/>
        <w:topLinePunct w:val="0"/>
        <w:autoSpaceDE/>
        <w:autoSpaceDN/>
        <w:bidi w:val="0"/>
        <w:adjustRightInd w:val="0"/>
        <w:snapToGrid/>
        <w:spacing w:before="0" w:beforeLines="0" w:after="0" w:line="240" w:lineRule="auto"/>
        <w:ind w:left="0" w:leftChars="0" w:firstLine="640" w:firstLineChars="200"/>
        <w:textAlignment w:val="auto"/>
        <w:rPr>
          <w:rFonts w:hint="default" w:ascii="Times New Roman" w:hAnsi="Times New Roman" w:eastAsia="方正仿宋_GBK" w:cs="Times New Roman"/>
          <w:bCs/>
          <w:sz w:val="32"/>
          <w:u w:val="none"/>
        </w:rPr>
      </w:pPr>
      <w:r>
        <w:rPr>
          <w:rFonts w:hint="default" w:ascii="Times New Roman" w:hAnsi="Times New Roman" w:eastAsia="方正仿宋_GBK" w:cs="Times New Roman"/>
          <w:bCs/>
          <w:sz w:val="32"/>
          <w:u w:val="none"/>
        </w:rPr>
        <w:t>2、政府职责：</w:t>
      </w:r>
    </w:p>
    <w:p>
      <w:pPr>
        <w:pStyle w:val="2"/>
        <w:keepNext w:val="0"/>
        <w:keepLines w:val="0"/>
        <w:pageBreakBefore w:val="0"/>
        <w:widowControl w:val="0"/>
        <w:kinsoku/>
        <w:wordWrap/>
        <w:overflowPunct/>
        <w:topLinePunct w:val="0"/>
        <w:autoSpaceDE/>
        <w:autoSpaceDN/>
        <w:bidi w:val="0"/>
        <w:adjustRightInd w:val="0"/>
        <w:snapToGrid/>
        <w:spacing w:before="0" w:beforeLines="0" w:after="0" w:line="240" w:lineRule="auto"/>
        <w:ind w:left="0" w:leftChars="0" w:firstLine="640" w:firstLineChars="200"/>
        <w:textAlignment w:val="auto"/>
        <w:rPr>
          <w:rFonts w:hint="default" w:ascii="Times New Roman" w:hAnsi="Times New Roman" w:eastAsia="方正仿宋_GBK" w:cs="Times New Roman"/>
          <w:bCs/>
          <w:sz w:val="32"/>
          <w:u w:val="none"/>
        </w:rPr>
      </w:pPr>
      <w:r>
        <w:rPr>
          <w:rFonts w:hint="default" w:ascii="Times New Roman" w:hAnsi="Times New Roman" w:eastAsia="方正仿宋_GBK" w:cs="Times New Roman"/>
          <w:bCs/>
          <w:sz w:val="32"/>
          <w:u w:val="none"/>
        </w:rPr>
        <w:t>（1）制定和组织实施经济、科技和社会发展计划，组织指导好各行业生产，搞好商品流通交易服务，协调好本乡与其他部门的交流与合作，抓好项目建设，不断培育市场体系，组织经济运行，促进经济发展。</w:t>
      </w:r>
    </w:p>
    <w:p>
      <w:pPr>
        <w:pStyle w:val="2"/>
        <w:keepNext w:val="0"/>
        <w:keepLines w:val="0"/>
        <w:pageBreakBefore w:val="0"/>
        <w:widowControl w:val="0"/>
        <w:kinsoku/>
        <w:wordWrap/>
        <w:overflowPunct/>
        <w:topLinePunct w:val="0"/>
        <w:autoSpaceDE/>
        <w:autoSpaceDN/>
        <w:bidi w:val="0"/>
        <w:adjustRightInd w:val="0"/>
        <w:snapToGrid/>
        <w:spacing w:before="0" w:beforeLines="0" w:after="0" w:line="240" w:lineRule="auto"/>
        <w:ind w:left="0" w:leftChars="0" w:firstLine="640" w:firstLineChars="200"/>
        <w:textAlignment w:val="auto"/>
        <w:rPr>
          <w:rFonts w:hint="default" w:ascii="Times New Roman" w:hAnsi="Times New Roman" w:eastAsia="方正仿宋_GBK" w:cs="Times New Roman"/>
          <w:bCs/>
          <w:sz w:val="32"/>
          <w:u w:val="none"/>
        </w:rPr>
      </w:pPr>
      <w:r>
        <w:rPr>
          <w:rFonts w:hint="default" w:ascii="Times New Roman" w:hAnsi="Times New Roman" w:eastAsia="方正仿宋_GBK" w:cs="Times New Roman"/>
          <w:bCs/>
          <w:sz w:val="32"/>
          <w:u w:val="none"/>
        </w:rPr>
        <w:t>（2）制定并组织实施行政村的建设规划，部署重点工程建设，地方道路建设及公共设施，水利设施的管理，负责土地、林木、水等自然资源和生态环境的保护，做好护林防火工作。</w:t>
      </w:r>
    </w:p>
    <w:p>
      <w:pPr>
        <w:pStyle w:val="2"/>
        <w:keepNext w:val="0"/>
        <w:keepLines w:val="0"/>
        <w:pageBreakBefore w:val="0"/>
        <w:widowControl w:val="0"/>
        <w:kinsoku/>
        <w:wordWrap/>
        <w:overflowPunct/>
        <w:topLinePunct w:val="0"/>
        <w:autoSpaceDE/>
        <w:autoSpaceDN/>
        <w:bidi w:val="0"/>
        <w:adjustRightInd w:val="0"/>
        <w:snapToGrid/>
        <w:spacing w:before="0" w:beforeLines="0" w:after="0" w:line="240" w:lineRule="auto"/>
        <w:ind w:left="0" w:leftChars="0" w:firstLine="640" w:firstLineChars="200"/>
        <w:textAlignment w:val="auto"/>
        <w:rPr>
          <w:rFonts w:hint="default" w:ascii="Times New Roman" w:hAnsi="Times New Roman" w:eastAsia="方正仿宋_GBK" w:cs="Times New Roman"/>
          <w:bCs/>
          <w:sz w:val="32"/>
          <w:u w:val="none"/>
        </w:rPr>
      </w:pPr>
      <w:r>
        <w:rPr>
          <w:rFonts w:hint="default" w:ascii="Times New Roman" w:hAnsi="Times New Roman" w:eastAsia="方正仿宋_GBK" w:cs="Times New Roman"/>
          <w:bCs/>
          <w:sz w:val="32"/>
          <w:u w:val="none"/>
        </w:rPr>
        <w:t>（3）负责本行政区域内的民政、计划生育、文化教育、卫生、体育等社会公益事业的综合性工作，维护一切经济单位和个人的正当经济权益，取缔非法经济活动，调解和处理民事纠纷，打击刑事犯罪维护社会稳定。</w:t>
      </w:r>
    </w:p>
    <w:p>
      <w:pPr>
        <w:pStyle w:val="2"/>
        <w:keepNext w:val="0"/>
        <w:keepLines w:val="0"/>
        <w:pageBreakBefore w:val="0"/>
        <w:widowControl w:val="0"/>
        <w:kinsoku/>
        <w:wordWrap/>
        <w:overflowPunct/>
        <w:topLinePunct w:val="0"/>
        <w:autoSpaceDE/>
        <w:autoSpaceDN/>
        <w:bidi w:val="0"/>
        <w:adjustRightInd w:val="0"/>
        <w:snapToGrid/>
        <w:spacing w:before="0" w:beforeLines="0" w:after="0" w:line="240" w:lineRule="auto"/>
        <w:ind w:left="0" w:leftChars="0" w:firstLine="640" w:firstLineChars="200"/>
        <w:textAlignment w:val="auto"/>
        <w:rPr>
          <w:rFonts w:hint="default" w:ascii="Times New Roman" w:hAnsi="Times New Roman" w:eastAsia="方正仿宋_GBK" w:cs="Times New Roman"/>
          <w:bCs/>
          <w:sz w:val="32"/>
          <w:u w:val="none"/>
        </w:rPr>
      </w:pPr>
      <w:r>
        <w:rPr>
          <w:rFonts w:hint="default" w:ascii="Times New Roman" w:hAnsi="Times New Roman" w:eastAsia="方正仿宋_GBK" w:cs="Times New Roman"/>
          <w:bCs/>
          <w:sz w:val="32"/>
          <w:u w:val="none"/>
        </w:rPr>
        <w:t>（4）按计划组织本级财政收入，完成国家财政计划，不断培植税源，管好财政资金，增强财政实力。</w:t>
      </w:r>
    </w:p>
    <w:p>
      <w:pPr>
        <w:pStyle w:val="2"/>
        <w:keepNext w:val="0"/>
        <w:keepLines w:val="0"/>
        <w:pageBreakBefore w:val="0"/>
        <w:widowControl w:val="0"/>
        <w:kinsoku/>
        <w:wordWrap/>
        <w:overflowPunct/>
        <w:topLinePunct w:val="0"/>
        <w:autoSpaceDE/>
        <w:autoSpaceDN/>
        <w:bidi w:val="0"/>
        <w:adjustRightInd w:val="0"/>
        <w:snapToGrid/>
        <w:spacing w:before="0" w:beforeLines="0" w:after="0" w:line="240" w:lineRule="auto"/>
        <w:ind w:left="0" w:leftChars="0" w:firstLine="640" w:firstLineChars="200"/>
        <w:textAlignment w:val="auto"/>
        <w:rPr>
          <w:rFonts w:hint="default" w:ascii="Times New Roman" w:hAnsi="Times New Roman" w:eastAsia="方正仿宋_GBK" w:cs="Times New Roman"/>
          <w:bCs/>
          <w:sz w:val="32"/>
          <w:u w:val="none"/>
        </w:rPr>
      </w:pPr>
      <w:r>
        <w:rPr>
          <w:rFonts w:hint="default" w:ascii="Times New Roman" w:hAnsi="Times New Roman" w:eastAsia="方正仿宋_GBK" w:cs="Times New Roman"/>
          <w:bCs/>
          <w:sz w:val="32"/>
          <w:u w:val="none"/>
        </w:rPr>
        <w:t>（5）抓好精神文明建设，丰富群众文化生活，提倡移风易俗，反对封建迷信，破除陈规陋习，树立社会主义新风尚。</w:t>
      </w:r>
    </w:p>
    <w:p>
      <w:pPr>
        <w:pStyle w:val="2"/>
        <w:keepNext w:val="0"/>
        <w:keepLines w:val="0"/>
        <w:pageBreakBefore w:val="0"/>
        <w:widowControl w:val="0"/>
        <w:kinsoku/>
        <w:wordWrap/>
        <w:overflowPunct/>
        <w:topLinePunct w:val="0"/>
        <w:autoSpaceDE/>
        <w:autoSpaceDN/>
        <w:bidi w:val="0"/>
        <w:adjustRightInd w:val="0"/>
        <w:snapToGrid/>
        <w:spacing w:before="0" w:beforeLines="0" w:after="0" w:line="240" w:lineRule="auto"/>
        <w:ind w:left="0" w:leftChars="0" w:firstLine="640" w:firstLineChars="200"/>
        <w:textAlignment w:val="auto"/>
        <w:rPr>
          <w:rFonts w:hint="default" w:ascii="Times New Roman" w:hAnsi="Times New Roman" w:eastAsia="方正仿宋_GBK" w:cs="Times New Roman"/>
          <w:bCs/>
          <w:sz w:val="32"/>
          <w:u w:val="none"/>
        </w:rPr>
      </w:pPr>
      <w:r>
        <w:rPr>
          <w:rFonts w:hint="default" w:ascii="Times New Roman" w:hAnsi="Times New Roman" w:eastAsia="方正仿宋_GBK" w:cs="Times New Roman"/>
          <w:bCs/>
          <w:sz w:val="32"/>
          <w:u w:val="none"/>
        </w:rPr>
        <w:t>（6）完成上级政府交办的其它事项。</w:t>
      </w:r>
    </w:p>
    <w:bookmarkEnd w:id="7"/>
    <w:p>
      <w:pPr>
        <w:pStyle w:val="4"/>
        <w:bidi w:val="0"/>
        <w:rPr>
          <w:rFonts w:hint="eastAsia"/>
        </w:rPr>
      </w:pPr>
      <w:bookmarkStart w:id="8" w:name="_Toc15377200"/>
      <w:bookmarkStart w:id="9" w:name="_Toc31066_WPSOffice_Level2"/>
      <w:bookmarkStart w:id="10" w:name="_Toc15396601"/>
      <w:r>
        <w:rPr>
          <w:rFonts w:hint="eastAsia"/>
        </w:rPr>
        <w:t>二、机构设置</w:t>
      </w:r>
      <w:bookmarkEnd w:id="8"/>
      <w:bookmarkEnd w:id="9"/>
      <w:bookmarkEnd w:id="10"/>
    </w:p>
    <w:p>
      <w:pPr>
        <w:pStyle w:val="2"/>
        <w:keepNext w:val="0"/>
        <w:keepLines w:val="0"/>
        <w:pageBreakBefore w:val="0"/>
        <w:widowControl w:val="0"/>
        <w:kinsoku/>
        <w:wordWrap/>
        <w:overflowPunct/>
        <w:topLinePunct w:val="0"/>
        <w:autoSpaceDE/>
        <w:autoSpaceDN/>
        <w:bidi w:val="0"/>
        <w:adjustRightInd w:val="0"/>
        <w:snapToGrid/>
        <w:spacing w:before="0" w:beforeLines="0" w:after="0" w:line="240" w:lineRule="auto"/>
        <w:ind w:left="0" w:leftChars="0" w:firstLine="640" w:firstLineChars="200"/>
        <w:textAlignment w:val="auto"/>
        <w:rPr>
          <w:rFonts w:hint="default" w:ascii="Times New Roman" w:hAnsi="Times New Roman" w:eastAsia="方正仿宋_GBK" w:cs="Times New Roman"/>
          <w:bCs/>
          <w:sz w:val="32"/>
          <w:u w:val="none"/>
          <w:lang w:val="en-US" w:eastAsia="zh-CN"/>
        </w:rPr>
      </w:pPr>
      <w:r>
        <w:rPr>
          <w:rFonts w:hint="default" w:ascii="Times New Roman" w:hAnsi="Times New Roman" w:eastAsia="方正仿宋_GBK" w:cs="Times New Roman"/>
          <w:bCs/>
          <w:sz w:val="32"/>
          <w:u w:val="none"/>
          <w:lang w:val="en-US" w:eastAsia="zh-CN"/>
        </w:rPr>
        <w:t>盐边县红宝苗族彝族乡人民政府下属二级预算单位0个，其中行政单位0个，参照公务员法管理的事业单位0个，其他事业单位0个，现有部门9个：便民服务中心、农业综合服务中心、村镇建设服务中心、综合办公室、党建工作办公室、应急管理办公室、社会治理和综合行政政府办公室、经济发展和社会事务办公室、财政所。</w:t>
      </w:r>
    </w:p>
    <w:p>
      <w:pPr>
        <w:rPr>
          <w:rFonts w:hint="default"/>
        </w:rPr>
      </w:pPr>
      <w:bookmarkStart w:id="11" w:name="_Toc15377204"/>
      <w:bookmarkStart w:id="12" w:name="_Toc15396602"/>
      <w:bookmarkStart w:id="13" w:name="_Toc16376_WPSOffice_Level1"/>
      <w:r>
        <w:rPr>
          <w:rFonts w:hint="default"/>
        </w:rPr>
        <w:br w:type="page"/>
      </w:r>
    </w:p>
    <w:p>
      <w:pPr>
        <w:pStyle w:val="3"/>
        <w:bidi w:val="0"/>
        <w:rPr>
          <w:rFonts w:hint="default"/>
        </w:rPr>
      </w:pPr>
      <w:r>
        <w:rPr>
          <w:rFonts w:hint="default"/>
        </w:rPr>
        <w:t>第二部分  2024年度部门决算情况说明</w:t>
      </w:r>
      <w:bookmarkEnd w:id="11"/>
      <w:bookmarkEnd w:id="12"/>
      <w:bookmarkEnd w:id="13"/>
    </w:p>
    <w:p>
      <w:pPr>
        <w:pStyle w:val="4"/>
        <w:bidi w:val="0"/>
        <w:rPr>
          <w:rFonts w:hint="default"/>
        </w:rPr>
      </w:pPr>
      <w:bookmarkStart w:id="14" w:name="_Toc15396603"/>
      <w:bookmarkStart w:id="15" w:name="_Toc1780_WPSOffice_Level2"/>
      <w:bookmarkStart w:id="16" w:name="_Toc15377205"/>
      <w:r>
        <w:rPr>
          <w:rFonts w:hint="default"/>
        </w:rPr>
        <w:t>一、收入支出决算总体情况说明</w:t>
      </w:r>
      <w:bookmarkEnd w:id="14"/>
      <w:bookmarkEnd w:id="15"/>
      <w:bookmarkEnd w:id="16"/>
    </w:p>
    <w:p>
      <w:pPr>
        <w:pStyle w:val="29"/>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640" w:firstLineChars="200"/>
        <w:jc w:val="both"/>
        <w:textAlignment w:val="auto"/>
        <w:outlineLvl w:val="1"/>
        <w:rPr>
          <w:rFonts w:hint="default" w:ascii="Times New Roman" w:hAnsi="Times New Roman" w:eastAsia="方正仿宋_GBK" w:cs="Times New Roman"/>
          <w:b w:val="0"/>
          <w:bCs/>
          <w:kern w:val="0"/>
          <w:sz w:val="32"/>
          <w:szCs w:val="20"/>
          <w:u w:val="none"/>
          <w:lang w:val="en-US" w:eastAsia="zh-CN" w:bidi="ar-SA"/>
        </w:rPr>
      </w:pPr>
      <w:r>
        <w:rPr>
          <w:rFonts w:hint="default" w:ascii="Times New Roman" w:hAnsi="Times New Roman" w:eastAsia="方正仿宋_GBK" w:cs="Times New Roman"/>
          <w:b w:val="0"/>
          <w:bCs/>
          <w:kern w:val="0"/>
          <w:sz w:val="32"/>
          <w:szCs w:val="20"/>
          <w:u w:val="none"/>
          <w:lang w:val="en-US" w:eastAsia="zh-CN" w:bidi="ar-SA"/>
        </w:rPr>
        <w:t>2024年度收</w:t>
      </w:r>
      <w:r>
        <w:rPr>
          <w:rFonts w:hint="eastAsia" w:eastAsia="方正仿宋_GBK" w:cs="Times New Roman"/>
          <w:b w:val="0"/>
          <w:bCs/>
          <w:kern w:val="0"/>
          <w:sz w:val="32"/>
          <w:szCs w:val="20"/>
          <w:u w:val="none"/>
          <w:lang w:val="en-US" w:eastAsia="zh-CN" w:bidi="ar-SA"/>
        </w:rPr>
        <w:t>入</w:t>
      </w:r>
      <w:r>
        <w:rPr>
          <w:rFonts w:hint="default" w:ascii="Times New Roman" w:hAnsi="Times New Roman" w:eastAsia="方正仿宋_GBK" w:cs="Times New Roman"/>
          <w:b w:val="0"/>
          <w:bCs/>
          <w:kern w:val="0"/>
          <w:sz w:val="32"/>
          <w:szCs w:val="20"/>
          <w:u w:val="none"/>
          <w:lang w:val="en-US" w:eastAsia="zh-CN" w:bidi="ar-SA"/>
        </w:rPr>
        <w:t>总计</w:t>
      </w:r>
      <w:r>
        <w:rPr>
          <w:rFonts w:hint="eastAsia" w:eastAsia="方正仿宋_GBK" w:cs="Times New Roman"/>
          <w:b w:val="0"/>
          <w:bCs/>
          <w:kern w:val="0"/>
          <w:sz w:val="32"/>
          <w:szCs w:val="20"/>
          <w:highlight w:val="none"/>
          <w:u w:val="none"/>
          <w:lang w:val="en-US" w:eastAsia="zh-CN" w:bidi="ar-SA"/>
        </w:rPr>
        <w:t>1560.49</w:t>
      </w:r>
      <w:r>
        <w:rPr>
          <w:rFonts w:hint="default" w:ascii="Times New Roman" w:hAnsi="Times New Roman" w:eastAsia="方正仿宋_GBK" w:cs="Times New Roman"/>
          <w:b w:val="0"/>
          <w:bCs/>
          <w:kern w:val="0"/>
          <w:sz w:val="32"/>
          <w:szCs w:val="20"/>
          <w:u w:val="none"/>
          <w:lang w:val="en-US" w:eastAsia="zh-CN" w:bidi="ar-SA"/>
        </w:rPr>
        <w:t>万元，</w:t>
      </w:r>
      <w:r>
        <w:rPr>
          <w:rFonts w:hint="eastAsia" w:eastAsia="方正仿宋_GBK" w:cs="Times New Roman"/>
          <w:b w:val="0"/>
          <w:bCs/>
          <w:kern w:val="0"/>
          <w:sz w:val="32"/>
          <w:szCs w:val="20"/>
          <w:u w:val="none"/>
          <w:lang w:val="en-US" w:eastAsia="zh-CN" w:bidi="ar-SA"/>
        </w:rPr>
        <w:t>支出总计1551.55万元，</w:t>
      </w:r>
      <w:r>
        <w:rPr>
          <w:rFonts w:hint="default" w:ascii="Times New Roman" w:hAnsi="Times New Roman" w:eastAsia="方正仿宋_GBK" w:cs="Times New Roman"/>
          <w:b w:val="0"/>
          <w:bCs/>
          <w:kern w:val="0"/>
          <w:sz w:val="32"/>
          <w:szCs w:val="20"/>
          <w:u w:val="none"/>
          <w:lang w:val="en-US" w:eastAsia="zh-CN" w:bidi="ar-SA"/>
        </w:rPr>
        <w:t>与2023年</w:t>
      </w:r>
      <w:r>
        <w:rPr>
          <w:rFonts w:hint="eastAsia" w:eastAsia="方正仿宋_GBK" w:cs="Times New Roman"/>
          <w:b w:val="0"/>
          <w:bCs/>
          <w:kern w:val="0"/>
          <w:sz w:val="32"/>
          <w:szCs w:val="20"/>
          <w:u w:val="none"/>
          <w:lang w:val="en-US" w:eastAsia="zh-CN" w:bidi="ar-SA"/>
        </w:rPr>
        <w:t>1293.72</w:t>
      </w:r>
      <w:r>
        <w:rPr>
          <w:rFonts w:hint="default" w:ascii="Times New Roman" w:hAnsi="Times New Roman" w:eastAsia="方正仿宋_GBK" w:cs="Times New Roman"/>
          <w:b w:val="0"/>
          <w:bCs/>
          <w:kern w:val="0"/>
          <w:sz w:val="32"/>
          <w:szCs w:val="20"/>
          <w:u w:val="none"/>
          <w:lang w:val="en-US" w:eastAsia="zh-CN" w:bidi="ar-SA"/>
        </w:rPr>
        <w:t>万元相比，收</w:t>
      </w:r>
      <w:r>
        <w:rPr>
          <w:rFonts w:hint="eastAsia" w:eastAsia="方正仿宋_GBK" w:cs="Times New Roman"/>
          <w:b w:val="0"/>
          <w:bCs/>
          <w:kern w:val="0"/>
          <w:sz w:val="32"/>
          <w:szCs w:val="20"/>
          <w:u w:val="none"/>
          <w:lang w:val="en-US" w:eastAsia="zh-CN" w:bidi="ar-SA"/>
        </w:rPr>
        <w:t>入</w:t>
      </w:r>
      <w:r>
        <w:rPr>
          <w:rFonts w:hint="default" w:ascii="Times New Roman" w:hAnsi="Times New Roman" w:eastAsia="方正仿宋_GBK" w:cs="Times New Roman"/>
          <w:b w:val="0"/>
          <w:bCs/>
          <w:kern w:val="0"/>
          <w:sz w:val="32"/>
          <w:szCs w:val="20"/>
          <w:u w:val="none"/>
          <w:lang w:val="en-US" w:eastAsia="zh-CN" w:bidi="ar-SA"/>
        </w:rPr>
        <w:t>总计</w:t>
      </w:r>
      <w:r>
        <w:rPr>
          <w:rFonts w:hint="eastAsia" w:eastAsia="方正仿宋_GBK" w:cs="Times New Roman"/>
          <w:b w:val="0"/>
          <w:bCs/>
          <w:kern w:val="0"/>
          <w:sz w:val="32"/>
          <w:szCs w:val="20"/>
          <w:u w:val="none"/>
          <w:lang w:val="en-US" w:eastAsia="zh-CN" w:bidi="ar-SA"/>
        </w:rPr>
        <w:t>增加266.77</w:t>
      </w:r>
      <w:r>
        <w:rPr>
          <w:rFonts w:hint="default" w:ascii="Times New Roman" w:hAnsi="Times New Roman" w:eastAsia="方正仿宋_GBK" w:cs="Times New Roman"/>
          <w:b w:val="0"/>
          <w:bCs/>
          <w:kern w:val="0"/>
          <w:sz w:val="32"/>
          <w:szCs w:val="20"/>
          <w:u w:val="none"/>
          <w:lang w:val="en-US" w:eastAsia="zh-CN" w:bidi="ar-SA"/>
        </w:rPr>
        <w:t>万元，</w:t>
      </w:r>
      <w:r>
        <w:rPr>
          <w:rFonts w:hint="eastAsia" w:ascii="仿宋" w:hAnsi="仿宋" w:eastAsia="仿宋"/>
          <w:sz w:val="32"/>
          <w:szCs w:val="32"/>
        </w:rPr>
        <w:t>增长</w:t>
      </w:r>
      <w:r>
        <w:rPr>
          <w:rFonts w:hint="eastAsia" w:ascii="仿宋" w:hAnsi="仿宋" w:eastAsia="仿宋"/>
          <w:sz w:val="32"/>
          <w:szCs w:val="32"/>
          <w:lang w:val="en-US" w:eastAsia="zh-CN"/>
        </w:rPr>
        <w:t>17.09</w:t>
      </w:r>
      <w:r>
        <w:rPr>
          <w:rFonts w:ascii="仿宋" w:hAnsi="仿宋" w:eastAsia="仿宋"/>
          <w:sz w:val="32"/>
          <w:szCs w:val="32"/>
        </w:rPr>
        <w:t>%</w:t>
      </w:r>
      <w:r>
        <w:rPr>
          <w:rFonts w:hint="eastAsia" w:ascii="仿宋" w:hAnsi="仿宋" w:eastAsia="仿宋"/>
          <w:sz w:val="32"/>
          <w:szCs w:val="32"/>
          <w:lang w:eastAsia="zh-CN"/>
        </w:rPr>
        <w:t>，</w:t>
      </w:r>
      <w:r>
        <w:rPr>
          <w:rFonts w:hint="eastAsia" w:eastAsia="方正仿宋_GBK" w:cs="Times New Roman"/>
          <w:b w:val="0"/>
          <w:bCs/>
          <w:kern w:val="0"/>
          <w:sz w:val="32"/>
          <w:szCs w:val="20"/>
          <w:u w:val="none"/>
          <w:lang w:val="en-US" w:eastAsia="zh-CN" w:bidi="ar-SA"/>
        </w:rPr>
        <w:t>支出总计增加257.83万元，</w:t>
      </w:r>
      <w:r>
        <w:rPr>
          <w:rFonts w:hint="eastAsia" w:ascii="仿宋" w:hAnsi="仿宋" w:eastAsia="仿宋"/>
          <w:sz w:val="32"/>
          <w:szCs w:val="32"/>
        </w:rPr>
        <w:t>增长</w:t>
      </w:r>
      <w:r>
        <w:rPr>
          <w:rFonts w:hint="eastAsia" w:ascii="仿宋" w:hAnsi="仿宋" w:eastAsia="仿宋"/>
          <w:sz w:val="32"/>
          <w:szCs w:val="32"/>
          <w:lang w:val="en-US" w:eastAsia="zh-CN"/>
        </w:rPr>
        <w:t>16.62</w:t>
      </w:r>
      <w:r>
        <w:rPr>
          <w:rFonts w:ascii="仿宋" w:hAnsi="仿宋" w:eastAsia="仿宋"/>
          <w:sz w:val="32"/>
          <w:szCs w:val="32"/>
        </w:rPr>
        <w:t>%</w:t>
      </w:r>
      <w:r>
        <w:rPr>
          <w:rFonts w:hint="default" w:ascii="Times New Roman" w:hAnsi="Times New Roman" w:eastAsia="方正仿宋_GBK" w:cs="Times New Roman"/>
          <w:b w:val="0"/>
          <w:bCs/>
          <w:kern w:val="0"/>
          <w:sz w:val="32"/>
          <w:szCs w:val="20"/>
          <w:u w:val="none"/>
          <w:lang w:val="en-US" w:eastAsia="zh-CN" w:bidi="ar-SA"/>
        </w:rPr>
        <w:t>。主要变动原因是</w:t>
      </w:r>
      <w:r>
        <w:rPr>
          <w:rFonts w:hint="eastAsia" w:eastAsia="方正仿宋_GBK" w:cs="Times New Roman"/>
          <w:b w:val="0"/>
          <w:bCs/>
          <w:kern w:val="0"/>
          <w:sz w:val="32"/>
          <w:szCs w:val="20"/>
          <w:u w:val="none"/>
          <w:lang w:val="en-US" w:eastAsia="zh-CN" w:bidi="ar-SA"/>
        </w:rPr>
        <w:t>：</w:t>
      </w:r>
      <w:r>
        <w:rPr>
          <w:rFonts w:hint="default" w:ascii="Times New Roman" w:hAnsi="Times New Roman" w:eastAsia="方正仿宋_GBK" w:cs="Times New Roman"/>
          <w:b w:val="0"/>
          <w:bCs/>
          <w:kern w:val="0"/>
          <w:sz w:val="32"/>
          <w:szCs w:val="32"/>
          <w:u w:val="none"/>
          <w:lang w:val="en-US" w:eastAsia="zh-CN" w:bidi="ar-SA"/>
        </w:rPr>
        <w:t>2024年</w:t>
      </w:r>
      <w:r>
        <w:rPr>
          <w:rFonts w:hint="default" w:ascii="Times New Roman" w:hAnsi="Times New Roman" w:eastAsia="方正仿宋_GBK" w:cs="Times New Roman"/>
          <w:b w:val="0"/>
          <w:bCs/>
          <w:kern w:val="0"/>
          <w:sz w:val="32"/>
          <w:szCs w:val="20"/>
          <w:u w:val="none"/>
          <w:lang w:val="en-US" w:eastAsia="zh-CN" w:bidi="ar-SA"/>
        </w:rPr>
        <w:t>一般公共预算财政拨款收入增加，政府性基金预算财政拨款收入增加，收、支总计增加。</w:t>
      </w:r>
    </w:p>
    <w:p>
      <w:pPr>
        <w:spacing w:line="600" w:lineRule="exact"/>
        <w:jc w:val="center"/>
        <w:rPr>
          <w:rFonts w:hint="eastAsia" w:ascii="仿宋" w:hAnsi="仿宋" w:eastAsia="仿宋"/>
          <w:sz w:val="32"/>
          <w:szCs w:val="32"/>
        </w:rPr>
      </w:pPr>
      <w:bookmarkStart w:id="17" w:name="_Toc15396604"/>
      <w:bookmarkStart w:id="18" w:name="_Toc15377206"/>
      <w:r>
        <w:rPr>
          <w:rFonts w:hint="eastAsia" w:ascii="仿宋" w:hAnsi="仿宋" w:eastAsia="仿宋"/>
          <w:sz w:val="32"/>
          <w:szCs w:val="32"/>
        </w:rPr>
        <w:t>（图</w:t>
      </w:r>
      <w:r>
        <w:rPr>
          <w:rFonts w:ascii="仿宋" w:hAnsi="仿宋" w:eastAsia="仿宋"/>
          <w:sz w:val="32"/>
          <w:szCs w:val="32"/>
        </w:rPr>
        <w:t>1</w:t>
      </w:r>
      <w:r>
        <w:rPr>
          <w:rFonts w:hint="eastAsia" w:ascii="仿宋" w:hAnsi="仿宋" w:eastAsia="仿宋"/>
          <w:sz w:val="32"/>
          <w:szCs w:val="32"/>
        </w:rPr>
        <w:t>：收、支决算总计变动情况图）（柱状图）</w:t>
      </w:r>
    </w:p>
    <w:p>
      <w:pPr>
        <w:pStyle w:val="2"/>
        <w:jc w:val="center"/>
      </w:pPr>
      <w:r>
        <w:drawing>
          <wp:inline distT="0" distB="0" distL="114300" distR="114300">
            <wp:extent cx="5051425" cy="3055620"/>
            <wp:effectExtent l="0" t="0" r="15875" b="11430"/>
            <wp:docPr id="10"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7"/>
                    <pic:cNvPicPr>
                      <a:picLocks noChangeAspect="1"/>
                    </pic:cNvPicPr>
                  </pic:nvPicPr>
                  <pic:blipFill>
                    <a:blip r:embed="rId9"/>
                    <a:stretch>
                      <a:fillRect/>
                    </a:stretch>
                  </pic:blipFill>
                  <pic:spPr>
                    <a:xfrm>
                      <a:off x="0" y="0"/>
                      <a:ext cx="5051425" cy="3055620"/>
                    </a:xfrm>
                    <a:prstGeom prst="rect">
                      <a:avLst/>
                    </a:prstGeom>
                    <a:noFill/>
                    <a:ln>
                      <a:noFill/>
                    </a:ln>
                  </pic:spPr>
                </pic:pic>
              </a:graphicData>
            </a:graphic>
          </wp:inline>
        </w:drawing>
      </w:r>
    </w:p>
    <w:p>
      <w:pPr>
        <w:pStyle w:val="4"/>
        <w:bidi w:val="0"/>
        <w:rPr>
          <w:rFonts w:hint="default"/>
        </w:rPr>
      </w:pPr>
      <w:r>
        <w:rPr>
          <w:rFonts w:hint="default"/>
        </w:rPr>
        <w:t>二、收入决算情况说明</w:t>
      </w:r>
      <w:bookmarkEnd w:id="17"/>
      <w:bookmarkEnd w:id="18"/>
    </w:p>
    <w:p>
      <w:pPr>
        <w:keepNext w:val="0"/>
        <w:keepLines w:val="0"/>
        <w:pageBreakBefore w:val="0"/>
        <w:widowControl w:val="0"/>
        <w:kinsoku/>
        <w:wordWrap/>
        <w:overflowPunct/>
        <w:topLinePunct w:val="0"/>
        <w:autoSpaceDE/>
        <w:autoSpaceDN/>
        <w:bidi w:val="0"/>
        <w:adjustRightInd/>
        <w:snapToGrid/>
        <w:spacing w:line="240" w:lineRule="auto"/>
        <w:ind w:leftChars="0" w:firstLine="640" w:firstLineChars="200"/>
        <w:textAlignment w:val="auto"/>
        <w:outlineLvl w:val="1"/>
        <w:rPr>
          <w:rFonts w:hint="eastAsia"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highlight w:val="none"/>
        </w:rPr>
        <w:t>202</w:t>
      </w:r>
      <w:r>
        <w:rPr>
          <w:rFonts w:hint="default" w:ascii="Times New Roman" w:hAnsi="Times New Roman" w:eastAsia="方正仿宋_GBK" w:cs="Times New Roman"/>
          <w:sz w:val="32"/>
          <w:szCs w:val="32"/>
          <w:highlight w:val="none"/>
          <w:lang w:val="en-US" w:eastAsia="zh-CN"/>
        </w:rPr>
        <w:t>4</w:t>
      </w:r>
      <w:r>
        <w:rPr>
          <w:rFonts w:hint="default" w:ascii="Times New Roman" w:hAnsi="Times New Roman" w:eastAsia="方正仿宋_GBK" w:cs="Times New Roman"/>
          <w:sz w:val="32"/>
          <w:szCs w:val="32"/>
          <w:highlight w:val="none"/>
        </w:rPr>
        <w:t>年度本年收入合计</w:t>
      </w:r>
      <w:r>
        <w:rPr>
          <w:rFonts w:hint="eastAsia" w:eastAsia="方正仿宋_GBK" w:cs="Times New Roman"/>
          <w:sz w:val="32"/>
          <w:szCs w:val="32"/>
          <w:highlight w:val="none"/>
          <w:lang w:val="en-US" w:eastAsia="zh-CN"/>
        </w:rPr>
        <w:t>1560.49</w:t>
      </w:r>
      <w:r>
        <w:rPr>
          <w:rFonts w:hint="default" w:ascii="Times New Roman" w:hAnsi="Times New Roman" w:eastAsia="方正仿宋_GBK" w:cs="Times New Roman"/>
          <w:sz w:val="32"/>
          <w:szCs w:val="32"/>
          <w:highlight w:val="none"/>
        </w:rPr>
        <w:t>万元，其中：一般公共预算财政拨款收入1534.14万元，占</w:t>
      </w:r>
      <w:r>
        <w:rPr>
          <w:rFonts w:hint="eastAsia" w:eastAsia="方正仿宋_GBK" w:cs="Times New Roman"/>
          <w:sz w:val="32"/>
          <w:szCs w:val="32"/>
          <w:highlight w:val="none"/>
          <w:lang w:val="en-US" w:eastAsia="zh-CN"/>
        </w:rPr>
        <w:t>98.31</w:t>
      </w:r>
      <w:r>
        <w:rPr>
          <w:rFonts w:hint="default" w:ascii="Times New Roman" w:hAnsi="Times New Roman" w:eastAsia="方正仿宋_GBK" w:cs="Times New Roman"/>
          <w:sz w:val="32"/>
          <w:szCs w:val="32"/>
          <w:highlight w:val="none"/>
        </w:rPr>
        <w:t>%；政府性基金预算财政拨款收入11.35万元，占</w:t>
      </w:r>
      <w:r>
        <w:rPr>
          <w:rFonts w:hint="eastAsia" w:eastAsia="方正仿宋_GBK" w:cs="Times New Roman"/>
          <w:sz w:val="32"/>
          <w:szCs w:val="32"/>
          <w:highlight w:val="none"/>
          <w:lang w:val="en-US" w:eastAsia="zh-CN"/>
        </w:rPr>
        <w:t>0.73</w:t>
      </w:r>
      <w:r>
        <w:rPr>
          <w:rFonts w:hint="default" w:ascii="Times New Roman" w:hAnsi="Times New Roman" w:eastAsia="方正仿宋_GBK" w:cs="Times New Roman"/>
          <w:sz w:val="32"/>
          <w:szCs w:val="32"/>
          <w:highlight w:val="none"/>
        </w:rPr>
        <w:t>%；其他收入1</w:t>
      </w:r>
      <w:r>
        <w:rPr>
          <w:rFonts w:hint="eastAsia" w:eastAsia="方正仿宋_GBK" w:cs="Times New Roman"/>
          <w:sz w:val="32"/>
          <w:szCs w:val="32"/>
          <w:highlight w:val="none"/>
          <w:lang w:val="en-US" w:eastAsia="zh-CN"/>
        </w:rPr>
        <w:t>5</w:t>
      </w:r>
      <w:r>
        <w:rPr>
          <w:rFonts w:hint="default" w:ascii="Times New Roman" w:hAnsi="Times New Roman" w:eastAsia="方正仿宋_GBK" w:cs="Times New Roman"/>
          <w:sz w:val="32"/>
          <w:szCs w:val="32"/>
          <w:highlight w:val="none"/>
        </w:rPr>
        <w:t>.00万元，占</w:t>
      </w:r>
      <w:r>
        <w:rPr>
          <w:rFonts w:hint="eastAsia" w:eastAsia="方正仿宋_GBK" w:cs="Times New Roman"/>
          <w:sz w:val="32"/>
          <w:szCs w:val="32"/>
          <w:highlight w:val="none"/>
          <w:lang w:val="en-US" w:eastAsia="zh-CN"/>
        </w:rPr>
        <w:t>0.96</w:t>
      </w:r>
      <w:r>
        <w:rPr>
          <w:rFonts w:hint="default" w:ascii="Times New Roman" w:hAnsi="Times New Roman" w:eastAsia="方正仿宋_GBK" w:cs="Times New Roman"/>
          <w:sz w:val="32"/>
          <w:szCs w:val="32"/>
          <w:highlight w:val="none"/>
        </w:rPr>
        <w:t>%</w:t>
      </w:r>
      <w:r>
        <w:rPr>
          <w:rFonts w:hint="eastAsia" w:eastAsia="方正仿宋_GBK" w:cs="Times New Roman"/>
          <w:sz w:val="32"/>
          <w:szCs w:val="32"/>
          <w:highlight w:val="none"/>
          <w:lang w:eastAsia="zh-CN"/>
        </w:rPr>
        <w:t>。</w:t>
      </w:r>
    </w:p>
    <w:p>
      <w:pPr>
        <w:spacing w:line="600" w:lineRule="exact"/>
        <w:jc w:val="center"/>
        <w:rPr>
          <w:rFonts w:ascii="仿宋" w:hAnsi="仿宋" w:eastAsia="仿宋"/>
          <w:sz w:val="32"/>
          <w:szCs w:val="32"/>
        </w:rPr>
      </w:pPr>
      <w:bookmarkStart w:id="19" w:name="_Toc15377207"/>
      <w:bookmarkStart w:id="20" w:name="_Toc15396605"/>
      <w:bookmarkStart w:id="21" w:name="_Toc7188_WPSOffice_Level2"/>
      <w:r>
        <w:rPr>
          <w:rFonts w:hint="eastAsia" w:ascii="仿宋" w:hAnsi="仿宋" w:eastAsia="仿宋"/>
          <w:sz w:val="32"/>
          <w:szCs w:val="32"/>
        </w:rPr>
        <w:t>（图</w:t>
      </w:r>
      <w:r>
        <w:rPr>
          <w:rFonts w:hint="eastAsia" w:ascii="仿宋" w:hAnsi="仿宋" w:eastAsia="仿宋"/>
          <w:sz w:val="32"/>
          <w:szCs w:val="32"/>
          <w:lang w:val="en-US" w:eastAsia="zh-CN"/>
        </w:rPr>
        <w:t>2</w:t>
      </w:r>
      <w:r>
        <w:rPr>
          <w:rFonts w:hint="eastAsia" w:ascii="仿宋" w:hAnsi="仿宋" w:eastAsia="仿宋"/>
          <w:sz w:val="32"/>
          <w:szCs w:val="32"/>
        </w:rPr>
        <w:t>：收入决算结构图）（饼状图）</w:t>
      </w:r>
    </w:p>
    <w:p>
      <w:pPr>
        <w:pStyle w:val="29"/>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textAlignment w:val="auto"/>
        <w:outlineLvl w:val="1"/>
        <w:rPr>
          <w:rFonts w:hint="default" w:ascii="Times New Roman" w:hAnsi="Times New Roman" w:eastAsia="方正黑体_GBK" w:cs="Times New Roman"/>
          <w:sz w:val="32"/>
          <w:szCs w:val="32"/>
        </w:rPr>
      </w:pPr>
      <w:r>
        <w:drawing>
          <wp:inline distT="0" distB="0" distL="114300" distR="114300">
            <wp:extent cx="5143500" cy="2696210"/>
            <wp:effectExtent l="0" t="0" r="0" b="8890"/>
            <wp:docPr id="8"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5"/>
                    <pic:cNvPicPr>
                      <a:picLocks noChangeAspect="1"/>
                    </pic:cNvPicPr>
                  </pic:nvPicPr>
                  <pic:blipFill>
                    <a:blip r:embed="rId10"/>
                    <a:stretch>
                      <a:fillRect/>
                    </a:stretch>
                  </pic:blipFill>
                  <pic:spPr>
                    <a:xfrm>
                      <a:off x="0" y="0"/>
                      <a:ext cx="5143500" cy="2696210"/>
                    </a:xfrm>
                    <a:prstGeom prst="rect">
                      <a:avLst/>
                    </a:prstGeom>
                    <a:noFill/>
                    <a:ln>
                      <a:noFill/>
                    </a:ln>
                  </pic:spPr>
                </pic:pic>
              </a:graphicData>
            </a:graphic>
          </wp:inline>
        </w:drawing>
      </w:r>
    </w:p>
    <w:p>
      <w:pPr>
        <w:pStyle w:val="4"/>
        <w:bidi w:val="0"/>
        <w:rPr>
          <w:rFonts w:hint="default"/>
        </w:rPr>
      </w:pPr>
      <w:r>
        <w:rPr>
          <w:rFonts w:hint="default"/>
        </w:rPr>
        <w:t>三、支出决算情况说明</w:t>
      </w:r>
      <w:bookmarkEnd w:id="19"/>
      <w:bookmarkEnd w:id="20"/>
      <w:bookmarkEnd w:id="21"/>
    </w:p>
    <w:p>
      <w:pPr>
        <w:keepNext w:val="0"/>
        <w:keepLines w:val="0"/>
        <w:pageBreakBefore w:val="0"/>
        <w:widowControl w:val="0"/>
        <w:kinsoku/>
        <w:wordWrap/>
        <w:overflowPunct/>
        <w:topLinePunct w:val="0"/>
        <w:autoSpaceDE/>
        <w:autoSpaceDN/>
        <w:bidi w:val="0"/>
        <w:adjustRightInd/>
        <w:snapToGrid/>
        <w:spacing w:line="240" w:lineRule="auto"/>
        <w:ind w:leftChars="0" w:firstLine="640" w:firstLineChars="200"/>
        <w:textAlignment w:val="auto"/>
        <w:outlineLvl w:val="1"/>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highlight w:val="none"/>
        </w:rPr>
        <w:t>202</w:t>
      </w:r>
      <w:r>
        <w:rPr>
          <w:rFonts w:hint="default" w:ascii="Times New Roman" w:hAnsi="Times New Roman" w:eastAsia="方正仿宋_GBK" w:cs="Times New Roman"/>
          <w:sz w:val="32"/>
          <w:szCs w:val="32"/>
          <w:highlight w:val="none"/>
          <w:lang w:val="en-US" w:eastAsia="zh-CN"/>
        </w:rPr>
        <w:t>4</w:t>
      </w:r>
      <w:r>
        <w:rPr>
          <w:rFonts w:hint="default" w:ascii="Times New Roman" w:hAnsi="Times New Roman" w:eastAsia="方正仿宋_GBK" w:cs="Times New Roman"/>
          <w:sz w:val="32"/>
          <w:szCs w:val="32"/>
          <w:highlight w:val="none"/>
        </w:rPr>
        <w:t>年度本年支出合计</w:t>
      </w:r>
      <w:r>
        <w:rPr>
          <w:rFonts w:hint="eastAsia" w:eastAsia="方正仿宋_GBK" w:cs="Times New Roman"/>
          <w:sz w:val="32"/>
          <w:szCs w:val="32"/>
          <w:highlight w:val="none"/>
          <w:lang w:val="en-US" w:eastAsia="zh-CN"/>
        </w:rPr>
        <w:t>1551.55</w:t>
      </w:r>
      <w:r>
        <w:rPr>
          <w:rFonts w:hint="default" w:ascii="Times New Roman" w:hAnsi="Times New Roman" w:eastAsia="方正仿宋_GBK" w:cs="Times New Roman"/>
          <w:sz w:val="32"/>
          <w:szCs w:val="32"/>
          <w:highlight w:val="none"/>
        </w:rPr>
        <w:t>万元，其中：基本支出</w:t>
      </w:r>
      <w:r>
        <w:rPr>
          <w:rFonts w:hint="eastAsia" w:eastAsia="方正仿宋_GBK" w:cs="Times New Roman"/>
          <w:sz w:val="32"/>
          <w:szCs w:val="32"/>
          <w:highlight w:val="none"/>
          <w:lang w:val="en-US" w:eastAsia="zh-CN"/>
        </w:rPr>
        <w:t>933.44</w:t>
      </w:r>
      <w:r>
        <w:rPr>
          <w:rFonts w:hint="default" w:ascii="Times New Roman" w:hAnsi="Times New Roman" w:eastAsia="方正仿宋_GBK" w:cs="Times New Roman"/>
          <w:sz w:val="32"/>
          <w:szCs w:val="32"/>
          <w:highlight w:val="none"/>
        </w:rPr>
        <w:t>万元，占</w:t>
      </w:r>
      <w:r>
        <w:rPr>
          <w:rFonts w:hint="eastAsia" w:eastAsia="方正仿宋_GBK" w:cs="Times New Roman"/>
          <w:sz w:val="32"/>
          <w:szCs w:val="32"/>
          <w:highlight w:val="none"/>
          <w:lang w:val="en-US" w:eastAsia="zh-CN"/>
        </w:rPr>
        <w:t>60.16</w:t>
      </w:r>
      <w:r>
        <w:rPr>
          <w:rFonts w:hint="default" w:ascii="Times New Roman" w:hAnsi="Times New Roman" w:eastAsia="方正仿宋_GBK" w:cs="Times New Roman"/>
          <w:sz w:val="32"/>
          <w:szCs w:val="32"/>
          <w:highlight w:val="none"/>
        </w:rPr>
        <w:t>%；项目支出</w:t>
      </w:r>
      <w:r>
        <w:rPr>
          <w:rFonts w:hint="eastAsia" w:eastAsia="方正仿宋_GBK" w:cs="Times New Roman"/>
          <w:sz w:val="32"/>
          <w:szCs w:val="32"/>
          <w:highlight w:val="none"/>
          <w:lang w:val="en-US" w:eastAsia="zh-CN"/>
        </w:rPr>
        <w:t>618.11</w:t>
      </w:r>
      <w:r>
        <w:rPr>
          <w:rFonts w:hint="default" w:ascii="Times New Roman" w:hAnsi="Times New Roman" w:eastAsia="方正仿宋_GBK" w:cs="Times New Roman"/>
          <w:sz w:val="32"/>
          <w:szCs w:val="32"/>
          <w:highlight w:val="none"/>
        </w:rPr>
        <w:t>万元，占</w:t>
      </w:r>
      <w:r>
        <w:rPr>
          <w:rFonts w:hint="eastAsia" w:eastAsia="方正仿宋_GBK" w:cs="Times New Roman"/>
          <w:sz w:val="32"/>
          <w:szCs w:val="32"/>
          <w:highlight w:val="none"/>
          <w:lang w:val="en-US" w:eastAsia="zh-CN"/>
        </w:rPr>
        <w:t>39.84</w:t>
      </w:r>
      <w:r>
        <w:rPr>
          <w:rFonts w:hint="default" w:ascii="Times New Roman" w:hAnsi="Times New Roman" w:eastAsia="方正仿宋_GBK" w:cs="Times New Roman"/>
          <w:sz w:val="32"/>
          <w:szCs w:val="32"/>
          <w:highlight w:val="none"/>
        </w:rPr>
        <w:t>%</w:t>
      </w:r>
      <w:r>
        <w:rPr>
          <w:rFonts w:hint="default" w:ascii="Times New Roman" w:hAnsi="Times New Roman" w:eastAsia="方正仿宋_GBK" w:cs="Times New Roman"/>
          <w:sz w:val="32"/>
          <w:szCs w:val="32"/>
          <w:highlight w:val="none"/>
          <w:lang w:eastAsia="zh-CN"/>
        </w:rPr>
        <w:t>。</w:t>
      </w:r>
    </w:p>
    <w:p>
      <w:pPr>
        <w:spacing w:line="600" w:lineRule="exact"/>
        <w:jc w:val="center"/>
        <w:rPr>
          <w:rFonts w:ascii="仿宋" w:hAnsi="仿宋" w:eastAsia="仿宋"/>
          <w:sz w:val="32"/>
          <w:szCs w:val="32"/>
        </w:rPr>
      </w:pPr>
      <w:r>
        <w:rPr>
          <w:rFonts w:hint="eastAsia" w:ascii="仿宋" w:hAnsi="仿宋" w:eastAsia="仿宋"/>
          <w:sz w:val="32"/>
          <w:szCs w:val="32"/>
        </w:rPr>
        <w:t>（图</w:t>
      </w:r>
      <w:r>
        <w:rPr>
          <w:rFonts w:hint="eastAsia" w:ascii="仿宋" w:hAnsi="仿宋" w:eastAsia="仿宋"/>
          <w:sz w:val="32"/>
          <w:szCs w:val="32"/>
          <w:lang w:val="en-US" w:eastAsia="zh-CN"/>
        </w:rPr>
        <w:t>3</w:t>
      </w:r>
      <w:r>
        <w:rPr>
          <w:rFonts w:hint="eastAsia" w:ascii="仿宋" w:hAnsi="仿宋" w:eastAsia="仿宋"/>
          <w:sz w:val="32"/>
          <w:szCs w:val="32"/>
        </w:rPr>
        <w:t>：支出决算结构图）（饼状图）</w:t>
      </w:r>
    </w:p>
    <w:p>
      <w:pPr>
        <w:rPr>
          <w:rFonts w:hint="default" w:ascii="Times New Roman" w:hAnsi="Times New Roman" w:eastAsia="仿宋_GB2312" w:cs="Times New Roman"/>
          <w:sz w:val="32"/>
          <w:szCs w:val="32"/>
        </w:rPr>
      </w:pPr>
      <w:r>
        <w:drawing>
          <wp:inline distT="0" distB="0" distL="114300" distR="114300">
            <wp:extent cx="5172075" cy="2828925"/>
            <wp:effectExtent l="0" t="0" r="9525" b="9525"/>
            <wp:docPr id="9"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6"/>
                    <pic:cNvPicPr>
                      <a:picLocks noChangeAspect="1"/>
                    </pic:cNvPicPr>
                  </pic:nvPicPr>
                  <pic:blipFill>
                    <a:blip r:embed="rId11"/>
                    <a:stretch>
                      <a:fillRect/>
                    </a:stretch>
                  </pic:blipFill>
                  <pic:spPr>
                    <a:xfrm>
                      <a:off x="0" y="0"/>
                      <a:ext cx="5172075" cy="2828925"/>
                    </a:xfrm>
                    <a:prstGeom prst="rect">
                      <a:avLst/>
                    </a:prstGeom>
                    <a:noFill/>
                    <a:ln>
                      <a:noFill/>
                    </a:ln>
                  </pic:spPr>
                </pic:pic>
              </a:graphicData>
            </a:graphic>
          </wp:inline>
        </w:drawing>
      </w:r>
    </w:p>
    <w:p>
      <w:pPr>
        <w:pStyle w:val="4"/>
        <w:bidi w:val="0"/>
        <w:rPr>
          <w:rFonts w:hint="default"/>
        </w:rPr>
      </w:pPr>
      <w:bookmarkStart w:id="22" w:name="_Toc15396606"/>
      <w:bookmarkStart w:id="23" w:name="_Toc8540_WPSOffice_Level2"/>
      <w:bookmarkStart w:id="24" w:name="_Toc15377208"/>
      <w:r>
        <w:rPr>
          <w:rFonts w:hint="default"/>
        </w:rPr>
        <w:t>四、财政拨款收入支出决算总体情况说明</w:t>
      </w:r>
      <w:bookmarkEnd w:id="22"/>
      <w:bookmarkEnd w:id="23"/>
      <w:bookmarkEnd w:id="24"/>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outlineLvl w:val="1"/>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202</w:t>
      </w:r>
      <w:r>
        <w:rPr>
          <w:rFonts w:hint="default"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rPr>
        <w:t>年度财政拨款收、支总计均为</w:t>
      </w:r>
      <w:r>
        <w:rPr>
          <w:rFonts w:hint="eastAsia" w:eastAsia="方正仿宋_GBK" w:cs="Times New Roman"/>
          <w:sz w:val="32"/>
          <w:szCs w:val="32"/>
          <w:lang w:val="en-US" w:eastAsia="zh-CN"/>
        </w:rPr>
        <w:t>1545.49</w:t>
      </w:r>
      <w:r>
        <w:rPr>
          <w:rFonts w:hint="default" w:ascii="Times New Roman" w:hAnsi="Times New Roman" w:eastAsia="方正仿宋_GBK" w:cs="Times New Roman"/>
          <w:sz w:val="32"/>
          <w:szCs w:val="32"/>
        </w:rPr>
        <w:t>万元。与202</w:t>
      </w:r>
      <w:r>
        <w:rPr>
          <w:rFonts w:hint="default"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rPr>
        <w:t>年度</w:t>
      </w:r>
      <w:r>
        <w:rPr>
          <w:rFonts w:hint="eastAsia" w:eastAsia="方正仿宋_GBK" w:cs="Times New Roman"/>
          <w:sz w:val="32"/>
          <w:szCs w:val="32"/>
          <w:lang w:val="en-US" w:eastAsia="zh-CN"/>
        </w:rPr>
        <w:t>1278.72</w:t>
      </w:r>
      <w:r>
        <w:rPr>
          <w:rFonts w:hint="default" w:ascii="Times New Roman" w:hAnsi="Times New Roman" w:eastAsia="方正仿宋_GBK" w:cs="Times New Roman"/>
          <w:sz w:val="32"/>
          <w:szCs w:val="32"/>
          <w:lang w:val="en-US" w:eastAsia="zh-CN"/>
        </w:rPr>
        <w:t>万元</w:t>
      </w:r>
      <w:r>
        <w:rPr>
          <w:rFonts w:hint="default" w:ascii="Times New Roman" w:hAnsi="Times New Roman" w:eastAsia="方正仿宋_GBK" w:cs="Times New Roman"/>
          <w:sz w:val="32"/>
          <w:szCs w:val="32"/>
        </w:rPr>
        <w:t>相比，财政拨款收、支总计各</w:t>
      </w:r>
      <w:r>
        <w:rPr>
          <w:rFonts w:hint="default" w:ascii="Times New Roman" w:hAnsi="Times New Roman" w:eastAsia="方正仿宋_GBK" w:cs="Times New Roman"/>
          <w:sz w:val="32"/>
          <w:szCs w:val="32"/>
          <w:lang w:val="en-US" w:eastAsia="zh-CN"/>
        </w:rPr>
        <w:t>增加</w:t>
      </w:r>
      <w:r>
        <w:rPr>
          <w:rFonts w:hint="eastAsia" w:eastAsia="方正仿宋_GBK" w:cs="Times New Roman"/>
          <w:sz w:val="32"/>
          <w:szCs w:val="32"/>
          <w:lang w:val="en-US" w:eastAsia="zh-CN"/>
        </w:rPr>
        <w:t>266.77</w:t>
      </w:r>
      <w:r>
        <w:rPr>
          <w:rFonts w:hint="default" w:ascii="Times New Roman" w:hAnsi="Times New Roman" w:eastAsia="方正仿宋_GBK" w:cs="Times New Roman"/>
          <w:sz w:val="32"/>
          <w:szCs w:val="32"/>
        </w:rPr>
        <w:t>万元，</w:t>
      </w:r>
      <w:r>
        <w:rPr>
          <w:rFonts w:hint="default" w:ascii="Times New Roman" w:hAnsi="Times New Roman" w:eastAsia="方正仿宋_GBK" w:cs="Times New Roman"/>
          <w:sz w:val="32"/>
          <w:szCs w:val="32"/>
          <w:lang w:val="en-US" w:eastAsia="zh-CN"/>
        </w:rPr>
        <w:t>增长</w:t>
      </w:r>
      <w:r>
        <w:rPr>
          <w:rFonts w:hint="eastAsia" w:eastAsia="方正仿宋_GBK" w:cs="Times New Roman"/>
          <w:sz w:val="32"/>
          <w:szCs w:val="32"/>
          <w:lang w:val="en-US" w:eastAsia="zh-CN"/>
        </w:rPr>
        <w:t>17.26</w:t>
      </w:r>
      <w:r>
        <w:rPr>
          <w:rFonts w:hint="default" w:ascii="Times New Roman" w:hAnsi="Times New Roman" w:eastAsia="方正仿宋_GBK" w:cs="Times New Roman"/>
          <w:sz w:val="32"/>
          <w:szCs w:val="32"/>
        </w:rPr>
        <w:t>%。主要变动原因</w:t>
      </w:r>
      <w:r>
        <w:rPr>
          <w:rFonts w:hint="default" w:ascii="Times New Roman" w:hAnsi="Times New Roman" w:eastAsia="方正仿宋_GBK" w:cs="Times New Roman"/>
          <w:b w:val="0"/>
          <w:bCs/>
          <w:kern w:val="0"/>
          <w:sz w:val="32"/>
          <w:szCs w:val="32"/>
          <w:u w:val="none"/>
          <w:lang w:val="en-US" w:eastAsia="zh-CN" w:bidi="ar-SA"/>
        </w:rPr>
        <w:t>是</w:t>
      </w:r>
      <w:r>
        <w:rPr>
          <w:rFonts w:hint="eastAsia" w:eastAsia="方正仿宋_GBK" w:cs="Times New Roman"/>
          <w:b w:val="0"/>
          <w:bCs/>
          <w:kern w:val="0"/>
          <w:sz w:val="32"/>
          <w:szCs w:val="32"/>
          <w:u w:val="none"/>
          <w:lang w:val="en-US" w:eastAsia="zh-CN" w:bidi="ar-SA"/>
        </w:rPr>
        <w:t>：</w:t>
      </w:r>
      <w:r>
        <w:rPr>
          <w:rFonts w:hint="default" w:ascii="Times New Roman" w:hAnsi="Times New Roman" w:eastAsia="方正仿宋_GBK" w:cs="Times New Roman"/>
          <w:b w:val="0"/>
          <w:bCs/>
          <w:kern w:val="0"/>
          <w:sz w:val="32"/>
          <w:szCs w:val="32"/>
          <w:u w:val="none"/>
          <w:lang w:val="en-US" w:eastAsia="zh-CN" w:bidi="ar-SA"/>
        </w:rPr>
        <w:t>2024年一般公共预算财政拨款收入增加，政府性基金预算财政拨款收入增加，收、支总计增加。</w:t>
      </w:r>
    </w:p>
    <w:p>
      <w:pPr>
        <w:spacing w:line="600" w:lineRule="exact"/>
        <w:jc w:val="center"/>
        <w:rPr>
          <w:rFonts w:ascii="仿宋" w:hAnsi="仿宋" w:eastAsia="仿宋"/>
          <w:sz w:val="32"/>
          <w:szCs w:val="32"/>
        </w:rPr>
      </w:pPr>
      <w:bookmarkStart w:id="25" w:name="_Toc15396607"/>
      <w:bookmarkStart w:id="26" w:name="_Toc15377209"/>
      <w:r>
        <w:rPr>
          <w:rFonts w:hint="eastAsia" w:ascii="仿宋" w:hAnsi="仿宋" w:eastAsia="仿宋"/>
          <w:sz w:val="32"/>
          <w:szCs w:val="32"/>
        </w:rPr>
        <w:t>（图4：财政拨款收、支决算总计变动情况）（柱状图）</w:t>
      </w:r>
    </w:p>
    <w:p>
      <w:pPr>
        <w:rPr>
          <w:rFonts w:hint="default"/>
        </w:rPr>
      </w:pPr>
      <w:r>
        <w:drawing>
          <wp:inline distT="0" distB="0" distL="114300" distR="114300">
            <wp:extent cx="5271135" cy="3894455"/>
            <wp:effectExtent l="0" t="0" r="5715" b="10795"/>
            <wp:docPr id="12"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9"/>
                    <pic:cNvPicPr>
                      <a:picLocks noChangeAspect="1"/>
                    </pic:cNvPicPr>
                  </pic:nvPicPr>
                  <pic:blipFill>
                    <a:blip r:embed="rId12"/>
                    <a:stretch>
                      <a:fillRect/>
                    </a:stretch>
                  </pic:blipFill>
                  <pic:spPr>
                    <a:xfrm>
                      <a:off x="0" y="0"/>
                      <a:ext cx="5271135" cy="3894455"/>
                    </a:xfrm>
                    <a:prstGeom prst="rect">
                      <a:avLst/>
                    </a:prstGeom>
                    <a:noFill/>
                    <a:ln>
                      <a:noFill/>
                    </a:ln>
                  </pic:spPr>
                </pic:pic>
              </a:graphicData>
            </a:graphic>
          </wp:inline>
        </w:drawing>
      </w:r>
    </w:p>
    <w:p>
      <w:pPr>
        <w:pStyle w:val="4"/>
        <w:bidi w:val="0"/>
        <w:rPr>
          <w:rFonts w:hint="default"/>
        </w:rPr>
      </w:pPr>
      <w:bookmarkStart w:id="27" w:name="_Toc2103_WPSOffice_Level2"/>
      <w:r>
        <w:rPr>
          <w:rFonts w:hint="default"/>
        </w:rPr>
        <w:t>五、一般公共预算财政拨款支出决算情况说明</w:t>
      </w:r>
      <w:bookmarkEnd w:id="25"/>
      <w:bookmarkEnd w:id="26"/>
      <w:bookmarkEnd w:id="27"/>
    </w:p>
    <w:p>
      <w:pPr>
        <w:spacing w:line="600" w:lineRule="exact"/>
        <w:ind w:firstLine="643" w:firstLineChars="200"/>
        <w:outlineLvl w:val="2"/>
        <w:rPr>
          <w:rFonts w:hint="default" w:ascii="Times New Roman" w:hAnsi="Times New Roman" w:eastAsia="方正楷体_GBK" w:cs="Times New Roman"/>
          <w:b/>
          <w:sz w:val="32"/>
          <w:szCs w:val="32"/>
        </w:rPr>
      </w:pPr>
      <w:bookmarkStart w:id="28" w:name="_Toc15377210"/>
      <w:r>
        <w:rPr>
          <w:rFonts w:hint="default" w:ascii="Times New Roman" w:hAnsi="Times New Roman" w:eastAsia="方正楷体_GBK" w:cs="Times New Roman"/>
          <w:b/>
          <w:sz w:val="32"/>
          <w:szCs w:val="32"/>
        </w:rPr>
        <w:t>（一）一般公共预算财政拨款支出决算总体情况</w:t>
      </w:r>
      <w:bookmarkEnd w:id="28"/>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outlineLvl w:val="1"/>
        <w:rPr>
          <w:rFonts w:hint="default" w:ascii="Times New Roman" w:hAnsi="Times New Roman" w:eastAsia="仿宋" w:cs="Times New Roman"/>
          <w:sz w:val="32"/>
          <w:szCs w:val="32"/>
          <w:lang w:eastAsia="zh-CN"/>
        </w:rPr>
      </w:pPr>
      <w:r>
        <w:rPr>
          <w:rFonts w:hint="default" w:ascii="Times New Roman" w:hAnsi="Times New Roman" w:eastAsia="方正仿宋_GBK" w:cs="Times New Roman"/>
          <w:sz w:val="32"/>
          <w:szCs w:val="32"/>
        </w:rPr>
        <w:t>202</w:t>
      </w:r>
      <w:r>
        <w:rPr>
          <w:rFonts w:hint="default"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rPr>
        <w:t>年度一般公共预算财政拨款支出</w:t>
      </w:r>
      <w:r>
        <w:rPr>
          <w:rFonts w:hint="eastAsia" w:eastAsia="方正仿宋_GBK" w:cs="Times New Roman"/>
          <w:sz w:val="32"/>
          <w:szCs w:val="32"/>
          <w:lang w:val="en-US" w:eastAsia="zh-CN"/>
        </w:rPr>
        <w:t>1534.14</w:t>
      </w:r>
      <w:r>
        <w:rPr>
          <w:rFonts w:hint="default" w:ascii="Times New Roman" w:hAnsi="Times New Roman" w:eastAsia="方正仿宋_GBK" w:cs="Times New Roman"/>
          <w:sz w:val="32"/>
          <w:szCs w:val="32"/>
        </w:rPr>
        <w:t>万元，占本年支出合计的</w:t>
      </w:r>
      <w:r>
        <w:rPr>
          <w:rFonts w:hint="eastAsia" w:eastAsia="方正仿宋_GBK" w:cs="Times New Roman"/>
          <w:sz w:val="32"/>
          <w:szCs w:val="32"/>
          <w:lang w:val="en-US" w:eastAsia="zh-CN"/>
        </w:rPr>
        <w:t>98.88</w:t>
      </w:r>
      <w:r>
        <w:rPr>
          <w:rFonts w:hint="default" w:ascii="Times New Roman" w:hAnsi="Times New Roman" w:eastAsia="方正仿宋_GBK" w:cs="Times New Roman"/>
          <w:sz w:val="32"/>
          <w:szCs w:val="32"/>
        </w:rPr>
        <w:t>%。与202</w:t>
      </w:r>
      <w:r>
        <w:rPr>
          <w:rFonts w:hint="default"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rPr>
        <w:t>年度</w:t>
      </w:r>
      <w:r>
        <w:rPr>
          <w:rFonts w:hint="eastAsia" w:eastAsia="方正仿宋_GBK" w:cs="Times New Roman"/>
          <w:sz w:val="32"/>
          <w:szCs w:val="32"/>
          <w:lang w:val="en-US" w:eastAsia="zh-CN"/>
        </w:rPr>
        <w:t>1278.72</w:t>
      </w:r>
      <w:r>
        <w:rPr>
          <w:rFonts w:hint="default" w:ascii="Times New Roman" w:hAnsi="Times New Roman" w:eastAsia="方正仿宋_GBK" w:cs="Times New Roman"/>
          <w:sz w:val="32"/>
          <w:szCs w:val="32"/>
          <w:lang w:val="en-US" w:eastAsia="zh-CN"/>
        </w:rPr>
        <w:t>万元</w:t>
      </w:r>
      <w:r>
        <w:rPr>
          <w:rFonts w:hint="default" w:ascii="Times New Roman" w:hAnsi="Times New Roman" w:eastAsia="方正仿宋_GBK" w:cs="Times New Roman"/>
          <w:sz w:val="32"/>
          <w:szCs w:val="32"/>
        </w:rPr>
        <w:t>相比，一般公共预算财政拨款支出</w:t>
      </w:r>
      <w:r>
        <w:rPr>
          <w:rFonts w:hint="default" w:ascii="Times New Roman" w:hAnsi="Times New Roman" w:eastAsia="方正仿宋_GBK" w:cs="Times New Roman"/>
          <w:sz w:val="32"/>
          <w:szCs w:val="32"/>
          <w:lang w:val="en-US" w:eastAsia="zh-CN"/>
        </w:rPr>
        <w:t>增加</w:t>
      </w:r>
      <w:r>
        <w:rPr>
          <w:rFonts w:hint="eastAsia" w:eastAsia="方正仿宋_GBK" w:cs="Times New Roman"/>
          <w:sz w:val="32"/>
          <w:szCs w:val="32"/>
          <w:lang w:val="en-US" w:eastAsia="zh-CN"/>
        </w:rPr>
        <w:t>255.42</w:t>
      </w:r>
      <w:r>
        <w:rPr>
          <w:rFonts w:hint="default" w:ascii="Times New Roman" w:hAnsi="Times New Roman" w:eastAsia="方正仿宋_GBK" w:cs="Times New Roman"/>
          <w:sz w:val="32"/>
          <w:szCs w:val="32"/>
        </w:rPr>
        <w:t>万元，</w:t>
      </w:r>
      <w:r>
        <w:rPr>
          <w:rFonts w:hint="default" w:ascii="Times New Roman" w:hAnsi="Times New Roman" w:eastAsia="方正仿宋_GBK" w:cs="Times New Roman"/>
          <w:sz w:val="32"/>
          <w:szCs w:val="32"/>
          <w:lang w:val="en-US" w:eastAsia="zh-CN"/>
        </w:rPr>
        <w:t>增加</w:t>
      </w:r>
      <w:r>
        <w:rPr>
          <w:rFonts w:hint="eastAsia" w:eastAsia="方正仿宋_GBK" w:cs="Times New Roman"/>
          <w:sz w:val="32"/>
          <w:szCs w:val="32"/>
          <w:lang w:val="en-US" w:eastAsia="zh-CN"/>
        </w:rPr>
        <w:t>16.64</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b w:val="0"/>
          <w:bCs/>
          <w:kern w:val="0"/>
          <w:sz w:val="32"/>
          <w:szCs w:val="20"/>
          <w:u w:val="none"/>
          <w:lang w:val="en-US" w:eastAsia="zh-CN" w:bidi="ar-SA"/>
        </w:rPr>
        <w:t>主要变动原因是</w:t>
      </w:r>
      <w:r>
        <w:rPr>
          <w:rFonts w:hint="eastAsia" w:eastAsia="方正仿宋_GBK" w:cs="Times New Roman"/>
          <w:b w:val="0"/>
          <w:bCs/>
          <w:kern w:val="0"/>
          <w:sz w:val="32"/>
          <w:szCs w:val="20"/>
          <w:u w:val="none"/>
          <w:lang w:val="en-US" w:eastAsia="zh-CN" w:bidi="ar-SA"/>
        </w:rPr>
        <w:t>：</w:t>
      </w:r>
      <w:r>
        <w:rPr>
          <w:rFonts w:hint="default" w:ascii="Times New Roman" w:hAnsi="Times New Roman" w:eastAsia="方正仿宋_GBK" w:cs="Times New Roman"/>
          <w:b w:val="0"/>
          <w:bCs/>
          <w:kern w:val="0"/>
          <w:sz w:val="32"/>
          <w:szCs w:val="20"/>
          <w:u w:val="none"/>
          <w:lang w:val="en-US" w:eastAsia="zh-CN" w:bidi="ar-SA"/>
        </w:rPr>
        <w:t>2024年一般公共预算财政拨款收入增加，</w:t>
      </w:r>
      <w:r>
        <w:rPr>
          <w:rFonts w:hint="eastAsia" w:eastAsia="方正仿宋_GBK" w:cs="Times New Roman"/>
          <w:b w:val="0"/>
          <w:bCs/>
          <w:kern w:val="0"/>
          <w:sz w:val="32"/>
          <w:szCs w:val="20"/>
          <w:u w:val="none"/>
          <w:lang w:val="en-US" w:eastAsia="zh-CN" w:bidi="ar-SA"/>
        </w:rPr>
        <w:t>支出</w:t>
      </w:r>
      <w:r>
        <w:rPr>
          <w:rFonts w:hint="default" w:ascii="Times New Roman" w:hAnsi="Times New Roman" w:eastAsia="方正仿宋_GBK" w:cs="Times New Roman"/>
          <w:b w:val="0"/>
          <w:bCs/>
          <w:kern w:val="0"/>
          <w:sz w:val="32"/>
          <w:szCs w:val="20"/>
          <w:u w:val="none"/>
          <w:lang w:val="en-US" w:eastAsia="zh-CN" w:bidi="ar-SA"/>
        </w:rPr>
        <w:t>总计增加。</w:t>
      </w:r>
    </w:p>
    <w:p>
      <w:pPr>
        <w:spacing w:line="600" w:lineRule="exact"/>
        <w:jc w:val="center"/>
        <w:rPr>
          <w:rFonts w:ascii="仿宋" w:hAnsi="仿宋" w:eastAsia="仿宋"/>
          <w:sz w:val="32"/>
          <w:szCs w:val="32"/>
        </w:rPr>
      </w:pPr>
      <w:bookmarkStart w:id="29" w:name="_Toc15377211"/>
      <w:r>
        <w:rPr>
          <w:rFonts w:hint="eastAsia" w:ascii="仿宋" w:hAnsi="仿宋" w:eastAsia="仿宋"/>
          <w:sz w:val="32"/>
          <w:szCs w:val="32"/>
        </w:rPr>
        <w:t>（图5：一般公共预算财政拨款支出决算变动情况）（柱状图）</w:t>
      </w:r>
    </w:p>
    <w:p>
      <w:pPr>
        <w:pStyle w:val="8"/>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textAlignment w:val="auto"/>
        <w:rPr>
          <w:rFonts w:hint="default" w:ascii="Times New Roman" w:hAnsi="Times New Roman" w:eastAsia="方正楷体_GBK" w:cs="Times New Roman"/>
          <w:b/>
          <w:sz w:val="32"/>
          <w:szCs w:val="32"/>
        </w:rPr>
      </w:pPr>
      <w:r>
        <w:drawing>
          <wp:inline distT="0" distB="0" distL="114300" distR="114300">
            <wp:extent cx="5210175" cy="2819400"/>
            <wp:effectExtent l="0" t="0" r="9525" b="0"/>
            <wp:docPr id="13"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0"/>
                    <pic:cNvPicPr>
                      <a:picLocks noChangeAspect="1"/>
                    </pic:cNvPicPr>
                  </pic:nvPicPr>
                  <pic:blipFill>
                    <a:blip r:embed="rId13"/>
                    <a:stretch>
                      <a:fillRect/>
                    </a:stretch>
                  </pic:blipFill>
                  <pic:spPr>
                    <a:xfrm>
                      <a:off x="0" y="0"/>
                      <a:ext cx="5210175" cy="2819400"/>
                    </a:xfrm>
                    <a:prstGeom prst="rect">
                      <a:avLst/>
                    </a:prstGeom>
                    <a:noFill/>
                    <a:ln>
                      <a:noFill/>
                    </a:ln>
                  </pic:spPr>
                </pic:pic>
              </a:graphicData>
            </a:graphic>
          </wp:inline>
        </w:drawing>
      </w:r>
    </w:p>
    <w:p>
      <w:pPr>
        <w:pStyle w:val="8"/>
        <w:keepNext w:val="0"/>
        <w:keepLines w:val="0"/>
        <w:pageBreakBefore w:val="0"/>
        <w:widowControl w:val="0"/>
        <w:kinsoku/>
        <w:wordWrap/>
        <w:overflowPunct/>
        <w:topLinePunct w:val="0"/>
        <w:autoSpaceDE/>
        <w:autoSpaceDN/>
        <w:bidi w:val="0"/>
        <w:adjustRightInd/>
        <w:snapToGrid/>
        <w:spacing w:after="0" w:line="240" w:lineRule="auto"/>
        <w:ind w:left="0" w:leftChars="0" w:firstLine="643" w:firstLineChars="200"/>
        <w:textAlignment w:val="auto"/>
        <w:rPr>
          <w:rFonts w:hint="default" w:ascii="Times New Roman" w:hAnsi="Times New Roman" w:eastAsia="方正楷体_GBK" w:cs="Times New Roman"/>
          <w:b/>
          <w:sz w:val="32"/>
          <w:szCs w:val="32"/>
        </w:rPr>
      </w:pPr>
      <w:r>
        <w:rPr>
          <w:rFonts w:hint="default" w:ascii="Times New Roman" w:hAnsi="Times New Roman" w:eastAsia="方正楷体_GBK" w:cs="Times New Roman"/>
          <w:b/>
          <w:sz w:val="32"/>
          <w:szCs w:val="32"/>
        </w:rPr>
        <w:t>（二）一般公共预算财政拨款支出决算结构情况</w:t>
      </w:r>
      <w:bookmarkEnd w:id="29"/>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202</w:t>
      </w:r>
      <w:r>
        <w:rPr>
          <w:rFonts w:hint="default" w:ascii="Times New Roman" w:hAnsi="Times New Roman" w:eastAsia="方正仿宋_GBK" w:cs="Times New Roman"/>
          <w:b w:val="0"/>
          <w:bCs w:val="0"/>
          <w:sz w:val="32"/>
          <w:szCs w:val="32"/>
          <w:lang w:val="en-US" w:eastAsia="zh-CN"/>
        </w:rPr>
        <w:t>4</w:t>
      </w:r>
      <w:r>
        <w:rPr>
          <w:rFonts w:hint="default" w:ascii="Times New Roman" w:hAnsi="Times New Roman" w:eastAsia="方正仿宋_GBK" w:cs="Times New Roman"/>
          <w:b w:val="0"/>
          <w:bCs w:val="0"/>
          <w:sz w:val="32"/>
          <w:szCs w:val="32"/>
        </w:rPr>
        <w:t>年度一般公共预算财政拨款支出</w:t>
      </w:r>
      <w:r>
        <w:rPr>
          <w:rFonts w:hint="eastAsia" w:eastAsia="方正仿宋_GBK" w:cs="Times New Roman"/>
          <w:b w:val="0"/>
          <w:bCs w:val="0"/>
          <w:sz w:val="32"/>
          <w:szCs w:val="32"/>
          <w:lang w:val="en-US" w:eastAsia="zh-CN"/>
        </w:rPr>
        <w:t>1534.14</w:t>
      </w:r>
      <w:r>
        <w:rPr>
          <w:rFonts w:hint="default" w:ascii="Times New Roman" w:hAnsi="Times New Roman" w:eastAsia="方正仿宋_GBK" w:cs="Times New Roman"/>
          <w:b w:val="0"/>
          <w:bCs w:val="0"/>
          <w:sz w:val="32"/>
          <w:szCs w:val="32"/>
        </w:rPr>
        <w:t>万元，主要用于以下方面:一般公共服务支出</w:t>
      </w:r>
      <w:r>
        <w:rPr>
          <w:rFonts w:hint="eastAsia" w:eastAsia="方正仿宋_GBK" w:cs="Times New Roman"/>
          <w:b w:val="0"/>
          <w:bCs w:val="0"/>
          <w:sz w:val="32"/>
          <w:szCs w:val="32"/>
          <w:lang w:val="en-US" w:eastAsia="zh-CN"/>
        </w:rPr>
        <w:t>471.72</w:t>
      </w:r>
      <w:r>
        <w:rPr>
          <w:rFonts w:hint="default" w:ascii="Times New Roman" w:hAnsi="Times New Roman" w:eastAsia="方正仿宋_GBK" w:cs="Times New Roman"/>
          <w:b w:val="0"/>
          <w:bCs w:val="0"/>
          <w:sz w:val="32"/>
          <w:szCs w:val="32"/>
        </w:rPr>
        <w:t>万元，占</w:t>
      </w:r>
      <w:r>
        <w:rPr>
          <w:rFonts w:hint="eastAsia" w:eastAsia="方正仿宋_GBK" w:cs="Times New Roman"/>
          <w:b w:val="0"/>
          <w:bCs w:val="0"/>
          <w:sz w:val="32"/>
          <w:szCs w:val="32"/>
          <w:lang w:val="en-US" w:eastAsia="zh-CN"/>
        </w:rPr>
        <w:t>30.75</w:t>
      </w:r>
      <w:r>
        <w:rPr>
          <w:rFonts w:hint="default" w:ascii="Times New Roman" w:hAnsi="Times New Roman" w:eastAsia="方正仿宋_GBK" w:cs="Times New Roman"/>
          <w:b w:val="0"/>
          <w:bCs w:val="0"/>
          <w:sz w:val="32"/>
          <w:szCs w:val="32"/>
        </w:rPr>
        <w:t>%；文化旅游体育与传媒支出</w:t>
      </w:r>
      <w:r>
        <w:rPr>
          <w:rFonts w:hint="eastAsia" w:eastAsia="方正仿宋_GBK" w:cs="Times New Roman"/>
          <w:b w:val="0"/>
          <w:bCs w:val="0"/>
          <w:sz w:val="32"/>
          <w:szCs w:val="32"/>
          <w:lang w:val="en-US" w:eastAsia="zh-CN"/>
        </w:rPr>
        <w:t>33.73</w:t>
      </w:r>
      <w:r>
        <w:rPr>
          <w:rFonts w:hint="default" w:ascii="Times New Roman" w:hAnsi="Times New Roman" w:eastAsia="方正仿宋_GBK" w:cs="Times New Roman"/>
          <w:b w:val="0"/>
          <w:bCs w:val="0"/>
          <w:sz w:val="32"/>
          <w:szCs w:val="32"/>
        </w:rPr>
        <w:t>万元，占</w:t>
      </w:r>
      <w:r>
        <w:rPr>
          <w:rFonts w:hint="eastAsia" w:eastAsia="方正仿宋_GBK" w:cs="Times New Roman"/>
          <w:b w:val="0"/>
          <w:bCs w:val="0"/>
          <w:sz w:val="32"/>
          <w:szCs w:val="32"/>
          <w:lang w:val="en-US" w:eastAsia="zh-CN"/>
        </w:rPr>
        <w:t>2.20</w:t>
      </w:r>
      <w:r>
        <w:rPr>
          <w:rFonts w:hint="default" w:ascii="Times New Roman" w:hAnsi="Times New Roman" w:eastAsia="方正仿宋_GBK" w:cs="Times New Roman"/>
          <w:b w:val="0"/>
          <w:bCs w:val="0"/>
          <w:sz w:val="32"/>
          <w:szCs w:val="32"/>
        </w:rPr>
        <w:t>%；社会保障和就业支出</w:t>
      </w:r>
      <w:r>
        <w:rPr>
          <w:rFonts w:hint="eastAsia" w:eastAsia="方正仿宋_GBK" w:cs="Times New Roman"/>
          <w:b w:val="0"/>
          <w:bCs w:val="0"/>
          <w:sz w:val="32"/>
          <w:szCs w:val="32"/>
          <w:lang w:val="en-US" w:eastAsia="zh-CN"/>
        </w:rPr>
        <w:t>168.68</w:t>
      </w:r>
      <w:r>
        <w:rPr>
          <w:rFonts w:hint="default" w:ascii="Times New Roman" w:hAnsi="Times New Roman" w:eastAsia="方正仿宋_GBK" w:cs="Times New Roman"/>
          <w:b w:val="0"/>
          <w:bCs w:val="0"/>
          <w:sz w:val="32"/>
          <w:szCs w:val="32"/>
        </w:rPr>
        <w:t>万元</w:t>
      </w:r>
      <w:r>
        <w:rPr>
          <w:rFonts w:hint="default" w:ascii="Times New Roman" w:hAnsi="Times New Roman" w:eastAsia="方正仿宋_GBK" w:cs="Times New Roman"/>
          <w:b w:val="0"/>
          <w:bCs w:val="0"/>
          <w:sz w:val="32"/>
          <w:szCs w:val="32"/>
          <w:highlight w:val="none"/>
        </w:rPr>
        <w:t>，占</w:t>
      </w:r>
      <w:r>
        <w:rPr>
          <w:rFonts w:hint="eastAsia" w:eastAsia="方正仿宋_GBK" w:cs="Times New Roman"/>
          <w:b w:val="0"/>
          <w:bCs w:val="0"/>
          <w:sz w:val="32"/>
          <w:szCs w:val="32"/>
          <w:highlight w:val="none"/>
          <w:lang w:val="en-US" w:eastAsia="zh-CN"/>
        </w:rPr>
        <w:t>11.00</w:t>
      </w:r>
      <w:r>
        <w:rPr>
          <w:rFonts w:hint="default" w:ascii="Times New Roman" w:hAnsi="Times New Roman" w:eastAsia="方正仿宋_GBK" w:cs="Times New Roman"/>
          <w:b w:val="0"/>
          <w:bCs w:val="0"/>
          <w:sz w:val="32"/>
          <w:szCs w:val="32"/>
          <w:highlight w:val="none"/>
        </w:rPr>
        <w:t>%；</w:t>
      </w:r>
      <w:r>
        <w:rPr>
          <w:rFonts w:hint="default" w:ascii="Times New Roman" w:hAnsi="Times New Roman" w:eastAsia="方正仿宋_GBK" w:cs="Times New Roman"/>
          <w:b w:val="0"/>
          <w:bCs w:val="0"/>
          <w:sz w:val="32"/>
          <w:szCs w:val="32"/>
        </w:rPr>
        <w:t>卫生健康支出</w:t>
      </w:r>
      <w:r>
        <w:rPr>
          <w:rFonts w:hint="eastAsia" w:eastAsia="方正仿宋_GBK" w:cs="Times New Roman"/>
          <w:b w:val="0"/>
          <w:bCs w:val="0"/>
          <w:sz w:val="32"/>
          <w:szCs w:val="32"/>
          <w:lang w:val="en-US" w:eastAsia="zh-CN"/>
        </w:rPr>
        <w:t>60.95</w:t>
      </w:r>
      <w:r>
        <w:rPr>
          <w:rFonts w:hint="default" w:ascii="Times New Roman" w:hAnsi="Times New Roman" w:eastAsia="方正仿宋_GBK" w:cs="Times New Roman"/>
          <w:b w:val="0"/>
          <w:bCs w:val="0"/>
          <w:sz w:val="32"/>
          <w:szCs w:val="32"/>
        </w:rPr>
        <w:t>万元，占</w:t>
      </w:r>
      <w:r>
        <w:rPr>
          <w:rFonts w:hint="eastAsia" w:eastAsia="方正仿宋_GBK" w:cs="Times New Roman"/>
          <w:b w:val="0"/>
          <w:bCs w:val="0"/>
          <w:sz w:val="32"/>
          <w:szCs w:val="32"/>
          <w:lang w:val="en-US" w:eastAsia="zh-CN"/>
        </w:rPr>
        <w:t>3.97</w:t>
      </w:r>
      <w:r>
        <w:rPr>
          <w:rFonts w:hint="default" w:ascii="Times New Roman" w:hAnsi="Times New Roman" w:eastAsia="方正仿宋_GBK" w:cs="Times New Roman"/>
          <w:b w:val="0"/>
          <w:bCs w:val="0"/>
          <w:sz w:val="32"/>
          <w:szCs w:val="32"/>
        </w:rPr>
        <w:t>%；</w:t>
      </w:r>
      <w:r>
        <w:rPr>
          <w:rFonts w:hint="default" w:ascii="Times New Roman" w:hAnsi="Times New Roman" w:eastAsia="方正仿宋_GBK" w:cs="Times New Roman"/>
          <w:b w:val="0"/>
          <w:bCs w:val="0"/>
          <w:sz w:val="32"/>
          <w:szCs w:val="32"/>
          <w:lang w:val="en-US" w:eastAsia="zh-CN"/>
        </w:rPr>
        <w:t>节能环保</w:t>
      </w:r>
      <w:r>
        <w:rPr>
          <w:rFonts w:hint="default" w:ascii="Times New Roman" w:hAnsi="Times New Roman" w:eastAsia="方正仿宋_GBK" w:cs="Times New Roman"/>
          <w:b w:val="0"/>
          <w:bCs w:val="0"/>
          <w:sz w:val="32"/>
          <w:szCs w:val="32"/>
        </w:rPr>
        <w:t>支出</w:t>
      </w:r>
      <w:r>
        <w:rPr>
          <w:rFonts w:hint="eastAsia" w:eastAsia="方正仿宋_GBK" w:cs="Times New Roman"/>
          <w:b w:val="0"/>
          <w:bCs w:val="0"/>
          <w:sz w:val="32"/>
          <w:szCs w:val="32"/>
          <w:lang w:val="en-US" w:eastAsia="zh-CN"/>
        </w:rPr>
        <w:t>19.90</w:t>
      </w:r>
      <w:r>
        <w:rPr>
          <w:rFonts w:hint="default" w:ascii="Times New Roman" w:hAnsi="Times New Roman" w:eastAsia="方正仿宋_GBK" w:cs="Times New Roman"/>
          <w:b w:val="0"/>
          <w:bCs w:val="0"/>
          <w:sz w:val="32"/>
          <w:szCs w:val="32"/>
        </w:rPr>
        <w:t>万元，占</w:t>
      </w:r>
      <w:r>
        <w:rPr>
          <w:rFonts w:hint="eastAsia" w:eastAsia="方正仿宋_GBK" w:cs="Times New Roman"/>
          <w:b w:val="0"/>
          <w:bCs w:val="0"/>
          <w:sz w:val="32"/>
          <w:szCs w:val="32"/>
          <w:lang w:val="en-US" w:eastAsia="zh-CN"/>
        </w:rPr>
        <w:t>1.30</w:t>
      </w:r>
      <w:r>
        <w:rPr>
          <w:rFonts w:hint="default" w:ascii="Times New Roman" w:hAnsi="Times New Roman" w:eastAsia="方正仿宋_GBK" w:cs="Times New Roman"/>
          <w:b w:val="0"/>
          <w:bCs w:val="0"/>
          <w:sz w:val="32"/>
          <w:szCs w:val="32"/>
        </w:rPr>
        <w:t>%；</w:t>
      </w:r>
      <w:r>
        <w:rPr>
          <w:rFonts w:hint="default" w:ascii="Times New Roman" w:hAnsi="Times New Roman" w:eastAsia="方正仿宋_GBK" w:cs="Times New Roman"/>
          <w:b w:val="0"/>
          <w:bCs w:val="0"/>
          <w:kern w:val="0"/>
          <w:sz w:val="32"/>
          <w:szCs w:val="20"/>
          <w:highlight w:val="none"/>
          <w:u w:val="none"/>
          <w:lang w:val="en-US" w:eastAsia="zh-CN" w:bidi="ar-SA"/>
        </w:rPr>
        <w:t>农林水支出</w:t>
      </w:r>
      <w:r>
        <w:rPr>
          <w:rFonts w:hint="eastAsia" w:eastAsia="方正仿宋_GBK" w:cs="Times New Roman"/>
          <w:b w:val="0"/>
          <w:bCs w:val="0"/>
          <w:kern w:val="0"/>
          <w:sz w:val="32"/>
          <w:szCs w:val="20"/>
          <w:highlight w:val="none"/>
          <w:u w:val="none"/>
          <w:lang w:val="en-US" w:eastAsia="zh-CN" w:bidi="ar-SA"/>
        </w:rPr>
        <w:t>722.72</w:t>
      </w:r>
      <w:r>
        <w:rPr>
          <w:rFonts w:hint="default" w:ascii="Times New Roman" w:hAnsi="Times New Roman" w:eastAsia="方正仿宋_GBK" w:cs="Times New Roman"/>
          <w:b w:val="0"/>
          <w:bCs w:val="0"/>
          <w:kern w:val="0"/>
          <w:sz w:val="32"/>
          <w:szCs w:val="20"/>
          <w:highlight w:val="none"/>
          <w:u w:val="none"/>
          <w:lang w:val="en-US" w:eastAsia="zh-CN" w:bidi="ar-SA"/>
        </w:rPr>
        <w:t>万元，占</w:t>
      </w:r>
      <w:r>
        <w:rPr>
          <w:rFonts w:hint="eastAsia" w:eastAsia="方正仿宋_GBK" w:cs="Times New Roman"/>
          <w:b w:val="0"/>
          <w:bCs w:val="0"/>
          <w:kern w:val="0"/>
          <w:sz w:val="32"/>
          <w:szCs w:val="20"/>
          <w:highlight w:val="none"/>
          <w:u w:val="none"/>
          <w:lang w:val="en-US" w:eastAsia="zh-CN" w:bidi="ar-SA"/>
        </w:rPr>
        <w:t>47.11</w:t>
      </w:r>
      <w:r>
        <w:rPr>
          <w:rFonts w:hint="default" w:ascii="Times New Roman" w:hAnsi="Times New Roman" w:eastAsia="方正仿宋_GBK" w:cs="Times New Roman"/>
          <w:b w:val="0"/>
          <w:bCs w:val="0"/>
          <w:kern w:val="0"/>
          <w:sz w:val="32"/>
          <w:szCs w:val="20"/>
          <w:highlight w:val="none"/>
          <w:u w:val="none"/>
          <w:lang w:val="en-US" w:eastAsia="zh-CN" w:bidi="ar-SA"/>
        </w:rPr>
        <w:t>%；住房保障支出</w:t>
      </w:r>
      <w:r>
        <w:rPr>
          <w:rFonts w:hint="eastAsia" w:eastAsia="方正仿宋_GBK" w:cs="Times New Roman"/>
          <w:b w:val="0"/>
          <w:bCs w:val="0"/>
          <w:kern w:val="0"/>
          <w:sz w:val="32"/>
          <w:szCs w:val="20"/>
          <w:highlight w:val="none"/>
          <w:u w:val="none"/>
          <w:lang w:val="en-US" w:eastAsia="zh-CN" w:bidi="ar-SA"/>
        </w:rPr>
        <w:t>56.44</w:t>
      </w:r>
      <w:r>
        <w:rPr>
          <w:rFonts w:hint="default" w:ascii="Times New Roman" w:hAnsi="Times New Roman" w:eastAsia="方正仿宋_GBK" w:cs="Times New Roman"/>
          <w:b w:val="0"/>
          <w:bCs w:val="0"/>
          <w:kern w:val="0"/>
          <w:sz w:val="32"/>
          <w:szCs w:val="20"/>
          <w:highlight w:val="none"/>
          <w:u w:val="none"/>
          <w:lang w:val="en-US" w:eastAsia="zh-CN" w:bidi="ar-SA"/>
        </w:rPr>
        <w:t>万元，占</w:t>
      </w:r>
      <w:r>
        <w:rPr>
          <w:rFonts w:hint="eastAsia" w:eastAsia="方正仿宋_GBK" w:cs="Times New Roman"/>
          <w:b w:val="0"/>
          <w:bCs w:val="0"/>
          <w:kern w:val="0"/>
          <w:sz w:val="32"/>
          <w:szCs w:val="20"/>
          <w:highlight w:val="none"/>
          <w:u w:val="none"/>
          <w:lang w:val="en-US" w:eastAsia="zh-CN" w:bidi="ar-SA"/>
        </w:rPr>
        <w:t>3.68</w:t>
      </w:r>
      <w:r>
        <w:rPr>
          <w:rFonts w:hint="default" w:ascii="Times New Roman" w:hAnsi="Times New Roman" w:eastAsia="方正仿宋_GBK" w:cs="Times New Roman"/>
          <w:b w:val="0"/>
          <w:bCs w:val="0"/>
          <w:kern w:val="0"/>
          <w:sz w:val="32"/>
          <w:szCs w:val="20"/>
          <w:highlight w:val="none"/>
          <w:u w:val="none"/>
          <w:lang w:val="en-US" w:eastAsia="zh-CN" w:bidi="ar-SA"/>
        </w:rPr>
        <w:t>%。</w:t>
      </w:r>
    </w:p>
    <w:p>
      <w:pPr>
        <w:rPr>
          <w:rFonts w:hint="eastAsia" w:ascii="仿宋" w:hAnsi="仿宋" w:eastAsia="仿宋"/>
          <w:sz w:val="32"/>
          <w:szCs w:val="32"/>
        </w:rPr>
      </w:pPr>
      <w:r>
        <w:rPr>
          <w:rFonts w:hint="eastAsia" w:ascii="仿宋" w:hAnsi="仿宋" w:eastAsia="仿宋"/>
          <w:sz w:val="32"/>
          <w:szCs w:val="32"/>
        </w:rPr>
        <w:br w:type="page"/>
      </w:r>
    </w:p>
    <w:p>
      <w:pPr>
        <w:spacing w:line="600" w:lineRule="exact"/>
        <w:jc w:val="center"/>
        <w:rPr>
          <w:rFonts w:hint="eastAsia" w:ascii="仿宋" w:hAnsi="仿宋" w:eastAsia="仿宋"/>
          <w:sz w:val="32"/>
          <w:szCs w:val="32"/>
        </w:rPr>
      </w:pPr>
      <w:r>
        <w:rPr>
          <w:rFonts w:hint="eastAsia" w:ascii="仿宋" w:hAnsi="仿宋" w:eastAsia="仿宋"/>
          <w:sz w:val="32"/>
          <w:szCs w:val="32"/>
        </w:rPr>
        <w:t>（图6：一般公共预算财政拨款支出决算结构）（饼状图）</w:t>
      </w:r>
    </w:p>
    <w:p>
      <w:pPr>
        <w:jc w:val="center"/>
        <w:rPr>
          <w:rFonts w:hint="default"/>
        </w:rPr>
      </w:pPr>
      <w:r>
        <w:drawing>
          <wp:inline distT="0" distB="0" distL="114300" distR="114300">
            <wp:extent cx="5295900" cy="4008120"/>
            <wp:effectExtent l="0" t="0" r="0" b="11430"/>
            <wp:docPr id="14"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1"/>
                    <pic:cNvPicPr>
                      <a:picLocks noChangeAspect="1"/>
                    </pic:cNvPicPr>
                  </pic:nvPicPr>
                  <pic:blipFill>
                    <a:blip r:embed="rId14"/>
                    <a:stretch>
                      <a:fillRect/>
                    </a:stretch>
                  </pic:blipFill>
                  <pic:spPr>
                    <a:xfrm>
                      <a:off x="0" y="0"/>
                      <a:ext cx="5295900" cy="4008120"/>
                    </a:xfrm>
                    <a:prstGeom prst="rect">
                      <a:avLst/>
                    </a:prstGeom>
                    <a:noFill/>
                    <a:ln>
                      <a:noFill/>
                    </a:ln>
                  </pic:spPr>
                </pic:pic>
              </a:graphicData>
            </a:graphic>
          </wp:inline>
        </w:drawing>
      </w:r>
    </w:p>
    <w:p>
      <w:pPr>
        <w:spacing w:line="600" w:lineRule="exact"/>
        <w:ind w:firstLine="643" w:firstLineChars="200"/>
        <w:outlineLvl w:val="2"/>
        <w:rPr>
          <w:rFonts w:hint="default" w:ascii="Times New Roman" w:hAnsi="Times New Roman" w:eastAsia="方正楷体_GBK" w:cs="Times New Roman"/>
          <w:b/>
          <w:sz w:val="32"/>
          <w:szCs w:val="32"/>
        </w:rPr>
      </w:pPr>
      <w:bookmarkStart w:id="30" w:name="_Toc15377212"/>
      <w:r>
        <w:rPr>
          <w:rFonts w:hint="default" w:ascii="Times New Roman" w:hAnsi="Times New Roman" w:eastAsia="方正楷体_GBK" w:cs="Times New Roman"/>
          <w:b/>
          <w:sz w:val="32"/>
          <w:szCs w:val="32"/>
        </w:rPr>
        <w:t>（三）一般公共预算财政拨款支出决算具体情况</w:t>
      </w:r>
      <w:bookmarkEnd w:id="30"/>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outlineLvl w:val="2"/>
        <w:rPr>
          <w:rFonts w:hint="default" w:ascii="Times New Roman" w:hAnsi="Times New Roman" w:eastAsia="方正仿宋_GBK" w:cs="Times New Roman"/>
          <w:b w:val="0"/>
          <w:bCs/>
          <w:sz w:val="32"/>
          <w:szCs w:val="32"/>
        </w:rPr>
      </w:pPr>
      <w:bookmarkStart w:id="31" w:name="_Toc15378460"/>
      <w:bookmarkStart w:id="32" w:name="_Toc15377213"/>
      <w:bookmarkStart w:id="33" w:name="_Toc15377444"/>
      <w:r>
        <w:rPr>
          <w:rFonts w:hint="default" w:ascii="Times New Roman" w:hAnsi="Times New Roman" w:eastAsia="方正仿宋_GBK" w:cs="Times New Roman"/>
          <w:b w:val="0"/>
          <w:bCs/>
          <w:sz w:val="32"/>
          <w:szCs w:val="32"/>
        </w:rPr>
        <w:t>202</w:t>
      </w:r>
      <w:r>
        <w:rPr>
          <w:rFonts w:hint="default" w:ascii="Times New Roman" w:hAnsi="Times New Roman" w:eastAsia="方正仿宋_GBK" w:cs="Times New Roman"/>
          <w:b w:val="0"/>
          <w:bCs/>
          <w:sz w:val="32"/>
          <w:szCs w:val="32"/>
          <w:lang w:val="en-US" w:eastAsia="zh-CN"/>
        </w:rPr>
        <w:t>4</w:t>
      </w:r>
      <w:r>
        <w:rPr>
          <w:rFonts w:hint="default" w:ascii="Times New Roman" w:hAnsi="Times New Roman" w:eastAsia="方正仿宋_GBK" w:cs="Times New Roman"/>
          <w:b w:val="0"/>
          <w:bCs/>
          <w:sz w:val="32"/>
          <w:szCs w:val="32"/>
        </w:rPr>
        <w:t>年度一般公共预算支出决算数为</w:t>
      </w:r>
      <w:r>
        <w:rPr>
          <w:rFonts w:hint="eastAsia" w:eastAsia="方正仿宋_GBK" w:cs="Times New Roman"/>
          <w:b w:val="0"/>
          <w:bCs/>
          <w:sz w:val="32"/>
          <w:szCs w:val="32"/>
          <w:lang w:val="en-US" w:eastAsia="zh-CN"/>
        </w:rPr>
        <w:t>1534.14</w:t>
      </w:r>
      <w:r>
        <w:rPr>
          <w:rFonts w:hint="default" w:ascii="Times New Roman" w:hAnsi="Times New Roman" w:eastAsia="方正仿宋_GBK" w:cs="Times New Roman"/>
          <w:b w:val="0"/>
          <w:bCs/>
          <w:sz w:val="32"/>
          <w:szCs w:val="32"/>
          <w:lang w:val="en-US" w:eastAsia="zh-CN"/>
        </w:rPr>
        <w:t>万元</w:t>
      </w:r>
      <w:r>
        <w:rPr>
          <w:rFonts w:hint="default" w:ascii="Times New Roman" w:hAnsi="Times New Roman" w:eastAsia="方正仿宋_GBK" w:cs="Times New Roman"/>
          <w:b w:val="0"/>
          <w:bCs/>
          <w:sz w:val="32"/>
          <w:szCs w:val="32"/>
        </w:rPr>
        <w:t>，</w:t>
      </w:r>
      <w:r>
        <w:rPr>
          <w:rStyle w:val="19"/>
          <w:rFonts w:hint="default" w:ascii="Times New Roman" w:hAnsi="Times New Roman" w:eastAsia="方正仿宋_GBK" w:cs="Times New Roman"/>
          <w:b w:val="0"/>
          <w:bCs/>
          <w:sz w:val="32"/>
          <w:szCs w:val="32"/>
        </w:rPr>
        <w:t>完成预算</w:t>
      </w:r>
      <w:r>
        <w:rPr>
          <w:rStyle w:val="19"/>
          <w:rFonts w:hint="default" w:ascii="Times New Roman" w:hAnsi="Times New Roman" w:eastAsia="方正仿宋_GBK" w:cs="Times New Roman"/>
          <w:b w:val="0"/>
          <w:bCs/>
          <w:sz w:val="32"/>
          <w:szCs w:val="32"/>
          <w:lang w:val="en-US" w:eastAsia="zh-CN"/>
        </w:rPr>
        <w:t>100</w:t>
      </w:r>
      <w:r>
        <w:rPr>
          <w:rStyle w:val="19"/>
          <w:rFonts w:hint="default" w:ascii="Times New Roman" w:hAnsi="Times New Roman" w:eastAsia="方正仿宋_GBK" w:cs="Times New Roman"/>
          <w:b w:val="0"/>
          <w:bCs/>
          <w:sz w:val="32"/>
          <w:szCs w:val="32"/>
        </w:rPr>
        <w:t>%。其中：</w:t>
      </w:r>
      <w:bookmarkEnd w:id="31"/>
      <w:bookmarkEnd w:id="32"/>
      <w:bookmarkEnd w:id="33"/>
    </w:p>
    <w:p>
      <w:pPr>
        <w:keepNext w:val="0"/>
        <w:keepLines w:val="0"/>
        <w:pageBreakBefore w:val="0"/>
        <w:widowControl w:val="0"/>
        <w:kinsoku/>
        <w:wordWrap/>
        <w:overflowPunct/>
        <w:topLinePunct w:val="0"/>
        <w:autoSpaceDE/>
        <w:autoSpaceDN/>
        <w:bidi w:val="0"/>
        <w:adjustRightInd/>
        <w:snapToGrid/>
        <w:spacing w:line="240" w:lineRule="auto"/>
        <w:ind w:leftChars="0" w:firstLine="640" w:firstLineChars="200"/>
        <w:textAlignment w:val="auto"/>
        <w:outlineLvl w:val="1"/>
        <w:rPr>
          <w:rFonts w:hint="default" w:ascii="Times New Roman" w:hAnsi="Times New Roman" w:eastAsia="方正仿宋_GBK" w:cs="Times New Roman"/>
          <w:b w:val="0"/>
          <w:bCs/>
          <w:sz w:val="32"/>
          <w:szCs w:val="32"/>
          <w:highlight w:val="none"/>
          <w:lang w:val="en-US" w:eastAsia="zh-CN"/>
        </w:rPr>
      </w:pPr>
      <w:r>
        <w:rPr>
          <w:rFonts w:hint="eastAsia" w:eastAsia="方正仿宋_GBK" w:cs="Times New Roman"/>
          <w:b w:val="0"/>
          <w:bCs/>
          <w:sz w:val="32"/>
          <w:szCs w:val="32"/>
          <w:highlight w:val="none"/>
          <w:lang w:val="en-US" w:eastAsia="zh-CN"/>
        </w:rPr>
        <w:t>1.</w:t>
      </w:r>
      <w:r>
        <w:rPr>
          <w:rFonts w:hint="default" w:ascii="Times New Roman" w:hAnsi="Times New Roman" w:eastAsia="方正仿宋_GBK" w:cs="Times New Roman"/>
          <w:b w:val="0"/>
          <w:bCs/>
          <w:sz w:val="32"/>
          <w:szCs w:val="32"/>
          <w:highlight w:val="none"/>
          <w:lang w:val="en-US" w:eastAsia="zh-CN"/>
        </w:rPr>
        <w:t>一般公共服务201（类）人大事务01（款）行政运行01（项）:支出决算为</w:t>
      </w:r>
      <w:r>
        <w:rPr>
          <w:rFonts w:hint="eastAsia" w:eastAsia="方正仿宋_GBK" w:cs="Times New Roman"/>
          <w:b w:val="0"/>
          <w:bCs/>
          <w:sz w:val="32"/>
          <w:szCs w:val="32"/>
          <w:highlight w:val="none"/>
          <w:lang w:val="en-US" w:eastAsia="zh-CN"/>
        </w:rPr>
        <w:t>70.23</w:t>
      </w:r>
      <w:r>
        <w:rPr>
          <w:rFonts w:hint="default" w:ascii="Times New Roman" w:hAnsi="Times New Roman" w:eastAsia="方正仿宋_GBK" w:cs="Times New Roman"/>
          <w:b w:val="0"/>
          <w:bCs/>
          <w:sz w:val="32"/>
          <w:szCs w:val="32"/>
          <w:highlight w:val="none"/>
          <w:lang w:val="en-US" w:eastAsia="zh-CN"/>
        </w:rPr>
        <w:t>万元，完成预算100%，决算数等于预算数的主要原因是，收支平衡。</w:t>
      </w:r>
    </w:p>
    <w:p>
      <w:pPr>
        <w:keepNext w:val="0"/>
        <w:keepLines w:val="0"/>
        <w:pageBreakBefore w:val="0"/>
        <w:widowControl w:val="0"/>
        <w:kinsoku/>
        <w:wordWrap/>
        <w:overflowPunct/>
        <w:topLinePunct w:val="0"/>
        <w:autoSpaceDE/>
        <w:autoSpaceDN/>
        <w:bidi w:val="0"/>
        <w:adjustRightInd/>
        <w:snapToGrid/>
        <w:spacing w:line="240" w:lineRule="auto"/>
        <w:ind w:leftChars="0" w:firstLine="640" w:firstLineChars="200"/>
        <w:textAlignment w:val="auto"/>
        <w:outlineLvl w:val="1"/>
        <w:rPr>
          <w:rFonts w:hint="default" w:ascii="Times New Roman" w:hAnsi="Times New Roman" w:eastAsia="方正仿宋_GBK" w:cs="Times New Roman"/>
          <w:b w:val="0"/>
          <w:bCs/>
          <w:sz w:val="32"/>
          <w:szCs w:val="32"/>
          <w:highlight w:val="none"/>
          <w:lang w:val="en-US" w:eastAsia="zh-CN"/>
        </w:rPr>
      </w:pPr>
      <w:r>
        <w:rPr>
          <w:rFonts w:hint="eastAsia" w:eastAsia="方正仿宋_GBK" w:cs="Times New Roman"/>
          <w:b w:val="0"/>
          <w:bCs/>
          <w:sz w:val="32"/>
          <w:szCs w:val="32"/>
          <w:highlight w:val="none"/>
          <w:lang w:val="en-US" w:eastAsia="zh-CN"/>
        </w:rPr>
        <w:t>2.</w:t>
      </w:r>
      <w:r>
        <w:rPr>
          <w:rFonts w:hint="default" w:ascii="Times New Roman" w:hAnsi="Times New Roman" w:eastAsia="方正仿宋_GBK" w:cs="Times New Roman"/>
          <w:b w:val="0"/>
          <w:bCs/>
          <w:sz w:val="32"/>
          <w:szCs w:val="32"/>
          <w:highlight w:val="none"/>
          <w:lang w:val="en-US" w:eastAsia="zh-CN"/>
        </w:rPr>
        <w:t>一般公共服务201（类）人大事务01（款）人大会议04（项）：支出决算为</w:t>
      </w:r>
      <w:r>
        <w:rPr>
          <w:rFonts w:hint="eastAsia" w:eastAsia="方正仿宋_GBK" w:cs="Times New Roman"/>
          <w:b w:val="0"/>
          <w:bCs/>
          <w:sz w:val="32"/>
          <w:szCs w:val="32"/>
          <w:highlight w:val="none"/>
          <w:lang w:val="en-US" w:eastAsia="zh-CN"/>
        </w:rPr>
        <w:t>3.18</w:t>
      </w:r>
      <w:r>
        <w:rPr>
          <w:rFonts w:hint="default" w:ascii="Times New Roman" w:hAnsi="Times New Roman" w:eastAsia="方正仿宋_GBK" w:cs="Times New Roman"/>
          <w:b w:val="0"/>
          <w:bCs/>
          <w:sz w:val="32"/>
          <w:szCs w:val="32"/>
          <w:highlight w:val="none"/>
          <w:lang w:val="en-US" w:eastAsia="zh-CN"/>
        </w:rPr>
        <w:t>万元，完成预算100%，决算数等于预算数的主要原因是，收支平衡。</w:t>
      </w:r>
    </w:p>
    <w:p>
      <w:pPr>
        <w:keepNext w:val="0"/>
        <w:keepLines w:val="0"/>
        <w:pageBreakBefore w:val="0"/>
        <w:widowControl w:val="0"/>
        <w:kinsoku/>
        <w:wordWrap/>
        <w:overflowPunct/>
        <w:topLinePunct w:val="0"/>
        <w:autoSpaceDE/>
        <w:autoSpaceDN/>
        <w:bidi w:val="0"/>
        <w:adjustRightInd/>
        <w:snapToGrid/>
        <w:spacing w:line="240" w:lineRule="auto"/>
        <w:ind w:leftChars="0" w:firstLine="640" w:firstLineChars="200"/>
        <w:textAlignment w:val="auto"/>
        <w:outlineLvl w:val="1"/>
        <w:rPr>
          <w:rFonts w:hint="default" w:ascii="Times New Roman" w:hAnsi="Times New Roman" w:eastAsia="方正仿宋_GBK" w:cs="Times New Roman"/>
          <w:b w:val="0"/>
          <w:bCs/>
          <w:sz w:val="32"/>
          <w:szCs w:val="32"/>
          <w:highlight w:val="none"/>
          <w:lang w:val="en-US" w:eastAsia="zh-CN"/>
        </w:rPr>
      </w:pPr>
      <w:r>
        <w:rPr>
          <w:rFonts w:hint="eastAsia" w:eastAsia="方正仿宋_GBK" w:cs="Times New Roman"/>
          <w:b w:val="0"/>
          <w:bCs/>
          <w:sz w:val="32"/>
          <w:szCs w:val="32"/>
          <w:highlight w:val="none"/>
          <w:lang w:val="en-US" w:eastAsia="zh-CN"/>
        </w:rPr>
        <w:t>3.</w:t>
      </w:r>
      <w:r>
        <w:rPr>
          <w:rFonts w:hint="default" w:ascii="Times New Roman" w:hAnsi="Times New Roman" w:eastAsia="方正仿宋_GBK" w:cs="Times New Roman"/>
          <w:b w:val="0"/>
          <w:bCs/>
          <w:sz w:val="32"/>
          <w:szCs w:val="32"/>
          <w:highlight w:val="none"/>
          <w:lang w:val="en-US" w:eastAsia="zh-CN"/>
        </w:rPr>
        <w:t>一般公共服务201（类）人大事务01（款）99其他人大事务支出（项）：支出决算为</w:t>
      </w:r>
      <w:r>
        <w:rPr>
          <w:rFonts w:hint="eastAsia" w:eastAsia="方正仿宋_GBK" w:cs="Times New Roman"/>
          <w:b w:val="0"/>
          <w:bCs/>
          <w:sz w:val="32"/>
          <w:szCs w:val="32"/>
          <w:highlight w:val="none"/>
          <w:lang w:val="en-US" w:eastAsia="zh-CN"/>
        </w:rPr>
        <w:t>3.00</w:t>
      </w:r>
      <w:r>
        <w:rPr>
          <w:rFonts w:hint="default" w:ascii="Times New Roman" w:hAnsi="Times New Roman" w:eastAsia="方正仿宋_GBK" w:cs="Times New Roman"/>
          <w:b w:val="0"/>
          <w:bCs/>
          <w:sz w:val="32"/>
          <w:szCs w:val="32"/>
          <w:highlight w:val="none"/>
          <w:lang w:val="en-US" w:eastAsia="zh-CN"/>
        </w:rPr>
        <w:t>万元，完成预算100%，决算数等于预算数的主要原因是，收支平衡。</w:t>
      </w:r>
    </w:p>
    <w:p>
      <w:pPr>
        <w:keepNext w:val="0"/>
        <w:keepLines w:val="0"/>
        <w:pageBreakBefore w:val="0"/>
        <w:widowControl w:val="0"/>
        <w:kinsoku/>
        <w:wordWrap/>
        <w:overflowPunct/>
        <w:topLinePunct w:val="0"/>
        <w:autoSpaceDE/>
        <w:autoSpaceDN/>
        <w:bidi w:val="0"/>
        <w:adjustRightInd/>
        <w:snapToGrid/>
        <w:spacing w:line="240" w:lineRule="auto"/>
        <w:ind w:leftChars="0" w:firstLine="640" w:firstLineChars="200"/>
        <w:textAlignment w:val="auto"/>
        <w:outlineLvl w:val="1"/>
        <w:rPr>
          <w:rFonts w:hint="default" w:ascii="Times New Roman" w:hAnsi="Times New Roman" w:eastAsia="方正仿宋_GBK" w:cs="Times New Roman"/>
          <w:b w:val="0"/>
          <w:bCs/>
          <w:sz w:val="32"/>
          <w:szCs w:val="32"/>
          <w:highlight w:val="none"/>
          <w:lang w:val="en-US" w:eastAsia="zh-CN"/>
        </w:rPr>
      </w:pPr>
      <w:r>
        <w:rPr>
          <w:rFonts w:hint="eastAsia" w:eastAsia="方正仿宋_GBK" w:cs="Times New Roman"/>
          <w:b w:val="0"/>
          <w:bCs/>
          <w:sz w:val="32"/>
          <w:szCs w:val="32"/>
          <w:highlight w:val="none"/>
          <w:lang w:val="en-US" w:eastAsia="zh-CN"/>
        </w:rPr>
        <w:t>4.</w:t>
      </w:r>
      <w:r>
        <w:rPr>
          <w:rFonts w:hint="default" w:ascii="Times New Roman" w:hAnsi="Times New Roman" w:eastAsia="方正仿宋_GBK" w:cs="Times New Roman"/>
          <w:b w:val="0"/>
          <w:bCs/>
          <w:sz w:val="32"/>
          <w:szCs w:val="32"/>
          <w:highlight w:val="none"/>
          <w:lang w:val="en-US" w:eastAsia="zh-CN"/>
        </w:rPr>
        <w:t>一般公共服务201（类）政府办公厅（室）及相关机构事务03（款）行政运行01（项）：支出决算为</w:t>
      </w:r>
      <w:r>
        <w:rPr>
          <w:rFonts w:hint="eastAsia" w:eastAsia="方正仿宋_GBK" w:cs="Times New Roman"/>
          <w:b w:val="0"/>
          <w:bCs/>
          <w:sz w:val="32"/>
          <w:szCs w:val="32"/>
          <w:highlight w:val="none"/>
          <w:lang w:val="en-US" w:eastAsia="zh-CN"/>
        </w:rPr>
        <w:t>225.80</w:t>
      </w:r>
      <w:r>
        <w:rPr>
          <w:rFonts w:hint="default" w:ascii="Times New Roman" w:hAnsi="Times New Roman" w:eastAsia="方正仿宋_GBK" w:cs="Times New Roman"/>
          <w:b w:val="0"/>
          <w:bCs/>
          <w:sz w:val="32"/>
          <w:szCs w:val="32"/>
          <w:highlight w:val="none"/>
          <w:lang w:val="en-US" w:eastAsia="zh-CN"/>
        </w:rPr>
        <w:t>万元，完成预算100%，决算数等于预算数的主要原因是，收支平衡。</w:t>
      </w:r>
    </w:p>
    <w:p>
      <w:pPr>
        <w:keepNext w:val="0"/>
        <w:keepLines w:val="0"/>
        <w:pageBreakBefore w:val="0"/>
        <w:widowControl w:val="0"/>
        <w:kinsoku/>
        <w:wordWrap/>
        <w:overflowPunct/>
        <w:topLinePunct w:val="0"/>
        <w:autoSpaceDE/>
        <w:autoSpaceDN/>
        <w:bidi w:val="0"/>
        <w:adjustRightInd/>
        <w:snapToGrid/>
        <w:spacing w:line="240" w:lineRule="auto"/>
        <w:ind w:leftChars="0" w:firstLine="640" w:firstLineChars="200"/>
        <w:textAlignment w:val="auto"/>
        <w:outlineLvl w:val="1"/>
        <w:rPr>
          <w:rFonts w:hint="default" w:ascii="Times New Roman" w:hAnsi="Times New Roman" w:eastAsia="方正仿宋_GBK" w:cs="Times New Roman"/>
          <w:b w:val="0"/>
          <w:bCs/>
          <w:sz w:val="32"/>
          <w:szCs w:val="32"/>
          <w:highlight w:val="none"/>
          <w:lang w:val="en-US" w:eastAsia="zh-CN"/>
        </w:rPr>
      </w:pPr>
      <w:r>
        <w:rPr>
          <w:rFonts w:hint="eastAsia" w:eastAsia="方正仿宋_GBK" w:cs="Times New Roman"/>
          <w:b w:val="0"/>
          <w:bCs/>
          <w:sz w:val="32"/>
          <w:szCs w:val="32"/>
          <w:highlight w:val="none"/>
          <w:lang w:val="en-US" w:eastAsia="zh-CN"/>
        </w:rPr>
        <w:t>5.</w:t>
      </w:r>
      <w:r>
        <w:rPr>
          <w:rFonts w:hint="default" w:ascii="Times New Roman" w:hAnsi="Times New Roman" w:eastAsia="方正仿宋_GBK" w:cs="Times New Roman"/>
          <w:b w:val="0"/>
          <w:bCs/>
          <w:sz w:val="32"/>
          <w:szCs w:val="32"/>
          <w:highlight w:val="none"/>
          <w:lang w:val="en-US" w:eastAsia="zh-CN"/>
        </w:rPr>
        <w:t>一般公共服务201（类）政府办公厅（室）及相关机构事务03（款）一般行政管理事务02（项）：支出决算为</w:t>
      </w:r>
      <w:r>
        <w:rPr>
          <w:rFonts w:hint="eastAsia" w:eastAsia="方正仿宋_GBK" w:cs="Times New Roman"/>
          <w:b w:val="0"/>
          <w:bCs/>
          <w:sz w:val="32"/>
          <w:szCs w:val="32"/>
          <w:highlight w:val="none"/>
          <w:lang w:val="en-US" w:eastAsia="zh-CN"/>
        </w:rPr>
        <w:t>28.33</w:t>
      </w:r>
      <w:r>
        <w:rPr>
          <w:rFonts w:hint="default" w:ascii="Times New Roman" w:hAnsi="Times New Roman" w:eastAsia="方正仿宋_GBK" w:cs="Times New Roman"/>
          <w:b w:val="0"/>
          <w:bCs/>
          <w:sz w:val="32"/>
          <w:szCs w:val="32"/>
          <w:highlight w:val="none"/>
          <w:lang w:val="en-US" w:eastAsia="zh-CN"/>
        </w:rPr>
        <w:t>万元，完成预算100%，决算数等于预算数的主要原因是，收支平衡。</w:t>
      </w:r>
    </w:p>
    <w:p>
      <w:pPr>
        <w:keepNext w:val="0"/>
        <w:keepLines w:val="0"/>
        <w:pageBreakBefore w:val="0"/>
        <w:widowControl w:val="0"/>
        <w:kinsoku/>
        <w:wordWrap/>
        <w:overflowPunct/>
        <w:topLinePunct w:val="0"/>
        <w:autoSpaceDE/>
        <w:autoSpaceDN/>
        <w:bidi w:val="0"/>
        <w:adjustRightInd/>
        <w:snapToGrid/>
        <w:spacing w:line="240" w:lineRule="auto"/>
        <w:ind w:leftChars="0" w:firstLine="640" w:firstLineChars="200"/>
        <w:textAlignment w:val="auto"/>
        <w:outlineLvl w:val="1"/>
        <w:rPr>
          <w:rFonts w:hint="default" w:ascii="Times New Roman" w:hAnsi="Times New Roman" w:eastAsia="方正仿宋_GBK" w:cs="Times New Roman"/>
          <w:b w:val="0"/>
          <w:bCs/>
          <w:sz w:val="32"/>
          <w:szCs w:val="32"/>
          <w:highlight w:val="none"/>
          <w:lang w:val="en-US" w:eastAsia="zh-CN"/>
        </w:rPr>
      </w:pPr>
      <w:r>
        <w:rPr>
          <w:rFonts w:hint="eastAsia" w:eastAsia="方正仿宋_GBK" w:cs="Times New Roman"/>
          <w:b w:val="0"/>
          <w:bCs/>
          <w:sz w:val="32"/>
          <w:szCs w:val="32"/>
          <w:highlight w:val="none"/>
          <w:lang w:val="en-US" w:eastAsia="zh-CN"/>
        </w:rPr>
        <w:t>6.</w:t>
      </w:r>
      <w:r>
        <w:rPr>
          <w:rFonts w:hint="default" w:ascii="Times New Roman" w:hAnsi="Times New Roman" w:eastAsia="方正仿宋_GBK" w:cs="Times New Roman"/>
          <w:b w:val="0"/>
          <w:bCs/>
          <w:sz w:val="32"/>
          <w:szCs w:val="32"/>
          <w:highlight w:val="none"/>
          <w:lang w:val="en-US" w:eastAsia="zh-CN"/>
        </w:rPr>
        <w:t>一般公共服务201（类）政府办公厅（室）及相关机构事务03（款）事业运行</w:t>
      </w:r>
      <w:r>
        <w:rPr>
          <w:rFonts w:hint="eastAsia" w:eastAsia="方正仿宋_GBK" w:cs="Times New Roman"/>
          <w:b w:val="0"/>
          <w:bCs/>
          <w:sz w:val="32"/>
          <w:szCs w:val="32"/>
          <w:highlight w:val="none"/>
          <w:lang w:val="en-US" w:eastAsia="zh-CN"/>
        </w:rPr>
        <w:t>50</w:t>
      </w:r>
      <w:r>
        <w:rPr>
          <w:rFonts w:hint="default" w:ascii="Times New Roman" w:hAnsi="Times New Roman" w:eastAsia="方正仿宋_GBK" w:cs="Times New Roman"/>
          <w:b w:val="0"/>
          <w:bCs/>
          <w:sz w:val="32"/>
          <w:szCs w:val="32"/>
          <w:highlight w:val="none"/>
          <w:lang w:val="en-US" w:eastAsia="zh-CN"/>
        </w:rPr>
        <w:t>（项）：支出决算为</w:t>
      </w:r>
      <w:r>
        <w:rPr>
          <w:rFonts w:hint="eastAsia" w:eastAsia="方正仿宋_GBK" w:cs="Times New Roman"/>
          <w:b w:val="0"/>
          <w:bCs/>
          <w:sz w:val="32"/>
          <w:szCs w:val="32"/>
          <w:highlight w:val="none"/>
          <w:lang w:val="en-US" w:eastAsia="zh-CN"/>
        </w:rPr>
        <w:t>57.26</w:t>
      </w:r>
      <w:r>
        <w:rPr>
          <w:rFonts w:hint="default" w:ascii="Times New Roman" w:hAnsi="Times New Roman" w:eastAsia="方正仿宋_GBK" w:cs="Times New Roman"/>
          <w:b w:val="0"/>
          <w:bCs/>
          <w:sz w:val="32"/>
          <w:szCs w:val="32"/>
          <w:highlight w:val="none"/>
          <w:lang w:val="en-US" w:eastAsia="zh-CN"/>
        </w:rPr>
        <w:t>万元，完成预算100%，决算数等于预算数的主要原因是，收支平衡。</w:t>
      </w:r>
    </w:p>
    <w:p>
      <w:pPr>
        <w:keepNext w:val="0"/>
        <w:keepLines w:val="0"/>
        <w:pageBreakBefore w:val="0"/>
        <w:widowControl w:val="0"/>
        <w:kinsoku/>
        <w:wordWrap/>
        <w:overflowPunct/>
        <w:topLinePunct w:val="0"/>
        <w:autoSpaceDE/>
        <w:autoSpaceDN/>
        <w:bidi w:val="0"/>
        <w:adjustRightInd/>
        <w:snapToGrid/>
        <w:spacing w:line="240" w:lineRule="auto"/>
        <w:ind w:leftChars="0" w:firstLine="640" w:firstLineChars="200"/>
        <w:textAlignment w:val="auto"/>
        <w:outlineLvl w:val="1"/>
        <w:rPr>
          <w:rFonts w:hint="default" w:ascii="Times New Roman" w:hAnsi="Times New Roman" w:eastAsia="方正仿宋_GBK" w:cs="Times New Roman"/>
          <w:b w:val="0"/>
          <w:bCs/>
          <w:sz w:val="32"/>
          <w:szCs w:val="32"/>
          <w:highlight w:val="none"/>
          <w:lang w:val="en-US" w:eastAsia="zh-CN"/>
        </w:rPr>
      </w:pPr>
      <w:r>
        <w:rPr>
          <w:rFonts w:hint="eastAsia" w:eastAsia="方正仿宋_GBK" w:cs="Times New Roman"/>
          <w:b w:val="0"/>
          <w:bCs/>
          <w:sz w:val="32"/>
          <w:szCs w:val="32"/>
          <w:highlight w:val="none"/>
          <w:lang w:val="en-US" w:eastAsia="zh-CN"/>
        </w:rPr>
        <w:t>7.</w:t>
      </w:r>
      <w:r>
        <w:rPr>
          <w:rFonts w:hint="default" w:ascii="Times New Roman" w:hAnsi="Times New Roman" w:eastAsia="方正仿宋_GBK" w:cs="Times New Roman"/>
          <w:b w:val="0"/>
          <w:bCs/>
          <w:sz w:val="32"/>
          <w:szCs w:val="32"/>
          <w:highlight w:val="none"/>
          <w:lang w:val="en-US" w:eastAsia="zh-CN"/>
        </w:rPr>
        <w:t>一般公共服务201（类）政府办公厅（室）及相关机构事务03（款）其他政府办公厅(室)及相关机构事务支出99（项）:支出决算为</w:t>
      </w:r>
      <w:r>
        <w:rPr>
          <w:rFonts w:hint="eastAsia" w:eastAsia="方正仿宋_GBK" w:cs="Times New Roman"/>
          <w:b w:val="0"/>
          <w:bCs/>
          <w:sz w:val="32"/>
          <w:szCs w:val="32"/>
          <w:highlight w:val="none"/>
          <w:lang w:val="en-US" w:eastAsia="zh-CN"/>
        </w:rPr>
        <w:t>4.50</w:t>
      </w:r>
      <w:r>
        <w:rPr>
          <w:rFonts w:hint="default" w:ascii="Times New Roman" w:hAnsi="Times New Roman" w:eastAsia="方正仿宋_GBK" w:cs="Times New Roman"/>
          <w:b w:val="0"/>
          <w:bCs/>
          <w:sz w:val="32"/>
          <w:szCs w:val="32"/>
          <w:highlight w:val="none"/>
          <w:lang w:val="en-US" w:eastAsia="zh-CN"/>
        </w:rPr>
        <w:t>万元，完成预算100%，决算数等于预算数的主要原因是，收支平衡。</w:t>
      </w:r>
    </w:p>
    <w:p>
      <w:pPr>
        <w:keepNext w:val="0"/>
        <w:keepLines w:val="0"/>
        <w:pageBreakBefore w:val="0"/>
        <w:widowControl w:val="0"/>
        <w:kinsoku/>
        <w:wordWrap/>
        <w:overflowPunct/>
        <w:topLinePunct w:val="0"/>
        <w:autoSpaceDE/>
        <w:autoSpaceDN/>
        <w:bidi w:val="0"/>
        <w:adjustRightInd/>
        <w:snapToGrid/>
        <w:spacing w:line="240" w:lineRule="auto"/>
        <w:ind w:leftChars="0" w:firstLine="640" w:firstLineChars="200"/>
        <w:textAlignment w:val="auto"/>
        <w:outlineLvl w:val="1"/>
        <w:rPr>
          <w:rFonts w:hint="default" w:eastAsia="方正仿宋_GBK" w:cs="Times New Roman"/>
          <w:b w:val="0"/>
          <w:bCs/>
          <w:sz w:val="32"/>
          <w:szCs w:val="32"/>
          <w:highlight w:val="none"/>
          <w:lang w:val="en-US" w:eastAsia="zh-CN"/>
        </w:rPr>
      </w:pPr>
      <w:r>
        <w:rPr>
          <w:rFonts w:hint="eastAsia" w:eastAsia="方正仿宋_GBK" w:cs="Times New Roman"/>
          <w:b w:val="0"/>
          <w:bCs/>
          <w:sz w:val="32"/>
          <w:szCs w:val="32"/>
          <w:highlight w:val="none"/>
          <w:lang w:val="en-US" w:eastAsia="zh-CN"/>
        </w:rPr>
        <w:t>8.</w:t>
      </w:r>
      <w:r>
        <w:rPr>
          <w:rFonts w:hint="default" w:ascii="Times New Roman" w:hAnsi="Times New Roman" w:eastAsia="方正仿宋_GBK" w:cs="Times New Roman"/>
          <w:b w:val="0"/>
          <w:bCs/>
          <w:sz w:val="32"/>
          <w:szCs w:val="32"/>
          <w:highlight w:val="none"/>
          <w:lang w:val="en-US" w:eastAsia="zh-CN"/>
        </w:rPr>
        <w:t>一般公共服务201（类）</w:t>
      </w:r>
      <w:r>
        <w:rPr>
          <w:rFonts w:hint="eastAsia" w:eastAsia="方正仿宋_GBK" w:cs="Times New Roman"/>
          <w:b w:val="0"/>
          <w:bCs/>
          <w:sz w:val="32"/>
          <w:szCs w:val="32"/>
          <w:highlight w:val="none"/>
          <w:lang w:val="en-US" w:eastAsia="zh-CN"/>
        </w:rPr>
        <w:t>统计信息事务</w:t>
      </w:r>
      <w:r>
        <w:rPr>
          <w:rFonts w:hint="default" w:ascii="Times New Roman" w:hAnsi="Times New Roman" w:eastAsia="方正仿宋_GBK" w:cs="Times New Roman"/>
          <w:b w:val="0"/>
          <w:bCs/>
          <w:sz w:val="32"/>
          <w:szCs w:val="32"/>
          <w:highlight w:val="none"/>
          <w:lang w:val="en-US" w:eastAsia="zh-CN"/>
        </w:rPr>
        <w:t>0</w:t>
      </w:r>
      <w:r>
        <w:rPr>
          <w:rFonts w:hint="eastAsia" w:eastAsia="方正仿宋_GBK" w:cs="Times New Roman"/>
          <w:b w:val="0"/>
          <w:bCs/>
          <w:sz w:val="32"/>
          <w:szCs w:val="32"/>
          <w:highlight w:val="none"/>
          <w:lang w:val="en-US" w:eastAsia="zh-CN"/>
        </w:rPr>
        <w:t>5</w:t>
      </w:r>
      <w:r>
        <w:rPr>
          <w:rFonts w:hint="default" w:ascii="Times New Roman" w:hAnsi="Times New Roman" w:eastAsia="方正仿宋_GBK" w:cs="Times New Roman"/>
          <w:b w:val="0"/>
          <w:bCs/>
          <w:sz w:val="32"/>
          <w:szCs w:val="32"/>
          <w:highlight w:val="none"/>
          <w:lang w:val="en-US" w:eastAsia="zh-CN"/>
        </w:rPr>
        <w:t>（款）</w:t>
      </w:r>
      <w:r>
        <w:rPr>
          <w:rFonts w:hint="eastAsia" w:eastAsia="方正仿宋_GBK" w:cs="Times New Roman"/>
          <w:b w:val="0"/>
          <w:bCs/>
          <w:sz w:val="32"/>
          <w:szCs w:val="32"/>
          <w:highlight w:val="none"/>
          <w:lang w:val="en-US" w:eastAsia="zh-CN"/>
        </w:rPr>
        <w:t>专项普查活动07</w:t>
      </w:r>
      <w:r>
        <w:rPr>
          <w:rFonts w:hint="default" w:ascii="Times New Roman" w:hAnsi="Times New Roman" w:eastAsia="方正仿宋_GBK" w:cs="Times New Roman"/>
          <w:b w:val="0"/>
          <w:bCs/>
          <w:sz w:val="32"/>
          <w:szCs w:val="32"/>
          <w:highlight w:val="none"/>
          <w:lang w:val="en-US" w:eastAsia="zh-CN"/>
        </w:rPr>
        <w:t>（项）:支出决算为</w:t>
      </w:r>
      <w:r>
        <w:rPr>
          <w:rFonts w:hint="eastAsia" w:eastAsia="方正仿宋_GBK" w:cs="Times New Roman"/>
          <w:b w:val="0"/>
          <w:bCs/>
          <w:sz w:val="32"/>
          <w:szCs w:val="32"/>
          <w:highlight w:val="none"/>
          <w:lang w:val="en-US" w:eastAsia="zh-CN"/>
        </w:rPr>
        <w:t>3.14</w:t>
      </w:r>
      <w:r>
        <w:rPr>
          <w:rFonts w:hint="default" w:ascii="Times New Roman" w:hAnsi="Times New Roman" w:eastAsia="方正仿宋_GBK" w:cs="Times New Roman"/>
          <w:b w:val="0"/>
          <w:bCs/>
          <w:sz w:val="32"/>
          <w:szCs w:val="32"/>
          <w:highlight w:val="none"/>
          <w:lang w:val="en-US" w:eastAsia="zh-CN"/>
        </w:rPr>
        <w:t>万元，完成预算100%，决算数等于预算数的主要原因是，收支平衡。</w:t>
      </w:r>
    </w:p>
    <w:p>
      <w:pPr>
        <w:keepNext w:val="0"/>
        <w:keepLines w:val="0"/>
        <w:pageBreakBefore w:val="0"/>
        <w:widowControl w:val="0"/>
        <w:kinsoku/>
        <w:wordWrap/>
        <w:overflowPunct/>
        <w:topLinePunct w:val="0"/>
        <w:autoSpaceDE/>
        <w:autoSpaceDN/>
        <w:bidi w:val="0"/>
        <w:adjustRightInd/>
        <w:snapToGrid/>
        <w:spacing w:line="240" w:lineRule="auto"/>
        <w:ind w:leftChars="0" w:firstLine="640" w:firstLineChars="200"/>
        <w:textAlignment w:val="auto"/>
        <w:outlineLvl w:val="1"/>
        <w:rPr>
          <w:rFonts w:hint="default" w:ascii="Times New Roman" w:hAnsi="Times New Roman" w:eastAsia="方正仿宋_GBK" w:cs="Times New Roman"/>
          <w:b w:val="0"/>
          <w:bCs/>
          <w:sz w:val="32"/>
          <w:szCs w:val="32"/>
          <w:highlight w:val="none"/>
          <w:lang w:val="en-US" w:eastAsia="zh-CN"/>
        </w:rPr>
      </w:pPr>
      <w:r>
        <w:rPr>
          <w:rFonts w:hint="eastAsia" w:eastAsia="方正仿宋_GBK" w:cs="Times New Roman"/>
          <w:b w:val="0"/>
          <w:bCs/>
          <w:sz w:val="32"/>
          <w:szCs w:val="32"/>
          <w:highlight w:val="none"/>
          <w:lang w:val="en-US" w:eastAsia="zh-CN"/>
        </w:rPr>
        <w:t>9.</w:t>
      </w:r>
      <w:r>
        <w:rPr>
          <w:rFonts w:hint="default" w:ascii="Times New Roman" w:hAnsi="Times New Roman" w:eastAsia="方正仿宋_GBK" w:cs="Times New Roman"/>
          <w:b w:val="0"/>
          <w:bCs/>
          <w:sz w:val="32"/>
          <w:szCs w:val="32"/>
          <w:highlight w:val="none"/>
          <w:lang w:val="en-US" w:eastAsia="zh-CN"/>
        </w:rPr>
        <w:t>一般公共服务201（类）民族事务23（款）民族工作专项04（项）：支出决算为</w:t>
      </w:r>
      <w:r>
        <w:rPr>
          <w:rFonts w:hint="eastAsia" w:eastAsia="方正仿宋_GBK" w:cs="Times New Roman"/>
          <w:b w:val="0"/>
          <w:bCs/>
          <w:sz w:val="32"/>
          <w:szCs w:val="32"/>
          <w:highlight w:val="none"/>
          <w:lang w:val="en-US" w:eastAsia="zh-CN"/>
        </w:rPr>
        <w:t>1.51</w:t>
      </w:r>
      <w:r>
        <w:rPr>
          <w:rFonts w:hint="default" w:ascii="Times New Roman" w:hAnsi="Times New Roman" w:eastAsia="方正仿宋_GBK" w:cs="Times New Roman"/>
          <w:b w:val="0"/>
          <w:bCs/>
          <w:sz w:val="32"/>
          <w:szCs w:val="32"/>
          <w:highlight w:val="none"/>
          <w:lang w:val="en-US" w:eastAsia="zh-CN"/>
        </w:rPr>
        <w:t>万元，完成预算100%，决算数等于预算数的主要原因是，收支平衡。</w:t>
      </w:r>
    </w:p>
    <w:p>
      <w:pPr>
        <w:keepNext w:val="0"/>
        <w:keepLines w:val="0"/>
        <w:pageBreakBefore w:val="0"/>
        <w:widowControl w:val="0"/>
        <w:kinsoku/>
        <w:wordWrap/>
        <w:overflowPunct/>
        <w:topLinePunct w:val="0"/>
        <w:autoSpaceDE/>
        <w:autoSpaceDN/>
        <w:bidi w:val="0"/>
        <w:adjustRightInd/>
        <w:snapToGrid/>
        <w:spacing w:line="240" w:lineRule="auto"/>
        <w:ind w:leftChars="0" w:firstLine="640" w:firstLineChars="200"/>
        <w:textAlignment w:val="auto"/>
        <w:outlineLvl w:val="1"/>
        <w:rPr>
          <w:rFonts w:hint="default" w:ascii="Times New Roman" w:hAnsi="Times New Roman" w:eastAsia="方正仿宋_GBK" w:cs="Times New Roman"/>
          <w:b w:val="0"/>
          <w:bCs/>
          <w:sz w:val="32"/>
          <w:szCs w:val="32"/>
          <w:highlight w:val="none"/>
          <w:lang w:val="en-US" w:eastAsia="zh-CN"/>
        </w:rPr>
      </w:pPr>
      <w:r>
        <w:rPr>
          <w:rFonts w:hint="eastAsia" w:eastAsia="方正仿宋_GBK" w:cs="Times New Roman"/>
          <w:b w:val="0"/>
          <w:bCs/>
          <w:sz w:val="32"/>
          <w:szCs w:val="32"/>
          <w:highlight w:val="none"/>
          <w:lang w:val="en-US" w:eastAsia="zh-CN"/>
        </w:rPr>
        <w:t>10.</w:t>
      </w:r>
      <w:r>
        <w:rPr>
          <w:rFonts w:hint="default" w:ascii="Times New Roman" w:hAnsi="Times New Roman" w:eastAsia="方正仿宋_GBK" w:cs="Times New Roman"/>
          <w:b w:val="0"/>
          <w:bCs/>
          <w:sz w:val="32"/>
          <w:szCs w:val="32"/>
          <w:highlight w:val="none"/>
          <w:lang w:val="en-US" w:eastAsia="zh-CN"/>
        </w:rPr>
        <w:t>一般公共服务201（类）民族事务23（款）其他民族事务99（项）:支出决算为</w:t>
      </w:r>
      <w:r>
        <w:rPr>
          <w:rFonts w:hint="eastAsia" w:eastAsia="方正仿宋_GBK" w:cs="Times New Roman"/>
          <w:b w:val="0"/>
          <w:bCs/>
          <w:sz w:val="32"/>
          <w:szCs w:val="32"/>
          <w:highlight w:val="none"/>
          <w:lang w:val="en-US" w:eastAsia="zh-CN"/>
        </w:rPr>
        <w:t>1.20</w:t>
      </w:r>
      <w:r>
        <w:rPr>
          <w:rFonts w:hint="default" w:ascii="Times New Roman" w:hAnsi="Times New Roman" w:eastAsia="方正仿宋_GBK" w:cs="Times New Roman"/>
          <w:b w:val="0"/>
          <w:bCs/>
          <w:sz w:val="32"/>
          <w:szCs w:val="32"/>
          <w:highlight w:val="none"/>
          <w:lang w:val="en-US" w:eastAsia="zh-CN"/>
        </w:rPr>
        <w:t>万元，完成预算100%，决算数等于预算数的主要原因是，收支平衡。</w:t>
      </w:r>
    </w:p>
    <w:p>
      <w:pPr>
        <w:keepNext w:val="0"/>
        <w:keepLines w:val="0"/>
        <w:pageBreakBefore w:val="0"/>
        <w:widowControl w:val="0"/>
        <w:kinsoku/>
        <w:wordWrap/>
        <w:overflowPunct/>
        <w:topLinePunct w:val="0"/>
        <w:autoSpaceDE/>
        <w:autoSpaceDN/>
        <w:bidi w:val="0"/>
        <w:adjustRightInd/>
        <w:snapToGrid/>
        <w:spacing w:line="240" w:lineRule="auto"/>
        <w:ind w:leftChars="0" w:firstLine="640" w:firstLineChars="200"/>
        <w:textAlignment w:val="auto"/>
        <w:outlineLvl w:val="1"/>
        <w:rPr>
          <w:rFonts w:hint="default" w:ascii="Times New Roman" w:hAnsi="Times New Roman" w:eastAsia="方正仿宋_GBK" w:cs="Times New Roman"/>
          <w:b w:val="0"/>
          <w:bCs/>
          <w:sz w:val="32"/>
          <w:szCs w:val="32"/>
          <w:highlight w:val="none"/>
          <w:lang w:val="en-US" w:eastAsia="zh-CN"/>
        </w:rPr>
      </w:pPr>
      <w:r>
        <w:rPr>
          <w:rFonts w:hint="eastAsia" w:eastAsia="方正仿宋_GBK" w:cs="Times New Roman"/>
          <w:b w:val="0"/>
          <w:bCs/>
          <w:sz w:val="32"/>
          <w:szCs w:val="32"/>
          <w:highlight w:val="none"/>
          <w:lang w:val="en-US" w:eastAsia="zh-CN"/>
        </w:rPr>
        <w:t>11.</w:t>
      </w:r>
      <w:r>
        <w:rPr>
          <w:rFonts w:hint="default" w:ascii="Times New Roman" w:hAnsi="Times New Roman" w:eastAsia="方正仿宋_GBK" w:cs="Times New Roman"/>
          <w:b w:val="0"/>
          <w:bCs/>
          <w:sz w:val="32"/>
          <w:szCs w:val="32"/>
          <w:highlight w:val="none"/>
          <w:lang w:val="en-US" w:eastAsia="zh-CN"/>
        </w:rPr>
        <w:t>一般公共服务201（类）党委办公厅（室）及相关机构事务31（款）行政运行01（项）:支出决算为</w:t>
      </w:r>
      <w:r>
        <w:rPr>
          <w:rFonts w:hint="eastAsia" w:eastAsia="方正仿宋_GBK" w:cs="Times New Roman"/>
          <w:b w:val="0"/>
          <w:bCs/>
          <w:sz w:val="32"/>
          <w:szCs w:val="32"/>
          <w:highlight w:val="none"/>
          <w:lang w:val="en-US" w:eastAsia="zh-CN"/>
        </w:rPr>
        <w:t>63.83</w:t>
      </w:r>
      <w:r>
        <w:rPr>
          <w:rFonts w:hint="default" w:ascii="Times New Roman" w:hAnsi="Times New Roman" w:eastAsia="方正仿宋_GBK" w:cs="Times New Roman"/>
          <w:b w:val="0"/>
          <w:bCs/>
          <w:sz w:val="32"/>
          <w:szCs w:val="32"/>
          <w:highlight w:val="none"/>
          <w:lang w:val="en-US" w:eastAsia="zh-CN"/>
        </w:rPr>
        <w:t>万元，完成预算100%，决算数等于预算数的主要原因是，收支平衡。</w:t>
      </w:r>
    </w:p>
    <w:p>
      <w:pPr>
        <w:keepNext w:val="0"/>
        <w:keepLines w:val="0"/>
        <w:pageBreakBefore w:val="0"/>
        <w:widowControl w:val="0"/>
        <w:kinsoku/>
        <w:wordWrap/>
        <w:overflowPunct/>
        <w:topLinePunct w:val="0"/>
        <w:autoSpaceDE/>
        <w:autoSpaceDN/>
        <w:bidi w:val="0"/>
        <w:adjustRightInd/>
        <w:snapToGrid/>
        <w:spacing w:line="240" w:lineRule="auto"/>
        <w:ind w:leftChars="0" w:firstLine="640" w:firstLineChars="200"/>
        <w:textAlignment w:val="auto"/>
        <w:outlineLvl w:val="1"/>
        <w:rPr>
          <w:rFonts w:hint="default" w:ascii="Times New Roman" w:hAnsi="Times New Roman" w:eastAsia="方正仿宋_GBK" w:cs="Times New Roman"/>
          <w:b w:val="0"/>
          <w:bCs/>
          <w:sz w:val="32"/>
          <w:szCs w:val="32"/>
          <w:highlight w:val="none"/>
          <w:lang w:val="en-US" w:eastAsia="zh-CN"/>
        </w:rPr>
      </w:pPr>
      <w:r>
        <w:rPr>
          <w:rFonts w:hint="eastAsia" w:eastAsia="方正仿宋_GBK" w:cs="Times New Roman"/>
          <w:b w:val="0"/>
          <w:bCs/>
          <w:sz w:val="32"/>
          <w:szCs w:val="32"/>
          <w:highlight w:val="none"/>
          <w:lang w:val="en-US" w:eastAsia="zh-CN"/>
        </w:rPr>
        <w:t>12.</w:t>
      </w:r>
      <w:r>
        <w:rPr>
          <w:rFonts w:hint="default" w:ascii="Times New Roman" w:hAnsi="Times New Roman" w:eastAsia="方正仿宋_GBK" w:cs="Times New Roman"/>
          <w:b w:val="0"/>
          <w:bCs/>
          <w:sz w:val="32"/>
          <w:szCs w:val="32"/>
          <w:highlight w:val="none"/>
          <w:lang w:val="en-US" w:eastAsia="zh-CN"/>
        </w:rPr>
        <w:t>一般公共服务201（类）党委办公厅（室）及相关机构事务31（款）一般行政管理事务02（项）:支出决算为</w:t>
      </w:r>
      <w:r>
        <w:rPr>
          <w:rFonts w:hint="eastAsia" w:eastAsia="方正仿宋_GBK" w:cs="Times New Roman"/>
          <w:b w:val="0"/>
          <w:bCs/>
          <w:sz w:val="32"/>
          <w:szCs w:val="32"/>
          <w:highlight w:val="none"/>
          <w:lang w:val="en-US" w:eastAsia="zh-CN"/>
        </w:rPr>
        <w:t>0.74</w:t>
      </w:r>
      <w:r>
        <w:rPr>
          <w:rFonts w:hint="default" w:ascii="Times New Roman" w:hAnsi="Times New Roman" w:eastAsia="方正仿宋_GBK" w:cs="Times New Roman"/>
          <w:b w:val="0"/>
          <w:bCs/>
          <w:sz w:val="32"/>
          <w:szCs w:val="32"/>
          <w:highlight w:val="none"/>
          <w:lang w:val="en-US" w:eastAsia="zh-CN"/>
        </w:rPr>
        <w:t>万元，完成预算100%，决算数等于预算数的主要原因是，收支平衡。</w:t>
      </w:r>
    </w:p>
    <w:p>
      <w:pPr>
        <w:keepNext w:val="0"/>
        <w:keepLines w:val="0"/>
        <w:pageBreakBefore w:val="0"/>
        <w:widowControl w:val="0"/>
        <w:kinsoku/>
        <w:wordWrap/>
        <w:overflowPunct/>
        <w:topLinePunct w:val="0"/>
        <w:autoSpaceDE/>
        <w:autoSpaceDN/>
        <w:bidi w:val="0"/>
        <w:adjustRightInd/>
        <w:snapToGrid/>
        <w:spacing w:line="240" w:lineRule="auto"/>
        <w:ind w:leftChars="0" w:firstLine="640" w:firstLineChars="200"/>
        <w:textAlignment w:val="auto"/>
        <w:outlineLvl w:val="1"/>
        <w:rPr>
          <w:rFonts w:hint="default" w:ascii="Times New Roman" w:hAnsi="Times New Roman" w:eastAsia="方正仿宋_GBK" w:cs="Times New Roman"/>
          <w:b w:val="0"/>
          <w:bCs/>
          <w:sz w:val="32"/>
          <w:szCs w:val="32"/>
          <w:highlight w:val="none"/>
          <w:lang w:val="en-US" w:eastAsia="zh-CN"/>
        </w:rPr>
      </w:pPr>
      <w:r>
        <w:rPr>
          <w:rFonts w:hint="eastAsia" w:eastAsia="方正仿宋_GBK" w:cs="Times New Roman"/>
          <w:b w:val="0"/>
          <w:bCs/>
          <w:sz w:val="32"/>
          <w:szCs w:val="32"/>
          <w:highlight w:val="none"/>
          <w:lang w:val="en-US" w:eastAsia="zh-CN"/>
        </w:rPr>
        <w:t>13.</w:t>
      </w:r>
      <w:r>
        <w:rPr>
          <w:rFonts w:hint="default" w:ascii="Times New Roman" w:hAnsi="Times New Roman" w:eastAsia="方正仿宋_GBK" w:cs="Times New Roman"/>
          <w:b w:val="0"/>
          <w:bCs/>
          <w:sz w:val="32"/>
          <w:szCs w:val="32"/>
          <w:highlight w:val="none"/>
          <w:lang w:val="en-US" w:eastAsia="zh-CN"/>
        </w:rPr>
        <w:t>一般公共服务201（类）其他一般公共服务支出99（款）其他一般公共服务支出99（项）:支出决算为9</w:t>
      </w:r>
      <w:r>
        <w:rPr>
          <w:rFonts w:hint="eastAsia" w:eastAsia="方正仿宋_GBK" w:cs="Times New Roman"/>
          <w:b w:val="0"/>
          <w:bCs/>
          <w:sz w:val="32"/>
          <w:szCs w:val="32"/>
          <w:highlight w:val="none"/>
          <w:lang w:val="en-US" w:eastAsia="zh-CN"/>
        </w:rPr>
        <w:t>.00</w:t>
      </w:r>
      <w:r>
        <w:rPr>
          <w:rFonts w:hint="default" w:ascii="Times New Roman" w:hAnsi="Times New Roman" w:eastAsia="方正仿宋_GBK" w:cs="Times New Roman"/>
          <w:b w:val="0"/>
          <w:bCs/>
          <w:sz w:val="32"/>
          <w:szCs w:val="32"/>
          <w:highlight w:val="none"/>
          <w:lang w:val="en-US" w:eastAsia="zh-CN"/>
        </w:rPr>
        <w:t>万元，完成预算100%，决算数等于预算数的主要原因是，收支平衡。</w:t>
      </w:r>
    </w:p>
    <w:p>
      <w:pPr>
        <w:keepNext w:val="0"/>
        <w:keepLines w:val="0"/>
        <w:pageBreakBefore w:val="0"/>
        <w:widowControl w:val="0"/>
        <w:kinsoku/>
        <w:wordWrap/>
        <w:overflowPunct/>
        <w:topLinePunct w:val="0"/>
        <w:autoSpaceDE/>
        <w:autoSpaceDN/>
        <w:bidi w:val="0"/>
        <w:adjustRightInd/>
        <w:snapToGrid/>
        <w:spacing w:line="240" w:lineRule="auto"/>
        <w:ind w:leftChars="0" w:firstLine="640" w:firstLineChars="200"/>
        <w:textAlignment w:val="auto"/>
        <w:outlineLvl w:val="1"/>
        <w:rPr>
          <w:rFonts w:hint="default" w:ascii="Times New Roman" w:hAnsi="Times New Roman" w:eastAsia="方正仿宋_GBK" w:cs="Times New Roman"/>
          <w:b w:val="0"/>
          <w:bCs/>
          <w:sz w:val="32"/>
          <w:szCs w:val="32"/>
          <w:highlight w:val="none"/>
          <w:lang w:val="en-US" w:eastAsia="zh-CN"/>
        </w:rPr>
      </w:pPr>
      <w:r>
        <w:rPr>
          <w:rFonts w:hint="eastAsia" w:eastAsia="方正仿宋_GBK" w:cs="Times New Roman"/>
          <w:b w:val="0"/>
          <w:bCs/>
          <w:sz w:val="32"/>
          <w:szCs w:val="32"/>
          <w:highlight w:val="none"/>
          <w:lang w:val="en-US" w:eastAsia="zh-CN"/>
        </w:rPr>
        <w:t>14.</w:t>
      </w:r>
      <w:r>
        <w:rPr>
          <w:rFonts w:hint="default" w:ascii="Times New Roman" w:hAnsi="Times New Roman" w:eastAsia="方正仿宋_GBK" w:cs="Times New Roman"/>
          <w:b w:val="0"/>
          <w:bCs/>
          <w:sz w:val="32"/>
          <w:szCs w:val="32"/>
          <w:highlight w:val="none"/>
          <w:lang w:val="en-US" w:eastAsia="zh-CN"/>
        </w:rPr>
        <w:t>文化旅游体育与传媒支出207（类）文化和旅游01（款）群众文化09（项）:支出决算为</w:t>
      </w:r>
      <w:r>
        <w:rPr>
          <w:rFonts w:hint="eastAsia" w:eastAsia="方正仿宋_GBK" w:cs="Times New Roman"/>
          <w:b w:val="0"/>
          <w:bCs/>
          <w:sz w:val="32"/>
          <w:szCs w:val="32"/>
          <w:highlight w:val="none"/>
          <w:lang w:val="en-US" w:eastAsia="zh-CN"/>
        </w:rPr>
        <w:t>29.38</w:t>
      </w:r>
      <w:r>
        <w:rPr>
          <w:rFonts w:hint="default" w:ascii="Times New Roman" w:hAnsi="Times New Roman" w:eastAsia="方正仿宋_GBK" w:cs="Times New Roman"/>
          <w:b w:val="0"/>
          <w:bCs/>
          <w:sz w:val="32"/>
          <w:szCs w:val="32"/>
          <w:highlight w:val="none"/>
          <w:lang w:val="en-US" w:eastAsia="zh-CN"/>
        </w:rPr>
        <w:t>万元，完成预算100%，决算数等于预算数的主要原因是，收支平衡。</w:t>
      </w:r>
    </w:p>
    <w:p>
      <w:pPr>
        <w:keepNext w:val="0"/>
        <w:keepLines w:val="0"/>
        <w:pageBreakBefore w:val="0"/>
        <w:widowControl w:val="0"/>
        <w:kinsoku/>
        <w:wordWrap/>
        <w:overflowPunct/>
        <w:topLinePunct w:val="0"/>
        <w:autoSpaceDE/>
        <w:autoSpaceDN/>
        <w:bidi w:val="0"/>
        <w:adjustRightInd/>
        <w:snapToGrid/>
        <w:spacing w:line="240" w:lineRule="auto"/>
        <w:ind w:leftChars="0" w:firstLine="640" w:firstLineChars="200"/>
        <w:textAlignment w:val="auto"/>
        <w:outlineLvl w:val="1"/>
        <w:rPr>
          <w:rFonts w:hint="default" w:ascii="Times New Roman" w:hAnsi="Times New Roman" w:eastAsia="方正仿宋_GBK" w:cs="Times New Roman"/>
          <w:b w:val="0"/>
          <w:bCs/>
          <w:sz w:val="32"/>
          <w:szCs w:val="32"/>
          <w:highlight w:val="none"/>
          <w:lang w:val="en-US" w:eastAsia="zh-CN"/>
        </w:rPr>
      </w:pPr>
      <w:r>
        <w:rPr>
          <w:rFonts w:hint="eastAsia" w:eastAsia="方正仿宋_GBK" w:cs="Times New Roman"/>
          <w:b w:val="0"/>
          <w:bCs/>
          <w:sz w:val="32"/>
          <w:szCs w:val="32"/>
          <w:highlight w:val="none"/>
          <w:lang w:val="en-US" w:eastAsia="zh-CN"/>
        </w:rPr>
        <w:t>15.</w:t>
      </w:r>
      <w:r>
        <w:rPr>
          <w:rFonts w:hint="default" w:ascii="Times New Roman" w:hAnsi="Times New Roman" w:eastAsia="方正仿宋_GBK" w:cs="Times New Roman"/>
          <w:b w:val="0"/>
          <w:bCs/>
          <w:sz w:val="32"/>
          <w:szCs w:val="32"/>
          <w:highlight w:val="none"/>
          <w:lang w:val="en-US" w:eastAsia="zh-CN"/>
        </w:rPr>
        <w:t>文化旅游体育与传媒支出207（类）文化和旅游01（款）其他文化和旅游支出99（项）:支出决算为</w:t>
      </w:r>
      <w:r>
        <w:rPr>
          <w:rFonts w:hint="eastAsia" w:eastAsia="方正仿宋_GBK" w:cs="Times New Roman"/>
          <w:b w:val="0"/>
          <w:bCs/>
          <w:sz w:val="32"/>
          <w:szCs w:val="32"/>
          <w:highlight w:val="none"/>
          <w:lang w:val="en-US" w:eastAsia="zh-CN"/>
        </w:rPr>
        <w:t>4.35</w:t>
      </w:r>
      <w:r>
        <w:rPr>
          <w:rFonts w:hint="default" w:ascii="Times New Roman" w:hAnsi="Times New Roman" w:eastAsia="方正仿宋_GBK" w:cs="Times New Roman"/>
          <w:b w:val="0"/>
          <w:bCs/>
          <w:sz w:val="32"/>
          <w:szCs w:val="32"/>
          <w:highlight w:val="none"/>
          <w:lang w:val="en-US" w:eastAsia="zh-CN"/>
        </w:rPr>
        <w:t>万元，完成预算100%，决算数等于预算数的主要原因是，收支平衡。</w:t>
      </w:r>
    </w:p>
    <w:p>
      <w:pPr>
        <w:keepNext w:val="0"/>
        <w:keepLines w:val="0"/>
        <w:pageBreakBefore w:val="0"/>
        <w:widowControl w:val="0"/>
        <w:kinsoku/>
        <w:wordWrap/>
        <w:overflowPunct/>
        <w:topLinePunct w:val="0"/>
        <w:autoSpaceDE/>
        <w:autoSpaceDN/>
        <w:bidi w:val="0"/>
        <w:adjustRightInd/>
        <w:snapToGrid/>
        <w:spacing w:line="240" w:lineRule="auto"/>
        <w:ind w:leftChars="0" w:firstLine="640" w:firstLineChars="200"/>
        <w:textAlignment w:val="auto"/>
        <w:outlineLvl w:val="1"/>
        <w:rPr>
          <w:rFonts w:hint="default" w:ascii="Times New Roman" w:hAnsi="Times New Roman" w:eastAsia="方正仿宋_GBK" w:cs="Times New Roman"/>
          <w:b w:val="0"/>
          <w:bCs/>
          <w:sz w:val="32"/>
          <w:szCs w:val="32"/>
          <w:highlight w:val="none"/>
          <w:lang w:val="en-US" w:eastAsia="zh-CN"/>
        </w:rPr>
      </w:pPr>
      <w:r>
        <w:rPr>
          <w:rFonts w:hint="eastAsia" w:eastAsia="方正仿宋_GBK" w:cs="Times New Roman"/>
          <w:b w:val="0"/>
          <w:bCs/>
          <w:sz w:val="32"/>
          <w:szCs w:val="32"/>
          <w:highlight w:val="none"/>
          <w:lang w:val="en-US" w:eastAsia="zh-CN"/>
        </w:rPr>
        <w:t>16.</w:t>
      </w:r>
      <w:r>
        <w:rPr>
          <w:rFonts w:hint="default" w:ascii="Times New Roman" w:hAnsi="Times New Roman" w:eastAsia="方正仿宋_GBK" w:cs="Times New Roman"/>
          <w:b w:val="0"/>
          <w:bCs/>
          <w:sz w:val="32"/>
          <w:szCs w:val="32"/>
          <w:highlight w:val="none"/>
          <w:lang w:val="en-US" w:eastAsia="zh-CN"/>
        </w:rPr>
        <w:t>社会保障和就业支出208（类）人力资源和社会保障管理事务01（款）社会保险经办机构09（项）：支出决算为</w:t>
      </w:r>
      <w:r>
        <w:rPr>
          <w:rFonts w:hint="eastAsia" w:eastAsia="方正仿宋_GBK" w:cs="Times New Roman"/>
          <w:b w:val="0"/>
          <w:bCs/>
          <w:sz w:val="32"/>
          <w:szCs w:val="32"/>
          <w:highlight w:val="none"/>
          <w:lang w:val="en-US" w:eastAsia="zh-CN"/>
        </w:rPr>
        <w:t>43.45</w:t>
      </w:r>
      <w:r>
        <w:rPr>
          <w:rFonts w:hint="default" w:ascii="Times New Roman" w:hAnsi="Times New Roman" w:eastAsia="方正仿宋_GBK" w:cs="Times New Roman"/>
          <w:b w:val="0"/>
          <w:bCs/>
          <w:sz w:val="32"/>
          <w:szCs w:val="32"/>
          <w:highlight w:val="none"/>
          <w:lang w:val="en-US" w:eastAsia="zh-CN"/>
        </w:rPr>
        <w:t>万元，完成预算100%，决算数等于预算数的主要原因是，收支平衡。</w:t>
      </w:r>
    </w:p>
    <w:p>
      <w:pPr>
        <w:keepNext w:val="0"/>
        <w:keepLines w:val="0"/>
        <w:pageBreakBefore w:val="0"/>
        <w:widowControl w:val="0"/>
        <w:kinsoku/>
        <w:wordWrap/>
        <w:overflowPunct/>
        <w:topLinePunct w:val="0"/>
        <w:autoSpaceDE/>
        <w:autoSpaceDN/>
        <w:bidi w:val="0"/>
        <w:adjustRightInd/>
        <w:snapToGrid/>
        <w:spacing w:line="240" w:lineRule="auto"/>
        <w:ind w:leftChars="0" w:firstLine="640" w:firstLineChars="200"/>
        <w:textAlignment w:val="auto"/>
        <w:outlineLvl w:val="1"/>
        <w:rPr>
          <w:rFonts w:hint="default" w:ascii="Times New Roman" w:hAnsi="Times New Roman" w:eastAsia="方正仿宋_GBK" w:cs="Times New Roman"/>
          <w:b w:val="0"/>
          <w:bCs/>
          <w:sz w:val="32"/>
          <w:szCs w:val="32"/>
          <w:highlight w:val="none"/>
          <w:lang w:val="en-US" w:eastAsia="zh-CN"/>
        </w:rPr>
      </w:pPr>
      <w:r>
        <w:rPr>
          <w:rFonts w:hint="eastAsia" w:eastAsia="方正仿宋_GBK" w:cs="Times New Roman"/>
          <w:b w:val="0"/>
          <w:bCs/>
          <w:sz w:val="32"/>
          <w:szCs w:val="32"/>
          <w:highlight w:val="none"/>
          <w:lang w:val="en-US" w:eastAsia="zh-CN"/>
        </w:rPr>
        <w:t>17.</w:t>
      </w:r>
      <w:r>
        <w:rPr>
          <w:rFonts w:hint="default" w:ascii="Times New Roman" w:hAnsi="Times New Roman" w:eastAsia="方正仿宋_GBK" w:cs="Times New Roman"/>
          <w:b w:val="0"/>
          <w:bCs/>
          <w:sz w:val="32"/>
          <w:szCs w:val="32"/>
          <w:highlight w:val="none"/>
          <w:lang w:val="en-US" w:eastAsia="zh-CN"/>
        </w:rPr>
        <w:t>社会保障和就业支出208（类）人力资源和社会保障管理事务01（款）其他人力资源和社会保障管理实务支出99（项）:支出决算为</w:t>
      </w:r>
      <w:r>
        <w:rPr>
          <w:rFonts w:hint="eastAsia" w:eastAsia="方正仿宋_GBK" w:cs="Times New Roman"/>
          <w:b w:val="0"/>
          <w:bCs/>
          <w:sz w:val="32"/>
          <w:szCs w:val="32"/>
          <w:highlight w:val="none"/>
          <w:lang w:val="en-US" w:eastAsia="zh-CN"/>
        </w:rPr>
        <w:t>20.23</w:t>
      </w:r>
      <w:r>
        <w:rPr>
          <w:rFonts w:hint="default" w:ascii="Times New Roman" w:hAnsi="Times New Roman" w:eastAsia="方正仿宋_GBK" w:cs="Times New Roman"/>
          <w:b w:val="0"/>
          <w:bCs/>
          <w:sz w:val="32"/>
          <w:szCs w:val="32"/>
          <w:highlight w:val="none"/>
          <w:lang w:val="en-US" w:eastAsia="zh-CN"/>
        </w:rPr>
        <w:t>万元，完成预算100%，决算数等于预算数的主要原因是，收支平衡。</w:t>
      </w:r>
    </w:p>
    <w:p>
      <w:pPr>
        <w:keepNext w:val="0"/>
        <w:keepLines w:val="0"/>
        <w:pageBreakBefore w:val="0"/>
        <w:widowControl w:val="0"/>
        <w:kinsoku/>
        <w:wordWrap/>
        <w:overflowPunct/>
        <w:topLinePunct w:val="0"/>
        <w:autoSpaceDE/>
        <w:autoSpaceDN/>
        <w:bidi w:val="0"/>
        <w:adjustRightInd/>
        <w:snapToGrid/>
        <w:spacing w:line="240" w:lineRule="auto"/>
        <w:ind w:leftChars="0" w:firstLine="640" w:firstLineChars="200"/>
        <w:textAlignment w:val="auto"/>
        <w:outlineLvl w:val="1"/>
        <w:rPr>
          <w:rFonts w:hint="default" w:ascii="Times New Roman" w:hAnsi="Times New Roman" w:eastAsia="方正仿宋_GBK" w:cs="Times New Roman"/>
          <w:b w:val="0"/>
          <w:bCs/>
          <w:sz w:val="32"/>
          <w:szCs w:val="32"/>
          <w:highlight w:val="none"/>
          <w:lang w:val="en-US" w:eastAsia="zh-CN"/>
        </w:rPr>
      </w:pPr>
      <w:r>
        <w:rPr>
          <w:rFonts w:hint="eastAsia" w:eastAsia="方正仿宋_GBK" w:cs="Times New Roman"/>
          <w:b w:val="0"/>
          <w:bCs/>
          <w:sz w:val="32"/>
          <w:szCs w:val="32"/>
          <w:highlight w:val="none"/>
          <w:lang w:val="en-US" w:eastAsia="zh-CN"/>
        </w:rPr>
        <w:t>18.</w:t>
      </w:r>
      <w:r>
        <w:rPr>
          <w:rFonts w:hint="default" w:ascii="Times New Roman" w:hAnsi="Times New Roman" w:eastAsia="方正仿宋_GBK" w:cs="Times New Roman"/>
          <w:b w:val="0"/>
          <w:bCs/>
          <w:sz w:val="32"/>
          <w:szCs w:val="32"/>
          <w:highlight w:val="none"/>
          <w:lang w:val="en-US" w:eastAsia="zh-CN"/>
        </w:rPr>
        <w:t>社会保障和就业支出208（类）民政管理事务02（款）基层政权建设和社区治理08（项）:支出决算为</w:t>
      </w:r>
      <w:r>
        <w:rPr>
          <w:rFonts w:hint="eastAsia" w:eastAsia="方正仿宋_GBK" w:cs="Times New Roman"/>
          <w:b w:val="0"/>
          <w:bCs/>
          <w:sz w:val="32"/>
          <w:szCs w:val="32"/>
          <w:highlight w:val="none"/>
          <w:lang w:val="en-US" w:eastAsia="zh-CN"/>
        </w:rPr>
        <w:t>3.00</w:t>
      </w:r>
      <w:r>
        <w:rPr>
          <w:rFonts w:hint="default" w:ascii="Times New Roman" w:hAnsi="Times New Roman" w:eastAsia="方正仿宋_GBK" w:cs="Times New Roman"/>
          <w:b w:val="0"/>
          <w:bCs/>
          <w:sz w:val="32"/>
          <w:szCs w:val="32"/>
          <w:highlight w:val="none"/>
          <w:lang w:val="en-US" w:eastAsia="zh-CN"/>
        </w:rPr>
        <w:t>万元，完成预算100%，决算数等于预算数的主要原因是，收支平衡。</w:t>
      </w:r>
    </w:p>
    <w:p>
      <w:pPr>
        <w:keepNext w:val="0"/>
        <w:keepLines w:val="0"/>
        <w:pageBreakBefore w:val="0"/>
        <w:widowControl w:val="0"/>
        <w:kinsoku/>
        <w:wordWrap/>
        <w:overflowPunct/>
        <w:topLinePunct w:val="0"/>
        <w:autoSpaceDE/>
        <w:autoSpaceDN/>
        <w:bidi w:val="0"/>
        <w:adjustRightInd/>
        <w:snapToGrid/>
        <w:spacing w:line="240" w:lineRule="auto"/>
        <w:ind w:leftChars="0" w:firstLine="640" w:firstLineChars="200"/>
        <w:textAlignment w:val="auto"/>
        <w:outlineLvl w:val="1"/>
        <w:rPr>
          <w:rFonts w:hint="default" w:ascii="Times New Roman" w:hAnsi="Times New Roman" w:eastAsia="方正仿宋_GBK" w:cs="Times New Roman"/>
          <w:b w:val="0"/>
          <w:bCs/>
          <w:sz w:val="32"/>
          <w:szCs w:val="32"/>
          <w:highlight w:val="none"/>
          <w:lang w:val="en-US" w:eastAsia="zh-CN"/>
        </w:rPr>
      </w:pPr>
      <w:r>
        <w:rPr>
          <w:rFonts w:hint="eastAsia" w:eastAsia="方正仿宋_GBK" w:cs="Times New Roman"/>
          <w:b w:val="0"/>
          <w:bCs/>
          <w:sz w:val="32"/>
          <w:szCs w:val="32"/>
          <w:highlight w:val="none"/>
          <w:lang w:val="en-US" w:eastAsia="zh-CN"/>
        </w:rPr>
        <w:t>19.</w:t>
      </w:r>
      <w:r>
        <w:rPr>
          <w:rFonts w:hint="default" w:ascii="Times New Roman" w:hAnsi="Times New Roman" w:eastAsia="方正仿宋_GBK" w:cs="Times New Roman"/>
          <w:b w:val="0"/>
          <w:bCs/>
          <w:sz w:val="32"/>
          <w:szCs w:val="32"/>
          <w:highlight w:val="none"/>
          <w:lang w:val="en-US" w:eastAsia="zh-CN"/>
        </w:rPr>
        <w:t>社会保障和就业支出208（类）行政事业单位养老支出05（款）行政单位离退休01（项）：支出决算为</w:t>
      </w:r>
      <w:r>
        <w:rPr>
          <w:rFonts w:hint="eastAsia" w:eastAsia="方正仿宋_GBK" w:cs="Times New Roman"/>
          <w:b w:val="0"/>
          <w:bCs/>
          <w:sz w:val="32"/>
          <w:szCs w:val="32"/>
          <w:highlight w:val="none"/>
          <w:lang w:val="en-US" w:eastAsia="zh-CN"/>
        </w:rPr>
        <w:t>15.30</w:t>
      </w:r>
      <w:r>
        <w:rPr>
          <w:rFonts w:hint="default" w:ascii="Times New Roman" w:hAnsi="Times New Roman" w:eastAsia="方正仿宋_GBK" w:cs="Times New Roman"/>
          <w:b w:val="0"/>
          <w:bCs/>
          <w:sz w:val="32"/>
          <w:szCs w:val="32"/>
          <w:highlight w:val="none"/>
          <w:lang w:val="en-US" w:eastAsia="zh-CN"/>
        </w:rPr>
        <w:t>万元，完成预算100%，决算数等于预算数的主要原因是，收支平衡。</w:t>
      </w:r>
    </w:p>
    <w:p>
      <w:pPr>
        <w:keepNext w:val="0"/>
        <w:keepLines w:val="0"/>
        <w:pageBreakBefore w:val="0"/>
        <w:widowControl w:val="0"/>
        <w:kinsoku/>
        <w:wordWrap/>
        <w:overflowPunct/>
        <w:topLinePunct w:val="0"/>
        <w:autoSpaceDE/>
        <w:autoSpaceDN/>
        <w:bidi w:val="0"/>
        <w:adjustRightInd/>
        <w:snapToGrid/>
        <w:spacing w:line="240" w:lineRule="auto"/>
        <w:ind w:leftChars="0" w:firstLine="640" w:firstLineChars="200"/>
        <w:textAlignment w:val="auto"/>
        <w:outlineLvl w:val="1"/>
        <w:rPr>
          <w:rFonts w:hint="default" w:ascii="Times New Roman" w:hAnsi="Times New Roman" w:eastAsia="方正仿宋_GBK" w:cs="Times New Roman"/>
          <w:b w:val="0"/>
          <w:bCs/>
          <w:sz w:val="32"/>
          <w:szCs w:val="32"/>
          <w:highlight w:val="none"/>
          <w:lang w:val="en-US" w:eastAsia="zh-CN"/>
        </w:rPr>
      </w:pPr>
      <w:r>
        <w:rPr>
          <w:rFonts w:hint="eastAsia" w:eastAsia="方正仿宋_GBK" w:cs="Times New Roman"/>
          <w:b w:val="0"/>
          <w:bCs/>
          <w:sz w:val="32"/>
          <w:szCs w:val="32"/>
          <w:highlight w:val="none"/>
          <w:lang w:val="en-US" w:eastAsia="zh-CN"/>
        </w:rPr>
        <w:t>20.</w:t>
      </w:r>
      <w:r>
        <w:rPr>
          <w:rFonts w:hint="default" w:ascii="Times New Roman" w:hAnsi="Times New Roman" w:eastAsia="方正仿宋_GBK" w:cs="Times New Roman"/>
          <w:b w:val="0"/>
          <w:bCs/>
          <w:sz w:val="32"/>
          <w:szCs w:val="32"/>
          <w:highlight w:val="none"/>
          <w:lang w:val="en-US" w:eastAsia="zh-CN"/>
        </w:rPr>
        <w:t>社会保障和就业支出208（类）行政事业单位养老支出05（款）事业单位离退休02（项）：支出决算为</w:t>
      </w:r>
      <w:r>
        <w:rPr>
          <w:rFonts w:hint="eastAsia" w:eastAsia="方正仿宋_GBK" w:cs="Times New Roman"/>
          <w:b w:val="0"/>
          <w:bCs/>
          <w:sz w:val="32"/>
          <w:szCs w:val="32"/>
          <w:highlight w:val="none"/>
          <w:lang w:val="en-US" w:eastAsia="zh-CN"/>
        </w:rPr>
        <w:t>17.23</w:t>
      </w:r>
      <w:r>
        <w:rPr>
          <w:rFonts w:hint="default" w:ascii="Times New Roman" w:hAnsi="Times New Roman" w:eastAsia="方正仿宋_GBK" w:cs="Times New Roman"/>
          <w:b w:val="0"/>
          <w:bCs/>
          <w:sz w:val="32"/>
          <w:szCs w:val="32"/>
          <w:highlight w:val="none"/>
          <w:lang w:val="en-US" w:eastAsia="zh-CN"/>
        </w:rPr>
        <w:t>万元，完成预算100%，决算数等于预算数的主要原因是，收支平衡。</w:t>
      </w:r>
    </w:p>
    <w:p>
      <w:pPr>
        <w:keepNext w:val="0"/>
        <w:keepLines w:val="0"/>
        <w:pageBreakBefore w:val="0"/>
        <w:widowControl w:val="0"/>
        <w:kinsoku/>
        <w:wordWrap/>
        <w:overflowPunct/>
        <w:topLinePunct w:val="0"/>
        <w:autoSpaceDE/>
        <w:autoSpaceDN/>
        <w:bidi w:val="0"/>
        <w:adjustRightInd/>
        <w:snapToGrid/>
        <w:spacing w:line="240" w:lineRule="auto"/>
        <w:ind w:leftChars="0" w:firstLine="640" w:firstLineChars="200"/>
        <w:textAlignment w:val="auto"/>
        <w:outlineLvl w:val="1"/>
        <w:rPr>
          <w:rFonts w:hint="default" w:ascii="Times New Roman" w:hAnsi="Times New Roman" w:eastAsia="方正仿宋_GBK" w:cs="Times New Roman"/>
          <w:b w:val="0"/>
          <w:bCs/>
          <w:sz w:val="32"/>
          <w:szCs w:val="32"/>
          <w:highlight w:val="none"/>
          <w:lang w:val="en-US" w:eastAsia="zh-CN"/>
        </w:rPr>
      </w:pPr>
      <w:r>
        <w:rPr>
          <w:rFonts w:hint="eastAsia" w:eastAsia="方正仿宋_GBK" w:cs="Times New Roman"/>
          <w:b w:val="0"/>
          <w:bCs/>
          <w:sz w:val="32"/>
          <w:szCs w:val="32"/>
          <w:highlight w:val="none"/>
          <w:lang w:val="en-US" w:eastAsia="zh-CN"/>
        </w:rPr>
        <w:t>21.</w:t>
      </w:r>
      <w:r>
        <w:rPr>
          <w:rFonts w:hint="default" w:ascii="Times New Roman" w:hAnsi="Times New Roman" w:eastAsia="方正仿宋_GBK" w:cs="Times New Roman"/>
          <w:b w:val="0"/>
          <w:bCs/>
          <w:sz w:val="32"/>
          <w:szCs w:val="32"/>
          <w:highlight w:val="none"/>
          <w:lang w:val="en-US" w:eastAsia="zh-CN"/>
        </w:rPr>
        <w:t>社会保障和就业支出208（类）行政事业单位养老支出05（款）机关事业单位基本养老保险缴费支出05（项）：支出决算为</w:t>
      </w:r>
      <w:r>
        <w:rPr>
          <w:rFonts w:hint="eastAsia" w:eastAsia="方正仿宋_GBK" w:cs="Times New Roman"/>
          <w:b w:val="0"/>
          <w:bCs/>
          <w:sz w:val="32"/>
          <w:szCs w:val="32"/>
          <w:highlight w:val="none"/>
          <w:lang w:val="en-US" w:eastAsia="zh-CN"/>
        </w:rPr>
        <w:t>62.75</w:t>
      </w:r>
      <w:r>
        <w:rPr>
          <w:rFonts w:hint="default" w:ascii="Times New Roman" w:hAnsi="Times New Roman" w:eastAsia="方正仿宋_GBK" w:cs="Times New Roman"/>
          <w:b w:val="0"/>
          <w:bCs/>
          <w:sz w:val="32"/>
          <w:szCs w:val="32"/>
          <w:highlight w:val="none"/>
          <w:lang w:val="en-US" w:eastAsia="zh-CN"/>
        </w:rPr>
        <w:t>万元，完成预算100%，决算数等于预算数的主要原因是，收支平衡。</w:t>
      </w:r>
    </w:p>
    <w:p>
      <w:pPr>
        <w:keepNext w:val="0"/>
        <w:keepLines w:val="0"/>
        <w:pageBreakBefore w:val="0"/>
        <w:widowControl w:val="0"/>
        <w:kinsoku/>
        <w:wordWrap/>
        <w:overflowPunct/>
        <w:topLinePunct w:val="0"/>
        <w:autoSpaceDE/>
        <w:autoSpaceDN/>
        <w:bidi w:val="0"/>
        <w:adjustRightInd/>
        <w:snapToGrid/>
        <w:spacing w:line="240" w:lineRule="auto"/>
        <w:ind w:leftChars="0" w:firstLine="640" w:firstLineChars="200"/>
        <w:textAlignment w:val="auto"/>
        <w:outlineLvl w:val="1"/>
        <w:rPr>
          <w:rFonts w:hint="default" w:ascii="Times New Roman" w:hAnsi="Times New Roman" w:eastAsia="方正仿宋_GBK" w:cs="Times New Roman"/>
          <w:b w:val="0"/>
          <w:bCs/>
          <w:sz w:val="32"/>
          <w:szCs w:val="32"/>
          <w:highlight w:val="none"/>
          <w:lang w:val="en-US" w:eastAsia="zh-CN"/>
        </w:rPr>
      </w:pPr>
      <w:r>
        <w:rPr>
          <w:rFonts w:hint="eastAsia" w:eastAsia="方正仿宋_GBK" w:cs="Times New Roman"/>
          <w:b w:val="0"/>
          <w:bCs/>
          <w:sz w:val="32"/>
          <w:szCs w:val="32"/>
          <w:highlight w:val="none"/>
          <w:lang w:val="en-US" w:eastAsia="zh-CN"/>
        </w:rPr>
        <w:t>22.</w:t>
      </w:r>
      <w:r>
        <w:rPr>
          <w:rFonts w:hint="default" w:ascii="Times New Roman" w:hAnsi="Times New Roman" w:eastAsia="方正仿宋_GBK" w:cs="Times New Roman"/>
          <w:b w:val="0"/>
          <w:bCs/>
          <w:sz w:val="32"/>
          <w:szCs w:val="32"/>
          <w:highlight w:val="none"/>
          <w:lang w:val="en-US" w:eastAsia="zh-CN"/>
        </w:rPr>
        <w:t>社会保障和就业支出208（类）行政事业单位养老支出05（款）机关事业单位职业年金缴费支出06（项）：支出决算为</w:t>
      </w:r>
      <w:r>
        <w:rPr>
          <w:rFonts w:hint="eastAsia" w:eastAsia="方正仿宋_GBK" w:cs="Times New Roman"/>
          <w:b w:val="0"/>
          <w:bCs/>
          <w:sz w:val="32"/>
          <w:szCs w:val="32"/>
          <w:highlight w:val="none"/>
          <w:lang w:val="en-US" w:eastAsia="zh-CN"/>
        </w:rPr>
        <w:t>5.23</w:t>
      </w:r>
      <w:r>
        <w:rPr>
          <w:rFonts w:hint="default" w:ascii="Times New Roman" w:hAnsi="Times New Roman" w:eastAsia="方正仿宋_GBK" w:cs="Times New Roman"/>
          <w:b w:val="0"/>
          <w:bCs/>
          <w:sz w:val="32"/>
          <w:szCs w:val="32"/>
          <w:highlight w:val="none"/>
          <w:lang w:val="en-US" w:eastAsia="zh-CN"/>
        </w:rPr>
        <w:t>万元，完成预算100%，决算数等于预算数的主要原因是，收支平衡。</w:t>
      </w:r>
    </w:p>
    <w:p>
      <w:pPr>
        <w:keepNext w:val="0"/>
        <w:keepLines w:val="0"/>
        <w:pageBreakBefore w:val="0"/>
        <w:widowControl w:val="0"/>
        <w:kinsoku/>
        <w:wordWrap/>
        <w:overflowPunct/>
        <w:topLinePunct w:val="0"/>
        <w:autoSpaceDE/>
        <w:autoSpaceDN/>
        <w:bidi w:val="0"/>
        <w:adjustRightInd/>
        <w:snapToGrid/>
        <w:spacing w:line="240" w:lineRule="auto"/>
        <w:ind w:leftChars="0" w:firstLine="640" w:firstLineChars="200"/>
        <w:textAlignment w:val="auto"/>
        <w:outlineLvl w:val="1"/>
        <w:rPr>
          <w:rFonts w:hint="default" w:ascii="Times New Roman" w:hAnsi="Times New Roman" w:eastAsia="方正仿宋_GBK" w:cs="Times New Roman"/>
          <w:b w:val="0"/>
          <w:bCs/>
          <w:sz w:val="32"/>
          <w:szCs w:val="32"/>
          <w:highlight w:val="none"/>
          <w:lang w:val="en-US" w:eastAsia="zh-CN"/>
        </w:rPr>
      </w:pPr>
      <w:r>
        <w:rPr>
          <w:rFonts w:hint="eastAsia" w:eastAsia="方正仿宋_GBK" w:cs="Times New Roman"/>
          <w:b w:val="0"/>
          <w:bCs/>
          <w:sz w:val="32"/>
          <w:szCs w:val="32"/>
          <w:highlight w:val="none"/>
          <w:lang w:val="en-US" w:eastAsia="zh-CN"/>
        </w:rPr>
        <w:t>23.</w:t>
      </w:r>
      <w:r>
        <w:rPr>
          <w:rFonts w:hint="default" w:ascii="Times New Roman" w:hAnsi="Times New Roman" w:eastAsia="方正仿宋_GBK" w:cs="Times New Roman"/>
          <w:b w:val="0"/>
          <w:bCs/>
          <w:sz w:val="32"/>
          <w:szCs w:val="32"/>
          <w:highlight w:val="none"/>
          <w:lang w:val="en-US" w:eastAsia="zh-CN"/>
        </w:rPr>
        <w:t>社会保障和就业支出208（类）特困人员救助供养21（款）农村特困人员救助供养支出02（项）：支出决算为</w:t>
      </w:r>
      <w:r>
        <w:rPr>
          <w:rFonts w:hint="eastAsia" w:eastAsia="方正仿宋_GBK" w:cs="Times New Roman"/>
          <w:b w:val="0"/>
          <w:bCs/>
          <w:sz w:val="32"/>
          <w:szCs w:val="32"/>
          <w:highlight w:val="none"/>
          <w:lang w:val="en-US" w:eastAsia="zh-CN"/>
        </w:rPr>
        <w:t>1.50</w:t>
      </w:r>
      <w:r>
        <w:rPr>
          <w:rFonts w:hint="default" w:ascii="Times New Roman" w:hAnsi="Times New Roman" w:eastAsia="方正仿宋_GBK" w:cs="Times New Roman"/>
          <w:b w:val="0"/>
          <w:bCs/>
          <w:sz w:val="32"/>
          <w:szCs w:val="32"/>
          <w:highlight w:val="none"/>
          <w:lang w:val="en-US" w:eastAsia="zh-CN"/>
        </w:rPr>
        <w:t>万元，完成预算100%，决算数等于预算数的主要原因是，收支平衡。</w:t>
      </w:r>
    </w:p>
    <w:p>
      <w:pPr>
        <w:keepNext w:val="0"/>
        <w:keepLines w:val="0"/>
        <w:pageBreakBefore w:val="0"/>
        <w:widowControl w:val="0"/>
        <w:kinsoku/>
        <w:wordWrap/>
        <w:overflowPunct/>
        <w:topLinePunct w:val="0"/>
        <w:autoSpaceDE/>
        <w:autoSpaceDN/>
        <w:bidi w:val="0"/>
        <w:adjustRightInd/>
        <w:snapToGrid/>
        <w:spacing w:line="240" w:lineRule="auto"/>
        <w:ind w:leftChars="0" w:firstLine="640" w:firstLineChars="200"/>
        <w:textAlignment w:val="auto"/>
        <w:outlineLvl w:val="1"/>
        <w:rPr>
          <w:rFonts w:hint="default" w:ascii="Times New Roman" w:hAnsi="Times New Roman" w:eastAsia="方正仿宋_GBK" w:cs="Times New Roman"/>
          <w:b w:val="0"/>
          <w:bCs/>
          <w:sz w:val="32"/>
          <w:szCs w:val="32"/>
          <w:highlight w:val="none"/>
          <w:lang w:val="en-US" w:eastAsia="zh-CN"/>
        </w:rPr>
      </w:pPr>
      <w:r>
        <w:rPr>
          <w:rFonts w:hint="eastAsia" w:eastAsia="方正仿宋_GBK" w:cs="Times New Roman"/>
          <w:b w:val="0"/>
          <w:bCs/>
          <w:sz w:val="32"/>
          <w:szCs w:val="32"/>
          <w:highlight w:val="none"/>
          <w:lang w:val="en-US" w:eastAsia="zh-CN"/>
        </w:rPr>
        <w:t>24.</w:t>
      </w:r>
      <w:r>
        <w:rPr>
          <w:rFonts w:hint="default" w:ascii="Times New Roman" w:hAnsi="Times New Roman" w:eastAsia="方正仿宋_GBK" w:cs="Times New Roman"/>
          <w:b w:val="0"/>
          <w:bCs/>
          <w:sz w:val="32"/>
          <w:szCs w:val="32"/>
          <w:highlight w:val="none"/>
          <w:lang w:val="en-US" w:eastAsia="zh-CN"/>
        </w:rPr>
        <w:t>卫生健康支出210（类）公共卫生04（款）其他公共卫生支出99（项）:支出决算为</w:t>
      </w:r>
      <w:r>
        <w:rPr>
          <w:rFonts w:hint="eastAsia" w:eastAsia="方正仿宋_GBK" w:cs="Times New Roman"/>
          <w:b w:val="0"/>
          <w:bCs/>
          <w:sz w:val="32"/>
          <w:szCs w:val="32"/>
          <w:highlight w:val="none"/>
          <w:lang w:val="en-US" w:eastAsia="zh-CN"/>
        </w:rPr>
        <w:t>1.80</w:t>
      </w:r>
      <w:r>
        <w:rPr>
          <w:rFonts w:hint="default" w:ascii="Times New Roman" w:hAnsi="Times New Roman" w:eastAsia="方正仿宋_GBK" w:cs="Times New Roman"/>
          <w:b w:val="0"/>
          <w:bCs/>
          <w:sz w:val="32"/>
          <w:szCs w:val="32"/>
          <w:highlight w:val="none"/>
          <w:lang w:val="en-US" w:eastAsia="zh-CN"/>
        </w:rPr>
        <w:t>万元，完成预算100%，决算数等于预算数的主要原因是，收支平衡。</w:t>
      </w:r>
    </w:p>
    <w:p>
      <w:pPr>
        <w:keepNext w:val="0"/>
        <w:keepLines w:val="0"/>
        <w:pageBreakBefore w:val="0"/>
        <w:widowControl w:val="0"/>
        <w:kinsoku/>
        <w:wordWrap/>
        <w:overflowPunct/>
        <w:topLinePunct w:val="0"/>
        <w:autoSpaceDE/>
        <w:autoSpaceDN/>
        <w:bidi w:val="0"/>
        <w:adjustRightInd/>
        <w:snapToGrid/>
        <w:spacing w:line="240" w:lineRule="auto"/>
        <w:ind w:leftChars="0" w:firstLine="640" w:firstLineChars="200"/>
        <w:textAlignment w:val="auto"/>
        <w:outlineLvl w:val="1"/>
        <w:rPr>
          <w:rFonts w:hint="default" w:ascii="Times New Roman" w:hAnsi="Times New Roman" w:eastAsia="方正仿宋_GBK" w:cs="Times New Roman"/>
          <w:b w:val="0"/>
          <w:bCs/>
          <w:sz w:val="32"/>
          <w:szCs w:val="32"/>
          <w:highlight w:val="none"/>
          <w:lang w:val="en-US" w:eastAsia="zh-CN"/>
        </w:rPr>
      </w:pPr>
      <w:r>
        <w:rPr>
          <w:rFonts w:hint="eastAsia" w:eastAsia="方正仿宋_GBK" w:cs="Times New Roman"/>
          <w:b w:val="0"/>
          <w:bCs/>
          <w:sz w:val="32"/>
          <w:szCs w:val="32"/>
          <w:highlight w:val="none"/>
          <w:lang w:val="en-US" w:eastAsia="zh-CN"/>
        </w:rPr>
        <w:t>25.</w:t>
      </w:r>
      <w:r>
        <w:rPr>
          <w:rFonts w:hint="default" w:ascii="Times New Roman" w:hAnsi="Times New Roman" w:eastAsia="方正仿宋_GBK" w:cs="Times New Roman"/>
          <w:b w:val="0"/>
          <w:bCs/>
          <w:sz w:val="32"/>
          <w:szCs w:val="32"/>
          <w:highlight w:val="none"/>
          <w:lang w:val="en-US" w:eastAsia="zh-CN"/>
        </w:rPr>
        <w:t>卫生健康支出210（类）行政事业单位医疗11（款）行政单位医疗01（项）:支出决算为</w:t>
      </w:r>
      <w:r>
        <w:rPr>
          <w:rFonts w:hint="eastAsia" w:eastAsia="方正仿宋_GBK" w:cs="Times New Roman"/>
          <w:b w:val="0"/>
          <w:bCs/>
          <w:sz w:val="32"/>
          <w:szCs w:val="32"/>
          <w:highlight w:val="none"/>
          <w:lang w:val="en-US" w:eastAsia="zh-CN"/>
        </w:rPr>
        <w:t>20.38</w:t>
      </w:r>
      <w:r>
        <w:rPr>
          <w:rFonts w:hint="default" w:ascii="Times New Roman" w:hAnsi="Times New Roman" w:eastAsia="方正仿宋_GBK" w:cs="Times New Roman"/>
          <w:b w:val="0"/>
          <w:bCs/>
          <w:sz w:val="32"/>
          <w:szCs w:val="32"/>
          <w:highlight w:val="none"/>
          <w:lang w:val="en-US" w:eastAsia="zh-CN"/>
        </w:rPr>
        <w:t>万元，完成预算100%，决算数等于预算数的主要原因是，收支平衡。</w:t>
      </w:r>
    </w:p>
    <w:p>
      <w:pPr>
        <w:keepNext w:val="0"/>
        <w:keepLines w:val="0"/>
        <w:pageBreakBefore w:val="0"/>
        <w:widowControl w:val="0"/>
        <w:kinsoku/>
        <w:wordWrap/>
        <w:overflowPunct/>
        <w:topLinePunct w:val="0"/>
        <w:autoSpaceDE/>
        <w:autoSpaceDN/>
        <w:bidi w:val="0"/>
        <w:adjustRightInd/>
        <w:snapToGrid/>
        <w:spacing w:line="240" w:lineRule="auto"/>
        <w:ind w:leftChars="0" w:firstLine="640" w:firstLineChars="200"/>
        <w:textAlignment w:val="auto"/>
        <w:outlineLvl w:val="1"/>
        <w:rPr>
          <w:rFonts w:hint="default" w:ascii="Times New Roman" w:hAnsi="Times New Roman" w:eastAsia="方正仿宋_GBK" w:cs="Times New Roman"/>
          <w:b w:val="0"/>
          <w:bCs/>
          <w:sz w:val="32"/>
          <w:szCs w:val="32"/>
          <w:highlight w:val="none"/>
          <w:lang w:val="en-US" w:eastAsia="zh-CN"/>
        </w:rPr>
      </w:pPr>
      <w:r>
        <w:rPr>
          <w:rFonts w:hint="eastAsia" w:eastAsia="方正仿宋_GBK" w:cs="Times New Roman"/>
          <w:b w:val="0"/>
          <w:bCs/>
          <w:sz w:val="32"/>
          <w:szCs w:val="32"/>
          <w:highlight w:val="none"/>
          <w:lang w:val="en-US" w:eastAsia="zh-CN"/>
        </w:rPr>
        <w:t>26.</w:t>
      </w:r>
      <w:r>
        <w:rPr>
          <w:rFonts w:hint="default" w:ascii="Times New Roman" w:hAnsi="Times New Roman" w:eastAsia="方正仿宋_GBK" w:cs="Times New Roman"/>
          <w:b w:val="0"/>
          <w:bCs/>
          <w:sz w:val="32"/>
          <w:szCs w:val="32"/>
          <w:highlight w:val="none"/>
          <w:lang w:val="en-US" w:eastAsia="zh-CN"/>
        </w:rPr>
        <w:t>卫生健康支出210（类）行政事业单位医疗11（款）事业单位医疗02（项）:支出决算为</w:t>
      </w:r>
      <w:r>
        <w:rPr>
          <w:rFonts w:hint="eastAsia" w:eastAsia="方正仿宋_GBK" w:cs="Times New Roman"/>
          <w:b w:val="0"/>
          <w:bCs/>
          <w:sz w:val="32"/>
          <w:szCs w:val="32"/>
          <w:highlight w:val="none"/>
          <w:lang w:val="en-US" w:eastAsia="zh-CN"/>
        </w:rPr>
        <w:t>17.02</w:t>
      </w:r>
      <w:r>
        <w:rPr>
          <w:rFonts w:hint="default" w:ascii="Times New Roman" w:hAnsi="Times New Roman" w:eastAsia="方正仿宋_GBK" w:cs="Times New Roman"/>
          <w:b w:val="0"/>
          <w:bCs/>
          <w:sz w:val="32"/>
          <w:szCs w:val="32"/>
          <w:highlight w:val="none"/>
          <w:lang w:val="en-US" w:eastAsia="zh-CN"/>
        </w:rPr>
        <w:t>万元，完成预算100%，决算数等于预算数的主要原因是，收支平衡。</w:t>
      </w:r>
    </w:p>
    <w:p>
      <w:pPr>
        <w:keepNext w:val="0"/>
        <w:keepLines w:val="0"/>
        <w:pageBreakBefore w:val="0"/>
        <w:widowControl w:val="0"/>
        <w:kinsoku/>
        <w:wordWrap/>
        <w:overflowPunct/>
        <w:topLinePunct w:val="0"/>
        <w:autoSpaceDE/>
        <w:autoSpaceDN/>
        <w:bidi w:val="0"/>
        <w:adjustRightInd/>
        <w:snapToGrid/>
        <w:spacing w:line="240" w:lineRule="auto"/>
        <w:ind w:leftChars="0" w:firstLine="640" w:firstLineChars="200"/>
        <w:textAlignment w:val="auto"/>
        <w:outlineLvl w:val="1"/>
        <w:rPr>
          <w:rFonts w:hint="default" w:ascii="Times New Roman" w:hAnsi="Times New Roman" w:eastAsia="方正仿宋_GBK" w:cs="Times New Roman"/>
          <w:b w:val="0"/>
          <w:bCs/>
          <w:sz w:val="32"/>
          <w:szCs w:val="32"/>
          <w:highlight w:val="none"/>
          <w:lang w:val="en-US" w:eastAsia="zh-CN"/>
        </w:rPr>
      </w:pPr>
      <w:r>
        <w:rPr>
          <w:rFonts w:hint="eastAsia" w:eastAsia="方正仿宋_GBK" w:cs="Times New Roman"/>
          <w:b w:val="0"/>
          <w:bCs/>
          <w:sz w:val="32"/>
          <w:szCs w:val="32"/>
          <w:highlight w:val="none"/>
          <w:lang w:val="en-US" w:eastAsia="zh-CN"/>
        </w:rPr>
        <w:t>27.</w:t>
      </w:r>
      <w:r>
        <w:rPr>
          <w:rFonts w:hint="default" w:ascii="Times New Roman" w:hAnsi="Times New Roman" w:eastAsia="方正仿宋_GBK" w:cs="Times New Roman"/>
          <w:b w:val="0"/>
          <w:bCs/>
          <w:sz w:val="32"/>
          <w:szCs w:val="32"/>
          <w:highlight w:val="none"/>
          <w:lang w:val="en-US" w:eastAsia="zh-CN"/>
        </w:rPr>
        <w:t>卫生健康支出210（类）行政事业单位医疗11（款）公务员医疗补助03（项）:支出决算为</w:t>
      </w:r>
      <w:r>
        <w:rPr>
          <w:rFonts w:hint="eastAsia" w:eastAsia="方正仿宋_GBK" w:cs="Times New Roman"/>
          <w:b w:val="0"/>
          <w:bCs/>
          <w:sz w:val="32"/>
          <w:szCs w:val="32"/>
          <w:highlight w:val="none"/>
          <w:lang w:val="en-US" w:eastAsia="zh-CN"/>
        </w:rPr>
        <w:t>2.16</w:t>
      </w:r>
      <w:r>
        <w:rPr>
          <w:rFonts w:hint="default" w:ascii="Times New Roman" w:hAnsi="Times New Roman" w:eastAsia="方正仿宋_GBK" w:cs="Times New Roman"/>
          <w:b w:val="0"/>
          <w:bCs/>
          <w:sz w:val="32"/>
          <w:szCs w:val="32"/>
          <w:highlight w:val="none"/>
          <w:lang w:val="en-US" w:eastAsia="zh-CN"/>
        </w:rPr>
        <w:t>万元，完成预算100%，决算数等于预算数的主要原因是，收支平衡。</w:t>
      </w:r>
    </w:p>
    <w:p>
      <w:pPr>
        <w:keepNext w:val="0"/>
        <w:keepLines w:val="0"/>
        <w:pageBreakBefore w:val="0"/>
        <w:widowControl w:val="0"/>
        <w:kinsoku/>
        <w:wordWrap/>
        <w:overflowPunct/>
        <w:topLinePunct w:val="0"/>
        <w:autoSpaceDE/>
        <w:autoSpaceDN/>
        <w:bidi w:val="0"/>
        <w:adjustRightInd/>
        <w:snapToGrid/>
        <w:spacing w:line="240" w:lineRule="auto"/>
        <w:ind w:leftChars="0" w:firstLine="640" w:firstLineChars="200"/>
        <w:textAlignment w:val="auto"/>
        <w:outlineLvl w:val="1"/>
        <w:rPr>
          <w:rFonts w:hint="default" w:ascii="Times New Roman" w:hAnsi="Times New Roman" w:eastAsia="方正仿宋_GBK" w:cs="Times New Roman"/>
          <w:b w:val="0"/>
          <w:bCs/>
          <w:sz w:val="32"/>
          <w:szCs w:val="32"/>
          <w:highlight w:val="none"/>
          <w:lang w:val="en-US" w:eastAsia="zh-CN"/>
        </w:rPr>
      </w:pPr>
      <w:r>
        <w:rPr>
          <w:rFonts w:hint="eastAsia" w:eastAsia="方正仿宋_GBK" w:cs="Times New Roman"/>
          <w:b w:val="0"/>
          <w:bCs/>
          <w:sz w:val="32"/>
          <w:szCs w:val="32"/>
          <w:highlight w:val="none"/>
          <w:lang w:val="en-US" w:eastAsia="zh-CN"/>
        </w:rPr>
        <w:t>28.</w:t>
      </w:r>
      <w:r>
        <w:rPr>
          <w:rFonts w:hint="default" w:ascii="Times New Roman" w:hAnsi="Times New Roman" w:eastAsia="方正仿宋_GBK" w:cs="Times New Roman"/>
          <w:b w:val="0"/>
          <w:bCs/>
          <w:sz w:val="32"/>
          <w:szCs w:val="32"/>
          <w:highlight w:val="none"/>
          <w:lang w:val="en-US" w:eastAsia="zh-CN"/>
        </w:rPr>
        <w:t>卫生健康支出210（类）行政事业单位医疗11（款）其他行政事业单位医疗支出99（项）:支出决算为</w:t>
      </w:r>
      <w:r>
        <w:rPr>
          <w:rFonts w:hint="eastAsia" w:eastAsia="方正仿宋_GBK" w:cs="Times New Roman"/>
          <w:b w:val="0"/>
          <w:bCs/>
          <w:sz w:val="32"/>
          <w:szCs w:val="32"/>
          <w:highlight w:val="none"/>
          <w:lang w:val="en-US" w:eastAsia="zh-CN"/>
        </w:rPr>
        <w:t>19.58</w:t>
      </w:r>
      <w:r>
        <w:rPr>
          <w:rFonts w:hint="default" w:ascii="Times New Roman" w:hAnsi="Times New Roman" w:eastAsia="方正仿宋_GBK" w:cs="Times New Roman"/>
          <w:b w:val="0"/>
          <w:bCs/>
          <w:sz w:val="32"/>
          <w:szCs w:val="32"/>
          <w:highlight w:val="none"/>
          <w:lang w:val="en-US" w:eastAsia="zh-CN"/>
        </w:rPr>
        <w:t>万元，完成预算100%，决算数等于预算数的主要原因是，收支平衡。</w:t>
      </w:r>
    </w:p>
    <w:p>
      <w:pPr>
        <w:keepNext w:val="0"/>
        <w:keepLines w:val="0"/>
        <w:pageBreakBefore w:val="0"/>
        <w:widowControl w:val="0"/>
        <w:kinsoku/>
        <w:wordWrap/>
        <w:overflowPunct/>
        <w:topLinePunct w:val="0"/>
        <w:autoSpaceDE/>
        <w:autoSpaceDN/>
        <w:bidi w:val="0"/>
        <w:adjustRightInd/>
        <w:snapToGrid/>
        <w:spacing w:line="240" w:lineRule="auto"/>
        <w:ind w:leftChars="0" w:firstLine="640" w:firstLineChars="200"/>
        <w:textAlignment w:val="auto"/>
        <w:outlineLvl w:val="1"/>
        <w:rPr>
          <w:rFonts w:hint="default" w:ascii="Times New Roman" w:hAnsi="Times New Roman" w:eastAsia="方正仿宋_GBK" w:cs="Times New Roman"/>
          <w:b w:val="0"/>
          <w:bCs/>
          <w:sz w:val="32"/>
          <w:szCs w:val="32"/>
          <w:highlight w:val="none"/>
          <w:lang w:val="en-US" w:eastAsia="zh-CN"/>
        </w:rPr>
      </w:pPr>
      <w:r>
        <w:rPr>
          <w:rFonts w:hint="eastAsia" w:eastAsia="方正仿宋_GBK" w:cs="Times New Roman"/>
          <w:b w:val="0"/>
          <w:bCs/>
          <w:sz w:val="32"/>
          <w:szCs w:val="32"/>
          <w:highlight w:val="none"/>
          <w:lang w:val="en-US" w:eastAsia="zh-CN"/>
        </w:rPr>
        <w:t>29.</w:t>
      </w:r>
      <w:r>
        <w:rPr>
          <w:rFonts w:hint="default" w:ascii="Times New Roman" w:hAnsi="Times New Roman" w:eastAsia="方正仿宋_GBK" w:cs="Times New Roman"/>
          <w:b w:val="0"/>
          <w:bCs/>
          <w:sz w:val="32"/>
          <w:szCs w:val="32"/>
          <w:highlight w:val="none"/>
          <w:lang w:val="en-US" w:eastAsia="zh-CN"/>
        </w:rPr>
        <w:t>节能环保支出211（类）污染防治03（款）其他污染防治支出99（项）：支出决算为</w:t>
      </w:r>
      <w:r>
        <w:rPr>
          <w:rFonts w:hint="eastAsia" w:eastAsia="方正仿宋_GBK" w:cs="Times New Roman"/>
          <w:b w:val="0"/>
          <w:bCs/>
          <w:sz w:val="32"/>
          <w:szCs w:val="32"/>
          <w:highlight w:val="none"/>
          <w:lang w:val="en-US" w:eastAsia="zh-CN"/>
        </w:rPr>
        <w:t>5.85</w:t>
      </w:r>
      <w:r>
        <w:rPr>
          <w:rFonts w:hint="default" w:ascii="Times New Roman" w:hAnsi="Times New Roman" w:eastAsia="方正仿宋_GBK" w:cs="Times New Roman"/>
          <w:b w:val="0"/>
          <w:bCs/>
          <w:sz w:val="32"/>
          <w:szCs w:val="32"/>
          <w:highlight w:val="none"/>
          <w:lang w:val="en-US" w:eastAsia="zh-CN"/>
        </w:rPr>
        <w:t>万元，完成预算100%，决算数等于预算数的主要原因是，收支平衡。</w:t>
      </w:r>
    </w:p>
    <w:p>
      <w:pPr>
        <w:keepNext w:val="0"/>
        <w:keepLines w:val="0"/>
        <w:pageBreakBefore w:val="0"/>
        <w:widowControl w:val="0"/>
        <w:kinsoku/>
        <w:wordWrap/>
        <w:overflowPunct/>
        <w:topLinePunct w:val="0"/>
        <w:autoSpaceDE/>
        <w:autoSpaceDN/>
        <w:bidi w:val="0"/>
        <w:adjustRightInd/>
        <w:snapToGrid/>
        <w:spacing w:line="240" w:lineRule="auto"/>
        <w:ind w:leftChars="0" w:firstLine="640" w:firstLineChars="200"/>
        <w:textAlignment w:val="auto"/>
        <w:outlineLvl w:val="1"/>
        <w:rPr>
          <w:rFonts w:hint="default"/>
          <w:lang w:val="en-US" w:eastAsia="zh-CN"/>
        </w:rPr>
      </w:pPr>
      <w:r>
        <w:rPr>
          <w:rFonts w:hint="eastAsia" w:eastAsia="方正仿宋_GBK" w:cs="Times New Roman"/>
          <w:b w:val="0"/>
          <w:bCs/>
          <w:sz w:val="32"/>
          <w:szCs w:val="32"/>
          <w:highlight w:val="none"/>
          <w:lang w:val="en-US" w:eastAsia="zh-CN"/>
        </w:rPr>
        <w:t>30.</w:t>
      </w:r>
      <w:r>
        <w:rPr>
          <w:rFonts w:hint="default" w:ascii="Times New Roman" w:hAnsi="Times New Roman" w:eastAsia="方正仿宋_GBK" w:cs="Times New Roman"/>
          <w:b w:val="0"/>
          <w:bCs/>
          <w:sz w:val="32"/>
          <w:szCs w:val="32"/>
          <w:highlight w:val="none"/>
          <w:lang w:val="en-US" w:eastAsia="zh-CN"/>
        </w:rPr>
        <w:t>节能环保支出211（类）</w:t>
      </w:r>
      <w:r>
        <w:rPr>
          <w:rFonts w:hint="eastAsia" w:eastAsia="方正仿宋_GBK" w:cs="Times New Roman"/>
          <w:b w:val="0"/>
          <w:bCs/>
          <w:sz w:val="32"/>
          <w:szCs w:val="32"/>
          <w:highlight w:val="none"/>
          <w:lang w:val="en-US" w:eastAsia="zh-CN"/>
        </w:rPr>
        <w:t>其他节能环保支出99</w:t>
      </w:r>
      <w:r>
        <w:rPr>
          <w:rFonts w:hint="default" w:ascii="Times New Roman" w:hAnsi="Times New Roman" w:eastAsia="方正仿宋_GBK" w:cs="Times New Roman"/>
          <w:b w:val="0"/>
          <w:bCs/>
          <w:sz w:val="32"/>
          <w:szCs w:val="32"/>
          <w:highlight w:val="none"/>
          <w:lang w:val="en-US" w:eastAsia="zh-CN"/>
        </w:rPr>
        <w:t>（款）</w:t>
      </w:r>
      <w:r>
        <w:rPr>
          <w:rFonts w:hint="eastAsia" w:eastAsia="方正仿宋_GBK" w:cs="Times New Roman"/>
          <w:b w:val="0"/>
          <w:bCs/>
          <w:sz w:val="32"/>
          <w:szCs w:val="32"/>
          <w:highlight w:val="none"/>
          <w:lang w:val="en-US" w:eastAsia="zh-CN"/>
        </w:rPr>
        <w:t>其他节能环保支出</w:t>
      </w:r>
      <w:r>
        <w:rPr>
          <w:rFonts w:hint="default" w:ascii="Times New Roman" w:hAnsi="Times New Roman" w:eastAsia="方正仿宋_GBK" w:cs="Times New Roman"/>
          <w:b w:val="0"/>
          <w:bCs/>
          <w:sz w:val="32"/>
          <w:szCs w:val="32"/>
          <w:highlight w:val="none"/>
          <w:lang w:val="en-US" w:eastAsia="zh-CN"/>
        </w:rPr>
        <w:t>99（项）：支出决算为</w:t>
      </w:r>
      <w:r>
        <w:rPr>
          <w:rFonts w:hint="eastAsia" w:eastAsia="方正仿宋_GBK" w:cs="Times New Roman"/>
          <w:b w:val="0"/>
          <w:bCs/>
          <w:sz w:val="32"/>
          <w:szCs w:val="32"/>
          <w:highlight w:val="none"/>
          <w:lang w:val="en-US" w:eastAsia="zh-CN"/>
        </w:rPr>
        <w:t>14.05</w:t>
      </w:r>
      <w:r>
        <w:rPr>
          <w:rFonts w:hint="default" w:ascii="Times New Roman" w:hAnsi="Times New Roman" w:eastAsia="方正仿宋_GBK" w:cs="Times New Roman"/>
          <w:b w:val="0"/>
          <w:bCs/>
          <w:sz w:val="32"/>
          <w:szCs w:val="32"/>
          <w:highlight w:val="none"/>
          <w:lang w:val="en-US" w:eastAsia="zh-CN"/>
        </w:rPr>
        <w:t>万元，完成预算100%，决算数等于预算数的主要原因是，收支平衡。</w:t>
      </w:r>
    </w:p>
    <w:p>
      <w:pPr>
        <w:keepNext w:val="0"/>
        <w:keepLines w:val="0"/>
        <w:pageBreakBefore w:val="0"/>
        <w:widowControl w:val="0"/>
        <w:kinsoku/>
        <w:wordWrap/>
        <w:overflowPunct/>
        <w:topLinePunct w:val="0"/>
        <w:autoSpaceDE/>
        <w:autoSpaceDN/>
        <w:bidi w:val="0"/>
        <w:adjustRightInd/>
        <w:snapToGrid/>
        <w:spacing w:line="240" w:lineRule="auto"/>
        <w:ind w:leftChars="0" w:firstLine="640" w:firstLineChars="200"/>
        <w:textAlignment w:val="auto"/>
        <w:outlineLvl w:val="1"/>
        <w:rPr>
          <w:rFonts w:hint="default" w:ascii="Times New Roman" w:hAnsi="Times New Roman" w:eastAsia="方正仿宋_GBK" w:cs="Times New Roman"/>
          <w:b w:val="0"/>
          <w:bCs/>
          <w:sz w:val="32"/>
          <w:szCs w:val="32"/>
          <w:highlight w:val="none"/>
          <w:lang w:val="en-US" w:eastAsia="zh-CN"/>
        </w:rPr>
      </w:pPr>
      <w:r>
        <w:rPr>
          <w:rFonts w:hint="eastAsia" w:eastAsia="方正仿宋_GBK" w:cs="Times New Roman"/>
          <w:b w:val="0"/>
          <w:bCs/>
          <w:sz w:val="32"/>
          <w:szCs w:val="32"/>
          <w:highlight w:val="none"/>
          <w:lang w:val="en-US" w:eastAsia="zh-CN"/>
        </w:rPr>
        <w:t>31.</w:t>
      </w:r>
      <w:r>
        <w:rPr>
          <w:rFonts w:hint="default" w:ascii="Times New Roman" w:hAnsi="Times New Roman" w:eastAsia="方正仿宋_GBK" w:cs="Times New Roman"/>
          <w:b w:val="0"/>
          <w:bCs/>
          <w:sz w:val="32"/>
          <w:szCs w:val="32"/>
          <w:highlight w:val="none"/>
          <w:lang w:val="en-US" w:eastAsia="zh-CN"/>
        </w:rPr>
        <w:t>农林水支出213（类）农业农村01（款）事业运行04（项）：支出决算为</w:t>
      </w:r>
      <w:r>
        <w:rPr>
          <w:rFonts w:hint="eastAsia" w:eastAsia="方正仿宋_GBK" w:cs="Times New Roman"/>
          <w:b w:val="0"/>
          <w:bCs/>
          <w:sz w:val="32"/>
          <w:szCs w:val="32"/>
          <w:highlight w:val="none"/>
          <w:lang w:val="en-US" w:eastAsia="zh-CN"/>
        </w:rPr>
        <w:t>110.68</w:t>
      </w:r>
      <w:r>
        <w:rPr>
          <w:rFonts w:hint="default" w:ascii="Times New Roman" w:hAnsi="Times New Roman" w:eastAsia="方正仿宋_GBK" w:cs="Times New Roman"/>
          <w:b w:val="0"/>
          <w:bCs/>
          <w:sz w:val="32"/>
          <w:szCs w:val="32"/>
          <w:highlight w:val="none"/>
          <w:lang w:val="en-US" w:eastAsia="zh-CN"/>
        </w:rPr>
        <w:t>万元，完成预算100%，决算数等于预算数的主要原因是，收支平衡。</w:t>
      </w:r>
    </w:p>
    <w:p>
      <w:pPr>
        <w:keepNext w:val="0"/>
        <w:keepLines w:val="0"/>
        <w:pageBreakBefore w:val="0"/>
        <w:widowControl w:val="0"/>
        <w:kinsoku/>
        <w:wordWrap/>
        <w:overflowPunct/>
        <w:topLinePunct w:val="0"/>
        <w:autoSpaceDE/>
        <w:autoSpaceDN/>
        <w:bidi w:val="0"/>
        <w:adjustRightInd/>
        <w:snapToGrid/>
        <w:spacing w:line="240" w:lineRule="auto"/>
        <w:ind w:leftChars="0" w:firstLine="640" w:firstLineChars="200"/>
        <w:textAlignment w:val="auto"/>
        <w:outlineLvl w:val="1"/>
        <w:rPr>
          <w:rFonts w:hint="default"/>
          <w:lang w:val="en-US" w:eastAsia="zh-CN"/>
        </w:rPr>
      </w:pPr>
      <w:r>
        <w:rPr>
          <w:rFonts w:hint="eastAsia" w:eastAsia="方正仿宋_GBK" w:cs="Times New Roman"/>
          <w:b w:val="0"/>
          <w:bCs/>
          <w:sz w:val="32"/>
          <w:szCs w:val="32"/>
          <w:highlight w:val="none"/>
          <w:lang w:val="en-US" w:eastAsia="zh-CN"/>
        </w:rPr>
        <w:t>32.</w:t>
      </w:r>
      <w:r>
        <w:rPr>
          <w:rFonts w:hint="default" w:ascii="Times New Roman" w:hAnsi="Times New Roman" w:eastAsia="方正仿宋_GBK" w:cs="Times New Roman"/>
          <w:b w:val="0"/>
          <w:bCs/>
          <w:sz w:val="32"/>
          <w:szCs w:val="32"/>
          <w:highlight w:val="none"/>
          <w:lang w:val="en-US" w:eastAsia="zh-CN"/>
        </w:rPr>
        <w:t>农林水支出213（类）农业农村01（款）</w:t>
      </w:r>
      <w:r>
        <w:rPr>
          <w:rFonts w:hint="eastAsia" w:eastAsia="方正仿宋_GBK" w:cs="Times New Roman"/>
          <w:b w:val="0"/>
          <w:bCs/>
          <w:sz w:val="32"/>
          <w:szCs w:val="32"/>
          <w:highlight w:val="none"/>
          <w:lang w:val="en-US" w:eastAsia="zh-CN"/>
        </w:rPr>
        <w:t>其他农业农村支出99</w:t>
      </w:r>
      <w:r>
        <w:rPr>
          <w:rFonts w:hint="default" w:ascii="Times New Roman" w:hAnsi="Times New Roman" w:eastAsia="方正仿宋_GBK" w:cs="Times New Roman"/>
          <w:b w:val="0"/>
          <w:bCs/>
          <w:sz w:val="32"/>
          <w:szCs w:val="32"/>
          <w:highlight w:val="none"/>
          <w:lang w:val="en-US" w:eastAsia="zh-CN"/>
        </w:rPr>
        <w:t>（项）：支出决算为</w:t>
      </w:r>
      <w:r>
        <w:rPr>
          <w:rFonts w:hint="eastAsia" w:eastAsia="方正仿宋_GBK" w:cs="Times New Roman"/>
          <w:b w:val="0"/>
          <w:bCs/>
          <w:sz w:val="32"/>
          <w:szCs w:val="32"/>
          <w:highlight w:val="none"/>
          <w:lang w:val="en-US" w:eastAsia="zh-CN"/>
        </w:rPr>
        <w:t>5.97</w:t>
      </w:r>
      <w:r>
        <w:rPr>
          <w:rFonts w:hint="default" w:ascii="Times New Roman" w:hAnsi="Times New Roman" w:eastAsia="方正仿宋_GBK" w:cs="Times New Roman"/>
          <w:b w:val="0"/>
          <w:bCs/>
          <w:sz w:val="32"/>
          <w:szCs w:val="32"/>
          <w:highlight w:val="none"/>
          <w:lang w:val="en-US" w:eastAsia="zh-CN"/>
        </w:rPr>
        <w:t>万元，完成预算100%，决算数等于预算数的主要原因是，收支平衡。</w:t>
      </w:r>
    </w:p>
    <w:p>
      <w:pPr>
        <w:keepNext w:val="0"/>
        <w:keepLines w:val="0"/>
        <w:pageBreakBefore w:val="0"/>
        <w:widowControl w:val="0"/>
        <w:kinsoku/>
        <w:wordWrap/>
        <w:overflowPunct/>
        <w:topLinePunct w:val="0"/>
        <w:autoSpaceDE/>
        <w:autoSpaceDN/>
        <w:bidi w:val="0"/>
        <w:adjustRightInd/>
        <w:snapToGrid/>
        <w:spacing w:line="240" w:lineRule="auto"/>
        <w:ind w:leftChars="0" w:firstLine="640" w:firstLineChars="200"/>
        <w:textAlignment w:val="auto"/>
        <w:outlineLvl w:val="1"/>
        <w:rPr>
          <w:rFonts w:hint="default" w:ascii="Times New Roman" w:hAnsi="Times New Roman" w:eastAsia="方正仿宋_GBK" w:cs="Times New Roman"/>
          <w:b w:val="0"/>
          <w:bCs/>
          <w:sz w:val="32"/>
          <w:szCs w:val="32"/>
          <w:highlight w:val="none"/>
          <w:lang w:val="en-US" w:eastAsia="zh-CN"/>
        </w:rPr>
      </w:pPr>
      <w:r>
        <w:rPr>
          <w:rFonts w:hint="eastAsia" w:eastAsia="方正仿宋_GBK" w:cs="Times New Roman"/>
          <w:b w:val="0"/>
          <w:bCs/>
          <w:sz w:val="32"/>
          <w:szCs w:val="32"/>
          <w:highlight w:val="none"/>
          <w:lang w:val="en-US" w:eastAsia="zh-CN"/>
        </w:rPr>
        <w:t>33.</w:t>
      </w:r>
      <w:r>
        <w:rPr>
          <w:rFonts w:hint="default" w:ascii="Times New Roman" w:hAnsi="Times New Roman" w:eastAsia="方正仿宋_GBK" w:cs="Times New Roman"/>
          <w:b w:val="0"/>
          <w:bCs/>
          <w:sz w:val="32"/>
          <w:szCs w:val="32"/>
          <w:highlight w:val="none"/>
          <w:lang w:val="en-US" w:eastAsia="zh-CN"/>
        </w:rPr>
        <w:t>农林水支出213（类）林业和草原02（款）林业草原防灾减灾34（项）：支出决算为</w:t>
      </w:r>
      <w:r>
        <w:rPr>
          <w:rFonts w:hint="eastAsia" w:eastAsia="方正仿宋_GBK" w:cs="Times New Roman"/>
          <w:b w:val="0"/>
          <w:bCs/>
          <w:sz w:val="32"/>
          <w:szCs w:val="32"/>
          <w:highlight w:val="none"/>
          <w:lang w:val="en-US" w:eastAsia="zh-CN"/>
        </w:rPr>
        <w:t>24.00</w:t>
      </w:r>
      <w:r>
        <w:rPr>
          <w:rFonts w:hint="default" w:ascii="Times New Roman" w:hAnsi="Times New Roman" w:eastAsia="方正仿宋_GBK" w:cs="Times New Roman"/>
          <w:b w:val="0"/>
          <w:bCs/>
          <w:sz w:val="32"/>
          <w:szCs w:val="32"/>
          <w:highlight w:val="none"/>
          <w:lang w:val="en-US" w:eastAsia="zh-CN"/>
        </w:rPr>
        <w:t>万元，完成预算100%，决算数等于预算数的主要原因是，收支平衡。</w:t>
      </w:r>
    </w:p>
    <w:p>
      <w:pPr>
        <w:keepNext w:val="0"/>
        <w:keepLines w:val="0"/>
        <w:pageBreakBefore w:val="0"/>
        <w:widowControl w:val="0"/>
        <w:kinsoku/>
        <w:wordWrap/>
        <w:overflowPunct/>
        <w:topLinePunct w:val="0"/>
        <w:autoSpaceDE/>
        <w:autoSpaceDN/>
        <w:bidi w:val="0"/>
        <w:adjustRightInd/>
        <w:snapToGrid/>
        <w:spacing w:line="240" w:lineRule="auto"/>
        <w:ind w:leftChars="0" w:firstLine="640" w:firstLineChars="200"/>
        <w:textAlignment w:val="auto"/>
        <w:outlineLvl w:val="1"/>
        <w:rPr>
          <w:rFonts w:hint="default" w:ascii="Times New Roman" w:hAnsi="Times New Roman" w:eastAsia="方正仿宋_GBK" w:cs="Times New Roman"/>
          <w:b w:val="0"/>
          <w:bCs/>
          <w:sz w:val="32"/>
          <w:szCs w:val="32"/>
          <w:highlight w:val="none"/>
          <w:lang w:val="en-US" w:eastAsia="zh-CN"/>
        </w:rPr>
      </w:pPr>
      <w:r>
        <w:rPr>
          <w:rFonts w:hint="eastAsia" w:eastAsia="方正仿宋_GBK" w:cs="Times New Roman"/>
          <w:b w:val="0"/>
          <w:bCs/>
          <w:sz w:val="32"/>
          <w:szCs w:val="32"/>
          <w:highlight w:val="none"/>
          <w:lang w:val="en-US" w:eastAsia="zh-CN"/>
        </w:rPr>
        <w:t>34.</w:t>
      </w:r>
      <w:r>
        <w:rPr>
          <w:rFonts w:hint="default" w:ascii="Times New Roman" w:hAnsi="Times New Roman" w:eastAsia="方正仿宋_GBK" w:cs="Times New Roman"/>
          <w:b w:val="0"/>
          <w:bCs/>
          <w:sz w:val="32"/>
          <w:szCs w:val="32"/>
          <w:highlight w:val="none"/>
          <w:lang w:val="en-US" w:eastAsia="zh-CN"/>
        </w:rPr>
        <w:t>农林水支出213（类）水利03（款）</w:t>
      </w:r>
      <w:r>
        <w:rPr>
          <w:rFonts w:hint="eastAsia" w:eastAsia="方正仿宋_GBK" w:cs="Times New Roman"/>
          <w:b w:val="0"/>
          <w:bCs/>
          <w:sz w:val="32"/>
          <w:szCs w:val="32"/>
          <w:highlight w:val="none"/>
          <w:lang w:val="en-US" w:eastAsia="zh-CN"/>
        </w:rPr>
        <w:t>防汛14</w:t>
      </w:r>
      <w:r>
        <w:rPr>
          <w:rFonts w:hint="default" w:ascii="Times New Roman" w:hAnsi="Times New Roman" w:eastAsia="方正仿宋_GBK" w:cs="Times New Roman"/>
          <w:b w:val="0"/>
          <w:bCs/>
          <w:sz w:val="32"/>
          <w:szCs w:val="32"/>
          <w:highlight w:val="none"/>
          <w:lang w:val="en-US" w:eastAsia="zh-CN"/>
        </w:rPr>
        <w:t>（项）：支出决算为</w:t>
      </w:r>
      <w:r>
        <w:rPr>
          <w:rFonts w:hint="eastAsia" w:eastAsia="方正仿宋_GBK" w:cs="Times New Roman"/>
          <w:b w:val="0"/>
          <w:bCs/>
          <w:sz w:val="32"/>
          <w:szCs w:val="32"/>
          <w:highlight w:val="none"/>
          <w:lang w:val="en-US" w:eastAsia="zh-CN"/>
        </w:rPr>
        <w:t>104.00</w:t>
      </w:r>
      <w:r>
        <w:rPr>
          <w:rFonts w:hint="default" w:ascii="Times New Roman" w:hAnsi="Times New Roman" w:eastAsia="方正仿宋_GBK" w:cs="Times New Roman"/>
          <w:b w:val="0"/>
          <w:bCs/>
          <w:sz w:val="32"/>
          <w:szCs w:val="32"/>
          <w:highlight w:val="none"/>
          <w:lang w:val="en-US" w:eastAsia="zh-CN"/>
        </w:rPr>
        <w:t>万元，完成预算100%，决算数等于预算数的主要原因是，收支平衡。</w:t>
      </w:r>
    </w:p>
    <w:p>
      <w:pPr>
        <w:keepNext w:val="0"/>
        <w:keepLines w:val="0"/>
        <w:pageBreakBefore w:val="0"/>
        <w:widowControl w:val="0"/>
        <w:kinsoku/>
        <w:wordWrap/>
        <w:overflowPunct/>
        <w:topLinePunct w:val="0"/>
        <w:autoSpaceDE/>
        <w:autoSpaceDN/>
        <w:bidi w:val="0"/>
        <w:adjustRightInd/>
        <w:snapToGrid/>
        <w:spacing w:line="240" w:lineRule="auto"/>
        <w:ind w:leftChars="0" w:firstLine="640" w:firstLineChars="200"/>
        <w:textAlignment w:val="auto"/>
        <w:outlineLvl w:val="1"/>
        <w:rPr>
          <w:rFonts w:hint="default" w:ascii="Times New Roman" w:hAnsi="Times New Roman" w:eastAsia="方正仿宋_GBK" w:cs="Times New Roman"/>
          <w:b w:val="0"/>
          <w:bCs/>
          <w:sz w:val="32"/>
          <w:szCs w:val="32"/>
          <w:highlight w:val="none"/>
          <w:lang w:val="en-US" w:eastAsia="zh-CN"/>
        </w:rPr>
      </w:pPr>
      <w:r>
        <w:rPr>
          <w:rFonts w:hint="eastAsia" w:eastAsia="方正仿宋_GBK" w:cs="Times New Roman"/>
          <w:b w:val="0"/>
          <w:bCs/>
          <w:sz w:val="32"/>
          <w:szCs w:val="32"/>
          <w:highlight w:val="none"/>
          <w:lang w:val="en-US" w:eastAsia="zh-CN"/>
        </w:rPr>
        <w:t>35.</w:t>
      </w:r>
      <w:r>
        <w:rPr>
          <w:rFonts w:hint="default" w:ascii="Times New Roman" w:hAnsi="Times New Roman" w:eastAsia="方正仿宋_GBK" w:cs="Times New Roman"/>
          <w:b w:val="0"/>
          <w:bCs/>
          <w:sz w:val="32"/>
          <w:szCs w:val="32"/>
          <w:highlight w:val="none"/>
          <w:lang w:val="en-US" w:eastAsia="zh-CN"/>
        </w:rPr>
        <w:t>农林水支出213（类）</w:t>
      </w:r>
      <w:r>
        <w:rPr>
          <w:rFonts w:hint="eastAsia" w:eastAsia="方正仿宋_GBK" w:cs="Times New Roman"/>
          <w:b w:val="0"/>
          <w:bCs/>
          <w:sz w:val="32"/>
          <w:szCs w:val="32"/>
          <w:highlight w:val="none"/>
          <w:lang w:val="en-US" w:eastAsia="zh-CN"/>
        </w:rPr>
        <w:t>巩固脱贫攻坚成果衔接乡村振兴</w:t>
      </w:r>
      <w:r>
        <w:rPr>
          <w:rFonts w:hint="default" w:ascii="Times New Roman" w:hAnsi="Times New Roman" w:eastAsia="方正仿宋_GBK" w:cs="Times New Roman"/>
          <w:b w:val="0"/>
          <w:bCs/>
          <w:sz w:val="32"/>
          <w:szCs w:val="32"/>
          <w:highlight w:val="none"/>
          <w:lang w:val="en-US" w:eastAsia="zh-CN"/>
        </w:rPr>
        <w:t>0</w:t>
      </w:r>
      <w:r>
        <w:rPr>
          <w:rFonts w:hint="eastAsia" w:eastAsia="方正仿宋_GBK" w:cs="Times New Roman"/>
          <w:b w:val="0"/>
          <w:bCs/>
          <w:sz w:val="32"/>
          <w:szCs w:val="32"/>
          <w:highlight w:val="none"/>
          <w:lang w:val="en-US" w:eastAsia="zh-CN"/>
        </w:rPr>
        <w:t>5</w:t>
      </w:r>
      <w:r>
        <w:rPr>
          <w:rFonts w:hint="default" w:ascii="Times New Roman" w:hAnsi="Times New Roman" w:eastAsia="方正仿宋_GBK" w:cs="Times New Roman"/>
          <w:b w:val="0"/>
          <w:bCs/>
          <w:sz w:val="32"/>
          <w:szCs w:val="32"/>
          <w:highlight w:val="none"/>
          <w:lang w:val="en-US" w:eastAsia="zh-CN"/>
        </w:rPr>
        <w:t>（款）</w:t>
      </w:r>
      <w:r>
        <w:rPr>
          <w:rFonts w:hint="eastAsia" w:eastAsia="方正仿宋_GBK" w:cs="Times New Roman"/>
          <w:b w:val="0"/>
          <w:bCs/>
          <w:sz w:val="32"/>
          <w:szCs w:val="32"/>
          <w:highlight w:val="none"/>
          <w:lang w:val="en-US" w:eastAsia="zh-CN"/>
        </w:rPr>
        <w:t>其他巩固脱贫攻坚成果衔接乡村振兴支出99</w:t>
      </w:r>
      <w:r>
        <w:rPr>
          <w:rFonts w:hint="default" w:ascii="Times New Roman" w:hAnsi="Times New Roman" w:eastAsia="方正仿宋_GBK" w:cs="Times New Roman"/>
          <w:b w:val="0"/>
          <w:bCs/>
          <w:sz w:val="32"/>
          <w:szCs w:val="32"/>
          <w:highlight w:val="none"/>
          <w:lang w:val="en-US" w:eastAsia="zh-CN"/>
        </w:rPr>
        <w:t>（项）：支出决算为</w:t>
      </w:r>
      <w:r>
        <w:rPr>
          <w:rFonts w:hint="eastAsia" w:eastAsia="方正仿宋_GBK" w:cs="Times New Roman"/>
          <w:b w:val="0"/>
          <w:bCs/>
          <w:sz w:val="32"/>
          <w:szCs w:val="32"/>
          <w:highlight w:val="none"/>
          <w:lang w:val="en-US" w:eastAsia="zh-CN"/>
        </w:rPr>
        <w:t>16.40</w:t>
      </w:r>
      <w:r>
        <w:rPr>
          <w:rFonts w:hint="default" w:ascii="Times New Roman" w:hAnsi="Times New Roman" w:eastAsia="方正仿宋_GBK" w:cs="Times New Roman"/>
          <w:b w:val="0"/>
          <w:bCs/>
          <w:sz w:val="32"/>
          <w:szCs w:val="32"/>
          <w:highlight w:val="none"/>
          <w:lang w:val="en-US" w:eastAsia="zh-CN"/>
        </w:rPr>
        <w:t>万元，完成预算100%，决算数等于预算数的主要原因是，收支平衡。</w:t>
      </w:r>
    </w:p>
    <w:p>
      <w:pPr>
        <w:keepNext w:val="0"/>
        <w:keepLines w:val="0"/>
        <w:pageBreakBefore w:val="0"/>
        <w:widowControl w:val="0"/>
        <w:kinsoku/>
        <w:wordWrap/>
        <w:overflowPunct/>
        <w:topLinePunct w:val="0"/>
        <w:autoSpaceDE/>
        <w:autoSpaceDN/>
        <w:bidi w:val="0"/>
        <w:adjustRightInd/>
        <w:snapToGrid/>
        <w:spacing w:line="240" w:lineRule="auto"/>
        <w:ind w:leftChars="0" w:firstLine="640" w:firstLineChars="200"/>
        <w:textAlignment w:val="auto"/>
        <w:outlineLvl w:val="1"/>
        <w:rPr>
          <w:rFonts w:hint="default" w:eastAsia="方正仿宋_GBK" w:cs="Times New Roman"/>
          <w:b w:val="0"/>
          <w:bCs/>
          <w:sz w:val="32"/>
          <w:szCs w:val="32"/>
          <w:highlight w:val="none"/>
          <w:lang w:val="en-US" w:eastAsia="zh-CN"/>
        </w:rPr>
      </w:pPr>
      <w:r>
        <w:rPr>
          <w:rFonts w:hint="eastAsia" w:eastAsia="方正仿宋_GBK" w:cs="Times New Roman"/>
          <w:b w:val="0"/>
          <w:bCs/>
          <w:sz w:val="32"/>
          <w:szCs w:val="32"/>
          <w:highlight w:val="none"/>
          <w:lang w:val="en-US" w:eastAsia="zh-CN"/>
        </w:rPr>
        <w:t>36.</w:t>
      </w:r>
      <w:r>
        <w:rPr>
          <w:rFonts w:hint="default" w:eastAsia="方正仿宋_GBK" w:cs="Times New Roman"/>
          <w:b w:val="0"/>
          <w:bCs/>
          <w:sz w:val="32"/>
          <w:szCs w:val="32"/>
          <w:highlight w:val="none"/>
          <w:lang w:val="en-US" w:eastAsia="zh-CN"/>
        </w:rPr>
        <w:t>农林水支出213（类）农村综合改革07（款）对村民委员会和村党支部的补助05（项）：支出决算为</w:t>
      </w:r>
      <w:r>
        <w:rPr>
          <w:rFonts w:hint="eastAsia" w:eastAsia="方正仿宋_GBK" w:cs="Times New Roman"/>
          <w:b w:val="0"/>
          <w:bCs/>
          <w:sz w:val="32"/>
          <w:szCs w:val="32"/>
          <w:highlight w:val="none"/>
          <w:lang w:val="en-US" w:eastAsia="zh-CN"/>
        </w:rPr>
        <w:t>145.25</w:t>
      </w:r>
      <w:r>
        <w:rPr>
          <w:rFonts w:hint="default" w:eastAsia="方正仿宋_GBK" w:cs="Times New Roman"/>
          <w:b w:val="0"/>
          <w:bCs/>
          <w:sz w:val="32"/>
          <w:szCs w:val="32"/>
          <w:highlight w:val="none"/>
          <w:lang w:val="en-US" w:eastAsia="zh-CN"/>
        </w:rPr>
        <w:t>万元，完成预算100%，决算数等于预算数的主要原因是，收支平衡。</w:t>
      </w:r>
    </w:p>
    <w:p>
      <w:pPr>
        <w:keepNext w:val="0"/>
        <w:keepLines w:val="0"/>
        <w:pageBreakBefore w:val="0"/>
        <w:widowControl w:val="0"/>
        <w:kinsoku/>
        <w:wordWrap/>
        <w:overflowPunct/>
        <w:topLinePunct w:val="0"/>
        <w:autoSpaceDE/>
        <w:autoSpaceDN/>
        <w:bidi w:val="0"/>
        <w:adjustRightInd/>
        <w:snapToGrid/>
        <w:spacing w:line="240" w:lineRule="auto"/>
        <w:ind w:leftChars="0" w:firstLine="640" w:firstLineChars="200"/>
        <w:textAlignment w:val="auto"/>
        <w:outlineLvl w:val="1"/>
        <w:rPr>
          <w:rFonts w:hint="default" w:ascii="Times New Roman" w:hAnsi="Times New Roman" w:eastAsia="方正仿宋_GBK" w:cs="Times New Roman"/>
          <w:b w:val="0"/>
          <w:bCs/>
          <w:sz w:val="32"/>
          <w:szCs w:val="32"/>
          <w:highlight w:val="none"/>
          <w:lang w:val="en-US" w:eastAsia="zh-CN"/>
        </w:rPr>
      </w:pPr>
      <w:r>
        <w:rPr>
          <w:rFonts w:hint="eastAsia" w:eastAsia="方正仿宋_GBK" w:cs="Times New Roman"/>
          <w:b w:val="0"/>
          <w:bCs/>
          <w:sz w:val="32"/>
          <w:szCs w:val="32"/>
          <w:highlight w:val="none"/>
          <w:lang w:val="en-US" w:eastAsia="zh-CN"/>
        </w:rPr>
        <w:t>37.</w:t>
      </w:r>
      <w:r>
        <w:rPr>
          <w:rFonts w:hint="default" w:ascii="Times New Roman" w:hAnsi="Times New Roman" w:eastAsia="方正仿宋_GBK" w:cs="Times New Roman"/>
          <w:b w:val="0"/>
          <w:bCs/>
          <w:sz w:val="32"/>
          <w:szCs w:val="32"/>
          <w:highlight w:val="none"/>
          <w:lang w:val="en-US" w:eastAsia="zh-CN"/>
        </w:rPr>
        <w:t>农林水支出213（类）其他农林水支出99（款）其他农林水支出99（项）：支出决算为</w:t>
      </w:r>
      <w:r>
        <w:rPr>
          <w:rFonts w:hint="eastAsia" w:eastAsia="方正仿宋_GBK" w:cs="Times New Roman"/>
          <w:b w:val="0"/>
          <w:bCs/>
          <w:sz w:val="32"/>
          <w:szCs w:val="32"/>
          <w:highlight w:val="none"/>
          <w:lang w:val="en-US" w:eastAsia="zh-CN"/>
        </w:rPr>
        <w:t>316.43</w:t>
      </w:r>
      <w:r>
        <w:rPr>
          <w:rFonts w:hint="default" w:ascii="Times New Roman" w:hAnsi="Times New Roman" w:eastAsia="方正仿宋_GBK" w:cs="Times New Roman"/>
          <w:b w:val="0"/>
          <w:bCs/>
          <w:sz w:val="32"/>
          <w:szCs w:val="32"/>
          <w:highlight w:val="none"/>
          <w:lang w:val="en-US" w:eastAsia="zh-CN"/>
        </w:rPr>
        <w:t>万元，完成预算100%，决算数等于预算数的主要原因是，收支平衡。</w:t>
      </w:r>
    </w:p>
    <w:p>
      <w:pPr>
        <w:keepNext w:val="0"/>
        <w:keepLines w:val="0"/>
        <w:pageBreakBefore w:val="0"/>
        <w:widowControl w:val="0"/>
        <w:kinsoku/>
        <w:wordWrap/>
        <w:overflowPunct/>
        <w:topLinePunct w:val="0"/>
        <w:autoSpaceDE/>
        <w:autoSpaceDN/>
        <w:bidi w:val="0"/>
        <w:adjustRightInd/>
        <w:snapToGrid/>
        <w:spacing w:line="240" w:lineRule="auto"/>
        <w:ind w:leftChars="0" w:firstLine="640" w:firstLineChars="200"/>
        <w:textAlignment w:val="auto"/>
        <w:outlineLvl w:val="1"/>
        <w:rPr>
          <w:rFonts w:hint="default" w:ascii="Times New Roman" w:hAnsi="Times New Roman" w:eastAsia="方正仿宋_GBK" w:cs="Times New Roman"/>
          <w:b w:val="0"/>
          <w:bCs/>
          <w:sz w:val="32"/>
          <w:szCs w:val="32"/>
          <w:highlight w:val="none"/>
          <w:lang w:val="en-US" w:eastAsia="zh-CN"/>
        </w:rPr>
      </w:pPr>
      <w:r>
        <w:rPr>
          <w:rFonts w:hint="eastAsia" w:eastAsia="方正仿宋_GBK" w:cs="Times New Roman"/>
          <w:b w:val="0"/>
          <w:bCs/>
          <w:sz w:val="32"/>
          <w:szCs w:val="32"/>
          <w:highlight w:val="none"/>
          <w:lang w:val="en-US" w:eastAsia="zh-CN"/>
        </w:rPr>
        <w:t>38.</w:t>
      </w:r>
      <w:r>
        <w:rPr>
          <w:rFonts w:hint="default" w:ascii="Times New Roman" w:hAnsi="Times New Roman" w:eastAsia="方正仿宋_GBK" w:cs="Times New Roman"/>
          <w:b w:val="0"/>
          <w:bCs/>
          <w:sz w:val="32"/>
          <w:szCs w:val="32"/>
          <w:highlight w:val="none"/>
          <w:lang w:val="en-US" w:eastAsia="zh-CN"/>
        </w:rPr>
        <w:t>住房保障支出221（类）住房改革支出02（款）住房公积金01（项）：支出决算为</w:t>
      </w:r>
      <w:r>
        <w:rPr>
          <w:rFonts w:hint="eastAsia" w:eastAsia="方正仿宋_GBK" w:cs="Times New Roman"/>
          <w:b w:val="0"/>
          <w:bCs/>
          <w:sz w:val="32"/>
          <w:szCs w:val="32"/>
          <w:highlight w:val="none"/>
          <w:lang w:val="en-US" w:eastAsia="zh-CN"/>
        </w:rPr>
        <w:t>56.44</w:t>
      </w:r>
      <w:r>
        <w:rPr>
          <w:rFonts w:hint="default" w:ascii="Times New Roman" w:hAnsi="Times New Roman" w:eastAsia="方正仿宋_GBK" w:cs="Times New Roman"/>
          <w:b w:val="0"/>
          <w:bCs/>
          <w:sz w:val="32"/>
          <w:szCs w:val="32"/>
          <w:highlight w:val="none"/>
          <w:lang w:val="en-US" w:eastAsia="zh-CN"/>
        </w:rPr>
        <w:t>万元，完成预算100%，决算数等于预算数的主要原因是，收支平衡。</w:t>
      </w:r>
    </w:p>
    <w:p>
      <w:pPr>
        <w:keepNext w:val="0"/>
        <w:keepLines w:val="0"/>
        <w:pageBreakBefore w:val="0"/>
        <w:widowControl w:val="0"/>
        <w:tabs>
          <w:tab w:val="right" w:pos="8306"/>
        </w:tabs>
        <w:kinsoku/>
        <w:wordWrap/>
        <w:overflowPunct/>
        <w:topLinePunct w:val="0"/>
        <w:autoSpaceDE/>
        <w:autoSpaceDN/>
        <w:bidi w:val="0"/>
        <w:adjustRightInd/>
        <w:snapToGrid/>
        <w:spacing w:line="240" w:lineRule="auto"/>
        <w:ind w:firstLine="640" w:firstLineChars="200"/>
        <w:textAlignment w:val="auto"/>
        <w:outlineLvl w:val="1"/>
        <w:rPr>
          <w:rStyle w:val="31"/>
          <w:rFonts w:hint="default" w:ascii="Times New Roman" w:hAnsi="Times New Roman" w:cs="Times New Roman"/>
        </w:rPr>
      </w:pPr>
      <w:bookmarkStart w:id="34" w:name="_Toc24955_WPSOffice_Level2"/>
      <w:bookmarkStart w:id="35" w:name="_Toc15396608"/>
      <w:bookmarkStart w:id="36" w:name="_Toc15377214"/>
      <w:r>
        <w:rPr>
          <w:rFonts w:hint="default" w:ascii="Times New Roman" w:hAnsi="Times New Roman" w:eastAsia="方正黑体_GBK" w:cs="Times New Roman"/>
          <w:sz w:val="32"/>
          <w:szCs w:val="32"/>
        </w:rPr>
        <w:t>六</w:t>
      </w:r>
      <w:r>
        <w:rPr>
          <w:rFonts w:hint="default" w:ascii="Times New Roman" w:hAnsi="Times New Roman" w:eastAsia="方正黑体_GBK" w:cs="Times New Roman"/>
          <w:b/>
          <w:sz w:val="32"/>
          <w:szCs w:val="32"/>
        </w:rPr>
        <w:t>、一</w:t>
      </w:r>
      <w:r>
        <w:rPr>
          <w:rStyle w:val="31"/>
          <w:rFonts w:hint="default" w:ascii="Times New Roman" w:hAnsi="Times New Roman" w:eastAsia="方正黑体_GBK" w:cs="Times New Roman"/>
          <w:b w:val="0"/>
        </w:rPr>
        <w:t>般公共预算财政拨款基本支出决算情况说明</w:t>
      </w:r>
      <w:bookmarkEnd w:id="34"/>
      <w:bookmarkEnd w:id="35"/>
      <w:bookmarkEnd w:id="36"/>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202</w:t>
      </w:r>
      <w:r>
        <w:rPr>
          <w:rFonts w:hint="default"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rPr>
        <w:t>年度一般公共预算财政拨款基本支出</w:t>
      </w:r>
      <w:r>
        <w:rPr>
          <w:rFonts w:hint="eastAsia" w:eastAsia="方正仿宋_GBK" w:cs="Times New Roman"/>
          <w:sz w:val="32"/>
          <w:szCs w:val="32"/>
          <w:lang w:val="en-US" w:eastAsia="zh-CN"/>
        </w:rPr>
        <w:t>933.44</w:t>
      </w:r>
      <w:r>
        <w:rPr>
          <w:rFonts w:hint="default" w:ascii="Times New Roman" w:hAnsi="Times New Roman" w:eastAsia="方正仿宋_GBK" w:cs="Times New Roman"/>
          <w:sz w:val="32"/>
          <w:szCs w:val="32"/>
        </w:rPr>
        <w:t>万元，其中：</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outlineLvl w:val="1"/>
        <w:rPr>
          <w:rFonts w:hint="default" w:ascii="Times New Roman" w:hAnsi="Times New Roman" w:eastAsia="方正仿宋_GBK" w:cs="Times New Roman"/>
          <w:b w:val="0"/>
          <w:bCs/>
          <w:kern w:val="0"/>
          <w:sz w:val="32"/>
          <w:szCs w:val="32"/>
          <w:highlight w:val="none"/>
          <w:u w:val="none"/>
          <w:lang w:val="en-US" w:eastAsia="zh-CN" w:bidi="ar-SA"/>
        </w:rPr>
      </w:pPr>
      <w:r>
        <w:rPr>
          <w:rFonts w:hint="default" w:ascii="Times New Roman" w:hAnsi="Times New Roman" w:eastAsia="方正仿宋_GBK" w:cs="Times New Roman"/>
          <w:b w:val="0"/>
          <w:bCs/>
          <w:kern w:val="0"/>
          <w:sz w:val="32"/>
          <w:szCs w:val="32"/>
          <w:highlight w:val="none"/>
          <w:u w:val="none"/>
          <w:lang w:val="en-US" w:eastAsia="zh-CN" w:bidi="ar-SA"/>
        </w:rPr>
        <w:t>人员经费814.29万元，主要包括：基本工资、津贴补贴、奖金、绩效工资、机关事业单位基本养老保险缴费、职业年金缴费、职工基本医疗保险缴费、公务员医疗补助缴费、其他社会保障缴费、住房公积金、医疗费、其他工资福利支出、生活补助、医疗费补助、其他对个人和家庭的补助支出等。</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outlineLvl w:val="1"/>
        <w:rPr>
          <w:rFonts w:hint="default" w:ascii="Times New Roman" w:hAnsi="Times New Roman" w:eastAsia="方正仿宋_GBK" w:cs="Times New Roman"/>
          <w:sz w:val="32"/>
          <w:szCs w:val="32"/>
        </w:rPr>
      </w:pPr>
      <w:r>
        <w:rPr>
          <w:rFonts w:hint="default" w:ascii="Times New Roman" w:hAnsi="Times New Roman" w:eastAsia="方正仿宋_GBK" w:cs="Times New Roman"/>
          <w:b w:val="0"/>
          <w:bCs/>
          <w:kern w:val="0"/>
          <w:sz w:val="32"/>
          <w:szCs w:val="32"/>
          <w:highlight w:val="none"/>
          <w:u w:val="none"/>
          <w:lang w:val="en-US" w:eastAsia="zh-CN" w:bidi="ar-SA"/>
        </w:rPr>
        <w:t>公用经费119.15万元，主要包括：办公费、电费、差旅费、维修（护）费、会议费、劳务费、委托业务费、工会经费、福利费、公务用车运行维护费、其他交通费、其他商品和服务支出等。</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outlineLvl w:val="1"/>
        <w:rPr>
          <w:rStyle w:val="31"/>
          <w:rFonts w:hint="default" w:ascii="Times New Roman" w:hAnsi="Times New Roman" w:eastAsia="黑体" w:cs="Times New Roman"/>
          <w:b w:val="0"/>
        </w:rPr>
      </w:pPr>
      <w:bookmarkStart w:id="37" w:name="_Toc15396609"/>
      <w:bookmarkStart w:id="38" w:name="_Toc15377215"/>
      <w:bookmarkStart w:id="39" w:name="_Toc5729_WPSOffice_Level2"/>
      <w:r>
        <w:rPr>
          <w:rFonts w:hint="default" w:ascii="Times New Roman" w:hAnsi="Times New Roman" w:eastAsia="方正黑体_GBK" w:cs="Times New Roman"/>
          <w:sz w:val="32"/>
          <w:szCs w:val="32"/>
        </w:rPr>
        <w:t>七、</w:t>
      </w:r>
      <w:r>
        <w:rPr>
          <w:rStyle w:val="31"/>
          <w:rFonts w:hint="default" w:ascii="Times New Roman" w:hAnsi="Times New Roman" w:eastAsia="方正黑体_GBK" w:cs="Times New Roman"/>
          <w:b w:val="0"/>
        </w:rPr>
        <w:t>财政拨款</w:t>
      </w:r>
      <w:r>
        <w:rPr>
          <w:rStyle w:val="31"/>
          <w:rFonts w:hint="default" w:ascii="Times New Roman" w:hAnsi="Times New Roman" w:eastAsia="方正黑体_GBK" w:cs="Times New Roman"/>
        </w:rPr>
        <w:t>“</w:t>
      </w:r>
      <w:r>
        <w:rPr>
          <w:rStyle w:val="31"/>
          <w:rFonts w:hint="default" w:ascii="Times New Roman" w:hAnsi="Times New Roman" w:eastAsia="方正黑体_GBK" w:cs="Times New Roman"/>
          <w:b w:val="0"/>
        </w:rPr>
        <w:t>三公”经费支出决算情况说明</w:t>
      </w:r>
      <w:bookmarkEnd w:id="37"/>
      <w:bookmarkEnd w:id="38"/>
      <w:bookmarkEnd w:id="39"/>
    </w:p>
    <w:p>
      <w:pPr>
        <w:keepNext w:val="0"/>
        <w:keepLines w:val="0"/>
        <w:pageBreakBefore w:val="0"/>
        <w:widowControl w:val="0"/>
        <w:kinsoku/>
        <w:wordWrap/>
        <w:overflowPunct/>
        <w:topLinePunct w:val="0"/>
        <w:autoSpaceDE/>
        <w:autoSpaceDN/>
        <w:bidi w:val="0"/>
        <w:adjustRightInd/>
        <w:snapToGrid/>
        <w:spacing w:line="240" w:lineRule="auto"/>
        <w:ind w:firstLine="643" w:firstLineChars="200"/>
        <w:textAlignment w:val="auto"/>
        <w:outlineLvl w:val="2"/>
        <w:rPr>
          <w:rFonts w:hint="default" w:ascii="Times New Roman" w:hAnsi="Times New Roman" w:eastAsia="方正楷体_GBK" w:cs="Times New Roman"/>
          <w:b/>
          <w:sz w:val="32"/>
          <w:szCs w:val="32"/>
        </w:rPr>
      </w:pPr>
      <w:bookmarkStart w:id="40" w:name="_Toc15377216"/>
      <w:r>
        <w:rPr>
          <w:rFonts w:hint="default" w:ascii="Times New Roman" w:hAnsi="Times New Roman" w:eastAsia="方正楷体_GBK" w:cs="Times New Roman"/>
          <w:b/>
          <w:sz w:val="32"/>
          <w:szCs w:val="32"/>
        </w:rPr>
        <w:t>（一）“三公”经费财政拨款支出决算总体情况说明</w:t>
      </w:r>
      <w:bookmarkEnd w:id="40"/>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outlineLvl w:val="1"/>
        <w:rPr>
          <w:rFonts w:hint="default" w:ascii="Times New Roman" w:hAnsi="Times New Roman" w:eastAsia="方正仿宋_GBK" w:cs="Times New Roman"/>
          <w:b w:val="0"/>
          <w:bCs/>
          <w:kern w:val="0"/>
          <w:sz w:val="32"/>
          <w:szCs w:val="20"/>
          <w:highlight w:val="none"/>
          <w:u w:val="none"/>
          <w:lang w:val="en-US" w:eastAsia="zh-CN" w:bidi="ar-SA"/>
        </w:rPr>
      </w:pPr>
      <w:r>
        <w:rPr>
          <w:rFonts w:hint="default" w:ascii="Times New Roman" w:hAnsi="Times New Roman" w:eastAsia="方正仿宋_GBK" w:cs="Times New Roman"/>
          <w:sz w:val="32"/>
          <w:szCs w:val="32"/>
        </w:rPr>
        <w:t>202</w:t>
      </w:r>
      <w:r>
        <w:rPr>
          <w:rFonts w:hint="default"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rPr>
        <w:t>年度“三公”经费财政拨款支出决算为</w:t>
      </w:r>
      <w:r>
        <w:rPr>
          <w:rFonts w:hint="default" w:ascii="Times New Roman" w:hAnsi="Times New Roman" w:eastAsia="方正仿宋_GBK" w:cs="Times New Roman"/>
          <w:sz w:val="32"/>
          <w:szCs w:val="32"/>
          <w:lang w:val="en-US" w:eastAsia="zh-CN"/>
        </w:rPr>
        <w:t>5.71万</w:t>
      </w:r>
      <w:r>
        <w:rPr>
          <w:rFonts w:hint="default" w:ascii="Times New Roman" w:hAnsi="Times New Roman" w:eastAsia="方正仿宋_GBK" w:cs="Times New Roman"/>
          <w:sz w:val="32"/>
          <w:szCs w:val="32"/>
        </w:rPr>
        <w:t>元，完成预算</w:t>
      </w:r>
      <w:r>
        <w:rPr>
          <w:rFonts w:hint="default" w:ascii="Times New Roman" w:hAnsi="Times New Roman" w:eastAsia="方正仿宋_GBK" w:cs="Times New Roman"/>
          <w:sz w:val="32"/>
          <w:szCs w:val="32"/>
          <w:lang w:val="en-US" w:eastAsia="zh-CN"/>
        </w:rPr>
        <w:t>100</w:t>
      </w:r>
      <w:r>
        <w:rPr>
          <w:rFonts w:hint="default" w:ascii="Times New Roman" w:hAnsi="Times New Roman" w:eastAsia="方正仿宋_GBK" w:cs="Times New Roman"/>
          <w:sz w:val="32"/>
          <w:szCs w:val="32"/>
        </w:rPr>
        <w:t>%，较上年度</w:t>
      </w:r>
      <w:r>
        <w:rPr>
          <w:rFonts w:hint="default" w:ascii="Times New Roman" w:hAnsi="Times New Roman" w:eastAsia="方正仿宋_GBK" w:cs="Times New Roman"/>
          <w:sz w:val="32"/>
          <w:szCs w:val="32"/>
          <w:lang w:val="en-US" w:eastAsia="zh-CN"/>
        </w:rPr>
        <w:t>6.47万元</w:t>
      </w:r>
      <w:r>
        <w:rPr>
          <w:rFonts w:hint="default" w:ascii="Times New Roman" w:hAnsi="Times New Roman" w:eastAsia="方正仿宋_GBK" w:cs="Times New Roman"/>
          <w:sz w:val="32"/>
          <w:szCs w:val="32"/>
        </w:rPr>
        <w:t>减少</w:t>
      </w:r>
      <w:r>
        <w:rPr>
          <w:rFonts w:hint="default" w:ascii="Times New Roman" w:hAnsi="Times New Roman" w:eastAsia="方正仿宋_GBK" w:cs="Times New Roman"/>
          <w:sz w:val="32"/>
          <w:szCs w:val="32"/>
          <w:lang w:val="en-US" w:eastAsia="zh-CN"/>
        </w:rPr>
        <w:t>0.76</w:t>
      </w:r>
      <w:r>
        <w:rPr>
          <w:rFonts w:hint="default" w:ascii="Times New Roman" w:hAnsi="Times New Roman" w:eastAsia="方正仿宋_GBK" w:cs="Times New Roman"/>
          <w:sz w:val="32"/>
          <w:szCs w:val="32"/>
        </w:rPr>
        <w:t>万元，下降</w:t>
      </w:r>
      <w:r>
        <w:rPr>
          <w:rFonts w:hint="eastAsia" w:eastAsia="方正仿宋_GBK" w:cs="Times New Roman"/>
          <w:sz w:val="32"/>
          <w:szCs w:val="32"/>
          <w:lang w:val="en-US" w:eastAsia="zh-CN"/>
        </w:rPr>
        <w:t>11.75</w:t>
      </w:r>
      <w:r>
        <w:rPr>
          <w:rFonts w:hint="default" w:ascii="Times New Roman" w:hAnsi="Times New Roman" w:eastAsia="方正仿宋_GBK" w:cs="Times New Roman"/>
          <w:sz w:val="32"/>
          <w:szCs w:val="32"/>
        </w:rPr>
        <w:t>%。决算数与预算数持平</w:t>
      </w:r>
      <w:r>
        <w:rPr>
          <w:rFonts w:hint="default" w:ascii="Times New Roman" w:hAnsi="Times New Roman" w:eastAsia="方正仿宋_GBK" w:cs="Times New Roman"/>
          <w:b w:val="0"/>
          <w:bCs/>
          <w:kern w:val="0"/>
          <w:sz w:val="32"/>
          <w:szCs w:val="20"/>
          <w:highlight w:val="none"/>
          <w:u w:val="none"/>
          <w:lang w:val="en-US" w:eastAsia="zh-CN" w:bidi="ar-SA"/>
        </w:rPr>
        <w:t>。</w:t>
      </w:r>
    </w:p>
    <w:p>
      <w:pPr>
        <w:keepNext w:val="0"/>
        <w:keepLines w:val="0"/>
        <w:pageBreakBefore w:val="0"/>
        <w:widowControl w:val="0"/>
        <w:kinsoku/>
        <w:wordWrap/>
        <w:overflowPunct/>
        <w:topLinePunct w:val="0"/>
        <w:autoSpaceDE/>
        <w:autoSpaceDN/>
        <w:bidi w:val="0"/>
        <w:adjustRightInd/>
        <w:snapToGrid/>
        <w:spacing w:line="240" w:lineRule="auto"/>
        <w:ind w:firstLine="643" w:firstLineChars="200"/>
        <w:textAlignment w:val="auto"/>
        <w:outlineLvl w:val="2"/>
        <w:rPr>
          <w:rFonts w:hint="default" w:ascii="Times New Roman" w:hAnsi="Times New Roman" w:eastAsia="方正楷体_GBK" w:cs="Times New Roman"/>
          <w:b/>
          <w:sz w:val="32"/>
          <w:szCs w:val="32"/>
        </w:rPr>
      </w:pPr>
      <w:bookmarkStart w:id="41" w:name="_Toc15377217"/>
      <w:r>
        <w:rPr>
          <w:rFonts w:hint="default" w:ascii="Times New Roman" w:hAnsi="Times New Roman" w:eastAsia="方正楷体_GBK" w:cs="Times New Roman"/>
          <w:b/>
          <w:sz w:val="32"/>
          <w:szCs w:val="32"/>
        </w:rPr>
        <w:t>（二）“三公”经费财政拨款支出决算具体情况说明</w:t>
      </w:r>
      <w:bookmarkEnd w:id="41"/>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rPr>
        <w:t>202</w:t>
      </w:r>
      <w:r>
        <w:rPr>
          <w:rFonts w:hint="default"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rPr>
        <w:t>年度“三公”经费财政拨款支出决算中，因公出国（境）费支出决算</w:t>
      </w:r>
      <w:r>
        <w:rPr>
          <w:rFonts w:hint="default"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rPr>
        <w:t>万元，占</w:t>
      </w:r>
      <w:r>
        <w:rPr>
          <w:rFonts w:hint="default"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rPr>
        <w:t>%；公务用车购置及运行维护费支出决算</w:t>
      </w:r>
      <w:r>
        <w:rPr>
          <w:rFonts w:hint="default" w:ascii="Times New Roman" w:hAnsi="Times New Roman" w:eastAsia="方正仿宋_GBK" w:cs="Times New Roman"/>
          <w:sz w:val="32"/>
          <w:szCs w:val="32"/>
          <w:lang w:val="en-US" w:eastAsia="zh-CN"/>
        </w:rPr>
        <w:t>5.71</w:t>
      </w:r>
      <w:r>
        <w:rPr>
          <w:rFonts w:hint="default" w:ascii="Times New Roman" w:hAnsi="Times New Roman" w:eastAsia="方正仿宋_GBK" w:cs="Times New Roman"/>
          <w:sz w:val="32"/>
          <w:szCs w:val="32"/>
        </w:rPr>
        <w:t>万元，占</w:t>
      </w:r>
      <w:r>
        <w:rPr>
          <w:rFonts w:hint="default" w:ascii="Times New Roman" w:hAnsi="Times New Roman" w:eastAsia="方正仿宋_GBK" w:cs="Times New Roman"/>
          <w:sz w:val="32"/>
          <w:szCs w:val="32"/>
          <w:lang w:val="en-US" w:eastAsia="zh-CN"/>
        </w:rPr>
        <w:t>100</w:t>
      </w:r>
      <w:r>
        <w:rPr>
          <w:rFonts w:hint="default" w:ascii="Times New Roman" w:hAnsi="Times New Roman" w:eastAsia="方正仿宋_GBK" w:cs="Times New Roman"/>
          <w:sz w:val="32"/>
          <w:szCs w:val="32"/>
        </w:rPr>
        <w:t>%；公务接待费支出决算</w:t>
      </w:r>
      <w:r>
        <w:rPr>
          <w:rFonts w:hint="default"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rPr>
        <w:t>万元，占</w:t>
      </w:r>
      <w:r>
        <w:rPr>
          <w:rFonts w:hint="default"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rPr>
        <w:t>%。具体情况</w:t>
      </w:r>
      <w:r>
        <w:rPr>
          <w:rFonts w:hint="default" w:ascii="Times New Roman" w:hAnsi="Times New Roman" w:eastAsia="方正仿宋_GBK" w:cs="Times New Roman"/>
          <w:sz w:val="32"/>
          <w:szCs w:val="32"/>
          <w:lang w:val="en-US" w:eastAsia="zh-CN"/>
        </w:rPr>
        <w:t>如下：</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rPr>
        <w:t>（图7：“三公”经费财政拨款支出结构）（饼状图）</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lang w:eastAsia="zh-CN"/>
        </w:rPr>
      </w:pPr>
      <w:r>
        <w:drawing>
          <wp:inline distT="0" distB="0" distL="114300" distR="114300">
            <wp:extent cx="4724400" cy="2315210"/>
            <wp:effectExtent l="0" t="0" r="0" b="8890"/>
            <wp:docPr id="16"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3"/>
                    <pic:cNvPicPr>
                      <a:picLocks noChangeAspect="1"/>
                    </pic:cNvPicPr>
                  </pic:nvPicPr>
                  <pic:blipFill>
                    <a:blip r:embed="rId15"/>
                    <a:stretch>
                      <a:fillRect/>
                    </a:stretch>
                  </pic:blipFill>
                  <pic:spPr>
                    <a:xfrm>
                      <a:off x="0" y="0"/>
                      <a:ext cx="4724400" cy="2315210"/>
                    </a:xfrm>
                    <a:prstGeom prst="rect">
                      <a:avLst/>
                    </a:prstGeom>
                    <a:noFill/>
                    <a:ln>
                      <a:noFill/>
                    </a:ln>
                  </pic:spPr>
                </pic:pic>
              </a:graphicData>
            </a:graphic>
          </wp:inline>
        </w:drawing>
      </w:r>
    </w:p>
    <w:p>
      <w:pPr>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br w:type="page"/>
      </w:r>
    </w:p>
    <w:p>
      <w:pPr>
        <w:keepNext w:val="0"/>
        <w:keepLines w:val="0"/>
        <w:pageBreakBefore w:val="0"/>
        <w:widowControl w:val="0"/>
        <w:kinsoku/>
        <w:wordWrap/>
        <w:overflowPunct/>
        <w:topLinePunct w:val="0"/>
        <w:autoSpaceDE/>
        <w:autoSpaceDN/>
        <w:bidi w:val="0"/>
        <w:adjustRightInd/>
        <w:snapToGrid/>
        <w:spacing w:line="240" w:lineRule="auto"/>
        <w:ind w:firstLine="643" w:firstLineChars="200"/>
        <w:textAlignment w:val="auto"/>
        <w:rPr>
          <w:rFonts w:hint="default" w:ascii="Times New Roman" w:hAnsi="Times New Roman" w:eastAsia="方正仿宋_GBK" w:cs="Times New Roman"/>
          <w:b w:val="0"/>
          <w:bCs w:val="0"/>
          <w:sz w:val="32"/>
          <w:szCs w:val="32"/>
        </w:rPr>
      </w:pPr>
      <w:bookmarkStart w:id="42" w:name="_Toc15377218"/>
      <w:bookmarkStart w:id="43" w:name="_Toc15396610"/>
      <w:r>
        <w:rPr>
          <w:rFonts w:hint="default" w:ascii="Times New Roman" w:hAnsi="Times New Roman" w:eastAsia="方正仿宋_GBK" w:cs="Times New Roman"/>
          <w:b/>
          <w:bCs/>
          <w:sz w:val="32"/>
          <w:szCs w:val="32"/>
        </w:rPr>
        <w:t>1.因公出国（境）经费支出</w:t>
      </w:r>
      <w:r>
        <w:rPr>
          <w:rFonts w:hint="eastAsia" w:eastAsia="方正仿宋_GBK" w:cs="Times New Roman"/>
          <w:b/>
          <w:bCs/>
          <w:sz w:val="32"/>
          <w:szCs w:val="32"/>
          <w:lang w:val="en-US" w:eastAsia="zh-CN"/>
        </w:rPr>
        <w:t>0</w:t>
      </w:r>
      <w:r>
        <w:rPr>
          <w:rFonts w:hint="default" w:ascii="Times New Roman" w:hAnsi="Times New Roman" w:eastAsia="方正仿宋_GBK" w:cs="Times New Roman"/>
          <w:b/>
          <w:bCs/>
          <w:sz w:val="32"/>
          <w:szCs w:val="32"/>
        </w:rPr>
        <w:t>万元，完成预算</w:t>
      </w:r>
      <w:r>
        <w:rPr>
          <w:rFonts w:hint="eastAsia" w:eastAsia="方正仿宋_GBK" w:cs="Times New Roman"/>
          <w:b/>
          <w:bCs/>
          <w:sz w:val="32"/>
          <w:szCs w:val="32"/>
          <w:lang w:val="en-US" w:eastAsia="zh-CN"/>
        </w:rPr>
        <w:t>100</w:t>
      </w:r>
      <w:r>
        <w:rPr>
          <w:rFonts w:hint="default" w:ascii="Times New Roman" w:hAnsi="Times New Roman" w:eastAsia="方正仿宋_GBK" w:cs="Times New Roman"/>
          <w:b/>
          <w:bCs/>
          <w:sz w:val="32"/>
          <w:szCs w:val="32"/>
        </w:rPr>
        <w:t>%。</w:t>
      </w:r>
      <w:r>
        <w:rPr>
          <w:rFonts w:hint="default" w:ascii="Times New Roman" w:hAnsi="Times New Roman" w:eastAsia="方正仿宋_GBK" w:cs="Times New Roman"/>
          <w:b w:val="0"/>
          <w:bCs w:val="0"/>
          <w:sz w:val="32"/>
          <w:szCs w:val="32"/>
        </w:rPr>
        <w:t>全年安排因公出国（境）团组</w:t>
      </w:r>
      <w:r>
        <w:rPr>
          <w:rFonts w:hint="eastAsia" w:eastAsia="方正仿宋_GBK" w:cs="Times New Roman"/>
          <w:b w:val="0"/>
          <w:bCs w:val="0"/>
          <w:sz w:val="32"/>
          <w:szCs w:val="32"/>
          <w:lang w:val="en-US" w:eastAsia="zh-CN"/>
        </w:rPr>
        <w:t>0</w:t>
      </w:r>
      <w:r>
        <w:rPr>
          <w:rFonts w:hint="default" w:ascii="Times New Roman" w:hAnsi="Times New Roman" w:eastAsia="方正仿宋_GBK" w:cs="Times New Roman"/>
          <w:b w:val="0"/>
          <w:bCs w:val="0"/>
          <w:sz w:val="32"/>
          <w:szCs w:val="32"/>
        </w:rPr>
        <w:t>次，出国（境）</w:t>
      </w:r>
      <w:r>
        <w:rPr>
          <w:rFonts w:hint="eastAsia" w:eastAsia="方正仿宋_GBK" w:cs="Times New Roman"/>
          <w:b w:val="0"/>
          <w:bCs w:val="0"/>
          <w:sz w:val="32"/>
          <w:szCs w:val="32"/>
          <w:lang w:val="en-US" w:eastAsia="zh-CN"/>
        </w:rPr>
        <w:t>0</w:t>
      </w:r>
      <w:r>
        <w:rPr>
          <w:rFonts w:hint="default" w:ascii="Times New Roman" w:hAnsi="Times New Roman" w:eastAsia="方正仿宋_GBK" w:cs="Times New Roman"/>
          <w:b w:val="0"/>
          <w:bCs w:val="0"/>
          <w:sz w:val="32"/>
          <w:szCs w:val="32"/>
        </w:rPr>
        <w:t>人。因公出国（境）支出决算与2023年持平，主要原因是无因公出国业务。</w:t>
      </w:r>
    </w:p>
    <w:p>
      <w:pPr>
        <w:keepNext w:val="0"/>
        <w:keepLines w:val="0"/>
        <w:pageBreakBefore w:val="0"/>
        <w:widowControl w:val="0"/>
        <w:kinsoku/>
        <w:wordWrap/>
        <w:overflowPunct/>
        <w:topLinePunct w:val="0"/>
        <w:autoSpaceDE/>
        <w:autoSpaceDN/>
        <w:bidi w:val="0"/>
        <w:adjustRightInd/>
        <w:snapToGrid/>
        <w:spacing w:line="240" w:lineRule="auto"/>
        <w:ind w:firstLine="643" w:firstLineChars="200"/>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bCs/>
          <w:sz w:val="32"/>
          <w:szCs w:val="32"/>
        </w:rPr>
        <w:t>2.公务用车购置及运行维护费支出5.71万元，完成预算</w:t>
      </w:r>
      <w:r>
        <w:rPr>
          <w:rFonts w:hint="eastAsia" w:eastAsia="方正仿宋_GBK" w:cs="Times New Roman"/>
          <w:b/>
          <w:bCs/>
          <w:sz w:val="32"/>
          <w:szCs w:val="32"/>
          <w:lang w:val="en-US" w:eastAsia="zh-CN"/>
        </w:rPr>
        <w:t>100</w:t>
      </w:r>
      <w:r>
        <w:rPr>
          <w:rFonts w:hint="default" w:ascii="Times New Roman" w:hAnsi="Times New Roman" w:eastAsia="方正仿宋_GBK" w:cs="Times New Roman"/>
          <w:b/>
          <w:bCs/>
          <w:sz w:val="32"/>
          <w:szCs w:val="32"/>
        </w:rPr>
        <w:t>%。</w:t>
      </w:r>
      <w:r>
        <w:rPr>
          <w:rFonts w:hint="default" w:ascii="Times New Roman" w:hAnsi="Times New Roman" w:eastAsia="方正仿宋_GBK" w:cs="Times New Roman"/>
          <w:b w:val="0"/>
          <w:bCs w:val="0"/>
          <w:sz w:val="32"/>
          <w:szCs w:val="32"/>
        </w:rPr>
        <w:t>公务用车购置及运行维护费支出决算比2023年度增减少</w:t>
      </w:r>
      <w:r>
        <w:rPr>
          <w:rFonts w:hint="eastAsia" w:eastAsia="方正仿宋_GBK" w:cs="Times New Roman"/>
          <w:b w:val="0"/>
          <w:bCs w:val="0"/>
          <w:sz w:val="32"/>
          <w:szCs w:val="32"/>
          <w:lang w:val="en-US" w:eastAsia="zh-CN"/>
        </w:rPr>
        <w:t>0.76</w:t>
      </w:r>
      <w:r>
        <w:rPr>
          <w:rFonts w:hint="default" w:ascii="Times New Roman" w:hAnsi="Times New Roman" w:eastAsia="方正仿宋_GBK" w:cs="Times New Roman"/>
          <w:b w:val="0"/>
          <w:bCs w:val="0"/>
          <w:sz w:val="32"/>
          <w:szCs w:val="32"/>
        </w:rPr>
        <w:t>万元，下降</w:t>
      </w:r>
      <w:r>
        <w:rPr>
          <w:rFonts w:hint="eastAsia" w:eastAsia="方正仿宋_GBK" w:cs="Times New Roman"/>
          <w:b w:val="0"/>
          <w:bCs w:val="0"/>
          <w:sz w:val="32"/>
          <w:szCs w:val="32"/>
          <w:lang w:val="en-US" w:eastAsia="zh-CN"/>
        </w:rPr>
        <w:t>11.74</w:t>
      </w:r>
      <w:r>
        <w:rPr>
          <w:rFonts w:hint="default" w:ascii="Times New Roman" w:hAnsi="Times New Roman" w:eastAsia="方正仿宋_GBK" w:cs="Times New Roman"/>
          <w:b w:val="0"/>
          <w:bCs w:val="0"/>
          <w:sz w:val="32"/>
          <w:szCs w:val="32"/>
        </w:rPr>
        <w:t>%。主要原因是</w:t>
      </w:r>
      <w:r>
        <w:rPr>
          <w:rFonts w:hint="eastAsia" w:eastAsia="方正仿宋_GBK" w:cs="Times New Roman"/>
          <w:b w:val="0"/>
          <w:bCs w:val="0"/>
          <w:sz w:val="32"/>
          <w:szCs w:val="32"/>
          <w:lang w:eastAsia="zh-CN"/>
        </w:rPr>
        <w:t>：</w:t>
      </w:r>
      <w:r>
        <w:rPr>
          <w:rFonts w:hint="default" w:ascii="Times New Roman" w:hAnsi="Times New Roman" w:eastAsia="方正仿宋_GBK" w:cs="Times New Roman"/>
          <w:b w:val="0"/>
          <w:bCs w:val="0"/>
          <w:sz w:val="32"/>
          <w:szCs w:val="32"/>
        </w:rPr>
        <w:t>落实过紧日子要求，厉行节约，从严控制和压缩“三公”经费支出。</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其中：公务用车购置支出</w:t>
      </w:r>
      <w:r>
        <w:rPr>
          <w:rFonts w:hint="eastAsia" w:eastAsia="方正仿宋_GBK" w:cs="Times New Roman"/>
          <w:b w:val="0"/>
          <w:bCs w:val="0"/>
          <w:sz w:val="32"/>
          <w:szCs w:val="32"/>
          <w:lang w:val="en-US" w:eastAsia="zh-CN"/>
        </w:rPr>
        <w:t>0</w:t>
      </w:r>
      <w:r>
        <w:rPr>
          <w:rFonts w:hint="default" w:ascii="Times New Roman" w:hAnsi="Times New Roman" w:eastAsia="方正仿宋_GBK" w:cs="Times New Roman"/>
          <w:b w:val="0"/>
          <w:bCs w:val="0"/>
          <w:sz w:val="32"/>
          <w:szCs w:val="32"/>
        </w:rPr>
        <w:t>万元。全年按规定更新购置公务用车</w:t>
      </w:r>
      <w:r>
        <w:rPr>
          <w:rFonts w:hint="eastAsia" w:eastAsia="方正仿宋_GBK" w:cs="Times New Roman"/>
          <w:b w:val="0"/>
          <w:bCs w:val="0"/>
          <w:sz w:val="32"/>
          <w:szCs w:val="32"/>
          <w:lang w:val="en-US" w:eastAsia="zh-CN"/>
        </w:rPr>
        <w:t>0</w:t>
      </w:r>
      <w:r>
        <w:rPr>
          <w:rFonts w:hint="default" w:ascii="Times New Roman" w:hAnsi="Times New Roman" w:eastAsia="方正仿宋_GBK" w:cs="Times New Roman"/>
          <w:b w:val="0"/>
          <w:bCs w:val="0"/>
          <w:sz w:val="32"/>
          <w:szCs w:val="32"/>
        </w:rPr>
        <w:t>辆，其中：轿车</w:t>
      </w:r>
      <w:r>
        <w:rPr>
          <w:rFonts w:hint="eastAsia" w:eastAsia="方正仿宋_GBK" w:cs="Times New Roman"/>
          <w:b w:val="0"/>
          <w:bCs w:val="0"/>
          <w:sz w:val="32"/>
          <w:szCs w:val="32"/>
          <w:lang w:val="en-US" w:eastAsia="zh-CN"/>
        </w:rPr>
        <w:t>0</w:t>
      </w:r>
      <w:r>
        <w:rPr>
          <w:rFonts w:hint="default" w:ascii="Times New Roman" w:hAnsi="Times New Roman" w:eastAsia="方正仿宋_GBK" w:cs="Times New Roman"/>
          <w:b w:val="0"/>
          <w:bCs w:val="0"/>
          <w:sz w:val="32"/>
          <w:szCs w:val="32"/>
        </w:rPr>
        <w:t>辆、金额</w:t>
      </w:r>
      <w:r>
        <w:rPr>
          <w:rFonts w:hint="eastAsia" w:eastAsia="方正仿宋_GBK" w:cs="Times New Roman"/>
          <w:b w:val="0"/>
          <w:bCs w:val="0"/>
          <w:sz w:val="32"/>
          <w:szCs w:val="32"/>
          <w:lang w:val="en-US" w:eastAsia="zh-CN"/>
        </w:rPr>
        <w:t>0</w:t>
      </w:r>
      <w:r>
        <w:rPr>
          <w:rFonts w:hint="default" w:ascii="Times New Roman" w:hAnsi="Times New Roman" w:eastAsia="方正仿宋_GBK" w:cs="Times New Roman"/>
          <w:b w:val="0"/>
          <w:bCs w:val="0"/>
          <w:sz w:val="32"/>
          <w:szCs w:val="32"/>
        </w:rPr>
        <w:t>万元，越野车</w:t>
      </w:r>
      <w:r>
        <w:rPr>
          <w:rFonts w:hint="eastAsia" w:eastAsia="方正仿宋_GBK" w:cs="Times New Roman"/>
          <w:b w:val="0"/>
          <w:bCs w:val="0"/>
          <w:sz w:val="32"/>
          <w:szCs w:val="32"/>
          <w:lang w:val="en-US" w:eastAsia="zh-CN"/>
        </w:rPr>
        <w:t>0</w:t>
      </w:r>
      <w:r>
        <w:rPr>
          <w:rFonts w:hint="default" w:ascii="Times New Roman" w:hAnsi="Times New Roman" w:eastAsia="方正仿宋_GBK" w:cs="Times New Roman"/>
          <w:b w:val="0"/>
          <w:bCs w:val="0"/>
          <w:sz w:val="32"/>
          <w:szCs w:val="32"/>
        </w:rPr>
        <w:t>辆、金额</w:t>
      </w:r>
      <w:r>
        <w:rPr>
          <w:rFonts w:hint="eastAsia" w:eastAsia="方正仿宋_GBK" w:cs="Times New Roman"/>
          <w:b w:val="0"/>
          <w:bCs w:val="0"/>
          <w:sz w:val="32"/>
          <w:szCs w:val="32"/>
          <w:lang w:val="en-US" w:eastAsia="zh-CN"/>
        </w:rPr>
        <w:t>0</w:t>
      </w:r>
      <w:r>
        <w:rPr>
          <w:rFonts w:hint="default" w:ascii="Times New Roman" w:hAnsi="Times New Roman" w:eastAsia="方正仿宋_GBK" w:cs="Times New Roman"/>
          <w:b w:val="0"/>
          <w:bCs w:val="0"/>
          <w:sz w:val="32"/>
          <w:szCs w:val="32"/>
        </w:rPr>
        <w:t>万元，载客汽车</w:t>
      </w:r>
      <w:r>
        <w:rPr>
          <w:rFonts w:hint="eastAsia" w:eastAsia="方正仿宋_GBK" w:cs="Times New Roman"/>
          <w:b w:val="0"/>
          <w:bCs w:val="0"/>
          <w:sz w:val="32"/>
          <w:szCs w:val="32"/>
          <w:lang w:val="en-US" w:eastAsia="zh-CN"/>
        </w:rPr>
        <w:t>0</w:t>
      </w:r>
      <w:r>
        <w:rPr>
          <w:rFonts w:hint="default" w:ascii="Times New Roman" w:hAnsi="Times New Roman" w:eastAsia="方正仿宋_GBK" w:cs="Times New Roman"/>
          <w:b w:val="0"/>
          <w:bCs w:val="0"/>
          <w:sz w:val="32"/>
          <w:szCs w:val="32"/>
        </w:rPr>
        <w:t>辆、金额</w:t>
      </w:r>
      <w:r>
        <w:rPr>
          <w:rFonts w:hint="eastAsia" w:eastAsia="方正仿宋_GBK" w:cs="Times New Roman"/>
          <w:b w:val="0"/>
          <w:bCs w:val="0"/>
          <w:sz w:val="32"/>
          <w:szCs w:val="32"/>
          <w:lang w:val="en-US" w:eastAsia="zh-CN"/>
        </w:rPr>
        <w:t>0</w:t>
      </w:r>
      <w:r>
        <w:rPr>
          <w:rFonts w:hint="default" w:ascii="Times New Roman" w:hAnsi="Times New Roman" w:eastAsia="方正仿宋_GBK" w:cs="Times New Roman"/>
          <w:b w:val="0"/>
          <w:bCs w:val="0"/>
          <w:sz w:val="32"/>
          <w:szCs w:val="32"/>
        </w:rPr>
        <w:t>万元。截至2024年12月31日，单位共有公务用车</w:t>
      </w:r>
      <w:r>
        <w:rPr>
          <w:rFonts w:hint="eastAsia" w:eastAsia="方正仿宋_GBK" w:cs="Times New Roman"/>
          <w:b w:val="0"/>
          <w:bCs w:val="0"/>
          <w:sz w:val="32"/>
          <w:szCs w:val="32"/>
          <w:lang w:val="en-US" w:eastAsia="zh-CN"/>
        </w:rPr>
        <w:t>2</w:t>
      </w:r>
      <w:r>
        <w:rPr>
          <w:rFonts w:hint="default" w:ascii="Times New Roman" w:hAnsi="Times New Roman" w:eastAsia="方正仿宋_GBK" w:cs="Times New Roman"/>
          <w:b w:val="0"/>
          <w:bCs w:val="0"/>
          <w:sz w:val="32"/>
          <w:szCs w:val="32"/>
        </w:rPr>
        <w:t>辆，其中：轿车</w:t>
      </w:r>
      <w:r>
        <w:rPr>
          <w:rFonts w:hint="eastAsia" w:eastAsia="方正仿宋_GBK" w:cs="Times New Roman"/>
          <w:b w:val="0"/>
          <w:bCs w:val="0"/>
          <w:sz w:val="32"/>
          <w:szCs w:val="32"/>
          <w:lang w:val="en-US" w:eastAsia="zh-CN"/>
        </w:rPr>
        <w:t>0</w:t>
      </w:r>
      <w:r>
        <w:rPr>
          <w:rFonts w:hint="default" w:ascii="Times New Roman" w:hAnsi="Times New Roman" w:eastAsia="方正仿宋_GBK" w:cs="Times New Roman"/>
          <w:b w:val="0"/>
          <w:bCs w:val="0"/>
          <w:sz w:val="32"/>
          <w:szCs w:val="32"/>
        </w:rPr>
        <w:t>辆、越野车</w:t>
      </w:r>
      <w:r>
        <w:rPr>
          <w:rFonts w:hint="eastAsia" w:eastAsia="方正仿宋_GBK" w:cs="Times New Roman"/>
          <w:b w:val="0"/>
          <w:bCs w:val="0"/>
          <w:sz w:val="32"/>
          <w:szCs w:val="32"/>
          <w:lang w:val="en-US" w:eastAsia="zh-CN"/>
        </w:rPr>
        <w:t>0</w:t>
      </w:r>
      <w:r>
        <w:rPr>
          <w:rFonts w:hint="default" w:ascii="Times New Roman" w:hAnsi="Times New Roman" w:eastAsia="方正仿宋_GBK" w:cs="Times New Roman"/>
          <w:b w:val="0"/>
          <w:bCs w:val="0"/>
          <w:sz w:val="32"/>
          <w:szCs w:val="32"/>
        </w:rPr>
        <w:t>辆、载客汽车</w:t>
      </w:r>
      <w:r>
        <w:rPr>
          <w:rFonts w:hint="eastAsia" w:eastAsia="方正仿宋_GBK" w:cs="Times New Roman"/>
          <w:b w:val="0"/>
          <w:bCs w:val="0"/>
          <w:sz w:val="32"/>
          <w:szCs w:val="32"/>
          <w:lang w:val="en-US" w:eastAsia="zh-CN"/>
        </w:rPr>
        <w:t>0</w:t>
      </w:r>
      <w:r>
        <w:rPr>
          <w:rFonts w:hint="default" w:ascii="Times New Roman" w:hAnsi="Times New Roman" w:eastAsia="方正仿宋_GBK" w:cs="Times New Roman"/>
          <w:b w:val="0"/>
          <w:bCs w:val="0"/>
          <w:sz w:val="32"/>
          <w:szCs w:val="32"/>
        </w:rPr>
        <w:t>辆</w:t>
      </w:r>
      <w:r>
        <w:rPr>
          <w:rFonts w:hint="eastAsia" w:eastAsia="方正仿宋_GBK" w:cs="Times New Roman"/>
          <w:b w:val="0"/>
          <w:bCs w:val="0"/>
          <w:sz w:val="32"/>
          <w:szCs w:val="32"/>
          <w:lang w:eastAsia="zh-CN"/>
        </w:rPr>
        <w:t>、</w:t>
      </w:r>
      <w:r>
        <w:rPr>
          <w:rFonts w:hint="default" w:ascii="Times New Roman" w:hAnsi="Times New Roman" w:eastAsia="方正仿宋_GBK" w:cs="Times New Roman"/>
          <w:b w:val="0"/>
          <w:bCs w:val="0"/>
          <w:sz w:val="32"/>
          <w:szCs w:val="32"/>
        </w:rPr>
        <w:t>应急保障用车2辆。</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公务用车运行维护费支出</w:t>
      </w:r>
      <w:r>
        <w:rPr>
          <w:rFonts w:hint="eastAsia" w:eastAsia="方正仿宋_GBK" w:cs="Times New Roman"/>
          <w:b w:val="0"/>
          <w:bCs w:val="0"/>
          <w:sz w:val="32"/>
          <w:szCs w:val="32"/>
          <w:lang w:val="en-US" w:eastAsia="zh-CN"/>
        </w:rPr>
        <w:t>5.71</w:t>
      </w:r>
      <w:r>
        <w:rPr>
          <w:rFonts w:hint="default" w:ascii="Times New Roman" w:hAnsi="Times New Roman" w:eastAsia="方正仿宋_GBK" w:cs="Times New Roman"/>
          <w:b w:val="0"/>
          <w:bCs w:val="0"/>
          <w:sz w:val="32"/>
          <w:szCs w:val="32"/>
        </w:rPr>
        <w:t>万元。主要用于日常下</w:t>
      </w:r>
      <w:r>
        <w:rPr>
          <w:rFonts w:hint="eastAsia" w:eastAsia="方正仿宋_GBK" w:cs="Times New Roman"/>
          <w:b w:val="0"/>
          <w:bCs w:val="0"/>
          <w:sz w:val="32"/>
          <w:szCs w:val="32"/>
          <w:lang w:eastAsia="zh-CN"/>
        </w:rPr>
        <w:t>村</w:t>
      </w:r>
      <w:r>
        <w:rPr>
          <w:rFonts w:hint="default" w:ascii="Times New Roman" w:hAnsi="Times New Roman" w:eastAsia="方正仿宋_GBK" w:cs="Times New Roman"/>
          <w:b w:val="0"/>
          <w:bCs w:val="0"/>
          <w:sz w:val="32"/>
          <w:szCs w:val="32"/>
        </w:rPr>
        <w:t>工作</w:t>
      </w:r>
      <w:r>
        <w:rPr>
          <w:rFonts w:hint="eastAsia" w:eastAsia="方正仿宋_GBK" w:cs="Times New Roman"/>
          <w:b w:val="0"/>
          <w:bCs w:val="0"/>
          <w:sz w:val="32"/>
          <w:szCs w:val="32"/>
          <w:lang w:eastAsia="zh-CN"/>
        </w:rPr>
        <w:t>、</w:t>
      </w:r>
      <w:r>
        <w:rPr>
          <w:rFonts w:hint="default" w:ascii="Times New Roman" w:hAnsi="Times New Roman" w:eastAsia="方正仿宋_GBK" w:cs="Times New Roman"/>
          <w:b w:val="0"/>
          <w:bCs w:val="0"/>
          <w:sz w:val="32"/>
          <w:szCs w:val="32"/>
        </w:rPr>
        <w:t>森林草原防灭火工作</w:t>
      </w:r>
      <w:r>
        <w:rPr>
          <w:rFonts w:hint="eastAsia" w:eastAsia="方正仿宋_GBK" w:cs="Times New Roman"/>
          <w:b w:val="0"/>
          <w:bCs w:val="0"/>
          <w:sz w:val="32"/>
          <w:szCs w:val="32"/>
          <w:lang w:eastAsia="zh-CN"/>
        </w:rPr>
        <w:t>、防汛工作等</w:t>
      </w:r>
      <w:r>
        <w:rPr>
          <w:rFonts w:hint="default" w:ascii="Times New Roman" w:hAnsi="Times New Roman" w:eastAsia="方正仿宋_GBK" w:cs="Times New Roman"/>
          <w:b w:val="0"/>
          <w:bCs w:val="0"/>
          <w:sz w:val="32"/>
          <w:szCs w:val="32"/>
        </w:rPr>
        <w:t>所需的公务用车燃料费、维修费、过路过桥费、保险费等支出。</w:t>
      </w:r>
    </w:p>
    <w:p>
      <w:pPr>
        <w:keepNext w:val="0"/>
        <w:keepLines w:val="0"/>
        <w:pageBreakBefore w:val="0"/>
        <w:widowControl w:val="0"/>
        <w:kinsoku/>
        <w:wordWrap/>
        <w:overflowPunct/>
        <w:topLinePunct w:val="0"/>
        <w:autoSpaceDE/>
        <w:autoSpaceDN/>
        <w:bidi w:val="0"/>
        <w:adjustRightInd/>
        <w:snapToGrid/>
        <w:spacing w:line="240" w:lineRule="auto"/>
        <w:ind w:firstLine="643" w:firstLineChars="200"/>
        <w:textAlignment w:val="auto"/>
        <w:rPr>
          <w:rFonts w:hint="eastAsia" w:ascii="Times New Roman" w:hAnsi="Times New Roman" w:eastAsia="方正仿宋_GBK" w:cs="Times New Roman"/>
          <w:b w:val="0"/>
          <w:bCs w:val="0"/>
          <w:sz w:val="32"/>
          <w:szCs w:val="32"/>
          <w:lang w:eastAsia="zh-CN"/>
        </w:rPr>
      </w:pPr>
      <w:r>
        <w:rPr>
          <w:rFonts w:hint="default" w:ascii="Times New Roman" w:hAnsi="Times New Roman" w:eastAsia="方正仿宋_GBK" w:cs="Times New Roman"/>
          <w:b/>
          <w:bCs/>
          <w:sz w:val="32"/>
          <w:szCs w:val="32"/>
        </w:rPr>
        <w:t>3.公务接待费支出</w:t>
      </w:r>
      <w:r>
        <w:rPr>
          <w:rFonts w:hint="eastAsia" w:eastAsia="方正仿宋_GBK" w:cs="Times New Roman"/>
          <w:b/>
          <w:bCs/>
          <w:sz w:val="32"/>
          <w:szCs w:val="32"/>
          <w:lang w:val="en-US" w:eastAsia="zh-CN"/>
        </w:rPr>
        <w:t>0</w:t>
      </w:r>
      <w:r>
        <w:rPr>
          <w:rFonts w:hint="default" w:ascii="Times New Roman" w:hAnsi="Times New Roman" w:eastAsia="方正仿宋_GBK" w:cs="Times New Roman"/>
          <w:b/>
          <w:bCs/>
          <w:sz w:val="32"/>
          <w:szCs w:val="32"/>
        </w:rPr>
        <w:t>万元，完成预算</w:t>
      </w:r>
      <w:r>
        <w:rPr>
          <w:rFonts w:hint="eastAsia" w:eastAsia="方正仿宋_GBK" w:cs="Times New Roman"/>
          <w:b/>
          <w:bCs/>
          <w:sz w:val="32"/>
          <w:szCs w:val="32"/>
          <w:lang w:val="en-US" w:eastAsia="zh-CN"/>
        </w:rPr>
        <w:t>100</w:t>
      </w:r>
      <w:r>
        <w:rPr>
          <w:rFonts w:hint="default" w:ascii="Times New Roman" w:hAnsi="Times New Roman" w:eastAsia="方正仿宋_GBK" w:cs="Times New Roman"/>
          <w:b/>
          <w:bCs/>
          <w:sz w:val="32"/>
          <w:szCs w:val="32"/>
        </w:rPr>
        <w:t>%。</w:t>
      </w:r>
      <w:r>
        <w:rPr>
          <w:rFonts w:hint="default" w:ascii="Times New Roman" w:hAnsi="Times New Roman" w:eastAsia="方正仿宋_GBK" w:cs="Times New Roman"/>
          <w:b w:val="0"/>
          <w:bCs w:val="0"/>
          <w:sz w:val="32"/>
          <w:szCs w:val="32"/>
        </w:rPr>
        <w:t>公务接待费支出决算</w:t>
      </w:r>
      <w:r>
        <w:rPr>
          <w:rFonts w:hint="eastAsia" w:eastAsia="方正仿宋_GBK" w:cs="Times New Roman"/>
          <w:b w:val="0"/>
          <w:bCs w:val="0"/>
          <w:sz w:val="32"/>
          <w:szCs w:val="32"/>
          <w:lang w:eastAsia="zh-CN"/>
        </w:rPr>
        <w:t>与</w:t>
      </w:r>
      <w:r>
        <w:rPr>
          <w:rFonts w:hint="default" w:ascii="Times New Roman" w:hAnsi="Times New Roman" w:eastAsia="方正仿宋_GBK" w:cs="Times New Roman"/>
          <w:b w:val="0"/>
          <w:bCs w:val="0"/>
          <w:sz w:val="32"/>
          <w:szCs w:val="32"/>
        </w:rPr>
        <w:t>2023年度</w:t>
      </w:r>
      <w:r>
        <w:rPr>
          <w:rFonts w:hint="eastAsia" w:eastAsia="方正仿宋_GBK" w:cs="Times New Roman"/>
          <w:b w:val="0"/>
          <w:bCs w:val="0"/>
          <w:sz w:val="32"/>
          <w:szCs w:val="32"/>
          <w:lang w:eastAsia="zh-CN"/>
        </w:rPr>
        <w:t>持平</w:t>
      </w:r>
      <w:r>
        <w:rPr>
          <w:rFonts w:hint="default" w:ascii="Times New Roman" w:hAnsi="Times New Roman" w:eastAsia="方正仿宋_GBK" w:cs="Times New Roman"/>
          <w:b w:val="0"/>
          <w:bCs w:val="0"/>
          <w:sz w:val="32"/>
          <w:szCs w:val="32"/>
        </w:rPr>
        <w:t>。主要原因是</w:t>
      </w:r>
      <w:r>
        <w:rPr>
          <w:rFonts w:hint="eastAsia" w:eastAsia="方正仿宋_GBK" w:cs="Times New Roman"/>
          <w:b w:val="0"/>
          <w:bCs w:val="0"/>
          <w:sz w:val="32"/>
          <w:szCs w:val="32"/>
          <w:lang w:eastAsia="zh-CN"/>
        </w:rPr>
        <w:t>无</w:t>
      </w:r>
      <w:r>
        <w:rPr>
          <w:rFonts w:hint="default" w:ascii="Times New Roman" w:hAnsi="Times New Roman" w:eastAsia="方正仿宋_GBK" w:cs="Times New Roman"/>
          <w:b w:val="0"/>
          <w:bCs w:val="0"/>
          <w:sz w:val="32"/>
          <w:szCs w:val="32"/>
        </w:rPr>
        <w:t>公务接待</w:t>
      </w:r>
      <w:r>
        <w:rPr>
          <w:rFonts w:hint="eastAsia" w:eastAsia="方正仿宋_GBK" w:cs="Times New Roman"/>
          <w:b w:val="0"/>
          <w:bCs w:val="0"/>
          <w:sz w:val="32"/>
          <w:szCs w:val="32"/>
          <w:lang w:eastAsia="zh-CN"/>
        </w:rPr>
        <w:t>费用。</w:t>
      </w:r>
    </w:p>
    <w:p>
      <w:pPr>
        <w:keepNext w:val="0"/>
        <w:keepLines w:val="0"/>
        <w:pageBreakBefore w:val="0"/>
        <w:widowControl w:val="0"/>
        <w:kinsoku/>
        <w:wordWrap/>
        <w:overflowPunct/>
        <w:topLinePunct w:val="0"/>
        <w:autoSpaceDE/>
        <w:autoSpaceDN/>
        <w:bidi w:val="0"/>
        <w:adjustRightInd/>
        <w:snapToGrid/>
        <w:spacing w:line="240" w:lineRule="auto"/>
        <w:ind w:left="0" w:firstLine="640"/>
        <w:textAlignment w:val="auto"/>
        <w:outlineLvl w:val="1"/>
        <w:rPr>
          <w:rStyle w:val="31"/>
          <w:rFonts w:hint="default" w:ascii="Times New Roman" w:hAnsi="Times New Roman" w:eastAsia="方正黑体_GBK" w:cs="Times New Roman"/>
        </w:rPr>
      </w:pPr>
      <w:bookmarkStart w:id="44" w:name="_Toc14091_WPSOffice_Level2"/>
      <w:r>
        <w:rPr>
          <w:rFonts w:hint="default" w:ascii="Times New Roman" w:hAnsi="Times New Roman" w:eastAsia="方正黑体_GBK" w:cs="Times New Roman"/>
          <w:sz w:val="32"/>
          <w:szCs w:val="32"/>
        </w:rPr>
        <w:t>八、</w:t>
      </w:r>
      <w:r>
        <w:rPr>
          <w:rStyle w:val="31"/>
          <w:rFonts w:hint="default" w:ascii="Times New Roman" w:hAnsi="Times New Roman" w:eastAsia="方正黑体_GBK" w:cs="Times New Roman"/>
          <w:b w:val="0"/>
        </w:rPr>
        <w:t>政府性基金预算支出决算情况说明</w:t>
      </w:r>
      <w:bookmarkEnd w:id="42"/>
      <w:bookmarkEnd w:id="43"/>
      <w:bookmarkEnd w:id="44"/>
    </w:p>
    <w:p>
      <w:pPr>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auto"/>
        <w:outlineLvl w:val="1"/>
        <w:rPr>
          <w:rFonts w:hint="default" w:ascii="Times New Roman" w:hAnsi="Times New Roman" w:eastAsia="方正仿宋_GBK" w:cs="Times New Roman"/>
          <w:sz w:val="32"/>
          <w:szCs w:val="32"/>
        </w:rPr>
      </w:pPr>
      <w:r>
        <w:rPr>
          <w:rFonts w:hint="default" w:ascii="Times New Roman" w:hAnsi="Times New Roman" w:eastAsia="方正仿宋_GBK" w:cs="Times New Roman"/>
          <w:b w:val="0"/>
          <w:bCs/>
          <w:kern w:val="0"/>
          <w:sz w:val="32"/>
          <w:szCs w:val="20"/>
          <w:highlight w:val="none"/>
          <w:u w:val="none"/>
          <w:lang w:val="en-US" w:eastAsia="zh-CN" w:bidi="ar-SA"/>
        </w:rPr>
        <w:t>2024年度政府性基金预算财政拨款支出11.35万元，占本年支出合计的</w:t>
      </w:r>
      <w:r>
        <w:rPr>
          <w:rFonts w:hint="eastAsia" w:eastAsia="方正仿宋_GBK" w:cs="Times New Roman"/>
          <w:b w:val="0"/>
          <w:bCs/>
          <w:kern w:val="0"/>
          <w:sz w:val="32"/>
          <w:szCs w:val="20"/>
          <w:highlight w:val="none"/>
          <w:u w:val="none"/>
          <w:lang w:val="en-US" w:eastAsia="zh-CN" w:bidi="ar-SA"/>
        </w:rPr>
        <w:t>0.73</w:t>
      </w:r>
      <w:r>
        <w:rPr>
          <w:rFonts w:hint="default" w:ascii="Times New Roman" w:hAnsi="Times New Roman" w:eastAsia="方正仿宋_GBK" w:cs="Times New Roman"/>
          <w:b w:val="0"/>
          <w:bCs/>
          <w:kern w:val="0"/>
          <w:sz w:val="32"/>
          <w:szCs w:val="20"/>
          <w:highlight w:val="none"/>
          <w:u w:val="none"/>
          <w:lang w:val="en-US" w:eastAsia="zh-CN" w:bidi="ar-SA"/>
        </w:rPr>
        <w:t>%。与2023年度相比，政府性基金预算财政拨款支出增加11.35万元，增长</w:t>
      </w:r>
      <w:r>
        <w:rPr>
          <w:rFonts w:hint="eastAsia" w:eastAsia="方正仿宋_GBK" w:cs="Times New Roman"/>
          <w:b w:val="0"/>
          <w:bCs/>
          <w:kern w:val="0"/>
          <w:sz w:val="32"/>
          <w:szCs w:val="20"/>
          <w:highlight w:val="none"/>
          <w:u w:val="none"/>
          <w:lang w:val="en-US" w:eastAsia="zh-CN" w:bidi="ar-SA"/>
        </w:rPr>
        <w:t>100</w:t>
      </w:r>
      <w:r>
        <w:rPr>
          <w:rFonts w:hint="default" w:ascii="Times New Roman" w:hAnsi="Times New Roman" w:eastAsia="方正仿宋_GBK" w:cs="Times New Roman"/>
          <w:b w:val="0"/>
          <w:bCs/>
          <w:kern w:val="0"/>
          <w:sz w:val="32"/>
          <w:szCs w:val="20"/>
          <w:highlight w:val="none"/>
          <w:u w:val="none"/>
          <w:lang w:val="en-US" w:eastAsia="zh-CN" w:bidi="ar-SA"/>
        </w:rPr>
        <w:t>%。主要变动原因是</w:t>
      </w:r>
      <w:r>
        <w:rPr>
          <w:rFonts w:hint="eastAsia" w:eastAsia="方正仿宋_GBK" w:cs="Times New Roman"/>
          <w:b w:val="0"/>
          <w:bCs/>
          <w:kern w:val="0"/>
          <w:sz w:val="32"/>
          <w:szCs w:val="20"/>
          <w:highlight w:val="none"/>
          <w:u w:val="none"/>
          <w:lang w:val="en-US" w:eastAsia="zh-CN" w:bidi="ar-SA"/>
        </w:rPr>
        <w:t>：本年度</w:t>
      </w:r>
      <w:r>
        <w:rPr>
          <w:rFonts w:hint="default" w:ascii="Times New Roman" w:hAnsi="Times New Roman" w:eastAsia="方正仿宋_GBK" w:cs="Times New Roman"/>
          <w:b w:val="0"/>
          <w:bCs/>
          <w:kern w:val="0"/>
          <w:sz w:val="32"/>
          <w:szCs w:val="20"/>
          <w:highlight w:val="none"/>
          <w:u w:val="none"/>
          <w:lang w:val="en-US" w:eastAsia="zh-CN" w:bidi="ar-SA"/>
        </w:rPr>
        <w:t>国有土地使用权出让收入安排的支出</w:t>
      </w:r>
      <w:r>
        <w:rPr>
          <w:rFonts w:hint="eastAsia" w:eastAsia="方正仿宋_GBK" w:cs="Times New Roman"/>
          <w:b w:val="0"/>
          <w:bCs/>
          <w:kern w:val="0"/>
          <w:sz w:val="32"/>
          <w:szCs w:val="20"/>
          <w:highlight w:val="none"/>
          <w:u w:val="none"/>
          <w:lang w:val="en-US" w:eastAsia="zh-CN" w:bidi="ar-SA"/>
        </w:rPr>
        <w:t>。</w:t>
      </w:r>
    </w:p>
    <w:p>
      <w:pPr>
        <w:keepNext w:val="0"/>
        <w:keepLines w:val="0"/>
        <w:pageBreakBefore w:val="0"/>
        <w:widowControl w:val="0"/>
        <w:kinsoku/>
        <w:wordWrap/>
        <w:overflowPunct/>
        <w:topLinePunct w:val="0"/>
        <w:autoSpaceDE/>
        <w:autoSpaceDN/>
        <w:bidi w:val="0"/>
        <w:adjustRightInd/>
        <w:snapToGrid/>
        <w:spacing w:line="240" w:lineRule="auto"/>
        <w:ind w:left="0" w:firstLine="640" w:firstLineChars="200"/>
        <w:textAlignment w:val="auto"/>
        <w:outlineLvl w:val="1"/>
        <w:rPr>
          <w:rStyle w:val="31"/>
          <w:rFonts w:hint="default" w:ascii="Times New Roman" w:hAnsi="Times New Roman" w:eastAsia="方正黑体_GBK" w:cs="Times New Roman"/>
          <w:b w:val="0"/>
        </w:rPr>
      </w:pPr>
      <w:bookmarkStart w:id="45" w:name="_Toc21165_WPSOffice_Level2"/>
      <w:bookmarkStart w:id="46" w:name="_Toc15377219"/>
      <w:bookmarkStart w:id="47" w:name="_Toc15396611"/>
      <w:r>
        <w:rPr>
          <w:rStyle w:val="31"/>
          <w:rFonts w:hint="default" w:ascii="Times New Roman" w:hAnsi="Times New Roman" w:eastAsia="方正黑体_GBK" w:cs="Times New Roman"/>
          <w:b w:val="0"/>
        </w:rPr>
        <w:t>九、国有资本经营预算支出决算情况说明</w:t>
      </w:r>
      <w:bookmarkEnd w:id="45"/>
      <w:bookmarkEnd w:id="46"/>
      <w:bookmarkEnd w:id="47"/>
    </w:p>
    <w:p>
      <w:pPr>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auto"/>
        <w:outlineLvl w:val="1"/>
        <w:rPr>
          <w:rFonts w:hint="eastAsia"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rPr>
        <w:t>2024年度国有资本经营预算财政拨款支出</w:t>
      </w:r>
      <w:r>
        <w:rPr>
          <w:rFonts w:hint="eastAsia" w:eastAsia="方正仿宋_GBK" w:cs="Times New Roman"/>
          <w:sz w:val="32"/>
          <w:szCs w:val="32"/>
          <w:lang w:val="en-US" w:eastAsia="zh-CN"/>
        </w:rPr>
        <w:t>0</w:t>
      </w:r>
      <w:r>
        <w:rPr>
          <w:rFonts w:hint="default" w:ascii="Times New Roman" w:hAnsi="Times New Roman" w:eastAsia="方正仿宋_GBK" w:cs="Times New Roman"/>
          <w:sz w:val="32"/>
          <w:szCs w:val="32"/>
        </w:rPr>
        <w:t>万元，占本年支出合计的</w:t>
      </w:r>
      <w:r>
        <w:rPr>
          <w:rFonts w:hint="eastAsia" w:eastAsia="方正仿宋_GBK" w:cs="Times New Roman"/>
          <w:sz w:val="32"/>
          <w:szCs w:val="32"/>
          <w:lang w:val="en-US" w:eastAsia="zh-CN"/>
        </w:rPr>
        <w:t>0</w:t>
      </w:r>
      <w:r>
        <w:rPr>
          <w:rFonts w:hint="default" w:ascii="Times New Roman" w:hAnsi="Times New Roman" w:eastAsia="方正仿宋_GBK" w:cs="Times New Roman"/>
          <w:sz w:val="32"/>
          <w:szCs w:val="32"/>
        </w:rPr>
        <w:t>%。与2023年度持平</w:t>
      </w:r>
      <w:r>
        <w:rPr>
          <w:rFonts w:hint="eastAsia" w:eastAsia="方正仿宋_GBK" w:cs="Times New Roman"/>
          <w:sz w:val="32"/>
          <w:szCs w:val="32"/>
          <w:lang w:eastAsia="zh-CN"/>
        </w:rPr>
        <w:t>。</w:t>
      </w:r>
    </w:p>
    <w:p>
      <w:pPr>
        <w:keepNext w:val="0"/>
        <w:keepLines w:val="0"/>
        <w:pageBreakBefore w:val="0"/>
        <w:widowControl w:val="0"/>
        <w:kinsoku/>
        <w:wordWrap/>
        <w:overflowPunct/>
        <w:topLinePunct w:val="0"/>
        <w:bidi w:val="0"/>
        <w:snapToGrid/>
        <w:spacing w:line="240" w:lineRule="auto"/>
        <w:ind w:left="0" w:firstLine="640" w:firstLineChars="200"/>
        <w:textAlignment w:val="auto"/>
        <w:outlineLvl w:val="1"/>
        <w:rPr>
          <w:rStyle w:val="31"/>
          <w:rFonts w:hint="default" w:ascii="Times New Roman" w:hAnsi="Times New Roman" w:eastAsia="方正黑体_GBK" w:cs="Times New Roman"/>
          <w:b w:val="0"/>
        </w:rPr>
      </w:pPr>
      <w:bookmarkStart w:id="48" w:name="_Toc15377221"/>
      <w:bookmarkStart w:id="49" w:name="_Toc5083_WPSOffice_Level2"/>
      <w:bookmarkStart w:id="50" w:name="_Toc15396612"/>
      <w:r>
        <w:rPr>
          <w:rStyle w:val="31"/>
          <w:rFonts w:hint="default" w:ascii="Times New Roman" w:hAnsi="Times New Roman" w:eastAsia="方正黑体_GBK" w:cs="Times New Roman"/>
          <w:b w:val="0"/>
        </w:rPr>
        <w:t>十、其他重要事项的情况说明</w:t>
      </w:r>
      <w:bookmarkEnd w:id="48"/>
      <w:bookmarkEnd w:id="49"/>
      <w:bookmarkEnd w:id="50"/>
    </w:p>
    <w:p>
      <w:pPr>
        <w:keepNext w:val="0"/>
        <w:keepLines w:val="0"/>
        <w:pageBreakBefore w:val="0"/>
        <w:widowControl w:val="0"/>
        <w:kinsoku/>
        <w:wordWrap/>
        <w:overflowPunct/>
        <w:topLinePunct w:val="0"/>
        <w:bidi w:val="0"/>
        <w:snapToGrid/>
        <w:spacing w:line="240" w:lineRule="auto"/>
        <w:ind w:left="0" w:firstLine="643" w:firstLineChars="200"/>
        <w:textAlignment w:val="auto"/>
        <w:outlineLvl w:val="2"/>
        <w:rPr>
          <w:rFonts w:hint="default" w:ascii="Times New Roman" w:hAnsi="Times New Roman" w:eastAsia="方正楷体_GBK" w:cs="Times New Roman"/>
          <w:b/>
          <w:sz w:val="32"/>
          <w:szCs w:val="32"/>
        </w:rPr>
      </w:pPr>
      <w:bookmarkStart w:id="51" w:name="_Toc15377222"/>
      <w:r>
        <w:rPr>
          <w:rFonts w:hint="default" w:ascii="Times New Roman" w:hAnsi="Times New Roman" w:eastAsia="方正楷体_GBK" w:cs="Times New Roman"/>
          <w:b/>
          <w:sz w:val="32"/>
          <w:szCs w:val="32"/>
        </w:rPr>
        <w:t>（一）机关运行经费支出情况</w:t>
      </w:r>
      <w:bookmarkEnd w:id="51"/>
    </w:p>
    <w:p>
      <w:pPr>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202</w:t>
      </w:r>
      <w:r>
        <w:rPr>
          <w:rFonts w:hint="default"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rPr>
        <w:t>年度，</w:t>
      </w:r>
      <w:r>
        <w:rPr>
          <w:rFonts w:hint="eastAsia" w:eastAsia="方正仿宋_GBK" w:cs="Times New Roman"/>
          <w:sz w:val="32"/>
          <w:szCs w:val="32"/>
          <w:lang w:eastAsia="zh-CN"/>
        </w:rPr>
        <w:t>盐边县</w:t>
      </w:r>
      <w:r>
        <w:rPr>
          <w:rFonts w:hint="eastAsia" w:eastAsia="方正仿宋_GBK" w:cs="Times New Roman"/>
          <w:sz w:val="32"/>
          <w:szCs w:val="32"/>
          <w:lang w:val="en-US" w:eastAsia="zh-CN"/>
        </w:rPr>
        <w:t>红宝苗族彝族乡人民政府</w:t>
      </w:r>
      <w:r>
        <w:rPr>
          <w:rFonts w:hint="default" w:ascii="Times New Roman" w:hAnsi="Times New Roman" w:eastAsia="方正仿宋_GBK" w:cs="Times New Roman"/>
          <w:sz w:val="32"/>
          <w:szCs w:val="32"/>
        </w:rPr>
        <w:t>机关运行经费支出</w:t>
      </w:r>
      <w:r>
        <w:rPr>
          <w:rFonts w:hint="default" w:ascii="Times New Roman" w:hAnsi="Times New Roman" w:eastAsia="方正仿宋_GBK" w:cs="Times New Roman"/>
          <w:sz w:val="32"/>
          <w:szCs w:val="32"/>
          <w:lang w:val="en-US" w:eastAsia="zh-CN"/>
        </w:rPr>
        <w:t>119.15</w:t>
      </w:r>
      <w:r>
        <w:rPr>
          <w:rFonts w:hint="default" w:ascii="Times New Roman" w:hAnsi="Times New Roman" w:eastAsia="方正仿宋_GBK" w:cs="Times New Roman"/>
          <w:sz w:val="32"/>
          <w:szCs w:val="32"/>
        </w:rPr>
        <w:t>万元，比202</w:t>
      </w:r>
      <w:r>
        <w:rPr>
          <w:rFonts w:hint="default"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rPr>
        <w:t>年度</w:t>
      </w:r>
      <w:r>
        <w:rPr>
          <w:rFonts w:hint="default" w:ascii="Times New Roman" w:hAnsi="Times New Roman" w:eastAsia="方正仿宋_GBK" w:cs="Times New Roman"/>
          <w:sz w:val="32"/>
          <w:szCs w:val="32"/>
          <w:lang w:val="en-US" w:eastAsia="zh-CN"/>
        </w:rPr>
        <w:t>155.07万元</w:t>
      </w:r>
      <w:r>
        <w:rPr>
          <w:rFonts w:hint="eastAsia" w:eastAsia="方正仿宋_GBK" w:cs="Times New Roman"/>
          <w:sz w:val="32"/>
          <w:szCs w:val="32"/>
          <w:lang w:val="en-US" w:eastAsia="zh-CN"/>
        </w:rPr>
        <w:t>减少35.92</w:t>
      </w:r>
      <w:r>
        <w:rPr>
          <w:rFonts w:hint="default" w:ascii="Times New Roman" w:hAnsi="Times New Roman" w:eastAsia="方正仿宋_GBK" w:cs="Times New Roman"/>
          <w:sz w:val="32"/>
          <w:szCs w:val="32"/>
        </w:rPr>
        <w:t>万元，</w:t>
      </w:r>
      <w:r>
        <w:rPr>
          <w:rFonts w:hint="eastAsia" w:eastAsia="方正仿宋_GBK" w:cs="Times New Roman"/>
          <w:sz w:val="32"/>
          <w:szCs w:val="32"/>
          <w:lang w:val="en-US" w:eastAsia="zh-CN"/>
        </w:rPr>
        <w:t>下降23.17</w:t>
      </w:r>
      <w:r>
        <w:rPr>
          <w:rFonts w:hint="default" w:ascii="Times New Roman" w:hAnsi="Times New Roman" w:eastAsia="方正仿宋_GBK" w:cs="Times New Roman"/>
          <w:sz w:val="32"/>
          <w:szCs w:val="32"/>
        </w:rPr>
        <w:t>%。主要原因是</w:t>
      </w:r>
      <w:r>
        <w:rPr>
          <w:rFonts w:hint="eastAsia" w:eastAsia="方正仿宋_GBK" w:cs="Times New Roman"/>
          <w:sz w:val="32"/>
          <w:szCs w:val="32"/>
          <w:lang w:eastAsia="zh-CN"/>
        </w:rPr>
        <w:t>：</w:t>
      </w:r>
      <w:r>
        <w:rPr>
          <w:rFonts w:hint="default" w:ascii="Times New Roman" w:hAnsi="Times New Roman" w:eastAsia="方正仿宋_GBK" w:cs="Times New Roman"/>
          <w:b w:val="0"/>
          <w:bCs/>
          <w:kern w:val="0"/>
          <w:sz w:val="32"/>
          <w:szCs w:val="20"/>
          <w:highlight w:val="none"/>
          <w:u w:val="none"/>
          <w:lang w:val="en-US" w:eastAsia="zh-CN" w:bidi="ar-SA"/>
        </w:rPr>
        <w:t>厉行节约，从严控制机关运行经费支出</w:t>
      </w:r>
      <w:r>
        <w:rPr>
          <w:rFonts w:hint="default" w:ascii="Times New Roman" w:hAnsi="Times New Roman" w:eastAsia="方正仿宋_GBK" w:cs="Times New Roman"/>
          <w:sz w:val="32"/>
          <w:szCs w:val="32"/>
        </w:rPr>
        <w:t>。</w:t>
      </w:r>
    </w:p>
    <w:p>
      <w:pPr>
        <w:keepNext w:val="0"/>
        <w:keepLines w:val="0"/>
        <w:pageBreakBefore w:val="0"/>
        <w:widowControl w:val="0"/>
        <w:kinsoku/>
        <w:wordWrap/>
        <w:overflowPunct/>
        <w:topLinePunct w:val="0"/>
        <w:bidi w:val="0"/>
        <w:snapToGrid/>
        <w:spacing w:line="240" w:lineRule="auto"/>
        <w:ind w:left="0" w:firstLine="643" w:firstLineChars="200"/>
        <w:textAlignment w:val="auto"/>
        <w:outlineLvl w:val="2"/>
        <w:rPr>
          <w:rFonts w:hint="default" w:ascii="Times New Roman" w:hAnsi="Times New Roman" w:eastAsia="方正楷体_GBK" w:cs="Times New Roman"/>
          <w:b/>
          <w:sz w:val="32"/>
          <w:szCs w:val="32"/>
        </w:rPr>
      </w:pPr>
      <w:bookmarkStart w:id="52" w:name="_Toc15377223"/>
      <w:r>
        <w:rPr>
          <w:rFonts w:hint="default" w:ascii="Times New Roman" w:hAnsi="Times New Roman" w:eastAsia="方正楷体_GBK" w:cs="Times New Roman"/>
          <w:b/>
          <w:sz w:val="32"/>
          <w:szCs w:val="32"/>
        </w:rPr>
        <w:t>（二）政府采购支出情况</w:t>
      </w:r>
      <w:bookmarkEnd w:id="52"/>
    </w:p>
    <w:p>
      <w:pPr>
        <w:keepNext w:val="0"/>
        <w:keepLines w:val="0"/>
        <w:pageBreakBefore w:val="0"/>
        <w:widowControl w:val="0"/>
        <w:kinsoku/>
        <w:wordWrap/>
        <w:overflowPunct/>
        <w:topLinePunct w:val="0"/>
        <w:bidi w:val="0"/>
        <w:snapToGrid/>
        <w:spacing w:line="240" w:lineRule="auto"/>
        <w:ind w:left="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2024年度，</w:t>
      </w:r>
      <w:r>
        <w:rPr>
          <w:rFonts w:hint="eastAsia" w:eastAsia="方正仿宋_GBK" w:cs="Times New Roman"/>
          <w:sz w:val="32"/>
          <w:szCs w:val="32"/>
          <w:lang w:eastAsia="zh-CN"/>
        </w:rPr>
        <w:t>盐边县红宝苗族彝族乡人民政府</w:t>
      </w:r>
      <w:r>
        <w:rPr>
          <w:rFonts w:hint="default" w:ascii="Times New Roman" w:hAnsi="Times New Roman" w:eastAsia="方正仿宋_GBK" w:cs="Times New Roman"/>
          <w:sz w:val="32"/>
          <w:szCs w:val="32"/>
        </w:rPr>
        <w:t>采购支出总额4.39万元，其中：政府采购货物支出3.12万元、政府采购工程支出</w:t>
      </w:r>
      <w:r>
        <w:rPr>
          <w:rFonts w:hint="eastAsia" w:eastAsia="方正仿宋_GBK" w:cs="Times New Roman"/>
          <w:sz w:val="32"/>
          <w:szCs w:val="32"/>
          <w:lang w:val="en-US" w:eastAsia="zh-CN"/>
        </w:rPr>
        <w:t>0</w:t>
      </w:r>
      <w:r>
        <w:rPr>
          <w:rFonts w:hint="default" w:ascii="Times New Roman" w:hAnsi="Times New Roman" w:eastAsia="方正仿宋_GBK" w:cs="Times New Roman"/>
          <w:sz w:val="32"/>
          <w:szCs w:val="32"/>
        </w:rPr>
        <w:t>万元、政府采购服务支出1.26万元。主要用于</w:t>
      </w:r>
      <w:r>
        <w:rPr>
          <w:rFonts w:hint="eastAsia" w:eastAsia="方正仿宋_GBK" w:cs="Times New Roman"/>
          <w:sz w:val="32"/>
          <w:szCs w:val="32"/>
          <w:lang w:eastAsia="zh-CN"/>
        </w:rPr>
        <w:t>：主要用于双中心建设购买办公软件服务和购买洗衣机、打印机、电脑等设备</w:t>
      </w:r>
      <w:r>
        <w:rPr>
          <w:rFonts w:hint="default" w:ascii="Times New Roman" w:hAnsi="Times New Roman" w:eastAsia="方正仿宋_GBK" w:cs="Times New Roman"/>
          <w:sz w:val="32"/>
          <w:szCs w:val="32"/>
        </w:rPr>
        <w:t>。授予中小企业合同金额3.77万元，占政府采购支出总额的</w:t>
      </w:r>
      <w:r>
        <w:rPr>
          <w:rFonts w:hint="eastAsia" w:eastAsia="方正仿宋_GBK" w:cs="Times New Roman"/>
          <w:sz w:val="32"/>
          <w:szCs w:val="32"/>
          <w:lang w:val="en-US" w:eastAsia="zh-CN"/>
        </w:rPr>
        <w:t>85.88</w:t>
      </w:r>
      <w:r>
        <w:rPr>
          <w:rFonts w:hint="default" w:ascii="Times New Roman" w:hAnsi="Times New Roman" w:eastAsia="方正仿宋_GBK" w:cs="Times New Roman"/>
          <w:sz w:val="32"/>
          <w:szCs w:val="32"/>
        </w:rPr>
        <w:t>%，其中：授予小微企业合同金额3.77万元，占政府采购支出总额的</w:t>
      </w:r>
      <w:r>
        <w:rPr>
          <w:rFonts w:hint="eastAsia" w:eastAsia="方正仿宋_GBK" w:cs="Times New Roman"/>
          <w:sz w:val="32"/>
          <w:szCs w:val="32"/>
          <w:lang w:val="en-US" w:eastAsia="zh-CN"/>
        </w:rPr>
        <w:t>85.88</w:t>
      </w:r>
      <w:r>
        <w:rPr>
          <w:rFonts w:hint="default" w:ascii="Times New Roman" w:hAnsi="Times New Roman" w:eastAsia="方正仿宋_GBK" w:cs="Times New Roman"/>
          <w:sz w:val="32"/>
          <w:szCs w:val="32"/>
        </w:rPr>
        <w:t>%。</w:t>
      </w:r>
    </w:p>
    <w:p>
      <w:pPr>
        <w:keepNext w:val="0"/>
        <w:keepLines w:val="0"/>
        <w:pageBreakBefore w:val="0"/>
        <w:widowControl w:val="0"/>
        <w:kinsoku/>
        <w:wordWrap/>
        <w:overflowPunct/>
        <w:topLinePunct w:val="0"/>
        <w:bidi w:val="0"/>
        <w:snapToGrid/>
        <w:spacing w:line="240" w:lineRule="auto"/>
        <w:ind w:left="0" w:firstLine="643" w:firstLineChars="200"/>
        <w:textAlignment w:val="auto"/>
        <w:outlineLvl w:val="2"/>
        <w:rPr>
          <w:rFonts w:hint="default" w:ascii="Times New Roman" w:hAnsi="Times New Roman" w:eastAsia="方正楷体_GBK" w:cs="Times New Roman"/>
          <w:b/>
          <w:sz w:val="32"/>
          <w:szCs w:val="32"/>
        </w:rPr>
      </w:pPr>
      <w:bookmarkStart w:id="53" w:name="_Toc15377224"/>
      <w:r>
        <w:rPr>
          <w:rFonts w:hint="default" w:ascii="Times New Roman" w:hAnsi="Times New Roman" w:eastAsia="方正楷体_GBK" w:cs="Times New Roman"/>
          <w:b/>
          <w:sz w:val="32"/>
          <w:szCs w:val="32"/>
        </w:rPr>
        <w:t>（三）国有资产占有使用情况</w:t>
      </w:r>
      <w:bookmarkEnd w:id="53"/>
    </w:p>
    <w:p>
      <w:pPr>
        <w:keepNext w:val="0"/>
        <w:keepLines w:val="0"/>
        <w:pageBreakBefore w:val="0"/>
        <w:widowControl w:val="0"/>
        <w:kinsoku/>
        <w:wordWrap/>
        <w:overflowPunct/>
        <w:topLinePunct w:val="0"/>
        <w:autoSpaceDE w:val="0"/>
        <w:autoSpaceDN w:val="0"/>
        <w:bidi w:val="0"/>
        <w:adjustRightInd w:val="0"/>
        <w:snapToGrid/>
        <w:spacing w:line="240" w:lineRule="auto"/>
        <w:ind w:left="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截至2024年12月31日，盐边县红宝苗族彝族乡人民政府共有车辆</w:t>
      </w:r>
      <w:r>
        <w:rPr>
          <w:rFonts w:hint="eastAsia" w:eastAsia="方正仿宋_GBK" w:cs="Times New Roman"/>
          <w:sz w:val="32"/>
          <w:szCs w:val="32"/>
          <w:lang w:val="en-US" w:eastAsia="zh-CN"/>
        </w:rPr>
        <w:t>2</w:t>
      </w:r>
      <w:r>
        <w:rPr>
          <w:rFonts w:hint="default" w:ascii="Times New Roman" w:hAnsi="Times New Roman" w:eastAsia="方正仿宋_GBK" w:cs="Times New Roman"/>
          <w:sz w:val="32"/>
          <w:szCs w:val="32"/>
        </w:rPr>
        <w:t>辆，其中：主要负责人用车</w:t>
      </w:r>
      <w:r>
        <w:rPr>
          <w:rFonts w:hint="eastAsia" w:eastAsia="方正仿宋_GBK" w:cs="Times New Roman"/>
          <w:sz w:val="32"/>
          <w:szCs w:val="32"/>
          <w:lang w:val="en-US" w:eastAsia="zh-CN"/>
        </w:rPr>
        <w:t>0</w:t>
      </w:r>
      <w:r>
        <w:rPr>
          <w:rFonts w:hint="default" w:ascii="Times New Roman" w:hAnsi="Times New Roman" w:eastAsia="方正仿宋_GBK" w:cs="Times New Roman"/>
          <w:sz w:val="32"/>
          <w:szCs w:val="32"/>
        </w:rPr>
        <w:t>辆、机要通信用车</w:t>
      </w:r>
      <w:r>
        <w:rPr>
          <w:rFonts w:hint="eastAsia" w:eastAsia="方正仿宋_GBK" w:cs="Times New Roman"/>
          <w:sz w:val="32"/>
          <w:szCs w:val="32"/>
          <w:lang w:val="en-US" w:eastAsia="zh-CN"/>
        </w:rPr>
        <w:t>0</w:t>
      </w:r>
      <w:r>
        <w:rPr>
          <w:rFonts w:hint="default" w:ascii="Times New Roman" w:hAnsi="Times New Roman" w:eastAsia="方正仿宋_GBK" w:cs="Times New Roman"/>
          <w:sz w:val="32"/>
          <w:szCs w:val="32"/>
        </w:rPr>
        <w:t>辆、应急保障用车</w:t>
      </w:r>
      <w:r>
        <w:rPr>
          <w:rFonts w:hint="eastAsia" w:eastAsia="方正仿宋_GBK" w:cs="Times New Roman"/>
          <w:sz w:val="32"/>
          <w:szCs w:val="32"/>
          <w:lang w:val="en-US" w:eastAsia="zh-CN"/>
        </w:rPr>
        <w:t>2</w:t>
      </w:r>
      <w:r>
        <w:rPr>
          <w:rFonts w:hint="default" w:ascii="Times New Roman" w:hAnsi="Times New Roman" w:eastAsia="方正仿宋_GBK" w:cs="Times New Roman"/>
          <w:sz w:val="32"/>
          <w:szCs w:val="32"/>
        </w:rPr>
        <w:t>辆、其他用车</w:t>
      </w:r>
      <w:r>
        <w:rPr>
          <w:rFonts w:hint="eastAsia" w:eastAsia="方正仿宋_GBK" w:cs="Times New Roman"/>
          <w:sz w:val="32"/>
          <w:szCs w:val="32"/>
          <w:lang w:val="en-US" w:eastAsia="zh-CN"/>
        </w:rPr>
        <w:t>0</w:t>
      </w:r>
      <w:r>
        <w:rPr>
          <w:rFonts w:hint="default" w:ascii="Times New Roman" w:hAnsi="Times New Roman" w:eastAsia="方正仿宋_GBK" w:cs="Times New Roman"/>
          <w:sz w:val="32"/>
          <w:szCs w:val="32"/>
        </w:rPr>
        <w:t>辆。单价100万元（含）以上设备（不含车辆）</w:t>
      </w:r>
      <w:r>
        <w:rPr>
          <w:rFonts w:hint="eastAsia" w:eastAsia="方正仿宋_GBK" w:cs="Times New Roman"/>
          <w:sz w:val="32"/>
          <w:szCs w:val="32"/>
          <w:lang w:val="en-US" w:eastAsia="zh-CN"/>
        </w:rPr>
        <w:t>0</w:t>
      </w:r>
      <w:r>
        <w:rPr>
          <w:rFonts w:hint="default" w:ascii="Times New Roman" w:hAnsi="Times New Roman" w:eastAsia="方正仿宋_GBK" w:cs="Times New Roman"/>
          <w:sz w:val="32"/>
          <w:szCs w:val="32"/>
        </w:rPr>
        <w:t>台（套）。</w:t>
      </w:r>
    </w:p>
    <w:p>
      <w:pPr>
        <w:keepNext w:val="0"/>
        <w:keepLines w:val="0"/>
        <w:pageBreakBefore w:val="0"/>
        <w:widowControl w:val="0"/>
        <w:kinsoku/>
        <w:wordWrap/>
        <w:overflowPunct/>
        <w:topLinePunct w:val="0"/>
        <w:bidi w:val="0"/>
        <w:snapToGrid/>
        <w:spacing w:line="240" w:lineRule="auto"/>
        <w:ind w:left="0" w:firstLine="643" w:firstLineChars="200"/>
        <w:textAlignment w:val="auto"/>
        <w:outlineLvl w:val="2"/>
        <w:rPr>
          <w:rFonts w:hint="default" w:ascii="Times New Roman" w:hAnsi="Times New Roman" w:eastAsia="方正楷体_GBK" w:cs="Times New Roman"/>
          <w:b/>
          <w:sz w:val="32"/>
          <w:szCs w:val="32"/>
        </w:rPr>
      </w:pPr>
      <w:r>
        <w:rPr>
          <w:rFonts w:hint="default" w:ascii="Times New Roman" w:hAnsi="Times New Roman" w:eastAsia="方正楷体_GBK" w:cs="Times New Roman"/>
          <w:b/>
          <w:sz w:val="32"/>
          <w:szCs w:val="32"/>
        </w:rPr>
        <w:t>（四）预算绩效管理情况</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firstLine="640" w:firstLineChars="200"/>
        <w:jc w:val="both"/>
        <w:textAlignment w:val="auto"/>
        <w:outlineLvl w:val="1"/>
        <w:rPr>
          <w:rFonts w:hint="default" w:ascii="Times New Roman" w:hAnsi="Times New Roman" w:eastAsia="方正仿宋_GBK" w:cs="Times New Roman"/>
          <w:b w:val="0"/>
          <w:bCs/>
          <w:kern w:val="0"/>
          <w:sz w:val="32"/>
          <w:szCs w:val="32"/>
          <w:highlight w:val="none"/>
          <w:u w:val="none"/>
          <w:lang w:val="en-US" w:eastAsia="zh-CN" w:bidi="ar-SA"/>
        </w:rPr>
      </w:pPr>
      <w:r>
        <w:rPr>
          <w:rFonts w:hint="default" w:ascii="Times New Roman" w:hAnsi="Times New Roman" w:eastAsia="方正仿宋_GBK" w:cs="Times New Roman"/>
          <w:b w:val="0"/>
          <w:bCs/>
          <w:kern w:val="0"/>
          <w:sz w:val="32"/>
          <w:szCs w:val="32"/>
          <w:highlight w:val="none"/>
          <w:u w:val="none"/>
          <w:lang w:val="en-US" w:eastAsia="zh-CN" w:bidi="ar-SA"/>
        </w:rPr>
        <w:t>根据预算绩效管理要求，</w:t>
      </w:r>
      <w:r>
        <w:rPr>
          <w:rFonts w:hint="eastAsia" w:eastAsia="方正仿宋_GBK" w:cs="Times New Roman"/>
          <w:b w:val="0"/>
          <w:bCs/>
          <w:kern w:val="0"/>
          <w:sz w:val="32"/>
          <w:szCs w:val="32"/>
          <w:highlight w:val="none"/>
          <w:u w:val="none"/>
          <w:lang w:val="en-US" w:eastAsia="zh-CN" w:bidi="ar-SA"/>
        </w:rPr>
        <w:t>盐边县红宝苗族彝族乡人民政府</w:t>
      </w:r>
      <w:r>
        <w:rPr>
          <w:rFonts w:hint="default" w:ascii="Times New Roman" w:hAnsi="Times New Roman" w:eastAsia="方正仿宋_GBK" w:cs="Times New Roman"/>
          <w:b w:val="0"/>
          <w:bCs/>
          <w:kern w:val="0"/>
          <w:sz w:val="32"/>
          <w:szCs w:val="32"/>
          <w:highlight w:val="none"/>
          <w:u w:val="none"/>
          <w:lang w:val="en-US" w:eastAsia="zh-CN" w:bidi="ar-SA"/>
        </w:rPr>
        <w:t>在2024年度预算编制阶段，组织对红宝苗族彝族乡2024年社工服务站经费</w:t>
      </w:r>
      <w:r>
        <w:rPr>
          <w:rFonts w:hint="eastAsia" w:eastAsia="方正仿宋_GBK" w:cs="Times New Roman"/>
          <w:b w:val="0"/>
          <w:bCs/>
          <w:kern w:val="0"/>
          <w:sz w:val="32"/>
          <w:szCs w:val="32"/>
          <w:highlight w:val="none"/>
          <w:u w:val="none"/>
          <w:lang w:val="en-US" w:eastAsia="zh-CN" w:bidi="ar-SA"/>
        </w:rPr>
        <w:t>、红宝苗族彝族乡2024年少数民族工作经费、盐财资农【2024】42号关于下达择木龙村美丽乡村建设项目资金的通知</w:t>
      </w:r>
      <w:r>
        <w:rPr>
          <w:rFonts w:hint="default" w:ascii="Times New Roman" w:hAnsi="Times New Roman" w:eastAsia="方正仿宋_GBK" w:cs="Times New Roman"/>
          <w:b w:val="0"/>
          <w:bCs/>
          <w:kern w:val="0"/>
          <w:sz w:val="32"/>
          <w:szCs w:val="32"/>
          <w:highlight w:val="none"/>
          <w:u w:val="none"/>
          <w:lang w:val="en-US" w:eastAsia="zh-CN" w:bidi="ar-SA"/>
        </w:rPr>
        <w:t>等33个项目开展了预算事前绩效评估，对33个项目编制了绩效目标，预算执行过程中，选取</w:t>
      </w:r>
      <w:r>
        <w:rPr>
          <w:rFonts w:hint="eastAsia" w:eastAsia="方正仿宋_GBK" w:cs="Times New Roman"/>
          <w:b w:val="0"/>
          <w:bCs/>
          <w:kern w:val="0"/>
          <w:sz w:val="32"/>
          <w:szCs w:val="32"/>
          <w:highlight w:val="none"/>
          <w:u w:val="none"/>
          <w:lang w:val="en-US" w:eastAsia="zh-CN" w:bidi="ar-SA"/>
        </w:rPr>
        <w:t>33</w:t>
      </w:r>
      <w:r>
        <w:rPr>
          <w:rFonts w:hint="default" w:ascii="Times New Roman" w:hAnsi="Times New Roman" w:eastAsia="方正仿宋_GBK" w:cs="Times New Roman"/>
          <w:b w:val="0"/>
          <w:bCs/>
          <w:kern w:val="0"/>
          <w:sz w:val="32"/>
          <w:szCs w:val="32"/>
          <w:highlight w:val="none"/>
          <w:u w:val="none"/>
          <w:lang w:val="en-US" w:eastAsia="zh-CN" w:bidi="ar-SA"/>
        </w:rPr>
        <w:t>个项目开展绩效监控。</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firstLine="640" w:firstLineChars="200"/>
        <w:jc w:val="both"/>
        <w:textAlignment w:val="auto"/>
        <w:outlineLvl w:val="1"/>
        <w:rPr>
          <w:rFonts w:hint="default" w:ascii="Times New Roman" w:hAnsi="Times New Roman" w:eastAsia="方正仿宋_GBK" w:cs="Times New Roman"/>
          <w:b w:val="0"/>
          <w:bCs/>
          <w:kern w:val="0"/>
          <w:sz w:val="32"/>
          <w:szCs w:val="32"/>
          <w:highlight w:val="none"/>
          <w:u w:val="none"/>
          <w:lang w:val="en-US" w:eastAsia="zh-CN" w:bidi="ar-SA"/>
        </w:rPr>
      </w:pPr>
      <w:r>
        <w:rPr>
          <w:rFonts w:hint="default" w:ascii="Times New Roman" w:hAnsi="Times New Roman" w:eastAsia="方正仿宋_GBK" w:cs="Times New Roman"/>
          <w:b w:val="0"/>
          <w:bCs/>
          <w:kern w:val="0"/>
          <w:sz w:val="32"/>
          <w:szCs w:val="32"/>
          <w:highlight w:val="none"/>
          <w:u w:val="none"/>
          <w:lang w:val="en-US" w:eastAsia="zh-CN" w:bidi="ar-SA"/>
        </w:rPr>
        <w:t>组织对2024年度一般公共预算、政府性基金预算、国有资本经营预算、社会保险基金预算以及资本资产、债券资金等全面开展绩效自评，形成</w:t>
      </w:r>
      <w:r>
        <w:rPr>
          <w:rFonts w:hint="eastAsia" w:eastAsia="方正仿宋_GBK" w:cs="Times New Roman"/>
          <w:b w:val="0"/>
          <w:bCs/>
          <w:kern w:val="0"/>
          <w:sz w:val="32"/>
          <w:szCs w:val="32"/>
          <w:highlight w:val="none"/>
          <w:u w:val="none"/>
          <w:lang w:val="en-US" w:eastAsia="zh-CN" w:bidi="ar-SA"/>
        </w:rPr>
        <w:t>盐边县红宝苗族彝族乡人民政府</w:t>
      </w:r>
      <w:r>
        <w:rPr>
          <w:rFonts w:hint="default" w:ascii="Times New Roman" w:hAnsi="Times New Roman" w:eastAsia="方正仿宋_GBK" w:cs="Times New Roman"/>
          <w:b w:val="0"/>
          <w:bCs/>
          <w:kern w:val="0"/>
          <w:sz w:val="32"/>
          <w:szCs w:val="32"/>
          <w:highlight w:val="none"/>
          <w:u w:val="none"/>
          <w:lang w:val="en-US" w:eastAsia="zh-CN" w:bidi="ar-SA"/>
        </w:rPr>
        <w:t>部门整体（含部门预算项目）绩效自评报告</w:t>
      </w:r>
      <w:r>
        <w:rPr>
          <w:rFonts w:hint="eastAsia" w:eastAsia="方正仿宋_GBK" w:cs="Times New Roman"/>
          <w:b w:val="0"/>
          <w:bCs/>
          <w:kern w:val="0"/>
          <w:sz w:val="32"/>
          <w:szCs w:val="32"/>
          <w:highlight w:val="none"/>
          <w:u w:val="none"/>
          <w:lang w:val="en-US" w:eastAsia="zh-CN" w:bidi="ar-SA"/>
        </w:rPr>
        <w:t>，形成</w:t>
      </w:r>
      <w:r>
        <w:rPr>
          <w:rFonts w:hint="default" w:ascii="Times New Roman" w:hAnsi="Times New Roman" w:eastAsia="方正仿宋_GBK" w:cs="Times New Roman"/>
          <w:b w:val="0"/>
          <w:bCs/>
          <w:kern w:val="0"/>
          <w:sz w:val="32"/>
          <w:szCs w:val="32"/>
          <w:highlight w:val="none"/>
          <w:u w:val="none"/>
          <w:lang w:val="en-US" w:eastAsia="zh-CN" w:bidi="ar-SA"/>
        </w:rPr>
        <w:t>盐财资建【2024】50号关于下达2023年省村（社区）森林防火奖补资金预算的通知</w:t>
      </w:r>
      <w:r>
        <w:rPr>
          <w:rFonts w:hint="eastAsia" w:eastAsia="方正仿宋_GBK" w:cs="Times New Roman"/>
          <w:b w:val="0"/>
          <w:bCs/>
          <w:kern w:val="0"/>
          <w:sz w:val="32"/>
          <w:szCs w:val="32"/>
          <w:highlight w:val="none"/>
          <w:u w:val="none"/>
          <w:lang w:val="en-US" w:eastAsia="zh-CN" w:bidi="ar-SA"/>
        </w:rPr>
        <w:t>、盐财资预【2024】17号盐边县财政局关于下达2024年省级村级公共服务经费的通知、盐财资行【2024】362号下达2024年中央和省级财政公共图书馆、美术馆、文化馆（站）免费开放补助资金项目</w:t>
      </w:r>
      <w:r>
        <w:rPr>
          <w:rFonts w:hint="default" w:ascii="Times New Roman" w:hAnsi="Times New Roman" w:eastAsia="方正仿宋_GBK" w:cs="Times New Roman"/>
          <w:b w:val="0"/>
          <w:bCs/>
          <w:kern w:val="0"/>
          <w:sz w:val="32"/>
          <w:szCs w:val="32"/>
          <w:highlight w:val="none"/>
          <w:u w:val="none"/>
          <w:lang w:val="en-US" w:eastAsia="zh-CN" w:bidi="ar-SA"/>
        </w:rPr>
        <w:t>等专项预算项目绩效自评报告</w:t>
      </w:r>
      <w:r>
        <w:rPr>
          <w:rFonts w:hint="eastAsia" w:eastAsia="方正仿宋_GBK" w:cs="Times New Roman"/>
          <w:b w:val="0"/>
          <w:bCs/>
          <w:kern w:val="0"/>
          <w:sz w:val="32"/>
          <w:szCs w:val="32"/>
          <w:highlight w:val="none"/>
          <w:u w:val="none"/>
          <w:lang w:val="en-US" w:eastAsia="zh-CN" w:bidi="ar-SA"/>
        </w:rPr>
        <w:t>。</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firstLine="640" w:firstLineChars="200"/>
        <w:jc w:val="both"/>
        <w:textAlignment w:val="auto"/>
        <w:outlineLvl w:val="1"/>
        <w:rPr>
          <w:rFonts w:hint="eastAsia" w:eastAsia="方正仿宋_GBK" w:cs="Times New Roman"/>
          <w:b w:val="0"/>
          <w:bCs/>
          <w:kern w:val="0"/>
          <w:sz w:val="32"/>
          <w:szCs w:val="32"/>
          <w:highlight w:val="none"/>
          <w:u w:val="none"/>
          <w:lang w:val="en-US" w:eastAsia="zh-CN" w:bidi="ar-SA"/>
        </w:rPr>
      </w:pPr>
      <w:r>
        <w:rPr>
          <w:rFonts w:hint="default" w:ascii="Times New Roman" w:hAnsi="Times New Roman" w:eastAsia="方正仿宋_GBK" w:cs="Times New Roman"/>
          <w:b w:val="0"/>
          <w:bCs/>
          <w:kern w:val="0"/>
          <w:sz w:val="32"/>
          <w:szCs w:val="32"/>
          <w:highlight w:val="none"/>
          <w:u w:val="none"/>
          <w:lang w:val="en-US" w:eastAsia="zh-CN" w:bidi="ar-SA"/>
        </w:rPr>
        <w:t>其中，盐边县红宝苗族彝族乡人民政府部门整体（含部门预算项目）绩效自评得分为95.1分，绩效自评综述</w:t>
      </w:r>
      <w:r>
        <w:rPr>
          <w:rFonts w:hint="eastAsia" w:eastAsia="方正仿宋_GBK" w:cs="Times New Roman"/>
          <w:b w:val="0"/>
          <w:bCs/>
          <w:kern w:val="0"/>
          <w:sz w:val="32"/>
          <w:szCs w:val="32"/>
          <w:highlight w:val="none"/>
          <w:u w:val="none"/>
          <w:lang w:val="en-US" w:eastAsia="zh-CN" w:bidi="ar-SA"/>
        </w:rPr>
        <w:t>：</w:t>
      </w:r>
      <w:r>
        <w:rPr>
          <w:rFonts w:hint="default" w:ascii="Times New Roman" w:hAnsi="Times New Roman" w:eastAsia="方正仿宋_GBK" w:cs="Times New Roman"/>
          <w:b w:val="0"/>
          <w:bCs/>
          <w:kern w:val="0"/>
          <w:sz w:val="32"/>
          <w:szCs w:val="32"/>
          <w:highlight w:val="none"/>
          <w:u w:val="none"/>
          <w:lang w:val="en-US" w:eastAsia="zh-CN" w:bidi="ar-SA"/>
        </w:rPr>
        <w:t>项目总体绩效目标基本实现，资金使用规范有效，全年财政资金紧缺，部分项目资金报账拖沓，导致预算支出执行进度偏慢，支付进度滞后，影响项目进度，同时预算绩效管理水平有待进一步提升</w:t>
      </w:r>
      <w:r>
        <w:rPr>
          <w:rFonts w:hint="eastAsia" w:eastAsia="方正仿宋_GBK" w:cs="Times New Roman"/>
          <w:b w:val="0"/>
          <w:bCs/>
          <w:kern w:val="0"/>
          <w:sz w:val="32"/>
          <w:szCs w:val="32"/>
          <w:highlight w:val="none"/>
          <w:u w:val="none"/>
          <w:lang w:val="en-US" w:eastAsia="zh-CN" w:bidi="ar-SA"/>
        </w:rPr>
        <w:t>。</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firstLine="640" w:firstLineChars="200"/>
        <w:jc w:val="both"/>
        <w:textAlignment w:val="auto"/>
        <w:outlineLvl w:val="1"/>
        <w:rPr>
          <w:rFonts w:hint="default" w:ascii="Times New Roman" w:hAnsi="Times New Roman" w:eastAsia="方正仿宋_GBK" w:cs="Times New Roman"/>
          <w:b w:val="0"/>
          <w:bCs/>
          <w:kern w:val="0"/>
          <w:sz w:val="32"/>
          <w:szCs w:val="32"/>
          <w:highlight w:val="none"/>
          <w:u w:val="none"/>
          <w:lang w:val="en-US" w:eastAsia="zh-CN" w:bidi="ar-SA"/>
        </w:rPr>
      </w:pPr>
      <w:r>
        <w:rPr>
          <w:rFonts w:hint="default" w:ascii="Times New Roman" w:hAnsi="Times New Roman" w:eastAsia="方正仿宋_GBK" w:cs="Times New Roman"/>
          <w:b w:val="0"/>
          <w:bCs/>
          <w:kern w:val="0"/>
          <w:sz w:val="32"/>
          <w:szCs w:val="32"/>
          <w:highlight w:val="none"/>
          <w:u w:val="none"/>
          <w:lang w:val="en-US" w:eastAsia="zh-CN" w:bidi="ar-SA"/>
        </w:rPr>
        <w:t>盐财资行【2024】94号关于下达2024年公共图书馆、美术馆、文化馆（站）免费开放中央补助资金预算的通知专项预算项目绩效自评得分为</w:t>
      </w:r>
      <w:r>
        <w:rPr>
          <w:rFonts w:hint="eastAsia" w:eastAsia="方正仿宋_GBK" w:cs="Times New Roman"/>
          <w:b w:val="0"/>
          <w:bCs/>
          <w:kern w:val="0"/>
          <w:sz w:val="32"/>
          <w:szCs w:val="32"/>
          <w:highlight w:val="none"/>
          <w:u w:val="none"/>
          <w:lang w:val="en-US" w:eastAsia="zh-CN" w:bidi="ar-SA"/>
        </w:rPr>
        <w:t>100</w:t>
      </w:r>
      <w:r>
        <w:rPr>
          <w:rFonts w:hint="default" w:ascii="Times New Roman" w:hAnsi="Times New Roman" w:eastAsia="方正仿宋_GBK" w:cs="Times New Roman"/>
          <w:b w:val="0"/>
          <w:bCs/>
          <w:kern w:val="0"/>
          <w:sz w:val="32"/>
          <w:szCs w:val="32"/>
          <w:highlight w:val="none"/>
          <w:u w:val="none"/>
          <w:lang w:val="en-US" w:eastAsia="zh-CN" w:bidi="ar-SA"/>
        </w:rPr>
        <w:t>分，绩效自评综述</w:t>
      </w:r>
      <w:r>
        <w:rPr>
          <w:rFonts w:hint="eastAsia" w:eastAsia="方正仿宋_GBK" w:cs="Times New Roman"/>
          <w:b w:val="0"/>
          <w:bCs/>
          <w:kern w:val="0"/>
          <w:sz w:val="32"/>
          <w:szCs w:val="32"/>
          <w:highlight w:val="none"/>
          <w:u w:val="none"/>
          <w:lang w:val="en-US" w:eastAsia="zh-CN" w:bidi="ar-SA"/>
        </w:rPr>
        <w:t>：项目总体绩效目标基本实现，资金使用规范有效，完善我乡文化站1座基础设施，为辖区3605名群众提供文化服务，满足居民基本精神文明需求，评价等级为“优”。</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firstLine="640" w:firstLineChars="200"/>
        <w:jc w:val="both"/>
        <w:textAlignment w:val="auto"/>
        <w:outlineLvl w:val="1"/>
        <w:rPr>
          <w:rFonts w:hint="default" w:eastAsia="方正仿宋_GBK" w:cs="Times New Roman"/>
          <w:b w:val="0"/>
          <w:bCs/>
          <w:kern w:val="0"/>
          <w:sz w:val="32"/>
          <w:szCs w:val="32"/>
          <w:highlight w:val="none"/>
          <w:u w:val="none"/>
          <w:lang w:val="en-US" w:eastAsia="zh-CN" w:bidi="ar-SA"/>
        </w:rPr>
      </w:pPr>
      <w:r>
        <w:rPr>
          <w:rFonts w:hint="eastAsia" w:eastAsia="方正仿宋_GBK" w:cs="Times New Roman"/>
          <w:b w:val="0"/>
          <w:bCs/>
          <w:kern w:val="0"/>
          <w:sz w:val="32"/>
          <w:szCs w:val="32"/>
          <w:highlight w:val="none"/>
          <w:u w:val="none"/>
          <w:lang w:val="en-US" w:eastAsia="zh-CN" w:bidi="ar-SA"/>
        </w:rPr>
        <w:t>盐财资行【2024】362号下达2024年中央和省级财政公共图书馆、美术馆、文化馆（站）免费开放补助资金项目</w:t>
      </w:r>
      <w:r>
        <w:rPr>
          <w:rFonts w:hint="default" w:ascii="Times New Roman" w:hAnsi="Times New Roman" w:eastAsia="方正仿宋_GBK" w:cs="Times New Roman"/>
          <w:b w:val="0"/>
          <w:bCs/>
          <w:kern w:val="0"/>
          <w:sz w:val="32"/>
          <w:szCs w:val="32"/>
          <w:highlight w:val="none"/>
          <w:u w:val="none"/>
          <w:lang w:val="en-US" w:eastAsia="zh-CN" w:bidi="ar-SA"/>
        </w:rPr>
        <w:t>专项预算项目绩效自评得分为100分，绩效自评综述：项目总体绩效目标基本实现，资金使用规范有效，</w:t>
      </w:r>
      <w:r>
        <w:rPr>
          <w:rFonts w:hint="eastAsia" w:eastAsia="方正仿宋_GBK" w:cs="Times New Roman"/>
          <w:b w:val="0"/>
          <w:bCs/>
          <w:kern w:val="0"/>
          <w:sz w:val="32"/>
          <w:szCs w:val="32"/>
          <w:highlight w:val="none"/>
          <w:u w:val="none"/>
          <w:lang w:val="en-US" w:eastAsia="zh-CN" w:bidi="ar-SA"/>
        </w:rPr>
        <w:t>完善我乡文化站1座基础设施，为辖区3605名群众提供文化服务，满足居民基本精神文明需求</w:t>
      </w:r>
      <w:r>
        <w:rPr>
          <w:rFonts w:hint="default" w:eastAsia="方正仿宋_GBK" w:cs="Times New Roman"/>
          <w:b w:val="0"/>
          <w:bCs/>
          <w:kern w:val="0"/>
          <w:sz w:val="32"/>
          <w:szCs w:val="32"/>
          <w:highlight w:val="none"/>
          <w:u w:val="none"/>
          <w:lang w:val="en-US" w:eastAsia="zh-CN" w:bidi="ar-SA"/>
        </w:rPr>
        <w:t>，评价等级为“优”。</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firstLine="640" w:firstLineChars="200"/>
        <w:jc w:val="both"/>
        <w:textAlignment w:val="auto"/>
        <w:outlineLvl w:val="1"/>
        <w:rPr>
          <w:rFonts w:hint="default" w:eastAsia="方正仿宋_GBK" w:cs="Times New Roman"/>
          <w:b w:val="0"/>
          <w:bCs/>
          <w:kern w:val="0"/>
          <w:sz w:val="32"/>
          <w:szCs w:val="32"/>
          <w:highlight w:val="none"/>
          <w:u w:val="none"/>
          <w:lang w:val="en-US" w:eastAsia="zh-CN" w:bidi="ar-SA"/>
        </w:rPr>
      </w:pPr>
      <w:r>
        <w:rPr>
          <w:rFonts w:hint="eastAsia" w:eastAsia="方正仿宋_GBK" w:cs="Times New Roman"/>
          <w:b w:val="0"/>
          <w:bCs/>
          <w:kern w:val="0"/>
          <w:sz w:val="32"/>
          <w:szCs w:val="32"/>
          <w:highlight w:val="none"/>
          <w:u w:val="none"/>
          <w:lang w:val="en-US" w:eastAsia="zh-CN" w:bidi="ar-SA"/>
        </w:rPr>
        <w:t>盐财资建【2024】50号关于下达2023年省村（社区）森林防火奖补资金预算的通知</w:t>
      </w:r>
      <w:r>
        <w:rPr>
          <w:rFonts w:hint="default" w:eastAsia="方正仿宋_GBK" w:cs="Times New Roman"/>
          <w:b w:val="0"/>
          <w:bCs/>
          <w:kern w:val="0"/>
          <w:sz w:val="32"/>
          <w:szCs w:val="32"/>
          <w:highlight w:val="none"/>
          <w:u w:val="none"/>
          <w:lang w:val="en-US" w:eastAsia="zh-CN" w:bidi="ar-SA"/>
        </w:rPr>
        <w:t>专项预算项目绩效自评得分为100分，绩效自评综述：项目总体绩效目标基本实现，资金使用规范有效，</w:t>
      </w:r>
      <w:r>
        <w:rPr>
          <w:rFonts w:hint="eastAsia" w:eastAsia="方正仿宋_GBK" w:cs="Times New Roman"/>
          <w:b w:val="0"/>
          <w:bCs/>
          <w:kern w:val="0"/>
          <w:sz w:val="32"/>
          <w:szCs w:val="32"/>
          <w:highlight w:val="none"/>
          <w:u w:val="none"/>
          <w:lang w:val="en-US" w:eastAsia="zh-CN" w:bidi="ar-SA"/>
        </w:rPr>
        <w:t>保障我乡5个村森林草原防灭火工作安全，加强对森林资源和人民生命安全的保护，促进林业发展，改善生态环境</w:t>
      </w:r>
      <w:r>
        <w:rPr>
          <w:rFonts w:hint="default" w:eastAsia="方正仿宋_GBK" w:cs="Times New Roman"/>
          <w:b w:val="0"/>
          <w:bCs/>
          <w:kern w:val="0"/>
          <w:sz w:val="32"/>
          <w:szCs w:val="32"/>
          <w:highlight w:val="none"/>
          <w:u w:val="none"/>
          <w:lang w:val="en-US" w:eastAsia="zh-CN" w:bidi="ar-SA"/>
        </w:rPr>
        <w:t>，评价等级为“优”。</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firstLine="640" w:firstLineChars="200"/>
        <w:jc w:val="both"/>
        <w:textAlignment w:val="auto"/>
        <w:outlineLvl w:val="1"/>
        <w:rPr>
          <w:rFonts w:hint="default" w:eastAsia="方正仿宋_GBK" w:cs="Times New Roman"/>
          <w:b w:val="0"/>
          <w:bCs/>
          <w:kern w:val="0"/>
          <w:sz w:val="32"/>
          <w:szCs w:val="32"/>
          <w:highlight w:val="none"/>
          <w:u w:val="none"/>
          <w:lang w:val="en-US" w:eastAsia="zh-CN" w:bidi="ar-SA"/>
        </w:rPr>
      </w:pPr>
      <w:r>
        <w:rPr>
          <w:rFonts w:hint="eastAsia" w:eastAsia="方正仿宋_GBK" w:cs="Times New Roman"/>
          <w:b w:val="0"/>
          <w:bCs/>
          <w:kern w:val="0"/>
          <w:sz w:val="32"/>
          <w:szCs w:val="32"/>
          <w:highlight w:val="none"/>
          <w:u w:val="none"/>
          <w:lang w:val="en-US" w:eastAsia="zh-CN" w:bidi="ar-SA"/>
        </w:rPr>
        <w:t>盐财资预【2024】17号盐边县财政局关于下达2024年省级村级公共服务经费的通知</w:t>
      </w:r>
      <w:r>
        <w:rPr>
          <w:rFonts w:hint="default" w:eastAsia="方正仿宋_GBK" w:cs="Times New Roman"/>
          <w:b w:val="0"/>
          <w:bCs/>
          <w:kern w:val="0"/>
          <w:sz w:val="32"/>
          <w:szCs w:val="32"/>
          <w:highlight w:val="none"/>
          <w:u w:val="none"/>
          <w:lang w:val="en-US" w:eastAsia="zh-CN" w:bidi="ar-SA"/>
        </w:rPr>
        <w:t>专项预算项目绩效自评得分为100分，绩效自评综述：项目总体绩效目标基本实现，资金使用规范有效，</w:t>
      </w:r>
      <w:r>
        <w:rPr>
          <w:rFonts w:hint="eastAsia" w:eastAsia="方正仿宋_GBK" w:cs="Times New Roman"/>
          <w:b w:val="0"/>
          <w:bCs/>
          <w:kern w:val="0"/>
          <w:sz w:val="32"/>
          <w:szCs w:val="32"/>
          <w:highlight w:val="none"/>
          <w:u w:val="none"/>
          <w:lang w:val="en-US" w:eastAsia="zh-CN" w:bidi="ar-SA"/>
        </w:rPr>
        <w:t>保障我乡5个村公共服务正常运行，提升群众获得感、幸福感</w:t>
      </w:r>
      <w:r>
        <w:rPr>
          <w:rFonts w:hint="default" w:eastAsia="方正仿宋_GBK" w:cs="Times New Roman"/>
          <w:b w:val="0"/>
          <w:bCs/>
          <w:kern w:val="0"/>
          <w:sz w:val="32"/>
          <w:szCs w:val="32"/>
          <w:highlight w:val="none"/>
          <w:u w:val="none"/>
          <w:lang w:val="en-US" w:eastAsia="zh-CN" w:bidi="ar-SA"/>
        </w:rPr>
        <w:t>，评价等级为“优”。</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firstLine="640" w:firstLineChars="200"/>
        <w:jc w:val="both"/>
        <w:textAlignment w:val="auto"/>
        <w:outlineLvl w:val="1"/>
        <w:rPr>
          <w:rFonts w:hint="default" w:eastAsia="方正仿宋_GBK" w:cs="Times New Roman"/>
          <w:b w:val="0"/>
          <w:bCs/>
          <w:kern w:val="0"/>
          <w:sz w:val="32"/>
          <w:szCs w:val="32"/>
          <w:highlight w:val="none"/>
          <w:u w:val="none"/>
          <w:lang w:val="en-US" w:eastAsia="zh-CN" w:bidi="ar-SA"/>
        </w:rPr>
      </w:pPr>
      <w:r>
        <w:rPr>
          <w:rFonts w:hint="eastAsia" w:eastAsia="方正仿宋_GBK" w:cs="Times New Roman"/>
          <w:b w:val="0"/>
          <w:bCs/>
          <w:kern w:val="0"/>
          <w:sz w:val="32"/>
          <w:szCs w:val="32"/>
          <w:highlight w:val="none"/>
          <w:u w:val="none"/>
          <w:lang w:val="en-US" w:eastAsia="zh-CN" w:bidi="ar-SA"/>
        </w:rPr>
        <w:t>盐财资预【2023】115号关于下达2023年省级村级公共服务经费的通知</w:t>
      </w:r>
      <w:r>
        <w:rPr>
          <w:rFonts w:hint="default" w:eastAsia="方正仿宋_GBK" w:cs="Times New Roman"/>
          <w:b w:val="0"/>
          <w:bCs/>
          <w:kern w:val="0"/>
          <w:sz w:val="32"/>
          <w:szCs w:val="32"/>
          <w:highlight w:val="none"/>
          <w:u w:val="none"/>
          <w:lang w:val="en-US" w:eastAsia="zh-CN" w:bidi="ar-SA"/>
        </w:rPr>
        <w:t>专项预算项目绩效自评得分为100分，绩效自评综述：项目总体绩效目标基本实现，资金使用规范有效，</w:t>
      </w:r>
      <w:r>
        <w:rPr>
          <w:rFonts w:hint="eastAsia" w:eastAsia="方正仿宋_GBK" w:cs="Times New Roman"/>
          <w:b w:val="0"/>
          <w:bCs/>
          <w:kern w:val="0"/>
          <w:sz w:val="32"/>
          <w:szCs w:val="32"/>
          <w:highlight w:val="none"/>
          <w:u w:val="none"/>
          <w:lang w:val="en-US" w:eastAsia="zh-CN" w:bidi="ar-SA"/>
        </w:rPr>
        <w:t>保障村级标准建设，更好的开展村级工作，增强基层组织凝聚力</w:t>
      </w:r>
      <w:r>
        <w:rPr>
          <w:rFonts w:hint="default" w:eastAsia="方正仿宋_GBK" w:cs="Times New Roman"/>
          <w:b w:val="0"/>
          <w:bCs/>
          <w:kern w:val="0"/>
          <w:sz w:val="32"/>
          <w:szCs w:val="32"/>
          <w:highlight w:val="none"/>
          <w:u w:val="none"/>
          <w:lang w:val="en-US" w:eastAsia="zh-CN" w:bidi="ar-SA"/>
        </w:rPr>
        <w:t>，评价等级为“优”。</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firstLine="640" w:firstLineChars="200"/>
        <w:jc w:val="both"/>
        <w:textAlignment w:val="auto"/>
        <w:outlineLvl w:val="1"/>
        <w:rPr>
          <w:rFonts w:hint="default" w:eastAsia="方正仿宋_GBK" w:cs="Times New Roman"/>
          <w:b w:val="0"/>
          <w:bCs/>
          <w:kern w:val="0"/>
          <w:sz w:val="32"/>
          <w:szCs w:val="32"/>
          <w:highlight w:val="none"/>
          <w:u w:val="none"/>
          <w:lang w:val="en-US" w:eastAsia="zh-CN" w:bidi="ar-SA"/>
        </w:rPr>
      </w:pPr>
      <w:r>
        <w:rPr>
          <w:rFonts w:hint="eastAsia" w:eastAsia="方正仿宋_GBK" w:cs="Times New Roman"/>
          <w:b w:val="0"/>
          <w:bCs/>
          <w:kern w:val="0"/>
          <w:sz w:val="32"/>
          <w:szCs w:val="32"/>
          <w:highlight w:val="none"/>
          <w:u w:val="none"/>
          <w:lang w:val="en-US" w:eastAsia="zh-CN" w:bidi="ar-SA"/>
        </w:rPr>
        <w:t>盐财资农【2024】42号关于下达择木龙村美丽乡村建设项目资金的通知</w:t>
      </w:r>
      <w:r>
        <w:rPr>
          <w:rFonts w:hint="default" w:eastAsia="方正仿宋_GBK" w:cs="Times New Roman"/>
          <w:b w:val="0"/>
          <w:bCs/>
          <w:kern w:val="0"/>
          <w:sz w:val="32"/>
          <w:szCs w:val="32"/>
          <w:highlight w:val="none"/>
          <w:u w:val="none"/>
          <w:lang w:val="en-US" w:eastAsia="zh-CN" w:bidi="ar-SA"/>
        </w:rPr>
        <w:t>专项预算项目绩效自评得分为100分，绩效自评综述：项目总体绩效目标基本实现，资金使用规范有效，</w:t>
      </w:r>
      <w:r>
        <w:rPr>
          <w:rFonts w:hint="eastAsia" w:eastAsia="方正仿宋_GBK" w:cs="Times New Roman"/>
          <w:b w:val="0"/>
          <w:bCs/>
          <w:kern w:val="0"/>
          <w:sz w:val="32"/>
          <w:szCs w:val="32"/>
          <w:highlight w:val="none"/>
          <w:u w:val="none"/>
          <w:lang w:val="en-US" w:eastAsia="zh-CN" w:bidi="ar-SA"/>
        </w:rPr>
        <w:t>完成择木龙驿站提档升级、集中点路面修缮、新修便民路、维修便民桥，长草坪组产业园基础设施配套，核桃产业基础设施配套，沿线居住点墙绘，集中居住点环境规整，生活垃圾治理，村民活动广场提档升级，交通服务站修建等</w:t>
      </w:r>
      <w:r>
        <w:rPr>
          <w:rFonts w:hint="default" w:eastAsia="方正仿宋_GBK" w:cs="Times New Roman"/>
          <w:b w:val="0"/>
          <w:bCs/>
          <w:kern w:val="0"/>
          <w:sz w:val="32"/>
          <w:szCs w:val="32"/>
          <w:highlight w:val="none"/>
          <w:u w:val="none"/>
          <w:lang w:val="en-US" w:eastAsia="zh-CN" w:bidi="ar-SA"/>
        </w:rPr>
        <w:t>，评价等级为“优”。</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firstLine="640" w:firstLineChars="200"/>
        <w:jc w:val="both"/>
        <w:textAlignment w:val="auto"/>
        <w:outlineLvl w:val="1"/>
        <w:rPr>
          <w:rFonts w:hint="default" w:eastAsia="方正仿宋_GBK" w:cs="Times New Roman"/>
          <w:b w:val="0"/>
          <w:bCs/>
          <w:kern w:val="0"/>
          <w:sz w:val="32"/>
          <w:szCs w:val="32"/>
          <w:highlight w:val="none"/>
          <w:u w:val="none"/>
          <w:lang w:val="en-US" w:eastAsia="zh-CN" w:bidi="ar-SA"/>
        </w:rPr>
      </w:pPr>
      <w:r>
        <w:rPr>
          <w:rFonts w:hint="eastAsia" w:eastAsia="方正仿宋_GBK" w:cs="Times New Roman"/>
          <w:b w:val="0"/>
          <w:bCs/>
          <w:kern w:val="0"/>
          <w:sz w:val="32"/>
          <w:szCs w:val="32"/>
          <w:highlight w:val="none"/>
          <w:u w:val="none"/>
          <w:lang w:val="en-US" w:eastAsia="zh-CN" w:bidi="ar-SA"/>
        </w:rPr>
        <w:t>盐财资预【2024】59号关于下达应急抢险救灾资金预算指标的通知</w:t>
      </w:r>
      <w:r>
        <w:rPr>
          <w:rFonts w:hint="default" w:eastAsia="方正仿宋_GBK" w:cs="Times New Roman"/>
          <w:b w:val="0"/>
          <w:bCs/>
          <w:kern w:val="0"/>
          <w:sz w:val="32"/>
          <w:szCs w:val="32"/>
          <w:highlight w:val="none"/>
          <w:u w:val="none"/>
          <w:lang w:val="en-US" w:eastAsia="zh-CN" w:bidi="ar-SA"/>
        </w:rPr>
        <w:t>专项预算项目绩效自评得分为100分，绩效自评综述：项目总体绩效目标基本实现，资金使用规范有效，</w:t>
      </w:r>
      <w:r>
        <w:rPr>
          <w:rFonts w:hint="eastAsia" w:eastAsia="方正仿宋_GBK" w:cs="Times New Roman"/>
          <w:b w:val="0"/>
          <w:bCs/>
          <w:kern w:val="0"/>
          <w:sz w:val="32"/>
          <w:szCs w:val="32"/>
          <w:highlight w:val="none"/>
          <w:u w:val="none"/>
          <w:lang w:val="en-US" w:eastAsia="zh-CN" w:bidi="ar-SA"/>
        </w:rPr>
        <w:t>保障受灾区域内的电力、通讯、道路等基础设施正常使用，合理补助相关受灾群众</w:t>
      </w:r>
      <w:r>
        <w:rPr>
          <w:rFonts w:hint="default" w:eastAsia="方正仿宋_GBK" w:cs="Times New Roman"/>
          <w:b w:val="0"/>
          <w:bCs/>
          <w:kern w:val="0"/>
          <w:sz w:val="32"/>
          <w:szCs w:val="32"/>
          <w:highlight w:val="none"/>
          <w:u w:val="none"/>
          <w:lang w:val="en-US" w:eastAsia="zh-CN" w:bidi="ar-SA"/>
        </w:rPr>
        <w:t>，评价等级为“优”。</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firstLine="640" w:firstLineChars="200"/>
        <w:jc w:val="both"/>
        <w:textAlignment w:val="auto"/>
        <w:outlineLvl w:val="1"/>
        <w:rPr>
          <w:rFonts w:hint="default" w:eastAsia="方正仿宋_GBK" w:cs="Times New Roman"/>
          <w:b w:val="0"/>
          <w:bCs/>
          <w:kern w:val="0"/>
          <w:sz w:val="32"/>
          <w:szCs w:val="32"/>
          <w:highlight w:val="none"/>
          <w:u w:val="none"/>
          <w:lang w:val="en-US" w:eastAsia="zh-CN" w:bidi="ar-SA"/>
        </w:rPr>
      </w:pPr>
      <w:r>
        <w:rPr>
          <w:rFonts w:hint="eastAsia" w:eastAsia="方正仿宋_GBK" w:cs="Times New Roman"/>
          <w:b w:val="0"/>
          <w:bCs/>
          <w:kern w:val="0"/>
          <w:sz w:val="32"/>
          <w:szCs w:val="32"/>
          <w:highlight w:val="none"/>
          <w:u w:val="none"/>
          <w:lang w:val="en-US" w:eastAsia="zh-CN" w:bidi="ar-SA"/>
        </w:rPr>
        <w:t>盐财资建【2024】285号关于下达2024年生态功能区资金的通知</w:t>
      </w:r>
      <w:r>
        <w:rPr>
          <w:rFonts w:hint="default" w:eastAsia="方正仿宋_GBK" w:cs="Times New Roman"/>
          <w:b w:val="0"/>
          <w:bCs/>
          <w:kern w:val="0"/>
          <w:sz w:val="32"/>
          <w:szCs w:val="32"/>
          <w:highlight w:val="none"/>
          <w:u w:val="none"/>
          <w:lang w:val="en-US" w:eastAsia="zh-CN" w:bidi="ar-SA"/>
        </w:rPr>
        <w:t>专项预算项目绩效自评得分为100分，绩效自评综述：项目总体绩效目标基本实现，资金使用规范有效，</w:t>
      </w:r>
      <w:r>
        <w:rPr>
          <w:rFonts w:hint="eastAsia" w:eastAsia="方正仿宋_GBK" w:cs="Times New Roman"/>
          <w:b w:val="0"/>
          <w:bCs/>
          <w:kern w:val="0"/>
          <w:sz w:val="32"/>
          <w:szCs w:val="32"/>
          <w:highlight w:val="none"/>
          <w:u w:val="none"/>
          <w:lang w:val="en-US" w:eastAsia="zh-CN" w:bidi="ar-SA"/>
        </w:rPr>
        <w:t>保障森林资源不受影响，改善生态环境，为我乡林业经济、社会稳定起到重要作用</w:t>
      </w:r>
      <w:r>
        <w:rPr>
          <w:rFonts w:hint="default" w:eastAsia="方正仿宋_GBK" w:cs="Times New Roman"/>
          <w:b w:val="0"/>
          <w:bCs/>
          <w:kern w:val="0"/>
          <w:sz w:val="32"/>
          <w:szCs w:val="32"/>
          <w:highlight w:val="none"/>
          <w:u w:val="none"/>
          <w:lang w:val="en-US" w:eastAsia="zh-CN" w:bidi="ar-SA"/>
        </w:rPr>
        <w:t>，评价等级为“优”。</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firstLine="640" w:firstLineChars="200"/>
        <w:jc w:val="both"/>
        <w:textAlignment w:val="auto"/>
        <w:outlineLvl w:val="1"/>
        <w:rPr>
          <w:rFonts w:hint="default" w:eastAsia="方正仿宋_GBK" w:cs="Times New Roman"/>
          <w:b w:val="0"/>
          <w:bCs/>
          <w:kern w:val="0"/>
          <w:sz w:val="32"/>
          <w:szCs w:val="32"/>
          <w:highlight w:val="none"/>
          <w:u w:val="none"/>
          <w:lang w:val="en-US" w:eastAsia="zh-CN" w:bidi="ar-SA"/>
        </w:rPr>
      </w:pPr>
      <w:r>
        <w:rPr>
          <w:rFonts w:hint="eastAsia" w:eastAsia="方正仿宋_GBK" w:cs="Times New Roman"/>
          <w:b w:val="0"/>
          <w:bCs/>
          <w:kern w:val="0"/>
          <w:sz w:val="32"/>
          <w:szCs w:val="32"/>
          <w:highlight w:val="none"/>
          <w:u w:val="none"/>
          <w:lang w:val="en-US" w:eastAsia="zh-CN" w:bidi="ar-SA"/>
        </w:rPr>
        <w:t>盐财资预【2024】15号关于下达2024年度市级森林草原防灭火工作协调经费的通知</w:t>
      </w:r>
      <w:r>
        <w:rPr>
          <w:rFonts w:hint="default" w:eastAsia="方正仿宋_GBK" w:cs="Times New Roman"/>
          <w:b w:val="0"/>
          <w:bCs/>
          <w:kern w:val="0"/>
          <w:sz w:val="32"/>
          <w:szCs w:val="32"/>
          <w:highlight w:val="none"/>
          <w:u w:val="none"/>
          <w:lang w:val="en-US" w:eastAsia="zh-CN" w:bidi="ar-SA"/>
        </w:rPr>
        <w:t>专项预算项目绩效自评得分为100分，绩效自评综述：项目总体绩效目标基本实现，资金使用规范有效，</w:t>
      </w:r>
      <w:r>
        <w:rPr>
          <w:rFonts w:hint="eastAsia" w:eastAsia="方正仿宋_GBK" w:cs="Times New Roman"/>
          <w:b w:val="0"/>
          <w:bCs/>
          <w:kern w:val="0"/>
          <w:sz w:val="32"/>
          <w:szCs w:val="32"/>
          <w:highlight w:val="none"/>
          <w:u w:val="none"/>
          <w:lang w:val="en-US" w:eastAsia="zh-CN" w:bidi="ar-SA"/>
        </w:rPr>
        <w:t>设立防火卡点，宣传森林草原防灭火工作知识</w:t>
      </w:r>
      <w:r>
        <w:rPr>
          <w:rFonts w:hint="default" w:eastAsia="方正仿宋_GBK" w:cs="Times New Roman"/>
          <w:b w:val="0"/>
          <w:bCs/>
          <w:kern w:val="0"/>
          <w:sz w:val="32"/>
          <w:szCs w:val="32"/>
          <w:highlight w:val="none"/>
          <w:u w:val="none"/>
          <w:lang w:val="en-US" w:eastAsia="zh-CN" w:bidi="ar-SA"/>
        </w:rPr>
        <w:t>，保障森林资源不受影响，改善生态环境，为我乡林业经济、社会稳定起到重要作用</w:t>
      </w:r>
      <w:r>
        <w:rPr>
          <w:rFonts w:hint="eastAsia" w:eastAsia="方正仿宋_GBK" w:cs="Times New Roman"/>
          <w:b w:val="0"/>
          <w:bCs/>
          <w:kern w:val="0"/>
          <w:sz w:val="32"/>
          <w:szCs w:val="32"/>
          <w:highlight w:val="none"/>
          <w:u w:val="none"/>
          <w:lang w:val="en-US" w:eastAsia="zh-CN" w:bidi="ar-SA"/>
        </w:rPr>
        <w:t>，</w:t>
      </w:r>
      <w:r>
        <w:rPr>
          <w:rFonts w:hint="default" w:eastAsia="方正仿宋_GBK" w:cs="Times New Roman"/>
          <w:b w:val="0"/>
          <w:bCs/>
          <w:kern w:val="0"/>
          <w:sz w:val="32"/>
          <w:szCs w:val="32"/>
          <w:highlight w:val="none"/>
          <w:u w:val="none"/>
          <w:lang w:val="en-US" w:eastAsia="zh-CN" w:bidi="ar-SA"/>
        </w:rPr>
        <w:t>评价等级为“优”。</w:t>
      </w:r>
    </w:p>
    <w:p>
      <w:pPr>
        <w:rPr>
          <w:rFonts w:hint="default"/>
        </w:rPr>
      </w:pPr>
      <w:bookmarkStart w:id="54" w:name="_Toc31066_WPSOffice_Level1"/>
      <w:bookmarkStart w:id="55" w:name="_Toc15377226"/>
      <w:r>
        <w:rPr>
          <w:rFonts w:hint="default"/>
        </w:rPr>
        <w:br w:type="page"/>
      </w:r>
    </w:p>
    <w:p>
      <w:pPr>
        <w:pStyle w:val="3"/>
        <w:bidi w:val="0"/>
        <w:rPr>
          <w:rFonts w:hint="default"/>
        </w:rPr>
      </w:pPr>
      <w:r>
        <w:rPr>
          <w:rFonts w:hint="default"/>
        </w:rPr>
        <w:t>第三部分  名词解释</w:t>
      </w:r>
      <w:bookmarkEnd w:id="54"/>
    </w:p>
    <w:p>
      <w:pPr>
        <w:keepNext w:val="0"/>
        <w:keepLines w:val="0"/>
        <w:pageBreakBefore w:val="0"/>
        <w:widowControl w:val="0"/>
        <w:kinsoku/>
        <w:wordWrap/>
        <w:overflowPunct/>
        <w:topLinePunct w:val="0"/>
        <w:bidi w:val="0"/>
        <w:snapToGrid/>
        <w:spacing w:line="240" w:lineRule="auto"/>
        <w:ind w:firstLine="883" w:firstLineChars="200"/>
        <w:jc w:val="both"/>
        <w:textAlignment w:val="auto"/>
        <w:rPr>
          <w:rFonts w:hint="default" w:ascii="Times New Roman" w:hAnsi="Times New Roman" w:cs="Times New Roman"/>
          <w:b/>
          <w:sz w:val="44"/>
          <w:szCs w:val="44"/>
        </w:rPr>
      </w:pPr>
    </w:p>
    <w:p>
      <w:pPr>
        <w:pStyle w:val="28"/>
        <w:keepNext w:val="0"/>
        <w:keepLines w:val="0"/>
        <w:pageBreakBefore w:val="0"/>
        <w:widowControl w:val="0"/>
        <w:kinsoku/>
        <w:wordWrap/>
        <w:overflowPunct/>
        <w:topLinePunct w:val="0"/>
        <w:bidi w:val="0"/>
        <w:snapToGrid/>
        <w:spacing w:line="240" w:lineRule="auto"/>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1.财政拨款收入：指单位从同级财政部门取得的财政预算资金。</w:t>
      </w:r>
    </w:p>
    <w:p>
      <w:pPr>
        <w:pStyle w:val="28"/>
        <w:keepNext w:val="0"/>
        <w:keepLines w:val="0"/>
        <w:pageBreakBefore w:val="0"/>
        <w:widowControl w:val="0"/>
        <w:kinsoku/>
        <w:wordWrap/>
        <w:overflowPunct/>
        <w:topLinePunct w:val="0"/>
        <w:bidi w:val="0"/>
        <w:snapToGrid/>
        <w:spacing w:line="240" w:lineRule="auto"/>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2.事业收入：指事业单位开展专业业务活动及辅助活动取得的收入。</w:t>
      </w:r>
    </w:p>
    <w:p>
      <w:pPr>
        <w:pStyle w:val="28"/>
        <w:keepNext w:val="0"/>
        <w:keepLines w:val="0"/>
        <w:pageBreakBefore w:val="0"/>
        <w:widowControl w:val="0"/>
        <w:kinsoku/>
        <w:wordWrap/>
        <w:overflowPunct/>
        <w:topLinePunct w:val="0"/>
        <w:bidi w:val="0"/>
        <w:snapToGrid/>
        <w:spacing w:line="240" w:lineRule="auto"/>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3.经营收入：指事业单位在专业业务活动及其辅助活动之外开展非独立核算经营活动取得的收入。</w:t>
      </w:r>
    </w:p>
    <w:p>
      <w:pPr>
        <w:pStyle w:val="28"/>
        <w:keepNext w:val="0"/>
        <w:keepLines w:val="0"/>
        <w:pageBreakBefore w:val="0"/>
        <w:widowControl w:val="0"/>
        <w:kinsoku/>
        <w:wordWrap/>
        <w:overflowPunct/>
        <w:topLinePunct w:val="0"/>
        <w:bidi w:val="0"/>
        <w:snapToGrid/>
        <w:spacing w:line="240" w:lineRule="auto"/>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4.其他收入：指单位取得的除上述收入以外的各项收入。主要是市级</w:t>
      </w:r>
      <w:r>
        <w:rPr>
          <w:rFonts w:hint="eastAsia" w:ascii="Times New Roman" w:hAnsi="Times New Roman" w:eastAsia="方正仿宋_GBK" w:cs="Times New Roman"/>
          <w:color w:val="auto"/>
          <w:sz w:val="32"/>
          <w:szCs w:val="32"/>
          <w:lang w:eastAsia="zh-CN"/>
        </w:rPr>
        <w:t>森林草原防灭火</w:t>
      </w:r>
      <w:r>
        <w:rPr>
          <w:rFonts w:hint="default" w:ascii="Times New Roman" w:hAnsi="Times New Roman" w:eastAsia="方正仿宋_GBK" w:cs="Times New Roman"/>
          <w:color w:val="auto"/>
          <w:sz w:val="32"/>
          <w:szCs w:val="32"/>
        </w:rPr>
        <w:t>资金收入。</w:t>
      </w:r>
    </w:p>
    <w:p>
      <w:pPr>
        <w:pStyle w:val="28"/>
        <w:keepNext w:val="0"/>
        <w:keepLines w:val="0"/>
        <w:pageBreakBefore w:val="0"/>
        <w:widowControl w:val="0"/>
        <w:kinsoku/>
        <w:wordWrap/>
        <w:overflowPunct/>
        <w:topLinePunct w:val="0"/>
        <w:bidi w:val="0"/>
        <w:snapToGrid/>
        <w:spacing w:line="240" w:lineRule="auto"/>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5.使用非财政拨款结余（含专用结余）：指事业单位使用以前年度积累的非财政拨款结余弥补当年收支差额的金额。</w:t>
      </w:r>
    </w:p>
    <w:p>
      <w:pPr>
        <w:pStyle w:val="28"/>
        <w:keepNext w:val="0"/>
        <w:keepLines w:val="0"/>
        <w:pageBreakBefore w:val="0"/>
        <w:widowControl w:val="0"/>
        <w:kinsoku/>
        <w:wordWrap/>
        <w:overflowPunct/>
        <w:topLinePunct w:val="0"/>
        <w:bidi w:val="0"/>
        <w:snapToGrid/>
        <w:spacing w:line="240" w:lineRule="auto"/>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6.年初结转和结余：指以前年度尚未完成、结转到本年按有关规定继续使用的资金。</w:t>
      </w:r>
    </w:p>
    <w:p>
      <w:pPr>
        <w:pStyle w:val="28"/>
        <w:keepNext w:val="0"/>
        <w:keepLines w:val="0"/>
        <w:pageBreakBefore w:val="0"/>
        <w:widowControl w:val="0"/>
        <w:kinsoku/>
        <w:wordWrap/>
        <w:overflowPunct/>
        <w:topLinePunct w:val="0"/>
        <w:bidi w:val="0"/>
        <w:snapToGrid/>
        <w:spacing w:line="240" w:lineRule="auto"/>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7.结余分配：指事业单位按照会计制度规定缴纳的所得税、提取的专用结余以及转入非财政拨款结余的金额等。</w:t>
      </w:r>
    </w:p>
    <w:p>
      <w:pPr>
        <w:pStyle w:val="28"/>
        <w:keepNext w:val="0"/>
        <w:keepLines w:val="0"/>
        <w:pageBreakBefore w:val="0"/>
        <w:widowControl w:val="0"/>
        <w:kinsoku/>
        <w:wordWrap/>
        <w:overflowPunct/>
        <w:topLinePunct w:val="0"/>
        <w:bidi w:val="0"/>
        <w:snapToGrid/>
        <w:spacing w:line="240" w:lineRule="auto"/>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8.年末结转和结余：指单位按有关规定结转到下年或以后年度继续使用的资金。</w:t>
      </w:r>
    </w:p>
    <w:p>
      <w:pPr>
        <w:keepNext w:val="0"/>
        <w:keepLines w:val="0"/>
        <w:pageBreakBefore w:val="0"/>
        <w:widowControl w:val="0"/>
        <w:kinsoku/>
        <w:wordWrap/>
        <w:overflowPunct/>
        <w:topLinePunct w:val="0"/>
        <w:bidi w:val="0"/>
        <w:snapToGrid/>
        <w:spacing w:line="240" w:lineRule="auto"/>
        <w:ind w:firstLine="640" w:firstLineChars="200"/>
        <w:jc w:val="both"/>
        <w:textAlignment w:val="auto"/>
        <w:rPr>
          <w:rFonts w:hint="default" w:ascii="Times New Roman" w:hAnsi="Times New Roman" w:eastAsia="方正仿宋_GBK" w:cs="Times New Roman"/>
          <w:color w:val="000000"/>
          <w:sz w:val="32"/>
          <w:szCs w:val="32"/>
        </w:rPr>
      </w:pPr>
      <w:r>
        <w:rPr>
          <w:rFonts w:hint="eastAsia" w:eastAsia="方正仿宋_GBK" w:cs="Times New Roman"/>
          <w:b w:val="0"/>
          <w:bCs/>
          <w:kern w:val="0"/>
          <w:sz w:val="32"/>
          <w:szCs w:val="32"/>
          <w:highlight w:val="none"/>
          <w:u w:val="none"/>
          <w:lang w:val="en-US" w:eastAsia="zh-CN" w:bidi="ar-SA"/>
        </w:rPr>
        <w:t>9.</w:t>
      </w:r>
      <w:r>
        <w:rPr>
          <w:rFonts w:hint="default" w:ascii="Times New Roman" w:hAnsi="Times New Roman" w:eastAsia="方正仿宋_GBK" w:cs="Times New Roman"/>
          <w:b w:val="0"/>
          <w:bCs/>
          <w:kern w:val="0"/>
          <w:sz w:val="32"/>
          <w:szCs w:val="32"/>
          <w:highlight w:val="none"/>
          <w:u w:val="none"/>
          <w:lang w:val="en-US" w:eastAsia="zh-CN" w:bidi="ar-SA"/>
        </w:rPr>
        <w:t>一般公共服务201（类）人大事务01（款）行政运行01（项）</w:t>
      </w:r>
      <w:r>
        <w:rPr>
          <w:rFonts w:hint="default" w:ascii="Times New Roman" w:hAnsi="Times New Roman" w:eastAsia="方正仿宋_GBK" w:cs="Times New Roman"/>
          <w:color w:val="000000"/>
          <w:sz w:val="32"/>
          <w:szCs w:val="32"/>
        </w:rPr>
        <w:t>：指反映行政单位（包括实行公务员管理的事业单位）的基本支出。</w:t>
      </w:r>
    </w:p>
    <w:p>
      <w:pPr>
        <w:keepNext w:val="0"/>
        <w:keepLines w:val="0"/>
        <w:pageBreakBefore w:val="0"/>
        <w:widowControl w:val="0"/>
        <w:kinsoku/>
        <w:wordWrap/>
        <w:overflowPunct/>
        <w:topLinePunct w:val="0"/>
        <w:bidi w:val="0"/>
        <w:snapToGrid/>
        <w:spacing w:line="240" w:lineRule="auto"/>
        <w:ind w:firstLine="640" w:firstLineChars="200"/>
        <w:jc w:val="both"/>
        <w:textAlignment w:val="auto"/>
        <w:rPr>
          <w:rFonts w:hint="default" w:ascii="Times New Roman" w:hAnsi="Times New Roman" w:eastAsia="方正仿宋_GBK" w:cs="Times New Roman"/>
          <w:color w:val="000000"/>
          <w:sz w:val="32"/>
          <w:szCs w:val="32"/>
        </w:rPr>
      </w:pPr>
      <w:r>
        <w:rPr>
          <w:rFonts w:hint="eastAsia" w:eastAsia="方正仿宋_GBK" w:cs="Times New Roman"/>
          <w:b w:val="0"/>
          <w:bCs/>
          <w:kern w:val="0"/>
          <w:sz w:val="32"/>
          <w:szCs w:val="32"/>
          <w:highlight w:val="none"/>
          <w:u w:val="none"/>
          <w:lang w:val="en-US" w:eastAsia="zh-CN" w:bidi="ar-SA"/>
        </w:rPr>
        <w:t>10.</w:t>
      </w:r>
      <w:r>
        <w:rPr>
          <w:rFonts w:hint="default" w:ascii="Times New Roman" w:hAnsi="Times New Roman" w:eastAsia="方正仿宋_GBK" w:cs="Times New Roman"/>
          <w:b w:val="0"/>
          <w:bCs/>
          <w:kern w:val="0"/>
          <w:sz w:val="32"/>
          <w:szCs w:val="32"/>
          <w:highlight w:val="none"/>
          <w:u w:val="none"/>
          <w:lang w:val="en-US" w:eastAsia="zh-CN" w:bidi="ar-SA"/>
        </w:rPr>
        <w:t>一般公共服务201（类）人大事务01（款）人大会议04（项）</w:t>
      </w:r>
      <w:r>
        <w:rPr>
          <w:rFonts w:hint="default" w:ascii="Times New Roman" w:hAnsi="Times New Roman" w:eastAsia="方正仿宋_GBK" w:cs="Times New Roman"/>
          <w:color w:val="000000"/>
          <w:sz w:val="32"/>
          <w:szCs w:val="32"/>
        </w:rPr>
        <w:t>：指反映各级人大召开人民代表大会等专门会议的支出。</w:t>
      </w:r>
    </w:p>
    <w:p>
      <w:pPr>
        <w:keepNext w:val="0"/>
        <w:keepLines w:val="0"/>
        <w:pageBreakBefore w:val="0"/>
        <w:widowControl w:val="0"/>
        <w:kinsoku/>
        <w:wordWrap/>
        <w:overflowPunct/>
        <w:topLinePunct w:val="0"/>
        <w:bidi w:val="0"/>
        <w:snapToGrid/>
        <w:spacing w:line="240" w:lineRule="auto"/>
        <w:ind w:firstLine="640" w:firstLineChars="200"/>
        <w:jc w:val="both"/>
        <w:textAlignment w:val="auto"/>
        <w:rPr>
          <w:rFonts w:hint="default" w:ascii="Times New Roman" w:hAnsi="Times New Roman" w:eastAsia="方正仿宋_GBK" w:cs="Times New Roman"/>
          <w:sz w:val="32"/>
          <w:szCs w:val="32"/>
        </w:rPr>
      </w:pPr>
      <w:r>
        <w:rPr>
          <w:rFonts w:hint="eastAsia" w:eastAsia="方正仿宋_GBK" w:cs="Times New Roman"/>
          <w:b w:val="0"/>
          <w:bCs/>
          <w:kern w:val="0"/>
          <w:sz w:val="32"/>
          <w:szCs w:val="32"/>
          <w:highlight w:val="none"/>
          <w:u w:val="none"/>
          <w:lang w:val="en-US" w:eastAsia="zh-CN" w:bidi="ar-SA"/>
        </w:rPr>
        <w:t>11.</w:t>
      </w:r>
      <w:r>
        <w:rPr>
          <w:rFonts w:hint="default" w:ascii="Times New Roman" w:hAnsi="Times New Roman" w:eastAsia="方正仿宋_GBK" w:cs="Times New Roman"/>
          <w:b w:val="0"/>
          <w:bCs/>
          <w:kern w:val="0"/>
          <w:sz w:val="32"/>
          <w:szCs w:val="32"/>
          <w:highlight w:val="none"/>
          <w:u w:val="none"/>
          <w:lang w:val="en-US" w:eastAsia="zh-CN" w:bidi="ar-SA"/>
        </w:rPr>
        <w:t>一般公共服务201（类）人大事务01（款）99其他人大事务支出（项）</w:t>
      </w:r>
      <w:r>
        <w:rPr>
          <w:rFonts w:hint="default" w:ascii="Times New Roman" w:hAnsi="Times New Roman" w:eastAsia="方正仿宋_GBK" w:cs="Times New Roman"/>
          <w:color w:val="000000"/>
          <w:sz w:val="32"/>
          <w:szCs w:val="32"/>
          <w:lang w:val="en-US" w:eastAsia="zh-CN"/>
        </w:rPr>
        <w:t>：指反映除上述项目以外的其他人大事务支出。</w:t>
      </w:r>
    </w:p>
    <w:p>
      <w:pPr>
        <w:keepNext w:val="0"/>
        <w:keepLines w:val="0"/>
        <w:pageBreakBefore w:val="0"/>
        <w:widowControl w:val="0"/>
        <w:kinsoku/>
        <w:wordWrap/>
        <w:overflowPunct/>
        <w:topLinePunct w:val="0"/>
        <w:bidi w:val="0"/>
        <w:snapToGrid/>
        <w:spacing w:line="240" w:lineRule="auto"/>
        <w:ind w:firstLine="640" w:firstLineChars="200"/>
        <w:jc w:val="both"/>
        <w:textAlignment w:val="auto"/>
        <w:rPr>
          <w:rFonts w:hint="default" w:ascii="Times New Roman" w:hAnsi="Times New Roman" w:eastAsia="方正仿宋_GBK" w:cs="Times New Roman"/>
          <w:color w:val="000000"/>
          <w:sz w:val="32"/>
          <w:szCs w:val="32"/>
        </w:rPr>
      </w:pPr>
      <w:r>
        <w:rPr>
          <w:rFonts w:hint="eastAsia" w:eastAsia="方正仿宋_GBK" w:cs="Times New Roman"/>
          <w:b w:val="0"/>
          <w:bCs/>
          <w:kern w:val="0"/>
          <w:sz w:val="32"/>
          <w:szCs w:val="32"/>
          <w:highlight w:val="none"/>
          <w:u w:val="none"/>
          <w:lang w:val="en-US" w:eastAsia="zh-CN" w:bidi="ar-SA"/>
        </w:rPr>
        <w:t>12.</w:t>
      </w:r>
      <w:r>
        <w:rPr>
          <w:rFonts w:hint="default" w:ascii="Times New Roman" w:hAnsi="Times New Roman" w:eastAsia="方正仿宋_GBK" w:cs="Times New Roman"/>
          <w:b w:val="0"/>
          <w:bCs/>
          <w:kern w:val="0"/>
          <w:sz w:val="32"/>
          <w:szCs w:val="32"/>
          <w:highlight w:val="none"/>
          <w:u w:val="none"/>
          <w:lang w:val="en-US" w:eastAsia="zh-CN" w:bidi="ar-SA"/>
        </w:rPr>
        <w:t>一般公共服务201（类）政府办公厅（室）及相关机构事务03（款）行政运行01（项）</w:t>
      </w:r>
      <w:r>
        <w:rPr>
          <w:rFonts w:hint="default" w:ascii="Times New Roman" w:hAnsi="Times New Roman" w:eastAsia="方正仿宋_GBK" w:cs="Times New Roman"/>
          <w:color w:val="000000"/>
          <w:sz w:val="32"/>
          <w:szCs w:val="32"/>
        </w:rPr>
        <w:t>：指反映行政单位（包括实行公务员管理的事业单位）的基本支出。</w:t>
      </w:r>
    </w:p>
    <w:p>
      <w:pPr>
        <w:keepNext w:val="0"/>
        <w:keepLines w:val="0"/>
        <w:pageBreakBefore w:val="0"/>
        <w:widowControl w:val="0"/>
        <w:kinsoku/>
        <w:wordWrap/>
        <w:overflowPunct/>
        <w:topLinePunct w:val="0"/>
        <w:bidi w:val="0"/>
        <w:snapToGrid/>
        <w:spacing w:line="240" w:lineRule="auto"/>
        <w:ind w:firstLine="640" w:firstLineChars="200"/>
        <w:jc w:val="both"/>
        <w:textAlignment w:val="auto"/>
        <w:rPr>
          <w:rFonts w:hint="default" w:ascii="Times New Roman" w:hAnsi="Times New Roman" w:eastAsia="方正仿宋_GBK" w:cs="Times New Roman"/>
          <w:color w:val="000000"/>
          <w:sz w:val="32"/>
          <w:szCs w:val="32"/>
        </w:rPr>
      </w:pPr>
      <w:r>
        <w:rPr>
          <w:rFonts w:hint="eastAsia" w:eastAsia="方正仿宋_GBK" w:cs="Times New Roman"/>
          <w:b w:val="0"/>
          <w:bCs/>
          <w:kern w:val="0"/>
          <w:sz w:val="32"/>
          <w:szCs w:val="32"/>
          <w:highlight w:val="none"/>
          <w:u w:val="none"/>
          <w:lang w:val="en-US" w:eastAsia="zh-CN" w:bidi="ar-SA"/>
        </w:rPr>
        <w:t>13.</w:t>
      </w:r>
      <w:r>
        <w:rPr>
          <w:rFonts w:hint="default" w:ascii="Times New Roman" w:hAnsi="Times New Roman" w:eastAsia="方正仿宋_GBK" w:cs="Times New Roman"/>
          <w:b w:val="0"/>
          <w:bCs/>
          <w:kern w:val="0"/>
          <w:sz w:val="32"/>
          <w:szCs w:val="32"/>
          <w:highlight w:val="none"/>
          <w:u w:val="none"/>
          <w:lang w:val="en-US" w:eastAsia="zh-CN" w:bidi="ar-SA"/>
        </w:rPr>
        <w:t>一般公共服务201（类）政府办公厅（室）及相关机构事务03（款）一般行政管理事务02（项）</w:t>
      </w:r>
      <w:r>
        <w:rPr>
          <w:rFonts w:hint="default" w:ascii="Times New Roman" w:hAnsi="Times New Roman" w:eastAsia="方正仿宋_GBK" w:cs="Times New Roman"/>
          <w:color w:val="000000"/>
          <w:sz w:val="32"/>
          <w:szCs w:val="32"/>
        </w:rPr>
        <w:t>：指反映行政单位（包括实行公务员管理的事业单位）未单独设置项级科目的其他项目支出。</w:t>
      </w:r>
    </w:p>
    <w:p>
      <w:pPr>
        <w:keepNext w:val="0"/>
        <w:keepLines w:val="0"/>
        <w:pageBreakBefore w:val="0"/>
        <w:widowControl w:val="0"/>
        <w:kinsoku/>
        <w:wordWrap/>
        <w:overflowPunct/>
        <w:topLinePunct w:val="0"/>
        <w:bidi w:val="0"/>
        <w:snapToGrid/>
        <w:spacing w:line="240" w:lineRule="auto"/>
        <w:ind w:firstLine="640" w:firstLineChars="200"/>
        <w:jc w:val="both"/>
        <w:textAlignment w:val="auto"/>
        <w:rPr>
          <w:rFonts w:hint="default" w:ascii="Times New Roman" w:hAnsi="Times New Roman" w:eastAsia="方正仿宋_GBK" w:cs="Times New Roman"/>
          <w:color w:val="000000"/>
          <w:sz w:val="32"/>
          <w:szCs w:val="32"/>
        </w:rPr>
      </w:pPr>
      <w:r>
        <w:rPr>
          <w:rFonts w:hint="eastAsia" w:eastAsia="方正仿宋_GBK" w:cs="Times New Roman"/>
          <w:b w:val="0"/>
          <w:bCs/>
          <w:kern w:val="0"/>
          <w:sz w:val="32"/>
          <w:szCs w:val="32"/>
          <w:highlight w:val="none"/>
          <w:u w:val="none"/>
          <w:lang w:val="en-US" w:eastAsia="zh-CN" w:bidi="ar-SA"/>
        </w:rPr>
        <w:t>14.</w:t>
      </w:r>
      <w:r>
        <w:rPr>
          <w:rFonts w:hint="default" w:ascii="Times New Roman" w:hAnsi="Times New Roman" w:eastAsia="方正仿宋_GBK" w:cs="Times New Roman"/>
          <w:b w:val="0"/>
          <w:bCs/>
          <w:kern w:val="0"/>
          <w:sz w:val="32"/>
          <w:szCs w:val="32"/>
          <w:highlight w:val="none"/>
          <w:u w:val="none"/>
          <w:lang w:val="en-US" w:eastAsia="zh-CN" w:bidi="ar-SA"/>
        </w:rPr>
        <w:t>一般公共服务201（类）政府办公厅（室）及相关机构事务03（款）事业运行</w:t>
      </w:r>
      <w:r>
        <w:rPr>
          <w:rFonts w:hint="eastAsia" w:eastAsia="方正仿宋_GBK" w:cs="Times New Roman"/>
          <w:b w:val="0"/>
          <w:bCs/>
          <w:kern w:val="0"/>
          <w:sz w:val="32"/>
          <w:szCs w:val="32"/>
          <w:highlight w:val="none"/>
          <w:u w:val="none"/>
          <w:lang w:val="en-US" w:eastAsia="zh-CN" w:bidi="ar-SA"/>
        </w:rPr>
        <w:t>50</w:t>
      </w:r>
      <w:r>
        <w:rPr>
          <w:rFonts w:hint="default" w:ascii="Times New Roman" w:hAnsi="Times New Roman" w:eastAsia="方正仿宋_GBK" w:cs="Times New Roman"/>
          <w:b w:val="0"/>
          <w:bCs/>
          <w:kern w:val="0"/>
          <w:sz w:val="32"/>
          <w:szCs w:val="32"/>
          <w:highlight w:val="none"/>
          <w:u w:val="none"/>
          <w:lang w:val="en-US" w:eastAsia="zh-CN" w:bidi="ar-SA"/>
        </w:rPr>
        <w:t>（项）</w:t>
      </w:r>
      <w:r>
        <w:rPr>
          <w:rFonts w:hint="default" w:ascii="Times New Roman" w:hAnsi="Times New Roman" w:eastAsia="方正仿宋_GBK" w:cs="Times New Roman"/>
          <w:color w:val="000000"/>
          <w:sz w:val="32"/>
          <w:szCs w:val="32"/>
        </w:rPr>
        <w:t>：指反映事业单位的基本支出，不包括行政单位（包括实行公务员管理的事业单位）后勤服务中心、医务室等附属事业单位。</w:t>
      </w:r>
    </w:p>
    <w:p>
      <w:pPr>
        <w:pStyle w:val="8"/>
        <w:keepNext w:val="0"/>
        <w:keepLines w:val="0"/>
        <w:pageBreakBefore w:val="0"/>
        <w:widowControl w:val="0"/>
        <w:kinsoku/>
        <w:wordWrap/>
        <w:overflowPunct/>
        <w:topLinePunct w:val="0"/>
        <w:bidi w:val="0"/>
        <w:snapToGrid/>
        <w:spacing w:after="0" w:line="240" w:lineRule="auto"/>
        <w:ind w:left="0" w:leftChars="0" w:firstLine="640" w:firstLineChars="200"/>
        <w:jc w:val="both"/>
        <w:textAlignment w:val="auto"/>
        <w:rPr>
          <w:rFonts w:hint="default" w:ascii="Times New Roman" w:hAnsi="Times New Roman" w:eastAsia="方正仿宋_GBK" w:cs="Times New Roman"/>
          <w:sz w:val="32"/>
          <w:szCs w:val="32"/>
          <w:lang w:val="en-US" w:eastAsia="zh-CN"/>
        </w:rPr>
      </w:pPr>
      <w:r>
        <w:rPr>
          <w:rFonts w:hint="eastAsia" w:ascii="Times New Roman" w:eastAsia="方正仿宋_GBK" w:cs="Times New Roman"/>
          <w:b w:val="0"/>
          <w:bCs/>
          <w:kern w:val="0"/>
          <w:sz w:val="32"/>
          <w:szCs w:val="32"/>
          <w:highlight w:val="none"/>
          <w:u w:val="none"/>
          <w:lang w:val="en-US" w:eastAsia="zh-CN" w:bidi="ar-SA"/>
        </w:rPr>
        <w:t>15.</w:t>
      </w:r>
      <w:r>
        <w:rPr>
          <w:rFonts w:hint="default" w:ascii="Times New Roman" w:hAnsi="Times New Roman" w:eastAsia="方正仿宋_GBK" w:cs="Times New Roman"/>
          <w:b w:val="0"/>
          <w:bCs/>
          <w:kern w:val="0"/>
          <w:sz w:val="32"/>
          <w:szCs w:val="32"/>
          <w:highlight w:val="none"/>
          <w:u w:val="none"/>
          <w:lang w:val="en-US" w:eastAsia="zh-CN" w:bidi="ar-SA"/>
        </w:rPr>
        <w:t>一般公共服务201（类）政府办公厅（室）及相关机构事务03（款）其他政府办公厅(室)及相关机构事务支出99（项）</w:t>
      </w:r>
      <w:r>
        <w:rPr>
          <w:rFonts w:hint="default" w:ascii="Times New Roman" w:hAnsi="Times New Roman" w:eastAsia="方正仿宋_GBK" w:cs="Times New Roman"/>
          <w:color w:val="000000"/>
          <w:sz w:val="32"/>
          <w:szCs w:val="32"/>
          <w:lang w:val="en-US" w:eastAsia="zh-CN"/>
        </w:rPr>
        <w:t>：指反映除上述项目以外其他政府办公厅(室)及相关机构事务支出</w:t>
      </w:r>
    </w:p>
    <w:p>
      <w:pPr>
        <w:keepNext w:val="0"/>
        <w:keepLines w:val="0"/>
        <w:pageBreakBefore w:val="0"/>
        <w:widowControl w:val="0"/>
        <w:kinsoku/>
        <w:wordWrap/>
        <w:overflowPunct/>
        <w:topLinePunct w:val="0"/>
        <w:bidi w:val="0"/>
        <w:snapToGrid/>
        <w:spacing w:line="240" w:lineRule="auto"/>
        <w:ind w:firstLine="640" w:firstLineChars="200"/>
        <w:jc w:val="both"/>
        <w:textAlignment w:val="auto"/>
        <w:rPr>
          <w:rFonts w:hint="default" w:ascii="Times New Roman" w:hAnsi="Times New Roman" w:eastAsia="方正仿宋_GBK" w:cs="Times New Roman"/>
          <w:b w:val="0"/>
          <w:bCs/>
          <w:kern w:val="0"/>
          <w:sz w:val="32"/>
          <w:szCs w:val="32"/>
          <w:highlight w:val="none"/>
          <w:u w:val="none"/>
          <w:lang w:val="en-US" w:eastAsia="zh-CN" w:bidi="ar-SA"/>
        </w:rPr>
      </w:pPr>
      <w:r>
        <w:rPr>
          <w:rFonts w:hint="eastAsia" w:eastAsia="方正仿宋_GBK" w:cs="Times New Roman"/>
          <w:b w:val="0"/>
          <w:bCs/>
          <w:kern w:val="0"/>
          <w:sz w:val="32"/>
          <w:szCs w:val="32"/>
          <w:highlight w:val="none"/>
          <w:u w:val="none"/>
          <w:lang w:val="en-US" w:eastAsia="zh-CN" w:bidi="ar-SA"/>
        </w:rPr>
        <w:t>16.</w:t>
      </w:r>
      <w:r>
        <w:rPr>
          <w:rFonts w:hint="default" w:ascii="Times New Roman" w:hAnsi="Times New Roman" w:eastAsia="方正仿宋_GBK" w:cs="Times New Roman"/>
          <w:b w:val="0"/>
          <w:bCs/>
          <w:kern w:val="0"/>
          <w:sz w:val="32"/>
          <w:szCs w:val="32"/>
          <w:highlight w:val="none"/>
          <w:u w:val="none"/>
          <w:lang w:val="en-US" w:eastAsia="zh-CN" w:bidi="ar-SA"/>
        </w:rPr>
        <w:t>一般公共服务201（类）</w:t>
      </w:r>
      <w:r>
        <w:rPr>
          <w:rFonts w:hint="eastAsia" w:eastAsia="方正仿宋_GBK" w:cs="Times New Roman"/>
          <w:b w:val="0"/>
          <w:bCs/>
          <w:kern w:val="0"/>
          <w:sz w:val="32"/>
          <w:szCs w:val="32"/>
          <w:highlight w:val="none"/>
          <w:u w:val="none"/>
          <w:lang w:val="en-US" w:eastAsia="zh-CN" w:bidi="ar-SA"/>
        </w:rPr>
        <w:t>统计信息事务05</w:t>
      </w:r>
      <w:r>
        <w:rPr>
          <w:rFonts w:hint="default" w:ascii="Times New Roman" w:hAnsi="Times New Roman" w:eastAsia="方正仿宋_GBK" w:cs="Times New Roman"/>
          <w:b w:val="0"/>
          <w:bCs/>
          <w:kern w:val="0"/>
          <w:sz w:val="32"/>
          <w:szCs w:val="32"/>
          <w:highlight w:val="none"/>
          <w:u w:val="none"/>
          <w:lang w:val="en-US" w:eastAsia="zh-CN" w:bidi="ar-SA"/>
        </w:rPr>
        <w:t>（款）</w:t>
      </w:r>
      <w:r>
        <w:rPr>
          <w:rFonts w:hint="eastAsia" w:eastAsia="方正仿宋_GBK" w:cs="Times New Roman"/>
          <w:b w:val="0"/>
          <w:bCs/>
          <w:kern w:val="0"/>
          <w:sz w:val="32"/>
          <w:szCs w:val="32"/>
          <w:highlight w:val="none"/>
          <w:u w:val="none"/>
          <w:lang w:val="en-US" w:eastAsia="zh-CN" w:bidi="ar-SA"/>
        </w:rPr>
        <w:t>专项普查活动07</w:t>
      </w:r>
      <w:r>
        <w:rPr>
          <w:rFonts w:hint="default" w:ascii="Times New Roman" w:hAnsi="Times New Roman" w:eastAsia="方正仿宋_GBK" w:cs="Times New Roman"/>
          <w:b w:val="0"/>
          <w:bCs/>
          <w:kern w:val="0"/>
          <w:sz w:val="32"/>
          <w:szCs w:val="32"/>
          <w:highlight w:val="none"/>
          <w:u w:val="none"/>
          <w:lang w:val="en-US" w:eastAsia="zh-CN" w:bidi="ar-SA"/>
        </w:rPr>
        <w:t>（项）</w:t>
      </w:r>
      <w:r>
        <w:rPr>
          <w:rFonts w:hint="default" w:ascii="Times New Roman" w:hAnsi="Times New Roman" w:eastAsia="方正仿宋_GBK" w:cs="Times New Roman"/>
          <w:color w:val="000000"/>
          <w:sz w:val="32"/>
          <w:szCs w:val="32"/>
        </w:rPr>
        <w:t>：</w:t>
      </w:r>
      <w:r>
        <w:rPr>
          <w:rFonts w:hint="default" w:ascii="Times New Roman" w:hAnsi="Times New Roman" w:eastAsia="方正仿宋_GBK" w:cs="Times New Roman"/>
          <w:color w:val="000000"/>
          <w:sz w:val="32"/>
          <w:szCs w:val="32"/>
          <w:lang w:val="en-US" w:eastAsia="zh-CN"/>
        </w:rPr>
        <w:t>指</w:t>
      </w:r>
      <w:r>
        <w:rPr>
          <w:rFonts w:hint="default" w:ascii="Times New Roman" w:hAnsi="Times New Roman" w:eastAsia="方正仿宋_GBK" w:cs="Times New Roman"/>
          <w:color w:val="000000"/>
          <w:sz w:val="32"/>
          <w:szCs w:val="32"/>
        </w:rPr>
        <w:t>反映</w:t>
      </w:r>
      <w:r>
        <w:rPr>
          <w:rFonts w:hint="eastAsia" w:eastAsia="方正仿宋_GBK" w:cs="Times New Roman"/>
          <w:color w:val="000000"/>
          <w:sz w:val="32"/>
          <w:szCs w:val="32"/>
          <w:lang w:eastAsia="zh-CN"/>
        </w:rPr>
        <w:t>统计部门开展人口普查、经济普查、农业普查、投入产出调查等周期性普查工作的支出</w:t>
      </w:r>
      <w:r>
        <w:rPr>
          <w:rFonts w:hint="default" w:ascii="Times New Roman" w:hAnsi="Times New Roman" w:eastAsia="方正仿宋_GBK" w:cs="Times New Roman"/>
          <w:color w:val="000000"/>
          <w:sz w:val="32"/>
          <w:szCs w:val="32"/>
        </w:rPr>
        <w:t>。</w:t>
      </w:r>
    </w:p>
    <w:p>
      <w:pPr>
        <w:keepNext w:val="0"/>
        <w:keepLines w:val="0"/>
        <w:pageBreakBefore w:val="0"/>
        <w:widowControl w:val="0"/>
        <w:kinsoku/>
        <w:wordWrap/>
        <w:overflowPunct/>
        <w:topLinePunct w:val="0"/>
        <w:bidi w:val="0"/>
        <w:snapToGrid/>
        <w:spacing w:line="240" w:lineRule="auto"/>
        <w:ind w:firstLine="640" w:firstLineChars="200"/>
        <w:jc w:val="both"/>
        <w:textAlignment w:val="auto"/>
        <w:rPr>
          <w:rFonts w:hint="default" w:ascii="Times New Roman" w:hAnsi="Times New Roman" w:eastAsia="方正仿宋_GBK" w:cs="Times New Roman"/>
          <w:color w:val="000000"/>
          <w:sz w:val="32"/>
          <w:szCs w:val="32"/>
        </w:rPr>
      </w:pPr>
      <w:r>
        <w:rPr>
          <w:rFonts w:hint="eastAsia" w:eastAsia="方正仿宋_GBK" w:cs="Times New Roman"/>
          <w:b w:val="0"/>
          <w:bCs/>
          <w:kern w:val="0"/>
          <w:sz w:val="32"/>
          <w:szCs w:val="32"/>
          <w:highlight w:val="none"/>
          <w:u w:val="none"/>
          <w:lang w:val="en-US" w:eastAsia="zh-CN" w:bidi="ar-SA"/>
        </w:rPr>
        <w:t>17.</w:t>
      </w:r>
      <w:r>
        <w:rPr>
          <w:rFonts w:hint="default" w:ascii="Times New Roman" w:hAnsi="Times New Roman" w:eastAsia="方正仿宋_GBK" w:cs="Times New Roman"/>
          <w:b w:val="0"/>
          <w:bCs/>
          <w:kern w:val="0"/>
          <w:sz w:val="32"/>
          <w:szCs w:val="32"/>
          <w:highlight w:val="none"/>
          <w:u w:val="none"/>
          <w:lang w:val="en-US" w:eastAsia="zh-CN" w:bidi="ar-SA"/>
        </w:rPr>
        <w:t>一般公共服务201（类）民族事务23（款）民族工作专项04（项）</w:t>
      </w:r>
      <w:r>
        <w:rPr>
          <w:rFonts w:hint="default" w:ascii="Times New Roman" w:hAnsi="Times New Roman" w:eastAsia="方正仿宋_GBK" w:cs="Times New Roman"/>
          <w:color w:val="000000"/>
          <w:sz w:val="32"/>
          <w:szCs w:val="32"/>
        </w:rPr>
        <w:t>：</w:t>
      </w:r>
      <w:r>
        <w:rPr>
          <w:rFonts w:hint="default" w:ascii="Times New Roman" w:hAnsi="Times New Roman" w:eastAsia="方正仿宋_GBK" w:cs="Times New Roman"/>
          <w:color w:val="000000"/>
          <w:sz w:val="32"/>
          <w:szCs w:val="32"/>
          <w:lang w:val="en-US" w:eastAsia="zh-CN"/>
        </w:rPr>
        <w:t>指</w:t>
      </w:r>
      <w:r>
        <w:rPr>
          <w:rFonts w:hint="default" w:ascii="Times New Roman" w:hAnsi="Times New Roman" w:eastAsia="方正仿宋_GBK" w:cs="Times New Roman"/>
          <w:color w:val="000000"/>
          <w:sz w:val="32"/>
          <w:szCs w:val="32"/>
        </w:rPr>
        <w:t>反映</w:t>
      </w:r>
      <w:r>
        <w:rPr>
          <w:rFonts w:hint="eastAsia" w:eastAsia="方正仿宋_GBK" w:cs="Times New Roman"/>
          <w:color w:val="000000"/>
          <w:sz w:val="32"/>
          <w:szCs w:val="32"/>
          <w:lang w:eastAsia="zh-CN"/>
        </w:rPr>
        <w:t>用于</w:t>
      </w:r>
      <w:r>
        <w:rPr>
          <w:rFonts w:hint="default" w:ascii="Times New Roman" w:hAnsi="Times New Roman" w:eastAsia="方正仿宋_GBK" w:cs="Times New Roman"/>
          <w:color w:val="000000"/>
          <w:sz w:val="32"/>
          <w:szCs w:val="32"/>
        </w:rPr>
        <w:t>民族事务管理方面的专项支出。</w:t>
      </w:r>
    </w:p>
    <w:p>
      <w:pPr>
        <w:keepNext w:val="0"/>
        <w:keepLines w:val="0"/>
        <w:pageBreakBefore w:val="0"/>
        <w:widowControl w:val="0"/>
        <w:kinsoku/>
        <w:wordWrap/>
        <w:overflowPunct/>
        <w:topLinePunct w:val="0"/>
        <w:bidi w:val="0"/>
        <w:snapToGrid/>
        <w:spacing w:line="240" w:lineRule="auto"/>
        <w:ind w:firstLine="640" w:firstLineChars="200"/>
        <w:jc w:val="both"/>
        <w:textAlignment w:val="auto"/>
        <w:rPr>
          <w:rFonts w:hint="default" w:ascii="Times New Roman" w:hAnsi="Times New Roman" w:eastAsia="方正仿宋_GBK" w:cs="Times New Roman"/>
          <w:color w:val="000000"/>
          <w:sz w:val="32"/>
          <w:szCs w:val="32"/>
        </w:rPr>
      </w:pPr>
      <w:r>
        <w:rPr>
          <w:rFonts w:hint="eastAsia" w:eastAsia="方正仿宋_GBK" w:cs="Times New Roman"/>
          <w:b w:val="0"/>
          <w:bCs/>
          <w:kern w:val="0"/>
          <w:sz w:val="32"/>
          <w:szCs w:val="32"/>
          <w:highlight w:val="none"/>
          <w:u w:val="none"/>
          <w:lang w:val="en-US" w:eastAsia="zh-CN" w:bidi="ar-SA"/>
        </w:rPr>
        <w:t>18.</w:t>
      </w:r>
      <w:r>
        <w:rPr>
          <w:rFonts w:hint="default" w:ascii="Times New Roman" w:hAnsi="Times New Roman" w:eastAsia="方正仿宋_GBK" w:cs="Times New Roman"/>
          <w:b w:val="0"/>
          <w:bCs/>
          <w:kern w:val="0"/>
          <w:sz w:val="32"/>
          <w:szCs w:val="32"/>
          <w:highlight w:val="none"/>
          <w:u w:val="none"/>
          <w:lang w:val="en-US" w:eastAsia="zh-CN" w:bidi="ar-SA"/>
        </w:rPr>
        <w:t>一般公共服务201（类）民族事务23（款）其他民族事务99（项）</w:t>
      </w:r>
      <w:r>
        <w:rPr>
          <w:rFonts w:hint="default" w:ascii="Times New Roman" w:hAnsi="Times New Roman" w:eastAsia="方正仿宋_GBK" w:cs="Times New Roman"/>
          <w:color w:val="000000"/>
          <w:sz w:val="32"/>
          <w:szCs w:val="32"/>
        </w:rPr>
        <w:t>：指反映除上述项目以外其他用于民族事务方面的支出。</w:t>
      </w:r>
    </w:p>
    <w:p>
      <w:pPr>
        <w:keepNext w:val="0"/>
        <w:keepLines w:val="0"/>
        <w:pageBreakBefore w:val="0"/>
        <w:widowControl w:val="0"/>
        <w:kinsoku/>
        <w:wordWrap/>
        <w:overflowPunct/>
        <w:topLinePunct w:val="0"/>
        <w:bidi w:val="0"/>
        <w:snapToGrid/>
        <w:spacing w:line="240" w:lineRule="auto"/>
        <w:ind w:firstLine="640" w:firstLineChars="200"/>
        <w:jc w:val="both"/>
        <w:textAlignment w:val="auto"/>
        <w:rPr>
          <w:rFonts w:hint="default" w:ascii="Times New Roman" w:hAnsi="Times New Roman" w:eastAsia="方正仿宋_GBK" w:cs="Times New Roman"/>
          <w:color w:val="000000"/>
          <w:sz w:val="32"/>
          <w:szCs w:val="32"/>
        </w:rPr>
      </w:pPr>
      <w:r>
        <w:rPr>
          <w:rFonts w:hint="eastAsia" w:eastAsia="方正仿宋_GBK" w:cs="Times New Roman"/>
          <w:b w:val="0"/>
          <w:bCs/>
          <w:kern w:val="0"/>
          <w:sz w:val="32"/>
          <w:szCs w:val="32"/>
          <w:highlight w:val="none"/>
          <w:u w:val="none"/>
          <w:lang w:val="en-US" w:eastAsia="zh-CN" w:bidi="ar-SA"/>
        </w:rPr>
        <w:t>19.</w:t>
      </w:r>
      <w:r>
        <w:rPr>
          <w:rFonts w:hint="default" w:ascii="Times New Roman" w:hAnsi="Times New Roman" w:eastAsia="方正仿宋_GBK" w:cs="Times New Roman"/>
          <w:b w:val="0"/>
          <w:bCs/>
          <w:kern w:val="0"/>
          <w:sz w:val="32"/>
          <w:szCs w:val="32"/>
          <w:highlight w:val="none"/>
          <w:u w:val="none"/>
          <w:lang w:val="en-US" w:eastAsia="zh-CN" w:bidi="ar-SA"/>
        </w:rPr>
        <w:t>一般公共服务201（类）党委办公厅（室）及相关机构事务31（款）行政运行01（项）</w:t>
      </w:r>
      <w:r>
        <w:rPr>
          <w:rFonts w:hint="default" w:ascii="Times New Roman" w:hAnsi="Times New Roman" w:eastAsia="方正仿宋_GBK" w:cs="Times New Roman"/>
          <w:color w:val="000000"/>
          <w:sz w:val="32"/>
          <w:szCs w:val="32"/>
        </w:rPr>
        <w:t>：指反映行政单位（包括实行公务员管理的事业单位）的基本支出。</w:t>
      </w:r>
    </w:p>
    <w:p>
      <w:pPr>
        <w:pStyle w:val="8"/>
        <w:keepNext w:val="0"/>
        <w:keepLines w:val="0"/>
        <w:pageBreakBefore w:val="0"/>
        <w:widowControl w:val="0"/>
        <w:kinsoku/>
        <w:wordWrap/>
        <w:overflowPunct/>
        <w:topLinePunct w:val="0"/>
        <w:bidi w:val="0"/>
        <w:snapToGrid/>
        <w:spacing w:after="0" w:line="240" w:lineRule="auto"/>
        <w:ind w:left="0" w:leftChars="0" w:firstLine="640" w:firstLineChars="200"/>
        <w:jc w:val="both"/>
        <w:textAlignment w:val="auto"/>
        <w:rPr>
          <w:rFonts w:hint="default" w:ascii="Times New Roman" w:hAnsi="Times New Roman" w:eastAsia="方正仿宋_GBK" w:cs="Times New Roman"/>
          <w:color w:val="000000"/>
          <w:sz w:val="32"/>
          <w:szCs w:val="32"/>
          <w:lang w:val="en-US" w:eastAsia="zh-CN"/>
        </w:rPr>
      </w:pPr>
      <w:r>
        <w:rPr>
          <w:rFonts w:hint="eastAsia" w:ascii="Times New Roman" w:eastAsia="方正仿宋_GBK" w:cs="Times New Roman"/>
          <w:b w:val="0"/>
          <w:bCs/>
          <w:kern w:val="0"/>
          <w:sz w:val="32"/>
          <w:szCs w:val="32"/>
          <w:highlight w:val="none"/>
          <w:u w:val="none"/>
          <w:lang w:val="en-US" w:eastAsia="zh-CN" w:bidi="ar-SA"/>
        </w:rPr>
        <w:t>20.</w:t>
      </w:r>
      <w:r>
        <w:rPr>
          <w:rFonts w:hint="default" w:ascii="Times New Roman" w:hAnsi="Times New Roman" w:eastAsia="方正仿宋_GBK" w:cs="Times New Roman"/>
          <w:b w:val="0"/>
          <w:bCs/>
          <w:kern w:val="0"/>
          <w:sz w:val="32"/>
          <w:szCs w:val="32"/>
          <w:highlight w:val="none"/>
          <w:u w:val="none"/>
          <w:lang w:val="en-US" w:eastAsia="zh-CN" w:bidi="ar-SA"/>
        </w:rPr>
        <w:t>一般公共服务201（类）党委办公厅（室）及相关机构事务31（款）一般行政管理事务02（项）</w:t>
      </w:r>
      <w:r>
        <w:rPr>
          <w:rFonts w:hint="default" w:ascii="Times New Roman" w:hAnsi="Times New Roman" w:eastAsia="方正仿宋_GBK" w:cs="Times New Roman"/>
          <w:color w:val="000000"/>
          <w:sz w:val="32"/>
          <w:szCs w:val="32"/>
          <w:lang w:val="en-US" w:eastAsia="zh-CN"/>
        </w:rPr>
        <w:t>：指反映行政单位（包括实行公务员管理的事业单位）未单独设置项级科目的其他项目支出。</w:t>
      </w:r>
    </w:p>
    <w:p>
      <w:pPr>
        <w:pStyle w:val="8"/>
        <w:keepNext w:val="0"/>
        <w:keepLines w:val="0"/>
        <w:pageBreakBefore w:val="0"/>
        <w:widowControl w:val="0"/>
        <w:kinsoku/>
        <w:wordWrap/>
        <w:overflowPunct/>
        <w:topLinePunct w:val="0"/>
        <w:bidi w:val="0"/>
        <w:snapToGrid/>
        <w:spacing w:after="0" w:line="240" w:lineRule="auto"/>
        <w:ind w:left="0" w:leftChars="0" w:firstLine="640" w:firstLineChars="200"/>
        <w:jc w:val="both"/>
        <w:textAlignment w:val="auto"/>
        <w:rPr>
          <w:rFonts w:hint="default" w:ascii="Times New Roman" w:eastAsia="方正仿宋_GBK" w:cs="Times New Roman"/>
          <w:b w:val="0"/>
          <w:bCs/>
          <w:kern w:val="0"/>
          <w:sz w:val="32"/>
          <w:szCs w:val="32"/>
          <w:highlight w:val="none"/>
          <w:u w:val="none"/>
          <w:lang w:val="en-US" w:eastAsia="zh-CN" w:bidi="ar-SA"/>
        </w:rPr>
      </w:pPr>
      <w:r>
        <w:rPr>
          <w:rFonts w:hint="eastAsia" w:ascii="Times New Roman" w:eastAsia="方正仿宋_GBK" w:cs="Times New Roman"/>
          <w:b w:val="0"/>
          <w:bCs/>
          <w:kern w:val="0"/>
          <w:sz w:val="32"/>
          <w:szCs w:val="32"/>
          <w:highlight w:val="none"/>
          <w:u w:val="none"/>
          <w:lang w:val="en-US" w:eastAsia="zh-CN" w:bidi="ar-SA"/>
        </w:rPr>
        <w:t>21.</w:t>
      </w:r>
      <w:r>
        <w:rPr>
          <w:rFonts w:hint="default" w:ascii="Times New Roman" w:eastAsia="方正仿宋_GBK" w:cs="Times New Roman"/>
          <w:b w:val="0"/>
          <w:bCs/>
          <w:kern w:val="0"/>
          <w:sz w:val="32"/>
          <w:szCs w:val="32"/>
          <w:highlight w:val="none"/>
          <w:u w:val="none"/>
          <w:lang w:val="en-US" w:eastAsia="zh-CN" w:bidi="ar-SA"/>
        </w:rPr>
        <w:t>一般公共服务201（类）其他一般公共服务支出99（款）其他一般公共服务支出99（项）：指反映除上述项目以外的其他一般公共服务支出。</w:t>
      </w:r>
    </w:p>
    <w:p>
      <w:pPr>
        <w:keepNext w:val="0"/>
        <w:keepLines w:val="0"/>
        <w:pageBreakBefore w:val="0"/>
        <w:widowControl w:val="0"/>
        <w:kinsoku/>
        <w:wordWrap/>
        <w:overflowPunct/>
        <w:topLinePunct w:val="0"/>
        <w:bidi w:val="0"/>
        <w:snapToGrid/>
        <w:spacing w:line="240" w:lineRule="auto"/>
        <w:ind w:firstLine="640" w:firstLineChars="200"/>
        <w:jc w:val="both"/>
        <w:textAlignment w:val="auto"/>
        <w:rPr>
          <w:rFonts w:hint="default" w:ascii="Times New Roman" w:hAnsi="Times New Roman" w:eastAsia="方正仿宋_GBK" w:cs="Times New Roman"/>
          <w:color w:val="000000"/>
          <w:sz w:val="32"/>
          <w:szCs w:val="32"/>
        </w:rPr>
      </w:pPr>
      <w:r>
        <w:rPr>
          <w:rFonts w:hint="eastAsia" w:eastAsia="方正仿宋_GBK" w:cs="Times New Roman"/>
          <w:b w:val="0"/>
          <w:bCs/>
          <w:kern w:val="0"/>
          <w:sz w:val="32"/>
          <w:szCs w:val="32"/>
          <w:highlight w:val="none"/>
          <w:u w:val="none"/>
          <w:lang w:val="en-US" w:eastAsia="zh-CN" w:bidi="ar-SA"/>
        </w:rPr>
        <w:t>22.</w:t>
      </w:r>
      <w:r>
        <w:rPr>
          <w:rFonts w:hint="default" w:ascii="Times New Roman" w:hAnsi="Times New Roman" w:eastAsia="方正仿宋_GBK" w:cs="Times New Roman"/>
          <w:b w:val="0"/>
          <w:bCs/>
          <w:kern w:val="0"/>
          <w:sz w:val="32"/>
          <w:szCs w:val="32"/>
          <w:highlight w:val="none"/>
          <w:u w:val="none"/>
          <w:lang w:val="en-US" w:eastAsia="zh-CN" w:bidi="ar-SA"/>
        </w:rPr>
        <w:t>文化旅游体育与传媒支出207（类）文化和旅游01（款）群众文化09（项）</w:t>
      </w:r>
      <w:r>
        <w:rPr>
          <w:rFonts w:hint="default" w:ascii="Times New Roman" w:hAnsi="Times New Roman" w:eastAsia="方正仿宋_GBK" w:cs="Times New Roman"/>
          <w:color w:val="000000"/>
          <w:sz w:val="32"/>
          <w:szCs w:val="32"/>
          <w:highlight w:val="none"/>
        </w:rPr>
        <w:t>：指反映群</w:t>
      </w:r>
      <w:r>
        <w:rPr>
          <w:rFonts w:hint="default" w:ascii="Times New Roman" w:hAnsi="Times New Roman" w:eastAsia="方正仿宋_GBK" w:cs="Times New Roman"/>
          <w:color w:val="000000"/>
          <w:sz w:val="32"/>
          <w:szCs w:val="32"/>
        </w:rPr>
        <w:t>众文化方面的支出，包括基层文化馆（站）、群众艺术馆支出等。</w:t>
      </w:r>
    </w:p>
    <w:p>
      <w:pPr>
        <w:keepNext w:val="0"/>
        <w:keepLines w:val="0"/>
        <w:pageBreakBefore w:val="0"/>
        <w:widowControl w:val="0"/>
        <w:kinsoku/>
        <w:wordWrap/>
        <w:overflowPunct/>
        <w:topLinePunct w:val="0"/>
        <w:bidi w:val="0"/>
        <w:snapToGrid/>
        <w:spacing w:line="240" w:lineRule="auto"/>
        <w:ind w:firstLine="640" w:firstLineChars="200"/>
        <w:jc w:val="both"/>
        <w:textAlignment w:val="auto"/>
        <w:rPr>
          <w:rFonts w:hint="default" w:ascii="Times New Roman" w:hAnsi="Times New Roman" w:eastAsia="方正仿宋_GBK" w:cs="Times New Roman"/>
          <w:color w:val="000000"/>
          <w:sz w:val="32"/>
          <w:szCs w:val="32"/>
        </w:rPr>
      </w:pPr>
      <w:r>
        <w:rPr>
          <w:rFonts w:hint="eastAsia" w:eastAsia="方正仿宋_GBK" w:cs="Times New Roman"/>
          <w:b w:val="0"/>
          <w:bCs/>
          <w:kern w:val="0"/>
          <w:sz w:val="32"/>
          <w:szCs w:val="32"/>
          <w:highlight w:val="none"/>
          <w:u w:val="none"/>
          <w:lang w:val="en-US" w:eastAsia="zh-CN" w:bidi="ar-SA"/>
        </w:rPr>
        <w:t>23.</w:t>
      </w:r>
      <w:r>
        <w:rPr>
          <w:rFonts w:hint="default" w:ascii="Times New Roman" w:hAnsi="Times New Roman" w:eastAsia="方正仿宋_GBK" w:cs="Times New Roman"/>
          <w:b w:val="0"/>
          <w:bCs/>
          <w:kern w:val="0"/>
          <w:sz w:val="32"/>
          <w:szCs w:val="32"/>
          <w:highlight w:val="none"/>
          <w:u w:val="none"/>
          <w:lang w:val="en-US" w:eastAsia="zh-CN" w:bidi="ar-SA"/>
        </w:rPr>
        <w:t>文化旅游体育与传媒支出207（类）文化和旅游01（款）其他文化和旅游支出99（项）</w:t>
      </w:r>
      <w:r>
        <w:rPr>
          <w:rFonts w:hint="default" w:ascii="Times New Roman" w:hAnsi="Times New Roman" w:eastAsia="方正仿宋_GBK" w:cs="Times New Roman"/>
          <w:color w:val="000000"/>
          <w:sz w:val="32"/>
          <w:szCs w:val="32"/>
        </w:rPr>
        <w:t>：反映除上述项目以外其他用于文化和旅游方</w:t>
      </w:r>
      <w:r>
        <w:rPr>
          <w:rFonts w:hint="default" w:ascii="Times New Roman" w:hAnsi="Times New Roman" w:eastAsia="方正仿宋_GBK" w:cs="Times New Roman"/>
          <w:color w:val="000000"/>
          <w:sz w:val="32"/>
          <w:szCs w:val="32"/>
          <w:lang w:eastAsia="zh-CN"/>
        </w:rPr>
        <w:t>面的</w:t>
      </w:r>
      <w:r>
        <w:rPr>
          <w:rFonts w:hint="default" w:ascii="Times New Roman" w:hAnsi="Times New Roman" w:eastAsia="方正仿宋_GBK" w:cs="Times New Roman"/>
          <w:color w:val="000000"/>
          <w:sz w:val="32"/>
          <w:szCs w:val="32"/>
        </w:rPr>
        <w:t>支出。</w:t>
      </w:r>
    </w:p>
    <w:p>
      <w:pPr>
        <w:keepNext w:val="0"/>
        <w:keepLines w:val="0"/>
        <w:pageBreakBefore w:val="0"/>
        <w:widowControl w:val="0"/>
        <w:kinsoku/>
        <w:wordWrap/>
        <w:overflowPunct/>
        <w:topLinePunct w:val="0"/>
        <w:bidi w:val="0"/>
        <w:snapToGrid/>
        <w:spacing w:line="240" w:lineRule="auto"/>
        <w:ind w:firstLine="640" w:firstLineChars="200"/>
        <w:jc w:val="both"/>
        <w:textAlignment w:val="auto"/>
        <w:rPr>
          <w:rFonts w:hint="default" w:ascii="Times New Roman" w:hAnsi="Times New Roman" w:eastAsia="方正仿宋_GBK" w:cs="Times New Roman"/>
          <w:color w:val="000000"/>
          <w:sz w:val="32"/>
          <w:szCs w:val="32"/>
        </w:rPr>
      </w:pPr>
      <w:r>
        <w:rPr>
          <w:rFonts w:hint="eastAsia" w:eastAsia="方正仿宋_GBK" w:cs="Times New Roman"/>
          <w:b w:val="0"/>
          <w:bCs/>
          <w:kern w:val="0"/>
          <w:sz w:val="32"/>
          <w:szCs w:val="32"/>
          <w:highlight w:val="none"/>
          <w:u w:val="none"/>
          <w:lang w:val="en-US" w:eastAsia="zh-CN" w:bidi="ar-SA"/>
        </w:rPr>
        <w:t>24.</w:t>
      </w:r>
      <w:r>
        <w:rPr>
          <w:rFonts w:hint="default" w:ascii="Times New Roman" w:hAnsi="Times New Roman" w:eastAsia="方正仿宋_GBK" w:cs="Times New Roman"/>
          <w:b w:val="0"/>
          <w:bCs/>
          <w:kern w:val="0"/>
          <w:sz w:val="32"/>
          <w:szCs w:val="32"/>
          <w:highlight w:val="none"/>
          <w:u w:val="none"/>
          <w:lang w:val="en-US" w:eastAsia="zh-CN" w:bidi="ar-SA"/>
        </w:rPr>
        <w:t>社会保障和就业支出208（类）人力资源和社会保障管理事务01（款）社会保险经办机构09（项）</w:t>
      </w:r>
      <w:r>
        <w:rPr>
          <w:rFonts w:hint="default" w:ascii="Times New Roman" w:hAnsi="Times New Roman" w:eastAsia="方正仿宋_GBK" w:cs="Times New Roman"/>
          <w:color w:val="000000"/>
          <w:sz w:val="32"/>
          <w:szCs w:val="32"/>
        </w:rPr>
        <w:t>：指反映社会保险经办机构开展业务工作的支出。</w:t>
      </w:r>
    </w:p>
    <w:p>
      <w:pPr>
        <w:keepNext w:val="0"/>
        <w:keepLines w:val="0"/>
        <w:pageBreakBefore w:val="0"/>
        <w:widowControl w:val="0"/>
        <w:kinsoku/>
        <w:wordWrap/>
        <w:overflowPunct/>
        <w:topLinePunct w:val="0"/>
        <w:bidi w:val="0"/>
        <w:snapToGrid/>
        <w:spacing w:line="240" w:lineRule="auto"/>
        <w:ind w:firstLine="640" w:firstLineChars="200"/>
        <w:jc w:val="both"/>
        <w:textAlignment w:val="auto"/>
        <w:rPr>
          <w:rFonts w:hint="default" w:ascii="Times New Roman" w:hAnsi="Times New Roman" w:eastAsia="方正仿宋_GBK" w:cs="Times New Roman"/>
          <w:color w:val="000000"/>
          <w:sz w:val="32"/>
          <w:szCs w:val="32"/>
        </w:rPr>
      </w:pPr>
      <w:r>
        <w:rPr>
          <w:rFonts w:hint="eastAsia" w:eastAsia="方正仿宋_GBK" w:cs="Times New Roman"/>
          <w:b w:val="0"/>
          <w:bCs/>
          <w:kern w:val="0"/>
          <w:sz w:val="32"/>
          <w:szCs w:val="32"/>
          <w:highlight w:val="none"/>
          <w:u w:val="none"/>
          <w:lang w:val="en-US" w:eastAsia="zh-CN" w:bidi="ar-SA"/>
        </w:rPr>
        <w:t>25.</w:t>
      </w:r>
      <w:r>
        <w:rPr>
          <w:rFonts w:hint="default" w:ascii="Times New Roman" w:hAnsi="Times New Roman" w:eastAsia="方正仿宋_GBK" w:cs="Times New Roman"/>
          <w:b w:val="0"/>
          <w:bCs/>
          <w:kern w:val="0"/>
          <w:sz w:val="32"/>
          <w:szCs w:val="32"/>
          <w:highlight w:val="none"/>
          <w:u w:val="none"/>
          <w:lang w:val="en-US" w:eastAsia="zh-CN" w:bidi="ar-SA"/>
        </w:rPr>
        <w:t>社会保障和就业支出208（类）人力资源和社会保障管理事务01（款）其他人力资源和社会保障管理实务支出99（项）</w:t>
      </w:r>
      <w:r>
        <w:rPr>
          <w:rFonts w:hint="default" w:ascii="Times New Roman" w:hAnsi="Times New Roman" w:eastAsia="方正仿宋_GBK" w:cs="Times New Roman"/>
          <w:color w:val="000000"/>
          <w:sz w:val="32"/>
          <w:szCs w:val="32"/>
        </w:rPr>
        <w:t>：反映除上述项目以外其他用于人力资源社会保障管理事务方面的支出。</w:t>
      </w:r>
    </w:p>
    <w:p>
      <w:pPr>
        <w:keepNext w:val="0"/>
        <w:keepLines w:val="0"/>
        <w:pageBreakBefore w:val="0"/>
        <w:widowControl w:val="0"/>
        <w:kinsoku/>
        <w:wordWrap/>
        <w:overflowPunct/>
        <w:topLinePunct w:val="0"/>
        <w:bidi w:val="0"/>
        <w:snapToGrid/>
        <w:spacing w:line="240" w:lineRule="auto"/>
        <w:ind w:firstLine="640" w:firstLineChars="200"/>
        <w:jc w:val="both"/>
        <w:textAlignment w:val="auto"/>
        <w:rPr>
          <w:rFonts w:hint="default" w:ascii="Times New Roman" w:hAnsi="Times New Roman" w:eastAsia="方正仿宋_GBK" w:cs="Times New Roman"/>
          <w:color w:val="000000"/>
          <w:sz w:val="32"/>
          <w:szCs w:val="32"/>
        </w:rPr>
      </w:pPr>
      <w:r>
        <w:rPr>
          <w:rFonts w:hint="eastAsia" w:eastAsia="方正仿宋_GBK" w:cs="Times New Roman"/>
          <w:b w:val="0"/>
          <w:bCs/>
          <w:kern w:val="0"/>
          <w:sz w:val="32"/>
          <w:szCs w:val="32"/>
          <w:highlight w:val="none"/>
          <w:u w:val="none"/>
          <w:lang w:val="en-US" w:eastAsia="zh-CN" w:bidi="ar-SA"/>
        </w:rPr>
        <w:t>26.</w:t>
      </w:r>
      <w:r>
        <w:rPr>
          <w:rFonts w:hint="default" w:ascii="Times New Roman" w:hAnsi="Times New Roman" w:eastAsia="方正仿宋_GBK" w:cs="Times New Roman"/>
          <w:b w:val="0"/>
          <w:bCs/>
          <w:kern w:val="0"/>
          <w:sz w:val="32"/>
          <w:szCs w:val="32"/>
          <w:highlight w:val="none"/>
          <w:u w:val="none"/>
          <w:lang w:val="en-US" w:eastAsia="zh-CN" w:bidi="ar-SA"/>
        </w:rPr>
        <w:t>社会保障和就业支出208（类）民政管理事务02（款）基层政权建设和社区治理08（项）</w:t>
      </w:r>
      <w:r>
        <w:rPr>
          <w:rFonts w:hint="default" w:ascii="Times New Roman" w:hAnsi="Times New Roman" w:eastAsia="方正仿宋_GBK" w:cs="Times New Roman"/>
          <w:color w:val="000000"/>
          <w:sz w:val="32"/>
          <w:szCs w:val="32"/>
        </w:rPr>
        <w:t>：指反映开展城乡社区治理、城乡社区服务（乡村便民服务）村（居）民自治、村（居）务公开、乡镇（街道）服务能力建设等基层政权建设和社区治理工作支出。</w:t>
      </w:r>
    </w:p>
    <w:p>
      <w:pPr>
        <w:keepNext w:val="0"/>
        <w:keepLines w:val="0"/>
        <w:pageBreakBefore w:val="0"/>
        <w:widowControl w:val="0"/>
        <w:kinsoku/>
        <w:wordWrap/>
        <w:overflowPunct/>
        <w:topLinePunct w:val="0"/>
        <w:bidi w:val="0"/>
        <w:snapToGrid/>
        <w:spacing w:line="240" w:lineRule="auto"/>
        <w:ind w:firstLine="640" w:firstLineChars="200"/>
        <w:jc w:val="both"/>
        <w:textAlignment w:val="auto"/>
        <w:rPr>
          <w:rFonts w:hint="default" w:ascii="Times New Roman" w:hAnsi="Times New Roman" w:eastAsia="方正仿宋_GBK" w:cs="Times New Roman"/>
          <w:color w:val="000000"/>
          <w:sz w:val="32"/>
          <w:szCs w:val="32"/>
        </w:rPr>
      </w:pPr>
      <w:r>
        <w:rPr>
          <w:rFonts w:hint="eastAsia" w:eastAsia="方正仿宋_GBK" w:cs="Times New Roman"/>
          <w:b w:val="0"/>
          <w:bCs/>
          <w:kern w:val="0"/>
          <w:sz w:val="32"/>
          <w:szCs w:val="32"/>
          <w:highlight w:val="none"/>
          <w:u w:val="none"/>
          <w:lang w:val="en-US" w:eastAsia="zh-CN" w:bidi="ar-SA"/>
        </w:rPr>
        <w:t>27.</w:t>
      </w:r>
      <w:r>
        <w:rPr>
          <w:rFonts w:hint="default" w:ascii="Times New Roman" w:hAnsi="Times New Roman" w:eastAsia="方正仿宋_GBK" w:cs="Times New Roman"/>
          <w:b w:val="0"/>
          <w:bCs/>
          <w:kern w:val="0"/>
          <w:sz w:val="32"/>
          <w:szCs w:val="32"/>
          <w:highlight w:val="none"/>
          <w:u w:val="none"/>
          <w:lang w:val="en-US" w:eastAsia="zh-CN" w:bidi="ar-SA"/>
        </w:rPr>
        <w:t>社会保障和就业支出208（类）行政事业单位养老支出05（款）行政单位离退休01（项）</w:t>
      </w:r>
      <w:r>
        <w:rPr>
          <w:rFonts w:hint="default" w:ascii="Times New Roman" w:hAnsi="Times New Roman" w:eastAsia="方正仿宋_GBK" w:cs="Times New Roman"/>
          <w:color w:val="000000"/>
          <w:sz w:val="32"/>
          <w:szCs w:val="32"/>
        </w:rPr>
        <w:t>：指反映行政单位（包括实行公务员管理的事业单位）开支的离退休经费。</w:t>
      </w:r>
    </w:p>
    <w:p>
      <w:pPr>
        <w:keepNext w:val="0"/>
        <w:keepLines w:val="0"/>
        <w:pageBreakBefore w:val="0"/>
        <w:widowControl w:val="0"/>
        <w:kinsoku/>
        <w:wordWrap/>
        <w:overflowPunct/>
        <w:topLinePunct w:val="0"/>
        <w:bidi w:val="0"/>
        <w:snapToGrid/>
        <w:spacing w:line="240" w:lineRule="auto"/>
        <w:ind w:firstLine="640" w:firstLineChars="200"/>
        <w:jc w:val="both"/>
        <w:textAlignment w:val="auto"/>
        <w:rPr>
          <w:rFonts w:hint="default" w:ascii="Times New Roman" w:hAnsi="Times New Roman" w:eastAsia="方正仿宋_GBK" w:cs="Times New Roman"/>
          <w:color w:val="000000"/>
          <w:sz w:val="32"/>
          <w:szCs w:val="32"/>
        </w:rPr>
      </w:pPr>
      <w:r>
        <w:rPr>
          <w:rFonts w:hint="eastAsia" w:eastAsia="方正仿宋_GBK" w:cs="Times New Roman"/>
          <w:b w:val="0"/>
          <w:bCs/>
          <w:kern w:val="0"/>
          <w:sz w:val="32"/>
          <w:szCs w:val="32"/>
          <w:highlight w:val="none"/>
          <w:u w:val="none"/>
          <w:lang w:val="en-US" w:eastAsia="zh-CN" w:bidi="ar-SA"/>
        </w:rPr>
        <w:t>28.</w:t>
      </w:r>
      <w:r>
        <w:rPr>
          <w:rFonts w:hint="default" w:ascii="Times New Roman" w:hAnsi="Times New Roman" w:eastAsia="方正仿宋_GBK" w:cs="Times New Roman"/>
          <w:b w:val="0"/>
          <w:bCs/>
          <w:kern w:val="0"/>
          <w:sz w:val="32"/>
          <w:szCs w:val="32"/>
          <w:highlight w:val="none"/>
          <w:u w:val="none"/>
          <w:lang w:val="en-US" w:eastAsia="zh-CN" w:bidi="ar-SA"/>
        </w:rPr>
        <w:t>社会保障和就业支出208（类）行政事业单位养老支出05（款）事业单位离退休02（项）</w:t>
      </w:r>
      <w:r>
        <w:rPr>
          <w:rFonts w:hint="default" w:ascii="Times New Roman" w:hAnsi="Times New Roman" w:eastAsia="方正仿宋_GBK" w:cs="Times New Roman"/>
          <w:color w:val="000000"/>
          <w:sz w:val="32"/>
          <w:szCs w:val="32"/>
        </w:rPr>
        <w:t>：指反映事业单位开支的离退休经费。</w:t>
      </w:r>
    </w:p>
    <w:p>
      <w:pPr>
        <w:keepNext w:val="0"/>
        <w:keepLines w:val="0"/>
        <w:pageBreakBefore w:val="0"/>
        <w:widowControl w:val="0"/>
        <w:kinsoku/>
        <w:wordWrap/>
        <w:overflowPunct/>
        <w:topLinePunct w:val="0"/>
        <w:bidi w:val="0"/>
        <w:snapToGrid/>
        <w:spacing w:line="240" w:lineRule="auto"/>
        <w:ind w:firstLine="640" w:firstLineChars="200"/>
        <w:jc w:val="both"/>
        <w:textAlignment w:val="auto"/>
        <w:rPr>
          <w:rFonts w:hint="default" w:ascii="Times New Roman" w:hAnsi="Times New Roman" w:eastAsia="方正仿宋_GBK" w:cs="Times New Roman"/>
          <w:color w:val="000000"/>
          <w:sz w:val="32"/>
          <w:szCs w:val="32"/>
        </w:rPr>
      </w:pPr>
      <w:r>
        <w:rPr>
          <w:rFonts w:hint="eastAsia" w:eastAsia="方正仿宋_GBK" w:cs="Times New Roman"/>
          <w:b w:val="0"/>
          <w:bCs/>
          <w:kern w:val="0"/>
          <w:sz w:val="32"/>
          <w:szCs w:val="32"/>
          <w:highlight w:val="none"/>
          <w:u w:val="none"/>
          <w:lang w:val="en-US" w:eastAsia="zh-CN" w:bidi="ar-SA"/>
        </w:rPr>
        <w:t>29.</w:t>
      </w:r>
      <w:r>
        <w:rPr>
          <w:rFonts w:hint="default" w:ascii="Times New Roman" w:hAnsi="Times New Roman" w:eastAsia="方正仿宋_GBK" w:cs="Times New Roman"/>
          <w:b w:val="0"/>
          <w:bCs/>
          <w:kern w:val="0"/>
          <w:sz w:val="32"/>
          <w:szCs w:val="32"/>
          <w:highlight w:val="none"/>
          <w:u w:val="none"/>
          <w:lang w:val="en-US" w:eastAsia="zh-CN" w:bidi="ar-SA"/>
        </w:rPr>
        <w:t>社会保障和就业支出208（类）行政事业单位养老支出05（款）机关事业单位基本养老保险缴费支出05（项）</w:t>
      </w:r>
      <w:r>
        <w:rPr>
          <w:rFonts w:hint="default" w:ascii="Times New Roman" w:hAnsi="Times New Roman" w:eastAsia="方正仿宋_GBK" w:cs="Times New Roman"/>
          <w:color w:val="000000"/>
          <w:sz w:val="32"/>
          <w:szCs w:val="32"/>
        </w:rPr>
        <w:t>：指反映机关事业单位实施养老保险制度由单位缴纳的基本养老保险费支出。</w:t>
      </w:r>
    </w:p>
    <w:p>
      <w:pPr>
        <w:keepNext w:val="0"/>
        <w:keepLines w:val="0"/>
        <w:pageBreakBefore w:val="0"/>
        <w:widowControl w:val="0"/>
        <w:kinsoku/>
        <w:wordWrap/>
        <w:overflowPunct/>
        <w:topLinePunct w:val="0"/>
        <w:bidi w:val="0"/>
        <w:snapToGrid/>
        <w:spacing w:line="240" w:lineRule="auto"/>
        <w:ind w:firstLine="640" w:firstLineChars="200"/>
        <w:jc w:val="both"/>
        <w:textAlignment w:val="auto"/>
        <w:rPr>
          <w:rFonts w:hint="default" w:ascii="Times New Roman" w:hAnsi="Times New Roman" w:eastAsia="方正仿宋_GBK" w:cs="Times New Roman"/>
          <w:color w:val="000000"/>
          <w:sz w:val="32"/>
          <w:szCs w:val="32"/>
        </w:rPr>
      </w:pPr>
      <w:r>
        <w:rPr>
          <w:rFonts w:hint="eastAsia" w:eastAsia="方正仿宋_GBK" w:cs="Times New Roman"/>
          <w:b w:val="0"/>
          <w:bCs/>
          <w:kern w:val="0"/>
          <w:sz w:val="32"/>
          <w:szCs w:val="32"/>
          <w:highlight w:val="none"/>
          <w:u w:val="none"/>
          <w:lang w:val="en-US" w:eastAsia="zh-CN" w:bidi="ar-SA"/>
        </w:rPr>
        <w:t>30.</w:t>
      </w:r>
      <w:r>
        <w:rPr>
          <w:rFonts w:hint="default" w:ascii="Times New Roman" w:hAnsi="Times New Roman" w:eastAsia="方正仿宋_GBK" w:cs="Times New Roman"/>
          <w:b w:val="0"/>
          <w:bCs/>
          <w:kern w:val="0"/>
          <w:sz w:val="32"/>
          <w:szCs w:val="32"/>
          <w:highlight w:val="none"/>
          <w:u w:val="none"/>
          <w:lang w:val="en-US" w:eastAsia="zh-CN" w:bidi="ar-SA"/>
        </w:rPr>
        <w:t>社会保障和就业支出208（类）行政事业单位养老支出05（款）机关事业单位职业年金缴费支出06（项）</w:t>
      </w:r>
      <w:r>
        <w:rPr>
          <w:rFonts w:hint="default" w:ascii="Times New Roman" w:hAnsi="Times New Roman" w:eastAsia="方正仿宋_GBK" w:cs="Times New Roman"/>
          <w:color w:val="000000"/>
          <w:sz w:val="32"/>
          <w:szCs w:val="32"/>
        </w:rPr>
        <w:t>：指反映机关事业单位实施养老保险制度由单位实际缴纳的职业年金支出。</w:t>
      </w:r>
    </w:p>
    <w:p>
      <w:pPr>
        <w:keepNext w:val="0"/>
        <w:keepLines w:val="0"/>
        <w:pageBreakBefore w:val="0"/>
        <w:widowControl w:val="0"/>
        <w:kinsoku/>
        <w:wordWrap/>
        <w:overflowPunct/>
        <w:topLinePunct w:val="0"/>
        <w:bidi w:val="0"/>
        <w:snapToGrid/>
        <w:spacing w:line="240" w:lineRule="auto"/>
        <w:ind w:firstLine="640" w:firstLineChars="200"/>
        <w:jc w:val="both"/>
        <w:textAlignment w:val="auto"/>
        <w:rPr>
          <w:rFonts w:hint="default" w:ascii="Times New Roman" w:hAnsi="Times New Roman" w:eastAsia="方正仿宋_GBK" w:cs="Times New Roman"/>
          <w:color w:val="000000"/>
          <w:sz w:val="32"/>
          <w:szCs w:val="32"/>
          <w:lang w:val="en-US" w:eastAsia="zh-CN"/>
        </w:rPr>
      </w:pPr>
      <w:r>
        <w:rPr>
          <w:rFonts w:hint="eastAsia" w:eastAsia="方正仿宋_GBK" w:cs="Times New Roman"/>
          <w:b w:val="0"/>
          <w:bCs/>
          <w:kern w:val="0"/>
          <w:sz w:val="32"/>
          <w:szCs w:val="32"/>
          <w:highlight w:val="none"/>
          <w:u w:val="none"/>
          <w:lang w:val="en-US" w:eastAsia="zh-CN" w:bidi="ar-SA"/>
        </w:rPr>
        <w:t>31.</w:t>
      </w:r>
      <w:r>
        <w:rPr>
          <w:rFonts w:hint="default" w:ascii="Times New Roman" w:hAnsi="Times New Roman" w:eastAsia="方正仿宋_GBK" w:cs="Times New Roman"/>
          <w:b w:val="0"/>
          <w:bCs/>
          <w:kern w:val="0"/>
          <w:sz w:val="32"/>
          <w:szCs w:val="32"/>
          <w:highlight w:val="none"/>
          <w:u w:val="none"/>
          <w:lang w:val="en-US" w:eastAsia="zh-CN" w:bidi="ar-SA"/>
        </w:rPr>
        <w:t>社会保障和就业支出208（类）特困人员救助供养21（款）农村特困人员救助供养支出02（项）</w:t>
      </w:r>
      <w:r>
        <w:rPr>
          <w:rFonts w:hint="default" w:ascii="Times New Roman" w:hAnsi="Times New Roman" w:eastAsia="方正仿宋_GBK" w:cs="Times New Roman"/>
          <w:color w:val="000000"/>
          <w:sz w:val="32"/>
          <w:szCs w:val="32"/>
        </w:rPr>
        <w:t>：</w:t>
      </w:r>
      <w:r>
        <w:rPr>
          <w:rFonts w:hint="default" w:ascii="Times New Roman" w:hAnsi="Times New Roman" w:eastAsia="方正仿宋_GBK" w:cs="Times New Roman"/>
          <w:color w:val="000000"/>
          <w:sz w:val="32"/>
          <w:szCs w:val="32"/>
          <w:lang w:val="en-US" w:eastAsia="zh-CN"/>
        </w:rPr>
        <w:t>指</w:t>
      </w:r>
      <w:r>
        <w:rPr>
          <w:rFonts w:hint="default" w:ascii="Times New Roman" w:hAnsi="Times New Roman" w:eastAsia="方正仿宋_GBK" w:cs="Times New Roman"/>
          <w:color w:val="000000"/>
          <w:sz w:val="32"/>
          <w:szCs w:val="32"/>
        </w:rPr>
        <w:t>反映</w:t>
      </w:r>
      <w:r>
        <w:rPr>
          <w:rFonts w:hint="default" w:ascii="Times New Roman" w:hAnsi="Times New Roman" w:eastAsia="方正仿宋_GBK" w:cs="Times New Roman"/>
          <w:color w:val="000000"/>
          <w:sz w:val="32"/>
          <w:szCs w:val="32"/>
          <w:lang w:val="en-US" w:eastAsia="zh-CN"/>
        </w:rPr>
        <w:t>农村特困人员救助供养支出。</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default" w:ascii="Times New Roman" w:hAnsi="Times New Roman" w:eastAsia="方正仿宋_GBK" w:cs="Times New Roman"/>
          <w:color w:val="000000"/>
          <w:sz w:val="32"/>
          <w:szCs w:val="32"/>
        </w:rPr>
      </w:pPr>
      <w:r>
        <w:rPr>
          <w:rFonts w:hint="eastAsia" w:eastAsia="方正仿宋_GBK" w:cs="Times New Roman"/>
          <w:b w:val="0"/>
          <w:bCs/>
          <w:kern w:val="0"/>
          <w:sz w:val="32"/>
          <w:szCs w:val="32"/>
          <w:highlight w:val="none"/>
          <w:u w:val="none"/>
          <w:lang w:val="en-US" w:eastAsia="zh-CN" w:bidi="ar-SA"/>
        </w:rPr>
        <w:t>32.</w:t>
      </w:r>
      <w:r>
        <w:rPr>
          <w:rFonts w:hint="default" w:ascii="Times New Roman" w:hAnsi="Times New Roman" w:eastAsia="方正仿宋_GBK" w:cs="Times New Roman"/>
          <w:b w:val="0"/>
          <w:bCs/>
          <w:kern w:val="0"/>
          <w:sz w:val="32"/>
          <w:szCs w:val="32"/>
          <w:highlight w:val="none"/>
          <w:u w:val="none"/>
          <w:lang w:val="en-US" w:eastAsia="zh-CN" w:bidi="ar-SA"/>
        </w:rPr>
        <w:t>卫生健康支出210（类）公共卫生04（款）其他公共卫生支出99（项）</w:t>
      </w:r>
      <w:r>
        <w:rPr>
          <w:rFonts w:hint="default" w:ascii="Times New Roman" w:hAnsi="Times New Roman" w:eastAsia="方正仿宋_GBK" w:cs="Times New Roman"/>
          <w:color w:val="000000"/>
          <w:sz w:val="32"/>
          <w:szCs w:val="32"/>
        </w:rPr>
        <w:t>：指反映除其他公共卫生支出反映上述项目以外的其他用于公共卫生方面的支出。</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default" w:ascii="Times New Roman" w:hAnsi="Times New Roman" w:eastAsia="方正仿宋_GBK" w:cs="Times New Roman"/>
          <w:color w:val="000000"/>
          <w:sz w:val="32"/>
          <w:szCs w:val="32"/>
        </w:rPr>
      </w:pPr>
      <w:r>
        <w:rPr>
          <w:rFonts w:hint="eastAsia" w:eastAsia="方正仿宋_GBK" w:cs="Times New Roman"/>
          <w:b w:val="0"/>
          <w:bCs/>
          <w:kern w:val="0"/>
          <w:sz w:val="32"/>
          <w:szCs w:val="32"/>
          <w:highlight w:val="none"/>
          <w:u w:val="none"/>
          <w:lang w:val="en-US" w:eastAsia="zh-CN" w:bidi="ar-SA"/>
        </w:rPr>
        <w:t>33.</w:t>
      </w:r>
      <w:r>
        <w:rPr>
          <w:rFonts w:hint="default" w:ascii="Times New Roman" w:hAnsi="Times New Roman" w:eastAsia="方正仿宋_GBK" w:cs="Times New Roman"/>
          <w:b w:val="0"/>
          <w:bCs/>
          <w:kern w:val="0"/>
          <w:sz w:val="32"/>
          <w:szCs w:val="32"/>
          <w:highlight w:val="none"/>
          <w:u w:val="none"/>
          <w:lang w:val="en-US" w:eastAsia="zh-CN" w:bidi="ar-SA"/>
        </w:rPr>
        <w:t>卫生健康支出210（类）行政事业单位医疗11（款）行政单位医疗01（项）</w:t>
      </w:r>
      <w:r>
        <w:rPr>
          <w:rFonts w:hint="default" w:ascii="Times New Roman" w:hAnsi="Times New Roman" w:eastAsia="方正仿宋_GBK" w:cs="Times New Roman"/>
          <w:color w:val="000000"/>
          <w:sz w:val="32"/>
          <w:szCs w:val="32"/>
        </w:rPr>
        <w:t>：指反映财政部门安排的行政单位（包括实行公务员管理的事业单位，下同）基本医疗保险缴费经费，未参加医疗保险的行政单位的公费医疗经费，按国家规定享受离休人员、红军老战士待遇人员的医疗经费。</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default" w:ascii="Times New Roman" w:hAnsi="Times New Roman" w:eastAsia="方正仿宋_GBK" w:cs="Times New Roman"/>
          <w:color w:val="000000"/>
          <w:sz w:val="32"/>
          <w:szCs w:val="32"/>
        </w:rPr>
      </w:pPr>
      <w:r>
        <w:rPr>
          <w:rFonts w:hint="eastAsia" w:eastAsia="方正仿宋_GBK" w:cs="Times New Roman"/>
          <w:b w:val="0"/>
          <w:bCs/>
          <w:kern w:val="0"/>
          <w:sz w:val="32"/>
          <w:szCs w:val="32"/>
          <w:highlight w:val="none"/>
          <w:u w:val="none"/>
          <w:lang w:val="en-US" w:eastAsia="zh-CN" w:bidi="ar-SA"/>
        </w:rPr>
        <w:t>34.</w:t>
      </w:r>
      <w:r>
        <w:rPr>
          <w:rFonts w:hint="default" w:ascii="Times New Roman" w:hAnsi="Times New Roman" w:eastAsia="方正仿宋_GBK" w:cs="Times New Roman"/>
          <w:b w:val="0"/>
          <w:bCs/>
          <w:kern w:val="0"/>
          <w:sz w:val="32"/>
          <w:szCs w:val="32"/>
          <w:highlight w:val="none"/>
          <w:u w:val="none"/>
          <w:lang w:val="en-US" w:eastAsia="zh-CN" w:bidi="ar-SA"/>
        </w:rPr>
        <w:t>卫生健康支出210（类）行政事业单位医疗11（款）事业单位医疗02（项）</w:t>
      </w:r>
      <w:r>
        <w:rPr>
          <w:rFonts w:hint="default" w:ascii="Times New Roman" w:hAnsi="Times New Roman" w:eastAsia="方正仿宋_GBK" w:cs="Times New Roman"/>
          <w:color w:val="000000"/>
          <w:sz w:val="32"/>
          <w:szCs w:val="32"/>
        </w:rPr>
        <w:t>：指反映财政部门安排的事业单位基本医疗保险缴费经费，未参加医疗保险的事业单位的公费医疗经费，按国家规定享受离休人员的医疗经费。</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default" w:ascii="Times New Roman" w:hAnsi="Times New Roman" w:eastAsia="方正仿宋_GBK" w:cs="Times New Roman"/>
          <w:color w:val="000000"/>
          <w:sz w:val="32"/>
          <w:szCs w:val="32"/>
        </w:rPr>
      </w:pPr>
      <w:r>
        <w:rPr>
          <w:rFonts w:hint="eastAsia" w:eastAsia="方正仿宋_GBK" w:cs="Times New Roman"/>
          <w:b w:val="0"/>
          <w:bCs/>
          <w:kern w:val="0"/>
          <w:sz w:val="32"/>
          <w:szCs w:val="32"/>
          <w:highlight w:val="none"/>
          <w:u w:val="none"/>
          <w:lang w:val="en-US" w:eastAsia="zh-CN" w:bidi="ar-SA"/>
        </w:rPr>
        <w:t>35.</w:t>
      </w:r>
      <w:r>
        <w:rPr>
          <w:rFonts w:hint="default" w:ascii="Times New Roman" w:hAnsi="Times New Roman" w:eastAsia="方正仿宋_GBK" w:cs="Times New Roman"/>
          <w:b w:val="0"/>
          <w:bCs/>
          <w:kern w:val="0"/>
          <w:sz w:val="32"/>
          <w:szCs w:val="32"/>
          <w:highlight w:val="none"/>
          <w:u w:val="none"/>
          <w:lang w:val="en-US" w:eastAsia="zh-CN" w:bidi="ar-SA"/>
        </w:rPr>
        <w:t>卫生健康支出210（类）行政事业单位医疗11（款）公务员医疗补助03（项）</w:t>
      </w:r>
      <w:r>
        <w:rPr>
          <w:rFonts w:hint="default" w:ascii="Times New Roman" w:hAnsi="Times New Roman" w:eastAsia="方正仿宋_GBK" w:cs="Times New Roman"/>
          <w:color w:val="000000"/>
          <w:sz w:val="32"/>
          <w:szCs w:val="32"/>
        </w:rPr>
        <w:t>：指反映财政部门安排的公务员医疗补助经费。</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default" w:ascii="Times New Roman" w:hAnsi="Times New Roman" w:eastAsia="方正仿宋_GBK" w:cs="Times New Roman"/>
          <w:color w:val="000000"/>
          <w:sz w:val="32"/>
          <w:szCs w:val="32"/>
        </w:rPr>
      </w:pPr>
      <w:r>
        <w:rPr>
          <w:rFonts w:hint="eastAsia" w:eastAsia="方正仿宋_GBK" w:cs="Times New Roman"/>
          <w:b w:val="0"/>
          <w:bCs/>
          <w:kern w:val="0"/>
          <w:sz w:val="32"/>
          <w:szCs w:val="32"/>
          <w:highlight w:val="none"/>
          <w:u w:val="none"/>
          <w:lang w:val="en-US" w:eastAsia="zh-CN" w:bidi="ar-SA"/>
        </w:rPr>
        <w:t>36.</w:t>
      </w:r>
      <w:r>
        <w:rPr>
          <w:rFonts w:hint="default" w:ascii="Times New Roman" w:hAnsi="Times New Roman" w:eastAsia="方正仿宋_GBK" w:cs="Times New Roman"/>
          <w:b w:val="0"/>
          <w:bCs/>
          <w:kern w:val="0"/>
          <w:sz w:val="32"/>
          <w:szCs w:val="32"/>
          <w:highlight w:val="none"/>
          <w:u w:val="none"/>
          <w:lang w:val="en-US" w:eastAsia="zh-CN" w:bidi="ar-SA"/>
        </w:rPr>
        <w:t>卫生健康支出210（类）行政事业单位医疗11（款）其他行政事业单位医疗支出99（项）</w:t>
      </w:r>
      <w:r>
        <w:rPr>
          <w:rFonts w:hint="default" w:ascii="Times New Roman" w:hAnsi="Times New Roman" w:eastAsia="方正仿宋_GBK" w:cs="Times New Roman"/>
          <w:color w:val="000000"/>
          <w:sz w:val="32"/>
          <w:szCs w:val="32"/>
        </w:rPr>
        <w:t>：指反映除上述项目以外的其他用于行政事业单位医疗方面的支出。</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eastAsia" w:eastAsia="方正仿宋_GBK" w:cs="Times New Roman"/>
          <w:b w:val="0"/>
          <w:bCs/>
          <w:kern w:val="0"/>
          <w:sz w:val="32"/>
          <w:szCs w:val="32"/>
          <w:highlight w:val="none"/>
          <w:u w:val="none"/>
          <w:lang w:val="en-US" w:eastAsia="zh-CN" w:bidi="ar-SA"/>
        </w:rPr>
      </w:pPr>
      <w:r>
        <w:rPr>
          <w:rFonts w:hint="eastAsia" w:eastAsia="方正仿宋_GBK" w:cs="Times New Roman"/>
          <w:b w:val="0"/>
          <w:bCs/>
          <w:kern w:val="0"/>
          <w:sz w:val="32"/>
          <w:szCs w:val="32"/>
          <w:highlight w:val="none"/>
          <w:u w:val="none"/>
          <w:lang w:val="en-US" w:eastAsia="zh-CN" w:bidi="ar-SA"/>
        </w:rPr>
        <w:t>37.</w:t>
      </w:r>
      <w:r>
        <w:rPr>
          <w:rFonts w:hint="default" w:eastAsia="方正仿宋_GBK" w:cs="Times New Roman"/>
          <w:b w:val="0"/>
          <w:bCs/>
          <w:kern w:val="0"/>
          <w:sz w:val="32"/>
          <w:szCs w:val="32"/>
          <w:highlight w:val="none"/>
          <w:u w:val="none"/>
          <w:lang w:val="en-US" w:eastAsia="zh-CN" w:bidi="ar-SA"/>
        </w:rPr>
        <w:t>节能环保支出211（类）污染防治03（款）其他污染防治支出99（项）：指反除上述项目以外其他用于污染防治方面的支出</w:t>
      </w:r>
      <w:r>
        <w:rPr>
          <w:rFonts w:hint="eastAsia" w:eastAsia="方正仿宋_GBK" w:cs="Times New Roman"/>
          <w:b w:val="0"/>
          <w:bCs/>
          <w:kern w:val="0"/>
          <w:sz w:val="32"/>
          <w:szCs w:val="32"/>
          <w:highlight w:val="none"/>
          <w:u w:val="none"/>
          <w:lang w:val="en-US" w:eastAsia="zh-CN" w:bidi="ar-SA"/>
        </w:rPr>
        <w:t>。</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default"/>
          <w:lang w:val="en-US" w:eastAsia="zh-CN"/>
        </w:rPr>
      </w:pPr>
      <w:r>
        <w:rPr>
          <w:rFonts w:hint="eastAsia" w:eastAsia="方正仿宋_GBK" w:cs="Times New Roman"/>
          <w:b w:val="0"/>
          <w:bCs/>
          <w:kern w:val="0"/>
          <w:sz w:val="32"/>
          <w:szCs w:val="32"/>
          <w:highlight w:val="none"/>
          <w:u w:val="none"/>
          <w:lang w:val="en-US" w:eastAsia="zh-CN" w:bidi="ar-SA"/>
        </w:rPr>
        <w:t>38.</w:t>
      </w:r>
      <w:r>
        <w:rPr>
          <w:rFonts w:hint="default" w:eastAsia="方正仿宋_GBK" w:cs="Times New Roman"/>
          <w:b w:val="0"/>
          <w:bCs/>
          <w:kern w:val="0"/>
          <w:sz w:val="32"/>
          <w:szCs w:val="32"/>
          <w:highlight w:val="none"/>
          <w:u w:val="none"/>
          <w:lang w:val="en-US" w:eastAsia="zh-CN" w:bidi="ar-SA"/>
        </w:rPr>
        <w:t>节能环保支出211（类）</w:t>
      </w:r>
      <w:r>
        <w:rPr>
          <w:rFonts w:hint="eastAsia" w:eastAsia="方正仿宋_GBK" w:cs="Times New Roman"/>
          <w:b w:val="0"/>
          <w:bCs/>
          <w:kern w:val="0"/>
          <w:sz w:val="32"/>
          <w:szCs w:val="32"/>
          <w:highlight w:val="none"/>
          <w:u w:val="none"/>
          <w:lang w:val="en-US" w:eastAsia="zh-CN" w:bidi="ar-SA"/>
        </w:rPr>
        <w:t>污染减排11</w:t>
      </w:r>
      <w:r>
        <w:rPr>
          <w:rFonts w:hint="default" w:eastAsia="方正仿宋_GBK" w:cs="Times New Roman"/>
          <w:b w:val="0"/>
          <w:bCs/>
          <w:kern w:val="0"/>
          <w:sz w:val="32"/>
          <w:szCs w:val="32"/>
          <w:highlight w:val="none"/>
          <w:u w:val="none"/>
          <w:lang w:val="en-US" w:eastAsia="zh-CN" w:bidi="ar-SA"/>
        </w:rPr>
        <w:t>（款）</w:t>
      </w:r>
      <w:r>
        <w:rPr>
          <w:rFonts w:hint="eastAsia" w:eastAsia="方正仿宋_GBK" w:cs="Times New Roman"/>
          <w:b w:val="0"/>
          <w:bCs/>
          <w:kern w:val="0"/>
          <w:sz w:val="32"/>
          <w:szCs w:val="32"/>
          <w:highlight w:val="none"/>
          <w:u w:val="none"/>
          <w:lang w:val="en-US" w:eastAsia="zh-CN" w:bidi="ar-SA"/>
        </w:rPr>
        <w:t>其他污染减排支出</w:t>
      </w:r>
      <w:r>
        <w:rPr>
          <w:rFonts w:hint="default" w:eastAsia="方正仿宋_GBK" w:cs="Times New Roman"/>
          <w:b w:val="0"/>
          <w:bCs/>
          <w:kern w:val="0"/>
          <w:sz w:val="32"/>
          <w:szCs w:val="32"/>
          <w:highlight w:val="none"/>
          <w:u w:val="none"/>
          <w:lang w:val="en-US" w:eastAsia="zh-CN" w:bidi="ar-SA"/>
        </w:rPr>
        <w:t>99（项）：指反除上述项目以外其他</w:t>
      </w:r>
      <w:r>
        <w:rPr>
          <w:rFonts w:hint="eastAsia" w:eastAsia="方正仿宋_GBK" w:cs="Times New Roman"/>
          <w:b w:val="0"/>
          <w:bCs/>
          <w:kern w:val="0"/>
          <w:sz w:val="32"/>
          <w:szCs w:val="32"/>
          <w:highlight w:val="none"/>
          <w:u w:val="none"/>
          <w:lang w:val="en-US" w:eastAsia="zh-CN" w:bidi="ar-SA"/>
        </w:rPr>
        <w:t>用于</w:t>
      </w:r>
      <w:r>
        <w:rPr>
          <w:rFonts w:hint="default" w:eastAsia="方正仿宋_GBK" w:cs="Times New Roman"/>
          <w:b w:val="0"/>
          <w:bCs/>
          <w:kern w:val="0"/>
          <w:sz w:val="32"/>
          <w:szCs w:val="32"/>
          <w:highlight w:val="none"/>
          <w:u w:val="none"/>
          <w:lang w:val="en-US" w:eastAsia="zh-CN" w:bidi="ar-SA"/>
        </w:rPr>
        <w:t>污染减排方面的支出</w:t>
      </w:r>
      <w:r>
        <w:rPr>
          <w:rFonts w:hint="eastAsia" w:eastAsia="方正仿宋_GBK" w:cs="Times New Roman"/>
          <w:b w:val="0"/>
          <w:bCs/>
          <w:kern w:val="0"/>
          <w:sz w:val="32"/>
          <w:szCs w:val="32"/>
          <w:highlight w:val="none"/>
          <w:u w:val="none"/>
          <w:lang w:val="en-US" w:eastAsia="zh-CN" w:bidi="ar-SA"/>
        </w:rPr>
        <w:t>。</w:t>
      </w:r>
    </w:p>
    <w:p>
      <w:pPr>
        <w:keepNext w:val="0"/>
        <w:keepLines w:val="0"/>
        <w:pageBreakBefore w:val="0"/>
        <w:widowControl w:val="0"/>
        <w:kinsoku/>
        <w:wordWrap/>
        <w:overflowPunct/>
        <w:topLinePunct w:val="0"/>
        <w:bidi w:val="0"/>
        <w:snapToGrid/>
        <w:spacing w:line="240" w:lineRule="auto"/>
        <w:ind w:firstLine="640" w:firstLineChars="200"/>
        <w:jc w:val="both"/>
        <w:textAlignment w:val="auto"/>
        <w:rPr>
          <w:rFonts w:hint="default" w:ascii="Times New Roman" w:hAnsi="Times New Roman" w:eastAsia="方正仿宋_GBK" w:cs="Times New Roman"/>
          <w:sz w:val="32"/>
          <w:szCs w:val="32"/>
        </w:rPr>
      </w:pPr>
      <w:r>
        <w:rPr>
          <w:rFonts w:hint="eastAsia" w:eastAsia="方正仿宋_GBK" w:cs="Times New Roman"/>
          <w:b w:val="0"/>
          <w:bCs/>
          <w:kern w:val="0"/>
          <w:sz w:val="32"/>
          <w:szCs w:val="32"/>
          <w:highlight w:val="none"/>
          <w:u w:val="none"/>
          <w:lang w:val="en-US" w:eastAsia="zh-CN" w:bidi="ar-SA"/>
        </w:rPr>
        <w:t>39.</w:t>
      </w:r>
      <w:r>
        <w:rPr>
          <w:rFonts w:hint="default" w:ascii="Times New Roman" w:hAnsi="Times New Roman" w:eastAsia="方正仿宋_GBK" w:cs="Times New Roman"/>
          <w:b w:val="0"/>
          <w:bCs/>
          <w:kern w:val="0"/>
          <w:sz w:val="32"/>
          <w:szCs w:val="32"/>
          <w:highlight w:val="none"/>
          <w:u w:val="none"/>
          <w:lang w:val="en-US" w:eastAsia="zh-CN" w:bidi="ar-SA"/>
        </w:rPr>
        <w:t>城乡社区支出212（类）国有土地使用权出让收入安排的支出08（款）农村基础设施建设支出04（项）</w:t>
      </w:r>
      <w:r>
        <w:rPr>
          <w:rFonts w:hint="default" w:ascii="Times New Roman" w:hAnsi="Times New Roman" w:eastAsia="方正仿宋_GBK" w:cs="Times New Roman"/>
          <w:color w:val="000000"/>
          <w:sz w:val="32"/>
          <w:szCs w:val="32"/>
        </w:rPr>
        <w:t>：指反映</w:t>
      </w:r>
      <w:r>
        <w:rPr>
          <w:rFonts w:hint="default" w:ascii="Times New Roman" w:hAnsi="Times New Roman" w:eastAsia="方正仿宋_GBK" w:cs="Times New Roman"/>
          <w:color w:val="000000"/>
          <w:sz w:val="32"/>
          <w:szCs w:val="32"/>
          <w:lang w:val="en-US" w:eastAsia="zh-CN"/>
        </w:rPr>
        <w:t>土地出让收入用于农村供水保障、村庄公共设施建设和管护以及与农村直接相关的以工代赈等方面的</w:t>
      </w:r>
      <w:r>
        <w:rPr>
          <w:rFonts w:hint="default" w:ascii="Times New Roman" w:hAnsi="Times New Roman" w:eastAsia="方正仿宋_GBK" w:cs="Times New Roman"/>
          <w:color w:val="000000"/>
          <w:sz w:val="32"/>
          <w:szCs w:val="32"/>
        </w:rPr>
        <w:t>支出。</w:t>
      </w:r>
    </w:p>
    <w:p>
      <w:pPr>
        <w:keepNext w:val="0"/>
        <w:keepLines w:val="0"/>
        <w:pageBreakBefore w:val="0"/>
        <w:widowControl w:val="0"/>
        <w:kinsoku/>
        <w:wordWrap/>
        <w:overflowPunct/>
        <w:topLinePunct w:val="0"/>
        <w:bidi w:val="0"/>
        <w:snapToGrid/>
        <w:spacing w:line="240" w:lineRule="auto"/>
        <w:ind w:firstLine="640" w:firstLineChars="200"/>
        <w:jc w:val="both"/>
        <w:textAlignment w:val="auto"/>
        <w:rPr>
          <w:rFonts w:hint="default" w:ascii="Times New Roman" w:hAnsi="Times New Roman" w:eastAsia="方正仿宋_GBK" w:cs="Times New Roman"/>
          <w:color w:val="000000"/>
          <w:sz w:val="32"/>
          <w:szCs w:val="32"/>
        </w:rPr>
      </w:pPr>
      <w:r>
        <w:rPr>
          <w:rFonts w:hint="eastAsia" w:eastAsia="方正仿宋_GBK" w:cs="Times New Roman"/>
          <w:b w:val="0"/>
          <w:bCs/>
          <w:kern w:val="0"/>
          <w:sz w:val="32"/>
          <w:szCs w:val="32"/>
          <w:highlight w:val="none"/>
          <w:u w:val="none"/>
          <w:lang w:val="en-US" w:eastAsia="zh-CN" w:bidi="ar-SA"/>
        </w:rPr>
        <w:t>40.</w:t>
      </w:r>
      <w:r>
        <w:rPr>
          <w:rFonts w:hint="default" w:ascii="Times New Roman" w:hAnsi="Times New Roman" w:eastAsia="方正仿宋_GBK" w:cs="Times New Roman"/>
          <w:b w:val="0"/>
          <w:bCs/>
          <w:kern w:val="0"/>
          <w:sz w:val="32"/>
          <w:szCs w:val="32"/>
          <w:highlight w:val="none"/>
          <w:u w:val="none"/>
          <w:lang w:val="en-US" w:eastAsia="zh-CN" w:bidi="ar-SA"/>
        </w:rPr>
        <w:t>农林水支出213（类）农业农村01（款）事业运行04（项）</w:t>
      </w:r>
      <w:r>
        <w:rPr>
          <w:rFonts w:hint="default" w:ascii="Times New Roman" w:hAnsi="Times New Roman" w:eastAsia="方正仿宋_GBK" w:cs="Times New Roman"/>
          <w:color w:val="000000"/>
          <w:sz w:val="32"/>
          <w:szCs w:val="32"/>
        </w:rPr>
        <w:t>：指反映用于农业事业单位基本支出，事业单位设施、系统运行与资产维护等方面的支出。</w:t>
      </w:r>
    </w:p>
    <w:p>
      <w:pPr>
        <w:keepNext w:val="0"/>
        <w:keepLines w:val="0"/>
        <w:pageBreakBefore w:val="0"/>
        <w:widowControl w:val="0"/>
        <w:kinsoku/>
        <w:wordWrap/>
        <w:overflowPunct/>
        <w:topLinePunct w:val="0"/>
        <w:bidi w:val="0"/>
        <w:snapToGrid/>
        <w:spacing w:line="240" w:lineRule="auto"/>
        <w:ind w:firstLine="640" w:firstLineChars="200"/>
        <w:jc w:val="both"/>
        <w:textAlignment w:val="auto"/>
        <w:rPr>
          <w:rFonts w:hint="default"/>
        </w:rPr>
      </w:pPr>
      <w:r>
        <w:rPr>
          <w:rFonts w:hint="eastAsia" w:eastAsia="方正仿宋_GBK" w:cs="Times New Roman"/>
          <w:b w:val="0"/>
          <w:bCs/>
          <w:kern w:val="0"/>
          <w:sz w:val="32"/>
          <w:szCs w:val="32"/>
          <w:highlight w:val="none"/>
          <w:u w:val="none"/>
          <w:lang w:val="en-US" w:eastAsia="zh-CN" w:bidi="ar-SA"/>
        </w:rPr>
        <w:t>41.</w:t>
      </w:r>
      <w:r>
        <w:rPr>
          <w:rFonts w:hint="default" w:ascii="Times New Roman" w:hAnsi="Times New Roman" w:eastAsia="方正仿宋_GBK" w:cs="Times New Roman"/>
          <w:b w:val="0"/>
          <w:bCs/>
          <w:kern w:val="0"/>
          <w:sz w:val="32"/>
          <w:szCs w:val="32"/>
          <w:highlight w:val="none"/>
          <w:u w:val="none"/>
          <w:lang w:val="en-US" w:eastAsia="zh-CN" w:bidi="ar-SA"/>
        </w:rPr>
        <w:t>农林水支出213（类）农业农村01（款）</w:t>
      </w:r>
      <w:r>
        <w:rPr>
          <w:rFonts w:hint="eastAsia" w:eastAsia="方正仿宋_GBK" w:cs="Times New Roman"/>
          <w:b w:val="0"/>
          <w:bCs/>
          <w:kern w:val="0"/>
          <w:sz w:val="32"/>
          <w:szCs w:val="32"/>
          <w:highlight w:val="none"/>
          <w:u w:val="none"/>
          <w:lang w:val="en-US" w:eastAsia="zh-CN" w:bidi="ar-SA"/>
        </w:rPr>
        <w:t>其他农业农村支出99</w:t>
      </w:r>
      <w:r>
        <w:rPr>
          <w:rFonts w:hint="default" w:ascii="Times New Roman" w:hAnsi="Times New Roman" w:eastAsia="方正仿宋_GBK" w:cs="Times New Roman"/>
          <w:b w:val="0"/>
          <w:bCs/>
          <w:kern w:val="0"/>
          <w:sz w:val="32"/>
          <w:szCs w:val="32"/>
          <w:highlight w:val="none"/>
          <w:u w:val="none"/>
          <w:lang w:val="en-US" w:eastAsia="zh-CN" w:bidi="ar-SA"/>
        </w:rPr>
        <w:t>（项）</w:t>
      </w:r>
      <w:r>
        <w:rPr>
          <w:rFonts w:hint="default" w:ascii="Times New Roman" w:hAnsi="Times New Roman" w:eastAsia="方正仿宋_GBK" w:cs="Times New Roman"/>
          <w:color w:val="000000"/>
          <w:sz w:val="32"/>
          <w:szCs w:val="32"/>
        </w:rPr>
        <w:t>：指反映</w:t>
      </w:r>
      <w:r>
        <w:rPr>
          <w:rFonts w:hint="eastAsia" w:eastAsia="方正仿宋_GBK" w:cs="Times New Roman"/>
          <w:color w:val="000000"/>
          <w:sz w:val="32"/>
          <w:szCs w:val="32"/>
          <w:lang w:eastAsia="zh-CN"/>
        </w:rPr>
        <w:t>除上述项目以为其他用于农业农村方面的支出</w:t>
      </w:r>
      <w:r>
        <w:rPr>
          <w:rFonts w:hint="default" w:ascii="Times New Roman" w:hAnsi="Times New Roman" w:eastAsia="方正仿宋_GBK" w:cs="Times New Roman"/>
          <w:color w:val="000000"/>
          <w:sz w:val="32"/>
          <w:szCs w:val="32"/>
        </w:rPr>
        <w:t>。</w:t>
      </w:r>
    </w:p>
    <w:p>
      <w:pPr>
        <w:keepNext w:val="0"/>
        <w:keepLines w:val="0"/>
        <w:pageBreakBefore w:val="0"/>
        <w:widowControl w:val="0"/>
        <w:kinsoku/>
        <w:wordWrap/>
        <w:overflowPunct/>
        <w:topLinePunct w:val="0"/>
        <w:bidi w:val="0"/>
        <w:snapToGrid/>
        <w:spacing w:line="240" w:lineRule="auto"/>
        <w:ind w:firstLine="640" w:firstLineChars="200"/>
        <w:jc w:val="both"/>
        <w:textAlignment w:val="auto"/>
        <w:rPr>
          <w:rFonts w:hint="default" w:ascii="Times New Roman" w:hAnsi="Times New Roman" w:eastAsia="方正仿宋_GBK" w:cs="Times New Roman"/>
          <w:color w:val="000000"/>
          <w:sz w:val="32"/>
          <w:szCs w:val="32"/>
        </w:rPr>
      </w:pPr>
      <w:r>
        <w:rPr>
          <w:rFonts w:hint="eastAsia" w:eastAsia="方正仿宋_GBK" w:cs="Times New Roman"/>
          <w:b w:val="0"/>
          <w:bCs/>
          <w:kern w:val="0"/>
          <w:sz w:val="32"/>
          <w:szCs w:val="32"/>
          <w:highlight w:val="none"/>
          <w:u w:val="none"/>
          <w:lang w:val="en-US" w:eastAsia="zh-CN" w:bidi="ar-SA"/>
        </w:rPr>
        <w:t>42.</w:t>
      </w:r>
      <w:r>
        <w:rPr>
          <w:rFonts w:hint="default" w:ascii="Times New Roman" w:hAnsi="Times New Roman" w:eastAsia="方正仿宋_GBK" w:cs="Times New Roman"/>
          <w:b w:val="0"/>
          <w:bCs/>
          <w:kern w:val="0"/>
          <w:sz w:val="32"/>
          <w:szCs w:val="32"/>
          <w:highlight w:val="none"/>
          <w:u w:val="none"/>
          <w:lang w:val="en-US" w:eastAsia="zh-CN" w:bidi="ar-SA"/>
        </w:rPr>
        <w:t>农林水支出213（类）林业和草原02（款）林业草原防灾减灾34（项）</w:t>
      </w:r>
      <w:r>
        <w:rPr>
          <w:rFonts w:hint="default" w:ascii="Times New Roman" w:hAnsi="Times New Roman" w:eastAsia="方正仿宋_GBK" w:cs="Times New Roman"/>
          <w:color w:val="000000"/>
          <w:sz w:val="32"/>
          <w:szCs w:val="32"/>
        </w:rPr>
        <w:t>：指反映用于</w:t>
      </w:r>
      <w:r>
        <w:rPr>
          <w:rFonts w:hint="default" w:ascii="Times New Roman" w:hAnsi="Times New Roman" w:eastAsia="方正仿宋_GBK" w:cs="Times New Roman"/>
          <w:color w:val="000000"/>
          <w:sz w:val="32"/>
          <w:szCs w:val="32"/>
          <w:lang w:val="en-US" w:eastAsia="zh-CN"/>
        </w:rPr>
        <w:t>病虫害等有害生物灾害、森林草原防火、野生动物疫病灾害等方面的支出</w:t>
      </w:r>
      <w:r>
        <w:rPr>
          <w:rFonts w:hint="default" w:ascii="Times New Roman" w:hAnsi="Times New Roman" w:eastAsia="方正仿宋_GBK" w:cs="Times New Roman"/>
          <w:color w:val="000000"/>
          <w:sz w:val="32"/>
          <w:szCs w:val="32"/>
        </w:rPr>
        <w:t>。</w:t>
      </w:r>
    </w:p>
    <w:p>
      <w:pPr>
        <w:keepNext w:val="0"/>
        <w:keepLines w:val="0"/>
        <w:pageBreakBefore w:val="0"/>
        <w:widowControl w:val="0"/>
        <w:kinsoku/>
        <w:wordWrap/>
        <w:overflowPunct/>
        <w:topLinePunct w:val="0"/>
        <w:bidi w:val="0"/>
        <w:snapToGrid/>
        <w:spacing w:line="240" w:lineRule="auto"/>
        <w:ind w:firstLine="640" w:firstLineChars="200"/>
        <w:jc w:val="both"/>
        <w:textAlignment w:val="auto"/>
        <w:rPr>
          <w:rFonts w:hint="default" w:ascii="Times New Roman" w:hAnsi="Times New Roman" w:eastAsia="方正仿宋_GBK" w:cs="Times New Roman"/>
          <w:color w:val="000000"/>
          <w:sz w:val="32"/>
          <w:szCs w:val="32"/>
          <w:lang w:val="en-US" w:eastAsia="zh-CN"/>
        </w:rPr>
      </w:pPr>
      <w:r>
        <w:rPr>
          <w:rFonts w:hint="eastAsia" w:eastAsia="方正仿宋_GBK" w:cs="Times New Roman"/>
          <w:b w:val="0"/>
          <w:bCs/>
          <w:kern w:val="0"/>
          <w:sz w:val="32"/>
          <w:szCs w:val="32"/>
          <w:highlight w:val="none"/>
          <w:u w:val="none"/>
          <w:lang w:val="en-US" w:eastAsia="zh-CN" w:bidi="ar-SA"/>
        </w:rPr>
        <w:t>43.</w:t>
      </w:r>
      <w:r>
        <w:rPr>
          <w:rFonts w:hint="default" w:ascii="Times New Roman" w:hAnsi="Times New Roman" w:eastAsia="方正仿宋_GBK" w:cs="Times New Roman"/>
          <w:b w:val="0"/>
          <w:bCs/>
          <w:kern w:val="0"/>
          <w:sz w:val="32"/>
          <w:szCs w:val="32"/>
          <w:highlight w:val="none"/>
          <w:u w:val="none"/>
          <w:lang w:val="en-US" w:eastAsia="zh-CN" w:bidi="ar-SA"/>
        </w:rPr>
        <w:t>农林水支出213（类）</w:t>
      </w:r>
      <w:r>
        <w:rPr>
          <w:rFonts w:hint="eastAsia" w:eastAsia="方正仿宋_GBK" w:cs="Times New Roman"/>
          <w:b w:val="0"/>
          <w:bCs/>
          <w:kern w:val="0"/>
          <w:sz w:val="32"/>
          <w:szCs w:val="32"/>
          <w:highlight w:val="none"/>
          <w:u w:val="none"/>
          <w:lang w:val="en-US" w:eastAsia="zh-CN" w:bidi="ar-SA"/>
        </w:rPr>
        <w:t>水利03</w:t>
      </w:r>
      <w:r>
        <w:rPr>
          <w:rFonts w:hint="default" w:ascii="Times New Roman" w:hAnsi="Times New Roman" w:eastAsia="方正仿宋_GBK" w:cs="Times New Roman"/>
          <w:b w:val="0"/>
          <w:bCs/>
          <w:kern w:val="0"/>
          <w:sz w:val="32"/>
          <w:szCs w:val="32"/>
          <w:highlight w:val="none"/>
          <w:u w:val="none"/>
          <w:lang w:val="en-US" w:eastAsia="zh-CN" w:bidi="ar-SA"/>
        </w:rPr>
        <w:t>（款）</w:t>
      </w:r>
      <w:r>
        <w:rPr>
          <w:rFonts w:hint="eastAsia" w:eastAsia="方正仿宋_GBK" w:cs="Times New Roman"/>
          <w:b w:val="0"/>
          <w:bCs/>
          <w:kern w:val="0"/>
          <w:sz w:val="32"/>
          <w:szCs w:val="32"/>
          <w:highlight w:val="none"/>
          <w:u w:val="none"/>
          <w:lang w:val="en-US" w:eastAsia="zh-CN" w:bidi="ar-SA"/>
        </w:rPr>
        <w:t>防汛14</w:t>
      </w:r>
      <w:r>
        <w:rPr>
          <w:rFonts w:hint="default" w:ascii="Times New Roman" w:hAnsi="Times New Roman" w:eastAsia="方正仿宋_GBK" w:cs="Times New Roman"/>
          <w:b w:val="0"/>
          <w:bCs/>
          <w:kern w:val="0"/>
          <w:sz w:val="32"/>
          <w:szCs w:val="32"/>
          <w:highlight w:val="none"/>
          <w:u w:val="none"/>
          <w:lang w:val="en-US" w:eastAsia="zh-CN" w:bidi="ar-SA"/>
        </w:rPr>
        <w:t>（项）</w:t>
      </w:r>
      <w:r>
        <w:rPr>
          <w:rFonts w:hint="default" w:ascii="Times New Roman" w:hAnsi="Times New Roman" w:eastAsia="方正仿宋_GBK" w:cs="Times New Roman"/>
          <w:color w:val="000000"/>
          <w:sz w:val="32"/>
          <w:szCs w:val="32"/>
        </w:rPr>
        <w:t>：指反映防汛业务支出，有关事项包括防汛物资购置管护，防汛通信设施设备、网络系统、车船设备运行维护，防汛值班、水情报汛、防汛指挥系统运行维护、水毁修复以及防汛组织（如防汛预案编制、检查、演习、宣传、会议等），汛期调用民工及劳动保护，水利设施灾后重建，退田还湖，蓄滞洪区补偿、水情、雨情、决策支持，防汛视频会商，应急调度，山洪灾害防治等</w:t>
      </w:r>
      <w:r>
        <w:rPr>
          <w:rFonts w:hint="default" w:ascii="Times New Roman" w:hAnsi="Times New Roman" w:eastAsia="方正仿宋_GBK" w:cs="Times New Roman"/>
          <w:color w:val="000000"/>
          <w:sz w:val="32"/>
          <w:szCs w:val="32"/>
          <w:lang w:val="en-US" w:eastAsia="zh-CN"/>
        </w:rPr>
        <w:t>。</w:t>
      </w:r>
    </w:p>
    <w:p>
      <w:pPr>
        <w:pStyle w:val="8"/>
        <w:keepNext w:val="0"/>
        <w:keepLines w:val="0"/>
        <w:pageBreakBefore w:val="0"/>
        <w:widowControl w:val="0"/>
        <w:kinsoku/>
        <w:wordWrap/>
        <w:overflowPunct/>
        <w:topLinePunct w:val="0"/>
        <w:bidi w:val="0"/>
        <w:snapToGrid/>
        <w:spacing w:after="0" w:line="240" w:lineRule="auto"/>
        <w:ind w:left="0" w:leftChars="0" w:firstLine="640" w:firstLineChars="200"/>
        <w:jc w:val="both"/>
        <w:textAlignment w:val="auto"/>
        <w:rPr>
          <w:rFonts w:hint="default" w:ascii="Times New Roman" w:hAnsi="Times New Roman" w:eastAsia="方正仿宋_GBK" w:cs="Times New Roman"/>
          <w:sz w:val="32"/>
          <w:szCs w:val="32"/>
          <w:lang w:val="en-US" w:eastAsia="zh-CN"/>
        </w:rPr>
      </w:pPr>
      <w:r>
        <w:rPr>
          <w:rFonts w:hint="eastAsia" w:ascii="Times New Roman" w:eastAsia="方正仿宋_GBK" w:cs="Times New Roman"/>
          <w:b w:val="0"/>
          <w:bCs/>
          <w:kern w:val="0"/>
          <w:sz w:val="32"/>
          <w:szCs w:val="32"/>
          <w:highlight w:val="none"/>
          <w:u w:val="none"/>
          <w:lang w:val="en-US" w:eastAsia="zh-CN" w:bidi="ar-SA"/>
        </w:rPr>
        <w:t>44.</w:t>
      </w:r>
      <w:r>
        <w:rPr>
          <w:rFonts w:hint="default" w:ascii="Times New Roman" w:hAnsi="Times New Roman" w:eastAsia="方正仿宋_GBK" w:cs="Times New Roman"/>
          <w:b w:val="0"/>
          <w:bCs/>
          <w:kern w:val="0"/>
          <w:sz w:val="32"/>
          <w:szCs w:val="32"/>
          <w:highlight w:val="none"/>
          <w:u w:val="none"/>
          <w:lang w:val="en-US" w:eastAsia="zh-CN" w:bidi="ar-SA"/>
        </w:rPr>
        <w:t>农林水支出213（类）</w:t>
      </w:r>
      <w:r>
        <w:rPr>
          <w:rFonts w:hint="eastAsia" w:ascii="Times New Roman" w:eastAsia="方正仿宋_GBK" w:cs="Times New Roman"/>
          <w:b w:val="0"/>
          <w:bCs/>
          <w:kern w:val="0"/>
          <w:sz w:val="32"/>
          <w:szCs w:val="32"/>
          <w:highlight w:val="none"/>
          <w:u w:val="none"/>
          <w:lang w:val="en-US" w:eastAsia="zh-CN" w:bidi="ar-SA"/>
        </w:rPr>
        <w:t>巩固脱贫攻坚成果衔接乡村振兴05</w:t>
      </w:r>
      <w:r>
        <w:rPr>
          <w:rFonts w:hint="default" w:ascii="Times New Roman" w:hAnsi="Times New Roman" w:eastAsia="方正仿宋_GBK" w:cs="Times New Roman"/>
          <w:b w:val="0"/>
          <w:bCs/>
          <w:kern w:val="0"/>
          <w:sz w:val="32"/>
          <w:szCs w:val="32"/>
          <w:highlight w:val="none"/>
          <w:u w:val="none"/>
          <w:lang w:val="en-US" w:eastAsia="zh-CN" w:bidi="ar-SA"/>
        </w:rPr>
        <w:t>（款）</w:t>
      </w:r>
      <w:r>
        <w:rPr>
          <w:rFonts w:hint="eastAsia" w:ascii="Times New Roman" w:eastAsia="方正仿宋_GBK" w:cs="Times New Roman"/>
          <w:b w:val="0"/>
          <w:bCs/>
          <w:kern w:val="0"/>
          <w:sz w:val="32"/>
          <w:szCs w:val="32"/>
          <w:highlight w:val="none"/>
          <w:u w:val="none"/>
          <w:lang w:val="en-US" w:eastAsia="zh-CN" w:bidi="ar-SA"/>
        </w:rPr>
        <w:t>其他巩固脱贫攻坚成果衔接乡村振兴支出99</w:t>
      </w:r>
      <w:r>
        <w:rPr>
          <w:rFonts w:hint="default" w:ascii="Times New Roman" w:hAnsi="Times New Roman" w:eastAsia="方正仿宋_GBK" w:cs="Times New Roman"/>
          <w:b w:val="0"/>
          <w:bCs/>
          <w:kern w:val="0"/>
          <w:sz w:val="32"/>
          <w:szCs w:val="32"/>
          <w:highlight w:val="none"/>
          <w:u w:val="none"/>
          <w:lang w:val="en-US" w:eastAsia="zh-CN" w:bidi="ar-SA"/>
        </w:rPr>
        <w:t>（项）</w:t>
      </w:r>
      <w:r>
        <w:rPr>
          <w:rFonts w:hint="default" w:ascii="Times New Roman" w:hAnsi="Times New Roman" w:eastAsia="方正仿宋_GBK" w:cs="Times New Roman"/>
          <w:color w:val="000000"/>
          <w:sz w:val="32"/>
          <w:szCs w:val="32"/>
          <w:lang w:val="en-US" w:eastAsia="zh-CN"/>
        </w:rPr>
        <w:t>：指反映</w:t>
      </w:r>
      <w:r>
        <w:rPr>
          <w:rFonts w:hint="eastAsia" w:ascii="Times New Roman" w:eastAsia="方正仿宋_GBK" w:cs="Times New Roman"/>
          <w:color w:val="000000"/>
          <w:sz w:val="32"/>
          <w:szCs w:val="32"/>
          <w:lang w:val="en-US" w:eastAsia="zh-CN"/>
        </w:rPr>
        <w:t>除上述项目以外其他用于巩固拓展脱贫攻坚成果同乡村振兴有效衔接方面的支出</w:t>
      </w:r>
      <w:r>
        <w:rPr>
          <w:rFonts w:hint="default" w:ascii="Times New Roman" w:hAnsi="Times New Roman" w:eastAsia="方正仿宋_GBK" w:cs="Times New Roman"/>
          <w:color w:val="000000"/>
          <w:sz w:val="32"/>
          <w:szCs w:val="32"/>
          <w:lang w:val="en-US" w:eastAsia="zh-CN"/>
        </w:rPr>
        <w:t>。</w:t>
      </w:r>
    </w:p>
    <w:p>
      <w:pPr>
        <w:keepNext w:val="0"/>
        <w:keepLines w:val="0"/>
        <w:pageBreakBefore w:val="0"/>
        <w:widowControl w:val="0"/>
        <w:kinsoku/>
        <w:wordWrap/>
        <w:overflowPunct/>
        <w:topLinePunct w:val="0"/>
        <w:bidi w:val="0"/>
        <w:snapToGrid/>
        <w:spacing w:line="240" w:lineRule="auto"/>
        <w:ind w:firstLine="640" w:firstLineChars="200"/>
        <w:jc w:val="both"/>
        <w:textAlignment w:val="auto"/>
        <w:rPr>
          <w:rFonts w:hint="default" w:ascii="Times New Roman" w:hAnsi="Times New Roman" w:eastAsia="方正仿宋_GBK" w:cs="Times New Roman"/>
          <w:color w:val="000000"/>
          <w:sz w:val="32"/>
          <w:szCs w:val="32"/>
        </w:rPr>
      </w:pPr>
      <w:r>
        <w:rPr>
          <w:rFonts w:hint="eastAsia" w:eastAsia="方正仿宋_GBK" w:cs="Times New Roman"/>
          <w:b w:val="0"/>
          <w:bCs/>
          <w:kern w:val="0"/>
          <w:sz w:val="32"/>
          <w:szCs w:val="32"/>
          <w:highlight w:val="none"/>
          <w:u w:val="none"/>
          <w:lang w:val="en-US" w:eastAsia="zh-CN" w:bidi="ar-SA"/>
        </w:rPr>
        <w:t>45.</w:t>
      </w:r>
      <w:r>
        <w:rPr>
          <w:rFonts w:hint="default" w:ascii="Times New Roman" w:hAnsi="Times New Roman" w:eastAsia="方正仿宋_GBK" w:cs="Times New Roman"/>
          <w:b w:val="0"/>
          <w:bCs/>
          <w:kern w:val="0"/>
          <w:sz w:val="32"/>
          <w:szCs w:val="32"/>
          <w:highlight w:val="none"/>
          <w:u w:val="none"/>
          <w:lang w:val="en-US" w:eastAsia="zh-CN" w:bidi="ar-SA"/>
        </w:rPr>
        <w:t>农林水支出213（类）农村综合改革07（款）对村民委员会和村党支部的补助05（项）</w:t>
      </w:r>
      <w:r>
        <w:rPr>
          <w:rFonts w:hint="default" w:ascii="Times New Roman" w:hAnsi="Times New Roman" w:eastAsia="方正仿宋_GBK" w:cs="Times New Roman"/>
          <w:color w:val="000000"/>
          <w:sz w:val="32"/>
          <w:szCs w:val="32"/>
        </w:rPr>
        <w:t>：指反映各级财政对村民委员会和村党支部的补助支出，以及支持建立县级基本财力保障机制安排的村级组织运转奖补资金。</w:t>
      </w:r>
    </w:p>
    <w:p>
      <w:pPr>
        <w:keepNext w:val="0"/>
        <w:keepLines w:val="0"/>
        <w:pageBreakBefore w:val="0"/>
        <w:widowControl w:val="0"/>
        <w:kinsoku/>
        <w:wordWrap/>
        <w:overflowPunct/>
        <w:topLinePunct w:val="0"/>
        <w:bidi w:val="0"/>
        <w:snapToGrid/>
        <w:spacing w:line="240" w:lineRule="auto"/>
        <w:ind w:firstLine="640" w:firstLineChars="200"/>
        <w:jc w:val="both"/>
        <w:textAlignment w:val="auto"/>
        <w:rPr>
          <w:rFonts w:hint="default" w:ascii="Times New Roman" w:hAnsi="Times New Roman" w:eastAsia="方正仿宋_GBK" w:cs="Times New Roman"/>
          <w:color w:val="000000"/>
          <w:sz w:val="32"/>
          <w:szCs w:val="32"/>
        </w:rPr>
      </w:pPr>
      <w:r>
        <w:rPr>
          <w:rFonts w:hint="eastAsia" w:eastAsia="方正仿宋_GBK" w:cs="Times New Roman"/>
          <w:b w:val="0"/>
          <w:bCs/>
          <w:kern w:val="0"/>
          <w:sz w:val="32"/>
          <w:szCs w:val="32"/>
          <w:highlight w:val="none"/>
          <w:u w:val="none"/>
          <w:lang w:val="en-US" w:eastAsia="zh-CN" w:bidi="ar-SA"/>
        </w:rPr>
        <w:t>46.</w:t>
      </w:r>
      <w:r>
        <w:rPr>
          <w:rFonts w:hint="default" w:ascii="Times New Roman" w:hAnsi="Times New Roman" w:eastAsia="方正仿宋_GBK" w:cs="Times New Roman"/>
          <w:b w:val="0"/>
          <w:bCs/>
          <w:kern w:val="0"/>
          <w:sz w:val="32"/>
          <w:szCs w:val="32"/>
          <w:highlight w:val="none"/>
          <w:u w:val="none"/>
          <w:lang w:val="en-US" w:eastAsia="zh-CN" w:bidi="ar-SA"/>
        </w:rPr>
        <w:t>农林水支出213（类）其他农林水支出99（款）其他农林水支出99（项）</w:t>
      </w:r>
      <w:r>
        <w:rPr>
          <w:rFonts w:hint="default" w:ascii="Times New Roman" w:hAnsi="Times New Roman" w:eastAsia="方正仿宋_GBK" w:cs="Times New Roman"/>
          <w:color w:val="000000"/>
          <w:sz w:val="32"/>
          <w:szCs w:val="32"/>
          <w:lang w:val="en-US" w:eastAsia="zh-CN"/>
        </w:rPr>
        <w:t>：指反映除化解债务支出以外其他用于农林水方面的支出。</w:t>
      </w:r>
    </w:p>
    <w:p>
      <w:pPr>
        <w:keepNext w:val="0"/>
        <w:keepLines w:val="0"/>
        <w:pageBreakBefore w:val="0"/>
        <w:widowControl w:val="0"/>
        <w:kinsoku/>
        <w:wordWrap/>
        <w:overflowPunct/>
        <w:topLinePunct w:val="0"/>
        <w:bidi w:val="0"/>
        <w:snapToGrid/>
        <w:spacing w:line="240" w:lineRule="auto"/>
        <w:ind w:firstLine="640" w:firstLineChars="200"/>
        <w:jc w:val="both"/>
        <w:textAlignment w:val="auto"/>
        <w:rPr>
          <w:rFonts w:hint="default" w:ascii="Times New Roman" w:hAnsi="Times New Roman" w:eastAsia="方正仿宋_GBK" w:cs="Times New Roman"/>
          <w:color w:val="000000"/>
          <w:sz w:val="32"/>
          <w:szCs w:val="32"/>
        </w:rPr>
      </w:pPr>
      <w:r>
        <w:rPr>
          <w:rFonts w:hint="eastAsia" w:eastAsia="方正仿宋_GBK" w:cs="Times New Roman"/>
          <w:b w:val="0"/>
          <w:bCs/>
          <w:kern w:val="0"/>
          <w:sz w:val="32"/>
          <w:szCs w:val="32"/>
          <w:highlight w:val="none"/>
          <w:u w:val="none"/>
          <w:lang w:val="en-US" w:eastAsia="zh-CN" w:bidi="ar-SA"/>
        </w:rPr>
        <w:t>47.</w:t>
      </w:r>
      <w:r>
        <w:rPr>
          <w:rFonts w:hint="default" w:ascii="Times New Roman" w:hAnsi="Times New Roman" w:eastAsia="方正仿宋_GBK" w:cs="Times New Roman"/>
          <w:b w:val="0"/>
          <w:bCs/>
          <w:kern w:val="0"/>
          <w:sz w:val="32"/>
          <w:szCs w:val="32"/>
          <w:highlight w:val="none"/>
          <w:u w:val="none"/>
          <w:lang w:val="en-US" w:eastAsia="zh-CN" w:bidi="ar-SA"/>
        </w:rPr>
        <w:t>住房保障支出221（类）住房改革支出02（款）住房公积金01（项）</w:t>
      </w:r>
      <w:r>
        <w:rPr>
          <w:rFonts w:hint="default" w:ascii="Times New Roman" w:hAnsi="Times New Roman" w:eastAsia="方正仿宋_GBK" w:cs="Times New Roman"/>
          <w:color w:val="000000"/>
          <w:sz w:val="32"/>
          <w:szCs w:val="32"/>
        </w:rPr>
        <w:t>：</w:t>
      </w:r>
      <w:r>
        <w:rPr>
          <w:rFonts w:hint="default" w:ascii="Times New Roman" w:hAnsi="Times New Roman" w:eastAsia="方正仿宋_GBK" w:cs="Times New Roman"/>
          <w:color w:val="000000"/>
          <w:sz w:val="32"/>
          <w:szCs w:val="32"/>
          <w:lang w:eastAsia="zh-CN"/>
        </w:rPr>
        <w:t>指</w:t>
      </w:r>
      <w:r>
        <w:rPr>
          <w:rFonts w:hint="default" w:ascii="Times New Roman" w:hAnsi="Times New Roman" w:eastAsia="方正仿宋_GBK" w:cs="Times New Roman"/>
          <w:color w:val="000000"/>
          <w:sz w:val="32"/>
          <w:szCs w:val="32"/>
        </w:rPr>
        <w:t>反映行政事业单位按人力资源和社会保障部、财政部规定的基本工资和津补贴以及规定比例为职工缴纳的住房公积金。</w:t>
      </w:r>
    </w:p>
    <w:p>
      <w:pPr>
        <w:keepNext w:val="0"/>
        <w:keepLines w:val="0"/>
        <w:pageBreakBefore w:val="0"/>
        <w:widowControl w:val="0"/>
        <w:kinsoku/>
        <w:wordWrap/>
        <w:overflowPunct/>
        <w:topLinePunct w:val="0"/>
        <w:bidi w:val="0"/>
        <w:snapToGrid/>
        <w:spacing w:line="240" w:lineRule="auto"/>
        <w:ind w:firstLine="640" w:firstLineChars="200"/>
        <w:jc w:val="both"/>
        <w:textAlignment w:val="auto"/>
        <w:rPr>
          <w:rFonts w:hint="default" w:ascii="Times New Roman" w:hAnsi="Times New Roman" w:eastAsia="方正仿宋_GBK" w:cs="Times New Roman"/>
          <w:color w:val="000000"/>
          <w:sz w:val="32"/>
          <w:szCs w:val="32"/>
        </w:rPr>
      </w:pPr>
      <w:r>
        <w:rPr>
          <w:rFonts w:hint="eastAsia" w:eastAsia="方正仿宋_GBK" w:cs="Times New Roman"/>
          <w:color w:val="000000"/>
          <w:sz w:val="32"/>
          <w:szCs w:val="32"/>
          <w:lang w:val="en-US" w:eastAsia="zh-CN"/>
        </w:rPr>
        <w:t>48.</w:t>
      </w:r>
      <w:r>
        <w:rPr>
          <w:rFonts w:hint="default" w:ascii="Times New Roman" w:hAnsi="Times New Roman" w:eastAsia="方正仿宋_GBK" w:cs="Times New Roman"/>
          <w:color w:val="000000"/>
          <w:sz w:val="32"/>
          <w:szCs w:val="32"/>
        </w:rPr>
        <w:t>灾害防治及应急管理支出</w:t>
      </w:r>
      <w:r>
        <w:rPr>
          <w:rFonts w:hint="default" w:ascii="Times New Roman" w:hAnsi="Times New Roman" w:eastAsia="方正仿宋_GBK" w:cs="Times New Roman"/>
          <w:b w:val="0"/>
          <w:bCs/>
          <w:kern w:val="0"/>
          <w:sz w:val="32"/>
          <w:szCs w:val="32"/>
          <w:highlight w:val="none"/>
          <w:u w:val="none"/>
          <w:lang w:val="en-US" w:eastAsia="zh-CN" w:bidi="ar-SA"/>
        </w:rPr>
        <w:t>224（类）自然灾害防治06（款）森林草原防灾减灾02（项）</w:t>
      </w:r>
      <w:r>
        <w:rPr>
          <w:rFonts w:hint="default" w:ascii="Times New Roman" w:hAnsi="Times New Roman" w:eastAsia="方正仿宋_GBK" w:cs="Times New Roman"/>
          <w:color w:val="000000"/>
          <w:sz w:val="32"/>
          <w:szCs w:val="32"/>
        </w:rPr>
        <w:t>：指反映防治森林草原火灾、自然水旱灾害等发生的支出。</w:t>
      </w:r>
    </w:p>
    <w:p>
      <w:pPr>
        <w:pStyle w:val="28"/>
        <w:keepNext w:val="0"/>
        <w:keepLines w:val="0"/>
        <w:pageBreakBefore w:val="0"/>
        <w:widowControl w:val="0"/>
        <w:kinsoku/>
        <w:wordWrap/>
        <w:overflowPunct/>
        <w:topLinePunct w:val="0"/>
        <w:bidi w:val="0"/>
        <w:snapToGrid/>
        <w:spacing w:line="240" w:lineRule="auto"/>
        <w:ind w:firstLine="640" w:firstLineChars="200"/>
        <w:jc w:val="both"/>
        <w:textAlignment w:val="auto"/>
        <w:rPr>
          <w:rFonts w:hint="default" w:ascii="Times New Roman" w:hAnsi="Times New Roman" w:eastAsia="方正仿宋_GBK" w:cs="Times New Roman"/>
          <w:color w:val="000000"/>
          <w:sz w:val="32"/>
          <w:szCs w:val="32"/>
          <w:lang w:val="en-US" w:eastAsia="zh-CN"/>
        </w:rPr>
      </w:pPr>
      <w:r>
        <w:rPr>
          <w:rFonts w:hint="eastAsia" w:ascii="Times New Roman" w:hAnsi="Times New Roman" w:eastAsia="方正仿宋_GBK" w:cs="Times New Roman"/>
          <w:color w:val="000000"/>
          <w:sz w:val="32"/>
          <w:szCs w:val="32"/>
          <w:lang w:val="en-US" w:eastAsia="zh-CN"/>
        </w:rPr>
        <w:t>49</w:t>
      </w:r>
      <w:r>
        <w:rPr>
          <w:rFonts w:hint="default" w:ascii="Times New Roman" w:hAnsi="Times New Roman" w:eastAsia="方正仿宋_GBK" w:cs="Times New Roman"/>
          <w:color w:val="000000"/>
          <w:sz w:val="32"/>
          <w:szCs w:val="32"/>
          <w:lang w:val="en-US" w:eastAsia="zh-CN"/>
        </w:rPr>
        <w:t>.基本支出：指为保障机构正常运转、完成日常工作任务而发生的人员支出和公用支出。</w:t>
      </w:r>
    </w:p>
    <w:p>
      <w:pPr>
        <w:pStyle w:val="28"/>
        <w:keepNext w:val="0"/>
        <w:keepLines w:val="0"/>
        <w:pageBreakBefore w:val="0"/>
        <w:widowControl w:val="0"/>
        <w:kinsoku/>
        <w:wordWrap/>
        <w:overflowPunct/>
        <w:topLinePunct w:val="0"/>
        <w:bidi w:val="0"/>
        <w:snapToGrid/>
        <w:spacing w:line="240" w:lineRule="auto"/>
        <w:ind w:firstLine="640" w:firstLineChars="200"/>
        <w:jc w:val="both"/>
        <w:textAlignment w:val="auto"/>
        <w:rPr>
          <w:rFonts w:hint="default" w:ascii="Times New Roman" w:hAnsi="Times New Roman" w:eastAsia="方正仿宋_GBK" w:cs="Times New Roman"/>
          <w:color w:val="000000"/>
          <w:sz w:val="32"/>
          <w:szCs w:val="32"/>
          <w:lang w:val="en-US" w:eastAsia="zh-CN"/>
        </w:rPr>
      </w:pPr>
      <w:r>
        <w:rPr>
          <w:rFonts w:hint="eastAsia" w:ascii="Times New Roman" w:hAnsi="Times New Roman" w:eastAsia="方正仿宋_GBK" w:cs="Times New Roman"/>
          <w:color w:val="000000"/>
          <w:sz w:val="32"/>
          <w:szCs w:val="32"/>
          <w:lang w:val="en-US" w:eastAsia="zh-CN"/>
        </w:rPr>
        <w:t>50</w:t>
      </w:r>
      <w:r>
        <w:rPr>
          <w:rFonts w:hint="default" w:ascii="Times New Roman" w:hAnsi="Times New Roman" w:eastAsia="方正仿宋_GBK" w:cs="Times New Roman"/>
          <w:color w:val="000000"/>
          <w:sz w:val="32"/>
          <w:szCs w:val="32"/>
          <w:lang w:val="en-US" w:eastAsia="zh-CN"/>
        </w:rPr>
        <w:t xml:space="preserve">.项目支出：指在基本支出之外为完成特定行政任务和事业发展目标所发生的支出。 </w:t>
      </w:r>
    </w:p>
    <w:p>
      <w:pPr>
        <w:pStyle w:val="28"/>
        <w:keepNext w:val="0"/>
        <w:keepLines w:val="0"/>
        <w:pageBreakBefore w:val="0"/>
        <w:widowControl w:val="0"/>
        <w:kinsoku/>
        <w:wordWrap/>
        <w:overflowPunct/>
        <w:topLinePunct w:val="0"/>
        <w:bidi w:val="0"/>
        <w:snapToGrid/>
        <w:spacing w:line="240" w:lineRule="auto"/>
        <w:ind w:firstLine="640" w:firstLineChars="200"/>
        <w:jc w:val="both"/>
        <w:textAlignment w:val="auto"/>
        <w:rPr>
          <w:rFonts w:hint="default" w:ascii="Times New Roman" w:hAnsi="Times New Roman" w:eastAsia="方正仿宋_GBK" w:cs="Times New Roman"/>
          <w:color w:val="000000"/>
          <w:sz w:val="32"/>
          <w:szCs w:val="32"/>
          <w:lang w:val="en-US" w:eastAsia="zh-CN"/>
        </w:rPr>
      </w:pPr>
      <w:r>
        <w:rPr>
          <w:rFonts w:hint="eastAsia" w:ascii="Times New Roman" w:hAnsi="Times New Roman" w:eastAsia="方正仿宋_GBK" w:cs="Times New Roman"/>
          <w:color w:val="000000"/>
          <w:sz w:val="32"/>
          <w:szCs w:val="32"/>
          <w:lang w:val="en-US" w:eastAsia="zh-CN"/>
        </w:rPr>
        <w:t>51</w:t>
      </w:r>
      <w:r>
        <w:rPr>
          <w:rFonts w:hint="default" w:ascii="Times New Roman" w:hAnsi="Times New Roman" w:eastAsia="方正仿宋_GBK" w:cs="Times New Roman"/>
          <w:color w:val="000000"/>
          <w:sz w:val="32"/>
          <w:szCs w:val="32"/>
          <w:lang w:val="en-US" w:eastAsia="zh-CN"/>
        </w:rPr>
        <w:t>.经营支出：指事业单位在专业业务活动及其辅助活动之外开展非独立核算经营活动发生的支出。</w:t>
      </w:r>
    </w:p>
    <w:p>
      <w:pPr>
        <w:pStyle w:val="28"/>
        <w:keepNext w:val="0"/>
        <w:keepLines w:val="0"/>
        <w:pageBreakBefore w:val="0"/>
        <w:widowControl w:val="0"/>
        <w:kinsoku/>
        <w:wordWrap/>
        <w:overflowPunct/>
        <w:topLinePunct w:val="0"/>
        <w:bidi w:val="0"/>
        <w:snapToGrid/>
        <w:spacing w:line="240" w:lineRule="auto"/>
        <w:ind w:firstLine="640" w:firstLineChars="200"/>
        <w:jc w:val="both"/>
        <w:textAlignment w:val="auto"/>
        <w:rPr>
          <w:rFonts w:hint="default" w:ascii="Times New Roman" w:hAnsi="Times New Roman" w:eastAsia="方正仿宋_GBK" w:cs="Times New Roman"/>
          <w:color w:val="000000"/>
          <w:sz w:val="32"/>
          <w:szCs w:val="32"/>
          <w:lang w:val="en-US" w:eastAsia="zh-CN"/>
        </w:rPr>
      </w:pPr>
      <w:r>
        <w:rPr>
          <w:rFonts w:hint="eastAsia" w:ascii="Times New Roman" w:hAnsi="Times New Roman" w:eastAsia="方正仿宋_GBK" w:cs="Times New Roman"/>
          <w:color w:val="000000"/>
          <w:sz w:val="32"/>
          <w:szCs w:val="32"/>
          <w:lang w:val="en-US" w:eastAsia="zh-CN"/>
        </w:rPr>
        <w:t>52</w:t>
      </w:r>
      <w:r>
        <w:rPr>
          <w:rFonts w:hint="default" w:ascii="Times New Roman" w:hAnsi="Times New Roman" w:eastAsia="方正仿宋_GBK" w:cs="Times New Roman"/>
          <w:color w:val="000000"/>
          <w:sz w:val="32"/>
          <w:szCs w:val="32"/>
          <w:lang w:val="en-US" w:eastAsia="zh-CN"/>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28"/>
        <w:keepNext w:val="0"/>
        <w:keepLines w:val="0"/>
        <w:pageBreakBefore w:val="0"/>
        <w:widowControl w:val="0"/>
        <w:kinsoku/>
        <w:wordWrap/>
        <w:overflowPunct/>
        <w:topLinePunct w:val="0"/>
        <w:bidi w:val="0"/>
        <w:snapToGrid/>
        <w:spacing w:line="240" w:lineRule="auto"/>
        <w:ind w:firstLine="640" w:firstLineChars="200"/>
        <w:jc w:val="both"/>
        <w:textAlignment w:val="auto"/>
        <w:rPr>
          <w:rFonts w:hint="default" w:ascii="Times New Roman" w:hAnsi="Times New Roman" w:eastAsia="方正仿宋_GBK" w:cs="Times New Roman"/>
          <w:color w:val="000000"/>
          <w:sz w:val="32"/>
          <w:szCs w:val="32"/>
          <w:lang w:val="en-US" w:eastAsia="zh-CN"/>
        </w:rPr>
      </w:pPr>
      <w:r>
        <w:rPr>
          <w:rFonts w:hint="eastAsia" w:ascii="Times New Roman" w:hAnsi="Times New Roman" w:eastAsia="方正仿宋_GBK" w:cs="Times New Roman"/>
          <w:color w:val="000000"/>
          <w:sz w:val="32"/>
          <w:szCs w:val="32"/>
          <w:lang w:val="en-US" w:eastAsia="zh-CN"/>
        </w:rPr>
        <w:t>53</w:t>
      </w:r>
      <w:r>
        <w:rPr>
          <w:rFonts w:hint="default" w:ascii="Times New Roman" w:hAnsi="Times New Roman" w:eastAsia="方正仿宋_GBK" w:cs="Times New Roman"/>
          <w:color w:val="000000"/>
          <w:sz w:val="32"/>
          <w:szCs w:val="32"/>
          <w:lang w:val="en-US" w:eastAsia="zh-CN"/>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rPr>
          <w:rFonts w:hint="default"/>
        </w:rPr>
      </w:pPr>
      <w:bookmarkStart w:id="56" w:name="_Toc15396614"/>
      <w:bookmarkStart w:id="57" w:name="_Toc1780_WPSOffice_Level1"/>
      <w:r>
        <w:rPr>
          <w:rFonts w:hint="default"/>
        </w:rPr>
        <w:br w:type="page"/>
      </w:r>
    </w:p>
    <w:p>
      <w:pPr>
        <w:pStyle w:val="3"/>
        <w:bidi w:val="0"/>
        <w:rPr>
          <w:rFonts w:hint="default"/>
        </w:rPr>
      </w:pPr>
      <w:r>
        <w:rPr>
          <w:rFonts w:hint="default"/>
        </w:rPr>
        <w:t>第四部分  附件</w:t>
      </w:r>
      <w:bookmarkEnd w:id="56"/>
      <w:bookmarkEnd w:id="57"/>
    </w:p>
    <w:p>
      <w:pPr>
        <w:spacing w:line="572" w:lineRule="exact"/>
        <w:jc w:val="left"/>
        <w:outlineLvl w:val="0"/>
        <w:rPr>
          <w:rFonts w:hint="default" w:ascii="Times New Roman" w:hAnsi="Times New Roman" w:eastAsia="黑体" w:cs="Times New Roman"/>
          <w:sz w:val="32"/>
          <w:szCs w:val="32"/>
        </w:rPr>
      </w:pPr>
    </w:p>
    <w:p>
      <w:pPr>
        <w:keepNext w:val="0"/>
        <w:keepLines w:val="0"/>
        <w:pageBreakBefore w:val="0"/>
        <w:widowControl w:val="0"/>
        <w:tabs>
          <w:tab w:val="right" w:pos="8306"/>
        </w:tabs>
        <w:kinsoku/>
        <w:wordWrap/>
        <w:overflowPunct/>
        <w:topLinePunct w:val="0"/>
        <w:autoSpaceDE/>
        <w:autoSpaceDN/>
        <w:bidi w:val="0"/>
        <w:adjustRightInd/>
        <w:snapToGrid/>
        <w:spacing w:line="240" w:lineRule="auto"/>
        <w:jc w:val="center"/>
        <w:textAlignment w:val="auto"/>
        <w:outlineLvl w:val="1"/>
        <w:rPr>
          <w:rFonts w:hint="eastAsia" w:ascii="仿宋" w:hAnsi="仿宋" w:eastAsia="仿宋" w:cs="仿宋"/>
          <w:b/>
          <w:bCs/>
          <w:sz w:val="32"/>
          <w:szCs w:val="32"/>
        </w:rPr>
      </w:pPr>
      <w:bookmarkStart w:id="58" w:name="_Toc11586_WPSOffice_Level2"/>
      <w:r>
        <w:rPr>
          <w:rFonts w:hint="eastAsia" w:ascii="仿宋" w:hAnsi="仿宋" w:eastAsia="仿宋" w:cs="仿宋"/>
          <w:b/>
          <w:bCs/>
          <w:sz w:val="32"/>
          <w:szCs w:val="32"/>
        </w:rPr>
        <w:t>部门预算项目支出绩效评价表（2024年度）</w:t>
      </w:r>
      <w:bookmarkEnd w:id="58"/>
    </w:p>
    <w:p>
      <w:pPr>
        <w:pStyle w:val="8"/>
        <w:keepNext w:val="0"/>
        <w:keepLines w:val="0"/>
        <w:pageBreakBefore w:val="0"/>
        <w:kinsoku/>
        <w:wordWrap/>
        <w:overflowPunct/>
        <w:topLinePunct w:val="0"/>
        <w:autoSpaceDE/>
        <w:autoSpaceDN/>
        <w:bidi w:val="0"/>
        <w:spacing w:after="0" w:line="240" w:lineRule="auto"/>
        <w:ind w:left="0" w:leftChars="0" w:firstLine="640" w:firstLineChars="200"/>
        <w:jc w:val="both"/>
        <w:textAlignment w:val="auto"/>
        <w:rPr>
          <w:rFonts w:hint="default" w:ascii="Times New Roman" w:hAnsi="Times New Roman" w:eastAsia="方正仿宋_GBK" w:cs="Times New Roman"/>
          <w:sz w:val="32"/>
          <w:szCs w:val="32"/>
          <w:lang w:val="zh-CN"/>
        </w:rPr>
      </w:pPr>
    </w:p>
    <w:p>
      <w:pPr>
        <w:pStyle w:val="8"/>
        <w:keepNext w:val="0"/>
        <w:keepLines w:val="0"/>
        <w:pageBreakBefore w:val="0"/>
        <w:kinsoku/>
        <w:wordWrap/>
        <w:overflowPunct/>
        <w:topLinePunct w:val="0"/>
        <w:autoSpaceDE/>
        <w:autoSpaceDN/>
        <w:bidi w:val="0"/>
        <w:spacing w:after="0" w:line="240" w:lineRule="auto"/>
        <w:ind w:left="0" w:leftChars="0" w:firstLine="640"/>
        <w:jc w:val="both"/>
        <w:textAlignment w:val="auto"/>
        <w:rPr>
          <w:rFonts w:hint="default" w:ascii="Times New Roman" w:hAnsi="Times New Roman" w:eastAsia="方正仿宋_GBK" w:cs="Times New Roman"/>
          <w:sz w:val="32"/>
          <w:szCs w:val="32"/>
          <w:lang w:val="zh-CN" w:bidi="ar"/>
        </w:rPr>
      </w:pPr>
    </w:p>
    <w:p>
      <w:pPr>
        <w:pStyle w:val="8"/>
        <w:keepNext w:val="0"/>
        <w:keepLines w:val="0"/>
        <w:pageBreakBefore w:val="0"/>
        <w:kinsoku/>
        <w:wordWrap/>
        <w:overflowPunct/>
        <w:topLinePunct w:val="0"/>
        <w:autoSpaceDE/>
        <w:autoSpaceDN/>
        <w:bidi w:val="0"/>
        <w:spacing w:after="0" w:line="240" w:lineRule="auto"/>
        <w:ind w:left="0" w:leftChars="0" w:firstLine="640"/>
        <w:jc w:val="both"/>
        <w:textAlignment w:val="auto"/>
        <w:rPr>
          <w:rFonts w:hint="default" w:ascii="Times New Roman" w:hAnsi="Times New Roman" w:eastAsia="方正仿宋_GBK" w:cs="Times New Roman"/>
          <w:sz w:val="32"/>
          <w:szCs w:val="32"/>
          <w:lang w:val="zh-CN" w:bidi="ar"/>
        </w:rPr>
      </w:pPr>
      <w:r>
        <w:rPr>
          <w:rFonts w:hint="default" w:ascii="Times New Roman" w:hAnsi="Times New Roman" w:eastAsia="方正仿宋_GBK" w:cs="Times New Roman"/>
          <w:sz w:val="32"/>
          <w:szCs w:val="32"/>
          <w:lang w:val="zh-CN" w:bidi="ar"/>
        </w:rPr>
        <w:t>附表：</w:t>
      </w:r>
      <w:r>
        <w:rPr>
          <w:rFonts w:hint="default" w:ascii="Times New Roman" w:hAnsi="Times New Roman" w:eastAsia="方正仿宋_GBK" w:cs="Times New Roman"/>
          <w:sz w:val="32"/>
          <w:szCs w:val="32"/>
          <w:lang w:bidi="ar"/>
        </w:rPr>
        <w:t>部门预算项目支出绩效自评表（2024年度）</w:t>
      </w:r>
    </w:p>
    <w:p>
      <w:pPr>
        <w:pStyle w:val="8"/>
        <w:spacing w:line="560" w:lineRule="exact"/>
        <w:ind w:left="0" w:leftChars="0" w:firstLine="0" w:firstLineChars="0"/>
        <w:rPr>
          <w:rFonts w:hint="default" w:ascii="Times New Roman" w:hAnsi="Times New Roman" w:cs="Times New Roman"/>
          <w:sz w:val="32"/>
          <w:highlight w:val="yellow"/>
          <w:lang w:val="zh-CN"/>
        </w:rPr>
      </w:pPr>
    </w:p>
    <w:p>
      <w:pPr>
        <w:pStyle w:val="2"/>
        <w:spacing w:before="93"/>
        <w:rPr>
          <w:rFonts w:hint="default" w:ascii="Times New Roman" w:hAnsi="Times New Roman" w:cs="Times New Roman"/>
          <w:sz w:val="32"/>
          <w:szCs w:val="32"/>
          <w:highlight w:val="yellow"/>
          <w:shd w:val="clear" w:color="auto" w:fill="FFFFFF"/>
          <w:lang w:val="zh-CN"/>
        </w:rPr>
      </w:pPr>
    </w:p>
    <w:p>
      <w:pPr>
        <w:rPr>
          <w:rFonts w:hint="eastAsia"/>
        </w:rPr>
      </w:pPr>
      <w:bookmarkStart w:id="59" w:name="_Toc15396618"/>
      <w:bookmarkStart w:id="60" w:name="_Toc7188_WPSOffice_Level1"/>
      <w:r>
        <w:rPr>
          <w:rFonts w:hint="eastAsia"/>
        </w:rPr>
        <w:br w:type="page"/>
      </w:r>
    </w:p>
    <w:p>
      <w:pPr>
        <w:pStyle w:val="3"/>
        <w:bidi w:val="0"/>
        <w:rPr>
          <w:rFonts w:hint="eastAsia"/>
        </w:rPr>
      </w:pPr>
      <w:r>
        <w:rPr>
          <w:rFonts w:hint="eastAsia"/>
        </w:rPr>
        <w:t>第五部分 附表</w:t>
      </w:r>
      <w:bookmarkEnd w:id="55"/>
      <w:bookmarkEnd w:id="59"/>
      <w:bookmarkEnd w:id="60"/>
      <w:bookmarkStart w:id="61" w:name="_Toc15396619"/>
    </w:p>
    <w:p>
      <w:pPr>
        <w:pStyle w:val="16"/>
        <w:adjustRightInd w:val="0"/>
        <w:snapToGrid w:val="0"/>
        <w:spacing w:line="560" w:lineRule="exact"/>
        <w:jc w:val="left"/>
        <w:rPr>
          <w:rFonts w:hint="default" w:ascii="Times New Roman" w:hAnsi="Times New Roman" w:eastAsia="仿宋_GB2312" w:cs="Times New Roman"/>
          <w:sz w:val="32"/>
          <w:szCs w:val="32"/>
        </w:rPr>
      </w:pPr>
    </w:p>
    <w:p>
      <w:pPr>
        <w:keepNext w:val="0"/>
        <w:keepLines w:val="0"/>
        <w:pageBreakBefore w:val="0"/>
        <w:widowControl w:val="0"/>
        <w:tabs>
          <w:tab w:val="right" w:pos="8306"/>
        </w:tabs>
        <w:kinsoku/>
        <w:wordWrap/>
        <w:overflowPunct/>
        <w:topLinePunct w:val="0"/>
        <w:autoSpaceDE/>
        <w:autoSpaceDN/>
        <w:bidi w:val="0"/>
        <w:adjustRightInd/>
        <w:snapToGrid/>
        <w:spacing w:line="240" w:lineRule="auto"/>
        <w:ind w:firstLine="640" w:firstLineChars="200"/>
        <w:textAlignment w:val="auto"/>
        <w:outlineLvl w:val="1"/>
        <w:rPr>
          <w:rFonts w:hint="eastAsia" w:ascii="仿宋" w:hAnsi="仿宋" w:eastAsia="仿宋" w:cs="仿宋"/>
          <w:sz w:val="32"/>
          <w:szCs w:val="32"/>
        </w:rPr>
      </w:pPr>
      <w:bookmarkStart w:id="62" w:name="_Toc16038_WPSOffice_Level2"/>
      <w:r>
        <w:rPr>
          <w:rFonts w:hint="eastAsia" w:ascii="仿宋" w:hAnsi="仿宋" w:eastAsia="仿宋" w:cs="仿宋"/>
          <w:sz w:val="32"/>
          <w:szCs w:val="32"/>
        </w:rPr>
        <w:t>一、收入支出决算总表</w:t>
      </w:r>
      <w:bookmarkEnd w:id="61"/>
      <w:bookmarkEnd w:id="62"/>
    </w:p>
    <w:p>
      <w:pPr>
        <w:keepNext w:val="0"/>
        <w:keepLines w:val="0"/>
        <w:pageBreakBefore w:val="0"/>
        <w:widowControl w:val="0"/>
        <w:tabs>
          <w:tab w:val="right" w:pos="8306"/>
        </w:tabs>
        <w:kinsoku/>
        <w:wordWrap/>
        <w:overflowPunct/>
        <w:topLinePunct w:val="0"/>
        <w:autoSpaceDE/>
        <w:autoSpaceDN/>
        <w:bidi w:val="0"/>
        <w:adjustRightInd/>
        <w:snapToGrid/>
        <w:spacing w:line="240" w:lineRule="auto"/>
        <w:ind w:firstLine="640" w:firstLineChars="200"/>
        <w:textAlignment w:val="auto"/>
        <w:outlineLvl w:val="1"/>
        <w:rPr>
          <w:rFonts w:hint="eastAsia" w:ascii="仿宋" w:hAnsi="仿宋" w:eastAsia="仿宋" w:cs="仿宋"/>
          <w:sz w:val="32"/>
          <w:szCs w:val="32"/>
        </w:rPr>
      </w:pPr>
      <w:bookmarkStart w:id="63" w:name="_Toc15396620"/>
      <w:bookmarkStart w:id="64" w:name="_Toc21599_WPSOffice_Level2"/>
      <w:r>
        <w:rPr>
          <w:rFonts w:hint="eastAsia" w:ascii="仿宋" w:hAnsi="仿宋" w:eastAsia="仿宋" w:cs="仿宋"/>
          <w:sz w:val="32"/>
          <w:szCs w:val="32"/>
        </w:rPr>
        <w:t>二、收入决算表</w:t>
      </w:r>
      <w:bookmarkEnd w:id="63"/>
      <w:bookmarkEnd w:id="64"/>
    </w:p>
    <w:p>
      <w:pPr>
        <w:keepNext w:val="0"/>
        <w:keepLines w:val="0"/>
        <w:pageBreakBefore w:val="0"/>
        <w:widowControl w:val="0"/>
        <w:tabs>
          <w:tab w:val="right" w:pos="8306"/>
        </w:tabs>
        <w:kinsoku/>
        <w:wordWrap/>
        <w:overflowPunct/>
        <w:topLinePunct w:val="0"/>
        <w:autoSpaceDE/>
        <w:autoSpaceDN/>
        <w:bidi w:val="0"/>
        <w:adjustRightInd/>
        <w:snapToGrid/>
        <w:spacing w:line="240" w:lineRule="auto"/>
        <w:ind w:firstLine="640" w:firstLineChars="200"/>
        <w:textAlignment w:val="auto"/>
        <w:outlineLvl w:val="1"/>
        <w:rPr>
          <w:rFonts w:hint="eastAsia" w:ascii="仿宋" w:hAnsi="仿宋" w:eastAsia="仿宋" w:cs="仿宋"/>
          <w:sz w:val="32"/>
          <w:szCs w:val="32"/>
        </w:rPr>
      </w:pPr>
      <w:bookmarkStart w:id="65" w:name="_Toc19830_WPSOffice_Level2"/>
      <w:bookmarkStart w:id="66" w:name="_Toc15396621"/>
      <w:r>
        <w:rPr>
          <w:rFonts w:hint="eastAsia" w:ascii="仿宋" w:hAnsi="仿宋" w:eastAsia="仿宋" w:cs="仿宋"/>
          <w:sz w:val="32"/>
          <w:szCs w:val="32"/>
        </w:rPr>
        <w:t>三、支出决算表</w:t>
      </w:r>
      <w:bookmarkEnd w:id="65"/>
      <w:bookmarkEnd w:id="66"/>
    </w:p>
    <w:p>
      <w:pPr>
        <w:keepNext w:val="0"/>
        <w:keepLines w:val="0"/>
        <w:pageBreakBefore w:val="0"/>
        <w:widowControl w:val="0"/>
        <w:tabs>
          <w:tab w:val="right" w:pos="8306"/>
        </w:tabs>
        <w:kinsoku/>
        <w:wordWrap/>
        <w:overflowPunct/>
        <w:topLinePunct w:val="0"/>
        <w:autoSpaceDE/>
        <w:autoSpaceDN/>
        <w:bidi w:val="0"/>
        <w:adjustRightInd/>
        <w:snapToGrid/>
        <w:spacing w:line="240" w:lineRule="auto"/>
        <w:ind w:firstLine="640" w:firstLineChars="200"/>
        <w:textAlignment w:val="auto"/>
        <w:outlineLvl w:val="1"/>
        <w:rPr>
          <w:rFonts w:hint="eastAsia" w:ascii="仿宋" w:hAnsi="仿宋" w:eastAsia="仿宋" w:cs="仿宋"/>
          <w:sz w:val="32"/>
          <w:szCs w:val="32"/>
        </w:rPr>
      </w:pPr>
      <w:bookmarkStart w:id="67" w:name="_Toc15396622"/>
      <w:bookmarkStart w:id="68" w:name="_Toc11166_WPSOffice_Level2"/>
      <w:r>
        <w:rPr>
          <w:rFonts w:hint="eastAsia" w:ascii="仿宋" w:hAnsi="仿宋" w:eastAsia="仿宋" w:cs="仿宋"/>
          <w:sz w:val="32"/>
          <w:szCs w:val="32"/>
        </w:rPr>
        <w:t>四、财政拨款收入支出决算总表</w:t>
      </w:r>
      <w:bookmarkEnd w:id="67"/>
      <w:bookmarkEnd w:id="68"/>
    </w:p>
    <w:p>
      <w:pPr>
        <w:keepNext w:val="0"/>
        <w:keepLines w:val="0"/>
        <w:pageBreakBefore w:val="0"/>
        <w:widowControl w:val="0"/>
        <w:tabs>
          <w:tab w:val="right" w:pos="8306"/>
        </w:tabs>
        <w:kinsoku/>
        <w:wordWrap/>
        <w:overflowPunct/>
        <w:topLinePunct w:val="0"/>
        <w:autoSpaceDE/>
        <w:autoSpaceDN/>
        <w:bidi w:val="0"/>
        <w:adjustRightInd/>
        <w:snapToGrid/>
        <w:spacing w:line="240" w:lineRule="auto"/>
        <w:ind w:firstLine="640" w:firstLineChars="200"/>
        <w:textAlignment w:val="auto"/>
        <w:outlineLvl w:val="1"/>
        <w:rPr>
          <w:rFonts w:hint="eastAsia" w:ascii="仿宋" w:hAnsi="仿宋" w:eastAsia="仿宋" w:cs="仿宋"/>
          <w:sz w:val="32"/>
          <w:szCs w:val="32"/>
        </w:rPr>
      </w:pPr>
      <w:bookmarkStart w:id="69" w:name="_Toc3147_WPSOffice_Level2"/>
      <w:bookmarkStart w:id="70" w:name="_Toc15396623"/>
      <w:r>
        <w:rPr>
          <w:rFonts w:hint="eastAsia" w:ascii="仿宋" w:hAnsi="仿宋" w:eastAsia="仿宋" w:cs="仿宋"/>
          <w:sz w:val="32"/>
          <w:szCs w:val="32"/>
        </w:rPr>
        <w:t>五、财政拨款支出决算明细表</w:t>
      </w:r>
      <w:bookmarkEnd w:id="69"/>
      <w:bookmarkEnd w:id="70"/>
      <w:bookmarkStart w:id="71" w:name="_Toc15396624"/>
    </w:p>
    <w:p>
      <w:pPr>
        <w:keepNext w:val="0"/>
        <w:keepLines w:val="0"/>
        <w:pageBreakBefore w:val="0"/>
        <w:widowControl w:val="0"/>
        <w:tabs>
          <w:tab w:val="right" w:pos="8306"/>
        </w:tabs>
        <w:kinsoku/>
        <w:wordWrap/>
        <w:overflowPunct/>
        <w:topLinePunct w:val="0"/>
        <w:autoSpaceDE/>
        <w:autoSpaceDN/>
        <w:bidi w:val="0"/>
        <w:adjustRightInd/>
        <w:snapToGrid/>
        <w:spacing w:line="240" w:lineRule="auto"/>
        <w:ind w:firstLine="640" w:firstLineChars="200"/>
        <w:textAlignment w:val="auto"/>
        <w:outlineLvl w:val="1"/>
        <w:rPr>
          <w:rFonts w:hint="eastAsia" w:ascii="仿宋" w:hAnsi="仿宋" w:eastAsia="仿宋" w:cs="仿宋"/>
          <w:sz w:val="32"/>
          <w:szCs w:val="32"/>
        </w:rPr>
      </w:pPr>
      <w:bookmarkStart w:id="72" w:name="_Toc12939_WPSOffice_Level2"/>
      <w:r>
        <w:rPr>
          <w:rFonts w:hint="eastAsia" w:ascii="仿宋" w:hAnsi="仿宋" w:eastAsia="仿宋" w:cs="仿宋"/>
          <w:sz w:val="32"/>
          <w:szCs w:val="32"/>
        </w:rPr>
        <w:t>六、一般公共预算财政拨款支出决算表</w:t>
      </w:r>
      <w:bookmarkEnd w:id="71"/>
      <w:bookmarkEnd w:id="72"/>
    </w:p>
    <w:p>
      <w:pPr>
        <w:keepNext w:val="0"/>
        <w:keepLines w:val="0"/>
        <w:pageBreakBefore w:val="0"/>
        <w:widowControl w:val="0"/>
        <w:tabs>
          <w:tab w:val="right" w:pos="8306"/>
        </w:tabs>
        <w:kinsoku/>
        <w:wordWrap/>
        <w:overflowPunct/>
        <w:topLinePunct w:val="0"/>
        <w:autoSpaceDE/>
        <w:autoSpaceDN/>
        <w:bidi w:val="0"/>
        <w:adjustRightInd/>
        <w:snapToGrid/>
        <w:spacing w:line="240" w:lineRule="auto"/>
        <w:ind w:firstLine="640" w:firstLineChars="200"/>
        <w:textAlignment w:val="auto"/>
        <w:outlineLvl w:val="1"/>
        <w:rPr>
          <w:rFonts w:hint="eastAsia" w:ascii="仿宋" w:hAnsi="仿宋" w:eastAsia="仿宋" w:cs="仿宋"/>
          <w:sz w:val="32"/>
          <w:szCs w:val="32"/>
        </w:rPr>
      </w:pPr>
      <w:bookmarkStart w:id="73" w:name="_Toc15396625"/>
      <w:bookmarkStart w:id="74" w:name="_Toc31201_WPSOffice_Level2"/>
      <w:r>
        <w:rPr>
          <w:rFonts w:hint="eastAsia" w:ascii="仿宋" w:hAnsi="仿宋" w:eastAsia="仿宋" w:cs="仿宋"/>
          <w:sz w:val="32"/>
          <w:szCs w:val="32"/>
        </w:rPr>
        <w:t>七、一般公共预算财政拨款支出决算明细表</w:t>
      </w:r>
      <w:bookmarkEnd w:id="73"/>
      <w:bookmarkEnd w:id="74"/>
    </w:p>
    <w:p>
      <w:pPr>
        <w:keepNext w:val="0"/>
        <w:keepLines w:val="0"/>
        <w:pageBreakBefore w:val="0"/>
        <w:widowControl w:val="0"/>
        <w:tabs>
          <w:tab w:val="right" w:pos="8306"/>
        </w:tabs>
        <w:kinsoku/>
        <w:wordWrap/>
        <w:overflowPunct/>
        <w:topLinePunct w:val="0"/>
        <w:autoSpaceDE/>
        <w:autoSpaceDN/>
        <w:bidi w:val="0"/>
        <w:adjustRightInd/>
        <w:snapToGrid/>
        <w:spacing w:line="240" w:lineRule="auto"/>
        <w:ind w:firstLine="640" w:firstLineChars="200"/>
        <w:textAlignment w:val="auto"/>
        <w:outlineLvl w:val="1"/>
        <w:rPr>
          <w:rFonts w:hint="eastAsia" w:ascii="仿宋" w:hAnsi="仿宋" w:eastAsia="仿宋" w:cs="仿宋"/>
          <w:sz w:val="32"/>
          <w:szCs w:val="32"/>
        </w:rPr>
      </w:pPr>
      <w:bookmarkStart w:id="75" w:name="_Toc15396626"/>
      <w:bookmarkStart w:id="76" w:name="_Toc31943_WPSOffice_Level2"/>
      <w:r>
        <w:rPr>
          <w:rFonts w:hint="eastAsia" w:ascii="仿宋" w:hAnsi="仿宋" w:eastAsia="仿宋" w:cs="仿宋"/>
          <w:sz w:val="32"/>
          <w:szCs w:val="32"/>
        </w:rPr>
        <w:t>八、一般公共预算财政拨款基本支出决算表</w:t>
      </w:r>
      <w:bookmarkEnd w:id="75"/>
      <w:bookmarkEnd w:id="76"/>
    </w:p>
    <w:p>
      <w:pPr>
        <w:keepNext w:val="0"/>
        <w:keepLines w:val="0"/>
        <w:pageBreakBefore w:val="0"/>
        <w:widowControl w:val="0"/>
        <w:tabs>
          <w:tab w:val="right" w:pos="8306"/>
        </w:tabs>
        <w:kinsoku/>
        <w:wordWrap/>
        <w:overflowPunct/>
        <w:topLinePunct w:val="0"/>
        <w:autoSpaceDE/>
        <w:autoSpaceDN/>
        <w:bidi w:val="0"/>
        <w:adjustRightInd/>
        <w:snapToGrid/>
        <w:spacing w:line="240" w:lineRule="auto"/>
        <w:ind w:firstLine="640" w:firstLineChars="200"/>
        <w:textAlignment w:val="auto"/>
        <w:outlineLvl w:val="1"/>
        <w:rPr>
          <w:rFonts w:hint="eastAsia" w:ascii="仿宋" w:hAnsi="仿宋" w:eastAsia="仿宋" w:cs="仿宋"/>
          <w:sz w:val="32"/>
          <w:szCs w:val="32"/>
        </w:rPr>
      </w:pPr>
      <w:bookmarkStart w:id="77" w:name="_Toc5070_WPSOffice_Level2"/>
      <w:bookmarkStart w:id="78" w:name="_Toc15396627"/>
      <w:r>
        <w:rPr>
          <w:rFonts w:hint="eastAsia" w:ascii="仿宋" w:hAnsi="仿宋" w:eastAsia="仿宋" w:cs="仿宋"/>
          <w:sz w:val="32"/>
          <w:szCs w:val="32"/>
        </w:rPr>
        <w:t>九、一般公共预算财政拨款项目支出决算表</w:t>
      </w:r>
      <w:bookmarkEnd w:id="77"/>
      <w:bookmarkEnd w:id="78"/>
    </w:p>
    <w:p>
      <w:pPr>
        <w:keepNext w:val="0"/>
        <w:keepLines w:val="0"/>
        <w:pageBreakBefore w:val="0"/>
        <w:widowControl w:val="0"/>
        <w:tabs>
          <w:tab w:val="right" w:pos="8306"/>
        </w:tabs>
        <w:kinsoku/>
        <w:wordWrap/>
        <w:overflowPunct/>
        <w:topLinePunct w:val="0"/>
        <w:autoSpaceDE/>
        <w:autoSpaceDN/>
        <w:bidi w:val="0"/>
        <w:adjustRightInd/>
        <w:snapToGrid/>
        <w:spacing w:line="240" w:lineRule="auto"/>
        <w:ind w:firstLine="640" w:firstLineChars="200"/>
        <w:textAlignment w:val="auto"/>
        <w:outlineLvl w:val="1"/>
        <w:rPr>
          <w:rFonts w:hint="eastAsia" w:ascii="仿宋" w:hAnsi="仿宋" w:eastAsia="仿宋" w:cs="仿宋"/>
          <w:sz w:val="32"/>
          <w:szCs w:val="32"/>
        </w:rPr>
      </w:pPr>
      <w:bookmarkStart w:id="79" w:name="_Toc15396628"/>
      <w:bookmarkStart w:id="80" w:name="_Toc12352_WPSOffice_Level2"/>
      <w:r>
        <w:rPr>
          <w:rFonts w:hint="eastAsia" w:ascii="仿宋" w:hAnsi="仿宋" w:eastAsia="仿宋" w:cs="仿宋"/>
          <w:sz w:val="32"/>
          <w:szCs w:val="32"/>
        </w:rPr>
        <w:t>十、</w:t>
      </w:r>
      <w:bookmarkEnd w:id="79"/>
      <w:r>
        <w:rPr>
          <w:rFonts w:hint="eastAsia" w:ascii="仿宋" w:hAnsi="仿宋" w:eastAsia="仿宋" w:cs="仿宋"/>
          <w:sz w:val="32"/>
          <w:szCs w:val="32"/>
        </w:rPr>
        <w:t>政府性基金预算财政拨款收入支出决算表</w:t>
      </w:r>
      <w:bookmarkEnd w:id="80"/>
    </w:p>
    <w:p>
      <w:pPr>
        <w:keepNext w:val="0"/>
        <w:keepLines w:val="0"/>
        <w:pageBreakBefore w:val="0"/>
        <w:widowControl w:val="0"/>
        <w:tabs>
          <w:tab w:val="right" w:pos="8306"/>
        </w:tabs>
        <w:kinsoku/>
        <w:wordWrap/>
        <w:overflowPunct/>
        <w:topLinePunct w:val="0"/>
        <w:autoSpaceDE/>
        <w:autoSpaceDN/>
        <w:bidi w:val="0"/>
        <w:adjustRightInd/>
        <w:snapToGrid/>
        <w:spacing w:line="240" w:lineRule="auto"/>
        <w:ind w:firstLine="640" w:firstLineChars="200"/>
        <w:textAlignment w:val="auto"/>
        <w:outlineLvl w:val="1"/>
        <w:rPr>
          <w:rFonts w:hint="eastAsia" w:ascii="仿宋" w:hAnsi="仿宋" w:eastAsia="仿宋" w:cs="仿宋"/>
          <w:sz w:val="32"/>
          <w:szCs w:val="32"/>
        </w:rPr>
      </w:pPr>
      <w:bookmarkStart w:id="81" w:name="_Toc15396629"/>
      <w:bookmarkStart w:id="82" w:name="_Toc13382_WPSOffice_Level2"/>
      <w:r>
        <w:rPr>
          <w:rFonts w:hint="eastAsia" w:ascii="仿宋" w:hAnsi="仿宋" w:eastAsia="仿宋" w:cs="仿宋"/>
          <w:sz w:val="32"/>
          <w:szCs w:val="32"/>
        </w:rPr>
        <w:t>十一、</w:t>
      </w:r>
      <w:bookmarkEnd w:id="81"/>
      <w:r>
        <w:rPr>
          <w:rFonts w:hint="eastAsia" w:ascii="仿宋" w:hAnsi="仿宋" w:eastAsia="仿宋" w:cs="仿宋"/>
          <w:sz w:val="32"/>
          <w:szCs w:val="32"/>
        </w:rPr>
        <w:t>国有资本经营预算财政拨款收入支出决算表</w:t>
      </w:r>
      <w:bookmarkEnd w:id="82"/>
    </w:p>
    <w:p>
      <w:pPr>
        <w:keepNext w:val="0"/>
        <w:keepLines w:val="0"/>
        <w:pageBreakBefore w:val="0"/>
        <w:widowControl w:val="0"/>
        <w:tabs>
          <w:tab w:val="right" w:pos="8306"/>
        </w:tabs>
        <w:kinsoku/>
        <w:wordWrap/>
        <w:overflowPunct/>
        <w:topLinePunct w:val="0"/>
        <w:autoSpaceDE/>
        <w:autoSpaceDN/>
        <w:bidi w:val="0"/>
        <w:adjustRightInd/>
        <w:snapToGrid/>
        <w:spacing w:line="240" w:lineRule="auto"/>
        <w:ind w:firstLine="640" w:firstLineChars="200"/>
        <w:textAlignment w:val="auto"/>
        <w:outlineLvl w:val="1"/>
        <w:rPr>
          <w:rFonts w:hint="eastAsia" w:ascii="仿宋" w:hAnsi="仿宋" w:eastAsia="仿宋" w:cs="仿宋"/>
          <w:sz w:val="32"/>
          <w:szCs w:val="32"/>
        </w:rPr>
      </w:pPr>
      <w:bookmarkStart w:id="83" w:name="_Toc15396630"/>
      <w:bookmarkStart w:id="84" w:name="_Toc25170_WPSOffice_Level2"/>
      <w:r>
        <w:rPr>
          <w:rFonts w:hint="eastAsia" w:ascii="仿宋" w:hAnsi="仿宋" w:eastAsia="仿宋" w:cs="仿宋"/>
          <w:sz w:val="32"/>
          <w:szCs w:val="32"/>
        </w:rPr>
        <w:t>十二、</w:t>
      </w:r>
      <w:bookmarkEnd w:id="83"/>
      <w:r>
        <w:rPr>
          <w:rFonts w:hint="eastAsia" w:ascii="仿宋" w:hAnsi="仿宋" w:eastAsia="仿宋" w:cs="仿宋"/>
          <w:sz w:val="32"/>
          <w:szCs w:val="32"/>
        </w:rPr>
        <w:t>国有资本经营预算财政拨款支出决算表</w:t>
      </w:r>
      <w:bookmarkEnd w:id="84"/>
    </w:p>
    <w:p>
      <w:pPr>
        <w:keepNext w:val="0"/>
        <w:keepLines w:val="0"/>
        <w:pageBreakBefore w:val="0"/>
        <w:widowControl w:val="0"/>
        <w:tabs>
          <w:tab w:val="right" w:pos="8306"/>
        </w:tabs>
        <w:kinsoku/>
        <w:wordWrap/>
        <w:overflowPunct/>
        <w:topLinePunct w:val="0"/>
        <w:autoSpaceDE/>
        <w:autoSpaceDN/>
        <w:bidi w:val="0"/>
        <w:adjustRightInd/>
        <w:snapToGrid/>
        <w:spacing w:line="240" w:lineRule="auto"/>
        <w:ind w:firstLine="640" w:firstLineChars="200"/>
        <w:textAlignment w:val="auto"/>
        <w:outlineLvl w:val="1"/>
        <w:rPr>
          <w:rFonts w:hint="eastAsia" w:ascii="仿宋" w:hAnsi="仿宋" w:eastAsia="仿宋" w:cs="仿宋"/>
          <w:sz w:val="32"/>
          <w:szCs w:val="32"/>
        </w:rPr>
      </w:pPr>
      <w:bookmarkStart w:id="85" w:name="_Toc15396631"/>
      <w:bookmarkStart w:id="86" w:name="_Toc5958_WPSOffice_Level2"/>
      <w:r>
        <w:rPr>
          <w:rFonts w:hint="eastAsia" w:ascii="仿宋" w:hAnsi="仿宋" w:eastAsia="仿宋" w:cs="仿宋"/>
          <w:sz w:val="32"/>
          <w:szCs w:val="32"/>
        </w:rPr>
        <w:t>十三、</w:t>
      </w:r>
      <w:bookmarkEnd w:id="85"/>
      <w:r>
        <w:rPr>
          <w:rFonts w:hint="eastAsia" w:ascii="仿宋" w:hAnsi="仿宋" w:eastAsia="仿宋" w:cs="仿宋"/>
          <w:sz w:val="32"/>
          <w:szCs w:val="32"/>
        </w:rPr>
        <w:t>财政拨款“三公”经费支出决算表</w:t>
      </w:r>
      <w:bookmarkEnd w:id="86"/>
    </w:p>
    <w:p>
      <w:pPr>
        <w:rPr>
          <w:rFonts w:hint="default" w:ascii="Times New Roman" w:hAnsi="Times New Roman" w:cs="Times New Roman"/>
        </w:rPr>
      </w:pPr>
    </w:p>
    <w:sectPr>
      <w:footerReference r:id="rId7" w:type="first"/>
      <w:headerReference r:id="rId5" w:type="default"/>
      <w:footerReference r:id="rId6" w:type="default"/>
      <w:pgSz w:w="11906" w:h="16838"/>
      <w:pgMar w:top="1440" w:right="1800" w:bottom="1440" w:left="1800" w:header="851" w:footer="992" w:gutter="0"/>
      <w:pgNumType w:fmt="numberInDash"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4D"/>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00000000000000000"/>
    <w:charset w:val="86"/>
    <w:family w:val="script"/>
    <w:pitch w:val="default"/>
    <w:sig w:usb0="A00002BF" w:usb1="184F6CFA" w:usb2="00000012" w:usb3="00000000" w:csb0="00040001" w:csb1="00000000"/>
  </w:font>
  <w:font w:name="Cambria">
    <w:panose1 w:val="02040503050406030204"/>
    <w:charset w:val="00"/>
    <w:family w:val="roman"/>
    <w:pitch w:val="default"/>
    <w:sig w:usb0="A00002EF" w:usb1="4000004B" w:usb2="00000000" w:usb3="00000000" w:csb0="200000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
    <w:altName w:val="Segoe Print"/>
    <w:panose1 w:val="00000000000000000000"/>
    <w:charset w:val="00"/>
    <w:family w:val="roman"/>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仿宋_GBK">
    <w:panose1 w:val="02000000000000000000"/>
    <w:charset w:val="86"/>
    <w:family w:val="script"/>
    <w:pitch w:val="default"/>
    <w:sig w:usb0="A00002BF" w:usb1="38CF7CFA" w:usb2="00082016" w:usb3="00000000" w:csb0="00040001" w:csb1="00000000"/>
  </w:font>
  <w:font w:name="方正黑体_GBK">
    <w:panose1 w:val="02000000000000000000"/>
    <w:charset w:val="86"/>
    <w:family w:val="auto"/>
    <w:pitch w:val="default"/>
    <w:sig w:usb0="A00002BF" w:usb1="38CF7CFA" w:usb2="00082016" w:usb3="00000000" w:csb0="00040001" w:csb1="00000000"/>
  </w:font>
  <w:font w:name="方正楷体_GBK">
    <w:panose1 w:val="02000000000000000000"/>
    <w:charset w:val="86"/>
    <w:family w:val="auto"/>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pPr>
  </w:p>
  <w:p>
    <w:pPr>
      <w:pStyle w:val="1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- 2 -</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1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- 2 -</w:t>
                    </w:r>
                    <w:r>
                      <w:rPr>
                        <w:rFonts w:hint="eastAsia"/>
                        <w:lang w:eastAsia="zh-CN"/>
                      </w:rPr>
                      <w:fldChar w:fldCharType="end"/>
                    </w:r>
                  </w:p>
                </w:txbxContent>
              </v:textbox>
            </v:shape>
          </w:pict>
        </mc:Fallback>
      </mc:AlternateContent>
    </w:r>
  </w:p>
  <w:p>
    <w:pPr>
      <w:pStyle w:val="1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rPr>
        <w:sz w:val="18"/>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- 1 -</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1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- 1 -</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1046BEA"/>
    <w:multiLevelType w:val="singleLevel"/>
    <w:tmpl w:val="21046BEA"/>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M2ZDU0NDIyZTEwMjE2YjUzZDE4OTgxMjZhZDhhYmUifQ=="/>
  </w:docVars>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38A4"/>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7413C"/>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0156"/>
    <w:rsid w:val="006A3141"/>
    <w:rsid w:val="006A5E34"/>
    <w:rsid w:val="006B2422"/>
    <w:rsid w:val="006B2B9A"/>
    <w:rsid w:val="006C1937"/>
    <w:rsid w:val="006F020C"/>
    <w:rsid w:val="007127B7"/>
    <w:rsid w:val="0071798E"/>
    <w:rsid w:val="007416B6"/>
    <w:rsid w:val="00746BD5"/>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75013"/>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8103C"/>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494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929DB"/>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4633"/>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17821"/>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2A5EC2"/>
    <w:rsid w:val="015975B8"/>
    <w:rsid w:val="02FEBE30"/>
    <w:rsid w:val="04916F1E"/>
    <w:rsid w:val="05492396"/>
    <w:rsid w:val="061E35DE"/>
    <w:rsid w:val="06290BF2"/>
    <w:rsid w:val="066E0107"/>
    <w:rsid w:val="079734EE"/>
    <w:rsid w:val="07996F6E"/>
    <w:rsid w:val="07DFD8BA"/>
    <w:rsid w:val="07E85FBA"/>
    <w:rsid w:val="09867E8F"/>
    <w:rsid w:val="09FB2845"/>
    <w:rsid w:val="0A2032A3"/>
    <w:rsid w:val="0CA8290A"/>
    <w:rsid w:val="0D35B1ED"/>
    <w:rsid w:val="0D600146"/>
    <w:rsid w:val="0E254B6B"/>
    <w:rsid w:val="0E846768"/>
    <w:rsid w:val="0F98263C"/>
    <w:rsid w:val="101860EC"/>
    <w:rsid w:val="101F47CC"/>
    <w:rsid w:val="10C055FF"/>
    <w:rsid w:val="11694EBD"/>
    <w:rsid w:val="11772AA4"/>
    <w:rsid w:val="118107EC"/>
    <w:rsid w:val="12E24EE2"/>
    <w:rsid w:val="13D50BC4"/>
    <w:rsid w:val="14B17F78"/>
    <w:rsid w:val="155D4BB4"/>
    <w:rsid w:val="165E0673"/>
    <w:rsid w:val="16B831D5"/>
    <w:rsid w:val="16BB723D"/>
    <w:rsid w:val="17E50567"/>
    <w:rsid w:val="17E67CCD"/>
    <w:rsid w:val="186504BB"/>
    <w:rsid w:val="19A445FC"/>
    <w:rsid w:val="1B91016A"/>
    <w:rsid w:val="1BAD4F97"/>
    <w:rsid w:val="1BE8440E"/>
    <w:rsid w:val="1CC6347C"/>
    <w:rsid w:val="1D155CEE"/>
    <w:rsid w:val="1D1638FE"/>
    <w:rsid w:val="1E312DEB"/>
    <w:rsid w:val="1E740ACF"/>
    <w:rsid w:val="1FAC60C3"/>
    <w:rsid w:val="1FF35744"/>
    <w:rsid w:val="1FF6BC77"/>
    <w:rsid w:val="20C46322"/>
    <w:rsid w:val="20CB0DF6"/>
    <w:rsid w:val="2186353C"/>
    <w:rsid w:val="22B22234"/>
    <w:rsid w:val="23860B96"/>
    <w:rsid w:val="240371BF"/>
    <w:rsid w:val="244F3473"/>
    <w:rsid w:val="24C97D99"/>
    <w:rsid w:val="24D20313"/>
    <w:rsid w:val="25A718F0"/>
    <w:rsid w:val="25BB59F6"/>
    <w:rsid w:val="260F557C"/>
    <w:rsid w:val="26970054"/>
    <w:rsid w:val="281408E2"/>
    <w:rsid w:val="297E4C80"/>
    <w:rsid w:val="29FD04D3"/>
    <w:rsid w:val="2BFF7BC6"/>
    <w:rsid w:val="2C8A61B5"/>
    <w:rsid w:val="2CCA34DF"/>
    <w:rsid w:val="2DF04E50"/>
    <w:rsid w:val="2E586DFA"/>
    <w:rsid w:val="2E940C87"/>
    <w:rsid w:val="2F040D46"/>
    <w:rsid w:val="2F6B035B"/>
    <w:rsid w:val="2FAE5751"/>
    <w:rsid w:val="2FB1A395"/>
    <w:rsid w:val="2FD9A7D8"/>
    <w:rsid w:val="2FDBF714"/>
    <w:rsid w:val="30AB6865"/>
    <w:rsid w:val="319F7F4E"/>
    <w:rsid w:val="32584DE8"/>
    <w:rsid w:val="32BD1EF1"/>
    <w:rsid w:val="3304709D"/>
    <w:rsid w:val="336E61C7"/>
    <w:rsid w:val="33A773CB"/>
    <w:rsid w:val="349D6851"/>
    <w:rsid w:val="353C6D47"/>
    <w:rsid w:val="3543266F"/>
    <w:rsid w:val="3548378A"/>
    <w:rsid w:val="35FC337E"/>
    <w:rsid w:val="36AA5135"/>
    <w:rsid w:val="36BE0DA7"/>
    <w:rsid w:val="376B6AA6"/>
    <w:rsid w:val="376D39B2"/>
    <w:rsid w:val="379F78DD"/>
    <w:rsid w:val="37A54799"/>
    <w:rsid w:val="37E16F03"/>
    <w:rsid w:val="37F53A3B"/>
    <w:rsid w:val="382D2380"/>
    <w:rsid w:val="389B6C89"/>
    <w:rsid w:val="38B6748C"/>
    <w:rsid w:val="38D469F0"/>
    <w:rsid w:val="39627CCD"/>
    <w:rsid w:val="397BAF1F"/>
    <w:rsid w:val="39972259"/>
    <w:rsid w:val="3AB79AF3"/>
    <w:rsid w:val="3AE834C0"/>
    <w:rsid w:val="3B7EF35A"/>
    <w:rsid w:val="3B9FDB6C"/>
    <w:rsid w:val="3BF5BC2F"/>
    <w:rsid w:val="3CEBA265"/>
    <w:rsid w:val="3D98207C"/>
    <w:rsid w:val="3DEE7CF3"/>
    <w:rsid w:val="3E740A63"/>
    <w:rsid w:val="3E78745D"/>
    <w:rsid w:val="3EE17838"/>
    <w:rsid w:val="3F55381A"/>
    <w:rsid w:val="3F7F7599"/>
    <w:rsid w:val="3FF4CAE0"/>
    <w:rsid w:val="3FF7B227"/>
    <w:rsid w:val="43CC351F"/>
    <w:rsid w:val="442D7AEA"/>
    <w:rsid w:val="44E268DA"/>
    <w:rsid w:val="450D13D7"/>
    <w:rsid w:val="45506656"/>
    <w:rsid w:val="464922B7"/>
    <w:rsid w:val="486A6C7A"/>
    <w:rsid w:val="4A627F82"/>
    <w:rsid w:val="4AFE571A"/>
    <w:rsid w:val="4B0E749A"/>
    <w:rsid w:val="4B2477C4"/>
    <w:rsid w:val="4B4F25DA"/>
    <w:rsid w:val="4B851076"/>
    <w:rsid w:val="4BE068DB"/>
    <w:rsid w:val="4CE019AB"/>
    <w:rsid w:val="4D577224"/>
    <w:rsid w:val="4DBF1CEB"/>
    <w:rsid w:val="4DF0007C"/>
    <w:rsid w:val="4EAB630A"/>
    <w:rsid w:val="4EAE0DF9"/>
    <w:rsid w:val="4ECE2238"/>
    <w:rsid w:val="4F833267"/>
    <w:rsid w:val="4FCE2A71"/>
    <w:rsid w:val="4FE7187C"/>
    <w:rsid w:val="4FE9BD67"/>
    <w:rsid w:val="4FFB052F"/>
    <w:rsid w:val="507B2B3F"/>
    <w:rsid w:val="51AE5133"/>
    <w:rsid w:val="537E6D0A"/>
    <w:rsid w:val="53F74C96"/>
    <w:rsid w:val="542D289A"/>
    <w:rsid w:val="55170BA8"/>
    <w:rsid w:val="553218C9"/>
    <w:rsid w:val="55430FDA"/>
    <w:rsid w:val="561706D4"/>
    <w:rsid w:val="567E1AA5"/>
    <w:rsid w:val="56E47B74"/>
    <w:rsid w:val="57175D52"/>
    <w:rsid w:val="57BD3DD4"/>
    <w:rsid w:val="5AF92295"/>
    <w:rsid w:val="5B250254"/>
    <w:rsid w:val="5BDD79E6"/>
    <w:rsid w:val="5BF561CA"/>
    <w:rsid w:val="5BFF5DFC"/>
    <w:rsid w:val="5CD71FC4"/>
    <w:rsid w:val="5D1F11B5"/>
    <w:rsid w:val="5D695134"/>
    <w:rsid w:val="5DAE1B18"/>
    <w:rsid w:val="5DE7D9E5"/>
    <w:rsid w:val="5EC94A97"/>
    <w:rsid w:val="5ECEC941"/>
    <w:rsid w:val="5FBF9FF3"/>
    <w:rsid w:val="5FCD4E2C"/>
    <w:rsid w:val="5FED17FB"/>
    <w:rsid w:val="5FEF394A"/>
    <w:rsid w:val="5FF67715"/>
    <w:rsid w:val="62BF3928"/>
    <w:rsid w:val="63027D6E"/>
    <w:rsid w:val="63A469BF"/>
    <w:rsid w:val="63B3701E"/>
    <w:rsid w:val="646B5292"/>
    <w:rsid w:val="647F5392"/>
    <w:rsid w:val="65001CD7"/>
    <w:rsid w:val="65E66580"/>
    <w:rsid w:val="664B1D71"/>
    <w:rsid w:val="664B4E8E"/>
    <w:rsid w:val="67277B67"/>
    <w:rsid w:val="67AA3209"/>
    <w:rsid w:val="698D0931"/>
    <w:rsid w:val="6A7FE5F3"/>
    <w:rsid w:val="6A9753D3"/>
    <w:rsid w:val="6B053271"/>
    <w:rsid w:val="6BA0551C"/>
    <w:rsid w:val="6BDD78B3"/>
    <w:rsid w:val="6C4A05C8"/>
    <w:rsid w:val="6C8742B8"/>
    <w:rsid w:val="6DBF5E93"/>
    <w:rsid w:val="6DFF077E"/>
    <w:rsid w:val="6E714EF0"/>
    <w:rsid w:val="6E7831F6"/>
    <w:rsid w:val="6E7E3605"/>
    <w:rsid w:val="6E7FDCC7"/>
    <w:rsid w:val="6ED6A62E"/>
    <w:rsid w:val="6EE00B15"/>
    <w:rsid w:val="6EF6013B"/>
    <w:rsid w:val="6F6FB3EB"/>
    <w:rsid w:val="6F8731EA"/>
    <w:rsid w:val="6FCE6052"/>
    <w:rsid w:val="6FD57C00"/>
    <w:rsid w:val="6FEFFFD8"/>
    <w:rsid w:val="6FF5CC65"/>
    <w:rsid w:val="6FF63E27"/>
    <w:rsid w:val="6FFB47EC"/>
    <w:rsid w:val="6FFF034A"/>
    <w:rsid w:val="70484440"/>
    <w:rsid w:val="704F770E"/>
    <w:rsid w:val="70F4678F"/>
    <w:rsid w:val="712A28F1"/>
    <w:rsid w:val="715C0E4B"/>
    <w:rsid w:val="71992E7C"/>
    <w:rsid w:val="72233669"/>
    <w:rsid w:val="72734D90"/>
    <w:rsid w:val="73160E6D"/>
    <w:rsid w:val="7332FE48"/>
    <w:rsid w:val="73365044"/>
    <w:rsid w:val="73672D16"/>
    <w:rsid w:val="73AB61DA"/>
    <w:rsid w:val="73AD73D5"/>
    <w:rsid w:val="73B6EB34"/>
    <w:rsid w:val="73FA497D"/>
    <w:rsid w:val="744731E5"/>
    <w:rsid w:val="74BBD01D"/>
    <w:rsid w:val="74ED5379"/>
    <w:rsid w:val="75DEEEC2"/>
    <w:rsid w:val="75E32345"/>
    <w:rsid w:val="76E3355F"/>
    <w:rsid w:val="76FF5125"/>
    <w:rsid w:val="776F6FFA"/>
    <w:rsid w:val="778769C8"/>
    <w:rsid w:val="77A75DCA"/>
    <w:rsid w:val="77DC22F5"/>
    <w:rsid w:val="77E26890"/>
    <w:rsid w:val="78282981"/>
    <w:rsid w:val="783E271A"/>
    <w:rsid w:val="78616DE9"/>
    <w:rsid w:val="78E875D7"/>
    <w:rsid w:val="79086DAD"/>
    <w:rsid w:val="79D7FD79"/>
    <w:rsid w:val="79EE5BA4"/>
    <w:rsid w:val="7A894339"/>
    <w:rsid w:val="7AD284E8"/>
    <w:rsid w:val="7AFF7572"/>
    <w:rsid w:val="7B6C7DFB"/>
    <w:rsid w:val="7BBFBED0"/>
    <w:rsid w:val="7BC3E394"/>
    <w:rsid w:val="7C1F3737"/>
    <w:rsid w:val="7CBFC87B"/>
    <w:rsid w:val="7CFE0F48"/>
    <w:rsid w:val="7D272ABC"/>
    <w:rsid w:val="7D7EC23E"/>
    <w:rsid w:val="7E0C37E6"/>
    <w:rsid w:val="7E1110EB"/>
    <w:rsid w:val="7E8ADEBF"/>
    <w:rsid w:val="7EEF11D3"/>
    <w:rsid w:val="7EFE4840"/>
    <w:rsid w:val="7F0971A6"/>
    <w:rsid w:val="7F1D62E7"/>
    <w:rsid w:val="7F3F679B"/>
    <w:rsid w:val="7F4FC4EF"/>
    <w:rsid w:val="7F5E4D54"/>
    <w:rsid w:val="7F6E0135"/>
    <w:rsid w:val="7F79F205"/>
    <w:rsid w:val="7FA30C79"/>
    <w:rsid w:val="7FA79C44"/>
    <w:rsid w:val="7FAF8ABF"/>
    <w:rsid w:val="7FB7269E"/>
    <w:rsid w:val="7FC96657"/>
    <w:rsid w:val="7FD77468"/>
    <w:rsid w:val="7FDA9588"/>
    <w:rsid w:val="7FDF220F"/>
    <w:rsid w:val="7FEDC5F7"/>
    <w:rsid w:val="7FEDD9DE"/>
    <w:rsid w:val="7FF5890D"/>
    <w:rsid w:val="7FF93490"/>
    <w:rsid w:val="99FF2014"/>
    <w:rsid w:val="A6DD0D7F"/>
    <w:rsid w:val="ACFF4FBB"/>
    <w:rsid w:val="ADC6F725"/>
    <w:rsid w:val="B7CF06AB"/>
    <w:rsid w:val="B7CFA926"/>
    <w:rsid w:val="B7F8786B"/>
    <w:rsid w:val="BABB6AA1"/>
    <w:rsid w:val="BB2F4199"/>
    <w:rsid w:val="BCFFB442"/>
    <w:rsid w:val="BD079C78"/>
    <w:rsid w:val="BD733540"/>
    <w:rsid w:val="BF3735D5"/>
    <w:rsid w:val="BF7F09AC"/>
    <w:rsid w:val="BFD475C3"/>
    <w:rsid w:val="BFDE5EA6"/>
    <w:rsid w:val="CF6FC6F3"/>
    <w:rsid w:val="CFD3D3D7"/>
    <w:rsid w:val="CFDF1009"/>
    <w:rsid w:val="D7D7B16A"/>
    <w:rsid w:val="D8D6DB89"/>
    <w:rsid w:val="DB6F4CAB"/>
    <w:rsid w:val="DB777682"/>
    <w:rsid w:val="DD1FB521"/>
    <w:rsid w:val="DEFBFEAE"/>
    <w:rsid w:val="DF1F3B80"/>
    <w:rsid w:val="DF6F9789"/>
    <w:rsid w:val="DFE9BE81"/>
    <w:rsid w:val="DFFFA9E8"/>
    <w:rsid w:val="E5F4E9DC"/>
    <w:rsid w:val="E70FE695"/>
    <w:rsid w:val="EB2E368B"/>
    <w:rsid w:val="ECFED1BC"/>
    <w:rsid w:val="ED1D69BB"/>
    <w:rsid w:val="ED7FD312"/>
    <w:rsid w:val="EF2E1AC6"/>
    <w:rsid w:val="EF53993F"/>
    <w:rsid w:val="EF6FD633"/>
    <w:rsid w:val="EFBFB2F4"/>
    <w:rsid w:val="EFBFFA21"/>
    <w:rsid w:val="F2BEBCB8"/>
    <w:rsid w:val="F36FB518"/>
    <w:rsid w:val="F3DE1A04"/>
    <w:rsid w:val="F3F722E5"/>
    <w:rsid w:val="F4FBCD07"/>
    <w:rsid w:val="FA5F1E70"/>
    <w:rsid w:val="FA5FDB97"/>
    <w:rsid w:val="FB7F486A"/>
    <w:rsid w:val="FBFF5B2E"/>
    <w:rsid w:val="FD7FFE2B"/>
    <w:rsid w:val="FDEE196B"/>
    <w:rsid w:val="FDFE6575"/>
    <w:rsid w:val="FEDFDDC2"/>
    <w:rsid w:val="FEED32F6"/>
    <w:rsid w:val="FEF781DD"/>
    <w:rsid w:val="FF3F7E3F"/>
    <w:rsid w:val="FFBA12D7"/>
    <w:rsid w:val="FFCBD314"/>
    <w:rsid w:val="FFDFF91C"/>
    <w:rsid w:val="FFDFFAEE"/>
    <w:rsid w:val="FFEF6777"/>
    <w:rsid w:val="FFF9B57B"/>
    <w:rsid w:val="FFFD61D9"/>
    <w:rsid w:val="FFFD8F59"/>
    <w:rsid w:val="FFFF2BB1"/>
    <w:rsid w:val="FFFFB04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nhideWhenUsed="0" w:uiPriority="0"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30"/>
    <w:qFormat/>
    <w:uiPriority w:val="9"/>
    <w:pPr>
      <w:keepNext/>
      <w:keepLines/>
      <w:spacing w:before="340" w:after="330" w:line="579" w:lineRule="auto"/>
      <w:jc w:val="center"/>
      <w:outlineLvl w:val="0"/>
    </w:pPr>
    <w:rPr>
      <w:rFonts w:ascii="Times New Roman" w:hAnsi="Times New Roman" w:eastAsia="方正小标宋简体"/>
      <w:bCs/>
      <w:kern w:val="44"/>
      <w:sz w:val="44"/>
      <w:szCs w:val="44"/>
    </w:rPr>
  </w:style>
  <w:style w:type="paragraph" w:styleId="4">
    <w:name w:val="heading 2"/>
    <w:basedOn w:val="1"/>
    <w:next w:val="1"/>
    <w:link w:val="31"/>
    <w:unhideWhenUsed/>
    <w:qFormat/>
    <w:uiPriority w:val="9"/>
    <w:pPr>
      <w:keepNext/>
      <w:keepLines/>
      <w:spacing w:before="260" w:after="260" w:line="416" w:lineRule="auto"/>
      <w:outlineLvl w:val="1"/>
    </w:pPr>
    <w:rPr>
      <w:rFonts w:eastAsia="黑体" w:asciiTheme="majorAscii" w:hAnsiTheme="majorAscii" w:cstheme="majorBidi"/>
      <w:bCs/>
      <w:sz w:val="32"/>
      <w:szCs w:val="32"/>
    </w:rPr>
  </w:style>
  <w:style w:type="paragraph" w:styleId="5">
    <w:name w:val="heading 3"/>
    <w:basedOn w:val="1"/>
    <w:next w:val="1"/>
    <w:link w:val="34"/>
    <w:unhideWhenUsed/>
    <w:qFormat/>
    <w:uiPriority w:val="9"/>
    <w:pPr>
      <w:keepNext/>
      <w:keepLines/>
      <w:spacing w:before="260" w:after="260" w:line="416" w:lineRule="auto"/>
      <w:outlineLvl w:val="2"/>
    </w:pPr>
    <w:rPr>
      <w:b/>
      <w:bCs/>
      <w:sz w:val="32"/>
      <w:szCs w:val="32"/>
    </w:rPr>
  </w:style>
  <w:style w:type="character" w:default="1" w:styleId="18">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27"/>
    <w:qFormat/>
    <w:uiPriority w:val="99"/>
    <w:rPr>
      <w:rFonts w:ascii="仿宋_GB2312" w:hAnsi="仿宋_GB2312" w:eastAsia="仿宋_GB2312"/>
      <w:kern w:val="0"/>
      <w:sz w:val="30"/>
    </w:rPr>
  </w:style>
  <w:style w:type="paragraph" w:styleId="6">
    <w:name w:val="Normal Indent"/>
    <w:basedOn w:val="1"/>
    <w:qFormat/>
    <w:uiPriority w:val="0"/>
    <w:pPr>
      <w:ind w:firstLine="420" w:firstLineChars="200"/>
    </w:pPr>
    <w:rPr>
      <w:rFonts w:hint="default" w:ascii="Times New Roman" w:hAnsi="Times New Roman" w:eastAsia="宋体" w:cs="Times New Roman"/>
    </w:rPr>
  </w:style>
  <w:style w:type="paragraph" w:styleId="7">
    <w:name w:val="Body Text Indent"/>
    <w:basedOn w:val="1"/>
    <w:next w:val="8"/>
    <w:qFormat/>
    <w:uiPriority w:val="0"/>
    <w:pPr>
      <w:spacing w:after="120"/>
      <w:ind w:left="200" w:leftChars="200"/>
    </w:pPr>
    <w:rPr>
      <w:rFonts w:ascii="仿宋_GB2312"/>
      <w:szCs w:val="32"/>
    </w:rPr>
  </w:style>
  <w:style w:type="paragraph" w:styleId="8">
    <w:name w:val="Body Text First Indent 2"/>
    <w:basedOn w:val="7"/>
    <w:next w:val="1"/>
    <w:unhideWhenUsed/>
    <w:qFormat/>
    <w:uiPriority w:val="99"/>
    <w:pPr>
      <w:ind w:firstLine="420" w:firstLineChars="200"/>
    </w:pPr>
  </w:style>
  <w:style w:type="paragraph" w:styleId="9">
    <w:name w:val="toc 3"/>
    <w:basedOn w:val="1"/>
    <w:next w:val="1"/>
    <w:unhideWhenUsed/>
    <w:qFormat/>
    <w:uiPriority w:val="39"/>
    <w:pPr>
      <w:tabs>
        <w:tab w:val="right" w:leader="dot" w:pos="8296"/>
      </w:tabs>
      <w:ind w:left="840" w:leftChars="400"/>
    </w:pPr>
  </w:style>
  <w:style w:type="paragraph" w:styleId="10">
    <w:name w:val="Plain Text"/>
    <w:basedOn w:val="1"/>
    <w:qFormat/>
    <w:uiPriority w:val="0"/>
    <w:rPr>
      <w:rFonts w:ascii="宋体" w:hAnsi="Courier New"/>
      <w:szCs w:val="22"/>
    </w:rPr>
  </w:style>
  <w:style w:type="paragraph" w:styleId="11">
    <w:name w:val="Balloon Text"/>
    <w:basedOn w:val="1"/>
    <w:link w:val="33"/>
    <w:semiHidden/>
    <w:unhideWhenUsed/>
    <w:qFormat/>
    <w:uiPriority w:val="99"/>
    <w:rPr>
      <w:sz w:val="18"/>
      <w:szCs w:val="18"/>
    </w:rPr>
  </w:style>
  <w:style w:type="paragraph" w:styleId="12">
    <w:name w:val="footer"/>
    <w:basedOn w:val="1"/>
    <w:link w:val="25"/>
    <w:qFormat/>
    <w:uiPriority w:val="99"/>
    <w:pPr>
      <w:tabs>
        <w:tab w:val="center" w:pos="4153"/>
        <w:tab w:val="right" w:pos="8306"/>
      </w:tabs>
      <w:snapToGrid w:val="0"/>
      <w:jc w:val="left"/>
    </w:pPr>
    <w:rPr>
      <w:rFonts w:ascii="Calibri" w:hAnsi="Calibri"/>
      <w:kern w:val="0"/>
      <w:sz w:val="18"/>
      <w:szCs w:val="18"/>
    </w:rPr>
  </w:style>
  <w:style w:type="paragraph" w:styleId="13">
    <w:name w:val="header"/>
    <w:basedOn w:val="1"/>
    <w:link w:val="23"/>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4">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5">
    <w:name w:val="footnote text"/>
    <w:basedOn w:val="1"/>
    <w:next w:val="8"/>
    <w:semiHidden/>
    <w:qFormat/>
    <w:uiPriority w:val="0"/>
    <w:pPr>
      <w:snapToGrid w:val="0"/>
      <w:jc w:val="left"/>
    </w:pPr>
    <w:rPr>
      <w:sz w:val="18"/>
      <w:szCs w:val="18"/>
    </w:rPr>
  </w:style>
  <w:style w:type="paragraph" w:styleId="16">
    <w:name w:val="toc 2"/>
    <w:basedOn w:val="1"/>
    <w:next w:val="1"/>
    <w:unhideWhenUsed/>
    <w:qFormat/>
    <w:uiPriority w:val="39"/>
    <w:pPr>
      <w:tabs>
        <w:tab w:val="right" w:leader="dot" w:pos="8296"/>
      </w:tabs>
      <w:ind w:left="420" w:leftChars="200"/>
    </w:pPr>
  </w:style>
  <w:style w:type="character" w:styleId="19">
    <w:name w:val="Strong"/>
    <w:basedOn w:val="18"/>
    <w:qFormat/>
    <w:uiPriority w:val="99"/>
    <w:rPr>
      <w:b/>
    </w:rPr>
  </w:style>
  <w:style w:type="character" w:styleId="20">
    <w:name w:val="Hyperlink"/>
    <w:basedOn w:val="18"/>
    <w:unhideWhenUsed/>
    <w:qFormat/>
    <w:uiPriority w:val="99"/>
    <w:rPr>
      <w:color w:val="0000FF" w:themeColor="hyperlink"/>
      <w:u w:val="single"/>
      <w14:textFill>
        <w14:solidFill>
          <w14:schemeClr w14:val="hlink"/>
        </w14:solidFill>
      </w14:textFill>
    </w:rPr>
  </w:style>
  <w:style w:type="paragraph" w:customStyle="1" w:styleId="21">
    <w:name w:val="标题 5（有编号）（绿盟科技）"/>
    <w:next w:val="1"/>
    <w:qFormat/>
    <w:uiPriority w:val="99"/>
    <w:pPr>
      <w:keepNext/>
      <w:keepLines/>
      <w:widowControl w:val="0"/>
      <w:spacing w:before="280" w:after="156" w:line="377" w:lineRule="auto"/>
      <w:outlineLvl w:val="4"/>
    </w:pPr>
    <w:rPr>
      <w:rFonts w:ascii="Arial" w:hAnsi="Arial" w:eastAsia="黑体" w:cs="Times New Roman"/>
      <w:b/>
      <w:kern w:val="2"/>
      <w:sz w:val="24"/>
      <w:szCs w:val="28"/>
      <w:lang w:val="en-US" w:eastAsia="zh-CN" w:bidi="ar-SA"/>
    </w:rPr>
  </w:style>
  <w:style w:type="character" w:customStyle="1" w:styleId="22">
    <w:name w:val="Header Char"/>
    <w:basedOn w:val="18"/>
    <w:semiHidden/>
    <w:qFormat/>
    <w:uiPriority w:val="99"/>
    <w:rPr>
      <w:rFonts w:ascii="Times New Roman" w:hAnsi="Times New Roman"/>
      <w:sz w:val="18"/>
      <w:szCs w:val="18"/>
    </w:rPr>
  </w:style>
  <w:style w:type="character" w:customStyle="1" w:styleId="23">
    <w:name w:val="页眉 Char"/>
    <w:link w:val="13"/>
    <w:semiHidden/>
    <w:qFormat/>
    <w:locked/>
    <w:uiPriority w:val="99"/>
    <w:rPr>
      <w:sz w:val="18"/>
    </w:rPr>
  </w:style>
  <w:style w:type="character" w:customStyle="1" w:styleId="24">
    <w:name w:val="Footer Char"/>
    <w:basedOn w:val="18"/>
    <w:semiHidden/>
    <w:qFormat/>
    <w:uiPriority w:val="99"/>
    <w:rPr>
      <w:rFonts w:ascii="Times New Roman" w:hAnsi="Times New Roman"/>
      <w:sz w:val="18"/>
      <w:szCs w:val="18"/>
    </w:rPr>
  </w:style>
  <w:style w:type="character" w:customStyle="1" w:styleId="25">
    <w:name w:val="页脚 Char"/>
    <w:link w:val="12"/>
    <w:qFormat/>
    <w:locked/>
    <w:uiPriority w:val="99"/>
    <w:rPr>
      <w:sz w:val="18"/>
    </w:rPr>
  </w:style>
  <w:style w:type="character" w:customStyle="1" w:styleId="26">
    <w:name w:val="Body Text Char"/>
    <w:basedOn w:val="18"/>
    <w:semiHidden/>
    <w:qFormat/>
    <w:uiPriority w:val="99"/>
    <w:rPr>
      <w:rFonts w:ascii="Times New Roman" w:hAnsi="Times New Roman"/>
      <w:szCs w:val="24"/>
    </w:rPr>
  </w:style>
  <w:style w:type="character" w:customStyle="1" w:styleId="27">
    <w:name w:val="正文文本 Char"/>
    <w:link w:val="2"/>
    <w:qFormat/>
    <w:locked/>
    <w:uiPriority w:val="99"/>
    <w:rPr>
      <w:rFonts w:ascii="仿宋_GB2312" w:hAnsi="仿宋_GB2312" w:eastAsia="仿宋_GB2312"/>
      <w:sz w:val="24"/>
    </w:rPr>
  </w:style>
  <w:style w:type="paragraph" w:customStyle="1" w:styleId="28">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9">
    <w:name w:val="List Paragraph"/>
    <w:basedOn w:val="1"/>
    <w:qFormat/>
    <w:uiPriority w:val="34"/>
    <w:pPr>
      <w:ind w:firstLine="420" w:firstLineChars="200"/>
    </w:pPr>
  </w:style>
  <w:style w:type="character" w:customStyle="1" w:styleId="30">
    <w:name w:val="标题 1 Char"/>
    <w:basedOn w:val="18"/>
    <w:link w:val="3"/>
    <w:qFormat/>
    <w:uiPriority w:val="9"/>
    <w:rPr>
      <w:rFonts w:ascii="Times New Roman" w:hAnsi="Times New Roman" w:eastAsia="方正小标宋简体"/>
      <w:bCs/>
      <w:kern w:val="44"/>
      <w:sz w:val="44"/>
      <w:szCs w:val="44"/>
    </w:rPr>
  </w:style>
  <w:style w:type="character" w:customStyle="1" w:styleId="31">
    <w:name w:val="标题 2 Char"/>
    <w:basedOn w:val="18"/>
    <w:link w:val="4"/>
    <w:qFormat/>
    <w:uiPriority w:val="9"/>
    <w:rPr>
      <w:rFonts w:eastAsia="黑体" w:asciiTheme="majorAscii" w:hAnsiTheme="majorAscii" w:cstheme="majorBidi"/>
      <w:bCs/>
      <w:kern w:val="2"/>
      <w:sz w:val="32"/>
      <w:szCs w:val="32"/>
    </w:rPr>
  </w:style>
  <w:style w:type="paragraph" w:customStyle="1" w:styleId="32">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3">
    <w:name w:val="批注框文本 Char"/>
    <w:basedOn w:val="18"/>
    <w:link w:val="11"/>
    <w:semiHidden/>
    <w:qFormat/>
    <w:uiPriority w:val="99"/>
    <w:rPr>
      <w:rFonts w:ascii="Times New Roman" w:hAnsi="Times New Roman"/>
      <w:kern w:val="2"/>
      <w:sz w:val="18"/>
      <w:szCs w:val="18"/>
    </w:rPr>
  </w:style>
  <w:style w:type="character" w:customStyle="1" w:styleId="34">
    <w:name w:val="标题 3 Char"/>
    <w:basedOn w:val="18"/>
    <w:link w:val="5"/>
    <w:qFormat/>
    <w:uiPriority w:val="9"/>
    <w:rPr>
      <w:rFonts w:ascii="Times New Roman" w:hAnsi="Times New Roman"/>
      <w:b/>
      <w:bCs/>
      <w:kern w:val="2"/>
      <w:sz w:val="32"/>
      <w:szCs w:val="32"/>
    </w:rPr>
  </w:style>
  <w:style w:type="paragraph" w:customStyle="1" w:styleId="35">
    <w:name w:val="TOC 标题2"/>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6">
    <w:name w:val="四号正文"/>
    <w:basedOn w:val="1"/>
    <w:qFormat/>
    <w:uiPriority w:val="0"/>
    <w:pPr>
      <w:spacing w:line="360" w:lineRule="auto"/>
    </w:pPr>
    <w:rPr>
      <w:rFonts w:ascii="??" w:hAnsi="??"/>
      <w:color w:val="000000"/>
      <w:kern w:val="0"/>
      <w:sz w:val="28"/>
      <w:szCs w:val="21"/>
      <w:lang w:val="zh-CN"/>
    </w:rPr>
  </w:style>
  <w:style w:type="paragraph" w:customStyle="1" w:styleId="37">
    <w:name w:val="WPSOffice手动目录 1"/>
    <w:qFormat/>
    <w:uiPriority w:val="0"/>
    <w:pPr>
      <w:ind w:leftChars="0"/>
    </w:pPr>
    <w:rPr>
      <w:rFonts w:ascii="Times New Roman" w:hAnsi="Times New Roman" w:eastAsia="宋体" w:cs="Times New Roman"/>
      <w:sz w:val="20"/>
      <w:szCs w:val="20"/>
    </w:rPr>
  </w:style>
  <w:style w:type="paragraph" w:customStyle="1" w:styleId="38">
    <w:name w:val="WPSOffice手动目录 2"/>
    <w:qFormat/>
    <w:uiPriority w:val="0"/>
    <w:pPr>
      <w:ind w:leftChars="200"/>
    </w:pPr>
    <w:rPr>
      <w:rFonts w:ascii="Times New Roman" w:hAnsi="Times New Roman" w:eastAsia="宋体" w:cs="Times New Roman"/>
      <w:sz w:val="20"/>
      <w:szCs w:val="20"/>
    </w:rPr>
  </w:style>
  <w:style w:type="paragraph" w:customStyle="1" w:styleId="39">
    <w:name w:val="WPSOffice手动目录 3"/>
    <w:qFormat/>
    <w:uiPriority w:val="0"/>
    <w:pPr>
      <w:ind w:leftChars="4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glossaryDocument" Target="glossary/document.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7.png"/><Relationship Id="rId14" Type="http://schemas.openxmlformats.org/officeDocument/2006/relationships/image" Target="media/image6.png"/><Relationship Id="rId13" Type="http://schemas.openxmlformats.org/officeDocument/2006/relationships/image" Target="media/image5.png"/><Relationship Id="rId12" Type="http://schemas.openxmlformats.org/officeDocument/2006/relationships/image" Target="media/image4.png"/><Relationship Id="rId11" Type="http://schemas.openxmlformats.org/officeDocument/2006/relationships/image" Target="media/image3.png"/><Relationship Id="rId10" Type="http://schemas.openxmlformats.org/officeDocument/2006/relationships/image" Target="media/image2.png"/><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70ef65b1-90b1-4840-b90b-3d2a1dd029db}"/>
        <w:style w:val=""/>
        <w:category>
          <w:name w:val="常规"/>
          <w:gallery w:val="placeholder"/>
        </w:category>
        <w:types>
          <w:type w:val="bbPlcHdr"/>
        </w:types>
        <w:behaviors>
          <w:behavior w:val="content"/>
        </w:behaviors>
        <w:description w:val=""/>
        <w:guid w:val="{70ef65b1-90b1-4840-b90b-3d2a1dd029db}"/>
      </w:docPartPr>
      <w:docPartBody>
        <w:p>
          <w:r>
            <w:rPr>
              <w:color w:val="808080"/>
            </w:rPr>
            <w:t>单击此处输入文字。</w:t>
          </w:r>
        </w:p>
      </w:docPartBody>
    </w:docPart>
    <w:docPart>
      <w:docPartPr>
        <w:name w:val="{5f639bb1-02eb-47bb-93de-6cbac8a0ecec}"/>
        <w:style w:val=""/>
        <w:category>
          <w:name w:val="常规"/>
          <w:gallery w:val="placeholder"/>
        </w:category>
        <w:types>
          <w:type w:val="bbPlcHdr"/>
        </w:types>
        <w:behaviors>
          <w:behavior w:val="content"/>
        </w:behaviors>
        <w:description w:val=""/>
        <w:guid w:val="{5f639bb1-02eb-47bb-93de-6cbac8a0ecec}"/>
      </w:docPartPr>
      <w:docPartBody>
        <w:p>
          <w:r>
            <w:rPr>
              <w:color w:val="808080"/>
            </w:rPr>
            <w:t>单击此处输入文字。</w:t>
          </w:r>
        </w:p>
      </w:docPartBody>
    </w:docPart>
    <w:docPart>
      <w:docPartPr>
        <w:name w:val="{2871d88a-e227-40c1-b0ed-d869dee1ddc4}"/>
        <w:style w:val=""/>
        <w:category>
          <w:name w:val="常规"/>
          <w:gallery w:val="placeholder"/>
        </w:category>
        <w:types>
          <w:type w:val="bbPlcHdr"/>
        </w:types>
        <w:behaviors>
          <w:behavior w:val="content"/>
        </w:behaviors>
        <w:description w:val=""/>
        <w:guid w:val="{2871d88a-e227-40c1-b0ed-d869dee1ddc4}"/>
      </w:docPartPr>
      <w:docPartBody>
        <w:p>
          <w:r>
            <w:rPr>
              <w:color w:val="808080"/>
            </w:rPr>
            <w:t>单击此处输入文字。</w:t>
          </w:r>
        </w:p>
      </w:docPartBody>
    </w:docPart>
    <w:docPart>
      <w:docPartPr>
        <w:name w:val="{9359373c-8353-4646-a120-388132dfe0ad}"/>
        <w:style w:val=""/>
        <w:category>
          <w:name w:val="常规"/>
          <w:gallery w:val="placeholder"/>
        </w:category>
        <w:types>
          <w:type w:val="bbPlcHdr"/>
        </w:types>
        <w:behaviors>
          <w:behavior w:val="content"/>
        </w:behaviors>
        <w:description w:val=""/>
        <w:guid w:val="{9359373c-8353-4646-a120-388132dfe0ad}"/>
      </w:docPartPr>
      <w:docPartBody>
        <w:p>
          <w:r>
            <w:rPr>
              <w:color w:val="808080"/>
            </w:rPr>
            <w:t>单击此处输入文字。</w:t>
          </w:r>
        </w:p>
      </w:docPartBody>
    </w:docPart>
    <w:docPart>
      <w:docPartPr>
        <w:name w:val="{9f1ab447-040d-4eb8-9a46-47157c4b61fe}"/>
        <w:style w:val=""/>
        <w:category>
          <w:name w:val="常规"/>
          <w:gallery w:val="placeholder"/>
        </w:category>
        <w:types>
          <w:type w:val="bbPlcHdr"/>
        </w:types>
        <w:behaviors>
          <w:behavior w:val="content"/>
        </w:behaviors>
        <w:description w:val=""/>
        <w:guid w:val="{9f1ab447-040d-4eb8-9a46-47157c4b61fe}"/>
      </w:docPartPr>
      <w:docPartBody>
        <w:p>
          <w:r>
            <w:rPr>
              <w:color w:val="808080"/>
            </w:rPr>
            <w:t>单击此处输入文字。</w:t>
          </w:r>
        </w:p>
      </w:docPartBody>
    </w:docPart>
    <w:docPart>
      <w:docPartPr>
        <w:name w:val="{d498b8b2-48bc-49f4-8a15-2649b66271a4}"/>
        <w:style w:val=""/>
        <w:category>
          <w:name w:val="常规"/>
          <w:gallery w:val="placeholder"/>
        </w:category>
        <w:types>
          <w:type w:val="bbPlcHdr"/>
        </w:types>
        <w:behaviors>
          <w:behavior w:val="content"/>
        </w:behaviors>
        <w:description w:val=""/>
        <w:guid w:val="{d498b8b2-48bc-49f4-8a15-2649b66271a4}"/>
      </w:docPartPr>
      <w:docPartBody>
        <w:p>
          <w:r>
            <w:rPr>
              <w:color w:val="808080"/>
            </w:rPr>
            <w:t>单击此处输入文字。</w:t>
          </w:r>
        </w:p>
      </w:docPartBody>
    </w:docPart>
    <w:docPart>
      <w:docPartPr>
        <w:name w:val="{3e8e6d1d-810c-4e1a-b23d-d4e711ac4548}"/>
        <w:style w:val=""/>
        <w:category>
          <w:name w:val="常规"/>
          <w:gallery w:val="placeholder"/>
        </w:category>
        <w:types>
          <w:type w:val="bbPlcHdr"/>
        </w:types>
        <w:behaviors>
          <w:behavior w:val="content"/>
        </w:behaviors>
        <w:description w:val=""/>
        <w:guid w:val="{3e8e6d1d-810c-4e1a-b23d-d4e711ac4548}"/>
      </w:docPartPr>
      <w:docPartBody>
        <w:p>
          <w:r>
            <w:rPr>
              <w:color w:val="808080"/>
            </w:rPr>
            <w:t>单击此处输入文字。</w:t>
          </w:r>
        </w:p>
      </w:docPartBody>
    </w:docPart>
    <w:docPart>
      <w:docPartPr>
        <w:name w:val="{27a11600-c83f-4eba-8278-8ae7051e79b2}"/>
        <w:style w:val=""/>
        <w:category>
          <w:name w:val="常规"/>
          <w:gallery w:val="placeholder"/>
        </w:category>
        <w:types>
          <w:type w:val="bbPlcHdr"/>
        </w:types>
        <w:behaviors>
          <w:behavior w:val="content"/>
        </w:behaviors>
        <w:description w:val=""/>
        <w:guid w:val="{27a11600-c83f-4eba-8278-8ae7051e79b2}"/>
      </w:docPartPr>
      <w:docPartBody>
        <w:p>
          <w:r>
            <w:rPr>
              <w:color w:val="808080"/>
            </w:rPr>
            <w:t>单击此处输入文字。</w:t>
          </w:r>
        </w:p>
      </w:docPartBody>
    </w:docPart>
    <w:docPart>
      <w:docPartPr>
        <w:name w:val="{1c6d5487-40a4-45f4-931c-a492ee0b6e1b}"/>
        <w:style w:val=""/>
        <w:category>
          <w:name w:val="常规"/>
          <w:gallery w:val="placeholder"/>
        </w:category>
        <w:types>
          <w:type w:val="bbPlcHdr"/>
        </w:types>
        <w:behaviors>
          <w:behavior w:val="content"/>
        </w:behaviors>
        <w:description w:val=""/>
        <w:guid w:val="{1c6d5487-40a4-45f4-931c-a492ee0b6e1b}"/>
      </w:docPartPr>
      <w:docPartBody>
        <w:p>
          <w:r>
            <w:rPr>
              <w:color w:val="808080"/>
            </w:rPr>
            <w:t>单击此处输入文字。</w:t>
          </w:r>
        </w:p>
      </w:docPartBody>
    </w:docPart>
    <w:docPart>
      <w:docPartPr>
        <w:name w:val="{3dcc31ae-f02e-41b1-98a3-637e12588912}"/>
        <w:style w:val=""/>
        <w:category>
          <w:name w:val="常规"/>
          <w:gallery w:val="placeholder"/>
        </w:category>
        <w:types>
          <w:type w:val="bbPlcHdr"/>
        </w:types>
        <w:behaviors>
          <w:behavior w:val="content"/>
        </w:behaviors>
        <w:description w:val=""/>
        <w:guid w:val="{3dcc31ae-f02e-41b1-98a3-637e12588912}"/>
      </w:docPartPr>
      <w:docPartBody>
        <w:p>
          <w:r>
            <w:rPr>
              <w:color w:val="808080"/>
            </w:rPr>
            <w:t>单击此处输入文字。</w:t>
          </w:r>
        </w:p>
      </w:docPartBody>
    </w:docPart>
    <w:docPart>
      <w:docPartPr>
        <w:name w:val="{07401c3f-b3f0-44fa-95e1-0b23508aaf9b}"/>
        <w:style w:val=""/>
        <w:category>
          <w:name w:val="常规"/>
          <w:gallery w:val="placeholder"/>
        </w:category>
        <w:types>
          <w:type w:val="bbPlcHdr"/>
        </w:types>
        <w:behaviors>
          <w:behavior w:val="content"/>
        </w:behaviors>
        <w:description w:val=""/>
        <w:guid w:val="{07401c3f-b3f0-44fa-95e1-0b23508aaf9b}"/>
      </w:docPartPr>
      <w:docPartBody>
        <w:p>
          <w:r>
            <w:rPr>
              <w:color w:val="808080"/>
            </w:rPr>
            <w:t>单击此处输入文字。</w:t>
          </w:r>
        </w:p>
      </w:docPartBody>
    </w:docPart>
    <w:docPart>
      <w:docPartPr>
        <w:name w:val="{e847f15e-5e73-408f-9031-0b663e658350}"/>
        <w:style w:val=""/>
        <w:category>
          <w:name w:val="常规"/>
          <w:gallery w:val="placeholder"/>
        </w:category>
        <w:types>
          <w:type w:val="bbPlcHdr"/>
        </w:types>
        <w:behaviors>
          <w:behavior w:val="content"/>
        </w:behaviors>
        <w:description w:val=""/>
        <w:guid w:val="{e847f15e-5e73-408f-9031-0b663e658350}"/>
      </w:docPartPr>
      <w:docPartBody>
        <w:p>
          <w:r>
            <w:rPr>
              <w:color w:val="808080"/>
            </w:rPr>
            <w:t>单击此处输入文字。</w:t>
          </w:r>
        </w:p>
      </w:docPartBody>
    </w:docPart>
    <w:docPart>
      <w:docPartPr>
        <w:name w:val="{8067abf4-bf9e-4eef-a19a-aae943399d2f}"/>
        <w:style w:val=""/>
        <w:category>
          <w:name w:val="常规"/>
          <w:gallery w:val="placeholder"/>
        </w:category>
        <w:types>
          <w:type w:val="bbPlcHdr"/>
        </w:types>
        <w:behaviors>
          <w:behavior w:val="content"/>
        </w:behaviors>
        <w:description w:val=""/>
        <w:guid w:val="{8067abf4-bf9e-4eef-a19a-aae943399d2f}"/>
      </w:docPartPr>
      <w:docPartBody>
        <w:p>
          <w:r>
            <w:rPr>
              <w:color w:val="808080"/>
            </w:rPr>
            <w:t>单击此处输入文字。</w:t>
          </w:r>
        </w:p>
      </w:docPartBody>
    </w:docPart>
    <w:docPart>
      <w:docPartPr>
        <w:name w:val="{d92a14d4-9711-498c-992d-72fff78f37a9}"/>
        <w:style w:val=""/>
        <w:category>
          <w:name w:val="常规"/>
          <w:gallery w:val="placeholder"/>
        </w:category>
        <w:types>
          <w:type w:val="bbPlcHdr"/>
        </w:types>
        <w:behaviors>
          <w:behavior w:val="content"/>
        </w:behaviors>
        <w:description w:val=""/>
        <w:guid w:val="{d92a14d4-9711-498c-992d-72fff78f37a9}"/>
      </w:docPartPr>
      <w:docPartBody>
        <w:p>
          <w:r>
            <w:rPr>
              <w:color w:val="808080"/>
            </w:rPr>
            <w:t>单击此处输入文字。</w:t>
          </w:r>
        </w:p>
      </w:docPartBody>
    </w:docPart>
    <w:docPart>
      <w:docPartPr>
        <w:name w:val="{3b058271-38cb-47e7-bd0a-5b6f68986907}"/>
        <w:style w:val=""/>
        <w:category>
          <w:name w:val="常规"/>
          <w:gallery w:val="placeholder"/>
        </w:category>
        <w:types>
          <w:type w:val="bbPlcHdr"/>
        </w:types>
        <w:behaviors>
          <w:behavior w:val="content"/>
        </w:behaviors>
        <w:description w:val=""/>
        <w:guid w:val="{3b058271-38cb-47e7-bd0a-5b6f68986907}"/>
      </w:docPartPr>
      <w:docPartBody>
        <w:p>
          <w:r>
            <w:rPr>
              <w:color w:val="808080"/>
            </w:rPr>
            <w:t>单击此处输入文字。</w:t>
          </w:r>
        </w:p>
      </w:docPartBody>
    </w:docPart>
    <w:docPart>
      <w:docPartPr>
        <w:name w:val="{4405a3f9-bff7-4894-99bd-f6b2922696e9}"/>
        <w:style w:val=""/>
        <w:category>
          <w:name w:val="常规"/>
          <w:gallery w:val="placeholder"/>
        </w:category>
        <w:types>
          <w:type w:val="bbPlcHdr"/>
        </w:types>
        <w:behaviors>
          <w:behavior w:val="content"/>
        </w:behaviors>
        <w:description w:val=""/>
        <w:guid w:val="{4405a3f9-bff7-4894-99bd-f6b2922696e9}"/>
      </w:docPartPr>
      <w:docPartBody>
        <w:p>
          <w:r>
            <w:rPr>
              <w:color w:val="808080"/>
            </w:rPr>
            <w:t>单击此处输入文字。</w:t>
          </w:r>
        </w:p>
      </w:docPartBody>
    </w:docPart>
    <w:docPart>
      <w:docPartPr>
        <w:name w:val="{ee15e411-862a-4b0a-b95d-b93f54639bb3}"/>
        <w:style w:val=""/>
        <w:category>
          <w:name w:val="常规"/>
          <w:gallery w:val="placeholder"/>
        </w:category>
        <w:types>
          <w:type w:val="bbPlcHdr"/>
        </w:types>
        <w:behaviors>
          <w:behavior w:val="content"/>
        </w:behaviors>
        <w:description w:val=""/>
        <w:guid w:val="{ee15e411-862a-4b0a-b95d-b93f54639bb3}"/>
      </w:docPartPr>
      <w:docPartBody>
        <w:p>
          <w:r>
            <w:rPr>
              <w:color w:val="808080"/>
            </w:rPr>
            <w:t>单击此处输入文字。</w:t>
          </w:r>
        </w:p>
      </w:docPartBody>
    </w:docPart>
    <w:docPart>
      <w:docPartPr>
        <w:name w:val="{785dc43f-5137-4a26-8d50-a2ff73d7920b}"/>
        <w:style w:val=""/>
        <w:category>
          <w:name w:val="常规"/>
          <w:gallery w:val="placeholder"/>
        </w:category>
        <w:types>
          <w:type w:val="bbPlcHdr"/>
        </w:types>
        <w:behaviors>
          <w:behavior w:val="content"/>
        </w:behaviors>
        <w:description w:val=""/>
        <w:guid w:val="{785dc43f-5137-4a26-8d50-a2ff73d7920b}"/>
      </w:docPartPr>
      <w:docPartBody>
        <w:p>
          <w:r>
            <w:rPr>
              <w:color w:val="808080"/>
            </w:rPr>
            <w:t>单击此处输入文字。</w:t>
          </w:r>
        </w:p>
      </w:docPartBody>
    </w:docPart>
    <w:docPart>
      <w:docPartPr>
        <w:name w:val="{7f5170d7-6ccd-4ad4-86d0-1d44ad40868f}"/>
        <w:style w:val=""/>
        <w:category>
          <w:name w:val="常规"/>
          <w:gallery w:val="placeholder"/>
        </w:category>
        <w:types>
          <w:type w:val="bbPlcHdr"/>
        </w:types>
        <w:behaviors>
          <w:behavior w:val="content"/>
        </w:behaviors>
        <w:description w:val=""/>
        <w:guid w:val="{7f5170d7-6ccd-4ad4-86d0-1d44ad40868f}"/>
      </w:docPartPr>
      <w:docPartBody>
        <w:p>
          <w:r>
            <w:rPr>
              <w:color w:val="808080"/>
            </w:rPr>
            <w:t>单击此处输入文字。</w:t>
          </w:r>
        </w:p>
      </w:docPartBody>
    </w:docPart>
    <w:docPart>
      <w:docPartPr>
        <w:name w:val="{30c46150-b9f0-42b6-b533-4027312b6df3}"/>
        <w:style w:val=""/>
        <w:category>
          <w:name w:val="常规"/>
          <w:gallery w:val="placeholder"/>
        </w:category>
        <w:types>
          <w:type w:val="bbPlcHdr"/>
        </w:types>
        <w:behaviors>
          <w:behavior w:val="content"/>
        </w:behaviors>
        <w:description w:val=""/>
        <w:guid w:val="{30c46150-b9f0-42b6-b533-4027312b6df3}"/>
      </w:docPartPr>
      <w:docPartBody>
        <w:p>
          <w:r>
            <w:rPr>
              <w:color w:val="808080"/>
            </w:rPr>
            <w:t>单击此处输入文字。</w:t>
          </w:r>
        </w:p>
      </w:docPartBody>
    </w:docPart>
    <w:docPart>
      <w:docPartPr>
        <w:name w:val="{7f0d9605-6cb9-4bdf-9328-f622ec9f4af4}"/>
        <w:style w:val=""/>
        <w:category>
          <w:name w:val="常规"/>
          <w:gallery w:val="placeholder"/>
        </w:category>
        <w:types>
          <w:type w:val="bbPlcHdr"/>
        </w:types>
        <w:behaviors>
          <w:behavior w:val="content"/>
        </w:behaviors>
        <w:description w:val=""/>
        <w:guid w:val="{7f0d9605-6cb9-4bdf-9328-f622ec9f4af4}"/>
      </w:docPartPr>
      <w:docPartBody>
        <w:p>
          <w:r>
            <w:rPr>
              <w:color w:val="808080"/>
            </w:rPr>
            <w:t>单击此处输入文字。</w:t>
          </w:r>
        </w:p>
      </w:docPartBody>
    </w:docPart>
    <w:docPart>
      <w:docPartPr>
        <w:name w:val="{fe383121-c70a-4214-afc6-6ff9536131e5}"/>
        <w:style w:val=""/>
        <w:category>
          <w:name w:val="常规"/>
          <w:gallery w:val="placeholder"/>
        </w:category>
        <w:types>
          <w:type w:val="bbPlcHdr"/>
        </w:types>
        <w:behaviors>
          <w:behavior w:val="content"/>
        </w:behaviors>
        <w:description w:val=""/>
        <w:guid w:val="{fe383121-c70a-4214-afc6-6ff9536131e5}"/>
      </w:docPartPr>
      <w:docPartBody>
        <w:p>
          <w:r>
            <w:rPr>
              <w:color w:val="808080"/>
            </w:rPr>
            <w:t>单击此处输入文字。</w:t>
          </w:r>
        </w:p>
      </w:docPartBody>
    </w:docPart>
    <w:docPart>
      <w:docPartPr>
        <w:name w:val="{3c184a6f-856e-4df1-a073-94d6e963109d}"/>
        <w:style w:val=""/>
        <w:category>
          <w:name w:val="常规"/>
          <w:gallery w:val="placeholder"/>
        </w:category>
        <w:types>
          <w:type w:val="bbPlcHdr"/>
        </w:types>
        <w:behaviors>
          <w:behavior w:val="content"/>
        </w:behaviors>
        <w:description w:val=""/>
        <w:guid w:val="{3c184a6f-856e-4df1-a073-94d6e963109d}"/>
      </w:docPartPr>
      <w:docPartBody>
        <w:p>
          <w:r>
            <w:rPr>
              <w:color w:val="808080"/>
            </w:rPr>
            <w:t>单击此处输入文字。</w:t>
          </w:r>
        </w:p>
      </w:docPartBody>
    </w:docPart>
    <w:docPart>
      <w:docPartPr>
        <w:name w:val="{b6c6a74a-372f-473f-abc6-4a59cd8f0a96}"/>
        <w:style w:val=""/>
        <w:category>
          <w:name w:val="常规"/>
          <w:gallery w:val="placeholder"/>
        </w:category>
        <w:types>
          <w:type w:val="bbPlcHdr"/>
        </w:types>
        <w:behaviors>
          <w:behavior w:val="content"/>
        </w:behaviors>
        <w:description w:val=""/>
        <w:guid w:val="{b6c6a74a-372f-473f-abc6-4a59cd8f0a96}"/>
      </w:docPartPr>
      <w:docPartBody>
        <w:p>
          <w:r>
            <w:rPr>
              <w:color w:val="808080"/>
            </w:rPr>
            <w:t>单击此处输入文字。</w:t>
          </w:r>
        </w:p>
      </w:docPartBody>
    </w:docPart>
    <w:docPart>
      <w:docPartPr>
        <w:name w:val="{e5daa38a-b9f5-48e3-8eea-30a7a3ed3aca}"/>
        <w:style w:val=""/>
        <w:category>
          <w:name w:val="常规"/>
          <w:gallery w:val="placeholder"/>
        </w:category>
        <w:types>
          <w:type w:val="bbPlcHdr"/>
        </w:types>
        <w:behaviors>
          <w:behavior w:val="content"/>
        </w:behaviors>
        <w:description w:val=""/>
        <w:guid w:val="{e5daa38a-b9f5-48e3-8eea-30a7a3ed3aca}"/>
      </w:docPartPr>
      <w:docPartBody>
        <w:p>
          <w:r>
            <w:rPr>
              <w:color w:val="808080"/>
            </w:rPr>
            <w:t>单击此处输入文字。</w:t>
          </w:r>
        </w:p>
      </w:docPartBody>
    </w:docPart>
    <w:docPart>
      <w:docPartPr>
        <w:name w:val="{6fca9e31-70cd-4d64-82cc-9b5c0af81b2b}"/>
        <w:style w:val=""/>
        <w:category>
          <w:name w:val="常规"/>
          <w:gallery w:val="placeholder"/>
        </w:category>
        <w:types>
          <w:type w:val="bbPlcHdr"/>
        </w:types>
        <w:behaviors>
          <w:behavior w:val="content"/>
        </w:behaviors>
        <w:description w:val=""/>
        <w:guid w:val="{6fca9e31-70cd-4d64-82cc-9b5c0af81b2b}"/>
      </w:docPartPr>
      <w:docPartBody>
        <w:p>
          <w:r>
            <w:rPr>
              <w:color w:val="808080"/>
            </w:rPr>
            <w:t>单击此处输入文字。</w:t>
          </w:r>
        </w:p>
      </w:docPartBody>
    </w:docPart>
    <w:docPart>
      <w:docPartPr>
        <w:name w:val="{d4d24fe7-77ba-43a7-941c-851faf11e44c}"/>
        <w:style w:val=""/>
        <w:category>
          <w:name w:val="常规"/>
          <w:gallery w:val="placeholder"/>
        </w:category>
        <w:types>
          <w:type w:val="bbPlcHdr"/>
        </w:types>
        <w:behaviors>
          <w:behavior w:val="content"/>
        </w:behaviors>
        <w:description w:val=""/>
        <w:guid w:val="{d4d24fe7-77ba-43a7-941c-851faf11e44c}"/>
      </w:docPartPr>
      <w:docPartBody>
        <w:p>
          <w:r>
            <w:rPr>
              <w:color w:val="808080"/>
            </w:rPr>
            <w:t>单击此处输入文字。</w:t>
          </w:r>
        </w:p>
      </w:docPartBody>
    </w:docPart>
    <w:docPart>
      <w:docPartPr>
        <w:name w:val="{0533813d-0f3b-4318-a07c-c6079bf2ad25}"/>
        <w:style w:val=""/>
        <w:category>
          <w:name w:val="常规"/>
          <w:gallery w:val="placeholder"/>
        </w:category>
        <w:types>
          <w:type w:val="bbPlcHdr"/>
        </w:types>
        <w:behaviors>
          <w:behavior w:val="content"/>
        </w:behaviors>
        <w:description w:val=""/>
        <w:guid w:val="{0533813d-0f3b-4318-a07c-c6079bf2ad25}"/>
      </w:docPartPr>
      <w:docPartBody>
        <w:p>
          <w:r>
            <w:rPr>
              <w:color w:val="808080"/>
            </w:rPr>
            <w:t>单击此处输入文字。</w:t>
          </w:r>
        </w:p>
      </w:docPartBody>
    </w:docPart>
    <w:docPart>
      <w:docPartPr>
        <w:name w:val="{eb4d2ccd-952c-4e1b-81e4-764c99c4cb5e}"/>
        <w:style w:val=""/>
        <w:category>
          <w:name w:val="常规"/>
          <w:gallery w:val="placeholder"/>
        </w:category>
        <w:types>
          <w:type w:val="bbPlcHdr"/>
        </w:types>
        <w:behaviors>
          <w:behavior w:val="content"/>
        </w:behaviors>
        <w:description w:val=""/>
        <w:guid w:val="{eb4d2ccd-952c-4e1b-81e4-764c99c4cb5e}"/>
      </w:docPartPr>
      <w:docPartBody>
        <w:p>
          <w:r>
            <w:rPr>
              <w:color w:val="808080"/>
            </w:rPr>
            <w:t>单击此处输入文字。</w:t>
          </w:r>
        </w:p>
      </w:docPartBody>
    </w:docPart>
    <w:docPart>
      <w:docPartPr>
        <w:name w:val="{6bb9255a-4caf-4a83-ac17-c09d52990a5a}"/>
        <w:style w:val=""/>
        <w:category>
          <w:name w:val="常规"/>
          <w:gallery w:val="placeholder"/>
        </w:category>
        <w:types>
          <w:type w:val="bbPlcHdr"/>
        </w:types>
        <w:behaviors>
          <w:behavior w:val="content"/>
        </w:behaviors>
        <w:description w:val=""/>
        <w:guid w:val="{6bb9255a-4caf-4a83-ac17-c09d52990a5a}"/>
      </w:docPartPr>
      <w:docPartBody>
        <w:p>
          <w:r>
            <w:rPr>
              <w:color w:val="808080"/>
            </w:rPr>
            <w:t>单击此处输入文字。</w:t>
          </w:r>
        </w:p>
      </w:docPartBody>
    </w:docPart>
    <w:docPart>
      <w:docPartPr>
        <w:name w:val="{d88160e9-17b1-41c2-9291-0bf8d8bfb7f0}"/>
        <w:style w:val=""/>
        <w:category>
          <w:name w:val="常规"/>
          <w:gallery w:val="placeholder"/>
        </w:category>
        <w:types>
          <w:type w:val="bbPlcHdr"/>
        </w:types>
        <w:behaviors>
          <w:behavior w:val="content"/>
        </w:behaviors>
        <w:description w:val=""/>
        <w:guid w:val="{d88160e9-17b1-41c2-9291-0bf8d8bfb7f0}"/>
      </w:docPartPr>
      <w:docPartBody>
        <w:p>
          <w:r>
            <w:rPr>
              <w:color w:val="808080"/>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compat>
    <w:useFELayout/>
    <w:splitPgBreakAndParaMark/>
    <w:compatSetting w:name="compatibilityMode" w:uri="http://schemas.microsoft.com/office/word" w:val="14"/>
  </w:compat>
  <w:rsids>
    <w:rsidRoot w:val="000000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styl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43</Pages>
  <Words>16572</Words>
  <Characters>18315</Characters>
  <Lines>63</Lines>
  <Paragraphs>17</Paragraphs>
  <TotalTime>7</TotalTime>
  <ScaleCrop>false</ScaleCrop>
  <LinksUpToDate>false</LinksUpToDate>
  <CharactersWithSpaces>18468</CharactersWithSpaces>
  <Application>WPS Office_11.8.6.11825_F1E327BC-269C-435d-A152-05C5408002CA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2020-08-09T09:49:00Z</dcterms:created>
  <dc:creator>曹颖</dc:creator>
  <cp:lastModifiedBy>Administrator</cp:lastModifiedBy>
  <cp:lastPrinted>2025-10-28T15:00:00Z</cp:lastPrinted>
  <dcterms:modified xsi:type="dcterms:W3CDTF">2025-12-10T03:14:42Z</dcterms:modified>
  <dc:title>四川省***</dc:title>
  <cp:revision>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2052-11.8.6.11825</vt:lpwstr>
  </property>
  <property fmtid="{D5CDD505-2E9C-101B-9397-08002B2CF9AE}" pid="3" name="ICV">
    <vt:lpwstr>04787F2533EB45DC91BCDE4AB213247F</vt:lpwstr>
  </property>
</Properties>
</file>