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78441"/>
      <w:bookmarkStart w:id="1" w:name="_Toc15306267"/>
      <w:bookmarkStart w:id="2" w:name="_Toc15396597"/>
      <w:bookmarkStart w:id="3" w:name="_Toc15396475"/>
      <w:bookmarkStart w:id="4" w:name="_Toc15377425"/>
      <w:bookmarkStart w:id="5" w:name="_Toc15377193"/>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红格镇人民政府</w:t>
      </w:r>
      <w:r>
        <w:rPr>
          <w:rFonts w:hint="eastAsia" w:ascii="Times New Roman" w:eastAsia="方正小标宋简体"/>
          <w:kern w:val="2"/>
          <w:sz w:val="72"/>
          <w:szCs w:val="72"/>
        </w:rPr>
        <w:t>部门决算公开编制说明</w:t>
      </w:r>
    </w:p>
    <w:p>
      <w:pPr>
        <w:spacing w:line="600" w:lineRule="exact"/>
        <w:jc w:val="center"/>
        <w:outlineLvl w:val="0"/>
        <w:rPr>
          <w:rFonts w:eastAsia="方正小标宋简体"/>
          <w:sz w:val="72"/>
          <w:szCs w:val="72"/>
        </w:rPr>
      </w:pPr>
    </w:p>
    <w:p>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jc w:val="both"/>
      </w:pPr>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4"/>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5</w:t>
      </w:r>
      <w:bookmarkStart w:id="62" w:name="_GoBack"/>
      <w:bookmarkEnd w:id="62"/>
      <w:r>
        <w:rPr>
          <w:rFonts w:hint="eastAsia" w:ascii="Times New Roman" w:hAnsi="Times New Roman" w:eastAsia="仿宋_GB2312" w:cs="仿宋_GB2312"/>
          <w:sz w:val="32"/>
          <w:szCs w:val="32"/>
        </w:rPr>
        <w:t>日</w:t>
      </w:r>
    </w:p>
    <w:p>
      <w:pPr>
        <w:jc w:val="both"/>
      </w:pP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...................................................................4</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.....................................................................4</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.....................................................................5</w:t>
      </w: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..................................5</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.....................................6</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.....................................................6</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.....................................................6</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.....................7</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.............8</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...16</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...........17</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.......................19</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...................19</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.......................................19</w:t>
      </w: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.................................................................21</w:t>
      </w: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.........................................................................32</w:t>
      </w:r>
    </w:p>
    <w:p>
      <w:pPr>
        <w:pStyle w:val="14"/>
        <w:adjustRightInd w:val="0"/>
        <w:snapToGrid w:val="0"/>
        <w:spacing w:before="0" w:line="56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640" w:firstLineChars="200"/>
        <w:jc w:val="both"/>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...................83</w:t>
      </w:r>
    </w:p>
    <w:p>
      <w:pPr>
        <w:pStyle w:val="16"/>
        <w:adjustRightInd w:val="0"/>
        <w:snapToGrid w:val="0"/>
        <w:spacing w:line="560" w:lineRule="exact"/>
        <w:ind w:left="0" w:leftChars="0" w:firstLine="0" w:firstLineChars="0"/>
        <w:jc w:val="both"/>
        <w:rPr>
          <w:rFonts w:eastAsia="仿宋_GB2312" w:cs="仿宋_GB2312"/>
          <w:b/>
          <w:bCs/>
          <w:sz w:val="32"/>
          <w:szCs w:val="32"/>
        </w:rPr>
      </w:pPr>
    </w:p>
    <w:p>
      <w:pPr>
        <w:widowControl/>
        <w:spacing w:line="560" w:lineRule="exact"/>
        <w:jc w:val="both"/>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pPr>
        <w:pStyle w:val="3"/>
        <w:jc w:val="center"/>
        <w:rPr>
          <w:rFonts w:eastAsia="黑体"/>
          <w:sz w:val="32"/>
          <w:szCs w:val="32"/>
        </w:rPr>
      </w:pPr>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6"/>
      <w:bookmarkEnd w:id="7"/>
    </w:p>
    <w:p>
      <w:pPr>
        <w:pStyle w:val="4"/>
        <w:numPr>
          <w:ilvl w:val="0"/>
          <w:numId w:val="0"/>
        </w:numPr>
        <w:ind w:firstLine="640" w:firstLineChars="200"/>
        <w:jc w:val="both"/>
        <w:rPr>
          <w:rFonts w:hint="eastAsia" w:ascii="Times New Roman" w:hAnsi="Times New Roman" w:eastAsia="黑体"/>
          <w:b w:val="0"/>
        </w:rPr>
      </w:pPr>
      <w:r>
        <w:rPr>
          <w:rFonts w:hint="eastAsia" w:ascii="Times New Roman" w:hAnsi="Times New Roman" w:eastAsia="黑体"/>
          <w:b w:val="0"/>
          <w:lang w:eastAsia="zh-CN"/>
        </w:rPr>
        <w:t>一、</w:t>
      </w:r>
      <w:r>
        <w:rPr>
          <w:rFonts w:hint="eastAsia" w:ascii="Times New Roman" w:hAnsi="Times New Roman" w:eastAsia="黑体"/>
          <w:b w:val="0"/>
        </w:rPr>
        <w:t>部门职责</w:t>
      </w:r>
    </w:p>
    <w:p>
      <w:pPr>
        <w:spacing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（一）党政办公室</w:t>
      </w:r>
      <w:r>
        <w:rPr>
          <w:rFonts w:hint="default" w:ascii="仿宋_GB2312" w:eastAsia="仿宋_GB2312"/>
          <w:sz w:val="32"/>
          <w:szCs w:val="32"/>
          <w:lang w:val="en-US" w:eastAsia="zh-CN"/>
        </w:rPr>
        <w:t>负责党委、人大、政府日常事务和综</w:t>
      </w:r>
      <w:r>
        <w:rPr>
          <w:rFonts w:hint="eastAsia" w:ascii="仿宋_GB2312" w:eastAsia="仿宋_GB2312"/>
          <w:sz w:val="32"/>
          <w:szCs w:val="32"/>
          <w:lang w:val="en-US" w:eastAsia="zh-CN"/>
        </w:rPr>
        <w:t>合协调工作；负责机要保密、文秘档案、目标绩效、考核管理、政务公开、信息调研、财务审计、公务服务、机关事务、后勤保障及综合协调等工作。</w:t>
      </w:r>
    </w:p>
    <w:p>
      <w:pPr>
        <w:spacing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（二）党建办公室</w:t>
      </w:r>
      <w:r>
        <w:rPr>
          <w:rFonts w:hint="default" w:ascii="仿宋_GB2312" w:eastAsia="仿宋_GB2312"/>
          <w:sz w:val="32"/>
          <w:szCs w:val="32"/>
          <w:lang w:val="en-US" w:eastAsia="zh-CN"/>
        </w:rPr>
        <w:t>负责乡镇党委自身建设和下级党组织</w:t>
      </w:r>
      <w:r>
        <w:rPr>
          <w:rFonts w:hint="eastAsia" w:ascii="仿宋_GB2312" w:eastAsia="仿宋_GB2312"/>
          <w:sz w:val="32"/>
          <w:szCs w:val="32"/>
          <w:lang w:val="en-US" w:eastAsia="zh-CN"/>
        </w:rPr>
        <w:t>建设以及其他隶属乡镇党委的党组织建设相关工作；负责纪检监察、党风廉政建设、组织人事、精神文明建设、意识形态、宣传教育、统一战线、民族宗教、机构编制、巡察、侨（台）务等工作；承担考核奖惩及职称评聘等工作；负责统筹</w:t>
      </w:r>
      <w:r>
        <w:rPr>
          <w:rFonts w:hint="default" w:ascii="仿宋_GB2312" w:eastAsia="仿宋_GB2312"/>
          <w:sz w:val="32"/>
          <w:szCs w:val="32"/>
          <w:lang w:val="en-US" w:eastAsia="zh-CN"/>
        </w:rPr>
        <w:t>“</w:t>
      </w:r>
      <w:r>
        <w:rPr>
          <w:rFonts w:hint="eastAsia" w:ascii="仿宋_GB2312" w:eastAsia="仿宋_GB2312"/>
          <w:sz w:val="32"/>
          <w:szCs w:val="32"/>
          <w:lang w:val="en-US" w:eastAsia="zh-CN"/>
        </w:rPr>
        <w:t>两代表一委员</w:t>
      </w:r>
      <w:r>
        <w:rPr>
          <w:rFonts w:hint="default" w:ascii="仿宋_GB2312" w:eastAsia="仿宋_GB2312"/>
          <w:sz w:val="32"/>
          <w:szCs w:val="32"/>
          <w:lang w:val="en-US" w:eastAsia="zh-CN"/>
        </w:rPr>
        <w:t>”</w:t>
      </w:r>
      <w:r>
        <w:rPr>
          <w:rFonts w:hint="eastAsia" w:ascii="仿宋_GB2312" w:eastAsia="仿宋_GB2312"/>
          <w:sz w:val="32"/>
          <w:szCs w:val="32"/>
          <w:lang w:val="en-US" w:eastAsia="zh-CN"/>
        </w:rPr>
        <w:t>相关工作。</w:t>
      </w:r>
    </w:p>
    <w:p>
      <w:pPr>
        <w:spacing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（三）社会事务办公室</w:t>
      </w:r>
      <w:r>
        <w:rPr>
          <w:rFonts w:hint="default" w:ascii="仿宋_GB2312" w:eastAsia="仿宋_GB2312"/>
          <w:sz w:val="32"/>
          <w:szCs w:val="32"/>
          <w:lang w:val="en-US" w:eastAsia="zh-CN"/>
        </w:rPr>
        <w:t>主要承担指导推进公共事务和综</w:t>
      </w:r>
      <w:r>
        <w:rPr>
          <w:rFonts w:hint="eastAsia" w:ascii="仿宋_GB2312" w:eastAsia="仿宋_GB2312"/>
          <w:sz w:val="32"/>
          <w:szCs w:val="32"/>
          <w:lang w:val="en-US" w:eastAsia="zh-CN"/>
        </w:rPr>
        <w:t>合管理等职责。负责教育体育、文化旅游、广播电视、卫生健康、医保、社保、劳动保障、民政、公益、退役军人事务、民族宗教、残疾人、农民工和其他与社会事务相关工作。</w:t>
      </w:r>
    </w:p>
    <w:p>
      <w:pPr>
        <w:numPr>
          <w:ilvl w:val="0"/>
          <w:numId w:val="0"/>
        </w:numPr>
        <w:ind w:firstLine="640" w:firstLineChars="200"/>
        <w:jc w:val="both"/>
      </w:pPr>
      <w:r>
        <w:rPr>
          <w:rFonts w:hint="eastAsia" w:ascii="仿宋_GB2312" w:eastAsia="仿宋_GB2312"/>
          <w:sz w:val="32"/>
          <w:szCs w:val="32"/>
          <w:lang w:val="en-US" w:eastAsia="zh-CN"/>
        </w:rPr>
        <w:t>（四）</w:t>
      </w:r>
      <w:r>
        <w:rPr>
          <w:rFonts w:hint="default" w:ascii="仿宋_GB2312" w:eastAsia="仿宋_GB2312"/>
          <w:sz w:val="32"/>
          <w:szCs w:val="32"/>
          <w:lang w:val="en-US" w:eastAsia="zh-CN"/>
        </w:rPr>
        <w:t>社会治理办公室负责协调推进城乡基层治理相关</w:t>
      </w:r>
      <w:r>
        <w:rPr>
          <w:rFonts w:hint="eastAsia" w:ascii="仿宋_GB2312" w:eastAsia="仿宋_GB2312"/>
          <w:sz w:val="32"/>
          <w:szCs w:val="32"/>
          <w:lang w:val="en-US" w:eastAsia="zh-CN"/>
        </w:rPr>
        <w:t>具体工作。负责基层社会治理防控体系建设和社会治理综合信息平台运行的管理保障；负责村民自治工作；负责政法工作；负责民主法治、综合治理、防邪维稳、法律服务、平安乡村建设、群防群治、流动人口管理、大数据分析、村（社区）网格化管理等相关工作。</w:t>
      </w:r>
    </w:p>
    <w:p>
      <w:pPr>
        <w:pStyle w:val="4"/>
        <w:ind w:firstLine="640" w:firstLineChars="200"/>
        <w:jc w:val="both"/>
        <w:rPr>
          <w:rStyle w:val="31"/>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8"/>
      <w:bookmarkEnd w:id="9"/>
    </w:p>
    <w:p>
      <w:pPr>
        <w:pStyle w:val="6"/>
        <w:adjustRightInd w:val="0"/>
        <w:snapToGrid w:val="0"/>
        <w:spacing w:before="93" w:line="600" w:lineRule="exact"/>
        <w:ind w:firstLine="640" w:firstLineChars="200"/>
        <w:jc w:val="both"/>
        <w:rPr>
          <w:rFonts w:ascii="Times New Roman" w:cs="仿宋_GB2312"/>
          <w:sz w:val="32"/>
          <w:szCs w:val="32"/>
        </w:rPr>
      </w:pPr>
      <w:r>
        <w:rPr>
          <w:rFonts w:hint="eastAsia" w:ascii="Times New Roman" w:hAnsi="Times New Roman" w:eastAsia="仿宋_GB2312" w:cs="仿宋_GB2312"/>
          <w:kern w:val="2"/>
          <w:sz w:val="32"/>
          <w:szCs w:val="32"/>
          <w:lang w:val="en-US" w:eastAsia="zh-CN" w:bidi="ar-SA"/>
        </w:rPr>
        <w:t>盐边县红格镇人民政府下属非独立核算单位5个，其中行政单位0个，参照公务员法管理的事业单位0个，其他事业单位5个。主要包括：红格镇便民服务中心、红格镇农业</w:t>
      </w:r>
      <w:r>
        <w:rPr>
          <w:rFonts w:hint="eastAsia" w:ascii="Times New Roman" w:cs="仿宋_GB2312"/>
          <w:kern w:val="2"/>
          <w:sz w:val="32"/>
          <w:szCs w:val="32"/>
          <w:lang w:val="en-US" w:eastAsia="zh-CN" w:bidi="ar-SA"/>
        </w:rPr>
        <w:t>综合</w:t>
      </w:r>
      <w:r>
        <w:rPr>
          <w:rFonts w:hint="eastAsia" w:ascii="Times New Roman" w:hAnsi="Times New Roman" w:eastAsia="仿宋_GB2312" w:cs="仿宋_GB2312"/>
          <w:kern w:val="2"/>
          <w:sz w:val="32"/>
          <w:szCs w:val="32"/>
          <w:lang w:val="en-US" w:eastAsia="zh-CN" w:bidi="ar-SA"/>
        </w:rPr>
        <w:t>服务中心、红格镇村镇建设服务中心、红格镇宣传文化旅游服务中心、红格镇党群服务中心。</w:t>
      </w:r>
    </w:p>
    <w:p>
      <w:pPr>
        <w:pStyle w:val="3"/>
        <w:jc w:val="cente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pPr>
        <w:pStyle w:val="29"/>
        <w:spacing w:line="600" w:lineRule="exact"/>
        <w:ind w:firstLine="640"/>
        <w:jc w:val="both"/>
        <w:outlineLvl w:val="1"/>
        <w:rPr>
          <w:rStyle w:val="31"/>
          <w:rFonts w:ascii="Times New Roman" w:hAnsi="Times New Roman" w:eastAsia="黑体"/>
          <w:b w:val="0"/>
        </w:rPr>
      </w:pPr>
      <w:bookmarkStart w:id="12" w:name="_Toc15377205"/>
      <w:bookmarkStart w:id="13" w:name="_Toc15396603"/>
      <w:r>
        <w:rPr>
          <w:rFonts w:hint="eastAsia" w:eastAsia="黑体"/>
          <w:sz w:val="32"/>
          <w:szCs w:val="32"/>
        </w:rPr>
        <w:t>一、收</w:t>
      </w:r>
      <w:r>
        <w:rPr>
          <w:rStyle w:val="31"/>
          <w:rFonts w:hint="eastAsia" w:ascii="Times New Roman" w:hAnsi="Times New Roman" w:eastAsia="黑体"/>
          <w:b w:val="0"/>
        </w:rPr>
        <w:t>入支出决算总体情况说明</w:t>
      </w:r>
      <w:bookmarkEnd w:id="12"/>
      <w:bookmarkEnd w:id="13"/>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2024年度收入、支出总计均为12131.55万元。与2023年度相比，收入、支出总计各减少4020.46万元，下降24.89%。主要变动原因是项目支出减少。</w:t>
      </w:r>
    </w:p>
    <w:p>
      <w:pPr>
        <w:ind w:firstLine="420" w:firstLineChars="200"/>
        <w:jc w:val="both"/>
        <w:rPr>
          <w:rFonts w:hint="eastAsia" w:eastAsia="仿宋_GB2312" w:cs="仿宋_GB2312"/>
          <w:sz w:val="32"/>
          <w:szCs w:val="32"/>
        </w:rPr>
      </w:pPr>
      <w:r>
        <w:pict>
          <v:shape id="_x0000_s1026" o:spid="_x0000_s1026" o:spt="75" type="#_x0000_t75" style="position:absolute;left:0pt;margin-left:15.15pt;margin-top:16.4pt;height:228.75pt;width:385.55pt;z-index:251658240;mso-width-relative:page;mso-height-relative:page;" o:ole="t" filled="f" o:preferrelative="t" stroked="f" coordsize="21600,21600">
            <v:path/>
            <v:fill on="f" focussize="0,0"/>
            <v:stroke on="f"/>
            <v:imagedata r:id="rId10" o:title=""/>
            <o:lock v:ext="edit" aspectratio="t"/>
          </v:shape>
          <o:OLEObject Type="Embed" ProgID="Excel.Chart.8" ShapeID="_x0000_s1026" DrawAspect="Content" ObjectID="_1468075725" r:id="rId9">
            <o:LockedField>false</o:LockedField>
          </o:OLEObject>
        </w:pict>
      </w: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hint="eastAsia" w:eastAsia="仿宋_GB2312" w:cs="仿宋_GB2312"/>
          <w:sz w:val="32"/>
          <w:szCs w:val="32"/>
        </w:rPr>
      </w:pPr>
    </w:p>
    <w:p>
      <w:pPr>
        <w:ind w:firstLine="640" w:firstLineChars="200"/>
        <w:jc w:val="both"/>
        <w:rPr>
          <w:rFonts w:eastAsia="仿宋_GB2312" w:cs="仿宋_GB2312"/>
          <w:sz w:val="32"/>
          <w:szCs w:val="32"/>
        </w:rPr>
      </w:pPr>
      <w:r>
        <w:rPr>
          <w:rFonts w:hint="eastAsia" w:eastAsia="仿宋_GB2312" w:cs="仿宋_GB2312"/>
          <w:sz w:val="32"/>
          <w:szCs w:val="32"/>
        </w:rPr>
        <w:t>（图1：收入、支出决算总计变动情况图）（柱状图）</w:t>
      </w:r>
    </w:p>
    <w:p>
      <w:pPr>
        <w:pStyle w:val="29"/>
        <w:spacing w:line="600" w:lineRule="exact"/>
        <w:ind w:firstLine="640"/>
        <w:jc w:val="both"/>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本年收入合计12034.31万元，其中：一般公共预算财政拨款收入6887.48万元，占57.24%；政府性基金预算财政拨款收入5027.31万元，占41.77%；国有资本经营预算财政拨款收入0万元，占0%；其他收入119.52万元，占0.99%。</w:t>
      </w:r>
    </w:p>
    <w:p>
      <w:pPr>
        <w:ind w:firstLine="525" w:firstLineChars="250"/>
        <w:jc w:val="both"/>
        <w:rPr>
          <w:rFonts w:hint="eastAsia" w:eastAsia="仿宋_GB2312" w:cs="仿宋_GB2312"/>
          <w:sz w:val="32"/>
          <w:szCs w:val="32"/>
        </w:rPr>
      </w:pPr>
      <w:r>
        <w:pict>
          <v:shape id="_x0000_s1027" o:spid="_x0000_s1027" o:spt="75" type="#_x0000_t75" style="position:absolute;left:0pt;margin-left:2.75pt;margin-top:11.35pt;height:223.5pt;width:417pt;z-index:251660288;mso-width-relative:page;mso-height-relative:page;" o:ole="t" filled="f" o:preferrelative="t" stroked="f" coordsize="21600,21600">
            <v:path/>
            <v:fill on="f" focussize="0,0"/>
            <v:stroke on="f"/>
            <v:imagedata r:id="rId12" o:title=""/>
            <o:lock v:ext="edit" aspectratio="t"/>
          </v:shape>
          <o:OLEObject Type="Embed" ProgID="Excel.Chart.8" ShapeID="_x0000_s1027" DrawAspect="Content" ObjectID="_1468075726" r:id="rId11">
            <o:LockedField>false</o:LockedField>
          </o:OLEObject>
        </w:pict>
      </w: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jc w:val="both"/>
        <w:rPr>
          <w:rFonts w:hint="eastAsia" w:eastAsia="仿宋_GB2312" w:cs="仿宋_GB2312"/>
          <w:sz w:val="32"/>
          <w:szCs w:val="32"/>
        </w:rPr>
      </w:pPr>
    </w:p>
    <w:p>
      <w:pPr>
        <w:jc w:val="both"/>
        <w:rPr>
          <w:rFonts w:hint="eastAsia" w:eastAsia="仿宋_GB2312" w:cs="仿宋_GB2312"/>
          <w:sz w:val="32"/>
          <w:szCs w:val="32"/>
        </w:rPr>
      </w:pPr>
    </w:p>
    <w:p>
      <w:pPr>
        <w:ind w:firstLine="800" w:firstLineChars="250"/>
        <w:jc w:val="both"/>
        <w:rPr>
          <w:rFonts w:hint="eastAsia" w:eastAsia="黑体"/>
          <w:sz w:val="32"/>
          <w:szCs w:val="32"/>
        </w:rPr>
      </w:pPr>
      <w:r>
        <w:rPr>
          <w:rFonts w:hint="eastAsia" w:eastAsia="仿宋_GB2312" w:cs="仿宋_GB2312"/>
          <w:sz w:val="32"/>
          <w:szCs w:val="32"/>
        </w:rPr>
        <w:t>（图2：收入决算结构图）（饼状图）</w:t>
      </w:r>
      <w:bookmarkStart w:id="16" w:name="_Toc15377207"/>
      <w:bookmarkStart w:id="17" w:name="_Toc15396605"/>
    </w:p>
    <w:p>
      <w:pPr>
        <w:pStyle w:val="29"/>
        <w:spacing w:line="600" w:lineRule="exact"/>
        <w:ind w:firstLine="640"/>
        <w:jc w:val="both"/>
        <w:outlineLvl w:val="1"/>
        <w:rPr>
          <w:rStyle w:val="31"/>
          <w:rFonts w:ascii="Times New Roman" w:hAnsi="Times New Roman" w:eastAsia="黑体"/>
          <w:b w:val="0"/>
        </w:rPr>
      </w:pPr>
      <w:r>
        <w:rPr>
          <w:rFonts w:hint="eastAsia" w:eastAsia="黑体"/>
          <w:sz w:val="32"/>
          <w:szCs w:val="32"/>
        </w:rPr>
        <w:t>三、支</w:t>
      </w:r>
      <w:r>
        <w:rPr>
          <w:rStyle w:val="31"/>
          <w:rFonts w:hint="eastAsia" w:ascii="Times New Roman" w:hAnsi="Times New Roman" w:eastAsia="黑体"/>
          <w:b w:val="0"/>
        </w:rPr>
        <w:t>出决算情况说明</w:t>
      </w:r>
      <w:bookmarkEnd w:id="16"/>
      <w:bookmarkEnd w:id="17"/>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2024年度本年支出合计12131.55万元，其中：基本支出2419.23万元，占19.94%；项目支出9712.32万元，占80.06%。</w:t>
      </w:r>
    </w:p>
    <w:p>
      <w:pPr>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525" w:firstLineChars="250"/>
        <w:jc w:val="both"/>
        <w:rPr>
          <w:rFonts w:hint="eastAsia" w:eastAsia="仿宋_GB2312" w:cs="仿宋_GB2312"/>
          <w:sz w:val="32"/>
          <w:szCs w:val="32"/>
        </w:rPr>
      </w:pPr>
      <w:r>
        <w:pict>
          <v:shape id="_x0000_s1029" o:spid="_x0000_s1029" o:spt="75" type="#_x0000_t75" style="position:absolute;left:0pt;margin-left:-3.05pt;margin-top:9.25pt;height:225.35pt;width:413.75pt;z-index:251663360;mso-width-relative:page;mso-height-relative:page;" o:ole="t" filled="f" o:preferrelative="t" stroked="f" coordsize="21600,21600">
            <v:path/>
            <v:fill on="f" focussize="0,0"/>
            <v:stroke on="f"/>
            <v:imagedata r:id="rId14" o:title=""/>
            <o:lock v:ext="edit" aspectratio="t"/>
          </v:shape>
          <o:OLEObject Type="Embed" ProgID="Excel.Chart.8" ShapeID="_x0000_s1029" DrawAspect="Content" ObjectID="_1468075727" r:id="rId13">
            <o:LockedField>false</o:LockedField>
          </o:OLEObject>
        </w:pict>
      </w: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ind w:firstLine="800" w:firstLineChars="250"/>
        <w:jc w:val="both"/>
        <w:rPr>
          <w:rFonts w:hint="eastAsia" w:eastAsia="仿宋_GB2312" w:cs="仿宋_GB2312"/>
          <w:sz w:val="32"/>
          <w:szCs w:val="32"/>
        </w:rPr>
      </w:pPr>
    </w:p>
    <w:p>
      <w:pPr>
        <w:jc w:val="both"/>
        <w:rPr>
          <w:rFonts w:hint="eastAsia" w:eastAsia="仿宋_GB2312" w:cs="仿宋_GB2312"/>
          <w:sz w:val="32"/>
          <w:szCs w:val="32"/>
        </w:rPr>
      </w:pPr>
    </w:p>
    <w:p>
      <w:pPr>
        <w:ind w:firstLine="800" w:firstLineChars="250"/>
        <w:jc w:val="both"/>
        <w:rPr>
          <w:rFonts w:hint="eastAsia" w:eastAsia="黑体"/>
          <w:sz w:val="32"/>
          <w:szCs w:val="32"/>
        </w:rPr>
      </w:pPr>
      <w:r>
        <w:rPr>
          <w:rFonts w:hint="eastAsia" w:eastAsia="仿宋_GB2312" w:cs="仿宋_GB2312"/>
          <w:sz w:val="32"/>
          <w:szCs w:val="32"/>
        </w:rPr>
        <w:t>（图3：支出决算结构图）（饼状图）</w:t>
      </w:r>
      <w:bookmarkStart w:id="18" w:name="_Toc15377208"/>
      <w:bookmarkStart w:id="19" w:name="_Toc15396606"/>
    </w:p>
    <w:p>
      <w:pPr>
        <w:spacing w:line="600" w:lineRule="exact"/>
        <w:ind w:firstLine="640" w:firstLineChars="200"/>
        <w:jc w:val="both"/>
        <w:outlineLvl w:val="1"/>
        <w:rPr>
          <w:rStyle w:val="31"/>
          <w:rFonts w:ascii="Times New Roman" w:hAnsi="Times New Roman" w:eastAsia="黑体"/>
          <w:b w:val="0"/>
        </w:rPr>
      </w:pPr>
      <w:r>
        <w:rPr>
          <w:rFonts w:hint="eastAsia" w:eastAsia="黑体"/>
          <w:sz w:val="32"/>
          <w:szCs w:val="32"/>
        </w:rPr>
        <w:t>四、财</w:t>
      </w:r>
      <w:r>
        <w:rPr>
          <w:rStyle w:val="31"/>
          <w:rFonts w:hint="eastAsia" w:ascii="Times New Roman" w:hAnsi="Times New Roman" w:eastAsia="黑体"/>
          <w:b w:val="0"/>
        </w:rPr>
        <w:t>政拨款收入支出决算总体情况说明</w:t>
      </w:r>
      <w:bookmarkEnd w:id="18"/>
      <w:bookmarkEnd w:id="19"/>
    </w:p>
    <w:p>
      <w:pPr>
        <w:spacing w:line="600" w:lineRule="exact"/>
        <w:ind w:firstLine="640"/>
        <w:jc w:val="both"/>
        <w:rPr>
          <w:rFonts w:hint="eastAsia" w:eastAsia="仿宋_GB2312" w:cs="仿宋_GB2312"/>
          <w:sz w:val="32"/>
          <w:szCs w:val="32"/>
          <w:lang w:eastAsia="zh-CN"/>
        </w:rPr>
      </w:pPr>
      <w:r>
        <w:rPr>
          <w:rFonts w:hint="eastAsia" w:ascii="Times New Roman" w:hAnsi="Times New Roman" w:eastAsia="仿宋_GB2312" w:cs="仿宋_GB2312"/>
          <w:sz w:val="32"/>
          <w:szCs w:val="32"/>
          <w:lang w:val="en-US" w:eastAsia="zh-CN"/>
        </w:rPr>
        <w:t>2024年度财政拨款收入、支出总计均为11914.79万元。与2023年度相比，财政拨款收入、支出总计</w:t>
      </w:r>
      <w:r>
        <w:rPr>
          <w:rFonts w:hint="eastAsia" w:eastAsia="仿宋_GB2312" w:cs="仿宋_GB2312"/>
          <w:sz w:val="32"/>
          <w:szCs w:val="32"/>
          <w:lang w:val="en-US" w:eastAsia="zh-CN"/>
        </w:rPr>
        <w:t>各</w:t>
      </w:r>
      <w:r>
        <w:rPr>
          <w:rFonts w:hint="eastAsia" w:ascii="Times New Roman" w:hAnsi="Times New Roman" w:eastAsia="仿宋_GB2312" w:cs="仿宋_GB2312"/>
          <w:sz w:val="32"/>
          <w:szCs w:val="32"/>
          <w:lang w:val="en-US" w:eastAsia="zh-CN"/>
        </w:rPr>
        <w:t>减少3171.55万元，下降21.02%。主要变动原因是项目支出减少。</w:t>
      </w:r>
    </w:p>
    <w:p>
      <w:pPr>
        <w:spacing w:line="600" w:lineRule="exact"/>
        <w:ind w:firstLine="420" w:firstLineChars="200"/>
        <w:jc w:val="both"/>
        <w:rPr>
          <w:rFonts w:hint="eastAsia" w:eastAsia="仿宋_GB2312" w:cs="仿宋_GB2312"/>
          <w:sz w:val="32"/>
          <w:szCs w:val="32"/>
        </w:rPr>
      </w:pPr>
      <w:r>
        <w:pict>
          <v:shape id="_x0000_s1030" o:spid="_x0000_s1030" o:spt="75" type="#_x0000_t75" style="position:absolute;left:0pt;margin-left:14.3pt;margin-top:9.3pt;height:229pt;width:385.65pt;z-index:251664384;mso-width-relative:page;mso-height-relative:page;" o:ole="t" filled="f" o:preferrelative="t" stroked="f" coordsize="21600,21600">
            <v:path/>
            <v:fill on="f" focussize="0,0"/>
            <v:stroke on="f"/>
            <v:imagedata r:id="rId16" o:title=""/>
            <o:lock v:ext="edit" aspectratio="t"/>
          </v:shape>
          <o:OLEObject Type="Embed" ProgID="Excel.Chart.8" ShapeID="_x0000_s1030" DrawAspect="Content" ObjectID="_1468075728" r:id="rId15">
            <o:LockedField>false</o:LockedField>
          </o:OLEObject>
        </w:pict>
      </w: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ind w:firstLine="640" w:firstLineChars="200"/>
        <w:jc w:val="both"/>
        <w:rPr>
          <w:rFonts w:hint="eastAsia" w:eastAsia="仿宋_GB2312" w:cs="仿宋_GB2312"/>
          <w:sz w:val="32"/>
          <w:szCs w:val="32"/>
        </w:rPr>
      </w:pPr>
    </w:p>
    <w:p>
      <w:pPr>
        <w:spacing w:line="600" w:lineRule="exact"/>
        <w:jc w:val="both"/>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jc w:val="both"/>
        <w:outlineLvl w:val="1"/>
        <w:rPr>
          <w:rStyle w:val="31"/>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0"/>
      <w:bookmarkEnd w:id="21"/>
    </w:p>
    <w:p>
      <w:pPr>
        <w:spacing w:line="600" w:lineRule="exact"/>
        <w:ind w:firstLine="643" w:firstLineChars="200"/>
        <w:jc w:val="both"/>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jc w:val="both"/>
        <w:rPr>
          <w:rFonts w:hint="eastAsia" w:ascii="仿宋_GB2312" w:hAnsi="仿宋_GB2312" w:eastAsia="仿宋_GB2312" w:cs="仿宋_GB2312"/>
          <w:color w:val="FF0000"/>
          <w:sz w:val="32"/>
          <w:szCs w:val="32"/>
          <w:lang w:eastAsia="zh-CN"/>
        </w:rPr>
      </w:pPr>
      <w:r>
        <w:rPr>
          <w:rFonts w:hint="eastAsia" w:ascii="Times New Roman" w:hAnsi="Times New Roman" w:eastAsia="仿宋_GB2312" w:cs="仿宋_GB2312"/>
          <w:sz w:val="32"/>
          <w:szCs w:val="32"/>
          <w:lang w:val="en-US" w:eastAsia="zh-CN"/>
        </w:rPr>
        <w:t>2024年度一般公共预算财政拨款支出6887.48万元，占本年支出合计的56.77%。与2023年度相比，一般公共预算财政拨款支出减少1015.43万元，下降12.85%。主要变动原因是项目支出减少。</w:t>
      </w:r>
    </w:p>
    <w:p>
      <w:pPr>
        <w:spacing w:line="600" w:lineRule="exact"/>
        <w:ind w:firstLine="640"/>
        <w:jc w:val="both"/>
        <w:rPr>
          <w:rFonts w:hint="eastAsia" w:ascii="仿宋_GB2312" w:hAnsi="仿宋_GB2312" w:eastAsia="仿宋_GB2312" w:cs="仿宋_GB2312"/>
          <w:sz w:val="32"/>
          <w:szCs w:val="32"/>
          <w:lang w:eastAsia="zh-CN"/>
        </w:rPr>
      </w:pPr>
      <w:r>
        <w:pict>
          <v:shape id="_x0000_s1031" o:spid="_x0000_s1031" o:spt="75" type="#_x0000_t75" style="position:absolute;left:0pt;margin-left:14.35pt;margin-top:17.6pt;height:229.7pt;width:396.85pt;z-index:251671552;mso-width-relative:page;mso-height-relative:page;" o:ole="t" filled="f" o:preferrelative="t" stroked="f" coordsize="21600,21600">
            <v:path/>
            <v:fill on="f" focussize="0,0"/>
            <v:stroke on="f"/>
            <v:imagedata r:id="rId18" o:title=""/>
            <o:lock v:ext="edit" aspectratio="t"/>
          </v:shape>
          <o:OLEObject Type="Embed" ProgID="Excel.Chart.8" ShapeID="_x0000_s1031" DrawAspect="Content" ObjectID="_1468075729" r:id="rId17">
            <o:LockedField>false</o:LockedField>
          </o:OLEObject>
        </w:pict>
      </w:r>
    </w:p>
    <w:p>
      <w:pPr>
        <w:spacing w:line="600" w:lineRule="exact"/>
        <w:ind w:firstLine="640"/>
        <w:jc w:val="both"/>
        <w:rPr>
          <w:rFonts w:hint="eastAsia" w:ascii="仿宋_GB2312" w:hAnsi="仿宋_GB2312" w:eastAsia="仿宋_GB2312" w:cs="仿宋_GB2312"/>
          <w:sz w:val="32"/>
          <w:szCs w:val="32"/>
          <w:lang w:eastAsia="zh-CN"/>
        </w:rPr>
      </w:pPr>
    </w:p>
    <w:p>
      <w:pPr>
        <w:spacing w:line="600" w:lineRule="exact"/>
        <w:ind w:firstLine="640"/>
        <w:jc w:val="both"/>
        <w:rPr>
          <w:rFonts w:hint="eastAsia" w:ascii="仿宋_GB2312" w:hAnsi="仿宋_GB2312" w:eastAsia="仿宋_GB2312" w:cs="仿宋_GB2312"/>
          <w:sz w:val="32"/>
          <w:szCs w:val="32"/>
          <w:lang w:eastAsia="zh-CN"/>
        </w:rPr>
      </w:pPr>
    </w:p>
    <w:p>
      <w:pPr>
        <w:spacing w:line="600" w:lineRule="exact"/>
        <w:ind w:firstLine="640"/>
        <w:jc w:val="both"/>
        <w:rPr>
          <w:rFonts w:hint="eastAsia" w:ascii="仿宋_GB2312" w:hAnsi="仿宋_GB2312" w:eastAsia="仿宋_GB2312" w:cs="仿宋_GB2312"/>
          <w:sz w:val="32"/>
          <w:szCs w:val="32"/>
          <w:lang w:eastAsia="zh-CN"/>
        </w:rPr>
      </w:pPr>
    </w:p>
    <w:p>
      <w:pPr>
        <w:pStyle w:val="6"/>
        <w:jc w:val="both"/>
        <w:rPr>
          <w:rFonts w:hint="eastAsia" w:ascii="仿宋_GB2312" w:hAnsi="仿宋_GB2312" w:eastAsia="仿宋_GB2312" w:cs="仿宋_GB2312"/>
          <w:sz w:val="32"/>
          <w:szCs w:val="32"/>
          <w:lang w:eastAsia="zh-CN"/>
        </w:rPr>
      </w:pPr>
    </w:p>
    <w:p>
      <w:pPr>
        <w:pStyle w:val="6"/>
        <w:jc w:val="both"/>
        <w:rPr>
          <w:rFonts w:hint="eastAsia" w:ascii="仿宋_GB2312" w:hAnsi="仿宋_GB2312" w:eastAsia="仿宋_GB2312" w:cs="仿宋_GB2312"/>
          <w:sz w:val="32"/>
          <w:szCs w:val="32"/>
          <w:lang w:eastAsia="zh-CN"/>
        </w:rPr>
      </w:pPr>
    </w:p>
    <w:p>
      <w:pPr>
        <w:pStyle w:val="6"/>
        <w:jc w:val="both"/>
        <w:rPr>
          <w:rFonts w:hint="eastAsia" w:ascii="仿宋_GB2312" w:hAnsi="仿宋_GB2312" w:eastAsia="仿宋_GB2312" w:cs="仿宋_GB2312"/>
          <w:sz w:val="32"/>
          <w:szCs w:val="32"/>
          <w:lang w:eastAsia="zh-CN"/>
        </w:rPr>
      </w:pPr>
    </w:p>
    <w:p>
      <w:pPr>
        <w:pStyle w:val="6"/>
        <w:jc w:val="both"/>
        <w:rPr>
          <w:rFonts w:hint="eastAsia" w:ascii="仿宋_GB2312" w:hAnsi="仿宋_GB2312" w:eastAsia="仿宋_GB2312" w:cs="仿宋_GB2312"/>
          <w:sz w:val="32"/>
          <w:szCs w:val="32"/>
          <w:lang w:eastAsia="zh-CN"/>
        </w:rPr>
      </w:pPr>
    </w:p>
    <w:p>
      <w:pPr>
        <w:spacing w:line="600" w:lineRule="exact"/>
        <w:jc w:val="both"/>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jc w:val="both"/>
        <w:rPr>
          <w:rFonts w:eastAsia="仿宋_GB2312" w:cs="仿宋_GB2312"/>
          <w:sz w:val="32"/>
          <w:szCs w:val="32"/>
        </w:rPr>
      </w:pPr>
    </w:p>
    <w:p>
      <w:pPr>
        <w:spacing w:line="600" w:lineRule="exact"/>
        <w:ind w:firstLine="643" w:firstLineChars="200"/>
        <w:jc w:val="both"/>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jc w:val="both"/>
        <w:rPr>
          <w:rFonts w:eastAsia="仿宋_GB2312" w:cs="仿宋_GB2312"/>
          <w:b/>
          <w:bCs/>
          <w:sz w:val="32"/>
          <w:szCs w:val="32"/>
        </w:rPr>
      </w:pPr>
      <w:r>
        <w:rPr>
          <w:rFonts w:hint="eastAsia" w:ascii="Times New Roman" w:hAnsi="Times New Roman" w:eastAsia="仿宋_GB2312" w:cs="仿宋_GB2312"/>
          <w:sz w:val="32"/>
          <w:szCs w:val="32"/>
          <w:lang w:val="en-US" w:eastAsia="zh-CN"/>
        </w:rPr>
        <w:t>2024年度一般公共预算财政拨款支出6887.48万元，主要用于以下方面：一般公共服务支出1033.78万元，占15.01%；文化旅游体育与传媒支出122.48万元，占1.78%；社会保障和就业支出781.09万元，占11.34%；卫生健康支出149.93万元，占2.18%；节能环保支出286.75万元，占4.16%；城乡社区支出22.12万元，占0.32%；农林水支出4356.51万元，占63.25%；住房保障支出129.37万元，占1.88%；灾害防治及应急管理支出5.45万元，占0.08%。</w:t>
      </w:r>
    </w:p>
    <w:p>
      <w:pPr>
        <w:spacing w:line="600" w:lineRule="exact"/>
        <w:ind w:firstLine="640"/>
        <w:jc w:val="both"/>
        <w:rPr>
          <w:rFonts w:hint="eastAsia" w:eastAsia="仿宋_GB2312" w:cs="仿宋_GB2312"/>
          <w:sz w:val="32"/>
          <w:szCs w:val="32"/>
        </w:rPr>
      </w:pPr>
      <w:r>
        <w:pict>
          <v:shape id="_x0000_s1032" o:spid="_x0000_s1032" o:spt="75" type="#_x0000_t75" style="position:absolute;left:0pt;margin-left:-7.75pt;margin-top:29pt;height:256.3pt;width:450.1pt;z-index:251677696;mso-width-relative:page;mso-height-relative:page;" o:ole="t" filled="f" o:preferrelative="t" stroked="f" coordsize="21600,21600">
            <v:path/>
            <v:fill on="f" focussize="0,0"/>
            <v:stroke on="f"/>
            <v:imagedata r:id="rId20" o:title=""/>
            <o:lock v:ext="edit" aspectratio="t"/>
          </v:shape>
          <o:OLEObject Type="Embed" ProgID="Excel.Chart.8" ShapeID="_x0000_s1032" DrawAspect="Content" ObjectID="_1468075730" r:id="rId19">
            <o:LockedField>false</o:LockedField>
          </o:OLEObject>
        </w:pict>
      </w:r>
    </w:p>
    <w:p>
      <w:pPr>
        <w:spacing w:line="600" w:lineRule="exact"/>
        <w:ind w:firstLine="640"/>
        <w:jc w:val="both"/>
        <w:rPr>
          <w:rFonts w:hint="eastAsia" w:eastAsia="仿宋_GB2312" w:cs="仿宋_GB2312"/>
          <w:sz w:val="32"/>
          <w:szCs w:val="32"/>
        </w:rPr>
      </w:pPr>
    </w:p>
    <w:p>
      <w:pPr>
        <w:spacing w:line="600" w:lineRule="exact"/>
        <w:ind w:firstLine="640"/>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hint="eastAsia" w:eastAsia="仿宋_GB2312" w:cs="仿宋_GB2312"/>
          <w:sz w:val="32"/>
          <w:szCs w:val="32"/>
        </w:rPr>
      </w:pPr>
    </w:p>
    <w:p>
      <w:pPr>
        <w:spacing w:line="600" w:lineRule="exact"/>
        <w:jc w:val="both"/>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0"/>
        <w:jc w:val="both"/>
        <w:rPr>
          <w:rFonts w:eastAsia="仿宋_GB2312" w:cs="仿宋_GB2312"/>
          <w:sz w:val="32"/>
          <w:szCs w:val="32"/>
        </w:rPr>
      </w:pPr>
    </w:p>
    <w:p>
      <w:pPr>
        <w:spacing w:line="600" w:lineRule="exact"/>
        <w:ind w:firstLine="643" w:firstLineChars="200"/>
        <w:jc w:val="both"/>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jc w:val="both"/>
        <w:rPr>
          <w:rFonts w:eastAsia="仿宋_GB2312" w:cs="仿宋_GB2312"/>
          <w:sz w:val="32"/>
          <w:szCs w:val="32"/>
        </w:rPr>
      </w:pPr>
      <w:bookmarkStart w:id="25" w:name="_Toc15377444"/>
      <w:bookmarkStart w:id="26" w:name="_Toc15378460"/>
      <w:bookmarkStart w:id="27" w:name="_Toc15377213"/>
      <w:r>
        <w:rPr>
          <w:rFonts w:hint="eastAsia" w:eastAsia="仿宋_GB2312" w:cs="仿宋_GB2312"/>
          <w:sz w:val="32"/>
          <w:szCs w:val="32"/>
        </w:rPr>
        <w:t>2024年度一般公共预算财政拨款支出决算数为</w:t>
      </w:r>
      <w:r>
        <w:rPr>
          <w:rFonts w:hint="eastAsia" w:ascii="Times New Roman" w:hAnsi="Times New Roman" w:eastAsia="仿宋_GB2312" w:cs="仿宋_GB2312"/>
          <w:sz w:val="32"/>
          <w:szCs w:val="32"/>
          <w:lang w:val="en-US" w:eastAsia="zh-CN"/>
        </w:rPr>
        <w:t>6887.48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1.一般公共服务支出（类）人大事务（款）行政运行（项）: 支出决算为20.43万元，完成预算100%，决算数与预算数持平。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2.一般公共服务支出（类）人大事务（款）人大会议（项）: 支出决算为1.54万元，完成预算100%，决算数与预算数持平。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3.一般公共服务支出（类）人大事务（款）其他人大事务支出（项）: 支出决算为7.88万元，完成预算100%，决算数与预算数持平。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4.一般公共服务支出（类）政协事务（款）其他政协事务支出（项）: 支出决算为2.74万元，完成预算100%，决算数与预算数持平。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5.一般公共服务支出（类）政府办公厅（室）及相关机构事务（款）行政运行（项）: 支出决算为740.2万元，完成预算100%，决算数与预算数持平。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6.一般公共服务支出（类）政府办公厅（室）及相关机构事务（款）一般行政管理事务（项）: 支出决算为33.66万元，完成预算100%，决算数与预算数持平。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7.一般公共服务支出（类）政府办公厅（室）及相关机构事务（款）事业运行（项）: 支出决算为76.28万元，完成预算100%，决算数与预算数持平。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8.一般公共服务支出（类）政府办公厅（室）及相关机构事务（款）其他政府办公厅(室)及相关机构事务支出（项）: 支出决算为6.98万元，完成预算100%，决算数与预算数持平。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9.一般公共服务支出（类）民族事务（款）民族工作专项（项）: 支出决算为2.6万元，完成预算100%，决算数与预算数持平。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10.一般公共服务支出（类）民族事务（款）其他民族事务支出（项）: 支出决算为1.2万元，完成预算100%，决算数与预算数持平。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11.一般公共服务支出（类）群众团体事务（款）事业运行（项）: 支出决算为62.75万元，完成预算100%，决算数与预算数持平。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12.一般公共服务支出（类）党委办公厅（室）及相关机构事务（款）行政运行（项）: 支出决算为58.14万元，完成预算100%，决算数与预算数持平。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13.一般公共服务支出（类）党委办公厅（室）及相关机构事务（款）一般行政管理事务（项）: 支出决算为14.62万元，完成预算100%，决算数与预算数持平。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14.一般公共服务支出（类）其他一般公共服务（款）其他一般公共服务（项）: 支出决算为4.75万元，完成预算100%，决算数与预算数持平。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15.文化旅游体育与传媒支出（类）文化和旅游（款）群众文化（项）: 支出决算为49.43万元，完成预算100%，决算数与预算数持平。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16.文化旅游体育与传媒支出（类）文化和旅游（款）其他文化和旅游支出（项）: 支出决算为73.05万元，完成预算100%，决算数与预算数持平。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17.社会保障和就业支出（类）人力资源和社会保障管理事务（款）社会保险经办机构（项）: 支出决算为76.64万元，完成预算100%，决算数与预算数持平。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18.社会保障和就业支出（类）人力资源和社会保障管理事务（款）其他人力资源和社会保障管理事务支出（项）: 支出决算为15.39万元，完成预算100%，决算数与预算数持平。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19.社会保障和就业支出（类）民政管理事务（款）基层政权建设和社区治理（项）: 支出决算为111.21万元，完成预算100%，决算数与预算数持平。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20.社会保障和就业支出（类）民政管理事务（款）其他民政管理事务支出（项）: 支出决算为67.21万元，完成预算100%，决算数与预算数持平。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21.社会保障和就业支出（类）行政事业单位养老支出（款）行政单位离退休（项）: 支出决算为101.02万元，完成预算100%，决算数与预算数持平。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22.社会保障和就业支出（类）行政事业单位养老支出（款）事业单位离退休（项）: 支出决算为58.66万元，完成预算100%，决算数与预算数持平。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23.社会保障和就业支出（类）行政事业单位养老支出（款）机关事业单位基本养老保险缴费支出（项）: 支出决算为140.48万元，完成预算100%，决算数与预算数持平。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24.社会保障和就业支出（类）行政事业单位养老支出（款）机关事业单位职业年金缴费支出（项）: 支出决算为41.75万元，完成预算100%，决算数与预算数持平。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25.社会保障和就业支出（类）抚恤（款）死亡抚恤（项）: 支出决算为45.21万元，完成预算100%，决算数与预算数持平。</w:t>
      </w:r>
    </w:p>
    <w:p>
      <w:pPr>
        <w:pStyle w:val="6"/>
        <w:ind w:firstLine="640" w:firstLineChars="20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cs="仿宋_GB2312"/>
          <w:sz w:val="32"/>
          <w:szCs w:val="32"/>
          <w:lang w:val="en-US" w:eastAsia="zh-CN"/>
        </w:rPr>
        <w:t>6</w:t>
      </w:r>
      <w:r>
        <w:rPr>
          <w:rFonts w:hint="eastAsia" w:ascii="Times New Roman" w:hAnsi="Times New Roman" w:eastAsia="仿宋_GB2312" w:cs="仿宋_GB2312"/>
          <w:sz w:val="32"/>
          <w:szCs w:val="32"/>
          <w:lang w:val="en-US" w:eastAsia="zh-CN"/>
        </w:rPr>
        <w:t>.社会保障和就业支出（类）抚恤（款）</w:t>
      </w:r>
      <w:r>
        <w:rPr>
          <w:rFonts w:hint="eastAsia" w:ascii="Times New Roman" w:hAnsi="Times New Roman" w:cs="仿宋_GB2312"/>
          <w:sz w:val="32"/>
          <w:szCs w:val="32"/>
          <w:lang w:val="en-US" w:eastAsia="zh-CN"/>
        </w:rPr>
        <w:t>伤残</w:t>
      </w:r>
      <w:r>
        <w:rPr>
          <w:rFonts w:hint="eastAsia" w:ascii="Times New Roman" w:hAnsi="Times New Roman" w:eastAsia="仿宋_GB2312" w:cs="仿宋_GB2312"/>
          <w:sz w:val="32"/>
          <w:szCs w:val="32"/>
          <w:lang w:val="en-US" w:eastAsia="zh-CN"/>
        </w:rPr>
        <w:t>抚恤（项）: 支出决算为</w:t>
      </w:r>
      <w:r>
        <w:rPr>
          <w:rFonts w:hint="eastAsia" w:ascii="Times New Roman" w:hAnsi="Times New Roman" w:cs="仿宋_GB2312"/>
          <w:sz w:val="32"/>
          <w:szCs w:val="32"/>
          <w:lang w:val="en-US" w:eastAsia="zh-CN"/>
        </w:rPr>
        <w:t>8.54</w:t>
      </w:r>
      <w:r>
        <w:rPr>
          <w:rFonts w:hint="eastAsia" w:ascii="Times New Roman" w:hAnsi="Times New Roman" w:eastAsia="仿宋_GB2312" w:cs="仿宋_GB2312"/>
          <w:sz w:val="32"/>
          <w:szCs w:val="32"/>
          <w:lang w:val="en-US" w:eastAsia="zh-CN"/>
        </w:rPr>
        <w:t>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27.社会保障和就业支出（类）特困人员救助供养（款）农村特困人员救助供养支出（项）: 支出决算为105.99万元，完成预算100%，决算数与预算数持平。</w:t>
      </w:r>
    </w:p>
    <w:p>
      <w:pPr>
        <w:pStyle w:val="6"/>
        <w:ind w:firstLine="640" w:firstLineChars="200"/>
        <w:jc w:val="both"/>
        <w:rPr>
          <w:rFonts w:hint="eastAsia" w:ascii="Times New Roman" w:hAnsi="Times New Roman" w:eastAsia="仿宋_GB2312" w:cs="仿宋_GB2312"/>
          <w:sz w:val="32"/>
          <w:szCs w:val="32"/>
          <w:lang w:val="en-US" w:eastAsia="zh-CN"/>
        </w:rPr>
      </w:pPr>
      <w:r>
        <w:rPr>
          <w:rFonts w:hint="eastAsia" w:ascii="Times New Roman" w:hAnsi="Times New Roman" w:cs="仿宋_GB2312"/>
          <w:sz w:val="32"/>
          <w:szCs w:val="32"/>
          <w:lang w:val="en-US" w:eastAsia="zh-CN"/>
        </w:rPr>
        <w:t>28</w:t>
      </w:r>
      <w:r>
        <w:rPr>
          <w:rFonts w:hint="eastAsia" w:ascii="Times New Roman" w:hAnsi="Times New Roman" w:eastAsia="仿宋_GB2312" w:cs="仿宋_GB2312"/>
          <w:sz w:val="32"/>
          <w:szCs w:val="32"/>
          <w:lang w:val="en-US" w:eastAsia="zh-CN"/>
        </w:rPr>
        <w:t>.社会保障和就业支出（类）</w:t>
      </w:r>
      <w:r>
        <w:rPr>
          <w:rFonts w:hint="eastAsia" w:ascii="Times New Roman" w:hAnsi="Times New Roman" w:cs="仿宋_GB2312"/>
          <w:sz w:val="32"/>
          <w:szCs w:val="32"/>
          <w:lang w:val="en-US" w:eastAsia="zh-CN"/>
        </w:rPr>
        <w:t>其他生活救助</w:t>
      </w:r>
      <w:r>
        <w:rPr>
          <w:rFonts w:hint="eastAsia" w:ascii="Times New Roman" w:hAnsi="Times New Roman" w:eastAsia="仿宋_GB2312" w:cs="仿宋_GB2312"/>
          <w:sz w:val="32"/>
          <w:szCs w:val="32"/>
          <w:lang w:val="en-US" w:eastAsia="zh-CN"/>
        </w:rPr>
        <w:t>（款）</w:t>
      </w:r>
      <w:r>
        <w:rPr>
          <w:rFonts w:hint="eastAsia" w:ascii="Times New Roman" w:hAnsi="Times New Roman" w:cs="仿宋_GB2312"/>
          <w:sz w:val="32"/>
          <w:szCs w:val="32"/>
          <w:lang w:val="en-US" w:eastAsia="zh-CN"/>
        </w:rPr>
        <w:t>其他农村生活救助</w:t>
      </w:r>
      <w:r>
        <w:rPr>
          <w:rFonts w:hint="eastAsia" w:ascii="Times New Roman" w:hAnsi="Times New Roman" w:eastAsia="仿宋_GB2312" w:cs="仿宋_GB2312"/>
          <w:sz w:val="32"/>
          <w:szCs w:val="32"/>
          <w:lang w:val="en-US" w:eastAsia="zh-CN"/>
        </w:rPr>
        <w:t>（项）: 支出决算为</w:t>
      </w:r>
      <w:r>
        <w:rPr>
          <w:rFonts w:hint="eastAsia" w:ascii="Times New Roman" w:hAnsi="Times New Roman" w:cs="仿宋_GB2312"/>
          <w:sz w:val="32"/>
          <w:szCs w:val="32"/>
          <w:lang w:val="en-US" w:eastAsia="zh-CN"/>
        </w:rPr>
        <w:t>9</w:t>
      </w:r>
      <w:r>
        <w:rPr>
          <w:rFonts w:hint="eastAsia" w:ascii="Times New Roman" w:hAnsi="Times New Roman" w:eastAsia="仿宋_GB2312" w:cs="仿宋_GB2312"/>
          <w:sz w:val="32"/>
          <w:szCs w:val="32"/>
          <w:lang w:val="en-US" w:eastAsia="zh-CN"/>
        </w:rPr>
        <w:t>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29.卫生健康支出（类）公共卫生（款）其他公共卫生支出（项）: 支出决算为15.17万元，完成预算100%，决算数与预算数持平。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30.卫生健康支出（类）行政事业单位医疗（款）行政单位医疗（项）: 支出决算为46.39万元，完成预算100%，决算数与预算数持平。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31.卫生健康支出（类）行政事业单位医疗（款）事业单位医疗（项）: 支出决算为38.35万元，完成预算100%，决算数与预算数持平。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32.卫生健康支出（类）行政事业单位医疗（款）公务员医疗补助（项）: 支出决算为4.88万元，完成预算100%，决算数与预算数持平。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33.卫生健康支出（类）行政事业单位医疗（款）其他行政事业单位医疗支出（项）: 支出决算为45.14万元，完成预算100%，决算数与预算数持平。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34.节能环保支出（类）污染防治（款）其他污染防治支出（项）: 支出决算为24万元，完成预算100%，决算数与预算数持平。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35.节能环保支出（类）自然生态保护（款）其他自然生态保护支出（项）: 支出决算为208万元，完成预算100%，决算数与预算数持平。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36.节能环保支出（类）其他节能环保支出（款）其他节能环保支出（项）: 支出决算为54.74万元，完成预算100%，决算数与预算数持平。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37.城乡社区支出（类）城乡社区环境卫生（款）城乡社区环境卫生（项）: 支出决算为17.72万元，完成预算100%，决算数与预算数持平。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38.城乡社区支出（类）其他城乡社区支出（款）其他城乡社区支出（项）: 支出决算为4.4万元，完成预算100%，决算数与预算数持平。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39.农林水支出（类）农业农村（款）事业运行（项）: 支出决算为256.2万元，完成预算100%，决算数与预算数持平。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40.农林水支出（类）农业农村（款）其他农业农村支出（项）: 支出决算为1.75万元，完成预算100%，决算数与预算数持平。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41.农林水支出（类）林业和草原（款）林业草原防灾减灾（项）: 支出决算为17.97万元，完成预算100%，决算数与预算数持平。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42.农林水支出（类）水利（款）大中型水库移民后期扶持专项支出（项）: 支出决算为56.29万元，完成预算100%，决算数与预算数持平。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43.农林水支出（类）农村综合改革（款）对村民委员会和村党支部的补助（项）: 支出决算为395.41万元，完成预算100%，决算数与预算数持平。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44.农林水支出（类）农村综合改革（款）农村综合改革示范试点补助（项）: 支出决算为3070.7万元，完成预算100%，决算数与预算数持平。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45.农林水支出（类）农村综合改革（款）其他农村综合改革支出（项）: 支出决算为210万元，完成预算100%，决算数与预算数持平。</w:t>
      </w:r>
    </w:p>
    <w:p>
      <w:pPr>
        <w:spacing w:line="600" w:lineRule="exact"/>
        <w:ind w:firstLine="640"/>
        <w:jc w:val="both"/>
        <w:rPr>
          <w:rFonts w:hint="eastAsia"/>
          <w:lang w:val="en-US" w:eastAsia="zh-CN"/>
        </w:rPr>
      </w:pPr>
      <w:r>
        <w:rPr>
          <w:rFonts w:hint="eastAsia" w:ascii="Times New Roman" w:hAnsi="Times New Roman" w:eastAsia="仿宋_GB2312" w:cs="仿宋_GB2312"/>
          <w:sz w:val="32"/>
          <w:szCs w:val="32"/>
          <w:lang w:val="en-US" w:eastAsia="zh-CN"/>
        </w:rPr>
        <w:t>46.农林水支出（类）其他农林水支出（款）其他农林水支出（项）: 支出决算为348.2万元，完成预算100%，决算数与预算数持平。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47.住房保障支出（类）住房改革支出（款）住房公积金（项）: 支出决算为124.15万元，完成预算100%，决算数与预算数持平。</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48.住房保障支出（类）住房改革支出（款）购房补贴（项）: 支出决算为5.22万元，完成预算100%，决算数与预算数持平。</w:t>
      </w:r>
    </w:p>
    <w:p>
      <w:pPr>
        <w:spacing w:line="600" w:lineRule="exact"/>
        <w:ind w:firstLine="640"/>
        <w:jc w:val="both"/>
        <w:rPr>
          <w:rFonts w:eastAsia="仿宋_GB2312" w:cs="仿宋_GB2312"/>
          <w:sz w:val="32"/>
          <w:szCs w:val="32"/>
        </w:rPr>
      </w:pPr>
      <w:r>
        <w:rPr>
          <w:rFonts w:hint="eastAsia" w:ascii="Times New Roman" w:hAnsi="Times New Roman" w:eastAsia="仿宋_GB2312" w:cs="仿宋_GB2312"/>
          <w:sz w:val="32"/>
          <w:szCs w:val="32"/>
          <w:lang w:val="en-US" w:eastAsia="zh-CN"/>
        </w:rPr>
        <w:t>49.灾害防治及应急管理支出（类）应急管理事务（款）安全监管（项）: 支出决算为5.45万元，完成预算100%，决算数与预算数持平。</w:t>
      </w:r>
    </w:p>
    <w:p>
      <w:pPr>
        <w:tabs>
          <w:tab w:val="right" w:pos="8306"/>
        </w:tabs>
        <w:spacing w:line="600" w:lineRule="exact"/>
        <w:ind w:firstLine="640"/>
        <w:jc w:val="both"/>
        <w:outlineLvl w:val="1"/>
        <w:rPr>
          <w:rStyle w:val="31"/>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28"/>
      <w:bookmarkEnd w:id="29"/>
      <w:r>
        <w:rPr>
          <w:rStyle w:val="31"/>
          <w:rFonts w:ascii="Times New Roman" w:hAnsi="Times New Roman" w:eastAsia="黑体"/>
          <w:b w:val="0"/>
        </w:rPr>
        <w:tab/>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2024年度一般公共预算财政拨款基本支出2419.23万元，其中：</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人员经费2153.16万元，主要包括：基本工资322.28万元、津贴补贴224.37万元、奖金225.39万元、绩效工资253.30万元、机关事业单位基本养老保险缴费140.48万元、职业年金缴费41.75万元、职工基本医疗保险缴费84.75万元、公务员医疗补助缴费45.96万元、其他社会保障缴费3.70万元、住房公积金124.16万元、医疗费4.05万元、其他工资福利支出103.13万元、抚恤金53.75万元、生活补助489.24万元、医疗费补助36.84万元、奖励金0.01万元。</w:t>
      </w:r>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公用经费266.07万元，主要包括：办公费96.92万元、水费0.18万元、电费9.12万元、邮电费10.98万元、差旅费9.38万元、维修（护）费0.12万元、会议费3.09万元、培训费0.37万元、公务接待费0.09万元、劳务费52.42万元、工会经费20.63万元、福利费10.04万元、公务用车运行维护费6.75万元、其他交通费用31.67万元、其他商品和服务支出10万元、办公设备购置4.31万元。</w:t>
      </w:r>
    </w:p>
    <w:p>
      <w:pPr>
        <w:spacing w:line="600" w:lineRule="exact"/>
        <w:ind w:firstLine="640"/>
        <w:jc w:val="both"/>
        <w:outlineLvl w:val="1"/>
        <w:rPr>
          <w:rStyle w:val="31"/>
          <w:rFonts w:ascii="Times New Roman" w:hAnsi="Times New Roman" w:eastAsia="黑体"/>
          <w:b w:val="0"/>
        </w:rPr>
      </w:pPr>
      <w:bookmarkStart w:id="30" w:name="_Toc15377215"/>
      <w:bookmarkStart w:id="31" w:name="_Toc15396609"/>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0"/>
      <w:bookmarkEnd w:id="31"/>
    </w:p>
    <w:p>
      <w:pPr>
        <w:spacing w:line="600" w:lineRule="exact"/>
        <w:ind w:firstLine="643" w:firstLineChars="200"/>
        <w:jc w:val="both"/>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pageBreakBefore w:val="0"/>
        <w:kinsoku/>
        <w:wordWrap/>
        <w:overflowPunct/>
        <w:topLinePunct w:val="0"/>
        <w:bidi w:val="0"/>
        <w:spacing w:line="600" w:lineRule="exact"/>
        <w:ind w:firstLine="640"/>
        <w:jc w:val="both"/>
        <w:textAlignment w:val="auto"/>
        <w:rPr>
          <w:rFonts w:hint="eastAsia" w:ascii="仿宋_GB2312" w:eastAsia="仿宋_GB2312"/>
          <w:sz w:val="32"/>
          <w:szCs w:val="32"/>
        </w:rPr>
      </w:pPr>
      <w:r>
        <w:rPr>
          <w:rFonts w:hint="eastAsia" w:eastAsia="仿宋_GB2312" w:cs="仿宋_GB2312"/>
          <w:sz w:val="32"/>
          <w:szCs w:val="32"/>
        </w:rPr>
        <w:t>2024年度“三公”经费</w:t>
      </w:r>
      <w:r>
        <w:rPr>
          <w:rFonts w:hint="eastAsia" w:ascii="Times New Roman" w:hAnsi="Times New Roman" w:eastAsia="仿宋_GB2312" w:cs="仿宋_GB2312"/>
          <w:sz w:val="32"/>
          <w:szCs w:val="32"/>
        </w:rPr>
        <w:t>财政拨款支出决算为6.84万元，完成预算</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%，较上</w:t>
      </w:r>
      <w:r>
        <w:rPr>
          <w:rFonts w:hint="eastAsia" w:eastAsia="仿宋_GB2312" w:cs="仿宋_GB2312"/>
          <w:sz w:val="32"/>
          <w:szCs w:val="32"/>
        </w:rPr>
        <w:t>年度减少</w:t>
      </w:r>
      <w:r>
        <w:rPr>
          <w:rFonts w:hint="eastAsia" w:eastAsia="仿宋_GB2312" w:cs="仿宋_GB2312"/>
          <w:sz w:val="32"/>
          <w:szCs w:val="32"/>
          <w:lang w:val="en-US" w:eastAsia="zh-CN"/>
        </w:rPr>
        <w:t>3.55</w:t>
      </w:r>
      <w:r>
        <w:rPr>
          <w:rFonts w:hint="eastAsia" w:eastAsia="仿宋_GB2312" w:cs="仿宋_GB2312"/>
          <w:sz w:val="32"/>
          <w:szCs w:val="32"/>
        </w:rPr>
        <w:t>万元，下降</w:t>
      </w:r>
      <w:r>
        <w:rPr>
          <w:rFonts w:hint="eastAsia" w:eastAsia="仿宋_GB2312" w:cs="仿宋_GB2312"/>
          <w:sz w:val="32"/>
          <w:szCs w:val="32"/>
          <w:lang w:val="en-US" w:eastAsia="zh-CN"/>
        </w:rPr>
        <w:t>34.17</w:t>
      </w:r>
      <w:r>
        <w:rPr>
          <w:rFonts w:hint="eastAsia" w:eastAsia="仿宋_GB2312" w:cs="仿宋_GB2312"/>
          <w:sz w:val="32"/>
          <w:szCs w:val="32"/>
        </w:rPr>
        <w:t>%。</w:t>
      </w:r>
      <w:r>
        <w:rPr>
          <w:rFonts w:hint="eastAsia" w:ascii="仿宋_GB2312" w:eastAsia="仿宋_GB2312"/>
          <w:sz w:val="32"/>
          <w:szCs w:val="32"/>
        </w:rPr>
        <w:t>决算数与预算数持平。</w:t>
      </w:r>
    </w:p>
    <w:p>
      <w:pPr>
        <w:spacing w:line="600" w:lineRule="exact"/>
        <w:ind w:firstLine="643" w:firstLineChars="200"/>
        <w:jc w:val="both"/>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w:t>
      </w:r>
      <w:r>
        <w:rPr>
          <w:rFonts w:hint="eastAsia" w:ascii="Times New Roman" w:hAnsi="Times New Roman" w:eastAsia="仿宋_GB2312" w:cs="仿宋_GB2312"/>
          <w:sz w:val="32"/>
          <w:szCs w:val="32"/>
          <w:lang w:val="en-US" w:eastAsia="zh-CN"/>
        </w:rPr>
        <w:t>算6.75万元，占98.68%；公</w:t>
      </w:r>
      <w:r>
        <w:rPr>
          <w:rFonts w:hint="eastAsia" w:ascii="仿宋_GB2312" w:hAnsi="仿宋_GB2312" w:eastAsia="仿宋_GB2312" w:cs="仿宋_GB2312"/>
          <w:sz w:val="32"/>
          <w:szCs w:val="32"/>
        </w:rPr>
        <w:t>务接待费支出</w:t>
      </w:r>
      <w:r>
        <w:rPr>
          <w:rFonts w:hint="eastAsia" w:ascii="Times New Roman" w:hAnsi="Times New Roman" w:eastAsia="仿宋_GB2312" w:cs="仿宋_GB2312"/>
          <w:sz w:val="32"/>
          <w:szCs w:val="32"/>
          <w:lang w:val="en-US" w:eastAsia="zh-CN"/>
        </w:rPr>
        <w:t>决算0.09万元，占1.32%。具体情况如下：</w:t>
      </w:r>
    </w:p>
    <w:p>
      <w:pPr>
        <w:pStyle w:val="6"/>
        <w:jc w:val="both"/>
        <w:rPr>
          <w:rFonts w:hint="eastAsia" w:ascii="仿宋_GB2312" w:hAnsi="仿宋_GB2312" w:eastAsia="仿宋_GB2312" w:cs="仿宋_GB2312"/>
          <w:sz w:val="32"/>
          <w:szCs w:val="32"/>
        </w:rPr>
      </w:pPr>
      <w:r>
        <w:pict>
          <v:shape id="_x0000_s1033" o:spid="_x0000_s1033" o:spt="75" type="#_x0000_t75" style="position:absolute;left:0pt;margin-left:1.1pt;margin-top:22.6pt;height:225.55pt;width:413.85pt;z-index:251683840;mso-width-relative:page;mso-height-relative:page;" o:ole="t" filled="f" o:preferrelative="t" stroked="f" coordsize="21600,21600">
            <v:path/>
            <v:fill on="f" focussize="0,0"/>
            <v:stroke on="f"/>
            <v:imagedata r:id="rId22" o:title=""/>
            <o:lock v:ext="edit" aspectratio="t"/>
          </v:shape>
          <o:OLEObject Type="Embed" ProgID="Excel.Chart.8" ShapeID="_x0000_s1033" DrawAspect="Content" ObjectID="_1468075731" r:id="rId21">
            <o:LockedField>false</o:LockedField>
          </o:OLEObject>
        </w:pict>
      </w: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pStyle w:val="6"/>
        <w:jc w:val="both"/>
        <w:rPr>
          <w:rFonts w:hint="eastAsia" w:ascii="仿宋_GB2312" w:hAnsi="仿宋_GB2312" w:eastAsia="仿宋_GB2312" w:cs="仿宋_GB2312"/>
          <w:sz w:val="32"/>
          <w:szCs w:val="32"/>
        </w:rPr>
      </w:pPr>
    </w:p>
    <w:p>
      <w:pPr>
        <w:spacing w:line="600" w:lineRule="exact"/>
        <w:ind w:firstLine="640"/>
        <w:jc w:val="both"/>
        <w:rPr>
          <w:rFonts w:hint="eastAsia" w:eastAsia="仿宋_GB2312" w:cs="仿宋_GB2312"/>
          <w:sz w:val="32"/>
          <w:szCs w:val="32"/>
        </w:rPr>
      </w:pPr>
    </w:p>
    <w:p>
      <w:pPr>
        <w:spacing w:line="600" w:lineRule="exact"/>
        <w:ind w:firstLine="640"/>
        <w:jc w:val="both"/>
        <w:rPr>
          <w:rFonts w:hint="eastAsia" w:eastAsia="仿宋_GB2312" w:cs="仿宋_GB2312"/>
          <w:sz w:val="32"/>
          <w:szCs w:val="32"/>
        </w:rPr>
      </w:pPr>
    </w:p>
    <w:p>
      <w:pPr>
        <w:spacing w:line="600" w:lineRule="exact"/>
        <w:ind w:firstLine="640"/>
        <w:jc w:val="both"/>
        <w:rPr>
          <w:rFonts w:eastAsia="仿宋_GB2312" w:cs="仿宋_GB2312"/>
          <w:sz w:val="32"/>
          <w:szCs w:val="32"/>
        </w:rPr>
      </w:pPr>
      <w:r>
        <w:rPr>
          <w:rFonts w:hint="eastAsia" w:eastAsia="仿宋_GB2312" w:cs="仿宋_GB2312"/>
          <w:sz w:val="32"/>
          <w:szCs w:val="32"/>
        </w:rPr>
        <w:t>（图7：“三公”经费财政拨款支出结构）（饼状图）</w:t>
      </w:r>
    </w:p>
    <w:p>
      <w:pPr>
        <w:spacing w:line="600" w:lineRule="exact"/>
        <w:ind w:firstLine="640"/>
        <w:jc w:val="both"/>
        <w:rPr>
          <w:rFonts w:hint="eastAsia"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r>
        <w:rPr>
          <w:rFonts w:hint="eastAsia" w:eastAsia="仿宋_GB2312" w:cs="仿宋_GB2312"/>
          <w:sz w:val="32"/>
          <w:szCs w:val="32"/>
        </w:rPr>
        <w:t>。</w:t>
      </w:r>
    </w:p>
    <w:p>
      <w:pPr>
        <w:spacing w:line="600" w:lineRule="exact"/>
        <w:ind w:firstLine="640"/>
        <w:jc w:val="both"/>
        <w:rPr>
          <w:rFonts w:hint="eastAsia" w:eastAsia="仿宋_GB2312" w:cs="仿宋_GB2312"/>
          <w:color w:val="auto"/>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6.75</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2.3</w:t>
      </w:r>
      <w:r>
        <w:rPr>
          <w:rFonts w:hint="eastAsia" w:eastAsia="仿宋_GB2312" w:cs="仿宋_GB2312"/>
          <w:sz w:val="32"/>
          <w:szCs w:val="32"/>
        </w:rPr>
        <w:t>万元，下降</w:t>
      </w:r>
      <w:r>
        <w:rPr>
          <w:rFonts w:hint="eastAsia" w:eastAsia="仿宋_GB2312" w:cs="仿宋_GB2312"/>
          <w:sz w:val="32"/>
          <w:szCs w:val="32"/>
          <w:lang w:val="en-US" w:eastAsia="zh-CN"/>
        </w:rPr>
        <w:t>25.41</w:t>
      </w:r>
      <w:r>
        <w:rPr>
          <w:rFonts w:hint="eastAsia" w:eastAsia="仿宋_GB2312" w:cs="仿宋_GB2312"/>
          <w:sz w:val="32"/>
          <w:szCs w:val="32"/>
        </w:rPr>
        <w:t>%。</w:t>
      </w:r>
      <w:r>
        <w:rPr>
          <w:rFonts w:hint="eastAsia" w:eastAsia="仿宋_GB2312" w:cs="仿宋_GB2312"/>
          <w:color w:val="auto"/>
          <w:sz w:val="32"/>
          <w:szCs w:val="32"/>
        </w:rPr>
        <w:t>主要原因是</w:t>
      </w:r>
      <w:r>
        <w:rPr>
          <w:rFonts w:hint="eastAsia" w:eastAsia="仿宋_GB2312" w:cs="仿宋_GB2312"/>
          <w:color w:val="auto"/>
          <w:sz w:val="32"/>
          <w:szCs w:val="32"/>
          <w:lang w:val="en-US" w:eastAsia="zh-CN"/>
        </w:rPr>
        <w:t>2023年11月报废了一辆公务用车，2024年</w:t>
      </w:r>
      <w:r>
        <w:rPr>
          <w:rFonts w:hint="eastAsia" w:eastAsia="仿宋_GB2312" w:cs="仿宋_GB2312"/>
          <w:color w:val="auto"/>
          <w:sz w:val="32"/>
          <w:szCs w:val="32"/>
        </w:rPr>
        <w:t>公务用车</w:t>
      </w:r>
      <w:r>
        <w:rPr>
          <w:rFonts w:hint="eastAsia" w:ascii="Times New Roman" w:hAnsi="Times New Roman" w:eastAsia="仿宋_GB2312" w:cs="仿宋_GB2312"/>
          <w:color w:val="auto"/>
          <w:sz w:val="32"/>
          <w:szCs w:val="32"/>
          <w:lang w:val="en-US" w:eastAsia="zh-CN"/>
        </w:rPr>
        <w:t>运行维护费</w:t>
      </w:r>
      <w:r>
        <w:rPr>
          <w:rFonts w:hint="eastAsia" w:eastAsia="仿宋_GB2312" w:cs="仿宋_GB2312"/>
          <w:color w:val="auto"/>
          <w:sz w:val="32"/>
          <w:szCs w:val="32"/>
          <w:lang w:val="en-US" w:eastAsia="zh-CN"/>
        </w:rPr>
        <w:t>预算减少</w:t>
      </w:r>
      <w:r>
        <w:rPr>
          <w:rFonts w:hint="eastAsia" w:eastAsia="仿宋_GB2312" w:cs="仿宋_GB2312"/>
          <w:color w:val="auto"/>
          <w:sz w:val="32"/>
          <w:szCs w:val="32"/>
          <w:lang w:eastAsia="zh-CN"/>
        </w:rPr>
        <w:t>。</w:t>
      </w:r>
    </w:p>
    <w:p>
      <w:pPr>
        <w:spacing w:line="600" w:lineRule="exact"/>
        <w:ind w:firstLine="640" w:firstLineChars="200"/>
        <w:jc w:val="both"/>
        <w:rPr>
          <w:rFonts w:ascii="仿宋_GB2312" w:eastAsia="仿宋_GB2312"/>
          <w:b/>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5</w:t>
      </w:r>
      <w:r>
        <w:rPr>
          <w:rFonts w:hint="eastAsia" w:eastAsia="仿宋_GB2312" w:cs="仿宋_GB2312"/>
          <w:sz w:val="32"/>
          <w:szCs w:val="32"/>
        </w:rPr>
        <w:t>辆，其中：</w:t>
      </w:r>
      <w:r>
        <w:rPr>
          <w:rFonts w:hint="eastAsia" w:ascii="仿宋_GB2312" w:eastAsia="仿宋_GB2312"/>
          <w:sz w:val="32"/>
          <w:szCs w:val="32"/>
        </w:rPr>
        <w:t>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color w:val="auto"/>
          <w:sz w:val="32"/>
          <w:szCs w:val="32"/>
          <w:highlight w:val="none"/>
          <w:lang w:eastAsia="zh-CN"/>
        </w:rPr>
        <w:t>商务车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载</w:t>
      </w:r>
      <w:r>
        <w:rPr>
          <w:rFonts w:hint="eastAsia" w:ascii="仿宋_GB2312" w:eastAsia="仿宋_GB2312"/>
          <w:color w:val="auto"/>
          <w:sz w:val="32"/>
          <w:szCs w:val="32"/>
          <w:highlight w:val="none"/>
          <w:lang w:eastAsia="zh-CN"/>
        </w:rPr>
        <w:t>货</w:t>
      </w:r>
      <w:r>
        <w:rPr>
          <w:rFonts w:hint="eastAsia" w:ascii="仿宋_GB2312" w:eastAsia="仿宋_GB2312"/>
          <w:color w:val="auto"/>
          <w:sz w:val="32"/>
          <w:szCs w:val="32"/>
          <w:highlight w:val="none"/>
        </w:rPr>
        <w:t>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、特种专业技术用车</w:t>
      </w:r>
      <w:r>
        <w:rPr>
          <w:rFonts w:hint="eastAsia" w:ascii="仿宋_GB2312" w:eastAsia="仿宋_GB2312"/>
          <w:color w:val="auto"/>
          <w:sz w:val="32"/>
          <w:szCs w:val="32"/>
          <w:highlight w:val="none"/>
          <w:lang w:val="en-US" w:eastAsia="zh-CN"/>
        </w:rPr>
        <w:t>2辆</w:t>
      </w:r>
      <w:r>
        <w:rPr>
          <w:rFonts w:hint="eastAsia" w:ascii="仿宋_GB2312" w:eastAsia="仿宋_GB2312"/>
          <w:sz w:val="32"/>
          <w:szCs w:val="32"/>
        </w:rPr>
        <w:t>。</w:t>
      </w:r>
    </w:p>
    <w:p>
      <w:pPr>
        <w:spacing w:line="600" w:lineRule="exact"/>
        <w:ind w:firstLine="640"/>
        <w:jc w:val="both"/>
        <w:rPr>
          <w:rFonts w:hint="eastAsia" w:ascii="仿宋_GB2312" w:eastAsia="仿宋_GB2312"/>
          <w:sz w:val="32"/>
          <w:szCs w:val="32"/>
        </w:rPr>
      </w:pPr>
      <w:r>
        <w:rPr>
          <w:rFonts w:hint="eastAsia" w:eastAsia="仿宋_GB2312" w:cs="仿宋_GB2312"/>
          <w:sz w:val="32"/>
          <w:szCs w:val="32"/>
        </w:rPr>
        <w:t>公务用车</w:t>
      </w:r>
      <w:r>
        <w:rPr>
          <w:rFonts w:hint="eastAsia" w:ascii="Times New Roman" w:hAnsi="Times New Roman" w:eastAsia="仿宋_GB2312" w:cs="仿宋_GB2312"/>
          <w:sz w:val="32"/>
          <w:szCs w:val="32"/>
          <w:lang w:val="en-US" w:eastAsia="zh-CN"/>
        </w:rPr>
        <w:t>运行维护费支出6.75万元</w:t>
      </w:r>
      <w:r>
        <w:rPr>
          <w:rFonts w:hint="eastAsia" w:eastAsia="仿宋_GB2312" w:cs="仿宋_GB2312"/>
          <w:sz w:val="32"/>
          <w:szCs w:val="32"/>
        </w:rPr>
        <w:t>。</w:t>
      </w:r>
      <w:r>
        <w:rPr>
          <w:rFonts w:hint="eastAsia" w:ascii="仿宋_GB2312" w:eastAsia="仿宋_GB2312"/>
          <w:sz w:val="32"/>
          <w:szCs w:val="32"/>
        </w:rPr>
        <w:t>主要用于</w:t>
      </w:r>
      <w:r>
        <w:rPr>
          <w:rFonts w:hint="eastAsia" w:ascii="仿宋_GB2312" w:eastAsia="仿宋_GB2312"/>
          <w:color w:val="auto"/>
          <w:sz w:val="32"/>
          <w:szCs w:val="32"/>
          <w:highlight w:val="none"/>
          <w:lang w:eastAsia="zh-CN"/>
        </w:rPr>
        <w:t>重点项目建设、森林草原防灭火、防汛减灾</w:t>
      </w:r>
      <w:r>
        <w:rPr>
          <w:rFonts w:hint="eastAsia" w:ascii="仿宋_GB2312" w:eastAsia="仿宋_GB2312"/>
          <w:sz w:val="32"/>
          <w:szCs w:val="32"/>
        </w:rPr>
        <w:t>等</w:t>
      </w:r>
      <w:r>
        <w:rPr>
          <w:rFonts w:hint="eastAsia" w:ascii="仿宋_GB2312" w:eastAsia="仿宋_GB2312"/>
          <w:color w:val="auto"/>
          <w:sz w:val="32"/>
          <w:szCs w:val="32"/>
          <w:highlight w:val="none"/>
        </w:rPr>
        <w:t>工作</w:t>
      </w:r>
      <w:r>
        <w:rPr>
          <w:rFonts w:hint="eastAsia" w:ascii="仿宋_GB2312" w:eastAsia="仿宋_GB2312"/>
          <w:color w:val="auto"/>
          <w:sz w:val="32"/>
          <w:szCs w:val="32"/>
          <w:highlight w:val="none"/>
          <w:lang w:eastAsia="zh-CN"/>
        </w:rPr>
        <w:t>开展</w:t>
      </w:r>
      <w:r>
        <w:rPr>
          <w:rFonts w:hint="eastAsia" w:ascii="仿宋_GB2312" w:eastAsia="仿宋_GB2312"/>
          <w:sz w:val="32"/>
          <w:szCs w:val="32"/>
        </w:rPr>
        <w:t>所需的公务用车燃料费、维修费、过路过桥费、保险费等支出。</w:t>
      </w:r>
    </w:p>
    <w:p>
      <w:pPr>
        <w:spacing w:line="600" w:lineRule="exact"/>
        <w:ind w:firstLine="640"/>
        <w:jc w:val="both"/>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0.09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1.25</w:t>
      </w:r>
      <w:r>
        <w:rPr>
          <w:rFonts w:hint="eastAsia" w:eastAsia="仿宋_GB2312" w:cs="仿宋_GB2312"/>
          <w:sz w:val="32"/>
          <w:szCs w:val="32"/>
        </w:rPr>
        <w:t>万元，下降</w:t>
      </w:r>
      <w:r>
        <w:rPr>
          <w:rFonts w:hint="eastAsia" w:eastAsia="仿宋_GB2312" w:cs="仿宋_GB2312"/>
          <w:sz w:val="32"/>
          <w:szCs w:val="32"/>
          <w:lang w:val="en-US" w:eastAsia="zh-CN"/>
        </w:rPr>
        <w:t>93.28</w:t>
      </w:r>
      <w:r>
        <w:rPr>
          <w:rFonts w:hint="eastAsia" w:eastAsia="仿宋_GB2312" w:cs="仿宋_GB2312"/>
          <w:sz w:val="32"/>
          <w:szCs w:val="32"/>
        </w:rPr>
        <w:t>%。主要原因是</w:t>
      </w:r>
      <w:r>
        <w:rPr>
          <w:rFonts w:hint="eastAsia" w:ascii="仿宋_GB2312" w:eastAsia="仿宋_GB2312"/>
          <w:color w:val="auto"/>
          <w:sz w:val="32"/>
          <w:szCs w:val="32"/>
          <w:highlight w:val="none"/>
          <w:lang w:eastAsia="zh-CN"/>
        </w:rPr>
        <w:t>本年公务接待批次、人次减少</w:t>
      </w:r>
      <w:r>
        <w:rPr>
          <w:rFonts w:hint="eastAsia" w:eastAsia="仿宋_GB2312" w:cs="仿宋_GB2312"/>
          <w:sz w:val="32"/>
          <w:szCs w:val="32"/>
        </w:rPr>
        <w:t>。其中：</w:t>
      </w:r>
    </w:p>
    <w:p>
      <w:pPr>
        <w:spacing w:line="600" w:lineRule="exact"/>
        <w:ind w:firstLine="640"/>
        <w:jc w:val="both"/>
        <w:rPr>
          <w:rFonts w:eastAsia="仿宋_GB2312" w:cs="仿宋_GB2312"/>
          <w:color w:val="auto"/>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0.09</w:t>
      </w:r>
      <w:r>
        <w:rPr>
          <w:rFonts w:hint="eastAsia" w:ascii="仿宋_GB2312" w:hAnsi="仿宋_GB2312" w:eastAsia="仿宋_GB2312" w:cs="仿宋_GB2312"/>
          <w:sz w:val="32"/>
          <w:szCs w:val="32"/>
        </w:rPr>
        <w:t>万</w:t>
      </w:r>
      <w:r>
        <w:rPr>
          <w:rFonts w:hint="eastAsia" w:eastAsia="仿宋_GB2312" w:cs="仿宋_GB2312"/>
          <w:sz w:val="32"/>
          <w:szCs w:val="32"/>
        </w:rPr>
        <w:t>元，主要用于</w:t>
      </w:r>
      <w:r>
        <w:rPr>
          <w:rFonts w:hint="eastAsia" w:ascii="仿宋_GB2312" w:eastAsia="仿宋_GB2312"/>
          <w:sz w:val="32"/>
          <w:szCs w:val="32"/>
        </w:rPr>
        <w:t>执行公务、开展业务活动开支的用餐费</w:t>
      </w:r>
      <w:r>
        <w:rPr>
          <w:rFonts w:hint="eastAsia" w:ascii="仿宋_GB2312" w:eastAsia="仿宋_GB2312"/>
          <w:sz w:val="32"/>
          <w:szCs w:val="32"/>
          <w:lang w:eastAsia="zh-CN"/>
        </w:rPr>
        <w:t>等</w:t>
      </w:r>
      <w:r>
        <w:rPr>
          <w:rFonts w:hint="eastAsia" w:eastAsia="仿宋_GB2312" w:cs="仿宋_GB2312"/>
          <w:sz w:val="32"/>
          <w:szCs w:val="32"/>
        </w:rPr>
        <w:t>。</w:t>
      </w:r>
      <w:r>
        <w:rPr>
          <w:rFonts w:hint="eastAsia" w:eastAsia="仿宋_GB2312" w:cs="仿宋_GB2312"/>
          <w:color w:val="auto"/>
          <w:sz w:val="32"/>
          <w:szCs w:val="32"/>
        </w:rPr>
        <w:t>国内公务接</w:t>
      </w:r>
      <w:r>
        <w:rPr>
          <w:rFonts w:hint="eastAsia" w:ascii="仿宋_GB2312" w:hAnsi="仿宋_GB2312" w:eastAsia="仿宋_GB2312" w:cs="仿宋_GB2312"/>
          <w:color w:val="auto"/>
          <w:sz w:val="32"/>
          <w:szCs w:val="32"/>
        </w:rPr>
        <w:t>待</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18</w:t>
      </w:r>
      <w:r>
        <w:rPr>
          <w:rFonts w:hint="eastAsia" w:eastAsia="仿宋_GB2312" w:cs="仿宋_GB2312"/>
          <w:color w:val="auto"/>
          <w:sz w:val="32"/>
          <w:szCs w:val="32"/>
        </w:rPr>
        <w:t>人次（不包括陪同人员），共计支出</w:t>
      </w:r>
      <w:r>
        <w:rPr>
          <w:rFonts w:hint="eastAsia" w:eastAsia="仿宋_GB2312" w:cs="仿宋_GB2312"/>
          <w:color w:val="auto"/>
          <w:sz w:val="32"/>
          <w:szCs w:val="32"/>
          <w:lang w:val="en-US" w:eastAsia="zh-CN"/>
        </w:rPr>
        <w:t>0.09</w:t>
      </w:r>
      <w:r>
        <w:rPr>
          <w:rFonts w:hint="eastAsia" w:eastAsia="仿宋_GB2312" w:cs="仿宋_GB2312"/>
          <w:color w:val="auto"/>
          <w:sz w:val="32"/>
          <w:szCs w:val="32"/>
        </w:rPr>
        <w:t>万元，具体内容包括：</w:t>
      </w:r>
      <w:r>
        <w:rPr>
          <w:rFonts w:hint="eastAsia" w:eastAsia="仿宋_GB2312" w:cs="仿宋_GB2312"/>
          <w:color w:val="auto"/>
          <w:sz w:val="32"/>
          <w:szCs w:val="32"/>
          <w:lang w:eastAsia="zh-CN"/>
        </w:rPr>
        <w:t>督导红格镇土地整治项目</w:t>
      </w:r>
      <w:r>
        <w:rPr>
          <w:rFonts w:hint="eastAsia" w:eastAsia="仿宋_GB2312" w:cs="仿宋_GB2312"/>
          <w:color w:val="auto"/>
          <w:sz w:val="32"/>
          <w:szCs w:val="32"/>
          <w:lang w:val="en-US" w:eastAsia="zh-CN"/>
        </w:rPr>
        <w:t>接待费0.06万元；督导红格镇既有建筑安全专项整治工作接待费0.03万元</w:t>
      </w:r>
      <w:r>
        <w:rPr>
          <w:rFonts w:hint="eastAsia" w:eastAsia="仿宋_GB2312" w:cs="仿宋_GB2312"/>
          <w:color w:val="auto"/>
          <w:sz w:val="32"/>
          <w:szCs w:val="32"/>
        </w:rPr>
        <w:t>。</w:t>
      </w:r>
    </w:p>
    <w:p>
      <w:pPr>
        <w:spacing w:line="600" w:lineRule="exact"/>
        <w:ind w:firstLine="640"/>
        <w:jc w:val="both"/>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4" w:name="_Toc15377218"/>
      <w:bookmarkStart w:id="35" w:name="_Toc15396610"/>
    </w:p>
    <w:p>
      <w:pPr>
        <w:spacing w:line="600" w:lineRule="exact"/>
        <w:ind w:firstLine="640"/>
        <w:jc w:val="both"/>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34"/>
      <w:bookmarkEnd w:id="35"/>
    </w:p>
    <w:p>
      <w:pPr>
        <w:spacing w:line="600" w:lineRule="exact"/>
        <w:ind w:firstLine="640"/>
        <w:jc w:val="both"/>
        <w:rPr>
          <w:rFonts w:eastAsia="仿宋_GB2312" w:cs="仿宋_GB2312"/>
          <w:sz w:val="32"/>
          <w:szCs w:val="32"/>
        </w:rPr>
      </w:pPr>
      <w:r>
        <w:rPr>
          <w:rFonts w:hint="eastAsia" w:ascii="仿宋_GB2312" w:hAnsi="仿宋_GB2312" w:eastAsia="仿宋_GB2312" w:cs="仿宋_GB2312"/>
          <w:sz w:val="32"/>
          <w:szCs w:val="32"/>
        </w:rPr>
        <w:t>2024年度政府性基金预算财政拨款支</w:t>
      </w:r>
      <w:r>
        <w:rPr>
          <w:rFonts w:hint="eastAsia" w:ascii="Times New Roman" w:hAnsi="Times New Roman" w:eastAsia="仿宋_GB2312" w:cs="仿宋_GB2312"/>
          <w:sz w:val="32"/>
          <w:szCs w:val="32"/>
          <w:lang w:val="en-US" w:eastAsia="zh-CN"/>
        </w:rPr>
        <w:t>出5027.31万元</w:t>
      </w:r>
      <w:r>
        <w:rPr>
          <w:rFonts w:hint="eastAsia" w:ascii="仿宋_GB2312" w:hAnsi="仿宋_GB2312" w:eastAsia="仿宋_GB2312" w:cs="仿宋_GB2312"/>
          <w:sz w:val="32"/>
          <w:szCs w:val="32"/>
        </w:rPr>
        <w:t>，占本年支出合计的41.4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。与2023年度相比，政府性基金预算财政拨款支出减少</w:t>
      </w:r>
      <w:r>
        <w:rPr>
          <w:rFonts w:hint="eastAsia" w:eastAsia="仿宋_GB2312" w:cs="仿宋_GB2312"/>
          <w:sz w:val="32"/>
          <w:szCs w:val="32"/>
          <w:lang w:val="en-US" w:eastAsia="zh-CN"/>
        </w:rPr>
        <w:t>2155.32</w:t>
      </w:r>
      <w:r>
        <w:rPr>
          <w:rFonts w:hint="eastAsia" w:eastAsia="仿宋_GB2312" w:cs="仿宋_GB2312"/>
          <w:sz w:val="32"/>
          <w:szCs w:val="32"/>
        </w:rPr>
        <w:t>万元，下降</w:t>
      </w:r>
      <w:r>
        <w:rPr>
          <w:rFonts w:hint="eastAsia" w:eastAsia="仿宋_GB2312" w:cs="仿宋_GB2312"/>
          <w:sz w:val="32"/>
          <w:szCs w:val="32"/>
          <w:lang w:val="en-US" w:eastAsia="zh-CN"/>
        </w:rPr>
        <w:t>30.01</w:t>
      </w:r>
      <w:r>
        <w:rPr>
          <w:rFonts w:hint="eastAsia" w:eastAsia="仿宋_GB2312" w:cs="仿宋_GB2312"/>
          <w:sz w:val="32"/>
          <w:szCs w:val="32"/>
        </w:rPr>
        <w:t>%。主要变动原因是</w:t>
      </w:r>
      <w:r>
        <w:rPr>
          <w:rFonts w:hint="eastAsia" w:eastAsia="仿宋_GB2312" w:cs="仿宋_GB2312"/>
          <w:sz w:val="32"/>
          <w:szCs w:val="32"/>
          <w:lang w:eastAsia="zh-CN"/>
        </w:rPr>
        <w:t>本年项目支出减少。</w:t>
      </w:r>
    </w:p>
    <w:p>
      <w:pPr>
        <w:spacing w:line="600" w:lineRule="exact"/>
        <w:ind w:left="630"/>
        <w:jc w:val="both"/>
        <w:outlineLvl w:val="1"/>
        <w:rPr>
          <w:rStyle w:val="31"/>
          <w:rFonts w:ascii="Times New Roman" w:hAnsi="Times New Roman" w:eastAsia="黑体"/>
          <w:b w:val="0"/>
        </w:rPr>
      </w:pPr>
      <w:bookmarkStart w:id="36" w:name="_Toc15396611"/>
      <w:bookmarkStart w:id="37" w:name="_Toc15377219"/>
      <w:r>
        <w:rPr>
          <w:rStyle w:val="31"/>
          <w:rFonts w:hint="eastAsia" w:ascii="Times New Roman" w:hAnsi="Times New Roman" w:eastAsia="黑体"/>
          <w:b w:val="0"/>
        </w:rPr>
        <w:t>九、国有资本经营预算支出决算情况说明</w:t>
      </w:r>
      <w:bookmarkEnd w:id="36"/>
      <w:bookmarkEnd w:id="37"/>
    </w:p>
    <w:p>
      <w:pPr>
        <w:spacing w:line="600" w:lineRule="exact"/>
        <w:ind w:firstLine="640"/>
        <w:jc w:val="both"/>
        <w:rPr>
          <w:rFonts w:eastAsia="仿宋_GB2312" w:cs="仿宋_GB2312"/>
          <w:color w:val="auto"/>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。与2023年度相比，国有资本经营预算财政拨款支出减少</w:t>
      </w:r>
      <w:r>
        <w:rPr>
          <w:rFonts w:hint="eastAsia" w:eastAsia="仿宋_GB2312" w:cs="仿宋_GB2312"/>
          <w:sz w:val="32"/>
          <w:szCs w:val="32"/>
          <w:lang w:val="en-US" w:eastAsia="zh-CN"/>
        </w:rPr>
        <w:t>0.8</w:t>
      </w:r>
      <w:r>
        <w:rPr>
          <w:rFonts w:hint="eastAsia" w:eastAsia="仿宋_GB2312" w:cs="仿宋_GB2312"/>
          <w:sz w:val="32"/>
          <w:szCs w:val="32"/>
        </w:rPr>
        <w:t>万元，下降</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eastAsia="仿宋_GB2312" w:cs="仿宋_GB2312"/>
          <w:color w:val="auto"/>
          <w:sz w:val="32"/>
          <w:szCs w:val="32"/>
        </w:rPr>
        <w:t>主要变动原因是</w:t>
      </w:r>
      <w:r>
        <w:rPr>
          <w:rFonts w:hint="eastAsia" w:eastAsia="仿宋_GB2312" w:cs="仿宋_GB2312"/>
          <w:color w:val="auto"/>
          <w:sz w:val="32"/>
          <w:szCs w:val="32"/>
          <w:lang w:eastAsia="zh-CN"/>
        </w:rPr>
        <w:t>本年无</w:t>
      </w:r>
      <w:r>
        <w:rPr>
          <w:rFonts w:hint="eastAsia" w:eastAsia="仿宋_GB2312" w:cs="仿宋_GB2312"/>
          <w:color w:val="auto"/>
          <w:sz w:val="32"/>
          <w:szCs w:val="32"/>
        </w:rPr>
        <w:t>国有资本经营预算</w:t>
      </w:r>
      <w:r>
        <w:rPr>
          <w:rFonts w:hint="eastAsia" w:eastAsia="仿宋_GB2312" w:cs="仿宋_GB2312"/>
          <w:color w:val="auto"/>
          <w:sz w:val="32"/>
          <w:szCs w:val="32"/>
          <w:lang w:eastAsia="zh-CN"/>
        </w:rPr>
        <w:t>项目。</w:t>
      </w:r>
    </w:p>
    <w:p>
      <w:pPr>
        <w:spacing w:line="600" w:lineRule="exact"/>
        <w:ind w:left="630"/>
        <w:jc w:val="both"/>
        <w:outlineLvl w:val="1"/>
        <w:rPr>
          <w:rStyle w:val="31"/>
          <w:rFonts w:ascii="Times New Roman" w:hAnsi="Times New Roman" w:eastAsia="黑体"/>
          <w:b w:val="0"/>
        </w:rPr>
      </w:pPr>
      <w:bookmarkStart w:id="38" w:name="_Toc15377221"/>
      <w:bookmarkStart w:id="39" w:name="_Toc15396612"/>
      <w:r>
        <w:rPr>
          <w:rStyle w:val="31"/>
          <w:rFonts w:hint="eastAsia" w:ascii="Times New Roman" w:hAnsi="Times New Roman" w:eastAsia="黑体"/>
          <w:b w:val="0"/>
        </w:rPr>
        <w:t>十、其他重要事项的情况说明</w:t>
      </w:r>
      <w:bookmarkEnd w:id="38"/>
      <w:bookmarkEnd w:id="39"/>
    </w:p>
    <w:p>
      <w:pPr>
        <w:spacing w:line="600" w:lineRule="exact"/>
        <w:ind w:firstLine="643" w:firstLineChars="200"/>
        <w:jc w:val="both"/>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keepNext w:val="0"/>
        <w:keepLines w:val="0"/>
        <w:widowControl/>
        <w:suppressLineNumbers w:val="0"/>
        <w:ind w:firstLine="640" w:firstLineChars="200"/>
        <w:jc w:val="both"/>
        <w:rPr>
          <w:rFonts w:hint="eastAsia" w:eastAsia="仿宋_GB2312" w:cs="仿宋_GB2312"/>
          <w:sz w:val="32"/>
          <w:szCs w:val="32"/>
          <w:lang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，盐边县红格镇人民政府</w:t>
      </w:r>
      <w:r>
        <w:rPr>
          <w:rFonts w:hint="eastAsia" w:ascii="仿宋_GB2312" w:hAnsi="仿宋_GB2312" w:eastAsia="仿宋_GB2312" w:cs="仿宋_GB2312"/>
          <w:color w:val="auto"/>
          <w:kern w:val="2"/>
          <w:sz w:val="32"/>
          <w:szCs w:val="32"/>
          <w:highlight w:val="none"/>
          <w:lang w:val="en-US" w:eastAsia="zh-CN" w:bidi="ar-SA"/>
        </w:rPr>
        <w:t>机关运行</w:t>
      </w:r>
      <w:r>
        <w:rPr>
          <w:rFonts w:hint="eastAsia" w:ascii="Times New Roman" w:hAnsi="Times New Roman" w:eastAsia="仿宋_GB2312" w:cs="仿宋_GB2312"/>
          <w:sz w:val="32"/>
          <w:szCs w:val="32"/>
          <w:lang w:val="en-US" w:eastAsia="zh-CN"/>
        </w:rPr>
        <w:t>经费支出266.07万元</w:t>
      </w:r>
      <w:r>
        <w:rPr>
          <w:rFonts w:hint="eastAsia" w:eastAsia="仿宋_GB2312" w:cs="仿宋_GB2312"/>
          <w:sz w:val="32"/>
          <w:szCs w:val="32"/>
        </w:rPr>
        <w:t>，比2023年度减少</w:t>
      </w:r>
      <w:r>
        <w:rPr>
          <w:rFonts w:hint="eastAsia" w:eastAsia="仿宋_GB2312" w:cs="仿宋_GB2312"/>
          <w:sz w:val="32"/>
          <w:szCs w:val="32"/>
          <w:lang w:val="en-US" w:eastAsia="zh-CN"/>
        </w:rPr>
        <w:t>19.29</w:t>
      </w:r>
      <w:r>
        <w:rPr>
          <w:rFonts w:hint="eastAsia" w:eastAsia="仿宋_GB2312" w:cs="仿宋_GB2312"/>
          <w:sz w:val="32"/>
          <w:szCs w:val="32"/>
        </w:rPr>
        <w:t>万元，下降</w:t>
      </w:r>
      <w:r>
        <w:rPr>
          <w:rFonts w:hint="eastAsia" w:eastAsia="仿宋_GB2312" w:cs="仿宋_GB2312"/>
          <w:sz w:val="32"/>
          <w:szCs w:val="32"/>
          <w:lang w:val="en-US" w:eastAsia="zh-CN"/>
        </w:rPr>
        <w:t>6.76</w:t>
      </w:r>
      <w:r>
        <w:rPr>
          <w:rFonts w:hint="eastAsia" w:eastAsia="仿宋_GB2312" w:cs="仿宋_GB2312"/>
          <w:sz w:val="32"/>
          <w:szCs w:val="32"/>
        </w:rPr>
        <w:t>%。</w:t>
      </w:r>
      <w:r>
        <w:rPr>
          <w:rFonts w:hint="eastAsia" w:ascii="Times New Roman" w:hAnsi="Times New Roman" w:eastAsia="仿宋_GB2312" w:cs="仿宋_GB2312"/>
          <w:sz w:val="32"/>
          <w:szCs w:val="32"/>
          <w:lang w:val="en-US" w:eastAsia="zh-CN"/>
        </w:rPr>
        <w:t>主要</w:t>
      </w:r>
      <w:r>
        <w:rPr>
          <w:rFonts w:hint="eastAsia" w:eastAsia="仿宋_GB2312" w:cs="仿宋_GB2312"/>
          <w:color w:val="auto"/>
          <w:sz w:val="32"/>
          <w:szCs w:val="32"/>
        </w:rPr>
        <w:t>变动</w:t>
      </w:r>
      <w:r>
        <w:rPr>
          <w:rFonts w:hint="eastAsia" w:ascii="Times New Roman" w:hAnsi="Times New Roman" w:eastAsia="仿宋_GB2312" w:cs="仿宋_GB2312"/>
          <w:sz w:val="32"/>
          <w:szCs w:val="32"/>
          <w:lang w:val="en-US" w:eastAsia="zh-CN"/>
        </w:rPr>
        <w:t>原因</w:t>
      </w:r>
      <w:r>
        <w:rPr>
          <w:rFonts w:hint="eastAsia" w:eastAsia="仿宋_GB2312" w:cs="仿宋_GB2312"/>
          <w:sz w:val="32"/>
          <w:szCs w:val="32"/>
          <w:lang w:val="en-US" w:eastAsia="zh-CN"/>
        </w:rPr>
        <w:t>是</w:t>
      </w:r>
      <w:r>
        <w:rPr>
          <w:rFonts w:hint="eastAsia" w:ascii="Times New Roman" w:hAnsi="Times New Roman" w:eastAsia="仿宋_GB2312" w:cs="仿宋_GB2312"/>
          <w:sz w:val="32"/>
          <w:szCs w:val="32"/>
          <w:lang w:val="en-US" w:eastAsia="zh-CN"/>
        </w:rPr>
        <w:t>贯彻落实党政机关过紧日子要求严格控制一般性支出。</w:t>
      </w:r>
    </w:p>
    <w:p>
      <w:pPr>
        <w:spacing w:line="600" w:lineRule="exact"/>
        <w:ind w:firstLine="643" w:firstLineChars="200"/>
        <w:jc w:val="both"/>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jc w:val="both"/>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2024年度，盐边县红格镇人民政府政府采购支出总额17.79万元，其中：政府采购货物支出17.25万元、政府采购工程支出0万元、政府采购服务支出0.54万元。</w:t>
      </w:r>
      <w:r>
        <w:rPr>
          <w:rFonts w:hint="eastAsia" w:ascii="Times New Roman" w:hAnsi="Times New Roman" w:eastAsia="仿宋_GB2312" w:cs="仿宋_GB2312"/>
          <w:color w:val="auto"/>
          <w:sz w:val="32"/>
          <w:szCs w:val="32"/>
          <w:lang w:val="en-US" w:eastAsia="zh-CN"/>
        </w:rPr>
        <w:t>主要用于</w:t>
      </w:r>
      <w:r>
        <w:rPr>
          <w:rFonts w:hint="eastAsia" w:eastAsia="仿宋_GB2312" w:cs="仿宋_GB2312"/>
          <w:color w:val="auto"/>
          <w:sz w:val="32"/>
          <w:szCs w:val="32"/>
          <w:lang w:val="en-US" w:eastAsia="zh-CN"/>
        </w:rPr>
        <w:t>采购便携式计算机、台式计算机、多功能一体机等办公设备支出</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sz w:val="32"/>
          <w:szCs w:val="32"/>
          <w:lang w:val="en-US" w:eastAsia="zh-CN"/>
        </w:rPr>
        <w:t>授予中小企业合同金额17.25万元，占政府采购支出总额的96.96%，其中：授予小微企业合同金额17.25万元，占政府采购支出总额的96.96%。</w:t>
      </w:r>
    </w:p>
    <w:p>
      <w:pPr>
        <w:spacing w:line="600" w:lineRule="exact"/>
        <w:ind w:firstLine="643" w:firstLineChars="200"/>
        <w:jc w:val="both"/>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jc w:val="both"/>
        <w:rPr>
          <w:rFonts w:eastAsia="仿宋_GB2312" w:cs="仿宋_GB2312"/>
          <w:sz w:val="32"/>
          <w:szCs w:val="32"/>
        </w:rPr>
      </w:pPr>
      <w:r>
        <w:rPr>
          <w:rFonts w:hint="eastAsia" w:ascii="Times New Roman" w:hAnsi="Times New Roman" w:eastAsia="仿宋_GB2312" w:cs="仿宋_GB2312"/>
          <w:sz w:val="32"/>
          <w:szCs w:val="32"/>
          <w:lang w:val="en-US" w:eastAsia="zh-CN"/>
        </w:rPr>
        <w:t>截至2024年12月31日，盐边县红格镇人民政府共有车辆5辆，其中：主要负责人用车0辆、机要通信用车0辆、应急保障用车5辆、其他用车0辆。单价100万元（含）以上设备（不含车辆）0台（套）。</w:t>
      </w:r>
    </w:p>
    <w:p>
      <w:pPr>
        <w:spacing w:line="600" w:lineRule="exact"/>
        <w:ind w:firstLine="643" w:firstLineChars="200"/>
        <w:jc w:val="both"/>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jc w:val="both"/>
        <w:rPr>
          <w:rFonts w:eastAsia="仿宋_GB2312" w:cs="仿宋_GB2312"/>
          <w:sz w:val="32"/>
          <w:szCs w:val="32"/>
        </w:rPr>
      </w:pPr>
      <w:r>
        <w:rPr>
          <w:rFonts w:hint="eastAsia" w:eastAsia="仿宋_GB2312" w:cs="仿宋_GB2312"/>
          <w:sz w:val="32"/>
          <w:szCs w:val="32"/>
        </w:rPr>
        <w:t>根据预算绩效管理要求，</w:t>
      </w:r>
      <w:r>
        <w:rPr>
          <w:rFonts w:hint="eastAsia" w:eastAsia="仿宋_GB2312" w:cs="仿宋_GB2312"/>
          <w:sz w:val="32"/>
          <w:szCs w:val="32"/>
          <w:lang w:eastAsia="zh-CN"/>
        </w:rPr>
        <w:t>红格镇人民政府</w:t>
      </w:r>
      <w:r>
        <w:rPr>
          <w:rFonts w:hint="eastAsia" w:eastAsia="仿宋_GB2312" w:cs="仿宋_GB2312"/>
          <w:sz w:val="32"/>
          <w:szCs w:val="32"/>
        </w:rPr>
        <w:t>在2024年度预算编制阶段，组织对红格镇2024年驻村工作队专项经费</w:t>
      </w:r>
      <w:r>
        <w:rPr>
          <w:rFonts w:hint="eastAsia" w:eastAsia="仿宋_GB2312" w:cs="仿宋_GB2312"/>
          <w:sz w:val="32"/>
          <w:szCs w:val="32"/>
          <w:lang w:eastAsia="zh-CN"/>
        </w:rPr>
        <w:t>、</w:t>
      </w:r>
      <w:r>
        <w:rPr>
          <w:rFonts w:hint="eastAsia" w:eastAsia="仿宋_GB2312" w:cs="仿宋_GB2312"/>
          <w:sz w:val="32"/>
          <w:szCs w:val="32"/>
        </w:rPr>
        <w:t>红格镇2024年乡人大代表活动经费及人代会经费等</w:t>
      </w:r>
      <w:r>
        <w:rPr>
          <w:rFonts w:hint="eastAsia" w:eastAsia="仿宋_GB2312" w:cs="仿宋_GB2312"/>
          <w:sz w:val="32"/>
          <w:szCs w:val="32"/>
          <w:lang w:val="en-US" w:eastAsia="zh-CN"/>
        </w:rPr>
        <w:t>9</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9</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9</w:t>
      </w:r>
      <w:r>
        <w:rPr>
          <w:rFonts w:hint="eastAsia" w:eastAsia="仿宋_GB2312" w:cs="仿宋_GB2312"/>
          <w:sz w:val="32"/>
          <w:szCs w:val="32"/>
        </w:rPr>
        <w:t>个项目开展绩效监控。</w:t>
      </w:r>
    </w:p>
    <w:p>
      <w:pPr>
        <w:spacing w:line="600" w:lineRule="exact"/>
        <w:ind w:firstLine="640"/>
        <w:jc w:val="both"/>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盐边县红格镇人民政府</w:t>
      </w:r>
      <w:r>
        <w:rPr>
          <w:rFonts w:hint="eastAsia" w:eastAsia="仿宋_GB2312" w:cs="仿宋_GB2312"/>
          <w:sz w:val="32"/>
          <w:szCs w:val="32"/>
        </w:rPr>
        <w:t>部门整体绩效自评报告、</w:t>
      </w:r>
      <w:r>
        <w:rPr>
          <w:rFonts w:hint="eastAsia" w:eastAsia="仿宋_GB2312" w:cs="仿宋_GB2312"/>
          <w:sz w:val="32"/>
          <w:szCs w:val="32"/>
          <w:lang w:eastAsia="zh-CN"/>
        </w:rPr>
        <w:t>2024年公共图书馆、美术馆、文化馆（站）免费开放补助项目</w:t>
      </w:r>
      <w:r>
        <w:rPr>
          <w:rFonts w:hint="eastAsia" w:eastAsia="仿宋_GB2312" w:cs="仿宋_GB2312"/>
          <w:sz w:val="32"/>
          <w:szCs w:val="32"/>
        </w:rPr>
        <w:t>等专项预算项目绩效自评报告，其中，</w:t>
      </w:r>
      <w:r>
        <w:rPr>
          <w:rFonts w:hint="eastAsia" w:eastAsia="仿宋_GB2312" w:cs="仿宋_GB2312"/>
          <w:sz w:val="32"/>
          <w:szCs w:val="32"/>
          <w:lang w:eastAsia="zh-CN"/>
        </w:rPr>
        <w:t>部门整体绩效</w:t>
      </w:r>
      <w:r>
        <w:rPr>
          <w:rFonts w:hint="eastAsia" w:eastAsia="仿宋_GB2312" w:cs="仿宋_GB2312"/>
          <w:sz w:val="32"/>
          <w:szCs w:val="32"/>
        </w:rPr>
        <w:t>自评得分</w:t>
      </w:r>
      <w:r>
        <w:rPr>
          <w:rFonts w:hint="eastAsia" w:eastAsia="仿宋_GB2312" w:cs="仿宋_GB2312"/>
          <w:sz w:val="32"/>
          <w:szCs w:val="32"/>
          <w:lang w:eastAsia="zh-CN"/>
        </w:rPr>
        <w:t>为</w:t>
      </w:r>
      <w:r>
        <w:rPr>
          <w:rFonts w:hint="eastAsia" w:eastAsia="仿宋_GB2312" w:cs="仿宋_GB2312"/>
          <w:sz w:val="32"/>
          <w:szCs w:val="32"/>
          <w:lang w:val="en-US" w:eastAsia="zh-CN"/>
        </w:rPr>
        <w:t>94</w:t>
      </w:r>
      <w:r>
        <w:rPr>
          <w:rFonts w:hint="eastAsia" w:eastAsia="仿宋_GB2312" w:cs="仿宋_GB2312"/>
          <w:sz w:val="32"/>
          <w:szCs w:val="32"/>
          <w:lang w:eastAsia="zh-CN"/>
        </w:rPr>
        <w:t>分</w:t>
      </w:r>
      <w:r>
        <w:rPr>
          <w:rFonts w:hint="eastAsia" w:eastAsia="仿宋_GB2312" w:cs="仿宋_GB2312"/>
          <w:sz w:val="32"/>
          <w:szCs w:val="32"/>
        </w:rPr>
        <w:t>，绩效自评综述</w:t>
      </w:r>
      <w:r>
        <w:rPr>
          <w:rFonts w:hint="eastAsia" w:eastAsia="仿宋_GB2312" w:cs="仿宋_GB2312"/>
          <w:sz w:val="32"/>
          <w:szCs w:val="32"/>
          <w:lang w:eastAsia="zh-CN"/>
        </w:rPr>
        <w:t>：</w:t>
      </w:r>
      <w:r>
        <w:rPr>
          <w:rFonts w:hint="eastAsia" w:ascii="仿宋_GB2312" w:hAnsi="仿宋_GB2312" w:eastAsia="仿宋_GB2312" w:cs="仿宋_GB2312"/>
          <w:sz w:val="32"/>
          <w:szCs w:val="32"/>
          <w:lang w:eastAsia="zh-CN"/>
        </w:rPr>
        <w:t>立项必要性和依据充分，绩效目标明确，并在执行中保质保量完成绩效目标任务</w:t>
      </w:r>
      <w:r>
        <w:rPr>
          <w:rFonts w:hint="eastAsia" w:eastAsia="仿宋_GB2312" w:cs="仿宋_GB2312"/>
          <w:sz w:val="32"/>
          <w:szCs w:val="32"/>
        </w:rPr>
        <w:t>；</w:t>
      </w:r>
      <w:r>
        <w:rPr>
          <w:rFonts w:hint="eastAsia" w:eastAsia="仿宋_GB2312" w:cs="仿宋_GB2312"/>
          <w:sz w:val="32"/>
          <w:szCs w:val="32"/>
          <w:lang w:eastAsia="zh-CN"/>
        </w:rPr>
        <w:t>2024年公共图书馆、美术馆、文化馆（站）免费开放补助</w:t>
      </w:r>
      <w:r>
        <w:rPr>
          <w:rFonts w:hint="eastAsia" w:eastAsia="仿宋_GB2312" w:cs="仿宋_GB2312"/>
          <w:sz w:val="32"/>
          <w:szCs w:val="32"/>
        </w:rPr>
        <w:t>专项预算项目绩效自评得分为</w:t>
      </w:r>
      <w:r>
        <w:rPr>
          <w:rFonts w:hint="eastAsia" w:eastAsia="仿宋_GB2312" w:cs="仿宋_GB2312"/>
          <w:sz w:val="32"/>
          <w:szCs w:val="32"/>
          <w:lang w:val="en-US" w:eastAsia="zh-CN"/>
        </w:rPr>
        <w:t>96</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ascii="仿宋_GB2312" w:hAnsi="仿宋_GB2312" w:eastAsia="仿宋_GB2312" w:cs="仿宋_GB2312"/>
          <w:sz w:val="32"/>
          <w:szCs w:val="32"/>
          <w:lang w:eastAsia="zh-CN"/>
        </w:rPr>
        <w:t>立项必要性和依据充分，绩效目标明确，</w:t>
      </w:r>
      <w:r>
        <w:rPr>
          <w:rFonts w:hint="eastAsia" w:ascii="仿宋_GB2312" w:hAnsi="仿宋_GB2312" w:eastAsia="仿宋_GB2312" w:cs="仿宋_GB2312"/>
          <w:sz w:val="32"/>
          <w:szCs w:val="32"/>
          <w:lang w:val="en-US" w:eastAsia="zh-CN"/>
        </w:rPr>
        <w:t>截至评价时点任务量完成100%、质量标准合格、进度计划符合时效要求、成本控制100%，目标的实现程度达标</w:t>
      </w:r>
      <w:r>
        <w:rPr>
          <w:rFonts w:hint="eastAsia" w:eastAsia="仿宋_GB2312" w:cs="仿宋_GB2312"/>
          <w:sz w:val="32"/>
          <w:szCs w:val="32"/>
        </w:rPr>
        <w:t>；2024年困难群众一次性生活补贴补助专项预算项目绩效自评得分为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ascii="仿宋_GB2312" w:hAnsi="仿宋_GB2312" w:eastAsia="仿宋_GB2312" w:cs="仿宋_GB2312"/>
          <w:sz w:val="32"/>
          <w:szCs w:val="32"/>
          <w:lang w:eastAsia="zh-CN"/>
        </w:rPr>
        <w:t>立项必要性和依据充分，绩效目标明确，</w:t>
      </w:r>
      <w:r>
        <w:rPr>
          <w:rFonts w:hint="eastAsia" w:ascii="仿宋_GB2312" w:hAnsi="仿宋_GB2312" w:eastAsia="仿宋_GB2312" w:cs="仿宋_GB2312"/>
          <w:sz w:val="32"/>
          <w:szCs w:val="32"/>
          <w:lang w:val="en-US" w:eastAsia="zh-CN"/>
        </w:rPr>
        <w:t>截至评价时点任务量完成100%、质量标准合格、进度计划符合时效要求、成本控制100%，目标的实现程度达标</w:t>
      </w:r>
      <w:r>
        <w:rPr>
          <w:rFonts w:hint="eastAsia" w:eastAsia="仿宋_GB2312" w:cs="仿宋_GB2312"/>
          <w:sz w:val="32"/>
          <w:szCs w:val="32"/>
        </w:rPr>
        <w:t>；</w:t>
      </w:r>
      <w:r>
        <w:rPr>
          <w:rFonts w:hint="eastAsia" w:ascii="仿宋_GB2312" w:hAnsi="仿宋_GB2312" w:eastAsia="仿宋_GB2312" w:cs="仿宋_GB2312"/>
          <w:sz w:val="32"/>
          <w:szCs w:val="32"/>
          <w:lang w:val="en-US" w:eastAsia="zh-CN"/>
        </w:rPr>
        <w:t>2024年民族地区春节送温暖活动慰问专项预算</w:t>
      </w:r>
      <w:r>
        <w:rPr>
          <w:rFonts w:hint="eastAsia" w:eastAsia="仿宋_GB2312" w:cs="仿宋_GB2312"/>
          <w:sz w:val="32"/>
          <w:szCs w:val="32"/>
        </w:rPr>
        <w:t>项目绩效自评得分为</w:t>
      </w:r>
      <w:r>
        <w:rPr>
          <w:rFonts w:hint="eastAsia" w:eastAsia="仿宋_GB2312" w:cs="仿宋_GB2312"/>
          <w:sz w:val="32"/>
          <w:szCs w:val="32"/>
          <w:lang w:val="en-US" w:eastAsia="zh-CN"/>
        </w:rPr>
        <w:t>98</w:t>
      </w:r>
      <w:r>
        <w:rPr>
          <w:rFonts w:hint="eastAsia" w:eastAsia="仿宋_GB2312" w:cs="仿宋_GB2312"/>
          <w:sz w:val="32"/>
          <w:szCs w:val="32"/>
        </w:rPr>
        <w:t>分，绩效自评综述</w:t>
      </w:r>
      <w:r>
        <w:rPr>
          <w:rFonts w:hint="eastAsia" w:eastAsia="仿宋_GB2312" w:cs="仿宋_GB2312"/>
          <w:sz w:val="32"/>
          <w:szCs w:val="32"/>
          <w:lang w:eastAsia="zh-CN"/>
        </w:rPr>
        <w:t>：</w:t>
      </w:r>
      <w:r>
        <w:rPr>
          <w:rFonts w:hint="eastAsia" w:ascii="仿宋_GB2312" w:hAnsi="仿宋_GB2312" w:eastAsia="仿宋_GB2312" w:cs="仿宋_GB2312"/>
          <w:sz w:val="32"/>
          <w:szCs w:val="32"/>
          <w:lang w:eastAsia="zh-CN"/>
        </w:rPr>
        <w:t>立项必要性和依据充分，绩效目标明确，</w:t>
      </w:r>
      <w:r>
        <w:rPr>
          <w:rFonts w:hint="eastAsia" w:ascii="仿宋_GB2312" w:hAnsi="仿宋_GB2312" w:eastAsia="仿宋_GB2312" w:cs="仿宋_GB2312"/>
          <w:sz w:val="32"/>
          <w:szCs w:val="32"/>
          <w:lang w:val="en-US" w:eastAsia="zh-CN"/>
        </w:rPr>
        <w:t>截至评价时点任务量完成100%、质量标准合格、进度计划符合时效要求、成本控制100%，目标的实现程度达标</w:t>
      </w:r>
      <w:r>
        <w:rPr>
          <w:rFonts w:hint="eastAsia" w:eastAsia="仿宋_GB2312" w:cs="仿宋_GB2312"/>
          <w:sz w:val="32"/>
          <w:szCs w:val="32"/>
        </w:rPr>
        <w:t>。绩效自评报告详见附件。</w:t>
      </w:r>
    </w:p>
    <w:p>
      <w:pPr>
        <w:spacing w:line="600" w:lineRule="exact"/>
        <w:ind w:firstLine="640"/>
        <w:jc w:val="both"/>
        <w:rPr>
          <w:rFonts w:eastAsia="仿宋_GB2312" w:cs="仿宋_GB2312"/>
          <w:sz w:val="32"/>
          <w:szCs w:val="32"/>
        </w:rPr>
      </w:pPr>
    </w:p>
    <w:p>
      <w:pPr>
        <w:pStyle w:val="8"/>
        <w:ind w:left="0" w:leftChars="0" w:firstLine="0" w:firstLineChars="0"/>
        <w:jc w:val="both"/>
      </w:pPr>
    </w:p>
    <w:p>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pPr>
        <w:spacing w:line="600" w:lineRule="exact"/>
        <w:jc w:val="both"/>
        <w:rPr>
          <w:b/>
          <w:sz w:val="44"/>
          <w:szCs w:val="44"/>
        </w:rPr>
      </w:pPr>
    </w:p>
    <w:p>
      <w:pPr>
        <w:spacing w:line="600" w:lineRule="exact"/>
        <w:ind w:firstLine="640"/>
        <w:jc w:val="both"/>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jc w:val="both"/>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600" w:lineRule="exact"/>
        <w:ind w:firstLine="640" w:firstLineChars="200"/>
        <w:jc w:val="both"/>
        <w:rPr>
          <w:rFonts w:hint="eastAsia" w:eastAsia="仿宋_GB2312" w:cs="仿宋_GB2312"/>
          <w:sz w:val="32"/>
          <w:szCs w:val="32"/>
        </w:rPr>
      </w:pPr>
      <w:r>
        <w:rPr>
          <w:rFonts w:hint="eastAsia" w:eastAsia="仿宋_GB2312" w:cs="仿宋_GB2312"/>
          <w:sz w:val="32"/>
          <w:szCs w:val="32"/>
        </w:rPr>
        <w:t>4.其他收入：指单位取得的除上述收入以外的各项收入。</w:t>
      </w:r>
    </w:p>
    <w:p>
      <w:pPr>
        <w:spacing w:line="600" w:lineRule="exact"/>
        <w:ind w:firstLine="640" w:firstLineChars="200"/>
        <w:jc w:val="both"/>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pPr>
        <w:spacing w:line="600" w:lineRule="exact"/>
        <w:ind w:firstLine="640"/>
        <w:jc w:val="both"/>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600" w:lineRule="exact"/>
        <w:ind w:firstLine="640"/>
        <w:jc w:val="both"/>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pPr>
        <w:spacing w:line="600" w:lineRule="exact"/>
        <w:ind w:firstLine="640"/>
        <w:jc w:val="both"/>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9.一般公共服务支出（类）人大事务（款）行政运行（项）：</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指反映行政单位（包括实行公务员管理的事业单位）的基本支出。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10.一般公共服务支出（类）人大事务（款）人大会议（项）：指反映各级人大召开人民代表大会等专门会议的支出。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rPr>
        <w:t>1</w:t>
      </w:r>
      <w:r>
        <w:rPr>
          <w:rFonts w:hint="eastAsia" w:eastAsia="仿宋_GB2312" w:cs="仿宋_GB2312"/>
          <w:sz w:val="32"/>
          <w:szCs w:val="32"/>
          <w:lang w:val="en-US" w:eastAsia="zh-CN"/>
        </w:rPr>
        <w:t>1</w:t>
      </w:r>
      <w:r>
        <w:rPr>
          <w:rFonts w:hint="eastAsia" w:eastAsia="仿宋_GB2312" w:cs="仿宋_GB2312"/>
          <w:sz w:val="32"/>
          <w:szCs w:val="32"/>
        </w:rPr>
        <w:t>.一般公共服务支出（类）人大事务（款）其他人大事务支出（项）：</w:t>
      </w:r>
      <w:r>
        <w:rPr>
          <w:rFonts w:hint="eastAsia" w:eastAsia="仿宋_GB2312" w:cs="仿宋_GB2312"/>
          <w:sz w:val="32"/>
          <w:szCs w:val="32"/>
          <w:lang w:eastAsia="zh-CN"/>
        </w:rPr>
        <w:t>指反映除上述项目以外的其他人大事务支出。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2</w:t>
      </w:r>
      <w:r>
        <w:rPr>
          <w:rFonts w:hint="eastAsia" w:eastAsia="仿宋_GB2312" w:cs="仿宋_GB2312"/>
          <w:sz w:val="32"/>
          <w:szCs w:val="32"/>
        </w:rPr>
        <w:t>.一般公共服务支出（类）政协事务（款）其他政协事务支出（项）：指反映</w:t>
      </w:r>
      <w:r>
        <w:rPr>
          <w:rFonts w:hint="eastAsia" w:eastAsia="仿宋_GB2312" w:cs="仿宋_GB2312"/>
          <w:sz w:val="32"/>
          <w:szCs w:val="32"/>
          <w:lang w:eastAsia="zh-CN"/>
        </w:rPr>
        <w:t>除上述项目以外的其他政协事务</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3</w:t>
      </w:r>
      <w:r>
        <w:rPr>
          <w:rFonts w:hint="eastAsia" w:eastAsia="仿宋_GB2312" w:cs="仿宋_GB2312"/>
          <w:sz w:val="32"/>
          <w:szCs w:val="32"/>
        </w:rPr>
        <w:t>.一般公共服务支出（类）政府办公厅（室）及相关机构事务（款）行政运行（项）：指反映行政单位（包括实行公务员管理的事业单位）的基本支出。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rPr>
        <w:t>1</w:t>
      </w:r>
      <w:r>
        <w:rPr>
          <w:rFonts w:hint="eastAsia" w:eastAsia="仿宋_GB2312" w:cs="仿宋_GB2312"/>
          <w:sz w:val="32"/>
          <w:szCs w:val="32"/>
          <w:lang w:val="en-US" w:eastAsia="zh-CN"/>
        </w:rPr>
        <w:t>4</w:t>
      </w:r>
      <w:r>
        <w:rPr>
          <w:rFonts w:hint="eastAsia" w:eastAsia="仿宋_GB2312" w:cs="仿宋_GB2312"/>
          <w:sz w:val="32"/>
          <w:szCs w:val="32"/>
        </w:rPr>
        <w:t>.一般公共服务支出（类）政府办公厅（室）及相关机构事务（款）一般行政管理事务（项）：指反映行政单位（包括实行公务员管理的事业单位）未单独设置项级科目的其他项目支出。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rPr>
        <w:t>1</w:t>
      </w:r>
      <w:r>
        <w:rPr>
          <w:rFonts w:hint="eastAsia" w:eastAsia="仿宋_GB2312" w:cs="仿宋_GB2312"/>
          <w:sz w:val="32"/>
          <w:szCs w:val="32"/>
          <w:lang w:val="en-US" w:eastAsia="zh-CN"/>
        </w:rPr>
        <w:t>5</w:t>
      </w:r>
      <w:r>
        <w:rPr>
          <w:rFonts w:hint="eastAsia" w:eastAsia="仿宋_GB2312" w:cs="仿宋_GB2312"/>
          <w:sz w:val="32"/>
          <w:szCs w:val="32"/>
        </w:rPr>
        <w:t>.一般公共服务支出（类）政府办公厅（室）及相关机构事务（款）事业运行（项）：指反映</w:t>
      </w:r>
      <w:r>
        <w:rPr>
          <w:rFonts w:hint="eastAsia" w:eastAsia="仿宋_GB2312" w:cs="仿宋_GB2312"/>
          <w:sz w:val="32"/>
          <w:szCs w:val="32"/>
          <w:lang w:eastAsia="zh-CN"/>
        </w:rPr>
        <w:t>事业单位的基本支出，不包括行政单位（包括实行公务员管理的事业单位）后勤服务中心、医务室等附属事业单位。</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6</w:t>
      </w:r>
      <w:r>
        <w:rPr>
          <w:rFonts w:hint="eastAsia" w:eastAsia="仿宋_GB2312" w:cs="仿宋_GB2312"/>
          <w:sz w:val="32"/>
          <w:szCs w:val="32"/>
        </w:rPr>
        <w:t>.一般公共服务支出（类）政府办公厅（室）及相关机构事务（款）其他政府办公厅(室)及相关机构事务支出（项）：</w:t>
      </w:r>
      <w:r>
        <w:rPr>
          <w:rFonts w:hint="eastAsia" w:eastAsia="仿宋_GB2312" w:cs="仿宋_GB2312"/>
          <w:sz w:val="32"/>
          <w:szCs w:val="32"/>
          <w:lang w:eastAsia="zh-CN"/>
        </w:rPr>
        <w:t>指反映除上述项目以外的</w:t>
      </w:r>
      <w:r>
        <w:rPr>
          <w:rFonts w:hint="eastAsia" w:eastAsia="仿宋_GB2312" w:cs="仿宋_GB2312"/>
          <w:sz w:val="32"/>
          <w:szCs w:val="32"/>
        </w:rPr>
        <w:t>其他政府办公厅(室)及相关机构事务支出</w:t>
      </w:r>
      <w:r>
        <w:rPr>
          <w:rFonts w:hint="eastAsia" w:eastAsia="仿宋_GB2312" w:cs="仿宋_GB2312"/>
          <w:sz w:val="32"/>
          <w:szCs w:val="32"/>
          <w:lang w:eastAsia="zh-CN"/>
        </w:rPr>
        <w:t>。</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17.</w:t>
      </w:r>
      <w:r>
        <w:rPr>
          <w:rFonts w:hint="eastAsia" w:eastAsia="仿宋_GB2312" w:cs="仿宋_GB2312"/>
          <w:sz w:val="32"/>
          <w:szCs w:val="32"/>
        </w:rPr>
        <w:t>一般公共服务支出（类）民族事务（款）民族工作专项（项）：指反映</w:t>
      </w:r>
      <w:r>
        <w:rPr>
          <w:rFonts w:hint="eastAsia" w:eastAsia="仿宋_GB2312" w:cs="仿宋_GB2312"/>
          <w:sz w:val="32"/>
          <w:szCs w:val="32"/>
          <w:lang w:eastAsia="zh-CN"/>
        </w:rPr>
        <w:t>用于民族事务管理方面的专项支出。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18.</w:t>
      </w:r>
      <w:r>
        <w:rPr>
          <w:rFonts w:hint="eastAsia" w:eastAsia="仿宋_GB2312" w:cs="仿宋_GB2312"/>
          <w:sz w:val="32"/>
          <w:szCs w:val="32"/>
        </w:rPr>
        <w:t>一般公共服务支出（类）民族事务（款）其他民族事务支出（项）：指反映</w:t>
      </w:r>
      <w:r>
        <w:rPr>
          <w:rFonts w:hint="eastAsia" w:eastAsia="仿宋_GB2312" w:cs="仿宋_GB2312"/>
          <w:sz w:val="32"/>
          <w:szCs w:val="32"/>
          <w:lang w:eastAsia="zh-CN"/>
        </w:rPr>
        <w:t>除上述项目以外其他用于民族事务方面的支出。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19.</w:t>
      </w:r>
      <w:r>
        <w:rPr>
          <w:rFonts w:hint="eastAsia" w:eastAsia="仿宋_GB2312" w:cs="仿宋_GB2312"/>
          <w:sz w:val="32"/>
          <w:szCs w:val="32"/>
        </w:rPr>
        <w:t>一般公共服务支出（类）群众团体事务（款）事业运行（项）：指反映</w:t>
      </w:r>
      <w:r>
        <w:rPr>
          <w:rFonts w:hint="eastAsia" w:eastAsia="仿宋_GB2312" w:cs="仿宋_GB2312"/>
          <w:sz w:val="32"/>
          <w:szCs w:val="32"/>
          <w:lang w:eastAsia="zh-CN"/>
        </w:rPr>
        <w:t>事业单位的基本支出，不包括行政单位（包括实行公务员管理的事业单位）后勤服务中心、医务室等附属事业单位。</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20.</w:t>
      </w:r>
      <w:r>
        <w:rPr>
          <w:rFonts w:hint="eastAsia" w:eastAsia="仿宋_GB2312" w:cs="仿宋_GB2312"/>
          <w:sz w:val="32"/>
          <w:szCs w:val="32"/>
        </w:rPr>
        <w:t>一般公共服务支出（类）党委办公厅（室）及相关机构事务（款）行政运行（项）：指反映行政单位（包括实行公务员管理的事业单位）的基本支出。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21.</w:t>
      </w:r>
      <w:r>
        <w:rPr>
          <w:rFonts w:hint="eastAsia" w:eastAsia="仿宋_GB2312" w:cs="仿宋_GB2312"/>
          <w:sz w:val="32"/>
          <w:szCs w:val="32"/>
        </w:rPr>
        <w:t>一般公共服务支出（类）党委办公厅（室）及相关机构事务（款）一般行政管理事务（项）：指反映行政单位（包括实行公务员管理的事业单位）</w:t>
      </w:r>
      <w:r>
        <w:rPr>
          <w:rFonts w:hint="eastAsia" w:eastAsia="仿宋_GB2312" w:cs="仿宋_GB2312"/>
          <w:sz w:val="32"/>
          <w:szCs w:val="32"/>
          <w:lang w:eastAsia="zh-CN"/>
        </w:rPr>
        <w:t>未单独设置项级科目的其他项目支出</w:t>
      </w:r>
      <w:r>
        <w:rPr>
          <w:rFonts w:hint="eastAsia" w:eastAsia="仿宋_GB2312" w:cs="仿宋_GB2312"/>
          <w:sz w:val="32"/>
          <w:szCs w:val="32"/>
        </w:rPr>
        <w:t>。</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22.</w:t>
      </w:r>
      <w:r>
        <w:rPr>
          <w:rFonts w:hint="eastAsia" w:eastAsia="仿宋_GB2312" w:cs="仿宋_GB2312"/>
          <w:sz w:val="32"/>
          <w:szCs w:val="32"/>
        </w:rPr>
        <w:t>一般公共服务支出（类）其他一般公共服务支出（款）其他一般公共服务支出（项）：</w:t>
      </w:r>
      <w:r>
        <w:rPr>
          <w:rFonts w:hint="eastAsia" w:eastAsia="仿宋_GB2312" w:cs="仿宋_GB2312"/>
          <w:sz w:val="32"/>
          <w:szCs w:val="32"/>
          <w:lang w:eastAsia="zh-CN"/>
        </w:rPr>
        <w:t>指反映除上述项目以外的其他一般公共服务支出。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23.</w:t>
      </w:r>
      <w:r>
        <w:rPr>
          <w:rFonts w:hint="eastAsia" w:eastAsia="仿宋_GB2312" w:cs="仿宋_GB2312"/>
          <w:sz w:val="32"/>
          <w:szCs w:val="32"/>
        </w:rPr>
        <w:t>文化体育与传媒支出（类）文化和旅游（款）群众文化（项）：指反映群众文化方面的支出，包括基层文化馆（站）、群众艺术馆支出等。</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24.</w:t>
      </w:r>
      <w:r>
        <w:rPr>
          <w:rFonts w:hint="eastAsia" w:eastAsia="仿宋_GB2312" w:cs="仿宋_GB2312"/>
          <w:sz w:val="32"/>
          <w:szCs w:val="32"/>
        </w:rPr>
        <w:t>文化体育与传媒支出（类）文化和旅游（款）其他文化和旅游支出（项）：指反映</w:t>
      </w:r>
      <w:r>
        <w:rPr>
          <w:rFonts w:hint="eastAsia" w:eastAsia="仿宋_GB2312" w:cs="仿宋_GB2312"/>
          <w:sz w:val="32"/>
          <w:szCs w:val="32"/>
          <w:lang w:eastAsia="zh-CN"/>
        </w:rPr>
        <w:t>除上述项目以外其他用于文化和旅游方面的支出。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5</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（类）人力资源和社会保障管理事务（款）社会保险经办机构（项）：指反映社会保险经办机构开展业务工作的支出。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26.</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（类）人力资源和社会保障管理事务（款）其他人力资源和社会保障管理事务支出（项）：指反映</w:t>
      </w:r>
      <w:r>
        <w:rPr>
          <w:rFonts w:hint="eastAsia" w:eastAsia="仿宋_GB2312" w:cs="仿宋_GB2312"/>
          <w:sz w:val="32"/>
          <w:szCs w:val="32"/>
          <w:lang w:eastAsia="zh-CN"/>
        </w:rPr>
        <w:t>除上述项目以外其他用于</w:t>
      </w:r>
      <w:r>
        <w:rPr>
          <w:rFonts w:hint="eastAsia" w:eastAsia="仿宋_GB2312" w:cs="仿宋_GB2312"/>
          <w:sz w:val="32"/>
          <w:szCs w:val="32"/>
        </w:rPr>
        <w:t>人力资源和社会保障管理事务</w:t>
      </w:r>
      <w:r>
        <w:rPr>
          <w:rFonts w:hint="eastAsia" w:eastAsia="仿宋_GB2312" w:cs="仿宋_GB2312"/>
          <w:sz w:val="32"/>
          <w:szCs w:val="32"/>
          <w:lang w:eastAsia="zh-CN"/>
        </w:rPr>
        <w:t>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27.</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（类）民政管理事务（款）</w:t>
      </w:r>
      <w:r>
        <w:rPr>
          <w:rFonts w:hint="eastAsia" w:eastAsia="仿宋_GB2312" w:cs="仿宋_GB2312"/>
          <w:sz w:val="32"/>
          <w:szCs w:val="32"/>
          <w:lang w:val="en-US" w:eastAsia="zh-CN"/>
        </w:rPr>
        <w:t>行政区划和地名管理</w:t>
      </w:r>
      <w:r>
        <w:rPr>
          <w:rFonts w:hint="eastAsia" w:eastAsia="仿宋_GB2312" w:cs="仿宋_GB2312"/>
          <w:sz w:val="32"/>
          <w:szCs w:val="32"/>
        </w:rPr>
        <w:t>（项）：</w:t>
      </w:r>
      <w:r>
        <w:rPr>
          <w:rFonts w:hint="eastAsia" w:eastAsia="仿宋_GB2312" w:cs="仿宋_GB2312"/>
          <w:sz w:val="32"/>
          <w:szCs w:val="32"/>
          <w:lang w:eastAsia="zh-CN"/>
        </w:rPr>
        <w:t>指反映行政区域界线勘定、管理，以及行政区划和地名管理支出。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28.</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（类）民政管理事务（款）</w:t>
      </w:r>
      <w:r>
        <w:rPr>
          <w:rFonts w:hint="eastAsia" w:eastAsia="仿宋_GB2312" w:cs="仿宋_GB2312"/>
          <w:sz w:val="32"/>
          <w:szCs w:val="32"/>
          <w:lang w:val="en-US" w:eastAsia="zh-CN"/>
        </w:rPr>
        <w:t>基层政权建设和社区治理</w:t>
      </w:r>
      <w:r>
        <w:rPr>
          <w:rFonts w:hint="eastAsia" w:eastAsia="仿宋_GB2312" w:cs="仿宋_GB2312"/>
          <w:sz w:val="32"/>
          <w:szCs w:val="32"/>
        </w:rPr>
        <w:t>（项）：</w:t>
      </w:r>
      <w:r>
        <w:rPr>
          <w:rFonts w:hint="eastAsia" w:eastAsia="仿宋_GB2312" w:cs="仿宋_GB2312"/>
          <w:sz w:val="32"/>
          <w:szCs w:val="32"/>
          <w:lang w:eastAsia="zh-CN"/>
        </w:rPr>
        <w:t>指反映开展城乡社区治理、城乡社区服务（乡村便民服务）、村（居）民自治、村（居）务公开、乡镇（街道）服务能力建设等基层政权建设和社区治理工作的支出。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29</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民政管理事务（款）其他民政管理事务支出（项）：指反映民政部门接待来访、法制建设、政策宣传方面的支出，以及开展优抚安置、救灾减灾、社会救助、社会福利、婚姻登记、社会事务、信息化建设等专项业务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30</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（类）行政事业单位</w:t>
      </w:r>
      <w:r>
        <w:rPr>
          <w:rFonts w:hint="eastAsia" w:eastAsia="仿宋_GB2312" w:cs="仿宋_GB2312"/>
          <w:sz w:val="32"/>
          <w:szCs w:val="32"/>
          <w:lang w:eastAsia="zh-CN"/>
        </w:rPr>
        <w:t>养老支出</w:t>
      </w:r>
      <w:r>
        <w:rPr>
          <w:rFonts w:hint="eastAsia" w:eastAsia="仿宋_GB2312" w:cs="仿宋_GB2312"/>
          <w:sz w:val="32"/>
          <w:szCs w:val="32"/>
        </w:rPr>
        <w:t>（款）</w:t>
      </w:r>
      <w:r>
        <w:rPr>
          <w:rFonts w:hint="eastAsia" w:eastAsia="仿宋_GB2312" w:cs="仿宋_GB2312"/>
          <w:sz w:val="32"/>
          <w:szCs w:val="32"/>
          <w:lang w:eastAsia="zh-CN"/>
        </w:rPr>
        <w:t>行政单位离退休</w:t>
      </w:r>
      <w:r>
        <w:rPr>
          <w:rFonts w:hint="eastAsia" w:eastAsia="仿宋_GB2312" w:cs="仿宋_GB2312"/>
          <w:sz w:val="32"/>
          <w:szCs w:val="32"/>
        </w:rPr>
        <w:t>（项）：指反映</w:t>
      </w:r>
      <w:r>
        <w:rPr>
          <w:rFonts w:hint="eastAsia" w:eastAsia="仿宋_GB2312" w:cs="仿宋_GB2312"/>
          <w:sz w:val="32"/>
          <w:szCs w:val="32"/>
          <w:lang w:eastAsia="zh-CN"/>
        </w:rPr>
        <w:t>行政单位（包括实行公务员管理的事业单位</w:t>
      </w:r>
      <w:r>
        <w:rPr>
          <w:rFonts w:hint="eastAsia" w:eastAsia="仿宋_GB2312" w:cs="仿宋_GB2312"/>
          <w:sz w:val="32"/>
          <w:szCs w:val="32"/>
          <w:lang w:val="en-US" w:eastAsia="zh-CN"/>
        </w:rPr>
        <w:t>)开支的离退休经费</w:t>
      </w:r>
      <w:r>
        <w:rPr>
          <w:rFonts w:hint="eastAsia" w:eastAsia="仿宋_GB2312" w:cs="仿宋_GB2312"/>
          <w:sz w:val="32"/>
          <w:szCs w:val="32"/>
        </w:rPr>
        <w:t>。</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31</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（类）行政事业单位</w:t>
      </w:r>
      <w:r>
        <w:rPr>
          <w:rFonts w:hint="eastAsia" w:eastAsia="仿宋_GB2312" w:cs="仿宋_GB2312"/>
          <w:sz w:val="32"/>
          <w:szCs w:val="32"/>
          <w:lang w:eastAsia="zh-CN"/>
        </w:rPr>
        <w:t>养老支出</w:t>
      </w:r>
      <w:r>
        <w:rPr>
          <w:rFonts w:hint="eastAsia" w:eastAsia="仿宋_GB2312" w:cs="仿宋_GB2312"/>
          <w:sz w:val="32"/>
          <w:szCs w:val="32"/>
        </w:rPr>
        <w:t>（款）</w:t>
      </w:r>
      <w:r>
        <w:rPr>
          <w:rFonts w:hint="eastAsia" w:eastAsia="仿宋_GB2312" w:cs="仿宋_GB2312"/>
          <w:sz w:val="32"/>
          <w:szCs w:val="32"/>
          <w:lang w:eastAsia="zh-CN"/>
        </w:rPr>
        <w:t>事业单位离退休</w:t>
      </w:r>
      <w:r>
        <w:rPr>
          <w:rFonts w:hint="eastAsia" w:eastAsia="仿宋_GB2312" w:cs="仿宋_GB2312"/>
          <w:sz w:val="32"/>
          <w:szCs w:val="32"/>
        </w:rPr>
        <w:t>（项）：指反映</w:t>
      </w:r>
      <w:r>
        <w:rPr>
          <w:rFonts w:hint="eastAsia" w:eastAsia="仿宋_GB2312" w:cs="仿宋_GB2312"/>
          <w:sz w:val="32"/>
          <w:szCs w:val="32"/>
          <w:lang w:eastAsia="zh-CN"/>
        </w:rPr>
        <w:t>事业单位开支的离退休经费</w:t>
      </w:r>
      <w:r>
        <w:rPr>
          <w:rFonts w:hint="eastAsia" w:eastAsia="仿宋_GB2312" w:cs="仿宋_GB2312"/>
          <w:sz w:val="32"/>
          <w:szCs w:val="32"/>
        </w:rPr>
        <w:t>。</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32</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（类）行政事业单位</w:t>
      </w:r>
      <w:r>
        <w:rPr>
          <w:rFonts w:hint="eastAsia" w:eastAsia="仿宋_GB2312" w:cs="仿宋_GB2312"/>
          <w:sz w:val="32"/>
          <w:szCs w:val="32"/>
          <w:lang w:eastAsia="zh-CN"/>
        </w:rPr>
        <w:t>养老支出</w:t>
      </w:r>
      <w:r>
        <w:rPr>
          <w:rFonts w:hint="eastAsia" w:eastAsia="仿宋_GB2312" w:cs="仿宋_GB2312"/>
          <w:sz w:val="32"/>
          <w:szCs w:val="32"/>
        </w:rPr>
        <w:t>（款）机关事业单位基本养老保险缴费支出（项）：指反映机关事业单位实施养老保险制度由单位缴纳的基本养老保险费支出。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33</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（类）行政事业单位</w:t>
      </w:r>
      <w:r>
        <w:rPr>
          <w:rFonts w:hint="eastAsia" w:eastAsia="仿宋_GB2312" w:cs="仿宋_GB2312"/>
          <w:sz w:val="32"/>
          <w:szCs w:val="32"/>
          <w:lang w:eastAsia="zh-CN"/>
        </w:rPr>
        <w:t>养老支出</w:t>
      </w:r>
      <w:r>
        <w:rPr>
          <w:rFonts w:hint="eastAsia" w:eastAsia="仿宋_GB2312" w:cs="仿宋_GB2312"/>
          <w:sz w:val="32"/>
          <w:szCs w:val="32"/>
        </w:rPr>
        <w:t>（款）</w:t>
      </w:r>
      <w:r>
        <w:rPr>
          <w:rFonts w:hint="eastAsia" w:eastAsia="仿宋_GB2312" w:cs="仿宋_GB2312"/>
          <w:sz w:val="32"/>
          <w:szCs w:val="32"/>
          <w:lang w:eastAsia="zh-CN"/>
        </w:rPr>
        <w:t>机关事业单位职业年金缴费支出</w:t>
      </w:r>
      <w:r>
        <w:rPr>
          <w:rFonts w:hint="eastAsia" w:eastAsia="仿宋_GB2312" w:cs="仿宋_GB2312"/>
          <w:sz w:val="32"/>
          <w:szCs w:val="32"/>
        </w:rPr>
        <w:t>（项）：指反映</w:t>
      </w:r>
      <w:r>
        <w:rPr>
          <w:rFonts w:hint="eastAsia" w:eastAsia="仿宋_GB2312" w:cs="仿宋_GB2312"/>
          <w:sz w:val="32"/>
          <w:szCs w:val="32"/>
          <w:lang w:eastAsia="zh-CN"/>
        </w:rPr>
        <w:t>机关事业单位实施养老保险制度由单位实际缴纳的职业年金支出。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34</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（类）抚恤（款）死亡抚恤（项）：指</w:t>
      </w:r>
      <w:r>
        <w:rPr>
          <w:rFonts w:hint="eastAsia" w:eastAsia="仿宋_GB2312" w:cs="仿宋_GB2312"/>
          <w:sz w:val="32"/>
          <w:szCs w:val="32"/>
          <w:lang w:eastAsia="zh-CN"/>
        </w:rPr>
        <w:t>反映按规定用于烈士和牺牲、病故人员家属的一次性和定期抚恤金、丧葬补助费以及烈士褒扬金。</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35</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（类）抚恤（款）</w:t>
      </w:r>
      <w:r>
        <w:rPr>
          <w:rFonts w:hint="eastAsia" w:eastAsia="仿宋_GB2312" w:cs="仿宋_GB2312"/>
          <w:sz w:val="32"/>
          <w:szCs w:val="32"/>
          <w:lang w:eastAsia="zh-CN"/>
        </w:rPr>
        <w:t>伤残</w:t>
      </w:r>
      <w:r>
        <w:rPr>
          <w:rFonts w:hint="eastAsia" w:eastAsia="仿宋_GB2312" w:cs="仿宋_GB2312"/>
          <w:sz w:val="32"/>
          <w:szCs w:val="32"/>
        </w:rPr>
        <w:t>抚恤（项）：指</w:t>
      </w:r>
      <w:r>
        <w:rPr>
          <w:rFonts w:hint="eastAsia" w:eastAsia="仿宋_GB2312" w:cs="仿宋_GB2312"/>
          <w:sz w:val="32"/>
          <w:szCs w:val="32"/>
          <w:lang w:eastAsia="zh-CN"/>
        </w:rPr>
        <w:t>反映按规定用于伤残人员的抚恤金和按规定开支的各种伤残补助费。</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36</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（类）特困人员救助供养（款）农村特困人员救助供养支出（项）：指反映农村特困人员救助供养支出。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37</w:t>
      </w:r>
      <w:r>
        <w:rPr>
          <w:rFonts w:hint="eastAsia" w:eastAsia="仿宋_GB2312" w:cs="仿宋_GB2312"/>
          <w:sz w:val="32"/>
          <w:szCs w:val="32"/>
        </w:rPr>
        <w:t>.社会保障和就业</w:t>
      </w:r>
      <w:r>
        <w:rPr>
          <w:rFonts w:hint="eastAsia" w:eastAsia="仿宋_GB2312" w:cs="仿宋_GB2312"/>
          <w:sz w:val="32"/>
          <w:szCs w:val="32"/>
          <w:lang w:eastAsia="zh-CN"/>
        </w:rPr>
        <w:t>支出</w:t>
      </w:r>
      <w:r>
        <w:rPr>
          <w:rFonts w:hint="eastAsia" w:eastAsia="仿宋_GB2312" w:cs="仿宋_GB2312"/>
          <w:sz w:val="32"/>
          <w:szCs w:val="32"/>
        </w:rPr>
        <w:t>（类）其他生活救助（款）其他农村生活救助（项）：指</w:t>
      </w:r>
      <w:r>
        <w:rPr>
          <w:rFonts w:hint="eastAsia" w:eastAsia="仿宋_GB2312" w:cs="仿宋_GB2312"/>
          <w:sz w:val="32"/>
          <w:szCs w:val="32"/>
          <w:lang w:eastAsia="zh-CN"/>
        </w:rPr>
        <w:t>反映除最低生活保障、临时救助、特困人员救助供养外，用于农村生活困难居民生活救助的其他支出，包括用于除优抚对象、失业人员之外农村生活困难居民的价格临时补贴支出。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38</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公共卫生</w:t>
      </w:r>
      <w:r>
        <w:rPr>
          <w:rFonts w:hint="eastAsia" w:eastAsia="仿宋_GB2312" w:cs="仿宋_GB2312"/>
          <w:sz w:val="32"/>
          <w:szCs w:val="32"/>
        </w:rPr>
        <w:t>（款）</w:t>
      </w:r>
      <w:r>
        <w:rPr>
          <w:rFonts w:hint="eastAsia" w:eastAsia="仿宋_GB2312" w:cs="仿宋_GB2312"/>
          <w:sz w:val="32"/>
          <w:szCs w:val="32"/>
          <w:lang w:eastAsia="zh-CN"/>
        </w:rPr>
        <w:t>其他公共卫生支出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除上述项目以外其他用于公共卫生方面的</w:t>
      </w:r>
      <w:r>
        <w:rPr>
          <w:rFonts w:hint="eastAsia" w:eastAsia="仿宋_GB2312" w:cs="仿宋_GB2312"/>
          <w:sz w:val="32"/>
          <w:szCs w:val="32"/>
        </w:rPr>
        <w:t>支出</w:t>
      </w:r>
      <w:r>
        <w:rPr>
          <w:rFonts w:hint="eastAsia" w:eastAsia="仿宋_GB2312" w:cs="仿宋_GB2312"/>
          <w:sz w:val="32"/>
          <w:szCs w:val="32"/>
          <w:lang w:eastAsia="zh-CN"/>
        </w:rPr>
        <w:t>。</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39</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行政单位医疗</w:t>
      </w:r>
      <w:r>
        <w:rPr>
          <w:rFonts w:hint="eastAsia" w:eastAsia="仿宋_GB2312" w:cs="仿宋_GB2312"/>
          <w:sz w:val="32"/>
          <w:szCs w:val="32"/>
        </w:rPr>
        <w:t>（项）：指反映</w:t>
      </w:r>
      <w:r>
        <w:rPr>
          <w:rFonts w:hint="eastAsia" w:eastAsia="仿宋_GB2312" w:cs="仿宋_GB2312"/>
          <w:sz w:val="32"/>
          <w:szCs w:val="32"/>
          <w:lang w:eastAsia="zh-CN"/>
        </w:rPr>
        <w:t>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40</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事业单位医疗</w:t>
      </w:r>
      <w:r>
        <w:rPr>
          <w:rFonts w:hint="eastAsia" w:eastAsia="仿宋_GB2312" w:cs="仿宋_GB2312"/>
          <w:sz w:val="32"/>
          <w:szCs w:val="32"/>
        </w:rPr>
        <w:t>（项）：指反映</w:t>
      </w:r>
      <w:r>
        <w:rPr>
          <w:rFonts w:hint="eastAsia" w:eastAsia="仿宋_GB2312" w:cs="仿宋_GB2312"/>
          <w:sz w:val="32"/>
          <w:szCs w:val="32"/>
          <w:lang w:eastAsia="zh-CN"/>
        </w:rPr>
        <w:t>财政部门安排的事业单位基本医疗保险缴费经费，未参加医疗保险的事业单位的公费医疗经费，按国家规定享受离休人员待遇的医疗经费。</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41</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公务员医疗补助</w:t>
      </w:r>
      <w:r>
        <w:rPr>
          <w:rFonts w:hint="eastAsia" w:eastAsia="仿宋_GB2312" w:cs="仿宋_GB2312"/>
          <w:sz w:val="32"/>
          <w:szCs w:val="32"/>
        </w:rPr>
        <w:t>（项）：指反映</w:t>
      </w:r>
      <w:r>
        <w:rPr>
          <w:rFonts w:hint="eastAsia" w:eastAsia="仿宋_GB2312" w:cs="仿宋_GB2312"/>
          <w:sz w:val="32"/>
          <w:szCs w:val="32"/>
          <w:lang w:eastAsia="zh-CN"/>
        </w:rPr>
        <w:t>财政部门安排的公务员医疗补助经费。</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42</w:t>
      </w:r>
      <w:r>
        <w:rPr>
          <w:rFonts w:hint="eastAsia" w:eastAsia="仿宋_GB2312" w:cs="仿宋_GB2312"/>
          <w:sz w:val="32"/>
          <w:szCs w:val="32"/>
        </w:rPr>
        <w:t>.</w:t>
      </w:r>
      <w:r>
        <w:rPr>
          <w:rFonts w:hint="eastAsia" w:eastAsia="仿宋_GB2312" w:cs="仿宋_GB2312"/>
          <w:sz w:val="32"/>
          <w:szCs w:val="32"/>
          <w:lang w:eastAsia="zh-CN"/>
        </w:rPr>
        <w:t>卫生健康支出</w:t>
      </w:r>
      <w:r>
        <w:rPr>
          <w:rFonts w:hint="eastAsia" w:eastAsia="仿宋_GB2312" w:cs="仿宋_GB2312"/>
          <w:sz w:val="32"/>
          <w:szCs w:val="32"/>
        </w:rPr>
        <w:t>（类）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其他行政事业单位医疗支出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除上述项目以外其他用于行政事业单位医疗方面的支出。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43</w:t>
      </w:r>
      <w:r>
        <w:rPr>
          <w:rFonts w:hint="eastAsia" w:eastAsia="仿宋_GB2312" w:cs="仿宋_GB2312"/>
          <w:sz w:val="32"/>
          <w:szCs w:val="32"/>
        </w:rPr>
        <w:t>.</w:t>
      </w:r>
      <w:r>
        <w:rPr>
          <w:rFonts w:hint="eastAsia" w:eastAsia="仿宋_GB2312" w:cs="仿宋_GB2312"/>
          <w:sz w:val="32"/>
          <w:szCs w:val="32"/>
          <w:lang w:eastAsia="zh-CN"/>
        </w:rPr>
        <w:t>节能环保支出</w:t>
      </w:r>
      <w:r>
        <w:rPr>
          <w:rFonts w:hint="eastAsia" w:eastAsia="仿宋_GB2312" w:cs="仿宋_GB2312"/>
          <w:sz w:val="32"/>
          <w:szCs w:val="32"/>
        </w:rPr>
        <w:t>（类）</w:t>
      </w:r>
      <w:r>
        <w:rPr>
          <w:rFonts w:hint="eastAsia" w:eastAsia="仿宋_GB2312" w:cs="仿宋_GB2312"/>
          <w:sz w:val="32"/>
          <w:szCs w:val="32"/>
          <w:lang w:eastAsia="zh-CN"/>
        </w:rPr>
        <w:t>污染防治</w:t>
      </w:r>
      <w:r>
        <w:rPr>
          <w:rFonts w:hint="eastAsia" w:eastAsia="仿宋_GB2312" w:cs="仿宋_GB2312"/>
          <w:sz w:val="32"/>
          <w:szCs w:val="32"/>
        </w:rPr>
        <w:t>（款）</w:t>
      </w:r>
      <w:r>
        <w:rPr>
          <w:rFonts w:hint="eastAsia" w:eastAsia="仿宋_GB2312" w:cs="仿宋_GB2312"/>
          <w:sz w:val="32"/>
          <w:szCs w:val="32"/>
          <w:lang w:eastAsia="zh-CN"/>
        </w:rPr>
        <w:t>其他污染防治支出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除上述项目以外其他用于污染防治方面的</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44</w:t>
      </w:r>
      <w:r>
        <w:rPr>
          <w:rFonts w:hint="eastAsia" w:eastAsia="仿宋_GB2312" w:cs="仿宋_GB2312"/>
          <w:sz w:val="32"/>
          <w:szCs w:val="32"/>
        </w:rPr>
        <w:t>.</w:t>
      </w:r>
      <w:r>
        <w:rPr>
          <w:rFonts w:hint="eastAsia" w:eastAsia="仿宋_GB2312" w:cs="仿宋_GB2312"/>
          <w:sz w:val="32"/>
          <w:szCs w:val="32"/>
          <w:lang w:eastAsia="zh-CN"/>
        </w:rPr>
        <w:t>节能环保支出</w:t>
      </w:r>
      <w:r>
        <w:rPr>
          <w:rFonts w:hint="eastAsia" w:eastAsia="仿宋_GB2312" w:cs="仿宋_GB2312"/>
          <w:sz w:val="32"/>
          <w:szCs w:val="32"/>
        </w:rPr>
        <w:t>（类）</w:t>
      </w:r>
      <w:r>
        <w:rPr>
          <w:rFonts w:hint="eastAsia" w:eastAsia="仿宋_GB2312" w:cs="仿宋_GB2312"/>
          <w:sz w:val="32"/>
          <w:szCs w:val="32"/>
          <w:lang w:eastAsia="zh-CN"/>
        </w:rPr>
        <w:t>自然生态保护</w:t>
      </w:r>
      <w:r>
        <w:rPr>
          <w:rFonts w:hint="eastAsia" w:eastAsia="仿宋_GB2312" w:cs="仿宋_GB2312"/>
          <w:sz w:val="32"/>
          <w:szCs w:val="32"/>
        </w:rPr>
        <w:t>（款）</w:t>
      </w:r>
      <w:r>
        <w:rPr>
          <w:rFonts w:hint="eastAsia" w:eastAsia="仿宋_GB2312" w:cs="仿宋_GB2312"/>
          <w:sz w:val="32"/>
          <w:szCs w:val="32"/>
          <w:lang w:eastAsia="zh-CN"/>
        </w:rPr>
        <w:t>其他自然生态保护支出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除上述项目以外其他用于自然生态保护方面的</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45</w:t>
      </w:r>
      <w:r>
        <w:rPr>
          <w:rFonts w:hint="eastAsia" w:eastAsia="仿宋_GB2312" w:cs="仿宋_GB2312"/>
          <w:sz w:val="32"/>
          <w:szCs w:val="32"/>
        </w:rPr>
        <w:t>.</w:t>
      </w:r>
      <w:r>
        <w:rPr>
          <w:rFonts w:hint="eastAsia" w:eastAsia="仿宋_GB2312" w:cs="仿宋_GB2312"/>
          <w:sz w:val="32"/>
          <w:szCs w:val="32"/>
          <w:lang w:eastAsia="zh-CN"/>
        </w:rPr>
        <w:t>节能环保支出</w:t>
      </w:r>
      <w:r>
        <w:rPr>
          <w:rFonts w:hint="eastAsia" w:eastAsia="仿宋_GB2312" w:cs="仿宋_GB2312"/>
          <w:sz w:val="32"/>
          <w:szCs w:val="32"/>
        </w:rPr>
        <w:t>（类）</w:t>
      </w:r>
      <w:r>
        <w:rPr>
          <w:rFonts w:hint="eastAsia" w:eastAsia="仿宋_GB2312" w:cs="仿宋_GB2312"/>
          <w:sz w:val="32"/>
          <w:szCs w:val="32"/>
          <w:lang w:eastAsia="zh-CN"/>
        </w:rPr>
        <w:t>其他节能环保支出</w:t>
      </w:r>
      <w:r>
        <w:rPr>
          <w:rFonts w:hint="eastAsia" w:eastAsia="仿宋_GB2312" w:cs="仿宋_GB2312"/>
          <w:sz w:val="32"/>
          <w:szCs w:val="32"/>
        </w:rPr>
        <w:t>（款）</w:t>
      </w:r>
      <w:r>
        <w:rPr>
          <w:rFonts w:hint="eastAsia" w:eastAsia="仿宋_GB2312" w:cs="仿宋_GB2312"/>
          <w:sz w:val="32"/>
          <w:szCs w:val="32"/>
          <w:lang w:eastAsia="zh-CN"/>
        </w:rPr>
        <w:t>其他节能环保支出</w:t>
      </w:r>
      <w:r>
        <w:rPr>
          <w:rFonts w:hint="eastAsia" w:eastAsia="仿宋_GB2312" w:cs="仿宋_GB2312"/>
          <w:sz w:val="32"/>
          <w:szCs w:val="32"/>
        </w:rPr>
        <w:t>（项）：指反映</w:t>
      </w:r>
      <w:r>
        <w:rPr>
          <w:rFonts w:hint="eastAsia" w:eastAsia="仿宋_GB2312" w:cs="仿宋_GB2312"/>
          <w:sz w:val="32"/>
          <w:szCs w:val="32"/>
          <w:lang w:eastAsia="zh-CN"/>
        </w:rPr>
        <w:t>除上述项目以外其他用于节能环保方面的</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46</w:t>
      </w:r>
      <w:r>
        <w:rPr>
          <w:rFonts w:hint="eastAsia" w:eastAsia="仿宋_GB2312" w:cs="仿宋_GB2312"/>
          <w:sz w:val="32"/>
          <w:szCs w:val="32"/>
        </w:rPr>
        <w:t>.城乡社区支出（类）城乡社区环境卫生（款）城乡社区环境卫生（项）：指反映城乡社区道路清扫、垃圾清运与处理、公厕建设与维护、园林绿化等方面的支出。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47</w:t>
      </w:r>
      <w:r>
        <w:rPr>
          <w:rFonts w:hint="eastAsia" w:eastAsia="仿宋_GB2312" w:cs="仿宋_GB2312"/>
          <w:sz w:val="32"/>
          <w:szCs w:val="32"/>
        </w:rPr>
        <w:t>.城乡社区支出（类）国有土地使用权出让收入安排的支出（款）征地和拆迁补偿支出（项）：</w:t>
      </w:r>
      <w:r>
        <w:rPr>
          <w:rFonts w:hint="eastAsia" w:eastAsia="仿宋_GB2312" w:cs="仿宋_GB2312"/>
          <w:sz w:val="32"/>
          <w:szCs w:val="32"/>
          <w:lang w:eastAsia="zh-CN"/>
        </w:rPr>
        <w:t>指反映新疆生产建设兵团和地方政府在征地和收购土地过程中支付的土地补偿费、安置补助费、地上附着和青苗补偿费、拆迁补偿费支出。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48</w:t>
      </w:r>
      <w:r>
        <w:rPr>
          <w:rFonts w:hint="eastAsia" w:eastAsia="仿宋_GB2312" w:cs="仿宋_GB2312"/>
          <w:sz w:val="32"/>
          <w:szCs w:val="32"/>
        </w:rPr>
        <w:t>.城乡社区支出（类）国有土地使用权出让收入安排的支出（款）农村基础设施建设支出（项）：</w:t>
      </w:r>
      <w:r>
        <w:rPr>
          <w:rFonts w:hint="eastAsia" w:eastAsia="仿宋_GB2312" w:cs="仿宋_GB2312"/>
          <w:sz w:val="32"/>
          <w:szCs w:val="32"/>
          <w:lang w:eastAsia="zh-CN"/>
        </w:rPr>
        <w:t>指反映土地出让收入用于农村供水保障、村庄公共设施建设和管护以及与农业农村直接相关的以工代赈等方面的支出。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49</w:t>
      </w:r>
      <w:r>
        <w:rPr>
          <w:rFonts w:hint="eastAsia" w:eastAsia="仿宋_GB2312" w:cs="仿宋_GB2312"/>
          <w:sz w:val="32"/>
          <w:szCs w:val="32"/>
        </w:rPr>
        <w:t>.城乡社区支出（类）国有土地使用权出让收入安排的支出（款）补助被征地农民支出（项）：指反映</w:t>
      </w:r>
      <w:r>
        <w:rPr>
          <w:rFonts w:hint="eastAsia" w:eastAsia="仿宋_GB2312" w:cs="仿宋_GB2312"/>
          <w:sz w:val="32"/>
          <w:szCs w:val="32"/>
          <w:lang w:eastAsia="zh-CN"/>
        </w:rPr>
        <w:t>土地出让收入用于补助被征地农民社会保障支出以及保持被征地农民原有生活水平支出。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50</w:t>
      </w:r>
      <w:r>
        <w:rPr>
          <w:rFonts w:hint="eastAsia" w:eastAsia="仿宋_GB2312" w:cs="仿宋_GB2312"/>
          <w:sz w:val="32"/>
          <w:szCs w:val="32"/>
        </w:rPr>
        <w:t>.城乡社区支出（类）农业土地开发资金安排的支出（款）：指</w:t>
      </w:r>
      <w:r>
        <w:rPr>
          <w:rFonts w:hint="eastAsia" w:eastAsia="仿宋_GB2312" w:cs="仿宋_GB2312"/>
          <w:sz w:val="32"/>
          <w:szCs w:val="32"/>
          <w:lang w:eastAsia="zh-CN"/>
        </w:rPr>
        <w:t>反映从计提的农业土地开发资金中安排用于农业土地开发的支出。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51</w:t>
      </w:r>
      <w:r>
        <w:rPr>
          <w:rFonts w:hint="eastAsia" w:eastAsia="仿宋_GB2312" w:cs="仿宋_GB2312"/>
          <w:sz w:val="32"/>
          <w:szCs w:val="32"/>
        </w:rPr>
        <w:t>.城乡社区支出（类）其他城乡社区支出（款）其他城乡社区支出（项）：指反映</w:t>
      </w:r>
      <w:r>
        <w:rPr>
          <w:rFonts w:hint="eastAsia" w:eastAsia="仿宋_GB2312" w:cs="仿宋_GB2312"/>
          <w:sz w:val="32"/>
          <w:szCs w:val="32"/>
          <w:lang w:eastAsia="zh-CN"/>
        </w:rPr>
        <w:t>除上述项目以外其他用于</w:t>
      </w:r>
      <w:r>
        <w:rPr>
          <w:rFonts w:hint="eastAsia" w:eastAsia="仿宋_GB2312" w:cs="仿宋_GB2312"/>
          <w:sz w:val="32"/>
          <w:szCs w:val="32"/>
        </w:rPr>
        <w:t>城乡社区</w:t>
      </w:r>
      <w:r>
        <w:rPr>
          <w:rFonts w:hint="eastAsia" w:eastAsia="仿宋_GB2312" w:cs="仿宋_GB2312"/>
          <w:sz w:val="32"/>
          <w:szCs w:val="32"/>
          <w:lang w:eastAsia="zh-CN"/>
        </w:rPr>
        <w:t>方面的</w:t>
      </w:r>
      <w:r>
        <w:rPr>
          <w:rFonts w:hint="eastAsia" w:eastAsia="仿宋_GB2312" w:cs="仿宋_GB2312"/>
          <w:sz w:val="32"/>
          <w:szCs w:val="32"/>
        </w:rPr>
        <w:t>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52</w:t>
      </w:r>
      <w:r>
        <w:rPr>
          <w:rFonts w:hint="eastAsia" w:eastAsia="仿宋_GB2312" w:cs="仿宋_GB2312"/>
          <w:sz w:val="32"/>
          <w:szCs w:val="32"/>
        </w:rPr>
        <w:t>.农林水支出（类）农业农村（款）事业运行（项）：指反映用于农业事业单位基本支出，事业单位设施、系统运行与资产维护等方面的支出。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53</w:t>
      </w:r>
      <w:r>
        <w:rPr>
          <w:rFonts w:hint="eastAsia" w:eastAsia="仿宋_GB2312" w:cs="仿宋_GB2312"/>
          <w:sz w:val="32"/>
          <w:szCs w:val="32"/>
        </w:rPr>
        <w:t>.农林水支出（类）农业农村（款）其他农业农村支出（项）：指反映</w:t>
      </w:r>
      <w:r>
        <w:rPr>
          <w:rFonts w:hint="eastAsia" w:eastAsia="仿宋_GB2312" w:cs="仿宋_GB2312"/>
          <w:sz w:val="32"/>
          <w:szCs w:val="32"/>
          <w:lang w:eastAsia="zh-CN"/>
        </w:rPr>
        <w:t>除上述项目以外其他用于农业农村方面的支出。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54</w:t>
      </w:r>
      <w:r>
        <w:rPr>
          <w:rFonts w:hint="eastAsia" w:eastAsia="仿宋_GB2312" w:cs="仿宋_GB2312"/>
          <w:sz w:val="32"/>
          <w:szCs w:val="32"/>
        </w:rPr>
        <w:t>.农林水支出（类）林业和草原（款）林业草原防灾减灾（项）：指</w:t>
      </w:r>
      <w:r>
        <w:rPr>
          <w:rFonts w:hint="eastAsia" w:eastAsia="仿宋_GB2312" w:cs="仿宋_GB2312"/>
          <w:sz w:val="32"/>
          <w:szCs w:val="32"/>
          <w:lang w:val="en-US" w:eastAsia="zh-CN"/>
        </w:rPr>
        <w:t>反映用于病虫害等有害生物灾害、森林草原防火、野生动物疫病灾害等方面的支出。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55</w:t>
      </w:r>
      <w:r>
        <w:rPr>
          <w:rFonts w:hint="eastAsia" w:eastAsia="仿宋_GB2312" w:cs="仿宋_GB2312"/>
          <w:sz w:val="32"/>
          <w:szCs w:val="32"/>
        </w:rPr>
        <w:t>.农林水支出（类）林业和草原（款）其他林业和草原支出（项）：指反映</w:t>
      </w:r>
      <w:r>
        <w:rPr>
          <w:rFonts w:hint="eastAsia" w:eastAsia="仿宋_GB2312" w:cs="仿宋_GB2312"/>
          <w:sz w:val="32"/>
          <w:szCs w:val="32"/>
          <w:lang w:eastAsia="zh-CN"/>
        </w:rPr>
        <w:t>除上述项目以外其他用于</w:t>
      </w:r>
      <w:r>
        <w:rPr>
          <w:rFonts w:hint="eastAsia" w:eastAsia="仿宋_GB2312" w:cs="仿宋_GB2312"/>
          <w:sz w:val="32"/>
          <w:szCs w:val="32"/>
        </w:rPr>
        <w:t>林业和草原</w:t>
      </w:r>
      <w:r>
        <w:rPr>
          <w:rFonts w:hint="eastAsia" w:eastAsia="仿宋_GB2312" w:cs="仿宋_GB2312"/>
          <w:sz w:val="32"/>
          <w:szCs w:val="32"/>
          <w:lang w:eastAsia="zh-CN"/>
        </w:rPr>
        <w:t>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56</w:t>
      </w:r>
      <w:r>
        <w:rPr>
          <w:rFonts w:hint="eastAsia" w:eastAsia="仿宋_GB2312" w:cs="仿宋_GB2312"/>
          <w:sz w:val="32"/>
          <w:szCs w:val="32"/>
        </w:rPr>
        <w:t>.农林水支出（类）水利（款）大中型水库移民后期扶持专项支出（项）：指</w:t>
      </w:r>
      <w:r>
        <w:rPr>
          <w:rFonts w:hint="eastAsia" w:eastAsia="仿宋_GB2312" w:cs="仿宋_GB2312"/>
          <w:sz w:val="32"/>
          <w:szCs w:val="32"/>
          <w:lang w:eastAsia="zh-CN"/>
        </w:rPr>
        <w:t>反映中央财政划转大中型水库移民后期扶持基金的支出，包括对销售电量加价部分征收的增值税返还以及用于解决水库移民遗留问题的定额补助。</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57</w:t>
      </w:r>
      <w:r>
        <w:rPr>
          <w:rFonts w:hint="eastAsia" w:eastAsia="仿宋_GB2312" w:cs="仿宋_GB2312"/>
          <w:sz w:val="32"/>
          <w:szCs w:val="32"/>
        </w:rPr>
        <w:t>.农林水支出（类）农村综合改革（款）对村民委员会和村党支部的补助（项）：指反映各级财政对村民委员会和村党支部的补助支出，以及支持建立县级基本财力保障机制安排的村级组织运转奖补资金。</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58</w:t>
      </w:r>
      <w:r>
        <w:rPr>
          <w:rFonts w:hint="eastAsia" w:eastAsia="仿宋_GB2312" w:cs="仿宋_GB2312"/>
          <w:sz w:val="32"/>
          <w:szCs w:val="32"/>
        </w:rPr>
        <w:t>.农林水支出（类）农村综合改革（款）农村综合改革示范试点补助（项）：指反映</w:t>
      </w:r>
      <w:r>
        <w:rPr>
          <w:rFonts w:hint="eastAsia" w:eastAsia="仿宋_GB2312" w:cs="仿宋_GB2312"/>
          <w:sz w:val="32"/>
          <w:szCs w:val="32"/>
          <w:lang w:eastAsia="zh-CN"/>
        </w:rPr>
        <w:t>各级财政对农村综合改革示范试点、新型农业社会化服务体系建设等补助支出。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59</w:t>
      </w:r>
      <w:r>
        <w:rPr>
          <w:rFonts w:hint="eastAsia" w:eastAsia="仿宋_GB2312" w:cs="仿宋_GB2312"/>
          <w:sz w:val="32"/>
          <w:szCs w:val="32"/>
        </w:rPr>
        <w:t>.农林水支出（类）农村综合改革（款）其他农村综合改革支出（项）：指反映</w:t>
      </w:r>
      <w:r>
        <w:rPr>
          <w:rFonts w:hint="eastAsia" w:eastAsia="仿宋_GB2312" w:cs="仿宋_GB2312"/>
          <w:sz w:val="32"/>
          <w:szCs w:val="32"/>
          <w:lang w:eastAsia="zh-CN"/>
        </w:rPr>
        <w:t>上述项目以外其他用于</w:t>
      </w:r>
      <w:r>
        <w:rPr>
          <w:rFonts w:hint="eastAsia" w:eastAsia="仿宋_GB2312" w:cs="仿宋_GB2312"/>
          <w:sz w:val="32"/>
          <w:szCs w:val="32"/>
        </w:rPr>
        <w:t>农村综合改革</w:t>
      </w:r>
      <w:r>
        <w:rPr>
          <w:rFonts w:hint="eastAsia" w:eastAsia="仿宋_GB2312" w:cs="仿宋_GB2312"/>
          <w:sz w:val="32"/>
          <w:szCs w:val="32"/>
          <w:lang w:eastAsia="zh-CN"/>
        </w:rPr>
        <w:t>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60</w:t>
      </w:r>
      <w:r>
        <w:rPr>
          <w:rFonts w:hint="eastAsia" w:eastAsia="仿宋_GB2312" w:cs="仿宋_GB2312"/>
          <w:sz w:val="32"/>
          <w:szCs w:val="32"/>
        </w:rPr>
        <w:t>.农林水支出（类）其他农林水支出（款）其他农林水支出（项）：指反映</w:t>
      </w:r>
      <w:r>
        <w:rPr>
          <w:rFonts w:hint="eastAsia" w:eastAsia="仿宋_GB2312" w:cs="仿宋_GB2312"/>
          <w:sz w:val="32"/>
          <w:szCs w:val="32"/>
          <w:lang w:eastAsia="zh-CN"/>
        </w:rPr>
        <w:t>除化解债务支出以外其他用于农林水方面的支出。</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61</w:t>
      </w:r>
      <w:r>
        <w:rPr>
          <w:rFonts w:hint="eastAsia" w:eastAsia="仿宋_GB2312" w:cs="仿宋_GB2312"/>
          <w:sz w:val="32"/>
          <w:szCs w:val="32"/>
        </w:rPr>
        <w:t>.交通运输支出（类）公路水路运输（款）公路运输管理（项）：</w:t>
      </w:r>
      <w:r>
        <w:rPr>
          <w:rFonts w:hint="eastAsia" w:eastAsia="仿宋_GB2312" w:cs="仿宋_GB2312"/>
          <w:sz w:val="32"/>
          <w:szCs w:val="32"/>
          <w:lang w:eastAsia="zh-CN"/>
        </w:rPr>
        <w:t>指反映公路运输管理支出和公路路政管理支出。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62</w:t>
      </w:r>
      <w:r>
        <w:rPr>
          <w:rFonts w:hint="eastAsia" w:eastAsia="仿宋_GB2312" w:cs="仿宋_GB2312"/>
          <w:sz w:val="32"/>
          <w:szCs w:val="32"/>
        </w:rPr>
        <w:t>.住房保障支出（类）住房改革支出（款）住房公积金（项）：指反映行政事业单位按人力资源和社会保障部、财政部规定的基本工资和津贴补贴以及规定比例为职工缴纳的住房公积金。</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63</w:t>
      </w:r>
      <w:r>
        <w:rPr>
          <w:rFonts w:hint="eastAsia" w:eastAsia="仿宋_GB2312" w:cs="仿宋_GB2312"/>
          <w:sz w:val="32"/>
          <w:szCs w:val="32"/>
        </w:rPr>
        <w:t>.住房保障支出（类）住房改革支出（款）购房补贴（项）：指</w:t>
      </w:r>
      <w:r>
        <w:rPr>
          <w:rFonts w:hint="eastAsia" w:eastAsia="仿宋_GB2312" w:cs="仿宋_GB2312"/>
          <w:sz w:val="32"/>
          <w:szCs w:val="32"/>
          <w:lang w:eastAsia="zh-CN"/>
        </w:rPr>
        <w:t>反映按房改政策规定，行政事业单位向符合条件职工（含离退休人员）、军队（含武警）向转役复原离退休人员发放的用于购买住房的补贴。</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64</w:t>
      </w:r>
      <w:r>
        <w:rPr>
          <w:rFonts w:hint="eastAsia" w:eastAsia="仿宋_GB2312" w:cs="仿宋_GB2312"/>
          <w:sz w:val="32"/>
          <w:szCs w:val="32"/>
        </w:rPr>
        <w:t>.灾害防治及应急管理支出（类）应急管理事务（款）安全监管（项）：指反映安全生产综合监督管理和工贸行业安全生产监督管理等方面的支出。</w:t>
      </w:r>
    </w:p>
    <w:p>
      <w:pPr>
        <w:spacing w:line="600" w:lineRule="exact"/>
        <w:ind w:firstLine="640"/>
        <w:jc w:val="both"/>
        <w:rPr>
          <w:rFonts w:hint="eastAsia" w:eastAsia="仿宋_GB2312" w:cs="仿宋_GB2312"/>
          <w:sz w:val="32"/>
          <w:szCs w:val="32"/>
        </w:rPr>
      </w:pPr>
      <w:r>
        <w:rPr>
          <w:rFonts w:hint="eastAsia" w:eastAsia="仿宋_GB2312" w:cs="仿宋_GB2312"/>
          <w:sz w:val="32"/>
          <w:szCs w:val="32"/>
          <w:lang w:val="en-US" w:eastAsia="zh-CN"/>
        </w:rPr>
        <w:t>65</w:t>
      </w:r>
      <w:r>
        <w:rPr>
          <w:rFonts w:hint="eastAsia" w:eastAsia="仿宋_GB2312" w:cs="仿宋_GB2312"/>
          <w:sz w:val="32"/>
          <w:szCs w:val="32"/>
        </w:rPr>
        <w:t xml:space="preserve">.灾害防治及应急管理支出（类）自然灾害防治（款）森林草原防灾减灾（项）：指反映防治森林草原火灾、自然水旱灾害等发生的支出。 </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66</w:t>
      </w:r>
      <w:r>
        <w:rPr>
          <w:rFonts w:hint="eastAsia" w:eastAsia="仿宋_GB2312" w:cs="仿宋_GB2312"/>
          <w:sz w:val="32"/>
          <w:szCs w:val="32"/>
        </w:rPr>
        <w:t>.其他支出（类）彩票公益金安排的支出（款）用于社会福利的彩票公益金支出（项）：指</w:t>
      </w:r>
      <w:r>
        <w:rPr>
          <w:rFonts w:hint="eastAsia" w:eastAsia="仿宋_GB2312" w:cs="仿宋_GB2312"/>
          <w:sz w:val="32"/>
          <w:szCs w:val="32"/>
          <w:lang w:eastAsia="zh-CN"/>
        </w:rPr>
        <w:t>反映用于</w:t>
      </w:r>
      <w:r>
        <w:rPr>
          <w:rFonts w:hint="eastAsia" w:eastAsia="仿宋_GB2312" w:cs="仿宋_GB2312"/>
          <w:sz w:val="32"/>
          <w:szCs w:val="32"/>
        </w:rPr>
        <w:t>社会福利</w:t>
      </w:r>
      <w:r>
        <w:rPr>
          <w:rFonts w:hint="eastAsia" w:eastAsia="仿宋_GB2312" w:cs="仿宋_GB2312"/>
          <w:sz w:val="32"/>
          <w:szCs w:val="32"/>
          <w:lang w:eastAsia="zh-CN"/>
        </w:rPr>
        <w:t>和社会救助</w:t>
      </w:r>
      <w:r>
        <w:rPr>
          <w:rFonts w:hint="eastAsia" w:eastAsia="仿宋_GB2312" w:cs="仿宋_GB2312"/>
          <w:sz w:val="32"/>
          <w:szCs w:val="32"/>
        </w:rPr>
        <w:t>的彩票公益金支出</w:t>
      </w:r>
      <w:r>
        <w:rPr>
          <w:rFonts w:hint="eastAsia" w:eastAsia="仿宋_GB2312" w:cs="仿宋_GB2312"/>
          <w:sz w:val="32"/>
          <w:szCs w:val="32"/>
          <w:lang w:eastAsia="zh-CN"/>
        </w:rPr>
        <w:t>。</w:t>
      </w:r>
    </w:p>
    <w:p>
      <w:pPr>
        <w:spacing w:line="600" w:lineRule="exact"/>
        <w:ind w:firstLine="640"/>
        <w:jc w:val="both"/>
        <w:rPr>
          <w:rFonts w:hint="eastAsia" w:eastAsia="仿宋_GB2312" w:cs="仿宋_GB2312"/>
          <w:sz w:val="32"/>
          <w:szCs w:val="32"/>
          <w:lang w:eastAsia="zh-CN"/>
        </w:rPr>
      </w:pPr>
      <w:r>
        <w:rPr>
          <w:rFonts w:hint="eastAsia" w:eastAsia="仿宋_GB2312" w:cs="仿宋_GB2312"/>
          <w:sz w:val="32"/>
          <w:szCs w:val="32"/>
          <w:lang w:val="en-US" w:eastAsia="zh-CN"/>
        </w:rPr>
        <w:t>67</w:t>
      </w:r>
      <w:r>
        <w:rPr>
          <w:rFonts w:hint="eastAsia" w:eastAsia="仿宋_GB2312" w:cs="仿宋_GB2312"/>
          <w:sz w:val="32"/>
          <w:szCs w:val="32"/>
        </w:rPr>
        <w:t>.其他支出（类）彩票公益金安排的支出（款）用于体育事业的彩票公益金支出（项）：指</w:t>
      </w:r>
      <w:r>
        <w:rPr>
          <w:rFonts w:hint="eastAsia" w:eastAsia="仿宋_GB2312" w:cs="仿宋_GB2312"/>
          <w:sz w:val="32"/>
          <w:szCs w:val="32"/>
          <w:lang w:eastAsia="zh-CN"/>
        </w:rPr>
        <w:t>反映用于</w:t>
      </w:r>
      <w:r>
        <w:rPr>
          <w:rFonts w:hint="eastAsia" w:eastAsia="仿宋_GB2312" w:cs="仿宋_GB2312"/>
          <w:sz w:val="32"/>
          <w:szCs w:val="32"/>
        </w:rPr>
        <w:t>体育事业的彩票公益金</w:t>
      </w:r>
      <w:r>
        <w:rPr>
          <w:rFonts w:hint="eastAsia" w:eastAsia="仿宋_GB2312" w:cs="仿宋_GB2312"/>
          <w:sz w:val="32"/>
          <w:szCs w:val="32"/>
          <w:lang w:eastAsia="zh-CN"/>
        </w:rPr>
        <w:t>支出。</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68</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69</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70</w:t>
      </w:r>
      <w:r>
        <w:rPr>
          <w:rFonts w:hint="eastAsia" w:eastAsia="仿宋_GB2312" w:cs="仿宋_GB2312"/>
          <w:sz w:val="32"/>
          <w:szCs w:val="32"/>
        </w:rPr>
        <w:t>.经营支出：指事业单位在专业业务活动及其辅助活动之外开展非独立核算经营活动发生的支出。</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71</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jc w:val="both"/>
        <w:rPr>
          <w:rFonts w:eastAsia="仿宋_GB2312" w:cs="仿宋_GB2312"/>
          <w:sz w:val="32"/>
          <w:szCs w:val="32"/>
        </w:rPr>
      </w:pPr>
      <w:r>
        <w:rPr>
          <w:rFonts w:hint="eastAsia" w:eastAsia="仿宋_GB2312" w:cs="仿宋_GB2312"/>
          <w:sz w:val="32"/>
          <w:szCs w:val="32"/>
          <w:lang w:val="en-US" w:eastAsia="zh-CN"/>
        </w:rPr>
        <w:t>72</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0"/>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pPr>
        <w:spacing w:line="572" w:lineRule="exact"/>
        <w:jc w:val="both"/>
        <w:outlineLvl w:val="0"/>
        <w:rPr>
          <w:rFonts w:eastAsia="黑体" w:cs="黑体"/>
          <w:sz w:val="32"/>
          <w:szCs w:val="32"/>
        </w:rPr>
      </w:pPr>
    </w:p>
    <w:p>
      <w:pPr>
        <w:spacing w:line="572" w:lineRule="exact"/>
        <w:jc w:val="both"/>
        <w:outlineLvl w:val="0"/>
        <w:rPr>
          <w:rFonts w:eastAsia="黑体" w:cs="方正小标宋简体"/>
          <w:sz w:val="44"/>
          <w:szCs w:val="44"/>
        </w:rPr>
      </w:pPr>
      <w:r>
        <w:rPr>
          <w:rFonts w:hint="eastAsia" w:eastAsia="黑体" w:cs="黑体"/>
          <w:sz w:val="32"/>
          <w:szCs w:val="32"/>
        </w:rPr>
        <w:t>附件1</w:t>
      </w:r>
    </w:p>
    <w:p>
      <w:pPr>
        <w:widowControl/>
        <w:spacing w:line="578" w:lineRule="exact"/>
        <w:contextualSpacing/>
        <w:jc w:val="both"/>
        <w:rPr>
          <w:rFonts w:eastAsia="方正小标宋简体"/>
          <w:bCs/>
          <w:sz w:val="44"/>
          <w:szCs w:val="44"/>
          <w:shd w:val="clear" w:color="auto" w:fill="FFFFFF"/>
        </w:rPr>
      </w:pP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480" w:firstLineChars="200"/>
        <w:contextualSpacing/>
        <w:jc w:val="both"/>
        <w:rPr>
          <w:rFonts w:eastAsia="黑体"/>
          <w:kern w:val="0"/>
          <w:sz w:val="24"/>
          <w:szCs w:val="32"/>
          <w:shd w:val="clear" w:color="auto" w:fill="FFFFFF"/>
        </w:rPr>
      </w:pPr>
    </w:p>
    <w:p>
      <w:pPr>
        <w:widowControl/>
        <w:adjustRightInd w:val="0"/>
        <w:snapToGrid w:val="0"/>
        <w:spacing w:line="578" w:lineRule="exact"/>
        <w:ind w:firstLine="640" w:firstLineChars="200"/>
        <w:contextualSpacing/>
        <w:jc w:val="both"/>
        <w:rPr>
          <w:rFonts w:eastAsia="黑体"/>
          <w:kern w:val="0"/>
          <w:sz w:val="32"/>
          <w:szCs w:val="32"/>
          <w:shd w:val="clear" w:color="auto" w:fill="FFFFFF"/>
          <w:lang w:val="zh-CN"/>
        </w:rPr>
      </w:pPr>
      <w:r>
        <w:rPr>
          <w:rFonts w:hint="eastAsia" w:eastAsia="黑体"/>
          <w:kern w:val="0"/>
          <w:sz w:val="32"/>
          <w:szCs w:val="32"/>
          <w:shd w:val="clear" w:color="auto" w:fill="FFFFFF"/>
          <w:lang w:val="zh-CN"/>
        </w:rPr>
        <w:t>一、</w:t>
      </w:r>
      <w:r>
        <w:rPr>
          <w:rFonts w:eastAsia="黑体"/>
          <w:kern w:val="0"/>
          <w:sz w:val="32"/>
          <w:szCs w:val="32"/>
          <w:shd w:val="clear" w:color="auto" w:fill="FFFFFF"/>
          <w:lang w:val="zh-CN"/>
        </w:rPr>
        <w:t>部门（单位）基本情况</w:t>
      </w:r>
    </w:p>
    <w:p>
      <w:pPr>
        <w:keepNext w:val="0"/>
        <w:keepLines w:val="0"/>
        <w:widowControl/>
        <w:suppressLineNumbers w:val="0"/>
        <w:ind w:firstLine="643" w:firstLineChars="200"/>
        <w:jc w:val="both"/>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pPr>
        <w:spacing w:line="600" w:lineRule="exact"/>
        <w:ind w:firstLine="640" w:firstLineChars="200"/>
        <w:jc w:val="both"/>
        <w:rPr>
          <w:szCs w:val="32"/>
        </w:rPr>
      </w:pPr>
      <w:r>
        <w:rPr>
          <w:rFonts w:hint="default" w:eastAsia="仿宋_GB2312" w:cs="仿宋_GB2312"/>
          <w:sz w:val="32"/>
          <w:szCs w:val="32"/>
          <w:lang w:val="en-US" w:eastAsia="zh-CN"/>
        </w:rPr>
        <w:t>红格镇位于盐边县南部片区，</w:t>
      </w:r>
      <w:r>
        <w:rPr>
          <w:rFonts w:hint="eastAsia" w:eastAsia="仿宋_GB2312" w:cs="仿宋_GB2312"/>
          <w:sz w:val="32"/>
          <w:szCs w:val="32"/>
          <w:lang w:val="en-US" w:eastAsia="zh-CN"/>
        </w:rPr>
        <w:t>内设</w:t>
      </w:r>
      <w:r>
        <w:rPr>
          <w:rFonts w:hint="default" w:eastAsia="仿宋_GB2312" w:cs="仿宋_GB2312"/>
          <w:sz w:val="32"/>
          <w:szCs w:val="32"/>
          <w:lang w:val="en-US" w:eastAsia="zh-CN"/>
        </w:rPr>
        <w:t>机构</w:t>
      </w:r>
      <w:r>
        <w:rPr>
          <w:rFonts w:hint="eastAsia" w:eastAsia="仿宋_GB2312" w:cs="仿宋_GB2312"/>
          <w:sz w:val="32"/>
          <w:szCs w:val="32"/>
          <w:lang w:val="en-US" w:eastAsia="zh-CN"/>
        </w:rPr>
        <w:t>7</w:t>
      </w:r>
      <w:r>
        <w:rPr>
          <w:rFonts w:hint="default" w:eastAsia="仿宋_GB2312" w:cs="仿宋_GB2312"/>
          <w:sz w:val="32"/>
          <w:szCs w:val="32"/>
          <w:lang w:val="en-US" w:eastAsia="zh-CN"/>
        </w:rPr>
        <w:t>个：综合办公室、党建工作办公室、应急管理办公室、社会治理和综合行政执法办公室、经济发展办公室、社会事务和生态环境办公室、财政所</w:t>
      </w:r>
      <w:r>
        <w:rPr>
          <w:rFonts w:hint="eastAsia" w:eastAsia="仿宋_GB2312" w:cs="仿宋_GB2312"/>
          <w:sz w:val="32"/>
          <w:szCs w:val="32"/>
          <w:lang w:val="en-US" w:eastAsia="zh-CN"/>
        </w:rPr>
        <w:t>；</w:t>
      </w:r>
      <w:r>
        <w:rPr>
          <w:rFonts w:hint="default" w:eastAsia="仿宋_GB2312" w:cs="仿宋_GB2312"/>
          <w:sz w:val="32"/>
          <w:szCs w:val="32"/>
          <w:lang w:val="en-US" w:eastAsia="zh-CN"/>
        </w:rPr>
        <w:t>政府（行政单位）下属事业单位</w:t>
      </w:r>
      <w:r>
        <w:rPr>
          <w:rFonts w:hint="eastAsia" w:eastAsia="仿宋_GB2312" w:cs="仿宋_GB2312"/>
          <w:sz w:val="32"/>
          <w:szCs w:val="32"/>
          <w:lang w:val="en-US" w:eastAsia="zh-CN"/>
        </w:rPr>
        <w:t>5</w:t>
      </w:r>
      <w:r>
        <w:rPr>
          <w:rFonts w:hint="default" w:eastAsia="仿宋_GB2312" w:cs="仿宋_GB2312"/>
          <w:sz w:val="32"/>
          <w:szCs w:val="32"/>
          <w:lang w:val="en-US" w:eastAsia="zh-CN"/>
        </w:rPr>
        <w:t>个：便民服务中心、农业综合服务中心、村镇建设服务中心、宣传文化旅游服务中心</w:t>
      </w:r>
      <w:r>
        <w:rPr>
          <w:rFonts w:hint="eastAsia" w:eastAsia="仿宋_GB2312" w:cs="仿宋_GB2312"/>
          <w:sz w:val="32"/>
          <w:szCs w:val="32"/>
          <w:lang w:val="en-US" w:eastAsia="zh-CN"/>
        </w:rPr>
        <w:t>、党群服务中心。</w:t>
      </w:r>
    </w:p>
    <w:p>
      <w:pPr>
        <w:widowControl/>
        <w:numPr>
          <w:ilvl w:val="0"/>
          <w:numId w:val="1"/>
        </w:numPr>
        <w:adjustRightInd w:val="0"/>
        <w:snapToGrid w:val="0"/>
        <w:spacing w:line="578" w:lineRule="exact"/>
        <w:ind w:firstLine="643" w:firstLineChars="200"/>
        <w:contextualSpacing/>
        <w:jc w:val="both"/>
        <w:rPr>
          <w:rFonts w:hint="eastAsia" w:eastAsia="楷体_GB2312" w:cs="楷体_GB2312"/>
          <w:b/>
          <w:sz w:val="32"/>
          <w:szCs w:val="32"/>
          <w:lang w:val="zh-CN"/>
        </w:rPr>
      </w:pPr>
      <w:r>
        <w:rPr>
          <w:rFonts w:eastAsia="楷体_GB2312" w:cs="楷体_GB2312"/>
          <w:b/>
          <w:sz w:val="32"/>
          <w:szCs w:val="32"/>
          <w:lang w:val="zh-CN"/>
        </w:rPr>
        <w:t>机构职能</w:t>
      </w:r>
      <w:r>
        <w:rPr>
          <w:rFonts w:hint="eastAsia" w:eastAsia="楷体_GB2312" w:cs="楷体_GB2312"/>
          <w:b/>
          <w:sz w:val="32"/>
          <w:szCs w:val="32"/>
          <w:lang w:val="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eastAsia="仿宋_GB2312"/>
          <w:lang w:val="en-US" w:eastAsia="zh-CN"/>
        </w:rPr>
      </w:pPr>
      <w:r>
        <w:rPr>
          <w:rFonts w:hint="default" w:eastAsia="仿宋_GB2312" w:cs="仿宋_GB2312"/>
          <w:sz w:val="32"/>
          <w:szCs w:val="32"/>
          <w:lang w:val="en-US" w:eastAsia="zh-CN"/>
        </w:rPr>
        <w:t>1.贯彻执行党和国家的各项方针、政策、法律、法规，以及上级行政机关和镇党委、镇人代会的决定、决议。2.制定并执行本行政区域内经济和社会发展规划、计划。3.负责乡村振兴、新农村建设和推进城乡一体化的组织和实施。4.负责辖区经济、文化、教育、科学、卫生健康、民政、社会保障、民族宗教、村镇建设、司法、退役军人、扶贫、信访、安全、统计等行政管理和服务工作。</w:t>
      </w:r>
    </w:p>
    <w:p>
      <w:pPr>
        <w:spacing w:line="600" w:lineRule="exact"/>
        <w:ind w:firstLine="643" w:firstLineChars="200"/>
        <w:jc w:val="both"/>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）人员概况</w:t>
      </w:r>
      <w:r>
        <w:rPr>
          <w:rFonts w:hint="eastAsia" w:eastAsia="楷体_GB2312"/>
          <w:b/>
          <w:bCs/>
          <w:kern w:val="0"/>
          <w:sz w:val="32"/>
          <w:szCs w:val="32"/>
          <w:shd w:val="clear" w:color="auto" w:fill="FFFFFF"/>
          <w:lang w:val="zh-CN"/>
        </w:rPr>
        <w:t>。</w:t>
      </w:r>
    </w:p>
    <w:p>
      <w:pPr>
        <w:spacing w:line="600" w:lineRule="exact"/>
        <w:ind w:firstLine="640" w:firstLineChars="200"/>
        <w:jc w:val="both"/>
        <w:rPr>
          <w:color w:val="auto"/>
          <w:szCs w:val="32"/>
        </w:rPr>
      </w:pP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cs="仿宋_GB2312"/>
          <w:sz w:val="32"/>
          <w:szCs w:val="32"/>
          <w:lang w:eastAsia="zh-CN"/>
        </w:rPr>
        <w:t>红格镇人民政府</w:t>
      </w:r>
      <w:r>
        <w:rPr>
          <w:rFonts w:eastAsia="仿宋_GB2312"/>
          <w:sz w:val="32"/>
          <w:szCs w:val="32"/>
        </w:rPr>
        <w:t>及下属单位编制</w:t>
      </w:r>
      <w:r>
        <w:rPr>
          <w:rFonts w:hint="eastAsia" w:eastAsia="仿宋_GB2312"/>
          <w:sz w:val="32"/>
          <w:szCs w:val="32"/>
        </w:rPr>
        <w:t>数</w:t>
      </w:r>
      <w:r>
        <w:rPr>
          <w:rFonts w:hint="eastAsia" w:eastAsia="仿宋_GB2312"/>
          <w:sz w:val="32"/>
          <w:szCs w:val="32"/>
          <w:lang w:val="en-US" w:eastAsia="zh-CN"/>
        </w:rPr>
        <w:t>79</w:t>
      </w:r>
      <w:r>
        <w:rPr>
          <w:rFonts w:hint="eastAsia" w:eastAsia="仿宋_GB2312"/>
          <w:sz w:val="32"/>
          <w:szCs w:val="32"/>
        </w:rPr>
        <w:t>个，在职人员总数</w:t>
      </w:r>
      <w:r>
        <w:rPr>
          <w:rFonts w:hint="eastAsia" w:eastAsia="仿宋_GB2312"/>
          <w:sz w:val="32"/>
          <w:szCs w:val="32"/>
          <w:lang w:val="en-US" w:eastAsia="zh-CN"/>
        </w:rPr>
        <w:t>79</w:t>
      </w:r>
      <w:r>
        <w:rPr>
          <w:rFonts w:hint="eastAsia" w:eastAsia="仿宋_GB2312"/>
          <w:sz w:val="32"/>
          <w:szCs w:val="32"/>
        </w:rPr>
        <w:t>人，其中：行政人员</w:t>
      </w:r>
      <w:r>
        <w:rPr>
          <w:rFonts w:hint="eastAsia" w:eastAsia="仿宋_GB2312"/>
          <w:sz w:val="32"/>
          <w:szCs w:val="32"/>
          <w:lang w:val="en-US" w:eastAsia="zh-CN"/>
        </w:rPr>
        <w:t>46</w:t>
      </w:r>
      <w:r>
        <w:rPr>
          <w:rFonts w:hint="eastAsia" w:eastAsia="仿宋_GB2312"/>
          <w:sz w:val="32"/>
          <w:szCs w:val="32"/>
        </w:rPr>
        <w:t>人，</w:t>
      </w:r>
      <w:r>
        <w:rPr>
          <w:rFonts w:hint="eastAsia" w:eastAsia="仿宋_GB2312" w:cs="仿宋_GB2312"/>
          <w:sz w:val="32"/>
          <w:szCs w:val="32"/>
        </w:rPr>
        <w:t>参照公务员法管理的事业人员</w:t>
      </w:r>
      <w:r>
        <w:rPr>
          <w:rFonts w:hint="eastAsia" w:eastAsia="仿宋_GB2312" w:cs="仿宋_GB2312"/>
          <w:sz w:val="32"/>
          <w:szCs w:val="32"/>
          <w:lang w:val="en-US" w:eastAsia="zh-CN"/>
        </w:rPr>
        <w:t>0</w:t>
      </w:r>
      <w:r>
        <w:rPr>
          <w:rFonts w:hint="eastAsia" w:eastAsia="仿宋_GB2312" w:cs="仿宋_GB2312"/>
          <w:sz w:val="32"/>
          <w:szCs w:val="32"/>
        </w:rPr>
        <w:t>人，其他事业人员</w:t>
      </w:r>
      <w:r>
        <w:rPr>
          <w:rFonts w:hint="eastAsia" w:eastAsia="仿宋_GB2312" w:cs="仿宋_GB2312"/>
          <w:sz w:val="32"/>
          <w:szCs w:val="32"/>
          <w:lang w:val="en-US" w:eastAsia="zh-CN"/>
        </w:rPr>
        <w:t>33</w:t>
      </w:r>
      <w:r>
        <w:rPr>
          <w:rFonts w:hint="eastAsia" w:eastAsia="仿宋_GB2312" w:cs="仿宋_GB2312"/>
          <w:sz w:val="32"/>
          <w:szCs w:val="32"/>
        </w:rPr>
        <w:t>人；</w:t>
      </w:r>
      <w:r>
        <w:rPr>
          <w:rFonts w:hint="eastAsia" w:eastAsia="仿宋_GB2312" w:cs="仿宋_GB2312"/>
          <w:color w:val="auto"/>
          <w:sz w:val="32"/>
          <w:szCs w:val="32"/>
        </w:rPr>
        <w:t>离（退）休人员</w:t>
      </w:r>
      <w:r>
        <w:rPr>
          <w:rFonts w:hint="eastAsia" w:eastAsia="仿宋_GB2312" w:cs="仿宋_GB2312"/>
          <w:color w:val="auto"/>
          <w:sz w:val="32"/>
          <w:szCs w:val="32"/>
          <w:lang w:val="en-US" w:eastAsia="zh-CN"/>
        </w:rPr>
        <w:t>72</w:t>
      </w:r>
      <w:r>
        <w:rPr>
          <w:rFonts w:hint="eastAsia" w:eastAsia="仿宋_GB2312" w:cs="仿宋_GB2312"/>
          <w:color w:val="auto"/>
          <w:sz w:val="32"/>
          <w:szCs w:val="32"/>
        </w:rPr>
        <w:t>人。</w:t>
      </w:r>
    </w:p>
    <w:p>
      <w:pPr>
        <w:widowControl/>
        <w:adjustRightInd w:val="0"/>
        <w:snapToGrid w:val="0"/>
        <w:spacing w:line="578" w:lineRule="exact"/>
        <w:ind w:firstLine="640" w:firstLineChars="200"/>
        <w:contextualSpacing/>
        <w:jc w:val="both"/>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pPr>
        <w:pStyle w:val="6"/>
        <w:keepNext w:val="0"/>
        <w:keepLines w:val="0"/>
        <w:pageBreakBefore w:val="0"/>
        <w:kinsoku/>
        <w:wordWrap/>
        <w:overflowPunct/>
        <w:topLinePunct w:val="0"/>
        <w:autoSpaceDE/>
        <w:autoSpaceDN/>
        <w:bidi w:val="0"/>
        <w:spacing w:line="560" w:lineRule="exact"/>
        <w:ind w:firstLine="680"/>
        <w:jc w:val="both"/>
        <w:textAlignment w:val="auto"/>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收入情况</w:t>
      </w:r>
      <w:r>
        <w:rPr>
          <w:rFonts w:eastAsia="楷体_GB2312"/>
          <w:b/>
          <w:bCs/>
          <w:kern w:val="0"/>
          <w:sz w:val="32"/>
          <w:szCs w:val="32"/>
          <w:shd w:val="clear" w:color="auto" w:fill="FFFFFF"/>
          <w:lang w:val="zh-CN"/>
        </w:rPr>
        <w:t>。</w:t>
      </w:r>
    </w:p>
    <w:p>
      <w:pPr>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2024年年初预算收入</w:t>
      </w:r>
      <w:r>
        <w:rPr>
          <w:rFonts w:hint="eastAsia" w:ascii="Times New Roman" w:hAnsi="Times New Roman" w:eastAsia="仿宋_GB2312" w:cs="Times New Roman"/>
          <w:sz w:val="32"/>
          <w:szCs w:val="32"/>
          <w:lang w:val="en-US" w:eastAsia="zh-CN"/>
        </w:rPr>
        <w:t>5662.03万元，其中：</w:t>
      </w:r>
      <w:r>
        <w:rPr>
          <w:rFonts w:hint="default" w:ascii="Times New Roman" w:hAnsi="Times New Roman" w:eastAsia="仿宋_GB2312" w:cs="Times New Roman"/>
          <w:sz w:val="32"/>
          <w:szCs w:val="32"/>
          <w:lang w:val="en-US" w:eastAsia="zh-CN"/>
        </w:rPr>
        <w:t>一般公共预算财政拨款收入</w:t>
      </w:r>
      <w:r>
        <w:rPr>
          <w:rFonts w:hint="eastAsia" w:ascii="Times New Roman" w:hAnsi="Times New Roman" w:eastAsia="仿宋_GB2312" w:cs="Times New Roman"/>
          <w:sz w:val="32"/>
          <w:szCs w:val="32"/>
          <w:lang w:val="en-US" w:eastAsia="zh-CN"/>
        </w:rPr>
        <w:t>5662.03</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占总收入的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rPr>
        <w:t>决算收入</w:t>
      </w:r>
      <w:r>
        <w:rPr>
          <w:rFonts w:hint="eastAsia" w:ascii="Times New Roman" w:hAnsi="Times New Roman" w:eastAsia="仿宋_GB2312" w:cs="Times New Roman"/>
          <w:sz w:val="32"/>
          <w:szCs w:val="32"/>
          <w:lang w:val="en-US" w:eastAsia="zh-CN"/>
        </w:rPr>
        <w:t>12034.31</w:t>
      </w:r>
      <w:r>
        <w:rPr>
          <w:rFonts w:hint="default" w:ascii="Times New Roman" w:hAnsi="Times New Roman" w:eastAsia="仿宋_GB2312" w:cs="Times New Roman"/>
          <w:sz w:val="32"/>
          <w:szCs w:val="32"/>
          <w:lang w:val="en-US" w:eastAsia="zh-CN"/>
        </w:rPr>
        <w:t>万元，其中：一般公共预算财政拨款收入</w:t>
      </w:r>
      <w:r>
        <w:rPr>
          <w:rFonts w:hint="eastAsia" w:ascii="Times New Roman" w:hAnsi="Times New Roman" w:eastAsia="仿宋_GB2312" w:cs="Times New Roman"/>
          <w:sz w:val="32"/>
          <w:szCs w:val="32"/>
          <w:lang w:val="en-US" w:eastAsia="zh-CN"/>
        </w:rPr>
        <w:t>6887.48</w:t>
      </w:r>
      <w:r>
        <w:rPr>
          <w:rFonts w:hint="default" w:ascii="Times New Roman" w:hAnsi="Times New Roman" w:eastAsia="仿宋_GB2312" w:cs="Times New Roman"/>
          <w:sz w:val="32"/>
          <w:szCs w:val="32"/>
          <w:lang w:val="en-US" w:eastAsia="zh-CN"/>
        </w:rPr>
        <w:t>万元，占总收入的</w:t>
      </w:r>
      <w:r>
        <w:rPr>
          <w:rFonts w:hint="eastAsia"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lang w:val="en-US" w:eastAsia="zh-CN"/>
        </w:rPr>
        <w:t>%；政府性基金预算财政拨款收入</w:t>
      </w:r>
      <w:r>
        <w:rPr>
          <w:rFonts w:hint="eastAsia" w:ascii="Times New Roman" w:hAnsi="Times New Roman" w:eastAsia="仿宋_GB2312" w:cs="Times New Roman"/>
          <w:sz w:val="32"/>
          <w:szCs w:val="32"/>
          <w:lang w:val="en-US" w:eastAsia="zh-CN"/>
        </w:rPr>
        <w:t>5027.31</w:t>
      </w:r>
      <w:r>
        <w:rPr>
          <w:rFonts w:hint="default" w:ascii="Times New Roman" w:hAnsi="Times New Roman" w:eastAsia="仿宋_GB2312" w:cs="Times New Roman"/>
          <w:sz w:val="32"/>
          <w:szCs w:val="32"/>
          <w:lang w:val="en-US" w:eastAsia="zh-CN"/>
        </w:rPr>
        <w:t>万元，占总收入的</w:t>
      </w:r>
      <w:r>
        <w:rPr>
          <w:rFonts w:hint="eastAsia"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lang w:val="en-US" w:eastAsia="zh-CN"/>
        </w:rPr>
        <w:t>%；其他收入（非本级财政拨款）</w:t>
      </w:r>
      <w:r>
        <w:rPr>
          <w:rFonts w:hint="eastAsia" w:ascii="Times New Roman" w:hAnsi="Times New Roman" w:eastAsia="仿宋_GB2312" w:cs="Times New Roman"/>
          <w:sz w:val="32"/>
          <w:szCs w:val="32"/>
          <w:lang w:val="en-US" w:eastAsia="zh-CN"/>
        </w:rPr>
        <w:t>119.52</w:t>
      </w:r>
      <w:r>
        <w:rPr>
          <w:rFonts w:hint="default" w:ascii="Times New Roman" w:hAnsi="Times New Roman" w:eastAsia="仿宋_GB2312" w:cs="Times New Roman"/>
          <w:sz w:val="32"/>
          <w:szCs w:val="32"/>
          <w:lang w:val="en-US" w:eastAsia="zh-CN"/>
        </w:rPr>
        <w:t>万元，占总收入的</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p>
    <w:p>
      <w:pPr>
        <w:widowControl/>
        <w:adjustRightInd w:val="0"/>
        <w:snapToGrid w:val="0"/>
        <w:spacing w:line="578" w:lineRule="exact"/>
        <w:ind w:firstLine="643" w:firstLineChars="200"/>
        <w:contextualSpacing/>
        <w:jc w:val="both"/>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二</w:t>
      </w: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支出情况</w:t>
      </w:r>
      <w:r>
        <w:rPr>
          <w:rFonts w:eastAsia="楷体_GB2312"/>
          <w:b/>
          <w:bCs/>
          <w:kern w:val="0"/>
          <w:sz w:val="32"/>
          <w:szCs w:val="32"/>
          <w:shd w:val="clear" w:color="auto" w:fill="FFFFFF"/>
          <w:lang w:val="zh-CN"/>
        </w:rPr>
        <w:t>。</w:t>
      </w:r>
    </w:p>
    <w:p>
      <w:pPr>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2024年年初预算</w:t>
      </w:r>
      <w:r>
        <w:rPr>
          <w:rFonts w:hint="eastAsia" w:ascii="Times New Roman" w:hAnsi="Times New Roman" w:eastAsia="仿宋_GB2312" w:cs="Times New Roman"/>
          <w:sz w:val="32"/>
          <w:szCs w:val="32"/>
          <w:lang w:val="en-US" w:eastAsia="zh-CN"/>
        </w:rPr>
        <w:t>支出5662.03万元，其中：</w:t>
      </w:r>
      <w:r>
        <w:rPr>
          <w:rFonts w:hint="default" w:ascii="Times New Roman" w:hAnsi="Times New Roman" w:eastAsia="仿宋_GB2312" w:cs="Times New Roman"/>
          <w:sz w:val="32"/>
          <w:szCs w:val="32"/>
          <w:lang w:val="en-US" w:eastAsia="zh-CN"/>
        </w:rPr>
        <w:t>一般公共预算财政拨款</w:t>
      </w:r>
      <w:r>
        <w:rPr>
          <w:rFonts w:hint="eastAsia" w:ascii="Times New Roman" w:hAnsi="Times New Roman" w:eastAsia="仿宋_GB2312" w:cs="Times New Roman"/>
          <w:sz w:val="32"/>
          <w:szCs w:val="32"/>
          <w:lang w:val="en-US" w:eastAsia="zh-CN"/>
        </w:rPr>
        <w:t>支出5662.03</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占总收入的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spacing w:line="600" w:lineRule="exact"/>
        <w:ind w:firstLine="640" w:firstLineChars="200"/>
        <w:jc w:val="both"/>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决算</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12131.55</w:t>
      </w:r>
      <w:r>
        <w:rPr>
          <w:rFonts w:hint="default" w:ascii="Times New Roman" w:hAnsi="Times New Roman" w:eastAsia="仿宋_GB2312" w:cs="Times New Roman"/>
          <w:sz w:val="32"/>
          <w:szCs w:val="32"/>
          <w:lang w:val="en-US" w:eastAsia="zh-CN"/>
        </w:rPr>
        <w:t>万元，其中：一般公共预算财政拨款支出</w:t>
      </w:r>
      <w:r>
        <w:rPr>
          <w:rFonts w:hint="eastAsia" w:ascii="Times New Roman" w:hAnsi="Times New Roman" w:eastAsia="仿宋_GB2312" w:cs="Times New Roman"/>
          <w:sz w:val="32"/>
          <w:szCs w:val="32"/>
          <w:lang w:val="en-US" w:eastAsia="zh-CN"/>
        </w:rPr>
        <w:t>6887.48</w:t>
      </w:r>
      <w:r>
        <w:rPr>
          <w:rFonts w:hint="default" w:ascii="Times New Roman" w:hAnsi="Times New Roman" w:eastAsia="仿宋_GB2312" w:cs="Times New Roman"/>
          <w:sz w:val="32"/>
          <w:szCs w:val="32"/>
          <w:lang w:val="en-US" w:eastAsia="zh-CN"/>
        </w:rPr>
        <w:t>万元,占总支出的</w:t>
      </w:r>
      <w:r>
        <w:rPr>
          <w:rFonts w:hint="eastAsia"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lang w:val="en-US" w:eastAsia="zh-CN"/>
        </w:rPr>
        <w:t>%；政府性基金预算财政拨款支出</w:t>
      </w:r>
      <w:r>
        <w:rPr>
          <w:rFonts w:hint="eastAsia" w:ascii="Times New Roman" w:hAnsi="Times New Roman" w:eastAsia="仿宋_GB2312" w:cs="Times New Roman"/>
          <w:sz w:val="32"/>
          <w:szCs w:val="32"/>
          <w:lang w:val="en-US" w:eastAsia="zh-CN"/>
        </w:rPr>
        <w:t>5027.31</w:t>
      </w:r>
      <w:r>
        <w:rPr>
          <w:rFonts w:hint="default" w:ascii="Times New Roman" w:hAnsi="Times New Roman" w:eastAsia="仿宋_GB2312" w:cs="Times New Roman"/>
          <w:sz w:val="32"/>
          <w:szCs w:val="32"/>
          <w:lang w:val="en-US" w:eastAsia="zh-CN"/>
        </w:rPr>
        <w:t>万元，占总支出的</w:t>
      </w:r>
      <w:r>
        <w:rPr>
          <w:rFonts w:hint="eastAsia"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lang w:val="en-US" w:eastAsia="zh-CN"/>
        </w:rPr>
        <w:t>%；其他支出（非本级财政拨款）</w:t>
      </w:r>
      <w:r>
        <w:rPr>
          <w:rFonts w:hint="eastAsia" w:ascii="Times New Roman" w:hAnsi="Times New Roman" w:eastAsia="仿宋_GB2312" w:cs="Times New Roman"/>
          <w:sz w:val="32"/>
          <w:szCs w:val="32"/>
          <w:lang w:val="en-US" w:eastAsia="zh-CN"/>
        </w:rPr>
        <w:t>216.76</w:t>
      </w:r>
      <w:r>
        <w:rPr>
          <w:rFonts w:hint="default" w:ascii="Times New Roman" w:hAnsi="Times New Roman" w:eastAsia="仿宋_GB2312" w:cs="Times New Roman"/>
          <w:sz w:val="32"/>
          <w:szCs w:val="32"/>
          <w:lang w:val="en-US" w:eastAsia="zh-CN"/>
        </w:rPr>
        <w:t>万元，占总支出的</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p>
    <w:p>
      <w:pPr>
        <w:widowControl/>
        <w:numPr>
          <w:ilvl w:val="0"/>
          <w:numId w:val="1"/>
        </w:numPr>
        <w:adjustRightInd w:val="0"/>
        <w:snapToGrid w:val="0"/>
        <w:spacing w:line="578" w:lineRule="exact"/>
        <w:ind w:left="0" w:leftChars="0" w:firstLine="643" w:firstLineChars="200"/>
        <w:contextualSpacing/>
        <w:jc w:val="both"/>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结余分配和结转结余情况</w:t>
      </w:r>
      <w:r>
        <w:rPr>
          <w:rFonts w:hint="eastAsia" w:eastAsia="楷体_GB2312"/>
          <w:b/>
          <w:bCs/>
          <w:kern w:val="0"/>
          <w:sz w:val="32"/>
          <w:szCs w:val="32"/>
          <w:shd w:val="clear" w:color="auto" w:fill="FFFFFF"/>
          <w:lang w:val="zh-CN"/>
        </w:rPr>
        <w:t>。</w:t>
      </w:r>
    </w:p>
    <w:p>
      <w:pPr>
        <w:spacing w:line="600" w:lineRule="exact"/>
        <w:ind w:firstLine="640" w:firstLineChars="200"/>
        <w:jc w:val="both"/>
        <w:rPr>
          <w:rFonts w:hint="eastAsia" w:ascii="Times New Roman" w:hAnsi="Times New Roman" w:eastAsia="仿宋_GB2312" w:cs="Times New Roman"/>
          <w:color w:val="FF0000"/>
          <w:sz w:val="32"/>
          <w:szCs w:val="32"/>
          <w:lang w:val="zh-CN" w:eastAsia="zh-CN"/>
        </w:rPr>
      </w:pPr>
      <w:r>
        <w:rPr>
          <w:rFonts w:hint="eastAsia" w:ascii="Times New Roman" w:hAnsi="Times New Roman" w:eastAsia="仿宋_GB2312" w:cs="Times New Roman"/>
          <w:color w:val="auto"/>
          <w:sz w:val="32"/>
          <w:szCs w:val="32"/>
          <w:lang w:val="en-US" w:eastAsia="zh-CN"/>
        </w:rPr>
        <w:t>红格镇人民政府2024年度无结转结余。</w:t>
      </w:r>
    </w:p>
    <w:p>
      <w:pPr>
        <w:widowControl/>
        <w:adjustRightInd w:val="0"/>
        <w:snapToGrid w:val="0"/>
        <w:spacing w:line="578" w:lineRule="exact"/>
        <w:ind w:firstLine="640" w:firstLineChars="200"/>
        <w:contextualSpacing/>
        <w:jc w:val="both"/>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pPr>
        <w:adjustRightInd w:val="0"/>
        <w:snapToGrid w:val="0"/>
        <w:spacing w:line="578" w:lineRule="exact"/>
        <w:ind w:firstLine="643" w:firstLineChars="200"/>
        <w:contextualSpacing/>
        <w:jc w:val="both"/>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p>
    <w:p>
      <w:pPr>
        <w:keepNext w:val="0"/>
        <w:keepLines w:val="0"/>
        <w:widowControl/>
        <w:suppressLineNumbers w:val="0"/>
        <w:ind w:firstLine="640" w:firstLineChars="200"/>
        <w:jc w:val="both"/>
        <w:rPr>
          <w:rFonts w:hint="eastAsia" w:ascii="楷体_GB2312" w:hAnsi="楷体_GB2312" w:eastAsia="楷体_GB2312" w:cs="楷体_GB2312"/>
          <w:kern w:val="0"/>
          <w:sz w:val="32"/>
          <w:szCs w:val="32"/>
          <w:shd w:val="clear" w:color="auto" w:fill="FFFFFF"/>
          <w:lang w:val="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履职效能。</w:t>
      </w:r>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进一步</w:t>
      </w:r>
      <w:r>
        <w:rPr>
          <w:rFonts w:hint="eastAsia" w:ascii="Times New Roman" w:hAnsi="Times New Roman" w:eastAsia="仿宋_GB2312" w:cs="Times New Roman"/>
          <w:sz w:val="32"/>
          <w:szCs w:val="32"/>
          <w:lang w:val="en-US" w:eastAsia="zh-CN"/>
        </w:rPr>
        <w:t>压实部门预算绩效管理主体责任，加强部门预算绩效管理工作职能，强化预算绩效管理跟踪问效问责，提升部门绩效管理工作质量。</w:t>
      </w:r>
    </w:p>
    <w:p>
      <w:pPr>
        <w:adjustRightInd w:val="0"/>
        <w:snapToGrid w:val="0"/>
        <w:spacing w:line="578" w:lineRule="exact"/>
        <w:ind w:firstLine="640" w:firstLineChars="200"/>
        <w:contextualSpacing/>
        <w:jc w:val="both"/>
        <w:rPr>
          <w:rFonts w:hint="eastAsia" w:ascii="楷体_GB2312" w:hAnsi="楷体_GB2312" w:eastAsia="楷体_GB2312" w:cs="楷体_GB2312"/>
          <w:kern w:val="0"/>
          <w:sz w:val="32"/>
          <w:szCs w:val="32"/>
          <w:shd w:val="clear" w:color="auto" w:fill="FFFFFF"/>
          <w:lang w:val="zh-CN"/>
        </w:rPr>
      </w:pPr>
      <w:r>
        <w:rPr>
          <w:rFonts w:hint="eastAsia" w:ascii="Times New Roman" w:hAnsi="Times New Roman" w:eastAsia="仿宋_GB2312" w:cs="Times New Roman"/>
          <w:sz w:val="32"/>
          <w:szCs w:val="32"/>
          <w:lang w:val="zh-CN" w:eastAsia="zh-CN"/>
        </w:rPr>
        <w:t>2.预算管理。</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lang w:val="en-US" w:eastAsia="zh-CN"/>
        </w:rPr>
        <w:t>年度预算管理严格贯彻落实严控一般性支出和</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三公</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经费只减不增的要求，从严从紧核定公用经费，加强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三公</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经费、会议、培训、差旅、办节办展、办公设备购置、信息网络及软件购置更新、课题经费等八项一般性支出事项合理性、必要性审核，严格控制预算规模。结合审计、巡察、财会监督等发现的问题，落实整改要求，加强成果利用，改进预算管理，切实提高预算编制质量。加强预算管理工作职能，强化预算执行监控，提升预算管理工作质量。加大预决算信息公开力度，推动绩效目标、绩效评价结果向社会公开。</w:t>
      </w:r>
    </w:p>
    <w:p>
      <w:pPr>
        <w:numPr>
          <w:ilvl w:val="0"/>
          <w:numId w:val="0"/>
        </w:numPr>
        <w:adjustRightInd w:val="0"/>
        <w:snapToGrid w:val="0"/>
        <w:spacing w:line="578" w:lineRule="exact"/>
        <w:ind w:firstLine="640" w:firstLineChars="200"/>
        <w:contextualSpacing/>
        <w:jc w:val="both"/>
        <w:rPr>
          <w:rFonts w:hint="eastAsia" w:ascii="楷体_GB2312" w:hAnsi="楷体_GB2312" w:eastAsia="楷体_GB2312" w:cs="楷体_GB2312"/>
          <w:kern w:val="0"/>
          <w:sz w:val="32"/>
          <w:szCs w:val="32"/>
          <w:shd w:val="clear" w:color="auto" w:fill="FFFFFF"/>
          <w:lang w:val="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zh-CN" w:eastAsia="zh-CN"/>
        </w:rPr>
        <w:t>财务管理。</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严格按照县财政局关于进一步加强全县财务基础工作管理要求，加强会计核算工作，确保会计信息的真实性、准确性和完整性。加强会计凭证、账簿、报表等会计档案的管理，确保会计资料的安全完整。财务岗位设置遵循职责分离、风险控制、效率提升三大原则，确保财务流程合规性、数据准确性和管理高效性，严格执行资金使用规范，严肃财经纪。</w:t>
      </w:r>
    </w:p>
    <w:p>
      <w:pPr>
        <w:keepNext w:val="0"/>
        <w:keepLines w:val="0"/>
        <w:pageBreakBefore w:val="0"/>
        <w:numPr>
          <w:ilvl w:val="0"/>
          <w:numId w:val="0"/>
        </w:numPr>
        <w:kinsoku/>
        <w:wordWrap/>
        <w:overflowPunct/>
        <w:topLinePunct w:val="0"/>
        <w:autoSpaceDE/>
        <w:autoSpaceDN/>
        <w:bidi w:val="0"/>
        <w:spacing w:line="560" w:lineRule="exact"/>
        <w:ind w:leftChars="200" w:firstLine="320" w:firstLineChars="1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zh-CN" w:eastAsia="zh-CN"/>
        </w:rPr>
        <w:t>资产管理。</w:t>
      </w:r>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加强对国有资产的管理，按月通过四川省国有资产管理系统计提折旧；及时更新资产信息，确保账实相符；按照上级要求做好</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4年行政事业性国有资产清查工作，及时办理账外资产的备案、登记入账工作，对闲置资产进行清查、盘活。</w:t>
      </w:r>
    </w:p>
    <w:p>
      <w:pPr>
        <w:numPr>
          <w:ilvl w:val="0"/>
          <w:numId w:val="0"/>
        </w:numPr>
        <w:adjustRightInd w:val="0"/>
        <w:snapToGrid w:val="0"/>
        <w:spacing w:line="578" w:lineRule="exact"/>
        <w:ind w:leftChars="200" w:firstLine="320" w:firstLineChars="100"/>
        <w:contextualSpacing/>
        <w:jc w:val="both"/>
        <w:rPr>
          <w:rFonts w:hint="eastAsia" w:ascii="楷体_GB2312" w:hAnsi="楷体_GB2312" w:eastAsia="楷体_GB2312" w:cs="楷体_GB2312"/>
          <w:kern w:val="0"/>
          <w:sz w:val="32"/>
          <w:szCs w:val="32"/>
          <w:shd w:val="clear" w:color="auto" w:fill="FFFFFF"/>
          <w:lang w:val="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eastAsia="zh-CN"/>
        </w:rPr>
        <w:t>采购管理。</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2024年采购支出17.79万元，其中政府采购货物支出17.2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万元，政府采购服务支出0.5</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万元。政府采购授予中小企业合同金额17.2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万元，采购执行率100%。</w:t>
      </w:r>
    </w:p>
    <w:p>
      <w:pPr>
        <w:adjustRightInd w:val="0"/>
        <w:snapToGrid w:val="0"/>
        <w:spacing w:line="578" w:lineRule="exact"/>
        <w:ind w:firstLine="643" w:firstLineChars="200"/>
        <w:contextualSpacing/>
        <w:jc w:val="both"/>
        <w:rPr>
          <w:rFonts w:eastAsia="仿宋_GB2312" w:cs="仿宋_GB2312"/>
          <w:sz w:val="32"/>
          <w:szCs w:val="32"/>
        </w:rPr>
      </w:pPr>
      <w:r>
        <w:rPr>
          <w:rFonts w:eastAsia="楷体_GB2312"/>
          <w:b/>
          <w:bCs/>
          <w:kern w:val="0"/>
          <w:sz w:val="32"/>
          <w:szCs w:val="32"/>
          <w:shd w:val="clear" w:color="auto" w:fill="FFFFFF"/>
          <w:lang w:val="zh-CN"/>
        </w:rPr>
        <w:t>（二）部门预算项目绩效分析。</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常年项目绩效分析。该类项目总数11个，涉及预算总金额311.68万元，1—12月预算执行总体进度为100%，其中：预算结余率大于10%的项目共计0个。</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阶段（含一次性）项目绩效分析。该类项目总数71个，涉及预算总金额9400.64万元，1—12月预算执行总体进度为100%，其中：预算结余率大于10%的项目共计0个。</w:t>
      </w:r>
    </w:p>
    <w:p>
      <w:pPr>
        <w:adjustRightInd w:val="0"/>
        <w:snapToGrid w:val="0"/>
        <w:spacing w:line="578" w:lineRule="exact"/>
        <w:ind w:firstLine="640" w:firstLineChars="200"/>
        <w:contextualSpacing/>
        <w:jc w:val="both"/>
        <w:rPr>
          <w:rFonts w:hint="eastAsia"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项目决策。</w:t>
      </w:r>
    </w:p>
    <w:p>
      <w:pPr>
        <w:keepNext w:val="0"/>
        <w:keepLines w:val="0"/>
        <w:widowControl/>
        <w:suppressLineNumbers w:val="0"/>
        <w:ind w:firstLine="640" w:firstLineChars="200"/>
        <w:jc w:val="both"/>
        <w:rPr>
          <w:rFonts w:eastAsia="仿宋_GB2312" w:cs="仿宋_GB2312"/>
          <w:sz w:val="32"/>
          <w:szCs w:val="32"/>
          <w:lang w:val="zh-CN"/>
        </w:rPr>
      </w:pPr>
      <w:r>
        <w:rPr>
          <w:rFonts w:hint="eastAsia" w:ascii="Times New Roman" w:hAnsi="Times New Roman" w:eastAsia="仿宋_GB2312" w:cs="Times New Roman"/>
          <w:sz w:val="32"/>
          <w:szCs w:val="32"/>
          <w:lang w:val="en-US" w:eastAsia="zh-CN"/>
        </w:rPr>
        <w:t>在项目立项、规划、执行等各个阶段，严格按照项目决策流程明确项目的目标和范围，确定项目可行性，制定项目计划和预算，决策过程公开透明。绩效目标和绩效指标量化可考核，相匹配，全面完整，契合项目实质，与部门的长期规划目标、年度工作目标相一致，产出和效果相关联。项目入库标准科学合理，流程规范，有严格的审核机制，确保了入库项目的质量和可行性。</w:t>
      </w:r>
    </w:p>
    <w:p>
      <w:pPr>
        <w:numPr>
          <w:ilvl w:val="0"/>
          <w:numId w:val="0"/>
        </w:numPr>
        <w:adjustRightInd w:val="0"/>
        <w:snapToGrid w:val="0"/>
        <w:spacing w:line="578" w:lineRule="exact"/>
        <w:ind w:firstLine="640" w:firstLineChars="200"/>
        <w:contextualSpacing/>
        <w:jc w:val="both"/>
        <w:rPr>
          <w:rFonts w:hint="eastAsia" w:eastAsia="仿宋_GB2312" w:cs="仿宋_GB2312"/>
          <w:sz w:val="32"/>
          <w:szCs w:val="32"/>
          <w:lang w:val="zh-CN"/>
        </w:rPr>
      </w:pPr>
      <w:r>
        <w:rPr>
          <w:rFonts w:hint="eastAsia" w:eastAsia="仿宋_GB2312" w:cs="仿宋_GB2312"/>
          <w:sz w:val="32"/>
          <w:szCs w:val="32"/>
          <w:lang w:val="en-US" w:eastAsia="zh-CN"/>
        </w:rPr>
        <w:t>2.</w:t>
      </w:r>
      <w:r>
        <w:rPr>
          <w:rFonts w:hint="eastAsia" w:eastAsia="仿宋_GB2312" w:cs="仿宋_GB2312"/>
          <w:sz w:val="32"/>
          <w:szCs w:val="32"/>
        </w:rPr>
        <w:t>项目执行</w:t>
      </w:r>
      <w:r>
        <w:rPr>
          <w:rFonts w:hint="eastAsia" w:eastAsia="仿宋_GB2312" w:cs="仿宋_GB2312"/>
          <w:sz w:val="32"/>
          <w:szCs w:val="32"/>
          <w:lang w:val="zh-CN"/>
        </w:rPr>
        <w:t>。</w:t>
      </w:r>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资金按计划分配，与项目目标一致，资金使用高效，不存在偏差。项目调整基于合理的需求，调整措施有效，提升了项目执行效率。执行结果达到预期目标，项目成本在预算范围内。</w:t>
      </w:r>
    </w:p>
    <w:p>
      <w:pPr>
        <w:numPr>
          <w:ilvl w:val="0"/>
          <w:numId w:val="0"/>
        </w:numPr>
        <w:adjustRightInd w:val="0"/>
        <w:snapToGrid w:val="0"/>
        <w:spacing w:line="578" w:lineRule="exact"/>
        <w:ind w:firstLine="640" w:firstLineChars="200"/>
        <w:contextualSpacing/>
        <w:jc w:val="both"/>
        <w:rPr>
          <w:rFonts w:hint="eastAsia" w:eastAsia="仿宋_GB2312" w:cs="仿宋_GB2312"/>
          <w:sz w:val="32"/>
          <w:szCs w:val="32"/>
          <w:lang w:val="zh-CN"/>
        </w:rPr>
      </w:pPr>
      <w:r>
        <w:rPr>
          <w:rFonts w:hint="eastAsia" w:eastAsia="仿宋_GB2312" w:cs="仿宋_GB2312"/>
          <w:sz w:val="32"/>
          <w:szCs w:val="32"/>
          <w:lang w:val="en-US" w:eastAsia="zh-CN"/>
        </w:rPr>
        <w:t>3.</w:t>
      </w:r>
      <w:r>
        <w:rPr>
          <w:rFonts w:hint="eastAsia" w:eastAsia="仿宋_GB2312" w:cs="仿宋_GB2312"/>
          <w:sz w:val="32"/>
          <w:szCs w:val="32"/>
          <w:lang w:val="zh-CN"/>
        </w:rPr>
        <w:t>目标实现。</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绩效目标</w:t>
      </w:r>
      <w:r>
        <w:rPr>
          <w:rFonts w:hint="eastAsia" w:ascii="Times New Roman" w:hAnsi="Times New Roman" w:eastAsia="仿宋_GB2312" w:cs="Times New Roman"/>
          <w:sz w:val="32"/>
          <w:szCs w:val="32"/>
          <w:lang w:val="en-US" w:eastAsia="zh-CN"/>
        </w:rPr>
        <w:t>完成12131.55</w:t>
      </w:r>
      <w:r>
        <w:rPr>
          <w:rFonts w:hint="default" w:ascii="Times New Roman" w:hAnsi="Times New Roman" w:eastAsia="仿宋_GB2312" w:cs="Times New Roman"/>
          <w:sz w:val="32"/>
          <w:szCs w:val="32"/>
          <w:lang w:val="en-US" w:eastAsia="zh-CN"/>
        </w:rPr>
        <w:t>万元，完成率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%，较好地完成了年初制定的绩效目标任务，各项工作有序推进，整体支出平稳，基本达到预期指标。</w:t>
      </w:r>
    </w:p>
    <w:p>
      <w:pPr>
        <w:keepNext w:val="0"/>
        <w:keepLines w:val="0"/>
        <w:pageBreakBefore w:val="0"/>
        <w:numPr>
          <w:ilvl w:val="0"/>
          <w:numId w:val="1"/>
        </w:numPr>
        <w:kinsoku/>
        <w:wordWrap/>
        <w:overflowPunct/>
        <w:topLinePunct w:val="0"/>
        <w:autoSpaceDE/>
        <w:autoSpaceDN/>
        <w:bidi w:val="0"/>
        <w:spacing w:line="560" w:lineRule="exact"/>
        <w:ind w:left="0" w:leftChars="0" w:firstLine="643" w:firstLineChars="200"/>
        <w:jc w:val="both"/>
        <w:textAlignment w:val="auto"/>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绩效结果应用情况</w:t>
      </w:r>
      <w:r>
        <w:rPr>
          <w:rFonts w:hint="eastAsia" w:eastAsia="楷体_GB2312"/>
          <w:b/>
          <w:bCs/>
          <w:kern w:val="0"/>
          <w:sz w:val="32"/>
          <w:szCs w:val="32"/>
          <w:shd w:val="clear" w:color="auto" w:fill="FFFFFF"/>
          <w:lang w:val="zh-CN"/>
        </w:rPr>
        <w:t>。</w:t>
      </w:r>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为深入贯彻落实党中央、国务院和省委、省政府关于全</w:t>
      </w:r>
      <w:r>
        <w:rPr>
          <w:rFonts w:hint="eastAsia" w:ascii="Times New Roman" w:hAnsi="Times New Roman" w:eastAsia="仿宋_GB2312" w:cs="Times New Roman"/>
          <w:sz w:val="32"/>
          <w:szCs w:val="32"/>
          <w:lang w:val="en-US" w:eastAsia="zh-CN"/>
        </w:rPr>
        <w:t>面实施预算绩效管理的决策部署和《中共四川省委办公厅四川省人民政府办公厅关于深入实施预算绩效管理的通知》（川委厅〔</w:t>
      </w:r>
      <w:r>
        <w:rPr>
          <w:rFonts w:hint="default"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号）工作要求，着力提升财政资源配置效率和资金使用效益。</w:t>
      </w:r>
      <w:r>
        <w:rPr>
          <w:rFonts w:hint="default" w:ascii="Times New Roman" w:hAnsi="Times New Roman" w:eastAsia="仿宋_GB2312" w:cs="Times New Roman"/>
          <w:sz w:val="32"/>
          <w:szCs w:val="32"/>
          <w:lang w:val="en-US" w:eastAsia="zh-CN"/>
        </w:rPr>
        <w:t>根据盐边财绩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5〕2号</w:t>
      </w:r>
      <w:r>
        <w:rPr>
          <w:rFonts w:hint="default" w:ascii="Times New Roman" w:hAnsi="Times New Roman" w:eastAsia="仿宋_GB2312" w:cs="Times New Roman"/>
          <w:sz w:val="32"/>
          <w:szCs w:val="32"/>
          <w:lang w:val="en-US" w:eastAsia="zh-CN"/>
        </w:rPr>
        <w:t>《盐边县财政局关于开展预算绩效自评工作的通知》要求，对202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部门预算整体支出绩效进行了自评，在资金的管理和使用上，严格遵守财经纪律，认真履行部门职能职责，随时掌握资金的执行和使用情况，总结财政资金预算编制、预算执行、预算监督过程中存在的不足。结合审计、巡察、财会监督等发现的问题，落实整</w:t>
      </w:r>
      <w:r>
        <w:rPr>
          <w:rFonts w:hint="eastAsia" w:ascii="Times New Roman" w:hAnsi="Times New Roman" w:eastAsia="仿宋_GB2312" w:cs="Times New Roman"/>
          <w:sz w:val="32"/>
          <w:szCs w:val="32"/>
          <w:lang w:val="en-US" w:eastAsia="zh-CN"/>
        </w:rPr>
        <w:t>改要求，加强成果利用，改进预算管理，切实提高预算编制质量。严格按照政府信息公开有关规定公开预算、执行、决算、监督、绩效等相关预决算信息。同时</w:t>
      </w:r>
      <w:r>
        <w:rPr>
          <w:rFonts w:hint="default" w:ascii="Times New Roman" w:hAnsi="Times New Roman" w:eastAsia="仿宋_GB2312" w:cs="Times New Roman"/>
          <w:sz w:val="32"/>
          <w:szCs w:val="32"/>
          <w:lang w:val="en-US" w:eastAsia="zh-CN"/>
        </w:rPr>
        <w:t>加大绩效信息公开力度，推动绩效目标、绩效</w:t>
      </w:r>
      <w:r>
        <w:rPr>
          <w:rFonts w:hint="eastAsia" w:ascii="Times New Roman" w:hAnsi="Times New Roman" w:eastAsia="仿宋_GB2312" w:cs="Times New Roman"/>
          <w:sz w:val="32"/>
          <w:szCs w:val="32"/>
          <w:lang w:val="en-US" w:eastAsia="zh-CN"/>
        </w:rPr>
        <w:t>评价结果向社会公开。</w:t>
      </w:r>
    </w:p>
    <w:p>
      <w:pPr>
        <w:widowControl/>
        <w:adjustRightInd w:val="0"/>
        <w:snapToGrid w:val="0"/>
        <w:spacing w:line="578" w:lineRule="exact"/>
        <w:ind w:firstLine="640" w:firstLineChars="200"/>
        <w:contextualSpacing/>
        <w:jc w:val="both"/>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pPr>
        <w:pStyle w:val="8"/>
        <w:keepNext w:val="0"/>
        <w:keepLines w:val="0"/>
        <w:pageBreakBefore w:val="0"/>
        <w:kinsoku/>
        <w:wordWrap/>
        <w:overflowPunct/>
        <w:topLinePunct w:val="0"/>
        <w:autoSpaceDE/>
        <w:autoSpaceDN/>
        <w:bidi w:val="0"/>
        <w:spacing w:line="560" w:lineRule="exact"/>
        <w:ind w:left="0" w:leftChars="0" w:firstLine="614" w:firstLineChars="191"/>
        <w:jc w:val="both"/>
        <w:textAlignment w:val="auto"/>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（一）评价结论。</w:t>
      </w:r>
    </w:p>
    <w:p>
      <w:pPr>
        <w:keepNext w:val="0"/>
        <w:keepLines w:val="0"/>
        <w:widowControl/>
        <w:suppressLineNumbers w:val="0"/>
        <w:ind w:firstLine="640" w:firstLineChars="200"/>
        <w:jc w:val="both"/>
        <w:rPr>
          <w:rFonts w:eastAsia="仿宋_GB2312"/>
          <w:sz w:val="32"/>
          <w:szCs w:val="32"/>
          <w:lang w:bidi="ar"/>
        </w:rPr>
      </w:pPr>
      <w:r>
        <w:rPr>
          <w:rFonts w:hint="default" w:ascii="Times New Roman" w:hAnsi="Times New Roman" w:eastAsia="仿宋_GB2312" w:cs="Times New Roman"/>
          <w:sz w:val="32"/>
          <w:szCs w:val="32"/>
          <w:lang w:val="en-US" w:eastAsia="zh-CN"/>
        </w:rPr>
        <w:t>整体来看，202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年我镇各项工作有序推进，较好的完成了绩效目标任务。重点项目持续推进，较好地实现了社会效益和可持续效益目标，为红格镇的经济发展奠定了良好的基础，提高了群众生活水平和满意度。</w:t>
      </w:r>
      <w:r>
        <w:rPr>
          <w:rFonts w:hint="eastAsia" w:ascii="Times New Roman" w:hAnsi="Times New Roman" w:eastAsia="仿宋_GB2312" w:cs="Times New Roman"/>
          <w:sz w:val="32"/>
          <w:szCs w:val="32"/>
          <w:lang w:val="en-US" w:eastAsia="zh-CN"/>
        </w:rPr>
        <w:t>本年度自评得分为94分。</w:t>
      </w:r>
    </w:p>
    <w:p>
      <w:pPr>
        <w:pStyle w:val="8"/>
        <w:keepNext w:val="0"/>
        <w:keepLines w:val="0"/>
        <w:pageBreakBefore w:val="0"/>
        <w:numPr>
          <w:ilvl w:val="0"/>
          <w:numId w:val="2"/>
        </w:numPr>
        <w:kinsoku/>
        <w:wordWrap/>
        <w:overflowPunct/>
        <w:topLinePunct w:val="0"/>
        <w:autoSpaceDE/>
        <w:autoSpaceDN/>
        <w:bidi w:val="0"/>
        <w:spacing w:line="560" w:lineRule="exact"/>
        <w:ind w:left="0" w:leftChars="0" w:firstLine="643" w:firstLineChars="200"/>
        <w:jc w:val="both"/>
        <w:textAlignment w:val="auto"/>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存在问题。</w:t>
      </w:r>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1.绩效指标设置的科学性、资金使用效率和项目管理精细化方面存在改进空间。</w:t>
      </w:r>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部分项目实施进度缓慢，未能按时竣工验收</w:t>
      </w:r>
      <w:r>
        <w:rPr>
          <w:rFonts w:hint="eastAsia" w:ascii="Times New Roman" w:hAnsi="Times New Roman" w:eastAsia="仿宋_GB2312" w:cs="Times New Roman"/>
          <w:sz w:val="32"/>
          <w:szCs w:val="32"/>
          <w:lang w:val="en-US" w:eastAsia="zh-CN"/>
        </w:rPr>
        <w:t>。</w:t>
      </w:r>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.部分项目报账不及时，预算执行</w:t>
      </w:r>
      <w:r>
        <w:rPr>
          <w:rFonts w:hint="eastAsia" w:ascii="Times New Roman" w:hAnsi="Times New Roman" w:eastAsia="仿宋_GB2312" w:cs="Times New Roman"/>
          <w:sz w:val="32"/>
          <w:szCs w:val="32"/>
          <w:lang w:val="en-US" w:eastAsia="zh-CN"/>
        </w:rPr>
        <w:t>进度缓慢</w:t>
      </w:r>
      <w:r>
        <w:rPr>
          <w:rFonts w:hint="default" w:ascii="Times New Roman" w:hAnsi="Times New Roman" w:eastAsia="仿宋_GB2312" w:cs="Times New Roman"/>
          <w:sz w:val="32"/>
          <w:szCs w:val="32"/>
          <w:lang w:val="en-US" w:eastAsia="zh-CN"/>
        </w:rPr>
        <w:t>。</w:t>
      </w:r>
    </w:p>
    <w:p>
      <w:pPr>
        <w:pStyle w:val="8"/>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（三）改进建议。</w:t>
      </w:r>
      <w:bookmarkStart w:id="47" w:name="_Hlk110546638"/>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1.进一步优化绩效目标设置，加强预算执行过程管理，完善绩效评价机制，提高资金使用效益和部门整体绩效水平。</w:t>
      </w:r>
    </w:p>
    <w:p>
      <w:pPr>
        <w:keepNext w:val="0"/>
        <w:keepLines w:val="0"/>
        <w:widowControl/>
        <w:suppressLineNumbers w:val="0"/>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.加快项目建设进度，保质保量做好项目竣工验收工作。</w:t>
      </w:r>
    </w:p>
    <w:p>
      <w:pPr>
        <w:keepNext w:val="0"/>
        <w:keepLines w:val="0"/>
        <w:widowControl/>
        <w:suppressLineNumbers w:val="0"/>
        <w:ind w:firstLine="640" w:firstLineChars="200"/>
        <w:jc w:val="both"/>
        <w:rPr>
          <w:rFonts w:ascii="Times New Roman" w:eastAsia="仿宋_GB2312"/>
          <w:sz w:val="32"/>
          <w:lang w:val="zh-CN" w:bidi="ar"/>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.督促相关部门及时报账，提高预算执行力度。</w:t>
      </w:r>
      <w:bookmarkEnd w:id="47"/>
    </w:p>
    <w:p>
      <w:pPr>
        <w:pStyle w:val="8"/>
        <w:spacing w:line="560" w:lineRule="exact"/>
        <w:ind w:left="0" w:leftChars="0" w:firstLine="640"/>
        <w:jc w:val="both"/>
        <w:rPr>
          <w:rFonts w:ascii="Times New Roman"/>
          <w:sz w:val="32"/>
          <w:highlight w:val="yellow"/>
          <w:lang w:val="zh-CN"/>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pPr>
        <w:pStyle w:val="6"/>
        <w:spacing w:before="93"/>
        <w:jc w:val="both"/>
        <w:rPr>
          <w:rFonts w:ascii="Times New Roman" w:cs="宋体"/>
          <w:sz w:val="32"/>
          <w:szCs w:val="32"/>
          <w:highlight w:val="yellow"/>
          <w:shd w:val="clear" w:color="auto" w:fill="FFFFFF"/>
          <w:lang w:val="zh-CN"/>
        </w:rPr>
      </w:pPr>
    </w:p>
    <w:p>
      <w:pPr>
        <w:jc w:val="both"/>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36"/>
        <w:spacing w:line="578" w:lineRule="exact"/>
        <w:jc w:val="both"/>
        <w:rPr>
          <w:rFonts w:ascii="Times New Roman" w:hAnsi="Times New Roman" w:eastAsia="方正小标宋简体" w:cs="方正小标宋简体"/>
          <w:color w:val="auto"/>
          <w:kern w:val="2"/>
          <w:sz w:val="44"/>
          <w:szCs w:val="44"/>
          <w:lang w:val="en-US"/>
        </w:rPr>
      </w:pPr>
    </w:p>
    <w:p>
      <w:pPr>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rPr>
      </w:pPr>
      <w:bookmarkStart w:id="48" w:name="_Toc15396618"/>
      <w:r>
        <w:rPr>
          <w:rFonts w:hint="eastAsia" w:ascii="Times New Roman" w:hAnsi="Times New Roman" w:eastAsia="方正小标宋_GBK"/>
          <w:b/>
          <w:sz w:val="44"/>
          <w:szCs w:val="44"/>
        </w:rPr>
        <w:t>2024年公共图书馆、美术馆、文化馆（站）免费开放补助项目绩效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default" w:ascii="楷体" w:hAnsi="楷体" w:eastAsia="楷体" w:cs="楷体"/>
          <w:b/>
          <w:bCs/>
          <w:sz w:val="32"/>
          <w:szCs w:val="32"/>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镇人民政府作为项目主管单位，负责统筹协调全镇公共图书馆、美术馆、文化馆（站）免费开放工作。具体职能包括制定免费开放实施方案、组织实施和监督检查，确保各场馆按照标准免费开放；审核资金使用计划，监督资金流向，保障资金专款专用；协调解决场馆开放过程中遇到的困难和问题；组织开展群众文化活动，指导场馆提升服务质量和水平。</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2.立项与申报依据：结合本镇文化资源丰富、群众文化需求日益增长，但公共文化场馆运行经费紧张的实际情况，申报资金用于保障公共文化场馆免费开放，提升公共文化服务水平，满足群众精神文化需求。</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4.资金分配原则：按“实际需求+效益优先”的原则进行资金分配，结合项目实施的实际情况进行动态调整。</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1.主要内容：用于支持乡镇（街道）综合文化站（中心）组织公益性群众文化活动等。</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2.具体绩效目标：保障基层公共图书室、综合文化站正常运作，不断满足人民群众日益增长的美好生活需要，丰富群众的精神世界，增强群众的精神力量。</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3.目标合理性：申报内容紧密围绕提升公共文化服务水平，解决群众文化需求，目标合理可行，与镇域公共文化发展需求高度契合。</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采用“资料审查+实地查看”的方法进行综合评估。</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（一）项目资金申报及批复情况。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向上级部门申报省级免费开放补助资金13.05万元，经县财政局下达，无预算调整。</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项目资金属于县级财政资金，2024年下达13.05万元，项目资金到位率100%，资金到位及时。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资金使用：截至2024年12月，支出13.05万元，支付范围、标准、进度均符合规定，与预算相符，资金使用合规合法。</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账务处理及时，每月进行账目核对，会计核算规范，无挪用、截留现象，确保了资金安全有效使用。</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（一）项目组织架构及实施流程。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时效：所有项目均按照进度计划完成，资金无结余。</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成本：在预算范围内合理使用资金。</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社会效益：丰富了群众精神文化生活，提升了群众文化素养，增强了乡镇文化凝聚力；吸引了更多群众参与文化活动，促进了邻里交流和社会和谐。</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可持续效益：建立了长效的公共文化服务机制，培养了一批文化骨干和志愿者，为乡镇文化事业长期发展奠定了基础；推动了乡镇文化氛围的营造，促进了文化产业的潜在发展。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满意度：群众对公共文化服务的获得感和幸福感显著提升。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项目全面完成绩效目标，资金使用规范，公共文化服务水平显著提升，社会效益和可持续效益突出，自评得分96分，评价等级为“优”。</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（二）存在的问题。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2"/>
        <w:rPr>
          <w:rFonts w:hint="eastAsia"/>
          <w:lang w:val="en-US" w:eastAsia="zh-CN"/>
        </w:rPr>
      </w:pPr>
    </w:p>
    <w:p>
      <w:pPr>
        <w:spacing w:line="0" w:lineRule="atLeast"/>
        <w:ind w:firstLine="0" w:firstLineChars="0"/>
        <w:jc w:val="center"/>
        <w:rPr>
          <w:rFonts w:hint="eastAsia" w:ascii="Times New Roman" w:hAnsi="Times New Roman" w:eastAsia="方正小标宋_GBK"/>
          <w:b/>
          <w:sz w:val="44"/>
          <w:szCs w:val="44"/>
        </w:rPr>
      </w:pP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2024年困难群众一次性生活补贴补助项目绩效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keepNext w:val="0"/>
        <w:keepLines w:val="0"/>
        <w:widowControl/>
        <w:suppressLineNumbers w:val="0"/>
        <w:jc w:val="both"/>
        <w:rPr>
          <w:rFonts w:hint="eastAsia" w:ascii="Times New Roman" w:hAnsi="Times New Roman" w:eastAsia="仿宋_GB2312" w:cs="Times New Roman"/>
          <w:sz w:val="32"/>
          <w:szCs w:val="32"/>
          <w:lang w:val="en-US" w:eastAsia="zh-CN"/>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红格镇作为基层行政主体，在该项目中承担着组织协调与保障的职能。</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2.项目立项、资金申报的依据</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为深入贯彻党的精神，切实解决群众的生活问题，为有效保障困难群众基本生活，提高财政资金使用效益，合理配置公共财政资源，解决群众急难愁盼的问题，特立项并申报资金。</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3.资金管理办法制定情况</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4.资金分配的原则及考虑因素</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按实有特困人员数量进行资金分配，结合项目实施的实际情况进行动态调整。</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1.项目主要内容</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红格敬老院院民90人一次性生活补贴补助。</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2.项目应实现的具体绩效目标</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该项目在2024年实施完成，确保敬老院院民一次性生活补助发放到位，且成本控制在9万元以内。</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3.申报内容相符性</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申报内容紧密结合红格镇实际需求，与实际情况相符。申报目标合理可行，充分考虑了红格镇实际情况，通过努力能够实现预期的绩效目标。</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（三）项目自评步骤及方法。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项目自评采取查看资金使用会计凭证资料和实地查看的方式进行。</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（一）项目资金申报及批复情况。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按照上级部门要求，认真编制项目资金申报材料，详细说明项目建设的必要性、可行性、资金需求等内容，项目资金申报经上级部门审核后获得批复。</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1.资金计划及到位</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项目资金属于中央和省级财政资金，2024年下达9万元，项目资金到位率100%，资金到位及时。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2.资金使用</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截至2024年12月，实际支出9万元，主要用于支付特困供养人员一次性生活补助，支付依据合规合法，资金支付与预算相符。</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该项目资金的使用严格按照财务管理制度、项目资金管理办法等进行会计核算和账务处理，会计核算规范。</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（一）项目组织架构及实施流程。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完成时效为2024年，确保特困供养人员一次性生活补助发放到位，投入成本9万元，项目资金无结余，无违规记录情况，对照项目计划完成目标，截至评价时点任务量完成100%、质量标准合格、进度计划符合时效要求、成本控制100%，目标的实现程度达标。</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确保特困供养人员一次性生活补助发放到位，提高院民的满意度，提升院民的幸福感。</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五、评价结论及建议</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项目完成绩效目标，资金使用规，有助于提高院民的满意度，提升院民的幸福感，自评得分98分，评价等级为“优”。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2"/>
        <w:ind w:left="0" w:leftChars="0" w:firstLine="0" w:firstLineChars="0"/>
        <w:jc w:val="both"/>
        <w:rPr>
          <w:rFonts w:hint="eastAsia" w:ascii="Times New Roman" w:hAnsi="Times New Roman" w:eastAsia="仿宋_GB2312" w:cs="Times New Roman"/>
          <w:sz w:val="32"/>
          <w:szCs w:val="32"/>
          <w:lang w:val="en-US" w:eastAsia="zh-CN"/>
        </w:rPr>
      </w:pP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2024年民族地区春节送温暖活动慰问项目绩效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1.乡镇政府职能：红格镇人民政府作为项目主管单位，负责全面统筹规划本次春节送温暖慰问活动，具体包括确定慰问对象名单，确保活动能切实将温暖送到民族地区困难群众手中。</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结合本乡镇民族地区实际情况，春节作为中华民族重要传统节日，为进一步促进民族团结，关爱民族地区困难群体，提升其生活幸福感，特申报此项目，旨在借助春节契机，给予民族地区困难群众物质与精神关怀。</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依据困难程度、家庭人口数量及特殊情况进行分配。优先保障特困家庭、重度残疾人家庭等，对于人口较多的困难家庭适当增加慰问物资数量，同时兼顾不同民族群体，确保公平公正，让各民族困难群众都能受益。</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1.主要内容：在2024年春节前夕，对本乡镇民族地区60户困难家庭进行慰问。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量化指标：慰问对象精准识别率达到100%，确保慰问物资足额发放率100%，慰问物资质量合格率100%。</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进度计划：2024年春节前慰问到位。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3.目标合理性：申报内容紧密结合民族地区困难群众实际需求，量化指标清晰明确，易于考核；目标切实可行，与乡镇实际执行能力相符。</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通过查阅资料，详细审核慰问对象名单、资金使用凭证、物资采购发票等进行综合评估。</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（一）资金申报及批复。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向上级部门申报省级慰问资金1.2万元，用于民族地区春节送温暖活动。2024年经县财政下达，资金批复过程顺利，无预算调整情况。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项目资金属于省级财政资金，2024年下达1.2万元，项目资金到位率100%，资金到位及时。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资金使用：截至2024年12月，支出1.2万元，支付范围、标准符合规定，与预算相符，资金使用合规合法。</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账务处理及时，会计核算规范，确保了资金安全、准确使用，无资金挪用、截留等违规现象。</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（一）组织架构及流程。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1.数量：按计划完成对60户民族地区困难家庭的慰问，完成数量达标。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2.质量：慰问物资均采购自正规渠道，质量合格，发放准确率100%。</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3.时效：在春节前夕顺利完成所有慰问发放工作，符合进度计划。</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4.成本：严格控制在预算1.2万元内，无超支情况，资金无结余。经核查，无违规记录。</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1.经济效益：带动了本地部分生活物资的采购，一定程度上促进了当地消费，同时为困难家庭减轻了春节期间生活物资采购负担，缓解经济压力。</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2.社会效益：增强了民族地区困难群众对政府的信任和满意度，促进了民族团结与社会和谐稳定。营造了关爱困难群体的良好社会氛围，弘扬了中华民族互帮互助的传统美德。</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3.生态效益：本次项目主要为物资发放慰问，对生态环境无直接影响，但从长远看，社会和谐稳定有助于推动可持续发展理念在当地的传播和践行。</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4.可持续效益：通过此次慰问活动，建立了政府与民族地区困难群众沟通的桥梁，为今后持续开展帮扶工作奠定基础，有助于形成长效帮扶机制。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5.满意度：通过对慰问家庭的回访调查，群众满意度达到98%，少部分群众提出希望增加慰问物资种类，总体反馈良好。</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项目围绕绩效目标顺利实施，资金使用规范，在促进民族团结、关爱困难群体方面成效显著，自评得分98分，评价等级为“优”。</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（二）存在的问题。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p>
    <w:p>
      <w:pPr>
        <w:ind w:left="0" w:leftChars="0" w:firstLine="0" w:firstLineChars="0"/>
        <w:jc w:val="center"/>
        <w:rPr>
          <w:rFonts w:hint="eastAsia"/>
        </w:rPr>
      </w:pPr>
      <w:r>
        <w:rPr>
          <w:rFonts w:hint="eastAsia" w:ascii="Times New Roman" w:hAnsi="Times New Roman" w:eastAsia="方正小标宋_GBK"/>
          <w:b/>
          <w:sz w:val="44"/>
          <w:szCs w:val="44"/>
        </w:rPr>
        <w:t>2024年生态环境保护项目绩效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红格镇作为基层行政主体，在该项目中承担着组织协调与保障的职能。</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2.项目立项、资金申报的依据。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结合盐边县2024年农村生活污水治理“千村示范工程”项目，特立项并申报资金。</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3.资金管理办法制定情况，资金支持具体项目的条件、范围与支持方式概况。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4.资金分配的原则及考虑因素。</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按“实际需求+效益优先”的原则进行资金分配，结合项目实施的实际情况进行动态调整。</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1.项目主要内容。</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用于红格已建成集中式农村生活污水处理设施提升及日常运维管理。</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2.项目应实现的具体绩效目标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该项目在2024年实施完成，提升已建成集中式农村生活污水处理设施及日常运维管理，且成本控制在22.62万元以内。</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3.申报内容相符性</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申报内容紧密结合红格镇实际需求，与实际情况相符。申报目标合理可行，充分考虑了红格镇实际情况，通过努力能够实现预期的绩效目标。</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项目自评采取查看资金使用会计凭证资料和实地查看的方式进行。</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（一）项目资金申报及批复情况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按照上级部门要求，认真编制项目资金申报材料，详细说明项目建设的必要性、可行性、资金需求等内容，项目资金申报经上级部门审核后获得批复。</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1.资金计划及到位。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项目资金属于省级和县级财政资金，2024年下达22.62万元，项目资金到位率100%，资金到位及时。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2.资金使用。</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截至2024年12月，支出22.62万元，主要用于红格已建成集中式农村生活污水处理设施提升及日常运维管理，支付依据合规合法，资金支付与预算相符。</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（三）项目财务管理情况。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该项目资金的使用严格按照财务管理制度、项目资金管理办法等进行会计核算和账务处理，会计核算规范。</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（一）项目组织架构及实施流程。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完成时效为2024年，完成了红格已建成集中式农村生活污水处理设施提升及日常运维管理，投入成本22.62万元，项目资金无结余，无违规记录情况，对照项目计划完成目标，截至评价时点任务量完成100%、质量标准合格、进度计划符合时效要求、成本控制100%，目标的实现程度达标。</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深入推进生态文明建设，完善农村生活污水处理设施建设，提高红格生态系统的稳定性和服务功能，实现红格生态系统的可持续发展，满足群众生活污水处理需求，提高生活质量。</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项目实现预期目标，资金使用规范，有助于实现红格生态系统的可持续发展，满足群众生活污水处理需求，提高生活质量，自评得分95分，评价等级为“优”。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2"/>
        <w:jc w:val="both"/>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rPr>
      </w:pPr>
      <w:r>
        <w:rPr>
          <w:rFonts w:hint="eastAsia" w:ascii="Times New Roman" w:hAnsi="Times New Roman" w:eastAsia="方正小标宋_GBK"/>
          <w:b/>
          <w:sz w:val="44"/>
          <w:szCs w:val="44"/>
        </w:rPr>
        <w:t>G4216高速公路征地搬迁补偿安置项目绩效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乡镇人民政府作为项目实施主体，负责辖区内G4216高速公路征地搬迁补偿安置工作的具体组织与实施，包括政策宣传、入户核查、补偿协议签订、资金发放及矛盾纠纷调解等，确保补偿安置工作依法依规推进。</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2.立项及资金申报依据：资金申报以实际征地搬迁面积、户数及补偿标准为依据。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3.资金管理办法：明确资金用于被征地农户的土地补偿、房屋拆迁补偿、附着物补偿等，确保专款专用。</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4.资金分配原则：按征地搬迁实际丈量面积、房屋结构等级及附着物种类等核定补偿金额，遵循“公平、公开、公正”原则，结合农户实际情况合理分配，兼顾政策标准与民生保障。</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1.主要内容：完成G4216高速公路部分路段征拆工作，确保协议签订农户得到合理补偿并妥善安置。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量化目标：补偿资金发放准确率100%；</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时效目标：2024年完成签订协议农户补偿资金发放工作。</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3.目标合理性：申报内容与高速公路建设实际征地需求一致，目标设定符合政策标准及农户实际需求，具有可操作性。</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通过查阅征地及资金兑付相关资料进行综合评估。</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（一）资金申报及批复情况。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按程序申报市级资金99.52万元，经县财政下达，资金申报流程规范，无预算调整情况。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项目资金属于市级财政资金，2024年下达99.52万元，项目资金到位率100%，资金到位及时。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资金使用严格遵循补偿标准，支付范围、进度及依据合规，无截留、挪用情况，支出与预算一致。</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账务处理及时，会计核算规范，未发现财务违规问题。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（一）组织架构及实施流程。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质量：补偿标准符合政策要求，农户对丈量结果、补偿金额无重大争议；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时效：2024年完成签订协议农户补偿资金；</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成本：资金使用控制在预算范围内，无超支情况；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经济效益：保障高速公路建设顺利推进，带动沿线土地增值及产业发展；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社会效益：维护社会稳定；</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服务对象满意度：大部分农户对补偿安置工作表示满意。</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项目实现了预期绩效目标，资金使用规范，实施管理到位，社会效益显著，自评得分96分，评价等级为“优”。</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（二）存在问题。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p>
    <w:p>
      <w:pPr>
        <w:spacing w:line="0" w:lineRule="atLeast"/>
        <w:ind w:firstLine="0" w:firstLineChars="0"/>
        <w:jc w:val="center"/>
        <w:rPr>
          <w:rFonts w:hint="eastAsia" w:ascii="Times New Roman" w:hAnsi="Times New Roman" w:eastAsia="方正小标宋_GBK"/>
          <w:b/>
          <w:sz w:val="44"/>
          <w:szCs w:val="44"/>
        </w:rPr>
      </w:pPr>
    </w:p>
    <w:p>
      <w:pPr>
        <w:spacing w:line="0" w:lineRule="atLeast"/>
        <w:ind w:firstLine="0" w:firstLineChars="0"/>
        <w:jc w:val="center"/>
        <w:rPr>
          <w:rFonts w:hint="eastAsia" w:ascii="Times New Roman" w:hAnsi="Times New Roman" w:eastAsia="方正小标宋_GBK"/>
          <w:b/>
          <w:sz w:val="44"/>
          <w:szCs w:val="44"/>
        </w:rPr>
      </w:pPr>
    </w:p>
    <w:p>
      <w:pPr>
        <w:spacing w:line="0" w:lineRule="atLeast"/>
        <w:ind w:firstLine="0" w:firstLineChars="0"/>
        <w:jc w:val="center"/>
        <w:rPr>
          <w:rFonts w:hint="eastAsia" w:ascii="Times New Roman" w:hAnsi="Times New Roman" w:eastAsia="方正小标宋_GBK"/>
          <w:b/>
          <w:sz w:val="44"/>
          <w:szCs w:val="44"/>
        </w:rPr>
      </w:pP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残疾人事业发展补助项目绩效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1.乡镇政府职能：红格镇镇人民政府作为项目实施主体，负责辖区内残疾人需求摸排、项目申报、组织实施及日常监管，对接县残联统筹资金使用，确保补助精准落实到村到户。</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2.立项与申报依据：依据《省级财政残疾人事业发展补助资金管理办法》及县残联年度工作部署，结合本乡镇残疾人康复、就业等实际需求，申报资金用于解决残疾人基本民生问题。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3.资金管理办法：严格执行县级资金管理细则，明确补助对象为持有本乡镇户籍的残疾人，支持范围包括康复服务、辅助器具适配、临时生活救助等，以直接发放补助或委托服务形式实施。</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4.资金分配原则：根据立项申请，将此项资金分配给阳光社区和和爱村。</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1.主要内容：在阳光社区、和爱村设立“残疾人自强健身示范点”，主要推广残疾人体育锻炼项目和技能，传播残疾人健身知识方法。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2.具体绩效目标：惠及残疾人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900人；提高了残疾人幸福感。</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3.目标合理性：申报内容贴合乡镇实际需求，目标量化可考核，进度安排符合基层工作节奏。</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用“资料审查+实地勘查”方式进行综合评估。</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（一）资金申报及批复。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向县残联申报省级财政补助10万元，经县财政下达，无预算调整。</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项目资金属于省级财政资金，2024年下达10万元，项目资金到位率100%，资金到位及时。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资金使用：实际支出10万元，资金支付严格按申请审批流程执行，附服务协议、验收单等凭证，合规率100%。</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乡镇财政所单独设立项目台账，执行“专款专用、乡镇审核”制度，会计核算规范，无资金截留或违规使用情况。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（一）组织架构及流程。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按项目计划推进，成本控制在预算内，无违规记录。</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社会效益：帮助残疾人改善身体功能，提升就业能力，群众认可度高；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可持续效益：示范点建设及正常运行，建设全覆盖，工作活动扎实开展，经费用于点位打造、宣传推广。</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项目实现预期目标，资金使用规范，有效改善残疾人生活质量，自评得分96分，评价等级为“优”。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p>
    <w:p>
      <w:pPr>
        <w:pStyle w:val="2"/>
        <w:jc w:val="both"/>
        <w:rPr>
          <w:rFonts w:hint="eastAsia"/>
          <w:lang w:val="en-US" w:eastAsia="zh-CN"/>
        </w:rPr>
      </w:pP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村（社区）森林防火奖补资金项目</w:t>
      </w: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1.乡镇政府职能：红格镇人民政府作为项目主管单位，负责审核各村防火措施落实情况、组织防火设施验收、监督资金使用合规性。</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2.立项与申报依据：结合本镇森林覆盖率高、秋冬季节火险等级高的实际，申报资金用于强化村（社区）森林防火能力建设，弥补基层防火经费缺口，防范森林火灾风险。</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w:t>
      </w:r>
      <w:r>
        <w:rPr>
          <w:rFonts w:hint="eastAsia" w:ascii="Times New Roman" w:hAnsi="Times New Roman" w:eastAsia="仿宋_GB2312" w:cs="Times New Roman"/>
          <w:sz w:val="32"/>
          <w:szCs w:val="32"/>
          <w:lang w:val="en-US" w:eastAsia="zh-CN"/>
        </w:rPr>
        <w:tab/>
      </w:r>
      <w:r>
        <w:rPr>
          <w:rFonts w:hint="eastAsia" w:ascii="Times New Roman" w:hAnsi="Times New Roman" w:eastAsia="仿宋_GB2312" w:cs="Times New Roman"/>
          <w:sz w:val="32"/>
          <w:szCs w:val="32"/>
          <w:lang w:val="en-US" w:eastAsia="zh-CN"/>
        </w:rPr>
        <w:t>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按各村森林面积、植被覆盖率、往年火险隐患点数量及防火工作成效分配。森林面积大、火险等级高的村优先分配，对年度未发生火情的村给予额外奖励，确保资金向高风险区域和积极落实防火措施的村倾斜。</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1.主要内容：为3个村配备森林防火物资，补贴巡山员劳务费用，开展防火宣传培训，清理林缘可燃物，实现“零重大火情”目标。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通过加强森林防火预防和项目建设，森林火灾发生率大大下降并得到稳定控制。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进度计划：2024年完成验收。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3.目标合理性：申报内容与镇域防火需求高度匹配，量化指标可通过物资配备数量、培训场次、火情数据等精准考核，进度计划结合本地火险季节特点制定，目标合理可行。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采用“资料核查+实地查验”进行综合评估。</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（一）资金申报及批复。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向上级部门申报省级奖补资金17.97万元，经县财政局下达，无预算调整。</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项目资金属于省级财政资金，2024年下达17.97万元，项目资金到位率100%，资金到位及时。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资金使用：截至2024年年底，实际支出17.97万元，支付依据合规合法，资金支付与预算相符。</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该项目资金的使用严格按照财务管理制度、项目资金管理办法等进行会计核算和账务处理，会计核算规范，无挪用、截留现象。</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（一）组织架构及流程。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按项目计划推进，成本控制在预算内，无违规记录。</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生态效益：年度全镇未发生森林火灾，森林资源得到有效保护。</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社会效益：村民防火意识显著增强。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满意度：巡山员满意度98%以上，村民对防火工作满意度98%以上，未收到投诉意见。</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项目完成绩效目标，资金使用规范，防火能力显著提升，生态与社会效益突出，自评得分95分，评价等级为“优”。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2"/>
        <w:jc w:val="both"/>
        <w:rPr>
          <w:rFonts w:hint="eastAsia"/>
          <w:lang w:val="en-US" w:eastAsia="zh-CN"/>
        </w:rPr>
      </w:pPr>
    </w:p>
    <w:p>
      <w:pPr>
        <w:pStyle w:val="2"/>
        <w:jc w:val="both"/>
        <w:rPr>
          <w:rFonts w:hint="eastAsia"/>
          <w:lang w:val="en-US" w:eastAsia="zh-CN"/>
        </w:rPr>
      </w:pP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村级公共服务经费项目绩效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镇人民政府作为项目主管单位，负责统筹规划、组织实施、监督管理村级公共服务经费项目。具体职能包括确定各村公共服务项目清单，指导各村编制资金使用计划，监督资金使用方向与进度，确保资金用于村级公共服务领域，协调解决项目实施过程中的问题，并定期对项目进行检查与评估。</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依据《四川省财政厅关于完善村级公共服务经费保障机制的通知》以及本地关于加强农村基层建设、提升公共服务水平的相关政策文件，结合本乡镇各村公共服务设施老化、服务内容不足等实际问题，申报此项目，旨在提升村级公共服务能力，改善村民生活环境。</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w:t>
      </w:r>
      <w:r>
        <w:rPr>
          <w:rFonts w:hint="eastAsia" w:ascii="Times New Roman" w:hAnsi="Times New Roman" w:eastAsia="仿宋_GB2312" w:cs="Times New Roman"/>
          <w:sz w:val="32"/>
          <w:szCs w:val="32"/>
          <w:lang w:val="en-US" w:eastAsia="zh-CN"/>
        </w:rPr>
        <w:tab/>
      </w:r>
      <w:r>
        <w:rPr>
          <w:rFonts w:hint="eastAsia" w:ascii="Times New Roman" w:hAnsi="Times New Roman" w:eastAsia="仿宋_GB2312" w:cs="Times New Roman"/>
          <w:sz w:val="32"/>
          <w:szCs w:val="32"/>
          <w:lang w:val="en-US" w:eastAsia="zh-CN"/>
        </w:rPr>
        <w:t>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根据各村人口数量、地域面积、公共服务需求紧迫程度等因素进行分配。人口多、面积大以及公共服务设施薄弱的村适当增加资金分配额度，确保资金分配公平合理，优先解决最急需的公共服务问题。</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1.主要内容：保障本乡镇11个村（社区）开展各类基层组织活动和服务群众活动，对村组道路、公共设施等进行维护和修缮。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量化指标：资金发放准确率达到100%，确保每笔资金都准确无误地发放到各村；公共服务设施维修及时率不低于95%，在设施出现问题后能及时安排维修；群众满意度达到98%以上。</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进度计划：年底前完成所有资金的支出和项目的验收。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3.目标合理性：申报内容紧密围绕村级公共服务需求，量化指标明确且具有可操作性，进度计划合理安排各阶段任务，充分考虑了农村工作实际和资金使用周期，目标切实可行，与乡镇实际情况相符。</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通过查阅资料，审核各村资金使用凭证、项目申报资料、验收报告等；实地走访各村，查看公共服务设施运行和维护情况；综合多方面信息，对照绩效目标进行全面客观评价。</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（一）资金申报及批复。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向县财政局申报省级村级公共服务经费，经县财政下达，资金批复过程顺利，无预算调整情况。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项目资金属于省级财政资金，2024年下达67.67万元，项目资金到位率100%，资金到位及时。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资金使用：2024年67.67万元资金全部支出，资金支付严格按照各村资金使用计划、合同、验收报告等执行，支付范围、标准符合规定，与预算相符，资金使用合规合法。</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账务处理及时，会计核算规范，确保资金安全、准确使用，无资金挪用、截留等违规现象。</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（一）组织架构及流程。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1.数量：按计划完成了对11个村（社区）的公共服务经费支持，保障了各村基层活动开展、服务群众和公共设施运维等工作。</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2.质量：公共服务设施维修质量符合相关标准，基层活动和服务群众活动有序开展，得到村民认可。</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3.时效：在规定时间内完成了所有资金的支出和项目的验收，符合进度计划。</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4.成本：严格控制在预算67.7万元内，无超支情况，资金无结余。经核查，无违规记录。</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1.经济效益：通过改善公共服务设施，降低了村民生产生活成本，如道路修缮方便了农产品运输，减少了运输损耗。同时，吸引了部分外部投资，促进了村集体经济发展。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2.社会效益：提升了基层组织的凝聚力和战斗力，丰富了村民的精神文化生活，改善了农村治安环境，促进了农村社会和谐稳定。</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3.生态效益：加强了农村环境治理，提高了村民的环保意识，改善了农村生态环境。</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4.可持续效益：建立了长效的公共服务设施维护机制，保障了公共服务的持续供给，为农村长期发展奠定了基础。</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5.满意度：通过问卷调查，群众满意度达到98%，部分群众提出希望增加公共服务项目种类和提高服务质量，总体反馈良好。</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项目围绕绩效目标顺利实施，资金使用规范，在提升村级公共服务水平、促进农村和谐发展方面成效显著，自评得分93分，综合评定为“优”。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2"/>
        <w:jc w:val="both"/>
        <w:rPr>
          <w:rFonts w:hint="eastAsia"/>
          <w:lang w:val="en-US" w:eastAsia="zh-CN"/>
        </w:rPr>
      </w:pPr>
    </w:p>
    <w:p>
      <w:pPr>
        <w:pStyle w:val="2"/>
        <w:jc w:val="both"/>
        <w:rPr>
          <w:rFonts w:hint="eastAsia"/>
          <w:lang w:val="en-US" w:eastAsia="zh-CN"/>
        </w:rPr>
      </w:pPr>
    </w:p>
    <w:p>
      <w:pPr>
        <w:ind w:left="0" w:leftChars="0" w:firstLine="0" w:firstLineChars="0"/>
        <w:jc w:val="center"/>
        <w:rPr>
          <w:rFonts w:hint="eastAsia"/>
        </w:rPr>
      </w:pPr>
      <w:r>
        <w:rPr>
          <w:rFonts w:hint="eastAsia" w:ascii="Times New Roman" w:hAnsi="Times New Roman" w:eastAsia="方正小标宋_GBK"/>
          <w:b/>
          <w:sz w:val="44"/>
          <w:szCs w:val="44"/>
        </w:rPr>
        <w:t>和爱村2023年美丽乡村项目绩效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1.乡镇政府职能：红格镇人民政府作为项目主管单位，负责统筹项目规划设计、组织施工建设、协调部门资源及监督资金使用，对接省级、县级部门落实政策要求，确保项目按美丽乡村建设标准落地。</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2.立项与申报依据：结合和爱村基础设施薄弱、人居环境亟待改善的实际需求申报，旨在打造“环境美、产业兴、民风淳”的示范村。</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4.资金分配原则：按项目建设紧迫性、惠及农户数量、示范带动效应分配，优先保障污水治理、道路硬化等民生急需项目，兼顾村容村貌整体提升。</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1.主要内容：美丽乡村建设及沿线风貌打造。</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2.具体绩效目标：对于全面深入持久做好社会经济发展工作，实现乡村振兴，民族复兴，具有极强的引领示范作用。</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3.目标合理性：申报内容与村庄实际需求匹配，量化指标可考核，进度计划符合农村施工周期，目标合理可行。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采用“资料核查+实地验收+村民访谈”方式进行综合评估。</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（一）资金申报及批复。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向上级部门申报省级资金210万元，2024年1月经县财政下达，无预算调整。</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项目资金属于县级财政资金，2024年下达210万元，项目资金到位率100%，资金到位及时。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资金使用：实际支出210万元，支付依据合规合法，资金支付与预算相符。</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账务处理及时，会计核算规范，无资金挪用或违规支出情况。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（一）组织架构及流程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按项目计划推进，成本控制在预算内，无违规记录。</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提升基础设施水平，改善村容村貌。</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项目全面完成预期目标，资金使用规范，人居环境改善成效显著，自评得分97分，评价等级为“优”。</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（二）存在问题。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p>
    <w:p>
      <w:pPr>
        <w:spacing w:line="0" w:lineRule="atLeast"/>
        <w:ind w:firstLine="0" w:firstLineChars="0"/>
        <w:jc w:val="center"/>
        <w:rPr>
          <w:rFonts w:hint="eastAsia" w:ascii="Times New Roman" w:hAnsi="Times New Roman" w:eastAsia="方正小标宋_GBK"/>
          <w:b/>
          <w:sz w:val="44"/>
          <w:szCs w:val="44"/>
        </w:rPr>
      </w:pPr>
    </w:p>
    <w:p>
      <w:pPr>
        <w:spacing w:line="0" w:lineRule="atLeast"/>
        <w:ind w:firstLine="0" w:firstLineChars="0"/>
        <w:jc w:val="center"/>
        <w:rPr>
          <w:rFonts w:hint="eastAsia" w:ascii="Times New Roman" w:hAnsi="Times New Roman" w:eastAsia="方正小标宋_GBK"/>
          <w:b/>
          <w:sz w:val="44"/>
          <w:szCs w:val="44"/>
        </w:rPr>
      </w:pP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红格片区中心敬老院床位升级改造项目</w:t>
      </w:r>
    </w:p>
    <w:p>
      <w:pPr>
        <w:spacing w:line="0" w:lineRule="atLeast"/>
        <w:ind w:firstLine="0" w:firstLineChars="0"/>
        <w:jc w:val="center"/>
        <w:rPr>
          <w:rFonts w:hint="eastAsia"/>
        </w:rPr>
      </w:pPr>
      <w:r>
        <w:rPr>
          <w:rFonts w:hint="eastAsia" w:ascii="Times New Roman" w:hAnsi="Times New Roman" w:eastAsia="方正小标宋_GBK"/>
          <w:b/>
          <w:sz w:val="44"/>
          <w:szCs w:val="44"/>
        </w:rPr>
        <w:t>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1.项目管理职能：红格镇人民政府负责项目的统筹协调、进度监管及资金使用审核，牵头组织设计、施工、验收等环节，确保改造工程符合敬老院运营需求。</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2.立项与申报依据：结合红格片区中心敬老院床位老旧、设施不足的现状，申报该项目以提升养老服务质量。</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3.资金分配原则：按敬老院实际床位数量、设施老化程度及服务覆盖范围分配，重点保障基础养老服务设施改善。</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1.主要内容：对红格片区中心敬老院120张床位进行升级改造。</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2.具体绩效目标：床位改造符合《养老机构设施设备基本配置规范》，入住老人满意度≥85%。申报内容与敬老院实际需求一致，目标量化可考核，进度计划合理。</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3.申报合理性：申报内容针对床位老旧、安全隐患等问题，目标设定符合养老服务提升需求，具备可行性。</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（三）项目自评步骤及方法。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通过查阅财务凭证、现场查验改造质量等方式开展绩效评价。</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（一）项目资金申报及批复情况。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向上级部门申报省级资金22.99万元，经县财政下达，无预算调整。</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项目资金属于省级财政资金，2024年下达22.99万元，项目资金到位率100%，资金到位及时。</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严格执行专款专用，账务处理及时，会计核算规范，资金支付凭证齐全。</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（一）项目组织架构及实施流程。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按项目计划推进，成本控制在预算内，无违规记录。</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社会效益：改善入住老人的居住条件，提升敬老院服务能力，为周边高龄老人提供更安全舒适的养老环境。</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可持续效益：适老化设施延长床位使用年限（预计使用10年以上），减少后期维护成本。</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服务对象满意度：设施便利性显著提升，入住老人满意。</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项目全面完成绩效目标，资金使用规范，管理流程透明，养老服务提升效果显著，自评得分94分，评价等级为“优”。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2"/>
        <w:jc w:val="both"/>
        <w:rPr>
          <w:rFonts w:hint="eastAsia" w:ascii="Times New Roman" w:hAnsi="Times New Roman" w:eastAsia="仿宋_GB2312" w:cs="Times New Roman"/>
          <w:sz w:val="32"/>
          <w:szCs w:val="32"/>
          <w:lang w:val="en-US" w:eastAsia="zh-CN"/>
        </w:rPr>
      </w:pP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联合村示范性旅游厕所项目绩效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1.项目管理职能：红格镇人民政府负责项目的统筹规划、组织实施及日常监管，协调各部门资源，确保项目按计划推进，监督资金使用及建设质量。</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2.立项与申报依据：结合联合村乡村旅游发展需求，申报该项目以完善旅游基础设施，提升游客体验。</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3.资金管理办法：严格遵循省级资金管理规定，资金用于示范性旅游厕所的新建，支持条件为旅游重点村且符合规划要求。</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4.资金分配原则：按项目建设规模、实际需求及旅游发展规划分配，重点考虑提升旅游公共服务能力。</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1.主要内容：在联合村新建1座示范性旅游厕所。</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2.具体绩效目标：厕所建设符合《旅游厕所质量等级的划分与评定》标准，配套设施齐全；受益游客及村民满意度达98%以上。申报内容与实际建设需求相符，目标合理可行，进度计划切实可行。</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（三）项目自评步骤及方法。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通过资料查阅、现场勘查等方式，对照绩效目标检查项目完成情况，分析资金使用效益。</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（一）项目资金申报及批复情况。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向上级部门申报省级资金12万元，经县财政下达，无预算调整。</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项目资金属于省级财政资金，2024年下达12万元，项目资金到位率100%，资金到位及时。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资金使用符合规定，支付范围、标准及进度合规，与预算相符。</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实施单位财务管理制度健全，严格执行财务制度，账务处理及时，会计核算规范。</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（一）项目组织架构及实施流程。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完成新建旅游厕所1座，质量符合标准，按时完成进度计划，成本控制在预算内，无违规记录。</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社会效益：改善联合村旅游公共服务条件，提升乡村旅游形象，方便游客及村民使用。</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经济效益：助力乡村旅游发展，带动周边餐饮、住宿等产业，增加村民收入。</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服务对象满意度：游客及村民满意度达98%以上。</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项目实现预期绩效目标，资金使用规范，管理到位，效益显著，自评得分97分，评价等级为“优”。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2"/>
        <w:jc w:val="both"/>
        <w:rPr>
          <w:rFonts w:hint="eastAsia" w:ascii="Times New Roman" w:hAnsi="Times New Roman" w:eastAsia="仿宋_GB2312" w:cs="Times New Roman"/>
          <w:sz w:val="32"/>
          <w:szCs w:val="32"/>
          <w:lang w:val="en-US" w:eastAsia="zh-CN"/>
        </w:rPr>
      </w:pPr>
    </w:p>
    <w:p>
      <w:pPr>
        <w:pStyle w:val="2"/>
        <w:jc w:val="both"/>
        <w:rPr>
          <w:rFonts w:hint="eastAsia"/>
          <w:lang w:val="en-US" w:eastAsia="zh-CN"/>
        </w:rPr>
      </w:pPr>
    </w:p>
    <w:p>
      <w:pPr>
        <w:spacing w:line="0" w:lineRule="atLeast"/>
        <w:ind w:firstLine="0" w:firstLineChars="0"/>
        <w:jc w:val="center"/>
        <w:rPr>
          <w:rFonts w:hint="eastAsia"/>
        </w:rPr>
      </w:pPr>
      <w:r>
        <w:rPr>
          <w:rFonts w:hint="eastAsia" w:ascii="Times New Roman" w:hAnsi="Times New Roman" w:eastAsia="方正小标宋_GBK"/>
          <w:b/>
          <w:sz w:val="44"/>
          <w:szCs w:val="44"/>
          <w:lang w:eastAsia="zh-CN"/>
        </w:rPr>
        <w:t>森林草原防灭火</w:t>
      </w:r>
      <w:r>
        <w:rPr>
          <w:rFonts w:hint="eastAsia" w:ascii="Times New Roman" w:hAnsi="Times New Roman" w:eastAsia="方正小标宋_GBK"/>
          <w:b/>
          <w:sz w:val="44"/>
          <w:szCs w:val="44"/>
        </w:rPr>
        <w:t>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镇人民政府作为项目实施主体，负责统筹辖区内森林防火及消防安全工作，具体职能包括组织防火巡查、配备消防设施、开展防火宣传、培训应急队伍及调度使用防火经费，确保资金专款专用并落实防火措施。</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2.立项及申报依据：资金申报以乡镇防火区域面积、隐患点数量及应急需求为依据。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4.资金分配原则：按防火重点区域（山林、密集居民区）风险等级、隐患点数量及应急队伍规模分配，优先保障高风险区域设备购置与巡查频次，兼顾日常防控与应急处置需求。</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1.主要内容：完善乡镇防火基础设施，提升应急处置能力，开展防火宣传与培训。</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时效目标：2024年全年常态化开展巡查、宣传等；</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质量指标：提高辖区群众防火意识，保护群众生命财产安全。</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3.目标合理性：申报内容与乡镇防火实际需求一致，目标合理可行。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通过查阅相关资料等进行综合评价。</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（一）资金申报及批复情况。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乡镇申报市级防火经费20万元，经县财政下达，无预算调整情况。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项目资金属于市级财政资金，2024年下达20万元，项目资金到位率100%，资金到位及时。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资金使用符合规定，支付范围、标准及进度合规，与预算相符。</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账务处理及时，会计核算规范，未发现违规使用资金问题。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（一）组织架构及实施流程。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（三）项目监管情况。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质量：提高辖区群众防火意识，保护群众生命财产安全；</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时效：时效目标：2024年全年常态化开展巡查、宣传等；</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成本：支出控制在预算内。</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经济效益：减少火灾事故造成的经济损失；</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社会效益：提升群众防火意识，全年未发生重大火灾，保障居民生命财产安全；</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生态效益：有效防范山林火灾，保护植被生态环境；</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可持续效益：建立常态化巡查机制，应急队伍具备持续处置能力；</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服务对象满意度：群众对防火工作满意度达95%。</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项目实现预期目标，资金使用规范，防火设施及机制完善，社会效益显著，自评得分95分，总体评价为“优”。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p>
    <w:p>
      <w:pPr>
        <w:spacing w:line="0" w:lineRule="atLeast"/>
        <w:ind w:firstLine="0" w:firstLineChars="0"/>
        <w:jc w:val="center"/>
        <w:rPr>
          <w:rFonts w:hint="eastAsia" w:ascii="Times New Roman" w:hAnsi="Times New Roman" w:eastAsia="方正小标宋_GBK"/>
          <w:b/>
          <w:sz w:val="44"/>
          <w:szCs w:val="44"/>
        </w:rPr>
      </w:pPr>
      <w:r>
        <w:rPr>
          <w:rFonts w:hint="eastAsia" w:ascii="Times New Roman" w:hAnsi="Times New Roman" w:eastAsia="方正小标宋_GBK"/>
          <w:b/>
          <w:sz w:val="44"/>
          <w:szCs w:val="44"/>
        </w:rPr>
        <w:t>田园综合体</w:t>
      </w:r>
      <w:r>
        <w:rPr>
          <w:rFonts w:hint="eastAsia" w:ascii="Times New Roman" w:hAnsi="Times New Roman" w:eastAsia="方正小标宋_GBK"/>
          <w:b/>
          <w:sz w:val="44"/>
          <w:szCs w:val="44"/>
          <w:lang w:eastAsia="zh-CN"/>
        </w:rPr>
        <w:t>建设</w:t>
      </w:r>
      <w:r>
        <w:rPr>
          <w:rFonts w:hint="eastAsia" w:ascii="Times New Roman" w:hAnsi="Times New Roman" w:eastAsia="方正小标宋_GBK"/>
          <w:b/>
          <w:sz w:val="44"/>
          <w:szCs w:val="44"/>
        </w:rPr>
        <w:t>项目绩效</w:t>
      </w:r>
      <w:r>
        <w:rPr>
          <w:rFonts w:hint="eastAsia" w:ascii="Times New Roman" w:hAnsi="Times New Roman" w:eastAsia="方正小标宋_GBK"/>
          <w:b/>
          <w:sz w:val="44"/>
          <w:szCs w:val="44"/>
          <w:lang w:eastAsia="zh-CN"/>
        </w:rPr>
        <w:t>评价</w:t>
      </w:r>
      <w:r>
        <w:rPr>
          <w:rFonts w:hint="eastAsia" w:ascii="Times New Roman" w:hAnsi="Times New Roman" w:eastAsia="方正小标宋_GBK"/>
          <w:b/>
          <w:sz w:val="44"/>
          <w:szCs w:val="44"/>
        </w:rPr>
        <w:t>报告</w:t>
      </w:r>
    </w:p>
    <w:p>
      <w:pPr>
        <w:jc w:val="both"/>
        <w:rPr>
          <w:rFonts w:hint="eastAsia" w:ascii="黑体" w:hAnsi="黑体" w:eastAsia="黑体" w:cs="黑体"/>
        </w:rPr>
      </w:pP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一、项目概况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（一）项目基本情况。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1.乡镇政府职能：红格镇人民政府作为项目实施主体，负责统筹项目规划、协调土地流转、推进基础设施建设、监督工程质量及资金使用，对接县级部门落实政策支持，确保项目按规划落地见效。</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2.立项与申报依据：结合本乡镇农业产业基础、生态资源及文旅特色申报，旨在打造“农业+文旅+康养”融合发展示范项目。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3.资金管理办法：该项目资金严格按照资金使用范围进行使用，根据项目实施进度及时拨付，确保资金及时到位。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4.资金分配原则：按项目建设规模、带动就业能力、生态效益及乡村振兴示范效应分配，优先保障产业链长、惠及农户多的重点项目。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1.主要内容：田间基础设施建设栈道及步道打造、融合中心、接待中心、综合厅等建设，田园综合体环线畅通等。</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2.具体绩效目标：</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进一步提升当地旅游文化产业发展的基础设施水平和村容村貌，同时有助于提升当地群众的凝聚力和归属感。项目建成后还将为红格地区创造更多就业机会，有利于推动区域经济协调健康发展。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目标合理性：申报内容与乡镇资源禀赋匹配，目标合理可行。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（三）自评步骤及方法。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用“资料审查+实地勘查”方式进行综合评估。</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（一）资金申报及批复。</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向上级部门申报省级资金3070.7万元，经县财政下达，无预算调整。</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（二）资金计划、到位及使用情况。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项目资金属于省级和县级财政资金，2024年下达3070.7万元，项目资金到位率100%，资金到位及时。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实际总支出3070.7万元，资金支付符合预算范围，按工程进度及审计报告拨付，合规率100%。</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（三）财务管理情况。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严格按《政府会计制度》核算，账务处理及时，无挪用、截留资金情况。</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（一）组织架构及流程。</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由红格镇牵头，结合工作开展和经费下达情况进行项目实施。明确工作职责，定期对项目实施情况实行监督管理，有效保障项目顺利推进。</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（二）项目管理情况。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该项目的实施符合相关的法律法律，严格按照项目管理制度执行。</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（三）监管情况。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对实施项目进行严格监管，对项目资金支付进行严格审批，资金使用合规率100%，未发现违规问题。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（一）项目完成情况。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按项目计划推进，成本控制在预算内，无违规记录。</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（二）项目效益情况。</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经济效益：吸引游客，促进当地经济发展；</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社会效益：促进就业，完善农村基础设施，改善村民生产生活条件；</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满意度：农户及游客满意度高。</w:t>
      </w:r>
    </w:p>
    <w:p>
      <w:pPr>
        <w:keepNext w:val="0"/>
        <w:keepLines w:val="0"/>
        <w:widowControl/>
        <w:suppressLineNumbers w:val="0"/>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（一）评价结论。</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项目全面完成预期目标，资金使用规范，经济、社会效益显著，自评得分95分，评价等级为“优”。</w:t>
      </w:r>
    </w:p>
    <w:p>
      <w:pPr>
        <w:keepNext w:val="0"/>
        <w:keepLines w:val="0"/>
        <w:widowControl/>
        <w:suppressLineNumbers w:val="0"/>
        <w:ind w:firstLine="643" w:firstLineChars="200"/>
        <w:jc w:val="both"/>
        <w:rPr>
          <w:rFonts w:hint="eastAsia" w:eastAsia="楷体_GB2312"/>
          <w:b/>
          <w:bCs/>
          <w:kern w:val="0"/>
          <w:sz w:val="32"/>
          <w:szCs w:val="32"/>
          <w:shd w:val="clear" w:color="auto" w:fill="FFFFFF"/>
          <w:lang w:val="en-US" w:eastAsia="zh-CN"/>
        </w:rPr>
      </w:pPr>
      <w:r>
        <w:rPr>
          <w:rFonts w:hint="eastAsia" w:eastAsia="楷体_GB2312"/>
          <w:b/>
          <w:bCs/>
          <w:kern w:val="0"/>
          <w:sz w:val="32"/>
          <w:szCs w:val="32"/>
          <w:shd w:val="clear" w:color="auto" w:fill="FFFFFF"/>
          <w:lang w:val="en-US" w:eastAsia="zh-CN"/>
        </w:rPr>
        <w:t>（二）存在问题。</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widowControl/>
        <w:suppressLineNumbers w:val="0"/>
        <w:ind w:firstLine="643" w:firstLineChars="200"/>
        <w:jc w:val="both"/>
        <w:rPr>
          <w:rFonts w:hint="eastAsia" w:ascii="Times New Roman" w:hAnsi="Times New Roman" w:eastAsia="仿宋_GB2312" w:cs="Times New Roman"/>
          <w:sz w:val="32"/>
          <w:szCs w:val="32"/>
          <w:lang w:val="en-US" w:eastAsia="zh-CN"/>
        </w:rPr>
      </w:pPr>
      <w:r>
        <w:rPr>
          <w:rFonts w:hint="eastAsia" w:eastAsia="楷体_GB2312"/>
          <w:b/>
          <w:bCs/>
          <w:kern w:val="0"/>
          <w:sz w:val="32"/>
          <w:szCs w:val="32"/>
          <w:shd w:val="clear" w:color="auto" w:fill="FFFFFF"/>
          <w:lang w:val="en-US" w:eastAsia="zh-CN"/>
        </w:rPr>
        <w:t>（三）相关建议。</w:t>
      </w:r>
    </w:p>
    <w:p>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spacing w:line="578" w:lineRule="exact"/>
        <w:jc w:val="both"/>
        <w:rPr>
          <w:rFonts w:eastAsia="仿宋_GB2312" w:cs="仿宋_GB2312"/>
          <w:kern w:val="0"/>
          <w:sz w:val="32"/>
          <w:szCs w:val="32"/>
        </w:rPr>
      </w:pPr>
    </w:p>
    <w:p>
      <w:pPr>
        <w:widowControl/>
        <w:jc w:val="center"/>
        <w:rPr>
          <w:rFonts w:eastAsia="仿宋"/>
        </w:rPr>
      </w:pPr>
      <w:r>
        <w:rPr>
          <w:rFonts w:hint="eastAsia" w:eastAsia="黑体"/>
          <w:sz w:val="44"/>
          <w:szCs w:val="44"/>
        </w:rPr>
        <w:t>第</w:t>
      </w:r>
      <w:r>
        <w:rPr>
          <w:rStyle w:val="30"/>
          <w:rFonts w:hint="eastAsia" w:eastAsia="黑体"/>
          <w:b w:val="0"/>
        </w:rPr>
        <w:t>五部分 附表</w:t>
      </w:r>
      <w:bookmarkEnd w:id="45"/>
      <w:bookmarkEnd w:id="48"/>
      <w:bookmarkStart w:id="49" w:name="_Toc15396619"/>
    </w:p>
    <w:p>
      <w:pPr>
        <w:pStyle w:val="16"/>
        <w:adjustRightInd w:val="0"/>
        <w:snapToGrid w:val="0"/>
        <w:spacing w:line="560" w:lineRule="exact"/>
        <w:jc w:val="both"/>
        <w:rPr>
          <w:rFonts w:eastAsia="仿宋_GB2312" w:cs="仿宋_GB2312"/>
          <w:sz w:val="32"/>
          <w:szCs w:val="32"/>
        </w:rPr>
      </w:pPr>
    </w:p>
    <w:p>
      <w:pPr>
        <w:pStyle w:val="16"/>
        <w:adjustRightInd w:val="0"/>
        <w:snapToGrid w:val="0"/>
        <w:spacing w:line="560" w:lineRule="exact"/>
        <w:jc w:val="both"/>
        <w:rPr>
          <w:rFonts w:eastAsia="仿宋_GB2312" w:cs="仿宋_GB2312"/>
          <w:sz w:val="32"/>
          <w:szCs w:val="32"/>
        </w:rPr>
      </w:pPr>
      <w:r>
        <w:rPr>
          <w:rFonts w:hint="eastAsia" w:eastAsia="仿宋_GB2312" w:cs="仿宋_GB2312"/>
          <w:sz w:val="32"/>
          <w:szCs w:val="32"/>
        </w:rPr>
        <w:t>一、收入支出决算总表</w:t>
      </w:r>
      <w:bookmarkEnd w:id="49"/>
    </w:p>
    <w:p>
      <w:pPr>
        <w:pStyle w:val="16"/>
        <w:adjustRightInd w:val="0"/>
        <w:snapToGrid w:val="0"/>
        <w:spacing w:line="560" w:lineRule="exact"/>
        <w:jc w:val="both"/>
        <w:rPr>
          <w:rFonts w:eastAsia="仿宋_GB2312" w:cs="仿宋_GB2312"/>
          <w:sz w:val="32"/>
          <w:szCs w:val="32"/>
        </w:rPr>
      </w:pPr>
      <w:bookmarkStart w:id="50" w:name="_Toc15396620"/>
      <w:r>
        <w:rPr>
          <w:rFonts w:hint="eastAsia" w:eastAsia="仿宋_GB2312" w:cs="仿宋_GB2312"/>
          <w:sz w:val="32"/>
          <w:szCs w:val="32"/>
        </w:rPr>
        <w:t>二、收入决算表</w:t>
      </w:r>
      <w:bookmarkEnd w:id="50"/>
    </w:p>
    <w:p>
      <w:pPr>
        <w:pStyle w:val="16"/>
        <w:adjustRightInd w:val="0"/>
        <w:snapToGrid w:val="0"/>
        <w:spacing w:line="560" w:lineRule="exact"/>
        <w:jc w:val="both"/>
        <w:rPr>
          <w:rFonts w:eastAsia="仿宋_GB2312" w:cs="仿宋_GB2312"/>
          <w:sz w:val="32"/>
          <w:szCs w:val="32"/>
        </w:rPr>
      </w:pPr>
      <w:bookmarkStart w:id="51" w:name="_Toc15396621"/>
      <w:r>
        <w:rPr>
          <w:rFonts w:hint="eastAsia" w:eastAsia="仿宋_GB2312" w:cs="仿宋_GB2312"/>
          <w:sz w:val="32"/>
          <w:szCs w:val="32"/>
        </w:rPr>
        <w:t>三、支出决算表</w:t>
      </w:r>
      <w:bookmarkEnd w:id="51"/>
    </w:p>
    <w:p>
      <w:pPr>
        <w:pStyle w:val="16"/>
        <w:adjustRightInd w:val="0"/>
        <w:snapToGrid w:val="0"/>
        <w:spacing w:line="560" w:lineRule="exact"/>
        <w:jc w:val="both"/>
        <w:rPr>
          <w:rFonts w:eastAsia="仿宋_GB2312" w:cs="仿宋_GB2312"/>
          <w:sz w:val="32"/>
          <w:szCs w:val="32"/>
        </w:rPr>
      </w:pPr>
      <w:bookmarkStart w:id="52" w:name="_Toc15396622"/>
      <w:r>
        <w:rPr>
          <w:rFonts w:hint="eastAsia" w:eastAsia="仿宋_GB2312" w:cs="仿宋_GB2312"/>
          <w:sz w:val="32"/>
          <w:szCs w:val="32"/>
        </w:rPr>
        <w:t>四、财政拨款收入支出决算总表</w:t>
      </w:r>
      <w:bookmarkEnd w:id="52"/>
    </w:p>
    <w:p>
      <w:pPr>
        <w:pStyle w:val="16"/>
        <w:adjustRightInd w:val="0"/>
        <w:snapToGrid w:val="0"/>
        <w:spacing w:line="560" w:lineRule="exact"/>
        <w:jc w:val="both"/>
        <w:rPr>
          <w:rFonts w:eastAsia="仿宋_GB2312" w:cs="仿宋_GB2312"/>
          <w:sz w:val="32"/>
          <w:szCs w:val="32"/>
        </w:rPr>
      </w:pPr>
      <w:bookmarkStart w:id="53" w:name="_Toc15396623"/>
      <w:r>
        <w:rPr>
          <w:rFonts w:hint="eastAsia" w:eastAsia="仿宋_GB2312" w:cs="仿宋_GB2312"/>
          <w:sz w:val="32"/>
          <w:szCs w:val="32"/>
        </w:rPr>
        <w:t>五、财政拨款支出决算明细表</w:t>
      </w:r>
      <w:bookmarkEnd w:id="53"/>
      <w:bookmarkStart w:id="54" w:name="_Toc15396624"/>
    </w:p>
    <w:p>
      <w:pPr>
        <w:pStyle w:val="16"/>
        <w:adjustRightInd w:val="0"/>
        <w:snapToGrid w:val="0"/>
        <w:spacing w:line="560" w:lineRule="exact"/>
        <w:jc w:val="both"/>
        <w:rPr>
          <w:rFonts w:eastAsia="仿宋_GB2312" w:cs="仿宋_GB2312"/>
          <w:sz w:val="32"/>
          <w:szCs w:val="32"/>
        </w:rPr>
      </w:pPr>
      <w:r>
        <w:rPr>
          <w:rFonts w:hint="eastAsia" w:eastAsia="仿宋_GB2312" w:cs="仿宋_GB2312"/>
          <w:sz w:val="32"/>
          <w:szCs w:val="32"/>
        </w:rPr>
        <w:t>六、一般公共预算财政拨款支出决算表</w:t>
      </w:r>
      <w:bookmarkEnd w:id="54"/>
    </w:p>
    <w:p>
      <w:pPr>
        <w:pStyle w:val="16"/>
        <w:adjustRightInd w:val="0"/>
        <w:snapToGrid w:val="0"/>
        <w:spacing w:line="560" w:lineRule="exact"/>
        <w:jc w:val="both"/>
        <w:rPr>
          <w:rFonts w:eastAsia="仿宋_GB2312" w:cs="仿宋_GB2312"/>
          <w:sz w:val="32"/>
          <w:szCs w:val="32"/>
        </w:rPr>
      </w:pPr>
      <w:bookmarkStart w:id="55" w:name="_Toc15396625"/>
      <w:r>
        <w:rPr>
          <w:rFonts w:hint="eastAsia" w:eastAsia="仿宋_GB2312" w:cs="仿宋_GB2312"/>
          <w:sz w:val="32"/>
          <w:szCs w:val="32"/>
        </w:rPr>
        <w:t>七、一般公共预算财政拨款支出决算明细表</w:t>
      </w:r>
      <w:bookmarkEnd w:id="55"/>
    </w:p>
    <w:p>
      <w:pPr>
        <w:pStyle w:val="16"/>
        <w:adjustRightInd w:val="0"/>
        <w:snapToGrid w:val="0"/>
        <w:spacing w:line="560" w:lineRule="exact"/>
        <w:jc w:val="both"/>
        <w:rPr>
          <w:rFonts w:eastAsia="仿宋_GB2312" w:cs="仿宋_GB2312"/>
          <w:sz w:val="32"/>
          <w:szCs w:val="32"/>
        </w:rPr>
      </w:pPr>
      <w:bookmarkStart w:id="56" w:name="_Toc15396626"/>
      <w:r>
        <w:rPr>
          <w:rFonts w:hint="eastAsia" w:eastAsia="仿宋_GB2312" w:cs="仿宋_GB2312"/>
          <w:sz w:val="32"/>
          <w:szCs w:val="32"/>
        </w:rPr>
        <w:t>八、一般公共预算财政拨款基本支出决算表</w:t>
      </w:r>
      <w:bookmarkEnd w:id="56"/>
    </w:p>
    <w:p>
      <w:pPr>
        <w:pStyle w:val="16"/>
        <w:adjustRightInd w:val="0"/>
        <w:snapToGrid w:val="0"/>
        <w:spacing w:line="560" w:lineRule="exact"/>
        <w:jc w:val="both"/>
        <w:rPr>
          <w:rFonts w:eastAsia="仿宋_GB2312" w:cs="仿宋_GB2312"/>
          <w:sz w:val="32"/>
          <w:szCs w:val="32"/>
        </w:rPr>
      </w:pPr>
      <w:bookmarkStart w:id="57" w:name="_Toc15396627"/>
      <w:r>
        <w:rPr>
          <w:rFonts w:hint="eastAsia" w:eastAsia="仿宋_GB2312" w:cs="仿宋_GB2312"/>
          <w:sz w:val="32"/>
          <w:szCs w:val="32"/>
        </w:rPr>
        <w:t>九、一般公共预算财政拨款项目支出决算表</w:t>
      </w:r>
      <w:bookmarkEnd w:id="57"/>
    </w:p>
    <w:p>
      <w:pPr>
        <w:pStyle w:val="16"/>
        <w:adjustRightInd w:val="0"/>
        <w:snapToGrid w:val="0"/>
        <w:spacing w:line="560" w:lineRule="exact"/>
        <w:jc w:val="both"/>
        <w:rPr>
          <w:rFonts w:eastAsia="仿宋_GB2312" w:cs="仿宋_GB2312"/>
          <w:sz w:val="32"/>
          <w:szCs w:val="32"/>
        </w:rPr>
      </w:pPr>
      <w:bookmarkStart w:id="58" w:name="_Toc15396628"/>
      <w:r>
        <w:rPr>
          <w:rFonts w:hint="eastAsia" w:eastAsia="仿宋_GB2312" w:cs="仿宋_GB2312"/>
          <w:sz w:val="32"/>
          <w:szCs w:val="32"/>
        </w:rPr>
        <w:t>十、</w:t>
      </w:r>
      <w:bookmarkEnd w:id="58"/>
      <w:r>
        <w:rPr>
          <w:rFonts w:hint="eastAsia" w:eastAsia="仿宋_GB2312" w:cs="仿宋_GB2312"/>
          <w:sz w:val="32"/>
          <w:szCs w:val="32"/>
        </w:rPr>
        <w:t>政府性基金预算财政拨款收入支出决算表</w:t>
      </w:r>
    </w:p>
    <w:p>
      <w:pPr>
        <w:pStyle w:val="16"/>
        <w:adjustRightInd w:val="0"/>
        <w:snapToGrid w:val="0"/>
        <w:spacing w:line="560" w:lineRule="exact"/>
        <w:jc w:val="both"/>
        <w:rPr>
          <w:rFonts w:eastAsia="仿宋_GB2312" w:cs="仿宋_GB2312"/>
          <w:sz w:val="32"/>
          <w:szCs w:val="32"/>
        </w:rPr>
      </w:pPr>
      <w:bookmarkStart w:id="59" w:name="_Toc15396629"/>
      <w:r>
        <w:rPr>
          <w:rFonts w:hint="eastAsia" w:eastAsia="仿宋_GB2312" w:cs="仿宋_GB2312"/>
          <w:sz w:val="32"/>
          <w:szCs w:val="32"/>
        </w:rPr>
        <w:t>十一、</w:t>
      </w:r>
      <w:bookmarkEnd w:id="59"/>
      <w:r>
        <w:rPr>
          <w:rFonts w:hint="eastAsia" w:eastAsia="仿宋_GB2312" w:cs="仿宋_GB2312"/>
          <w:sz w:val="32"/>
          <w:szCs w:val="32"/>
        </w:rPr>
        <w:t>国有资本经营预算财政拨款收入支出决算表</w:t>
      </w:r>
    </w:p>
    <w:p>
      <w:pPr>
        <w:pStyle w:val="16"/>
        <w:adjustRightInd w:val="0"/>
        <w:snapToGrid w:val="0"/>
        <w:spacing w:line="560" w:lineRule="exact"/>
        <w:jc w:val="both"/>
        <w:rPr>
          <w:rFonts w:eastAsia="仿宋_GB2312" w:cs="仿宋_GB2312"/>
          <w:sz w:val="32"/>
          <w:szCs w:val="32"/>
        </w:rPr>
      </w:pPr>
      <w:bookmarkStart w:id="60" w:name="_Toc15396630"/>
      <w:r>
        <w:rPr>
          <w:rFonts w:hint="eastAsia" w:eastAsia="仿宋_GB2312" w:cs="仿宋_GB2312"/>
          <w:sz w:val="32"/>
          <w:szCs w:val="32"/>
        </w:rPr>
        <w:t>十二、</w:t>
      </w:r>
      <w:bookmarkEnd w:id="60"/>
      <w:r>
        <w:rPr>
          <w:rFonts w:hint="eastAsia" w:eastAsia="仿宋_GB2312" w:cs="仿宋_GB2312"/>
          <w:sz w:val="32"/>
          <w:szCs w:val="32"/>
        </w:rPr>
        <w:t>国有资本经营预算财政拨款支出决算表</w:t>
      </w:r>
    </w:p>
    <w:p>
      <w:pPr>
        <w:pStyle w:val="16"/>
        <w:adjustRightInd w:val="0"/>
        <w:snapToGrid w:val="0"/>
        <w:spacing w:line="560" w:lineRule="exact"/>
        <w:jc w:val="both"/>
        <w:rPr>
          <w:rFonts w:eastAsia="仿宋_GB2312" w:cs="仿宋_GB2312"/>
          <w:sz w:val="32"/>
          <w:szCs w:val="32"/>
        </w:rPr>
      </w:pPr>
      <w:bookmarkStart w:id="61" w:name="_Toc15396631"/>
      <w:r>
        <w:rPr>
          <w:rFonts w:hint="eastAsia" w:eastAsia="仿宋_GB2312" w:cs="仿宋_GB2312"/>
          <w:sz w:val="32"/>
          <w:szCs w:val="32"/>
        </w:rPr>
        <w:t>十三、</w:t>
      </w:r>
      <w:bookmarkEnd w:id="61"/>
      <w:r>
        <w:rPr>
          <w:rFonts w:hint="eastAsia" w:eastAsia="仿宋_GB2312" w:cs="仿宋_GB2312"/>
          <w:sz w:val="32"/>
          <w:szCs w:val="32"/>
        </w:rPr>
        <w:t>财政拨款“三公”经费支出决算表</w:t>
      </w:r>
    </w:p>
    <w:p>
      <w:pPr>
        <w:jc w:val="both"/>
      </w:pPr>
    </w:p>
    <w:sectPr>
      <w:footerReference r:id="rId7" w:type="firs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E679B"/>
    <w:multiLevelType w:val="singleLevel"/>
    <w:tmpl w:val="BFEE679B"/>
    <w:lvl w:ilvl="0" w:tentative="0">
      <w:start w:val="2"/>
      <w:numFmt w:val="chineseCounting"/>
      <w:suff w:val="nothing"/>
      <w:lvlText w:val="（%1）"/>
      <w:lvlJc w:val="left"/>
      <w:rPr>
        <w:rFonts w:hint="eastAsia"/>
      </w:rPr>
    </w:lvl>
  </w:abstractNum>
  <w:abstractNum w:abstractNumId="1">
    <w:nsid w:val="F5F954C5"/>
    <w:multiLevelType w:val="singleLevel"/>
    <w:tmpl w:val="F5F954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09CA"/>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1414AD"/>
    <w:rsid w:val="02AF2D8D"/>
    <w:rsid w:val="02FEBE30"/>
    <w:rsid w:val="04916F1E"/>
    <w:rsid w:val="061E35DE"/>
    <w:rsid w:val="066E0107"/>
    <w:rsid w:val="07996F6E"/>
    <w:rsid w:val="07DFD8BA"/>
    <w:rsid w:val="08EC1DF0"/>
    <w:rsid w:val="09867E8F"/>
    <w:rsid w:val="0A2032A3"/>
    <w:rsid w:val="0B0D0198"/>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4753A8"/>
    <w:rsid w:val="19A445FC"/>
    <w:rsid w:val="1BAD4F97"/>
    <w:rsid w:val="1BE8440E"/>
    <w:rsid w:val="1CC6347C"/>
    <w:rsid w:val="1D155CEE"/>
    <w:rsid w:val="1D1638FE"/>
    <w:rsid w:val="1E312DEB"/>
    <w:rsid w:val="1E740ACF"/>
    <w:rsid w:val="1F54210E"/>
    <w:rsid w:val="1FF35744"/>
    <w:rsid w:val="1FF6BC77"/>
    <w:rsid w:val="2186353C"/>
    <w:rsid w:val="23860B96"/>
    <w:rsid w:val="240371BF"/>
    <w:rsid w:val="244F3473"/>
    <w:rsid w:val="24731812"/>
    <w:rsid w:val="24C97D99"/>
    <w:rsid w:val="25A718F0"/>
    <w:rsid w:val="25BB59F6"/>
    <w:rsid w:val="260F557C"/>
    <w:rsid w:val="26970054"/>
    <w:rsid w:val="26EF4580"/>
    <w:rsid w:val="281408E2"/>
    <w:rsid w:val="28BA64E5"/>
    <w:rsid w:val="29FD04D3"/>
    <w:rsid w:val="2A2604A7"/>
    <w:rsid w:val="2BF85CA7"/>
    <w:rsid w:val="2BFF7BC6"/>
    <w:rsid w:val="2C8A61B5"/>
    <w:rsid w:val="2D707F6F"/>
    <w:rsid w:val="2DF04E50"/>
    <w:rsid w:val="2E586DFA"/>
    <w:rsid w:val="2F040D46"/>
    <w:rsid w:val="2F6B035B"/>
    <w:rsid w:val="2FAE5751"/>
    <w:rsid w:val="2FB1A395"/>
    <w:rsid w:val="2FD9A7D8"/>
    <w:rsid w:val="2FDBF714"/>
    <w:rsid w:val="30AB6865"/>
    <w:rsid w:val="319F7F4E"/>
    <w:rsid w:val="32BD1EF1"/>
    <w:rsid w:val="32F1174D"/>
    <w:rsid w:val="3304709D"/>
    <w:rsid w:val="337E13FC"/>
    <w:rsid w:val="33A773CB"/>
    <w:rsid w:val="349D6851"/>
    <w:rsid w:val="363957AF"/>
    <w:rsid w:val="36AA5135"/>
    <w:rsid w:val="36BE0DA7"/>
    <w:rsid w:val="376B6AA6"/>
    <w:rsid w:val="376D39B2"/>
    <w:rsid w:val="37E16F03"/>
    <w:rsid w:val="37F53A3B"/>
    <w:rsid w:val="389B6C89"/>
    <w:rsid w:val="38D469F0"/>
    <w:rsid w:val="39320EB8"/>
    <w:rsid w:val="39627CCD"/>
    <w:rsid w:val="397BAF1F"/>
    <w:rsid w:val="3AB79AF3"/>
    <w:rsid w:val="3AE834C0"/>
    <w:rsid w:val="3B7EF35A"/>
    <w:rsid w:val="3B9FDB6C"/>
    <w:rsid w:val="3BF5BC2F"/>
    <w:rsid w:val="3CEBA265"/>
    <w:rsid w:val="3D98207C"/>
    <w:rsid w:val="3DEE7CF3"/>
    <w:rsid w:val="3E740A63"/>
    <w:rsid w:val="3E78745D"/>
    <w:rsid w:val="3E962A31"/>
    <w:rsid w:val="3EE17838"/>
    <w:rsid w:val="3F55381A"/>
    <w:rsid w:val="3F7F7599"/>
    <w:rsid w:val="3FF4CAE0"/>
    <w:rsid w:val="3FF7B227"/>
    <w:rsid w:val="42674135"/>
    <w:rsid w:val="43CC351F"/>
    <w:rsid w:val="44E268DA"/>
    <w:rsid w:val="450D13D7"/>
    <w:rsid w:val="453F0B7D"/>
    <w:rsid w:val="45506656"/>
    <w:rsid w:val="47E06BFC"/>
    <w:rsid w:val="486A6C7A"/>
    <w:rsid w:val="48EC6166"/>
    <w:rsid w:val="4A1A0365"/>
    <w:rsid w:val="4A623617"/>
    <w:rsid w:val="4A627F82"/>
    <w:rsid w:val="4B0E749A"/>
    <w:rsid w:val="4B2477C4"/>
    <w:rsid w:val="4B4F25DA"/>
    <w:rsid w:val="4BE068DB"/>
    <w:rsid w:val="4CCA0F28"/>
    <w:rsid w:val="4D1E68D4"/>
    <w:rsid w:val="4D577224"/>
    <w:rsid w:val="4DBF1CEB"/>
    <w:rsid w:val="4DF0007C"/>
    <w:rsid w:val="4EAB630A"/>
    <w:rsid w:val="4ECE2238"/>
    <w:rsid w:val="4F833267"/>
    <w:rsid w:val="4FE9BD67"/>
    <w:rsid w:val="4FFB052F"/>
    <w:rsid w:val="50735429"/>
    <w:rsid w:val="528E48AC"/>
    <w:rsid w:val="53367A40"/>
    <w:rsid w:val="537E6D0A"/>
    <w:rsid w:val="53F74C96"/>
    <w:rsid w:val="55170BA8"/>
    <w:rsid w:val="553218C9"/>
    <w:rsid w:val="567E1AA5"/>
    <w:rsid w:val="56E47B74"/>
    <w:rsid w:val="57175D52"/>
    <w:rsid w:val="57BD3DD4"/>
    <w:rsid w:val="597E0827"/>
    <w:rsid w:val="5AF92295"/>
    <w:rsid w:val="5B250254"/>
    <w:rsid w:val="5B610C7B"/>
    <w:rsid w:val="5BC8718F"/>
    <w:rsid w:val="5BDD79E6"/>
    <w:rsid w:val="5BF561CA"/>
    <w:rsid w:val="5BFF5DFC"/>
    <w:rsid w:val="5CD71FC4"/>
    <w:rsid w:val="5D1F11B5"/>
    <w:rsid w:val="5D695134"/>
    <w:rsid w:val="5DAE1B18"/>
    <w:rsid w:val="5DE7D9E5"/>
    <w:rsid w:val="5E801E25"/>
    <w:rsid w:val="5ECEC941"/>
    <w:rsid w:val="5F111933"/>
    <w:rsid w:val="5FBF9FF3"/>
    <w:rsid w:val="5FCD4E2C"/>
    <w:rsid w:val="5FEF394A"/>
    <w:rsid w:val="5FF67715"/>
    <w:rsid w:val="62BF3928"/>
    <w:rsid w:val="63B3701E"/>
    <w:rsid w:val="647F5392"/>
    <w:rsid w:val="650533E3"/>
    <w:rsid w:val="652B51C0"/>
    <w:rsid w:val="65E66580"/>
    <w:rsid w:val="664B1D71"/>
    <w:rsid w:val="664B4E8E"/>
    <w:rsid w:val="67277B67"/>
    <w:rsid w:val="67AA3209"/>
    <w:rsid w:val="698D0931"/>
    <w:rsid w:val="6A7FE5F3"/>
    <w:rsid w:val="6AB80868"/>
    <w:rsid w:val="6B053271"/>
    <w:rsid w:val="6BDD78B3"/>
    <w:rsid w:val="6C4A05C8"/>
    <w:rsid w:val="6C8742B8"/>
    <w:rsid w:val="6DBF5E93"/>
    <w:rsid w:val="6DFF077E"/>
    <w:rsid w:val="6E223AFD"/>
    <w:rsid w:val="6E714EF0"/>
    <w:rsid w:val="6E7E3605"/>
    <w:rsid w:val="6E7FDCC7"/>
    <w:rsid w:val="6ED6A62E"/>
    <w:rsid w:val="6EE00B15"/>
    <w:rsid w:val="6F6FB3EB"/>
    <w:rsid w:val="6F832AEA"/>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3002C2"/>
    <w:rsid w:val="744731E5"/>
    <w:rsid w:val="74BBD01D"/>
    <w:rsid w:val="74ED5379"/>
    <w:rsid w:val="75B1638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A9195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next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TotalTime>72</TotalTime>
  <ScaleCrop>false</ScaleCrop>
  <LinksUpToDate>false</LinksUpToDate>
  <CharactersWithSpaces>8880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2025-12-04T02:58:07Z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04787F2533EB45DC91BCDE4AB213247F</vt:lpwstr>
  </property>
</Properties>
</file>