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06267"/>
      <w:bookmarkStart w:id="1" w:name="_Toc15396475"/>
      <w:bookmarkStart w:id="2" w:name="_Toc15378441"/>
      <w:bookmarkStart w:id="3" w:name="_Toc15377425"/>
      <w:bookmarkStart w:id="4" w:name="_Toc15377193"/>
      <w:bookmarkStart w:id="5" w:name="_Toc15396597"/>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国胜乡</w:t>
      </w:r>
      <w:r>
        <w:rPr>
          <w:rFonts w:hint="eastAsia" w:ascii="Times New Roman" w:eastAsia="方正小标宋简体"/>
          <w:kern w:val="2"/>
          <w:sz w:val="72"/>
          <w:szCs w:val="72"/>
        </w:rPr>
        <w:t>单位决算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9"/>
        <w:rPr>
          <w:rFonts w:eastAsia="方正小标宋简体"/>
          <w:sz w:val="72"/>
          <w:szCs w:val="72"/>
        </w:rPr>
      </w:pPr>
    </w:p>
    <w:p>
      <w:pPr>
        <w:pStyle w:val="2"/>
        <w:spacing w:after="156"/>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6235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eastAsia="黑体"/>
              <w:sz w:val="48"/>
              <w:szCs w:val="48"/>
            </w:rPr>
          </w:pPr>
          <w:r>
            <w:rPr>
              <w:rFonts w:hint="eastAsia" w:eastAsia="黑体"/>
              <w:sz w:val="48"/>
              <w:szCs w:val="48"/>
            </w:rPr>
            <w:t>目录</w:t>
          </w:r>
        </w:p>
        <w:p>
          <w:pPr>
            <w:pStyle w:val="13"/>
            <w:rPr>
              <w:rFonts w:hint="eastAsia"/>
            </w:rPr>
          </w:pPr>
          <w:r>
            <w:rPr>
              <w:rFonts w:hint="eastAsia" w:ascii="Times New Roman" w:hAnsi="Times New Roman" w:eastAsia="仿宋_GB2312" w:cs="仿宋_GB2312"/>
            </w:rPr>
            <w:t>公开时间：2025年10月  日</w:t>
          </w:r>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_Toc31372 </w:instrText>
          </w:r>
          <w:r>
            <w:fldChar w:fldCharType="separate"/>
          </w:r>
          <w:r>
            <w:rPr>
              <w:rFonts w:hint="eastAsia" w:eastAsia="方正小标宋简体" w:cs="方正小标宋简体"/>
            </w:rPr>
            <w:t xml:space="preserve">第一部分  </w:t>
          </w:r>
          <w:r>
            <w:rPr>
              <w:rFonts w:hint="eastAsia" w:eastAsia="方正小标宋简体" w:cs="方正小标宋简体"/>
              <w:bCs w:val="0"/>
            </w:rPr>
            <w:t>单位概况</w:t>
          </w:r>
          <w:r>
            <w:tab/>
          </w:r>
          <w:r>
            <w:fldChar w:fldCharType="begin"/>
          </w:r>
          <w:r>
            <w:instrText xml:space="preserve"> PAGEREF _Toc31372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_Toc29557 </w:instrText>
          </w:r>
          <w:r>
            <w:fldChar w:fldCharType="separate"/>
          </w:r>
          <w:r>
            <w:rPr>
              <w:rFonts w:hint="eastAsia" w:ascii="Times New Roman" w:hAnsi="Times New Roman" w:eastAsia="黑体"/>
              <w:lang w:val="en-US" w:eastAsia="zh-CN"/>
            </w:rPr>
            <w:t>一、</w:t>
          </w:r>
          <w:r>
            <w:rPr>
              <w:rFonts w:hint="eastAsia" w:ascii="Times New Roman" w:hAnsi="Times New Roman" w:eastAsia="黑体"/>
            </w:rPr>
            <w:t>主要职责</w:t>
          </w:r>
          <w:r>
            <w:tab/>
          </w:r>
          <w:r>
            <w:fldChar w:fldCharType="begin"/>
          </w:r>
          <w:r>
            <w:instrText xml:space="preserve"> PAGEREF _Toc29557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_Toc28855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_Toc28855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_Toc21929 </w:instrText>
          </w:r>
          <w:r>
            <w:fldChar w:fldCharType="separate"/>
          </w:r>
          <w:r>
            <w:rPr>
              <w:rFonts w:hint="eastAsia" w:eastAsia="方正小标宋简体" w:cs="方正小标宋简体"/>
            </w:rPr>
            <w:t>第二部分  2024年度</w:t>
          </w:r>
          <w:r>
            <w:rPr>
              <w:rFonts w:hint="eastAsia" w:eastAsia="方正小标宋简体" w:cs="方正小标宋简体"/>
              <w:lang w:val="en-US" w:eastAsia="zh-CN"/>
            </w:rPr>
            <w:t>单位</w:t>
          </w:r>
          <w:r>
            <w:rPr>
              <w:rFonts w:hint="eastAsia" w:eastAsia="方正小标宋简体" w:cs="方正小标宋简体"/>
            </w:rPr>
            <w:t>决算情况说明</w:t>
          </w:r>
          <w:r>
            <w:tab/>
          </w:r>
          <w:r>
            <w:fldChar w:fldCharType="begin"/>
          </w:r>
          <w:r>
            <w:instrText xml:space="preserve"> PAGEREF _Toc21929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_Toc4764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_Toc4764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_Toc21145 </w:instrText>
          </w:r>
          <w:r>
            <w:fldChar w:fldCharType="separate"/>
          </w:r>
          <w:r>
            <w:rPr>
              <w:rFonts w:hint="eastAsia" w:eastAsia="黑体"/>
              <w:szCs w:val="32"/>
            </w:rPr>
            <w:t>二、收入决算情况说明</w:t>
          </w:r>
          <w:r>
            <w:tab/>
          </w:r>
          <w:r>
            <w:fldChar w:fldCharType="begin"/>
          </w:r>
          <w:r>
            <w:instrText xml:space="preserve"> PAGEREF _Toc21145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_Toc16275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_Toc16275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_Toc32134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_Toc32134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_Toc20982 </w:instrText>
          </w:r>
          <w:r>
            <w:fldChar w:fldCharType="separate"/>
          </w:r>
          <w:r>
            <w:rPr>
              <w:rFonts w:hint="eastAsia" w:ascii="Times New Roman" w:hAnsi="Times New Roman" w:eastAsia="黑体"/>
              <w:lang w:val="en-US" w:eastAsia="zh-CN" w:bidi="ar-SA"/>
            </w:rPr>
            <w:t>五、一般公共预算财政拨款支出决算情况说明</w:t>
          </w:r>
          <w:r>
            <w:tab/>
          </w:r>
          <w:r>
            <w:fldChar w:fldCharType="begin"/>
          </w:r>
          <w:r>
            <w:instrText xml:space="preserve"> PAGEREF _Toc20982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_Toc4861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_Toc4861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_Toc6483 </w:instrText>
          </w:r>
          <w:r>
            <w:fldChar w:fldCharType="separate"/>
          </w:r>
          <w:r>
            <w:rPr>
              <w:rFonts w:hint="eastAsia" w:eastAsia="楷体_GB2312" w:cs="楷体_GB2312"/>
              <w:szCs w:val="32"/>
            </w:rPr>
            <w:t>（二）一般公共预算财政拨款支出决算结构情况</w:t>
          </w:r>
          <w:r>
            <w:tab/>
          </w:r>
          <w:r>
            <w:fldChar w:fldCharType="begin"/>
          </w:r>
          <w:r>
            <w:instrText xml:space="preserve"> PAGEREF _Toc6483 \h </w:instrText>
          </w:r>
          <w:r>
            <w:fldChar w:fldCharType="separate"/>
          </w:r>
          <w:r>
            <w:t>8</w:t>
          </w:r>
          <w:r>
            <w:fldChar w:fldCharType="end"/>
          </w:r>
          <w:r>
            <w:fldChar w:fldCharType="end"/>
          </w:r>
        </w:p>
        <w:p>
          <w:pPr>
            <w:pStyle w:val="15"/>
            <w:tabs>
              <w:tab w:val="right" w:leader="dot" w:pos="8306"/>
              <w:tab w:val="clear" w:pos="8296"/>
            </w:tabs>
          </w:pPr>
          <w:r>
            <w:fldChar w:fldCharType="begin"/>
          </w:r>
          <w:r>
            <w:instrText xml:space="preserve"> HYPERLINK \l _Toc23739 </w:instrText>
          </w:r>
          <w:r>
            <w:fldChar w:fldCharType="separate"/>
          </w:r>
          <w:r>
            <w:rPr>
              <w:rFonts w:hint="eastAsia" w:eastAsia="楷体_GB2312" w:cs="楷体_GB2312"/>
              <w:szCs w:val="32"/>
            </w:rPr>
            <w:t>（三）一般公共预算财政拨款支出决算具体情况</w:t>
          </w:r>
          <w:r>
            <w:tab/>
          </w:r>
          <w:r>
            <w:fldChar w:fldCharType="begin"/>
          </w:r>
          <w:r>
            <w:instrText xml:space="preserve"> PAGEREF _Toc23739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_Toc14135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_Toc14135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_Toc471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_Toc471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_Toc31535 </w:instrText>
          </w:r>
          <w:r>
            <w:fldChar w:fldCharType="separate"/>
          </w:r>
          <w:r>
            <w:rPr>
              <w:rFonts w:hint="default" w:ascii="Times New Roman" w:hAnsi="Times New Roman" w:eastAsia="楷体_GB2312" w:cs="Times New Roman"/>
              <w:szCs w:val="32"/>
            </w:rPr>
            <w:t>（一）“三公”经费财政拨款支出决算总体情况说明</w:t>
          </w:r>
          <w:r>
            <w:tab/>
          </w:r>
          <w:r>
            <w:fldChar w:fldCharType="begin"/>
          </w:r>
          <w:r>
            <w:instrText xml:space="preserve"> PAGEREF _Toc31535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_Toc3379 </w:instrText>
          </w:r>
          <w:r>
            <w:fldChar w:fldCharType="separate"/>
          </w:r>
          <w:r>
            <w:rPr>
              <w:rFonts w:hint="default" w:ascii="Times New Roman" w:hAnsi="Times New Roman" w:eastAsia="楷体_GB2312" w:cs="Times New Roman"/>
              <w:szCs w:val="32"/>
            </w:rPr>
            <w:t>（二）“三公”经费财政拨款支出决算具体情况说明</w:t>
          </w:r>
          <w:r>
            <w:tab/>
          </w:r>
          <w:r>
            <w:fldChar w:fldCharType="begin"/>
          </w:r>
          <w:r>
            <w:instrText xml:space="preserve"> PAGEREF _Toc3379 \h </w:instrText>
          </w:r>
          <w:r>
            <w:fldChar w:fldCharType="separate"/>
          </w:r>
          <w:r>
            <w:t>12</w:t>
          </w:r>
          <w:r>
            <w:fldChar w:fldCharType="end"/>
          </w:r>
          <w:r>
            <w:fldChar w:fldCharType="end"/>
          </w:r>
        </w:p>
        <w:p>
          <w:pPr>
            <w:pStyle w:val="13"/>
            <w:tabs>
              <w:tab w:val="right" w:leader="dot" w:pos="8306"/>
              <w:tab w:val="clear" w:pos="8296"/>
            </w:tabs>
          </w:pPr>
          <w:r>
            <w:fldChar w:fldCharType="begin"/>
          </w:r>
          <w:r>
            <w:instrText xml:space="preserve"> HYPERLINK \l _Toc32753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_Toc32753 \h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_Toc1156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_Toc1156 \h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_Toc6872 </w:instrText>
          </w:r>
          <w:r>
            <w:fldChar w:fldCharType="separate"/>
          </w:r>
          <w:r>
            <w:rPr>
              <w:rFonts w:hint="eastAsia" w:ascii="Times New Roman" w:hAnsi="Times New Roman" w:eastAsia="黑体"/>
            </w:rPr>
            <w:t>十、其他重要事项的情况说明</w:t>
          </w:r>
          <w:r>
            <w:tab/>
          </w:r>
          <w:r>
            <w:fldChar w:fldCharType="begin"/>
          </w:r>
          <w:r>
            <w:instrText xml:space="preserve"> PAGEREF _Toc6872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_Toc31847 </w:instrText>
          </w:r>
          <w:r>
            <w:fldChar w:fldCharType="separate"/>
          </w:r>
          <w:r>
            <w:rPr>
              <w:rFonts w:hint="default" w:ascii="Times New Roman" w:hAnsi="Times New Roman" w:eastAsia="楷体_GB2312" w:cs="Times New Roman"/>
              <w:szCs w:val="32"/>
            </w:rPr>
            <w:t>（一）机关运行经费支出情况</w:t>
          </w:r>
          <w:r>
            <w:tab/>
          </w:r>
          <w:r>
            <w:fldChar w:fldCharType="begin"/>
          </w:r>
          <w:r>
            <w:instrText xml:space="preserve"> PAGEREF _Toc31847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_Toc30729 </w:instrText>
          </w:r>
          <w:r>
            <w:fldChar w:fldCharType="separate"/>
          </w:r>
          <w:r>
            <w:rPr>
              <w:rFonts w:hint="default" w:ascii="Times New Roman" w:hAnsi="Times New Roman" w:eastAsia="楷体_GB2312" w:cs="Times New Roman"/>
              <w:szCs w:val="32"/>
            </w:rPr>
            <w:t>（二）政府采购支出情况</w:t>
          </w:r>
          <w:r>
            <w:tab/>
          </w:r>
          <w:r>
            <w:fldChar w:fldCharType="begin"/>
          </w:r>
          <w:r>
            <w:instrText xml:space="preserve"> PAGEREF _Toc30729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_Toc14948 </w:instrText>
          </w:r>
          <w:r>
            <w:fldChar w:fldCharType="separate"/>
          </w:r>
          <w:r>
            <w:rPr>
              <w:rFonts w:hint="default" w:ascii="Times New Roman" w:hAnsi="Times New Roman" w:eastAsia="楷体_GB2312" w:cs="Times New Roman"/>
              <w:szCs w:val="32"/>
            </w:rPr>
            <w:t>（三）国有资产占有使用情况</w:t>
          </w:r>
          <w:r>
            <w:tab/>
          </w:r>
          <w:r>
            <w:fldChar w:fldCharType="begin"/>
          </w:r>
          <w:r>
            <w:instrText xml:space="preserve"> PAGEREF _Toc14948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_Toc20736 </w:instrText>
          </w:r>
          <w:r>
            <w:fldChar w:fldCharType="separate"/>
          </w:r>
          <w:r>
            <w:rPr>
              <w:rFonts w:hint="default" w:ascii="Times New Roman" w:hAnsi="Times New Roman" w:eastAsia="楷体_GB2312" w:cs="Times New Roman"/>
              <w:szCs w:val="32"/>
            </w:rPr>
            <w:t>（四）预算绩效管理情况</w:t>
          </w:r>
          <w:r>
            <w:tab/>
          </w:r>
          <w:r>
            <w:fldChar w:fldCharType="begin"/>
          </w:r>
          <w:r>
            <w:instrText xml:space="preserve"> PAGEREF _Toc20736 \h </w:instrText>
          </w:r>
          <w:r>
            <w:fldChar w:fldCharType="separate"/>
          </w:r>
          <w:r>
            <w:t>14</w:t>
          </w:r>
          <w:r>
            <w:fldChar w:fldCharType="end"/>
          </w:r>
          <w:r>
            <w:fldChar w:fldCharType="end"/>
          </w:r>
        </w:p>
        <w:p>
          <w:pPr>
            <w:pStyle w:val="13"/>
            <w:tabs>
              <w:tab w:val="right" w:leader="dot" w:pos="8306"/>
              <w:tab w:val="clear" w:pos="8296"/>
            </w:tabs>
          </w:pPr>
          <w:r>
            <w:fldChar w:fldCharType="begin"/>
          </w:r>
          <w:r>
            <w:instrText xml:space="preserve"> HYPERLINK \l _Toc15313 </w:instrText>
          </w:r>
          <w:r>
            <w:fldChar w:fldCharType="separate"/>
          </w:r>
          <w:r>
            <w:rPr>
              <w:rFonts w:hint="eastAsia" w:eastAsia="黑体"/>
              <w:szCs w:val="44"/>
            </w:rPr>
            <w:t>第三部分  名词解释</w:t>
          </w:r>
          <w:r>
            <w:tab/>
          </w:r>
          <w:r>
            <w:fldChar w:fldCharType="begin"/>
          </w:r>
          <w:r>
            <w:instrText xml:space="preserve"> PAGEREF _Toc15313 \h </w:instrText>
          </w:r>
          <w:r>
            <w:fldChar w:fldCharType="separate"/>
          </w:r>
          <w:r>
            <w:t>16</w:t>
          </w:r>
          <w:r>
            <w:fldChar w:fldCharType="end"/>
          </w:r>
          <w:r>
            <w:fldChar w:fldCharType="end"/>
          </w:r>
        </w:p>
        <w:p>
          <w:pPr>
            <w:pStyle w:val="13"/>
            <w:tabs>
              <w:tab w:val="right" w:leader="dot" w:pos="8306"/>
              <w:tab w:val="clear" w:pos="8296"/>
            </w:tabs>
          </w:pPr>
          <w:r>
            <w:fldChar w:fldCharType="begin"/>
          </w:r>
          <w:r>
            <w:instrText xml:space="preserve"> HYPERLINK \l _Toc21594 </w:instrText>
          </w:r>
          <w:r>
            <w:fldChar w:fldCharType="separate"/>
          </w:r>
          <w:r>
            <w:rPr>
              <w:rFonts w:hint="eastAsia" w:eastAsia="黑体"/>
              <w:szCs w:val="44"/>
            </w:rPr>
            <w:t>第四部分  附件</w:t>
          </w:r>
          <w:r>
            <w:tab/>
          </w:r>
          <w:r>
            <w:fldChar w:fldCharType="begin"/>
          </w:r>
          <w:r>
            <w:instrText xml:space="preserve"> PAGEREF _Toc21594 \h </w:instrText>
          </w:r>
          <w:r>
            <w:fldChar w:fldCharType="separate"/>
          </w:r>
          <w:r>
            <w:t>26</w:t>
          </w:r>
          <w:r>
            <w:fldChar w:fldCharType="end"/>
          </w:r>
          <w:r>
            <w:fldChar w:fldCharType="end"/>
          </w:r>
        </w:p>
        <w:p>
          <w:pPr>
            <w:pStyle w:val="13"/>
            <w:tabs>
              <w:tab w:val="right" w:leader="dot" w:pos="8306"/>
              <w:tab w:val="clear" w:pos="8296"/>
            </w:tabs>
          </w:pPr>
          <w:r>
            <w:fldChar w:fldCharType="begin"/>
          </w:r>
          <w:r>
            <w:instrText xml:space="preserve"> HYPERLINK \l _Toc7727 </w:instrText>
          </w:r>
          <w:r>
            <w:fldChar w:fldCharType="separate"/>
          </w:r>
          <w:r>
            <w:rPr>
              <w:rFonts w:hint="default" w:ascii="Times New Roman" w:hAnsi="Times New Roman" w:eastAsia="方正仿宋_GBK" w:cs="Times New Roman"/>
              <w:szCs w:val="32"/>
              <w:lang w:val="zh-CN" w:bidi="ar"/>
            </w:rPr>
            <w:t>附表：</w:t>
          </w:r>
          <w:r>
            <w:rPr>
              <w:rFonts w:hint="default" w:ascii="Times New Roman" w:hAnsi="Times New Roman" w:eastAsia="方正仿宋_GBK" w:cs="Times New Roman"/>
              <w:szCs w:val="32"/>
              <w:lang w:bidi="ar"/>
            </w:rPr>
            <w:t>部门预算项目支出绩效自评表（2024年度）</w:t>
          </w:r>
          <w:r>
            <w:tab/>
          </w:r>
          <w:r>
            <w:fldChar w:fldCharType="begin"/>
          </w:r>
          <w:r>
            <w:instrText xml:space="preserve"> PAGEREF _Toc7727 \h </w:instrText>
          </w:r>
          <w:r>
            <w:fldChar w:fldCharType="separate"/>
          </w:r>
          <w:r>
            <w:t>26</w:t>
          </w:r>
          <w:r>
            <w:fldChar w:fldCharType="end"/>
          </w:r>
          <w:r>
            <w:fldChar w:fldCharType="end"/>
          </w:r>
        </w:p>
        <w:p>
          <w:pPr>
            <w:pStyle w:val="13"/>
            <w:tabs>
              <w:tab w:val="right" w:leader="dot" w:pos="8306"/>
              <w:tab w:val="clear" w:pos="8296"/>
            </w:tabs>
          </w:pPr>
          <w:r>
            <w:fldChar w:fldCharType="begin"/>
          </w:r>
          <w:r>
            <w:instrText xml:space="preserve"> HYPERLINK \l _Toc5838 </w:instrText>
          </w:r>
          <w:r>
            <w:fldChar w:fldCharType="separate"/>
          </w:r>
          <w:r>
            <w:rPr>
              <w:rFonts w:hint="eastAsia" w:eastAsia="黑体"/>
              <w:szCs w:val="44"/>
            </w:rPr>
            <w:t>第</w:t>
          </w:r>
          <w:r>
            <w:rPr>
              <w:rFonts w:hint="eastAsia" w:eastAsia="黑体"/>
            </w:rPr>
            <w:t>五部分 附表</w:t>
          </w:r>
          <w:r>
            <w:tab/>
          </w:r>
          <w:r>
            <w:fldChar w:fldCharType="begin"/>
          </w:r>
          <w:r>
            <w:instrText xml:space="preserve"> PAGEREF _Toc5838 \h </w:instrText>
          </w:r>
          <w:r>
            <w:fldChar w:fldCharType="separate"/>
          </w:r>
          <w:r>
            <w:t>27</w:t>
          </w:r>
          <w:r>
            <w:fldChar w:fldCharType="end"/>
          </w:r>
          <w:r>
            <w:fldChar w:fldCharType="end"/>
          </w:r>
        </w:p>
        <w:p>
          <w:pPr>
            <w:pStyle w:val="15"/>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p>
        <w:p>
          <w:pPr>
            <w:pStyle w:val="15"/>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二、收入决算表</w:t>
          </w:r>
        </w:p>
        <w:p>
          <w:pPr>
            <w:pStyle w:val="15"/>
            <w:adjustRightInd w:val="0"/>
            <w:snapToGrid w:val="0"/>
            <w:spacing w:line="560" w:lineRule="exact"/>
            <w:ind w:left="0" w:leftChars="0" w:firstLine="560" w:firstLineChars="200"/>
            <w:jc w:val="left"/>
            <w:rPr>
              <w:rFonts w:hint="eastAsia" w:eastAsia="仿宋_GB2312" w:cs="仿宋_GB2312"/>
              <w:sz w:val="28"/>
              <w:szCs w:val="28"/>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
          <w:r>
            <w:fldChar w:fldCharType="end"/>
          </w:r>
        </w:p>
      </w:sdtContent>
    </w:sdt>
    <w:p>
      <w:pPr>
        <w:pStyle w:val="3"/>
        <w:jc w:val="center"/>
        <w:rPr>
          <w:rFonts w:eastAsia="黑体"/>
          <w:sz w:val="32"/>
          <w:szCs w:val="32"/>
        </w:rPr>
      </w:pPr>
      <w:bookmarkStart w:id="6" w:name="_Toc15377196"/>
      <w:bookmarkStart w:id="7" w:name="_Toc31372"/>
      <w:bookmarkStart w:id="8" w:name="_Toc4233"/>
      <w:bookmarkStart w:id="9" w:name="_Toc15396599"/>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bookmarkEnd w:id="8"/>
      <w:bookmarkEnd w:id="9"/>
    </w:p>
    <w:p>
      <w:pPr>
        <w:pStyle w:val="4"/>
        <w:pageBreakBefore w:val="0"/>
        <w:widowControl w:val="0"/>
        <w:numPr>
          <w:ilvl w:val="0"/>
          <w:numId w:val="0"/>
        </w:numPr>
        <w:kinsoku/>
        <w:wordWrap/>
        <w:overflowPunct/>
        <w:topLinePunct w:val="0"/>
        <w:autoSpaceDE/>
        <w:autoSpaceDN/>
        <w:bidi w:val="0"/>
        <w:snapToGrid/>
        <w:spacing w:before="0" w:after="0" w:line="560" w:lineRule="exact"/>
        <w:ind w:left="0" w:leftChars="0" w:firstLine="640" w:firstLineChars="200"/>
        <w:textAlignment w:val="auto"/>
        <w:outlineLvl w:val="0"/>
        <w:rPr>
          <w:rFonts w:hint="eastAsia" w:ascii="Times New Roman" w:hAnsi="Times New Roman" w:eastAsia="黑体"/>
          <w:b w:val="0"/>
        </w:rPr>
      </w:pPr>
      <w:bookmarkStart w:id="10" w:name="_Toc29557"/>
      <w:r>
        <w:rPr>
          <w:rFonts w:hint="eastAsia" w:ascii="Times New Roman" w:hAnsi="Times New Roman" w:eastAsia="黑体"/>
          <w:b w:val="0"/>
          <w:lang w:val="en-US" w:eastAsia="zh-CN"/>
        </w:rPr>
        <w:t>一、</w:t>
      </w:r>
      <w:r>
        <w:rPr>
          <w:rFonts w:hint="eastAsia" w:ascii="Times New Roman" w:hAnsi="Times New Roman" w:eastAsia="黑体"/>
          <w:b w:val="0"/>
        </w:rPr>
        <w:t>主要职责</w:t>
      </w:r>
      <w:bookmarkEnd w:id="10"/>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outlineLvl w:val="9"/>
        <w:rPr>
          <w:rFonts w:hint="default" w:ascii="Times New Roman" w:hAnsi="Times New Roman" w:cs="Times New Roman"/>
          <w:b w:val="0"/>
          <w:bCs/>
          <w:sz w:val="32"/>
        </w:rPr>
      </w:pPr>
      <w:r>
        <w:rPr>
          <w:rFonts w:hint="default" w:ascii="Times New Roman" w:hAnsi="Times New Roman" w:eastAsia="仿宋_GB2312" w:cs="Times New Roman"/>
          <w:b w:val="0"/>
          <w:bCs/>
          <w:sz w:val="32"/>
          <w:szCs w:val="32"/>
          <w:lang w:eastAsia="zh-CN"/>
        </w:rPr>
        <w:t>党政办公室负责党委、人大、政府日常事务和综合协调工作、机要保密、文秘档案、目标绩效、考核管理、政务公开、信息调研、财务审计、公务服务、机关事务、后勤保障及综合协调等工作、负责检查督促其他各综合办事机构完成下达的任务；党建办公室负责乡镇党委自身建设和下级党组织建设以及其他隶属乡镇党委的党组织建设相关工作、纪检监察、党风廉政建设、组织人事、精神文明建设、意识形态、宣传教育、统一战线、民族宗教、机构编制、巡察、侨（台）务等工作、人民武装、征兵和预备役等工作、承担考核奖惩及职称评聘等工作、负责统筹“两代表一委员”相关工作、指导工会、共青团、妇联、科协等群团工作以及关心下一代工作</w:t>
      </w:r>
      <w:r>
        <w:rPr>
          <w:rFonts w:hint="default" w:ascii="Times New Roman" w:hAnsi="Times New Roman" w:cs="Times New Roman"/>
          <w:b w:val="0"/>
          <w:bCs/>
          <w:sz w:val="32"/>
        </w:rPr>
        <w:t>。</w:t>
      </w:r>
    </w:p>
    <w:p>
      <w:pPr>
        <w:pStyle w:val="6"/>
        <w:pageBreakBefore w:val="0"/>
        <w:widowControl w:val="0"/>
        <w:kinsoku/>
        <w:wordWrap/>
        <w:overflowPunct/>
        <w:topLinePunct w:val="0"/>
        <w:autoSpaceDE/>
        <w:autoSpaceDN/>
        <w:bidi w:val="0"/>
        <w:adjustRightInd w:val="0"/>
        <w:snapToGrid/>
        <w:spacing w:beforeLines="0" w:line="560" w:lineRule="exact"/>
        <w:ind w:firstLine="640" w:firstLineChars="200"/>
        <w:jc w:val="both"/>
        <w:textAlignment w:val="auto"/>
      </w:pP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人民政府主要维持政府基本运转，维护</w:t>
      </w:r>
      <w:r>
        <w:rPr>
          <w:rFonts w:hint="default" w:ascii="Times New Roman" w:hAnsi="Times New Roman" w:cs="Times New Roman"/>
          <w:bCs/>
          <w:sz w:val="32"/>
          <w:lang w:eastAsia="zh-CN"/>
        </w:rPr>
        <w:t>国胜乡</w:t>
      </w:r>
      <w:r>
        <w:rPr>
          <w:rFonts w:hint="default" w:ascii="Times New Roman" w:hAnsi="Times New Roman" w:cs="Times New Roman"/>
          <w:bCs/>
          <w:sz w:val="32"/>
        </w:rPr>
        <w:t>稳定，提高人民生活水平，保障人民生活品质，促进社会和谐。我单位202</w:t>
      </w:r>
      <w:r>
        <w:rPr>
          <w:rFonts w:hint="default" w:ascii="Times New Roman" w:hAnsi="Times New Roman" w:cs="Times New Roman"/>
          <w:bCs/>
          <w:sz w:val="32"/>
          <w:lang w:val="en-US" w:eastAsia="zh-CN"/>
        </w:rPr>
        <w:t>4</w:t>
      </w:r>
      <w:r>
        <w:rPr>
          <w:rFonts w:hint="default" w:ascii="Times New Roman" w:hAnsi="Times New Roman" w:cs="Times New Roman"/>
          <w:bCs/>
          <w:sz w:val="32"/>
        </w:rPr>
        <w:t>年人员编制数为</w:t>
      </w:r>
      <w:r>
        <w:rPr>
          <w:rFonts w:hint="default" w:ascii="Times New Roman" w:hAnsi="Times New Roman" w:cs="Times New Roman"/>
          <w:bCs/>
          <w:sz w:val="32"/>
          <w:lang w:val="en-US" w:eastAsia="zh-CN"/>
        </w:rPr>
        <w:t>54</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25</w:t>
      </w:r>
      <w:r>
        <w:rPr>
          <w:rFonts w:hint="default" w:ascii="Times New Roman" w:hAnsi="Times New Roman" w:cs="Times New Roman"/>
          <w:bCs/>
          <w:sz w:val="32"/>
        </w:rPr>
        <w:t>人、机关工勤人员</w:t>
      </w:r>
      <w:r>
        <w:rPr>
          <w:rFonts w:hint="default" w:ascii="Times New Roman" w:hAnsi="Times New Roman" w:cs="Times New Roman"/>
          <w:bCs/>
          <w:sz w:val="32"/>
          <w:lang w:val="en-US" w:eastAsia="zh-CN"/>
        </w:rPr>
        <w:t>3</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26</w:t>
      </w:r>
      <w:r>
        <w:rPr>
          <w:rFonts w:hint="default" w:ascii="Times New Roman" w:hAnsi="Times New Roman" w:cs="Times New Roman"/>
          <w:bCs/>
          <w:sz w:val="32"/>
        </w:rPr>
        <w:t>人；实有人数为</w:t>
      </w:r>
      <w:r>
        <w:rPr>
          <w:rFonts w:hint="default" w:ascii="Times New Roman" w:hAnsi="Times New Roman" w:cs="Times New Roman"/>
          <w:bCs/>
          <w:sz w:val="32"/>
          <w:lang w:val="en-US" w:eastAsia="zh-CN"/>
        </w:rPr>
        <w:t>47</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19</w:t>
      </w:r>
      <w:r>
        <w:rPr>
          <w:rFonts w:hint="default" w:ascii="Times New Roman" w:hAnsi="Times New Roman" w:cs="Times New Roman"/>
          <w:bCs/>
          <w:sz w:val="32"/>
        </w:rPr>
        <w:t>人、机关工勤</w:t>
      </w:r>
      <w:r>
        <w:rPr>
          <w:rFonts w:hint="default" w:ascii="Times New Roman" w:hAnsi="Times New Roman" w:cs="Times New Roman"/>
          <w:bCs/>
          <w:sz w:val="32"/>
          <w:lang w:val="en-US" w:eastAsia="zh-CN"/>
        </w:rPr>
        <w:t>4</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24</w:t>
      </w:r>
      <w:r>
        <w:rPr>
          <w:rFonts w:hint="default" w:ascii="Times New Roman" w:hAnsi="Times New Roman" w:cs="Times New Roman"/>
          <w:bCs/>
          <w:sz w:val="32"/>
        </w:rPr>
        <w:t>人；退休职工</w:t>
      </w:r>
      <w:r>
        <w:rPr>
          <w:rFonts w:hint="default" w:ascii="Times New Roman" w:hAnsi="Times New Roman" w:cs="Times New Roman"/>
          <w:bCs/>
          <w:sz w:val="32"/>
          <w:lang w:val="en-US" w:eastAsia="zh-CN"/>
        </w:rPr>
        <w:t>23</w:t>
      </w:r>
      <w:r>
        <w:rPr>
          <w:rFonts w:hint="default" w:ascii="Times New Roman" w:hAnsi="Times New Roman" w:cs="Times New Roman"/>
          <w:bCs/>
          <w:sz w:val="32"/>
        </w:rPr>
        <w:t>人、遗属</w:t>
      </w:r>
      <w:r>
        <w:rPr>
          <w:rFonts w:hint="default" w:ascii="Times New Roman" w:hAnsi="Times New Roman" w:cs="Times New Roman"/>
          <w:bCs/>
          <w:sz w:val="32"/>
          <w:lang w:val="en-US" w:eastAsia="zh-CN"/>
        </w:rPr>
        <w:t>2</w:t>
      </w:r>
      <w:r>
        <w:rPr>
          <w:rFonts w:hint="default" w:ascii="Times New Roman" w:hAnsi="Times New Roman" w:cs="Times New Roman"/>
          <w:bCs/>
          <w:sz w:val="32"/>
        </w:rPr>
        <w:t>人。车辆编制数1辆，实有数1辆。我单位内设</w:t>
      </w: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人民政府一个行政单位和</w:t>
      </w:r>
      <w:r>
        <w:rPr>
          <w:rFonts w:hint="default" w:ascii="Times New Roman" w:hAnsi="Times New Roman" w:cs="Times New Roman"/>
          <w:bCs/>
          <w:sz w:val="32"/>
          <w:lang w:eastAsia="zh-CN"/>
        </w:rPr>
        <w:t>国胜乡</w:t>
      </w:r>
      <w:r>
        <w:rPr>
          <w:rFonts w:hint="default" w:ascii="Times New Roman" w:hAnsi="Times New Roman" w:cs="Times New Roman"/>
          <w:bCs/>
          <w:sz w:val="32"/>
        </w:rPr>
        <w:t>便民服务中心、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宣文中心、</w:t>
      </w:r>
      <w:r>
        <w:rPr>
          <w:rFonts w:hint="default" w:ascii="Times New Roman" w:hAnsi="Times New Roman" w:cs="Times New Roman"/>
          <w:bCs/>
          <w:sz w:val="32"/>
          <w:lang w:eastAsia="zh-CN"/>
        </w:rPr>
        <w:t>国胜乡</w:t>
      </w:r>
      <w:r>
        <w:rPr>
          <w:rFonts w:hint="default" w:ascii="Times New Roman" w:hAnsi="Times New Roman" w:cs="Times New Roman"/>
          <w:bCs/>
          <w:sz w:val="32"/>
        </w:rPr>
        <w:t>村镇建设服务中心、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农业农村服务中心</w:t>
      </w:r>
      <w:r>
        <w:rPr>
          <w:rFonts w:hint="default" w:ascii="Times New Roman" w:hAnsi="Times New Roman" w:cs="Times New Roman"/>
          <w:bCs/>
          <w:sz w:val="32"/>
          <w:lang w:val="en-US" w:eastAsia="zh-CN"/>
        </w:rPr>
        <w:t>四</w:t>
      </w:r>
      <w:r>
        <w:rPr>
          <w:rFonts w:hint="default" w:ascii="Times New Roman" w:hAnsi="Times New Roman" w:cs="Times New Roman"/>
          <w:bCs/>
          <w:sz w:val="32"/>
        </w:rPr>
        <w:t>个事业单位。</w:t>
      </w:r>
    </w:p>
    <w:p>
      <w:pPr>
        <w:keepNext/>
        <w:keepLines/>
        <w:pageBreakBefore w:val="0"/>
        <w:widowControl w:val="0"/>
        <w:kinsoku/>
        <w:wordWrap/>
        <w:overflowPunct/>
        <w:topLinePunct w:val="0"/>
        <w:autoSpaceDE/>
        <w:autoSpaceDN/>
        <w:bidi w:val="0"/>
        <w:snapToGrid/>
        <w:spacing w:before="0" w:after="0" w:line="560" w:lineRule="exact"/>
        <w:ind w:firstLine="640" w:firstLineChars="200"/>
        <w:jc w:val="both"/>
        <w:textAlignment w:val="auto"/>
        <w:outlineLvl w:val="9"/>
        <w:rPr>
          <w:rFonts w:hint="eastAsia" w:ascii="Times New Roman" w:hAnsi="Times New Roman" w:eastAsia="黑体" w:cstheme="majorBidi"/>
          <w:b w:val="0"/>
          <w:bCs/>
          <w:kern w:val="2"/>
          <w:sz w:val="32"/>
          <w:szCs w:val="32"/>
          <w:lang w:val="en-US" w:eastAsia="zh-CN" w:bidi="ar-SA"/>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1" w:name="_Toc15377200"/>
      <w:bookmarkStart w:id="12" w:name="_Toc15396601"/>
    </w:p>
    <w:p>
      <w:pPr>
        <w:pStyle w:val="4"/>
        <w:pageBreakBefore w:val="0"/>
        <w:widowControl w:val="0"/>
        <w:kinsoku/>
        <w:wordWrap/>
        <w:overflowPunct/>
        <w:topLinePunct w:val="0"/>
        <w:autoSpaceDE/>
        <w:autoSpaceDN/>
        <w:bidi w:val="0"/>
        <w:snapToGrid/>
        <w:spacing w:before="0" w:after="0" w:line="560" w:lineRule="exact"/>
        <w:ind w:firstLine="640" w:firstLineChars="200"/>
        <w:textAlignment w:val="auto"/>
        <w:outlineLvl w:val="0"/>
        <w:rPr>
          <w:rStyle w:val="29"/>
          <w:rFonts w:ascii="Times New Roman" w:hAnsi="Times New Roman" w:eastAsia="黑体"/>
          <w:b w:val="0"/>
          <w:bCs w:val="0"/>
        </w:rPr>
      </w:pPr>
      <w:bookmarkStart w:id="13" w:name="_Toc28855"/>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1"/>
      <w:bookmarkEnd w:id="12"/>
      <w:bookmarkEnd w:id="13"/>
    </w:p>
    <w:p>
      <w:pPr>
        <w:pStyle w:val="6"/>
        <w:adjustRightInd w:val="0"/>
        <w:spacing w:beforeLines="0" w:line="560" w:lineRule="exact"/>
        <w:ind w:firstLine="672" w:firstLineChars="210"/>
        <w:jc w:val="both"/>
        <w:rPr>
          <w:rFonts w:hint="default" w:ascii="Times New Roman" w:hAnsi="Times New Roman" w:eastAsia="黑体" w:cs="Times New Roman"/>
          <w:b/>
          <w:color w:val="000000"/>
          <w:sz w:val="32"/>
          <w:szCs w:val="32"/>
        </w:rPr>
      </w:pPr>
      <w:r>
        <w:rPr>
          <w:rFonts w:hint="default" w:ascii="Times New Roman" w:hAnsi="Times New Roman" w:eastAsia="仿宋_GB2312" w:cs="Times New Roman"/>
          <w:bCs/>
          <w:kern w:val="0"/>
          <w:sz w:val="32"/>
          <w:szCs w:val="20"/>
        </w:rPr>
        <w:t>盐边县</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人民政府下属二级单位0个，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政府现有</w:t>
      </w:r>
      <w:r>
        <w:rPr>
          <w:rFonts w:hint="eastAsia" w:ascii="Times New Roman" w:cs="Times New Roman"/>
          <w:bCs/>
          <w:kern w:val="0"/>
          <w:sz w:val="32"/>
          <w:szCs w:val="20"/>
          <w:lang w:val="en-US" w:eastAsia="zh-CN"/>
        </w:rPr>
        <w:t>非独立核算</w:t>
      </w:r>
      <w:r>
        <w:rPr>
          <w:rFonts w:hint="default" w:ascii="Times New Roman" w:hAnsi="Times New Roman" w:eastAsia="仿宋_GB2312" w:cs="Times New Roman"/>
          <w:bCs/>
          <w:kern w:val="0"/>
          <w:sz w:val="32"/>
          <w:szCs w:val="20"/>
        </w:rPr>
        <w:t>部门</w:t>
      </w:r>
      <w:r>
        <w:rPr>
          <w:rFonts w:hint="default" w:ascii="Times New Roman" w:hAnsi="Times New Roman" w:cs="Times New Roman"/>
          <w:bCs/>
          <w:kern w:val="0"/>
          <w:sz w:val="32"/>
          <w:szCs w:val="20"/>
          <w:lang w:val="en-US" w:eastAsia="zh-CN"/>
        </w:rPr>
        <w:t>5</w:t>
      </w:r>
      <w:r>
        <w:rPr>
          <w:rFonts w:hint="default" w:ascii="Times New Roman" w:hAnsi="Times New Roman" w:eastAsia="仿宋_GB2312" w:cs="Times New Roman"/>
          <w:bCs/>
          <w:kern w:val="0"/>
          <w:sz w:val="32"/>
          <w:szCs w:val="20"/>
        </w:rPr>
        <w:t>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农业农村服务中心、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宣文文化旅游服务中心、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便民服务中心，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村镇建设服务中心。其中行政单位1个，参照公务员法管理的事业单位0个，其他事业单位</w:t>
      </w:r>
      <w:r>
        <w:rPr>
          <w:rFonts w:hint="default" w:ascii="Times New Roman" w:hAnsi="Times New Roman" w:cs="Times New Roman"/>
          <w:bCs/>
          <w:kern w:val="0"/>
          <w:sz w:val="32"/>
          <w:szCs w:val="20"/>
          <w:lang w:val="en-US" w:eastAsia="zh-CN"/>
        </w:rPr>
        <w:t>4</w:t>
      </w:r>
      <w:r>
        <w:rPr>
          <w:rFonts w:hint="default" w:ascii="Times New Roman" w:hAnsi="Times New Roman" w:eastAsia="仿宋_GB2312" w:cs="Times New Roman"/>
          <w:bCs/>
          <w:kern w:val="0"/>
          <w:sz w:val="32"/>
          <w:szCs w:val="20"/>
        </w:rPr>
        <w:t>个。</w:t>
      </w:r>
    </w:p>
    <w:p>
      <w:pPr>
        <w:rPr>
          <w:rFonts w:eastAsia="黑体"/>
        </w:rPr>
      </w:pPr>
    </w:p>
    <w:p>
      <w:pPr>
        <w:ind w:firstLine="800" w:firstLineChars="250"/>
        <w:rPr>
          <w:rFonts w:eastAsia="仿宋_GB2312" w:cs="仿宋_GB2312"/>
          <w:sz w:val="32"/>
          <w:szCs w:val="32"/>
        </w:rPr>
      </w:pP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keepNext/>
        <w:keepLines/>
        <w:widowControl w:val="0"/>
        <w:spacing w:before="340" w:after="330" w:line="578" w:lineRule="auto"/>
        <w:jc w:val="center"/>
        <w:outlineLvl w:val="9"/>
        <w:rPr>
          <w:rFonts w:hint="eastAsia" w:ascii="Times New Roman" w:hAnsi="Times New Roman" w:eastAsia="方正小标宋简体" w:cs="方正小标宋简体"/>
          <w:b w:val="0"/>
          <w:bCs/>
          <w:kern w:val="44"/>
          <w:sz w:val="44"/>
          <w:szCs w:val="44"/>
          <w:lang w:val="en-US"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bookmarkStart w:id="14" w:name="_Toc15377204"/>
      <w:bookmarkStart w:id="15" w:name="_Toc15396602"/>
    </w:p>
    <w:p>
      <w:pPr>
        <w:pStyle w:val="3"/>
        <w:jc w:val="center"/>
        <w:rPr>
          <w:rFonts w:eastAsia="方正小标宋简体" w:cs="方正小标宋简体"/>
          <w:b w:val="0"/>
        </w:rPr>
      </w:pPr>
      <w:bookmarkStart w:id="16" w:name="_Toc21929"/>
      <w:bookmarkStart w:id="17" w:name="_Toc24453"/>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4"/>
      <w:bookmarkEnd w:id="15"/>
      <w:bookmarkEnd w:id="16"/>
      <w:bookmarkEnd w:id="17"/>
    </w:p>
    <w:p/>
    <w:p>
      <w:pPr>
        <w:pStyle w:val="27"/>
        <w:spacing w:line="600" w:lineRule="exact"/>
        <w:ind w:firstLine="640" w:firstLineChars="200"/>
        <w:outlineLvl w:val="0"/>
        <w:rPr>
          <w:rStyle w:val="29"/>
          <w:rFonts w:ascii="Times New Roman" w:hAnsi="Times New Roman" w:eastAsia="黑体"/>
          <w:b w:val="0"/>
        </w:rPr>
      </w:pPr>
      <w:bookmarkStart w:id="18" w:name="_Toc15396603"/>
      <w:bookmarkStart w:id="19" w:name="_Toc4764"/>
      <w:bookmarkStart w:id="20"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bookmarkEnd w:id="20"/>
    </w:p>
    <w:p>
      <w:pPr>
        <w:pStyle w:val="27"/>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2225.86万元。</w:t>
      </w:r>
      <w:r>
        <w:rPr>
          <w:rFonts w:hint="default" w:ascii="Times New Roman" w:hAnsi="Times New Roman" w:eastAsia="仿宋_GB2312" w:cs="Times New Roman"/>
          <w:sz w:val="32"/>
          <w:szCs w:val="32"/>
        </w:rPr>
        <w:t>与2023年度相比，收入、支出总计各减少</w:t>
      </w:r>
      <w:r>
        <w:rPr>
          <w:rFonts w:hint="default" w:ascii="Times New Roman" w:hAnsi="Times New Roman" w:eastAsia="仿宋_GB2312" w:cs="Times New Roman"/>
          <w:sz w:val="32"/>
          <w:szCs w:val="32"/>
          <w:lang w:val="en-US" w:eastAsia="zh-CN"/>
        </w:rPr>
        <w:t>22.27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0.99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pPr>
        <w:ind w:firstLine="640" w:firstLineChars="200"/>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318770</wp:posOffset>
            </wp:positionH>
            <wp:positionV relativeFrom="paragraph">
              <wp:posOffset>116840</wp:posOffset>
            </wp:positionV>
            <wp:extent cx="4842510" cy="2942590"/>
            <wp:effectExtent l="4445" t="4445" r="1079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7"/>
        <w:spacing w:line="600" w:lineRule="exact"/>
        <w:ind w:firstLine="640" w:firstLineChars="200"/>
        <w:outlineLvl w:val="0"/>
        <w:rPr>
          <w:rFonts w:eastAsia="黑体"/>
          <w:sz w:val="32"/>
          <w:szCs w:val="32"/>
        </w:rPr>
      </w:pPr>
      <w:bookmarkStart w:id="21" w:name="_Toc15377206"/>
      <w:bookmarkStart w:id="22" w:name="_Toc21145"/>
      <w:bookmarkStart w:id="23" w:name="_Toc15396604"/>
      <w:r>
        <w:rPr>
          <w:rFonts w:hint="eastAsia" w:eastAsia="黑体"/>
          <w:sz w:val="32"/>
          <w:szCs w:val="32"/>
        </w:rPr>
        <w:t>二、收入决算情况说明</w:t>
      </w:r>
      <w:bookmarkEnd w:id="21"/>
      <w:bookmarkEnd w:id="22"/>
      <w:bookmarkEnd w:id="23"/>
    </w:p>
    <w:p>
      <w:pPr>
        <w:pStyle w:val="27"/>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2024年度本年收入合计2225.63万元，其中：一般公共预算财政拨款收入2182.</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98.05</w:t>
      </w:r>
      <w:r>
        <w:rPr>
          <w:rFonts w:hint="default" w:ascii="Times New Roman" w:hAnsi="Times New Roman" w:eastAsia="仿宋_GB2312" w:cs="Times New Roman"/>
          <w:sz w:val="32"/>
          <w:szCs w:val="32"/>
        </w:rPr>
        <w:t>%；政府性基金预算财政拨款收入23.51万元，占</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pPr>
        <w:ind w:firstLine="800" w:firstLineChars="250"/>
        <w:jc w:val="left"/>
      </w:pPr>
      <w:r>
        <w:rPr>
          <w:rFonts w:hint="default" w:ascii="Times New Roman" w:hAnsi="Times New Roman" w:eastAsia="仿宋_GB2312" w:cs="Times New Roman"/>
          <w:sz w:val="32"/>
          <w:szCs w:val="32"/>
          <w:lang w:eastAsia="zh-CN"/>
        </w:rPr>
        <w:drawing>
          <wp:inline distT="0" distB="0" distL="114300" distR="114300">
            <wp:extent cx="4270375" cy="2273935"/>
            <wp:effectExtent l="4445" t="4445" r="1143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7"/>
        <w:spacing w:line="600" w:lineRule="exact"/>
        <w:ind w:firstLine="640" w:firstLineChars="200"/>
        <w:outlineLvl w:val="0"/>
        <w:rPr>
          <w:rStyle w:val="29"/>
          <w:rFonts w:ascii="Times New Roman" w:hAnsi="Times New Roman" w:eastAsia="黑体"/>
          <w:b w:val="0"/>
        </w:rPr>
      </w:pPr>
      <w:bookmarkStart w:id="24" w:name="_Toc16275"/>
      <w:bookmarkStart w:id="25" w:name="_Toc15396605"/>
      <w:bookmarkStart w:id="26" w:name="_Toc15377207"/>
      <w:r>
        <w:rPr>
          <w:rFonts w:hint="eastAsia" w:eastAsia="黑体"/>
          <w:sz w:val="32"/>
          <w:szCs w:val="32"/>
        </w:rPr>
        <w:t>三、支</w:t>
      </w:r>
      <w:r>
        <w:rPr>
          <w:rStyle w:val="29"/>
          <w:rFonts w:hint="eastAsia" w:ascii="Times New Roman" w:hAnsi="Times New Roman" w:eastAsia="黑体"/>
          <w:b w:val="0"/>
        </w:rPr>
        <w:t>出决算情况说明</w:t>
      </w:r>
      <w:bookmarkEnd w:id="24"/>
      <w:bookmarkEnd w:id="25"/>
      <w:bookmarkEnd w:id="26"/>
    </w:p>
    <w:p>
      <w:pPr>
        <w:pStyle w:val="27"/>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2024年度本年支出合计2210.08万元，其中：基本支出1478.34万元，占</w:t>
      </w:r>
      <w:r>
        <w:rPr>
          <w:rFonts w:hint="default" w:ascii="Times New Roman" w:hAnsi="Times New Roman" w:eastAsia="仿宋_GB2312" w:cs="Times New Roman"/>
          <w:sz w:val="32"/>
          <w:szCs w:val="32"/>
          <w:lang w:val="en-US" w:eastAsia="zh-CN"/>
        </w:rPr>
        <w:t>66.</w:t>
      </w:r>
      <w:r>
        <w:rPr>
          <w:rFonts w:hint="eastAsia" w:eastAsia="仿宋_GB2312" w:cs="Times New Roman"/>
          <w:sz w:val="32"/>
          <w:szCs w:val="32"/>
          <w:lang w:val="en-US" w:eastAsia="zh-CN"/>
        </w:rPr>
        <w:t>89</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731.74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33.11</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（图3：支出决算结构图）（饼状图）</w:t>
      </w:r>
    </w:p>
    <w:p>
      <w:pPr>
        <w:ind w:firstLine="800" w:firstLineChars="250"/>
        <w:rPr>
          <w:rFonts w:eastAsia="仿宋_GB2312" w:cs="仿宋_GB2312"/>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332105</wp:posOffset>
            </wp:positionH>
            <wp:positionV relativeFrom="paragraph">
              <wp:posOffset>124460</wp:posOffset>
            </wp:positionV>
            <wp:extent cx="4498340" cy="2295525"/>
            <wp:effectExtent l="4445" t="4445" r="1206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outlineLvl w:val="9"/>
        <w:rPr>
          <w:rFonts w:eastAsia="仿宋_GB2312" w:cs="仿宋_GB2312"/>
          <w:sz w:val="32"/>
          <w:szCs w:val="32"/>
        </w:rPr>
      </w:pPr>
    </w:p>
    <w:p>
      <w:pPr>
        <w:rPr>
          <w:rFonts w:eastAsia="仿宋_GB2312" w:cs="仿宋_GB2312"/>
          <w:sz w:val="32"/>
          <w:szCs w:val="32"/>
        </w:rPr>
      </w:pPr>
    </w:p>
    <w:p>
      <w:pPr>
        <w:pStyle w:val="2"/>
        <w:outlineLvl w:val="9"/>
        <w:rPr>
          <w:rFonts w:eastAsia="仿宋_GB2312" w:cs="仿宋_GB2312"/>
          <w:sz w:val="32"/>
          <w:szCs w:val="32"/>
        </w:rPr>
      </w:pPr>
    </w:p>
    <w:p>
      <w:pPr>
        <w:pStyle w:val="2"/>
        <w:outlineLvl w:val="9"/>
      </w:pPr>
    </w:p>
    <w:p>
      <w:pPr>
        <w:spacing w:line="600" w:lineRule="exact"/>
        <w:ind w:firstLine="640" w:firstLineChars="200"/>
        <w:outlineLvl w:val="0"/>
        <w:rPr>
          <w:rStyle w:val="29"/>
          <w:rFonts w:ascii="Times New Roman" w:hAnsi="Times New Roman" w:eastAsia="黑体"/>
          <w:b w:val="0"/>
        </w:rPr>
      </w:pPr>
      <w:bookmarkStart w:id="27" w:name="_Toc15396606"/>
      <w:bookmarkStart w:id="28" w:name="_Toc15377208"/>
      <w:bookmarkStart w:id="29" w:name="_Toc32134"/>
      <w:r>
        <w:rPr>
          <w:rFonts w:hint="eastAsia" w:eastAsia="黑体"/>
          <w:sz w:val="32"/>
          <w:szCs w:val="32"/>
        </w:rPr>
        <w:t>四、财</w:t>
      </w:r>
      <w:r>
        <w:rPr>
          <w:rStyle w:val="29"/>
          <w:rFonts w:hint="eastAsia" w:ascii="Times New Roman" w:hAnsi="Times New Roman" w:eastAsia="黑体"/>
          <w:b w:val="0"/>
        </w:rPr>
        <w:t>政拨款收入支出决算总体情况说明</w:t>
      </w:r>
      <w:bookmarkEnd w:id="27"/>
      <w:bookmarkEnd w:id="28"/>
      <w:bookmarkEnd w:id="2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2024年度财政拨款收入、支出总计均为2205.63万元。与2023年度相比，财政拨款收入总计、支出总计各减少</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pPr>
        <w:spacing w:line="600" w:lineRule="exact"/>
        <w:ind w:firstLine="640" w:firstLineChars="200"/>
        <w:outlineLvl w:val="0"/>
        <w:rPr>
          <w:rStyle w:val="29"/>
          <w:rFonts w:hint="eastAsia" w:ascii="Times New Roman" w:hAnsi="Times New Roman" w:eastAsia="黑体"/>
          <w:b w:val="0"/>
          <w:lang w:val="en-US" w:eastAsia="zh-CN" w:bidi="ar-SA"/>
        </w:rPr>
      </w:pPr>
      <w:bookmarkStart w:id="30" w:name="_Toc20982"/>
      <w:r>
        <w:rPr>
          <w:rFonts w:hint="default"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125730</wp:posOffset>
            </wp:positionH>
            <wp:positionV relativeFrom="paragraph">
              <wp:posOffset>153670</wp:posOffset>
            </wp:positionV>
            <wp:extent cx="5089525" cy="2523490"/>
            <wp:effectExtent l="4445" t="4445" r="11430"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31" w:name="_Toc15396607"/>
      <w:bookmarkStart w:id="32" w:name="_Toc15377209"/>
      <w:r>
        <w:rPr>
          <w:rStyle w:val="29"/>
          <w:rFonts w:hint="eastAsia" w:ascii="Times New Roman" w:hAnsi="Times New Roman" w:eastAsia="黑体"/>
          <w:b w:val="0"/>
          <w:lang w:val="en-US" w:eastAsia="zh-CN" w:bidi="ar-SA"/>
        </w:rPr>
        <w:t>五、一般公共预算财政拨款支出决算情况说明</w:t>
      </w:r>
      <w:bookmarkEnd w:id="30"/>
      <w:bookmarkEnd w:id="31"/>
      <w:bookmarkEnd w:id="32"/>
    </w:p>
    <w:p>
      <w:pPr>
        <w:spacing w:line="600" w:lineRule="exact"/>
        <w:ind w:firstLine="643" w:firstLineChars="200"/>
        <w:outlineLvl w:val="1"/>
        <w:rPr>
          <w:rFonts w:eastAsia="楷体_GB2312" w:cs="楷体_GB2312"/>
          <w:b/>
          <w:sz w:val="32"/>
          <w:szCs w:val="32"/>
        </w:rPr>
      </w:pPr>
      <w:bookmarkStart w:id="33" w:name="_Toc15377210"/>
      <w:bookmarkStart w:id="34" w:name="_Toc4861"/>
      <w:r>
        <w:rPr>
          <w:rFonts w:hint="eastAsia" w:eastAsia="楷体_GB2312" w:cs="楷体_GB2312"/>
          <w:b/>
          <w:sz w:val="32"/>
          <w:szCs w:val="32"/>
        </w:rPr>
        <w:t>（一）一般公共预算财政拨款支出决算总体情况</w:t>
      </w:r>
      <w:bookmarkEnd w:id="33"/>
      <w:bookmarkEnd w:id="3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2024年度一般公共预算财政拨款支出2182.13万元，占本年支出合计的</w:t>
      </w:r>
      <w:r>
        <w:rPr>
          <w:rFonts w:hint="default" w:ascii="Times New Roman" w:hAnsi="Times New Roman" w:eastAsia="仿宋_GB2312" w:cs="Times New Roman"/>
          <w:sz w:val="32"/>
          <w:szCs w:val="32"/>
          <w:lang w:val="en-US" w:eastAsia="zh-CN"/>
        </w:rPr>
        <w:t>98.93</w:t>
      </w:r>
      <w:r>
        <w:rPr>
          <w:rFonts w:hint="default" w:ascii="Times New Roman" w:hAnsi="Times New Roman" w:eastAsia="仿宋_GB2312" w:cs="Times New Roman"/>
          <w:sz w:val="32"/>
          <w:szCs w:val="32"/>
        </w:rPr>
        <w:t>%。与2023年度相比，一般公共预算财政拨款支出减少</w:t>
      </w:r>
      <w:r>
        <w:rPr>
          <w:rFonts w:hint="default" w:ascii="Times New Roman" w:hAnsi="Times New Roman" w:eastAsia="仿宋_GB2312" w:cs="Times New Roman"/>
          <w:sz w:val="32"/>
          <w:szCs w:val="32"/>
          <w:lang w:val="en-US" w:eastAsia="zh-CN"/>
        </w:rPr>
        <w:t>22.4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w w:val="90"/>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97155</wp:posOffset>
            </wp:positionH>
            <wp:positionV relativeFrom="paragraph">
              <wp:posOffset>478155</wp:posOffset>
            </wp:positionV>
            <wp:extent cx="5041900" cy="2886710"/>
            <wp:effectExtent l="4445" t="4445" r="20955"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eastAsia="仿宋_GB2312" w:cs="Times New Roman"/>
          <w:w w:val="90"/>
          <w:sz w:val="32"/>
          <w:szCs w:val="32"/>
        </w:rPr>
        <w:t>（图5：一般公共预算财政拨款支出决算变动情况）（柱状图）</w:t>
      </w:r>
    </w:p>
    <w:p/>
    <w:p>
      <w:pPr>
        <w:spacing w:line="600" w:lineRule="exact"/>
        <w:ind w:firstLine="643" w:firstLineChars="200"/>
        <w:outlineLvl w:val="1"/>
        <w:rPr>
          <w:rFonts w:eastAsia="楷体_GB2312" w:cs="楷体_GB2312"/>
          <w:b/>
          <w:sz w:val="32"/>
          <w:szCs w:val="32"/>
        </w:rPr>
      </w:pPr>
      <w:bookmarkStart w:id="35" w:name="_Toc15377211"/>
      <w:bookmarkStart w:id="36" w:name="_Toc6483"/>
      <w:r>
        <w:rPr>
          <w:rFonts w:hint="eastAsia" w:eastAsia="楷体_GB2312" w:cs="楷体_GB2312"/>
          <w:b/>
          <w:sz w:val="32"/>
          <w:szCs w:val="32"/>
        </w:rPr>
        <w:t>（二）一般公共预算财政拨款支出决算结构情况</w:t>
      </w:r>
      <w:bookmarkEnd w:id="35"/>
      <w:bookmarkEnd w:id="3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2024年度一般公共预算财政拨款支出2182.13万元，主要用于以下方面：一般公共服务支出940.69万元，占</w:t>
      </w:r>
      <w:r>
        <w:rPr>
          <w:rFonts w:hint="eastAsia" w:eastAsia="仿宋_GB2312" w:cs="Times New Roman"/>
          <w:sz w:val="32"/>
          <w:szCs w:val="32"/>
          <w:lang w:val="en-US" w:eastAsia="zh-CN"/>
        </w:rPr>
        <w:t>43.11</w:t>
      </w:r>
      <w:r>
        <w:rPr>
          <w:rFonts w:hint="default" w:ascii="Times New Roman" w:hAnsi="Times New Roman" w:eastAsia="仿宋_GB2312" w:cs="Times New Roman"/>
          <w:sz w:val="32"/>
          <w:szCs w:val="32"/>
        </w:rPr>
        <w:t>%；文化旅游体育与传媒支出53.11万元，占</w:t>
      </w:r>
      <w:r>
        <w:rPr>
          <w:rFonts w:hint="eastAsia" w:eastAsia="仿宋_GB2312" w:cs="Times New Roman"/>
          <w:sz w:val="32"/>
          <w:szCs w:val="32"/>
          <w:lang w:val="en-US" w:eastAsia="zh-CN"/>
        </w:rPr>
        <w:t>2.43</w:t>
      </w:r>
      <w:r>
        <w:rPr>
          <w:rFonts w:hint="default" w:ascii="Times New Roman" w:hAnsi="Times New Roman" w:eastAsia="仿宋_GB2312" w:cs="Times New Roman"/>
          <w:sz w:val="32"/>
          <w:szCs w:val="32"/>
        </w:rPr>
        <w:t>%；社会保障和就业支出399.57万元，占</w:t>
      </w:r>
      <w:r>
        <w:rPr>
          <w:rFonts w:hint="eastAsia" w:eastAsia="仿宋_GB2312" w:cs="Times New Roman"/>
          <w:sz w:val="32"/>
          <w:szCs w:val="32"/>
          <w:lang w:val="en-US" w:eastAsia="zh-CN"/>
        </w:rPr>
        <w:t>18.31</w:t>
      </w:r>
      <w:r>
        <w:rPr>
          <w:rFonts w:hint="default" w:ascii="Times New Roman" w:hAnsi="Times New Roman" w:eastAsia="仿宋_GB2312" w:cs="Times New Roman"/>
          <w:sz w:val="32"/>
          <w:szCs w:val="32"/>
        </w:rPr>
        <w:t>%；卫生健康支出89.58万元，占</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%；节能环保支出125.46万元，占</w:t>
      </w:r>
      <w:r>
        <w:rPr>
          <w:rFonts w:hint="eastAsia" w:eastAsia="仿宋_GB2312" w:cs="Times New Roman"/>
          <w:sz w:val="32"/>
          <w:szCs w:val="32"/>
          <w:lang w:val="en-US" w:eastAsia="zh-CN"/>
        </w:rPr>
        <w:t>5.75</w:t>
      </w:r>
      <w:r>
        <w:rPr>
          <w:rFonts w:hint="default" w:ascii="Times New Roman" w:hAnsi="Times New Roman" w:eastAsia="仿宋_GB2312" w:cs="Times New Roman"/>
          <w:sz w:val="32"/>
          <w:szCs w:val="32"/>
        </w:rPr>
        <w:t>%；农林水支出496.72万元，占</w:t>
      </w:r>
      <w:r>
        <w:rPr>
          <w:rFonts w:hint="eastAsia" w:eastAsia="仿宋_GB2312" w:cs="Times New Roman"/>
          <w:sz w:val="32"/>
          <w:szCs w:val="32"/>
          <w:lang w:val="en-US" w:eastAsia="zh-CN"/>
        </w:rPr>
        <w:t>22.76</w:t>
      </w:r>
      <w:r>
        <w:rPr>
          <w:rFonts w:hint="default" w:ascii="Times New Roman" w:hAnsi="Times New Roman" w:eastAsia="仿宋_GB2312" w:cs="Times New Roman"/>
          <w:sz w:val="32"/>
          <w:szCs w:val="32"/>
        </w:rPr>
        <w:t>%；住房保障支出77万元，占</w:t>
      </w:r>
      <w:r>
        <w:rPr>
          <w:rFonts w:hint="eastAsia" w:eastAsia="仿宋_GB2312" w:cs="Times New Roman"/>
          <w:sz w:val="32"/>
          <w:szCs w:val="32"/>
          <w:lang w:val="en-US" w:eastAsia="zh-CN"/>
        </w:rPr>
        <w:t>3.54</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pPr>
        <w:spacing w:line="600" w:lineRule="exact"/>
        <w:ind w:firstLine="640"/>
        <w:rPr>
          <w:rFonts w:eastAsia="仿宋_GB2312" w:cs="仿宋_GB2312"/>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356870</wp:posOffset>
            </wp:positionH>
            <wp:positionV relativeFrom="paragraph">
              <wp:posOffset>87630</wp:posOffset>
            </wp:positionV>
            <wp:extent cx="4507865" cy="2171700"/>
            <wp:effectExtent l="4445" t="4445" r="21590"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2"/>
        <w:outlineLvl w:val="9"/>
        <w:rPr>
          <w:rFonts w:eastAsia="仿宋_GB2312" w:cs="仿宋_GB2312"/>
          <w:sz w:val="32"/>
          <w:szCs w:val="32"/>
        </w:rPr>
      </w:pPr>
    </w:p>
    <w:p>
      <w:pPr>
        <w:rPr>
          <w:rFonts w:eastAsia="仿宋_GB2312" w:cs="仿宋_GB2312"/>
          <w:sz w:val="32"/>
          <w:szCs w:val="32"/>
        </w:rPr>
      </w:pPr>
    </w:p>
    <w:p>
      <w:pPr>
        <w:pStyle w:val="2"/>
        <w:outlineLvl w:val="9"/>
        <w:rPr>
          <w:rFonts w:eastAsia="仿宋_GB2312" w:cs="仿宋_GB2312"/>
          <w:sz w:val="32"/>
          <w:szCs w:val="32"/>
        </w:rPr>
      </w:pPr>
    </w:p>
    <w:p/>
    <w:p>
      <w:pPr>
        <w:spacing w:line="600" w:lineRule="exact"/>
        <w:ind w:firstLine="643" w:firstLineChars="200"/>
        <w:outlineLvl w:val="1"/>
        <w:rPr>
          <w:rFonts w:eastAsia="楷体_GB2312" w:cs="楷体_GB2312"/>
          <w:b/>
          <w:sz w:val="32"/>
          <w:szCs w:val="32"/>
        </w:rPr>
      </w:pPr>
      <w:bookmarkStart w:id="37" w:name="_Toc15377212"/>
      <w:bookmarkStart w:id="38" w:name="_Toc23739"/>
      <w:r>
        <w:rPr>
          <w:rFonts w:hint="eastAsia" w:eastAsia="楷体_GB2312" w:cs="楷体_GB2312"/>
          <w:b/>
          <w:sz w:val="32"/>
          <w:szCs w:val="32"/>
        </w:rPr>
        <w:t>（三）一般公共预算财政拨款支出决算具体情况</w:t>
      </w:r>
      <w:bookmarkEnd w:id="37"/>
      <w:bookmarkEnd w:id="3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9" w:name="_Toc15378460"/>
      <w:bookmarkStart w:id="40" w:name="_Toc15377213"/>
      <w:bookmarkStart w:id="41" w:name="_Toc15377444"/>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2182.13</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9"/>
      <w:bookmarkEnd w:id="40"/>
      <w:bookmarkEnd w:id="41"/>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val="en-US" w:eastAsia="zh-CN"/>
        </w:rPr>
        <w:t>人大事务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39.49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人大会议</w:t>
      </w:r>
      <w:r>
        <w:rPr>
          <w:rStyle w:val="18"/>
          <w:rFonts w:hint="eastAsia" w:ascii="仿宋" w:hAnsi="仿宋" w:eastAsia="仿宋"/>
          <w:bCs/>
          <w:sz w:val="32"/>
          <w:szCs w:val="32"/>
        </w:rPr>
        <w:t>（项）</w:t>
      </w:r>
      <w:r>
        <w:rPr>
          <w:rStyle w:val="18"/>
          <w:rFonts w:hint="eastAsia" w:ascii="仿宋" w:hAnsi="仿宋" w:eastAsia="仿宋" w:cstheme="minorBidi"/>
          <w:b w:val="0"/>
          <w:bCs/>
          <w:sz w:val="32"/>
          <w:szCs w:val="32"/>
          <w:lang w:val="en-US" w:eastAsia="zh-CN"/>
        </w:rPr>
        <w:t>支出决算为2.7万元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其他人大事务支出</w:t>
      </w:r>
      <w:r>
        <w:rPr>
          <w:rStyle w:val="18"/>
          <w:rFonts w:hint="eastAsia" w:ascii="仿宋" w:hAnsi="仿宋" w:eastAsia="仿宋"/>
          <w:bCs/>
          <w:sz w:val="32"/>
          <w:szCs w:val="32"/>
        </w:rPr>
        <w:t>（项）</w:t>
      </w:r>
      <w:r>
        <w:rPr>
          <w:rStyle w:val="18"/>
          <w:rFonts w:hint="eastAsia" w:ascii="仿宋" w:hAnsi="仿宋" w:eastAsia="仿宋" w:cstheme="minorBidi"/>
          <w:b w:val="0"/>
          <w:bCs/>
          <w:sz w:val="32"/>
          <w:szCs w:val="32"/>
          <w:lang w:val="en-US" w:eastAsia="zh-CN"/>
        </w:rPr>
        <w:t>支出决算为0.36万元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政协事务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其他政协事务支出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465.7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一般行政管理事务</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74.46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其他政府办公厅（室）及相关机构事务支出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民族事务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民族工作专项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1.17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lang w:val="en-US" w:eastAsia="zh-CN"/>
        </w:rPr>
        <w:t>其他民族事务支出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300.37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党委办公厅（室）及相关机构事务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40.92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cstheme="minorBidi"/>
          <w:bCs/>
          <w:sz w:val="32"/>
          <w:szCs w:val="32"/>
          <w:lang w:val="en-US" w:eastAsia="zh-CN"/>
        </w:rPr>
        <w:t>其他一般公共服务支出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其他一般公共服务支出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Style w:val="18"/>
          <w:rFonts w:hint="eastAsia" w:ascii="仿宋" w:hAnsi="仿宋" w:eastAsia="仿宋"/>
          <w:bCs/>
          <w:sz w:val="32"/>
          <w:szCs w:val="32"/>
        </w:rPr>
        <w:t>文化旅游体育与传媒（类）文化和旅游（款）文化活动（项）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群众文化（项）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38.86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其他文化和旅游支出（项）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Style w:val="18"/>
          <w:rFonts w:hint="eastAsia" w:ascii="仿宋" w:hAnsi="仿宋" w:eastAsia="仿宋"/>
          <w:bCs/>
          <w:sz w:val="32"/>
          <w:szCs w:val="32"/>
        </w:rPr>
        <w:t>社会保障和就业（类）人力资源和社会保障管理事务（款）社会保险经办机构（项）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75.07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其他人力资源和社会保障管理事务支出（项）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19.66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民政管理事务（款）基层政权建设和社区治理（项）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其他民政管理事务支出（项）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60.2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行政事业单位养老支出（款）行政单位离退休（项）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17.06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事业单位离退休（项）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29.56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88.49</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机关事业单位职业年金缴费支出（项）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34.06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抚恤（款）伤残抚恤（项）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特困人员救助供养（款）农村特困人员救助供养支出（项）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61.14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其他生活救助（款）其他农村生活救助（项）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default" w:ascii="Times New Roman" w:hAnsi="Times New Roman" w:eastAsia="仿宋_GB2312" w:cs="Times New Roman"/>
          <w:sz w:val="32"/>
          <w:szCs w:val="32"/>
        </w:rPr>
        <w:t>6.</w:t>
      </w:r>
      <w:r>
        <w:rPr>
          <w:rFonts w:hint="eastAsia" w:ascii="仿宋" w:hAnsi="仿宋" w:eastAsia="仿宋"/>
          <w:b/>
          <w:bCs/>
          <w:sz w:val="32"/>
          <w:szCs w:val="32"/>
        </w:rPr>
        <w:t>卫生健康</w:t>
      </w:r>
      <w:r>
        <w:rPr>
          <w:rStyle w:val="18"/>
          <w:rFonts w:hint="eastAsia" w:ascii="仿宋" w:hAnsi="仿宋" w:eastAsia="仿宋"/>
          <w:bCs/>
          <w:sz w:val="32"/>
          <w:szCs w:val="32"/>
        </w:rPr>
        <w:t>（类）公共卫生（款）其他公共卫生支出（项）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6.28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行政事业单位医疗（款）行政单位医疗（项）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28.24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23.85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公务员医疗补助（项）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其他行政事业单位医疗支出（项）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28.17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仿宋" w:hAnsi="仿宋" w:eastAsia="仿宋"/>
          <w:b/>
          <w:bCs/>
          <w:sz w:val="32"/>
          <w:szCs w:val="32"/>
        </w:rPr>
        <w:t>节能环保</w:t>
      </w:r>
      <w:r>
        <w:rPr>
          <w:rStyle w:val="18"/>
          <w:rFonts w:hint="eastAsia" w:ascii="仿宋" w:hAnsi="仿宋" w:eastAsia="仿宋"/>
          <w:bCs/>
          <w:sz w:val="32"/>
          <w:szCs w:val="32"/>
        </w:rPr>
        <w:t>（类）污染防治（款）固体废弃物与化学品（项）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其他节能环保（款）其他节能环保支出（项）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96.36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仿宋" w:hAnsi="仿宋" w:eastAsia="仿宋"/>
          <w:b/>
          <w:bCs/>
          <w:sz w:val="32"/>
          <w:szCs w:val="32"/>
        </w:rPr>
        <w:t>城乡社区</w:t>
      </w:r>
      <w:r>
        <w:rPr>
          <w:rStyle w:val="18"/>
          <w:rFonts w:hint="eastAsia" w:ascii="仿宋" w:hAnsi="仿宋" w:eastAsia="仿宋"/>
          <w:bCs/>
          <w:sz w:val="32"/>
          <w:szCs w:val="32"/>
        </w:rPr>
        <w:t>（类）国有土地使用权出让收入安排的支出（款）农村基础设施建设（项）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23.51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仿宋" w:hAnsi="仿宋" w:eastAsia="仿宋"/>
          <w:b/>
          <w:bCs/>
          <w:sz w:val="32"/>
          <w:szCs w:val="32"/>
        </w:rPr>
        <w:t>农林水</w:t>
      </w:r>
      <w:r>
        <w:rPr>
          <w:rStyle w:val="18"/>
          <w:rFonts w:hint="eastAsia" w:ascii="仿宋" w:hAnsi="仿宋" w:eastAsia="仿宋"/>
          <w:bCs/>
          <w:sz w:val="32"/>
          <w:szCs w:val="32"/>
        </w:rPr>
        <w:t>（类）农业农村（款）事业运行（项）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133.75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其他农业农村支出（项）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林业和草原（款）林业草原防灾减灾（项）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水利（款）防汛（项）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9.87</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农村综合改革（款）对村民委员会和村党支部的补助（项）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309.91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其他农林水（款）其他农林水支出（项）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25.68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仿宋" w:hAnsi="仿宋" w:eastAsia="仿宋"/>
          <w:b/>
          <w:bCs/>
          <w:sz w:val="32"/>
          <w:szCs w:val="32"/>
        </w:rPr>
        <w:t>住房保障</w:t>
      </w:r>
      <w:r>
        <w:rPr>
          <w:rStyle w:val="18"/>
          <w:rFonts w:hint="eastAsia" w:ascii="仿宋" w:hAnsi="仿宋" w:eastAsia="仿宋"/>
          <w:bCs/>
          <w:sz w:val="32"/>
          <w:szCs w:val="32"/>
        </w:rPr>
        <w:t>（类）住房改革支出（款）住房公积金（项）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77.01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eastAsia="仿宋_GB2312" w:cs="仿宋_GB2312"/>
          <w:sz w:val="32"/>
          <w:szCs w:val="32"/>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ascii="仿宋" w:hAnsi="仿宋" w:eastAsia="仿宋"/>
          <w:b/>
          <w:bCs/>
          <w:sz w:val="32"/>
          <w:szCs w:val="32"/>
        </w:rPr>
        <w:t>灾害防治及应急管理</w:t>
      </w:r>
      <w:r>
        <w:rPr>
          <w:rStyle w:val="18"/>
          <w:rFonts w:hint="eastAsia" w:ascii="仿宋" w:hAnsi="仿宋" w:eastAsia="仿宋"/>
          <w:bCs/>
          <w:sz w:val="32"/>
          <w:szCs w:val="32"/>
        </w:rPr>
        <w:t>（类）自然灾害防治（款）森林草原防灾减灾（项）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4.44</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firstLineChars="0"/>
        <w:outlineLvl w:val="0"/>
        <w:rPr>
          <w:rStyle w:val="29"/>
          <w:rFonts w:ascii="Times New Roman" w:hAnsi="Times New Roman"/>
        </w:rPr>
      </w:pPr>
      <w:bookmarkStart w:id="42" w:name="_Toc15396608"/>
      <w:bookmarkStart w:id="43" w:name="_Toc15377214"/>
      <w:bookmarkStart w:id="44" w:name="_Toc14135"/>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2"/>
      <w:bookmarkEnd w:id="43"/>
      <w:bookmarkEnd w:id="44"/>
      <w:r>
        <w:rPr>
          <w:rStyle w:val="29"/>
          <w:rFonts w:ascii="Times New Roman" w:hAnsi="Times New Roman" w:eastAsia="黑体"/>
          <w:b w:val="0"/>
        </w:rPr>
        <w:tab/>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45" w:name="_Toc15396609"/>
      <w:bookmarkStart w:id="46" w:name="_Toc15377215"/>
      <w:bookmarkStart w:id="47" w:name="_Toc471"/>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1478.33</w:t>
      </w:r>
      <w:r>
        <w:rPr>
          <w:rFonts w:hint="default" w:ascii="Times New Roman" w:hAnsi="Times New Roman" w:eastAsia="仿宋_GB2312" w:cs="Times New Roman"/>
          <w:sz w:val="32"/>
          <w:szCs w:val="32"/>
        </w:rPr>
        <w:t>万元，其中：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1244.95</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退休费、抚恤金、生活补助、医疗费补助、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主要包括：办公费、印刷费、咨询费、水费、电费、邮电费、差旅费、维修（护）费、租赁费、会议费、培训费、公务接待费、劳务费、委托业务费、工会经费、福利费、公务用车运行维护费、其他交通费、其他商品和服务支出、办公设备购置。</w:t>
      </w:r>
    </w:p>
    <w:p>
      <w:pPr>
        <w:spacing w:line="600" w:lineRule="exact"/>
        <w:ind w:firstLine="640" w:firstLineChars="0"/>
        <w:outlineLvl w:val="0"/>
        <w:rPr>
          <w:rStyle w:val="29"/>
          <w:rFonts w:ascii="Times New Roman" w:hAnsi="Times New Roman" w:eastAsia="黑体"/>
          <w:b w:val="0"/>
        </w:rPr>
      </w:pPr>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5"/>
      <w:bookmarkEnd w:id="46"/>
      <w:bookmarkEnd w:id="47"/>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8" w:name="_Toc15377216"/>
      <w:bookmarkStart w:id="49" w:name="_Toc31535"/>
      <w:r>
        <w:rPr>
          <w:rFonts w:hint="default" w:ascii="Times New Roman" w:hAnsi="Times New Roman" w:eastAsia="楷体_GB2312" w:cs="Times New Roman"/>
          <w:b/>
          <w:sz w:val="32"/>
          <w:szCs w:val="32"/>
        </w:rPr>
        <w:t>（一）“三公”经费财政拨款支出决算总体情况说明</w:t>
      </w:r>
      <w:bookmarkEnd w:id="48"/>
      <w:bookmarkEnd w:id="49"/>
    </w:p>
    <w:p>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%，较上年度减少</w:t>
      </w:r>
      <w:r>
        <w:rPr>
          <w:rFonts w:hint="eastAsia" w:eastAsia="仿宋_GB2312" w:cs="Times New Roman"/>
          <w:sz w:val="32"/>
          <w:szCs w:val="32"/>
          <w:lang w:val="en-US" w:eastAsia="zh-CN"/>
        </w:rPr>
        <w:t>5.16</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54.03</w:t>
      </w:r>
      <w:r>
        <w:rPr>
          <w:rFonts w:hint="default" w:ascii="Times New Roman" w:hAnsi="Times New Roman" w:eastAsia="仿宋_GB2312" w:cs="Times New Roman"/>
          <w:sz w:val="32"/>
          <w:szCs w:val="32"/>
        </w:rPr>
        <w:t>%。决算与预算数持平</w:t>
      </w:r>
      <w:r>
        <w:rPr>
          <w:rFonts w:hint="eastAsia" w:eastAsia="仿宋_GB2312" w:cs="Times New Roman"/>
          <w:b/>
          <w:bCs/>
          <w:sz w:val="32"/>
          <w:szCs w:val="32"/>
          <w:lang w:eastAsia="zh-CN"/>
        </w:rPr>
        <w:t>。</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50" w:name="_Toc3379"/>
      <w:bookmarkStart w:id="51" w:name="_Toc15377217"/>
      <w:r>
        <w:rPr>
          <w:rFonts w:hint="default" w:ascii="Times New Roman" w:hAnsi="Times New Roman" w:eastAsia="楷体_GB2312" w:cs="Times New Roman"/>
          <w:b/>
          <w:sz w:val="32"/>
          <w:szCs w:val="32"/>
        </w:rPr>
        <w:t>（二）“三公”经费财政拨款支出决算具体情况说明</w:t>
      </w:r>
      <w:bookmarkEnd w:id="50"/>
      <w:bookmarkEnd w:id="5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pPr>
        <w:pStyle w:val="2"/>
        <w:outlineLvl w:val="9"/>
        <w:rPr>
          <w:rFonts w:hint="default"/>
        </w:rPr>
      </w:pPr>
      <w:r>
        <w:rPr>
          <w:rFonts w:hint="eastAsia" w:ascii="Times New Roman" w:hAnsi="Times New Roman" w:eastAsia="仿宋_GB2312" w:cs="Times New Roman"/>
          <w:sz w:val="32"/>
          <w:szCs w:val="32"/>
          <w:lang w:eastAsia="zh-CN"/>
        </w:rPr>
        <w:drawing>
          <wp:inline distT="0" distB="0" distL="114300" distR="114300">
            <wp:extent cx="5071110" cy="2867660"/>
            <wp:effectExtent l="4445" t="4445" r="1079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ageBreakBefore w:val="0"/>
        <w:kinsoku/>
        <w:wordWrap/>
        <w:overflowPunct/>
        <w:topLinePunct w:val="0"/>
        <w:autoSpaceDE/>
        <w:autoSpaceDN/>
        <w:bidi w:val="0"/>
        <w:spacing w:line="560" w:lineRule="exact"/>
        <w:ind w:firstLine="640"/>
        <w:textAlignment w:val="auto"/>
        <w:rPr>
          <w:rFonts w:hint="eastAsia" w:eastAsia="仿宋_GB2312" w:cs="Times New Roman"/>
          <w:sz w:val="32"/>
          <w:szCs w:val="32"/>
          <w:lang w:val="en-US" w:eastAsia="zh-CN"/>
        </w:rPr>
      </w:pPr>
      <w:bookmarkStart w:id="52" w:name="_Toc15396610"/>
      <w:bookmarkStart w:id="53" w:name="_Toc15377218"/>
      <w:r>
        <w:rPr>
          <w:rFonts w:hint="default" w:ascii="Times New Roman" w:hAnsi="Times New Roman" w:eastAsia="仿宋_GB2312" w:cs="Times New Roman"/>
          <w:b/>
          <w:bCs/>
          <w:sz w:val="32"/>
          <w:szCs w:val="32"/>
        </w:rPr>
        <w:t>1.因公出国（境）经费支出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4.39</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eastAsia" w:eastAsia="仿宋_GB2312" w:cs="Times New Roman"/>
          <w:sz w:val="32"/>
          <w:szCs w:val="32"/>
          <w:lang w:val="en-US" w:eastAsia="zh-CN"/>
        </w:rPr>
        <w:t>5.07</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53.59</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有一辆公车报废。</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全年未采购</w:t>
      </w:r>
      <w:r>
        <w:rPr>
          <w:rFonts w:hint="default" w:ascii="Times New Roman" w:hAnsi="Times New Roman" w:eastAsia="仿宋_GB2312" w:cs="Times New Roman"/>
          <w:sz w:val="32"/>
          <w:szCs w:val="32"/>
        </w:rPr>
        <w:t>。截至2024年12月31日，单位共有公务用车</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eastAsia="仿宋_GB2312" w:cs="Times New Roman"/>
          <w:sz w:val="32"/>
          <w:szCs w:val="32"/>
          <w:lang w:val="en-US" w:eastAsia="zh-CN"/>
        </w:rPr>
        <w:t>垃圾车1辆</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森防和下村开展食品安全宣传，交通劝导等</w:t>
      </w:r>
      <w:r>
        <w:rPr>
          <w:rFonts w:hint="default" w:ascii="Times New Roman" w:hAnsi="Times New Roman" w:eastAsia="仿宋_GB2312" w:cs="Times New Roman"/>
          <w:sz w:val="32"/>
          <w:szCs w:val="32"/>
        </w:rPr>
        <w:t>所需的公务用车燃料费、维修费、过路过桥费、保险费等支出。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pPr>
        <w:spacing w:line="600" w:lineRule="exact"/>
        <w:ind w:firstLine="640" w:firstLineChars="0"/>
        <w:outlineLvl w:val="0"/>
        <w:rPr>
          <w:rStyle w:val="29"/>
          <w:rFonts w:ascii="Times New Roman" w:hAnsi="Times New Roman" w:eastAsia="黑体"/>
        </w:rPr>
      </w:pPr>
      <w:bookmarkStart w:id="54" w:name="_Toc32753"/>
      <w:r>
        <w:rPr>
          <w:rFonts w:hint="eastAsia" w:eastAsia="黑体"/>
          <w:sz w:val="32"/>
          <w:szCs w:val="32"/>
        </w:rPr>
        <w:t>八、</w:t>
      </w:r>
      <w:r>
        <w:rPr>
          <w:rStyle w:val="29"/>
          <w:rFonts w:hint="eastAsia" w:ascii="Times New Roman" w:hAnsi="Times New Roman" w:eastAsia="黑体"/>
          <w:b w:val="0"/>
        </w:rPr>
        <w:t>政府性基金预算支出决算情况说明</w:t>
      </w:r>
      <w:bookmarkEnd w:id="52"/>
      <w:bookmarkEnd w:id="53"/>
      <w:bookmarkEnd w:id="5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bookmarkStart w:id="55" w:name="_Toc15377219"/>
      <w:bookmarkStart w:id="56" w:name="_Toc15396611"/>
      <w:r>
        <w:rPr>
          <w:rFonts w:hint="default" w:ascii="Times New Roman" w:hAnsi="Times New Roman" w:eastAsia="仿宋_GB2312" w:cs="Times New Roman"/>
          <w:sz w:val="32"/>
          <w:szCs w:val="32"/>
        </w:rPr>
        <w:t>2024年度政府性基金预算财政拨款支出</w:t>
      </w:r>
      <w:r>
        <w:rPr>
          <w:rFonts w:hint="eastAsia" w:eastAsia="仿宋_GB2312" w:cs="Times New Roman"/>
          <w:sz w:val="32"/>
          <w:szCs w:val="32"/>
          <w:lang w:val="en-US" w:eastAsia="zh-CN"/>
        </w:rPr>
        <w:t>23.5</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1.06</w:t>
      </w:r>
      <w:r>
        <w:rPr>
          <w:rFonts w:hint="default" w:ascii="Times New Roman" w:hAnsi="Times New Roman" w:eastAsia="仿宋_GB2312" w:cs="Times New Roman"/>
          <w:sz w:val="32"/>
          <w:szCs w:val="32"/>
        </w:rPr>
        <w:t>%。与2023年度相比，政府性基金预算财政拨款支出增加</w:t>
      </w:r>
      <w:r>
        <w:rPr>
          <w:rFonts w:hint="eastAsia" w:eastAsia="仿宋_GB2312" w:cs="Times New Roman"/>
          <w:sz w:val="32"/>
          <w:szCs w:val="32"/>
          <w:lang w:val="en-US" w:eastAsia="zh-CN"/>
        </w:rPr>
        <w:t>19.9</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552.78</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政府性基金预算项目增加。</w:t>
      </w:r>
    </w:p>
    <w:p>
      <w:pPr>
        <w:spacing w:line="600" w:lineRule="exact"/>
        <w:ind w:left="630" w:leftChars="0"/>
        <w:outlineLvl w:val="0"/>
        <w:rPr>
          <w:rStyle w:val="29"/>
          <w:rFonts w:ascii="Times New Roman" w:hAnsi="Times New Roman" w:eastAsia="黑体"/>
          <w:b w:val="0"/>
        </w:rPr>
      </w:pPr>
      <w:bookmarkStart w:id="57" w:name="_Toc1156"/>
      <w:r>
        <w:rPr>
          <w:rStyle w:val="29"/>
          <w:rFonts w:hint="eastAsia" w:ascii="Times New Roman" w:hAnsi="Times New Roman" w:eastAsia="黑体"/>
          <w:b w:val="0"/>
        </w:rPr>
        <w:t>九、国有资本经营预算支出决算情况说明</w:t>
      </w:r>
      <w:bookmarkEnd w:id="55"/>
      <w:bookmarkEnd w:id="56"/>
      <w:bookmarkEnd w:id="5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58" w:name="_Toc15396612"/>
      <w:bookmarkStart w:id="59" w:name="_Toc15377221"/>
      <w:r>
        <w:rPr>
          <w:rFonts w:hint="default" w:ascii="Times New Roman" w:hAnsi="Times New Roman" w:eastAsia="仿宋_GB2312" w:cs="Times New Roman"/>
          <w:sz w:val="32"/>
          <w:szCs w:val="32"/>
        </w:rPr>
        <w:t>2024年度国有资本经营预算财政拨款支出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pPr>
        <w:spacing w:line="600" w:lineRule="exact"/>
        <w:ind w:left="630" w:leftChars="0"/>
        <w:outlineLvl w:val="0"/>
        <w:rPr>
          <w:rStyle w:val="29"/>
          <w:rFonts w:ascii="Times New Roman" w:hAnsi="Times New Roman" w:eastAsia="黑体"/>
          <w:b w:val="0"/>
        </w:rPr>
      </w:pPr>
      <w:bookmarkStart w:id="60" w:name="_Toc6872"/>
      <w:r>
        <w:rPr>
          <w:rStyle w:val="29"/>
          <w:rFonts w:hint="eastAsia" w:ascii="Times New Roman" w:hAnsi="Times New Roman" w:eastAsia="黑体"/>
          <w:b w:val="0"/>
        </w:rPr>
        <w:t>十、其他重要事项的情况说明</w:t>
      </w:r>
      <w:bookmarkEnd w:id="58"/>
      <w:bookmarkEnd w:id="59"/>
      <w:bookmarkEnd w:id="60"/>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1" w:name="_Toc15377222"/>
      <w:bookmarkStart w:id="62" w:name="_Toc31847"/>
      <w:r>
        <w:rPr>
          <w:rFonts w:hint="default" w:ascii="Times New Roman" w:hAnsi="Times New Roman" w:eastAsia="楷体_GB2312" w:cs="Times New Roman"/>
          <w:b/>
          <w:sz w:val="32"/>
          <w:szCs w:val="32"/>
        </w:rPr>
        <w:t>（一）机关运行经费支出情况</w:t>
      </w:r>
      <w:bookmarkEnd w:id="61"/>
      <w:bookmarkEnd w:id="6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机关运行经费支出</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万元，比2023年度增加</w:t>
      </w:r>
      <w:r>
        <w:rPr>
          <w:rFonts w:hint="eastAsia" w:eastAsia="仿宋_GB2312" w:cs="Times New Roman"/>
          <w:sz w:val="32"/>
          <w:szCs w:val="32"/>
          <w:lang w:val="en-US" w:eastAsia="zh-CN"/>
        </w:rPr>
        <w:t>26.6</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12.86</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各类工作增多，下村次数增多，租车费增加。</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3" w:name="_Toc30729"/>
      <w:bookmarkStart w:id="64" w:name="_Toc15377223"/>
      <w:r>
        <w:rPr>
          <w:rFonts w:hint="default" w:ascii="Times New Roman" w:hAnsi="Times New Roman" w:eastAsia="楷体_GB2312" w:cs="Times New Roman"/>
          <w:b/>
          <w:sz w:val="32"/>
          <w:szCs w:val="32"/>
        </w:rPr>
        <w:t>（二）政府采购支出情况</w:t>
      </w:r>
      <w:bookmarkEnd w:id="63"/>
      <w:bookmarkEnd w:id="6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政府采购支出总额</w:t>
      </w:r>
      <w:r>
        <w:rPr>
          <w:rFonts w:hint="eastAsia" w:eastAsia="仿宋_GB2312" w:cs="Times New Roman"/>
          <w:sz w:val="32"/>
          <w:szCs w:val="32"/>
          <w:lang w:val="en-US" w:eastAsia="zh-CN"/>
        </w:rPr>
        <w:t>303.57</w:t>
      </w:r>
      <w:r>
        <w:rPr>
          <w:rFonts w:hint="default" w:ascii="Times New Roman" w:hAnsi="Times New Roman" w:eastAsia="仿宋_GB2312" w:cs="Times New Roman"/>
          <w:sz w:val="32"/>
          <w:szCs w:val="32"/>
        </w:rPr>
        <w:t>万元，其中：政府采购货物支出</w:t>
      </w:r>
      <w:r>
        <w:rPr>
          <w:rFonts w:hint="eastAsia" w:eastAsia="仿宋_GB2312" w:cs="Times New Roman"/>
          <w:sz w:val="32"/>
          <w:szCs w:val="32"/>
          <w:lang w:val="en-US" w:eastAsia="zh-CN"/>
        </w:rPr>
        <w:t>1.12</w:t>
      </w:r>
      <w:r>
        <w:rPr>
          <w:rFonts w:hint="default" w:ascii="Times New Roman" w:hAnsi="Times New Roman" w:eastAsia="仿宋_GB2312" w:cs="Times New Roman"/>
          <w:sz w:val="32"/>
          <w:szCs w:val="32"/>
        </w:rPr>
        <w:t>万元、政府采购工程支出</w:t>
      </w:r>
      <w:r>
        <w:rPr>
          <w:rFonts w:hint="eastAsia" w:eastAsia="仿宋_GB2312" w:cs="Times New Roman"/>
          <w:sz w:val="32"/>
          <w:szCs w:val="32"/>
          <w:lang w:val="en-US" w:eastAsia="zh-CN"/>
        </w:rPr>
        <w:t>299.37</w:t>
      </w:r>
      <w:r>
        <w:rPr>
          <w:rFonts w:hint="default" w:ascii="Times New Roman" w:hAnsi="Times New Roman" w:eastAsia="仿宋_GB2312" w:cs="Times New Roman"/>
          <w:sz w:val="32"/>
          <w:szCs w:val="32"/>
        </w:rPr>
        <w:t>万元、政府采购服务支出</w:t>
      </w:r>
      <w:r>
        <w:rPr>
          <w:rFonts w:hint="eastAsia" w:eastAsia="仿宋_GB2312" w:cs="Times New Roman"/>
          <w:sz w:val="32"/>
          <w:szCs w:val="32"/>
          <w:lang w:val="en-US" w:eastAsia="zh-CN"/>
        </w:rPr>
        <w:t>3.08</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公车维修、保险、保养费用，以及民族团结示范村项目采购</w:t>
      </w:r>
      <w:r>
        <w:rPr>
          <w:rFonts w:hint="default" w:ascii="Times New Roman" w:hAnsi="Times New Roman" w:eastAsia="仿宋_GB2312" w:cs="Times New Roman"/>
          <w:sz w:val="32"/>
          <w:szCs w:val="32"/>
        </w:rPr>
        <w:t>。授予中小企业合同金额</w:t>
      </w:r>
      <w:r>
        <w:rPr>
          <w:rFonts w:hint="eastAsia" w:eastAsia="仿宋_GB2312" w:cs="Times New Roman"/>
          <w:sz w:val="32"/>
          <w:szCs w:val="32"/>
          <w:lang w:val="en-US" w:eastAsia="zh-CN"/>
        </w:rPr>
        <w:t>302.78</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99.74</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300.76</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99.07</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5" w:name="_Toc14948"/>
      <w:bookmarkStart w:id="66" w:name="_Toc15377224"/>
      <w:r>
        <w:rPr>
          <w:rFonts w:hint="default" w:ascii="Times New Roman" w:hAnsi="Times New Roman" w:eastAsia="楷体_GB2312" w:cs="Times New Roman"/>
          <w:b/>
          <w:sz w:val="32"/>
          <w:szCs w:val="32"/>
        </w:rPr>
        <w:t>（三）国有资产占有使用情况</w:t>
      </w:r>
      <w:bookmarkEnd w:id="65"/>
      <w:bookmarkEnd w:id="6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共有车辆</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辆，其中：应急保障用车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辆，其他用车主要是用于</w:t>
      </w:r>
      <w:r>
        <w:rPr>
          <w:rFonts w:hint="eastAsia" w:eastAsia="仿宋_GB2312" w:cs="Times New Roman"/>
          <w:sz w:val="32"/>
          <w:szCs w:val="32"/>
          <w:lang w:val="en-US" w:eastAsia="zh-CN"/>
        </w:rPr>
        <w:t>垃圾清运</w:t>
      </w:r>
      <w:r>
        <w:rPr>
          <w:rFonts w:hint="default" w:ascii="Times New Roman" w:hAnsi="Times New Roman" w:eastAsia="仿宋_GB2312" w:cs="Times New Roman"/>
          <w:sz w:val="32"/>
          <w:szCs w:val="32"/>
        </w:rPr>
        <w:t>。单价100万元（含）以上设备（不含车辆）</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7" w:name="_Toc20736"/>
      <w:r>
        <w:rPr>
          <w:rFonts w:hint="default" w:ascii="Times New Roman" w:hAnsi="Times New Roman" w:eastAsia="楷体_GB2312" w:cs="Times New Roman"/>
          <w:b/>
          <w:sz w:val="32"/>
          <w:szCs w:val="32"/>
        </w:rPr>
        <w:t>（四）预算绩效管理情况</w:t>
      </w:r>
      <w:bookmarkEnd w:id="6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政府在2024年度预算编制阶段，组织对</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年国胜乡乡人大代表活动经费及人代会经费</w:t>
      </w:r>
      <w:r>
        <w:rPr>
          <w:rFonts w:hint="default" w:ascii="Times New Roman" w:hAnsi="Times New Roman" w:eastAsia="仿宋_GB2312" w:cs="Times New Roman"/>
          <w:kern w:val="2"/>
          <w:sz w:val="32"/>
          <w:highlight w:val="white"/>
        </w:rPr>
        <w:t>、202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年国胜乡乡村治理补助（2元/年.人）、202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年国胜乡少数民族工作经费补助、敬老院管理人员经费、202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年国胜乡农村特困人员生活费、202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年国胜乡农村特困人员丧葬费、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年国胜乡农村特困人员御寒费、202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年国胜乡农村特困人员照料护理费、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年国胜乡基本公共卫生服务经费、202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年基层组织活动和公共服务运行</w:t>
      </w:r>
      <w:r>
        <w:rPr>
          <w:rFonts w:hint="default" w:ascii="Times New Roman" w:hAnsi="Times New Roman" w:eastAsia="仿宋_GB2312" w:cs="Times New Roman"/>
          <w:kern w:val="2"/>
          <w:sz w:val="32"/>
        </w:rPr>
        <w:t>等10个项目开展了预算事前绩效评估，对10个项目编制了绩效目标，</w:t>
      </w:r>
      <w:r>
        <w:rPr>
          <w:rFonts w:hint="default" w:ascii="Times New Roman" w:hAnsi="Times New Roman" w:eastAsia="仿宋_GB2312" w:cs="Times New Roman"/>
          <w:sz w:val="32"/>
          <w:szCs w:val="32"/>
        </w:rPr>
        <w:t>预算执行过程中，选取</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个项目开展绩效监控。</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部门整体（含部门预算项目）绩效自评报告、</w:t>
      </w:r>
      <w:r>
        <w:rPr>
          <w:rFonts w:hint="default" w:ascii="Times New Roman" w:hAnsi="Times New Roman" w:eastAsia="仿宋_GB2312" w:cs="Times New Roman"/>
          <w:kern w:val="2"/>
          <w:sz w:val="32"/>
        </w:rPr>
        <w:t>敬老院管理人员经费</w:t>
      </w:r>
      <w:r>
        <w:rPr>
          <w:rFonts w:hint="default" w:ascii="Times New Roman" w:hAnsi="Times New Roman" w:eastAsia="仿宋_GB2312" w:cs="Times New Roman"/>
          <w:sz w:val="32"/>
          <w:szCs w:val="32"/>
        </w:rPr>
        <w:t>等专项预算项目绩效自评报告，其中，</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部门整体（含部门预算项目）绩效自评得分为</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rPr>
        <w:t>分。</w:t>
      </w:r>
    </w:p>
    <w:p>
      <w:pPr>
        <w:spacing w:line="600" w:lineRule="exact"/>
        <w:ind w:firstLine="640"/>
        <w:rPr>
          <w:rFonts w:eastAsia="仿宋_GB2312" w:cs="仿宋_GB2312"/>
          <w:sz w:val="32"/>
          <w:szCs w:val="32"/>
        </w:rPr>
      </w:pPr>
    </w:p>
    <w:p>
      <w:pPr>
        <w:pStyle w:val="2"/>
        <w:outlineLvl w:val="9"/>
        <w:rPr>
          <w:rFonts w:eastAsia="仿宋_GB2312" w:cs="仿宋_GB2312"/>
          <w:sz w:val="32"/>
          <w:szCs w:val="32"/>
        </w:rPr>
      </w:pPr>
    </w:p>
    <w:p>
      <w:pPr>
        <w:rPr>
          <w:rFonts w:eastAsia="仿宋_GB2312" w:cs="仿宋_GB2312"/>
          <w:sz w:val="32"/>
          <w:szCs w:val="32"/>
        </w:rPr>
      </w:pPr>
    </w:p>
    <w:p>
      <w:pPr>
        <w:pStyle w:val="2"/>
        <w:outlineLvl w:val="9"/>
        <w:rPr>
          <w:rFonts w:eastAsia="仿宋_GB2312" w:cs="仿宋_GB2312"/>
          <w:sz w:val="32"/>
          <w:szCs w:val="32"/>
        </w:rPr>
      </w:pPr>
    </w:p>
    <w:p>
      <w:pPr>
        <w:rPr>
          <w:rFonts w:eastAsia="仿宋_GB2312" w:cs="仿宋_GB2312"/>
          <w:sz w:val="32"/>
          <w:szCs w:val="32"/>
        </w:rPr>
      </w:pPr>
    </w:p>
    <w:p>
      <w:pPr>
        <w:pStyle w:val="2"/>
        <w:outlineLvl w:val="9"/>
        <w:rPr>
          <w:rFonts w:eastAsia="仿宋_GB2312" w:cs="仿宋_GB2312"/>
          <w:sz w:val="32"/>
          <w:szCs w:val="32"/>
        </w:rPr>
      </w:pPr>
    </w:p>
    <w:p>
      <w:pPr>
        <w:rPr>
          <w:rFonts w:eastAsia="仿宋_GB2312" w:cs="仿宋_GB2312"/>
          <w:sz w:val="32"/>
          <w:szCs w:val="32"/>
        </w:rPr>
      </w:pPr>
    </w:p>
    <w:p>
      <w:pPr>
        <w:pStyle w:val="2"/>
        <w:outlineLvl w:val="9"/>
      </w:pP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spacing w:line="600" w:lineRule="exact"/>
        <w:jc w:val="center"/>
        <w:outlineLvl w:val="0"/>
        <w:rPr>
          <w:rFonts w:eastAsia="黑体"/>
          <w:sz w:val="44"/>
          <w:szCs w:val="44"/>
        </w:rPr>
      </w:pPr>
      <w:bookmarkStart w:id="68" w:name="_Toc15377225"/>
      <w:bookmarkStart w:id="69" w:name="_Toc15313"/>
      <w:bookmarkStart w:id="70" w:name="_Toc15396613"/>
      <w:bookmarkStart w:id="71" w:name="_Toc17638"/>
      <w:r>
        <w:rPr>
          <w:rFonts w:hint="eastAsia" w:eastAsia="黑体"/>
          <w:sz w:val="44"/>
          <w:szCs w:val="44"/>
        </w:rPr>
        <w:t>第三部分  名词解释</w:t>
      </w:r>
      <w:bookmarkEnd w:id="68"/>
      <w:bookmarkEnd w:id="69"/>
      <w:bookmarkEnd w:id="70"/>
      <w:bookmarkEnd w:id="71"/>
    </w:p>
    <w:p>
      <w:pPr>
        <w:spacing w:line="600" w:lineRule="exact"/>
        <w:jc w:val="left"/>
        <w:rPr>
          <w:b/>
          <w:sz w:val="44"/>
          <w:szCs w:val="44"/>
        </w:rPr>
      </w:pP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72" w:name="_Toc15377226"/>
      <w:r>
        <w:rPr>
          <w:rFonts w:hint="default" w:ascii="Times New Roman" w:hAnsi="Times New Roman" w:eastAsia="仿宋_GB2312" w:cs="Times New Roman"/>
          <w:sz w:val="32"/>
          <w:szCs w:val="32"/>
        </w:rPr>
        <w:t>1.财政拨款收入：指单位从同级财政部门取得的财政预算资金。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2.事业收入：指事业单位开展专业业务活动及辅助活动取得的收入。如（二级预算单位事业收入情况）等。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3.经营收入：指事业单位在专业业务活动及其辅助活动之外开展非独立核算经营活动取得的收入。如（二级预算单位经营收入情况）等。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3" w:name="_Toc22621"/>
      <w:r>
        <w:rPr>
          <w:rFonts w:hint="default" w:ascii="Times New Roman" w:hAnsi="Times New Roman" w:eastAsia="仿宋_GB2312" w:cs="Times New Roman"/>
          <w:sz w:val="32"/>
          <w:szCs w:val="32"/>
        </w:rPr>
        <w:t>9.一般公共服务</w:t>
      </w:r>
      <w:bookmarkEnd w:id="7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人大事务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一般公共服务201（类）人大事务01（款）人大会议04（项）</w:t>
      </w:r>
      <w:r>
        <w:rPr>
          <w:rFonts w:hint="default" w:ascii="Times New Roman" w:hAnsi="Times New Roman" w:eastAsia="仿宋_GB2312" w:cs="Times New Roman"/>
          <w:sz w:val="32"/>
          <w:szCs w:val="32"/>
        </w:rPr>
        <w:t>：指反映各级人大召开人民代表大会等专门会议的支出。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一般公共服务201（类）人大事务01（款）99其他人大事务支出（项）：指反映除上述项目以外的其他人大事务支出。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政协事务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一般公共服务201（类）政协事务02（款）其他政协事务支出99（项）</w:t>
      </w:r>
      <w:r>
        <w:rPr>
          <w:rFonts w:hint="default" w:ascii="Times New Roman" w:hAnsi="Times New Roman" w:eastAsia="仿宋_GB2312" w:cs="Times New Roman"/>
          <w:sz w:val="32"/>
          <w:szCs w:val="32"/>
        </w:rPr>
        <w:t>：指反映除上述项目以外的其他政协事务支出。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政府办公厅（室）及相关机关事务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一般公共服务201（类）政府办公厅（室）及相关机构事务03（款）一般行政管理事务02（项）</w:t>
      </w:r>
      <w:r>
        <w:rPr>
          <w:rFonts w:hint="default" w:ascii="Times New Roman" w:hAnsi="Times New Roman" w:eastAsia="仿宋_GB2312" w:cs="Times New Roman"/>
          <w:sz w:val="32"/>
          <w:szCs w:val="32"/>
        </w:rPr>
        <w:t>：指反映行政单位（包括实行公务员管理的事业单位）未单独设置项级科目的其他项目支出。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一般公共服务201（类）政府办公厅（室）及相关机构事务03（款）事业运行02（项）</w:t>
      </w:r>
      <w:r>
        <w:rPr>
          <w:rFonts w:hint="default" w:ascii="Times New Roman" w:hAnsi="Times New Roman" w:eastAsia="仿宋_GB2312" w:cs="Times New Roman"/>
          <w:sz w:val="32"/>
          <w:szCs w:val="32"/>
        </w:rPr>
        <w:t>：指反映事业单位的基本支出，不包括行政单位（包括实行公务员管理的事业单位）后勤服务中心、医务室等附属事业单位。</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一般公共服务201（类）政府办公厅（室）及相关机构事务03（款）其他政府办公厅(室)及相关机构事务支出99（项）：指反映除上述项目以外其他政府办公厅(室)及相关机构事务支出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一般公共服务201（类）民族事务23（款）民族工作专项04（项）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反映用于民族事务管理方面的专项支出。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一般公共服务201（类）民族事务23（款）其他民族事务99（项）</w:t>
      </w:r>
      <w:r>
        <w:rPr>
          <w:rFonts w:hint="default" w:ascii="Times New Roman" w:hAnsi="Times New Roman" w:eastAsia="仿宋_GB2312" w:cs="Times New Roman"/>
          <w:sz w:val="32"/>
          <w:szCs w:val="32"/>
        </w:rPr>
        <w:t>：指反映除上述项目以外其他用于民族事务方面的支出。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群众团体事务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一般公共服务201（类）群众团体事务29（款）事业运行50（项）：指反映事业单位的基本支出，不包括行政单位（包括实行公务员管理的事业单位）后勤服务中心、医疗室等附属事业单位。</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党委办公厅（室）及相关机构事务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一般公共服务201（类）党委办公厅（室）及相关机构事务31（款）行政运行01（项）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一般公共服务201（类）党委办公厅（室）及相关机构事务31（款）一般行政管理事务02（项）：指反映行政单位（包括实行公务员管理的事业单位）未单独设置项级科目的其他项目支出。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其他一般公共服务支出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一般公共服务201（类）其他一般公共服务支出99（款）其他一般公共服务支出99（项）：指反映除上述项目以外的其他一般公共服务支出。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4" w:name="_Toc18107"/>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.文化体育与传媒</w:t>
      </w:r>
      <w:bookmarkEnd w:id="7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文化旅游体育与传媒支出207（类）文化和旅游01（款）群众文化09（项）</w:t>
      </w:r>
      <w:r>
        <w:rPr>
          <w:rFonts w:hint="default" w:ascii="Times New Roman" w:hAnsi="Times New Roman" w:eastAsia="仿宋_GB2312" w:cs="Times New Roman"/>
          <w:sz w:val="32"/>
          <w:szCs w:val="32"/>
        </w:rPr>
        <w:t>：指反映群众文化方面的支出，包括基层文化馆（站）、群众艺术馆支出等。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文化旅游体育与传媒支出207（类）文化和旅游01（款）其他文化和旅游支出99（项）</w:t>
      </w:r>
      <w:r>
        <w:rPr>
          <w:rFonts w:hint="default" w:ascii="Times New Roman" w:hAnsi="Times New Roman" w:eastAsia="仿宋_GB2312" w:cs="Times New Roman"/>
          <w:sz w:val="32"/>
          <w:szCs w:val="32"/>
        </w:rPr>
        <w:t>：反映除上述项目以外其他用于文化和旅游方</w:t>
      </w:r>
      <w:r>
        <w:rPr>
          <w:rFonts w:hint="default" w:ascii="Times New Roman" w:hAnsi="Times New Roman" w:eastAsia="仿宋_GB2312" w:cs="Times New Roman"/>
          <w:sz w:val="32"/>
          <w:szCs w:val="32"/>
          <w:lang w:eastAsia="zh-CN"/>
        </w:rPr>
        <w:t>面的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5" w:name="_Toc17876"/>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w:t>
      </w:r>
      <w:bookmarkEnd w:id="7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社会保障和就业支出208（类）人力资源和社会保障管理事务01（款）社会保险经办机构09（项）</w:t>
      </w:r>
      <w:r>
        <w:rPr>
          <w:rFonts w:hint="default" w:ascii="Times New Roman" w:hAnsi="Times New Roman" w:eastAsia="仿宋_GB2312" w:cs="Times New Roman"/>
          <w:sz w:val="32"/>
          <w:szCs w:val="32"/>
        </w:rPr>
        <w:t>：指反映社会保险经办机构开展业务工作的支出。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社会保障和就业支出208（类）人力资源和社会保障管理事务01（款）其他人力资源和社会保障管理实务支出99（项）</w:t>
      </w:r>
      <w:r>
        <w:rPr>
          <w:rFonts w:hint="default" w:ascii="Times New Roman" w:hAnsi="Times New Roman" w:eastAsia="仿宋_GB2312" w:cs="Times New Roman"/>
          <w:sz w:val="32"/>
          <w:szCs w:val="32"/>
        </w:rPr>
        <w:t>：反映除上述项目以外其他用于人力资源社会保障管理事务方面的支出。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社会保障和就业支出208（类）民政管理事务02（款）基层政权建设和社区治理08（项）</w:t>
      </w:r>
      <w:r>
        <w:rPr>
          <w:rFonts w:hint="default" w:ascii="Times New Roman" w:hAnsi="Times New Roman" w:eastAsia="仿宋_GB2312" w:cs="Times New Roman"/>
          <w:sz w:val="32"/>
          <w:szCs w:val="32"/>
        </w:rPr>
        <w:t>：指反映开展城乡社区治理、城乡社区服务（乡村便民服务）村（居）民自治、村（居）务公开、乡镇（街道）服务能力建设等基层政权建设和社区治理工作支出。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社会保障和就业支出208（类）行政事业单位养老支出05（款）行政单位离退休01（项）</w:t>
      </w:r>
      <w:r>
        <w:rPr>
          <w:rFonts w:hint="default" w:ascii="Times New Roman" w:hAnsi="Times New Roman" w:eastAsia="仿宋_GB2312" w:cs="Times New Roman"/>
          <w:sz w:val="32"/>
          <w:szCs w:val="32"/>
        </w:rPr>
        <w:t>：指反映行政单位（包括实行公务员管理的事业单位）开支的离退休经费。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社会保障和就业支出208（类）行政事业单位养老支出05（款）事业单位离退休02（项）</w:t>
      </w:r>
      <w:r>
        <w:rPr>
          <w:rFonts w:hint="default" w:ascii="Times New Roman" w:hAnsi="Times New Roman" w:eastAsia="仿宋_GB2312" w:cs="Times New Roman"/>
          <w:sz w:val="32"/>
          <w:szCs w:val="32"/>
        </w:rPr>
        <w:t>：指反映事业单位开支的离退休经费。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社会保障和就业支出208（类）行政事业单位养老支出05（款）机关事业单位基本养老保险缴费支出05（项）</w:t>
      </w:r>
      <w:r>
        <w:rPr>
          <w:rFonts w:hint="default" w:ascii="Times New Roman" w:hAnsi="Times New Roman" w:eastAsia="仿宋_GB2312" w:cs="Times New Roman"/>
          <w:sz w:val="32"/>
          <w:szCs w:val="32"/>
        </w:rPr>
        <w:t>：指反映机关事业单位实施养老保险制度由单位缴纳的基本养老保险费支出。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社会保障和就业支出208（类）行政事业单位养老支出05（款）机关事业单位职业年金缴费支出06（项）</w:t>
      </w:r>
      <w:r>
        <w:rPr>
          <w:rFonts w:hint="default" w:ascii="Times New Roman" w:hAnsi="Times New Roman" w:eastAsia="仿宋_GB2312" w:cs="Times New Roman"/>
          <w:sz w:val="32"/>
          <w:szCs w:val="32"/>
        </w:rPr>
        <w:t>：指反映机关事业单位实施养老保险制度由单位实际缴纳的职业年金支出。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社会保障和就业支出208（类）就业补助07（款）就业创业服务补贴01（项）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财政用于支持加强公共就业服务机构提升创业服务能力和向社会力量购买就业创业服务成果的补助支出。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社会保障和就业支出208（类）抚恤08（款）死亡抚恤01（项）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按规定用于烈士和牺牲、病故人员家属的一次性和定期抚恤金、丧葬补助费以及烈士褒扬金。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社会保障和就业支出208（类）抚恤08（款）伤残抚恤02（项）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按规定用于伤残人员的抚恤金和按规定开支的各种伤残补助费。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社会保障和就业支出208（类）特困人员救助供养21（款）农村特困人员救助供养支出02（项）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农村特困人员救助供养支出。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6" w:name="_Toc17288"/>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.卫生健康支出</w:t>
      </w:r>
      <w:bookmarkEnd w:id="7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卫生健康支出210（类）公共卫生04（款）其他公共卫生支出99（项）</w:t>
      </w:r>
      <w:r>
        <w:rPr>
          <w:rFonts w:hint="default" w:ascii="Times New Roman" w:hAnsi="Times New Roman" w:eastAsia="仿宋_GB2312" w:cs="Times New Roman"/>
          <w:sz w:val="32"/>
          <w:szCs w:val="32"/>
        </w:rPr>
        <w:t>：指反映除其他公共卫生支出反映上述项目以外的其他用于公共卫生方面的支出。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卫生健康支出210（类）行政事业单位医疗11（款）行政单位医疗01（项）</w:t>
      </w:r>
      <w:r>
        <w:rPr>
          <w:rFonts w:hint="default" w:ascii="Times New Roman" w:hAnsi="Times New Roman" w:eastAsia="仿宋_GB2312" w:cs="Times New Roman"/>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卫生健康支出210（类）行政事业单位医疗11（款）事业单位医疗02（项）</w:t>
      </w:r>
      <w:r>
        <w:rPr>
          <w:rFonts w:hint="default" w:ascii="Times New Roman" w:hAnsi="Times New Roman" w:eastAsia="仿宋_GB2312" w:cs="Times New Roman"/>
          <w:sz w:val="32"/>
          <w:szCs w:val="32"/>
        </w:rPr>
        <w:t>：指反映财政部门安排的事业单位基本医疗保险缴费经费，未参加医疗保险的事业单位的公费医疗经费，按国家规定享受离休人员的医疗经费。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卫生健康支出210（类）行政事业单位医疗11（款）公务员医疗补助03（项）</w:t>
      </w:r>
      <w:r>
        <w:rPr>
          <w:rFonts w:hint="default" w:ascii="Times New Roman" w:hAnsi="Times New Roman" w:eastAsia="仿宋_GB2312" w:cs="Times New Roman"/>
          <w:sz w:val="32"/>
          <w:szCs w:val="32"/>
        </w:rPr>
        <w:t>：指反映财政部门安排的公务员医疗补助经费。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卫生健康支出210（类）行政事业单位医疗11（款）其他行政事业单位医疗支出99（项）</w:t>
      </w:r>
      <w:r>
        <w:rPr>
          <w:rFonts w:hint="default" w:ascii="Times New Roman" w:hAnsi="Times New Roman" w:eastAsia="仿宋_GB2312" w:cs="Times New Roman"/>
          <w:sz w:val="32"/>
          <w:szCs w:val="32"/>
        </w:rPr>
        <w:t>：指反映除上述项目以外的其他用于行政事业单位医疗方面的支出。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7" w:name="_Toc29540"/>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节能环保</w:t>
      </w:r>
      <w:bookmarkEnd w:id="7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节能环保支出211（类）污染防治03（款）其他污染防治支出99（项）：指反除上述项目以外其他用于污染防治方面的支出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8" w:name="_Toc23322"/>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.城乡社区支出</w:t>
      </w:r>
      <w:bookmarkEnd w:id="7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城乡社区支出212（类）城乡社区公共设施03（款）其他城乡社区公共设施支出99（项）</w:t>
      </w:r>
      <w:r>
        <w:rPr>
          <w:rFonts w:hint="default" w:ascii="Times New Roman" w:hAnsi="Times New Roman" w:eastAsia="仿宋_GB2312" w:cs="Times New Roman"/>
          <w:sz w:val="32"/>
          <w:szCs w:val="32"/>
        </w:rPr>
        <w:t>：指反映除上述项目以外其他用于城乡社区</w:t>
      </w:r>
      <w:r>
        <w:rPr>
          <w:rFonts w:hint="default" w:ascii="Times New Roman" w:hAnsi="Times New Roman" w:eastAsia="仿宋_GB2312" w:cs="Times New Roman"/>
          <w:sz w:val="32"/>
          <w:szCs w:val="32"/>
          <w:lang w:val="en-US" w:eastAsia="zh-CN"/>
        </w:rPr>
        <w:t>公共设施</w:t>
      </w:r>
      <w:r>
        <w:rPr>
          <w:rFonts w:hint="default" w:ascii="Times New Roman" w:hAnsi="Times New Roman" w:eastAsia="仿宋_GB2312" w:cs="Times New Roman"/>
          <w:sz w:val="32"/>
          <w:szCs w:val="32"/>
        </w:rPr>
        <w:t>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城乡社区支出212（类）国有土地使用权出让收入安排的支出08（款）征地和拆迁补偿支出01（项）</w:t>
      </w:r>
      <w:r>
        <w:rPr>
          <w:rFonts w:hint="default" w:ascii="Times New Roman" w:hAnsi="Times New Roman" w:eastAsia="仿宋_GB2312" w:cs="Times New Roman"/>
          <w:sz w:val="32"/>
          <w:szCs w:val="32"/>
        </w:rPr>
        <w:t>：指反映新疆生产建设兵团和地方政府在征地和收购土地过程中支付的土地补偿费、安置补助费、土地附着和青苗补偿费、拆迁补偿费支出。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城乡社区支出212（类）国有土地使用权出让收入安排的支出08（款）农村基础设施建设支出04（项）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土地出让收入用于农村供水保障、村庄公共设施建设和管护以及与农村直接相关的以工代赈等方面的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城乡社区支出212（类）国有土地使用权出让收入安排的支出08（款）补助被征地农民支出05（项）</w:t>
      </w:r>
      <w:r>
        <w:rPr>
          <w:rFonts w:hint="default" w:ascii="Times New Roman" w:hAnsi="Times New Roman" w:eastAsia="仿宋_GB2312" w:cs="Times New Roman"/>
          <w:sz w:val="32"/>
          <w:szCs w:val="32"/>
        </w:rPr>
        <w:t>：指反映土地出让收入用于</w:t>
      </w:r>
      <w:r>
        <w:rPr>
          <w:rFonts w:hint="default" w:ascii="Times New Roman" w:hAnsi="Times New Roman" w:eastAsia="仿宋_GB2312" w:cs="Times New Roman"/>
          <w:sz w:val="32"/>
          <w:szCs w:val="32"/>
          <w:lang w:val="en-US" w:eastAsia="zh-CN"/>
        </w:rPr>
        <w:t>补助征地农民社会保障支出以及保持被征地农民原有生活水平支出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城乡社区支出212（类）国有土地使用权出让收入安排的支出08（款）其他国有土地使用权出让收入安排的支出99（项）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城乡社区支出212（类）其他城乡社区支出29（款）其他城乡社区支出99（项）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除上述项目以外其他用于城乡社区方面的支出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9" w:name="_Toc10119"/>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.农林水.</w:t>
      </w:r>
      <w:bookmarkEnd w:id="7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农林水支出213（类）农业农村01（款）事业运行04（项）</w:t>
      </w:r>
      <w:r>
        <w:rPr>
          <w:rFonts w:hint="default" w:ascii="Times New Roman" w:hAnsi="Times New Roman" w:eastAsia="仿宋_GB2312" w:cs="Times New Roman"/>
          <w:sz w:val="32"/>
          <w:szCs w:val="32"/>
        </w:rPr>
        <w:t>：指反映用于农业事业单位基本支出，事业单位设施、系统运行与资产维护等方面的支出。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农林水支出213（类）林业和草原02（款）林业草原防灾减灾34（项）</w:t>
      </w:r>
      <w:r>
        <w:rPr>
          <w:rFonts w:hint="default" w:ascii="Times New Roman" w:hAnsi="Times New Roman" w:eastAsia="仿宋_GB2312" w:cs="Times New Roman"/>
          <w:sz w:val="32"/>
          <w:szCs w:val="32"/>
        </w:rPr>
        <w:t>：指反映用于</w:t>
      </w:r>
      <w:r>
        <w:rPr>
          <w:rFonts w:hint="default" w:ascii="Times New Roman" w:hAnsi="Times New Roman" w:eastAsia="仿宋_GB2312" w:cs="Times New Roman"/>
          <w:sz w:val="32"/>
          <w:szCs w:val="32"/>
          <w:lang w:val="en-US" w:eastAsia="zh-CN"/>
        </w:rPr>
        <w:t>病虫害等有害生物灾害、森林草原防火、野生动物疫病灾害等方面的支出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农林水支出213（类）林业和草原02（款）其他林业和草原支出99（项）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除上述项目以外其他用于林业和草原方面的支出。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农林水支出213（类）水利03（款）大中型水库移民后期扶持专项支出21（项）：指反映农村税费改革后对村级公益事业建设的补助支出。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农林水支出213（类）农村综合改革07（款）对村民委员会和村党支部的补助05（项）</w:t>
      </w:r>
      <w:r>
        <w:rPr>
          <w:rFonts w:hint="default" w:ascii="Times New Roman" w:hAnsi="Times New Roman" w:eastAsia="仿宋_GB2312" w:cs="Times New Roman"/>
          <w:sz w:val="32"/>
          <w:szCs w:val="32"/>
        </w:rPr>
        <w:t>：指反映各级财政对村民委员会和村党支部的补助支出，以及支持建立县级基本财力保障机制安排的村级组织运转奖补资金。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农林水支出213（类）其他农林水支出99（款）其他农林水支出99（项）：指反映除化解债务支出以外其他用于农林水方面的支出。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lang w:eastAsia="zh-CN"/>
        </w:rPr>
      </w:pPr>
      <w:bookmarkStart w:id="80" w:name="_Toc15175"/>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w:t>
      </w:r>
      <w:bookmarkEnd w:id="8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住房保障支出221（类）住房改革支出02（款）住房公积金01（项）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反映行政事业单位按人力资源和社会保障部、财政部规定的基本工资和津补贴以及规定比例为职工缴纳的住房公积金。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住房保障支出221（类）住房改革支出02（款）购房补贴03（项）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按房改政策规定，行政单位向符合条件职工（含离退休人员）、军队（含武警）向转役复原离退休人员发放的用于购买住房的补贴</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81" w:name="_Toc18908"/>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.灾害防治及应急管理支出</w:t>
      </w:r>
      <w:bookmarkEnd w:id="8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Fonts w:hint="default" w:ascii="Times New Roman" w:hAnsi="Times New Roman" w:eastAsia="仿宋_GB2312" w:cs="Times New Roman"/>
          <w:sz w:val="32"/>
          <w:szCs w:val="32"/>
          <w:lang w:val="en-US" w:eastAsia="zh-CN"/>
        </w:rPr>
        <w:t>224（类）自然灾害防治06（款）森林草原防灾减灾02（项）</w:t>
      </w:r>
      <w:r>
        <w:rPr>
          <w:rFonts w:hint="default" w:ascii="Times New Roman" w:hAnsi="Times New Roman" w:eastAsia="仿宋_GB2312" w:cs="Times New Roman"/>
          <w:sz w:val="32"/>
          <w:szCs w:val="32"/>
        </w:rPr>
        <w:t xml:space="preserve">：指反映防治森林草原火灾、自然水旱灾害等发生的支出。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eastAsia="黑体"/>
          <w:b w:val="0"/>
        </w:rPr>
      </w:pPr>
      <w:bookmarkStart w:id="100" w:name="_GoBack"/>
      <w:bookmarkEnd w:id="100"/>
      <w:r>
        <w:rPr>
          <w:rFonts w:hint="eastAsia" w:eastAsia="仿宋_GB2312" w:cs="仿宋_GB2312"/>
          <w:sz w:val="32"/>
          <w:szCs w:val="32"/>
        </w:rPr>
        <w:br w:type="page"/>
      </w:r>
      <w:bookmarkStart w:id="82" w:name="_Toc21594"/>
      <w:bookmarkStart w:id="83" w:name="_Toc15396614"/>
      <w:r>
        <w:rPr>
          <w:rFonts w:hint="eastAsia" w:eastAsia="黑体"/>
          <w:sz w:val="44"/>
          <w:szCs w:val="44"/>
        </w:rPr>
        <w:t>第四部分  附件</w:t>
      </w:r>
      <w:bookmarkEnd w:id="82"/>
      <w:bookmarkEnd w:id="83"/>
    </w:p>
    <w:p>
      <w:pPr>
        <w:spacing w:line="572" w:lineRule="exact"/>
        <w:jc w:val="left"/>
        <w:outlineLvl w:val="9"/>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8"/>
        <w:spacing w:line="560" w:lineRule="exact"/>
        <w:ind w:left="0" w:leftChars="0" w:firstLine="640"/>
        <w:rPr>
          <w:rFonts w:ascii="Times New Roman" w:eastAsia="仿宋_GB2312" w:cs="仿宋_GB2312"/>
          <w:kern w:val="0"/>
          <w:sz w:val="32"/>
        </w:rPr>
      </w:pPr>
    </w:p>
    <w:p>
      <w:pPr>
        <w:spacing w:line="578" w:lineRule="exact"/>
        <w:ind w:firstLine="640" w:firstLineChars="0"/>
        <w:outlineLvl w:val="0"/>
        <w:rPr>
          <w:rFonts w:eastAsia="仿宋_GB2312" w:cs="仿宋_GB2312"/>
          <w:kern w:val="0"/>
          <w:sz w:val="32"/>
          <w:szCs w:val="32"/>
        </w:rPr>
      </w:pPr>
      <w:bookmarkStart w:id="84" w:name="_Toc7727"/>
      <w:bookmarkStart w:id="85" w:name="_Toc15396618"/>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r>
        <w:rPr>
          <w:rFonts w:hint="eastAsia" w:eastAsia="仿宋_GB2312" w:cs="仿宋_GB2312"/>
          <w:kern w:val="0"/>
          <w:sz w:val="32"/>
          <w:szCs w:val="32"/>
        </w:rPr>
        <w:br w:type="page"/>
      </w:r>
      <w:bookmarkEnd w:id="84"/>
    </w:p>
    <w:p>
      <w:pPr>
        <w:widowControl/>
        <w:jc w:val="center"/>
        <w:outlineLvl w:val="0"/>
        <w:rPr>
          <w:rFonts w:eastAsia="仿宋"/>
        </w:rPr>
      </w:pPr>
      <w:bookmarkStart w:id="86" w:name="_Toc5838"/>
      <w:r>
        <w:rPr>
          <w:rFonts w:hint="eastAsia" w:eastAsia="黑体"/>
          <w:sz w:val="44"/>
          <w:szCs w:val="44"/>
        </w:rPr>
        <w:t>第</w:t>
      </w:r>
      <w:r>
        <w:rPr>
          <w:rStyle w:val="28"/>
          <w:rFonts w:hint="eastAsia" w:eastAsia="黑体"/>
          <w:b w:val="0"/>
        </w:rPr>
        <w:t>五部分 附表</w:t>
      </w:r>
      <w:bookmarkEnd w:id="72"/>
      <w:bookmarkEnd w:id="85"/>
      <w:bookmarkEnd w:id="86"/>
      <w:bookmarkStart w:id="87"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87"/>
    </w:p>
    <w:p>
      <w:pPr>
        <w:pStyle w:val="15"/>
        <w:adjustRightInd w:val="0"/>
        <w:snapToGrid w:val="0"/>
        <w:spacing w:line="560" w:lineRule="exact"/>
        <w:jc w:val="left"/>
        <w:rPr>
          <w:rFonts w:eastAsia="仿宋_GB2312" w:cs="仿宋_GB2312"/>
          <w:sz w:val="32"/>
          <w:szCs w:val="32"/>
        </w:rPr>
      </w:pPr>
      <w:bookmarkStart w:id="88" w:name="_Toc15396620"/>
      <w:r>
        <w:rPr>
          <w:rFonts w:hint="eastAsia" w:eastAsia="仿宋_GB2312" w:cs="仿宋_GB2312"/>
          <w:sz w:val="32"/>
          <w:szCs w:val="32"/>
        </w:rPr>
        <w:t>二、收入决算表</w:t>
      </w:r>
      <w:bookmarkEnd w:id="88"/>
    </w:p>
    <w:p>
      <w:pPr>
        <w:pStyle w:val="15"/>
        <w:adjustRightInd w:val="0"/>
        <w:snapToGrid w:val="0"/>
        <w:spacing w:line="560" w:lineRule="exact"/>
        <w:jc w:val="left"/>
        <w:rPr>
          <w:rFonts w:eastAsia="仿宋_GB2312" w:cs="仿宋_GB2312"/>
          <w:sz w:val="32"/>
          <w:szCs w:val="32"/>
        </w:rPr>
      </w:pPr>
      <w:bookmarkStart w:id="89" w:name="_Toc15396621"/>
      <w:r>
        <w:rPr>
          <w:rFonts w:hint="eastAsia" w:eastAsia="仿宋_GB2312" w:cs="仿宋_GB2312"/>
          <w:sz w:val="32"/>
          <w:szCs w:val="32"/>
        </w:rPr>
        <w:t>三、支出决算表</w:t>
      </w:r>
      <w:bookmarkEnd w:id="89"/>
    </w:p>
    <w:p>
      <w:pPr>
        <w:pStyle w:val="15"/>
        <w:adjustRightInd w:val="0"/>
        <w:snapToGrid w:val="0"/>
        <w:spacing w:line="560" w:lineRule="exact"/>
        <w:jc w:val="left"/>
        <w:rPr>
          <w:rFonts w:eastAsia="仿宋_GB2312" w:cs="仿宋_GB2312"/>
          <w:sz w:val="32"/>
          <w:szCs w:val="32"/>
        </w:rPr>
      </w:pPr>
      <w:bookmarkStart w:id="90" w:name="_Toc15396622"/>
      <w:r>
        <w:rPr>
          <w:rFonts w:hint="eastAsia" w:eastAsia="仿宋_GB2312" w:cs="仿宋_GB2312"/>
          <w:sz w:val="32"/>
          <w:szCs w:val="32"/>
        </w:rPr>
        <w:t>四、财政拨款收入支出决算总表</w:t>
      </w:r>
      <w:bookmarkEnd w:id="90"/>
    </w:p>
    <w:p>
      <w:pPr>
        <w:pStyle w:val="15"/>
        <w:adjustRightInd w:val="0"/>
        <w:snapToGrid w:val="0"/>
        <w:spacing w:line="560" w:lineRule="exact"/>
        <w:jc w:val="left"/>
        <w:rPr>
          <w:rFonts w:eastAsia="仿宋_GB2312" w:cs="仿宋_GB2312"/>
          <w:sz w:val="32"/>
          <w:szCs w:val="32"/>
        </w:rPr>
      </w:pPr>
      <w:bookmarkStart w:id="91" w:name="_Toc15396623"/>
      <w:r>
        <w:rPr>
          <w:rFonts w:hint="eastAsia" w:eastAsia="仿宋_GB2312" w:cs="仿宋_GB2312"/>
          <w:sz w:val="32"/>
          <w:szCs w:val="32"/>
        </w:rPr>
        <w:t>五、财政拨款支出决算明细表</w:t>
      </w:r>
      <w:bookmarkEnd w:id="91"/>
      <w:bookmarkStart w:id="92"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92"/>
    </w:p>
    <w:p>
      <w:pPr>
        <w:pStyle w:val="15"/>
        <w:adjustRightInd w:val="0"/>
        <w:snapToGrid w:val="0"/>
        <w:spacing w:line="560" w:lineRule="exact"/>
        <w:jc w:val="left"/>
        <w:rPr>
          <w:rFonts w:eastAsia="仿宋_GB2312" w:cs="仿宋_GB2312"/>
          <w:sz w:val="32"/>
          <w:szCs w:val="32"/>
        </w:rPr>
      </w:pPr>
      <w:bookmarkStart w:id="93" w:name="_Toc15396625"/>
      <w:r>
        <w:rPr>
          <w:rFonts w:hint="eastAsia" w:eastAsia="仿宋_GB2312" w:cs="仿宋_GB2312"/>
          <w:sz w:val="32"/>
          <w:szCs w:val="32"/>
        </w:rPr>
        <w:t>七、一般公共预算财政拨款支出决算明细表</w:t>
      </w:r>
      <w:bookmarkEnd w:id="93"/>
    </w:p>
    <w:p>
      <w:pPr>
        <w:pStyle w:val="15"/>
        <w:adjustRightInd w:val="0"/>
        <w:snapToGrid w:val="0"/>
        <w:spacing w:line="560" w:lineRule="exact"/>
        <w:jc w:val="left"/>
        <w:rPr>
          <w:rFonts w:eastAsia="仿宋_GB2312" w:cs="仿宋_GB2312"/>
          <w:sz w:val="32"/>
          <w:szCs w:val="32"/>
        </w:rPr>
      </w:pPr>
      <w:bookmarkStart w:id="94" w:name="_Toc15396626"/>
      <w:r>
        <w:rPr>
          <w:rFonts w:hint="eastAsia" w:eastAsia="仿宋_GB2312" w:cs="仿宋_GB2312"/>
          <w:sz w:val="32"/>
          <w:szCs w:val="32"/>
        </w:rPr>
        <w:t>八、一般公共预算财政拨款基本支出决算表</w:t>
      </w:r>
      <w:bookmarkEnd w:id="94"/>
    </w:p>
    <w:p>
      <w:pPr>
        <w:pStyle w:val="15"/>
        <w:adjustRightInd w:val="0"/>
        <w:snapToGrid w:val="0"/>
        <w:spacing w:line="560" w:lineRule="exact"/>
        <w:jc w:val="left"/>
        <w:rPr>
          <w:rFonts w:eastAsia="仿宋_GB2312" w:cs="仿宋_GB2312"/>
          <w:sz w:val="32"/>
          <w:szCs w:val="32"/>
        </w:rPr>
      </w:pPr>
      <w:bookmarkStart w:id="95" w:name="_Toc15396627"/>
      <w:r>
        <w:rPr>
          <w:rFonts w:hint="eastAsia" w:eastAsia="仿宋_GB2312" w:cs="仿宋_GB2312"/>
          <w:sz w:val="32"/>
          <w:szCs w:val="32"/>
        </w:rPr>
        <w:t>九、一般公共预算财政拨款项目支出决算表</w:t>
      </w:r>
      <w:bookmarkEnd w:id="95"/>
    </w:p>
    <w:p>
      <w:pPr>
        <w:pStyle w:val="15"/>
        <w:adjustRightInd w:val="0"/>
        <w:snapToGrid w:val="0"/>
        <w:spacing w:line="560" w:lineRule="exact"/>
        <w:jc w:val="left"/>
        <w:rPr>
          <w:rFonts w:eastAsia="仿宋_GB2312" w:cs="仿宋_GB2312"/>
          <w:sz w:val="32"/>
          <w:szCs w:val="32"/>
        </w:rPr>
      </w:pPr>
      <w:bookmarkStart w:id="96" w:name="_Toc15396628"/>
      <w:r>
        <w:rPr>
          <w:rFonts w:hint="eastAsia" w:eastAsia="仿宋_GB2312" w:cs="仿宋_GB2312"/>
          <w:sz w:val="32"/>
          <w:szCs w:val="32"/>
        </w:rPr>
        <w:t>十、</w:t>
      </w:r>
      <w:bookmarkEnd w:id="96"/>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97" w:name="_Toc15396629"/>
      <w:r>
        <w:rPr>
          <w:rFonts w:hint="eastAsia" w:eastAsia="仿宋_GB2312" w:cs="仿宋_GB2312"/>
          <w:sz w:val="32"/>
          <w:szCs w:val="32"/>
        </w:rPr>
        <w:t>十一、</w:t>
      </w:r>
      <w:bookmarkEnd w:id="97"/>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98" w:name="_Toc15396630"/>
      <w:r>
        <w:rPr>
          <w:rFonts w:hint="eastAsia" w:eastAsia="仿宋_GB2312" w:cs="仿宋_GB2312"/>
          <w:sz w:val="32"/>
          <w:szCs w:val="32"/>
        </w:rPr>
        <w:t>十二、</w:t>
      </w:r>
      <w:bookmarkEnd w:id="98"/>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99" w:name="_Toc15396631"/>
      <w:r>
        <w:rPr>
          <w:rFonts w:hint="eastAsia" w:eastAsia="仿宋_GB2312" w:cs="仿宋_GB2312"/>
          <w:sz w:val="32"/>
          <w:szCs w:val="32"/>
        </w:rPr>
        <w:t>十三、</w:t>
      </w:r>
      <w:bookmarkEnd w:id="99"/>
      <w:r>
        <w:rPr>
          <w:rFonts w:hint="eastAsia" w:eastAsia="仿宋_GB2312" w:cs="仿宋_GB2312"/>
          <w:sz w:val="32"/>
          <w:szCs w:val="32"/>
        </w:rPr>
        <w:t>财政拨款“三公”经费支出决算表</w:t>
      </w:r>
    </w:p>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WYzZGNhZjJkNDhlMjkzYWZmYWNlNzA2MDk5M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E83A34"/>
    <w:rsid w:val="02FEBE30"/>
    <w:rsid w:val="04916F1E"/>
    <w:rsid w:val="061E35DE"/>
    <w:rsid w:val="066E0107"/>
    <w:rsid w:val="07996F6E"/>
    <w:rsid w:val="07B261C3"/>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4E301DA"/>
    <w:rsid w:val="165E0673"/>
    <w:rsid w:val="16B831D5"/>
    <w:rsid w:val="16BB723D"/>
    <w:rsid w:val="17E50567"/>
    <w:rsid w:val="186504BB"/>
    <w:rsid w:val="19A445FC"/>
    <w:rsid w:val="1BE8440E"/>
    <w:rsid w:val="1CC6347C"/>
    <w:rsid w:val="1D155CEE"/>
    <w:rsid w:val="1D1638FE"/>
    <w:rsid w:val="1DAA31C8"/>
    <w:rsid w:val="1E312DEB"/>
    <w:rsid w:val="1E740ACF"/>
    <w:rsid w:val="1FF35744"/>
    <w:rsid w:val="1FF6BC77"/>
    <w:rsid w:val="2186353C"/>
    <w:rsid w:val="22D20716"/>
    <w:rsid w:val="23860B96"/>
    <w:rsid w:val="240371BF"/>
    <w:rsid w:val="244F3473"/>
    <w:rsid w:val="24C97D99"/>
    <w:rsid w:val="25A718F0"/>
    <w:rsid w:val="25BB59F6"/>
    <w:rsid w:val="260F557C"/>
    <w:rsid w:val="26970054"/>
    <w:rsid w:val="281408E2"/>
    <w:rsid w:val="29FD04D3"/>
    <w:rsid w:val="2AE63E49"/>
    <w:rsid w:val="2B253B3A"/>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B873DE"/>
    <w:rsid w:val="4BE068DB"/>
    <w:rsid w:val="4D577224"/>
    <w:rsid w:val="4DBF1CEB"/>
    <w:rsid w:val="4DF0007C"/>
    <w:rsid w:val="4EAB630A"/>
    <w:rsid w:val="4ECE2238"/>
    <w:rsid w:val="4F833267"/>
    <w:rsid w:val="4FE9BD67"/>
    <w:rsid w:val="4FFB052F"/>
    <w:rsid w:val="50AF13CA"/>
    <w:rsid w:val="537E6D0A"/>
    <w:rsid w:val="53F74C96"/>
    <w:rsid w:val="55170BA8"/>
    <w:rsid w:val="553218C9"/>
    <w:rsid w:val="55A002E1"/>
    <w:rsid w:val="567E1AA5"/>
    <w:rsid w:val="5698665F"/>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062E6B"/>
    <w:rsid w:val="62BF3928"/>
    <w:rsid w:val="636F0A52"/>
    <w:rsid w:val="63B3701E"/>
    <w:rsid w:val="647F5392"/>
    <w:rsid w:val="65E66580"/>
    <w:rsid w:val="664B1D71"/>
    <w:rsid w:val="664B4E8E"/>
    <w:rsid w:val="66EC5FBB"/>
    <w:rsid w:val="67277B67"/>
    <w:rsid w:val="67AA3209"/>
    <w:rsid w:val="698D0931"/>
    <w:rsid w:val="6A7FE5F3"/>
    <w:rsid w:val="6B053271"/>
    <w:rsid w:val="6BDD78B3"/>
    <w:rsid w:val="6C4A05C8"/>
    <w:rsid w:val="6C5648C6"/>
    <w:rsid w:val="6C8742B8"/>
    <w:rsid w:val="6CED0D4C"/>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C60B38"/>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manualLayout>
          <c:xMode val="edge"/>
          <c:yMode val="edge"/>
          <c:x val="0.220305980528512"/>
          <c:y val="0.04379225434833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2248.13</c:v>
                </c:pt>
                <c:pt idx="1">
                  <c:v>2225.86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312934631432545"/>
                  <c:y val="0.0166703711935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796940194715"/>
                  <c:y val="0.00666814847743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2248.13</c:v>
                </c:pt>
                <c:pt idx="1">
                  <c:v>2225.86</c:v>
                </c:pt>
              </c:numCache>
            </c:numRef>
          </c:val>
        </c:ser>
        <c:ser>
          <c:idx val="2"/>
          <c:order val="2"/>
          <c:tx>
            <c:strRef>
              <c:f>Sheet1!$D$1</c:f>
              <c:strCache>
                <c:ptCount val="1"/>
                <c:pt idx="0">
                  <c:v>差额</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22.27</c:v>
                </c:pt>
              </c:numCache>
            </c:numRef>
          </c:val>
        </c:ser>
        <c:dLbls>
          <c:showLegendKey val="0"/>
          <c:showVal val="1"/>
          <c:showCatName val="0"/>
          <c:showSerName val="0"/>
          <c:showPercent val="0"/>
          <c:showBubbleSize val="0"/>
        </c:dLbls>
        <c:gapWidth val="219"/>
        <c:overlap val="-27"/>
        <c:axId val="253802170"/>
        <c:axId val="628151922"/>
      </c:barChart>
      <c:catAx>
        <c:axId val="253802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151922"/>
        <c:crosses val="autoZero"/>
        <c:auto val="1"/>
        <c:lblAlgn val="ctr"/>
        <c:lblOffset val="100"/>
        <c:noMultiLvlLbl val="0"/>
      </c:catAx>
      <c:valAx>
        <c:axId val="6281519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8021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66011190269855"/>
                  <c:y val="-0.134370830626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48398354420147"/>
                  <c:y val="0.01852200584182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c:v>
                </c:pt>
                <c:pt idx="1">
                  <c:v>政府性基金预算</c:v>
                </c:pt>
                <c:pt idx="2">
                  <c:v>其他收入</c:v>
                </c:pt>
              </c:strCache>
            </c:strRef>
          </c:cat>
          <c:val>
            <c:numRef>
              <c:f>Sheet1!$B$2:$B$4</c:f>
              <c:numCache>
                <c:formatCode>General</c:formatCode>
                <c:ptCount val="3"/>
                <c:pt idx="0">
                  <c:v>2182.35</c:v>
                </c:pt>
                <c:pt idx="1">
                  <c:v>23.51</c:v>
                </c:pt>
                <c:pt idx="2">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Lbls>
            <c:dLbl>
              <c:idx val="0"/>
              <c:layout>
                <c:manualLayout>
                  <c:x val="0.0255976483139745"/>
                  <c:y val="-0.09608424833816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94962927187914"/>
                  <c:y val="0.03908742263718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1478.34</c:v>
                </c:pt>
                <c:pt idx="1">
                  <c:v>747.52</c:v>
                </c:pt>
              </c:numCache>
            </c:numRef>
          </c:val>
        </c:ser>
        <c:ser>
          <c:idx val="1"/>
          <c:order val="1"/>
          <c:tx>
            <c:strRef>
              <c:f>Sheet1!$C$1</c:f>
              <c:strCache>
                <c:ptCount val="1"/>
                <c:pt idx="0">
                  <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78552713661884"/>
          <c:y val="0.163563160543533"/>
          <c:w val="0.893998752339364"/>
          <c:h val="0.600754906894816"/>
        </c:manualLayout>
      </c:layout>
      <c:barChart>
        <c:barDir val="col"/>
        <c:grouping val="clustered"/>
        <c:varyColors val="0"/>
        <c:ser>
          <c:idx val="0"/>
          <c:order val="0"/>
          <c:tx>
            <c:strRef>
              <c:f>Sheet1!$B$1</c:f>
              <c:strCache>
                <c:ptCount val="1"/>
                <c:pt idx="0">
                  <c:v>收入</c:v>
                </c:pt>
              </c:strCache>
            </c:strRef>
          </c:tx>
          <c:spPr>
            <a:solidFill>
              <a:srgbClr val="4F81BD"/>
            </a:solidFill>
            <a:ln>
              <a:noFill/>
            </a:ln>
            <a:effectLst/>
          </c:spPr>
          <c:invertIfNegative val="0"/>
          <c:dLbls>
            <c:dLbl>
              <c:idx val="0"/>
              <c:layout>
                <c:manualLayout>
                  <c:x val="-0.00748596381784155"/>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7149095446039"/>
                  <c:y val="0.01509813789632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2208.13</c:v>
                </c:pt>
                <c:pt idx="1">
                  <c:v>2205.63</c:v>
                </c:pt>
              </c:numCache>
            </c:numRef>
          </c:val>
        </c:ser>
        <c:ser>
          <c:idx val="1"/>
          <c:order val="1"/>
          <c:tx>
            <c:strRef>
              <c:f>Sheet1!$C$1</c:f>
              <c:strCache>
                <c:ptCount val="1"/>
                <c:pt idx="0">
                  <c:v>支出</c:v>
                </c:pt>
              </c:strCache>
            </c:strRef>
          </c:tx>
          <c:spPr>
            <a:solidFill>
              <a:srgbClr val="C0504D"/>
            </a:solidFill>
            <a:ln>
              <a:noFill/>
            </a:ln>
            <a:effectLst/>
          </c:spPr>
          <c:invertIfNegative val="0"/>
          <c:dLbls>
            <c:dLbl>
              <c:idx val="0"/>
              <c:layout>
                <c:manualLayout>
                  <c:x val="0.024329382407985"/>
                  <c:y val="0.03397081026673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0723643169058"/>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2208.13</c:v>
                </c:pt>
                <c:pt idx="1">
                  <c:v>2205.63</c:v>
                </c:pt>
              </c:numCache>
            </c:numRef>
          </c:val>
        </c:ser>
        <c:ser>
          <c:idx val="2"/>
          <c:order val="2"/>
          <c:tx>
            <c:strRef>
              <c:f>Sheet1!$D$1</c:f>
              <c:strCache>
                <c:ptCount val="1"/>
                <c:pt idx="0">
                  <c:v>差额</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2.5</c:v>
                </c:pt>
              </c:numCache>
            </c:numRef>
          </c:val>
        </c:ser>
        <c:dLbls>
          <c:showLegendKey val="0"/>
          <c:showVal val="1"/>
          <c:showCatName val="0"/>
          <c:showSerName val="0"/>
          <c:showPercent val="0"/>
          <c:showBubbleSize val="0"/>
        </c:dLbls>
        <c:gapWidth val="219"/>
        <c:overlap val="-27"/>
        <c:axId val="172520731"/>
        <c:axId val="795671586"/>
      </c:barChart>
      <c:catAx>
        <c:axId val="172520731"/>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5671586"/>
        <c:crosses val="autoZero"/>
        <c:auto val="1"/>
        <c:lblAlgn val="ctr"/>
        <c:lblOffset val="100"/>
        <c:noMultiLvlLbl val="0"/>
      </c:catAx>
      <c:valAx>
        <c:axId val="795671586"/>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72520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一般公共预算财政拨款支出决算变动情况图</a:t>
            </a:r>
          </a:p>
        </c:rich>
      </c:tx>
      <c:layout>
        <c:manualLayout>
          <c:xMode val="edge"/>
          <c:yMode val="edge"/>
          <c:x val="0.117390058730841"/>
          <c:y val="0.0349568865066418"/>
        </c:manualLayout>
      </c:layout>
      <c:overlay val="0"/>
      <c:spPr>
        <a:noFill/>
        <a:ln>
          <a:noFill/>
        </a:ln>
        <a:effectLst/>
      </c:spPr>
    </c:title>
    <c:autoTitleDeleted val="0"/>
    <c:plotArea>
      <c:layout>
        <c:manualLayout>
          <c:layoutTarget val="inner"/>
          <c:xMode val="edge"/>
          <c:yMode val="edge"/>
          <c:x val="0.080160435467698"/>
          <c:y val="0.165229550221394"/>
          <c:w val="0.878298238074774"/>
          <c:h val="0.6036821253787"/>
        </c:manualLayout>
      </c:layout>
      <c:barChart>
        <c:barDir val="col"/>
        <c:grouping val="clustered"/>
        <c:varyColors val="0"/>
        <c:ser>
          <c:idx val="0"/>
          <c:order val="0"/>
          <c:tx>
            <c:strRef>
              <c:f>Sheet1!$B$1</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2204.53</c:v>
                </c:pt>
              </c:numCache>
            </c:numRef>
          </c:val>
        </c:ser>
        <c:ser>
          <c:idx val="1"/>
          <c:order val="1"/>
          <c:tx>
            <c:strRef>
              <c:f>Sheet1!$C$1</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1">
                  <c:v>2182.13</c:v>
                </c:pt>
              </c:numCache>
            </c:numRef>
          </c:val>
        </c:ser>
        <c:ser>
          <c:idx val="2"/>
          <c:order val="2"/>
          <c:tx>
            <c:strRef>
              <c:f>Sheet1!$D$1</c:f>
              <c:strCache>
                <c:ptCount val="1"/>
                <c:pt idx="0">
                  <c:v>差额</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22.4</c:v>
                </c:pt>
              </c:numCache>
            </c:numRef>
          </c:val>
        </c:ser>
        <c:dLbls>
          <c:showLegendKey val="0"/>
          <c:showVal val="1"/>
          <c:showCatName val="0"/>
          <c:showSerName val="0"/>
          <c:showPercent val="0"/>
          <c:showBubbleSize val="0"/>
        </c:dLbls>
        <c:gapWidth val="219"/>
        <c:overlap val="-27"/>
        <c:axId val="362638461"/>
        <c:axId val="464051234"/>
      </c:barChart>
      <c:catAx>
        <c:axId val="362638461"/>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64051234"/>
        <c:crosses val="autoZero"/>
        <c:auto val="1"/>
        <c:lblAlgn val="ctr"/>
        <c:lblOffset val="100"/>
        <c:noMultiLvlLbl val="0"/>
      </c:catAx>
      <c:valAx>
        <c:axId val="464051234"/>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626384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Pt>
            <c:idx val="4"/>
            <c:bubble3D val="0"/>
            <c:spPr>
              <a:solidFill>
                <a:srgbClr val="4BACC6"/>
              </a:solidFill>
              <a:ln w="19050">
                <a:solidFill>
                  <a:sysClr val="window" lastClr="FFFFFF"/>
                </a:solidFill>
              </a:ln>
              <a:effectLst/>
            </c:spPr>
          </c:dPt>
          <c:dPt>
            <c:idx val="5"/>
            <c:bubble3D val="0"/>
            <c:spPr>
              <a:solidFill>
                <a:srgbClr val="F79646"/>
              </a:solidFill>
              <a:ln w="19050">
                <a:solidFill>
                  <a:sysClr val="window" lastClr="FFFFFF"/>
                </a:solidFill>
              </a:ln>
              <a:effectLst/>
            </c:spPr>
          </c:dPt>
          <c:dPt>
            <c:idx val="6"/>
            <c:bubble3D val="0"/>
            <c:spPr>
              <a:solidFill>
                <a:srgbClr val="4F81BD">
                  <a:lumMod val="60000"/>
                </a:srgbClr>
              </a:solidFill>
              <a:ln w="19050">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Sheet1!$A$2:$A$8</c:f>
              <c:strCache>
                <c:ptCount val="7"/>
                <c:pt idx="0">
                  <c:v>一般公共服务</c:v>
                </c:pt>
                <c:pt idx="1">
                  <c:v>文化旅游体育与传媒</c:v>
                </c:pt>
                <c:pt idx="2">
                  <c:v>社会保障和就业</c:v>
                </c:pt>
                <c:pt idx="3">
                  <c:v>卫生健康</c:v>
                </c:pt>
                <c:pt idx="4">
                  <c:v>节能环保</c:v>
                </c:pt>
                <c:pt idx="5">
                  <c:v>农林水</c:v>
                </c:pt>
                <c:pt idx="6">
                  <c:v>住房保障</c:v>
                </c:pt>
              </c:strCache>
            </c:strRef>
          </c:cat>
          <c:val>
            <c:numRef>
              <c:f>Sheet1!$B$2:$B$8</c:f>
              <c:numCache>
                <c:formatCode>General</c:formatCode>
                <c:ptCount val="7"/>
                <c:pt idx="0">
                  <c:v>940.69</c:v>
                </c:pt>
                <c:pt idx="1">
                  <c:v>53.11</c:v>
                </c:pt>
                <c:pt idx="2">
                  <c:v>399.57</c:v>
                </c:pt>
                <c:pt idx="3">
                  <c:v>89.58</c:v>
                </c:pt>
                <c:pt idx="4">
                  <c:v>125.46</c:v>
                </c:pt>
                <c:pt idx="5">
                  <c:v>496.72</c:v>
                </c:pt>
                <c:pt idx="6">
                  <c:v>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Lbls>
            <c:dLbl>
              <c:idx val="1"/>
              <c:layout>
                <c:manualLayout>
                  <c:x val="0.0920354433264193"/>
                  <c:y val="-0.02889503120938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4.39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9711</Words>
  <Characters>10596</Characters>
  <Lines>44</Lines>
  <Paragraphs>12</Paragraphs>
  <TotalTime>0</TotalTime>
  <ScaleCrop>false</ScaleCrop>
  <LinksUpToDate>false</LinksUpToDate>
  <CharactersWithSpaces>10731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2025-10-10T03:06:00Z</cp:lastPrinted>
  <dcterms:modified xsi:type="dcterms:W3CDTF">2025-10-31T01:18:06Z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04787F2533EB45DC91BCDE4AB213247F</vt:lpwstr>
  </property>
  <property fmtid="{D5CDD505-2E9C-101B-9397-08002B2CF9AE}" pid="4" name="KSOTemplateDocerSaveRecord">
    <vt:lpwstr>eyJoZGlkIjoiNzQyMGQyOGM3MmYwMGYxMzkzYTQ0N2QzODY0Y2M0Y2EiLCJ1c2VySWQiOiI2Njg1MTI5NTcifQ==</vt:lpwstr>
  </property>
</Properties>
</file>