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D1EBE">
      <w:pPr>
        <w:spacing w:line="600" w:lineRule="exact"/>
        <w:jc w:val="left"/>
        <w:outlineLvl w:val="0"/>
        <w:rPr>
          <w:rFonts w:hint="default" w:ascii="Times New Roman" w:hAnsi="Times New Roman" w:eastAsia="方正小标宋简体" w:cs="Times New Roman"/>
          <w:szCs w:val="21"/>
        </w:rPr>
      </w:pPr>
      <w:bookmarkStart w:id="0" w:name="_Toc15306267"/>
    </w:p>
    <w:p w14:paraId="2E7767DE">
      <w:pPr>
        <w:pStyle w:val="5"/>
        <w:spacing w:before="93"/>
        <w:rPr>
          <w:rFonts w:hint="default" w:ascii="Times New Roman" w:hAnsi="Times New Roman" w:cs="Times New Roman"/>
        </w:rPr>
      </w:pPr>
    </w:p>
    <w:p w14:paraId="5A2E4798">
      <w:pPr>
        <w:spacing w:line="600" w:lineRule="exact"/>
        <w:jc w:val="center"/>
        <w:outlineLvl w:val="0"/>
        <w:rPr>
          <w:rFonts w:hint="default" w:ascii="Times New Roman" w:hAnsi="Times New Roman" w:eastAsia="方正小标宋简体" w:cs="Times New Roman"/>
          <w:sz w:val="72"/>
          <w:szCs w:val="72"/>
        </w:rPr>
      </w:pPr>
    </w:p>
    <w:p w14:paraId="673C289C">
      <w:pPr>
        <w:spacing w:line="600" w:lineRule="exact"/>
        <w:jc w:val="center"/>
        <w:outlineLvl w:val="0"/>
        <w:rPr>
          <w:rFonts w:hint="default" w:ascii="Times New Roman" w:hAnsi="Times New Roman" w:eastAsia="方正小标宋简体" w:cs="Times New Roman"/>
          <w:sz w:val="72"/>
          <w:szCs w:val="72"/>
        </w:rPr>
      </w:pPr>
    </w:p>
    <w:p w14:paraId="0A44AE6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color w:val="auto"/>
          <w:sz w:val="44"/>
          <w:szCs w:val="44"/>
        </w:rPr>
      </w:pPr>
      <w:bookmarkStart w:id="1" w:name="_Toc15377425"/>
      <w:bookmarkStart w:id="2" w:name="_Toc15378441"/>
      <w:bookmarkStart w:id="3" w:name="_Toc15396597"/>
      <w:bookmarkStart w:id="4" w:name="_Toc15377193"/>
      <w:bookmarkStart w:id="5" w:name="_Toc15396475"/>
      <w:r>
        <w:rPr>
          <w:rFonts w:hint="default" w:ascii="Times New Roman" w:hAnsi="Times New Roman" w:eastAsia="方正小标宋_GBK" w:cs="Times New Roman"/>
          <w:b/>
          <w:bCs/>
          <w:color w:val="auto"/>
          <w:sz w:val="44"/>
          <w:szCs w:val="44"/>
        </w:rPr>
        <w:t>2024年度</w:t>
      </w:r>
      <w:bookmarkEnd w:id="1"/>
      <w:bookmarkEnd w:id="2"/>
      <w:bookmarkEnd w:id="3"/>
      <w:bookmarkEnd w:id="4"/>
      <w:bookmarkEnd w:id="5"/>
    </w:p>
    <w:bookmarkEnd w:id="0"/>
    <w:p w14:paraId="054AEB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color w:val="auto"/>
          <w:sz w:val="44"/>
          <w:szCs w:val="44"/>
        </w:rPr>
      </w:pPr>
      <w:bookmarkStart w:id="6" w:name="_Toc15396476"/>
      <w:bookmarkStart w:id="7" w:name="_Toc15306268"/>
      <w:bookmarkStart w:id="8" w:name="_Toc15396598"/>
      <w:bookmarkStart w:id="9" w:name="_Toc15378442"/>
      <w:bookmarkStart w:id="10" w:name="_Toc15377194"/>
      <w:bookmarkStart w:id="11" w:name="_Toc15377426"/>
      <w:r>
        <w:rPr>
          <w:rFonts w:hint="default" w:ascii="Times New Roman" w:hAnsi="Times New Roman" w:eastAsia="方正小标宋_GBK" w:cs="Times New Roman"/>
          <w:b/>
          <w:bCs/>
          <w:color w:val="auto"/>
          <w:sz w:val="44"/>
          <w:szCs w:val="44"/>
        </w:rPr>
        <w:t>盐边县退役军人事务局</w:t>
      </w:r>
    </w:p>
    <w:p w14:paraId="16EDF5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color w:val="auto"/>
          <w:sz w:val="44"/>
          <w:szCs w:val="44"/>
        </w:rPr>
        <w:sectPr>
          <w:headerReference r:id="rId3" w:type="default"/>
          <w:footerReference r:id="rId4" w:type="default"/>
          <w:pgSz w:w="11906" w:h="16838"/>
          <w:pgMar w:top="2098" w:right="1474" w:bottom="1984" w:left="1587" w:header="851" w:footer="992" w:gutter="0"/>
          <w:pgNumType w:fmt="decimal" w:start="3"/>
          <w:cols w:space="425" w:num="1"/>
          <w:titlePg/>
          <w:docGrid w:type="lines" w:linePitch="312" w:charSpace="0"/>
        </w:sectPr>
      </w:pPr>
      <w:r>
        <w:rPr>
          <w:rFonts w:hint="default" w:ascii="Times New Roman" w:hAnsi="Times New Roman" w:eastAsia="方正小标宋_GBK" w:cs="Times New Roman"/>
          <w:b/>
          <w:bCs/>
          <w:color w:val="auto"/>
          <w:sz w:val="44"/>
          <w:szCs w:val="44"/>
        </w:rPr>
        <w:t>部门决算</w:t>
      </w:r>
      <w:bookmarkEnd w:id="6"/>
      <w:bookmarkEnd w:id="7"/>
      <w:bookmarkEnd w:id="8"/>
      <w:bookmarkEnd w:id="9"/>
      <w:bookmarkEnd w:id="10"/>
      <w:bookmarkEnd w:id="11"/>
      <w:r>
        <w:rPr>
          <w:rFonts w:hint="default" w:ascii="Times New Roman" w:hAnsi="Times New Roman" w:eastAsia="方正小标宋_GBK" w:cs="Times New Roman"/>
          <w:b/>
          <w:bCs/>
          <w:color w:val="auto"/>
          <w:sz w:val="44"/>
          <w:szCs w:val="44"/>
        </w:rPr>
        <w:t>编制说明</w:t>
      </w:r>
    </w:p>
    <w:p w14:paraId="10F00BFC">
      <w:pPr>
        <w:widowControl/>
        <w:jc w:val="center"/>
        <w:rPr>
          <w:rFonts w:hint="default" w:ascii="Times New Roman" w:hAnsi="Times New Roman" w:eastAsia="黑体" w:cs="Times New Roman"/>
          <w:sz w:val="28"/>
          <w:szCs w:val="28"/>
        </w:rPr>
      </w:pPr>
      <w:r>
        <w:rPr>
          <w:rFonts w:hint="default" w:ascii="Times New Roman" w:hAnsi="Times New Roman" w:eastAsia="方正小标宋_GBK" w:cs="Times New Roman"/>
          <w:b/>
          <w:bCs/>
          <w:color w:val="auto"/>
          <w:sz w:val="44"/>
          <w:szCs w:val="44"/>
        </w:rPr>
        <w:t>目录</w:t>
      </w:r>
    </w:p>
    <w:p w14:paraId="15EA9164">
      <w:pPr>
        <w:pStyle w:val="11"/>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公开时间：2025年10月28日</w:t>
      </w:r>
    </w:p>
    <w:p w14:paraId="0E568722">
      <w:pPr>
        <w:rPr>
          <w:rFonts w:hint="default" w:ascii="Times New Roman" w:hAnsi="Times New Roman" w:cs="Times New Roman"/>
          <w:sz w:val="24"/>
        </w:rPr>
      </w:pPr>
    </w:p>
    <w:p w14:paraId="1605B16F">
      <w:pPr>
        <w:pStyle w:val="11"/>
        <w:adjustRightInd w:val="0"/>
        <w:snapToGrid w:val="0"/>
        <w:spacing w:before="0" w:line="440" w:lineRule="exact"/>
        <w:jc w:val="left"/>
        <w:rPr>
          <w:rFonts w:hint="default" w:ascii="Times New Roman" w:hAnsi="Times New Roman" w:cs="Times New Roman" w:eastAsiaTheme="minorEastAsia"/>
        </w:rPr>
      </w:pPr>
      <w:r>
        <w:rPr>
          <w:rFonts w:hint="default" w:ascii="Times New Roman" w:hAnsi="Times New Roman" w:eastAsia="黑体" w:cs="Times New Roman"/>
        </w:rPr>
        <w:t>第一部分 部门概况</w:t>
      </w:r>
      <w:r>
        <w:rPr>
          <w:rFonts w:hint="default" w:ascii="Times New Roman" w:hAnsi="Times New Roman" w:cs="Times New Roman" w:eastAsiaTheme="minorEastAsia"/>
        </w:rPr>
        <w:ptab w:relativeTo="margin" w:alignment="right" w:leader="dot"/>
      </w:r>
      <w:r>
        <w:rPr>
          <w:rFonts w:hint="default" w:ascii="Times New Roman" w:hAnsi="Times New Roman" w:cs="Times New Roman" w:eastAsiaTheme="minorEastAsia"/>
        </w:rPr>
        <w:t>1</w:t>
      </w:r>
    </w:p>
    <w:p w14:paraId="6B3F3294">
      <w:pPr>
        <w:pStyle w:val="12"/>
        <w:adjustRightInd w:val="0"/>
        <w:snapToGrid w:val="0"/>
        <w:spacing w:line="440" w:lineRule="exact"/>
        <w:ind w:left="0" w:leftChars="0" w:firstLine="420" w:firstLineChars="175"/>
        <w:jc w:val="left"/>
        <w:rPr>
          <w:rFonts w:hint="default" w:ascii="Times New Roman" w:hAnsi="Times New Roman" w:cs="Times New Roman" w:eastAsiaTheme="minorEastAsia"/>
          <w:sz w:val="24"/>
        </w:rPr>
      </w:pPr>
      <w:r>
        <w:rPr>
          <w:rFonts w:hint="default" w:ascii="Times New Roman" w:hAnsi="Times New Roman" w:cs="Times New Roman"/>
          <w:sz w:val="24"/>
        </w:rPr>
        <w:t>一、部门职责</w:t>
      </w:r>
      <w:r>
        <w:rPr>
          <w:rFonts w:hint="default" w:ascii="Times New Roman" w:hAnsi="Times New Roman" w:cs="Times New Roman" w:eastAsiaTheme="minorEastAsia"/>
          <w:sz w:val="28"/>
          <w:szCs w:val="28"/>
        </w:rPr>
        <w:ptab w:relativeTo="margin" w:alignment="right" w:leader="dot"/>
      </w:r>
      <w:r>
        <w:rPr>
          <w:rFonts w:hint="default" w:ascii="Times New Roman" w:hAnsi="Times New Roman" w:cs="Times New Roman" w:eastAsiaTheme="minorEastAsia"/>
          <w:sz w:val="28"/>
          <w:szCs w:val="28"/>
        </w:rPr>
        <w:t>1</w:t>
      </w:r>
    </w:p>
    <w:p w14:paraId="3D6134AE">
      <w:pPr>
        <w:pStyle w:val="12"/>
        <w:adjustRightInd w:val="0"/>
        <w:snapToGrid w:val="0"/>
        <w:spacing w:line="440" w:lineRule="exact"/>
        <w:jc w:val="left"/>
        <w:rPr>
          <w:rFonts w:hint="default" w:ascii="Times New Roman" w:hAnsi="Times New Roman" w:cs="Times New Roman" w:eastAsiaTheme="minorEastAsia"/>
          <w:sz w:val="24"/>
        </w:rPr>
      </w:pPr>
      <w:r>
        <w:rPr>
          <w:rFonts w:hint="default" w:ascii="Times New Roman" w:hAnsi="Times New Roman" w:cs="Times New Roman"/>
          <w:sz w:val="24"/>
        </w:rPr>
        <w:t>二、机构设置</w:t>
      </w:r>
      <w:r>
        <w:rPr>
          <w:rFonts w:hint="default" w:ascii="Times New Roman" w:hAnsi="Times New Roman" w:cs="Times New Roman" w:eastAsiaTheme="minorEastAsia"/>
          <w:sz w:val="28"/>
          <w:szCs w:val="28"/>
        </w:rPr>
        <w:ptab w:relativeTo="margin" w:alignment="right" w:leader="dot"/>
      </w:r>
      <w:r>
        <w:rPr>
          <w:rFonts w:hint="default" w:ascii="Times New Roman" w:hAnsi="Times New Roman" w:cs="Times New Roman" w:eastAsiaTheme="minorEastAsia"/>
          <w:sz w:val="28"/>
          <w:szCs w:val="28"/>
        </w:rPr>
        <w:t>3</w:t>
      </w:r>
    </w:p>
    <w:p w14:paraId="4CA04311">
      <w:pPr>
        <w:pStyle w:val="11"/>
        <w:adjustRightInd w:val="0"/>
        <w:snapToGrid w:val="0"/>
        <w:spacing w:before="0" w:line="440" w:lineRule="exact"/>
        <w:jc w:val="left"/>
        <w:rPr>
          <w:rFonts w:hint="default" w:ascii="Times New Roman" w:hAnsi="Times New Roman" w:cs="Times New Roman" w:eastAsiaTheme="minorEastAsia"/>
          <w:sz w:val="24"/>
          <w:szCs w:val="24"/>
          <w:lang w:val="en-US" w:eastAsia="zh-CN"/>
        </w:rPr>
      </w:pPr>
      <w:r>
        <w:rPr>
          <w:rFonts w:hint="default" w:ascii="Times New Roman" w:hAnsi="Times New Roman" w:eastAsia="黑体" w:cs="Times New Roman"/>
        </w:rPr>
        <w:t>第二部分 2024年度单位决算情况说明</w:t>
      </w:r>
      <w:r>
        <w:rPr>
          <w:rFonts w:hint="default" w:ascii="Times New Roman" w:hAnsi="Times New Roman" w:cs="Times New Roman" w:eastAsiaTheme="minorEastAsia"/>
        </w:rPr>
        <w:ptab w:relativeTo="margin" w:alignment="right" w:leader="dot"/>
      </w:r>
      <w:r>
        <w:rPr>
          <w:rFonts w:hint="default" w:ascii="Times New Roman" w:hAnsi="Times New Roman" w:cs="Times New Roman" w:eastAsiaTheme="minorEastAsia"/>
          <w:lang w:val="en-US" w:eastAsia="zh-CN"/>
        </w:rPr>
        <w:t>3</w:t>
      </w:r>
    </w:p>
    <w:p w14:paraId="24FF6220">
      <w:pPr>
        <w:pStyle w:val="12"/>
        <w:adjustRightInd w:val="0"/>
        <w:snapToGrid w:val="0"/>
        <w:spacing w:line="440" w:lineRule="exact"/>
        <w:jc w:val="left"/>
        <w:rPr>
          <w:rFonts w:hint="default" w:ascii="Times New Roman" w:hAnsi="Times New Roman" w:cs="Times New Roman" w:eastAsiaTheme="minorEastAsia"/>
          <w:sz w:val="24"/>
          <w:lang w:val="en-US" w:eastAsia="zh-CN"/>
        </w:rPr>
      </w:pPr>
      <w:r>
        <w:rPr>
          <w:rFonts w:hint="default" w:ascii="Times New Roman" w:hAnsi="Times New Roman" w:cs="Times New Roman"/>
          <w:sz w:val="24"/>
        </w:rPr>
        <w:t>一、收入支出决算总体情况说明</w:t>
      </w:r>
      <w:r>
        <w:rPr>
          <w:rFonts w:hint="default" w:ascii="Times New Roman" w:hAnsi="Times New Roman" w:cs="Times New Roman" w:eastAsiaTheme="minorEastAsia"/>
          <w:sz w:val="28"/>
          <w:szCs w:val="28"/>
        </w:rPr>
        <w:ptab w:relativeTo="margin" w:alignment="right" w:leader="dot"/>
      </w:r>
      <w:r>
        <w:rPr>
          <w:rFonts w:hint="default" w:ascii="Times New Roman" w:hAnsi="Times New Roman" w:cs="Times New Roman" w:eastAsiaTheme="minorEastAsia"/>
          <w:sz w:val="28"/>
          <w:szCs w:val="28"/>
          <w:lang w:val="en-US" w:eastAsia="zh-CN"/>
        </w:rPr>
        <w:t>3</w:t>
      </w:r>
    </w:p>
    <w:p w14:paraId="05EA4146">
      <w:pPr>
        <w:pStyle w:val="12"/>
        <w:adjustRightInd w:val="0"/>
        <w:snapToGrid w:val="0"/>
        <w:spacing w:line="440" w:lineRule="exact"/>
        <w:jc w:val="left"/>
        <w:rPr>
          <w:rFonts w:hint="default" w:ascii="Times New Roman" w:hAnsi="Times New Roman" w:cs="Times New Roman" w:eastAsiaTheme="minorEastAsia"/>
          <w:sz w:val="24"/>
        </w:rPr>
      </w:pPr>
      <w:r>
        <w:rPr>
          <w:rFonts w:hint="default" w:ascii="Times New Roman" w:hAnsi="Times New Roman" w:cs="Times New Roman"/>
          <w:sz w:val="24"/>
        </w:rPr>
        <w:t>二、收入决算情况说明</w:t>
      </w:r>
      <w:r>
        <w:rPr>
          <w:rFonts w:hint="default" w:ascii="Times New Roman" w:hAnsi="Times New Roman" w:cs="Times New Roman" w:eastAsiaTheme="minorEastAsia"/>
          <w:sz w:val="28"/>
          <w:szCs w:val="28"/>
        </w:rPr>
        <w:ptab w:relativeTo="margin" w:alignment="right" w:leader="dot"/>
      </w:r>
      <w:r>
        <w:rPr>
          <w:rFonts w:hint="default" w:ascii="Times New Roman" w:hAnsi="Times New Roman" w:cs="Times New Roman" w:eastAsiaTheme="minorEastAsia"/>
          <w:sz w:val="28"/>
          <w:szCs w:val="28"/>
        </w:rPr>
        <w:t>4</w:t>
      </w:r>
    </w:p>
    <w:p w14:paraId="45E25AF1">
      <w:pPr>
        <w:pStyle w:val="12"/>
        <w:adjustRightInd w:val="0"/>
        <w:snapToGrid w:val="0"/>
        <w:spacing w:line="440" w:lineRule="exact"/>
        <w:jc w:val="left"/>
        <w:rPr>
          <w:rFonts w:hint="default" w:ascii="Times New Roman" w:hAnsi="Times New Roman" w:cs="Times New Roman" w:eastAsiaTheme="minorEastAsia"/>
          <w:sz w:val="24"/>
          <w:lang w:val="en-US" w:eastAsia="zh-CN"/>
        </w:rPr>
      </w:pPr>
      <w:r>
        <w:rPr>
          <w:rFonts w:hint="default" w:ascii="Times New Roman" w:hAnsi="Times New Roman" w:cs="Times New Roman"/>
          <w:sz w:val="24"/>
        </w:rPr>
        <w:t>三、支出决算情况说明</w:t>
      </w:r>
      <w:r>
        <w:rPr>
          <w:rFonts w:hint="default" w:ascii="Times New Roman" w:hAnsi="Times New Roman" w:cs="Times New Roman" w:eastAsiaTheme="minorEastAsia"/>
          <w:sz w:val="28"/>
          <w:szCs w:val="28"/>
        </w:rPr>
        <w:ptab w:relativeTo="margin" w:alignment="right" w:leader="dot"/>
      </w:r>
      <w:r>
        <w:rPr>
          <w:rFonts w:hint="default" w:ascii="Times New Roman" w:hAnsi="Times New Roman" w:cs="Times New Roman" w:eastAsiaTheme="minorEastAsia"/>
          <w:sz w:val="28"/>
          <w:szCs w:val="28"/>
          <w:lang w:val="en-US" w:eastAsia="zh-CN"/>
        </w:rPr>
        <w:t>4</w:t>
      </w:r>
    </w:p>
    <w:p w14:paraId="27039CCE">
      <w:pPr>
        <w:pStyle w:val="12"/>
        <w:adjustRightInd w:val="0"/>
        <w:snapToGrid w:val="0"/>
        <w:spacing w:line="440" w:lineRule="exact"/>
        <w:jc w:val="left"/>
        <w:rPr>
          <w:rFonts w:hint="default" w:ascii="Times New Roman" w:hAnsi="Times New Roman" w:cs="Times New Roman" w:eastAsiaTheme="minorEastAsia"/>
          <w:sz w:val="24"/>
          <w:lang w:val="en-US" w:eastAsia="zh-CN"/>
        </w:rPr>
      </w:pPr>
      <w:r>
        <w:rPr>
          <w:rFonts w:hint="default" w:ascii="Times New Roman" w:hAnsi="Times New Roman" w:cs="Times New Roman"/>
          <w:sz w:val="24"/>
        </w:rPr>
        <w:t>四、财政拨款收入支出决算总体情况说明</w:t>
      </w:r>
      <w:r>
        <w:rPr>
          <w:rFonts w:hint="default" w:ascii="Times New Roman" w:hAnsi="Times New Roman" w:cs="Times New Roman" w:eastAsiaTheme="minorEastAsia"/>
          <w:sz w:val="28"/>
          <w:szCs w:val="28"/>
        </w:rPr>
        <w:ptab w:relativeTo="margin" w:alignment="right" w:leader="dot"/>
      </w:r>
      <w:r>
        <w:rPr>
          <w:rFonts w:hint="default" w:ascii="Times New Roman" w:hAnsi="Times New Roman" w:cs="Times New Roman" w:eastAsiaTheme="minorEastAsia"/>
          <w:sz w:val="28"/>
          <w:szCs w:val="28"/>
          <w:lang w:val="en-US" w:eastAsia="zh-CN"/>
        </w:rPr>
        <w:t>5</w:t>
      </w:r>
    </w:p>
    <w:p w14:paraId="2E75AA34">
      <w:pPr>
        <w:pStyle w:val="12"/>
        <w:adjustRightInd w:val="0"/>
        <w:snapToGrid w:val="0"/>
        <w:spacing w:line="440" w:lineRule="exact"/>
        <w:jc w:val="left"/>
        <w:rPr>
          <w:rFonts w:hint="default" w:ascii="Times New Roman" w:hAnsi="Times New Roman" w:cs="Times New Roman" w:eastAsiaTheme="minorEastAsia"/>
          <w:sz w:val="24"/>
          <w:lang w:val="en-US" w:eastAsia="zh-CN"/>
        </w:rPr>
      </w:pPr>
      <w:r>
        <w:rPr>
          <w:rFonts w:hint="default" w:ascii="Times New Roman" w:hAnsi="Times New Roman" w:cs="Times New Roman"/>
          <w:sz w:val="24"/>
        </w:rPr>
        <w:t>五、一般公共预算财政拨款支出决算情况说明</w:t>
      </w:r>
      <w:r>
        <w:rPr>
          <w:rFonts w:hint="default" w:ascii="Times New Roman" w:hAnsi="Times New Roman" w:cs="Times New Roman" w:eastAsiaTheme="minorEastAsia"/>
          <w:sz w:val="28"/>
          <w:szCs w:val="28"/>
        </w:rPr>
        <w:ptab w:relativeTo="margin" w:alignment="right" w:leader="dot"/>
      </w:r>
      <w:r>
        <w:rPr>
          <w:rFonts w:hint="default" w:ascii="Times New Roman" w:hAnsi="Times New Roman" w:cs="Times New Roman" w:eastAsiaTheme="minorEastAsia"/>
          <w:sz w:val="28"/>
          <w:szCs w:val="28"/>
          <w:lang w:val="en-US" w:eastAsia="zh-CN"/>
        </w:rPr>
        <w:t>6</w:t>
      </w:r>
    </w:p>
    <w:p w14:paraId="545BD341">
      <w:pPr>
        <w:pStyle w:val="12"/>
        <w:adjustRightInd w:val="0"/>
        <w:snapToGrid w:val="0"/>
        <w:spacing w:line="440" w:lineRule="exact"/>
        <w:jc w:val="left"/>
        <w:rPr>
          <w:rFonts w:hint="default" w:ascii="Times New Roman" w:hAnsi="Times New Roman" w:cs="Times New Roman" w:eastAsiaTheme="minorEastAsia"/>
          <w:sz w:val="24"/>
          <w:lang w:val="en-US" w:eastAsia="zh-CN"/>
        </w:rPr>
      </w:pPr>
      <w:r>
        <w:rPr>
          <w:rFonts w:hint="default" w:ascii="Times New Roman" w:hAnsi="Times New Roman" w:cs="Times New Roman"/>
          <w:sz w:val="24"/>
        </w:rPr>
        <w:t>六、一般公共预算财政拨款基本支出决算情况说明</w:t>
      </w:r>
      <w:r>
        <w:rPr>
          <w:rFonts w:hint="default" w:ascii="Times New Roman" w:hAnsi="Times New Roman" w:cs="Times New Roman" w:eastAsiaTheme="minorEastAsia"/>
          <w:sz w:val="28"/>
          <w:szCs w:val="28"/>
        </w:rPr>
        <w:ptab w:relativeTo="margin" w:alignment="right" w:leader="dot"/>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val="en-US" w:eastAsia="zh-CN"/>
        </w:rPr>
        <w:t>0</w:t>
      </w:r>
    </w:p>
    <w:p w14:paraId="5BE50B15">
      <w:pPr>
        <w:pStyle w:val="12"/>
        <w:adjustRightInd w:val="0"/>
        <w:snapToGrid w:val="0"/>
        <w:spacing w:line="440" w:lineRule="exact"/>
        <w:jc w:val="left"/>
        <w:rPr>
          <w:rFonts w:hint="default" w:ascii="Times New Roman" w:hAnsi="Times New Roman" w:cs="Times New Roman" w:eastAsiaTheme="minorEastAsia"/>
          <w:sz w:val="24"/>
          <w:lang w:val="en-US" w:eastAsia="zh-CN"/>
        </w:rPr>
      </w:pPr>
      <w:r>
        <w:rPr>
          <w:rFonts w:hint="default" w:ascii="Times New Roman" w:hAnsi="Times New Roman" w:cs="Times New Roman"/>
          <w:sz w:val="24"/>
        </w:rPr>
        <w:t>七、财政拨款“三公”经费支出决算情况说明</w:t>
      </w:r>
      <w:r>
        <w:rPr>
          <w:rFonts w:hint="default" w:ascii="Times New Roman" w:hAnsi="Times New Roman" w:cs="Times New Roman" w:eastAsiaTheme="minorEastAsia"/>
          <w:sz w:val="28"/>
          <w:szCs w:val="28"/>
        </w:rPr>
        <w:ptab w:relativeTo="margin" w:alignment="right" w:leader="dot"/>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val="en-US" w:eastAsia="zh-CN"/>
        </w:rPr>
        <w:t>1</w:t>
      </w:r>
    </w:p>
    <w:p w14:paraId="3D75E59E">
      <w:pPr>
        <w:pStyle w:val="12"/>
        <w:adjustRightInd w:val="0"/>
        <w:snapToGrid w:val="0"/>
        <w:spacing w:line="440" w:lineRule="exact"/>
        <w:jc w:val="left"/>
        <w:rPr>
          <w:rFonts w:hint="default" w:ascii="Times New Roman" w:hAnsi="Times New Roman" w:cs="Times New Roman" w:eastAsiaTheme="minorEastAsia"/>
          <w:sz w:val="24"/>
        </w:rPr>
      </w:pPr>
      <w:r>
        <w:rPr>
          <w:rFonts w:hint="default" w:ascii="Times New Roman" w:hAnsi="Times New Roman" w:cs="Times New Roman"/>
          <w:sz w:val="24"/>
        </w:rPr>
        <w:t>八、政府性基金预算支出决算情况说明</w:t>
      </w:r>
      <w:r>
        <w:rPr>
          <w:rFonts w:hint="default" w:ascii="Times New Roman" w:hAnsi="Times New Roman" w:cs="Times New Roman" w:eastAsiaTheme="minorEastAsia"/>
          <w:sz w:val="28"/>
          <w:szCs w:val="28"/>
        </w:rPr>
        <w:ptab w:relativeTo="margin" w:alignment="right" w:leader="dot"/>
      </w:r>
      <w:r>
        <w:rPr>
          <w:rFonts w:hint="default" w:ascii="Times New Roman" w:hAnsi="Times New Roman" w:cs="Times New Roman" w:eastAsiaTheme="minorEastAsia"/>
          <w:sz w:val="28"/>
          <w:szCs w:val="28"/>
        </w:rPr>
        <w:t>12</w:t>
      </w:r>
    </w:p>
    <w:p w14:paraId="3B350696">
      <w:pPr>
        <w:pStyle w:val="12"/>
        <w:adjustRightInd w:val="0"/>
        <w:snapToGrid w:val="0"/>
        <w:spacing w:line="440" w:lineRule="exact"/>
        <w:jc w:val="left"/>
        <w:rPr>
          <w:rFonts w:hint="default" w:ascii="Times New Roman" w:hAnsi="Times New Roman" w:cs="Times New Roman" w:eastAsiaTheme="minorEastAsia"/>
          <w:sz w:val="24"/>
        </w:rPr>
      </w:pPr>
      <w:r>
        <w:rPr>
          <w:rFonts w:hint="default" w:ascii="Times New Roman" w:hAnsi="Times New Roman" w:cs="Times New Roman"/>
          <w:sz w:val="24"/>
        </w:rPr>
        <w:t>九、国有资本经营预算支出决算情况说明</w:t>
      </w:r>
      <w:r>
        <w:rPr>
          <w:rFonts w:hint="default" w:ascii="Times New Roman" w:hAnsi="Times New Roman" w:cs="Times New Roman" w:eastAsiaTheme="minorEastAsia"/>
          <w:sz w:val="28"/>
          <w:szCs w:val="28"/>
        </w:rPr>
        <w:ptab w:relativeTo="margin" w:alignment="right" w:leader="dot"/>
      </w:r>
      <w:r>
        <w:rPr>
          <w:rFonts w:hint="default" w:ascii="Times New Roman" w:hAnsi="Times New Roman" w:cs="Times New Roman" w:eastAsiaTheme="minorEastAsia"/>
          <w:sz w:val="28"/>
          <w:szCs w:val="28"/>
        </w:rPr>
        <w:t>12</w:t>
      </w:r>
    </w:p>
    <w:p w14:paraId="010C1E7F">
      <w:pPr>
        <w:pStyle w:val="12"/>
        <w:adjustRightInd w:val="0"/>
        <w:snapToGrid w:val="0"/>
        <w:spacing w:line="440" w:lineRule="exact"/>
        <w:jc w:val="left"/>
        <w:rPr>
          <w:rFonts w:hint="default" w:ascii="Times New Roman" w:hAnsi="Times New Roman" w:cs="Times New Roman" w:eastAsiaTheme="minorEastAsia"/>
          <w:sz w:val="24"/>
          <w:lang w:val="en-US" w:eastAsia="zh-CN"/>
        </w:rPr>
      </w:pPr>
      <w:r>
        <w:rPr>
          <w:rFonts w:hint="default" w:ascii="Times New Roman" w:hAnsi="Times New Roman" w:cs="Times New Roman"/>
          <w:sz w:val="24"/>
        </w:rPr>
        <w:t>十、其他重要事项的情况说明</w:t>
      </w:r>
      <w:r>
        <w:rPr>
          <w:rFonts w:hint="default" w:ascii="Times New Roman" w:hAnsi="Times New Roman" w:cs="Times New Roman" w:eastAsiaTheme="minorEastAsia"/>
          <w:sz w:val="28"/>
          <w:szCs w:val="28"/>
        </w:rPr>
        <w:ptab w:relativeTo="margin" w:alignment="right" w:leader="dot"/>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val="en-US" w:eastAsia="zh-CN"/>
        </w:rPr>
        <w:t>2</w:t>
      </w:r>
    </w:p>
    <w:p w14:paraId="4AD57081">
      <w:pPr>
        <w:pStyle w:val="11"/>
        <w:adjustRightInd w:val="0"/>
        <w:snapToGrid w:val="0"/>
        <w:spacing w:before="0" w:line="440" w:lineRule="exact"/>
        <w:jc w:val="left"/>
        <w:rPr>
          <w:rFonts w:hint="default" w:ascii="Times New Roman" w:hAnsi="Times New Roman" w:cs="Times New Roman" w:eastAsiaTheme="minorEastAsia"/>
          <w:lang w:val="en-US" w:eastAsia="zh-CN"/>
        </w:rPr>
      </w:pPr>
      <w:r>
        <w:rPr>
          <w:rFonts w:hint="default" w:ascii="Times New Roman" w:hAnsi="Times New Roman" w:eastAsia="黑体" w:cs="Times New Roman"/>
        </w:rPr>
        <w:t>第三部分 名词解释</w:t>
      </w:r>
      <w:r>
        <w:rPr>
          <w:rFonts w:hint="default" w:ascii="Times New Roman" w:hAnsi="Times New Roman" w:cs="Times New Roman" w:eastAsiaTheme="minorEastAsia"/>
        </w:rPr>
        <w:ptab w:relativeTo="margin" w:alignment="right" w:leader="dot"/>
      </w:r>
      <w:r>
        <w:rPr>
          <w:rFonts w:hint="default" w:ascii="Times New Roman" w:hAnsi="Times New Roman" w:cs="Times New Roman" w:eastAsiaTheme="minorEastAsia"/>
        </w:rPr>
        <w:t>1</w:t>
      </w:r>
      <w:r>
        <w:rPr>
          <w:rFonts w:hint="default" w:ascii="Times New Roman" w:hAnsi="Times New Roman" w:cs="Times New Roman" w:eastAsiaTheme="minorEastAsia"/>
          <w:lang w:val="en-US" w:eastAsia="zh-CN"/>
        </w:rPr>
        <w:t>3</w:t>
      </w:r>
    </w:p>
    <w:p w14:paraId="6E05E5B6">
      <w:pPr>
        <w:pStyle w:val="11"/>
        <w:adjustRightInd w:val="0"/>
        <w:snapToGrid w:val="0"/>
        <w:spacing w:before="0" w:line="440" w:lineRule="exact"/>
        <w:jc w:val="left"/>
        <w:rPr>
          <w:rFonts w:hint="default" w:ascii="Times New Roman" w:hAnsi="Times New Roman" w:cs="Times New Roman" w:eastAsiaTheme="minorEastAsia"/>
          <w:lang w:val="en-US" w:eastAsia="zh-CN"/>
        </w:rPr>
      </w:pPr>
      <w:r>
        <w:rPr>
          <w:rFonts w:hint="default" w:ascii="Times New Roman" w:hAnsi="Times New Roman" w:eastAsia="黑体" w:cs="Times New Roman"/>
        </w:rPr>
        <w:t>第四部分 附件</w:t>
      </w:r>
      <w:r>
        <w:rPr>
          <w:rFonts w:hint="default" w:ascii="Times New Roman" w:hAnsi="Times New Roman" w:cs="Times New Roman" w:eastAsiaTheme="minorEastAsia"/>
        </w:rPr>
        <w:ptab w:relativeTo="margin" w:alignment="right" w:leader="dot"/>
      </w:r>
      <w:r>
        <w:rPr>
          <w:rFonts w:hint="default" w:ascii="Times New Roman" w:hAnsi="Times New Roman" w:cs="Times New Roman" w:eastAsiaTheme="minorEastAsia"/>
          <w:lang w:val="en-US" w:eastAsia="zh-CN"/>
        </w:rPr>
        <w:t>1</w:t>
      </w:r>
      <w:r>
        <w:rPr>
          <w:rFonts w:hint="eastAsia" w:ascii="Times New Roman" w:hAnsi="Times New Roman" w:cs="Times New Roman" w:eastAsiaTheme="minorEastAsia"/>
          <w:lang w:val="en-US" w:eastAsia="zh-CN"/>
        </w:rPr>
        <w:t>9</w:t>
      </w:r>
    </w:p>
    <w:p w14:paraId="4B3185AB">
      <w:pPr>
        <w:pStyle w:val="11"/>
        <w:adjustRightInd w:val="0"/>
        <w:snapToGrid w:val="0"/>
        <w:spacing w:before="0" w:line="440" w:lineRule="exact"/>
        <w:jc w:val="left"/>
        <w:rPr>
          <w:rFonts w:hint="default" w:ascii="Times New Roman" w:hAnsi="Times New Roman" w:cs="Times New Roman" w:eastAsiaTheme="minorEastAsia"/>
          <w:lang w:val="en-US" w:eastAsia="zh-CN"/>
        </w:rPr>
      </w:pPr>
      <w:r>
        <w:rPr>
          <w:rFonts w:hint="default" w:ascii="Times New Roman" w:hAnsi="Times New Roman" w:eastAsia="黑体" w:cs="Times New Roman"/>
        </w:rPr>
        <w:t>第五部分 附表</w:t>
      </w:r>
      <w:r>
        <w:rPr>
          <w:rFonts w:hint="default" w:ascii="Times New Roman" w:hAnsi="Times New Roman" w:cs="Times New Roman" w:eastAsiaTheme="minorEastAsia"/>
        </w:rPr>
        <w:ptab w:relativeTo="margin" w:alignment="right" w:leader="dot"/>
      </w:r>
      <w:r>
        <w:rPr>
          <w:rFonts w:hint="eastAsia" w:ascii="Times New Roman" w:hAnsi="Times New Roman" w:cs="Times New Roman" w:eastAsiaTheme="minorEastAsia"/>
          <w:lang w:val="en-US" w:eastAsia="zh-CN"/>
        </w:rPr>
        <w:t>48</w:t>
      </w:r>
    </w:p>
    <w:p w14:paraId="11F748ED">
      <w:pPr>
        <w:pStyle w:val="12"/>
        <w:adjustRightInd w:val="0"/>
        <w:snapToGrid w:val="0"/>
        <w:spacing w:line="440" w:lineRule="exact"/>
        <w:jc w:val="left"/>
        <w:rPr>
          <w:rFonts w:hint="default" w:ascii="Times New Roman" w:hAnsi="Times New Roman" w:cs="Times New Roman" w:eastAsiaTheme="minorEastAsia"/>
          <w:sz w:val="24"/>
          <w:lang w:val="en-US" w:eastAsia="zh-CN"/>
        </w:rPr>
      </w:pPr>
      <w:r>
        <w:rPr>
          <w:rFonts w:hint="default" w:ascii="Times New Roman" w:hAnsi="Times New Roman" w:cs="Times New Roman"/>
          <w:sz w:val="24"/>
        </w:rPr>
        <w:t>一、收入支出决算总表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63CC1D06">
      <w:pPr>
        <w:pStyle w:val="12"/>
        <w:adjustRightInd w:val="0"/>
        <w:snapToGrid w:val="0"/>
        <w:spacing w:line="440" w:lineRule="exact"/>
        <w:jc w:val="left"/>
        <w:rPr>
          <w:rFonts w:hint="eastAsia" w:cs="Times New Roman" w:eastAsiaTheme="minorEastAsia"/>
          <w:sz w:val="28"/>
          <w:szCs w:val="28"/>
          <w:lang w:val="en-US" w:eastAsia="zh-CN"/>
        </w:rPr>
      </w:pPr>
      <w:r>
        <w:rPr>
          <w:rFonts w:hint="default" w:ascii="Times New Roman" w:hAnsi="Times New Roman" w:cs="Times New Roman"/>
          <w:sz w:val="24"/>
        </w:rPr>
        <w:t>二、收入决算表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4B97C877">
      <w:pPr>
        <w:pStyle w:val="12"/>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cs="Times New Roman"/>
          <w:sz w:val="24"/>
        </w:rPr>
        <w:t>三、支出决算表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2A807F7D">
      <w:pPr>
        <w:pStyle w:val="12"/>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cs="Times New Roman"/>
          <w:sz w:val="24"/>
        </w:rPr>
        <w:t>四、财政拨款收入支出决算总表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7679A846">
      <w:pPr>
        <w:pStyle w:val="12"/>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cs="Times New Roman"/>
          <w:sz w:val="24"/>
        </w:rPr>
        <w:t>五、财政拨款支出决算明细表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10E00CFB">
      <w:pPr>
        <w:pStyle w:val="12"/>
        <w:adjustRightInd w:val="0"/>
        <w:snapToGrid w:val="0"/>
        <w:spacing w:line="440" w:lineRule="exact"/>
        <w:jc w:val="left"/>
        <w:rPr>
          <w:rFonts w:hint="default" w:ascii="Times New Roman" w:hAnsi="Times New Roman" w:cs="Times New Roman"/>
          <w:sz w:val="24"/>
          <w:lang w:val="en-US"/>
        </w:rPr>
      </w:pPr>
      <w:r>
        <w:rPr>
          <w:rFonts w:hint="default" w:ascii="Times New Roman" w:hAnsi="Times New Roman" w:cs="Times New Roman"/>
          <w:sz w:val="24"/>
        </w:rPr>
        <w:t>六、一般公共预算财政拨款支出决算表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5BBB1960">
      <w:pPr>
        <w:pStyle w:val="12"/>
        <w:adjustRightInd w:val="0"/>
        <w:snapToGrid w:val="0"/>
        <w:spacing w:line="440" w:lineRule="exact"/>
        <w:jc w:val="left"/>
        <w:rPr>
          <w:rFonts w:hint="eastAsia" w:cs="Times New Roman" w:eastAsiaTheme="minorEastAsia"/>
          <w:sz w:val="28"/>
          <w:szCs w:val="28"/>
          <w:lang w:val="en-US" w:eastAsia="zh-CN"/>
        </w:rPr>
      </w:pPr>
      <w:r>
        <w:rPr>
          <w:rFonts w:hint="default" w:ascii="Times New Roman" w:hAnsi="Times New Roman" w:cs="Times New Roman"/>
          <w:sz w:val="24"/>
        </w:rPr>
        <w:t>七、一般公共预算财政拨款支出决算明细表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6F4F80C9">
      <w:pPr>
        <w:pStyle w:val="12"/>
        <w:adjustRightInd w:val="0"/>
        <w:snapToGrid w:val="0"/>
        <w:spacing w:line="440" w:lineRule="exact"/>
        <w:jc w:val="left"/>
        <w:rPr>
          <w:rFonts w:hint="eastAsia" w:cs="Times New Roman" w:eastAsiaTheme="minorEastAsia"/>
          <w:sz w:val="28"/>
          <w:szCs w:val="28"/>
          <w:lang w:val="en-US" w:eastAsia="zh-CN"/>
        </w:rPr>
      </w:pPr>
      <w:r>
        <w:rPr>
          <w:rFonts w:hint="default" w:ascii="Times New Roman" w:hAnsi="Times New Roman" w:cs="Times New Roman"/>
          <w:sz w:val="24"/>
        </w:rPr>
        <w:t>八、一般公共预算财政拨款基本支出决算明细表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074D6248">
      <w:pPr>
        <w:pStyle w:val="12"/>
        <w:adjustRightInd w:val="0"/>
        <w:snapToGrid w:val="0"/>
        <w:spacing w:line="440" w:lineRule="exact"/>
        <w:jc w:val="left"/>
        <w:rPr>
          <w:rFonts w:hint="eastAsia" w:cs="Times New Roman" w:eastAsiaTheme="minorEastAsia"/>
          <w:sz w:val="28"/>
          <w:szCs w:val="28"/>
          <w:lang w:val="en-US" w:eastAsia="zh-CN"/>
        </w:rPr>
      </w:pPr>
      <w:r>
        <w:rPr>
          <w:rFonts w:hint="default" w:ascii="Times New Roman" w:hAnsi="Times New Roman" w:cs="Times New Roman"/>
          <w:sz w:val="24"/>
        </w:rPr>
        <w:t>九、一般公共预算财政拨款项目支出决算表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37C06101">
      <w:pPr>
        <w:pStyle w:val="12"/>
        <w:adjustRightInd w:val="0"/>
        <w:snapToGrid w:val="0"/>
        <w:spacing w:line="440" w:lineRule="exact"/>
        <w:jc w:val="left"/>
        <w:rPr>
          <w:rFonts w:hint="default" w:ascii="Times New Roman" w:hAnsi="Times New Roman" w:cs="Times New Roman"/>
          <w:sz w:val="24"/>
        </w:rPr>
      </w:pPr>
      <w:r>
        <w:rPr>
          <w:rFonts w:hint="default" w:ascii="Times New Roman" w:hAnsi="Times New Roman" w:cs="Times New Roman"/>
          <w:sz w:val="24"/>
        </w:rPr>
        <w:t>十、政府性基金预算财政拨款收入支出决算表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5EFD1930">
      <w:pPr>
        <w:pStyle w:val="12"/>
        <w:adjustRightInd w:val="0"/>
        <w:snapToGrid w:val="0"/>
        <w:spacing w:line="440" w:lineRule="exact"/>
        <w:jc w:val="left"/>
        <w:rPr>
          <w:rFonts w:hint="default" w:ascii="Times New Roman" w:hAnsi="Times New Roman" w:cs="Times New Roman"/>
          <w:sz w:val="24"/>
        </w:rPr>
      </w:pPr>
      <w:r>
        <w:rPr>
          <w:rFonts w:hint="default" w:ascii="Times New Roman" w:hAnsi="Times New Roman" w:cs="Times New Roman"/>
          <w:sz w:val="24"/>
        </w:rPr>
        <w:t>十一、国有资本经营预算财政拨款收入支出决算表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30203241">
      <w:pPr>
        <w:pStyle w:val="12"/>
        <w:adjustRightInd w:val="0"/>
        <w:snapToGrid w:val="0"/>
        <w:spacing w:line="440" w:lineRule="exact"/>
        <w:jc w:val="left"/>
        <w:rPr>
          <w:rFonts w:hint="default" w:ascii="Times New Roman" w:hAnsi="Times New Roman" w:cs="Times New Roman"/>
          <w:sz w:val="24"/>
        </w:rPr>
      </w:pPr>
      <w:r>
        <w:rPr>
          <w:rFonts w:hint="default" w:ascii="Times New Roman" w:hAnsi="Times New Roman" w:cs="Times New Roman"/>
          <w:sz w:val="24"/>
        </w:rPr>
        <w:t>十二、国有资本经营预算财政拨款支出决算表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383754F9">
      <w:pPr>
        <w:pStyle w:val="12"/>
        <w:adjustRightInd w:val="0"/>
        <w:snapToGrid w:val="0"/>
        <w:spacing w:line="440" w:lineRule="exact"/>
        <w:jc w:val="left"/>
        <w:rPr>
          <w:rFonts w:hint="default" w:ascii="Times New Roman" w:hAnsi="Times New Roman" w:cs="Times New Roman"/>
          <w:sz w:val="24"/>
        </w:rPr>
      </w:pPr>
      <w:r>
        <w:rPr>
          <w:rFonts w:hint="default" w:ascii="Times New Roman" w:hAnsi="Times New Roman" w:cs="Times New Roman"/>
          <w:sz w:val="24"/>
        </w:rPr>
        <w:t>十三、财政拨款“三公”经费支出决算表</w:t>
      </w:r>
      <w:r>
        <w:rPr>
          <w:rFonts w:hint="default" w:ascii="Times New Roman" w:hAnsi="Times New Roman" w:cs="Times New Roman" w:eastAsiaTheme="minorEastAsia"/>
          <w:sz w:val="28"/>
          <w:szCs w:val="28"/>
        </w:rPr>
        <w:ptab w:relativeTo="margin" w:alignment="right" w:leader="dot"/>
      </w:r>
      <w:r>
        <w:rPr>
          <w:rFonts w:hint="eastAsia" w:cs="Times New Roman" w:eastAsiaTheme="minorEastAsia"/>
          <w:sz w:val="28"/>
          <w:szCs w:val="28"/>
          <w:lang w:val="en-US" w:eastAsia="zh-CN"/>
        </w:rPr>
        <w:t>48</w:t>
      </w:r>
    </w:p>
    <w:p w14:paraId="61AED97F">
      <w:pPr>
        <w:pStyle w:val="2"/>
        <w:jc w:val="center"/>
        <w:rPr>
          <w:rFonts w:hint="default" w:ascii="Times New Roman" w:hAnsi="Times New Roman" w:eastAsia="黑体" w:cs="Times New Roman"/>
          <w:b w:val="0"/>
        </w:rPr>
      </w:pPr>
      <w:bookmarkStart w:id="12" w:name="_Toc15377196"/>
      <w:bookmarkStart w:id="13" w:name="_Toc15396599"/>
    </w:p>
    <w:p w14:paraId="21199CE1">
      <w:pPr>
        <w:pStyle w:val="2"/>
        <w:rPr>
          <w:rFonts w:hint="default" w:ascii="Times New Roman" w:hAnsi="Times New Roman" w:eastAsia="黑体" w:cs="Times New Roman"/>
          <w:b w:val="0"/>
        </w:rPr>
      </w:pPr>
    </w:p>
    <w:p w14:paraId="41061B88">
      <w:pPr>
        <w:pStyle w:val="2"/>
        <w:jc w:val="center"/>
        <w:rPr>
          <w:rFonts w:hint="default" w:ascii="Times New Roman" w:hAnsi="Times New Roman" w:eastAsia="黑体" w:cs="Times New Roman"/>
          <w:b w:val="0"/>
        </w:rPr>
      </w:pPr>
    </w:p>
    <w:p w14:paraId="618103B0">
      <w:pPr>
        <w:pStyle w:val="2"/>
        <w:jc w:val="center"/>
        <w:rPr>
          <w:rFonts w:hint="default" w:ascii="Times New Roman" w:hAnsi="Times New Roman" w:eastAsia="黑体" w:cs="Times New Roman"/>
          <w:b w:val="0"/>
        </w:rPr>
      </w:pPr>
    </w:p>
    <w:p w14:paraId="42E52435">
      <w:pPr>
        <w:pStyle w:val="2"/>
        <w:jc w:val="center"/>
        <w:rPr>
          <w:rFonts w:hint="default" w:ascii="Times New Roman" w:hAnsi="Times New Roman" w:eastAsia="黑体" w:cs="Times New Roman"/>
          <w:b w:val="0"/>
        </w:rPr>
      </w:pPr>
    </w:p>
    <w:p w14:paraId="2D7B7623">
      <w:pPr>
        <w:pStyle w:val="2"/>
        <w:jc w:val="center"/>
        <w:rPr>
          <w:rFonts w:hint="default" w:ascii="Times New Roman" w:hAnsi="Times New Roman" w:eastAsia="黑体" w:cs="Times New Roman"/>
          <w:b w:val="0"/>
        </w:rPr>
      </w:pPr>
    </w:p>
    <w:p w14:paraId="2DBA142C">
      <w:pPr>
        <w:rPr>
          <w:rFonts w:hint="default" w:ascii="Times New Roman" w:hAnsi="Times New Roman" w:cs="Times New Roman"/>
        </w:rPr>
      </w:pPr>
    </w:p>
    <w:p w14:paraId="00396164">
      <w:pPr>
        <w:pStyle w:val="19"/>
        <w:rPr>
          <w:rFonts w:hint="default" w:ascii="Times New Roman" w:hAnsi="Times New Roman" w:cs="Times New Roman"/>
        </w:rPr>
      </w:pPr>
    </w:p>
    <w:p w14:paraId="567B7244">
      <w:pPr>
        <w:pStyle w:val="2"/>
        <w:rPr>
          <w:rFonts w:hint="default" w:ascii="Times New Roman" w:hAnsi="Times New Roman" w:cs="Times New Roman"/>
          <w:b w:val="0"/>
          <w:bCs w:val="0"/>
          <w:kern w:val="2"/>
          <w:sz w:val="21"/>
          <w:szCs w:val="24"/>
        </w:rPr>
      </w:pPr>
    </w:p>
    <w:p w14:paraId="3925A31E">
      <w:pPr>
        <w:rPr>
          <w:rFonts w:hint="default" w:ascii="Times New Roman" w:hAnsi="Times New Roman" w:cs="Times New Roman"/>
        </w:rPr>
      </w:pPr>
    </w:p>
    <w:p w14:paraId="2EBF5F06">
      <w:pPr>
        <w:pStyle w:val="2"/>
        <w:jc w:val="center"/>
        <w:rPr>
          <w:rFonts w:hint="default" w:ascii="Times New Roman" w:hAnsi="Times New Roman" w:eastAsia="黑体" w:cs="Times New Roman"/>
          <w:b w:val="0"/>
        </w:rPr>
        <w:sectPr>
          <w:footerReference r:id="rId5" w:type="default"/>
          <w:pgSz w:w="11906" w:h="16838"/>
          <w:pgMar w:top="2098" w:right="1474" w:bottom="1984" w:left="1587" w:header="851" w:footer="992" w:gutter="0"/>
          <w:pgNumType w:fmt="decimal" w:start="1"/>
          <w:cols w:space="425" w:num="1"/>
          <w:docGrid w:type="lines" w:linePitch="312" w:charSpace="0"/>
        </w:sectPr>
      </w:pPr>
    </w:p>
    <w:p w14:paraId="14C165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第一部分 部门概况</w:t>
      </w:r>
      <w:bookmarkEnd w:id="12"/>
      <w:bookmarkEnd w:id="13"/>
    </w:p>
    <w:p w14:paraId="5A0933DA">
      <w:pPr>
        <w:pStyle w:val="3"/>
        <w:pageBreakBefore w:val="0"/>
        <w:numPr>
          <w:ilvl w:val="0"/>
          <w:numId w:val="0"/>
        </w:numPr>
        <w:kinsoku/>
        <w:wordWrap/>
        <w:overflowPunct/>
        <w:topLinePunct w:val="0"/>
        <w:bidi w:val="0"/>
        <w:snapToGrid/>
        <w:spacing w:before="0" w:after="0" w:line="240" w:lineRule="auto"/>
        <w:ind w:left="-141" w:leftChars="0" w:firstLine="640" w:firstLineChars="200"/>
        <w:textAlignment w:val="auto"/>
        <w:rPr>
          <w:rStyle w:val="29"/>
          <w:rFonts w:hint="default" w:ascii="Times New Roman" w:hAnsi="Times New Roman" w:eastAsia="黑体" w:cs="Times New Roman"/>
          <w:b w:val="0"/>
          <w:bCs w:val="0"/>
          <w:lang w:val="en-US" w:eastAsia="zh-CN"/>
        </w:rPr>
      </w:pPr>
      <w:bookmarkStart w:id="14" w:name="_Toc15396600"/>
      <w:bookmarkStart w:id="15" w:name="_Toc15377197"/>
    </w:p>
    <w:p w14:paraId="0E87271C">
      <w:pPr>
        <w:pStyle w:val="3"/>
        <w:pageBreakBefore w:val="0"/>
        <w:numPr>
          <w:ilvl w:val="0"/>
          <w:numId w:val="0"/>
        </w:numPr>
        <w:kinsoku/>
        <w:wordWrap/>
        <w:overflowPunct/>
        <w:topLinePunct w:val="0"/>
        <w:bidi w:val="0"/>
        <w:snapToGrid/>
        <w:spacing w:before="0" w:after="0" w:line="240" w:lineRule="auto"/>
        <w:ind w:left="-141" w:leftChars="0" w:firstLine="640" w:firstLineChars="200"/>
        <w:textAlignment w:val="auto"/>
        <w:rPr>
          <w:rStyle w:val="29"/>
          <w:rFonts w:hint="default" w:ascii="Times New Roman" w:hAnsi="Times New Roman" w:eastAsia="黑体" w:cs="Times New Roman"/>
          <w:b w:val="0"/>
          <w:bCs w:val="0"/>
        </w:rPr>
      </w:pPr>
      <w:r>
        <w:rPr>
          <w:rStyle w:val="29"/>
          <w:rFonts w:hint="default" w:ascii="Times New Roman" w:hAnsi="Times New Roman" w:eastAsia="黑体" w:cs="Times New Roman"/>
          <w:b w:val="0"/>
          <w:bCs w:val="0"/>
          <w:lang w:val="en-US" w:eastAsia="zh-CN"/>
        </w:rPr>
        <w:t>一、</w:t>
      </w:r>
      <w:r>
        <w:rPr>
          <w:rStyle w:val="29"/>
          <w:rFonts w:hint="default" w:ascii="Times New Roman" w:hAnsi="Times New Roman" w:eastAsia="黑体" w:cs="Times New Roman"/>
          <w:b w:val="0"/>
          <w:bCs w:val="0"/>
        </w:rPr>
        <w:t>部门职责</w:t>
      </w:r>
    </w:p>
    <w:p w14:paraId="10CB19C2">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仿宋" w:cs="Times New Roman"/>
          <w:sz w:val="32"/>
          <w:szCs w:val="32"/>
        </w:rPr>
        <w:t>落实退役军人思想政治、管理保障和安置优抚等政策并监督实施，</w:t>
      </w:r>
      <w:r>
        <w:rPr>
          <w:rFonts w:hint="default" w:ascii="Times New Roman" w:hAnsi="Times New Roman" w:eastAsia="仿宋" w:cs="Times New Roman"/>
          <w:color w:val="auto"/>
          <w:sz w:val="32"/>
          <w:szCs w:val="32"/>
        </w:rPr>
        <w:t>拟订退役</w:t>
      </w:r>
      <w:r>
        <w:rPr>
          <w:rFonts w:hint="default" w:ascii="Times New Roman" w:hAnsi="Times New Roman" w:eastAsia="仿宋" w:cs="Times New Roman"/>
          <w:sz w:val="32"/>
          <w:szCs w:val="32"/>
        </w:rPr>
        <w:t>军人工作政策并组织实施，褒扬彰显退役军人为党、国家和人民牺牲奉献的精神风范和价值导向。</w:t>
      </w:r>
    </w:p>
    <w:p w14:paraId="76F40933">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仿宋" w:cs="Times New Roman"/>
          <w:sz w:val="32"/>
          <w:szCs w:val="32"/>
        </w:rPr>
        <w:t>负责军队转业干部、复员干部、离休退休干部、退役士兵和无军籍退休退职职工的移交安置和自主择业、就业退役军人服务管理工作。</w:t>
      </w:r>
    </w:p>
    <w:p w14:paraId="29D0A9EE">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仿宋" w:cs="Times New Roman"/>
          <w:sz w:val="32"/>
          <w:szCs w:val="32"/>
        </w:rPr>
        <w:t>组织、指导退役军人教育培训工作，承担退役军人和随军随调家属就业创业扶持工作。</w:t>
      </w:r>
    </w:p>
    <w:p w14:paraId="7B9C89FC">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仿宋" w:cs="Times New Roman"/>
          <w:sz w:val="32"/>
          <w:szCs w:val="32"/>
        </w:rPr>
        <w:t>贯彻执行国家有关退役军人特殊保障政策，拟订有关地方性政策并组织实施。</w:t>
      </w:r>
    </w:p>
    <w:p w14:paraId="70BE0B2D">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（五）</w:t>
      </w:r>
      <w:r>
        <w:rPr>
          <w:rFonts w:hint="default" w:ascii="Times New Roman" w:hAnsi="Times New Roman" w:eastAsia="仿宋" w:cs="Times New Roman"/>
          <w:sz w:val="32"/>
          <w:szCs w:val="32"/>
        </w:rPr>
        <w:t>组织、协调落实移交地方的离休退休军人、符合条件的其他退役军人和无军籍退休退职职工的住房保障工作，以及退役军人医疗保障、社会保险等待遇保障工作。</w:t>
      </w:r>
    </w:p>
    <w:p w14:paraId="16B4C204">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（六）</w:t>
      </w:r>
      <w:r>
        <w:rPr>
          <w:rFonts w:hint="default" w:ascii="Times New Roman" w:hAnsi="Times New Roman" w:eastAsia="仿宋" w:cs="Times New Roman"/>
          <w:sz w:val="32"/>
          <w:szCs w:val="32"/>
        </w:rPr>
        <w:t xml:space="preserve">负责伤病残退役军人服务管理和抚恤工作，贯彻执行国家有关退役军人医疗、疗养、养老等机构的规划政策。承担不适宜继续服役的伤病残军人移交安置、退休安置、供养等工作。    </w:t>
      </w:r>
    </w:p>
    <w:p w14:paraId="3F8FC399">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（七）</w:t>
      </w:r>
      <w:r>
        <w:rPr>
          <w:rFonts w:hint="default" w:ascii="Times New Roman" w:hAnsi="Times New Roman" w:eastAsia="仿宋" w:cs="Times New Roman"/>
          <w:sz w:val="32"/>
          <w:szCs w:val="32"/>
        </w:rPr>
        <w:t>组织、指导拥军优属工作，协调拥政爱民工作，承担现役军人、退役军人、军队文职人员和军属的优待、抚恤等工作。贯彻执行国家有关国民党抗战老兵等有关人员优待政策。</w:t>
      </w:r>
    </w:p>
    <w:p w14:paraId="293BEEA5">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（八）</w:t>
      </w:r>
      <w:r>
        <w:rPr>
          <w:rFonts w:hint="default" w:ascii="Times New Roman" w:hAnsi="Times New Roman" w:eastAsia="仿宋" w:cs="Times New Roman"/>
          <w:sz w:val="32"/>
          <w:szCs w:val="32"/>
        </w:rPr>
        <w:t>负责烈士及退役军人荣誉奖励、军人公墓和烈士纪念设施的建设管理、纪念活动等工作，依法承担英雄烈士保护相关工作，审核拟列入全市重点保护单位的烈士纪念建筑物名录，总结表彰和宣扬退役军人、退役军人工作单位和个人先进典型事例。</w:t>
      </w:r>
    </w:p>
    <w:p w14:paraId="0F7AE20E">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（九）</w:t>
      </w:r>
      <w:r>
        <w:rPr>
          <w:rFonts w:hint="default" w:ascii="Times New Roman" w:hAnsi="Times New Roman" w:eastAsia="仿宋" w:cs="Times New Roman"/>
          <w:sz w:val="32"/>
          <w:szCs w:val="32"/>
        </w:rPr>
        <w:t>指导并监督检查退役军人相关法律法规和政策措施的落实，组织开展退役军人权益维护和有关人员的帮扶援助工作。</w:t>
      </w:r>
    </w:p>
    <w:p w14:paraId="26FCF99B">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（十）</w:t>
      </w:r>
      <w:r>
        <w:rPr>
          <w:rFonts w:hint="default" w:ascii="Times New Roman" w:hAnsi="Times New Roman" w:eastAsia="仿宋" w:cs="Times New Roman"/>
          <w:sz w:val="32"/>
          <w:szCs w:val="32"/>
        </w:rPr>
        <w:t>推动建立退役军人事务分级负责和突发事件应急联动机制，组织、指导退役军人综合服务体系建设。配合指导退役军人党建工作。</w:t>
      </w:r>
    </w:p>
    <w:p w14:paraId="3301BFA1">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（十一）</w:t>
      </w:r>
      <w:r>
        <w:rPr>
          <w:rFonts w:hint="default" w:ascii="Times New Roman" w:hAnsi="Times New Roman" w:eastAsia="仿宋" w:cs="Times New Roman"/>
          <w:sz w:val="32"/>
          <w:szCs w:val="32"/>
        </w:rPr>
        <w:t>负责职责范围内的安全生产和职业健康、生态环境保护、审批服务便民化工作。</w:t>
      </w:r>
    </w:p>
    <w:p w14:paraId="4D3708B3">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（十二）</w:t>
      </w:r>
      <w:r>
        <w:rPr>
          <w:rFonts w:hint="default" w:ascii="Times New Roman" w:hAnsi="Times New Roman" w:eastAsia="仿宋" w:cs="Times New Roman"/>
          <w:sz w:val="32"/>
          <w:szCs w:val="32"/>
        </w:rPr>
        <w:t>完成县委、县政府和军方交办的其他任务。</w:t>
      </w:r>
    </w:p>
    <w:p w14:paraId="691D5FB6">
      <w:pPr>
        <w:pStyle w:val="27"/>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r>
        <w:rPr>
          <w:rFonts w:hint="default" w:ascii="Times New Roman" w:hAnsi="Times New Roman" w:eastAsia="方正楷体_GBK" w:cs="Times New Roman"/>
          <w:sz w:val="32"/>
          <w:szCs w:val="32"/>
        </w:rPr>
        <w:t>（十三）</w:t>
      </w:r>
      <w:r>
        <w:rPr>
          <w:rFonts w:hint="default" w:ascii="Times New Roman" w:hAnsi="Times New Roman" w:eastAsia="仿宋" w:cs="Times New Roman"/>
          <w:sz w:val="32"/>
          <w:szCs w:val="32"/>
        </w:rPr>
        <w:t>职能转变。加强全县退役军人思想政治工作以及服务保障体系建设，建立健全集中统一、职责清晰的退役军人管理保障机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215DD4BC">
      <w:pPr>
        <w:pageBreakBefore w:val="0"/>
        <w:kinsoku/>
        <w:wordWrap/>
        <w:overflowPunct/>
        <w:topLinePunct w:val="0"/>
        <w:bidi w:val="0"/>
        <w:snapToGrid/>
        <w:spacing w:line="240" w:lineRule="auto"/>
        <w:ind w:left="0" w:leftChars="0"/>
        <w:textAlignment w:val="auto"/>
        <w:rPr>
          <w:rFonts w:hint="default" w:ascii="Times New Roman" w:hAnsi="Times New Roman" w:cs="Times New Roman"/>
        </w:rPr>
      </w:pPr>
    </w:p>
    <w:p w14:paraId="5B52EDC8">
      <w:pPr>
        <w:pStyle w:val="3"/>
        <w:pageBreakBefore w:val="0"/>
        <w:kinsoku/>
        <w:wordWrap/>
        <w:overflowPunct/>
        <w:topLinePunct w:val="0"/>
        <w:bidi w:val="0"/>
        <w:snapToGrid/>
        <w:spacing w:before="0" w:after="0" w:line="240" w:lineRule="auto"/>
        <w:ind w:left="0" w:leftChars="0" w:firstLine="566" w:firstLineChars="177"/>
        <w:textAlignment w:val="auto"/>
        <w:rPr>
          <w:rFonts w:hint="default" w:ascii="Times New Roman" w:hAnsi="Times New Roman" w:eastAsia="黑体" w:cs="Times New Roman"/>
          <w:b w:val="0"/>
        </w:rPr>
      </w:pPr>
      <w:r>
        <w:rPr>
          <w:rFonts w:hint="default" w:ascii="Times New Roman" w:hAnsi="Times New Roman" w:eastAsia="黑体" w:cs="Times New Roman"/>
          <w:b w:val="0"/>
        </w:rPr>
        <w:t>二、机构设置</w:t>
      </w:r>
    </w:p>
    <w:p w14:paraId="1283FE89">
      <w:pPr>
        <w:pageBreakBefore w:val="0"/>
        <w:kinsoku/>
        <w:wordWrap/>
        <w:overflowPunct/>
        <w:topLinePunct w:val="0"/>
        <w:bidi w:val="0"/>
        <w:snapToGrid/>
        <w:spacing w:line="240" w:lineRule="auto"/>
        <w:ind w:left="0" w:leftChars="0" w:firstLine="480" w:firstLineChars="15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盐边县退役军人事务局独立核算机构一个。于2019年3月组建成立，为政府组成部门。下属2个事业单位，即盐边县退役军人服务中心（挂盐边县拥军优属拥政爱事务中心、盐边县军队离退休干部服务工作站牌子）、盐边县</w:t>
      </w:r>
      <w:r>
        <w:rPr>
          <w:rFonts w:hint="default" w:ascii="Times New Roman" w:hAnsi="Times New Roman" w:eastAsia="仿宋" w:cs="Times New Roman"/>
          <w:sz w:val="32"/>
          <w:szCs w:val="32"/>
          <w:lang w:eastAsia="zh-CN"/>
        </w:rPr>
        <w:t>烈士纪念保护中心</w:t>
      </w:r>
      <w:r>
        <w:rPr>
          <w:rFonts w:hint="default" w:ascii="Times New Roman" w:hAnsi="Times New Roman" w:eastAsia="仿宋" w:cs="Times New Roman"/>
          <w:sz w:val="32"/>
          <w:szCs w:val="32"/>
        </w:rPr>
        <w:t>。</w:t>
      </w:r>
    </w:p>
    <w:bookmarkEnd w:id="14"/>
    <w:bookmarkEnd w:id="15"/>
    <w:p w14:paraId="64A36B25">
      <w:pPr>
        <w:pageBreakBefore w:val="0"/>
        <w:widowControl/>
        <w:kinsoku/>
        <w:wordWrap/>
        <w:overflowPunct/>
        <w:topLinePunct w:val="0"/>
        <w:bidi w:val="0"/>
        <w:snapToGrid/>
        <w:spacing w:line="240" w:lineRule="auto"/>
        <w:ind w:left="0" w:leftChars="0"/>
        <w:jc w:val="center"/>
        <w:textAlignment w:val="auto"/>
        <w:rPr>
          <w:rFonts w:hint="default" w:ascii="Times New Roman" w:hAnsi="Times New Roman" w:eastAsia="方正小标宋_GBK" w:cs="Times New Roman"/>
          <w:b w:val="0"/>
          <w:bCs w:val="0"/>
          <w:color w:val="auto"/>
          <w:sz w:val="44"/>
          <w:szCs w:val="44"/>
          <w:lang w:val="en-US" w:eastAsia="zh-CN"/>
        </w:rPr>
      </w:pPr>
      <w:bookmarkStart w:id="16" w:name="_Toc15377204"/>
      <w:bookmarkStart w:id="17" w:name="_Toc15396602"/>
    </w:p>
    <w:p w14:paraId="3F02DC61">
      <w:pPr>
        <w:pageBreakBefore w:val="0"/>
        <w:widowControl/>
        <w:kinsoku/>
        <w:wordWrap/>
        <w:overflowPunct/>
        <w:topLinePunct w:val="0"/>
        <w:bidi w:val="0"/>
        <w:snapToGrid/>
        <w:spacing w:line="240" w:lineRule="auto"/>
        <w:ind w:left="0" w:leftChars="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第二部分 2024年度部门决算情况说明</w:t>
      </w:r>
      <w:bookmarkEnd w:id="16"/>
      <w:bookmarkEnd w:id="17"/>
    </w:p>
    <w:p w14:paraId="33917CAD">
      <w:pPr>
        <w:pageBreakBefore w:val="0"/>
        <w:kinsoku/>
        <w:wordWrap/>
        <w:overflowPunct/>
        <w:topLinePunct w:val="0"/>
        <w:bidi w:val="0"/>
        <w:snapToGrid/>
        <w:spacing w:line="240" w:lineRule="auto"/>
        <w:ind w:left="0" w:leftChars="0"/>
        <w:textAlignment w:val="auto"/>
        <w:rPr>
          <w:rFonts w:hint="default" w:ascii="Times New Roman" w:hAnsi="Times New Roman" w:cs="Times New Roman"/>
        </w:rPr>
      </w:pPr>
    </w:p>
    <w:p w14:paraId="31E4979C">
      <w:pPr>
        <w:pStyle w:val="27"/>
        <w:pageBreakBefore w:val="0"/>
        <w:numPr>
          <w:ilvl w:val="0"/>
          <w:numId w:val="0"/>
        </w:numPr>
        <w:kinsoku/>
        <w:wordWrap/>
        <w:overflowPunct/>
        <w:topLinePunct w:val="0"/>
        <w:bidi w:val="0"/>
        <w:snapToGrid/>
        <w:spacing w:line="240" w:lineRule="auto"/>
        <w:ind w:left="-720" w:leftChars="0" w:firstLine="1280" w:firstLineChars="400"/>
        <w:textAlignment w:val="auto"/>
        <w:outlineLvl w:val="1"/>
        <w:rPr>
          <w:rStyle w:val="29"/>
          <w:rFonts w:hint="default" w:ascii="Times New Roman" w:hAnsi="Times New Roman" w:eastAsia="黑体" w:cs="Times New Roman"/>
          <w:b w:val="0"/>
        </w:rPr>
      </w:pPr>
      <w:bookmarkStart w:id="18" w:name="_Toc15377205"/>
      <w:bookmarkStart w:id="19" w:name="_Toc15396603"/>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收</w:t>
      </w:r>
      <w:r>
        <w:rPr>
          <w:rStyle w:val="29"/>
          <w:rFonts w:hint="default" w:ascii="Times New Roman" w:hAnsi="Times New Roman" w:eastAsia="黑体" w:cs="Times New Roman"/>
          <w:b w:val="0"/>
        </w:rPr>
        <w:t>入支出决算总体情况说明</w:t>
      </w:r>
      <w:bookmarkEnd w:id="18"/>
      <w:bookmarkEnd w:id="19"/>
    </w:p>
    <w:p w14:paraId="0B6E0B92">
      <w:pPr>
        <w:pageBreakBefore w:val="0"/>
        <w:kinsoku/>
        <w:wordWrap/>
        <w:overflowPunct/>
        <w:topLinePunct w:val="0"/>
        <w:bidi w:val="0"/>
        <w:snapToGrid/>
        <w:spacing w:line="240" w:lineRule="auto"/>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2024年度收、支总计均为2936.81万元。与2023年度相比，收、支总计各增加127.07万元，同比增长4.52%。主要变动原因是项目资金较上年增加。</w:t>
      </w:r>
    </w:p>
    <w:p w14:paraId="6A69FC2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b/>
          <w:bCs/>
          <w:sz w:val="32"/>
          <w:szCs w:val="32"/>
          <w:lang w:eastAsia="zh-CN"/>
        </w:rPr>
        <w:t>图1：收、支决算总计变动情况图（万元）</w:t>
      </w:r>
      <w:r>
        <w:rPr>
          <w:rFonts w:hint="default" w:ascii="Times New Roman" w:hAnsi="Times New Roman" w:cs="Times New Roman"/>
        </w:rPr>
        <w:drawing>
          <wp:anchor distT="0" distB="0" distL="0" distR="0" simplePos="0" relativeHeight="251659264" behindDoc="1" locked="0" layoutInCell="1" allowOverlap="1">
            <wp:simplePos x="0" y="0"/>
            <wp:positionH relativeFrom="column">
              <wp:posOffset>362585</wp:posOffset>
            </wp:positionH>
            <wp:positionV relativeFrom="paragraph">
              <wp:posOffset>463550</wp:posOffset>
            </wp:positionV>
            <wp:extent cx="4819650" cy="2621915"/>
            <wp:effectExtent l="4445" t="4445" r="14605" b="21590"/>
            <wp:wrapTight wrapText="bothSides">
              <wp:wrapPolygon>
                <wp:start x="-20" y="-37"/>
                <wp:lineTo x="-20" y="21464"/>
                <wp:lineTo x="21580" y="21464"/>
                <wp:lineTo x="21580" y="-37"/>
                <wp:lineTo x="-20" y="-37"/>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1E40420">
      <w:pPr>
        <w:pStyle w:val="27"/>
        <w:pageBreakBefore w:val="0"/>
        <w:numPr>
          <w:ilvl w:val="0"/>
          <w:numId w:val="0"/>
        </w:numPr>
        <w:kinsoku/>
        <w:wordWrap/>
        <w:overflowPunct/>
        <w:topLinePunct w:val="0"/>
        <w:bidi w:val="0"/>
        <w:snapToGrid/>
        <w:spacing w:line="240" w:lineRule="auto"/>
        <w:ind w:left="-720" w:leftChars="0" w:firstLine="1280" w:firstLineChars="400"/>
        <w:textAlignment w:val="auto"/>
        <w:outlineLvl w:val="1"/>
        <w:rPr>
          <w:rStyle w:val="29"/>
          <w:rFonts w:hint="default" w:ascii="Times New Roman" w:hAnsi="Times New Roman" w:eastAsia="黑体" w:cs="Times New Roman"/>
          <w:b w:val="0"/>
        </w:rPr>
      </w:pPr>
      <w:bookmarkStart w:id="20" w:name="_Toc15377206"/>
      <w:bookmarkStart w:id="21" w:name="_Toc15396604"/>
      <w:r>
        <w:rPr>
          <w:rStyle w:val="29"/>
          <w:rFonts w:hint="default" w:ascii="Times New Roman" w:hAnsi="Times New Roman" w:eastAsia="黑体" w:cs="Times New Roman"/>
          <w:b w:val="0"/>
          <w:lang w:val="en-US" w:eastAsia="zh-CN"/>
        </w:rPr>
        <w:t>二、</w:t>
      </w:r>
      <w:r>
        <w:rPr>
          <w:rStyle w:val="29"/>
          <w:rFonts w:hint="default" w:ascii="Times New Roman" w:hAnsi="Times New Roman" w:eastAsia="黑体" w:cs="Times New Roman"/>
          <w:b w:val="0"/>
        </w:rPr>
        <w:t>收入决算情况说明</w:t>
      </w:r>
      <w:bookmarkEnd w:id="20"/>
      <w:bookmarkEnd w:id="21"/>
    </w:p>
    <w:p w14:paraId="5C4EAF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本年收入合计2936.81万元，其中：一般公共预算财政拨款收入2828.93万元，占96.33%；政府性基金预算财政拨款收入0万元，占0%；国有资本经营预算财政拨款收入0万元，占0%；上级补助收入0万元，占0%；事业收入0万元，占0%；经营收入0万元，占0%；附属单位上缴收入0万元，占0%；其他收入107.88万元，占3.67%</w:t>
      </w:r>
    </w:p>
    <w:p w14:paraId="053A9B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图2：收入决算结构图（万元）</w:t>
      </w:r>
    </w:p>
    <w:p w14:paraId="37512004">
      <w:pPr>
        <w:pStyle w:val="19"/>
        <w:pageBreakBefore w:val="0"/>
        <w:kinsoku/>
        <w:wordWrap/>
        <w:overflowPunct/>
        <w:topLinePunct w:val="0"/>
        <w:bidi w:val="0"/>
        <w:snapToGrid/>
        <w:spacing w:before="0" w:after="0" w:line="240" w:lineRule="auto"/>
        <w:ind w:left="0" w:leftChars="0"/>
        <w:textAlignment w:val="auto"/>
        <w:rPr>
          <w:rStyle w:val="29"/>
          <w:rFonts w:hint="default" w:ascii="Times New Roman" w:hAnsi="Times New Roman" w:eastAsia="黑体" w:cs="Times New Roman"/>
          <w:b w:val="0"/>
          <w:lang w:val="en-US" w:eastAsia="zh-CN" w:bidi="ar-SA"/>
        </w:rPr>
      </w:pPr>
      <w:r>
        <w:rPr>
          <w:rStyle w:val="29"/>
          <w:rFonts w:hint="default" w:ascii="Times New Roman" w:hAnsi="Times New Roman" w:eastAsia="黑体" w:cs="Times New Roman"/>
          <w:b w:val="0"/>
          <w:lang w:val="en-US" w:eastAsia="zh-CN" w:bidi="ar-SA"/>
        </w:rPr>
        <w:drawing>
          <wp:anchor distT="0" distB="0" distL="0" distR="0" simplePos="0" relativeHeight="251660288" behindDoc="1" locked="0" layoutInCell="1" allowOverlap="1">
            <wp:simplePos x="0" y="0"/>
            <wp:positionH relativeFrom="column">
              <wp:posOffset>216535</wp:posOffset>
            </wp:positionH>
            <wp:positionV relativeFrom="paragraph">
              <wp:posOffset>87630</wp:posOffset>
            </wp:positionV>
            <wp:extent cx="5111750" cy="2937510"/>
            <wp:effectExtent l="4445" t="4445" r="65405" b="48895"/>
            <wp:wrapTight wrapText="bothSides">
              <wp:wrapPolygon>
                <wp:start x="-19" y="-33"/>
                <wp:lineTo x="-19" y="21539"/>
                <wp:lineTo x="21554" y="21539"/>
                <wp:lineTo x="21554" y="-33"/>
                <wp:lineTo x="-19" y="-33"/>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D7F69B7">
      <w:pPr>
        <w:pStyle w:val="27"/>
        <w:pageBreakBefore w:val="0"/>
        <w:numPr>
          <w:ilvl w:val="0"/>
          <w:numId w:val="0"/>
        </w:numPr>
        <w:kinsoku/>
        <w:wordWrap/>
        <w:overflowPunct/>
        <w:topLinePunct w:val="0"/>
        <w:bidi w:val="0"/>
        <w:snapToGrid/>
        <w:spacing w:line="240" w:lineRule="auto"/>
        <w:ind w:left="-720" w:leftChars="0" w:firstLine="1280" w:firstLineChars="400"/>
        <w:textAlignment w:val="auto"/>
        <w:outlineLvl w:val="1"/>
        <w:rPr>
          <w:rStyle w:val="29"/>
          <w:rFonts w:hint="default" w:ascii="Times New Roman" w:hAnsi="Times New Roman" w:eastAsia="黑体" w:cs="Times New Roman"/>
          <w:b w:val="0"/>
          <w:lang w:val="en-US" w:eastAsia="zh-CN" w:bidi="ar-SA"/>
        </w:rPr>
      </w:pPr>
      <w:bookmarkStart w:id="22" w:name="_Toc15377207"/>
      <w:bookmarkStart w:id="23" w:name="_Toc15396605"/>
      <w:r>
        <w:rPr>
          <w:rStyle w:val="29"/>
          <w:rFonts w:hint="default" w:ascii="Times New Roman" w:hAnsi="Times New Roman" w:eastAsia="黑体" w:cs="Times New Roman"/>
          <w:b w:val="0"/>
          <w:lang w:val="en-US" w:eastAsia="zh-CN" w:bidi="ar-SA"/>
        </w:rPr>
        <w:t>三、支出决算情况说明</w:t>
      </w:r>
      <w:bookmarkEnd w:id="22"/>
      <w:bookmarkEnd w:id="23"/>
    </w:p>
    <w:p w14:paraId="606603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sz w:val="32"/>
          <w:szCs w:val="32"/>
        </w:rPr>
      </w:pPr>
      <w:r>
        <w:rPr>
          <w:rFonts w:hint="default" w:ascii="Times New Roman" w:hAnsi="Times New Roman" w:eastAsia="方正仿宋_GBK" w:cs="Times New Roman"/>
          <w:sz w:val="32"/>
          <w:szCs w:val="32"/>
          <w:lang w:eastAsia="zh-CN"/>
        </w:rPr>
        <w:t>2024年度本年支出合计2889.71万元，其中：基本支出254.46万元，占8.81%；项目支出2635.24万元，占91.19%；上缴上级支出0万元，占0%；经营支出0万元，占0%；对附属单位补助支出0万元，占0%。</w:t>
      </w:r>
    </w:p>
    <w:p w14:paraId="23557D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29"/>
          <w:rFonts w:hint="default" w:ascii="Times New Roman" w:hAnsi="Times New Roman" w:eastAsia="黑体" w:cs="Times New Roman"/>
          <w:b w:val="0"/>
          <w:lang w:val="en-US" w:eastAsia="zh-CN" w:bidi="ar-SA"/>
        </w:rPr>
      </w:pPr>
      <w:r>
        <w:rPr>
          <w:rFonts w:hint="default" w:ascii="Times New Roman" w:hAnsi="Times New Roman" w:eastAsia="方正仿宋_GBK" w:cs="Times New Roman"/>
          <w:b/>
          <w:bCs/>
          <w:sz w:val="32"/>
          <w:szCs w:val="32"/>
          <w:lang w:eastAsia="zh-CN"/>
        </w:rPr>
        <w:t>图3：支出决算结构图</w:t>
      </w:r>
      <w:bookmarkStart w:id="24" w:name="_Toc15396606"/>
      <w:bookmarkStart w:id="25" w:name="_Toc15377208"/>
    </w:p>
    <w:p w14:paraId="3A623728">
      <w:pPr>
        <w:pageBreakBefore w:val="0"/>
        <w:kinsoku/>
        <w:wordWrap/>
        <w:overflowPunct/>
        <w:topLinePunct w:val="0"/>
        <w:bidi w:val="0"/>
        <w:snapToGrid/>
        <w:spacing w:line="240" w:lineRule="auto"/>
        <w:ind w:left="0" w:leftChars="0" w:firstLine="420" w:firstLineChars="200"/>
        <w:textAlignment w:val="auto"/>
        <w:outlineLvl w:val="1"/>
        <w:rPr>
          <w:rStyle w:val="29"/>
          <w:rFonts w:hint="default" w:ascii="Times New Roman" w:hAnsi="Times New Roman" w:eastAsia="黑体" w:cs="Times New Roman"/>
          <w:b w:val="0"/>
          <w:lang w:val="en-US" w:eastAsia="zh-CN" w:bidi="ar-SA"/>
        </w:rPr>
      </w:pPr>
      <w:r>
        <w:rPr>
          <w:rFonts w:hint="default" w:ascii="Times New Roman" w:hAnsi="Times New Roman" w:cs="Times New Roman"/>
        </w:rPr>
        <w:drawing>
          <wp:anchor distT="0" distB="0" distL="0" distR="0" simplePos="0" relativeHeight="251661312" behindDoc="1" locked="0" layoutInCell="1" allowOverlap="1">
            <wp:simplePos x="0" y="0"/>
            <wp:positionH relativeFrom="column">
              <wp:posOffset>382270</wp:posOffset>
            </wp:positionH>
            <wp:positionV relativeFrom="paragraph">
              <wp:posOffset>182245</wp:posOffset>
            </wp:positionV>
            <wp:extent cx="4779645" cy="2939415"/>
            <wp:effectExtent l="4445" t="4445" r="54610" b="46990"/>
            <wp:wrapTight wrapText="bothSides">
              <wp:wrapPolygon>
                <wp:start x="-20" y="-33"/>
                <wp:lineTo x="-20" y="21525"/>
                <wp:lineTo x="21502" y="21525"/>
                <wp:lineTo x="21502" y="-33"/>
                <wp:lineTo x="-20" y="-33"/>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6D7DB3C">
      <w:pPr>
        <w:pageBreakBefore w:val="0"/>
        <w:kinsoku/>
        <w:wordWrap/>
        <w:overflowPunct/>
        <w:topLinePunct w:val="0"/>
        <w:bidi w:val="0"/>
        <w:snapToGrid/>
        <w:spacing w:line="240" w:lineRule="auto"/>
        <w:ind w:left="0" w:leftChars="0" w:firstLine="640" w:firstLineChars="200"/>
        <w:textAlignment w:val="auto"/>
        <w:outlineLvl w:val="1"/>
        <w:rPr>
          <w:rStyle w:val="29"/>
          <w:rFonts w:hint="default" w:ascii="Times New Roman" w:hAnsi="Times New Roman" w:eastAsia="黑体" w:cs="Times New Roman"/>
          <w:b w:val="0"/>
          <w:lang w:val="en-US" w:eastAsia="zh-CN" w:bidi="ar-SA"/>
        </w:rPr>
      </w:pPr>
    </w:p>
    <w:p w14:paraId="4C567BE4">
      <w:pPr>
        <w:pageBreakBefore w:val="0"/>
        <w:kinsoku/>
        <w:wordWrap/>
        <w:overflowPunct/>
        <w:topLinePunct w:val="0"/>
        <w:bidi w:val="0"/>
        <w:snapToGrid/>
        <w:spacing w:line="240" w:lineRule="auto"/>
        <w:ind w:left="0" w:leftChars="0" w:firstLine="640" w:firstLineChars="200"/>
        <w:textAlignment w:val="auto"/>
        <w:outlineLvl w:val="1"/>
        <w:rPr>
          <w:rStyle w:val="29"/>
          <w:rFonts w:hint="default" w:ascii="Times New Roman" w:hAnsi="Times New Roman" w:eastAsia="黑体" w:cs="Times New Roman"/>
          <w:b w:val="0"/>
          <w:lang w:val="en-US" w:eastAsia="zh-CN" w:bidi="ar-SA"/>
        </w:rPr>
      </w:pPr>
    </w:p>
    <w:p w14:paraId="00CD74A8">
      <w:pPr>
        <w:pageBreakBefore w:val="0"/>
        <w:kinsoku/>
        <w:wordWrap/>
        <w:overflowPunct/>
        <w:topLinePunct w:val="0"/>
        <w:bidi w:val="0"/>
        <w:snapToGrid/>
        <w:spacing w:line="240" w:lineRule="auto"/>
        <w:ind w:left="0" w:leftChars="0" w:firstLine="640" w:firstLineChars="200"/>
        <w:textAlignment w:val="auto"/>
        <w:outlineLvl w:val="1"/>
        <w:rPr>
          <w:rStyle w:val="29"/>
          <w:rFonts w:hint="default" w:ascii="Times New Roman" w:hAnsi="Times New Roman" w:eastAsia="黑体" w:cs="Times New Roman"/>
          <w:b w:val="0"/>
          <w:lang w:val="en-US" w:eastAsia="zh-CN" w:bidi="ar-SA"/>
        </w:rPr>
      </w:pPr>
    </w:p>
    <w:p w14:paraId="6438ABCC">
      <w:pPr>
        <w:pageBreakBefore w:val="0"/>
        <w:kinsoku/>
        <w:wordWrap/>
        <w:overflowPunct/>
        <w:topLinePunct w:val="0"/>
        <w:bidi w:val="0"/>
        <w:snapToGrid/>
        <w:spacing w:line="240" w:lineRule="auto"/>
        <w:ind w:left="0" w:leftChars="0" w:firstLine="640" w:firstLineChars="200"/>
        <w:textAlignment w:val="auto"/>
        <w:outlineLvl w:val="1"/>
        <w:rPr>
          <w:rStyle w:val="29"/>
          <w:rFonts w:hint="default" w:ascii="Times New Roman" w:hAnsi="Times New Roman" w:eastAsia="黑体" w:cs="Times New Roman"/>
          <w:b w:val="0"/>
          <w:lang w:val="en-US" w:eastAsia="zh-CN" w:bidi="ar-SA"/>
        </w:rPr>
      </w:pPr>
    </w:p>
    <w:p w14:paraId="0FD30CD8">
      <w:pPr>
        <w:pageBreakBefore w:val="0"/>
        <w:kinsoku/>
        <w:wordWrap/>
        <w:overflowPunct/>
        <w:topLinePunct w:val="0"/>
        <w:bidi w:val="0"/>
        <w:snapToGrid/>
        <w:spacing w:line="240" w:lineRule="auto"/>
        <w:ind w:left="0" w:leftChars="0" w:firstLine="640" w:firstLineChars="200"/>
        <w:textAlignment w:val="auto"/>
        <w:outlineLvl w:val="1"/>
        <w:rPr>
          <w:rStyle w:val="29"/>
          <w:rFonts w:hint="default" w:ascii="Times New Roman" w:hAnsi="Times New Roman" w:eastAsia="黑体" w:cs="Times New Roman"/>
          <w:b w:val="0"/>
          <w:lang w:val="en-US" w:eastAsia="zh-CN" w:bidi="ar-SA"/>
        </w:rPr>
      </w:pPr>
    </w:p>
    <w:p w14:paraId="2EA9940B">
      <w:pPr>
        <w:pageBreakBefore w:val="0"/>
        <w:kinsoku/>
        <w:wordWrap/>
        <w:overflowPunct/>
        <w:topLinePunct w:val="0"/>
        <w:bidi w:val="0"/>
        <w:snapToGrid/>
        <w:spacing w:line="240" w:lineRule="auto"/>
        <w:ind w:left="0" w:leftChars="0" w:firstLine="640" w:firstLineChars="200"/>
        <w:textAlignment w:val="auto"/>
        <w:outlineLvl w:val="1"/>
        <w:rPr>
          <w:rStyle w:val="29"/>
          <w:rFonts w:hint="default" w:ascii="Times New Roman" w:hAnsi="Times New Roman" w:eastAsia="黑体" w:cs="Times New Roman"/>
          <w:b w:val="0"/>
          <w:lang w:val="en-US" w:eastAsia="zh-CN" w:bidi="ar-SA"/>
        </w:rPr>
      </w:pPr>
    </w:p>
    <w:p w14:paraId="6A0E5131">
      <w:pPr>
        <w:pageBreakBefore w:val="0"/>
        <w:kinsoku/>
        <w:wordWrap/>
        <w:overflowPunct/>
        <w:topLinePunct w:val="0"/>
        <w:bidi w:val="0"/>
        <w:snapToGrid/>
        <w:spacing w:line="240" w:lineRule="auto"/>
        <w:ind w:left="0" w:leftChars="0" w:firstLine="640" w:firstLineChars="200"/>
        <w:textAlignment w:val="auto"/>
        <w:outlineLvl w:val="1"/>
        <w:rPr>
          <w:rStyle w:val="29"/>
          <w:rFonts w:hint="default" w:ascii="Times New Roman" w:hAnsi="Times New Roman" w:eastAsia="黑体" w:cs="Times New Roman"/>
          <w:b w:val="0"/>
          <w:lang w:val="en-US" w:eastAsia="zh-CN" w:bidi="ar-SA"/>
        </w:rPr>
      </w:pPr>
    </w:p>
    <w:p w14:paraId="6FB33CD7">
      <w:pPr>
        <w:pageBreakBefore w:val="0"/>
        <w:kinsoku/>
        <w:wordWrap/>
        <w:overflowPunct/>
        <w:topLinePunct w:val="0"/>
        <w:bidi w:val="0"/>
        <w:snapToGrid/>
        <w:spacing w:line="240" w:lineRule="auto"/>
        <w:ind w:left="0" w:leftChars="0" w:firstLine="640" w:firstLineChars="200"/>
        <w:textAlignment w:val="auto"/>
        <w:outlineLvl w:val="1"/>
        <w:rPr>
          <w:rStyle w:val="29"/>
          <w:rFonts w:hint="default" w:ascii="Times New Roman" w:hAnsi="Times New Roman" w:eastAsia="黑体" w:cs="Times New Roman"/>
          <w:b w:val="0"/>
          <w:lang w:val="en-US" w:eastAsia="zh-CN" w:bidi="ar-SA"/>
        </w:rPr>
      </w:pPr>
      <w:r>
        <w:rPr>
          <w:rStyle w:val="29"/>
          <w:rFonts w:hint="default" w:ascii="Times New Roman" w:hAnsi="Times New Roman" w:eastAsia="黑体" w:cs="Times New Roman"/>
          <w:b w:val="0"/>
          <w:lang w:val="en-US" w:eastAsia="zh-CN" w:bidi="ar-SA"/>
        </w:rPr>
        <w:t>四、财政拨款收入支出决算总体情况说明</w:t>
      </w:r>
      <w:bookmarkEnd w:id="24"/>
      <w:bookmarkEnd w:id="25"/>
    </w:p>
    <w:p w14:paraId="5EC500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2024年度财政拨款收、支总计均为2828.93万元。与2023年度相比，财政拨款收、支总计各增加19.19万元，增长0.68%。主要变动原因是项目资金较上年度增加。</w:t>
      </w:r>
    </w:p>
    <w:p w14:paraId="0026E345">
      <w:pPr>
        <w:pageBreakBefore w:val="0"/>
        <w:kinsoku/>
        <w:wordWrap/>
        <w:overflowPunct/>
        <w:topLinePunct w:val="0"/>
        <w:bidi w:val="0"/>
        <w:snapToGrid/>
        <w:spacing w:line="240" w:lineRule="auto"/>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图4：财政拨款收、支决算总计变动情况（万元）</w:t>
      </w:r>
    </w:p>
    <w:p w14:paraId="7E8AB6B5">
      <w:pPr>
        <w:pStyle w:val="19"/>
        <w:pageBreakBefore w:val="0"/>
        <w:kinsoku/>
        <w:wordWrap/>
        <w:overflowPunct/>
        <w:topLinePunct w:val="0"/>
        <w:bidi w:val="0"/>
        <w:snapToGrid/>
        <w:spacing w:before="0" w:after="0" w:line="240" w:lineRule="auto"/>
        <w:ind w:left="0" w:leftChars="0"/>
        <w:textAlignment w:val="auto"/>
        <w:rPr>
          <w:rFonts w:hint="default" w:ascii="Times New Roman" w:hAnsi="Times New Roman" w:cs="Times New Roman"/>
        </w:rPr>
      </w:pPr>
      <w:r>
        <w:rPr>
          <w:rFonts w:hint="default" w:ascii="Times New Roman" w:hAnsi="Times New Roman" w:cs="Times New Roman"/>
        </w:rPr>
        <w:drawing>
          <wp:anchor distT="0" distB="0" distL="0" distR="0" simplePos="0" relativeHeight="251662336" behindDoc="1" locked="0" layoutInCell="1" allowOverlap="1">
            <wp:simplePos x="0" y="0"/>
            <wp:positionH relativeFrom="column">
              <wp:posOffset>304165</wp:posOffset>
            </wp:positionH>
            <wp:positionV relativeFrom="paragraph">
              <wp:posOffset>77470</wp:posOffset>
            </wp:positionV>
            <wp:extent cx="4937125" cy="2110105"/>
            <wp:effectExtent l="4445" t="4445" r="11430" b="19050"/>
            <wp:wrapTight wrapText="bothSides">
              <wp:wrapPolygon>
                <wp:start x="-19" y="-46"/>
                <wp:lineTo x="-19" y="21405"/>
                <wp:lineTo x="21567" y="21405"/>
                <wp:lineTo x="21567" y="-46"/>
                <wp:lineTo x="-19" y="-46"/>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CCC9AE8">
      <w:pPr>
        <w:pageBreakBefore w:val="0"/>
        <w:kinsoku/>
        <w:wordWrap/>
        <w:overflowPunct/>
        <w:topLinePunct w:val="0"/>
        <w:bidi w:val="0"/>
        <w:snapToGrid/>
        <w:spacing w:line="240" w:lineRule="auto"/>
        <w:ind w:left="0" w:leftChars="0" w:firstLine="640" w:firstLineChars="200"/>
        <w:textAlignment w:val="auto"/>
        <w:outlineLvl w:val="1"/>
        <w:rPr>
          <w:rFonts w:hint="default" w:ascii="Times New Roman" w:hAnsi="Times New Roman" w:eastAsia="黑体" w:cs="Times New Roman"/>
          <w:sz w:val="32"/>
          <w:szCs w:val="32"/>
        </w:rPr>
      </w:pPr>
      <w:bookmarkStart w:id="26" w:name="_Toc15396607"/>
      <w:bookmarkStart w:id="27" w:name="_Toc15377209"/>
    </w:p>
    <w:p w14:paraId="1910D0C2">
      <w:pPr>
        <w:pageBreakBefore w:val="0"/>
        <w:kinsoku/>
        <w:wordWrap/>
        <w:overflowPunct/>
        <w:topLinePunct w:val="0"/>
        <w:bidi w:val="0"/>
        <w:snapToGrid/>
        <w:spacing w:line="240" w:lineRule="auto"/>
        <w:ind w:left="0" w:leftChars="0" w:firstLine="640" w:firstLineChars="200"/>
        <w:textAlignment w:val="auto"/>
        <w:outlineLvl w:val="1"/>
        <w:rPr>
          <w:rStyle w:val="29"/>
          <w:rFonts w:hint="default" w:ascii="Times New Roman" w:hAnsi="Times New Roman" w:eastAsia="黑体" w:cs="Times New Roman"/>
          <w:b w:val="0"/>
          <w:lang w:val="en-US" w:eastAsia="zh-CN" w:bidi="ar-SA"/>
        </w:rPr>
      </w:pPr>
    </w:p>
    <w:p w14:paraId="2FBC4D53">
      <w:pPr>
        <w:pageBreakBefore w:val="0"/>
        <w:kinsoku/>
        <w:wordWrap/>
        <w:overflowPunct/>
        <w:topLinePunct w:val="0"/>
        <w:bidi w:val="0"/>
        <w:snapToGrid/>
        <w:spacing w:line="240" w:lineRule="auto"/>
        <w:ind w:left="0" w:leftChars="0" w:firstLine="640" w:firstLineChars="200"/>
        <w:textAlignment w:val="auto"/>
        <w:outlineLvl w:val="1"/>
        <w:rPr>
          <w:rStyle w:val="29"/>
          <w:rFonts w:hint="default" w:ascii="Times New Roman" w:hAnsi="Times New Roman" w:eastAsia="黑体" w:cs="Times New Roman"/>
          <w:b w:val="0"/>
          <w:lang w:val="en-US" w:eastAsia="zh-CN" w:bidi="ar-SA"/>
        </w:rPr>
      </w:pPr>
    </w:p>
    <w:p w14:paraId="0450C84D">
      <w:pPr>
        <w:pageBreakBefore w:val="0"/>
        <w:kinsoku/>
        <w:wordWrap/>
        <w:overflowPunct/>
        <w:topLinePunct w:val="0"/>
        <w:bidi w:val="0"/>
        <w:snapToGrid/>
        <w:spacing w:line="240" w:lineRule="auto"/>
        <w:ind w:left="0" w:leftChars="0" w:firstLine="640" w:firstLineChars="200"/>
        <w:textAlignment w:val="auto"/>
        <w:outlineLvl w:val="1"/>
        <w:rPr>
          <w:rStyle w:val="29"/>
          <w:rFonts w:hint="default" w:ascii="Times New Roman" w:hAnsi="Times New Roman" w:eastAsia="黑体" w:cs="Times New Roman"/>
          <w:b w:val="0"/>
          <w:lang w:val="en-US" w:eastAsia="zh-CN" w:bidi="ar-SA"/>
        </w:rPr>
      </w:pPr>
    </w:p>
    <w:p w14:paraId="3A5AC6DB">
      <w:pPr>
        <w:pageBreakBefore w:val="0"/>
        <w:kinsoku/>
        <w:wordWrap/>
        <w:overflowPunct/>
        <w:topLinePunct w:val="0"/>
        <w:bidi w:val="0"/>
        <w:snapToGrid/>
        <w:spacing w:line="240" w:lineRule="auto"/>
        <w:ind w:left="0" w:leftChars="0" w:firstLine="640" w:firstLineChars="200"/>
        <w:textAlignment w:val="auto"/>
        <w:outlineLvl w:val="1"/>
        <w:rPr>
          <w:rStyle w:val="29"/>
          <w:rFonts w:hint="default" w:ascii="Times New Roman" w:hAnsi="Times New Roman" w:eastAsia="黑体" w:cs="Times New Roman"/>
          <w:b w:val="0"/>
          <w:lang w:val="en-US" w:eastAsia="zh-CN" w:bidi="ar-SA"/>
        </w:rPr>
      </w:pPr>
      <w:r>
        <w:rPr>
          <w:rStyle w:val="29"/>
          <w:rFonts w:hint="default" w:ascii="Times New Roman" w:hAnsi="Times New Roman" w:eastAsia="黑体" w:cs="Times New Roman"/>
          <w:b w:val="0"/>
          <w:lang w:val="en-US" w:eastAsia="zh-CN" w:bidi="ar-SA"/>
        </w:rPr>
        <w:t>五、一般公共预算财政拨款支出决算情况说明</w:t>
      </w:r>
      <w:bookmarkEnd w:id="26"/>
      <w:bookmarkEnd w:id="27"/>
    </w:p>
    <w:p w14:paraId="24573A5D">
      <w:pPr>
        <w:pageBreakBefore w:val="0"/>
        <w:kinsoku/>
        <w:wordWrap/>
        <w:overflowPunct/>
        <w:topLinePunct w:val="0"/>
        <w:bidi w:val="0"/>
        <w:snapToGrid/>
        <w:spacing w:line="240" w:lineRule="auto"/>
        <w:ind w:left="0" w:leftChars="0" w:firstLine="640" w:firstLineChars="200"/>
        <w:textAlignment w:val="auto"/>
        <w:outlineLvl w:val="2"/>
        <w:rPr>
          <w:rFonts w:hint="default" w:ascii="Times New Roman" w:hAnsi="Times New Roman" w:eastAsia="方正楷体_GBK" w:cs="Times New Roman"/>
          <w:b w:val="0"/>
          <w:bCs/>
          <w:sz w:val="32"/>
          <w:szCs w:val="32"/>
        </w:rPr>
      </w:pPr>
      <w:bookmarkStart w:id="28" w:name="_Toc15377210"/>
      <w:r>
        <w:rPr>
          <w:rFonts w:hint="default" w:ascii="Times New Roman" w:hAnsi="Times New Roman" w:eastAsia="方正楷体_GBK" w:cs="Times New Roman"/>
          <w:b w:val="0"/>
          <w:bCs/>
          <w:sz w:val="32"/>
          <w:szCs w:val="32"/>
        </w:rPr>
        <w:t>（一）一般公共预算财政拨款支出决算总体情况</w:t>
      </w:r>
      <w:bookmarkEnd w:id="28"/>
    </w:p>
    <w:p w14:paraId="530E3D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2024年度一般公共预算财政拨款支出2828.93万元，占本年支出合计的97.90%。与2023年度相比，一般公共预算财政拨款支出增加19.19万元，增长0.68%。主要变动原因是项目资金较上年度增加。</w:t>
      </w:r>
    </w:p>
    <w:p w14:paraId="27AF4CC1">
      <w:pPr>
        <w:pageBreakBefore w:val="0"/>
        <w:kinsoku/>
        <w:wordWrap/>
        <w:overflowPunct/>
        <w:topLinePunct w:val="0"/>
        <w:bidi w:val="0"/>
        <w:snapToGrid/>
        <w:spacing w:line="240" w:lineRule="auto"/>
        <w:ind w:left="0" w:leftChars="0"/>
        <w:jc w:val="center"/>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图5：一般公共预算财政拨款支出决算变动情况</w:t>
      </w:r>
    </w:p>
    <w:p w14:paraId="07802420">
      <w:pPr>
        <w:pStyle w:val="19"/>
        <w:pageBreakBefore w:val="0"/>
        <w:kinsoku/>
        <w:wordWrap/>
        <w:overflowPunct/>
        <w:topLinePunct w:val="0"/>
        <w:bidi w:val="0"/>
        <w:snapToGrid/>
        <w:spacing w:before="0" w:after="0" w:line="240" w:lineRule="auto"/>
        <w:ind w:left="0" w:leftChars="0"/>
        <w:textAlignment w:val="auto"/>
        <w:rPr>
          <w:rFonts w:hint="default" w:ascii="Times New Roman" w:hAnsi="Times New Roman" w:cs="Times New Roman"/>
        </w:rPr>
      </w:pPr>
      <w:r>
        <w:rPr>
          <w:rFonts w:hint="default" w:ascii="Times New Roman" w:hAnsi="Times New Roman" w:cs="Times New Roman"/>
        </w:rPr>
        <w:drawing>
          <wp:anchor distT="0" distB="0" distL="0" distR="0" simplePos="0" relativeHeight="251663360" behindDoc="1" locked="0" layoutInCell="1" allowOverlap="1">
            <wp:simplePos x="0" y="0"/>
            <wp:positionH relativeFrom="column">
              <wp:posOffset>135255</wp:posOffset>
            </wp:positionH>
            <wp:positionV relativeFrom="paragraph">
              <wp:posOffset>41910</wp:posOffset>
            </wp:positionV>
            <wp:extent cx="5095240" cy="2917825"/>
            <wp:effectExtent l="4445" t="4445" r="62865" b="49530"/>
            <wp:wrapTight wrapText="bothSides">
              <wp:wrapPolygon>
                <wp:start x="-19" y="-33"/>
                <wp:lineTo x="-19" y="21544"/>
                <wp:lineTo x="21543" y="21544"/>
                <wp:lineTo x="21543" y="-33"/>
                <wp:lineTo x="-19" y="-33"/>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B30358A">
      <w:pPr>
        <w:pageBreakBefore w:val="0"/>
        <w:kinsoku/>
        <w:wordWrap/>
        <w:overflowPunct/>
        <w:topLinePunct w:val="0"/>
        <w:bidi w:val="0"/>
        <w:snapToGrid/>
        <w:spacing w:line="240" w:lineRule="auto"/>
        <w:ind w:left="0" w:leftChars="0" w:firstLine="640" w:firstLineChars="200"/>
        <w:textAlignment w:val="auto"/>
        <w:outlineLvl w:val="2"/>
        <w:rPr>
          <w:rFonts w:hint="default" w:ascii="Times New Roman" w:hAnsi="Times New Roman" w:eastAsia="方正楷体_GBK" w:cs="Times New Roman"/>
          <w:b w:val="0"/>
          <w:bCs/>
          <w:sz w:val="32"/>
          <w:szCs w:val="32"/>
        </w:rPr>
      </w:pPr>
      <w:bookmarkStart w:id="29" w:name="_Toc15377211"/>
      <w:r>
        <w:rPr>
          <w:rFonts w:hint="default" w:ascii="Times New Roman" w:hAnsi="Times New Roman" w:eastAsia="方正楷体_GBK" w:cs="Times New Roman"/>
          <w:b w:val="0"/>
          <w:bCs/>
          <w:sz w:val="32"/>
          <w:szCs w:val="32"/>
        </w:rPr>
        <w:t>（二）一般公共预算财政拨款支出决算结构情况</w:t>
      </w:r>
      <w:bookmarkEnd w:id="29"/>
    </w:p>
    <w:p w14:paraId="73458E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一般公共预算财政拨款支出2828.93万元，主要用于以下方面:一般公共服务支出0万元，占0%；教育支出0万元，占0%；科学技术支出0万元，占0%；文化旅游体育与传媒支出0万元，占0%；社会保障和就业支出2744.23万元，占97.00%；卫生健康支出66.59万元，占2.35%；住房保障支出18.11万元，占0.64%</w:t>
      </w:r>
    </w:p>
    <w:p w14:paraId="232F1DA8">
      <w:pPr>
        <w:pageBreakBefore w:val="0"/>
        <w:kinsoku/>
        <w:wordWrap/>
        <w:overflowPunct/>
        <w:topLinePunct w:val="0"/>
        <w:bidi w:val="0"/>
        <w:snapToGrid/>
        <w:spacing w:line="240" w:lineRule="auto"/>
        <w:jc w:val="center"/>
        <w:textAlignment w:val="auto"/>
        <w:rPr>
          <w:rStyle w:val="29"/>
          <w:rFonts w:hint="default" w:ascii="Times New Roman" w:hAnsi="Times New Roman" w:eastAsia="黑体" w:cs="Times New Roman"/>
          <w:b w:val="0"/>
          <w:lang w:val="en-US" w:eastAsia="zh-CN" w:bidi="ar-SA"/>
        </w:rPr>
      </w:pPr>
      <w:r>
        <w:rPr>
          <w:rStyle w:val="29"/>
          <w:rFonts w:hint="default" w:ascii="Times New Roman" w:hAnsi="Times New Roman" w:eastAsia="黑体" w:cs="Times New Roman"/>
          <w:b w:val="0"/>
          <w:lang w:val="en-US" w:eastAsia="zh-CN" w:bidi="ar-SA"/>
        </w:rPr>
        <w:t>图6：一般公共预算财政拨款支出决算结构</w:t>
      </w:r>
    </w:p>
    <w:p w14:paraId="7322E491">
      <w:pPr>
        <w:pStyle w:val="19"/>
        <w:pageBreakBefore w:val="0"/>
        <w:kinsoku/>
        <w:wordWrap/>
        <w:overflowPunct/>
        <w:topLinePunct w:val="0"/>
        <w:bidi w:val="0"/>
        <w:snapToGrid/>
        <w:spacing w:before="0" w:after="0" w:line="240" w:lineRule="auto"/>
        <w:ind w:left="0" w:leftChars="0"/>
        <w:textAlignment w:val="auto"/>
        <w:rPr>
          <w:rFonts w:hint="default" w:ascii="Times New Roman" w:hAnsi="Times New Roman" w:cs="Times New Roman"/>
        </w:rPr>
      </w:pPr>
      <w:r>
        <w:rPr>
          <w:rFonts w:hint="default" w:ascii="Times New Roman" w:hAnsi="Times New Roman" w:cs="Times New Roman"/>
        </w:rPr>
        <w:drawing>
          <wp:anchor distT="0" distB="0" distL="0" distR="0" simplePos="0" relativeHeight="251664384" behindDoc="1" locked="0" layoutInCell="1" allowOverlap="1">
            <wp:simplePos x="0" y="0"/>
            <wp:positionH relativeFrom="column">
              <wp:posOffset>135255</wp:posOffset>
            </wp:positionH>
            <wp:positionV relativeFrom="paragraph">
              <wp:posOffset>41910</wp:posOffset>
            </wp:positionV>
            <wp:extent cx="5274310" cy="3076575"/>
            <wp:effectExtent l="0" t="0" r="21590" b="9525"/>
            <wp:wrapTight wrapText="bothSides">
              <wp:wrapPolygon>
                <wp:start x="-21" y="-31"/>
                <wp:lineTo x="-21" y="21502"/>
                <wp:lineTo x="21512" y="21502"/>
                <wp:lineTo x="21512" y="-31"/>
                <wp:lineTo x="-21" y="-31"/>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B78D250">
      <w:pPr>
        <w:pageBreakBefore w:val="0"/>
        <w:kinsoku/>
        <w:wordWrap/>
        <w:overflowPunct/>
        <w:topLinePunct w:val="0"/>
        <w:bidi w:val="0"/>
        <w:snapToGrid/>
        <w:spacing w:line="240" w:lineRule="auto"/>
        <w:ind w:left="0" w:leftChars="0" w:firstLine="640" w:firstLineChars="200"/>
        <w:textAlignment w:val="auto"/>
        <w:outlineLvl w:val="2"/>
        <w:rPr>
          <w:rFonts w:hint="default" w:ascii="Times New Roman" w:hAnsi="Times New Roman" w:eastAsia="方正楷体_GBK" w:cs="Times New Roman"/>
          <w:b w:val="0"/>
          <w:bCs/>
          <w:sz w:val="32"/>
          <w:szCs w:val="32"/>
        </w:rPr>
      </w:pPr>
      <w:bookmarkStart w:id="30" w:name="_Toc15377212"/>
      <w:r>
        <w:rPr>
          <w:rFonts w:hint="default" w:ascii="Times New Roman" w:hAnsi="Times New Roman" w:eastAsia="方正楷体_GBK" w:cs="Times New Roman"/>
          <w:b w:val="0"/>
          <w:bCs/>
          <w:sz w:val="32"/>
          <w:szCs w:val="32"/>
        </w:rPr>
        <w:t>（三）一般公共预算财政拨款支出决算具体情况</w:t>
      </w:r>
      <w:bookmarkEnd w:id="30"/>
    </w:p>
    <w:p w14:paraId="559105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2024年一般公共预算支出决算数</w:t>
      </w:r>
      <w:bookmarkStart w:id="31" w:name="_Toc15378460"/>
      <w:bookmarkStart w:id="32" w:name="_Toc15377444"/>
      <w:bookmarkStart w:id="33" w:name="_Toc15377213"/>
      <w:r>
        <w:rPr>
          <w:rFonts w:hint="default" w:ascii="Times New Roman" w:hAnsi="Times New Roman" w:eastAsia="方正仿宋_GBK" w:cs="Times New Roman"/>
          <w:sz w:val="32"/>
          <w:szCs w:val="32"/>
          <w:lang w:eastAsia="zh-CN"/>
        </w:rPr>
        <w:t>为2828.93万元，完成预算100%。其中：</w:t>
      </w:r>
      <w:bookmarkEnd w:id="31"/>
      <w:bookmarkEnd w:id="32"/>
      <w:bookmarkEnd w:id="33"/>
    </w:p>
    <w:p w14:paraId="59BAF0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1.社会保障和就业支出208（类）:支出决算为2744.23万元，完成预算100%。</w:t>
      </w:r>
    </w:p>
    <w:p w14:paraId="024B33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（1）社会保障和就业支出208（类）行政事业单位养老支出05（款）行政单位离退休01（项）:支出决算为5.4万元，完成预算100%。</w:t>
      </w:r>
    </w:p>
    <w:p w14:paraId="74B242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（2）社会保障和就业支出208（类）行政事业单位养老支出05（款）事业单位离退休02（项）:支出决算为0.15万元，完成预算100%。</w:t>
      </w:r>
    </w:p>
    <w:p w14:paraId="72A951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（3）社会保障和就业支出208（类）行政事业单位养老支出05（款）机关事业单位基本养老保险缴费支出05（项）:支出决算为18.89万元，完成预算100%。</w:t>
      </w:r>
    </w:p>
    <w:p w14:paraId="79AF8E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（4）社会保障和就业支出208（类）行政事业单位养老支出05（款）机关事业单位职业年金缴费支出06（项）:支出决算为7.22万元，完成预算100%。</w:t>
      </w:r>
    </w:p>
    <w:p w14:paraId="0B6071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（5）社会保障和就业支出208（类）抚恤08（款）伤残抚恤02（项）:支出决算为311.42万元，完成预算100%。</w:t>
      </w:r>
    </w:p>
    <w:p w14:paraId="35900F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（6）社会保障和就业支出208（类）抚恤08（款）在乡复员、退伍军人生活补助03（项）:支出决算为344.32万元，完成预算100%。</w:t>
      </w:r>
    </w:p>
    <w:p w14:paraId="3687C4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（7）社会保障和就业支出208（类）抚恤08（款）义务兵优待05（项）:支出决算为60.81万元，完成预算100%。</w:t>
      </w:r>
    </w:p>
    <w:p w14:paraId="78D002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（8）社会保障和就业支出208（类）抚恤08（款）农村籍退役士兵老年生活补助06（项）:支出决算为164.21万元，完成预算100%。</w:t>
      </w:r>
    </w:p>
    <w:p w14:paraId="7A87E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（9）社会保障和就业支出208（类）抚恤08（款）其他优抚支出99（项）:支出决算为297.09万元，完成预算100%。</w:t>
      </w:r>
    </w:p>
    <w:p w14:paraId="7847DB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（10）社会保障和就业支出208（类）抚恤08（款）烈士纪念设施管理维护08（项）:支出决算为594.14万元，完成预算100%。</w:t>
      </w:r>
    </w:p>
    <w:p w14:paraId="558B2C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（11）社会保障和就业支出208（类）退役安置09（款）退役士兵安置01（项）:支出决算为146.4万元，完成预算100%。</w:t>
      </w:r>
    </w:p>
    <w:p w14:paraId="4DF7DE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（12）社会保障和就业支出208（类）退役安置09（款）军队移交政府的离退休人员安置02（项）:支出决算为5.80万元，完成预算100%。</w:t>
      </w:r>
    </w:p>
    <w:p w14:paraId="54176C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（13）社会保障和就业支出208（类）退役安置09（款）军队移交政府离退休干部管理机构03（项）:支出决算为106.25万元，完成预算100%。</w:t>
      </w:r>
    </w:p>
    <w:p w14:paraId="6A045D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（14）社会保障和就业支出208（类）退役安置09（款）军队转业干部安置05（项）:支出决算为27.44万元，完成预算100%。</w:t>
      </w:r>
    </w:p>
    <w:p w14:paraId="2C9EB9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（15）社会保障和就业支出208（类）退役安置09（款）其他退役安置支出99（项）:支出决算为64.55元，完成预算100%。</w:t>
      </w:r>
    </w:p>
    <w:p w14:paraId="03B088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（16）社会保障和就业支出208（类）退役军人管理事务28（款）行政运行01（项）:支出决算为74.55万元，完成预算100%。</w:t>
      </w:r>
    </w:p>
    <w:p w14:paraId="4937AE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（17）社会保障和就业支出208（类）退役军人管理事务28（款）一般行政管理事务02（项）:支出决算为32.86万元，完成预算100%。</w:t>
      </w:r>
    </w:p>
    <w:p w14:paraId="524A5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（18）社会保障和就业支出208（类）退役军人管理事务28（款）拥军优属04（项）:支出决算为330.7万元，完成预算100%。</w:t>
      </w:r>
    </w:p>
    <w:p w14:paraId="5D4C37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（19）社会保障和就业支出208（类）退役军人管理事务28（款）事业运行50（项）:支出决算为110.08万元，完成预算100%。</w:t>
      </w:r>
    </w:p>
    <w:p w14:paraId="0ABB2B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（20）社会保障和就业支出208（类）退役军人管理事务28（款）其他退役军人事务管理支出99（项）:支出决算为42万元，完成预算100%。</w:t>
      </w:r>
    </w:p>
    <w:p w14:paraId="674D77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2.卫生健康支出210（类）:支出决算为66.59万元，完成预算100%。</w:t>
      </w:r>
    </w:p>
    <w:p w14:paraId="0CE4A4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（1）卫生健康支出210（类）行政事业单位医疗11（款）行政单位医疗01（项）：支出决算为5.00万元，完成预算100%。</w:t>
      </w:r>
    </w:p>
    <w:p w14:paraId="56728F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（2）卫生健康支出210（类）行政事业单位医疗11（款）事业单位医疗02（项）：支出决算为7.09万元，完成预算100%。</w:t>
      </w:r>
    </w:p>
    <w:p w14:paraId="68952F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（3）卫生健康支出210（类）行政事业单位医疗11（款）公务员医疗补助03（项）：支出决算为0.48万元，完成预算100%。</w:t>
      </w:r>
    </w:p>
    <w:p w14:paraId="449DE4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（4）卫生健康支出210（类）行政事业单位医疗11（款）其他行政事业单位医疗支出99（项）：支出决算为7.49万元，完成预算100%。</w:t>
      </w:r>
    </w:p>
    <w:p w14:paraId="52A3E0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（5）卫生健康支出210（类）优抚对象医疗14（款）优抚对象医疗补助01（项）：支出决算为46.53万元，完成预算100%</w:t>
      </w:r>
    </w:p>
    <w:p w14:paraId="1F839D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3.住房保障支出221（类）住房改革支出02（款）住房公积金01（项）：支出决算为18.11万元，完成预算100%。</w:t>
      </w:r>
    </w:p>
    <w:p w14:paraId="082887CB">
      <w:pPr>
        <w:pageBreakBefore w:val="0"/>
        <w:tabs>
          <w:tab w:val="right" w:pos="8306"/>
        </w:tabs>
        <w:kinsoku/>
        <w:wordWrap/>
        <w:overflowPunct/>
        <w:topLinePunct w:val="0"/>
        <w:bidi w:val="0"/>
        <w:snapToGrid/>
        <w:spacing w:line="240" w:lineRule="auto"/>
        <w:ind w:left="0" w:leftChars="0" w:firstLine="640"/>
        <w:textAlignment w:val="auto"/>
        <w:outlineLvl w:val="1"/>
        <w:rPr>
          <w:rStyle w:val="29"/>
          <w:rFonts w:hint="default" w:ascii="Times New Roman" w:hAnsi="Times New Roman" w:eastAsia="黑体" w:cs="Times New Roman"/>
          <w:b w:val="0"/>
          <w:lang w:val="en-US" w:eastAsia="zh-CN" w:bidi="ar-SA"/>
        </w:rPr>
      </w:pPr>
      <w:bookmarkStart w:id="34" w:name="_Toc15396608"/>
      <w:bookmarkStart w:id="35" w:name="_Toc15377214"/>
      <w:r>
        <w:rPr>
          <w:rStyle w:val="29"/>
          <w:rFonts w:hint="default" w:ascii="Times New Roman" w:hAnsi="Times New Roman" w:eastAsia="黑体" w:cs="Times New Roman"/>
          <w:b w:val="0"/>
          <w:lang w:val="en-US" w:eastAsia="zh-CN" w:bidi="ar-SA"/>
        </w:rPr>
        <w:t>六、一般公共预算财政拨款基本支出决算情况说明</w:t>
      </w:r>
      <w:bookmarkEnd w:id="34"/>
      <w:bookmarkEnd w:id="35"/>
      <w:r>
        <w:rPr>
          <w:rStyle w:val="29"/>
          <w:rFonts w:hint="default" w:ascii="Times New Roman" w:hAnsi="Times New Roman" w:eastAsia="黑体" w:cs="Times New Roman"/>
          <w:b w:val="0"/>
          <w:lang w:val="en-US" w:eastAsia="zh-CN" w:bidi="ar-SA"/>
        </w:rPr>
        <w:tab/>
      </w:r>
    </w:p>
    <w:p w14:paraId="6CB67E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2024年度一般公共预算财政拨款基本支出254.46万元，其中：</w:t>
      </w:r>
    </w:p>
    <w:p w14:paraId="1040E0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人员经费227.48万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p>
    <w:p w14:paraId="06F24C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公用经费19.79万元，主要包括：办公费、印刷费、水费、电费、邮电费、差旅费、维修（护）费、租赁费、会议费、劳务费、委托业务费、工会经费、福利费、其他交通费、其他商品和服务支出、办公设备购置等。</w:t>
      </w:r>
    </w:p>
    <w:p w14:paraId="783A6B8C">
      <w:pPr>
        <w:pageBreakBefore w:val="0"/>
        <w:kinsoku/>
        <w:wordWrap/>
        <w:overflowPunct/>
        <w:topLinePunct w:val="0"/>
        <w:bidi w:val="0"/>
        <w:snapToGrid/>
        <w:spacing w:line="240" w:lineRule="auto"/>
        <w:ind w:left="0" w:leftChars="0" w:firstLine="640"/>
        <w:textAlignment w:val="auto"/>
        <w:outlineLvl w:val="1"/>
        <w:rPr>
          <w:rStyle w:val="29"/>
          <w:rFonts w:hint="default" w:ascii="Times New Roman" w:hAnsi="Times New Roman" w:eastAsia="黑体" w:cs="Times New Roman"/>
          <w:b w:val="0"/>
          <w:lang w:val="en-US" w:eastAsia="zh-CN" w:bidi="ar-SA"/>
        </w:rPr>
      </w:pPr>
      <w:bookmarkStart w:id="36" w:name="_Toc15396609"/>
      <w:bookmarkStart w:id="37" w:name="_Toc15377215"/>
      <w:r>
        <w:rPr>
          <w:rStyle w:val="29"/>
          <w:rFonts w:hint="default" w:ascii="Times New Roman" w:hAnsi="Times New Roman" w:eastAsia="黑体" w:cs="Times New Roman"/>
          <w:b w:val="0"/>
          <w:lang w:val="en-US" w:eastAsia="zh-CN" w:bidi="ar-SA"/>
        </w:rPr>
        <w:t>七、财政拨款“三公”经费支出决算情况说明</w:t>
      </w:r>
      <w:bookmarkEnd w:id="36"/>
      <w:bookmarkEnd w:id="37"/>
    </w:p>
    <w:p w14:paraId="517C61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lang w:eastAsia="zh-CN"/>
        </w:rPr>
      </w:pPr>
      <w:bookmarkStart w:id="38" w:name="_Toc15377216"/>
      <w:r>
        <w:rPr>
          <w:rFonts w:hint="default" w:ascii="Times New Roman" w:hAnsi="Times New Roman" w:eastAsia="方正楷体_GBK" w:cs="Times New Roman"/>
          <w:sz w:val="32"/>
          <w:szCs w:val="32"/>
          <w:lang w:eastAsia="zh-CN"/>
        </w:rPr>
        <w:t>（一）“三公”经费财政拨款支出决算总体情况说明</w:t>
      </w:r>
      <w:bookmarkEnd w:id="38"/>
    </w:p>
    <w:p w14:paraId="26323B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2024年“三公”经费财政拨款支出决算为0万元。 </w:t>
      </w:r>
    </w:p>
    <w:p w14:paraId="2AA09E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lang w:eastAsia="zh-CN"/>
        </w:rPr>
      </w:pPr>
      <w:bookmarkStart w:id="39" w:name="_Toc15377217"/>
      <w:r>
        <w:rPr>
          <w:rFonts w:hint="default" w:ascii="Times New Roman" w:hAnsi="Times New Roman" w:eastAsia="方正楷体_GBK" w:cs="Times New Roman"/>
          <w:sz w:val="32"/>
          <w:szCs w:val="32"/>
          <w:lang w:eastAsia="zh-CN"/>
        </w:rPr>
        <w:t>（二）“三公”经费财政拨款支出决算具体情况说明</w:t>
      </w:r>
      <w:bookmarkEnd w:id="39"/>
    </w:p>
    <w:p w14:paraId="21A0B0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2024年度“三公”经费财政拨款支出决算中，因公出国（境）费支出决算0万元，占0%；公务用车购置及运行维护费支出决算0万元，占0%；公务接待费支出决算0万元，占0%。具体情况如下：</w:t>
      </w:r>
    </w:p>
    <w:p w14:paraId="711B01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bookmarkStart w:id="40" w:name="_Toc15377218"/>
      <w:bookmarkStart w:id="41" w:name="_Toc15396610"/>
      <w:r>
        <w:rPr>
          <w:rFonts w:hint="default" w:ascii="Times New Roman" w:hAnsi="Times New Roman" w:eastAsia="方正仿宋_GBK" w:cs="Times New Roman"/>
          <w:sz w:val="32"/>
          <w:szCs w:val="32"/>
          <w:lang w:eastAsia="zh-CN"/>
        </w:rPr>
        <w:t>1.因公出国（境）经费支出0万元，完成预算0%。全年安排因公出国（境）团组0次，出国（境）0人。</w:t>
      </w:r>
    </w:p>
    <w:p w14:paraId="3F14EE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2.公务用车购置及运行维护费支出0万元,完成预算0%。</w:t>
      </w:r>
    </w:p>
    <w:p w14:paraId="0BAE2E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其中：公务用车购置支出0万元。全年按规定更新购置公务用车0辆，其中：轿车0辆、金额0万元，越野车0辆、金额0万元，载客汽车0辆、金额0万元。截至2024年12月31日，单位共有公务用车0辆，其中：轿车0辆、越野车0辆、载客汽车0辆。公务用车运行维护费支出0万元。</w:t>
      </w:r>
    </w:p>
    <w:p w14:paraId="5D79E0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3.公务接待费支出0万元，完成预算0%。其中：国内公务接待支出0万元， 外事接待支出0万元。 </w:t>
      </w:r>
    </w:p>
    <w:p w14:paraId="102F0B50">
      <w:pPr>
        <w:pageBreakBefore w:val="0"/>
        <w:tabs>
          <w:tab w:val="right" w:pos="8306"/>
        </w:tabs>
        <w:kinsoku/>
        <w:wordWrap/>
        <w:overflowPunct/>
        <w:topLinePunct w:val="0"/>
        <w:bidi w:val="0"/>
        <w:snapToGrid/>
        <w:spacing w:line="240" w:lineRule="auto"/>
        <w:ind w:left="0" w:leftChars="0" w:firstLine="640"/>
        <w:textAlignment w:val="auto"/>
        <w:outlineLvl w:val="1"/>
        <w:rPr>
          <w:rStyle w:val="29"/>
          <w:rFonts w:hint="default" w:ascii="Times New Roman" w:hAnsi="Times New Roman" w:eastAsia="黑体" w:cs="Times New Roman"/>
          <w:b w:val="0"/>
          <w:lang w:val="en-US" w:eastAsia="zh-CN" w:bidi="ar-SA"/>
        </w:rPr>
      </w:pPr>
      <w:r>
        <w:rPr>
          <w:rStyle w:val="29"/>
          <w:rFonts w:hint="default" w:ascii="Times New Roman" w:hAnsi="Times New Roman" w:eastAsia="黑体" w:cs="Times New Roman"/>
          <w:b w:val="0"/>
          <w:lang w:val="en-US" w:eastAsia="zh-CN" w:bidi="ar-SA"/>
        </w:rPr>
        <w:t>八、政府性基金预算支出决算情况说明</w:t>
      </w:r>
      <w:bookmarkEnd w:id="40"/>
      <w:bookmarkEnd w:id="41"/>
    </w:p>
    <w:p w14:paraId="247E24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2024年度政府性基金预算财政拨款支出0万元。</w:t>
      </w:r>
    </w:p>
    <w:p w14:paraId="10EE9BB6">
      <w:pPr>
        <w:pageBreakBefore w:val="0"/>
        <w:tabs>
          <w:tab w:val="right" w:pos="8306"/>
        </w:tabs>
        <w:kinsoku/>
        <w:wordWrap/>
        <w:overflowPunct/>
        <w:topLinePunct w:val="0"/>
        <w:bidi w:val="0"/>
        <w:snapToGrid/>
        <w:spacing w:line="240" w:lineRule="auto"/>
        <w:ind w:left="0" w:leftChars="0" w:firstLine="640"/>
        <w:textAlignment w:val="auto"/>
        <w:outlineLvl w:val="1"/>
        <w:rPr>
          <w:rStyle w:val="29"/>
          <w:rFonts w:hint="default" w:ascii="Times New Roman" w:hAnsi="Times New Roman" w:eastAsia="黑体" w:cs="Times New Roman"/>
          <w:b w:val="0"/>
          <w:lang w:val="en-US" w:eastAsia="zh-CN" w:bidi="ar-SA"/>
        </w:rPr>
      </w:pPr>
      <w:bookmarkStart w:id="42" w:name="_Toc15396611"/>
      <w:bookmarkStart w:id="43" w:name="_Toc15377219"/>
      <w:r>
        <w:rPr>
          <w:rStyle w:val="29"/>
          <w:rFonts w:hint="default" w:ascii="Times New Roman" w:hAnsi="Times New Roman" w:eastAsia="黑体" w:cs="Times New Roman"/>
          <w:b w:val="0"/>
          <w:lang w:val="en-US" w:eastAsia="zh-CN" w:bidi="ar-SA"/>
        </w:rPr>
        <w:t>九、国有资本经营预算支出决算情况说明</w:t>
      </w:r>
      <w:bookmarkEnd w:id="42"/>
      <w:bookmarkEnd w:id="43"/>
    </w:p>
    <w:p w14:paraId="09CAFE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2024年度国有资本经营预算财政拨款支出0万元。</w:t>
      </w:r>
    </w:p>
    <w:p w14:paraId="57E71CEB">
      <w:pPr>
        <w:pageBreakBefore w:val="0"/>
        <w:tabs>
          <w:tab w:val="right" w:pos="8306"/>
        </w:tabs>
        <w:kinsoku/>
        <w:wordWrap/>
        <w:overflowPunct/>
        <w:topLinePunct w:val="0"/>
        <w:bidi w:val="0"/>
        <w:snapToGrid/>
        <w:spacing w:line="240" w:lineRule="auto"/>
        <w:ind w:left="0" w:leftChars="0" w:firstLine="640"/>
        <w:textAlignment w:val="auto"/>
        <w:outlineLvl w:val="1"/>
        <w:rPr>
          <w:rStyle w:val="29"/>
          <w:rFonts w:hint="default" w:ascii="Times New Roman" w:hAnsi="Times New Roman" w:eastAsia="黑体" w:cs="Times New Roman"/>
          <w:b w:val="0"/>
          <w:lang w:val="en-US" w:eastAsia="zh-CN" w:bidi="ar-SA"/>
        </w:rPr>
      </w:pPr>
      <w:bookmarkStart w:id="44" w:name="_Toc15396612"/>
      <w:bookmarkStart w:id="45" w:name="_Toc15377221"/>
      <w:r>
        <w:rPr>
          <w:rStyle w:val="29"/>
          <w:rFonts w:hint="default" w:ascii="Times New Roman" w:hAnsi="Times New Roman" w:eastAsia="黑体" w:cs="Times New Roman"/>
          <w:b w:val="0"/>
          <w:lang w:val="en-US" w:eastAsia="zh-CN" w:bidi="ar-SA"/>
        </w:rPr>
        <w:t>十、其他重要事项的情况说明</w:t>
      </w:r>
      <w:bookmarkEnd w:id="44"/>
      <w:bookmarkEnd w:id="45"/>
    </w:p>
    <w:p w14:paraId="1743D6E3">
      <w:pPr>
        <w:pageBreakBefore w:val="0"/>
        <w:kinsoku/>
        <w:wordWrap/>
        <w:overflowPunct/>
        <w:topLinePunct w:val="0"/>
        <w:bidi w:val="0"/>
        <w:snapToGrid/>
        <w:spacing w:line="240" w:lineRule="auto"/>
        <w:ind w:left="0" w:leftChars="0" w:firstLine="640" w:firstLineChars="200"/>
        <w:textAlignment w:val="auto"/>
        <w:outlineLvl w:val="2"/>
        <w:rPr>
          <w:rFonts w:hint="default" w:ascii="Times New Roman" w:hAnsi="Times New Roman" w:eastAsia="方正楷体_GBK" w:cs="Times New Roman"/>
          <w:b w:val="0"/>
          <w:bCs/>
          <w:sz w:val="32"/>
          <w:szCs w:val="32"/>
          <w:lang w:eastAsia="zh-CN"/>
        </w:rPr>
      </w:pPr>
      <w:bookmarkStart w:id="46" w:name="_Toc15377222"/>
      <w:r>
        <w:rPr>
          <w:rFonts w:hint="default" w:ascii="Times New Roman" w:hAnsi="Times New Roman" w:eastAsia="方正楷体_GBK" w:cs="Times New Roman"/>
          <w:b w:val="0"/>
          <w:bCs/>
          <w:sz w:val="32"/>
          <w:szCs w:val="32"/>
          <w:lang w:eastAsia="zh-CN"/>
        </w:rPr>
        <w:t>（一）机关运行经费支出情况</w:t>
      </w:r>
      <w:bookmarkEnd w:id="46"/>
    </w:p>
    <w:p w14:paraId="080ED6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2024年度，盐边县退役军人事务局机关运行经费支出19.79万元，比2023年度减少0.05万元，降低51.45%。是机关运行经费正常变化。</w:t>
      </w:r>
    </w:p>
    <w:p w14:paraId="388792A8">
      <w:pPr>
        <w:pageBreakBefore w:val="0"/>
        <w:kinsoku/>
        <w:wordWrap/>
        <w:overflowPunct/>
        <w:topLinePunct w:val="0"/>
        <w:bidi w:val="0"/>
        <w:snapToGrid/>
        <w:spacing w:line="240" w:lineRule="auto"/>
        <w:ind w:left="0" w:leftChars="0" w:firstLine="640" w:firstLineChars="200"/>
        <w:textAlignment w:val="auto"/>
        <w:outlineLvl w:val="2"/>
        <w:rPr>
          <w:rFonts w:hint="default" w:ascii="Times New Roman" w:hAnsi="Times New Roman" w:eastAsia="方正楷体_GBK" w:cs="Times New Roman"/>
          <w:b w:val="0"/>
          <w:bCs/>
          <w:sz w:val="32"/>
          <w:szCs w:val="32"/>
          <w:lang w:eastAsia="zh-CN"/>
        </w:rPr>
      </w:pPr>
      <w:bookmarkStart w:id="47" w:name="_Toc15377223"/>
      <w:r>
        <w:rPr>
          <w:rFonts w:hint="default" w:ascii="Times New Roman" w:hAnsi="Times New Roman" w:eastAsia="方正楷体_GBK" w:cs="Times New Roman"/>
          <w:b w:val="0"/>
          <w:bCs/>
          <w:sz w:val="32"/>
          <w:szCs w:val="32"/>
          <w:lang w:eastAsia="zh-CN"/>
        </w:rPr>
        <w:t>（二）政府采购支出情况</w:t>
      </w:r>
      <w:bookmarkEnd w:id="47"/>
    </w:p>
    <w:p w14:paraId="2CB3A7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盐边县退役军人事务局政府采购支出总额5.95万元，其中：政府采购货物支出5.95万元、政府采购工程支出0万元、政府采购服务支出0万元，主要用于退役军人事务局烈士陵园建设。授予中小企业合同金额5.95元，占政府采购支出总额的100%，其中：授予小微企业合同金额5.95万元，占政府采购支出总额的100%。</w:t>
      </w:r>
    </w:p>
    <w:p w14:paraId="00BCBDC2">
      <w:pPr>
        <w:pageBreakBefore w:val="0"/>
        <w:kinsoku/>
        <w:wordWrap/>
        <w:overflowPunct/>
        <w:topLinePunct w:val="0"/>
        <w:bidi w:val="0"/>
        <w:snapToGrid/>
        <w:spacing w:line="240" w:lineRule="auto"/>
        <w:ind w:left="0" w:leftChars="0" w:firstLine="640" w:firstLineChars="200"/>
        <w:textAlignment w:val="auto"/>
        <w:outlineLvl w:val="2"/>
        <w:rPr>
          <w:rFonts w:hint="default" w:ascii="Times New Roman" w:hAnsi="Times New Roman" w:eastAsia="方正楷体_GBK" w:cs="Times New Roman"/>
          <w:b w:val="0"/>
          <w:bCs/>
          <w:sz w:val="32"/>
          <w:szCs w:val="32"/>
          <w:lang w:eastAsia="zh-CN"/>
        </w:rPr>
      </w:pPr>
      <w:bookmarkStart w:id="48" w:name="_Toc15377224"/>
      <w:r>
        <w:rPr>
          <w:rFonts w:hint="default" w:ascii="Times New Roman" w:hAnsi="Times New Roman" w:eastAsia="方正楷体_GBK" w:cs="Times New Roman"/>
          <w:b w:val="0"/>
          <w:bCs/>
          <w:sz w:val="32"/>
          <w:szCs w:val="32"/>
          <w:lang w:eastAsia="zh-CN"/>
        </w:rPr>
        <w:t>（三）国有资产占有使用情况</w:t>
      </w:r>
      <w:bookmarkEnd w:id="48"/>
    </w:p>
    <w:p w14:paraId="75CF00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截至2024年12月31日，盐边县退役军人事务局共有车辆0辆，其中：主要领导干部用车0辆、机要通信用车0辆、应急保障用车0辆、其他用车0辆。单价100万元以上设备（不含车辆）0台。</w:t>
      </w:r>
    </w:p>
    <w:p w14:paraId="2C5E3246">
      <w:pPr>
        <w:pageBreakBefore w:val="0"/>
        <w:kinsoku/>
        <w:wordWrap/>
        <w:overflowPunct/>
        <w:topLinePunct w:val="0"/>
        <w:bidi w:val="0"/>
        <w:snapToGrid/>
        <w:spacing w:line="240" w:lineRule="auto"/>
        <w:ind w:left="0" w:leftChars="0" w:firstLine="640" w:firstLineChars="200"/>
        <w:textAlignment w:val="auto"/>
        <w:outlineLvl w:val="2"/>
        <w:rPr>
          <w:rFonts w:hint="default" w:ascii="Times New Roman" w:hAnsi="Times New Roman" w:eastAsia="方正楷体_GBK" w:cs="Times New Roman"/>
          <w:b w:val="0"/>
          <w:bCs/>
          <w:sz w:val="32"/>
          <w:szCs w:val="32"/>
          <w:lang w:eastAsia="zh-CN"/>
        </w:rPr>
      </w:pPr>
      <w:r>
        <w:rPr>
          <w:rFonts w:hint="default" w:ascii="Times New Roman" w:hAnsi="Times New Roman" w:eastAsia="方正楷体_GBK" w:cs="Times New Roman"/>
          <w:b w:val="0"/>
          <w:bCs/>
          <w:sz w:val="32"/>
          <w:szCs w:val="32"/>
          <w:lang w:eastAsia="zh-CN"/>
        </w:rPr>
        <w:t>（四）预算绩效管理情况</w:t>
      </w:r>
    </w:p>
    <w:p w14:paraId="5DB351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预算绩效管理要求，本单位在2024年度预算编制阶段，组织对多个项目开展了预算事前绩效评估，对多个项目编制了绩效目标，预算执行过程中，选取多个项目开展绩效监控,组织对多个项目开展绩效自评，绩效自评表详见第四部分附件。</w:t>
      </w:r>
    </w:p>
    <w:p w14:paraId="469E4A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4C265F2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小标宋_GBK" w:cs="Times New Roman"/>
          <w:b w:val="0"/>
          <w:bCs w:val="0"/>
          <w:color w:val="auto"/>
          <w:sz w:val="44"/>
          <w:szCs w:val="44"/>
        </w:rPr>
      </w:pPr>
      <w:bookmarkStart w:id="49" w:name="_Toc15396613"/>
      <w:bookmarkStart w:id="50" w:name="_Toc15377225"/>
      <w:r>
        <w:rPr>
          <w:rFonts w:hint="default" w:ascii="Times New Roman" w:hAnsi="Times New Roman" w:eastAsia="方正小标宋_GBK" w:cs="Times New Roman"/>
          <w:b w:val="0"/>
          <w:bCs w:val="0"/>
          <w:color w:val="auto"/>
          <w:sz w:val="44"/>
          <w:szCs w:val="44"/>
        </w:rPr>
        <w:t>第三部分  名词解释</w:t>
      </w:r>
      <w:bookmarkEnd w:id="49"/>
      <w:bookmarkEnd w:id="50"/>
    </w:p>
    <w:p w14:paraId="634AA656">
      <w:pPr>
        <w:pageBreakBefore w:val="0"/>
        <w:kinsoku/>
        <w:wordWrap/>
        <w:overflowPunct/>
        <w:topLinePunct w:val="0"/>
        <w:bidi w:val="0"/>
        <w:snapToGrid/>
        <w:spacing w:line="240" w:lineRule="auto"/>
        <w:ind w:left="0" w:leftChars="0"/>
        <w:jc w:val="left"/>
        <w:textAlignment w:val="auto"/>
        <w:rPr>
          <w:rFonts w:hint="default" w:ascii="Times New Roman" w:hAnsi="Times New Roman" w:cs="Times New Roman"/>
          <w:b/>
          <w:sz w:val="44"/>
          <w:szCs w:val="44"/>
        </w:rPr>
      </w:pPr>
    </w:p>
    <w:p w14:paraId="7ADF9A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1.财政拨款收入：指单位从同级财政部门取得的财政预算资金。</w:t>
      </w:r>
    </w:p>
    <w:p w14:paraId="6A31C3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2.事业收入：指事业单位开展专业业务活动及辅助活动取得的收入。</w:t>
      </w:r>
    </w:p>
    <w:p w14:paraId="23278A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3.其他收入：指单位取得的除上述收入以外的各项收入。</w:t>
      </w:r>
    </w:p>
    <w:p w14:paraId="35532A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4.使用非财政拨款结余：指事业单位使用以前年度积累的非财政拨款结余弥补当年收支差额的金额。</w:t>
      </w:r>
    </w:p>
    <w:p w14:paraId="35E51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5.年初结转和结余：指以前年度尚未完成、结转到本年按有关规定继续使用的资金。</w:t>
      </w:r>
    </w:p>
    <w:p w14:paraId="2C46A4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6.结余分配：指事业单位按照会计制度规定缴纳的所得税、提取的专用结余以及转入非财政拨款结余的金额等。</w:t>
      </w:r>
    </w:p>
    <w:p w14:paraId="06FB50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7.年末结转和结余：指单位按有关规定结转到下年或以后年度继续使用的资金。</w:t>
      </w:r>
    </w:p>
    <w:p w14:paraId="7D1090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8.社会保障和就业208（类）人力资源和社会保障管理事务01（款）行政运行01（项）：指行政单位（包括实行公务员管理的事业单位）的基本支出。</w:t>
      </w:r>
    </w:p>
    <w:p w14:paraId="0A407C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9.社会保障和就业208（类）行政事业单位养老支出05（款）行政单位离退休01（项）：指行政单位（包括实行公务员管理的事业单位）开支的离退休经费。</w:t>
      </w:r>
    </w:p>
    <w:p w14:paraId="7E2B5A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10.社会保障和就业208（类）行政事业单位养老支出05（款）机关事业单位基本养老保险缴费支出（项）：指机关事业单位实施养老保险制度由单位缴纳的基本养老保险费支出。</w:t>
      </w:r>
    </w:p>
    <w:p w14:paraId="158030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11.社会保障和就业208（类）抚恤08（款）伤残抚恤02（项）：指按规定用于伤残人员的抚恤金和按规定开支的各种伤残补助费。</w:t>
      </w:r>
    </w:p>
    <w:p w14:paraId="3F1620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12.社会保障和就业208（类）抚恤08（款）在乡复员、退伍军人生活补助03（项）：指在乡退伍红军老战士（含西路军红军老战士、红军失散人员）、1954年10月31日前入伍的在乡复员军人、按规定办理带病回乡手续的退伍军人、符合领取定期生活补助条件的“两参”人员生活补助。</w:t>
      </w:r>
    </w:p>
    <w:p w14:paraId="560573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13.社会保障和就业208（类）抚恤08（款）义务军优待05（项）：指用于义务兵优待方面的支出。</w:t>
      </w:r>
    </w:p>
    <w:p w14:paraId="49811D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14.社会保障和就业208（类）抚恤08（款）农村籍退役士兵老年生活补助06（项）：指1954年11月1日试行义务兵役制后至《退役</w:t>
      </w:r>
      <w:r>
        <w:rPr>
          <w:rFonts w:hint="eastAsia" w:eastAsia="方正仿宋_GBK" w:cs="Times New Roman"/>
          <w:sz w:val="32"/>
          <w:szCs w:val="32"/>
          <w:lang w:val="en-US" w:eastAsia="zh-CN"/>
        </w:rPr>
        <w:t>军人</w:t>
      </w:r>
      <w:r>
        <w:rPr>
          <w:rFonts w:hint="default" w:ascii="Times New Roman" w:hAnsi="Times New Roman" w:eastAsia="方正仿宋_GBK" w:cs="Times New Roman"/>
          <w:sz w:val="32"/>
          <w:szCs w:val="32"/>
          <w:lang w:eastAsia="zh-CN"/>
        </w:rPr>
        <w:t>安置条例》实施前入伍、年龄在60周岁以上（含60周岁）、未享受到国家定期抚恤补助的农村籍退役士兵的老年生活补助。</w:t>
      </w:r>
    </w:p>
    <w:p w14:paraId="330C9F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15.社会保障和就业208（类）抚恤08（款）其他优抚支出99（项）：指反映除上述项目以外其他用于优抚方面的支出，包括向优抚对象发放的价格临时补贴、老烈士子女、老党员定期生活补助等支出。</w:t>
      </w:r>
    </w:p>
    <w:p w14:paraId="4D38F5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16.社会保障和就业208（类）退役安置09（款）军队移交政府的离退休人员安置02（项）：指反映移交政府的军队离退休人员安置支出。</w:t>
      </w:r>
    </w:p>
    <w:p w14:paraId="14C7B8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17.社会保障和就业208（类）退役安置09（款）军队移交政府离退休干部管理机构03（项）：指反映退役军人事务部门管理的军队移交政府安置的离退休干部管理机构列入事业编制的人员经费、公用经费以及管理机构用房建设经费等支出。</w:t>
      </w:r>
    </w:p>
    <w:p w14:paraId="0ED955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18.社会保障和就业208（类）退役安置09（款）军队转业干部安置05（项）：指反映军队转业干部（含选择逐月领取退役金的军士）教育培训、管理事务、退役金等方面的支出。</w:t>
      </w:r>
    </w:p>
    <w:p w14:paraId="0C58DC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19.社会保障和就业208（类）退役安置09（款）其他退役安置支出99（项）：指反映除上述项目以外其他用于退役安置方面的支出。</w:t>
      </w:r>
    </w:p>
    <w:p w14:paraId="05DEF3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20.社会保障和就业208（类）退役军人管理事务28（款）行政运行01（项）：指反映行政单位（包括实行公务员管理的事业单位）的基本支出。</w:t>
      </w:r>
    </w:p>
    <w:p w14:paraId="091CED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21.社会保障和就业208（类）退役军人管理事务28（款）一般行政管理事务02（项）：指反映行政单位（包括实行公务员管理的事业单位）未单独设置项级科目的其他项目支出。</w:t>
      </w:r>
    </w:p>
    <w:p w14:paraId="327FAC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22.社会保障和就业208（类）退役军人管理事务28（款）拥军优属04（项）：指反映开展拥军优属活动的支出。</w:t>
      </w:r>
    </w:p>
    <w:p w14:paraId="7FBC1E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23.社会保障和就业208（类）退役军人管理事务28（款）事业运行50（项）：指反映事业单位的基本支出，不包括行政单位（包括实行公务员管理的事业单位）后勤服务中心、医务室等附属事业单位。</w:t>
      </w:r>
    </w:p>
    <w:p w14:paraId="24D4AD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24.社会保障和就业208（类）退役军人管理事务28（款）其他退役军人事务管理支出99（项）：指反映除上述项目以外其他用于退役军人事务管理方面的支出。</w:t>
      </w:r>
    </w:p>
    <w:p w14:paraId="174E07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25.卫生健康支出210（类）行政事业单位医疗11（款）行政单位医疗01（项）：指反映财政部门安排的行政单位（包括实行公务员管理的事业单位）基本医疗保险缴费经费，未参加医疗保险的行政单位的公费医疗经费，按国家规定享受离休人员、红军老战士待遇人员的医疗经费。</w:t>
      </w:r>
    </w:p>
    <w:p w14:paraId="1C38C4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26.卫生健康支出210（类）行政事业单位医疗11（款）事业单位医疗02（项）：指反映财政部门安排的事业单位基本医疗保险缴费经费，未参加医疗保险的事业单位的公费医疗经费，按国家规定享受离休人员待遇的医疗经费。</w:t>
      </w:r>
    </w:p>
    <w:p w14:paraId="7F18AA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27.卫生健康支出210（类）行政事业单位医疗11（款）公务员医疗补助03（项）：指反映财政部门安排的公务员医疗补助经费。</w:t>
      </w:r>
    </w:p>
    <w:p w14:paraId="4C8823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28.卫生健康支出210（类）行政事业单位医疗11（款）其他行政事业单位医疗支出99（项）：指反映除上述项目以外的其他用于行政事业单位医疗方面的支出。</w:t>
      </w:r>
    </w:p>
    <w:p w14:paraId="24DED6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eastAsia="方正仿宋_GBK" w:cs="Times New Roman"/>
          <w:sz w:val="32"/>
          <w:szCs w:val="32"/>
          <w:lang w:eastAsia="zh-CN"/>
        </w:rPr>
        <w:t>29.</w:t>
      </w:r>
      <w:r>
        <w:rPr>
          <w:rFonts w:hint="default" w:ascii="Times New Roman" w:hAnsi="Times New Roman" w:eastAsia="方正仿宋_GBK" w:cs="Times New Roman"/>
          <w:sz w:val="32"/>
          <w:szCs w:val="32"/>
          <w:lang w:eastAsia="zh-CN"/>
        </w:rPr>
        <w:t>卫生健康支出210（类）优抚对象医疗14（款）优抚对象医疗补助01（项）：指反映按规定补助优抚对象的医疗经费。</w:t>
      </w:r>
    </w:p>
    <w:p w14:paraId="3643A4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30.住房保障支出221（类）住房改革支出02（款）住房公积金01（项）：指反映行政事业单位按人力资源和社会保障部、财政部规定的基本工资和津贴补贴以及规定比例为职工缴纳的住房公积金。</w:t>
      </w:r>
    </w:p>
    <w:p w14:paraId="5B6C03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31.基本支出：指为保障机构正常运转、完成日常工作任务而发生的人员支出和公用支出。</w:t>
      </w:r>
    </w:p>
    <w:p w14:paraId="0849C9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32.项目支出：指在基本支出之外为完成特定行政任务和事业发展目标所发生的支出。</w:t>
      </w:r>
    </w:p>
    <w:p w14:paraId="009431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33.“三公”经费：指部门用财政拨款安排的因公出国（境）费、公务用车购置及运行费和公务接待费。其中：（1）因公出国（境）费：反映单位公务出国（境）的国际旅费、国外城市间交通费、住宿费、伙食费、培训费、公杂费等支出。         （2）公务用车购置：反映单位公务用车购置支出（含</w:t>
      </w:r>
    </w:p>
    <w:p w14:paraId="6397E5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车辆购置税、牌照费）。（3）公务用车运行维护费：反映单位按规定保留的公务用车燃料费、维修费、过桥过路费、保险费、安全奖励费用等支出。</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4</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公务接待费：反映单位按规定开支的各类公务接待（含外宾接待）费用。</w:t>
      </w:r>
    </w:p>
    <w:p w14:paraId="7DC302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1" w:name="_Toc15396614"/>
      <w:bookmarkStart w:id="52" w:name="_Toc15377226"/>
    </w:p>
    <w:p w14:paraId="7ADB0DD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小标宋_GBK" w:cs="Times New Roman"/>
          <w:b w:val="0"/>
          <w:bCs w:val="0"/>
          <w:color w:val="auto"/>
          <w:sz w:val="44"/>
          <w:szCs w:val="44"/>
        </w:rPr>
      </w:pPr>
    </w:p>
    <w:p w14:paraId="0EBE486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小标宋_GBK" w:cs="Times New Roman"/>
          <w:b w:val="0"/>
          <w:bCs w:val="0"/>
          <w:color w:val="auto"/>
          <w:sz w:val="44"/>
          <w:szCs w:val="44"/>
        </w:rPr>
      </w:pPr>
    </w:p>
    <w:p w14:paraId="276DF61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附件</w:t>
      </w:r>
      <w:bookmarkEnd w:id="51"/>
    </w:p>
    <w:p w14:paraId="29E86D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w:t>
      </w:r>
    </w:p>
    <w:p w14:paraId="34BC1080">
      <w:pPr>
        <w:keepNext w:val="0"/>
        <w:keepLines w:val="0"/>
        <w:widowControl w:val="0"/>
        <w:suppressLineNumbers w:val="0"/>
        <w:spacing w:before="0" w:beforeAutospacing="0" w:after="0" w:afterAutospacing="0" w:line="0" w:lineRule="atLeast"/>
        <w:ind w:left="0" w:right="0" w:firstLine="1988" w:firstLineChars="450"/>
        <w:jc w:val="both"/>
        <w:rPr>
          <w:rFonts w:hint="eastAsia" w:ascii="黑体" w:hAnsi="宋体" w:eastAsia="黑体" w:cs="Times New Roman"/>
          <w:b/>
          <w:bCs w:val="0"/>
          <w:kern w:val="2"/>
          <w:sz w:val="44"/>
          <w:szCs w:val="44"/>
        </w:rPr>
      </w:pPr>
      <w:r>
        <w:rPr>
          <w:rFonts w:hint="eastAsia" w:ascii="黑体" w:hAnsi="宋体" w:eastAsia="黑体" w:cs="黑体"/>
          <w:b/>
          <w:bCs w:val="0"/>
          <w:kern w:val="2"/>
          <w:sz w:val="44"/>
          <w:szCs w:val="44"/>
          <w:lang w:val="en-US" w:eastAsia="zh-CN" w:bidi="ar"/>
        </w:rPr>
        <w:t>盐边县退役军人事务局部门</w:t>
      </w:r>
    </w:p>
    <w:p w14:paraId="423BAAAB">
      <w:pPr>
        <w:keepNext w:val="0"/>
        <w:keepLines w:val="0"/>
        <w:widowControl w:val="0"/>
        <w:suppressLineNumbers w:val="0"/>
        <w:spacing w:before="0" w:beforeAutospacing="0" w:after="0" w:afterAutospacing="0" w:line="0" w:lineRule="atLeast"/>
        <w:ind w:left="0" w:right="0"/>
        <w:jc w:val="center"/>
        <w:rPr>
          <w:rFonts w:hint="eastAsia" w:ascii="黑体" w:hAnsi="宋体" w:eastAsia="黑体" w:cs="Times New Roman"/>
          <w:b/>
          <w:bCs w:val="0"/>
          <w:kern w:val="2"/>
          <w:sz w:val="44"/>
          <w:szCs w:val="44"/>
        </w:rPr>
      </w:pPr>
      <w:r>
        <w:rPr>
          <w:rFonts w:hint="eastAsia" w:ascii="黑体" w:hAnsi="宋体" w:eastAsia="黑体" w:cs="Times New Roman"/>
          <w:b/>
          <w:bCs w:val="0"/>
          <w:kern w:val="2"/>
          <w:sz w:val="44"/>
          <w:szCs w:val="44"/>
          <w:lang w:val="en-US" w:eastAsia="zh-CN" w:bidi="ar"/>
        </w:rPr>
        <w:t xml:space="preserve">   </w:t>
      </w:r>
      <w:r>
        <w:rPr>
          <w:rFonts w:hint="eastAsia" w:ascii="黑体" w:hAnsi="宋体" w:eastAsia="黑体" w:cs="黑体"/>
          <w:b/>
          <w:bCs w:val="0"/>
          <w:kern w:val="2"/>
          <w:sz w:val="44"/>
          <w:szCs w:val="44"/>
          <w:lang w:val="en-US" w:eastAsia="zh-CN" w:bidi="ar"/>
        </w:rPr>
        <w:t>整体预算绩效自评报告</w:t>
      </w:r>
    </w:p>
    <w:p w14:paraId="4DF10C4C">
      <w:pPr>
        <w:keepNext w:val="0"/>
        <w:keepLines w:val="0"/>
        <w:widowControl w:val="0"/>
        <w:suppressLineNumbers w:val="0"/>
        <w:spacing w:before="0" w:beforeAutospacing="0" w:after="0" w:afterAutospacing="0" w:line="550" w:lineRule="exact"/>
        <w:ind w:left="0" w:right="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一、单位基本情况</w:t>
      </w:r>
    </w:p>
    <w:p w14:paraId="4F64EFB6">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（一）机构组成</w:t>
      </w:r>
    </w:p>
    <w:p w14:paraId="55AB3C4E">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我单位于2019年3月组建成立，为政府组成部门。下属2个事业单位，即盐边县退役军人服务中心（挂盐边县拥军优属拥政爱事务中心、盐边县军队离退休干部服务工作站牌子）、盐边县烈士纪念保护中心。</w:t>
      </w:r>
    </w:p>
    <w:p w14:paraId="390CA843">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（二）机构职能</w:t>
      </w:r>
    </w:p>
    <w:p w14:paraId="44568C84">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（1）落实退役军人思想政治、管理保障和安置优抚等政策并监督实施，拟订退役军人工作政策并组织实施，褒扬彰显退役军人为党、国家和人民牺牲奉献的精神风范和价值导向。</w:t>
      </w:r>
    </w:p>
    <w:p w14:paraId="53FB25A1">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（2）负责军队转业干部、复员干部、离休退休干部、退役士兵和无军籍退休退职职工的移交安置和自主择业、就业退役军人服务管理工作。</w:t>
      </w:r>
    </w:p>
    <w:p w14:paraId="04DEAB89">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（3）组织、指导退役军人教育培训工作，承担退役军人和随军随调家属就业创业扶持工作。</w:t>
      </w:r>
    </w:p>
    <w:p w14:paraId="7758A7F6">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（4）贯彻执行国家有关退役军人特殊保障政策，拟订有关地方性政策并组织实施。</w:t>
      </w:r>
    </w:p>
    <w:p w14:paraId="1929F3B5">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（5）组织、协调落实移交地方的离休退休军人、符合条件的其他退役军人和无军籍退休退职职工的住房保障工作，以及退役军人医疗保障、社会保险等待遇保障工作。</w:t>
      </w:r>
    </w:p>
    <w:p w14:paraId="0D28FE8C">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（6）负责伤病残退役军人服务管理和抚恤工作，贯彻执行国家有关退役军人医疗、疗养、养老等机构的规划政策。承担不适宜继续服役的伤病残军人移交安置、退休安置、供养等工作。</w:t>
      </w:r>
    </w:p>
    <w:p w14:paraId="28AA1A34">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（7）组织、指导拥军优属工作，协调拥政爱民工作，承担现役军人、退役军人、军队文职人员和军属的优待、抚恤等工作。贯彻执行国家有关国民党抗战老兵等有关人员优待政策。</w:t>
      </w:r>
    </w:p>
    <w:p w14:paraId="697F969A">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8）负责烈士及退役军人荣誉奖励、军人公墓和烈士纪念设施的建设管理、纪念活动等工作，依法承担英雄烈士保护相关工作，审核拟列入全市重点保护单位的烈士纪念建筑物名录，总结表彰和宣扬退役军人、退役军人工作单位和个人先进典型事例。</w:t>
      </w:r>
    </w:p>
    <w:p w14:paraId="4D0927B9">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（9）指导并监督检查退役军人相关法律法规和政策措施的落实，组织开展退役军人权益维护和有关人员的帮扶援助工作。</w:t>
      </w:r>
    </w:p>
    <w:p w14:paraId="27C9604D">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（10）推动建立退役军人事务分级负责和突发事件应急联动机制，组织、指导退役军人综合服务体系建设。配合指导退役军人党建工作。</w:t>
      </w:r>
    </w:p>
    <w:p w14:paraId="4DFAED7E">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（11） 完成县委、县政府和军方交办的其他任务。</w:t>
      </w:r>
    </w:p>
    <w:p w14:paraId="29C5768D">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（三）人员概况</w:t>
      </w:r>
    </w:p>
    <w:p w14:paraId="6EAB97E6">
      <w:pPr>
        <w:keepNext w:val="0"/>
        <w:keepLines w:val="0"/>
        <w:widowControl w:val="0"/>
        <w:suppressLineNumbers w:val="0"/>
        <w:snapToGrid w:val="0"/>
        <w:spacing w:before="0" w:beforeAutospacing="0" w:after="0" w:afterAutospacing="0" w:line="520" w:lineRule="exact"/>
        <w:ind w:left="0" w:right="0" w:firstLine="640" w:firstLineChars="200"/>
        <w:jc w:val="both"/>
        <w:rPr>
          <w:rFonts w:hint="default" w:ascii="Times New Roman" w:hAnsi="Times New Roman" w:eastAsia="楷体_GB2312" w:cs="Times New Roman"/>
          <w:color w:val="000000"/>
          <w:kern w:val="0"/>
          <w:sz w:val="32"/>
          <w:szCs w:val="32"/>
          <w:shd w:val="clear" w:fill="FFFFFF"/>
        </w:rPr>
      </w:pPr>
      <w:r>
        <w:rPr>
          <w:rFonts w:hint="default" w:ascii="仿宋_GB2312" w:hAnsi="Times New Roman" w:eastAsia="仿宋_GB2312" w:cs="仿宋_GB2312"/>
          <w:color w:val="000000"/>
          <w:kern w:val="2"/>
          <w:sz w:val="32"/>
          <w:szCs w:val="32"/>
          <w:lang w:val="en-US" w:eastAsia="zh-CN" w:bidi="ar"/>
        </w:rPr>
        <w:t>202</w:t>
      </w:r>
      <w:r>
        <w:rPr>
          <w:rFonts w:hint="default" w:ascii="仿宋_GB2312" w:hAnsi="Times New Roman" w:eastAsia="仿宋_GB2312" w:cs="Times New Roman"/>
          <w:color w:val="000000"/>
          <w:kern w:val="2"/>
          <w:sz w:val="32"/>
          <w:szCs w:val="32"/>
          <w:lang w:val="en-US" w:eastAsia="zh-CN" w:bidi="ar"/>
        </w:rPr>
        <w:t>4</w:t>
      </w:r>
      <w:r>
        <w:rPr>
          <w:rFonts w:hint="default" w:ascii="仿宋_GB2312" w:hAnsi="Times New Roman" w:eastAsia="仿宋_GB2312" w:cs="仿宋_GB2312"/>
          <w:color w:val="000000"/>
          <w:kern w:val="2"/>
          <w:sz w:val="32"/>
          <w:szCs w:val="32"/>
          <w:lang w:val="en-US" w:eastAsia="zh-CN" w:bidi="ar"/>
        </w:rPr>
        <w:t>年12月末，本单位共有正式在编在岗职工1</w:t>
      </w:r>
      <w:r>
        <w:rPr>
          <w:rFonts w:hint="default" w:ascii="仿宋_GB2312" w:hAnsi="Times New Roman" w:eastAsia="仿宋_GB2312" w:cs="Times New Roman"/>
          <w:color w:val="000000"/>
          <w:kern w:val="2"/>
          <w:sz w:val="32"/>
          <w:szCs w:val="32"/>
          <w:lang w:val="en-US" w:eastAsia="zh-CN" w:bidi="ar"/>
        </w:rPr>
        <w:t>1</w:t>
      </w:r>
      <w:r>
        <w:rPr>
          <w:rFonts w:hint="default" w:ascii="仿宋_GB2312" w:hAnsi="Times New Roman" w:eastAsia="仿宋_GB2312" w:cs="仿宋_GB2312"/>
          <w:color w:val="000000"/>
          <w:kern w:val="2"/>
          <w:sz w:val="32"/>
          <w:szCs w:val="32"/>
          <w:lang w:val="en-US" w:eastAsia="zh-CN" w:bidi="ar"/>
        </w:rPr>
        <w:t>人，退休人员</w:t>
      </w:r>
      <w:r>
        <w:rPr>
          <w:rFonts w:hint="default" w:ascii="仿宋_GB2312" w:hAnsi="Times New Roman" w:eastAsia="仿宋_GB2312" w:cs="Times New Roman"/>
          <w:color w:val="000000"/>
          <w:kern w:val="2"/>
          <w:sz w:val="32"/>
          <w:szCs w:val="32"/>
          <w:lang w:val="en-US" w:eastAsia="zh-CN" w:bidi="ar"/>
        </w:rPr>
        <w:t>2</w:t>
      </w:r>
      <w:r>
        <w:rPr>
          <w:rFonts w:hint="default" w:ascii="仿宋_GB2312" w:hAnsi="Times New Roman" w:eastAsia="仿宋_GB2312" w:cs="仿宋_GB2312"/>
          <w:color w:val="000000"/>
          <w:kern w:val="2"/>
          <w:sz w:val="32"/>
          <w:szCs w:val="32"/>
          <w:lang w:val="en-US" w:eastAsia="zh-CN" w:bidi="ar"/>
        </w:rPr>
        <w:t>人。</w:t>
      </w:r>
    </w:p>
    <w:p w14:paraId="5D1F31ED">
      <w:pPr>
        <w:keepNext w:val="0"/>
        <w:keepLines w:val="0"/>
        <w:widowControl w:val="0"/>
        <w:suppressLineNumbers w:val="0"/>
        <w:spacing w:before="0" w:beforeAutospacing="0" w:after="0" w:afterAutospacing="0" w:line="550" w:lineRule="exact"/>
        <w:ind w:left="0" w:right="0"/>
        <w:jc w:val="both"/>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lang w:val="en-US" w:eastAsia="zh-CN" w:bidi="ar"/>
        </w:rPr>
        <w:t xml:space="preserve"> </w:t>
      </w:r>
    </w:p>
    <w:p w14:paraId="27358D33">
      <w:pPr>
        <w:keepNext w:val="0"/>
        <w:keepLines w:val="0"/>
        <w:widowControl w:val="0"/>
        <w:suppressLineNumbers w:val="0"/>
        <w:spacing w:before="0" w:beforeAutospacing="0" w:after="0" w:afterAutospacing="0" w:line="550" w:lineRule="exact"/>
        <w:ind w:left="0" w:right="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二、部门资金收支情况</w:t>
      </w:r>
    </w:p>
    <w:p w14:paraId="1628AD03">
      <w:pPr>
        <w:keepNext w:val="0"/>
        <w:keepLines w:val="0"/>
        <w:widowControl w:val="0"/>
        <w:suppressLineNumbers w:val="0"/>
        <w:spacing w:before="0" w:beforeAutospacing="0" w:after="0" w:afterAutospacing="0" w:line="550" w:lineRule="exact"/>
        <w:ind w:left="0" w:right="0" w:firstLine="320" w:firstLineChars="10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（一）收入情况</w:t>
      </w:r>
    </w:p>
    <w:p w14:paraId="745AC650">
      <w:pPr>
        <w:keepNext w:val="0"/>
        <w:keepLines w:val="0"/>
        <w:widowControl w:val="0"/>
        <w:suppressLineNumbers w:val="0"/>
        <w:spacing w:before="0" w:beforeAutospacing="0" w:after="0" w:afterAutospacing="0" w:line="580" w:lineRule="exact"/>
        <w:ind w:left="0" w:right="0" w:firstLine="800" w:firstLineChars="25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我部门2024年年初预算收入1610.85万元，调整预算收入为1325.96万元、决算报表收入为2936.81万元。一般公共预算财政拨款收入为2828.93万元，其他收入为107.88万元。 </w:t>
      </w:r>
    </w:p>
    <w:p w14:paraId="6209CB79">
      <w:pPr>
        <w:keepNext w:val="0"/>
        <w:keepLines w:val="0"/>
        <w:widowControl w:val="0"/>
        <w:suppressLineNumbers w:val="0"/>
        <w:spacing w:before="0" w:beforeAutospacing="0" w:after="0" w:afterAutospacing="0" w:line="550" w:lineRule="exact"/>
        <w:ind w:left="0" w:right="0" w:firstLine="800" w:firstLineChars="25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（二）支出情况</w:t>
      </w:r>
    </w:p>
    <w:p w14:paraId="73A05C80">
      <w:pPr>
        <w:keepNext w:val="0"/>
        <w:keepLines w:val="0"/>
        <w:widowControl w:val="0"/>
        <w:suppressLineNumbers w:val="0"/>
        <w:spacing w:before="0" w:beforeAutospacing="0" w:after="0" w:afterAutospacing="0" w:line="580" w:lineRule="exact"/>
        <w:ind w:left="0" w:right="0" w:firstLine="800" w:firstLineChars="250"/>
        <w:jc w:val="both"/>
        <w:rPr>
          <w:rFonts w:hint="eastAsia" w:ascii="黑体" w:hAnsi="宋体" w:eastAsia="黑体" w:cs="仿宋"/>
          <w:kern w:val="2"/>
          <w:sz w:val="32"/>
          <w:szCs w:val="32"/>
        </w:rPr>
      </w:pPr>
      <w:r>
        <w:rPr>
          <w:rFonts w:hint="eastAsia" w:ascii="仿宋" w:hAnsi="仿宋" w:eastAsia="仿宋" w:cs="仿宋"/>
          <w:kern w:val="2"/>
          <w:sz w:val="32"/>
          <w:szCs w:val="32"/>
          <w:lang w:val="en-US" w:eastAsia="zh-CN" w:bidi="ar"/>
        </w:rPr>
        <w:t>2024年，总支出数为2889.71万元，其中基本支出决算数为254.46万元；项目支出决算数为2635.24万元。</w:t>
      </w:r>
    </w:p>
    <w:p w14:paraId="7582A2ED">
      <w:pPr>
        <w:keepNext w:val="0"/>
        <w:keepLines w:val="0"/>
        <w:widowControl w:val="0"/>
        <w:suppressLineNumbers w:val="0"/>
        <w:spacing w:before="0" w:beforeAutospacing="0" w:after="0" w:afterAutospacing="0" w:line="550" w:lineRule="exact"/>
        <w:ind w:left="0" w:right="0" w:firstLine="800" w:firstLineChars="25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（三）结余分配和结转结余情况</w:t>
      </w:r>
    </w:p>
    <w:p w14:paraId="0DAC668E">
      <w:pPr>
        <w:keepNext w:val="0"/>
        <w:keepLines w:val="0"/>
        <w:widowControl w:val="0"/>
        <w:suppressLineNumbers w:val="0"/>
        <w:spacing w:before="0" w:beforeAutospacing="0" w:after="0" w:afterAutospacing="0" w:line="550" w:lineRule="exact"/>
        <w:ind w:left="0" w:right="0" w:firstLine="320" w:firstLineChars="100"/>
        <w:jc w:val="both"/>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lang w:val="en-US" w:eastAsia="zh-CN" w:bidi="ar"/>
        </w:rPr>
        <w:t>1.2024年度财政拨款结转结余0元。非财政结转结余为47.11万元。</w:t>
      </w:r>
    </w:p>
    <w:p w14:paraId="7F927127">
      <w:pPr>
        <w:keepNext w:val="0"/>
        <w:keepLines w:val="0"/>
        <w:widowControl w:val="0"/>
        <w:suppressLineNumbers w:val="0"/>
        <w:spacing w:before="0" w:beforeAutospacing="0" w:after="0" w:afterAutospacing="0" w:line="550" w:lineRule="exact"/>
        <w:ind w:left="0" w:right="0" w:firstLine="320" w:firstLineChars="100"/>
        <w:jc w:val="both"/>
        <w:rPr>
          <w:rFonts w:hint="default" w:ascii="仿宋_GB2312" w:hAnsi="仿宋" w:eastAsia="仿宋_GB2312" w:cs="Times New Roman"/>
          <w:kern w:val="2"/>
          <w:sz w:val="32"/>
          <w:szCs w:val="32"/>
        </w:rPr>
      </w:pPr>
      <w:r>
        <w:rPr>
          <w:rFonts w:hint="eastAsia" w:ascii="仿宋_GB2312" w:hAnsi="仿宋" w:eastAsia="仿宋_GB2312" w:cs="仿宋_GB2312"/>
          <w:kern w:val="2"/>
          <w:sz w:val="32"/>
          <w:szCs w:val="32"/>
          <w:lang w:val="en-US" w:eastAsia="zh-CN" w:bidi="ar"/>
        </w:rPr>
        <w:t>2.</w:t>
      </w:r>
      <w:r>
        <w:rPr>
          <w:rFonts w:hint="default" w:ascii="仿宋_GB2312" w:hAnsi="仿宋" w:eastAsia="仿宋_GB2312" w:cs="仿宋_GB2312"/>
          <w:kern w:val="2"/>
          <w:sz w:val="32"/>
          <w:szCs w:val="32"/>
          <w:lang w:val="en-US" w:eastAsia="zh-CN" w:bidi="ar"/>
        </w:rPr>
        <w:t>非财政项目结转结余为47.11万元，主要用于军休干部工资发放，保险购买，以及退役军人培训等。</w:t>
      </w:r>
    </w:p>
    <w:p w14:paraId="1BDD10E8">
      <w:pPr>
        <w:keepNext w:val="0"/>
        <w:keepLines w:val="0"/>
        <w:widowControl w:val="0"/>
        <w:suppressLineNumbers w:val="0"/>
        <w:spacing w:before="0" w:beforeAutospacing="0" w:after="0" w:afterAutospacing="0" w:line="550" w:lineRule="exact"/>
        <w:ind w:left="0" w:right="0" w:firstLine="320" w:firstLineChars="10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三、部门预算绩效分析</w:t>
      </w:r>
    </w:p>
    <w:p w14:paraId="210243DB">
      <w:pPr>
        <w:keepNext w:val="0"/>
        <w:keepLines w:val="0"/>
        <w:widowControl w:val="0"/>
        <w:suppressLineNumbers w:val="0"/>
        <w:spacing w:before="0" w:beforeAutospacing="0" w:after="0" w:afterAutospacing="0" w:line="550" w:lineRule="exact"/>
        <w:ind w:left="0" w:right="0" w:firstLine="320" w:firstLineChars="10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（一）部门预算总体绩效分析。</w:t>
      </w:r>
    </w:p>
    <w:p w14:paraId="57B98A5E">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1.履职效能</w:t>
      </w:r>
    </w:p>
    <w:p w14:paraId="002F8E97">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选取优抚对象生活补助，优抚对象医疗补助，退役安置项目，褒扬纪念等核心职能目标。</w:t>
      </w:r>
    </w:p>
    <w:p w14:paraId="1AC33D8B">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优抚对象的生活补助项目是为了保障国家对军人的抚恤优待，激励军人保卫祖国、建设祖国的献身精神，是加强国防和军队建设的有力保障。国家根据国民经济发展状况，每年对优抚对象抚恤和生活补助标准进行调整，以适应社会经济发展需要，提高优抚对象生活水平，保障军人群体稳定，更好地为经济社会发展服务。本项目的主要内容是发放优抚对象抚恤和生活补助，提高他们的生活质量和生活水平。盐边县目前共有880名优抚对象享受定期抚恤和生活补助，每年按政策规定调整标准后及时通过“一卡通”按月发到优抚对象手中。</w:t>
      </w:r>
    </w:p>
    <w:p w14:paraId="14EA5B0B">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仿宋" w:eastAsia="仿宋_GB2312" w:cs="Times New Roman"/>
          <w:kern w:val="2"/>
          <w:sz w:val="32"/>
          <w:szCs w:val="32"/>
        </w:rPr>
      </w:pPr>
      <w:r>
        <w:rPr>
          <w:rFonts w:hint="eastAsia" w:ascii="仿宋" w:hAnsi="仿宋" w:eastAsia="仿宋" w:cs="仿宋"/>
          <w:kern w:val="2"/>
          <w:sz w:val="32"/>
          <w:szCs w:val="32"/>
          <w:lang w:val="en-US" w:eastAsia="zh-CN" w:bidi="ar"/>
        </w:rPr>
        <w:t>优抚对象医疗补助项目</w:t>
      </w:r>
      <w:r>
        <w:rPr>
          <w:rFonts w:hint="default" w:ascii="仿宋_GB2312" w:hAnsi="仿宋" w:eastAsia="仿宋_GB2312" w:cs="仿宋_GB2312"/>
          <w:kern w:val="2"/>
          <w:sz w:val="32"/>
          <w:szCs w:val="32"/>
          <w:lang w:val="en-US" w:eastAsia="zh-CN" w:bidi="ar"/>
        </w:rPr>
        <w:t>，是依据《四川省优抚对象医疗保障办法</w:t>
      </w:r>
      <w:r>
        <w:rPr>
          <w:rFonts w:hint="eastAsia" w:ascii="仿宋_GB2312" w:hAnsi="仿宋" w:eastAsia="仿宋_GB2312" w:cs="仿宋_GB2312"/>
          <w:kern w:val="2"/>
          <w:sz w:val="32"/>
          <w:szCs w:val="32"/>
          <w:lang w:val="en-US" w:eastAsia="zh-CN" w:bidi="ar"/>
        </w:rPr>
        <w:t>》《</w:t>
      </w:r>
      <w:r>
        <w:rPr>
          <w:rFonts w:hint="default" w:ascii="仿宋_GB2312" w:hAnsi="仿宋" w:eastAsia="仿宋_GB2312" w:cs="仿宋_GB2312"/>
          <w:kern w:val="2"/>
          <w:sz w:val="32"/>
          <w:szCs w:val="32"/>
          <w:lang w:val="en-US" w:eastAsia="zh-CN" w:bidi="ar"/>
        </w:rPr>
        <w:t>攀枝花市优抚对象医疗保障办法》和《盐边县优抚对象医疗保障办法》文件精神，由县退役军人局按照政策标准，对全县享受医疗补助的优抚对象按政策标准发放医疗补助，有效保障他们的医疗待遇不降低，</w:t>
      </w:r>
      <w:r>
        <w:rPr>
          <w:rFonts w:hint="default" w:ascii="仿宋_GB2312" w:hAnsi="Times New Roman" w:eastAsia="仿宋_GB2312" w:cs="仿宋_GB2312"/>
          <w:kern w:val="2"/>
          <w:sz w:val="32"/>
          <w:szCs w:val="32"/>
          <w:lang w:val="en-US" w:eastAsia="zh-CN" w:bidi="ar"/>
        </w:rPr>
        <w:t>给予优抚对象医疗服务优惠和照顾，</w:t>
      </w:r>
      <w:r>
        <w:rPr>
          <w:rFonts w:hint="default" w:ascii="仿宋_GB2312" w:hAnsi="仿宋" w:eastAsia="仿宋_GB2312" w:cs="仿宋_GB2312"/>
          <w:kern w:val="2"/>
          <w:sz w:val="32"/>
          <w:szCs w:val="32"/>
          <w:lang w:val="en-US" w:eastAsia="zh-CN" w:bidi="ar"/>
        </w:rPr>
        <w:t>保障群体稳定。项目设立依据的宏观政策具有可持续性</w:t>
      </w:r>
      <w:r>
        <w:rPr>
          <w:rFonts w:hint="eastAsia" w:ascii="仿宋_GB2312" w:hAnsi="仿宋" w:eastAsia="仿宋_GB2312" w:cs="仿宋_GB2312"/>
          <w:kern w:val="2"/>
          <w:sz w:val="32"/>
          <w:szCs w:val="32"/>
          <w:lang w:val="en-US" w:eastAsia="zh-CN" w:bidi="ar"/>
        </w:rPr>
        <w:t>，具</w:t>
      </w:r>
      <w:r>
        <w:rPr>
          <w:rFonts w:hint="default" w:ascii="仿宋_GB2312" w:hAnsi="仿宋" w:eastAsia="仿宋_GB2312" w:cs="仿宋_GB2312"/>
          <w:kern w:val="2"/>
          <w:sz w:val="32"/>
          <w:szCs w:val="32"/>
          <w:lang w:val="en-US" w:eastAsia="zh-CN" w:bidi="ar"/>
        </w:rPr>
        <w:t>有现实需求迫切性；此项目有确定的服务对象或受益对象；有明显的社会效益，项目预期</w:t>
      </w:r>
      <w:r>
        <w:rPr>
          <w:rFonts w:hint="eastAsia" w:ascii="仿宋_GB2312" w:hAnsi="仿宋" w:eastAsia="仿宋_GB2312" w:cs="仿宋_GB2312"/>
          <w:kern w:val="2"/>
          <w:sz w:val="32"/>
          <w:szCs w:val="32"/>
          <w:lang w:val="en-US" w:eastAsia="zh-CN" w:bidi="ar"/>
        </w:rPr>
        <w:t>效益</w:t>
      </w:r>
      <w:r>
        <w:rPr>
          <w:rFonts w:hint="default" w:ascii="仿宋_GB2312" w:hAnsi="仿宋" w:eastAsia="仿宋_GB2312" w:cs="仿宋_GB2312"/>
          <w:kern w:val="2"/>
          <w:sz w:val="32"/>
          <w:szCs w:val="32"/>
          <w:lang w:val="en-US" w:eastAsia="zh-CN" w:bidi="ar"/>
        </w:rPr>
        <w:t>达到100%。</w:t>
      </w:r>
    </w:p>
    <w:p w14:paraId="0B022BDB">
      <w:pPr>
        <w:keepNext w:val="0"/>
        <w:keepLines w:val="0"/>
        <w:widowControl w:val="0"/>
        <w:suppressLineNumbers w:val="0"/>
        <w:snapToGrid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eastAsia" w:ascii="仿宋" w:hAnsi="仿宋" w:eastAsia="仿宋" w:cs="仿宋"/>
          <w:kern w:val="2"/>
          <w:sz w:val="32"/>
          <w:szCs w:val="32"/>
          <w:lang w:val="en-US" w:eastAsia="zh-CN" w:bidi="ar"/>
        </w:rPr>
        <w:t>退役安置项目（包括军队退休干部补助和医疗费、企业军转干部生活补助和医疗费、自主就业退役士兵地方经济补助、退役士兵教育培训和补贴等），</w:t>
      </w:r>
      <w:r>
        <w:rPr>
          <w:rFonts w:hint="default" w:ascii="仿宋_GB2312" w:hAnsi="宋体" w:eastAsia="仿宋_GB2312" w:cs="仿宋_GB2312"/>
          <w:kern w:val="2"/>
          <w:sz w:val="32"/>
          <w:szCs w:val="32"/>
          <w:lang w:val="en-US" w:eastAsia="zh-CN" w:bidi="ar"/>
        </w:rPr>
        <w:t>项目内容与中央、省、市宏观政策、行业政策、主管部门职能和规划、当年重点工作相关，依据《退役</w:t>
      </w:r>
      <w:r>
        <w:rPr>
          <w:rFonts w:hint="eastAsia" w:ascii="仿宋_GB2312" w:hAnsi="宋体" w:eastAsia="仿宋_GB2312" w:cs="仿宋_GB2312"/>
          <w:kern w:val="2"/>
          <w:sz w:val="32"/>
          <w:szCs w:val="32"/>
          <w:lang w:val="en-US" w:eastAsia="zh-CN" w:bidi="ar"/>
        </w:rPr>
        <w:t>军人</w:t>
      </w:r>
      <w:r>
        <w:rPr>
          <w:rFonts w:hint="default" w:ascii="仿宋_GB2312" w:hAnsi="宋体" w:eastAsia="仿宋_GB2312" w:cs="仿宋_GB2312"/>
          <w:kern w:val="2"/>
          <w:sz w:val="32"/>
          <w:szCs w:val="32"/>
          <w:lang w:val="en-US" w:eastAsia="zh-CN" w:bidi="ar"/>
        </w:rPr>
        <w:t>安置条例》等规定，由县退役军人局按照政策标准，对</w:t>
      </w:r>
      <w:r>
        <w:rPr>
          <w:rFonts w:hint="eastAsia" w:ascii="仿宋" w:hAnsi="仿宋" w:eastAsia="仿宋" w:cs="仿宋"/>
          <w:kern w:val="2"/>
          <w:sz w:val="32"/>
          <w:szCs w:val="32"/>
          <w:lang w:val="en-US" w:eastAsia="zh-CN" w:bidi="ar"/>
        </w:rPr>
        <w:t>退役人员进行生活和就业补助</w:t>
      </w:r>
      <w:r>
        <w:rPr>
          <w:rFonts w:hint="default" w:ascii="仿宋_GB2312" w:hAnsi="宋体" w:eastAsia="仿宋_GB2312" w:cs="仿宋_GB2312"/>
          <w:kern w:val="2"/>
          <w:sz w:val="32"/>
          <w:szCs w:val="32"/>
          <w:lang w:val="en-US" w:eastAsia="zh-CN" w:bidi="ar"/>
        </w:rPr>
        <w:t>，有效提高他们就业创业能力，保障群体稳定。项目设立依据的宏观政策具有可持续性</w:t>
      </w:r>
      <w:r>
        <w:rPr>
          <w:rFonts w:hint="eastAsia" w:ascii="仿宋_GB2312" w:hAnsi="宋体" w:eastAsia="仿宋_GB2312" w:cs="仿宋_GB2312"/>
          <w:kern w:val="2"/>
          <w:sz w:val="32"/>
          <w:szCs w:val="32"/>
          <w:lang w:val="en-US" w:eastAsia="zh-CN" w:bidi="ar"/>
        </w:rPr>
        <w:t>，具</w:t>
      </w:r>
      <w:r>
        <w:rPr>
          <w:rFonts w:hint="default" w:ascii="仿宋_GB2312" w:hAnsi="宋体" w:eastAsia="仿宋_GB2312" w:cs="仿宋_GB2312"/>
          <w:kern w:val="2"/>
          <w:sz w:val="32"/>
          <w:szCs w:val="32"/>
          <w:lang w:val="en-US" w:eastAsia="zh-CN" w:bidi="ar"/>
        </w:rPr>
        <w:t>有现实需求迫切性；此项目有确定的服务对象或受益对象；有明显的社会效益，项目预期效益达到100%。</w:t>
      </w:r>
    </w:p>
    <w:p w14:paraId="30356F45">
      <w:pPr>
        <w:keepNext w:val="0"/>
        <w:keepLines w:val="0"/>
        <w:widowControl w:val="0"/>
        <w:suppressLineNumbers w:val="0"/>
        <w:spacing w:before="0" w:beforeAutospacing="0" w:after="0" w:afterAutospacing="0" w:line="51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褒扬纪念项目如烈士纪念设施保护中心运行经费项目等。该项目2011年7月26日中华人民共和国国务院令第601号公布《烈士褒扬条例》第一章总则第四条：烈士褒扬和烈士遗属抚恤优待经费列入财政预算；（2013年6月27日民政部令第47号公布，2022年1月24日退役军人事务部令第6号修订）烈士纪念设施保护管理办法第六条：县级以上人民政府退役军人工作主管部门会同财政、发展改革等部门安排烈士纪念设施保护管理和维修改造经费，用于烈士纪念设施维修改造、设备更新、环境整治、展陈宣传和祭扫纪念活动等工作，接受财政、审计部门和社会监督.根据《烈士褒扬条例》的规定，县级以上人民政府加强烈士纪念设施的管理保护，为了维护烈士陵园正常运行，烈士陵园水费、电费、绿化维护费等。更好地发挥了爱国主义教育基地、党史教育基地、青少年研学基地的作用得到群众和社会各阶层一致好评。</w:t>
      </w:r>
    </w:p>
    <w:p w14:paraId="29001A0E">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2.预算管理</w:t>
      </w:r>
    </w:p>
    <w:p w14:paraId="047B8E3E">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预算编制的准确完整性全部完成，完成率100%； 预算执行的有效性全部完成，完成率100%； 预算编制及执行的规范性全部完成，完成率100%；资产状况全部完成，完成率100%； 负债状况全部完成，完成率100%。</w:t>
      </w:r>
      <w:r>
        <w:rPr>
          <w:rFonts w:hint="eastAsia" w:ascii="仿宋" w:hAnsi="仿宋" w:eastAsia="仿宋" w:cs="仿宋"/>
          <w:bCs/>
          <w:kern w:val="2"/>
          <w:sz w:val="32"/>
          <w:szCs w:val="32"/>
          <w:lang w:val="en-US" w:eastAsia="zh-CN" w:bidi="ar"/>
        </w:rPr>
        <w:t>在上级主管部门的监督指导下，建立绩效考核制度，实行打分制，工作目标责任制，细化考核绩效，完成全年绩效目标造册、公示，提交上级主管部门审批。</w:t>
      </w:r>
    </w:p>
    <w:p w14:paraId="28095D95">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3.财务管理</w:t>
      </w:r>
    </w:p>
    <w:p w14:paraId="338149EE">
      <w:pPr>
        <w:keepNext w:val="0"/>
        <w:keepLines w:val="0"/>
        <w:widowControl w:val="0"/>
        <w:suppressLineNumbers w:val="0"/>
        <w:spacing w:before="0" w:beforeAutospacing="0" w:after="0" w:afterAutospacing="0"/>
        <w:ind w:left="0" w:right="0" w:firstLine="480" w:firstLineChars="15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（1）预算管理控制方面</w:t>
      </w:r>
    </w:p>
    <w:p w14:paraId="12597EAE">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实行全面预算管理,建立健全预算管理制度;编制收支预算坚持“以收定支、收支平衡、统筹兼顾的原则；严格执行批复的预算、按照规定调整预算；按照财政部门决算编制要求，真实、完整、准确、及时编制决算。</w:t>
      </w:r>
    </w:p>
    <w:p w14:paraId="0CFBCEF0">
      <w:pPr>
        <w:keepNext w:val="0"/>
        <w:keepLines w:val="0"/>
        <w:widowControl w:val="0"/>
        <w:suppressLineNumbers w:val="0"/>
        <w:spacing w:before="0" w:beforeAutospacing="0" w:after="0" w:afterAutospacing="0"/>
        <w:ind w:left="0" w:right="0" w:firstLine="480" w:firstLineChars="15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（2）做好日常工作及财务分析，以厉行节约的目的，加强财务收支管理根据单位的实际情况，加强单位的业务收支管理，减少费用支出。</w:t>
      </w:r>
      <w:r>
        <w:rPr>
          <w:rFonts w:hint="eastAsia" w:ascii="仿宋" w:hAnsi="仿宋" w:eastAsia="仿宋" w:cs="Times New Roman"/>
          <w:kern w:val="2"/>
          <w:sz w:val="32"/>
          <w:szCs w:val="32"/>
          <w:lang w:val="en-US" w:eastAsia="zh-CN" w:bidi="ar"/>
        </w:rPr>
        <w:t xml:space="preserve"> </w:t>
      </w:r>
    </w:p>
    <w:p w14:paraId="0FB889AC">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4.资产管理</w:t>
      </w:r>
    </w:p>
    <w:p w14:paraId="17B4E869">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我单位资产管理覆盖采购、使用、处置全流程，确保资产安全完整、高效利用，结合政策与基层实际，按规定进行资产分类，按“一卡一物”原则建立电子台账，定期盘点清查，做到账实相符，账账相符。资产报废也按程序报批处理。</w:t>
      </w:r>
    </w:p>
    <w:p w14:paraId="3166E98C">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5.采购管理</w:t>
      </w:r>
    </w:p>
    <w:p w14:paraId="3521CF95">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2024年我单位在支出中小企业方面，在政策允许范围内，对医疗耗材、办公用品等非核心品类，按一定比例预留采购份额给中小企业，优先采购本地中小企业产品，降低物流成本，促进区域经济发展。设立中小企业专项采购通道，简化资质审核流程，鼓励其参与投标。针对中小企业资金周转压力大的特点，缩短付款周期，通过预付款、分阶段付款等方式减轻企业资金负担。在精简投标文件要求，减少不必要的证明材料，降低中小企业参与门槛，避免因烦琐流程导致其放弃投标。与优质中小企业建立长期合作关系，帮助企业提升产品质量与服务能力。证明材料，降低中小企业参与门槛，避免因烦琐流程导致其放弃投标。与优质中小企业建立长期合作关系，帮助企业提升产品质量与服务能力。</w:t>
      </w:r>
    </w:p>
    <w:p w14:paraId="16492A79">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在采购执行方面基于历史采购数据运用大数据分析工具，精准预测耗材物资需求，制定分阶段采购计划，避免因计划偏差导致采购延误。</w:t>
      </w:r>
    </w:p>
    <w:p w14:paraId="3D3E1515">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建立动态调整机制，根据科室反馈和需求，及时优化采购清单，确保物资供应灵活响应。</w:t>
      </w:r>
    </w:p>
    <w:p w14:paraId="38760B8D">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成立跨部门采购小组，由采购、财务、业务科室等人员共同参与，确保采购需求与实际使用紧密衔接，减少沟通成本。将采购执行率纳入科室和个人绩效考核，对未按时完成采购任务的部门进行原因分析与整改，对高效执行的团队给予奖励。</w:t>
      </w:r>
    </w:p>
    <w:p w14:paraId="6487D5B0">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通过以上措施，我单位既能充分发挥采购资源优势，助力中小企业发展，又能保障物资及时供应，提升整体服务效能，实现社会效益与经济效益的双赢。</w:t>
      </w:r>
    </w:p>
    <w:p w14:paraId="1561E8FA">
      <w:pPr>
        <w:keepNext w:val="0"/>
        <w:keepLines w:val="0"/>
        <w:widowControl w:val="0"/>
        <w:suppressLineNumbers w:val="0"/>
        <w:spacing w:before="0" w:beforeAutospacing="0" w:after="0" w:afterAutospacing="0" w:line="550" w:lineRule="exact"/>
        <w:ind w:left="0" w:right="0" w:firstLine="320" w:firstLineChars="100"/>
        <w:jc w:val="both"/>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lang w:val="en-US" w:eastAsia="zh-CN" w:bidi="ar"/>
        </w:rPr>
        <w:t xml:space="preserve"> </w:t>
      </w:r>
    </w:p>
    <w:p w14:paraId="1401BA61">
      <w:pPr>
        <w:keepNext w:val="0"/>
        <w:keepLines w:val="0"/>
        <w:widowControl w:val="0"/>
        <w:suppressLineNumbers w:val="0"/>
        <w:spacing w:before="0" w:beforeAutospacing="0" w:after="0" w:afterAutospacing="0" w:line="550" w:lineRule="exact"/>
        <w:ind w:left="0" w:right="0" w:firstLine="320" w:firstLineChars="10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（二）部门预算项目绩效分析</w:t>
      </w:r>
    </w:p>
    <w:p w14:paraId="1DEE039F">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常年项目绩效分析。该大类总数</w:t>
      </w:r>
      <w:r>
        <w:rPr>
          <w:rFonts w:hint="eastAsia" w:ascii="仿宋" w:hAnsi="仿宋" w:eastAsia="仿宋" w:cs="仿宋"/>
          <w:kern w:val="2"/>
          <w:sz w:val="32"/>
          <w:szCs w:val="32"/>
          <w:u w:val="single"/>
          <w:lang w:val="en-US" w:eastAsia="zh-CN" w:bidi="ar"/>
        </w:rPr>
        <w:t>7</w:t>
      </w:r>
      <w:r>
        <w:rPr>
          <w:rFonts w:hint="eastAsia" w:ascii="仿宋" w:hAnsi="仿宋" w:eastAsia="仿宋" w:cs="仿宋"/>
          <w:kern w:val="2"/>
          <w:sz w:val="32"/>
          <w:szCs w:val="32"/>
          <w:lang w:val="en-US" w:eastAsia="zh-CN" w:bidi="ar"/>
        </w:rPr>
        <w:t>，涉及预算总金额</w:t>
      </w:r>
      <w:r>
        <w:rPr>
          <w:rFonts w:hint="eastAsia" w:ascii="仿宋" w:hAnsi="仿宋" w:eastAsia="仿宋" w:cs="仿宋"/>
          <w:kern w:val="2"/>
          <w:sz w:val="32"/>
          <w:szCs w:val="32"/>
          <w:u w:val="single"/>
          <w:lang w:val="en-US" w:eastAsia="zh-CN" w:bidi="ar"/>
        </w:rPr>
        <w:t>2574.47</w:t>
      </w:r>
      <w:r>
        <w:rPr>
          <w:rFonts w:hint="eastAsia" w:ascii="仿宋" w:hAnsi="仿宋" w:eastAsia="仿宋" w:cs="仿宋"/>
          <w:kern w:val="2"/>
          <w:sz w:val="32"/>
          <w:szCs w:val="32"/>
          <w:lang w:val="en-US" w:eastAsia="zh-CN" w:bidi="ar"/>
        </w:rPr>
        <w:t>万元，1—12月预算执行总体进度为</w:t>
      </w:r>
      <w:r>
        <w:rPr>
          <w:rFonts w:hint="eastAsia" w:ascii="仿宋" w:hAnsi="仿宋" w:eastAsia="仿宋" w:cs="仿宋"/>
          <w:kern w:val="2"/>
          <w:sz w:val="32"/>
          <w:szCs w:val="32"/>
          <w:u w:val="single"/>
          <w:lang w:val="en-US" w:eastAsia="zh-CN" w:bidi="ar"/>
        </w:rPr>
        <w:t>85.52</w:t>
      </w:r>
      <w:r>
        <w:rPr>
          <w:rFonts w:hint="eastAsia" w:ascii="仿宋" w:hAnsi="仿宋" w:eastAsia="仿宋" w:cs="仿宋"/>
          <w:kern w:val="2"/>
          <w:sz w:val="32"/>
          <w:szCs w:val="32"/>
          <w:lang w:val="en-US" w:eastAsia="zh-CN" w:bidi="ar"/>
        </w:rPr>
        <w:t>%，其中：预算结余率大于10%的项目共计</w:t>
      </w:r>
      <w:r>
        <w:rPr>
          <w:rFonts w:hint="eastAsia" w:ascii="仿宋" w:hAnsi="仿宋" w:eastAsia="仿宋" w:cs="仿宋"/>
          <w:kern w:val="2"/>
          <w:sz w:val="32"/>
          <w:szCs w:val="32"/>
          <w:u w:val="single"/>
          <w:lang w:val="en-US" w:eastAsia="zh-CN" w:bidi="ar"/>
        </w:rPr>
        <w:t>0个</w:t>
      </w:r>
    </w:p>
    <w:p w14:paraId="2F61688F">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1.项目决策</w:t>
      </w:r>
    </w:p>
    <w:p w14:paraId="03E0F540">
      <w:pPr>
        <w:keepNext w:val="0"/>
        <w:keepLines w:val="0"/>
        <w:widowControl w:val="0"/>
        <w:suppressLineNumbers w:val="0"/>
        <w:spacing w:before="0" w:beforeAutospacing="0" w:after="0" w:afterAutospacing="0" w:line="550" w:lineRule="exact"/>
        <w:ind w:left="0" w:right="0" w:firstLine="960" w:firstLineChars="3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决策程序:我单位项目均按规定流程申报，经主管部门审核，符合财政预算管理要求。</w:t>
      </w:r>
    </w:p>
    <w:p w14:paraId="7A5E04ED">
      <w:pPr>
        <w:keepNext w:val="0"/>
        <w:keepLines w:val="0"/>
        <w:widowControl w:val="0"/>
        <w:suppressLineNumbers w:val="0"/>
        <w:spacing w:before="0" w:beforeAutospacing="0" w:after="0" w:afterAutospacing="0" w:line="550" w:lineRule="exact"/>
        <w:ind w:left="0" w:right="0" w:firstLine="960" w:firstLineChars="3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目标设置：我单位预算项目绩效目标与计划期内的任务量、预算安排的资金量匹配，绩效目标设置是否科学合理、规范完整、量化细化、预算匹配。</w:t>
      </w:r>
    </w:p>
    <w:p w14:paraId="5ADD72B0">
      <w:pPr>
        <w:keepNext w:val="0"/>
        <w:keepLines w:val="0"/>
        <w:widowControl w:val="0"/>
        <w:suppressLineNumbers w:val="0"/>
        <w:spacing w:before="0" w:beforeAutospacing="0" w:after="0" w:afterAutospacing="0" w:line="550" w:lineRule="exact"/>
        <w:ind w:left="0" w:right="0" w:firstLine="960" w:firstLineChars="3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项目入库：项目均纳入预算管理系统，按“先入库、后安排”原则执行，入库流程完整。</w:t>
      </w:r>
    </w:p>
    <w:p w14:paraId="1B21DDC7">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2.项目执行</w:t>
      </w:r>
    </w:p>
    <w:p w14:paraId="53048854">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项目主要包括褒扬纪念预算为67.67万元，决算67.67万元，执行率100%；退役安置补助金预算为500.6万元，决算425.26万元，执行率为84.95%；义务优兵待金预算184.8万元，决算为60.81万元，执行率为32.9%；拥军优属预算为330.71万元，决算为330.71，执行率100%；优抚对象抚恤和生活补助经费预算为1189.6,万元，决算1117.04万元；执行率93.9%；优抚对象医疗补助预算为46.53万元，决算为46.53万元，执行率为100%。义务兵优待金执行率未完成主要是义务兵家庭优待金每满6个月发放一次（以往是按年发放），上年度已支付2022年入伍的，2023年入伍的。到2024年上半年入伍符合发放要求导致该项资金结余。退役安置补助金执行率未完成主要是因为有几笔退役安置资金12月末才下达，已做2024年决算，所以未及时支付。</w:t>
      </w:r>
    </w:p>
    <w:p w14:paraId="6CE23D2E">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项目调整：部分常年项目因政策变化或实际需求调整预算，调整程序规范。</w:t>
      </w:r>
    </w:p>
    <w:p w14:paraId="2307DCB3">
      <w:pPr>
        <w:keepNext w:val="0"/>
        <w:keepLines w:val="0"/>
        <w:widowControl w:val="0"/>
        <w:suppressLineNumbers w:val="0"/>
        <w:spacing w:before="0" w:beforeAutospacing="0" w:after="0" w:afterAutospacing="0" w:line="550" w:lineRule="exact"/>
        <w:ind w:left="0" w:right="0" w:firstLine="960" w:firstLineChars="3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执行结果：多数项目按计划推进，但有部分退役安置资金因拨付较晚，未及时支付。有部分义务兵优待金每满6个月发放一次（以往是按年发放），上年度已支付2022年入伍的，2023年入伍的。到2024年上半年入伍符合发放要求导致该项资金结余</w:t>
      </w:r>
    </w:p>
    <w:p w14:paraId="273BAACA">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3.目标实现</w:t>
      </w:r>
    </w:p>
    <w:p w14:paraId="4C7F1E13">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数量指标：我单位退役安置的企业军转干部人数为11人，自主择业军转干部补助资金发放人数27人，2024年优抚对象医疗补助人数大于等于4人。义务优待兵大于等于100户。</w:t>
      </w:r>
    </w:p>
    <w:p w14:paraId="3B655263">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质量指标：政策落实率和文件率较好。</w:t>
      </w:r>
    </w:p>
    <w:p w14:paraId="6CB1469B">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实现效果：社会效益，促进社会稳定 对退役军人、优抚对象、权益的保障作用，能促进双拥，促进军队稳定。满意度：服务对象满意度均达90%以上，项目实施获得认可。</w:t>
      </w:r>
    </w:p>
    <w:p w14:paraId="4F3F8B29">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（三）绩效结果应用情况</w:t>
      </w:r>
    </w:p>
    <w:p w14:paraId="604D4CE6">
      <w:pPr>
        <w:keepNext w:val="0"/>
        <w:keepLines w:val="0"/>
        <w:widowControl w:val="0"/>
        <w:suppressLineNumbers w:val="0"/>
        <w:spacing w:before="0" w:beforeAutospacing="0" w:after="0" w:afterAutospacing="0" w:line="550" w:lineRule="exact"/>
        <w:ind w:left="0" w:right="0" w:firstLine="960" w:firstLineChars="3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1.盐边县退役军人局2024年绩效目标完成良好，重点项目绩效达到预期，服务对象满意率较好。</w:t>
      </w:r>
    </w:p>
    <w:p w14:paraId="3646858A">
      <w:pPr>
        <w:keepNext w:val="0"/>
        <w:keepLines w:val="0"/>
        <w:widowControl w:val="0"/>
        <w:suppressLineNumbers w:val="0"/>
        <w:spacing w:before="0" w:beforeAutospacing="0" w:after="0" w:afterAutospacing="0" w:line="550" w:lineRule="exact"/>
        <w:ind w:left="0" w:right="0" w:firstLine="960" w:firstLineChars="3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2.完善绩效评价体系，加强监督检查和考核工作。将绩效目标完成情况纳入年度目标考核，并将绩效评价结果作为下年度项目立项和经费支持的重要依据。加强对绩效管理工作的跟踪督查，实现绩效管理规范化、常态化。</w:t>
      </w:r>
    </w:p>
    <w:p w14:paraId="2332EE29">
      <w:pPr>
        <w:keepNext w:val="0"/>
        <w:keepLines w:val="0"/>
        <w:widowControl w:val="0"/>
        <w:suppressLineNumbers w:val="0"/>
        <w:spacing w:before="0" w:beforeAutospacing="0" w:after="0" w:afterAutospacing="0" w:line="550" w:lineRule="exact"/>
        <w:ind w:left="0" w:right="0" w:firstLine="960" w:firstLineChars="3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3.绩效自评信息公开。我单位均按县财政局相关规定和要求将部门预算、决算及绩效评价等信息，按时在盐边县公众信息网“财政信息”栏中进行公开2.信息公开情况</w:t>
      </w:r>
    </w:p>
    <w:p w14:paraId="74341002">
      <w:pPr>
        <w:keepNext w:val="0"/>
        <w:keepLines w:val="0"/>
        <w:widowControl w:val="0"/>
        <w:suppressLineNumbers w:val="0"/>
        <w:spacing w:before="0" w:beforeAutospacing="0" w:after="0" w:afterAutospacing="0" w:line="550" w:lineRule="exact"/>
        <w:ind w:left="0" w:right="0" w:firstLine="960" w:firstLineChars="3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4.整改反馈情况，问题整改：针对“资金拨付与使用衔接不畅”，已与上级部门协调2025年资金提前下达，并建立项目资金台账，动态跟踪使用进度。</w:t>
      </w:r>
    </w:p>
    <w:p w14:paraId="4947FF7D">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反馈机制：通过满意度调查（如居民满意度≥90%）收集服务对象意见，提升服务可及性。</w:t>
      </w:r>
    </w:p>
    <w:p w14:paraId="4DA4B8ED">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四、评价结论及建议</w:t>
      </w:r>
    </w:p>
    <w:p w14:paraId="232F8019">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方正黑体_GBK" w:cs="Times New Roman"/>
          <w:kern w:val="2"/>
          <w:sz w:val="32"/>
          <w:szCs w:val="32"/>
        </w:rPr>
      </w:pPr>
      <w:r>
        <w:rPr>
          <w:rFonts w:hint="default" w:ascii="方正黑体_GBK" w:hAnsi="方正黑体_GBK" w:eastAsia="方正黑体_GBK" w:cs="方正黑体_GBK"/>
          <w:kern w:val="2"/>
          <w:sz w:val="32"/>
          <w:szCs w:val="32"/>
          <w:lang w:val="en-US" w:eastAsia="zh-CN" w:bidi="ar"/>
        </w:rPr>
        <w:t>（一）评价结论</w:t>
      </w:r>
    </w:p>
    <w:p w14:paraId="44ACFDE1">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（一）评价结论。</w:t>
      </w:r>
    </w:p>
    <w:p w14:paraId="2BBB5BA8">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 xml:space="preserve"> 2024年部门整体支出绩效评价，本单位依据《盐边县财政局关于开展2024年度预算绩效自评工作的通知》，围绕预算编制、预算执行、支出绩效等方面，对本部门2024年部门支出进行了客观评价。</w:t>
      </w:r>
    </w:p>
    <w:p w14:paraId="3AB2A26B">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 xml:space="preserve"> 2024年度，本单位在预算执行过程中，在同级财政的监督下，严格按规范申报用款计划、按资金用途使用资金、按进度实现支出，在资金支付、会计核算、账务处理过程中，严格执行收支两条线标准，遵守《盐边县退役军人事务局内部控制制度》《中华人民共和国预算法》等财务管理法规（制度），依法依规进行信息公开，规范各类会计行为，确保无违规使用资金的情况发生，有效促进会计工作的管理效率，并据此确保会计核算的真实性。</w:t>
      </w:r>
    </w:p>
    <w:p w14:paraId="4FE2AC89">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综上所述，依据得分情况，本单位2024年部门支出绩效评价等级为"良好"。</w:t>
      </w:r>
    </w:p>
    <w:p w14:paraId="1B8F7C57">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在资金的支出执行上严格按照预算执行，坚持“反对浪费、节约开支”的原则，专款专用，不拖欠、不挪用。人员经费、日常公用是按要求和规定给予支付，保障机关正常运转。加强“三公”经费管理，严格把支出控制在年初的预算指标内，严格按照中央八项规定、省、市“十项规定”和财务相关规定执行财政资金的管理和使用。</w:t>
      </w:r>
    </w:p>
    <w:p w14:paraId="3CD9FDA3">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2024年全年基本支出保证了部门的正常运行和日常工作的正常开展，项目支出保障了部门重点工作的实施，达到了预期绩效管理目标，自评结果良好。</w:t>
      </w:r>
    </w:p>
    <w:p w14:paraId="1AB6F162">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（二）存在问题</w:t>
      </w:r>
    </w:p>
    <w:p w14:paraId="3A3D2971">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预算编制前根据年度内单位可预见的工作任务，确定了单位年度预算目标，细化了预算指标，但是在实际支付过程中，个别时候未严格按照预算指标执行。因医院的工作在实际开展过程中，存在一些无法预见的支出，故无法严格按照年初预算执行。</w:t>
      </w:r>
    </w:p>
    <w:p w14:paraId="692DE3E5">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（三）改进建议</w:t>
      </w:r>
    </w:p>
    <w:p w14:paraId="0DBE1262">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1.学习如何科学合理制定绩效目标及考核体系，充分发挥绩效工作效用。</w:t>
      </w:r>
    </w:p>
    <w:p w14:paraId="2926BDD3">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2.对于能细分、归总的业务工作，效仿专项支出进行管理，以便更好地进行绩效评价，发现不足，提出改进。</w:t>
      </w:r>
    </w:p>
    <w:p w14:paraId="7CEB067C">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3.进一步完善历史发生数据的统计，将其进行分析，为预算提供更为准确的数据资料。</w:t>
      </w:r>
    </w:p>
    <w:p w14:paraId="72739AE2">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 xml:space="preserve">4.科学合理编制预算，严格执行预算。进一步提高预算编制到位率，做准做全基本支出预算，做全项目支出预算，加强预算支出的审核、跟踪及预算执行情况分析，提高预算编制的严谨性和可控性。 </w:t>
      </w:r>
    </w:p>
    <w:p w14:paraId="67868CFA">
      <w:pPr>
        <w:keepNext w:val="0"/>
        <w:keepLines w:val="0"/>
        <w:widowControl w:val="0"/>
        <w:suppressLineNumbers w:val="0"/>
        <w:spacing w:before="0" w:beforeAutospacing="0" w:after="0" w:afterAutospacing="0" w:line="55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5.进一步加强项目资金管理。严格实行项目管理程序化，实现项目申报、实施、拨付、评价全流程监督与控制，规范专项资金管理，提高专项资金的使用效益。</w:t>
      </w:r>
    </w:p>
    <w:p w14:paraId="647BBD2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p w14:paraId="49D1BA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36619E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bookmarkStart w:id="53" w:name="_Toc15396618"/>
    </w:p>
    <w:p w14:paraId="257196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1D5DC4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530810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428923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1CDD35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650FDB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0CB27C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76043B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6B1F68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2E0305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2B4CC6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6E3DD3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216220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54D5D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68B503E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14:paraId="43AB6E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附件2</w:t>
      </w:r>
    </w:p>
    <w:p w14:paraId="48B5FC6B">
      <w:pPr>
        <w:pStyle w:val="35"/>
        <w:widowControl/>
        <w:spacing w:line="560" w:lineRule="exact"/>
        <w:jc w:val="center"/>
        <w:rPr>
          <w:rFonts w:hint="default" w:ascii="方正小标宋简体" w:hAnsi="宋体" w:eastAsia="方正小标宋简体" w:cs="Times New Roman"/>
          <w:color w:val="000000"/>
          <w:kern w:val="0"/>
          <w:sz w:val="44"/>
          <w:szCs w:val="44"/>
        </w:rPr>
      </w:pPr>
      <w:r>
        <w:rPr>
          <w:rFonts w:hint="default" w:ascii="方正小标宋简体" w:hAnsi="方正小标宋简体" w:eastAsia="方正小标宋简体" w:cs="方正小标宋简体"/>
          <w:color w:val="000000"/>
          <w:kern w:val="0"/>
          <w:sz w:val="44"/>
          <w:szCs w:val="44"/>
        </w:rPr>
        <w:t>优抚对象医疗补助绩效自评报告</w:t>
      </w:r>
    </w:p>
    <w:p w14:paraId="03C27A9A">
      <w:pPr>
        <w:pStyle w:val="35"/>
        <w:widowControl/>
        <w:spacing w:line="560" w:lineRule="exact"/>
        <w:ind w:left="0" w:firstLine="640"/>
        <w:jc w:val="center"/>
        <w:rPr>
          <w:rFonts w:hint="eastAsia" w:ascii="宋体" w:hAnsi="宋体" w:eastAsia="宋体" w:cs="Times New Roman"/>
          <w:kern w:val="2"/>
          <w:sz w:val="32"/>
          <w:szCs w:val="32"/>
        </w:rPr>
      </w:pPr>
      <w:r>
        <w:rPr>
          <w:rFonts w:hint="eastAsia" w:ascii="宋体" w:hAnsi="宋体" w:eastAsia="宋体" w:cs="Times New Roman"/>
          <w:kern w:val="2"/>
          <w:sz w:val="32"/>
          <w:szCs w:val="32"/>
        </w:rPr>
        <w:t xml:space="preserve"> </w:t>
      </w:r>
    </w:p>
    <w:p w14:paraId="225A4518">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04796864">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本项目的主要内容是：为盐边县部分优抚对象每年按季度收取医疗发票，经审核计算后按政策标准发放医疗补助费用。</w:t>
      </w:r>
      <w:r>
        <w:rPr>
          <w:rFonts w:hint="default" w:ascii="Times New Roman" w:hAnsi="Times New Roman" w:eastAsia="仿宋_GB2312" w:cs="Times New Roman"/>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年全县平均</w:t>
      </w:r>
      <w:r>
        <w:rPr>
          <w:rFonts w:hint="default" w:ascii="Times New Roman" w:hAnsi="Times New Roman" w:eastAsia="仿宋_GB2312" w:cs="Times New Roman"/>
          <w:kern w:val="2"/>
          <w:sz w:val="32"/>
          <w:szCs w:val="32"/>
          <w:lang w:val="en-US" w:eastAsia="zh-CN" w:bidi="ar"/>
        </w:rPr>
        <w:t>480</w:t>
      </w:r>
      <w:r>
        <w:rPr>
          <w:rFonts w:hint="default" w:ascii="仿宋_GB2312" w:hAnsi="Times New Roman" w:eastAsia="仿宋_GB2312" w:cs="仿宋_GB2312"/>
          <w:kern w:val="2"/>
          <w:sz w:val="32"/>
          <w:szCs w:val="32"/>
          <w:lang w:val="en-US" w:eastAsia="zh-CN" w:bidi="ar"/>
        </w:rPr>
        <w:t>名优抚对象享受抚恤和生活补助，全年共发放抚恤和生活补助</w:t>
      </w:r>
      <w:r>
        <w:rPr>
          <w:rFonts w:hint="default" w:ascii="Times New Roman" w:hAnsi="Times New Roman" w:eastAsia="仿宋_GB2312" w:cs="Times New Roman"/>
          <w:kern w:val="2"/>
          <w:sz w:val="32"/>
          <w:szCs w:val="32"/>
          <w:lang w:val="en-US" w:eastAsia="zh-CN" w:bidi="ar"/>
        </w:rPr>
        <w:t>46.53</w:t>
      </w:r>
      <w:r>
        <w:rPr>
          <w:rFonts w:hint="default" w:ascii="仿宋_GB2312" w:hAnsi="Times New Roman" w:eastAsia="仿宋_GB2312" w:cs="仿宋_GB2312"/>
          <w:kern w:val="2"/>
          <w:sz w:val="32"/>
          <w:szCs w:val="32"/>
          <w:lang w:val="en-US" w:eastAsia="zh-CN" w:bidi="ar"/>
        </w:rPr>
        <w:t>万元。</w:t>
      </w:r>
    </w:p>
    <w:p w14:paraId="28CB7299">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（一）项目资金申报及批复情况。</w:t>
      </w:r>
      <w:r>
        <w:rPr>
          <w:rFonts w:hint="default" w:ascii="仿宋_GB2312" w:hAnsi="宋体" w:eastAsia="仿宋_GB2312" w:cs="仿宋_GB2312"/>
          <w:kern w:val="2"/>
          <w:sz w:val="32"/>
          <w:szCs w:val="32"/>
          <w:lang w:val="en-US" w:eastAsia="zh-CN" w:bidi="ar"/>
        </w:rPr>
        <w:t>根据年初预算按要求申报，严格按照资金用途使用。</w:t>
      </w:r>
    </w:p>
    <w:p w14:paraId="6FFEEC89">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仿宋_GB2312" w:cs="Times New Roman"/>
          <w:kern w:val="2"/>
          <w:sz w:val="32"/>
          <w:szCs w:val="32"/>
        </w:rPr>
      </w:pPr>
      <w:r>
        <w:rPr>
          <w:rFonts w:hint="eastAsia" w:ascii="楷体" w:hAnsi="楷体" w:eastAsia="楷体" w:cs="楷体"/>
          <w:kern w:val="2"/>
          <w:sz w:val="32"/>
          <w:szCs w:val="32"/>
          <w:lang w:val="en-US" w:eastAsia="zh-CN" w:bidi="ar"/>
        </w:rPr>
        <w:t>（二）项目绩效目标。</w:t>
      </w:r>
      <w:r>
        <w:rPr>
          <w:rFonts w:hint="default" w:ascii="仿宋_GB2312" w:hAnsi="Times New Roman" w:eastAsia="仿宋_GB2312" w:cs="仿宋_GB2312"/>
          <w:kern w:val="2"/>
          <w:sz w:val="32"/>
          <w:szCs w:val="32"/>
          <w:lang w:val="en-US" w:eastAsia="zh-CN" w:bidi="ar"/>
        </w:rPr>
        <w:t>根据《四川省优抚对象医疗保障办法</w:t>
      </w:r>
      <w:r>
        <w:rPr>
          <w:rFonts w:hint="eastAsia" w:ascii="仿宋_GB2312"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攀枝花市优抚对象医疗保障办法》和《盐边县优抚对象医疗保障办法》保障优抚对象病有所医。</w:t>
      </w:r>
    </w:p>
    <w:p w14:paraId="6593D199">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（三）项目资金申报相符性。</w:t>
      </w:r>
      <w:r>
        <w:rPr>
          <w:rFonts w:hint="default" w:ascii="仿宋_GB2312" w:hAnsi="仿宋" w:eastAsia="仿宋_GB2312" w:cs="仿宋_GB2312"/>
          <w:kern w:val="2"/>
          <w:sz w:val="32"/>
          <w:szCs w:val="32"/>
          <w:lang w:val="en-US" w:eastAsia="zh-CN" w:bidi="ar"/>
        </w:rPr>
        <w:t>为盐边县部分优抚对象每年按季度收取医疗发票，经审核计算后按政策标准发放医疗补助费用。</w:t>
      </w:r>
      <w:r>
        <w:rPr>
          <w:rFonts w:hint="default" w:ascii="仿宋_GB2312" w:hAnsi="Times New Roman" w:eastAsia="仿宋_GB2312" w:cs="仿宋_GB2312"/>
          <w:kern w:val="2"/>
          <w:sz w:val="32"/>
          <w:szCs w:val="32"/>
          <w:lang w:val="en-US" w:eastAsia="zh-CN" w:bidi="ar"/>
        </w:rPr>
        <w:t>，计划资金</w:t>
      </w:r>
      <w:r>
        <w:rPr>
          <w:rFonts w:hint="default" w:ascii="Times New Roman" w:hAnsi="Times New Roman" w:eastAsia="仿宋_GB2312" w:cs="Times New Roman"/>
          <w:kern w:val="2"/>
          <w:sz w:val="32"/>
          <w:szCs w:val="32"/>
          <w:lang w:val="en-US" w:eastAsia="zh-CN" w:bidi="ar"/>
        </w:rPr>
        <w:t>46.53</w:t>
      </w:r>
      <w:r>
        <w:rPr>
          <w:rFonts w:hint="default" w:ascii="仿宋_GB2312" w:hAnsi="Times New Roman" w:eastAsia="仿宋_GB2312" w:cs="仿宋_GB2312"/>
          <w:kern w:val="2"/>
          <w:sz w:val="32"/>
          <w:szCs w:val="32"/>
          <w:lang w:val="en-US" w:eastAsia="zh-CN" w:bidi="ar"/>
        </w:rPr>
        <w:t>万元，完成资金</w:t>
      </w:r>
      <w:r>
        <w:rPr>
          <w:rFonts w:hint="default" w:ascii="Times New Roman" w:hAnsi="Times New Roman" w:eastAsia="仿宋_GB2312" w:cs="Times New Roman"/>
          <w:kern w:val="2"/>
          <w:sz w:val="32"/>
          <w:szCs w:val="32"/>
          <w:lang w:val="en-US" w:eastAsia="zh-CN" w:bidi="ar"/>
        </w:rPr>
        <w:t>46.53</w:t>
      </w:r>
      <w:r>
        <w:rPr>
          <w:rFonts w:hint="default" w:ascii="仿宋_GB2312" w:hAnsi="Times New Roman" w:eastAsia="仿宋_GB2312" w:cs="仿宋_GB2312"/>
          <w:kern w:val="2"/>
          <w:sz w:val="32"/>
          <w:szCs w:val="32"/>
          <w:lang w:val="en-US" w:eastAsia="zh-CN" w:bidi="ar"/>
        </w:rPr>
        <w:t>万元，执行率</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w:t>
      </w:r>
      <w:r>
        <w:rPr>
          <w:rFonts w:hint="default" w:ascii="仿宋_GB2312" w:hAnsi="宋体" w:eastAsia="仿宋_GB2312" w:cs="仿宋_GB2312"/>
          <w:kern w:val="2"/>
          <w:sz w:val="32"/>
          <w:szCs w:val="32"/>
          <w:lang w:val="en-US" w:eastAsia="zh-CN" w:bidi="ar"/>
        </w:rPr>
        <w:t>实施内容相符、申报目标合理。</w:t>
      </w:r>
    </w:p>
    <w:p w14:paraId="22FF92C5">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二、项目实施及管理情况</w:t>
      </w:r>
    </w:p>
    <w:p w14:paraId="4A57BA75">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Times New Roman"/>
          <w:kern w:val="2"/>
          <w:sz w:val="32"/>
          <w:szCs w:val="32"/>
          <w:lang w:val="en-US" w:eastAsia="zh-CN" w:bidi="ar"/>
        </w:rPr>
        <w:tab/>
      </w:r>
      <w:r>
        <w:rPr>
          <w:rFonts w:hint="eastAsia" w:ascii="楷体" w:hAnsi="楷体" w:eastAsia="楷体" w:cs="楷体"/>
          <w:kern w:val="2"/>
          <w:sz w:val="32"/>
          <w:szCs w:val="32"/>
          <w:lang w:val="en-US" w:eastAsia="zh-CN" w:bidi="ar"/>
        </w:rPr>
        <w:t>（一）资金计划、到位及使用情况。</w:t>
      </w:r>
    </w:p>
    <w:p w14:paraId="1FFB82DB">
      <w:pPr>
        <w:keepNext w:val="0"/>
        <w:keepLines w:val="0"/>
        <w:widowControl w:val="0"/>
        <w:suppressLineNumbers w:val="0"/>
        <w:spacing w:before="0" w:beforeAutospacing="0" w:after="0" w:afterAutospacing="0" w:line="600" w:lineRule="exact"/>
        <w:ind w:left="0" w:right="0" w:firstLine="800" w:firstLineChars="25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2024年实际发放优抚对象抚恤补助资金</w:t>
      </w:r>
      <w:r>
        <w:rPr>
          <w:rFonts w:hint="default" w:ascii="Times New Roman" w:hAnsi="Times New Roman" w:eastAsia="仿宋_GB2312" w:cs="Times New Roman"/>
          <w:kern w:val="2"/>
          <w:sz w:val="32"/>
          <w:szCs w:val="32"/>
          <w:lang w:val="en-US" w:eastAsia="zh-CN" w:bidi="ar"/>
        </w:rPr>
        <w:t>46.53</w:t>
      </w:r>
      <w:r>
        <w:rPr>
          <w:rFonts w:hint="default" w:ascii="仿宋_GB2312" w:hAnsi="Times New Roman" w:eastAsia="仿宋_GB2312" w:cs="仿宋_GB2312"/>
          <w:kern w:val="2"/>
          <w:sz w:val="32"/>
          <w:szCs w:val="32"/>
          <w:lang w:val="en-US" w:eastAsia="zh-CN" w:bidi="ar"/>
        </w:rPr>
        <w:t>万元，执行进度</w:t>
      </w:r>
      <w:r>
        <w:rPr>
          <w:rFonts w:hint="default" w:ascii="仿宋_GB2312"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%，其中：中央</w:t>
      </w:r>
      <w:r>
        <w:rPr>
          <w:rFonts w:hint="default" w:ascii="仿宋_GB2312" w:hAnsi="Times New Roman" w:eastAsia="仿宋_GB2312" w:cs="Times New Roman"/>
          <w:kern w:val="2"/>
          <w:sz w:val="32"/>
          <w:szCs w:val="32"/>
          <w:lang w:val="en-US" w:eastAsia="zh-CN" w:bidi="ar"/>
        </w:rPr>
        <w:t>32.73</w:t>
      </w:r>
      <w:r>
        <w:rPr>
          <w:rFonts w:hint="default" w:ascii="仿宋_GB2312" w:hAnsi="Times New Roman" w:eastAsia="仿宋_GB2312" w:cs="仿宋_GB2312"/>
          <w:kern w:val="2"/>
          <w:sz w:val="32"/>
          <w:szCs w:val="32"/>
          <w:lang w:val="en-US" w:eastAsia="zh-CN" w:bidi="ar"/>
        </w:rPr>
        <w:t>万元，执行进度</w:t>
      </w:r>
      <w:r>
        <w:rPr>
          <w:rFonts w:hint="default" w:ascii="仿宋_GB2312" w:hAnsi="Times New Roman" w:eastAsia="仿宋_GB2312" w:cs="Times New Roman"/>
          <w:kern w:val="2"/>
          <w:sz w:val="32"/>
          <w:szCs w:val="32"/>
          <w:lang w:val="en-US" w:eastAsia="zh-CN" w:bidi="ar"/>
        </w:rPr>
        <w:t>10.08</w:t>
      </w:r>
      <w:r>
        <w:rPr>
          <w:rFonts w:hint="default" w:ascii="仿宋_GB2312" w:hAnsi="Times New Roman" w:eastAsia="仿宋_GB2312" w:cs="仿宋_GB2312"/>
          <w:kern w:val="2"/>
          <w:sz w:val="32"/>
          <w:szCs w:val="32"/>
          <w:lang w:val="en-US" w:eastAsia="zh-CN" w:bidi="ar"/>
        </w:rPr>
        <w:t>万元，执行进度100%</w:t>
      </w:r>
      <w:r>
        <w:rPr>
          <w:rFonts w:hint="default" w:ascii="仿宋_GB2312" w:hAnsi="宋体" w:eastAsia="仿宋_GB2312" w:cs="仿宋_GB2312"/>
          <w:kern w:val="2"/>
          <w:sz w:val="32"/>
          <w:szCs w:val="32"/>
          <w:lang w:val="en-US" w:eastAsia="zh-CN" w:bidi="ar"/>
        </w:rPr>
        <w:t>，支付依据合规合法，资金支付与预算相符。</w:t>
      </w:r>
    </w:p>
    <w:p w14:paraId="3DF9F23A">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（二）项目财务管理情况。</w:t>
      </w:r>
    </w:p>
    <w:p w14:paraId="3D90541C">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总体评价项目实施单位财务管理制度健全，严格执行财务管理制度，账务处理及时，会计核算规范。</w:t>
      </w:r>
    </w:p>
    <w:p w14:paraId="3717A22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（三）项目组织实施情况。</w:t>
      </w:r>
    </w:p>
    <w:p w14:paraId="33286AB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1. </w:t>
      </w:r>
      <w:r>
        <w:rPr>
          <w:rFonts w:hint="default" w:ascii="仿宋_GB2312" w:hAnsi="Times New Roman" w:eastAsia="仿宋_GB2312" w:cs="仿宋_GB2312"/>
          <w:kern w:val="2"/>
          <w:sz w:val="32"/>
          <w:szCs w:val="32"/>
          <w:lang w:val="en-US" w:eastAsia="zh-CN" w:bidi="ar"/>
        </w:rPr>
        <w:t>符合申领该项补助的人群由业务股室审核，由分管领导和主要领导审查，报局党组会审议通过后，交财务室通过惠民惠农一卡通发放</w:t>
      </w:r>
      <w:r>
        <w:rPr>
          <w:rFonts w:hint="default" w:ascii="Times New Roman" w:hAnsi="Times New Roman" w:eastAsia="仿宋_GB2312" w:cs="Times New Roman"/>
          <w:kern w:val="2"/>
          <w:sz w:val="32"/>
          <w:szCs w:val="32"/>
          <w:lang w:val="en-US" w:eastAsia="zh-CN" w:bidi="ar"/>
        </w:rPr>
        <w:t>;</w:t>
      </w:r>
    </w:p>
    <w:p w14:paraId="69F11072">
      <w:pPr>
        <w:keepNext w:val="0"/>
        <w:keepLines w:val="0"/>
        <w:widowControl w:val="0"/>
        <w:suppressLineNumbers w:val="0"/>
        <w:spacing w:before="0" w:beforeAutospacing="0" w:after="0" w:afterAutospacing="0"/>
        <w:ind w:left="0" w:right="0" w:firstLine="640" w:firstLineChars="200"/>
        <w:jc w:val="both"/>
        <w:rPr>
          <w:rFonts w:hint="default" w:ascii="仿宋_GB2312" w:hAnsi="仿宋"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本部门加强项目管理所采取的定期或不定期的方法对发放情况和优抚对象的身份进行确认。</w:t>
      </w:r>
      <w:r>
        <w:rPr>
          <w:rFonts w:hint="default" w:ascii="仿宋_GB2312" w:hAnsi="仿宋" w:eastAsia="仿宋_GB2312" w:cs="仿宋_GB2312"/>
          <w:kern w:val="2"/>
          <w:sz w:val="32"/>
          <w:szCs w:val="32"/>
          <w:lang w:val="en-US" w:eastAsia="zh-CN" w:bidi="ar"/>
        </w:rPr>
        <w:t>为盐边县部分优抚对象每年按季度收取医疗发票，经审核计算后按政策标准发放医疗补助费用。</w:t>
      </w:r>
    </w:p>
    <w:p w14:paraId="388E634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三、项目绩效情况</w:t>
      </w:r>
      <w:r>
        <w:rPr>
          <w:rFonts w:hint="default" w:ascii="仿宋_GB2312" w:hAnsi="宋体" w:eastAsia="仿宋_GB2312" w:cs="Times New Roman"/>
          <w:kern w:val="2"/>
          <w:sz w:val="32"/>
          <w:szCs w:val="32"/>
          <w:lang w:val="en-US" w:eastAsia="zh-CN" w:bidi="ar"/>
        </w:rPr>
        <w:tab/>
      </w:r>
    </w:p>
    <w:p w14:paraId="3C350481">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（一）项目完成情况。</w:t>
      </w:r>
    </w:p>
    <w:p w14:paraId="74566C2F">
      <w:pPr>
        <w:keepNext w:val="0"/>
        <w:keepLines w:val="0"/>
        <w:widowControl w:val="0"/>
        <w:suppressLineNumbers w:val="0"/>
        <w:spacing w:before="0" w:beforeAutospacing="0" w:after="0" w:afterAutospacing="0"/>
        <w:ind w:left="0" w:right="0" w:firstLine="640" w:firstLineChars="200"/>
        <w:jc w:val="both"/>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lang w:val="en-US" w:eastAsia="zh-CN" w:bidi="ar"/>
        </w:rPr>
        <w:t>优抚对象每年按季度收取医疗发票，经审核计算后按政策标准发放医疗补助费用。</w:t>
      </w:r>
      <w:r>
        <w:rPr>
          <w:rFonts w:hint="default" w:ascii="仿宋_GB2312" w:hAnsi="Times New Roman" w:eastAsia="仿宋_GB2312" w:cs="仿宋_GB2312"/>
          <w:kern w:val="2"/>
          <w:sz w:val="32"/>
          <w:szCs w:val="32"/>
          <w:lang w:val="en-US" w:eastAsia="zh-CN" w:bidi="ar"/>
        </w:rPr>
        <w:t>，完成资金</w:t>
      </w:r>
      <w:r>
        <w:rPr>
          <w:rFonts w:hint="default" w:ascii="Times New Roman" w:hAnsi="Times New Roman" w:eastAsia="仿宋_GB2312" w:cs="Times New Roman"/>
          <w:kern w:val="2"/>
          <w:sz w:val="32"/>
          <w:szCs w:val="32"/>
          <w:lang w:val="en-US" w:eastAsia="zh-CN" w:bidi="ar"/>
        </w:rPr>
        <w:t>46.53</w:t>
      </w:r>
      <w:r>
        <w:rPr>
          <w:rFonts w:hint="default" w:ascii="仿宋_GB2312" w:hAnsi="Times New Roman" w:eastAsia="仿宋_GB2312" w:cs="仿宋_GB2312"/>
          <w:kern w:val="2"/>
          <w:sz w:val="32"/>
          <w:szCs w:val="32"/>
          <w:lang w:val="en-US" w:eastAsia="zh-CN" w:bidi="ar"/>
        </w:rPr>
        <w:t>万元，</w:t>
      </w:r>
      <w:r>
        <w:rPr>
          <w:rFonts w:hint="default" w:ascii="仿宋_GB2312" w:hAnsi="宋体" w:eastAsia="仿宋_GB2312" w:cs="仿宋_GB2312"/>
          <w:kern w:val="2"/>
          <w:sz w:val="32"/>
          <w:szCs w:val="32"/>
          <w:lang w:val="en-US" w:eastAsia="zh-CN" w:bidi="ar"/>
        </w:rPr>
        <w:t>无违规记录。</w:t>
      </w:r>
    </w:p>
    <w:p w14:paraId="16D78FBD">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楷体_GB2312" w:hAnsi="宋体" w:eastAsia="楷体_GB2312" w:cs="Times New Roman"/>
          <w:b/>
          <w:bCs w:val="0"/>
          <w:kern w:val="2"/>
          <w:sz w:val="32"/>
          <w:szCs w:val="32"/>
        </w:rPr>
      </w:pPr>
      <w:r>
        <w:rPr>
          <w:rFonts w:hint="eastAsia" w:ascii="楷体" w:hAnsi="楷体" w:eastAsia="楷体" w:cs="楷体"/>
          <w:kern w:val="2"/>
          <w:sz w:val="32"/>
          <w:szCs w:val="32"/>
          <w:lang w:val="en-US" w:eastAsia="zh-CN" w:bidi="ar"/>
        </w:rPr>
        <w:t>（二）项目效益情况。</w:t>
      </w:r>
      <w:r>
        <w:rPr>
          <w:rFonts w:hint="default" w:ascii="仿宋_GB2312" w:hAnsi="宋体" w:eastAsia="仿宋_GB2312" w:cs="仿宋_GB2312"/>
          <w:kern w:val="2"/>
          <w:sz w:val="32"/>
          <w:szCs w:val="32"/>
          <w:lang w:val="en-US" w:eastAsia="zh-CN" w:bidi="ar"/>
        </w:rPr>
        <w:t>该项目促进了双拥，让优抚对象及时感受到党和国家的关心关爱，服务对象满意度95%。</w:t>
      </w:r>
    </w:p>
    <w:p w14:paraId="6A0F037B">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四、问题及建议</w:t>
      </w:r>
    </w:p>
    <w:p w14:paraId="5F996B3E">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（一）存在的问题。</w:t>
      </w:r>
    </w:p>
    <w:p w14:paraId="423E6CCD">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default" w:ascii="仿宋_GB2312" w:hAnsi="宋体" w:eastAsia="仿宋_GB2312" w:cs="仿宋_GB2312"/>
          <w:kern w:val="2"/>
          <w:sz w:val="32"/>
          <w:szCs w:val="32"/>
          <w:lang w:val="en-US" w:eastAsia="zh-CN" w:bidi="ar"/>
        </w:rPr>
        <w:t>发放银行卡更新不及时，优抚对象换卡后优抚资金发放后才发放单位才知晓。</w:t>
      </w:r>
    </w:p>
    <w:p w14:paraId="765E385A">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（二）相关建议。</w:t>
      </w:r>
    </w:p>
    <w:p w14:paraId="2B8FA24D">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 xml:space="preserve">    </w:t>
      </w:r>
      <w:r>
        <w:rPr>
          <w:rFonts w:hint="default" w:ascii="仿宋_GB2312" w:hAnsi="宋体" w:eastAsia="仿宋_GB2312" w:cs="仿宋_GB2312"/>
          <w:kern w:val="2"/>
          <w:sz w:val="32"/>
          <w:szCs w:val="32"/>
          <w:lang w:val="en-US" w:eastAsia="zh-CN" w:bidi="ar"/>
        </w:rPr>
        <w:t>加强业务科室和相关优抚对象的联系，对“惠民惠农一卡通银行卡实行有效管理。</w:t>
      </w:r>
    </w:p>
    <w:p w14:paraId="1BD8A997">
      <w:pPr>
        <w:pStyle w:val="13"/>
        <w:keepNext w:val="0"/>
        <w:keepLines w:val="0"/>
        <w:widowControl w:val="0"/>
        <w:suppressLineNumbers w:val="0"/>
        <w:spacing w:before="0" w:beforeAutospacing="0" w:after="0" w:afterAutospacing="0" w:line="560" w:lineRule="exact"/>
        <w:ind w:left="0" w:right="0"/>
        <w:jc w:val="center"/>
        <w:rPr>
          <w:rFonts w:hint="default" w:ascii="方正小标宋简体" w:hAnsi="宋体" w:eastAsia="方正小标宋简体" w:cs="Times New Roman"/>
          <w:color w:val="000000"/>
          <w:kern w:val="0"/>
          <w:sz w:val="44"/>
          <w:szCs w:val="44"/>
        </w:rPr>
      </w:pPr>
      <w:r>
        <w:rPr>
          <w:rFonts w:hint="default" w:ascii="方正小标宋简体" w:hAnsi="方正小标宋简体" w:eastAsia="方正小标宋简体" w:cs="方正小标宋简体"/>
          <w:color w:val="000000"/>
          <w:kern w:val="0"/>
          <w:sz w:val="44"/>
          <w:szCs w:val="44"/>
          <w:lang w:val="en-US" w:eastAsia="zh-CN" w:bidi="ar"/>
        </w:rPr>
        <w:t>优抚对象抚恤补助绩效自评报告</w:t>
      </w:r>
    </w:p>
    <w:p w14:paraId="72657F43">
      <w:pPr>
        <w:pStyle w:val="13"/>
        <w:keepNext w:val="0"/>
        <w:keepLines w:val="0"/>
        <w:widowControl w:val="0"/>
        <w:suppressLineNumbers w:val="0"/>
        <w:spacing w:before="0" w:beforeAutospacing="0" w:after="0" w:afterAutospacing="0" w:line="560" w:lineRule="exact"/>
        <w:ind w:left="0" w:right="0" w:firstLine="640"/>
        <w:jc w:val="center"/>
        <w:rPr>
          <w:rFonts w:hint="eastAsia" w:ascii="宋体" w:hAnsi="宋体" w:eastAsia="宋体" w:cs="Times New Roman"/>
          <w:kern w:val="2"/>
          <w:sz w:val="32"/>
          <w:szCs w:val="32"/>
        </w:rPr>
      </w:pPr>
      <w:r>
        <w:rPr>
          <w:rFonts w:hint="eastAsia" w:ascii="宋体" w:hAnsi="宋体" w:eastAsia="宋体" w:cs="Times New Roman"/>
          <w:color w:val="000000"/>
          <w:kern w:val="2"/>
          <w:sz w:val="32"/>
          <w:szCs w:val="32"/>
          <w:lang w:val="en-US" w:eastAsia="zh-CN" w:bidi="ar"/>
        </w:rPr>
        <w:t xml:space="preserve"> </w:t>
      </w:r>
    </w:p>
    <w:p w14:paraId="64227584">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20C5E7BB">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优抚对象抚恤和生活补助</w:t>
      </w:r>
      <w:r>
        <w:rPr>
          <w:rFonts w:hint="default" w:ascii="Times New Roman" w:hAnsi="Times New Roman" w:eastAsia="仿宋_GB2312" w:cs="Times New Roman"/>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年全县平均</w:t>
      </w:r>
      <w:r>
        <w:rPr>
          <w:rFonts w:hint="default" w:ascii="Times New Roman" w:hAnsi="Times New Roman" w:eastAsia="仿宋_GB2312" w:cs="Times New Roman"/>
          <w:kern w:val="2"/>
          <w:sz w:val="32"/>
          <w:szCs w:val="32"/>
          <w:lang w:val="en-US" w:eastAsia="zh-CN" w:bidi="ar"/>
        </w:rPr>
        <w:t>480</w:t>
      </w:r>
      <w:r>
        <w:rPr>
          <w:rFonts w:hint="default" w:ascii="仿宋_GB2312" w:hAnsi="Times New Roman" w:eastAsia="仿宋_GB2312" w:cs="仿宋_GB2312"/>
          <w:kern w:val="2"/>
          <w:sz w:val="32"/>
          <w:szCs w:val="32"/>
          <w:lang w:val="en-US" w:eastAsia="zh-CN" w:bidi="ar"/>
        </w:rPr>
        <w:t>名优抚对象享受抚恤和生活补助，义务优待兵家庭大于等于</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户，全年共发放抚恤和生活补助</w:t>
      </w:r>
      <w:r>
        <w:rPr>
          <w:rFonts w:hint="default" w:ascii="Times New Roman" w:hAnsi="Times New Roman" w:eastAsia="仿宋_GB2312" w:cs="Times New Roman"/>
          <w:kern w:val="2"/>
          <w:sz w:val="32"/>
          <w:szCs w:val="32"/>
          <w:lang w:val="en-US" w:eastAsia="zh-CN" w:bidi="ar"/>
        </w:rPr>
        <w:t>1420.93</w:t>
      </w:r>
      <w:r>
        <w:rPr>
          <w:rFonts w:hint="default" w:ascii="仿宋_GB2312" w:hAnsi="Times New Roman" w:eastAsia="仿宋_GB2312" w:cs="仿宋_GB2312"/>
          <w:kern w:val="2"/>
          <w:sz w:val="32"/>
          <w:szCs w:val="32"/>
          <w:lang w:val="en-US" w:eastAsia="zh-CN" w:bidi="ar"/>
        </w:rPr>
        <w:t>万元。</w:t>
      </w:r>
    </w:p>
    <w:p w14:paraId="54568A1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（一）项目资金申报及批复情况。</w:t>
      </w:r>
      <w:r>
        <w:rPr>
          <w:rFonts w:hint="default" w:ascii="仿宋_GB2312" w:hAnsi="宋体" w:eastAsia="仿宋_GB2312" w:cs="仿宋_GB2312"/>
          <w:kern w:val="2"/>
          <w:sz w:val="32"/>
          <w:szCs w:val="32"/>
          <w:lang w:val="en-US" w:eastAsia="zh-CN" w:bidi="ar"/>
        </w:rPr>
        <w:t>根据年初预算按要求申报，严格按照资金用途使用。</w:t>
      </w:r>
    </w:p>
    <w:p w14:paraId="45CAC958">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仿宋_GB2312" w:cs="Times New Roman"/>
          <w:kern w:val="2"/>
          <w:sz w:val="32"/>
          <w:szCs w:val="32"/>
        </w:rPr>
      </w:pPr>
      <w:r>
        <w:rPr>
          <w:rFonts w:hint="eastAsia" w:ascii="楷体" w:hAnsi="楷体" w:eastAsia="楷体" w:cs="楷体"/>
          <w:kern w:val="2"/>
          <w:sz w:val="32"/>
          <w:szCs w:val="32"/>
          <w:lang w:val="en-US" w:eastAsia="zh-CN" w:bidi="ar"/>
        </w:rPr>
        <w:t>（二）项目绩效目标。</w:t>
      </w:r>
      <w:r>
        <w:rPr>
          <w:rFonts w:hint="default" w:ascii="仿宋_GB2312" w:hAnsi="Times New Roman" w:eastAsia="仿宋_GB2312" w:cs="仿宋_GB2312"/>
          <w:kern w:val="2"/>
          <w:sz w:val="32"/>
          <w:szCs w:val="32"/>
          <w:lang w:val="en-US" w:eastAsia="zh-CN" w:bidi="ar"/>
        </w:rPr>
        <w:t>按国家政策执行优抚对象生活补助，让优抚对象生活水平提高的同时，促进双拥。</w:t>
      </w:r>
    </w:p>
    <w:p w14:paraId="77A0BD71">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（三）项目资金申报相符性。</w:t>
      </w:r>
      <w:r>
        <w:rPr>
          <w:rFonts w:hint="default" w:ascii="仿宋_GB2312" w:hAnsi="宋体" w:eastAsia="仿宋_GB2312" w:cs="仿宋_GB2312"/>
          <w:kern w:val="2"/>
          <w:sz w:val="32"/>
          <w:szCs w:val="32"/>
          <w:lang w:val="en-US" w:eastAsia="zh-CN" w:bidi="ar"/>
        </w:rPr>
        <w:t>计划每月慰问优抚对象889</w:t>
      </w:r>
      <w:r>
        <w:rPr>
          <w:rFonts w:hint="default" w:ascii="仿宋_GB2312" w:hAnsi="Times New Roman" w:eastAsia="仿宋_GB2312" w:cs="仿宋_GB2312"/>
          <w:kern w:val="2"/>
          <w:sz w:val="32"/>
          <w:szCs w:val="32"/>
          <w:lang w:val="en-US" w:eastAsia="zh-CN" w:bidi="ar"/>
        </w:rPr>
        <w:t>人，义务优待兵家庭</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户，计划资金</w:t>
      </w:r>
      <w:r>
        <w:rPr>
          <w:rFonts w:hint="default" w:ascii="Times New Roman" w:hAnsi="Times New Roman" w:eastAsia="仿宋_GB2312" w:cs="Times New Roman"/>
          <w:kern w:val="2"/>
          <w:sz w:val="32"/>
          <w:szCs w:val="32"/>
          <w:lang w:val="en-US" w:eastAsia="zh-CN" w:bidi="ar"/>
        </w:rPr>
        <w:t>1420.93</w:t>
      </w:r>
      <w:r>
        <w:rPr>
          <w:rFonts w:hint="default" w:ascii="仿宋_GB2312" w:hAnsi="Times New Roman" w:eastAsia="仿宋_GB2312" w:cs="仿宋_GB2312"/>
          <w:kern w:val="2"/>
          <w:sz w:val="32"/>
          <w:szCs w:val="32"/>
          <w:lang w:val="en-US" w:eastAsia="zh-CN" w:bidi="ar"/>
        </w:rPr>
        <w:t>万元，，完成资金</w:t>
      </w:r>
      <w:r>
        <w:rPr>
          <w:rFonts w:hint="default" w:ascii="Times New Roman" w:hAnsi="Times New Roman" w:eastAsia="仿宋_GB2312" w:cs="Times New Roman"/>
          <w:kern w:val="2"/>
          <w:sz w:val="32"/>
          <w:szCs w:val="32"/>
          <w:lang w:val="en-US" w:eastAsia="zh-CN" w:bidi="ar"/>
        </w:rPr>
        <w:t>1224.38</w:t>
      </w:r>
      <w:r>
        <w:rPr>
          <w:rFonts w:hint="default" w:ascii="仿宋_GB2312" w:hAnsi="Times New Roman" w:eastAsia="仿宋_GB2312" w:cs="仿宋_GB2312"/>
          <w:kern w:val="2"/>
          <w:sz w:val="32"/>
          <w:szCs w:val="32"/>
          <w:lang w:val="en-US" w:eastAsia="zh-CN" w:bidi="ar"/>
        </w:rPr>
        <w:t>万元，执行率</w:t>
      </w:r>
      <w:r>
        <w:rPr>
          <w:rFonts w:hint="default" w:ascii="Times New Roman" w:hAnsi="Times New Roman" w:eastAsia="仿宋_GB2312" w:cs="Times New Roman"/>
          <w:kern w:val="2"/>
          <w:sz w:val="32"/>
          <w:szCs w:val="32"/>
          <w:lang w:val="en-US" w:eastAsia="zh-CN" w:bidi="ar"/>
        </w:rPr>
        <w:t>86.17%</w:t>
      </w:r>
      <w:r>
        <w:rPr>
          <w:rFonts w:hint="default" w:ascii="仿宋_GB2312" w:hAnsi="Times New Roman" w:eastAsia="仿宋_GB2312" w:cs="仿宋_GB2312"/>
          <w:kern w:val="2"/>
          <w:sz w:val="32"/>
          <w:szCs w:val="32"/>
          <w:lang w:val="en-US" w:eastAsia="zh-CN" w:bidi="ar"/>
        </w:rPr>
        <w:t>。</w:t>
      </w:r>
      <w:r>
        <w:rPr>
          <w:rFonts w:hint="default" w:ascii="仿宋_GB2312" w:hAnsi="宋体" w:eastAsia="仿宋_GB2312" w:cs="仿宋_GB2312"/>
          <w:kern w:val="2"/>
          <w:sz w:val="32"/>
          <w:szCs w:val="32"/>
          <w:lang w:val="en-US" w:eastAsia="zh-CN" w:bidi="ar"/>
        </w:rPr>
        <w:t>实施内容相符、申报目标合理。</w:t>
      </w:r>
    </w:p>
    <w:p w14:paraId="50DF3E3D">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二、项目实施及管理情况</w:t>
      </w:r>
    </w:p>
    <w:p w14:paraId="725A8571">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Times New Roman"/>
          <w:kern w:val="2"/>
          <w:sz w:val="32"/>
          <w:szCs w:val="32"/>
          <w:lang w:val="en-US" w:eastAsia="zh-CN" w:bidi="ar"/>
        </w:rPr>
        <w:tab/>
      </w:r>
      <w:r>
        <w:rPr>
          <w:rFonts w:hint="eastAsia" w:ascii="楷体" w:hAnsi="楷体" w:eastAsia="楷体" w:cs="楷体"/>
          <w:kern w:val="2"/>
          <w:sz w:val="32"/>
          <w:szCs w:val="32"/>
          <w:lang w:val="en-US" w:eastAsia="zh-CN" w:bidi="ar"/>
        </w:rPr>
        <w:t>（一）资金计划、到位及使用情况。</w:t>
      </w:r>
    </w:p>
    <w:p w14:paraId="7019EB87">
      <w:pPr>
        <w:keepNext w:val="0"/>
        <w:keepLines w:val="0"/>
        <w:widowControl w:val="0"/>
        <w:suppressLineNumbers w:val="0"/>
        <w:spacing w:before="0" w:beforeAutospacing="0" w:after="0" w:afterAutospacing="0" w:line="600" w:lineRule="exact"/>
        <w:ind w:left="0" w:right="0" w:firstLine="800" w:firstLineChars="25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2024年实际发放优抚对象抚恤补助资金</w:t>
      </w:r>
      <w:r>
        <w:rPr>
          <w:rFonts w:hint="default" w:ascii="Times New Roman" w:hAnsi="Times New Roman" w:eastAsia="仿宋_GB2312" w:cs="Times New Roman"/>
          <w:kern w:val="2"/>
          <w:sz w:val="32"/>
          <w:szCs w:val="32"/>
          <w:lang w:val="en-US" w:eastAsia="zh-CN" w:bidi="ar"/>
        </w:rPr>
        <w:t>1224.38</w:t>
      </w:r>
      <w:r>
        <w:rPr>
          <w:rFonts w:hint="default" w:ascii="仿宋_GB2312" w:hAnsi="Times New Roman" w:eastAsia="仿宋_GB2312" w:cs="仿宋_GB2312"/>
          <w:kern w:val="2"/>
          <w:sz w:val="32"/>
          <w:szCs w:val="32"/>
          <w:lang w:val="en-US" w:eastAsia="zh-CN" w:bidi="ar"/>
        </w:rPr>
        <w:t>万元，执行进度</w:t>
      </w:r>
      <w:r>
        <w:rPr>
          <w:rFonts w:hint="default" w:ascii="仿宋_GB2312" w:hAnsi="Times New Roman" w:eastAsia="仿宋_GB2312" w:cs="Times New Roman"/>
          <w:kern w:val="2"/>
          <w:sz w:val="32"/>
          <w:szCs w:val="32"/>
          <w:lang w:val="en-US" w:eastAsia="zh-CN" w:bidi="ar"/>
        </w:rPr>
        <w:t>86.17</w:t>
      </w:r>
      <w:r>
        <w:rPr>
          <w:rFonts w:hint="default" w:ascii="仿宋_GB2312" w:hAnsi="Times New Roman" w:eastAsia="仿宋_GB2312" w:cs="仿宋_GB2312"/>
          <w:kern w:val="2"/>
          <w:sz w:val="32"/>
          <w:szCs w:val="32"/>
          <w:lang w:val="en-US" w:eastAsia="zh-CN" w:bidi="ar"/>
        </w:rPr>
        <w:t>%，其中：中央</w:t>
      </w:r>
      <w:r>
        <w:rPr>
          <w:rFonts w:hint="default" w:ascii="仿宋_GB2312" w:hAnsi="Times New Roman" w:eastAsia="仿宋_GB2312" w:cs="Times New Roman"/>
          <w:kern w:val="2"/>
          <w:sz w:val="32"/>
          <w:szCs w:val="32"/>
          <w:lang w:val="en-US" w:eastAsia="zh-CN" w:bidi="ar"/>
        </w:rPr>
        <w:t>865.75</w:t>
      </w:r>
      <w:r>
        <w:rPr>
          <w:rFonts w:hint="default" w:ascii="仿宋_GB2312" w:hAnsi="Times New Roman" w:eastAsia="仿宋_GB2312" w:cs="仿宋_GB2312"/>
          <w:kern w:val="2"/>
          <w:sz w:val="32"/>
          <w:szCs w:val="32"/>
          <w:lang w:val="en-US" w:eastAsia="zh-CN" w:bidi="ar"/>
        </w:rPr>
        <w:t>万元，执行进度</w:t>
      </w:r>
      <w:r>
        <w:rPr>
          <w:rFonts w:hint="default" w:ascii="仿宋_GB2312" w:hAnsi="Times New Roman" w:eastAsia="仿宋_GB2312" w:cs="Times New Roman"/>
          <w:kern w:val="2"/>
          <w:sz w:val="32"/>
          <w:szCs w:val="32"/>
          <w:lang w:val="en-US" w:eastAsia="zh-CN" w:bidi="ar"/>
        </w:rPr>
        <w:t xml:space="preserve"> 91.18 </w:t>
      </w:r>
      <w:r>
        <w:rPr>
          <w:rFonts w:hint="default" w:ascii="仿宋_GB2312" w:hAnsi="Times New Roman" w:eastAsia="仿宋_GB2312" w:cs="仿宋_GB2312"/>
          <w:kern w:val="2"/>
          <w:sz w:val="32"/>
          <w:szCs w:val="32"/>
          <w:lang w:val="en-US" w:eastAsia="zh-CN" w:bidi="ar"/>
        </w:rPr>
        <w:t>%；省级</w:t>
      </w:r>
      <w:r>
        <w:rPr>
          <w:rFonts w:hint="default" w:ascii="仿宋_GB2312" w:hAnsi="Times New Roman" w:eastAsia="仿宋_GB2312" w:cs="Times New Roman"/>
          <w:kern w:val="2"/>
          <w:sz w:val="32"/>
          <w:szCs w:val="32"/>
          <w:lang w:val="en-US" w:eastAsia="zh-CN" w:bidi="ar"/>
        </w:rPr>
        <w:t>184.02</w:t>
      </w:r>
      <w:r>
        <w:rPr>
          <w:rFonts w:hint="default" w:ascii="仿宋_GB2312" w:hAnsi="Times New Roman" w:eastAsia="仿宋_GB2312" w:cs="仿宋_GB2312"/>
          <w:kern w:val="2"/>
          <w:sz w:val="32"/>
          <w:szCs w:val="32"/>
          <w:lang w:val="en-US" w:eastAsia="zh-CN" w:bidi="ar"/>
        </w:rPr>
        <w:t>万元，因拨付较晚执行进度</w:t>
      </w:r>
      <w:r>
        <w:rPr>
          <w:rFonts w:hint="default" w:ascii="仿宋_GB2312" w:hAnsi="Times New Roman" w:eastAsia="仿宋_GB2312" w:cs="Times New Roman"/>
          <w:kern w:val="2"/>
          <w:sz w:val="32"/>
          <w:szCs w:val="32"/>
          <w:lang w:val="en-US" w:eastAsia="zh-CN" w:bidi="ar"/>
        </w:rPr>
        <w:t>34.67%</w:t>
      </w:r>
      <w:r>
        <w:rPr>
          <w:rFonts w:hint="default" w:ascii="仿宋_GB2312" w:hAnsi="Times New Roman" w:eastAsia="仿宋_GB2312" w:cs="仿宋_GB2312"/>
          <w:kern w:val="2"/>
          <w:sz w:val="32"/>
          <w:szCs w:val="32"/>
          <w:lang w:val="en-US" w:eastAsia="zh-CN" w:bidi="ar"/>
        </w:rPr>
        <w:t>；县级配套</w:t>
      </w:r>
      <w:r>
        <w:rPr>
          <w:rFonts w:hint="default" w:ascii="仿宋_GB2312" w:hAnsi="Times New Roman" w:eastAsia="仿宋_GB2312" w:cs="Times New Roman"/>
          <w:kern w:val="2"/>
          <w:sz w:val="32"/>
          <w:szCs w:val="32"/>
          <w:lang w:val="en-US" w:eastAsia="zh-CN" w:bidi="ar"/>
        </w:rPr>
        <w:t>371.16</w:t>
      </w:r>
      <w:r>
        <w:rPr>
          <w:rFonts w:hint="default" w:ascii="仿宋_GB2312" w:hAnsi="Times New Roman" w:eastAsia="仿宋_GB2312" w:cs="仿宋_GB2312"/>
          <w:kern w:val="2"/>
          <w:sz w:val="32"/>
          <w:szCs w:val="32"/>
          <w:lang w:val="en-US" w:eastAsia="zh-CN" w:bidi="ar"/>
        </w:rPr>
        <w:t>万元，执行进度100%</w:t>
      </w:r>
      <w:r>
        <w:rPr>
          <w:rFonts w:hint="default" w:ascii="仿宋_GB2312" w:hAnsi="宋体" w:eastAsia="仿宋_GB2312" w:cs="仿宋_GB2312"/>
          <w:kern w:val="2"/>
          <w:sz w:val="32"/>
          <w:szCs w:val="32"/>
          <w:lang w:val="en-US" w:eastAsia="zh-CN" w:bidi="ar"/>
        </w:rPr>
        <w:t>，支付依据合规合法，资金支付与预算相符。</w:t>
      </w:r>
    </w:p>
    <w:p w14:paraId="09650C7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（二）项目财务管理情况。</w:t>
      </w:r>
    </w:p>
    <w:p w14:paraId="45A6E103">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总体评价项目实施单位财务管理制度健全，严格执行财务管理制度，账务处理及时，会计核算规范。</w:t>
      </w:r>
    </w:p>
    <w:p w14:paraId="3738DA28">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（三）项目组织实施情况。</w:t>
      </w:r>
    </w:p>
    <w:p w14:paraId="3E5646A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1. </w:t>
      </w:r>
      <w:r>
        <w:rPr>
          <w:rFonts w:hint="default" w:ascii="仿宋_GB2312" w:hAnsi="Times New Roman" w:eastAsia="仿宋_GB2312" w:cs="仿宋_GB2312"/>
          <w:kern w:val="2"/>
          <w:sz w:val="32"/>
          <w:szCs w:val="32"/>
          <w:lang w:val="en-US" w:eastAsia="zh-CN" w:bidi="ar"/>
        </w:rPr>
        <w:t>符合申领该项补助的人群由业务股室审核，由分管领导和主要领导审查，报局党组会审议通过后，交财务室通过惠民惠农一卡通发放</w:t>
      </w:r>
      <w:r>
        <w:rPr>
          <w:rFonts w:hint="default" w:ascii="Times New Roman" w:hAnsi="Times New Roman" w:eastAsia="仿宋_GB2312" w:cs="Times New Roman"/>
          <w:kern w:val="2"/>
          <w:sz w:val="32"/>
          <w:szCs w:val="32"/>
          <w:lang w:val="en-US" w:eastAsia="zh-CN" w:bidi="ar"/>
        </w:rPr>
        <w:t>;</w:t>
      </w:r>
    </w:p>
    <w:p w14:paraId="7A05C13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本部门加强项目管理所采取的定期或不定期的方法对发放情况和优抚对象的身份进行确认。</w:t>
      </w:r>
    </w:p>
    <w:p w14:paraId="34CF993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三、项目绩效情况</w:t>
      </w:r>
      <w:r>
        <w:rPr>
          <w:rFonts w:hint="default" w:ascii="仿宋_GB2312" w:hAnsi="宋体" w:eastAsia="仿宋_GB2312" w:cs="Times New Roman"/>
          <w:kern w:val="2"/>
          <w:sz w:val="32"/>
          <w:szCs w:val="32"/>
          <w:lang w:val="en-US" w:eastAsia="zh-CN" w:bidi="ar"/>
        </w:rPr>
        <w:tab/>
      </w:r>
    </w:p>
    <w:p w14:paraId="31249DDE">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（一）项目完成情况。</w:t>
      </w:r>
    </w:p>
    <w:p w14:paraId="155C157E">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楷体_GB2312" w:hAnsi="宋体" w:eastAsia="楷体_GB2312" w:cs="Times New Roman"/>
          <w:b/>
          <w:bCs w:val="0"/>
          <w:kern w:val="2"/>
          <w:sz w:val="32"/>
          <w:szCs w:val="32"/>
        </w:rPr>
      </w:pPr>
      <w:r>
        <w:rPr>
          <w:rFonts w:hint="default" w:ascii="仿宋_GB2312" w:hAnsi="Times New Roman" w:eastAsia="仿宋_GB2312" w:cs="仿宋_GB2312"/>
          <w:kern w:val="2"/>
          <w:sz w:val="32"/>
          <w:szCs w:val="32"/>
          <w:lang w:val="en-US" w:eastAsia="zh-CN" w:bidi="ar"/>
        </w:rPr>
        <w:t>优抚对象每月发放</w:t>
      </w:r>
      <w:r>
        <w:rPr>
          <w:rFonts w:hint="default" w:ascii="Times New Roman" w:hAnsi="Times New Roman" w:eastAsia="仿宋_GB2312" w:cs="Times New Roman"/>
          <w:kern w:val="2"/>
          <w:sz w:val="32"/>
          <w:szCs w:val="32"/>
          <w:lang w:val="en-US" w:eastAsia="zh-CN" w:bidi="ar"/>
        </w:rPr>
        <w:t>889</w:t>
      </w:r>
      <w:r>
        <w:rPr>
          <w:rFonts w:hint="default" w:ascii="仿宋_GB2312" w:hAnsi="Times New Roman" w:eastAsia="仿宋_GB2312" w:cs="仿宋_GB2312"/>
          <w:kern w:val="2"/>
          <w:sz w:val="32"/>
          <w:szCs w:val="32"/>
          <w:lang w:val="en-US" w:eastAsia="zh-CN" w:bidi="ar"/>
        </w:rPr>
        <w:t>人，义务优待兵家庭</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户完成资金</w:t>
      </w:r>
      <w:r>
        <w:rPr>
          <w:rFonts w:hint="default" w:ascii="Times New Roman" w:hAnsi="Times New Roman" w:eastAsia="仿宋_GB2312" w:cs="Times New Roman"/>
          <w:kern w:val="2"/>
          <w:sz w:val="32"/>
          <w:szCs w:val="32"/>
          <w:lang w:val="en-US" w:eastAsia="zh-CN" w:bidi="ar"/>
        </w:rPr>
        <w:t>1224.38</w:t>
      </w:r>
      <w:r>
        <w:rPr>
          <w:rFonts w:hint="default" w:ascii="仿宋_GB2312" w:hAnsi="Times New Roman" w:eastAsia="仿宋_GB2312" w:cs="仿宋_GB2312"/>
          <w:kern w:val="2"/>
          <w:sz w:val="32"/>
          <w:szCs w:val="32"/>
          <w:lang w:val="en-US" w:eastAsia="zh-CN" w:bidi="ar"/>
        </w:rPr>
        <w:t>万元，</w:t>
      </w:r>
      <w:r>
        <w:rPr>
          <w:rFonts w:hint="default" w:ascii="仿宋_GB2312" w:hAnsi="宋体" w:eastAsia="仿宋_GB2312" w:cs="仿宋_GB2312"/>
          <w:kern w:val="2"/>
          <w:sz w:val="32"/>
          <w:szCs w:val="32"/>
          <w:lang w:val="en-US" w:eastAsia="zh-CN" w:bidi="ar"/>
        </w:rPr>
        <w:t>无违规记录。</w:t>
      </w:r>
    </w:p>
    <w:p w14:paraId="42C36A48">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楷体_GB2312" w:hAnsi="宋体" w:eastAsia="楷体_GB2312" w:cs="Times New Roman"/>
          <w:b/>
          <w:bCs w:val="0"/>
          <w:kern w:val="2"/>
          <w:sz w:val="32"/>
          <w:szCs w:val="32"/>
        </w:rPr>
      </w:pPr>
      <w:r>
        <w:rPr>
          <w:rFonts w:hint="eastAsia" w:ascii="楷体" w:hAnsi="楷体" w:eastAsia="楷体" w:cs="楷体"/>
          <w:kern w:val="2"/>
          <w:sz w:val="32"/>
          <w:szCs w:val="32"/>
          <w:lang w:val="en-US" w:eastAsia="zh-CN" w:bidi="ar"/>
        </w:rPr>
        <w:t>（二）项目效益情况。</w:t>
      </w:r>
      <w:r>
        <w:rPr>
          <w:rFonts w:hint="default" w:ascii="仿宋_GB2312" w:hAnsi="宋体" w:eastAsia="仿宋_GB2312" w:cs="仿宋_GB2312"/>
          <w:kern w:val="2"/>
          <w:sz w:val="32"/>
          <w:szCs w:val="32"/>
          <w:lang w:val="en-US" w:eastAsia="zh-CN" w:bidi="ar"/>
        </w:rPr>
        <w:t>该项目促进了双拥，让驻盐部队和优抚对象及时感受到党和国家的关心关爱，服务对象满意度95%。</w:t>
      </w:r>
    </w:p>
    <w:p w14:paraId="6CFF2F9C">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四、问题及建议</w:t>
      </w:r>
    </w:p>
    <w:p w14:paraId="16018CE5">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（一）存在的问题。</w:t>
      </w:r>
    </w:p>
    <w:p w14:paraId="50831AD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default" w:ascii="仿宋_GB2312" w:hAnsi="宋体" w:eastAsia="仿宋_GB2312" w:cs="仿宋_GB2312"/>
          <w:kern w:val="2"/>
          <w:sz w:val="32"/>
          <w:szCs w:val="32"/>
          <w:lang w:val="en-US" w:eastAsia="zh-CN" w:bidi="ar"/>
        </w:rPr>
        <w:t>发放银行卡更新不及时，优抚对象换卡后优抚资金发放后才发放单位才知晓。</w:t>
      </w:r>
    </w:p>
    <w:p w14:paraId="5224F2CA">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（二）相关建议。</w:t>
      </w:r>
    </w:p>
    <w:p w14:paraId="4746D3E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 xml:space="preserve">    </w:t>
      </w:r>
      <w:r>
        <w:rPr>
          <w:rFonts w:hint="default" w:ascii="仿宋_GB2312" w:hAnsi="宋体" w:eastAsia="仿宋_GB2312" w:cs="仿宋_GB2312"/>
          <w:kern w:val="2"/>
          <w:sz w:val="32"/>
          <w:szCs w:val="32"/>
          <w:lang w:val="en-US" w:eastAsia="zh-CN" w:bidi="ar"/>
        </w:rPr>
        <w:t>加强业务科室和相关优抚对象的联系，对“惠民惠农一卡通银行卡实行有效管理。</w:t>
      </w:r>
    </w:p>
    <w:p w14:paraId="4E85FF3F">
      <w:pPr>
        <w:keepNext w:val="0"/>
        <w:keepLines w:val="0"/>
        <w:widowControl w:val="0"/>
        <w:suppressLineNumbers w:val="0"/>
        <w:adjustRightInd w:val="0"/>
        <w:snapToGrid w:val="0"/>
        <w:spacing w:before="0" w:beforeAutospacing="0" w:after="0" w:afterAutospacing="0" w:line="560" w:lineRule="exact"/>
        <w:ind w:left="0" w:right="0" w:firstLine="720"/>
        <w:jc w:val="center"/>
        <w:rPr>
          <w:rFonts w:hint="eastAsia" w:ascii="黑体" w:hAnsi="宋体" w:eastAsia="黑体" w:cs="Times New Roman"/>
          <w:kern w:val="2"/>
          <w:sz w:val="44"/>
          <w:szCs w:val="44"/>
        </w:rPr>
      </w:pPr>
      <w:r>
        <w:rPr>
          <w:rFonts w:hint="eastAsia" w:ascii="黑体" w:hAnsi="宋体" w:eastAsia="黑体" w:cs="黑体"/>
          <w:kern w:val="2"/>
          <w:sz w:val="44"/>
          <w:szCs w:val="44"/>
          <w:lang w:val="en-US" w:eastAsia="zh-CN" w:bidi="ar"/>
        </w:rPr>
        <w:t>现役军人立功受奖、大学生入伍奖励金绩效自评报告</w:t>
      </w:r>
    </w:p>
    <w:p w14:paraId="68E3E51E">
      <w:pPr>
        <w:pStyle w:val="13"/>
        <w:keepNext w:val="0"/>
        <w:keepLines w:val="0"/>
        <w:widowControl w:val="0"/>
        <w:suppressLineNumbers w:val="0"/>
        <w:spacing w:before="0" w:beforeAutospacing="0" w:after="0" w:afterAutospacing="0" w:line="560" w:lineRule="exact"/>
        <w:ind w:left="0" w:right="0" w:firstLine="640"/>
        <w:jc w:val="center"/>
        <w:rPr>
          <w:rFonts w:hint="eastAsia" w:ascii="宋体" w:hAnsi="宋体" w:eastAsia="宋体" w:cs="Times New Roman"/>
          <w:kern w:val="2"/>
          <w:sz w:val="32"/>
          <w:szCs w:val="32"/>
        </w:rPr>
      </w:pPr>
      <w:r>
        <w:rPr>
          <w:rFonts w:hint="eastAsia" w:ascii="宋体" w:hAnsi="宋体" w:eastAsia="宋体" w:cs="Times New Roman"/>
          <w:color w:val="000000"/>
          <w:kern w:val="2"/>
          <w:sz w:val="32"/>
          <w:szCs w:val="32"/>
          <w:lang w:val="en-US" w:eastAsia="zh-CN" w:bidi="ar"/>
        </w:rPr>
        <w:t xml:space="preserve"> </w:t>
      </w:r>
    </w:p>
    <w:p w14:paraId="400392D6">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36FAA8B7">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仿宋_GB2312" w:cs="Times New Roman"/>
          <w:kern w:val="2"/>
          <w:sz w:val="32"/>
          <w:szCs w:val="32"/>
        </w:rPr>
      </w:pPr>
      <w:r>
        <w:rPr>
          <w:rFonts w:hint="default" w:ascii="仿宋_GB2312" w:hAnsi="仿宋" w:eastAsia="仿宋_GB2312" w:cs="仿宋_GB2312"/>
          <w:color w:val="000000"/>
          <w:kern w:val="0"/>
          <w:sz w:val="32"/>
          <w:szCs w:val="32"/>
          <w:lang w:val="en-US" w:eastAsia="zh-CN" w:bidi="ar"/>
        </w:rPr>
        <w:t>根据中共攀枝花市委办公室、攀枝花人民政府办公室、攀枝花军分区动员处印发</w:t>
      </w:r>
      <w:r>
        <w:rPr>
          <w:rFonts w:hint="default" w:ascii="仿宋_GB2312" w:hAnsi="仿宋" w:eastAsia="仿宋_GB2312" w:cs="仿宋_GB2312"/>
          <w:kern w:val="2"/>
          <w:sz w:val="32"/>
          <w:szCs w:val="32"/>
          <w:shd w:val="clear" w:fill="FFFFFF"/>
          <w:lang w:val="en-US" w:eastAsia="zh-CN" w:bidi="ar"/>
        </w:rPr>
        <w:t>《关于进一步激励大学生应征入伍的措施的通知》（攀委办发</w:t>
      </w:r>
      <w:r>
        <w:rPr>
          <w:rFonts w:hint="default" w:ascii="仿宋_GB2312" w:hAnsi="方正仿宋_GBK" w:eastAsia="仿宋_GB2312" w:cs="仿宋_GB2312"/>
          <w:color w:val="000000"/>
          <w:kern w:val="0"/>
          <w:sz w:val="32"/>
          <w:szCs w:val="32"/>
          <w:lang w:val="en-US" w:eastAsia="zh-CN" w:bidi="ar"/>
        </w:rPr>
        <w:t>〔</w:t>
      </w:r>
      <w:r>
        <w:rPr>
          <w:rFonts w:hint="default" w:ascii="仿宋_GB2312" w:hAnsi="仿宋" w:eastAsia="仿宋_GB2312" w:cs="仿宋_GB2312"/>
          <w:color w:val="000000"/>
          <w:kern w:val="0"/>
          <w:sz w:val="32"/>
          <w:szCs w:val="32"/>
          <w:lang w:val="en-US" w:eastAsia="zh-CN" w:bidi="ar"/>
        </w:rPr>
        <w:t>2022〕5号</w:t>
      </w:r>
      <w:r>
        <w:rPr>
          <w:rFonts w:hint="default" w:ascii="仿宋_GB2312" w:hAnsi="方正仿宋_GBK" w:eastAsia="仿宋_GB2312" w:cs="仿宋_GB2312"/>
          <w:color w:val="000000"/>
          <w:kern w:val="0"/>
          <w:sz w:val="32"/>
          <w:szCs w:val="32"/>
          <w:lang w:val="en-US" w:eastAsia="zh-CN" w:bidi="ar"/>
        </w:rPr>
        <w:t>）</w:t>
      </w:r>
      <w:r>
        <w:rPr>
          <w:rFonts w:hint="default" w:ascii="仿宋_GB2312" w:hAnsi="仿宋" w:eastAsia="仿宋_GB2312" w:cs="仿宋_GB2312"/>
          <w:color w:val="000000"/>
          <w:kern w:val="0"/>
          <w:sz w:val="32"/>
          <w:szCs w:val="32"/>
          <w:lang w:val="en-US" w:eastAsia="zh-CN" w:bidi="ar"/>
        </w:rPr>
        <w:t>规定，现役军人立功受奖、大学生入伍奖励金按该文件执行</w:t>
      </w:r>
      <w:r>
        <w:rPr>
          <w:rFonts w:hint="default" w:ascii="仿宋_GB2312" w:hAnsi="Times New Roman" w:eastAsia="仿宋_GB2312" w:cs="仿宋_GB2312"/>
          <w:kern w:val="2"/>
          <w:sz w:val="32"/>
          <w:szCs w:val="32"/>
          <w:lang w:val="en-US" w:eastAsia="zh-CN" w:bidi="ar"/>
        </w:rPr>
        <w:t>。</w:t>
      </w:r>
    </w:p>
    <w:p w14:paraId="276EC8D5">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（一）项目资金申报及批复情况。</w:t>
      </w:r>
      <w:r>
        <w:rPr>
          <w:rFonts w:hint="default" w:ascii="仿宋_GB2312" w:hAnsi="宋体" w:eastAsia="仿宋_GB2312" w:cs="仿宋_GB2312"/>
          <w:kern w:val="2"/>
          <w:sz w:val="32"/>
          <w:szCs w:val="32"/>
          <w:lang w:val="en-US" w:eastAsia="zh-CN" w:bidi="ar"/>
        </w:rPr>
        <w:t>现役军人立功受奖、大学生入伍奖励金、入伍新兵父母体检经费预算159.12</w:t>
      </w:r>
      <w:r>
        <w:rPr>
          <w:rFonts w:hint="eastAsia" w:ascii="仿宋_GB2312" w:hAnsi="宋体" w:eastAsia="仿宋_GB2312" w:cs="仿宋_GB2312"/>
          <w:kern w:val="2"/>
          <w:sz w:val="32"/>
          <w:szCs w:val="32"/>
          <w:lang w:val="en-US" w:eastAsia="zh-CN" w:bidi="ar"/>
        </w:rPr>
        <w:t>万元</w:t>
      </w:r>
      <w:r>
        <w:rPr>
          <w:rFonts w:hint="default" w:ascii="仿宋_GB2312" w:hAnsi="宋体"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资金按照财务制度进行管理，现役军人荣获三等功及以上在</w:t>
      </w:r>
      <w:r>
        <w:rPr>
          <w:rFonts w:hint="default" w:ascii="Times New Roman" w:hAnsi="Times New Roman" w:eastAsia="仿宋_GB2312" w:cs="Times New Roman"/>
          <w:kern w:val="2"/>
          <w:sz w:val="32"/>
          <w:szCs w:val="32"/>
          <w:lang w:val="en-US" w:eastAsia="zh-CN" w:bidi="ar"/>
        </w:rPr>
        <w:t>20</w:t>
      </w:r>
      <w:r>
        <w:rPr>
          <w:rFonts w:hint="default" w:ascii="仿宋_GB2312" w:hAnsi="Times New Roman" w:eastAsia="仿宋_GB2312" w:cs="仿宋_GB2312"/>
          <w:kern w:val="2"/>
          <w:sz w:val="32"/>
          <w:szCs w:val="32"/>
          <w:lang w:val="en-US" w:eastAsia="zh-CN" w:bidi="ar"/>
        </w:rPr>
        <w:t>天内组织</w:t>
      </w:r>
      <w:r>
        <w:rPr>
          <w:rFonts w:hint="eastAsia" w:ascii="仿宋_GB2312" w:eastAsia="仿宋_GB2312" w:cs="仿宋_GB2312"/>
          <w:kern w:val="2"/>
          <w:sz w:val="32"/>
          <w:szCs w:val="32"/>
          <w:lang w:val="en-US" w:eastAsia="zh-CN" w:bidi="ar"/>
        </w:rPr>
        <w:t>县人民武装部</w:t>
      </w:r>
      <w:r>
        <w:rPr>
          <w:rFonts w:hint="default" w:ascii="仿宋_GB2312" w:hAnsi="Times New Roman" w:eastAsia="仿宋_GB2312" w:cs="仿宋_GB2312"/>
          <w:kern w:val="2"/>
          <w:sz w:val="32"/>
          <w:szCs w:val="32"/>
          <w:lang w:val="en-US" w:eastAsia="zh-CN" w:bidi="ar"/>
        </w:rPr>
        <w:t>，所在乡镇送奖励金，三等功以下按季度对现役军人或现役军人家属发放奖励金；大学生入伍奖励金是按大学生入伍</w:t>
      </w:r>
      <w:r>
        <w:rPr>
          <w:rFonts w:hint="default" w:ascii="Times New Roman" w:hAnsi="Times New Roman" w:eastAsia="仿宋_GB2312" w:cs="Times New Roman"/>
          <w:kern w:val="2"/>
          <w:sz w:val="32"/>
          <w:szCs w:val="32"/>
          <w:lang w:val="en-US" w:eastAsia="zh-CN" w:bidi="ar"/>
        </w:rPr>
        <w:t>6</w:t>
      </w:r>
      <w:r>
        <w:rPr>
          <w:rFonts w:hint="default" w:ascii="仿宋_GB2312" w:hAnsi="Times New Roman" w:eastAsia="仿宋_GB2312" w:cs="仿宋_GB2312"/>
          <w:kern w:val="2"/>
          <w:sz w:val="32"/>
          <w:szCs w:val="32"/>
          <w:lang w:val="en-US" w:eastAsia="zh-CN" w:bidi="ar"/>
        </w:rPr>
        <w:t>个月后兑现。</w:t>
      </w:r>
    </w:p>
    <w:p w14:paraId="50871C5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r>
        <w:rPr>
          <w:rFonts w:hint="eastAsia" w:ascii="楷体" w:hAnsi="楷体" w:eastAsia="楷体" w:cs="楷体"/>
          <w:kern w:val="2"/>
          <w:sz w:val="32"/>
          <w:szCs w:val="32"/>
          <w:lang w:val="en-US" w:eastAsia="zh-CN" w:bidi="ar"/>
        </w:rPr>
        <w:t>（二）项目绩效目标。</w:t>
      </w:r>
      <w:r>
        <w:rPr>
          <w:rFonts w:hint="default" w:ascii="仿宋_GB2312" w:hAnsi="Times New Roman" w:eastAsia="仿宋_GB2312" w:cs="仿宋_GB2312"/>
          <w:kern w:val="2"/>
          <w:sz w:val="32"/>
          <w:szCs w:val="32"/>
          <w:lang w:val="en-US" w:eastAsia="zh-CN" w:bidi="ar"/>
        </w:rPr>
        <w:t>为了支持军人安心服役，激励军人保卫祖国、建设祖国的奉献精神，鼓励军人进步，进一步加强国防和军队建设。</w:t>
      </w:r>
    </w:p>
    <w:p w14:paraId="43D42998">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（三）项目资金申报相符性。</w:t>
      </w:r>
      <w:r>
        <w:rPr>
          <w:rFonts w:hint="default" w:ascii="仿宋_GB2312" w:hAnsi="Times New Roman" w:eastAsia="仿宋_GB2312" w:cs="仿宋_GB2312"/>
          <w:kern w:val="2"/>
          <w:sz w:val="32"/>
          <w:szCs w:val="32"/>
          <w:lang w:val="en-US" w:eastAsia="zh-CN" w:bidi="ar"/>
        </w:rPr>
        <w:t>年初预算大学生入伍大于等于</w:t>
      </w:r>
      <w:r>
        <w:rPr>
          <w:rFonts w:hint="default" w:ascii="Times New Roman" w:hAnsi="Times New Roman" w:eastAsia="仿宋_GB2312" w:cs="Times New Roman"/>
          <w:kern w:val="2"/>
          <w:sz w:val="32"/>
          <w:szCs w:val="32"/>
          <w:lang w:val="en-US" w:eastAsia="zh-CN" w:bidi="ar"/>
        </w:rPr>
        <w:t>50</w:t>
      </w:r>
      <w:r>
        <w:rPr>
          <w:rFonts w:hint="default" w:ascii="仿宋_GB2312" w:hAnsi="Times New Roman" w:eastAsia="仿宋_GB2312" w:cs="仿宋_GB2312"/>
          <w:kern w:val="2"/>
          <w:sz w:val="32"/>
          <w:szCs w:val="32"/>
          <w:lang w:val="en-US" w:eastAsia="zh-CN" w:bidi="ar"/>
        </w:rPr>
        <w:t>人，现役军人立功受奖</w:t>
      </w:r>
      <w:r>
        <w:rPr>
          <w:rFonts w:hint="default" w:ascii="Times New Roman" w:hAnsi="Times New Roman" w:eastAsia="仿宋_GB2312" w:cs="Times New Roman"/>
          <w:kern w:val="2"/>
          <w:sz w:val="32"/>
          <w:szCs w:val="32"/>
          <w:lang w:val="en-US" w:eastAsia="zh-CN" w:bidi="ar"/>
        </w:rPr>
        <w:t>70</w:t>
      </w:r>
      <w:r>
        <w:rPr>
          <w:rFonts w:hint="default" w:ascii="仿宋_GB2312" w:hAnsi="Times New Roman" w:eastAsia="仿宋_GB2312" w:cs="仿宋_GB2312"/>
          <w:kern w:val="2"/>
          <w:sz w:val="32"/>
          <w:szCs w:val="32"/>
          <w:lang w:val="en-US" w:eastAsia="zh-CN" w:bidi="ar"/>
        </w:rPr>
        <w:t>人，</w:t>
      </w:r>
      <w:r>
        <w:rPr>
          <w:rFonts w:hint="default" w:ascii="Times New Roman" w:hAnsi="Times New Roman" w:eastAsia="仿宋_GB2312" w:cs="Times New Roman"/>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年入伍新兵父母体检经费</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人，预算资金</w:t>
      </w:r>
      <w:r>
        <w:rPr>
          <w:rFonts w:hint="default" w:ascii="Times New Roman" w:hAnsi="Times New Roman" w:eastAsia="仿宋_GB2312" w:cs="Times New Roman"/>
          <w:kern w:val="2"/>
          <w:sz w:val="32"/>
          <w:szCs w:val="32"/>
          <w:lang w:val="en-US" w:eastAsia="zh-CN" w:bidi="ar"/>
        </w:rPr>
        <w:t>159.12</w:t>
      </w:r>
      <w:r>
        <w:rPr>
          <w:rFonts w:hint="default" w:ascii="仿宋_GB2312" w:hAnsi="Times New Roman" w:eastAsia="仿宋_GB2312" w:cs="仿宋_GB2312"/>
          <w:kern w:val="2"/>
          <w:sz w:val="32"/>
          <w:szCs w:val="32"/>
          <w:lang w:val="en-US" w:eastAsia="zh-CN" w:bidi="ar"/>
        </w:rPr>
        <w:t>万元；执行率</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w:t>
      </w:r>
      <w:r>
        <w:rPr>
          <w:rFonts w:hint="default" w:ascii="仿宋_GB2312" w:hAnsi="宋体" w:eastAsia="仿宋_GB2312" w:cs="仿宋_GB2312"/>
          <w:kern w:val="2"/>
          <w:sz w:val="32"/>
          <w:szCs w:val="32"/>
          <w:lang w:val="en-US" w:eastAsia="zh-CN" w:bidi="ar"/>
        </w:rPr>
        <w:t>实施内容相符、申报目标合理。</w:t>
      </w:r>
    </w:p>
    <w:p w14:paraId="473914A5">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二、项目实施及管理情况</w:t>
      </w:r>
    </w:p>
    <w:p w14:paraId="3957A155">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Times New Roman"/>
          <w:kern w:val="2"/>
          <w:sz w:val="32"/>
          <w:szCs w:val="32"/>
          <w:lang w:val="en-US" w:eastAsia="zh-CN" w:bidi="ar"/>
        </w:rPr>
        <w:tab/>
      </w:r>
      <w:r>
        <w:rPr>
          <w:rFonts w:hint="eastAsia" w:ascii="楷体" w:hAnsi="楷体" w:eastAsia="楷体" w:cs="楷体"/>
          <w:kern w:val="2"/>
          <w:sz w:val="32"/>
          <w:szCs w:val="32"/>
          <w:lang w:val="en-US" w:eastAsia="zh-CN" w:bidi="ar"/>
        </w:rPr>
        <w:t>（一）资金计划、到位及使用情况。</w:t>
      </w:r>
    </w:p>
    <w:p w14:paraId="50C7F5DD">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仿宋_GB2312" w:cs="Times New Roman"/>
          <w:kern w:val="2"/>
          <w:sz w:val="32"/>
          <w:szCs w:val="32"/>
        </w:rPr>
      </w:pPr>
      <w:r>
        <w:rPr>
          <w:rFonts w:hint="eastAsia" w:ascii="仿宋_GB2312" w:hAnsi="宋体" w:eastAsia="仿宋_GB2312" w:cs="仿宋_GB2312"/>
          <w:kern w:val="2"/>
          <w:sz w:val="32"/>
          <w:szCs w:val="32"/>
          <w:lang w:val="en-US" w:eastAsia="zh-CN" w:bidi="ar"/>
        </w:rPr>
        <w:t>1.</w:t>
      </w:r>
      <w:r>
        <w:rPr>
          <w:rFonts w:hint="default" w:ascii="仿宋_GB2312" w:hAnsi="宋体" w:eastAsia="仿宋_GB2312" w:cs="仿宋_GB2312"/>
          <w:kern w:val="2"/>
          <w:sz w:val="32"/>
          <w:szCs w:val="32"/>
          <w:lang w:val="en-US" w:eastAsia="zh-CN" w:bidi="ar"/>
        </w:rPr>
        <w:t>年初计划</w:t>
      </w:r>
      <w:r>
        <w:rPr>
          <w:rFonts w:hint="default" w:ascii="仿宋_GB2312" w:hAnsi="Times New Roman" w:eastAsia="仿宋_GB2312" w:cs="仿宋_GB2312"/>
          <w:kern w:val="2"/>
          <w:sz w:val="32"/>
          <w:szCs w:val="32"/>
          <w:lang w:val="en-US" w:eastAsia="zh-CN" w:bidi="ar"/>
        </w:rPr>
        <w:t>大学生入伍</w:t>
      </w:r>
      <w:r>
        <w:rPr>
          <w:rFonts w:hint="default" w:ascii="Times New Roman" w:hAnsi="Times New Roman" w:eastAsia="仿宋_GB2312" w:cs="Times New Roman"/>
          <w:kern w:val="2"/>
          <w:sz w:val="32"/>
          <w:szCs w:val="32"/>
          <w:lang w:val="en-US" w:eastAsia="zh-CN" w:bidi="ar"/>
        </w:rPr>
        <w:t>50</w:t>
      </w:r>
      <w:r>
        <w:rPr>
          <w:rFonts w:hint="default" w:ascii="仿宋_GB2312" w:hAnsi="Times New Roman" w:eastAsia="仿宋_GB2312" w:cs="仿宋_GB2312"/>
          <w:kern w:val="2"/>
          <w:sz w:val="32"/>
          <w:szCs w:val="32"/>
          <w:lang w:val="en-US" w:eastAsia="zh-CN" w:bidi="ar"/>
        </w:rPr>
        <w:t>人，现役军人立功受奖</w:t>
      </w:r>
      <w:r>
        <w:rPr>
          <w:rFonts w:hint="default" w:ascii="Times New Roman" w:hAnsi="Times New Roman" w:eastAsia="仿宋_GB2312" w:cs="Times New Roman"/>
          <w:kern w:val="2"/>
          <w:sz w:val="32"/>
          <w:szCs w:val="32"/>
          <w:lang w:val="en-US" w:eastAsia="zh-CN" w:bidi="ar"/>
        </w:rPr>
        <w:t>70</w:t>
      </w:r>
      <w:r>
        <w:rPr>
          <w:rFonts w:hint="default" w:ascii="仿宋_GB2312" w:hAnsi="Times New Roman" w:eastAsia="仿宋_GB2312" w:cs="仿宋_GB2312"/>
          <w:kern w:val="2"/>
          <w:sz w:val="32"/>
          <w:szCs w:val="32"/>
          <w:lang w:val="en-US" w:eastAsia="zh-CN" w:bidi="ar"/>
        </w:rPr>
        <w:t>人，</w:t>
      </w:r>
      <w:r>
        <w:rPr>
          <w:rFonts w:hint="default" w:ascii="Times New Roman" w:hAnsi="Times New Roman" w:eastAsia="仿宋_GB2312" w:cs="Times New Roman"/>
          <w:kern w:val="2"/>
          <w:sz w:val="32"/>
          <w:szCs w:val="32"/>
          <w:lang w:val="en-US" w:eastAsia="zh-CN" w:bidi="ar"/>
        </w:rPr>
        <w:t>024</w:t>
      </w:r>
      <w:r>
        <w:rPr>
          <w:rFonts w:hint="default" w:ascii="仿宋_GB2312" w:hAnsi="Times New Roman" w:eastAsia="仿宋_GB2312" w:cs="仿宋_GB2312"/>
          <w:kern w:val="2"/>
          <w:sz w:val="32"/>
          <w:szCs w:val="32"/>
          <w:lang w:val="en-US" w:eastAsia="zh-CN" w:bidi="ar"/>
        </w:rPr>
        <w:t>年入伍新兵父母体检经费</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人，资金</w:t>
      </w:r>
      <w:r>
        <w:rPr>
          <w:rFonts w:hint="default" w:ascii="Times New Roman" w:hAnsi="Times New Roman" w:eastAsia="仿宋_GB2312" w:cs="Times New Roman"/>
          <w:kern w:val="2"/>
          <w:sz w:val="32"/>
          <w:szCs w:val="32"/>
          <w:lang w:val="en-US" w:eastAsia="zh-CN" w:bidi="ar"/>
        </w:rPr>
        <w:t>159.12</w:t>
      </w:r>
      <w:r>
        <w:rPr>
          <w:rFonts w:hint="default" w:ascii="仿宋_GB2312" w:hAnsi="Times New Roman" w:eastAsia="仿宋_GB2312" w:cs="仿宋_GB2312"/>
          <w:kern w:val="2"/>
          <w:sz w:val="32"/>
          <w:szCs w:val="32"/>
          <w:lang w:val="en-US" w:eastAsia="zh-CN" w:bidi="ar"/>
        </w:rPr>
        <w:t>万元；支付资金</w:t>
      </w:r>
      <w:r>
        <w:rPr>
          <w:rFonts w:hint="default" w:ascii="Times New Roman" w:hAnsi="Times New Roman" w:eastAsia="仿宋_GB2312" w:cs="Times New Roman"/>
          <w:kern w:val="2"/>
          <w:sz w:val="32"/>
          <w:szCs w:val="32"/>
          <w:lang w:val="en-US" w:eastAsia="zh-CN" w:bidi="ar"/>
        </w:rPr>
        <w:t>159.12</w:t>
      </w:r>
      <w:r>
        <w:rPr>
          <w:rFonts w:hint="default" w:ascii="仿宋_GB2312" w:hAnsi="Times New Roman" w:eastAsia="仿宋_GB2312" w:cs="仿宋_GB2312"/>
          <w:kern w:val="2"/>
          <w:sz w:val="32"/>
          <w:szCs w:val="32"/>
          <w:lang w:val="en-US" w:eastAsia="zh-CN" w:bidi="ar"/>
        </w:rPr>
        <w:t>万元；执行率</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w:t>
      </w:r>
    </w:p>
    <w:p w14:paraId="177F608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2.</w:t>
      </w:r>
      <w:r>
        <w:rPr>
          <w:rFonts w:hint="default" w:ascii="仿宋_GB2312" w:hAnsi="宋体" w:eastAsia="仿宋_GB2312" w:cs="仿宋_GB2312"/>
          <w:kern w:val="2"/>
          <w:sz w:val="32"/>
          <w:szCs w:val="32"/>
          <w:lang w:val="en-US" w:eastAsia="zh-CN" w:bidi="ar"/>
        </w:rPr>
        <w:t>资金使用。支付依据合规合法，资金支付与预算相符。</w:t>
      </w:r>
    </w:p>
    <w:p w14:paraId="705BD9B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（二）项目财务管理情况。</w:t>
      </w:r>
    </w:p>
    <w:p w14:paraId="687D4997">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总体评价项目实施单位财务管理制度健全，严格执行财务管理制度，账务处理及时，会计核算规范。</w:t>
      </w:r>
    </w:p>
    <w:p w14:paraId="287A532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（三）项目组织实施情况。</w:t>
      </w:r>
    </w:p>
    <w:p w14:paraId="099AB9D1">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现役军人立功受奖根据</w:t>
      </w:r>
      <w:r>
        <w:rPr>
          <w:rFonts w:hint="eastAsia" w:ascii="仿宋_GB2312" w:eastAsia="仿宋_GB2312" w:cs="仿宋_GB2312"/>
          <w:kern w:val="2"/>
          <w:sz w:val="32"/>
          <w:szCs w:val="32"/>
          <w:lang w:val="en-US" w:eastAsia="zh-CN" w:bidi="ar"/>
        </w:rPr>
        <w:t>县人民武装部</w:t>
      </w:r>
      <w:r>
        <w:rPr>
          <w:rFonts w:hint="default" w:ascii="仿宋_GB2312" w:hAnsi="Times New Roman" w:eastAsia="仿宋_GB2312" w:cs="仿宋_GB2312"/>
          <w:kern w:val="2"/>
          <w:sz w:val="32"/>
          <w:szCs w:val="32"/>
          <w:lang w:val="en-US" w:eastAsia="zh-CN" w:bidi="ar"/>
        </w:rPr>
        <w:t>提供奖状，大学生入伍奖励金由武装部提供当年入伍的名册交单位双拥办审核，由分管领导和主要领导审查，报局党组会审议通过后进行发放。</w:t>
      </w:r>
    </w:p>
    <w:p w14:paraId="5AEC55C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本部门执行</w:t>
      </w:r>
      <w:r>
        <w:rPr>
          <w:rFonts w:hint="default" w:ascii="仿宋_GB2312" w:hAnsi="仿宋" w:eastAsia="仿宋_GB2312" w:cs="仿宋_GB2312"/>
          <w:color w:val="000000"/>
          <w:kern w:val="0"/>
          <w:sz w:val="32"/>
          <w:szCs w:val="32"/>
          <w:lang w:val="en-US" w:eastAsia="zh-CN" w:bidi="ar"/>
        </w:rPr>
        <w:t>中共攀枝花市委办公室、攀枝花人民政府办公室、攀枝花军分区动员处印发</w:t>
      </w:r>
      <w:r>
        <w:rPr>
          <w:rFonts w:hint="default" w:ascii="仿宋_GB2312" w:hAnsi="仿宋" w:eastAsia="仿宋_GB2312" w:cs="仿宋_GB2312"/>
          <w:kern w:val="2"/>
          <w:sz w:val="32"/>
          <w:szCs w:val="32"/>
          <w:shd w:val="clear" w:fill="FFFFFF"/>
          <w:lang w:val="en-US" w:eastAsia="zh-CN" w:bidi="ar"/>
        </w:rPr>
        <w:t>《关于进一步激励大学生应征入伍的措施的通知》（攀委办发</w:t>
      </w:r>
      <w:r>
        <w:rPr>
          <w:rFonts w:hint="default" w:ascii="仿宋_GB2312" w:hAnsi="方正仿宋_GBK" w:eastAsia="仿宋_GB2312" w:cs="仿宋_GB2312"/>
          <w:color w:val="000000"/>
          <w:kern w:val="0"/>
          <w:sz w:val="32"/>
          <w:szCs w:val="32"/>
          <w:lang w:val="en-US" w:eastAsia="zh-CN" w:bidi="ar"/>
        </w:rPr>
        <w:t>〔</w:t>
      </w:r>
      <w:r>
        <w:rPr>
          <w:rFonts w:hint="default" w:ascii="仿宋_GB2312" w:hAnsi="仿宋" w:eastAsia="仿宋_GB2312" w:cs="仿宋_GB2312"/>
          <w:color w:val="000000"/>
          <w:kern w:val="0"/>
          <w:sz w:val="32"/>
          <w:szCs w:val="32"/>
          <w:lang w:val="en-US" w:eastAsia="zh-CN" w:bidi="ar"/>
        </w:rPr>
        <w:t>2022〕5号</w:t>
      </w:r>
      <w:r>
        <w:rPr>
          <w:rFonts w:hint="default" w:ascii="仿宋_GB2312" w:hAnsi="方正仿宋_GBK" w:eastAsia="仿宋_GB2312" w:cs="仿宋_GB2312"/>
          <w:color w:val="000000"/>
          <w:kern w:val="0"/>
          <w:sz w:val="32"/>
          <w:szCs w:val="32"/>
          <w:lang w:val="en-US" w:eastAsia="zh-CN" w:bidi="ar"/>
        </w:rPr>
        <w:t>）</w:t>
      </w:r>
      <w:r>
        <w:rPr>
          <w:rFonts w:hint="default" w:ascii="仿宋_GB2312" w:hAnsi="Times New Roman" w:eastAsia="仿宋_GB2312" w:cs="仿宋_GB2312"/>
          <w:kern w:val="2"/>
          <w:sz w:val="32"/>
          <w:szCs w:val="32"/>
          <w:lang w:val="en-US" w:eastAsia="zh-CN" w:bidi="ar"/>
        </w:rPr>
        <w:t>项目管理制度进行管理。</w:t>
      </w:r>
    </w:p>
    <w:p w14:paraId="2892219A">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本部门加强项目管理所采取的定期或不定期的方法对开展情况及实现的效果进行检查。</w:t>
      </w:r>
    </w:p>
    <w:p w14:paraId="454834F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三、项目绩效情况</w:t>
      </w:r>
      <w:r>
        <w:rPr>
          <w:rFonts w:hint="default" w:ascii="仿宋_GB2312" w:hAnsi="宋体" w:eastAsia="仿宋_GB2312" w:cs="Times New Roman"/>
          <w:kern w:val="2"/>
          <w:sz w:val="32"/>
          <w:szCs w:val="32"/>
          <w:lang w:val="en-US" w:eastAsia="zh-CN" w:bidi="ar"/>
        </w:rPr>
        <w:tab/>
      </w:r>
    </w:p>
    <w:p w14:paraId="6D7BE2A3">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（一）项目完成情况。</w:t>
      </w:r>
    </w:p>
    <w:p w14:paraId="133DAAF9">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楷体_GB2312" w:hAnsi="宋体" w:eastAsia="楷体_GB2312" w:cs="Times New Roman"/>
          <w:b/>
          <w:bCs w:val="0"/>
          <w:kern w:val="2"/>
          <w:sz w:val="32"/>
          <w:szCs w:val="32"/>
        </w:rPr>
      </w:pPr>
      <w:r>
        <w:rPr>
          <w:rFonts w:hint="default" w:ascii="Times New Roman" w:hAnsi="Times New Roman" w:eastAsia="仿宋_GB2312" w:cs="Times New Roman"/>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年实际完成支付资金</w:t>
      </w:r>
      <w:r>
        <w:rPr>
          <w:rFonts w:hint="default" w:ascii="Times New Roman" w:hAnsi="Times New Roman" w:eastAsia="仿宋_GB2312" w:cs="Times New Roman"/>
          <w:kern w:val="2"/>
          <w:sz w:val="32"/>
          <w:szCs w:val="32"/>
          <w:lang w:val="en-US" w:eastAsia="zh-CN" w:bidi="ar"/>
        </w:rPr>
        <w:t>159.12</w:t>
      </w:r>
      <w:r>
        <w:rPr>
          <w:rFonts w:hint="default" w:ascii="仿宋_GB2312" w:hAnsi="Times New Roman" w:eastAsia="仿宋_GB2312" w:cs="仿宋_GB2312"/>
          <w:kern w:val="2"/>
          <w:sz w:val="32"/>
          <w:szCs w:val="32"/>
          <w:lang w:val="en-US" w:eastAsia="zh-CN" w:bidi="ar"/>
        </w:rPr>
        <w:t>万元，</w:t>
      </w:r>
      <w:r>
        <w:rPr>
          <w:rFonts w:hint="default" w:ascii="仿宋_GB2312" w:hAnsi="宋体" w:eastAsia="仿宋_GB2312" w:cs="仿宋_GB2312"/>
          <w:kern w:val="2"/>
          <w:sz w:val="32"/>
          <w:szCs w:val="32"/>
          <w:lang w:val="en-US" w:eastAsia="zh-CN" w:bidi="ar"/>
        </w:rPr>
        <w:t>无违规记录。</w:t>
      </w:r>
    </w:p>
    <w:p w14:paraId="521E0E64">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r>
        <w:rPr>
          <w:rFonts w:hint="eastAsia" w:ascii="楷体" w:hAnsi="楷体" w:eastAsia="楷体" w:cs="楷体"/>
          <w:kern w:val="2"/>
          <w:sz w:val="32"/>
          <w:szCs w:val="32"/>
          <w:lang w:val="en-US" w:eastAsia="zh-CN" w:bidi="ar"/>
        </w:rPr>
        <w:t>（二）项目效益情况。</w:t>
      </w:r>
      <w:r>
        <w:rPr>
          <w:rFonts w:hint="default" w:ascii="仿宋_GB2312" w:hAnsi="Times New Roman" w:eastAsia="仿宋_GB2312" w:cs="仿宋_GB2312"/>
          <w:kern w:val="2"/>
          <w:sz w:val="32"/>
          <w:szCs w:val="32"/>
          <w:lang w:val="en-US" w:eastAsia="zh-CN" w:bidi="ar"/>
        </w:rPr>
        <w:t>为了支持军人安心服役，激励军人保卫祖国、建设祖国的奉献精神，鼓励军人进步，进一步加强国防和军队建设。</w:t>
      </w:r>
    </w:p>
    <w:p w14:paraId="05260782">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四、问题及建议</w:t>
      </w:r>
    </w:p>
    <w:p w14:paraId="65E40D0C">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（一）存在的问题。</w:t>
      </w:r>
    </w:p>
    <w:p w14:paraId="446C0CA4">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default" w:ascii="仿宋_GB2312" w:hAnsi="宋体" w:eastAsia="仿宋_GB2312" w:cs="仿宋_GB2312"/>
          <w:kern w:val="2"/>
          <w:sz w:val="32"/>
          <w:szCs w:val="32"/>
          <w:lang w:val="en-US" w:eastAsia="zh-CN" w:bidi="ar"/>
        </w:rPr>
        <w:t>通过一体化平台发放时，对收集的收款信息要求严格，出现反复发放失败情况</w:t>
      </w:r>
      <w:r>
        <w:rPr>
          <w:rFonts w:hint="eastAsia" w:ascii="楷体" w:hAnsi="楷体" w:eastAsia="楷体" w:cs="楷体"/>
          <w:kern w:val="2"/>
          <w:sz w:val="32"/>
          <w:szCs w:val="32"/>
          <w:lang w:val="en-US" w:eastAsia="zh-CN" w:bidi="ar"/>
        </w:rPr>
        <w:t>。</w:t>
      </w:r>
    </w:p>
    <w:p w14:paraId="5B8E2247">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（二）相关建议。</w:t>
      </w:r>
    </w:p>
    <w:p w14:paraId="074C2AB6">
      <w:pPr>
        <w:keepNext w:val="0"/>
        <w:keepLines w:val="0"/>
        <w:widowControl w:val="0"/>
        <w:suppressLineNumbers w:val="0"/>
        <w:spacing w:before="0" w:beforeAutospacing="0" w:after="0" w:afterAutospacing="0"/>
        <w:ind w:left="0" w:right="0" w:firstLine="640"/>
        <w:jc w:val="both"/>
        <w:rPr>
          <w:rFonts w:hint="default" w:ascii="仿宋_GB2312" w:hAnsi="宋体" w:eastAsia="仿宋_GB2312" w:cs="仿宋_GB2312"/>
          <w:kern w:val="2"/>
          <w:sz w:val="32"/>
          <w:szCs w:val="32"/>
          <w:lang w:val="en-US" w:eastAsia="zh-CN" w:bidi="ar"/>
        </w:rPr>
      </w:pPr>
      <w:r>
        <w:rPr>
          <w:rFonts w:hint="default" w:ascii="仿宋_GB2312" w:hAnsi="宋体" w:eastAsia="仿宋_GB2312" w:cs="仿宋_GB2312"/>
          <w:kern w:val="2"/>
          <w:sz w:val="32"/>
          <w:szCs w:val="32"/>
          <w:lang w:val="en-US" w:eastAsia="zh-CN" w:bidi="ar"/>
        </w:rPr>
        <w:t>希望全部纳入惠民惠农一卡通发</w:t>
      </w:r>
    </w:p>
    <w:p w14:paraId="18610B27">
      <w:pPr>
        <w:pStyle w:val="13"/>
        <w:keepNext w:val="0"/>
        <w:keepLines w:val="0"/>
        <w:widowControl w:val="0"/>
        <w:suppressLineNumbers w:val="0"/>
        <w:spacing w:before="0" w:beforeAutospacing="0" w:after="0" w:afterAutospacing="0" w:line="560" w:lineRule="exact"/>
        <w:ind w:left="0" w:right="0"/>
        <w:jc w:val="center"/>
        <w:rPr>
          <w:rFonts w:hint="default" w:ascii="方正小标宋简体" w:hAnsi="宋体" w:eastAsia="方正小标宋简体" w:cs="Times New Roman"/>
          <w:color w:val="000000"/>
          <w:kern w:val="0"/>
          <w:sz w:val="44"/>
          <w:szCs w:val="44"/>
        </w:rPr>
      </w:pPr>
      <w:r>
        <w:rPr>
          <w:rFonts w:hint="default" w:ascii="方正小标宋简体" w:hAnsi="方正小标宋简体" w:eastAsia="方正小标宋简体" w:cs="方正小标宋简体"/>
          <w:color w:val="000000"/>
          <w:kern w:val="0"/>
          <w:sz w:val="44"/>
          <w:szCs w:val="44"/>
          <w:lang w:val="en-US" w:eastAsia="zh-CN" w:bidi="ar"/>
        </w:rPr>
        <w:t>2024年退役安置补助绩效自评报告</w:t>
      </w:r>
    </w:p>
    <w:p w14:paraId="02660D45">
      <w:pPr>
        <w:pStyle w:val="13"/>
        <w:keepNext w:val="0"/>
        <w:keepLines w:val="0"/>
        <w:widowControl w:val="0"/>
        <w:suppressLineNumbers w:val="0"/>
        <w:spacing w:before="0" w:beforeAutospacing="0" w:after="0" w:afterAutospacing="0" w:line="560" w:lineRule="exact"/>
        <w:ind w:left="0" w:right="0" w:firstLine="640"/>
        <w:jc w:val="center"/>
        <w:rPr>
          <w:rFonts w:hint="eastAsia" w:ascii="宋体" w:hAnsi="宋体" w:eastAsia="宋体" w:cs="Times New Roman"/>
          <w:kern w:val="2"/>
          <w:sz w:val="32"/>
          <w:szCs w:val="32"/>
        </w:rPr>
      </w:pPr>
      <w:r>
        <w:rPr>
          <w:rFonts w:hint="eastAsia" w:ascii="宋体" w:hAnsi="宋体" w:eastAsia="宋体" w:cs="Times New Roman"/>
          <w:color w:val="000000"/>
          <w:kern w:val="2"/>
          <w:sz w:val="32"/>
          <w:szCs w:val="32"/>
          <w:lang w:val="en-US" w:eastAsia="zh-CN" w:bidi="ar"/>
        </w:rPr>
        <w:t xml:space="preserve"> </w:t>
      </w:r>
    </w:p>
    <w:p w14:paraId="5C181F94">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2E7B2AED">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退役安置是国家和社会依据立法规定，向退出现役的军人提供就业及其他安置所需资金和服务，使之顺利重返并适应社会的优抚保障制度。安置对象主要包括退伍义务兵、转业复员士官、复员干部以及伤病残士兵。主要内容包括就业</w:t>
      </w:r>
      <w:r>
        <w:rPr>
          <w:rFonts w:hint="eastAsia" w:ascii="仿宋_GB2312" w:eastAsia="仿宋_GB2312" w:cs="仿宋_GB2312"/>
          <w:kern w:val="2"/>
          <w:sz w:val="32"/>
          <w:szCs w:val="32"/>
          <w:lang w:val="en-US" w:eastAsia="zh-CN" w:bidi="ar"/>
        </w:rPr>
        <w:t>介绍</w:t>
      </w:r>
      <w:r>
        <w:rPr>
          <w:rFonts w:hint="default" w:ascii="仿宋_GB2312" w:hAnsi="Times New Roman" w:eastAsia="仿宋_GB2312" w:cs="仿宋_GB2312"/>
          <w:kern w:val="2"/>
          <w:sz w:val="32"/>
          <w:szCs w:val="32"/>
          <w:lang w:val="en-US" w:eastAsia="zh-CN" w:bidi="ar"/>
        </w:rPr>
        <w:t>，同时包括提供教育优待和职业技能培训服务，还有政治待遇、退役金、医疗服务等福利保障。安置形式主要有提供资金，如发放退役安置费、生活津贴等，以及提供就业、就学等方面的服务。管理实施依据国家和地方政策法规，落实各项安置工作，如档案接收审查、资金发放、组织培训、安排就业等。</w:t>
      </w:r>
    </w:p>
    <w:p w14:paraId="7BCA6156">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仿宋_GB2312" w:cs="Times New Roman"/>
          <w:kern w:val="2"/>
          <w:sz w:val="32"/>
          <w:szCs w:val="32"/>
        </w:rPr>
      </w:pPr>
      <w:r>
        <w:rPr>
          <w:rFonts w:hint="eastAsia" w:ascii="楷体" w:hAnsi="楷体" w:eastAsia="楷体" w:cs="楷体"/>
          <w:kern w:val="2"/>
          <w:sz w:val="32"/>
          <w:szCs w:val="32"/>
          <w:lang w:val="en-US" w:eastAsia="zh-CN" w:bidi="ar"/>
        </w:rPr>
        <w:t>（一）项目资金申报及批复情况。</w:t>
      </w:r>
      <w:r>
        <w:rPr>
          <w:rFonts w:hint="default" w:ascii="仿宋_GB2312" w:hAnsi="宋体" w:eastAsia="仿宋_GB2312" w:cs="仿宋_GB2312"/>
          <w:kern w:val="2"/>
          <w:sz w:val="32"/>
          <w:szCs w:val="32"/>
          <w:lang w:val="en-US" w:eastAsia="zh-CN" w:bidi="ar"/>
        </w:rPr>
        <w:t>根据年初预算按要求申报，严格按照资金用途使用。</w:t>
      </w:r>
    </w:p>
    <w:p w14:paraId="73BA8F9C">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仿宋_GB2312" w:cs="Times New Roman"/>
          <w:kern w:val="2"/>
          <w:sz w:val="32"/>
          <w:szCs w:val="32"/>
        </w:rPr>
      </w:pPr>
      <w:r>
        <w:rPr>
          <w:rFonts w:hint="eastAsia" w:ascii="楷体" w:hAnsi="楷体" w:eastAsia="楷体" w:cs="楷体"/>
          <w:kern w:val="2"/>
          <w:sz w:val="32"/>
          <w:szCs w:val="32"/>
          <w:lang w:val="en-US" w:eastAsia="zh-CN" w:bidi="ar"/>
        </w:rPr>
        <w:t>（二）项目绩效目标。</w:t>
      </w:r>
      <w:r>
        <w:rPr>
          <w:rFonts w:hint="default" w:ascii="仿宋_GB2312" w:hAnsi="Times New Roman" w:eastAsia="仿宋_GB2312" w:cs="仿宋_GB2312"/>
          <w:kern w:val="2"/>
          <w:sz w:val="32"/>
          <w:szCs w:val="32"/>
          <w:lang w:val="en-US" w:eastAsia="zh-CN" w:bidi="ar"/>
        </w:rPr>
        <w:t>通过下拨各项退役安置补助资金，提高接收军队离退休干部、军转、退役士兵等各项待遇，维护服务管理机构等正常运转。</w:t>
      </w:r>
    </w:p>
    <w:p w14:paraId="76DA38CB">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（三）项目资金申报相符性。</w:t>
      </w:r>
      <w:r>
        <w:rPr>
          <w:rFonts w:hint="default" w:ascii="仿宋_GB2312" w:hAnsi="Times New Roman" w:eastAsia="仿宋_GB2312" w:cs="仿宋_GB2312"/>
          <w:kern w:val="2"/>
          <w:sz w:val="32"/>
          <w:szCs w:val="32"/>
          <w:lang w:val="en-US" w:eastAsia="zh-CN" w:bidi="ar"/>
        </w:rPr>
        <w:t>我单位退役安置军休干部人数</w:t>
      </w:r>
      <w:r>
        <w:rPr>
          <w:rFonts w:hint="default" w:ascii="Times New Roman" w:hAnsi="Times New Roman" w:eastAsia="仿宋_GB2312" w:cs="Times New Roman"/>
          <w:kern w:val="2"/>
          <w:sz w:val="32"/>
          <w:szCs w:val="32"/>
          <w:lang w:val="en-US" w:eastAsia="zh-CN" w:bidi="ar"/>
        </w:rPr>
        <w:t>6</w:t>
      </w:r>
      <w:r>
        <w:rPr>
          <w:rFonts w:hint="default" w:ascii="仿宋_GB2312" w:hAnsi="Times New Roman" w:eastAsia="仿宋_GB2312" w:cs="仿宋_GB2312"/>
          <w:kern w:val="2"/>
          <w:sz w:val="32"/>
          <w:szCs w:val="32"/>
          <w:lang w:val="en-US" w:eastAsia="zh-CN" w:bidi="ar"/>
        </w:rPr>
        <w:t>人，自主择业军转干部</w:t>
      </w:r>
      <w:r>
        <w:rPr>
          <w:rFonts w:hint="default" w:ascii="Times New Roman" w:hAnsi="Times New Roman" w:eastAsia="仿宋_GB2312" w:cs="Times New Roman"/>
          <w:kern w:val="2"/>
          <w:sz w:val="32"/>
          <w:szCs w:val="32"/>
          <w:lang w:val="en-US" w:eastAsia="zh-CN" w:bidi="ar"/>
        </w:rPr>
        <w:t>27</w:t>
      </w:r>
      <w:r>
        <w:rPr>
          <w:rFonts w:hint="default" w:ascii="仿宋_GB2312" w:hAnsi="Times New Roman" w:eastAsia="仿宋_GB2312" w:cs="仿宋_GB2312"/>
          <w:kern w:val="2"/>
          <w:sz w:val="32"/>
          <w:szCs w:val="32"/>
          <w:lang w:val="en-US" w:eastAsia="zh-CN" w:bidi="ar"/>
        </w:rPr>
        <w:t>人，企业军转干部人数</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人，退役安置人数</w:t>
      </w:r>
      <w:r>
        <w:rPr>
          <w:rFonts w:hint="default" w:ascii="Times New Roman" w:hAnsi="Times New Roman" w:eastAsia="仿宋_GB2312" w:cs="Times New Roman"/>
          <w:kern w:val="2"/>
          <w:sz w:val="32"/>
          <w:szCs w:val="32"/>
          <w:lang w:val="en-US" w:eastAsia="zh-CN" w:bidi="ar"/>
        </w:rPr>
        <w:t>142</w:t>
      </w:r>
      <w:r>
        <w:rPr>
          <w:rFonts w:hint="default" w:ascii="仿宋_GB2312" w:hAnsi="Times New Roman" w:eastAsia="仿宋_GB2312" w:cs="仿宋_GB2312"/>
          <w:kern w:val="2"/>
          <w:sz w:val="32"/>
          <w:szCs w:val="32"/>
          <w:lang w:val="en-US" w:eastAsia="zh-CN" w:bidi="ar"/>
        </w:rPr>
        <w:t>人</w:t>
      </w:r>
      <w:r>
        <w:rPr>
          <w:rFonts w:hint="eastAsia" w:ascii="仿宋_GB2312" w:eastAsia="仿宋_GB2312" w:cs="仿宋_GB2312"/>
          <w:kern w:val="2"/>
          <w:sz w:val="32"/>
          <w:szCs w:val="32"/>
          <w:lang w:val="en-US" w:eastAsia="zh-CN" w:bidi="ar"/>
        </w:rPr>
        <w:t>，退</w:t>
      </w:r>
      <w:r>
        <w:rPr>
          <w:rFonts w:hint="default" w:ascii="仿宋_GB2312" w:hAnsi="Times New Roman" w:eastAsia="仿宋_GB2312" w:cs="仿宋_GB2312"/>
          <w:kern w:val="2"/>
          <w:sz w:val="32"/>
          <w:szCs w:val="32"/>
          <w:lang w:val="en-US" w:eastAsia="zh-CN" w:bidi="ar"/>
        </w:rPr>
        <w:t>役士兵技能培训补助金发放人数大于等于</w:t>
      </w:r>
      <w:r>
        <w:rPr>
          <w:rFonts w:hint="default" w:ascii="Times New Roman" w:hAnsi="Times New Roman" w:eastAsia="仿宋_GB2312" w:cs="Times New Roman"/>
          <w:kern w:val="2"/>
          <w:sz w:val="32"/>
          <w:szCs w:val="32"/>
          <w:lang w:val="en-US" w:eastAsia="zh-CN" w:bidi="ar"/>
        </w:rPr>
        <w:t>50</w:t>
      </w:r>
      <w:r>
        <w:rPr>
          <w:rFonts w:hint="default" w:ascii="仿宋_GB2312" w:hAnsi="Times New Roman" w:eastAsia="仿宋_GB2312" w:cs="仿宋_GB2312"/>
          <w:kern w:val="2"/>
          <w:sz w:val="32"/>
          <w:szCs w:val="32"/>
          <w:lang w:val="en-US" w:eastAsia="zh-CN" w:bidi="ar"/>
        </w:rPr>
        <w:t>人，退役军人创业补贴资金发放</w:t>
      </w:r>
      <w:r>
        <w:rPr>
          <w:rFonts w:hint="default" w:ascii="仿宋_GB2312" w:hAnsi="宋体" w:eastAsia="仿宋_GB2312" w:cs="仿宋_GB2312"/>
          <w:kern w:val="2"/>
          <w:sz w:val="32"/>
          <w:szCs w:val="32"/>
          <w:lang w:val="en-US" w:eastAsia="zh-CN" w:bidi="ar"/>
        </w:rPr>
        <w:t>人数，成功创业总人数大于等于10人，</w:t>
      </w:r>
      <w:r>
        <w:rPr>
          <w:rFonts w:hint="default" w:ascii="仿宋_GB2312" w:hAnsi="Times New Roman" w:eastAsia="仿宋_GB2312" w:cs="仿宋_GB2312"/>
          <w:kern w:val="2"/>
          <w:sz w:val="32"/>
          <w:szCs w:val="32"/>
          <w:lang w:val="en-US" w:eastAsia="zh-CN" w:bidi="ar"/>
        </w:rPr>
        <w:t>计划资金</w:t>
      </w:r>
      <w:r>
        <w:rPr>
          <w:rFonts w:hint="default" w:ascii="Times New Roman" w:hAnsi="Times New Roman" w:eastAsia="仿宋_GB2312" w:cs="Times New Roman"/>
          <w:kern w:val="2"/>
          <w:sz w:val="32"/>
          <w:szCs w:val="32"/>
          <w:lang w:val="en-US" w:eastAsia="zh-CN" w:bidi="ar"/>
        </w:rPr>
        <w:t>500.60</w:t>
      </w:r>
      <w:r>
        <w:rPr>
          <w:rFonts w:hint="default" w:ascii="仿宋_GB2312" w:hAnsi="Times New Roman" w:eastAsia="仿宋_GB2312" w:cs="仿宋_GB2312"/>
          <w:kern w:val="2"/>
          <w:sz w:val="32"/>
          <w:szCs w:val="32"/>
          <w:lang w:val="en-US" w:eastAsia="zh-CN" w:bidi="ar"/>
        </w:rPr>
        <w:t>万元，退役安置金额完成资金</w:t>
      </w:r>
      <w:r>
        <w:rPr>
          <w:rFonts w:hint="default" w:ascii="Times New Roman" w:hAnsi="Times New Roman" w:eastAsia="仿宋_GB2312" w:cs="Times New Roman"/>
          <w:kern w:val="2"/>
          <w:sz w:val="32"/>
          <w:szCs w:val="32"/>
          <w:lang w:val="en-US" w:eastAsia="zh-CN" w:bidi="ar"/>
        </w:rPr>
        <w:t>425.26</w:t>
      </w:r>
      <w:r>
        <w:rPr>
          <w:rFonts w:hint="default" w:ascii="仿宋_GB2312" w:hAnsi="Times New Roman" w:eastAsia="仿宋_GB2312" w:cs="仿宋_GB2312"/>
          <w:kern w:val="2"/>
          <w:sz w:val="32"/>
          <w:szCs w:val="32"/>
          <w:lang w:val="en-US" w:eastAsia="zh-CN" w:bidi="ar"/>
        </w:rPr>
        <w:t>万元，执行率</w:t>
      </w:r>
      <w:r>
        <w:rPr>
          <w:rFonts w:hint="default" w:ascii="Times New Roman" w:hAnsi="Times New Roman" w:eastAsia="仿宋_GB2312" w:cs="Times New Roman"/>
          <w:kern w:val="2"/>
          <w:sz w:val="32"/>
          <w:szCs w:val="32"/>
          <w:lang w:val="en-US" w:eastAsia="zh-CN" w:bidi="ar"/>
        </w:rPr>
        <w:t>84.95%</w:t>
      </w:r>
      <w:r>
        <w:rPr>
          <w:rFonts w:hint="default" w:ascii="仿宋_GB2312" w:hAnsi="Times New Roman" w:eastAsia="仿宋_GB2312" w:cs="仿宋_GB2312"/>
          <w:kern w:val="2"/>
          <w:sz w:val="32"/>
          <w:szCs w:val="32"/>
          <w:lang w:val="en-US" w:eastAsia="zh-CN" w:bidi="ar"/>
        </w:rPr>
        <w:t>。</w:t>
      </w:r>
      <w:r>
        <w:rPr>
          <w:rFonts w:hint="default" w:ascii="仿宋_GB2312" w:hAnsi="宋体" w:eastAsia="仿宋_GB2312" w:cs="仿宋_GB2312"/>
          <w:kern w:val="2"/>
          <w:sz w:val="32"/>
          <w:szCs w:val="32"/>
          <w:lang w:val="en-US" w:eastAsia="zh-CN" w:bidi="ar"/>
        </w:rPr>
        <w:t>实施内容相符、申报目标合理。</w:t>
      </w:r>
    </w:p>
    <w:p w14:paraId="12ADD8B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二、项目实施及管理情况</w:t>
      </w:r>
    </w:p>
    <w:p w14:paraId="7F13B814">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Times New Roman"/>
          <w:kern w:val="2"/>
          <w:sz w:val="32"/>
          <w:szCs w:val="32"/>
          <w:lang w:val="en-US" w:eastAsia="zh-CN" w:bidi="ar"/>
        </w:rPr>
        <w:tab/>
      </w:r>
      <w:r>
        <w:rPr>
          <w:rFonts w:hint="eastAsia" w:ascii="楷体" w:hAnsi="楷体" w:eastAsia="楷体" w:cs="楷体"/>
          <w:kern w:val="2"/>
          <w:sz w:val="32"/>
          <w:szCs w:val="32"/>
          <w:lang w:val="en-US" w:eastAsia="zh-CN" w:bidi="ar"/>
        </w:rPr>
        <w:t>（一）资金计划、到位及使用情况。</w:t>
      </w:r>
    </w:p>
    <w:p w14:paraId="671A0A48">
      <w:pPr>
        <w:keepNext w:val="0"/>
        <w:keepLines w:val="0"/>
        <w:widowControl w:val="0"/>
        <w:suppressLineNumbers w:val="0"/>
        <w:spacing w:before="0" w:beforeAutospacing="0" w:after="0" w:afterAutospacing="0" w:line="600" w:lineRule="exact"/>
        <w:ind w:left="0" w:right="0" w:firstLine="800" w:firstLineChars="25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2024年实际发放退役安置资金</w:t>
      </w:r>
      <w:r>
        <w:rPr>
          <w:rFonts w:hint="default" w:ascii="Times New Roman" w:hAnsi="Times New Roman" w:eastAsia="仿宋_GB2312" w:cs="Times New Roman"/>
          <w:kern w:val="2"/>
          <w:sz w:val="32"/>
          <w:szCs w:val="32"/>
          <w:lang w:val="en-US" w:eastAsia="zh-CN" w:bidi="ar"/>
        </w:rPr>
        <w:t>500.60</w:t>
      </w:r>
      <w:r>
        <w:rPr>
          <w:rFonts w:hint="default" w:ascii="仿宋_GB2312" w:hAnsi="Times New Roman" w:eastAsia="仿宋_GB2312" w:cs="仿宋_GB2312"/>
          <w:kern w:val="2"/>
          <w:sz w:val="32"/>
          <w:szCs w:val="32"/>
          <w:lang w:val="en-US" w:eastAsia="zh-CN" w:bidi="ar"/>
        </w:rPr>
        <w:t>万元，执行进度</w:t>
      </w:r>
      <w:r>
        <w:rPr>
          <w:rFonts w:hint="default" w:ascii="仿宋_GB2312" w:hAnsi="Times New Roman" w:eastAsia="仿宋_GB2312" w:cs="Times New Roman"/>
          <w:kern w:val="2"/>
          <w:sz w:val="32"/>
          <w:szCs w:val="32"/>
          <w:lang w:val="en-US" w:eastAsia="zh-CN" w:bidi="ar"/>
        </w:rPr>
        <w:t>84.95</w:t>
      </w:r>
      <w:r>
        <w:rPr>
          <w:rFonts w:hint="default" w:ascii="仿宋_GB2312" w:hAnsi="Times New Roman" w:eastAsia="仿宋_GB2312" w:cs="仿宋_GB2312"/>
          <w:kern w:val="2"/>
          <w:sz w:val="32"/>
          <w:szCs w:val="32"/>
          <w:lang w:val="en-US" w:eastAsia="zh-CN" w:bidi="ar"/>
        </w:rPr>
        <w:t>%，其中：中央</w:t>
      </w:r>
      <w:r>
        <w:rPr>
          <w:rFonts w:hint="default" w:ascii="仿宋_GB2312" w:hAnsi="Times New Roman" w:eastAsia="仿宋_GB2312" w:cs="Times New Roman"/>
          <w:kern w:val="2"/>
          <w:sz w:val="32"/>
          <w:szCs w:val="32"/>
          <w:lang w:val="en-US" w:eastAsia="zh-CN" w:bidi="ar"/>
        </w:rPr>
        <w:t>212.08</w:t>
      </w:r>
      <w:r>
        <w:rPr>
          <w:rFonts w:hint="default" w:ascii="仿宋_GB2312" w:hAnsi="Times New Roman" w:eastAsia="仿宋_GB2312" w:cs="仿宋_GB2312"/>
          <w:kern w:val="2"/>
          <w:sz w:val="32"/>
          <w:szCs w:val="32"/>
          <w:lang w:val="en-US" w:eastAsia="zh-CN" w:bidi="ar"/>
        </w:rPr>
        <w:t>万元，执行进度</w:t>
      </w:r>
      <w:r>
        <w:rPr>
          <w:rFonts w:hint="default" w:ascii="仿宋_GB2312" w:hAnsi="Times New Roman" w:eastAsia="仿宋_GB2312" w:cs="Times New Roman"/>
          <w:kern w:val="2"/>
          <w:sz w:val="32"/>
          <w:szCs w:val="32"/>
          <w:lang w:val="en-US" w:eastAsia="zh-CN" w:bidi="ar"/>
        </w:rPr>
        <w:t xml:space="preserve"> 69.48 </w:t>
      </w:r>
      <w:r>
        <w:rPr>
          <w:rFonts w:hint="default" w:ascii="仿宋_GB2312" w:hAnsi="Times New Roman" w:eastAsia="仿宋_GB2312" w:cs="仿宋_GB2312"/>
          <w:kern w:val="2"/>
          <w:sz w:val="32"/>
          <w:szCs w:val="32"/>
          <w:lang w:val="en-US" w:eastAsia="zh-CN" w:bidi="ar"/>
        </w:rPr>
        <w:t>%；省级</w:t>
      </w:r>
      <w:r>
        <w:rPr>
          <w:rFonts w:hint="default" w:ascii="仿宋_GB2312" w:hAnsi="Times New Roman" w:eastAsia="仿宋_GB2312" w:cs="Times New Roman"/>
          <w:kern w:val="2"/>
          <w:sz w:val="32"/>
          <w:szCs w:val="32"/>
          <w:lang w:val="en-US" w:eastAsia="zh-CN" w:bidi="ar"/>
        </w:rPr>
        <w:t>69.41</w:t>
      </w:r>
      <w:r>
        <w:rPr>
          <w:rFonts w:hint="default" w:ascii="仿宋_GB2312" w:hAnsi="Times New Roman" w:eastAsia="仿宋_GB2312" w:cs="仿宋_GB2312"/>
          <w:kern w:val="2"/>
          <w:sz w:val="32"/>
          <w:szCs w:val="32"/>
          <w:lang w:val="en-US" w:eastAsia="zh-CN" w:bidi="ar"/>
        </w:rPr>
        <w:t>万元，执行进度</w:t>
      </w:r>
      <w:r>
        <w:rPr>
          <w:rFonts w:hint="default" w:ascii="仿宋_GB2312" w:hAnsi="Times New Roman" w:eastAsia="仿宋_GB2312" w:cs="Times New Roman"/>
          <w:kern w:val="2"/>
          <w:sz w:val="32"/>
          <w:szCs w:val="32"/>
          <w:lang w:val="en-US" w:eastAsia="zh-CN" w:bidi="ar"/>
        </w:rPr>
        <w:t>84.69</w:t>
      </w:r>
      <w:r>
        <w:rPr>
          <w:rFonts w:hint="default" w:ascii="仿宋_GB2312" w:hAnsi="Times New Roman" w:eastAsia="仿宋_GB2312" w:cs="仿宋_GB2312"/>
          <w:kern w:val="2"/>
          <w:sz w:val="32"/>
          <w:szCs w:val="32"/>
          <w:lang w:val="en-US" w:eastAsia="zh-CN" w:bidi="ar"/>
        </w:rPr>
        <w:t>%；县级配套</w:t>
      </w:r>
      <w:r>
        <w:rPr>
          <w:rFonts w:hint="default" w:ascii="仿宋_GB2312" w:hAnsi="Times New Roman" w:eastAsia="仿宋_GB2312" w:cs="Times New Roman"/>
          <w:kern w:val="2"/>
          <w:sz w:val="32"/>
          <w:szCs w:val="32"/>
          <w:lang w:val="en-US" w:eastAsia="zh-CN" w:bidi="ar"/>
        </w:rPr>
        <w:t>219.11</w:t>
      </w:r>
      <w:r>
        <w:rPr>
          <w:rFonts w:hint="default" w:ascii="仿宋_GB2312" w:hAnsi="Times New Roman" w:eastAsia="仿宋_GB2312" w:cs="仿宋_GB2312"/>
          <w:kern w:val="2"/>
          <w:sz w:val="32"/>
          <w:szCs w:val="32"/>
          <w:lang w:val="en-US" w:eastAsia="zh-CN" w:bidi="ar"/>
        </w:rPr>
        <w:t>万元，执行进度100%</w:t>
      </w:r>
      <w:r>
        <w:rPr>
          <w:rFonts w:hint="default" w:ascii="仿宋_GB2312" w:hAnsi="宋体" w:eastAsia="仿宋_GB2312" w:cs="仿宋_GB2312"/>
          <w:kern w:val="2"/>
          <w:sz w:val="32"/>
          <w:szCs w:val="32"/>
          <w:lang w:val="en-US" w:eastAsia="zh-CN" w:bidi="ar"/>
        </w:rPr>
        <w:t>，支付依据合规合法，资金支付与预算相符。</w:t>
      </w:r>
    </w:p>
    <w:p w14:paraId="42EFF8BA">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（二）项目财务管理情况。</w:t>
      </w:r>
    </w:p>
    <w:p w14:paraId="5C173727">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总体评价项目实施单位财务管理制度健全，严格执行财务管理制度，账务处理及时，会计核算规范。</w:t>
      </w:r>
    </w:p>
    <w:p w14:paraId="217681F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（三）项目组织实施情况。</w:t>
      </w:r>
    </w:p>
    <w:p w14:paraId="5FB00F5B">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1. </w:t>
      </w:r>
      <w:r>
        <w:rPr>
          <w:rFonts w:hint="default" w:ascii="仿宋_GB2312" w:hAnsi="Times New Roman" w:eastAsia="仿宋_GB2312" w:cs="仿宋_GB2312"/>
          <w:kern w:val="2"/>
          <w:sz w:val="32"/>
          <w:szCs w:val="32"/>
          <w:lang w:val="en-US" w:eastAsia="zh-CN" w:bidi="ar"/>
        </w:rPr>
        <w:t>符合申领该项补助的人群由业务股室审核，由分管领导和主要领导审查，报局党组会审议通过后，交财务室通过惠民惠农一卡通发放</w:t>
      </w:r>
      <w:r>
        <w:rPr>
          <w:rFonts w:hint="default" w:ascii="Times New Roman" w:hAnsi="Times New Roman" w:eastAsia="仿宋_GB2312" w:cs="Times New Roman"/>
          <w:kern w:val="2"/>
          <w:sz w:val="32"/>
          <w:szCs w:val="32"/>
          <w:lang w:val="en-US" w:eastAsia="zh-CN" w:bidi="ar"/>
        </w:rPr>
        <w:t>;</w:t>
      </w:r>
    </w:p>
    <w:p w14:paraId="26F0614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本部门加强项目管理所采取的定期或不定期的方法对发放情况和退役安置人员的身份进行确认。</w:t>
      </w:r>
    </w:p>
    <w:p w14:paraId="3E02960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三、项目绩效情况</w:t>
      </w:r>
      <w:r>
        <w:rPr>
          <w:rFonts w:hint="default" w:ascii="仿宋_GB2312" w:hAnsi="宋体" w:eastAsia="仿宋_GB2312" w:cs="Times New Roman"/>
          <w:kern w:val="2"/>
          <w:sz w:val="32"/>
          <w:szCs w:val="32"/>
          <w:lang w:val="en-US" w:eastAsia="zh-CN" w:bidi="ar"/>
        </w:rPr>
        <w:tab/>
      </w:r>
    </w:p>
    <w:p w14:paraId="1DFFF8E7">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（一）项目完成情况。</w:t>
      </w:r>
    </w:p>
    <w:p w14:paraId="3328F10B">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楷体_GB2312" w:hAnsi="宋体" w:eastAsia="楷体_GB2312" w:cs="Times New Roman"/>
          <w:b/>
          <w:bCs w:val="0"/>
          <w:kern w:val="2"/>
          <w:sz w:val="32"/>
          <w:szCs w:val="32"/>
        </w:rPr>
      </w:pPr>
      <w:r>
        <w:rPr>
          <w:rFonts w:hint="default" w:ascii="仿宋_GB2312" w:hAnsi="Times New Roman" w:eastAsia="仿宋_GB2312" w:cs="仿宋_GB2312"/>
          <w:kern w:val="2"/>
          <w:sz w:val="32"/>
          <w:szCs w:val="32"/>
          <w:lang w:val="en-US" w:eastAsia="zh-CN" w:bidi="ar"/>
        </w:rPr>
        <w:t>我单位退役安置军休干部人数</w:t>
      </w:r>
      <w:r>
        <w:rPr>
          <w:rFonts w:hint="default" w:ascii="Times New Roman" w:hAnsi="Times New Roman" w:eastAsia="仿宋_GB2312" w:cs="Times New Roman"/>
          <w:kern w:val="2"/>
          <w:sz w:val="32"/>
          <w:szCs w:val="32"/>
          <w:lang w:val="en-US" w:eastAsia="zh-CN" w:bidi="ar"/>
        </w:rPr>
        <w:t>6</w:t>
      </w:r>
      <w:r>
        <w:rPr>
          <w:rFonts w:hint="default" w:ascii="仿宋_GB2312" w:hAnsi="Times New Roman" w:eastAsia="仿宋_GB2312" w:cs="仿宋_GB2312"/>
          <w:kern w:val="2"/>
          <w:sz w:val="32"/>
          <w:szCs w:val="32"/>
          <w:lang w:val="en-US" w:eastAsia="zh-CN" w:bidi="ar"/>
        </w:rPr>
        <w:t>人，自主择业军转干部</w:t>
      </w:r>
      <w:r>
        <w:rPr>
          <w:rFonts w:hint="default" w:ascii="Times New Roman" w:hAnsi="Times New Roman" w:eastAsia="仿宋_GB2312" w:cs="Times New Roman"/>
          <w:kern w:val="2"/>
          <w:sz w:val="32"/>
          <w:szCs w:val="32"/>
          <w:lang w:val="en-US" w:eastAsia="zh-CN" w:bidi="ar"/>
        </w:rPr>
        <w:t>27</w:t>
      </w:r>
      <w:r>
        <w:rPr>
          <w:rFonts w:hint="default" w:ascii="仿宋_GB2312" w:hAnsi="Times New Roman" w:eastAsia="仿宋_GB2312" w:cs="仿宋_GB2312"/>
          <w:kern w:val="2"/>
          <w:sz w:val="32"/>
          <w:szCs w:val="32"/>
          <w:lang w:val="en-US" w:eastAsia="zh-CN" w:bidi="ar"/>
        </w:rPr>
        <w:t>人，企业军转干部人数</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人，退役安置人数</w:t>
      </w:r>
      <w:r>
        <w:rPr>
          <w:rFonts w:hint="default" w:ascii="Times New Roman" w:hAnsi="Times New Roman" w:eastAsia="仿宋_GB2312" w:cs="Times New Roman"/>
          <w:kern w:val="2"/>
          <w:sz w:val="32"/>
          <w:szCs w:val="32"/>
          <w:lang w:val="en-US" w:eastAsia="zh-CN" w:bidi="ar"/>
        </w:rPr>
        <w:t>142</w:t>
      </w:r>
      <w:r>
        <w:rPr>
          <w:rFonts w:hint="default" w:ascii="仿宋_GB2312" w:hAnsi="Times New Roman" w:eastAsia="仿宋_GB2312" w:cs="仿宋_GB2312"/>
          <w:kern w:val="2"/>
          <w:sz w:val="32"/>
          <w:szCs w:val="32"/>
          <w:lang w:val="en-US" w:eastAsia="zh-CN" w:bidi="ar"/>
        </w:rPr>
        <w:t>人</w:t>
      </w:r>
      <w:r>
        <w:rPr>
          <w:rFonts w:hint="eastAsia" w:ascii="仿宋_GB2312" w:eastAsia="仿宋_GB2312" w:cs="仿宋_GB2312"/>
          <w:kern w:val="2"/>
          <w:sz w:val="32"/>
          <w:szCs w:val="32"/>
          <w:lang w:val="en-US" w:eastAsia="zh-CN" w:bidi="ar"/>
        </w:rPr>
        <w:t>，退</w:t>
      </w:r>
      <w:r>
        <w:rPr>
          <w:rFonts w:hint="default" w:ascii="仿宋_GB2312" w:hAnsi="Times New Roman" w:eastAsia="仿宋_GB2312" w:cs="仿宋_GB2312"/>
          <w:kern w:val="2"/>
          <w:sz w:val="32"/>
          <w:szCs w:val="32"/>
          <w:lang w:val="en-US" w:eastAsia="zh-CN" w:bidi="ar"/>
        </w:rPr>
        <w:t>役士兵技能培训补助金发放人数大于等于</w:t>
      </w:r>
      <w:r>
        <w:rPr>
          <w:rFonts w:hint="default" w:ascii="Times New Roman" w:hAnsi="Times New Roman" w:eastAsia="仿宋_GB2312" w:cs="Times New Roman"/>
          <w:kern w:val="2"/>
          <w:sz w:val="32"/>
          <w:szCs w:val="32"/>
          <w:lang w:val="en-US" w:eastAsia="zh-CN" w:bidi="ar"/>
        </w:rPr>
        <w:t>50</w:t>
      </w:r>
      <w:r>
        <w:rPr>
          <w:rFonts w:hint="default" w:ascii="仿宋_GB2312" w:hAnsi="Times New Roman" w:eastAsia="仿宋_GB2312" w:cs="仿宋_GB2312"/>
          <w:kern w:val="2"/>
          <w:sz w:val="32"/>
          <w:szCs w:val="32"/>
          <w:lang w:val="en-US" w:eastAsia="zh-CN" w:bidi="ar"/>
        </w:rPr>
        <w:t>人，退役军人创业补贴资金发放人数，成功创业总人数大于等于</w:t>
      </w:r>
      <w:r>
        <w:rPr>
          <w:rFonts w:hint="default" w:ascii="Times New Roman" w:hAnsi="Times New Roman" w:eastAsia="仿宋_GB2312" w:cs="Times New Roman"/>
          <w:kern w:val="2"/>
          <w:sz w:val="32"/>
          <w:szCs w:val="32"/>
          <w:lang w:val="en-US" w:eastAsia="zh-CN" w:bidi="ar"/>
        </w:rPr>
        <w:t>10</w:t>
      </w:r>
      <w:r>
        <w:rPr>
          <w:rFonts w:hint="default" w:ascii="仿宋_GB2312" w:hAnsi="Times New Roman" w:eastAsia="仿宋_GB2312" w:cs="仿宋_GB2312"/>
          <w:kern w:val="2"/>
          <w:sz w:val="32"/>
          <w:szCs w:val="32"/>
          <w:lang w:val="en-US" w:eastAsia="zh-CN" w:bidi="ar"/>
        </w:rPr>
        <w:t>人，，完成资金</w:t>
      </w:r>
      <w:r>
        <w:rPr>
          <w:rFonts w:hint="default" w:ascii="Times New Roman" w:hAnsi="Times New Roman" w:eastAsia="仿宋_GB2312" w:cs="Times New Roman"/>
          <w:kern w:val="2"/>
          <w:sz w:val="32"/>
          <w:szCs w:val="32"/>
          <w:lang w:val="en-US" w:eastAsia="zh-CN" w:bidi="ar"/>
        </w:rPr>
        <w:t>500.06</w:t>
      </w:r>
      <w:r>
        <w:rPr>
          <w:rFonts w:hint="default" w:ascii="仿宋_GB2312" w:hAnsi="Times New Roman" w:eastAsia="仿宋_GB2312" w:cs="仿宋_GB2312"/>
          <w:kern w:val="2"/>
          <w:sz w:val="32"/>
          <w:szCs w:val="32"/>
          <w:lang w:val="en-US" w:eastAsia="zh-CN" w:bidi="ar"/>
        </w:rPr>
        <w:t>万元，</w:t>
      </w:r>
      <w:r>
        <w:rPr>
          <w:rFonts w:hint="default" w:ascii="仿宋_GB2312" w:hAnsi="宋体" w:eastAsia="仿宋_GB2312" w:cs="仿宋_GB2312"/>
          <w:kern w:val="2"/>
          <w:sz w:val="32"/>
          <w:szCs w:val="32"/>
          <w:lang w:val="en-US" w:eastAsia="zh-CN" w:bidi="ar"/>
        </w:rPr>
        <w:t>无违规记录。</w:t>
      </w:r>
    </w:p>
    <w:p w14:paraId="321F3D5E">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（二）项目效益情况。</w:t>
      </w:r>
      <w:r>
        <w:rPr>
          <w:rFonts w:hint="default" w:ascii="仿宋_GB2312" w:hAnsi="Times New Roman" w:eastAsia="仿宋_GB2312" w:cs="仿宋_GB2312"/>
          <w:kern w:val="2"/>
          <w:sz w:val="32"/>
          <w:szCs w:val="32"/>
          <w:lang w:val="en-US" w:eastAsia="zh-CN" w:bidi="ar"/>
        </w:rPr>
        <w:t>根据《退役军人安置条例》</w:t>
      </w:r>
      <w:r>
        <w:rPr>
          <w:rFonts w:hint="default" w:ascii="仿宋_GB2312" w:hAnsi="宋体" w:eastAsia="仿宋_GB2312" w:cs="仿宋_GB2312"/>
          <w:kern w:val="2"/>
          <w:sz w:val="32"/>
          <w:szCs w:val="32"/>
          <w:lang w:val="en-US" w:eastAsia="zh-CN" w:bidi="ar"/>
        </w:rPr>
        <w:t>，对军休干部，自主择业军转干部，退役士兵等发放补助，让自主就业退役士兵在就业、创业等方面得到有效保障，让退役军人感受到了国家的关心关怀，促进军队稳定社会和谐。</w:t>
      </w:r>
    </w:p>
    <w:p w14:paraId="1DFBDDC9">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楷体_GB2312" w:hAnsi="宋体" w:eastAsia="楷体_GB2312" w:cs="Times New Roman"/>
          <w:b/>
          <w:bCs w:val="0"/>
          <w:kern w:val="2"/>
          <w:sz w:val="32"/>
          <w:szCs w:val="32"/>
        </w:rPr>
      </w:pPr>
      <w:r>
        <w:rPr>
          <w:rFonts w:hint="default" w:ascii="仿宋_GB2312" w:hAnsi="宋体" w:eastAsia="仿宋_GB2312" w:cs="仿宋_GB2312"/>
          <w:kern w:val="2"/>
          <w:sz w:val="32"/>
          <w:szCs w:val="32"/>
          <w:lang w:val="en-US" w:eastAsia="zh-CN" w:bidi="ar"/>
        </w:rPr>
        <w:t>本项目的主要内容是发放退役士兵补助，提高他们的</w:t>
      </w:r>
      <w:r>
        <w:rPr>
          <w:rFonts w:hint="eastAsia" w:ascii="仿宋_GB2312" w:hAnsi="宋体" w:eastAsia="仿宋_GB2312" w:cs="仿宋_GB2312"/>
          <w:kern w:val="2"/>
          <w:sz w:val="32"/>
          <w:szCs w:val="32"/>
          <w:lang w:val="en-US" w:eastAsia="zh-CN" w:bidi="ar"/>
        </w:rPr>
        <w:t>就业</w:t>
      </w:r>
      <w:r>
        <w:rPr>
          <w:rFonts w:hint="default" w:ascii="仿宋_GB2312" w:hAnsi="宋体" w:eastAsia="仿宋_GB2312" w:cs="仿宋_GB2312"/>
          <w:kern w:val="2"/>
          <w:sz w:val="32"/>
          <w:szCs w:val="32"/>
          <w:lang w:val="en-US" w:eastAsia="zh-CN" w:bidi="ar"/>
        </w:rPr>
        <w:t>创业能力。每年根据退役士兵回乡报到的人数、服役年、标准进行计算发放金额，并按政策规定及时通过银行卡发到退役士兵手中。，服务对象满意度95%。</w:t>
      </w:r>
    </w:p>
    <w:p w14:paraId="2DD5752E">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四、问题及建议</w:t>
      </w:r>
    </w:p>
    <w:p w14:paraId="4C155EF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（一）存在的问题。</w:t>
      </w:r>
    </w:p>
    <w:p w14:paraId="38AAF062">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default" w:ascii="仿宋_GB2312" w:hAnsi="宋体" w:eastAsia="仿宋_GB2312" w:cs="仿宋_GB2312"/>
          <w:kern w:val="2"/>
          <w:sz w:val="32"/>
          <w:szCs w:val="32"/>
          <w:lang w:val="en-US" w:eastAsia="zh-CN" w:bidi="ar"/>
        </w:rPr>
        <w:t>发放银行卡更新不及时，退役安置对象换卡后资金发放后才发放单位才知晓。</w:t>
      </w:r>
    </w:p>
    <w:p w14:paraId="230CBC22">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（二）相关建议。</w:t>
      </w:r>
    </w:p>
    <w:p w14:paraId="179541B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 xml:space="preserve">    </w:t>
      </w:r>
      <w:r>
        <w:rPr>
          <w:rFonts w:hint="default" w:ascii="仿宋_GB2312" w:hAnsi="宋体" w:eastAsia="仿宋_GB2312" w:cs="仿宋_GB2312"/>
          <w:kern w:val="2"/>
          <w:sz w:val="32"/>
          <w:szCs w:val="32"/>
          <w:lang w:val="en-US" w:eastAsia="zh-CN" w:bidi="ar"/>
        </w:rPr>
        <w:t>加强业务科室和相关退役对象的联系，对“惠民惠农一卡通银行卡实行有效管理。</w:t>
      </w:r>
    </w:p>
    <w:p w14:paraId="66751AA8">
      <w:pPr>
        <w:keepNext w:val="0"/>
        <w:keepLines w:val="0"/>
        <w:widowControl w:val="0"/>
        <w:suppressLineNumbers w:val="0"/>
        <w:adjustRightInd w:val="0"/>
        <w:snapToGrid w:val="0"/>
        <w:spacing w:before="0" w:beforeAutospacing="0" w:after="0" w:afterAutospacing="0" w:line="560" w:lineRule="exact"/>
        <w:ind w:left="0" w:right="0" w:firstLine="72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盐边县退役军人事务局2024年烈士</w:t>
      </w:r>
    </w:p>
    <w:p w14:paraId="5EB70FD0">
      <w:pPr>
        <w:keepNext w:val="0"/>
        <w:keepLines w:val="0"/>
        <w:widowControl w:val="0"/>
        <w:suppressLineNumbers w:val="0"/>
        <w:adjustRightInd w:val="0"/>
        <w:snapToGrid w:val="0"/>
        <w:spacing w:before="0" w:beforeAutospacing="0" w:after="0" w:afterAutospacing="0" w:line="560" w:lineRule="exact"/>
        <w:ind w:left="0" w:right="0" w:firstLine="72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纪念褒扬活动经费项目</w:t>
      </w:r>
    </w:p>
    <w:p w14:paraId="20C653F8">
      <w:pPr>
        <w:keepNext w:val="0"/>
        <w:keepLines w:val="0"/>
        <w:widowControl w:val="0"/>
        <w:suppressLineNumbers w:val="0"/>
        <w:adjustRightInd w:val="0"/>
        <w:snapToGrid w:val="0"/>
        <w:spacing w:before="0" w:beforeAutospacing="0" w:after="0" w:afterAutospacing="0" w:line="560" w:lineRule="exact"/>
        <w:ind w:left="0" w:right="0" w:firstLine="720"/>
        <w:jc w:val="center"/>
        <w:rPr>
          <w:rFonts w:hint="default" w:ascii="方正小标宋简体" w:hAnsi="宋体"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绩效自评报告</w:t>
      </w:r>
    </w:p>
    <w:p w14:paraId="4D5A6A36">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44F1AB9A">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加强烈士纪念设施保护管理，传承弘扬英烈精神，更好发挥烈士纪念设施褒扬英烈，教育后人的红色资源作用，根据</w:t>
      </w:r>
      <w:r>
        <w:rPr>
          <w:rFonts w:hint="eastAsia" w:ascii="仿宋_GB2312" w:eastAsia="仿宋_GB2312" w:cs="仿宋_GB2312"/>
          <w:kern w:val="2"/>
          <w:sz w:val="32"/>
          <w:szCs w:val="32"/>
          <w:lang w:val="en-US" w:eastAsia="zh-CN" w:bidi="ar"/>
        </w:rPr>
        <w:t>《中华人民共和国英雄烈士保护法》</w:t>
      </w:r>
      <w:r>
        <w:rPr>
          <w:rFonts w:hint="default" w:ascii="仿宋_GB2312" w:hAnsi="Times New Roman" w:eastAsia="仿宋_GB2312" w:cs="仿宋_GB2312"/>
          <w:kern w:val="2"/>
          <w:sz w:val="32"/>
          <w:szCs w:val="32"/>
          <w:lang w:val="en-US" w:eastAsia="zh-CN" w:bidi="ar"/>
        </w:rPr>
        <w:t>，《烈士褒扬条例》，《烈士纪念设施管理办法》和国家有关规定，自成立退役军人事务局以来，烈士纪念设施保护中心开展的工作得到了社会各界的肯定和群众的好评。</w:t>
      </w:r>
    </w:p>
    <w:p w14:paraId="37E4D787">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（一）项目资金申报及批复情况。根据年初预算按要求申报，严格按照资金用途使用。</w:t>
      </w:r>
    </w:p>
    <w:p w14:paraId="099ED170">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eastAsia" w:ascii="楷体" w:hAnsi="楷体" w:eastAsia="楷体" w:cs="楷体"/>
          <w:kern w:val="2"/>
          <w:sz w:val="32"/>
          <w:szCs w:val="32"/>
          <w:lang w:val="en-US" w:eastAsia="zh-CN" w:bidi="ar"/>
        </w:rPr>
        <w:t>（二）项目绩效目标。</w:t>
      </w:r>
      <w:r>
        <w:rPr>
          <w:rFonts w:hint="default" w:ascii="仿宋_GB2312" w:hAnsi="Times New Roman" w:eastAsia="仿宋_GB2312" w:cs="仿宋_GB2312"/>
          <w:kern w:val="2"/>
          <w:sz w:val="32"/>
          <w:szCs w:val="32"/>
          <w:lang w:val="en-US" w:eastAsia="zh-CN" w:bidi="ar"/>
        </w:rPr>
        <w:t>盐边县烈士褒扬纪念活动经费：“清明节”祭扫活动“</w:t>
      </w:r>
      <w:r>
        <w:rPr>
          <w:rFonts w:hint="default" w:ascii="Times New Roman" w:hAnsi="Times New Roman" w:eastAsia="仿宋_GB2312" w:cs="Times New Roman"/>
          <w:kern w:val="2"/>
          <w:sz w:val="32"/>
          <w:szCs w:val="32"/>
          <w:lang w:val="en-US" w:eastAsia="zh-CN" w:bidi="ar"/>
        </w:rPr>
        <w:t>9.30</w:t>
      </w:r>
      <w:r>
        <w:rPr>
          <w:rFonts w:hint="default" w:ascii="仿宋_GB2312" w:hAnsi="Times New Roman" w:eastAsia="仿宋_GB2312" w:cs="仿宋_GB2312"/>
          <w:kern w:val="2"/>
          <w:sz w:val="32"/>
          <w:szCs w:val="32"/>
          <w:lang w:val="en-US" w:eastAsia="zh-CN" w:bidi="ar"/>
        </w:rPr>
        <w:t>烈士公祭日”（仪式用花篮、鲜花、广告标、氛围营造、铺红毯矿泉水等）。盐边县烈士陵园是攀枝花市现场祭扫主会场，由市委、市政府主持，活动提升了规模及规格，增加了花篮、大量鲜花营造气氛等费用；烈士寻亲逐年增加，同时增加了花篮、鲜花、视频制作等费用。</w:t>
      </w:r>
    </w:p>
    <w:p w14:paraId="3231085F">
      <w:pPr>
        <w:keepNext w:val="0"/>
        <w:keepLines w:val="0"/>
        <w:widowControl w:val="0"/>
        <w:suppressLineNumbers w:val="0"/>
        <w:spacing w:before="0" w:beforeAutospacing="0" w:after="0" w:afterAutospacing="0" w:line="360" w:lineRule="auto"/>
        <w:ind w:left="0" w:right="0" w:firstLine="640" w:firstLineChars="20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（三）项目资金申报相符性。</w:t>
      </w:r>
      <w:r>
        <w:rPr>
          <w:rFonts w:hint="default" w:ascii="仿宋_GB2312" w:hAnsi="宋体" w:eastAsia="仿宋_GB2312" w:cs="仿宋_GB2312"/>
          <w:kern w:val="2"/>
          <w:sz w:val="32"/>
          <w:szCs w:val="32"/>
          <w:lang w:val="en-US" w:eastAsia="zh-CN" w:bidi="ar"/>
        </w:rPr>
        <w:t>2011年7月26日中华人民共和国国务院令第601号公布《烈士褒扬条例》、（2013年6月27日民政部令第47号公布，2022年1月24日退役军人事务部令第6号修订）烈士纪念设施保护管理办法第六条：县级以上人民政府退役军人工作主管部门会同财政、发展改革等部门安排烈士纪念设施保护管理和维修改造经费，用于烈士纪念设施维修改造、设备更新、环境整治、展陈宣传和祭扫纪念活动等工作，接受财政、审计部门和社会监督。实施内容相符、申报目标合理。</w:t>
      </w:r>
    </w:p>
    <w:p w14:paraId="1744428E">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二、项目实施及管理情况</w:t>
      </w:r>
    </w:p>
    <w:p w14:paraId="4C377D0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Times New Roman"/>
          <w:kern w:val="2"/>
          <w:sz w:val="32"/>
          <w:szCs w:val="32"/>
          <w:lang w:val="en-US" w:eastAsia="zh-CN" w:bidi="ar"/>
        </w:rPr>
        <w:tab/>
      </w:r>
      <w:r>
        <w:rPr>
          <w:rFonts w:hint="eastAsia" w:ascii="楷体" w:hAnsi="楷体" w:eastAsia="楷体" w:cs="楷体"/>
          <w:kern w:val="2"/>
          <w:sz w:val="32"/>
          <w:szCs w:val="32"/>
          <w:lang w:val="en-US" w:eastAsia="zh-CN" w:bidi="ar"/>
        </w:rPr>
        <w:t>（一）资金计划、到位及使用情况。</w:t>
      </w:r>
    </w:p>
    <w:p w14:paraId="17E2187D">
      <w:pPr>
        <w:keepNext w:val="0"/>
        <w:keepLines w:val="0"/>
        <w:widowControl w:val="0"/>
        <w:suppressLineNumbers w:val="0"/>
        <w:spacing w:before="0" w:beforeAutospacing="0" w:after="0" w:afterAutospacing="0"/>
        <w:ind w:left="0" w:right="0" w:firstLine="640" w:firstLineChars="200"/>
        <w:jc w:val="both"/>
        <w:rPr>
          <w:rFonts w:hint="default" w:ascii="仿宋_GB2312"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年烈士纪念褒扬活动经费，计划资金</w:t>
      </w:r>
      <w:r>
        <w:rPr>
          <w:rFonts w:hint="default" w:ascii="Times New Roman" w:hAnsi="Times New Roman" w:eastAsia="仿宋_GB2312" w:cs="Times New Roman"/>
          <w:kern w:val="2"/>
          <w:sz w:val="32"/>
          <w:szCs w:val="32"/>
          <w:lang w:val="en-US" w:eastAsia="zh-CN" w:bidi="ar"/>
        </w:rPr>
        <w:t>5.03</w:t>
      </w:r>
      <w:r>
        <w:rPr>
          <w:rFonts w:hint="default" w:ascii="仿宋_GB2312" w:hAnsi="Times New Roman"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年烈保中心运行经费，完成资金</w:t>
      </w:r>
      <w:r>
        <w:rPr>
          <w:rFonts w:hint="default" w:ascii="Times New Roman" w:hAnsi="Times New Roman" w:eastAsia="仿宋_GB2312" w:cs="Times New Roman"/>
          <w:kern w:val="2"/>
          <w:sz w:val="32"/>
          <w:szCs w:val="32"/>
          <w:lang w:val="en-US" w:eastAsia="zh-CN" w:bidi="ar"/>
        </w:rPr>
        <w:t>14.82</w:t>
      </w:r>
      <w:r>
        <w:rPr>
          <w:rFonts w:hint="default" w:ascii="仿宋_GB2312" w:hAnsi="Times New Roman" w:eastAsia="仿宋_GB2312" w:cs="仿宋_GB2312"/>
          <w:kern w:val="2"/>
          <w:sz w:val="32"/>
          <w:szCs w:val="32"/>
          <w:lang w:val="en-US" w:eastAsia="zh-CN" w:bidi="ar"/>
        </w:rPr>
        <w:t>万元，攀枝花市向人民英雄献花篮仪式活动经费</w:t>
      </w:r>
      <w:r>
        <w:rPr>
          <w:rFonts w:hint="default" w:ascii="Times New Roman" w:hAnsi="Times New Roman" w:eastAsia="仿宋_GB2312" w:cs="Times New Roman"/>
          <w:kern w:val="2"/>
          <w:sz w:val="32"/>
          <w:szCs w:val="32"/>
          <w:lang w:val="en-US" w:eastAsia="zh-CN" w:bidi="ar"/>
        </w:rPr>
        <w:t>8.41</w:t>
      </w:r>
      <w:r>
        <w:rPr>
          <w:rFonts w:hint="default" w:ascii="仿宋_GB2312" w:hAnsi="Times New Roman"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2023</w:t>
      </w:r>
      <w:r>
        <w:rPr>
          <w:rFonts w:hint="default" w:ascii="仿宋_GB2312" w:hAnsi="Times New Roman" w:eastAsia="仿宋_GB2312" w:cs="仿宋_GB2312"/>
          <w:kern w:val="2"/>
          <w:sz w:val="32"/>
          <w:szCs w:val="32"/>
          <w:lang w:val="en-US" w:eastAsia="zh-CN" w:bidi="ar"/>
        </w:rPr>
        <w:t>年烈士纪念展陈项目尾款</w:t>
      </w:r>
      <w:r>
        <w:rPr>
          <w:rFonts w:hint="default" w:ascii="Times New Roman" w:hAnsi="Times New Roman" w:eastAsia="仿宋_GB2312" w:cs="Times New Roman"/>
          <w:kern w:val="2"/>
          <w:sz w:val="32"/>
          <w:szCs w:val="32"/>
          <w:lang w:val="en-US" w:eastAsia="zh-CN" w:bidi="ar"/>
        </w:rPr>
        <w:t>39.41</w:t>
      </w:r>
      <w:r>
        <w:rPr>
          <w:rFonts w:hint="default" w:ascii="仿宋_GB2312" w:hAnsi="Times New Roman" w:eastAsia="仿宋_GB2312" w:cs="仿宋_GB2312"/>
          <w:kern w:val="2"/>
          <w:sz w:val="32"/>
          <w:szCs w:val="32"/>
          <w:lang w:val="en-US" w:eastAsia="zh-CN" w:bidi="ar"/>
        </w:rPr>
        <w:t>万元，执行率</w:t>
      </w:r>
      <w:r>
        <w:rPr>
          <w:rFonts w:hint="default" w:ascii="Times New Roman" w:hAnsi="Times New Roman" w:eastAsia="仿宋_GB2312" w:cs="Times New Roman"/>
          <w:kern w:val="2"/>
          <w:sz w:val="32"/>
          <w:szCs w:val="32"/>
          <w:lang w:val="en-US" w:eastAsia="zh-CN" w:bidi="ar"/>
        </w:rPr>
        <w:t>100%</w:t>
      </w:r>
      <w:r>
        <w:rPr>
          <w:rFonts w:hint="eastAsia" w:eastAsia="仿宋_GB2312" w:cs="Times New Roman"/>
          <w:kern w:val="2"/>
          <w:sz w:val="32"/>
          <w:szCs w:val="32"/>
          <w:lang w:val="en-US" w:eastAsia="zh-CN" w:bidi="ar"/>
        </w:rPr>
        <w:t>。</w:t>
      </w:r>
    </w:p>
    <w:p w14:paraId="11815229">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（二）项目财务管理情况。</w:t>
      </w:r>
    </w:p>
    <w:p w14:paraId="1BBF5E2D">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总体评价项目实施单位财务管理制度健全，严格执行财务管理制度，账务处理及时，会计核算规范。</w:t>
      </w:r>
    </w:p>
    <w:p w14:paraId="019AAA5C">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（三）项目组织实施情况。</w:t>
      </w:r>
    </w:p>
    <w:p w14:paraId="5A1ECB99">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此项目组织机构健全，职责分工明确，组织管理机构能够可持续运转，由本单位烈保中心、办公室、财务具体负责实施；项目内容明确具体，按工作实际使用相关经费，项目绩效目标得到有效执行。</w:t>
      </w:r>
    </w:p>
    <w:p w14:paraId="74C8FC6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三、项目绩效情况</w:t>
      </w:r>
      <w:r>
        <w:rPr>
          <w:rFonts w:hint="default" w:ascii="仿宋_GB2312" w:hAnsi="宋体" w:eastAsia="仿宋_GB2312" w:cs="Times New Roman"/>
          <w:kern w:val="2"/>
          <w:sz w:val="32"/>
          <w:szCs w:val="32"/>
          <w:lang w:val="en-US" w:eastAsia="zh-CN" w:bidi="ar"/>
        </w:rPr>
        <w:tab/>
      </w:r>
    </w:p>
    <w:p w14:paraId="79BE86E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（一）项目完成情况。</w:t>
      </w:r>
    </w:p>
    <w:p w14:paraId="05CFD873">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楷体_GB2312" w:hAnsi="宋体" w:eastAsia="楷体_GB2312" w:cs="Times New Roman"/>
          <w:b/>
          <w:bCs w:val="0"/>
          <w:kern w:val="2"/>
          <w:sz w:val="32"/>
          <w:szCs w:val="32"/>
        </w:rPr>
      </w:pPr>
      <w:r>
        <w:rPr>
          <w:rFonts w:hint="default" w:ascii="仿宋_GB2312" w:hAnsi="宋体" w:eastAsia="仿宋_GB2312" w:cs="仿宋_GB2312"/>
          <w:kern w:val="2"/>
          <w:sz w:val="32"/>
          <w:szCs w:val="32"/>
          <w:lang w:val="en-US" w:eastAsia="zh-CN" w:bidi="ar"/>
        </w:rPr>
        <w:t>2024年烈士纪念褒扬活动经费，计划资金5.03万元，2024年烈保中心运行经费，完成资金14.82万元，攀枝花市向人民英雄献花篮仪式活动经费8.41万元，2023年烈士纪念展陈项目尾款39.41万元，执行率100%，无违规记录。</w:t>
      </w:r>
    </w:p>
    <w:p w14:paraId="5CC13CC8">
      <w:pPr>
        <w:keepNext w:val="0"/>
        <w:keepLines w:val="0"/>
        <w:widowControl w:val="0"/>
        <w:numPr>
          <w:ilvl w:val="0"/>
          <w:numId w:val="2"/>
        </w:numPr>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项目效益情况。</w:t>
      </w:r>
      <w:r>
        <w:rPr>
          <w:rFonts w:hint="default" w:ascii="仿宋_GB2312" w:hAnsi="宋体" w:eastAsia="仿宋_GB2312" w:cs="仿宋_GB2312"/>
          <w:kern w:val="2"/>
          <w:sz w:val="32"/>
          <w:szCs w:val="32"/>
          <w:lang w:val="en-US" w:eastAsia="zh-CN" w:bidi="ar"/>
        </w:rPr>
        <w:t>自成立退役军人事务局以来，烈士纪念设施保护中心开展的工作得到了社会各界的肯定和群众的好评。</w:t>
      </w:r>
    </w:p>
    <w:p w14:paraId="25E2B02E">
      <w:pPr>
        <w:keepNext w:val="0"/>
        <w:keepLines w:val="0"/>
        <w:widowControl w:val="0"/>
        <w:numPr>
          <w:ilvl w:val="0"/>
          <w:numId w:val="2"/>
        </w:numPr>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四、问题及建议</w:t>
      </w:r>
    </w:p>
    <w:p w14:paraId="5DDEF425">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（一）存在的问题。</w:t>
      </w:r>
    </w:p>
    <w:p w14:paraId="707AC117">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default" w:ascii="仿宋_GB2312" w:hAnsi="宋体" w:eastAsia="仿宋_GB2312" w:cs="仿宋_GB2312"/>
          <w:kern w:val="2"/>
          <w:sz w:val="32"/>
          <w:szCs w:val="32"/>
          <w:lang w:val="en-US" w:eastAsia="zh-CN" w:bidi="ar"/>
        </w:rPr>
        <w:t>褒扬纪念活动形式和内容有待创新，褒扬纪念设施有待完善，教育效果不持久，活动集中在特定纪念日，缺乏持续性教育，未能有效引导公众将纪念内涵转化为日常行为。</w:t>
      </w:r>
    </w:p>
    <w:p w14:paraId="0F2220C2">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（二）相关建议。</w:t>
      </w:r>
    </w:p>
    <w:p w14:paraId="4ECDAC1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 xml:space="preserve">    </w:t>
      </w:r>
      <w:r>
        <w:rPr>
          <w:rFonts w:hint="default" w:ascii="仿宋_GB2312" w:hAnsi="宋体" w:eastAsia="仿宋_GB2312" w:cs="仿宋_GB2312"/>
          <w:kern w:val="2"/>
          <w:sz w:val="32"/>
          <w:szCs w:val="32"/>
          <w:lang w:val="en-US" w:eastAsia="zh-CN" w:bidi="ar"/>
        </w:rPr>
        <w:t>加强创新宣传推广，优化资源整合管理协同联动丰富展陈内容，深化教育效果将褒扬纪念融入社区教育计划。</w:t>
      </w:r>
    </w:p>
    <w:p w14:paraId="7AD572C9">
      <w:pPr>
        <w:keepNext w:val="0"/>
        <w:keepLines w:val="0"/>
        <w:widowControl w:val="0"/>
        <w:suppressLineNumbers w:val="0"/>
        <w:adjustRightInd w:val="0"/>
        <w:snapToGrid w:val="0"/>
        <w:spacing w:before="0" w:beforeAutospacing="0" w:after="0" w:afterAutospacing="0" w:line="560" w:lineRule="exact"/>
        <w:ind w:left="0" w:right="0" w:firstLine="720"/>
        <w:jc w:val="center"/>
        <w:rPr>
          <w:rFonts w:hint="eastAsia" w:ascii="微软雅黑" w:hAnsi="微软雅黑" w:eastAsia="微软雅黑" w:cs="微软雅黑"/>
          <w:kern w:val="2"/>
          <w:sz w:val="44"/>
          <w:szCs w:val="44"/>
        </w:rPr>
      </w:pPr>
      <w:r>
        <w:rPr>
          <w:rFonts w:hint="eastAsia" w:ascii="微软雅黑" w:hAnsi="微软雅黑" w:eastAsia="微软雅黑" w:cs="微软雅黑"/>
          <w:kern w:val="2"/>
          <w:sz w:val="44"/>
          <w:szCs w:val="44"/>
          <w:lang w:val="en-US" w:eastAsia="zh-CN" w:bidi="ar"/>
        </w:rPr>
        <w:t>盐边县烈士陵园提质改造项目</w:t>
      </w:r>
    </w:p>
    <w:p w14:paraId="240202CC">
      <w:pPr>
        <w:keepNext w:val="0"/>
        <w:keepLines w:val="0"/>
        <w:widowControl w:val="0"/>
        <w:suppressLineNumbers w:val="0"/>
        <w:adjustRightInd w:val="0"/>
        <w:snapToGrid w:val="0"/>
        <w:spacing w:before="0" w:beforeAutospacing="0" w:after="0" w:afterAutospacing="0" w:line="560" w:lineRule="exact"/>
        <w:ind w:left="0" w:right="0" w:firstLine="720"/>
        <w:jc w:val="center"/>
        <w:rPr>
          <w:rFonts w:hint="eastAsia" w:ascii="微软雅黑" w:hAnsi="微软雅黑" w:eastAsia="微软雅黑" w:cs="微软雅黑"/>
          <w:kern w:val="2"/>
          <w:sz w:val="44"/>
          <w:szCs w:val="44"/>
        </w:rPr>
      </w:pPr>
      <w:r>
        <w:rPr>
          <w:rFonts w:hint="eastAsia" w:ascii="微软雅黑" w:hAnsi="微软雅黑" w:eastAsia="微软雅黑" w:cs="微软雅黑"/>
          <w:kern w:val="2"/>
          <w:sz w:val="44"/>
          <w:szCs w:val="44"/>
          <w:lang w:val="en-US" w:eastAsia="zh-CN" w:bidi="ar"/>
        </w:rPr>
        <w:t>绩效目标自评报告</w:t>
      </w:r>
    </w:p>
    <w:p w14:paraId="67FD9EE1">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040AE96B">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本项目为社会公益事业项目，符合国家发展改革委、民政部、退役军人事务部、中国残联等四部委《“十四五”时期社会服务设施建设支持工程实施方案》中退役军人褒扬优抚服务体系方面烈士纪念设施投资方向政策要求盐边县烈士陵园提质改造项目，该项目主要建筑面积4200平方米。改扩建陵园出入口消防通道、停车场，改造纪念碑、纪念广场、烈士墓区及烈士墓，治理边坡，设立完善大门入口标识标牌完善绿化及配套设施。项目总投资项目投资概算1174.383万元（其中中央资金800万元，地方配套资金374.383万元）。</w:t>
      </w:r>
    </w:p>
    <w:p w14:paraId="3CC1211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（一</w:t>
      </w:r>
      <w:r>
        <w:rPr>
          <w:rFonts w:hint="eastAsia" w:ascii="微软雅黑" w:hAnsi="微软雅黑" w:eastAsia="微软雅黑" w:cs="微软雅黑"/>
          <w:kern w:val="2"/>
          <w:sz w:val="32"/>
          <w:szCs w:val="32"/>
          <w:lang w:val="en-US" w:eastAsia="zh-CN" w:bidi="ar"/>
        </w:rPr>
        <w:t>）项目资金申报及批复情况</w:t>
      </w:r>
      <w:r>
        <w:rPr>
          <w:rFonts w:hint="default" w:ascii="仿宋_GB2312" w:hAnsi="宋体" w:eastAsia="仿宋_GB2312" w:cs="仿宋_GB2312"/>
          <w:kern w:val="2"/>
          <w:sz w:val="32"/>
          <w:szCs w:val="32"/>
          <w:lang w:val="en-US" w:eastAsia="zh-CN" w:bidi="ar"/>
        </w:rPr>
        <w:t>项目总投资项目投资概算1174.383万元（其中中央资金800万元，地方配套资金374.383万元）。2</w:t>
      </w:r>
      <w:r>
        <w:rPr>
          <w:rFonts w:hint="default" w:ascii="仿宋_GB2312" w:hAnsi="宋体" w:eastAsia="仿宋_GB2312" w:cs="Times New Roman"/>
          <w:kern w:val="2"/>
          <w:sz w:val="32"/>
          <w:szCs w:val="32"/>
          <w:lang w:val="en-US" w:eastAsia="zh-CN" w:bidi="ar"/>
        </w:rPr>
        <w:t>024</w:t>
      </w:r>
      <w:r>
        <w:rPr>
          <w:rFonts w:hint="default" w:ascii="仿宋_GB2312" w:hAnsi="宋体" w:eastAsia="仿宋_GB2312" w:cs="仿宋_GB2312"/>
          <w:kern w:val="2"/>
          <w:sz w:val="32"/>
          <w:szCs w:val="32"/>
          <w:lang w:val="en-US" w:eastAsia="zh-CN" w:bidi="ar"/>
        </w:rPr>
        <w:t>年该项目拨付资金为800</w:t>
      </w:r>
      <w:r>
        <w:rPr>
          <w:rFonts w:hint="eastAsia" w:ascii="仿宋_GB2312" w:hAnsi="宋体" w:eastAsia="仿宋_GB2312" w:cs="仿宋_GB2312"/>
          <w:kern w:val="2"/>
          <w:sz w:val="32"/>
          <w:szCs w:val="32"/>
          <w:lang w:val="en-US" w:eastAsia="zh-CN" w:bidi="ar"/>
        </w:rPr>
        <w:t>万元</w:t>
      </w:r>
      <w:r>
        <w:rPr>
          <w:rFonts w:hint="default" w:ascii="仿宋_GB2312" w:hAnsi="宋体" w:eastAsia="仿宋_GB2312" w:cs="仿宋_GB2312"/>
          <w:kern w:val="2"/>
          <w:sz w:val="32"/>
          <w:szCs w:val="32"/>
          <w:lang w:val="en-US" w:eastAsia="zh-CN" w:bidi="ar"/>
        </w:rPr>
        <w:t>。</w:t>
      </w:r>
    </w:p>
    <w:p w14:paraId="4CE8E48C">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（二）项目绩效目标。</w:t>
      </w:r>
      <w:r>
        <w:rPr>
          <w:rFonts w:hint="default" w:ascii="仿宋_GB2312" w:hAnsi="宋体" w:eastAsia="仿宋_GB2312" w:cs="仿宋_GB2312"/>
          <w:kern w:val="2"/>
          <w:sz w:val="32"/>
          <w:szCs w:val="32"/>
          <w:lang w:val="en-US" w:eastAsia="zh-CN" w:bidi="ar"/>
        </w:rPr>
        <w:t>依据民政部《革命烈士纪念建筑物管理保护办法》、国务院《</w:t>
      </w:r>
      <w:bookmarkStart w:id="67" w:name="_GoBack"/>
      <w:bookmarkEnd w:id="67"/>
      <w:r>
        <w:rPr>
          <w:rFonts w:hint="eastAsia" w:ascii="仿宋_GB2312" w:hAnsi="宋体" w:eastAsia="仿宋_GB2312" w:cs="仿宋_GB2312"/>
          <w:kern w:val="2"/>
          <w:sz w:val="32"/>
          <w:szCs w:val="32"/>
          <w:lang w:val="en-US" w:eastAsia="zh-CN" w:bidi="ar"/>
        </w:rPr>
        <w:t>烈士褒扬条例</w:t>
      </w:r>
      <w:r>
        <w:rPr>
          <w:rFonts w:hint="default" w:ascii="仿宋_GB2312" w:hAnsi="宋体" w:eastAsia="仿宋_GB2312" w:cs="仿宋_GB2312"/>
          <w:kern w:val="2"/>
          <w:sz w:val="32"/>
          <w:szCs w:val="32"/>
          <w:lang w:val="en-US" w:eastAsia="zh-CN" w:bidi="ar"/>
        </w:rPr>
        <w:t>》、中共中央办公厅、国务院办公厅、中央军委办公厅印发《烈士纪念设施规划建设修缮管理维护总体工作方案》等相关文件要求，让烈士陵园更好</w:t>
      </w:r>
      <w:r>
        <w:rPr>
          <w:rFonts w:hint="eastAsia" w:ascii="仿宋_GB2312" w:hAnsi="宋体" w:eastAsia="仿宋_GB2312" w:cs="仿宋_GB2312"/>
          <w:kern w:val="2"/>
          <w:sz w:val="32"/>
          <w:szCs w:val="32"/>
          <w:lang w:val="en-US" w:eastAsia="zh-CN" w:bidi="ar"/>
        </w:rPr>
        <w:t>地</w:t>
      </w:r>
      <w:r>
        <w:rPr>
          <w:rFonts w:hint="default" w:ascii="仿宋_GB2312" w:hAnsi="宋体" w:eastAsia="仿宋_GB2312" w:cs="仿宋_GB2312"/>
          <w:kern w:val="2"/>
          <w:sz w:val="32"/>
          <w:szCs w:val="32"/>
          <w:lang w:val="en-US" w:eastAsia="zh-CN" w:bidi="ar"/>
        </w:rPr>
        <w:t>发挥爱国主义教育基地，让社会公众满意率大于85%。</w:t>
      </w:r>
    </w:p>
    <w:p w14:paraId="5F4ADA3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（三）项目资金申报相符性。盐</w:t>
      </w:r>
      <w:r>
        <w:rPr>
          <w:rFonts w:hint="default" w:ascii="仿宋_GB2312" w:hAnsi="宋体" w:eastAsia="仿宋_GB2312" w:cs="仿宋_GB2312"/>
          <w:kern w:val="2"/>
          <w:sz w:val="32"/>
          <w:szCs w:val="32"/>
          <w:lang w:val="en-US" w:eastAsia="zh-CN" w:bidi="ar"/>
        </w:rPr>
        <w:t>边县烈士纪念馆展陈项目是盐边县烈士纪念馆土建工程的后续建设项目，建设内容为烈士纪念馆展陈布展面积1135.6m2，配套建设1460m2纪念馆小广场、330m2接待中心升级改造（原展陈馆改建为接待中心）及烈士陵园导游标识标牌等红色纪念设施。实施内容相符、申报目标合理。</w:t>
      </w:r>
    </w:p>
    <w:p w14:paraId="26B1D713">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二、项目实施及管理情况</w:t>
      </w:r>
    </w:p>
    <w:p w14:paraId="6E454D42">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Times New Roman"/>
          <w:kern w:val="2"/>
          <w:sz w:val="32"/>
          <w:szCs w:val="32"/>
          <w:lang w:val="en-US" w:eastAsia="zh-CN" w:bidi="ar"/>
        </w:rPr>
        <w:tab/>
      </w:r>
      <w:r>
        <w:rPr>
          <w:rFonts w:hint="eastAsia" w:ascii="楷体" w:hAnsi="楷体" w:eastAsia="楷体" w:cs="楷体"/>
          <w:kern w:val="2"/>
          <w:sz w:val="32"/>
          <w:szCs w:val="32"/>
          <w:lang w:val="en-US" w:eastAsia="zh-CN" w:bidi="ar"/>
        </w:rPr>
        <w:t>（一）资金计划、到位及使用情况。</w:t>
      </w:r>
    </w:p>
    <w:p w14:paraId="32A2DE6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2024年该项目拨付资金为800</w:t>
      </w:r>
      <w:r>
        <w:rPr>
          <w:rFonts w:hint="eastAsia" w:ascii="仿宋_GB2312" w:hAnsi="宋体" w:eastAsia="仿宋_GB2312" w:cs="仿宋_GB2312"/>
          <w:kern w:val="2"/>
          <w:sz w:val="32"/>
          <w:szCs w:val="32"/>
          <w:lang w:val="en-US" w:eastAsia="zh-CN" w:bidi="ar"/>
        </w:rPr>
        <w:t>万元</w:t>
      </w:r>
      <w:r>
        <w:rPr>
          <w:rFonts w:hint="default" w:ascii="仿宋_GB2312" w:hAnsi="宋体" w:eastAsia="仿宋_GB2312" w:cs="仿宋_GB2312"/>
          <w:kern w:val="2"/>
          <w:sz w:val="32"/>
          <w:szCs w:val="32"/>
          <w:lang w:val="en-US" w:eastAsia="zh-CN" w:bidi="ar"/>
        </w:rPr>
        <w:t>，实际支付5</w:t>
      </w:r>
      <w:r>
        <w:rPr>
          <w:rFonts w:hint="default" w:ascii="仿宋_GB2312" w:hAnsi="宋体" w:eastAsia="仿宋_GB2312" w:cs="Times New Roman"/>
          <w:kern w:val="2"/>
          <w:sz w:val="32"/>
          <w:szCs w:val="32"/>
          <w:lang w:val="en-US" w:eastAsia="zh-CN" w:bidi="ar"/>
        </w:rPr>
        <w:t>26.47</w:t>
      </w:r>
      <w:r>
        <w:rPr>
          <w:rFonts w:hint="default" w:ascii="仿宋_GB2312" w:hAnsi="宋体" w:eastAsia="仿宋_GB2312" w:cs="仿宋_GB2312"/>
          <w:kern w:val="2"/>
          <w:sz w:val="32"/>
          <w:szCs w:val="32"/>
          <w:lang w:val="en-US" w:eastAsia="zh-CN" w:bidi="ar"/>
        </w:rPr>
        <w:t>万元，执行率65.81</w:t>
      </w:r>
      <w:r>
        <w:rPr>
          <w:rFonts w:hint="default" w:ascii="仿宋_GB2312" w:hAnsi="宋体" w:eastAsia="仿宋_GB2312" w:cs="Times New Roman"/>
          <w:kern w:val="2"/>
          <w:sz w:val="32"/>
          <w:szCs w:val="32"/>
          <w:lang w:val="en-US" w:eastAsia="zh-CN" w:bidi="ar"/>
        </w:rPr>
        <w:t>%。</w:t>
      </w:r>
    </w:p>
    <w:p w14:paraId="30E96559">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（二）项目财务管理情况。</w:t>
      </w:r>
    </w:p>
    <w:p w14:paraId="73C3DD36">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总体评价项目实施单位财务管理制度健全，严格执行财务管理制度，账务处理及时，会计核算规范。</w:t>
      </w:r>
    </w:p>
    <w:p w14:paraId="2E684AD1">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（三）项目组织实施情况。</w:t>
      </w:r>
    </w:p>
    <w:p w14:paraId="1910F179">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该项目前期已进行初设，可研报告，计划通过政府采购确定施工方；成立了以局长为组长，分管领导为副组长，股室长为成员的领导小组；拟定施工期</w:t>
      </w:r>
      <w:r>
        <w:rPr>
          <w:rFonts w:hint="default" w:ascii="Times New Roman" w:hAnsi="Times New Roman" w:eastAsia="仿宋_GB2312" w:cs="Times New Roman"/>
          <w:kern w:val="2"/>
          <w:sz w:val="32"/>
          <w:szCs w:val="32"/>
          <w:lang w:val="en-US" w:eastAsia="zh-CN" w:bidi="ar"/>
        </w:rPr>
        <w:t xml:space="preserve"> 12</w:t>
      </w:r>
      <w:r>
        <w:rPr>
          <w:rFonts w:hint="default" w:ascii="仿宋_GB2312" w:hAnsi="Times New Roman" w:eastAsia="仿宋_GB2312" w:cs="仿宋_GB2312"/>
          <w:kern w:val="2"/>
          <w:sz w:val="32"/>
          <w:szCs w:val="32"/>
          <w:lang w:val="en-US" w:eastAsia="zh-CN" w:bidi="ar"/>
        </w:rPr>
        <w:t>个月，前期工作自</w:t>
      </w:r>
      <w:r>
        <w:rPr>
          <w:rFonts w:hint="default" w:ascii="Times New Roman" w:hAnsi="Times New Roman" w:eastAsia="仿宋_GB2312" w:cs="Times New Roman"/>
          <w:kern w:val="2"/>
          <w:sz w:val="32"/>
          <w:szCs w:val="32"/>
          <w:lang w:val="en-US" w:eastAsia="zh-CN" w:bidi="ar"/>
        </w:rPr>
        <w:t>2023</w:t>
      </w:r>
      <w:r>
        <w:rPr>
          <w:rFonts w:hint="default"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月至</w:t>
      </w:r>
      <w:r>
        <w:rPr>
          <w:rFonts w:hint="default" w:ascii="Times New Roman" w:hAnsi="Times New Roman" w:eastAsia="仿宋_GB2312" w:cs="Times New Roman"/>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月。工程施工阶段</w:t>
      </w:r>
      <w:r>
        <w:rPr>
          <w:rFonts w:hint="eastAsia" w:ascii="仿宋_GB2312" w:eastAsia="仿宋_GB2312" w:cs="仿宋_GB2312"/>
          <w:kern w:val="2"/>
          <w:sz w:val="32"/>
          <w:szCs w:val="32"/>
          <w:lang w:val="en-US" w:eastAsia="zh-CN" w:bidi="ar"/>
        </w:rPr>
        <w:t>为</w:t>
      </w:r>
      <w:r>
        <w:rPr>
          <w:rFonts w:hint="default" w:ascii="Times New Roman" w:hAnsi="Times New Roman" w:eastAsia="仿宋_GB2312" w:cs="Times New Roman"/>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10</w:t>
      </w:r>
      <w:r>
        <w:rPr>
          <w:rFonts w:hint="default" w:ascii="仿宋_GB2312" w:hAnsi="Times New Roman" w:eastAsia="仿宋_GB2312" w:cs="仿宋_GB2312"/>
          <w:kern w:val="2"/>
          <w:sz w:val="32"/>
          <w:szCs w:val="32"/>
          <w:lang w:val="en-US" w:eastAsia="zh-CN" w:bidi="ar"/>
        </w:rPr>
        <w:t>月至</w:t>
      </w:r>
      <w:r>
        <w:rPr>
          <w:rFonts w:hint="default" w:ascii="Times New Roman" w:hAnsi="Times New Roman" w:eastAsia="仿宋_GB2312" w:cs="Times New Roman"/>
          <w:kern w:val="2"/>
          <w:sz w:val="32"/>
          <w:szCs w:val="32"/>
          <w:lang w:val="en-US" w:eastAsia="zh-CN" w:bidi="ar"/>
        </w:rPr>
        <w:t>2025</w:t>
      </w:r>
      <w:r>
        <w:rPr>
          <w:rFonts w:hint="default"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月，竣工验收为</w:t>
      </w:r>
      <w:r>
        <w:rPr>
          <w:rFonts w:hint="default" w:ascii="Times New Roman" w:hAnsi="Times New Roman" w:eastAsia="仿宋_GB2312" w:cs="Times New Roman"/>
          <w:kern w:val="2"/>
          <w:sz w:val="32"/>
          <w:szCs w:val="32"/>
          <w:lang w:val="en-US" w:eastAsia="zh-CN" w:bidi="ar"/>
        </w:rPr>
        <w:t>2025</w:t>
      </w:r>
      <w:r>
        <w:rPr>
          <w:rFonts w:hint="default"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月。项目单位及项目的各项业务和财务管理制度健全，支付程序完善。</w:t>
      </w:r>
    </w:p>
    <w:p w14:paraId="08AD770B">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三、项目绩效情况</w:t>
      </w:r>
      <w:r>
        <w:rPr>
          <w:rFonts w:hint="default" w:ascii="仿宋_GB2312" w:hAnsi="宋体" w:eastAsia="仿宋_GB2312" w:cs="Times New Roman"/>
          <w:kern w:val="2"/>
          <w:sz w:val="32"/>
          <w:szCs w:val="32"/>
          <w:lang w:val="en-US" w:eastAsia="zh-CN" w:bidi="ar"/>
        </w:rPr>
        <w:tab/>
      </w:r>
    </w:p>
    <w:p w14:paraId="5828625C">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（一）项目完成情况。</w:t>
      </w:r>
    </w:p>
    <w:p w14:paraId="48F70805">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按照合同项目进度实施完成，</w:t>
      </w:r>
      <w:r>
        <w:rPr>
          <w:rFonts w:hint="default" w:ascii="Times New Roman" w:hAnsi="Times New Roman" w:eastAsia="仿宋_GB2312" w:cs="Times New Roman"/>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年该项目拨付资金为</w:t>
      </w:r>
      <w:r>
        <w:rPr>
          <w:rFonts w:hint="default" w:ascii="Times New Roman" w:hAnsi="Times New Roman" w:eastAsia="仿宋_GB2312" w:cs="Times New Roman"/>
          <w:kern w:val="2"/>
          <w:sz w:val="32"/>
          <w:szCs w:val="32"/>
          <w:lang w:val="en-US" w:eastAsia="zh-CN" w:bidi="ar"/>
        </w:rPr>
        <w:t>800</w:t>
      </w:r>
      <w:r>
        <w:rPr>
          <w:rFonts w:hint="eastAsia" w:eastAsia="仿宋_GB2312" w:cs="Times New Roman"/>
          <w:kern w:val="2"/>
          <w:sz w:val="32"/>
          <w:szCs w:val="32"/>
          <w:lang w:val="en-US" w:eastAsia="zh-CN" w:bidi="ar"/>
        </w:rPr>
        <w:t>万元</w:t>
      </w:r>
      <w:r>
        <w:rPr>
          <w:rFonts w:hint="default" w:ascii="仿宋_GB2312" w:hAnsi="Times New Roman" w:eastAsia="仿宋_GB2312" w:cs="仿宋_GB2312"/>
          <w:kern w:val="2"/>
          <w:sz w:val="32"/>
          <w:szCs w:val="32"/>
          <w:lang w:val="en-US" w:eastAsia="zh-CN" w:bidi="ar"/>
        </w:rPr>
        <w:t>，实际支付</w:t>
      </w:r>
      <w:r>
        <w:rPr>
          <w:rFonts w:hint="default" w:ascii="Times New Roman" w:hAnsi="Times New Roman" w:eastAsia="仿宋_GB2312" w:cs="Times New Roman"/>
          <w:kern w:val="2"/>
          <w:sz w:val="32"/>
          <w:szCs w:val="32"/>
          <w:lang w:val="en-US" w:eastAsia="zh-CN" w:bidi="ar"/>
        </w:rPr>
        <w:t>526.47</w:t>
      </w:r>
      <w:r>
        <w:rPr>
          <w:rFonts w:hint="default" w:ascii="仿宋_GB2312" w:hAnsi="Times New Roman" w:eastAsia="仿宋_GB2312" w:cs="仿宋_GB2312"/>
          <w:kern w:val="2"/>
          <w:sz w:val="32"/>
          <w:szCs w:val="32"/>
          <w:lang w:val="en-US" w:eastAsia="zh-CN" w:bidi="ar"/>
        </w:rPr>
        <w:t>万元，执行率</w:t>
      </w:r>
      <w:r>
        <w:rPr>
          <w:rFonts w:hint="default" w:ascii="Times New Roman" w:hAnsi="Times New Roman" w:eastAsia="仿宋_GB2312" w:cs="Times New Roman"/>
          <w:kern w:val="2"/>
          <w:sz w:val="32"/>
          <w:szCs w:val="32"/>
          <w:lang w:val="en-US" w:eastAsia="zh-CN" w:bidi="ar"/>
        </w:rPr>
        <w:t>65.81%</w:t>
      </w:r>
      <w:r>
        <w:rPr>
          <w:rFonts w:hint="default" w:ascii="仿宋_GB2312" w:hAnsi="Times New Roman" w:eastAsia="仿宋_GB2312" w:cs="仿宋_GB2312"/>
          <w:kern w:val="2"/>
          <w:sz w:val="32"/>
          <w:szCs w:val="32"/>
          <w:lang w:val="en-US" w:eastAsia="zh-CN" w:bidi="ar"/>
        </w:rPr>
        <w:t>。</w:t>
      </w:r>
    </w:p>
    <w:p w14:paraId="6BC5EBE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方正仿宋_GBK" w:cs="Times New Roman"/>
          <w:color w:val="000000"/>
          <w:kern w:val="2"/>
          <w:sz w:val="32"/>
          <w:szCs w:val="32"/>
        </w:rPr>
      </w:pPr>
      <w:r>
        <w:rPr>
          <w:rFonts w:hint="eastAsia" w:ascii="楷体" w:hAnsi="楷体" w:eastAsia="楷体" w:cs="楷体"/>
          <w:kern w:val="2"/>
          <w:sz w:val="32"/>
          <w:szCs w:val="32"/>
          <w:lang w:val="en-US" w:eastAsia="zh-CN" w:bidi="ar"/>
        </w:rPr>
        <w:t>（二）项目效益情况。该</w:t>
      </w:r>
      <w:r>
        <w:rPr>
          <w:rFonts w:hint="default" w:ascii="方正仿宋_GBK" w:hAnsi="方正仿宋_GBK" w:eastAsia="方正仿宋_GBK" w:cs="方正仿宋_GBK"/>
          <w:color w:val="000000"/>
          <w:kern w:val="2"/>
          <w:sz w:val="32"/>
          <w:szCs w:val="32"/>
          <w:lang w:val="en-US" w:eastAsia="zh-CN" w:bidi="ar"/>
        </w:rPr>
        <w:t>项目建成后，将提升烈士陵园整体形象，在促进双拥的同时，让社会公众更好</w:t>
      </w:r>
      <w:r>
        <w:rPr>
          <w:rFonts w:hint="eastAsia" w:ascii="方正仿宋_GBK" w:hAnsi="方正仿宋_GBK" w:eastAsia="方正仿宋_GBK" w:cs="方正仿宋_GBK"/>
          <w:color w:val="000000"/>
          <w:kern w:val="2"/>
          <w:sz w:val="32"/>
          <w:szCs w:val="32"/>
          <w:lang w:val="en-US" w:eastAsia="zh-CN" w:bidi="ar"/>
        </w:rPr>
        <w:t>地接受</w:t>
      </w:r>
      <w:r>
        <w:rPr>
          <w:rFonts w:hint="default" w:ascii="方正仿宋_GBK" w:hAnsi="方正仿宋_GBK" w:eastAsia="方正仿宋_GBK" w:cs="方正仿宋_GBK"/>
          <w:color w:val="000000"/>
          <w:kern w:val="2"/>
          <w:sz w:val="32"/>
          <w:szCs w:val="32"/>
          <w:lang w:val="en-US" w:eastAsia="zh-CN" w:bidi="ar"/>
        </w:rPr>
        <w:t>爱国主义教育。让烈士陵园更好</w:t>
      </w:r>
      <w:r>
        <w:rPr>
          <w:rFonts w:hint="eastAsia" w:ascii="方正仿宋_GBK" w:hAnsi="方正仿宋_GBK" w:eastAsia="方正仿宋_GBK" w:cs="方正仿宋_GBK"/>
          <w:color w:val="000000"/>
          <w:kern w:val="2"/>
          <w:sz w:val="32"/>
          <w:szCs w:val="32"/>
          <w:lang w:val="en-US" w:eastAsia="zh-CN" w:bidi="ar"/>
        </w:rPr>
        <w:t>地</w:t>
      </w:r>
      <w:r>
        <w:rPr>
          <w:rFonts w:hint="default" w:ascii="方正仿宋_GBK" w:hAnsi="方正仿宋_GBK" w:eastAsia="方正仿宋_GBK" w:cs="方正仿宋_GBK"/>
          <w:color w:val="000000"/>
          <w:kern w:val="2"/>
          <w:sz w:val="32"/>
          <w:szCs w:val="32"/>
          <w:lang w:val="en-US" w:eastAsia="zh-CN" w:bidi="ar"/>
        </w:rPr>
        <w:t>发挥爱国主义教育基地，让社会公众满意率大于</w:t>
      </w:r>
      <w:r>
        <w:rPr>
          <w:rFonts w:hint="default" w:ascii="Times New Roman" w:hAnsi="Times New Roman" w:eastAsia="方正仿宋_GBK" w:cs="Times New Roman"/>
          <w:color w:val="000000"/>
          <w:kern w:val="2"/>
          <w:sz w:val="32"/>
          <w:szCs w:val="32"/>
          <w:lang w:val="en-US" w:eastAsia="zh-CN" w:bidi="ar"/>
        </w:rPr>
        <w:t>85%</w:t>
      </w:r>
      <w:r>
        <w:rPr>
          <w:rFonts w:hint="default" w:ascii="方正仿宋_GBK" w:hAnsi="方正仿宋_GBK" w:eastAsia="方正仿宋_GBK" w:cs="方正仿宋_GBK"/>
          <w:color w:val="000000"/>
          <w:kern w:val="2"/>
          <w:sz w:val="32"/>
          <w:szCs w:val="32"/>
          <w:lang w:val="en-US" w:eastAsia="zh-CN" w:bidi="ar"/>
        </w:rPr>
        <w:t>。</w:t>
      </w:r>
    </w:p>
    <w:p w14:paraId="3FACEAD1">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四、问题及建议</w:t>
      </w:r>
    </w:p>
    <w:p w14:paraId="6ADB179A">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（一）存在的问题。</w:t>
      </w:r>
    </w:p>
    <w:p w14:paraId="795A7986">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方正仿宋_GBK" w:cs="Times New Roman"/>
          <w:color w:val="000000"/>
          <w:kern w:val="2"/>
          <w:sz w:val="32"/>
          <w:szCs w:val="32"/>
        </w:rPr>
      </w:pPr>
      <w:r>
        <w:rPr>
          <w:rFonts w:hint="default" w:ascii="方正仿宋_GBK" w:hAnsi="方正仿宋_GBK" w:eastAsia="方正仿宋_GBK" w:cs="方正仿宋_GBK"/>
          <w:color w:val="000000"/>
          <w:kern w:val="2"/>
          <w:sz w:val="32"/>
          <w:szCs w:val="32"/>
          <w:lang w:val="en-US" w:eastAsia="zh-CN" w:bidi="ar"/>
        </w:rPr>
        <w:t>工程项目进度有待提高，财政、施工、审计部门之间信息沟通不足，支付不及时。</w:t>
      </w:r>
    </w:p>
    <w:p w14:paraId="3969AEB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（二）相关建议。</w:t>
      </w:r>
    </w:p>
    <w:p w14:paraId="51F560DF">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 xml:space="preserve">    </w:t>
      </w:r>
      <w:r>
        <w:rPr>
          <w:rFonts w:hint="default" w:ascii="仿宋_GB2312" w:hAnsi="宋体" w:eastAsia="仿宋_GB2312" w:cs="仿宋_GB2312"/>
          <w:kern w:val="2"/>
          <w:sz w:val="32"/>
          <w:szCs w:val="32"/>
          <w:lang w:val="en-US" w:eastAsia="zh-CN" w:bidi="ar"/>
        </w:rPr>
        <w:t>精准预算编制，加快资金支付，加快工程进度，推进验收结算，加强沟通，建立协同机制，密切与施工方沟通。</w:t>
      </w:r>
    </w:p>
    <w:p w14:paraId="638DAFB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kern w:val="2"/>
          <w:sz w:val="30"/>
          <w:szCs w:val="30"/>
        </w:rPr>
      </w:pPr>
    </w:p>
    <w:p w14:paraId="377B2F66">
      <w:pPr>
        <w:pStyle w:val="13"/>
        <w:keepNext w:val="0"/>
        <w:keepLines w:val="0"/>
        <w:widowControl w:val="0"/>
        <w:suppressLineNumbers w:val="0"/>
        <w:spacing w:before="0" w:beforeAutospacing="0" w:after="0" w:afterAutospacing="0" w:line="560" w:lineRule="exact"/>
        <w:ind w:left="0" w:right="0"/>
        <w:jc w:val="center"/>
        <w:rPr>
          <w:rFonts w:hint="default" w:ascii="方正小标宋简体" w:hAnsi="宋体" w:eastAsia="方正小标宋简体" w:cs="Times New Roman"/>
          <w:color w:val="000000"/>
          <w:kern w:val="0"/>
          <w:sz w:val="44"/>
          <w:szCs w:val="44"/>
        </w:rPr>
      </w:pPr>
      <w:r>
        <w:rPr>
          <w:rFonts w:hint="default" w:ascii="方正小标宋简体" w:hAnsi="方正小标宋简体" w:eastAsia="方正小标宋简体" w:cs="方正小标宋简体"/>
          <w:color w:val="000000"/>
          <w:kern w:val="0"/>
          <w:sz w:val="44"/>
          <w:szCs w:val="44"/>
          <w:lang w:val="en-US" w:eastAsia="zh-CN" w:bidi="ar"/>
        </w:rPr>
        <w:t>“春节，八一”慰问金支出绩效自评报告</w:t>
      </w:r>
    </w:p>
    <w:p w14:paraId="19FF6F3A">
      <w:pPr>
        <w:pStyle w:val="13"/>
        <w:keepNext w:val="0"/>
        <w:keepLines w:val="0"/>
        <w:widowControl w:val="0"/>
        <w:suppressLineNumbers w:val="0"/>
        <w:spacing w:before="0" w:beforeAutospacing="0" w:after="0" w:afterAutospacing="0" w:line="560" w:lineRule="exact"/>
        <w:ind w:left="0" w:right="0" w:firstLine="640"/>
        <w:jc w:val="center"/>
        <w:rPr>
          <w:rFonts w:hint="eastAsia" w:ascii="宋体" w:hAnsi="宋体" w:eastAsia="宋体" w:cs="Times New Roman"/>
          <w:kern w:val="2"/>
          <w:sz w:val="32"/>
          <w:szCs w:val="32"/>
        </w:rPr>
      </w:pPr>
      <w:r>
        <w:rPr>
          <w:rFonts w:hint="eastAsia" w:ascii="宋体" w:hAnsi="宋体" w:eastAsia="宋体" w:cs="Times New Roman"/>
          <w:color w:val="000000"/>
          <w:kern w:val="2"/>
          <w:sz w:val="32"/>
          <w:szCs w:val="32"/>
          <w:lang w:val="en-US" w:eastAsia="zh-CN" w:bidi="ar"/>
        </w:rPr>
        <w:t xml:space="preserve"> </w:t>
      </w:r>
    </w:p>
    <w:p w14:paraId="2ED47CDD">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411EFE54">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根据《攀枝花市拥军优属拥政爱民领导小组关于进一步做好优抚对象走访慰问工作的通知》</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攀双拥</w:t>
      </w:r>
      <w:r>
        <w:rPr>
          <w:rFonts w:hint="eastAsia" w:ascii="仿宋_GB2312" w:eastAsia="仿宋_GB2312" w:cs="仿宋_GB2312"/>
          <w:kern w:val="2"/>
          <w:sz w:val="32"/>
          <w:szCs w:val="32"/>
          <w:lang w:val="en-US" w:eastAsia="zh-CN" w:bidi="ar"/>
        </w:rPr>
        <w:t>〔2013〕1号</w:t>
      </w:r>
      <w:r>
        <w:rPr>
          <w:rFonts w:hint="default" w:ascii="仿宋_GB2312" w:hAnsi="Times New Roman" w:eastAsia="仿宋_GB2312" w:cs="仿宋_GB2312"/>
          <w:kern w:val="2"/>
          <w:sz w:val="32"/>
          <w:szCs w:val="32"/>
          <w:lang w:val="en-US" w:eastAsia="zh-CN" w:bidi="ar"/>
        </w:rPr>
        <w:t>文件精神，春节，</w:t>
      </w:r>
      <w:r>
        <w:rPr>
          <w:rFonts w:hint="eastAsia" w:ascii="仿宋_GB2312" w:eastAsia="仿宋_GB2312" w:cs="仿宋_GB2312"/>
          <w:kern w:val="2"/>
          <w:sz w:val="32"/>
          <w:szCs w:val="32"/>
          <w:lang w:val="en-US" w:eastAsia="zh-CN" w:bidi="ar"/>
        </w:rPr>
        <w:t>“八一”期间</w:t>
      </w:r>
      <w:r>
        <w:rPr>
          <w:rFonts w:hint="default" w:ascii="仿宋_GB2312" w:hAnsi="Times New Roman" w:eastAsia="仿宋_GB2312" w:cs="仿宋_GB2312"/>
          <w:kern w:val="2"/>
          <w:sz w:val="32"/>
          <w:szCs w:val="32"/>
          <w:lang w:val="en-US" w:eastAsia="zh-CN" w:bidi="ar"/>
        </w:rPr>
        <w:t>的走访慰问驻盐部队官兵、退役军人及其他优抚对象工作，巩固军政军民团结，送去党和政府的关心，进行入户慰问并发慰问金。</w:t>
      </w:r>
    </w:p>
    <w:p w14:paraId="5BFA548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（一）项目资金申报及批复情况。</w:t>
      </w:r>
      <w:r>
        <w:rPr>
          <w:rFonts w:hint="default" w:ascii="仿宋_GB2312" w:hAnsi="宋体" w:eastAsia="仿宋_GB2312" w:cs="仿宋_GB2312"/>
          <w:kern w:val="2"/>
          <w:sz w:val="32"/>
          <w:szCs w:val="32"/>
          <w:lang w:val="en-US" w:eastAsia="zh-CN" w:bidi="ar"/>
        </w:rPr>
        <w:t>春节慰问金年初纳入预算，八一慰问金据实追加预算，</w:t>
      </w:r>
      <w:r>
        <w:rPr>
          <w:rFonts w:hint="default" w:ascii="仿宋_GB2312" w:hAnsi="Times New Roman" w:eastAsia="仿宋_GB2312" w:cs="仿宋_GB2312"/>
          <w:kern w:val="2"/>
          <w:sz w:val="32"/>
          <w:szCs w:val="32"/>
          <w:lang w:val="en-US" w:eastAsia="zh-CN" w:bidi="ar"/>
        </w:rPr>
        <w:t>资金按照财务制度进行管理，在春节和</w:t>
      </w:r>
      <w:r>
        <w:rPr>
          <w:rFonts w:hint="eastAsia" w:ascii="仿宋_GB2312" w:eastAsia="仿宋_GB2312" w:cs="仿宋_GB2312"/>
          <w:kern w:val="2"/>
          <w:sz w:val="32"/>
          <w:szCs w:val="32"/>
          <w:lang w:val="en-US" w:eastAsia="zh-CN" w:bidi="ar"/>
        </w:rPr>
        <w:t>“八一”期间</w:t>
      </w:r>
      <w:r>
        <w:rPr>
          <w:rFonts w:hint="default" w:ascii="仿宋_GB2312" w:hAnsi="Times New Roman" w:eastAsia="仿宋_GB2312" w:cs="仿宋_GB2312"/>
          <w:kern w:val="2"/>
          <w:sz w:val="32"/>
          <w:szCs w:val="32"/>
          <w:lang w:val="en-US" w:eastAsia="zh-CN" w:bidi="ar"/>
        </w:rPr>
        <w:t>对驻盐部队官兵、退役军人及其他优抚对象慰问</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次。</w:t>
      </w:r>
    </w:p>
    <w:p w14:paraId="0E34650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r>
        <w:rPr>
          <w:rFonts w:hint="eastAsia" w:ascii="楷体" w:hAnsi="楷体" w:eastAsia="楷体" w:cs="楷体"/>
          <w:kern w:val="2"/>
          <w:sz w:val="32"/>
          <w:szCs w:val="32"/>
          <w:lang w:val="en-US" w:eastAsia="zh-CN" w:bidi="ar"/>
        </w:rPr>
        <w:t>（二）项目绩效目标。</w:t>
      </w:r>
      <w:r>
        <w:rPr>
          <w:rFonts w:hint="default" w:ascii="仿宋_GB2312" w:hAnsi="Times New Roman" w:eastAsia="仿宋_GB2312" w:cs="仿宋_GB2312"/>
          <w:kern w:val="2"/>
          <w:sz w:val="32"/>
          <w:szCs w:val="32"/>
          <w:lang w:val="en-US" w:eastAsia="zh-CN" w:bidi="ar"/>
        </w:rPr>
        <w:t>让驻盐部队官兵、退役军人及其他优抚对象，让他们有更多的荣誉和获得感。</w:t>
      </w:r>
    </w:p>
    <w:p w14:paraId="59166B65">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（三）项目资金申报相符性。项目</w:t>
      </w:r>
      <w:r>
        <w:rPr>
          <w:rFonts w:hint="default" w:ascii="仿宋_GB2312" w:hAnsi="Times New Roman" w:eastAsia="仿宋_GB2312" w:cs="仿宋_GB2312"/>
          <w:kern w:val="2"/>
          <w:sz w:val="32"/>
          <w:szCs w:val="32"/>
          <w:lang w:val="en-US" w:eastAsia="zh-CN" w:bidi="ar"/>
        </w:rPr>
        <w:t>计划慰问优抚对象</w:t>
      </w:r>
      <w:r>
        <w:rPr>
          <w:rFonts w:hint="default" w:ascii="Times New Roman" w:hAnsi="Times New Roman" w:eastAsia="仿宋_GB2312" w:cs="Times New Roman"/>
          <w:kern w:val="2"/>
          <w:sz w:val="32"/>
          <w:szCs w:val="32"/>
          <w:lang w:val="en-US" w:eastAsia="zh-CN" w:bidi="ar"/>
        </w:rPr>
        <w:t>7340</w:t>
      </w:r>
      <w:r>
        <w:rPr>
          <w:rFonts w:hint="default" w:ascii="仿宋_GB2312" w:hAnsi="Times New Roman" w:eastAsia="仿宋_GB2312" w:cs="仿宋_GB2312"/>
          <w:kern w:val="2"/>
          <w:sz w:val="32"/>
          <w:szCs w:val="32"/>
          <w:lang w:val="en-US" w:eastAsia="zh-CN" w:bidi="ar"/>
        </w:rPr>
        <w:t>人，</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个驻盐部队，计划资金</w:t>
      </w:r>
      <w:r>
        <w:rPr>
          <w:rFonts w:hint="default" w:ascii="Times New Roman" w:hAnsi="Times New Roman" w:eastAsia="仿宋_GB2312" w:cs="Times New Roman"/>
          <w:kern w:val="2"/>
          <w:sz w:val="32"/>
          <w:szCs w:val="32"/>
          <w:lang w:val="en-US" w:eastAsia="zh-CN" w:bidi="ar"/>
        </w:rPr>
        <w:t>106.27</w:t>
      </w:r>
      <w:r>
        <w:rPr>
          <w:rFonts w:hint="default" w:ascii="仿宋_GB2312" w:hAnsi="Times New Roman" w:eastAsia="仿宋_GB2312" w:cs="仿宋_GB2312"/>
          <w:kern w:val="2"/>
          <w:sz w:val="32"/>
          <w:szCs w:val="32"/>
          <w:lang w:val="en-US" w:eastAsia="zh-CN" w:bidi="ar"/>
        </w:rPr>
        <w:t>万元，完成优抚对象慰问</w:t>
      </w:r>
      <w:r>
        <w:rPr>
          <w:rFonts w:hint="default" w:ascii="Times New Roman" w:hAnsi="Times New Roman" w:eastAsia="仿宋_GB2312" w:cs="Times New Roman"/>
          <w:kern w:val="2"/>
          <w:sz w:val="32"/>
          <w:szCs w:val="32"/>
          <w:lang w:val="en-US" w:eastAsia="zh-CN" w:bidi="ar"/>
        </w:rPr>
        <w:t>7340</w:t>
      </w:r>
      <w:r>
        <w:rPr>
          <w:rFonts w:hint="default" w:ascii="仿宋_GB2312" w:hAnsi="Times New Roman" w:eastAsia="仿宋_GB2312" w:cs="仿宋_GB2312"/>
          <w:kern w:val="2"/>
          <w:sz w:val="32"/>
          <w:szCs w:val="32"/>
          <w:lang w:val="en-US" w:eastAsia="zh-CN" w:bidi="ar"/>
        </w:rPr>
        <w:t>人，</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个驻盐部队，完成资金</w:t>
      </w:r>
      <w:r>
        <w:rPr>
          <w:rFonts w:hint="default" w:ascii="Times New Roman" w:hAnsi="Times New Roman" w:eastAsia="仿宋_GB2312" w:cs="Times New Roman"/>
          <w:kern w:val="2"/>
          <w:sz w:val="32"/>
          <w:szCs w:val="32"/>
          <w:lang w:val="en-US" w:eastAsia="zh-CN" w:bidi="ar"/>
        </w:rPr>
        <w:t>106.27</w:t>
      </w:r>
      <w:r>
        <w:rPr>
          <w:rFonts w:hint="default" w:ascii="仿宋_GB2312" w:hAnsi="Times New Roman" w:eastAsia="仿宋_GB2312" w:cs="仿宋_GB2312"/>
          <w:kern w:val="2"/>
          <w:sz w:val="32"/>
          <w:szCs w:val="32"/>
          <w:lang w:val="en-US" w:eastAsia="zh-CN" w:bidi="ar"/>
        </w:rPr>
        <w:t>万元，执行率</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w:t>
      </w:r>
      <w:r>
        <w:rPr>
          <w:rFonts w:hint="default" w:ascii="仿宋_GB2312" w:hAnsi="宋体" w:eastAsia="仿宋_GB2312" w:cs="仿宋_GB2312"/>
          <w:kern w:val="2"/>
          <w:sz w:val="32"/>
          <w:szCs w:val="32"/>
          <w:lang w:val="en-US" w:eastAsia="zh-CN" w:bidi="ar"/>
        </w:rPr>
        <w:t>实施内容相符、申报目标合理。</w:t>
      </w:r>
    </w:p>
    <w:p w14:paraId="1375BC20">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二、项目实施及管理情况</w:t>
      </w:r>
    </w:p>
    <w:p w14:paraId="1ACD183D">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Times New Roman"/>
          <w:kern w:val="2"/>
          <w:sz w:val="32"/>
          <w:szCs w:val="32"/>
          <w:lang w:val="en-US" w:eastAsia="zh-CN" w:bidi="ar"/>
        </w:rPr>
        <w:tab/>
      </w:r>
      <w:r>
        <w:rPr>
          <w:rFonts w:hint="eastAsia" w:ascii="楷体" w:hAnsi="楷体" w:eastAsia="楷体" w:cs="楷体"/>
          <w:kern w:val="2"/>
          <w:sz w:val="32"/>
          <w:szCs w:val="32"/>
          <w:lang w:val="en-US" w:eastAsia="zh-CN" w:bidi="ar"/>
        </w:rPr>
        <w:t>（一）资金计划、到位及使用情况。</w:t>
      </w:r>
    </w:p>
    <w:p w14:paraId="1B8B3363">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1.</w:t>
      </w:r>
      <w:r>
        <w:rPr>
          <w:rFonts w:hint="default" w:ascii="仿宋_GB2312" w:hAnsi="Times New Roman" w:eastAsia="仿宋_GB2312" w:cs="仿宋_GB2312"/>
          <w:kern w:val="2"/>
          <w:sz w:val="32"/>
          <w:szCs w:val="32"/>
          <w:lang w:val="en-US" w:eastAsia="zh-CN" w:bidi="ar"/>
        </w:rPr>
        <w:t>计划慰问优抚对象</w:t>
      </w:r>
      <w:r>
        <w:rPr>
          <w:rFonts w:hint="default" w:ascii="Times New Roman" w:hAnsi="Times New Roman" w:eastAsia="仿宋_GB2312" w:cs="Times New Roman"/>
          <w:kern w:val="2"/>
          <w:sz w:val="32"/>
          <w:szCs w:val="32"/>
          <w:lang w:val="en-US" w:eastAsia="zh-CN" w:bidi="ar"/>
        </w:rPr>
        <w:t>7340</w:t>
      </w:r>
      <w:r>
        <w:rPr>
          <w:rFonts w:hint="default" w:ascii="仿宋_GB2312" w:hAnsi="Times New Roman" w:eastAsia="仿宋_GB2312" w:cs="仿宋_GB2312"/>
          <w:kern w:val="2"/>
          <w:sz w:val="32"/>
          <w:szCs w:val="32"/>
          <w:lang w:val="en-US" w:eastAsia="zh-CN" w:bidi="ar"/>
        </w:rPr>
        <w:t>人，</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个驻盐部队，五送活动</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场，计划资金</w:t>
      </w:r>
      <w:r>
        <w:rPr>
          <w:rFonts w:hint="default" w:ascii="Times New Roman" w:hAnsi="Times New Roman" w:eastAsia="仿宋_GB2312" w:cs="Times New Roman"/>
          <w:kern w:val="2"/>
          <w:sz w:val="32"/>
          <w:szCs w:val="32"/>
          <w:lang w:val="en-US" w:eastAsia="zh-CN" w:bidi="ar"/>
        </w:rPr>
        <w:t>106.27</w:t>
      </w:r>
      <w:r>
        <w:rPr>
          <w:rFonts w:hint="default" w:ascii="仿宋_GB2312" w:hAnsi="Times New Roman" w:eastAsia="仿宋_GB2312" w:cs="仿宋_GB2312"/>
          <w:kern w:val="2"/>
          <w:sz w:val="32"/>
          <w:szCs w:val="32"/>
          <w:lang w:val="en-US" w:eastAsia="zh-CN" w:bidi="ar"/>
        </w:rPr>
        <w:t>万元，完成优抚对象慰问</w:t>
      </w:r>
      <w:r>
        <w:rPr>
          <w:rFonts w:hint="default" w:ascii="Times New Roman" w:hAnsi="Times New Roman" w:eastAsia="仿宋_GB2312" w:cs="Times New Roman"/>
          <w:kern w:val="2"/>
          <w:sz w:val="32"/>
          <w:szCs w:val="32"/>
          <w:lang w:val="en-US" w:eastAsia="zh-CN" w:bidi="ar"/>
        </w:rPr>
        <w:t>7340</w:t>
      </w:r>
      <w:r>
        <w:rPr>
          <w:rFonts w:hint="default" w:ascii="仿宋_GB2312" w:hAnsi="Times New Roman" w:eastAsia="仿宋_GB2312" w:cs="仿宋_GB2312"/>
          <w:kern w:val="2"/>
          <w:sz w:val="32"/>
          <w:szCs w:val="32"/>
          <w:lang w:val="en-US" w:eastAsia="zh-CN" w:bidi="ar"/>
        </w:rPr>
        <w:t>人，</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个驻盐部队，完成资金</w:t>
      </w:r>
      <w:r>
        <w:rPr>
          <w:rFonts w:hint="default" w:ascii="Times New Roman" w:hAnsi="Times New Roman" w:eastAsia="仿宋_GB2312" w:cs="Times New Roman"/>
          <w:kern w:val="2"/>
          <w:sz w:val="32"/>
          <w:szCs w:val="32"/>
          <w:lang w:val="en-US" w:eastAsia="zh-CN" w:bidi="ar"/>
        </w:rPr>
        <w:t>106.27</w:t>
      </w:r>
      <w:r>
        <w:rPr>
          <w:rFonts w:hint="default" w:ascii="仿宋_GB2312" w:hAnsi="Times New Roman" w:eastAsia="仿宋_GB2312" w:cs="仿宋_GB2312"/>
          <w:kern w:val="2"/>
          <w:sz w:val="32"/>
          <w:szCs w:val="32"/>
          <w:lang w:val="en-US" w:eastAsia="zh-CN" w:bidi="ar"/>
        </w:rPr>
        <w:t>万元，执行率</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w:t>
      </w:r>
      <w:r>
        <w:rPr>
          <w:rFonts w:hint="default" w:ascii="仿宋_GB2312" w:hAnsi="宋体" w:eastAsia="仿宋_GB2312" w:cs="仿宋_GB2312"/>
          <w:kern w:val="2"/>
          <w:sz w:val="32"/>
          <w:szCs w:val="32"/>
          <w:lang w:val="en-US" w:eastAsia="zh-CN" w:bidi="ar"/>
        </w:rPr>
        <w:t>所需资金</w:t>
      </w:r>
      <w:r>
        <w:rPr>
          <w:rFonts w:hint="default" w:ascii="仿宋_GB2312" w:hAnsi="宋体" w:eastAsia="仿宋_GB2312" w:cs="Times New Roman"/>
          <w:kern w:val="2"/>
          <w:sz w:val="32"/>
          <w:szCs w:val="32"/>
          <w:lang w:val="en-US" w:eastAsia="zh-CN" w:bidi="ar"/>
        </w:rPr>
        <w:t xml:space="preserve"> 106.27</w:t>
      </w:r>
      <w:r>
        <w:rPr>
          <w:rFonts w:hint="default" w:ascii="仿宋_GB2312" w:hAnsi="宋体" w:eastAsia="仿宋_GB2312" w:cs="仿宋_GB2312"/>
          <w:kern w:val="2"/>
          <w:sz w:val="32"/>
          <w:szCs w:val="32"/>
          <w:lang w:val="en-US" w:eastAsia="zh-CN" w:bidi="ar"/>
        </w:rPr>
        <w:t>万元，实际到位资金</w:t>
      </w:r>
      <w:r>
        <w:rPr>
          <w:rFonts w:hint="default" w:ascii="仿宋_GB2312" w:hAnsi="宋体" w:eastAsia="仿宋_GB2312" w:cs="Times New Roman"/>
          <w:kern w:val="2"/>
          <w:sz w:val="32"/>
          <w:szCs w:val="32"/>
          <w:lang w:val="en-US" w:eastAsia="zh-CN" w:bidi="ar"/>
        </w:rPr>
        <w:t>106.27</w:t>
      </w:r>
      <w:r>
        <w:rPr>
          <w:rFonts w:hint="default" w:ascii="仿宋_GB2312" w:hAnsi="宋体" w:eastAsia="仿宋_GB2312" w:cs="仿宋_GB2312"/>
          <w:kern w:val="2"/>
          <w:sz w:val="32"/>
          <w:szCs w:val="32"/>
          <w:lang w:val="en-US" w:eastAsia="zh-CN" w:bidi="ar"/>
        </w:rPr>
        <w:t>万元。</w:t>
      </w:r>
    </w:p>
    <w:p w14:paraId="062B2CD3">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2.</w:t>
      </w:r>
      <w:r>
        <w:rPr>
          <w:rFonts w:hint="default" w:ascii="仿宋_GB2312" w:hAnsi="宋体" w:eastAsia="仿宋_GB2312" w:cs="仿宋_GB2312"/>
          <w:kern w:val="2"/>
          <w:sz w:val="32"/>
          <w:szCs w:val="32"/>
          <w:lang w:val="en-US" w:eastAsia="zh-CN" w:bidi="ar"/>
        </w:rPr>
        <w:t>资金使用。春节八一慰问金实际支付49.71万元，建军97周年活动慰问56.56万元，经费支付依据合规合法，资金支付与预算相符。</w:t>
      </w:r>
    </w:p>
    <w:p w14:paraId="2B2C72CF">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（二）项目财务管理情况。</w:t>
      </w:r>
    </w:p>
    <w:p w14:paraId="1C62C183">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总体评价项目实施单位财务管理制度健全，严格执行财务管理制度，账务处理及时，会计核算规范。</w:t>
      </w:r>
    </w:p>
    <w:p w14:paraId="18F3897D">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（三）项目组织实施情况。</w:t>
      </w:r>
    </w:p>
    <w:p w14:paraId="75D3E4AB">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符合申领该项慰问的人群由双拥办审核，由分管领导和主要领导审查，报局党组会审议通过后进行慰问。</w:t>
      </w:r>
    </w:p>
    <w:p w14:paraId="0E6D610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本部门执行《攀枝花市拥军优属拥政爱民领导小组关于进一步做好优抚对象走访慰问工作的通知》</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攀双拥</w:t>
      </w:r>
      <w:r>
        <w:rPr>
          <w:rFonts w:hint="eastAsia" w:ascii="仿宋_GB2312" w:eastAsia="仿宋_GB2312" w:cs="仿宋_GB2312"/>
          <w:kern w:val="2"/>
          <w:sz w:val="32"/>
          <w:szCs w:val="32"/>
          <w:lang w:val="en-US" w:eastAsia="zh-CN" w:bidi="ar"/>
        </w:rPr>
        <w:t>〔2013〕1号</w:t>
      </w:r>
      <w:r>
        <w:rPr>
          <w:rFonts w:hint="default" w:ascii="仿宋_GB2312" w:hAnsi="Times New Roman" w:eastAsia="仿宋_GB2312" w:cs="仿宋_GB2312"/>
          <w:kern w:val="2"/>
          <w:sz w:val="32"/>
          <w:szCs w:val="32"/>
          <w:lang w:val="en-US" w:eastAsia="zh-CN" w:bidi="ar"/>
        </w:rPr>
        <w:t>文件及项目管理制度进行管理。</w:t>
      </w:r>
    </w:p>
    <w:p w14:paraId="17605A05">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本部门加强项目管理所采取的定期或不定期的方法对开展情况及实现的效果进行检查。</w:t>
      </w:r>
    </w:p>
    <w:p w14:paraId="43DEEF19">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三、项目绩效情况</w:t>
      </w:r>
      <w:r>
        <w:rPr>
          <w:rFonts w:hint="default" w:ascii="仿宋_GB2312" w:hAnsi="宋体" w:eastAsia="仿宋_GB2312" w:cs="Times New Roman"/>
          <w:kern w:val="2"/>
          <w:sz w:val="32"/>
          <w:szCs w:val="32"/>
          <w:lang w:val="en-US" w:eastAsia="zh-CN" w:bidi="ar"/>
        </w:rPr>
        <w:tab/>
      </w:r>
    </w:p>
    <w:p w14:paraId="7E952F26">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（一）项目完成情况。</w:t>
      </w:r>
    </w:p>
    <w:p w14:paraId="48B583B9">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楷体_GB2312" w:hAnsi="宋体" w:eastAsia="楷体_GB2312" w:cs="Times New Roman"/>
          <w:b/>
          <w:bCs w:val="0"/>
          <w:kern w:val="2"/>
          <w:sz w:val="32"/>
          <w:szCs w:val="32"/>
        </w:rPr>
      </w:pPr>
      <w:r>
        <w:rPr>
          <w:rFonts w:hint="default" w:ascii="仿宋_GB2312" w:hAnsi="宋体" w:eastAsia="仿宋_GB2312" w:cs="仿宋_GB2312"/>
          <w:kern w:val="2"/>
          <w:sz w:val="32"/>
          <w:szCs w:val="32"/>
          <w:lang w:val="en-US" w:eastAsia="zh-CN" w:bidi="ar"/>
        </w:rPr>
        <w:t>该项目在春节和八一前完成</w:t>
      </w:r>
      <w:r>
        <w:rPr>
          <w:rFonts w:hint="default" w:ascii="仿宋_GB2312" w:hAnsi="Times New Roman" w:eastAsia="仿宋_GB2312" w:cs="仿宋_GB2312"/>
          <w:kern w:val="2"/>
          <w:sz w:val="32"/>
          <w:szCs w:val="32"/>
          <w:lang w:val="en-US" w:eastAsia="zh-CN" w:bidi="ar"/>
        </w:rPr>
        <w:t>慰问优抚对象</w:t>
      </w:r>
      <w:r>
        <w:rPr>
          <w:rFonts w:hint="default" w:ascii="Times New Roman" w:hAnsi="Times New Roman" w:eastAsia="仿宋_GB2312" w:cs="Times New Roman"/>
          <w:kern w:val="2"/>
          <w:sz w:val="32"/>
          <w:szCs w:val="32"/>
          <w:lang w:val="en-US" w:eastAsia="zh-CN" w:bidi="ar"/>
        </w:rPr>
        <w:t>7340</w:t>
      </w:r>
      <w:r>
        <w:rPr>
          <w:rFonts w:hint="default" w:ascii="仿宋_GB2312" w:hAnsi="Times New Roman" w:eastAsia="仿宋_GB2312" w:cs="仿宋_GB2312"/>
          <w:kern w:val="2"/>
          <w:sz w:val="32"/>
          <w:szCs w:val="32"/>
          <w:lang w:val="en-US" w:eastAsia="zh-CN" w:bidi="ar"/>
        </w:rPr>
        <w:t>人，</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个驻盐部队，使用资金</w:t>
      </w:r>
      <w:r>
        <w:rPr>
          <w:rFonts w:hint="default" w:ascii="Times New Roman" w:hAnsi="Times New Roman" w:eastAsia="仿宋_GB2312" w:cs="Times New Roman"/>
          <w:kern w:val="2"/>
          <w:sz w:val="32"/>
          <w:szCs w:val="32"/>
          <w:lang w:val="en-US" w:eastAsia="zh-CN" w:bidi="ar"/>
        </w:rPr>
        <w:t>106.27</w:t>
      </w:r>
      <w:r>
        <w:rPr>
          <w:rFonts w:hint="default" w:ascii="仿宋_GB2312" w:hAnsi="Times New Roman" w:eastAsia="仿宋_GB2312" w:cs="仿宋_GB2312"/>
          <w:kern w:val="2"/>
          <w:sz w:val="32"/>
          <w:szCs w:val="32"/>
          <w:lang w:val="en-US" w:eastAsia="zh-CN" w:bidi="ar"/>
        </w:rPr>
        <w:t>万元</w:t>
      </w:r>
      <w:r>
        <w:rPr>
          <w:rFonts w:hint="default" w:ascii="仿宋_GB2312" w:hAnsi="宋体" w:eastAsia="仿宋_GB2312" w:cs="仿宋_GB2312"/>
          <w:kern w:val="2"/>
          <w:sz w:val="32"/>
          <w:szCs w:val="32"/>
          <w:lang w:val="en-US" w:eastAsia="zh-CN" w:bidi="ar"/>
        </w:rPr>
        <w:t>，无违规记录。</w:t>
      </w:r>
    </w:p>
    <w:p w14:paraId="5FCA05C1">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楷体_GB2312" w:hAnsi="宋体" w:eastAsia="楷体_GB2312" w:cs="Times New Roman"/>
          <w:b/>
          <w:bCs w:val="0"/>
          <w:kern w:val="2"/>
          <w:sz w:val="32"/>
          <w:szCs w:val="32"/>
        </w:rPr>
      </w:pPr>
      <w:r>
        <w:rPr>
          <w:rFonts w:hint="eastAsia" w:ascii="楷体" w:hAnsi="楷体" w:eastAsia="楷体" w:cs="楷体"/>
          <w:kern w:val="2"/>
          <w:sz w:val="32"/>
          <w:szCs w:val="32"/>
          <w:lang w:val="en-US" w:eastAsia="zh-CN" w:bidi="ar"/>
        </w:rPr>
        <w:t>（二）项目效益情况。</w:t>
      </w:r>
      <w:r>
        <w:rPr>
          <w:rFonts w:hint="default" w:ascii="仿宋_GB2312" w:hAnsi="宋体" w:eastAsia="仿宋_GB2312" w:cs="仿宋_GB2312"/>
          <w:kern w:val="2"/>
          <w:sz w:val="32"/>
          <w:szCs w:val="32"/>
          <w:lang w:val="en-US" w:eastAsia="zh-CN" w:bidi="ar"/>
        </w:rPr>
        <w:t>该项目促进了双拥，让驻盐部队和优抚对象及时感受到党和国家的关心关爱，服务对象满意度95%。</w:t>
      </w:r>
    </w:p>
    <w:p w14:paraId="6646A889">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四、问题及建议</w:t>
      </w:r>
    </w:p>
    <w:p w14:paraId="05B24724">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eastAsia" w:ascii="楷体" w:hAnsi="楷体" w:eastAsia="楷体" w:cs="楷体"/>
          <w:kern w:val="2"/>
          <w:sz w:val="32"/>
          <w:szCs w:val="32"/>
          <w:lang w:val="en-US" w:eastAsia="zh-CN" w:bidi="ar"/>
        </w:rPr>
        <w:t>（一）存在的问题。</w:t>
      </w:r>
    </w:p>
    <w:p w14:paraId="4ACDC049">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eastAsia" w:ascii="楷体" w:hAnsi="楷体" w:eastAsia="楷体" w:cs="Times New Roman"/>
          <w:kern w:val="2"/>
          <w:sz w:val="32"/>
          <w:szCs w:val="32"/>
        </w:rPr>
      </w:pPr>
      <w:r>
        <w:rPr>
          <w:rFonts w:hint="default" w:ascii="仿宋_GB2312" w:hAnsi="宋体" w:eastAsia="仿宋_GB2312" w:cs="仿宋_GB2312"/>
          <w:kern w:val="2"/>
          <w:sz w:val="32"/>
          <w:szCs w:val="32"/>
          <w:lang w:val="en-US" w:eastAsia="zh-CN" w:bidi="ar"/>
        </w:rPr>
        <w:t>通过一体化平台发放时，对收集的收款信息要求严格，出现反复发放失败情况</w:t>
      </w:r>
      <w:r>
        <w:rPr>
          <w:rFonts w:hint="eastAsia" w:ascii="楷体" w:hAnsi="楷体" w:eastAsia="楷体" w:cs="楷体"/>
          <w:kern w:val="2"/>
          <w:sz w:val="32"/>
          <w:szCs w:val="32"/>
          <w:lang w:val="en-US" w:eastAsia="zh-CN" w:bidi="ar"/>
        </w:rPr>
        <w:t>。</w:t>
      </w:r>
    </w:p>
    <w:p w14:paraId="46776548">
      <w:pPr>
        <w:keepNext w:val="0"/>
        <w:keepLines w:val="0"/>
        <w:widowControl w:val="0"/>
        <w:suppressLineNumbers w:val="0"/>
        <w:adjustRightInd w:val="0"/>
        <w:snapToGrid w:val="0"/>
        <w:spacing w:before="0" w:beforeAutospacing="0" w:after="0" w:afterAutospacing="0" w:line="560" w:lineRule="exact"/>
        <w:ind w:left="0" w:right="0" w:firstLine="720"/>
        <w:jc w:val="both"/>
        <w:rPr>
          <w:rFonts w:hint="default" w:ascii="仿宋_GB2312" w:hAnsi="宋体" w:eastAsia="仿宋_GB2312" w:cs="Times New Roman"/>
          <w:kern w:val="2"/>
          <w:sz w:val="32"/>
          <w:szCs w:val="32"/>
        </w:rPr>
      </w:pPr>
      <w:r>
        <w:rPr>
          <w:rFonts w:hint="eastAsia" w:ascii="楷体" w:hAnsi="楷体" w:eastAsia="楷体" w:cs="楷体"/>
          <w:kern w:val="2"/>
          <w:sz w:val="32"/>
          <w:szCs w:val="32"/>
          <w:lang w:val="en-US" w:eastAsia="zh-CN" w:bidi="ar"/>
        </w:rPr>
        <w:t>（二）相关建议。</w:t>
      </w:r>
    </w:p>
    <w:p w14:paraId="20D4E3A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 xml:space="preserve">    </w:t>
      </w:r>
      <w:r>
        <w:rPr>
          <w:rFonts w:hint="default" w:ascii="仿宋_GB2312" w:hAnsi="宋体" w:eastAsia="仿宋_GB2312" w:cs="仿宋_GB2312"/>
          <w:kern w:val="2"/>
          <w:sz w:val="32"/>
          <w:szCs w:val="32"/>
          <w:lang w:val="en-US" w:eastAsia="zh-CN" w:bidi="ar"/>
        </w:rPr>
        <w:t>希望纳入惠民惠农一卡通发放。</w:t>
      </w:r>
    </w:p>
    <w:p w14:paraId="650C6980">
      <w:pPr>
        <w:keepNext w:val="0"/>
        <w:keepLines w:val="0"/>
        <w:widowControl w:val="0"/>
        <w:suppressLineNumbers w:val="0"/>
        <w:spacing w:before="0" w:beforeAutospacing="0" w:after="0" w:afterAutospacing="0"/>
        <w:ind w:left="0" w:right="0" w:firstLine="640"/>
        <w:jc w:val="both"/>
        <w:rPr>
          <w:rFonts w:hint="default" w:ascii="仿宋_GB2312" w:hAnsi="宋体" w:eastAsia="仿宋_GB2312" w:cs="仿宋_GB2312"/>
          <w:kern w:val="2"/>
          <w:sz w:val="32"/>
          <w:szCs w:val="32"/>
          <w:lang w:val="en-US" w:eastAsia="zh-CN" w:bidi="ar"/>
        </w:rPr>
      </w:pPr>
    </w:p>
    <w:p w14:paraId="44554E3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方正仿宋_GBK" w:cs="Times New Roman"/>
          <w:sz w:val="32"/>
          <w:szCs w:val="32"/>
          <w:lang w:val="en-US" w:eastAsia="zh-CN"/>
        </w:rPr>
      </w:pPr>
    </w:p>
    <w:p w14:paraId="4D12767C">
      <w:pPr>
        <w:pageBreakBefore w:val="0"/>
        <w:kinsoku/>
        <w:wordWrap/>
        <w:overflowPunct/>
        <w:topLinePunct w:val="0"/>
        <w:bidi w:val="0"/>
        <w:snapToGrid/>
        <w:spacing w:line="240" w:lineRule="auto"/>
        <w:ind w:left="0" w:leftChars="0"/>
        <w:jc w:val="both"/>
        <w:textAlignment w:val="auto"/>
        <w:outlineLvl w:val="0"/>
        <w:rPr>
          <w:rFonts w:hint="default" w:ascii="Times New Roman" w:hAnsi="Times New Roman" w:eastAsia="黑体" w:cs="Times New Roman"/>
          <w:sz w:val="44"/>
          <w:szCs w:val="44"/>
        </w:rPr>
      </w:pPr>
    </w:p>
    <w:p w14:paraId="3DE023D2">
      <w:pPr>
        <w:pageBreakBefore w:val="0"/>
        <w:kinsoku/>
        <w:wordWrap/>
        <w:overflowPunct/>
        <w:topLinePunct w:val="0"/>
        <w:bidi w:val="0"/>
        <w:snapToGrid/>
        <w:spacing w:line="240" w:lineRule="auto"/>
        <w:ind w:left="0" w:leftChars="0"/>
        <w:jc w:val="center"/>
        <w:textAlignment w:val="auto"/>
        <w:outlineLvl w:val="0"/>
        <w:rPr>
          <w:rFonts w:hint="default" w:ascii="Times New Roman" w:hAnsi="Times New Roman" w:eastAsia="黑体" w:cs="Times New Roman"/>
          <w:sz w:val="44"/>
          <w:szCs w:val="44"/>
        </w:rPr>
      </w:pPr>
    </w:p>
    <w:p w14:paraId="19D09289">
      <w:pPr>
        <w:pageBreakBefore w:val="0"/>
        <w:kinsoku/>
        <w:wordWrap/>
        <w:overflowPunct/>
        <w:topLinePunct w:val="0"/>
        <w:bidi w:val="0"/>
        <w:snapToGrid/>
        <w:spacing w:line="240" w:lineRule="auto"/>
        <w:ind w:left="0" w:leftChars="0"/>
        <w:jc w:val="center"/>
        <w:textAlignment w:val="auto"/>
        <w:outlineLvl w:val="0"/>
        <w:rPr>
          <w:rFonts w:hint="default" w:ascii="Times New Roman" w:hAnsi="Times New Roman" w:eastAsia="黑体" w:cs="Times New Roman"/>
          <w:sz w:val="44"/>
          <w:szCs w:val="44"/>
        </w:rPr>
      </w:pPr>
    </w:p>
    <w:p w14:paraId="538DBD83">
      <w:pPr>
        <w:pageBreakBefore w:val="0"/>
        <w:kinsoku/>
        <w:wordWrap/>
        <w:overflowPunct/>
        <w:topLinePunct w:val="0"/>
        <w:bidi w:val="0"/>
        <w:snapToGrid/>
        <w:spacing w:line="240" w:lineRule="auto"/>
        <w:ind w:left="0" w:leftChars="0"/>
        <w:jc w:val="center"/>
        <w:textAlignment w:val="auto"/>
        <w:outlineLvl w:val="0"/>
        <w:rPr>
          <w:rFonts w:hint="default" w:ascii="Times New Roman" w:hAnsi="Times New Roman" w:eastAsia="黑体" w:cs="Times New Roman"/>
          <w:sz w:val="44"/>
          <w:szCs w:val="44"/>
        </w:rPr>
      </w:pPr>
    </w:p>
    <w:p w14:paraId="3259FA45">
      <w:pPr>
        <w:pageBreakBefore w:val="0"/>
        <w:kinsoku/>
        <w:wordWrap/>
        <w:overflowPunct/>
        <w:topLinePunct w:val="0"/>
        <w:bidi w:val="0"/>
        <w:snapToGrid/>
        <w:spacing w:line="240" w:lineRule="auto"/>
        <w:ind w:left="0" w:leftChars="0"/>
        <w:jc w:val="center"/>
        <w:textAlignment w:val="auto"/>
        <w:outlineLvl w:val="0"/>
        <w:rPr>
          <w:rFonts w:hint="default" w:ascii="Times New Roman" w:hAnsi="Times New Roman" w:eastAsia="黑体" w:cs="Times New Roman"/>
          <w:sz w:val="44"/>
          <w:szCs w:val="44"/>
        </w:rPr>
      </w:pPr>
    </w:p>
    <w:p w14:paraId="15C44289">
      <w:pPr>
        <w:pageBreakBefore w:val="0"/>
        <w:kinsoku/>
        <w:wordWrap/>
        <w:overflowPunct/>
        <w:topLinePunct w:val="0"/>
        <w:bidi w:val="0"/>
        <w:snapToGrid/>
        <w:spacing w:line="240" w:lineRule="auto"/>
        <w:ind w:left="0" w:leftChars="0"/>
        <w:jc w:val="center"/>
        <w:textAlignment w:val="auto"/>
        <w:outlineLvl w:val="0"/>
        <w:rPr>
          <w:rStyle w:val="28"/>
          <w:rFonts w:hint="default" w:ascii="Times New Roman" w:hAnsi="Times New Roman" w:eastAsia="黑体" w:cs="Times New Roman"/>
          <w:b w:val="0"/>
        </w:rPr>
      </w:pPr>
      <w:r>
        <w:rPr>
          <w:rFonts w:hint="default" w:ascii="Times New Roman" w:hAnsi="Times New Roman" w:eastAsia="黑体" w:cs="Times New Roman"/>
          <w:sz w:val="44"/>
          <w:szCs w:val="44"/>
        </w:rPr>
        <w:t>第</w:t>
      </w:r>
      <w:r>
        <w:rPr>
          <w:rStyle w:val="28"/>
          <w:rFonts w:hint="default" w:ascii="Times New Roman" w:hAnsi="Times New Roman" w:eastAsia="黑体" w:cs="Times New Roman"/>
          <w:b w:val="0"/>
        </w:rPr>
        <w:t>五部分 附表</w:t>
      </w:r>
      <w:bookmarkEnd w:id="52"/>
      <w:bookmarkEnd w:id="53"/>
      <w:bookmarkStart w:id="54" w:name="_Toc15396619"/>
    </w:p>
    <w:p w14:paraId="3F1D4F3D">
      <w:pPr>
        <w:pageBreakBefore w:val="0"/>
        <w:kinsoku/>
        <w:wordWrap/>
        <w:overflowPunct/>
        <w:topLinePunct w:val="0"/>
        <w:bidi w:val="0"/>
        <w:snapToGrid/>
        <w:spacing w:line="240" w:lineRule="auto"/>
        <w:ind w:left="0" w:leftChars="0"/>
        <w:jc w:val="center"/>
        <w:textAlignment w:val="auto"/>
        <w:outlineLvl w:val="0"/>
        <w:rPr>
          <w:rStyle w:val="28"/>
          <w:rFonts w:hint="default" w:ascii="Times New Roman" w:hAnsi="Times New Roman" w:eastAsia="黑体" w:cs="Times New Roman"/>
          <w:b w:val="0"/>
        </w:rPr>
      </w:pPr>
    </w:p>
    <w:p w14:paraId="62B2E8DA">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一、收入支出决算总表</w:t>
      </w:r>
      <w:bookmarkEnd w:id="54"/>
    </w:p>
    <w:p w14:paraId="3AEC8CCD">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55" w:name="_Toc15396620"/>
      <w:r>
        <w:rPr>
          <w:rFonts w:hint="default" w:ascii="Times New Roman" w:hAnsi="Times New Roman" w:eastAsia="方正仿宋_GBK" w:cs="Times New Roman"/>
          <w:b w:val="0"/>
          <w:bCs w:val="0"/>
          <w:kern w:val="2"/>
          <w:sz w:val="32"/>
          <w:szCs w:val="32"/>
          <w:lang w:val="en-US" w:eastAsia="zh-CN" w:bidi="ar-SA"/>
        </w:rPr>
        <w:t>二、收入决算表</w:t>
      </w:r>
      <w:bookmarkEnd w:id="55"/>
    </w:p>
    <w:p w14:paraId="1FF4F242">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56" w:name="_Toc15396621"/>
      <w:r>
        <w:rPr>
          <w:rFonts w:hint="default" w:ascii="Times New Roman" w:hAnsi="Times New Roman" w:eastAsia="方正仿宋_GBK" w:cs="Times New Roman"/>
          <w:b w:val="0"/>
          <w:bCs w:val="0"/>
          <w:kern w:val="2"/>
          <w:sz w:val="32"/>
          <w:szCs w:val="32"/>
          <w:lang w:val="en-US" w:eastAsia="zh-CN" w:bidi="ar-SA"/>
        </w:rPr>
        <w:t>三、支出决算表</w:t>
      </w:r>
      <w:bookmarkEnd w:id="56"/>
    </w:p>
    <w:p w14:paraId="0EA38EEA">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57" w:name="_Toc15396622"/>
      <w:r>
        <w:rPr>
          <w:rFonts w:hint="default" w:ascii="Times New Roman" w:hAnsi="Times New Roman" w:eastAsia="方正仿宋_GBK" w:cs="Times New Roman"/>
          <w:b w:val="0"/>
          <w:bCs w:val="0"/>
          <w:kern w:val="2"/>
          <w:sz w:val="32"/>
          <w:szCs w:val="32"/>
          <w:lang w:val="en-US" w:eastAsia="zh-CN" w:bidi="ar-SA"/>
        </w:rPr>
        <w:t>四、财政拨款收入支出决算总表</w:t>
      </w:r>
      <w:bookmarkEnd w:id="57"/>
    </w:p>
    <w:p w14:paraId="18084510">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58" w:name="_Toc15396623"/>
      <w:r>
        <w:rPr>
          <w:rFonts w:hint="default" w:ascii="Times New Roman" w:hAnsi="Times New Roman" w:eastAsia="方正仿宋_GBK" w:cs="Times New Roman"/>
          <w:b w:val="0"/>
          <w:bCs w:val="0"/>
          <w:kern w:val="2"/>
          <w:sz w:val="32"/>
          <w:szCs w:val="32"/>
          <w:lang w:val="en-US" w:eastAsia="zh-CN" w:bidi="ar-SA"/>
        </w:rPr>
        <w:t>五、财政拨款支出决算明细表</w:t>
      </w:r>
      <w:bookmarkEnd w:id="58"/>
      <w:bookmarkStart w:id="59" w:name="_Toc15396624"/>
    </w:p>
    <w:p w14:paraId="58E9C5DA">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六、一般公共预算财政拨款支出决算表</w:t>
      </w:r>
      <w:bookmarkEnd w:id="59"/>
    </w:p>
    <w:p w14:paraId="5515C279">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0" w:name="_Toc15396625"/>
      <w:r>
        <w:rPr>
          <w:rFonts w:hint="default" w:ascii="Times New Roman" w:hAnsi="Times New Roman" w:eastAsia="方正仿宋_GBK" w:cs="Times New Roman"/>
          <w:b w:val="0"/>
          <w:bCs w:val="0"/>
          <w:kern w:val="2"/>
          <w:sz w:val="32"/>
          <w:szCs w:val="32"/>
          <w:lang w:val="en-US" w:eastAsia="zh-CN" w:bidi="ar-SA"/>
        </w:rPr>
        <w:t>七、一般公共预算财政拨款支出决算明细表</w:t>
      </w:r>
      <w:bookmarkEnd w:id="60"/>
    </w:p>
    <w:p w14:paraId="3A2676B7">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1" w:name="_Toc15396626"/>
      <w:r>
        <w:rPr>
          <w:rFonts w:hint="default" w:ascii="Times New Roman" w:hAnsi="Times New Roman" w:eastAsia="方正仿宋_GBK" w:cs="Times New Roman"/>
          <w:b w:val="0"/>
          <w:bCs w:val="0"/>
          <w:kern w:val="2"/>
          <w:sz w:val="32"/>
          <w:szCs w:val="32"/>
          <w:lang w:val="en-US" w:eastAsia="zh-CN" w:bidi="ar-SA"/>
        </w:rPr>
        <w:t>八、一般公共预算财政拨款基本支出决算表</w:t>
      </w:r>
      <w:bookmarkEnd w:id="61"/>
    </w:p>
    <w:p w14:paraId="1F8652BA">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2" w:name="_Toc15396627"/>
      <w:r>
        <w:rPr>
          <w:rFonts w:hint="default" w:ascii="Times New Roman" w:hAnsi="Times New Roman" w:eastAsia="方正仿宋_GBK" w:cs="Times New Roman"/>
          <w:b w:val="0"/>
          <w:bCs w:val="0"/>
          <w:kern w:val="2"/>
          <w:sz w:val="32"/>
          <w:szCs w:val="32"/>
          <w:lang w:val="en-US" w:eastAsia="zh-CN" w:bidi="ar-SA"/>
        </w:rPr>
        <w:t>九、一般公共预算财政拨款项目支出决算表</w:t>
      </w:r>
      <w:bookmarkEnd w:id="62"/>
    </w:p>
    <w:p w14:paraId="0F16A855">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3" w:name="_Toc15396628"/>
      <w:r>
        <w:rPr>
          <w:rFonts w:hint="default" w:ascii="Times New Roman" w:hAnsi="Times New Roman" w:eastAsia="方正仿宋_GBK" w:cs="Times New Roman"/>
          <w:b w:val="0"/>
          <w:bCs w:val="0"/>
          <w:kern w:val="2"/>
          <w:sz w:val="32"/>
          <w:szCs w:val="32"/>
          <w:lang w:val="en-US" w:eastAsia="zh-CN" w:bidi="ar-SA"/>
        </w:rPr>
        <w:t>十、</w:t>
      </w:r>
      <w:bookmarkEnd w:id="63"/>
      <w:r>
        <w:rPr>
          <w:rFonts w:hint="default" w:ascii="Times New Roman" w:hAnsi="Times New Roman" w:eastAsia="方正仿宋_GBK" w:cs="Times New Roman"/>
          <w:b w:val="0"/>
          <w:bCs w:val="0"/>
          <w:kern w:val="2"/>
          <w:sz w:val="32"/>
          <w:szCs w:val="32"/>
          <w:lang w:val="en-US" w:eastAsia="zh-CN" w:bidi="ar-SA"/>
        </w:rPr>
        <w:t>政府性基金预算财政拨款收入支出决算表</w:t>
      </w:r>
    </w:p>
    <w:p w14:paraId="54B6944C">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4" w:name="_Toc15396629"/>
      <w:r>
        <w:rPr>
          <w:rFonts w:hint="default" w:ascii="Times New Roman" w:hAnsi="Times New Roman" w:eastAsia="方正仿宋_GBK" w:cs="Times New Roman"/>
          <w:b w:val="0"/>
          <w:bCs w:val="0"/>
          <w:kern w:val="2"/>
          <w:sz w:val="32"/>
          <w:szCs w:val="32"/>
          <w:lang w:val="en-US" w:eastAsia="zh-CN" w:bidi="ar-SA"/>
        </w:rPr>
        <w:t>十一、</w:t>
      </w:r>
      <w:bookmarkEnd w:id="64"/>
      <w:r>
        <w:rPr>
          <w:rFonts w:hint="default" w:ascii="Times New Roman" w:hAnsi="Times New Roman" w:eastAsia="方正仿宋_GBK" w:cs="Times New Roman"/>
          <w:b w:val="0"/>
          <w:bCs w:val="0"/>
          <w:kern w:val="2"/>
          <w:sz w:val="32"/>
          <w:szCs w:val="32"/>
          <w:lang w:val="en-US" w:eastAsia="zh-CN" w:bidi="ar-SA"/>
        </w:rPr>
        <w:t>国有资本经营预算财政拨款收入支出决算表</w:t>
      </w:r>
    </w:p>
    <w:p w14:paraId="1F93E4FB">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5" w:name="_Toc15396630"/>
      <w:r>
        <w:rPr>
          <w:rFonts w:hint="default" w:ascii="Times New Roman" w:hAnsi="Times New Roman" w:eastAsia="方正仿宋_GBK" w:cs="Times New Roman"/>
          <w:b w:val="0"/>
          <w:bCs w:val="0"/>
          <w:kern w:val="2"/>
          <w:sz w:val="32"/>
          <w:szCs w:val="32"/>
          <w:lang w:val="en-US" w:eastAsia="zh-CN" w:bidi="ar-SA"/>
        </w:rPr>
        <w:t>十二、</w:t>
      </w:r>
      <w:bookmarkEnd w:id="65"/>
      <w:r>
        <w:rPr>
          <w:rFonts w:hint="default" w:ascii="Times New Roman" w:hAnsi="Times New Roman" w:eastAsia="方正仿宋_GBK" w:cs="Times New Roman"/>
          <w:b w:val="0"/>
          <w:bCs w:val="0"/>
          <w:kern w:val="2"/>
          <w:sz w:val="32"/>
          <w:szCs w:val="32"/>
          <w:lang w:val="en-US" w:eastAsia="zh-CN" w:bidi="ar-SA"/>
        </w:rPr>
        <w:t>国有资本经营预算财政拨款支出决算表</w:t>
      </w:r>
    </w:p>
    <w:p w14:paraId="4C259256">
      <w:pPr>
        <w:pStyle w:val="3"/>
        <w:pageBreakBefore w:val="0"/>
        <w:kinsoku/>
        <w:wordWrap/>
        <w:overflowPunct/>
        <w:topLinePunct w:val="0"/>
        <w:bidi w:val="0"/>
        <w:snapToGrid/>
        <w:spacing w:before="0" w:after="0" w:line="240" w:lineRule="auto"/>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bookmarkStart w:id="66" w:name="_Toc15396631"/>
      <w:r>
        <w:rPr>
          <w:rFonts w:hint="default" w:ascii="Times New Roman" w:hAnsi="Times New Roman" w:eastAsia="方正仿宋_GBK" w:cs="Times New Roman"/>
          <w:b w:val="0"/>
          <w:bCs w:val="0"/>
          <w:kern w:val="2"/>
          <w:sz w:val="32"/>
          <w:szCs w:val="32"/>
          <w:lang w:val="en-US" w:eastAsia="zh-CN" w:bidi="ar-SA"/>
        </w:rPr>
        <w:t>十三、</w:t>
      </w:r>
      <w:bookmarkEnd w:id="66"/>
      <w:r>
        <w:rPr>
          <w:rFonts w:hint="default" w:ascii="Times New Roman" w:hAnsi="Times New Roman" w:eastAsia="方正仿宋_GBK" w:cs="Times New Roman"/>
          <w:b w:val="0"/>
          <w:bCs w:val="0"/>
          <w:kern w:val="2"/>
          <w:sz w:val="32"/>
          <w:szCs w:val="32"/>
          <w:lang w:val="en-US" w:eastAsia="zh-CN" w:bidi="ar-SA"/>
        </w:rPr>
        <w:t>财政拨款“三公”经费支出决算表</w:t>
      </w:r>
    </w:p>
    <w:sectPr>
      <w:footerReference r:id="rId7" w:type="first"/>
      <w:footerReference r:id="rId6" w:type="default"/>
      <w:pgSz w:w="11906" w:h="16838"/>
      <w:pgMar w:top="2098" w:right="1474" w:bottom="1984" w:left="1587" w:header="851" w:footer="164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1F68">
    <w:pPr>
      <w:pStyle w:val="9"/>
      <w:ind w:firstLine="3600" w:firstLineChars="2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76042">
    <w:pPr>
      <w:pStyle w:val="9"/>
      <w:ind w:firstLine="3600" w:firstLineChars="20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A01AC">
    <w:pPr>
      <w:pStyle w:val="9"/>
      <w:ind w:firstLine="3600" w:firstLineChars="2000"/>
    </w:pPr>
    <w:r>
      <mc:AlternateContent>
        <mc:Choice Requires="wps">
          <w:drawing>
            <wp:anchor distT="0" distB="0" distL="114300" distR="114300" simplePos="0" relativeHeight="251660288" behindDoc="0" locked="0" layoutInCell="1" allowOverlap="1">
              <wp:simplePos x="0" y="0"/>
              <wp:positionH relativeFrom="margin">
                <wp:posOffset>-20955</wp:posOffset>
              </wp:positionH>
              <wp:positionV relativeFrom="paragraph">
                <wp:posOffset>42545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C229C">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5pt;margin-top:3.35pt;height:144pt;width:144pt;mso-position-horizontal-relative:margin;mso-wrap-style:none;z-index:251660288;mso-width-relative:page;mso-height-relative:page;" filled="f" stroked="f" coordsize="21600,21600" o:gfxdata="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qqf+vVAAAACAEAAA8AAAAAAAAAAQAgAAAAIgAAAGRycy9kb3ducmV2LnhtbFBLAQIUABQA&#10;AAAIAIdO4kDKv6PlLAIAAFUEAAAOAAAAAAAAAAEAIAAAACQBAABkcnMvZTJvRG9jLnhtbFBLBQYA&#10;AAAABgAGAFkBAADCBQAAAAA=&#10;">
              <v:fill on="f" focussize="0,0"/>
              <v:stroke on="f" weight="0.5pt"/>
              <v:imagedata o:title=""/>
              <o:lock v:ext="edit" aspectratio="f"/>
              <v:textbox inset="0mm,0mm,0mm,0mm" style="mso-fit-shape-to-text:t;">
                <w:txbxContent>
                  <w:p w14:paraId="060C229C">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C3745">
    <w:pPr>
      <w:pStyle w:val="9"/>
    </w:pPr>
    <w:r>
      <mc:AlternateContent>
        <mc:Choice Requires="wps">
          <w:drawing>
            <wp:anchor distT="0" distB="0" distL="114300" distR="114300" simplePos="0" relativeHeight="251661312" behindDoc="0" locked="0" layoutInCell="1" allowOverlap="1">
              <wp:simplePos x="0" y="0"/>
              <wp:positionH relativeFrom="margin">
                <wp:posOffset>5019675</wp:posOffset>
              </wp:positionH>
              <wp:positionV relativeFrom="paragraph">
                <wp:posOffset>42545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44923">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5.25pt;margin-top:3.35pt;height:144pt;width:144pt;mso-position-horizontal-relative:margin;mso-wrap-style:none;z-index:251661312;mso-width-relative:page;mso-height-relative:page;" filled="f" stroked="f" coordsize="21600,21600" o:gfxdata="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IQayPXAAAACgEAAA8AAAAAAAAAAQAgAAAAIgAAAGRycy9kb3ducmV2LnhtbFBLAQIUABQA&#10;AAAIAIdO4kDK3dcMKgIAAFcEAAAOAAAAAAAAAAEAIAAAACYBAABkcnMvZTJvRG9jLnhtbFBLBQYA&#10;AAAABgAGAFkBAADCBQAAAAA=&#10;">
              <v:fill on="f" focussize="0,0"/>
              <v:stroke on="f" weight="0.5pt"/>
              <v:imagedata o:title=""/>
              <o:lock v:ext="edit" aspectratio="f"/>
              <v:textbox inset="0mm,0mm,0mm,0mm" style="mso-fit-shape-to-text:t;">
                <w:txbxContent>
                  <w:p w14:paraId="22844923">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115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95369"/>
    <w:multiLevelType w:val="multilevel"/>
    <w:tmpl w:val="E7C95369"/>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49D8414"/>
    <w:multiLevelType w:val="singleLevel"/>
    <w:tmpl w:val="549D8414"/>
    <w:lvl w:ilvl="0" w:tentative="0">
      <w:start w:val="4"/>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MjZlYTFiZDMyNTQ4NTdhZmIzZTJjYzdmOTcxNGYifQ=="/>
  </w:docVars>
  <w:rsids>
    <w:rsidRoot w:val="00F1361C"/>
    <w:rsid w:val="00011245"/>
    <w:rsid w:val="000222C6"/>
    <w:rsid w:val="00022F7D"/>
    <w:rsid w:val="0002549F"/>
    <w:rsid w:val="00036741"/>
    <w:rsid w:val="00042D91"/>
    <w:rsid w:val="000468DB"/>
    <w:rsid w:val="00061F7F"/>
    <w:rsid w:val="0006487A"/>
    <w:rsid w:val="00065F8F"/>
    <w:rsid w:val="00067938"/>
    <w:rsid w:val="00070A43"/>
    <w:rsid w:val="000768F2"/>
    <w:rsid w:val="0009184B"/>
    <w:rsid w:val="00094236"/>
    <w:rsid w:val="0009593C"/>
    <w:rsid w:val="00097322"/>
    <w:rsid w:val="000A20A5"/>
    <w:rsid w:val="000A6A92"/>
    <w:rsid w:val="000B047F"/>
    <w:rsid w:val="000B12FC"/>
    <w:rsid w:val="000B185F"/>
    <w:rsid w:val="000B5923"/>
    <w:rsid w:val="000B5A48"/>
    <w:rsid w:val="000B6FF3"/>
    <w:rsid w:val="000C3467"/>
    <w:rsid w:val="000C3CA6"/>
    <w:rsid w:val="000D1267"/>
    <w:rsid w:val="000D1D50"/>
    <w:rsid w:val="000D5782"/>
    <w:rsid w:val="000E6613"/>
    <w:rsid w:val="000E7119"/>
    <w:rsid w:val="000F6E33"/>
    <w:rsid w:val="0010255A"/>
    <w:rsid w:val="00103FE2"/>
    <w:rsid w:val="00114E9B"/>
    <w:rsid w:val="001276AD"/>
    <w:rsid w:val="001312DF"/>
    <w:rsid w:val="00141F72"/>
    <w:rsid w:val="00142216"/>
    <w:rsid w:val="00144D6A"/>
    <w:rsid w:val="0014729F"/>
    <w:rsid w:val="00157BAB"/>
    <w:rsid w:val="00163753"/>
    <w:rsid w:val="001654D1"/>
    <w:rsid w:val="00174518"/>
    <w:rsid w:val="0018106D"/>
    <w:rsid w:val="001877A7"/>
    <w:rsid w:val="00191536"/>
    <w:rsid w:val="00196687"/>
    <w:rsid w:val="001A1DAD"/>
    <w:rsid w:val="001B1EF5"/>
    <w:rsid w:val="001B4CA2"/>
    <w:rsid w:val="001C0962"/>
    <w:rsid w:val="001D7531"/>
    <w:rsid w:val="001E1392"/>
    <w:rsid w:val="001E737D"/>
    <w:rsid w:val="001F0592"/>
    <w:rsid w:val="001F1273"/>
    <w:rsid w:val="001F7506"/>
    <w:rsid w:val="002006CD"/>
    <w:rsid w:val="00202B36"/>
    <w:rsid w:val="00204B7A"/>
    <w:rsid w:val="00204CDE"/>
    <w:rsid w:val="00206907"/>
    <w:rsid w:val="00210B74"/>
    <w:rsid w:val="0021101A"/>
    <w:rsid w:val="0021135D"/>
    <w:rsid w:val="00211A4C"/>
    <w:rsid w:val="00212B4A"/>
    <w:rsid w:val="002161C4"/>
    <w:rsid w:val="00220536"/>
    <w:rsid w:val="00235629"/>
    <w:rsid w:val="002553FD"/>
    <w:rsid w:val="00257424"/>
    <w:rsid w:val="00260C38"/>
    <w:rsid w:val="002616C0"/>
    <w:rsid w:val="00265372"/>
    <w:rsid w:val="002662AA"/>
    <w:rsid w:val="002770C2"/>
    <w:rsid w:val="00280496"/>
    <w:rsid w:val="00285523"/>
    <w:rsid w:val="00294DC9"/>
    <w:rsid w:val="00295495"/>
    <w:rsid w:val="002A095B"/>
    <w:rsid w:val="002A22AD"/>
    <w:rsid w:val="002A31DE"/>
    <w:rsid w:val="002A6583"/>
    <w:rsid w:val="002A76EE"/>
    <w:rsid w:val="002B032E"/>
    <w:rsid w:val="002B2613"/>
    <w:rsid w:val="002C4CB6"/>
    <w:rsid w:val="002C5004"/>
    <w:rsid w:val="002D2082"/>
    <w:rsid w:val="002D6D05"/>
    <w:rsid w:val="002E181F"/>
    <w:rsid w:val="002F033C"/>
    <w:rsid w:val="002F1818"/>
    <w:rsid w:val="002F567B"/>
    <w:rsid w:val="003033F7"/>
    <w:rsid w:val="00317C2B"/>
    <w:rsid w:val="003216A9"/>
    <w:rsid w:val="00335A74"/>
    <w:rsid w:val="0035035E"/>
    <w:rsid w:val="00360926"/>
    <w:rsid w:val="0036561B"/>
    <w:rsid w:val="0037013F"/>
    <w:rsid w:val="00380C92"/>
    <w:rsid w:val="003A2992"/>
    <w:rsid w:val="003A484F"/>
    <w:rsid w:val="003A4883"/>
    <w:rsid w:val="003B0BE0"/>
    <w:rsid w:val="003B0C1B"/>
    <w:rsid w:val="003B688C"/>
    <w:rsid w:val="003C0291"/>
    <w:rsid w:val="003C39AE"/>
    <w:rsid w:val="003C7B60"/>
    <w:rsid w:val="003D0C0F"/>
    <w:rsid w:val="003D1FB2"/>
    <w:rsid w:val="003D255F"/>
    <w:rsid w:val="003D66DA"/>
    <w:rsid w:val="003E1310"/>
    <w:rsid w:val="003E4523"/>
    <w:rsid w:val="003E6F55"/>
    <w:rsid w:val="003F12BC"/>
    <w:rsid w:val="004001BE"/>
    <w:rsid w:val="004018BF"/>
    <w:rsid w:val="00406254"/>
    <w:rsid w:val="00420676"/>
    <w:rsid w:val="004206D8"/>
    <w:rsid w:val="00421401"/>
    <w:rsid w:val="004223DE"/>
    <w:rsid w:val="00425718"/>
    <w:rsid w:val="00425B6F"/>
    <w:rsid w:val="00425C50"/>
    <w:rsid w:val="0043177C"/>
    <w:rsid w:val="0043200A"/>
    <w:rsid w:val="00434489"/>
    <w:rsid w:val="00437085"/>
    <w:rsid w:val="00443880"/>
    <w:rsid w:val="004464F4"/>
    <w:rsid w:val="004468BB"/>
    <w:rsid w:val="00447D72"/>
    <w:rsid w:val="0046049C"/>
    <w:rsid w:val="00466194"/>
    <w:rsid w:val="00471401"/>
    <w:rsid w:val="00472313"/>
    <w:rsid w:val="00473E1C"/>
    <w:rsid w:val="00473F31"/>
    <w:rsid w:val="00474B71"/>
    <w:rsid w:val="00474ECF"/>
    <w:rsid w:val="0048263A"/>
    <w:rsid w:val="00487E5D"/>
    <w:rsid w:val="0049293D"/>
    <w:rsid w:val="004A711F"/>
    <w:rsid w:val="004B199D"/>
    <w:rsid w:val="004B4690"/>
    <w:rsid w:val="004C0100"/>
    <w:rsid w:val="004E050B"/>
    <w:rsid w:val="004E0A2D"/>
    <w:rsid w:val="004E102D"/>
    <w:rsid w:val="004E206B"/>
    <w:rsid w:val="004E6DF7"/>
    <w:rsid w:val="004E774D"/>
    <w:rsid w:val="004F0FBD"/>
    <w:rsid w:val="004F703F"/>
    <w:rsid w:val="005025B7"/>
    <w:rsid w:val="00505A47"/>
    <w:rsid w:val="00507B58"/>
    <w:rsid w:val="00512FDA"/>
    <w:rsid w:val="00520DA0"/>
    <w:rsid w:val="00524192"/>
    <w:rsid w:val="005247F1"/>
    <w:rsid w:val="00526DD8"/>
    <w:rsid w:val="00531865"/>
    <w:rsid w:val="00535A11"/>
    <w:rsid w:val="0055039D"/>
    <w:rsid w:val="005533CF"/>
    <w:rsid w:val="00553774"/>
    <w:rsid w:val="005579D1"/>
    <w:rsid w:val="005608D5"/>
    <w:rsid w:val="005664BB"/>
    <w:rsid w:val="00566FFA"/>
    <w:rsid w:val="00570753"/>
    <w:rsid w:val="0057481D"/>
    <w:rsid w:val="00580D21"/>
    <w:rsid w:val="005831A7"/>
    <w:rsid w:val="0058486E"/>
    <w:rsid w:val="005852CA"/>
    <w:rsid w:val="00585B33"/>
    <w:rsid w:val="0059014D"/>
    <w:rsid w:val="00597A29"/>
    <w:rsid w:val="005A3C5B"/>
    <w:rsid w:val="005A763A"/>
    <w:rsid w:val="005B1D6D"/>
    <w:rsid w:val="005B5C64"/>
    <w:rsid w:val="005B6E8A"/>
    <w:rsid w:val="005C5337"/>
    <w:rsid w:val="005C58C4"/>
    <w:rsid w:val="005C6BD0"/>
    <w:rsid w:val="005D0962"/>
    <w:rsid w:val="005D1C8B"/>
    <w:rsid w:val="005D3BDC"/>
    <w:rsid w:val="005D468D"/>
    <w:rsid w:val="005D5CED"/>
    <w:rsid w:val="005E23B6"/>
    <w:rsid w:val="005E4108"/>
    <w:rsid w:val="005E5DE2"/>
    <w:rsid w:val="005F0CE5"/>
    <w:rsid w:val="005F10BC"/>
    <w:rsid w:val="005F1A4C"/>
    <w:rsid w:val="005F7B5B"/>
    <w:rsid w:val="00605688"/>
    <w:rsid w:val="00606C1C"/>
    <w:rsid w:val="006070AF"/>
    <w:rsid w:val="00607E6C"/>
    <w:rsid w:val="006101B1"/>
    <w:rsid w:val="006135E3"/>
    <w:rsid w:val="00614E44"/>
    <w:rsid w:val="0062270A"/>
    <w:rsid w:val="00622830"/>
    <w:rsid w:val="00623DA0"/>
    <w:rsid w:val="00627E28"/>
    <w:rsid w:val="00630AEF"/>
    <w:rsid w:val="006325F8"/>
    <w:rsid w:val="00633463"/>
    <w:rsid w:val="00634C9A"/>
    <w:rsid w:val="006419E5"/>
    <w:rsid w:val="006440E4"/>
    <w:rsid w:val="00647978"/>
    <w:rsid w:val="00655FC5"/>
    <w:rsid w:val="00662B5A"/>
    <w:rsid w:val="0066343B"/>
    <w:rsid w:val="00664777"/>
    <w:rsid w:val="006748A4"/>
    <w:rsid w:val="00674A83"/>
    <w:rsid w:val="00681A31"/>
    <w:rsid w:val="006826D7"/>
    <w:rsid w:val="00683E73"/>
    <w:rsid w:val="006913AE"/>
    <w:rsid w:val="006A3141"/>
    <w:rsid w:val="006A5E34"/>
    <w:rsid w:val="006B04DF"/>
    <w:rsid w:val="006B2422"/>
    <w:rsid w:val="006B2B9A"/>
    <w:rsid w:val="006C1937"/>
    <w:rsid w:val="006C5A58"/>
    <w:rsid w:val="006D07DB"/>
    <w:rsid w:val="006E1399"/>
    <w:rsid w:val="006E5AE0"/>
    <w:rsid w:val="006F020C"/>
    <w:rsid w:val="0071021A"/>
    <w:rsid w:val="007127B7"/>
    <w:rsid w:val="0071798E"/>
    <w:rsid w:val="00730075"/>
    <w:rsid w:val="007416B6"/>
    <w:rsid w:val="00746F48"/>
    <w:rsid w:val="0075404D"/>
    <w:rsid w:val="0076182A"/>
    <w:rsid w:val="007622A5"/>
    <w:rsid w:val="00767B7E"/>
    <w:rsid w:val="007770C3"/>
    <w:rsid w:val="0077740A"/>
    <w:rsid w:val="00784D24"/>
    <w:rsid w:val="00785FBA"/>
    <w:rsid w:val="00786E4A"/>
    <w:rsid w:val="007875EB"/>
    <w:rsid w:val="0079426B"/>
    <w:rsid w:val="007A162E"/>
    <w:rsid w:val="007A5AF7"/>
    <w:rsid w:val="007A5D3C"/>
    <w:rsid w:val="007A6B24"/>
    <w:rsid w:val="007B5314"/>
    <w:rsid w:val="007C5570"/>
    <w:rsid w:val="007D0B8F"/>
    <w:rsid w:val="007D1682"/>
    <w:rsid w:val="007D1897"/>
    <w:rsid w:val="007D312A"/>
    <w:rsid w:val="007D3F19"/>
    <w:rsid w:val="007E23B0"/>
    <w:rsid w:val="007E23E5"/>
    <w:rsid w:val="007F03D7"/>
    <w:rsid w:val="007F1991"/>
    <w:rsid w:val="007F2C2F"/>
    <w:rsid w:val="007F55FC"/>
    <w:rsid w:val="007F5665"/>
    <w:rsid w:val="007F5C45"/>
    <w:rsid w:val="007F7803"/>
    <w:rsid w:val="00800112"/>
    <w:rsid w:val="00813102"/>
    <w:rsid w:val="00813348"/>
    <w:rsid w:val="008253BB"/>
    <w:rsid w:val="00826D84"/>
    <w:rsid w:val="00831631"/>
    <w:rsid w:val="0083706E"/>
    <w:rsid w:val="008408F6"/>
    <w:rsid w:val="008423A5"/>
    <w:rsid w:val="00843839"/>
    <w:rsid w:val="00850625"/>
    <w:rsid w:val="00853718"/>
    <w:rsid w:val="00855221"/>
    <w:rsid w:val="00856EF2"/>
    <w:rsid w:val="00860645"/>
    <w:rsid w:val="00871A1F"/>
    <w:rsid w:val="00871F71"/>
    <w:rsid w:val="00872FD8"/>
    <w:rsid w:val="00873D7E"/>
    <w:rsid w:val="00876F17"/>
    <w:rsid w:val="00880F3A"/>
    <w:rsid w:val="00885AF4"/>
    <w:rsid w:val="008939CD"/>
    <w:rsid w:val="008A502F"/>
    <w:rsid w:val="008B2A9F"/>
    <w:rsid w:val="008B768C"/>
    <w:rsid w:val="008C4DB1"/>
    <w:rsid w:val="008C4EAF"/>
    <w:rsid w:val="008C5176"/>
    <w:rsid w:val="008C7FD0"/>
    <w:rsid w:val="008C7FD8"/>
    <w:rsid w:val="008D371B"/>
    <w:rsid w:val="008D51D0"/>
    <w:rsid w:val="008E1DE7"/>
    <w:rsid w:val="008E707C"/>
    <w:rsid w:val="008F5384"/>
    <w:rsid w:val="008F6AF0"/>
    <w:rsid w:val="00900B08"/>
    <w:rsid w:val="00901C3F"/>
    <w:rsid w:val="00902155"/>
    <w:rsid w:val="00902FA3"/>
    <w:rsid w:val="009131AF"/>
    <w:rsid w:val="00923564"/>
    <w:rsid w:val="0092392E"/>
    <w:rsid w:val="009315F9"/>
    <w:rsid w:val="00933499"/>
    <w:rsid w:val="00935C98"/>
    <w:rsid w:val="00946945"/>
    <w:rsid w:val="00951248"/>
    <w:rsid w:val="0095152F"/>
    <w:rsid w:val="00954C49"/>
    <w:rsid w:val="00955E37"/>
    <w:rsid w:val="0097099F"/>
    <w:rsid w:val="00971997"/>
    <w:rsid w:val="00971FFC"/>
    <w:rsid w:val="00972FFF"/>
    <w:rsid w:val="0098660A"/>
    <w:rsid w:val="009931C3"/>
    <w:rsid w:val="009B2C43"/>
    <w:rsid w:val="009B4EAE"/>
    <w:rsid w:val="009B7573"/>
    <w:rsid w:val="009C22F4"/>
    <w:rsid w:val="009C2A41"/>
    <w:rsid w:val="009C2A4B"/>
    <w:rsid w:val="009C2E98"/>
    <w:rsid w:val="009D3447"/>
    <w:rsid w:val="009D35AD"/>
    <w:rsid w:val="009D4711"/>
    <w:rsid w:val="009E17CF"/>
    <w:rsid w:val="009E4446"/>
    <w:rsid w:val="009E5870"/>
    <w:rsid w:val="009F1185"/>
    <w:rsid w:val="009F18CD"/>
    <w:rsid w:val="009F2A13"/>
    <w:rsid w:val="009F7527"/>
    <w:rsid w:val="00A04EB0"/>
    <w:rsid w:val="00A1395F"/>
    <w:rsid w:val="00A13CC1"/>
    <w:rsid w:val="00A155CD"/>
    <w:rsid w:val="00A16847"/>
    <w:rsid w:val="00A21D08"/>
    <w:rsid w:val="00A237D8"/>
    <w:rsid w:val="00A26773"/>
    <w:rsid w:val="00A268C4"/>
    <w:rsid w:val="00A307CD"/>
    <w:rsid w:val="00A331C8"/>
    <w:rsid w:val="00A406DA"/>
    <w:rsid w:val="00A40A00"/>
    <w:rsid w:val="00A4142F"/>
    <w:rsid w:val="00A422EB"/>
    <w:rsid w:val="00A45BB7"/>
    <w:rsid w:val="00A56DF2"/>
    <w:rsid w:val="00A56E6E"/>
    <w:rsid w:val="00A6555C"/>
    <w:rsid w:val="00A655A0"/>
    <w:rsid w:val="00A67AB5"/>
    <w:rsid w:val="00A72951"/>
    <w:rsid w:val="00A733B2"/>
    <w:rsid w:val="00A741C2"/>
    <w:rsid w:val="00A8577D"/>
    <w:rsid w:val="00A91760"/>
    <w:rsid w:val="00A93B00"/>
    <w:rsid w:val="00A93C21"/>
    <w:rsid w:val="00AA0667"/>
    <w:rsid w:val="00AA53C5"/>
    <w:rsid w:val="00AB3316"/>
    <w:rsid w:val="00AB425F"/>
    <w:rsid w:val="00AB64C9"/>
    <w:rsid w:val="00AC19D1"/>
    <w:rsid w:val="00AC3C6A"/>
    <w:rsid w:val="00AD3DDF"/>
    <w:rsid w:val="00AD5620"/>
    <w:rsid w:val="00AD656B"/>
    <w:rsid w:val="00AD7C1B"/>
    <w:rsid w:val="00AE16BA"/>
    <w:rsid w:val="00AE1EBE"/>
    <w:rsid w:val="00AE60EF"/>
    <w:rsid w:val="00B03C9D"/>
    <w:rsid w:val="00B060AE"/>
    <w:rsid w:val="00B10517"/>
    <w:rsid w:val="00B11555"/>
    <w:rsid w:val="00B12750"/>
    <w:rsid w:val="00B14E76"/>
    <w:rsid w:val="00B161B8"/>
    <w:rsid w:val="00B2048C"/>
    <w:rsid w:val="00B2747E"/>
    <w:rsid w:val="00B310B9"/>
    <w:rsid w:val="00B35F3F"/>
    <w:rsid w:val="00B36CBB"/>
    <w:rsid w:val="00B42355"/>
    <w:rsid w:val="00B425E0"/>
    <w:rsid w:val="00B440AA"/>
    <w:rsid w:val="00B44B70"/>
    <w:rsid w:val="00B53C56"/>
    <w:rsid w:val="00B55386"/>
    <w:rsid w:val="00B57DAF"/>
    <w:rsid w:val="00B6433B"/>
    <w:rsid w:val="00B750E8"/>
    <w:rsid w:val="00B77EA6"/>
    <w:rsid w:val="00B81598"/>
    <w:rsid w:val="00B841F1"/>
    <w:rsid w:val="00B92D1A"/>
    <w:rsid w:val="00B944D6"/>
    <w:rsid w:val="00BA0A26"/>
    <w:rsid w:val="00BA596A"/>
    <w:rsid w:val="00BB0CBB"/>
    <w:rsid w:val="00BB4DF0"/>
    <w:rsid w:val="00BC289F"/>
    <w:rsid w:val="00BC2D50"/>
    <w:rsid w:val="00BC5361"/>
    <w:rsid w:val="00BC5460"/>
    <w:rsid w:val="00BC6B50"/>
    <w:rsid w:val="00BC7EE7"/>
    <w:rsid w:val="00BD0E25"/>
    <w:rsid w:val="00BD416A"/>
    <w:rsid w:val="00BD5C4A"/>
    <w:rsid w:val="00BE3D2F"/>
    <w:rsid w:val="00BE56B9"/>
    <w:rsid w:val="00BF5BD6"/>
    <w:rsid w:val="00C02DA5"/>
    <w:rsid w:val="00C03E31"/>
    <w:rsid w:val="00C33E72"/>
    <w:rsid w:val="00C354B2"/>
    <w:rsid w:val="00C35554"/>
    <w:rsid w:val="00C42709"/>
    <w:rsid w:val="00C51138"/>
    <w:rsid w:val="00C524F2"/>
    <w:rsid w:val="00C533CC"/>
    <w:rsid w:val="00C5751C"/>
    <w:rsid w:val="00C604A6"/>
    <w:rsid w:val="00C61BFC"/>
    <w:rsid w:val="00C62B85"/>
    <w:rsid w:val="00C65438"/>
    <w:rsid w:val="00C84DFE"/>
    <w:rsid w:val="00C87FD8"/>
    <w:rsid w:val="00C91381"/>
    <w:rsid w:val="00C91CBB"/>
    <w:rsid w:val="00CB4E70"/>
    <w:rsid w:val="00CC09B6"/>
    <w:rsid w:val="00CC666F"/>
    <w:rsid w:val="00CD1E3F"/>
    <w:rsid w:val="00CE0D4F"/>
    <w:rsid w:val="00CE44F6"/>
    <w:rsid w:val="00CE49DA"/>
    <w:rsid w:val="00CE7B61"/>
    <w:rsid w:val="00CF3ADF"/>
    <w:rsid w:val="00CF462B"/>
    <w:rsid w:val="00D00095"/>
    <w:rsid w:val="00D04B09"/>
    <w:rsid w:val="00D114F0"/>
    <w:rsid w:val="00D20620"/>
    <w:rsid w:val="00D254F7"/>
    <w:rsid w:val="00D2555D"/>
    <w:rsid w:val="00D26091"/>
    <w:rsid w:val="00D2685C"/>
    <w:rsid w:val="00D31E6F"/>
    <w:rsid w:val="00D34E7C"/>
    <w:rsid w:val="00D35489"/>
    <w:rsid w:val="00D36AFE"/>
    <w:rsid w:val="00D41A9D"/>
    <w:rsid w:val="00D4207A"/>
    <w:rsid w:val="00D5073A"/>
    <w:rsid w:val="00D51276"/>
    <w:rsid w:val="00D610B9"/>
    <w:rsid w:val="00D65493"/>
    <w:rsid w:val="00D7035F"/>
    <w:rsid w:val="00D74760"/>
    <w:rsid w:val="00D97AD0"/>
    <w:rsid w:val="00D97AF2"/>
    <w:rsid w:val="00DA4825"/>
    <w:rsid w:val="00DA634F"/>
    <w:rsid w:val="00DA65AC"/>
    <w:rsid w:val="00DA6CDE"/>
    <w:rsid w:val="00DB1913"/>
    <w:rsid w:val="00DB784A"/>
    <w:rsid w:val="00DC3029"/>
    <w:rsid w:val="00DC410D"/>
    <w:rsid w:val="00DC45A1"/>
    <w:rsid w:val="00DC5A81"/>
    <w:rsid w:val="00DC68CA"/>
    <w:rsid w:val="00DC7CBA"/>
    <w:rsid w:val="00DD73B7"/>
    <w:rsid w:val="00DE0E07"/>
    <w:rsid w:val="00DF28BC"/>
    <w:rsid w:val="00DF315A"/>
    <w:rsid w:val="00DF34B9"/>
    <w:rsid w:val="00E01053"/>
    <w:rsid w:val="00E07ACF"/>
    <w:rsid w:val="00E11360"/>
    <w:rsid w:val="00E15178"/>
    <w:rsid w:val="00E30DFB"/>
    <w:rsid w:val="00E331A1"/>
    <w:rsid w:val="00E33202"/>
    <w:rsid w:val="00E336A9"/>
    <w:rsid w:val="00E3604C"/>
    <w:rsid w:val="00E46A32"/>
    <w:rsid w:val="00E472B1"/>
    <w:rsid w:val="00E50624"/>
    <w:rsid w:val="00E568DF"/>
    <w:rsid w:val="00E64269"/>
    <w:rsid w:val="00E82267"/>
    <w:rsid w:val="00E853CE"/>
    <w:rsid w:val="00E867B6"/>
    <w:rsid w:val="00EA010F"/>
    <w:rsid w:val="00EA1A1A"/>
    <w:rsid w:val="00EB0D36"/>
    <w:rsid w:val="00EB3DE7"/>
    <w:rsid w:val="00EB6754"/>
    <w:rsid w:val="00EC33DC"/>
    <w:rsid w:val="00EC4B32"/>
    <w:rsid w:val="00ED1B63"/>
    <w:rsid w:val="00ED3C1F"/>
    <w:rsid w:val="00ED4085"/>
    <w:rsid w:val="00ED420E"/>
    <w:rsid w:val="00ED6FBE"/>
    <w:rsid w:val="00EE2F57"/>
    <w:rsid w:val="00EF24F0"/>
    <w:rsid w:val="00EF4C34"/>
    <w:rsid w:val="00EF77C6"/>
    <w:rsid w:val="00F0335F"/>
    <w:rsid w:val="00F05438"/>
    <w:rsid w:val="00F1361C"/>
    <w:rsid w:val="00F156F0"/>
    <w:rsid w:val="00F160C7"/>
    <w:rsid w:val="00F2263A"/>
    <w:rsid w:val="00F2408F"/>
    <w:rsid w:val="00F240E9"/>
    <w:rsid w:val="00F33645"/>
    <w:rsid w:val="00F36461"/>
    <w:rsid w:val="00F36D8F"/>
    <w:rsid w:val="00F417B1"/>
    <w:rsid w:val="00F45853"/>
    <w:rsid w:val="00F4644A"/>
    <w:rsid w:val="00F544F6"/>
    <w:rsid w:val="00F54875"/>
    <w:rsid w:val="00F54DDB"/>
    <w:rsid w:val="00F5552E"/>
    <w:rsid w:val="00F602DF"/>
    <w:rsid w:val="00F63628"/>
    <w:rsid w:val="00F63DF5"/>
    <w:rsid w:val="00F67C44"/>
    <w:rsid w:val="00F754A1"/>
    <w:rsid w:val="00F81FD9"/>
    <w:rsid w:val="00F835E7"/>
    <w:rsid w:val="00F841AA"/>
    <w:rsid w:val="00F84A94"/>
    <w:rsid w:val="00F87E96"/>
    <w:rsid w:val="00FA0A54"/>
    <w:rsid w:val="00FA23E8"/>
    <w:rsid w:val="00FB674C"/>
    <w:rsid w:val="00FC1C17"/>
    <w:rsid w:val="00FC257A"/>
    <w:rsid w:val="00FD3CC1"/>
    <w:rsid w:val="00FE12A6"/>
    <w:rsid w:val="00FF1E02"/>
    <w:rsid w:val="00FF30B4"/>
    <w:rsid w:val="03DC2831"/>
    <w:rsid w:val="0400562E"/>
    <w:rsid w:val="054016A6"/>
    <w:rsid w:val="05A76660"/>
    <w:rsid w:val="081B5E94"/>
    <w:rsid w:val="09BC1108"/>
    <w:rsid w:val="0A2032A3"/>
    <w:rsid w:val="0A650421"/>
    <w:rsid w:val="0B8A37D8"/>
    <w:rsid w:val="0E2F4CBF"/>
    <w:rsid w:val="0F5FFB2F"/>
    <w:rsid w:val="0FB726D8"/>
    <w:rsid w:val="0FFFCF60"/>
    <w:rsid w:val="10C055FF"/>
    <w:rsid w:val="118107EC"/>
    <w:rsid w:val="11DD6519"/>
    <w:rsid w:val="123C2114"/>
    <w:rsid w:val="15B13CA7"/>
    <w:rsid w:val="168B0621"/>
    <w:rsid w:val="16BB723D"/>
    <w:rsid w:val="17913E44"/>
    <w:rsid w:val="18015F3F"/>
    <w:rsid w:val="1BE8440E"/>
    <w:rsid w:val="1D155CEE"/>
    <w:rsid w:val="1D321D00"/>
    <w:rsid w:val="1FDBBF84"/>
    <w:rsid w:val="20E573BA"/>
    <w:rsid w:val="20F57F95"/>
    <w:rsid w:val="23487A43"/>
    <w:rsid w:val="23BA3996"/>
    <w:rsid w:val="240371BF"/>
    <w:rsid w:val="2453659C"/>
    <w:rsid w:val="24E55562"/>
    <w:rsid w:val="25711CC6"/>
    <w:rsid w:val="25C35001"/>
    <w:rsid w:val="25C741E6"/>
    <w:rsid w:val="276F80C0"/>
    <w:rsid w:val="27842671"/>
    <w:rsid w:val="29FD04D3"/>
    <w:rsid w:val="2ABE7A3E"/>
    <w:rsid w:val="2AFF09B6"/>
    <w:rsid w:val="2CA234A8"/>
    <w:rsid w:val="2EFA178C"/>
    <w:rsid w:val="2EFDF86C"/>
    <w:rsid w:val="2F195A15"/>
    <w:rsid w:val="2F9D17E1"/>
    <w:rsid w:val="30B46D73"/>
    <w:rsid w:val="319F7F4E"/>
    <w:rsid w:val="32915685"/>
    <w:rsid w:val="32FD7793"/>
    <w:rsid w:val="330919F5"/>
    <w:rsid w:val="356A28F1"/>
    <w:rsid w:val="357C035A"/>
    <w:rsid w:val="368E000D"/>
    <w:rsid w:val="36C80A37"/>
    <w:rsid w:val="36F96E81"/>
    <w:rsid w:val="383D272C"/>
    <w:rsid w:val="38F86DEA"/>
    <w:rsid w:val="39243950"/>
    <w:rsid w:val="399B06EB"/>
    <w:rsid w:val="39AE70AB"/>
    <w:rsid w:val="3A4DCE41"/>
    <w:rsid w:val="3BCB56FA"/>
    <w:rsid w:val="3C0C0783"/>
    <w:rsid w:val="3C8330A9"/>
    <w:rsid w:val="3D137CD9"/>
    <w:rsid w:val="3EE7C2F4"/>
    <w:rsid w:val="3F371B56"/>
    <w:rsid w:val="3F792ED8"/>
    <w:rsid w:val="3F9F3A96"/>
    <w:rsid w:val="3FECA4B2"/>
    <w:rsid w:val="3FF58C48"/>
    <w:rsid w:val="40247A02"/>
    <w:rsid w:val="40C02D7D"/>
    <w:rsid w:val="40C15479"/>
    <w:rsid w:val="42FF6694"/>
    <w:rsid w:val="465F70F1"/>
    <w:rsid w:val="48BF60AB"/>
    <w:rsid w:val="493C27E9"/>
    <w:rsid w:val="496F39ED"/>
    <w:rsid w:val="49FF41D3"/>
    <w:rsid w:val="4BE068DB"/>
    <w:rsid w:val="4BF6002B"/>
    <w:rsid w:val="4BFFC6BE"/>
    <w:rsid w:val="4C3D4B25"/>
    <w:rsid w:val="4D283CA5"/>
    <w:rsid w:val="4ECE2238"/>
    <w:rsid w:val="50BD4B06"/>
    <w:rsid w:val="51DB4B86"/>
    <w:rsid w:val="51F64DB0"/>
    <w:rsid w:val="540E18A4"/>
    <w:rsid w:val="54D81812"/>
    <w:rsid w:val="55333C3E"/>
    <w:rsid w:val="56571F71"/>
    <w:rsid w:val="570F0499"/>
    <w:rsid w:val="57A33AA0"/>
    <w:rsid w:val="58CC0BE2"/>
    <w:rsid w:val="59AD5A69"/>
    <w:rsid w:val="5A4A5C33"/>
    <w:rsid w:val="5C6654F1"/>
    <w:rsid w:val="5E3753D5"/>
    <w:rsid w:val="5F67802D"/>
    <w:rsid w:val="5F7DC4F2"/>
    <w:rsid w:val="5FB36814"/>
    <w:rsid w:val="5FBB8E56"/>
    <w:rsid w:val="5FFB5535"/>
    <w:rsid w:val="63354CD3"/>
    <w:rsid w:val="64CA39A1"/>
    <w:rsid w:val="659A10F2"/>
    <w:rsid w:val="65A73C56"/>
    <w:rsid w:val="67B01CAC"/>
    <w:rsid w:val="69630ADE"/>
    <w:rsid w:val="69A434BC"/>
    <w:rsid w:val="69BD5F13"/>
    <w:rsid w:val="69FB0B4B"/>
    <w:rsid w:val="6A3D15BD"/>
    <w:rsid w:val="6BFFE1FB"/>
    <w:rsid w:val="6C4A05C8"/>
    <w:rsid w:val="6CF46CDD"/>
    <w:rsid w:val="6D3B1A89"/>
    <w:rsid w:val="6DB7D8A3"/>
    <w:rsid w:val="6EC75ACC"/>
    <w:rsid w:val="6EC78701"/>
    <w:rsid w:val="6F7A5481"/>
    <w:rsid w:val="6FFE07A9"/>
    <w:rsid w:val="70F7004F"/>
    <w:rsid w:val="71BF4EC2"/>
    <w:rsid w:val="71D051F9"/>
    <w:rsid w:val="72734D90"/>
    <w:rsid w:val="73E75B71"/>
    <w:rsid w:val="7412278C"/>
    <w:rsid w:val="75A17286"/>
    <w:rsid w:val="75DDCDA9"/>
    <w:rsid w:val="75FF44B1"/>
    <w:rsid w:val="76276E68"/>
    <w:rsid w:val="77670518"/>
    <w:rsid w:val="777FA627"/>
    <w:rsid w:val="77DF1B5F"/>
    <w:rsid w:val="77EF2D9D"/>
    <w:rsid w:val="79E7B28D"/>
    <w:rsid w:val="7ACFF0C2"/>
    <w:rsid w:val="7AFB9108"/>
    <w:rsid w:val="7B1B4518"/>
    <w:rsid w:val="7BCA3B3C"/>
    <w:rsid w:val="7BD5340C"/>
    <w:rsid w:val="7BFB19D2"/>
    <w:rsid w:val="7BFD1750"/>
    <w:rsid w:val="7BFDAA1B"/>
    <w:rsid w:val="7C395108"/>
    <w:rsid w:val="7CDF9A82"/>
    <w:rsid w:val="7CFFA1BD"/>
    <w:rsid w:val="7D2E3F7A"/>
    <w:rsid w:val="7D745416"/>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rPr>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keepNext w:val="0"/>
      <w:keepLines w:val="0"/>
      <w:widowControl w:val="0"/>
      <w:suppressLineNumbers w:val="0"/>
      <w:spacing w:before="0" w:beforeAutospacing="0" w:after="0" w:afterAutospacing="0" w:line="360" w:lineRule="auto"/>
      <w:ind w:left="0" w:right="0"/>
      <w:jc w:val="both"/>
    </w:pPr>
    <w:rPr>
      <w:rFonts w:hint="default" w:ascii="??" w:hAnsi="??" w:eastAsia="宋体" w:cs="Times New Roman"/>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2809.74</c:v>
                </c:pt>
                <c:pt idx="1">
                  <c:v>2936.81</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2809.74</c:v>
                </c:pt>
                <c:pt idx="1">
                  <c:v>2936.81</c:v>
                </c:pt>
              </c:numCache>
            </c:numRef>
          </c:val>
        </c:ser>
        <c:dLbls>
          <c:showLegendKey val="0"/>
          <c:showVal val="0"/>
          <c:showCatName val="0"/>
          <c:showSerName val="0"/>
          <c:showPercent val="0"/>
          <c:showBubbleSize val="0"/>
        </c:dLbls>
        <c:gapWidth val="219"/>
        <c:overlap val="-27"/>
        <c:axId val="144449920"/>
        <c:axId val="144451456"/>
      </c:barChart>
      <c:catAx>
        <c:axId val="14444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451456"/>
        <c:crosses val="autoZero"/>
        <c:auto val="1"/>
        <c:lblAlgn val="ctr"/>
        <c:lblOffset val="100"/>
        <c:noMultiLvlLbl val="0"/>
      </c:catAx>
      <c:valAx>
        <c:axId val="1444514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449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dPt>
          <c:dLbls>
            <c:dLbl>
              <c:idx val="1"/>
              <c:delete val="1"/>
            </c:dLbl>
            <c:dLbl>
              <c:idx val="2"/>
              <c:delete val="1"/>
            </c:dLbl>
            <c:dLbl>
              <c:idx val="3"/>
              <c:delete val="1"/>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Sheet1!$A$2:$A$10</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Sheet1!$B$2:$B$10</c:f>
              <c:numCache>
                <c:formatCode>General</c:formatCode>
                <c:ptCount val="9"/>
                <c:pt idx="0">
                  <c:v>2828.93</c:v>
                </c:pt>
                <c:pt idx="1">
                  <c:v>0</c:v>
                </c:pt>
                <c:pt idx="2">
                  <c:v>0</c:v>
                </c:pt>
                <c:pt idx="3">
                  <c:v>0</c:v>
                </c:pt>
                <c:pt idx="4">
                  <c:v>0</c:v>
                </c:pt>
                <c:pt idx="5">
                  <c:v>0</c:v>
                </c:pt>
                <c:pt idx="6">
                  <c:v>0</c:v>
                </c:pt>
                <c:pt idx="7">
                  <c:v>107.88</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680392156862745"/>
          <c:y val="0.262921348314607"/>
          <c:w val="0.290196078431373"/>
          <c:h val="0.46179775280898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0.0881</c:v>
                </c:pt>
                <c:pt idx="1">
                  <c:v>0.9119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Sheet1!$B$2:$B$3</c:f>
              <c:numCache>
                <c:formatCode>General</c:formatCode>
                <c:ptCount val="2"/>
                <c:pt idx="0">
                  <c:v>2809.74</c:v>
                </c:pt>
                <c:pt idx="1">
                  <c:v>2809.74</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Sheet1!$C$2:$C$3</c:f>
              <c:numCache>
                <c:formatCode>General</c:formatCode>
                <c:ptCount val="2"/>
                <c:pt idx="0">
                  <c:v>2828.93</c:v>
                </c:pt>
                <c:pt idx="1">
                  <c:v>2828.93</c:v>
                </c:pt>
              </c:numCache>
            </c:numRef>
          </c:val>
        </c:ser>
        <c:dLbls>
          <c:showLegendKey val="0"/>
          <c:showVal val="0"/>
          <c:showCatName val="0"/>
          <c:showSerName val="0"/>
          <c:showPercent val="0"/>
          <c:showBubbleSize val="0"/>
        </c:dLbls>
        <c:gapWidth val="150"/>
        <c:axId val="188337152"/>
        <c:axId val="188654336"/>
      </c:barChart>
      <c:catAx>
        <c:axId val="1883371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654336"/>
        <c:crosses val="autoZero"/>
        <c:auto val="1"/>
        <c:lblAlgn val="ctr"/>
        <c:lblOffset val="100"/>
        <c:noMultiLvlLbl val="0"/>
      </c:catAx>
      <c:valAx>
        <c:axId val="1886543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3371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2809.74</c:v>
                </c:pt>
                <c:pt idx="1">
                  <c:v>2828.93</c:v>
                </c:pt>
              </c:numCache>
            </c:numRef>
          </c:val>
        </c:ser>
        <c:dLbls>
          <c:showLegendKey val="0"/>
          <c:showVal val="0"/>
          <c:showCatName val="0"/>
          <c:showSerName val="0"/>
          <c:showPercent val="0"/>
          <c:showBubbleSize val="0"/>
        </c:dLbls>
        <c:gapWidth val="150"/>
        <c:axId val="188379520"/>
        <c:axId val="188381056"/>
      </c:barChart>
      <c:catAx>
        <c:axId val="18837952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381056"/>
        <c:crosses val="autoZero"/>
        <c:auto val="1"/>
        <c:lblAlgn val="ctr"/>
        <c:lblOffset val="100"/>
        <c:noMultiLvlLbl val="0"/>
      </c:catAx>
      <c:valAx>
        <c:axId val="1883810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3795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spPr>
              <a:solidFill>
                <a:srgbClr val="FFFF00"/>
              </a:solidFill>
            </c:spPr>
          </c:dPt>
          <c:dLbls>
            <c:dLbl>
              <c:idx val="0"/>
              <c:delete val="1"/>
            </c:dLbl>
            <c:dLbl>
              <c:idx val="1"/>
              <c:delete val="1"/>
            </c:dLbl>
            <c:dLbl>
              <c:idx val="2"/>
              <c:delete val="1"/>
            </c:dLbl>
            <c:dLbl>
              <c:idx val="3"/>
              <c:delete val="1"/>
            </c:dLbl>
            <c:dLbl>
              <c:idx val="5"/>
              <c:layout>
                <c:manualLayout>
                  <c:x val="0.0250732918313009"/>
                  <c:y val="0.172864305274534"/>
                </c:manualLayout>
              </c:layout>
              <c:dLblPos val="bestFit"/>
              <c:showLegendKey val="1"/>
              <c:showVal val="0"/>
              <c:showCatName val="0"/>
              <c:showSerName val="0"/>
              <c:showPercent val="1"/>
              <c:showBubbleSize val="0"/>
              <c:separator> </c:separator>
              <c:extLst>
                <c:ext xmlns:c15="http://schemas.microsoft.com/office/drawing/2012/chart" uri="{CE6537A1-D6FC-4f65-9D91-7224C49458BB}">
                  <c15:layout/>
                </c:ext>
              </c:extLst>
            </c:dLbl>
            <c:dLbl>
              <c:idx val="6"/>
              <c:layout>
                <c:manualLayout>
                  <c:x val="0.00589745776362792"/>
                  <c:y val="0.108594784785029"/>
                </c:manualLayout>
              </c:layout>
              <c:dLblPos val="bestFit"/>
              <c:showLegendKey val="1"/>
              <c:showVal val="0"/>
              <c:showCatName val="0"/>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1"/>
            <c:showVal val="0"/>
            <c:showCatName val="0"/>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Sheet1!$A$2:$A$8</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Sheet1!$B$2:$B$8</c:f>
              <c:numCache>
                <c:formatCode>General</c:formatCode>
                <c:ptCount val="7"/>
                <c:pt idx="0">
                  <c:v>0</c:v>
                </c:pt>
                <c:pt idx="1">
                  <c:v>0</c:v>
                </c:pt>
                <c:pt idx="2">
                  <c:v>0</c:v>
                </c:pt>
                <c:pt idx="3">
                  <c:v>0</c:v>
                </c:pt>
                <c:pt idx="4">
                  <c:v>2744.23</c:v>
                </c:pt>
                <c:pt idx="5">
                  <c:v>66.59</c:v>
                </c:pt>
                <c:pt idx="6">
                  <c:v>18.11</c:v>
                </c:pt>
              </c:numCache>
            </c:numRef>
          </c:val>
        </c:ser>
        <c:dLbls>
          <c:showLegendKey val="0"/>
          <c:showVal val="0"/>
          <c:showCatName val="0"/>
          <c:showSerName val="0"/>
          <c:showPercent val="0"/>
          <c:showBubbleSize val="0"/>
          <c:showLeaderLines val="0"/>
        </c:dLbls>
        <c:firstSliceAng val="0"/>
      </c:pieChart>
    </c:plotArea>
    <c:legend>
      <c:legendPos val="r"/>
      <c:layout/>
      <c:overlay val="0"/>
      <c:spPr>
        <a:noFill/>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51</Pages>
  <Words>19837</Words>
  <Characters>21450</Characters>
  <Lines>1</Lines>
  <Paragraphs>1</Paragraphs>
  <TotalTime>11</TotalTime>
  <ScaleCrop>false</ScaleCrop>
  <LinksUpToDate>false</LinksUpToDate>
  <CharactersWithSpaces>21577</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2024-10-18T08:41:00Z</dcterms:created>
  <dc:creator>曹颖</dc:creator>
  <cp:lastModifiedBy>杨文广</cp:lastModifiedBy>
  <cp:lastPrinted>2023-08-03T02:35:00Z</cp:lastPrinted>
  <dcterms:modified xsi:type="dcterms:W3CDTF">2025-11-18T07:47:37Z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15F86239267D454CAE25687E30657F3B_12</vt:lpwstr>
  </property>
  <property fmtid="{D5CDD505-2E9C-101B-9397-08002B2CF9AE}" pid="4" name="KSOTemplateDocerSaveRecord">
    <vt:lpwstr>eyJoZGlkIjoiZDg0NDNiYTUxOWU4N2FhYTE5YTc3OTM5YzA0NWVjYWEiLCJ1c2VySWQiOiIxMzY3NTIyMzE2In0=</vt:lpwstr>
  </property>
</Properties>
</file>