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3"/>
        <w:rPr>
          <w:rFonts w:ascii="Times New Roman" w:eastAsia="方正小标宋简体"/>
          <w:kern w:val="2"/>
          <w:sz w:val="72"/>
          <w:szCs w:val="72"/>
        </w:rPr>
      </w:pPr>
      <w:bookmarkStart w:id="0" w:name="_Toc15396475"/>
      <w:bookmarkStart w:id="1" w:name="_Toc15377193"/>
      <w:bookmarkStart w:id="2" w:name="_Toc15378441"/>
      <w:bookmarkStart w:id="3" w:name="_Toc15306267"/>
      <w:bookmarkStart w:id="4" w:name="_Toc15396597"/>
      <w:bookmarkStart w:id="5" w:name="_Toc15377425"/>
    </w:p>
    <w:p>
      <w:pPr>
        <w:pStyle w:val="7"/>
        <w:spacing w:before="93"/>
        <w:rPr>
          <w:rFonts w:ascii="Times New Roman" w:eastAsia="方正小标宋简体"/>
          <w:kern w:val="2"/>
          <w:sz w:val="72"/>
          <w:szCs w:val="72"/>
        </w:rPr>
      </w:pPr>
    </w:p>
    <w:p>
      <w:pPr>
        <w:pStyle w:val="7"/>
        <w:spacing w:before="93"/>
        <w:rPr>
          <w:rFonts w:ascii="Times New Roman" w:eastAsia="方正小标宋简体"/>
          <w:kern w:val="2"/>
          <w:sz w:val="72"/>
          <w:szCs w:val="72"/>
        </w:rPr>
      </w:pPr>
    </w:p>
    <w:p>
      <w:pPr>
        <w:pStyle w:val="6"/>
        <w:keepNext w:val="0"/>
        <w:spacing w:line="0" w:lineRule="atLeas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2024年度</w:t>
      </w:r>
    </w:p>
    <w:p>
      <w:pPr>
        <w:pStyle w:val="6"/>
        <w:keepNext w:val="0"/>
        <w:spacing w:line="0" w:lineRule="atLeas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盐边县民政局单位决算</w:t>
      </w:r>
    </w:p>
    <w:p>
      <w:pPr>
        <w:pStyle w:val="6"/>
        <w:keepNext w:val="0"/>
        <w:spacing w:line="0" w:lineRule="atLeas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公开编制说明</w:t>
      </w:r>
    </w:p>
    <w:p>
      <w:pPr>
        <w:spacing w:line="600" w:lineRule="exact"/>
        <w:jc w:val="center"/>
        <w:outlineLvl w:val="0"/>
        <w:rPr>
          <w:rFonts w:eastAsia="方正小标宋简体"/>
          <w:sz w:val="72"/>
          <w:szCs w:val="72"/>
        </w:rPr>
      </w:pPr>
    </w:p>
    <w:p>
      <w:pPr>
        <w:pStyle w:val="25"/>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目   录</w:t>
      </w:r>
    </w:p>
    <w:p>
      <w:pPr>
        <w:pStyle w:val="17"/>
        <w:rPr>
          <w:rFonts w:hint="eastAsia" w:ascii="方正仿宋_GBK" w:hAnsi="方正仿宋_GBK" w:eastAsia="方正仿宋_GBK" w:cs="方正仿宋_GBK"/>
          <w:bCs/>
          <w:color w:val="000000"/>
          <w:kern w:val="2"/>
          <w:sz w:val="32"/>
          <w:szCs w:val="32"/>
          <w:lang w:val="en-US" w:eastAsia="zh-CN" w:bidi="ar-SA"/>
        </w:rPr>
      </w:pPr>
      <w:r>
        <w:rPr>
          <w:rFonts w:hint="eastAsia" w:ascii="方正仿宋_GBK" w:hAnsi="方正仿宋_GBK" w:eastAsia="方正仿宋_GBK" w:cs="方正仿宋_GBK"/>
          <w:bCs/>
          <w:color w:val="000000"/>
          <w:kern w:val="2"/>
          <w:sz w:val="32"/>
          <w:szCs w:val="32"/>
          <w:lang w:val="en-US" w:eastAsia="zh-CN" w:bidi="ar-SA"/>
        </w:rPr>
        <w:t>公开时间：2025年10月28日</w:t>
      </w:r>
    </w:p>
    <w:p>
      <w:pPr>
        <w:pStyle w:val="17"/>
        <w:bidi w:val="0"/>
        <w:rPr>
          <w:rFonts w:hint="default"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第一部分 单位概况</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w:t>
      </w:r>
      <w:r>
        <w:rPr>
          <w:rFonts w:hint="eastAsia" w:eastAsia="方正仿宋_GBK" w:cs="Times New Roman"/>
          <w:bCs/>
          <w:color w:val="000000"/>
          <w:kern w:val="2"/>
          <w:sz w:val="32"/>
          <w:szCs w:val="32"/>
          <w:lang w:val="en-US" w:eastAsia="zh-CN" w:bidi="ar-SA"/>
        </w:rPr>
        <w:t>主要</w:t>
      </w:r>
      <w:r>
        <w:rPr>
          <w:rFonts w:hint="eastAsia" w:ascii="Times New Roman" w:hAnsi="Times New Roman" w:eastAsia="方正仿宋_GBK" w:cs="Times New Roman"/>
          <w:bCs/>
          <w:color w:val="000000"/>
          <w:kern w:val="2"/>
          <w:sz w:val="32"/>
          <w:szCs w:val="32"/>
          <w:lang w:val="en-US" w:eastAsia="zh-CN" w:bidi="ar-SA"/>
        </w:rPr>
        <w:t>职责</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二、机构设置</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..........3</w:t>
      </w:r>
    </w:p>
    <w:p>
      <w:pPr>
        <w:pStyle w:val="17"/>
        <w:adjustRightInd w:val="0"/>
        <w:snapToGrid w:val="0"/>
        <w:spacing w:before="0" w:line="560" w:lineRule="exact"/>
        <w:jc w:val="left"/>
        <w:rPr>
          <w:rFonts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第二部分 2024年度部门决算情况说明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...................................5</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一、收入支出决算总体情况说明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pPr>
        <w:pStyle w:val="19"/>
        <w:adjustRightInd w:val="0"/>
        <w:snapToGrid w:val="0"/>
        <w:spacing w:line="560" w:lineRule="exact"/>
        <w:ind w:left="0" w:leftChars="0" w:firstLine="0" w:firstLineChars="0"/>
        <w:jc w:val="left"/>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.......6</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四、财政拨款收入支出决算总体情况说明</w:t>
      </w:r>
      <w:r>
        <w:rPr>
          <w:rFonts w:hint="eastAsia" w:eastAsia="方正仿宋_GBK" w:cs="Times New Roman"/>
          <w:bCs/>
          <w:color w:val="000000"/>
          <w:kern w:val="2"/>
          <w:sz w:val="32"/>
          <w:szCs w:val="32"/>
          <w:lang w:val="en-US" w:eastAsia="zh-CN" w:bidi="ar-SA"/>
        </w:rPr>
        <w:t>...............................6</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五、一般公共预算财政拨款支出决算情况说明</w:t>
      </w:r>
      <w:r>
        <w:rPr>
          <w:rFonts w:hint="eastAsia" w:eastAsia="方正仿宋_GBK" w:cs="Times New Roman"/>
          <w:bCs/>
          <w:color w:val="000000"/>
          <w:kern w:val="2"/>
          <w:sz w:val="32"/>
          <w:szCs w:val="32"/>
          <w:lang w:val="en-US" w:eastAsia="zh-CN" w:bidi="ar-SA"/>
        </w:rPr>
        <w:t>.......................6</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六、一般公共预算财政拨款基本支出决算情况说明</w:t>
      </w:r>
      <w:r>
        <w:rPr>
          <w:rFonts w:hint="eastAsia" w:eastAsia="方正仿宋_GBK" w:cs="Times New Roman"/>
          <w:bCs/>
          <w:color w:val="000000"/>
          <w:kern w:val="2"/>
          <w:sz w:val="32"/>
          <w:szCs w:val="32"/>
          <w:lang w:val="en-US" w:eastAsia="zh-CN" w:bidi="ar-SA"/>
        </w:rPr>
        <w:t>.............11</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七、财政拨款“三公”经费支出决算情况说明</w:t>
      </w:r>
      <w:r>
        <w:rPr>
          <w:rFonts w:hint="eastAsia" w:eastAsia="方正仿宋_GBK" w:cs="Times New Roman"/>
          <w:bCs/>
          <w:color w:val="000000"/>
          <w:kern w:val="2"/>
          <w:sz w:val="32"/>
          <w:szCs w:val="32"/>
          <w:lang w:val="en-US" w:eastAsia="zh-CN" w:bidi="ar-SA"/>
        </w:rPr>
        <w:t>.........................11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八、政府性基金预算支出决算情况说明</w:t>
      </w:r>
      <w:r>
        <w:rPr>
          <w:rFonts w:hint="eastAsia" w:eastAsia="方正仿宋_GBK" w:cs="Times New Roman"/>
          <w:bCs/>
          <w:color w:val="000000"/>
          <w:kern w:val="2"/>
          <w:sz w:val="32"/>
          <w:szCs w:val="32"/>
          <w:lang w:val="en-US" w:eastAsia="zh-CN" w:bidi="ar-SA"/>
        </w:rPr>
        <w:t>.................................13</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九、国有资本经营预算支出决算情况说明</w:t>
      </w:r>
      <w:r>
        <w:rPr>
          <w:rFonts w:hint="eastAsia" w:eastAsia="方正仿宋_GBK" w:cs="Times New Roman"/>
          <w:bCs/>
          <w:color w:val="000000"/>
          <w:kern w:val="2"/>
          <w:sz w:val="32"/>
          <w:szCs w:val="32"/>
          <w:lang w:val="en-US" w:eastAsia="zh-CN" w:bidi="ar-SA"/>
        </w:rPr>
        <w:t>.............................13</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十、其他重要事项的情况说明</w:t>
      </w:r>
      <w:r>
        <w:rPr>
          <w:rFonts w:hint="eastAsia" w:eastAsia="方正仿宋_GBK" w:cs="Times New Roman"/>
          <w:bCs/>
          <w:color w:val="000000"/>
          <w:kern w:val="2"/>
          <w:sz w:val="32"/>
          <w:szCs w:val="32"/>
          <w:lang w:val="en-US" w:eastAsia="zh-CN" w:bidi="ar-SA"/>
        </w:rPr>
        <w:t>.................................................13</w:t>
      </w:r>
    </w:p>
    <w:p>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第三部分 名词解释</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r>
        <w:rPr>
          <w:rFonts w:hint="eastAsia" w:eastAsia="仿宋_GB2312" w:cs="Times New Roman"/>
          <w:b w:val="0"/>
          <w:bCs w:val="0"/>
          <w:i w:val="0"/>
          <w:iCs w:val="0"/>
          <w:caps w:val="0"/>
          <w:color w:val="auto"/>
          <w:spacing w:val="0"/>
          <w:kern w:val="2"/>
          <w:sz w:val="32"/>
          <w:szCs w:val="32"/>
          <w:shd w:val="clear" w:color="auto" w:fill="auto"/>
          <w:lang w:val="en-US" w:eastAsia="zh-CN" w:bidi="ar-SA"/>
        </w:rPr>
        <w:t>6</w:t>
      </w:r>
    </w:p>
    <w:p>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w:t>
      </w:r>
      <w:r>
        <w:rPr>
          <w:rFonts w:hint="eastAsia" w:eastAsia="仿宋_GB2312" w:cs="Times New Roman"/>
          <w:b/>
          <w:bCs/>
          <w:i w:val="0"/>
          <w:iCs w:val="0"/>
          <w:caps w:val="0"/>
          <w:color w:val="auto"/>
          <w:spacing w:val="0"/>
          <w:kern w:val="2"/>
          <w:sz w:val="32"/>
          <w:szCs w:val="32"/>
          <w:shd w:val="clear" w:color="auto" w:fill="auto"/>
          <w:lang w:val="en-US" w:eastAsia="zh-CN" w:bidi="ar-SA"/>
        </w:rPr>
        <w:t>四</w:t>
      </w: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部分 附表</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21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二、收入决算表</w:t>
      </w:r>
      <w:bookmarkStart w:id="54" w:name="_GoBack"/>
      <w:bookmarkEnd w:id="54"/>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五、财政拨款支出决算明细表</w:t>
      </w:r>
    </w:p>
    <w:p>
      <w:pPr>
        <w:pStyle w:val="19"/>
        <w:adjustRightInd w:val="0"/>
        <w:snapToGrid w:val="0"/>
        <w:spacing w:line="560" w:lineRule="exact"/>
        <w:ind w:left="0" w:leftChars="0" w:firstLine="640" w:firstLineChars="200"/>
        <w:jc w:val="left"/>
        <w:rPr>
          <w:rFonts w:hint="eastAsia" w:ascii="Times New Roman" w:hAnsi="Times New Roman" w:eastAsia="方正仿宋_GBK" w:cs="Times New Roman"/>
          <w:bCs/>
          <w:color w:val="000000"/>
          <w:kern w:val="2"/>
          <w:sz w:val="32"/>
          <w:szCs w:val="32"/>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七、一般公共预算财政拨款支出决算明细表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八、一般公共预算财政拨款基本支出决算明细表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九、一般公共预算财政拨款项目支出决算表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十、政府性基金预算财政拨款收入支出决算表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十一、国有资本经营预算财政拨款收入支出决算表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十二、国有资本经营预算财政拨款支出决算表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十三、财政拨款“三公”经费支出决算表</w:t>
      </w: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sectPr>
          <w:footerReference r:id="rId9" w:type="first"/>
          <w:headerReference r:id="rId7" w:type="default"/>
          <w:footerReference r:id="rId8" w:type="default"/>
          <w:pgSz w:w="11906" w:h="16838"/>
          <w:pgMar w:top="1440" w:right="1800" w:bottom="1440" w:left="1800" w:header="720" w:footer="720" w:gutter="0"/>
          <w:pgNumType w:fmt="numberInDash"/>
          <w:cols w:space="425" w:num="1"/>
          <w:titlePg/>
          <w:docGrid w:type="lines" w:linePitch="312" w:charSpace="0"/>
        </w:sectPr>
      </w:pPr>
    </w:p>
    <w:p/>
    <w:bookmarkEnd w:id="0"/>
    <w:bookmarkEnd w:id="1"/>
    <w:bookmarkEnd w:id="2"/>
    <w:bookmarkEnd w:id="3"/>
    <w:bookmarkEnd w:id="4"/>
    <w:bookmarkEnd w:id="5"/>
    <w:p/>
    <w:p>
      <w:pPr>
        <w:pStyle w:val="3"/>
        <w:pageBreakBefore w:val="0"/>
        <w:widowControl w:val="0"/>
        <w:numPr>
          <w:ilvl w:val="0"/>
          <w:numId w:val="1"/>
        </w:numPr>
        <w:suppressAutoHyphens/>
        <w:kinsoku/>
        <w:wordWrap/>
        <w:overflowPunct/>
        <w:topLinePunct w:val="0"/>
        <w:autoSpaceDE/>
        <w:autoSpaceDN/>
        <w:bidi w:val="0"/>
        <w:adjustRightInd/>
        <w:snapToGrid/>
        <w:spacing w:before="0" w:after="0" w:line="240" w:lineRule="auto"/>
        <w:ind w:left="630" w:leftChars="0" w:firstLineChars="0"/>
        <w:jc w:val="center"/>
        <w:textAlignment w:val="auto"/>
        <w:rPr>
          <w:rFonts w:ascii="Times New Roman" w:hAnsi="Times New Roman" w:eastAsia="黑体" w:cs="黑体"/>
          <w:sz w:val="44"/>
          <w:szCs w:val="44"/>
        </w:rPr>
      </w:pPr>
      <w:r>
        <w:rPr>
          <w:rFonts w:hint="eastAsia" w:ascii="方正小标宋_GBK" w:hAnsi="方正小标宋_GBK" w:eastAsia="方正小标宋_GBK" w:cs="方正小标宋_GBK"/>
          <w:b w:val="0"/>
          <w:bCs w:val="0"/>
          <w:sz w:val="44"/>
          <w:szCs w:val="44"/>
          <w:lang w:val="en-US" w:eastAsia="zh-CN"/>
        </w:rPr>
        <w:t>单位</w:t>
      </w:r>
      <w:r>
        <w:rPr>
          <w:rFonts w:hint="eastAsia" w:ascii="方正小标宋_GBK" w:hAnsi="方正小标宋_GBK" w:eastAsia="方正小标宋_GBK" w:cs="方正小标宋_GBK"/>
          <w:b w:val="0"/>
          <w:bCs w:val="0"/>
          <w:sz w:val="44"/>
          <w:szCs w:val="44"/>
        </w:rPr>
        <w:t>概况</w:t>
      </w:r>
    </w:p>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6" w:name="_Toc25819_WPSOffice_Level2"/>
      <w:r>
        <w:rPr>
          <w:rFonts w:hint="eastAsia" w:ascii="方正黑体_GBK" w:hAnsi="方正黑体_GBK" w:eastAsia="方正黑体_GBK" w:cs="方正黑体_GBK"/>
          <w:b w:val="0"/>
          <w:lang w:val="en-US" w:eastAsia="zh-CN"/>
        </w:rPr>
        <w:t>主要</w:t>
      </w:r>
      <w:r>
        <w:rPr>
          <w:rFonts w:hint="eastAsia" w:ascii="方正黑体_GBK" w:hAnsi="方正黑体_GBK" w:eastAsia="方正黑体_GBK" w:cs="方正黑体_GBK"/>
          <w:b w:val="0"/>
        </w:rPr>
        <w:t>职责</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贯彻执行党和国家有关民政工作的方针政策和法律法规，拟订全县民政事业发展规划、政策、标准并组织实施。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拟订社会团体、社会服务机构等社会组织登记和监督管理办法并组织实施，按照管理权限依法对社会组织进行登记管理和执法监督。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牵头拟订社会救助规划、政策、标准，统筹推进社会救助体系建设，负责城乡居民最低生活保障、特困人员救助供养、临时救助、生活无着流浪乞讨人员救助工作。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行政区划管理政策和行政区域界线、地名管理办法，负责县级以下行政区划设立、命名、撤销、变更和乡（镇）政府驻地迁移审核报批工作，组织并指导全县行政区域界线的勘定和管理工作。调处行政区域边界争议，负责全县地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组织实施婚姻管理政策，推进婚俗改革，负责全县婚姻登记管理。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sectPr>
          <w:footerReference r:id="rId10" w:type="default"/>
          <w:pgSz w:w="12240" w:h="15840"/>
          <w:pgMar w:top="1440" w:right="1800" w:bottom="1440" w:left="1800" w:header="720" w:footer="720" w:gutter="0"/>
          <w:lnNumType w:countBy="0" w:distance="360"/>
          <w:pgNumType w:fmt="numberInDash" w:start="1"/>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拟订殡葬管理政策、服务规范并组织实施，负责殡葬管理工作，推进殡葬改革。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拟订社会福利事业发展规划、政策、标准，拟订社会福利机构管理办法并指导实施，拟订残疾人权益保护政策并监督实施。负责康复辅助器具行业管理，统筹推进残疾人福利制度建设和康复辅助器具产业发展。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拟订儿童福利、孤弃儿童保障、儿童收养、儿童救助保护政策和标准并组织实施，健全农村留守儿童关爱服务体系和困境儿童保障制度。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组织拟订促进慈善事业发展政策，指导社会捐助工作。指导福利彩票销售工作，管理本级福利彩票公益金，监督全县福利彩票公益金的管理、使用。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拟订社会工作、志愿服务政策和标准，会同有关部门推进社会工作人才队伍建设和相关志愿者队伍建设。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依法依规负责康复辅助器具行业和社会福利、养老服务、殡葬服务、救助管理机构安全生产监督管理工作。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完成县委、县政府交办的其他任务。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职能转变。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县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统筹推进承担行政职能的事业单位改革。县城乡居民最低生活保障管理中心不再承担城乡居民最低生活保障行政管理职责。上述相关行政职责交由县民政局有关内设机构承担。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（十六）</w:t>
      </w:r>
      <w:r>
        <w:rPr>
          <w:rFonts w:hint="eastAsia" w:ascii="方正仿宋_GBK" w:hAnsi="方正仿宋_GBK" w:eastAsia="方正仿宋_GBK" w:cs="方正仿宋_GBK"/>
          <w:sz w:val="32"/>
          <w:szCs w:val="32"/>
        </w:rPr>
        <w:t>有关职责分工。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与县卫生健康局的有关职责分工。县民政局负责统筹推进、督促指导、监督管理养老服务工作，拟订养老服务体系建设规划、政策、标准并组织实施，承担老年人福利和特殊困难老年人救助工作。县卫生健康局负责拟订应对人口老龄化、医养结合政策措施，综合协调、督促指导、组织推进老龄健康事业发展，承担老年疾病防治、老年人医疗照护、老年人心理健康与关怀服务等老年健康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与县自然资源规划和林业局的有关职责分工。县民政局会同县自然资源规划和林业局组织编制公布行政区划信息的盐边县行政区划图。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2"/>
          <w:sz w:val="32"/>
          <w:szCs w:val="32"/>
          <w:lang w:val="zh-CN"/>
        </w:rPr>
      </w:pPr>
      <w:bookmarkStart w:id="7" w:name="_Toc17659_WPSOffice_Level2"/>
      <w:r>
        <w:rPr>
          <w:rFonts w:hint="eastAsia" w:ascii="方正黑体_GBK" w:hAnsi="方正黑体_GBK" w:eastAsia="方正黑体_GBK" w:cs="方正黑体_GBK"/>
          <w:color w:val="000000"/>
          <w:kern w:val="2"/>
          <w:sz w:val="32"/>
          <w:szCs w:val="32"/>
          <w:lang w:val="zh-CN"/>
        </w:rPr>
        <w:t>二、机</w:t>
      </w:r>
      <w:r>
        <w:rPr>
          <w:rFonts w:hint="eastAsia" w:ascii="方正黑体_GBK" w:hAnsi="方正黑体_GBK" w:eastAsia="方正黑体_GBK" w:cs="方正黑体_GBK"/>
          <w:color w:val="auto"/>
          <w:kern w:val="2"/>
          <w:sz w:val="32"/>
          <w:szCs w:val="32"/>
          <w:lang w:val="zh-CN"/>
        </w:rPr>
        <w:t>构设置</w:t>
      </w:r>
      <w:bookmarkEnd w:id="7"/>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spacing w:val="5"/>
          <w:sz w:val="32"/>
          <w:szCs w:val="32"/>
          <w:lang w:eastAsia="zh-CN"/>
        </w:rPr>
      </w:pPr>
      <w:r>
        <w:rPr>
          <w:rFonts w:hint="eastAsia" w:ascii="方正仿宋_GBK" w:hAnsi="方正仿宋_GBK" w:eastAsia="方正仿宋_GBK" w:cs="方正仿宋_GBK"/>
          <w:sz w:val="32"/>
          <w:szCs w:val="32"/>
          <w:lang w:eastAsia="zh-CN"/>
        </w:rPr>
        <w:t>盐边县民政局</w:t>
      </w:r>
      <w:r>
        <w:rPr>
          <w:rFonts w:hint="eastAsia" w:ascii="方正仿宋_GBK" w:hAnsi="方正仿宋_GBK" w:eastAsia="方正仿宋_GBK" w:cs="方正仿宋_GBK"/>
          <w:sz w:val="32"/>
          <w:szCs w:val="32"/>
        </w:rPr>
        <w:t>下属非独立核算单位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个，其中行政单位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个，参照公务员法管理的事业单位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个，其他事业单位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个。主要包括：盐边县康复院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盐边县</w:t>
      </w:r>
      <w:r>
        <w:rPr>
          <w:rFonts w:hint="eastAsia" w:ascii="方正仿宋_GBK" w:hAnsi="方正仿宋_GBK" w:eastAsia="方正仿宋_GBK" w:cs="方正仿宋_GBK"/>
          <w:sz w:val="32"/>
          <w:szCs w:val="32"/>
          <w:lang w:eastAsia="zh-CN"/>
        </w:rPr>
        <w:t>社会</w:t>
      </w:r>
      <w:r>
        <w:rPr>
          <w:rFonts w:hint="eastAsia" w:ascii="方正仿宋_GBK" w:hAnsi="方正仿宋_GBK" w:eastAsia="方正仿宋_GBK" w:cs="方正仿宋_GBK"/>
          <w:sz w:val="32"/>
          <w:szCs w:val="32"/>
        </w:rPr>
        <w:t>救助福利中心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5"/>
          <w:sz w:val="32"/>
          <w:szCs w:val="32"/>
        </w:rPr>
        <w:t>盐边县城乡居民最低生活保障</w:t>
      </w:r>
      <w:r>
        <w:rPr>
          <w:rFonts w:hint="eastAsia" w:ascii="方正仿宋_GBK" w:hAnsi="方正仿宋_GBK" w:eastAsia="方正仿宋_GBK" w:cs="方正仿宋_GBK"/>
          <w:spacing w:val="5"/>
          <w:sz w:val="32"/>
          <w:szCs w:val="32"/>
          <w:lang w:eastAsia="zh-CN"/>
        </w:rPr>
        <w:t>服务</w:t>
      </w:r>
      <w:r>
        <w:rPr>
          <w:rFonts w:hint="eastAsia" w:ascii="方正仿宋_GBK" w:hAnsi="方正仿宋_GBK" w:eastAsia="方正仿宋_GBK" w:cs="方正仿宋_GBK"/>
          <w:spacing w:val="5"/>
          <w:sz w:val="32"/>
          <w:szCs w:val="32"/>
        </w:rPr>
        <w:t>中心</w:t>
      </w:r>
      <w:r>
        <w:rPr>
          <w:rFonts w:hint="eastAsia" w:ascii="方正仿宋_GBK" w:hAnsi="方正仿宋_GBK" w:eastAsia="方正仿宋_GBK" w:cs="方正仿宋_GBK"/>
          <w:spacing w:val="5"/>
          <w:sz w:val="32"/>
          <w:szCs w:val="32"/>
          <w:lang w:eastAsia="zh-CN"/>
        </w:rPr>
        <w:t>、盐边县未成年人保护中心、</w:t>
      </w:r>
      <w:r>
        <w:rPr>
          <w:rFonts w:hint="eastAsia" w:ascii="方正仿宋_GBK" w:hAnsi="方正仿宋_GBK" w:eastAsia="方正仿宋_GBK" w:cs="方正仿宋_GBK"/>
          <w:spacing w:val="5"/>
          <w:sz w:val="32"/>
          <w:szCs w:val="32"/>
        </w:rPr>
        <w:t>盐边县殡葬</w:t>
      </w:r>
      <w:r>
        <w:rPr>
          <w:rFonts w:hint="eastAsia" w:ascii="方正仿宋_GBK" w:hAnsi="方正仿宋_GBK" w:eastAsia="方正仿宋_GBK" w:cs="方正仿宋_GBK"/>
          <w:spacing w:val="5"/>
          <w:sz w:val="32"/>
          <w:szCs w:val="32"/>
          <w:lang w:eastAsia="zh-CN"/>
        </w:rPr>
        <w:t>服务中心。</w:t>
      </w:r>
    </w:p>
    <w:p>
      <w:pPr>
        <w:pStyle w:val="10"/>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pacing w:val="5"/>
          <w:sz w:val="32"/>
          <w:szCs w:val="32"/>
          <w:lang w:eastAsia="zh-CN"/>
        </w:rPr>
      </w:pPr>
    </w:p>
    <w:p>
      <w:pPr>
        <w:pStyle w:val="10"/>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9"/>
        <w:adjustRightInd w:val="0"/>
        <w:snapToGrid w:val="0"/>
        <w:spacing w:line="560" w:lineRule="exact"/>
        <w:ind w:left="0" w:leftChars="0" w:firstLine="0" w:firstLineChars="0"/>
        <w:jc w:val="left"/>
        <w:rPr>
          <w:rFonts w:eastAsia="仿宋_GB2312" w:cs="仿宋_GB2312"/>
          <w:sz w:val="32"/>
          <w:szCs w:val="32"/>
        </w:rPr>
      </w:pPr>
    </w:p>
    <w:p>
      <w:pPr>
        <w:pStyle w:val="3"/>
        <w:suppressAutoHyphens/>
        <w:spacing w:before="0" w:after="0" w:line="240" w:lineRule="auto"/>
        <w:ind w:left="0" w:right="0" w:firstLine="0"/>
        <w:jc w:val="center"/>
        <w:rPr>
          <w:rFonts w:hint="default" w:ascii="Times New Roman" w:hAnsi="Times New Roman" w:eastAsia="方正小标宋_GBK" w:cs="Times New Roman"/>
          <w:b/>
          <w:bCs/>
          <w:color w:val="000000"/>
          <w:kern w:val="0"/>
          <w:sz w:val="44"/>
          <w:szCs w:val="44"/>
          <w:lang w:val="en-US" w:eastAsia="zh-CN" w:bidi="ar-SA"/>
        </w:rPr>
      </w:pPr>
      <w:r>
        <w:rPr>
          <w:rFonts w:hint="eastAsia" w:ascii="Times New Roman" w:hAnsi="Times New Roman" w:eastAsia="方正小标宋_GBK" w:cs="Times New Roman"/>
          <w:b/>
          <w:bCs/>
          <w:color w:val="000000"/>
          <w:kern w:val="0"/>
          <w:sz w:val="44"/>
          <w:szCs w:val="44"/>
          <w:lang w:val="en-US" w:eastAsia="zh-CN" w:bidi="ar-SA"/>
        </w:rPr>
        <w:t>第二部分 2024年度部门决算情况说明</w:t>
      </w:r>
    </w:p>
    <w:p>
      <w:pPr>
        <w:ind w:firstLine="640"/>
        <w:rPr>
          <w:rFonts w:hint="eastAsia" w:ascii="Times New Roman" w:hAnsi="Times New Roman" w:eastAsia="方正黑体_GBK" w:cs="Times New Roman"/>
          <w:bCs/>
          <w:color w:val="000000"/>
          <w:sz w:val="32"/>
          <w:szCs w:val="32"/>
          <w:lang w:val="en-US" w:eastAsia="zh-CN"/>
        </w:rPr>
      </w:pPr>
      <w:r>
        <w:rPr>
          <w:rFonts w:hint="eastAsia" w:ascii="Times New Roman" w:hAnsi="Times New Roman" w:eastAsia="方正黑体_GBK" w:cs="Times New Roman"/>
          <w:bCs/>
          <w:color w:val="000000"/>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2024年度收入、支出总计均为</w:t>
      </w:r>
      <w:r>
        <w:rPr>
          <w:rFonts w:hint="eastAsia" w:ascii="Times New Roman" w:hAnsi="Times New Roman" w:eastAsia="方正仿宋_GBK" w:cs="Times New Roman"/>
          <w:bCs/>
          <w:color w:val="000000"/>
          <w:sz w:val="32"/>
          <w:szCs w:val="32"/>
          <w:lang w:val="en-US" w:eastAsia="zh-CN"/>
        </w:rPr>
        <w:t>10060.83</w:t>
      </w:r>
      <w:r>
        <w:rPr>
          <w:rFonts w:hint="eastAsia" w:ascii="Times New Roman" w:hAnsi="Times New Roman" w:eastAsia="方正仿宋_GBK" w:cs="Times New Roman"/>
          <w:bCs/>
          <w:color w:val="000000"/>
          <w:sz w:val="32"/>
          <w:szCs w:val="32"/>
        </w:rPr>
        <w:t>万元。与2023年度相比，收入、支出总计各增加</w:t>
      </w:r>
      <w:r>
        <w:rPr>
          <w:rFonts w:hint="eastAsia" w:ascii="Times New Roman" w:hAnsi="Times New Roman" w:eastAsia="方正仿宋_GBK" w:cs="Times New Roman"/>
          <w:bCs/>
          <w:color w:val="000000"/>
          <w:sz w:val="32"/>
          <w:szCs w:val="32"/>
          <w:lang w:val="en-US" w:eastAsia="zh-CN"/>
        </w:rPr>
        <w:t>1210.09</w:t>
      </w:r>
      <w:r>
        <w:rPr>
          <w:rFonts w:hint="eastAsia" w:ascii="Times New Roman" w:hAnsi="Times New Roman" w:eastAsia="方正仿宋_GBK" w:cs="Times New Roman"/>
          <w:bCs/>
          <w:color w:val="000000"/>
          <w:sz w:val="32"/>
          <w:szCs w:val="32"/>
        </w:rPr>
        <w:t>万元，增长</w:t>
      </w:r>
      <w:r>
        <w:rPr>
          <w:rFonts w:hint="eastAsia" w:ascii="Times New Roman" w:hAnsi="Times New Roman" w:eastAsia="方正仿宋_GBK" w:cs="Times New Roman"/>
          <w:bCs/>
          <w:color w:val="000000"/>
          <w:sz w:val="32"/>
          <w:szCs w:val="32"/>
          <w:lang w:val="en-US" w:eastAsia="zh-CN"/>
        </w:rPr>
        <w:t>13.67</w:t>
      </w:r>
      <w:r>
        <w:rPr>
          <w:rFonts w:hint="eastAsia" w:ascii="Times New Roman" w:hAnsi="Times New Roman" w:eastAsia="方正仿宋_GBK" w:cs="Times New Roman"/>
          <w:bCs/>
          <w:color w:val="000000"/>
          <w:sz w:val="32"/>
          <w:szCs w:val="32"/>
        </w:rPr>
        <w:t>%。主要变动原因</w:t>
      </w:r>
      <w:r>
        <w:rPr>
          <w:rFonts w:hint="default" w:ascii="Times New Roman" w:hAnsi="Times New Roman" w:eastAsia="方正仿宋_GBK" w:cs="Times New Roman"/>
          <w:bCs/>
          <w:color w:val="000000"/>
          <w:sz w:val="32"/>
          <w:szCs w:val="32"/>
        </w:rPr>
        <w:t>是</w:t>
      </w:r>
      <w:r>
        <w:rPr>
          <w:rFonts w:hint="default" w:ascii="Times New Roman" w:hAnsi="Times New Roman" w:eastAsia="方正仿宋_GBK" w:cs="Times New Roman"/>
          <w:bCs/>
          <w:color w:val="000000"/>
          <w:sz w:val="32"/>
          <w:szCs w:val="32"/>
          <w:lang w:val="en-US" w:eastAsia="zh-CN"/>
        </w:rPr>
        <w:t>2024年化解以前年度暂付款1025</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5</w:t>
      </w:r>
      <w:r>
        <w:rPr>
          <w:rFonts w:hint="eastAsia" w:eastAsia="方正仿宋_GBK" w:cs="Times New Roman"/>
          <w:bCs/>
          <w:color w:val="000000"/>
          <w:sz w:val="32"/>
          <w:szCs w:val="32"/>
          <w:lang w:val="en-US" w:eastAsia="zh-CN"/>
        </w:rPr>
        <w:t>6万</w:t>
      </w:r>
      <w:r>
        <w:rPr>
          <w:rFonts w:hint="default" w:ascii="Times New Roman" w:hAnsi="Times New Roman" w:eastAsia="方正仿宋_GBK" w:cs="Times New Roman"/>
          <w:bCs/>
          <w:color w:val="000000"/>
          <w:sz w:val="32"/>
          <w:szCs w:val="32"/>
          <w:lang w:val="en-US" w:eastAsia="zh-CN"/>
        </w:rPr>
        <w:t>元。</w:t>
      </w:r>
    </w:p>
    <w:p>
      <w:pPr>
        <w:ind w:firstLine="640"/>
        <w:jc w:val="center"/>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drawing>
          <wp:inline distT="0" distB="0" distL="114300" distR="114300">
            <wp:extent cx="3571875" cy="1657350"/>
            <wp:effectExtent l="4445" t="4445" r="508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（图1：收入、支出决算总计变动情况图）</w:t>
      </w:r>
    </w:p>
    <w:p>
      <w:pPr>
        <w:widowControl/>
        <w:spacing w:line="560" w:lineRule="exact"/>
        <w:ind w:firstLine="640" w:firstLineChars="200"/>
        <w:jc w:val="left"/>
        <w:rPr>
          <w:rFonts w:hint="eastAsia" w:ascii="方正黑体_GBK" w:hAnsi="方正黑体_GBK" w:eastAsia="方正黑体_GBK" w:cs="方正黑体_GBK"/>
          <w:sz w:val="32"/>
          <w:szCs w:val="32"/>
        </w:rPr>
      </w:pPr>
      <w:bookmarkStart w:id="8" w:name="_Toc15396604"/>
      <w:bookmarkStart w:id="9" w:name="_Toc15377206"/>
      <w:r>
        <w:rPr>
          <w:rFonts w:hint="eastAsia" w:ascii="方正黑体_GBK" w:hAnsi="方正黑体_GBK" w:eastAsia="方正黑体_GBK" w:cs="方正黑体_GBK"/>
          <w:sz w:val="32"/>
          <w:szCs w:val="32"/>
        </w:rPr>
        <w:t>二、收入决算情况说明</w:t>
      </w:r>
      <w:bookmarkEnd w:id="8"/>
      <w:bookmarkEnd w:id="9"/>
    </w:p>
    <w:p>
      <w:pPr>
        <w:pStyle w:val="33"/>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1"/>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8240" behindDoc="0" locked="0" layoutInCell="1" allowOverlap="1">
            <wp:simplePos x="0" y="0"/>
            <wp:positionH relativeFrom="column">
              <wp:posOffset>1023620</wp:posOffset>
            </wp:positionH>
            <wp:positionV relativeFrom="paragraph">
              <wp:posOffset>1400810</wp:posOffset>
            </wp:positionV>
            <wp:extent cx="3268980" cy="1983740"/>
            <wp:effectExtent l="4445" t="5080" r="22225" b="1143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方正仿宋_GBK" w:hAnsi="方正仿宋_GBK" w:eastAsia="方正仿宋_GBK" w:cs="方正仿宋_GBK"/>
          <w:sz w:val="32"/>
          <w:szCs w:val="32"/>
        </w:rPr>
        <w:t>2024年度本年收入合计</w:t>
      </w:r>
      <w:r>
        <w:rPr>
          <w:rFonts w:hint="eastAsia" w:ascii="方正仿宋_GBK" w:hAnsi="方正仿宋_GBK" w:eastAsia="方正仿宋_GBK" w:cs="方正仿宋_GBK"/>
          <w:bCs/>
          <w:color w:val="000000"/>
          <w:sz w:val="32"/>
          <w:szCs w:val="32"/>
          <w:lang w:val="en-US" w:eastAsia="zh-CN"/>
        </w:rPr>
        <w:t>10060.83</w:t>
      </w:r>
      <w:r>
        <w:rPr>
          <w:rFonts w:hint="eastAsia" w:ascii="方正仿宋_GBK" w:hAnsi="方正仿宋_GBK" w:eastAsia="方正仿宋_GBK" w:cs="方正仿宋_GBK"/>
          <w:sz w:val="32"/>
          <w:szCs w:val="32"/>
        </w:rPr>
        <w:t>万元，其中：一般公共预算财政拨款收入</w:t>
      </w:r>
      <w:r>
        <w:rPr>
          <w:rFonts w:hint="eastAsia" w:ascii="方正仿宋_GBK" w:hAnsi="方正仿宋_GBK" w:eastAsia="方正仿宋_GBK" w:cs="方正仿宋_GBK"/>
          <w:sz w:val="32"/>
          <w:szCs w:val="32"/>
          <w:lang w:val="en-US" w:eastAsia="zh-CN"/>
        </w:rPr>
        <w:t>8696.85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86.44</w:t>
      </w:r>
      <w:r>
        <w:rPr>
          <w:rFonts w:hint="eastAsia" w:ascii="方正仿宋_GBK" w:hAnsi="方正仿宋_GBK" w:eastAsia="方正仿宋_GBK" w:cs="方正仿宋_GBK"/>
          <w:sz w:val="32"/>
          <w:szCs w:val="32"/>
        </w:rPr>
        <w:t>%；政府性基金预算财政拨款收入</w:t>
      </w:r>
      <w:r>
        <w:rPr>
          <w:rFonts w:hint="eastAsia" w:ascii="方正仿宋_GBK" w:hAnsi="方正仿宋_GBK" w:eastAsia="方正仿宋_GBK" w:cs="方正仿宋_GBK"/>
          <w:sz w:val="32"/>
          <w:szCs w:val="32"/>
          <w:lang w:val="en-US" w:eastAsia="zh-CN"/>
        </w:rPr>
        <w:t>309.3</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3.07</w:t>
      </w:r>
      <w:r>
        <w:rPr>
          <w:rFonts w:hint="eastAsia" w:ascii="方正仿宋_GBK" w:hAnsi="方正仿宋_GBK" w:eastAsia="方正仿宋_GBK" w:cs="方正仿宋_GBK"/>
          <w:sz w:val="32"/>
          <w:szCs w:val="32"/>
        </w:rPr>
        <w:t>%；其他收入</w:t>
      </w:r>
      <w:r>
        <w:rPr>
          <w:rFonts w:hint="eastAsia" w:ascii="方正仿宋_GBK" w:hAnsi="方正仿宋_GBK" w:eastAsia="方正仿宋_GBK" w:cs="方正仿宋_GBK"/>
          <w:sz w:val="32"/>
          <w:szCs w:val="32"/>
          <w:lang w:val="en-US" w:eastAsia="zh-CN"/>
        </w:rPr>
        <w:t>16.09</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0.16</w:t>
      </w:r>
      <w:r>
        <w:rPr>
          <w:rFonts w:hint="eastAsia" w:ascii="方正仿宋_GBK" w:hAnsi="方正仿宋_GBK" w:eastAsia="方正仿宋_GBK" w:cs="方正仿宋_GBK"/>
          <w:sz w:val="32"/>
          <w:szCs w:val="32"/>
        </w:rPr>
        <w:t>%。</w:t>
      </w:r>
    </w:p>
    <w:p>
      <w:pPr>
        <w:pStyle w:val="33"/>
        <w:spacing w:line="600" w:lineRule="exact"/>
        <w:ind w:left="0" w:leftChars="0" w:firstLine="0" w:firstLineChars="0"/>
        <w:jc w:val="left"/>
        <w:outlineLvl w:val="1"/>
        <w:rPr>
          <w:rFonts w:hint="eastAsia" w:ascii="仿宋_GB2312" w:hAnsi="仿宋_GB2312" w:eastAsia="仿宋_GB2312" w:cs="仿宋_GB2312"/>
          <w:sz w:val="32"/>
          <w:szCs w:val="32"/>
          <w:lang w:eastAsia="zh-CN"/>
        </w:rPr>
      </w:pPr>
    </w:p>
    <w:p>
      <w:pPr>
        <w:pStyle w:val="33"/>
        <w:spacing w:line="600" w:lineRule="exact"/>
        <w:ind w:firstLine="640"/>
        <w:jc w:val="left"/>
        <w:outlineLvl w:val="1"/>
        <w:rPr>
          <w:rFonts w:hint="eastAsia" w:ascii="仿宋_GB2312" w:hAnsi="仿宋_GB2312" w:eastAsia="仿宋_GB2312" w:cs="仿宋_GB2312"/>
          <w:sz w:val="32"/>
          <w:szCs w:val="32"/>
        </w:rPr>
      </w:pPr>
    </w:p>
    <w:p>
      <w:pPr>
        <w:rPr>
          <w:rFonts w:eastAsia="仿宋_GB2312" w:cs="仿宋_GB2312"/>
          <w:sz w:val="32"/>
          <w:szCs w:val="32"/>
        </w:rPr>
      </w:pPr>
    </w:p>
    <w:p>
      <w:pPr>
        <w:pStyle w:val="33"/>
        <w:spacing w:line="600" w:lineRule="exact"/>
        <w:ind w:firstLine="640"/>
        <w:outlineLvl w:val="1"/>
        <w:rPr>
          <w:rFonts w:hint="eastAsia" w:eastAsia="黑体"/>
          <w:sz w:val="32"/>
          <w:szCs w:val="32"/>
        </w:rPr>
      </w:pPr>
      <w:bookmarkStart w:id="10" w:name="_Toc15377207"/>
      <w:bookmarkStart w:id="11" w:name="_Toc15396605"/>
    </w:p>
    <w:p>
      <w:pPr>
        <w:jc w:val="center"/>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（图2：收入决算结构图）</w:t>
      </w:r>
    </w:p>
    <w:p>
      <w:pPr>
        <w:jc w:val="center"/>
        <w:rPr>
          <w:rFonts w:hint="eastAsia" w:ascii="Times New Roman" w:hAnsi="Times New Roman" w:eastAsia="方正仿宋_GBK" w:cs="Times New Roman"/>
          <w:bCs/>
          <w:color w:val="000000"/>
          <w:kern w:val="2"/>
          <w:sz w:val="32"/>
          <w:szCs w:val="32"/>
          <w:lang w:val="en-US" w:eastAsia="zh-CN" w:bidi="ar-SA"/>
        </w:rPr>
      </w:pPr>
      <w:r>
        <w:rPr>
          <w:rFonts w:hint="eastAsia" w:eastAsia="方正仿宋_GBK" w:cs="Times New Roman"/>
          <w:bCs/>
          <w:color w:val="000000"/>
          <w:kern w:val="2"/>
          <w:sz w:val="32"/>
          <w:szCs w:val="32"/>
          <w:lang w:val="en-US" w:eastAsia="zh-CN" w:bidi="ar-SA"/>
        </w:rPr>
        <w:t>（</w:t>
      </w:r>
      <w:r>
        <w:rPr>
          <w:rFonts w:hint="eastAsia" w:ascii="Times New Roman" w:hAnsi="Times New Roman" w:eastAsia="方正仿宋_GBK" w:cs="Times New Roman"/>
          <w:bCs/>
          <w:color w:val="000000"/>
          <w:kern w:val="2"/>
          <w:sz w:val="32"/>
          <w:szCs w:val="32"/>
          <w:lang w:val="en-US" w:eastAsia="zh-CN" w:bidi="ar-SA"/>
        </w:rPr>
        <w:t>图2：收入决算结构图）</w:t>
      </w:r>
    </w:p>
    <w:p>
      <w:pPr>
        <w:pStyle w:val="33"/>
        <w:spacing w:line="600" w:lineRule="exact"/>
        <w:ind w:left="0" w:leftChars="0" w:firstLine="320" w:firstLineChars="100"/>
        <w:outlineLvl w:val="1"/>
        <w:rPr>
          <w:rStyle w:val="35"/>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三、支</w:t>
      </w:r>
      <w:r>
        <w:rPr>
          <w:rStyle w:val="35"/>
          <w:rFonts w:hint="eastAsia" w:ascii="方正黑体_GBK" w:hAnsi="方正黑体_GBK" w:eastAsia="方正黑体_GBK" w:cs="方正黑体_GBK"/>
          <w:b w:val="0"/>
        </w:rPr>
        <w:t>出决算情况说明</w:t>
      </w:r>
      <w:bookmarkEnd w:id="10"/>
      <w:bookmarkEnd w:id="11"/>
    </w:p>
    <w:p>
      <w:pPr>
        <w:pStyle w:val="33"/>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2024年度本年支出合计</w:t>
      </w:r>
      <w:r>
        <w:rPr>
          <w:rFonts w:hint="eastAsia" w:ascii="方正仿宋_GBK" w:hAnsi="方正仿宋_GBK" w:eastAsia="方正仿宋_GBK" w:cs="方正仿宋_GBK"/>
          <w:sz w:val="32"/>
          <w:szCs w:val="32"/>
          <w:lang w:val="en-US" w:eastAsia="zh-CN"/>
        </w:rPr>
        <w:t>10044.75</w:t>
      </w:r>
      <w:r>
        <w:rPr>
          <w:rFonts w:hint="eastAsia" w:ascii="方正仿宋_GBK" w:hAnsi="方正仿宋_GBK" w:eastAsia="方正仿宋_GBK" w:cs="方正仿宋_GBK"/>
          <w:sz w:val="32"/>
          <w:szCs w:val="32"/>
        </w:rPr>
        <w:t>万元，其中：基本支出</w:t>
      </w:r>
      <w:r>
        <w:rPr>
          <w:rFonts w:hint="eastAsia" w:ascii="方正仿宋_GBK" w:hAnsi="方正仿宋_GBK" w:eastAsia="方正仿宋_GBK" w:cs="方正仿宋_GBK"/>
          <w:sz w:val="32"/>
          <w:szCs w:val="32"/>
          <w:lang w:val="en-US" w:eastAsia="zh-CN"/>
        </w:rPr>
        <w:t>957.15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9.53</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val="en-US" w:eastAsia="zh-CN"/>
        </w:rPr>
        <w:t>9087.6</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90.47</w:t>
      </w:r>
      <w:r>
        <w:rPr>
          <w:rFonts w:hint="eastAsia" w:ascii="方正仿宋_GBK" w:hAnsi="方正仿宋_GBK" w:eastAsia="方正仿宋_GBK" w:cs="方正仿宋_GBK"/>
          <w:sz w:val="32"/>
          <w:szCs w:val="32"/>
        </w:rPr>
        <w:t>%。</w:t>
      </w:r>
    </w:p>
    <w:p>
      <w:pPr>
        <w:ind w:firstLine="800" w:firstLineChars="250"/>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3303270" cy="1766570"/>
            <wp:effectExtent l="5080" t="4445" r="6350" b="196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（图3：支出决算结构图）</w:t>
      </w:r>
    </w:p>
    <w:p>
      <w:pPr>
        <w:spacing w:line="600" w:lineRule="exact"/>
        <w:ind w:firstLine="640" w:firstLineChars="200"/>
        <w:outlineLvl w:val="1"/>
        <w:rPr>
          <w:rStyle w:val="35"/>
          <w:rFonts w:ascii="Times New Roman" w:hAnsi="Times New Roman" w:eastAsia="黑体"/>
          <w:b w:val="0"/>
        </w:rPr>
      </w:pPr>
      <w:bookmarkStart w:id="12" w:name="_Toc15377208"/>
      <w:bookmarkStart w:id="13" w:name="_Toc15396606"/>
      <w:r>
        <w:rPr>
          <w:rFonts w:hint="eastAsia" w:ascii="方正黑体_GBK" w:hAnsi="方正黑体_GBK" w:eastAsia="方正黑体_GBK" w:cs="方正黑体_GBK"/>
          <w:sz w:val="32"/>
          <w:szCs w:val="32"/>
        </w:rPr>
        <w:t>四、财</w:t>
      </w:r>
      <w:r>
        <w:rPr>
          <w:rStyle w:val="35"/>
          <w:rFonts w:hint="eastAsia" w:ascii="方正黑体_GBK" w:hAnsi="方正黑体_GBK" w:eastAsia="方正黑体_GBK" w:cs="方正黑体_GBK"/>
          <w:b w:val="0"/>
        </w:rPr>
        <w:t>政拨款收入支出决算总体情况说明</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2024年度财政拨款收入、支出总计均为</w:t>
      </w:r>
      <w:r>
        <w:rPr>
          <w:rFonts w:hint="eastAsia" w:ascii="方正仿宋_GBK" w:hAnsi="方正仿宋_GBK" w:eastAsia="方正仿宋_GBK" w:cs="方正仿宋_GBK"/>
          <w:sz w:val="32"/>
          <w:szCs w:val="32"/>
          <w:lang w:val="en-US" w:eastAsia="zh-CN"/>
        </w:rPr>
        <w:t>10031.71</w:t>
      </w:r>
      <w:r>
        <w:rPr>
          <w:rFonts w:hint="eastAsia" w:ascii="方正仿宋_GBK" w:hAnsi="方正仿宋_GBK" w:eastAsia="方正仿宋_GBK" w:cs="方正仿宋_GBK"/>
          <w:sz w:val="32"/>
          <w:szCs w:val="32"/>
        </w:rPr>
        <w:t>万元。与2023年度相比，财政拨款收入总计、支出总计各增加</w:t>
      </w:r>
      <w:r>
        <w:rPr>
          <w:rFonts w:hint="eastAsia" w:ascii="方正仿宋_GBK" w:hAnsi="方正仿宋_GBK" w:eastAsia="方正仿宋_GBK" w:cs="方正仿宋_GBK"/>
          <w:sz w:val="32"/>
          <w:szCs w:val="32"/>
          <w:lang w:val="en-US" w:eastAsia="zh-CN"/>
        </w:rPr>
        <w:t>1180.97</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13.34</w:t>
      </w:r>
      <w:r>
        <w:rPr>
          <w:rFonts w:hint="eastAsia" w:ascii="方正仿宋_GBK" w:hAnsi="方正仿宋_GBK" w:eastAsia="方正仿宋_GBK" w:cs="方正仿宋_GBK"/>
          <w:sz w:val="32"/>
          <w:szCs w:val="32"/>
        </w:rPr>
        <w:t>%。主要变动原因</w:t>
      </w:r>
      <w:r>
        <w:rPr>
          <w:rFonts w:hint="eastAsia" w:ascii="方正仿宋_GBK" w:hAnsi="方正仿宋_GBK" w:eastAsia="方正仿宋_GBK" w:cs="方正仿宋_GBK"/>
          <w:sz w:val="32"/>
          <w:szCs w:val="32"/>
          <w:lang w:val="en-US" w:eastAsia="zh-CN"/>
        </w:rPr>
        <w:t>是2024年化解以前年度暂付款1025.56万元。</w:t>
      </w:r>
    </w:p>
    <w:p>
      <w:pPr>
        <w:pStyle w:val="2"/>
        <w:jc w:val="center"/>
        <w:rPr>
          <w:rFonts w:hint="eastAsia" w:eastAsia="仿宋_GB2312" w:cs="仿宋_GB2312"/>
          <w:sz w:val="32"/>
          <w:szCs w:val="32"/>
          <w:lang w:eastAsia="zh-CN"/>
        </w:rPr>
      </w:pPr>
      <w:r>
        <w:rPr>
          <w:rFonts w:hint="eastAsia" w:ascii="方正仿宋_GBK" w:hAnsi="方正仿宋_GBK" w:eastAsia="方正仿宋_GBK" w:cs="方正仿宋_GBK"/>
          <w:sz w:val="32"/>
          <w:szCs w:val="32"/>
        </w:rPr>
        <w:t>（图4：财政拨款收、支决算总计变动情况）</w:t>
      </w: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765810</wp:posOffset>
            </wp:positionH>
            <wp:positionV relativeFrom="paragraph">
              <wp:posOffset>20320</wp:posOffset>
            </wp:positionV>
            <wp:extent cx="3949700" cy="1630680"/>
            <wp:effectExtent l="4445" t="5080" r="8255" b="2159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bookmarkStart w:id="14" w:name="_Toc15377209"/>
      <w:bookmarkStart w:id="15" w:name="_Toc15396607"/>
    </w:p>
    <w:p>
      <w:pPr>
        <w:pStyle w:val="2"/>
        <w:jc w:val="center"/>
        <w:rPr>
          <w:rStyle w:val="35"/>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b/>
          <w:sz w:val="32"/>
          <w:szCs w:val="32"/>
        </w:rPr>
        <w:t>一</w:t>
      </w:r>
      <w:r>
        <w:rPr>
          <w:rStyle w:val="35"/>
          <w:rFonts w:hint="eastAsia" w:ascii="方正黑体_GBK" w:hAnsi="方正黑体_GBK" w:eastAsia="方正黑体_GBK" w:cs="方正黑体_GBK"/>
          <w:b w:val="0"/>
        </w:rPr>
        <w:t>般公共预算财政拨款支出决算情况说明</w:t>
      </w:r>
      <w:bookmarkEnd w:id="14"/>
      <w:bookmarkEnd w:id="15"/>
    </w:p>
    <w:p>
      <w:pPr>
        <w:spacing w:line="600" w:lineRule="exact"/>
        <w:ind w:firstLine="643" w:firstLineChars="200"/>
        <w:outlineLvl w:val="2"/>
        <w:rPr>
          <w:rFonts w:hint="eastAsia" w:ascii="方正楷体_GBK" w:hAnsi="方正楷体_GBK" w:eastAsia="方正楷体_GBK" w:cs="方正楷体_GBK"/>
          <w:b/>
          <w:sz w:val="32"/>
          <w:szCs w:val="32"/>
        </w:rPr>
      </w:pPr>
      <w:bookmarkStart w:id="16" w:name="_Toc15377210"/>
      <w:r>
        <w:rPr>
          <w:rFonts w:hint="eastAsia" w:ascii="方正楷体_GBK" w:hAnsi="方正楷体_GBK" w:eastAsia="方正楷体_GBK" w:cs="方正楷体_GBK"/>
          <w:b/>
          <w:sz w:val="32"/>
          <w:szCs w:val="32"/>
        </w:rPr>
        <w:t>（一）一般公共预算财政拨款支出决算总体情况</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2024年度一般公共预算财政拨款支出</w:t>
      </w:r>
      <w:r>
        <w:rPr>
          <w:rFonts w:hint="eastAsia" w:ascii="方正仿宋_GBK" w:hAnsi="方正仿宋_GBK" w:eastAsia="方正仿宋_GBK" w:cs="方正仿宋_GBK"/>
          <w:sz w:val="32"/>
          <w:szCs w:val="32"/>
          <w:lang w:val="en-US" w:eastAsia="zh-CN"/>
        </w:rPr>
        <w:t>9722.41</w:t>
      </w:r>
      <w:r>
        <w:rPr>
          <w:rFonts w:hint="eastAsia" w:ascii="方正仿宋_GBK" w:hAnsi="方正仿宋_GBK" w:eastAsia="方正仿宋_GBK" w:cs="方正仿宋_GBK"/>
          <w:sz w:val="32"/>
          <w:szCs w:val="32"/>
        </w:rPr>
        <w:t>万元，占本年支出合计的</w:t>
      </w:r>
      <w:r>
        <w:rPr>
          <w:rFonts w:hint="eastAsia" w:ascii="方正仿宋_GBK" w:hAnsi="方正仿宋_GBK" w:eastAsia="方正仿宋_GBK" w:cs="方正仿宋_GBK"/>
          <w:sz w:val="32"/>
          <w:szCs w:val="32"/>
          <w:lang w:val="en-US" w:eastAsia="zh-CN"/>
        </w:rPr>
        <w:t>96.92</w:t>
      </w:r>
      <w:r>
        <w:rPr>
          <w:rFonts w:hint="eastAsia" w:ascii="方正仿宋_GBK" w:hAnsi="方正仿宋_GBK" w:eastAsia="方正仿宋_GBK" w:cs="方正仿宋_GBK"/>
          <w:sz w:val="32"/>
          <w:szCs w:val="32"/>
        </w:rPr>
        <w:t>%。与2023年度相比，一般公共预算财政拨款支出增加</w:t>
      </w:r>
      <w:r>
        <w:rPr>
          <w:rFonts w:hint="eastAsia" w:ascii="方正仿宋_GBK" w:hAnsi="方正仿宋_GBK" w:eastAsia="方正仿宋_GBK" w:cs="方正仿宋_GBK"/>
          <w:sz w:val="32"/>
          <w:szCs w:val="32"/>
          <w:lang w:val="en-US" w:eastAsia="zh-CN"/>
        </w:rPr>
        <w:t>1519.5</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18.52</w:t>
      </w:r>
      <w:r>
        <w:rPr>
          <w:rFonts w:hint="eastAsia" w:ascii="方正仿宋_GBK" w:hAnsi="方正仿宋_GBK" w:eastAsia="方正仿宋_GBK" w:cs="方正仿宋_GBK"/>
          <w:sz w:val="32"/>
          <w:szCs w:val="32"/>
        </w:rPr>
        <w:t>%。主要变动原因是</w:t>
      </w:r>
      <w:r>
        <w:rPr>
          <w:rFonts w:hint="eastAsia" w:ascii="方正仿宋_GBK" w:hAnsi="方正仿宋_GBK" w:eastAsia="方正仿宋_GBK" w:cs="方正仿宋_GBK"/>
          <w:sz w:val="32"/>
          <w:szCs w:val="32"/>
          <w:lang w:val="en-US" w:eastAsia="zh-CN"/>
        </w:rPr>
        <w:t>2024年化解以前年度暂付款1025.56万元。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802640</wp:posOffset>
            </wp:positionH>
            <wp:positionV relativeFrom="paragraph">
              <wp:posOffset>85725</wp:posOffset>
            </wp:positionV>
            <wp:extent cx="3522345" cy="2235835"/>
            <wp:effectExtent l="4445" t="4445" r="16510" b="762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spacing w:line="600" w:lineRule="exact"/>
        <w:ind w:firstLine="64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（图5：一般公共预算财政拨款支出决算变动情况）</w:t>
      </w:r>
    </w:p>
    <w:p>
      <w:pPr>
        <w:spacing w:line="600" w:lineRule="exact"/>
        <w:ind w:firstLine="643" w:firstLineChars="200"/>
        <w:outlineLvl w:val="2"/>
        <w:rPr>
          <w:rFonts w:hint="eastAsia" w:ascii="方正楷体_GBK" w:hAnsi="方正楷体_GBK" w:eastAsia="方正楷体_GBK" w:cs="方正楷体_GBK"/>
          <w:b/>
          <w:sz w:val="32"/>
          <w:szCs w:val="32"/>
        </w:rPr>
      </w:pPr>
      <w:bookmarkStart w:id="17" w:name="_Toc15377211"/>
      <w:r>
        <w:rPr>
          <w:rFonts w:hint="eastAsia" w:ascii="方正楷体_GBK" w:hAnsi="方正楷体_GBK" w:eastAsia="方正楷体_GBK" w:cs="方正楷体_GBK"/>
          <w:b/>
          <w:sz w:val="32"/>
          <w:szCs w:val="32"/>
        </w:rPr>
        <w:t>（二）一般公共预算财政拨款支出决算结构情况</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2024年度一般公共预算财政拨款支出</w:t>
      </w:r>
      <w:r>
        <w:rPr>
          <w:rFonts w:hint="eastAsia" w:ascii="方正仿宋_GBK" w:hAnsi="方正仿宋_GBK" w:eastAsia="方正仿宋_GBK" w:cs="方正仿宋_GBK"/>
          <w:sz w:val="32"/>
          <w:szCs w:val="32"/>
          <w:lang w:val="en-US" w:eastAsia="zh-CN"/>
        </w:rPr>
        <w:t>9722.41</w:t>
      </w:r>
      <w:r>
        <w:rPr>
          <w:rFonts w:hint="eastAsia" w:ascii="方正仿宋_GBK" w:hAnsi="方正仿宋_GBK" w:eastAsia="方正仿宋_GBK" w:cs="方正仿宋_GBK"/>
          <w:sz w:val="32"/>
          <w:szCs w:val="32"/>
        </w:rPr>
        <w:t>万元，主要用于以下方面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社会保障和就业支出</w:t>
      </w:r>
      <w:r>
        <w:rPr>
          <w:rFonts w:hint="eastAsia" w:ascii="方正仿宋_GBK" w:hAnsi="方正仿宋_GBK" w:eastAsia="方正仿宋_GBK" w:cs="方正仿宋_GBK"/>
          <w:sz w:val="32"/>
          <w:szCs w:val="32"/>
          <w:lang w:val="en-US" w:eastAsia="zh-CN"/>
        </w:rPr>
        <w:t>4160.97</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42.8</w:t>
      </w:r>
      <w:r>
        <w:rPr>
          <w:rFonts w:hint="eastAsia" w:ascii="方正仿宋_GBK" w:hAnsi="方正仿宋_GBK" w:eastAsia="方正仿宋_GBK" w:cs="方正仿宋_GBK"/>
          <w:sz w:val="32"/>
          <w:szCs w:val="32"/>
        </w:rPr>
        <w:t>%；卫生健康支出</w:t>
      </w:r>
      <w:r>
        <w:rPr>
          <w:rFonts w:hint="eastAsia" w:ascii="方正仿宋_GBK" w:hAnsi="方正仿宋_GBK" w:eastAsia="方正仿宋_GBK" w:cs="方正仿宋_GBK"/>
          <w:sz w:val="32"/>
          <w:szCs w:val="32"/>
          <w:lang w:val="en-US" w:eastAsia="zh-CN"/>
        </w:rPr>
        <w:t>70.4</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0.72</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76.28</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0.78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pPr>
        <w:pStyle w:val="2"/>
        <w:rPr>
          <w:rFonts w:hint="eastAsia" w:ascii="方正仿宋_GBK" w:hAnsi="方正仿宋_GBK" w:eastAsia="方正仿宋_GBK" w:cs="方正仿宋_GBK"/>
          <w:sz w:val="32"/>
          <w:szCs w:val="32"/>
          <w:lang w:eastAsia="zh-CN"/>
        </w:rPr>
      </w:pPr>
    </w:p>
    <w:p>
      <w:pPr>
        <w:rPr>
          <w:rFonts w:hint="eastAsia"/>
          <w:lang w:eastAsia="zh-CN"/>
        </w:rPr>
      </w:pPr>
    </w:p>
    <w:p>
      <w:pPr>
        <w:pStyle w:val="2"/>
        <w:rPr>
          <w:rFonts w:hint="eastAsia" w:eastAsia="仿宋_GB2312" w:cs="仿宋_GB2312"/>
          <w:sz w:val="32"/>
          <w:szCs w:val="32"/>
          <w:lang w:val="en-US" w:eastAsia="zh-CN"/>
        </w:rPr>
      </w:pPr>
      <w:r>
        <w:rPr>
          <w:rFonts w:hint="default"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1060450</wp:posOffset>
            </wp:positionH>
            <wp:positionV relativeFrom="paragraph">
              <wp:posOffset>-155575</wp:posOffset>
            </wp:positionV>
            <wp:extent cx="3008630" cy="1921510"/>
            <wp:effectExtent l="4445" t="4445" r="15875" b="1714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eastAsia="仿宋_GB2312" w:cs="仿宋_GB2312"/>
          <w:sz w:val="32"/>
          <w:szCs w:val="32"/>
          <w:lang w:val="en-US" w:eastAsia="zh-CN"/>
        </w:rPr>
        <w:t xml:space="preserve">     </w:t>
      </w:r>
    </w:p>
    <w:p>
      <w:pPr>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p>
    <w:p>
      <w:pPr>
        <w:rPr>
          <w:rFonts w:hint="eastAsia"/>
          <w:lang w:val="en-US" w:eastAsia="zh-CN"/>
        </w:rPr>
      </w:pPr>
    </w:p>
    <w:p>
      <w:pPr>
        <w:rPr>
          <w:rFonts w:hint="eastAsia"/>
          <w:lang w:eastAsia="zh-CN"/>
        </w:rPr>
      </w:pPr>
    </w:p>
    <w:p>
      <w:pPr>
        <w:rPr>
          <w:rFonts w:hint="eastAsia"/>
          <w:lang w:eastAsia="zh-CN"/>
        </w:rPr>
      </w:pPr>
    </w:p>
    <w:p>
      <w:pPr>
        <w:spacing w:line="600" w:lineRule="exact"/>
        <w:ind w:firstLine="640" w:firstLineChars="200"/>
        <w:jc w:val="center"/>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3" w:firstLineChars="200"/>
        <w:outlineLvl w:val="2"/>
        <w:rPr>
          <w:rFonts w:hint="eastAsia" w:ascii="方正楷体_GBK" w:hAnsi="方正楷体_GBK" w:eastAsia="方正楷体_GBK" w:cs="方正楷体_GBK"/>
          <w:b/>
          <w:sz w:val="32"/>
          <w:szCs w:val="32"/>
        </w:rPr>
      </w:pPr>
      <w:bookmarkStart w:id="18" w:name="_Toc15377212"/>
      <w:r>
        <w:rPr>
          <w:rFonts w:hint="eastAsia" w:ascii="方正楷体_GBK" w:hAnsi="方正楷体_GBK" w:eastAsia="方正楷体_GBK" w:cs="方正楷体_GBK"/>
          <w:b/>
          <w:sz w:val="32"/>
          <w:szCs w:val="32"/>
        </w:rPr>
        <w:t>（三）一般公共预算财政拨款支出决算具体情况</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rPr>
      </w:pPr>
      <w:bookmarkStart w:id="19" w:name="_Toc15377444"/>
      <w:bookmarkStart w:id="20" w:name="_Toc15378460"/>
      <w:bookmarkStart w:id="21" w:name="_Toc15377213"/>
      <w:r>
        <w:rPr>
          <w:rFonts w:hint="eastAsia" w:ascii="方正仿宋_GBK" w:hAnsi="方正仿宋_GBK" w:eastAsia="方正仿宋_GBK" w:cs="方正仿宋_GBK"/>
          <w:sz w:val="32"/>
          <w:szCs w:val="32"/>
        </w:rPr>
        <w:t>2024年度一般公共预算财政拨款支出决算数为</w:t>
      </w:r>
      <w:r>
        <w:rPr>
          <w:rFonts w:hint="eastAsia" w:ascii="方正仿宋_GBK" w:hAnsi="方正仿宋_GBK" w:eastAsia="方正仿宋_GBK" w:cs="方正仿宋_GBK"/>
          <w:sz w:val="32"/>
          <w:szCs w:val="32"/>
          <w:lang w:val="en-US" w:eastAsia="zh-CN"/>
        </w:rPr>
        <w:t>9722.41</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%。其中：</w:t>
      </w:r>
      <w:bookmarkEnd w:id="19"/>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社会保障和就业（类）</w:t>
      </w:r>
      <w:r>
        <w:rPr>
          <w:rFonts w:hint="eastAsia" w:ascii="方正仿宋_GBK" w:hAnsi="方正仿宋_GBK" w:eastAsia="方正仿宋_GBK" w:cs="方正仿宋_GBK"/>
          <w:sz w:val="32"/>
          <w:szCs w:val="32"/>
          <w:lang w:val="en-US" w:eastAsia="zh-CN"/>
        </w:rPr>
        <w:t>民政管理事务</w:t>
      </w:r>
      <w:r>
        <w:rPr>
          <w:rFonts w:hint="eastAsia" w:ascii="方正仿宋_GBK" w:hAnsi="方正仿宋_GBK" w:eastAsia="方正仿宋_GBK" w:cs="方正仿宋_GBK"/>
          <w:sz w:val="32"/>
          <w:szCs w:val="32"/>
        </w:rPr>
        <w:t>（款）</w:t>
      </w:r>
      <w:r>
        <w:rPr>
          <w:rFonts w:hint="eastAsia" w:ascii="方正仿宋_GBK" w:hAnsi="方正仿宋_GBK" w:eastAsia="方正仿宋_GBK" w:cs="方正仿宋_GBK"/>
          <w:sz w:val="32"/>
          <w:szCs w:val="32"/>
          <w:lang w:val="en-US" w:eastAsia="zh-CN"/>
        </w:rPr>
        <w:t>行政运行项</w:t>
      </w:r>
      <w:r>
        <w:rPr>
          <w:rFonts w:hint="eastAsia" w:ascii="方正仿宋_GBK" w:hAnsi="方正仿宋_GBK" w:eastAsia="方正仿宋_GBK" w:cs="方正仿宋_GBK"/>
          <w:sz w:val="32"/>
          <w:szCs w:val="32"/>
        </w:rPr>
        <w:t>（项）：支出决算为</w:t>
      </w:r>
      <w:r>
        <w:rPr>
          <w:rFonts w:hint="eastAsia" w:ascii="方正仿宋_GBK" w:hAnsi="方正仿宋_GBK" w:eastAsia="方正仿宋_GBK" w:cs="方正仿宋_GBK"/>
          <w:sz w:val="32"/>
          <w:szCs w:val="32"/>
          <w:lang w:val="en-US" w:eastAsia="zh-CN"/>
        </w:rPr>
        <w:t>173.67</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%，决算数等于预算数</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2.社会保障和就业支出（类）民政管理事务（款）其他民政管理事务支出（项）:支出决算为1532.73万元，完成预算100%，决算数等于预算数。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3.社会保障和就业支出（类）行政事业单位养老支出（款）行政单位离退休（项）:支出决算为41.76万元，完成预算100%，决算数等于预算数。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4.社会保障和就业支出（类）行政事业单位养老支出（款）事业单位离退休（项）:支出决算为42.46万元，完成预算100%，决算数等于预算数。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5.社会保障和就业支出（类）行政事业单位养老支出（款）机关事业单位基本养老保险缴费支出（项）:支出决算为102.13万元，完成预算100%，决算数等于预算数。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6.社会保障和就业支出（类）行政单位养老支出（款）机关事业单位职业年金缴费支出（项）:支出决算为41.72万元，完成预算100%，决算数等于预算数。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7.社会保障和就业支出（类）抚恤（款）伤残抚恤（项）:支出决算为7.8万元，完成预算100%，决算数等于预算数。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8.社会保障和就业支出（类）社会福利（款）儿童福利（项）:支出决算为155.81万元，完成预算100%，决算数等于预算数。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9.社会保障和就业支出（类）社会福利（款）老人福利（项）:支出决算为466.19万元，完成预算100%，决算数等于预算数。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10.社会保障和就业支出（类）社会福利（款）养老服务（项）:支出决算为427.32万元，完成预算100%，决算数等于预算数。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11.社会保障和就业支出（类）社会福利（款）其他社会福利支出（项）:支出决算为24.68万元，完成预算100%，决算数等于预算数。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12.社会保障和就业支出（类）残疾人事业（款）残疾人生活和护理补贴（项）:支出决算为556.89万元，完成预算100%，决算数等于预算数。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13.社会保障和就业支出（类）最低生活保障（款）城市最低生活保障金支出（项）:支出决算为474.01万元，完成预算100%，决算数等于预算数。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14.社会保障和就业支出（类）最低生活保障（款）农村最低生活保障金支出（项）:支出决算为4244.76万元，完成预算100%，决算数等于预算数。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15.社会保障和就业支出（类）临时救助（款）临时救助支出（项）:支出决算为228.41万元，完成预算100%，决算数等于预算数。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16.社会保障和就业支出（类）临时救助（款）流浪乞讨人员救助支出（项）:支出决算为38.45万元，完成预算100%，决算数等于预算数。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17.社会保障和就业支出（类）特困人员救助供养（款）城市特困人员救助供养支出（项）:支出决算为12.55万元，完成预算100%，决算数等于预算数。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18.社会保障和就业支出（类）特困人员救助供养（款）农村特困人员救助供养支出（项）：支出决算为704.86万元，完成预算100%，决算数等于预算数。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19.社会保障和就业支出（类）其他生活救助（款）其他农村生活救助（项）:支出决算为202.5万元，完成预算100%，决算数等于预算数。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20.社会保障和就业支出（类）其他社会保障和就业支出（款）其他社会保障和就业支出（项）:支出决算为161.27万元，完成预算100%，决算数等于预算数。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21.卫生健康支出（类）行政事业单位医疗（款）行政单位医疗（项）:支出决算为10.87万元，完成预算100%，决算数等于预算数。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22.卫生健康支出（类）行政事业单位医疗（款）事业单位医疗（项）:支出决算为34.63万元，完成预算100%，决算数等于预算数。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23.卫生健康支出（类）行政事业单位医疗（款）公务员医疗补助（项）:支出决算为1.08万元，完成预算100%，决算数等于预算数。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24.卫生健康支出（类）行政事业单位医疗（款）其他行政事业单位医疗支出（项）:支出决算为18.74万元，完成预算100%，决算数等于预算数。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25.住房保障支出</w:t>
      </w:r>
      <w:r>
        <w:rPr>
          <w:rFonts w:hint="eastAsia" w:ascii="方正仿宋_GBK" w:hAnsi="方正仿宋_GBK" w:eastAsia="方正仿宋_GBK" w:cs="方正仿宋_GBK"/>
          <w:sz w:val="32"/>
          <w:szCs w:val="32"/>
        </w:rPr>
        <w:t>（类）</w:t>
      </w:r>
      <w:r>
        <w:rPr>
          <w:rFonts w:hint="eastAsia" w:ascii="方正仿宋_GBK" w:hAnsi="方正仿宋_GBK" w:eastAsia="方正仿宋_GBK" w:cs="方正仿宋_GBK"/>
          <w:sz w:val="32"/>
          <w:szCs w:val="32"/>
          <w:lang w:val="en-US" w:eastAsia="zh-CN"/>
        </w:rPr>
        <w:t>住房改革支出</w:t>
      </w:r>
      <w:r>
        <w:rPr>
          <w:rFonts w:hint="eastAsia" w:ascii="方正仿宋_GBK" w:hAnsi="方正仿宋_GBK" w:eastAsia="方正仿宋_GBK" w:cs="方正仿宋_GBK"/>
          <w:sz w:val="32"/>
          <w:szCs w:val="32"/>
        </w:rPr>
        <w:t>（款）</w:t>
      </w:r>
      <w:r>
        <w:rPr>
          <w:rFonts w:hint="eastAsia" w:ascii="方正仿宋_GBK" w:hAnsi="方正仿宋_GBK" w:eastAsia="方正仿宋_GBK" w:cs="方正仿宋_GBK"/>
          <w:sz w:val="32"/>
          <w:szCs w:val="32"/>
          <w:lang w:val="en-US" w:eastAsia="zh-CN"/>
        </w:rPr>
        <w:t>住房公积金</w:t>
      </w:r>
      <w:r>
        <w:rPr>
          <w:rFonts w:hint="eastAsia" w:ascii="方正仿宋_GBK" w:hAnsi="方正仿宋_GBK" w:eastAsia="方正仿宋_GBK" w:cs="方正仿宋_GBK"/>
          <w:sz w:val="32"/>
          <w:szCs w:val="32"/>
        </w:rPr>
        <w:t>（项）：支出决算为</w:t>
      </w:r>
      <w:r>
        <w:rPr>
          <w:rFonts w:hint="eastAsia" w:ascii="方正仿宋_GBK" w:hAnsi="方正仿宋_GBK" w:eastAsia="方正仿宋_GBK" w:cs="方正仿宋_GBK"/>
          <w:sz w:val="32"/>
          <w:szCs w:val="32"/>
          <w:lang w:val="en-US" w:eastAsia="zh-CN"/>
        </w:rPr>
        <w:t>67.12</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%，决算数等于预算数</w:t>
      </w:r>
      <w:r>
        <w:rPr>
          <w:rFonts w:hint="eastAsia" w:ascii="方正仿宋_GBK" w:hAnsi="方正仿宋_GBK" w:eastAsia="方正仿宋_GBK" w:cs="方正仿宋_GBK"/>
          <w:sz w:val="32"/>
          <w:szCs w:val="32"/>
          <w:lang w:eastAsia="zh-CN"/>
        </w:rPr>
        <w:t>。</w:t>
      </w:r>
    </w:p>
    <w:p>
      <w:pPr>
        <w:tabs>
          <w:tab w:val="right" w:pos="8306"/>
        </w:tabs>
        <w:spacing w:line="600" w:lineRule="exact"/>
        <w:ind w:firstLine="640" w:firstLineChars="200"/>
        <w:outlineLvl w:val="1"/>
        <w:rPr>
          <w:rStyle w:val="35"/>
          <w:rFonts w:ascii="Times New Roman" w:hAnsi="Times New Roman"/>
        </w:rPr>
      </w:pPr>
      <w:bookmarkStart w:id="22" w:name="_Toc15396608"/>
      <w:bookmarkStart w:id="23" w:name="_Toc15377214"/>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b/>
          <w:sz w:val="32"/>
          <w:szCs w:val="32"/>
        </w:rPr>
        <w:t>、一</w:t>
      </w:r>
      <w:r>
        <w:rPr>
          <w:rStyle w:val="35"/>
          <w:rFonts w:hint="eastAsia" w:ascii="方正黑体_GBK" w:hAnsi="方正黑体_GBK" w:eastAsia="方正黑体_GBK" w:cs="方正黑体_GBK"/>
          <w:b w:val="0"/>
        </w:rPr>
        <w:t>般公共预算财政拨款基本支出决算情况说明</w:t>
      </w:r>
      <w:bookmarkEnd w:id="22"/>
      <w:bookmarkEnd w:id="23"/>
      <w:r>
        <w:rPr>
          <w:rStyle w:val="35"/>
          <w:rFonts w:ascii="Times New Roman" w:hAnsi="Times New Roman"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2024年度一般公共预算财政拨款基本支出</w:t>
      </w:r>
      <w:r>
        <w:rPr>
          <w:rFonts w:hint="eastAsia" w:ascii="方正仿宋_GBK" w:hAnsi="方正仿宋_GBK" w:eastAsia="方正仿宋_GBK" w:cs="方正仿宋_GBK"/>
          <w:sz w:val="32"/>
          <w:szCs w:val="32"/>
          <w:lang w:val="en-US" w:eastAsia="zh-CN"/>
        </w:rPr>
        <w:t>957.15</w:t>
      </w:r>
      <w:r>
        <w:rPr>
          <w:rFonts w:hint="eastAsia" w:ascii="方正仿宋_GBK" w:hAnsi="方正仿宋_GBK" w:eastAsia="方正仿宋_GBK" w:cs="方正仿宋_GBK"/>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s="仿宋_GB2312"/>
          <w:sz w:val="32"/>
          <w:szCs w:val="32"/>
        </w:rPr>
      </w:pPr>
      <w:r>
        <w:rPr>
          <w:rFonts w:hint="eastAsia" w:ascii="方正仿宋_GBK" w:hAnsi="方正仿宋_GBK" w:eastAsia="方正仿宋_GBK" w:cs="方正仿宋_GBK"/>
          <w:sz w:val="32"/>
          <w:szCs w:val="32"/>
        </w:rPr>
        <w:t>人员经费</w:t>
      </w:r>
      <w:r>
        <w:rPr>
          <w:rFonts w:hint="eastAsia" w:ascii="方正仿宋_GBK" w:hAnsi="方正仿宋_GBK" w:eastAsia="方正仿宋_GBK" w:cs="方正仿宋_GBK"/>
          <w:sz w:val="32"/>
          <w:szCs w:val="32"/>
          <w:lang w:val="en-US" w:eastAsia="zh-CN"/>
        </w:rPr>
        <w:t>903.19</w:t>
      </w:r>
      <w:r>
        <w:rPr>
          <w:rFonts w:hint="eastAsia" w:ascii="方正仿宋_GBK" w:hAnsi="方正仿宋_GBK" w:eastAsia="方正仿宋_GBK" w:cs="方正仿宋_GBK"/>
          <w:sz w:val="32"/>
          <w:szCs w:val="32"/>
        </w:rPr>
        <w:t>万元，主要包括：基本工资、津贴补贴、奖金、绩效工资、机关事业单位基本养老保险缴费、职业年金缴费、职工基本医疗保险缴费、公务员医疗补助缴费、其他社会保障缴费、其他工资福利支出、离休费、退休费、抚恤金、生活补助、医疗费补助、奖励金、住房公积金、其他对个人和家庭的补助支出等。</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公用经费</w:t>
      </w:r>
      <w:r>
        <w:rPr>
          <w:rFonts w:hint="eastAsia" w:ascii="方正仿宋_GBK" w:hAnsi="方正仿宋_GBK" w:eastAsia="方正仿宋_GBK" w:cs="方正仿宋_GBK"/>
          <w:sz w:val="32"/>
          <w:szCs w:val="32"/>
          <w:lang w:val="en-US" w:eastAsia="zh-CN"/>
        </w:rPr>
        <w:t>53.96</w:t>
      </w:r>
      <w:r>
        <w:rPr>
          <w:rFonts w:hint="eastAsia" w:ascii="方正仿宋_GBK" w:hAnsi="方正仿宋_GBK" w:eastAsia="方正仿宋_GBK" w:cs="方正仿宋_GBK"/>
          <w:sz w:val="32"/>
          <w:szCs w:val="32"/>
        </w:rPr>
        <w:t>万元，主要包括：办公费、印刷费、水费、电费、邮电费、差旅费、维修（护）费、培训费、公务接待费、劳务费、委托业务费、工会经费、福利费、公务用车运行维护费、其他交通费、其他商品和服务支出等。</w:t>
      </w:r>
    </w:p>
    <w:p>
      <w:pPr>
        <w:spacing w:line="600" w:lineRule="exact"/>
        <w:ind w:firstLine="640"/>
        <w:outlineLvl w:val="1"/>
        <w:rPr>
          <w:rStyle w:val="35"/>
          <w:rFonts w:hint="eastAsia" w:ascii="方正黑体_GBK" w:hAnsi="方正黑体_GBK" w:eastAsia="方正黑体_GBK" w:cs="方正黑体_GBK"/>
          <w:b w:val="0"/>
        </w:rPr>
      </w:pPr>
      <w:bookmarkStart w:id="24" w:name="_Toc15377215"/>
      <w:bookmarkStart w:id="25" w:name="_Toc15396609"/>
      <w:r>
        <w:rPr>
          <w:rFonts w:hint="eastAsia" w:ascii="方正黑体_GBK" w:hAnsi="方正黑体_GBK" w:eastAsia="方正黑体_GBK" w:cs="方正黑体_GBK"/>
          <w:sz w:val="32"/>
          <w:szCs w:val="32"/>
        </w:rPr>
        <w:t>七、</w:t>
      </w:r>
      <w:r>
        <w:rPr>
          <w:rStyle w:val="35"/>
          <w:rFonts w:hint="eastAsia" w:ascii="方正黑体_GBK" w:hAnsi="方正黑体_GBK" w:eastAsia="方正黑体_GBK" w:cs="方正黑体_GBK"/>
          <w:b w:val="0"/>
        </w:rPr>
        <w:t>财政拨款</w:t>
      </w:r>
      <w:r>
        <w:rPr>
          <w:rStyle w:val="35"/>
          <w:rFonts w:hint="eastAsia" w:ascii="方正黑体_GBK" w:hAnsi="方正黑体_GBK" w:eastAsia="方正黑体_GBK" w:cs="方正黑体_GBK"/>
        </w:rPr>
        <w:t>“</w:t>
      </w:r>
      <w:r>
        <w:rPr>
          <w:rStyle w:val="35"/>
          <w:rFonts w:hint="eastAsia" w:ascii="方正黑体_GBK" w:hAnsi="方正黑体_GBK" w:eastAsia="方正黑体_GBK" w:cs="方正黑体_GBK"/>
          <w:b w:val="0"/>
        </w:rPr>
        <w:t>三公”经费支出决算情况说明</w:t>
      </w:r>
      <w:bookmarkEnd w:id="24"/>
      <w:bookmarkEnd w:id="25"/>
    </w:p>
    <w:p>
      <w:pPr>
        <w:spacing w:line="600" w:lineRule="exact"/>
        <w:ind w:firstLine="643" w:firstLineChars="200"/>
        <w:outlineLvl w:val="2"/>
        <w:rPr>
          <w:rFonts w:eastAsia="楷体_GB2312" w:cs="楷体_GB2312"/>
          <w:b/>
          <w:sz w:val="32"/>
          <w:szCs w:val="32"/>
        </w:rPr>
      </w:pPr>
      <w:bookmarkStart w:id="26" w:name="_Toc15377216"/>
      <w:r>
        <w:rPr>
          <w:rFonts w:hint="eastAsia" w:ascii="方正楷体_GBK" w:hAnsi="方正楷体_GBK" w:eastAsia="方正楷体_GBK" w:cs="方正楷体_GBK"/>
          <w:b/>
          <w:sz w:val="32"/>
          <w:szCs w:val="32"/>
        </w:rPr>
        <w:t>（一）“三公”经费财政拨款支出决算总体情况说明</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s="仿宋_GB2312"/>
          <w:b/>
          <w:bCs/>
          <w:sz w:val="32"/>
          <w:szCs w:val="32"/>
        </w:rPr>
      </w:pPr>
      <w:r>
        <w:rPr>
          <w:rFonts w:hint="eastAsia" w:ascii="方正仿宋_GBK" w:hAnsi="方正仿宋_GBK" w:eastAsia="方正仿宋_GBK" w:cs="方正仿宋_GBK"/>
          <w:sz w:val="32"/>
          <w:szCs w:val="32"/>
        </w:rPr>
        <w:t>2024年度“三公”经费财政拨款支出决算为</w:t>
      </w:r>
      <w:r>
        <w:rPr>
          <w:rFonts w:hint="eastAsia" w:ascii="方正仿宋_GBK" w:hAnsi="方正仿宋_GBK" w:eastAsia="方正仿宋_GBK" w:cs="方正仿宋_GBK"/>
          <w:sz w:val="32"/>
          <w:szCs w:val="32"/>
          <w:lang w:val="en-US" w:eastAsia="zh-CN"/>
        </w:rPr>
        <w:t>4.65</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%，较上年度增加</w:t>
      </w:r>
      <w:r>
        <w:rPr>
          <w:rFonts w:hint="eastAsia" w:ascii="方正仿宋_GBK" w:hAnsi="方正仿宋_GBK" w:eastAsia="方正仿宋_GBK" w:cs="方正仿宋_GBK"/>
          <w:sz w:val="32"/>
          <w:szCs w:val="32"/>
          <w:lang w:val="en-US" w:eastAsia="zh-CN"/>
        </w:rPr>
        <w:t>0.16</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3.56</w:t>
      </w:r>
      <w:r>
        <w:rPr>
          <w:rFonts w:hint="eastAsia" w:ascii="方正仿宋_GBK" w:hAnsi="方正仿宋_GBK" w:eastAsia="方正仿宋_GBK" w:cs="方正仿宋_GBK"/>
          <w:sz w:val="32"/>
          <w:szCs w:val="32"/>
        </w:rPr>
        <w:t>%。决算数与预算数持平</w:t>
      </w:r>
      <w:r>
        <w:rPr>
          <w:rFonts w:hint="eastAsia" w:ascii="方正仿宋_GBK" w:hAnsi="方正仿宋_GBK" w:eastAsia="方正仿宋_GBK" w:cs="方正仿宋_GBK"/>
          <w:sz w:val="32"/>
          <w:szCs w:val="32"/>
          <w:lang w:eastAsia="zh-CN"/>
        </w:rPr>
        <w:t>。</w:t>
      </w:r>
    </w:p>
    <w:p>
      <w:pPr>
        <w:spacing w:line="600" w:lineRule="exact"/>
        <w:ind w:firstLine="643" w:firstLineChars="200"/>
        <w:outlineLvl w:val="2"/>
        <w:rPr>
          <w:rFonts w:eastAsia="楷体_GB2312" w:cs="楷体_GB2312"/>
          <w:b/>
          <w:sz w:val="32"/>
          <w:szCs w:val="32"/>
        </w:rPr>
      </w:pPr>
      <w:bookmarkStart w:id="27" w:name="_Toc15377217"/>
      <w:r>
        <w:rPr>
          <w:rFonts w:hint="eastAsia" w:ascii="方正楷体_GBK" w:hAnsi="方正楷体_GBK" w:eastAsia="方正楷体_GBK" w:cs="方正楷体_GBK"/>
          <w:b/>
          <w:sz w:val="32"/>
          <w:szCs w:val="32"/>
        </w:rPr>
        <w:t>（二）“三公”经费财政拨款支出决算具体情况说明</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rPr>
      </w:pPr>
      <w:r>
        <w:rPr>
          <w:rFonts w:hint="eastAsia" w:ascii="方正仿宋_GBK" w:hAnsi="方正仿宋_GBK" w:eastAsia="方正仿宋_GBK" w:cs="方正仿宋_GBK"/>
          <w:sz w:val="32"/>
          <w:szCs w:val="32"/>
        </w:rPr>
        <w:t>2024年度“三公”经费财政拨款支出决算中，因公出国（境）费支出决算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%；公务用车购置及运行维护费支出决算</w:t>
      </w:r>
      <w:r>
        <w:rPr>
          <w:rFonts w:hint="eastAsia" w:ascii="方正仿宋_GBK" w:hAnsi="方正仿宋_GBK" w:eastAsia="方正仿宋_GBK" w:cs="方正仿宋_GBK"/>
          <w:sz w:val="32"/>
          <w:szCs w:val="32"/>
          <w:lang w:val="en-US" w:eastAsia="zh-CN"/>
        </w:rPr>
        <w:t>4.5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96.77</w:t>
      </w:r>
      <w:r>
        <w:rPr>
          <w:rFonts w:hint="eastAsia" w:ascii="方正仿宋_GBK" w:hAnsi="方正仿宋_GBK" w:eastAsia="方正仿宋_GBK" w:cs="方正仿宋_GBK"/>
          <w:sz w:val="32"/>
          <w:szCs w:val="32"/>
        </w:rPr>
        <w:t>%；公务接待费支出决算</w:t>
      </w:r>
      <w:r>
        <w:rPr>
          <w:rFonts w:hint="eastAsia" w:ascii="方正仿宋_GBK" w:hAnsi="方正仿宋_GBK" w:eastAsia="方正仿宋_GBK" w:cs="方正仿宋_GBK"/>
          <w:sz w:val="32"/>
          <w:szCs w:val="32"/>
          <w:lang w:val="en-US" w:eastAsia="zh-CN"/>
        </w:rPr>
        <w:t>0.15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3.23</w:t>
      </w:r>
      <w:r>
        <w:rPr>
          <w:rFonts w:hint="eastAsia" w:ascii="方正仿宋_GBK" w:hAnsi="方正仿宋_GBK" w:eastAsia="方正仿宋_GBK" w:cs="方正仿宋_GBK"/>
          <w:sz w:val="32"/>
          <w:szCs w:val="32"/>
        </w:rPr>
        <w:t>%。具体情况如下：</w:t>
      </w:r>
    </w:p>
    <w:p>
      <w:pPr>
        <w:pStyle w:val="2"/>
        <w:jc w:val="center"/>
        <w:rPr>
          <w:rFonts w:hint="eastAsia" w:eastAsia="仿宋_GB2312"/>
          <w:lang w:eastAsia="zh-CN"/>
        </w:rPr>
      </w:pPr>
      <w:r>
        <w:rPr>
          <w:rFonts w:hint="eastAsia" w:eastAsia="仿宋_GB2312"/>
          <w:lang w:eastAsia="zh-CN"/>
        </w:rPr>
        <w:drawing>
          <wp:inline distT="0" distB="0" distL="114300" distR="114300">
            <wp:extent cx="2945765" cy="2005330"/>
            <wp:effectExtent l="4445" t="4445" r="2159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1.因公出国（境）经费支出</w:t>
      </w:r>
      <w:r>
        <w:rPr>
          <w:rFonts w:hint="eastAsia" w:ascii="方正仿宋_GBK" w:hAnsi="方正仿宋_GBK" w:eastAsia="方正仿宋_GBK" w:cs="方正仿宋_GBK"/>
          <w:b/>
          <w:bCs/>
          <w:sz w:val="32"/>
          <w:szCs w:val="32"/>
          <w:lang w:val="en-US" w:eastAsia="zh-CN"/>
        </w:rPr>
        <w:t>0</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全年安排因公出国（境）团组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次，出国（境）</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人。因公出国（境）支出决算比2023年增加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2.公务用车购置及运行维护费支出</w:t>
      </w:r>
      <w:r>
        <w:rPr>
          <w:rFonts w:hint="eastAsia" w:ascii="方正仿宋_GBK" w:hAnsi="方正仿宋_GBK" w:eastAsia="方正仿宋_GBK" w:cs="方正仿宋_GBK"/>
          <w:b/>
          <w:bCs/>
          <w:sz w:val="32"/>
          <w:szCs w:val="32"/>
          <w:lang w:val="en-US" w:eastAsia="zh-CN"/>
        </w:rPr>
        <w:t>4.5</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100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公务用车购置及运行维护费支出决算比2023年度增加</w:t>
      </w:r>
      <w:r>
        <w:rPr>
          <w:rFonts w:hint="eastAsia" w:ascii="方正仿宋_GBK" w:hAnsi="方正仿宋_GBK" w:eastAsia="方正仿宋_GBK" w:cs="方正仿宋_GBK"/>
          <w:sz w:val="32"/>
          <w:szCs w:val="32"/>
          <w:lang w:val="en-US" w:eastAsia="zh-CN"/>
        </w:rPr>
        <w:t>0.5</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11.24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机动车维修费用增多。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其中：公务用车购置支出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万元。全年按规定更新购置公务用车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辆，其中：轿车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万元，越野车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万元，载客汽车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万元。截至2024年12月31日，单位共有公务用车</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辆，其中：轿车1辆、越野车3辆、载客汽车0辆、其他车2辆。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公务用车运行维护费支出</w:t>
      </w:r>
      <w:r>
        <w:rPr>
          <w:rFonts w:hint="eastAsia" w:ascii="方正仿宋_GBK" w:hAnsi="方正仿宋_GBK" w:eastAsia="方正仿宋_GBK" w:cs="方正仿宋_GBK"/>
          <w:sz w:val="32"/>
          <w:szCs w:val="32"/>
          <w:lang w:val="en-US" w:eastAsia="zh-CN"/>
        </w:rPr>
        <w:t>4.5</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民政救助、</w:t>
      </w:r>
      <w:r>
        <w:rPr>
          <w:rFonts w:hint="eastAsia" w:ascii="方正仿宋_GBK" w:hAnsi="方正仿宋_GBK" w:eastAsia="方正仿宋_GBK" w:cs="方正仿宋_GBK"/>
          <w:sz w:val="32"/>
          <w:szCs w:val="32"/>
        </w:rPr>
        <w:t>困难群众入户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殡葬服务</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3.公务接待费支出</w:t>
      </w:r>
      <w:r>
        <w:rPr>
          <w:rFonts w:hint="eastAsia" w:ascii="方正仿宋_GBK" w:hAnsi="方正仿宋_GBK" w:eastAsia="方正仿宋_GBK" w:cs="方正仿宋_GBK"/>
          <w:b/>
          <w:bCs/>
          <w:sz w:val="32"/>
          <w:szCs w:val="32"/>
          <w:lang w:val="en-US" w:eastAsia="zh-CN"/>
        </w:rPr>
        <w:t>0.15</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100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公务接待费支出决算比2023年度增加</w:t>
      </w:r>
      <w:r>
        <w:rPr>
          <w:rFonts w:hint="eastAsia" w:ascii="方正仿宋_GBK" w:hAnsi="方正仿宋_GBK" w:eastAsia="方正仿宋_GBK" w:cs="方正仿宋_GBK"/>
          <w:sz w:val="32"/>
          <w:szCs w:val="32"/>
          <w:lang w:val="en-US" w:eastAsia="zh-CN"/>
        </w:rPr>
        <w:t>0.11</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2.75</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接待四川省广播电视台关于《地名天府》专题节目拍摄工作</w:t>
      </w:r>
      <w:r>
        <w:rPr>
          <w:rFonts w:hint="eastAsia" w:ascii="方正仿宋_GBK" w:hAnsi="方正仿宋_GBK" w:eastAsia="方正仿宋_GBK" w:cs="方正仿宋_GBK"/>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国内公务接待支出</w:t>
      </w:r>
      <w:r>
        <w:rPr>
          <w:rFonts w:hint="eastAsia" w:ascii="方正仿宋_GBK" w:hAnsi="方正仿宋_GBK" w:eastAsia="方正仿宋_GBK" w:cs="方正仿宋_GBK"/>
          <w:sz w:val="32"/>
          <w:szCs w:val="32"/>
          <w:lang w:val="en-US" w:eastAsia="zh-CN"/>
        </w:rPr>
        <w:t>0.15</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接待四川省广播电视台关于《地名天府》专题节目拍摄工作</w:t>
      </w:r>
      <w:r>
        <w:rPr>
          <w:rFonts w:hint="eastAsia" w:ascii="方正仿宋_GBK" w:hAnsi="方正仿宋_GBK" w:eastAsia="方正仿宋_GBK" w:cs="方正仿宋_GBK"/>
          <w:sz w:val="32"/>
          <w:szCs w:val="32"/>
        </w:rPr>
        <w:t>。国内公务接待</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批次，</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人次，共计支出</w:t>
      </w:r>
      <w:r>
        <w:rPr>
          <w:rFonts w:hint="eastAsia" w:ascii="方正仿宋_GBK" w:hAnsi="方正仿宋_GBK" w:eastAsia="方正仿宋_GBK" w:cs="方正仿宋_GBK"/>
          <w:sz w:val="32"/>
          <w:szCs w:val="32"/>
          <w:lang w:val="en-US" w:eastAsia="zh-CN"/>
        </w:rPr>
        <w:t>0.15万</w:t>
      </w:r>
      <w:r>
        <w:rPr>
          <w:rFonts w:hint="eastAsia" w:ascii="方正仿宋_GBK" w:hAnsi="方正仿宋_GBK" w:eastAsia="方正仿宋_GBK" w:cs="方正仿宋_GBK"/>
          <w:sz w:val="32"/>
          <w:szCs w:val="32"/>
        </w:rPr>
        <w:t>元，具体内容包括：</w:t>
      </w:r>
      <w:r>
        <w:rPr>
          <w:rFonts w:hint="eastAsia" w:ascii="方正仿宋_GBK" w:hAnsi="方正仿宋_GBK" w:eastAsia="方正仿宋_GBK" w:cs="方正仿宋_GBK"/>
          <w:sz w:val="32"/>
          <w:szCs w:val="32"/>
          <w:lang w:val="en-US" w:eastAsia="zh-CN"/>
        </w:rPr>
        <w:t>14人次公务用餐支出0.08万元，8人次住宿费用0.04万元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外事接待支出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pacing w:line="600" w:lineRule="exact"/>
        <w:ind w:firstLine="640" w:firstLineChars="200"/>
        <w:outlineLvl w:val="1"/>
        <w:rPr>
          <w:rStyle w:val="35"/>
          <w:rFonts w:hint="eastAsia" w:ascii="方正黑体_GBK" w:hAnsi="方正黑体_GBK" w:eastAsia="方正黑体_GBK" w:cs="方正黑体_GBK"/>
        </w:rPr>
      </w:pPr>
      <w:bookmarkStart w:id="28" w:name="_Toc15377218"/>
      <w:bookmarkStart w:id="29" w:name="_Toc15396610"/>
      <w:r>
        <w:rPr>
          <w:rFonts w:hint="eastAsia" w:ascii="方正黑体_GBK" w:hAnsi="方正黑体_GBK" w:eastAsia="方正黑体_GBK" w:cs="方正黑体_GBK"/>
          <w:sz w:val="32"/>
          <w:szCs w:val="32"/>
        </w:rPr>
        <w:t>八、</w:t>
      </w:r>
      <w:r>
        <w:rPr>
          <w:rStyle w:val="35"/>
          <w:rFonts w:hint="eastAsia" w:ascii="方正黑体_GBK" w:hAnsi="方正黑体_GBK" w:eastAsia="方正黑体_GBK" w:cs="方正黑体_GBK"/>
          <w:b w:val="0"/>
        </w:rPr>
        <w:t>政府性基金预算支出决算情况说明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rPr>
        <w:t>2024年度政府性基金预算财政拨款支出</w:t>
      </w:r>
      <w:r>
        <w:rPr>
          <w:rFonts w:hint="eastAsia" w:ascii="方正仿宋_GBK" w:hAnsi="方正仿宋_GBK" w:eastAsia="方正仿宋_GBK" w:cs="方正仿宋_GBK"/>
          <w:sz w:val="32"/>
          <w:szCs w:val="32"/>
          <w:lang w:val="en-US" w:eastAsia="zh-CN"/>
        </w:rPr>
        <w:t>309.3</w:t>
      </w:r>
      <w:r>
        <w:rPr>
          <w:rFonts w:hint="eastAsia" w:ascii="方正仿宋_GBK" w:hAnsi="方正仿宋_GBK" w:eastAsia="方正仿宋_GBK" w:cs="方正仿宋_GBK"/>
          <w:sz w:val="32"/>
          <w:szCs w:val="32"/>
        </w:rPr>
        <w:t>万元，占本年支出合计的</w:t>
      </w:r>
      <w:r>
        <w:rPr>
          <w:rFonts w:hint="eastAsia" w:ascii="方正仿宋_GBK" w:hAnsi="方正仿宋_GBK" w:eastAsia="方正仿宋_GBK" w:cs="方正仿宋_GBK"/>
          <w:sz w:val="32"/>
          <w:szCs w:val="32"/>
          <w:lang w:val="en-US" w:eastAsia="zh-CN"/>
        </w:rPr>
        <w:t>3.08</w:t>
      </w:r>
      <w:r>
        <w:rPr>
          <w:rFonts w:hint="eastAsia" w:ascii="方正仿宋_GBK" w:hAnsi="方正仿宋_GBK" w:eastAsia="方正仿宋_GBK" w:cs="方正仿宋_GBK"/>
          <w:sz w:val="32"/>
          <w:szCs w:val="32"/>
        </w:rPr>
        <w:t>%。与2023年度相比，政府性基金预算财政拨款支出减少</w:t>
      </w:r>
      <w:r>
        <w:rPr>
          <w:rFonts w:hint="eastAsia" w:ascii="方正仿宋_GBK" w:hAnsi="方正仿宋_GBK" w:eastAsia="方正仿宋_GBK" w:cs="方正仿宋_GBK"/>
          <w:sz w:val="32"/>
          <w:szCs w:val="32"/>
          <w:lang w:val="en-US" w:eastAsia="zh-CN"/>
        </w:rPr>
        <w:t>292.07</w:t>
      </w:r>
      <w:r>
        <w:rPr>
          <w:rFonts w:hint="eastAsia" w:ascii="方正仿宋_GBK" w:hAnsi="方正仿宋_GBK" w:eastAsia="方正仿宋_GBK" w:cs="方正仿宋_GBK"/>
          <w:sz w:val="32"/>
          <w:szCs w:val="32"/>
        </w:rPr>
        <w:t>万元，下降</w:t>
      </w:r>
      <w:r>
        <w:rPr>
          <w:rFonts w:hint="eastAsia" w:ascii="方正仿宋_GBK" w:hAnsi="方正仿宋_GBK" w:eastAsia="方正仿宋_GBK" w:cs="方正仿宋_GBK"/>
          <w:sz w:val="32"/>
          <w:szCs w:val="32"/>
          <w:lang w:val="en-US" w:eastAsia="zh-CN"/>
        </w:rPr>
        <w:t>48.57</w:t>
      </w:r>
      <w:r>
        <w:rPr>
          <w:rFonts w:hint="eastAsia" w:ascii="方正仿宋_GBK" w:hAnsi="方正仿宋_GBK" w:eastAsia="方正仿宋_GBK" w:cs="方正仿宋_GBK"/>
          <w:sz w:val="32"/>
          <w:szCs w:val="32"/>
        </w:rPr>
        <w:t>%。主要变动原因是</w:t>
      </w:r>
      <w:r>
        <w:rPr>
          <w:rFonts w:hint="eastAsia" w:ascii="方正仿宋_GBK" w:hAnsi="方正仿宋_GBK" w:eastAsia="方正仿宋_GBK" w:cs="方正仿宋_GBK"/>
          <w:sz w:val="32"/>
          <w:szCs w:val="32"/>
          <w:lang w:val="en-US" w:eastAsia="zh-CN"/>
        </w:rPr>
        <w:t>福彩公益金项目支出减少。</w:t>
      </w:r>
    </w:p>
    <w:p>
      <w:pPr>
        <w:spacing w:line="600" w:lineRule="exact"/>
        <w:ind w:firstLine="640" w:firstLineChars="200"/>
        <w:outlineLvl w:val="1"/>
        <w:rPr>
          <w:rStyle w:val="35"/>
          <w:rFonts w:ascii="Times New Roman" w:hAnsi="Times New Roman" w:eastAsia="黑体"/>
          <w:b w:val="0"/>
        </w:rPr>
      </w:pPr>
      <w:bookmarkStart w:id="30" w:name="_Toc15396611"/>
      <w:bookmarkStart w:id="31" w:name="_Toc15377219"/>
      <w:r>
        <w:rPr>
          <w:rStyle w:val="35"/>
          <w:rFonts w:hint="eastAsia" w:ascii="方正黑体_GBK" w:hAnsi="方正黑体_GBK" w:eastAsia="方正黑体_GBK" w:cs="方正黑体_GBK"/>
          <w:b w:val="0"/>
        </w:rPr>
        <w:t>九、国有资本经营预算支出决算情况说明</w:t>
      </w:r>
      <w:bookmarkEnd w:id="30"/>
      <w:bookmarkEnd w:id="31"/>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2024年度国有资本经营预算财政拨款支出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spacing w:line="600" w:lineRule="exact"/>
        <w:ind w:left="630"/>
        <w:outlineLvl w:val="1"/>
        <w:rPr>
          <w:rStyle w:val="35"/>
          <w:rFonts w:hint="eastAsia" w:ascii="方正黑体_GBK" w:hAnsi="方正黑体_GBK" w:eastAsia="方正黑体_GBK" w:cs="方正黑体_GBK"/>
          <w:b w:val="0"/>
        </w:rPr>
      </w:pPr>
      <w:bookmarkStart w:id="32" w:name="_Toc15377221"/>
      <w:bookmarkStart w:id="33" w:name="_Toc15396612"/>
      <w:r>
        <w:rPr>
          <w:rStyle w:val="35"/>
          <w:rFonts w:hint="eastAsia" w:ascii="方正黑体_GBK" w:hAnsi="方正黑体_GBK" w:eastAsia="方正黑体_GBK" w:cs="方正黑体_GBK"/>
          <w:b w:val="0"/>
        </w:rPr>
        <w:t>十、其他重要事项的情况说明</w:t>
      </w:r>
      <w:bookmarkEnd w:id="32"/>
      <w:bookmarkEnd w:id="33"/>
    </w:p>
    <w:p>
      <w:pPr>
        <w:spacing w:line="600" w:lineRule="exact"/>
        <w:ind w:firstLine="643" w:firstLineChars="200"/>
        <w:outlineLvl w:val="2"/>
        <w:rPr>
          <w:rFonts w:hint="eastAsia" w:ascii="方正楷体_GBK" w:hAnsi="方正楷体_GBK" w:eastAsia="方正楷体_GBK" w:cs="方正楷体_GBK"/>
          <w:b/>
          <w:sz w:val="32"/>
          <w:szCs w:val="32"/>
        </w:rPr>
      </w:pPr>
      <w:bookmarkStart w:id="34" w:name="_Toc15377222"/>
      <w:r>
        <w:rPr>
          <w:rFonts w:hint="eastAsia" w:ascii="方正楷体_GBK" w:hAnsi="方正楷体_GBK" w:eastAsia="方正楷体_GBK" w:cs="方正楷体_GBK"/>
          <w:b/>
          <w:sz w:val="32"/>
          <w:szCs w:val="32"/>
        </w:rPr>
        <w:t>（一）机关运行经费支出情况</w:t>
      </w:r>
      <w:bookmarkEnd w:id="34"/>
    </w:p>
    <w:p>
      <w:pPr>
        <w:spacing w:line="60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运行经费支出</w:t>
      </w:r>
      <w:r>
        <w:rPr>
          <w:rFonts w:hint="eastAsia" w:ascii="方正仿宋_GBK" w:hAnsi="方正仿宋_GBK" w:eastAsia="方正仿宋_GBK" w:cs="方正仿宋_GBK"/>
          <w:sz w:val="32"/>
          <w:szCs w:val="32"/>
          <w:lang w:val="en-US" w:eastAsia="zh-CN"/>
        </w:rPr>
        <w:t>53.96</w:t>
      </w:r>
      <w:r>
        <w:rPr>
          <w:rFonts w:hint="eastAsia" w:ascii="方正仿宋_GBK" w:hAnsi="方正仿宋_GBK" w:eastAsia="方正仿宋_GBK" w:cs="方正仿宋_GBK"/>
          <w:sz w:val="32"/>
          <w:szCs w:val="32"/>
        </w:rPr>
        <w:t>万元，比2023年度减少</w:t>
      </w:r>
      <w:r>
        <w:rPr>
          <w:rFonts w:hint="eastAsia" w:ascii="方正仿宋_GBK" w:hAnsi="方正仿宋_GBK" w:eastAsia="方正仿宋_GBK" w:cs="方正仿宋_GBK"/>
          <w:sz w:val="32"/>
          <w:szCs w:val="32"/>
          <w:lang w:val="en-US" w:eastAsia="zh-CN"/>
        </w:rPr>
        <w:t>17.37</w:t>
      </w:r>
      <w:r>
        <w:rPr>
          <w:rFonts w:hint="eastAsia" w:ascii="方正仿宋_GBK" w:hAnsi="方正仿宋_GBK" w:eastAsia="方正仿宋_GBK" w:cs="方正仿宋_GBK"/>
          <w:sz w:val="32"/>
          <w:szCs w:val="32"/>
        </w:rPr>
        <w:t>万元，下降</w:t>
      </w:r>
      <w:r>
        <w:rPr>
          <w:rFonts w:hint="eastAsia" w:ascii="方正仿宋_GBK" w:hAnsi="方正仿宋_GBK" w:eastAsia="方正仿宋_GBK" w:cs="方正仿宋_GBK"/>
          <w:sz w:val="32"/>
          <w:szCs w:val="32"/>
          <w:lang w:val="en-US" w:eastAsia="zh-CN"/>
        </w:rPr>
        <w:t>34.35</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人员减少，节约压缩办公支出。</w:t>
      </w:r>
    </w:p>
    <w:p>
      <w:pPr>
        <w:spacing w:line="600" w:lineRule="exact"/>
        <w:ind w:firstLine="643" w:firstLineChars="200"/>
        <w:outlineLvl w:val="2"/>
        <w:rPr>
          <w:rFonts w:hint="eastAsia" w:ascii="方正楷体_GBK" w:hAnsi="方正楷体_GBK" w:eastAsia="方正楷体_GBK" w:cs="方正楷体_GBK"/>
          <w:b/>
          <w:sz w:val="32"/>
          <w:szCs w:val="32"/>
        </w:rPr>
      </w:pPr>
      <w:bookmarkStart w:id="35" w:name="_Toc15377223"/>
      <w:r>
        <w:rPr>
          <w:rFonts w:hint="eastAsia" w:ascii="方正楷体_GBK" w:hAnsi="方正楷体_GBK" w:eastAsia="方正楷体_GBK" w:cs="方正楷体_GBK"/>
          <w:b/>
          <w:sz w:val="32"/>
          <w:szCs w:val="32"/>
        </w:rPr>
        <w:t>（二）政府采购支出情况</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政府采购支出总额</w:t>
      </w:r>
      <w:r>
        <w:rPr>
          <w:rFonts w:hint="eastAsia" w:ascii="方正仿宋_GBK" w:hAnsi="方正仿宋_GBK" w:eastAsia="方正仿宋_GBK" w:cs="方正仿宋_GBK"/>
          <w:sz w:val="32"/>
          <w:szCs w:val="32"/>
          <w:lang w:val="en-US" w:eastAsia="zh-CN"/>
        </w:rPr>
        <w:t>241.48</w:t>
      </w:r>
      <w:r>
        <w:rPr>
          <w:rFonts w:hint="eastAsia" w:ascii="方正仿宋_GBK" w:hAnsi="方正仿宋_GBK" w:eastAsia="方正仿宋_GBK" w:cs="方正仿宋_GBK"/>
          <w:sz w:val="32"/>
          <w:szCs w:val="32"/>
        </w:rPr>
        <w:t>万元，其中：政府采购货物支出</w:t>
      </w:r>
      <w:r>
        <w:rPr>
          <w:rFonts w:hint="eastAsia" w:ascii="方正仿宋_GBK" w:hAnsi="方正仿宋_GBK" w:eastAsia="方正仿宋_GBK" w:cs="方正仿宋_GBK"/>
          <w:sz w:val="32"/>
          <w:szCs w:val="32"/>
          <w:lang w:val="en-US" w:eastAsia="zh-CN"/>
        </w:rPr>
        <w:t>108.38</w:t>
      </w:r>
      <w:r>
        <w:rPr>
          <w:rFonts w:hint="eastAsia" w:ascii="方正仿宋_GBK" w:hAnsi="方正仿宋_GBK" w:eastAsia="方正仿宋_GBK" w:cs="方正仿宋_GBK"/>
          <w:sz w:val="32"/>
          <w:szCs w:val="32"/>
        </w:rPr>
        <w:t>万元、政府采购工程支出</w:t>
      </w:r>
      <w:r>
        <w:rPr>
          <w:rFonts w:hint="eastAsia" w:ascii="方正仿宋_GBK" w:hAnsi="方正仿宋_GBK" w:eastAsia="方正仿宋_GBK" w:cs="方正仿宋_GBK"/>
          <w:sz w:val="32"/>
          <w:szCs w:val="32"/>
          <w:lang w:val="en-US" w:eastAsia="zh-CN"/>
        </w:rPr>
        <w:t>114.21</w:t>
      </w:r>
      <w:r>
        <w:rPr>
          <w:rFonts w:hint="eastAsia" w:ascii="方正仿宋_GBK" w:hAnsi="方正仿宋_GBK" w:eastAsia="方正仿宋_GBK" w:cs="方正仿宋_GBK"/>
          <w:sz w:val="32"/>
          <w:szCs w:val="32"/>
        </w:rPr>
        <w:t>万元、政府采购服务支出</w:t>
      </w:r>
      <w:r>
        <w:rPr>
          <w:rFonts w:hint="eastAsia" w:ascii="方正仿宋_GBK" w:hAnsi="方正仿宋_GBK" w:eastAsia="方正仿宋_GBK" w:cs="方正仿宋_GBK"/>
          <w:sz w:val="32"/>
          <w:szCs w:val="32"/>
          <w:lang w:val="en-US" w:eastAsia="zh-CN"/>
        </w:rPr>
        <w:t>18.89</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敬老院护理能力提升改造及物资采购等</w:t>
      </w:r>
      <w:r>
        <w:rPr>
          <w:rFonts w:hint="eastAsia" w:ascii="方正仿宋_GBK" w:hAnsi="方正仿宋_GBK" w:eastAsia="方正仿宋_GBK" w:cs="方正仿宋_GBK"/>
          <w:sz w:val="32"/>
          <w:szCs w:val="32"/>
        </w:rPr>
        <w:t>。授予中小企业合同金额</w:t>
      </w:r>
      <w:r>
        <w:rPr>
          <w:rFonts w:hint="eastAsia" w:ascii="方正仿宋_GBK" w:hAnsi="方正仿宋_GBK" w:eastAsia="方正仿宋_GBK" w:cs="方正仿宋_GBK"/>
          <w:sz w:val="32"/>
          <w:szCs w:val="32"/>
          <w:lang w:val="en-US" w:eastAsia="zh-CN"/>
        </w:rPr>
        <w:t>223.67</w:t>
      </w:r>
      <w:r>
        <w:rPr>
          <w:rFonts w:hint="eastAsia" w:ascii="方正仿宋_GBK" w:hAnsi="方正仿宋_GBK" w:eastAsia="方正仿宋_GBK" w:cs="方正仿宋_GBK"/>
          <w:sz w:val="32"/>
          <w:szCs w:val="32"/>
        </w:rPr>
        <w:t>万元，占政府采购支出总额的</w:t>
      </w:r>
      <w:r>
        <w:rPr>
          <w:rFonts w:hint="eastAsia" w:ascii="方正仿宋_GBK" w:hAnsi="方正仿宋_GBK" w:eastAsia="方正仿宋_GBK" w:cs="方正仿宋_GBK"/>
          <w:sz w:val="32"/>
          <w:szCs w:val="32"/>
          <w:lang w:val="en-US" w:eastAsia="zh-CN"/>
        </w:rPr>
        <w:t>92.62</w:t>
      </w:r>
      <w:r>
        <w:rPr>
          <w:rFonts w:hint="eastAsia" w:ascii="方正仿宋_GBK" w:hAnsi="方正仿宋_GBK" w:eastAsia="方正仿宋_GBK" w:cs="方正仿宋_GBK"/>
          <w:sz w:val="32"/>
          <w:szCs w:val="32"/>
        </w:rPr>
        <w:t>%，其中：授予小微企业合同金额</w:t>
      </w:r>
      <w:r>
        <w:rPr>
          <w:rFonts w:hint="eastAsia" w:ascii="方正仿宋_GBK" w:hAnsi="方正仿宋_GBK" w:eastAsia="方正仿宋_GBK" w:cs="方正仿宋_GBK"/>
          <w:sz w:val="32"/>
          <w:szCs w:val="32"/>
          <w:lang w:val="en-US" w:eastAsia="zh-CN"/>
        </w:rPr>
        <w:t>43.37</w:t>
      </w:r>
      <w:r>
        <w:rPr>
          <w:rFonts w:hint="eastAsia" w:ascii="方正仿宋_GBK" w:hAnsi="方正仿宋_GBK" w:eastAsia="方正仿宋_GBK" w:cs="方正仿宋_GBK"/>
          <w:sz w:val="32"/>
          <w:szCs w:val="32"/>
        </w:rPr>
        <w:t>万元，占政府采购支出总额的</w:t>
      </w:r>
      <w:r>
        <w:rPr>
          <w:rFonts w:hint="eastAsia" w:ascii="方正仿宋_GBK" w:hAnsi="方正仿宋_GBK" w:eastAsia="方正仿宋_GBK" w:cs="方正仿宋_GBK"/>
          <w:sz w:val="32"/>
          <w:szCs w:val="32"/>
          <w:lang w:val="en-US" w:eastAsia="zh-CN"/>
        </w:rPr>
        <w:t>17.96</w:t>
      </w:r>
      <w:r>
        <w:rPr>
          <w:rFonts w:hint="eastAsia" w:ascii="方正仿宋_GBK" w:hAnsi="方正仿宋_GBK" w:eastAsia="方正仿宋_GBK" w:cs="方正仿宋_GBK"/>
          <w:sz w:val="32"/>
          <w:szCs w:val="32"/>
        </w:rPr>
        <w:t>%。</w:t>
      </w:r>
    </w:p>
    <w:p>
      <w:pPr>
        <w:spacing w:line="600" w:lineRule="exact"/>
        <w:ind w:firstLine="321" w:firstLineChars="100"/>
        <w:outlineLvl w:val="2"/>
        <w:rPr>
          <w:rFonts w:hint="eastAsia" w:ascii="方正楷体_GBK" w:hAnsi="方正楷体_GBK" w:eastAsia="方正楷体_GBK" w:cs="方正楷体_GBK"/>
          <w:b/>
          <w:sz w:val="32"/>
          <w:szCs w:val="32"/>
        </w:rPr>
      </w:pPr>
      <w:bookmarkStart w:id="36" w:name="_Toc15377224"/>
      <w:r>
        <w:rPr>
          <w:rFonts w:hint="eastAsia" w:ascii="方正楷体_GBK" w:hAnsi="方正楷体_GBK" w:eastAsia="方正楷体_GBK" w:cs="方正楷体_GBK"/>
          <w:b/>
          <w:sz w:val="32"/>
          <w:szCs w:val="32"/>
        </w:rPr>
        <w:t>（三）国有资产占有使用情况</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s="仿宋_GB2312"/>
          <w:sz w:val="32"/>
          <w:szCs w:val="32"/>
        </w:rPr>
      </w:pPr>
      <w:r>
        <w:rPr>
          <w:rFonts w:hint="eastAsia" w:ascii="方正仿宋_GBK" w:hAnsi="方正仿宋_GBK" w:eastAsia="方正仿宋_GBK" w:cs="方正仿宋_GBK"/>
          <w:sz w:val="32"/>
          <w:szCs w:val="32"/>
        </w:rPr>
        <w:t>截至2024年12月31日，</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共有车辆</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辆，其中：主要负责人用车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辆、机要通信用车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辆、应急保障用车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辆、其他用车</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辆，其他用车主要是用于</w:t>
      </w:r>
      <w:r>
        <w:rPr>
          <w:rFonts w:hint="eastAsia" w:ascii="方正仿宋_GBK" w:hAnsi="方正仿宋_GBK" w:eastAsia="方正仿宋_GBK" w:cs="方正仿宋_GBK"/>
          <w:sz w:val="32"/>
          <w:szCs w:val="32"/>
          <w:lang w:val="en-US" w:eastAsia="zh-CN"/>
        </w:rPr>
        <w:t>民政救助、困难群众入户、殡葬服务等工作</w:t>
      </w:r>
      <w:r>
        <w:rPr>
          <w:rFonts w:hint="eastAsia" w:ascii="方正仿宋_GBK" w:hAnsi="方正仿宋_GBK" w:eastAsia="方正仿宋_GBK" w:cs="方正仿宋_GBK"/>
          <w:sz w:val="32"/>
          <w:szCs w:val="32"/>
        </w:rPr>
        <w:t>。单价100万元（含）以上设备（不含车辆）</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台（套）。</w:t>
      </w:r>
    </w:p>
    <w:p>
      <w:pPr>
        <w:spacing w:line="600" w:lineRule="exact"/>
        <w:ind w:firstLine="643"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val="en-US" w:eastAsia="zh-CN"/>
        </w:rPr>
        <w:t>本部门</w:t>
      </w:r>
      <w:r>
        <w:rPr>
          <w:rFonts w:hint="eastAsia" w:ascii="方正仿宋_GBK" w:hAnsi="方正仿宋_GBK" w:eastAsia="方正仿宋_GBK" w:cs="方正仿宋_GBK"/>
          <w:sz w:val="32"/>
          <w:szCs w:val="32"/>
        </w:rPr>
        <w:t>在2024年度预算编制阶段，组织对</w:t>
      </w:r>
      <w:r>
        <w:rPr>
          <w:rFonts w:hint="eastAsia" w:ascii="方正仿宋_GBK" w:hAnsi="方正仿宋_GBK" w:eastAsia="方正仿宋_GBK" w:cs="方正仿宋_GBK"/>
          <w:sz w:val="32"/>
          <w:szCs w:val="32"/>
          <w:lang w:val="en-US" w:eastAsia="zh-CN"/>
        </w:rPr>
        <w:t>困难群众救助补助资金项目</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个项目开展了预算事前绩效评估，对</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个项目编制了绩效目标，预算执行过程中，选取</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组织对2024年度一般公共预算、政府性基金预算、国有资本经营预算、社会保险基金预算以及资本资产、债券资金等全面开展绩效自评，形成</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部门整体绩效自评报告、</w:t>
      </w:r>
      <w:r>
        <w:rPr>
          <w:rFonts w:hint="eastAsia" w:ascii="方正仿宋_GBK" w:hAnsi="方正仿宋_GBK" w:eastAsia="方正仿宋_GBK" w:cs="方正仿宋_GBK"/>
          <w:sz w:val="32"/>
          <w:szCs w:val="32"/>
          <w:lang w:val="en-US" w:eastAsia="zh-CN"/>
        </w:rPr>
        <w:t>困难群众救助补助资金项目</w:t>
      </w:r>
      <w:r>
        <w:rPr>
          <w:rFonts w:hint="eastAsia" w:ascii="方正仿宋_GBK" w:hAnsi="方正仿宋_GBK" w:eastAsia="方正仿宋_GBK" w:cs="方正仿宋_GBK"/>
          <w:sz w:val="32"/>
          <w:szCs w:val="32"/>
        </w:rPr>
        <w:t>等专项预算项目绩效自评报告，其中，盐边县民政局部门整体（含部门预算项目）绩效自评得分为99分，绩效自评综述：规范高效实施各类民政救助政策，使低收入群体基本生活得到有效保障；困难群众救助补助资金专项预算项目绩效自评得分为99分，绩效自评综述：规范困难群众救助政策实施，合理确定保障标准，使困难群众基本生活得到有效保障；社会救济救助补助资金专项预算项目绩效自评得分为99分，绩效自评综述：解决残疾人生活困难和长期</w:t>
      </w:r>
      <w:r>
        <w:rPr>
          <w:rFonts w:hint="eastAsia" w:ascii="方正仿宋_GBK" w:hAnsi="方正仿宋_GBK" w:eastAsia="方正仿宋_GBK" w:cs="方正仿宋_GBK"/>
          <w:sz w:val="32"/>
          <w:szCs w:val="32"/>
          <w:lang w:val="en-US" w:eastAsia="zh-CN"/>
        </w:rPr>
        <w:t>照护</w:t>
      </w:r>
      <w:r>
        <w:rPr>
          <w:rFonts w:hint="eastAsia" w:ascii="方正仿宋_GBK" w:hAnsi="方正仿宋_GBK" w:eastAsia="方正仿宋_GBK" w:cs="方正仿宋_GBK"/>
          <w:sz w:val="32"/>
          <w:szCs w:val="32"/>
        </w:rPr>
        <w:t>困难</w:t>
      </w:r>
      <w:r>
        <w:rPr>
          <w:rFonts w:hint="eastAsia" w:ascii="方正仿宋_GBK" w:hAnsi="方正仿宋_GBK" w:eastAsia="方正仿宋_GBK" w:cs="方正仿宋_GBK"/>
          <w:sz w:val="32"/>
          <w:szCs w:val="32"/>
          <w:lang w:val="en-US" w:eastAsia="zh-CN"/>
        </w:rPr>
        <w:t>问题</w:t>
      </w:r>
      <w:r>
        <w:rPr>
          <w:rFonts w:hint="eastAsia" w:ascii="方正仿宋_GBK" w:hAnsi="方正仿宋_GBK" w:eastAsia="方正仿宋_GBK" w:cs="方正仿宋_GBK"/>
          <w:sz w:val="32"/>
          <w:szCs w:val="32"/>
        </w:rPr>
        <w:t>，保障残疾</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权益；养老服务业发展补助资金专项预算项目绩效自评得分为95分，绩效自评综述：积极支出构建以居家为基础，社区为依托，机构为补充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医养结合的社会养老服务体系；民政事业发展补助资金专项预算项目绩效自评得分为98分，绩效自评综述：支持提升城乡社区综合服务能力，完善县域三级社工服务体系，开展专业化社会工作服务，提升群众获得感幸福感；中央福彩公益金专项预算项目绩效自评得分为97分，绩效自评综述：提档升级农村公办养老机构床位护理能力，促进精神障碍社区康复服务发展，开展“福彩助学 孤儿助学”。</w:t>
      </w:r>
    </w:p>
    <w:p>
      <w:pPr>
        <w:spacing w:line="600" w:lineRule="exact"/>
        <w:ind w:firstLine="640"/>
        <w:rPr>
          <w:rFonts w:eastAsia="仿宋_GB2312" w:cs="仿宋_GB2312"/>
          <w:sz w:val="32"/>
          <w:szCs w:val="32"/>
        </w:rPr>
      </w:pPr>
    </w:p>
    <w:p>
      <w:pPr>
        <w:pStyle w:val="18"/>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spacing w:line="600" w:lineRule="exact"/>
        <w:jc w:val="center"/>
        <w:outlineLvl w:val="0"/>
        <w:rPr>
          <w:rFonts w:hint="eastAsia" w:ascii="方正小标宋_GBK" w:hAnsi="方正小标宋_GBK" w:eastAsia="方正小标宋_GBK" w:cs="方正小标宋_GBK"/>
          <w:b/>
          <w:sz w:val="44"/>
          <w:szCs w:val="44"/>
        </w:rPr>
      </w:pPr>
      <w:bookmarkStart w:id="37" w:name="_Toc15377225"/>
      <w:bookmarkStart w:id="38" w:name="_Toc15396613"/>
      <w:r>
        <w:rPr>
          <w:rFonts w:hint="eastAsia" w:ascii="方正小标宋_GBK" w:hAnsi="方正小标宋_GBK" w:eastAsia="方正小标宋_GBK" w:cs="方正小标宋_GBK"/>
          <w:b/>
          <w:bCs/>
          <w:sz w:val="44"/>
          <w:szCs w:val="44"/>
        </w:rPr>
        <w:t>第三部分  名词解释</w:t>
      </w:r>
      <w:bookmarkEnd w:id="37"/>
      <w:bookmarkEnd w:id="38"/>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1.财政拨款收入：</w:t>
      </w:r>
      <w:r>
        <w:rPr>
          <w:rFonts w:hint="eastAsia" w:ascii="方正仿宋_GBK" w:hAnsi="方正仿宋_GBK" w:eastAsia="方正仿宋_GBK" w:cs="方正仿宋_GBK"/>
          <w:sz w:val="32"/>
          <w:szCs w:val="32"/>
        </w:rPr>
        <w:t>指单位从同级财政部门取得的财政预算资金。</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2.事业收入：</w:t>
      </w:r>
      <w:r>
        <w:rPr>
          <w:rFonts w:hint="eastAsia" w:ascii="方正仿宋_GBK" w:hAnsi="方正仿宋_GBK" w:eastAsia="方正仿宋_GBK" w:cs="方正仿宋_GBK"/>
          <w:sz w:val="32"/>
          <w:szCs w:val="32"/>
        </w:rPr>
        <w:t>指事业单位开展专业业务活动及辅助活动取得的收入。</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其他收入：</w:t>
      </w:r>
      <w:r>
        <w:rPr>
          <w:rFonts w:hint="eastAsia" w:ascii="方正仿宋_GBK" w:hAnsi="方正仿宋_GBK" w:eastAsia="方正仿宋_GBK" w:cs="方正仿宋_GBK"/>
          <w:sz w:val="32"/>
          <w:szCs w:val="32"/>
        </w:rPr>
        <w:t>指单位取得的除上述收入以外的各项收入。</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4.年初结转和结余：</w:t>
      </w:r>
      <w:r>
        <w:rPr>
          <w:rFonts w:hint="eastAsia" w:ascii="方正仿宋_GBK" w:hAnsi="方正仿宋_GBK" w:eastAsia="方正仿宋_GBK" w:cs="方正仿宋_GBK"/>
          <w:sz w:val="32"/>
          <w:szCs w:val="32"/>
        </w:rPr>
        <w:t>指以前年度尚未完成、结转到本年按有关规定继续使用的资金。</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5.年末结转和结余</w:t>
      </w:r>
      <w:r>
        <w:rPr>
          <w:rFonts w:hint="eastAsia" w:ascii="方正仿宋_GBK" w:hAnsi="方正仿宋_GBK" w:eastAsia="方正仿宋_GBK" w:cs="方正仿宋_GBK"/>
          <w:sz w:val="32"/>
          <w:szCs w:val="32"/>
        </w:rPr>
        <w:t>：指单位按有关规定结转到下年或以后年度继续使用的资金。</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Style w:val="23"/>
          <w:rFonts w:hint="eastAsia" w:ascii="方正仿宋_GBK" w:hAnsi="方正仿宋_GBK" w:eastAsia="方正仿宋_GBK" w:cs="方正仿宋_GBK"/>
          <w:b w:val="0"/>
          <w:sz w:val="32"/>
          <w:szCs w:val="32"/>
          <w:lang w:eastAsia="zh-CN"/>
        </w:rPr>
      </w:pPr>
      <w:r>
        <w:rPr>
          <w:rFonts w:hint="eastAsia" w:ascii="方正仿宋_GBK" w:hAnsi="方正仿宋_GBK" w:eastAsia="方正仿宋_GBK" w:cs="方正仿宋_GBK"/>
          <w:b/>
          <w:bCs/>
          <w:sz w:val="32"/>
          <w:szCs w:val="32"/>
          <w:lang w:val="en-US" w:eastAsia="zh-CN"/>
        </w:rPr>
        <w:t>6.社会保障和就业支出（类）民政管理事务（款）行政运行（项）:</w:t>
      </w:r>
      <w:r>
        <w:rPr>
          <w:rStyle w:val="23"/>
          <w:rFonts w:hint="eastAsia" w:ascii="方正仿宋_GBK" w:hAnsi="方正仿宋_GBK" w:eastAsia="方正仿宋_GBK" w:cs="方正仿宋_GBK"/>
          <w:b w:val="0"/>
          <w:sz w:val="32"/>
          <w:szCs w:val="32"/>
          <w:lang w:eastAsia="zh-CN"/>
        </w:rPr>
        <w:t>反映行政单位（包括实行公务员管理的事业单位）基本支出。</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Style w:val="23"/>
          <w:rFonts w:hint="eastAsia" w:ascii="方正仿宋_GBK" w:hAnsi="方正仿宋_GBK" w:eastAsia="方正仿宋_GBK" w:cs="方正仿宋_GBK"/>
          <w:b w:val="0"/>
          <w:sz w:val="32"/>
          <w:szCs w:val="32"/>
          <w:lang w:eastAsia="zh-CN"/>
        </w:rPr>
      </w:pPr>
      <w:r>
        <w:rPr>
          <w:rFonts w:hint="eastAsia" w:ascii="方正仿宋_GBK" w:hAnsi="方正仿宋_GBK" w:eastAsia="方正仿宋_GBK" w:cs="方正仿宋_GBK"/>
          <w:b/>
          <w:bCs/>
          <w:sz w:val="32"/>
          <w:szCs w:val="32"/>
          <w:lang w:val="en-US" w:eastAsia="zh-CN"/>
        </w:rPr>
        <w:t>7.社会保障和就业支出（类）民政管理事务（款）行政区划和地名管理（项）:</w:t>
      </w:r>
      <w:r>
        <w:rPr>
          <w:rStyle w:val="23"/>
          <w:rFonts w:hint="eastAsia" w:ascii="方正仿宋_GBK" w:hAnsi="方正仿宋_GBK" w:eastAsia="方正仿宋_GBK" w:cs="方正仿宋_GBK"/>
          <w:b w:val="0"/>
          <w:sz w:val="32"/>
          <w:szCs w:val="32"/>
          <w:lang w:eastAsia="zh-CN"/>
        </w:rPr>
        <w:t>反映行政区划界限勘定、管理，以及行政区划和地名管理支出。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8.社会保障和就业支出（类）民政管理事务（款）其他民政管理事务支出（项）:</w:t>
      </w:r>
      <w:r>
        <w:rPr>
          <w:rFonts w:hint="eastAsia" w:ascii="方正仿宋_GBK" w:hAnsi="方正仿宋_GBK" w:eastAsia="方正仿宋_GBK" w:cs="方正仿宋_GBK"/>
          <w:sz w:val="32"/>
          <w:szCs w:val="32"/>
          <w:lang w:eastAsia="zh-CN"/>
        </w:rPr>
        <w:t>反映除上述项目以为其他用于民政管理事务的支出。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SA"/>
        </w:rPr>
        <w:t>9.社会保障和就业支出（类）行政单位养老支出（款）行政单位离退休（项）:</w:t>
      </w:r>
      <w:r>
        <w:rPr>
          <w:rFonts w:hint="eastAsia" w:ascii="方正仿宋_GBK" w:hAnsi="方正仿宋_GBK" w:eastAsia="方正仿宋_GBK" w:cs="方正仿宋_GBK"/>
          <w:sz w:val="32"/>
          <w:szCs w:val="32"/>
          <w:lang w:eastAsia="zh-CN"/>
        </w:rPr>
        <w:t>反映行政单位（包括实行公务员管理的事业单位）开支的离退休经费。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SA"/>
        </w:rPr>
        <w:t>10.社会保障和就业支出（类）行政单位养老支出（款）事业单位离退休（项）:</w:t>
      </w:r>
      <w:r>
        <w:rPr>
          <w:rFonts w:hint="eastAsia" w:ascii="方正仿宋_GBK" w:hAnsi="方正仿宋_GBK" w:eastAsia="方正仿宋_GBK" w:cs="方正仿宋_GBK"/>
          <w:sz w:val="32"/>
          <w:szCs w:val="32"/>
          <w:lang w:eastAsia="zh-CN"/>
        </w:rPr>
        <w:t>反映事业单位开支的离退休经费。</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11.社会保障和就业支出（类）行政单位养老支出（款）机关事业单位基本养老保险缴费支出（项）:</w:t>
      </w:r>
      <w:r>
        <w:rPr>
          <w:rFonts w:hint="eastAsia" w:ascii="方正仿宋_GBK" w:hAnsi="方正仿宋_GBK" w:eastAsia="方正仿宋_GBK" w:cs="方正仿宋_GBK"/>
          <w:sz w:val="32"/>
          <w:szCs w:val="32"/>
          <w:lang w:eastAsia="zh-CN"/>
        </w:rPr>
        <w:t>反应机关事业单位实施养老保险制度由单位缴纳的基本养老保险支出。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12.社会保障和就业支出（类）行政单位养老支出（款）机关事业单位职业年金缴费支出（项）:</w:t>
      </w:r>
      <w:r>
        <w:rPr>
          <w:rFonts w:hint="eastAsia" w:ascii="方正仿宋_GBK" w:hAnsi="方正仿宋_GBK" w:eastAsia="方正仿宋_GBK" w:cs="方正仿宋_GBK"/>
          <w:sz w:val="32"/>
          <w:szCs w:val="32"/>
          <w:lang w:eastAsia="zh-CN"/>
        </w:rPr>
        <w:t>反映各级财政部门对机关事业单位职业年金记账利息的补助。</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13.社会保障和就业支出（类）抚恤（款）伤残抚恤（项）:</w:t>
      </w:r>
      <w:r>
        <w:rPr>
          <w:rFonts w:hint="eastAsia" w:ascii="方正仿宋_GBK" w:hAnsi="方正仿宋_GBK" w:eastAsia="方正仿宋_GBK" w:cs="方正仿宋_GBK"/>
          <w:sz w:val="32"/>
          <w:szCs w:val="32"/>
          <w:lang w:eastAsia="zh-CN"/>
        </w:rPr>
        <w:t>反映按规定用于伤残人员的抚恤金和按规定开支的各种伤残补助费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14.社会保障和就业支出（类）社会福利（款）儿童福利（项）:</w:t>
      </w:r>
      <w:r>
        <w:rPr>
          <w:rFonts w:hint="eastAsia" w:ascii="方正仿宋_GBK" w:hAnsi="方正仿宋_GBK" w:eastAsia="方正仿宋_GBK" w:cs="方正仿宋_GBK"/>
          <w:sz w:val="32"/>
          <w:szCs w:val="32"/>
          <w:lang w:eastAsia="zh-CN"/>
        </w:rPr>
        <w:t>反映对儿童提供福利服务方面的支出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15.社会保障和就业支出（类）社会福利（款）老人福利（项）:</w:t>
      </w:r>
      <w:r>
        <w:rPr>
          <w:rFonts w:hint="eastAsia" w:ascii="方正仿宋_GBK" w:hAnsi="方正仿宋_GBK" w:eastAsia="方正仿宋_GBK" w:cs="方正仿宋_GBK"/>
          <w:sz w:val="32"/>
          <w:szCs w:val="32"/>
          <w:lang w:eastAsia="zh-CN"/>
        </w:rPr>
        <w:t>反映</w:t>
      </w:r>
      <w:r>
        <w:rPr>
          <w:rFonts w:hint="eastAsia" w:ascii="方正仿宋_GBK" w:hAnsi="方正仿宋_GBK" w:eastAsia="方正仿宋_GBK" w:cs="方正仿宋_GBK"/>
          <w:sz w:val="32"/>
          <w:szCs w:val="32"/>
          <w:lang w:val="en-US" w:eastAsia="zh-CN"/>
        </w:rPr>
        <w:t>对老年人提供福利服务方面的支出，包括未经济困难的高龄、失能等老年人提供基本养老服务保障的资金补助等支出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16.社会保障和就业支出（类）社会福利（款）养老服务支出（项）:</w:t>
      </w:r>
      <w:r>
        <w:rPr>
          <w:rFonts w:hint="eastAsia" w:ascii="方正仿宋_GBK" w:hAnsi="方正仿宋_GBK" w:eastAsia="方正仿宋_GBK" w:cs="方正仿宋_GBK"/>
          <w:sz w:val="32"/>
          <w:szCs w:val="32"/>
          <w:lang w:eastAsia="zh-CN"/>
        </w:rPr>
        <w:t>反映</w:t>
      </w:r>
      <w:r>
        <w:rPr>
          <w:rFonts w:hint="eastAsia" w:ascii="方正仿宋_GBK" w:hAnsi="方正仿宋_GBK" w:eastAsia="方正仿宋_GBK" w:cs="方正仿宋_GBK"/>
          <w:sz w:val="32"/>
          <w:szCs w:val="32"/>
          <w:lang w:val="en-US" w:eastAsia="zh-CN"/>
        </w:rPr>
        <w:t>在养老服务方面的补助支出，包括支持居家养老服务、社区养老服务和机构养老服务的支出，对养老服务机构的运营、建设补助支出等，不包括对社会福利事业单位的补助支出</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17.社会保障和就业支出（类）社会福利（款）其他社会福利支出（项）:</w:t>
      </w:r>
      <w:r>
        <w:rPr>
          <w:rFonts w:hint="eastAsia" w:ascii="方正仿宋_GBK" w:hAnsi="方正仿宋_GBK" w:eastAsia="方正仿宋_GBK" w:cs="方正仿宋_GBK"/>
          <w:sz w:val="32"/>
          <w:szCs w:val="32"/>
          <w:lang w:eastAsia="zh-CN"/>
        </w:rPr>
        <w:t>反映除上述以外其他用于社会福利方面的支出。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18.社会保障和就业支出（类）残疾人事业（款）残疾人生活和护理补贴（项）:</w:t>
      </w:r>
      <w:r>
        <w:rPr>
          <w:rFonts w:hint="eastAsia" w:ascii="方正仿宋_GBK" w:hAnsi="方正仿宋_GBK" w:eastAsia="方正仿宋_GBK" w:cs="方正仿宋_GBK"/>
          <w:sz w:val="32"/>
          <w:szCs w:val="32"/>
          <w:lang w:eastAsia="zh-CN"/>
        </w:rPr>
        <w:t>反映困难残疾人生活补贴和重度残疾人护理补贴支出。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19.社会保障和就业支出（类）最低生活保障（款）城市最低生活保障金支出（项）:</w:t>
      </w:r>
      <w:r>
        <w:rPr>
          <w:rFonts w:hint="eastAsia" w:ascii="方正仿宋_GBK" w:hAnsi="方正仿宋_GBK" w:eastAsia="方正仿宋_GBK" w:cs="方正仿宋_GBK"/>
          <w:sz w:val="32"/>
          <w:szCs w:val="32"/>
          <w:lang w:eastAsia="zh-CN"/>
        </w:rPr>
        <w:t>反映用于城市最低生活保障对象的最低生活保障金支出。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20.社会保障和就业支出（类）最低生活保障（款）农村最低生活保障金支出（项）:</w:t>
      </w:r>
      <w:r>
        <w:rPr>
          <w:rFonts w:hint="eastAsia" w:ascii="方正仿宋_GBK" w:hAnsi="方正仿宋_GBK" w:eastAsia="方正仿宋_GBK" w:cs="方正仿宋_GBK"/>
          <w:sz w:val="32"/>
          <w:szCs w:val="32"/>
          <w:lang w:eastAsia="zh-CN"/>
        </w:rPr>
        <w:t>反用于映农村最低生活保障对象的最低生活保障金支出。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21.社会保障和就业支出（类）临时救助（款）临时救助支出（项）:</w:t>
      </w:r>
      <w:r>
        <w:rPr>
          <w:rFonts w:hint="eastAsia" w:ascii="方正仿宋_GBK" w:hAnsi="方正仿宋_GBK" w:eastAsia="方正仿宋_GBK" w:cs="方正仿宋_GBK"/>
          <w:sz w:val="32"/>
          <w:szCs w:val="32"/>
          <w:lang w:eastAsia="zh-CN"/>
        </w:rPr>
        <w:t>反映用于城乡生活困难居民的临时救助支出。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22.社会保障和就业支出（类）临时救助（款）流浪乞讨人员救助支出（项）:</w:t>
      </w:r>
      <w:r>
        <w:rPr>
          <w:rFonts w:hint="eastAsia" w:ascii="方正仿宋_GBK" w:hAnsi="方正仿宋_GBK" w:eastAsia="方正仿宋_GBK" w:cs="方正仿宋_GBK"/>
          <w:sz w:val="32"/>
          <w:szCs w:val="32"/>
          <w:lang w:eastAsia="zh-CN"/>
        </w:rPr>
        <w:t>反映用于生活无着落的流浪乞讨人员救助支出和救助机构的运转支出。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23.社会保障和就业支出（类）特困人员救助供养（款）城市特困人员救助供养支出（项）:</w:t>
      </w:r>
      <w:r>
        <w:rPr>
          <w:rFonts w:hint="eastAsia" w:ascii="方正仿宋_GBK" w:hAnsi="方正仿宋_GBK" w:eastAsia="方正仿宋_GBK" w:cs="方正仿宋_GBK"/>
          <w:sz w:val="32"/>
          <w:szCs w:val="32"/>
          <w:lang w:eastAsia="zh-CN"/>
        </w:rPr>
        <w:t>反映城市特困人员救助供养支出。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24.社会保障和就业支出（类）特困人员救助供养（款）农村特困人员救助供养支出（项）：</w:t>
      </w:r>
      <w:r>
        <w:rPr>
          <w:rFonts w:hint="eastAsia" w:ascii="方正仿宋_GBK" w:hAnsi="方正仿宋_GBK" w:eastAsia="方正仿宋_GBK" w:cs="方正仿宋_GBK"/>
          <w:sz w:val="32"/>
          <w:szCs w:val="32"/>
          <w:lang w:eastAsia="zh-CN"/>
        </w:rPr>
        <w:t>反映城乡特困人员救助供养支出</w:t>
      </w:r>
      <w:r>
        <w:rPr>
          <w:rFonts w:hint="eastAsia" w:ascii="方正仿宋_GBK" w:hAnsi="方正仿宋_GBK" w:eastAsia="方正仿宋_GBK" w:cs="方正仿宋_GBK"/>
          <w:sz w:val="32"/>
          <w:szCs w:val="32"/>
        </w:rPr>
        <w:t>。</w:t>
      </w:r>
    </w:p>
    <w:p>
      <w:pPr>
        <w:pStyle w:val="2"/>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25.社会保障和就业支出（类）其他生活救助（款）其他农村生活救助（项）：</w:t>
      </w:r>
      <w:r>
        <w:rPr>
          <w:rFonts w:hint="eastAsia" w:ascii="方正仿宋_GBK" w:hAnsi="方正仿宋_GBK" w:eastAsia="方正仿宋_GBK" w:cs="方正仿宋_GBK"/>
          <w:sz w:val="32"/>
          <w:szCs w:val="32"/>
          <w:lang w:eastAsia="zh-CN"/>
        </w:rPr>
        <w:t>反映</w:t>
      </w:r>
      <w:r>
        <w:rPr>
          <w:rFonts w:hint="eastAsia" w:ascii="方正仿宋_GBK" w:hAnsi="方正仿宋_GBK" w:eastAsia="方正仿宋_GBK" w:cs="方正仿宋_GBK"/>
          <w:sz w:val="32"/>
          <w:szCs w:val="32"/>
          <w:lang w:val="en-US" w:eastAsia="zh-CN"/>
        </w:rPr>
        <w:t>出最低生活保障、临时救助、特困人员救助供养外，用于农村生活困难居民生活救助的其他支出，包括用于除优抚对象、失业人员之外农村生活困难居民的价格临时补贴支出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26.社会保障和就业支出（类）其他社会保障和就业支出（款）其他社会保障和就业支出（项）:</w:t>
      </w:r>
      <w:r>
        <w:rPr>
          <w:rFonts w:hint="eastAsia" w:ascii="方正仿宋_GBK" w:hAnsi="方正仿宋_GBK" w:eastAsia="方正仿宋_GBK" w:cs="方正仿宋_GBK"/>
          <w:sz w:val="32"/>
          <w:szCs w:val="32"/>
          <w:lang w:eastAsia="zh-CN"/>
        </w:rPr>
        <w:t>反映除上述科目以外的其他用于社会保障和就业方面支出。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27.卫生健康支出（类）行政事业单位医疗（款）行政单位医疗（项）:</w:t>
      </w:r>
      <w:r>
        <w:rPr>
          <w:rFonts w:hint="eastAsia" w:ascii="方正仿宋_GBK" w:hAnsi="方正仿宋_GBK" w:eastAsia="方正仿宋_GBK" w:cs="方正仿宋_GBK"/>
          <w:sz w:val="32"/>
          <w:szCs w:val="32"/>
          <w:lang w:eastAsia="zh-CN"/>
        </w:rPr>
        <w:t>反映财政部门安排行政单位（包括实行公务员管理的事业）基本医疗保险缴费经费，未参加医疗保险的行政单位的公费医疗经费，按国家规定享受离退休人员、红军老战士待遇人员的医疗经费。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28.卫生健康支出（类）行政事业单位医疗（款）事业单位医疗（项）:</w:t>
      </w:r>
      <w:r>
        <w:rPr>
          <w:rFonts w:hint="eastAsia" w:ascii="方正仿宋_GBK" w:hAnsi="方正仿宋_GBK" w:eastAsia="方正仿宋_GBK" w:cs="方正仿宋_GBK"/>
          <w:sz w:val="32"/>
          <w:szCs w:val="32"/>
          <w:lang w:eastAsia="zh-CN"/>
        </w:rPr>
        <w:t>反映财政部门安排事业单位基本医疗保险缴费经费，未参加医疗保险的事业单位的公费医疗经费，按国家规定享受离退休人员待遇的医疗经费。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29.卫生健康支出（类）行政事业单位医疗（款）公务员医疗补助（项）:</w:t>
      </w:r>
      <w:r>
        <w:rPr>
          <w:rFonts w:hint="eastAsia" w:ascii="方正仿宋_GBK" w:hAnsi="方正仿宋_GBK" w:eastAsia="方正仿宋_GBK" w:cs="方正仿宋_GBK"/>
          <w:sz w:val="32"/>
          <w:szCs w:val="32"/>
          <w:lang w:eastAsia="zh-CN"/>
        </w:rPr>
        <w:t>反映财政部门安排的公务员医疗补助经费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30.卫生健康支出（类）行政事业单位医疗（款）其他行政事业单位医疗支出（项）:</w:t>
      </w:r>
      <w:r>
        <w:rPr>
          <w:rFonts w:hint="eastAsia" w:ascii="方正仿宋_GBK" w:hAnsi="方正仿宋_GBK" w:eastAsia="方正仿宋_GBK" w:cs="方正仿宋_GBK"/>
          <w:sz w:val="32"/>
          <w:szCs w:val="32"/>
          <w:lang w:eastAsia="zh-CN"/>
        </w:rPr>
        <w:t>反映除上述项目以外的其他用于行政事业单位医疗方面的支出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31.住房保障支出（类）住房改革支出（款）住房公积金（项）:</w:t>
      </w:r>
      <w:r>
        <w:rPr>
          <w:rFonts w:hint="eastAsia" w:ascii="方正仿宋_GBK" w:hAnsi="方正仿宋_GBK" w:eastAsia="方正仿宋_GBK" w:cs="方正仿宋_GBK"/>
          <w:sz w:val="32"/>
          <w:szCs w:val="32"/>
          <w:lang w:val="en-US" w:eastAsia="zh-CN"/>
        </w:rPr>
        <w:t>反映行政事业单位按人力资源和社会保障部、财政部规定的基本工资和津贴补贴以及规定比例为职工缴纳的住房公积金</w:t>
      </w:r>
      <w:r>
        <w:rPr>
          <w:rFonts w:hint="eastAsia" w:ascii="方正仿宋_GBK" w:hAnsi="方正仿宋_GBK" w:eastAsia="方正仿宋_GBK" w:cs="方正仿宋_GBK"/>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方正仿宋_GBK" w:hAnsi="方正仿宋_GBK" w:eastAsia="方正仿宋_GBK" w:cs="方正仿宋_GBK"/>
          <w:color w:val="000000"/>
          <w:kern w:val="2"/>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32.基本支出：</w:t>
      </w:r>
      <w:r>
        <w:rPr>
          <w:rFonts w:hint="eastAsia" w:ascii="方正仿宋_GBK" w:hAnsi="方正仿宋_GBK" w:eastAsia="方正仿宋_GBK" w:cs="方正仿宋_GBK"/>
          <w:color w:val="000000"/>
          <w:kern w:val="2"/>
          <w:sz w:val="32"/>
          <w:szCs w:val="32"/>
          <w:lang w:val="en-US"/>
        </w:rPr>
        <w:t>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方正仿宋_GBK" w:hAnsi="方正仿宋_GBK" w:eastAsia="方正仿宋_GBK" w:cs="方正仿宋_GBK"/>
          <w:color w:val="000000"/>
          <w:kern w:val="2"/>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33.项目支出：</w:t>
      </w:r>
      <w:r>
        <w:rPr>
          <w:rFonts w:hint="eastAsia" w:ascii="方正仿宋_GBK" w:hAnsi="方正仿宋_GBK" w:eastAsia="方正仿宋_GBK" w:cs="方正仿宋_GBK"/>
          <w:color w:val="000000"/>
          <w:kern w:val="2"/>
          <w:sz w:val="32"/>
          <w:szCs w:val="32"/>
          <w:lang w:val="en-US"/>
        </w:rPr>
        <w:t xml:space="preserve">指在基本支出之外为完成特定行政任务和事业发展目标所发生的支出。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34.“三公”经费：</w:t>
      </w:r>
      <w:r>
        <w:rPr>
          <w:rFonts w:hint="eastAsia" w:ascii="方正仿宋_GBK" w:hAnsi="方正仿宋_GBK" w:eastAsia="方正仿宋_GBK" w:cs="方正仿宋_GBK"/>
          <w:color w:val="000000"/>
          <w:sz w:val="32"/>
          <w:szCs w:val="32"/>
          <w:lang w:val="en-US" w:eastAsia="zh-CN"/>
        </w:rPr>
        <w:t>反映单位公务出国（境）的国际旅费、国外城市间交通费、住宿费、伙食费、培训费、公杂费等支出；反映单位按规定开支的各类公务接待（含外宾接待）费用；反映单位按规定保留的公务用车燃料费、维修费、过桥过路费、保险费、安全奖励费用等支出</w:t>
      </w:r>
      <w:r>
        <w:rPr>
          <w:rFonts w:hint="eastAsia" w:ascii="方正仿宋_GBK" w:hAnsi="方正仿宋_GBK" w:eastAsia="方正仿宋_GBK" w:cs="方正仿宋_GBK"/>
          <w:color w:val="000000"/>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35.机关运行经费：</w:t>
      </w:r>
      <w:r>
        <w:rPr>
          <w:rFonts w:hint="eastAsia" w:ascii="方正仿宋_GBK" w:hAnsi="方正仿宋_GBK" w:eastAsia="方正仿宋_GBK" w:cs="方正仿宋_GBK"/>
          <w:color w:val="auto"/>
          <w:sz w:val="32"/>
          <w:szCs w:val="32"/>
          <w:lang w:val="en-US"/>
        </w:rPr>
        <w:t>为保障行政单位（含参照公务员法管</w:t>
      </w:r>
      <w:r>
        <w:rPr>
          <w:rFonts w:hint="eastAsia" w:ascii="方正仿宋_GBK" w:hAnsi="方正仿宋_GBK" w:eastAsia="方正仿宋_GBK" w:cs="方正仿宋_GBK"/>
          <w:b w:val="0"/>
          <w:bCs w:val="0"/>
          <w:color w:val="000000"/>
          <w:kern w:val="0"/>
          <w:sz w:val="32"/>
          <w:szCs w:val="32"/>
          <w:lang w:val="en-US" w:eastAsia="zh-CN" w:bidi="ar-SA"/>
        </w:rPr>
        <w:t>理的事业单位）运行用于购买货物和服务的各项资金，包括</w:t>
      </w:r>
      <w:r>
        <w:rPr>
          <w:rFonts w:hint="eastAsia" w:ascii="方正仿宋_GBK" w:hAnsi="方正仿宋_GBK" w:eastAsia="方正仿宋_GBK" w:cs="方正仿宋_GBK"/>
          <w:color w:val="auto"/>
          <w:sz w:val="32"/>
          <w:szCs w:val="32"/>
          <w:lang w:val="en-US"/>
        </w:rPr>
        <w:t>办公及印刷费、邮电费、差旅费、会议费、福利费、日常维修费、专用材料及一般设备购置费、办公用房水电费、办公用房取暖费、办公用房物业管理费、公务用车运行维护费以及其他费用。</w:t>
      </w:r>
    </w:p>
    <w:p>
      <w:pPr>
        <w:widowControl/>
        <w:jc w:val="center"/>
        <w:rPr>
          <w:rFonts w:hint="eastAsia" w:eastAsia="黑体"/>
          <w:sz w:val="44"/>
          <w:szCs w:val="44"/>
        </w:rPr>
      </w:pPr>
      <w:bookmarkStart w:id="39" w:name="_Toc15377226"/>
      <w:r>
        <w:rPr>
          <w:rFonts w:hint="eastAsia" w:eastAsia="仿宋_GB2312" w:cs="仿宋_GB2312"/>
          <w:sz w:val="32"/>
          <w:szCs w:val="32"/>
        </w:rPr>
        <w:br w:type="page"/>
      </w:r>
      <w:bookmarkStart w:id="40" w:name="_Toc15396618"/>
    </w:p>
    <w:p>
      <w:pPr>
        <w:widowControl/>
        <w:ind w:firstLine="2200" w:firstLineChars="5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Style w:val="34"/>
          <w:rFonts w:hint="eastAsia" w:ascii="方正小标宋_GBK" w:hAnsi="方正小标宋_GBK" w:eastAsia="方正小标宋_GBK" w:cs="方正小标宋_GBK"/>
          <w:b w:val="0"/>
          <w:sz w:val="44"/>
          <w:szCs w:val="44"/>
          <w:lang w:val="en-US" w:eastAsia="zh-CN"/>
        </w:rPr>
        <w:t>四</w:t>
      </w:r>
      <w:r>
        <w:rPr>
          <w:rStyle w:val="34"/>
          <w:rFonts w:hint="eastAsia" w:ascii="方正小标宋_GBK" w:hAnsi="方正小标宋_GBK" w:eastAsia="方正小标宋_GBK" w:cs="方正小标宋_GBK"/>
          <w:b w:val="0"/>
          <w:sz w:val="44"/>
          <w:szCs w:val="44"/>
        </w:rPr>
        <w:t>部分 附表</w:t>
      </w:r>
      <w:bookmarkEnd w:id="39"/>
      <w:bookmarkEnd w:id="40"/>
      <w:bookmarkStart w:id="41" w:name="_Toc15396619"/>
    </w:p>
    <w:p>
      <w:pPr>
        <w:pStyle w:val="19"/>
        <w:adjustRightInd w:val="0"/>
        <w:snapToGrid w:val="0"/>
        <w:spacing w:line="560" w:lineRule="exact"/>
        <w:jc w:val="left"/>
        <w:rPr>
          <w:rFonts w:eastAsia="仿宋_GB2312" w:cs="仿宋_GB2312"/>
          <w:sz w:val="32"/>
          <w:szCs w:val="32"/>
        </w:rPr>
      </w:pPr>
    </w:p>
    <w:p>
      <w:pPr>
        <w:pStyle w:val="19"/>
        <w:adjustRightInd w:val="0"/>
        <w:snapToGrid w:val="0"/>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41"/>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2" w:name="_Toc15396620"/>
      <w:r>
        <w:rPr>
          <w:rFonts w:hint="eastAsia" w:ascii="方正仿宋_GBK" w:hAnsi="方正仿宋_GBK" w:eastAsia="方正仿宋_GBK" w:cs="方正仿宋_GBK"/>
          <w:sz w:val="32"/>
          <w:szCs w:val="32"/>
        </w:rPr>
        <w:t>二、收入决算表</w:t>
      </w:r>
      <w:bookmarkEnd w:id="42"/>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3" w:name="_Toc15396621"/>
      <w:r>
        <w:rPr>
          <w:rFonts w:hint="eastAsia" w:ascii="方正仿宋_GBK" w:hAnsi="方正仿宋_GBK" w:eastAsia="方正仿宋_GBK" w:cs="方正仿宋_GBK"/>
          <w:sz w:val="32"/>
          <w:szCs w:val="32"/>
        </w:rPr>
        <w:t>三、支出决算表</w:t>
      </w:r>
      <w:bookmarkEnd w:id="43"/>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4" w:name="_Toc15396622"/>
      <w:r>
        <w:rPr>
          <w:rFonts w:hint="eastAsia" w:ascii="方正仿宋_GBK" w:hAnsi="方正仿宋_GBK" w:eastAsia="方正仿宋_GBK" w:cs="方正仿宋_GBK"/>
          <w:sz w:val="32"/>
          <w:szCs w:val="32"/>
        </w:rPr>
        <w:t>四、财政拨款收入支出决算总表</w:t>
      </w:r>
      <w:bookmarkEnd w:id="44"/>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5" w:name="_Toc15396623"/>
      <w:r>
        <w:rPr>
          <w:rFonts w:hint="eastAsia" w:ascii="方正仿宋_GBK" w:hAnsi="方正仿宋_GBK" w:eastAsia="方正仿宋_GBK" w:cs="方正仿宋_GBK"/>
          <w:sz w:val="32"/>
          <w:szCs w:val="32"/>
        </w:rPr>
        <w:t>五、财政拨款支出决算明细表</w:t>
      </w:r>
      <w:bookmarkEnd w:id="45"/>
      <w:bookmarkStart w:id="46" w:name="_Toc15396624"/>
    </w:p>
    <w:p>
      <w:pPr>
        <w:pStyle w:val="19"/>
        <w:adjustRightInd w:val="0"/>
        <w:snapToGrid w:val="0"/>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46"/>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7" w:name="_Toc15396625"/>
      <w:r>
        <w:rPr>
          <w:rFonts w:hint="eastAsia" w:ascii="方正仿宋_GBK" w:hAnsi="方正仿宋_GBK" w:eastAsia="方正仿宋_GBK" w:cs="方正仿宋_GBK"/>
          <w:sz w:val="32"/>
          <w:szCs w:val="32"/>
        </w:rPr>
        <w:t>七、一般公共预算财政拨款支出决算明细表</w:t>
      </w:r>
      <w:bookmarkEnd w:id="47"/>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8" w:name="_Toc15396626"/>
      <w:r>
        <w:rPr>
          <w:rFonts w:hint="eastAsia" w:ascii="方正仿宋_GBK" w:hAnsi="方正仿宋_GBK" w:eastAsia="方正仿宋_GBK" w:cs="方正仿宋_GBK"/>
          <w:sz w:val="32"/>
          <w:szCs w:val="32"/>
        </w:rPr>
        <w:t>八、一般公共预算财政拨款基本支出决算表</w:t>
      </w:r>
      <w:bookmarkEnd w:id="48"/>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49" w:name="_Toc15396627"/>
      <w:r>
        <w:rPr>
          <w:rFonts w:hint="eastAsia" w:ascii="方正仿宋_GBK" w:hAnsi="方正仿宋_GBK" w:eastAsia="方正仿宋_GBK" w:cs="方正仿宋_GBK"/>
          <w:sz w:val="32"/>
          <w:szCs w:val="32"/>
        </w:rPr>
        <w:t>九、一般公共预算财政拨款项目支出决算表</w:t>
      </w:r>
      <w:bookmarkEnd w:id="49"/>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50" w:name="_Toc15396628"/>
      <w:r>
        <w:rPr>
          <w:rFonts w:hint="eastAsia" w:ascii="方正仿宋_GBK" w:hAnsi="方正仿宋_GBK" w:eastAsia="方正仿宋_GBK" w:cs="方正仿宋_GBK"/>
          <w:sz w:val="32"/>
          <w:szCs w:val="32"/>
        </w:rPr>
        <w:t>十、</w:t>
      </w:r>
      <w:bookmarkEnd w:id="50"/>
      <w:r>
        <w:rPr>
          <w:rFonts w:hint="eastAsia" w:ascii="方正仿宋_GBK" w:hAnsi="方正仿宋_GBK" w:eastAsia="方正仿宋_GBK" w:cs="方正仿宋_GBK"/>
          <w:sz w:val="32"/>
          <w:szCs w:val="32"/>
        </w:rPr>
        <w:t>政府性基金预算财政拨款收入支出决算表</w:t>
      </w:r>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51" w:name="_Toc15396629"/>
      <w:r>
        <w:rPr>
          <w:rFonts w:hint="eastAsia" w:ascii="方正仿宋_GBK" w:hAnsi="方正仿宋_GBK" w:eastAsia="方正仿宋_GBK" w:cs="方正仿宋_GBK"/>
          <w:sz w:val="32"/>
          <w:szCs w:val="32"/>
        </w:rPr>
        <w:t>十一、</w:t>
      </w:r>
      <w:bookmarkEnd w:id="51"/>
      <w:r>
        <w:rPr>
          <w:rFonts w:hint="eastAsia" w:ascii="方正仿宋_GBK" w:hAnsi="方正仿宋_GBK" w:eastAsia="方正仿宋_GBK" w:cs="方正仿宋_GBK"/>
          <w:sz w:val="32"/>
          <w:szCs w:val="32"/>
        </w:rPr>
        <w:t>国有资本经营预算财政拨款收入支出决算表</w:t>
      </w:r>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52" w:name="_Toc15396630"/>
      <w:r>
        <w:rPr>
          <w:rFonts w:hint="eastAsia" w:ascii="方正仿宋_GBK" w:hAnsi="方正仿宋_GBK" w:eastAsia="方正仿宋_GBK" w:cs="方正仿宋_GBK"/>
          <w:sz w:val="32"/>
          <w:szCs w:val="32"/>
        </w:rPr>
        <w:t>十二、</w:t>
      </w:r>
      <w:bookmarkEnd w:id="52"/>
      <w:r>
        <w:rPr>
          <w:rFonts w:hint="eastAsia" w:ascii="方正仿宋_GBK" w:hAnsi="方正仿宋_GBK" w:eastAsia="方正仿宋_GBK" w:cs="方正仿宋_GBK"/>
          <w:sz w:val="32"/>
          <w:szCs w:val="32"/>
        </w:rPr>
        <w:t>国有资本经营预算财政拨款支出决算表</w:t>
      </w:r>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53" w:name="_Toc15396631"/>
      <w:r>
        <w:rPr>
          <w:rFonts w:hint="eastAsia" w:ascii="方正仿宋_GBK" w:hAnsi="方正仿宋_GBK" w:eastAsia="方正仿宋_GBK" w:cs="方正仿宋_GBK"/>
          <w:sz w:val="32"/>
          <w:szCs w:val="32"/>
        </w:rPr>
        <w:t>十三、</w:t>
      </w:r>
      <w:bookmarkEnd w:id="53"/>
      <w:r>
        <w:rPr>
          <w:rFonts w:hint="eastAsia" w:ascii="方正仿宋_GBK" w:hAnsi="方正仿宋_GBK" w:eastAsia="方正仿宋_GBK" w:cs="方正仿宋_GBK"/>
          <w:sz w:val="32"/>
          <w:szCs w:val="32"/>
        </w:rPr>
        <w:t>财政拨款“三公”经费支出决算表</w:t>
      </w:r>
    </w:p>
    <w:p>
      <w:pPr>
        <w:rPr>
          <w:rFonts w:hint="eastAsia" w:ascii="方正仿宋_GBK" w:hAnsi="方正仿宋_GBK" w:eastAsia="方正仿宋_GBK" w:cs="方正仿宋_GBK"/>
          <w:sz w:val="32"/>
          <w:szCs w:val="32"/>
        </w:rPr>
      </w:pPr>
    </w:p>
    <w:sectPr>
      <w:footerReference r:id="rId12" w:type="first"/>
      <w:footerReference r:id="rId11"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仿宋_GBK">
    <w:panose1 w:val="03000509000000000000"/>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24F649"/>
    <w:multiLevelType w:val="singleLevel"/>
    <w:tmpl w:val="DF24F649"/>
    <w:lvl w:ilvl="0" w:tentative="0">
      <w:start w:val="1"/>
      <w:numFmt w:val="chineseCounting"/>
      <w:suff w:val="nothing"/>
      <w:lvlText w:val="%1、"/>
      <w:lvlJc w:val="left"/>
      <w:rPr>
        <w:rFonts w:hint="eastAsia"/>
      </w:rPr>
    </w:lvl>
  </w:abstractNum>
  <w:abstractNum w:abstractNumId="1">
    <w:nsid w:val="72BAECC8"/>
    <w:multiLevelType w:val="singleLevel"/>
    <w:tmpl w:val="72BAECC8"/>
    <w:lvl w:ilvl="0" w:tentative="0">
      <w:start w:val="1"/>
      <w:numFmt w:val="chineseCounting"/>
      <w:suff w:val="space"/>
      <w:lvlText w:val="第%1部分"/>
      <w:lvlJc w:val="left"/>
      <w:pPr>
        <w:ind w:left="630"/>
      </w:pPr>
      <w:rPr>
        <w:rFonts w:hint="eastAsia"/>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36D6"/>
    <w:rsid w:val="012A5EC2"/>
    <w:rsid w:val="015975B8"/>
    <w:rsid w:val="0173423B"/>
    <w:rsid w:val="01836F43"/>
    <w:rsid w:val="01D15DFD"/>
    <w:rsid w:val="01E55FE9"/>
    <w:rsid w:val="01F202B2"/>
    <w:rsid w:val="01F74292"/>
    <w:rsid w:val="02FEBE30"/>
    <w:rsid w:val="032610CE"/>
    <w:rsid w:val="04916F1E"/>
    <w:rsid w:val="061E35DE"/>
    <w:rsid w:val="066E0107"/>
    <w:rsid w:val="06796569"/>
    <w:rsid w:val="06975DB5"/>
    <w:rsid w:val="07304A9B"/>
    <w:rsid w:val="0741610D"/>
    <w:rsid w:val="07996F6E"/>
    <w:rsid w:val="07DFD8BA"/>
    <w:rsid w:val="083A4E1D"/>
    <w:rsid w:val="086E18D4"/>
    <w:rsid w:val="08B761C6"/>
    <w:rsid w:val="090333C3"/>
    <w:rsid w:val="09867E8F"/>
    <w:rsid w:val="0A2032A3"/>
    <w:rsid w:val="0AA50324"/>
    <w:rsid w:val="0AD27E58"/>
    <w:rsid w:val="0CA8290A"/>
    <w:rsid w:val="0D191B9E"/>
    <w:rsid w:val="0D35B1ED"/>
    <w:rsid w:val="0D8C3D75"/>
    <w:rsid w:val="0E254B6B"/>
    <w:rsid w:val="0E762871"/>
    <w:rsid w:val="0EAE52FC"/>
    <w:rsid w:val="0ED06930"/>
    <w:rsid w:val="0F144EC5"/>
    <w:rsid w:val="0F98263C"/>
    <w:rsid w:val="101860EC"/>
    <w:rsid w:val="101F47CC"/>
    <w:rsid w:val="101F6174"/>
    <w:rsid w:val="104B2DE7"/>
    <w:rsid w:val="10C055FF"/>
    <w:rsid w:val="10D23050"/>
    <w:rsid w:val="10DA6EBF"/>
    <w:rsid w:val="11483BD7"/>
    <w:rsid w:val="11694EBD"/>
    <w:rsid w:val="11772AA4"/>
    <w:rsid w:val="118107EC"/>
    <w:rsid w:val="11C344D0"/>
    <w:rsid w:val="120C2C3C"/>
    <w:rsid w:val="12D05EB3"/>
    <w:rsid w:val="12E24EE2"/>
    <w:rsid w:val="13D50BC4"/>
    <w:rsid w:val="13EA214D"/>
    <w:rsid w:val="13FC288D"/>
    <w:rsid w:val="14B17F78"/>
    <w:rsid w:val="151A0B6F"/>
    <w:rsid w:val="160A7C0A"/>
    <w:rsid w:val="16374A23"/>
    <w:rsid w:val="16496E49"/>
    <w:rsid w:val="165E0673"/>
    <w:rsid w:val="16B831D5"/>
    <w:rsid w:val="16BB723D"/>
    <w:rsid w:val="179A21B5"/>
    <w:rsid w:val="17C138AE"/>
    <w:rsid w:val="17E50567"/>
    <w:rsid w:val="17FF5E55"/>
    <w:rsid w:val="18152D5F"/>
    <w:rsid w:val="186504BB"/>
    <w:rsid w:val="18650592"/>
    <w:rsid w:val="187344E3"/>
    <w:rsid w:val="18832D1E"/>
    <w:rsid w:val="18915B08"/>
    <w:rsid w:val="18E84550"/>
    <w:rsid w:val="191D6B00"/>
    <w:rsid w:val="19A445FC"/>
    <w:rsid w:val="19B242B0"/>
    <w:rsid w:val="19C03627"/>
    <w:rsid w:val="1A1E065F"/>
    <w:rsid w:val="1A7C0E9A"/>
    <w:rsid w:val="1B6E02DE"/>
    <w:rsid w:val="1B857A25"/>
    <w:rsid w:val="1BAD4F97"/>
    <w:rsid w:val="1BE8440E"/>
    <w:rsid w:val="1C5B11B3"/>
    <w:rsid w:val="1CA2102B"/>
    <w:rsid w:val="1CC6347C"/>
    <w:rsid w:val="1CF31CDB"/>
    <w:rsid w:val="1D155CEE"/>
    <w:rsid w:val="1D1638FE"/>
    <w:rsid w:val="1DA962CF"/>
    <w:rsid w:val="1E312DEB"/>
    <w:rsid w:val="1E740ACF"/>
    <w:rsid w:val="1EAD6852"/>
    <w:rsid w:val="1F7709DB"/>
    <w:rsid w:val="1FF35744"/>
    <w:rsid w:val="1FF6BC77"/>
    <w:rsid w:val="1FFC062D"/>
    <w:rsid w:val="214042D9"/>
    <w:rsid w:val="2186353C"/>
    <w:rsid w:val="21C1768E"/>
    <w:rsid w:val="21E52799"/>
    <w:rsid w:val="22DC22B6"/>
    <w:rsid w:val="22E46075"/>
    <w:rsid w:val="23860B96"/>
    <w:rsid w:val="23B04A30"/>
    <w:rsid w:val="240371BF"/>
    <w:rsid w:val="24464264"/>
    <w:rsid w:val="244F3473"/>
    <w:rsid w:val="247F711B"/>
    <w:rsid w:val="24C97D99"/>
    <w:rsid w:val="24D9310F"/>
    <w:rsid w:val="24FA36F9"/>
    <w:rsid w:val="252244E3"/>
    <w:rsid w:val="253F5EBC"/>
    <w:rsid w:val="258360ED"/>
    <w:rsid w:val="258A6325"/>
    <w:rsid w:val="25A718F0"/>
    <w:rsid w:val="25BB59F6"/>
    <w:rsid w:val="25D7009F"/>
    <w:rsid w:val="260F557C"/>
    <w:rsid w:val="26767AE4"/>
    <w:rsid w:val="268278C8"/>
    <w:rsid w:val="26970054"/>
    <w:rsid w:val="26B208B1"/>
    <w:rsid w:val="275767C2"/>
    <w:rsid w:val="2784766C"/>
    <w:rsid w:val="27870CC1"/>
    <w:rsid w:val="27C55E21"/>
    <w:rsid w:val="281408E2"/>
    <w:rsid w:val="285C784C"/>
    <w:rsid w:val="28C22FD6"/>
    <w:rsid w:val="29047BAE"/>
    <w:rsid w:val="297B7A19"/>
    <w:rsid w:val="29F5131A"/>
    <w:rsid w:val="29FD04D3"/>
    <w:rsid w:val="2ABC7F52"/>
    <w:rsid w:val="2B62358A"/>
    <w:rsid w:val="2B6D6C5B"/>
    <w:rsid w:val="2B735E66"/>
    <w:rsid w:val="2BC74725"/>
    <w:rsid w:val="2BFF7BC6"/>
    <w:rsid w:val="2C4422A1"/>
    <w:rsid w:val="2C8A61B5"/>
    <w:rsid w:val="2D070DAE"/>
    <w:rsid w:val="2D3F210F"/>
    <w:rsid w:val="2D444400"/>
    <w:rsid w:val="2D9C2C43"/>
    <w:rsid w:val="2DE808E0"/>
    <w:rsid w:val="2DF04E50"/>
    <w:rsid w:val="2E4C6C44"/>
    <w:rsid w:val="2E586DFA"/>
    <w:rsid w:val="2F040D46"/>
    <w:rsid w:val="2F6B035B"/>
    <w:rsid w:val="2F6B7C62"/>
    <w:rsid w:val="2FAE5751"/>
    <w:rsid w:val="2FB1A395"/>
    <w:rsid w:val="2FCC04D7"/>
    <w:rsid w:val="2FD9A7D8"/>
    <w:rsid w:val="2FDBF714"/>
    <w:rsid w:val="30405D73"/>
    <w:rsid w:val="30A25EEE"/>
    <w:rsid w:val="30AB6865"/>
    <w:rsid w:val="30C438C3"/>
    <w:rsid w:val="313B4F15"/>
    <w:rsid w:val="319F7F4E"/>
    <w:rsid w:val="328C7556"/>
    <w:rsid w:val="32BD1EF1"/>
    <w:rsid w:val="32EC008D"/>
    <w:rsid w:val="3304709D"/>
    <w:rsid w:val="333F2AEE"/>
    <w:rsid w:val="33A773CB"/>
    <w:rsid w:val="34536BDD"/>
    <w:rsid w:val="349D6851"/>
    <w:rsid w:val="34E87D1B"/>
    <w:rsid w:val="34F83815"/>
    <w:rsid w:val="35324FB9"/>
    <w:rsid w:val="35421F0B"/>
    <w:rsid w:val="35A5038D"/>
    <w:rsid w:val="3621224F"/>
    <w:rsid w:val="36AA5135"/>
    <w:rsid w:val="36BE0DA7"/>
    <w:rsid w:val="36EB2E0C"/>
    <w:rsid w:val="372B7264"/>
    <w:rsid w:val="375C0A38"/>
    <w:rsid w:val="376B6AA6"/>
    <w:rsid w:val="376D39B2"/>
    <w:rsid w:val="37D30309"/>
    <w:rsid w:val="37E16F03"/>
    <w:rsid w:val="37F53A3B"/>
    <w:rsid w:val="37F540AA"/>
    <w:rsid w:val="389B6C89"/>
    <w:rsid w:val="38D469F0"/>
    <w:rsid w:val="391858E3"/>
    <w:rsid w:val="392B0B4C"/>
    <w:rsid w:val="39627CCD"/>
    <w:rsid w:val="397BAF1F"/>
    <w:rsid w:val="39A95985"/>
    <w:rsid w:val="39BA6AD2"/>
    <w:rsid w:val="39DC2B37"/>
    <w:rsid w:val="3A087E28"/>
    <w:rsid w:val="3A4F2BA5"/>
    <w:rsid w:val="3A517070"/>
    <w:rsid w:val="3AB79AF3"/>
    <w:rsid w:val="3AE834C0"/>
    <w:rsid w:val="3B315297"/>
    <w:rsid w:val="3B7EF35A"/>
    <w:rsid w:val="3B9FDB6C"/>
    <w:rsid w:val="3BF5BC2F"/>
    <w:rsid w:val="3C9219AA"/>
    <w:rsid w:val="3CEBA265"/>
    <w:rsid w:val="3D362B34"/>
    <w:rsid w:val="3D5D1152"/>
    <w:rsid w:val="3D98207C"/>
    <w:rsid w:val="3DEE7CF3"/>
    <w:rsid w:val="3E740A63"/>
    <w:rsid w:val="3E78745D"/>
    <w:rsid w:val="3EE17838"/>
    <w:rsid w:val="3F55381A"/>
    <w:rsid w:val="3F7F7599"/>
    <w:rsid w:val="3FF4CAE0"/>
    <w:rsid w:val="3FF7B227"/>
    <w:rsid w:val="3FFE6C40"/>
    <w:rsid w:val="415F4AA8"/>
    <w:rsid w:val="41A12435"/>
    <w:rsid w:val="42A9395F"/>
    <w:rsid w:val="42D12E6F"/>
    <w:rsid w:val="435C63BA"/>
    <w:rsid w:val="436E0FFA"/>
    <w:rsid w:val="43A25C7D"/>
    <w:rsid w:val="43CC351F"/>
    <w:rsid w:val="43E26F22"/>
    <w:rsid w:val="441208A6"/>
    <w:rsid w:val="44E268DA"/>
    <w:rsid w:val="450D13D7"/>
    <w:rsid w:val="45506656"/>
    <w:rsid w:val="47457721"/>
    <w:rsid w:val="483714BC"/>
    <w:rsid w:val="48395503"/>
    <w:rsid w:val="486A6C7A"/>
    <w:rsid w:val="48D90116"/>
    <w:rsid w:val="4A320747"/>
    <w:rsid w:val="4A627F82"/>
    <w:rsid w:val="4AC70D7B"/>
    <w:rsid w:val="4B0E749A"/>
    <w:rsid w:val="4B2477C4"/>
    <w:rsid w:val="4B4F25DA"/>
    <w:rsid w:val="4BBD51E8"/>
    <w:rsid w:val="4BE068DB"/>
    <w:rsid w:val="4D577224"/>
    <w:rsid w:val="4D586E1B"/>
    <w:rsid w:val="4DBF1CEB"/>
    <w:rsid w:val="4DE2285B"/>
    <w:rsid w:val="4DF0007C"/>
    <w:rsid w:val="4EAB630A"/>
    <w:rsid w:val="4ECE2238"/>
    <w:rsid w:val="4F833267"/>
    <w:rsid w:val="4FE9BD67"/>
    <w:rsid w:val="4FEE49D6"/>
    <w:rsid w:val="4FFB052F"/>
    <w:rsid w:val="50DA1796"/>
    <w:rsid w:val="51A309E5"/>
    <w:rsid w:val="52765CA9"/>
    <w:rsid w:val="53394EA0"/>
    <w:rsid w:val="537E6D0A"/>
    <w:rsid w:val="5390145A"/>
    <w:rsid w:val="53F74C96"/>
    <w:rsid w:val="54C00650"/>
    <w:rsid w:val="54C24CF8"/>
    <w:rsid w:val="55170BA8"/>
    <w:rsid w:val="551C2168"/>
    <w:rsid w:val="553218C9"/>
    <w:rsid w:val="567E1AA5"/>
    <w:rsid w:val="56E47B74"/>
    <w:rsid w:val="57022BB6"/>
    <w:rsid w:val="57175D52"/>
    <w:rsid w:val="57BD3DD4"/>
    <w:rsid w:val="58E445FE"/>
    <w:rsid w:val="58F741CF"/>
    <w:rsid w:val="5AF92295"/>
    <w:rsid w:val="5B250254"/>
    <w:rsid w:val="5BB24B40"/>
    <w:rsid w:val="5BDD79E6"/>
    <w:rsid w:val="5BF561CA"/>
    <w:rsid w:val="5BFF5DFC"/>
    <w:rsid w:val="5C2D2506"/>
    <w:rsid w:val="5C2F36E0"/>
    <w:rsid w:val="5C3F46FD"/>
    <w:rsid w:val="5C6A7A7C"/>
    <w:rsid w:val="5CD71FC4"/>
    <w:rsid w:val="5D1F11B5"/>
    <w:rsid w:val="5D263433"/>
    <w:rsid w:val="5D36341C"/>
    <w:rsid w:val="5D695134"/>
    <w:rsid w:val="5DAE1B18"/>
    <w:rsid w:val="5DB320EC"/>
    <w:rsid w:val="5DD37955"/>
    <w:rsid w:val="5DE7D9E5"/>
    <w:rsid w:val="5E64514F"/>
    <w:rsid w:val="5ECEC941"/>
    <w:rsid w:val="5F0B4406"/>
    <w:rsid w:val="5F996788"/>
    <w:rsid w:val="5FBF9FF3"/>
    <w:rsid w:val="5FCD4E2C"/>
    <w:rsid w:val="5FEF394A"/>
    <w:rsid w:val="5FF67715"/>
    <w:rsid w:val="60264160"/>
    <w:rsid w:val="60305EDD"/>
    <w:rsid w:val="60601BF4"/>
    <w:rsid w:val="6086335A"/>
    <w:rsid w:val="60F86767"/>
    <w:rsid w:val="61D37CCA"/>
    <w:rsid w:val="62333E3B"/>
    <w:rsid w:val="626A21EC"/>
    <w:rsid w:val="626F5FEF"/>
    <w:rsid w:val="62BF3928"/>
    <w:rsid w:val="62F900B8"/>
    <w:rsid w:val="632F61A7"/>
    <w:rsid w:val="63B3701E"/>
    <w:rsid w:val="63E00F1B"/>
    <w:rsid w:val="647F5392"/>
    <w:rsid w:val="64CF4D33"/>
    <w:rsid w:val="64EC28EB"/>
    <w:rsid w:val="654D7502"/>
    <w:rsid w:val="65891793"/>
    <w:rsid w:val="65E66580"/>
    <w:rsid w:val="662A67C1"/>
    <w:rsid w:val="664B1D71"/>
    <w:rsid w:val="664B4E8E"/>
    <w:rsid w:val="67277B67"/>
    <w:rsid w:val="67AA3209"/>
    <w:rsid w:val="67AA62B1"/>
    <w:rsid w:val="67DC115F"/>
    <w:rsid w:val="682C798E"/>
    <w:rsid w:val="68526774"/>
    <w:rsid w:val="69027DB1"/>
    <w:rsid w:val="69820994"/>
    <w:rsid w:val="698D0931"/>
    <w:rsid w:val="699A29E8"/>
    <w:rsid w:val="6A7FE5F3"/>
    <w:rsid w:val="6B053271"/>
    <w:rsid w:val="6BDD78B3"/>
    <w:rsid w:val="6C4A05C8"/>
    <w:rsid w:val="6C8742B8"/>
    <w:rsid w:val="6DBF5E93"/>
    <w:rsid w:val="6DED7BDF"/>
    <w:rsid w:val="6DFF077E"/>
    <w:rsid w:val="6E0E5C6C"/>
    <w:rsid w:val="6E2957EC"/>
    <w:rsid w:val="6E714EF0"/>
    <w:rsid w:val="6E7E3605"/>
    <w:rsid w:val="6E7FDCC7"/>
    <w:rsid w:val="6ED6A62E"/>
    <w:rsid w:val="6EE00B15"/>
    <w:rsid w:val="6F6774E8"/>
    <w:rsid w:val="6F6FB3EB"/>
    <w:rsid w:val="6F821E2D"/>
    <w:rsid w:val="6F8731EA"/>
    <w:rsid w:val="6FC4257D"/>
    <w:rsid w:val="6FCE6052"/>
    <w:rsid w:val="6FD57C00"/>
    <w:rsid w:val="6FE13E1A"/>
    <w:rsid w:val="6FE42B7B"/>
    <w:rsid w:val="6FEFFFD8"/>
    <w:rsid w:val="6FF5CC65"/>
    <w:rsid w:val="6FFB47EC"/>
    <w:rsid w:val="6FFF034A"/>
    <w:rsid w:val="70484440"/>
    <w:rsid w:val="70F80B00"/>
    <w:rsid w:val="712A28F1"/>
    <w:rsid w:val="715C0E4B"/>
    <w:rsid w:val="71992E7C"/>
    <w:rsid w:val="71A343BF"/>
    <w:rsid w:val="71B613E9"/>
    <w:rsid w:val="71FA0474"/>
    <w:rsid w:val="72233669"/>
    <w:rsid w:val="72734D90"/>
    <w:rsid w:val="728F4483"/>
    <w:rsid w:val="72B97D29"/>
    <w:rsid w:val="73160E6D"/>
    <w:rsid w:val="731B7131"/>
    <w:rsid w:val="731F7682"/>
    <w:rsid w:val="7332FE48"/>
    <w:rsid w:val="73541897"/>
    <w:rsid w:val="73571FD1"/>
    <w:rsid w:val="73816A46"/>
    <w:rsid w:val="73AB61DA"/>
    <w:rsid w:val="73AD73D5"/>
    <w:rsid w:val="73B6EB34"/>
    <w:rsid w:val="73BA5660"/>
    <w:rsid w:val="73FA497D"/>
    <w:rsid w:val="744731E5"/>
    <w:rsid w:val="74861A0A"/>
    <w:rsid w:val="74BBD01D"/>
    <w:rsid w:val="74D407A1"/>
    <w:rsid w:val="74ED5379"/>
    <w:rsid w:val="75CB1F79"/>
    <w:rsid w:val="75DEEEC2"/>
    <w:rsid w:val="75E32345"/>
    <w:rsid w:val="76356E50"/>
    <w:rsid w:val="76D01484"/>
    <w:rsid w:val="76E3355F"/>
    <w:rsid w:val="76FF5125"/>
    <w:rsid w:val="77150212"/>
    <w:rsid w:val="773D1856"/>
    <w:rsid w:val="776F6FFA"/>
    <w:rsid w:val="778769C8"/>
    <w:rsid w:val="77A75DCA"/>
    <w:rsid w:val="77DC22F5"/>
    <w:rsid w:val="78001B02"/>
    <w:rsid w:val="783E271A"/>
    <w:rsid w:val="78616DE9"/>
    <w:rsid w:val="78883780"/>
    <w:rsid w:val="78E875D7"/>
    <w:rsid w:val="79086DAD"/>
    <w:rsid w:val="79D7FD79"/>
    <w:rsid w:val="79EE5BA4"/>
    <w:rsid w:val="79EF2DD4"/>
    <w:rsid w:val="7A894339"/>
    <w:rsid w:val="7AD284E8"/>
    <w:rsid w:val="7AFF7572"/>
    <w:rsid w:val="7B025703"/>
    <w:rsid w:val="7B6C7DFB"/>
    <w:rsid w:val="7BAF2344"/>
    <w:rsid w:val="7BBFBED0"/>
    <w:rsid w:val="7BC3E394"/>
    <w:rsid w:val="7C1F3737"/>
    <w:rsid w:val="7C351318"/>
    <w:rsid w:val="7CBFC87B"/>
    <w:rsid w:val="7CC462B1"/>
    <w:rsid w:val="7CFE0F48"/>
    <w:rsid w:val="7D272ABC"/>
    <w:rsid w:val="7D4C212F"/>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line="600" w:lineRule="exact"/>
      <w:jc w:val="both"/>
      <w:outlineLvl w:val="3"/>
    </w:pPr>
    <w:rPr>
      <w:rFonts w:ascii="Arial" w:hAnsi="Arial" w:eastAsia="仿宋_GB2312" w:cs="Times New Roman"/>
      <w:b/>
      <w:bCs/>
      <w:kern w:val="2"/>
      <w:sz w:val="28"/>
      <w:szCs w:val="28"/>
      <w:lang w:val="en-US" w:eastAsia="zh-CN" w:bidi="ar-SA"/>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7">
    <w:name w:val="Body Text"/>
    <w:basedOn w:val="1"/>
    <w:next w:val="8"/>
    <w:link w:val="31"/>
    <w:qFormat/>
    <w:uiPriority w:val="99"/>
    <w:pPr>
      <w:spacing w:beforeLines="30"/>
    </w:pPr>
    <w:rPr>
      <w:rFonts w:ascii="仿宋_GB2312" w:eastAsia="仿宋_GB2312"/>
      <w:kern w:val="0"/>
      <w:sz w:val="30"/>
    </w:rPr>
  </w:style>
  <w:style w:type="paragraph" w:styleId="8">
    <w:name w:val="Body Text First Indent"/>
    <w:basedOn w:val="7"/>
    <w:qFormat/>
    <w:uiPriority w:val="0"/>
    <w:pPr>
      <w:ind w:firstLine="420" w:firstLineChars="100"/>
    </w:pPr>
    <w:rPr>
      <w:rFonts w:ascii="Calibri" w:hAnsi="Calibri"/>
      <w:sz w:val="36"/>
    </w:r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qFormat/>
    <w:uiPriority w:val="0"/>
    <w:rPr>
      <w:rFonts w:ascii="宋体" w:hAnsi="Courier New"/>
    </w:rPr>
  </w:style>
  <w:style w:type="paragraph" w:styleId="13">
    <w:name w:val="endnote text"/>
    <w:basedOn w:val="1"/>
    <w:semiHidden/>
    <w:qFormat/>
    <w:uiPriority w:val="0"/>
    <w:pPr>
      <w:snapToGrid w:val="0"/>
      <w:jc w:val="left"/>
    </w:pPr>
  </w:style>
  <w:style w:type="paragraph" w:styleId="14">
    <w:name w:val="Balloon Text"/>
    <w:basedOn w:val="1"/>
    <w:link w:val="37"/>
    <w:semiHidden/>
    <w:unhideWhenUsed/>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0"/>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paragraph" w:styleId="20">
    <w:name w:val="Title"/>
    <w:basedOn w:val="1"/>
    <w:next w:val="1"/>
    <w:qFormat/>
    <w:uiPriority w:val="99"/>
    <w:pPr>
      <w:spacing w:before="240" w:after="60"/>
      <w:jc w:val="center"/>
      <w:outlineLvl w:val="0"/>
    </w:pPr>
    <w:rPr>
      <w:rFonts w:ascii="Cambria" w:hAnsi="Cambria"/>
      <w:b/>
      <w:bCs/>
      <w:sz w:val="32"/>
      <w:szCs w:val="32"/>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6"/>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5"/>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3"/>
    <w:qFormat/>
    <w:uiPriority w:val="9"/>
    <w:rPr>
      <w:rFonts w:ascii="Times New Roman" w:hAnsi="Times New Roman"/>
      <w:b/>
      <w:bCs/>
      <w:kern w:val="44"/>
      <w:sz w:val="44"/>
      <w:szCs w:val="44"/>
    </w:rPr>
  </w:style>
  <w:style w:type="character" w:customStyle="1" w:styleId="35">
    <w:name w:val="标题 2 Char"/>
    <w:basedOn w:val="22"/>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2"/>
    <w:link w:val="14"/>
    <w:semiHidden/>
    <w:qFormat/>
    <w:uiPriority w:val="99"/>
    <w:rPr>
      <w:rFonts w:ascii="Times New Roman" w:hAnsi="Times New Roman"/>
      <w:kern w:val="2"/>
      <w:sz w:val="18"/>
      <w:szCs w:val="18"/>
    </w:rPr>
  </w:style>
  <w:style w:type="character" w:customStyle="1" w:styleId="38">
    <w:name w:val="标题 3 Char"/>
    <w:basedOn w:val="22"/>
    <w:link w:val="5"/>
    <w:qFormat/>
    <w:uiPriority w:val="9"/>
    <w:rPr>
      <w:rFonts w:ascii="Times New Roman" w:hAnsi="Times New Roman"/>
      <w:b/>
      <w:bCs/>
      <w:kern w:val="2"/>
      <w:sz w:val="32"/>
      <w:szCs w:val="32"/>
    </w:rPr>
  </w:style>
  <w:style w:type="paragraph" w:customStyle="1" w:styleId="3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公文正文"/>
    <w:basedOn w:val="1"/>
    <w:next w:val="1"/>
    <w:qFormat/>
    <w:uiPriority w:val="0"/>
    <w:pPr>
      <w:spacing w:line="560" w:lineRule="exact"/>
    </w:pPr>
    <w:rPr>
      <w:rFonts w:eastAsia="方正仿宋_GBK"/>
      <w:sz w:val="3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424399516157"/>
          <c:y val="0.089520801400814"/>
          <c:w val="0.910925"/>
          <c:h val="0.7169"/>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8850.74</c:v>
                </c:pt>
                <c:pt idx="1">
                  <c:v>10060.83</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8850.71</c:v>
                </c:pt>
                <c:pt idx="1">
                  <c:v>10060.83</c:v>
                </c:pt>
              </c:numCache>
            </c:numRef>
          </c:val>
        </c:ser>
        <c:dLbls>
          <c:showLegendKey val="0"/>
          <c:showVal val="0"/>
          <c:showCatName val="0"/>
          <c:showSerName val="0"/>
          <c:showPercent val="0"/>
          <c:showBubbleSize val="0"/>
        </c:dLbls>
        <c:gapWidth val="219"/>
        <c:overlap val="-27"/>
        <c:axId val="225114883"/>
        <c:axId val="66505435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251148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054359"/>
        <c:crosses val="autoZero"/>
        <c:auto val="1"/>
        <c:lblAlgn val="ctr"/>
        <c:lblOffset val="100"/>
        <c:noMultiLvlLbl val="0"/>
      </c:catAx>
      <c:valAx>
        <c:axId val="665054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51148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其他收入</c:v>
                </c:pt>
                <c:pt idx="1">
                  <c:v>政府性基金收入</c:v>
                </c:pt>
                <c:pt idx="2">
                  <c:v>一般公共预算收入</c:v>
                </c:pt>
              </c:strCache>
            </c:strRef>
          </c:cat>
          <c:val>
            <c:numRef>
              <c:f>Sheet1!$B$2:$B$4</c:f>
              <c:numCache>
                <c:formatCode>General</c:formatCode>
                <c:ptCount val="3"/>
                <c:pt idx="0">
                  <c:v>16.09</c:v>
                </c:pt>
                <c:pt idx="1">
                  <c:v>309.3</c:v>
                </c:pt>
                <c:pt idx="2">
                  <c:v>8696.85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37655255983035"/>
          <c:y val="0.8508322663252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957.15</c:v>
                </c:pt>
                <c:pt idx="1">
                  <c:v>9087.6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5825"/>
          <c:y val="0.0231666666666667"/>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8850.74</c:v>
                </c:pt>
                <c:pt idx="1">
                  <c:v>10031.71</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8850.74</c:v>
                </c:pt>
                <c:pt idx="1">
                  <c:v>10031.71</c:v>
                </c:pt>
              </c:numCache>
            </c:numRef>
          </c:val>
        </c:ser>
        <c:dLbls>
          <c:showLegendKey val="0"/>
          <c:showVal val="0"/>
          <c:showCatName val="0"/>
          <c:showSerName val="0"/>
          <c:showPercent val="0"/>
          <c:showBubbleSize val="0"/>
        </c:dLbls>
        <c:gapWidth val="219"/>
        <c:overlap val="-27"/>
        <c:axId val="820325421"/>
        <c:axId val="983690361"/>
      </c:barChart>
      <c:catAx>
        <c:axId val="8203254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3690361"/>
        <c:crosses val="autoZero"/>
        <c:auto val="1"/>
        <c:lblAlgn val="ctr"/>
        <c:lblOffset val="100"/>
        <c:noMultiLvlLbl val="0"/>
      </c:catAx>
      <c:valAx>
        <c:axId val="9836903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03254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18648310388"/>
          <c:y val="0.220292247935573"/>
          <c:w val="0.837855542147905"/>
          <c:h val="0.664850767893364"/>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8202.91</c:v>
                </c:pt>
                <c:pt idx="1">
                  <c:v>9722.41</c:v>
                </c:pt>
              </c:numCache>
            </c:numRef>
          </c:val>
        </c:ser>
        <c:dLbls>
          <c:showLegendKey val="0"/>
          <c:showVal val="0"/>
          <c:showCatName val="0"/>
          <c:showSerName val="0"/>
          <c:showPercent val="0"/>
          <c:showBubbleSize val="0"/>
        </c:dLbls>
        <c:gapWidth val="219"/>
        <c:overlap val="-27"/>
        <c:axId val="926762486"/>
        <c:axId val="371236669"/>
      </c:barChart>
      <c:catAx>
        <c:axId val="9267624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236669"/>
        <c:crosses val="autoZero"/>
        <c:auto val="1"/>
        <c:lblAlgn val="ctr"/>
        <c:lblOffset val="100"/>
        <c:noMultiLvlLbl val="0"/>
      </c:catAx>
      <c:valAx>
        <c:axId val="3712366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762486"/>
        <c:crosses val="autoZero"/>
        <c:crossBetween val="between"/>
      </c:valAx>
      <c:spPr>
        <a:noFill/>
        <a:ln>
          <a:noFill/>
        </a:ln>
        <a:effectLst/>
      </c:spPr>
    </c:plotArea>
    <c:legend>
      <c:legendPos val="b"/>
      <c:layout>
        <c:manualLayout>
          <c:xMode val="edge"/>
          <c:yMode val="edge"/>
          <c:x val="0.275965652553694"/>
          <c:y val="0.11286793469372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312790206838"/>
          <c:y val="0.0763384005287508"/>
          <c:w val="0.392148585901224"/>
          <c:h val="0.614011896893589"/>
        </c:manualLayout>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4160.97</c:v>
                </c:pt>
                <c:pt idx="1">
                  <c:v>70.4</c:v>
                </c:pt>
                <c:pt idx="2">
                  <c:v>76.28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90227944280287"/>
          <c:y val="0.7478519497686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4.5</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1667790177068"/>
          <c:y val="0.736091864592493"/>
          <c:w val="0.575931702511903"/>
          <c:h val="0.2548719908291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92</TotalTime>
  <ScaleCrop>false</ScaleCrop>
  <LinksUpToDate>false</LinksUpToDate>
  <CharactersWithSpaces>8880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未知</cp:lastModifiedBy>
  <cp:lastPrinted>2025-08-06T17:34:00Z</cp:lastPrinted>
  <dcterms:modified xsi:type="dcterms:W3CDTF">2025-10-28T01:51:07Z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