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A71A2">
      <w:bookmarkStart w:id="0" w:name="_Toc15377193"/>
      <w:bookmarkStart w:id="1" w:name="_Toc15396597"/>
      <w:bookmarkStart w:id="2" w:name="_Toc15378441"/>
      <w:bookmarkStart w:id="3" w:name="_Toc15396475"/>
      <w:bookmarkStart w:id="4" w:name="_Toc15377425"/>
      <w:bookmarkStart w:id="5" w:name="_Toc15306267"/>
    </w:p>
    <w:p w14:paraId="52340DCE">
      <w:pPr>
        <w:pStyle w:val="6"/>
        <w:spacing w:before="93"/>
        <w:jc w:val="center"/>
        <w:rPr>
          <w:rFonts w:ascii="Times New Roman" w:eastAsia="方正小标宋简体"/>
          <w:kern w:val="2"/>
          <w:sz w:val="44"/>
          <w:szCs w:val="44"/>
        </w:rPr>
      </w:pPr>
    </w:p>
    <w:p w14:paraId="2040A8D3">
      <w:pPr>
        <w:pStyle w:val="6"/>
        <w:spacing w:before="93"/>
        <w:rPr>
          <w:rFonts w:ascii="Times New Roman" w:eastAsia="方正小标宋简体"/>
          <w:kern w:val="2"/>
          <w:sz w:val="44"/>
          <w:szCs w:val="44"/>
        </w:rPr>
      </w:pPr>
    </w:p>
    <w:p w14:paraId="05626B46">
      <w:pPr>
        <w:pStyle w:val="6"/>
        <w:spacing w:before="93"/>
        <w:rPr>
          <w:rFonts w:ascii="Times New Roman" w:eastAsia="方正小标宋简体"/>
          <w:kern w:val="2"/>
          <w:sz w:val="44"/>
          <w:szCs w:val="44"/>
        </w:rPr>
      </w:pPr>
    </w:p>
    <w:bookmarkEnd w:id="0"/>
    <w:bookmarkEnd w:id="1"/>
    <w:bookmarkEnd w:id="2"/>
    <w:bookmarkEnd w:id="3"/>
    <w:bookmarkEnd w:id="4"/>
    <w:p w14:paraId="4CD6A763">
      <w:pPr>
        <w:pStyle w:val="6"/>
        <w:spacing w:before="93"/>
        <w:jc w:val="center"/>
        <w:rPr>
          <w:rFonts w:hint="eastAsia" w:ascii="Times New Roman" w:eastAsia="方正小标宋简体"/>
          <w:kern w:val="2"/>
          <w:sz w:val="56"/>
          <w:szCs w:val="56"/>
        </w:rPr>
      </w:pPr>
      <w:bookmarkStart w:id="6" w:name="_Toc15396476"/>
      <w:bookmarkStart w:id="7" w:name="_Toc15377194"/>
      <w:bookmarkStart w:id="8" w:name="_Toc15378442"/>
      <w:bookmarkStart w:id="9" w:name="_Toc15377426"/>
      <w:bookmarkStart w:id="10" w:name="_Toc15396598"/>
      <w:r>
        <w:rPr>
          <w:rFonts w:hint="eastAsia" w:ascii="Times New Roman" w:eastAsia="方正小标宋简体"/>
          <w:kern w:val="2"/>
          <w:sz w:val="56"/>
          <w:szCs w:val="56"/>
        </w:rPr>
        <w:t>2024年度</w:t>
      </w:r>
      <w:bookmarkEnd w:id="5"/>
      <w:bookmarkStart w:id="11" w:name="_Toc15306268"/>
    </w:p>
    <w:p w14:paraId="71072A54">
      <w:pPr>
        <w:pStyle w:val="6"/>
        <w:spacing w:before="93"/>
        <w:jc w:val="center"/>
        <w:rPr>
          <w:rFonts w:hint="eastAsia" w:ascii="Times New Roman" w:eastAsia="方正小标宋简体"/>
          <w:kern w:val="2"/>
          <w:sz w:val="56"/>
          <w:szCs w:val="56"/>
        </w:rPr>
      </w:pPr>
      <w:r>
        <w:rPr>
          <w:rFonts w:hint="eastAsia" w:ascii="Times New Roman" w:eastAsia="方正小标宋简体"/>
          <w:kern w:val="2"/>
          <w:sz w:val="56"/>
          <w:szCs w:val="56"/>
        </w:rPr>
        <w:t>盐边县市场监督管理局</w:t>
      </w:r>
      <w:r>
        <w:rPr>
          <w:rFonts w:hint="eastAsia" w:ascii="Times New Roman" w:eastAsia="方正小标宋简体"/>
          <w:kern w:val="2"/>
          <w:sz w:val="56"/>
          <w:szCs w:val="56"/>
          <w:lang w:val="en-US" w:eastAsia="zh-CN"/>
        </w:rPr>
        <w:t>部门</w:t>
      </w:r>
      <w:r>
        <w:rPr>
          <w:rFonts w:hint="eastAsia" w:ascii="Times New Roman" w:eastAsia="方正小标宋简体"/>
          <w:kern w:val="2"/>
          <w:sz w:val="56"/>
          <w:szCs w:val="56"/>
        </w:rPr>
        <w:t>决算</w:t>
      </w:r>
      <w:bookmarkEnd w:id="6"/>
      <w:bookmarkEnd w:id="7"/>
      <w:bookmarkEnd w:id="8"/>
      <w:bookmarkEnd w:id="9"/>
      <w:bookmarkEnd w:id="10"/>
      <w:bookmarkEnd w:id="11"/>
    </w:p>
    <w:p w14:paraId="457338FB">
      <w:pPr>
        <w:pStyle w:val="6"/>
        <w:spacing w:before="93"/>
        <w:jc w:val="center"/>
        <w:rPr>
          <w:rFonts w:hint="eastAsia" w:ascii="Times New Roman" w:eastAsia="方正小标宋简体"/>
          <w:kern w:val="2"/>
          <w:sz w:val="56"/>
          <w:szCs w:val="56"/>
          <w:lang w:val="en-US" w:eastAsia="zh-CN"/>
        </w:rPr>
      </w:pPr>
      <w:r>
        <w:rPr>
          <w:rFonts w:hint="eastAsia" w:ascii="Times New Roman" w:eastAsia="方正小标宋简体"/>
          <w:kern w:val="2"/>
          <w:sz w:val="56"/>
          <w:szCs w:val="56"/>
          <w:lang w:val="en-US" w:eastAsia="zh-CN"/>
        </w:rPr>
        <w:t>公开编制说明</w:t>
      </w:r>
    </w:p>
    <w:p w14:paraId="16F06EB2">
      <w:pPr>
        <w:widowControl/>
        <w:jc w:val="center"/>
        <w:rPr>
          <w:rFonts w:eastAsia="方正小标宋简体"/>
          <w:sz w:val="36"/>
          <w:szCs w:val="36"/>
        </w:rPr>
      </w:pPr>
    </w:p>
    <w:p w14:paraId="2189FFD8">
      <w:pPr>
        <w:widowControl/>
        <w:jc w:val="center"/>
        <w:rPr>
          <w:rFonts w:eastAsia="黑体"/>
          <w:sz w:val="48"/>
          <w:szCs w:val="48"/>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2085BED6">
      <w:pPr>
        <w:widowControl/>
        <w:jc w:val="center"/>
        <w:rPr>
          <w:rFonts w:eastAsia="黑体"/>
          <w:sz w:val="48"/>
          <w:szCs w:val="48"/>
        </w:rPr>
      </w:pPr>
      <w:r>
        <w:rPr>
          <w:rFonts w:hint="eastAsia" w:eastAsia="黑体"/>
          <w:sz w:val="48"/>
          <w:szCs w:val="48"/>
        </w:rPr>
        <w:t>目录</w:t>
      </w:r>
    </w:p>
    <w:p w14:paraId="57F47ABF">
      <w:pPr>
        <w:widowControl/>
        <w:jc w:val="center"/>
        <w:rPr>
          <w:rFonts w:eastAsia="黑体" w:cstheme="minorBidi"/>
          <w:sz w:val="28"/>
          <w:szCs w:val="28"/>
        </w:rPr>
      </w:pPr>
    </w:p>
    <w:p w14:paraId="0E7B0BE2">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公开时间：2025年10月28日</w:t>
      </w:r>
    </w:p>
    <w:p w14:paraId="7D35323A"/>
    <w:p w14:paraId="47702CDA">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default" w:ascii="Times New Roman" w:hAnsi="Times New Roman" w:cs="Times New Roman"/>
        </w:rPr>
        <w:ptab w:relativeTo="margin" w:alignment="right" w:leader="dot"/>
      </w:r>
      <w:r>
        <w:rPr>
          <w:rFonts w:hint="eastAsia" w:ascii="Times New Roman" w:hAnsi="Times New Roman"/>
        </w:rPr>
        <w:t>1</w:t>
      </w:r>
    </w:p>
    <w:p w14:paraId="3832E0CF">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w:t>
      </w:r>
    </w:p>
    <w:p w14:paraId="5D7621FF">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二、机构设置</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4</w:t>
      </w:r>
    </w:p>
    <w:p w14:paraId="7BDE836D">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default" w:ascii="Times New Roman" w:hAnsi="Times New Roman" w:cs="Times New Roman"/>
        </w:rPr>
        <w:ptab w:relativeTo="margin" w:alignment="right" w:leader="dot"/>
      </w:r>
      <w:r>
        <w:rPr>
          <w:rFonts w:hint="eastAsia" w:ascii="Times New Roman" w:hAnsi="Times New Roman"/>
        </w:rPr>
        <w:t>5</w:t>
      </w:r>
    </w:p>
    <w:p w14:paraId="4A5B9028">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一、收入支出决算总体情况说明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5</w:t>
      </w:r>
    </w:p>
    <w:p w14:paraId="69A80E23">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二、收入决算情况说明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5</w:t>
      </w:r>
    </w:p>
    <w:p w14:paraId="23888C37">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6</w:t>
      </w:r>
    </w:p>
    <w:p w14:paraId="3C135CF9">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四、财政拨款收入支出决算总体情况说明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7</w:t>
      </w:r>
    </w:p>
    <w:p w14:paraId="5F9BE53C">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五、一般公共预算财政拨款支出决算情况说明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7</w:t>
      </w:r>
    </w:p>
    <w:p w14:paraId="4339A5EE">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六、一般公共预算财政拨款基本支出决算情况说明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11</w:t>
      </w:r>
    </w:p>
    <w:p w14:paraId="2D08F5E9">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七、财政拨款“三公”经费支出决算情况说明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11</w:t>
      </w:r>
    </w:p>
    <w:p w14:paraId="22ED8D7F">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八、政府性基金预算支出决算情况说明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14</w:t>
      </w:r>
    </w:p>
    <w:p w14:paraId="4B00365E">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九、国有资本经营预算支出决算情况说明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14</w:t>
      </w:r>
    </w:p>
    <w:p w14:paraId="203B9736">
      <w:pPr>
        <w:pStyle w:val="15"/>
        <w:adjustRightInd w:val="0"/>
        <w:snapToGrid w:val="0"/>
        <w:spacing w:line="560" w:lineRule="exact"/>
        <w:ind w:left="0" w:leftChars="0" w:firstLine="640" w:firstLineChars="200"/>
        <w:jc w:val="left"/>
        <w:rPr>
          <w:rFonts w:hint="eastAsia" w:ascii="Times New Roman" w:hAnsi="Times New Roman" w:eastAsia="仿宋" w:cs="Times New Roman"/>
          <w:kern w:val="2"/>
          <w:sz w:val="28"/>
          <w:szCs w:val="28"/>
          <w:lang w:val="en-US" w:eastAsia="zh-CN" w:bidi="ar-SA"/>
        </w:rPr>
      </w:pPr>
      <w:r>
        <w:rPr>
          <w:rFonts w:hint="eastAsia" w:eastAsia="仿宋_GB2312" w:cs="仿宋_GB2312"/>
          <w:sz w:val="32"/>
          <w:szCs w:val="32"/>
        </w:rPr>
        <w:t>十、其他重要事项的情况说明</w:t>
      </w:r>
      <w:r>
        <w:rPr>
          <w:rFonts w:hint="default" w:ascii="Times New Roman" w:hAnsi="Times New Roman" w:cs="Times New Roman"/>
        </w:rPr>
        <w:ptab w:relativeTo="margin" w:alignment="right" w:leader="dot"/>
      </w:r>
      <w:r>
        <w:rPr>
          <w:rFonts w:hint="eastAsia" w:ascii="Times New Roman" w:hAnsi="Times New Roman" w:eastAsia="仿宋" w:cs="Times New Roman"/>
          <w:kern w:val="2"/>
          <w:sz w:val="28"/>
          <w:szCs w:val="28"/>
          <w:lang w:val="en-US" w:eastAsia="zh-CN" w:bidi="ar-SA"/>
        </w:rPr>
        <w:t>14</w:t>
      </w:r>
    </w:p>
    <w:p w14:paraId="59EA8304">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hint="default" w:ascii="Times New Roman" w:hAnsi="Times New Roman" w:cs="Times New Roman"/>
        </w:rPr>
        <w:ptab w:relativeTo="margin" w:alignment="right" w:leader="dot"/>
      </w:r>
      <w:r>
        <w:rPr>
          <w:rFonts w:hint="eastAsia" w:ascii="Times New Roman" w:hAnsi="Times New Roman"/>
        </w:rPr>
        <w:t>17</w:t>
      </w:r>
    </w:p>
    <w:p w14:paraId="221EC453">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default" w:ascii="Times New Roman" w:hAnsi="Times New Roman" w:cs="Times New Roman"/>
        </w:rPr>
        <w:ptab w:relativeTo="margin" w:alignment="right" w:leader="dot"/>
      </w:r>
      <w:r>
        <w:rPr>
          <w:rFonts w:hint="eastAsia" w:ascii="Times New Roman" w:hAnsi="Times New Roman"/>
        </w:rPr>
        <w:t>2</w:t>
      </w:r>
      <w:r>
        <w:rPr>
          <w:rFonts w:hint="eastAsia" w:ascii="Times New Roman" w:hAnsi="Times New Roman"/>
          <w:lang w:val="en-US" w:eastAsia="zh-CN"/>
        </w:rPr>
        <w:t>2</w:t>
      </w:r>
    </w:p>
    <w:p w14:paraId="11871F40">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hint="default" w:ascii="Times New Roman" w:hAnsi="Times New Roman" w:cs="Times New Roman"/>
        </w:rPr>
        <w:ptab w:relativeTo="margin" w:alignment="right" w:leader="dot"/>
      </w:r>
      <w:r>
        <w:rPr>
          <w:rFonts w:hint="eastAsia" w:ascii="Times New Roman" w:hAnsi="Times New Roman"/>
          <w:lang w:val="en-US" w:eastAsia="zh-CN"/>
        </w:rPr>
        <w:t>88</w:t>
      </w:r>
    </w:p>
    <w:p w14:paraId="51FC25A8">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6FA4D67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6B347BA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0DA4DEA9">
      <w:pPr>
        <w:pStyle w:val="15"/>
        <w:adjustRightInd w:val="0"/>
        <w:snapToGrid w:val="0"/>
        <w:spacing w:line="560" w:lineRule="exact"/>
        <w:ind w:left="0" w:leftChars="0" w:firstLine="640" w:firstLineChars="200"/>
        <w:jc w:val="left"/>
        <w:rPr>
          <w:rFonts w:eastAsia="仿宋_GB2312" w:cs="仿宋_GB2312"/>
          <w:sz w:val="32"/>
          <w:szCs w:val="32"/>
        </w:rPr>
        <w:sectPr>
          <w:footerReference r:id="rId5" w:type="first"/>
          <w:footerReference r:id="rId4" w:type="default"/>
          <w:pgSz w:w="11906" w:h="16838"/>
          <w:pgMar w:top="1440" w:right="1800" w:bottom="1440" w:left="1800" w:header="851" w:footer="992" w:gutter="0"/>
          <w:pgNumType w:fmt="numberInDash" w:start="1"/>
          <w:cols w:space="425" w:num="1"/>
          <w:docGrid w:type="lines" w:linePitch="312" w:charSpace="0"/>
        </w:sectPr>
      </w:pPr>
    </w:p>
    <w:p w14:paraId="70846DD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17D64E66">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195CBA3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6349079F">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535D4F6B">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663CE0A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63FDFF3D">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4A30565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50A426B8">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4EBEDF0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6F453CD2">
      <w:pPr>
        <w:pStyle w:val="3"/>
        <w:jc w:val="center"/>
        <w:rPr>
          <w:rFonts w:eastAsia="方正小标宋简体" w:cs="方正小标宋简体"/>
          <w:b w:val="0"/>
        </w:rPr>
        <w:sectPr>
          <w:footerReference r:id="rId6" w:type="default"/>
          <w:pgSz w:w="11906" w:h="16838"/>
          <w:pgMar w:top="1440" w:right="1800" w:bottom="1440" w:left="1800" w:header="851" w:footer="992" w:gutter="0"/>
          <w:pgNumType w:fmt="numberInDash" w:start="1"/>
          <w:cols w:space="425" w:num="1"/>
          <w:docGrid w:type="lines" w:linePitch="312" w:charSpace="0"/>
        </w:sectPr>
      </w:pPr>
      <w:bookmarkStart w:id="12" w:name="_Toc15377196"/>
      <w:bookmarkStart w:id="13" w:name="_Toc15396599"/>
    </w:p>
    <w:p w14:paraId="683F5CB6">
      <w:pPr>
        <w:pStyle w:val="3"/>
        <w:jc w:val="center"/>
        <w:rPr>
          <w:rStyle w:val="29"/>
          <w:rFonts w:hint="eastAsia" w:eastAsia="方正小标宋简体" w:cs="方正小标宋简体"/>
          <w:b w:val="0"/>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0C93D2C4"/>
    <w:p w14:paraId="1594C262">
      <w:pPr>
        <w:pStyle w:val="4"/>
        <w:rPr>
          <w:rFonts w:ascii="Times New Roman" w:hAnsi="Times New Roman" w:eastAsia="黑体"/>
          <w:b w:val="0"/>
        </w:rPr>
      </w:pPr>
      <w:bookmarkStart w:id="14" w:name="_Toc15396600"/>
      <w:bookmarkStart w:id="15" w:name="_Toc15377197"/>
      <w:r>
        <w:rPr>
          <w:rFonts w:hint="eastAsia" w:ascii="Times New Roman" w:hAnsi="Times New Roman" w:eastAsia="黑体"/>
          <w:b w:val="0"/>
        </w:rPr>
        <w:t>一、</w:t>
      </w:r>
      <w:bookmarkEnd w:id="14"/>
      <w:bookmarkEnd w:id="15"/>
      <w:r>
        <w:rPr>
          <w:rFonts w:hint="eastAsia" w:ascii="Times New Roman" w:hAnsi="Times New Roman" w:eastAsia="黑体"/>
          <w:b w:val="0"/>
        </w:rPr>
        <w:t>部门职责</w:t>
      </w:r>
    </w:p>
    <w:p w14:paraId="029F5251">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14:paraId="742B9A4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14:paraId="4AB36E2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3.负责市场监管领域综合行政执法工作。</w:t>
      </w:r>
    </w:p>
    <w:p w14:paraId="01F1AECA">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14:paraId="74E6389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14:paraId="29742B76">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6.负责全县产品质量安全监督管理。负责产品质量监督抽查和风险监控工作，组织实施质量分级制度、质量安全追溯制度。负责工业产品生产许可证管理。负责纤维质量监督工作。</w:t>
      </w:r>
    </w:p>
    <w:p w14:paraId="3F83BE25">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7.负责全县特种设备安全监督管理。综合管理特种设备安全监察、监督工作，监督检查高耗能特种设备节能标准和锅炉产品环境保护标准的执行情况。</w:t>
      </w:r>
    </w:p>
    <w:p w14:paraId="06CD8EC6">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14:paraId="54250E96">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14:paraId="5AD74F18">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14:paraId="3BC3D50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11.负责统一管理全县计量工作。推行法定计量单位，执行国家计量制度，管理计量器具及量值传递和比对工作。规范、监督商品量和计量行为。</w:t>
      </w:r>
    </w:p>
    <w:p w14:paraId="6CE9AA9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12.负责统一管理全县标准化工作。依法承担地方标准立项、编号和发布等工作。协调指导团体标准制定工作。推行企业标准自我声明公开。依法对标准制定和实施情况开展监督。</w:t>
      </w:r>
    </w:p>
    <w:p w14:paraId="4A9C9CBA">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13.负责统一管理全县检验检测工作。规范检验检测市场，完善检验检测体系，指导协调检验检测行业发展。</w:t>
      </w:r>
    </w:p>
    <w:p w14:paraId="1E8D2F89">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14.负责统一管理认证认可工作。监督管理认证认可和合格评定工作。</w:t>
      </w:r>
    </w:p>
    <w:p w14:paraId="4B2B4D1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15.负责全县知识产权战略、规划的制定，负责知识产权保护、管理，指导知识产权创造、运用和服务促进工作，负责商标、专利执法工作。</w:t>
      </w:r>
    </w:p>
    <w:p w14:paraId="608AB94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16.负责市场监督管理科技和信息化建设。</w:t>
      </w:r>
    </w:p>
    <w:p w14:paraId="59553EC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17.负责职责范围内的安全生产和职业健康、生态环境保护、审批服务便民化等工作。</w:t>
      </w:r>
    </w:p>
    <w:p w14:paraId="331CD527">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18.完成县委、县政府交办的其他任务。</w:t>
      </w:r>
    </w:p>
    <w:p w14:paraId="6B190296">
      <w:pPr>
        <w:pStyle w:val="4"/>
        <w:rPr>
          <w:rStyle w:val="30"/>
          <w:rFonts w:ascii="Times New Roman" w:hAnsi="Times New Roman"/>
          <w:b w:val="0"/>
          <w:bCs w:val="0"/>
        </w:rPr>
      </w:pPr>
      <w:bookmarkStart w:id="16" w:name="_Toc15396601"/>
      <w:bookmarkStart w:id="17"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6"/>
      <w:bookmarkEnd w:id="17"/>
    </w:p>
    <w:p w14:paraId="3A7BC12C">
      <w:pPr>
        <w:ind w:firstLine="800" w:firstLineChars="250"/>
        <w:rPr>
          <w:rFonts w:eastAsia="仿宋_GB2312" w:cs="仿宋_GB2312"/>
          <w:sz w:val="32"/>
          <w:szCs w:val="32"/>
        </w:rPr>
      </w:pPr>
      <w:r>
        <w:rPr>
          <w:rFonts w:hint="eastAsia" w:ascii="仿宋_GB2312" w:hAnsi="仿宋_GB2312" w:eastAsia="仿宋_GB2312" w:cs="仿宋_GB2312"/>
          <w:sz w:val="32"/>
          <w:szCs w:val="32"/>
        </w:rPr>
        <w:t>盐边县市场监督管理局</w:t>
      </w:r>
      <w:r>
        <w:rPr>
          <w:rFonts w:hint="eastAsia" w:eastAsia="仿宋_GB2312" w:cs="仿宋_GB2312"/>
          <w:sz w:val="32"/>
          <w:szCs w:val="32"/>
        </w:rPr>
        <w:t>下属二级预算单位0个，其中行政单位0个，参照公务员法管理的事业单位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1A9B7933">
      <w:pPr>
        <w:widowControl/>
        <w:jc w:val="left"/>
        <w:rPr>
          <w:rFonts w:eastAsia="仿宋"/>
          <w:color w:val="FF0000"/>
          <w:sz w:val="32"/>
          <w:szCs w:val="32"/>
        </w:rPr>
      </w:pPr>
    </w:p>
    <w:p w14:paraId="6B8A54F2">
      <w:pPr>
        <w:widowControl/>
        <w:jc w:val="left"/>
        <w:rPr>
          <w:rFonts w:eastAsia="仿宋"/>
          <w:color w:val="FF0000"/>
          <w:kern w:val="0"/>
          <w:sz w:val="32"/>
          <w:szCs w:val="32"/>
        </w:rPr>
      </w:pPr>
      <w:r>
        <w:rPr>
          <w:rFonts w:eastAsia="仿宋"/>
          <w:color w:val="FF0000"/>
          <w:sz w:val="32"/>
          <w:szCs w:val="32"/>
        </w:rPr>
        <w:br w:type="page"/>
      </w:r>
    </w:p>
    <w:p w14:paraId="1FE0BD86">
      <w:pPr>
        <w:pStyle w:val="3"/>
        <w:jc w:val="center"/>
        <w:rPr>
          <w:rFonts w:eastAsia="方正小标宋简体" w:cs="方正小标宋简体"/>
          <w:b w:val="0"/>
        </w:rPr>
      </w:pPr>
      <w:bookmarkStart w:id="18" w:name="_Toc15377204"/>
      <w:bookmarkStart w:id="19" w:name="_Toc15396602"/>
      <w:r>
        <w:rPr>
          <w:rFonts w:hint="eastAsia" w:eastAsia="方正小标宋简体" w:cs="方正小标宋简体"/>
          <w:b w:val="0"/>
        </w:rPr>
        <w:t>第二部分  2024年度部门决算情况说明</w:t>
      </w:r>
      <w:bookmarkEnd w:id="18"/>
      <w:bookmarkEnd w:id="19"/>
    </w:p>
    <w:p w14:paraId="72B5E8E6"/>
    <w:p w14:paraId="43CD0175">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Times New Roman" w:hAnsi="Times New Roman" w:eastAsia="黑体"/>
          <w:b w:val="0"/>
        </w:rPr>
      </w:pPr>
      <w:bookmarkStart w:id="20" w:name="_Toc15377205"/>
      <w:bookmarkStart w:id="21"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20"/>
      <w:bookmarkEnd w:id="21"/>
    </w:p>
    <w:p w14:paraId="39D891C3">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2181.84</w:t>
      </w:r>
      <w:r>
        <w:rPr>
          <w:rFonts w:hint="eastAsia" w:eastAsia="仿宋_GB2312" w:cs="仿宋_GB2312"/>
          <w:sz w:val="32"/>
          <w:szCs w:val="32"/>
        </w:rPr>
        <w:t>万元。与2023年度相比，收入、支出总计各增加128.2万元，增长6.24%。主要变动原因是</w:t>
      </w:r>
      <w:r>
        <w:rPr>
          <w:rFonts w:hint="eastAsia" w:eastAsia="仿宋_GB2312" w:cs="仿宋_GB2312"/>
          <w:color w:val="auto"/>
          <w:sz w:val="32"/>
          <w:szCs w:val="32"/>
        </w:rPr>
        <w:t>项目收入、支出</w:t>
      </w:r>
      <w:r>
        <w:rPr>
          <w:rFonts w:hint="eastAsia" w:eastAsia="仿宋_GB2312" w:cs="仿宋_GB2312"/>
          <w:color w:val="auto"/>
          <w:sz w:val="32"/>
          <w:szCs w:val="32"/>
          <w:lang w:eastAsia="zh-CN"/>
        </w:rPr>
        <w:t>增加</w:t>
      </w:r>
      <w:r>
        <w:rPr>
          <w:rFonts w:hint="eastAsia" w:eastAsia="仿宋_GB2312" w:cs="仿宋_GB2312"/>
          <w:color w:val="auto"/>
          <w:sz w:val="32"/>
          <w:szCs w:val="32"/>
        </w:rPr>
        <w:t>。</w:t>
      </w:r>
    </w:p>
    <w:p w14:paraId="4362FE4F">
      <w:pPr>
        <w:pStyle w:val="28"/>
        <w:spacing w:line="600" w:lineRule="exact"/>
        <w:ind w:firstLine="640"/>
        <w:outlineLvl w:val="1"/>
        <w:rPr>
          <w:rFonts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图1：收入、支出决算总计变动情况图</w:t>
      </w:r>
      <w:r>
        <w:rPr>
          <w:rFonts w:hint="eastAsia" w:eastAsia="仿宋_GB2312" w:cs="仿宋_GB2312"/>
          <w:sz w:val="32"/>
          <w:szCs w:val="32"/>
          <w:lang w:eastAsia="zh-CN"/>
        </w:rPr>
        <w:t>）</w:t>
      </w:r>
    </w:p>
    <w:p w14:paraId="0F9A2D7F">
      <w:pPr>
        <w:pStyle w:val="28"/>
        <w:spacing w:line="600" w:lineRule="exact"/>
        <w:outlineLvl w:val="1"/>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59690</wp:posOffset>
            </wp:positionH>
            <wp:positionV relativeFrom="paragraph">
              <wp:posOffset>59055</wp:posOffset>
            </wp:positionV>
            <wp:extent cx="5271770" cy="2633980"/>
            <wp:effectExtent l="0" t="0" r="5080" b="1397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271770" cy="2633980"/>
                    </a:xfrm>
                    <a:prstGeom prst="rect">
                      <a:avLst/>
                    </a:prstGeom>
                    <a:noFill/>
                    <a:ln>
                      <a:noFill/>
                    </a:ln>
                  </pic:spPr>
                </pic:pic>
              </a:graphicData>
            </a:graphic>
          </wp:anchor>
        </w:drawing>
      </w:r>
    </w:p>
    <w:p w14:paraId="710ECFA8">
      <w:pPr>
        <w:pStyle w:val="28"/>
        <w:spacing w:line="600" w:lineRule="exact"/>
        <w:ind w:firstLine="643"/>
        <w:outlineLvl w:val="1"/>
        <w:rPr>
          <w:rFonts w:eastAsia="仿宋_GB2312" w:cs="仿宋_GB2312"/>
          <w:b/>
          <w:bCs/>
          <w:sz w:val="32"/>
          <w:szCs w:val="32"/>
        </w:rPr>
      </w:pPr>
    </w:p>
    <w:p w14:paraId="68329201">
      <w:pPr>
        <w:pStyle w:val="28"/>
        <w:spacing w:line="600" w:lineRule="exact"/>
        <w:ind w:firstLine="640"/>
        <w:outlineLvl w:val="1"/>
        <w:rPr>
          <w:rFonts w:eastAsia="仿宋_GB2312" w:cs="仿宋_GB2312"/>
          <w:sz w:val="32"/>
          <w:szCs w:val="32"/>
        </w:rPr>
      </w:pPr>
    </w:p>
    <w:p w14:paraId="11DA3BE5">
      <w:pPr>
        <w:pStyle w:val="28"/>
        <w:spacing w:line="600" w:lineRule="exact"/>
        <w:ind w:firstLine="640"/>
        <w:outlineLvl w:val="1"/>
        <w:rPr>
          <w:rFonts w:eastAsia="仿宋_GB2312" w:cs="仿宋_GB2312"/>
          <w:sz w:val="32"/>
          <w:szCs w:val="32"/>
        </w:rPr>
      </w:pPr>
    </w:p>
    <w:p w14:paraId="2314E4D2">
      <w:pPr>
        <w:pStyle w:val="28"/>
        <w:spacing w:line="600" w:lineRule="exact"/>
        <w:ind w:firstLine="640"/>
        <w:outlineLvl w:val="1"/>
        <w:rPr>
          <w:rFonts w:eastAsia="仿宋_GB2312" w:cs="仿宋_GB2312"/>
          <w:sz w:val="32"/>
          <w:szCs w:val="32"/>
        </w:rPr>
      </w:pPr>
    </w:p>
    <w:p w14:paraId="60FB6F00">
      <w:pPr>
        <w:pStyle w:val="28"/>
        <w:spacing w:line="600" w:lineRule="exact"/>
        <w:ind w:firstLine="640"/>
        <w:outlineLvl w:val="1"/>
        <w:rPr>
          <w:rFonts w:eastAsia="仿宋_GB2312" w:cs="仿宋_GB2312"/>
          <w:sz w:val="32"/>
          <w:szCs w:val="32"/>
        </w:rPr>
      </w:pPr>
    </w:p>
    <w:p w14:paraId="264C75B7">
      <w:pPr>
        <w:pStyle w:val="28"/>
        <w:spacing w:line="600" w:lineRule="exact"/>
        <w:ind w:firstLine="0" w:firstLineChars="0"/>
        <w:outlineLvl w:val="1"/>
        <w:rPr>
          <w:rFonts w:eastAsia="仿宋_GB2312" w:cs="仿宋_GB2312"/>
          <w:sz w:val="32"/>
          <w:szCs w:val="32"/>
        </w:rPr>
      </w:pPr>
    </w:p>
    <w:p w14:paraId="3637DD4A">
      <w:pPr>
        <w:ind w:firstLine="640" w:firstLineChars="200"/>
        <w:rPr>
          <w:rFonts w:eastAsia="仿宋_GB2312" w:cs="仿宋_GB2312"/>
          <w:sz w:val="32"/>
          <w:szCs w:val="32"/>
        </w:rPr>
      </w:pPr>
    </w:p>
    <w:p w14:paraId="78AD63F5">
      <w:pPr>
        <w:pStyle w:val="28"/>
        <w:spacing w:line="600" w:lineRule="exact"/>
        <w:ind w:firstLine="640"/>
        <w:outlineLvl w:val="1"/>
        <w:rPr>
          <w:rFonts w:eastAsia="黑体"/>
          <w:sz w:val="32"/>
          <w:szCs w:val="32"/>
        </w:rPr>
      </w:pPr>
      <w:bookmarkStart w:id="22" w:name="_Toc15396604"/>
      <w:bookmarkStart w:id="23" w:name="_Toc15377206"/>
      <w:r>
        <w:rPr>
          <w:rFonts w:hint="eastAsia" w:eastAsia="黑体"/>
          <w:sz w:val="32"/>
          <w:szCs w:val="32"/>
        </w:rPr>
        <w:t>二、收入决算情况说明</w:t>
      </w:r>
      <w:bookmarkEnd w:id="22"/>
      <w:bookmarkEnd w:id="23"/>
    </w:p>
    <w:p w14:paraId="199E9EC3">
      <w:pPr>
        <w:pStyle w:val="28"/>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2158.02万元，其中：一般公共预算财政拨款收入2149.46万元，占99.6%；政府性基金预算财政拨款收入0万元，占0%；国有资本经营预算财政拨款收入0万元，占0%；上级补助收入0万元，占0%；事业收入0万元，占0%；经营收入0万元，占0%；附属单位上缴收入0万元，占0%；其他收入8.56万元，占0.39%。</w:t>
      </w:r>
    </w:p>
    <w:p w14:paraId="5F0F80AD">
      <w:pPr>
        <w:ind w:firstLine="800" w:firstLineChars="250"/>
        <w:rPr>
          <w:rFonts w:ascii="仿宋_GB2312" w:hAnsi="仿宋_GB2312"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图2：收入决算结构图</w:t>
      </w:r>
      <w:r>
        <w:rPr>
          <w:rFonts w:hint="eastAsia" w:eastAsia="仿宋_GB2312" w:cs="仿宋_GB2312"/>
          <w:sz w:val="32"/>
          <w:szCs w:val="32"/>
          <w:lang w:eastAsia="zh-CN"/>
        </w:rPr>
        <w:t>）</w:t>
      </w:r>
    </w:p>
    <w:p w14:paraId="1E2B75B6">
      <w:pPr>
        <w:pStyle w:val="28"/>
        <w:spacing w:line="600" w:lineRule="exact"/>
        <w:ind w:firstLine="0" w:firstLineChars="0"/>
        <w:jc w:val="left"/>
        <w:outlineLvl w:val="1"/>
        <w:rPr>
          <w:rFonts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-24765</wp:posOffset>
            </wp:positionH>
            <wp:positionV relativeFrom="paragraph">
              <wp:posOffset>67310</wp:posOffset>
            </wp:positionV>
            <wp:extent cx="5269230" cy="2639060"/>
            <wp:effectExtent l="0" t="0" r="7620" b="889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269230" cy="2639060"/>
                    </a:xfrm>
                    <a:prstGeom prst="rect">
                      <a:avLst/>
                    </a:prstGeom>
                    <a:noFill/>
                    <a:ln>
                      <a:noFill/>
                    </a:ln>
                  </pic:spPr>
                </pic:pic>
              </a:graphicData>
            </a:graphic>
          </wp:anchor>
        </w:drawing>
      </w:r>
    </w:p>
    <w:p w14:paraId="2FBA2535">
      <w:pPr>
        <w:pStyle w:val="28"/>
        <w:spacing w:line="600" w:lineRule="exact"/>
        <w:ind w:firstLine="0" w:firstLineChars="0"/>
        <w:jc w:val="left"/>
        <w:outlineLvl w:val="1"/>
        <w:rPr>
          <w:rFonts w:ascii="仿宋_GB2312" w:hAnsi="仿宋_GB2312" w:eastAsia="仿宋_GB2312" w:cs="仿宋_GB2312"/>
          <w:sz w:val="32"/>
          <w:szCs w:val="32"/>
        </w:rPr>
      </w:pPr>
    </w:p>
    <w:p w14:paraId="67099A1D">
      <w:pPr>
        <w:pStyle w:val="28"/>
        <w:spacing w:line="600" w:lineRule="exact"/>
        <w:ind w:firstLine="0" w:firstLineChars="0"/>
        <w:jc w:val="left"/>
        <w:outlineLvl w:val="1"/>
        <w:rPr>
          <w:rFonts w:ascii="仿宋_GB2312" w:hAnsi="仿宋_GB2312" w:eastAsia="仿宋_GB2312" w:cs="仿宋_GB2312"/>
          <w:sz w:val="32"/>
          <w:szCs w:val="32"/>
        </w:rPr>
      </w:pPr>
    </w:p>
    <w:p w14:paraId="1A78D47A">
      <w:pPr>
        <w:pStyle w:val="28"/>
        <w:spacing w:line="600" w:lineRule="exact"/>
        <w:ind w:firstLine="640"/>
        <w:jc w:val="left"/>
        <w:outlineLvl w:val="1"/>
        <w:rPr>
          <w:rFonts w:ascii="仿宋_GB2312" w:hAnsi="仿宋_GB2312" w:eastAsia="仿宋_GB2312" w:cs="仿宋_GB2312"/>
          <w:sz w:val="32"/>
          <w:szCs w:val="32"/>
        </w:rPr>
      </w:pPr>
    </w:p>
    <w:p w14:paraId="30F45461">
      <w:pPr>
        <w:pStyle w:val="28"/>
        <w:spacing w:line="600" w:lineRule="exact"/>
        <w:ind w:firstLine="640"/>
        <w:jc w:val="left"/>
        <w:outlineLvl w:val="1"/>
        <w:rPr>
          <w:rFonts w:ascii="仿宋_GB2312" w:hAnsi="仿宋_GB2312" w:eastAsia="仿宋_GB2312" w:cs="仿宋_GB2312"/>
          <w:sz w:val="32"/>
          <w:szCs w:val="32"/>
        </w:rPr>
      </w:pPr>
    </w:p>
    <w:p w14:paraId="11032BC9">
      <w:pPr>
        <w:pStyle w:val="28"/>
        <w:spacing w:line="600" w:lineRule="exact"/>
        <w:ind w:firstLine="640"/>
        <w:jc w:val="left"/>
        <w:outlineLvl w:val="1"/>
        <w:rPr>
          <w:rFonts w:ascii="仿宋_GB2312" w:hAnsi="仿宋_GB2312" w:eastAsia="仿宋_GB2312" w:cs="仿宋_GB2312"/>
          <w:sz w:val="32"/>
          <w:szCs w:val="32"/>
        </w:rPr>
      </w:pPr>
    </w:p>
    <w:p w14:paraId="3F1D126E">
      <w:pPr>
        <w:pStyle w:val="28"/>
        <w:spacing w:line="600" w:lineRule="exact"/>
        <w:ind w:firstLine="0" w:firstLineChars="0"/>
        <w:jc w:val="left"/>
        <w:outlineLvl w:val="1"/>
        <w:rPr>
          <w:rFonts w:ascii="仿宋_GB2312" w:hAnsi="仿宋_GB2312" w:eastAsia="仿宋_GB2312" w:cs="仿宋_GB2312"/>
          <w:sz w:val="32"/>
          <w:szCs w:val="32"/>
        </w:rPr>
      </w:pPr>
    </w:p>
    <w:p w14:paraId="060CA194">
      <w:pPr>
        <w:pStyle w:val="28"/>
        <w:spacing w:line="600" w:lineRule="exact"/>
        <w:ind w:firstLine="640"/>
        <w:outlineLvl w:val="1"/>
        <w:rPr>
          <w:rStyle w:val="30"/>
          <w:rFonts w:ascii="Times New Roman" w:hAnsi="Times New Roman" w:eastAsia="黑体"/>
          <w:b w:val="0"/>
        </w:rPr>
      </w:pPr>
      <w:bookmarkStart w:id="24" w:name="_Toc15396605"/>
      <w:bookmarkStart w:id="25" w:name="_Toc15377207"/>
      <w:r>
        <w:rPr>
          <w:rFonts w:hint="eastAsia" w:eastAsia="黑体"/>
          <w:sz w:val="32"/>
          <w:szCs w:val="32"/>
        </w:rPr>
        <w:t>三、支</w:t>
      </w:r>
      <w:r>
        <w:rPr>
          <w:rStyle w:val="30"/>
          <w:rFonts w:hint="eastAsia" w:ascii="Times New Roman" w:hAnsi="Times New Roman" w:eastAsia="黑体"/>
          <w:b w:val="0"/>
        </w:rPr>
        <w:t>出决算情况说明</w:t>
      </w:r>
      <w:bookmarkEnd w:id="24"/>
      <w:bookmarkEnd w:id="25"/>
    </w:p>
    <w:p w14:paraId="5DC48504">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2024年度本年支出合计2175.52万元，其中：基本支出1721.83万元，占79.14%；项目支出453.7万元，占20.85%；上缴上级支出0万元，占0%；经营支出0万元，占0%；对附属单位补助支出0万元，占0%。</w:t>
      </w:r>
    </w:p>
    <w:p w14:paraId="60EC7CF2">
      <w:pPr>
        <w:ind w:firstLine="800" w:firstLineChars="250"/>
        <w:rPr>
          <w:rFonts w:ascii="仿宋_GB2312" w:hAnsi="仿宋_GB2312"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图3：支出决算结构图</w:t>
      </w:r>
      <w:r>
        <w:rPr>
          <w:rFonts w:hint="eastAsia" w:eastAsia="仿宋_GB2312" w:cs="仿宋_GB2312"/>
          <w:sz w:val="32"/>
          <w:szCs w:val="32"/>
          <w:lang w:eastAsia="zh-CN"/>
        </w:rPr>
        <w:t>）</w:t>
      </w:r>
    </w:p>
    <w:p w14:paraId="67E4535E">
      <w:pPr>
        <w:pStyle w:val="28"/>
        <w:spacing w:line="600" w:lineRule="exact"/>
        <w:jc w:val="left"/>
        <w:outlineLvl w:val="1"/>
      </w:pPr>
      <w:r>
        <w:drawing>
          <wp:anchor distT="0" distB="0" distL="114300" distR="114300" simplePos="0" relativeHeight="251660288" behindDoc="0" locked="0" layoutInCell="1" allowOverlap="1">
            <wp:simplePos x="0" y="0"/>
            <wp:positionH relativeFrom="column">
              <wp:posOffset>51435</wp:posOffset>
            </wp:positionH>
            <wp:positionV relativeFrom="paragraph">
              <wp:posOffset>127000</wp:posOffset>
            </wp:positionV>
            <wp:extent cx="5266055" cy="2611120"/>
            <wp:effectExtent l="0" t="0" r="10795" b="1778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5266055" cy="2611120"/>
                    </a:xfrm>
                    <a:prstGeom prst="rect">
                      <a:avLst/>
                    </a:prstGeom>
                    <a:noFill/>
                    <a:ln>
                      <a:noFill/>
                    </a:ln>
                  </pic:spPr>
                </pic:pic>
              </a:graphicData>
            </a:graphic>
          </wp:anchor>
        </w:drawing>
      </w:r>
    </w:p>
    <w:p w14:paraId="62689FAE">
      <w:pPr>
        <w:pStyle w:val="28"/>
        <w:spacing w:line="600" w:lineRule="exact"/>
        <w:jc w:val="left"/>
        <w:outlineLvl w:val="1"/>
      </w:pPr>
    </w:p>
    <w:p w14:paraId="1C31298C">
      <w:pPr>
        <w:pStyle w:val="28"/>
        <w:spacing w:line="600" w:lineRule="exact"/>
        <w:jc w:val="left"/>
        <w:outlineLvl w:val="1"/>
      </w:pPr>
    </w:p>
    <w:p w14:paraId="311D3F0E">
      <w:pPr>
        <w:pStyle w:val="28"/>
        <w:spacing w:line="600" w:lineRule="exact"/>
        <w:jc w:val="left"/>
        <w:outlineLvl w:val="1"/>
      </w:pPr>
    </w:p>
    <w:p w14:paraId="485106EF">
      <w:pPr>
        <w:pStyle w:val="28"/>
        <w:spacing w:line="600" w:lineRule="exact"/>
        <w:jc w:val="left"/>
        <w:outlineLvl w:val="1"/>
      </w:pPr>
    </w:p>
    <w:p w14:paraId="4A6B3D61">
      <w:pPr>
        <w:pStyle w:val="28"/>
        <w:spacing w:line="600" w:lineRule="exact"/>
        <w:jc w:val="left"/>
        <w:outlineLvl w:val="1"/>
      </w:pPr>
    </w:p>
    <w:p w14:paraId="75A3BBC1">
      <w:pPr>
        <w:pStyle w:val="28"/>
        <w:spacing w:line="600" w:lineRule="exact"/>
        <w:jc w:val="left"/>
        <w:outlineLvl w:val="1"/>
      </w:pPr>
    </w:p>
    <w:p w14:paraId="6A4224D0">
      <w:pPr>
        <w:pStyle w:val="28"/>
        <w:spacing w:line="600" w:lineRule="exact"/>
        <w:ind w:firstLine="640"/>
        <w:jc w:val="left"/>
        <w:outlineLvl w:val="1"/>
        <w:rPr>
          <w:rFonts w:ascii="仿宋_GB2312" w:hAnsi="仿宋_GB2312" w:eastAsia="仿宋_GB2312" w:cs="仿宋_GB2312"/>
          <w:sz w:val="32"/>
          <w:szCs w:val="32"/>
        </w:rPr>
      </w:pPr>
    </w:p>
    <w:p w14:paraId="57C6560C">
      <w:pPr>
        <w:ind w:firstLine="800" w:firstLineChars="250"/>
        <w:rPr>
          <w:rFonts w:eastAsia="仿宋_GB2312" w:cs="仿宋_GB2312"/>
          <w:sz w:val="32"/>
          <w:szCs w:val="32"/>
        </w:rPr>
      </w:pPr>
    </w:p>
    <w:p w14:paraId="5D91885D">
      <w:pPr>
        <w:spacing w:line="600" w:lineRule="exact"/>
        <w:ind w:firstLine="640" w:firstLineChars="200"/>
        <w:outlineLvl w:val="1"/>
        <w:rPr>
          <w:rStyle w:val="30"/>
          <w:rFonts w:ascii="Times New Roman" w:hAnsi="Times New Roman" w:eastAsia="黑体"/>
          <w:b w:val="0"/>
        </w:rPr>
      </w:pPr>
      <w:bookmarkStart w:id="26" w:name="_Toc15396606"/>
      <w:bookmarkStart w:id="27"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6"/>
      <w:bookmarkEnd w:id="27"/>
    </w:p>
    <w:p w14:paraId="18EB7076">
      <w:pPr>
        <w:spacing w:line="600" w:lineRule="exact"/>
        <w:ind w:firstLine="640" w:firstLineChars="20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2149.46</w:t>
      </w:r>
      <w:r>
        <w:rPr>
          <w:rFonts w:hint="eastAsia" w:eastAsia="仿宋_GB2312" w:cs="仿宋_GB2312"/>
          <w:sz w:val="32"/>
          <w:szCs w:val="32"/>
        </w:rPr>
        <w:t>万元。与2023年度相比，财政拨款收入总计、支出总计各增加144.08万元，增长7.18%。主要变动原因是项目收入、支出增多。</w:t>
      </w:r>
    </w:p>
    <w:p w14:paraId="23A321DC">
      <w:pPr>
        <w:spacing w:line="600" w:lineRule="exact"/>
        <w:ind w:firstLine="640" w:firstLineChars="200"/>
        <w:rPr>
          <w:rFonts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图4：财政拨款收、支决算总计变动情况</w:t>
      </w:r>
      <w:r>
        <w:rPr>
          <w:rFonts w:hint="eastAsia" w:eastAsia="仿宋_GB2312" w:cs="仿宋_GB2312"/>
          <w:sz w:val="32"/>
          <w:szCs w:val="32"/>
          <w:lang w:eastAsia="zh-CN"/>
        </w:rPr>
        <w:t>）</w:t>
      </w:r>
    </w:p>
    <w:p w14:paraId="39C01AC7">
      <w:pPr>
        <w:pStyle w:val="10"/>
        <w:rPr>
          <w:rFonts w:eastAsia="仿宋_GB2312" w:cs="仿宋_GB2312"/>
          <w:sz w:val="32"/>
          <w:szCs w:val="32"/>
        </w:rPr>
      </w:pPr>
      <w:r>
        <w:drawing>
          <wp:inline distT="0" distB="0" distL="114300" distR="114300">
            <wp:extent cx="5265420" cy="2629535"/>
            <wp:effectExtent l="0" t="0" r="11430" b="184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5265420" cy="2629535"/>
                    </a:xfrm>
                    <a:prstGeom prst="rect">
                      <a:avLst/>
                    </a:prstGeom>
                    <a:noFill/>
                    <a:ln>
                      <a:noFill/>
                    </a:ln>
                  </pic:spPr>
                </pic:pic>
              </a:graphicData>
            </a:graphic>
          </wp:inline>
        </w:drawing>
      </w:r>
    </w:p>
    <w:p w14:paraId="35F5C97F">
      <w:pPr>
        <w:spacing w:line="600" w:lineRule="exact"/>
        <w:ind w:firstLine="640" w:firstLineChars="200"/>
        <w:outlineLvl w:val="1"/>
        <w:rPr>
          <w:rFonts w:eastAsia="黑体"/>
          <w:sz w:val="32"/>
          <w:szCs w:val="32"/>
        </w:rPr>
      </w:pPr>
      <w:bookmarkStart w:id="28" w:name="_Toc15377209"/>
      <w:bookmarkStart w:id="29" w:name="_Toc15396607"/>
    </w:p>
    <w:p w14:paraId="01F8A0E6">
      <w:pPr>
        <w:spacing w:line="600" w:lineRule="exact"/>
        <w:ind w:firstLine="640" w:firstLineChars="200"/>
        <w:outlineLvl w:val="1"/>
        <w:rPr>
          <w:rStyle w:val="30"/>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8"/>
      <w:bookmarkEnd w:id="29"/>
    </w:p>
    <w:p w14:paraId="7DD1E3E0">
      <w:pPr>
        <w:spacing w:line="600" w:lineRule="exact"/>
        <w:ind w:firstLine="643" w:firstLineChars="200"/>
        <w:outlineLvl w:val="2"/>
        <w:rPr>
          <w:rFonts w:eastAsia="楷体_GB2312" w:cs="楷体_GB2312"/>
          <w:b/>
          <w:sz w:val="32"/>
          <w:szCs w:val="32"/>
        </w:rPr>
      </w:pPr>
      <w:bookmarkStart w:id="30" w:name="_Toc15377210"/>
      <w:r>
        <w:rPr>
          <w:rFonts w:hint="eastAsia" w:eastAsia="楷体_GB2312" w:cs="楷体_GB2312"/>
          <w:b/>
          <w:sz w:val="32"/>
          <w:szCs w:val="32"/>
        </w:rPr>
        <w:t>（一）一般公共预算财政拨款支出决算总体情况</w:t>
      </w:r>
      <w:bookmarkEnd w:id="30"/>
    </w:p>
    <w:p w14:paraId="57A512F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2024年度一般公共预算财政拨款支出2149.46万元，占本年支出合计的98.8%。与2023年度相比，一般公共预算财政拨款支出增加144.08万元，增长7.18%。主要变动原因是项目支出增多。</w:t>
      </w:r>
    </w:p>
    <w:p w14:paraId="5C1B54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eastAsia="仿宋_GB2312" w:cs="仿宋_GB2312"/>
          <w:sz w:val="32"/>
          <w:szCs w:val="32"/>
          <w:lang w:eastAsia="zh-CN"/>
        </w:rPr>
        <w:t>（</w:t>
      </w:r>
      <w:r>
        <w:rPr>
          <w:rFonts w:hint="eastAsia" w:eastAsia="仿宋_GB2312" w:cs="仿宋_GB2312"/>
          <w:sz w:val="32"/>
          <w:szCs w:val="32"/>
        </w:rPr>
        <w:t>图5：一般公共预算财政拨款支出决算变动情况</w:t>
      </w:r>
      <w:r>
        <w:rPr>
          <w:rFonts w:hint="eastAsia" w:eastAsia="仿宋_GB2312" w:cs="仿宋_GB2312"/>
          <w:sz w:val="32"/>
          <w:szCs w:val="32"/>
          <w:lang w:eastAsia="zh-CN"/>
        </w:rPr>
        <w:t>）</w:t>
      </w:r>
    </w:p>
    <w:p w14:paraId="1F3D0B17">
      <w:pPr>
        <w:pStyle w:val="10"/>
        <w:rPr>
          <w:rFonts w:ascii="仿宋_GB2312" w:hAnsi="仿宋_GB2312" w:eastAsia="仿宋_GB2312" w:cs="仿宋_GB2312"/>
          <w:sz w:val="32"/>
          <w:szCs w:val="32"/>
        </w:rPr>
      </w:pPr>
    </w:p>
    <w:p w14:paraId="4C02D038">
      <w:pPr>
        <w:pStyle w:val="10"/>
        <w:rPr>
          <w:rFonts w:ascii="仿宋_GB2312" w:hAnsi="仿宋_GB2312" w:eastAsia="仿宋_GB2312" w:cs="仿宋_GB2312"/>
          <w:sz w:val="32"/>
          <w:szCs w:val="32"/>
        </w:rPr>
      </w:pPr>
      <w:r>
        <w:drawing>
          <wp:inline distT="0" distB="0" distL="114300" distR="114300">
            <wp:extent cx="5267325" cy="2614930"/>
            <wp:effectExtent l="0" t="0" r="9525" b="139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267325" cy="2614930"/>
                    </a:xfrm>
                    <a:prstGeom prst="rect">
                      <a:avLst/>
                    </a:prstGeom>
                    <a:noFill/>
                    <a:ln>
                      <a:noFill/>
                    </a:ln>
                  </pic:spPr>
                </pic:pic>
              </a:graphicData>
            </a:graphic>
          </wp:inline>
        </w:drawing>
      </w:r>
    </w:p>
    <w:p w14:paraId="16D1054A">
      <w:pPr>
        <w:spacing w:line="600" w:lineRule="exact"/>
        <w:ind w:firstLine="643" w:firstLineChars="200"/>
        <w:outlineLvl w:val="2"/>
        <w:rPr>
          <w:rFonts w:eastAsia="楷体_GB2312" w:cs="楷体_GB2312"/>
          <w:b/>
          <w:sz w:val="32"/>
          <w:szCs w:val="32"/>
        </w:rPr>
      </w:pPr>
      <w:bookmarkStart w:id="31" w:name="_Toc15377211"/>
      <w:r>
        <w:rPr>
          <w:rFonts w:hint="eastAsia" w:eastAsia="楷体_GB2312" w:cs="楷体_GB2312"/>
          <w:b/>
          <w:sz w:val="32"/>
          <w:szCs w:val="32"/>
        </w:rPr>
        <w:t>（二）一般公共预算财政拨款支出决算结构情况</w:t>
      </w:r>
      <w:bookmarkEnd w:id="31"/>
    </w:p>
    <w:p w14:paraId="1F6A7E7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2149.46万元</w:t>
      </w:r>
      <w:r>
        <w:rPr>
          <w:rFonts w:hint="eastAsia" w:eastAsia="仿宋_GB2312" w:cs="仿宋_GB2312"/>
          <w:sz w:val="32"/>
          <w:szCs w:val="32"/>
        </w:rPr>
        <w:t>，主要用于以下方面：一般公共服务支出1622.48万元，占75.48%；社会保障和就业支出302.58万元，占14.08%；卫生健康支出128.76万元，占5.99%；住房保障支出117.27万元，占5.46%。</w:t>
      </w:r>
    </w:p>
    <w:p w14:paraId="361B52C6">
      <w:pPr>
        <w:spacing w:line="600" w:lineRule="exact"/>
        <w:ind w:firstLine="640"/>
      </w:pPr>
      <w:r>
        <w:rPr>
          <w:rFonts w:hint="eastAsia" w:eastAsia="仿宋_GB2312" w:cs="仿宋_GB2312"/>
          <w:sz w:val="32"/>
          <w:szCs w:val="32"/>
          <w:lang w:eastAsia="zh-CN"/>
        </w:rPr>
        <w:t>（</w:t>
      </w:r>
      <w:r>
        <w:rPr>
          <w:rFonts w:hint="eastAsia" w:eastAsia="仿宋_GB2312" w:cs="仿宋_GB2312"/>
          <w:sz w:val="32"/>
          <w:szCs w:val="32"/>
        </w:rPr>
        <w:t>图6：一般公共预算财政拨款支出决算结构</w:t>
      </w:r>
      <w:r>
        <w:rPr>
          <w:rFonts w:hint="eastAsia" w:eastAsia="仿宋_GB2312" w:cs="仿宋_GB2312"/>
          <w:sz w:val="32"/>
          <w:szCs w:val="32"/>
          <w:lang w:eastAsia="zh-CN"/>
        </w:rPr>
        <w:t>）</w:t>
      </w:r>
    </w:p>
    <w:p w14:paraId="5B085837">
      <w:pPr>
        <w:pStyle w:val="10"/>
        <w:rPr>
          <w:rFonts w:eastAsia="仿宋_GB2312" w:cs="仿宋_GB2312"/>
          <w:sz w:val="32"/>
          <w:szCs w:val="32"/>
        </w:rPr>
      </w:pPr>
      <w:r>
        <w:drawing>
          <wp:inline distT="0" distB="0" distL="114300" distR="114300">
            <wp:extent cx="5267960" cy="2629535"/>
            <wp:effectExtent l="0" t="0" r="8890" b="1841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267960" cy="2629535"/>
                    </a:xfrm>
                    <a:prstGeom prst="rect">
                      <a:avLst/>
                    </a:prstGeom>
                    <a:noFill/>
                    <a:ln>
                      <a:noFill/>
                    </a:ln>
                  </pic:spPr>
                </pic:pic>
              </a:graphicData>
            </a:graphic>
          </wp:inline>
        </w:drawing>
      </w:r>
    </w:p>
    <w:p w14:paraId="48BF7D57">
      <w:pPr>
        <w:spacing w:line="600" w:lineRule="exact"/>
        <w:ind w:firstLine="643" w:firstLineChars="200"/>
        <w:outlineLvl w:val="2"/>
        <w:rPr>
          <w:rFonts w:eastAsia="楷体_GB2312" w:cs="楷体_GB2312"/>
          <w:b/>
          <w:sz w:val="32"/>
          <w:szCs w:val="32"/>
        </w:rPr>
      </w:pPr>
      <w:bookmarkStart w:id="32" w:name="_Toc15377212"/>
      <w:r>
        <w:rPr>
          <w:rFonts w:hint="eastAsia" w:eastAsia="楷体_GB2312" w:cs="楷体_GB2312"/>
          <w:b/>
          <w:sz w:val="32"/>
          <w:szCs w:val="32"/>
        </w:rPr>
        <w:t>（三）一般公共预算财政拨款支出决算具体情况</w:t>
      </w:r>
      <w:bookmarkEnd w:id="32"/>
    </w:p>
    <w:p w14:paraId="5076792C">
      <w:pPr>
        <w:spacing w:line="600" w:lineRule="exact"/>
        <w:ind w:firstLine="640"/>
        <w:rPr>
          <w:rFonts w:eastAsia="仿宋_GB2312" w:cs="仿宋_GB2312"/>
          <w:sz w:val="32"/>
          <w:szCs w:val="32"/>
        </w:rPr>
      </w:pPr>
      <w:bookmarkStart w:id="33" w:name="_Toc15378460"/>
      <w:bookmarkStart w:id="34" w:name="_Toc15377444"/>
      <w:bookmarkStart w:id="35"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2149.46万元，</w:t>
      </w:r>
      <w:r>
        <w:rPr>
          <w:rFonts w:hint="eastAsia" w:eastAsia="仿宋_GB2312" w:cs="仿宋_GB2312"/>
          <w:sz w:val="32"/>
          <w:szCs w:val="32"/>
        </w:rPr>
        <w:t>完成预算100%。其中：</w:t>
      </w:r>
      <w:bookmarkEnd w:id="33"/>
      <w:bookmarkEnd w:id="34"/>
      <w:bookmarkEnd w:id="35"/>
    </w:p>
    <w:p w14:paraId="17CA03E2">
      <w:pPr>
        <w:spacing w:line="600" w:lineRule="exact"/>
        <w:ind w:firstLine="640"/>
        <w:rPr>
          <w:rFonts w:eastAsia="仿宋_GB2312" w:cs="仿宋_GB2312"/>
          <w:sz w:val="32"/>
          <w:szCs w:val="32"/>
        </w:rPr>
      </w:pPr>
      <w:r>
        <w:rPr>
          <w:rFonts w:hint="eastAsia" w:eastAsia="仿宋_GB2312" w:cs="仿宋_GB2312"/>
          <w:sz w:val="32"/>
          <w:szCs w:val="32"/>
        </w:rPr>
        <w:t>1.一般公共服务（201类）宣传事务（33款）一般行政管理事务（02项）：支出决算为1.32万元，完成预算100%。</w:t>
      </w:r>
    </w:p>
    <w:p w14:paraId="497981A9">
      <w:pPr>
        <w:spacing w:line="600" w:lineRule="exact"/>
        <w:ind w:firstLine="640" w:firstLineChars="200"/>
        <w:rPr>
          <w:rFonts w:eastAsia="仿宋_GB2312" w:cs="仿宋_GB2312"/>
          <w:sz w:val="32"/>
          <w:szCs w:val="32"/>
        </w:rPr>
      </w:pPr>
      <w:r>
        <w:rPr>
          <w:rFonts w:eastAsia="仿宋_GB2312" w:cs="仿宋_GB2312"/>
          <w:sz w:val="32"/>
          <w:szCs w:val="32"/>
        </w:rPr>
        <w:t>2.一般公共服务（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w:t>
      </w:r>
      <w:r>
        <w:rPr>
          <w:rFonts w:hint="eastAsia" w:eastAsia="仿宋_GB2312" w:cs="仿宋_GB2312"/>
          <w:sz w:val="32"/>
          <w:szCs w:val="32"/>
        </w:rPr>
        <w:t>行政</w:t>
      </w:r>
      <w:r>
        <w:rPr>
          <w:rFonts w:eastAsia="仿宋_GB2312" w:cs="仿宋_GB2312"/>
          <w:sz w:val="32"/>
          <w:szCs w:val="32"/>
        </w:rPr>
        <w:t>运行（</w:t>
      </w:r>
      <w:r>
        <w:rPr>
          <w:rFonts w:hint="eastAsia" w:eastAsia="仿宋_GB2312" w:cs="仿宋_GB2312"/>
          <w:sz w:val="32"/>
          <w:szCs w:val="32"/>
        </w:rPr>
        <w:t>01</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1067.28</w:t>
      </w:r>
      <w:r>
        <w:rPr>
          <w:rFonts w:eastAsia="仿宋_GB2312" w:cs="仿宋_GB2312"/>
          <w:sz w:val="32"/>
          <w:szCs w:val="32"/>
        </w:rPr>
        <w:t>万元，完成预算100%。</w:t>
      </w:r>
    </w:p>
    <w:p w14:paraId="5DC079F9">
      <w:pPr>
        <w:spacing w:line="600" w:lineRule="exact"/>
        <w:ind w:firstLine="640" w:firstLineChars="200"/>
        <w:rPr>
          <w:rFonts w:eastAsia="仿宋_GB2312" w:cs="仿宋_GB2312"/>
          <w:sz w:val="32"/>
          <w:szCs w:val="32"/>
        </w:rPr>
      </w:pPr>
      <w:r>
        <w:rPr>
          <w:rFonts w:eastAsia="仿宋_GB2312" w:cs="仿宋_GB2312"/>
          <w:sz w:val="32"/>
          <w:szCs w:val="32"/>
        </w:rPr>
        <w:t>3.一般公共服务（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款）药品事务（</w:t>
      </w:r>
      <w:r>
        <w:rPr>
          <w:rFonts w:hint="eastAsia" w:eastAsia="仿宋_GB2312" w:cs="仿宋_GB2312"/>
          <w:sz w:val="32"/>
          <w:szCs w:val="32"/>
        </w:rPr>
        <w:t>12</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支出决算为6万元，完成预算100%。</w:t>
      </w:r>
    </w:p>
    <w:p w14:paraId="4871CEE7">
      <w:pPr>
        <w:spacing w:line="600" w:lineRule="exact"/>
        <w:ind w:firstLine="640" w:firstLineChars="200"/>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w:t>
      </w:r>
      <w:r>
        <w:rPr>
          <w:rFonts w:hint="eastAsia" w:eastAsia="仿宋_GB2312" w:cs="仿宋_GB2312"/>
          <w:sz w:val="32"/>
          <w:szCs w:val="32"/>
        </w:rPr>
        <w:t>质量</w:t>
      </w:r>
      <w:r>
        <w:rPr>
          <w:rFonts w:eastAsia="仿宋_GB2312" w:cs="仿宋_GB2312"/>
          <w:sz w:val="32"/>
          <w:szCs w:val="32"/>
        </w:rPr>
        <w:t>安全监管（</w:t>
      </w:r>
      <w:r>
        <w:rPr>
          <w:rFonts w:hint="eastAsia" w:eastAsia="仿宋_GB2312" w:cs="仿宋_GB2312"/>
          <w:sz w:val="32"/>
          <w:szCs w:val="32"/>
        </w:rPr>
        <w:t>15</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4.84</w:t>
      </w:r>
      <w:r>
        <w:rPr>
          <w:rFonts w:eastAsia="仿宋_GB2312" w:cs="仿宋_GB2312"/>
          <w:sz w:val="32"/>
          <w:szCs w:val="32"/>
        </w:rPr>
        <w:t>万元，完成预算100%。</w:t>
      </w:r>
    </w:p>
    <w:p w14:paraId="45344C41">
      <w:pPr>
        <w:spacing w:line="600" w:lineRule="exact"/>
        <w:ind w:firstLine="640" w:firstLineChars="200"/>
        <w:rPr>
          <w:rFonts w:eastAsia="仿宋_GB2312" w:cs="仿宋_GB2312"/>
          <w:sz w:val="32"/>
          <w:szCs w:val="32"/>
        </w:rPr>
      </w:pPr>
      <w:r>
        <w:rPr>
          <w:rFonts w:hint="eastAsia" w:eastAsia="仿宋_GB2312" w:cs="仿宋_GB2312"/>
          <w:sz w:val="32"/>
          <w:szCs w:val="32"/>
        </w:rPr>
        <w:t>5</w:t>
      </w:r>
      <w:r>
        <w:rPr>
          <w:rFonts w:eastAsia="仿宋_GB2312" w:cs="仿宋_GB2312"/>
          <w:sz w:val="32"/>
          <w:szCs w:val="32"/>
        </w:rPr>
        <w:t>.一般公共服务（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款）食品安全监管（</w:t>
      </w:r>
      <w:r>
        <w:rPr>
          <w:rFonts w:hint="eastAsia" w:eastAsia="仿宋_GB2312" w:cs="仿宋_GB2312"/>
          <w:sz w:val="32"/>
          <w:szCs w:val="32"/>
        </w:rPr>
        <w:t>16</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1112.21</w:t>
      </w:r>
      <w:r>
        <w:rPr>
          <w:rFonts w:eastAsia="仿宋_GB2312" w:cs="仿宋_GB2312"/>
          <w:sz w:val="32"/>
          <w:szCs w:val="32"/>
        </w:rPr>
        <w:t>万元，完成预算100%。</w:t>
      </w:r>
    </w:p>
    <w:p w14:paraId="1A20BA27">
      <w:pPr>
        <w:spacing w:line="600" w:lineRule="exact"/>
        <w:ind w:firstLine="640" w:firstLineChars="200"/>
        <w:rPr>
          <w:rFonts w:eastAsia="仿宋_GB2312" w:cs="仿宋_GB2312"/>
          <w:sz w:val="32"/>
          <w:szCs w:val="32"/>
        </w:rPr>
      </w:pPr>
      <w:r>
        <w:rPr>
          <w:rFonts w:hint="eastAsia" w:eastAsia="仿宋_GB2312" w:cs="仿宋_GB2312"/>
          <w:sz w:val="32"/>
          <w:szCs w:val="32"/>
        </w:rPr>
        <w:t>6</w:t>
      </w:r>
      <w:r>
        <w:rPr>
          <w:rFonts w:eastAsia="仿宋_GB2312" w:cs="仿宋_GB2312"/>
          <w:sz w:val="32"/>
          <w:szCs w:val="32"/>
        </w:rPr>
        <w:t>.一般公共服务（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款）事业运行（</w:t>
      </w:r>
      <w:r>
        <w:rPr>
          <w:rFonts w:hint="eastAsia" w:eastAsia="仿宋_GB2312" w:cs="仿宋_GB2312"/>
          <w:sz w:val="32"/>
          <w:szCs w:val="32"/>
        </w:rPr>
        <w:t>50</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129.26</w:t>
      </w:r>
      <w:r>
        <w:rPr>
          <w:rFonts w:eastAsia="仿宋_GB2312" w:cs="仿宋_GB2312"/>
          <w:sz w:val="32"/>
          <w:szCs w:val="32"/>
        </w:rPr>
        <w:t>万元，完成预算100%。</w:t>
      </w:r>
    </w:p>
    <w:p w14:paraId="4C96A2D0">
      <w:pPr>
        <w:spacing w:line="600" w:lineRule="exact"/>
        <w:ind w:firstLine="640" w:firstLineChars="200"/>
        <w:rPr>
          <w:rFonts w:eastAsia="仿宋_GB2312" w:cs="仿宋_GB2312"/>
          <w:sz w:val="32"/>
          <w:szCs w:val="32"/>
        </w:rPr>
      </w:pPr>
      <w:r>
        <w:rPr>
          <w:rFonts w:hint="eastAsia" w:eastAsia="仿宋_GB2312" w:cs="仿宋_GB2312"/>
          <w:sz w:val="32"/>
          <w:szCs w:val="32"/>
        </w:rPr>
        <w:t>7</w:t>
      </w:r>
      <w:r>
        <w:rPr>
          <w:rFonts w:eastAsia="仿宋_GB2312" w:cs="仿宋_GB2312"/>
          <w:sz w:val="32"/>
          <w:szCs w:val="32"/>
        </w:rPr>
        <w:t>.一般公共服务（</w:t>
      </w:r>
      <w:r>
        <w:rPr>
          <w:rFonts w:hint="eastAsia" w:eastAsia="仿宋_GB2312" w:cs="仿宋_GB2312"/>
          <w:sz w:val="32"/>
          <w:szCs w:val="32"/>
        </w:rPr>
        <w:t>201</w:t>
      </w:r>
      <w:r>
        <w:rPr>
          <w:rFonts w:eastAsia="仿宋_GB2312" w:cs="仿宋_GB2312"/>
          <w:sz w:val="32"/>
          <w:szCs w:val="32"/>
        </w:rPr>
        <w:t>类）市场监督管理事务（</w:t>
      </w:r>
      <w:r>
        <w:rPr>
          <w:rFonts w:hint="eastAsia" w:eastAsia="仿宋_GB2312" w:cs="仿宋_GB2312"/>
          <w:sz w:val="32"/>
          <w:szCs w:val="32"/>
        </w:rPr>
        <w:t>38</w:t>
      </w:r>
      <w:r>
        <w:rPr>
          <w:rFonts w:eastAsia="仿宋_GB2312" w:cs="仿宋_GB2312"/>
          <w:sz w:val="32"/>
          <w:szCs w:val="32"/>
        </w:rPr>
        <w:t>款）其他市场监督管理事务（</w:t>
      </w:r>
      <w:r>
        <w:rPr>
          <w:rFonts w:hint="eastAsia" w:eastAsia="仿宋_GB2312" w:cs="仿宋_GB2312"/>
          <w:sz w:val="32"/>
          <w:szCs w:val="32"/>
        </w:rPr>
        <w:t>99</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302.58</w:t>
      </w:r>
      <w:r>
        <w:rPr>
          <w:rFonts w:eastAsia="仿宋_GB2312" w:cs="仿宋_GB2312"/>
          <w:sz w:val="32"/>
          <w:szCs w:val="32"/>
        </w:rPr>
        <w:t>万元，完成预算100%。</w:t>
      </w:r>
    </w:p>
    <w:p w14:paraId="43D43D2B">
      <w:pPr>
        <w:spacing w:line="600" w:lineRule="exact"/>
        <w:ind w:firstLine="640" w:firstLineChars="200"/>
        <w:rPr>
          <w:rFonts w:eastAsia="仿宋_GB2312" w:cs="仿宋_GB2312"/>
          <w:sz w:val="32"/>
          <w:szCs w:val="32"/>
        </w:rPr>
      </w:pPr>
      <w:r>
        <w:rPr>
          <w:rFonts w:hint="eastAsia" w:eastAsia="仿宋_GB2312" w:cs="仿宋_GB2312"/>
          <w:sz w:val="32"/>
          <w:szCs w:val="32"/>
        </w:rPr>
        <w:t>8</w:t>
      </w:r>
      <w:r>
        <w:rPr>
          <w:rFonts w:eastAsia="仿宋_GB2312" w:cs="仿宋_GB2312"/>
          <w:sz w:val="32"/>
          <w:szCs w:val="32"/>
        </w:rPr>
        <w:t>.社会保障和就业（</w:t>
      </w:r>
      <w:r>
        <w:rPr>
          <w:rFonts w:hint="eastAsia" w:eastAsia="仿宋_GB2312" w:cs="仿宋_GB2312"/>
          <w:sz w:val="32"/>
          <w:szCs w:val="32"/>
        </w:rPr>
        <w:t>208</w:t>
      </w:r>
      <w:r>
        <w:rPr>
          <w:rFonts w:eastAsia="仿宋_GB2312" w:cs="仿宋_GB2312"/>
          <w:sz w:val="32"/>
          <w:szCs w:val="32"/>
        </w:rPr>
        <w:t>类）行政事业单位养老（</w:t>
      </w:r>
      <w:r>
        <w:rPr>
          <w:rFonts w:hint="eastAsia" w:eastAsia="仿宋_GB2312" w:cs="仿宋_GB2312"/>
          <w:sz w:val="32"/>
          <w:szCs w:val="32"/>
        </w:rPr>
        <w:t>05</w:t>
      </w:r>
      <w:r>
        <w:rPr>
          <w:rFonts w:eastAsia="仿宋_GB2312" w:cs="仿宋_GB2312"/>
          <w:sz w:val="32"/>
          <w:szCs w:val="32"/>
        </w:rPr>
        <w:t>款）行政单位离退休（</w:t>
      </w:r>
      <w:r>
        <w:rPr>
          <w:rFonts w:hint="eastAsia" w:eastAsia="仿宋_GB2312" w:cs="仿宋_GB2312"/>
          <w:sz w:val="32"/>
          <w:szCs w:val="32"/>
        </w:rPr>
        <w:t>01</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96.5</w:t>
      </w:r>
      <w:r>
        <w:rPr>
          <w:rFonts w:eastAsia="仿宋_GB2312" w:cs="仿宋_GB2312"/>
          <w:sz w:val="32"/>
          <w:szCs w:val="32"/>
        </w:rPr>
        <w:t>万元，完成预算100%。</w:t>
      </w:r>
    </w:p>
    <w:p w14:paraId="5A3B116A">
      <w:pPr>
        <w:spacing w:line="600" w:lineRule="exact"/>
        <w:ind w:firstLine="640" w:firstLineChars="200"/>
        <w:rPr>
          <w:rFonts w:eastAsia="仿宋_GB2312" w:cs="仿宋_GB2312"/>
          <w:sz w:val="32"/>
          <w:szCs w:val="32"/>
        </w:rPr>
      </w:pPr>
      <w:r>
        <w:rPr>
          <w:rFonts w:hint="eastAsia" w:eastAsia="仿宋_GB2312" w:cs="仿宋_GB2312"/>
          <w:sz w:val="32"/>
          <w:szCs w:val="32"/>
        </w:rPr>
        <w:t>9</w:t>
      </w:r>
      <w:r>
        <w:rPr>
          <w:rFonts w:eastAsia="仿宋_GB2312" w:cs="仿宋_GB2312"/>
          <w:sz w:val="32"/>
          <w:szCs w:val="32"/>
        </w:rPr>
        <w:t>.社会保障和就业（</w:t>
      </w:r>
      <w:r>
        <w:rPr>
          <w:rFonts w:hint="eastAsia" w:eastAsia="仿宋_GB2312" w:cs="仿宋_GB2312"/>
          <w:sz w:val="32"/>
          <w:szCs w:val="32"/>
        </w:rPr>
        <w:t>208</w:t>
      </w:r>
      <w:r>
        <w:rPr>
          <w:rFonts w:eastAsia="仿宋_GB2312" w:cs="仿宋_GB2312"/>
          <w:sz w:val="32"/>
          <w:szCs w:val="32"/>
        </w:rPr>
        <w:t>类）行政事业单位养老（</w:t>
      </w:r>
      <w:r>
        <w:rPr>
          <w:rFonts w:hint="eastAsia" w:eastAsia="仿宋_GB2312" w:cs="仿宋_GB2312"/>
          <w:sz w:val="32"/>
          <w:szCs w:val="32"/>
        </w:rPr>
        <w:t>05</w:t>
      </w:r>
      <w:r>
        <w:rPr>
          <w:rFonts w:eastAsia="仿宋_GB2312" w:cs="仿宋_GB2312"/>
          <w:sz w:val="32"/>
          <w:szCs w:val="32"/>
        </w:rPr>
        <w:t>款）事业单位离退休（</w:t>
      </w:r>
      <w:r>
        <w:rPr>
          <w:rFonts w:hint="eastAsia" w:eastAsia="仿宋_GB2312" w:cs="仿宋_GB2312"/>
          <w:sz w:val="32"/>
          <w:szCs w:val="32"/>
        </w:rPr>
        <w:t>02</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9.11</w:t>
      </w:r>
      <w:r>
        <w:rPr>
          <w:rFonts w:eastAsia="仿宋_GB2312" w:cs="仿宋_GB2312"/>
          <w:sz w:val="32"/>
          <w:szCs w:val="32"/>
        </w:rPr>
        <w:t>万元，完成预算100%。</w:t>
      </w:r>
    </w:p>
    <w:p w14:paraId="62171520">
      <w:pPr>
        <w:spacing w:line="600" w:lineRule="exact"/>
        <w:ind w:firstLine="640" w:firstLineChars="200"/>
        <w:rPr>
          <w:rFonts w:eastAsia="仿宋_GB2312" w:cs="仿宋_GB2312"/>
          <w:sz w:val="32"/>
          <w:szCs w:val="32"/>
        </w:rPr>
      </w:pPr>
      <w:r>
        <w:rPr>
          <w:rFonts w:hint="eastAsia" w:eastAsia="仿宋_GB2312" w:cs="仿宋_GB2312"/>
          <w:sz w:val="32"/>
          <w:szCs w:val="32"/>
        </w:rPr>
        <w:t>10</w:t>
      </w:r>
      <w:r>
        <w:rPr>
          <w:rFonts w:eastAsia="仿宋_GB2312" w:cs="仿宋_GB2312"/>
          <w:sz w:val="32"/>
          <w:szCs w:val="32"/>
        </w:rPr>
        <w:t>.社会保障和就业（</w:t>
      </w:r>
      <w:r>
        <w:rPr>
          <w:rFonts w:hint="eastAsia" w:eastAsia="仿宋_GB2312" w:cs="仿宋_GB2312"/>
          <w:sz w:val="32"/>
          <w:szCs w:val="32"/>
        </w:rPr>
        <w:t>208</w:t>
      </w:r>
      <w:r>
        <w:rPr>
          <w:rFonts w:eastAsia="仿宋_GB2312" w:cs="仿宋_GB2312"/>
          <w:sz w:val="32"/>
          <w:szCs w:val="32"/>
        </w:rPr>
        <w:t>类）行政事业单位养老（</w:t>
      </w:r>
      <w:r>
        <w:rPr>
          <w:rFonts w:hint="eastAsia" w:eastAsia="仿宋_GB2312" w:cs="仿宋_GB2312"/>
          <w:sz w:val="32"/>
          <w:szCs w:val="32"/>
        </w:rPr>
        <w:t>05</w:t>
      </w:r>
      <w:r>
        <w:rPr>
          <w:rFonts w:eastAsia="仿宋_GB2312" w:cs="仿宋_GB2312"/>
          <w:sz w:val="32"/>
          <w:szCs w:val="32"/>
        </w:rPr>
        <w:t>款）机关事业单位基本养老保险缴费支出（</w:t>
      </w:r>
      <w:r>
        <w:rPr>
          <w:rFonts w:hint="eastAsia" w:eastAsia="仿宋_GB2312" w:cs="仿宋_GB2312"/>
          <w:sz w:val="32"/>
          <w:szCs w:val="32"/>
        </w:rPr>
        <w:t>05</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141.45</w:t>
      </w:r>
      <w:r>
        <w:rPr>
          <w:rFonts w:eastAsia="仿宋_GB2312" w:cs="仿宋_GB2312"/>
          <w:sz w:val="32"/>
          <w:szCs w:val="32"/>
        </w:rPr>
        <w:t>万元，完成预算100%。</w:t>
      </w:r>
    </w:p>
    <w:p w14:paraId="6ED9B3E1">
      <w:pPr>
        <w:spacing w:line="6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1</w:t>
      </w:r>
      <w:r>
        <w:rPr>
          <w:rFonts w:eastAsia="仿宋_GB2312" w:cs="仿宋_GB2312"/>
          <w:sz w:val="32"/>
          <w:szCs w:val="32"/>
        </w:rPr>
        <w:t>.社会保障和就业（</w:t>
      </w:r>
      <w:r>
        <w:rPr>
          <w:rFonts w:hint="eastAsia" w:eastAsia="仿宋_GB2312" w:cs="仿宋_GB2312"/>
          <w:sz w:val="32"/>
          <w:szCs w:val="32"/>
        </w:rPr>
        <w:t>208</w:t>
      </w:r>
      <w:r>
        <w:rPr>
          <w:rFonts w:eastAsia="仿宋_GB2312" w:cs="仿宋_GB2312"/>
          <w:sz w:val="32"/>
          <w:szCs w:val="32"/>
        </w:rPr>
        <w:t>类）行政事业单位养老（</w:t>
      </w:r>
      <w:r>
        <w:rPr>
          <w:rFonts w:hint="eastAsia" w:eastAsia="仿宋_GB2312" w:cs="仿宋_GB2312"/>
          <w:sz w:val="32"/>
          <w:szCs w:val="32"/>
        </w:rPr>
        <w:t>05</w:t>
      </w:r>
      <w:r>
        <w:rPr>
          <w:rFonts w:eastAsia="仿宋_GB2312" w:cs="仿宋_GB2312"/>
          <w:sz w:val="32"/>
          <w:szCs w:val="32"/>
        </w:rPr>
        <w:t>款）机关事业单位职业年金缴费支出（</w:t>
      </w:r>
      <w:r>
        <w:rPr>
          <w:rFonts w:hint="eastAsia" w:eastAsia="仿宋_GB2312" w:cs="仿宋_GB2312"/>
          <w:sz w:val="32"/>
          <w:szCs w:val="32"/>
        </w:rPr>
        <w:t>06</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26.1</w:t>
      </w:r>
      <w:r>
        <w:rPr>
          <w:rFonts w:eastAsia="仿宋_GB2312" w:cs="仿宋_GB2312"/>
          <w:sz w:val="32"/>
          <w:szCs w:val="32"/>
        </w:rPr>
        <w:t>万元，完成预算100%。</w:t>
      </w:r>
    </w:p>
    <w:p w14:paraId="75ECB554">
      <w:pPr>
        <w:spacing w:line="600" w:lineRule="exact"/>
        <w:ind w:firstLine="640" w:firstLineChars="200"/>
        <w:rPr>
          <w:rFonts w:eastAsia="仿宋_GB2312" w:cs="仿宋_GB2312"/>
          <w:sz w:val="32"/>
          <w:szCs w:val="32"/>
        </w:rPr>
      </w:pPr>
      <w:r>
        <w:rPr>
          <w:rFonts w:eastAsia="仿宋_GB2312" w:cs="仿宋_GB2312"/>
          <w:sz w:val="32"/>
          <w:szCs w:val="32"/>
        </w:rPr>
        <w:t>12.社会保障和就业（</w:t>
      </w:r>
      <w:r>
        <w:rPr>
          <w:rFonts w:hint="eastAsia" w:eastAsia="仿宋_GB2312" w:cs="仿宋_GB2312"/>
          <w:sz w:val="32"/>
          <w:szCs w:val="32"/>
        </w:rPr>
        <w:t>208</w:t>
      </w:r>
      <w:r>
        <w:rPr>
          <w:rFonts w:eastAsia="仿宋_GB2312" w:cs="仿宋_GB2312"/>
          <w:sz w:val="32"/>
          <w:szCs w:val="32"/>
        </w:rPr>
        <w:t>类）抚恤（</w:t>
      </w:r>
      <w:r>
        <w:rPr>
          <w:rFonts w:hint="eastAsia" w:eastAsia="仿宋_GB2312" w:cs="仿宋_GB2312"/>
          <w:sz w:val="32"/>
          <w:szCs w:val="32"/>
        </w:rPr>
        <w:t>08</w:t>
      </w:r>
      <w:r>
        <w:rPr>
          <w:rFonts w:eastAsia="仿宋_GB2312" w:cs="仿宋_GB2312"/>
          <w:sz w:val="32"/>
          <w:szCs w:val="32"/>
        </w:rPr>
        <w:t>款）伤残抚恤（</w:t>
      </w:r>
      <w:r>
        <w:rPr>
          <w:rFonts w:hint="eastAsia" w:eastAsia="仿宋_GB2312" w:cs="仿宋_GB2312"/>
          <w:sz w:val="32"/>
          <w:szCs w:val="32"/>
        </w:rPr>
        <w:t>02</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7.8</w:t>
      </w:r>
      <w:r>
        <w:rPr>
          <w:rFonts w:eastAsia="仿宋_GB2312" w:cs="仿宋_GB2312"/>
          <w:sz w:val="32"/>
          <w:szCs w:val="32"/>
        </w:rPr>
        <w:t>万元，完成预算100%。</w:t>
      </w:r>
    </w:p>
    <w:p w14:paraId="6D8B4B23">
      <w:pPr>
        <w:spacing w:line="600" w:lineRule="exact"/>
        <w:ind w:firstLine="640" w:firstLineChars="200"/>
        <w:rPr>
          <w:rFonts w:eastAsia="仿宋_GB2312" w:cs="仿宋_GB2312"/>
          <w:sz w:val="32"/>
          <w:szCs w:val="32"/>
        </w:rPr>
      </w:pPr>
      <w:r>
        <w:rPr>
          <w:rFonts w:eastAsia="仿宋_GB2312" w:cs="仿宋_GB2312"/>
          <w:sz w:val="32"/>
          <w:szCs w:val="32"/>
        </w:rPr>
        <w:t>13.卫生健康（</w:t>
      </w:r>
      <w:r>
        <w:rPr>
          <w:rFonts w:hint="eastAsia" w:eastAsia="仿宋_GB2312" w:cs="仿宋_GB2312"/>
          <w:sz w:val="32"/>
          <w:szCs w:val="32"/>
        </w:rPr>
        <w:t>210</w:t>
      </w:r>
      <w:r>
        <w:rPr>
          <w:rFonts w:eastAsia="仿宋_GB2312" w:cs="仿宋_GB2312"/>
          <w:sz w:val="32"/>
          <w:szCs w:val="32"/>
        </w:rPr>
        <w:t>类）公共卫生（</w:t>
      </w:r>
      <w:r>
        <w:rPr>
          <w:rFonts w:hint="eastAsia" w:eastAsia="仿宋_GB2312" w:cs="仿宋_GB2312"/>
          <w:sz w:val="32"/>
          <w:szCs w:val="32"/>
        </w:rPr>
        <w:t>11</w:t>
      </w:r>
      <w:r>
        <w:rPr>
          <w:rFonts w:eastAsia="仿宋_GB2312" w:cs="仿宋_GB2312"/>
          <w:sz w:val="32"/>
          <w:szCs w:val="32"/>
        </w:rPr>
        <w:t>款）行政事业单位医疗（</w:t>
      </w:r>
      <w:r>
        <w:rPr>
          <w:rFonts w:hint="eastAsia" w:eastAsia="仿宋_GB2312" w:cs="仿宋_GB2312"/>
          <w:sz w:val="32"/>
          <w:szCs w:val="32"/>
        </w:rPr>
        <w:t>01</w:t>
      </w:r>
      <w:r>
        <w:rPr>
          <w:rFonts w:eastAsia="仿宋_GB2312" w:cs="仿宋_GB2312"/>
          <w:sz w:val="32"/>
          <w:szCs w:val="32"/>
        </w:rPr>
        <w:t>款）行政单位医疗（</w:t>
      </w:r>
      <w:r>
        <w:rPr>
          <w:rFonts w:hint="eastAsia" w:eastAsia="仿宋_GB2312" w:cs="仿宋_GB2312"/>
          <w:sz w:val="32"/>
          <w:szCs w:val="32"/>
        </w:rPr>
        <w:t>01</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68.82</w:t>
      </w:r>
      <w:r>
        <w:rPr>
          <w:rFonts w:eastAsia="仿宋_GB2312" w:cs="仿宋_GB2312"/>
          <w:sz w:val="32"/>
          <w:szCs w:val="32"/>
        </w:rPr>
        <w:t>万元，完成预算100%。</w:t>
      </w:r>
    </w:p>
    <w:p w14:paraId="34DD407F">
      <w:pPr>
        <w:spacing w:line="6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4</w:t>
      </w:r>
      <w:r>
        <w:rPr>
          <w:rFonts w:eastAsia="仿宋_GB2312" w:cs="仿宋_GB2312"/>
          <w:sz w:val="32"/>
          <w:szCs w:val="32"/>
        </w:rPr>
        <w:t>.卫生健康（</w:t>
      </w:r>
      <w:r>
        <w:rPr>
          <w:rFonts w:hint="eastAsia" w:eastAsia="仿宋_GB2312" w:cs="仿宋_GB2312"/>
          <w:sz w:val="32"/>
          <w:szCs w:val="32"/>
        </w:rPr>
        <w:t>210</w:t>
      </w:r>
      <w:r>
        <w:rPr>
          <w:rFonts w:eastAsia="仿宋_GB2312" w:cs="仿宋_GB2312"/>
          <w:sz w:val="32"/>
          <w:szCs w:val="32"/>
        </w:rPr>
        <w:t>类）行政事业单位医疗（</w:t>
      </w:r>
      <w:r>
        <w:rPr>
          <w:rFonts w:hint="eastAsia" w:eastAsia="仿宋_GB2312" w:cs="仿宋_GB2312"/>
          <w:sz w:val="32"/>
          <w:szCs w:val="32"/>
        </w:rPr>
        <w:t>11</w:t>
      </w:r>
      <w:r>
        <w:rPr>
          <w:rFonts w:eastAsia="仿宋_GB2312" w:cs="仿宋_GB2312"/>
          <w:sz w:val="32"/>
          <w:szCs w:val="32"/>
        </w:rPr>
        <w:t>款）事业单位医疗（</w:t>
      </w:r>
      <w:r>
        <w:rPr>
          <w:rFonts w:hint="eastAsia" w:eastAsia="仿宋_GB2312" w:cs="仿宋_GB2312"/>
          <w:sz w:val="32"/>
          <w:szCs w:val="32"/>
        </w:rPr>
        <w:t>02</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9.17</w:t>
      </w:r>
      <w:r>
        <w:rPr>
          <w:rFonts w:eastAsia="仿宋_GB2312" w:cs="仿宋_GB2312"/>
          <w:sz w:val="32"/>
          <w:szCs w:val="32"/>
        </w:rPr>
        <w:t>万元，完成预算100%。</w:t>
      </w:r>
    </w:p>
    <w:p w14:paraId="063B3270">
      <w:pPr>
        <w:spacing w:before="72" w:after="120"/>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5</w:t>
      </w:r>
      <w:r>
        <w:rPr>
          <w:rFonts w:eastAsia="仿宋_GB2312" w:cs="仿宋_GB2312"/>
          <w:sz w:val="32"/>
          <w:szCs w:val="32"/>
        </w:rPr>
        <w:t>.卫生健康（</w:t>
      </w:r>
      <w:r>
        <w:rPr>
          <w:rFonts w:hint="eastAsia" w:eastAsia="仿宋_GB2312" w:cs="仿宋_GB2312"/>
          <w:sz w:val="32"/>
          <w:szCs w:val="32"/>
        </w:rPr>
        <w:t>210</w:t>
      </w:r>
      <w:r>
        <w:rPr>
          <w:rFonts w:eastAsia="仿宋_GB2312" w:cs="仿宋_GB2312"/>
          <w:sz w:val="32"/>
          <w:szCs w:val="32"/>
        </w:rPr>
        <w:t>类）行政事业单位医疗（</w:t>
      </w:r>
      <w:r>
        <w:rPr>
          <w:rFonts w:hint="eastAsia" w:eastAsia="仿宋_GB2312" w:cs="仿宋_GB2312"/>
          <w:sz w:val="32"/>
          <w:szCs w:val="32"/>
        </w:rPr>
        <w:t>11</w:t>
      </w:r>
      <w:r>
        <w:rPr>
          <w:rFonts w:eastAsia="仿宋_GB2312" w:cs="仿宋_GB2312"/>
          <w:sz w:val="32"/>
          <w:szCs w:val="32"/>
        </w:rPr>
        <w:t>款）公务员医疗补助（</w:t>
      </w:r>
      <w:r>
        <w:rPr>
          <w:rFonts w:hint="eastAsia" w:eastAsia="仿宋_GB2312" w:cs="仿宋_GB2312"/>
          <w:sz w:val="32"/>
          <w:szCs w:val="32"/>
        </w:rPr>
        <w:t>03</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7.84</w:t>
      </w:r>
      <w:r>
        <w:rPr>
          <w:rFonts w:eastAsia="仿宋_GB2312" w:cs="仿宋_GB2312"/>
          <w:sz w:val="32"/>
          <w:szCs w:val="32"/>
        </w:rPr>
        <w:t>万元，完成预算100%。</w:t>
      </w:r>
    </w:p>
    <w:p w14:paraId="6E669C41">
      <w:pPr>
        <w:spacing w:before="72" w:after="120"/>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6</w:t>
      </w:r>
      <w:r>
        <w:rPr>
          <w:rFonts w:eastAsia="仿宋_GB2312" w:cs="仿宋_GB2312"/>
          <w:sz w:val="32"/>
          <w:szCs w:val="32"/>
        </w:rPr>
        <w:t>.卫生健康（</w:t>
      </w:r>
      <w:r>
        <w:rPr>
          <w:rFonts w:hint="eastAsia" w:eastAsia="仿宋_GB2312" w:cs="仿宋_GB2312"/>
          <w:sz w:val="32"/>
          <w:szCs w:val="32"/>
        </w:rPr>
        <w:t>210</w:t>
      </w:r>
      <w:r>
        <w:rPr>
          <w:rFonts w:eastAsia="仿宋_GB2312" w:cs="仿宋_GB2312"/>
          <w:sz w:val="32"/>
          <w:szCs w:val="32"/>
        </w:rPr>
        <w:t>类）行政事业单位医疗（</w:t>
      </w:r>
      <w:r>
        <w:rPr>
          <w:rFonts w:hint="eastAsia" w:eastAsia="仿宋_GB2312" w:cs="仿宋_GB2312"/>
          <w:sz w:val="32"/>
          <w:szCs w:val="32"/>
        </w:rPr>
        <w:t>11</w:t>
      </w:r>
      <w:r>
        <w:rPr>
          <w:rFonts w:eastAsia="仿宋_GB2312" w:cs="仿宋_GB2312"/>
          <w:sz w:val="32"/>
          <w:szCs w:val="32"/>
        </w:rPr>
        <w:t>款）其他行政事业单位医疗支出（</w:t>
      </w:r>
      <w:r>
        <w:rPr>
          <w:rFonts w:hint="eastAsia" w:eastAsia="仿宋_GB2312" w:cs="仿宋_GB2312"/>
          <w:sz w:val="32"/>
          <w:szCs w:val="32"/>
        </w:rPr>
        <w:t>99</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41.24</w:t>
      </w:r>
      <w:r>
        <w:rPr>
          <w:rFonts w:eastAsia="仿宋_GB2312" w:cs="仿宋_GB2312"/>
          <w:sz w:val="32"/>
          <w:szCs w:val="32"/>
        </w:rPr>
        <w:t>万元，完成预算100%。</w:t>
      </w:r>
    </w:p>
    <w:p w14:paraId="71D20BF5">
      <w:pPr>
        <w:spacing w:before="72" w:after="120"/>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7</w:t>
      </w:r>
      <w:r>
        <w:rPr>
          <w:rFonts w:eastAsia="仿宋_GB2312" w:cs="仿宋_GB2312"/>
          <w:sz w:val="32"/>
          <w:szCs w:val="32"/>
        </w:rPr>
        <w:t>.卫生健康（</w:t>
      </w:r>
      <w:r>
        <w:rPr>
          <w:rFonts w:hint="eastAsia" w:eastAsia="仿宋_GB2312" w:cs="仿宋_GB2312"/>
          <w:sz w:val="32"/>
          <w:szCs w:val="32"/>
        </w:rPr>
        <w:t>210</w:t>
      </w:r>
      <w:r>
        <w:rPr>
          <w:rFonts w:eastAsia="仿宋_GB2312" w:cs="仿宋_GB2312"/>
          <w:sz w:val="32"/>
          <w:szCs w:val="32"/>
        </w:rPr>
        <w:t>类）行政事业单位医疗（</w:t>
      </w:r>
      <w:r>
        <w:rPr>
          <w:rFonts w:hint="eastAsia" w:eastAsia="仿宋_GB2312" w:cs="仿宋_GB2312"/>
          <w:sz w:val="32"/>
          <w:szCs w:val="32"/>
        </w:rPr>
        <w:t>99</w:t>
      </w:r>
      <w:r>
        <w:rPr>
          <w:rFonts w:eastAsia="仿宋_GB2312" w:cs="仿宋_GB2312"/>
          <w:sz w:val="32"/>
          <w:szCs w:val="32"/>
        </w:rPr>
        <w:t>款）其他</w:t>
      </w:r>
      <w:r>
        <w:rPr>
          <w:rFonts w:hint="eastAsia" w:eastAsia="仿宋_GB2312" w:cs="仿宋_GB2312"/>
          <w:sz w:val="32"/>
          <w:szCs w:val="32"/>
        </w:rPr>
        <w:t>卫生</w:t>
      </w:r>
      <w:r>
        <w:rPr>
          <w:rFonts w:eastAsia="仿宋_GB2312" w:cs="仿宋_GB2312"/>
          <w:sz w:val="32"/>
          <w:szCs w:val="32"/>
        </w:rPr>
        <w:t>健康支出（</w:t>
      </w:r>
      <w:r>
        <w:rPr>
          <w:rFonts w:hint="eastAsia" w:eastAsia="仿宋_GB2312" w:cs="仿宋_GB2312"/>
          <w:sz w:val="32"/>
          <w:szCs w:val="32"/>
        </w:rPr>
        <w:t>99</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1.69</w:t>
      </w:r>
      <w:r>
        <w:rPr>
          <w:rFonts w:eastAsia="仿宋_GB2312" w:cs="仿宋_GB2312"/>
          <w:sz w:val="32"/>
          <w:szCs w:val="32"/>
        </w:rPr>
        <w:t>万元，完成预算100%。</w:t>
      </w:r>
    </w:p>
    <w:p w14:paraId="0E640283">
      <w:pPr>
        <w:spacing w:before="72" w:after="120"/>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8</w:t>
      </w:r>
      <w:r>
        <w:rPr>
          <w:rFonts w:eastAsia="仿宋_GB2312" w:cs="仿宋_GB2312"/>
          <w:sz w:val="32"/>
          <w:szCs w:val="32"/>
        </w:rPr>
        <w:t>.住房保障（</w:t>
      </w:r>
      <w:r>
        <w:rPr>
          <w:rFonts w:hint="eastAsia" w:eastAsia="仿宋_GB2312" w:cs="仿宋_GB2312"/>
          <w:sz w:val="32"/>
          <w:szCs w:val="32"/>
        </w:rPr>
        <w:t>221</w:t>
      </w:r>
      <w:r>
        <w:rPr>
          <w:rFonts w:eastAsia="仿宋_GB2312" w:cs="仿宋_GB2312"/>
          <w:sz w:val="32"/>
          <w:szCs w:val="32"/>
        </w:rPr>
        <w:t>类）住房改革（</w:t>
      </w:r>
      <w:r>
        <w:rPr>
          <w:rFonts w:hint="eastAsia" w:eastAsia="仿宋_GB2312" w:cs="仿宋_GB2312"/>
          <w:sz w:val="32"/>
          <w:szCs w:val="32"/>
        </w:rPr>
        <w:t>02</w:t>
      </w:r>
      <w:r>
        <w:rPr>
          <w:rFonts w:eastAsia="仿宋_GB2312" w:cs="仿宋_GB2312"/>
          <w:sz w:val="32"/>
          <w:szCs w:val="32"/>
        </w:rPr>
        <w:t>款）住房公积金（</w:t>
      </w:r>
      <w:r>
        <w:rPr>
          <w:rFonts w:hint="eastAsia" w:eastAsia="仿宋_GB2312" w:cs="仿宋_GB2312"/>
          <w:sz w:val="32"/>
          <w:szCs w:val="32"/>
        </w:rPr>
        <w:t>01</w:t>
      </w:r>
      <w:r>
        <w:rPr>
          <w:rFonts w:eastAsia="仿宋_GB2312" w:cs="仿宋_GB2312"/>
          <w:sz w:val="32"/>
          <w:szCs w:val="32"/>
        </w:rPr>
        <w:t>项）</w:t>
      </w:r>
      <w:r>
        <w:rPr>
          <w:rFonts w:hint="eastAsia" w:eastAsia="仿宋_GB2312" w:cs="仿宋_GB2312"/>
          <w:sz w:val="32"/>
          <w:szCs w:val="32"/>
          <w:lang w:eastAsia="zh-CN"/>
        </w:rPr>
        <w:t>：</w:t>
      </w:r>
      <w:r>
        <w:rPr>
          <w:rFonts w:eastAsia="仿宋_GB2312" w:cs="仿宋_GB2312"/>
          <w:sz w:val="32"/>
          <w:szCs w:val="32"/>
        </w:rPr>
        <w:t>支出决算为</w:t>
      </w:r>
      <w:r>
        <w:rPr>
          <w:rFonts w:hint="eastAsia" w:eastAsia="仿宋_GB2312" w:cs="仿宋_GB2312"/>
          <w:sz w:val="32"/>
          <w:szCs w:val="32"/>
        </w:rPr>
        <w:t>117.27</w:t>
      </w:r>
      <w:r>
        <w:rPr>
          <w:rFonts w:eastAsia="仿宋_GB2312" w:cs="仿宋_GB2312"/>
          <w:sz w:val="32"/>
          <w:szCs w:val="32"/>
        </w:rPr>
        <w:t>万元，完成预算100%。</w:t>
      </w:r>
    </w:p>
    <w:p w14:paraId="093B0380">
      <w:pPr>
        <w:tabs>
          <w:tab w:val="right" w:pos="8306"/>
        </w:tabs>
        <w:spacing w:line="600" w:lineRule="exact"/>
        <w:ind w:firstLine="640" w:firstLineChars="200"/>
        <w:outlineLvl w:val="1"/>
        <w:rPr>
          <w:rStyle w:val="30"/>
          <w:rFonts w:hint="eastAsia" w:ascii="Times New Roman" w:hAnsi="Times New Roman" w:eastAsia="黑体"/>
          <w:lang w:eastAsia="zh-CN"/>
        </w:rPr>
      </w:pPr>
      <w:bookmarkStart w:id="36" w:name="_Toc15377214"/>
      <w:bookmarkStart w:id="37"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6"/>
      <w:bookmarkEnd w:id="37"/>
    </w:p>
    <w:p w14:paraId="6506C6F6">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1721.83万</w:t>
      </w:r>
      <w:r>
        <w:rPr>
          <w:rFonts w:hint="eastAsia" w:eastAsia="仿宋_GB2312" w:cs="仿宋_GB2312"/>
          <w:sz w:val="32"/>
          <w:szCs w:val="32"/>
        </w:rPr>
        <w:t>元，其中：</w:t>
      </w:r>
    </w:p>
    <w:p w14:paraId="09A10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1572.4万</w:t>
      </w:r>
      <w:r>
        <w:rPr>
          <w:rFonts w:hint="eastAsia" w:eastAsia="仿宋_GB2312" w:cs="仿宋_GB2312"/>
          <w:sz w:val="32"/>
          <w:szCs w:val="32"/>
        </w:rPr>
        <w:t>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14:paraId="129CC5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仿宋_GB2312"/>
          <w:sz w:val="32"/>
          <w:szCs w:val="32"/>
        </w:rPr>
      </w:pPr>
      <w:r>
        <w:rPr>
          <w:rFonts w:hint="eastAsia" w:eastAsia="仿宋_GB2312" w:cs="仿宋_GB2312"/>
          <w:sz w:val="32"/>
          <w:szCs w:val="32"/>
        </w:rPr>
        <w:t>公用经费</w:t>
      </w:r>
      <w:r>
        <w:rPr>
          <w:rFonts w:hint="eastAsia" w:ascii="仿宋_GB2312" w:hAnsi="仿宋_GB2312" w:eastAsia="仿宋_GB2312" w:cs="仿宋_GB2312"/>
          <w:sz w:val="32"/>
          <w:szCs w:val="32"/>
        </w:rPr>
        <w:t>149.43</w:t>
      </w:r>
      <w:r>
        <w:rPr>
          <w:rFonts w:hint="eastAsia" w:eastAsia="仿宋_GB2312" w:cs="仿宋_GB2312"/>
          <w:sz w:val="32"/>
          <w:szCs w:val="32"/>
        </w:rPr>
        <w:t>万元，主要包括：办公费、印刷费、水费、电费、邮电费、差旅费、维修（护）费、会议费、培训费、公务接待费、劳务费、委托业务费、工会经费、福利费、公务用车运行维护费、其他交通费、其他商品和服务支出、办公设备购置等。</w:t>
      </w:r>
    </w:p>
    <w:p w14:paraId="585F7F17">
      <w:pPr>
        <w:spacing w:line="600" w:lineRule="exact"/>
        <w:ind w:firstLine="640"/>
        <w:outlineLvl w:val="1"/>
        <w:rPr>
          <w:rStyle w:val="30"/>
          <w:rFonts w:ascii="Times New Roman" w:hAnsi="Times New Roman" w:eastAsia="黑体"/>
          <w:b w:val="0"/>
        </w:rPr>
      </w:pPr>
      <w:bookmarkStart w:id="38" w:name="_Toc15377215"/>
      <w:bookmarkStart w:id="39"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8"/>
      <w:bookmarkEnd w:id="39"/>
    </w:p>
    <w:p w14:paraId="36D04C98">
      <w:pPr>
        <w:spacing w:line="600" w:lineRule="exact"/>
        <w:ind w:firstLine="643" w:firstLineChars="200"/>
        <w:outlineLvl w:val="2"/>
        <w:rPr>
          <w:rFonts w:eastAsia="楷体_GB2312" w:cs="楷体_GB2312"/>
          <w:b/>
          <w:sz w:val="32"/>
          <w:szCs w:val="32"/>
        </w:rPr>
      </w:pPr>
      <w:bookmarkStart w:id="40" w:name="_Toc15377216"/>
      <w:r>
        <w:rPr>
          <w:rFonts w:hint="eastAsia" w:eastAsia="楷体_GB2312" w:cs="楷体_GB2312"/>
          <w:b/>
          <w:sz w:val="32"/>
          <w:szCs w:val="32"/>
        </w:rPr>
        <w:t>（一）“三公”经费财政拨款支出决算总体情况说明</w:t>
      </w:r>
      <w:bookmarkEnd w:id="40"/>
    </w:p>
    <w:p w14:paraId="50C6D964">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3.47万元，完成预算100%，</w:t>
      </w:r>
      <w:r>
        <w:rPr>
          <w:rFonts w:hint="eastAsia" w:eastAsia="仿宋_GB2312" w:cs="仿宋_GB2312"/>
          <w:sz w:val="32"/>
          <w:szCs w:val="32"/>
        </w:rPr>
        <w:t>较上年度减少0.33万元，下降8.68%。决算数与预算数持平的主要原因是我局认真</w:t>
      </w:r>
      <w:r>
        <w:rPr>
          <w:rFonts w:hint="eastAsia" w:eastAsia="仿宋_GB2312" w:cs="仿宋_GB2312"/>
          <w:sz w:val="32"/>
          <w:szCs w:val="32"/>
          <w:lang w:eastAsia="zh-CN"/>
        </w:rPr>
        <w:t>贯彻落实中央八项规定</w:t>
      </w:r>
      <w:r>
        <w:rPr>
          <w:rFonts w:hint="eastAsia" w:eastAsia="仿宋_GB2312" w:cs="仿宋_GB2312"/>
          <w:sz w:val="32"/>
          <w:szCs w:val="32"/>
        </w:rPr>
        <w:t>要求，厉行节约，严格控制支出。</w:t>
      </w:r>
    </w:p>
    <w:p w14:paraId="1A3F98A9">
      <w:pPr>
        <w:spacing w:line="600" w:lineRule="exact"/>
        <w:ind w:firstLine="643" w:firstLineChars="200"/>
        <w:outlineLvl w:val="2"/>
        <w:rPr>
          <w:rFonts w:eastAsia="楷体_GB2312" w:cs="楷体_GB2312"/>
          <w:b/>
          <w:sz w:val="32"/>
          <w:szCs w:val="32"/>
        </w:rPr>
      </w:pPr>
      <w:bookmarkStart w:id="41" w:name="_Toc15377217"/>
      <w:r>
        <w:rPr>
          <w:rFonts w:hint="eastAsia" w:eastAsia="楷体_GB2312" w:cs="楷体_GB2312"/>
          <w:b/>
          <w:sz w:val="32"/>
          <w:szCs w:val="32"/>
        </w:rPr>
        <w:t>（二）“三公”经费财政拨款支出决算具体情况说明</w:t>
      </w:r>
      <w:bookmarkEnd w:id="41"/>
    </w:p>
    <w:p w14:paraId="2E44A32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2024年度“三公”经费财政拨款支出决算中，因公出国（境）费支出决算0万元；公务用车购置及运行维护费支出决算3万元，占86.46%；公务接待费支出决算0.47万元，占13.54%。具体情况如下：</w:t>
      </w:r>
    </w:p>
    <w:p w14:paraId="0D49D465">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lang w:eastAsia="zh-CN"/>
        </w:rPr>
        <w:t>（</w:t>
      </w:r>
      <w:r>
        <w:rPr>
          <w:rFonts w:hint="eastAsia" w:eastAsia="仿宋_GB2312" w:cs="仿宋_GB2312"/>
          <w:sz w:val="32"/>
          <w:szCs w:val="32"/>
        </w:rPr>
        <w:t>图7：“三公”经费财政拨款支出结构</w:t>
      </w:r>
      <w:r>
        <w:rPr>
          <w:rFonts w:hint="eastAsia" w:eastAsia="仿宋_GB2312" w:cs="仿宋_GB2312"/>
          <w:sz w:val="32"/>
          <w:szCs w:val="32"/>
          <w:lang w:eastAsia="zh-CN"/>
        </w:rPr>
        <w:t>）</w:t>
      </w:r>
    </w:p>
    <w:p w14:paraId="68D77221">
      <w:pPr>
        <w:pStyle w:val="10"/>
      </w:pPr>
      <w:r>
        <w:drawing>
          <wp:inline distT="0" distB="0" distL="114300" distR="114300">
            <wp:extent cx="5266055" cy="344614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66055" cy="3446145"/>
                    </a:xfrm>
                    <a:prstGeom prst="rect">
                      <a:avLst/>
                    </a:prstGeom>
                    <a:noFill/>
                    <a:ln>
                      <a:noFill/>
                    </a:ln>
                  </pic:spPr>
                </pic:pic>
              </a:graphicData>
            </a:graphic>
          </wp:inline>
        </w:drawing>
      </w:r>
    </w:p>
    <w:p w14:paraId="21E09EEF">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。因公出国（境）支出决算与2023年持平。主要原因是无因公出国（境）团组。</w:t>
      </w:r>
    </w:p>
    <w:p w14:paraId="769217B5">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3万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公务用车购置及运行维护费支出决算比2023年度增加/减少0.44万元，下降12.79%。主要原因是我局认真</w:t>
      </w:r>
      <w:r>
        <w:rPr>
          <w:rFonts w:hint="eastAsia" w:eastAsia="仿宋_GB2312" w:cs="仿宋_GB2312"/>
          <w:sz w:val="32"/>
          <w:szCs w:val="32"/>
          <w:lang w:eastAsia="zh-CN"/>
        </w:rPr>
        <w:t>贯彻落实中央八项规定</w:t>
      </w:r>
      <w:r>
        <w:rPr>
          <w:rFonts w:hint="eastAsia" w:eastAsia="仿宋_GB2312" w:cs="仿宋_GB2312"/>
          <w:sz w:val="32"/>
          <w:szCs w:val="32"/>
        </w:rPr>
        <w:t>要求，厉行节约，严格控制支出。</w:t>
      </w:r>
    </w:p>
    <w:p w14:paraId="57D400EB">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万元。全年按规定更新购置公务用车0辆。截至2024年12月31日，单位共有公务用车7辆，其中：轿车4辆、越野车2辆、载客汽车（食品安全快检车）1辆。</w:t>
      </w:r>
    </w:p>
    <w:p w14:paraId="61C00DBF">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出3</w:t>
      </w:r>
      <w:r>
        <w:rPr>
          <w:rFonts w:hint="eastAsia" w:eastAsia="仿宋_GB2312" w:cs="仿宋_GB2312"/>
          <w:sz w:val="32"/>
          <w:szCs w:val="32"/>
        </w:rPr>
        <w:t>万元。主要用于市场监管相关的食品、药品、质量、价格、知识产权等监管工作所需的公务用车燃料费、维修费、过路过桥费、保险费等支出。</w:t>
      </w:r>
    </w:p>
    <w:p w14:paraId="0DB70D03">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0.47万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公务接待费支出决算比2023年度增加0.11万元，增长30.56%。主要原因是公务接待次数增加。其中：</w:t>
      </w:r>
    </w:p>
    <w:p w14:paraId="6EFD4BF1">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出0.47万</w:t>
      </w:r>
      <w:r>
        <w:rPr>
          <w:rFonts w:hint="eastAsia" w:eastAsia="仿宋_GB2312" w:cs="仿宋_GB2312"/>
          <w:sz w:val="32"/>
          <w:szCs w:val="32"/>
        </w:rPr>
        <w:t>元，主要用于接待省局</w:t>
      </w:r>
      <w:r>
        <w:rPr>
          <w:rFonts w:eastAsia="仿宋_GB2312" w:cs="仿宋_GB2312"/>
          <w:sz w:val="32"/>
          <w:szCs w:val="32"/>
        </w:rPr>
        <w:t>放心舒心消费环境建设调研、食品生产企业随机交叉检查、2023、</w:t>
      </w:r>
      <w:r>
        <w:rPr>
          <w:rFonts w:hint="eastAsia" w:eastAsia="仿宋_GB2312" w:cs="仿宋_GB2312"/>
          <w:sz w:val="32"/>
          <w:szCs w:val="32"/>
        </w:rPr>
        <w:t>2024</w:t>
      </w:r>
      <w:r>
        <w:rPr>
          <w:rFonts w:eastAsia="仿宋_GB2312" w:cs="仿宋_GB2312"/>
          <w:sz w:val="32"/>
          <w:szCs w:val="32"/>
        </w:rPr>
        <w:t>特种设备证后监督检查、调研组开展农村食品安全治理工作、2024年四川省景区食品安全交叉检查</w:t>
      </w:r>
      <w:r>
        <w:rPr>
          <w:rFonts w:hint="eastAsia" w:eastAsia="仿宋_GB2312" w:cs="仿宋_GB2312"/>
          <w:sz w:val="32"/>
          <w:szCs w:val="32"/>
          <w:lang w:eastAsia="zh-CN"/>
        </w:rPr>
        <w:t>；</w:t>
      </w:r>
      <w:r>
        <w:rPr>
          <w:rFonts w:eastAsia="仿宋_GB2312" w:cs="仿宋_GB2312"/>
          <w:sz w:val="32"/>
          <w:szCs w:val="32"/>
        </w:rPr>
        <w:t>2024年省联合抽查开展学校食品安全</w:t>
      </w:r>
      <w:r>
        <w:rPr>
          <w:rFonts w:hint="eastAsia" w:eastAsia="仿宋_GB2312" w:cs="仿宋_GB2312"/>
          <w:sz w:val="32"/>
          <w:szCs w:val="32"/>
        </w:rPr>
        <w:t>检查等活动开支的用餐费。国内公务接待7批次，71人次，共计支出0.47万元，具体内容包括：</w:t>
      </w:r>
    </w:p>
    <w:p w14:paraId="0516C968">
      <w:pPr>
        <w:spacing w:line="600" w:lineRule="exact"/>
        <w:ind w:firstLine="640"/>
        <w:rPr>
          <w:rFonts w:eastAsia="仿宋_GB2312" w:cs="仿宋_GB2312"/>
          <w:sz w:val="32"/>
          <w:szCs w:val="32"/>
        </w:rPr>
      </w:pPr>
      <w:r>
        <w:rPr>
          <w:rFonts w:hint="eastAsia" w:eastAsia="仿宋_GB2312" w:cs="仿宋_GB2312"/>
          <w:sz w:val="32"/>
          <w:szCs w:val="32"/>
        </w:rPr>
        <w:t>省局</w:t>
      </w:r>
      <w:r>
        <w:rPr>
          <w:rFonts w:eastAsia="仿宋_GB2312" w:cs="仿宋_GB2312"/>
          <w:sz w:val="32"/>
          <w:szCs w:val="32"/>
        </w:rPr>
        <w:t>放心舒心消费环境建设调研，金额：</w:t>
      </w:r>
      <w:r>
        <w:rPr>
          <w:rFonts w:hint="eastAsia" w:eastAsia="仿宋_GB2312" w:cs="仿宋_GB2312"/>
          <w:sz w:val="32"/>
          <w:szCs w:val="32"/>
        </w:rPr>
        <w:t>757.12元；</w:t>
      </w:r>
    </w:p>
    <w:p w14:paraId="4485651D">
      <w:pPr>
        <w:spacing w:line="600" w:lineRule="exact"/>
        <w:ind w:firstLine="640"/>
        <w:rPr>
          <w:rFonts w:eastAsia="仿宋_GB2312" w:cs="仿宋_GB2312"/>
          <w:sz w:val="32"/>
          <w:szCs w:val="32"/>
        </w:rPr>
      </w:pPr>
      <w:r>
        <w:rPr>
          <w:rFonts w:eastAsia="仿宋_GB2312" w:cs="仿宋_GB2312"/>
          <w:sz w:val="32"/>
          <w:szCs w:val="32"/>
        </w:rPr>
        <w:t>食品生产企业随机交叉检查，金额：</w:t>
      </w:r>
      <w:r>
        <w:rPr>
          <w:rFonts w:hint="eastAsia" w:eastAsia="仿宋_GB2312" w:cs="仿宋_GB2312"/>
          <w:sz w:val="32"/>
          <w:szCs w:val="32"/>
        </w:rPr>
        <w:t>1080.00元；</w:t>
      </w:r>
    </w:p>
    <w:p w14:paraId="0295AD9E">
      <w:pPr>
        <w:spacing w:line="600" w:lineRule="exact"/>
        <w:ind w:firstLine="640"/>
        <w:rPr>
          <w:rFonts w:eastAsia="仿宋_GB2312" w:cs="仿宋_GB2312"/>
          <w:sz w:val="32"/>
          <w:szCs w:val="32"/>
        </w:rPr>
      </w:pPr>
      <w:r>
        <w:rPr>
          <w:rFonts w:hint="eastAsia" w:eastAsia="仿宋_GB2312" w:cs="仿宋_GB2312"/>
          <w:sz w:val="32"/>
          <w:szCs w:val="32"/>
        </w:rPr>
        <w:t>省局2023</w:t>
      </w:r>
      <w:r>
        <w:rPr>
          <w:rFonts w:eastAsia="仿宋_GB2312" w:cs="仿宋_GB2312"/>
          <w:sz w:val="32"/>
          <w:szCs w:val="32"/>
        </w:rPr>
        <w:t>特种设备证后监督检查，金额：</w:t>
      </w:r>
      <w:r>
        <w:rPr>
          <w:rFonts w:hint="eastAsia" w:eastAsia="仿宋_GB2312" w:cs="仿宋_GB2312"/>
          <w:sz w:val="32"/>
          <w:szCs w:val="32"/>
        </w:rPr>
        <w:t>360.00元；</w:t>
      </w:r>
    </w:p>
    <w:p w14:paraId="11629CF1">
      <w:pPr>
        <w:spacing w:line="600" w:lineRule="exact"/>
        <w:ind w:firstLine="640"/>
        <w:rPr>
          <w:rFonts w:eastAsia="仿宋_GB2312" w:cs="仿宋_GB2312"/>
          <w:sz w:val="32"/>
          <w:szCs w:val="32"/>
        </w:rPr>
      </w:pPr>
      <w:r>
        <w:rPr>
          <w:rFonts w:eastAsia="仿宋_GB2312" w:cs="仿宋_GB2312"/>
          <w:sz w:val="32"/>
          <w:szCs w:val="32"/>
        </w:rPr>
        <w:t>省局调研组开展农村食品安全治理工作，金额：</w:t>
      </w:r>
      <w:r>
        <w:rPr>
          <w:rFonts w:hint="eastAsia" w:eastAsia="仿宋_GB2312" w:cs="仿宋_GB2312"/>
          <w:sz w:val="32"/>
          <w:szCs w:val="32"/>
        </w:rPr>
        <w:t>360.00元；</w:t>
      </w:r>
    </w:p>
    <w:p w14:paraId="3D547CD2">
      <w:pPr>
        <w:spacing w:line="600" w:lineRule="exact"/>
        <w:ind w:firstLine="640"/>
        <w:rPr>
          <w:rFonts w:eastAsia="仿宋_GB2312" w:cs="仿宋_GB2312"/>
          <w:sz w:val="32"/>
          <w:szCs w:val="32"/>
        </w:rPr>
      </w:pPr>
      <w:r>
        <w:rPr>
          <w:rFonts w:hint="eastAsia" w:eastAsia="仿宋_GB2312" w:cs="仿宋_GB2312"/>
          <w:sz w:val="32"/>
          <w:szCs w:val="32"/>
        </w:rPr>
        <w:t>省局2024</w:t>
      </w:r>
      <w:r>
        <w:rPr>
          <w:rFonts w:eastAsia="仿宋_GB2312" w:cs="仿宋_GB2312"/>
          <w:sz w:val="32"/>
          <w:szCs w:val="32"/>
        </w:rPr>
        <w:t>特种设备证后监督检查，金额：</w:t>
      </w:r>
      <w:r>
        <w:rPr>
          <w:rFonts w:hint="eastAsia" w:eastAsia="仿宋_GB2312" w:cs="仿宋_GB2312"/>
          <w:sz w:val="32"/>
          <w:szCs w:val="32"/>
        </w:rPr>
        <w:t>600.00元；</w:t>
      </w:r>
    </w:p>
    <w:p w14:paraId="7E8F3A3D">
      <w:pPr>
        <w:spacing w:line="600" w:lineRule="exact"/>
        <w:ind w:firstLine="640"/>
        <w:rPr>
          <w:rFonts w:eastAsia="仿宋_GB2312" w:cs="仿宋_GB2312"/>
          <w:sz w:val="32"/>
          <w:szCs w:val="32"/>
        </w:rPr>
      </w:pPr>
      <w:r>
        <w:rPr>
          <w:rFonts w:eastAsia="仿宋_GB2312" w:cs="仿宋_GB2312"/>
          <w:sz w:val="32"/>
          <w:szCs w:val="32"/>
        </w:rPr>
        <w:t>2024年四川省景区食品安全交叉检查，金额</w:t>
      </w:r>
      <w:r>
        <w:rPr>
          <w:rFonts w:hint="eastAsia" w:eastAsia="仿宋_GB2312" w:cs="仿宋_GB2312"/>
          <w:sz w:val="32"/>
          <w:szCs w:val="32"/>
        </w:rPr>
        <w:t>660.00元</w:t>
      </w:r>
      <w:r>
        <w:rPr>
          <w:rFonts w:eastAsia="仿宋_GB2312" w:cs="仿宋_GB2312"/>
          <w:sz w:val="32"/>
          <w:szCs w:val="32"/>
        </w:rPr>
        <w:t>：</w:t>
      </w:r>
    </w:p>
    <w:p w14:paraId="54A3C6CD">
      <w:pPr>
        <w:spacing w:line="600" w:lineRule="exact"/>
        <w:ind w:firstLine="640"/>
        <w:rPr>
          <w:rFonts w:hint="eastAsia" w:eastAsia="仿宋_GB2312" w:cs="仿宋_GB2312"/>
          <w:sz w:val="32"/>
          <w:szCs w:val="32"/>
        </w:rPr>
      </w:pPr>
      <w:r>
        <w:rPr>
          <w:rFonts w:eastAsia="仿宋_GB2312" w:cs="仿宋_GB2312"/>
          <w:sz w:val="32"/>
          <w:szCs w:val="32"/>
        </w:rPr>
        <w:t>2024年省联合抽查开展学校食品安全</w:t>
      </w:r>
      <w:r>
        <w:rPr>
          <w:rFonts w:hint="eastAsia" w:eastAsia="仿宋_GB2312" w:cs="仿宋_GB2312"/>
          <w:sz w:val="32"/>
          <w:szCs w:val="32"/>
        </w:rPr>
        <w:t>检查，金额：900.00元。</w:t>
      </w:r>
    </w:p>
    <w:p w14:paraId="135B22F3">
      <w:pPr>
        <w:spacing w:line="600" w:lineRule="exact"/>
        <w:ind w:firstLine="640"/>
        <w:rPr>
          <w:rFonts w:hint="eastAsia"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7F982966">
      <w:pPr>
        <w:spacing w:line="600" w:lineRule="exact"/>
        <w:ind w:firstLine="640"/>
        <w:rPr>
          <w:rFonts w:eastAsia="仿宋_GB2312" w:cs="仿宋_GB2312"/>
          <w:sz w:val="32"/>
          <w:szCs w:val="32"/>
        </w:rPr>
      </w:pPr>
      <w:bookmarkStart w:id="42" w:name="_Toc15377218"/>
      <w:bookmarkStart w:id="43" w:name="_Toc15396610"/>
    </w:p>
    <w:p w14:paraId="0E19B830">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2"/>
      <w:bookmarkEnd w:id="43"/>
    </w:p>
    <w:p w14:paraId="2F57D10C">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。与2023年度持平。</w:t>
      </w:r>
    </w:p>
    <w:p w14:paraId="38A2E0D9">
      <w:pPr>
        <w:spacing w:line="600" w:lineRule="exact"/>
        <w:ind w:firstLine="640"/>
        <w:rPr>
          <w:rFonts w:eastAsia="仿宋_GB2312" w:cs="仿宋_GB2312"/>
          <w:sz w:val="32"/>
          <w:szCs w:val="32"/>
        </w:rPr>
      </w:pPr>
    </w:p>
    <w:p w14:paraId="706DDF7F">
      <w:pPr>
        <w:spacing w:line="600" w:lineRule="exact"/>
        <w:ind w:left="630"/>
        <w:outlineLvl w:val="1"/>
        <w:rPr>
          <w:rStyle w:val="30"/>
          <w:rFonts w:ascii="Times New Roman" w:hAnsi="Times New Roman" w:eastAsia="黑体"/>
          <w:b w:val="0"/>
        </w:rPr>
      </w:pPr>
      <w:bookmarkStart w:id="44" w:name="_Toc15377219"/>
      <w:bookmarkStart w:id="45" w:name="_Toc15396611"/>
      <w:r>
        <w:rPr>
          <w:rStyle w:val="30"/>
          <w:rFonts w:hint="eastAsia" w:ascii="Times New Roman" w:hAnsi="Times New Roman" w:eastAsia="黑体"/>
          <w:b w:val="0"/>
        </w:rPr>
        <w:t>九、国有资本经营预算支出决算情况说明</w:t>
      </w:r>
      <w:bookmarkEnd w:id="44"/>
      <w:bookmarkEnd w:id="45"/>
    </w:p>
    <w:p w14:paraId="0741DDB8">
      <w:pPr>
        <w:spacing w:line="600" w:lineRule="exact"/>
        <w:ind w:firstLine="640"/>
        <w:rPr>
          <w:rFonts w:eastAsia="仿宋_GB2312" w:cs="仿宋_GB2312"/>
          <w:b/>
          <w:bCs/>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。与2023年度持平。</w:t>
      </w:r>
    </w:p>
    <w:p w14:paraId="55AC2C2C">
      <w:pPr>
        <w:spacing w:line="600" w:lineRule="exact"/>
        <w:ind w:firstLine="640"/>
        <w:rPr>
          <w:rFonts w:eastAsia="仿宋_GB2312" w:cs="仿宋_GB2312"/>
          <w:sz w:val="32"/>
          <w:szCs w:val="32"/>
        </w:rPr>
      </w:pPr>
    </w:p>
    <w:p w14:paraId="4AF31EA8">
      <w:pPr>
        <w:spacing w:line="600" w:lineRule="exact"/>
        <w:ind w:left="630"/>
        <w:outlineLvl w:val="1"/>
        <w:rPr>
          <w:rStyle w:val="30"/>
          <w:rFonts w:ascii="Times New Roman" w:hAnsi="Times New Roman" w:eastAsia="黑体"/>
          <w:b w:val="0"/>
        </w:rPr>
      </w:pPr>
      <w:bookmarkStart w:id="46" w:name="_Toc15377221"/>
      <w:bookmarkStart w:id="47" w:name="_Toc15396612"/>
      <w:r>
        <w:rPr>
          <w:rStyle w:val="30"/>
          <w:rFonts w:hint="eastAsia" w:ascii="Times New Roman" w:hAnsi="Times New Roman" w:eastAsia="黑体"/>
          <w:b w:val="0"/>
        </w:rPr>
        <w:t>十、其他重要事项的情况说明</w:t>
      </w:r>
      <w:bookmarkEnd w:id="46"/>
      <w:bookmarkEnd w:id="47"/>
    </w:p>
    <w:p w14:paraId="4C7B92CD">
      <w:pPr>
        <w:spacing w:line="600" w:lineRule="exact"/>
        <w:ind w:firstLine="643" w:firstLineChars="200"/>
        <w:outlineLvl w:val="2"/>
        <w:rPr>
          <w:rFonts w:eastAsia="楷体_GB2312" w:cs="楷体_GB2312"/>
          <w:b/>
          <w:sz w:val="32"/>
          <w:szCs w:val="32"/>
        </w:rPr>
      </w:pPr>
      <w:bookmarkStart w:id="48" w:name="_Toc15377222"/>
      <w:r>
        <w:rPr>
          <w:rFonts w:hint="eastAsia" w:eastAsia="楷体_GB2312" w:cs="楷体_GB2312"/>
          <w:b/>
          <w:sz w:val="32"/>
          <w:szCs w:val="32"/>
        </w:rPr>
        <w:t>（一）机关运行经费支出情况</w:t>
      </w:r>
      <w:bookmarkEnd w:id="48"/>
    </w:p>
    <w:p w14:paraId="3CA74F2C">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，盐边县市场监督管理局机关运行经费支出149.43万</w:t>
      </w:r>
      <w:r>
        <w:rPr>
          <w:rFonts w:hint="eastAsia" w:eastAsia="仿宋_GB2312" w:cs="仿宋_GB2312"/>
          <w:sz w:val="32"/>
          <w:szCs w:val="32"/>
        </w:rPr>
        <w:t>元，比2023年度减少9.89万元，下降6.21%。主要原因是未开展春雷行动，差旅费减少。</w:t>
      </w:r>
    </w:p>
    <w:p w14:paraId="2D29D79D">
      <w:pPr>
        <w:spacing w:line="600" w:lineRule="exact"/>
        <w:ind w:firstLine="643" w:firstLineChars="200"/>
        <w:outlineLvl w:val="2"/>
        <w:rPr>
          <w:rFonts w:eastAsia="楷体_GB2312" w:cs="楷体_GB2312"/>
          <w:b/>
          <w:sz w:val="32"/>
          <w:szCs w:val="32"/>
        </w:rPr>
      </w:pPr>
      <w:bookmarkStart w:id="49" w:name="_Toc15377223"/>
      <w:r>
        <w:rPr>
          <w:rFonts w:hint="eastAsia" w:eastAsia="楷体_GB2312" w:cs="楷体_GB2312"/>
          <w:b/>
          <w:sz w:val="32"/>
          <w:szCs w:val="32"/>
        </w:rPr>
        <w:t>（二）政府采购支出情况</w:t>
      </w:r>
      <w:bookmarkEnd w:id="49"/>
    </w:p>
    <w:p w14:paraId="6475DB6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盐边县市场监督管理局政府采购支出总额13.68万元，其中：政府采购货物支出13.57万元、政府采购工程支出0万元、政府采购服务支出0.11万元。主要用于办公电脑更换及车辆加油。授予中小企业合同金额13.68万元，占政府采购支出总额的100%，其中：授予小微企业合同金额13.57万元，占政府采购支出总额的99.2%。</w:t>
      </w:r>
    </w:p>
    <w:p w14:paraId="5BFDFEAB">
      <w:pPr>
        <w:spacing w:line="600" w:lineRule="exact"/>
        <w:ind w:firstLine="643" w:firstLineChars="200"/>
        <w:outlineLvl w:val="2"/>
        <w:rPr>
          <w:rFonts w:eastAsia="楷体_GB2312" w:cs="楷体_GB2312"/>
          <w:b/>
          <w:sz w:val="32"/>
          <w:szCs w:val="32"/>
        </w:rPr>
      </w:pPr>
      <w:bookmarkStart w:id="50" w:name="_Toc15377224"/>
      <w:r>
        <w:rPr>
          <w:rFonts w:hint="eastAsia" w:eastAsia="楷体_GB2312" w:cs="楷体_GB2312"/>
          <w:b/>
          <w:sz w:val="32"/>
          <w:szCs w:val="32"/>
        </w:rPr>
        <w:t>（三）国有资产占有使用情况</w:t>
      </w:r>
      <w:bookmarkEnd w:id="50"/>
    </w:p>
    <w:p w14:paraId="2ACE6B2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截至2024年12月31日，盐边县市场监督管理局共有车辆7辆，其中：一般执法执勤用车5辆，执法执勤特专车2辆，非执法执勤特种专业技术用车1辆。单价100万元（含）以上设备（不含车辆）0台（套）</w:t>
      </w:r>
      <w:r>
        <w:rPr>
          <w:rFonts w:hint="eastAsia" w:eastAsia="仿宋_GB2312" w:cs="仿宋_GB2312"/>
          <w:sz w:val="32"/>
          <w:szCs w:val="32"/>
        </w:rPr>
        <w:t>。</w:t>
      </w:r>
    </w:p>
    <w:p w14:paraId="58B1617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25E0462">
      <w:pPr>
        <w:spacing w:line="600" w:lineRule="exact"/>
        <w:ind w:firstLine="640"/>
        <w:rPr>
          <w:rFonts w:eastAsia="仿宋_GB2312" w:cs="仿宋_GB2312"/>
          <w:sz w:val="32"/>
          <w:szCs w:val="32"/>
        </w:rPr>
      </w:pPr>
      <w:r>
        <w:rPr>
          <w:rFonts w:hint="eastAsia" w:eastAsia="仿宋_GB2312" w:cs="仿宋_GB2312"/>
          <w:sz w:val="32"/>
          <w:szCs w:val="32"/>
        </w:rPr>
        <w:t>根据预算绩效管理要求，盐边县市场监督管理局在2024年度预算编制阶段，组织对食品、药品、重点产（商）品抽检等6个项目开展了预算事前绩效评估，对9个项目编制了绩效目标，预算执行过程中，选取9个项目开展绩效监控。</w:t>
      </w:r>
    </w:p>
    <w:p w14:paraId="01DB603B">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资金等全面开展绩效自评，形成盐边县市场监督管理部门整体（含部门预算项目）绩效自评报告、2024年食品安全监督抽检、2024年药品监督抽检、2024年重点产（商）品及地理标志产品监督抽检、创建国家食品安全示范城市和省级食品安全示范县专项、2024年购买台式水压泵检定设备专项、2024年通用办公设备采购、2023年“个转企”财政激励资金、迎接国家卫生县复审专项经费、2024年农贸市场优化提升项目、有机产品认证奖补资金、电动汽车充电枪计量检定专项资金、渔门市场监管所办公用房租赁项目、盐边县市场监督管理局（所）“两化”建设、省级财政知识产权专项资金等专项预算项目绩效自评报告，其中，盐边县市场监督管理局部门整体（含部门预算项目）绩效自评得分为</w:t>
      </w:r>
      <w:r>
        <w:rPr>
          <w:rFonts w:hint="eastAsia" w:eastAsia="仿宋_GB2312" w:cs="仿宋_GB2312"/>
          <w:color w:val="auto"/>
          <w:sz w:val="32"/>
          <w:szCs w:val="32"/>
        </w:rPr>
        <w:t>100分；盐边县市场监督管理局专项预算项目绩效自评得分为100分。</w:t>
      </w:r>
      <w:r>
        <w:rPr>
          <w:rFonts w:hint="eastAsia" w:eastAsia="仿宋_GB2312" w:cs="仿宋_GB2312"/>
          <w:sz w:val="32"/>
          <w:szCs w:val="32"/>
        </w:rPr>
        <w:t>绩效自评报告详见附件。</w:t>
      </w:r>
    </w:p>
    <w:p w14:paraId="6A4C64F8">
      <w:pPr>
        <w:spacing w:line="600" w:lineRule="exact"/>
        <w:ind w:firstLine="640"/>
        <w:rPr>
          <w:rFonts w:eastAsia="仿宋_GB2312" w:cs="仿宋_GB2312"/>
          <w:sz w:val="32"/>
          <w:szCs w:val="32"/>
        </w:rPr>
      </w:pPr>
    </w:p>
    <w:p w14:paraId="51170DE6">
      <w:pPr>
        <w:pStyle w:val="10"/>
        <w:rPr>
          <w:rFonts w:eastAsia="仿宋_GB2312" w:cs="仿宋_GB2312"/>
          <w:sz w:val="32"/>
          <w:szCs w:val="32"/>
        </w:rPr>
      </w:pPr>
    </w:p>
    <w:p w14:paraId="16CA40C2">
      <w:pPr>
        <w:pStyle w:val="10"/>
        <w:rPr>
          <w:rFonts w:eastAsia="仿宋_GB2312" w:cs="仿宋_GB2312"/>
          <w:sz w:val="32"/>
          <w:szCs w:val="32"/>
        </w:rPr>
      </w:pPr>
    </w:p>
    <w:p w14:paraId="20D63A16">
      <w:pPr>
        <w:pStyle w:val="10"/>
        <w:rPr>
          <w:rFonts w:eastAsia="仿宋_GB2312" w:cs="仿宋_GB2312"/>
          <w:sz w:val="32"/>
          <w:szCs w:val="32"/>
        </w:rPr>
      </w:pPr>
    </w:p>
    <w:p w14:paraId="5D82E0B6">
      <w:pPr>
        <w:pStyle w:val="10"/>
        <w:rPr>
          <w:rFonts w:eastAsia="仿宋_GB2312" w:cs="仿宋_GB2312"/>
          <w:sz w:val="32"/>
          <w:szCs w:val="32"/>
        </w:rPr>
      </w:pPr>
    </w:p>
    <w:p w14:paraId="0F115283">
      <w:pPr>
        <w:pStyle w:val="10"/>
        <w:rPr>
          <w:rFonts w:eastAsia="仿宋_GB2312" w:cs="仿宋_GB2312"/>
          <w:sz w:val="32"/>
          <w:szCs w:val="32"/>
        </w:rPr>
      </w:pPr>
    </w:p>
    <w:p w14:paraId="583FA6E2">
      <w:pPr>
        <w:pStyle w:val="10"/>
        <w:rPr>
          <w:rFonts w:eastAsia="仿宋_GB2312" w:cs="仿宋_GB2312"/>
          <w:sz w:val="32"/>
          <w:szCs w:val="32"/>
        </w:rPr>
      </w:pPr>
    </w:p>
    <w:p w14:paraId="1A3DAC88">
      <w:pPr>
        <w:pStyle w:val="10"/>
        <w:rPr>
          <w:rFonts w:eastAsia="仿宋_GB2312" w:cs="仿宋_GB2312"/>
          <w:sz w:val="32"/>
          <w:szCs w:val="32"/>
        </w:rPr>
      </w:pPr>
    </w:p>
    <w:p w14:paraId="14639413">
      <w:pPr>
        <w:pStyle w:val="10"/>
        <w:rPr>
          <w:rFonts w:eastAsia="仿宋_GB2312" w:cs="仿宋_GB2312"/>
          <w:sz w:val="32"/>
          <w:szCs w:val="32"/>
        </w:rPr>
      </w:pPr>
    </w:p>
    <w:p w14:paraId="611AEA39">
      <w:pPr>
        <w:pStyle w:val="10"/>
        <w:rPr>
          <w:rFonts w:eastAsia="仿宋_GB2312" w:cs="仿宋_GB2312"/>
          <w:sz w:val="32"/>
          <w:szCs w:val="32"/>
        </w:rPr>
      </w:pPr>
    </w:p>
    <w:p w14:paraId="688600B3">
      <w:pPr>
        <w:pStyle w:val="10"/>
        <w:rPr>
          <w:rFonts w:eastAsia="仿宋_GB2312" w:cs="仿宋_GB2312"/>
          <w:sz w:val="32"/>
          <w:szCs w:val="32"/>
        </w:rPr>
      </w:pPr>
    </w:p>
    <w:p w14:paraId="3F2CA3BD">
      <w:pPr>
        <w:pStyle w:val="10"/>
        <w:rPr>
          <w:rFonts w:eastAsia="仿宋_GB2312" w:cs="仿宋_GB2312"/>
          <w:sz w:val="32"/>
          <w:szCs w:val="32"/>
        </w:rPr>
      </w:pPr>
    </w:p>
    <w:p w14:paraId="62AA2800">
      <w:pPr>
        <w:pStyle w:val="10"/>
        <w:rPr>
          <w:rFonts w:eastAsia="仿宋_GB2312" w:cs="仿宋_GB2312"/>
          <w:sz w:val="32"/>
          <w:szCs w:val="32"/>
        </w:rPr>
      </w:pPr>
    </w:p>
    <w:p w14:paraId="19947931">
      <w:pPr>
        <w:pStyle w:val="10"/>
        <w:rPr>
          <w:rFonts w:eastAsia="仿宋_GB2312" w:cs="仿宋_GB2312"/>
          <w:sz w:val="32"/>
          <w:szCs w:val="32"/>
        </w:rPr>
      </w:pPr>
    </w:p>
    <w:p w14:paraId="21A0B567">
      <w:pPr>
        <w:pStyle w:val="10"/>
        <w:rPr>
          <w:rFonts w:eastAsia="仿宋_GB2312" w:cs="仿宋_GB2312"/>
          <w:sz w:val="32"/>
          <w:szCs w:val="32"/>
        </w:rPr>
      </w:pPr>
    </w:p>
    <w:p w14:paraId="042452B4">
      <w:pPr>
        <w:pStyle w:val="10"/>
        <w:rPr>
          <w:rFonts w:eastAsia="仿宋_GB2312" w:cs="仿宋_GB2312"/>
          <w:sz w:val="32"/>
          <w:szCs w:val="32"/>
        </w:rPr>
      </w:pPr>
    </w:p>
    <w:p w14:paraId="55709B05">
      <w:pPr>
        <w:spacing w:line="600" w:lineRule="exact"/>
        <w:jc w:val="center"/>
        <w:outlineLvl w:val="0"/>
        <w:rPr>
          <w:rFonts w:eastAsia="黑体"/>
          <w:sz w:val="44"/>
          <w:szCs w:val="44"/>
        </w:rPr>
      </w:pPr>
      <w:bookmarkStart w:id="51" w:name="_Toc15377225"/>
      <w:bookmarkStart w:id="52" w:name="_Toc15396613"/>
      <w:r>
        <w:rPr>
          <w:rFonts w:hint="eastAsia" w:eastAsia="黑体"/>
          <w:sz w:val="44"/>
          <w:szCs w:val="44"/>
        </w:rPr>
        <w:t>第三部分  名词解释</w:t>
      </w:r>
      <w:bookmarkEnd w:id="51"/>
      <w:bookmarkEnd w:id="52"/>
    </w:p>
    <w:p w14:paraId="77D4D234">
      <w:pPr>
        <w:spacing w:line="600" w:lineRule="exact"/>
        <w:jc w:val="left"/>
        <w:rPr>
          <w:b/>
          <w:sz w:val="44"/>
          <w:szCs w:val="44"/>
        </w:rPr>
      </w:pPr>
    </w:p>
    <w:p w14:paraId="3ED3F7E0">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5DDEB7C">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575B22FD">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678FAD87">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14:paraId="79356593">
      <w:pPr>
        <w:spacing w:line="600" w:lineRule="exact"/>
        <w:ind w:firstLine="640"/>
        <w:rPr>
          <w:rFonts w:hint="eastAsia" w:eastAsia="仿宋_GB2312" w:cs="仿宋_GB2312"/>
          <w:sz w:val="32"/>
          <w:szCs w:val="32"/>
        </w:rPr>
      </w:pPr>
      <w:r>
        <w:rPr>
          <w:rFonts w:hint="eastAsia" w:eastAsia="仿宋_GB2312" w:cs="仿宋_GB2312"/>
          <w:sz w:val="32"/>
          <w:szCs w:val="32"/>
        </w:rPr>
        <w:t>5.使用非财政拨款结余（含专用结余）：指事业单位使用以前年度积累的非财政拨款结余弥补当年收支差额的金额。</w:t>
      </w:r>
    </w:p>
    <w:p w14:paraId="2C002D64">
      <w:pPr>
        <w:spacing w:line="600" w:lineRule="exact"/>
        <w:ind w:firstLine="640"/>
        <w:rPr>
          <w:rFonts w:hint="eastAsia"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BAE9F1F">
      <w:pPr>
        <w:spacing w:line="600" w:lineRule="exact"/>
        <w:ind w:firstLine="640"/>
        <w:rPr>
          <w:rFonts w:hint="eastAsia"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74C3D88">
      <w:pPr>
        <w:spacing w:line="600" w:lineRule="exact"/>
        <w:ind w:firstLine="640"/>
        <w:rPr>
          <w:rFonts w:hint="eastAsia"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03BF810">
      <w:pPr>
        <w:spacing w:line="600" w:lineRule="exact"/>
        <w:ind w:firstLine="640"/>
        <w:rPr>
          <w:rFonts w:hint="eastAsia" w:eastAsia="仿宋_GB2312" w:cs="仿宋_GB2312"/>
          <w:sz w:val="32"/>
          <w:szCs w:val="32"/>
        </w:rPr>
      </w:pPr>
      <w:r>
        <w:rPr>
          <w:rFonts w:hint="eastAsia" w:eastAsia="仿宋_GB2312" w:cs="仿宋_GB2312"/>
          <w:sz w:val="32"/>
          <w:szCs w:val="32"/>
        </w:rPr>
        <w:t>9.一般公共服务（201类）宣传事务（33款）行政运行（01项）：指反映行政单位（包括实行公务员管理的事业单位）的基本支出</w:t>
      </w:r>
    </w:p>
    <w:p w14:paraId="7CAC04DF">
      <w:pPr>
        <w:spacing w:line="600" w:lineRule="exact"/>
        <w:ind w:firstLine="640"/>
        <w:rPr>
          <w:rFonts w:eastAsia="仿宋_GB2312"/>
          <w:kern w:val="0"/>
          <w:sz w:val="32"/>
          <w:szCs w:val="32"/>
        </w:rPr>
      </w:pPr>
      <w:r>
        <w:rPr>
          <w:rFonts w:hint="eastAsia" w:eastAsia="仿宋_GB2312" w:cs="仿宋_GB2312"/>
          <w:sz w:val="32"/>
          <w:szCs w:val="32"/>
        </w:rPr>
        <w:t>10.一般公共服务（201类）市场监督管理事务（38款）</w:t>
      </w:r>
      <w:r>
        <w:rPr>
          <w:rFonts w:eastAsia="仿宋_GB2312"/>
          <w:kern w:val="0"/>
          <w:sz w:val="32"/>
          <w:szCs w:val="32"/>
        </w:rPr>
        <w:t>行政运行（01项）</w:t>
      </w:r>
      <w:r>
        <w:rPr>
          <w:rFonts w:hint="eastAsia" w:eastAsia="仿宋_GB2312"/>
          <w:kern w:val="0"/>
          <w:sz w:val="32"/>
          <w:szCs w:val="32"/>
          <w:lang w:eastAsia="zh-CN"/>
        </w:rPr>
        <w:t>：</w:t>
      </w:r>
      <w:r>
        <w:rPr>
          <w:rFonts w:eastAsia="仿宋_GB2312"/>
          <w:kern w:val="0"/>
          <w:sz w:val="32"/>
          <w:szCs w:val="32"/>
        </w:rPr>
        <w:t>指反映行政单位（包括实行公务员管理的事业单位）的基本支出</w:t>
      </w:r>
    </w:p>
    <w:p w14:paraId="2D8175DC">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1</w:t>
      </w:r>
      <w:r>
        <w:rPr>
          <w:rFonts w:eastAsia="仿宋_GB2312"/>
          <w:kern w:val="0"/>
          <w:sz w:val="32"/>
          <w:szCs w:val="32"/>
        </w:rPr>
        <w:t>.一般公共服务（201类）市场监督管理事务（38款）市场秩序执法（05项）</w:t>
      </w:r>
      <w:r>
        <w:rPr>
          <w:rFonts w:hint="eastAsia" w:eastAsia="仿宋_GB2312"/>
          <w:kern w:val="0"/>
          <w:sz w:val="32"/>
          <w:szCs w:val="32"/>
          <w:lang w:eastAsia="zh-CN"/>
        </w:rPr>
        <w:t>：</w:t>
      </w:r>
      <w:r>
        <w:rPr>
          <w:rFonts w:eastAsia="仿宋_GB2312"/>
          <w:kern w:val="0"/>
          <w:sz w:val="32"/>
          <w:szCs w:val="32"/>
        </w:rPr>
        <w:t>指反映反垄断、价格监督、反不正当竞争、规范直销与打击传销、网络交易监管、广告监管、消费者权益保护、综合执法等市场秩序执法专项工作支出。</w:t>
      </w:r>
    </w:p>
    <w:p w14:paraId="2F63F4D9">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2</w:t>
      </w:r>
      <w:r>
        <w:rPr>
          <w:rFonts w:eastAsia="仿宋_GB2312"/>
          <w:kern w:val="0"/>
          <w:sz w:val="32"/>
          <w:szCs w:val="32"/>
        </w:rPr>
        <w:t>.一般公共服务（201类）市场监督管理事务（38款）药品事务（12项）</w:t>
      </w:r>
      <w:r>
        <w:rPr>
          <w:rFonts w:hint="eastAsia" w:eastAsia="仿宋_GB2312"/>
          <w:kern w:val="0"/>
          <w:sz w:val="32"/>
          <w:szCs w:val="32"/>
          <w:lang w:eastAsia="zh-CN"/>
        </w:rPr>
        <w:t>：</w:t>
      </w:r>
      <w:r>
        <w:rPr>
          <w:rFonts w:eastAsia="仿宋_GB2312"/>
          <w:kern w:val="0"/>
          <w:sz w:val="32"/>
          <w:szCs w:val="32"/>
        </w:rPr>
        <w:t>指反映用于药品（含中药、民族药）监督管理方面的支出。</w:t>
      </w:r>
    </w:p>
    <w:p w14:paraId="3BC81D93">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3</w:t>
      </w:r>
      <w:r>
        <w:rPr>
          <w:rFonts w:eastAsia="仿宋_GB2312"/>
          <w:kern w:val="0"/>
          <w:sz w:val="32"/>
          <w:szCs w:val="32"/>
        </w:rPr>
        <w:t>.一般公共服务（201类）市场监督管理事务（38款）质量安全监管（15项）</w:t>
      </w:r>
      <w:r>
        <w:rPr>
          <w:rFonts w:hint="eastAsia" w:eastAsia="仿宋_GB2312"/>
          <w:kern w:val="0"/>
          <w:sz w:val="32"/>
          <w:szCs w:val="32"/>
          <w:lang w:eastAsia="zh-CN"/>
        </w:rPr>
        <w:t>：</w:t>
      </w:r>
      <w:r>
        <w:rPr>
          <w:rFonts w:eastAsia="仿宋_GB2312"/>
          <w:kern w:val="0"/>
          <w:sz w:val="32"/>
          <w:szCs w:val="32"/>
        </w:rPr>
        <w:t>指反映产品质量安全监管、特种设备安全监管等质量监管专项工作支出。</w:t>
      </w:r>
    </w:p>
    <w:p w14:paraId="6941EA85">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4</w:t>
      </w:r>
      <w:r>
        <w:rPr>
          <w:rFonts w:eastAsia="仿宋_GB2312"/>
          <w:kern w:val="0"/>
          <w:sz w:val="32"/>
          <w:szCs w:val="32"/>
        </w:rPr>
        <w:t>.一般公共服务（201类）市场监督管理事务（38款）食品安全监管（16项）</w:t>
      </w:r>
      <w:r>
        <w:rPr>
          <w:rFonts w:hint="eastAsia" w:eastAsia="仿宋_GB2312"/>
          <w:kern w:val="0"/>
          <w:sz w:val="32"/>
          <w:szCs w:val="32"/>
          <w:lang w:eastAsia="zh-CN"/>
        </w:rPr>
        <w:t>：</w:t>
      </w:r>
      <w:r>
        <w:rPr>
          <w:rFonts w:eastAsia="仿宋_GB2312"/>
          <w:kern w:val="0"/>
          <w:sz w:val="32"/>
          <w:szCs w:val="32"/>
        </w:rPr>
        <w:t>指反映食品安全监管等专项工作支出。</w:t>
      </w:r>
    </w:p>
    <w:p w14:paraId="4E411DCB">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5</w:t>
      </w:r>
      <w:r>
        <w:rPr>
          <w:rFonts w:eastAsia="仿宋_GB2312"/>
          <w:kern w:val="0"/>
          <w:sz w:val="32"/>
          <w:szCs w:val="32"/>
        </w:rPr>
        <w:t>.一般公共服务（201类）市场监督管理事务（38款）事业运行（50项）</w:t>
      </w:r>
      <w:r>
        <w:rPr>
          <w:rFonts w:hint="eastAsia" w:eastAsia="仿宋_GB2312"/>
          <w:kern w:val="0"/>
          <w:sz w:val="32"/>
          <w:szCs w:val="32"/>
          <w:lang w:eastAsia="zh-CN"/>
        </w:rPr>
        <w:t>：</w:t>
      </w:r>
      <w:r>
        <w:rPr>
          <w:rFonts w:eastAsia="仿宋_GB2312"/>
          <w:kern w:val="0"/>
          <w:sz w:val="32"/>
          <w:szCs w:val="32"/>
        </w:rPr>
        <w:t>指反映事业单位的基本支出，不包括行政单位（包括实行公务员管理的事业单位）后勤服务中心、医务室等附属事业单位。</w:t>
      </w:r>
    </w:p>
    <w:p w14:paraId="5578A62B">
      <w:pPr>
        <w:spacing w:line="60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6</w:t>
      </w:r>
      <w:r>
        <w:rPr>
          <w:rFonts w:eastAsia="仿宋_GB2312"/>
          <w:kern w:val="0"/>
          <w:sz w:val="32"/>
          <w:szCs w:val="32"/>
        </w:rPr>
        <w:t>.一般公共服务（201类）市场监督管理事务（38款）其他市场监督管理事务（99项）</w:t>
      </w:r>
      <w:r>
        <w:rPr>
          <w:rFonts w:hint="eastAsia" w:eastAsia="仿宋_GB2312"/>
          <w:kern w:val="0"/>
          <w:sz w:val="32"/>
          <w:szCs w:val="32"/>
          <w:lang w:eastAsia="zh-CN"/>
        </w:rPr>
        <w:t>：</w:t>
      </w:r>
      <w:r>
        <w:rPr>
          <w:rFonts w:eastAsia="仿宋_GB2312"/>
          <w:kern w:val="0"/>
          <w:sz w:val="32"/>
          <w:szCs w:val="32"/>
        </w:rPr>
        <w:t xml:space="preserve"> 指反映用于除上述项目以外其他市场监督管理事务方面的支出。</w:t>
      </w:r>
    </w:p>
    <w:p w14:paraId="0204A51C">
      <w:pPr>
        <w:ind w:firstLine="640" w:firstLineChars="200"/>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14:paraId="1FAECEAD">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8</w:t>
      </w:r>
      <w:r>
        <w:rPr>
          <w:rFonts w:eastAsia="仿宋_GB2312"/>
          <w:color w:val="000000"/>
          <w:sz w:val="32"/>
          <w:szCs w:val="32"/>
        </w:rPr>
        <w:t>.社会保障和就业（208类）行政事业单位养老支出（05款）事业单位离退休（02项）：指事业单位开支的离退休经费。</w:t>
      </w:r>
    </w:p>
    <w:p w14:paraId="5AE9A64E">
      <w:pPr>
        <w:spacing w:line="600" w:lineRule="exact"/>
        <w:ind w:firstLine="64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.社会保障和就业（208类）行政事业单位养老支出（05款）机关事业单位基本养老保险缴费支出（05项）：指机关事业单位实施养老保险制度由单位缴纳的基本养老保险费支出。</w:t>
      </w:r>
    </w:p>
    <w:p w14:paraId="70C7AEEB">
      <w:pPr>
        <w:spacing w:line="600" w:lineRule="exact"/>
        <w:ind w:firstLine="640"/>
        <w:rPr>
          <w:rFonts w:eastAsia="仿宋_GB2312"/>
          <w:color w:val="000000"/>
          <w:sz w:val="32"/>
          <w:szCs w:val="32"/>
        </w:rPr>
      </w:pPr>
      <w:r>
        <w:rPr>
          <w:rFonts w:hint="eastAsia" w:eastAsia="仿宋_GB2312"/>
          <w:color w:val="000000"/>
          <w:sz w:val="32"/>
          <w:szCs w:val="32"/>
        </w:rPr>
        <w:t>20</w:t>
      </w:r>
      <w:r>
        <w:rPr>
          <w:rFonts w:eastAsia="仿宋_GB2312"/>
          <w:color w:val="000000"/>
          <w:sz w:val="32"/>
          <w:szCs w:val="32"/>
        </w:rPr>
        <w:t>. 社会保障和就业（208类）行政事业单位养老支出（05款）机关事业单位职业年金缴费支出（06项）：指机关事业单位实施养老保险制度由单位缴纳的职业年金支出（含职业</w:t>
      </w:r>
      <w:r>
        <w:rPr>
          <w:rFonts w:hint="eastAsia" w:eastAsia="仿宋_GB2312"/>
          <w:color w:val="000000"/>
          <w:sz w:val="32"/>
          <w:szCs w:val="32"/>
          <w:lang w:eastAsia="zh-CN"/>
        </w:rPr>
        <w:t>年金</w:t>
      </w:r>
      <w:r>
        <w:rPr>
          <w:rFonts w:eastAsia="仿宋_GB2312"/>
          <w:color w:val="000000"/>
          <w:sz w:val="32"/>
          <w:szCs w:val="32"/>
        </w:rPr>
        <w:t>补记支出）。</w:t>
      </w:r>
    </w:p>
    <w:p w14:paraId="6B31F13B">
      <w:pPr>
        <w:spacing w:line="60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1</w:t>
      </w:r>
      <w:r>
        <w:rPr>
          <w:rFonts w:eastAsia="仿宋_GB2312"/>
          <w:color w:val="000000"/>
          <w:sz w:val="32"/>
          <w:szCs w:val="32"/>
        </w:rPr>
        <w:t>.社会保障和就业支出（208类）抚恤（08款）死亡抚恤（0</w:t>
      </w:r>
      <w:r>
        <w:rPr>
          <w:rFonts w:hint="eastAsia" w:eastAsia="仿宋_GB2312"/>
          <w:color w:val="000000"/>
          <w:sz w:val="32"/>
          <w:szCs w:val="32"/>
        </w:rPr>
        <w:t>2</w:t>
      </w:r>
      <w:r>
        <w:rPr>
          <w:rFonts w:eastAsia="仿宋_GB2312"/>
          <w:color w:val="000000"/>
          <w:sz w:val="32"/>
          <w:szCs w:val="32"/>
        </w:rPr>
        <w:t>项）</w:t>
      </w:r>
      <w:r>
        <w:rPr>
          <w:rFonts w:hint="eastAsia" w:eastAsia="仿宋_GB2312"/>
          <w:color w:val="000000"/>
          <w:sz w:val="32"/>
          <w:szCs w:val="32"/>
          <w:lang w:eastAsia="zh-CN"/>
        </w:rPr>
        <w:t>：</w:t>
      </w:r>
      <w:r>
        <w:rPr>
          <w:rFonts w:eastAsia="仿宋_GB2312"/>
          <w:color w:val="000000"/>
          <w:sz w:val="32"/>
          <w:szCs w:val="32"/>
        </w:rPr>
        <w:t>指按规定用于伤残人员的抚恤金和按规定开支的各种伤残补助费。</w:t>
      </w:r>
    </w:p>
    <w:p w14:paraId="464054E3">
      <w:pPr>
        <w:spacing w:line="60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2</w:t>
      </w:r>
      <w:r>
        <w:rPr>
          <w:rFonts w:eastAsia="仿宋_GB2312"/>
          <w:color w:val="000000"/>
          <w:sz w:val="32"/>
          <w:szCs w:val="32"/>
        </w:rPr>
        <w:t>.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6E17D403">
      <w:pPr>
        <w:spacing w:line="60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3</w:t>
      </w:r>
      <w:r>
        <w:rPr>
          <w:rFonts w:eastAsia="仿宋_GB2312"/>
          <w:color w:val="000000"/>
          <w:sz w:val="32"/>
          <w:szCs w:val="32"/>
        </w:rPr>
        <w:t>.卫生健康（210类）行政事业单位医疗（11款）事业单位医疗（02项）：指财政部门安排的事业单位基本医疗保险缴费经费，未参加医疗保险的事业单位的公费医疗经费，按国家规定享受离休人员待遇人员的医疗经费。</w:t>
      </w:r>
    </w:p>
    <w:p w14:paraId="0B305497">
      <w:pPr>
        <w:spacing w:line="60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4</w:t>
      </w:r>
      <w:r>
        <w:rPr>
          <w:rFonts w:eastAsia="仿宋_GB2312"/>
          <w:color w:val="000000"/>
          <w:sz w:val="32"/>
          <w:szCs w:val="32"/>
        </w:rPr>
        <w:t>.卫生健康（210类）行政事业单位医疗（11款）公务员医疗补助（03项）：指财政部门安排的公务员医疗补助经费。</w:t>
      </w:r>
    </w:p>
    <w:p w14:paraId="5D5975AA">
      <w:pPr>
        <w:spacing w:line="60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5</w:t>
      </w:r>
      <w:r>
        <w:rPr>
          <w:rFonts w:eastAsia="仿宋_GB2312"/>
          <w:color w:val="000000"/>
          <w:sz w:val="32"/>
          <w:szCs w:val="32"/>
        </w:rPr>
        <w:t>.卫生健康（210类）行政事业单位医疗（11款）其他行政事业单位医疗支出（99项）：其他用于行政事业单位医疗方面的支出。</w:t>
      </w:r>
    </w:p>
    <w:p w14:paraId="4F4CFECE">
      <w:pPr>
        <w:spacing w:line="600" w:lineRule="exact"/>
        <w:ind w:firstLine="640"/>
        <w:rPr>
          <w:rFonts w:eastAsia="仿宋_GB2312"/>
          <w:color w:val="000000"/>
          <w:sz w:val="32"/>
          <w:szCs w:val="32"/>
        </w:rPr>
      </w:pPr>
      <w:r>
        <w:rPr>
          <w:rFonts w:hint="eastAsia" w:eastAsia="仿宋_GB2312"/>
          <w:color w:val="000000"/>
          <w:sz w:val="32"/>
          <w:szCs w:val="32"/>
        </w:rPr>
        <w:t>26.</w:t>
      </w:r>
      <w:r>
        <w:rPr>
          <w:rFonts w:eastAsia="仿宋_GB2312"/>
          <w:color w:val="000000"/>
          <w:sz w:val="32"/>
          <w:szCs w:val="32"/>
        </w:rPr>
        <w:t>卫生健康（210类）</w:t>
      </w:r>
      <w:r>
        <w:rPr>
          <w:rFonts w:hint="eastAsia" w:eastAsia="仿宋_GB2312"/>
          <w:color w:val="000000"/>
          <w:sz w:val="32"/>
          <w:szCs w:val="32"/>
        </w:rPr>
        <w:t>其他</w:t>
      </w:r>
      <w:r>
        <w:rPr>
          <w:rFonts w:eastAsia="仿宋_GB2312"/>
          <w:color w:val="000000"/>
          <w:sz w:val="32"/>
          <w:szCs w:val="32"/>
        </w:rPr>
        <w:t>卫生健康支出（</w:t>
      </w:r>
      <w:r>
        <w:rPr>
          <w:rFonts w:hint="eastAsia" w:eastAsia="仿宋_GB2312"/>
          <w:color w:val="000000"/>
          <w:sz w:val="32"/>
          <w:szCs w:val="32"/>
        </w:rPr>
        <w:t>99</w:t>
      </w:r>
      <w:r>
        <w:rPr>
          <w:rFonts w:eastAsia="仿宋_GB2312"/>
          <w:color w:val="000000"/>
          <w:sz w:val="32"/>
          <w:szCs w:val="32"/>
        </w:rPr>
        <w:t>款）</w:t>
      </w:r>
      <w:r>
        <w:rPr>
          <w:rFonts w:hint="eastAsia" w:eastAsia="仿宋_GB2312"/>
          <w:color w:val="000000"/>
          <w:sz w:val="32"/>
          <w:szCs w:val="32"/>
        </w:rPr>
        <w:t>其他</w:t>
      </w:r>
      <w:r>
        <w:rPr>
          <w:rFonts w:eastAsia="仿宋_GB2312"/>
          <w:color w:val="000000"/>
          <w:sz w:val="32"/>
          <w:szCs w:val="32"/>
        </w:rPr>
        <w:t>卫生健康支出（99项）：其他用于</w:t>
      </w:r>
      <w:r>
        <w:rPr>
          <w:rFonts w:hint="eastAsia" w:eastAsia="仿宋_GB2312"/>
          <w:color w:val="000000"/>
          <w:sz w:val="32"/>
          <w:szCs w:val="32"/>
        </w:rPr>
        <w:t>卫生</w:t>
      </w:r>
      <w:r>
        <w:rPr>
          <w:rFonts w:eastAsia="仿宋_GB2312"/>
          <w:color w:val="000000"/>
          <w:sz w:val="32"/>
          <w:szCs w:val="32"/>
        </w:rPr>
        <w:t>健康方面的支出</w:t>
      </w:r>
    </w:p>
    <w:p w14:paraId="21A927BD">
      <w:pPr>
        <w:spacing w:line="600" w:lineRule="exact"/>
        <w:ind w:firstLine="640"/>
      </w:pPr>
      <w:r>
        <w:rPr>
          <w:rFonts w:eastAsia="仿宋_GB2312"/>
          <w:color w:val="000000"/>
          <w:sz w:val="32"/>
          <w:szCs w:val="32"/>
        </w:rPr>
        <w:t>2</w:t>
      </w:r>
      <w:r>
        <w:rPr>
          <w:rFonts w:hint="eastAsia" w:eastAsia="仿宋_GB2312"/>
          <w:color w:val="000000"/>
          <w:sz w:val="32"/>
          <w:szCs w:val="32"/>
        </w:rPr>
        <w:t>7</w:t>
      </w:r>
      <w:r>
        <w:rPr>
          <w:rFonts w:eastAsia="仿宋_GB2312"/>
          <w:color w:val="000000"/>
          <w:sz w:val="32"/>
          <w:szCs w:val="32"/>
        </w:rPr>
        <w:t>.住房保障支出（221类）住房改革支出（02款）住房公积金（01项）：指行政事业单位按人力资源和社会保障部、财政部规定的基本工资和津贴补贴以及规定比例为职工缴纳的住房公积金。</w:t>
      </w:r>
    </w:p>
    <w:p w14:paraId="4E7D8E44">
      <w:pPr>
        <w:spacing w:line="600" w:lineRule="exact"/>
        <w:ind w:firstLine="640"/>
        <w:rPr>
          <w:rFonts w:eastAsia="仿宋_GB2312" w:cs="仿宋_GB2312"/>
          <w:sz w:val="32"/>
          <w:szCs w:val="32"/>
        </w:rPr>
      </w:pPr>
      <w:r>
        <w:rPr>
          <w:rFonts w:hint="eastAsia" w:eastAsia="仿宋_GB2312" w:cs="仿宋_GB2312"/>
          <w:sz w:val="32"/>
          <w:szCs w:val="32"/>
        </w:rPr>
        <w:t>28.基本支出：指为保障机构正常运转、完成日常工作任务而发生的人员支出和公用支出。</w:t>
      </w:r>
    </w:p>
    <w:p w14:paraId="2AF0CC40">
      <w:pPr>
        <w:spacing w:line="600" w:lineRule="exact"/>
        <w:ind w:firstLine="640"/>
        <w:rPr>
          <w:rFonts w:eastAsia="仿宋_GB2312" w:cs="仿宋_GB2312"/>
          <w:sz w:val="32"/>
          <w:szCs w:val="32"/>
        </w:rPr>
      </w:pPr>
      <w:r>
        <w:rPr>
          <w:rFonts w:hint="eastAsia" w:eastAsia="仿宋_GB2312" w:cs="仿宋_GB2312"/>
          <w:sz w:val="32"/>
          <w:szCs w:val="32"/>
        </w:rPr>
        <w:t xml:space="preserve">29.项目支出：指在基本支出之外为完成特定行政任务和事业发展目标所发生的支出。 </w:t>
      </w:r>
    </w:p>
    <w:p w14:paraId="533426B0">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B38E2A">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8FDF07">
      <w:pPr>
        <w:spacing w:line="600" w:lineRule="exact"/>
        <w:jc w:val="center"/>
        <w:rPr>
          <w:rStyle w:val="29"/>
          <w:rFonts w:eastAsia="黑体"/>
          <w:b w:val="0"/>
        </w:rPr>
      </w:pPr>
      <w:bookmarkStart w:id="53" w:name="_Toc15377226"/>
      <w:r>
        <w:rPr>
          <w:rFonts w:hint="eastAsia" w:eastAsia="仿宋_GB2312" w:cs="仿宋_GB2312"/>
          <w:sz w:val="32"/>
          <w:szCs w:val="32"/>
        </w:rPr>
        <w:br w:type="page"/>
      </w:r>
      <w:bookmarkStart w:id="54" w:name="_Toc15396614"/>
      <w:r>
        <w:rPr>
          <w:rFonts w:hint="eastAsia" w:eastAsia="黑体"/>
          <w:sz w:val="44"/>
          <w:szCs w:val="44"/>
        </w:rPr>
        <w:t>第四部分  附件</w:t>
      </w:r>
      <w:bookmarkEnd w:id="54"/>
    </w:p>
    <w:p w14:paraId="337A21D9">
      <w:pPr>
        <w:spacing w:line="572" w:lineRule="exact"/>
        <w:jc w:val="left"/>
        <w:outlineLvl w:val="0"/>
        <w:rPr>
          <w:rFonts w:eastAsia="黑体" w:cs="黑体"/>
          <w:color w:val="FF0000"/>
          <w:sz w:val="32"/>
          <w:szCs w:val="32"/>
        </w:rPr>
      </w:pPr>
    </w:p>
    <w:p w14:paraId="7782F830">
      <w:pPr>
        <w:spacing w:line="572" w:lineRule="exact"/>
        <w:jc w:val="left"/>
        <w:outlineLvl w:val="0"/>
        <w:rPr>
          <w:rFonts w:eastAsia="黑体" w:cs="方正小标宋简体"/>
          <w:sz w:val="44"/>
          <w:szCs w:val="44"/>
        </w:rPr>
      </w:pPr>
      <w:r>
        <w:rPr>
          <w:rFonts w:hint="eastAsia" w:eastAsia="黑体" w:cs="黑体"/>
          <w:sz w:val="32"/>
          <w:szCs w:val="32"/>
        </w:rPr>
        <w:t>附件1</w:t>
      </w:r>
    </w:p>
    <w:p w14:paraId="73DBCB82">
      <w:pPr>
        <w:widowControl/>
        <w:spacing w:line="578" w:lineRule="exact"/>
        <w:contextualSpacing/>
        <w:jc w:val="center"/>
        <w:rPr>
          <w:rFonts w:eastAsia="方正小标宋简体"/>
          <w:bCs/>
          <w:sz w:val="44"/>
          <w:szCs w:val="44"/>
          <w:shd w:val="clear" w:color="auto" w:fill="FFFFFF"/>
        </w:rPr>
      </w:pPr>
    </w:p>
    <w:p w14:paraId="7D133ADE">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1EFB7CD">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1F96EB31">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302DA820">
      <w:pPr>
        <w:widowControl/>
        <w:ind w:firstLine="643" w:firstLineChars="200"/>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26CA593B">
      <w:pPr>
        <w:widowControl/>
        <w:ind w:firstLine="640" w:firstLineChars="200"/>
        <w:jc w:val="left"/>
        <w:rPr>
          <w:rFonts w:eastAsia="仿宋_GB2312"/>
          <w:sz w:val="32"/>
          <w:szCs w:val="32"/>
        </w:rPr>
      </w:pPr>
      <w:r>
        <w:rPr>
          <w:rFonts w:hint="eastAsia" w:eastAsia="仿宋_GB2312"/>
          <w:sz w:val="32"/>
          <w:szCs w:val="32"/>
        </w:rPr>
        <w:t>盐边县</w:t>
      </w:r>
      <w:r>
        <w:rPr>
          <w:rFonts w:eastAsia="仿宋_GB2312"/>
          <w:sz w:val="32"/>
          <w:szCs w:val="32"/>
        </w:rPr>
        <w:t>市场监督管理局下设内设机构如下：办公室、政策法规股、行政审批与信用监督管理股、交易秩序监督管理股、消保股、食品安全协调股、食品安全监督管理股、药械化监督股、知识产权股、质量发展与认证认可股、特种设备安全监察股、</w:t>
      </w:r>
      <w:r>
        <w:rPr>
          <w:rFonts w:eastAsia="仿宋_GB2312"/>
          <w:color w:val="000000" w:themeColor="text1"/>
          <w:sz w:val="32"/>
          <w:szCs w:val="32"/>
          <w14:textFill>
            <w14:solidFill>
              <w14:schemeClr w14:val="tx1"/>
            </w14:solidFill>
          </w14:textFill>
        </w:rPr>
        <w:t>行政执法监督股</w:t>
      </w:r>
      <w:r>
        <w:rPr>
          <w:rFonts w:eastAsia="仿宋_GB2312"/>
          <w:sz w:val="32"/>
          <w:szCs w:val="32"/>
        </w:rPr>
        <w:t>12个内设机构；桐子林市场监管所、红格市场监管所、渔门市场监管所、格萨拉市场监管所、永兴市场监管所、红果市场监管所、国胜市场监管所、惠民市场监管所8个派出机构。</w:t>
      </w:r>
    </w:p>
    <w:p w14:paraId="51609C6E">
      <w:pPr>
        <w:widowControl/>
        <w:adjustRightInd w:val="0"/>
        <w:snapToGrid w:val="0"/>
        <w:spacing w:line="578" w:lineRule="exact"/>
        <w:ind w:firstLine="643" w:firstLineChars="200"/>
        <w:contextualSpacing/>
        <w:jc w:val="left"/>
        <w:rPr>
          <w:rFonts w:eastAsia="仿宋_GB2312"/>
          <w:sz w:val="32"/>
          <w:szCs w:val="32"/>
        </w:rPr>
      </w:pPr>
      <w:r>
        <w:rPr>
          <w:rFonts w:eastAsia="楷体_GB2312" w:cs="楷体_GB2312"/>
          <w:b/>
          <w:sz w:val="32"/>
          <w:szCs w:val="32"/>
          <w:lang w:val="zh-CN"/>
        </w:rPr>
        <w:t>（二）机构职能</w:t>
      </w:r>
      <w:r>
        <w:rPr>
          <w:rFonts w:hint="eastAsia" w:eastAsia="楷体_GB2312" w:cs="楷体_GB2312"/>
          <w:b/>
          <w:sz w:val="32"/>
          <w:szCs w:val="32"/>
          <w:lang w:val="zh-CN"/>
        </w:rPr>
        <w:t>。</w:t>
      </w:r>
    </w:p>
    <w:p w14:paraId="24B85828">
      <w:pPr>
        <w:widowControl/>
        <w:ind w:firstLine="640" w:firstLineChars="200"/>
        <w:jc w:val="left"/>
        <w:rPr>
          <w:rFonts w:hint="eastAsia" w:eastAsia="仿宋_GB2312"/>
          <w:sz w:val="32"/>
          <w:szCs w:val="32"/>
        </w:rPr>
      </w:pPr>
      <w:r>
        <w:rPr>
          <w:rFonts w:hint="eastAsia" w:eastAsia="仿宋_GB2312"/>
          <w:sz w:val="32"/>
          <w:szCs w:val="32"/>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14:paraId="73018AE9">
      <w:pPr>
        <w:widowControl/>
        <w:ind w:firstLine="640" w:firstLineChars="200"/>
        <w:jc w:val="left"/>
        <w:rPr>
          <w:rFonts w:hint="eastAsia" w:eastAsia="仿宋_GB2312"/>
          <w:sz w:val="32"/>
          <w:szCs w:val="32"/>
        </w:rPr>
      </w:pPr>
      <w:r>
        <w:rPr>
          <w:rFonts w:hint="eastAsia" w:eastAsia="仿宋_GB2312"/>
          <w:sz w:val="32"/>
          <w:szCs w:val="32"/>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14:paraId="4B3B88B9">
      <w:pPr>
        <w:widowControl/>
        <w:ind w:firstLine="640" w:firstLineChars="200"/>
        <w:jc w:val="left"/>
        <w:rPr>
          <w:rFonts w:hint="eastAsia" w:eastAsia="仿宋_GB2312"/>
          <w:sz w:val="32"/>
          <w:szCs w:val="32"/>
        </w:rPr>
      </w:pPr>
      <w:r>
        <w:rPr>
          <w:rFonts w:hint="eastAsia" w:eastAsia="仿宋_GB2312"/>
          <w:sz w:val="32"/>
          <w:szCs w:val="32"/>
        </w:rPr>
        <w:t>3.负责市场监管领域综合行政执法工作。</w:t>
      </w:r>
    </w:p>
    <w:p w14:paraId="00670219">
      <w:pPr>
        <w:widowControl/>
        <w:ind w:firstLine="640" w:firstLineChars="200"/>
        <w:jc w:val="left"/>
        <w:rPr>
          <w:rFonts w:hint="eastAsia" w:eastAsia="仿宋_GB2312"/>
          <w:sz w:val="32"/>
          <w:szCs w:val="32"/>
        </w:rPr>
      </w:pPr>
      <w:r>
        <w:rPr>
          <w:rFonts w:hint="eastAsia" w:eastAsia="仿宋_GB2312"/>
          <w:sz w:val="32"/>
          <w:szCs w:val="32"/>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14:paraId="0EC1E69F">
      <w:pPr>
        <w:widowControl/>
        <w:ind w:firstLine="640" w:firstLineChars="200"/>
        <w:jc w:val="left"/>
        <w:rPr>
          <w:rFonts w:hint="eastAsia" w:eastAsia="仿宋_GB2312"/>
          <w:sz w:val="32"/>
          <w:szCs w:val="32"/>
        </w:rPr>
      </w:pPr>
      <w:r>
        <w:rPr>
          <w:rFonts w:hint="eastAsia" w:eastAsia="仿宋_GB2312"/>
          <w:sz w:val="32"/>
          <w:szCs w:val="32"/>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14:paraId="7DAE55E7">
      <w:pPr>
        <w:widowControl/>
        <w:ind w:firstLine="640" w:firstLineChars="200"/>
        <w:jc w:val="left"/>
        <w:rPr>
          <w:rFonts w:hint="eastAsia" w:eastAsia="仿宋_GB2312"/>
          <w:sz w:val="32"/>
          <w:szCs w:val="32"/>
        </w:rPr>
      </w:pPr>
      <w:r>
        <w:rPr>
          <w:rFonts w:hint="eastAsia" w:eastAsia="仿宋_GB2312"/>
          <w:sz w:val="32"/>
          <w:szCs w:val="32"/>
        </w:rPr>
        <w:t>6.负责全县产品质量安全监督管理。负责产品质量监督抽查和风险监控工作，组织实施质量分级制度、质量安全追溯制度。负责工业产品生产许可证管理。负责纤维质量监督工作。</w:t>
      </w:r>
    </w:p>
    <w:p w14:paraId="04A6275D">
      <w:pPr>
        <w:widowControl/>
        <w:ind w:firstLine="640" w:firstLineChars="200"/>
        <w:jc w:val="left"/>
        <w:rPr>
          <w:rFonts w:hint="eastAsia" w:eastAsia="仿宋_GB2312"/>
          <w:sz w:val="32"/>
          <w:szCs w:val="32"/>
        </w:rPr>
      </w:pPr>
      <w:r>
        <w:rPr>
          <w:rFonts w:hint="eastAsia" w:eastAsia="仿宋_GB2312"/>
          <w:sz w:val="32"/>
          <w:szCs w:val="32"/>
        </w:rPr>
        <w:t>7.负责全县特种设备安全监督管理。综合管理特种设备安全监察、监督工作，监督检查高耗能特种设备节能标准和锅炉产品环境保护标准的执行情况。</w:t>
      </w:r>
    </w:p>
    <w:p w14:paraId="011C4129">
      <w:pPr>
        <w:widowControl/>
        <w:ind w:firstLine="640" w:firstLineChars="200"/>
        <w:jc w:val="left"/>
        <w:rPr>
          <w:rFonts w:hint="eastAsia" w:eastAsia="仿宋_GB2312"/>
          <w:sz w:val="32"/>
          <w:szCs w:val="32"/>
        </w:rPr>
      </w:pPr>
      <w:r>
        <w:rPr>
          <w:rFonts w:hint="eastAsia" w:eastAsia="仿宋_GB2312"/>
          <w:sz w:val="32"/>
          <w:szCs w:val="32"/>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14:paraId="33807CB8">
      <w:pPr>
        <w:widowControl/>
        <w:ind w:firstLine="640" w:firstLineChars="200"/>
        <w:jc w:val="left"/>
        <w:rPr>
          <w:rFonts w:hint="eastAsia" w:eastAsia="仿宋_GB2312"/>
          <w:sz w:val="32"/>
          <w:szCs w:val="32"/>
        </w:rPr>
      </w:pPr>
      <w:r>
        <w:rPr>
          <w:rFonts w:hint="eastAsia" w:eastAsia="仿宋_GB2312"/>
          <w:sz w:val="32"/>
          <w:szCs w:val="32"/>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14:paraId="1F39A91A">
      <w:pPr>
        <w:widowControl/>
        <w:ind w:firstLine="640" w:firstLineChars="200"/>
        <w:jc w:val="left"/>
        <w:rPr>
          <w:rFonts w:hint="eastAsia" w:eastAsia="仿宋_GB2312"/>
          <w:sz w:val="32"/>
          <w:szCs w:val="32"/>
        </w:rPr>
      </w:pPr>
      <w:r>
        <w:rPr>
          <w:rFonts w:hint="eastAsia" w:eastAsia="仿宋_GB2312"/>
          <w:sz w:val="32"/>
          <w:szCs w:val="32"/>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14:paraId="7B7BB54A">
      <w:pPr>
        <w:widowControl/>
        <w:ind w:firstLine="640" w:firstLineChars="200"/>
        <w:jc w:val="left"/>
        <w:rPr>
          <w:rFonts w:hint="eastAsia" w:eastAsia="仿宋_GB2312"/>
          <w:sz w:val="32"/>
          <w:szCs w:val="32"/>
        </w:rPr>
      </w:pPr>
      <w:r>
        <w:rPr>
          <w:rFonts w:hint="eastAsia" w:eastAsia="仿宋_GB2312"/>
          <w:sz w:val="32"/>
          <w:szCs w:val="32"/>
        </w:rPr>
        <w:t>11.负责统一管理全县计量工作。推行法定计量单位，执行国家计量制度，管理计量器具及量值传递和比对工作。规范、监督商品量和计量行为。</w:t>
      </w:r>
    </w:p>
    <w:p w14:paraId="020D2165">
      <w:pPr>
        <w:widowControl/>
        <w:ind w:firstLine="640" w:firstLineChars="200"/>
        <w:jc w:val="left"/>
        <w:rPr>
          <w:rFonts w:hint="eastAsia" w:eastAsia="仿宋_GB2312"/>
          <w:sz w:val="32"/>
          <w:szCs w:val="32"/>
        </w:rPr>
      </w:pPr>
      <w:r>
        <w:rPr>
          <w:rFonts w:hint="eastAsia" w:eastAsia="仿宋_GB2312"/>
          <w:sz w:val="32"/>
          <w:szCs w:val="32"/>
        </w:rPr>
        <w:t>12.负责统一管理全县标准化工作。依法承担地方标准立项、编号和发布等工作。协调指导团体标准制定工作。推行企业标准自我声明公开。依法对标准制定和实施情况开展监督。</w:t>
      </w:r>
    </w:p>
    <w:p w14:paraId="41A51E8A">
      <w:pPr>
        <w:widowControl/>
        <w:ind w:firstLine="640" w:firstLineChars="200"/>
        <w:jc w:val="left"/>
        <w:rPr>
          <w:rFonts w:hint="eastAsia" w:eastAsia="仿宋_GB2312"/>
          <w:sz w:val="32"/>
          <w:szCs w:val="32"/>
        </w:rPr>
      </w:pPr>
      <w:r>
        <w:rPr>
          <w:rFonts w:hint="eastAsia" w:eastAsia="仿宋_GB2312"/>
          <w:sz w:val="32"/>
          <w:szCs w:val="32"/>
        </w:rPr>
        <w:t>13.负责统一管理全县检验检测工作。规范检验检测市场，完善检验检测体系，指导协调检验检测行业发展。</w:t>
      </w:r>
    </w:p>
    <w:p w14:paraId="5E2F18AA">
      <w:pPr>
        <w:widowControl/>
        <w:ind w:firstLine="640" w:firstLineChars="200"/>
        <w:jc w:val="left"/>
        <w:rPr>
          <w:rFonts w:hint="eastAsia" w:eastAsia="仿宋_GB2312"/>
          <w:sz w:val="32"/>
          <w:szCs w:val="32"/>
        </w:rPr>
      </w:pPr>
      <w:r>
        <w:rPr>
          <w:rFonts w:hint="eastAsia" w:eastAsia="仿宋_GB2312"/>
          <w:sz w:val="32"/>
          <w:szCs w:val="32"/>
        </w:rPr>
        <w:t>14.负责统一管理认证认可工作。监督管理认证认可和合格评定工作。</w:t>
      </w:r>
    </w:p>
    <w:p w14:paraId="1D8C6616">
      <w:pPr>
        <w:widowControl/>
        <w:ind w:firstLine="640" w:firstLineChars="200"/>
        <w:jc w:val="left"/>
        <w:rPr>
          <w:rFonts w:hint="eastAsia" w:eastAsia="仿宋_GB2312"/>
          <w:sz w:val="32"/>
          <w:szCs w:val="32"/>
        </w:rPr>
      </w:pPr>
      <w:r>
        <w:rPr>
          <w:rFonts w:hint="eastAsia" w:eastAsia="仿宋_GB2312"/>
          <w:sz w:val="32"/>
          <w:szCs w:val="32"/>
        </w:rPr>
        <w:t>15.负责全县知识产权战略、规划的制定，负责知识产权保护、管理，指导知识产权创造、运用和服务促进工作，负责商标、专利执法工作。</w:t>
      </w:r>
    </w:p>
    <w:p w14:paraId="6289ED2D">
      <w:pPr>
        <w:widowControl/>
        <w:ind w:firstLine="640" w:firstLineChars="200"/>
        <w:jc w:val="left"/>
        <w:rPr>
          <w:rFonts w:hint="eastAsia" w:eastAsia="仿宋_GB2312"/>
          <w:sz w:val="32"/>
          <w:szCs w:val="32"/>
        </w:rPr>
      </w:pPr>
      <w:r>
        <w:rPr>
          <w:rFonts w:hint="eastAsia" w:eastAsia="仿宋_GB2312"/>
          <w:sz w:val="32"/>
          <w:szCs w:val="32"/>
        </w:rPr>
        <w:t>16.负责市场监督管理科技和信息化建设。</w:t>
      </w:r>
    </w:p>
    <w:p w14:paraId="3AB2933E">
      <w:pPr>
        <w:widowControl/>
        <w:ind w:firstLine="640" w:firstLineChars="200"/>
        <w:jc w:val="left"/>
        <w:rPr>
          <w:rFonts w:hint="eastAsia" w:eastAsia="仿宋_GB2312"/>
          <w:sz w:val="32"/>
          <w:szCs w:val="32"/>
        </w:rPr>
      </w:pPr>
      <w:r>
        <w:rPr>
          <w:rFonts w:hint="eastAsia" w:eastAsia="仿宋_GB2312"/>
          <w:sz w:val="32"/>
          <w:szCs w:val="32"/>
        </w:rPr>
        <w:t>17.负责职责范围内的安全生产和职业健康、生态环境保护、审批服务便民化等工作。</w:t>
      </w:r>
    </w:p>
    <w:p w14:paraId="1F88457D">
      <w:pPr>
        <w:widowControl/>
        <w:ind w:firstLine="640" w:firstLineChars="200"/>
        <w:jc w:val="left"/>
        <w:rPr>
          <w:rFonts w:hint="eastAsia" w:eastAsia="仿宋_GB2312"/>
          <w:sz w:val="32"/>
          <w:szCs w:val="32"/>
        </w:rPr>
      </w:pPr>
      <w:r>
        <w:rPr>
          <w:rFonts w:hint="eastAsia" w:eastAsia="仿宋_GB2312"/>
          <w:sz w:val="32"/>
          <w:szCs w:val="32"/>
        </w:rPr>
        <w:t>18.完成县委、县政府交办的其他任务。</w:t>
      </w:r>
    </w:p>
    <w:p w14:paraId="18BF2D62">
      <w:pPr>
        <w:pStyle w:val="14"/>
      </w:pPr>
    </w:p>
    <w:p w14:paraId="65C90693">
      <w:pPr>
        <w:widowControl/>
        <w:adjustRightInd w:val="0"/>
        <w:snapToGrid w:val="0"/>
        <w:spacing w:line="578" w:lineRule="exact"/>
        <w:ind w:firstLine="643" w:firstLineChars="200"/>
        <w:contextualSpacing/>
        <w:jc w:val="left"/>
        <w:rPr>
          <w:rFonts w:hint="eastAsia" w:eastAsia="楷体_GB2312" w:cs="楷体_GB2312"/>
          <w:b/>
          <w:sz w:val="32"/>
          <w:szCs w:val="32"/>
          <w:lang w:val="zh-CN"/>
        </w:rPr>
      </w:pPr>
      <w:r>
        <w:rPr>
          <w:rFonts w:hint="eastAsia" w:eastAsia="楷体_GB2312" w:cs="楷体_GB2312"/>
          <w:b/>
          <w:sz w:val="32"/>
          <w:szCs w:val="32"/>
          <w:lang w:val="zh-CN"/>
        </w:rPr>
        <w:t>（三）</w:t>
      </w:r>
      <w:r>
        <w:rPr>
          <w:rFonts w:eastAsia="楷体_GB2312" w:cs="楷体_GB2312"/>
          <w:b/>
          <w:sz w:val="32"/>
          <w:szCs w:val="32"/>
          <w:lang w:val="zh-CN"/>
        </w:rPr>
        <w:t>人员概况</w:t>
      </w:r>
    </w:p>
    <w:p w14:paraId="6A4A8809">
      <w:pPr>
        <w:pStyle w:val="6"/>
        <w:keepNext w:val="0"/>
        <w:keepLines w:val="0"/>
        <w:pageBreakBefore w:val="0"/>
        <w:widowControl w:val="0"/>
        <w:numPr>
          <w:ilvl w:val="0"/>
          <w:numId w:val="0"/>
        </w:numPr>
        <w:kinsoku/>
        <w:wordWrap/>
        <w:overflowPunct/>
        <w:topLinePunct w:val="0"/>
        <w:autoSpaceDE/>
        <w:autoSpaceDN/>
        <w:bidi w:val="0"/>
        <w:adjustRightInd/>
        <w:snapToGrid/>
        <w:spacing w:beforeLines="0"/>
        <w:ind w:leftChars="200" w:firstLine="640" w:firstLineChars="200"/>
        <w:textAlignment w:val="auto"/>
        <w:rPr>
          <w:rFonts w:ascii="Times New Roman"/>
          <w:kern w:val="2"/>
          <w:sz w:val="32"/>
          <w:szCs w:val="32"/>
        </w:rPr>
      </w:pPr>
      <w:r>
        <w:rPr>
          <w:rFonts w:ascii="Times New Roman"/>
          <w:kern w:val="2"/>
          <w:sz w:val="32"/>
          <w:szCs w:val="32"/>
        </w:rPr>
        <w:t>截至202</w:t>
      </w:r>
      <w:r>
        <w:rPr>
          <w:rFonts w:hint="eastAsia" w:ascii="Times New Roman"/>
          <w:kern w:val="2"/>
          <w:sz w:val="32"/>
          <w:szCs w:val="32"/>
        </w:rPr>
        <w:t>4</w:t>
      </w:r>
      <w:r>
        <w:rPr>
          <w:rFonts w:ascii="Times New Roman"/>
          <w:kern w:val="2"/>
          <w:sz w:val="32"/>
          <w:szCs w:val="32"/>
        </w:rPr>
        <w:t>年末，盐边县市场监督管理局及下属单位共有编制99名，其中行政编制60名、机关工勤8个，（参公）编制19名、事业编制12名。年末实有人数7</w:t>
      </w:r>
      <w:r>
        <w:rPr>
          <w:rFonts w:hint="eastAsia" w:ascii="Times New Roman"/>
          <w:kern w:val="2"/>
          <w:sz w:val="32"/>
          <w:szCs w:val="32"/>
        </w:rPr>
        <w:t>5</w:t>
      </w:r>
      <w:r>
        <w:rPr>
          <w:rFonts w:ascii="Times New Roman"/>
          <w:kern w:val="2"/>
          <w:sz w:val="32"/>
          <w:szCs w:val="32"/>
        </w:rPr>
        <w:t>人，其中行政公务员</w:t>
      </w:r>
      <w:r>
        <w:rPr>
          <w:rFonts w:hint="eastAsia" w:ascii="Times New Roman"/>
          <w:kern w:val="2"/>
          <w:sz w:val="32"/>
          <w:szCs w:val="32"/>
        </w:rPr>
        <w:t>46</w:t>
      </w:r>
      <w:r>
        <w:rPr>
          <w:rFonts w:ascii="Times New Roman"/>
          <w:kern w:val="2"/>
          <w:sz w:val="32"/>
          <w:szCs w:val="32"/>
        </w:rPr>
        <w:t>人，机关后勤服务人员</w:t>
      </w:r>
      <w:r>
        <w:rPr>
          <w:rFonts w:hint="eastAsia" w:ascii="Times New Roman"/>
          <w:kern w:val="2"/>
          <w:sz w:val="32"/>
          <w:szCs w:val="32"/>
        </w:rPr>
        <w:t>6</w:t>
      </w:r>
      <w:r>
        <w:rPr>
          <w:rFonts w:ascii="Times New Roman"/>
          <w:kern w:val="2"/>
          <w:sz w:val="32"/>
          <w:szCs w:val="32"/>
        </w:rPr>
        <w:t>人，参照公务员法管理人员13人，事业单</w:t>
      </w:r>
      <w:r>
        <w:rPr>
          <w:rFonts w:ascii="Times New Roman"/>
          <w:sz w:val="32"/>
          <w:szCs w:val="32"/>
        </w:rPr>
        <w:t>位人员</w:t>
      </w:r>
      <w:r>
        <w:rPr>
          <w:rFonts w:hint="eastAsia" w:ascii="Times New Roman"/>
          <w:sz w:val="32"/>
          <w:szCs w:val="32"/>
        </w:rPr>
        <w:t>10</w:t>
      </w:r>
      <w:r>
        <w:rPr>
          <w:rFonts w:ascii="Times New Roman"/>
          <w:sz w:val="32"/>
          <w:szCs w:val="32"/>
        </w:rPr>
        <w:t>人。</w:t>
      </w:r>
    </w:p>
    <w:p w14:paraId="7E32E7B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0FB0DA1D">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770496DD">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hint="eastAsia" w:eastAsia="仿宋_GB2312" w:cs="仿宋_GB2312"/>
          <w:sz w:val="32"/>
          <w:szCs w:val="32"/>
        </w:rPr>
        <w:t>盐边县市场监督管理局2024年年初预算收入合</w:t>
      </w:r>
      <w:r>
        <w:rPr>
          <w:rFonts w:hint="eastAsia" w:eastAsia="仿宋_GB2312" w:cs="仿宋_GB2312"/>
          <w:sz w:val="32"/>
          <w:szCs w:val="32"/>
          <w:lang w:eastAsia="zh-CN"/>
        </w:rPr>
        <w:t>计</w:t>
      </w:r>
      <w:r>
        <w:rPr>
          <w:rFonts w:hint="eastAsia" w:eastAsia="仿宋_GB2312" w:cs="仿宋_GB2312"/>
          <w:sz w:val="32"/>
          <w:szCs w:val="32"/>
        </w:rPr>
        <w:t>1927.28万元，决算报表收入2158.02万元。</w:t>
      </w:r>
    </w:p>
    <w:p w14:paraId="5517F111">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299ECCBF">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盐边县市场监督管理局</w:t>
      </w:r>
      <w:r>
        <w:rPr>
          <w:rFonts w:eastAsia="仿宋_GB2312" w:cs="仿宋_GB2312"/>
          <w:sz w:val="32"/>
          <w:szCs w:val="32"/>
        </w:rPr>
        <w:t>2024年度年初预算支出1927</w:t>
      </w: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8万</w:t>
      </w:r>
      <w:r>
        <w:rPr>
          <w:rFonts w:eastAsia="仿宋_GB2312" w:cs="仿宋_GB2312"/>
          <w:sz w:val="32"/>
          <w:szCs w:val="32"/>
        </w:rPr>
        <w:t>元，决算报表支出2175</w:t>
      </w:r>
      <w:r>
        <w:rPr>
          <w:rFonts w:hint="eastAsia" w:eastAsia="仿宋_GB2312" w:cs="仿宋_GB2312"/>
          <w:sz w:val="32"/>
          <w:szCs w:val="32"/>
        </w:rPr>
        <w:t>.</w:t>
      </w:r>
      <w:r>
        <w:rPr>
          <w:rFonts w:eastAsia="仿宋_GB2312" w:cs="仿宋_GB2312"/>
          <w:sz w:val="32"/>
          <w:szCs w:val="32"/>
        </w:rPr>
        <w:t>52万元。</w:t>
      </w:r>
    </w:p>
    <w:p w14:paraId="4199410C">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577EA706">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盐边县市场监督管理局2024年决算报表</w:t>
      </w:r>
      <w:r>
        <w:rPr>
          <w:rFonts w:eastAsia="仿宋_GB2312" w:cs="仿宋_GB2312"/>
          <w:sz w:val="32"/>
          <w:szCs w:val="32"/>
        </w:rPr>
        <w:t>年末结转6</w:t>
      </w:r>
      <w:r>
        <w:rPr>
          <w:rFonts w:hint="eastAsia" w:eastAsia="仿宋_GB2312" w:cs="仿宋_GB2312"/>
          <w:sz w:val="32"/>
          <w:szCs w:val="32"/>
        </w:rPr>
        <w:t>.32万</w:t>
      </w:r>
      <w:r>
        <w:rPr>
          <w:rFonts w:eastAsia="仿宋_GB2312" w:cs="仿宋_GB2312"/>
          <w:sz w:val="32"/>
          <w:szCs w:val="32"/>
        </w:rPr>
        <w:t>元。</w:t>
      </w:r>
    </w:p>
    <w:p w14:paraId="411385B5">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eastAsia="楷体_GB2312" w:cs="楷体_GB2312"/>
          <w:b/>
          <w:sz w:val="32"/>
          <w:szCs w:val="32"/>
          <w:lang w:val="zh-CN"/>
        </w:rPr>
        <w:t>三、部门预算绩效分析</w:t>
      </w:r>
    </w:p>
    <w:p w14:paraId="03F5EFF4">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，依次包括履职效能、预算管理、财务管理、资产管理、采购管理等情况，评分</w:t>
      </w:r>
      <w:r>
        <w:rPr>
          <w:rFonts w:hint="eastAsia" w:eastAsia="仿宋_GB2312" w:cs="仿宋_GB2312"/>
          <w:color w:val="auto"/>
          <w:sz w:val="32"/>
          <w:szCs w:val="32"/>
          <w:lang w:val="zh-CN"/>
        </w:rPr>
        <w:t>100分</w:t>
      </w:r>
      <w:r>
        <w:rPr>
          <w:rFonts w:eastAsia="仿宋_GB2312" w:cs="仿宋_GB2312"/>
          <w:sz w:val="32"/>
          <w:szCs w:val="32"/>
          <w:lang w:val="zh-CN"/>
        </w:rPr>
        <w:t>。</w:t>
      </w:r>
    </w:p>
    <w:p w14:paraId="1A9EFE1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r>
        <w:rPr>
          <w:rFonts w:eastAsia="仿宋_GB2312" w:cs="仿宋_GB2312"/>
          <w:sz w:val="32"/>
          <w:szCs w:val="32"/>
          <w:lang w:val="zh-CN"/>
        </w:rPr>
        <w:t>（1）2024年食品安全监督抽检绩效分析：盐边县市场监督管理局负责制定《盐边县2024年度食品安全抽检监测实施方案》；通过比选程序确定第三方承检机构四川省轻工业研究设计院有限公司，并与其签订服务合同；负责食品及食用农产品抽检结果公示；负责核对项目完成情况进行抽查；负责完成不合格食品和食用农产品核查处置。</w:t>
      </w:r>
    </w:p>
    <w:p w14:paraId="66B9D025">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依据《中华人民共和国食品安全法》第八十七条规定县级以上人民政府食品药品监督管理部门应当对食品进行定期或者不定期的抽样检验，并依据有关规定公布检验结果，不得免检。</w:t>
      </w:r>
    </w:p>
    <w:p w14:paraId="1425EC98">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按照《盐边县2024年度食品安全抽检监测实施方案》及抽检工作完成进度支付抽检检测机构产生的检测费用。</w:t>
      </w:r>
    </w:p>
    <w:p w14:paraId="421AA681">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项目主要内容为：在我县辖区内开展300批次食品安全抽检，其中食品180批次，食用农产品120批次。</w:t>
      </w:r>
    </w:p>
    <w:p w14:paraId="397D12D5">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项目实施进度计划：县级抽检监测任务上半年完成量不低于总任务数45%，7-9月完成总任务数的75%，10-11月完成总任务数的100%。</w:t>
      </w:r>
    </w:p>
    <w:p w14:paraId="302B8C30">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我局在项目实施过程中严格加强专项经费和支付制度管理，实行专款专用。做好预算执行，加快预算支出进度，促进资金及时足额拨付。专项资金财政拨款到位后及时进行了项目开展和资金投入。同时注重提高资金项目的安全性，严格执行“收支两条线”的规定，防止截留、坐支、挪用和私设“小金库”，防止数据不实、虚假立项、骗取套取、挤占挪用财政资金等行为。年初县本级预算30万元，</w:t>
      </w:r>
      <w:r>
        <w:rPr>
          <w:rFonts w:hint="eastAsia" w:eastAsia="仿宋_GB2312" w:cs="仿宋_GB2312"/>
          <w:sz w:val="32"/>
          <w:szCs w:val="32"/>
          <w:lang w:val="zh-CN"/>
        </w:rPr>
        <w:t>截至</w:t>
      </w:r>
      <w:r>
        <w:rPr>
          <w:rFonts w:eastAsia="仿宋_GB2312" w:cs="仿宋_GB2312"/>
          <w:sz w:val="32"/>
          <w:szCs w:val="32"/>
          <w:lang w:val="zh-CN"/>
        </w:rPr>
        <w:t>2024年年末县级资金下达20万元。</w:t>
      </w:r>
      <w:r>
        <w:rPr>
          <w:rFonts w:hint="eastAsia" w:eastAsia="仿宋_GB2312" w:cs="仿宋_GB2312"/>
          <w:sz w:val="32"/>
          <w:szCs w:val="32"/>
          <w:lang w:val="zh-CN"/>
        </w:rPr>
        <w:t>截至</w:t>
      </w:r>
      <w:r>
        <w:rPr>
          <w:rFonts w:eastAsia="仿宋_GB2312" w:cs="仿宋_GB2312"/>
          <w:sz w:val="32"/>
          <w:szCs w:val="32"/>
          <w:lang w:val="zh-CN"/>
        </w:rPr>
        <w:t>2024年年末该专项资金共计使用20万元。我单位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A29EBE7">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该项目实施过程全程入网监管，该项目通过国家食品安全抽样检验系统对食品及食用农产品抽检工作进行计划制定、计划部署、抽样过程、抽检结果录入和公示等全过程录入，确保抽样品种、数量、检验项目保质保量完成；二是市市场监管局每季度对抽样数据进行审核，督促第三方承检机构及时对不规范的数据进行整改；三是该项目纳入年底食品安全考核，通过对完成数量、不合格率等指标进行评估，确保食品及食用农产品抽检工作达到预期目标。</w:t>
      </w:r>
    </w:p>
    <w:p w14:paraId="6EE41D48">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我局在</w:t>
      </w:r>
      <w:r>
        <w:rPr>
          <w:rFonts w:hint="eastAsia" w:eastAsia="仿宋_GB2312" w:cs="仿宋_GB2312"/>
          <w:sz w:val="32"/>
          <w:szCs w:val="32"/>
          <w:lang w:val="zh-CN"/>
        </w:rPr>
        <w:t>2024年11月30日</w:t>
      </w:r>
      <w:r>
        <w:rPr>
          <w:rFonts w:eastAsia="仿宋_GB2312" w:cs="仿宋_GB2312"/>
          <w:sz w:val="32"/>
          <w:szCs w:val="32"/>
          <w:lang w:val="zh-CN"/>
        </w:rPr>
        <w:t>前在盐边辖区内完成了食品抽检180批次和食用农产品抽检120批次。通过开展食品和食用农产品抽检工作，食品生产经营秩序得到有效规范，生产经营者落实进货查验、索票索证自觉性得到提高。从抽检结果来看，我县食品安全状况总体良好，但也反映出我们的监管重点应该放在食品添加剂的监管上，通过对不合格食品开展核查处置，严厉打击生产经营不合格食品</w:t>
      </w:r>
      <w:bookmarkStart w:id="70" w:name="_GoBack"/>
      <w:bookmarkEnd w:id="70"/>
      <w:r>
        <w:rPr>
          <w:rFonts w:eastAsia="仿宋_GB2312" w:cs="仿宋_GB2312"/>
          <w:sz w:val="32"/>
          <w:szCs w:val="32"/>
          <w:lang w:val="zh-CN"/>
        </w:rPr>
        <w:t>行为，提高了群众对食品安全的满意度。</w:t>
      </w:r>
    </w:p>
    <w:p w14:paraId="776967E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w:t>
      </w:r>
      <w:r>
        <w:rPr>
          <w:rFonts w:eastAsia="仿宋_GB2312" w:cs="仿宋_GB2312"/>
          <w:sz w:val="32"/>
          <w:szCs w:val="32"/>
          <w:lang w:val="zh-CN"/>
        </w:rPr>
        <w:t>2024年药品监督抽检绩效分析：根据《中华人民共和国药品管理法》（2019修订版）第九条“县级以上地方人民政府对本行政区域内的药品监督管理工作负责，统一领导、组织、协调本行政区域内的药品监督管理工作”，第十条“县级以上人民政府应当将药品安全工作纳入本级国民经济和社会发展规划，将药品安全工作经费列入本级政府预算，加强药品监督管理能力建设，为药品安全工作提供保障”的规定以及省局《关于做好药品抽查检验经费争取工作的通知》（川药监发〔2019〕131号）精神，积极争取地方财政经费支持。依据《2024年攀枝花市药品抽检工作实施方案》（攀市监办〔2024〕21号）文件成立该项目。项目主要内容为开展药品区域性抽检20批次。要充分发挥药品抽检工作在发现药品质量问题及风险防控方面的技术支撑作用。一是提高被抽样单位覆盖率。应尽量扩大抽样的覆盖面，增强监管抽检的威慑力，原则上一个经营使用单位仅抽一批次样品。县以下零售和使用环节抽样覆盖率应不低于45%。零售和使用环节的抽样中，抽取本省药品上市许可持有人/药品生产企业生产的药品不低于抽样任务量的40%。二是坚持以问题为导向，提高抽检的针对性。将2023年国家和省级（含省外）药品抽检不合格的产品（含防疫药品、儿童用药品、老年用慢病药品、国家组织集中带量采购药品、省际联盟中成药等）作为抽样重点。区域性药品抽检县级20批次，区域性抽检中药饮片抽样批次应不小于抽样总批次的40%，妇女儿童用药品抽样批次应不小于抽样总批次的20%。经分析评价，盐边县2024年度药品安全抽检监测申报内容与实际相符。申报目标根据《中华人民共和国药品管理法》和省、市抽检任务分解及我县实际经济水平、监管对象、人口基数依法设定，合理可行。</w:t>
      </w:r>
    </w:p>
    <w:p w14:paraId="7354B739">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药品抽检年初预算6万元。</w:t>
      </w:r>
      <w:r>
        <w:rPr>
          <w:rFonts w:hint="eastAsia" w:eastAsia="仿宋_GB2312" w:cs="仿宋_GB2312"/>
          <w:sz w:val="32"/>
          <w:szCs w:val="32"/>
          <w:lang w:val="zh-CN"/>
        </w:rPr>
        <w:t>截至</w:t>
      </w:r>
      <w:r>
        <w:rPr>
          <w:rFonts w:eastAsia="仿宋_GB2312" w:cs="仿宋_GB2312"/>
          <w:sz w:val="32"/>
          <w:szCs w:val="32"/>
          <w:lang w:val="zh-CN"/>
        </w:rPr>
        <w:t>2024年年末，累计下达预算6万元，药品抽检共支出6万元。</w:t>
      </w:r>
    </w:p>
    <w:p w14:paraId="3F765DEE">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项目实施流程：制定《盐边县2024年药品抽检工作实施方案》→签订抽检合同→开展抽样检验。</w:t>
      </w:r>
    </w:p>
    <w:p w14:paraId="6E8EDBFE">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项目抽检单位由攀枝花市市场监管局在《2024年攀枝花市药品抽检工作实施方案》中指定。此项工作纳入年底药品安全考核，通过对完成数量、不合格率等指标进行评估，确保药品抽检工作达到预期目标。</w:t>
      </w:r>
    </w:p>
    <w:p w14:paraId="7D7A645D">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项目完成情况：2024年9月30日前完成药品抽样，10月30前完成样品检验，完成率为100%。检验完成后出具完整的检验报告。</w:t>
      </w:r>
    </w:p>
    <w:p w14:paraId="6325A487">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通过开展药品抽检工作，药品经营、使用主体得到有效规范，主体责任意识有所提高。从抽检结果来看，我县药品安全状况总体良好，样品检验合格率100%，群众满意度全市第二。</w:t>
      </w:r>
    </w:p>
    <w:p w14:paraId="05891809">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2.预算管理。一是严格按要求科学、准确地编制年初部门预算；二是通过事前绩效评估核减低效无效预算，将成本指标列为绩效目标一级指标，增强目标的可操作性和约束力；三是将预决算信息公开，主动接受社会监督，提升公众对财政资金使用的知情权；四是严格按照支出进度执行；四是厉行节约、执行中央八项规定，对</w:t>
      </w:r>
      <w:r>
        <w:rPr>
          <w:rFonts w:hint="eastAsia" w:eastAsia="仿宋_GB2312" w:cs="仿宋_GB2312"/>
          <w:sz w:val="32"/>
          <w:szCs w:val="32"/>
          <w:lang w:val="zh-CN"/>
        </w:rPr>
        <w:t>“三公”经费</w:t>
      </w:r>
      <w:r>
        <w:rPr>
          <w:rFonts w:eastAsia="仿宋_GB2312" w:cs="仿宋_GB2312"/>
          <w:sz w:val="32"/>
          <w:szCs w:val="32"/>
          <w:lang w:val="zh-CN"/>
        </w:rPr>
        <w:t>严格审批、规范管理。</w:t>
      </w:r>
    </w:p>
    <w:p w14:paraId="24ECDEB0">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3.财务管理。一是定期更新财务制度，确保符合最新财政政策；二是清晰岗位职责，明确各岗位权限，对关键岗位实施轮岗制度；三是资金使用均符合相关财务管理制度规定。</w:t>
      </w:r>
    </w:p>
    <w:p w14:paraId="4E0B8DE7">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4.资产管理。资产登记数量、规格、位置与实际情况匹配，定期进行盘点，无账实不符的情况。</w:t>
      </w:r>
    </w:p>
    <w:p w14:paraId="7A235BB7">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5.采购管理。严格执行政府采购促进中小企业发展相关管理办法，采购执行率达到100%。</w:t>
      </w:r>
    </w:p>
    <w:p w14:paraId="00098CBE">
      <w:p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5225DB16">
      <w:pPr>
        <w:adjustRightInd w:val="0"/>
        <w:snapToGrid w:val="0"/>
        <w:spacing w:line="578" w:lineRule="exact"/>
        <w:ind w:firstLine="640" w:firstLineChars="200"/>
        <w:contextualSpacing/>
        <w:jc w:val="left"/>
        <w:rPr>
          <w:rFonts w:eastAsia="仿宋_GB2312"/>
          <w:sz w:val="32"/>
          <w:szCs w:val="32"/>
          <w:lang w:val="zh-CN" w:bidi="ar"/>
        </w:rPr>
      </w:pPr>
      <w:r>
        <w:rPr>
          <w:rFonts w:eastAsia="仿宋_GB2312"/>
          <w:sz w:val="32"/>
          <w:szCs w:val="32"/>
          <w:lang w:val="zh-CN" w:bidi="ar"/>
        </w:rPr>
        <w:t>常年项目绩效分析。该类项目总数40个，涉及预算总金额1701.81万元，1—12月预算执行总体进度为100%，其中：预算结余率大于10%的项目共计0个。</w:t>
      </w:r>
    </w:p>
    <w:p w14:paraId="1D196F03">
      <w:pPr>
        <w:adjustRightInd w:val="0"/>
        <w:snapToGrid w:val="0"/>
        <w:spacing w:line="578" w:lineRule="exact"/>
        <w:ind w:firstLine="640" w:firstLineChars="200"/>
        <w:contextualSpacing/>
        <w:jc w:val="left"/>
        <w:rPr>
          <w:rFonts w:eastAsia="仿宋_GB2312"/>
          <w:sz w:val="32"/>
          <w:szCs w:val="32"/>
          <w:lang w:val="zh-CN" w:bidi="ar"/>
        </w:rPr>
      </w:pPr>
      <w:r>
        <w:rPr>
          <w:rFonts w:eastAsia="仿宋_GB2312"/>
          <w:sz w:val="32"/>
          <w:szCs w:val="32"/>
          <w:lang w:val="zh-CN" w:bidi="ar"/>
        </w:rPr>
        <w:t>阶段（含一次性）项目绩效分析。该类项目总数14个，涉及预算总金额447.65万元，1—12月预算执行总体进度为100%，其中：预算结余率大于10%的项目共计0个。</w:t>
      </w:r>
    </w:p>
    <w:p w14:paraId="7883DADB">
      <w:pPr>
        <w:adjustRightInd w:val="0"/>
        <w:snapToGrid w:val="0"/>
        <w:spacing w:line="578" w:lineRule="exact"/>
        <w:ind w:firstLine="640" w:firstLineChars="200"/>
        <w:contextualSpacing/>
        <w:jc w:val="left"/>
        <w:rPr>
          <w:rFonts w:eastAsia="仿宋_GB2312"/>
          <w:sz w:val="32"/>
          <w:szCs w:val="32"/>
          <w:lang w:val="zh-CN" w:bidi="ar"/>
        </w:rPr>
      </w:pPr>
      <w:r>
        <w:rPr>
          <w:rFonts w:eastAsia="仿宋_GB2312"/>
          <w:sz w:val="32"/>
          <w:szCs w:val="32"/>
          <w:lang w:val="zh-CN" w:bidi="ar"/>
        </w:rPr>
        <w:t>1.项目决策。项目决策程序符合国家政策、行业规范及组织内部制度，决策周期合理，不存在流程冗余或关键节点缺失，决策过程可追溯，信息公开。实际成果与初期设定目标偏差度低于10%；项目入库优先支持重点领域，入库前均充分评估政策风险、市场风险及技术风险，实现资源投入与</w:t>
      </w:r>
      <w:r>
        <w:rPr>
          <w:rFonts w:hint="eastAsia" w:eastAsia="仿宋_GB2312"/>
          <w:sz w:val="32"/>
          <w:szCs w:val="32"/>
          <w:lang w:val="zh-CN" w:bidi="ar"/>
        </w:rPr>
        <w:t>产出</w:t>
      </w:r>
      <w:r>
        <w:rPr>
          <w:rFonts w:eastAsia="仿宋_GB2312"/>
          <w:sz w:val="32"/>
          <w:szCs w:val="32"/>
          <w:lang w:val="zh-CN" w:bidi="ar"/>
        </w:rPr>
        <w:t>的最大化。</w:t>
      </w:r>
    </w:p>
    <w:p w14:paraId="71DC5B5C">
      <w:pPr>
        <w:adjustRightInd w:val="0"/>
        <w:snapToGrid w:val="0"/>
        <w:spacing w:line="578" w:lineRule="exact"/>
        <w:ind w:firstLine="640" w:firstLineChars="200"/>
        <w:contextualSpacing/>
        <w:jc w:val="left"/>
        <w:rPr>
          <w:rFonts w:eastAsia="仿宋_GB2312"/>
          <w:sz w:val="32"/>
          <w:szCs w:val="32"/>
          <w:lang w:val="zh-CN" w:bidi="ar"/>
        </w:rPr>
      </w:pPr>
      <w:r>
        <w:rPr>
          <w:rFonts w:eastAsia="仿宋_GB2312"/>
          <w:sz w:val="32"/>
          <w:szCs w:val="32"/>
          <w:lang w:val="zh-CN" w:bidi="ar"/>
        </w:rPr>
        <w:t>2.项目执行。资金使用符合预算批复用途，遵守财经法规，无挪用截留情况，资金拨付进度与项目进度匹配，无资金沉淀或超支现象。在预算执行过程中项目调整严格履行变更审批程序，按期、按质、按量完成项目。</w:t>
      </w:r>
    </w:p>
    <w:p w14:paraId="21759020">
      <w:pPr>
        <w:adjustRightInd w:val="0"/>
        <w:snapToGrid w:val="0"/>
        <w:spacing w:line="578" w:lineRule="exact"/>
        <w:ind w:firstLine="640" w:firstLineChars="200"/>
        <w:contextualSpacing/>
        <w:jc w:val="left"/>
        <w:rPr>
          <w:rFonts w:eastAsia="仿宋_GB2312"/>
          <w:sz w:val="32"/>
          <w:szCs w:val="32"/>
          <w:lang w:val="zh-CN" w:bidi="ar"/>
        </w:rPr>
      </w:pPr>
      <w:r>
        <w:rPr>
          <w:rFonts w:eastAsia="仿宋_GB2312"/>
          <w:sz w:val="32"/>
          <w:szCs w:val="32"/>
          <w:lang w:val="zh-CN" w:bidi="ar"/>
        </w:rPr>
        <w:t>3.目标实现。2024年，我局均在计划时间内完成预设目标，产出成果符合技术标准或行业规范，目标实现过程中资源消耗合理。</w:t>
      </w:r>
    </w:p>
    <w:p w14:paraId="617C5540">
      <w:pPr>
        <w:snapToGrid w:val="0"/>
        <w:spacing w:line="600" w:lineRule="exact"/>
        <w:ind w:firstLine="643" w:firstLineChars="200"/>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eastAsia" w:eastAsia="仿宋_GB2312"/>
          <w:sz w:val="32"/>
          <w:szCs w:val="32"/>
          <w:lang w:val="zh-CN" w:bidi="ar"/>
        </w:rPr>
        <w:t>围绕内部应用情况、</w:t>
      </w:r>
      <w:r>
        <w:rPr>
          <w:rFonts w:eastAsia="仿宋_GB2312"/>
          <w:sz w:val="32"/>
          <w:szCs w:val="32"/>
          <w:lang w:val="zh-CN" w:bidi="ar"/>
        </w:rPr>
        <w:t>信息公开情况</w:t>
      </w:r>
      <w:r>
        <w:rPr>
          <w:rFonts w:hint="eastAsia" w:eastAsia="仿宋_GB2312"/>
          <w:sz w:val="32"/>
          <w:szCs w:val="32"/>
          <w:lang w:val="zh-CN" w:bidi="ar"/>
        </w:rPr>
        <w:t>、</w:t>
      </w:r>
      <w:r>
        <w:rPr>
          <w:rFonts w:eastAsia="仿宋_GB2312"/>
          <w:sz w:val="32"/>
          <w:szCs w:val="32"/>
          <w:lang w:val="zh-CN" w:bidi="ar"/>
        </w:rPr>
        <w:t>整改反馈情况</w:t>
      </w:r>
      <w:r>
        <w:rPr>
          <w:rFonts w:hint="eastAsia" w:eastAsia="仿宋_GB2312"/>
          <w:sz w:val="32"/>
          <w:szCs w:val="32"/>
          <w:lang w:val="zh-CN" w:bidi="ar"/>
        </w:rPr>
        <w:t>进行分析。</w:t>
      </w:r>
    </w:p>
    <w:p w14:paraId="5B4BE4B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082389E0">
      <w:pPr>
        <w:widowControl/>
        <w:adjustRightInd w:val="0"/>
        <w:snapToGrid w:val="0"/>
        <w:spacing w:line="578" w:lineRule="exact"/>
        <w:ind w:firstLine="643" w:firstLineChars="200"/>
        <w:contextualSpacing/>
        <w:jc w:val="left"/>
        <w:rPr>
          <w:rFonts w:eastAsia="仿宋_GB2312"/>
          <w:sz w:val="32"/>
          <w:szCs w:val="32"/>
          <w:lang w:val="zh-CN" w:bidi="ar"/>
        </w:rPr>
      </w:pPr>
      <w:r>
        <w:rPr>
          <w:rFonts w:eastAsia="楷体_GB2312"/>
          <w:b/>
          <w:bCs/>
          <w:color w:val="000000"/>
          <w:kern w:val="0"/>
          <w:sz w:val="32"/>
          <w:szCs w:val="32"/>
          <w:shd w:val="clear" w:color="auto" w:fill="FFFFFF"/>
          <w:lang w:val="zh-CN"/>
        </w:rPr>
        <w:t>（一）评价结论。</w:t>
      </w:r>
      <w:r>
        <w:rPr>
          <w:rFonts w:eastAsia="仿宋_GB2312"/>
          <w:sz w:val="32"/>
          <w:szCs w:val="32"/>
          <w:lang w:bidi="ar"/>
        </w:rPr>
        <w:t>盐</w:t>
      </w:r>
      <w:r>
        <w:rPr>
          <w:rFonts w:eastAsia="仿宋_GB2312"/>
          <w:sz w:val="32"/>
          <w:szCs w:val="32"/>
          <w:lang w:val="zh-CN" w:bidi="ar"/>
        </w:rPr>
        <w:t>边县市场监管局认真贯彻落实县委、县政府和市局的安排部署，围绕中心、服务大局、履职尽责、开拓创新，保障了各项工作有序推进。食品、药品、产商品质量、特种设备“四大安全”监管实现“零事故”。2024年部门预算资金基本实现了预期目标，自评得分</w:t>
      </w:r>
      <w:r>
        <w:rPr>
          <w:rFonts w:hint="eastAsia" w:eastAsia="仿宋_GB2312"/>
          <w:sz w:val="32"/>
          <w:szCs w:val="32"/>
          <w:lang w:val="en-US" w:eastAsia="zh-CN" w:bidi="ar"/>
        </w:rPr>
        <w:t>98</w:t>
      </w:r>
      <w:r>
        <w:rPr>
          <w:rFonts w:eastAsia="仿宋_GB2312"/>
          <w:sz w:val="32"/>
          <w:szCs w:val="32"/>
          <w:lang w:val="zh-CN" w:bidi="ar"/>
        </w:rPr>
        <w:t>分。</w:t>
      </w:r>
    </w:p>
    <w:p w14:paraId="7B3BE73D">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Pr>
          <w:rFonts w:eastAsia="仿宋_GB2312"/>
          <w:sz w:val="32"/>
          <w:szCs w:val="32"/>
          <w:lang w:val="zh-CN" w:bidi="ar"/>
        </w:rPr>
        <w:t>一是对全局职工绩效评价宣传培训工作做得不够；二是中央、省级监管补助资金下达时间滞后，许多项目无法及时开展，资金无法及时支付。</w:t>
      </w:r>
    </w:p>
    <w:p w14:paraId="3168CC0F">
      <w:pPr>
        <w:widowControl/>
        <w:adjustRightInd w:val="0"/>
        <w:snapToGrid w:val="0"/>
        <w:spacing w:line="578" w:lineRule="exact"/>
        <w:ind w:firstLine="643" w:firstLineChars="200"/>
        <w:contextualSpacing/>
        <w:jc w:val="left"/>
        <w:rPr>
          <w:rFonts w:eastAsia="仿宋_GB2312"/>
          <w:sz w:val="32"/>
          <w:szCs w:val="32"/>
          <w:lang w:val="zh-CN" w:bidi="ar"/>
        </w:rPr>
      </w:pPr>
      <w:r>
        <w:rPr>
          <w:rFonts w:eastAsia="楷体_GB2312"/>
          <w:b/>
          <w:bCs/>
          <w:color w:val="000000"/>
          <w:kern w:val="0"/>
          <w:sz w:val="32"/>
          <w:szCs w:val="32"/>
          <w:shd w:val="clear" w:color="auto" w:fill="FFFFFF"/>
          <w:lang w:val="zh-CN"/>
        </w:rPr>
        <w:t>（三）改进建议。</w:t>
      </w:r>
      <w:bookmarkStart w:id="55" w:name="_Hlk110546638"/>
      <w:r>
        <w:rPr>
          <w:rFonts w:eastAsia="仿宋_GB2312"/>
          <w:sz w:val="32"/>
          <w:szCs w:val="32"/>
          <w:lang w:val="zh-CN" w:bidi="ar"/>
        </w:rPr>
        <w:t>一是强化项目实施各股室对资金绩效实现情况的责任约束。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实现。三是加强与财政沟通协调。加大资金保障力度，加快资金执行进度，及时跟踪问效，实现全程可查询、可追溯、可控制。</w:t>
      </w:r>
    </w:p>
    <w:bookmarkEnd w:id="55"/>
    <w:p w14:paraId="749349E0">
      <w:pPr>
        <w:widowControl/>
        <w:adjustRightInd w:val="0"/>
        <w:snapToGrid w:val="0"/>
        <w:spacing w:line="578" w:lineRule="exact"/>
        <w:ind w:firstLine="640" w:firstLineChars="200"/>
        <w:contextualSpacing/>
        <w:jc w:val="left"/>
        <w:rPr>
          <w:rFonts w:eastAsia="仿宋_GB2312"/>
          <w:sz w:val="32"/>
          <w:lang w:val="zh-CN" w:bidi="ar"/>
        </w:rPr>
      </w:pPr>
    </w:p>
    <w:p w14:paraId="4A51A76C">
      <w:pPr>
        <w:pStyle w:val="6"/>
        <w:spacing w:before="93"/>
        <w:rPr>
          <w:rFonts w:ascii="Times New Roman" w:cs="宋体"/>
          <w:color w:val="FF0000"/>
          <w:sz w:val="32"/>
          <w:szCs w:val="32"/>
          <w:highlight w:val="yellow"/>
          <w:shd w:val="clear" w:color="auto" w:fill="FFFFFF"/>
          <w:lang w:val="zh-CN"/>
        </w:rPr>
      </w:pPr>
    </w:p>
    <w:p w14:paraId="094B6805">
      <w:pPr>
        <w:pStyle w:val="6"/>
        <w:spacing w:before="93"/>
        <w:rPr>
          <w:rFonts w:ascii="Times New Roman" w:cs="宋体"/>
          <w:color w:val="FF0000"/>
          <w:sz w:val="32"/>
          <w:szCs w:val="32"/>
          <w:highlight w:val="yellow"/>
          <w:shd w:val="clear" w:color="auto" w:fill="FFFFFF"/>
          <w:lang w:val="zh-CN"/>
        </w:rPr>
      </w:pPr>
    </w:p>
    <w:p w14:paraId="05645352">
      <w:pPr>
        <w:pStyle w:val="6"/>
        <w:spacing w:before="93"/>
        <w:rPr>
          <w:rFonts w:ascii="Times New Roman" w:cs="宋体"/>
          <w:color w:val="FF0000"/>
          <w:sz w:val="32"/>
          <w:szCs w:val="32"/>
          <w:highlight w:val="yellow"/>
          <w:shd w:val="clear" w:color="auto" w:fill="FFFFFF"/>
          <w:lang w:val="zh-CN"/>
        </w:rPr>
      </w:pPr>
    </w:p>
    <w:p w14:paraId="77BBF83D">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280D93B6">
      <w:pPr>
        <w:pStyle w:val="35"/>
        <w:spacing w:line="578" w:lineRule="exact"/>
        <w:jc w:val="center"/>
        <w:rPr>
          <w:rFonts w:ascii="Times New Roman" w:hAnsi="Times New Roman" w:eastAsia="方正小标宋简体" w:cs="方正小标宋简体"/>
          <w:color w:val="auto"/>
          <w:kern w:val="2"/>
          <w:sz w:val="44"/>
          <w:szCs w:val="44"/>
          <w:lang w:val="en-US"/>
        </w:rPr>
      </w:pPr>
    </w:p>
    <w:p w14:paraId="2D02A668">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2024年药品抽检专项预算项目</w:t>
      </w:r>
    </w:p>
    <w:p w14:paraId="5632E2CE">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绩效评价报告</w:t>
      </w:r>
    </w:p>
    <w:p w14:paraId="6361DC17">
      <w:pPr>
        <w:pStyle w:val="35"/>
        <w:spacing w:line="578" w:lineRule="exact"/>
        <w:ind w:firstLine="640"/>
        <w:jc w:val="center"/>
        <w:rPr>
          <w:rFonts w:ascii="Times New Roman" w:hAnsi="Times New Roman"/>
          <w:color w:val="auto"/>
          <w:kern w:val="2"/>
          <w:sz w:val="32"/>
          <w:szCs w:val="32"/>
        </w:rPr>
      </w:pPr>
    </w:p>
    <w:p w14:paraId="6BB783C0">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56253E50">
      <w:pPr>
        <w:adjustRightInd w:val="0"/>
        <w:snapToGrid w:val="0"/>
        <w:spacing w:line="600" w:lineRule="exact"/>
        <w:ind w:firstLine="720"/>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eastAsia="仿宋_GB2312"/>
          <w:color w:val="000000"/>
          <w:sz w:val="32"/>
          <w:szCs w:val="32"/>
        </w:rPr>
        <w:t>根据《中华人民共和国药品管理法》（2019 修订版） 第九条“县级以上地方人民政府对本行政区域内的药品监督管理工作负责， 统一领导、 组织、 协调本行政区域内的药品监督管理工作”，第十条“县级以上人民政府应当将药品安全工作纳入本级国民经济和社会发展规划， 将药品安全工作经费列入本级政府预算， 加强药品监督管理能力建设， 为药品安全工作提供保障”的规定</w:t>
      </w:r>
      <w:r>
        <w:rPr>
          <w:rFonts w:hint="eastAsia" w:eastAsia="仿宋_GB2312"/>
          <w:color w:val="000000"/>
          <w:sz w:val="32"/>
          <w:szCs w:val="32"/>
        </w:rPr>
        <w:t>以及省局《关于做好药品抽查检验经费争取工作的通知》（川药监发〔2019〕131 号）精神，积极争取地方财政经费支持。</w:t>
      </w:r>
    </w:p>
    <w:p w14:paraId="7486C3F2">
      <w:pPr>
        <w:ind w:firstLine="640" w:firstLineChars="200"/>
        <w:rPr>
          <w:rFonts w:eastAsia="仿宋_GB2312"/>
          <w:sz w:val="32"/>
          <w:szCs w:val="32"/>
        </w:rPr>
      </w:pPr>
      <w:r>
        <w:rPr>
          <w:rFonts w:eastAsia="仿宋_GB2312"/>
          <w:sz w:val="32"/>
          <w:szCs w:val="32"/>
          <w:lang w:val="zh-CN"/>
        </w:rPr>
        <w:t>根据历年市级主管部门下达区域性药品抽检任务数，结合辖区实际，确定202</w:t>
      </w:r>
      <w:r>
        <w:rPr>
          <w:rFonts w:hint="eastAsia" w:eastAsia="仿宋_GB2312"/>
          <w:sz w:val="32"/>
          <w:szCs w:val="32"/>
        </w:rPr>
        <w:t>4</w:t>
      </w:r>
      <w:r>
        <w:rPr>
          <w:rFonts w:eastAsia="仿宋_GB2312"/>
          <w:sz w:val="32"/>
          <w:szCs w:val="32"/>
          <w:lang w:val="zh-CN"/>
        </w:rPr>
        <w:t>年度药品区域性抽检20批次任务</w:t>
      </w:r>
      <w:r>
        <w:rPr>
          <w:rFonts w:hint="eastAsia" w:eastAsia="仿宋_GB2312"/>
          <w:sz w:val="32"/>
          <w:szCs w:val="32"/>
          <w:lang w:val="zh-CN"/>
        </w:rPr>
        <w:t>，项目资金</w:t>
      </w:r>
      <w:r>
        <w:rPr>
          <w:rFonts w:hint="eastAsia" w:eastAsia="仿宋_GB2312"/>
          <w:sz w:val="32"/>
          <w:szCs w:val="32"/>
        </w:rPr>
        <w:t>6万元。</w:t>
      </w:r>
    </w:p>
    <w:p w14:paraId="314295E7">
      <w:pPr>
        <w:snapToGrid w:val="0"/>
        <w:spacing w:line="560" w:lineRule="exact"/>
        <w:ind w:firstLine="643" w:firstLineChars="200"/>
        <w:jc w:val="left"/>
        <w:rPr>
          <w:rFonts w:eastAsia="仿宋_GB2312"/>
          <w:sz w:val="32"/>
          <w:szCs w:val="32"/>
        </w:rPr>
      </w:pPr>
      <w:r>
        <w:rPr>
          <w:rFonts w:hint="eastAsia" w:eastAsia="楷体_GB2312"/>
          <w:b/>
          <w:sz w:val="32"/>
          <w:szCs w:val="32"/>
        </w:rPr>
        <w:t>（二）</w:t>
      </w:r>
      <w:r>
        <w:rPr>
          <w:rFonts w:eastAsia="楷体_GB2312"/>
          <w:b/>
          <w:sz w:val="32"/>
          <w:szCs w:val="32"/>
        </w:rPr>
        <w:t>实施目的及支持方向</w:t>
      </w:r>
      <w:r>
        <w:rPr>
          <w:rFonts w:hint="eastAsia" w:eastAsia="楷体_GB2312"/>
          <w:b/>
          <w:sz w:val="32"/>
          <w:szCs w:val="32"/>
        </w:rPr>
        <w:t>。</w:t>
      </w:r>
      <w:r>
        <w:rPr>
          <w:rFonts w:eastAsia="仿宋_GB2312"/>
          <w:sz w:val="32"/>
          <w:szCs w:val="32"/>
          <w:lang w:val="zh-CN"/>
        </w:rPr>
        <w:t>通过药品抽检，旨在掌握我县药品质量安全情况，及时发现药品风险，努力防范区域性、系统性药品安全风险，保障人民用药安全，同时为药品上市后评价工作做好数据支撑。</w:t>
      </w:r>
      <w:r>
        <w:rPr>
          <w:rFonts w:hint="eastAsia" w:ascii="CESI仿宋-GB2312" w:hAnsi="CESI仿宋-GB2312" w:eastAsia="CESI仿宋-GB2312" w:cs="CESI仿宋-GB2312"/>
          <w:bCs/>
          <w:sz w:val="32"/>
          <w:szCs w:val="32"/>
        </w:rPr>
        <w:t>《2024年攀枝花市药品抽检工作实施方案》（攀市监办〔2024〕21号）。</w:t>
      </w:r>
    </w:p>
    <w:p w14:paraId="69CEDB62">
      <w:pPr>
        <w:ind w:firstLine="643" w:firstLineChars="200"/>
        <w:rPr>
          <w:rFonts w:ascii="CESI仿宋-GB2312" w:hAnsi="CESI仿宋-GB2312" w:eastAsia="CESI仿宋-GB2312" w:cs="CESI仿宋-GB2312"/>
          <w:bCs/>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sz w:val="32"/>
          <w:szCs w:val="32"/>
          <w:lang w:val="zh-CN"/>
        </w:rPr>
        <w:t>202</w:t>
      </w:r>
      <w:r>
        <w:rPr>
          <w:rFonts w:hint="eastAsia" w:eastAsia="仿宋_GB2312"/>
          <w:sz w:val="32"/>
          <w:szCs w:val="32"/>
        </w:rPr>
        <w:t>4</w:t>
      </w:r>
      <w:r>
        <w:rPr>
          <w:rFonts w:eastAsia="仿宋_GB2312"/>
          <w:sz w:val="32"/>
          <w:szCs w:val="32"/>
          <w:lang w:val="zh-CN"/>
        </w:rPr>
        <w:t>年度区域性药品抽检任务数暂为20批次，抽检费用为3000元/批次，合计6万元。</w:t>
      </w:r>
      <w:r>
        <w:rPr>
          <w:rFonts w:hint="eastAsia" w:eastAsia="方正仿宋_GBK"/>
          <w:sz w:val="32"/>
          <w:szCs w:val="32"/>
          <w:lang w:val="zh-CN"/>
        </w:rPr>
        <w:t>按照抽检方案支付抽检检测机构产生的检测费用。</w:t>
      </w:r>
    </w:p>
    <w:p w14:paraId="5C44DBBE">
      <w:pPr>
        <w:ind w:firstLine="643" w:firstLineChars="200"/>
        <w:rPr>
          <w:rFonts w:ascii="CESI仿宋-GB2312" w:hAnsi="CESI仿宋-GB2312" w:eastAsia="CESI仿宋-GB2312" w:cs="CESI仿宋-GB2312"/>
          <w:kern w:val="0"/>
          <w:sz w:val="32"/>
          <w:szCs w:val="32"/>
          <w:lang w:val="zh-CN"/>
        </w:rPr>
      </w:pPr>
      <w:r>
        <w:rPr>
          <w:rFonts w:hint="eastAsia" w:eastAsia="楷体_GB2312"/>
          <w:b/>
          <w:sz w:val="32"/>
          <w:szCs w:val="32"/>
          <w:lang w:val="zh-CN"/>
        </w:rPr>
        <w:t>（四）项目绩效目标设置。</w:t>
      </w:r>
      <w:r>
        <w:rPr>
          <w:rFonts w:eastAsia="仿宋_GB2312"/>
          <w:sz w:val="32"/>
          <w:szCs w:val="32"/>
          <w:lang w:val="zh-CN"/>
        </w:rPr>
        <w:t>充分发挥药品抽检工作在发现药品质量问题及风险防控方面的技术支撑作用。202</w:t>
      </w:r>
      <w:r>
        <w:rPr>
          <w:rFonts w:hint="eastAsia" w:eastAsia="仿宋_GB2312"/>
          <w:sz w:val="32"/>
          <w:szCs w:val="32"/>
        </w:rPr>
        <w:t>4</w:t>
      </w:r>
      <w:r>
        <w:rPr>
          <w:rFonts w:eastAsia="仿宋_GB2312"/>
          <w:sz w:val="32"/>
          <w:szCs w:val="32"/>
          <w:lang w:val="zh-CN"/>
        </w:rPr>
        <w:t>年9月30日前完成药品抽样，10月30前完成样品检验，完成率为100%。检验完成后出具完整的检验报告。</w:t>
      </w:r>
    </w:p>
    <w:p w14:paraId="4740CACA">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59436005">
      <w:pPr>
        <w:ind w:firstLine="643" w:firstLineChars="200"/>
        <w:rPr>
          <w:rFonts w:eastAsia="仿宋_GB2312" w:cs="仿宋_GB2312"/>
          <w:kern w:val="0"/>
          <w:sz w:val="32"/>
          <w:szCs w:val="32"/>
          <w:lang w:val="zh-CN"/>
        </w:rPr>
      </w:pPr>
      <w:r>
        <w:rPr>
          <w:rFonts w:hint="eastAsia" w:eastAsia="楷体_GB2312"/>
          <w:b/>
          <w:sz w:val="32"/>
          <w:szCs w:val="32"/>
          <w:lang w:val="zh-CN"/>
        </w:rPr>
        <w:t>（一）评价目的。</w:t>
      </w:r>
      <w:r>
        <w:rPr>
          <w:rFonts w:eastAsia="仿宋_GB2312"/>
          <w:sz w:val="32"/>
          <w:szCs w:val="32"/>
          <w:lang w:val="zh-CN"/>
        </w:rPr>
        <w:t>为全面实施预算绩效管理，建立科学、合理的项目支出绩效评价管理体系，提高财政资源配置效率和使用效益，顺利推进项目实施。</w:t>
      </w:r>
    </w:p>
    <w:p w14:paraId="48A98E49">
      <w:pPr>
        <w:spacing w:line="560"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ascii="方正楷体_GBK" w:eastAsia="方正楷体_GBK"/>
          <w:color w:val="000000"/>
          <w:sz w:val="32"/>
          <w:szCs w:val="32"/>
        </w:rPr>
        <w:t>一是提高被抽样单位覆盖率。</w:t>
      </w:r>
      <w:r>
        <w:rPr>
          <w:rFonts w:eastAsia="仿宋_GB2312"/>
          <w:color w:val="000000"/>
          <w:sz w:val="32"/>
          <w:szCs w:val="32"/>
        </w:rPr>
        <w:t>应尽量扩大抽样的覆盖面，增强监管抽检的威慑力，原则上一个经营使用单位仅抽一批次样品。</w:t>
      </w:r>
      <w:r>
        <w:rPr>
          <w:rFonts w:eastAsia="仿宋_GB2312"/>
          <w:sz w:val="32"/>
          <w:szCs w:val="32"/>
        </w:rPr>
        <w:t>县以下零售和使用环节抽样覆盖率应不低于 45%。</w:t>
      </w:r>
      <w:r>
        <w:rPr>
          <w:rFonts w:hint="eastAsia" w:eastAsia="仿宋_GB2312"/>
          <w:sz w:val="32"/>
          <w:szCs w:val="32"/>
        </w:rPr>
        <w:t>零售和使用环节的抽样中，抽取本省药品上市许可持有人/药品生产企业生产的药品不低于抽样任务量的 40%。</w:t>
      </w:r>
      <w:r>
        <w:rPr>
          <w:rFonts w:hint="eastAsia"/>
          <w:sz w:val="32"/>
          <w:szCs w:val="32"/>
        </w:rPr>
        <w:t>二是</w:t>
      </w:r>
      <w:r>
        <w:rPr>
          <w:rFonts w:hint="eastAsia" w:ascii="方正楷体_GBK" w:eastAsia="方正楷体_GBK"/>
          <w:color w:val="000000"/>
          <w:sz w:val="32"/>
          <w:szCs w:val="32"/>
        </w:rPr>
        <w:t>坚持以问题为导向，提高抽检的针对性。</w:t>
      </w:r>
      <w:r>
        <w:rPr>
          <w:rFonts w:hint="eastAsia" w:eastAsia="仿宋_GB2312"/>
          <w:sz w:val="32"/>
          <w:szCs w:val="32"/>
        </w:rPr>
        <w:t>将 202</w:t>
      </w:r>
      <w:r>
        <w:rPr>
          <w:rFonts w:hint="eastAsia"/>
          <w:sz w:val="32"/>
          <w:szCs w:val="32"/>
        </w:rPr>
        <w:t>3</w:t>
      </w:r>
      <w:r>
        <w:rPr>
          <w:rFonts w:hint="eastAsia" w:eastAsia="仿宋_GB2312"/>
          <w:sz w:val="32"/>
          <w:szCs w:val="32"/>
        </w:rPr>
        <w:t>年国家和省级（含省外）药品抽检不合格的产品（含防疫药品、儿童用药品、老年用慢病药品、国家组织集中带量采购药品、省际联盟中成药等）作为抽样重点。</w:t>
      </w:r>
      <w:r>
        <w:rPr>
          <w:rFonts w:eastAsia="仿宋_GB2312"/>
          <w:sz w:val="32"/>
          <w:szCs w:val="32"/>
        </w:rPr>
        <w:t>区域性药品抽检</w:t>
      </w:r>
      <w:r>
        <w:rPr>
          <w:rFonts w:hint="eastAsia" w:eastAsia="仿宋_GB2312"/>
          <w:sz w:val="32"/>
          <w:szCs w:val="32"/>
        </w:rPr>
        <w:t>县级</w:t>
      </w:r>
      <w:r>
        <w:rPr>
          <w:rFonts w:eastAsia="仿宋_GB2312"/>
          <w:sz w:val="32"/>
          <w:szCs w:val="32"/>
        </w:rPr>
        <w:t>20批次，区域性抽检中药饮片抽样批次应不小于抽样总批次的 40%</w:t>
      </w:r>
      <w:r>
        <w:rPr>
          <w:rFonts w:hint="eastAsia" w:eastAsia="仿宋_GB2312"/>
          <w:sz w:val="32"/>
          <w:szCs w:val="32"/>
        </w:rPr>
        <w:t>，妇女儿童用药品抽样</w:t>
      </w:r>
      <w:r>
        <w:rPr>
          <w:rFonts w:eastAsia="仿宋_GB2312"/>
          <w:sz w:val="32"/>
          <w:szCs w:val="32"/>
        </w:rPr>
        <w:t xml:space="preserve">批次应不小于抽样总批次的 </w:t>
      </w:r>
      <w:r>
        <w:rPr>
          <w:rFonts w:hint="eastAsia" w:eastAsia="仿宋_GB2312"/>
          <w:sz w:val="32"/>
          <w:szCs w:val="32"/>
        </w:rPr>
        <w:t>20</w:t>
      </w:r>
      <w:r>
        <w:rPr>
          <w:rFonts w:eastAsia="仿宋_GB2312"/>
          <w:sz w:val="32"/>
          <w:szCs w:val="32"/>
        </w:rPr>
        <w:t>%</w:t>
      </w:r>
      <w:r>
        <w:rPr>
          <w:rFonts w:hint="eastAsia" w:eastAsia="仿宋_GB2312"/>
          <w:sz w:val="32"/>
          <w:szCs w:val="32"/>
        </w:rPr>
        <w:t>。</w:t>
      </w:r>
    </w:p>
    <w:p w14:paraId="70828277">
      <w:pPr>
        <w:ind w:firstLine="643" w:firstLineChars="200"/>
        <w:outlineLvl w:val="2"/>
        <w:rPr>
          <w:rFonts w:eastAsia="仿宋_GB2312"/>
          <w:sz w:val="32"/>
          <w:szCs w:val="32"/>
          <w:lang w:val="zh-CN"/>
        </w:rPr>
      </w:pPr>
      <w:r>
        <w:rPr>
          <w:rFonts w:hint="eastAsia" w:eastAsia="楷体_GB2312"/>
          <w:b/>
          <w:sz w:val="32"/>
          <w:szCs w:val="32"/>
          <w:lang w:val="zh-CN"/>
        </w:rPr>
        <w:t>（三）评价选点。</w:t>
      </w:r>
      <w:r>
        <w:rPr>
          <w:rFonts w:eastAsia="仿宋_GB2312"/>
          <w:sz w:val="32"/>
          <w:szCs w:val="32"/>
          <w:lang w:val="zh-CN"/>
        </w:rPr>
        <w:t>选点为不合格抽检样品。</w:t>
      </w:r>
    </w:p>
    <w:p w14:paraId="76901FBF">
      <w:pPr>
        <w:ind w:firstLine="643" w:firstLineChars="200"/>
        <w:rPr>
          <w:rFonts w:ascii="CESI仿宋-GB2312" w:hAnsi="CESI仿宋-GB2312" w:eastAsia="CESI仿宋-GB2312" w:cs="CESI仿宋-GB2312"/>
          <w:bCs/>
          <w:sz w:val="32"/>
          <w:szCs w:val="32"/>
        </w:rPr>
      </w:pPr>
      <w:r>
        <w:rPr>
          <w:rFonts w:hint="eastAsia" w:eastAsia="楷体_GB2312"/>
          <w:b/>
          <w:sz w:val="32"/>
          <w:szCs w:val="32"/>
          <w:lang w:val="zh-CN"/>
        </w:rPr>
        <w:t>（四）评价方法。</w:t>
      </w:r>
      <w:r>
        <w:rPr>
          <w:rFonts w:hint="eastAsia" w:eastAsia="仿宋_GB2312"/>
          <w:sz w:val="32"/>
          <w:szCs w:val="32"/>
          <w:lang w:val="zh-CN"/>
        </w:rPr>
        <w:t>通</w:t>
      </w:r>
      <w:r>
        <w:rPr>
          <w:rFonts w:eastAsia="仿宋_GB2312"/>
          <w:sz w:val="32"/>
          <w:szCs w:val="32"/>
          <w:lang w:val="zh-CN"/>
        </w:rPr>
        <w:t>过单位自评法，评价该项目是否完成202</w:t>
      </w:r>
      <w:r>
        <w:rPr>
          <w:rFonts w:hint="eastAsia" w:eastAsia="仿宋_GB2312"/>
          <w:sz w:val="32"/>
          <w:szCs w:val="32"/>
        </w:rPr>
        <w:t>4</w:t>
      </w:r>
      <w:r>
        <w:rPr>
          <w:rFonts w:eastAsia="仿宋_GB2312"/>
          <w:sz w:val="32"/>
          <w:szCs w:val="32"/>
          <w:lang w:val="zh-CN"/>
        </w:rPr>
        <w:t>年药品安全考核中药品监督抽检任务，达到项目决策的目的。</w:t>
      </w:r>
    </w:p>
    <w:p w14:paraId="5D4B4F22">
      <w:pPr>
        <w:adjustRightInd w:val="0"/>
        <w:snapToGrid w:val="0"/>
        <w:spacing w:line="578" w:lineRule="exact"/>
        <w:ind w:firstLine="643" w:firstLineChars="200"/>
        <w:rPr>
          <w:rFonts w:ascii="CESI仿宋-GB2312" w:hAnsi="CESI仿宋-GB2312" w:eastAsia="CESI仿宋-GB2312" w:cs="CESI仿宋-GB2312"/>
          <w:bCs/>
          <w:sz w:val="32"/>
          <w:szCs w:val="32"/>
        </w:rPr>
      </w:pPr>
      <w:r>
        <w:rPr>
          <w:rFonts w:hint="eastAsia" w:eastAsia="楷体_GB2312"/>
          <w:b/>
          <w:sz w:val="32"/>
          <w:szCs w:val="32"/>
          <w:lang w:val="zh-CN"/>
        </w:rPr>
        <w:t>（五）评价组织。</w:t>
      </w:r>
      <w:r>
        <w:rPr>
          <w:rFonts w:hint="eastAsia" w:ascii="CESI仿宋-GB2312" w:hAnsi="CESI仿宋-GB2312" w:eastAsia="CESI仿宋-GB2312" w:cs="CESI仿宋-GB2312"/>
          <w:bCs/>
          <w:sz w:val="32"/>
          <w:szCs w:val="32"/>
          <w:lang w:val="zh-CN"/>
        </w:rPr>
        <w:t>组长：党组成员、副局长付云，负责</w:t>
      </w:r>
      <w:r>
        <w:rPr>
          <w:rFonts w:hint="eastAsia" w:ascii="CESI仿宋-GB2312" w:hAnsi="CESI仿宋-GB2312" w:eastAsia="CESI仿宋-GB2312" w:cs="CESI仿宋-GB2312"/>
          <w:bCs/>
          <w:sz w:val="32"/>
          <w:szCs w:val="32"/>
        </w:rPr>
        <w:t>2024年药品抽检的自评总牵头工作</w:t>
      </w:r>
      <w:r>
        <w:rPr>
          <w:rFonts w:hint="eastAsia" w:ascii="CESI仿宋-GB2312" w:hAnsi="CESI仿宋-GB2312" w:eastAsia="CESI仿宋-GB2312" w:cs="CESI仿宋-GB2312"/>
          <w:bCs/>
          <w:sz w:val="32"/>
          <w:szCs w:val="32"/>
          <w:lang w:val="zh-CN"/>
        </w:rPr>
        <w:t>；成员：药械化监管股，负责</w:t>
      </w:r>
      <w:r>
        <w:rPr>
          <w:rFonts w:hint="eastAsia" w:ascii="CESI仿宋-GB2312" w:hAnsi="CESI仿宋-GB2312" w:eastAsia="CESI仿宋-GB2312" w:cs="CESI仿宋-GB2312"/>
          <w:sz w:val="32"/>
          <w:szCs w:val="32"/>
        </w:rPr>
        <w:t>按照实施方案开展项目和资金投入</w:t>
      </w:r>
      <w:r>
        <w:rPr>
          <w:rFonts w:hint="eastAsia" w:ascii="CESI仿宋-GB2312" w:hAnsi="CESI仿宋-GB2312" w:eastAsia="CESI仿宋-GB2312" w:cs="CESI仿宋-GB2312"/>
          <w:bCs/>
          <w:sz w:val="32"/>
          <w:szCs w:val="32"/>
          <w:lang w:val="zh-CN"/>
        </w:rPr>
        <w:t>使用</w:t>
      </w:r>
      <w:r>
        <w:rPr>
          <w:rFonts w:hint="eastAsia" w:ascii="CESI仿宋-GB2312" w:hAnsi="CESI仿宋-GB2312" w:eastAsia="CESI仿宋-GB2312" w:cs="CESI仿宋-GB2312"/>
          <w:bCs/>
          <w:sz w:val="32"/>
          <w:szCs w:val="32"/>
        </w:rPr>
        <w:t>专项资金。</w:t>
      </w:r>
      <w:r>
        <w:rPr>
          <w:rFonts w:hint="eastAsia" w:ascii="CESI仿宋-GB2312" w:hAnsi="CESI仿宋-GB2312" w:eastAsia="CESI仿宋-GB2312" w:cs="CESI仿宋-GB2312"/>
          <w:sz w:val="32"/>
          <w:szCs w:val="32"/>
        </w:rPr>
        <w:t>强化专项经费和支付制度管理，促进资金及时足额拨付</w:t>
      </w:r>
      <w:r>
        <w:rPr>
          <w:rFonts w:hint="eastAsia" w:ascii="CESI仿宋-GB2312" w:hAnsi="CESI仿宋-GB2312" w:eastAsia="CESI仿宋-GB2312" w:cs="CESI仿宋-GB2312"/>
          <w:bCs/>
          <w:sz w:val="32"/>
          <w:szCs w:val="32"/>
        </w:rPr>
        <w:t>工作。</w:t>
      </w:r>
    </w:p>
    <w:p w14:paraId="0EEE4A64">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0C4CB6FB">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23FBC67D">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2B395369">
      <w:pPr>
        <w:ind w:firstLine="640" w:firstLineChars="200"/>
        <w:rPr>
          <w:rFonts w:eastAsia="仿宋_GB2312"/>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eastAsia="仿宋_GB2312"/>
          <w:sz w:val="32"/>
          <w:szCs w:val="32"/>
          <w:lang w:val="zh-CN"/>
        </w:rPr>
        <w:t>项目严格按照《202</w:t>
      </w:r>
      <w:r>
        <w:rPr>
          <w:rFonts w:hint="eastAsia" w:eastAsia="仿宋_GB2312"/>
          <w:sz w:val="32"/>
          <w:szCs w:val="32"/>
        </w:rPr>
        <w:t>4</w:t>
      </w:r>
      <w:r>
        <w:rPr>
          <w:rFonts w:eastAsia="仿宋_GB2312"/>
          <w:sz w:val="32"/>
          <w:szCs w:val="32"/>
          <w:lang w:val="zh-CN"/>
        </w:rPr>
        <w:t>年攀枝花市药品抽检工作实施方案》（攀市监办〔202</w:t>
      </w:r>
      <w:r>
        <w:rPr>
          <w:rFonts w:hint="eastAsia" w:eastAsia="仿宋_GB2312"/>
          <w:sz w:val="32"/>
          <w:szCs w:val="32"/>
        </w:rPr>
        <w:t>4</w:t>
      </w:r>
      <w:r>
        <w:rPr>
          <w:rFonts w:eastAsia="仿宋_GB2312"/>
          <w:sz w:val="32"/>
          <w:szCs w:val="32"/>
          <w:lang w:val="zh-CN"/>
        </w:rPr>
        <w:t>〕2</w:t>
      </w:r>
      <w:r>
        <w:rPr>
          <w:rFonts w:hint="eastAsia" w:eastAsia="仿宋_GB2312"/>
          <w:sz w:val="32"/>
          <w:szCs w:val="32"/>
        </w:rPr>
        <w:t>1</w:t>
      </w:r>
      <w:r>
        <w:rPr>
          <w:rFonts w:eastAsia="仿宋_GB2312"/>
          <w:sz w:val="32"/>
          <w:szCs w:val="32"/>
          <w:lang w:val="zh-CN"/>
        </w:rPr>
        <w:t>号）、《盐边县202</w:t>
      </w:r>
      <w:r>
        <w:rPr>
          <w:rFonts w:hint="eastAsia" w:eastAsia="仿宋_GB2312"/>
          <w:sz w:val="32"/>
          <w:szCs w:val="32"/>
        </w:rPr>
        <w:t>4</w:t>
      </w:r>
      <w:r>
        <w:rPr>
          <w:rFonts w:eastAsia="仿宋_GB2312"/>
          <w:sz w:val="32"/>
          <w:szCs w:val="32"/>
          <w:lang w:val="zh-CN"/>
        </w:rPr>
        <w:t>年药品抽检工作实施方案》，项目立项依据充分，决策程序规范，符合相关政策法规要求。</w:t>
      </w:r>
    </w:p>
    <w:p w14:paraId="630A8B04">
      <w:pPr>
        <w:ind w:firstLine="640" w:firstLineChars="200"/>
        <w:rPr>
          <w:rFonts w:eastAsia="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eastAsia="仿宋_GB2312"/>
          <w:sz w:val="32"/>
          <w:szCs w:val="32"/>
          <w:lang w:val="zh-CN"/>
        </w:rPr>
        <w:t>此项工作纳入年底药品安全考核，通过对完成数量、不合格率等指标进行评估，确保药品抽检工作达到预期目标。</w:t>
      </w:r>
    </w:p>
    <w:p w14:paraId="651FC6D2">
      <w:pPr>
        <w:ind w:firstLine="640" w:firstLineChars="200"/>
        <w:rPr>
          <w:rFonts w:eastAsia="仿宋_GB2312" w:cs="仿宋_GB2312"/>
          <w:kern w:val="0"/>
          <w:sz w:val="32"/>
          <w:szCs w:val="32"/>
          <w:lang w:val="zh-CN"/>
        </w:rPr>
      </w:pPr>
      <w:r>
        <w:rPr>
          <w:rFonts w:hint="eastAsia" w:eastAsia="仿宋_GB2312" w:cs="仿宋_GB2312"/>
          <w:kern w:val="0"/>
          <w:sz w:val="32"/>
          <w:szCs w:val="32"/>
        </w:rPr>
        <w:t>3.项目实施。</w:t>
      </w:r>
      <w:r>
        <w:rPr>
          <w:rFonts w:eastAsia="仿宋_GB2312"/>
          <w:sz w:val="32"/>
          <w:szCs w:val="32"/>
          <w:lang w:val="zh-CN"/>
        </w:rPr>
        <w:t>制定《盐边县202</w:t>
      </w:r>
      <w:r>
        <w:rPr>
          <w:rFonts w:hint="eastAsia" w:eastAsia="仿宋_GB2312"/>
          <w:sz w:val="32"/>
          <w:szCs w:val="32"/>
        </w:rPr>
        <w:t>4</w:t>
      </w:r>
      <w:r>
        <w:rPr>
          <w:rFonts w:eastAsia="仿宋_GB2312"/>
          <w:sz w:val="32"/>
          <w:szCs w:val="32"/>
          <w:lang w:val="zh-CN"/>
        </w:rPr>
        <w:t>年药品抽检工作实施方案》→签订抽检合同→开展抽样检验。202</w:t>
      </w:r>
      <w:r>
        <w:rPr>
          <w:rFonts w:hint="eastAsia" w:eastAsia="仿宋_GB2312"/>
          <w:sz w:val="32"/>
          <w:szCs w:val="32"/>
        </w:rPr>
        <w:t>4</w:t>
      </w:r>
      <w:r>
        <w:rPr>
          <w:rFonts w:eastAsia="仿宋_GB2312"/>
          <w:sz w:val="32"/>
          <w:szCs w:val="32"/>
          <w:lang w:val="zh-CN"/>
        </w:rPr>
        <w:t>年9月30日前完成药品抽样，10月30前完成样品检验，完成率为100%。检验完成后出具完整的检验报告。</w:t>
      </w:r>
    </w:p>
    <w:p w14:paraId="1B515BF0">
      <w:pPr>
        <w:ind w:firstLine="640" w:firstLineChars="200"/>
        <w:rPr>
          <w:rFonts w:eastAsia="仿宋_GB2312"/>
          <w:sz w:val="32"/>
          <w:szCs w:val="32"/>
          <w:lang w:val="zh-CN"/>
        </w:rPr>
      </w:pPr>
      <w:r>
        <w:rPr>
          <w:rFonts w:hint="eastAsia" w:eastAsia="仿宋_GB2312" w:cs="仿宋_GB2312"/>
          <w:kern w:val="0"/>
          <w:sz w:val="32"/>
          <w:szCs w:val="32"/>
        </w:rPr>
        <w:t>4.项目结果。</w:t>
      </w:r>
      <w:r>
        <w:rPr>
          <w:rFonts w:eastAsia="仿宋_GB2312"/>
          <w:sz w:val="32"/>
          <w:szCs w:val="32"/>
          <w:lang w:val="zh-CN"/>
        </w:rPr>
        <w:t>通过开展药品抽检工作，药品经营、使用主体得到有效规范，主体责任意识有所提高。从抽检结果来看，我县药品安全状况总体良好，样品检验合格率100%，群众满意度全市第二。</w:t>
      </w:r>
    </w:p>
    <w:p w14:paraId="30C94FF8">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69E9519B">
      <w:pPr>
        <w:spacing w:line="578" w:lineRule="exact"/>
        <w:ind w:firstLine="640"/>
        <w:rPr>
          <w:rFonts w:eastAsia="仿宋_GB2312"/>
          <w:sz w:val="32"/>
          <w:szCs w:val="32"/>
          <w:lang w:val="zh-CN"/>
        </w:rPr>
      </w:pPr>
      <w:r>
        <w:rPr>
          <w:rFonts w:hint="eastAsia" w:eastAsia="仿宋_GB2312" w:cs="仿宋_GB2312"/>
          <w:kern w:val="0"/>
          <w:sz w:val="32"/>
          <w:szCs w:val="32"/>
        </w:rPr>
        <w:t>1.产业发展。</w:t>
      </w:r>
      <w:r>
        <w:rPr>
          <w:rFonts w:eastAsia="仿宋_GB2312"/>
          <w:sz w:val="32"/>
          <w:szCs w:val="32"/>
          <w:lang w:val="zh-CN"/>
        </w:rPr>
        <w:t>符合我县药品经营使用现状，设定抽检数量合理，对经济社会发展进行把脉诊断，促进相关产业健康发展。</w:t>
      </w:r>
    </w:p>
    <w:p w14:paraId="0E760CB6">
      <w:pPr>
        <w:ind w:firstLine="640" w:firstLineChars="200"/>
        <w:rPr>
          <w:rFonts w:eastAsia="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eastAsia="仿宋_GB2312"/>
          <w:sz w:val="32"/>
          <w:szCs w:val="32"/>
          <w:lang w:val="zh-CN"/>
        </w:rPr>
        <w:t>通过开展药品抽检工作，药品经营秩序得到有效规范，经营、使用者落实进货查验、索票索证自觉性得到提高。从抽检结果来看，我县药品安全状况总体良好，未发生药品安全事故，年度群众满意度有所提升，位居全市第二。</w:t>
      </w:r>
    </w:p>
    <w:p w14:paraId="159B008B">
      <w:pPr>
        <w:spacing w:line="578" w:lineRule="exact"/>
        <w:ind w:firstLine="640"/>
        <w:rPr>
          <w:rFonts w:eastAsia="仿宋_GB2312"/>
          <w:sz w:val="32"/>
          <w:szCs w:val="32"/>
          <w:lang w:val="zh-CN"/>
        </w:rPr>
      </w:pPr>
      <w:r>
        <w:rPr>
          <w:rFonts w:hint="eastAsia" w:eastAsia="仿宋_GB2312" w:cs="仿宋_GB2312"/>
          <w:kern w:val="0"/>
          <w:sz w:val="32"/>
          <w:szCs w:val="32"/>
        </w:rPr>
        <w:t>3.基础设施。</w:t>
      </w:r>
      <w:r>
        <w:rPr>
          <w:rFonts w:eastAsia="仿宋_GB2312"/>
          <w:sz w:val="32"/>
          <w:szCs w:val="32"/>
          <w:lang w:val="zh-CN"/>
        </w:rPr>
        <w:t>项目按预期目标完成，完成情况良好。</w:t>
      </w:r>
    </w:p>
    <w:p w14:paraId="47B3C4C0">
      <w:pPr>
        <w:ind w:firstLine="640" w:firstLineChars="200"/>
        <w:rPr>
          <w:rFonts w:eastAsia="仿宋_GB2312"/>
          <w:sz w:val="32"/>
          <w:szCs w:val="32"/>
          <w:lang w:val="zh-CN"/>
        </w:rPr>
      </w:pPr>
      <w:r>
        <w:rPr>
          <w:rFonts w:hint="eastAsia" w:eastAsia="仿宋_GB2312" w:cs="仿宋_GB2312"/>
          <w:kern w:val="0"/>
          <w:sz w:val="32"/>
          <w:szCs w:val="32"/>
        </w:rPr>
        <w:t>4.</w:t>
      </w:r>
      <w:r>
        <w:rPr>
          <w:rFonts w:hint="eastAsia" w:eastAsia="仿宋_GB2312" w:cs="仿宋_GB2312"/>
          <w:kern w:val="0"/>
          <w:sz w:val="32"/>
          <w:szCs w:val="32"/>
          <w:lang w:val="zh-CN"/>
        </w:rPr>
        <w:t>行政运转。</w:t>
      </w:r>
      <w:r>
        <w:rPr>
          <w:rFonts w:eastAsia="仿宋_GB2312"/>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84C2A83">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无。</w:t>
      </w:r>
    </w:p>
    <w:p w14:paraId="487071E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762A4654">
      <w:pPr>
        <w:ind w:firstLine="640" w:firstLineChars="200"/>
        <w:rPr>
          <w:rFonts w:eastAsia="仿宋_GB2312"/>
          <w:sz w:val="32"/>
          <w:szCs w:val="32"/>
          <w:lang w:val="zh-CN"/>
        </w:rPr>
      </w:pPr>
      <w:r>
        <w:rPr>
          <w:rFonts w:eastAsia="仿宋_GB2312"/>
          <w:sz w:val="32"/>
          <w:szCs w:val="32"/>
          <w:lang w:val="zh-CN"/>
        </w:rPr>
        <w:t>该项目自评</w:t>
      </w:r>
      <w:r>
        <w:rPr>
          <w:rFonts w:eastAsia="仿宋_GB2312"/>
          <w:sz w:val="32"/>
          <w:szCs w:val="32"/>
        </w:rPr>
        <w:t>100分。</w:t>
      </w:r>
      <w:r>
        <w:rPr>
          <w:rFonts w:eastAsia="仿宋_GB2312"/>
          <w:sz w:val="32"/>
          <w:szCs w:val="32"/>
          <w:lang w:val="zh-CN"/>
        </w:rPr>
        <w:t>盐边县202</w:t>
      </w:r>
      <w:r>
        <w:rPr>
          <w:rFonts w:hint="eastAsia" w:eastAsia="仿宋_GB2312"/>
          <w:sz w:val="32"/>
          <w:szCs w:val="32"/>
        </w:rPr>
        <w:t>4</w:t>
      </w:r>
      <w:r>
        <w:rPr>
          <w:rFonts w:eastAsia="仿宋_GB2312"/>
          <w:sz w:val="32"/>
          <w:szCs w:val="32"/>
          <w:lang w:val="zh-CN"/>
        </w:rPr>
        <w:t>年度药品安全抽检监测申报内容与实际相符。申报目标根据《中华人民共和国药品管理法》和省、市抽检任务分解及我县实际经济水平、监管对象、人口基数依法设定，合理可行。202</w:t>
      </w:r>
      <w:r>
        <w:rPr>
          <w:rFonts w:hint="eastAsia" w:eastAsia="仿宋_GB2312"/>
          <w:sz w:val="32"/>
          <w:szCs w:val="32"/>
        </w:rPr>
        <w:t>4</w:t>
      </w:r>
      <w:r>
        <w:rPr>
          <w:rFonts w:eastAsia="仿宋_GB2312"/>
          <w:sz w:val="32"/>
          <w:szCs w:val="32"/>
          <w:lang w:val="zh-CN"/>
        </w:rPr>
        <w:t>年药品监督抽检目标的实现完成202</w:t>
      </w:r>
      <w:r>
        <w:rPr>
          <w:rFonts w:hint="eastAsia" w:eastAsia="仿宋_GB2312"/>
          <w:sz w:val="32"/>
          <w:szCs w:val="32"/>
        </w:rPr>
        <w:t>4</w:t>
      </w:r>
      <w:r>
        <w:rPr>
          <w:rFonts w:eastAsia="仿宋_GB2312"/>
          <w:sz w:val="32"/>
          <w:szCs w:val="32"/>
          <w:lang w:val="zh-CN"/>
        </w:rPr>
        <w:t>年药品安全考核中药品监督抽检任务，达到了项目决策的目的，项目管理贯通抽检全过程，实现了经济效应、社会效应、可持续影响等绩效目标。</w:t>
      </w:r>
    </w:p>
    <w:p w14:paraId="654E00A3">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75F77C2B">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42135A94">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6F8248E1">
      <w:pPr>
        <w:ind w:firstLine="640" w:firstLineChars="200"/>
        <w:rPr>
          <w:rFonts w:eastAsia="仿宋_GB2312"/>
          <w:sz w:val="32"/>
          <w:szCs w:val="32"/>
          <w:lang w:val="zh-CN"/>
        </w:rPr>
      </w:pPr>
      <w:r>
        <w:rPr>
          <w:rFonts w:eastAsia="仿宋_GB2312"/>
          <w:sz w:val="32"/>
          <w:szCs w:val="32"/>
          <w:lang w:val="zh-CN"/>
        </w:rPr>
        <w:t>及时拨付项目资金，避免合同逾期。</w:t>
      </w:r>
    </w:p>
    <w:p w14:paraId="7B34D850">
      <w:pPr>
        <w:pStyle w:val="35"/>
        <w:spacing w:line="578" w:lineRule="exact"/>
        <w:ind w:firstLine="640"/>
        <w:jc w:val="center"/>
        <w:rPr>
          <w:rFonts w:ascii="Times New Roman" w:hAnsi="Times New Roman"/>
          <w:color w:val="auto"/>
          <w:kern w:val="2"/>
          <w:sz w:val="32"/>
          <w:szCs w:val="32"/>
          <w:lang w:val="en-US"/>
        </w:rPr>
      </w:pPr>
    </w:p>
    <w:p w14:paraId="2776E5ED">
      <w:pPr>
        <w:pStyle w:val="35"/>
        <w:spacing w:line="578" w:lineRule="exact"/>
        <w:ind w:firstLine="640"/>
        <w:jc w:val="center"/>
        <w:rPr>
          <w:rFonts w:ascii="Times New Roman" w:hAnsi="Times New Roman"/>
          <w:color w:val="auto"/>
          <w:kern w:val="2"/>
          <w:sz w:val="32"/>
          <w:szCs w:val="32"/>
          <w:lang w:val="en-US"/>
        </w:rPr>
      </w:pPr>
    </w:p>
    <w:p w14:paraId="46DF32AF">
      <w:pPr>
        <w:pStyle w:val="35"/>
        <w:spacing w:line="578" w:lineRule="exact"/>
        <w:ind w:firstLine="640"/>
        <w:jc w:val="center"/>
        <w:rPr>
          <w:rFonts w:ascii="Times New Roman" w:hAnsi="Times New Roman"/>
          <w:color w:val="auto"/>
          <w:kern w:val="2"/>
          <w:sz w:val="32"/>
          <w:szCs w:val="32"/>
          <w:lang w:val="en-US"/>
        </w:rPr>
      </w:pPr>
    </w:p>
    <w:p w14:paraId="0367A9AD">
      <w:pPr>
        <w:pStyle w:val="35"/>
        <w:spacing w:line="578" w:lineRule="exact"/>
        <w:ind w:firstLine="640"/>
        <w:jc w:val="center"/>
        <w:rPr>
          <w:rFonts w:ascii="Times New Roman" w:hAnsi="Times New Roman"/>
          <w:color w:val="auto"/>
          <w:kern w:val="2"/>
          <w:sz w:val="32"/>
          <w:szCs w:val="32"/>
          <w:lang w:val="en-US"/>
        </w:rPr>
      </w:pPr>
    </w:p>
    <w:p w14:paraId="0F1D160D">
      <w:pPr>
        <w:pStyle w:val="35"/>
        <w:spacing w:line="578" w:lineRule="exact"/>
        <w:ind w:firstLine="640"/>
        <w:jc w:val="center"/>
        <w:rPr>
          <w:rFonts w:ascii="Times New Roman" w:hAnsi="Times New Roman"/>
          <w:color w:val="auto"/>
          <w:kern w:val="2"/>
          <w:sz w:val="32"/>
          <w:szCs w:val="32"/>
          <w:lang w:val="en-US"/>
        </w:rPr>
      </w:pPr>
    </w:p>
    <w:p w14:paraId="3ECAFCB7">
      <w:pPr>
        <w:pStyle w:val="35"/>
        <w:spacing w:line="578" w:lineRule="exact"/>
        <w:ind w:firstLine="640"/>
        <w:jc w:val="center"/>
        <w:rPr>
          <w:rFonts w:ascii="Times New Roman" w:hAnsi="Times New Roman"/>
          <w:color w:val="auto"/>
          <w:kern w:val="2"/>
          <w:sz w:val="32"/>
          <w:szCs w:val="32"/>
          <w:lang w:val="en-US"/>
        </w:rPr>
      </w:pPr>
    </w:p>
    <w:p w14:paraId="3DCF9EAA">
      <w:pPr>
        <w:pStyle w:val="35"/>
        <w:spacing w:line="578" w:lineRule="exact"/>
        <w:ind w:firstLine="640"/>
        <w:jc w:val="center"/>
        <w:rPr>
          <w:rFonts w:ascii="Times New Roman" w:hAnsi="Times New Roman"/>
          <w:color w:val="auto"/>
          <w:kern w:val="2"/>
          <w:sz w:val="32"/>
          <w:szCs w:val="32"/>
          <w:lang w:val="en-US"/>
        </w:rPr>
      </w:pPr>
    </w:p>
    <w:p w14:paraId="599F87B5">
      <w:pPr>
        <w:pStyle w:val="35"/>
        <w:spacing w:line="578" w:lineRule="exact"/>
        <w:ind w:firstLine="640"/>
        <w:jc w:val="center"/>
        <w:rPr>
          <w:rFonts w:ascii="Times New Roman" w:hAnsi="Times New Roman"/>
          <w:color w:val="auto"/>
          <w:kern w:val="2"/>
          <w:sz w:val="32"/>
          <w:szCs w:val="32"/>
          <w:lang w:val="en-US"/>
        </w:rPr>
      </w:pPr>
    </w:p>
    <w:p w14:paraId="2866B810">
      <w:pPr>
        <w:pStyle w:val="35"/>
        <w:spacing w:line="578" w:lineRule="exact"/>
        <w:ind w:firstLine="640"/>
        <w:jc w:val="center"/>
        <w:rPr>
          <w:rFonts w:ascii="Times New Roman" w:hAnsi="Times New Roman"/>
          <w:color w:val="auto"/>
          <w:kern w:val="2"/>
          <w:sz w:val="32"/>
          <w:szCs w:val="32"/>
          <w:lang w:val="en-US"/>
        </w:rPr>
      </w:pPr>
    </w:p>
    <w:p w14:paraId="086E1248">
      <w:pPr>
        <w:pStyle w:val="35"/>
        <w:spacing w:line="578" w:lineRule="exact"/>
        <w:ind w:firstLine="640"/>
        <w:jc w:val="center"/>
        <w:rPr>
          <w:rFonts w:ascii="Times New Roman" w:hAnsi="Times New Roman"/>
          <w:color w:val="auto"/>
          <w:kern w:val="2"/>
          <w:sz w:val="32"/>
          <w:szCs w:val="32"/>
          <w:lang w:val="en-US"/>
        </w:rPr>
      </w:pPr>
    </w:p>
    <w:p w14:paraId="12896F48">
      <w:pPr>
        <w:pStyle w:val="35"/>
        <w:spacing w:line="578" w:lineRule="exact"/>
        <w:jc w:val="center"/>
        <w:rPr>
          <w:rFonts w:ascii="Times New Roman" w:hAnsi="Times New Roman" w:eastAsia="方正小标宋简体" w:cs="方正小标宋简体"/>
          <w:color w:val="auto"/>
          <w:kern w:val="2"/>
          <w:sz w:val="44"/>
          <w:szCs w:val="44"/>
          <w:lang w:val="en-US"/>
        </w:rPr>
      </w:pPr>
    </w:p>
    <w:p w14:paraId="2DE3E6C7">
      <w:pPr>
        <w:pStyle w:val="35"/>
        <w:spacing w:line="578" w:lineRule="exact"/>
        <w:ind w:firstLine="640"/>
        <w:jc w:val="center"/>
        <w:rPr>
          <w:rFonts w:ascii="Times New Roman" w:hAnsi="Times New Roman"/>
          <w:color w:val="auto"/>
          <w:kern w:val="2"/>
          <w:sz w:val="32"/>
          <w:szCs w:val="32"/>
        </w:rPr>
      </w:pPr>
      <w:r>
        <w:rPr>
          <w:rFonts w:hint="eastAsia" w:ascii="Times New Roman" w:hAnsi="Times New Roman" w:eastAsia="方正小标宋简体" w:cs="方正小标宋简体"/>
          <w:color w:val="auto"/>
          <w:kern w:val="2"/>
          <w:sz w:val="44"/>
          <w:szCs w:val="44"/>
          <w:lang w:val="en-US"/>
        </w:rPr>
        <w:t>国卫复审鑫盛市场环境卫生整治专项预算项目绩效评价报告</w:t>
      </w:r>
    </w:p>
    <w:p w14:paraId="1B3E9E40">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0BCFD9B4">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lang w:val="zh-CN"/>
        </w:rPr>
        <w:t>为解决</w:t>
      </w:r>
      <w:r>
        <w:rPr>
          <w:rFonts w:hint="eastAsia" w:eastAsia="仿宋_GB2312" w:cs="仿宋_GB2312"/>
          <w:kern w:val="0"/>
          <w:sz w:val="32"/>
          <w:szCs w:val="32"/>
        </w:rPr>
        <w:t>鑫盛农贸市场及周边存在的环境卫生问题，包括但不限于乱停乱放、乱搭乱建、乱堆乱放、乱贴乱画、乱倒垃圾等。同时，针对消防设施不规范、消防通道堵塞、店铺占道经营等问题进行专项治理。</w:t>
      </w:r>
      <w:r>
        <w:rPr>
          <w:rFonts w:hint="eastAsia" w:eastAsia="仿宋_GB2312" w:cs="仿宋_GB2312"/>
          <w:kern w:val="0"/>
          <w:sz w:val="32"/>
          <w:szCs w:val="32"/>
          <w:shd w:val="clear" w:color="auto" w:fill="FFFFFF"/>
          <w:lang w:val="zh-CN"/>
        </w:rPr>
        <w:t>针对这些问题进行集中治理，是提升城市文明程度、增强市民获得感和幸福感的迫切需要。</w:t>
      </w:r>
    </w:p>
    <w:p w14:paraId="1CCA0883">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通过实施本项目，旨在改善市场内部环境卫生状况，解决市场内路面积水、油污、菜叶等垃圾问题，确保垃圾清运及时，提升市场整体环境水平。项目还将关注楼体、墙面的清洁与修复，整治缆线杂乱、照明不足等问题</w:t>
      </w:r>
      <w:r>
        <w:rPr>
          <w:rFonts w:hint="eastAsia" w:eastAsia="仿宋_GB2312" w:cs="仿宋_GB2312"/>
          <w:kern w:val="0"/>
          <w:sz w:val="32"/>
          <w:szCs w:val="32"/>
          <w:shd w:val="clear" w:color="auto" w:fill="FFFFFF"/>
          <w:lang w:val="zh-CN"/>
        </w:rPr>
        <w:t>。</w:t>
      </w:r>
    </w:p>
    <w:p w14:paraId="7DC288B4">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w:t>
      </w:r>
      <w:r>
        <w:rPr>
          <w:rFonts w:hint="eastAsia" w:eastAsia="仿宋_GB2312" w:cs="仿宋_GB2312"/>
          <w:kern w:val="0"/>
          <w:sz w:val="32"/>
          <w:szCs w:val="32"/>
        </w:rPr>
        <w:t>5.3744万元</w:t>
      </w:r>
      <w:r>
        <w:rPr>
          <w:rFonts w:hint="eastAsia" w:eastAsia="仿宋_GB2312" w:cs="仿宋_GB2312"/>
          <w:kern w:val="0"/>
          <w:sz w:val="32"/>
          <w:szCs w:val="32"/>
          <w:lang w:val="zh-CN"/>
        </w:rPr>
        <w:t>，清理市场内地面油污、积水、冲洗排水沟等，维修楼体、墙面。</w:t>
      </w:r>
    </w:p>
    <w:p w14:paraId="17E10FDE">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鑫盛农贸市场内地面、摊位整洁、排水沟通畅、干净。</w:t>
      </w:r>
    </w:p>
    <w:p w14:paraId="619DB0F7">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435FCE14">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鑫盛农贸市场内地面、摊位已打扫干净、排水沟已冲洗通畅、干净。</w:t>
      </w:r>
    </w:p>
    <w:p w14:paraId="38A61B9C">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重点在于项目申报内容与具体实施内容是否相符、申报目标是否合理可行。</w:t>
      </w:r>
    </w:p>
    <w:p w14:paraId="744187FC">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项目绩效自评所抽样点位符合。</w:t>
      </w:r>
    </w:p>
    <w:p w14:paraId="385AF4E2">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根据项目情况和评价重点，采用单位自评法。</w:t>
      </w:r>
    </w:p>
    <w:p w14:paraId="60630F4E">
      <w:pPr>
        <w:spacing w:line="578" w:lineRule="exact"/>
        <w:ind w:firstLine="64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评价组人员由市场监督管理局交易秩序监督管理股4人构成。</w:t>
      </w:r>
    </w:p>
    <w:p w14:paraId="5889B2AE">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5DF846DF">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48BBCC85">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1FB5A81E">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项目决策。按有关文件对鑫盛农贸市场内地面、摊位打扫整洁、排水沟冲洗通畅、干净，合理分配使用资金。项目立项依据充分，决策程序规范，符合相关政策法规要求。</w:t>
      </w:r>
    </w:p>
    <w:p w14:paraId="00A077AC">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我单位加强对财政专项资金管理，严格按预算进度支付费用，各项经费支出严格按照政府采购、国库集中支付等有关规定执行，预算执行完成和控制较好。根据有关要求，成立绩效评价工作小组。专门负责该项经费的规范使用和日常监督工作。</w:t>
      </w:r>
    </w:p>
    <w:p w14:paraId="7634C881">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预算执行为</w:t>
      </w:r>
      <w:r>
        <w:rPr>
          <w:rFonts w:hint="eastAsia" w:eastAsia="仿宋_GB2312" w:cs="仿宋_GB2312"/>
          <w:kern w:val="0"/>
          <w:sz w:val="32"/>
          <w:szCs w:val="32"/>
        </w:rPr>
        <w:t>1.69</w:t>
      </w:r>
      <w:r>
        <w:rPr>
          <w:rFonts w:hint="eastAsia" w:eastAsia="仿宋_GB2312" w:cs="仿宋_GB2312"/>
          <w:kern w:val="0"/>
          <w:sz w:val="32"/>
          <w:szCs w:val="32"/>
          <w:lang w:val="zh-CN"/>
        </w:rPr>
        <w:t>万元，预算执行率100%。</w:t>
      </w:r>
    </w:p>
    <w:p w14:paraId="71290438">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4.项目结果。按照国卫复审要求对鑫盛农贸市场内地面、摊位打扫整洁、排水沟冲洗通畅、干净</w:t>
      </w:r>
      <w:r>
        <w:rPr>
          <w:rFonts w:hint="eastAsia" w:eastAsia="仿宋_GB2312" w:cs="仿宋_GB2312"/>
          <w:kern w:val="0"/>
          <w:sz w:val="32"/>
          <w:szCs w:val="32"/>
          <w:lang w:val="zh-CN"/>
        </w:rPr>
        <w:t>。</w:t>
      </w:r>
    </w:p>
    <w:p w14:paraId="015D4A3D">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5640A912">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1.产业发展。整洁的市场环境、完善的环卫设施，能显著增强城市对文旅项目、外来投资的吸引力，形成环境优势、资源聚集、产业升级</w:t>
      </w:r>
      <w:r>
        <w:rPr>
          <w:rFonts w:hint="eastAsia" w:eastAsia="仿宋_GB2312" w:cs="仿宋_GB2312"/>
          <w:kern w:val="0"/>
          <w:sz w:val="32"/>
          <w:szCs w:val="32"/>
          <w:lang w:eastAsia="zh-CN"/>
        </w:rPr>
        <w:t>，提</w:t>
      </w:r>
      <w:r>
        <w:rPr>
          <w:rFonts w:hint="eastAsia" w:eastAsia="仿宋_GB2312" w:cs="仿宋_GB2312"/>
          <w:kern w:val="0"/>
          <w:sz w:val="32"/>
          <w:szCs w:val="32"/>
        </w:rPr>
        <w:t>升城市文明程度、增强市民获得感和幸福感。</w:t>
      </w:r>
    </w:p>
    <w:p w14:paraId="2D363727">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推动农贸市场内清洁卫生能从源头降低传染病传播风险，让市场“干净、整洁、有序”，直接提升群众的生活幸福感和获得感。</w:t>
      </w:r>
    </w:p>
    <w:p w14:paraId="4E906A29">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3.基础设施。该项目未涉及基础设施</w:t>
      </w:r>
      <w:r>
        <w:rPr>
          <w:rFonts w:hint="eastAsia" w:eastAsia="仿宋_GB2312" w:cs="仿宋_GB2312"/>
          <w:kern w:val="0"/>
          <w:sz w:val="32"/>
          <w:szCs w:val="32"/>
          <w:lang w:val="zh-CN"/>
        </w:rPr>
        <w:t>。</w:t>
      </w:r>
    </w:p>
    <w:p w14:paraId="1BA03E6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w:t>
      </w:r>
      <w:r>
        <w:rPr>
          <w:rFonts w:hint="eastAsia" w:eastAsia="仿宋_GB2312" w:cs="仿宋_GB2312"/>
          <w:kern w:val="0"/>
          <w:sz w:val="32"/>
          <w:szCs w:val="32"/>
          <w:lang w:val="zh-CN"/>
        </w:rPr>
        <w:t>行政运转。项目申报内容与具体实施内容相符、申报目标合理可行。</w:t>
      </w:r>
    </w:p>
    <w:p w14:paraId="3F08D50A">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国卫复审鑫盛市场环境卫生整治费用到位</w:t>
      </w:r>
      <w:r>
        <w:rPr>
          <w:rFonts w:hint="eastAsia" w:eastAsia="仿宋_GB2312" w:cs="仿宋_GB2312"/>
          <w:kern w:val="0"/>
          <w:sz w:val="32"/>
          <w:szCs w:val="32"/>
        </w:rPr>
        <w:t>1.69万元，到位率100%。</w:t>
      </w:r>
      <w:r>
        <w:rPr>
          <w:rFonts w:hint="eastAsia" w:eastAsia="仿宋_GB2312" w:cs="仿宋_GB2312"/>
          <w:kern w:val="0"/>
          <w:sz w:val="32"/>
          <w:szCs w:val="32"/>
          <w:lang w:val="zh-CN"/>
        </w:rPr>
        <w:t>。</w:t>
      </w:r>
    </w:p>
    <w:p w14:paraId="02A7FB88">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115AA575">
      <w:pPr>
        <w:spacing w:line="578" w:lineRule="exact"/>
        <w:ind w:firstLine="640"/>
        <w:rPr>
          <w:rFonts w:eastAsia="仿宋_GB2312" w:cs="仿宋_GB2312"/>
          <w:kern w:val="0"/>
          <w:sz w:val="32"/>
          <w:szCs w:val="32"/>
        </w:rPr>
      </w:pPr>
      <w:r>
        <w:rPr>
          <w:rFonts w:hint="eastAsia" w:eastAsia="仿宋_GB2312" w:cs="仿宋_GB2312"/>
          <w:kern w:val="0"/>
          <w:sz w:val="32"/>
          <w:szCs w:val="32"/>
        </w:rPr>
        <w:t>该项目自评总分100分。达到预期项目效益，通过清理市场内地面油污、积水、冲洗排水沟等，维修楼体、墙面，让市场从“无序”走向“有序”，让消费者“买</w:t>
      </w:r>
      <w:r>
        <w:rPr>
          <w:rFonts w:hint="eastAsia" w:eastAsia="仿宋_GB2312" w:cs="仿宋_GB2312"/>
          <w:kern w:val="0"/>
          <w:sz w:val="32"/>
          <w:szCs w:val="32"/>
          <w:lang w:eastAsia="zh-CN"/>
        </w:rPr>
        <w:t>得</w:t>
      </w:r>
      <w:r>
        <w:rPr>
          <w:rFonts w:hint="eastAsia" w:eastAsia="仿宋_GB2312" w:cs="仿宋_GB2312"/>
          <w:kern w:val="0"/>
          <w:sz w:val="32"/>
          <w:szCs w:val="32"/>
        </w:rPr>
        <w:t>放心、舒心”“吃得安心”，消除消费顾虑。</w:t>
      </w:r>
    </w:p>
    <w:p w14:paraId="12DC7CB2">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4155BBFA">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15BCEEF7">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185AEC4F">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7ED5D028">
      <w:pPr>
        <w:pStyle w:val="35"/>
        <w:spacing w:line="578" w:lineRule="exact"/>
        <w:ind w:firstLine="640"/>
        <w:jc w:val="center"/>
        <w:rPr>
          <w:rFonts w:ascii="Times New Roman" w:hAnsi="Times New Roman"/>
          <w:color w:val="auto"/>
          <w:kern w:val="2"/>
          <w:sz w:val="32"/>
          <w:szCs w:val="32"/>
          <w:lang w:val="en-US"/>
        </w:rPr>
      </w:pPr>
    </w:p>
    <w:p w14:paraId="724FF4EC">
      <w:pPr>
        <w:pStyle w:val="35"/>
        <w:spacing w:line="578" w:lineRule="exact"/>
        <w:ind w:firstLine="640"/>
        <w:jc w:val="center"/>
        <w:rPr>
          <w:rFonts w:ascii="Times New Roman" w:hAnsi="Times New Roman"/>
          <w:color w:val="auto"/>
          <w:kern w:val="2"/>
          <w:sz w:val="32"/>
          <w:szCs w:val="32"/>
          <w:lang w:val="en-US"/>
        </w:rPr>
      </w:pPr>
    </w:p>
    <w:p w14:paraId="719BBABD">
      <w:pPr>
        <w:pStyle w:val="35"/>
        <w:spacing w:line="578" w:lineRule="exact"/>
        <w:ind w:firstLine="640"/>
        <w:jc w:val="center"/>
        <w:rPr>
          <w:rFonts w:ascii="Times New Roman" w:hAnsi="Times New Roman"/>
          <w:color w:val="auto"/>
          <w:kern w:val="2"/>
          <w:sz w:val="32"/>
          <w:szCs w:val="32"/>
          <w:lang w:val="en-US"/>
        </w:rPr>
      </w:pPr>
    </w:p>
    <w:p w14:paraId="639F45F4">
      <w:pPr>
        <w:pStyle w:val="35"/>
        <w:spacing w:line="578" w:lineRule="exact"/>
        <w:ind w:firstLine="640"/>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农贸市场提升改造专项预算项目</w:t>
      </w:r>
    </w:p>
    <w:p w14:paraId="31A60378">
      <w:pPr>
        <w:pStyle w:val="35"/>
        <w:spacing w:line="578" w:lineRule="exact"/>
        <w:ind w:firstLine="640"/>
        <w:jc w:val="center"/>
        <w:rPr>
          <w:rFonts w:ascii="Times New Roman" w:hAnsi="Times New Roman"/>
          <w:color w:val="auto"/>
          <w:kern w:val="2"/>
          <w:sz w:val="32"/>
          <w:szCs w:val="32"/>
        </w:rPr>
      </w:pPr>
      <w:r>
        <w:rPr>
          <w:rFonts w:hint="eastAsia" w:ascii="Times New Roman" w:hAnsi="Times New Roman" w:eastAsia="方正小标宋简体" w:cs="方正小标宋简体"/>
          <w:color w:val="auto"/>
          <w:kern w:val="2"/>
          <w:sz w:val="44"/>
          <w:szCs w:val="44"/>
          <w:lang w:val="en-US"/>
        </w:rPr>
        <w:t>绩效评价报告</w:t>
      </w:r>
    </w:p>
    <w:p w14:paraId="2D3ADDE0">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18F50FAE">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lang w:val="zh-CN"/>
        </w:rPr>
        <w:t>为解决</w:t>
      </w:r>
      <w:r>
        <w:rPr>
          <w:rFonts w:hint="eastAsia" w:eastAsia="仿宋_GB2312" w:cs="仿宋_GB2312"/>
          <w:kern w:val="0"/>
          <w:sz w:val="32"/>
          <w:szCs w:val="32"/>
        </w:rPr>
        <w:t>我县农贸市场及周边存在的环境卫生问题，包括但不限于乱停乱放、乱搭乱建、乱堆乱放、乱贴乱画、乱倒垃圾及补充完善标识标牌宣传栏等。同时，针对消防设施不规范、消防通道堵塞、店铺占道经营等问题进行专项治理。</w:t>
      </w:r>
      <w:r>
        <w:rPr>
          <w:rFonts w:hint="eastAsia" w:eastAsia="仿宋_GB2312" w:cs="仿宋_GB2312"/>
          <w:kern w:val="0"/>
          <w:sz w:val="32"/>
          <w:szCs w:val="32"/>
          <w:shd w:val="clear" w:color="auto" w:fill="FFFFFF"/>
          <w:lang w:val="zh-CN"/>
        </w:rPr>
        <w:t>针对这些问题进行集中治理，是提升城市文明程度、增强市民获得感和幸福感的迫切需要。</w:t>
      </w:r>
    </w:p>
    <w:p w14:paraId="78445AC7">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通过实施本项目，旨在改善市场内部环境卫生状况，解决市场内路面积水、油污、菜叶等垃圾问题，确保垃圾清运及时，提升市场整体环境水平。项目还将关注楼体、墙面的清洁与修复，增设公平秤，整治缆线杂乱、照明不足等问题，并规范广告招牌及公益广告的设置</w:t>
      </w:r>
      <w:r>
        <w:rPr>
          <w:rFonts w:hint="eastAsia" w:eastAsia="仿宋_GB2312" w:cs="仿宋_GB2312"/>
          <w:kern w:val="0"/>
          <w:sz w:val="32"/>
          <w:szCs w:val="32"/>
          <w:shd w:val="clear" w:color="auto" w:fill="FFFFFF"/>
          <w:lang w:val="zh-CN"/>
        </w:rPr>
        <w:t>。</w:t>
      </w:r>
    </w:p>
    <w:p w14:paraId="19A5CC0C">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w:t>
      </w:r>
      <w:r>
        <w:rPr>
          <w:rFonts w:hint="eastAsia" w:eastAsia="仿宋_GB2312" w:cs="仿宋_GB2312"/>
          <w:kern w:val="0"/>
          <w:sz w:val="32"/>
          <w:szCs w:val="32"/>
        </w:rPr>
        <w:t>3万元</w:t>
      </w:r>
      <w:r>
        <w:rPr>
          <w:rFonts w:hint="eastAsia" w:eastAsia="仿宋_GB2312" w:cs="仿宋_GB2312"/>
          <w:kern w:val="0"/>
          <w:sz w:val="32"/>
          <w:szCs w:val="32"/>
          <w:lang w:val="zh-CN"/>
        </w:rPr>
        <w:t>，清理市场内地面油污、积水等，维修楼体、墙面，焕新市场周围公益广告。</w:t>
      </w:r>
    </w:p>
    <w:p w14:paraId="6469A76D">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辖区内农贸市场周边公益广告宣传按市容市貌管理要求更新、安装。</w:t>
      </w:r>
    </w:p>
    <w:p w14:paraId="2BCC7D98">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078BDEC2">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辖区内农贸市场周边公益广告宣传按市容市貌管理要求更新、安装。</w:t>
      </w:r>
    </w:p>
    <w:p w14:paraId="5E38CD28">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重点在于项目申报内容与具体实施内容是否相符、申报目标是否合理可行。</w:t>
      </w:r>
    </w:p>
    <w:p w14:paraId="2042CC0B">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项目绩效自评所抽样点位符合。</w:t>
      </w:r>
    </w:p>
    <w:p w14:paraId="1B0DA22B">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根据项目情况和评价重点，采用单位自评法。</w:t>
      </w:r>
    </w:p>
    <w:p w14:paraId="00960753">
      <w:pPr>
        <w:spacing w:line="578" w:lineRule="exact"/>
        <w:ind w:firstLine="64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评价组人员由市场监督管理局交易秩序监督管理股4人构成。</w:t>
      </w:r>
    </w:p>
    <w:p w14:paraId="740B27CA">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693865A2">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3CBFEB8B">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4E16094B">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项目决策。按有关文件对辖区内农贸市场周边公益广告宣传画进行实时更新，合理分配使用资金。项目立项依据充分，决策程序规范，符合相关政策法规要求。</w:t>
      </w:r>
    </w:p>
    <w:p w14:paraId="287DD77A">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我单位加强对财政专项资金管理，严格按预算进度支付费用，各项经费支出严格按照政府采购、国库集中支付等有关规定执行，预算执行完成和控制较好。根据有关要求，成立绩效评价工作小组。专门负责该项经费的规范使用和日常监督工作。</w:t>
      </w:r>
    </w:p>
    <w:p w14:paraId="0AE3F9D9">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预算执行为</w:t>
      </w:r>
      <w:r>
        <w:rPr>
          <w:rFonts w:hint="eastAsia" w:eastAsia="仿宋_GB2312" w:cs="仿宋_GB2312"/>
          <w:kern w:val="0"/>
          <w:sz w:val="32"/>
          <w:szCs w:val="32"/>
        </w:rPr>
        <w:t>1.3157</w:t>
      </w:r>
      <w:r>
        <w:rPr>
          <w:rFonts w:hint="eastAsia" w:eastAsia="仿宋_GB2312" w:cs="仿宋_GB2312"/>
          <w:kern w:val="0"/>
          <w:sz w:val="32"/>
          <w:szCs w:val="32"/>
          <w:lang w:val="zh-CN"/>
        </w:rPr>
        <w:t>万元，预算执行率100%。</w:t>
      </w:r>
    </w:p>
    <w:p w14:paraId="01DAC8BB">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4.项目结果。按照市容市貌对农贸市场广告宣传的要求实时更新完毕</w:t>
      </w:r>
      <w:r>
        <w:rPr>
          <w:rFonts w:hint="eastAsia" w:eastAsia="仿宋_GB2312" w:cs="仿宋_GB2312"/>
          <w:kern w:val="0"/>
          <w:sz w:val="32"/>
          <w:szCs w:val="32"/>
          <w:lang w:val="zh-CN"/>
        </w:rPr>
        <w:t>。</w:t>
      </w:r>
    </w:p>
    <w:p w14:paraId="5B7EB1F5">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6D7D1287">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1.产业发展。通过张贴宣传诚信经营、文明摆摊、保供稳价、特色农</w:t>
      </w:r>
      <w:r>
        <w:rPr>
          <w:rFonts w:hint="eastAsia" w:eastAsia="仿宋_GB2312" w:cs="仿宋_GB2312"/>
          <w:kern w:val="0"/>
          <w:sz w:val="32"/>
          <w:szCs w:val="32"/>
          <w:lang w:eastAsia="zh-CN"/>
        </w:rPr>
        <w:t>产品</w:t>
      </w:r>
      <w:r>
        <w:rPr>
          <w:rFonts w:hint="eastAsia" w:eastAsia="仿宋_GB2312" w:cs="仿宋_GB2312"/>
          <w:kern w:val="0"/>
          <w:sz w:val="32"/>
          <w:szCs w:val="32"/>
        </w:rPr>
        <w:t>等公益广告，配合业主方管理规定形成合力，让市场从“无序”走向“有序”。</w:t>
      </w:r>
    </w:p>
    <w:p w14:paraId="6BF3CEA5">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以生动案例、公益宣传科普相关知识，让消费者“买</w:t>
      </w:r>
      <w:r>
        <w:rPr>
          <w:rFonts w:hint="eastAsia" w:eastAsia="仿宋_GB2312" w:cs="仿宋_GB2312"/>
          <w:kern w:val="0"/>
          <w:sz w:val="32"/>
          <w:szCs w:val="32"/>
          <w:lang w:eastAsia="zh-CN"/>
        </w:rPr>
        <w:t>得</w:t>
      </w:r>
      <w:r>
        <w:rPr>
          <w:rFonts w:hint="eastAsia" w:eastAsia="仿宋_GB2312" w:cs="仿宋_GB2312"/>
          <w:kern w:val="0"/>
          <w:sz w:val="32"/>
          <w:szCs w:val="32"/>
        </w:rPr>
        <w:t>放心、舒心”“吃得安心”，消除消费顾虑。</w:t>
      </w:r>
    </w:p>
    <w:p w14:paraId="08F13EB9">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3.基础设施。该项目未涉及基础设施</w:t>
      </w:r>
      <w:r>
        <w:rPr>
          <w:rFonts w:hint="eastAsia" w:eastAsia="仿宋_GB2312" w:cs="仿宋_GB2312"/>
          <w:kern w:val="0"/>
          <w:sz w:val="32"/>
          <w:szCs w:val="32"/>
          <w:lang w:val="zh-CN"/>
        </w:rPr>
        <w:t>。</w:t>
      </w:r>
    </w:p>
    <w:p w14:paraId="0A5FCCD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w:t>
      </w:r>
      <w:r>
        <w:rPr>
          <w:rFonts w:hint="eastAsia" w:eastAsia="仿宋_GB2312" w:cs="仿宋_GB2312"/>
          <w:kern w:val="0"/>
          <w:sz w:val="32"/>
          <w:szCs w:val="32"/>
          <w:lang w:val="zh-CN"/>
        </w:rPr>
        <w:t>行政运转。项目申报内容与具体实施内容相符、申报目标合理可行。</w:t>
      </w:r>
    </w:p>
    <w:p w14:paraId="1481629C">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农贸市场提升改造广告宣传制作费用到位</w:t>
      </w:r>
      <w:r>
        <w:rPr>
          <w:rFonts w:hint="eastAsia" w:eastAsia="仿宋_GB2312" w:cs="仿宋_GB2312"/>
          <w:kern w:val="0"/>
          <w:sz w:val="32"/>
          <w:szCs w:val="32"/>
        </w:rPr>
        <w:t>1.3157万元，到位率100%。</w:t>
      </w:r>
      <w:r>
        <w:rPr>
          <w:rFonts w:hint="eastAsia" w:eastAsia="仿宋_GB2312" w:cs="仿宋_GB2312"/>
          <w:kern w:val="0"/>
          <w:sz w:val="32"/>
          <w:szCs w:val="32"/>
          <w:lang w:val="zh-CN"/>
        </w:rPr>
        <w:t>。</w:t>
      </w:r>
    </w:p>
    <w:p w14:paraId="05D21F80">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68F821DD">
      <w:pPr>
        <w:spacing w:line="578" w:lineRule="exact"/>
        <w:ind w:firstLine="640"/>
        <w:rPr>
          <w:rFonts w:eastAsia="仿宋_GB2312" w:cs="仿宋_GB2312"/>
          <w:kern w:val="0"/>
          <w:sz w:val="32"/>
          <w:szCs w:val="32"/>
        </w:rPr>
      </w:pPr>
      <w:r>
        <w:rPr>
          <w:rFonts w:hint="eastAsia" w:eastAsia="仿宋_GB2312" w:cs="仿宋_GB2312"/>
          <w:kern w:val="0"/>
          <w:sz w:val="32"/>
          <w:szCs w:val="32"/>
        </w:rPr>
        <w:t>该项目自评总分100分。达到预期项目效益，通过张贴宣传诚信经营、文明摆摊、保供稳价、特色农</w:t>
      </w:r>
      <w:r>
        <w:rPr>
          <w:rFonts w:hint="eastAsia" w:eastAsia="仿宋_GB2312" w:cs="仿宋_GB2312"/>
          <w:kern w:val="0"/>
          <w:sz w:val="32"/>
          <w:szCs w:val="32"/>
          <w:lang w:eastAsia="zh-CN"/>
        </w:rPr>
        <w:t>产品</w:t>
      </w:r>
      <w:r>
        <w:rPr>
          <w:rFonts w:hint="eastAsia" w:eastAsia="仿宋_GB2312" w:cs="仿宋_GB2312"/>
          <w:kern w:val="0"/>
          <w:sz w:val="32"/>
          <w:szCs w:val="32"/>
        </w:rPr>
        <w:t>等公益广告，配合业主方管理规定形成合力，让市场从“无序”走向“有序”，让消费者“</w:t>
      </w:r>
      <w:r>
        <w:rPr>
          <w:rFonts w:hint="eastAsia" w:eastAsia="仿宋_GB2312" w:cs="仿宋_GB2312"/>
          <w:kern w:val="0"/>
          <w:sz w:val="32"/>
          <w:szCs w:val="32"/>
          <w:lang w:eastAsia="zh-CN"/>
        </w:rPr>
        <w:t>买得</w:t>
      </w:r>
      <w:r>
        <w:rPr>
          <w:rFonts w:hint="eastAsia" w:eastAsia="仿宋_GB2312" w:cs="仿宋_GB2312"/>
          <w:kern w:val="0"/>
          <w:sz w:val="32"/>
          <w:szCs w:val="32"/>
        </w:rPr>
        <w:t>放心、舒心”“吃得安心”，消除消费顾虑。</w:t>
      </w:r>
    </w:p>
    <w:p w14:paraId="50C5785E">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28A9CEFE">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7C25ABF2">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6306A94E">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4D73DAD2">
      <w:pPr>
        <w:pStyle w:val="10"/>
        <w:rPr>
          <w:rFonts w:eastAsia="仿宋_GB2312" w:cs="仿宋_GB2312"/>
          <w:kern w:val="0"/>
          <w:sz w:val="32"/>
          <w:szCs w:val="32"/>
        </w:rPr>
      </w:pPr>
    </w:p>
    <w:p w14:paraId="31EC8D77">
      <w:pPr>
        <w:pStyle w:val="10"/>
        <w:rPr>
          <w:rFonts w:eastAsia="仿宋_GB2312" w:cs="仿宋_GB2312"/>
          <w:kern w:val="0"/>
          <w:sz w:val="32"/>
          <w:szCs w:val="32"/>
        </w:rPr>
      </w:pPr>
    </w:p>
    <w:p w14:paraId="159C7E54">
      <w:pPr>
        <w:pStyle w:val="10"/>
        <w:rPr>
          <w:rFonts w:eastAsia="仿宋_GB2312" w:cs="仿宋_GB2312"/>
          <w:kern w:val="0"/>
          <w:sz w:val="32"/>
          <w:szCs w:val="32"/>
        </w:rPr>
      </w:pPr>
    </w:p>
    <w:p w14:paraId="58562184">
      <w:pPr>
        <w:pStyle w:val="10"/>
        <w:rPr>
          <w:rFonts w:eastAsia="仿宋_GB2312" w:cs="仿宋_GB2312"/>
          <w:kern w:val="0"/>
          <w:sz w:val="32"/>
          <w:szCs w:val="32"/>
        </w:rPr>
      </w:pPr>
    </w:p>
    <w:p w14:paraId="3C522F61">
      <w:pPr>
        <w:pStyle w:val="35"/>
        <w:spacing w:line="0" w:lineRule="atLeast"/>
        <w:jc w:val="center"/>
        <w:rPr>
          <w:rFonts w:ascii="Times New Roman" w:hAnsi="Times New Roman" w:eastAsia="方正小标宋简体" w:cs="方正小标宋简体"/>
          <w:color w:val="auto"/>
          <w:kern w:val="2"/>
          <w:sz w:val="44"/>
          <w:szCs w:val="44"/>
          <w:lang w:val="en-US"/>
        </w:rPr>
      </w:pPr>
      <w:r>
        <w:rPr>
          <w:rFonts w:ascii="Times New Roman" w:hAnsi="Times New Roman" w:eastAsia="方正小标宋简体"/>
          <w:sz w:val="44"/>
          <w:szCs w:val="44"/>
        </w:rPr>
        <w:t>首批投入运营的电动汽车充电枪计量检定专项预算项目绩效评价报告</w:t>
      </w:r>
    </w:p>
    <w:p w14:paraId="774BD761">
      <w:pPr>
        <w:pStyle w:val="35"/>
        <w:spacing w:line="0" w:lineRule="atLeast"/>
        <w:jc w:val="center"/>
        <w:rPr>
          <w:rFonts w:ascii="Times New Roman" w:hAnsi="Times New Roman"/>
          <w:color w:val="auto"/>
          <w:kern w:val="2"/>
          <w:sz w:val="32"/>
          <w:szCs w:val="32"/>
        </w:rPr>
      </w:pPr>
    </w:p>
    <w:p w14:paraId="15DE4D19">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4A8CD1F8">
      <w:pPr>
        <w:widowControl/>
        <w:spacing w:line="560" w:lineRule="exact"/>
        <w:ind w:firstLine="643" w:firstLineChars="200"/>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eastAsia="仿宋_GB2312"/>
          <w:sz w:val="32"/>
          <w:szCs w:val="32"/>
          <w:lang w:val="zh-CN"/>
        </w:rPr>
        <w:t>盐边</w:t>
      </w:r>
      <w:r>
        <w:rPr>
          <w:rFonts w:hint="eastAsia" w:eastAsia="仿宋_GB2312"/>
          <w:sz w:val="32"/>
          <w:szCs w:val="32"/>
          <w:lang w:val="zh-CN"/>
        </w:rPr>
        <w:t>县</w:t>
      </w:r>
      <w:r>
        <w:rPr>
          <w:rFonts w:eastAsia="仿宋_GB2312"/>
          <w:sz w:val="32"/>
          <w:szCs w:val="32"/>
          <w:lang w:val="zh-CN"/>
        </w:rPr>
        <w:t>市场监督管理局为认真贯彻落实</w:t>
      </w:r>
      <w:r>
        <w:rPr>
          <w:rFonts w:eastAsia="仿宋_GB2312"/>
          <w:sz w:val="32"/>
          <w:szCs w:val="32"/>
        </w:rPr>
        <w:t>《四川省市场监督管理局办公室关于印发&lt;四川省电动汽车充电桩计量检定实施方案&gt;的通知》</w:t>
      </w:r>
      <w:r>
        <w:rPr>
          <w:rFonts w:hint="eastAsia" w:eastAsia="仿宋_GB2312"/>
          <w:sz w:val="32"/>
          <w:szCs w:val="32"/>
        </w:rPr>
        <w:t>（川市监办〔2022〕107号）</w:t>
      </w:r>
      <w:r>
        <w:rPr>
          <w:rFonts w:eastAsia="仿宋_GB2312"/>
          <w:sz w:val="32"/>
          <w:szCs w:val="32"/>
        </w:rPr>
        <w:t>要求</w:t>
      </w:r>
      <w:r>
        <w:rPr>
          <w:rFonts w:hint="eastAsia" w:eastAsia="仿宋_GB2312"/>
          <w:sz w:val="32"/>
          <w:szCs w:val="32"/>
        </w:rPr>
        <w:t>：“</w:t>
      </w:r>
      <w:r>
        <w:rPr>
          <w:rFonts w:eastAsia="仿宋_GB2312"/>
          <w:sz w:val="32"/>
          <w:szCs w:val="32"/>
        </w:rPr>
        <w:t>自2023年1月1日起，用1</w:t>
      </w:r>
      <w:r>
        <w:rPr>
          <w:rFonts w:hint="eastAsia" w:eastAsia="仿宋_GB2312"/>
          <w:sz w:val="32"/>
          <w:szCs w:val="32"/>
        </w:rPr>
        <w:t>—</w:t>
      </w:r>
      <w:r>
        <w:rPr>
          <w:rFonts w:eastAsia="仿宋_GB2312"/>
          <w:sz w:val="32"/>
          <w:szCs w:val="32"/>
        </w:rPr>
        <w:t>3年时间完成全省存量</w:t>
      </w:r>
      <w:r>
        <w:rPr>
          <w:rFonts w:hint="eastAsia" w:eastAsia="仿宋_GB2312"/>
          <w:sz w:val="32"/>
          <w:szCs w:val="32"/>
        </w:rPr>
        <w:t>电动汽车</w:t>
      </w:r>
      <w:r>
        <w:rPr>
          <w:rFonts w:eastAsia="仿宋_GB2312"/>
          <w:sz w:val="32"/>
          <w:szCs w:val="32"/>
        </w:rPr>
        <w:t>充电桩的首次计量检定工作</w:t>
      </w:r>
      <w:r>
        <w:rPr>
          <w:rFonts w:hint="eastAsia" w:eastAsia="仿宋_GB2312"/>
          <w:sz w:val="32"/>
          <w:szCs w:val="32"/>
        </w:rPr>
        <w:t>。数量在1000只以下的地区原则上1年内完成检定工作。”，电动汽车充电桩属于强制管理的计量器具，按职责需由属地政府开展计量检定，经统计，我</w:t>
      </w:r>
      <w:r>
        <w:rPr>
          <w:rFonts w:eastAsia="仿宋_GB2312"/>
          <w:sz w:val="32"/>
          <w:szCs w:val="32"/>
        </w:rPr>
        <w:t>县</w:t>
      </w:r>
      <w:r>
        <w:rPr>
          <w:rFonts w:hint="eastAsia" w:eastAsia="仿宋_GB2312"/>
          <w:sz w:val="32"/>
          <w:szCs w:val="32"/>
        </w:rPr>
        <w:t>首批投入运营的充电枪共82只，现需将82只充电枪全部完成检定。</w:t>
      </w:r>
    </w:p>
    <w:p w14:paraId="3DAA2721">
      <w:pPr>
        <w:adjustRightInd w:val="0"/>
        <w:snapToGrid w:val="0"/>
        <w:spacing w:line="578" w:lineRule="exact"/>
        <w:ind w:firstLine="643" w:firstLineChars="200"/>
        <w:rPr>
          <w:rFonts w:eastAsia="楷体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该项目旨在</w:t>
      </w:r>
      <w:r>
        <w:rPr>
          <w:rFonts w:hint="eastAsia" w:eastAsia="仿宋_GB2312"/>
          <w:sz w:val="32"/>
          <w:szCs w:val="32"/>
        </w:rPr>
        <w:t>保障我县新能源</w:t>
      </w:r>
      <w:r>
        <w:rPr>
          <w:rFonts w:eastAsia="仿宋_GB2312"/>
          <w:sz w:val="32"/>
          <w:szCs w:val="32"/>
        </w:rPr>
        <w:t>汽车充电桩的</w:t>
      </w:r>
      <w:r>
        <w:rPr>
          <w:rFonts w:hint="eastAsia" w:eastAsia="仿宋_GB2312"/>
          <w:sz w:val="32"/>
          <w:szCs w:val="32"/>
        </w:rPr>
        <w:t>安全运行和正常使用</w:t>
      </w:r>
      <w:r>
        <w:rPr>
          <w:rFonts w:eastAsia="仿宋_GB2312"/>
          <w:sz w:val="32"/>
          <w:szCs w:val="32"/>
        </w:rPr>
        <w:t>，确保充电桩的</w:t>
      </w:r>
      <w:r>
        <w:rPr>
          <w:rFonts w:hint="eastAsia" w:eastAsia="仿宋_GB2312"/>
          <w:sz w:val="32"/>
          <w:szCs w:val="32"/>
        </w:rPr>
        <w:t>计量准确</w:t>
      </w:r>
      <w:r>
        <w:rPr>
          <w:rFonts w:eastAsia="仿宋_GB2312"/>
          <w:sz w:val="32"/>
          <w:szCs w:val="32"/>
        </w:rPr>
        <w:t>和交易的公平公正</w:t>
      </w:r>
      <w:r>
        <w:rPr>
          <w:rFonts w:hint="eastAsia" w:eastAsia="仿宋_GB2312"/>
          <w:sz w:val="32"/>
          <w:szCs w:val="32"/>
        </w:rPr>
        <w:t>，</w:t>
      </w:r>
      <w:r>
        <w:rPr>
          <w:rFonts w:eastAsia="仿宋_GB2312"/>
          <w:sz w:val="32"/>
          <w:szCs w:val="32"/>
          <w:lang w:val="zh-CN"/>
        </w:rPr>
        <w:t>保护消费者的合法权益</w:t>
      </w:r>
      <w:r>
        <w:rPr>
          <w:rFonts w:hint="eastAsia" w:eastAsia="仿宋_GB2312"/>
          <w:sz w:val="32"/>
          <w:szCs w:val="32"/>
          <w:lang w:val="zh-CN"/>
        </w:rPr>
        <w:t>。</w:t>
      </w:r>
    </w:p>
    <w:p w14:paraId="26451DD1">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sz w:val="32"/>
          <w:szCs w:val="32"/>
          <w:lang w:val="zh-CN"/>
        </w:rPr>
        <w:t>202</w:t>
      </w:r>
      <w:r>
        <w:rPr>
          <w:rFonts w:hint="eastAsia" w:eastAsia="仿宋_GB2312"/>
          <w:sz w:val="32"/>
          <w:szCs w:val="32"/>
        </w:rPr>
        <w:t>4</w:t>
      </w:r>
      <w:r>
        <w:rPr>
          <w:rFonts w:eastAsia="仿宋_GB2312"/>
          <w:sz w:val="32"/>
          <w:szCs w:val="32"/>
          <w:lang w:val="zh-CN"/>
        </w:rPr>
        <w:t>年项目预算总资金为</w:t>
      </w:r>
      <w:r>
        <w:rPr>
          <w:rFonts w:hint="eastAsia" w:eastAsia="仿宋_GB2312"/>
          <w:sz w:val="32"/>
          <w:szCs w:val="32"/>
        </w:rPr>
        <w:t>3.28</w:t>
      </w:r>
      <w:r>
        <w:rPr>
          <w:rFonts w:eastAsia="仿宋_GB2312"/>
          <w:sz w:val="32"/>
          <w:szCs w:val="32"/>
          <w:lang w:val="zh-CN"/>
        </w:rPr>
        <w:t>万元，下达我单位</w:t>
      </w:r>
      <w:r>
        <w:rPr>
          <w:rFonts w:hint="eastAsia" w:eastAsia="仿宋_GB2312"/>
          <w:sz w:val="32"/>
          <w:szCs w:val="32"/>
          <w:lang w:val="zh-CN"/>
        </w:rPr>
        <w:t>充电枪检定</w:t>
      </w:r>
      <w:r>
        <w:rPr>
          <w:rFonts w:eastAsia="仿宋_GB2312"/>
          <w:sz w:val="32"/>
          <w:szCs w:val="32"/>
          <w:lang w:val="zh-CN"/>
        </w:rPr>
        <w:t>项目经费共计</w:t>
      </w:r>
      <w:r>
        <w:rPr>
          <w:rFonts w:hint="eastAsia" w:eastAsia="仿宋_GB2312"/>
          <w:sz w:val="32"/>
          <w:szCs w:val="32"/>
        </w:rPr>
        <w:t>3.28</w:t>
      </w:r>
      <w:r>
        <w:rPr>
          <w:rFonts w:eastAsia="仿宋_GB2312"/>
          <w:sz w:val="32"/>
          <w:szCs w:val="32"/>
          <w:lang w:val="zh-CN"/>
        </w:rPr>
        <w:t>万元。</w:t>
      </w:r>
    </w:p>
    <w:p w14:paraId="0A4D96C2">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根据我县</w:t>
      </w:r>
      <w:r>
        <w:rPr>
          <w:rFonts w:hint="eastAsia" w:eastAsia="仿宋_GB2312"/>
          <w:sz w:val="32"/>
          <w:szCs w:val="32"/>
        </w:rPr>
        <w:t>首批投入运营的充电枪实际运营情况，需完成82</w:t>
      </w:r>
      <w:r>
        <w:rPr>
          <w:rFonts w:hint="eastAsia" w:eastAsia="仿宋_GB2312"/>
          <w:sz w:val="32"/>
          <w:szCs w:val="32"/>
          <w:lang w:eastAsia="zh-CN"/>
        </w:rPr>
        <w:t>支</w:t>
      </w:r>
      <w:r>
        <w:rPr>
          <w:rFonts w:hint="eastAsia" w:eastAsia="仿宋_GB2312"/>
          <w:sz w:val="32"/>
          <w:szCs w:val="32"/>
        </w:rPr>
        <w:t>充电枪的检定任务。</w:t>
      </w:r>
    </w:p>
    <w:p w14:paraId="270B11C5">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70C06253">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sz w:val="32"/>
          <w:szCs w:val="32"/>
          <w:lang w:val="zh-CN"/>
        </w:rPr>
        <w:t>对</w:t>
      </w:r>
      <w:r>
        <w:rPr>
          <w:rFonts w:hint="eastAsia" w:eastAsia="仿宋_GB2312"/>
          <w:sz w:val="32"/>
          <w:szCs w:val="32"/>
        </w:rPr>
        <w:t>投入运营的82</w:t>
      </w:r>
      <w:r>
        <w:rPr>
          <w:rFonts w:hint="eastAsia" w:eastAsia="仿宋_GB2312"/>
          <w:sz w:val="32"/>
          <w:szCs w:val="32"/>
          <w:lang w:eastAsia="zh-CN"/>
        </w:rPr>
        <w:t>支</w:t>
      </w:r>
      <w:r>
        <w:rPr>
          <w:rFonts w:hint="eastAsia" w:eastAsia="仿宋_GB2312"/>
          <w:sz w:val="32"/>
          <w:szCs w:val="32"/>
        </w:rPr>
        <w:t>充电枪全部完成检定</w:t>
      </w:r>
      <w:r>
        <w:rPr>
          <w:rFonts w:hint="eastAsia" w:eastAsia="仿宋_GB2312" w:cs="仿宋_GB2312"/>
          <w:kern w:val="0"/>
          <w:sz w:val="32"/>
          <w:szCs w:val="32"/>
          <w:lang w:val="zh-CN"/>
        </w:rPr>
        <w:t>，确保</w:t>
      </w:r>
      <w:r>
        <w:rPr>
          <w:rFonts w:hint="eastAsia" w:eastAsia="仿宋_GB2312"/>
          <w:sz w:val="32"/>
          <w:szCs w:val="32"/>
        </w:rPr>
        <w:t>我县新能源</w:t>
      </w:r>
      <w:r>
        <w:rPr>
          <w:rFonts w:eastAsia="仿宋_GB2312"/>
          <w:sz w:val="32"/>
          <w:szCs w:val="32"/>
        </w:rPr>
        <w:t>汽车充电桩的</w:t>
      </w:r>
      <w:r>
        <w:rPr>
          <w:rFonts w:hint="eastAsia" w:eastAsia="仿宋_GB2312"/>
          <w:sz w:val="32"/>
          <w:szCs w:val="32"/>
        </w:rPr>
        <w:t>安全运行和正常使用。</w:t>
      </w:r>
    </w:p>
    <w:p w14:paraId="289A4B08">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eastAsia="仿宋_GB2312"/>
          <w:sz w:val="32"/>
          <w:szCs w:val="32"/>
          <w:lang w:val="zh-CN"/>
        </w:rPr>
        <w:t>重点在于确保项目申报内容与具体实施内容相符、申报目标合理可行。项目实施结果</w:t>
      </w:r>
      <w:r>
        <w:rPr>
          <w:rFonts w:hint="eastAsia" w:eastAsia="仿宋_GB2312"/>
          <w:sz w:val="32"/>
          <w:szCs w:val="32"/>
          <w:lang w:val="zh-CN"/>
        </w:rPr>
        <w:t>达到</w:t>
      </w:r>
      <w:r>
        <w:rPr>
          <w:rFonts w:eastAsia="仿宋_GB2312"/>
          <w:sz w:val="32"/>
          <w:szCs w:val="32"/>
          <w:lang w:val="zh-CN"/>
        </w:rPr>
        <w:t>预期</w:t>
      </w:r>
      <w:r>
        <w:rPr>
          <w:rFonts w:hint="eastAsia" w:eastAsia="仿宋_GB2312"/>
          <w:sz w:val="32"/>
          <w:szCs w:val="32"/>
          <w:lang w:val="zh-CN"/>
        </w:rPr>
        <w:t>。</w:t>
      </w:r>
    </w:p>
    <w:p w14:paraId="01D858FD">
      <w:pPr>
        <w:spacing w:line="578" w:lineRule="exact"/>
        <w:ind w:firstLine="640"/>
        <w:rPr>
          <w:rFonts w:eastAsia="仿宋_GB2312"/>
          <w:sz w:val="32"/>
          <w:szCs w:val="32"/>
          <w:lang w:val="zh-CN"/>
        </w:rPr>
      </w:pPr>
      <w:r>
        <w:rPr>
          <w:rFonts w:hint="eastAsia" w:eastAsia="楷体_GB2312"/>
          <w:b/>
          <w:sz w:val="32"/>
          <w:szCs w:val="32"/>
          <w:lang w:val="zh-CN"/>
        </w:rPr>
        <w:t>（三）评价选点。</w:t>
      </w:r>
      <w:r>
        <w:rPr>
          <w:rFonts w:eastAsia="仿宋_GB2312"/>
          <w:sz w:val="32"/>
          <w:szCs w:val="32"/>
          <w:lang w:val="zh-CN"/>
        </w:rPr>
        <w:t>项目绩效自评所抽样点位符合。</w:t>
      </w:r>
    </w:p>
    <w:p w14:paraId="02151B65">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eastAsia="仿宋_GB2312"/>
          <w:sz w:val="32"/>
          <w:szCs w:val="32"/>
          <w:lang w:val="zh-CN"/>
        </w:rPr>
        <w:t>根据项目情况和评价重点，采用单位自评法。</w:t>
      </w:r>
    </w:p>
    <w:p w14:paraId="2BAA42A9">
      <w:pPr>
        <w:spacing w:line="578" w:lineRule="exact"/>
        <w:ind w:firstLine="640"/>
        <w:rPr>
          <w:rFonts w:eastAsia="仿宋_GB2312"/>
          <w:bCs/>
        </w:rPr>
      </w:pPr>
      <w:r>
        <w:rPr>
          <w:rFonts w:hint="eastAsia" w:eastAsia="楷体_GB2312"/>
          <w:b/>
          <w:sz w:val="32"/>
          <w:szCs w:val="32"/>
          <w:lang w:val="zh-CN"/>
        </w:rPr>
        <w:t>（五）评价组织。</w:t>
      </w:r>
      <w:r>
        <w:rPr>
          <w:rFonts w:eastAsia="仿宋_GB2312"/>
          <w:sz w:val="32"/>
          <w:szCs w:val="32"/>
          <w:lang w:val="zh-CN"/>
        </w:rPr>
        <w:t>盐边县市场监督管理局</w:t>
      </w:r>
      <w:r>
        <w:rPr>
          <w:rFonts w:hint="eastAsia" w:eastAsia="仿宋_GB2312"/>
          <w:sz w:val="32"/>
          <w:szCs w:val="32"/>
          <w:lang w:val="zh-CN"/>
        </w:rPr>
        <w:t>质量发展与认证认可股</w:t>
      </w:r>
      <w:r>
        <w:rPr>
          <w:rFonts w:eastAsia="仿宋_GB2312"/>
          <w:sz w:val="32"/>
          <w:szCs w:val="32"/>
          <w:lang w:val="zh-CN"/>
        </w:rPr>
        <w:t>工作人员</w:t>
      </w:r>
      <w:r>
        <w:rPr>
          <w:rFonts w:eastAsia="仿宋_GB2312"/>
          <w:sz w:val="32"/>
          <w:szCs w:val="32"/>
        </w:rPr>
        <w:t>2</w:t>
      </w:r>
      <w:r>
        <w:rPr>
          <w:rFonts w:eastAsia="仿宋_GB2312"/>
          <w:sz w:val="32"/>
          <w:szCs w:val="32"/>
          <w:lang w:val="zh-CN"/>
        </w:rPr>
        <w:t>人</w:t>
      </w:r>
      <w:r>
        <w:rPr>
          <w:rFonts w:hint="eastAsia" w:eastAsia="仿宋_GB2312" w:cs="仿宋_GB2312"/>
          <w:kern w:val="0"/>
          <w:sz w:val="32"/>
          <w:szCs w:val="32"/>
          <w:lang w:val="zh-CN"/>
        </w:rPr>
        <w:t>。</w:t>
      </w:r>
    </w:p>
    <w:p w14:paraId="63ACA1F8">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6779266B">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1E17AE2">
      <w:pPr>
        <w:spacing w:line="578" w:lineRule="exact"/>
        <w:ind w:firstLine="640"/>
        <w:rPr>
          <w:rFonts w:eastAsia="仿宋_GB2312"/>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eastAsia="仿宋_GB2312"/>
          <w:sz w:val="32"/>
          <w:szCs w:val="32"/>
          <w:lang w:val="zh-CN"/>
        </w:rPr>
        <w:t>项目立项依据充分，决策程序规范，符合相关政策法规要求。盐边</w:t>
      </w:r>
      <w:r>
        <w:rPr>
          <w:rFonts w:hint="eastAsia" w:eastAsia="仿宋_GB2312"/>
          <w:sz w:val="32"/>
          <w:szCs w:val="32"/>
          <w:lang w:val="zh-CN"/>
        </w:rPr>
        <w:t>县</w:t>
      </w:r>
      <w:r>
        <w:rPr>
          <w:rFonts w:eastAsia="仿宋_GB2312"/>
          <w:sz w:val="32"/>
          <w:szCs w:val="32"/>
          <w:lang w:val="zh-CN"/>
        </w:rPr>
        <w:t>市场监督管理局为认真贯彻落实</w:t>
      </w:r>
      <w:r>
        <w:rPr>
          <w:rFonts w:eastAsia="仿宋_GB2312"/>
          <w:sz w:val="32"/>
          <w:szCs w:val="32"/>
        </w:rPr>
        <w:t>《四川省市场监督管理局办公室关于印发&lt;四川省电动汽车充电桩计量检定实施方案&gt;的通知》</w:t>
      </w:r>
      <w:r>
        <w:rPr>
          <w:rFonts w:hint="eastAsia" w:eastAsia="仿宋_GB2312"/>
          <w:sz w:val="32"/>
          <w:szCs w:val="32"/>
        </w:rPr>
        <w:t>（川市监办〔2022〕107号）</w:t>
      </w:r>
      <w:r>
        <w:rPr>
          <w:rFonts w:eastAsia="仿宋_GB2312"/>
          <w:sz w:val="32"/>
          <w:szCs w:val="32"/>
        </w:rPr>
        <w:t>要求</w:t>
      </w:r>
      <w:r>
        <w:rPr>
          <w:rFonts w:hint="eastAsia" w:eastAsia="仿宋_GB2312"/>
          <w:sz w:val="32"/>
          <w:szCs w:val="32"/>
          <w:lang w:val="zh-CN"/>
        </w:rPr>
        <w:t>，</w:t>
      </w:r>
      <w:r>
        <w:rPr>
          <w:rFonts w:eastAsia="仿宋_GB2312"/>
          <w:sz w:val="32"/>
          <w:szCs w:val="32"/>
          <w:lang w:val="zh-CN"/>
        </w:rPr>
        <w:t>科学决策，合理申报目标。</w:t>
      </w:r>
    </w:p>
    <w:p w14:paraId="121FAE32">
      <w:pPr>
        <w:spacing w:line="578" w:lineRule="exact"/>
        <w:ind w:firstLine="640"/>
        <w:rPr>
          <w:rFonts w:eastAsia="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eastAsia="仿宋_GB2312"/>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5A8C5D50">
      <w:pPr>
        <w:spacing w:line="578" w:lineRule="exact"/>
        <w:ind w:firstLine="640"/>
        <w:rPr>
          <w:rFonts w:eastAsia="仿宋_GB2312"/>
          <w:sz w:val="32"/>
          <w:szCs w:val="32"/>
          <w:lang w:val="zh-CN"/>
        </w:rPr>
      </w:pPr>
      <w:r>
        <w:rPr>
          <w:rFonts w:hint="eastAsia" w:eastAsia="仿宋_GB2312" w:cs="仿宋_GB2312"/>
          <w:kern w:val="0"/>
          <w:sz w:val="32"/>
          <w:szCs w:val="32"/>
        </w:rPr>
        <w:t>3.项目实施。按要求</w:t>
      </w:r>
      <w:r>
        <w:rPr>
          <w:rFonts w:hint="eastAsia" w:eastAsia="仿宋_GB2312"/>
          <w:sz w:val="32"/>
          <w:szCs w:val="32"/>
          <w:lang w:val="zh-CN"/>
        </w:rPr>
        <w:t>对</w:t>
      </w:r>
      <w:r>
        <w:rPr>
          <w:rFonts w:hint="eastAsia" w:eastAsia="仿宋_GB2312" w:cs="仿宋_GB2312"/>
          <w:kern w:val="0"/>
          <w:sz w:val="32"/>
          <w:szCs w:val="32"/>
          <w:lang w:val="zh-CN"/>
        </w:rPr>
        <w:t>我县</w:t>
      </w:r>
      <w:r>
        <w:rPr>
          <w:rFonts w:hint="eastAsia" w:eastAsia="仿宋_GB2312"/>
          <w:sz w:val="32"/>
          <w:szCs w:val="32"/>
        </w:rPr>
        <w:t>首批投入运营的82</w:t>
      </w:r>
      <w:r>
        <w:rPr>
          <w:rFonts w:hint="eastAsia" w:eastAsia="仿宋_GB2312"/>
          <w:sz w:val="32"/>
          <w:szCs w:val="32"/>
          <w:lang w:eastAsia="zh-CN"/>
        </w:rPr>
        <w:t>支</w:t>
      </w:r>
      <w:r>
        <w:rPr>
          <w:rFonts w:hint="eastAsia" w:eastAsia="仿宋_GB2312"/>
          <w:sz w:val="32"/>
          <w:szCs w:val="32"/>
        </w:rPr>
        <w:t>充电枪开展检定</w:t>
      </w:r>
      <w:r>
        <w:rPr>
          <w:rFonts w:hint="eastAsia" w:eastAsia="仿宋_GB2312"/>
          <w:sz w:val="32"/>
          <w:szCs w:val="32"/>
          <w:lang w:val="zh-CN"/>
        </w:rPr>
        <w:t>。</w:t>
      </w:r>
    </w:p>
    <w:p w14:paraId="21B082EE">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w:t>
      </w:r>
      <w:r>
        <w:rPr>
          <w:rFonts w:hint="eastAsia" w:eastAsia="仿宋_GB2312"/>
          <w:sz w:val="32"/>
          <w:szCs w:val="32"/>
          <w:lang w:val="zh-CN"/>
        </w:rPr>
        <w:t>完成</w:t>
      </w:r>
      <w:r>
        <w:rPr>
          <w:rFonts w:hint="eastAsia" w:eastAsia="仿宋_GB2312" w:cs="仿宋_GB2312"/>
          <w:kern w:val="0"/>
          <w:sz w:val="32"/>
          <w:szCs w:val="32"/>
          <w:lang w:val="zh-CN"/>
        </w:rPr>
        <w:t>我县</w:t>
      </w:r>
      <w:r>
        <w:rPr>
          <w:rFonts w:hint="eastAsia" w:eastAsia="仿宋_GB2312"/>
          <w:sz w:val="32"/>
          <w:szCs w:val="32"/>
        </w:rPr>
        <w:t>首批投入运营的82</w:t>
      </w:r>
      <w:r>
        <w:rPr>
          <w:rFonts w:hint="eastAsia" w:eastAsia="仿宋_GB2312"/>
          <w:sz w:val="32"/>
          <w:szCs w:val="32"/>
          <w:lang w:eastAsia="zh-CN"/>
        </w:rPr>
        <w:t>支</w:t>
      </w:r>
      <w:r>
        <w:rPr>
          <w:rFonts w:hint="eastAsia" w:eastAsia="仿宋_GB2312"/>
          <w:sz w:val="32"/>
          <w:szCs w:val="32"/>
        </w:rPr>
        <w:t>充电枪检定任务</w:t>
      </w:r>
      <w:r>
        <w:rPr>
          <w:rFonts w:eastAsia="仿宋_GB2312"/>
          <w:sz w:val="32"/>
          <w:szCs w:val="32"/>
          <w:lang w:val="zh-CN"/>
        </w:rPr>
        <w:t>，</w:t>
      </w:r>
      <w:r>
        <w:rPr>
          <w:rFonts w:hint="eastAsia" w:eastAsia="仿宋_GB2312"/>
          <w:sz w:val="32"/>
          <w:szCs w:val="32"/>
        </w:rPr>
        <w:t>保障我县新能源</w:t>
      </w:r>
      <w:r>
        <w:rPr>
          <w:rFonts w:eastAsia="仿宋_GB2312"/>
          <w:sz w:val="32"/>
          <w:szCs w:val="32"/>
        </w:rPr>
        <w:t>汽车充电桩的</w:t>
      </w:r>
      <w:r>
        <w:rPr>
          <w:rFonts w:hint="eastAsia" w:eastAsia="仿宋_GB2312"/>
          <w:sz w:val="32"/>
          <w:szCs w:val="32"/>
        </w:rPr>
        <w:t>安全运行和正常使用</w:t>
      </w:r>
      <w:r>
        <w:rPr>
          <w:rFonts w:eastAsia="仿宋_GB2312"/>
          <w:sz w:val="32"/>
          <w:szCs w:val="32"/>
        </w:rPr>
        <w:t>，确保充电桩的</w:t>
      </w:r>
      <w:r>
        <w:rPr>
          <w:rFonts w:hint="eastAsia" w:eastAsia="仿宋_GB2312"/>
          <w:sz w:val="32"/>
          <w:szCs w:val="32"/>
        </w:rPr>
        <w:t>计量准确</w:t>
      </w:r>
      <w:r>
        <w:rPr>
          <w:rFonts w:eastAsia="仿宋_GB2312"/>
          <w:sz w:val="32"/>
          <w:szCs w:val="32"/>
        </w:rPr>
        <w:t>和交易的公平公正</w:t>
      </w:r>
      <w:r>
        <w:rPr>
          <w:rFonts w:hint="eastAsia" w:eastAsia="仿宋_GB2312"/>
          <w:sz w:val="32"/>
          <w:szCs w:val="32"/>
        </w:rPr>
        <w:t>，</w:t>
      </w:r>
      <w:r>
        <w:rPr>
          <w:rFonts w:eastAsia="仿宋_GB2312"/>
          <w:sz w:val="32"/>
          <w:szCs w:val="32"/>
          <w:lang w:val="zh-CN"/>
        </w:rPr>
        <w:t>保护消费者的合法权益，群众满意度不低于90%</w:t>
      </w:r>
      <w:r>
        <w:rPr>
          <w:rFonts w:hint="eastAsia" w:eastAsia="仿宋_GB2312"/>
          <w:sz w:val="32"/>
          <w:szCs w:val="32"/>
          <w:lang w:val="zh-CN"/>
        </w:rPr>
        <w:t>。</w:t>
      </w:r>
    </w:p>
    <w:p w14:paraId="3DC57DAD">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7F36AA17">
      <w:pPr>
        <w:spacing w:line="578" w:lineRule="exact"/>
        <w:ind w:firstLine="640"/>
        <w:rPr>
          <w:rFonts w:eastAsia="仿宋_GB2312"/>
          <w:sz w:val="32"/>
          <w:szCs w:val="32"/>
          <w:lang w:val="zh-CN"/>
        </w:rPr>
      </w:pPr>
      <w:r>
        <w:rPr>
          <w:rFonts w:hint="eastAsia" w:eastAsia="仿宋_GB2312" w:cs="仿宋_GB2312"/>
          <w:kern w:val="0"/>
          <w:sz w:val="32"/>
          <w:szCs w:val="32"/>
        </w:rPr>
        <w:t>1.产业发展。</w:t>
      </w:r>
      <w:r>
        <w:rPr>
          <w:rFonts w:eastAsia="仿宋_GB2312"/>
          <w:sz w:val="32"/>
          <w:szCs w:val="32"/>
          <w:lang w:val="zh-CN"/>
        </w:rPr>
        <w:t>规范</w:t>
      </w:r>
      <w:r>
        <w:rPr>
          <w:rFonts w:hint="eastAsia" w:eastAsia="仿宋_GB2312"/>
          <w:sz w:val="32"/>
          <w:szCs w:val="32"/>
          <w:lang w:val="zh-CN"/>
        </w:rPr>
        <w:t>我县充电桩</w:t>
      </w:r>
      <w:r>
        <w:rPr>
          <w:rFonts w:eastAsia="仿宋_GB2312"/>
          <w:sz w:val="32"/>
          <w:szCs w:val="32"/>
          <w:lang w:val="zh-CN"/>
        </w:rPr>
        <w:t>市场秩序，维护市场稳定，</w:t>
      </w:r>
      <w:r>
        <w:rPr>
          <w:rFonts w:hint="eastAsia" w:eastAsia="仿宋_GB2312"/>
          <w:sz w:val="32"/>
          <w:szCs w:val="32"/>
          <w:lang w:val="zh-CN"/>
        </w:rPr>
        <w:t>促进我县新能源充电桩产业健康发展。</w:t>
      </w:r>
    </w:p>
    <w:p w14:paraId="276551F6">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sz w:val="32"/>
          <w:szCs w:val="32"/>
        </w:rPr>
        <w:t>保障我县新能源</w:t>
      </w:r>
      <w:r>
        <w:rPr>
          <w:rFonts w:eastAsia="仿宋_GB2312"/>
          <w:sz w:val="32"/>
          <w:szCs w:val="32"/>
        </w:rPr>
        <w:t>汽车充电桩的</w:t>
      </w:r>
      <w:r>
        <w:rPr>
          <w:rFonts w:hint="eastAsia" w:eastAsia="仿宋_GB2312"/>
          <w:sz w:val="32"/>
          <w:szCs w:val="32"/>
        </w:rPr>
        <w:t>安全运行和正常使用</w:t>
      </w:r>
      <w:r>
        <w:rPr>
          <w:rFonts w:eastAsia="仿宋_GB2312"/>
          <w:sz w:val="32"/>
          <w:szCs w:val="32"/>
        </w:rPr>
        <w:t>，确保充电桩的</w:t>
      </w:r>
      <w:r>
        <w:rPr>
          <w:rFonts w:hint="eastAsia" w:eastAsia="仿宋_GB2312"/>
          <w:sz w:val="32"/>
          <w:szCs w:val="32"/>
        </w:rPr>
        <w:t>计量准确</w:t>
      </w:r>
      <w:r>
        <w:rPr>
          <w:rFonts w:eastAsia="仿宋_GB2312"/>
          <w:sz w:val="32"/>
          <w:szCs w:val="32"/>
        </w:rPr>
        <w:t>和交易的公平公正</w:t>
      </w:r>
      <w:r>
        <w:rPr>
          <w:rFonts w:hint="eastAsia" w:eastAsia="仿宋_GB2312"/>
          <w:sz w:val="32"/>
          <w:szCs w:val="32"/>
        </w:rPr>
        <w:t>，</w:t>
      </w:r>
      <w:r>
        <w:rPr>
          <w:rFonts w:eastAsia="仿宋_GB2312"/>
          <w:sz w:val="32"/>
          <w:szCs w:val="32"/>
          <w:lang w:val="zh-CN"/>
        </w:rPr>
        <w:t>保护消费者的合法权益</w:t>
      </w:r>
      <w:r>
        <w:rPr>
          <w:rFonts w:hint="eastAsia" w:eastAsia="仿宋_GB2312"/>
          <w:sz w:val="32"/>
          <w:szCs w:val="32"/>
        </w:rPr>
        <w:t>。</w:t>
      </w:r>
    </w:p>
    <w:p w14:paraId="58ACF3CA">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w:t>
      </w:r>
      <w:r>
        <w:rPr>
          <w:rFonts w:hint="eastAsia" w:eastAsia="仿宋_GB2312" w:cs="仿宋_GB2312"/>
          <w:kern w:val="0"/>
          <w:sz w:val="32"/>
          <w:szCs w:val="32"/>
          <w:lang w:val="zh-CN"/>
        </w:rPr>
        <w:t>我县</w:t>
      </w:r>
      <w:r>
        <w:rPr>
          <w:rFonts w:hint="eastAsia" w:eastAsia="仿宋_GB2312"/>
          <w:sz w:val="32"/>
          <w:szCs w:val="32"/>
        </w:rPr>
        <w:t>首批投入运营的82</w:t>
      </w:r>
      <w:r>
        <w:rPr>
          <w:rFonts w:hint="eastAsia" w:eastAsia="仿宋_GB2312"/>
          <w:sz w:val="32"/>
          <w:szCs w:val="32"/>
          <w:lang w:eastAsia="zh-CN"/>
        </w:rPr>
        <w:t>支</w:t>
      </w:r>
      <w:r>
        <w:rPr>
          <w:rFonts w:hint="eastAsia" w:eastAsia="仿宋_GB2312"/>
          <w:sz w:val="32"/>
          <w:szCs w:val="32"/>
        </w:rPr>
        <w:t>充电枪检定任务已全部完成，保障了我县新能源</w:t>
      </w:r>
      <w:r>
        <w:rPr>
          <w:rFonts w:eastAsia="仿宋_GB2312"/>
          <w:sz w:val="32"/>
          <w:szCs w:val="32"/>
        </w:rPr>
        <w:t>汽车充电桩的</w:t>
      </w:r>
      <w:r>
        <w:rPr>
          <w:rFonts w:hint="eastAsia" w:eastAsia="仿宋_GB2312"/>
          <w:sz w:val="32"/>
          <w:szCs w:val="32"/>
        </w:rPr>
        <w:t>安全运行和正常使用。</w:t>
      </w:r>
    </w:p>
    <w:p w14:paraId="37AA546E">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w:t>
      </w:r>
      <w:r>
        <w:rPr>
          <w:rFonts w:eastAsia="仿宋_GB2312"/>
          <w:sz w:val="32"/>
          <w:szCs w:val="32"/>
          <w:lang w:val="zh-CN"/>
        </w:rPr>
        <w:t>目申报内容与具体实施内容相符、申报目标合理可行。项目实施过程中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5D9196EB">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该项目无个性指标。</w:t>
      </w:r>
    </w:p>
    <w:p w14:paraId="0DD4EBD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7F680BB0">
      <w:pPr>
        <w:pStyle w:val="10"/>
        <w:ind w:firstLine="640" w:firstLineChars="200"/>
      </w:pPr>
      <w:r>
        <w:rPr>
          <w:rFonts w:hAnsi="Times New Roman" w:eastAsia="仿宋_GB2312" w:cs="Times New Roman"/>
          <w:sz w:val="32"/>
          <w:szCs w:val="32"/>
          <w:lang w:val="zh-CN"/>
        </w:rPr>
        <w:t>该项目自评总分</w:t>
      </w:r>
      <w:r>
        <w:rPr>
          <w:rFonts w:hint="eastAsia" w:eastAsia="仿宋_GB2312" w:cs="Times New Roman"/>
          <w:sz w:val="32"/>
          <w:szCs w:val="32"/>
        </w:rPr>
        <w:t>100</w:t>
      </w:r>
      <w:r>
        <w:rPr>
          <w:rFonts w:hAnsi="Times New Roman" w:eastAsia="仿宋_GB2312" w:cs="Times New Roman"/>
          <w:sz w:val="32"/>
          <w:szCs w:val="32"/>
        </w:rPr>
        <w:t>分。</w:t>
      </w:r>
      <w:r>
        <w:rPr>
          <w:rFonts w:hint="eastAsia" w:eastAsia="仿宋_GB2312" w:cs="仿宋_GB2312"/>
          <w:kern w:val="0"/>
          <w:sz w:val="32"/>
          <w:szCs w:val="32"/>
          <w:lang w:val="zh-CN"/>
        </w:rPr>
        <w:t>我县</w:t>
      </w:r>
      <w:r>
        <w:rPr>
          <w:rFonts w:hint="eastAsia" w:hAnsi="Times New Roman" w:eastAsia="仿宋_GB2312" w:cs="Times New Roman"/>
          <w:sz w:val="32"/>
          <w:szCs w:val="32"/>
        </w:rPr>
        <w:t>首批投入运营的82</w:t>
      </w:r>
      <w:r>
        <w:rPr>
          <w:rFonts w:hint="eastAsia" w:hAnsi="Times New Roman" w:eastAsia="仿宋_GB2312" w:cs="Times New Roman"/>
          <w:sz w:val="32"/>
          <w:szCs w:val="32"/>
          <w:lang w:eastAsia="zh-CN"/>
        </w:rPr>
        <w:t>支</w:t>
      </w:r>
      <w:r>
        <w:rPr>
          <w:rFonts w:hint="eastAsia" w:hAnsi="Times New Roman" w:eastAsia="仿宋_GB2312" w:cs="Times New Roman"/>
          <w:sz w:val="32"/>
          <w:szCs w:val="32"/>
        </w:rPr>
        <w:t>充电枪检定任务已全部完成，</w:t>
      </w:r>
      <w:r>
        <w:rPr>
          <w:rFonts w:hAnsi="Times New Roman" w:eastAsia="仿宋_GB2312" w:cs="Times New Roman"/>
          <w:sz w:val="32"/>
          <w:szCs w:val="32"/>
        </w:rPr>
        <w:t>该项目实际到位资金</w:t>
      </w:r>
      <w:r>
        <w:rPr>
          <w:rFonts w:hint="eastAsia" w:hAnsi="Times New Roman" w:eastAsia="仿宋_GB2312" w:cs="Times New Roman"/>
          <w:sz w:val="32"/>
          <w:szCs w:val="32"/>
        </w:rPr>
        <w:t>3.28</w:t>
      </w:r>
      <w:r>
        <w:rPr>
          <w:rFonts w:hAnsi="Times New Roman" w:eastAsia="仿宋_GB2312" w:cs="Times New Roman"/>
          <w:sz w:val="32"/>
          <w:szCs w:val="32"/>
        </w:rPr>
        <w:t>万元，其中县本级财政资金</w:t>
      </w:r>
      <w:r>
        <w:rPr>
          <w:rFonts w:hint="eastAsia" w:hAnsi="Times New Roman" w:eastAsia="仿宋_GB2312" w:cs="Times New Roman"/>
          <w:sz w:val="32"/>
          <w:szCs w:val="32"/>
        </w:rPr>
        <w:t>3.28</w:t>
      </w:r>
      <w:r>
        <w:rPr>
          <w:rFonts w:hAnsi="Times New Roman" w:eastAsia="仿宋_GB2312" w:cs="Times New Roman"/>
          <w:sz w:val="32"/>
          <w:szCs w:val="32"/>
        </w:rPr>
        <w:t>万元，资金到位率100%。该项目</w:t>
      </w:r>
      <w:r>
        <w:rPr>
          <w:rFonts w:hint="eastAsia" w:hAnsi="Times New Roman" w:eastAsia="仿宋_GB2312" w:cs="Times New Roman"/>
          <w:sz w:val="32"/>
          <w:szCs w:val="32"/>
        </w:rPr>
        <w:t>的实施</w:t>
      </w:r>
      <w:r>
        <w:rPr>
          <w:rFonts w:hAnsi="Times New Roman" w:eastAsia="仿宋_GB2312" w:cs="Times New Roman"/>
          <w:sz w:val="32"/>
          <w:szCs w:val="32"/>
          <w:lang w:val="zh-CN"/>
        </w:rPr>
        <w:t>保护</w:t>
      </w:r>
      <w:r>
        <w:rPr>
          <w:rFonts w:hint="eastAsia" w:hAnsi="Times New Roman" w:eastAsia="仿宋_GB2312" w:cs="Times New Roman"/>
          <w:sz w:val="32"/>
          <w:szCs w:val="32"/>
          <w:lang w:val="zh-CN"/>
        </w:rPr>
        <w:t>了</w:t>
      </w:r>
      <w:r>
        <w:rPr>
          <w:rFonts w:hAnsi="Times New Roman" w:eastAsia="仿宋_GB2312" w:cs="Times New Roman"/>
          <w:sz w:val="32"/>
          <w:szCs w:val="32"/>
          <w:lang w:val="zh-CN"/>
        </w:rPr>
        <w:t>消费者的合法权益</w:t>
      </w:r>
      <w:r>
        <w:rPr>
          <w:rFonts w:hint="eastAsia" w:hAnsi="Times New Roman" w:eastAsia="仿宋_GB2312" w:cs="Times New Roman"/>
          <w:sz w:val="32"/>
          <w:szCs w:val="32"/>
          <w:lang w:val="zh-CN"/>
        </w:rPr>
        <w:t>，</w:t>
      </w:r>
      <w:r>
        <w:rPr>
          <w:rFonts w:hint="eastAsia" w:hAnsi="Times New Roman" w:eastAsia="仿宋_GB2312" w:cs="Times New Roman"/>
          <w:sz w:val="32"/>
          <w:szCs w:val="32"/>
        </w:rPr>
        <w:t>保障了我县新能源</w:t>
      </w:r>
      <w:r>
        <w:rPr>
          <w:rFonts w:hAnsi="Times New Roman" w:eastAsia="仿宋_GB2312" w:cs="Times New Roman"/>
          <w:sz w:val="32"/>
          <w:szCs w:val="32"/>
        </w:rPr>
        <w:t>汽车充电桩的</w:t>
      </w:r>
      <w:r>
        <w:rPr>
          <w:rFonts w:hint="eastAsia" w:hAnsi="Times New Roman" w:eastAsia="仿宋_GB2312" w:cs="Times New Roman"/>
          <w:sz w:val="32"/>
          <w:szCs w:val="32"/>
        </w:rPr>
        <w:t>安全运行和正常使用</w:t>
      </w:r>
      <w:r>
        <w:rPr>
          <w:rFonts w:hAnsi="Times New Roman" w:eastAsia="仿宋_GB2312" w:cs="Times New Roman"/>
          <w:sz w:val="32"/>
          <w:szCs w:val="32"/>
        </w:rPr>
        <w:t>，确保</w:t>
      </w:r>
      <w:r>
        <w:rPr>
          <w:rFonts w:hint="eastAsia" w:hAnsi="Times New Roman" w:eastAsia="仿宋_GB2312" w:cs="Times New Roman"/>
          <w:sz w:val="32"/>
          <w:szCs w:val="32"/>
        </w:rPr>
        <w:t>了</w:t>
      </w:r>
      <w:r>
        <w:rPr>
          <w:rFonts w:hAnsi="Times New Roman" w:eastAsia="仿宋_GB2312" w:cs="Times New Roman"/>
          <w:sz w:val="32"/>
          <w:szCs w:val="32"/>
        </w:rPr>
        <w:t>充电桩的</w:t>
      </w:r>
      <w:r>
        <w:rPr>
          <w:rFonts w:hint="eastAsia" w:hAnsi="Times New Roman" w:eastAsia="仿宋_GB2312" w:cs="Times New Roman"/>
          <w:sz w:val="32"/>
          <w:szCs w:val="32"/>
        </w:rPr>
        <w:t>计量准确</w:t>
      </w:r>
      <w:r>
        <w:rPr>
          <w:rFonts w:hAnsi="Times New Roman" w:eastAsia="仿宋_GB2312" w:cs="Times New Roman"/>
          <w:sz w:val="32"/>
          <w:szCs w:val="32"/>
        </w:rPr>
        <w:t>和交易的公平公正</w:t>
      </w:r>
      <w:r>
        <w:rPr>
          <w:rFonts w:hint="eastAsia" w:hAnsi="Times New Roman" w:eastAsia="仿宋_GB2312" w:cs="Times New Roman"/>
          <w:sz w:val="32"/>
          <w:szCs w:val="32"/>
        </w:rPr>
        <w:t>。</w:t>
      </w:r>
    </w:p>
    <w:p w14:paraId="27F0AF20">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075617BC">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7DEC3750">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36F1225E">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36C52647">
      <w:pPr>
        <w:pStyle w:val="10"/>
        <w:rPr>
          <w:rFonts w:eastAsia="仿宋_GB2312" w:cs="仿宋_GB2312"/>
          <w:kern w:val="0"/>
          <w:sz w:val="32"/>
          <w:szCs w:val="32"/>
        </w:rPr>
      </w:pPr>
    </w:p>
    <w:p w14:paraId="0D5B1855">
      <w:pPr>
        <w:pStyle w:val="10"/>
        <w:rPr>
          <w:rFonts w:eastAsia="仿宋_GB2312" w:cs="仿宋_GB2312"/>
          <w:kern w:val="0"/>
          <w:sz w:val="32"/>
          <w:szCs w:val="32"/>
        </w:rPr>
      </w:pPr>
    </w:p>
    <w:p w14:paraId="12D0F9A6">
      <w:pPr>
        <w:pStyle w:val="10"/>
        <w:rPr>
          <w:rFonts w:eastAsia="仿宋_GB2312" w:cs="仿宋_GB2312"/>
          <w:kern w:val="0"/>
          <w:sz w:val="32"/>
          <w:szCs w:val="32"/>
        </w:rPr>
      </w:pPr>
    </w:p>
    <w:p w14:paraId="2AEE39B9">
      <w:pPr>
        <w:pStyle w:val="10"/>
        <w:rPr>
          <w:rFonts w:eastAsia="仿宋_GB2312" w:cs="仿宋_GB2312"/>
          <w:kern w:val="0"/>
          <w:sz w:val="32"/>
          <w:szCs w:val="32"/>
        </w:rPr>
      </w:pPr>
    </w:p>
    <w:p w14:paraId="5A3CC4A9">
      <w:pPr>
        <w:pStyle w:val="10"/>
        <w:rPr>
          <w:rFonts w:eastAsia="仿宋_GB2312" w:cs="仿宋_GB2312"/>
          <w:kern w:val="0"/>
          <w:sz w:val="32"/>
          <w:szCs w:val="32"/>
        </w:rPr>
      </w:pPr>
    </w:p>
    <w:p w14:paraId="00788A0C">
      <w:pPr>
        <w:pStyle w:val="10"/>
        <w:rPr>
          <w:rFonts w:eastAsia="仿宋_GB2312" w:cs="仿宋_GB2312"/>
          <w:kern w:val="0"/>
          <w:sz w:val="32"/>
          <w:szCs w:val="32"/>
        </w:rPr>
      </w:pPr>
    </w:p>
    <w:p w14:paraId="472CCF27">
      <w:pPr>
        <w:pStyle w:val="10"/>
        <w:rPr>
          <w:rFonts w:eastAsia="仿宋_GB2312" w:cs="仿宋_GB2312"/>
          <w:kern w:val="0"/>
          <w:sz w:val="32"/>
          <w:szCs w:val="32"/>
        </w:rPr>
      </w:pPr>
    </w:p>
    <w:p w14:paraId="07B8309F">
      <w:pPr>
        <w:pStyle w:val="10"/>
        <w:rPr>
          <w:rFonts w:eastAsia="仿宋_GB2312" w:cs="仿宋_GB2312"/>
          <w:kern w:val="0"/>
          <w:sz w:val="32"/>
          <w:szCs w:val="32"/>
        </w:rPr>
      </w:pPr>
    </w:p>
    <w:p w14:paraId="02F3B96A">
      <w:pPr>
        <w:pStyle w:val="10"/>
        <w:rPr>
          <w:rFonts w:eastAsia="仿宋_GB2312" w:cs="仿宋_GB2312"/>
          <w:kern w:val="0"/>
          <w:sz w:val="32"/>
          <w:szCs w:val="32"/>
        </w:rPr>
      </w:pPr>
    </w:p>
    <w:p w14:paraId="73D7C5CB">
      <w:pPr>
        <w:pStyle w:val="10"/>
        <w:rPr>
          <w:rFonts w:eastAsia="仿宋_GB2312" w:cs="仿宋_GB2312"/>
          <w:kern w:val="0"/>
          <w:sz w:val="32"/>
          <w:szCs w:val="32"/>
        </w:rPr>
      </w:pPr>
    </w:p>
    <w:p w14:paraId="5E3BB799">
      <w:pPr>
        <w:pStyle w:val="10"/>
        <w:rPr>
          <w:rFonts w:eastAsia="仿宋_GB2312" w:cs="仿宋_GB2312"/>
          <w:kern w:val="0"/>
          <w:sz w:val="32"/>
          <w:szCs w:val="32"/>
        </w:rPr>
      </w:pPr>
    </w:p>
    <w:p w14:paraId="1101CCC5">
      <w:pPr>
        <w:pStyle w:val="10"/>
        <w:rPr>
          <w:rFonts w:eastAsia="仿宋_GB2312" w:cs="仿宋_GB2312"/>
          <w:kern w:val="0"/>
          <w:sz w:val="32"/>
          <w:szCs w:val="32"/>
        </w:rPr>
      </w:pPr>
    </w:p>
    <w:p w14:paraId="2CE0C974">
      <w:pPr>
        <w:pStyle w:val="10"/>
        <w:rPr>
          <w:rFonts w:eastAsia="仿宋_GB2312" w:cs="仿宋_GB2312"/>
          <w:kern w:val="0"/>
          <w:sz w:val="32"/>
          <w:szCs w:val="32"/>
        </w:rPr>
      </w:pPr>
    </w:p>
    <w:p w14:paraId="6314B048">
      <w:pPr>
        <w:pStyle w:val="10"/>
        <w:rPr>
          <w:rFonts w:eastAsia="仿宋_GB2312" w:cs="仿宋_GB2312"/>
          <w:kern w:val="0"/>
          <w:sz w:val="32"/>
          <w:szCs w:val="32"/>
        </w:rPr>
      </w:pPr>
    </w:p>
    <w:p w14:paraId="29332CB8">
      <w:pPr>
        <w:pStyle w:val="10"/>
        <w:rPr>
          <w:rFonts w:eastAsia="仿宋_GB2312" w:cs="仿宋_GB2312"/>
          <w:kern w:val="0"/>
          <w:sz w:val="32"/>
          <w:szCs w:val="32"/>
        </w:rPr>
      </w:pPr>
    </w:p>
    <w:p w14:paraId="7362F8CD">
      <w:pPr>
        <w:pStyle w:val="10"/>
        <w:rPr>
          <w:rFonts w:eastAsia="仿宋_GB2312" w:cs="仿宋_GB2312"/>
          <w:kern w:val="0"/>
          <w:sz w:val="32"/>
          <w:szCs w:val="32"/>
        </w:rPr>
      </w:pPr>
    </w:p>
    <w:p w14:paraId="7DEE28F1">
      <w:pPr>
        <w:spacing w:line="0" w:lineRule="atLeast"/>
        <w:jc w:val="center"/>
        <w:outlineLvl w:val="2"/>
        <w:rPr>
          <w:rFonts w:eastAsia="方正小标宋简体"/>
          <w:sz w:val="44"/>
          <w:szCs w:val="44"/>
        </w:rPr>
      </w:pPr>
      <w:r>
        <w:rPr>
          <w:rFonts w:eastAsia="方正小标宋简体"/>
          <w:sz w:val="44"/>
          <w:szCs w:val="44"/>
        </w:rPr>
        <w:t>有机产品认证企业奖补资金</w:t>
      </w:r>
    </w:p>
    <w:p w14:paraId="4D6AD6D9">
      <w:pPr>
        <w:spacing w:line="0" w:lineRule="atLeast"/>
        <w:jc w:val="center"/>
        <w:outlineLvl w:val="2"/>
        <w:rPr>
          <w:rFonts w:eastAsia="方正小标宋简体"/>
          <w:sz w:val="44"/>
          <w:szCs w:val="44"/>
        </w:rPr>
      </w:pPr>
      <w:r>
        <w:rPr>
          <w:rFonts w:eastAsia="方正小标宋简体"/>
          <w:sz w:val="44"/>
          <w:szCs w:val="44"/>
        </w:rPr>
        <w:t>专项预算项目绩效评价报告</w:t>
      </w:r>
    </w:p>
    <w:p w14:paraId="474DA484">
      <w:pPr>
        <w:pStyle w:val="35"/>
        <w:spacing w:line="0" w:lineRule="atLeast"/>
        <w:jc w:val="center"/>
        <w:rPr>
          <w:rFonts w:ascii="Times New Roman" w:hAnsi="Times New Roman"/>
          <w:color w:val="auto"/>
          <w:kern w:val="2"/>
          <w:sz w:val="32"/>
          <w:szCs w:val="32"/>
        </w:rPr>
      </w:pPr>
    </w:p>
    <w:p w14:paraId="00FA1709">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20BF7AEF">
      <w:pPr>
        <w:ind w:firstLine="643" w:firstLineChars="200"/>
        <w:rPr>
          <w:lang w:val="zh-CN"/>
        </w:rPr>
      </w:pPr>
      <w:r>
        <w:rPr>
          <w:rFonts w:hint="eastAsia" w:eastAsia="楷体_GB2312"/>
          <w:b/>
          <w:sz w:val="32"/>
          <w:szCs w:val="32"/>
          <w:lang w:val="zh-CN"/>
        </w:rPr>
        <w:t>（一）设立背景及基本情况。</w:t>
      </w:r>
      <w:r>
        <w:rPr>
          <w:rFonts w:eastAsia="仿宋_GB2312"/>
          <w:sz w:val="32"/>
          <w:szCs w:val="32"/>
        </w:rPr>
        <w:t>为加快推进我县有机产品认证示范创建步伐，县委、</w:t>
      </w:r>
      <w:r>
        <w:rPr>
          <w:rFonts w:hint="eastAsia" w:eastAsia="仿宋_GB2312"/>
          <w:sz w:val="32"/>
          <w:szCs w:val="32"/>
        </w:rPr>
        <w:t>县</w:t>
      </w:r>
      <w:r>
        <w:rPr>
          <w:rFonts w:eastAsia="仿宋_GB2312"/>
          <w:sz w:val="32"/>
          <w:szCs w:val="32"/>
        </w:rPr>
        <w:t>政府高度重视有机产品认证示范县创建工作。2018年6月29日，《盐边县人民政府关于申请创建“四川省有机产品认证示范区”的请示》（盐边〔2018〕46号）</w:t>
      </w:r>
      <w:r>
        <w:rPr>
          <w:rFonts w:hint="eastAsia" w:eastAsia="仿宋_GB2312"/>
          <w:sz w:val="32"/>
          <w:szCs w:val="32"/>
          <w:lang w:eastAsia="zh-CN"/>
        </w:rPr>
        <w:t>，</w:t>
      </w:r>
      <w:r>
        <w:rPr>
          <w:rFonts w:eastAsia="仿宋_GB2312"/>
          <w:sz w:val="32"/>
          <w:szCs w:val="32"/>
        </w:rPr>
        <w:t>全面启动了有机产品认证示范区创建工作。2018年我县获得“省级有机产品认证示范创建区”称号；通过3年的有机产品认证示范区的创建，于2021年12月30日我县正式获批“四川省有机产品认证示范区”；2023年顺利通过“四川省有机产品认证示范区”复核评查。</w:t>
      </w:r>
    </w:p>
    <w:p w14:paraId="47D94DA0">
      <w:pPr>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eastAsia="仿宋_GB2312"/>
          <w:sz w:val="32"/>
          <w:szCs w:val="32"/>
          <w:lang w:val="zh-CN"/>
        </w:rPr>
        <w:t>旨在继续推进有机产品认证示范区创建，加强有机农产品宣传，培育一批品牌影响力大，具有核心竞争力的有机农产品企业，提升有机农产品质量水平。</w:t>
      </w:r>
    </w:p>
    <w:p w14:paraId="3487D369">
      <w:pPr>
        <w:ind w:firstLine="643" w:firstLineChars="200"/>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sz w:val="32"/>
          <w:szCs w:val="32"/>
          <w:lang w:val="zh-CN"/>
        </w:rPr>
        <w:t>兑现</w:t>
      </w:r>
      <w:r>
        <w:rPr>
          <w:rFonts w:hint="eastAsia" w:eastAsia="仿宋_GB2312"/>
          <w:sz w:val="32"/>
          <w:szCs w:val="32"/>
        </w:rPr>
        <w:t>2022-</w:t>
      </w:r>
      <w:r>
        <w:rPr>
          <w:rFonts w:eastAsia="仿宋_GB2312"/>
          <w:sz w:val="32"/>
          <w:szCs w:val="32"/>
          <w:lang w:val="zh-CN"/>
        </w:rPr>
        <w:t>202</w:t>
      </w:r>
      <w:r>
        <w:rPr>
          <w:rFonts w:hint="eastAsia" w:eastAsia="仿宋_GB2312"/>
          <w:sz w:val="32"/>
          <w:szCs w:val="32"/>
        </w:rPr>
        <w:t>3</w:t>
      </w:r>
      <w:r>
        <w:rPr>
          <w:rFonts w:eastAsia="仿宋_GB2312"/>
          <w:sz w:val="32"/>
          <w:szCs w:val="32"/>
          <w:lang w:val="zh-CN"/>
        </w:rPr>
        <w:t>年有机获证企业奖补</w:t>
      </w:r>
      <w:r>
        <w:rPr>
          <w:rFonts w:hint="eastAsia" w:eastAsia="仿宋_GB2312"/>
          <w:sz w:val="32"/>
          <w:szCs w:val="32"/>
        </w:rPr>
        <w:t>4.8</w:t>
      </w:r>
      <w:r>
        <w:rPr>
          <w:rFonts w:eastAsia="仿宋_GB2312"/>
          <w:sz w:val="32"/>
          <w:szCs w:val="32"/>
          <w:lang w:val="zh-CN"/>
        </w:rPr>
        <w:t>万元。</w:t>
      </w:r>
    </w:p>
    <w:p w14:paraId="00C23977">
      <w:pPr>
        <w:ind w:firstLine="643" w:firstLineChars="200"/>
        <w:rPr>
          <w:rFonts w:eastAsia="仿宋_GB2312"/>
          <w:sz w:val="32"/>
          <w:szCs w:val="32"/>
          <w:lang w:val="zh-CN"/>
        </w:rPr>
      </w:pPr>
      <w:r>
        <w:rPr>
          <w:rFonts w:hint="eastAsia" w:eastAsia="楷体_GB2312"/>
          <w:b/>
          <w:sz w:val="32"/>
          <w:szCs w:val="32"/>
          <w:lang w:val="zh-CN"/>
        </w:rPr>
        <w:t>（四）项目绩效目标设置。</w:t>
      </w:r>
      <w:r>
        <w:rPr>
          <w:rFonts w:eastAsia="仿宋_GB2312"/>
          <w:sz w:val="32"/>
          <w:szCs w:val="32"/>
          <w:lang w:val="zh-CN"/>
        </w:rPr>
        <w:t>该项目绩效目标分为产出指标（细化为数量、质量、时效指标）、效益指标（细化为经济效益和生态效益指标）、成本指标及满意度指标。兑现</w:t>
      </w:r>
      <w:r>
        <w:rPr>
          <w:rFonts w:hint="eastAsia" w:eastAsia="仿宋_GB2312"/>
          <w:sz w:val="32"/>
          <w:szCs w:val="32"/>
        </w:rPr>
        <w:t>2</w:t>
      </w:r>
      <w:r>
        <w:rPr>
          <w:rFonts w:eastAsia="仿宋_GB2312"/>
          <w:sz w:val="32"/>
          <w:szCs w:val="32"/>
        </w:rPr>
        <w:t>家有机获证企业</w:t>
      </w:r>
      <w:r>
        <w:rPr>
          <w:rFonts w:eastAsia="仿宋_GB2312"/>
          <w:sz w:val="32"/>
          <w:szCs w:val="32"/>
          <w:lang w:val="zh-CN"/>
        </w:rPr>
        <w:t>202</w:t>
      </w:r>
      <w:r>
        <w:rPr>
          <w:rFonts w:hint="eastAsia" w:eastAsia="仿宋_GB2312"/>
          <w:sz w:val="32"/>
          <w:szCs w:val="32"/>
        </w:rPr>
        <w:t>2</w:t>
      </w:r>
      <w:r>
        <w:rPr>
          <w:rFonts w:eastAsia="仿宋_GB2312"/>
          <w:sz w:val="32"/>
          <w:szCs w:val="32"/>
          <w:lang w:val="zh-CN"/>
        </w:rPr>
        <w:t>-202</w:t>
      </w:r>
      <w:r>
        <w:rPr>
          <w:rFonts w:hint="eastAsia" w:eastAsia="仿宋_GB2312"/>
          <w:sz w:val="32"/>
          <w:szCs w:val="32"/>
        </w:rPr>
        <w:t>3</w:t>
      </w:r>
      <w:r>
        <w:rPr>
          <w:rFonts w:eastAsia="仿宋_GB2312"/>
          <w:sz w:val="32"/>
          <w:szCs w:val="32"/>
          <w:lang w:val="zh-CN"/>
        </w:rPr>
        <w:t>年奖补</w:t>
      </w:r>
      <w:r>
        <w:rPr>
          <w:rFonts w:hint="eastAsia" w:eastAsia="仿宋_GB2312"/>
          <w:sz w:val="32"/>
          <w:szCs w:val="32"/>
        </w:rPr>
        <w:t>4.8</w:t>
      </w:r>
      <w:r>
        <w:rPr>
          <w:rFonts w:eastAsia="仿宋_GB2312"/>
          <w:sz w:val="32"/>
          <w:szCs w:val="32"/>
          <w:lang w:val="zh-CN"/>
        </w:rPr>
        <w:t>万元，完成任务数的100%。</w:t>
      </w:r>
    </w:p>
    <w:p w14:paraId="0E7190D5">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544BBD95">
      <w:pPr>
        <w:ind w:firstLine="643" w:firstLineChars="200"/>
        <w:rPr>
          <w:rFonts w:eastAsia="仿宋_GB2312"/>
          <w:sz w:val="32"/>
          <w:szCs w:val="32"/>
        </w:rPr>
      </w:pPr>
      <w:r>
        <w:rPr>
          <w:rFonts w:hint="eastAsia" w:eastAsia="楷体_GB2312"/>
          <w:b/>
          <w:sz w:val="32"/>
          <w:szCs w:val="32"/>
          <w:lang w:val="zh-CN"/>
        </w:rPr>
        <w:t>（一）评价目的。</w:t>
      </w:r>
      <w:r>
        <w:rPr>
          <w:rFonts w:eastAsia="仿宋_GB2312"/>
          <w:sz w:val="32"/>
          <w:szCs w:val="32"/>
          <w:lang w:val="zh-CN"/>
        </w:rPr>
        <w:t>促进全县有机产品认证示范区持续健康发展，助力</w:t>
      </w:r>
      <w:r>
        <w:rPr>
          <w:rFonts w:eastAsia="仿宋_GB2312"/>
          <w:sz w:val="32"/>
          <w:szCs w:val="32"/>
        </w:rPr>
        <w:t>202</w:t>
      </w:r>
      <w:r>
        <w:rPr>
          <w:rFonts w:hint="eastAsia" w:eastAsia="仿宋_GB2312"/>
          <w:sz w:val="32"/>
          <w:szCs w:val="32"/>
        </w:rPr>
        <w:t>4</w:t>
      </w:r>
      <w:r>
        <w:rPr>
          <w:rFonts w:eastAsia="仿宋_GB2312"/>
          <w:sz w:val="32"/>
          <w:szCs w:val="32"/>
        </w:rPr>
        <w:t>年有机认证</w:t>
      </w:r>
      <w:r>
        <w:rPr>
          <w:rFonts w:hint="eastAsia" w:eastAsia="仿宋_GB2312"/>
          <w:sz w:val="32"/>
          <w:szCs w:val="32"/>
        </w:rPr>
        <w:t>企业有增加、产品质量有提升。</w:t>
      </w:r>
    </w:p>
    <w:p w14:paraId="60CD85BE">
      <w:pPr>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eastAsia="仿宋_GB2312"/>
          <w:sz w:val="32"/>
          <w:szCs w:val="32"/>
          <w:lang w:val="zh-CN"/>
        </w:rPr>
        <w:t>重点在于项目申报内容与具体实施内容相符、申报目标合理可行。</w:t>
      </w:r>
    </w:p>
    <w:p w14:paraId="6CB49F5E">
      <w:pPr>
        <w:ind w:firstLine="643" w:firstLineChars="200"/>
        <w:rPr>
          <w:rFonts w:eastAsia="楷体_GB2312"/>
          <w:b/>
          <w:sz w:val="32"/>
          <w:szCs w:val="32"/>
          <w:lang w:val="zh-CN"/>
        </w:rPr>
      </w:pPr>
      <w:r>
        <w:rPr>
          <w:rFonts w:hint="eastAsia" w:eastAsia="楷体_GB2312"/>
          <w:b/>
          <w:sz w:val="32"/>
          <w:szCs w:val="32"/>
          <w:lang w:val="zh-CN"/>
        </w:rPr>
        <w:t>（三）评价选点。</w:t>
      </w:r>
      <w:r>
        <w:rPr>
          <w:rFonts w:eastAsia="仿宋_GB2312"/>
          <w:sz w:val="32"/>
          <w:szCs w:val="32"/>
          <w:lang w:val="zh-CN"/>
        </w:rPr>
        <w:t>该项目支出</w:t>
      </w:r>
      <w:r>
        <w:rPr>
          <w:rFonts w:hint="eastAsia" w:eastAsia="仿宋_GB2312"/>
          <w:sz w:val="32"/>
          <w:szCs w:val="32"/>
        </w:rPr>
        <w:t>4.8万</w:t>
      </w:r>
      <w:r>
        <w:rPr>
          <w:rFonts w:eastAsia="仿宋_GB2312"/>
          <w:sz w:val="32"/>
          <w:szCs w:val="32"/>
          <w:lang w:val="zh-CN"/>
        </w:rPr>
        <w:t>元，支付进度100%。</w:t>
      </w:r>
    </w:p>
    <w:p w14:paraId="3FF7B2A0">
      <w:pPr>
        <w:ind w:firstLine="643" w:firstLineChars="200"/>
        <w:rPr>
          <w:rFonts w:eastAsia="仿宋_GB2312"/>
          <w:sz w:val="32"/>
          <w:szCs w:val="32"/>
          <w:lang w:val="zh-CN"/>
        </w:rPr>
      </w:pPr>
      <w:r>
        <w:rPr>
          <w:rFonts w:hint="eastAsia" w:eastAsia="楷体_GB2312"/>
          <w:b/>
          <w:sz w:val="32"/>
          <w:szCs w:val="32"/>
          <w:lang w:val="zh-CN"/>
        </w:rPr>
        <w:t>（四）评价方法。</w:t>
      </w:r>
      <w:r>
        <w:rPr>
          <w:rFonts w:eastAsia="仿宋_GB2312"/>
          <w:sz w:val="32"/>
          <w:szCs w:val="32"/>
          <w:lang w:val="zh-CN"/>
        </w:rPr>
        <w:t>根据项目情况和评价重点，采用单位自评法。</w:t>
      </w:r>
    </w:p>
    <w:p w14:paraId="530A5949">
      <w:pPr>
        <w:ind w:firstLine="643" w:firstLineChars="200"/>
        <w:rPr>
          <w:rFonts w:eastAsia="仿宋_GB2312"/>
          <w:sz w:val="32"/>
          <w:szCs w:val="32"/>
          <w:lang w:val="zh-CN"/>
        </w:rPr>
      </w:pPr>
      <w:r>
        <w:rPr>
          <w:rFonts w:hint="eastAsia" w:eastAsia="楷体_GB2312"/>
          <w:b/>
          <w:sz w:val="32"/>
          <w:szCs w:val="32"/>
          <w:lang w:val="zh-CN"/>
        </w:rPr>
        <w:t>（五）评价组织。</w:t>
      </w:r>
      <w:r>
        <w:rPr>
          <w:rFonts w:eastAsia="仿宋_GB2312"/>
          <w:sz w:val="32"/>
          <w:szCs w:val="32"/>
          <w:lang w:val="zh-CN"/>
        </w:rPr>
        <w:t>盐边县市场监督管理局质量发展与认证认可股工作人员二人。</w:t>
      </w:r>
    </w:p>
    <w:p w14:paraId="405A3E4E">
      <w:pPr>
        <w:adjustRightInd w:val="0"/>
        <w:snapToGrid w:val="0"/>
        <w:spacing w:line="578" w:lineRule="exact"/>
        <w:ind w:firstLine="640" w:firstLineChars="200"/>
        <w:rPr>
          <w:rFonts w:hint="eastAsia" w:eastAsia="黑体"/>
          <w:sz w:val="32"/>
          <w:szCs w:val="32"/>
          <w:lang w:eastAsia="zh-CN"/>
        </w:rPr>
      </w:pPr>
      <w:r>
        <w:rPr>
          <w:rFonts w:hint="eastAsia" w:eastAsia="黑体"/>
          <w:sz w:val="32"/>
          <w:szCs w:val="32"/>
          <w:lang w:eastAsia="zh-CN"/>
        </w:rPr>
        <w:t>三</w:t>
      </w:r>
      <w:r>
        <w:rPr>
          <w:rFonts w:hint="eastAsia" w:eastAsia="黑体"/>
          <w:sz w:val="32"/>
          <w:szCs w:val="32"/>
        </w:rPr>
        <w:t>、</w:t>
      </w:r>
      <w:r>
        <w:rPr>
          <w:rFonts w:hint="eastAsia" w:eastAsia="黑体"/>
          <w:sz w:val="32"/>
          <w:szCs w:val="32"/>
          <w:lang w:eastAsia="zh-CN"/>
        </w:rPr>
        <w:t>绩效分析</w:t>
      </w:r>
    </w:p>
    <w:p w14:paraId="7799C24A">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7973232D">
      <w:pPr>
        <w:ind w:firstLine="640" w:firstLineChars="200"/>
        <w:rPr>
          <w:rFonts w:eastAsia="仿宋_GB2312"/>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eastAsia="仿宋_GB2312"/>
          <w:sz w:val="32"/>
          <w:szCs w:val="32"/>
          <w:lang w:val="zh-CN"/>
        </w:rPr>
        <w:t>依据《</w:t>
      </w:r>
      <w:r>
        <w:rPr>
          <w:rFonts w:eastAsia="仿宋_GB2312"/>
          <w:sz w:val="32"/>
          <w:szCs w:val="32"/>
        </w:rPr>
        <w:t>盐边县人民政府关于申请创建“四川省有机产品认证示范区”的请示</w:t>
      </w:r>
      <w:r>
        <w:rPr>
          <w:rFonts w:eastAsia="楷体_GB2312"/>
          <w:sz w:val="32"/>
          <w:szCs w:val="32"/>
          <w:lang w:val="zh-CN"/>
        </w:rPr>
        <w:t>》</w:t>
      </w:r>
      <w:r>
        <w:rPr>
          <w:rFonts w:eastAsia="仿宋_GB2312"/>
          <w:sz w:val="32"/>
          <w:szCs w:val="32"/>
        </w:rPr>
        <w:t>（盐边〔2018〕46号）</w:t>
      </w:r>
      <w:r>
        <w:rPr>
          <w:rFonts w:hint="eastAsia" w:eastAsia="仿宋_GB2312"/>
          <w:sz w:val="32"/>
          <w:szCs w:val="32"/>
          <w:lang w:eastAsia="zh-CN"/>
        </w:rPr>
        <w:t>，</w:t>
      </w:r>
      <w:r>
        <w:rPr>
          <w:rFonts w:eastAsia="仿宋_GB2312"/>
          <w:sz w:val="32"/>
          <w:szCs w:val="32"/>
        </w:rPr>
        <w:t>全面启动有机产品认证示范区创建工作。</w:t>
      </w:r>
      <w:r>
        <w:rPr>
          <w:rFonts w:eastAsia="仿宋_GB2312"/>
          <w:sz w:val="32"/>
          <w:szCs w:val="32"/>
          <w:lang w:val="zh-CN"/>
        </w:rPr>
        <w:t>项目立项依据充分，决策程序规范，符合相关政策法规要求，</w:t>
      </w:r>
      <w:r>
        <w:rPr>
          <w:rFonts w:eastAsia="仿宋_GB2312"/>
          <w:sz w:val="32"/>
          <w:szCs w:val="32"/>
        </w:rPr>
        <w:t>确保</w:t>
      </w:r>
      <w:r>
        <w:rPr>
          <w:rFonts w:eastAsia="仿宋_GB2312"/>
          <w:sz w:val="32"/>
          <w:szCs w:val="32"/>
          <w:lang w:val="zh-CN"/>
        </w:rPr>
        <w:t>项目申报内容与具体实施内容相符、申报目标合理可行。</w:t>
      </w:r>
    </w:p>
    <w:p w14:paraId="6C12252B">
      <w:pPr>
        <w:ind w:firstLine="640" w:firstLineChars="200"/>
        <w:rPr>
          <w:rFonts w:eastAsia="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eastAsia="仿宋_GB2312"/>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13C99B6A">
      <w:pPr>
        <w:ind w:firstLine="640" w:firstLineChars="200"/>
        <w:outlineLvl w:val="3"/>
        <w:rPr>
          <w:rFonts w:eastAsia="仿宋_GB2312" w:cs="仿宋_GB2312"/>
          <w:kern w:val="0"/>
          <w:sz w:val="32"/>
          <w:szCs w:val="32"/>
          <w:lang w:val="zh-CN"/>
        </w:rPr>
      </w:pPr>
      <w:r>
        <w:rPr>
          <w:rFonts w:hint="eastAsia" w:eastAsia="仿宋_GB2312" w:cs="仿宋_GB2312"/>
          <w:kern w:val="0"/>
          <w:sz w:val="32"/>
          <w:szCs w:val="32"/>
        </w:rPr>
        <w:t>3.项目实施。</w:t>
      </w:r>
      <w:r>
        <w:rPr>
          <w:rFonts w:eastAsia="仿宋_GB2312"/>
          <w:sz w:val="32"/>
          <w:szCs w:val="32"/>
          <w:lang w:val="zh-CN"/>
        </w:rPr>
        <w:t>有机获证企业奖补资金兑付</w:t>
      </w:r>
      <w:r>
        <w:rPr>
          <w:rFonts w:eastAsia="仿宋_GB2312"/>
          <w:sz w:val="32"/>
          <w:szCs w:val="32"/>
        </w:rPr>
        <w:t>100%</w:t>
      </w:r>
      <w:r>
        <w:rPr>
          <w:rFonts w:eastAsia="仿宋_GB2312"/>
          <w:sz w:val="32"/>
          <w:szCs w:val="32"/>
          <w:lang w:val="zh-CN"/>
        </w:rPr>
        <w:t>。</w:t>
      </w:r>
    </w:p>
    <w:p w14:paraId="689A4D2E">
      <w:pPr>
        <w:spacing w:line="578" w:lineRule="exact"/>
        <w:ind w:firstLine="640"/>
        <w:rPr>
          <w:rFonts w:eastAsia="仿宋_GB2312"/>
          <w:sz w:val="32"/>
          <w:szCs w:val="32"/>
          <w:lang w:val="zh-CN"/>
        </w:rPr>
      </w:pPr>
      <w:r>
        <w:rPr>
          <w:rFonts w:hint="eastAsia" w:eastAsia="仿宋_GB2312" w:cs="仿宋_GB2312"/>
          <w:kern w:val="0"/>
          <w:sz w:val="32"/>
          <w:szCs w:val="32"/>
        </w:rPr>
        <w:t>4.项目结果。</w:t>
      </w:r>
      <w:r>
        <w:rPr>
          <w:rFonts w:eastAsia="仿宋_GB2312"/>
          <w:sz w:val="32"/>
          <w:szCs w:val="32"/>
          <w:lang w:val="zh-CN"/>
        </w:rPr>
        <w:t>项目按《</w:t>
      </w:r>
      <w:r>
        <w:rPr>
          <w:rFonts w:eastAsia="仿宋_GB2312"/>
          <w:sz w:val="32"/>
          <w:szCs w:val="32"/>
        </w:rPr>
        <w:t>盐边县区域公共品牌（两品一标）培育奖励办法</w:t>
      </w:r>
      <w:r>
        <w:rPr>
          <w:rFonts w:eastAsia="仿宋_GB2312"/>
          <w:sz w:val="32"/>
          <w:szCs w:val="32"/>
          <w:lang w:val="zh-CN"/>
        </w:rPr>
        <w:t>》</w:t>
      </w:r>
      <w:r>
        <w:rPr>
          <w:rFonts w:eastAsia="仿宋_GB2312"/>
          <w:sz w:val="32"/>
          <w:szCs w:val="32"/>
        </w:rPr>
        <w:t>100%</w:t>
      </w:r>
      <w:r>
        <w:rPr>
          <w:rFonts w:eastAsia="仿宋_GB2312"/>
          <w:sz w:val="32"/>
          <w:szCs w:val="32"/>
          <w:lang w:val="zh-CN"/>
        </w:rPr>
        <w:t>完成。</w:t>
      </w:r>
    </w:p>
    <w:p w14:paraId="2F6BA0B8">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732F0C6F">
      <w:pPr>
        <w:ind w:firstLine="640" w:firstLineChars="200"/>
        <w:rPr>
          <w:rFonts w:eastAsia="仿宋_GB2312"/>
          <w:sz w:val="32"/>
          <w:szCs w:val="32"/>
          <w:lang w:val="zh-CN"/>
        </w:rPr>
      </w:pPr>
      <w:r>
        <w:rPr>
          <w:rFonts w:hint="eastAsia" w:eastAsia="仿宋_GB2312" w:cs="仿宋_GB2312"/>
          <w:kern w:val="0"/>
          <w:sz w:val="32"/>
          <w:szCs w:val="32"/>
        </w:rPr>
        <w:t>1.产业发展。</w:t>
      </w:r>
      <w:r>
        <w:rPr>
          <w:rFonts w:eastAsia="仿宋_GB2312"/>
          <w:sz w:val="32"/>
          <w:szCs w:val="32"/>
          <w:lang w:val="zh-CN"/>
        </w:rPr>
        <w:t>提高有机认证企业积极性，有机产业蓬勃发展，有机产品品质得到提升。</w:t>
      </w:r>
    </w:p>
    <w:p w14:paraId="07BD55F4">
      <w:pPr>
        <w:ind w:firstLine="640" w:firstLineChars="200"/>
        <w:rPr>
          <w:rFonts w:eastAsia="仿宋_GB2312"/>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eastAsia="仿宋_GB2312"/>
          <w:sz w:val="32"/>
          <w:szCs w:val="32"/>
          <w:lang w:val="zh-CN"/>
        </w:rPr>
        <w:t>有机产业发展，带动农产品提档升级，解决剩余劳动力就业，群众对有机产品认证工作满意度进一步提升。</w:t>
      </w:r>
    </w:p>
    <w:p w14:paraId="4BB797E0">
      <w:pPr>
        <w:spacing w:line="578" w:lineRule="exact"/>
        <w:ind w:firstLine="640"/>
        <w:rPr>
          <w:rFonts w:eastAsia="仿宋_GB2312"/>
          <w:sz w:val="32"/>
          <w:szCs w:val="32"/>
          <w:lang w:val="zh-CN"/>
        </w:rPr>
      </w:pPr>
      <w:r>
        <w:rPr>
          <w:rFonts w:hint="eastAsia" w:eastAsia="仿宋_GB2312" w:cs="仿宋_GB2312"/>
          <w:kern w:val="0"/>
          <w:sz w:val="32"/>
          <w:szCs w:val="32"/>
        </w:rPr>
        <w:t>3.基础设施。</w:t>
      </w:r>
      <w:r>
        <w:rPr>
          <w:rFonts w:eastAsia="仿宋_GB2312"/>
          <w:sz w:val="32"/>
          <w:szCs w:val="32"/>
          <w:lang w:val="zh-CN"/>
        </w:rPr>
        <w:t>项目按预期目标完成，完成情况良好。</w:t>
      </w:r>
    </w:p>
    <w:p w14:paraId="24F2A19F">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eastAsia="仿宋_GB2312"/>
          <w:sz w:val="32"/>
          <w:szCs w:val="32"/>
          <w:lang w:val="zh-CN"/>
        </w:rPr>
      </w:pPr>
      <w:r>
        <w:rPr>
          <w:rFonts w:hint="eastAsia" w:eastAsia="仿宋_GB2312" w:cs="仿宋_GB2312"/>
          <w:kern w:val="0"/>
          <w:sz w:val="32"/>
          <w:szCs w:val="32"/>
        </w:rPr>
        <w:t>4.</w:t>
      </w:r>
      <w:r>
        <w:rPr>
          <w:rFonts w:hint="eastAsia" w:eastAsia="仿宋_GB2312" w:cs="仿宋_GB2312"/>
          <w:kern w:val="0"/>
          <w:sz w:val="32"/>
          <w:szCs w:val="32"/>
          <w:lang w:val="zh-CN"/>
        </w:rPr>
        <w:t>行政运转。</w:t>
      </w:r>
      <w:r>
        <w:rPr>
          <w:rFonts w:eastAsia="仿宋_GB2312"/>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3B7306DE">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eastAsia="楷体_GB2312"/>
          <w:b/>
          <w:sz w:val="32"/>
          <w:szCs w:val="32"/>
          <w:lang w:val="zh-CN"/>
        </w:rPr>
      </w:pPr>
      <w:r>
        <w:rPr>
          <w:rFonts w:hint="eastAsia" w:eastAsia="楷体_GB2312"/>
          <w:b/>
          <w:sz w:val="32"/>
          <w:szCs w:val="32"/>
          <w:lang w:val="zh-CN"/>
        </w:rPr>
        <w:t>（三）个性指标绩效分析。无</w:t>
      </w:r>
    </w:p>
    <w:p w14:paraId="686C9828">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36EC51FA">
      <w:pPr>
        <w:ind w:firstLine="640" w:firstLineChars="200"/>
        <w:rPr>
          <w:rFonts w:eastAsia="仿宋_GB2312"/>
          <w:sz w:val="32"/>
          <w:szCs w:val="32"/>
          <w:lang w:val="zh-CN"/>
        </w:rPr>
      </w:pPr>
      <w:r>
        <w:rPr>
          <w:rFonts w:eastAsia="仿宋_GB2312"/>
          <w:sz w:val="32"/>
          <w:szCs w:val="32"/>
          <w:lang w:val="zh-CN"/>
        </w:rPr>
        <w:t>该项目自评总分</w:t>
      </w:r>
      <w:r>
        <w:rPr>
          <w:rFonts w:hint="eastAsia" w:eastAsia="仿宋_GB2312"/>
          <w:sz w:val="32"/>
          <w:szCs w:val="32"/>
        </w:rPr>
        <w:t>100</w:t>
      </w:r>
      <w:r>
        <w:rPr>
          <w:rFonts w:eastAsia="仿宋_GB2312"/>
          <w:sz w:val="32"/>
          <w:szCs w:val="32"/>
        </w:rPr>
        <w:t>分。</w:t>
      </w:r>
      <w:r>
        <w:rPr>
          <w:rFonts w:eastAsia="仿宋_GB2312"/>
          <w:sz w:val="32"/>
          <w:szCs w:val="32"/>
          <w:lang w:val="zh-CN"/>
        </w:rPr>
        <w:t>一是生态效益较为显著。通过发展有机产业，有利于实现水利、道路综合配套，不使用化肥、农药、激素，生产出有机特色农产品，改善了人们生活质量，提高了植被和林木覆盖率，增强了水土保持能力，净化了空气，减少了水土流失和环境污染，改善了农业生产环境，促进生态环境的良性循环。二是社会效益不断凸显。通过有机产业基地的建设，改善了农业基础设施条件，增加了农民就业渠道，提高了劳动者科学文化水平，促进了农业增效、农民增收，营造了人与自然和谐发展的环境，解决了农村剩余劳动力问题，带动了包装、运销、农业观光旅游等相关产业的发展，其社会效益十分显著。三是经济效益逐步显现。创建工作实施以来，盐边县着力从有机产品的品牌创建、质量提升、新产品研发、产品宣传等方面着手，积极争取有机消费群体，进一步推进了盐边县有机产业深入发展。通过有机产品认证示范区创建工作的促进和推动作用，盐边县有机产业取得了比较明显的经济效益。</w:t>
      </w:r>
      <w:r>
        <w:rPr>
          <w:rFonts w:hint="eastAsia" w:eastAsia="仿宋_GB2312"/>
          <w:sz w:val="32"/>
          <w:szCs w:val="32"/>
        </w:rPr>
        <w:t>2024年全县获得有机产品认证企业4家，证书4张，产品5</w:t>
      </w:r>
      <w:r>
        <w:rPr>
          <w:rFonts w:hint="eastAsia" w:eastAsia="仿宋_GB2312"/>
          <w:sz w:val="32"/>
          <w:szCs w:val="32"/>
          <w:lang w:eastAsia="zh-Hans"/>
        </w:rPr>
        <w:t>个</w:t>
      </w:r>
      <w:r>
        <w:rPr>
          <w:rFonts w:hint="eastAsia" w:eastAsia="仿宋_GB2312"/>
          <w:sz w:val="32"/>
          <w:szCs w:val="32"/>
        </w:rPr>
        <w:t>（猕猴桃、</w:t>
      </w:r>
      <w:r>
        <w:rPr>
          <w:rFonts w:hint="eastAsia" w:eastAsia="仿宋_GB2312"/>
          <w:sz w:val="32"/>
          <w:szCs w:val="32"/>
          <w:lang w:eastAsia="zh-CN"/>
        </w:rPr>
        <w:t>桑葚</w:t>
      </w:r>
      <w:r>
        <w:rPr>
          <w:rFonts w:hint="eastAsia" w:eastAsia="仿宋_GB2312"/>
          <w:sz w:val="32"/>
          <w:szCs w:val="32"/>
        </w:rPr>
        <w:t>、脐橙、沃柑、鲜竹笋），有机认证面积115.83公顷；获得有机转换认证企业7家，证书7张，产品8个（</w:t>
      </w:r>
      <w:r>
        <w:rPr>
          <w:rFonts w:hint="eastAsia" w:eastAsia="仿宋_GB2312"/>
          <w:sz w:val="32"/>
          <w:szCs w:val="32"/>
          <w:lang w:eastAsia="zh-CN"/>
        </w:rPr>
        <w:t>桑葚</w:t>
      </w:r>
      <w:r>
        <w:rPr>
          <w:rFonts w:hint="eastAsia" w:eastAsia="仿宋_GB2312"/>
          <w:sz w:val="32"/>
          <w:szCs w:val="32"/>
        </w:rPr>
        <w:t>、核桃、青花椒、绵羊、紫花苜蓿、稻谷）有机转换企业认证面积：1856.62公顷，产值（含：转换）1520万元。</w:t>
      </w:r>
    </w:p>
    <w:p w14:paraId="3B390004">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37390592">
      <w:pPr>
        <w:spacing w:line="578" w:lineRule="exact"/>
        <w:ind w:firstLine="640"/>
        <w:rPr>
          <w:rFonts w:eastAsia="仿宋_GB2312" w:cs="仿宋_GB2312"/>
          <w:kern w:val="0"/>
          <w:sz w:val="32"/>
          <w:szCs w:val="32"/>
        </w:rPr>
      </w:pPr>
      <w:r>
        <w:rPr>
          <w:rFonts w:hint="eastAsia" w:eastAsia="仿宋_GB2312" w:cs="仿宋_GB2312"/>
          <w:kern w:val="0"/>
          <w:sz w:val="32"/>
          <w:szCs w:val="32"/>
        </w:rPr>
        <w:t>有机奖补资金偏低，不利于农业企业参与有机产品认证的积极性，阻碍了有机产业健康发展。</w:t>
      </w:r>
    </w:p>
    <w:p w14:paraId="407876FD">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1A6EDB6F">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3754AD51">
      <w:pPr>
        <w:pStyle w:val="10"/>
        <w:rPr>
          <w:rFonts w:eastAsia="仿宋_GB2312" w:cs="仿宋_GB2312"/>
          <w:kern w:val="0"/>
          <w:sz w:val="32"/>
          <w:szCs w:val="32"/>
        </w:rPr>
      </w:pPr>
    </w:p>
    <w:p w14:paraId="291C53B9">
      <w:pPr>
        <w:pStyle w:val="10"/>
        <w:rPr>
          <w:rFonts w:eastAsia="仿宋_GB2312" w:cs="仿宋_GB2312"/>
          <w:kern w:val="0"/>
          <w:sz w:val="32"/>
          <w:szCs w:val="32"/>
        </w:rPr>
      </w:pPr>
    </w:p>
    <w:p w14:paraId="140E1E40">
      <w:pPr>
        <w:pStyle w:val="10"/>
        <w:rPr>
          <w:rFonts w:eastAsia="仿宋_GB2312" w:cs="仿宋_GB2312"/>
          <w:kern w:val="0"/>
          <w:sz w:val="32"/>
          <w:szCs w:val="32"/>
        </w:rPr>
      </w:pPr>
    </w:p>
    <w:p w14:paraId="32028561">
      <w:pPr>
        <w:pStyle w:val="10"/>
        <w:rPr>
          <w:rFonts w:eastAsia="仿宋_GB2312" w:cs="仿宋_GB2312"/>
          <w:kern w:val="0"/>
          <w:sz w:val="32"/>
          <w:szCs w:val="32"/>
        </w:rPr>
      </w:pPr>
    </w:p>
    <w:p w14:paraId="6331E120">
      <w:pPr>
        <w:pStyle w:val="10"/>
        <w:rPr>
          <w:rFonts w:eastAsia="仿宋_GB2312" w:cs="仿宋_GB2312"/>
          <w:kern w:val="0"/>
          <w:sz w:val="32"/>
          <w:szCs w:val="32"/>
        </w:rPr>
      </w:pPr>
    </w:p>
    <w:p w14:paraId="67043C1B">
      <w:pPr>
        <w:pStyle w:val="10"/>
        <w:rPr>
          <w:rFonts w:eastAsia="仿宋_GB2312" w:cs="仿宋_GB2312"/>
          <w:kern w:val="0"/>
          <w:sz w:val="32"/>
          <w:szCs w:val="32"/>
        </w:rPr>
      </w:pPr>
    </w:p>
    <w:p w14:paraId="09DD9B49">
      <w:pPr>
        <w:pStyle w:val="10"/>
        <w:rPr>
          <w:rFonts w:eastAsia="仿宋_GB2312" w:cs="仿宋_GB2312"/>
          <w:kern w:val="0"/>
          <w:sz w:val="32"/>
          <w:szCs w:val="32"/>
        </w:rPr>
      </w:pPr>
    </w:p>
    <w:p w14:paraId="2AC43F49">
      <w:pPr>
        <w:pStyle w:val="10"/>
        <w:rPr>
          <w:rFonts w:eastAsia="仿宋_GB2312" w:cs="仿宋_GB2312"/>
          <w:kern w:val="0"/>
          <w:sz w:val="32"/>
          <w:szCs w:val="32"/>
        </w:rPr>
      </w:pPr>
    </w:p>
    <w:p w14:paraId="78C0B6D0">
      <w:pPr>
        <w:pStyle w:val="10"/>
        <w:rPr>
          <w:rFonts w:eastAsia="仿宋_GB2312" w:cs="仿宋_GB2312"/>
          <w:kern w:val="0"/>
          <w:sz w:val="32"/>
          <w:szCs w:val="32"/>
        </w:rPr>
      </w:pPr>
    </w:p>
    <w:p w14:paraId="3F3C2D3F">
      <w:pPr>
        <w:pStyle w:val="10"/>
        <w:rPr>
          <w:rFonts w:eastAsia="仿宋_GB2312" w:cs="仿宋_GB2312"/>
          <w:kern w:val="0"/>
          <w:sz w:val="32"/>
          <w:szCs w:val="32"/>
        </w:rPr>
      </w:pPr>
    </w:p>
    <w:p w14:paraId="72DEE245">
      <w:pPr>
        <w:pStyle w:val="10"/>
        <w:rPr>
          <w:rFonts w:eastAsia="仿宋_GB2312" w:cs="仿宋_GB2312"/>
          <w:kern w:val="0"/>
          <w:sz w:val="32"/>
          <w:szCs w:val="32"/>
        </w:rPr>
      </w:pPr>
    </w:p>
    <w:p w14:paraId="53167523">
      <w:pPr>
        <w:pStyle w:val="10"/>
        <w:rPr>
          <w:rFonts w:eastAsia="仿宋_GB2312" w:cs="仿宋_GB2312"/>
          <w:kern w:val="0"/>
          <w:sz w:val="32"/>
          <w:szCs w:val="32"/>
        </w:rPr>
      </w:pPr>
    </w:p>
    <w:p w14:paraId="7A6D8EDE">
      <w:pPr>
        <w:pStyle w:val="10"/>
        <w:rPr>
          <w:rFonts w:eastAsia="仿宋_GB2312" w:cs="仿宋_GB2312"/>
          <w:kern w:val="0"/>
          <w:sz w:val="32"/>
          <w:szCs w:val="32"/>
        </w:rPr>
      </w:pPr>
    </w:p>
    <w:p w14:paraId="5D8B543A">
      <w:pPr>
        <w:pStyle w:val="10"/>
        <w:rPr>
          <w:rFonts w:eastAsia="仿宋_GB2312" w:cs="仿宋_GB2312"/>
          <w:kern w:val="0"/>
          <w:sz w:val="32"/>
          <w:szCs w:val="32"/>
        </w:rPr>
      </w:pPr>
    </w:p>
    <w:p w14:paraId="4EC2ECE0">
      <w:pPr>
        <w:pStyle w:val="10"/>
        <w:rPr>
          <w:rFonts w:eastAsia="仿宋_GB2312" w:cs="仿宋_GB2312"/>
          <w:kern w:val="0"/>
          <w:sz w:val="32"/>
          <w:szCs w:val="32"/>
        </w:rPr>
      </w:pPr>
    </w:p>
    <w:p w14:paraId="627325A3">
      <w:pPr>
        <w:pStyle w:val="10"/>
        <w:rPr>
          <w:rFonts w:eastAsia="仿宋_GB2312" w:cs="仿宋_GB2312"/>
          <w:kern w:val="0"/>
          <w:sz w:val="32"/>
          <w:szCs w:val="32"/>
        </w:rPr>
      </w:pPr>
    </w:p>
    <w:p w14:paraId="3F79FDDC">
      <w:pPr>
        <w:pStyle w:val="10"/>
        <w:rPr>
          <w:rFonts w:eastAsia="仿宋_GB2312" w:cs="仿宋_GB2312"/>
          <w:kern w:val="0"/>
          <w:sz w:val="32"/>
          <w:szCs w:val="32"/>
        </w:rPr>
      </w:pPr>
    </w:p>
    <w:p w14:paraId="51DBEBEF">
      <w:pPr>
        <w:pStyle w:val="10"/>
        <w:rPr>
          <w:rFonts w:eastAsia="仿宋_GB2312" w:cs="仿宋_GB2312"/>
          <w:kern w:val="0"/>
          <w:sz w:val="32"/>
          <w:szCs w:val="32"/>
        </w:rPr>
      </w:pPr>
    </w:p>
    <w:p w14:paraId="39014B91">
      <w:pPr>
        <w:pStyle w:val="10"/>
        <w:rPr>
          <w:rFonts w:eastAsia="仿宋_GB2312" w:cs="仿宋_GB2312"/>
          <w:kern w:val="0"/>
          <w:sz w:val="32"/>
          <w:szCs w:val="32"/>
        </w:rPr>
      </w:pPr>
    </w:p>
    <w:p w14:paraId="794ABA47">
      <w:pPr>
        <w:pStyle w:val="10"/>
        <w:rPr>
          <w:rFonts w:eastAsia="仿宋_GB2312" w:cs="仿宋_GB2312"/>
          <w:kern w:val="0"/>
          <w:sz w:val="32"/>
          <w:szCs w:val="32"/>
        </w:rPr>
      </w:pPr>
    </w:p>
    <w:p w14:paraId="48361F88">
      <w:pPr>
        <w:pStyle w:val="10"/>
        <w:rPr>
          <w:rFonts w:eastAsia="仿宋_GB2312" w:cs="仿宋_GB2312"/>
          <w:kern w:val="0"/>
          <w:sz w:val="32"/>
          <w:szCs w:val="32"/>
        </w:rPr>
      </w:pPr>
    </w:p>
    <w:p w14:paraId="00780A0D">
      <w:pPr>
        <w:spacing w:line="0" w:lineRule="atLeast"/>
        <w:jc w:val="center"/>
        <w:rPr>
          <w:rFonts w:eastAsia="方正小标宋简体"/>
          <w:sz w:val="44"/>
          <w:szCs w:val="44"/>
        </w:rPr>
      </w:pPr>
      <w:r>
        <w:rPr>
          <w:rFonts w:eastAsia="方正小标宋简体"/>
          <w:sz w:val="44"/>
          <w:szCs w:val="44"/>
        </w:rPr>
        <w:t>重点产（商）品及地理标志产品监督抽检</w:t>
      </w:r>
    </w:p>
    <w:p w14:paraId="34721642">
      <w:pPr>
        <w:pStyle w:val="35"/>
        <w:spacing w:line="0" w:lineRule="atLeast"/>
        <w:jc w:val="center"/>
        <w:rPr>
          <w:rFonts w:ascii="Times New Roman" w:hAnsi="Times New Roman" w:eastAsia="方正小标宋简体" w:cs="方正小标宋简体"/>
          <w:color w:val="auto"/>
          <w:kern w:val="2"/>
          <w:sz w:val="44"/>
          <w:szCs w:val="44"/>
          <w:lang w:val="en-US"/>
        </w:rPr>
      </w:pPr>
      <w:r>
        <w:rPr>
          <w:rFonts w:ascii="Times New Roman" w:hAnsi="Times New Roman" w:eastAsia="方正小标宋简体"/>
          <w:sz w:val="44"/>
          <w:szCs w:val="44"/>
        </w:rPr>
        <w:t>专项预算项目绩效评价报告</w:t>
      </w:r>
    </w:p>
    <w:p w14:paraId="76C4BFA1">
      <w:pPr>
        <w:pStyle w:val="35"/>
        <w:spacing w:line="0" w:lineRule="atLeast"/>
        <w:jc w:val="center"/>
        <w:rPr>
          <w:rFonts w:ascii="Times New Roman" w:hAnsi="Times New Roman"/>
          <w:color w:val="auto"/>
          <w:kern w:val="2"/>
          <w:sz w:val="32"/>
          <w:szCs w:val="32"/>
        </w:rPr>
      </w:pPr>
    </w:p>
    <w:p w14:paraId="63E4D53A">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4FE8E7E5">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eastAsia="仿宋_GB2312"/>
          <w:sz w:val="32"/>
          <w:szCs w:val="32"/>
          <w:lang w:val="zh-CN"/>
        </w:rPr>
        <w:t>盐边</w:t>
      </w:r>
      <w:r>
        <w:rPr>
          <w:rFonts w:hint="eastAsia" w:eastAsia="仿宋_GB2312"/>
          <w:sz w:val="32"/>
          <w:szCs w:val="32"/>
          <w:lang w:val="zh-CN"/>
        </w:rPr>
        <w:t>县</w:t>
      </w:r>
      <w:r>
        <w:rPr>
          <w:rFonts w:eastAsia="仿宋_GB2312"/>
          <w:sz w:val="32"/>
          <w:szCs w:val="32"/>
          <w:lang w:val="zh-CN"/>
        </w:rPr>
        <w:t>市场监督管理局为认真贯彻落实国家总局、省局、市局和县委、县政府对产商品安全的严格要求。加强产品质量监管，保护消费者的合法权益，净化市场环境，质量保障体系更加完善，质量安全指标水平稳步提高；对地理标志产品的质量进行监督，提升地理标志产品的品质。</w:t>
      </w:r>
    </w:p>
    <w:p w14:paraId="583CF634">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eastAsia="仿宋_GB2312"/>
          <w:sz w:val="32"/>
          <w:szCs w:val="32"/>
          <w:lang w:val="zh-CN"/>
        </w:rPr>
        <w:t>该项目旨在加强产品质量监管，保护消费者的合法权益，净化市场环境，完善质量保障体系，监督地理标志产品的质量，提升地理标志产品的品质。支持方向为对202</w:t>
      </w:r>
      <w:r>
        <w:rPr>
          <w:rFonts w:hint="eastAsia" w:eastAsia="仿宋_GB2312"/>
          <w:sz w:val="32"/>
          <w:szCs w:val="32"/>
        </w:rPr>
        <w:t>4</w:t>
      </w:r>
      <w:r>
        <w:rPr>
          <w:rFonts w:eastAsia="仿宋_GB2312"/>
          <w:sz w:val="32"/>
          <w:szCs w:val="32"/>
          <w:lang w:val="zh-CN"/>
        </w:rPr>
        <w:t>年部分重点工业产品进行监督抽查。</w:t>
      </w:r>
    </w:p>
    <w:p w14:paraId="40445BE4">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sz w:val="32"/>
          <w:szCs w:val="32"/>
          <w:lang w:val="zh-CN"/>
        </w:rPr>
        <w:t>202</w:t>
      </w:r>
      <w:r>
        <w:rPr>
          <w:rFonts w:hint="eastAsia" w:eastAsia="仿宋_GB2312"/>
          <w:sz w:val="32"/>
          <w:szCs w:val="32"/>
        </w:rPr>
        <w:t>4</w:t>
      </w:r>
      <w:r>
        <w:rPr>
          <w:rFonts w:eastAsia="仿宋_GB2312"/>
          <w:sz w:val="32"/>
          <w:szCs w:val="32"/>
          <w:lang w:val="zh-CN"/>
        </w:rPr>
        <w:t>年项目预算总资金为</w:t>
      </w:r>
      <w:r>
        <w:rPr>
          <w:rFonts w:hint="eastAsia" w:eastAsia="仿宋_GB2312"/>
          <w:sz w:val="32"/>
          <w:szCs w:val="32"/>
        </w:rPr>
        <w:t>12</w:t>
      </w:r>
      <w:r>
        <w:rPr>
          <w:rFonts w:eastAsia="仿宋_GB2312"/>
          <w:sz w:val="32"/>
          <w:szCs w:val="32"/>
          <w:lang w:val="zh-CN"/>
        </w:rPr>
        <w:t>万元，下达我单位工业产品抽检项目经费共计5万元。用于完成202</w:t>
      </w:r>
      <w:r>
        <w:rPr>
          <w:rFonts w:hint="eastAsia" w:eastAsia="仿宋_GB2312"/>
          <w:sz w:val="32"/>
          <w:szCs w:val="32"/>
        </w:rPr>
        <w:t>4</w:t>
      </w:r>
      <w:r>
        <w:rPr>
          <w:rFonts w:eastAsia="仿宋_GB2312"/>
          <w:sz w:val="32"/>
          <w:szCs w:val="32"/>
          <w:lang w:val="zh-CN"/>
        </w:rPr>
        <w:t>年度对县域行政区域内部分重点工业产品的监督抽查。</w:t>
      </w:r>
    </w:p>
    <w:p w14:paraId="1C4966FF">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eastAsia="仿宋_GB2312"/>
          <w:sz w:val="32"/>
          <w:szCs w:val="32"/>
          <w:lang w:val="zh-CN"/>
        </w:rPr>
        <w:t>根据盐边县市场监督管理局202</w:t>
      </w:r>
      <w:r>
        <w:rPr>
          <w:rFonts w:hint="eastAsia" w:eastAsia="仿宋_GB2312"/>
          <w:sz w:val="32"/>
          <w:szCs w:val="32"/>
        </w:rPr>
        <w:t>4</w:t>
      </w:r>
      <w:r>
        <w:rPr>
          <w:rFonts w:eastAsia="仿宋_GB2312"/>
          <w:sz w:val="32"/>
          <w:szCs w:val="32"/>
          <w:lang w:val="zh-CN"/>
        </w:rPr>
        <w:t>年工业产品质量监督抽查实施方案完成县级重点工业产品抽检4</w:t>
      </w:r>
      <w:r>
        <w:rPr>
          <w:rFonts w:hint="eastAsia" w:eastAsia="仿宋_GB2312"/>
          <w:sz w:val="32"/>
          <w:szCs w:val="32"/>
        </w:rPr>
        <w:t>0</w:t>
      </w:r>
      <w:r>
        <w:rPr>
          <w:rFonts w:eastAsia="仿宋_GB2312"/>
          <w:sz w:val="32"/>
          <w:szCs w:val="32"/>
          <w:lang w:val="zh-CN"/>
        </w:rPr>
        <w:t>批次。</w:t>
      </w:r>
    </w:p>
    <w:p w14:paraId="72C5F292">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7AA152CB">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eastAsia="仿宋_GB2312"/>
          <w:sz w:val="32"/>
          <w:szCs w:val="32"/>
          <w:lang w:val="zh-CN"/>
        </w:rPr>
        <w:t>确保开展的产品质量监督与风险监测达到预期目标，实现提升地理标志产品品质的目的。</w:t>
      </w:r>
    </w:p>
    <w:p w14:paraId="6D7DD206">
      <w:pPr>
        <w:adjustRightInd w:val="0"/>
        <w:snapToGrid w:val="0"/>
        <w:spacing w:line="578" w:lineRule="exact"/>
        <w:ind w:firstLine="643" w:firstLineChars="200"/>
        <w:rPr>
          <w:rFonts w:eastAsia="仿宋_GB2312" w:cs="仿宋_GB2312"/>
          <w:kern w:val="0"/>
          <w:sz w:val="32"/>
          <w:szCs w:val="32"/>
        </w:rPr>
      </w:pPr>
      <w:r>
        <w:rPr>
          <w:rFonts w:hint="eastAsia" w:eastAsia="楷体_GB2312"/>
          <w:b/>
          <w:sz w:val="32"/>
          <w:szCs w:val="32"/>
          <w:lang w:val="zh-CN"/>
        </w:rPr>
        <w:t>（二）预设问题及评价重点。</w:t>
      </w:r>
      <w:r>
        <w:rPr>
          <w:rFonts w:eastAsia="仿宋_GB2312"/>
          <w:sz w:val="32"/>
          <w:szCs w:val="32"/>
          <w:lang w:val="zh-CN"/>
        </w:rPr>
        <w:t>重点在于确保项目申报内容与具体实施内容相符、申报目标合理可行。项目实施结果</w:t>
      </w:r>
      <w:r>
        <w:rPr>
          <w:rFonts w:hint="eastAsia" w:eastAsia="仿宋_GB2312"/>
          <w:sz w:val="32"/>
          <w:szCs w:val="32"/>
          <w:lang w:val="zh-CN"/>
        </w:rPr>
        <w:t>达到</w:t>
      </w:r>
      <w:r>
        <w:rPr>
          <w:rFonts w:eastAsia="仿宋_GB2312"/>
          <w:sz w:val="32"/>
          <w:szCs w:val="32"/>
          <w:lang w:val="zh-CN"/>
        </w:rPr>
        <w:t>预期</w:t>
      </w:r>
      <w:r>
        <w:rPr>
          <w:rFonts w:hint="eastAsia" w:eastAsia="仿宋_GB2312"/>
          <w:sz w:val="32"/>
          <w:szCs w:val="32"/>
          <w:lang w:val="zh-CN"/>
        </w:rPr>
        <w:t>。</w:t>
      </w:r>
    </w:p>
    <w:p w14:paraId="3B64C672">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eastAsia="仿宋_GB2312"/>
          <w:sz w:val="32"/>
          <w:szCs w:val="32"/>
          <w:lang w:val="zh-CN"/>
        </w:rPr>
        <w:t>项目绩效自评所抽样点位符合。</w:t>
      </w:r>
    </w:p>
    <w:p w14:paraId="11AED4E1">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eastAsia="仿宋_GB2312"/>
          <w:sz w:val="32"/>
          <w:szCs w:val="32"/>
          <w:lang w:val="zh-CN"/>
        </w:rPr>
        <w:t>根据项目情况和评价重点，采用单位自评法。</w:t>
      </w:r>
    </w:p>
    <w:p w14:paraId="5CD75055">
      <w:pPr>
        <w:spacing w:line="578" w:lineRule="exact"/>
        <w:ind w:firstLine="640"/>
        <w:rPr>
          <w:rFonts w:eastAsia="仿宋_GB2312"/>
          <w:bCs/>
        </w:rPr>
      </w:pPr>
      <w:r>
        <w:rPr>
          <w:rFonts w:hint="eastAsia" w:eastAsia="楷体_GB2312"/>
          <w:b/>
          <w:sz w:val="32"/>
          <w:szCs w:val="32"/>
          <w:lang w:val="zh-CN"/>
        </w:rPr>
        <w:t>（五）评价组织。</w:t>
      </w:r>
      <w:r>
        <w:rPr>
          <w:rFonts w:eastAsia="仿宋_GB2312"/>
          <w:sz w:val="32"/>
          <w:szCs w:val="32"/>
          <w:lang w:val="zh-CN"/>
        </w:rPr>
        <w:t>盐边县市场监督管理局</w:t>
      </w:r>
      <w:r>
        <w:rPr>
          <w:rFonts w:hint="eastAsia" w:eastAsia="仿宋_GB2312"/>
          <w:sz w:val="32"/>
          <w:szCs w:val="32"/>
          <w:lang w:val="zh-CN"/>
        </w:rPr>
        <w:t>质量发展与认证认可股</w:t>
      </w:r>
      <w:r>
        <w:rPr>
          <w:rFonts w:eastAsia="仿宋_GB2312"/>
          <w:sz w:val="32"/>
          <w:szCs w:val="32"/>
          <w:lang w:val="zh-CN"/>
        </w:rPr>
        <w:t>工作人员</w:t>
      </w:r>
      <w:r>
        <w:rPr>
          <w:rFonts w:eastAsia="仿宋_GB2312"/>
          <w:sz w:val="32"/>
          <w:szCs w:val="32"/>
        </w:rPr>
        <w:t>2</w:t>
      </w:r>
      <w:r>
        <w:rPr>
          <w:rFonts w:eastAsia="仿宋_GB2312"/>
          <w:sz w:val="32"/>
          <w:szCs w:val="32"/>
          <w:lang w:val="zh-CN"/>
        </w:rPr>
        <w:t>人。</w:t>
      </w:r>
    </w:p>
    <w:p w14:paraId="4ADB6E60">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26F70361">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1BEC4FF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eastAsia="仿宋_GB2312"/>
          <w:sz w:val="32"/>
          <w:szCs w:val="32"/>
          <w:lang w:val="zh-CN"/>
        </w:rPr>
        <w:t>项目立项依据充分，决策程序规范，符合相关政策法规要求。盐边</w:t>
      </w:r>
      <w:r>
        <w:rPr>
          <w:rFonts w:hint="eastAsia" w:eastAsia="仿宋_GB2312"/>
          <w:sz w:val="32"/>
          <w:szCs w:val="32"/>
          <w:lang w:val="zh-CN"/>
        </w:rPr>
        <w:t>县</w:t>
      </w:r>
      <w:r>
        <w:rPr>
          <w:rFonts w:eastAsia="仿宋_GB2312"/>
          <w:sz w:val="32"/>
          <w:szCs w:val="32"/>
          <w:lang w:val="zh-CN"/>
        </w:rPr>
        <w:t>市场监督管理局为认真贯彻落实国家总局、省局、市局和县委、县政府对产商品安全的严格要求。科学决策，合理申报目标。202</w:t>
      </w:r>
      <w:r>
        <w:rPr>
          <w:rFonts w:hint="eastAsia" w:eastAsia="仿宋_GB2312"/>
          <w:sz w:val="32"/>
          <w:szCs w:val="32"/>
        </w:rPr>
        <w:t>4</w:t>
      </w:r>
      <w:r>
        <w:rPr>
          <w:rFonts w:eastAsia="仿宋_GB2312"/>
          <w:sz w:val="32"/>
          <w:szCs w:val="32"/>
          <w:lang w:val="zh-CN"/>
        </w:rPr>
        <w:t>年度对县域行政区域内部分重点工业产品的监督抽查4</w:t>
      </w:r>
      <w:r>
        <w:rPr>
          <w:rFonts w:hint="eastAsia" w:eastAsia="仿宋_GB2312"/>
          <w:sz w:val="32"/>
          <w:szCs w:val="32"/>
        </w:rPr>
        <w:t>0</w:t>
      </w:r>
      <w:r>
        <w:rPr>
          <w:rFonts w:eastAsia="仿宋_GB2312"/>
          <w:sz w:val="32"/>
          <w:szCs w:val="32"/>
          <w:lang w:val="zh-CN"/>
        </w:rPr>
        <w:t>批次</w:t>
      </w:r>
      <w:r>
        <w:rPr>
          <w:rFonts w:hint="eastAsia" w:eastAsia="仿宋_GB2312" w:cs="仿宋_GB2312"/>
          <w:kern w:val="0"/>
          <w:sz w:val="32"/>
          <w:szCs w:val="32"/>
          <w:lang w:val="zh-CN"/>
        </w:rPr>
        <w:t>。</w:t>
      </w:r>
    </w:p>
    <w:p w14:paraId="179AE03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eastAsia="仿宋_GB2312"/>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AA81DD7">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eastAsia="仿宋_GB2312"/>
          <w:sz w:val="32"/>
          <w:szCs w:val="32"/>
          <w:lang w:val="zh-CN"/>
        </w:rPr>
        <w:t>完成工业产品和消费品共1</w:t>
      </w:r>
      <w:r>
        <w:rPr>
          <w:rFonts w:hint="eastAsia" w:eastAsia="仿宋_GB2312"/>
          <w:sz w:val="32"/>
          <w:szCs w:val="32"/>
        </w:rPr>
        <w:t>6</w:t>
      </w:r>
      <w:r>
        <w:rPr>
          <w:rFonts w:eastAsia="仿宋_GB2312"/>
          <w:sz w:val="32"/>
          <w:szCs w:val="32"/>
          <w:lang w:val="zh-CN"/>
        </w:rPr>
        <w:t>种产品，4</w:t>
      </w:r>
      <w:r>
        <w:rPr>
          <w:rFonts w:hint="eastAsia" w:eastAsia="仿宋_GB2312"/>
          <w:sz w:val="32"/>
          <w:szCs w:val="32"/>
        </w:rPr>
        <w:t>0</w:t>
      </w:r>
      <w:r>
        <w:rPr>
          <w:rFonts w:eastAsia="仿宋_GB2312"/>
          <w:sz w:val="32"/>
          <w:szCs w:val="32"/>
          <w:lang w:val="zh-CN"/>
        </w:rPr>
        <w:t>组样品实施监督抽检任务，提升全县人民的重点工业产品安全保障，群众满意度不低于90%；重点对学生用品、</w:t>
      </w:r>
      <w:r>
        <w:rPr>
          <w:rFonts w:hint="eastAsia" w:eastAsia="仿宋_GB2312"/>
          <w:sz w:val="32"/>
          <w:szCs w:val="32"/>
          <w:lang w:val="zh-CN"/>
        </w:rPr>
        <w:t>农用</w:t>
      </w:r>
      <w:r>
        <w:rPr>
          <w:rFonts w:eastAsia="仿宋_GB2312"/>
          <w:sz w:val="32"/>
          <w:szCs w:val="32"/>
          <w:lang w:val="zh-CN"/>
        </w:rPr>
        <w:t>肥料、电动自行车头盔</w:t>
      </w:r>
      <w:r>
        <w:rPr>
          <w:rFonts w:hint="eastAsia" w:eastAsia="仿宋_GB2312"/>
          <w:sz w:val="32"/>
          <w:szCs w:val="32"/>
          <w:lang w:val="zh-CN"/>
        </w:rPr>
        <w:t>、</w:t>
      </w:r>
      <w:r>
        <w:rPr>
          <w:rFonts w:eastAsia="仿宋_GB2312"/>
          <w:sz w:val="32"/>
          <w:szCs w:val="32"/>
          <w:lang w:val="zh-CN"/>
        </w:rPr>
        <w:t>电线电缆、开关插座及硬聚氯乙烯（PVC-U）管材及管件等产品进行了监督抽查。</w:t>
      </w:r>
    </w:p>
    <w:p w14:paraId="70E396DE">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w:t>
      </w:r>
      <w:r>
        <w:rPr>
          <w:rFonts w:eastAsia="仿宋_GB2312"/>
          <w:sz w:val="32"/>
          <w:szCs w:val="32"/>
          <w:lang w:val="zh-CN"/>
        </w:rPr>
        <w:t>完成工业产品和消费品共1</w:t>
      </w:r>
      <w:r>
        <w:rPr>
          <w:rFonts w:hint="eastAsia" w:eastAsia="仿宋_GB2312"/>
          <w:sz w:val="32"/>
          <w:szCs w:val="32"/>
        </w:rPr>
        <w:t>6</w:t>
      </w:r>
      <w:r>
        <w:rPr>
          <w:rFonts w:eastAsia="仿宋_GB2312"/>
          <w:sz w:val="32"/>
          <w:szCs w:val="32"/>
          <w:lang w:val="zh-CN"/>
        </w:rPr>
        <w:t>种产品，4</w:t>
      </w:r>
      <w:r>
        <w:rPr>
          <w:rFonts w:hint="eastAsia" w:eastAsia="仿宋_GB2312"/>
          <w:sz w:val="32"/>
          <w:szCs w:val="32"/>
        </w:rPr>
        <w:t>0</w:t>
      </w:r>
      <w:r>
        <w:rPr>
          <w:rFonts w:eastAsia="仿宋_GB2312"/>
          <w:sz w:val="32"/>
          <w:szCs w:val="32"/>
          <w:lang w:val="zh-CN"/>
        </w:rPr>
        <w:t>组样品实施监督抽检任务，提升全县人民的重点工业产品安全保障，群众满意度不低于90%。</w:t>
      </w:r>
    </w:p>
    <w:p w14:paraId="5A62E268">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3BE3B8CE">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w:t>
      </w:r>
      <w:r>
        <w:rPr>
          <w:rFonts w:eastAsia="仿宋_GB2312"/>
          <w:sz w:val="32"/>
          <w:szCs w:val="32"/>
          <w:lang w:val="zh-CN"/>
        </w:rPr>
        <w:t>规范市场秩序，维护市场稳定，完善质量保障体系，监督地理标志产品的质量，提升地理标志产品的品质。</w:t>
      </w:r>
    </w:p>
    <w:p w14:paraId="3192D8EE">
      <w:pPr>
        <w:spacing w:line="578" w:lineRule="exact"/>
        <w:ind w:firstLine="640"/>
        <w:rPr>
          <w:rFonts w:eastAsia="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eastAsia="仿宋_GB2312"/>
          <w:sz w:val="32"/>
          <w:szCs w:val="32"/>
          <w:lang w:val="zh-CN"/>
        </w:rPr>
        <w:t>完成工业产品和消费品共1</w:t>
      </w:r>
      <w:r>
        <w:rPr>
          <w:rFonts w:hint="eastAsia" w:eastAsia="仿宋_GB2312"/>
          <w:sz w:val="32"/>
          <w:szCs w:val="32"/>
        </w:rPr>
        <w:t>6</w:t>
      </w:r>
      <w:r>
        <w:rPr>
          <w:rFonts w:eastAsia="仿宋_GB2312"/>
          <w:sz w:val="32"/>
          <w:szCs w:val="32"/>
          <w:lang w:val="zh-CN"/>
        </w:rPr>
        <w:t>种产品，4</w:t>
      </w:r>
      <w:r>
        <w:rPr>
          <w:rFonts w:hint="eastAsia" w:eastAsia="仿宋_GB2312"/>
          <w:sz w:val="32"/>
          <w:szCs w:val="32"/>
        </w:rPr>
        <w:t>0</w:t>
      </w:r>
      <w:r>
        <w:rPr>
          <w:rFonts w:eastAsia="仿宋_GB2312"/>
          <w:sz w:val="32"/>
          <w:szCs w:val="32"/>
          <w:lang w:val="zh-CN"/>
        </w:rPr>
        <w:t>组样品实施监督抽检任务，提升全县人民的重点工业产品安全保障。</w:t>
      </w:r>
    </w:p>
    <w:p w14:paraId="00086978">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w:t>
      </w:r>
      <w:r>
        <w:rPr>
          <w:rFonts w:eastAsia="仿宋_GB2312"/>
          <w:sz w:val="32"/>
          <w:szCs w:val="32"/>
          <w:lang w:val="zh-CN"/>
        </w:rPr>
        <w:t>根据盐边县市场监督管理局202</w:t>
      </w:r>
      <w:r>
        <w:rPr>
          <w:rFonts w:hint="eastAsia" w:eastAsia="仿宋_GB2312"/>
          <w:sz w:val="32"/>
          <w:szCs w:val="32"/>
        </w:rPr>
        <w:t>4</w:t>
      </w:r>
      <w:r>
        <w:rPr>
          <w:rFonts w:eastAsia="仿宋_GB2312"/>
          <w:sz w:val="32"/>
          <w:szCs w:val="32"/>
          <w:lang w:val="zh-CN"/>
        </w:rPr>
        <w:t>年工业产品质量监督抽查实施方案完成县级重点工业产品抽检4</w:t>
      </w:r>
      <w:r>
        <w:rPr>
          <w:rFonts w:hint="eastAsia" w:eastAsia="仿宋_GB2312"/>
          <w:sz w:val="32"/>
          <w:szCs w:val="32"/>
        </w:rPr>
        <w:t>0</w:t>
      </w:r>
      <w:r>
        <w:rPr>
          <w:rFonts w:eastAsia="仿宋_GB2312"/>
          <w:sz w:val="32"/>
          <w:szCs w:val="32"/>
          <w:lang w:val="zh-CN"/>
        </w:rPr>
        <w:t>批次。</w:t>
      </w:r>
    </w:p>
    <w:p w14:paraId="6E77AE6E">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w:t>
      </w:r>
      <w:r>
        <w:rPr>
          <w:rFonts w:eastAsia="仿宋_GB2312"/>
          <w:sz w:val="32"/>
          <w:szCs w:val="32"/>
          <w:lang w:val="zh-CN"/>
        </w:rPr>
        <w:t>项目申报内容与具体实施内容相符、申报目标合理可行。项目实施过程中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1F1419D0">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该项目无个性指标。</w:t>
      </w:r>
    </w:p>
    <w:p w14:paraId="5F5E9199">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21B6C7E4">
      <w:pPr>
        <w:spacing w:line="578" w:lineRule="exact"/>
        <w:ind w:firstLine="640"/>
        <w:rPr>
          <w:rFonts w:eastAsia="仿宋_GB2312"/>
          <w:sz w:val="32"/>
          <w:szCs w:val="32"/>
          <w:lang w:val="zh-CN"/>
        </w:rPr>
      </w:pPr>
      <w:r>
        <w:rPr>
          <w:rFonts w:eastAsia="仿宋_GB2312"/>
          <w:sz w:val="32"/>
          <w:szCs w:val="32"/>
          <w:lang w:val="zh-CN"/>
        </w:rPr>
        <w:t>该项目自评总分</w:t>
      </w:r>
      <w:r>
        <w:rPr>
          <w:rFonts w:hint="eastAsia" w:eastAsia="仿宋_GB2312"/>
          <w:sz w:val="32"/>
          <w:szCs w:val="32"/>
        </w:rPr>
        <w:t>100</w:t>
      </w:r>
      <w:r>
        <w:rPr>
          <w:rFonts w:eastAsia="仿宋_GB2312"/>
          <w:sz w:val="32"/>
          <w:szCs w:val="32"/>
        </w:rPr>
        <w:t>分。</w:t>
      </w:r>
      <w:r>
        <w:rPr>
          <w:rFonts w:eastAsia="仿宋_GB2312"/>
          <w:sz w:val="32"/>
          <w:szCs w:val="32"/>
          <w:lang w:val="zh-CN"/>
        </w:rPr>
        <w:t>为根据盐边县市场监督管理局202</w:t>
      </w:r>
      <w:r>
        <w:rPr>
          <w:rFonts w:hint="eastAsia" w:eastAsia="仿宋_GB2312"/>
          <w:sz w:val="32"/>
          <w:szCs w:val="32"/>
        </w:rPr>
        <w:t>4</w:t>
      </w:r>
      <w:r>
        <w:rPr>
          <w:rFonts w:eastAsia="仿宋_GB2312"/>
          <w:sz w:val="32"/>
          <w:szCs w:val="32"/>
          <w:lang w:val="zh-CN"/>
        </w:rPr>
        <w:t>年工业产品质量监督抽查实施方案完成县级重点工业产品抽检4</w:t>
      </w:r>
      <w:r>
        <w:rPr>
          <w:rFonts w:hint="eastAsia" w:eastAsia="仿宋_GB2312"/>
          <w:sz w:val="32"/>
          <w:szCs w:val="32"/>
        </w:rPr>
        <w:t>0</w:t>
      </w:r>
      <w:r>
        <w:rPr>
          <w:rFonts w:eastAsia="仿宋_GB2312"/>
          <w:sz w:val="32"/>
          <w:szCs w:val="32"/>
          <w:lang w:val="zh-CN"/>
        </w:rPr>
        <w:t>批次。</w:t>
      </w:r>
      <w:r>
        <w:rPr>
          <w:rFonts w:eastAsia="仿宋_GB2312"/>
          <w:sz w:val="32"/>
          <w:szCs w:val="32"/>
        </w:rPr>
        <w:t>该项目实际到位资金5万元，其中县本级财政资金5万元，资金到位率100%。该项目</w:t>
      </w:r>
      <w:r>
        <w:rPr>
          <w:rFonts w:eastAsia="仿宋_GB2312"/>
          <w:sz w:val="32"/>
          <w:szCs w:val="32"/>
          <w:lang w:val="zh-CN"/>
        </w:rPr>
        <w:t>保护了消费者的合法权益，净化了市场环境，提升了地理标志产品的品质。</w:t>
      </w:r>
    </w:p>
    <w:p w14:paraId="63D58BD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06029E1A">
      <w:pPr>
        <w:spacing w:line="578" w:lineRule="exact"/>
        <w:ind w:firstLine="640"/>
        <w:rPr>
          <w:rFonts w:eastAsia="仿宋_GB2312" w:cs="仿宋_GB2312"/>
          <w:kern w:val="0"/>
          <w:sz w:val="32"/>
          <w:szCs w:val="32"/>
        </w:rPr>
      </w:pPr>
      <w:r>
        <w:rPr>
          <w:rFonts w:hint="eastAsia" w:eastAsia="仿宋_GB2312" w:cs="仿宋_GB2312"/>
          <w:kern w:val="0"/>
          <w:sz w:val="32"/>
          <w:szCs w:val="32"/>
        </w:rPr>
        <w:t>预算资金与实际到账资金有差距，导致县级重点工业产品抽检覆盖面还不够广，抽检的产品种类还不够齐全。</w:t>
      </w:r>
    </w:p>
    <w:p w14:paraId="66CD5DD4">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68EA29A4">
      <w:pPr>
        <w:spacing w:line="578" w:lineRule="exact"/>
        <w:ind w:firstLine="640"/>
        <w:rPr>
          <w:rFonts w:eastAsia="仿宋_GB2312" w:cs="仿宋_GB2312"/>
          <w:kern w:val="0"/>
          <w:sz w:val="32"/>
          <w:szCs w:val="32"/>
        </w:rPr>
      </w:pPr>
      <w:r>
        <w:rPr>
          <w:rFonts w:hint="eastAsia" w:eastAsia="仿宋_GB2312" w:cs="仿宋_GB2312"/>
          <w:kern w:val="0"/>
          <w:sz w:val="32"/>
          <w:szCs w:val="32"/>
        </w:rPr>
        <w:t>建议财政按照预算资金拨付，加大对重点工业产品的抽检力度，更</w:t>
      </w:r>
      <w:r>
        <w:rPr>
          <w:rFonts w:hint="eastAsia" w:eastAsia="仿宋_GB2312" w:cs="仿宋_GB2312"/>
          <w:kern w:val="0"/>
          <w:sz w:val="32"/>
          <w:szCs w:val="32"/>
          <w:lang w:eastAsia="zh-CN"/>
        </w:rPr>
        <w:t>好地</w:t>
      </w:r>
      <w:r>
        <w:rPr>
          <w:rFonts w:eastAsia="仿宋_GB2312" w:cs="仿宋_GB2312"/>
          <w:kern w:val="0"/>
          <w:sz w:val="32"/>
          <w:szCs w:val="32"/>
          <w:lang w:val="zh-CN"/>
        </w:rPr>
        <w:t>提升全县人民的重点工业产品安全保障</w:t>
      </w:r>
      <w:r>
        <w:rPr>
          <w:rFonts w:hint="eastAsia" w:eastAsia="仿宋_GB2312" w:cs="仿宋_GB2312"/>
          <w:kern w:val="0"/>
          <w:sz w:val="32"/>
          <w:szCs w:val="32"/>
        </w:rPr>
        <w:t>。</w:t>
      </w:r>
    </w:p>
    <w:p w14:paraId="4F3410BD">
      <w:pPr>
        <w:spacing w:line="578" w:lineRule="exact"/>
        <w:ind w:firstLine="640"/>
        <w:rPr>
          <w:rFonts w:eastAsia="仿宋_GB2312" w:cs="仿宋_GB2312"/>
          <w:kern w:val="0"/>
          <w:sz w:val="32"/>
          <w:szCs w:val="32"/>
        </w:rPr>
      </w:pPr>
    </w:p>
    <w:p w14:paraId="740A0FCC">
      <w:pPr>
        <w:pStyle w:val="10"/>
        <w:rPr>
          <w:rFonts w:eastAsia="仿宋_GB2312" w:cs="仿宋_GB2312"/>
          <w:kern w:val="0"/>
          <w:sz w:val="32"/>
          <w:szCs w:val="32"/>
        </w:rPr>
      </w:pPr>
    </w:p>
    <w:p w14:paraId="5DEDC1B7">
      <w:pPr>
        <w:pStyle w:val="10"/>
        <w:rPr>
          <w:rFonts w:eastAsia="仿宋_GB2312" w:cs="仿宋_GB2312"/>
          <w:kern w:val="0"/>
          <w:sz w:val="32"/>
          <w:szCs w:val="32"/>
        </w:rPr>
      </w:pPr>
    </w:p>
    <w:p w14:paraId="395751C0">
      <w:pPr>
        <w:pStyle w:val="10"/>
        <w:rPr>
          <w:rFonts w:eastAsia="仿宋_GB2312" w:cs="仿宋_GB2312"/>
          <w:kern w:val="0"/>
          <w:sz w:val="32"/>
          <w:szCs w:val="32"/>
        </w:rPr>
      </w:pPr>
    </w:p>
    <w:p w14:paraId="2EC0EB1B">
      <w:pPr>
        <w:pStyle w:val="10"/>
        <w:rPr>
          <w:rFonts w:eastAsia="仿宋_GB2312" w:cs="仿宋_GB2312"/>
          <w:kern w:val="0"/>
          <w:sz w:val="32"/>
          <w:szCs w:val="32"/>
        </w:rPr>
      </w:pPr>
    </w:p>
    <w:p w14:paraId="178FD6E5">
      <w:pPr>
        <w:pStyle w:val="10"/>
        <w:rPr>
          <w:rFonts w:eastAsia="仿宋_GB2312" w:cs="仿宋_GB2312"/>
          <w:kern w:val="0"/>
          <w:sz w:val="32"/>
          <w:szCs w:val="32"/>
        </w:rPr>
      </w:pPr>
    </w:p>
    <w:p w14:paraId="3100073A">
      <w:pPr>
        <w:pStyle w:val="10"/>
        <w:rPr>
          <w:rFonts w:eastAsia="仿宋_GB2312" w:cs="仿宋_GB2312"/>
          <w:kern w:val="0"/>
          <w:sz w:val="32"/>
          <w:szCs w:val="32"/>
        </w:rPr>
      </w:pPr>
    </w:p>
    <w:p w14:paraId="51F193B4">
      <w:pPr>
        <w:pStyle w:val="10"/>
        <w:rPr>
          <w:rFonts w:eastAsia="仿宋_GB2312" w:cs="仿宋_GB2312"/>
          <w:kern w:val="0"/>
          <w:sz w:val="32"/>
          <w:szCs w:val="32"/>
        </w:rPr>
      </w:pPr>
    </w:p>
    <w:p w14:paraId="7768C582">
      <w:pPr>
        <w:pStyle w:val="10"/>
        <w:rPr>
          <w:rFonts w:eastAsia="仿宋_GB2312" w:cs="仿宋_GB2312"/>
          <w:kern w:val="0"/>
          <w:sz w:val="32"/>
          <w:szCs w:val="32"/>
        </w:rPr>
      </w:pPr>
    </w:p>
    <w:p w14:paraId="3314424E">
      <w:pPr>
        <w:pStyle w:val="35"/>
        <w:spacing w:line="578" w:lineRule="exact"/>
        <w:jc w:val="center"/>
        <w:rPr>
          <w:rFonts w:ascii="Times New Roman" w:hAnsi="Times New Roman" w:eastAsia="方正小标宋简体"/>
          <w:sz w:val="44"/>
          <w:szCs w:val="44"/>
        </w:rPr>
      </w:pPr>
    </w:p>
    <w:p w14:paraId="318538BB">
      <w:pPr>
        <w:pStyle w:val="35"/>
        <w:spacing w:line="578"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省级药品监管补助资金</w:t>
      </w:r>
      <w:r>
        <w:rPr>
          <w:rFonts w:ascii="Times New Roman" w:hAnsi="Times New Roman" w:eastAsia="方正小标宋简体"/>
          <w:sz w:val="44"/>
          <w:szCs w:val="44"/>
        </w:rPr>
        <w:t>专项预算项目绩效</w:t>
      </w:r>
    </w:p>
    <w:p w14:paraId="20E9C208">
      <w:pPr>
        <w:pStyle w:val="35"/>
        <w:spacing w:line="578"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评价</w:t>
      </w:r>
      <w:r>
        <w:rPr>
          <w:rFonts w:ascii="Times New Roman" w:hAnsi="Times New Roman" w:eastAsia="方正小标宋简体"/>
          <w:sz w:val="44"/>
          <w:szCs w:val="44"/>
        </w:rPr>
        <w:t>报告</w:t>
      </w:r>
    </w:p>
    <w:p w14:paraId="19F4711A">
      <w:pPr>
        <w:spacing w:line="578" w:lineRule="exact"/>
        <w:ind w:firstLine="640"/>
        <w:rPr>
          <w:rFonts w:hint="eastAsia" w:ascii="黑体" w:hAnsi="黑体" w:eastAsia="黑体" w:cs="黑体"/>
          <w:kern w:val="0"/>
          <w:sz w:val="32"/>
          <w:szCs w:val="32"/>
        </w:rPr>
      </w:pPr>
    </w:p>
    <w:p w14:paraId="508AB161">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一、项目概况</w:t>
      </w:r>
    </w:p>
    <w:p w14:paraId="4B06A313">
      <w:pPr>
        <w:ind w:firstLine="643" w:firstLineChars="200"/>
        <w:rPr>
          <w:rFonts w:hint="eastAsia" w:eastAsia="楷体_GB2312"/>
          <w:b/>
          <w:sz w:val="32"/>
          <w:szCs w:val="32"/>
          <w:lang w:val="zh-CN"/>
        </w:rPr>
      </w:pPr>
      <w:r>
        <w:rPr>
          <w:rFonts w:hint="eastAsia" w:eastAsia="楷体_GB2312"/>
          <w:b/>
          <w:sz w:val="32"/>
          <w:szCs w:val="32"/>
          <w:lang w:val="zh-CN"/>
        </w:rPr>
        <w:t>（一）项目基本情况</w:t>
      </w:r>
    </w:p>
    <w:p w14:paraId="47360B7F">
      <w:pPr>
        <w:spacing w:line="578" w:lineRule="exact"/>
        <w:ind w:firstLine="640"/>
        <w:rPr>
          <w:rFonts w:eastAsia="仿宋_GB2312"/>
          <w:sz w:val="32"/>
          <w:szCs w:val="32"/>
          <w:lang w:val="zh-CN"/>
        </w:rPr>
      </w:pPr>
      <w:r>
        <w:rPr>
          <w:rFonts w:hint="eastAsia" w:eastAsia="仿宋_GB2312"/>
          <w:sz w:val="32"/>
          <w:szCs w:val="32"/>
          <w:lang w:val="zh-CN"/>
        </w:rPr>
        <w:t>按照《四川省财政厅四川省药品监督管理局关于下达2024年药品监管专项资金的通知》（川财行〔2024〕15号）和《攀枝花市市场监督管理局关于印发2024年省级药品监管项目实施方案和绩效目标的通知》（攀市监办〔2024〕69号）要求，盐边县获2024 年省级药品监管专项资金1.5万元。主要用于药品日常监管及专项整治、药品经营企业符合性检查、药品不良反应和药物滥用监测及医疗器械专项整治和“两品一械”安全宣传周等工作。</w:t>
      </w:r>
    </w:p>
    <w:p w14:paraId="7C5DBD3E">
      <w:pPr>
        <w:ind w:firstLine="643" w:firstLineChars="200"/>
        <w:rPr>
          <w:rFonts w:hint="eastAsia" w:eastAsia="楷体_GB2312"/>
          <w:b/>
          <w:sz w:val="32"/>
          <w:szCs w:val="32"/>
          <w:lang w:val="zh-CN"/>
        </w:rPr>
      </w:pPr>
      <w:r>
        <w:rPr>
          <w:rFonts w:hint="eastAsia" w:eastAsia="楷体_GB2312"/>
          <w:b/>
          <w:sz w:val="32"/>
          <w:szCs w:val="32"/>
          <w:lang w:val="zh-CN"/>
        </w:rPr>
        <w:t>（二）项目绩效目标</w:t>
      </w:r>
    </w:p>
    <w:p w14:paraId="6A186E32">
      <w:pPr>
        <w:spacing w:line="578" w:lineRule="exact"/>
        <w:ind w:firstLine="640"/>
        <w:rPr>
          <w:rFonts w:hint="eastAsia" w:eastAsia="仿宋_GB2312"/>
          <w:sz w:val="32"/>
          <w:szCs w:val="32"/>
          <w:lang w:val="zh-CN"/>
        </w:rPr>
      </w:pPr>
      <w:r>
        <w:rPr>
          <w:rFonts w:hint="eastAsia" w:eastAsia="仿宋_GB2312"/>
          <w:sz w:val="32"/>
          <w:szCs w:val="32"/>
          <w:lang w:val="zh-CN"/>
        </w:rPr>
        <w:t>加强对药品、医疗器械、化妆品日常监管、不良反应监测，药品抽检工作。努力防范药品安全风险，保障人民用药安全，同时为药品上市后评价工作做好数据支撑。</w:t>
      </w:r>
    </w:p>
    <w:p w14:paraId="444F87F8">
      <w:pPr>
        <w:spacing w:line="578" w:lineRule="exact"/>
        <w:ind w:firstLine="640"/>
        <w:rPr>
          <w:rFonts w:hint="eastAsia" w:eastAsia="仿宋_GB2312"/>
          <w:sz w:val="32"/>
          <w:szCs w:val="32"/>
          <w:lang w:val="zh-CN"/>
        </w:rPr>
      </w:pPr>
      <w:r>
        <w:rPr>
          <w:rFonts w:hint="eastAsia" w:eastAsia="仿宋_GB2312"/>
          <w:sz w:val="32"/>
          <w:szCs w:val="32"/>
          <w:lang w:val="zh-CN"/>
        </w:rPr>
        <w:t>全年出动执法人员375人次，检查药品零售企业191家次、医疗机构231家次、化妆品经营使用单位164家次。对辖区内9家药品网络销售企业、26家医疗器械网络销售备案企业进行了全覆盖检查。重点开展了药品巩固提升行动、相关领域医疗器械监督检查、药品经营使用专项检查、第二类精神药品专项检查、保障未成年人药品质量安全专项行动、化妆品规范化经营等专项行动。同公安、卫健、医保部门开展联合检查2次，召开联席会议3次，约谈问题企业3家次，移交公安案件（线索）1件，移交其他省市药监部门案件线索3条，移交其他部门违法线索1条。已办结药械化案件23件（其中药品14件、医疗器械4件、化妆品5件），货值金额合计0.7388万元，罚没款合计4.12万元。有效打击药品违法犯罪行为,全年未发生药品安全事件。</w:t>
      </w:r>
    </w:p>
    <w:p w14:paraId="74ACA97A">
      <w:pPr>
        <w:ind w:firstLine="643" w:firstLineChars="200"/>
        <w:rPr>
          <w:rFonts w:hint="eastAsia" w:eastAsia="楷体_GB2312"/>
          <w:b/>
          <w:sz w:val="32"/>
          <w:szCs w:val="32"/>
          <w:lang w:val="zh-CN"/>
        </w:rPr>
      </w:pPr>
      <w:r>
        <w:rPr>
          <w:rFonts w:hint="eastAsia" w:eastAsia="楷体_GB2312"/>
          <w:b/>
          <w:sz w:val="32"/>
          <w:szCs w:val="32"/>
          <w:lang w:val="zh-CN"/>
        </w:rPr>
        <w:t>（三）项目自评步骤及方法</w:t>
      </w:r>
    </w:p>
    <w:p w14:paraId="5A051CB8">
      <w:pPr>
        <w:spacing w:line="578" w:lineRule="exact"/>
        <w:ind w:firstLine="640"/>
        <w:rPr>
          <w:rFonts w:hint="eastAsia" w:eastAsia="仿宋_GB2312"/>
          <w:sz w:val="32"/>
          <w:szCs w:val="32"/>
          <w:lang w:val="zh-CN"/>
        </w:rPr>
      </w:pPr>
      <w:r>
        <w:rPr>
          <w:rFonts w:hint="eastAsia" w:eastAsia="仿宋_GB2312"/>
          <w:sz w:val="32"/>
          <w:szCs w:val="32"/>
          <w:lang w:val="zh-CN"/>
        </w:rPr>
        <w:t>按照绩效指标中产出指标、效益指标、满意度指标等一级指标，数量指标、质量指标、失效指标、成本指标、经济效益指标、社会效益指标、服务对象满意度指标等二级指标自评。2024年持续开展药品安全风险隐患排查，强化监督抽检工作，加强基层食品监管人员能力建设工作培训，开展药品监督抽检工作。达到了项目决策的目的，项目管理贯通抽检全过程，实现了经济效应、社会效应、可持续影响等绩效目标。</w:t>
      </w:r>
    </w:p>
    <w:p w14:paraId="7F7AC204">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二、项目资金申报及使用情况</w:t>
      </w:r>
    </w:p>
    <w:p w14:paraId="6E992381">
      <w:pPr>
        <w:ind w:firstLine="643" w:firstLineChars="200"/>
        <w:rPr>
          <w:rFonts w:hint="eastAsia" w:eastAsia="楷体_GB2312"/>
          <w:b/>
          <w:sz w:val="32"/>
          <w:szCs w:val="32"/>
          <w:lang w:val="zh-CN"/>
        </w:rPr>
      </w:pPr>
      <w:r>
        <w:rPr>
          <w:rFonts w:hint="eastAsia" w:eastAsia="楷体_GB2312"/>
          <w:b/>
          <w:sz w:val="32"/>
          <w:szCs w:val="32"/>
          <w:lang w:val="zh-CN"/>
        </w:rPr>
        <w:t>（一）项目资金申报及批复情况</w:t>
      </w:r>
    </w:p>
    <w:p w14:paraId="2CB2B6DA">
      <w:pPr>
        <w:spacing w:line="578" w:lineRule="exact"/>
        <w:ind w:firstLine="640"/>
        <w:rPr>
          <w:rFonts w:hint="eastAsia" w:eastAsia="仿宋_GB2312"/>
          <w:sz w:val="32"/>
          <w:szCs w:val="32"/>
          <w:lang w:val="zh-CN"/>
        </w:rPr>
      </w:pPr>
      <w:r>
        <w:rPr>
          <w:rFonts w:hint="eastAsia" w:eastAsia="仿宋_GB2312"/>
          <w:sz w:val="32"/>
          <w:szCs w:val="32"/>
          <w:lang w:val="zh-CN"/>
        </w:rPr>
        <w:t>按照《四川省财政厅四川省药品监督管理局关于下达2024年药品监管专项资金的通知》（川财行〔2024〕15号）和《攀枝花市市场监督管理局关于印发2024年省级药品监管项目实施方案和绩效目标的通知》（攀市监办〔2024〕69号）要求，盐边县获2024 年省级药品监管专项资金1.5万元。</w:t>
      </w:r>
    </w:p>
    <w:p w14:paraId="2FA75D99">
      <w:pPr>
        <w:ind w:firstLine="643" w:firstLineChars="200"/>
        <w:rPr>
          <w:rFonts w:hint="eastAsia" w:eastAsia="楷体_GB2312"/>
          <w:b/>
          <w:sz w:val="32"/>
          <w:szCs w:val="32"/>
          <w:lang w:val="zh-CN"/>
        </w:rPr>
      </w:pPr>
      <w:r>
        <w:rPr>
          <w:rFonts w:hint="eastAsia" w:eastAsia="楷体_GB2312"/>
          <w:b/>
          <w:sz w:val="32"/>
          <w:szCs w:val="32"/>
          <w:lang w:val="zh-CN"/>
        </w:rPr>
        <w:t>（二）资金计划、到位及使用情况</w:t>
      </w:r>
    </w:p>
    <w:p w14:paraId="07EB3D36">
      <w:pPr>
        <w:adjustRightInd w:val="0"/>
        <w:snapToGrid w:val="0"/>
        <w:spacing w:line="578" w:lineRule="exact"/>
        <w:ind w:firstLine="420" w:firstLineChars="200"/>
        <w:rPr>
          <w:rFonts w:hint="eastAsia" w:eastAsia="仿宋_GB2312"/>
          <w:sz w:val="32"/>
          <w:szCs w:val="32"/>
          <w:lang w:val="zh-CN"/>
        </w:rPr>
      </w:pPr>
      <w:r>
        <w:rPr>
          <w:rFonts w:hint="eastAsia" w:ascii="仿宋" w:hAnsi="仿宋" w:eastAsia="仿宋" w:cs="CESI仿宋-GB2312"/>
          <w:bCs/>
          <w:lang w:val="zh-CN"/>
        </w:rPr>
        <w:t>我</w:t>
      </w:r>
      <w:r>
        <w:rPr>
          <w:rFonts w:hint="eastAsia" w:eastAsia="仿宋_GB2312"/>
          <w:sz w:val="32"/>
          <w:szCs w:val="32"/>
          <w:lang w:val="zh-CN"/>
        </w:rPr>
        <w:t>局按照《四川省药品监管专项资金管理办法》（川财行〔2019〕78号）等文件规定，2024年省级药品监管资金1.5万元已全部到位，到位率100%。在资金使用拨付、项目实施中符合相关规定，实行专款专用，项目截止2024年年末该专项资金未使用0.89万元。</w:t>
      </w:r>
    </w:p>
    <w:p w14:paraId="56D33DF8">
      <w:pPr>
        <w:ind w:firstLine="643" w:firstLineChars="200"/>
        <w:rPr>
          <w:rFonts w:hint="eastAsia" w:eastAsia="楷体_GB2312"/>
          <w:b/>
          <w:sz w:val="32"/>
          <w:szCs w:val="32"/>
          <w:lang w:val="zh-CN"/>
        </w:rPr>
      </w:pPr>
      <w:r>
        <w:rPr>
          <w:rFonts w:hint="eastAsia" w:eastAsia="楷体_GB2312"/>
          <w:b/>
          <w:sz w:val="32"/>
          <w:szCs w:val="32"/>
          <w:lang w:val="zh-CN"/>
        </w:rPr>
        <w:t>（三）项目财务管理情况</w:t>
      </w:r>
    </w:p>
    <w:p w14:paraId="38A52F87">
      <w:pPr>
        <w:adjustRightInd w:val="0"/>
        <w:snapToGrid w:val="0"/>
        <w:spacing w:line="578" w:lineRule="exact"/>
        <w:ind w:firstLine="640" w:firstLineChars="200"/>
        <w:rPr>
          <w:rFonts w:hint="eastAsia" w:eastAsia="仿宋_GB2312"/>
          <w:sz w:val="32"/>
          <w:szCs w:val="32"/>
          <w:lang w:val="zh-CN"/>
        </w:rPr>
      </w:pPr>
      <w:r>
        <w:rPr>
          <w:rFonts w:hint="eastAsia" w:eastAsia="仿宋_GB2312"/>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3E6B49DE">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三、项目实施及管理情况</w:t>
      </w:r>
    </w:p>
    <w:p w14:paraId="36AE9DBF">
      <w:pPr>
        <w:adjustRightInd w:val="0"/>
        <w:snapToGrid w:val="0"/>
        <w:spacing w:line="578" w:lineRule="exact"/>
        <w:ind w:firstLine="640" w:firstLineChars="200"/>
        <w:rPr>
          <w:rFonts w:hint="eastAsia" w:eastAsia="仿宋_GB2312"/>
          <w:sz w:val="32"/>
          <w:szCs w:val="32"/>
          <w:lang w:val="zh-CN"/>
        </w:rPr>
      </w:pPr>
      <w:r>
        <w:rPr>
          <w:rFonts w:hint="eastAsia" w:eastAsia="仿宋_GB2312"/>
          <w:sz w:val="32"/>
          <w:szCs w:val="32"/>
          <w:lang w:val="zh-CN"/>
        </w:rPr>
        <w:t>项目制度办法体系健全、要素完备；项目资金分配因素选取、权重设置、区域分布、项目管理、审批符合管理要求；管资金、项目、政策与管绩效分开，项目绩效监管严格按要求开展。</w:t>
      </w:r>
    </w:p>
    <w:p w14:paraId="57A4B055">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四、项目绩效情况</w:t>
      </w:r>
    </w:p>
    <w:p w14:paraId="702DCF9B">
      <w:pPr>
        <w:ind w:firstLine="643" w:firstLineChars="200"/>
        <w:rPr>
          <w:rFonts w:hint="eastAsia" w:eastAsia="楷体_GB2312"/>
          <w:b/>
          <w:sz w:val="32"/>
          <w:szCs w:val="32"/>
          <w:lang w:val="zh-CN"/>
        </w:rPr>
      </w:pPr>
      <w:r>
        <w:rPr>
          <w:rFonts w:hint="eastAsia" w:eastAsia="楷体_GB2312"/>
          <w:b/>
          <w:sz w:val="32"/>
          <w:szCs w:val="32"/>
          <w:lang w:val="zh-CN"/>
        </w:rPr>
        <w:t>（一）项目完成情况</w:t>
      </w:r>
    </w:p>
    <w:p w14:paraId="3ED2EB59">
      <w:pPr>
        <w:adjustRightInd w:val="0"/>
        <w:snapToGrid w:val="0"/>
        <w:spacing w:line="578" w:lineRule="exact"/>
        <w:ind w:firstLine="640" w:firstLineChars="200"/>
        <w:rPr>
          <w:rFonts w:hint="eastAsia" w:eastAsia="仿宋_GB2312"/>
          <w:sz w:val="32"/>
          <w:szCs w:val="32"/>
          <w:lang w:val="zh-CN"/>
        </w:rPr>
      </w:pPr>
      <w:r>
        <w:rPr>
          <w:rFonts w:hint="eastAsia" w:eastAsia="仿宋_GB2312"/>
          <w:sz w:val="32"/>
          <w:szCs w:val="32"/>
          <w:lang w:val="zh-CN"/>
        </w:rPr>
        <w:t>全年出动执法人员375人次，检查药品零售企业191家次、医疗机构231家次、化妆品经营使用单位164家次。对辖区内9家药品网络销售企业、26家医疗器械网络销售备案企业进行了全覆盖检查。重点开展了药品巩固提升行动、相关领域医疗器械监督检查、药品经营使用专项检查、第二类精神药品专项检查、保障未成年人药品质量安全专项行动、化妆品规范化经营等专项行动。同公安、卫健、医保部门开展联合检查2次，召开联席会议3次，约谈问题企业3家次，移交公安案件（线索）1件，移交其他省市药监部门案件线索3条，移交其他部门违法线索1条。已办结药械化案件23件（其中药品14件、医疗器械4件、化妆品5件），货值金额合计0.7388万元，罚没款合计4.12万元。有效打击药品违法犯罪行为,全年未发生药品安全事件。</w:t>
      </w:r>
    </w:p>
    <w:p w14:paraId="7684B763">
      <w:pPr>
        <w:ind w:firstLine="643" w:firstLineChars="200"/>
        <w:rPr>
          <w:rFonts w:hint="eastAsia" w:eastAsia="楷体_GB2312"/>
          <w:b/>
          <w:sz w:val="32"/>
          <w:szCs w:val="32"/>
          <w:lang w:val="zh-CN"/>
        </w:rPr>
      </w:pPr>
      <w:r>
        <w:rPr>
          <w:rFonts w:hint="eastAsia" w:eastAsia="楷体_GB2312"/>
          <w:b/>
          <w:sz w:val="32"/>
          <w:szCs w:val="32"/>
          <w:lang w:val="zh-CN"/>
        </w:rPr>
        <w:t>（二）项目效益情况</w:t>
      </w:r>
    </w:p>
    <w:p w14:paraId="4CCD536F">
      <w:pPr>
        <w:adjustRightInd w:val="0"/>
        <w:snapToGrid w:val="0"/>
        <w:spacing w:line="578" w:lineRule="exact"/>
        <w:ind w:firstLine="640" w:firstLineChars="200"/>
        <w:rPr>
          <w:rFonts w:hint="eastAsia" w:eastAsia="仿宋_GB2312"/>
          <w:sz w:val="32"/>
          <w:szCs w:val="32"/>
          <w:lang w:val="zh-CN"/>
        </w:rPr>
      </w:pPr>
      <w:r>
        <w:rPr>
          <w:rFonts w:hint="eastAsia" w:eastAsia="仿宋_GB2312"/>
          <w:sz w:val="32"/>
          <w:szCs w:val="32"/>
          <w:lang w:val="zh-CN"/>
        </w:rPr>
        <w:t>该项目绩效目标分为产出指标（细化为数量、质量、时效、成本指标）、效益指标（细化为经济效益和生态效益指标）、满意度指标。所有指标均按指标值完成。</w:t>
      </w:r>
    </w:p>
    <w:p w14:paraId="01E802E5">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五、评价结论及建议</w:t>
      </w:r>
    </w:p>
    <w:p w14:paraId="35E5E287">
      <w:pPr>
        <w:ind w:firstLine="643" w:firstLineChars="200"/>
        <w:rPr>
          <w:rFonts w:hint="eastAsia" w:eastAsia="楷体_GB2312"/>
          <w:b/>
          <w:sz w:val="32"/>
          <w:szCs w:val="32"/>
          <w:lang w:val="zh-CN"/>
        </w:rPr>
      </w:pPr>
      <w:r>
        <w:rPr>
          <w:rFonts w:hint="eastAsia" w:eastAsia="楷体_GB2312"/>
          <w:b/>
          <w:sz w:val="32"/>
          <w:szCs w:val="32"/>
          <w:lang w:val="zh-CN"/>
        </w:rPr>
        <w:t>（一）评价结论</w:t>
      </w:r>
    </w:p>
    <w:p w14:paraId="33E010C6">
      <w:pPr>
        <w:adjustRightInd w:val="0"/>
        <w:snapToGrid w:val="0"/>
        <w:spacing w:line="578" w:lineRule="exact"/>
        <w:ind w:firstLine="640" w:firstLineChars="200"/>
        <w:rPr>
          <w:rFonts w:hint="eastAsia" w:eastAsia="仿宋_GB2312"/>
          <w:sz w:val="32"/>
          <w:szCs w:val="32"/>
          <w:lang w:val="zh-CN"/>
        </w:rPr>
      </w:pPr>
      <w:r>
        <w:rPr>
          <w:rFonts w:hint="eastAsia" w:eastAsia="仿宋_GB2312"/>
          <w:sz w:val="32"/>
          <w:szCs w:val="32"/>
          <w:lang w:val="zh-CN"/>
        </w:rPr>
        <w:t>按照绩效指标中产出指标、效益指标、满意度指标等一级指标，数量指标、质量指标、失效指标、成本指标、经济效益指标、社会效益指标、服务对象满意度指标等进行量化评价，所有项目支出实际状况与下达绩效目标均相符，自评指标得分100分。</w:t>
      </w:r>
    </w:p>
    <w:p w14:paraId="3F9E2555">
      <w:pPr>
        <w:ind w:firstLine="643" w:firstLineChars="200"/>
        <w:rPr>
          <w:rFonts w:hint="eastAsia" w:eastAsia="楷体_GB2312"/>
          <w:b/>
          <w:sz w:val="32"/>
          <w:szCs w:val="32"/>
          <w:lang w:val="zh-CN"/>
        </w:rPr>
      </w:pPr>
      <w:r>
        <w:rPr>
          <w:rFonts w:hint="eastAsia" w:eastAsia="楷体_GB2312"/>
          <w:b/>
          <w:sz w:val="32"/>
          <w:szCs w:val="32"/>
          <w:lang w:val="zh-CN"/>
        </w:rPr>
        <w:t>（二）存在的问题</w:t>
      </w:r>
    </w:p>
    <w:p w14:paraId="7320BF33">
      <w:pPr>
        <w:ind w:firstLine="643" w:firstLineChars="200"/>
        <w:rPr>
          <w:rFonts w:hint="eastAsia" w:eastAsia="楷体_GB2312"/>
          <w:b/>
          <w:sz w:val="32"/>
          <w:szCs w:val="32"/>
          <w:lang w:val="zh-CN"/>
        </w:rPr>
      </w:pPr>
      <w:r>
        <w:rPr>
          <w:rFonts w:hint="eastAsia" w:eastAsia="楷体_GB2312"/>
          <w:b/>
          <w:sz w:val="32"/>
          <w:szCs w:val="32"/>
          <w:lang w:val="zh-CN"/>
        </w:rPr>
        <w:t>无。</w:t>
      </w:r>
    </w:p>
    <w:p w14:paraId="1A43C1D3">
      <w:pPr>
        <w:ind w:firstLine="643" w:firstLineChars="200"/>
        <w:rPr>
          <w:rFonts w:hint="eastAsia" w:eastAsia="楷体_GB2312"/>
          <w:b/>
          <w:sz w:val="32"/>
          <w:szCs w:val="32"/>
          <w:lang w:val="zh-CN"/>
        </w:rPr>
      </w:pPr>
      <w:r>
        <w:rPr>
          <w:rFonts w:hint="eastAsia" w:eastAsia="楷体_GB2312"/>
          <w:b/>
          <w:sz w:val="32"/>
          <w:szCs w:val="32"/>
          <w:lang w:val="zh-CN"/>
        </w:rPr>
        <w:t>（三）相关建议</w:t>
      </w:r>
    </w:p>
    <w:p w14:paraId="229C3F45">
      <w:pPr>
        <w:adjustRightInd w:val="0"/>
        <w:snapToGrid w:val="0"/>
        <w:spacing w:line="578" w:lineRule="exact"/>
        <w:ind w:firstLine="420" w:firstLineChars="200"/>
        <w:rPr>
          <w:rFonts w:ascii="仿宋" w:hAnsi="仿宋" w:eastAsia="仿宋" w:cs="CESI仿宋-GB2312"/>
          <w:bCs/>
          <w:lang w:val="zh-CN"/>
        </w:rPr>
      </w:pPr>
      <w:r>
        <w:rPr>
          <w:rFonts w:hint="eastAsia" w:ascii="仿宋" w:hAnsi="仿宋" w:eastAsia="仿宋" w:cs="CESI仿宋-GB2312"/>
          <w:bCs/>
          <w:lang w:val="zh-CN"/>
        </w:rPr>
        <w:t>无。</w:t>
      </w:r>
    </w:p>
    <w:p w14:paraId="65AB4DA6">
      <w:pPr>
        <w:pStyle w:val="35"/>
        <w:spacing w:line="578" w:lineRule="exact"/>
        <w:ind w:firstLine="640"/>
        <w:jc w:val="center"/>
        <w:rPr>
          <w:rFonts w:ascii="Times New Roman" w:hAnsi="Times New Roman"/>
          <w:color w:val="auto"/>
          <w:kern w:val="2"/>
          <w:sz w:val="32"/>
          <w:szCs w:val="32"/>
          <w:lang w:val="en-US"/>
        </w:rPr>
      </w:pPr>
    </w:p>
    <w:p w14:paraId="5133C7DB">
      <w:pPr>
        <w:pStyle w:val="35"/>
        <w:spacing w:line="578" w:lineRule="exact"/>
        <w:ind w:firstLine="640"/>
        <w:jc w:val="center"/>
        <w:rPr>
          <w:rFonts w:ascii="Times New Roman" w:hAnsi="Times New Roman"/>
          <w:color w:val="auto"/>
          <w:kern w:val="2"/>
          <w:sz w:val="32"/>
          <w:szCs w:val="32"/>
          <w:lang w:val="en-US"/>
        </w:rPr>
      </w:pPr>
    </w:p>
    <w:p w14:paraId="60B6772B">
      <w:pPr>
        <w:pStyle w:val="35"/>
        <w:spacing w:line="578" w:lineRule="exact"/>
        <w:ind w:firstLine="640"/>
        <w:jc w:val="center"/>
        <w:rPr>
          <w:rFonts w:ascii="Times New Roman" w:hAnsi="Times New Roman"/>
          <w:color w:val="auto"/>
          <w:kern w:val="2"/>
          <w:sz w:val="32"/>
          <w:szCs w:val="32"/>
          <w:lang w:val="en-US"/>
        </w:rPr>
      </w:pPr>
    </w:p>
    <w:p w14:paraId="1913D6E8">
      <w:pPr>
        <w:pStyle w:val="35"/>
        <w:spacing w:line="578" w:lineRule="exact"/>
        <w:ind w:firstLine="640"/>
        <w:jc w:val="center"/>
        <w:rPr>
          <w:rFonts w:ascii="Times New Roman" w:hAnsi="Times New Roman"/>
          <w:color w:val="auto"/>
          <w:kern w:val="2"/>
          <w:sz w:val="32"/>
          <w:szCs w:val="32"/>
          <w:lang w:val="en-US"/>
        </w:rPr>
      </w:pPr>
    </w:p>
    <w:p w14:paraId="61AC2F2F">
      <w:pPr>
        <w:pStyle w:val="35"/>
        <w:spacing w:line="578" w:lineRule="exact"/>
        <w:ind w:firstLine="640"/>
        <w:jc w:val="center"/>
        <w:rPr>
          <w:rFonts w:ascii="Times New Roman" w:hAnsi="Times New Roman"/>
          <w:color w:val="auto"/>
          <w:kern w:val="2"/>
          <w:sz w:val="32"/>
          <w:szCs w:val="32"/>
          <w:lang w:val="en-US"/>
        </w:rPr>
      </w:pPr>
    </w:p>
    <w:p w14:paraId="2842A374">
      <w:pPr>
        <w:pStyle w:val="35"/>
        <w:spacing w:line="578" w:lineRule="exact"/>
        <w:ind w:firstLine="640"/>
        <w:jc w:val="center"/>
        <w:rPr>
          <w:rFonts w:ascii="Times New Roman" w:hAnsi="Times New Roman"/>
          <w:color w:val="auto"/>
          <w:kern w:val="2"/>
          <w:sz w:val="32"/>
          <w:szCs w:val="32"/>
          <w:lang w:val="en-US"/>
        </w:rPr>
      </w:pPr>
    </w:p>
    <w:p w14:paraId="189BAB23">
      <w:pPr>
        <w:pStyle w:val="35"/>
        <w:spacing w:line="578" w:lineRule="exact"/>
        <w:ind w:firstLine="640"/>
        <w:jc w:val="center"/>
        <w:rPr>
          <w:rFonts w:ascii="Times New Roman" w:hAnsi="Times New Roman"/>
          <w:color w:val="auto"/>
          <w:kern w:val="2"/>
          <w:sz w:val="32"/>
          <w:szCs w:val="32"/>
          <w:lang w:val="en-US"/>
        </w:rPr>
      </w:pPr>
    </w:p>
    <w:p w14:paraId="722E63A6">
      <w:pPr>
        <w:pStyle w:val="35"/>
        <w:spacing w:line="578" w:lineRule="exact"/>
        <w:ind w:firstLine="640"/>
        <w:jc w:val="center"/>
        <w:rPr>
          <w:rFonts w:ascii="Times New Roman" w:hAnsi="Times New Roman"/>
          <w:color w:val="auto"/>
          <w:kern w:val="2"/>
          <w:sz w:val="32"/>
          <w:szCs w:val="32"/>
          <w:lang w:val="en-US"/>
        </w:rPr>
      </w:pPr>
    </w:p>
    <w:p w14:paraId="3BAC2A5A">
      <w:pPr>
        <w:pStyle w:val="35"/>
        <w:spacing w:line="578" w:lineRule="exact"/>
        <w:ind w:firstLine="640"/>
        <w:jc w:val="center"/>
        <w:rPr>
          <w:rFonts w:ascii="Times New Roman" w:hAnsi="Times New Roman"/>
          <w:color w:val="auto"/>
          <w:kern w:val="2"/>
          <w:sz w:val="32"/>
          <w:szCs w:val="32"/>
          <w:lang w:val="en-US"/>
        </w:rPr>
      </w:pPr>
    </w:p>
    <w:p w14:paraId="3442E111">
      <w:pPr>
        <w:pStyle w:val="35"/>
        <w:spacing w:line="578" w:lineRule="exact"/>
        <w:ind w:firstLine="640"/>
        <w:jc w:val="center"/>
        <w:rPr>
          <w:rFonts w:ascii="Times New Roman" w:hAnsi="Times New Roman"/>
          <w:color w:val="auto"/>
          <w:kern w:val="2"/>
          <w:sz w:val="32"/>
          <w:szCs w:val="32"/>
          <w:lang w:val="en-US"/>
        </w:rPr>
      </w:pPr>
    </w:p>
    <w:p w14:paraId="5E736C7A">
      <w:pPr>
        <w:pStyle w:val="35"/>
        <w:spacing w:line="578" w:lineRule="exact"/>
        <w:ind w:firstLine="640"/>
        <w:jc w:val="center"/>
        <w:rPr>
          <w:rFonts w:ascii="Times New Roman" w:hAnsi="Times New Roman"/>
          <w:color w:val="auto"/>
          <w:kern w:val="2"/>
          <w:sz w:val="32"/>
          <w:szCs w:val="32"/>
          <w:lang w:val="en-US"/>
        </w:rPr>
      </w:pPr>
    </w:p>
    <w:p w14:paraId="30886B05">
      <w:pPr>
        <w:pStyle w:val="35"/>
        <w:spacing w:line="578" w:lineRule="exact"/>
        <w:ind w:firstLine="640"/>
        <w:jc w:val="center"/>
        <w:rPr>
          <w:rFonts w:ascii="Times New Roman" w:hAnsi="Times New Roman"/>
          <w:color w:val="auto"/>
          <w:kern w:val="2"/>
          <w:sz w:val="32"/>
          <w:szCs w:val="32"/>
          <w:lang w:val="en-US"/>
        </w:rPr>
      </w:pPr>
    </w:p>
    <w:p w14:paraId="697BC4F6">
      <w:pPr>
        <w:pStyle w:val="35"/>
        <w:spacing w:line="578" w:lineRule="exact"/>
        <w:ind w:firstLine="640"/>
        <w:jc w:val="center"/>
        <w:rPr>
          <w:rFonts w:ascii="Times New Roman" w:hAnsi="Times New Roman"/>
          <w:color w:val="auto"/>
          <w:kern w:val="2"/>
          <w:sz w:val="32"/>
          <w:szCs w:val="32"/>
          <w:lang w:val="en-US"/>
        </w:rPr>
      </w:pPr>
    </w:p>
    <w:p w14:paraId="7A7DB6E3">
      <w:pPr>
        <w:pStyle w:val="35"/>
        <w:spacing w:line="578" w:lineRule="exact"/>
        <w:ind w:firstLine="640"/>
        <w:jc w:val="center"/>
        <w:rPr>
          <w:rFonts w:ascii="Times New Roman" w:hAnsi="Times New Roman"/>
          <w:color w:val="auto"/>
          <w:kern w:val="2"/>
          <w:sz w:val="32"/>
          <w:szCs w:val="32"/>
          <w:lang w:val="en-US"/>
        </w:rPr>
      </w:pPr>
    </w:p>
    <w:p w14:paraId="72B5DD40">
      <w:pPr>
        <w:pStyle w:val="35"/>
        <w:spacing w:line="578" w:lineRule="exact"/>
        <w:ind w:firstLine="640"/>
        <w:jc w:val="center"/>
        <w:rPr>
          <w:rFonts w:ascii="Times New Roman" w:hAnsi="Times New Roman"/>
          <w:color w:val="auto"/>
          <w:kern w:val="2"/>
          <w:sz w:val="32"/>
          <w:szCs w:val="32"/>
          <w:lang w:val="en-US"/>
        </w:rPr>
      </w:pPr>
    </w:p>
    <w:p w14:paraId="261E05BF">
      <w:pPr>
        <w:pStyle w:val="35"/>
        <w:spacing w:line="578" w:lineRule="exact"/>
        <w:ind w:firstLine="640"/>
        <w:jc w:val="center"/>
        <w:rPr>
          <w:rFonts w:ascii="Times New Roman" w:hAnsi="Times New Roman"/>
          <w:color w:val="auto"/>
          <w:kern w:val="2"/>
          <w:sz w:val="32"/>
          <w:szCs w:val="32"/>
          <w:lang w:val="en-US"/>
        </w:rPr>
      </w:pPr>
    </w:p>
    <w:p w14:paraId="6BCDD5C0">
      <w:pPr>
        <w:pStyle w:val="35"/>
        <w:spacing w:line="578" w:lineRule="exact"/>
        <w:ind w:firstLine="640"/>
        <w:jc w:val="center"/>
        <w:rPr>
          <w:rFonts w:ascii="Times New Roman" w:hAnsi="Times New Roman"/>
          <w:color w:val="auto"/>
          <w:kern w:val="2"/>
          <w:sz w:val="32"/>
          <w:szCs w:val="32"/>
          <w:lang w:val="en-US"/>
        </w:rPr>
      </w:pPr>
    </w:p>
    <w:p w14:paraId="2564D8A2">
      <w:pPr>
        <w:pStyle w:val="35"/>
        <w:spacing w:line="578" w:lineRule="exact"/>
        <w:ind w:firstLine="640"/>
        <w:jc w:val="center"/>
        <w:rPr>
          <w:rFonts w:ascii="Times New Roman" w:hAnsi="Times New Roman"/>
          <w:color w:val="auto"/>
          <w:kern w:val="2"/>
          <w:sz w:val="32"/>
          <w:szCs w:val="32"/>
          <w:lang w:val="en-US"/>
        </w:rPr>
      </w:pPr>
    </w:p>
    <w:p w14:paraId="753F4C9E">
      <w:pPr>
        <w:pStyle w:val="35"/>
        <w:spacing w:line="578" w:lineRule="exact"/>
        <w:ind w:firstLine="640"/>
        <w:jc w:val="center"/>
        <w:rPr>
          <w:rFonts w:ascii="Times New Roman" w:hAnsi="Times New Roman"/>
          <w:color w:val="auto"/>
          <w:kern w:val="2"/>
          <w:sz w:val="32"/>
          <w:szCs w:val="32"/>
          <w:lang w:val="en-US"/>
        </w:rPr>
      </w:pPr>
    </w:p>
    <w:p w14:paraId="420E8E49">
      <w:pPr>
        <w:pStyle w:val="35"/>
        <w:spacing w:line="578" w:lineRule="exact"/>
        <w:ind w:firstLine="640"/>
        <w:jc w:val="center"/>
        <w:rPr>
          <w:rFonts w:ascii="Times New Roman" w:hAnsi="Times New Roman"/>
          <w:color w:val="auto"/>
          <w:kern w:val="2"/>
          <w:sz w:val="32"/>
          <w:szCs w:val="32"/>
          <w:lang w:val="en-US"/>
        </w:rPr>
      </w:pPr>
    </w:p>
    <w:p w14:paraId="4AED506B">
      <w:pPr>
        <w:pStyle w:val="35"/>
        <w:spacing w:line="578" w:lineRule="exact"/>
        <w:ind w:firstLine="640"/>
        <w:jc w:val="center"/>
        <w:rPr>
          <w:rFonts w:ascii="Times New Roman" w:hAnsi="Times New Roman"/>
          <w:color w:val="auto"/>
          <w:kern w:val="2"/>
          <w:sz w:val="32"/>
          <w:szCs w:val="32"/>
          <w:lang w:val="en-US"/>
        </w:rPr>
      </w:pPr>
    </w:p>
    <w:p w14:paraId="7FD248D5">
      <w:pPr>
        <w:pStyle w:val="35"/>
        <w:spacing w:line="578" w:lineRule="exact"/>
        <w:ind w:firstLine="640"/>
        <w:jc w:val="center"/>
        <w:rPr>
          <w:rFonts w:ascii="Times New Roman" w:hAnsi="Times New Roman"/>
          <w:color w:val="auto"/>
          <w:kern w:val="2"/>
          <w:sz w:val="32"/>
          <w:szCs w:val="32"/>
          <w:lang w:val="en-US"/>
        </w:rPr>
      </w:pPr>
    </w:p>
    <w:p w14:paraId="2D16C790">
      <w:pPr>
        <w:pStyle w:val="35"/>
        <w:spacing w:line="578" w:lineRule="exact"/>
        <w:jc w:val="center"/>
        <w:rPr>
          <w:rFonts w:ascii="Times New Roman" w:hAnsi="Times New Roman" w:eastAsia="方正小标宋简体" w:cs="方正小标宋简体"/>
          <w:color w:val="auto"/>
          <w:kern w:val="2"/>
          <w:sz w:val="44"/>
          <w:szCs w:val="44"/>
          <w:lang w:val="en-US"/>
        </w:rPr>
      </w:pPr>
      <w:r>
        <w:rPr>
          <w:rFonts w:ascii="Times New Roman" w:hAnsi="Times New Roman" w:eastAsia="方正小标宋简体"/>
          <w:sz w:val="44"/>
          <w:szCs w:val="44"/>
        </w:rPr>
        <w:t>创建国家食品安全示范城市、四川省食品安全示范县专项预算项目绩效评价报告</w:t>
      </w:r>
    </w:p>
    <w:p w14:paraId="20214ADD">
      <w:pPr>
        <w:pStyle w:val="35"/>
        <w:spacing w:line="578" w:lineRule="exact"/>
        <w:ind w:firstLine="640"/>
        <w:jc w:val="center"/>
        <w:rPr>
          <w:rFonts w:ascii="Times New Roman" w:hAnsi="Times New Roman"/>
          <w:color w:val="auto"/>
          <w:kern w:val="2"/>
          <w:sz w:val="32"/>
          <w:szCs w:val="32"/>
        </w:rPr>
      </w:pPr>
    </w:p>
    <w:p w14:paraId="144DE07B">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6E8C64D2">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eastAsia="仿宋_GB2312"/>
          <w:sz w:val="32"/>
          <w:szCs w:val="32"/>
          <w:lang w:val="zh-CN"/>
        </w:rPr>
        <w:t>创建国家食品安全示范城市，是实施食品安全战略的重要内容，既是一项重大的政治任务，更是事关群众福祉的民生工程、民心工程，对于筑牢食品安全监管基础、营造食品产业良好发展环境、提升城市形象、打造城市品牌都具有十分重要的意义。根据《攀枝花市创建国家食品安全示范城市工作方案》《盐边县创建国家食品安全示范城市工作方案》《盐边县创建四川省食品安全示范县工作方案》等文件要求，积极争取地方财政经费支持。</w:t>
      </w:r>
    </w:p>
    <w:p w14:paraId="56BEE449">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eastAsia="仿宋_GB2312"/>
          <w:sz w:val="32"/>
          <w:szCs w:val="32"/>
          <w:lang w:val="zh-CN"/>
        </w:rPr>
        <w:t>通过示范创建活动，执行最严谨的标准、最严格的监管、最严厉的处罚、最严肃的问责“四个最严”要求，坚决守好食品安全底线，实现食品安全状况持续稳定向好，食品生产经营者主体责任意识普遍增强，食品安全治理能力全面提升。</w:t>
      </w:r>
    </w:p>
    <w:p w14:paraId="66F4029F">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sz w:val="32"/>
          <w:szCs w:val="32"/>
          <w:lang w:val="zh-CN"/>
        </w:rPr>
        <w:t>项目预算</w:t>
      </w:r>
      <w:r>
        <w:rPr>
          <w:rFonts w:hint="eastAsia" w:eastAsia="仿宋_GB2312"/>
          <w:sz w:val="32"/>
          <w:szCs w:val="32"/>
        </w:rPr>
        <w:t>98.51</w:t>
      </w:r>
      <w:r>
        <w:rPr>
          <w:rFonts w:eastAsia="仿宋_GB2312"/>
          <w:sz w:val="32"/>
          <w:szCs w:val="32"/>
        </w:rPr>
        <w:t>万元，主要为群发宣传短信、盐边县食品生产经营主体规范提升服务项目、</w:t>
      </w:r>
      <w:r>
        <w:rPr>
          <w:rFonts w:hint="eastAsia" w:eastAsia="仿宋_GB2312"/>
          <w:sz w:val="32"/>
          <w:szCs w:val="32"/>
        </w:rPr>
        <w:t>打造食品安全智慧监管平台、两化建设、</w:t>
      </w:r>
      <w:r>
        <w:rPr>
          <w:rFonts w:eastAsia="仿宋_GB2312"/>
          <w:sz w:val="32"/>
          <w:szCs w:val="32"/>
        </w:rPr>
        <w:t>制作宣传展板、宣传资料、</w:t>
      </w:r>
      <w:r>
        <w:rPr>
          <w:rFonts w:hint="eastAsia" w:eastAsia="仿宋_GB2312"/>
          <w:sz w:val="32"/>
          <w:szCs w:val="32"/>
        </w:rPr>
        <w:t>会议材料、</w:t>
      </w:r>
      <w:r>
        <w:rPr>
          <w:rFonts w:eastAsia="仿宋_GB2312"/>
          <w:sz w:val="32"/>
          <w:szCs w:val="32"/>
        </w:rPr>
        <w:t>补发2020年-2021年食品安全协管员、信息员工作补助等方面使用</w:t>
      </w:r>
      <w:r>
        <w:rPr>
          <w:rFonts w:eastAsia="仿宋_GB2312"/>
          <w:sz w:val="32"/>
          <w:szCs w:val="32"/>
          <w:lang w:val="zh-CN"/>
        </w:rPr>
        <w:t>。</w:t>
      </w:r>
    </w:p>
    <w:p w14:paraId="66C28963">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eastAsia="仿宋_GB2312"/>
          <w:sz w:val="32"/>
          <w:szCs w:val="32"/>
          <w:lang w:val="zh-CN"/>
        </w:rPr>
        <w:t>该项目绩效目标分为产出指标（细化为数量、质量、时效指标）、效益指标（细化为社会效益指标）、成本指标及满意度指标。</w:t>
      </w:r>
      <w:r>
        <w:rPr>
          <w:rFonts w:hint="eastAsia" w:eastAsia="仿宋_GB2312"/>
          <w:sz w:val="32"/>
          <w:szCs w:val="32"/>
        </w:rPr>
        <w:t>兑现</w:t>
      </w:r>
      <w:r>
        <w:rPr>
          <w:rFonts w:eastAsia="仿宋_GB2312"/>
          <w:sz w:val="32"/>
          <w:szCs w:val="32"/>
        </w:rPr>
        <w:t>2020年-2021年食品安全协管员、信息员工作补助</w:t>
      </w:r>
      <w:r>
        <w:rPr>
          <w:rFonts w:hint="eastAsia" w:eastAsia="仿宋_GB2312"/>
          <w:sz w:val="32"/>
          <w:szCs w:val="32"/>
        </w:rPr>
        <w:t>、成功运行食品安全智慧监管平台及相关宣传费用兑现，</w:t>
      </w:r>
      <w:r>
        <w:rPr>
          <w:rFonts w:eastAsia="仿宋_GB2312"/>
          <w:sz w:val="32"/>
          <w:szCs w:val="32"/>
        </w:rPr>
        <w:t>目标均完成</w:t>
      </w:r>
      <w:r>
        <w:rPr>
          <w:rFonts w:eastAsia="仿宋_GB2312"/>
          <w:sz w:val="32"/>
          <w:szCs w:val="32"/>
          <w:lang w:val="zh-CN"/>
        </w:rPr>
        <w:t>。</w:t>
      </w:r>
    </w:p>
    <w:p w14:paraId="546C27D8">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067B434B">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eastAsia="仿宋_GB2312"/>
          <w:sz w:val="32"/>
          <w:szCs w:val="32"/>
          <w:lang w:val="zh-CN"/>
        </w:rPr>
        <w:t>通过示范创建活动，执行最严谨的标准、最严格的监管、最严厉的处罚、最严肃的问责“四个最严”要求，坚决守好食品安全底线，实现食品安全状况持续稳定向好，食品生产经营者主体责任意识普遍增强，食品安全治理能力全面提升。</w:t>
      </w:r>
    </w:p>
    <w:p w14:paraId="343E5793">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eastAsia="仿宋_GB2312"/>
          <w:sz w:val="32"/>
          <w:szCs w:val="32"/>
          <w:lang w:val="zh-CN"/>
        </w:rPr>
        <w:t>预设问题包括：</w:t>
      </w:r>
      <w:r>
        <w:rPr>
          <w:rFonts w:hint="eastAsia" w:eastAsia="仿宋_GB2312"/>
          <w:sz w:val="32"/>
          <w:szCs w:val="32"/>
          <w:lang w:val="zh-CN"/>
        </w:rPr>
        <w:t>项目</w:t>
      </w:r>
      <w:r>
        <w:rPr>
          <w:rFonts w:eastAsia="仿宋_GB2312"/>
          <w:sz w:val="32"/>
          <w:szCs w:val="32"/>
          <w:lang w:val="zh-CN"/>
        </w:rPr>
        <w:t>是否符合实际需求，资金使用是否合规，项目实施是否按计划进行等。重点在于项目申报内容与具体实施内容相符、申报目标合理可行。</w:t>
      </w:r>
    </w:p>
    <w:p w14:paraId="184CD494">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sz w:val="32"/>
          <w:szCs w:val="32"/>
          <w:lang w:val="zh-CN"/>
        </w:rPr>
        <w:t>是否按时按质完成相关项目、兑现相关资金费用。</w:t>
      </w:r>
    </w:p>
    <w:p w14:paraId="2A2CFC51">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eastAsia="仿宋_GB2312"/>
          <w:sz w:val="32"/>
          <w:szCs w:val="32"/>
          <w:lang w:val="zh-CN"/>
        </w:rPr>
        <w:t>单位自评法、问卷调查法。</w:t>
      </w:r>
    </w:p>
    <w:p w14:paraId="51100139">
      <w:pPr>
        <w:spacing w:line="578" w:lineRule="exact"/>
        <w:ind w:firstLine="640"/>
        <w:rPr>
          <w:rFonts w:eastAsia="仿宋_GB2312"/>
          <w:bCs/>
        </w:rPr>
      </w:pPr>
      <w:r>
        <w:rPr>
          <w:rFonts w:hint="eastAsia" w:eastAsia="楷体_GB2312"/>
          <w:b/>
          <w:sz w:val="32"/>
          <w:szCs w:val="32"/>
          <w:lang w:val="zh-CN"/>
        </w:rPr>
        <w:t>（五）评价组织。</w:t>
      </w:r>
      <w:r>
        <w:rPr>
          <w:rFonts w:eastAsia="仿宋_GB2312"/>
          <w:sz w:val="32"/>
          <w:szCs w:val="32"/>
          <w:lang w:val="zh-CN"/>
        </w:rPr>
        <w:t>评价组人员由</w:t>
      </w:r>
      <w:r>
        <w:rPr>
          <w:rFonts w:hint="eastAsia" w:eastAsia="仿宋_GB2312"/>
          <w:sz w:val="32"/>
          <w:szCs w:val="32"/>
          <w:lang w:val="zh-CN"/>
        </w:rPr>
        <w:t>局领导、</w:t>
      </w:r>
      <w:r>
        <w:rPr>
          <w:rFonts w:eastAsia="仿宋_GB2312"/>
          <w:sz w:val="32"/>
          <w:szCs w:val="32"/>
          <w:lang w:val="zh-CN"/>
        </w:rPr>
        <w:t>办公室</w:t>
      </w:r>
      <w:r>
        <w:rPr>
          <w:rFonts w:hint="eastAsia" w:eastAsia="仿宋_GB2312"/>
          <w:sz w:val="32"/>
          <w:szCs w:val="32"/>
          <w:lang w:val="zh-CN"/>
        </w:rPr>
        <w:t>、食品安全协调股人员共同构成。</w:t>
      </w:r>
    </w:p>
    <w:p w14:paraId="7F295D78">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512B995E">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277E8E6F">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6CA53098">
      <w:pPr>
        <w:ind w:firstLine="640" w:firstLineChars="200"/>
        <w:rPr>
          <w:rFonts w:eastAsia="仿宋_GB2312"/>
          <w:sz w:val="32"/>
          <w:szCs w:val="32"/>
          <w:lang w:val="zh-CN"/>
        </w:rPr>
      </w:pPr>
      <w:r>
        <w:rPr>
          <w:rFonts w:eastAsia="楷体"/>
          <w:sz w:val="32"/>
          <w:szCs w:val="32"/>
          <w:lang w:val="zh-CN"/>
        </w:rPr>
        <w:t>1.项目决策。根据</w:t>
      </w:r>
      <w:r>
        <w:rPr>
          <w:rFonts w:eastAsia="仿宋_GB2312"/>
          <w:sz w:val="32"/>
          <w:szCs w:val="32"/>
          <w:lang w:val="zh-CN"/>
        </w:rPr>
        <w:t>《攀枝花市创建国家食品安全示范城市工作方案》《盐边县创建国家食品安全示范城市工作方案》《盐边县创建四川省食品安全示范县工作方案》进行决策、规划以及资金投向，立项依据充分，决策程序规范，符合相关政策法规要求。</w:t>
      </w:r>
    </w:p>
    <w:p w14:paraId="3F8091BF">
      <w:pPr>
        <w:ind w:firstLine="640" w:firstLineChars="200"/>
        <w:rPr>
          <w:rFonts w:eastAsia="仿宋_GB2312"/>
          <w:color w:val="FF0000"/>
          <w:sz w:val="32"/>
          <w:szCs w:val="32"/>
          <w:lang w:val="zh-CN"/>
        </w:rPr>
      </w:pPr>
      <w:r>
        <w:rPr>
          <w:rFonts w:eastAsia="楷体"/>
          <w:sz w:val="32"/>
          <w:szCs w:val="32"/>
          <w:lang w:val="zh-CN"/>
        </w:rPr>
        <w:t>2.项目管理。</w:t>
      </w:r>
      <w:r>
        <w:rPr>
          <w:rFonts w:eastAsia="仿宋_GB2312"/>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57F1E69B">
      <w:pPr>
        <w:ind w:firstLine="640" w:firstLineChars="200"/>
        <w:rPr>
          <w:rFonts w:eastAsia="仿宋_GB2312"/>
          <w:color w:val="FF0000"/>
          <w:sz w:val="32"/>
          <w:szCs w:val="32"/>
        </w:rPr>
      </w:pPr>
      <w:r>
        <w:rPr>
          <w:rFonts w:eastAsia="楷体"/>
          <w:sz w:val="32"/>
          <w:szCs w:val="32"/>
          <w:lang w:val="zh-CN"/>
        </w:rPr>
        <w:t>3.项目实施。</w:t>
      </w:r>
      <w:r>
        <w:rPr>
          <w:rFonts w:eastAsia="仿宋_GB2312"/>
          <w:sz w:val="32"/>
          <w:szCs w:val="32"/>
          <w:lang w:val="zh-CN"/>
        </w:rPr>
        <w:t>根据《攀枝花市创建国家食品安全示范城市工作方案》《盐边县创建国家食品安全示范城市工作方案》《盐边县创建四川省食品安全示范县工作方案》等文件相关要求→比选确定第三方机构→签订相关合同→开展创建食品生产经营主体打造、宣传→项目完成支付资金，预算执行率</w:t>
      </w:r>
      <w:r>
        <w:rPr>
          <w:rFonts w:eastAsia="仿宋_GB2312"/>
          <w:sz w:val="32"/>
          <w:szCs w:val="32"/>
        </w:rPr>
        <w:t>100%，资金使用合理合规。</w:t>
      </w:r>
    </w:p>
    <w:p w14:paraId="4E2D689A">
      <w:pPr>
        <w:spacing w:line="578" w:lineRule="exact"/>
        <w:ind w:firstLine="640"/>
        <w:rPr>
          <w:rFonts w:eastAsia="仿宋_GB2312" w:cs="仿宋_GB2312"/>
          <w:kern w:val="0"/>
          <w:sz w:val="32"/>
          <w:szCs w:val="32"/>
          <w:lang w:val="zh-CN"/>
        </w:rPr>
      </w:pPr>
      <w:r>
        <w:rPr>
          <w:rFonts w:eastAsia="楷体_GB2312"/>
          <w:sz w:val="32"/>
          <w:szCs w:val="32"/>
          <w:lang w:val="zh-CN"/>
        </w:rPr>
        <w:t>4.项目结果。</w:t>
      </w:r>
      <w:r>
        <w:rPr>
          <w:rFonts w:eastAsia="仿宋_GB2312"/>
          <w:sz w:val="32"/>
          <w:szCs w:val="32"/>
          <w:lang w:val="zh-CN"/>
        </w:rPr>
        <w:t>项目按合同完成标的的数量、时间完成。</w:t>
      </w:r>
    </w:p>
    <w:p w14:paraId="64F86EF2">
      <w:pPr>
        <w:ind w:firstLine="643" w:firstLineChars="200"/>
        <w:rPr>
          <w:rFonts w:eastAsia="楷体_GB2312"/>
          <w:b/>
          <w:bCs/>
          <w:color w:val="000000"/>
          <w:kern w:val="0"/>
          <w:sz w:val="32"/>
          <w:szCs w:val="32"/>
          <w:shd w:val="clear" w:color="auto" w:fill="FFFFFF"/>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14:paraId="7D752A56">
      <w:pPr>
        <w:ind w:firstLine="640" w:firstLineChars="200"/>
        <w:rPr>
          <w:rFonts w:eastAsia="仿宋_GB2312"/>
          <w:color w:val="FF0000"/>
          <w:sz w:val="32"/>
          <w:szCs w:val="32"/>
          <w:lang w:val="zh-CN"/>
        </w:rPr>
      </w:pPr>
      <w:r>
        <w:rPr>
          <w:rFonts w:eastAsia="楷体_GB2312"/>
          <w:sz w:val="32"/>
          <w:szCs w:val="32"/>
          <w:lang w:val="zh-CN"/>
        </w:rPr>
        <w:t>1.产业发展。</w:t>
      </w:r>
      <w:r>
        <w:rPr>
          <w:rFonts w:eastAsia="仿宋_GB2312"/>
          <w:sz w:val="32"/>
          <w:szCs w:val="32"/>
          <w:lang w:val="zh-CN"/>
        </w:rPr>
        <w:t>符合创建相关要求，进一步提升了食品生产经营主体规范，实现食品安全状况持续稳定向好。</w:t>
      </w:r>
    </w:p>
    <w:p w14:paraId="34CB6A94">
      <w:pPr>
        <w:ind w:firstLine="640" w:firstLineChars="200"/>
        <w:rPr>
          <w:rFonts w:eastAsia="仿宋_GB2312"/>
          <w:color w:val="FF0000"/>
          <w:sz w:val="32"/>
          <w:szCs w:val="32"/>
          <w:lang w:val="zh-CN"/>
        </w:rPr>
      </w:pPr>
      <w:r>
        <w:rPr>
          <w:rFonts w:eastAsia="楷体_GB2312"/>
          <w:sz w:val="32"/>
          <w:szCs w:val="32"/>
          <w:lang w:val="zh-CN"/>
        </w:rPr>
        <w:t>2.民生保障。</w:t>
      </w:r>
      <w:r>
        <w:rPr>
          <w:rFonts w:hint="eastAsia" w:eastAsia="仿宋_GB2312"/>
          <w:sz w:val="32"/>
          <w:szCs w:val="32"/>
          <w:lang w:val="zh-CN"/>
        </w:rPr>
        <w:t>进一步增强了全县人民群众对食品安全的满意度，营造良好的社会氛围</w:t>
      </w:r>
      <w:r>
        <w:rPr>
          <w:rFonts w:eastAsia="仿宋_GB2312"/>
          <w:sz w:val="32"/>
          <w:szCs w:val="32"/>
          <w:lang w:val="zh-CN"/>
        </w:rPr>
        <w:t>。</w:t>
      </w:r>
    </w:p>
    <w:p w14:paraId="5A445DAB">
      <w:pPr>
        <w:ind w:firstLine="640" w:firstLineChars="200"/>
        <w:outlineLvl w:val="3"/>
        <w:rPr>
          <w:rFonts w:eastAsia="仿宋_GB2312"/>
          <w:color w:val="FF0000"/>
          <w:sz w:val="32"/>
          <w:szCs w:val="32"/>
          <w:lang w:val="zh-CN"/>
        </w:rPr>
      </w:pPr>
      <w:r>
        <w:rPr>
          <w:rFonts w:eastAsia="楷体_GB2312"/>
          <w:sz w:val="32"/>
          <w:szCs w:val="32"/>
          <w:lang w:val="zh-CN"/>
        </w:rPr>
        <w:t>3.基础设施。</w:t>
      </w:r>
      <w:r>
        <w:rPr>
          <w:rFonts w:eastAsia="仿宋_GB2312"/>
          <w:sz w:val="32"/>
          <w:szCs w:val="32"/>
          <w:lang w:val="zh-CN"/>
        </w:rPr>
        <w:t>项目按预期目标完成，完成情况良好。</w:t>
      </w:r>
    </w:p>
    <w:p w14:paraId="1AF3EC2D">
      <w:pPr>
        <w:spacing w:line="578" w:lineRule="exact"/>
        <w:ind w:firstLine="640"/>
        <w:rPr>
          <w:rFonts w:eastAsia="仿宋_GB2312" w:cs="仿宋_GB2312"/>
          <w:kern w:val="0"/>
          <w:sz w:val="32"/>
          <w:szCs w:val="32"/>
        </w:rPr>
      </w:pPr>
      <w:r>
        <w:rPr>
          <w:rFonts w:eastAsia="楷体_GB2312"/>
          <w:sz w:val="32"/>
          <w:szCs w:val="32"/>
          <w:lang w:val="zh-CN"/>
        </w:rPr>
        <w:t>4.行政运转。</w:t>
      </w:r>
      <w:r>
        <w:rPr>
          <w:rFonts w:eastAsia="仿宋_GB2312"/>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2DDEC72F">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无。</w:t>
      </w:r>
    </w:p>
    <w:p w14:paraId="68D2C2A8">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1EE1E6B9">
      <w:pPr>
        <w:spacing w:line="578" w:lineRule="exact"/>
        <w:ind w:firstLine="640"/>
        <w:rPr>
          <w:rFonts w:eastAsia="仿宋_GB2312" w:cs="仿宋_GB2312"/>
          <w:kern w:val="0"/>
          <w:sz w:val="32"/>
          <w:szCs w:val="32"/>
        </w:rPr>
      </w:pPr>
      <w:r>
        <w:rPr>
          <w:rFonts w:eastAsia="仿宋_GB2312"/>
          <w:sz w:val="32"/>
          <w:szCs w:val="32"/>
          <w:lang w:val="zh-CN"/>
        </w:rPr>
        <w:t>该项目自评</w:t>
      </w:r>
      <w:r>
        <w:rPr>
          <w:rFonts w:eastAsia="仿宋_GB2312"/>
          <w:sz w:val="32"/>
          <w:szCs w:val="32"/>
        </w:rPr>
        <w:t>100分。</w:t>
      </w:r>
      <w:r>
        <w:rPr>
          <w:rFonts w:eastAsia="仿宋_GB2312"/>
          <w:sz w:val="32"/>
          <w:szCs w:val="32"/>
          <w:lang w:val="zh-CN"/>
        </w:rPr>
        <w:t>达到了项目决策的目的，项目管理贯通全过程，实现了社会效应等绩效目标。对于筑牢食品安全监管基础、营造食品产业良好发展环境、提升城市形象、打造城市品牌都具有十分重要的意义。</w:t>
      </w:r>
    </w:p>
    <w:p w14:paraId="670BB066">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6A48186B">
      <w:pPr>
        <w:spacing w:line="578" w:lineRule="exact"/>
        <w:ind w:firstLine="640"/>
        <w:rPr>
          <w:rFonts w:eastAsia="仿宋_GB2312" w:cs="仿宋_GB2312"/>
          <w:kern w:val="0"/>
          <w:sz w:val="32"/>
          <w:szCs w:val="32"/>
        </w:rPr>
      </w:pPr>
      <w:r>
        <w:rPr>
          <w:rFonts w:eastAsia="仿宋_GB2312"/>
          <w:sz w:val="32"/>
          <w:szCs w:val="32"/>
          <w:lang w:val="zh-CN"/>
        </w:rPr>
        <w:t>无。</w:t>
      </w:r>
    </w:p>
    <w:p w14:paraId="3D83E1DF">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25ED5BFE">
      <w:pPr>
        <w:pStyle w:val="35"/>
        <w:spacing w:line="578" w:lineRule="exact"/>
        <w:ind w:firstLine="640"/>
        <w:jc w:val="center"/>
        <w:rPr>
          <w:rFonts w:ascii="Times New Roman" w:hAnsi="Times New Roman"/>
          <w:color w:val="auto"/>
          <w:kern w:val="2"/>
          <w:sz w:val="32"/>
          <w:szCs w:val="32"/>
          <w:lang w:val="en-US"/>
        </w:rPr>
      </w:pPr>
    </w:p>
    <w:p w14:paraId="6C948675">
      <w:pPr>
        <w:pStyle w:val="35"/>
        <w:spacing w:line="578" w:lineRule="exact"/>
        <w:ind w:firstLine="640"/>
        <w:jc w:val="center"/>
        <w:rPr>
          <w:rFonts w:ascii="Times New Roman" w:hAnsi="Times New Roman"/>
          <w:color w:val="auto"/>
          <w:kern w:val="2"/>
          <w:sz w:val="32"/>
          <w:szCs w:val="32"/>
          <w:lang w:val="en-US"/>
        </w:rPr>
      </w:pPr>
    </w:p>
    <w:p w14:paraId="7D93B68D">
      <w:pPr>
        <w:pStyle w:val="35"/>
        <w:spacing w:line="578" w:lineRule="exact"/>
        <w:ind w:firstLine="640"/>
        <w:jc w:val="center"/>
        <w:rPr>
          <w:rFonts w:ascii="Times New Roman" w:hAnsi="Times New Roman"/>
          <w:color w:val="auto"/>
          <w:kern w:val="2"/>
          <w:sz w:val="32"/>
          <w:szCs w:val="32"/>
          <w:lang w:val="en-US"/>
        </w:rPr>
      </w:pPr>
    </w:p>
    <w:p w14:paraId="57F722FC">
      <w:pPr>
        <w:pStyle w:val="35"/>
        <w:spacing w:line="578" w:lineRule="exact"/>
        <w:ind w:firstLine="640"/>
        <w:jc w:val="center"/>
        <w:rPr>
          <w:rFonts w:ascii="Times New Roman" w:hAnsi="Times New Roman"/>
          <w:color w:val="auto"/>
          <w:kern w:val="2"/>
          <w:sz w:val="32"/>
          <w:szCs w:val="32"/>
          <w:lang w:val="en-US"/>
        </w:rPr>
      </w:pPr>
    </w:p>
    <w:p w14:paraId="6E3C3FF1">
      <w:pPr>
        <w:pStyle w:val="35"/>
        <w:spacing w:line="578" w:lineRule="exact"/>
        <w:ind w:firstLine="640"/>
        <w:jc w:val="center"/>
        <w:rPr>
          <w:rFonts w:ascii="Times New Roman" w:hAnsi="Times New Roman"/>
          <w:color w:val="auto"/>
          <w:kern w:val="2"/>
          <w:sz w:val="32"/>
          <w:szCs w:val="32"/>
          <w:lang w:val="en-US"/>
        </w:rPr>
      </w:pPr>
    </w:p>
    <w:p w14:paraId="0EFFA10A">
      <w:pPr>
        <w:pStyle w:val="35"/>
        <w:spacing w:line="578" w:lineRule="exact"/>
        <w:ind w:firstLine="640"/>
        <w:jc w:val="center"/>
        <w:rPr>
          <w:rFonts w:ascii="Times New Roman" w:hAnsi="Times New Roman"/>
          <w:color w:val="auto"/>
          <w:kern w:val="2"/>
          <w:sz w:val="32"/>
          <w:szCs w:val="32"/>
          <w:lang w:val="en-US"/>
        </w:rPr>
      </w:pPr>
    </w:p>
    <w:p w14:paraId="3F48A07F">
      <w:pPr>
        <w:pStyle w:val="35"/>
        <w:spacing w:line="578" w:lineRule="exact"/>
        <w:ind w:firstLine="640"/>
        <w:jc w:val="center"/>
        <w:rPr>
          <w:rFonts w:ascii="Times New Roman" w:hAnsi="Times New Roman"/>
          <w:color w:val="auto"/>
          <w:kern w:val="2"/>
          <w:sz w:val="32"/>
          <w:szCs w:val="32"/>
          <w:lang w:val="en-US"/>
        </w:rPr>
      </w:pPr>
    </w:p>
    <w:p w14:paraId="778B3667">
      <w:pPr>
        <w:pStyle w:val="35"/>
        <w:spacing w:line="578" w:lineRule="exact"/>
        <w:ind w:firstLine="640"/>
        <w:jc w:val="center"/>
        <w:rPr>
          <w:rFonts w:ascii="Times New Roman" w:hAnsi="Times New Roman"/>
          <w:color w:val="auto"/>
          <w:kern w:val="2"/>
          <w:sz w:val="32"/>
          <w:szCs w:val="32"/>
          <w:lang w:val="en-US"/>
        </w:rPr>
      </w:pPr>
    </w:p>
    <w:p w14:paraId="4A86E71F">
      <w:pPr>
        <w:pStyle w:val="35"/>
        <w:spacing w:line="578" w:lineRule="exact"/>
        <w:ind w:firstLine="640"/>
        <w:jc w:val="center"/>
        <w:rPr>
          <w:rFonts w:ascii="Times New Roman" w:hAnsi="Times New Roman"/>
          <w:color w:val="auto"/>
          <w:kern w:val="2"/>
          <w:sz w:val="32"/>
          <w:szCs w:val="32"/>
          <w:lang w:val="en-US"/>
        </w:rPr>
      </w:pPr>
    </w:p>
    <w:p w14:paraId="5501117A">
      <w:pPr>
        <w:pStyle w:val="35"/>
        <w:spacing w:line="578" w:lineRule="exact"/>
        <w:ind w:firstLine="640"/>
        <w:jc w:val="center"/>
        <w:rPr>
          <w:rFonts w:ascii="Times New Roman" w:hAnsi="Times New Roman"/>
          <w:color w:val="auto"/>
          <w:kern w:val="2"/>
          <w:sz w:val="32"/>
          <w:szCs w:val="32"/>
          <w:lang w:val="en-US"/>
        </w:rPr>
      </w:pPr>
    </w:p>
    <w:p w14:paraId="67806E77">
      <w:pPr>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盐边县市场监督管理局购买台式水压泵</w:t>
      </w:r>
    </w:p>
    <w:p w14:paraId="47B623D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专项预算项目绩效评价报告</w:t>
      </w:r>
    </w:p>
    <w:p w14:paraId="302C335E">
      <w:pPr>
        <w:rPr>
          <w:rFonts w:ascii="仿宋_GB2312" w:hAnsi="仿宋_GB2312" w:eastAsia="仿宋_GB2312" w:cs="仿宋_GB2312"/>
          <w:sz w:val="32"/>
          <w:szCs w:val="32"/>
        </w:rPr>
      </w:pPr>
    </w:p>
    <w:p w14:paraId="79D686C5">
      <w:pPr>
        <w:adjustRightInd w:val="0"/>
        <w:snapToGrid w:val="0"/>
        <w:spacing w:line="578" w:lineRule="exact"/>
        <w:ind w:firstLine="640" w:firstLineChars="200"/>
        <w:rPr>
          <w:rFonts w:hint="eastAsia" w:eastAsia="黑体"/>
          <w:sz w:val="32"/>
          <w:szCs w:val="32"/>
        </w:rPr>
      </w:pPr>
      <w:r>
        <w:rPr>
          <w:rFonts w:hint="eastAsia" w:eastAsia="黑体"/>
          <w:sz w:val="32"/>
          <w:szCs w:val="32"/>
        </w:rPr>
        <w:t>一、项目概况</w:t>
      </w:r>
    </w:p>
    <w:p w14:paraId="7BBC0CD2">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14:paraId="79F2D1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盐边县市场监督管理局计量测试所承担本地区量值传递职能，负责对企业送检的计量器具开展强制检定工作。因现有用于禁油压力表强制检定的台式水压泵设备陈旧老化，无法满足精准检定需求，需重新购置以保障检定工作正常开展。</w:t>
      </w:r>
    </w:p>
    <w:p w14:paraId="2BDEC932">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项目立项依据《中华人民共和国计量法》及地方计量工作发展规划，资金申报严格遵循财政专项资金申报流程。项目主要内容为购置1台符合国家计量标准的台式水压泵，该设备作为社会公用计量标准，是统一本地区压力量值的核心依据，承担着将国家计量基准量值传递至生产生活一线计量仪器的关键任务，对保障市场公平交易、推动当地经济社会高质量发展具有重要支撑作用。</w:t>
      </w:r>
    </w:p>
    <w:p w14:paraId="27A8D478">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（二）实施目的及支持方向</w:t>
      </w:r>
    </w:p>
    <w:p w14:paraId="4B346E70">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本项目实施目的是通过更新计量检定设备，提升禁油压力表强制检定的准确性和效率，确保本地区企业使用的计量器具符合国家规范，维护市场秩序和公共利益。</w:t>
      </w:r>
    </w:p>
    <w:p w14:paraId="4BF97DAE">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项目已制定详细实施方案，明确由盐边县计量测试所牵头，局财务股室负责资金监管，成立专项工作小组，职责分工清晰；现有计量检定实验室基础设施完善，可满足新设备安装使用需求。</w:t>
      </w:r>
    </w:p>
    <w:p w14:paraId="6477D769">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（三）预算安排及分配管理</w:t>
      </w:r>
    </w:p>
    <w:p w14:paraId="6F07216A">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本项目申请财政资金总计2.98万元，资金来源为县级财政全额拨付，具有明确的公共性，属于公共财政支持的行政运转保障范畴，资金全部用于购买1台台式水压泵（含设备运输、安装调试及1年质保服务）。</w:t>
      </w:r>
    </w:p>
    <w:p w14:paraId="4B7C2EAC">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预算安排根据设备市场调研价格合理测算，确保金额真实合规；资金分配原则为“专款专用、直达项目”，仅考虑设备购置相关必要支出，不涉及其他用途分配，资金拨付将根据采购合同约定，保障资金使用安全。</w:t>
      </w:r>
    </w:p>
    <w:p w14:paraId="3755DBDD">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14:paraId="71A7A4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项目整体绩效目标为：2024年底前完成1台台式水压泵购置并投入使用，实现本地区禁油压力表检定准确率≥99%，企业满意度≥90%，设备正常运行率≥95%。</w:t>
      </w:r>
    </w:p>
    <w:p w14:paraId="3FD47D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区域绩效目标聚焦盐边县全域，覆盖县域内化工、能源等需使用禁油压力表的重点企业，确保企业计量器具检定需求得到100%响应；具体绩效指标量化清晰，如“设备精度符合JJG 52-2013《弹性元件式一般压力表、压力真空表和真空表》标准”。</w:t>
      </w:r>
    </w:p>
    <w:p w14:paraId="0FCAC455">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项目已开展自评工作，通过收集采购合同、验收报告等资料，对照绩效目标逐项核查完成情况，形成了初步自评结果。</w:t>
      </w:r>
    </w:p>
    <w:p w14:paraId="49DBFFAB">
      <w:pPr>
        <w:adjustRightInd w:val="0"/>
        <w:snapToGrid w:val="0"/>
        <w:spacing w:line="578" w:lineRule="exact"/>
        <w:ind w:firstLine="640" w:firstLineChars="200"/>
        <w:rPr>
          <w:rFonts w:hint="eastAsia" w:eastAsia="黑体"/>
          <w:sz w:val="32"/>
          <w:szCs w:val="32"/>
        </w:rPr>
      </w:pPr>
      <w:r>
        <w:rPr>
          <w:rFonts w:hint="eastAsia" w:eastAsia="黑体"/>
          <w:sz w:val="32"/>
          <w:szCs w:val="32"/>
        </w:rPr>
        <w:t>二、评价实施</w:t>
      </w:r>
    </w:p>
    <w:p w14:paraId="18BFEF79">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14:paraId="67FE7277">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通过本次绩效评价，精准识别项目预算编制中的优势与不足，提升后续同类项目预算编制的科学性和合理性；优化财政支出结构，避免财政资源低效配置，从源头上防控资金浪费风险；最终提高财政资金使用效益，确保项目成果切实服务于市场监管工作。</w:t>
      </w:r>
    </w:p>
    <w:p w14:paraId="6264BD14">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14:paraId="7618F8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预设问题主要包括：项目预算金额测算是否精准，是否存在超支或资金闲置风险；设备采购流程是否合规，是否符合政府采购相关规定；设备使用效果是否达到预期，能否满足</w:t>
      </w:r>
      <w:r>
        <w:rPr>
          <w:rFonts w:hint="eastAsia" w:ascii="仿宋_GB2312" w:hAnsi="仿宋_GB2312" w:eastAsia="仿宋_GB2312" w:cs="仿宋_GB2312"/>
          <w:sz w:val="32"/>
          <w:szCs w:val="32"/>
          <w:lang w:eastAsia="zh-CN" w:bidi="ar"/>
        </w:rPr>
        <w:t>机油</w:t>
      </w:r>
      <w:r>
        <w:rPr>
          <w:rFonts w:hint="eastAsia" w:ascii="仿宋_GB2312" w:hAnsi="仿宋_GB2312" w:eastAsia="仿宋_GB2312" w:cs="仿宋_GB2312"/>
          <w:sz w:val="32"/>
          <w:szCs w:val="32"/>
          <w:lang w:bidi="ar"/>
        </w:rPr>
        <w:t>压力表检定需求；绩效目标完成情况是否可量化验证，指标设置是否合理。</w:t>
      </w:r>
    </w:p>
    <w:p w14:paraId="6C52ADB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评价重点围绕资金支出使用全过程及实施效果展开，对照绩效评价指标体系，重点核查：项目决策的合规性与必要性、资金使用的规范性与经济性、设备运行的有效性与稳定性、绩效目标的完成度与匹配度。</w:t>
      </w:r>
    </w:p>
    <w:p w14:paraId="2BAF3654">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14:paraId="401A66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本次项目绩效自评选取盐边县计量检定实验室作为实地踏勘点位。</w:t>
      </w:r>
    </w:p>
    <w:p w14:paraId="37AC0414">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14:paraId="507C8213">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综合采用多种评价方法开展工作：</w:t>
      </w:r>
    </w:p>
    <w:p w14:paraId="65ADD4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1.案卷研究法：查阅项目立项批复、采购合同、资金拨付凭证、验收报告等档案资料，核查项目流程合规性。</w:t>
      </w:r>
    </w:p>
    <w:p w14:paraId="0E71EA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2.实地勘察法：前往计量检定实验室，实地查看设备运行状态，了解设备使用情况。</w:t>
      </w:r>
    </w:p>
    <w:p w14:paraId="5C5A2A31">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14:paraId="52D2C1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由盐边县市场监督管理局自行成立评估组，成员包括：计量测试所负责人、财务人员、计量检定工程师、办公室工作人员。各成员职责分工明确，协同完成资料收集、现场踏勘、数据分析及报告撰写工作。</w:t>
      </w:r>
    </w:p>
    <w:p w14:paraId="76D35DA8">
      <w:pPr>
        <w:adjustRightInd w:val="0"/>
        <w:snapToGrid w:val="0"/>
        <w:spacing w:line="578" w:lineRule="exact"/>
        <w:ind w:firstLine="640" w:firstLineChars="200"/>
        <w:rPr>
          <w:rFonts w:hint="eastAsia" w:eastAsia="黑体"/>
          <w:sz w:val="32"/>
          <w:szCs w:val="32"/>
        </w:rPr>
      </w:pPr>
      <w:r>
        <w:rPr>
          <w:rFonts w:hint="eastAsia" w:eastAsia="黑体"/>
          <w:sz w:val="32"/>
          <w:szCs w:val="32"/>
        </w:rPr>
        <w:t>三、绩效分析</w:t>
      </w:r>
    </w:p>
    <w:p w14:paraId="1551508E">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（一）通用指标绩效分析</w:t>
      </w:r>
    </w:p>
    <w:p w14:paraId="3958DD14">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项目决策：决策程序规范，项目立项经局党组会议审议通过，符合“三重一大”决策要求；规划论证充分，前期开展了设备老化现状调研及市场需求分析；资金投向精准，全部用于台式水压泵购置，符合项目核心需求。</w:t>
      </w:r>
    </w:p>
    <w:p w14:paraId="751636C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2.项目管理：制度办法健全，严格执行县财政及单位内部采购管理制度；分配管理规范，资金按合同约定拨付，无截留、挪用情况；绩效监管到位。</w:t>
      </w:r>
    </w:p>
    <w:p w14:paraId="3A2D85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3.项目实施：预算执行良好，无超预算支出；资金使用合规，每笔支出均有完整凭证，符合财务管理制度。</w:t>
      </w:r>
    </w:p>
    <w:p w14:paraId="32A848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4.项目结果：目标完成度高，已按时购置1台台式水压泵并投入使用，设备精度、检定效率等指标均达标；完成时效达标。</w:t>
      </w:r>
    </w:p>
    <w:p w14:paraId="3E06A6F7">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（二）专用指标绩效分析</w:t>
      </w:r>
    </w:p>
    <w:p w14:paraId="19FF4B81">
      <w:pP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本项目属于行政运转类项目，围绕以下指标开展分析：</w:t>
      </w:r>
    </w:p>
    <w:p w14:paraId="71540CD4">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1.用途合规性：购置的台式水压泵仅用于禁油压力表强制检定，未挪作他用，与项目设定用途完全一致。</w:t>
      </w:r>
    </w:p>
    <w:p w14:paraId="0175479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2.程序合规性：设备采购流程符合规定，供应商资质齐全，合同签订规范。</w:t>
      </w:r>
    </w:p>
    <w:p w14:paraId="153EFE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3.标准合规性：设备符合国家计量标准及行业技术规范，可满足日常检定工作标准要求。</w:t>
      </w:r>
    </w:p>
    <w:p w14:paraId="59560833">
      <w:pPr>
        <w:ind w:firstLine="640" w:firstLineChars="200"/>
        <w:rPr>
          <w:rFonts w:ascii="黑体" w:hAnsi="黑体" w:eastAsia="黑体" w:cs="黑体"/>
          <w:sz w:val="32"/>
          <w:szCs w:val="32"/>
        </w:rPr>
      </w:pPr>
      <w:r>
        <w:rPr>
          <w:rFonts w:hint="eastAsia" w:ascii="黑体" w:hAnsi="黑体" w:eastAsia="黑体" w:cs="黑体"/>
          <w:sz w:val="32"/>
          <w:szCs w:val="32"/>
          <w:lang w:bidi="ar"/>
        </w:rPr>
        <w:t>四、评价结论</w:t>
      </w:r>
    </w:p>
    <w:p w14:paraId="2EB1287D">
      <w:pPr>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项目绩效评价等级为“优秀”。项目立项依据充分，符合本地区计量检定工作实际需求；绩效目标明确且可量化；实施过程规范，资金使用合规，无违规操作情况；设备已顺利投入使用，检定准确率、企业满意度等核心指标均达到预期，有效提升了盐边县计量测试所的计量检定服务能力，为维护当地市场秩序提供了有力支撑。</w:t>
      </w:r>
    </w:p>
    <w:p w14:paraId="48035658">
      <w:pPr>
        <w:ind w:firstLine="640" w:firstLineChars="200"/>
        <w:rPr>
          <w:rFonts w:ascii="黑体" w:hAnsi="黑体" w:eastAsia="黑体" w:cs="黑体"/>
          <w:sz w:val="32"/>
          <w:szCs w:val="32"/>
        </w:rPr>
      </w:pPr>
      <w:r>
        <w:rPr>
          <w:rFonts w:hint="eastAsia" w:ascii="黑体" w:hAnsi="黑体" w:eastAsia="黑体" w:cs="黑体"/>
          <w:sz w:val="32"/>
          <w:szCs w:val="32"/>
          <w:lang w:bidi="ar"/>
        </w:rPr>
        <w:t>五、存在主要问题</w:t>
      </w:r>
    </w:p>
    <w:p w14:paraId="2AFA0D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企业反馈收集不及时：设备投入使用后，仅通过一次性问卷收集企业反馈，未建立常态化反馈渠道，难以及时掌握企业后续使用中的新需求。</w:t>
      </w:r>
    </w:p>
    <w:p w14:paraId="4C1CFF83">
      <w:pPr>
        <w:ind w:firstLine="640" w:firstLineChars="200"/>
        <w:rPr>
          <w:rFonts w:ascii="黑体" w:hAnsi="黑体" w:eastAsia="黑体" w:cs="黑体"/>
          <w:sz w:val="32"/>
          <w:szCs w:val="32"/>
        </w:rPr>
      </w:pPr>
      <w:r>
        <w:rPr>
          <w:rFonts w:hint="eastAsia" w:ascii="黑体" w:hAnsi="黑体" w:eastAsia="黑体" w:cs="黑体"/>
          <w:sz w:val="32"/>
          <w:szCs w:val="32"/>
          <w:lang w:bidi="ar"/>
        </w:rPr>
        <w:t>六、改进建议</w:t>
      </w:r>
    </w:p>
    <w:p w14:paraId="2C39EC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针对“企业反馈收集不及时”：搭建常态化企业反馈渠道，如设立专用咨询电话、定期收集企业对检定服务的意见建议，根据反馈优化设备使用及服务流程，提升企业满意度。</w:t>
      </w:r>
    </w:p>
    <w:p w14:paraId="1531A173">
      <w:pPr>
        <w:rPr>
          <w:rFonts w:ascii="仿宋_GB2312" w:hAnsi="仿宋_GB2312" w:eastAsia="仿宋_GB2312" w:cs="仿宋_GB2312"/>
          <w:sz w:val="32"/>
          <w:szCs w:val="32"/>
        </w:rPr>
      </w:pPr>
    </w:p>
    <w:p w14:paraId="6E5D72F0">
      <w:pPr>
        <w:pStyle w:val="10"/>
      </w:pPr>
    </w:p>
    <w:p w14:paraId="5C55FE70">
      <w:pPr>
        <w:pStyle w:val="35"/>
        <w:spacing w:line="578" w:lineRule="exact"/>
        <w:ind w:firstLine="640"/>
        <w:jc w:val="center"/>
        <w:rPr>
          <w:rFonts w:ascii="Times New Roman" w:hAnsi="Times New Roman"/>
          <w:color w:val="auto"/>
          <w:kern w:val="2"/>
          <w:sz w:val="32"/>
          <w:szCs w:val="32"/>
          <w:lang w:val="en-US"/>
        </w:rPr>
      </w:pPr>
    </w:p>
    <w:p w14:paraId="32BC7A57">
      <w:pPr>
        <w:pStyle w:val="35"/>
        <w:spacing w:line="578" w:lineRule="exact"/>
        <w:ind w:firstLine="640"/>
        <w:jc w:val="center"/>
        <w:rPr>
          <w:rFonts w:ascii="Times New Roman" w:hAnsi="Times New Roman"/>
          <w:color w:val="auto"/>
          <w:kern w:val="2"/>
          <w:sz w:val="32"/>
          <w:szCs w:val="32"/>
          <w:lang w:val="en-US"/>
        </w:rPr>
      </w:pPr>
    </w:p>
    <w:p w14:paraId="7ABFAE9A">
      <w:pPr>
        <w:pStyle w:val="35"/>
        <w:spacing w:line="578" w:lineRule="exact"/>
        <w:ind w:firstLine="640"/>
        <w:jc w:val="center"/>
        <w:rPr>
          <w:rFonts w:ascii="Times New Roman" w:hAnsi="Times New Roman"/>
          <w:color w:val="auto"/>
          <w:kern w:val="2"/>
          <w:sz w:val="32"/>
          <w:szCs w:val="32"/>
          <w:lang w:val="en-US"/>
        </w:rPr>
      </w:pPr>
    </w:p>
    <w:p w14:paraId="0457F647">
      <w:pPr>
        <w:pStyle w:val="35"/>
        <w:spacing w:line="578" w:lineRule="exact"/>
        <w:ind w:firstLine="640"/>
        <w:jc w:val="center"/>
        <w:rPr>
          <w:rFonts w:ascii="Times New Roman" w:hAnsi="Times New Roman"/>
          <w:color w:val="auto"/>
          <w:kern w:val="2"/>
          <w:sz w:val="32"/>
          <w:szCs w:val="32"/>
          <w:lang w:val="en-US"/>
        </w:rPr>
      </w:pPr>
    </w:p>
    <w:p w14:paraId="5F379995">
      <w:pPr>
        <w:pStyle w:val="35"/>
        <w:spacing w:line="578" w:lineRule="exact"/>
        <w:ind w:firstLine="640"/>
        <w:jc w:val="center"/>
        <w:rPr>
          <w:rFonts w:ascii="Times New Roman" w:hAnsi="Times New Roman"/>
          <w:color w:val="auto"/>
          <w:kern w:val="2"/>
          <w:sz w:val="32"/>
          <w:szCs w:val="32"/>
          <w:lang w:val="en-US"/>
        </w:rPr>
      </w:pPr>
    </w:p>
    <w:p w14:paraId="030FDDBF">
      <w:pPr>
        <w:pStyle w:val="35"/>
        <w:spacing w:line="578" w:lineRule="exact"/>
        <w:ind w:firstLine="640"/>
        <w:jc w:val="center"/>
        <w:rPr>
          <w:rFonts w:ascii="Times New Roman" w:hAnsi="Times New Roman"/>
          <w:color w:val="auto"/>
          <w:kern w:val="2"/>
          <w:sz w:val="32"/>
          <w:szCs w:val="32"/>
          <w:lang w:val="en-US"/>
        </w:rPr>
      </w:pPr>
    </w:p>
    <w:p w14:paraId="1FB315CD">
      <w:pPr>
        <w:pStyle w:val="35"/>
        <w:spacing w:line="578" w:lineRule="exact"/>
        <w:ind w:firstLine="640"/>
        <w:jc w:val="center"/>
        <w:rPr>
          <w:rFonts w:ascii="Times New Roman" w:hAnsi="Times New Roman"/>
          <w:color w:val="auto"/>
          <w:kern w:val="2"/>
          <w:sz w:val="32"/>
          <w:szCs w:val="32"/>
          <w:lang w:val="en-US"/>
        </w:rPr>
      </w:pPr>
    </w:p>
    <w:p w14:paraId="7035EA78">
      <w:pPr>
        <w:pStyle w:val="35"/>
        <w:spacing w:line="578" w:lineRule="exact"/>
        <w:ind w:firstLine="640"/>
        <w:jc w:val="center"/>
        <w:rPr>
          <w:rFonts w:ascii="Times New Roman" w:hAnsi="Times New Roman"/>
          <w:color w:val="auto"/>
          <w:kern w:val="2"/>
          <w:sz w:val="32"/>
          <w:szCs w:val="32"/>
          <w:lang w:val="en-US"/>
        </w:rPr>
      </w:pPr>
    </w:p>
    <w:p w14:paraId="515F5419">
      <w:pPr>
        <w:pStyle w:val="35"/>
        <w:spacing w:line="578" w:lineRule="exact"/>
        <w:ind w:firstLine="640"/>
        <w:jc w:val="center"/>
        <w:rPr>
          <w:rFonts w:ascii="Times New Roman" w:hAnsi="Times New Roman"/>
          <w:color w:val="auto"/>
          <w:kern w:val="2"/>
          <w:sz w:val="32"/>
          <w:szCs w:val="32"/>
          <w:lang w:val="en-US"/>
        </w:rPr>
      </w:pPr>
    </w:p>
    <w:p w14:paraId="03100A2E">
      <w:pPr>
        <w:pStyle w:val="35"/>
        <w:spacing w:line="578" w:lineRule="exact"/>
        <w:ind w:firstLine="640"/>
        <w:jc w:val="center"/>
        <w:rPr>
          <w:rFonts w:ascii="Times New Roman" w:hAnsi="Times New Roman"/>
          <w:color w:val="auto"/>
          <w:kern w:val="2"/>
          <w:sz w:val="32"/>
          <w:szCs w:val="32"/>
          <w:lang w:val="en-US"/>
        </w:rPr>
      </w:pPr>
    </w:p>
    <w:p w14:paraId="54019FD1">
      <w:pPr>
        <w:pStyle w:val="35"/>
        <w:spacing w:line="578" w:lineRule="exact"/>
        <w:ind w:firstLine="640"/>
        <w:jc w:val="center"/>
        <w:rPr>
          <w:rFonts w:ascii="Times New Roman" w:hAnsi="Times New Roman"/>
          <w:color w:val="auto"/>
          <w:kern w:val="2"/>
          <w:sz w:val="32"/>
          <w:szCs w:val="32"/>
          <w:lang w:val="en-US"/>
        </w:rPr>
      </w:pPr>
    </w:p>
    <w:p w14:paraId="08EA763B">
      <w:pPr>
        <w:pStyle w:val="35"/>
        <w:spacing w:line="578" w:lineRule="exact"/>
        <w:ind w:firstLine="640"/>
        <w:jc w:val="center"/>
        <w:rPr>
          <w:rFonts w:ascii="Times New Roman" w:hAnsi="Times New Roman"/>
          <w:color w:val="auto"/>
          <w:kern w:val="2"/>
          <w:sz w:val="32"/>
          <w:szCs w:val="32"/>
          <w:lang w:val="en-US"/>
        </w:rPr>
      </w:pPr>
    </w:p>
    <w:p w14:paraId="6BAAC7F6">
      <w:pPr>
        <w:pStyle w:val="35"/>
        <w:spacing w:line="578" w:lineRule="exact"/>
        <w:ind w:firstLine="640"/>
        <w:jc w:val="center"/>
        <w:rPr>
          <w:rFonts w:ascii="Times New Roman" w:hAnsi="Times New Roman"/>
          <w:color w:val="auto"/>
          <w:kern w:val="2"/>
          <w:sz w:val="32"/>
          <w:szCs w:val="32"/>
          <w:lang w:val="en-US"/>
        </w:rPr>
      </w:pPr>
    </w:p>
    <w:p w14:paraId="79AACE27">
      <w:pPr>
        <w:pStyle w:val="35"/>
        <w:spacing w:line="578" w:lineRule="exact"/>
        <w:ind w:firstLine="640"/>
        <w:jc w:val="center"/>
        <w:rPr>
          <w:rFonts w:ascii="Times New Roman" w:hAnsi="Times New Roman"/>
          <w:color w:val="auto"/>
          <w:kern w:val="2"/>
          <w:sz w:val="32"/>
          <w:szCs w:val="32"/>
          <w:lang w:val="en-US"/>
        </w:rPr>
      </w:pPr>
    </w:p>
    <w:p w14:paraId="0B4152E8">
      <w:pPr>
        <w:pStyle w:val="35"/>
        <w:spacing w:line="578" w:lineRule="exact"/>
        <w:ind w:firstLine="640"/>
        <w:jc w:val="center"/>
        <w:rPr>
          <w:rFonts w:ascii="Times New Roman" w:hAnsi="Times New Roman"/>
          <w:color w:val="auto"/>
          <w:kern w:val="2"/>
          <w:sz w:val="32"/>
          <w:szCs w:val="32"/>
          <w:lang w:val="en-US"/>
        </w:rPr>
      </w:pPr>
    </w:p>
    <w:p w14:paraId="17FF6EFB">
      <w:pPr>
        <w:pStyle w:val="35"/>
        <w:spacing w:line="578" w:lineRule="exact"/>
        <w:ind w:firstLine="640"/>
        <w:jc w:val="center"/>
        <w:rPr>
          <w:rFonts w:ascii="Times New Roman" w:hAnsi="Times New Roman"/>
          <w:color w:val="auto"/>
          <w:kern w:val="2"/>
          <w:sz w:val="32"/>
          <w:szCs w:val="32"/>
          <w:lang w:val="en-US"/>
        </w:rPr>
      </w:pPr>
    </w:p>
    <w:p w14:paraId="1C3626B5">
      <w:pPr>
        <w:spacing w:line="0" w:lineRule="atLeast"/>
        <w:jc w:val="center"/>
        <w:rPr>
          <w:rFonts w:ascii="Times New Roman" w:eastAsia="方正小标宋_GBK"/>
          <w:b/>
          <w:sz w:val="44"/>
          <w:szCs w:val="44"/>
        </w:rPr>
      </w:pPr>
      <w:r>
        <w:rPr>
          <w:rFonts w:hint="eastAsia" w:ascii="Times New Roman" w:eastAsia="方正小标宋_GBK"/>
          <w:b/>
          <w:sz w:val="44"/>
          <w:szCs w:val="44"/>
        </w:rPr>
        <w:t>中央药品监管补助资金</w:t>
      </w:r>
      <w:r>
        <w:rPr>
          <w:rFonts w:ascii="Times New Roman" w:eastAsia="方正小标宋_GBK"/>
          <w:b/>
          <w:sz w:val="44"/>
          <w:szCs w:val="44"/>
        </w:rPr>
        <w:t>专项预算项目绩效</w:t>
      </w:r>
    </w:p>
    <w:p w14:paraId="36B18156">
      <w:pPr>
        <w:spacing w:line="0" w:lineRule="atLeast"/>
        <w:jc w:val="center"/>
        <w:rPr>
          <w:rFonts w:ascii="Times New Roman" w:eastAsia="方正小标宋_GBK"/>
          <w:b/>
          <w:sz w:val="44"/>
          <w:szCs w:val="44"/>
        </w:rPr>
      </w:pPr>
      <w:r>
        <w:rPr>
          <w:rFonts w:hint="eastAsia" w:ascii="Times New Roman" w:eastAsia="方正小标宋_GBK"/>
          <w:b/>
          <w:sz w:val="44"/>
          <w:szCs w:val="44"/>
          <w:lang w:eastAsia="zh-CN"/>
        </w:rPr>
        <w:t>评价</w:t>
      </w:r>
      <w:r>
        <w:rPr>
          <w:rFonts w:ascii="Times New Roman" w:eastAsia="方正小标宋_GBK"/>
          <w:b/>
          <w:sz w:val="44"/>
          <w:szCs w:val="44"/>
        </w:rPr>
        <w:t>报告</w:t>
      </w:r>
    </w:p>
    <w:p w14:paraId="10B14E55">
      <w:pPr>
        <w:pStyle w:val="35"/>
        <w:spacing w:line="600" w:lineRule="exact"/>
        <w:ind w:firstLine="640"/>
        <w:jc w:val="center"/>
        <w:rPr>
          <w:rFonts w:ascii="Times New Roman" w:hAnsi="Times New Roman" w:cs="Times New Roman"/>
          <w:color w:val="auto"/>
          <w:kern w:val="2"/>
          <w:sz w:val="32"/>
          <w:szCs w:val="32"/>
        </w:rPr>
      </w:pPr>
    </w:p>
    <w:p w14:paraId="10C1A3B6">
      <w:pPr>
        <w:adjustRightInd w:val="0"/>
        <w:snapToGrid w:val="0"/>
        <w:spacing w:line="578" w:lineRule="exact"/>
        <w:ind w:firstLine="640" w:firstLineChars="200"/>
        <w:rPr>
          <w:rFonts w:hint="eastAsia" w:eastAsia="黑体"/>
          <w:sz w:val="32"/>
          <w:szCs w:val="32"/>
        </w:rPr>
      </w:pPr>
      <w:r>
        <w:rPr>
          <w:rFonts w:hint="eastAsia" w:eastAsia="黑体"/>
          <w:sz w:val="32"/>
          <w:szCs w:val="32"/>
        </w:rPr>
        <w:t>一、项目概况</w:t>
      </w:r>
    </w:p>
    <w:p w14:paraId="52E9E542">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8E7B165">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攀枝花市市场监督管理局关于印发2024年中央药品监管补助资金项目实施方案和绩效目标的通知》（攀市监发【2024】111号）文件，由攀枝花市市场监管局采用因素法分配到盐边县的中央药品监管补助资金为3万元。主要用于药品日常监管及专项整治、药品经营企业符合性检查、药品不良反应和药物滥用监测及医疗器械专项整治和“两品一械”安全宣传周等工作。</w:t>
      </w:r>
    </w:p>
    <w:p w14:paraId="1057D6DC">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5D18FA7">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加强对药品、医疗器械、化妆品日常监管、不良反应监测，药品抽检工作。努力防范药品安全风险，保障人民用药安全，同时为药品上市后评价工作做好数据支撑。</w:t>
      </w:r>
    </w:p>
    <w:p w14:paraId="1EED15D9">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全年出动执法人员375人次，检查药品零售企业191家次、医疗机构231家次、化妆品经营使用单位164家次。对辖区内9家药品网络销售企业、26家医疗器械网络销售备案企业进行了全覆盖检查。重点开展了药品巩固提升行动、相关领域医疗器械监督检查、药品经营使用专项检查、第二类精神药品专项检查、保障未成年人药品质量安全专项行动、化妆品规范化经营等专项行动。同公安、卫健、医保部门开展联合检查2次，召开联席会议3次，约谈问题企业3家次，移交公安案件（线索）1件，移交其他省市药监部门案件线索3条，移交其他部门违法线索1条。已办结药械化案件23件（其中药品14件、医疗器械4件、化妆品5件），货值金额合计0.7388万元，罚没款合计4.12万元。有效打击药品违法犯罪行为,全年未发生药品安全事件。</w:t>
      </w:r>
    </w:p>
    <w:p w14:paraId="7A8233A4">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6406011C">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按照绩效指标中产出指标、效益指标、满意度指标等一级指标，数量指标、质量指标、失效指标、成本指标、经济效益指标、社会效益指标、服务对象满意度指标等二级指标自评。2024年持续开展药品安全风险隐患排查，强化监督抽检工作，加强基层食品监管人员能力建设工作培训，开展药品监督抽检工作。达到了项目决策的目的，项目管理贯通抽检全过程，实现了经济效应、社会效应、可持续影响等绩效目标。</w:t>
      </w:r>
    </w:p>
    <w:p w14:paraId="5D8DD526">
      <w:pPr>
        <w:adjustRightInd w:val="0"/>
        <w:snapToGrid w:val="0"/>
        <w:spacing w:line="578" w:lineRule="exact"/>
        <w:ind w:firstLine="640" w:firstLineChars="200"/>
        <w:rPr>
          <w:rFonts w:hint="eastAsia" w:eastAsia="黑体"/>
          <w:sz w:val="32"/>
          <w:szCs w:val="32"/>
        </w:rPr>
      </w:pPr>
      <w:r>
        <w:rPr>
          <w:rFonts w:hint="eastAsia" w:eastAsia="黑体"/>
          <w:sz w:val="32"/>
          <w:szCs w:val="32"/>
        </w:rPr>
        <w:t>二、项目资金申报及使用情况</w:t>
      </w:r>
    </w:p>
    <w:p w14:paraId="52F3324B">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01CE59C9">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攀枝花市市场监督管理局关于印发2024年中央药品监管补助资金项目实施方案和绩效目标的通知》（攀市监发【2024】111号）文件，由攀枝花市市场监管局采用因素法分配到盐边县的中央药品监管补助资金为3万元。</w:t>
      </w:r>
    </w:p>
    <w:p w14:paraId="435C1A26">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099AD091">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局按照《四川省药品监管专项资金管理办法》（川财行〔2019〕78号）等文件规定，专款专用，并严格根据《攀枝花市市场监督管理局关于印发2024年中央药品监管补助资金项目实施方案和绩效目标的通知》要求使用项目资金。资金到位率100%，2024年中央药品监管补助资金已全部执行并支付完成。</w:t>
      </w:r>
    </w:p>
    <w:p w14:paraId="0F7CB677">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B93D826">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9566EE8">
      <w:pPr>
        <w:adjustRightInd w:val="0"/>
        <w:snapToGrid w:val="0"/>
        <w:spacing w:line="578" w:lineRule="exact"/>
        <w:ind w:firstLine="640" w:firstLineChars="200"/>
        <w:rPr>
          <w:rFonts w:hint="eastAsia" w:eastAsia="黑体"/>
          <w:sz w:val="32"/>
          <w:szCs w:val="32"/>
        </w:rPr>
      </w:pPr>
      <w:r>
        <w:rPr>
          <w:rFonts w:hint="eastAsia" w:eastAsia="黑体"/>
          <w:sz w:val="32"/>
          <w:szCs w:val="32"/>
        </w:rPr>
        <w:t>三、项目实施及管理情况</w:t>
      </w:r>
    </w:p>
    <w:p w14:paraId="6FE1F457">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项目制度办法体系健全、要素完备；项目资金分配因素选取、权重设置、区域分布、项目管理、审批符合管理要求；管资金、项目、政策与管绩效分开，项目绩效监管严格按要求开展。</w:t>
      </w:r>
    </w:p>
    <w:p w14:paraId="57495810">
      <w:pPr>
        <w:adjustRightInd w:val="0"/>
        <w:snapToGrid w:val="0"/>
        <w:spacing w:line="578" w:lineRule="exact"/>
        <w:ind w:firstLine="640" w:firstLineChars="200"/>
        <w:rPr>
          <w:rFonts w:hint="eastAsia" w:eastAsia="黑体"/>
          <w:sz w:val="32"/>
          <w:szCs w:val="32"/>
        </w:rPr>
      </w:pPr>
      <w:r>
        <w:rPr>
          <w:rFonts w:hint="eastAsia" w:eastAsia="黑体"/>
          <w:sz w:val="32"/>
          <w:szCs w:val="32"/>
        </w:rPr>
        <w:t>四、项目绩效情况</w:t>
      </w:r>
    </w:p>
    <w:p w14:paraId="4814B0D9">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19DF2F7F">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全年出动执法人员375人次，检查药品零售企业191家次、医疗机构231家次、化妆品经营使用单位164家次。对辖区内9家药品网络销售企业、26家医疗器械网络销售备案企业进行了全覆盖检查。重点开展了药品巩固提升行动、相关领域医疗器械监督检查、药品经营使用专项检查、第二类精神药品专项检查、保障未成年人药品质量安全专项行动、化妆品规范化经营等专项行动。同公安、卫健、医保部门开展联合检查2次，召开联席会议3次，约谈问题企业3家次，移交公安案件（线索）1件，移交其他省市药监部门案件线索3条，移交其他部门违法线索1条。已办结药械化案件23件（其中药品14件、医疗器械4件、化妆品5件），货值金额合计0.7388万元，罚没款合计4.12万元。有效打击药品违法犯罪行为,全年未发生药品安全事件。</w:t>
      </w:r>
    </w:p>
    <w:p w14:paraId="0E8914FA">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5EB2D132">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该项目绩效目标分为产出指标（细化为数量、质量、时效、成本指标）、效益指标（细化为经济效益和生态效益指标）、满意度指标。所有指标均按指标值完成。</w:t>
      </w:r>
    </w:p>
    <w:p w14:paraId="1C159EA3">
      <w:pPr>
        <w:adjustRightInd w:val="0"/>
        <w:snapToGrid w:val="0"/>
        <w:spacing w:line="578" w:lineRule="exact"/>
        <w:ind w:firstLine="640" w:firstLineChars="200"/>
        <w:rPr>
          <w:rFonts w:hint="eastAsia" w:eastAsia="黑体"/>
          <w:sz w:val="32"/>
          <w:szCs w:val="32"/>
        </w:rPr>
      </w:pPr>
      <w:r>
        <w:rPr>
          <w:rFonts w:hint="eastAsia" w:eastAsia="黑体"/>
          <w:sz w:val="32"/>
          <w:szCs w:val="32"/>
        </w:rPr>
        <w:t>五、评价结论及建议</w:t>
      </w:r>
    </w:p>
    <w:p w14:paraId="512A6129">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3340373C">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按照绩效指标中产出指标、效益指标、满意度指标等一级指标，数量指标、质量指标、失效指标、成本指标、经济效益指标、社会效益指标、服务对象满意度指标等进行量化评价，所有项目支出实际状况与下达绩效目标均相符，自评指标得分100分。</w:t>
      </w:r>
    </w:p>
    <w:p w14:paraId="5E0B783A">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F3346B0">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无。</w:t>
      </w:r>
    </w:p>
    <w:p w14:paraId="15170517">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7A156B8E">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无。</w:t>
      </w:r>
    </w:p>
    <w:p w14:paraId="52E6DEF8">
      <w:pPr>
        <w:pStyle w:val="35"/>
        <w:spacing w:line="578" w:lineRule="exact"/>
        <w:ind w:firstLine="640"/>
        <w:jc w:val="center"/>
        <w:rPr>
          <w:rFonts w:ascii="Times New Roman" w:hAnsi="Times New Roman"/>
          <w:color w:val="auto"/>
          <w:kern w:val="2"/>
          <w:sz w:val="32"/>
          <w:szCs w:val="32"/>
          <w:lang w:val="en-US"/>
        </w:rPr>
      </w:pPr>
    </w:p>
    <w:p w14:paraId="2721BB6E">
      <w:pPr>
        <w:pStyle w:val="35"/>
        <w:spacing w:line="578" w:lineRule="exact"/>
        <w:ind w:firstLine="640"/>
        <w:jc w:val="center"/>
        <w:rPr>
          <w:rFonts w:ascii="Times New Roman" w:hAnsi="Times New Roman"/>
          <w:color w:val="auto"/>
          <w:kern w:val="2"/>
          <w:sz w:val="32"/>
          <w:szCs w:val="32"/>
          <w:lang w:val="en-US"/>
        </w:rPr>
      </w:pPr>
    </w:p>
    <w:p w14:paraId="31B4C22C">
      <w:pPr>
        <w:pStyle w:val="35"/>
        <w:spacing w:line="578" w:lineRule="exact"/>
        <w:ind w:firstLine="640"/>
        <w:jc w:val="center"/>
        <w:rPr>
          <w:rFonts w:ascii="Times New Roman" w:hAnsi="Times New Roman"/>
          <w:color w:val="auto"/>
          <w:kern w:val="2"/>
          <w:sz w:val="32"/>
          <w:szCs w:val="32"/>
          <w:lang w:val="en-US"/>
        </w:rPr>
      </w:pPr>
    </w:p>
    <w:p w14:paraId="15BB79B0">
      <w:pPr>
        <w:pStyle w:val="35"/>
        <w:spacing w:line="578" w:lineRule="exact"/>
        <w:ind w:firstLine="640"/>
        <w:jc w:val="center"/>
        <w:rPr>
          <w:rFonts w:ascii="Times New Roman" w:hAnsi="Times New Roman"/>
          <w:color w:val="auto"/>
          <w:kern w:val="2"/>
          <w:sz w:val="32"/>
          <w:szCs w:val="32"/>
          <w:lang w:val="en-US"/>
        </w:rPr>
      </w:pPr>
    </w:p>
    <w:p w14:paraId="134EA8AA">
      <w:pPr>
        <w:pStyle w:val="35"/>
        <w:spacing w:line="578" w:lineRule="exact"/>
        <w:ind w:firstLine="640"/>
        <w:jc w:val="center"/>
        <w:rPr>
          <w:rFonts w:ascii="Times New Roman" w:hAnsi="Times New Roman"/>
          <w:color w:val="auto"/>
          <w:kern w:val="2"/>
          <w:sz w:val="32"/>
          <w:szCs w:val="32"/>
          <w:lang w:val="en-US"/>
        </w:rPr>
      </w:pPr>
    </w:p>
    <w:p w14:paraId="454DC573">
      <w:pPr>
        <w:pStyle w:val="35"/>
        <w:spacing w:line="578" w:lineRule="exact"/>
        <w:ind w:firstLine="640"/>
        <w:jc w:val="center"/>
        <w:rPr>
          <w:rFonts w:ascii="Times New Roman" w:hAnsi="Times New Roman"/>
          <w:color w:val="auto"/>
          <w:kern w:val="2"/>
          <w:sz w:val="32"/>
          <w:szCs w:val="32"/>
          <w:lang w:val="en-US"/>
        </w:rPr>
      </w:pPr>
    </w:p>
    <w:p w14:paraId="1DFF853B">
      <w:pPr>
        <w:pStyle w:val="35"/>
        <w:spacing w:line="578" w:lineRule="exact"/>
        <w:ind w:firstLine="640"/>
        <w:jc w:val="center"/>
        <w:rPr>
          <w:rFonts w:ascii="Times New Roman" w:hAnsi="Times New Roman"/>
          <w:color w:val="auto"/>
          <w:kern w:val="2"/>
          <w:sz w:val="32"/>
          <w:szCs w:val="32"/>
          <w:lang w:val="en-US"/>
        </w:rPr>
      </w:pPr>
    </w:p>
    <w:p w14:paraId="28A4BD17">
      <w:pPr>
        <w:pStyle w:val="35"/>
        <w:spacing w:line="578" w:lineRule="exact"/>
        <w:ind w:firstLine="640"/>
        <w:jc w:val="center"/>
        <w:rPr>
          <w:rFonts w:ascii="Times New Roman" w:hAnsi="Times New Roman"/>
          <w:color w:val="auto"/>
          <w:kern w:val="2"/>
          <w:sz w:val="32"/>
          <w:szCs w:val="32"/>
          <w:lang w:val="en-US"/>
        </w:rPr>
      </w:pPr>
    </w:p>
    <w:p w14:paraId="0B414536">
      <w:pPr>
        <w:pStyle w:val="35"/>
        <w:spacing w:line="578" w:lineRule="exact"/>
        <w:ind w:firstLine="640"/>
        <w:jc w:val="center"/>
        <w:rPr>
          <w:rFonts w:ascii="Times New Roman" w:hAnsi="Times New Roman"/>
          <w:color w:val="auto"/>
          <w:kern w:val="2"/>
          <w:sz w:val="32"/>
          <w:szCs w:val="32"/>
          <w:lang w:val="en-US"/>
        </w:rPr>
      </w:pPr>
    </w:p>
    <w:p w14:paraId="392D309F">
      <w:pPr>
        <w:pStyle w:val="35"/>
        <w:spacing w:line="578" w:lineRule="exact"/>
        <w:ind w:firstLine="640"/>
        <w:jc w:val="center"/>
        <w:rPr>
          <w:rFonts w:ascii="Times New Roman" w:hAnsi="Times New Roman"/>
          <w:color w:val="auto"/>
          <w:kern w:val="2"/>
          <w:sz w:val="32"/>
          <w:szCs w:val="32"/>
          <w:lang w:val="en-US"/>
        </w:rPr>
      </w:pPr>
    </w:p>
    <w:p w14:paraId="587CFA85">
      <w:pPr>
        <w:pStyle w:val="35"/>
        <w:spacing w:line="578" w:lineRule="exact"/>
        <w:ind w:firstLine="640"/>
        <w:jc w:val="center"/>
        <w:rPr>
          <w:rFonts w:ascii="Times New Roman" w:hAnsi="Times New Roman"/>
          <w:color w:val="auto"/>
          <w:kern w:val="2"/>
          <w:sz w:val="32"/>
          <w:szCs w:val="32"/>
          <w:lang w:val="en-US"/>
        </w:rPr>
      </w:pPr>
    </w:p>
    <w:p w14:paraId="097CAE6E">
      <w:pPr>
        <w:pStyle w:val="35"/>
        <w:spacing w:line="578" w:lineRule="exact"/>
        <w:ind w:firstLine="640"/>
        <w:jc w:val="center"/>
        <w:rPr>
          <w:rFonts w:ascii="Times New Roman" w:hAnsi="Times New Roman"/>
          <w:color w:val="auto"/>
          <w:kern w:val="2"/>
          <w:sz w:val="32"/>
          <w:szCs w:val="32"/>
          <w:lang w:val="en-US"/>
        </w:rPr>
      </w:pPr>
    </w:p>
    <w:p w14:paraId="03DF11B6">
      <w:pPr>
        <w:pStyle w:val="35"/>
        <w:spacing w:line="578" w:lineRule="exact"/>
        <w:ind w:firstLine="640"/>
        <w:jc w:val="center"/>
        <w:rPr>
          <w:rFonts w:ascii="Times New Roman" w:hAnsi="Times New Roman"/>
          <w:color w:val="auto"/>
          <w:kern w:val="2"/>
          <w:sz w:val="32"/>
          <w:szCs w:val="32"/>
          <w:lang w:val="en-US"/>
        </w:rPr>
      </w:pPr>
    </w:p>
    <w:p w14:paraId="40164C1D">
      <w:pPr>
        <w:pStyle w:val="35"/>
        <w:spacing w:line="578" w:lineRule="exact"/>
        <w:ind w:firstLine="640"/>
        <w:jc w:val="center"/>
        <w:rPr>
          <w:rFonts w:ascii="Times New Roman" w:hAnsi="Times New Roman"/>
          <w:color w:val="auto"/>
          <w:kern w:val="2"/>
          <w:sz w:val="32"/>
          <w:szCs w:val="32"/>
          <w:lang w:val="en-US"/>
        </w:rPr>
      </w:pPr>
    </w:p>
    <w:p w14:paraId="4E35BE99">
      <w:pPr>
        <w:pStyle w:val="35"/>
        <w:spacing w:line="578" w:lineRule="exact"/>
        <w:ind w:firstLine="640"/>
        <w:jc w:val="center"/>
        <w:rPr>
          <w:rFonts w:ascii="Times New Roman" w:hAnsi="Times New Roman"/>
          <w:color w:val="auto"/>
          <w:kern w:val="2"/>
          <w:sz w:val="32"/>
          <w:szCs w:val="32"/>
          <w:lang w:val="en-US"/>
        </w:rPr>
      </w:pPr>
    </w:p>
    <w:p w14:paraId="6D2B72E8">
      <w:pPr>
        <w:pStyle w:val="35"/>
        <w:spacing w:line="578" w:lineRule="exact"/>
        <w:ind w:firstLine="640"/>
        <w:jc w:val="center"/>
        <w:rPr>
          <w:rFonts w:ascii="Times New Roman" w:hAnsi="Times New Roman"/>
          <w:color w:val="auto"/>
          <w:kern w:val="2"/>
          <w:sz w:val="32"/>
          <w:szCs w:val="32"/>
          <w:lang w:val="en-US"/>
        </w:rPr>
      </w:pPr>
    </w:p>
    <w:p w14:paraId="0A78D468">
      <w:pPr>
        <w:pStyle w:val="35"/>
        <w:spacing w:line="578" w:lineRule="exact"/>
        <w:ind w:firstLine="640"/>
        <w:jc w:val="center"/>
        <w:rPr>
          <w:rFonts w:ascii="Times New Roman" w:hAnsi="Times New Roman"/>
          <w:color w:val="auto"/>
          <w:kern w:val="2"/>
          <w:sz w:val="32"/>
          <w:szCs w:val="32"/>
          <w:lang w:val="en-US"/>
        </w:rPr>
      </w:pPr>
    </w:p>
    <w:p w14:paraId="6F0354E7">
      <w:pPr>
        <w:pStyle w:val="35"/>
        <w:spacing w:line="578" w:lineRule="exact"/>
        <w:ind w:firstLine="640"/>
        <w:jc w:val="center"/>
        <w:rPr>
          <w:rFonts w:ascii="Times New Roman" w:hAnsi="Times New Roman"/>
          <w:color w:val="auto"/>
          <w:kern w:val="2"/>
          <w:sz w:val="32"/>
          <w:szCs w:val="32"/>
          <w:lang w:val="en-US"/>
        </w:rPr>
      </w:pPr>
    </w:p>
    <w:p w14:paraId="2748622D">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2024年度食品安全监督抽检专项预算项目绩效评价报告</w:t>
      </w:r>
    </w:p>
    <w:p w14:paraId="55EE3E06">
      <w:pPr>
        <w:pStyle w:val="35"/>
        <w:spacing w:line="578" w:lineRule="exact"/>
        <w:ind w:firstLine="640"/>
        <w:jc w:val="center"/>
        <w:rPr>
          <w:rFonts w:ascii="Times New Roman" w:hAnsi="Times New Roman"/>
          <w:color w:val="auto"/>
          <w:kern w:val="2"/>
          <w:sz w:val="32"/>
          <w:szCs w:val="32"/>
        </w:rPr>
      </w:pPr>
    </w:p>
    <w:p w14:paraId="1259B40F">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180230CD">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p>
    <w:p w14:paraId="381C7331">
      <w:pPr>
        <w:pStyle w:val="14"/>
        <w:spacing w:line="56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盐边县市场监督管理局负责制定《盐边县2024年度食品安全抽检监测实施方案》；通过比选程序确定第三方承检机构四川省轻工业研究设计院有限公司，并与其签订服务合同；负责食品及食用农产品抽检结果公示；负责核对项目完成情况进行抽查；负责完成不合格食品和食用农产品核查处置。</w:t>
      </w:r>
    </w:p>
    <w:p w14:paraId="1BAFB99C">
      <w:pPr>
        <w:numPr>
          <w:ilvl w:val="0"/>
          <w:numId w:val="1"/>
        </w:numPr>
        <w:adjustRightInd w:val="0"/>
        <w:snapToGrid w:val="0"/>
        <w:spacing w:line="560" w:lineRule="exact"/>
        <w:ind w:firstLine="643" w:firstLineChars="200"/>
        <w:rPr>
          <w:rFonts w:eastAsia="仿宋_GB2312" w:cs="仿宋_GB2312"/>
          <w:kern w:val="0"/>
          <w:sz w:val="32"/>
          <w:szCs w:val="32"/>
          <w:lang w:val="zh-CN"/>
        </w:rPr>
      </w:pPr>
      <w:r>
        <w:rPr>
          <w:rFonts w:eastAsia="楷体_GB2312"/>
          <w:b/>
          <w:sz w:val="32"/>
          <w:szCs w:val="32"/>
        </w:rPr>
        <w:t>实施目的及支持方向</w:t>
      </w:r>
      <w:r>
        <w:rPr>
          <w:rFonts w:hint="eastAsia" w:eastAsia="楷体_GB2312"/>
          <w:b/>
          <w:sz w:val="32"/>
          <w:szCs w:val="32"/>
        </w:rPr>
        <w:t>。</w:t>
      </w:r>
    </w:p>
    <w:p w14:paraId="73D84129">
      <w:pPr>
        <w:pStyle w:val="2"/>
        <w:spacing w:line="56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依据《中华人民共和国食品安全法》第八十七条规定：县级以上人民政府食品安全监督管理部门应当对食品进行定期或者不定期的抽样检验，并依据有关规定公布检验结果，不得免检。</w:t>
      </w:r>
    </w:p>
    <w:p w14:paraId="469F1B9D">
      <w:pPr>
        <w:widowControl/>
        <w:numPr>
          <w:ilvl w:val="0"/>
          <w:numId w:val="1"/>
        </w:numPr>
        <w:adjustRightInd w:val="0"/>
        <w:snapToGrid w:val="0"/>
        <w:spacing w:line="560" w:lineRule="exact"/>
        <w:ind w:firstLine="643" w:firstLineChars="200"/>
        <w:contextualSpacing/>
        <w:rPr>
          <w:rFonts w:eastAsia="仿宋_GB2312" w:cs="仿宋_GB2312"/>
          <w:kern w:val="0"/>
          <w:sz w:val="32"/>
          <w:szCs w:val="32"/>
          <w:lang w:val="zh-CN"/>
        </w:rPr>
      </w:pPr>
      <w:r>
        <w:rPr>
          <w:rFonts w:eastAsia="楷体_GB2312"/>
          <w:b/>
          <w:sz w:val="32"/>
          <w:szCs w:val="32"/>
        </w:rPr>
        <w:t>预算安排及分配管理</w:t>
      </w:r>
      <w:r>
        <w:rPr>
          <w:rFonts w:hint="eastAsia" w:eastAsia="楷体_GB2312"/>
          <w:b/>
          <w:sz w:val="32"/>
          <w:szCs w:val="32"/>
          <w:lang w:val="zh-CN"/>
        </w:rPr>
        <w:t>。</w:t>
      </w:r>
    </w:p>
    <w:p w14:paraId="6516EDC1">
      <w:pPr>
        <w:widowControl/>
        <w:adjustRightInd w:val="0"/>
        <w:snapToGrid w:val="0"/>
        <w:spacing w:line="560" w:lineRule="exact"/>
        <w:ind w:firstLine="640" w:firstLineChars="200"/>
        <w:contextualSpacing/>
        <w:rPr>
          <w:rFonts w:eastAsia="仿宋_GB2312" w:cs="仿宋_GB2312"/>
          <w:kern w:val="0"/>
          <w:sz w:val="32"/>
          <w:szCs w:val="32"/>
          <w:lang w:val="zh-CN"/>
        </w:rPr>
      </w:pPr>
      <w:r>
        <w:rPr>
          <w:rFonts w:hint="eastAsia" w:eastAsia="仿宋_GB2312" w:cs="仿宋_GB2312"/>
          <w:kern w:val="0"/>
          <w:sz w:val="32"/>
          <w:szCs w:val="32"/>
          <w:lang w:val="zh-CN"/>
        </w:rPr>
        <w:t>按照《盐边县2024年度食品安全抽检监测实施方案》及抽检工作完成进度支付抽检检测机构产生的检测费用。该项目为2024年11月30日前在盐边辖区内完成食品抽检180批次和食用农产品抽检120批次，按照《盐边县2024年食品抽检项目任务计划表》《盐边县 2024 年食用农产品抽检项目任务计划表》开展食品及食用农产品抽检工作。项目总价为29.2万元。</w:t>
      </w:r>
    </w:p>
    <w:p w14:paraId="49986263">
      <w:pPr>
        <w:numPr>
          <w:ilvl w:val="0"/>
          <w:numId w:val="1"/>
        </w:numPr>
        <w:adjustRightInd w:val="0"/>
        <w:snapToGrid w:val="0"/>
        <w:spacing w:line="560" w:lineRule="exact"/>
        <w:ind w:firstLine="643" w:firstLineChars="200"/>
        <w:rPr>
          <w:rFonts w:eastAsia="楷体_GB2312"/>
          <w:b/>
          <w:sz w:val="32"/>
          <w:szCs w:val="32"/>
          <w:lang w:val="zh-CN"/>
        </w:rPr>
      </w:pPr>
      <w:r>
        <w:rPr>
          <w:rFonts w:hint="eastAsia" w:eastAsia="楷体_GB2312"/>
          <w:b/>
          <w:sz w:val="32"/>
          <w:szCs w:val="32"/>
          <w:lang w:val="zh-CN"/>
        </w:rPr>
        <w:t>项目绩效目标设置。</w:t>
      </w:r>
    </w:p>
    <w:p w14:paraId="3D63662F">
      <w:pPr>
        <w:adjustRightInd w:val="0"/>
        <w:snapToGrid w:val="0"/>
        <w:spacing w:line="560" w:lineRule="exact"/>
        <w:ind w:firstLine="640" w:firstLineChars="200"/>
        <w:rPr>
          <w:rFonts w:eastAsia="仿宋_GB2312"/>
          <w:sz w:val="32"/>
          <w:szCs w:val="32"/>
          <w:lang w:val="zh-CN"/>
        </w:rPr>
      </w:pPr>
      <w:r>
        <w:rPr>
          <w:rFonts w:hint="eastAsia" w:eastAsia="仿宋_GB2312" w:cs="仿宋_GB2312"/>
          <w:kern w:val="0"/>
          <w:sz w:val="32"/>
          <w:szCs w:val="32"/>
          <w:lang w:val="zh-CN"/>
        </w:rPr>
        <w:t>在我县辖区内开展300批次食品安全抽检，其中食品180批次，食用农产品120批次。项目应实现的具体绩效目标，包括目标的量化、细化情况以及项目实施进度计划等。该项目绩效目标分为产出指标（细化为数量、质量、时效指标）、效益指标（细化为经济效益和生态效益指标）、成本指标及满意度指标。项目实施进度计划：县级抽检监测任务上半年完成量不低于总任务数45%，7-9月完成总任务数的75%，10-11月完成总任务数的100%。</w:t>
      </w:r>
      <w:r>
        <w:rPr>
          <w:rFonts w:hint="eastAsia" w:eastAsia="仿宋_GB2312"/>
          <w:sz w:val="32"/>
          <w:szCs w:val="32"/>
          <w:lang w:val="zh-CN"/>
        </w:rPr>
        <w:t>盐边县20</w:t>
      </w:r>
      <w:r>
        <w:rPr>
          <w:rFonts w:hint="eastAsia"/>
          <w:sz w:val="32"/>
          <w:szCs w:val="32"/>
        </w:rPr>
        <w:t>24</w:t>
      </w:r>
      <w:r>
        <w:rPr>
          <w:rFonts w:hint="eastAsia" w:eastAsia="仿宋_GB2312"/>
          <w:sz w:val="32"/>
          <w:szCs w:val="32"/>
          <w:lang w:val="zh-CN"/>
        </w:rPr>
        <w:t>年度食品安全抽检监测申报内容与实际相符。申报目标根据《中华人民共和国食品安全法》和省、市抽检任务分解及我县实际经济水平、监管对象、人口基数依法设定，合理可行。</w:t>
      </w:r>
    </w:p>
    <w:p w14:paraId="45FD5521">
      <w:pPr>
        <w:pStyle w:val="2"/>
        <w:jc w:val="both"/>
        <w:rPr>
          <w:lang w:val="zh-CN"/>
        </w:rPr>
      </w:pPr>
    </w:p>
    <w:p w14:paraId="618691D8">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A560DF9">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ascii="仿宋_GB2312" w:hAnsi="仿宋_GB2312" w:eastAsia="仿宋_GB2312" w:cs="仿宋_GB2312"/>
          <w:bCs/>
          <w:sz w:val="32"/>
          <w:szCs w:val="32"/>
          <w:lang w:val="zh-CN"/>
        </w:rPr>
        <w:t>通过评价确定2024年食品和食用农产品监督抽检项目是否达到了项目决策的目的，项目管理是否贯通抽检全过程，是否实现了经济效应、社会效应、可持续影响等绩效目标。</w:t>
      </w:r>
    </w:p>
    <w:p w14:paraId="7DDDF182">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结合项目组织实施管理办法，重点围绕以下内容进行分析评价，并对自评中发现的问题分析说明。</w:t>
      </w:r>
      <w:r>
        <w:rPr>
          <w:rFonts w:hint="eastAsia" w:eastAsia="仿宋_GB2312" w:cs="仿宋_GB2312"/>
          <w:b/>
          <w:bCs/>
          <w:kern w:val="0"/>
          <w:sz w:val="32"/>
          <w:szCs w:val="32"/>
          <w:lang w:val="zh-CN"/>
        </w:rPr>
        <w:t>一是项目组织架构及实施流程</w:t>
      </w:r>
      <w:r>
        <w:rPr>
          <w:rFonts w:hint="eastAsia" w:eastAsia="仿宋_GB2312" w:cs="仿宋_GB2312"/>
          <w:kern w:val="0"/>
          <w:sz w:val="32"/>
          <w:szCs w:val="32"/>
          <w:lang w:val="zh-CN"/>
        </w:rPr>
        <w:t>：制定《盐边县2024年度食品安全抽检监测实施方案》→比选确定第三方承检机构→签订抽检合同→开展监督抽检→项目完成支付资金。</w:t>
      </w:r>
      <w:r>
        <w:rPr>
          <w:rFonts w:hint="eastAsia" w:eastAsia="仿宋_GB2312" w:cs="仿宋_GB2312"/>
          <w:b/>
          <w:bCs/>
          <w:kern w:val="0"/>
          <w:sz w:val="32"/>
          <w:szCs w:val="32"/>
          <w:lang w:val="zh-CN"/>
        </w:rPr>
        <w:t>二是该项目管理情况</w:t>
      </w:r>
      <w:r>
        <w:rPr>
          <w:rFonts w:hint="eastAsia" w:eastAsia="仿宋_GB2312" w:cs="仿宋_GB2312"/>
          <w:kern w:val="0"/>
          <w:sz w:val="32"/>
          <w:szCs w:val="32"/>
          <w:lang w:val="zh-CN"/>
        </w:rPr>
        <w:t>：依据《中华人民共和国食品安全法》第八十七条规定而立项、以政府采购服务方式开展比选、依据《食品安全抽样检验工作规范》《食品安全抽样检验管理办法》实施项目和结果公示。</w:t>
      </w:r>
      <w:r>
        <w:rPr>
          <w:rFonts w:hint="eastAsia" w:eastAsia="仿宋_GB2312" w:cs="仿宋_GB2312"/>
          <w:b/>
          <w:bCs/>
          <w:kern w:val="0"/>
          <w:sz w:val="32"/>
          <w:szCs w:val="32"/>
          <w:lang w:val="zh-CN"/>
        </w:rPr>
        <w:t>三是项目资金管理情况：</w:t>
      </w:r>
      <w:r>
        <w:rPr>
          <w:rFonts w:hint="eastAsia" w:eastAsia="仿宋_GB2312" w:cs="仿宋_GB2312"/>
          <w:kern w:val="0"/>
          <w:sz w:val="32"/>
          <w:szCs w:val="32"/>
          <w:lang w:val="zh-CN"/>
        </w:rPr>
        <w:t>该项目实施过程全程入网监管，该项目通过国家食品安全抽样检验系统对食品及食用农产品抽检工作进行计划制定、计划部署、抽样过程、抽检结果录入和公示等全过程录入，确保抽样品种、数量、检验项目保质保量完成；市市场监管局每季度对抽样数据进行审核，督促第三方承检机构及时对不规范的数据进行整改；该项目纳入年底食品安全考核，通过对完成数量、不合格率等指标进行评估，确保食品及食用农产品抽检工作达到预期目标。照绩效评价指标体系，对资金支出使用全过程及其实施效果进行综合评价和判断。</w:t>
      </w:r>
    </w:p>
    <w:p w14:paraId="0DD5C1DD">
      <w:pPr>
        <w:snapToGrid w:val="0"/>
        <w:spacing w:line="560" w:lineRule="exact"/>
        <w:ind w:firstLine="643" w:firstLineChars="200"/>
        <w:rPr>
          <w:rFonts w:ascii="仿宋_GB2312" w:hAnsi="宋体" w:eastAsia="仿宋_GB2312"/>
          <w:sz w:val="32"/>
          <w:szCs w:val="32"/>
        </w:rPr>
      </w:pPr>
      <w:r>
        <w:rPr>
          <w:rFonts w:hint="eastAsia" w:eastAsia="楷体_GB2312"/>
          <w:b/>
          <w:sz w:val="32"/>
          <w:szCs w:val="32"/>
          <w:lang w:val="zh-CN"/>
        </w:rPr>
        <w:t>（三）评价选点。</w:t>
      </w:r>
      <w:r>
        <w:rPr>
          <w:rFonts w:hint="eastAsia" w:ascii="仿宋_GB2312" w:hAnsi="宋体" w:eastAsia="仿宋_GB2312"/>
          <w:sz w:val="32"/>
          <w:szCs w:val="32"/>
        </w:rPr>
        <w:t>主要设置了项目完成、项目效益、满意度3个一级指标，7个二级指标和11个三级指标。项目完成和满意度指标的各项指标均可实现量化考核，总体来说指标设置和指标值全面完整，契合政策和项目要求，与市场监管部门食品安全长期规划目标、年度工作目标相一致。</w:t>
      </w:r>
    </w:p>
    <w:p w14:paraId="238C2354">
      <w:pPr>
        <w:spacing w:line="578" w:lineRule="exact"/>
        <w:ind w:firstLine="640"/>
        <w:rPr>
          <w:rFonts w:ascii="仿宋_GB2312" w:hAnsi="仿宋_GB2312" w:eastAsia="仿宋_GB2312" w:cs="仿宋_GB2312"/>
          <w:bCs/>
          <w:kern w:val="0"/>
          <w:sz w:val="32"/>
          <w:szCs w:val="32"/>
          <w:lang w:val="zh-CN"/>
        </w:rPr>
      </w:pPr>
      <w:r>
        <w:rPr>
          <w:rFonts w:hint="eastAsia" w:eastAsia="楷体_GB2312"/>
          <w:b/>
          <w:sz w:val="32"/>
          <w:szCs w:val="32"/>
          <w:lang w:val="zh-CN"/>
        </w:rPr>
        <w:t>（四）评价方法。</w:t>
      </w:r>
      <w:r>
        <w:rPr>
          <w:rFonts w:hint="eastAsia" w:ascii="仿宋_GB2312" w:hAnsi="仿宋_GB2312" w:eastAsia="仿宋_GB2312" w:cs="仿宋_GB2312"/>
          <w:bCs/>
          <w:sz w:val="32"/>
          <w:szCs w:val="32"/>
          <w:lang w:val="zh-CN"/>
        </w:rPr>
        <w:t>通过抽检完成数量、不合格率等指标进行评估，采用本</w:t>
      </w:r>
      <w:r>
        <w:rPr>
          <w:rFonts w:hint="eastAsia" w:ascii="仿宋_GB2312" w:hAnsi="仿宋_GB2312" w:eastAsia="仿宋_GB2312" w:cs="仿宋_GB2312"/>
          <w:bCs/>
          <w:kern w:val="0"/>
          <w:sz w:val="32"/>
          <w:szCs w:val="32"/>
          <w:lang w:val="zh-CN"/>
        </w:rPr>
        <w:t>单位自评法</w:t>
      </w:r>
      <w:r>
        <w:rPr>
          <w:rFonts w:hint="eastAsia" w:ascii="仿宋_GB2312" w:hAnsi="仿宋_GB2312" w:eastAsia="仿宋_GB2312" w:cs="仿宋_GB2312"/>
          <w:bCs/>
          <w:sz w:val="32"/>
          <w:szCs w:val="32"/>
          <w:lang w:val="zh-CN"/>
        </w:rPr>
        <w:t>确保食品及食用农产品抽检工作达到预期目标。对照《盐边县2024年度食品安全抽检监测实施方案》、合同、抽检结果、资金支付情况，对项目产出指标、效益指标、成本指标及满意度指标进行自评。</w:t>
      </w:r>
    </w:p>
    <w:p w14:paraId="77EC9BB6">
      <w:pPr>
        <w:spacing w:line="578" w:lineRule="exact"/>
        <w:ind w:firstLine="64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按照职能职责，由局领导及相关股室人员组成评价小组，</w:t>
      </w:r>
      <w:r>
        <w:rPr>
          <w:rFonts w:hint="eastAsia" w:ascii="仿宋_GB2312" w:hAnsi="仿宋_GB2312" w:eastAsia="仿宋_GB2312" w:cs="仿宋_GB2312"/>
          <w:bCs/>
          <w:sz w:val="32"/>
          <w:szCs w:val="32"/>
          <w:lang w:val="zh-CN"/>
        </w:rPr>
        <w:t>通过审核抽检完成数量、不合格率等指标，对照《盐边县2024年度食品安全抽检监测实施方案》、合同、抽检结果、资金支付情况，对项目产出指标、效益指标、成本指标及满意度指标进行评价。</w:t>
      </w:r>
    </w:p>
    <w:p w14:paraId="3C6DA41C">
      <w:pPr>
        <w:adjustRightInd w:val="0"/>
        <w:snapToGrid w:val="0"/>
        <w:spacing w:line="578" w:lineRule="exact"/>
        <w:ind w:firstLine="640" w:firstLineChars="200"/>
        <w:rPr>
          <w:sz w:val="32"/>
          <w:szCs w:val="32"/>
          <w:lang w:val="zh-CN"/>
        </w:rPr>
      </w:pPr>
      <w:r>
        <w:rPr>
          <w:rFonts w:hint="eastAsia" w:eastAsia="黑体"/>
          <w:sz w:val="32"/>
          <w:szCs w:val="32"/>
        </w:rPr>
        <w:t>三、绩效分析</w:t>
      </w:r>
    </w:p>
    <w:p w14:paraId="02A93976">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069B006F">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56B3F00">
      <w:pPr>
        <w:adjustRightInd w:val="0"/>
        <w:snapToGrid w:val="0"/>
        <w:spacing w:line="520" w:lineRule="exact"/>
        <w:ind w:firstLine="640" w:firstLineChars="200"/>
        <w:rPr>
          <w:rFonts w:ascii="仿宋_GB2312" w:hAnsi="宋体" w:eastAsia="仿宋_GB2312"/>
          <w:sz w:val="32"/>
          <w:szCs w:val="32"/>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hint="eastAsia" w:ascii="仿宋_GB2312" w:hAnsi="宋体" w:eastAsia="仿宋_GB2312"/>
          <w:sz w:val="32"/>
          <w:szCs w:val="32"/>
          <w:lang w:val="zh-CN"/>
        </w:rPr>
        <w:t>盐边县市场监管局依据职能职责对辖区食品生产经营者开展食品监督抽检，</w:t>
      </w:r>
      <w:r>
        <w:rPr>
          <w:rFonts w:hint="eastAsia" w:ascii="仿宋_GB2312" w:hAnsi="宋体" w:eastAsia="仿宋_GB2312"/>
          <w:sz w:val="32"/>
          <w:szCs w:val="32"/>
        </w:rPr>
        <w:t>2024年</w:t>
      </w:r>
      <w:r>
        <w:rPr>
          <w:rFonts w:hint="eastAsia" w:ascii="仿宋_GB2312" w:hAnsi="宋体" w:eastAsia="仿宋_GB2312"/>
          <w:sz w:val="32"/>
          <w:szCs w:val="32"/>
          <w:lang w:val="zh-CN"/>
        </w:rPr>
        <w:t>预计</w:t>
      </w:r>
      <w:r>
        <w:rPr>
          <w:rFonts w:hint="eastAsia" w:ascii="仿宋_GB2312" w:hAnsi="宋体" w:eastAsia="仿宋_GB2312"/>
          <w:sz w:val="32"/>
          <w:szCs w:val="32"/>
        </w:rPr>
        <w:t>抽检300批次，其中：食品180批次，食用农产品120批次</w:t>
      </w:r>
      <w:r>
        <w:rPr>
          <w:rFonts w:hint="eastAsia" w:ascii="仿宋_GB2312" w:hAnsi="宋体" w:eastAsia="仿宋_GB2312"/>
          <w:sz w:val="32"/>
          <w:szCs w:val="32"/>
          <w:lang w:val="zh-CN"/>
        </w:rPr>
        <w:t>。</w:t>
      </w:r>
      <w:r>
        <w:rPr>
          <w:rFonts w:hint="eastAsia" w:ascii="仿宋_GB2312" w:hAnsi="宋体" w:eastAsia="仿宋_GB2312"/>
          <w:sz w:val="32"/>
          <w:szCs w:val="32"/>
        </w:rPr>
        <w:t>依据</w:t>
      </w:r>
      <w:r>
        <w:rPr>
          <w:rFonts w:hint="eastAsia" w:ascii="仿宋_GB2312" w:hAnsi="宋体" w:eastAsia="仿宋_GB2312"/>
          <w:sz w:val="32"/>
          <w:szCs w:val="32"/>
          <w:lang w:val="zh-CN"/>
        </w:rPr>
        <w:t>《中华人民共和国食品安全法》第八十七条规定：“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按照省、市关于食品监督抽检工作安排，</w:t>
      </w:r>
      <w:r>
        <w:rPr>
          <w:rFonts w:hint="eastAsia" w:ascii="仿宋_GB2312" w:hAnsi="仿宋_GB2312" w:eastAsia="仿宋_GB2312"/>
          <w:sz w:val="32"/>
        </w:rPr>
        <w:t>为深入排查辖区食品安全风险隐患，全面落实食品安全</w:t>
      </w:r>
      <w:r>
        <w:rPr>
          <w:rFonts w:hint="eastAsia" w:ascii="Times_New_Roman" w:hAnsi="Times_New_Roman" w:eastAsia="Times_New_Roman"/>
          <w:sz w:val="32"/>
        </w:rPr>
        <w:t>“</w:t>
      </w:r>
      <w:r>
        <w:rPr>
          <w:rFonts w:hint="eastAsia" w:ascii="仿宋_GB2312" w:hAnsi="仿宋_GB2312" w:eastAsia="仿宋_GB2312"/>
          <w:sz w:val="32"/>
        </w:rPr>
        <w:t>监检联动</w:t>
      </w:r>
      <w:r>
        <w:rPr>
          <w:rFonts w:hint="eastAsia" w:ascii="Times_New_Roman" w:hAnsi="Times_New_Roman" w:eastAsia="Times_New_Roman"/>
          <w:sz w:val="32"/>
        </w:rPr>
        <w:t>”</w:t>
      </w:r>
      <w:r>
        <w:rPr>
          <w:rFonts w:hint="eastAsia" w:ascii="仿宋_GB2312" w:hAnsi="仿宋_GB2312" w:eastAsia="仿宋_GB2312"/>
          <w:sz w:val="32"/>
        </w:rPr>
        <w:t>和抽检发现严重风险快速反应机制，每年对食品开展定期或者不定期的抽样检验。</w:t>
      </w:r>
    </w:p>
    <w:p w14:paraId="7DB3574D">
      <w:pPr>
        <w:adjustRightInd w:val="0"/>
        <w:snapToGrid w:val="0"/>
        <w:spacing w:line="560" w:lineRule="exact"/>
        <w:ind w:firstLine="720"/>
        <w:rPr>
          <w:rFonts w:ascii="仿宋_GB2312" w:hAnsi="仿宋_GB2312" w:eastAsia="仿宋_GB2312" w:cs="仿宋_GB2312"/>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hint="eastAsia" w:ascii="仿宋_GB2312" w:hAnsi="仿宋_GB2312" w:eastAsia="仿宋_GB2312" w:cs="仿宋_GB2312"/>
          <w:sz w:val="32"/>
          <w:szCs w:val="32"/>
          <w:lang w:val="zh-CN"/>
        </w:rPr>
        <w:t>制定《盐边县202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年度食品安全抽检监测实施方案》→比选确定第三方承检机构→签订抽检合同→开展监督抽检→项目完成支付资金。该项目依据《中华人民共和国食品安全法》第八十七条规定而立项、以政府采购服务方式开展比选、依据《食品安全抽样检验工作规范》《食品安全抽样检验管理办法》实施项目和结果公示。一是该项目实施过程全程入网监管，该项目通过国家食品安全抽样检验系统对食品及食用农产品抽检工作进行计划制定、计划部署、抽样过程、抽检结果录入和公示等全过程录入，确保抽样品种、数量、检验项目保质保量完成；二是市市场监管局每季度对抽样数据进行审核，督促第三方承检机构及时对不规范的数据进行整改；三是该项目纳入年底食品安全考核，通过对完成数量、不合格率等指标进行评估，确保食品及食用农产品抽检工作达到预期目标。</w:t>
      </w:r>
    </w:p>
    <w:p w14:paraId="2501F83C">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3.项目实施。该项目为</w:t>
      </w:r>
      <w:r>
        <w:rPr>
          <w:rFonts w:hint="eastAsia" w:eastAsia="仿宋_GB2312" w:cs="仿宋_GB2312"/>
          <w:kern w:val="0"/>
          <w:sz w:val="32"/>
          <w:szCs w:val="32"/>
          <w:lang w:eastAsia="zh-CN"/>
        </w:rPr>
        <w:t>2024年11月30日</w:t>
      </w:r>
      <w:r>
        <w:rPr>
          <w:rFonts w:hint="eastAsia" w:eastAsia="仿宋_GB2312" w:cs="仿宋_GB2312"/>
          <w:kern w:val="0"/>
          <w:sz w:val="32"/>
          <w:szCs w:val="32"/>
        </w:rPr>
        <w:t>前已在盐边辖区内完成食品抽检180批次和食用农产品抽检120批次，按照《盐边县2024年食品抽检项目任务计划表》《盐边县 2024 年食用农产品抽检项目任务计划表》开展食品及食用农产品抽检工作。项目总价为29.2万元，资金结余为0万元。承检机构按时完成了预期目标。</w:t>
      </w:r>
    </w:p>
    <w:p w14:paraId="147250CA">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通过开展食品和食用农产品抽检工作，食品生产经营秩序得到有效规范，生产经营者落实进货查验、索票索证自觉性得到提高。从抽检结果来看，我县食品安全状况总体良好，但也反映出我们的监管重点应该放在食品添加剂的监管上，通过对不合格食品开展核查处置，严厉打击生产经营不合格食品行为，提高了群众对食品安全的满意度。</w:t>
      </w:r>
    </w:p>
    <w:p w14:paraId="1EA6BC22">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23675DC2">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按照《中华人民共和国食品安全法》和食品安全党政同责考核要求，食品安全监督抽检是每年必须开展的工作。此项目须由县级以上人民政府食品安全监督管理部门开展，不得向食品生产经营者收取检验费和其他费用，因此食品安全抽检经费须纳入财政每年年度预算。监督抽检有助于了解本地食品安全状况，深度排查食品安全风险，从而打击食品安全违法行为，</w:t>
      </w:r>
      <w:r>
        <w:rPr>
          <w:rFonts w:hint="eastAsia" w:eastAsia="仿宋_GB2312" w:cs="仿宋_GB2312"/>
          <w:kern w:val="0"/>
          <w:sz w:val="32"/>
          <w:szCs w:val="32"/>
          <w:lang w:eastAsia="zh-CN"/>
        </w:rPr>
        <w:t>提高</w:t>
      </w:r>
      <w:r>
        <w:rPr>
          <w:rFonts w:hint="eastAsia" w:eastAsia="仿宋_GB2312" w:cs="仿宋_GB2312"/>
          <w:kern w:val="0"/>
          <w:sz w:val="32"/>
          <w:szCs w:val="32"/>
        </w:rPr>
        <w:t>人民群众食品安全满意度。</w:t>
      </w:r>
    </w:p>
    <w:p w14:paraId="79F4299C">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项目资金覆盖全县（区）各类食品生产经营单位，包括城区、乡镇及农村地区，基本实现监管资源均衡配置，未出现明显区域空白或重复投入。资金主要用于食品抽检、风险监测、专项整治等，对象涵盖食品生产、流通、餐饮服务等重点环节，聚焦学校食堂、农贸市场、小作坊等高风险点位，目标群体明确。项目执行严格依据《食品安全法》《国家食品安全抽样检验管理办法》等规定，抽检批次、检测项目及经费支出标准符合上级要求，未出现超范围、超标准列支。通过对不合格食品开展核查处置，严厉打击生产经营不合格食品行为，提高群众对食品安全的满意度，食品安全满意度达</w:t>
      </w:r>
      <w:r>
        <w:rPr>
          <w:rFonts w:hint="eastAsia" w:eastAsia="仿宋_GB2312" w:cs="仿宋_GB2312"/>
          <w:kern w:val="0"/>
          <w:sz w:val="32"/>
          <w:szCs w:val="32"/>
        </w:rPr>
        <w:t>100</w:t>
      </w:r>
      <w:r>
        <w:rPr>
          <w:rFonts w:hint="eastAsia" w:eastAsia="仿宋_GB2312" w:cs="仿宋_GB2312"/>
          <w:kern w:val="0"/>
          <w:sz w:val="32"/>
          <w:szCs w:val="32"/>
          <w:lang w:val="zh-CN"/>
        </w:rPr>
        <w:t>%，群众对食品抽检信息公开、问题食品处置效率认可度较高。</w:t>
      </w:r>
    </w:p>
    <w:p w14:paraId="204887E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w:t>
      </w:r>
      <w:r>
        <w:rPr>
          <w:rFonts w:hint="eastAsia" w:eastAsia="仿宋_GB2312" w:cs="仿宋_GB2312"/>
          <w:kern w:val="0"/>
          <w:sz w:val="32"/>
          <w:szCs w:val="32"/>
          <w:lang w:val="zh-CN"/>
        </w:rPr>
        <w:t>行政运转。项目资金严格用于食品抽样检测，未发现挤占、挪用或超范围支出情况。程序合规性：资金拨付履行“申报-审核-审批”流程，抽样检测委托第三方机构均通过公开采购程序，合同签订、验收结算资料齐全，程序规范。标准合规性：差旅、劳务、检测等服务支出标准严格执行县级财政定额要求，无超额报销、虚列支出等问题。</w:t>
      </w:r>
    </w:p>
    <w:p w14:paraId="7C60A6C9">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无</w:t>
      </w:r>
    </w:p>
    <w:p w14:paraId="6BDF8D55">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075D9F20">
      <w:pPr>
        <w:spacing w:line="578"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2024年食品和食用农产品监督抽检项目达到了项目决策的目的，项目管理贯通抽检全过程，实现了经济效应、社会效应、可持续影响等绩效目标。</w:t>
      </w:r>
    </w:p>
    <w:p w14:paraId="71D6E00A">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4EA7EFFC">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3646BE95">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2AD64E51">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3DE44936">
      <w:pPr>
        <w:pStyle w:val="35"/>
        <w:spacing w:line="578" w:lineRule="exact"/>
        <w:ind w:firstLine="640"/>
        <w:jc w:val="center"/>
        <w:rPr>
          <w:rFonts w:ascii="Times New Roman" w:hAnsi="Times New Roman"/>
          <w:color w:val="auto"/>
          <w:kern w:val="2"/>
          <w:sz w:val="32"/>
          <w:szCs w:val="32"/>
          <w:lang w:val="en-US"/>
        </w:rPr>
      </w:pPr>
    </w:p>
    <w:p w14:paraId="59783C69">
      <w:pPr>
        <w:pStyle w:val="35"/>
        <w:spacing w:line="578" w:lineRule="exact"/>
        <w:ind w:firstLine="640"/>
        <w:jc w:val="center"/>
        <w:rPr>
          <w:rFonts w:ascii="Times New Roman" w:hAnsi="Times New Roman"/>
          <w:color w:val="auto"/>
          <w:kern w:val="2"/>
          <w:sz w:val="32"/>
          <w:szCs w:val="32"/>
          <w:lang w:val="en-US"/>
        </w:rPr>
      </w:pPr>
    </w:p>
    <w:p w14:paraId="4E64EA9A">
      <w:pPr>
        <w:pStyle w:val="35"/>
        <w:spacing w:line="578" w:lineRule="exact"/>
        <w:ind w:firstLine="640"/>
        <w:jc w:val="center"/>
        <w:rPr>
          <w:rFonts w:ascii="Times New Roman" w:hAnsi="Times New Roman"/>
          <w:color w:val="auto"/>
          <w:kern w:val="2"/>
          <w:sz w:val="32"/>
          <w:szCs w:val="32"/>
          <w:lang w:val="en-US"/>
        </w:rPr>
      </w:pPr>
    </w:p>
    <w:p w14:paraId="70A508FB">
      <w:pPr>
        <w:pStyle w:val="35"/>
        <w:spacing w:line="578" w:lineRule="exact"/>
        <w:ind w:firstLine="640"/>
        <w:jc w:val="center"/>
        <w:rPr>
          <w:rFonts w:ascii="Times New Roman" w:hAnsi="Times New Roman"/>
          <w:color w:val="auto"/>
          <w:kern w:val="2"/>
          <w:sz w:val="32"/>
          <w:szCs w:val="32"/>
          <w:lang w:val="en-US"/>
        </w:rPr>
      </w:pPr>
    </w:p>
    <w:p w14:paraId="2F72D8D7">
      <w:pPr>
        <w:pStyle w:val="35"/>
        <w:spacing w:line="578" w:lineRule="exact"/>
        <w:ind w:firstLine="640"/>
        <w:jc w:val="center"/>
        <w:rPr>
          <w:rFonts w:ascii="Times New Roman" w:hAnsi="Times New Roman"/>
          <w:color w:val="auto"/>
          <w:kern w:val="2"/>
          <w:sz w:val="32"/>
          <w:szCs w:val="32"/>
          <w:lang w:val="en-US"/>
        </w:rPr>
      </w:pPr>
    </w:p>
    <w:p w14:paraId="7C46097F">
      <w:pPr>
        <w:pStyle w:val="35"/>
        <w:spacing w:line="578" w:lineRule="exact"/>
        <w:ind w:firstLine="640"/>
        <w:jc w:val="center"/>
        <w:rPr>
          <w:rFonts w:ascii="Times New Roman" w:hAnsi="Times New Roman"/>
          <w:color w:val="auto"/>
          <w:kern w:val="2"/>
          <w:sz w:val="32"/>
          <w:szCs w:val="32"/>
          <w:lang w:val="en-US"/>
        </w:rPr>
      </w:pPr>
    </w:p>
    <w:p w14:paraId="6063F6F0">
      <w:pPr>
        <w:pStyle w:val="35"/>
        <w:spacing w:line="578" w:lineRule="exact"/>
        <w:ind w:firstLine="640"/>
        <w:jc w:val="center"/>
        <w:rPr>
          <w:rFonts w:ascii="Times New Roman" w:hAnsi="Times New Roman"/>
          <w:color w:val="auto"/>
          <w:kern w:val="2"/>
          <w:sz w:val="32"/>
          <w:szCs w:val="32"/>
          <w:lang w:val="en-US"/>
        </w:rPr>
      </w:pPr>
    </w:p>
    <w:p w14:paraId="183C0EDF">
      <w:pPr>
        <w:pStyle w:val="35"/>
        <w:spacing w:line="578" w:lineRule="exact"/>
        <w:ind w:firstLine="640"/>
        <w:jc w:val="center"/>
        <w:rPr>
          <w:rFonts w:ascii="Times New Roman" w:hAnsi="Times New Roman"/>
          <w:color w:val="auto"/>
          <w:kern w:val="2"/>
          <w:sz w:val="32"/>
          <w:szCs w:val="32"/>
          <w:lang w:val="en-US"/>
        </w:rPr>
      </w:pPr>
    </w:p>
    <w:p w14:paraId="0CFC4FDC">
      <w:pPr>
        <w:pStyle w:val="35"/>
        <w:spacing w:line="578" w:lineRule="exact"/>
        <w:ind w:firstLine="640"/>
        <w:jc w:val="center"/>
        <w:rPr>
          <w:rFonts w:ascii="Times New Roman" w:hAnsi="Times New Roman"/>
          <w:color w:val="auto"/>
          <w:kern w:val="2"/>
          <w:sz w:val="32"/>
          <w:szCs w:val="32"/>
          <w:lang w:val="en-US"/>
        </w:rPr>
      </w:pPr>
    </w:p>
    <w:p w14:paraId="79DD1E1F">
      <w:pPr>
        <w:pStyle w:val="35"/>
        <w:spacing w:line="578" w:lineRule="exact"/>
        <w:ind w:firstLine="640"/>
        <w:jc w:val="center"/>
        <w:rPr>
          <w:rFonts w:ascii="Times New Roman" w:hAnsi="Times New Roman"/>
          <w:color w:val="auto"/>
          <w:kern w:val="2"/>
          <w:sz w:val="32"/>
          <w:szCs w:val="32"/>
          <w:lang w:val="en-US"/>
        </w:rPr>
      </w:pPr>
    </w:p>
    <w:p w14:paraId="3A10B93F">
      <w:pPr>
        <w:pStyle w:val="35"/>
        <w:spacing w:line="578" w:lineRule="exact"/>
        <w:ind w:firstLine="640"/>
        <w:jc w:val="center"/>
        <w:rPr>
          <w:rFonts w:ascii="Times New Roman" w:hAnsi="Times New Roman"/>
          <w:color w:val="auto"/>
          <w:kern w:val="2"/>
          <w:sz w:val="32"/>
          <w:szCs w:val="32"/>
          <w:lang w:val="en-US"/>
        </w:rPr>
      </w:pPr>
    </w:p>
    <w:p w14:paraId="13DCD83A">
      <w:pPr>
        <w:pStyle w:val="35"/>
        <w:spacing w:line="578" w:lineRule="exact"/>
        <w:ind w:firstLine="640"/>
        <w:jc w:val="center"/>
        <w:rPr>
          <w:rFonts w:ascii="Times New Roman" w:hAnsi="Times New Roman"/>
          <w:color w:val="auto"/>
          <w:kern w:val="2"/>
          <w:sz w:val="32"/>
          <w:szCs w:val="32"/>
          <w:lang w:val="en-US"/>
        </w:rPr>
      </w:pPr>
    </w:p>
    <w:p w14:paraId="49C813CF">
      <w:pPr>
        <w:pStyle w:val="35"/>
        <w:spacing w:line="578" w:lineRule="exact"/>
        <w:ind w:firstLine="640"/>
        <w:jc w:val="center"/>
        <w:rPr>
          <w:rFonts w:ascii="Times New Roman" w:hAnsi="Times New Roman"/>
          <w:color w:val="auto"/>
          <w:kern w:val="2"/>
          <w:sz w:val="32"/>
          <w:szCs w:val="32"/>
          <w:lang w:val="en-US"/>
        </w:rPr>
      </w:pPr>
    </w:p>
    <w:p w14:paraId="02122D57">
      <w:pPr>
        <w:pStyle w:val="35"/>
        <w:spacing w:line="578" w:lineRule="exact"/>
        <w:ind w:firstLine="640"/>
        <w:jc w:val="center"/>
        <w:rPr>
          <w:rFonts w:ascii="Times New Roman" w:hAnsi="Times New Roman"/>
          <w:color w:val="auto"/>
          <w:kern w:val="2"/>
          <w:sz w:val="32"/>
          <w:szCs w:val="32"/>
          <w:lang w:val="en-US"/>
        </w:rPr>
      </w:pPr>
    </w:p>
    <w:p w14:paraId="38305B9A">
      <w:pPr>
        <w:pStyle w:val="35"/>
        <w:spacing w:line="578" w:lineRule="exact"/>
        <w:ind w:firstLine="640"/>
        <w:jc w:val="center"/>
        <w:rPr>
          <w:rFonts w:ascii="Times New Roman" w:hAnsi="Times New Roman"/>
          <w:color w:val="auto"/>
          <w:kern w:val="2"/>
          <w:sz w:val="32"/>
          <w:szCs w:val="32"/>
          <w:lang w:val="en-US"/>
        </w:rPr>
      </w:pPr>
    </w:p>
    <w:p w14:paraId="162DEE5E">
      <w:pPr>
        <w:pStyle w:val="35"/>
        <w:spacing w:line="578" w:lineRule="exact"/>
        <w:ind w:firstLine="640"/>
        <w:jc w:val="center"/>
        <w:rPr>
          <w:rFonts w:ascii="Times New Roman" w:hAnsi="Times New Roman"/>
          <w:color w:val="auto"/>
          <w:kern w:val="2"/>
          <w:sz w:val="32"/>
          <w:szCs w:val="32"/>
          <w:lang w:val="en-US"/>
        </w:rPr>
      </w:pPr>
    </w:p>
    <w:p w14:paraId="2F10B70A">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2023年个转企财政激励金专项预算项目</w:t>
      </w:r>
    </w:p>
    <w:p w14:paraId="778E9FBE">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绩效评价报告</w:t>
      </w:r>
    </w:p>
    <w:p w14:paraId="343714E8">
      <w:pPr>
        <w:rPr>
          <w:rFonts w:eastAsia="仿宋_GB2312"/>
          <w:sz w:val="32"/>
          <w:szCs w:val="32"/>
          <w:lang w:val="zh-CN"/>
        </w:rPr>
      </w:pPr>
    </w:p>
    <w:p w14:paraId="2AFE0A3B">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34AEDBA2">
      <w:pPr>
        <w:ind w:firstLine="643" w:firstLineChars="200"/>
        <w:rPr>
          <w:rFonts w:ascii="楷体_GB2312" w:eastAsia="楷体_GB2312"/>
          <w:b/>
          <w:sz w:val="32"/>
          <w:szCs w:val="32"/>
          <w:lang w:val="zh-CN"/>
        </w:rPr>
      </w:pPr>
      <w:r>
        <w:rPr>
          <w:rFonts w:hint="eastAsia" w:ascii="楷体_GB2312" w:eastAsia="楷体_GB2312"/>
          <w:b/>
          <w:sz w:val="32"/>
          <w:szCs w:val="32"/>
          <w:lang w:val="zh-CN"/>
        </w:rPr>
        <w:t>（一）设立背景及基本情况。</w:t>
      </w:r>
    </w:p>
    <w:p w14:paraId="1321B9AD">
      <w:pPr>
        <w:adjustRightInd w:val="0"/>
        <w:snapToGrid w:val="0"/>
        <w:spacing w:line="520" w:lineRule="exact"/>
        <w:ind w:firstLine="620" w:firstLineChars="200"/>
        <w:rPr>
          <w:rFonts w:eastAsia="仿宋_GB2312"/>
          <w:sz w:val="32"/>
          <w:szCs w:val="32"/>
        </w:rPr>
      </w:pPr>
      <w:r>
        <w:rPr>
          <w:rFonts w:hint="eastAsia" w:ascii="仿宋" w:hAnsi="仿宋" w:eastAsia="仿宋" w:cs="仿宋"/>
          <w:color w:val="000000"/>
          <w:kern w:val="0"/>
          <w:sz w:val="31"/>
          <w:szCs w:val="31"/>
          <w:lang w:val="zh-CN" w:bidi="ar"/>
        </w:rPr>
        <w:t>根据《四川省民营经济和中小企业发展领导小组民营经济办公室关于印发&lt;四川省“十四五”时期“个转企”工作方案&gt;的通知》川民营办〔2022〕6号、《盐边县人民政府办公室关于印发&lt;盐边县2022-2025年“个转企”培育工作实施方案&gt;的通知》盐边府办函〔2022〕47号文件，为确保完成我县2022-2025 年“个转企”培育目标任务，深入落实《四川省人民政府办公厅关于做好“十四五”时期“转企升规”工作的通知》（川办函〔2021〕91号）文件，</w:t>
      </w:r>
      <w:r>
        <w:rPr>
          <w:rFonts w:hint="eastAsia" w:ascii="仿宋" w:hAnsi="仿宋" w:eastAsia="仿宋" w:cs="仿宋"/>
          <w:color w:val="000000"/>
          <w:kern w:val="0"/>
          <w:sz w:val="31"/>
          <w:szCs w:val="31"/>
          <w:lang w:bidi="ar"/>
        </w:rPr>
        <w:t>《四川省民营经济和中小企业发展领导小组民营经济办公室关于印发《四川省“十四五”时期“个转企”工作方案》的通知》川民营办</w:t>
      </w:r>
      <w:r>
        <w:rPr>
          <w:rFonts w:hint="eastAsia" w:ascii="仿宋" w:hAnsi="仿宋" w:eastAsia="仿宋" w:cs="仿宋"/>
          <w:color w:val="000000"/>
          <w:kern w:val="0"/>
          <w:sz w:val="31"/>
          <w:szCs w:val="31"/>
          <w:lang w:eastAsia="zh-CN" w:bidi="ar"/>
        </w:rPr>
        <w:t>〔2022〕6号</w:t>
      </w:r>
      <w:r>
        <w:rPr>
          <w:rFonts w:hint="eastAsia" w:ascii="仿宋" w:hAnsi="仿宋" w:eastAsia="仿宋" w:cs="仿宋"/>
          <w:color w:val="000000"/>
          <w:kern w:val="0"/>
          <w:sz w:val="31"/>
          <w:szCs w:val="31"/>
          <w:lang w:bidi="ar"/>
        </w:rPr>
        <w:t>文的要求“加强财政保障，充分利用好省财政“个转企”专项激励资金，采取“先预拨、后清算”的方式提前下达，由各市</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州</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统筹用于推进“个转企”工作。”的文件精神，盐边县2023年度“个转企”成功转企405户，超市级目标任务380户（市级目标任务25户、县级目标任务50户）。</w:t>
      </w:r>
    </w:p>
    <w:p w14:paraId="2CF84346">
      <w:pPr>
        <w:ind w:firstLine="643" w:firstLineChars="200"/>
        <w:rPr>
          <w:rFonts w:ascii="楷体_GB2312" w:eastAsia="楷体_GB2312"/>
          <w:b/>
          <w:sz w:val="32"/>
          <w:szCs w:val="32"/>
          <w:lang w:val="zh-CN"/>
        </w:rPr>
      </w:pPr>
      <w:r>
        <w:rPr>
          <w:rFonts w:hint="eastAsia" w:ascii="楷体_GB2312" w:eastAsia="楷体_GB2312"/>
          <w:b/>
          <w:sz w:val="32"/>
          <w:szCs w:val="32"/>
          <w:lang w:val="zh-CN"/>
        </w:rPr>
        <w:t>（二）实施目的及支持方向。</w:t>
      </w:r>
    </w:p>
    <w:p w14:paraId="11D031A6">
      <w:pPr>
        <w:adjustRightInd w:val="0"/>
        <w:snapToGrid w:val="0"/>
        <w:spacing w:line="520" w:lineRule="exact"/>
        <w:ind w:firstLine="620" w:firstLineChars="200"/>
        <w:rPr>
          <w:rFonts w:ascii="仿宋" w:hAnsi="仿宋" w:eastAsia="仿宋" w:cs="仿宋"/>
          <w:color w:val="000000"/>
          <w:kern w:val="0"/>
          <w:sz w:val="31"/>
          <w:szCs w:val="31"/>
          <w:lang w:val="zh-CN" w:bidi="ar"/>
        </w:rPr>
      </w:pPr>
      <w:r>
        <w:rPr>
          <w:rFonts w:hint="eastAsia" w:ascii="仿宋" w:hAnsi="仿宋" w:eastAsia="仿宋" w:cs="仿宋"/>
          <w:color w:val="000000"/>
          <w:kern w:val="0"/>
          <w:sz w:val="31"/>
          <w:szCs w:val="31"/>
          <w:lang w:val="zh-CN" w:bidi="ar"/>
        </w:rPr>
        <w:t>加快推进个体工商户转型升级为企业。促进个体工商户转型升级、做大做强，优化市场主体结构，助推经济高质量发展。</w:t>
      </w:r>
    </w:p>
    <w:p w14:paraId="1049E18B">
      <w:pPr>
        <w:numPr>
          <w:ilvl w:val="0"/>
          <w:numId w:val="2"/>
        </w:numPr>
        <w:ind w:firstLine="643" w:firstLineChars="200"/>
        <w:rPr>
          <w:rFonts w:ascii="楷体_GB2312" w:eastAsia="楷体_GB2312"/>
          <w:b/>
          <w:sz w:val="32"/>
          <w:szCs w:val="32"/>
          <w:lang w:val="zh-CN"/>
        </w:rPr>
      </w:pPr>
      <w:r>
        <w:rPr>
          <w:rFonts w:hint="eastAsia" w:ascii="楷体_GB2312" w:eastAsia="楷体_GB2312"/>
          <w:b/>
          <w:sz w:val="32"/>
          <w:szCs w:val="32"/>
          <w:lang w:val="zh-CN"/>
        </w:rPr>
        <w:t>预算安排及分配管理。</w:t>
      </w:r>
    </w:p>
    <w:p w14:paraId="45C79CDA">
      <w:pPr>
        <w:adjustRightInd w:val="0"/>
        <w:snapToGrid w:val="0"/>
        <w:spacing w:line="520" w:lineRule="exact"/>
        <w:ind w:firstLine="620" w:firstLineChars="200"/>
        <w:rPr>
          <w:rFonts w:ascii="仿宋" w:hAnsi="仿宋" w:eastAsia="仿宋" w:cs="仿宋"/>
          <w:color w:val="000000"/>
          <w:kern w:val="0"/>
          <w:sz w:val="31"/>
          <w:szCs w:val="31"/>
          <w:lang w:val="zh-CN" w:bidi="ar"/>
        </w:rPr>
      </w:pPr>
      <w:r>
        <w:rPr>
          <w:rFonts w:hint="eastAsia" w:ascii="仿宋" w:hAnsi="仿宋" w:eastAsia="仿宋" w:cs="仿宋"/>
          <w:color w:val="000000"/>
          <w:kern w:val="0"/>
          <w:sz w:val="31"/>
          <w:szCs w:val="31"/>
          <w:lang w:val="zh-CN" w:bidi="ar"/>
        </w:rPr>
        <w:t>申报项目预算金额为 244.6万元（含根据（攀财政〔2022〕261号）文，需结转的2022年“个转企”培育工作经费0.8万元；市场主体放弃或已注销未兑付的需进行结转的2.5万元“个转企”财政激励资金）（资金来源为财政资金 244.6万元，自有资金0万元）。</w:t>
      </w:r>
    </w:p>
    <w:p w14:paraId="585CFBF6">
      <w:pPr>
        <w:adjustRightInd w:val="0"/>
        <w:snapToGrid w:val="0"/>
        <w:spacing w:line="52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val="zh-CN" w:bidi="ar"/>
        </w:rPr>
        <w:t>项目组织架构及实施流程。</w:t>
      </w:r>
    </w:p>
    <w:p w14:paraId="6C84FADF">
      <w:pPr>
        <w:adjustRightInd w:val="0"/>
        <w:snapToGrid w:val="0"/>
        <w:spacing w:line="52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个体户转企登记——所属乡镇核实转企名册——乡镇采集转企后市场主体银行账号——汇总账号报局领导过会研究审核</w:t>
      </w:r>
    </w:p>
    <w:p w14:paraId="21E0BAE9">
      <w:pPr>
        <w:adjustRightInd w:val="0"/>
        <w:snapToGrid w:val="0"/>
        <w:spacing w:line="520" w:lineRule="exact"/>
        <w:ind w:firstLine="620" w:firstLineChars="200"/>
        <w:rPr>
          <w:rFonts w:ascii="仿宋" w:hAnsi="仿宋" w:eastAsia="仿宋" w:cs="仿宋"/>
          <w:color w:val="000000"/>
          <w:kern w:val="0"/>
          <w:sz w:val="31"/>
          <w:szCs w:val="31"/>
          <w:lang w:val="zh-CN" w:bidi="ar"/>
        </w:rPr>
      </w:pPr>
      <w:r>
        <w:rPr>
          <w:rFonts w:hint="eastAsia" w:ascii="仿宋" w:hAnsi="仿宋" w:eastAsia="仿宋" w:cs="仿宋"/>
          <w:color w:val="000000"/>
          <w:kern w:val="0"/>
          <w:sz w:val="31"/>
          <w:szCs w:val="31"/>
          <w:lang w:val="zh-CN" w:bidi="ar"/>
        </w:rPr>
        <w:t>（二）项目管理情况。</w:t>
      </w:r>
      <w:r>
        <w:rPr>
          <w:rFonts w:ascii="仿宋" w:hAnsi="仿宋" w:eastAsia="仿宋" w:cs="仿宋"/>
          <w:color w:val="000000"/>
          <w:kern w:val="0"/>
          <w:sz w:val="31"/>
          <w:szCs w:val="31"/>
          <w:lang w:val="zh-CN" w:bidi="ar"/>
        </w:rPr>
        <w:t>个体户转企登记——所属乡镇核实转企名册——乡镇采集转企后市场主体银行账号——汇总账号报局领导</w:t>
      </w:r>
      <w:r>
        <w:rPr>
          <w:rFonts w:hint="eastAsia" w:ascii="仿宋" w:hAnsi="仿宋" w:eastAsia="仿宋" w:cs="仿宋"/>
          <w:color w:val="000000"/>
          <w:kern w:val="0"/>
          <w:sz w:val="31"/>
          <w:szCs w:val="31"/>
          <w:lang w:bidi="ar"/>
        </w:rPr>
        <w:t>过会研究</w:t>
      </w:r>
      <w:r>
        <w:rPr>
          <w:rFonts w:ascii="仿宋" w:hAnsi="仿宋" w:eastAsia="仿宋" w:cs="仿宋"/>
          <w:color w:val="000000"/>
          <w:kern w:val="0"/>
          <w:sz w:val="31"/>
          <w:szCs w:val="31"/>
          <w:lang w:val="zh-CN" w:bidi="ar"/>
        </w:rPr>
        <w:t>审核</w:t>
      </w:r>
    </w:p>
    <w:p w14:paraId="27E19EE8">
      <w:pPr>
        <w:adjustRightInd w:val="0"/>
        <w:snapToGrid w:val="0"/>
        <w:spacing w:line="520" w:lineRule="exact"/>
        <w:ind w:firstLine="620" w:firstLineChars="200"/>
        <w:rPr>
          <w:rFonts w:ascii="仿宋" w:hAnsi="仿宋" w:eastAsia="仿宋" w:cs="仿宋"/>
          <w:color w:val="000000"/>
          <w:kern w:val="0"/>
          <w:sz w:val="31"/>
          <w:szCs w:val="31"/>
          <w:lang w:val="zh-CN" w:bidi="ar"/>
        </w:rPr>
      </w:pPr>
      <w:r>
        <w:rPr>
          <w:rFonts w:hint="eastAsia" w:ascii="仿宋" w:hAnsi="仿宋" w:eastAsia="仿宋" w:cs="仿宋"/>
          <w:color w:val="000000"/>
          <w:kern w:val="0"/>
          <w:sz w:val="31"/>
          <w:szCs w:val="31"/>
          <w:lang w:val="zh-CN" w:bidi="ar"/>
        </w:rPr>
        <w:t>（三）项目监管情况。</w:t>
      </w:r>
    </w:p>
    <w:p w14:paraId="4B26C167">
      <w:pPr>
        <w:adjustRightInd w:val="0"/>
        <w:snapToGrid w:val="0"/>
        <w:spacing w:line="520" w:lineRule="exact"/>
        <w:ind w:firstLine="620" w:firstLineChars="200"/>
        <w:rPr>
          <w:rFonts w:ascii="仿宋" w:hAnsi="仿宋" w:eastAsia="仿宋" w:cs="仿宋"/>
          <w:color w:val="000000"/>
          <w:kern w:val="0"/>
          <w:sz w:val="31"/>
          <w:szCs w:val="31"/>
          <w:lang w:val="zh-CN" w:bidi="ar"/>
        </w:rPr>
      </w:pPr>
      <w:r>
        <w:rPr>
          <w:rFonts w:ascii="仿宋" w:hAnsi="仿宋" w:eastAsia="仿宋" w:cs="仿宋"/>
          <w:color w:val="000000"/>
          <w:kern w:val="0"/>
          <w:sz w:val="31"/>
          <w:szCs w:val="31"/>
          <w:lang w:val="zh-CN" w:bidi="ar"/>
        </w:rPr>
        <w:t>经</w:t>
      </w:r>
      <w:r>
        <w:rPr>
          <w:rFonts w:hint="eastAsia" w:ascii="仿宋" w:hAnsi="仿宋" w:eastAsia="仿宋" w:cs="仿宋"/>
          <w:color w:val="000000"/>
          <w:kern w:val="0"/>
          <w:sz w:val="31"/>
          <w:szCs w:val="31"/>
          <w:lang w:bidi="ar"/>
        </w:rPr>
        <w:t>反复核对</w:t>
      </w:r>
      <w:r>
        <w:rPr>
          <w:rFonts w:ascii="仿宋" w:hAnsi="仿宋" w:eastAsia="仿宋" w:cs="仿宋"/>
          <w:color w:val="000000"/>
          <w:kern w:val="0"/>
          <w:sz w:val="31"/>
          <w:szCs w:val="31"/>
          <w:lang w:val="zh-CN" w:bidi="ar"/>
        </w:rPr>
        <w:t>各乡镇上报</w:t>
      </w:r>
      <w:r>
        <w:rPr>
          <w:rFonts w:hint="eastAsia" w:ascii="仿宋" w:hAnsi="仿宋" w:eastAsia="仿宋" w:cs="仿宋"/>
          <w:color w:val="000000"/>
          <w:kern w:val="0"/>
          <w:sz w:val="31"/>
          <w:szCs w:val="31"/>
          <w:lang w:bidi="ar"/>
        </w:rPr>
        <w:t>的</w:t>
      </w:r>
      <w:r>
        <w:rPr>
          <w:rFonts w:ascii="仿宋" w:hAnsi="仿宋" w:eastAsia="仿宋" w:cs="仿宋"/>
          <w:color w:val="000000"/>
          <w:kern w:val="0"/>
          <w:sz w:val="31"/>
          <w:szCs w:val="31"/>
          <w:lang w:val="zh-CN" w:bidi="ar"/>
        </w:rPr>
        <w:t>对公账号信息，</w:t>
      </w:r>
      <w:r>
        <w:rPr>
          <w:rFonts w:hint="eastAsia" w:ascii="仿宋" w:hAnsi="仿宋" w:eastAsia="仿宋" w:cs="仿宋"/>
          <w:color w:val="000000"/>
          <w:kern w:val="0"/>
          <w:sz w:val="31"/>
          <w:szCs w:val="31"/>
          <w:lang w:bidi="ar"/>
        </w:rPr>
        <w:t>上报局领导过会研究审核后发放</w:t>
      </w:r>
      <w:r>
        <w:rPr>
          <w:rFonts w:ascii="仿宋" w:hAnsi="仿宋" w:eastAsia="仿宋" w:cs="仿宋"/>
          <w:color w:val="000000"/>
          <w:kern w:val="0"/>
          <w:sz w:val="31"/>
          <w:szCs w:val="31"/>
          <w:lang w:val="zh-CN" w:bidi="ar"/>
        </w:rPr>
        <w:t>。</w:t>
      </w:r>
    </w:p>
    <w:p w14:paraId="24AC28E3">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ascii="楷体_GB2312" w:eastAsia="楷体_GB2312"/>
          <w:b/>
          <w:sz w:val="32"/>
          <w:szCs w:val="32"/>
        </w:rPr>
        <w:t>2023</w:t>
      </w:r>
      <w:r>
        <w:rPr>
          <w:rFonts w:hint="eastAsia" w:ascii="仿宋" w:hAnsi="仿宋" w:eastAsia="仿宋" w:cs="仿宋"/>
          <w:color w:val="000000"/>
          <w:kern w:val="0"/>
          <w:sz w:val="31"/>
          <w:szCs w:val="31"/>
          <w:lang w:bidi="ar"/>
        </w:rPr>
        <w:t>市级目标任务25户、县级目标任务50户</w:t>
      </w:r>
    </w:p>
    <w:p w14:paraId="246017B5">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56EF5CF0">
      <w:pPr>
        <w:ind w:firstLine="643" w:firstLineChars="200"/>
        <w:rPr>
          <w:rFonts w:ascii="仿宋" w:hAnsi="仿宋" w:eastAsia="仿宋" w:cs="仿宋"/>
          <w:color w:val="000000"/>
          <w:kern w:val="0"/>
          <w:sz w:val="31"/>
          <w:szCs w:val="31"/>
          <w:lang w:val="zh-CN" w:bidi="ar"/>
        </w:rPr>
      </w:pPr>
      <w:r>
        <w:rPr>
          <w:rFonts w:hint="eastAsia" w:ascii="楷体_GB2312" w:eastAsia="楷体_GB2312"/>
          <w:b/>
          <w:sz w:val="32"/>
          <w:szCs w:val="32"/>
          <w:lang w:val="zh-CN"/>
        </w:rPr>
        <w:t>（一）评价目的。</w:t>
      </w:r>
      <w:r>
        <w:rPr>
          <w:rFonts w:hint="eastAsia" w:ascii="楷体_GB2312" w:eastAsia="楷体_GB2312"/>
          <w:b/>
          <w:sz w:val="32"/>
          <w:szCs w:val="32"/>
        </w:rPr>
        <w:t>2023</w:t>
      </w:r>
      <w:r>
        <w:rPr>
          <w:rFonts w:hint="eastAsia" w:ascii="仿宋" w:hAnsi="仿宋" w:eastAsia="仿宋" w:cs="仿宋"/>
          <w:color w:val="000000"/>
          <w:kern w:val="0"/>
          <w:sz w:val="31"/>
          <w:szCs w:val="31"/>
          <w:lang w:bidi="ar"/>
        </w:rPr>
        <w:t>个转企户数</w:t>
      </w:r>
      <w:r>
        <w:rPr>
          <w:rFonts w:hint="eastAsia" w:ascii="仿宋" w:hAnsi="仿宋" w:eastAsia="仿宋" w:cs="仿宋"/>
          <w:color w:val="000000"/>
          <w:kern w:val="0"/>
          <w:sz w:val="31"/>
          <w:szCs w:val="31"/>
          <w:lang w:val="zh-CN" w:bidi="ar"/>
        </w:rPr>
        <w:t>年底</w:t>
      </w:r>
      <w:r>
        <w:rPr>
          <w:rFonts w:hint="eastAsia" w:ascii="仿宋" w:hAnsi="仿宋" w:eastAsia="仿宋" w:cs="仿宋"/>
          <w:color w:val="000000"/>
          <w:kern w:val="0"/>
          <w:sz w:val="31"/>
          <w:szCs w:val="31"/>
          <w:lang w:bidi="ar"/>
        </w:rPr>
        <w:t>纳入</w:t>
      </w:r>
      <w:r>
        <w:rPr>
          <w:rFonts w:hint="eastAsia" w:ascii="仿宋" w:hAnsi="仿宋" w:eastAsia="仿宋" w:cs="仿宋"/>
          <w:color w:val="000000"/>
          <w:kern w:val="0"/>
          <w:sz w:val="31"/>
          <w:szCs w:val="31"/>
          <w:lang w:val="zh-CN" w:bidi="ar"/>
        </w:rPr>
        <w:t>考核，通过对完成数量指标进行评估，确保</w:t>
      </w:r>
      <w:r>
        <w:rPr>
          <w:rFonts w:hint="eastAsia" w:ascii="仿宋" w:hAnsi="仿宋" w:eastAsia="仿宋" w:cs="仿宋"/>
          <w:color w:val="000000"/>
          <w:kern w:val="0"/>
          <w:sz w:val="31"/>
          <w:szCs w:val="31"/>
          <w:lang w:bidi="ar"/>
        </w:rPr>
        <w:t>该项</w:t>
      </w:r>
      <w:r>
        <w:rPr>
          <w:rFonts w:hint="eastAsia" w:ascii="仿宋" w:hAnsi="仿宋" w:eastAsia="仿宋" w:cs="仿宋"/>
          <w:color w:val="000000"/>
          <w:kern w:val="0"/>
          <w:sz w:val="31"/>
          <w:szCs w:val="31"/>
          <w:lang w:val="zh-CN" w:bidi="ar"/>
        </w:rPr>
        <w:t>工作达到预期目标。</w:t>
      </w:r>
    </w:p>
    <w:p w14:paraId="065C3D24">
      <w:pPr>
        <w:ind w:firstLine="643" w:firstLineChars="200"/>
        <w:rPr>
          <w:rFonts w:ascii="仿宋" w:hAnsi="仿宋" w:eastAsia="仿宋" w:cs="仿宋"/>
          <w:color w:val="000000"/>
          <w:kern w:val="0"/>
          <w:sz w:val="31"/>
          <w:szCs w:val="31"/>
          <w:lang w:val="zh-CN" w:bidi="ar"/>
        </w:rPr>
      </w:pPr>
      <w:r>
        <w:rPr>
          <w:rFonts w:hint="eastAsia" w:ascii="楷体_GB2312" w:eastAsia="楷体_GB2312"/>
          <w:b/>
          <w:sz w:val="32"/>
          <w:szCs w:val="32"/>
          <w:lang w:val="zh-CN"/>
        </w:rPr>
        <w:t>（二）预设问题及评价重点。</w:t>
      </w:r>
      <w:r>
        <w:rPr>
          <w:rFonts w:hint="eastAsia" w:ascii="仿宋" w:hAnsi="仿宋" w:eastAsia="仿宋" w:cs="仿宋"/>
          <w:color w:val="000000"/>
          <w:kern w:val="0"/>
          <w:sz w:val="31"/>
          <w:szCs w:val="31"/>
          <w:lang w:bidi="ar"/>
        </w:rPr>
        <w:t>按照2023年既定转企方案实施，重点看完成数量是否达标。</w:t>
      </w:r>
    </w:p>
    <w:p w14:paraId="7AAF455F">
      <w:pPr>
        <w:ind w:firstLine="643" w:firstLineChars="200"/>
        <w:rPr>
          <w:rFonts w:ascii="仿宋" w:hAnsi="仿宋" w:eastAsia="仿宋" w:cs="仿宋"/>
          <w:color w:val="000000"/>
          <w:kern w:val="0"/>
          <w:sz w:val="31"/>
          <w:szCs w:val="31"/>
          <w:lang w:val="zh-CN" w:bidi="ar"/>
        </w:rPr>
      </w:pPr>
      <w:r>
        <w:rPr>
          <w:rFonts w:hint="eastAsia" w:ascii="楷体_GB2312" w:eastAsia="楷体_GB2312"/>
          <w:b/>
          <w:sz w:val="32"/>
          <w:szCs w:val="32"/>
          <w:lang w:val="zh-CN"/>
        </w:rPr>
        <w:t>（三）评价选点。</w:t>
      </w:r>
      <w:r>
        <w:rPr>
          <w:rFonts w:hint="eastAsia" w:ascii="仿宋" w:hAnsi="仿宋" w:eastAsia="仿宋" w:cs="仿宋"/>
          <w:color w:val="000000"/>
          <w:kern w:val="0"/>
          <w:sz w:val="31"/>
          <w:szCs w:val="31"/>
          <w:lang w:bidi="ar"/>
        </w:rPr>
        <w:t>该</w:t>
      </w:r>
      <w:r>
        <w:rPr>
          <w:rFonts w:hint="eastAsia" w:ascii="仿宋" w:hAnsi="仿宋" w:eastAsia="仿宋" w:cs="仿宋"/>
          <w:color w:val="000000"/>
          <w:kern w:val="0"/>
          <w:sz w:val="31"/>
          <w:szCs w:val="31"/>
          <w:lang w:val="zh-CN" w:bidi="ar"/>
        </w:rPr>
        <w:t>项目绩效</w:t>
      </w:r>
      <w:r>
        <w:rPr>
          <w:rFonts w:hint="eastAsia" w:ascii="仿宋" w:hAnsi="仿宋" w:eastAsia="仿宋" w:cs="仿宋"/>
          <w:color w:val="000000"/>
          <w:kern w:val="0"/>
          <w:sz w:val="31"/>
          <w:szCs w:val="31"/>
          <w:lang w:bidi="ar"/>
        </w:rPr>
        <w:t>无需</w:t>
      </w:r>
      <w:r>
        <w:rPr>
          <w:rFonts w:hint="eastAsia" w:ascii="仿宋" w:hAnsi="仿宋" w:eastAsia="仿宋" w:cs="仿宋"/>
          <w:color w:val="000000"/>
          <w:kern w:val="0"/>
          <w:sz w:val="31"/>
          <w:szCs w:val="31"/>
          <w:lang w:val="zh-CN" w:bidi="ar"/>
        </w:rPr>
        <w:t>抽样点位。</w:t>
      </w:r>
    </w:p>
    <w:p w14:paraId="7DA7D50A">
      <w:pPr>
        <w:ind w:firstLine="643" w:firstLineChars="200"/>
        <w:rPr>
          <w:rFonts w:ascii="仿宋" w:hAnsi="仿宋" w:eastAsia="仿宋" w:cs="仿宋"/>
          <w:color w:val="000000"/>
          <w:kern w:val="0"/>
          <w:sz w:val="31"/>
          <w:szCs w:val="31"/>
          <w:lang w:val="zh-CN" w:bidi="ar"/>
        </w:rPr>
      </w:pPr>
      <w:r>
        <w:rPr>
          <w:rFonts w:hint="eastAsia" w:ascii="楷体_GB2312" w:eastAsia="楷体_GB2312"/>
          <w:b/>
          <w:sz w:val="32"/>
          <w:szCs w:val="32"/>
          <w:lang w:val="zh-CN"/>
        </w:rPr>
        <w:t>（四）评价方法。</w:t>
      </w:r>
      <w:r>
        <w:rPr>
          <w:rFonts w:hint="eastAsia" w:ascii="仿宋" w:hAnsi="仿宋" w:eastAsia="仿宋" w:cs="仿宋"/>
          <w:color w:val="000000"/>
          <w:kern w:val="0"/>
          <w:sz w:val="31"/>
          <w:szCs w:val="31"/>
          <w:lang w:val="zh-CN" w:bidi="ar"/>
        </w:rPr>
        <w:t>根据</w:t>
      </w:r>
      <w:r>
        <w:rPr>
          <w:rFonts w:hint="eastAsia" w:ascii="仿宋" w:hAnsi="仿宋" w:eastAsia="仿宋" w:cs="仿宋"/>
          <w:color w:val="000000"/>
          <w:kern w:val="0"/>
          <w:sz w:val="31"/>
          <w:szCs w:val="31"/>
          <w:lang w:bidi="ar"/>
        </w:rPr>
        <w:t>年初转企方案</w:t>
      </w:r>
      <w:r>
        <w:rPr>
          <w:rFonts w:hint="eastAsia" w:ascii="仿宋" w:hAnsi="仿宋" w:eastAsia="仿宋" w:cs="仿宋"/>
          <w:color w:val="000000"/>
          <w:kern w:val="0"/>
          <w:sz w:val="31"/>
          <w:szCs w:val="31"/>
          <w:lang w:val="zh-CN" w:bidi="ar"/>
        </w:rPr>
        <w:t>，</w:t>
      </w:r>
      <w:r>
        <w:rPr>
          <w:rFonts w:hint="eastAsia" w:ascii="仿宋" w:hAnsi="仿宋" w:eastAsia="仿宋" w:cs="仿宋"/>
          <w:color w:val="000000"/>
          <w:kern w:val="0"/>
          <w:sz w:val="31"/>
          <w:szCs w:val="31"/>
          <w:lang w:bidi="ar"/>
        </w:rPr>
        <w:t>转企数量是否达到</w:t>
      </w:r>
      <w:r>
        <w:rPr>
          <w:rFonts w:hint="eastAsia" w:ascii="仿宋" w:hAnsi="仿宋" w:eastAsia="仿宋" w:cs="仿宋"/>
          <w:color w:val="000000"/>
          <w:kern w:val="0"/>
          <w:sz w:val="31"/>
          <w:szCs w:val="31"/>
          <w:lang w:eastAsia="zh-CN" w:bidi="ar"/>
        </w:rPr>
        <w:t>既定目标</w:t>
      </w:r>
      <w:r>
        <w:rPr>
          <w:rFonts w:hint="eastAsia" w:ascii="仿宋" w:hAnsi="仿宋" w:eastAsia="仿宋" w:cs="仿宋"/>
          <w:color w:val="000000"/>
          <w:kern w:val="0"/>
          <w:sz w:val="31"/>
          <w:szCs w:val="31"/>
          <w:lang w:bidi="ar"/>
        </w:rPr>
        <w:t>任务数</w:t>
      </w:r>
      <w:r>
        <w:rPr>
          <w:rFonts w:hint="eastAsia" w:ascii="仿宋" w:hAnsi="仿宋" w:eastAsia="仿宋" w:cs="仿宋"/>
          <w:color w:val="000000"/>
          <w:kern w:val="0"/>
          <w:sz w:val="31"/>
          <w:szCs w:val="31"/>
          <w:lang w:val="zh-CN" w:bidi="ar"/>
        </w:rPr>
        <w:t>。</w:t>
      </w:r>
    </w:p>
    <w:p w14:paraId="3D014B4E">
      <w:pPr>
        <w:ind w:firstLine="643" w:firstLineChars="200"/>
        <w:rPr>
          <w:rFonts w:ascii="仿宋" w:hAnsi="仿宋" w:eastAsia="仿宋" w:cs="仿宋"/>
          <w:color w:val="000000"/>
          <w:kern w:val="0"/>
          <w:sz w:val="31"/>
          <w:szCs w:val="31"/>
          <w:lang w:val="zh-CN" w:bidi="ar"/>
        </w:rPr>
      </w:pPr>
      <w:r>
        <w:rPr>
          <w:rFonts w:hint="eastAsia" w:ascii="楷体_GB2312" w:eastAsia="楷体_GB2312"/>
          <w:b/>
          <w:sz w:val="32"/>
          <w:szCs w:val="32"/>
          <w:lang w:val="zh-CN"/>
        </w:rPr>
        <w:t>（五）评价组织。</w:t>
      </w:r>
      <w:r>
        <w:rPr>
          <w:rFonts w:hint="eastAsia" w:ascii="仿宋" w:hAnsi="仿宋" w:eastAsia="仿宋" w:cs="仿宋"/>
          <w:color w:val="000000"/>
          <w:kern w:val="0"/>
          <w:sz w:val="31"/>
          <w:szCs w:val="31"/>
          <w:lang w:val="zh-CN" w:bidi="ar"/>
        </w:rPr>
        <w:t>盐边县市场监督管理局。</w:t>
      </w:r>
    </w:p>
    <w:p w14:paraId="00D60716">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09D7270F">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14:paraId="248258B1">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294CD010">
      <w:pPr>
        <w:ind w:firstLine="640" w:firstLineChars="200"/>
        <w:rPr>
          <w:rFonts w:ascii="仿宋" w:hAnsi="仿宋" w:eastAsia="仿宋" w:cs="仿宋"/>
          <w:color w:val="000000"/>
          <w:kern w:val="0"/>
          <w:sz w:val="31"/>
          <w:szCs w:val="31"/>
          <w:lang w:val="zh-CN" w:bidi="ar"/>
        </w:rPr>
      </w:pPr>
      <w:r>
        <w:rPr>
          <w:rFonts w:hint="eastAsia" w:ascii="楷体_GB2312" w:eastAsia="楷体_GB2312"/>
          <w:sz w:val="32"/>
          <w:szCs w:val="32"/>
          <w:lang w:val="zh-CN"/>
        </w:rPr>
        <w:t>1.项目决策。</w:t>
      </w:r>
      <w:r>
        <w:rPr>
          <w:rFonts w:hint="eastAsia" w:ascii="仿宋" w:hAnsi="仿宋" w:eastAsia="仿宋" w:cs="仿宋"/>
          <w:color w:val="000000"/>
          <w:kern w:val="0"/>
          <w:sz w:val="31"/>
          <w:szCs w:val="31"/>
          <w:lang w:bidi="ar"/>
        </w:rPr>
        <w:t>按照上级文件分配任务目标完成</w:t>
      </w:r>
      <w:r>
        <w:rPr>
          <w:rFonts w:hint="eastAsia" w:ascii="仿宋" w:hAnsi="仿宋" w:eastAsia="仿宋" w:cs="仿宋"/>
          <w:color w:val="000000"/>
          <w:kern w:val="0"/>
          <w:sz w:val="31"/>
          <w:szCs w:val="31"/>
          <w:lang w:val="zh-CN" w:bidi="ar"/>
        </w:rPr>
        <w:t>。</w:t>
      </w:r>
    </w:p>
    <w:p w14:paraId="0955F155">
      <w:pPr>
        <w:ind w:firstLine="640" w:firstLineChars="200"/>
        <w:rPr>
          <w:rFonts w:ascii="仿宋" w:hAnsi="仿宋" w:eastAsia="仿宋" w:cs="仿宋"/>
          <w:color w:val="000000"/>
          <w:kern w:val="0"/>
          <w:sz w:val="31"/>
          <w:szCs w:val="31"/>
          <w:lang w:val="zh-CN" w:bidi="ar"/>
        </w:rPr>
      </w:pPr>
      <w:r>
        <w:rPr>
          <w:rFonts w:hint="eastAsia" w:ascii="楷体_GB2312" w:eastAsia="楷体_GB2312"/>
          <w:sz w:val="32"/>
          <w:szCs w:val="32"/>
          <w:lang w:val="zh-CN"/>
        </w:rPr>
        <w:t>2.项目管理。</w:t>
      </w:r>
      <w:r>
        <w:rPr>
          <w:rFonts w:hint="eastAsia" w:ascii="仿宋" w:hAnsi="仿宋" w:eastAsia="仿宋" w:cs="仿宋"/>
          <w:color w:val="000000"/>
          <w:kern w:val="0"/>
          <w:sz w:val="31"/>
          <w:szCs w:val="31"/>
          <w:lang w:val="zh-CN" w:bidi="ar"/>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3.项目实施。围绕预算执行、资金使用进行绩效分析。</w:t>
      </w:r>
    </w:p>
    <w:p w14:paraId="01B4A79D">
      <w:pPr>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eastAsia="zh-CN" w:bidi="ar"/>
        </w:rPr>
        <w:t>3.</w:t>
      </w:r>
      <w:r>
        <w:rPr>
          <w:rFonts w:hint="eastAsia" w:ascii="仿宋" w:hAnsi="仿宋" w:eastAsia="仿宋" w:cs="仿宋"/>
          <w:color w:val="000000"/>
          <w:kern w:val="0"/>
          <w:sz w:val="31"/>
          <w:szCs w:val="31"/>
          <w:lang w:bidi="ar"/>
        </w:rPr>
        <w:t>项目实施。制定方案</w:t>
      </w:r>
      <w:r>
        <w:rPr>
          <w:rFonts w:hint="eastAsia" w:ascii="仿宋" w:hAnsi="仿宋" w:eastAsia="仿宋" w:cs="仿宋"/>
          <w:color w:val="000000"/>
          <w:kern w:val="0"/>
          <w:sz w:val="31"/>
          <w:szCs w:val="31"/>
          <w:lang w:val="zh-CN" w:bidi="ar"/>
        </w:rPr>
        <w:t>→</w:t>
      </w:r>
      <w:r>
        <w:rPr>
          <w:rFonts w:hint="eastAsia" w:ascii="仿宋" w:hAnsi="仿宋" w:eastAsia="仿宋" w:cs="仿宋"/>
          <w:color w:val="000000"/>
          <w:kern w:val="0"/>
          <w:sz w:val="31"/>
          <w:szCs w:val="31"/>
          <w:lang w:bidi="ar"/>
        </w:rPr>
        <w:t>实施方案</w:t>
      </w:r>
      <w:r>
        <w:rPr>
          <w:rFonts w:hint="eastAsia" w:ascii="仿宋" w:hAnsi="仿宋" w:eastAsia="仿宋" w:cs="仿宋"/>
          <w:color w:val="000000"/>
          <w:kern w:val="0"/>
          <w:sz w:val="31"/>
          <w:szCs w:val="31"/>
          <w:lang w:val="zh-CN" w:bidi="ar"/>
        </w:rPr>
        <w:t>→</w:t>
      </w:r>
      <w:r>
        <w:rPr>
          <w:rFonts w:hint="eastAsia" w:ascii="仿宋" w:hAnsi="仿宋" w:eastAsia="仿宋" w:cs="仿宋"/>
          <w:color w:val="000000"/>
          <w:kern w:val="0"/>
          <w:sz w:val="31"/>
          <w:szCs w:val="31"/>
          <w:lang w:bidi="ar"/>
        </w:rPr>
        <w:t>完成方案</w:t>
      </w:r>
      <w:r>
        <w:rPr>
          <w:rFonts w:hint="eastAsia" w:ascii="仿宋" w:hAnsi="仿宋" w:eastAsia="仿宋" w:cs="仿宋"/>
          <w:color w:val="000000"/>
          <w:kern w:val="0"/>
          <w:sz w:val="31"/>
          <w:szCs w:val="31"/>
          <w:lang w:val="zh-CN" w:bidi="ar"/>
        </w:rPr>
        <w:t>→</w:t>
      </w:r>
      <w:r>
        <w:rPr>
          <w:rFonts w:hint="eastAsia" w:ascii="仿宋" w:hAnsi="仿宋" w:eastAsia="仿宋" w:cs="仿宋"/>
          <w:color w:val="000000"/>
          <w:kern w:val="0"/>
          <w:sz w:val="31"/>
          <w:szCs w:val="31"/>
          <w:lang w:bidi="ar"/>
        </w:rPr>
        <w:t>收集对公账号</w:t>
      </w:r>
      <w:r>
        <w:rPr>
          <w:rFonts w:hint="eastAsia" w:ascii="仿宋" w:hAnsi="仿宋" w:eastAsia="仿宋" w:cs="仿宋"/>
          <w:color w:val="000000"/>
          <w:kern w:val="0"/>
          <w:sz w:val="31"/>
          <w:szCs w:val="31"/>
          <w:lang w:val="zh-CN" w:bidi="ar"/>
        </w:rPr>
        <w:t>→</w:t>
      </w:r>
      <w:r>
        <w:rPr>
          <w:rFonts w:hint="eastAsia" w:ascii="仿宋" w:hAnsi="仿宋" w:eastAsia="仿宋" w:cs="仿宋"/>
          <w:color w:val="000000"/>
          <w:kern w:val="0"/>
          <w:sz w:val="31"/>
          <w:szCs w:val="31"/>
          <w:lang w:bidi="ar"/>
        </w:rPr>
        <w:t>完成支付资金</w:t>
      </w:r>
    </w:p>
    <w:p w14:paraId="0AA65A89">
      <w:pPr>
        <w:ind w:firstLine="640" w:firstLineChars="200"/>
        <w:rPr>
          <w:rFonts w:ascii="仿宋" w:hAnsi="仿宋" w:eastAsia="仿宋" w:cs="仿宋"/>
          <w:color w:val="000000"/>
          <w:kern w:val="0"/>
          <w:sz w:val="31"/>
          <w:szCs w:val="31"/>
          <w:lang w:val="zh-CN" w:bidi="ar"/>
        </w:rPr>
      </w:pPr>
      <w:r>
        <w:rPr>
          <w:rFonts w:hint="eastAsia" w:ascii="楷体_GB2312" w:eastAsia="楷体_GB2312"/>
          <w:sz w:val="32"/>
          <w:szCs w:val="32"/>
          <w:lang w:val="zh-CN"/>
        </w:rPr>
        <w:t>4.项目结果。</w:t>
      </w:r>
      <w:r>
        <w:rPr>
          <w:rFonts w:hint="eastAsia" w:ascii="仿宋" w:hAnsi="仿宋" w:eastAsia="仿宋" w:cs="仿宋"/>
          <w:color w:val="000000"/>
          <w:kern w:val="0"/>
          <w:sz w:val="31"/>
          <w:szCs w:val="31"/>
          <w:lang w:val="zh-CN" w:bidi="ar"/>
        </w:rPr>
        <w:t>盐边县2023年度“个转企”成功转企405户，超市级目标任务380户（市级目标任务25户、县级目标任务50户）。</w:t>
      </w:r>
    </w:p>
    <w:p w14:paraId="082BF04D">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14:paraId="1D13B94A">
      <w:pPr>
        <w:ind w:firstLine="640" w:firstLineChars="200"/>
        <w:rPr>
          <w:rFonts w:ascii="仿宋" w:hAnsi="仿宋" w:eastAsia="仿宋" w:cs="仿宋"/>
          <w:color w:val="000000"/>
          <w:kern w:val="0"/>
          <w:sz w:val="31"/>
          <w:szCs w:val="31"/>
          <w:lang w:bidi="ar"/>
        </w:rPr>
      </w:pPr>
      <w:r>
        <w:rPr>
          <w:rFonts w:hint="eastAsia" w:ascii="楷体_GB2312" w:eastAsia="楷体_GB2312"/>
          <w:sz w:val="32"/>
          <w:szCs w:val="32"/>
          <w:lang w:val="zh-CN"/>
        </w:rPr>
        <w:t>1.产业发展。</w:t>
      </w:r>
      <w:r>
        <w:rPr>
          <w:rFonts w:hint="eastAsia" w:ascii="仿宋" w:hAnsi="仿宋" w:eastAsia="仿宋" w:cs="仿宋"/>
          <w:color w:val="000000"/>
          <w:kern w:val="0"/>
          <w:sz w:val="31"/>
          <w:szCs w:val="31"/>
          <w:lang w:bidi="ar"/>
        </w:rPr>
        <w:t>符合《</w:t>
      </w:r>
      <w:r>
        <w:rPr>
          <w:rFonts w:hint="eastAsia" w:ascii="仿宋" w:hAnsi="仿宋" w:eastAsia="仿宋" w:cs="仿宋"/>
          <w:color w:val="000000"/>
          <w:kern w:val="0"/>
          <w:sz w:val="31"/>
          <w:szCs w:val="31"/>
          <w:lang w:val="zh-CN" w:bidi="ar"/>
        </w:rPr>
        <w:t>四川省民营经济和中小企业发展领导小组民营经济办公室关于印发《四川省“十四五”时期“个转企”工作方案》</w:t>
      </w:r>
      <w:r>
        <w:rPr>
          <w:rFonts w:hint="eastAsia" w:ascii="仿宋" w:hAnsi="仿宋" w:eastAsia="仿宋" w:cs="仿宋"/>
          <w:color w:val="000000"/>
          <w:kern w:val="0"/>
          <w:sz w:val="31"/>
          <w:szCs w:val="31"/>
          <w:lang w:bidi="ar"/>
        </w:rPr>
        <w:t>要求</w:t>
      </w:r>
    </w:p>
    <w:p w14:paraId="1BEB4AD4">
      <w:pPr>
        <w:ind w:firstLine="640" w:firstLineChars="200"/>
        <w:rPr>
          <w:rFonts w:ascii="仿宋" w:hAnsi="仿宋" w:eastAsia="仿宋" w:cs="仿宋"/>
          <w:color w:val="000000"/>
          <w:kern w:val="0"/>
          <w:sz w:val="31"/>
          <w:szCs w:val="31"/>
          <w:lang w:val="zh-CN" w:bidi="ar"/>
        </w:rPr>
      </w:pPr>
      <w:r>
        <w:rPr>
          <w:rFonts w:hint="eastAsia" w:ascii="楷体_GB2312" w:eastAsia="楷体_GB2312"/>
          <w:sz w:val="32"/>
          <w:szCs w:val="32"/>
          <w:lang w:val="zh-CN"/>
        </w:rPr>
        <w:t>2.民生保障。</w:t>
      </w:r>
      <w:r>
        <w:rPr>
          <w:rFonts w:hint="eastAsia" w:ascii="仿宋" w:hAnsi="仿宋" w:eastAsia="仿宋" w:cs="仿宋"/>
          <w:color w:val="000000"/>
          <w:kern w:val="0"/>
          <w:sz w:val="31"/>
          <w:szCs w:val="31"/>
          <w:lang w:bidi="ar"/>
        </w:rPr>
        <w:t>兑付的激励资金一定程度上，可以拉动消费及就业</w:t>
      </w:r>
      <w:r>
        <w:rPr>
          <w:rFonts w:hint="eastAsia" w:ascii="仿宋" w:hAnsi="仿宋" w:eastAsia="仿宋" w:cs="仿宋"/>
          <w:color w:val="000000"/>
          <w:kern w:val="0"/>
          <w:sz w:val="31"/>
          <w:szCs w:val="31"/>
          <w:lang w:val="zh-CN" w:bidi="ar"/>
        </w:rPr>
        <w:t>。</w:t>
      </w:r>
    </w:p>
    <w:p w14:paraId="591400FB">
      <w:pPr>
        <w:ind w:firstLine="640" w:firstLineChars="200"/>
        <w:rPr>
          <w:rFonts w:ascii="仿宋" w:hAnsi="仿宋" w:eastAsia="仿宋" w:cs="仿宋"/>
          <w:color w:val="000000"/>
          <w:kern w:val="0"/>
          <w:sz w:val="31"/>
          <w:szCs w:val="31"/>
          <w:lang w:bidi="ar"/>
        </w:rPr>
      </w:pPr>
      <w:r>
        <w:rPr>
          <w:rFonts w:hint="eastAsia" w:ascii="楷体_GB2312" w:eastAsia="楷体_GB2312"/>
          <w:sz w:val="32"/>
          <w:szCs w:val="32"/>
          <w:lang w:val="zh-CN"/>
        </w:rPr>
        <w:t>3.基础设施。</w:t>
      </w:r>
      <w:r>
        <w:rPr>
          <w:rFonts w:hint="eastAsia" w:ascii="仿宋" w:hAnsi="仿宋" w:eastAsia="仿宋" w:cs="仿宋"/>
          <w:color w:val="000000"/>
          <w:kern w:val="0"/>
          <w:sz w:val="31"/>
          <w:szCs w:val="31"/>
          <w:lang w:bidi="ar"/>
        </w:rPr>
        <w:t>该</w:t>
      </w:r>
      <w:r>
        <w:rPr>
          <w:rFonts w:hint="eastAsia" w:ascii="仿宋" w:hAnsi="仿宋" w:eastAsia="仿宋" w:cs="仿宋"/>
          <w:color w:val="000000"/>
          <w:kern w:val="0"/>
          <w:sz w:val="31"/>
          <w:szCs w:val="31"/>
          <w:lang w:eastAsia="zh-CN" w:bidi="ar"/>
        </w:rPr>
        <w:t>项</w:t>
      </w:r>
      <w:r>
        <w:rPr>
          <w:rFonts w:hint="eastAsia" w:ascii="仿宋" w:hAnsi="仿宋" w:eastAsia="仿宋" w:cs="仿宋"/>
          <w:color w:val="000000"/>
          <w:kern w:val="0"/>
          <w:sz w:val="31"/>
          <w:szCs w:val="31"/>
          <w:lang w:bidi="ar"/>
        </w:rPr>
        <w:t>目无需</w:t>
      </w:r>
      <w:r>
        <w:rPr>
          <w:rFonts w:hint="eastAsia" w:ascii="仿宋" w:hAnsi="仿宋" w:eastAsia="仿宋" w:cs="仿宋"/>
          <w:color w:val="000000"/>
          <w:kern w:val="0"/>
          <w:sz w:val="31"/>
          <w:szCs w:val="31"/>
          <w:lang w:eastAsia="zh-CN" w:bidi="ar"/>
        </w:rPr>
        <w:t>基础</w:t>
      </w:r>
      <w:r>
        <w:rPr>
          <w:rFonts w:hint="eastAsia" w:ascii="仿宋" w:hAnsi="仿宋" w:eastAsia="仿宋" w:cs="仿宋"/>
          <w:color w:val="000000"/>
          <w:kern w:val="0"/>
          <w:sz w:val="31"/>
          <w:szCs w:val="31"/>
          <w:lang w:bidi="ar"/>
        </w:rPr>
        <w:t>设施。</w:t>
      </w:r>
    </w:p>
    <w:p w14:paraId="4E955BCC">
      <w:pPr>
        <w:ind w:firstLine="640" w:firstLineChars="200"/>
        <w:rPr>
          <w:rFonts w:ascii="楷体_GB2312" w:eastAsia="楷体_GB2312"/>
          <w:sz w:val="32"/>
          <w:szCs w:val="32"/>
          <w:lang w:val="zh-CN"/>
        </w:rPr>
      </w:pPr>
      <w:r>
        <w:rPr>
          <w:rFonts w:hint="eastAsia" w:ascii="楷体_GB2312" w:eastAsia="楷体_GB2312"/>
          <w:sz w:val="32"/>
          <w:szCs w:val="32"/>
          <w:lang w:val="zh-CN"/>
        </w:rPr>
        <w:t>4.行政运转。</w:t>
      </w:r>
    </w:p>
    <w:p w14:paraId="30F886F4">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ascii="仿宋" w:hAnsi="仿宋" w:eastAsia="仿宋" w:cs="仿宋"/>
          <w:color w:val="000000"/>
          <w:kern w:val="0"/>
          <w:sz w:val="31"/>
          <w:szCs w:val="31"/>
          <w:lang w:bidi="ar"/>
        </w:rPr>
        <w:t>该项目无个性指标</w:t>
      </w:r>
      <w:r>
        <w:rPr>
          <w:rFonts w:hint="eastAsia" w:ascii="仿宋" w:hAnsi="仿宋" w:eastAsia="仿宋" w:cs="仿宋"/>
          <w:color w:val="000000"/>
          <w:kern w:val="0"/>
          <w:sz w:val="31"/>
          <w:szCs w:val="31"/>
          <w:lang w:val="zh-CN" w:bidi="ar"/>
        </w:rPr>
        <w:t>。</w:t>
      </w:r>
    </w:p>
    <w:p w14:paraId="0E910B72">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2BFF16EE">
      <w:pPr>
        <w:ind w:firstLine="620" w:firstLineChars="200"/>
        <w:rPr>
          <w:rFonts w:ascii="仿宋" w:hAnsi="仿宋" w:eastAsia="仿宋" w:cs="仿宋"/>
          <w:color w:val="000000"/>
          <w:kern w:val="0"/>
          <w:sz w:val="31"/>
          <w:szCs w:val="31"/>
          <w:lang w:val="zh-CN" w:bidi="ar"/>
        </w:rPr>
      </w:pPr>
      <w:r>
        <w:rPr>
          <w:rFonts w:hint="eastAsia" w:ascii="仿宋" w:hAnsi="仿宋" w:eastAsia="仿宋" w:cs="仿宋"/>
          <w:color w:val="000000"/>
          <w:kern w:val="0"/>
          <w:sz w:val="31"/>
          <w:szCs w:val="31"/>
          <w:lang w:bidi="ar"/>
        </w:rPr>
        <w:t>符合“个转企”政策的要求，达到预期</w:t>
      </w:r>
      <w:r>
        <w:rPr>
          <w:rFonts w:hint="eastAsia" w:ascii="仿宋" w:hAnsi="仿宋" w:eastAsia="仿宋" w:cs="仿宋"/>
          <w:color w:val="000000"/>
          <w:kern w:val="0"/>
          <w:sz w:val="31"/>
          <w:szCs w:val="31"/>
          <w:lang w:val="zh-CN" w:bidi="ar"/>
        </w:rPr>
        <w:t>。</w:t>
      </w:r>
    </w:p>
    <w:p w14:paraId="26546143">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23B71E0A">
      <w:pPr>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无</w:t>
      </w:r>
    </w:p>
    <w:p w14:paraId="2D81EAB3">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52FAE835">
      <w:pPr>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无</w:t>
      </w:r>
    </w:p>
    <w:p w14:paraId="23AA6399"/>
    <w:p w14:paraId="1EF83E0C">
      <w:pPr>
        <w:pStyle w:val="8"/>
        <w:spacing w:line="560" w:lineRule="exact"/>
        <w:ind w:left="0" w:leftChars="0" w:firstLine="640"/>
        <w:rPr>
          <w:rFonts w:ascii="Times New Roman" w:eastAsia="仿宋_GB2312"/>
          <w:sz w:val="32"/>
          <w:lang w:bidi="ar"/>
        </w:rPr>
      </w:pPr>
      <w:r>
        <w:rPr>
          <w:rFonts w:hint="eastAsia" w:ascii="Times New Roman" w:eastAsia="仿宋_GB2312"/>
          <w:sz w:val="32"/>
          <w:lang w:val="zh-CN" w:bidi="ar"/>
        </w:rPr>
        <w:t>附表：盐边县市场监督管理局</w:t>
      </w:r>
      <w:r>
        <w:rPr>
          <w:rFonts w:hint="eastAsia" w:ascii="Times New Roman" w:eastAsia="仿宋_GB2312"/>
          <w:sz w:val="32"/>
          <w:lang w:bidi="ar"/>
        </w:rPr>
        <w:t>部门预算项目支出绩效自评表（2024年度）</w:t>
      </w:r>
    </w:p>
    <w:p w14:paraId="7DEB6FB3">
      <w:pPr>
        <w:pStyle w:val="35"/>
        <w:spacing w:line="578" w:lineRule="exact"/>
        <w:ind w:firstLine="640"/>
        <w:jc w:val="center"/>
        <w:rPr>
          <w:rFonts w:ascii="Times New Roman" w:hAnsi="Times New Roman"/>
          <w:color w:val="auto"/>
          <w:kern w:val="2"/>
          <w:sz w:val="32"/>
          <w:szCs w:val="32"/>
          <w:lang w:val="en-US"/>
        </w:rPr>
      </w:pPr>
    </w:p>
    <w:p w14:paraId="12274551">
      <w:pPr>
        <w:pStyle w:val="35"/>
        <w:spacing w:line="578" w:lineRule="exact"/>
        <w:ind w:firstLine="640"/>
        <w:jc w:val="center"/>
        <w:rPr>
          <w:rFonts w:ascii="Times New Roman" w:hAnsi="Times New Roman"/>
          <w:color w:val="auto"/>
          <w:kern w:val="2"/>
          <w:sz w:val="32"/>
          <w:szCs w:val="32"/>
          <w:lang w:val="en-US"/>
        </w:rPr>
      </w:pPr>
    </w:p>
    <w:p w14:paraId="082BBFEB">
      <w:pPr>
        <w:pStyle w:val="35"/>
        <w:spacing w:line="578" w:lineRule="exact"/>
        <w:ind w:firstLine="640"/>
        <w:jc w:val="center"/>
        <w:rPr>
          <w:rFonts w:ascii="Times New Roman" w:hAnsi="Times New Roman"/>
          <w:color w:val="auto"/>
          <w:kern w:val="2"/>
          <w:sz w:val="32"/>
          <w:szCs w:val="32"/>
          <w:lang w:val="en-US"/>
        </w:rPr>
      </w:pPr>
    </w:p>
    <w:p w14:paraId="0D9EC652">
      <w:pPr>
        <w:pStyle w:val="35"/>
        <w:spacing w:line="578" w:lineRule="exact"/>
        <w:ind w:firstLine="640"/>
        <w:jc w:val="center"/>
        <w:rPr>
          <w:rFonts w:ascii="Times New Roman" w:hAnsi="Times New Roman"/>
          <w:color w:val="auto"/>
          <w:kern w:val="2"/>
          <w:sz w:val="32"/>
          <w:szCs w:val="32"/>
          <w:lang w:val="en-US"/>
        </w:rPr>
      </w:pPr>
    </w:p>
    <w:p w14:paraId="4F6002D6">
      <w:pPr>
        <w:pStyle w:val="35"/>
        <w:spacing w:line="578" w:lineRule="exact"/>
        <w:rPr>
          <w:rFonts w:ascii="Times New Roman" w:hAnsi="Times New Roman"/>
          <w:color w:val="auto"/>
          <w:kern w:val="2"/>
          <w:sz w:val="32"/>
          <w:szCs w:val="32"/>
          <w:lang w:val="en-US"/>
        </w:rPr>
      </w:pPr>
    </w:p>
    <w:p w14:paraId="25AC3CCC">
      <w:pPr>
        <w:pStyle w:val="35"/>
        <w:spacing w:line="578" w:lineRule="exact"/>
        <w:rPr>
          <w:rFonts w:ascii="Times New Roman" w:hAnsi="Times New Roman"/>
          <w:color w:val="auto"/>
          <w:kern w:val="2"/>
          <w:sz w:val="32"/>
          <w:szCs w:val="32"/>
          <w:lang w:val="en-US"/>
        </w:rPr>
      </w:pPr>
    </w:p>
    <w:p w14:paraId="34EADFB3">
      <w:pPr>
        <w:widowControl/>
        <w:jc w:val="center"/>
        <w:rPr>
          <w:rFonts w:eastAsia="仿宋"/>
        </w:rPr>
      </w:pPr>
      <w:bookmarkStart w:id="56" w:name="_Toc15396618"/>
      <w:r>
        <w:rPr>
          <w:rFonts w:hint="eastAsia" w:eastAsia="黑体"/>
          <w:sz w:val="44"/>
          <w:szCs w:val="44"/>
        </w:rPr>
        <w:t>第</w:t>
      </w:r>
      <w:r>
        <w:rPr>
          <w:rStyle w:val="29"/>
          <w:rFonts w:hint="eastAsia" w:eastAsia="黑体"/>
          <w:b w:val="0"/>
        </w:rPr>
        <w:t>五部分 附表</w:t>
      </w:r>
      <w:bookmarkEnd w:id="53"/>
      <w:bookmarkEnd w:id="56"/>
      <w:bookmarkStart w:id="57" w:name="_Toc15396619"/>
    </w:p>
    <w:p w14:paraId="2929C599">
      <w:pPr>
        <w:pStyle w:val="15"/>
        <w:adjustRightInd w:val="0"/>
        <w:snapToGrid w:val="0"/>
        <w:spacing w:line="560" w:lineRule="exact"/>
        <w:jc w:val="left"/>
        <w:rPr>
          <w:rFonts w:eastAsia="仿宋_GB2312" w:cs="仿宋_GB2312"/>
          <w:sz w:val="32"/>
          <w:szCs w:val="32"/>
        </w:rPr>
      </w:pPr>
    </w:p>
    <w:p w14:paraId="73A4841C">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68C259F8">
      <w:pPr>
        <w:pStyle w:val="15"/>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229F5D77">
      <w:pPr>
        <w:pStyle w:val="15"/>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5F7DA9BF">
      <w:pPr>
        <w:pStyle w:val="15"/>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0D196B29">
      <w:pPr>
        <w:pStyle w:val="15"/>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471EAB9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49165FA5">
      <w:pPr>
        <w:pStyle w:val="15"/>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045F017B">
      <w:pPr>
        <w:pStyle w:val="15"/>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1B3BB9BF">
      <w:pPr>
        <w:pStyle w:val="15"/>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4A7C3E2D">
      <w:pPr>
        <w:pStyle w:val="15"/>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5C19F5E3">
      <w:pPr>
        <w:pStyle w:val="15"/>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2A315A12">
      <w:pPr>
        <w:pStyle w:val="15"/>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313D0313">
      <w:pPr>
        <w:pStyle w:val="15"/>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472BF5AC"/>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imes_New_Roman">
    <w:altName w:val="宋体"/>
    <w:panose1 w:val="00000000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D851">
    <w:pPr>
      <w:pStyle w:val="2"/>
      <w:jc w:val="center"/>
    </w:pPr>
  </w:p>
  <w:p w14:paraId="4512236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F094">
    <w:pPr>
      <w:pStyle w:val="2"/>
      <w:jc w:val="center"/>
    </w:pPr>
  </w:p>
  <w:p w14:paraId="41951AC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C535">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777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3777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1FE5">
    <w:pPr>
      <w:pStyle w:val="2"/>
      <w:jc w:val="center"/>
    </w:pPr>
  </w:p>
  <w:p w14:paraId="3B9BEF2E">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687A">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765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- 78 -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AC765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- 78 -</w:t>
                    </w:r>
                    <w:r>
                      <w:rPr>
                        <w:rFonts w:hint="eastAsia"/>
                        <w:sz w:val="18"/>
                      </w:rPr>
                      <w:fldChar w:fldCharType="end"/>
                    </w:r>
                  </w:p>
                </w:txbxContent>
              </v:textbox>
            </v:shape>
          </w:pict>
        </mc:Fallback>
      </mc:AlternateContent>
    </w:r>
  </w:p>
  <w:p w14:paraId="37B840D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97854"/>
    <w:multiLevelType w:val="singleLevel"/>
    <w:tmpl w:val="BF897854"/>
    <w:lvl w:ilvl="0" w:tentative="0">
      <w:start w:val="3"/>
      <w:numFmt w:val="chineseCounting"/>
      <w:suff w:val="nothing"/>
      <w:lvlText w:val="（%1）"/>
      <w:lvlJc w:val="left"/>
      <w:rPr>
        <w:rFonts w:hint="eastAsia"/>
      </w:rPr>
    </w:lvl>
  </w:abstractNum>
  <w:abstractNum w:abstractNumId="1">
    <w:nsid w:val="DDDFC82F"/>
    <w:multiLevelType w:val="singleLevel"/>
    <w:tmpl w:val="DDDFC82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121D"/>
    <w:rsid w:val="000222C6"/>
    <w:rsid w:val="0002549F"/>
    <w:rsid w:val="00026DAD"/>
    <w:rsid w:val="000468DB"/>
    <w:rsid w:val="0006487A"/>
    <w:rsid w:val="00065F8F"/>
    <w:rsid w:val="00070A43"/>
    <w:rsid w:val="000768F2"/>
    <w:rsid w:val="0009184B"/>
    <w:rsid w:val="00094236"/>
    <w:rsid w:val="0009593C"/>
    <w:rsid w:val="00097322"/>
    <w:rsid w:val="000A6A92"/>
    <w:rsid w:val="000B047F"/>
    <w:rsid w:val="000B1368"/>
    <w:rsid w:val="000B5923"/>
    <w:rsid w:val="000B5A48"/>
    <w:rsid w:val="000B6FF3"/>
    <w:rsid w:val="000C3467"/>
    <w:rsid w:val="000C3CA6"/>
    <w:rsid w:val="000C5C77"/>
    <w:rsid w:val="000D1267"/>
    <w:rsid w:val="000D1D50"/>
    <w:rsid w:val="000D5782"/>
    <w:rsid w:val="000E6613"/>
    <w:rsid w:val="000E7119"/>
    <w:rsid w:val="00107C02"/>
    <w:rsid w:val="00114E9B"/>
    <w:rsid w:val="00133A97"/>
    <w:rsid w:val="00142216"/>
    <w:rsid w:val="00144D6A"/>
    <w:rsid w:val="0014729F"/>
    <w:rsid w:val="00157BAB"/>
    <w:rsid w:val="001654D1"/>
    <w:rsid w:val="00174518"/>
    <w:rsid w:val="0018106D"/>
    <w:rsid w:val="001877A7"/>
    <w:rsid w:val="00191536"/>
    <w:rsid w:val="00196687"/>
    <w:rsid w:val="001968E7"/>
    <w:rsid w:val="001C0962"/>
    <w:rsid w:val="001D7531"/>
    <w:rsid w:val="001E737D"/>
    <w:rsid w:val="001F0592"/>
    <w:rsid w:val="001F7506"/>
    <w:rsid w:val="002006CD"/>
    <w:rsid w:val="00202B36"/>
    <w:rsid w:val="00204B7A"/>
    <w:rsid w:val="00204CDE"/>
    <w:rsid w:val="00205739"/>
    <w:rsid w:val="0021101A"/>
    <w:rsid w:val="00220536"/>
    <w:rsid w:val="0023341A"/>
    <w:rsid w:val="00235629"/>
    <w:rsid w:val="00260C38"/>
    <w:rsid w:val="002616C0"/>
    <w:rsid w:val="00265372"/>
    <w:rsid w:val="002662AA"/>
    <w:rsid w:val="002673D3"/>
    <w:rsid w:val="00280496"/>
    <w:rsid w:val="00294DC9"/>
    <w:rsid w:val="00295495"/>
    <w:rsid w:val="002A31DE"/>
    <w:rsid w:val="002B2613"/>
    <w:rsid w:val="002D6D05"/>
    <w:rsid w:val="002F1818"/>
    <w:rsid w:val="002F567B"/>
    <w:rsid w:val="00311F02"/>
    <w:rsid w:val="003216A9"/>
    <w:rsid w:val="00335A74"/>
    <w:rsid w:val="0036561B"/>
    <w:rsid w:val="0037013F"/>
    <w:rsid w:val="00380C92"/>
    <w:rsid w:val="003A484F"/>
    <w:rsid w:val="003A4883"/>
    <w:rsid w:val="003B0BE0"/>
    <w:rsid w:val="003B0C1B"/>
    <w:rsid w:val="003B45A0"/>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2FF6"/>
    <w:rsid w:val="00473F31"/>
    <w:rsid w:val="0048263A"/>
    <w:rsid w:val="00487E5D"/>
    <w:rsid w:val="004A711F"/>
    <w:rsid w:val="004B199D"/>
    <w:rsid w:val="004B4690"/>
    <w:rsid w:val="004D38DB"/>
    <w:rsid w:val="004E0A2D"/>
    <w:rsid w:val="004E1D03"/>
    <w:rsid w:val="004E206B"/>
    <w:rsid w:val="004E6DF7"/>
    <w:rsid w:val="004F0FBD"/>
    <w:rsid w:val="00505A47"/>
    <w:rsid w:val="00512FDA"/>
    <w:rsid w:val="00520DA0"/>
    <w:rsid w:val="005664BB"/>
    <w:rsid w:val="00566FFA"/>
    <w:rsid w:val="0057481D"/>
    <w:rsid w:val="0058486E"/>
    <w:rsid w:val="00585B33"/>
    <w:rsid w:val="0059014D"/>
    <w:rsid w:val="00596241"/>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319A"/>
    <w:rsid w:val="00767B7E"/>
    <w:rsid w:val="007770C3"/>
    <w:rsid w:val="00784D24"/>
    <w:rsid w:val="00785FBA"/>
    <w:rsid w:val="0078666F"/>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422B"/>
    <w:rsid w:val="00850625"/>
    <w:rsid w:val="00853718"/>
    <w:rsid w:val="00855221"/>
    <w:rsid w:val="00860645"/>
    <w:rsid w:val="00866370"/>
    <w:rsid w:val="00871F71"/>
    <w:rsid w:val="00872FD8"/>
    <w:rsid w:val="00885AF4"/>
    <w:rsid w:val="008939CD"/>
    <w:rsid w:val="008B768C"/>
    <w:rsid w:val="008C4DB1"/>
    <w:rsid w:val="008C4EAF"/>
    <w:rsid w:val="008C5176"/>
    <w:rsid w:val="008C7FD0"/>
    <w:rsid w:val="008D7C96"/>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0C2"/>
    <w:rsid w:val="009B2C43"/>
    <w:rsid w:val="009B4EAE"/>
    <w:rsid w:val="009B7573"/>
    <w:rsid w:val="009C22F4"/>
    <w:rsid w:val="009C2A4B"/>
    <w:rsid w:val="009C2E98"/>
    <w:rsid w:val="009D3447"/>
    <w:rsid w:val="009D4711"/>
    <w:rsid w:val="009E26A2"/>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09D1"/>
    <w:rsid w:val="00B03C9D"/>
    <w:rsid w:val="00B060AE"/>
    <w:rsid w:val="00B10517"/>
    <w:rsid w:val="00B10599"/>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076B"/>
    <w:rsid w:val="00BB4DF0"/>
    <w:rsid w:val="00BC289F"/>
    <w:rsid w:val="00BC2D50"/>
    <w:rsid w:val="00BC5361"/>
    <w:rsid w:val="00BC5460"/>
    <w:rsid w:val="00BC6B50"/>
    <w:rsid w:val="00BD0E25"/>
    <w:rsid w:val="00BD5E43"/>
    <w:rsid w:val="00BE0320"/>
    <w:rsid w:val="00BF5BD6"/>
    <w:rsid w:val="00C02314"/>
    <w:rsid w:val="00C03E31"/>
    <w:rsid w:val="00C33E72"/>
    <w:rsid w:val="00C354B2"/>
    <w:rsid w:val="00C35554"/>
    <w:rsid w:val="00C42709"/>
    <w:rsid w:val="00C533CC"/>
    <w:rsid w:val="00C5751C"/>
    <w:rsid w:val="00C61BFC"/>
    <w:rsid w:val="00C62B85"/>
    <w:rsid w:val="00C65438"/>
    <w:rsid w:val="00C84980"/>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5CA1"/>
    <w:rsid w:val="00D26091"/>
    <w:rsid w:val="00D2685C"/>
    <w:rsid w:val="00D34E7C"/>
    <w:rsid w:val="00D35489"/>
    <w:rsid w:val="00D36AFE"/>
    <w:rsid w:val="00D51276"/>
    <w:rsid w:val="00D57C69"/>
    <w:rsid w:val="00D7035F"/>
    <w:rsid w:val="00DA1D8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78C6"/>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567C9"/>
    <w:rsid w:val="015975B8"/>
    <w:rsid w:val="02FEBE30"/>
    <w:rsid w:val="04916F1E"/>
    <w:rsid w:val="061E35DE"/>
    <w:rsid w:val="066E0107"/>
    <w:rsid w:val="073A42A1"/>
    <w:rsid w:val="07996F6E"/>
    <w:rsid w:val="07DFD8BA"/>
    <w:rsid w:val="09867E8F"/>
    <w:rsid w:val="0A2032A3"/>
    <w:rsid w:val="0CA8290A"/>
    <w:rsid w:val="0D231DE7"/>
    <w:rsid w:val="0D35B1ED"/>
    <w:rsid w:val="0E254B6B"/>
    <w:rsid w:val="0F98263C"/>
    <w:rsid w:val="101860EC"/>
    <w:rsid w:val="101F47CC"/>
    <w:rsid w:val="10C055FF"/>
    <w:rsid w:val="11694EBD"/>
    <w:rsid w:val="11772AA4"/>
    <w:rsid w:val="118107EC"/>
    <w:rsid w:val="12E24EE2"/>
    <w:rsid w:val="13331433"/>
    <w:rsid w:val="13D50BC4"/>
    <w:rsid w:val="142E1583"/>
    <w:rsid w:val="14B17F78"/>
    <w:rsid w:val="165E0673"/>
    <w:rsid w:val="16B831D5"/>
    <w:rsid w:val="16BB723D"/>
    <w:rsid w:val="17E50567"/>
    <w:rsid w:val="186504BB"/>
    <w:rsid w:val="1985301C"/>
    <w:rsid w:val="19A445FC"/>
    <w:rsid w:val="1BE8440E"/>
    <w:rsid w:val="1BFF1F7E"/>
    <w:rsid w:val="1D155CEE"/>
    <w:rsid w:val="1D1638FE"/>
    <w:rsid w:val="1D7B16F3"/>
    <w:rsid w:val="1E312DEB"/>
    <w:rsid w:val="1E740ACF"/>
    <w:rsid w:val="1FF35744"/>
    <w:rsid w:val="1FF6BC77"/>
    <w:rsid w:val="2186353C"/>
    <w:rsid w:val="23496510"/>
    <w:rsid w:val="23860B96"/>
    <w:rsid w:val="240371BF"/>
    <w:rsid w:val="244F3473"/>
    <w:rsid w:val="24C97D99"/>
    <w:rsid w:val="25A718F0"/>
    <w:rsid w:val="25BB59F6"/>
    <w:rsid w:val="260F557C"/>
    <w:rsid w:val="264B009B"/>
    <w:rsid w:val="26970054"/>
    <w:rsid w:val="281408E2"/>
    <w:rsid w:val="29FD04D3"/>
    <w:rsid w:val="2BC7079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B36AE6"/>
    <w:rsid w:val="3BF5BC2F"/>
    <w:rsid w:val="3CEBA265"/>
    <w:rsid w:val="3D98207C"/>
    <w:rsid w:val="3DEE7CF3"/>
    <w:rsid w:val="3E740A63"/>
    <w:rsid w:val="3E78745D"/>
    <w:rsid w:val="3EE17838"/>
    <w:rsid w:val="3F55381A"/>
    <w:rsid w:val="3F7F7599"/>
    <w:rsid w:val="3FF4CAE0"/>
    <w:rsid w:val="3FF7B227"/>
    <w:rsid w:val="401C04BD"/>
    <w:rsid w:val="41FB7840"/>
    <w:rsid w:val="44E268DA"/>
    <w:rsid w:val="450D13D7"/>
    <w:rsid w:val="45506656"/>
    <w:rsid w:val="486A6C7A"/>
    <w:rsid w:val="4A627F82"/>
    <w:rsid w:val="4B0E749A"/>
    <w:rsid w:val="4B2477C4"/>
    <w:rsid w:val="4B4F25DA"/>
    <w:rsid w:val="4BE068DB"/>
    <w:rsid w:val="4C0C302C"/>
    <w:rsid w:val="4D144C2C"/>
    <w:rsid w:val="4D2C314A"/>
    <w:rsid w:val="4D577224"/>
    <w:rsid w:val="4DBF1CEB"/>
    <w:rsid w:val="4DF0007C"/>
    <w:rsid w:val="4EAB630A"/>
    <w:rsid w:val="4ECE2238"/>
    <w:rsid w:val="4F833267"/>
    <w:rsid w:val="4FE9BD67"/>
    <w:rsid w:val="4FFB052F"/>
    <w:rsid w:val="52A86329"/>
    <w:rsid w:val="537E6D0A"/>
    <w:rsid w:val="53F74C96"/>
    <w:rsid w:val="55170BA8"/>
    <w:rsid w:val="553218C9"/>
    <w:rsid w:val="567E1AA5"/>
    <w:rsid w:val="56E47B74"/>
    <w:rsid w:val="57175D52"/>
    <w:rsid w:val="57BD3DD4"/>
    <w:rsid w:val="5A374312"/>
    <w:rsid w:val="5AF92295"/>
    <w:rsid w:val="5B250254"/>
    <w:rsid w:val="5BDD79E6"/>
    <w:rsid w:val="5BF561CA"/>
    <w:rsid w:val="5BFF5DFC"/>
    <w:rsid w:val="5CD71FC4"/>
    <w:rsid w:val="5CE6495A"/>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4B64CA"/>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661F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rPr>
      <w:rFonts w:hAnsi="Courier New" w:cs="Courier New"/>
      <w:szCs w:val="21"/>
    </w:rPr>
  </w:style>
  <w:style w:type="paragraph" w:styleId="11">
    <w:name w:val="Balloon Text"/>
    <w:basedOn w:val="1"/>
    <w:link w:val="32"/>
    <w:unhideWhenUsed/>
    <w:qFormat/>
    <w:uiPriority w:val="99"/>
    <w:rPr>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列出段落1"/>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91</Pages>
  <Words>25499</Words>
  <Characters>27038</Characters>
  <Lines>21</Lines>
  <Paragraphs>69</Paragraphs>
  <TotalTime>0</TotalTime>
  <ScaleCrop>false</ScaleCrop>
  <LinksUpToDate>false</LinksUpToDate>
  <CharactersWithSpaces>27088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李阳</cp:lastModifiedBy>
  <cp:lastPrinted>2025-08-06T17:34:00Z</cp:lastPrinted>
  <dcterms:modified xsi:type="dcterms:W3CDTF">2025-11-13T07:22:46Z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696608A409A04EC8B7C0813E20895DB6_13</vt:lpwstr>
  </property>
  <property fmtid="{D5CDD505-2E9C-101B-9397-08002B2CF9AE}" pid="4" name="KSOTemplateDocerSaveRecord">
    <vt:lpwstr>eyJoZGlkIjoiMTAwMmEwYTBmNGMxNDk4Nzc3NmYyNGJhMDVlMTNkNjEiLCJ1c2VySWQiOiI2MDUzMDA3NDQifQ==</vt:lpwstr>
  </property>
</Properties>
</file>