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06267"/>
      <w:bookmarkStart w:id="1" w:name="_Toc15377193"/>
      <w:bookmarkStart w:id="2" w:name="_Toc15378441"/>
      <w:bookmarkStart w:id="3" w:name="_Toc15396475"/>
      <w:bookmarkStart w:id="4" w:name="_Toc15396597"/>
      <w:bookmarkStart w:id="5" w:name="_Toc15377425"/>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盐边钒钛产业开发区管理委员会部门决算公开编制说   明</w:t>
      </w:r>
    </w:p>
    <w:p>
      <w:pPr>
        <w:spacing w:line="600" w:lineRule="exact"/>
        <w:jc w:val="center"/>
        <w:outlineLvl w:val="0"/>
        <w:rPr>
          <w:rFonts w:eastAsia="方正小标宋简体"/>
          <w:sz w:val="72"/>
          <w:szCs w:val="72"/>
        </w:rPr>
      </w:pPr>
    </w:p>
    <w:p>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公开时间：2025年10月28日</w:t>
      </w:r>
    </w:p>
    <w:p>
      <w:pPr>
        <w:rPr>
          <w:rFonts w:hint="default" w:ascii="Times New Roman" w:hAnsi="Times New Roman" w:cs="Times New Roman"/>
        </w:rPr>
      </w:pPr>
    </w:p>
    <w:p>
      <w:pPr>
        <w:pStyle w:val="13"/>
        <w:adjustRightInd w:val="0"/>
        <w:snapToGrid w:val="0"/>
        <w:spacing w:before="0" w:line="560" w:lineRule="exact"/>
        <w:jc w:val="left"/>
        <w:rPr>
          <w:rFonts w:hint="default" w:ascii="Times New Roman" w:hAnsi="Times New Roman" w:eastAsia="方正小标宋简体" w:cs="Times New Roman"/>
          <w:sz w:val="72"/>
          <w:szCs w:val="72"/>
        </w:rPr>
      </w:pPr>
      <w:r>
        <w:rPr>
          <w:rFonts w:hint="default" w:ascii="Times New Roman" w:hAnsi="Times New Roman" w:eastAsia="黑体" w:cs="Times New Roman"/>
          <w:sz w:val="32"/>
          <w:szCs w:val="32"/>
        </w:rPr>
        <w:t>第一部分 部门概况</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一、部门职责</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二、机构设置</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 xml:space="preserve">                                   </w:t>
      </w:r>
    </w:p>
    <w:p>
      <w:pPr>
        <w:pStyle w:val="13"/>
        <w:adjustRightInd w:val="0"/>
        <w:snapToGrid w:val="0"/>
        <w:spacing w:before="0" w:line="560" w:lineRule="exact"/>
        <w:jc w:val="left"/>
        <w:rPr>
          <w:rFonts w:hint="default" w:ascii="Times New Roman" w:hAnsi="Times New Roman" w:eastAsia="黑体" w:cs="Times New Roman"/>
        </w:rPr>
      </w:pPr>
      <w:r>
        <w:rPr>
          <w:rFonts w:hint="default" w:ascii="Times New Roman" w:hAnsi="Times New Roman" w:eastAsia="黑体" w:cs="Times New Roman"/>
          <w:sz w:val="32"/>
          <w:szCs w:val="32"/>
        </w:rPr>
        <w:t>第二部分 2024年度部门决算情况说明</w:t>
      </w: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 xml:space="preserve">一、收入支出决算总体情况说明 </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三、支出决算情况说明</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四、财政拨款收入支出决算总体情况说明</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五、一般公共预算财政拨款支出决算情况说明</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六、一般公共预算财政拨款基本支出决算情况说明</w:t>
      </w:r>
      <w:r>
        <w:rPr>
          <w:rFonts w:hint="eastAsia" w:eastAsia="仿宋_GB2312" w:cs="Times New Roman"/>
          <w:sz w:val="32"/>
          <w:szCs w:val="32"/>
          <w:lang w:val="en-US" w:eastAsia="zh-CN"/>
        </w:rPr>
        <w:t>.....11</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七、财政拨款“三公”经费支出决算情况说明</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八、政府性基金预算支出决算情况说明</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九、国有资本经营预算支出决算情况说明</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28"/>
          <w:szCs w:val="28"/>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十、其他重要事项的情况说明</w:t>
      </w:r>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 xml:space="preserve">                     </w:t>
      </w:r>
    </w:p>
    <w:p>
      <w:pPr>
        <w:pStyle w:val="13"/>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第三部分 名词解释</w:t>
      </w:r>
      <w:r>
        <w:rPr>
          <w:rFonts w:hint="eastAsia" w:ascii="Times New Roman" w:hAnsi="Times New Roman" w:eastAsia="黑体" w:cs="Times New Roman"/>
          <w:sz w:val="32"/>
          <w:szCs w:val="32"/>
          <w:lang w:val="en-US" w:eastAsia="zh-CN"/>
        </w:rPr>
        <w:t>.................................................................18</w:t>
      </w:r>
      <w:r>
        <w:rPr>
          <w:rFonts w:hint="default" w:ascii="Times New Roman" w:hAnsi="Times New Roman" w:eastAsia="黑体" w:cs="Times New Roman"/>
          <w:sz w:val="32"/>
          <w:szCs w:val="32"/>
        </w:rPr>
        <w:t xml:space="preserve">                                 </w:t>
      </w:r>
    </w:p>
    <w:p>
      <w:pPr>
        <w:pStyle w:val="13"/>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附件</w:t>
      </w:r>
      <w:r>
        <w:rPr>
          <w:rFonts w:hint="eastAsia" w:ascii="Times New Roman" w:hAnsi="Times New Roman" w:eastAsia="黑体" w:cs="Times New Roman"/>
          <w:sz w:val="32"/>
          <w:szCs w:val="32"/>
          <w:lang w:val="en-US" w:eastAsia="zh-CN"/>
        </w:rPr>
        <w:t>.........................................................................22</w:t>
      </w:r>
      <w:r>
        <w:rPr>
          <w:rFonts w:hint="default" w:ascii="Times New Roman" w:hAnsi="Times New Roman" w:eastAsia="黑体" w:cs="Times New Roman"/>
          <w:sz w:val="32"/>
          <w:szCs w:val="32"/>
        </w:rPr>
        <w:t xml:space="preserve">                                     </w:t>
      </w:r>
    </w:p>
    <w:p>
      <w:pPr>
        <w:pStyle w:val="13"/>
        <w:adjustRightInd w:val="0"/>
        <w:snapToGrid w:val="0"/>
        <w:spacing w:before="0" w:line="5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第五部分 附表</w:t>
      </w:r>
      <w:r>
        <w:rPr>
          <w:rFonts w:hint="eastAsia" w:ascii="Times New Roman" w:hAnsi="Times New Roman" w:eastAsia="黑体" w:cs="Times New Roman"/>
          <w:sz w:val="32"/>
          <w:szCs w:val="32"/>
          <w:lang w:val="en-US" w:eastAsia="zh-CN"/>
        </w:rPr>
        <w:t>.........................................................................48</w:t>
      </w:r>
      <w:r>
        <w:rPr>
          <w:rFonts w:hint="default" w:ascii="Times New Roman" w:hAnsi="Times New Roman" w:eastAsia="黑体"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一、收入支出决算总表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二、收入决算表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三、支出决算表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六、一般公共预算财政拨款支出决算表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七、一般公共预算财政拨款支出决算明细表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九、一般公共预算财政拨款项目支出决算表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十、政府性基金预算财政拨款收入支出决算表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十一、国有资本经营预算财政拨款收入支出决算表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十二、国有资本经营预算财政拨款支出决算表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pStyle w:val="15"/>
        <w:adjustRightInd w:val="0"/>
        <w:snapToGrid w:val="0"/>
        <w:spacing w:line="560" w:lineRule="exact"/>
        <w:ind w:left="0" w:leftChars="0" w:firstLine="640" w:firstLineChars="200"/>
        <w:jc w:val="left"/>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十三、财政拨款“三公”经费支出决算表</w:t>
      </w:r>
      <w:r>
        <w:rPr>
          <w:rFonts w:hint="eastAsia" w:eastAsia="仿宋_GB2312" w:cs="Times New Roman"/>
          <w:sz w:val="32"/>
          <w:szCs w:val="32"/>
          <w:lang w:val="en-US" w:eastAsia="zh-CN"/>
        </w:rPr>
        <w:t>..........................48</w:t>
      </w:r>
      <w:r>
        <w:rPr>
          <w:rFonts w:hint="default" w:ascii="Times New Roman" w:hAnsi="Times New Roman" w:eastAsia="仿宋_GB2312" w:cs="Times New Roman"/>
          <w:sz w:val="32"/>
          <w:szCs w:val="32"/>
        </w:rPr>
        <w:t xml:space="preserve">             </w:t>
      </w:r>
    </w:p>
    <w:p>
      <w:pPr>
        <w:widowControl/>
        <w:spacing w:line="560" w:lineRule="exact"/>
        <w:jc w:val="left"/>
        <w:rPr>
          <w:rFonts w:hint="default" w:ascii="Times New Roman" w:hAnsi="Times New Roman" w:eastAsia="仿宋_GB2312" w:cs="Times New Roman"/>
          <w:bCs/>
          <w:kern w:val="44"/>
          <w:sz w:val="32"/>
          <w:szCs w:val="32"/>
        </w:rPr>
      </w:pPr>
      <w:bookmarkStart w:id="6" w:name="_Toc15377196"/>
      <w:bookmarkStart w:id="7" w:name="_Toc15396599"/>
      <w:r>
        <w:rPr>
          <w:rFonts w:hint="default" w:ascii="Times New Roman" w:hAnsi="Times New Roman" w:eastAsia="仿宋_GB2312" w:cs="Times New Roman"/>
          <w:b/>
          <w:sz w:val="32"/>
          <w:szCs w:val="32"/>
        </w:rPr>
        <w:br w:type="page"/>
      </w:r>
    </w:p>
    <w:p>
      <w:pPr>
        <w:pStyle w:val="3"/>
        <w:jc w:val="center"/>
        <w:rPr>
          <w:rStyle w:val="28"/>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部门概况</w:t>
      </w:r>
      <w:bookmarkEnd w:id="6"/>
      <w:bookmarkEnd w:id="7"/>
    </w:p>
    <w:p>
      <w:pPr>
        <w:pStyle w:val="15"/>
        <w:adjustRightInd w:val="0"/>
        <w:snapToGrid w:val="0"/>
        <w:spacing w:line="560" w:lineRule="exact"/>
        <w:ind w:left="0" w:leftChars="0" w:firstLine="643" w:firstLineChars="200"/>
        <w:jc w:val="left"/>
        <w:rPr>
          <w:rFonts w:hint="default" w:ascii="Times New Roman" w:hAnsi="Times New Roman" w:eastAsia="仿宋_GB2312" w:cs="Times New Roman"/>
          <w:b/>
          <w:bCs/>
          <w:sz w:val="32"/>
          <w:szCs w:val="32"/>
        </w:rPr>
      </w:pPr>
      <w:bookmarkStart w:id="8" w:name="_Toc15377197"/>
      <w:bookmarkStart w:id="9" w:name="_Toc15396600"/>
      <w:r>
        <w:rPr>
          <w:rFonts w:hint="default" w:ascii="Times New Roman" w:hAnsi="Times New Roman" w:eastAsia="仿宋_GB2312" w:cs="Times New Roman"/>
          <w:b/>
          <w:bCs/>
          <w:sz w:val="32"/>
          <w:szCs w:val="32"/>
        </w:rPr>
        <w:t>一、</w:t>
      </w:r>
      <w:bookmarkEnd w:id="8"/>
      <w:bookmarkEnd w:id="9"/>
      <w:r>
        <w:rPr>
          <w:rFonts w:hint="default" w:ascii="Times New Roman" w:hAnsi="Times New Roman" w:eastAsia="仿宋_GB2312" w:cs="Times New Roman"/>
          <w:b/>
          <w:bCs/>
          <w:sz w:val="32"/>
          <w:szCs w:val="32"/>
        </w:rPr>
        <w:t>部门职责</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机关和所属事业单位财政预算、决算的编制和管理工作；负责组织协调税收、非税收入征管和税收政策的落实工作；负责项目纪检监察、审计等工作；负责劳动服务和劳动纠纷调剂等工作；负责党建、意识形态、党风廉政建设、精神文明建设、群团、统一战线等相关工作。</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项目建设的方案、初步设计、施工图设计、概算及预结算管理；负责管理区域内自然资源综合开发利用和国土空间生态修复，组织实施最严格的耕地保护制度；负责地质灾害防治及矿产资源管理等工作；负责宣传贯彻落实国家、省、市征地拆迁安置补偿法律、法规和相关政策；负责园林绿化、市政基础设施管护。</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建设项目的统筹管理，负责建设手续办理的“一站式”服务工作；负责编制开发区产业项目征地拆迁工作计划、实施方案和资金计划；负责产业项目的协调服务、推进等工作；负责开发区营商环境和社会信用体系建设；负责经济管理、固定资产投资等相关工作。</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安全生产（含危险化学品安全）的综合监督管理、配合做好职业健康工作；负责环境保护法律法规政策宣传，指导辖区内企业事业单位落实环境保护法律法规和政策措施；负责辖区内环境隐患的排查和治理，实施网格化管理。</w:t>
      </w:r>
    </w:p>
    <w:p>
      <w:pPr>
        <w:pStyle w:val="15"/>
        <w:adjustRightInd w:val="0"/>
        <w:snapToGrid w:val="0"/>
        <w:spacing w:line="560" w:lineRule="exact"/>
        <w:ind w:left="0" w:leftChars="0" w:firstLine="643" w:firstLineChars="200"/>
        <w:jc w:val="left"/>
        <w:rPr>
          <w:rFonts w:hint="default" w:ascii="Times New Roman" w:hAnsi="Times New Roman" w:eastAsia="仿宋_GB2312" w:cs="Times New Roman"/>
          <w:b/>
          <w:bCs/>
          <w:sz w:val="32"/>
          <w:szCs w:val="32"/>
        </w:rPr>
      </w:pPr>
      <w:bookmarkStart w:id="10" w:name="_Toc15377200"/>
      <w:bookmarkStart w:id="11" w:name="_Toc15396601"/>
      <w:r>
        <w:rPr>
          <w:rFonts w:hint="default" w:ascii="Times New Roman" w:hAnsi="Times New Roman" w:eastAsia="仿宋_GB2312" w:cs="Times New Roman"/>
          <w:b/>
          <w:bCs/>
          <w:sz w:val="32"/>
          <w:szCs w:val="32"/>
        </w:rPr>
        <w:t>二、机构设置</w:t>
      </w:r>
      <w:bookmarkEnd w:id="10"/>
      <w:bookmarkEnd w:id="11"/>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盐边钒钛产业开发区管理委员会下属二级预算单位0个，其中行政单位0个，参照公务员法管理的事业单位0个，其他事业单位0个。</w:t>
      </w:r>
    </w:p>
    <w:p>
      <w:pPr>
        <w:pStyle w:val="15"/>
        <w:adjustRightInd w:val="0"/>
        <w:snapToGrid w:val="0"/>
        <w:spacing w:line="560" w:lineRule="exact"/>
        <w:ind w:left="0" w:leftChars="0" w:firstLine="640" w:firstLineChars="200"/>
        <w:jc w:val="left"/>
        <w:rPr>
          <w:rFonts w:hint="default" w:ascii="Times New Roman" w:hAnsi="Times New Roman" w:eastAsia="仿宋_GB2312" w:cs="Times New Roman"/>
          <w:sz w:val="32"/>
          <w:szCs w:val="32"/>
        </w:rPr>
      </w:pPr>
    </w:p>
    <w:p>
      <w:pPr>
        <w:pStyle w:val="3"/>
        <w:jc w:val="center"/>
        <w:rPr>
          <w:rFonts w:hint="default" w:ascii="Times New Roman" w:hAnsi="Times New Roman" w:cs="Times New Roman"/>
        </w:rPr>
      </w:pPr>
      <w:bookmarkStart w:id="12" w:name="_Toc15377204"/>
      <w:bookmarkStart w:id="13" w:name="_Toc15396602"/>
      <w:bookmarkStart w:id="14" w:name="_Toc15396614"/>
      <w:bookmarkStart w:id="15" w:name="_Toc15377226"/>
      <w:r>
        <w:rPr>
          <w:rFonts w:hint="default" w:ascii="Times New Roman" w:hAnsi="Times New Roman" w:eastAsia="方正小标宋简体" w:cs="Times New Roman"/>
          <w:b w:val="0"/>
        </w:rPr>
        <w:t>第二部分  2024年度部门决算情况说明</w:t>
      </w:r>
      <w:bookmarkEnd w:id="12"/>
      <w:bookmarkEnd w:id="13"/>
    </w:p>
    <w:p>
      <w:pPr>
        <w:pStyle w:val="27"/>
        <w:spacing w:line="600" w:lineRule="exact"/>
        <w:ind w:firstLine="640"/>
        <w:outlineLvl w:val="1"/>
        <w:rPr>
          <w:rStyle w:val="29"/>
          <w:rFonts w:hint="default" w:ascii="Times New Roman" w:hAnsi="Times New Roman" w:eastAsia="黑体" w:cs="Times New Roman"/>
          <w:b w:val="0"/>
        </w:rPr>
      </w:pPr>
      <w:bookmarkStart w:id="16" w:name="_Toc15396603"/>
      <w:bookmarkStart w:id="17" w:name="_Toc15377205"/>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16"/>
      <w:bookmarkEnd w:id="17"/>
    </w:p>
    <w:p>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2024年度收入、支出总计均为12451.71万元。与2023年度相比，收入、支出总计各减少23756.9万元，下降65.61%。主要变动原因是减少了盐边钒钛产业开发区钛材加工园基础设施建设项目二期工程项目款。</w:t>
      </w:r>
    </w:p>
    <w:p>
      <w:pPr>
        <w:pStyle w:val="27"/>
        <w:spacing w:line="600" w:lineRule="exact"/>
        <w:ind w:firstLine="64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428625</wp:posOffset>
            </wp:positionH>
            <wp:positionV relativeFrom="paragraph">
              <wp:posOffset>332740</wp:posOffset>
            </wp:positionV>
            <wp:extent cx="4838700" cy="3019425"/>
            <wp:effectExtent l="19050" t="0" r="19050" b="0"/>
            <wp:wrapSquare wrapText="bothSides"/>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pStyle w:val="27"/>
        <w:spacing w:line="600" w:lineRule="exact"/>
        <w:ind w:firstLine="640"/>
        <w:outlineLvl w:val="1"/>
        <w:rPr>
          <w:rFonts w:hint="default" w:ascii="Times New Roman" w:hAnsi="Times New Roman" w:eastAsia="黑体" w:cs="Times New Roman"/>
          <w:sz w:val="32"/>
          <w:szCs w:val="32"/>
        </w:rPr>
      </w:pPr>
      <w:bookmarkStart w:id="18" w:name="_Toc15396604"/>
      <w:bookmarkStart w:id="19" w:name="_Toc15377206"/>
      <w:r>
        <w:rPr>
          <w:rFonts w:hint="default" w:ascii="Times New Roman" w:hAnsi="Times New Roman" w:eastAsia="黑体" w:cs="Times New Roman"/>
          <w:sz w:val="32"/>
          <w:szCs w:val="32"/>
        </w:rPr>
        <w:t>二、收入决算情况说明</w:t>
      </w:r>
      <w:bookmarkEnd w:id="18"/>
      <w:bookmarkEnd w:id="19"/>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12388.27万元，其中：一般公共预算财政拨款收入2452.43万元，占19.8%；政府性基金预算财政拨款收入9935.84万元，占80.2%；国有资本经营预算财政拨款收入0万元，占0%；上级补助收入0万元，占0%；事业收入0万元，占0%；经营收入0万元，占0%；附属单位上缴收入0万元，占0%；其他收入0万元，占0%。</w:t>
      </w:r>
    </w:p>
    <w:p>
      <w:pPr>
        <w:pStyle w:val="27"/>
        <w:spacing w:line="600" w:lineRule="exact"/>
        <w:ind w:firstLine="640"/>
        <w:jc w:val="left"/>
        <w:outlineLvl w:val="1"/>
        <w:rPr>
          <w:rFonts w:hint="default" w:ascii="Times New Roman" w:hAnsi="Times New Roman" w:eastAsia="仿宋_GB2312" w:cs="Times New Roman"/>
          <w:sz w:val="32"/>
          <w:szCs w:val="32"/>
        </w:rPr>
      </w:pPr>
    </w:p>
    <w:p>
      <w:pPr>
        <w:pStyle w:val="27"/>
        <w:spacing w:line="600" w:lineRule="exact"/>
        <w:ind w:firstLine="640"/>
        <w:jc w:val="left"/>
        <w:outlineLvl w:val="1"/>
        <w:rPr>
          <w:rStyle w:val="29"/>
          <w:rFonts w:hint="default" w:ascii="Times New Roman" w:hAnsi="Times New Roman" w:eastAsia="黑体" w:cs="Times New Roman"/>
          <w:b w:val="0"/>
        </w:rPr>
      </w:pPr>
      <w:r>
        <w:rPr>
          <w:rFonts w:hint="default" w:ascii="Times New Roman" w:hAnsi="Times New Roman" w:eastAsia="仿宋_GB2312" w:cs="Times New Roman"/>
          <w:b/>
          <w:bCs/>
          <w:sz w:val="32"/>
          <w:szCs w:val="32"/>
        </w:rPr>
        <w:drawing>
          <wp:anchor distT="0" distB="0" distL="114300" distR="114300" simplePos="0" relativeHeight="251660288" behindDoc="0" locked="0" layoutInCell="1" allowOverlap="1">
            <wp:simplePos x="0" y="0"/>
            <wp:positionH relativeFrom="column">
              <wp:posOffset>-180975</wp:posOffset>
            </wp:positionH>
            <wp:positionV relativeFrom="paragraph">
              <wp:posOffset>675005</wp:posOffset>
            </wp:positionV>
            <wp:extent cx="5219700" cy="3020060"/>
            <wp:effectExtent l="19050" t="0" r="0" b="0"/>
            <wp:wrapSquare wrapText="bothSides"/>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9"/>
                    <a:srcRect/>
                    <a:stretch>
                      <a:fillRect/>
                    </a:stretch>
                  </pic:blipFill>
                  <pic:spPr>
                    <a:xfrm>
                      <a:off x="0" y="0"/>
                      <a:ext cx="5219700" cy="3020060"/>
                    </a:xfrm>
                    <a:prstGeom prst="rect">
                      <a:avLst/>
                    </a:prstGeom>
                    <a:noFill/>
                  </pic:spPr>
                </pic:pic>
              </a:graphicData>
            </a:graphic>
          </wp:anchor>
        </w:drawing>
      </w:r>
      <w:bookmarkStart w:id="20" w:name="_Toc15377207"/>
      <w:bookmarkStart w:id="21" w:name="_Toc15396605"/>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20"/>
      <w:bookmarkEnd w:id="21"/>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2024年度本年支出合计12451.71万元，其中：基本支出486.27万元，占3.9%；项目支出11965.44万元，占96.1%；上缴上级支出0万元，占0%；经营支出0万元，占0%；对附属单位补助支出0万元，占0%。</w:t>
      </w:r>
    </w:p>
    <w:p>
      <w:pPr>
        <w:pStyle w:val="27"/>
        <w:spacing w:line="600" w:lineRule="exact"/>
        <w:ind w:firstLine="640"/>
        <w:jc w:val="left"/>
        <w:outlineLvl w:val="1"/>
        <w:rPr>
          <w:rFonts w:hint="default" w:ascii="Times New Roman" w:hAnsi="Times New Roman" w:eastAsia="仿宋_GB2312" w:cs="Times New Roman"/>
          <w:sz w:val="32"/>
          <w:szCs w:val="32"/>
        </w:rPr>
      </w:pPr>
    </w:p>
    <w:p>
      <w:pPr>
        <w:pStyle w:val="27"/>
        <w:spacing w:line="600" w:lineRule="exact"/>
        <w:ind w:firstLine="64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column">
              <wp:posOffset>-114300</wp:posOffset>
            </wp:positionH>
            <wp:positionV relativeFrom="paragraph">
              <wp:posOffset>495300</wp:posOffset>
            </wp:positionV>
            <wp:extent cx="5424170" cy="3943350"/>
            <wp:effectExtent l="19050" t="0" r="5080" b="0"/>
            <wp:wrapTight wrapText="bothSides">
              <wp:wrapPolygon>
                <wp:start x="-76" y="0"/>
                <wp:lineTo x="-76" y="21496"/>
                <wp:lineTo x="21620" y="21496"/>
                <wp:lineTo x="21620" y="0"/>
                <wp:lineTo x="-76" y="0"/>
              </wp:wrapPolygon>
            </wp:wrapTight>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noChangeArrowheads="1"/>
                    </pic:cNvPicPr>
                  </pic:nvPicPr>
                  <pic:blipFill>
                    <a:blip r:embed="rId10"/>
                    <a:srcRect/>
                    <a:stretch>
                      <a:fillRect/>
                    </a:stretch>
                  </pic:blipFill>
                  <pic:spPr>
                    <a:xfrm>
                      <a:off x="0" y="0"/>
                      <a:ext cx="5424170" cy="3943350"/>
                    </a:xfrm>
                    <a:prstGeom prst="rect">
                      <a:avLst/>
                    </a:prstGeom>
                    <a:noFill/>
                  </pic:spPr>
                </pic:pic>
              </a:graphicData>
            </a:graphic>
          </wp:anchor>
        </w:drawing>
      </w:r>
    </w:p>
    <w:p>
      <w:pPr>
        <w:ind w:firstLine="800" w:firstLineChars="250"/>
        <w:rPr>
          <w:rFonts w:hint="default" w:ascii="Times New Roman" w:hAnsi="Times New Roman" w:eastAsia="仿宋_GB2312" w:cs="Times New Roman"/>
          <w:sz w:val="32"/>
          <w:szCs w:val="32"/>
        </w:rPr>
      </w:pPr>
    </w:p>
    <w:p>
      <w:pPr>
        <w:spacing w:line="600" w:lineRule="exact"/>
        <w:ind w:firstLine="640" w:firstLineChars="200"/>
        <w:outlineLvl w:val="1"/>
        <w:rPr>
          <w:rStyle w:val="29"/>
          <w:rFonts w:hint="default" w:ascii="Times New Roman" w:hAnsi="Times New Roman" w:eastAsia="黑体" w:cs="Times New Roman"/>
          <w:b w:val="0"/>
        </w:rPr>
      </w:pPr>
      <w:bookmarkStart w:id="22" w:name="_Toc15377208"/>
      <w:bookmarkStart w:id="23" w:name="_Toc15396606"/>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2"/>
      <w:bookmarkEnd w:id="23"/>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12451.71万元。与2023年度相比，财政拨款收入总计、支出总计各减少23756.9万元，下降65.61%。主要变动原因是减少了盐边钒钛产业开发区钛材加工园基础设施建设项目二期工程项目款</w:t>
      </w:r>
    </w:p>
    <w:p>
      <w:pPr>
        <w:pStyle w:val="14"/>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581025</wp:posOffset>
            </wp:positionH>
            <wp:positionV relativeFrom="paragraph">
              <wp:posOffset>361950</wp:posOffset>
            </wp:positionV>
            <wp:extent cx="4610100" cy="3105150"/>
            <wp:effectExtent l="19050" t="0" r="19050" b="0"/>
            <wp:wrapSquare wrapText="bothSides"/>
            <wp:docPr id="2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spacing w:line="600" w:lineRule="exact"/>
        <w:ind w:firstLine="640" w:firstLineChars="200"/>
        <w:outlineLvl w:val="1"/>
        <w:rPr>
          <w:rFonts w:hint="default" w:ascii="Times New Roman" w:hAnsi="Times New Roman" w:eastAsia="黑体" w:cs="Times New Roman"/>
          <w:sz w:val="32"/>
          <w:szCs w:val="32"/>
        </w:rPr>
      </w:pPr>
      <w:bookmarkStart w:id="24" w:name="_Toc15377209"/>
      <w:bookmarkStart w:id="25" w:name="_Toc15396607"/>
    </w:p>
    <w:p>
      <w:pPr>
        <w:spacing w:line="600" w:lineRule="exact"/>
        <w:ind w:firstLine="640" w:firstLineChars="200"/>
        <w:outlineLvl w:val="1"/>
        <w:rPr>
          <w:rFonts w:hint="default" w:ascii="Times New Roman" w:hAnsi="Times New Roman" w:eastAsia="黑体" w:cs="Times New Roman"/>
          <w:sz w:val="32"/>
          <w:szCs w:val="32"/>
        </w:rPr>
      </w:pPr>
    </w:p>
    <w:p>
      <w:pPr>
        <w:spacing w:line="600" w:lineRule="exact"/>
        <w:ind w:firstLine="640" w:firstLineChars="200"/>
        <w:outlineLvl w:val="1"/>
        <w:rPr>
          <w:rFonts w:hint="default" w:ascii="Times New Roman" w:hAnsi="Times New Roman" w:eastAsia="黑体" w:cs="Times New Roman"/>
          <w:sz w:val="32"/>
          <w:szCs w:val="32"/>
        </w:rPr>
      </w:pPr>
    </w:p>
    <w:p>
      <w:pPr>
        <w:spacing w:line="600" w:lineRule="exact"/>
        <w:ind w:firstLine="640" w:firstLineChars="200"/>
        <w:outlineLvl w:val="1"/>
        <w:rPr>
          <w:rStyle w:val="29"/>
          <w:rFonts w:hint="default" w:ascii="Times New Roman" w:hAnsi="Times New Roman" w:eastAsia="黑体" w:cs="Times New Roman"/>
          <w:b w:val="0"/>
        </w:rPr>
      </w:pPr>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24"/>
      <w:bookmarkEnd w:id="25"/>
    </w:p>
    <w:p>
      <w:pPr>
        <w:spacing w:line="600" w:lineRule="exact"/>
        <w:ind w:firstLine="643" w:firstLineChars="200"/>
        <w:outlineLvl w:val="2"/>
        <w:rPr>
          <w:rFonts w:hint="default" w:ascii="Times New Roman" w:hAnsi="Times New Roman" w:eastAsia="楷体_GB2312" w:cs="Times New Roman"/>
          <w:b/>
          <w:sz w:val="32"/>
          <w:szCs w:val="32"/>
        </w:rPr>
      </w:pPr>
      <w:bookmarkStart w:id="26" w:name="_Toc15377210"/>
      <w:r>
        <w:rPr>
          <w:rFonts w:hint="default" w:ascii="Times New Roman" w:hAnsi="Times New Roman" w:eastAsia="楷体_GB2312" w:cs="Times New Roman"/>
          <w:b/>
          <w:sz w:val="32"/>
          <w:szCs w:val="32"/>
        </w:rPr>
        <w:t>（一）一般公共预算财政拨款支出决算总体情况</w:t>
      </w:r>
      <w:bookmarkEnd w:id="2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2024年度一般公共预算财政拨款支出2515.87万元，占本年支出合计的20.21%。与2023年度相比，一般公共预算财政拨款支出增加107.26万元，增长4.45%。主要变动原因是增加了人员经费等支出。</w:t>
      </w:r>
    </w:p>
    <w:p>
      <w:pPr>
        <w:pStyle w:val="14"/>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638675" cy="2619375"/>
            <wp:effectExtent l="19050" t="0" r="9525" b="0"/>
            <wp:docPr id="24"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hint="default" w:ascii="Times New Roman" w:hAnsi="Times New Roman" w:eastAsia="仿宋_GB2312" w:cs="Times New Roman"/>
          <w:sz w:val="32"/>
          <w:szCs w:val="32"/>
        </w:rPr>
      </w:pPr>
    </w:p>
    <w:p>
      <w:pPr>
        <w:spacing w:line="600" w:lineRule="exact"/>
        <w:ind w:firstLine="643" w:firstLineChars="200"/>
        <w:outlineLvl w:val="2"/>
        <w:rPr>
          <w:rFonts w:hint="default" w:ascii="Times New Roman" w:hAnsi="Times New Roman" w:eastAsia="楷体_GB2312" w:cs="Times New Roman"/>
          <w:b/>
          <w:sz w:val="32"/>
          <w:szCs w:val="32"/>
        </w:rPr>
      </w:pPr>
      <w:bookmarkStart w:id="27" w:name="_Toc15377211"/>
      <w:r>
        <w:rPr>
          <w:rFonts w:hint="default" w:ascii="Times New Roman" w:hAnsi="Times New Roman" w:eastAsia="楷体_GB2312" w:cs="Times New Roman"/>
          <w:b/>
          <w:sz w:val="32"/>
          <w:szCs w:val="32"/>
        </w:rPr>
        <w:t>（二）一般公共预算财政拨款支出决算结构情况</w:t>
      </w:r>
      <w:bookmarkEnd w:id="27"/>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2515.87万元，主要用于以下方面：一般公共服务支出2165.6万元，占86.08%；教育支出0万元，占0%；科学技术支出0万元，占0%；文化旅游体育与传媒支出0万元，占0%；社会保障和就业支出67.04万元，占13%；卫生健康支出37.89万元，占1.51%；节能环保支出67.95万元，占2.7%；农林水支出70万元，占2.78%；交通运输支出8.8万元，占0.35%；资源勘探工业信息等支出63.44万元，占2.52%；住房保障支出35.15万元，占1.4%。</w:t>
      </w: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r>
        <w:rPr>
          <w:rFonts w:hint="default" w:ascii="Times New Roman" w:hAnsi="Times New Roman" w:cs="Times New Roman"/>
        </w:rPr>
        <w:drawing>
          <wp:inline distT="0" distB="0" distL="0" distR="0">
            <wp:extent cx="4581525" cy="3648075"/>
            <wp:effectExtent l="19050" t="0" r="9525" b="0"/>
            <wp:docPr id="26"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default" w:ascii="Times New Roman" w:hAnsi="Times New Roman" w:eastAsia="仿宋_GB2312" w:cs="Times New Roman"/>
          <w:sz w:val="32"/>
          <w:szCs w:val="32"/>
        </w:rPr>
      </w:pPr>
    </w:p>
    <w:p>
      <w:pPr>
        <w:spacing w:line="600" w:lineRule="exact"/>
        <w:ind w:firstLine="643" w:firstLineChars="200"/>
        <w:outlineLvl w:val="2"/>
        <w:rPr>
          <w:rFonts w:hint="default" w:ascii="Times New Roman" w:hAnsi="Times New Roman" w:eastAsia="楷体_GB2312" w:cs="Times New Roman"/>
          <w:b/>
          <w:sz w:val="32"/>
          <w:szCs w:val="32"/>
        </w:rPr>
      </w:pPr>
      <w:bookmarkStart w:id="28" w:name="_Toc15377212"/>
      <w:r>
        <w:rPr>
          <w:rFonts w:hint="default" w:ascii="Times New Roman" w:hAnsi="Times New Roman" w:eastAsia="楷体_GB2312" w:cs="Times New Roman"/>
          <w:b/>
          <w:sz w:val="32"/>
          <w:szCs w:val="32"/>
        </w:rPr>
        <w:t>（三）一般公共预算财政拨款支出决算具体情况</w:t>
      </w:r>
      <w:bookmarkEnd w:id="28"/>
    </w:p>
    <w:p>
      <w:pPr>
        <w:spacing w:line="600" w:lineRule="exact"/>
        <w:ind w:firstLine="640"/>
        <w:rPr>
          <w:rFonts w:hint="default" w:ascii="Times New Roman" w:hAnsi="Times New Roman" w:eastAsia="仿宋_GB2312" w:cs="Times New Roman"/>
          <w:sz w:val="32"/>
          <w:szCs w:val="32"/>
        </w:rPr>
      </w:pPr>
      <w:bookmarkStart w:id="29" w:name="_Toc15378460"/>
      <w:bookmarkStart w:id="30" w:name="_Toc15377444"/>
      <w:bookmarkStart w:id="31" w:name="_Toc15377213"/>
      <w:r>
        <w:rPr>
          <w:rFonts w:hint="default" w:ascii="Times New Roman" w:hAnsi="Times New Roman" w:eastAsia="仿宋_GB2312" w:cs="Times New Roman"/>
          <w:sz w:val="32"/>
          <w:szCs w:val="32"/>
        </w:rPr>
        <w:t>2024年度一般公共预算财政拨款支出决算数为2515.87万元，完成预算100%。其中：</w:t>
      </w:r>
      <w:bookmarkEnd w:id="29"/>
      <w:bookmarkEnd w:id="30"/>
      <w:bookmarkEnd w:id="31"/>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w:t>
      </w:r>
      <w:r>
        <w:rPr>
          <w:rFonts w:hint="default" w:ascii="Times New Roman" w:hAnsi="Times New Roman" w:eastAsia="仿宋_GB2312" w:cs="Times New Roman"/>
          <w:kern w:val="0"/>
          <w:sz w:val="32"/>
          <w:szCs w:val="32"/>
        </w:rPr>
        <w:t>政府办公厅（室）及相关机构事务</w:t>
      </w:r>
      <w:r>
        <w:rPr>
          <w:rFonts w:hint="default" w:ascii="Times New Roman" w:hAnsi="Times New Roman" w:eastAsia="仿宋_GB2312" w:cs="Times New Roman"/>
          <w:sz w:val="32"/>
          <w:szCs w:val="32"/>
        </w:rPr>
        <w:t>（款）行政运行（项）：支出决算为154.74万元，完成预算100%，决算数与预算数持平。</w:t>
      </w:r>
    </w:p>
    <w:p>
      <w:pPr>
        <w:pStyle w:val="6"/>
        <w:spacing w:before="93"/>
        <w:ind w:firstLine="660"/>
        <w:rPr>
          <w:rFonts w:hint="default" w:ascii="Times New Roman" w:hAnsi="Times New Roman" w:cs="Times New Roman"/>
          <w:sz w:val="32"/>
          <w:szCs w:val="32"/>
        </w:rPr>
      </w:pPr>
      <w:r>
        <w:rPr>
          <w:rFonts w:hint="default" w:ascii="Times New Roman" w:hAnsi="Times New Roman" w:cs="Times New Roman"/>
          <w:sz w:val="32"/>
          <w:szCs w:val="32"/>
        </w:rPr>
        <w:t>2.一般公共服务（类）政府办公厅（室 ）及相关机构事务（款）事业运行（项）：支出决算为191.44万元，完成预算100%，决算数与预算数持平。</w:t>
      </w:r>
    </w:p>
    <w:p>
      <w:pPr>
        <w:pStyle w:val="6"/>
        <w:spacing w:before="93"/>
        <w:ind w:firstLine="660"/>
        <w:rPr>
          <w:rFonts w:hint="default" w:ascii="Times New Roman" w:hAnsi="Times New Roman" w:cs="Times New Roman"/>
          <w:sz w:val="32"/>
          <w:szCs w:val="32"/>
        </w:rPr>
      </w:pPr>
      <w:r>
        <w:rPr>
          <w:rFonts w:hint="default" w:ascii="Times New Roman" w:hAnsi="Times New Roman" w:cs="Times New Roman"/>
          <w:sz w:val="32"/>
          <w:szCs w:val="32"/>
        </w:rPr>
        <w:t>3.一般公共服务（类）政府办公厅（室）及相关机构事务（款）其他政府办公厅（室）及相关机构事务支出（项）：支出决算为1819.41万元，完成预算100%，决算数与预算数持平。</w:t>
      </w:r>
    </w:p>
    <w:p>
      <w:pPr>
        <w:pStyle w:val="6"/>
        <w:spacing w:before="93"/>
        <w:ind w:firstLine="660"/>
        <w:rPr>
          <w:rFonts w:hint="default" w:ascii="Times New Roman" w:hAnsi="Times New Roman" w:cs="Times New Roman"/>
          <w:sz w:val="32"/>
          <w:szCs w:val="32"/>
        </w:rPr>
      </w:pPr>
      <w:r>
        <w:rPr>
          <w:rFonts w:hint="default" w:ascii="Times New Roman" w:hAnsi="Times New Roman" w:cs="Times New Roman"/>
          <w:sz w:val="32"/>
          <w:szCs w:val="32"/>
        </w:rPr>
        <w:t>4.社会保障和就业支出（类）行政事业单位养老支出（款）行政单位离退休（项）: 支出决算为16.22万元，完成预算100%，决算数与预算数持平。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5.社会保障和就业支出（类）行政事业单位养老支出（款）事业单位离退休（项）：支出决算为1.89万元，完成100%，决算数与预算数持平。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6.社会保障和就业支出（类）行政事业单位养老支出（款）机关事业单位养老保险缴费支出（项）：支出决算为40.09万元，完成100%，决算数与预算数持平。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7.社会保障和就业支出（类）行政事业单位养老支出（款）机关事业单位职业年金缴费支出（项）：支出决算为6.76万元，完成100%，决算数与预算数持平。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8.社会保障和就业支出（类）抚恤（款）伤残抚恤（项）：支出决算为2.09万元，完成100%，决算数与预算数持平。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9.卫生健康支出（类）行政事业单位医疗（款）行政单位医疗（项）:支出决算为9.96万元，完成预算100%，决算数与预算数持平。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10.卫生健康支出（类）行政事业单位医疗（款）事业单位医疗（项）:支出决算为13.32万元，完成预算100%，决算数与预算数持平。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11.卫生健康支出（类）行政事业单位医疗（款）公务员医疗补助（项）:支出决算为0.99万元，完成预算100%，决算数与预算数持平。</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12.卫生健康支出（类）行政事业单位医疗（款）其他行政事业单位医疗支出（项）:支出决算为13.63万元，完成预算100%，决算数与预算数持平。</w:t>
      </w:r>
    </w:p>
    <w:p>
      <w:pPr>
        <w:pStyle w:val="6"/>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13.节能环保（支出类）污染防治（款）其他污染防治支出（项）：支出决算为67.95万元，完成预算100%，决算数与预算数持平。</w:t>
      </w:r>
    </w:p>
    <w:p>
      <w:pPr>
        <w:pStyle w:val="6"/>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14.农林水支出（类）其他农林水支出（款）其他节农林水支出（项）：支出决算为70万元，完成预算100%，决算数与预算数持平。</w:t>
      </w:r>
    </w:p>
    <w:p>
      <w:pPr>
        <w:pStyle w:val="6"/>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15.交通运输支出（类）公路水路运输（款）公路建设（项）：支出决算数8.8万元，完成预算100%，决算数与预算数持平。</w:t>
      </w:r>
    </w:p>
    <w:p>
      <w:pPr>
        <w:pStyle w:val="6"/>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16.资源勘探工业信息等支出（类）支持中小企业发展和管理支出（款）中小企业发展专项（项）：支出决算数63.44万元，完成预算100%，决算数与预算数持平。</w:t>
      </w:r>
    </w:p>
    <w:p>
      <w:pPr>
        <w:pStyle w:val="6"/>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17.住房保障（类）住房改革支出（款）住房公积金（项）：支出决算为35.15万元，完成预算100%，决算数与预算数持平。</w:t>
      </w:r>
    </w:p>
    <w:p>
      <w:pPr>
        <w:tabs>
          <w:tab w:val="right" w:pos="8306"/>
        </w:tabs>
        <w:spacing w:line="600" w:lineRule="exact"/>
        <w:ind w:firstLine="640"/>
        <w:outlineLvl w:val="1"/>
        <w:rPr>
          <w:rStyle w:val="29"/>
          <w:rFonts w:hint="default" w:ascii="Times New Roman" w:hAnsi="Times New Roman" w:cs="Times New Roman"/>
        </w:rPr>
      </w:pPr>
      <w:bookmarkStart w:id="32" w:name="_Toc15396608"/>
      <w:bookmarkStart w:id="33"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2"/>
      <w:bookmarkEnd w:id="33"/>
      <w:r>
        <w:rPr>
          <w:rStyle w:val="29"/>
          <w:rFonts w:hint="default" w:ascii="Times New Roman" w:hAnsi="Times New Roman" w:eastAsia="黑体" w:cs="Times New Roman"/>
          <w:b w:val="0"/>
        </w:rPr>
        <w:tab/>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2024年度一般公共预算财政拨款基本支出486.27万元，其中：</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431.56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公用经费33.29万元，主要包括：办公费、水费、电费、邮电费、差旅费、维修（护）费、会议费、劳务费、工会经费、福利费、其他交通费用支出等。</w:t>
      </w:r>
    </w:p>
    <w:p>
      <w:pPr>
        <w:spacing w:line="600" w:lineRule="exact"/>
        <w:ind w:firstLine="640"/>
        <w:outlineLvl w:val="1"/>
        <w:rPr>
          <w:rStyle w:val="29"/>
          <w:rFonts w:hint="default" w:ascii="Times New Roman" w:hAnsi="Times New Roman" w:eastAsia="黑体" w:cs="Times New Roman"/>
          <w:b w:val="0"/>
        </w:rPr>
      </w:pPr>
      <w:bookmarkStart w:id="34" w:name="_Toc15377215"/>
      <w:bookmarkStart w:id="35" w:name="_Toc15396609"/>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4"/>
      <w:bookmarkEnd w:id="35"/>
    </w:p>
    <w:p>
      <w:pPr>
        <w:spacing w:line="600" w:lineRule="exact"/>
        <w:ind w:firstLine="643" w:firstLineChars="200"/>
        <w:outlineLvl w:val="2"/>
        <w:rPr>
          <w:rFonts w:hint="default" w:ascii="Times New Roman" w:hAnsi="Times New Roman" w:eastAsia="楷体_GB2312" w:cs="Times New Roman"/>
          <w:b/>
          <w:sz w:val="32"/>
          <w:szCs w:val="32"/>
        </w:rPr>
      </w:pPr>
      <w:bookmarkStart w:id="36" w:name="_Toc15377216"/>
      <w:r>
        <w:rPr>
          <w:rFonts w:hint="default" w:ascii="Times New Roman" w:hAnsi="Times New Roman" w:eastAsia="楷体_GB2312" w:cs="Times New Roman"/>
          <w:b/>
          <w:sz w:val="32"/>
          <w:szCs w:val="32"/>
        </w:rPr>
        <w:t>（一）“三公”经费财政拨款支出决算总体情况说明</w:t>
      </w:r>
      <w:bookmarkEnd w:id="3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2024年度“三公”经费财政拨款支出决算为0万元，完成预算100%，与上年度持平。</w:t>
      </w:r>
    </w:p>
    <w:p>
      <w:pPr>
        <w:spacing w:line="600" w:lineRule="exact"/>
        <w:ind w:firstLine="643" w:firstLineChars="200"/>
        <w:outlineLvl w:val="2"/>
        <w:rPr>
          <w:rFonts w:hint="default" w:ascii="Times New Roman" w:hAnsi="Times New Roman" w:eastAsia="楷体_GB2312" w:cs="Times New Roman"/>
          <w:b/>
          <w:sz w:val="32"/>
          <w:szCs w:val="32"/>
        </w:rPr>
      </w:pPr>
      <w:bookmarkStart w:id="37" w:name="_Toc15377217"/>
      <w:r>
        <w:rPr>
          <w:rFonts w:hint="default" w:ascii="Times New Roman" w:hAnsi="Times New Roman" w:eastAsia="楷体_GB2312" w:cs="Times New Roman"/>
          <w:b/>
          <w:sz w:val="32"/>
          <w:szCs w:val="32"/>
        </w:rPr>
        <w:t>（二）“三公”经费财政拨款支出决算具体情况说明</w:t>
      </w:r>
      <w:bookmarkEnd w:id="37"/>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1.因公出国（境）经费支出0万元，完成预算100%。</w:t>
      </w:r>
      <w:r>
        <w:rPr>
          <w:rFonts w:hint="default" w:ascii="Times New Roman" w:hAnsi="Times New Roman" w:eastAsia="仿宋_GB2312" w:cs="Times New Roman"/>
          <w:sz w:val="32"/>
          <w:szCs w:val="32"/>
        </w:rPr>
        <w:t>全年安排因公出国（境）团组0次，出国（境）0人。因公出国（境）支出决算与2023持平。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2024年度无因公出国（境）情况产生。</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w:t>
      </w:r>
      <w:r>
        <w:rPr>
          <w:rFonts w:hint="default" w:ascii="Times New Roman" w:hAnsi="Times New Roman" w:eastAsia="仿宋_GB2312" w:cs="Times New Roman"/>
          <w:sz w:val="32"/>
          <w:szCs w:val="32"/>
        </w:rPr>
        <w:t>公务用车购置及运行维护费支出0万元，完成预算100%。公务用车购置及运行维护费支出决算与2023年度持平。</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sz w:val="32"/>
          <w:szCs w:val="32"/>
        </w:rPr>
        <w:t>公务接待费支出0万元，完成预算100%。公务接待费支出决算与2023年度持平。其中：</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国内公务接待支出0万元。</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w:t>
      </w:r>
      <w:bookmarkStart w:id="38" w:name="_Toc15396610"/>
      <w:bookmarkStart w:id="39" w:name="_Toc15377218"/>
    </w:p>
    <w:p>
      <w:pPr>
        <w:spacing w:line="600" w:lineRule="exact"/>
        <w:ind w:firstLine="640"/>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38"/>
      <w:bookmarkEnd w:id="39"/>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2024年度政府性基金预算财政拨款支出9935.84万元，占本年支出合计的79.8%。与2023年度相比，政府性基金预算财政拨款支出减少23564.16万元，下降70.31%。主要变动原因是减少了</w:t>
      </w:r>
      <w:r>
        <w:rPr>
          <w:rFonts w:hint="default" w:ascii="Times New Roman" w:hAnsi="Times New Roman" w:eastAsia="仿宋_GB2312" w:cs="Times New Roman"/>
          <w:kern w:val="0"/>
          <w:sz w:val="32"/>
          <w:szCs w:val="32"/>
        </w:rPr>
        <w:t>边钒钛产业开发区钛材加工园基础设施建设项目二期工程费用。</w:t>
      </w:r>
    </w:p>
    <w:p>
      <w:pPr>
        <w:spacing w:line="600" w:lineRule="exact"/>
        <w:ind w:left="630"/>
        <w:outlineLvl w:val="1"/>
        <w:rPr>
          <w:rStyle w:val="29"/>
          <w:rFonts w:hint="default" w:ascii="Times New Roman" w:hAnsi="Times New Roman" w:eastAsia="黑体" w:cs="Times New Roman"/>
          <w:b w:val="0"/>
        </w:rPr>
      </w:pPr>
      <w:bookmarkStart w:id="40" w:name="_Toc15377219"/>
      <w:bookmarkStart w:id="41" w:name="_Toc15396611"/>
      <w:r>
        <w:rPr>
          <w:rStyle w:val="29"/>
          <w:rFonts w:hint="default" w:ascii="Times New Roman" w:hAnsi="Times New Roman" w:eastAsia="黑体" w:cs="Times New Roman"/>
          <w:b w:val="0"/>
        </w:rPr>
        <w:t>九、国有资本经营预算支出决算情况说明</w:t>
      </w:r>
      <w:bookmarkEnd w:id="40"/>
      <w:bookmarkEnd w:id="41"/>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2024年度国有资本经营预算财政拨款支出0万元，占本年支出合计的0%。与2023年度相比持平。</w:t>
      </w:r>
    </w:p>
    <w:p>
      <w:pPr>
        <w:spacing w:line="600" w:lineRule="exact"/>
        <w:ind w:left="630"/>
        <w:outlineLvl w:val="1"/>
        <w:rPr>
          <w:rStyle w:val="29"/>
          <w:rFonts w:hint="default" w:ascii="Times New Roman" w:hAnsi="Times New Roman" w:eastAsia="黑体" w:cs="Times New Roman"/>
          <w:b w:val="0"/>
        </w:rPr>
      </w:pPr>
      <w:bookmarkStart w:id="42" w:name="_Toc15377221"/>
      <w:bookmarkStart w:id="43" w:name="_Toc15396612"/>
      <w:r>
        <w:rPr>
          <w:rStyle w:val="29"/>
          <w:rFonts w:hint="default" w:ascii="Times New Roman" w:hAnsi="Times New Roman" w:eastAsia="黑体" w:cs="Times New Roman"/>
          <w:b w:val="0"/>
        </w:rPr>
        <w:t>十、其他重要事项的情况说明</w:t>
      </w:r>
      <w:bookmarkEnd w:id="42"/>
      <w:bookmarkEnd w:id="43"/>
    </w:p>
    <w:p>
      <w:pPr>
        <w:spacing w:line="600" w:lineRule="exact"/>
        <w:ind w:firstLine="643" w:firstLineChars="200"/>
        <w:outlineLvl w:val="2"/>
        <w:rPr>
          <w:rFonts w:hint="default" w:ascii="Times New Roman" w:hAnsi="Times New Roman" w:eastAsia="楷体_GB2312" w:cs="Times New Roman"/>
          <w:b/>
          <w:sz w:val="32"/>
          <w:szCs w:val="32"/>
        </w:rPr>
      </w:pPr>
      <w:bookmarkStart w:id="44" w:name="_Toc15377222"/>
      <w:r>
        <w:rPr>
          <w:rFonts w:hint="default" w:ascii="Times New Roman" w:hAnsi="Times New Roman" w:eastAsia="楷体_GB2312" w:cs="Times New Roman"/>
          <w:b/>
          <w:sz w:val="32"/>
          <w:szCs w:val="32"/>
        </w:rPr>
        <w:t>（一）机关运行经费支出情况</w:t>
      </w:r>
      <w:bookmarkEnd w:id="44"/>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2024年度，盐边钒钛产业开发区管理委员会机关运行经费支出33.29万元，比2023年度减少0.42万元，下降1.25%。主要原因是</w:t>
      </w:r>
      <w:r>
        <w:rPr>
          <w:rFonts w:hint="default" w:ascii="Times New Roman" w:hAnsi="Times New Roman" w:eastAsia="仿宋_GB2312" w:cs="Times New Roman"/>
          <w:kern w:val="0"/>
          <w:sz w:val="32"/>
          <w:szCs w:val="32"/>
        </w:rPr>
        <w:t>落实过紧日子要求，厉行节约，从严控制和压缩经费支出。</w:t>
      </w:r>
    </w:p>
    <w:p>
      <w:pPr>
        <w:spacing w:line="600" w:lineRule="exact"/>
        <w:ind w:firstLine="643" w:firstLineChars="200"/>
        <w:outlineLvl w:val="2"/>
        <w:rPr>
          <w:rFonts w:hint="default" w:ascii="Times New Roman" w:hAnsi="Times New Roman" w:eastAsia="楷体_GB2312" w:cs="Times New Roman"/>
          <w:b/>
          <w:sz w:val="32"/>
          <w:szCs w:val="32"/>
        </w:rPr>
      </w:pPr>
      <w:bookmarkStart w:id="45" w:name="_Toc15377223"/>
      <w:r>
        <w:rPr>
          <w:rFonts w:hint="default" w:ascii="Times New Roman" w:hAnsi="Times New Roman" w:eastAsia="楷体_GB2312" w:cs="Times New Roman"/>
          <w:b/>
          <w:sz w:val="32"/>
          <w:szCs w:val="32"/>
        </w:rPr>
        <w:t>（二）政府采购支出情况</w:t>
      </w:r>
      <w:bookmarkEnd w:id="45"/>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盐边钒钛产业开发区管理委员会政府采购支出总额1.18万元，其中：政府采购货物支出1.18万元、政府采购工程支出0万元、政府采购服务支出0万元。主要用于购置4台电脑。授予中小企业合同金额0万元，占政府采购支出总额的0%，其中：授予小微企业合同金额1.18万元，占政府采购支出总额的100%。</w:t>
      </w:r>
    </w:p>
    <w:p>
      <w:pPr>
        <w:spacing w:line="600" w:lineRule="exact"/>
        <w:ind w:firstLine="643" w:firstLineChars="200"/>
        <w:outlineLvl w:val="2"/>
        <w:rPr>
          <w:rFonts w:hint="default" w:ascii="Times New Roman" w:hAnsi="Times New Roman" w:eastAsia="楷体_GB2312" w:cs="Times New Roman"/>
          <w:b/>
          <w:sz w:val="32"/>
          <w:szCs w:val="32"/>
        </w:rPr>
      </w:pPr>
      <w:bookmarkStart w:id="46" w:name="_Toc15377224"/>
      <w:r>
        <w:rPr>
          <w:rFonts w:hint="default" w:ascii="Times New Roman" w:hAnsi="Times New Roman" w:eastAsia="楷体_GB2312" w:cs="Times New Roman"/>
          <w:b/>
          <w:sz w:val="32"/>
          <w:szCs w:val="32"/>
        </w:rPr>
        <w:t>（三）国有资产占有使用情况</w:t>
      </w:r>
      <w:bookmarkEnd w:id="46"/>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截至2024年12月31日，盐边钒钛产业开发区管理委员会共有车辆0辆，其中：主要负责人用车0辆、机要通信用车0辆、应急保障用车0辆、其他用车0辆0。单价100万元（含）以上设备（不含车辆）0台（套）。</w:t>
      </w:r>
    </w:p>
    <w:p>
      <w:pPr>
        <w:spacing w:line="600" w:lineRule="exact"/>
        <w:ind w:firstLine="643" w:firstLineChars="200"/>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盐边钒钛产业开发区管理委员会在2024年度预算编制阶段，组织对园区发展建设专项经费等14个项目开展了预算事前绩效评估，对园区发展建设专项经费等14个项目编制了绩效目标，预算执行过程中，对7个项目开展绩效监控。</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等全面开展绩效自评，形成盐边钒钛产业开发区管理委员会部门整体（含部门预算项目）绩效自评报告、攀枝花钒钛化工业园区（安宁片区）总体规划及规划环评报告等专项预算项目绩效自评报告，其中，盐边钒钛产业开发区管理委员会部门整体（含部门预算项目）绩效自评得分为95分，绩效自评综述：根据年初绩效目标，参照经费管理使用要求和相应项目实施方案要求，围绕预算编制、预算执行、支出绩效三个方面进行了认真自评，自评结果所有资金做到专款专用，投入到位，发挥效益，项目完成较好。园区发展建设专项经费专项预算项目绩效自评得分为96分，绩效自评综述：项目资金主要用于推进各项目开展前期工作，建设以及落地，促进全县经济发展，项目完成较好；美利林和四川天钒科技施工用电项目专项预算项目绩效自评得分为95分，绩效自评综述：项目资金主要用于开展盐边县安宁工业园区美利林及四川天钒公司临时施工用电工程，以解决项目进场施工用电需求，项目完成较好；化工园区争创D级专项专项预算项目绩效自评得分为94分，绩效自评综述：该资金主要用于</w:t>
      </w:r>
      <w:r>
        <w:rPr>
          <w:rFonts w:hint="eastAsia" w:eastAsia="仿宋_GB2312" w:cs="Times New Roman"/>
          <w:sz w:val="32"/>
          <w:szCs w:val="32"/>
          <w:lang w:val="en-US" w:eastAsia="zh-CN"/>
        </w:rPr>
        <w:t>由钒钛高新区管委会牵头，开展化工园实训基地建设、区域性地震安全评价、园区整体性安全风险评估等，</w:t>
      </w:r>
      <w:r>
        <w:rPr>
          <w:rFonts w:hint="default" w:ascii="Times New Roman" w:hAnsi="Times New Roman" w:eastAsia="仿宋_GB2312" w:cs="Times New Roman"/>
          <w:sz w:val="32"/>
          <w:szCs w:val="32"/>
        </w:rPr>
        <w:t>项目完成较好；办公设备购置费专项预算项目绩效自评得分为96分，绩效自评综述：项目资金主要用于单位新购置电脑，项目完成较好；攀枝花钒钛园区安宁片区基础设施建设项目-特勤消防站项目专项预算项目绩效自评得分为96分，绩效自评综述:项目资金主要用于化工园实训基地建设需依托攀钢钒公司安全培训中心在现有设备基础上，完善氯化、电解、煤化工等重点监管工艺仿真设备，满足化工园实训基地建设相关要求，项目完成较好；攀枝花盐边安宁至美利林220千伏线路工程专项预算项目绩效自评得分为94分，绩效自评综述:项目资金主要用于为加快推进美利林钒钛新材料股份公司化钛渣及配套钒钛耐磨材料项目建设，项目完成较好；攀枝花钒钛化工业园区（安宁片区）总体规划及规划环评报告专项预算项目绩效自评得分94分，绩效自评综述:项目资金主要用于全攀枝花钒钛化工园区（安宁片区）总体规划及规划环评报告严格按国家和省、市、县环保局有关规定执行，完成报告编制并通过评审、备案，项目完成较好；安宁工业园区地下水监测专项预算项目绩效自评得分为94分，绩效自评综述:项目资金主要用于开展地下水水质监测和周边环境调查，并制定溯源方案。根据溯源结果，科学开展整治，项目完成较好；地下水监测周边环境调查专项预算项目绩效自评分得为94分，绩效自评综述:项目资金主要用于开展地下水水质监测和周边环境调查，并制定溯源方案,根据溯源结果，科学开展整治，项目完成较好；美利林钒钛股份公司供水管项目专项预算项目绩效自评得分95分，绩效自评综述:项目资金主要用于为深入推进盐边钒钛开发区落地项目配套基础设施建设力度，尽快确保美利林钒钛新材料股份公司年产60万吨攀西钛精矿升级转化氯化钛渣项目和年产30万吨钒钛耐磨材料项目建设，需对部分供水管道进行施工,项目完成较好；园区安宁路标线施工项目专项预算项目绩效自评得分为95分，绩效自评综述:项目资金主要用于安宁路标线及导向箭头和减速震荡线进行重新划，项目完成较好；2022年绿色低碳产业重点园区补助项目专项预算项目绩效自评得分94分，绩效自评综述：项目资金主要用于完成了安宁片区安全风险智能化管控平台建设，项目完成较好；盐边县安宁水厂配套输水管道项目专项预算项目绩效自评得分为94分，绩效自评综述：项目资金主要用于主要建设日供水量4吨的净水厂一座，包含取水工程、供水 工程、自动化监测系统等 ，建设输水管道30km，道路恢复4.69km等配套基础设施，项目完成较好。绩效自评报告详见附件。</w:t>
      </w: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spacing w:line="600" w:lineRule="exact"/>
        <w:ind w:firstLine="640"/>
        <w:rPr>
          <w:rFonts w:hint="default" w:ascii="Times New Roman" w:hAnsi="Times New Roman" w:eastAsia="仿宋_GB2312" w:cs="Times New Roman"/>
          <w:sz w:val="32"/>
          <w:szCs w:val="32"/>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pStyle w:val="8"/>
        <w:ind w:left="420"/>
        <w:rPr>
          <w:rFonts w:hint="default" w:ascii="Times New Roman" w:hAnsi="Times New Roman" w:cs="Times New Roman"/>
        </w:rPr>
      </w:pPr>
    </w:p>
    <w:p>
      <w:pPr>
        <w:spacing w:line="600" w:lineRule="exact"/>
        <w:jc w:val="center"/>
        <w:outlineLvl w:val="0"/>
        <w:rPr>
          <w:rFonts w:hint="default" w:ascii="Times New Roman" w:hAnsi="Times New Roman" w:eastAsia="黑体" w:cs="Times New Roman"/>
          <w:sz w:val="44"/>
          <w:szCs w:val="44"/>
        </w:rPr>
      </w:pPr>
      <w:bookmarkStart w:id="47" w:name="_Toc15377225"/>
      <w:bookmarkStart w:id="48" w:name="_Toc15396613"/>
    </w:p>
    <w:p>
      <w:pPr>
        <w:spacing w:line="600" w:lineRule="exact"/>
        <w:jc w:val="center"/>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47"/>
      <w:bookmarkEnd w:id="48"/>
    </w:p>
    <w:p>
      <w:pPr>
        <w:spacing w:line="600" w:lineRule="exact"/>
        <w:jc w:val="left"/>
        <w:rPr>
          <w:rFonts w:hint="default" w:ascii="Times New Roman" w:hAnsi="Times New Roman" w:cs="Times New Roman"/>
          <w:b/>
          <w:sz w:val="44"/>
          <w:szCs w:val="44"/>
        </w:rPr>
      </w:pP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1.财政拨款收入：指单位从同级财政部门取得的财政预算资金。</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3.其他收入：指单位取得的除上述收入以外的各项收入。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4.年初结转和结余：指以前年度尚未完成、结转到本年按有关规定继续使用的资金。 </w:t>
      </w:r>
    </w:p>
    <w:p>
      <w:pPr>
        <w:pStyle w:val="26"/>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5.年末结转和结余：指单位按有关规定结转到下年或以后年度继续使用的资金。</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6.一般公共服务支出（类）政府办公厅（室）及相关机构事务（款）行政运行（项）指反映政府办公厅（室）及相关机构事务的行政单位基本支出。</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7.一般公共服务支出（类）政府办公厅（室 ）及相关机构（款）事业运行（项）指反映事业单位的基本支出，不包括行政单位（包括实行公务员管理的事业单位）后勤服务中心、医务室等附属事业单位。</w:t>
      </w:r>
    </w:p>
    <w:p>
      <w:p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8.一般公共服务支出（类）政府办公厅（室）及相关机构事务（款）其他政府办公厅（室）及相关机构事务支出（项）指反映除上述项目以外的其他政府办公厅（室）及相关机构事务支出。</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9.社会保障和就业支出（类）行政事业单位养老支出（款）政单位离退休（项）反映行政单位（包括实行公务员管理的事业单位）开支的离退休经费。</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10. 社会保障和就业支出（类）行政事业单位养老支出（款）事业单位离退休（项）反映事业单位开支的离退休经费。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11.社会保障和就业支出（类）行政事业单位养老支出（款）机关事业单位养老保险缴费支出（项）反映机关事业单位实施养老保险制度由单位缴纳的基本养老保险费支出。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 社会保障和就业支出（类）行政事业单位养老支出（款）机关事业单位职业年金缴费支出（项）反映机关事业单位实施养老保险制度由单位实际缴纳的职业年金支出（含职业年金补记支出）。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13.社会保障和就业支出（类）抚恤（款）伤残抚恤（项）反映按规定用于伤残人员的抚恤金和按规定开支的各种伤残补助费。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14.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15.卫生健康支出（类）行政事业单位医疗（款）事业单位医疗（项）反映财政部门安排的事业单位基本医疗保险缴费经费，未参加医疗保险的事业单位的公费医疗经费，按国家规定享受离休人员待遇的医疗经费。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16.卫生健康支出（类）行政事业单位医疗（款）公务员医疗补助（项）反映财政部门安排的公务员医疗补助经费。</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17.卫生健康支出（类）行政事业单位医疗（款）其他行政事业单位医疗支出（项反映除上述项目以外的其他用于行政事业单位医疗方面的支出。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18.节能环保支出（类）污染防治（款）其他污染防治支出（项）反映除上述项目以外其他用于污染防治方面的支出。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19.农林水支出（类）其他农林水支出（款）其他农林水支出（项）反映除化解债务支出以其他用于农林水方面的支出。</w:t>
      </w:r>
    </w:p>
    <w:p>
      <w:pPr>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20.交通运输支出（类）公路水路运输（款）公路建设（项）反映公路新建和改扩建支出，特大型桥梁建设、公路客货运站（场）以及公路相关设备设施建设支出。</w:t>
      </w:r>
    </w:p>
    <w:p>
      <w:pPr>
        <w:ind w:firstLine="800" w:firstLineChars="25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21.资源勘探工业信息等支出（类）支持中小企业发展和管理支出（款）中小企业发展专项（项）反映用于支持中小企业培育、公共服务体系和融资服务体系建设等方面的支出。</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22.住房保障（类）住房改革支出（款）住房公积金（项）：反映行政事业单位按人力资源的社会保障部、财政部规定的基本工资和津贴补贴以及规定比例为职工缴纳的住房公积金。</w:t>
      </w:r>
    </w:p>
    <w:p>
      <w:pPr>
        <w:pStyle w:val="6"/>
        <w:spacing w:before="93"/>
        <w:ind w:firstLine="645"/>
        <w:rPr>
          <w:rFonts w:hint="default" w:ascii="Times New Roman" w:hAnsi="Times New Roman" w:cs="Times New Roman"/>
          <w:sz w:val="32"/>
          <w:szCs w:val="32"/>
        </w:rPr>
      </w:pPr>
      <w:r>
        <w:rPr>
          <w:rFonts w:hint="default" w:ascii="Times New Roman" w:hAnsi="Times New Roman" w:cs="Times New Roman"/>
          <w:sz w:val="32"/>
          <w:szCs w:val="32"/>
        </w:rPr>
        <w:t>23.其他支出（类）其他支出（款）其他支出（项）反映除上述项目以外其他不能划分到具体功能科目中的支出项目。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24.基本支出：指为保障机构正常运转、完成日常工作任务而发生的人员支出和公用支出。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25.项目支出：指在基本支出之外为完成特定行政任务和事业发展目标所发生的支出。 </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有车燃料费、维修费、过路过桥费、保险费、安全奖励费用等支出；公务接待费反映单位按规定开支的各类公务接待（含外宾接待）支出。</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hint="default" w:ascii="Times New Roman" w:hAnsi="Times New Roman" w:eastAsia="黑体" w:cs="Times New Roman"/>
          <w:b w:val="0"/>
        </w:rPr>
      </w:pPr>
      <w:r>
        <w:rPr>
          <w:rFonts w:hint="default" w:ascii="Times New Roman" w:hAnsi="Times New Roman" w:eastAsia="黑体" w:cs="Times New Roman"/>
          <w:sz w:val="44"/>
          <w:szCs w:val="44"/>
        </w:rPr>
        <w:t>第四部分  附件</w:t>
      </w:r>
      <w:bookmarkEnd w:id="14"/>
    </w:p>
    <w:p>
      <w:pPr>
        <w:spacing w:line="572" w:lineRule="exact"/>
        <w:jc w:val="left"/>
        <w:outlineLvl w:val="0"/>
        <w:rPr>
          <w:rFonts w:hint="default" w:ascii="Times New Roman" w:hAnsi="Times New Roman" w:eastAsia="黑体" w:cs="Times New Roman"/>
          <w:sz w:val="32"/>
          <w:szCs w:val="32"/>
        </w:rPr>
      </w:pPr>
    </w:p>
    <w:p>
      <w:pPr>
        <w:spacing w:line="572" w:lineRule="exact"/>
        <w:jc w:val="left"/>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widowControl/>
        <w:spacing w:line="578" w:lineRule="exact"/>
        <w:contextualSpacing/>
        <w:jc w:val="center"/>
        <w:rPr>
          <w:rFonts w:hint="default" w:ascii="Times New Roman" w:hAnsi="Times New Roman" w:eastAsia="方正小标宋简体" w:cs="Times New Roman"/>
          <w:bCs/>
          <w:sz w:val="44"/>
          <w:szCs w:val="44"/>
          <w:shd w:val="clear" w:color="auto" w:fill="FFFFFF"/>
        </w:rPr>
      </w:pPr>
    </w:p>
    <w:p>
      <w:pPr>
        <w:spacing w:line="0" w:lineRule="atLeast"/>
        <w:jc w:val="center"/>
        <w:rPr>
          <w:rFonts w:hint="default" w:ascii="Times New Roman" w:hAnsi="Times New Roman" w:eastAsia="方正小标宋_GBK" w:cs="Times New Roman"/>
          <w:b/>
          <w:sz w:val="44"/>
          <w:szCs w:val="44"/>
        </w:rPr>
      </w:pPr>
      <w:r>
        <w:rPr>
          <w:rFonts w:hint="default" w:ascii="Times New Roman" w:hAnsi="Times New Roman" w:eastAsia="方正小标宋_GBK" w:cs="Times New Roman"/>
          <w:b/>
          <w:sz w:val="44"/>
          <w:szCs w:val="44"/>
        </w:rPr>
        <w:t>盐边钒钛产业开发区管理委员会</w:t>
      </w:r>
    </w:p>
    <w:p>
      <w:pPr>
        <w:spacing w:line="0" w:lineRule="atLeast"/>
        <w:jc w:val="center"/>
        <w:rPr>
          <w:rFonts w:hint="default" w:ascii="Times New Roman" w:hAnsi="Times New Roman" w:eastAsia="方正楷体_GBK" w:cs="Times New Roman"/>
          <w:b/>
        </w:rPr>
      </w:pPr>
      <w:r>
        <w:rPr>
          <w:rFonts w:hint="default" w:ascii="Times New Roman" w:hAnsi="Times New Roman" w:eastAsia="方正小标宋_GBK" w:cs="Times New Roman"/>
          <w:b/>
          <w:sz w:val="44"/>
          <w:szCs w:val="44"/>
        </w:rPr>
        <w:t>2024年度部门预算绩效自评报告</w:t>
      </w:r>
    </w:p>
    <w:p>
      <w:pPr>
        <w:widowControl/>
        <w:adjustRightInd w:val="0"/>
        <w:snapToGrid w:val="0"/>
        <w:spacing w:line="578" w:lineRule="exact"/>
        <w:ind w:firstLine="480" w:firstLineChars="200"/>
        <w:contextualSpacing/>
        <w:jc w:val="left"/>
        <w:rPr>
          <w:rFonts w:hint="default" w:ascii="Times New Roman" w:hAnsi="Times New Roman" w:eastAsia="黑体" w:cs="Times New Roman"/>
          <w:color w:val="000000"/>
          <w:kern w:val="0"/>
          <w:sz w:val="24"/>
          <w:szCs w:val="32"/>
          <w:shd w:val="clear" w:color="auto" w:fill="FFFFFF"/>
        </w:rPr>
      </w:pPr>
    </w:p>
    <w:p>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一、部门（单位）基本情况</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（一）机构组成。</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管委会内设办公室、规划建设股、投资服务股、安全生产监督管理股和环保管理股；盐边钒钛产业工业园区服务中心内设招商资股、用地协调股、产前服务股。</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（二）机构职能。</w:t>
      </w:r>
    </w:p>
    <w:p>
      <w:pPr>
        <w:snapToGrid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盐边钒钛产业开发区管理委员会（以下简称管委会）为县政府派出机构，根据县政府授权，统一领导和管理园区经济发展工作，主要职责和职能是县工业园区规划设计、开发建设、运行管理和招商引资等。盐边钒钛产业工业园区服务中心（以下简称服务中心）为管委会下属财政全额拨款事业单位，与管委会合署办公，实行“一套人马，两块牌子”，主要职能是为入园项目（企业）提供综合协调服务，主要负责园区项目建成投产前的服务工作。</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（三）人员概况。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截至2024年末，盐边钒钛产业开发区管理委员会及下属单位编制情况及年末实有人数情况。单位核定编制(含群团组织、下属事业单位）包括：行政编制8名，事业编制16名。2024年末在岗23名：其中公务员9名，事业人员13名，机关工勤1名。 </w:t>
      </w:r>
    </w:p>
    <w:p>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二、部门资金收支情况</w:t>
      </w:r>
    </w:p>
    <w:p>
      <w:pPr>
        <w:spacing w:line="56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（一）收入情况。</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钒钛产业开发区管理委员会2024年收入年初预算安排473.42万元（其中人员经费378.49万元，公用经费31.53万元，项目经费63.4万元）。年中调整预算数11978.29万元（其中人员经费74.49万元，项目经费11902.04万元）。2024年全年预算收入12451.71万元（其中基本支出486.27万元，项目支出11965.44万元）。</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（二）支出情况。</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钒钛产业开发区管理委员会2024年年初预算支出473.42万元（其中人员经费378.49万元，公用经费31.53万元，项目经费63.4万元）。2024年决算支出12451.71万元，其中基本支出486.27万元，主要用于单位23名在职职工及3名退休职工的工资、保险等人员经费以及办公费、水电费、差旅费等日常公用经费支出。项目支出11965.44万元，主要用于园区发展建设专项经费、美利林和四川天钒科技施工用电项目、化工园区争创D级专项经费、攀枝花钒钛化工园区安宁片区基础设施建设项目-特勤消防站项目、攀枝花盐边安宁至美利林220千伏线路工程、美利林钒钛新材料股份公司供水管建设项目、盐边县安宁水厂及配套输水管道等项目建设。</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（三）结余分配和结转结余情况。</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盐边钒钛产业开发区管理委员会2024年度无结转结余。</w:t>
      </w:r>
    </w:p>
    <w:p>
      <w:pPr>
        <w:spacing w:line="55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三、部门预算绩效分析</w:t>
      </w:r>
    </w:p>
    <w:p>
      <w:pPr>
        <w:spacing w:line="550" w:lineRule="exact"/>
        <w:ind w:firstLine="643" w:firstLineChars="200"/>
        <w:rPr>
          <w:rFonts w:hint="default" w:ascii="Times New Roman" w:hAnsi="Times New Roman" w:cs="Times New Roman"/>
          <w:sz w:val="32"/>
          <w:szCs w:val="32"/>
        </w:rPr>
      </w:pPr>
      <w:r>
        <w:rPr>
          <w:rFonts w:hint="default" w:ascii="Times New Roman" w:hAnsi="Times New Roman" w:eastAsia="方正楷体_GBK" w:cs="Times New Roman"/>
          <w:b/>
          <w:sz w:val="32"/>
          <w:szCs w:val="32"/>
        </w:rPr>
        <w:t>（一）部门预算总体绩效分析。</w:t>
      </w:r>
    </w:p>
    <w:p>
      <w:pPr>
        <w:pStyle w:val="35"/>
        <w:spacing w:before="0" w:beforeAutospacing="0" w:after="0" w:afterAutospacing="0" w:line="576" w:lineRule="exact"/>
        <w:ind w:firstLine="663"/>
        <w:rPr>
          <w:rFonts w:hint="default" w:ascii="Times New Roman" w:hAnsi="Times New Roman" w:cs="Times New Roman"/>
          <w:szCs w:val="32"/>
        </w:rPr>
      </w:pPr>
      <w:r>
        <w:rPr>
          <w:rFonts w:hint="default" w:ascii="Times New Roman" w:hAnsi="Times New Roman" w:cs="Times New Roman"/>
          <w:szCs w:val="32"/>
        </w:rPr>
        <w:t>1.履职效能方面</w:t>
      </w:r>
    </w:p>
    <w:p>
      <w:pPr>
        <w:ind w:firstLine="640" w:firstLineChars="200"/>
        <w:rPr>
          <w:rFonts w:hint="default" w:ascii="Times New Roman" w:hAnsi="Times New Roman" w:eastAsia="仿宋_GB2312" w:cs="Times New Roman"/>
          <w:sz w:val="32"/>
          <w:szCs w:val="32"/>
        </w:rPr>
      </w:pPr>
      <w:r>
        <w:rPr>
          <w:rFonts w:hint="default" w:ascii="Calibri" w:hAnsi="Calibri" w:eastAsia="仿宋_GB2312" w:cs="Calibri"/>
          <w:sz w:val="32"/>
          <w:szCs w:val="32"/>
        </w:rPr>
        <w:t>①</w:t>
      </w:r>
      <w:r>
        <w:rPr>
          <w:rFonts w:hint="default" w:ascii="Times New Roman" w:hAnsi="Times New Roman" w:eastAsia="仿宋_GB2312" w:cs="Times New Roman"/>
          <w:sz w:val="32"/>
          <w:szCs w:val="32"/>
        </w:rPr>
        <w:t>全力推进红格南矿开发前期工作。完成红格南矿铁路专用线、公铁联运物流园、快速物流通道规划方案。</w:t>
      </w:r>
    </w:p>
    <w:p>
      <w:pPr>
        <w:ind w:firstLine="640" w:firstLineChars="200"/>
        <w:rPr>
          <w:rFonts w:hint="default" w:ascii="Times New Roman" w:hAnsi="Times New Roman" w:eastAsia="仿宋_GB2312" w:cs="Times New Roman"/>
          <w:sz w:val="32"/>
          <w:szCs w:val="32"/>
        </w:rPr>
      </w:pPr>
      <w:r>
        <w:rPr>
          <w:rFonts w:hint="default" w:ascii="Calibri" w:hAnsi="Calibri" w:eastAsia="仿宋_GB2312" w:cs="Calibri"/>
          <w:sz w:val="32"/>
          <w:szCs w:val="32"/>
        </w:rPr>
        <w:t>②</w:t>
      </w:r>
      <w:r>
        <w:rPr>
          <w:rFonts w:hint="default" w:ascii="Times New Roman" w:hAnsi="Times New Roman" w:eastAsia="仿宋_GB2312" w:cs="Times New Roman"/>
          <w:sz w:val="32"/>
          <w:szCs w:val="32"/>
        </w:rPr>
        <w:t>加快园区基础设施建设。完成110kv安九线迁改、美利林供水管道建设，启动园区35kv同塔双回线路迁改。完成万吨级超细金属粉末产业园大门、道路黑化、办公楼及住宿楼外立面装修、产业园景观绿化等工作。完成万吨级超细金属粉末产业园规划方案，产业园规划约500亩（其中，涉化工工艺项目布局在攀枝花钒钛化工园区安宁片区内约140亩）。正在开展超细金属粉末产业园基础设施及化工园标准厂房专项债券项目包装。加快推进钛材加工园二期建设，完成钒钛大道A段、高速路连接线互通工程，即将完成园区商务中心装修，正在推进巴拉河连接线与红格大道互通工程建设。加快推进固废处理场建设，化解固废场用地手续及征地拆迁工作。</w:t>
      </w:r>
    </w:p>
    <w:p>
      <w:pPr>
        <w:ind w:firstLine="640" w:firstLineChars="200"/>
        <w:rPr>
          <w:rFonts w:hint="default" w:ascii="Times New Roman" w:hAnsi="Times New Roman" w:eastAsia="仿宋_GB2312" w:cs="Times New Roman"/>
          <w:sz w:val="32"/>
          <w:szCs w:val="32"/>
        </w:rPr>
      </w:pPr>
      <w:r>
        <w:rPr>
          <w:rFonts w:hint="default" w:ascii="Calibri" w:hAnsi="Calibri" w:eastAsia="仿宋_GB2312" w:cs="Calibri"/>
          <w:sz w:val="32"/>
          <w:szCs w:val="32"/>
        </w:rPr>
        <w:t>③</w:t>
      </w:r>
      <w:r>
        <w:rPr>
          <w:rFonts w:hint="default" w:ascii="Times New Roman" w:hAnsi="Times New Roman" w:eastAsia="仿宋_GB2312" w:cs="Times New Roman"/>
          <w:sz w:val="32"/>
          <w:szCs w:val="32"/>
        </w:rPr>
        <w:t>全力推进开发区审核公告目录修订工作。根据全市推进开发区审核公告目录修订工作总体安排，确定安宁化工园（2.82平方公里）纳入攀枝花钒钛化工园区、安宁工业园区（1.37平方公里）新设省级开发区（四川盐边经济开发区）的申报方案，目前已初步完成资料组卷，报送市级部门审核。</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4 \* GB3 \* MERGEFORMAT </w:instrText>
      </w:r>
      <w:r>
        <w:rPr>
          <w:rFonts w:hint="default" w:ascii="Times New Roman" w:hAnsi="Times New Roman" w:eastAsia="仿宋_GB2312" w:cs="Times New Roman"/>
          <w:sz w:val="32"/>
          <w:szCs w:val="32"/>
        </w:rPr>
        <w:fldChar w:fldCharType="separate"/>
      </w:r>
      <w:r>
        <w:rPr>
          <w:sz w:val="32"/>
          <w:szCs w:val="32"/>
        </w:rPr>
        <w:t>④</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建设100万吨耐磨铸造产业园。已建成投产10万吨耐磨钢球项目，在建10万吨耐磨材料、60万吨攀西钛精矿升级转化氯化钛渣、30万吨高端耐磨钢球、2万吨覆膜砂再生生产线项目，预计年内完工。加快推进美利林科技有限公司年产10万吨汽车零部件项目前期工作。成功举办钒钛耐磨铸造产业高质量发展大会和第十五届中国耐磨材料与耐磨件年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5 \* GB3 \* MERGEFORMAT </w:instrText>
      </w:r>
      <w:r>
        <w:rPr>
          <w:rFonts w:hint="default" w:ascii="Times New Roman" w:hAnsi="Times New Roman" w:eastAsia="仿宋_GB2312" w:cs="Times New Roman"/>
          <w:sz w:val="32"/>
          <w:szCs w:val="32"/>
        </w:rPr>
        <w:fldChar w:fldCharType="separate"/>
      </w:r>
      <w:r>
        <w:rPr>
          <w:sz w:val="32"/>
          <w:szCs w:val="32"/>
        </w:rPr>
        <w:t>⑤</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建设万吨级超细金属粉末产业园。已建成尚材三维航天级高性能球型钛粉末产业化项目一期、云钛实业70吨高品质球形钛粉项目，加快推进尚材三维二期、四川特冶500吨高品质纳米粉生产线、四川恒珲高纯钛（合金）粉末产业化及深加工项目建设，推进飞而康金属3D打印制造项目、宁波创润高端钛（合金）粉末产业化及深加工项目（一期）、创材深造数字化钒钛新材料研发中心等项目尽快落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6 \* GB3 \* MERGEFORMAT </w:instrText>
      </w:r>
      <w:r>
        <w:rPr>
          <w:rFonts w:hint="default" w:ascii="Times New Roman" w:hAnsi="Times New Roman" w:eastAsia="仿宋_GB2312" w:cs="Times New Roman"/>
          <w:sz w:val="32"/>
          <w:szCs w:val="32"/>
        </w:rPr>
        <w:fldChar w:fldCharType="separate"/>
      </w:r>
      <w:r>
        <w:rPr>
          <w:sz w:val="32"/>
          <w:szCs w:val="32"/>
        </w:rPr>
        <w:t>⑥</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建设安宁化工园。加快推进四川钒能含钒物料综合回收利用清洁化生产25000ta五氧化二钒项目、四川鑫途有色金属回收循环利用项目、龙佰矿冶20万吨氯化钛白粉及钒钪等稀有金属综合回收示范工程（配套100万吨高盐废水处理项目）建设。配套危化停车场、应急水池、特勤消防站等基础设施建设，积极招引落地关联配套产业，形成钛原料、钛化工、钛金属全产业链集群优势。 </w:t>
      </w:r>
    </w:p>
    <w:p>
      <w:pPr>
        <w:pStyle w:val="35"/>
        <w:spacing w:before="0" w:beforeAutospacing="0" w:after="0" w:afterAutospacing="0" w:line="576" w:lineRule="exact"/>
        <w:ind w:firstLine="663"/>
        <w:rPr>
          <w:rFonts w:hint="default" w:ascii="Times New Roman" w:hAnsi="Times New Roman" w:cs="Times New Roman"/>
        </w:rPr>
      </w:pPr>
      <w:r>
        <w:rPr>
          <w:rFonts w:hint="default" w:ascii="Times New Roman" w:hAnsi="Times New Roman" w:cs="Times New Roman"/>
        </w:rPr>
        <w:t>2.预算管理。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（1）基本支出</w:t>
      </w:r>
    </w:p>
    <w:p>
      <w:pPr>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全年预算安排473.42万元，主要用于：在职和退休人员基本工资、津贴补贴等人员经费以及办公费、印刷费、水电费、差旅费等日常公用经费。2024年一般财政</w:t>
      </w:r>
      <w:r>
        <w:rPr>
          <w:rFonts w:hint="eastAsia" w:eastAsia="仿宋_GB2312" w:cs="Times New Roman"/>
          <w:sz w:val="32"/>
          <w:szCs w:val="32"/>
          <w:lang w:val="en-US" w:eastAsia="zh-CN"/>
        </w:rPr>
        <w:t>拨款</w:t>
      </w:r>
      <w:r>
        <w:rPr>
          <w:rFonts w:hint="default" w:ascii="Times New Roman" w:hAnsi="Times New Roman" w:eastAsia="仿宋_GB2312" w:cs="Times New Roman"/>
          <w:sz w:val="32"/>
          <w:szCs w:val="32"/>
        </w:rPr>
        <w:t>基本支出决算数486.27万元，其中工资福利支出431.56万元，公用经费支出33.29万元，对个人和家庭补助支出21.42万元。按经济科目分类如下：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资福利支出431.56万元，其中：基本工资96.82万元；津贴补贴50.07元；奖金47.7万元；绩效工资95.66万元；机关事业单位基本养老保险缴费40.09万元；职业年金缴费6.76万元；职工基本医疗保险缴费23.28万元；公务员医疗补助缴费0.99万元；其他社会保障缴费1.35万元；住房公积金35.15万元；医疗费13.63万元；其他工</w:t>
      </w:r>
      <w:bookmarkStart w:id="63" w:name="_GoBack"/>
      <w:bookmarkEnd w:id="63"/>
      <w:r>
        <w:rPr>
          <w:rFonts w:hint="default" w:ascii="Times New Roman" w:hAnsi="Times New Roman" w:eastAsia="仿宋_GB2312" w:cs="Times New Roman"/>
          <w:sz w:val="32"/>
          <w:szCs w:val="32"/>
        </w:rPr>
        <w:t>资福利支出20.06万元。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商品和服务支出33.29万元，其中：办公费8.06万元；水费0.54万元；差旅费3.76万元；维修维护费0.92万元；会议费0.72万元；劳务费1万元；工会经费5.53万元；福利费2.2万元；其他交通费8.9万元。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对个人和家庭补助支出21.42万元，抚恤金2.09万元；生活补助18.54万元；医疗补助0.79万元。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“三公”经费情况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因公出国（境）费0元，公务用车购置及运行维护费0元；公务接待费0万元。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（2）项目支出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全年预算安排11965.44万元，主要用于以下项目：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1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年初部门预算安排园区发展建设专项经费12万元，根据盐财资建【2024】211号追加28.3万元，己完成支付40.3万元，完成率100%。项目资金主要用于推进各项目开展前期工作，建设以及落地，促进全县经济发展。项目完成较好，自评得分96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2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年初部门预算安排美利和四川天钒科技施工用电项目12.4万元，己完成支付12.4万元，完成率100%。项目资金主要用于开展盐边县安宁工业园区美利林及四川天钒公司临时施工用电工程，以解决项目进场施工用电需求。项目完成较好，自评得分95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3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③</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盐财资建【2024】295号文安排化工园区争创D级专项经费125.56万元，己完成支付125.56万元，完成率100%。该资金主要用于化工园实训基地建设需依托攀钢钒公司安全培训中心在现有设备基础上，完善氯化、电解、煤化工等重点监管工艺仿真设备，满足化工园实训基地建设相关要求。项目完成较好，自评得分94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4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④</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根据年初部门预算安排办公设备购置费1.18万元，己完成支付1.18万元，完成率100%。项目资金主要用于单位新购置电脑。项目完成较好，自评得分96分。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5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⑤</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盐财资建【2024】302号文下达省级资金，攀枝花钒钛园区安宁片区基础设施建设项目-特勤消防站项目139.98万元，己完成支付139.98万元，完成率100%。项目资金主要用于化工园实训基地建设需依托攀钢钒公司安全培训中心在现有设备基础上，完善氯化、电解、煤化工等重点监管工艺仿真设备，满足化工园实训基地建设相关要求。项目完成较好，自评得分96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6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⑥</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盐财资建【2024】346号文下达省级资金，攀枝花盐边安宁至美利林220千伏线路工程费1500万元，己完成支付1500万元，完成率100%。项目资金主要用于为加快推进美利林钒钛新材料股份公司化钛渣及配套钒钛耐磨材料项目建设。项目完成较好，自评得分94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7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⑦</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年初部门预算安排下达攀枝花钒钛化工业园区（安宁片区）总体规划及规划环评报告39万元，完成支付39万元，完成率100%。项目资金主要用于全攀枝花钒钛化工园区（安宁片区）总体规划及规划环评报告严格按国家和省、市、县环保局有关规定执行，完成报告编制瘩通过评审、备案。项目完成较好，自评得分95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8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⑧</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盐财资建【2024】290号文安排下达安宁工业园区地下水监测项目费10.15万元，己完成支付10.15万元，完成率100%。项目资金主要用于开展地下水水质监测和周边环境调查，并制定溯源方案。根据溯源结果，科学开展整治.项目完成较好，自评得分94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9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⑨</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盐财资行【2024】287号安排下达地下水监测周边环境调查项目经费18.8万元，己完成支付18.8万元，完成率100%。项目资金主要用于开展地下水水质监测和周边环境调查，并制定溯源方案。根据溯源结果，科学开展整治。项目完成较好，自评得分94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 10 \* GB3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⑩</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根据盐财资建【2024】118号文下达美利林钒钛股份公司供水管项目70万元，己完成支付70万元，完成率100%。项目资金主要用于为深入推进盐边钒钛开发区落地项目配套基础设施建设力度，尽快确保美利林钒钛新材料股份公司年产60万吨攀西钛精矿升级转化氯化钛渣项目和年产30万吨钒钛耐磨材料项目建设，需对部分供水管道进行施工。项目完成较好 ，自评得分95分。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微软雅黑" w:cs="Times New Roman"/>
          <w:sz w:val="32"/>
          <w:szCs w:val="32"/>
        </w:rPr>
        <w:t>⑪</w:t>
      </w:r>
      <w:r>
        <w:rPr>
          <w:rFonts w:hint="default" w:ascii="Times New Roman" w:hAnsi="Times New Roman" w:eastAsia="仿宋_GB2312" w:cs="Times New Roman"/>
          <w:sz w:val="32"/>
          <w:szCs w:val="32"/>
        </w:rPr>
        <w:t>根据盐财资建【2024】214号文下达园区安宁路标线施工项目费8.8万元，己完成支付8.8万元，完成率100%。项目资金主要用于安宁路标线及导向箭头和减速震荡线进行重新划。。项目完成较好，自评得分95分。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⑫根据盐财资建【2024】226号文下达2022年绿色低碳产业重点园区补助项目63.44万元，己完成支付63.44万元，完成率100%。项目资金主要用于完成了安宁片区安全风险智能化管控平台建设。项目完成较好，自评得分94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⑬根据盐财金资【2024】18、19号文下达盐边县安宁水厂配套输水管道项目9935.84万元，己完成支付9935.84万元，完成率100%。项目资金主要用于主要建设日供水量4吨的净水厂一座，包含取水工程、供水 工程、自动化监测系统等 ，建设输水管道30km，道路恢复4.69km等配套基础设施。项目完成较好，自评得分94分。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3.财务管理。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严格按照《财政总预算会计制度》和本单位财务管理制度执行，资金支付均采用“一支笔”审批制度；严格按照预算规定的支出用途使用资金；会计核算按权责发生制的确认原则按新行政单位会计制度执行。部门决算的组织、编报按程序进行并且审核已通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4.资产管理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建立规范的国有资产管理制度，按照规定对单位资产的账卡管理、清查登记、统计报告及日常监督检查，单位处置资产时严格审批程序，并将资产处置费上缴财政。接受财政部门的指导和监督。</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5.采购管理。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根据实际需求明确采购项目、预算及时间安排，并经领导审批后根据采购金额和性质选择采购方式。2024年采购支出1.18万元，其中授予小微企业合同金额1.18万元。</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（二）部门预算项目绩效分析。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常年项目绩效分析。该类项目总数3个，涉及预算总金额52.58万元，1—12月预算执行总体进度为100 %，其中：预算结余率大于10%的项目共计0个。</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阶段（含一次性）项目绩效分析。该类项目总数13个，涉及预算总金额 11912.86万元，1—12月预算执行总体进度为100 %，其中：预算结余率大于10%的项目共计0个。</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（三）绩效结果应用情况。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根据年初绩效目标，参照经费管理使用要求和相应项目实施方案要求进行收支管理，做到专款专用，投入到位，发挥效益。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四、评价结论及建议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（一）评价结论。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根据盐边县财政局《关于开展2024年度预算绩效自评工作的通知》（盐边财绩【2025】2号文件精神，围绕预算编制、预算执行、支出绩效三个方面对2024年度预算绩效进行了认真自评，完成较好，自评得分95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（二）存在问题。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项目的经济社会效益指标、可持续影响力指标难以量化评估。</w:t>
      </w:r>
    </w:p>
    <w:p>
      <w:pPr>
        <w:spacing w:line="550" w:lineRule="exact"/>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（三）改进建议。</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无</w:t>
      </w:r>
    </w:p>
    <w:p>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6"/>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4"/>
        <w:spacing w:line="578" w:lineRule="exact"/>
        <w:jc w:val="center"/>
        <w:rPr>
          <w:rFonts w:hint="default" w:ascii="Times New Roman" w:hAnsi="Times New Roman" w:eastAsia="方正小标宋简体" w:cs="Times New Roman"/>
          <w:color w:val="auto"/>
          <w:kern w:val="2"/>
          <w:sz w:val="44"/>
          <w:szCs w:val="44"/>
          <w:lang w:val="en-US"/>
        </w:rPr>
      </w:pPr>
    </w:p>
    <w:p>
      <w:pPr>
        <w:spacing w:line="0" w:lineRule="atLeast"/>
        <w:jc w:val="center"/>
        <w:rPr>
          <w:rFonts w:hint="default" w:ascii="Times New Roman" w:hAnsi="Times New Roman" w:eastAsia="方正楷体_GBK" w:cs="Times New Roman"/>
          <w:b/>
          <w:szCs w:val="32"/>
        </w:rPr>
      </w:pPr>
      <w:bookmarkStart w:id="49" w:name="_Toc15396618"/>
      <w:r>
        <w:rPr>
          <w:rFonts w:hint="default" w:ascii="Times New Roman" w:hAnsi="Times New Roman" w:eastAsia="方正小标宋_GBK" w:cs="Times New Roman"/>
          <w:b/>
          <w:sz w:val="44"/>
          <w:szCs w:val="44"/>
        </w:rPr>
        <w:t>攀枝花钒钛化工园区安宁片区基础设施建设项目-特勤消防站建设项目绩效自评报告</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一、项目概况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（一）项目基本情况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1.项目主管部门：盐边钒钛产业开发区管理委员会，负责项目战略规划、资源协调、监督执行及日常管理。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2.项目由盐边县发展和改革局备案审批，（备案号：川投资备【2208-510422-04-01-581535】FGQB-0466号），省级资金139.98万元依据盐财资建【2024】302号文下达。</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3.资金管理：管理办法：参照《四川省省级财政专项资金管理办法》，明确资金使用范围（土建、设备采购、人员培训等），采用直接拨付方式，按进度支付。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分配原则：资金分配遵循公平、公正、公开的原则，充分考虑项目的实际需求和重要性。在分配过程中，重点考量项目的规模大小、技术难度、建设周期等因素，确保资金能够合理配置，优先满足关键环节和重点任务的资金需求，保障项目顺利实施。</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（二）项目绩效目标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主要内容：特勤消防站规划总用地面积6652.28㎡，消防站建筑面积4311.48㎡，训练塔309.40㎡，室外训练场地1182.71㎡，道路及回车场1733.49㎡，绿化1998.94㎡。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目标合理性：申报内容与实际建设需求一致，工期8个月，预算匹配工程量，可行性经第三方机构评估确认。</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（三）项目自评步骤及方法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步骤：数据采集：通过财务台账、工程进度表、验收报告等收集信息。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现场核查：联合住建局、财政局实地查验工程质量与进度。分析评价：采用目标对比法（实际完成 vs 计划目标）、成本效益分析法。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方法：量化评分（满分100分），权重分配：完成度40%、资金规范30%、效益20%、满意度10%。</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二、项目资金申报及使用情况</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（一）资金申报及批复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资金申报严格按照相关规定和程序进行。项目单位在项目立项后，及时编制了资金申报材料，详细阐述了项目的基本情况、建设内容、资金需求等信息，并报送至相关部门进行审核。经层层审核，依据盐财资建【2024】302号文下达139.98万元，整个资金申报及批复过程规范、透明，确保了项目资金的及时到位。</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（二）资金计划、到位及使用（单位：万元）</w:t>
      </w:r>
    </w:p>
    <w:tbl>
      <w:tblPr>
        <w:tblStyle w:val="19"/>
        <w:tblW w:w="8456" w:type="dxa"/>
        <w:tblInd w:w="0" w:type="dxa"/>
        <w:tblLayout w:type="fixed"/>
        <w:tblCellMar>
          <w:top w:w="15" w:type="dxa"/>
          <w:left w:w="15" w:type="dxa"/>
          <w:bottom w:w="15" w:type="dxa"/>
          <w:right w:w="15" w:type="dxa"/>
        </w:tblCellMar>
      </w:tblPr>
      <w:tblGrid>
        <w:gridCol w:w="1339"/>
        <w:gridCol w:w="1510"/>
        <w:gridCol w:w="1511"/>
        <w:gridCol w:w="1343"/>
        <w:gridCol w:w="1563"/>
        <w:gridCol w:w="1190"/>
      </w:tblGrid>
      <w:tr>
        <w:tblPrEx>
          <w:tblLayout w:type="fixed"/>
          <w:tblCellMar>
            <w:top w:w="15" w:type="dxa"/>
            <w:left w:w="15" w:type="dxa"/>
            <w:bottom w:w="15" w:type="dxa"/>
            <w:right w:w="15" w:type="dxa"/>
          </w:tblCellMar>
        </w:tblPrEx>
        <w:trPr>
          <w:tblHeader/>
        </w:trPr>
        <w:tc>
          <w:tcPr>
            <w:tcW w:w="1339" w:type="dxa"/>
            <w:tcBorders>
              <w:top w:val="nil"/>
            </w:tcBorders>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资金类别</w:t>
            </w:r>
          </w:p>
        </w:tc>
        <w:tc>
          <w:tcPr>
            <w:tcW w:w="1510"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计划金额</w:t>
            </w:r>
          </w:p>
        </w:tc>
        <w:tc>
          <w:tcPr>
            <w:tcW w:w="1511"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到位金额</w:t>
            </w:r>
          </w:p>
        </w:tc>
        <w:tc>
          <w:tcPr>
            <w:tcW w:w="1343"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到位率</w:t>
            </w:r>
          </w:p>
        </w:tc>
        <w:tc>
          <w:tcPr>
            <w:tcW w:w="1563"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支出金额</w:t>
            </w:r>
          </w:p>
        </w:tc>
        <w:tc>
          <w:tcPr>
            <w:tcW w:w="1190"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结余</w:t>
            </w:r>
          </w:p>
        </w:tc>
      </w:tr>
      <w:tr>
        <w:tblPrEx>
          <w:tblLayout w:type="fixed"/>
          <w:tblCellMar>
            <w:top w:w="15" w:type="dxa"/>
            <w:left w:w="15" w:type="dxa"/>
            <w:bottom w:w="15" w:type="dxa"/>
            <w:right w:w="15" w:type="dxa"/>
          </w:tblCellMar>
        </w:tblPrEx>
        <w:tc>
          <w:tcPr>
            <w:tcW w:w="1339" w:type="dxa"/>
            <w:shd w:val="clear" w:color="auto" w:fill="auto"/>
            <w:tcMar>
              <w:top w:w="150" w:type="dxa"/>
              <w:left w:w="0" w:type="dxa"/>
              <w:bottom w:w="150" w:type="dxa"/>
              <w:right w:w="150" w:type="dxa"/>
            </w:tcMar>
            <w:vAlign w:val="center"/>
          </w:tcPr>
          <w:p>
            <w:pPr>
              <w:rPr>
                <w:rFonts w:hint="default" w:ascii="Times New Roman" w:hAnsi="Times New Roman" w:eastAsia="方正黑体_GBK" w:cs="Times New Roman"/>
                <w:sz w:val="32"/>
              </w:rPr>
            </w:pPr>
            <w:r>
              <w:rPr>
                <w:rFonts w:hint="default" w:ascii="Times New Roman" w:hAnsi="Times New Roman" w:eastAsia="方正黑体_GBK" w:cs="Times New Roman"/>
                <w:sz w:val="24"/>
              </w:rPr>
              <w:t>省级资金</w:t>
            </w:r>
          </w:p>
        </w:tc>
        <w:tc>
          <w:tcPr>
            <w:tcW w:w="1510" w:type="dxa"/>
            <w:shd w:val="clear" w:color="auto" w:fill="auto"/>
            <w:tcMar>
              <w:top w:w="150" w:type="dxa"/>
              <w:left w:w="150" w:type="dxa"/>
              <w:bottom w:w="150" w:type="dxa"/>
              <w:right w:w="150" w:type="dxa"/>
            </w:tcMar>
            <w:vAlign w:val="center"/>
          </w:tcPr>
          <w:p>
            <w:pPr>
              <w:rPr>
                <w:rFonts w:hint="default" w:ascii="Times New Roman" w:hAnsi="Times New Roman" w:eastAsia="方正黑体_GBK" w:cs="Times New Roman"/>
                <w:sz w:val="32"/>
              </w:rPr>
            </w:pPr>
            <w:r>
              <w:rPr>
                <w:rFonts w:hint="default" w:ascii="Times New Roman" w:hAnsi="Times New Roman" w:eastAsia="方正黑体_GBK" w:cs="Times New Roman"/>
                <w:sz w:val="32"/>
              </w:rPr>
              <w:t>0</w:t>
            </w:r>
          </w:p>
        </w:tc>
        <w:tc>
          <w:tcPr>
            <w:tcW w:w="1511" w:type="dxa"/>
            <w:shd w:val="clear" w:color="auto" w:fill="auto"/>
            <w:tcMar>
              <w:top w:w="150" w:type="dxa"/>
              <w:left w:w="150" w:type="dxa"/>
              <w:bottom w:w="150" w:type="dxa"/>
              <w:right w:w="150" w:type="dxa"/>
            </w:tcMar>
            <w:vAlign w:val="center"/>
          </w:tcPr>
          <w:p>
            <w:pPr>
              <w:rPr>
                <w:rFonts w:hint="default" w:ascii="Times New Roman" w:hAnsi="Times New Roman" w:eastAsia="方正黑体_GBK" w:cs="Times New Roman"/>
                <w:sz w:val="32"/>
              </w:rPr>
            </w:pPr>
            <w:r>
              <w:rPr>
                <w:rFonts w:hint="default" w:ascii="Times New Roman" w:hAnsi="Times New Roman" w:eastAsia="方正黑体_GBK" w:cs="Times New Roman"/>
                <w:sz w:val="32"/>
              </w:rPr>
              <w:t>139.98</w:t>
            </w:r>
          </w:p>
        </w:tc>
        <w:tc>
          <w:tcPr>
            <w:tcW w:w="1343" w:type="dxa"/>
            <w:shd w:val="clear" w:color="auto" w:fill="auto"/>
            <w:tcMar>
              <w:top w:w="150" w:type="dxa"/>
              <w:left w:w="150" w:type="dxa"/>
              <w:bottom w:w="150" w:type="dxa"/>
              <w:right w:w="150" w:type="dxa"/>
            </w:tcMar>
            <w:vAlign w:val="center"/>
          </w:tcPr>
          <w:p>
            <w:pPr>
              <w:rPr>
                <w:rFonts w:hint="default" w:ascii="Times New Roman" w:hAnsi="Times New Roman" w:eastAsia="方正黑体_GBK" w:cs="Times New Roman"/>
                <w:sz w:val="32"/>
              </w:rPr>
            </w:pPr>
            <w:r>
              <w:rPr>
                <w:rFonts w:hint="default" w:ascii="Times New Roman" w:hAnsi="Times New Roman" w:eastAsia="方正黑体_GBK" w:cs="Times New Roman"/>
                <w:sz w:val="32"/>
              </w:rPr>
              <w:t>100%</w:t>
            </w:r>
          </w:p>
        </w:tc>
        <w:tc>
          <w:tcPr>
            <w:tcW w:w="1563" w:type="dxa"/>
            <w:shd w:val="clear" w:color="auto" w:fill="auto"/>
            <w:tcMar>
              <w:top w:w="150" w:type="dxa"/>
              <w:left w:w="150" w:type="dxa"/>
              <w:bottom w:w="150" w:type="dxa"/>
              <w:right w:w="150" w:type="dxa"/>
            </w:tcMar>
            <w:vAlign w:val="center"/>
          </w:tcPr>
          <w:p>
            <w:pPr>
              <w:rPr>
                <w:rFonts w:hint="default" w:ascii="Times New Roman" w:hAnsi="Times New Roman" w:eastAsia="方正黑体_GBK" w:cs="Times New Roman"/>
                <w:sz w:val="32"/>
              </w:rPr>
            </w:pPr>
            <w:r>
              <w:rPr>
                <w:rFonts w:hint="default" w:ascii="Times New Roman" w:hAnsi="Times New Roman" w:eastAsia="方正黑体_GBK" w:cs="Times New Roman"/>
                <w:sz w:val="32"/>
              </w:rPr>
              <w:t>139.98</w:t>
            </w:r>
          </w:p>
        </w:tc>
        <w:tc>
          <w:tcPr>
            <w:tcW w:w="1190" w:type="dxa"/>
            <w:shd w:val="clear" w:color="auto" w:fill="auto"/>
            <w:tcMar>
              <w:top w:w="150" w:type="dxa"/>
              <w:left w:w="150" w:type="dxa"/>
              <w:bottom w:w="150" w:type="dxa"/>
              <w:right w:w="150" w:type="dxa"/>
            </w:tcMar>
            <w:vAlign w:val="center"/>
          </w:tcPr>
          <w:p>
            <w:pPr>
              <w:rPr>
                <w:rFonts w:hint="default" w:ascii="Times New Roman" w:hAnsi="Times New Roman" w:eastAsia="方正黑体_GBK" w:cs="Times New Roman"/>
                <w:sz w:val="32"/>
              </w:rPr>
            </w:pPr>
            <w:r>
              <w:rPr>
                <w:rFonts w:hint="default" w:ascii="Times New Roman" w:hAnsi="Times New Roman" w:eastAsia="方正黑体_GBK" w:cs="Times New Roman"/>
                <w:sz w:val="32"/>
              </w:rPr>
              <w:t>0</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分析：截至评价时点，项目资金已全部到位，到位率为 100%。资金及时到位为项目的顺利实施提供了有力保障，确保了项目能够按照计划进度推进，未出现因资金短缺而导致项目延误的情况。</w:t>
      </w:r>
    </w:p>
    <w:p>
      <w:pPr>
        <w:ind w:firstLine="640" w:firstLineChars="200"/>
        <w:rPr>
          <w:rFonts w:hint="default" w:ascii="Times New Roman" w:hAnsi="Times New Roman" w:eastAsia="方正黑体_GBK" w:cs="Times New Roman"/>
          <w:sz w:val="32"/>
        </w:rPr>
      </w:pPr>
      <w:r>
        <w:rPr>
          <w:rFonts w:hint="default" w:ascii="Times New Roman" w:hAnsi="Times New Roman" w:eastAsia="仿宋_GB2312" w:cs="Times New Roman"/>
          <w:sz w:val="32"/>
          <w:szCs w:val="32"/>
        </w:rPr>
        <w:t>3.资金使用：截至评价时点，资金支出主要用于设备采购、施工安装、技术服务等方面。在资金使用过程中，严格遵守相关财务管理制度，资金支付范围、支付标准、支付进度、支付依据等均符合合规合法要求，与预算基本相符。但在自评过程中发现，部分资金支付流程存在一定的延迟，主要原因是相关审批手续繁琐，导致资金支付效率有待提高</w:t>
      </w:r>
      <w:r>
        <w:rPr>
          <w:rFonts w:hint="default" w:ascii="Times New Roman" w:hAnsi="Times New Roman" w:eastAsia="方正黑体_GBK" w:cs="Times New Roman"/>
          <w:sz w:val="32"/>
        </w:rPr>
        <w:t>。</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（三）财务管理情况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制度健全：严格执行《政府会计制度》，专账核算，定期内部审计。</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三、项目实施及管理情况</w:t>
      </w:r>
    </w:p>
    <w:p>
      <w:pPr>
        <w:ind w:firstLine="643" w:firstLineChars="200"/>
        <w:rPr>
          <w:rFonts w:hint="default" w:ascii="Times New Roman" w:hAnsi="Times New Roman" w:eastAsia="方正黑体_GBK" w:cs="Times New Roman"/>
          <w:sz w:val="32"/>
        </w:rPr>
      </w:pPr>
      <w:r>
        <w:rPr>
          <w:rFonts w:hint="default" w:ascii="Times New Roman" w:hAnsi="Times New Roman" w:eastAsia="方正黑体_GBK" w:cs="Times New Roman"/>
          <w:b/>
          <w:bCs/>
          <w:sz w:val="32"/>
        </w:rPr>
        <w:t>（一）组织架构与流程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领导小组：管委会主任任组长，下设工程、财务、监督组成的工作组。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实施流程：设计→招标（公开招标率100%）→施工→分段验收→审计结算。</w:t>
      </w:r>
    </w:p>
    <w:p>
      <w:pPr>
        <w:ind w:firstLine="643" w:firstLineChars="200"/>
        <w:rPr>
          <w:rFonts w:hint="default" w:ascii="Times New Roman" w:hAnsi="Times New Roman" w:eastAsia="方正黑体_GBK" w:cs="Times New Roman"/>
          <w:b/>
          <w:bCs/>
          <w:sz w:val="32"/>
        </w:rPr>
      </w:pPr>
      <w:r>
        <w:rPr>
          <w:rFonts w:hint="default" w:ascii="Times New Roman" w:hAnsi="Times New Roman" w:eastAsia="方正黑体_GBK" w:cs="Times New Roman"/>
          <w:b/>
          <w:bCs/>
          <w:sz w:val="32"/>
        </w:rPr>
        <w:t>（二）项目管理</w:t>
      </w:r>
    </w:p>
    <w:p>
      <w:pPr>
        <w:ind w:firstLine="640" w:firstLineChars="200"/>
        <w:rPr>
          <w:rFonts w:hint="default" w:ascii="Times New Roman" w:hAnsi="Times New Roman" w:eastAsia="方正黑体_GBK" w:cs="Times New Roman"/>
          <w:sz w:val="32"/>
        </w:rPr>
      </w:pPr>
      <w:r>
        <w:rPr>
          <w:rFonts w:hint="default" w:ascii="Times New Roman" w:hAnsi="Times New Roman" w:eastAsia="仿宋_GB2312" w:cs="Times New Roman"/>
          <w:sz w:val="32"/>
          <w:szCs w:val="32"/>
        </w:rPr>
        <w:t>各项目实施单位严格执行相关法律法规及项目管理制度，在招投标、政府采购、项目公示制等方面均符合相关规定。在招投标过程中，严格遵循公开、公平、公正的原则，确保招标过程规范透明；在政府采购方面，按照政府采购程序进行操作，保证采购活动合法合规。</w:t>
      </w:r>
    </w:p>
    <w:p>
      <w:pPr>
        <w:ind w:firstLine="643" w:firstLineChars="200"/>
        <w:rPr>
          <w:rFonts w:hint="default" w:ascii="Times New Roman" w:hAnsi="Times New Roman" w:eastAsia="方正黑体_GBK" w:cs="Times New Roman"/>
          <w:b/>
          <w:bCs/>
          <w:sz w:val="32"/>
        </w:rPr>
      </w:pPr>
      <w:r>
        <w:rPr>
          <w:rFonts w:hint="default" w:ascii="Times New Roman" w:hAnsi="Times New Roman" w:eastAsia="方正黑体_GBK" w:cs="Times New Roman"/>
          <w:b/>
          <w:bCs/>
          <w:sz w:val="32"/>
        </w:rPr>
        <w:t>（三）项目监管</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监管手段：月度进度报告+季度联合检查+第三方质量检测。</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四、项目绩效情况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（一）项目完成情况</w:t>
      </w:r>
    </w:p>
    <w:tbl>
      <w:tblPr>
        <w:tblStyle w:val="19"/>
        <w:tblW w:w="8456" w:type="dxa"/>
        <w:tblInd w:w="0" w:type="dxa"/>
        <w:tblLayout w:type="fixed"/>
        <w:tblCellMar>
          <w:top w:w="15" w:type="dxa"/>
          <w:left w:w="15" w:type="dxa"/>
          <w:bottom w:w="15" w:type="dxa"/>
          <w:right w:w="15" w:type="dxa"/>
        </w:tblCellMar>
      </w:tblPr>
      <w:tblGrid>
        <w:gridCol w:w="2217"/>
        <w:gridCol w:w="2147"/>
        <w:gridCol w:w="2147"/>
        <w:gridCol w:w="1639"/>
        <w:gridCol w:w="306"/>
      </w:tblGrid>
      <w:tr>
        <w:tblPrEx>
          <w:tblLayout w:type="fixed"/>
          <w:tblCellMar>
            <w:top w:w="15" w:type="dxa"/>
            <w:left w:w="15" w:type="dxa"/>
            <w:bottom w:w="15" w:type="dxa"/>
            <w:right w:w="15" w:type="dxa"/>
          </w:tblCellMar>
        </w:tblPrEx>
        <w:trPr>
          <w:tblHeader/>
        </w:trPr>
        <w:tc>
          <w:tcPr>
            <w:tcW w:w="2217" w:type="dxa"/>
            <w:tcBorders>
              <w:top w:val="nil"/>
            </w:tcBorders>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指标</w:t>
            </w:r>
          </w:p>
        </w:tc>
        <w:tc>
          <w:tcPr>
            <w:tcW w:w="2147"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目标值</w:t>
            </w:r>
          </w:p>
        </w:tc>
        <w:tc>
          <w:tcPr>
            <w:tcW w:w="2147"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完成值</w:t>
            </w:r>
          </w:p>
        </w:tc>
        <w:tc>
          <w:tcPr>
            <w:tcW w:w="1639"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完成率</w:t>
            </w:r>
          </w:p>
        </w:tc>
        <w:tc>
          <w:tcPr>
            <w:tcW w:w="306" w:type="dxa"/>
            <w:tcBorders>
              <w:top w:val="nil"/>
            </w:tcBorders>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p>
        </w:tc>
      </w:tr>
      <w:tr>
        <w:tblPrEx>
          <w:tblLayout w:type="fixed"/>
          <w:tblCellMar>
            <w:top w:w="15" w:type="dxa"/>
            <w:left w:w="15" w:type="dxa"/>
            <w:bottom w:w="15" w:type="dxa"/>
            <w:right w:w="15" w:type="dxa"/>
          </w:tblCellMar>
        </w:tblPrEx>
        <w:tc>
          <w:tcPr>
            <w:tcW w:w="2217" w:type="dxa"/>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消防站建筑面积</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4311.48㎡</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4311.48㎡</w:t>
            </w:r>
          </w:p>
        </w:tc>
        <w:tc>
          <w:tcPr>
            <w:tcW w:w="1639"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c>
          <w:tcPr>
            <w:tcW w:w="306"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p>
        </w:tc>
      </w:tr>
      <w:tr>
        <w:tblPrEx>
          <w:tblLayout w:type="fixed"/>
          <w:tblCellMar>
            <w:top w:w="15" w:type="dxa"/>
            <w:left w:w="15" w:type="dxa"/>
            <w:bottom w:w="15" w:type="dxa"/>
            <w:right w:w="15" w:type="dxa"/>
          </w:tblCellMar>
        </w:tblPrEx>
        <w:tc>
          <w:tcPr>
            <w:tcW w:w="2217" w:type="dxa"/>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训练塔</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309.40㎡</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309.40㎡</w:t>
            </w:r>
          </w:p>
        </w:tc>
        <w:tc>
          <w:tcPr>
            <w:tcW w:w="1639"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c>
          <w:tcPr>
            <w:tcW w:w="306"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p>
        </w:tc>
      </w:tr>
      <w:tr>
        <w:tblPrEx>
          <w:tblLayout w:type="fixed"/>
          <w:tblCellMar>
            <w:top w:w="15" w:type="dxa"/>
            <w:left w:w="15" w:type="dxa"/>
            <w:bottom w:w="15" w:type="dxa"/>
            <w:right w:w="15" w:type="dxa"/>
          </w:tblCellMar>
        </w:tblPrEx>
        <w:tc>
          <w:tcPr>
            <w:tcW w:w="2217" w:type="dxa"/>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道路及回车场</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1733.49㎡</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1733.49㎡</w:t>
            </w:r>
          </w:p>
        </w:tc>
        <w:tc>
          <w:tcPr>
            <w:tcW w:w="1639"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c>
          <w:tcPr>
            <w:tcW w:w="306"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p>
        </w:tc>
      </w:tr>
      <w:tr>
        <w:tblPrEx>
          <w:tblLayout w:type="fixed"/>
          <w:tblCellMar>
            <w:top w:w="15" w:type="dxa"/>
            <w:left w:w="15" w:type="dxa"/>
            <w:bottom w:w="15" w:type="dxa"/>
            <w:right w:w="15" w:type="dxa"/>
          </w:tblCellMar>
        </w:tblPrEx>
        <w:tc>
          <w:tcPr>
            <w:tcW w:w="2217" w:type="dxa"/>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工期</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8个月</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8个月</w:t>
            </w:r>
          </w:p>
        </w:tc>
        <w:tc>
          <w:tcPr>
            <w:tcW w:w="1639"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c>
          <w:tcPr>
            <w:tcW w:w="306"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p>
        </w:tc>
      </w:tr>
      <w:tr>
        <w:tblPrEx>
          <w:tblLayout w:type="fixed"/>
        </w:tblPrEx>
        <w:tc>
          <w:tcPr>
            <w:tcW w:w="2217" w:type="dxa"/>
            <w:shd w:val="clear" w:color="auto" w:fill="auto"/>
            <w:tcMar>
              <w:top w:w="150" w:type="dxa"/>
              <w:left w:w="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成本</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179.98万元</w:t>
            </w:r>
          </w:p>
        </w:tc>
        <w:tc>
          <w:tcPr>
            <w:tcW w:w="2147"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180.80万元</w:t>
            </w:r>
          </w:p>
        </w:tc>
        <w:tc>
          <w:tcPr>
            <w:tcW w:w="1639"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99.5%</w:t>
            </w:r>
          </w:p>
        </w:tc>
        <w:tc>
          <w:tcPr>
            <w:tcW w:w="306" w:type="dxa"/>
            <w:shd w:val="clear" w:color="auto" w:fill="auto"/>
            <w:tcMar>
              <w:top w:w="150" w:type="dxa"/>
              <w:left w:w="150" w:type="dxa"/>
              <w:bottom w:w="150" w:type="dxa"/>
              <w:right w:w="150" w:type="dxa"/>
            </w:tcMar>
            <w:vAlign w:val="center"/>
          </w:tcPr>
          <w:p>
            <w:pPr>
              <w:ind w:firstLine="640" w:firstLineChars="200"/>
              <w:rPr>
                <w:rFonts w:hint="default" w:ascii="Times New Roman" w:hAnsi="Times New Roman" w:eastAsia="仿宋_GB2312" w:cs="Times New Roman"/>
                <w:sz w:val="32"/>
                <w:szCs w:val="32"/>
              </w:rPr>
            </w:pPr>
          </w:p>
        </w:tc>
      </w:tr>
    </w:tbl>
    <w:p>
      <w:pPr>
        <w:ind w:firstLine="643" w:firstLineChars="200"/>
        <w:rPr>
          <w:rFonts w:hint="default" w:ascii="Times New Roman" w:hAnsi="Times New Roman" w:eastAsia="方正黑体_GBK" w:cs="Times New Roman"/>
          <w:b/>
          <w:bCs/>
          <w:sz w:val="32"/>
        </w:rPr>
      </w:pPr>
      <w:r>
        <w:rPr>
          <w:rFonts w:hint="default" w:ascii="Times New Roman" w:hAnsi="Times New Roman" w:eastAsia="方正黑体_GBK" w:cs="Times New Roman"/>
          <w:b/>
          <w:bCs/>
          <w:sz w:val="32"/>
        </w:rPr>
        <w:t>（二）项目效益</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1.社会效益：提升园区消防救援响应速度至10分钟内，覆盖企业50余家。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2.生态效益：绿化率达30%，采用雨水回收系统，年节水500吨。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3.满意度：企业满意度调查得分92分（满分100）。</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五、评价结论及建议</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（一）评价结论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综合得分：89分（优秀），核心目标全部完成，资金使用规范，效益显著。</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（二）存在问题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施工前期管理协调不足，导致进度稍有滞后。</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（三）相关建议</w:t>
      </w:r>
    </w:p>
    <w:p>
      <w:pPr>
        <w:ind w:firstLine="72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建立跨部门资金协调机制，确保配套资金按时到位。</w:t>
      </w:r>
    </w:p>
    <w:p>
      <w:pPr>
        <w:pStyle w:val="2"/>
        <w:rPr>
          <w:rFonts w:hint="default" w:ascii="Times New Roman" w:hAnsi="Times New Roman" w:cs="Times New Roman"/>
          <w:b w:val="0"/>
          <w:bCs/>
        </w:rPr>
      </w:pPr>
      <w:r>
        <w:rPr>
          <w:rFonts w:hint="default" w:ascii="Times New Roman" w:hAnsi="Times New Roman" w:cs="Times New Roman"/>
          <w:b w:val="0"/>
          <w:bCs/>
        </w:rPr>
        <w:t>附件3</w:t>
      </w:r>
    </w:p>
    <w:p>
      <w:pPr>
        <w:spacing w:line="0" w:lineRule="atLeast"/>
        <w:jc w:val="center"/>
        <w:rPr>
          <w:rFonts w:hint="default" w:ascii="Times New Roman" w:hAnsi="Times New Roman" w:eastAsia="方正楷体_GBK" w:cs="Times New Roman"/>
          <w:b/>
          <w:szCs w:val="32"/>
        </w:rPr>
      </w:pPr>
      <w:r>
        <w:rPr>
          <w:rFonts w:hint="default" w:ascii="Times New Roman" w:hAnsi="Times New Roman" w:eastAsia="方正小标宋_GBK" w:cs="Times New Roman"/>
          <w:b/>
          <w:sz w:val="44"/>
          <w:szCs w:val="44"/>
        </w:rPr>
        <w:t>攀枝花盐边安宁至美利林220千伏线路工程专项预算项目绩效自评报告</w:t>
      </w:r>
    </w:p>
    <w:p>
      <w:pPr>
        <w:pStyle w:val="34"/>
        <w:spacing w:line="600" w:lineRule="exact"/>
        <w:ind w:firstLine="640"/>
        <w:jc w:val="center"/>
        <w:rPr>
          <w:rFonts w:hint="default" w:ascii="Times New Roman" w:hAnsi="Times New Roman" w:cs="Times New Roman"/>
          <w:color w:val="auto"/>
          <w:kern w:val="2"/>
          <w:sz w:val="32"/>
          <w:szCs w:val="32"/>
        </w:rPr>
      </w:pPr>
    </w:p>
    <w:p>
      <w:pPr>
        <w:numPr>
          <w:ilvl w:val="0"/>
          <w:numId w:val="1"/>
        </w:numP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项目概况</w:t>
      </w:r>
    </w:p>
    <w:p>
      <w:pPr>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（一）项目基本情况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1.项目主管部门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钒钛产业开发区管理委员会作为项目主管部门，在项目管理中发挥着核心作用。其一，负责制定项目的战略方向和目标，为项目发展指明清晰路径；其二，协调各方资源，提供项目所需的人力、物力和财力支持；其三，建立健全监督机制，对项目的进展情况进行全方位监督；其四，承担项目的日常管理和执行工作，确保各项任务有序推进；其五，及时发现并解决项目过程中出现的各类问题，保障项目顺利实施；其六，积极开展项目的沟通和协调工作，加强与各方的联系与合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2.项目立项与资金下达</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该项目经由四川</w:t>
      </w:r>
      <w:r>
        <w:rPr>
          <w:rFonts w:hint="eastAsia" w:eastAsia="仿宋_GB2312" w:cs="Times New Roman"/>
          <w:sz w:val="32"/>
          <w:szCs w:val="32"/>
          <w:lang w:eastAsia="zh-CN"/>
        </w:rPr>
        <w:t>省发展和改革委员会</w:t>
      </w:r>
      <w:r>
        <w:rPr>
          <w:rFonts w:hint="default" w:ascii="Times New Roman" w:hAnsi="Times New Roman" w:eastAsia="仿宋_GB2312" w:cs="Times New Roman"/>
          <w:sz w:val="32"/>
          <w:szCs w:val="32"/>
        </w:rPr>
        <w:t>批准立项，批准文号为川发改能源【2024】217 号，具备充分的政策依据和合法性。依据盐财资建【2024】346 号文，下达省级资金 1500 万元，专项用于攀枝花盐边安宁至美利林 220 千伏线路工程建设，为项目的启动和实施提供了坚实的资金保障。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3.资金管理办法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针对该项目已制定了完善的资金管理办法。资金支持的具体项目条件明确，要求项目符合区域电力发展规划，具备良好的经济效益和社会效益。支持范围涵盖线路工程建设的各项费用，包括设备采购、施工安装、技术服务等。支持方式采用直接拨款的形式，确保资金专款专用，提高资金使用效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4.资金分配原则及考虑因素</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分配遵循公平、公正、公开的原则，充分考虑项目的实际需求和重要性。在分配过程中，重点考量项目的规模大小、技术难度、建设周期等因素，确保资金能够合理配置，优先满足关键环节和重点任务的资金需求，保障项目顺利实施。</w:t>
      </w:r>
    </w:p>
    <w:p>
      <w:pPr>
        <w:widowControl/>
        <w:spacing w:line="24" w:lineRule="atLeast"/>
        <w:ind w:left="-360"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（二）项目绩效目标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1.项目主要内容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扩建、完善安宁220千伏变电站220千伏出线间隔各1个；新建安宁—美利林两条单回220千伏线路3.19+3.26千米，其中：安宁—美利林一线单回架设3.15千米、导线截面500平方毫米，敷设电缆0.04千米、电缆截面800平方毫米；安宁—美利林二线单回架设3千米、导线截面500平方毫米，敷设电缆0.26千米、电缆截面800平方毫米。这些建设内容对于提升区域电力输送能力，优化电网结构具有重要意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2.项目实施计划与目标量化</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扩建、完善安宁220千伏变电站220千伏出线间隔各1个，安宁—美利林一线单回架设3.15千米，二线单回架设3千米。2024年9月13日，盐边钒钛集团经公开招标确定项目施工单位为攀枝花网源电力有限公司，项目工程于2024年10月开工建设，2025年1月完工，并于2025年3月6日由国网攀枝花供电公司完成初步验收。在绩效目标量化方面，明确规定了线路建设的长度、导线和电缆的规格等具体指标，同时设定了严格的时间节点，确保项目按时、高质量完成。具体绩效目标，包括目标的量化、细化情况以及项目实施进度计划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3.申报内容与目标合理性：</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核查，项目申报内容与实际建设情况完全相符，申报目标充分考虑了项目的实际需求和可行性，具有较强的合理性和可操作性。在项目实施过程中，各项任务均按照既定目标有序推进，为项目的成功实施奠定了坚实基础。</w:t>
      </w:r>
    </w:p>
    <w:p>
      <w:pPr>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（三）项目自评步骤及方法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项目绩效自评采用了科学合理的组织实施步骤及方法。首先，成立了专门的绩效自评小组，小组成员由项目管理、财务、技术等领域的专业人员组成，确保自评工作的专业性和客观性。其次，制定了详细的自评方案，明确了自评的目的、范围、内容、方法和时间安排。在自评过程中，采用了资料收集、实地调研、数据分析等多种方法，全面收集项目相关资料，深入了解项目实施情况。通过与项目计划目标进行对比分析，对项目的完成情况、资金使用情况、社会效益等方面进行了综合评价，确保自评结果真实、准确、可靠。</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二、项目资金申报及使用情况</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（一）项目资金申报及批复情况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项目资金申报严格按照相关规定和程序进行。项目单位在项目立项后，及时编制了资金申报材料，详细阐述了项目的基本情况、建设内容、资金需求等信息，并报送至相关部门进行审核。经层层审核，四川</w:t>
      </w:r>
      <w:r>
        <w:rPr>
          <w:rFonts w:hint="eastAsia" w:eastAsia="仿宋_GB2312" w:cs="Times New Roman"/>
          <w:sz w:val="32"/>
          <w:szCs w:val="32"/>
          <w:lang w:eastAsia="zh-CN"/>
        </w:rPr>
        <w:t>省发展和改革委员会</w:t>
      </w:r>
      <w:r>
        <w:rPr>
          <w:rFonts w:hint="default" w:ascii="Times New Roman" w:hAnsi="Times New Roman" w:eastAsia="仿宋_GB2312" w:cs="Times New Roman"/>
          <w:sz w:val="32"/>
          <w:szCs w:val="32"/>
        </w:rPr>
        <w:t>批准立项，盐边县财政局依据相关文件下达省级资金 1500 万元，整个资金申报及批复过程规范、透明，确保了项目资金的及时到位。</w:t>
      </w:r>
    </w:p>
    <w:p>
      <w:pPr>
        <w:numPr>
          <w:ilvl w:val="0"/>
          <w:numId w:val="0"/>
        </w:numPr>
        <w:ind w:firstLine="640" w:firstLineChars="200"/>
        <w:rPr>
          <w:rFonts w:hint="default" w:ascii="Times New Roman" w:hAnsi="Times New Roman" w:eastAsia="方正黑体_GBK" w:cs="Times New Roman"/>
          <w:sz w:val="32"/>
          <w:szCs w:val="32"/>
        </w:rPr>
      </w:pPr>
      <w:r>
        <w:rPr>
          <w:rFonts w:hint="eastAsia" w:eastAsia="方正黑体_GBK" w:cs="Times New Roman"/>
          <w:sz w:val="32"/>
          <w:szCs w:val="32"/>
          <w:lang w:eastAsia="zh-CN"/>
        </w:rPr>
        <w:t>（二）</w:t>
      </w:r>
      <w:r>
        <w:rPr>
          <w:rFonts w:hint="default" w:ascii="Times New Roman" w:hAnsi="Times New Roman" w:eastAsia="方正黑体_GBK" w:cs="Times New Roman"/>
          <w:sz w:val="32"/>
          <w:szCs w:val="32"/>
        </w:rPr>
        <w:t>资金计划、到位及使用情况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1.资金计划。</w:t>
      </w:r>
    </w:p>
    <w:tbl>
      <w:tblPr>
        <w:tblStyle w:val="19"/>
        <w:tblW w:w="8546" w:type="dxa"/>
        <w:tblInd w:w="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fixed"/>
        <w:tblCellMar>
          <w:top w:w="15" w:type="dxa"/>
          <w:left w:w="15" w:type="dxa"/>
          <w:bottom w:w="15" w:type="dxa"/>
          <w:right w:w="15" w:type="dxa"/>
        </w:tblCellMar>
      </w:tblPr>
      <w:tblGrid>
        <w:gridCol w:w="1275"/>
        <w:gridCol w:w="1799"/>
        <w:gridCol w:w="1799"/>
        <w:gridCol w:w="1874"/>
        <w:gridCol w:w="1799"/>
      </w:tblGrid>
      <w:tr>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127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资金来源</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计划金额（万元）</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到位金额（万元）</w:t>
            </w:r>
          </w:p>
        </w:tc>
        <w:tc>
          <w:tcPr>
            <w:tcW w:w="1874"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到位率</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到位时间</w:t>
            </w:r>
          </w:p>
        </w:tc>
      </w:tr>
      <w:tr>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127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省级财政资金</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1500</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1500</w:t>
            </w:r>
          </w:p>
        </w:tc>
        <w:tc>
          <w:tcPr>
            <w:tcW w:w="1874"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 年</w:t>
            </w:r>
          </w:p>
        </w:tc>
      </w:tr>
      <w:tr>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127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其他资金</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874"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0%</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r>
      <w:tr>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tblLayout w:type="fixed"/>
          <w:tblCellMar>
            <w:top w:w="15" w:type="dxa"/>
            <w:left w:w="15" w:type="dxa"/>
            <w:bottom w:w="15" w:type="dxa"/>
            <w:right w:w="15" w:type="dxa"/>
          </w:tblCellMar>
        </w:tblPrEx>
        <w:trPr>
          <w:trHeight w:val="600" w:hRule="atLeast"/>
        </w:trPr>
        <w:tc>
          <w:tcPr>
            <w:tcW w:w="127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1500</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1500</w:t>
            </w:r>
          </w:p>
        </w:tc>
        <w:tc>
          <w:tcPr>
            <w:tcW w:w="1874"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c>
          <w:tcPr>
            <w:tcW w:w="17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tcPr>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r>
    </w:tbl>
    <w:p>
      <w:pPr>
        <w:ind w:firstLine="420" w:firstLineChars="200"/>
        <w:rPr>
          <w:rFonts w:hint="default" w:ascii="Times New Roman" w:hAnsi="Times New Roman" w:cs="Times New Roman"/>
        </w:rPr>
      </w:pPr>
    </w:p>
    <w:p>
      <w:pPr>
        <w:ind w:firstLine="643" w:firstLineChars="200"/>
        <w:rPr>
          <w:rFonts w:hint="default" w:ascii="Times New Roman" w:hAnsi="Times New Roman" w:cs="Times New Roman"/>
          <w:b/>
          <w:bCs/>
          <w:sz w:val="32"/>
          <w:szCs w:val="32"/>
        </w:rPr>
      </w:pPr>
      <w:r>
        <w:rPr>
          <w:rFonts w:hint="default" w:ascii="Times New Roman" w:hAnsi="Times New Roman" w:cs="Times New Roman"/>
          <w:b/>
          <w:bCs/>
          <w:sz w:val="32"/>
          <w:szCs w:val="32"/>
        </w:rPr>
        <w:t>2.资金到位</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截至评价时点，项目资金已全部到位，到位率为 100%。资金及时到位为项目的顺利实施提供了有力保障，确保了项目能够按照计划进度推进，未出现因资金短缺而导致项目延误的情况。</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3.资金使用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评价时点，资金支出主要用于设备采购、施工安装、技术服务等方面。在资金使用过程中，严格遵守相关财务管理制度，资金支付范围、支付标准、支付进度、支付依据等均符合合规合法要求，与预算基本相符。但在自评过程中发现，部分资金支付流程存在一定的延迟，主要原因是相关审批手续繁琐，导致资金支付效率有待提高。</w:t>
      </w:r>
    </w:p>
    <w:p>
      <w:pPr>
        <w:ind w:firstLine="640" w:firstLineChars="200"/>
        <w:rPr>
          <w:rFonts w:hint="default" w:ascii="Times New Roman" w:hAnsi="Times New Roman" w:eastAsia="方正黑体_GBK" w:cs="Times New Roman"/>
          <w:sz w:val="32"/>
        </w:rPr>
      </w:pPr>
      <w:r>
        <w:rPr>
          <w:rFonts w:hint="default" w:ascii="Times New Roman" w:hAnsi="Times New Roman" w:eastAsia="方正黑体_GBK" w:cs="Times New Roman"/>
          <w:sz w:val="32"/>
        </w:rPr>
        <w:t>（三）项目财务管理情况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项目实施单位建立了健全的财务管理制度，对项目资金的收支、核算、监督等方面进行了明确规定。在实际执行过程中，严格按照财务管理制度进行操作，账务处理及时、准确，会计核算规范，确保了项目资金的安全和有效使用。同时，加强了对财务人员的培训和管理，提高了财务人员的业务水平和责任意识，为项目财务管理工作提供了有力保障。</w:t>
      </w:r>
    </w:p>
    <w:p>
      <w:pPr>
        <w:ind w:firstLine="643" w:firstLineChars="200"/>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三、项目实施及管理情况</w:t>
      </w:r>
    </w:p>
    <w:p>
      <w:pPr>
        <w:ind w:firstLine="643" w:firstLineChars="200"/>
        <w:rPr>
          <w:rFonts w:hint="default" w:ascii="Times New Roman" w:hAnsi="Times New Roman" w:cs="Times New Roman"/>
          <w:b/>
        </w:rPr>
      </w:pPr>
      <w:r>
        <w:rPr>
          <w:rFonts w:hint="default" w:ascii="Times New Roman" w:hAnsi="Times New Roman" w:eastAsia="方正楷体_GBK" w:cs="Times New Roman"/>
          <w:b/>
          <w:sz w:val="32"/>
          <w:szCs w:val="32"/>
        </w:rPr>
        <w:t>（一）</w:t>
      </w:r>
      <w:r>
        <w:rPr>
          <w:rFonts w:hint="default" w:ascii="Times New Roman" w:hAnsi="Times New Roman" w:cs="Times New Roman"/>
          <w:b/>
          <w:sz w:val="32"/>
          <w:szCs w:val="32"/>
        </w:rPr>
        <w:t>项目组织架构及实施流程</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立了完善的组织架构，成立了项目领导小组，由盐边钒钛产业开发区管理委员会主要领导担任组长，负责项目的总体决策和协调工作。下设项目管理办公室，具体负责项目的日常管理和执行工作，包括工程进度控制、质量监督、安全管理等。同时，明确了各部门和人员的职责分工，确保项目各项工作有序开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流程严格按照相关规定和标准进行，包括项目规划、设计、招标、施工、验收等环节。在项目规划和设计阶段，充分考虑了区域电力发展需求和实际情况，确保项目设计方案科学合理；在招标环节，通过公开招标的方式，选择了具备相应资质和实力的施工单位；在施工过程中，加强了对工程质量和进度的监督管理，确保工程质量符合标准，按时完成建设任务；在验收阶段，严格按照验收标准进行验收，确保项目达到预期目标。</w:t>
      </w:r>
    </w:p>
    <w:p>
      <w:pPr>
        <w:numPr>
          <w:ilvl w:val="0"/>
          <w:numId w:val="2"/>
        </w:numPr>
        <w:ind w:firstLine="643" w:firstLineChars="200"/>
        <w:rPr>
          <w:rFonts w:hint="default" w:ascii="Times New Roman" w:hAnsi="Times New Roman" w:eastAsia="方正楷体_GBK" w:cs="Times New Roman"/>
          <w:b/>
        </w:rPr>
      </w:pPr>
      <w:r>
        <w:rPr>
          <w:rFonts w:hint="default" w:ascii="Times New Roman" w:hAnsi="Times New Roman" w:eastAsia="方正楷体_GBK" w:cs="Times New Roman"/>
          <w:b/>
          <w:sz w:val="32"/>
          <w:szCs w:val="32"/>
        </w:rPr>
        <w:t>项目管理情况</w:t>
      </w:r>
      <w:r>
        <w:rPr>
          <w:rFonts w:hint="default" w:ascii="Times New Roman" w:hAnsi="Times New Roman" w:eastAsia="方正楷体_GBK" w:cs="Times New Roman"/>
          <w:b/>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项目实施单位严格执行相关法律法规及项目管理制度，在招投标、政府采购、项目公示制等方面均符合相关规定。在招投标过程中，严格遵循公开、公平、公正的原则，确保招标过程规范透明；在政府采购方面，按照政府采购程序进行操作，保证采购活动合法合规；在项目公示制方面，及时将项目的相关信息进行公示，接受社会监督，提高了项目的透明度和公信力。</w:t>
      </w:r>
    </w:p>
    <w:p>
      <w:pPr>
        <w:ind w:firstLine="643" w:firstLineChars="200"/>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（三）项目监管情况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主管部门采取了多种监管手段，加强对项目的管理和监督。一是建立了定期检查制度，定期对项目的进展情况、工程质量、资金使用等方面进行检查，及时发现并解决问题；二是加强了对施工单位的管理，要求施工单位严格按照施工规范和标准进行施工，确保工程质量和安全；三是引入第三方监理机构，对项目进行全过程监理，提高了项目的监管水平。通过这些监管手段的实施，有效地保障了项目的顺利实施，确保项目达到预期目标。</w:t>
      </w:r>
    </w:p>
    <w:p>
      <w:pPr>
        <w:ind w:firstLine="643" w:firstLineChars="200"/>
        <w:rPr>
          <w:rFonts w:hint="default" w:ascii="Times New Roman" w:hAnsi="Times New Roman" w:eastAsia="方正黑体_GBK" w:cs="Times New Roman"/>
          <w:b/>
          <w:bCs/>
          <w:sz w:val="32"/>
          <w:szCs w:val="32"/>
        </w:rPr>
      </w:pPr>
      <w:r>
        <w:rPr>
          <w:rFonts w:hint="default" w:ascii="Times New Roman" w:hAnsi="Times New Roman" w:eastAsia="方正黑体_GBK" w:cs="Times New Roman"/>
          <w:b/>
          <w:bCs/>
          <w:sz w:val="32"/>
          <w:szCs w:val="32"/>
        </w:rPr>
        <w:t>四、项目绩效情况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1.项目完成情况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包括项目完成数量、质量、时效、成本等情况，资金结余情况，违规记录等，对照项目计划完成目标，对截至评价时点的任务量完成、质量标准、进度计划、成本控制目标的实现程度进行评价，并进行分析说明。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2.完成数量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项目已完成扩建、完善安宁 220 千伏变电站 220 千伏出线间隔各 1 个；新建安宁 — 美利林两条单回 220 千伏线路，总长度为 3.19 + 3.26 千米，达到了项目计划完成目标。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3.质量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项目工程质量符合相关标准和要求，在初步验收中，各项指标均通过检测，工程质量优良。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4.时效</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项目于2024年10月开工建设，2025年1月完工，2025年3月6日完成初步验收，按时完成了项目建设任务，未出现工期延误的情况。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5.成本：</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项目实际成本控制在预算范围内，通过合理的资源配置和成本管理，有效降低了项目建设成本，提高了资金使用效率。</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（二）项目效益情况</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1.经济效益：项目的建成将有效提升区域电力输送能力，降低电力损耗，提高电力供应的稳定性和可靠性，为区域经济发展提供有力的电力保障。降低企业用电成本，促进企业发展，带动区域经济增长。</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2.社会效益：项目的实施将改善当地居民的用电条件，提高居民生活质量。同时，为区域内企业提供稳定的电力供应，有利于企业扩大生产规模，增加就业机会，促进社会稳定和谐发展。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3.生态效益：通过优化电网结构，提高电力输送效率，减少了煤炭等化石能源的消耗，降低了污染物排放，对改善区域生态环境具有积极作用。预计每年可减少二氧化碳排放 920吨，二氧化硫排放5吨。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可持续效益：项目建成后，将为区域电力发展奠定坚实基础，满足未来一段时间内区域经济社会发展对电力的需求，具有较强的可持续性。同时，通过先进的技术和设备应用，提高了电网的智能化水平，为电网的长期稳定运行提供了保障。</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5.服务对象满意度：通过对项目服务对象的调查，包括当地居民和企业，服务对象对项目的实施效果表示满意，满意度达到95%。</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五、评价结论及建议</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（一）评价结论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综合来看，攀枝花盐边安宁至美利林 220 千伏线路工程专项预算项目在项目实施、资金使用、效益发挥等方面均取得了较好的成效。项目目标明确，实施过程规范，资金使用合理，工程质量优良，按时完成了建设任务，取得了显著的经济效益、社会效益、生态效益和可持续效益，服务对象满意度较高。该项目达到了预期目标，绩效评价结果为优秀。</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（二）存在的问题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1.资金支付流程繁琐：部分资金支付流程存在一定的延迟，主要原因是相关审批手续繁琐，涉及多个部门和环节，导致资金支付效率有待提高。</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2.项目后期维护管理需加强：项目建成后，后期的维护管理工作至关重要。目前，在项目后期维护管理方面存在一定的不足，如维护人员配备不足、维护设备和资金投入不够等，可能会影响项目的长期稳定运行。</w:t>
      </w:r>
    </w:p>
    <w:p>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（三）相关建议</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资金支付流程：建议相关部门简化资金支付审批手续，减少不必要的审批环节，提高资金支付效率。同时，建立资金支付快速通道，对紧急项目和关键环节的资金支付给予优先处理，确保项目资金及时到位，保障项目顺利实施。</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b w:val="0"/>
          <w:bCs/>
        </w:rPr>
      </w:pPr>
      <w:r>
        <w:rPr>
          <w:rFonts w:hint="default" w:ascii="Times New Roman" w:hAnsi="Times New Roman" w:cs="Times New Roman"/>
          <w:b w:val="0"/>
          <w:bCs/>
        </w:rPr>
        <w:t>附件4</w:t>
      </w:r>
    </w:p>
    <w:p>
      <w:pPr>
        <w:widowControl/>
        <w:spacing w:line="578" w:lineRule="exact"/>
        <w:contextualSpacing/>
        <w:jc w:val="center"/>
        <w:rPr>
          <w:rFonts w:hint="default" w:ascii="Times New Roman" w:hAnsi="Times New Roman" w:cs="Times New Roman"/>
        </w:rPr>
      </w:pPr>
      <w:r>
        <w:rPr>
          <w:rFonts w:hint="default" w:ascii="Times New Roman" w:hAnsi="Times New Roman" w:eastAsia="黑体" w:cs="Times New Roman"/>
          <w:sz w:val="32"/>
          <w:szCs w:val="32"/>
        </w:rPr>
        <w:t>部门预算项目支出绩效评价表（2024年度）</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w:t>
      </w:r>
      <w:r>
        <w:rPr>
          <w:rFonts w:hint="default" w:ascii="Times New Roman" w:hAnsi="Times New Roman" w:cs="Times New Roman"/>
        </w:rPr>
        <w:t xml:space="preserve"> </w:t>
      </w:r>
      <w:r>
        <w:rPr>
          <w:rFonts w:hint="default" w:ascii="Times New Roman" w:hAnsi="Times New Roman" w:eastAsia="仿宋_GB2312" w:cs="Times New Roman"/>
          <w:kern w:val="0"/>
          <w:sz w:val="32"/>
        </w:rPr>
        <w:t>攀枝花钒钛化工业园区（安宁片区）总体规划及规划环评报告项目绩效自评表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2.</w:t>
      </w:r>
      <w:r>
        <w:rPr>
          <w:rFonts w:hint="default" w:ascii="Times New Roman" w:hAnsi="Times New Roman" w:cs="Times New Roman"/>
        </w:rPr>
        <w:t xml:space="preserve"> </w:t>
      </w:r>
      <w:r>
        <w:rPr>
          <w:rFonts w:hint="default" w:ascii="Times New Roman" w:hAnsi="Times New Roman" w:eastAsia="仿宋_GB2312" w:cs="Times New Roman"/>
          <w:kern w:val="0"/>
          <w:sz w:val="32"/>
        </w:rPr>
        <w:t>园区发展建设专项经费2024项目绩效自评表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3.</w:t>
      </w:r>
      <w:r>
        <w:rPr>
          <w:rFonts w:hint="default" w:ascii="Times New Roman" w:hAnsi="Times New Roman" w:cs="Times New Roman"/>
        </w:rPr>
        <w:t xml:space="preserve"> </w:t>
      </w:r>
      <w:r>
        <w:rPr>
          <w:rFonts w:hint="default" w:ascii="Times New Roman" w:hAnsi="Times New Roman" w:eastAsia="仿宋_GB2312" w:cs="Times New Roman"/>
          <w:kern w:val="0"/>
          <w:sz w:val="32"/>
        </w:rPr>
        <w:t>美利林和四川天钒科技施工用电项目绩效自评表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4.</w:t>
      </w:r>
      <w:r>
        <w:rPr>
          <w:rFonts w:hint="default" w:ascii="Times New Roman" w:hAnsi="Times New Roman" w:cs="Times New Roman"/>
        </w:rPr>
        <w:t xml:space="preserve"> </w:t>
      </w:r>
      <w:r>
        <w:rPr>
          <w:rFonts w:hint="default" w:ascii="Times New Roman" w:hAnsi="Times New Roman" w:eastAsia="仿宋_GB2312" w:cs="Times New Roman"/>
          <w:kern w:val="0"/>
          <w:sz w:val="32"/>
        </w:rPr>
        <w:t>办公设备购置项目绩效自评表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5.</w:t>
      </w:r>
      <w:r>
        <w:rPr>
          <w:rFonts w:hint="default" w:ascii="Times New Roman" w:hAnsi="Times New Roman" w:cs="Times New Roman"/>
        </w:rPr>
        <w:t xml:space="preserve"> </w:t>
      </w:r>
      <w:r>
        <w:rPr>
          <w:rFonts w:hint="default" w:ascii="Times New Roman" w:hAnsi="Times New Roman" w:eastAsia="仿宋_GB2312" w:cs="Times New Roman"/>
          <w:kern w:val="0"/>
          <w:sz w:val="32"/>
        </w:rPr>
        <w:t>园区安宁路标线施工项目绩效自评表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6.</w:t>
      </w:r>
      <w:r>
        <w:rPr>
          <w:rFonts w:hint="default" w:ascii="Times New Roman" w:hAnsi="Times New Roman" w:cs="Times New Roman"/>
        </w:rPr>
        <w:t xml:space="preserve"> </w:t>
      </w:r>
      <w:r>
        <w:rPr>
          <w:rFonts w:hint="default" w:ascii="Times New Roman" w:hAnsi="Times New Roman" w:eastAsia="仿宋_GB2312" w:cs="Times New Roman"/>
          <w:kern w:val="0"/>
          <w:sz w:val="32"/>
        </w:rPr>
        <w:t>2022年绿色低碳产业重点园区补助项目绩效自评表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7.</w:t>
      </w:r>
      <w:r>
        <w:rPr>
          <w:rFonts w:hint="default" w:ascii="Times New Roman" w:hAnsi="Times New Roman" w:cs="Times New Roman"/>
        </w:rPr>
        <w:t xml:space="preserve"> </w:t>
      </w:r>
      <w:r>
        <w:rPr>
          <w:rFonts w:hint="default" w:ascii="Times New Roman" w:hAnsi="Times New Roman" w:eastAsia="仿宋_GB2312" w:cs="Times New Roman"/>
          <w:kern w:val="0"/>
          <w:sz w:val="32"/>
        </w:rPr>
        <w:t>盐边县安宁水厂及配套输水管理道项目绩效自评表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8.</w:t>
      </w:r>
      <w:r>
        <w:rPr>
          <w:rFonts w:hint="default" w:ascii="Times New Roman" w:hAnsi="Times New Roman" w:cs="Times New Roman"/>
        </w:rPr>
        <w:t xml:space="preserve"> </w:t>
      </w:r>
      <w:r>
        <w:rPr>
          <w:rFonts w:hint="default" w:ascii="Times New Roman" w:hAnsi="Times New Roman" w:eastAsia="仿宋_GB2312" w:cs="Times New Roman"/>
          <w:kern w:val="0"/>
          <w:sz w:val="32"/>
        </w:rPr>
        <w:t>美利林钒钛新材料股份公司供水管道项目绩效自评表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9.化工园区争创D级专项经费项目绩效自评表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10.</w:t>
      </w:r>
      <w:r>
        <w:rPr>
          <w:rFonts w:hint="default" w:ascii="Times New Roman" w:hAnsi="Times New Roman" w:cs="Times New Roman"/>
        </w:rPr>
        <w:t xml:space="preserve"> </w:t>
      </w:r>
      <w:r>
        <w:rPr>
          <w:rFonts w:hint="default" w:ascii="Times New Roman" w:hAnsi="Times New Roman" w:eastAsia="仿宋_GB2312" w:cs="Times New Roman"/>
          <w:kern w:val="0"/>
          <w:sz w:val="32"/>
        </w:rPr>
        <w:t>地下水监测及周边环境调查项目绩效自评表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11.</w:t>
      </w:r>
      <w:r>
        <w:rPr>
          <w:rFonts w:hint="default" w:ascii="Times New Roman" w:hAnsi="Times New Roman" w:cs="Times New Roman"/>
        </w:rPr>
        <w:t xml:space="preserve"> </w:t>
      </w:r>
      <w:r>
        <w:rPr>
          <w:rFonts w:hint="default" w:ascii="Times New Roman" w:hAnsi="Times New Roman" w:eastAsia="仿宋_GB2312" w:cs="Times New Roman"/>
          <w:kern w:val="0"/>
          <w:sz w:val="32"/>
        </w:rPr>
        <w:t>安宁工业园区地下水监测项目绩效自评表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12.</w:t>
      </w:r>
      <w:r>
        <w:rPr>
          <w:rFonts w:hint="default" w:ascii="Times New Roman" w:hAnsi="Times New Roman" w:cs="Times New Roman"/>
        </w:rPr>
        <w:t xml:space="preserve"> </w:t>
      </w:r>
      <w:r>
        <w:rPr>
          <w:rFonts w:hint="default" w:ascii="Times New Roman" w:hAnsi="Times New Roman" w:eastAsia="仿宋_GB2312" w:cs="Times New Roman"/>
          <w:kern w:val="0"/>
          <w:sz w:val="32"/>
        </w:rPr>
        <w:t>攀枝花钒钛化工园区安宁片区基础设施建设项目-特勤消防站项目绩效自评表</w:t>
      </w:r>
    </w:p>
    <w:p>
      <w:pPr>
        <w:pStyle w:val="8"/>
        <w:spacing w:line="560" w:lineRule="exact"/>
        <w:ind w:left="0" w:leftChars="0" w:firstLine="64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13.</w:t>
      </w:r>
      <w:r>
        <w:rPr>
          <w:rFonts w:hint="default" w:ascii="Times New Roman" w:hAnsi="Times New Roman" w:cs="Times New Roman"/>
        </w:rPr>
        <w:t xml:space="preserve"> </w:t>
      </w:r>
      <w:r>
        <w:rPr>
          <w:rFonts w:hint="default" w:ascii="Times New Roman" w:hAnsi="Times New Roman" w:eastAsia="仿宋_GB2312" w:cs="Times New Roman"/>
          <w:kern w:val="0"/>
          <w:sz w:val="32"/>
        </w:rPr>
        <w:t>攀枝花盐边安宁至美利林220千伏线路工程项目绩效自评表</w:t>
      </w:r>
    </w:p>
    <w:p>
      <w:pPr>
        <w:widowControl/>
        <w:jc w:val="center"/>
        <w:rPr>
          <w:rFonts w:hint="default" w:ascii="Times New Roman" w:hAnsi="Times New Roman" w:eastAsia="黑体" w:cs="Times New Roman"/>
          <w:sz w:val="44"/>
          <w:szCs w:val="44"/>
        </w:rPr>
      </w:pPr>
    </w:p>
    <w:p>
      <w:pPr>
        <w:rPr>
          <w:rFonts w:hint="default" w:ascii="Times New Roman" w:hAnsi="Times New Roman" w:cs="Times New Roman"/>
        </w:rPr>
      </w:pPr>
    </w:p>
    <w:p>
      <w:pPr>
        <w:pStyle w:val="2"/>
        <w:rPr>
          <w:rFonts w:hint="default" w:ascii="Times New Roman" w:hAnsi="Times New Roman" w:cs="Times New Roman"/>
        </w:rPr>
      </w:pPr>
    </w:p>
    <w:p>
      <w:pPr>
        <w:widowControl/>
        <w:jc w:val="center"/>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15"/>
      <w:bookmarkEnd w:id="49"/>
      <w:bookmarkStart w:id="50" w:name="_Toc15396619"/>
    </w:p>
    <w:p>
      <w:pPr>
        <w:pStyle w:val="15"/>
        <w:adjustRightInd w:val="0"/>
        <w:snapToGrid w:val="0"/>
        <w:spacing w:line="560" w:lineRule="exact"/>
        <w:jc w:val="left"/>
        <w:rPr>
          <w:rFonts w:hint="default" w:ascii="Times New Roman" w:hAnsi="Times New Roman" w:eastAsia="仿宋_GB2312" w:cs="Times New Roman"/>
          <w:sz w:val="32"/>
          <w:szCs w:val="32"/>
        </w:rPr>
      </w:pPr>
    </w:p>
    <w:p>
      <w:pPr>
        <w:pStyle w:val="15"/>
        <w:adjustRightInd w:val="0"/>
        <w:snapToGrid w:val="0"/>
        <w:spacing w:line="56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0"/>
    </w:p>
    <w:p>
      <w:pPr>
        <w:pStyle w:val="15"/>
        <w:adjustRightInd w:val="0"/>
        <w:snapToGrid w:val="0"/>
        <w:spacing w:line="560" w:lineRule="exact"/>
        <w:jc w:val="left"/>
        <w:rPr>
          <w:rFonts w:hint="default" w:ascii="Times New Roman" w:hAnsi="Times New Roman" w:eastAsia="仿宋_GB2312" w:cs="Times New Roman"/>
          <w:sz w:val="32"/>
          <w:szCs w:val="32"/>
        </w:rPr>
      </w:pPr>
      <w:bookmarkStart w:id="51" w:name="_Toc15396620"/>
      <w:r>
        <w:rPr>
          <w:rFonts w:hint="default" w:ascii="Times New Roman" w:hAnsi="Times New Roman" w:eastAsia="仿宋_GB2312" w:cs="Times New Roman"/>
          <w:sz w:val="32"/>
          <w:szCs w:val="32"/>
        </w:rPr>
        <w:t>二、收入决算表</w:t>
      </w:r>
      <w:bookmarkEnd w:id="51"/>
    </w:p>
    <w:p>
      <w:pPr>
        <w:pStyle w:val="15"/>
        <w:adjustRightInd w:val="0"/>
        <w:snapToGrid w:val="0"/>
        <w:spacing w:line="560" w:lineRule="exact"/>
        <w:jc w:val="left"/>
        <w:rPr>
          <w:rFonts w:hint="default" w:ascii="Times New Roman" w:hAnsi="Times New Roman" w:eastAsia="仿宋_GB2312" w:cs="Times New Roman"/>
          <w:sz w:val="32"/>
          <w:szCs w:val="32"/>
        </w:rPr>
      </w:pPr>
      <w:bookmarkStart w:id="52" w:name="_Toc15396621"/>
      <w:r>
        <w:rPr>
          <w:rFonts w:hint="default" w:ascii="Times New Roman" w:hAnsi="Times New Roman" w:eastAsia="仿宋_GB2312" w:cs="Times New Roman"/>
          <w:sz w:val="32"/>
          <w:szCs w:val="32"/>
        </w:rPr>
        <w:t>三、支出决算表</w:t>
      </w:r>
      <w:bookmarkEnd w:id="52"/>
    </w:p>
    <w:p>
      <w:pPr>
        <w:pStyle w:val="15"/>
        <w:adjustRightInd w:val="0"/>
        <w:snapToGrid w:val="0"/>
        <w:spacing w:line="560" w:lineRule="exact"/>
        <w:jc w:val="left"/>
        <w:rPr>
          <w:rFonts w:eastAsia="仿宋_GB2312" w:cs="仿宋_GB2312"/>
          <w:sz w:val="32"/>
          <w:szCs w:val="32"/>
        </w:rPr>
      </w:pPr>
      <w:bookmarkStart w:id="53" w:name="_Toc15396622"/>
      <w:r>
        <w:rPr>
          <w:rFonts w:hint="default" w:ascii="Times New Roman" w:hAnsi="Times New Roman" w:eastAsia="仿宋_GB2312" w:cs="Times New Roman"/>
          <w:sz w:val="32"/>
          <w:szCs w:val="32"/>
        </w:rPr>
        <w:t>四、</w:t>
      </w:r>
      <w:r>
        <w:rPr>
          <w:rFonts w:hint="eastAsia" w:eastAsia="仿宋_GB2312" w:cs="仿宋_GB2312"/>
          <w:sz w:val="32"/>
          <w:szCs w:val="32"/>
        </w:rPr>
        <w:t>财政拨款收入支出决算总表</w:t>
      </w:r>
      <w:bookmarkEnd w:id="53"/>
    </w:p>
    <w:p>
      <w:pPr>
        <w:pStyle w:val="15"/>
        <w:adjustRightInd w:val="0"/>
        <w:snapToGrid w:val="0"/>
        <w:spacing w:line="560" w:lineRule="exact"/>
        <w:jc w:val="left"/>
        <w:rPr>
          <w:rFonts w:eastAsia="仿宋_GB2312" w:cs="仿宋_GB2312"/>
          <w:sz w:val="32"/>
          <w:szCs w:val="32"/>
        </w:rPr>
      </w:pPr>
      <w:bookmarkStart w:id="54" w:name="_Toc15396623"/>
      <w:r>
        <w:rPr>
          <w:rFonts w:hint="eastAsia" w:eastAsia="仿宋_GB2312" w:cs="仿宋_GB2312"/>
          <w:sz w:val="32"/>
          <w:szCs w:val="32"/>
        </w:rPr>
        <w:t>五、财政拨款支出决算明细表</w:t>
      </w:r>
      <w:bookmarkEnd w:id="54"/>
      <w:bookmarkStart w:id="55"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5"/>
    </w:p>
    <w:p>
      <w:pPr>
        <w:pStyle w:val="15"/>
        <w:adjustRightInd w:val="0"/>
        <w:snapToGrid w:val="0"/>
        <w:spacing w:line="560" w:lineRule="exact"/>
        <w:jc w:val="left"/>
        <w:rPr>
          <w:rFonts w:eastAsia="仿宋_GB2312" w:cs="仿宋_GB2312"/>
          <w:sz w:val="32"/>
          <w:szCs w:val="32"/>
        </w:rPr>
      </w:pPr>
      <w:bookmarkStart w:id="56" w:name="_Toc15396625"/>
      <w:r>
        <w:rPr>
          <w:rFonts w:hint="eastAsia" w:eastAsia="仿宋_GB2312" w:cs="仿宋_GB2312"/>
          <w:sz w:val="32"/>
          <w:szCs w:val="32"/>
        </w:rPr>
        <w:t>七、一般公共预算财政拨款支出决算明细表</w:t>
      </w:r>
      <w:bookmarkEnd w:id="56"/>
    </w:p>
    <w:p>
      <w:pPr>
        <w:pStyle w:val="15"/>
        <w:adjustRightInd w:val="0"/>
        <w:snapToGrid w:val="0"/>
        <w:spacing w:line="560" w:lineRule="exact"/>
        <w:jc w:val="left"/>
        <w:rPr>
          <w:rFonts w:eastAsia="仿宋_GB2312" w:cs="仿宋_GB2312"/>
          <w:sz w:val="32"/>
          <w:szCs w:val="32"/>
        </w:rPr>
      </w:pPr>
      <w:bookmarkStart w:id="57" w:name="_Toc15396626"/>
      <w:r>
        <w:rPr>
          <w:rFonts w:hint="eastAsia" w:eastAsia="仿宋_GB2312" w:cs="仿宋_GB2312"/>
          <w:sz w:val="32"/>
          <w:szCs w:val="32"/>
        </w:rPr>
        <w:t>八、一般公共预算财政拨款基本支出决算表</w:t>
      </w:r>
      <w:bookmarkEnd w:id="57"/>
    </w:p>
    <w:p>
      <w:pPr>
        <w:pStyle w:val="15"/>
        <w:adjustRightInd w:val="0"/>
        <w:snapToGrid w:val="0"/>
        <w:spacing w:line="560" w:lineRule="exact"/>
        <w:jc w:val="left"/>
        <w:rPr>
          <w:rFonts w:eastAsia="仿宋_GB2312" w:cs="仿宋_GB2312"/>
          <w:sz w:val="32"/>
          <w:szCs w:val="32"/>
        </w:rPr>
      </w:pPr>
      <w:bookmarkStart w:id="58" w:name="_Toc15396627"/>
      <w:r>
        <w:rPr>
          <w:rFonts w:hint="eastAsia" w:eastAsia="仿宋_GB2312" w:cs="仿宋_GB2312"/>
          <w:sz w:val="32"/>
          <w:szCs w:val="32"/>
        </w:rPr>
        <w:t>九、一般公共预算财政拨款项目支出决算表</w:t>
      </w:r>
      <w:bookmarkEnd w:id="58"/>
    </w:p>
    <w:p>
      <w:pPr>
        <w:pStyle w:val="15"/>
        <w:adjustRightInd w:val="0"/>
        <w:snapToGrid w:val="0"/>
        <w:spacing w:line="560" w:lineRule="exact"/>
        <w:jc w:val="left"/>
        <w:rPr>
          <w:rFonts w:eastAsia="仿宋_GB2312" w:cs="仿宋_GB2312"/>
          <w:sz w:val="32"/>
          <w:szCs w:val="32"/>
        </w:rPr>
      </w:pPr>
      <w:bookmarkStart w:id="59" w:name="_Toc15396628"/>
      <w:r>
        <w:rPr>
          <w:rFonts w:hint="eastAsia" w:eastAsia="仿宋_GB2312" w:cs="仿宋_GB2312"/>
          <w:sz w:val="32"/>
          <w:szCs w:val="32"/>
        </w:rPr>
        <w:t>十、</w:t>
      </w:r>
      <w:bookmarkEnd w:id="59"/>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60" w:name="_Toc15396629"/>
      <w:r>
        <w:rPr>
          <w:rFonts w:hint="eastAsia" w:eastAsia="仿宋_GB2312" w:cs="仿宋_GB2312"/>
          <w:sz w:val="32"/>
          <w:szCs w:val="32"/>
        </w:rPr>
        <w:t>十一、</w:t>
      </w:r>
      <w:bookmarkEnd w:id="60"/>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61" w:name="_Toc15396630"/>
      <w:r>
        <w:rPr>
          <w:rFonts w:hint="eastAsia" w:eastAsia="仿宋_GB2312" w:cs="仿宋_GB2312"/>
          <w:sz w:val="32"/>
          <w:szCs w:val="32"/>
        </w:rPr>
        <w:t>十二、</w:t>
      </w:r>
      <w:bookmarkEnd w:id="61"/>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2" w:name="_Toc15396631"/>
      <w:r>
        <w:rPr>
          <w:rFonts w:hint="eastAsia" w:eastAsia="仿宋_GB2312" w:cs="仿宋_GB2312"/>
          <w:sz w:val="32"/>
          <w:szCs w:val="32"/>
        </w:rPr>
        <w:t>十三、</w:t>
      </w:r>
      <w:bookmarkEnd w:id="62"/>
      <w:r>
        <w:rPr>
          <w:rFonts w:hint="eastAsia" w:eastAsia="仿宋_GB2312" w:cs="仿宋_GB2312"/>
          <w:sz w:val="32"/>
          <w:szCs w:val="32"/>
        </w:rPr>
        <w:t>财政拨款“三公”经费支出决算表</w:t>
      </w:r>
    </w:p>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60453"/>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49 -</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60454"/>
      <w:docPartObj>
        <w:docPartGallery w:val="autotext"/>
      </w:docPartObj>
    </w:sdtPr>
    <w:sdtContent>
      <w:p>
        <w:pPr>
          <w:pStyle w:val="11"/>
          <w:jc w:val="right"/>
        </w:pPr>
        <w:r>
          <w:fldChar w:fldCharType="begin"/>
        </w:r>
        <w:r>
          <w:instrText xml:space="preserve"> PAGE   \* MERGEFORMAT </w:instrText>
        </w:r>
        <w:r>
          <w:fldChar w:fldCharType="separate"/>
        </w:r>
        <w:r>
          <w:rPr>
            <w:lang w:val="zh-CN"/>
          </w:rPr>
          <w:t>-</w:t>
        </w:r>
        <w:r>
          <w:t xml:space="preserve"> 1 -</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003EA"/>
    <w:multiLevelType w:val="singleLevel"/>
    <w:tmpl w:val="9B3003EA"/>
    <w:lvl w:ilvl="0" w:tentative="0">
      <w:start w:val="1"/>
      <w:numFmt w:val="chineseCounting"/>
      <w:suff w:val="nothing"/>
      <w:lvlText w:val="%1、"/>
      <w:lvlJc w:val="left"/>
      <w:rPr>
        <w:rFonts w:hint="eastAsia"/>
      </w:rPr>
    </w:lvl>
  </w:abstractNum>
  <w:abstractNum w:abstractNumId="1">
    <w:nsid w:val="3A8CF79B"/>
    <w:multiLevelType w:val="singleLevel"/>
    <w:tmpl w:val="3A8CF79B"/>
    <w:lvl w:ilvl="0" w:tentative="0">
      <w:start w:val="2"/>
      <w:numFmt w:val="chineseCounting"/>
      <w:suff w:val="nothing"/>
      <w:lvlText w:val="（%1）"/>
      <w:lvlJc w:val="left"/>
      <w:rPr>
        <w:rFonts w:hint="eastAsia"/>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60A7"/>
    <w:rsid w:val="00011BC5"/>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B2B6D"/>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3E44"/>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676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68C"/>
    <w:rsid w:val="00607E6C"/>
    <w:rsid w:val="006101B1"/>
    <w:rsid w:val="00614E44"/>
    <w:rsid w:val="0062270A"/>
    <w:rsid w:val="00622830"/>
    <w:rsid w:val="00623DA0"/>
    <w:rsid w:val="00630AEF"/>
    <w:rsid w:val="006322F2"/>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331"/>
    <w:rsid w:val="007416B6"/>
    <w:rsid w:val="00746BD5"/>
    <w:rsid w:val="00746F48"/>
    <w:rsid w:val="0075404D"/>
    <w:rsid w:val="0076182A"/>
    <w:rsid w:val="00767B7E"/>
    <w:rsid w:val="007770C3"/>
    <w:rsid w:val="00784D24"/>
    <w:rsid w:val="00785FBA"/>
    <w:rsid w:val="00786E4A"/>
    <w:rsid w:val="007875EB"/>
    <w:rsid w:val="0079426B"/>
    <w:rsid w:val="007A504F"/>
    <w:rsid w:val="007D1682"/>
    <w:rsid w:val="007D312A"/>
    <w:rsid w:val="007D3F19"/>
    <w:rsid w:val="007E23B0"/>
    <w:rsid w:val="007E23E5"/>
    <w:rsid w:val="007F1991"/>
    <w:rsid w:val="007F2C2F"/>
    <w:rsid w:val="007F55FC"/>
    <w:rsid w:val="007F5665"/>
    <w:rsid w:val="00800112"/>
    <w:rsid w:val="00813348"/>
    <w:rsid w:val="00822332"/>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421A"/>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8310A"/>
    <w:rsid w:val="00A91760"/>
    <w:rsid w:val="00A93B00"/>
    <w:rsid w:val="00A93C21"/>
    <w:rsid w:val="00AB64C9"/>
    <w:rsid w:val="00AC3C6A"/>
    <w:rsid w:val="00AD3120"/>
    <w:rsid w:val="00AD5620"/>
    <w:rsid w:val="00AD656B"/>
    <w:rsid w:val="00AD7C1B"/>
    <w:rsid w:val="00AE16BA"/>
    <w:rsid w:val="00AE1EBE"/>
    <w:rsid w:val="00B03C9D"/>
    <w:rsid w:val="00B060AE"/>
    <w:rsid w:val="00B10517"/>
    <w:rsid w:val="00B14E76"/>
    <w:rsid w:val="00B161B8"/>
    <w:rsid w:val="00B2048C"/>
    <w:rsid w:val="00B310B9"/>
    <w:rsid w:val="00B3173B"/>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1B0D"/>
    <w:rsid w:val="00CB4E70"/>
    <w:rsid w:val="00CC09B6"/>
    <w:rsid w:val="00CC666F"/>
    <w:rsid w:val="00CD1E3F"/>
    <w:rsid w:val="00CE44F6"/>
    <w:rsid w:val="00CE49DA"/>
    <w:rsid w:val="00CE7B61"/>
    <w:rsid w:val="00D00095"/>
    <w:rsid w:val="00D0289A"/>
    <w:rsid w:val="00D114F0"/>
    <w:rsid w:val="00D20620"/>
    <w:rsid w:val="00D254F7"/>
    <w:rsid w:val="00D26091"/>
    <w:rsid w:val="00D2685C"/>
    <w:rsid w:val="00D34E7C"/>
    <w:rsid w:val="00D35489"/>
    <w:rsid w:val="00D36AFE"/>
    <w:rsid w:val="00D51276"/>
    <w:rsid w:val="00D62DCC"/>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577DA"/>
    <w:rsid w:val="00F602DF"/>
    <w:rsid w:val="00F754A1"/>
    <w:rsid w:val="00F81FD9"/>
    <w:rsid w:val="00F841AA"/>
    <w:rsid w:val="00F84A94"/>
    <w:rsid w:val="00F87E96"/>
    <w:rsid w:val="00F90DDF"/>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AEF0616"/>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5816743"/>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7069D3"/>
    <w:rsid w:val="76E3355F"/>
    <w:rsid w:val="76FF5125"/>
    <w:rsid w:val="776F6FFA"/>
    <w:rsid w:val="778769C8"/>
    <w:rsid w:val="77A75DCA"/>
    <w:rsid w:val="77DC22F5"/>
    <w:rsid w:val="783E271A"/>
    <w:rsid w:val="78616DE9"/>
    <w:rsid w:val="78E875D7"/>
    <w:rsid w:val="79086DAD"/>
    <w:rsid w:val="7984426C"/>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7">
    <w:name w:val="Strong"/>
    <w:basedOn w:val="16"/>
    <w:qFormat/>
    <w:uiPriority w:val="0"/>
    <w:rPr>
      <w:b/>
    </w:rPr>
  </w:style>
  <w:style w:type="character" w:styleId="18">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link w:val="36"/>
    <w:qFormat/>
    <w:uiPriority w:val="0"/>
    <w:pPr>
      <w:spacing w:line="360" w:lineRule="auto"/>
    </w:pPr>
    <w:rPr>
      <w:rFonts w:ascii="??" w:hAnsi="??"/>
      <w:color w:val="000000"/>
      <w:kern w:val="0"/>
      <w:sz w:val="28"/>
      <w:szCs w:val="21"/>
      <w:lang w:val="zh-CN"/>
    </w:rPr>
  </w:style>
  <w:style w:type="paragraph" w:customStyle="1" w:styleId="35">
    <w:name w:val="normal"/>
    <w:basedOn w:val="1"/>
    <w:semiHidden/>
    <w:qFormat/>
    <w:uiPriority w:val="99"/>
    <w:pPr>
      <w:spacing w:before="100" w:beforeAutospacing="1" w:after="100" w:afterAutospacing="1"/>
    </w:pPr>
    <w:rPr>
      <w:rFonts w:ascii="Calibri" w:hAnsi="Calibri" w:eastAsia="仿宋_GB2312"/>
      <w:sz w:val="32"/>
    </w:rPr>
  </w:style>
  <w:style w:type="character" w:customStyle="1" w:styleId="36">
    <w:name w:val="四号正文 Char"/>
    <w:basedOn w:val="16"/>
    <w:link w:val="34"/>
    <w:qFormat/>
    <w:uiPriority w:val="0"/>
    <w:rPr>
      <w:rFonts w:ascii="??" w:hAnsi="??" w:eastAsia="宋体" w:cs="Times New Roman"/>
      <w:color w:val="00000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31649;&#22996;&#20250;&#20915;&#31639;&#22270;&#349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4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t>   收入、支出决算总计变动情况</a:t>
            </a:r>
            <a:endParaRPr lang="zh-CN"/>
          </a:p>
        </c:rich>
      </c:tx>
      <c:layout>
        <c:manualLayout>
          <c:xMode val="edge"/>
          <c:yMode val="edge"/>
          <c:x val="0.275216289606451"/>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49"/>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36208.21</c:v>
                </c:pt>
                <c:pt idx="1">
                  <c:v>12451.71</c:v>
                </c:pt>
              </c:numCache>
            </c:numRef>
          </c:val>
        </c:ser>
        <c:dLbls>
          <c:showLegendKey val="0"/>
          <c:showVal val="1"/>
          <c:showCatName val="0"/>
          <c:showSerName val="0"/>
          <c:showPercent val="0"/>
          <c:showBubbleSize val="0"/>
        </c:dLbls>
        <c:gapWidth val="150"/>
        <c:axId val="46736512"/>
        <c:axId val="46763008"/>
      </c:barChart>
      <c:catAx>
        <c:axId val="46736512"/>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6763008"/>
        <c:crosses val="autoZero"/>
        <c:auto val="1"/>
        <c:lblAlgn val="ctr"/>
        <c:lblOffset val="100"/>
        <c:tickLblSkip val="1"/>
        <c:noMultiLvlLbl val="0"/>
      </c:catAx>
      <c:valAx>
        <c:axId val="46763008"/>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6736512"/>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0972263"/>
          <c:y val="0.508557970595974"/>
          <c:w val="0.195965569145355"/>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1"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40" b="1"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t>   收入、支出决算总计变动情况</a:t>
            </a:r>
            <a:endParaRPr lang="zh-CN"/>
          </a:p>
        </c:rich>
      </c:tx>
      <c:layout>
        <c:manualLayout>
          <c:xMode val="edge"/>
          <c:yMode val="edge"/>
          <c:x val="0.275216289606451"/>
          <c:y val="0.0317848410757947"/>
        </c:manualLayout>
      </c:layout>
      <c:overlay val="0"/>
      <c:spPr>
        <a:noFill/>
        <a:ln w="25400">
          <a:noFill/>
        </a:ln>
      </c:spPr>
    </c:title>
    <c:autoTitleDeleted val="0"/>
    <c:plotArea>
      <c:layout>
        <c:manualLayout>
          <c:layoutTarget val="inner"/>
          <c:xMode val="edge"/>
          <c:yMode val="edge"/>
          <c:x val="0.0763689298119836"/>
          <c:y val="0.183374302049471"/>
          <c:w val="0.70028867714385"/>
          <c:h val="0.701712329175974"/>
        </c:manualLayout>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Sheet1!$B$58:$C$58</c:f>
              <c:numCache>
                <c:formatCode>General</c:formatCode>
                <c:ptCount val="2"/>
                <c:pt idx="0">
                  <c:v>2023</c:v>
                </c:pt>
                <c:pt idx="1">
                  <c:v>2024</c:v>
                </c:pt>
              </c:numCache>
            </c:numRef>
          </c:cat>
          <c:val>
            <c:numRef>
              <c:f>Sheet1!$B$59:$C$59</c:f>
              <c:numCache>
                <c:formatCode>General</c:formatCode>
                <c:ptCount val="2"/>
                <c:pt idx="0">
                  <c:v>36208.21</c:v>
                </c:pt>
                <c:pt idx="1">
                  <c:v>12451.71</c:v>
                </c:pt>
              </c:numCache>
            </c:numRef>
          </c:val>
        </c:ser>
        <c:dLbls>
          <c:showLegendKey val="0"/>
          <c:showVal val="1"/>
          <c:showCatName val="0"/>
          <c:showSerName val="0"/>
          <c:showPercent val="0"/>
          <c:showBubbleSize val="0"/>
        </c:dLbls>
        <c:gapWidth val="150"/>
        <c:axId val="61528320"/>
        <c:axId val="70170496"/>
      </c:barChart>
      <c:catAx>
        <c:axId val="6152832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0170496"/>
        <c:crosses val="autoZero"/>
        <c:auto val="1"/>
        <c:lblAlgn val="ctr"/>
        <c:lblOffset val="100"/>
        <c:tickLblSkip val="1"/>
        <c:noMultiLvlLbl val="0"/>
      </c:catAx>
      <c:valAx>
        <c:axId val="70170496"/>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61528320"/>
        <c:crosses val="autoZero"/>
        <c:crossBetween val="between"/>
      </c:valAx>
      <c:spPr>
        <a:solidFill>
          <a:srgbClr val="C0C0C0"/>
        </a:solidFill>
        <a:ln w="12700">
          <a:solidFill>
            <a:srgbClr val="808080"/>
          </a:solidFill>
          <a:prstDash val="solid"/>
        </a:ln>
      </c:spPr>
    </c:plotArea>
    <c:legend>
      <c:legendPos val="r"/>
      <c:layout>
        <c:manualLayout>
          <c:xMode val="edge"/>
          <c:yMode val="edge"/>
          <c:x val="0.792507809722629"/>
          <c:y val="0.508557970595974"/>
          <c:w val="0.195965569145355"/>
          <c:h val="0.0537897310513449"/>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200" b="1"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1"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5      </a:t>
            </a:r>
            <a:r>
              <a:rPr lang="zh-CN" altLang="en-US" sz="1400" b="0" i="0" u="none" strike="noStrike" baseline="0">
                <a:solidFill>
                  <a:srgbClr val="000000"/>
                </a:solidFill>
                <a:latin typeface="宋体" panose="02010600030101010101" charset="-122"/>
                <a:ea typeface="宋体" panose="02010600030101010101" charset="-122"/>
              </a:rPr>
              <a:t>一般公共预算财政拨款支出决算变动情况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85879113813943"/>
          <c:y val="0.033240997229917"/>
        </c:manualLayout>
      </c:layout>
      <c:overlay val="0"/>
      <c:spPr>
        <a:noFill/>
        <a:ln w="25400">
          <a:noFill/>
        </a:ln>
      </c:spPr>
    </c:title>
    <c:autoTitleDeleted val="0"/>
    <c:plotArea>
      <c:layout>
        <c:manualLayout>
          <c:layoutTarget val="inner"/>
          <c:xMode val="edge"/>
          <c:yMode val="edge"/>
          <c:x val="0.0763689298119836"/>
          <c:y val="0.202216339995699"/>
          <c:w val="0.585014820823873"/>
          <c:h val="0.667590930670733"/>
        </c:manualLayout>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solidFill>
              <a:prstDash val="solid"/>
            </a:ln>
          </c:spPr>
          <c:invertIfNegative val="0"/>
          <c:dLbls>
            <c:spPr>
              <a:noFill/>
              <a:ln w="25400">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Sheet1!$B$84:$C$84</c:f>
              <c:numCache>
                <c:formatCode>General</c:formatCode>
                <c:ptCount val="2"/>
                <c:pt idx="0">
                  <c:v>2023</c:v>
                </c:pt>
                <c:pt idx="1">
                  <c:v>2024</c:v>
                </c:pt>
              </c:numCache>
            </c:numRef>
          </c:cat>
          <c:val>
            <c:numRef>
              <c:f>Sheet1!$B$85:$C$85</c:f>
              <c:numCache>
                <c:formatCode>General</c:formatCode>
                <c:ptCount val="2"/>
                <c:pt idx="0">
                  <c:v>2408.61</c:v>
                </c:pt>
                <c:pt idx="1">
                  <c:v>2515.87</c:v>
                </c:pt>
              </c:numCache>
            </c:numRef>
          </c:val>
        </c:ser>
        <c:dLbls>
          <c:showLegendKey val="0"/>
          <c:showVal val="1"/>
          <c:showCatName val="0"/>
          <c:showSerName val="0"/>
          <c:showPercent val="0"/>
          <c:showBubbleSize val="0"/>
        </c:dLbls>
        <c:gapWidth val="150"/>
        <c:axId val="112446080"/>
        <c:axId val="200241920"/>
      </c:barChart>
      <c:catAx>
        <c:axId val="11244608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00241920"/>
        <c:crosses val="autoZero"/>
        <c:auto val="1"/>
        <c:lblAlgn val="ctr"/>
        <c:lblOffset val="100"/>
        <c:tickLblSkip val="1"/>
        <c:noMultiLvlLbl val="0"/>
      </c:catAx>
      <c:valAx>
        <c:axId val="200241920"/>
        <c:scaling>
          <c:orientation val="minMax"/>
        </c:scaling>
        <c:delete val="0"/>
        <c:axPos val="l"/>
        <c:majorGridlines>
          <c:spPr>
            <a:ln w="3175" cap="flat" cmpd="sng" algn="ctr">
              <a:solidFill>
                <a:srgbClr val="000000"/>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12446080"/>
        <c:crosses val="autoZero"/>
        <c:crossBetween val="between"/>
      </c:valAx>
      <c:spPr>
        <a:solidFill>
          <a:srgbClr val="C0C0C0"/>
        </a:solidFill>
        <a:ln w="12700">
          <a:solidFill>
            <a:srgbClr val="808080"/>
          </a:solidFill>
          <a:prstDash val="solid"/>
        </a:ln>
      </c:spPr>
    </c:plotArea>
    <c:legend>
      <c:legendPos val="r"/>
      <c:layout>
        <c:manualLayout>
          <c:xMode val="edge"/>
          <c:yMode val="edge"/>
          <c:x val="0.677233883228576"/>
          <c:y val="0.506925789400979"/>
          <c:w val="0.311239344361494"/>
          <c:h val="0.0609418282548476"/>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25" b="0" i="0" u="none" strike="noStrike" baseline="0">
                <a:solidFill>
                  <a:srgbClr val="000000"/>
                </a:solidFill>
                <a:latin typeface="宋体" panose="02010600030101010101" charset="-122"/>
                <a:ea typeface="宋体" panose="02010600030101010101" charset="-122"/>
              </a:rPr>
              <a:t>图</a:t>
            </a:r>
            <a:r>
              <a:rPr lang="en-US" altLang="zh-CN" sz="1425" b="0" i="0" u="none" strike="noStrike" baseline="0">
                <a:solidFill>
                  <a:srgbClr val="000000"/>
                </a:solidFill>
                <a:latin typeface="宋体" panose="02010600030101010101" charset="-122"/>
                <a:ea typeface="宋体" panose="02010600030101010101" charset="-122"/>
              </a:rPr>
              <a:t>6    </a:t>
            </a:r>
            <a:r>
              <a:rPr lang="zh-CN" altLang="en-US" sz="1425" b="0" i="0" u="none" strike="noStrike" baseline="0">
                <a:solidFill>
                  <a:srgbClr val="000000"/>
                </a:solidFill>
                <a:latin typeface="宋体" panose="02010600030101010101" charset="-122"/>
                <a:ea typeface="宋体" panose="02010600030101010101" charset="-122"/>
              </a:rPr>
              <a:t>一般公共预算财政拨款支出决算结构</a:t>
            </a:r>
            <a:endParaRPr lang="zh-CN" altLang="en-US" sz="1425"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562412342216"/>
          <c:y val="0.0289855072463768"/>
        </c:manualLayout>
      </c:layout>
      <c:overlay val="0"/>
      <c:spPr>
        <a:noFill/>
        <a:ln w="25400">
          <a:noFill/>
        </a:ln>
      </c:spPr>
    </c:title>
    <c:autoTitleDeleted val="0"/>
    <c:plotArea>
      <c:layout>
        <c:manualLayout>
          <c:layoutTarget val="inner"/>
          <c:xMode val="edge"/>
          <c:yMode val="edge"/>
          <c:x val="0.255259467040673"/>
          <c:y val="0.372671560946317"/>
          <c:w val="0.246844319775596"/>
          <c:h val="0.364389970703067"/>
        </c:manualLayout>
      </c:layout>
      <c:pieChart>
        <c:varyColors val="1"/>
        <c:ser>
          <c:idx val="0"/>
          <c:order val="0"/>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Pt>
            <c:idx val="6"/>
            <c:bubble3D val="0"/>
            <c:spPr>
              <a:solidFill>
                <a:srgbClr val="9999FF"/>
              </a:solidFill>
              <a:ln w="12700">
                <a:solidFill>
                  <a:srgbClr val="000000"/>
                </a:solidFill>
                <a:prstDash val="solid"/>
              </a:ln>
            </c:spPr>
          </c:dPt>
          <c:dLbls>
            <c:numFmt formatCode="0.00%" sourceLinked="0"/>
            <c:spPr>
              <a:noFill/>
              <a:ln w="25400">
                <a:noFill/>
              </a:ln>
              <a:effectLst/>
            </c:spPr>
            <c:txPr>
              <a:bodyPr rot="0" spcFirstLastPara="0" vertOverflow="ellipsis" vert="horz" wrap="square" lIns="38100" tIns="19050" rIns="38100" bIns="19050"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Sheet1!$A$110:$A$116</c:f>
              <c:strCache>
                <c:ptCount val="7"/>
                <c:pt idx="0">
                  <c:v>一般公共服务支出</c:v>
                </c:pt>
                <c:pt idx="1">
                  <c:v>卫生健康支出</c:v>
                </c:pt>
                <c:pt idx="2">
                  <c:v>社会保障和就业支出</c:v>
                </c:pt>
                <c:pt idx="3">
                  <c:v>农林水支出</c:v>
                </c:pt>
                <c:pt idx="4">
                  <c:v>住房保障支出</c:v>
                </c:pt>
                <c:pt idx="5">
                  <c:v>节能环保支出</c:v>
                </c:pt>
                <c:pt idx="6">
                  <c:v>交通运输支出</c:v>
                </c:pt>
              </c:strCache>
            </c:strRef>
          </c:cat>
          <c:val>
            <c:numRef>
              <c:f>Sheet1!$B$110:$B$116</c:f>
              <c:numCache>
                <c:formatCode>General</c:formatCode>
                <c:ptCount val="7"/>
                <c:pt idx="0">
                  <c:v>2165.6</c:v>
                </c:pt>
                <c:pt idx="1">
                  <c:v>37.89</c:v>
                </c:pt>
                <c:pt idx="2">
                  <c:v>67.04</c:v>
                </c:pt>
                <c:pt idx="3">
                  <c:v>70</c:v>
                </c:pt>
                <c:pt idx="4">
                  <c:v>35.15</c:v>
                </c:pt>
                <c:pt idx="5">
                  <c:v>67.95</c:v>
                </c:pt>
                <c:pt idx="6">
                  <c:v>8.8</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Sheet1!$A$111:$A$116</c:f>
              <c:strCache>
                <c:ptCount val="7"/>
                <c:pt idx="0">
                  <c:v>一般公共服务支出</c:v>
                </c:pt>
                <c:pt idx="1">
                  <c:v>卫生健康支出</c:v>
                </c:pt>
                <c:pt idx="2">
                  <c:v>社会保障和就业支出</c:v>
                </c:pt>
                <c:pt idx="3">
                  <c:v>农林水支出</c:v>
                </c:pt>
                <c:pt idx="4">
                  <c:v>住房保障支出</c:v>
                </c:pt>
                <c:pt idx="5">
                  <c:v>节能环保支出</c:v>
                </c:pt>
                <c:pt idx="6">
                  <c:v>交通运输支出</c:v>
                </c:pt>
              </c:strCache>
            </c:strRef>
          </c:cat>
          <c:val>
            <c:numRef>
              <c:f>Sheet1!$C$111:$C$116</c:f>
              <c:numCache>
                <c:formatCode>0.00%</c:formatCode>
                <c:ptCount val="6"/>
                <c:pt idx="0">
                  <c:v>0.0151</c:v>
                </c:pt>
                <c:pt idx="1">
                  <c:v>0.13</c:v>
                </c:pt>
                <c:pt idx="2">
                  <c:v>0.0278</c:v>
                </c:pt>
                <c:pt idx="3">
                  <c:v>0.014</c:v>
                </c:pt>
                <c:pt idx="4">
                  <c:v>0.027</c:v>
                </c:pt>
                <c:pt idx="5">
                  <c:v>0.0035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3155680224405"/>
          <c:y val="0.424431511278482"/>
          <c:w val="0.23562412342216"/>
          <c:h val="0.26294039332040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spPr>
    <a:solidFill>
      <a:srgbClr val="FFFFFF"/>
    </a:solidFill>
    <a:ln w="3175" cap="flat" cmpd="sng" algn="ctr">
      <a:solidFill>
        <a:srgbClr val="000000"/>
      </a:solidFill>
      <a:prstDash val="solid"/>
      <a:round/>
    </a:ln>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C974C-0C3E-40ED-9074-BFD5EB653C2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3142</Words>
  <Characters>4690</Characters>
  <Lines>150</Lines>
  <Paragraphs>42</Paragraphs>
  <TotalTime>14</TotalTime>
  <ScaleCrop>false</ScaleCrop>
  <LinksUpToDate>false</LinksUpToDate>
  <CharactersWithSpaces>5285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梁桂萍</cp:lastModifiedBy>
  <cp:lastPrinted>2025-08-06T17:34:00Z</cp:lastPrinted>
  <dcterms:modified xsi:type="dcterms:W3CDTF">2025-11-12T08:27:52Z</dcterms:modified>
  <dc:title>四川省***</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04787F2533EB45DC91BCDE4AB213247F</vt:lpwstr>
  </property>
  <property fmtid="{D5CDD505-2E9C-101B-9397-08002B2CF9AE}" pid="4" name="KSOTemplateDocerSaveRecord">
    <vt:lpwstr>eyJoZGlkIjoiZmNhOGM0ZDM0Njg4M2I0YjUxNjY3YWVlMmMyOTlkZjAiLCJ1c2VySWQiOiI0NDA3NDE5MDEifQ==</vt:lpwstr>
  </property>
</Properties>
</file>