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sz w:val="72"/>
          <w:szCs w:val="72"/>
        </w:rPr>
      </w:pPr>
      <w:bookmarkStart w:id="0" w:name="_Toc15378441"/>
      <w:bookmarkStart w:id="1" w:name="_Toc15377425"/>
      <w:bookmarkStart w:id="2" w:name="_Toc15396597"/>
      <w:bookmarkStart w:id="3" w:name="_Toc15377193"/>
      <w:bookmarkStart w:id="4" w:name="_Toc15396475"/>
      <w:bookmarkStart w:id="5" w:name="_Toc15306267"/>
    </w:p>
    <w:p>
      <w:pPr>
        <w:pStyle w:val="6"/>
        <w:spacing w:before="93"/>
      </w:pPr>
    </w:p>
    <w:p>
      <w:pPr>
        <w:spacing w:line="600" w:lineRule="exact"/>
        <w:jc w:val="center"/>
        <w:outlineLvl w:val="9"/>
        <w:rPr>
          <w:rFonts w:ascii="方正小标宋简体" w:hAnsi="宋体" w:eastAsia="方正小标宋简体"/>
          <w:sz w:val="72"/>
          <w:szCs w:val="72"/>
        </w:rPr>
      </w:pPr>
    </w:p>
    <w:p>
      <w:pPr>
        <w:spacing w:line="600" w:lineRule="exact"/>
        <w:jc w:val="center"/>
        <w:outlineLvl w:val="9"/>
        <w:rPr>
          <w:rFonts w:ascii="方正小标宋简体" w:hAnsi="宋体" w:eastAsia="方正小标宋简体"/>
          <w:sz w:val="52"/>
          <w:szCs w:val="52"/>
        </w:rPr>
      </w:pPr>
    </w:p>
    <w:p>
      <w:pPr>
        <w:tabs>
          <w:tab w:val="center" w:pos="4213"/>
          <w:tab w:val="left" w:pos="6663"/>
        </w:tabs>
        <w:adjustRightInd w:val="0"/>
        <w:snapToGrid w:val="0"/>
        <w:spacing w:line="360" w:lineRule="auto"/>
        <w:jc w:val="left"/>
        <w:outlineLvl w:val="0"/>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52"/>
          <w:szCs w:val="52"/>
          <w:lang w:eastAsia="zh-CN"/>
        </w:rPr>
        <w:tab/>
      </w:r>
      <w:bookmarkStart w:id="6" w:name="_Toc1073498726"/>
      <w:bookmarkStart w:id="7" w:name="_Toc725665838"/>
      <w:bookmarkStart w:id="8" w:name="_Toc1809183374"/>
      <w:bookmarkStart w:id="9" w:name="_Toc1235249240"/>
      <w:bookmarkStart w:id="10" w:name="_Toc463841201"/>
      <w:r>
        <w:rPr>
          <w:rFonts w:hint="eastAsia" w:ascii="方正小标宋简体" w:hAnsi="方正小标宋简体" w:eastAsia="方正小标宋简体" w:cs="方正小标宋简体"/>
          <w:sz w:val="44"/>
          <w:szCs w:val="44"/>
        </w:rPr>
        <w:t>2023年度</w:t>
      </w:r>
      <w:bookmarkEnd w:id="0"/>
      <w:bookmarkEnd w:id="1"/>
      <w:bookmarkEnd w:id="2"/>
      <w:bookmarkEnd w:id="3"/>
      <w:bookmarkEnd w:id="4"/>
      <w:bookmarkEnd w:id="6"/>
      <w:bookmarkEnd w:id="7"/>
      <w:bookmarkEnd w:id="8"/>
      <w:bookmarkEnd w:id="9"/>
      <w:bookmarkEnd w:id="10"/>
      <w:r>
        <w:rPr>
          <w:rFonts w:hint="eastAsia" w:ascii="方正小标宋简体" w:hAnsi="方正小标宋简体" w:eastAsia="方正小标宋简体" w:cs="方正小标宋简体"/>
          <w:sz w:val="44"/>
          <w:szCs w:val="44"/>
          <w:lang w:eastAsia="zh-CN"/>
        </w:rPr>
        <w:tab/>
      </w:r>
    </w:p>
    <w:bookmarkEnd w:id="5"/>
    <w:p>
      <w:pPr>
        <w:adjustRightInd w:val="0"/>
        <w:snapToGrid w:val="0"/>
        <w:spacing w:line="360" w:lineRule="auto"/>
        <w:jc w:val="center"/>
        <w:outlineLvl w:val="0"/>
        <w:rPr>
          <w:rFonts w:hint="eastAsia" w:ascii="方正小标宋简体" w:hAnsi="方正小标宋简体" w:eastAsia="方正小标宋简体" w:cs="方正小标宋简体"/>
          <w:sz w:val="44"/>
          <w:szCs w:val="44"/>
          <w:lang w:eastAsia="zh-CN"/>
        </w:rPr>
      </w:pPr>
      <w:bookmarkStart w:id="11" w:name="_Toc235070274"/>
      <w:bookmarkStart w:id="12" w:name="_Toc529738563"/>
      <w:bookmarkStart w:id="13" w:name="_Toc1092661804"/>
      <w:bookmarkStart w:id="14" w:name="_Toc2109008625"/>
      <w:bookmarkStart w:id="15" w:name="_Toc205661876"/>
      <w:bookmarkStart w:id="16" w:name="_Toc15306268"/>
      <w:bookmarkStart w:id="17" w:name="_Toc15396598"/>
      <w:bookmarkStart w:id="18" w:name="_Toc15378442"/>
      <w:bookmarkStart w:id="19" w:name="_Toc15377426"/>
      <w:bookmarkStart w:id="20" w:name="_Toc15377194"/>
      <w:bookmarkStart w:id="21" w:name="_Toc15396476"/>
      <w:r>
        <w:rPr>
          <w:rFonts w:hint="eastAsia" w:ascii="方正小标宋简体" w:hAnsi="方正小标宋简体" w:eastAsia="方正小标宋简体" w:cs="方正小标宋简体"/>
          <w:sz w:val="44"/>
          <w:szCs w:val="44"/>
          <w:lang w:eastAsia="zh-CN"/>
        </w:rPr>
        <w:t>盐边县卫生健康局</w:t>
      </w:r>
      <w:bookmarkEnd w:id="11"/>
      <w:bookmarkEnd w:id="12"/>
      <w:bookmarkEnd w:id="13"/>
      <w:bookmarkEnd w:id="14"/>
      <w:bookmarkEnd w:id="15"/>
    </w:p>
    <w:p>
      <w:pPr>
        <w:adjustRightInd w:val="0"/>
        <w:snapToGrid w:val="0"/>
        <w:spacing w:line="360" w:lineRule="auto"/>
        <w:jc w:val="center"/>
        <w:outlineLvl w:val="0"/>
        <w:rPr>
          <w:rFonts w:ascii="方正小标宋简体" w:hAnsi="方正小标宋简体" w:eastAsia="方正小标宋简体" w:cs="方正小标宋简体"/>
          <w:sz w:val="44"/>
          <w:szCs w:val="44"/>
        </w:rPr>
      </w:pPr>
      <w:bookmarkStart w:id="22" w:name="_Toc1679864897"/>
      <w:bookmarkStart w:id="23" w:name="_Toc229371034"/>
      <w:bookmarkStart w:id="24" w:name="_Toc997184962"/>
      <w:bookmarkStart w:id="25" w:name="_Toc1532255382"/>
      <w:bookmarkStart w:id="26" w:name="_Toc1676573468"/>
      <w:r>
        <w:rPr>
          <w:rFonts w:hint="eastAsia" w:ascii="方正小标宋简体" w:hAnsi="方正小标宋简体" w:eastAsia="方正小标宋简体" w:cs="方正小标宋简体"/>
          <w:sz w:val="44"/>
          <w:szCs w:val="44"/>
        </w:rPr>
        <w:t>部门决算</w:t>
      </w:r>
      <w:bookmarkEnd w:id="16"/>
      <w:bookmarkEnd w:id="17"/>
      <w:bookmarkEnd w:id="18"/>
      <w:bookmarkEnd w:id="19"/>
      <w:bookmarkEnd w:id="20"/>
      <w:bookmarkEnd w:id="21"/>
      <w:bookmarkEnd w:id="22"/>
      <w:bookmarkEnd w:id="23"/>
      <w:bookmarkEnd w:id="24"/>
      <w:bookmarkEnd w:id="25"/>
      <w:bookmarkEnd w:id="26"/>
    </w:p>
    <w:p>
      <w:pPr>
        <w:widowControl/>
        <w:jc w:val="center"/>
        <w:rPr>
          <w:rFonts w:hint="eastAsia" w:ascii="黑体" w:hAnsi="黑体" w:eastAsia="黑体"/>
          <w:sz w:val="44"/>
          <w:szCs w:val="44"/>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pPr>
        <w:widowControl/>
        <w:jc w:val="center"/>
        <w:rPr>
          <w:rFonts w:ascii="黑体" w:hAnsi="黑体" w:eastAsia="黑体"/>
          <w:sz w:val="48"/>
          <w:szCs w:val="48"/>
        </w:rPr>
      </w:pP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4"/>
      </w:pPr>
      <w:r>
        <w:rPr>
          <w:rFonts w:hint="eastAsia"/>
        </w:rPr>
        <w:t>公开时间：202</w:t>
      </w:r>
      <w:r>
        <w:rPr>
          <w:rFonts w:hint="eastAsia"/>
          <w:lang w:val="en-US" w:eastAsia="zh-CN"/>
        </w:rPr>
        <w:t>4</w:t>
      </w:r>
      <w:r>
        <w:rPr>
          <w:rFonts w:hint="eastAsia"/>
        </w:rPr>
        <w:t>年</w:t>
      </w:r>
      <w:r>
        <w:rPr>
          <w:rFonts w:hint="eastAsia"/>
          <w:lang w:val="en-US" w:eastAsia="zh-CN"/>
        </w:rPr>
        <w:t>10</w:t>
      </w:r>
      <w:r>
        <w:rPr>
          <w:rFonts w:hint="eastAsia"/>
        </w:rPr>
        <w:t xml:space="preserve">月 </w:t>
      </w:r>
      <w:r>
        <w:rPr>
          <w:rFonts w:hint="eastAsia"/>
          <w:lang w:val="en-US" w:eastAsia="zh-CN"/>
        </w:rPr>
        <w:t>28</w:t>
      </w:r>
      <w:r>
        <w:rPr>
          <w:rFonts w:hint="eastAsia"/>
        </w:rPr>
        <w:t xml:space="preserve"> 日</w:t>
      </w:r>
    </w:p>
    <w:sdt>
      <w:sdtPr>
        <w:rPr>
          <w:rFonts w:ascii="宋体" w:hAnsi="宋体" w:eastAsia="宋体" w:cs="Times New Roman"/>
          <w:kern w:val="2"/>
          <w:sz w:val="21"/>
          <w:szCs w:val="24"/>
          <w:lang w:val="en-US" w:eastAsia="zh-CN" w:bidi="ar-SA"/>
        </w:rPr>
        <w:id w:val="397172494"/>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fldChar w:fldCharType="begin"/>
          </w:r>
          <w:r>
            <w:instrText xml:space="preserve">TOC \o "1-3" \h \u </w:instrText>
          </w:r>
          <w:r>
            <w:fldChar w:fldCharType="separate"/>
          </w:r>
        </w:p>
        <w:p>
          <w:pPr>
            <w:pStyle w:val="14"/>
            <w:tabs>
              <w:tab w:val="right" w:leader="dot" w:pos="8306"/>
              <w:tab w:val="clear" w:pos="8296"/>
            </w:tabs>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fldChar w:fldCharType="begin"/>
          </w:r>
          <w:r>
            <w:rPr>
              <w:rFonts w:hint="eastAsia" w:ascii="CESI仿宋-GB13000" w:hAnsi="CESI仿宋-GB13000" w:eastAsia="CESI仿宋-GB13000" w:cs="CESI仿宋-GB13000"/>
              <w:sz w:val="28"/>
              <w:szCs w:val="28"/>
            </w:rPr>
            <w:instrText xml:space="preserve"> HYPERLINK \l _Toc1936193645 </w:instrText>
          </w:r>
          <w:r>
            <w:rPr>
              <w:rFonts w:hint="eastAsia" w:ascii="CESI仿宋-GB13000" w:hAnsi="CESI仿宋-GB13000" w:eastAsia="CESI仿宋-GB13000" w:cs="CESI仿宋-GB13000"/>
              <w:sz w:val="28"/>
              <w:szCs w:val="28"/>
            </w:rPr>
            <w:fldChar w:fldCharType="separate"/>
          </w:r>
          <w:r>
            <w:rPr>
              <w:rFonts w:hint="eastAsia" w:ascii="CESI仿宋-GB13000" w:hAnsi="CESI仿宋-GB13000" w:eastAsia="CESI仿宋-GB13000" w:cs="CESI仿宋-GB13000"/>
              <w:sz w:val="28"/>
              <w:szCs w:val="28"/>
            </w:rPr>
            <w:t xml:space="preserve">第一部分 </w:t>
          </w:r>
          <w:r>
            <w:rPr>
              <w:rFonts w:hint="eastAsia" w:ascii="CESI仿宋-GB13000" w:hAnsi="CESI仿宋-GB13000" w:eastAsia="CESI仿宋-GB13000" w:cs="CESI仿宋-GB13000"/>
              <w:bCs w:val="0"/>
              <w:sz w:val="28"/>
              <w:szCs w:val="28"/>
            </w:rPr>
            <w:t>部门概况</w:t>
          </w:r>
          <w:r>
            <w:rPr>
              <w:rFonts w:hint="eastAsia" w:ascii="CESI仿宋-GB13000" w:hAnsi="CESI仿宋-GB13000" w:eastAsia="CESI仿宋-GB13000" w:cs="CESI仿宋-GB13000"/>
              <w:sz w:val="28"/>
              <w:szCs w:val="28"/>
            </w:rPr>
            <w:tab/>
          </w:r>
          <w:r>
            <w:rPr>
              <w:rFonts w:hint="eastAsia" w:ascii="CESI仿宋-GB13000" w:hAnsi="CESI仿宋-GB13000" w:eastAsia="CESI仿宋-GB13000" w:cs="CESI仿宋-GB13000"/>
              <w:sz w:val="28"/>
              <w:szCs w:val="28"/>
            </w:rPr>
            <w:fldChar w:fldCharType="begin"/>
          </w:r>
          <w:r>
            <w:rPr>
              <w:rFonts w:hint="eastAsia" w:ascii="CESI仿宋-GB13000" w:hAnsi="CESI仿宋-GB13000" w:eastAsia="CESI仿宋-GB13000" w:cs="CESI仿宋-GB13000"/>
              <w:sz w:val="28"/>
              <w:szCs w:val="28"/>
            </w:rPr>
            <w:instrText xml:space="preserve"> PAGEREF _Toc1936193645 \h </w:instrText>
          </w:r>
          <w:r>
            <w:rPr>
              <w:rFonts w:hint="eastAsia" w:ascii="CESI仿宋-GB13000" w:hAnsi="CESI仿宋-GB13000" w:eastAsia="CESI仿宋-GB13000" w:cs="CESI仿宋-GB13000"/>
              <w:sz w:val="28"/>
              <w:szCs w:val="28"/>
            </w:rPr>
            <w:fldChar w:fldCharType="separate"/>
          </w:r>
          <w:r>
            <w:rPr>
              <w:rFonts w:hint="eastAsia" w:ascii="CESI仿宋-GB13000" w:hAnsi="CESI仿宋-GB13000" w:eastAsia="CESI仿宋-GB13000" w:cs="CESI仿宋-GB13000"/>
              <w:sz w:val="28"/>
              <w:szCs w:val="28"/>
            </w:rPr>
            <w:t>1</w:t>
          </w:r>
          <w:r>
            <w:rPr>
              <w:rFonts w:hint="eastAsia" w:ascii="CESI仿宋-GB13000" w:hAnsi="CESI仿宋-GB13000" w:eastAsia="CESI仿宋-GB13000" w:cs="CESI仿宋-GB13000"/>
              <w:sz w:val="28"/>
              <w:szCs w:val="28"/>
            </w:rPr>
            <w:fldChar w:fldCharType="end"/>
          </w:r>
          <w:r>
            <w:rPr>
              <w:rFonts w:hint="eastAsia" w:ascii="CESI仿宋-GB13000" w:hAnsi="CESI仿宋-GB13000" w:eastAsia="CESI仿宋-GB13000" w:cs="CESI仿宋-GB13000"/>
              <w:sz w:val="28"/>
              <w:szCs w:val="28"/>
            </w:rPr>
            <w:fldChar w:fldCharType="end"/>
          </w:r>
        </w:p>
        <w:p>
          <w:pPr>
            <w:pStyle w:val="15"/>
            <w:tabs>
              <w:tab w:val="right" w:leader="dot" w:pos="8306"/>
              <w:tab w:val="clear" w:pos="829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_Toc981774416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一、 部门职责</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_Toc981774416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5"/>
            <w:tabs>
              <w:tab w:val="right" w:leader="dot" w:pos="8306"/>
              <w:tab w:val="clear" w:pos="829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_Toc959949503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二、机</w:t>
          </w:r>
          <w:r>
            <w:rPr>
              <w:rFonts w:hint="eastAsia" w:asciiTheme="minorEastAsia" w:hAnsiTheme="minorEastAsia" w:eastAsiaTheme="minorEastAsia" w:cstheme="minorEastAsia"/>
              <w:bCs w:val="0"/>
              <w:sz w:val="24"/>
              <w:szCs w:val="24"/>
            </w:rPr>
            <w:t>构设置</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_Toc959949503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4"/>
            <w:tabs>
              <w:tab w:val="right" w:leader="dot" w:pos="8306"/>
              <w:tab w:val="clear" w:pos="8296"/>
            </w:tabs>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fldChar w:fldCharType="begin"/>
          </w:r>
          <w:r>
            <w:rPr>
              <w:rFonts w:hint="eastAsia" w:ascii="CESI仿宋-GB2312" w:hAnsi="CESI仿宋-GB2312" w:eastAsia="CESI仿宋-GB2312" w:cs="CESI仿宋-GB2312"/>
              <w:sz w:val="28"/>
              <w:szCs w:val="28"/>
            </w:rPr>
            <w:instrText xml:space="preserve"> HYPERLINK \l _Toc1767728673 </w:instrText>
          </w:r>
          <w:r>
            <w:rPr>
              <w:rFonts w:hint="eastAsia" w:ascii="CESI仿宋-GB2312" w:hAnsi="CESI仿宋-GB2312" w:eastAsia="CESI仿宋-GB2312" w:cs="CESI仿宋-GB2312"/>
              <w:sz w:val="28"/>
              <w:szCs w:val="28"/>
            </w:rPr>
            <w:fldChar w:fldCharType="separate"/>
          </w:r>
          <w:r>
            <w:rPr>
              <w:rFonts w:hint="eastAsia" w:ascii="CESI仿宋-GB2312" w:hAnsi="CESI仿宋-GB2312" w:eastAsia="CESI仿宋-GB2312" w:cs="CESI仿宋-GB2312"/>
              <w:sz w:val="28"/>
              <w:szCs w:val="28"/>
            </w:rPr>
            <w:t>第二部分 2023年度</w:t>
          </w:r>
          <w:r>
            <w:rPr>
              <w:rFonts w:hint="eastAsia" w:ascii="CESI仿宋-GB2312" w:hAnsi="CESI仿宋-GB2312" w:eastAsia="CESI仿宋-GB2312" w:cs="CESI仿宋-GB2312"/>
              <w:bCs/>
              <w:sz w:val="28"/>
              <w:szCs w:val="28"/>
            </w:rPr>
            <w:t>部门决算情况说明</w:t>
          </w:r>
          <w:r>
            <w:rPr>
              <w:rFonts w:hint="eastAsia" w:ascii="CESI仿宋-GB2312" w:hAnsi="CESI仿宋-GB2312" w:eastAsia="CESI仿宋-GB2312" w:cs="CESI仿宋-GB2312"/>
              <w:sz w:val="28"/>
              <w:szCs w:val="28"/>
            </w:rPr>
            <w:tab/>
          </w:r>
          <w:r>
            <w:rPr>
              <w:rFonts w:hint="eastAsia" w:ascii="CESI仿宋-GB2312" w:hAnsi="CESI仿宋-GB2312" w:eastAsia="CESI仿宋-GB2312" w:cs="CESI仿宋-GB2312"/>
              <w:sz w:val="28"/>
              <w:szCs w:val="28"/>
              <w:lang w:val="en-US" w:eastAsia="zh-CN"/>
            </w:rPr>
            <w:t>6</w:t>
          </w:r>
          <w:r>
            <w:rPr>
              <w:rFonts w:hint="eastAsia" w:ascii="CESI仿宋-GB2312" w:hAnsi="CESI仿宋-GB2312" w:eastAsia="CESI仿宋-GB2312" w:cs="CESI仿宋-GB2312"/>
              <w:sz w:val="28"/>
              <w:szCs w:val="28"/>
            </w:rPr>
            <w:fldChar w:fldCharType="end"/>
          </w:r>
        </w:p>
        <w:p>
          <w:pPr>
            <w:pStyle w:val="15"/>
            <w:tabs>
              <w:tab w:val="right" w:leader="dot" w:pos="8306"/>
              <w:tab w:val="clear" w:pos="829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_Toc1712054822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一、 收入支出决算总体情况说明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fldChar w:fldCharType="end"/>
          </w:r>
        </w:p>
        <w:p>
          <w:pPr>
            <w:pStyle w:val="15"/>
            <w:tabs>
              <w:tab w:val="right" w:leader="dot" w:pos="8306"/>
              <w:tab w:val="clear" w:pos="829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_Toc505512171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二、 收入决算情况说明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fldChar w:fldCharType="end"/>
          </w:r>
        </w:p>
        <w:p>
          <w:pPr>
            <w:pStyle w:val="15"/>
            <w:tabs>
              <w:tab w:val="right" w:leader="dot" w:pos="8306"/>
              <w:tab w:val="clear" w:pos="829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_Toc227483964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三、 支出决算情况说明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fldChar w:fldCharType="end"/>
          </w:r>
        </w:p>
        <w:p>
          <w:pPr>
            <w:pStyle w:val="15"/>
            <w:tabs>
              <w:tab w:val="right" w:leader="dot" w:pos="8306"/>
              <w:tab w:val="clear" w:pos="829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_Toc2125645994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四、财政拨款收入支出决算总体情况说明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fldChar w:fldCharType="end"/>
          </w:r>
        </w:p>
        <w:p>
          <w:pPr>
            <w:pStyle w:val="15"/>
            <w:tabs>
              <w:tab w:val="right" w:leader="dot" w:pos="8306"/>
              <w:tab w:val="clear" w:pos="829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_Toc365765399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五、一般公共预算财政拨款支出决算情况说明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fldChar w:fldCharType="end"/>
          </w:r>
        </w:p>
        <w:p>
          <w:pPr>
            <w:pStyle w:val="15"/>
            <w:tabs>
              <w:tab w:val="right" w:leader="dot" w:pos="8306"/>
              <w:tab w:val="clear" w:pos="8296"/>
            </w:tabs>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_Toc1345228841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六、一般公共预算财政拨款基本支出决算情况说明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t>5</w:t>
          </w:r>
        </w:p>
        <w:p>
          <w:pPr>
            <w:pStyle w:val="15"/>
            <w:tabs>
              <w:tab w:val="right" w:leader="dot" w:pos="8306"/>
              <w:tab w:val="clear" w:pos="8296"/>
            </w:tabs>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_Toc279829660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七、财政拨款“三公”经费支出决算情况说明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t>6</w:t>
          </w:r>
        </w:p>
        <w:p>
          <w:pPr>
            <w:pStyle w:val="15"/>
            <w:tabs>
              <w:tab w:val="right" w:leader="dot" w:pos="8306"/>
              <w:tab w:val="clear" w:pos="8296"/>
            </w:tabs>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_Toc1192848304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八、政府性基金预算支出决算情况说明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t>8</w:t>
          </w:r>
        </w:p>
        <w:p>
          <w:pPr>
            <w:pStyle w:val="15"/>
            <w:tabs>
              <w:tab w:val="right" w:leader="dot" w:pos="8306"/>
              <w:tab w:val="clear" w:pos="8296"/>
            </w:tabs>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_Toc46048431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九、 国有资本经营预算支出决算情况说明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t>9</w:t>
          </w:r>
        </w:p>
        <w:p>
          <w:pPr>
            <w:pStyle w:val="15"/>
            <w:tabs>
              <w:tab w:val="right" w:leader="dot" w:pos="8306"/>
              <w:tab w:val="clear" w:pos="8296"/>
            </w:tabs>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_Toc1712630967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十、 其他重要事项的情况说明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t>9</w:t>
          </w:r>
        </w:p>
        <w:p>
          <w:pPr>
            <w:pStyle w:val="14"/>
            <w:tabs>
              <w:tab w:val="right" w:leader="dot" w:pos="8306"/>
              <w:tab w:val="clear" w:pos="8296"/>
            </w:tabs>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rPr>
            <w:fldChar w:fldCharType="begin"/>
          </w:r>
          <w:r>
            <w:rPr>
              <w:rFonts w:hint="eastAsia" w:ascii="CESI仿宋-GB2312" w:hAnsi="CESI仿宋-GB2312" w:eastAsia="CESI仿宋-GB2312" w:cs="CESI仿宋-GB2312"/>
              <w:sz w:val="28"/>
              <w:szCs w:val="28"/>
            </w:rPr>
            <w:instrText xml:space="preserve"> HYPERLINK \l _Toc788860379 </w:instrText>
          </w:r>
          <w:r>
            <w:rPr>
              <w:rFonts w:hint="eastAsia" w:ascii="CESI仿宋-GB2312" w:hAnsi="CESI仿宋-GB2312" w:eastAsia="CESI仿宋-GB2312" w:cs="CESI仿宋-GB2312"/>
              <w:sz w:val="28"/>
              <w:szCs w:val="28"/>
            </w:rPr>
            <w:fldChar w:fldCharType="separate"/>
          </w:r>
          <w:r>
            <w:rPr>
              <w:rFonts w:hint="eastAsia" w:ascii="CESI仿宋-GB2312" w:hAnsi="CESI仿宋-GB2312" w:eastAsia="CESI仿宋-GB2312" w:cs="CESI仿宋-GB2312"/>
              <w:sz w:val="28"/>
              <w:szCs w:val="28"/>
            </w:rPr>
            <w:t>第三部分 名词解释</w:t>
          </w:r>
          <w:r>
            <w:rPr>
              <w:rFonts w:hint="eastAsia" w:ascii="CESI仿宋-GB2312" w:hAnsi="CESI仿宋-GB2312" w:eastAsia="CESI仿宋-GB2312" w:cs="CESI仿宋-GB2312"/>
              <w:sz w:val="28"/>
              <w:szCs w:val="28"/>
            </w:rPr>
            <w:tab/>
          </w:r>
          <w:r>
            <w:rPr>
              <w:rFonts w:hint="eastAsia" w:ascii="CESI仿宋-GB2312" w:hAnsi="CESI仿宋-GB2312" w:eastAsia="CESI仿宋-GB2312" w:cs="CESI仿宋-GB2312"/>
              <w:sz w:val="28"/>
              <w:szCs w:val="28"/>
              <w:lang w:val="en-US" w:eastAsia="zh-CN"/>
            </w:rPr>
            <w:t>2</w:t>
          </w:r>
          <w:r>
            <w:rPr>
              <w:rFonts w:hint="eastAsia" w:ascii="CESI仿宋-GB2312" w:hAnsi="CESI仿宋-GB2312" w:eastAsia="CESI仿宋-GB2312" w:cs="CESI仿宋-GB2312"/>
              <w:sz w:val="28"/>
              <w:szCs w:val="28"/>
            </w:rPr>
            <w:fldChar w:fldCharType="end"/>
          </w:r>
          <w:r>
            <w:rPr>
              <w:rFonts w:hint="eastAsia" w:ascii="CESI仿宋-GB2312" w:hAnsi="CESI仿宋-GB2312" w:eastAsia="CESI仿宋-GB2312" w:cs="CESI仿宋-GB2312"/>
              <w:sz w:val="28"/>
              <w:szCs w:val="28"/>
              <w:lang w:val="en-US" w:eastAsia="zh-CN"/>
            </w:rPr>
            <w:t>1</w:t>
          </w:r>
        </w:p>
        <w:p>
          <w:pPr>
            <w:pStyle w:val="14"/>
            <w:tabs>
              <w:tab w:val="right" w:leader="dot" w:pos="8306"/>
              <w:tab w:val="clear" w:pos="8296"/>
            </w:tabs>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rPr>
            <w:fldChar w:fldCharType="begin"/>
          </w:r>
          <w:r>
            <w:rPr>
              <w:rFonts w:hint="eastAsia" w:ascii="CESI仿宋-GB2312" w:hAnsi="CESI仿宋-GB2312" w:eastAsia="CESI仿宋-GB2312" w:cs="CESI仿宋-GB2312"/>
              <w:sz w:val="28"/>
              <w:szCs w:val="28"/>
            </w:rPr>
            <w:instrText xml:space="preserve"> HYPERLINK \l _Toc983369049 </w:instrText>
          </w:r>
          <w:r>
            <w:rPr>
              <w:rFonts w:hint="eastAsia" w:ascii="CESI仿宋-GB2312" w:hAnsi="CESI仿宋-GB2312" w:eastAsia="CESI仿宋-GB2312" w:cs="CESI仿宋-GB2312"/>
              <w:sz w:val="28"/>
              <w:szCs w:val="28"/>
            </w:rPr>
            <w:fldChar w:fldCharType="separate"/>
          </w:r>
          <w:r>
            <w:rPr>
              <w:rFonts w:hint="eastAsia" w:ascii="CESI仿宋-GB2312" w:hAnsi="CESI仿宋-GB2312" w:eastAsia="CESI仿宋-GB2312" w:cs="CESI仿宋-GB2312"/>
              <w:sz w:val="28"/>
              <w:szCs w:val="28"/>
            </w:rPr>
            <w:t>第四部分 附件</w:t>
          </w:r>
          <w:r>
            <w:rPr>
              <w:rFonts w:hint="eastAsia" w:ascii="CESI仿宋-GB2312" w:hAnsi="CESI仿宋-GB2312" w:eastAsia="CESI仿宋-GB2312" w:cs="CESI仿宋-GB2312"/>
              <w:sz w:val="28"/>
              <w:szCs w:val="28"/>
            </w:rPr>
            <w:tab/>
          </w:r>
          <w:r>
            <w:rPr>
              <w:rFonts w:hint="eastAsia" w:ascii="CESI仿宋-GB2312" w:hAnsi="CESI仿宋-GB2312" w:eastAsia="CESI仿宋-GB2312" w:cs="CESI仿宋-GB2312"/>
              <w:sz w:val="28"/>
              <w:szCs w:val="28"/>
              <w:lang w:val="en-US" w:eastAsia="zh-CN"/>
            </w:rPr>
            <w:t>2</w:t>
          </w:r>
          <w:r>
            <w:rPr>
              <w:rFonts w:hint="eastAsia" w:ascii="CESI仿宋-GB2312" w:hAnsi="CESI仿宋-GB2312" w:eastAsia="CESI仿宋-GB2312" w:cs="CESI仿宋-GB2312"/>
              <w:sz w:val="28"/>
              <w:szCs w:val="28"/>
            </w:rPr>
            <w:fldChar w:fldCharType="end"/>
          </w:r>
          <w:r>
            <w:rPr>
              <w:rFonts w:hint="eastAsia" w:ascii="CESI仿宋-GB2312" w:hAnsi="CESI仿宋-GB2312" w:eastAsia="CESI仿宋-GB2312" w:cs="CESI仿宋-GB2312"/>
              <w:sz w:val="28"/>
              <w:szCs w:val="28"/>
              <w:lang w:val="en-US" w:eastAsia="zh-CN"/>
            </w:rPr>
            <w:t>7</w:t>
          </w:r>
        </w:p>
        <w:p>
          <w:pPr>
            <w:pStyle w:val="14"/>
            <w:tabs>
              <w:tab w:val="right" w:leader="dot" w:pos="8306"/>
              <w:tab w:val="clear" w:pos="8296"/>
            </w:tabs>
            <w:rPr>
              <w:rFonts w:hint="eastAsia" w:eastAsia="CESI仿宋-GB13000"/>
              <w:sz w:val="28"/>
              <w:szCs w:val="28"/>
              <w:lang w:val="en-US" w:eastAsia="zh-CN"/>
            </w:rPr>
          </w:pPr>
          <w:r>
            <w:rPr>
              <w:rFonts w:hint="eastAsia" w:ascii="CESI仿宋-GB2312" w:hAnsi="CESI仿宋-GB2312" w:eastAsia="CESI仿宋-GB2312" w:cs="CESI仿宋-GB2312"/>
              <w:sz w:val="28"/>
              <w:szCs w:val="28"/>
            </w:rPr>
            <w:fldChar w:fldCharType="begin"/>
          </w:r>
          <w:r>
            <w:rPr>
              <w:rFonts w:hint="eastAsia" w:ascii="CESI仿宋-GB2312" w:hAnsi="CESI仿宋-GB2312" w:eastAsia="CESI仿宋-GB2312" w:cs="CESI仿宋-GB2312"/>
              <w:sz w:val="28"/>
              <w:szCs w:val="28"/>
            </w:rPr>
            <w:instrText xml:space="preserve"> HYPERLINK \l _Toc71612020 </w:instrText>
          </w:r>
          <w:r>
            <w:rPr>
              <w:rFonts w:hint="eastAsia" w:ascii="CESI仿宋-GB2312" w:hAnsi="CESI仿宋-GB2312" w:eastAsia="CESI仿宋-GB2312" w:cs="CESI仿宋-GB2312"/>
              <w:sz w:val="28"/>
              <w:szCs w:val="28"/>
            </w:rPr>
            <w:fldChar w:fldCharType="separate"/>
          </w:r>
          <w:r>
            <w:rPr>
              <w:rFonts w:hint="eastAsia" w:ascii="CESI仿宋-GB2312" w:hAnsi="CESI仿宋-GB2312" w:eastAsia="CESI仿宋-GB2312" w:cs="CESI仿宋-GB2312"/>
              <w:sz w:val="28"/>
              <w:szCs w:val="28"/>
            </w:rPr>
            <w:t>第五部分 附表</w:t>
          </w:r>
          <w:r>
            <w:rPr>
              <w:rFonts w:hint="eastAsia" w:ascii="CESI仿宋-GB2312" w:hAnsi="CESI仿宋-GB2312" w:eastAsia="CESI仿宋-GB2312" w:cs="CESI仿宋-GB2312"/>
              <w:sz w:val="28"/>
              <w:szCs w:val="28"/>
            </w:rPr>
            <w:tab/>
          </w:r>
          <w:r>
            <w:rPr>
              <w:rFonts w:hint="eastAsia" w:ascii="CESI仿宋-GB2312" w:hAnsi="CESI仿宋-GB2312" w:eastAsia="CESI仿宋-GB2312" w:cs="CESI仿宋-GB2312"/>
              <w:sz w:val="28"/>
              <w:szCs w:val="28"/>
              <w:lang w:val="en-US" w:eastAsia="zh-CN"/>
            </w:rPr>
            <w:t>9</w:t>
          </w:r>
          <w:r>
            <w:rPr>
              <w:rFonts w:hint="eastAsia" w:ascii="CESI仿宋-GB2312" w:hAnsi="CESI仿宋-GB2312" w:eastAsia="CESI仿宋-GB2312" w:cs="CESI仿宋-GB2312"/>
              <w:sz w:val="28"/>
              <w:szCs w:val="28"/>
            </w:rPr>
            <w:fldChar w:fldCharType="end"/>
          </w:r>
          <w:r>
            <w:rPr>
              <w:rFonts w:hint="eastAsia" w:ascii="CESI仿宋-GB2312" w:hAnsi="CESI仿宋-GB2312" w:eastAsia="CESI仿宋-GB2312" w:cs="CESI仿宋-GB2312"/>
              <w:sz w:val="28"/>
              <w:szCs w:val="28"/>
              <w:lang w:val="en-US" w:eastAsia="zh-CN"/>
            </w:rPr>
            <w:t>6</w:t>
          </w:r>
        </w:p>
        <w:p>
          <w:pPr>
            <w:pStyle w:val="15"/>
            <w:tabs>
              <w:tab w:val="right" w:leader="dot" w:pos="8306"/>
              <w:tab w:val="clear" w:pos="8296"/>
            </w:tabs>
            <w:rPr>
              <w:sz w:val="28"/>
              <w:szCs w:val="28"/>
            </w:rPr>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pPr>
        </w:p>
        <w:p>
          <w:pPr>
            <w:pStyle w:val="15"/>
            <w:tabs>
              <w:tab w:val="right" w:leader="dot" w:pos="8306"/>
              <w:tab w:val="clear" w:pos="8296"/>
            </w:tabs>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_Toc577570376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一、收入支出决算总表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t>6</w:t>
          </w:r>
        </w:p>
        <w:p>
          <w:pPr>
            <w:pStyle w:val="15"/>
            <w:tabs>
              <w:tab w:val="right" w:leader="dot" w:pos="8306"/>
              <w:tab w:val="clear" w:pos="8296"/>
            </w:tabs>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_Toc1965143465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二、收入决算表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t>6</w:t>
          </w:r>
        </w:p>
        <w:p>
          <w:pPr>
            <w:pStyle w:val="15"/>
            <w:tabs>
              <w:tab w:val="right" w:leader="dot" w:pos="8306"/>
              <w:tab w:val="clear" w:pos="8296"/>
            </w:tabs>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_Toc1031561523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三、支出决算表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t>6</w:t>
          </w:r>
        </w:p>
        <w:p>
          <w:pPr>
            <w:pStyle w:val="15"/>
            <w:tabs>
              <w:tab w:val="right" w:leader="dot" w:pos="8306"/>
              <w:tab w:val="clear" w:pos="8296"/>
            </w:tabs>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_Toc197815402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四、财政拨款收入支出决算总表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t>6</w:t>
          </w:r>
        </w:p>
        <w:p>
          <w:pPr>
            <w:pStyle w:val="15"/>
            <w:tabs>
              <w:tab w:val="right" w:leader="dot" w:pos="8306"/>
              <w:tab w:val="clear" w:pos="8296"/>
            </w:tabs>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_Toc1529714639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五、财政拨款支出决算明细表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t>6</w:t>
          </w:r>
        </w:p>
        <w:p>
          <w:pPr>
            <w:pStyle w:val="15"/>
            <w:tabs>
              <w:tab w:val="right" w:leader="dot" w:pos="8306"/>
              <w:tab w:val="clear" w:pos="8296"/>
            </w:tabs>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_Toc1537073694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六、一般公共预算财政拨款支出决算表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t>6</w:t>
          </w:r>
        </w:p>
        <w:p>
          <w:pPr>
            <w:pStyle w:val="15"/>
            <w:tabs>
              <w:tab w:val="right" w:leader="dot" w:pos="8306"/>
              <w:tab w:val="clear" w:pos="8296"/>
            </w:tabs>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_Toc1992276037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七、一般公共预算财政拨款支出决算明细表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t>6</w:t>
          </w:r>
        </w:p>
        <w:p>
          <w:pPr>
            <w:pStyle w:val="15"/>
            <w:tabs>
              <w:tab w:val="right" w:leader="dot" w:pos="8306"/>
              <w:tab w:val="clear" w:pos="8296"/>
            </w:tabs>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_Toc1757198603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八、一般公共预算财政拨款基本支出决算表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t>6</w:t>
          </w:r>
        </w:p>
        <w:p>
          <w:pPr>
            <w:pStyle w:val="15"/>
            <w:tabs>
              <w:tab w:val="right" w:leader="dot" w:pos="8306"/>
              <w:tab w:val="clear" w:pos="8296"/>
            </w:tabs>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_Toc1869881541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九、一般公共预算财政拨款项目支出决算表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t>6</w:t>
          </w:r>
        </w:p>
        <w:p>
          <w:pPr>
            <w:pStyle w:val="15"/>
            <w:tabs>
              <w:tab w:val="right" w:leader="dot" w:pos="8306"/>
              <w:tab w:val="clear" w:pos="8296"/>
            </w:tabs>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_Toc138108387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十、政府性基金预算财政拨款收入支出决算表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t>6</w:t>
          </w:r>
        </w:p>
        <w:p>
          <w:pPr>
            <w:pStyle w:val="15"/>
            <w:tabs>
              <w:tab w:val="right" w:leader="dot" w:pos="8306"/>
              <w:tab w:val="clear" w:pos="8296"/>
            </w:tabs>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_Toc1735360949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十一、国有资本经营预算财政拨款收入支出决算表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t>6</w:t>
          </w:r>
        </w:p>
        <w:p>
          <w:pPr>
            <w:pStyle w:val="15"/>
            <w:tabs>
              <w:tab w:val="right" w:leader="dot" w:pos="8306"/>
              <w:tab w:val="clear" w:pos="8296"/>
            </w:tabs>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_Toc88163292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十二、国有资本经营预算财政拨款支出决算表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t>6</w:t>
          </w:r>
        </w:p>
        <w:p>
          <w:pPr>
            <w:pStyle w:val="15"/>
            <w:tabs>
              <w:tab w:val="right" w:leader="dot" w:pos="8306"/>
              <w:tab w:val="clear" w:pos="8296"/>
            </w:tabs>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_Toc462535131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十三、财政拨款“三公”经费支出决算表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t>6</w:t>
          </w:r>
        </w:p>
        <w:p>
          <w:r>
            <w:fldChar w:fldCharType="end"/>
          </w:r>
        </w:p>
      </w:sdtContent>
    </w:sdt>
    <w:p>
      <w:pPr>
        <w:bidi w:val="0"/>
        <w:rPr>
          <w:rFonts w:ascii="Times New Roman" w:hAnsi="Times New Roman" w:eastAsia="宋体" w:cs="Times New Roman"/>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pStyle w:val="2"/>
        <w:jc w:val="center"/>
        <w:rPr>
          <w:rFonts w:hint="eastAsia" w:ascii="黑体" w:hAnsi="黑体" w:eastAsia="黑体"/>
          <w:b w:val="0"/>
        </w:rPr>
        <w:sectPr>
          <w:footerReference r:id="rId8" w:type="first"/>
          <w:footerReference r:id="rId7" w:type="default"/>
          <w:pgSz w:w="11906" w:h="16838"/>
          <w:pgMar w:top="1440" w:right="1800" w:bottom="1440" w:left="1800" w:header="851" w:footer="992" w:gutter="0"/>
          <w:pgNumType w:fmt="decimal" w:start="1"/>
          <w:cols w:space="425" w:num="1"/>
          <w:titlePg/>
          <w:docGrid w:type="lines" w:linePitch="312" w:charSpace="0"/>
        </w:sectPr>
      </w:pPr>
      <w:bookmarkStart w:id="27" w:name="_Toc1936193645"/>
    </w:p>
    <w:p>
      <w:pPr>
        <w:pStyle w:val="2"/>
        <w:jc w:val="center"/>
        <w:rPr>
          <w:rStyle w:val="30"/>
          <w:rFonts w:ascii="黑体" w:hAnsi="黑体" w:eastAsia="黑体"/>
          <w:b/>
          <w:bCs w:val="0"/>
        </w:rPr>
      </w:pPr>
      <w:r>
        <w:rPr>
          <w:rFonts w:hint="eastAsia" w:ascii="黑体" w:hAnsi="黑体" w:eastAsia="黑体"/>
          <w:b w:val="0"/>
        </w:rPr>
        <w:t xml:space="preserve">第一部分 </w:t>
      </w:r>
      <w:r>
        <w:rPr>
          <w:rStyle w:val="30"/>
          <w:rFonts w:hint="eastAsia" w:ascii="黑体" w:hAnsi="黑体" w:eastAsia="黑体"/>
          <w:b w:val="0"/>
          <w:bCs w:val="0"/>
        </w:rPr>
        <w:t>部门概况</w:t>
      </w:r>
      <w:bookmarkEnd w:id="27"/>
    </w:p>
    <w:p>
      <w:pPr>
        <w:widowControl/>
        <w:jc w:val="left"/>
        <w:rPr>
          <w:rFonts w:ascii="黑体" w:eastAsia="黑体"/>
          <w:sz w:val="32"/>
          <w:szCs w:val="32"/>
        </w:rPr>
      </w:pPr>
    </w:p>
    <w:p>
      <w:pPr>
        <w:pStyle w:val="3"/>
        <w:numPr>
          <w:ilvl w:val="0"/>
          <w:numId w:val="1"/>
        </w:numPr>
        <w:rPr>
          <w:rFonts w:hint="eastAsia" w:ascii="黑体" w:hAnsi="黑体" w:eastAsia="黑体"/>
          <w:b w:val="0"/>
        </w:rPr>
      </w:pPr>
      <w:bookmarkStart w:id="28" w:name="_Toc486726548"/>
      <w:bookmarkStart w:id="29" w:name="_Toc981774416"/>
      <w:bookmarkStart w:id="30" w:name="_Toc544862525"/>
      <w:r>
        <w:rPr>
          <w:rFonts w:hint="eastAsia" w:ascii="黑体" w:hAnsi="黑体" w:eastAsia="黑体"/>
          <w:b w:val="0"/>
        </w:rPr>
        <w:t>部门职责</w:t>
      </w:r>
      <w:bookmarkEnd w:id="28"/>
      <w:bookmarkEnd w:id="29"/>
      <w:bookmarkEnd w:id="30"/>
    </w:p>
    <w:p>
      <w:pPr>
        <w:spacing w:line="60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1.贯彻执行国家和省、市关于卫生计生工作的方针、政策和法律、法规以及县委、县政府关于卫生计生方面的决策部署，拟订全县卫生计生发展的战略规划和政策并组织实施，负责本系统、本部门依法行政工作，落实行政执法责任制，统筹规划全县卫生计生服务资源配置，指导全县卫生计生工作。</w:t>
      </w:r>
    </w:p>
    <w:p>
      <w:pPr>
        <w:spacing w:line="60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2.负责制定全县疾病预防控制规划、免疫规划、严重危害人民健康的公共卫生问题的干预措施并组织实施，根据国家检疫传染病和监测传染病目录，制定全县卫生应急和紧急医学救援预案、突发公共卫生事件监测和风险评估计划，组织和指导全县突发公共卫生事件预防控制和各类突发公共事件的医疗卫生救援，依法根据授权发布法定报告传染病疫情信息、突发公共卫生事件应急处置信息。</w:t>
      </w:r>
    </w:p>
    <w:p>
      <w:pPr>
        <w:spacing w:line="60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3.负责实施职责范围内的职业卫生、放射卫生、环境卫生、学校卫生、公共场所卫生、饮用水卫生管理规范、标准和政策措施，组织开展相关监测、调查、评估和监督，负责传染病防治监督，组织实施食品安全风险监测，依据授权开展食品安全企业标准备案，为食源性疾病及与食品安全事故有关的流行病学调查提供技术支持。</w:t>
      </w:r>
    </w:p>
    <w:p>
      <w:pPr>
        <w:spacing w:line="60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 xml:space="preserve">4.负责组织拟订并实施全县基层卫生和妇幼卫生、计划生育服务发展规划和政策措施，指导全县基层卫生和妇幼卫生、计划生育服务体系建设，推进基本公共卫生计生服务均等化，完善基层运行新机制和乡村医生管理制度。     </w:t>
      </w:r>
    </w:p>
    <w:p>
      <w:pPr>
        <w:spacing w:line="60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5.负责制定全县医疗机构和医疗服务全行业管理办法并监督实施，制定医疗机构及其医疗服务、医疗技术、医疗质量、医疗安全以及用血机构管理的规范并组织实施，会同有关部门贯彻执行国家卫生计生专业技术人员准入、资格标准，组织实施卫生计生专业技术人员执业规则和服务规范，建立医疗服务评价和监督管理体系。</w:t>
      </w:r>
    </w:p>
    <w:p>
      <w:pPr>
        <w:spacing w:line="60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6.负责建立公益性导向的绩效考核和评价运行机制，推进和谐医患关系建设，提出医疗服务价格政策的建议。</w:t>
      </w:r>
    </w:p>
    <w:p>
      <w:pPr>
        <w:spacing w:line="60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7.贯彻落实国家药物政策和国家基本药物制度，执行国家药品法典、国家基本药物目录和四川省药品增补目录，实施基本药物采购、配送、使用的政策措施。</w:t>
      </w:r>
    </w:p>
    <w:p>
      <w:pPr>
        <w:spacing w:line="60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8.组织实施促进全县出生人口性别平衡的政策措施，组织监测计划生育发展动态，负责全县计划生育相关数据采集和分析研究，提出发布计划生育安全预警预报信息建议，制定计划生育技术服务管理制度并监督实施，制定优生优育和提高出生人口素质的政策措施并组织实施，推动实施计划生育生殖健康促进计划，降低出生缺陷人口数量。</w:t>
      </w:r>
    </w:p>
    <w:p>
      <w:pPr>
        <w:spacing w:line="60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9.组织建立计划生育利益导向、计划生育特殊困难家庭扶助和促进计划生育家庭发展等机制，负责协调推进有关部门、群众团体履行计划生育工作相关职责，建立与经济社会发展政策的衔接机制，提出促进人口长期均衡发展的政策措施。</w:t>
      </w:r>
    </w:p>
    <w:p>
      <w:pPr>
        <w:spacing w:line="60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10.制定流动人口计划生育服务管理制度并组织实施，推动建立流动人口卫生计生信息共享和公共服务工作机制。</w:t>
      </w:r>
    </w:p>
    <w:p>
      <w:pPr>
        <w:spacing w:line="60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11.组织拟订全县卫生计生人才发展规划，指导卫生计生人才队伍建设，加强全科医生等急需紧缺专业人才培养，贯彻落实国家住院医师和专科医师规范化培训制度。</w:t>
      </w:r>
    </w:p>
    <w:p>
      <w:pPr>
        <w:spacing w:line="60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12.组织拟订全县卫生计生科技发展规划；组织实施卫生计生相关科研项目，协同院校医学教育和计划生育教育；组织指导实施毕业后医学教育和继续医学教育；组织实施新技术新成果推广。</w:t>
      </w:r>
    </w:p>
    <w:p>
      <w:pPr>
        <w:spacing w:line="60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13.指导全县卫生和计划生育工作，完善综合监督执法体系，规范卫生计生行政执法行为，监督检查有关法律法规和政策措施的落实，组织查处重大违法行为；组织实施计划生育目标管理责任制的考评工作，监督落实计划生育一票否决制。</w:t>
      </w:r>
    </w:p>
    <w:p>
      <w:pPr>
        <w:spacing w:line="60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14.拟订中医药中长期发展规划，并纳入卫生计生事业发展总体规划和战略目标。</w:t>
      </w:r>
    </w:p>
    <w:p>
      <w:pPr>
        <w:spacing w:line="60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15.负责卫生计生宣传、健康教育、健康促进和信息化建设等工作，依法组织实施统计调查，参与县人口基础信息库建设，根据国家、省、市要求，组织卫生计生对外交流合作与卫生援外工作。</w:t>
      </w:r>
    </w:p>
    <w:p>
      <w:pPr>
        <w:spacing w:line="60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16.承担县爱国卫生运动委员会、县地方病防治领导小组、县防治艾滋病工作委员会的日常工作，负责全县干部知识分子健康保健工作领导小组确定的保健对象的医疗保健工作，负责县重大活动与重要会议的医疗卫生保障工作。</w:t>
      </w:r>
    </w:p>
    <w:p>
      <w:pPr>
        <w:spacing w:line="600" w:lineRule="exact"/>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17.承担县政府公布的有关行政审批事项。</w:t>
      </w:r>
    </w:p>
    <w:p>
      <w:pPr>
        <w:spacing w:line="600" w:lineRule="exact"/>
        <w:ind w:firstLine="640" w:firstLineChars="200"/>
        <w:rPr>
          <w:rFonts w:hint="eastAsia"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18.承办县政府交办的其他事项。</w:t>
      </w:r>
    </w:p>
    <w:p>
      <w:pPr>
        <w:numPr>
          <w:ilvl w:val="0"/>
          <w:numId w:val="0"/>
        </w:numPr>
      </w:pPr>
    </w:p>
    <w:p>
      <w:pPr>
        <w:pStyle w:val="3"/>
        <w:rPr>
          <w:rStyle w:val="31"/>
          <w:b w:val="0"/>
          <w:bCs w:val="0"/>
        </w:rPr>
      </w:pPr>
      <w:bookmarkStart w:id="31" w:name="_Toc276665721"/>
      <w:bookmarkStart w:id="32" w:name="_Toc15396601"/>
      <w:bookmarkStart w:id="33" w:name="_Toc1737809396"/>
      <w:bookmarkStart w:id="34" w:name="_Toc959949503"/>
      <w:bookmarkStart w:id="35" w:name="_Toc15377200"/>
      <w:r>
        <w:rPr>
          <w:rFonts w:hint="eastAsia" w:ascii="黑体" w:eastAsia="黑体"/>
          <w:b w:val="0"/>
        </w:rPr>
        <w:t>二、</w:t>
      </w:r>
      <w:r>
        <w:rPr>
          <w:rFonts w:hint="eastAsia" w:ascii="黑体" w:hAnsi="黑体" w:eastAsia="黑体"/>
          <w:b w:val="0"/>
        </w:rPr>
        <w:t>机</w:t>
      </w:r>
      <w:r>
        <w:rPr>
          <w:rStyle w:val="31"/>
          <w:rFonts w:hint="eastAsia" w:ascii="黑体" w:hAnsi="黑体" w:eastAsia="黑体"/>
          <w:b w:val="0"/>
          <w:bCs w:val="0"/>
        </w:rPr>
        <w:t>构设置</w:t>
      </w:r>
      <w:bookmarkEnd w:id="31"/>
      <w:bookmarkEnd w:id="32"/>
      <w:bookmarkEnd w:id="33"/>
      <w:bookmarkEnd w:id="34"/>
      <w:bookmarkEnd w:id="35"/>
    </w:p>
    <w:p>
      <w:pPr>
        <w:ind w:firstLine="800" w:firstLineChars="250"/>
        <w:rPr>
          <w:rFonts w:hint="eastAsia" w:ascii="仿宋" w:hAnsi="仿宋" w:eastAsia="仿宋"/>
          <w:sz w:val="32"/>
          <w:szCs w:val="32"/>
        </w:rPr>
      </w:pPr>
      <w:r>
        <w:rPr>
          <w:rFonts w:hint="eastAsia" w:asciiTheme="minorEastAsia" w:hAnsiTheme="minorEastAsia" w:eastAsiaTheme="minorEastAsia" w:cstheme="minorEastAsia"/>
          <w:b w:val="0"/>
          <w:bCs w:val="0"/>
          <w:sz w:val="32"/>
          <w:szCs w:val="32"/>
        </w:rPr>
        <w:t>盐边县卫生健康局</w:t>
      </w:r>
      <w:r>
        <w:rPr>
          <w:rFonts w:hint="eastAsia" w:ascii="仿宋" w:hAnsi="仿宋" w:eastAsia="仿宋"/>
          <w:sz w:val="32"/>
          <w:szCs w:val="32"/>
        </w:rPr>
        <w:t>下属二级预算单位</w:t>
      </w:r>
      <w:r>
        <w:rPr>
          <w:sz w:val="32"/>
          <w:szCs w:val="32"/>
        </w:rPr>
        <w:t>1</w:t>
      </w:r>
      <w:r>
        <w:rPr>
          <w:rFonts w:hint="eastAsia"/>
          <w:sz w:val="32"/>
          <w:szCs w:val="32"/>
          <w:lang w:val="en-US" w:eastAsia="zh-CN"/>
        </w:rPr>
        <w:t>6</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sz w:val="32"/>
          <w:szCs w:val="32"/>
          <w:lang w:val="en-US" w:eastAsia="zh-CN"/>
        </w:rPr>
        <w:t>1</w:t>
      </w:r>
      <w:r>
        <w:rPr>
          <w:rFonts w:hint="eastAsia" w:ascii="仿宋" w:hAnsi="仿宋" w:eastAsia="仿宋"/>
          <w:sz w:val="32"/>
          <w:szCs w:val="32"/>
        </w:rPr>
        <w:t>个，其他事业单位</w:t>
      </w:r>
      <w:r>
        <w:rPr>
          <w:rFonts w:hint="eastAsia" w:ascii="仿宋" w:hAnsi="仿宋" w:eastAsia="仿宋"/>
          <w:sz w:val="32"/>
          <w:szCs w:val="32"/>
          <w:lang w:val="en-US" w:eastAsia="zh-CN"/>
        </w:rPr>
        <w:t>15</w:t>
      </w:r>
      <w:r>
        <w:rPr>
          <w:rFonts w:hint="eastAsia" w:ascii="仿宋" w:hAnsi="仿宋" w:eastAsia="仿宋"/>
          <w:sz w:val="32"/>
          <w:szCs w:val="32"/>
        </w:rPr>
        <w:t>个。</w:t>
      </w:r>
    </w:p>
    <w:p>
      <w:pPr>
        <w:ind w:firstLine="800" w:firstLineChars="250"/>
        <w:rPr>
          <w:rFonts w:hint="eastAsia" w:ascii="仿宋" w:hAnsi="仿宋" w:eastAsia="仿宋"/>
          <w:sz w:val="32"/>
          <w:szCs w:val="32"/>
        </w:rPr>
      </w:pPr>
      <w:r>
        <w:rPr>
          <w:rFonts w:hint="eastAsia" w:ascii="仿宋" w:hAnsi="仿宋" w:eastAsia="仿宋"/>
          <w:sz w:val="32"/>
          <w:szCs w:val="32"/>
        </w:rPr>
        <w:t>纳入</w:t>
      </w:r>
      <w:r>
        <w:rPr>
          <w:rFonts w:hint="eastAsia" w:asciiTheme="minorEastAsia" w:hAnsiTheme="minorEastAsia" w:eastAsiaTheme="minorEastAsia" w:cstheme="minorEastAsia"/>
          <w:kern w:val="2"/>
          <w:sz w:val="32"/>
          <w:szCs w:val="32"/>
        </w:rPr>
        <w:t>盐边县卫生健康局</w:t>
      </w:r>
      <w:r>
        <w:rPr>
          <w:rFonts w:hint="eastAsia" w:ascii="仿宋" w:hAnsi="仿宋" w:eastAsia="仿宋"/>
          <w:sz w:val="32"/>
          <w:szCs w:val="32"/>
        </w:rPr>
        <w:t>2023年度部门决算编制范围的二级预算单位包括：</w:t>
      </w:r>
    </w:p>
    <w:p>
      <w:pPr>
        <w:numPr>
          <w:ilvl w:val="0"/>
          <w:numId w:val="2"/>
        </w:numPr>
        <w:ind w:firstLine="750" w:firstLineChars="250"/>
        <w:rPr>
          <w:rFonts w:hint="eastAsia" w:ascii="仿宋" w:hAnsi="仿宋" w:eastAsia="仿宋"/>
          <w:sz w:val="30"/>
        </w:rPr>
      </w:pPr>
      <w:r>
        <w:rPr>
          <w:rFonts w:hint="eastAsia" w:ascii="仿宋" w:hAnsi="仿宋" w:eastAsia="仿宋"/>
          <w:sz w:val="30"/>
        </w:rPr>
        <w:t>盐边县人民医院</w:t>
      </w:r>
    </w:p>
    <w:p>
      <w:pPr>
        <w:numPr>
          <w:ilvl w:val="0"/>
          <w:numId w:val="2"/>
        </w:numPr>
        <w:ind w:firstLine="750" w:firstLineChars="250"/>
        <w:rPr>
          <w:rFonts w:hint="eastAsia" w:ascii="仿宋" w:hAnsi="仿宋" w:eastAsia="仿宋"/>
          <w:sz w:val="32"/>
          <w:szCs w:val="32"/>
        </w:rPr>
      </w:pPr>
      <w:r>
        <w:rPr>
          <w:rFonts w:hint="eastAsia" w:ascii="仿宋" w:hAnsi="仿宋" w:eastAsia="仿宋"/>
          <w:sz w:val="30"/>
        </w:rPr>
        <w:t>盐边县中医院</w:t>
      </w:r>
    </w:p>
    <w:p>
      <w:pPr>
        <w:numPr>
          <w:ilvl w:val="0"/>
          <w:numId w:val="2"/>
        </w:numPr>
        <w:ind w:firstLine="750" w:firstLineChars="250"/>
        <w:rPr>
          <w:rFonts w:hint="eastAsia" w:ascii="仿宋" w:hAnsi="仿宋" w:eastAsia="仿宋"/>
          <w:sz w:val="32"/>
          <w:szCs w:val="32"/>
        </w:rPr>
      </w:pPr>
      <w:r>
        <w:rPr>
          <w:rFonts w:hint="eastAsia" w:ascii="仿宋" w:hAnsi="仿宋" w:eastAsia="仿宋"/>
          <w:sz w:val="30"/>
        </w:rPr>
        <w:t>盐边县第二人民医院</w:t>
      </w:r>
    </w:p>
    <w:p>
      <w:pPr>
        <w:numPr>
          <w:ilvl w:val="0"/>
          <w:numId w:val="2"/>
        </w:numPr>
        <w:ind w:firstLine="750" w:firstLineChars="250"/>
        <w:rPr>
          <w:rFonts w:hint="eastAsia" w:ascii="仿宋" w:hAnsi="仿宋" w:eastAsia="仿宋"/>
          <w:sz w:val="32"/>
          <w:szCs w:val="32"/>
        </w:rPr>
      </w:pPr>
      <w:r>
        <w:rPr>
          <w:rFonts w:hint="eastAsia" w:ascii="仿宋" w:hAnsi="仿宋" w:eastAsia="仿宋"/>
          <w:sz w:val="30"/>
        </w:rPr>
        <w:t>盐边县社区卫生服务中心</w:t>
      </w:r>
    </w:p>
    <w:p>
      <w:pPr>
        <w:numPr>
          <w:ilvl w:val="0"/>
          <w:numId w:val="2"/>
        </w:numPr>
        <w:ind w:firstLine="750" w:firstLineChars="250"/>
        <w:rPr>
          <w:rFonts w:hint="eastAsia" w:ascii="仿宋" w:hAnsi="仿宋" w:eastAsia="仿宋"/>
          <w:sz w:val="32"/>
          <w:szCs w:val="32"/>
        </w:rPr>
      </w:pPr>
      <w:r>
        <w:rPr>
          <w:rFonts w:hint="eastAsia" w:ascii="仿宋" w:hAnsi="仿宋" w:eastAsia="仿宋"/>
          <w:sz w:val="30"/>
        </w:rPr>
        <w:t>盐边县桐子林镇卫生院</w:t>
      </w:r>
    </w:p>
    <w:p>
      <w:pPr>
        <w:numPr>
          <w:ilvl w:val="0"/>
          <w:numId w:val="2"/>
        </w:numPr>
        <w:ind w:firstLine="750" w:firstLineChars="250"/>
        <w:rPr>
          <w:rFonts w:hint="eastAsia" w:ascii="仿宋" w:hAnsi="仿宋" w:eastAsia="仿宋"/>
          <w:sz w:val="32"/>
          <w:szCs w:val="32"/>
        </w:rPr>
      </w:pPr>
      <w:r>
        <w:rPr>
          <w:rFonts w:hint="eastAsia" w:ascii="仿宋" w:hAnsi="仿宋" w:eastAsia="仿宋"/>
          <w:sz w:val="30"/>
        </w:rPr>
        <w:t>盐边县红格中心卫生院</w:t>
      </w:r>
    </w:p>
    <w:p>
      <w:pPr>
        <w:numPr>
          <w:ilvl w:val="0"/>
          <w:numId w:val="2"/>
        </w:numPr>
        <w:ind w:firstLine="750" w:firstLineChars="250"/>
        <w:rPr>
          <w:rFonts w:hint="eastAsia" w:ascii="仿宋" w:hAnsi="仿宋" w:eastAsia="仿宋"/>
          <w:sz w:val="32"/>
          <w:szCs w:val="32"/>
        </w:rPr>
      </w:pPr>
      <w:r>
        <w:rPr>
          <w:rFonts w:hint="eastAsia" w:ascii="仿宋" w:hAnsi="仿宋" w:eastAsia="仿宋"/>
          <w:sz w:val="30"/>
        </w:rPr>
        <w:t>盐边县渔门中心卫生院（盐边县渔门镇妇幼保健计划生育服务站）</w:t>
      </w:r>
    </w:p>
    <w:p>
      <w:pPr>
        <w:numPr>
          <w:ilvl w:val="0"/>
          <w:numId w:val="2"/>
        </w:numPr>
        <w:ind w:firstLine="750" w:firstLineChars="250"/>
        <w:rPr>
          <w:rFonts w:hint="eastAsia" w:ascii="仿宋" w:hAnsi="仿宋" w:eastAsia="仿宋"/>
          <w:sz w:val="32"/>
          <w:szCs w:val="32"/>
        </w:rPr>
      </w:pPr>
      <w:r>
        <w:rPr>
          <w:rFonts w:hint="eastAsia" w:ascii="仿宋" w:hAnsi="仿宋" w:eastAsia="仿宋"/>
          <w:sz w:val="30"/>
        </w:rPr>
        <w:t>盐边县永兴中心卫生院</w:t>
      </w:r>
    </w:p>
    <w:p>
      <w:pPr>
        <w:numPr>
          <w:ilvl w:val="0"/>
          <w:numId w:val="2"/>
        </w:numPr>
        <w:ind w:firstLine="750" w:firstLineChars="250"/>
        <w:rPr>
          <w:rFonts w:hint="eastAsia" w:ascii="仿宋" w:hAnsi="仿宋" w:eastAsia="仿宋"/>
          <w:sz w:val="32"/>
          <w:szCs w:val="32"/>
        </w:rPr>
      </w:pPr>
      <w:r>
        <w:rPr>
          <w:rFonts w:hint="eastAsia" w:ascii="仿宋" w:hAnsi="仿宋" w:eastAsia="仿宋"/>
          <w:sz w:val="30"/>
        </w:rPr>
        <w:t>盐边县新九镇卫生院</w:t>
      </w:r>
    </w:p>
    <w:p>
      <w:pPr>
        <w:numPr>
          <w:ilvl w:val="0"/>
          <w:numId w:val="2"/>
        </w:numPr>
        <w:ind w:firstLine="750" w:firstLineChars="250"/>
        <w:rPr>
          <w:rFonts w:hint="eastAsia" w:ascii="仿宋" w:hAnsi="仿宋" w:eastAsia="仿宋"/>
          <w:sz w:val="32"/>
          <w:szCs w:val="32"/>
        </w:rPr>
      </w:pPr>
      <w:r>
        <w:rPr>
          <w:rFonts w:hint="eastAsia" w:ascii="仿宋" w:hAnsi="仿宋" w:eastAsia="仿宋"/>
          <w:sz w:val="30"/>
        </w:rPr>
        <w:t>盐边县惠民中心卫生院</w:t>
      </w:r>
    </w:p>
    <w:p>
      <w:pPr>
        <w:numPr>
          <w:ilvl w:val="0"/>
          <w:numId w:val="2"/>
        </w:numPr>
        <w:ind w:firstLine="750" w:firstLineChars="250"/>
        <w:rPr>
          <w:rFonts w:hint="eastAsia" w:ascii="仿宋" w:hAnsi="仿宋" w:eastAsia="仿宋"/>
          <w:sz w:val="32"/>
          <w:szCs w:val="32"/>
        </w:rPr>
      </w:pPr>
      <w:r>
        <w:rPr>
          <w:rFonts w:hint="eastAsia" w:ascii="仿宋" w:hAnsi="仿宋" w:eastAsia="仿宋"/>
          <w:sz w:val="30"/>
        </w:rPr>
        <w:t>盐边县红果中心卫生院</w:t>
      </w:r>
    </w:p>
    <w:p>
      <w:pPr>
        <w:numPr>
          <w:ilvl w:val="0"/>
          <w:numId w:val="2"/>
        </w:numPr>
        <w:ind w:firstLine="750" w:firstLineChars="250"/>
        <w:rPr>
          <w:rFonts w:hint="eastAsia" w:ascii="仿宋" w:hAnsi="仿宋" w:eastAsia="仿宋"/>
          <w:sz w:val="32"/>
          <w:szCs w:val="32"/>
        </w:rPr>
      </w:pPr>
      <w:r>
        <w:rPr>
          <w:rFonts w:hint="eastAsia" w:ascii="仿宋" w:hAnsi="仿宋" w:eastAsia="仿宋"/>
          <w:sz w:val="30"/>
        </w:rPr>
        <w:t>盐边县温泉彝族乡卫生院</w:t>
      </w:r>
    </w:p>
    <w:p>
      <w:pPr>
        <w:numPr>
          <w:ilvl w:val="0"/>
          <w:numId w:val="2"/>
        </w:numPr>
        <w:ind w:firstLine="750" w:firstLineChars="250"/>
        <w:rPr>
          <w:rFonts w:hint="eastAsia" w:ascii="仿宋" w:hAnsi="仿宋" w:eastAsia="仿宋"/>
          <w:sz w:val="32"/>
          <w:szCs w:val="32"/>
        </w:rPr>
      </w:pPr>
      <w:r>
        <w:rPr>
          <w:rFonts w:hint="eastAsia" w:ascii="仿宋" w:hAnsi="仿宋" w:eastAsia="仿宋"/>
          <w:sz w:val="30"/>
        </w:rPr>
        <w:t>盐边县国胜中心卫生院</w:t>
      </w:r>
    </w:p>
    <w:p>
      <w:pPr>
        <w:numPr>
          <w:ilvl w:val="0"/>
          <w:numId w:val="2"/>
        </w:numPr>
        <w:ind w:firstLine="750" w:firstLineChars="250"/>
        <w:rPr>
          <w:rFonts w:hint="eastAsia" w:ascii="仿宋" w:hAnsi="仿宋" w:eastAsia="仿宋"/>
          <w:sz w:val="32"/>
          <w:szCs w:val="32"/>
        </w:rPr>
      </w:pPr>
      <w:r>
        <w:rPr>
          <w:rFonts w:hint="eastAsia" w:ascii="仿宋" w:hAnsi="仿宋" w:eastAsia="仿宋"/>
          <w:sz w:val="30"/>
        </w:rPr>
        <w:t>盐边县共和中心卫生院</w:t>
      </w:r>
    </w:p>
    <w:p>
      <w:pPr>
        <w:numPr>
          <w:ilvl w:val="0"/>
          <w:numId w:val="2"/>
        </w:numPr>
        <w:ind w:firstLine="750" w:firstLineChars="250"/>
        <w:rPr>
          <w:rFonts w:hint="eastAsia" w:ascii="仿宋" w:hAnsi="仿宋" w:eastAsia="仿宋"/>
          <w:sz w:val="32"/>
          <w:szCs w:val="32"/>
        </w:rPr>
      </w:pPr>
      <w:r>
        <w:rPr>
          <w:rFonts w:hint="eastAsia" w:ascii="仿宋" w:hAnsi="仿宋" w:eastAsia="仿宋"/>
          <w:sz w:val="30"/>
        </w:rPr>
        <w:t>盐边县红宝苗族彝族乡卫生院</w:t>
      </w:r>
    </w:p>
    <w:p>
      <w:pPr>
        <w:numPr>
          <w:ilvl w:val="0"/>
          <w:numId w:val="2"/>
        </w:numPr>
        <w:ind w:firstLine="750" w:firstLineChars="250"/>
        <w:rPr>
          <w:rFonts w:hint="eastAsia" w:ascii="仿宋" w:hAnsi="仿宋" w:eastAsia="仿宋"/>
          <w:sz w:val="32"/>
          <w:szCs w:val="32"/>
        </w:rPr>
      </w:pPr>
      <w:r>
        <w:rPr>
          <w:rFonts w:hint="eastAsia" w:ascii="仿宋" w:hAnsi="仿宋" w:eastAsia="仿宋"/>
          <w:sz w:val="30"/>
        </w:rPr>
        <w:t>盐边县格萨拉中心卫生院</w:t>
      </w:r>
    </w:p>
    <w:p>
      <w:pPr>
        <w:pStyle w:val="6"/>
        <w:numPr>
          <w:ilvl w:val="0"/>
          <w:numId w:val="0"/>
        </w:numPr>
        <w:adjustRightInd w:val="0"/>
        <w:snapToGrid w:val="0"/>
        <w:spacing w:before="93" w:line="600" w:lineRule="exact"/>
        <w:ind w:left="672" w:leftChars="0"/>
        <w:outlineLvl w:val="9"/>
        <w:rPr>
          <w:rFonts w:ascii="仿宋" w:hAnsi="仿宋" w:eastAsia="仿宋"/>
          <w:sz w:val="32"/>
          <w:szCs w:val="32"/>
        </w:rPr>
      </w:pPr>
    </w:p>
    <w:p>
      <w:pPr>
        <w:widowControl/>
        <w:jc w:val="left"/>
        <w:rPr>
          <w:rFonts w:ascii="仿宋" w:hAnsi="仿宋" w:eastAsia="仿宋"/>
          <w:kern w:val="0"/>
          <w:sz w:val="32"/>
          <w:szCs w:val="32"/>
        </w:rPr>
      </w:pPr>
      <w:r>
        <w:rPr>
          <w:rFonts w:ascii="仿宋" w:hAnsi="仿宋" w:eastAsia="仿宋"/>
          <w:sz w:val="32"/>
          <w:szCs w:val="32"/>
        </w:rPr>
        <w:br w:type="page"/>
      </w:r>
    </w:p>
    <w:p>
      <w:pPr>
        <w:pStyle w:val="2"/>
        <w:ind w:right="440"/>
        <w:jc w:val="center"/>
        <w:rPr>
          <w:rStyle w:val="30"/>
          <w:rFonts w:ascii="黑体" w:hAnsi="黑体" w:eastAsia="黑体"/>
          <w:b w:val="0"/>
          <w:bCs/>
        </w:rPr>
      </w:pPr>
      <w:bookmarkStart w:id="36" w:name="_Toc15377204"/>
      <w:bookmarkStart w:id="37" w:name="_Toc15396602"/>
      <w:r>
        <w:rPr>
          <w:rFonts w:hint="eastAsia" w:ascii="黑体" w:hAnsi="黑体" w:eastAsia="黑体"/>
          <w:b w:val="0"/>
        </w:rPr>
        <w:t>第二部分 2023年度</w:t>
      </w:r>
      <w:r>
        <w:rPr>
          <w:rStyle w:val="30"/>
          <w:rFonts w:hint="eastAsia" w:ascii="黑体" w:hAnsi="黑体" w:eastAsia="黑体"/>
          <w:b w:val="0"/>
          <w:bCs/>
        </w:rPr>
        <w:t>部门决算情况说明</w:t>
      </w:r>
      <w:bookmarkEnd w:id="36"/>
      <w:bookmarkEnd w:id="37"/>
    </w:p>
    <w:p/>
    <w:p>
      <w:pPr>
        <w:pStyle w:val="29"/>
        <w:numPr>
          <w:ilvl w:val="0"/>
          <w:numId w:val="3"/>
        </w:numPr>
        <w:tabs>
          <w:tab w:val="left" w:pos="478"/>
        </w:tabs>
        <w:spacing w:line="600" w:lineRule="exact"/>
        <w:ind w:firstLineChars="0"/>
        <w:outlineLvl w:val="1"/>
        <w:rPr>
          <w:rStyle w:val="31"/>
          <w:rFonts w:ascii="黑体" w:hAnsi="黑体" w:eastAsia="黑体"/>
          <w:b w:val="0"/>
        </w:rPr>
      </w:pPr>
      <w:bookmarkStart w:id="38" w:name="_Toc15396603"/>
      <w:bookmarkStart w:id="39" w:name="_Toc15377205"/>
      <w:r>
        <w:rPr>
          <w:rFonts w:hint="eastAsia" w:ascii="黑体" w:hAnsi="黑体" w:eastAsia="黑体"/>
          <w:sz w:val="32"/>
          <w:szCs w:val="32"/>
        </w:rPr>
        <w:t>收</w:t>
      </w:r>
      <w:r>
        <w:rPr>
          <w:rStyle w:val="31"/>
          <w:rFonts w:hint="eastAsia" w:ascii="黑体" w:hAnsi="黑体" w:eastAsia="黑体"/>
          <w:b w:val="0"/>
        </w:rPr>
        <w:t>入支出决算总体情况说明</w:t>
      </w:r>
      <w:bookmarkEnd w:id="38"/>
      <w:bookmarkEnd w:id="39"/>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2023年度收、支总计均为</w:t>
      </w:r>
      <w:r>
        <w:rPr>
          <w:rFonts w:hint="eastAsia"/>
          <w:sz w:val="32"/>
          <w:szCs w:val="32"/>
        </w:rPr>
        <w:t>31415.89</w:t>
      </w:r>
      <w:r>
        <w:rPr>
          <w:rFonts w:hint="eastAsia" w:ascii="仿宋" w:hAnsi="仿宋" w:eastAsia="仿宋"/>
          <w:sz w:val="32"/>
          <w:szCs w:val="32"/>
        </w:rPr>
        <w:t>万元</w:t>
      </w:r>
      <w:r>
        <w:rPr>
          <w:rFonts w:hint="eastAsia"/>
          <w:sz w:val="32"/>
          <w:szCs w:val="32"/>
        </w:rPr>
        <w:t>。</w:t>
      </w:r>
      <w:r>
        <w:rPr>
          <w:rFonts w:hint="eastAsia" w:ascii="仿宋" w:hAnsi="仿宋" w:eastAsia="仿宋"/>
          <w:sz w:val="32"/>
          <w:szCs w:val="32"/>
        </w:rPr>
        <w:t>与2022年度相比，收、支总计各增加</w:t>
      </w:r>
      <w:r>
        <w:rPr>
          <w:rFonts w:hint="eastAsia" w:ascii="仿宋" w:hAnsi="仿宋" w:eastAsia="仿宋"/>
          <w:sz w:val="32"/>
          <w:szCs w:val="32"/>
          <w:lang w:val="en-US" w:eastAsia="zh-CN"/>
        </w:rPr>
        <w:t>5317.69</w:t>
      </w:r>
      <w:r>
        <w:rPr>
          <w:rFonts w:hint="eastAsia" w:ascii="仿宋" w:hAnsi="仿宋" w:eastAsia="仿宋"/>
          <w:sz w:val="32"/>
          <w:szCs w:val="32"/>
        </w:rPr>
        <w:t>万元，增长</w:t>
      </w:r>
      <w:r>
        <w:rPr>
          <w:rFonts w:hint="eastAsia" w:ascii="仿宋" w:hAnsi="仿宋" w:eastAsia="仿宋"/>
          <w:sz w:val="32"/>
          <w:szCs w:val="32"/>
          <w:lang w:val="en-US" w:eastAsia="zh-CN"/>
        </w:rPr>
        <w:t>16.93</w:t>
      </w:r>
      <w:r>
        <w:rPr>
          <w:rFonts w:ascii="仿宋" w:hAnsi="仿宋" w:eastAsia="仿宋"/>
          <w:sz w:val="32"/>
          <w:szCs w:val="32"/>
        </w:rPr>
        <w:t>%</w:t>
      </w:r>
      <w:r>
        <w:rPr>
          <w:rFonts w:hint="eastAsia" w:ascii="仿宋" w:hAnsi="仿宋" w:eastAsia="仿宋"/>
          <w:sz w:val="32"/>
          <w:szCs w:val="32"/>
        </w:rPr>
        <w:t>。主要变动原因是</w:t>
      </w:r>
      <w:bookmarkStart w:id="71" w:name="_GoBack"/>
      <w:bookmarkEnd w:id="71"/>
      <w:r>
        <w:rPr>
          <w:rFonts w:hint="default" w:ascii="Times New Roman" w:hAnsi="Times New Roman" w:eastAsia="仿宋_GB2312" w:cs="Times New Roman"/>
          <w:sz w:val="32"/>
          <w:szCs w:val="32"/>
          <w:lang w:val="en-US" w:eastAsia="zh-CN"/>
        </w:rPr>
        <w:t>新增在建工程二医院项目</w:t>
      </w:r>
      <w:r>
        <w:rPr>
          <w:rFonts w:hint="eastAsia"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lang w:val="en-US" w:eastAsia="zh-CN"/>
        </w:rPr>
        <w:t>增</w:t>
      </w:r>
      <w:r>
        <w:rPr>
          <w:rFonts w:hint="eastAsia" w:ascii="Times New Roman" w:hAnsi="Times New Roman" w:eastAsia="仿宋_GB2312" w:cs="Times New Roman"/>
          <w:sz w:val="32"/>
          <w:szCs w:val="32"/>
          <w:lang w:val="en-US" w:eastAsia="zh-CN"/>
        </w:rPr>
        <w:t>加</w:t>
      </w:r>
      <w:r>
        <w:rPr>
          <w:rFonts w:hint="default" w:ascii="Times New Roman" w:hAnsi="Times New Roman" w:eastAsia="仿宋" w:cs="Times New Roman"/>
          <w:sz w:val="32"/>
          <w:szCs w:val="32"/>
        </w:rPr>
        <w:t>。</w:t>
      </w:r>
    </w:p>
    <w:p>
      <w:pPr>
        <w:pStyle w:val="5"/>
        <w:jc w:val="center"/>
        <w:rPr>
          <w:rFonts w:hint="eastAsia" w:ascii="仿宋" w:hAnsi="仿宋" w:eastAsia="仿宋"/>
          <w:sz w:val="32"/>
          <w:szCs w:val="32"/>
        </w:rPr>
      </w:pPr>
    </w:p>
    <w:p>
      <w:pPr>
        <w:pStyle w:val="5"/>
        <w:jc w:val="center"/>
        <w:rPr>
          <w:rFonts w:ascii="仿宋" w:hAnsi="仿宋" w:eastAsia="仿宋"/>
          <w:sz w:val="32"/>
          <w:szCs w:val="32"/>
        </w:rPr>
      </w:pPr>
      <w:r>
        <w:rPr>
          <w:rFonts w:hint="default" w:ascii="Times New Roman" w:hAnsi="Times New Roman" w:eastAsia="仿宋_GB2312" w:cs="Times New Roman"/>
        </w:rPr>
        <w:drawing>
          <wp:anchor distT="0" distB="0" distL="0" distR="0" simplePos="0" relativeHeight="251659264" behindDoc="0" locked="0" layoutInCell="1" allowOverlap="1">
            <wp:simplePos x="0" y="0"/>
            <wp:positionH relativeFrom="column">
              <wp:posOffset>33655</wp:posOffset>
            </wp:positionH>
            <wp:positionV relativeFrom="paragraph">
              <wp:posOffset>146685</wp:posOffset>
            </wp:positionV>
            <wp:extent cx="5198745" cy="3550920"/>
            <wp:effectExtent l="4445" t="4445" r="16510" b="698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spacing w:line="600" w:lineRule="exact"/>
        <w:ind w:firstLine="640" w:firstLineChars="200"/>
        <w:jc w:val="left"/>
        <w:rPr>
          <w:rFonts w:ascii="仿宋_GB2312" w:eastAsia="仿宋_GB2312"/>
          <w:sz w:val="32"/>
          <w:szCs w:val="32"/>
        </w:rPr>
      </w:pPr>
    </w:p>
    <w:p>
      <w:pPr>
        <w:pStyle w:val="29"/>
        <w:numPr>
          <w:ilvl w:val="0"/>
          <w:numId w:val="3"/>
        </w:numPr>
        <w:spacing w:line="600" w:lineRule="exact"/>
        <w:ind w:firstLineChars="0"/>
        <w:outlineLvl w:val="1"/>
        <w:rPr>
          <w:rStyle w:val="31"/>
          <w:rFonts w:ascii="黑体" w:hAnsi="黑体" w:eastAsia="黑体"/>
          <w:b w:val="0"/>
        </w:rPr>
      </w:pPr>
      <w:bookmarkStart w:id="40" w:name="_Toc15396604"/>
      <w:bookmarkStart w:id="41" w:name="_Toc15377206"/>
      <w:r>
        <w:rPr>
          <w:rFonts w:hint="eastAsia" w:ascii="黑体" w:hAnsi="黑体" w:eastAsia="黑体"/>
          <w:sz w:val="32"/>
          <w:szCs w:val="32"/>
        </w:rPr>
        <w:t>收</w:t>
      </w:r>
      <w:r>
        <w:rPr>
          <w:rStyle w:val="31"/>
          <w:rFonts w:hint="eastAsia" w:ascii="黑体" w:hAnsi="黑体" w:eastAsia="黑体"/>
          <w:b w:val="0"/>
        </w:rPr>
        <w:t>入决算情况说明</w:t>
      </w:r>
      <w:bookmarkEnd w:id="40"/>
      <w:bookmarkEnd w:id="41"/>
    </w:p>
    <w:p>
      <w:pPr>
        <w:spacing w:line="600" w:lineRule="exact"/>
        <w:ind w:firstLine="640" w:firstLineChars="200"/>
        <w:jc w:val="left"/>
        <w:outlineLvl w:val="1"/>
        <w:rPr>
          <w:rFonts w:hint="eastAsia" w:ascii="仿宋" w:hAnsi="仿宋" w:eastAsia="仿宋"/>
          <w:sz w:val="32"/>
          <w:szCs w:val="32"/>
        </w:rPr>
      </w:pPr>
      <w:r>
        <w:rPr>
          <w:rFonts w:hint="eastAsia" w:ascii="仿宋" w:hAnsi="仿宋" w:eastAsia="仿宋"/>
          <w:sz w:val="32"/>
          <w:szCs w:val="32"/>
        </w:rPr>
        <w:t>2023年度本年收入合计</w:t>
      </w:r>
      <w:r>
        <w:rPr>
          <w:sz w:val="32"/>
          <w:szCs w:val="32"/>
        </w:rPr>
        <w:t>31320.37</w:t>
      </w:r>
      <w:r>
        <w:rPr>
          <w:rFonts w:hint="eastAsia" w:ascii="仿宋" w:hAnsi="仿宋" w:eastAsia="仿宋"/>
          <w:sz w:val="32"/>
          <w:szCs w:val="32"/>
        </w:rPr>
        <w:t>万元，其中：一般公共预算财政拨款收入</w:t>
      </w:r>
      <w:r>
        <w:rPr>
          <w:sz w:val="32"/>
          <w:szCs w:val="32"/>
        </w:rPr>
        <w:t>15288.16</w:t>
      </w:r>
      <w:r>
        <w:rPr>
          <w:rFonts w:hint="eastAsia" w:ascii="仿宋" w:hAnsi="仿宋" w:eastAsia="仿宋"/>
          <w:sz w:val="32"/>
          <w:szCs w:val="32"/>
        </w:rPr>
        <w:t>万元，占</w:t>
      </w:r>
      <w:r>
        <w:rPr>
          <w:sz w:val="32"/>
          <w:szCs w:val="32"/>
        </w:rPr>
        <w:t>48.81</w:t>
      </w:r>
      <w:r>
        <w:rPr>
          <w:rFonts w:ascii="仿宋" w:hAnsi="仿宋" w:eastAsia="仿宋"/>
          <w:sz w:val="32"/>
          <w:szCs w:val="32"/>
        </w:rPr>
        <w:t>%</w:t>
      </w:r>
      <w:r>
        <w:rPr>
          <w:rFonts w:hint="eastAsia" w:ascii="仿宋" w:hAnsi="仿宋" w:eastAsia="仿宋"/>
          <w:sz w:val="32"/>
          <w:szCs w:val="32"/>
        </w:rPr>
        <w:t>；政府性基金预算财政拨款收入</w:t>
      </w:r>
      <w:r>
        <w:rPr>
          <w:sz w:val="32"/>
          <w:szCs w:val="32"/>
        </w:rPr>
        <w:t>5004.06</w:t>
      </w:r>
      <w:r>
        <w:rPr>
          <w:rFonts w:hint="eastAsia" w:ascii="仿宋" w:hAnsi="仿宋" w:eastAsia="仿宋"/>
          <w:sz w:val="32"/>
          <w:szCs w:val="32"/>
        </w:rPr>
        <w:t>万元，占</w:t>
      </w:r>
      <w:r>
        <w:rPr>
          <w:sz w:val="32"/>
          <w:szCs w:val="32"/>
        </w:rPr>
        <w:t>15.97</w:t>
      </w:r>
      <w:r>
        <w:rPr>
          <w:rFonts w:ascii="仿宋" w:hAnsi="仿宋" w:eastAsia="仿宋"/>
          <w:sz w:val="32"/>
          <w:szCs w:val="32"/>
        </w:rPr>
        <w:t>%</w:t>
      </w:r>
      <w:r>
        <w:rPr>
          <w:rFonts w:hint="eastAsia" w:ascii="仿宋" w:hAnsi="仿宋" w:eastAsia="仿宋"/>
          <w:sz w:val="32"/>
          <w:szCs w:val="32"/>
        </w:rPr>
        <w:t>；国有资本经营预算财政拨款收入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；上级补助收入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；事业收入</w:t>
      </w:r>
      <w:r>
        <w:rPr>
          <w:sz w:val="32"/>
          <w:szCs w:val="32"/>
        </w:rPr>
        <w:t>10860.93</w:t>
      </w:r>
      <w:r>
        <w:rPr>
          <w:rFonts w:hint="eastAsia" w:ascii="仿宋" w:hAnsi="仿宋" w:eastAsia="仿宋"/>
          <w:sz w:val="32"/>
          <w:szCs w:val="32"/>
        </w:rPr>
        <w:t>万元，占</w:t>
      </w:r>
      <w:r>
        <w:rPr>
          <w:sz w:val="32"/>
          <w:szCs w:val="32"/>
        </w:rPr>
        <w:t>34.67</w:t>
      </w:r>
      <w:r>
        <w:rPr>
          <w:rFonts w:ascii="仿宋" w:hAnsi="仿宋" w:eastAsia="仿宋"/>
          <w:sz w:val="32"/>
          <w:szCs w:val="32"/>
        </w:rPr>
        <w:t>%</w:t>
      </w:r>
      <w:r>
        <w:rPr>
          <w:rFonts w:hint="eastAsia" w:ascii="仿宋" w:hAnsi="仿宋" w:eastAsia="仿宋"/>
          <w:sz w:val="32"/>
          <w:szCs w:val="32"/>
        </w:rPr>
        <w:t>；经营收入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；附属单位上缴收入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；其他收入</w:t>
      </w:r>
      <w:r>
        <w:rPr>
          <w:sz w:val="32"/>
          <w:szCs w:val="32"/>
        </w:rPr>
        <w:t>167.22</w:t>
      </w:r>
      <w:r>
        <w:rPr>
          <w:rFonts w:hint="eastAsia" w:ascii="仿宋" w:hAnsi="仿宋" w:eastAsia="仿宋"/>
          <w:sz w:val="32"/>
          <w:szCs w:val="32"/>
        </w:rPr>
        <w:t>万元，占</w:t>
      </w:r>
      <w:r>
        <w:rPr>
          <w:sz w:val="32"/>
          <w:szCs w:val="32"/>
        </w:rPr>
        <w:t>0.53</w:t>
      </w:r>
      <w:r>
        <w:rPr>
          <w:rFonts w:ascii="仿宋" w:hAnsi="仿宋" w:eastAsia="仿宋"/>
          <w:sz w:val="32"/>
          <w:szCs w:val="32"/>
        </w:rPr>
        <w:t>%</w:t>
      </w:r>
      <w:r>
        <w:rPr>
          <w:rFonts w:hint="eastAsia" w:ascii="仿宋" w:hAnsi="仿宋" w:eastAsia="仿宋"/>
          <w:sz w:val="32"/>
          <w:szCs w:val="32"/>
        </w:rPr>
        <w:t>。</w:t>
      </w:r>
    </w:p>
    <w:p>
      <w:pPr>
        <w:pStyle w:val="5"/>
        <w:rPr>
          <w:rFonts w:hint="eastAsia"/>
        </w:rPr>
      </w:pPr>
    </w:p>
    <w:p>
      <w:pPr>
        <w:pStyle w:val="5"/>
        <w:jc w:val="center"/>
        <w:rPr>
          <w:rFonts w:ascii="仿宋" w:hAnsi="仿宋" w:eastAsia="仿宋"/>
          <w:sz w:val="32"/>
          <w:szCs w:val="32"/>
        </w:rPr>
      </w:pPr>
      <w:bookmarkStart w:id="42" w:name="_Toc5957"/>
      <w:r>
        <w:drawing>
          <wp:anchor distT="0" distB="0" distL="0" distR="0" simplePos="0" relativeHeight="251660288" behindDoc="0" locked="0" layoutInCell="1" allowOverlap="1">
            <wp:simplePos x="0" y="0"/>
            <wp:positionH relativeFrom="column">
              <wp:posOffset>55880</wp:posOffset>
            </wp:positionH>
            <wp:positionV relativeFrom="paragraph">
              <wp:posOffset>323850</wp:posOffset>
            </wp:positionV>
            <wp:extent cx="5276850" cy="3639820"/>
            <wp:effectExtent l="4445" t="4445" r="14605" b="1333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bookmarkEnd w:id="42"/>
      <w:r>
        <w:rPr>
          <w:rFonts w:hint="eastAsia" w:ascii="仿宋" w:hAnsi="仿宋" w:eastAsia="仿宋"/>
          <w:sz w:val="32"/>
          <w:szCs w:val="32"/>
        </w:rPr>
        <w:t>（图2：收入决算结构图）</w:t>
      </w:r>
    </w:p>
    <w:p>
      <w:pPr>
        <w:spacing w:line="600" w:lineRule="exact"/>
        <w:ind w:firstLine="640" w:firstLineChars="200"/>
        <w:rPr>
          <w:rFonts w:ascii="仿宋_GB2312" w:eastAsia="仿宋_GB2312"/>
          <w:sz w:val="32"/>
          <w:szCs w:val="32"/>
        </w:rPr>
      </w:pPr>
    </w:p>
    <w:p>
      <w:pPr>
        <w:pStyle w:val="29"/>
        <w:numPr>
          <w:ilvl w:val="0"/>
          <w:numId w:val="3"/>
        </w:numPr>
        <w:spacing w:line="600" w:lineRule="exact"/>
        <w:ind w:firstLineChars="0"/>
        <w:outlineLvl w:val="1"/>
        <w:rPr>
          <w:rStyle w:val="31"/>
          <w:rFonts w:ascii="黑体" w:hAnsi="黑体" w:eastAsia="黑体"/>
          <w:b w:val="0"/>
        </w:rPr>
      </w:pPr>
      <w:bookmarkStart w:id="43" w:name="_Toc15396605"/>
      <w:bookmarkStart w:id="44" w:name="_Toc15377207"/>
      <w:r>
        <w:rPr>
          <w:rFonts w:hint="eastAsia" w:ascii="黑体" w:hAnsi="黑体" w:eastAsia="黑体"/>
          <w:sz w:val="32"/>
          <w:szCs w:val="32"/>
        </w:rPr>
        <w:t>支</w:t>
      </w:r>
      <w:r>
        <w:rPr>
          <w:rStyle w:val="31"/>
          <w:rFonts w:hint="eastAsia" w:ascii="黑体" w:hAnsi="黑体" w:eastAsia="黑体"/>
          <w:b w:val="0"/>
        </w:rPr>
        <w:t>出决算情况说明</w:t>
      </w:r>
      <w:bookmarkEnd w:id="43"/>
      <w:bookmarkEnd w:id="44"/>
    </w:p>
    <w:p>
      <w:pPr>
        <w:spacing w:line="600" w:lineRule="exact"/>
        <w:ind w:firstLine="640" w:firstLineChars="200"/>
        <w:outlineLvl w:val="1"/>
        <w:rPr>
          <w:rFonts w:hint="eastAsia" w:ascii="仿宋" w:hAnsi="仿宋" w:eastAsia="仿宋"/>
          <w:sz w:val="32"/>
          <w:szCs w:val="32"/>
        </w:rPr>
      </w:pPr>
      <w:r>
        <w:rPr>
          <w:rFonts w:hint="eastAsia" w:ascii="仿宋" w:hAnsi="仿宋" w:eastAsia="仿宋"/>
          <w:sz w:val="32"/>
          <w:szCs w:val="32"/>
        </w:rPr>
        <w:t>2023年度本年支出合计</w:t>
      </w:r>
      <w:r>
        <w:rPr>
          <w:sz w:val="32"/>
          <w:szCs w:val="32"/>
        </w:rPr>
        <w:t>30559.03</w:t>
      </w:r>
      <w:r>
        <w:rPr>
          <w:rFonts w:hint="eastAsia" w:ascii="仿宋" w:hAnsi="仿宋" w:eastAsia="仿宋"/>
          <w:sz w:val="32"/>
          <w:szCs w:val="32"/>
        </w:rPr>
        <w:t>万元，其中：基本支出</w:t>
      </w:r>
      <w:r>
        <w:rPr>
          <w:sz w:val="32"/>
          <w:szCs w:val="32"/>
        </w:rPr>
        <w:t>18515.36</w:t>
      </w:r>
      <w:r>
        <w:rPr>
          <w:rFonts w:hint="eastAsia" w:ascii="仿宋" w:hAnsi="仿宋" w:eastAsia="仿宋"/>
          <w:sz w:val="32"/>
          <w:szCs w:val="32"/>
        </w:rPr>
        <w:t>万元，占</w:t>
      </w:r>
      <w:r>
        <w:rPr>
          <w:sz w:val="32"/>
          <w:szCs w:val="32"/>
        </w:rPr>
        <w:t>60.58</w:t>
      </w:r>
      <w:r>
        <w:rPr>
          <w:rFonts w:ascii="仿宋" w:hAnsi="仿宋" w:eastAsia="仿宋"/>
          <w:sz w:val="32"/>
          <w:szCs w:val="32"/>
        </w:rPr>
        <w:t>%</w:t>
      </w:r>
      <w:r>
        <w:rPr>
          <w:rFonts w:hint="eastAsia" w:ascii="仿宋" w:hAnsi="仿宋" w:eastAsia="仿宋"/>
          <w:sz w:val="32"/>
          <w:szCs w:val="32"/>
        </w:rPr>
        <w:t>；项目支出</w:t>
      </w:r>
      <w:r>
        <w:rPr>
          <w:sz w:val="32"/>
          <w:szCs w:val="32"/>
        </w:rPr>
        <w:t>12043.68</w:t>
      </w:r>
      <w:r>
        <w:rPr>
          <w:rFonts w:hint="eastAsia" w:ascii="仿宋" w:hAnsi="仿宋" w:eastAsia="仿宋"/>
          <w:sz w:val="32"/>
          <w:szCs w:val="32"/>
        </w:rPr>
        <w:t>万元，占</w:t>
      </w:r>
      <w:r>
        <w:rPr>
          <w:sz w:val="32"/>
          <w:szCs w:val="32"/>
        </w:rPr>
        <w:t>39.41</w:t>
      </w:r>
      <w:r>
        <w:rPr>
          <w:rFonts w:ascii="仿宋" w:hAnsi="仿宋" w:eastAsia="仿宋"/>
          <w:sz w:val="32"/>
          <w:szCs w:val="32"/>
        </w:rPr>
        <w:t>%</w:t>
      </w:r>
      <w:r>
        <w:rPr>
          <w:rFonts w:hint="eastAsia" w:ascii="仿宋" w:hAnsi="仿宋" w:eastAsia="仿宋"/>
          <w:sz w:val="32"/>
          <w:szCs w:val="32"/>
        </w:rPr>
        <w:t>；上缴上级支出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；经营支出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；对附属单位补助支出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p>
    <w:p>
      <w:pPr>
        <w:pStyle w:val="5"/>
        <w:jc w:val="center"/>
        <w:rPr>
          <w:rFonts w:hint="eastAsia" w:ascii="仿宋" w:hAnsi="仿宋" w:eastAsia="仿宋"/>
          <w:sz w:val="32"/>
          <w:szCs w:val="32"/>
        </w:rPr>
      </w:pPr>
    </w:p>
    <w:p>
      <w:pPr>
        <w:pStyle w:val="5"/>
        <w:jc w:val="center"/>
        <w:rPr>
          <w:rFonts w:hint="eastAsia" w:ascii="仿宋" w:hAnsi="仿宋" w:eastAsia="仿宋"/>
          <w:sz w:val="32"/>
          <w:szCs w:val="32"/>
        </w:rPr>
      </w:pPr>
    </w:p>
    <w:p>
      <w:pPr>
        <w:pStyle w:val="5"/>
        <w:jc w:val="center"/>
        <w:rPr>
          <w:rFonts w:ascii="仿宋" w:hAnsi="仿宋" w:eastAsia="仿宋"/>
          <w:sz w:val="32"/>
          <w:szCs w:val="32"/>
        </w:rPr>
      </w:pPr>
      <w:r>
        <w:rPr>
          <w:rFonts w:hint="default" w:ascii="Times New Roman" w:hAnsi="Times New Roman" w:eastAsia="仿宋_GB2312" w:cs="Times New Roman"/>
        </w:rPr>
        <w:drawing>
          <wp:anchor distT="0" distB="0" distL="0" distR="0" simplePos="0" relativeHeight="251661312" behindDoc="0" locked="0" layoutInCell="1" allowOverlap="1">
            <wp:simplePos x="0" y="0"/>
            <wp:positionH relativeFrom="column">
              <wp:posOffset>55880</wp:posOffset>
            </wp:positionH>
            <wp:positionV relativeFrom="paragraph">
              <wp:posOffset>255270</wp:posOffset>
            </wp:positionV>
            <wp:extent cx="5334000" cy="3532505"/>
            <wp:effectExtent l="4445" t="4445" r="14605" b="6350"/>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hint="eastAsia" w:ascii="仿宋" w:hAnsi="仿宋" w:eastAsia="仿宋"/>
          <w:sz w:val="32"/>
          <w:szCs w:val="32"/>
        </w:rPr>
        <w:t>（图3：支出决算结构图）</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31"/>
          <w:rFonts w:ascii="黑体" w:hAnsi="黑体" w:eastAsia="黑体"/>
          <w:b w:val="0"/>
        </w:rPr>
      </w:pPr>
      <w:bookmarkStart w:id="45" w:name="_Toc15377208"/>
      <w:bookmarkStart w:id="46" w:name="_Toc15396606"/>
      <w:r>
        <w:rPr>
          <w:rFonts w:hint="eastAsia" w:ascii="黑体" w:hAnsi="黑体" w:eastAsia="黑体"/>
          <w:sz w:val="32"/>
          <w:szCs w:val="32"/>
        </w:rPr>
        <w:t>四、财</w:t>
      </w:r>
      <w:r>
        <w:rPr>
          <w:rStyle w:val="31"/>
          <w:rFonts w:hint="eastAsia" w:ascii="黑体" w:hAnsi="黑体" w:eastAsia="黑体"/>
          <w:b w:val="0"/>
        </w:rPr>
        <w:t>政拨款收入支出决算总体情况说明</w:t>
      </w:r>
      <w:bookmarkEnd w:id="45"/>
      <w:bookmarkEnd w:id="46"/>
    </w:p>
    <w:p>
      <w:pPr>
        <w:spacing w:line="600" w:lineRule="exact"/>
        <w:ind w:firstLine="640"/>
        <w:rPr>
          <w:rFonts w:ascii="仿宋" w:hAnsi="仿宋" w:eastAsia="仿宋"/>
          <w:sz w:val="32"/>
          <w:szCs w:val="32"/>
        </w:rPr>
      </w:pPr>
      <w:r>
        <w:rPr>
          <w:rFonts w:hint="eastAsia" w:ascii="仿宋" w:hAnsi="仿宋" w:eastAsia="仿宋"/>
          <w:sz w:val="32"/>
          <w:szCs w:val="32"/>
        </w:rPr>
        <w:t>2023年度财政拨款收、支总计均为</w:t>
      </w:r>
      <w:r>
        <w:rPr>
          <w:sz w:val="32"/>
          <w:szCs w:val="32"/>
        </w:rPr>
        <w:t>20292.22</w:t>
      </w:r>
      <w:r>
        <w:rPr>
          <w:rFonts w:hint="eastAsia" w:ascii="仿宋" w:hAnsi="仿宋" w:eastAsia="仿宋"/>
          <w:sz w:val="32"/>
          <w:szCs w:val="32"/>
        </w:rPr>
        <w:t>万元。与2022年度相比，财政拨款收、支总计各增加</w:t>
      </w:r>
      <w:r>
        <w:rPr>
          <w:rFonts w:hint="eastAsia" w:ascii="仿宋" w:hAnsi="仿宋" w:eastAsia="仿宋"/>
          <w:sz w:val="32"/>
          <w:szCs w:val="32"/>
          <w:lang w:val="en-US" w:eastAsia="zh-CN"/>
        </w:rPr>
        <w:t>5941.77</w:t>
      </w:r>
      <w:r>
        <w:rPr>
          <w:rFonts w:hint="eastAsia" w:ascii="仿宋" w:hAnsi="仿宋" w:eastAsia="仿宋"/>
          <w:sz w:val="32"/>
          <w:szCs w:val="32"/>
        </w:rPr>
        <w:t>万元，增长</w:t>
      </w:r>
      <w:r>
        <w:rPr>
          <w:rFonts w:hint="eastAsia" w:ascii="仿宋" w:hAnsi="仿宋" w:eastAsia="仿宋"/>
          <w:sz w:val="32"/>
          <w:szCs w:val="32"/>
          <w:lang w:val="en-US" w:eastAsia="zh-CN"/>
        </w:rPr>
        <w:t>29.28</w:t>
      </w:r>
      <w:r>
        <w:rPr>
          <w:rFonts w:ascii="仿宋" w:hAnsi="仿宋" w:eastAsia="仿宋"/>
          <w:sz w:val="32"/>
          <w:szCs w:val="32"/>
        </w:rPr>
        <w:t>%</w:t>
      </w:r>
      <w:r>
        <w:rPr>
          <w:rFonts w:hint="eastAsia" w:ascii="仿宋" w:hAnsi="仿宋" w:eastAsia="仿宋"/>
          <w:sz w:val="32"/>
          <w:szCs w:val="32"/>
        </w:rPr>
        <w:t>。主要变动原因是</w:t>
      </w:r>
      <w:r>
        <w:rPr>
          <w:rFonts w:hint="default" w:ascii="Times New Roman" w:hAnsi="Times New Roman" w:eastAsia="仿宋_GB2312" w:cs="Times New Roman"/>
          <w:sz w:val="32"/>
          <w:szCs w:val="32"/>
          <w:lang w:val="en-US" w:eastAsia="zh-CN"/>
        </w:rPr>
        <w:t>新增在建工程二医院项目</w:t>
      </w:r>
      <w:r>
        <w:rPr>
          <w:rFonts w:hint="eastAsia"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lang w:val="en-US" w:eastAsia="zh-CN"/>
        </w:rPr>
        <w:t>增</w:t>
      </w:r>
      <w:r>
        <w:rPr>
          <w:rFonts w:hint="eastAsia" w:ascii="Times New Roman" w:hAnsi="Times New Roman" w:eastAsia="仿宋_GB2312" w:cs="Times New Roman"/>
          <w:sz w:val="32"/>
          <w:szCs w:val="32"/>
          <w:lang w:val="en-US" w:eastAsia="zh-CN"/>
        </w:rPr>
        <w:t>加</w:t>
      </w:r>
      <w:r>
        <w:rPr>
          <w:rFonts w:hint="default" w:ascii="Times New Roman" w:hAnsi="Times New Roman" w:eastAsia="仿宋_GB2312" w:cs="Times New Roman"/>
          <w:sz w:val="32"/>
          <w:szCs w:val="32"/>
          <w:lang w:val="en-US" w:eastAsia="zh-CN"/>
        </w:rPr>
        <w:t>。</w:t>
      </w:r>
    </w:p>
    <w:p>
      <w:pPr>
        <w:spacing w:line="600" w:lineRule="exact"/>
        <w:ind w:firstLine="640"/>
        <w:rPr>
          <w:rFonts w:ascii="仿宋" w:hAnsi="仿宋" w:eastAsia="仿宋"/>
          <w:sz w:val="32"/>
          <w:szCs w:val="32"/>
        </w:rPr>
      </w:pPr>
      <w:r>
        <w:rPr>
          <w:rFonts w:hint="default" w:ascii="Times New Roman" w:hAnsi="Times New Roman" w:eastAsia="仿宋_GB2312" w:cs="Times New Roman"/>
        </w:rPr>
        <w:drawing>
          <wp:anchor distT="0" distB="0" distL="0" distR="0" simplePos="0" relativeHeight="251662336" behindDoc="0" locked="0" layoutInCell="1" allowOverlap="1">
            <wp:simplePos x="0" y="0"/>
            <wp:positionH relativeFrom="column">
              <wp:posOffset>48260</wp:posOffset>
            </wp:positionH>
            <wp:positionV relativeFrom="paragraph">
              <wp:posOffset>145415</wp:posOffset>
            </wp:positionV>
            <wp:extent cx="5168900" cy="3265805"/>
            <wp:effectExtent l="4445" t="4445" r="8255" b="6350"/>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Pr>
          <w:rFonts w:hint="eastAsia" w:ascii="仿宋" w:hAnsi="仿宋" w:eastAsia="仿宋"/>
          <w:sz w:val="32"/>
          <w:szCs w:val="32"/>
        </w:rPr>
        <w:t>（图4：财政拨款收、支决算总计变动情况）</w:t>
      </w:r>
    </w:p>
    <w:p>
      <w:pPr>
        <w:spacing w:line="600" w:lineRule="exact"/>
        <w:ind w:firstLine="640"/>
        <w:rPr>
          <w:rFonts w:ascii="仿宋" w:hAnsi="仿宋" w:eastAsia="仿宋"/>
          <w:b/>
          <w:sz w:val="32"/>
          <w:szCs w:val="32"/>
        </w:rPr>
      </w:pPr>
    </w:p>
    <w:p>
      <w:pPr>
        <w:spacing w:line="600" w:lineRule="exact"/>
        <w:ind w:firstLine="640" w:firstLineChars="200"/>
        <w:outlineLvl w:val="1"/>
        <w:rPr>
          <w:rStyle w:val="31"/>
          <w:rFonts w:ascii="黑体" w:hAnsi="黑体" w:eastAsia="黑体"/>
          <w:b w:val="0"/>
        </w:rPr>
      </w:pPr>
      <w:bookmarkStart w:id="47" w:name="_Toc15377209"/>
      <w:bookmarkStart w:id="48" w:name="_Toc15396607"/>
      <w:r>
        <w:rPr>
          <w:rFonts w:hint="eastAsia" w:ascii="黑体" w:hAnsi="黑体" w:eastAsia="黑体"/>
          <w:sz w:val="32"/>
          <w:szCs w:val="32"/>
        </w:rPr>
        <w:t>五、</w:t>
      </w:r>
      <w:r>
        <w:rPr>
          <w:rFonts w:hint="eastAsia" w:ascii="黑体" w:hAnsi="黑体" w:eastAsia="黑体"/>
          <w:b/>
          <w:sz w:val="32"/>
          <w:szCs w:val="32"/>
        </w:rPr>
        <w:t>一</w:t>
      </w:r>
      <w:r>
        <w:rPr>
          <w:rStyle w:val="31"/>
          <w:rFonts w:hint="eastAsia" w:ascii="黑体" w:hAnsi="黑体" w:eastAsia="黑体"/>
          <w:b w:val="0"/>
        </w:rPr>
        <w:t>般公共预算财政拨款支出决算情况说明</w:t>
      </w:r>
      <w:bookmarkEnd w:id="47"/>
      <w:bookmarkEnd w:id="48"/>
    </w:p>
    <w:p>
      <w:pPr>
        <w:spacing w:line="600" w:lineRule="exact"/>
        <w:ind w:firstLine="643" w:firstLineChars="200"/>
        <w:outlineLvl w:val="2"/>
        <w:rPr>
          <w:rFonts w:ascii="仿宋" w:hAnsi="仿宋" w:eastAsia="仿宋"/>
          <w:b/>
          <w:sz w:val="32"/>
          <w:szCs w:val="32"/>
        </w:rPr>
      </w:pPr>
      <w:bookmarkStart w:id="49" w:name="_Toc15377210"/>
      <w:r>
        <w:rPr>
          <w:rFonts w:hint="eastAsia" w:ascii="仿宋" w:hAnsi="仿宋" w:eastAsia="仿宋"/>
          <w:b/>
          <w:sz w:val="32"/>
          <w:szCs w:val="32"/>
        </w:rPr>
        <w:t>（一）一般公共预算财政拨款支出决算总体情况</w:t>
      </w:r>
      <w:bookmarkEnd w:id="49"/>
    </w:p>
    <w:p>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2023年度一般公共预算财政拨款支出</w:t>
      </w:r>
      <w:r>
        <w:rPr>
          <w:sz w:val="32"/>
          <w:szCs w:val="32"/>
        </w:rPr>
        <w:t>15288.16</w:t>
      </w:r>
      <w:r>
        <w:rPr>
          <w:rFonts w:hint="eastAsia" w:ascii="仿宋" w:hAnsi="仿宋" w:eastAsia="仿宋"/>
          <w:sz w:val="32"/>
          <w:szCs w:val="32"/>
        </w:rPr>
        <w:t>万元，占本年支出合计的</w:t>
      </w:r>
      <w:r>
        <w:rPr>
          <w:sz w:val="32"/>
          <w:szCs w:val="32"/>
        </w:rPr>
        <w:t>50.02</w:t>
      </w:r>
      <w:r>
        <w:rPr>
          <w:rFonts w:ascii="仿宋" w:hAnsi="仿宋" w:eastAsia="仿宋"/>
          <w:sz w:val="32"/>
          <w:szCs w:val="32"/>
        </w:rPr>
        <w:t>%</w:t>
      </w:r>
      <w:r>
        <w:rPr>
          <w:rFonts w:hint="eastAsia" w:ascii="仿宋" w:hAnsi="仿宋" w:eastAsia="仿宋"/>
          <w:sz w:val="32"/>
          <w:szCs w:val="32"/>
        </w:rPr>
        <w:t>。与2022年度相比，一般公共预算财政拨款支出增加</w:t>
      </w:r>
      <w:r>
        <w:rPr>
          <w:rFonts w:hint="eastAsia" w:ascii="仿宋" w:hAnsi="仿宋" w:eastAsia="仿宋"/>
          <w:sz w:val="32"/>
          <w:szCs w:val="32"/>
          <w:lang w:val="en-US" w:eastAsia="zh-CN"/>
        </w:rPr>
        <w:t>937.71</w:t>
      </w:r>
      <w:r>
        <w:rPr>
          <w:rFonts w:hint="eastAsia" w:ascii="仿宋" w:hAnsi="仿宋" w:eastAsia="仿宋"/>
          <w:sz w:val="32"/>
          <w:szCs w:val="32"/>
        </w:rPr>
        <w:t>万元，增长</w:t>
      </w:r>
      <w:r>
        <w:rPr>
          <w:rFonts w:hint="eastAsia" w:ascii="仿宋" w:hAnsi="仿宋" w:eastAsia="仿宋"/>
          <w:sz w:val="32"/>
          <w:szCs w:val="32"/>
          <w:lang w:val="en-US" w:eastAsia="zh-CN"/>
        </w:rPr>
        <w:t>6.13</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项目支出增加。</w:t>
      </w:r>
    </w:p>
    <w:p>
      <w:pPr>
        <w:pStyle w:val="5"/>
        <w:rPr>
          <w:rFonts w:ascii="仿宋" w:hAnsi="仿宋" w:eastAsia="仿宋"/>
          <w:sz w:val="32"/>
          <w:szCs w:val="32"/>
        </w:rPr>
      </w:pPr>
      <w:r>
        <w:rPr>
          <w:rFonts w:hint="eastAsia" w:ascii="Times New Roman" w:hAnsi="Times New Roman" w:eastAsia="仿宋_GB2312" w:cs="Times New Roman"/>
          <w:sz w:val="32"/>
          <w:szCs w:val="32"/>
          <w:lang w:val="zh-CN"/>
        </w:rPr>
        <w:drawing>
          <wp:anchor distT="0" distB="0" distL="0" distR="0" simplePos="0" relativeHeight="251663360" behindDoc="0" locked="0" layoutInCell="1" allowOverlap="1">
            <wp:simplePos x="0" y="0"/>
            <wp:positionH relativeFrom="column">
              <wp:posOffset>-46990</wp:posOffset>
            </wp:positionH>
            <wp:positionV relativeFrom="paragraph">
              <wp:posOffset>127000</wp:posOffset>
            </wp:positionV>
            <wp:extent cx="5274310" cy="2742565"/>
            <wp:effectExtent l="4445" t="4445" r="17145" b="15240"/>
            <wp:wrapTopAndBottom/>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w:t>
      </w:r>
    </w:p>
    <w:p>
      <w:pPr>
        <w:spacing w:line="600" w:lineRule="exact"/>
        <w:ind w:firstLine="643" w:firstLineChars="200"/>
        <w:outlineLvl w:val="2"/>
        <w:rPr>
          <w:rFonts w:hint="eastAsia" w:ascii="仿宋" w:hAnsi="仿宋" w:eastAsia="仿宋"/>
          <w:b/>
          <w:sz w:val="32"/>
          <w:szCs w:val="32"/>
        </w:rPr>
      </w:pPr>
      <w:bookmarkStart w:id="50" w:name="_Toc15377211"/>
    </w:p>
    <w:p>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（二）一般公共预算财政拨款支出决算结构情况</w:t>
      </w:r>
      <w:bookmarkEnd w:id="50"/>
    </w:p>
    <w:p>
      <w:pPr>
        <w:spacing w:line="600" w:lineRule="exact"/>
        <w:ind w:firstLine="640"/>
        <w:rPr>
          <w:rFonts w:hint="eastAsia" w:ascii="仿宋" w:hAnsi="仿宋" w:eastAsia="仿宋"/>
          <w:sz w:val="32"/>
          <w:szCs w:val="32"/>
        </w:rPr>
      </w:pPr>
      <w:r>
        <w:rPr>
          <w:rFonts w:hint="eastAsia" w:ascii="仿宋" w:hAnsi="仿宋" w:eastAsia="仿宋"/>
          <w:sz w:val="32"/>
          <w:szCs w:val="32"/>
        </w:rPr>
        <w:t>2023年度一般公共预算财政拨款支出</w:t>
      </w:r>
      <w:r>
        <w:rPr>
          <w:sz w:val="32"/>
          <w:szCs w:val="32"/>
        </w:rPr>
        <w:t>15288.16</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b/>
          <w:bCs/>
          <w:sz w:val="32"/>
          <w:szCs w:val="32"/>
          <w:lang w:val="en-US" w:eastAsia="zh-CN"/>
        </w:rPr>
        <w:t>1684.49</w:t>
      </w:r>
      <w:r>
        <w:rPr>
          <w:rFonts w:hint="eastAsia" w:ascii="仿宋" w:hAnsi="仿宋" w:eastAsia="仿宋"/>
          <w:sz w:val="32"/>
          <w:szCs w:val="32"/>
        </w:rPr>
        <w:t>万元，占</w:t>
      </w:r>
      <w:r>
        <w:rPr>
          <w:rFonts w:hint="eastAsia" w:ascii="仿宋" w:hAnsi="仿宋" w:eastAsia="仿宋"/>
          <w:sz w:val="32"/>
          <w:szCs w:val="32"/>
          <w:lang w:val="en-US" w:eastAsia="zh-CN"/>
        </w:rPr>
        <w:t>11.02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卫生健康支出12,807.00</w:t>
      </w:r>
      <w:r>
        <w:rPr>
          <w:rFonts w:hint="eastAsia" w:ascii="仿宋" w:hAnsi="仿宋" w:eastAsia="仿宋"/>
          <w:sz w:val="32"/>
          <w:szCs w:val="32"/>
        </w:rPr>
        <w:t>万元，占</w:t>
      </w:r>
      <w:r>
        <w:rPr>
          <w:rFonts w:hint="eastAsia" w:ascii="仿宋" w:hAnsi="仿宋" w:eastAsia="仿宋"/>
          <w:sz w:val="32"/>
          <w:szCs w:val="32"/>
          <w:lang w:val="en-US" w:eastAsia="zh-CN"/>
        </w:rPr>
        <w:t>83.77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sz w:val="32"/>
          <w:szCs w:val="32"/>
          <w:lang w:eastAsia="zh-CN"/>
        </w:rPr>
        <w:t>农林水支出196.0</w:t>
      </w:r>
      <w:r>
        <w:rPr>
          <w:rFonts w:hint="eastAsia" w:ascii="仿宋" w:hAnsi="仿宋" w:eastAsia="仿宋"/>
          <w:b/>
          <w:bCs/>
          <w:sz w:val="32"/>
          <w:szCs w:val="32"/>
        </w:rPr>
        <w:t>万元，占</w:t>
      </w:r>
      <w:r>
        <w:rPr>
          <w:rFonts w:hint="eastAsia" w:ascii="仿宋" w:hAnsi="仿宋" w:eastAsia="仿宋"/>
          <w:b/>
          <w:bCs/>
          <w:sz w:val="32"/>
          <w:szCs w:val="32"/>
          <w:lang w:val="en-US" w:eastAsia="zh-CN"/>
        </w:rPr>
        <w:t>1.28</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bCs/>
          <w:sz w:val="32"/>
          <w:szCs w:val="32"/>
        </w:rPr>
        <w:t>住房保障支出600.66</w:t>
      </w:r>
      <w:r>
        <w:rPr>
          <w:rFonts w:hint="eastAsia" w:ascii="仿宋" w:hAnsi="仿宋" w:eastAsia="仿宋"/>
          <w:sz w:val="32"/>
          <w:szCs w:val="32"/>
        </w:rPr>
        <w:t>万元，占</w:t>
      </w:r>
      <w:r>
        <w:rPr>
          <w:rFonts w:hint="eastAsia" w:ascii="仿宋" w:hAnsi="仿宋" w:eastAsia="仿宋"/>
          <w:sz w:val="32"/>
          <w:szCs w:val="32"/>
          <w:lang w:val="en-US" w:eastAsia="zh-CN"/>
        </w:rPr>
        <w:t>3.93</w:t>
      </w:r>
      <w:r>
        <w:rPr>
          <w:rFonts w:ascii="仿宋" w:hAnsi="仿宋" w:eastAsia="仿宋"/>
          <w:sz w:val="32"/>
          <w:szCs w:val="32"/>
        </w:rPr>
        <w:t>%</w:t>
      </w:r>
      <w:r>
        <w:rPr>
          <w:rFonts w:hint="eastAsia" w:ascii="仿宋" w:hAnsi="仿宋" w:eastAsia="仿宋"/>
          <w:sz w:val="32"/>
          <w:szCs w:val="32"/>
        </w:rPr>
        <w:t>。</w:t>
      </w:r>
    </w:p>
    <w:p>
      <w:pPr>
        <w:rPr>
          <w:rFonts w:hint="eastAsia" w:ascii="仿宋" w:hAnsi="仿宋" w:eastAsia="仿宋"/>
          <w:sz w:val="32"/>
          <w:szCs w:val="32"/>
        </w:rPr>
      </w:pPr>
    </w:p>
    <w:p>
      <w:pPr>
        <w:pStyle w:val="5"/>
        <w:rPr>
          <w:rFonts w:hint="eastAsia" w:ascii="仿宋" w:hAnsi="仿宋" w:eastAsia="仿宋"/>
          <w:sz w:val="32"/>
          <w:szCs w:val="32"/>
        </w:rPr>
      </w:pPr>
    </w:p>
    <w:p>
      <w:pPr>
        <w:rPr>
          <w:rFonts w:hint="eastAsia" w:ascii="仿宋" w:hAnsi="仿宋" w:eastAsia="仿宋"/>
          <w:sz w:val="32"/>
          <w:szCs w:val="32"/>
        </w:rPr>
      </w:pPr>
    </w:p>
    <w:p>
      <w:pPr>
        <w:pStyle w:val="5"/>
        <w:rPr>
          <w:rFonts w:hint="eastAsia" w:ascii="仿宋" w:hAnsi="仿宋" w:eastAsia="仿宋"/>
          <w:sz w:val="32"/>
          <w:szCs w:val="32"/>
        </w:rPr>
      </w:pPr>
    </w:p>
    <w:p>
      <w:pPr>
        <w:rPr>
          <w:rFonts w:hint="eastAsia" w:ascii="仿宋" w:hAnsi="仿宋" w:eastAsia="仿宋"/>
          <w:sz w:val="32"/>
          <w:szCs w:val="32"/>
        </w:rPr>
      </w:pPr>
    </w:p>
    <w:p>
      <w:pPr>
        <w:pStyle w:val="5"/>
        <w:rPr>
          <w:rFonts w:ascii="仿宋" w:hAnsi="仿宋" w:eastAsia="仿宋"/>
          <w:sz w:val="32"/>
          <w:szCs w:val="32"/>
        </w:rPr>
      </w:pPr>
      <w:r>
        <w:rPr>
          <w:rFonts w:hint="eastAsia" w:ascii="Times New Roman" w:hAnsi="Times New Roman" w:eastAsia="仿宋_GB2312" w:cs="Times New Roman"/>
          <w:sz w:val="32"/>
          <w:szCs w:val="32"/>
          <w:lang w:val="zh-CN"/>
        </w:rPr>
        <w:drawing>
          <wp:anchor distT="0" distB="0" distL="0" distR="0" simplePos="0" relativeHeight="251664384" behindDoc="0" locked="0" layoutInCell="1" allowOverlap="1">
            <wp:simplePos x="0" y="0"/>
            <wp:positionH relativeFrom="column">
              <wp:posOffset>261620</wp:posOffset>
            </wp:positionH>
            <wp:positionV relativeFrom="paragraph">
              <wp:posOffset>152400</wp:posOffset>
            </wp:positionV>
            <wp:extent cx="5274310" cy="3076575"/>
            <wp:effectExtent l="5080" t="4445" r="16510" b="5080"/>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51" w:name="_Toc15377212"/>
      <w:r>
        <w:rPr>
          <w:rFonts w:hint="eastAsia" w:ascii="仿宋" w:hAnsi="仿宋" w:eastAsia="仿宋"/>
          <w:b/>
          <w:sz w:val="32"/>
          <w:szCs w:val="32"/>
        </w:rPr>
        <w:t>（三）一般公共预算财政拨款支出决算具体情况</w:t>
      </w:r>
      <w:bookmarkEnd w:id="51"/>
    </w:p>
    <w:p>
      <w:pPr>
        <w:spacing w:line="600" w:lineRule="exact"/>
        <w:ind w:firstLine="643" w:firstLineChars="200"/>
        <w:outlineLvl w:val="2"/>
        <w:rPr>
          <w:rFonts w:ascii="仿宋" w:hAnsi="仿宋" w:eastAsia="仿宋"/>
          <w:sz w:val="32"/>
          <w:szCs w:val="32"/>
        </w:rPr>
      </w:pPr>
      <w:bookmarkStart w:id="52" w:name="_Toc15377213"/>
      <w:bookmarkStart w:id="53" w:name="_Toc15378460"/>
      <w:bookmarkStart w:id="54" w:name="_Toc15377444"/>
      <w:r>
        <w:rPr>
          <w:rFonts w:hint="eastAsia" w:ascii="仿宋" w:hAnsi="仿宋" w:eastAsia="仿宋"/>
          <w:b/>
          <w:sz w:val="32"/>
          <w:szCs w:val="32"/>
        </w:rPr>
        <w:t>2023年度一般公共预算支出决算数为</w:t>
      </w:r>
      <w:r>
        <w:rPr>
          <w:sz w:val="32"/>
          <w:szCs w:val="32"/>
        </w:rPr>
        <w:t>15288.16</w:t>
      </w:r>
      <w:r>
        <w:rPr>
          <w:rFonts w:hint="eastAsia"/>
          <w:sz w:val="32"/>
          <w:szCs w:val="32"/>
          <w:lang w:eastAsia="zh-CN"/>
        </w:rPr>
        <w:t>万元</w:t>
      </w:r>
      <w:r>
        <w:rPr>
          <w:rFonts w:hint="eastAsia" w:ascii="仿宋" w:hAnsi="仿宋" w:eastAsia="仿宋"/>
          <w:sz w:val="32"/>
          <w:szCs w:val="32"/>
        </w:rPr>
        <w:t>，</w:t>
      </w:r>
      <w:r>
        <w:rPr>
          <w:rStyle w:val="19"/>
          <w:rFonts w:hint="eastAsia" w:ascii="仿宋" w:hAnsi="仿宋" w:eastAsia="仿宋"/>
          <w:bCs/>
          <w:sz w:val="32"/>
          <w:szCs w:val="32"/>
        </w:rPr>
        <w:t>完成预算</w:t>
      </w:r>
      <w:r>
        <w:rPr>
          <w:rStyle w:val="19"/>
          <w:rFonts w:hint="eastAsia" w:ascii="仿宋" w:hAnsi="仿宋" w:eastAsia="仿宋"/>
          <w:bCs/>
          <w:sz w:val="32"/>
          <w:szCs w:val="32"/>
          <w:lang w:val="en-US" w:eastAsia="zh-CN"/>
        </w:rPr>
        <w:t>100</w:t>
      </w:r>
      <w:r>
        <w:rPr>
          <w:rStyle w:val="19"/>
          <w:rFonts w:ascii="仿宋" w:hAnsi="仿宋" w:eastAsia="仿宋"/>
          <w:bCs/>
          <w:sz w:val="32"/>
          <w:szCs w:val="32"/>
        </w:rPr>
        <w:t>%</w:t>
      </w:r>
      <w:r>
        <w:rPr>
          <w:rStyle w:val="19"/>
          <w:rFonts w:hint="eastAsia" w:ascii="仿宋" w:hAnsi="仿宋" w:eastAsia="仿宋"/>
          <w:bCs/>
          <w:sz w:val="32"/>
          <w:szCs w:val="32"/>
        </w:rPr>
        <w:t>。其中：</w:t>
      </w:r>
      <w:bookmarkEnd w:id="52"/>
      <w:bookmarkEnd w:id="53"/>
      <w:bookmarkEnd w:id="54"/>
    </w:p>
    <w:p>
      <w:pPr>
        <w:spacing w:line="600" w:lineRule="exact"/>
        <w:ind w:firstLine="640"/>
        <w:rPr>
          <w:rFonts w:hint="eastAsia" w:ascii="CESI仿宋-GB2312" w:hAnsi="CESI仿宋-GB2312" w:eastAsia="CESI仿宋-GB2312" w:cs="CESI仿宋-GB2312"/>
          <w:b w:val="0"/>
          <w:bCs w:val="0"/>
          <w:sz w:val="32"/>
          <w:szCs w:val="32"/>
          <w:lang w:val="zh-CN"/>
        </w:rPr>
      </w:pPr>
      <w:r>
        <w:rPr>
          <w:rStyle w:val="19"/>
          <w:rFonts w:hint="eastAsia" w:ascii="CESI仿宋-GB2312" w:hAnsi="CESI仿宋-GB2312" w:eastAsia="CESI仿宋-GB2312" w:cs="CESI仿宋-GB2312"/>
          <w:b w:val="0"/>
          <w:bCs w:val="0"/>
          <w:sz w:val="32"/>
          <w:szCs w:val="32"/>
          <w:lang w:val="en-US" w:eastAsia="zh-CN"/>
        </w:rPr>
        <w:t>1</w:t>
      </w:r>
      <w:r>
        <w:rPr>
          <w:rStyle w:val="19"/>
          <w:rFonts w:hint="eastAsia" w:ascii="CESI仿宋-GB2312" w:hAnsi="CESI仿宋-GB2312" w:eastAsia="CESI仿宋-GB2312" w:cs="CESI仿宋-GB2312"/>
          <w:b w:val="0"/>
          <w:bCs w:val="0"/>
          <w:sz w:val="32"/>
          <w:szCs w:val="32"/>
        </w:rPr>
        <w:t>.社会保障和就业（</w:t>
      </w:r>
      <w:r>
        <w:rPr>
          <w:rStyle w:val="19"/>
          <w:rFonts w:hint="eastAsia" w:ascii="CESI仿宋-GB2312" w:hAnsi="CESI仿宋-GB2312" w:eastAsia="CESI仿宋-GB2312" w:cs="CESI仿宋-GB2312"/>
          <w:b w:val="0"/>
          <w:bCs w:val="0"/>
          <w:sz w:val="32"/>
          <w:szCs w:val="32"/>
          <w:lang w:val="en-US" w:eastAsia="zh-CN"/>
        </w:rPr>
        <w:t>208</w:t>
      </w:r>
      <w:r>
        <w:rPr>
          <w:rStyle w:val="19"/>
          <w:rFonts w:hint="eastAsia" w:ascii="CESI仿宋-GB2312" w:hAnsi="CESI仿宋-GB2312" w:eastAsia="CESI仿宋-GB2312" w:cs="CESI仿宋-GB2312"/>
          <w:b w:val="0"/>
          <w:bCs w:val="0"/>
          <w:sz w:val="32"/>
          <w:szCs w:val="32"/>
        </w:rPr>
        <w:t>类）行政事业单位养老支出（</w:t>
      </w:r>
      <w:r>
        <w:rPr>
          <w:rStyle w:val="19"/>
          <w:rFonts w:hint="eastAsia" w:ascii="CESI仿宋-GB2312" w:hAnsi="CESI仿宋-GB2312" w:eastAsia="CESI仿宋-GB2312" w:cs="CESI仿宋-GB2312"/>
          <w:b w:val="0"/>
          <w:bCs w:val="0"/>
          <w:sz w:val="32"/>
          <w:szCs w:val="32"/>
          <w:lang w:val="en-US" w:eastAsia="zh-CN"/>
        </w:rPr>
        <w:t>05</w:t>
      </w:r>
      <w:r>
        <w:rPr>
          <w:rStyle w:val="19"/>
          <w:rFonts w:hint="eastAsia" w:ascii="CESI仿宋-GB2312" w:hAnsi="CESI仿宋-GB2312" w:eastAsia="CESI仿宋-GB2312" w:cs="CESI仿宋-GB2312"/>
          <w:b w:val="0"/>
          <w:bCs w:val="0"/>
          <w:sz w:val="32"/>
          <w:szCs w:val="32"/>
        </w:rPr>
        <w:t>款）:</w:t>
      </w:r>
      <w:r>
        <w:rPr>
          <w:rFonts w:hint="eastAsia" w:ascii="CESI仿宋-GB2312" w:hAnsi="CESI仿宋-GB2312" w:eastAsia="CESI仿宋-GB2312" w:cs="CESI仿宋-GB2312"/>
          <w:b w:val="0"/>
          <w:bCs w:val="0"/>
          <w:sz w:val="32"/>
          <w:szCs w:val="32"/>
          <w:lang w:val="zh-CN"/>
        </w:rPr>
        <w:t>支出决算为</w:t>
      </w:r>
      <w:r>
        <w:rPr>
          <w:rFonts w:hint="eastAsia" w:ascii="CESI仿宋-GB2312" w:hAnsi="CESI仿宋-GB2312" w:eastAsia="CESI仿宋-GB2312" w:cs="CESI仿宋-GB2312"/>
          <w:b w:val="0"/>
          <w:bCs w:val="0"/>
          <w:sz w:val="32"/>
          <w:szCs w:val="32"/>
          <w:lang w:val="en-US" w:eastAsia="zh-CN"/>
        </w:rPr>
        <w:t>1545.24</w:t>
      </w:r>
      <w:r>
        <w:rPr>
          <w:rFonts w:hint="eastAsia" w:ascii="CESI仿宋-GB2312" w:hAnsi="CESI仿宋-GB2312" w:eastAsia="CESI仿宋-GB2312" w:cs="CESI仿宋-GB2312"/>
          <w:b w:val="0"/>
          <w:bCs w:val="0"/>
          <w:sz w:val="32"/>
          <w:szCs w:val="32"/>
          <w:lang w:val="zh-CN"/>
        </w:rPr>
        <w:t>万元，完成预算100%。决算数等于预算数。</w:t>
      </w:r>
    </w:p>
    <w:p>
      <w:pPr>
        <w:spacing w:line="600" w:lineRule="exact"/>
        <w:ind w:firstLine="640"/>
        <w:rPr>
          <w:rFonts w:hint="eastAsia" w:ascii="CESI仿宋-GB2312" w:hAnsi="CESI仿宋-GB2312" w:eastAsia="CESI仿宋-GB2312" w:cs="CESI仿宋-GB2312"/>
          <w:b w:val="0"/>
          <w:bCs w:val="0"/>
          <w:sz w:val="32"/>
          <w:szCs w:val="32"/>
          <w:lang w:val="zh-CN"/>
        </w:rPr>
      </w:pPr>
      <w:r>
        <w:rPr>
          <w:rFonts w:hint="eastAsia" w:ascii="CESI仿宋-GB2312" w:hAnsi="CESI仿宋-GB2312" w:eastAsia="CESI仿宋-GB2312" w:cs="CESI仿宋-GB2312"/>
          <w:b w:val="0"/>
          <w:bCs w:val="0"/>
          <w:sz w:val="32"/>
          <w:szCs w:val="32"/>
          <w:lang w:val="zh-CN"/>
        </w:rPr>
        <w:t>（</w:t>
      </w:r>
      <w:r>
        <w:rPr>
          <w:rFonts w:hint="eastAsia" w:ascii="CESI仿宋-GB2312" w:hAnsi="CESI仿宋-GB2312" w:eastAsia="CESI仿宋-GB2312" w:cs="CESI仿宋-GB2312"/>
          <w:b w:val="0"/>
          <w:bCs w:val="0"/>
          <w:sz w:val="32"/>
          <w:szCs w:val="32"/>
          <w:lang w:val="en-US" w:eastAsia="zh-CN"/>
        </w:rPr>
        <w:t>1</w:t>
      </w:r>
      <w:r>
        <w:rPr>
          <w:rFonts w:hint="eastAsia" w:ascii="CESI仿宋-GB2312" w:hAnsi="CESI仿宋-GB2312" w:eastAsia="CESI仿宋-GB2312" w:cs="CESI仿宋-GB2312"/>
          <w:b w:val="0"/>
          <w:bCs w:val="0"/>
          <w:sz w:val="32"/>
          <w:szCs w:val="32"/>
          <w:lang w:val="zh-CN"/>
        </w:rPr>
        <w:t>）行政单位离退休（</w:t>
      </w:r>
      <w:r>
        <w:rPr>
          <w:rFonts w:hint="eastAsia" w:ascii="CESI仿宋-GB2312" w:hAnsi="CESI仿宋-GB2312" w:eastAsia="CESI仿宋-GB2312" w:cs="CESI仿宋-GB2312"/>
          <w:b w:val="0"/>
          <w:bCs w:val="0"/>
          <w:sz w:val="32"/>
          <w:szCs w:val="32"/>
          <w:lang w:val="en-US" w:eastAsia="zh-CN"/>
        </w:rPr>
        <w:t>01</w:t>
      </w:r>
      <w:r>
        <w:rPr>
          <w:rFonts w:hint="eastAsia" w:ascii="CESI仿宋-GB2312" w:hAnsi="CESI仿宋-GB2312" w:eastAsia="CESI仿宋-GB2312" w:cs="CESI仿宋-GB2312"/>
          <w:b w:val="0"/>
          <w:bCs w:val="0"/>
          <w:sz w:val="32"/>
          <w:szCs w:val="32"/>
          <w:lang w:val="zh-CN"/>
        </w:rPr>
        <w:t>项）: 支出决算为</w:t>
      </w:r>
      <w:r>
        <w:rPr>
          <w:rFonts w:hint="eastAsia" w:ascii="CESI仿宋-GB2312" w:hAnsi="CESI仿宋-GB2312" w:eastAsia="CESI仿宋-GB2312" w:cs="CESI仿宋-GB2312"/>
          <w:b w:val="0"/>
          <w:bCs w:val="0"/>
          <w:sz w:val="32"/>
          <w:szCs w:val="32"/>
          <w:lang w:val="en-US" w:eastAsia="zh-CN"/>
        </w:rPr>
        <w:t>60.57</w:t>
      </w:r>
      <w:r>
        <w:rPr>
          <w:rFonts w:hint="eastAsia" w:ascii="CESI仿宋-GB2312" w:hAnsi="CESI仿宋-GB2312" w:eastAsia="CESI仿宋-GB2312" w:cs="CESI仿宋-GB2312"/>
          <w:b w:val="0"/>
          <w:bCs w:val="0"/>
          <w:sz w:val="32"/>
          <w:szCs w:val="32"/>
          <w:lang w:val="zh-CN"/>
        </w:rPr>
        <w:t>万元，完成预算100%，决算数等于预算数。</w:t>
      </w:r>
    </w:p>
    <w:p>
      <w:pPr>
        <w:spacing w:line="600" w:lineRule="exact"/>
        <w:ind w:firstLine="640"/>
        <w:rPr>
          <w:rFonts w:hint="eastAsia" w:ascii="CESI仿宋-GB2312" w:hAnsi="CESI仿宋-GB2312" w:eastAsia="CESI仿宋-GB2312" w:cs="CESI仿宋-GB2312"/>
          <w:b w:val="0"/>
          <w:bCs w:val="0"/>
          <w:sz w:val="32"/>
          <w:szCs w:val="32"/>
          <w:lang w:val="zh-CN"/>
        </w:rPr>
      </w:pPr>
      <w:r>
        <w:rPr>
          <w:rFonts w:hint="eastAsia" w:ascii="CESI仿宋-GB2312" w:hAnsi="CESI仿宋-GB2312" w:eastAsia="CESI仿宋-GB2312" w:cs="CESI仿宋-GB2312"/>
          <w:b w:val="0"/>
          <w:bCs w:val="0"/>
          <w:sz w:val="32"/>
          <w:szCs w:val="32"/>
          <w:lang w:val="zh-CN"/>
        </w:rPr>
        <w:t>（</w:t>
      </w:r>
      <w:r>
        <w:rPr>
          <w:rFonts w:hint="eastAsia" w:ascii="CESI仿宋-GB2312" w:hAnsi="CESI仿宋-GB2312" w:eastAsia="CESI仿宋-GB2312" w:cs="CESI仿宋-GB2312"/>
          <w:b w:val="0"/>
          <w:bCs w:val="0"/>
          <w:sz w:val="32"/>
          <w:szCs w:val="32"/>
          <w:lang w:val="en-US" w:eastAsia="zh-CN"/>
        </w:rPr>
        <w:t>2</w:t>
      </w:r>
      <w:r>
        <w:rPr>
          <w:rFonts w:hint="eastAsia" w:ascii="CESI仿宋-GB2312" w:hAnsi="CESI仿宋-GB2312" w:eastAsia="CESI仿宋-GB2312" w:cs="CESI仿宋-GB2312"/>
          <w:b w:val="0"/>
          <w:bCs w:val="0"/>
          <w:sz w:val="32"/>
          <w:szCs w:val="32"/>
          <w:lang w:val="zh-CN"/>
        </w:rPr>
        <w:t>）事业单位离退休（</w:t>
      </w:r>
      <w:r>
        <w:rPr>
          <w:rFonts w:hint="eastAsia" w:ascii="CESI仿宋-GB2312" w:hAnsi="CESI仿宋-GB2312" w:eastAsia="CESI仿宋-GB2312" w:cs="CESI仿宋-GB2312"/>
          <w:b w:val="0"/>
          <w:bCs w:val="0"/>
          <w:sz w:val="32"/>
          <w:szCs w:val="32"/>
          <w:lang w:val="en-US" w:eastAsia="zh-CN"/>
        </w:rPr>
        <w:t>02</w:t>
      </w:r>
      <w:r>
        <w:rPr>
          <w:rFonts w:hint="eastAsia" w:ascii="CESI仿宋-GB2312" w:hAnsi="CESI仿宋-GB2312" w:eastAsia="CESI仿宋-GB2312" w:cs="CESI仿宋-GB2312"/>
          <w:b w:val="0"/>
          <w:bCs w:val="0"/>
          <w:sz w:val="32"/>
          <w:szCs w:val="32"/>
          <w:lang w:val="zh-CN"/>
        </w:rPr>
        <w:t>项）: 支出决算为</w:t>
      </w:r>
      <w:r>
        <w:rPr>
          <w:rFonts w:hint="eastAsia" w:ascii="CESI仿宋-GB2312" w:hAnsi="CESI仿宋-GB2312" w:eastAsia="CESI仿宋-GB2312" w:cs="CESI仿宋-GB2312"/>
          <w:b w:val="0"/>
          <w:bCs w:val="0"/>
          <w:sz w:val="32"/>
          <w:szCs w:val="32"/>
          <w:lang w:val="en-US" w:eastAsia="zh-CN"/>
        </w:rPr>
        <w:t>483.3</w:t>
      </w:r>
      <w:r>
        <w:rPr>
          <w:rFonts w:hint="eastAsia" w:ascii="CESI仿宋-GB2312" w:hAnsi="CESI仿宋-GB2312" w:eastAsia="CESI仿宋-GB2312" w:cs="CESI仿宋-GB2312"/>
          <w:b w:val="0"/>
          <w:bCs w:val="0"/>
          <w:sz w:val="32"/>
          <w:szCs w:val="32"/>
          <w:lang w:val="zh-CN"/>
        </w:rPr>
        <w:t>万元，完成预算100%，决算数等于预算数。</w:t>
      </w:r>
    </w:p>
    <w:p>
      <w:pPr>
        <w:spacing w:line="600" w:lineRule="exact"/>
        <w:ind w:firstLine="640"/>
        <w:rPr>
          <w:rFonts w:hint="eastAsia" w:ascii="CESI仿宋-GB2312" w:hAnsi="CESI仿宋-GB2312" w:eastAsia="CESI仿宋-GB2312" w:cs="CESI仿宋-GB2312"/>
          <w:b w:val="0"/>
          <w:bCs w:val="0"/>
          <w:sz w:val="32"/>
          <w:szCs w:val="32"/>
          <w:lang w:val="zh-CN"/>
        </w:rPr>
      </w:pPr>
      <w:r>
        <w:rPr>
          <w:rFonts w:hint="eastAsia" w:ascii="CESI仿宋-GB2312" w:hAnsi="CESI仿宋-GB2312" w:eastAsia="CESI仿宋-GB2312" w:cs="CESI仿宋-GB2312"/>
          <w:b w:val="0"/>
          <w:bCs w:val="0"/>
          <w:sz w:val="32"/>
          <w:szCs w:val="32"/>
          <w:lang w:val="zh-CN"/>
        </w:rPr>
        <w:t>（</w:t>
      </w:r>
      <w:r>
        <w:rPr>
          <w:rFonts w:hint="eastAsia" w:ascii="CESI仿宋-GB2312" w:hAnsi="CESI仿宋-GB2312" w:eastAsia="CESI仿宋-GB2312" w:cs="CESI仿宋-GB2312"/>
          <w:b w:val="0"/>
          <w:bCs w:val="0"/>
          <w:sz w:val="32"/>
          <w:szCs w:val="32"/>
          <w:lang w:val="en-US" w:eastAsia="zh-CN"/>
        </w:rPr>
        <w:t>3</w:t>
      </w:r>
      <w:r>
        <w:rPr>
          <w:rFonts w:hint="eastAsia" w:ascii="CESI仿宋-GB2312" w:hAnsi="CESI仿宋-GB2312" w:eastAsia="CESI仿宋-GB2312" w:cs="CESI仿宋-GB2312"/>
          <w:b w:val="0"/>
          <w:bCs w:val="0"/>
          <w:sz w:val="32"/>
          <w:szCs w:val="32"/>
          <w:lang w:val="zh-CN"/>
        </w:rPr>
        <w:t>）机关事业单位基本养老保险缴费支出（</w:t>
      </w:r>
      <w:r>
        <w:rPr>
          <w:rFonts w:hint="eastAsia" w:ascii="CESI仿宋-GB2312" w:hAnsi="CESI仿宋-GB2312" w:eastAsia="CESI仿宋-GB2312" w:cs="CESI仿宋-GB2312"/>
          <w:b w:val="0"/>
          <w:bCs w:val="0"/>
          <w:sz w:val="32"/>
          <w:szCs w:val="32"/>
          <w:lang w:val="en-US" w:eastAsia="zh-CN"/>
        </w:rPr>
        <w:t>05</w:t>
      </w:r>
      <w:r>
        <w:rPr>
          <w:rFonts w:hint="eastAsia" w:ascii="CESI仿宋-GB2312" w:hAnsi="CESI仿宋-GB2312" w:eastAsia="CESI仿宋-GB2312" w:cs="CESI仿宋-GB2312"/>
          <w:b w:val="0"/>
          <w:bCs w:val="0"/>
          <w:sz w:val="32"/>
          <w:szCs w:val="32"/>
          <w:lang w:val="zh-CN"/>
        </w:rPr>
        <w:t>项）：支出决算为</w:t>
      </w:r>
      <w:r>
        <w:rPr>
          <w:rFonts w:hint="eastAsia" w:ascii="CESI仿宋-GB2312" w:hAnsi="CESI仿宋-GB2312" w:eastAsia="CESI仿宋-GB2312" w:cs="CESI仿宋-GB2312"/>
          <w:b w:val="0"/>
          <w:bCs w:val="0"/>
          <w:sz w:val="32"/>
          <w:szCs w:val="32"/>
          <w:lang w:val="en-US" w:eastAsia="zh-CN"/>
        </w:rPr>
        <w:t>779.55</w:t>
      </w:r>
      <w:r>
        <w:rPr>
          <w:rFonts w:hint="eastAsia" w:ascii="CESI仿宋-GB2312" w:hAnsi="CESI仿宋-GB2312" w:eastAsia="CESI仿宋-GB2312" w:cs="CESI仿宋-GB2312"/>
          <w:b w:val="0"/>
          <w:bCs w:val="0"/>
          <w:sz w:val="32"/>
          <w:szCs w:val="32"/>
          <w:lang w:val="zh-CN"/>
        </w:rPr>
        <w:t>万元，完成预算100%，决算数等于预算数。</w:t>
      </w:r>
    </w:p>
    <w:p>
      <w:pPr>
        <w:spacing w:line="600" w:lineRule="exact"/>
        <w:ind w:firstLine="640"/>
        <w:rPr>
          <w:rFonts w:hint="eastAsia" w:ascii="CESI仿宋-GB2312" w:hAnsi="CESI仿宋-GB2312" w:eastAsia="CESI仿宋-GB2312" w:cs="CESI仿宋-GB2312"/>
          <w:b w:val="0"/>
          <w:bCs w:val="0"/>
          <w:sz w:val="32"/>
          <w:szCs w:val="32"/>
          <w:lang w:val="zh-CN"/>
        </w:rPr>
      </w:pPr>
      <w:r>
        <w:rPr>
          <w:rFonts w:hint="eastAsia" w:ascii="CESI仿宋-GB2312" w:hAnsi="CESI仿宋-GB2312" w:eastAsia="CESI仿宋-GB2312" w:cs="CESI仿宋-GB2312"/>
          <w:b w:val="0"/>
          <w:bCs w:val="0"/>
          <w:sz w:val="32"/>
          <w:szCs w:val="32"/>
          <w:lang w:val="zh-CN"/>
        </w:rPr>
        <w:t>（</w:t>
      </w:r>
      <w:r>
        <w:rPr>
          <w:rFonts w:hint="eastAsia" w:ascii="CESI仿宋-GB2312" w:hAnsi="CESI仿宋-GB2312" w:eastAsia="CESI仿宋-GB2312" w:cs="CESI仿宋-GB2312"/>
          <w:b w:val="0"/>
          <w:bCs w:val="0"/>
          <w:sz w:val="32"/>
          <w:szCs w:val="32"/>
          <w:lang w:val="en-US" w:eastAsia="zh-CN"/>
        </w:rPr>
        <w:t>4</w:t>
      </w:r>
      <w:r>
        <w:rPr>
          <w:rFonts w:hint="eastAsia" w:ascii="CESI仿宋-GB2312" w:hAnsi="CESI仿宋-GB2312" w:eastAsia="CESI仿宋-GB2312" w:cs="CESI仿宋-GB2312"/>
          <w:b w:val="0"/>
          <w:bCs w:val="0"/>
          <w:sz w:val="32"/>
          <w:szCs w:val="32"/>
          <w:lang w:val="zh-CN"/>
        </w:rPr>
        <w:t>）机关事业单位职业年金缴费支出（</w:t>
      </w:r>
      <w:r>
        <w:rPr>
          <w:rFonts w:hint="eastAsia" w:ascii="CESI仿宋-GB2312" w:hAnsi="CESI仿宋-GB2312" w:eastAsia="CESI仿宋-GB2312" w:cs="CESI仿宋-GB2312"/>
          <w:b w:val="0"/>
          <w:bCs w:val="0"/>
          <w:sz w:val="32"/>
          <w:szCs w:val="32"/>
          <w:lang w:val="en-US" w:eastAsia="zh-CN"/>
        </w:rPr>
        <w:t>06</w:t>
      </w:r>
      <w:r>
        <w:rPr>
          <w:rFonts w:hint="eastAsia" w:ascii="CESI仿宋-GB2312" w:hAnsi="CESI仿宋-GB2312" w:eastAsia="CESI仿宋-GB2312" w:cs="CESI仿宋-GB2312"/>
          <w:b w:val="0"/>
          <w:bCs w:val="0"/>
          <w:sz w:val="32"/>
          <w:szCs w:val="32"/>
          <w:lang w:val="zh-CN"/>
        </w:rPr>
        <w:t>项）：支出决算为</w:t>
      </w:r>
      <w:r>
        <w:rPr>
          <w:rFonts w:hint="eastAsia" w:ascii="CESI仿宋-GB2312" w:hAnsi="CESI仿宋-GB2312" w:eastAsia="CESI仿宋-GB2312" w:cs="CESI仿宋-GB2312"/>
          <w:b w:val="0"/>
          <w:bCs w:val="0"/>
          <w:sz w:val="32"/>
          <w:szCs w:val="32"/>
          <w:lang w:val="en-US" w:eastAsia="zh-CN"/>
        </w:rPr>
        <w:t>221.81</w:t>
      </w:r>
      <w:r>
        <w:rPr>
          <w:rFonts w:hint="eastAsia" w:ascii="CESI仿宋-GB2312" w:hAnsi="CESI仿宋-GB2312" w:eastAsia="CESI仿宋-GB2312" w:cs="CESI仿宋-GB2312"/>
          <w:b w:val="0"/>
          <w:bCs w:val="0"/>
          <w:sz w:val="32"/>
          <w:szCs w:val="32"/>
          <w:lang w:val="zh-CN"/>
        </w:rPr>
        <w:t>万元，完成预算100%，决算数等于预算数。</w:t>
      </w:r>
    </w:p>
    <w:p>
      <w:pPr>
        <w:spacing w:line="600" w:lineRule="exact"/>
        <w:ind w:firstLine="640"/>
        <w:rPr>
          <w:rFonts w:hint="eastAsia" w:ascii="CESI仿宋-GB2312" w:hAnsi="CESI仿宋-GB2312" w:eastAsia="CESI仿宋-GB2312" w:cs="CESI仿宋-GB2312"/>
          <w:b w:val="0"/>
          <w:bCs w:val="0"/>
          <w:sz w:val="32"/>
          <w:szCs w:val="32"/>
          <w:lang w:val="zh-CN"/>
        </w:rPr>
      </w:pPr>
      <w:r>
        <w:rPr>
          <w:rStyle w:val="19"/>
          <w:rFonts w:hint="eastAsia" w:ascii="CESI仿宋-GB2312" w:hAnsi="CESI仿宋-GB2312" w:eastAsia="CESI仿宋-GB2312" w:cs="CESI仿宋-GB2312"/>
          <w:b w:val="0"/>
          <w:bCs w:val="0"/>
          <w:sz w:val="32"/>
          <w:szCs w:val="32"/>
          <w:lang w:val="en-US" w:eastAsia="zh-CN"/>
        </w:rPr>
        <w:t>2</w:t>
      </w:r>
      <w:r>
        <w:rPr>
          <w:rStyle w:val="19"/>
          <w:rFonts w:hint="eastAsia" w:ascii="CESI仿宋-GB2312" w:hAnsi="CESI仿宋-GB2312" w:eastAsia="CESI仿宋-GB2312" w:cs="CESI仿宋-GB2312"/>
          <w:b w:val="0"/>
          <w:bCs w:val="0"/>
          <w:sz w:val="32"/>
          <w:szCs w:val="32"/>
        </w:rPr>
        <w:t>.社会保障和就业（</w:t>
      </w:r>
      <w:r>
        <w:rPr>
          <w:rStyle w:val="19"/>
          <w:rFonts w:hint="eastAsia" w:ascii="CESI仿宋-GB2312" w:hAnsi="CESI仿宋-GB2312" w:eastAsia="CESI仿宋-GB2312" w:cs="CESI仿宋-GB2312"/>
          <w:b w:val="0"/>
          <w:bCs w:val="0"/>
          <w:sz w:val="32"/>
          <w:szCs w:val="32"/>
          <w:lang w:val="en-US" w:eastAsia="zh-CN"/>
        </w:rPr>
        <w:t>208</w:t>
      </w:r>
      <w:r>
        <w:rPr>
          <w:rStyle w:val="19"/>
          <w:rFonts w:hint="eastAsia" w:ascii="CESI仿宋-GB2312" w:hAnsi="CESI仿宋-GB2312" w:eastAsia="CESI仿宋-GB2312" w:cs="CESI仿宋-GB2312"/>
          <w:b w:val="0"/>
          <w:bCs w:val="0"/>
          <w:sz w:val="32"/>
          <w:szCs w:val="32"/>
        </w:rPr>
        <w:t>类）抚恤（</w:t>
      </w:r>
      <w:r>
        <w:rPr>
          <w:rStyle w:val="19"/>
          <w:rFonts w:hint="eastAsia" w:ascii="CESI仿宋-GB2312" w:hAnsi="CESI仿宋-GB2312" w:eastAsia="CESI仿宋-GB2312" w:cs="CESI仿宋-GB2312"/>
          <w:b w:val="0"/>
          <w:bCs w:val="0"/>
          <w:sz w:val="32"/>
          <w:szCs w:val="32"/>
          <w:lang w:val="en-US" w:eastAsia="zh-CN"/>
        </w:rPr>
        <w:t>08</w:t>
      </w:r>
      <w:r>
        <w:rPr>
          <w:rStyle w:val="19"/>
          <w:rFonts w:hint="eastAsia" w:ascii="CESI仿宋-GB2312" w:hAnsi="CESI仿宋-GB2312" w:eastAsia="CESI仿宋-GB2312" w:cs="CESI仿宋-GB2312"/>
          <w:b w:val="0"/>
          <w:bCs w:val="0"/>
          <w:sz w:val="32"/>
          <w:szCs w:val="32"/>
        </w:rPr>
        <w:t>款）:</w:t>
      </w:r>
      <w:r>
        <w:rPr>
          <w:rFonts w:hint="eastAsia" w:ascii="CESI仿宋-GB2312" w:hAnsi="CESI仿宋-GB2312" w:eastAsia="CESI仿宋-GB2312" w:cs="CESI仿宋-GB2312"/>
          <w:b w:val="0"/>
          <w:bCs w:val="0"/>
          <w:sz w:val="32"/>
          <w:szCs w:val="32"/>
          <w:lang w:val="zh-CN"/>
        </w:rPr>
        <w:t>支出决算为</w:t>
      </w:r>
      <w:r>
        <w:rPr>
          <w:rFonts w:hint="eastAsia" w:ascii="CESI仿宋-GB2312" w:hAnsi="CESI仿宋-GB2312" w:eastAsia="CESI仿宋-GB2312" w:cs="CESI仿宋-GB2312"/>
          <w:b w:val="0"/>
          <w:bCs w:val="0"/>
          <w:sz w:val="32"/>
          <w:szCs w:val="32"/>
          <w:lang w:val="en-US" w:eastAsia="zh-CN"/>
        </w:rPr>
        <w:t>125.26</w:t>
      </w:r>
      <w:r>
        <w:rPr>
          <w:rFonts w:hint="eastAsia" w:ascii="CESI仿宋-GB2312" w:hAnsi="CESI仿宋-GB2312" w:eastAsia="CESI仿宋-GB2312" w:cs="CESI仿宋-GB2312"/>
          <w:b w:val="0"/>
          <w:bCs w:val="0"/>
          <w:sz w:val="32"/>
          <w:szCs w:val="32"/>
          <w:lang w:val="zh-CN"/>
        </w:rPr>
        <w:t>万元，完成预算100%。决算数等于预算数。</w:t>
      </w:r>
    </w:p>
    <w:p>
      <w:pPr>
        <w:spacing w:line="600" w:lineRule="exact"/>
        <w:ind w:firstLine="640"/>
        <w:rPr>
          <w:rFonts w:hint="eastAsia" w:ascii="CESI仿宋-GB2312" w:hAnsi="CESI仿宋-GB2312" w:eastAsia="CESI仿宋-GB2312" w:cs="CESI仿宋-GB2312"/>
          <w:b w:val="0"/>
          <w:bCs w:val="0"/>
          <w:sz w:val="32"/>
          <w:szCs w:val="32"/>
          <w:lang w:val="zh-CN"/>
        </w:rPr>
      </w:pPr>
      <w:r>
        <w:rPr>
          <w:rFonts w:hint="eastAsia" w:ascii="CESI仿宋-GB2312" w:hAnsi="CESI仿宋-GB2312" w:eastAsia="CESI仿宋-GB2312" w:cs="CESI仿宋-GB2312"/>
          <w:b w:val="0"/>
          <w:bCs w:val="0"/>
          <w:sz w:val="32"/>
          <w:szCs w:val="32"/>
          <w:lang w:val="zh-CN"/>
        </w:rPr>
        <w:t>（</w:t>
      </w:r>
      <w:r>
        <w:rPr>
          <w:rFonts w:hint="eastAsia" w:ascii="CESI仿宋-GB2312" w:hAnsi="CESI仿宋-GB2312" w:eastAsia="CESI仿宋-GB2312" w:cs="CESI仿宋-GB2312"/>
          <w:b w:val="0"/>
          <w:bCs w:val="0"/>
          <w:sz w:val="32"/>
          <w:szCs w:val="32"/>
          <w:lang w:val="en-US" w:eastAsia="zh-CN"/>
        </w:rPr>
        <w:t>1）</w:t>
      </w:r>
      <w:r>
        <w:rPr>
          <w:rFonts w:hint="eastAsia" w:ascii="CESI仿宋-GB2312" w:hAnsi="CESI仿宋-GB2312" w:eastAsia="CESI仿宋-GB2312" w:cs="CESI仿宋-GB2312"/>
          <w:b w:val="0"/>
          <w:bCs w:val="0"/>
          <w:sz w:val="32"/>
          <w:szCs w:val="32"/>
          <w:lang w:val="zh-CN"/>
        </w:rPr>
        <w:t>死亡抚恤（</w:t>
      </w:r>
      <w:r>
        <w:rPr>
          <w:rFonts w:hint="eastAsia" w:ascii="CESI仿宋-GB2312" w:hAnsi="CESI仿宋-GB2312" w:eastAsia="CESI仿宋-GB2312" w:cs="CESI仿宋-GB2312"/>
          <w:b w:val="0"/>
          <w:bCs w:val="0"/>
          <w:sz w:val="32"/>
          <w:szCs w:val="32"/>
          <w:lang w:val="en-US" w:eastAsia="zh-CN"/>
        </w:rPr>
        <w:t>01</w:t>
      </w:r>
      <w:r>
        <w:rPr>
          <w:rFonts w:hint="eastAsia" w:ascii="CESI仿宋-GB2312" w:hAnsi="CESI仿宋-GB2312" w:eastAsia="CESI仿宋-GB2312" w:cs="CESI仿宋-GB2312"/>
          <w:b w:val="0"/>
          <w:bCs w:val="0"/>
          <w:sz w:val="32"/>
          <w:szCs w:val="32"/>
          <w:lang w:val="zh-CN"/>
        </w:rPr>
        <w:t>项）：支出决算为</w:t>
      </w:r>
      <w:r>
        <w:rPr>
          <w:rFonts w:hint="eastAsia" w:ascii="CESI仿宋-GB2312" w:hAnsi="CESI仿宋-GB2312" w:eastAsia="CESI仿宋-GB2312" w:cs="CESI仿宋-GB2312"/>
          <w:b w:val="0"/>
          <w:bCs w:val="0"/>
          <w:sz w:val="32"/>
          <w:szCs w:val="32"/>
          <w:lang w:val="en-US" w:eastAsia="zh-CN"/>
        </w:rPr>
        <w:t>113.9</w:t>
      </w:r>
      <w:r>
        <w:rPr>
          <w:rFonts w:hint="eastAsia" w:ascii="CESI仿宋-GB2312" w:hAnsi="CESI仿宋-GB2312" w:eastAsia="CESI仿宋-GB2312" w:cs="CESI仿宋-GB2312"/>
          <w:b w:val="0"/>
          <w:bCs w:val="0"/>
          <w:sz w:val="32"/>
          <w:szCs w:val="32"/>
          <w:lang w:val="zh-CN"/>
        </w:rPr>
        <w:t>万元，完成预算100%。决算数等于预算数。</w:t>
      </w:r>
    </w:p>
    <w:p>
      <w:pPr>
        <w:spacing w:line="600" w:lineRule="exact"/>
        <w:ind w:firstLine="640"/>
        <w:rPr>
          <w:rFonts w:hint="eastAsia" w:ascii="CESI仿宋-GB2312" w:hAnsi="CESI仿宋-GB2312" w:eastAsia="CESI仿宋-GB2312" w:cs="CESI仿宋-GB2312"/>
          <w:b w:val="0"/>
          <w:bCs w:val="0"/>
          <w:sz w:val="32"/>
          <w:szCs w:val="32"/>
          <w:lang w:val="zh-CN"/>
        </w:rPr>
      </w:pPr>
      <w:r>
        <w:rPr>
          <w:rFonts w:hint="eastAsia" w:ascii="CESI仿宋-GB2312" w:hAnsi="CESI仿宋-GB2312" w:eastAsia="CESI仿宋-GB2312" w:cs="CESI仿宋-GB2312"/>
          <w:b w:val="0"/>
          <w:bCs w:val="0"/>
          <w:sz w:val="32"/>
          <w:szCs w:val="32"/>
          <w:lang w:val="zh-CN"/>
        </w:rPr>
        <w:t>（</w:t>
      </w:r>
      <w:r>
        <w:rPr>
          <w:rFonts w:hint="eastAsia" w:ascii="CESI仿宋-GB2312" w:hAnsi="CESI仿宋-GB2312" w:eastAsia="CESI仿宋-GB2312" w:cs="CESI仿宋-GB2312"/>
          <w:b w:val="0"/>
          <w:bCs w:val="0"/>
          <w:sz w:val="32"/>
          <w:szCs w:val="32"/>
          <w:lang w:val="en-US" w:eastAsia="zh-CN"/>
        </w:rPr>
        <w:t>2</w:t>
      </w:r>
      <w:r>
        <w:rPr>
          <w:rFonts w:hint="eastAsia" w:ascii="CESI仿宋-GB2312" w:hAnsi="CESI仿宋-GB2312" w:eastAsia="CESI仿宋-GB2312" w:cs="CESI仿宋-GB2312"/>
          <w:b w:val="0"/>
          <w:bCs w:val="0"/>
          <w:sz w:val="32"/>
          <w:szCs w:val="32"/>
          <w:lang w:val="zh-CN"/>
        </w:rPr>
        <w:t>）伤残抚恤（</w:t>
      </w:r>
      <w:r>
        <w:rPr>
          <w:rFonts w:hint="eastAsia" w:ascii="CESI仿宋-GB2312" w:hAnsi="CESI仿宋-GB2312" w:eastAsia="CESI仿宋-GB2312" w:cs="CESI仿宋-GB2312"/>
          <w:b w:val="0"/>
          <w:bCs w:val="0"/>
          <w:sz w:val="32"/>
          <w:szCs w:val="32"/>
          <w:lang w:val="en-US" w:eastAsia="zh-CN"/>
        </w:rPr>
        <w:t>02</w:t>
      </w:r>
      <w:r>
        <w:rPr>
          <w:rFonts w:hint="eastAsia" w:ascii="CESI仿宋-GB2312" w:hAnsi="CESI仿宋-GB2312" w:eastAsia="CESI仿宋-GB2312" w:cs="CESI仿宋-GB2312"/>
          <w:b w:val="0"/>
          <w:bCs w:val="0"/>
          <w:sz w:val="32"/>
          <w:szCs w:val="32"/>
          <w:lang w:val="zh-CN"/>
        </w:rPr>
        <w:t>项）：支出决算为</w:t>
      </w:r>
      <w:r>
        <w:rPr>
          <w:rFonts w:hint="eastAsia" w:ascii="CESI仿宋-GB2312" w:hAnsi="CESI仿宋-GB2312" w:eastAsia="CESI仿宋-GB2312" w:cs="CESI仿宋-GB2312"/>
          <w:b w:val="0"/>
          <w:bCs w:val="0"/>
          <w:sz w:val="32"/>
          <w:szCs w:val="32"/>
          <w:lang w:val="en-US" w:eastAsia="zh-CN"/>
        </w:rPr>
        <w:t>11.36</w:t>
      </w:r>
      <w:r>
        <w:rPr>
          <w:rFonts w:hint="eastAsia" w:ascii="CESI仿宋-GB2312" w:hAnsi="CESI仿宋-GB2312" w:eastAsia="CESI仿宋-GB2312" w:cs="CESI仿宋-GB2312"/>
          <w:b w:val="0"/>
          <w:bCs w:val="0"/>
          <w:sz w:val="32"/>
          <w:szCs w:val="32"/>
          <w:lang w:val="zh-CN"/>
        </w:rPr>
        <w:t>万元，完成预算100%。决算数等于预算数。</w:t>
      </w:r>
    </w:p>
    <w:p>
      <w:pPr>
        <w:spacing w:line="600" w:lineRule="exact"/>
        <w:ind w:firstLine="640"/>
        <w:rPr>
          <w:rFonts w:hint="eastAsia" w:ascii="CESI仿宋-GB2312" w:hAnsi="CESI仿宋-GB2312" w:eastAsia="CESI仿宋-GB2312" w:cs="CESI仿宋-GB2312"/>
          <w:b w:val="0"/>
          <w:bCs w:val="0"/>
          <w:sz w:val="32"/>
          <w:szCs w:val="32"/>
          <w:lang w:val="zh-CN"/>
        </w:rPr>
      </w:pPr>
      <w:r>
        <w:rPr>
          <w:rStyle w:val="19"/>
          <w:rFonts w:hint="eastAsia" w:ascii="CESI仿宋-GB2312" w:hAnsi="CESI仿宋-GB2312" w:eastAsia="CESI仿宋-GB2312" w:cs="CESI仿宋-GB2312"/>
          <w:b w:val="0"/>
          <w:bCs w:val="0"/>
          <w:sz w:val="32"/>
          <w:szCs w:val="32"/>
          <w:lang w:val="en-US" w:eastAsia="zh-CN"/>
        </w:rPr>
        <w:t>3</w:t>
      </w:r>
      <w:r>
        <w:rPr>
          <w:rStyle w:val="19"/>
          <w:rFonts w:hint="eastAsia" w:ascii="CESI仿宋-GB2312" w:hAnsi="CESI仿宋-GB2312" w:eastAsia="CESI仿宋-GB2312" w:cs="CESI仿宋-GB2312"/>
          <w:b w:val="0"/>
          <w:bCs w:val="0"/>
          <w:sz w:val="32"/>
          <w:szCs w:val="32"/>
          <w:lang w:val="zh-CN" w:eastAsia="zh-CN"/>
        </w:rPr>
        <w:t>.社会保障和就业（</w:t>
      </w:r>
      <w:r>
        <w:rPr>
          <w:rStyle w:val="19"/>
          <w:rFonts w:hint="eastAsia" w:ascii="CESI仿宋-GB2312" w:hAnsi="CESI仿宋-GB2312" w:eastAsia="CESI仿宋-GB2312" w:cs="CESI仿宋-GB2312"/>
          <w:b w:val="0"/>
          <w:bCs w:val="0"/>
          <w:sz w:val="32"/>
          <w:szCs w:val="32"/>
          <w:lang w:val="en-US" w:eastAsia="zh-CN"/>
        </w:rPr>
        <w:t>205</w:t>
      </w:r>
      <w:r>
        <w:rPr>
          <w:rStyle w:val="19"/>
          <w:rFonts w:hint="eastAsia" w:ascii="CESI仿宋-GB2312" w:hAnsi="CESI仿宋-GB2312" w:eastAsia="CESI仿宋-GB2312" w:cs="CESI仿宋-GB2312"/>
          <w:b w:val="0"/>
          <w:bCs w:val="0"/>
          <w:sz w:val="32"/>
          <w:szCs w:val="32"/>
          <w:lang w:val="zh-CN" w:eastAsia="zh-CN"/>
        </w:rPr>
        <w:t>类）</w:t>
      </w:r>
      <w:r>
        <w:rPr>
          <w:rStyle w:val="19"/>
          <w:rFonts w:hint="eastAsia" w:ascii="CESI仿宋-GB2312" w:hAnsi="CESI仿宋-GB2312" w:eastAsia="CESI仿宋-GB2312" w:cs="CESI仿宋-GB2312"/>
          <w:b w:val="0"/>
          <w:bCs w:val="0"/>
          <w:sz w:val="32"/>
          <w:szCs w:val="32"/>
          <w:lang w:val="en-US" w:eastAsia="zh-CN"/>
        </w:rPr>
        <w:t>残疾人事业</w:t>
      </w:r>
      <w:r>
        <w:rPr>
          <w:rStyle w:val="19"/>
          <w:rFonts w:hint="eastAsia" w:ascii="CESI仿宋-GB2312" w:hAnsi="CESI仿宋-GB2312" w:eastAsia="CESI仿宋-GB2312" w:cs="CESI仿宋-GB2312"/>
          <w:b w:val="0"/>
          <w:bCs w:val="0"/>
          <w:sz w:val="32"/>
          <w:szCs w:val="32"/>
          <w:lang w:val="zh-CN" w:eastAsia="zh-CN"/>
        </w:rPr>
        <w:t>（</w:t>
      </w:r>
      <w:r>
        <w:rPr>
          <w:rStyle w:val="19"/>
          <w:rFonts w:hint="eastAsia" w:ascii="CESI仿宋-GB2312" w:hAnsi="CESI仿宋-GB2312" w:eastAsia="CESI仿宋-GB2312" w:cs="CESI仿宋-GB2312"/>
          <w:b w:val="0"/>
          <w:bCs w:val="0"/>
          <w:sz w:val="32"/>
          <w:szCs w:val="32"/>
          <w:lang w:val="en-US" w:eastAsia="zh-CN"/>
        </w:rPr>
        <w:t>11</w:t>
      </w:r>
      <w:r>
        <w:rPr>
          <w:rStyle w:val="19"/>
          <w:rFonts w:hint="eastAsia" w:ascii="CESI仿宋-GB2312" w:hAnsi="CESI仿宋-GB2312" w:eastAsia="CESI仿宋-GB2312" w:cs="CESI仿宋-GB2312"/>
          <w:b w:val="0"/>
          <w:bCs w:val="0"/>
          <w:sz w:val="32"/>
          <w:szCs w:val="32"/>
          <w:lang w:val="zh-CN" w:eastAsia="zh-CN"/>
        </w:rPr>
        <w:t>款）:</w:t>
      </w:r>
      <w:r>
        <w:rPr>
          <w:rFonts w:hint="eastAsia" w:ascii="CESI仿宋-GB2312" w:hAnsi="CESI仿宋-GB2312" w:eastAsia="CESI仿宋-GB2312" w:cs="CESI仿宋-GB2312"/>
          <w:b w:val="0"/>
          <w:bCs w:val="0"/>
          <w:sz w:val="32"/>
          <w:szCs w:val="32"/>
          <w:lang w:val="zh-CN"/>
        </w:rPr>
        <w:t>支出决算为</w:t>
      </w:r>
      <w:r>
        <w:rPr>
          <w:rFonts w:hint="eastAsia" w:ascii="CESI仿宋-GB2312" w:hAnsi="CESI仿宋-GB2312" w:eastAsia="CESI仿宋-GB2312" w:cs="CESI仿宋-GB2312"/>
          <w:b w:val="0"/>
          <w:bCs w:val="0"/>
          <w:sz w:val="32"/>
          <w:szCs w:val="32"/>
          <w:lang w:val="en-US" w:eastAsia="zh-CN"/>
        </w:rPr>
        <w:t>14</w:t>
      </w:r>
      <w:r>
        <w:rPr>
          <w:rFonts w:hint="eastAsia" w:ascii="CESI仿宋-GB2312" w:hAnsi="CESI仿宋-GB2312" w:eastAsia="CESI仿宋-GB2312" w:cs="CESI仿宋-GB2312"/>
          <w:b w:val="0"/>
          <w:bCs w:val="0"/>
          <w:sz w:val="32"/>
          <w:szCs w:val="32"/>
          <w:lang w:val="zh-CN"/>
        </w:rPr>
        <w:t>万元，完成预算100%。决算数等于预算数。</w:t>
      </w:r>
      <w:r>
        <w:rPr>
          <w:rFonts w:hint="eastAsia" w:ascii="CESI仿宋-GB2312" w:hAnsi="CESI仿宋-GB2312" w:eastAsia="CESI仿宋-GB2312" w:cs="CESI仿宋-GB2312"/>
          <w:b w:val="0"/>
          <w:bCs w:val="0"/>
          <w:sz w:val="32"/>
          <w:szCs w:val="32"/>
          <w:lang w:val="en-US" w:eastAsia="zh-CN"/>
        </w:rPr>
        <w:t>其他残疾人事业支出</w:t>
      </w:r>
      <w:r>
        <w:rPr>
          <w:rFonts w:hint="eastAsia" w:ascii="CESI仿宋-GB2312" w:hAnsi="CESI仿宋-GB2312" w:eastAsia="CESI仿宋-GB2312" w:cs="CESI仿宋-GB2312"/>
          <w:b w:val="0"/>
          <w:bCs w:val="0"/>
          <w:sz w:val="32"/>
          <w:szCs w:val="32"/>
          <w:lang w:val="zh-CN"/>
        </w:rPr>
        <w:t>（</w:t>
      </w:r>
      <w:r>
        <w:rPr>
          <w:rFonts w:hint="eastAsia" w:ascii="CESI仿宋-GB2312" w:hAnsi="CESI仿宋-GB2312" w:eastAsia="CESI仿宋-GB2312" w:cs="CESI仿宋-GB2312"/>
          <w:b w:val="0"/>
          <w:bCs w:val="0"/>
          <w:sz w:val="32"/>
          <w:szCs w:val="32"/>
          <w:lang w:val="en-US" w:eastAsia="zh-CN"/>
        </w:rPr>
        <w:t>99</w:t>
      </w:r>
      <w:r>
        <w:rPr>
          <w:rFonts w:hint="eastAsia" w:ascii="CESI仿宋-GB2312" w:hAnsi="CESI仿宋-GB2312" w:eastAsia="CESI仿宋-GB2312" w:cs="CESI仿宋-GB2312"/>
          <w:b w:val="0"/>
          <w:bCs w:val="0"/>
          <w:sz w:val="32"/>
          <w:szCs w:val="32"/>
          <w:lang w:val="zh-CN"/>
        </w:rPr>
        <w:t>项）：支出决算为</w:t>
      </w:r>
      <w:r>
        <w:rPr>
          <w:rFonts w:hint="eastAsia" w:ascii="CESI仿宋-GB2312" w:hAnsi="CESI仿宋-GB2312" w:eastAsia="CESI仿宋-GB2312" w:cs="CESI仿宋-GB2312"/>
          <w:b w:val="0"/>
          <w:bCs w:val="0"/>
          <w:sz w:val="32"/>
          <w:szCs w:val="32"/>
          <w:lang w:val="en-US" w:eastAsia="zh-CN"/>
        </w:rPr>
        <w:t>14</w:t>
      </w:r>
      <w:r>
        <w:rPr>
          <w:rFonts w:hint="eastAsia" w:ascii="CESI仿宋-GB2312" w:hAnsi="CESI仿宋-GB2312" w:eastAsia="CESI仿宋-GB2312" w:cs="CESI仿宋-GB2312"/>
          <w:b w:val="0"/>
          <w:bCs w:val="0"/>
          <w:sz w:val="32"/>
          <w:szCs w:val="32"/>
          <w:lang w:val="zh-CN"/>
        </w:rPr>
        <w:t>万元，完成预算100%。决算数等于预算数。</w:t>
      </w:r>
    </w:p>
    <w:p>
      <w:pPr>
        <w:spacing w:line="600" w:lineRule="exact"/>
        <w:ind w:firstLine="640"/>
        <w:rPr>
          <w:rFonts w:hint="eastAsia" w:ascii="CESI仿宋-GB2312" w:hAnsi="CESI仿宋-GB2312" w:eastAsia="CESI仿宋-GB2312" w:cs="CESI仿宋-GB2312"/>
          <w:b w:val="0"/>
          <w:bCs w:val="0"/>
          <w:sz w:val="32"/>
          <w:szCs w:val="32"/>
          <w:lang w:val="zh-CN"/>
        </w:rPr>
      </w:pPr>
      <w:r>
        <w:rPr>
          <w:rFonts w:hint="eastAsia" w:ascii="CESI仿宋-GB2312" w:hAnsi="CESI仿宋-GB2312" w:eastAsia="CESI仿宋-GB2312" w:cs="CESI仿宋-GB2312"/>
          <w:b w:val="0"/>
          <w:bCs w:val="0"/>
          <w:sz w:val="32"/>
          <w:szCs w:val="32"/>
          <w:lang w:val="en-US" w:eastAsia="zh-CN"/>
        </w:rPr>
        <w:t>4.</w:t>
      </w:r>
      <w:r>
        <w:rPr>
          <w:rFonts w:hint="eastAsia" w:ascii="CESI仿宋-GB2312" w:hAnsi="CESI仿宋-GB2312" w:eastAsia="CESI仿宋-GB2312" w:cs="CESI仿宋-GB2312"/>
          <w:b w:val="0"/>
          <w:bCs w:val="0"/>
          <w:sz w:val="32"/>
          <w:szCs w:val="32"/>
          <w:lang w:val="zh-CN"/>
        </w:rPr>
        <w:t>卫生健康支出（</w:t>
      </w:r>
      <w:r>
        <w:rPr>
          <w:rFonts w:hint="eastAsia" w:ascii="CESI仿宋-GB2312" w:hAnsi="CESI仿宋-GB2312" w:eastAsia="CESI仿宋-GB2312" w:cs="CESI仿宋-GB2312"/>
          <w:b w:val="0"/>
          <w:bCs w:val="0"/>
          <w:sz w:val="32"/>
          <w:szCs w:val="32"/>
          <w:lang w:val="en-US" w:eastAsia="zh-CN"/>
        </w:rPr>
        <w:t>210</w:t>
      </w:r>
      <w:r>
        <w:rPr>
          <w:rFonts w:hint="eastAsia" w:ascii="CESI仿宋-GB2312" w:hAnsi="CESI仿宋-GB2312" w:eastAsia="CESI仿宋-GB2312" w:cs="CESI仿宋-GB2312"/>
          <w:b w:val="0"/>
          <w:bCs w:val="0"/>
          <w:sz w:val="32"/>
          <w:szCs w:val="32"/>
          <w:lang w:val="zh-CN"/>
        </w:rPr>
        <w:t>类）卫生健康管理事务（</w:t>
      </w:r>
      <w:r>
        <w:rPr>
          <w:rFonts w:hint="eastAsia" w:ascii="CESI仿宋-GB2312" w:hAnsi="CESI仿宋-GB2312" w:eastAsia="CESI仿宋-GB2312" w:cs="CESI仿宋-GB2312"/>
          <w:b w:val="0"/>
          <w:bCs w:val="0"/>
          <w:sz w:val="32"/>
          <w:szCs w:val="32"/>
          <w:lang w:val="en-US" w:eastAsia="zh-CN"/>
        </w:rPr>
        <w:t>01</w:t>
      </w:r>
      <w:r>
        <w:rPr>
          <w:rFonts w:hint="eastAsia" w:ascii="CESI仿宋-GB2312" w:hAnsi="CESI仿宋-GB2312" w:eastAsia="CESI仿宋-GB2312" w:cs="CESI仿宋-GB2312"/>
          <w:b w:val="0"/>
          <w:bCs w:val="0"/>
          <w:sz w:val="32"/>
          <w:szCs w:val="32"/>
          <w:lang w:val="zh-CN"/>
        </w:rPr>
        <w:t>款）</w:t>
      </w:r>
      <w:r>
        <w:rPr>
          <w:rFonts w:hint="eastAsia" w:ascii="CESI仿宋-GB2312" w:hAnsi="CESI仿宋-GB2312" w:eastAsia="CESI仿宋-GB2312" w:cs="CESI仿宋-GB2312"/>
          <w:b w:val="0"/>
          <w:bCs w:val="0"/>
          <w:sz w:val="32"/>
          <w:szCs w:val="32"/>
          <w:lang w:val="zh-CN" w:eastAsia="zh-CN"/>
        </w:rPr>
        <w:t>：</w:t>
      </w:r>
      <w:r>
        <w:rPr>
          <w:rFonts w:hint="eastAsia" w:ascii="CESI仿宋-GB2312" w:hAnsi="CESI仿宋-GB2312" w:eastAsia="CESI仿宋-GB2312" w:cs="CESI仿宋-GB2312"/>
          <w:b w:val="0"/>
          <w:bCs w:val="0"/>
          <w:sz w:val="32"/>
          <w:szCs w:val="32"/>
          <w:lang w:val="zh-CN"/>
        </w:rPr>
        <w:t>支出决算为</w:t>
      </w:r>
      <w:r>
        <w:rPr>
          <w:rFonts w:hint="eastAsia" w:ascii="CESI仿宋-GB2312" w:hAnsi="CESI仿宋-GB2312" w:eastAsia="CESI仿宋-GB2312" w:cs="CESI仿宋-GB2312"/>
          <w:b w:val="0"/>
          <w:bCs w:val="0"/>
          <w:sz w:val="32"/>
          <w:szCs w:val="32"/>
          <w:lang w:val="en-US" w:eastAsia="zh-CN"/>
        </w:rPr>
        <w:t>332.68</w:t>
      </w:r>
      <w:r>
        <w:rPr>
          <w:rFonts w:hint="eastAsia" w:ascii="CESI仿宋-GB2312" w:hAnsi="CESI仿宋-GB2312" w:eastAsia="CESI仿宋-GB2312" w:cs="CESI仿宋-GB2312"/>
          <w:b w:val="0"/>
          <w:bCs w:val="0"/>
          <w:sz w:val="32"/>
          <w:szCs w:val="32"/>
          <w:lang w:val="zh-CN"/>
        </w:rPr>
        <w:t>万元，完成预算100%。决算数等于预算数。</w:t>
      </w:r>
    </w:p>
    <w:p>
      <w:pPr>
        <w:spacing w:line="600" w:lineRule="exact"/>
        <w:ind w:firstLine="640"/>
        <w:rPr>
          <w:rFonts w:hint="eastAsia" w:ascii="CESI仿宋-GB2312" w:hAnsi="CESI仿宋-GB2312" w:eastAsia="CESI仿宋-GB2312" w:cs="CESI仿宋-GB2312"/>
          <w:b w:val="0"/>
          <w:bCs w:val="0"/>
          <w:sz w:val="32"/>
          <w:szCs w:val="32"/>
          <w:lang w:val="zh-CN"/>
        </w:rPr>
      </w:pPr>
      <w:r>
        <w:rPr>
          <w:rFonts w:hint="eastAsia" w:ascii="CESI仿宋-GB2312" w:hAnsi="CESI仿宋-GB2312" w:eastAsia="CESI仿宋-GB2312" w:cs="CESI仿宋-GB2312"/>
          <w:b w:val="0"/>
          <w:bCs w:val="0"/>
          <w:sz w:val="32"/>
          <w:szCs w:val="32"/>
          <w:lang w:val="zh-CN"/>
        </w:rPr>
        <w:t>（</w:t>
      </w:r>
      <w:r>
        <w:rPr>
          <w:rFonts w:hint="eastAsia" w:ascii="CESI仿宋-GB2312" w:hAnsi="CESI仿宋-GB2312" w:eastAsia="CESI仿宋-GB2312" w:cs="CESI仿宋-GB2312"/>
          <w:b w:val="0"/>
          <w:bCs w:val="0"/>
          <w:sz w:val="32"/>
          <w:szCs w:val="32"/>
          <w:lang w:val="en-US" w:eastAsia="zh-CN"/>
        </w:rPr>
        <w:t>1</w:t>
      </w:r>
      <w:r>
        <w:rPr>
          <w:rFonts w:hint="eastAsia" w:ascii="CESI仿宋-GB2312" w:hAnsi="CESI仿宋-GB2312" w:eastAsia="CESI仿宋-GB2312" w:cs="CESI仿宋-GB2312"/>
          <w:b w:val="0"/>
          <w:bCs w:val="0"/>
          <w:sz w:val="32"/>
          <w:szCs w:val="32"/>
          <w:lang w:val="zh-CN"/>
        </w:rPr>
        <w:t>）</w:t>
      </w:r>
      <w:r>
        <w:rPr>
          <w:rFonts w:hint="eastAsia" w:ascii="CESI仿宋-GB2312" w:hAnsi="CESI仿宋-GB2312" w:eastAsia="CESI仿宋-GB2312" w:cs="CESI仿宋-GB2312"/>
          <w:b w:val="0"/>
          <w:bCs w:val="0"/>
          <w:sz w:val="32"/>
          <w:szCs w:val="32"/>
          <w:lang w:val="en-US" w:eastAsia="zh-CN"/>
        </w:rPr>
        <w:t>行政运行（01项）:</w:t>
      </w:r>
      <w:r>
        <w:rPr>
          <w:rFonts w:hint="eastAsia" w:ascii="CESI仿宋-GB2312" w:hAnsi="CESI仿宋-GB2312" w:eastAsia="CESI仿宋-GB2312" w:cs="CESI仿宋-GB2312"/>
          <w:b w:val="0"/>
          <w:bCs w:val="0"/>
          <w:sz w:val="32"/>
          <w:szCs w:val="32"/>
          <w:lang w:val="zh-CN"/>
        </w:rPr>
        <w:t>支出决算为</w:t>
      </w:r>
      <w:r>
        <w:rPr>
          <w:rFonts w:hint="eastAsia" w:ascii="CESI仿宋-GB2312" w:hAnsi="CESI仿宋-GB2312" w:eastAsia="CESI仿宋-GB2312" w:cs="CESI仿宋-GB2312"/>
          <w:b w:val="0"/>
          <w:bCs w:val="0"/>
          <w:sz w:val="32"/>
          <w:szCs w:val="32"/>
          <w:lang w:val="en-US" w:eastAsia="zh-CN"/>
        </w:rPr>
        <w:t>310.6</w:t>
      </w:r>
      <w:r>
        <w:rPr>
          <w:rFonts w:hint="eastAsia" w:ascii="CESI仿宋-GB2312" w:hAnsi="CESI仿宋-GB2312" w:eastAsia="CESI仿宋-GB2312" w:cs="CESI仿宋-GB2312"/>
          <w:b w:val="0"/>
          <w:bCs w:val="0"/>
          <w:sz w:val="32"/>
          <w:szCs w:val="32"/>
          <w:lang w:val="zh-CN"/>
        </w:rPr>
        <w:t>万元，完成预算100%，决算数等于预算数。</w:t>
      </w:r>
    </w:p>
    <w:p>
      <w:pPr>
        <w:spacing w:line="600" w:lineRule="exact"/>
        <w:ind w:firstLine="640"/>
        <w:rPr>
          <w:rFonts w:hint="eastAsia" w:ascii="CESI仿宋-GB2312" w:hAnsi="CESI仿宋-GB2312" w:eastAsia="CESI仿宋-GB2312" w:cs="CESI仿宋-GB2312"/>
          <w:b w:val="0"/>
          <w:bCs w:val="0"/>
          <w:sz w:val="32"/>
          <w:szCs w:val="32"/>
          <w:lang w:val="zh-CN"/>
        </w:rPr>
      </w:pPr>
      <w:r>
        <w:rPr>
          <w:rFonts w:hint="eastAsia" w:ascii="CESI仿宋-GB2312" w:hAnsi="CESI仿宋-GB2312" w:eastAsia="CESI仿宋-GB2312" w:cs="CESI仿宋-GB2312"/>
          <w:b w:val="0"/>
          <w:bCs w:val="0"/>
          <w:sz w:val="32"/>
          <w:szCs w:val="32"/>
          <w:lang w:val="zh-CN"/>
        </w:rPr>
        <w:t>（</w:t>
      </w:r>
      <w:r>
        <w:rPr>
          <w:rFonts w:hint="eastAsia" w:ascii="CESI仿宋-GB2312" w:hAnsi="CESI仿宋-GB2312" w:eastAsia="CESI仿宋-GB2312" w:cs="CESI仿宋-GB2312"/>
          <w:b w:val="0"/>
          <w:bCs w:val="0"/>
          <w:sz w:val="32"/>
          <w:szCs w:val="32"/>
          <w:lang w:val="en-US" w:eastAsia="zh-CN"/>
        </w:rPr>
        <w:t>2</w:t>
      </w:r>
      <w:r>
        <w:rPr>
          <w:rFonts w:hint="eastAsia" w:ascii="CESI仿宋-GB2312" w:hAnsi="CESI仿宋-GB2312" w:eastAsia="CESI仿宋-GB2312" w:cs="CESI仿宋-GB2312"/>
          <w:b w:val="0"/>
          <w:bCs w:val="0"/>
          <w:sz w:val="32"/>
          <w:szCs w:val="32"/>
          <w:lang w:val="zh-CN"/>
        </w:rPr>
        <w:t>）</w:t>
      </w:r>
      <w:r>
        <w:rPr>
          <w:rFonts w:hint="eastAsia" w:ascii="CESI仿宋-GB2312" w:hAnsi="CESI仿宋-GB2312" w:eastAsia="CESI仿宋-GB2312" w:cs="CESI仿宋-GB2312"/>
          <w:b w:val="0"/>
          <w:bCs w:val="0"/>
          <w:sz w:val="32"/>
          <w:szCs w:val="32"/>
          <w:lang w:val="en-US" w:eastAsia="zh-CN"/>
        </w:rPr>
        <w:t>机关服务（03项）:</w:t>
      </w:r>
      <w:r>
        <w:rPr>
          <w:rFonts w:hint="eastAsia" w:ascii="CESI仿宋-GB2312" w:hAnsi="CESI仿宋-GB2312" w:eastAsia="CESI仿宋-GB2312" w:cs="CESI仿宋-GB2312"/>
          <w:b w:val="0"/>
          <w:bCs w:val="0"/>
          <w:sz w:val="32"/>
          <w:szCs w:val="32"/>
          <w:lang w:val="zh-CN"/>
        </w:rPr>
        <w:t>支出决算为</w:t>
      </w:r>
      <w:r>
        <w:rPr>
          <w:rFonts w:hint="eastAsia" w:ascii="CESI仿宋-GB2312" w:hAnsi="CESI仿宋-GB2312" w:eastAsia="CESI仿宋-GB2312" w:cs="CESI仿宋-GB2312"/>
          <w:b w:val="0"/>
          <w:bCs w:val="0"/>
          <w:sz w:val="32"/>
          <w:szCs w:val="32"/>
          <w:lang w:val="en-US" w:eastAsia="zh-CN"/>
        </w:rPr>
        <w:t>22.08</w:t>
      </w:r>
      <w:r>
        <w:rPr>
          <w:rFonts w:hint="eastAsia" w:ascii="CESI仿宋-GB2312" w:hAnsi="CESI仿宋-GB2312" w:eastAsia="CESI仿宋-GB2312" w:cs="CESI仿宋-GB2312"/>
          <w:b w:val="0"/>
          <w:bCs w:val="0"/>
          <w:sz w:val="32"/>
          <w:szCs w:val="32"/>
          <w:lang w:val="zh-CN"/>
        </w:rPr>
        <w:t>万元，完成预算100%，决算数等于预算数。</w:t>
      </w:r>
    </w:p>
    <w:p>
      <w:pPr>
        <w:spacing w:line="600" w:lineRule="exact"/>
        <w:ind w:firstLine="640"/>
        <w:rPr>
          <w:rFonts w:hint="eastAsia" w:ascii="CESI仿宋-GB2312" w:hAnsi="CESI仿宋-GB2312" w:eastAsia="CESI仿宋-GB2312" w:cs="CESI仿宋-GB2312"/>
          <w:b w:val="0"/>
          <w:bCs w:val="0"/>
          <w:sz w:val="32"/>
          <w:szCs w:val="32"/>
          <w:lang w:val="zh-CN"/>
        </w:rPr>
      </w:pPr>
      <w:r>
        <w:rPr>
          <w:rFonts w:hint="eastAsia" w:ascii="CESI仿宋-GB2312" w:hAnsi="CESI仿宋-GB2312" w:eastAsia="CESI仿宋-GB2312" w:cs="CESI仿宋-GB2312"/>
          <w:b w:val="0"/>
          <w:bCs w:val="0"/>
          <w:sz w:val="32"/>
          <w:szCs w:val="32"/>
          <w:lang w:val="en-US" w:eastAsia="zh-CN"/>
        </w:rPr>
        <w:t>5.</w:t>
      </w:r>
      <w:r>
        <w:rPr>
          <w:rFonts w:hint="eastAsia" w:ascii="CESI仿宋-GB2312" w:hAnsi="CESI仿宋-GB2312" w:eastAsia="CESI仿宋-GB2312" w:cs="CESI仿宋-GB2312"/>
          <w:b w:val="0"/>
          <w:bCs w:val="0"/>
          <w:sz w:val="32"/>
          <w:szCs w:val="32"/>
          <w:lang w:val="zh-CN"/>
        </w:rPr>
        <w:t>卫生健康支出（</w:t>
      </w:r>
      <w:r>
        <w:rPr>
          <w:rFonts w:hint="eastAsia" w:ascii="CESI仿宋-GB2312" w:hAnsi="CESI仿宋-GB2312" w:eastAsia="CESI仿宋-GB2312" w:cs="CESI仿宋-GB2312"/>
          <w:b w:val="0"/>
          <w:bCs w:val="0"/>
          <w:sz w:val="32"/>
          <w:szCs w:val="32"/>
          <w:lang w:val="en-US" w:eastAsia="zh-CN"/>
        </w:rPr>
        <w:t>210</w:t>
      </w:r>
      <w:r>
        <w:rPr>
          <w:rFonts w:hint="eastAsia" w:ascii="CESI仿宋-GB2312" w:hAnsi="CESI仿宋-GB2312" w:eastAsia="CESI仿宋-GB2312" w:cs="CESI仿宋-GB2312"/>
          <w:b w:val="0"/>
          <w:bCs w:val="0"/>
          <w:sz w:val="32"/>
          <w:szCs w:val="32"/>
          <w:lang w:val="zh-CN"/>
        </w:rPr>
        <w:t>类）公立医院（</w:t>
      </w:r>
      <w:r>
        <w:rPr>
          <w:rFonts w:hint="eastAsia" w:ascii="CESI仿宋-GB2312" w:hAnsi="CESI仿宋-GB2312" w:eastAsia="CESI仿宋-GB2312" w:cs="CESI仿宋-GB2312"/>
          <w:b w:val="0"/>
          <w:bCs w:val="0"/>
          <w:sz w:val="32"/>
          <w:szCs w:val="32"/>
          <w:lang w:val="en-US" w:eastAsia="zh-CN"/>
        </w:rPr>
        <w:t>02</w:t>
      </w:r>
      <w:r>
        <w:rPr>
          <w:rFonts w:hint="eastAsia" w:ascii="CESI仿宋-GB2312" w:hAnsi="CESI仿宋-GB2312" w:eastAsia="CESI仿宋-GB2312" w:cs="CESI仿宋-GB2312"/>
          <w:b w:val="0"/>
          <w:bCs w:val="0"/>
          <w:sz w:val="32"/>
          <w:szCs w:val="32"/>
          <w:lang w:val="zh-CN"/>
        </w:rPr>
        <w:t>款）</w:t>
      </w:r>
      <w:r>
        <w:rPr>
          <w:rFonts w:hint="eastAsia" w:ascii="CESI仿宋-GB2312" w:hAnsi="CESI仿宋-GB2312" w:eastAsia="CESI仿宋-GB2312" w:cs="CESI仿宋-GB2312"/>
          <w:b w:val="0"/>
          <w:bCs w:val="0"/>
          <w:sz w:val="32"/>
          <w:szCs w:val="32"/>
          <w:lang w:val="zh-CN" w:eastAsia="zh-CN"/>
        </w:rPr>
        <w:t>：</w:t>
      </w:r>
      <w:r>
        <w:rPr>
          <w:rFonts w:hint="eastAsia" w:ascii="CESI仿宋-GB2312" w:hAnsi="CESI仿宋-GB2312" w:eastAsia="CESI仿宋-GB2312" w:cs="CESI仿宋-GB2312"/>
          <w:b w:val="0"/>
          <w:bCs w:val="0"/>
          <w:sz w:val="32"/>
          <w:szCs w:val="32"/>
          <w:lang w:val="zh-CN"/>
        </w:rPr>
        <w:t>支出决算为</w:t>
      </w:r>
      <w:r>
        <w:rPr>
          <w:rFonts w:hint="eastAsia" w:ascii="CESI仿宋-GB2312" w:hAnsi="CESI仿宋-GB2312" w:eastAsia="CESI仿宋-GB2312" w:cs="CESI仿宋-GB2312"/>
          <w:b w:val="0"/>
          <w:bCs w:val="0"/>
          <w:sz w:val="32"/>
          <w:szCs w:val="32"/>
          <w:lang w:val="en-US" w:eastAsia="zh-CN"/>
        </w:rPr>
        <w:t>2681.78</w:t>
      </w:r>
      <w:r>
        <w:rPr>
          <w:rFonts w:hint="eastAsia" w:ascii="CESI仿宋-GB2312" w:hAnsi="CESI仿宋-GB2312" w:eastAsia="CESI仿宋-GB2312" w:cs="CESI仿宋-GB2312"/>
          <w:b w:val="0"/>
          <w:bCs w:val="0"/>
          <w:sz w:val="32"/>
          <w:szCs w:val="32"/>
          <w:lang w:val="zh-CN"/>
        </w:rPr>
        <w:t>万元，完成预算100%。决算数等于预算数。</w:t>
      </w:r>
    </w:p>
    <w:p>
      <w:pPr>
        <w:spacing w:line="600" w:lineRule="exact"/>
        <w:ind w:firstLine="640"/>
        <w:rPr>
          <w:rFonts w:hint="eastAsia" w:ascii="CESI仿宋-GB2312" w:hAnsi="CESI仿宋-GB2312" w:eastAsia="CESI仿宋-GB2312" w:cs="CESI仿宋-GB2312"/>
          <w:b w:val="0"/>
          <w:bCs w:val="0"/>
          <w:sz w:val="32"/>
          <w:szCs w:val="32"/>
          <w:lang w:val="zh-CN"/>
        </w:rPr>
      </w:pPr>
      <w:r>
        <w:rPr>
          <w:rFonts w:hint="eastAsia" w:ascii="CESI仿宋-GB2312" w:hAnsi="CESI仿宋-GB2312" w:eastAsia="CESI仿宋-GB2312" w:cs="CESI仿宋-GB2312"/>
          <w:b w:val="0"/>
          <w:bCs w:val="0"/>
          <w:sz w:val="32"/>
          <w:szCs w:val="32"/>
          <w:lang w:val="zh-CN"/>
        </w:rPr>
        <w:t>（</w:t>
      </w:r>
      <w:r>
        <w:rPr>
          <w:rFonts w:hint="eastAsia" w:ascii="CESI仿宋-GB2312" w:hAnsi="CESI仿宋-GB2312" w:eastAsia="CESI仿宋-GB2312" w:cs="CESI仿宋-GB2312"/>
          <w:b w:val="0"/>
          <w:bCs w:val="0"/>
          <w:sz w:val="32"/>
          <w:szCs w:val="32"/>
          <w:lang w:val="en-US" w:eastAsia="zh-CN"/>
        </w:rPr>
        <w:t>1</w:t>
      </w:r>
      <w:r>
        <w:rPr>
          <w:rFonts w:hint="eastAsia" w:ascii="CESI仿宋-GB2312" w:hAnsi="CESI仿宋-GB2312" w:eastAsia="CESI仿宋-GB2312" w:cs="CESI仿宋-GB2312"/>
          <w:b w:val="0"/>
          <w:bCs w:val="0"/>
          <w:sz w:val="32"/>
          <w:szCs w:val="32"/>
          <w:lang w:val="zh-CN"/>
        </w:rPr>
        <w:t>）</w:t>
      </w:r>
      <w:r>
        <w:rPr>
          <w:rFonts w:hint="eastAsia" w:ascii="CESI仿宋-GB2312" w:hAnsi="CESI仿宋-GB2312" w:eastAsia="CESI仿宋-GB2312" w:cs="CESI仿宋-GB2312"/>
          <w:b w:val="0"/>
          <w:bCs w:val="0"/>
          <w:sz w:val="32"/>
          <w:szCs w:val="32"/>
          <w:lang w:val="en-US" w:eastAsia="zh-CN"/>
        </w:rPr>
        <w:t>综合医院（01项）:</w:t>
      </w:r>
      <w:r>
        <w:rPr>
          <w:rFonts w:hint="eastAsia" w:ascii="CESI仿宋-GB2312" w:hAnsi="CESI仿宋-GB2312" w:eastAsia="CESI仿宋-GB2312" w:cs="CESI仿宋-GB2312"/>
          <w:b w:val="0"/>
          <w:bCs w:val="0"/>
          <w:sz w:val="32"/>
          <w:szCs w:val="32"/>
          <w:lang w:val="zh-CN"/>
        </w:rPr>
        <w:t>支出决算为</w:t>
      </w:r>
      <w:r>
        <w:rPr>
          <w:rFonts w:hint="eastAsia" w:ascii="CESI仿宋-GB2312" w:hAnsi="CESI仿宋-GB2312" w:eastAsia="CESI仿宋-GB2312" w:cs="CESI仿宋-GB2312"/>
          <w:b w:val="0"/>
          <w:bCs w:val="0"/>
          <w:sz w:val="32"/>
          <w:szCs w:val="32"/>
          <w:lang w:val="en-US" w:eastAsia="zh-CN"/>
        </w:rPr>
        <w:t>1,643.12</w:t>
      </w:r>
      <w:r>
        <w:rPr>
          <w:rFonts w:hint="eastAsia" w:ascii="CESI仿宋-GB2312" w:hAnsi="CESI仿宋-GB2312" w:eastAsia="CESI仿宋-GB2312" w:cs="CESI仿宋-GB2312"/>
          <w:b w:val="0"/>
          <w:bCs w:val="0"/>
          <w:sz w:val="32"/>
          <w:szCs w:val="32"/>
          <w:lang w:val="zh-CN"/>
        </w:rPr>
        <w:t>万元，完成预算100%，决算数等于预算数。</w:t>
      </w:r>
    </w:p>
    <w:p>
      <w:pPr>
        <w:spacing w:line="600" w:lineRule="exact"/>
        <w:ind w:firstLine="640"/>
        <w:rPr>
          <w:rFonts w:hint="eastAsia" w:ascii="CESI仿宋-GB2312" w:hAnsi="CESI仿宋-GB2312" w:eastAsia="CESI仿宋-GB2312" w:cs="CESI仿宋-GB2312"/>
          <w:b w:val="0"/>
          <w:bCs w:val="0"/>
          <w:sz w:val="32"/>
          <w:szCs w:val="32"/>
          <w:lang w:val="zh-CN"/>
        </w:rPr>
      </w:pPr>
      <w:r>
        <w:rPr>
          <w:rFonts w:hint="eastAsia" w:ascii="CESI仿宋-GB2312" w:hAnsi="CESI仿宋-GB2312" w:eastAsia="CESI仿宋-GB2312" w:cs="CESI仿宋-GB2312"/>
          <w:b w:val="0"/>
          <w:bCs w:val="0"/>
          <w:sz w:val="32"/>
          <w:szCs w:val="32"/>
          <w:lang w:val="zh-CN"/>
        </w:rPr>
        <w:t>（</w:t>
      </w:r>
      <w:r>
        <w:rPr>
          <w:rFonts w:hint="eastAsia" w:ascii="CESI仿宋-GB2312" w:hAnsi="CESI仿宋-GB2312" w:eastAsia="CESI仿宋-GB2312" w:cs="CESI仿宋-GB2312"/>
          <w:b w:val="0"/>
          <w:bCs w:val="0"/>
          <w:sz w:val="32"/>
          <w:szCs w:val="32"/>
          <w:lang w:val="en-US" w:eastAsia="zh-CN"/>
        </w:rPr>
        <w:t>2</w:t>
      </w:r>
      <w:r>
        <w:rPr>
          <w:rFonts w:hint="eastAsia" w:ascii="CESI仿宋-GB2312" w:hAnsi="CESI仿宋-GB2312" w:eastAsia="CESI仿宋-GB2312" w:cs="CESI仿宋-GB2312"/>
          <w:b w:val="0"/>
          <w:bCs w:val="0"/>
          <w:sz w:val="32"/>
          <w:szCs w:val="32"/>
          <w:lang w:val="zh-CN"/>
        </w:rPr>
        <w:t>）</w:t>
      </w:r>
      <w:r>
        <w:rPr>
          <w:rFonts w:hint="eastAsia" w:ascii="CESI仿宋-GB2312" w:hAnsi="CESI仿宋-GB2312" w:eastAsia="CESI仿宋-GB2312" w:cs="CESI仿宋-GB2312"/>
          <w:b w:val="0"/>
          <w:bCs w:val="0"/>
          <w:sz w:val="32"/>
          <w:szCs w:val="32"/>
          <w:lang w:val="en-US" w:eastAsia="zh-CN"/>
        </w:rPr>
        <w:t>中医（民族）医院（02项）:</w:t>
      </w:r>
      <w:r>
        <w:rPr>
          <w:rFonts w:hint="eastAsia" w:ascii="CESI仿宋-GB2312" w:hAnsi="CESI仿宋-GB2312" w:eastAsia="CESI仿宋-GB2312" w:cs="CESI仿宋-GB2312"/>
          <w:b w:val="0"/>
          <w:bCs w:val="0"/>
          <w:sz w:val="32"/>
          <w:szCs w:val="32"/>
          <w:lang w:val="zh-CN"/>
        </w:rPr>
        <w:t>支出决算为</w:t>
      </w:r>
      <w:r>
        <w:rPr>
          <w:rFonts w:hint="eastAsia" w:ascii="CESI仿宋-GB2312" w:hAnsi="CESI仿宋-GB2312" w:eastAsia="CESI仿宋-GB2312" w:cs="CESI仿宋-GB2312"/>
          <w:b w:val="0"/>
          <w:bCs w:val="0"/>
          <w:sz w:val="32"/>
          <w:szCs w:val="32"/>
          <w:lang w:val="en-US" w:eastAsia="zh-CN"/>
        </w:rPr>
        <w:t>841.48</w:t>
      </w:r>
      <w:r>
        <w:rPr>
          <w:rFonts w:hint="eastAsia" w:ascii="CESI仿宋-GB2312" w:hAnsi="CESI仿宋-GB2312" w:eastAsia="CESI仿宋-GB2312" w:cs="CESI仿宋-GB2312"/>
          <w:b w:val="0"/>
          <w:bCs w:val="0"/>
          <w:sz w:val="32"/>
          <w:szCs w:val="32"/>
          <w:lang w:val="zh-CN"/>
        </w:rPr>
        <w:t>万元，完成预算100%，决算数等于预算数。</w:t>
      </w:r>
    </w:p>
    <w:p>
      <w:pPr>
        <w:spacing w:line="600" w:lineRule="exact"/>
        <w:ind w:firstLine="640"/>
        <w:rPr>
          <w:rFonts w:hint="eastAsia" w:ascii="CESI仿宋-GB2312" w:hAnsi="CESI仿宋-GB2312" w:eastAsia="CESI仿宋-GB2312" w:cs="CESI仿宋-GB2312"/>
          <w:b w:val="0"/>
          <w:bCs w:val="0"/>
          <w:sz w:val="32"/>
          <w:szCs w:val="32"/>
          <w:lang w:val="zh-CN"/>
        </w:rPr>
      </w:pPr>
      <w:r>
        <w:rPr>
          <w:rFonts w:hint="eastAsia" w:ascii="CESI仿宋-GB2312" w:hAnsi="CESI仿宋-GB2312" w:eastAsia="CESI仿宋-GB2312" w:cs="CESI仿宋-GB2312"/>
          <w:b w:val="0"/>
          <w:bCs w:val="0"/>
          <w:sz w:val="32"/>
          <w:szCs w:val="32"/>
          <w:lang w:val="zh-CN"/>
        </w:rPr>
        <w:t>（</w:t>
      </w:r>
      <w:r>
        <w:rPr>
          <w:rFonts w:hint="eastAsia" w:ascii="CESI仿宋-GB2312" w:hAnsi="CESI仿宋-GB2312" w:eastAsia="CESI仿宋-GB2312" w:cs="CESI仿宋-GB2312"/>
          <w:b w:val="0"/>
          <w:bCs w:val="0"/>
          <w:sz w:val="32"/>
          <w:szCs w:val="32"/>
          <w:lang w:val="en-US" w:eastAsia="zh-CN"/>
        </w:rPr>
        <w:t>3</w:t>
      </w:r>
      <w:r>
        <w:rPr>
          <w:rFonts w:hint="eastAsia" w:ascii="CESI仿宋-GB2312" w:hAnsi="CESI仿宋-GB2312" w:eastAsia="CESI仿宋-GB2312" w:cs="CESI仿宋-GB2312"/>
          <w:b w:val="0"/>
          <w:bCs w:val="0"/>
          <w:sz w:val="32"/>
          <w:szCs w:val="32"/>
          <w:lang w:val="zh-CN"/>
        </w:rPr>
        <w:t>）</w:t>
      </w:r>
      <w:r>
        <w:rPr>
          <w:rFonts w:hint="eastAsia" w:ascii="CESI仿宋-GB2312" w:hAnsi="CESI仿宋-GB2312" w:eastAsia="CESI仿宋-GB2312" w:cs="CESI仿宋-GB2312"/>
          <w:b w:val="0"/>
          <w:bCs w:val="0"/>
          <w:sz w:val="32"/>
          <w:szCs w:val="32"/>
          <w:lang w:val="en-US" w:eastAsia="zh-CN"/>
        </w:rPr>
        <w:t>其他公立医院支出（99项）:</w:t>
      </w:r>
      <w:r>
        <w:rPr>
          <w:rFonts w:hint="eastAsia" w:ascii="CESI仿宋-GB2312" w:hAnsi="CESI仿宋-GB2312" w:eastAsia="CESI仿宋-GB2312" w:cs="CESI仿宋-GB2312"/>
          <w:b w:val="0"/>
          <w:bCs w:val="0"/>
          <w:sz w:val="32"/>
          <w:szCs w:val="32"/>
          <w:lang w:val="zh-CN"/>
        </w:rPr>
        <w:t>支出决算为</w:t>
      </w:r>
      <w:r>
        <w:rPr>
          <w:rFonts w:hint="eastAsia" w:ascii="CESI仿宋-GB2312" w:hAnsi="CESI仿宋-GB2312" w:eastAsia="CESI仿宋-GB2312" w:cs="CESI仿宋-GB2312"/>
          <w:b w:val="0"/>
          <w:bCs w:val="0"/>
          <w:sz w:val="32"/>
          <w:szCs w:val="32"/>
          <w:lang w:val="en-US" w:eastAsia="zh-CN"/>
        </w:rPr>
        <w:t>197.18</w:t>
      </w:r>
      <w:r>
        <w:rPr>
          <w:rFonts w:hint="eastAsia" w:ascii="CESI仿宋-GB2312" w:hAnsi="CESI仿宋-GB2312" w:eastAsia="CESI仿宋-GB2312" w:cs="CESI仿宋-GB2312"/>
          <w:b w:val="0"/>
          <w:bCs w:val="0"/>
          <w:sz w:val="32"/>
          <w:szCs w:val="32"/>
          <w:lang w:val="zh-CN"/>
        </w:rPr>
        <w:t>万元，完成预算100%，决算数等于预算数。</w:t>
      </w:r>
    </w:p>
    <w:p>
      <w:pPr>
        <w:spacing w:line="600" w:lineRule="exact"/>
        <w:ind w:firstLine="640"/>
        <w:rPr>
          <w:rFonts w:hint="eastAsia" w:ascii="CESI仿宋-GB2312" w:hAnsi="CESI仿宋-GB2312" w:eastAsia="CESI仿宋-GB2312" w:cs="CESI仿宋-GB2312"/>
          <w:b w:val="0"/>
          <w:bCs w:val="0"/>
          <w:sz w:val="32"/>
          <w:szCs w:val="32"/>
          <w:lang w:val="zh-CN"/>
        </w:rPr>
      </w:pPr>
      <w:r>
        <w:rPr>
          <w:rFonts w:hint="eastAsia" w:ascii="CESI仿宋-GB2312" w:hAnsi="CESI仿宋-GB2312" w:eastAsia="CESI仿宋-GB2312" w:cs="CESI仿宋-GB2312"/>
          <w:b w:val="0"/>
          <w:bCs w:val="0"/>
          <w:sz w:val="32"/>
          <w:szCs w:val="32"/>
          <w:lang w:val="en-US" w:eastAsia="zh-CN"/>
        </w:rPr>
        <w:t>6</w:t>
      </w:r>
      <w:r>
        <w:rPr>
          <w:rFonts w:hint="eastAsia" w:ascii="CESI仿宋-GB2312" w:hAnsi="CESI仿宋-GB2312" w:eastAsia="CESI仿宋-GB2312" w:cs="CESI仿宋-GB2312"/>
          <w:b w:val="0"/>
          <w:bCs w:val="0"/>
          <w:sz w:val="32"/>
          <w:szCs w:val="32"/>
          <w:lang w:val="zh-CN"/>
        </w:rPr>
        <w:t>.卫生健康支出（</w:t>
      </w:r>
      <w:r>
        <w:rPr>
          <w:rFonts w:hint="eastAsia" w:ascii="CESI仿宋-GB2312" w:hAnsi="CESI仿宋-GB2312" w:eastAsia="CESI仿宋-GB2312" w:cs="CESI仿宋-GB2312"/>
          <w:b w:val="0"/>
          <w:bCs w:val="0"/>
          <w:sz w:val="32"/>
          <w:szCs w:val="32"/>
          <w:lang w:val="en-US" w:eastAsia="zh-CN"/>
        </w:rPr>
        <w:t>210</w:t>
      </w:r>
      <w:r>
        <w:rPr>
          <w:rFonts w:hint="eastAsia" w:ascii="CESI仿宋-GB2312" w:hAnsi="CESI仿宋-GB2312" w:eastAsia="CESI仿宋-GB2312" w:cs="CESI仿宋-GB2312"/>
          <w:b w:val="0"/>
          <w:bCs w:val="0"/>
          <w:sz w:val="32"/>
          <w:szCs w:val="32"/>
          <w:lang w:val="zh-CN"/>
        </w:rPr>
        <w:t>类）基层医疗卫生机构（</w:t>
      </w:r>
      <w:r>
        <w:rPr>
          <w:rFonts w:hint="eastAsia" w:ascii="CESI仿宋-GB2312" w:hAnsi="CESI仿宋-GB2312" w:eastAsia="CESI仿宋-GB2312" w:cs="CESI仿宋-GB2312"/>
          <w:b w:val="0"/>
          <w:bCs w:val="0"/>
          <w:sz w:val="32"/>
          <w:szCs w:val="32"/>
          <w:lang w:val="en-US" w:eastAsia="zh-CN"/>
        </w:rPr>
        <w:t>03</w:t>
      </w:r>
      <w:r>
        <w:rPr>
          <w:rFonts w:hint="eastAsia" w:ascii="CESI仿宋-GB2312" w:hAnsi="CESI仿宋-GB2312" w:eastAsia="CESI仿宋-GB2312" w:cs="CESI仿宋-GB2312"/>
          <w:b w:val="0"/>
          <w:bCs w:val="0"/>
          <w:sz w:val="32"/>
          <w:szCs w:val="32"/>
          <w:lang w:val="zh-CN"/>
        </w:rPr>
        <w:t>款）</w:t>
      </w:r>
      <w:r>
        <w:rPr>
          <w:rFonts w:hint="eastAsia" w:ascii="CESI仿宋-GB2312" w:hAnsi="CESI仿宋-GB2312" w:eastAsia="CESI仿宋-GB2312" w:cs="CESI仿宋-GB2312"/>
          <w:b w:val="0"/>
          <w:bCs w:val="0"/>
          <w:sz w:val="32"/>
          <w:szCs w:val="32"/>
          <w:lang w:val="zh-CN" w:eastAsia="zh-CN"/>
        </w:rPr>
        <w:t>：</w:t>
      </w:r>
      <w:r>
        <w:rPr>
          <w:rFonts w:hint="eastAsia" w:ascii="CESI仿宋-GB2312" w:hAnsi="CESI仿宋-GB2312" w:eastAsia="CESI仿宋-GB2312" w:cs="CESI仿宋-GB2312"/>
          <w:b w:val="0"/>
          <w:bCs w:val="0"/>
          <w:sz w:val="32"/>
          <w:szCs w:val="32"/>
          <w:lang w:val="zh-CN"/>
        </w:rPr>
        <w:t>支出决算为</w:t>
      </w:r>
      <w:r>
        <w:rPr>
          <w:rFonts w:hint="eastAsia" w:ascii="CESI仿宋-GB2312" w:hAnsi="CESI仿宋-GB2312" w:eastAsia="CESI仿宋-GB2312" w:cs="CESI仿宋-GB2312"/>
          <w:b w:val="0"/>
          <w:bCs w:val="0"/>
          <w:sz w:val="32"/>
          <w:szCs w:val="32"/>
          <w:lang w:val="en-US" w:eastAsia="zh-CN"/>
        </w:rPr>
        <w:t>2892.25</w:t>
      </w:r>
      <w:r>
        <w:rPr>
          <w:rFonts w:hint="eastAsia" w:ascii="CESI仿宋-GB2312" w:hAnsi="CESI仿宋-GB2312" w:eastAsia="CESI仿宋-GB2312" w:cs="CESI仿宋-GB2312"/>
          <w:b w:val="0"/>
          <w:bCs w:val="0"/>
          <w:sz w:val="32"/>
          <w:szCs w:val="32"/>
          <w:lang w:val="zh-CN"/>
        </w:rPr>
        <w:t>万元，完成预算100%。决算数等于预算数。</w:t>
      </w:r>
    </w:p>
    <w:p>
      <w:pPr>
        <w:spacing w:line="600" w:lineRule="exact"/>
        <w:ind w:firstLine="640"/>
        <w:rPr>
          <w:rFonts w:hint="eastAsia" w:ascii="CESI仿宋-GB2312" w:hAnsi="CESI仿宋-GB2312" w:eastAsia="CESI仿宋-GB2312" w:cs="CESI仿宋-GB2312"/>
          <w:b w:val="0"/>
          <w:bCs w:val="0"/>
          <w:sz w:val="32"/>
          <w:szCs w:val="32"/>
          <w:lang w:val="zh-CN"/>
        </w:rPr>
      </w:pPr>
      <w:r>
        <w:rPr>
          <w:rFonts w:hint="eastAsia" w:ascii="CESI仿宋-GB2312" w:hAnsi="CESI仿宋-GB2312" w:eastAsia="CESI仿宋-GB2312" w:cs="CESI仿宋-GB2312"/>
          <w:b w:val="0"/>
          <w:bCs w:val="0"/>
          <w:sz w:val="32"/>
          <w:szCs w:val="32"/>
          <w:lang w:val="zh-CN"/>
        </w:rPr>
        <w:t>（</w:t>
      </w:r>
      <w:r>
        <w:rPr>
          <w:rFonts w:hint="eastAsia" w:ascii="CESI仿宋-GB2312" w:hAnsi="CESI仿宋-GB2312" w:eastAsia="CESI仿宋-GB2312" w:cs="CESI仿宋-GB2312"/>
          <w:b w:val="0"/>
          <w:bCs w:val="0"/>
          <w:sz w:val="32"/>
          <w:szCs w:val="32"/>
          <w:lang w:val="en-US" w:eastAsia="zh-CN"/>
        </w:rPr>
        <w:t>1</w:t>
      </w:r>
      <w:r>
        <w:rPr>
          <w:rFonts w:hint="eastAsia" w:ascii="CESI仿宋-GB2312" w:hAnsi="CESI仿宋-GB2312" w:eastAsia="CESI仿宋-GB2312" w:cs="CESI仿宋-GB2312"/>
          <w:b w:val="0"/>
          <w:bCs w:val="0"/>
          <w:sz w:val="32"/>
          <w:szCs w:val="32"/>
          <w:lang w:val="zh-CN"/>
        </w:rPr>
        <w:t>）</w:t>
      </w:r>
      <w:r>
        <w:rPr>
          <w:rFonts w:hint="eastAsia" w:ascii="CESI仿宋-GB2312" w:hAnsi="CESI仿宋-GB2312" w:eastAsia="CESI仿宋-GB2312" w:cs="CESI仿宋-GB2312"/>
          <w:b w:val="0"/>
          <w:bCs w:val="0"/>
          <w:sz w:val="32"/>
          <w:szCs w:val="32"/>
          <w:lang w:val="en-US" w:eastAsia="zh-CN"/>
        </w:rPr>
        <w:t>城市社区卫生机构（01项）:</w:t>
      </w:r>
      <w:r>
        <w:rPr>
          <w:rFonts w:hint="eastAsia" w:ascii="CESI仿宋-GB2312" w:hAnsi="CESI仿宋-GB2312" w:eastAsia="CESI仿宋-GB2312" w:cs="CESI仿宋-GB2312"/>
          <w:b w:val="0"/>
          <w:bCs w:val="0"/>
          <w:sz w:val="32"/>
          <w:szCs w:val="32"/>
          <w:lang w:val="zh-CN"/>
        </w:rPr>
        <w:t>支出决算为</w:t>
      </w:r>
      <w:r>
        <w:rPr>
          <w:rFonts w:hint="eastAsia" w:ascii="CESI仿宋-GB2312" w:hAnsi="CESI仿宋-GB2312" w:eastAsia="CESI仿宋-GB2312" w:cs="CESI仿宋-GB2312"/>
          <w:b w:val="0"/>
          <w:bCs w:val="0"/>
          <w:sz w:val="32"/>
          <w:szCs w:val="32"/>
          <w:lang w:val="en-US" w:eastAsia="zh-CN"/>
        </w:rPr>
        <w:t>276.8</w:t>
      </w:r>
      <w:r>
        <w:rPr>
          <w:rFonts w:hint="eastAsia" w:ascii="CESI仿宋-GB2312" w:hAnsi="CESI仿宋-GB2312" w:eastAsia="CESI仿宋-GB2312" w:cs="CESI仿宋-GB2312"/>
          <w:b w:val="0"/>
          <w:bCs w:val="0"/>
          <w:sz w:val="32"/>
          <w:szCs w:val="32"/>
          <w:lang w:val="zh-CN"/>
        </w:rPr>
        <w:t>万元，完成预算100%，决算数等于预算数。</w:t>
      </w:r>
    </w:p>
    <w:p>
      <w:pPr>
        <w:spacing w:line="600" w:lineRule="exact"/>
        <w:ind w:firstLine="640"/>
        <w:rPr>
          <w:rFonts w:hint="eastAsia" w:ascii="CESI仿宋-GB2312" w:hAnsi="CESI仿宋-GB2312" w:eastAsia="CESI仿宋-GB2312" w:cs="CESI仿宋-GB2312"/>
          <w:b w:val="0"/>
          <w:bCs w:val="0"/>
          <w:sz w:val="32"/>
          <w:szCs w:val="32"/>
          <w:lang w:val="zh-CN"/>
        </w:rPr>
      </w:pPr>
      <w:r>
        <w:rPr>
          <w:rFonts w:hint="eastAsia" w:ascii="CESI仿宋-GB2312" w:hAnsi="CESI仿宋-GB2312" w:eastAsia="CESI仿宋-GB2312" w:cs="CESI仿宋-GB2312"/>
          <w:b w:val="0"/>
          <w:bCs w:val="0"/>
          <w:sz w:val="32"/>
          <w:szCs w:val="32"/>
          <w:lang w:val="zh-CN"/>
        </w:rPr>
        <w:t>（</w:t>
      </w:r>
      <w:r>
        <w:rPr>
          <w:rFonts w:hint="eastAsia" w:ascii="CESI仿宋-GB2312" w:hAnsi="CESI仿宋-GB2312" w:eastAsia="CESI仿宋-GB2312" w:cs="CESI仿宋-GB2312"/>
          <w:b w:val="0"/>
          <w:bCs w:val="0"/>
          <w:sz w:val="32"/>
          <w:szCs w:val="32"/>
          <w:lang w:val="en-US" w:eastAsia="zh-CN"/>
        </w:rPr>
        <w:t>2</w:t>
      </w:r>
      <w:r>
        <w:rPr>
          <w:rFonts w:hint="eastAsia" w:ascii="CESI仿宋-GB2312" w:hAnsi="CESI仿宋-GB2312" w:eastAsia="CESI仿宋-GB2312" w:cs="CESI仿宋-GB2312"/>
          <w:b w:val="0"/>
          <w:bCs w:val="0"/>
          <w:sz w:val="32"/>
          <w:szCs w:val="32"/>
          <w:lang w:val="zh-CN"/>
        </w:rPr>
        <w:t>）</w:t>
      </w:r>
      <w:r>
        <w:rPr>
          <w:rFonts w:hint="eastAsia" w:ascii="CESI仿宋-GB2312" w:hAnsi="CESI仿宋-GB2312" w:eastAsia="CESI仿宋-GB2312" w:cs="CESI仿宋-GB2312"/>
          <w:b w:val="0"/>
          <w:bCs w:val="0"/>
          <w:sz w:val="32"/>
          <w:szCs w:val="32"/>
          <w:lang w:val="en-US" w:eastAsia="zh-CN"/>
        </w:rPr>
        <w:t>乡镇卫生院（02项）:</w:t>
      </w:r>
      <w:r>
        <w:rPr>
          <w:rFonts w:hint="eastAsia" w:ascii="CESI仿宋-GB2312" w:hAnsi="CESI仿宋-GB2312" w:eastAsia="CESI仿宋-GB2312" w:cs="CESI仿宋-GB2312"/>
          <w:b w:val="0"/>
          <w:bCs w:val="0"/>
          <w:sz w:val="32"/>
          <w:szCs w:val="32"/>
          <w:lang w:val="zh-CN"/>
        </w:rPr>
        <w:t>支出决算为</w:t>
      </w:r>
      <w:r>
        <w:rPr>
          <w:rFonts w:hint="eastAsia" w:ascii="CESI仿宋-GB2312" w:hAnsi="CESI仿宋-GB2312" w:eastAsia="CESI仿宋-GB2312" w:cs="CESI仿宋-GB2312"/>
          <w:b w:val="0"/>
          <w:bCs w:val="0"/>
          <w:sz w:val="32"/>
          <w:szCs w:val="32"/>
          <w:lang w:val="en-US" w:eastAsia="zh-CN"/>
        </w:rPr>
        <w:t>2,265.77</w:t>
      </w:r>
      <w:r>
        <w:rPr>
          <w:rFonts w:hint="eastAsia" w:ascii="CESI仿宋-GB2312" w:hAnsi="CESI仿宋-GB2312" w:eastAsia="CESI仿宋-GB2312" w:cs="CESI仿宋-GB2312"/>
          <w:b w:val="0"/>
          <w:bCs w:val="0"/>
          <w:sz w:val="32"/>
          <w:szCs w:val="32"/>
          <w:lang w:val="zh-CN"/>
        </w:rPr>
        <w:t>万元，完成预算100%。决算数等于预算数。</w:t>
      </w:r>
    </w:p>
    <w:p>
      <w:pPr>
        <w:spacing w:line="600" w:lineRule="exact"/>
        <w:ind w:firstLine="640"/>
        <w:rPr>
          <w:rFonts w:hint="eastAsia" w:ascii="CESI仿宋-GB2312" w:hAnsi="CESI仿宋-GB2312" w:eastAsia="CESI仿宋-GB2312" w:cs="CESI仿宋-GB2312"/>
          <w:b w:val="0"/>
          <w:bCs w:val="0"/>
          <w:sz w:val="32"/>
          <w:szCs w:val="32"/>
          <w:lang w:val="zh-CN"/>
        </w:rPr>
      </w:pPr>
      <w:r>
        <w:rPr>
          <w:rFonts w:hint="eastAsia" w:ascii="CESI仿宋-GB2312" w:hAnsi="CESI仿宋-GB2312" w:eastAsia="CESI仿宋-GB2312" w:cs="CESI仿宋-GB2312"/>
          <w:b w:val="0"/>
          <w:bCs w:val="0"/>
          <w:sz w:val="32"/>
          <w:szCs w:val="32"/>
          <w:lang w:val="zh-CN"/>
        </w:rPr>
        <w:t>（</w:t>
      </w:r>
      <w:r>
        <w:rPr>
          <w:rFonts w:hint="eastAsia" w:ascii="CESI仿宋-GB2312" w:hAnsi="CESI仿宋-GB2312" w:eastAsia="CESI仿宋-GB2312" w:cs="CESI仿宋-GB2312"/>
          <w:b w:val="0"/>
          <w:bCs w:val="0"/>
          <w:sz w:val="32"/>
          <w:szCs w:val="32"/>
          <w:lang w:val="en-US" w:eastAsia="zh-CN"/>
        </w:rPr>
        <w:t>3</w:t>
      </w:r>
      <w:r>
        <w:rPr>
          <w:rFonts w:hint="eastAsia" w:ascii="CESI仿宋-GB2312" w:hAnsi="CESI仿宋-GB2312" w:eastAsia="CESI仿宋-GB2312" w:cs="CESI仿宋-GB2312"/>
          <w:b w:val="0"/>
          <w:bCs w:val="0"/>
          <w:sz w:val="32"/>
          <w:szCs w:val="32"/>
          <w:lang w:val="zh-CN"/>
        </w:rPr>
        <w:t>）</w:t>
      </w:r>
      <w:r>
        <w:rPr>
          <w:rFonts w:hint="eastAsia" w:ascii="CESI仿宋-GB2312" w:hAnsi="CESI仿宋-GB2312" w:eastAsia="CESI仿宋-GB2312" w:cs="CESI仿宋-GB2312"/>
          <w:b w:val="0"/>
          <w:bCs w:val="0"/>
          <w:sz w:val="32"/>
          <w:szCs w:val="32"/>
          <w:lang w:val="en-US" w:eastAsia="zh-CN"/>
        </w:rPr>
        <w:t>其他基层医疗卫生机构支出（99项）:</w:t>
      </w:r>
      <w:r>
        <w:rPr>
          <w:rFonts w:hint="eastAsia" w:ascii="CESI仿宋-GB2312" w:hAnsi="CESI仿宋-GB2312" w:eastAsia="CESI仿宋-GB2312" w:cs="CESI仿宋-GB2312"/>
          <w:b w:val="0"/>
          <w:bCs w:val="0"/>
          <w:sz w:val="32"/>
          <w:szCs w:val="32"/>
          <w:lang w:val="zh-CN"/>
        </w:rPr>
        <w:t>支出决算为</w:t>
      </w:r>
      <w:r>
        <w:rPr>
          <w:rFonts w:hint="eastAsia" w:ascii="CESI仿宋-GB2312" w:hAnsi="CESI仿宋-GB2312" w:eastAsia="CESI仿宋-GB2312" w:cs="CESI仿宋-GB2312"/>
          <w:b w:val="0"/>
          <w:bCs w:val="0"/>
          <w:sz w:val="32"/>
          <w:szCs w:val="32"/>
          <w:lang w:val="en-US" w:eastAsia="zh-CN"/>
        </w:rPr>
        <w:t>349.68</w:t>
      </w:r>
      <w:r>
        <w:rPr>
          <w:rFonts w:hint="eastAsia" w:ascii="CESI仿宋-GB2312" w:hAnsi="CESI仿宋-GB2312" w:eastAsia="CESI仿宋-GB2312" w:cs="CESI仿宋-GB2312"/>
          <w:b w:val="0"/>
          <w:bCs w:val="0"/>
          <w:sz w:val="32"/>
          <w:szCs w:val="32"/>
          <w:lang w:val="zh-CN"/>
        </w:rPr>
        <w:t>万元，完成预算100%。决算数等于预算数。</w:t>
      </w:r>
    </w:p>
    <w:p>
      <w:pPr>
        <w:spacing w:line="600" w:lineRule="exact"/>
        <w:ind w:firstLine="640"/>
        <w:rPr>
          <w:rFonts w:hint="eastAsia" w:ascii="CESI仿宋-GB2312" w:hAnsi="CESI仿宋-GB2312" w:eastAsia="CESI仿宋-GB2312" w:cs="CESI仿宋-GB2312"/>
          <w:b w:val="0"/>
          <w:bCs w:val="0"/>
          <w:sz w:val="32"/>
          <w:szCs w:val="32"/>
          <w:lang w:val="zh-CN"/>
        </w:rPr>
      </w:pPr>
      <w:r>
        <w:rPr>
          <w:rFonts w:hint="eastAsia" w:ascii="CESI仿宋-GB2312" w:hAnsi="CESI仿宋-GB2312" w:eastAsia="CESI仿宋-GB2312" w:cs="CESI仿宋-GB2312"/>
          <w:b w:val="0"/>
          <w:bCs w:val="0"/>
          <w:sz w:val="32"/>
          <w:szCs w:val="32"/>
          <w:lang w:val="en-US" w:eastAsia="zh-CN"/>
        </w:rPr>
        <w:t>7.</w:t>
      </w:r>
      <w:r>
        <w:rPr>
          <w:rFonts w:hint="eastAsia" w:ascii="CESI仿宋-GB2312" w:hAnsi="CESI仿宋-GB2312" w:eastAsia="CESI仿宋-GB2312" w:cs="CESI仿宋-GB2312"/>
          <w:b w:val="0"/>
          <w:bCs w:val="0"/>
          <w:sz w:val="32"/>
          <w:szCs w:val="32"/>
          <w:lang w:val="zh-CN"/>
        </w:rPr>
        <w:t>卫生健康支出（</w:t>
      </w:r>
      <w:r>
        <w:rPr>
          <w:rFonts w:hint="eastAsia" w:ascii="CESI仿宋-GB2312" w:hAnsi="CESI仿宋-GB2312" w:eastAsia="CESI仿宋-GB2312" w:cs="CESI仿宋-GB2312"/>
          <w:b w:val="0"/>
          <w:bCs w:val="0"/>
          <w:sz w:val="32"/>
          <w:szCs w:val="32"/>
          <w:lang w:val="en-US" w:eastAsia="zh-CN"/>
        </w:rPr>
        <w:t>210</w:t>
      </w:r>
      <w:r>
        <w:rPr>
          <w:rFonts w:hint="eastAsia" w:ascii="CESI仿宋-GB2312" w:hAnsi="CESI仿宋-GB2312" w:eastAsia="CESI仿宋-GB2312" w:cs="CESI仿宋-GB2312"/>
          <w:b w:val="0"/>
          <w:bCs w:val="0"/>
          <w:sz w:val="32"/>
          <w:szCs w:val="32"/>
          <w:lang w:val="zh-CN"/>
        </w:rPr>
        <w:t>类）公共卫生（</w:t>
      </w:r>
      <w:r>
        <w:rPr>
          <w:rFonts w:hint="eastAsia" w:ascii="CESI仿宋-GB2312" w:hAnsi="CESI仿宋-GB2312" w:eastAsia="CESI仿宋-GB2312" w:cs="CESI仿宋-GB2312"/>
          <w:b w:val="0"/>
          <w:bCs w:val="0"/>
          <w:sz w:val="32"/>
          <w:szCs w:val="32"/>
          <w:lang w:val="en-US" w:eastAsia="zh-CN"/>
        </w:rPr>
        <w:t>04</w:t>
      </w:r>
      <w:r>
        <w:rPr>
          <w:rFonts w:hint="eastAsia" w:ascii="CESI仿宋-GB2312" w:hAnsi="CESI仿宋-GB2312" w:eastAsia="CESI仿宋-GB2312" w:cs="CESI仿宋-GB2312"/>
          <w:b w:val="0"/>
          <w:bCs w:val="0"/>
          <w:sz w:val="32"/>
          <w:szCs w:val="32"/>
          <w:lang w:val="zh-CN"/>
        </w:rPr>
        <w:t>款）</w:t>
      </w:r>
      <w:r>
        <w:rPr>
          <w:rFonts w:hint="eastAsia" w:ascii="CESI仿宋-GB2312" w:hAnsi="CESI仿宋-GB2312" w:eastAsia="CESI仿宋-GB2312" w:cs="CESI仿宋-GB2312"/>
          <w:b w:val="0"/>
          <w:bCs w:val="0"/>
          <w:sz w:val="32"/>
          <w:szCs w:val="32"/>
          <w:lang w:val="zh-CN" w:eastAsia="zh-CN"/>
        </w:rPr>
        <w:t>：</w:t>
      </w:r>
      <w:r>
        <w:rPr>
          <w:rFonts w:hint="eastAsia" w:ascii="CESI仿宋-GB2312" w:hAnsi="CESI仿宋-GB2312" w:eastAsia="CESI仿宋-GB2312" w:cs="CESI仿宋-GB2312"/>
          <w:b w:val="0"/>
          <w:bCs w:val="0"/>
          <w:sz w:val="32"/>
          <w:szCs w:val="32"/>
          <w:lang w:val="zh-CN"/>
        </w:rPr>
        <w:t>支出决算为</w:t>
      </w:r>
      <w:r>
        <w:rPr>
          <w:rFonts w:hint="eastAsia" w:ascii="CESI仿宋-GB2312" w:hAnsi="CESI仿宋-GB2312" w:eastAsia="CESI仿宋-GB2312" w:cs="CESI仿宋-GB2312"/>
          <w:b w:val="0"/>
          <w:bCs w:val="0"/>
          <w:sz w:val="32"/>
          <w:szCs w:val="32"/>
          <w:lang w:val="en-US" w:eastAsia="zh-CN"/>
        </w:rPr>
        <w:t>2295.11</w:t>
      </w:r>
      <w:r>
        <w:rPr>
          <w:rFonts w:hint="eastAsia" w:ascii="CESI仿宋-GB2312" w:hAnsi="CESI仿宋-GB2312" w:eastAsia="CESI仿宋-GB2312" w:cs="CESI仿宋-GB2312"/>
          <w:b w:val="0"/>
          <w:bCs w:val="0"/>
          <w:sz w:val="32"/>
          <w:szCs w:val="32"/>
          <w:lang w:val="zh-CN"/>
        </w:rPr>
        <w:t>万元，完成预算100%。决算数等于预算数。</w:t>
      </w:r>
    </w:p>
    <w:p>
      <w:pPr>
        <w:spacing w:line="600" w:lineRule="exact"/>
        <w:ind w:firstLine="640"/>
        <w:rPr>
          <w:rFonts w:hint="eastAsia" w:ascii="CESI仿宋-GB2312" w:hAnsi="CESI仿宋-GB2312" w:eastAsia="CESI仿宋-GB2312" w:cs="CESI仿宋-GB2312"/>
          <w:b w:val="0"/>
          <w:bCs w:val="0"/>
          <w:sz w:val="32"/>
          <w:szCs w:val="32"/>
          <w:lang w:val="zh-CN"/>
        </w:rPr>
      </w:pPr>
      <w:r>
        <w:rPr>
          <w:rFonts w:hint="eastAsia" w:ascii="CESI仿宋-GB2312" w:hAnsi="CESI仿宋-GB2312" w:eastAsia="CESI仿宋-GB2312" w:cs="CESI仿宋-GB2312"/>
          <w:b w:val="0"/>
          <w:bCs w:val="0"/>
          <w:sz w:val="32"/>
          <w:szCs w:val="32"/>
          <w:lang w:val="zh-CN"/>
        </w:rPr>
        <w:t>（</w:t>
      </w:r>
      <w:r>
        <w:rPr>
          <w:rFonts w:hint="eastAsia" w:ascii="CESI仿宋-GB2312" w:hAnsi="CESI仿宋-GB2312" w:eastAsia="CESI仿宋-GB2312" w:cs="CESI仿宋-GB2312"/>
          <w:b w:val="0"/>
          <w:bCs w:val="0"/>
          <w:sz w:val="32"/>
          <w:szCs w:val="32"/>
          <w:lang w:val="en-US" w:eastAsia="zh-CN"/>
        </w:rPr>
        <w:t>1</w:t>
      </w:r>
      <w:r>
        <w:rPr>
          <w:rFonts w:hint="eastAsia" w:ascii="CESI仿宋-GB2312" w:hAnsi="CESI仿宋-GB2312" w:eastAsia="CESI仿宋-GB2312" w:cs="CESI仿宋-GB2312"/>
          <w:b w:val="0"/>
          <w:bCs w:val="0"/>
          <w:sz w:val="32"/>
          <w:szCs w:val="32"/>
          <w:lang w:val="zh-CN"/>
        </w:rPr>
        <w:t>）</w:t>
      </w:r>
      <w:r>
        <w:rPr>
          <w:rFonts w:hint="eastAsia" w:ascii="CESI仿宋-GB2312" w:hAnsi="CESI仿宋-GB2312" w:eastAsia="CESI仿宋-GB2312" w:cs="CESI仿宋-GB2312"/>
          <w:b w:val="0"/>
          <w:bCs w:val="0"/>
          <w:sz w:val="32"/>
          <w:szCs w:val="32"/>
          <w:lang w:val="en-US" w:eastAsia="zh-CN"/>
        </w:rPr>
        <w:t>基本公共卫生服务（08项）:</w:t>
      </w:r>
      <w:r>
        <w:rPr>
          <w:rFonts w:hint="eastAsia" w:ascii="CESI仿宋-GB2312" w:hAnsi="CESI仿宋-GB2312" w:eastAsia="CESI仿宋-GB2312" w:cs="CESI仿宋-GB2312"/>
          <w:b w:val="0"/>
          <w:bCs w:val="0"/>
          <w:sz w:val="32"/>
          <w:szCs w:val="32"/>
          <w:lang w:val="zh-CN"/>
        </w:rPr>
        <w:t>支出决算为</w:t>
      </w:r>
      <w:r>
        <w:rPr>
          <w:rFonts w:hint="eastAsia" w:ascii="CESI仿宋-GB2312" w:hAnsi="CESI仿宋-GB2312" w:eastAsia="CESI仿宋-GB2312" w:cs="CESI仿宋-GB2312"/>
          <w:b w:val="0"/>
          <w:bCs w:val="0"/>
          <w:sz w:val="32"/>
          <w:szCs w:val="32"/>
          <w:lang w:val="en-US" w:eastAsia="zh-CN"/>
        </w:rPr>
        <w:t>1,485.95</w:t>
      </w:r>
      <w:r>
        <w:rPr>
          <w:rFonts w:hint="eastAsia" w:ascii="CESI仿宋-GB2312" w:hAnsi="CESI仿宋-GB2312" w:eastAsia="CESI仿宋-GB2312" w:cs="CESI仿宋-GB2312"/>
          <w:b w:val="0"/>
          <w:bCs w:val="0"/>
          <w:sz w:val="32"/>
          <w:szCs w:val="32"/>
          <w:lang w:val="zh-CN"/>
        </w:rPr>
        <w:t>万元，完成预算100%.决算数等于预算数。</w:t>
      </w:r>
    </w:p>
    <w:p>
      <w:pPr>
        <w:spacing w:line="600" w:lineRule="exact"/>
        <w:ind w:firstLine="640"/>
        <w:rPr>
          <w:rFonts w:hint="eastAsia" w:ascii="CESI仿宋-GB2312" w:hAnsi="CESI仿宋-GB2312" w:eastAsia="CESI仿宋-GB2312" w:cs="CESI仿宋-GB2312"/>
          <w:b w:val="0"/>
          <w:bCs w:val="0"/>
          <w:sz w:val="32"/>
          <w:szCs w:val="32"/>
          <w:lang w:val="zh-CN"/>
        </w:rPr>
      </w:pPr>
      <w:r>
        <w:rPr>
          <w:rFonts w:hint="eastAsia" w:ascii="CESI仿宋-GB2312" w:hAnsi="CESI仿宋-GB2312" w:eastAsia="CESI仿宋-GB2312" w:cs="CESI仿宋-GB2312"/>
          <w:b w:val="0"/>
          <w:bCs w:val="0"/>
          <w:sz w:val="32"/>
          <w:szCs w:val="32"/>
          <w:lang w:val="en-US" w:eastAsia="zh-CN"/>
        </w:rPr>
        <w:t>（2）重大公共卫生服务（09项）:</w:t>
      </w:r>
      <w:r>
        <w:rPr>
          <w:rFonts w:hint="eastAsia" w:ascii="CESI仿宋-GB2312" w:hAnsi="CESI仿宋-GB2312" w:eastAsia="CESI仿宋-GB2312" w:cs="CESI仿宋-GB2312"/>
          <w:b w:val="0"/>
          <w:bCs w:val="0"/>
          <w:sz w:val="32"/>
          <w:szCs w:val="32"/>
          <w:lang w:val="zh-CN"/>
        </w:rPr>
        <w:t>支出决算为</w:t>
      </w:r>
      <w:r>
        <w:rPr>
          <w:rFonts w:hint="eastAsia" w:ascii="CESI仿宋-GB2312" w:hAnsi="CESI仿宋-GB2312" w:eastAsia="CESI仿宋-GB2312" w:cs="CESI仿宋-GB2312"/>
          <w:b w:val="0"/>
          <w:bCs w:val="0"/>
          <w:sz w:val="32"/>
          <w:szCs w:val="32"/>
          <w:lang w:val="en-US" w:eastAsia="zh-CN"/>
        </w:rPr>
        <w:t>783.6</w:t>
      </w:r>
      <w:r>
        <w:rPr>
          <w:rFonts w:hint="eastAsia" w:ascii="CESI仿宋-GB2312" w:hAnsi="CESI仿宋-GB2312" w:eastAsia="CESI仿宋-GB2312" w:cs="CESI仿宋-GB2312"/>
          <w:b w:val="0"/>
          <w:bCs w:val="0"/>
          <w:sz w:val="32"/>
          <w:szCs w:val="32"/>
          <w:lang w:val="zh-CN"/>
        </w:rPr>
        <w:t>万元，完成预算100%，决算数等于预算数。</w:t>
      </w:r>
    </w:p>
    <w:p>
      <w:pPr>
        <w:spacing w:line="600" w:lineRule="exact"/>
        <w:ind w:firstLine="640"/>
        <w:rPr>
          <w:rFonts w:hint="eastAsia" w:ascii="CESI仿宋-GB2312" w:hAnsi="CESI仿宋-GB2312" w:eastAsia="CESI仿宋-GB2312" w:cs="CESI仿宋-GB2312"/>
          <w:b w:val="0"/>
          <w:bCs w:val="0"/>
          <w:sz w:val="32"/>
          <w:szCs w:val="32"/>
          <w:lang w:val="zh-CN"/>
        </w:rPr>
      </w:pPr>
      <w:r>
        <w:rPr>
          <w:rFonts w:hint="eastAsia" w:ascii="CESI仿宋-GB2312" w:hAnsi="CESI仿宋-GB2312" w:eastAsia="CESI仿宋-GB2312" w:cs="CESI仿宋-GB2312"/>
          <w:b w:val="0"/>
          <w:bCs w:val="0"/>
          <w:sz w:val="32"/>
          <w:szCs w:val="32"/>
          <w:lang w:val="en-US" w:eastAsia="zh-CN"/>
        </w:rPr>
        <w:t>（3）其他公共卫生支出（99项）:</w:t>
      </w:r>
      <w:r>
        <w:rPr>
          <w:rFonts w:hint="eastAsia" w:ascii="CESI仿宋-GB2312" w:hAnsi="CESI仿宋-GB2312" w:eastAsia="CESI仿宋-GB2312" w:cs="CESI仿宋-GB2312"/>
          <w:b w:val="0"/>
          <w:bCs w:val="0"/>
          <w:sz w:val="32"/>
          <w:szCs w:val="32"/>
          <w:lang w:val="zh-CN"/>
        </w:rPr>
        <w:t>支出决算为</w:t>
      </w:r>
      <w:r>
        <w:rPr>
          <w:rFonts w:hint="eastAsia" w:ascii="CESI仿宋-GB2312" w:hAnsi="CESI仿宋-GB2312" w:eastAsia="CESI仿宋-GB2312" w:cs="CESI仿宋-GB2312"/>
          <w:b w:val="0"/>
          <w:bCs w:val="0"/>
          <w:sz w:val="32"/>
          <w:szCs w:val="32"/>
          <w:lang w:val="en-US" w:eastAsia="zh-CN"/>
        </w:rPr>
        <w:t>25.56</w:t>
      </w:r>
      <w:r>
        <w:rPr>
          <w:rFonts w:hint="eastAsia" w:ascii="CESI仿宋-GB2312" w:hAnsi="CESI仿宋-GB2312" w:eastAsia="CESI仿宋-GB2312" w:cs="CESI仿宋-GB2312"/>
          <w:b w:val="0"/>
          <w:bCs w:val="0"/>
          <w:sz w:val="32"/>
          <w:szCs w:val="32"/>
          <w:lang w:val="zh-CN"/>
        </w:rPr>
        <w:t>万元，完成预算100%，决算数等于预算数。</w:t>
      </w:r>
    </w:p>
    <w:p>
      <w:pPr>
        <w:spacing w:line="600" w:lineRule="exact"/>
        <w:ind w:firstLine="640"/>
        <w:rPr>
          <w:rFonts w:hint="eastAsia" w:ascii="CESI仿宋-GB2312" w:hAnsi="CESI仿宋-GB2312" w:eastAsia="CESI仿宋-GB2312" w:cs="CESI仿宋-GB2312"/>
          <w:b w:val="0"/>
          <w:bCs w:val="0"/>
          <w:sz w:val="32"/>
          <w:szCs w:val="32"/>
          <w:lang w:val="zh-CN"/>
        </w:rPr>
      </w:pPr>
      <w:r>
        <w:rPr>
          <w:rFonts w:hint="eastAsia" w:ascii="CESI仿宋-GB2312" w:hAnsi="CESI仿宋-GB2312" w:eastAsia="CESI仿宋-GB2312" w:cs="CESI仿宋-GB2312"/>
          <w:b w:val="0"/>
          <w:bCs w:val="0"/>
          <w:sz w:val="32"/>
          <w:szCs w:val="32"/>
          <w:lang w:val="en-US" w:eastAsia="zh-CN"/>
        </w:rPr>
        <w:t>8</w:t>
      </w:r>
      <w:r>
        <w:rPr>
          <w:rFonts w:hint="eastAsia" w:ascii="CESI仿宋-GB2312" w:hAnsi="CESI仿宋-GB2312" w:eastAsia="CESI仿宋-GB2312" w:cs="CESI仿宋-GB2312"/>
          <w:b w:val="0"/>
          <w:bCs w:val="0"/>
          <w:sz w:val="32"/>
          <w:szCs w:val="32"/>
          <w:lang w:val="zh-CN"/>
        </w:rPr>
        <w:t>.卫生健康支出（</w:t>
      </w:r>
      <w:r>
        <w:rPr>
          <w:rFonts w:hint="eastAsia" w:ascii="CESI仿宋-GB2312" w:hAnsi="CESI仿宋-GB2312" w:eastAsia="CESI仿宋-GB2312" w:cs="CESI仿宋-GB2312"/>
          <w:b w:val="0"/>
          <w:bCs w:val="0"/>
          <w:sz w:val="32"/>
          <w:szCs w:val="32"/>
          <w:lang w:val="en-US" w:eastAsia="zh-CN"/>
        </w:rPr>
        <w:t>210</w:t>
      </w:r>
      <w:r>
        <w:rPr>
          <w:rFonts w:hint="eastAsia" w:ascii="CESI仿宋-GB2312" w:hAnsi="CESI仿宋-GB2312" w:eastAsia="CESI仿宋-GB2312" w:cs="CESI仿宋-GB2312"/>
          <w:b w:val="0"/>
          <w:bCs w:val="0"/>
          <w:sz w:val="32"/>
          <w:szCs w:val="32"/>
          <w:lang w:val="zh-CN"/>
        </w:rPr>
        <w:t>类）中医药（</w:t>
      </w:r>
      <w:r>
        <w:rPr>
          <w:rFonts w:hint="eastAsia" w:ascii="CESI仿宋-GB2312" w:hAnsi="CESI仿宋-GB2312" w:eastAsia="CESI仿宋-GB2312" w:cs="CESI仿宋-GB2312"/>
          <w:b w:val="0"/>
          <w:bCs w:val="0"/>
          <w:sz w:val="32"/>
          <w:szCs w:val="32"/>
          <w:lang w:val="en-US" w:eastAsia="zh-CN"/>
        </w:rPr>
        <w:t>06</w:t>
      </w:r>
      <w:r>
        <w:rPr>
          <w:rFonts w:hint="eastAsia" w:ascii="CESI仿宋-GB2312" w:hAnsi="CESI仿宋-GB2312" w:eastAsia="CESI仿宋-GB2312" w:cs="CESI仿宋-GB2312"/>
          <w:b w:val="0"/>
          <w:bCs w:val="0"/>
          <w:sz w:val="32"/>
          <w:szCs w:val="32"/>
          <w:lang w:val="zh-CN"/>
        </w:rPr>
        <w:t>款）中医（民族医）药专项（</w:t>
      </w:r>
      <w:r>
        <w:rPr>
          <w:rFonts w:hint="eastAsia" w:ascii="CESI仿宋-GB2312" w:hAnsi="CESI仿宋-GB2312" w:eastAsia="CESI仿宋-GB2312" w:cs="CESI仿宋-GB2312"/>
          <w:b w:val="0"/>
          <w:bCs w:val="0"/>
          <w:sz w:val="32"/>
          <w:szCs w:val="32"/>
          <w:lang w:val="en-US" w:eastAsia="zh-CN"/>
        </w:rPr>
        <w:t>01</w:t>
      </w:r>
      <w:r>
        <w:rPr>
          <w:rFonts w:hint="eastAsia" w:ascii="CESI仿宋-GB2312" w:hAnsi="CESI仿宋-GB2312" w:eastAsia="CESI仿宋-GB2312" w:cs="CESI仿宋-GB2312"/>
          <w:b w:val="0"/>
          <w:bCs w:val="0"/>
          <w:sz w:val="32"/>
          <w:szCs w:val="32"/>
          <w:lang w:val="zh-CN"/>
        </w:rPr>
        <w:t>项）:支出决算为</w:t>
      </w:r>
      <w:r>
        <w:rPr>
          <w:rFonts w:hint="eastAsia" w:ascii="CESI仿宋-GB2312" w:hAnsi="CESI仿宋-GB2312" w:eastAsia="CESI仿宋-GB2312" w:cs="CESI仿宋-GB2312"/>
          <w:b w:val="0"/>
          <w:bCs w:val="0"/>
          <w:sz w:val="32"/>
          <w:szCs w:val="32"/>
          <w:lang w:val="en-US" w:eastAsia="zh-CN"/>
        </w:rPr>
        <w:t>209.76</w:t>
      </w:r>
      <w:r>
        <w:rPr>
          <w:rFonts w:hint="eastAsia" w:ascii="CESI仿宋-GB2312" w:hAnsi="CESI仿宋-GB2312" w:eastAsia="CESI仿宋-GB2312" w:cs="CESI仿宋-GB2312"/>
          <w:b w:val="0"/>
          <w:bCs w:val="0"/>
          <w:sz w:val="32"/>
          <w:szCs w:val="32"/>
          <w:lang w:val="zh-CN"/>
        </w:rPr>
        <w:t>万元，完成预算100%，决算数等于预算数。</w:t>
      </w:r>
    </w:p>
    <w:p>
      <w:pPr>
        <w:spacing w:line="600" w:lineRule="exact"/>
        <w:ind w:firstLine="640"/>
        <w:rPr>
          <w:rFonts w:hint="eastAsia" w:ascii="CESI仿宋-GB2312" w:hAnsi="CESI仿宋-GB2312" w:eastAsia="CESI仿宋-GB2312" w:cs="CESI仿宋-GB2312"/>
          <w:b w:val="0"/>
          <w:bCs w:val="0"/>
          <w:sz w:val="32"/>
          <w:szCs w:val="32"/>
          <w:lang w:val="zh-CN"/>
        </w:rPr>
      </w:pPr>
      <w:r>
        <w:rPr>
          <w:rFonts w:hint="eastAsia" w:ascii="CESI仿宋-GB2312" w:hAnsi="CESI仿宋-GB2312" w:eastAsia="CESI仿宋-GB2312" w:cs="CESI仿宋-GB2312"/>
          <w:b w:val="0"/>
          <w:bCs w:val="0"/>
          <w:sz w:val="32"/>
          <w:szCs w:val="32"/>
          <w:lang w:val="en-US" w:eastAsia="zh-CN"/>
        </w:rPr>
        <w:t>9</w:t>
      </w:r>
      <w:r>
        <w:rPr>
          <w:rFonts w:hint="eastAsia" w:ascii="CESI仿宋-GB2312" w:hAnsi="CESI仿宋-GB2312" w:eastAsia="CESI仿宋-GB2312" w:cs="CESI仿宋-GB2312"/>
          <w:b w:val="0"/>
          <w:bCs w:val="0"/>
          <w:sz w:val="32"/>
          <w:szCs w:val="32"/>
          <w:lang w:val="zh-CN"/>
        </w:rPr>
        <w:t>.卫生健康支出（</w:t>
      </w:r>
      <w:r>
        <w:rPr>
          <w:rFonts w:hint="eastAsia" w:ascii="CESI仿宋-GB2312" w:hAnsi="CESI仿宋-GB2312" w:eastAsia="CESI仿宋-GB2312" w:cs="CESI仿宋-GB2312"/>
          <w:b w:val="0"/>
          <w:bCs w:val="0"/>
          <w:sz w:val="32"/>
          <w:szCs w:val="32"/>
          <w:lang w:val="en-US" w:eastAsia="zh-CN"/>
        </w:rPr>
        <w:t>210</w:t>
      </w:r>
      <w:r>
        <w:rPr>
          <w:rFonts w:hint="eastAsia" w:ascii="CESI仿宋-GB2312" w:hAnsi="CESI仿宋-GB2312" w:eastAsia="CESI仿宋-GB2312" w:cs="CESI仿宋-GB2312"/>
          <w:b w:val="0"/>
          <w:bCs w:val="0"/>
          <w:sz w:val="32"/>
          <w:szCs w:val="32"/>
          <w:lang w:val="zh-CN"/>
        </w:rPr>
        <w:t>类）计划生育事务（</w:t>
      </w:r>
      <w:r>
        <w:rPr>
          <w:rFonts w:hint="eastAsia" w:ascii="CESI仿宋-GB2312" w:hAnsi="CESI仿宋-GB2312" w:eastAsia="CESI仿宋-GB2312" w:cs="CESI仿宋-GB2312"/>
          <w:b w:val="0"/>
          <w:bCs w:val="0"/>
          <w:sz w:val="32"/>
          <w:szCs w:val="32"/>
          <w:lang w:val="en-US" w:eastAsia="zh-CN"/>
        </w:rPr>
        <w:t>07</w:t>
      </w:r>
      <w:r>
        <w:rPr>
          <w:rFonts w:hint="eastAsia" w:ascii="CESI仿宋-GB2312" w:hAnsi="CESI仿宋-GB2312" w:eastAsia="CESI仿宋-GB2312" w:cs="CESI仿宋-GB2312"/>
          <w:b w:val="0"/>
          <w:bCs w:val="0"/>
          <w:sz w:val="32"/>
          <w:szCs w:val="32"/>
          <w:lang w:val="zh-CN"/>
        </w:rPr>
        <w:t>款）:支出决算为</w:t>
      </w:r>
      <w:r>
        <w:rPr>
          <w:rFonts w:hint="eastAsia" w:ascii="CESI仿宋-GB2312" w:hAnsi="CESI仿宋-GB2312" w:eastAsia="CESI仿宋-GB2312" w:cs="CESI仿宋-GB2312"/>
          <w:b w:val="0"/>
          <w:bCs w:val="0"/>
          <w:sz w:val="32"/>
          <w:szCs w:val="32"/>
          <w:lang w:val="en-US" w:eastAsia="zh-CN"/>
        </w:rPr>
        <w:t>1146.63</w:t>
      </w:r>
      <w:r>
        <w:rPr>
          <w:rFonts w:hint="eastAsia" w:ascii="CESI仿宋-GB2312" w:hAnsi="CESI仿宋-GB2312" w:eastAsia="CESI仿宋-GB2312" w:cs="CESI仿宋-GB2312"/>
          <w:b w:val="0"/>
          <w:bCs w:val="0"/>
          <w:sz w:val="32"/>
          <w:szCs w:val="32"/>
          <w:lang w:val="zh-CN"/>
        </w:rPr>
        <w:t>万元，完成预算100%，决算数等于预算数。</w:t>
      </w:r>
    </w:p>
    <w:p>
      <w:pPr>
        <w:spacing w:line="600" w:lineRule="exact"/>
        <w:ind w:firstLine="640"/>
        <w:rPr>
          <w:rFonts w:hint="eastAsia" w:ascii="CESI仿宋-GB2312" w:hAnsi="CESI仿宋-GB2312" w:eastAsia="CESI仿宋-GB2312" w:cs="CESI仿宋-GB2312"/>
          <w:b w:val="0"/>
          <w:bCs w:val="0"/>
          <w:sz w:val="32"/>
          <w:szCs w:val="32"/>
          <w:lang w:val="zh-CN"/>
        </w:rPr>
      </w:pPr>
      <w:r>
        <w:rPr>
          <w:rFonts w:hint="eastAsia" w:ascii="CESI仿宋-GB2312" w:hAnsi="CESI仿宋-GB2312" w:eastAsia="CESI仿宋-GB2312" w:cs="CESI仿宋-GB2312"/>
          <w:b w:val="0"/>
          <w:bCs w:val="0"/>
          <w:sz w:val="32"/>
          <w:szCs w:val="32"/>
          <w:lang w:val="zh-CN"/>
        </w:rPr>
        <w:t>（</w:t>
      </w:r>
      <w:r>
        <w:rPr>
          <w:rFonts w:hint="eastAsia" w:ascii="CESI仿宋-GB2312" w:hAnsi="CESI仿宋-GB2312" w:eastAsia="CESI仿宋-GB2312" w:cs="CESI仿宋-GB2312"/>
          <w:b w:val="0"/>
          <w:bCs w:val="0"/>
          <w:sz w:val="32"/>
          <w:szCs w:val="32"/>
          <w:lang w:val="en-US" w:eastAsia="zh-CN"/>
        </w:rPr>
        <w:t>1</w:t>
      </w:r>
      <w:r>
        <w:rPr>
          <w:rFonts w:hint="eastAsia" w:ascii="CESI仿宋-GB2312" w:hAnsi="CESI仿宋-GB2312" w:eastAsia="CESI仿宋-GB2312" w:cs="CESI仿宋-GB2312"/>
          <w:b w:val="0"/>
          <w:bCs w:val="0"/>
          <w:sz w:val="32"/>
          <w:szCs w:val="32"/>
          <w:lang w:val="zh-CN"/>
        </w:rPr>
        <w:t>）</w:t>
      </w:r>
      <w:r>
        <w:rPr>
          <w:rFonts w:hint="eastAsia" w:ascii="CESI仿宋-GB2312" w:hAnsi="CESI仿宋-GB2312" w:eastAsia="CESI仿宋-GB2312" w:cs="CESI仿宋-GB2312"/>
          <w:b w:val="0"/>
          <w:bCs w:val="0"/>
          <w:sz w:val="32"/>
          <w:szCs w:val="32"/>
          <w:lang w:val="en-US" w:eastAsia="zh-CN"/>
        </w:rPr>
        <w:t>计划生育服务（17项）:</w:t>
      </w:r>
      <w:r>
        <w:rPr>
          <w:rFonts w:hint="eastAsia" w:ascii="CESI仿宋-GB2312" w:hAnsi="CESI仿宋-GB2312" w:eastAsia="CESI仿宋-GB2312" w:cs="CESI仿宋-GB2312"/>
          <w:b w:val="0"/>
          <w:bCs w:val="0"/>
          <w:sz w:val="32"/>
          <w:szCs w:val="32"/>
          <w:lang w:val="zh-CN"/>
        </w:rPr>
        <w:t>支出决算为</w:t>
      </w:r>
      <w:r>
        <w:rPr>
          <w:rFonts w:hint="eastAsia" w:ascii="CESI仿宋-GB2312" w:hAnsi="CESI仿宋-GB2312" w:eastAsia="CESI仿宋-GB2312" w:cs="CESI仿宋-GB2312"/>
          <w:b w:val="0"/>
          <w:bCs w:val="0"/>
          <w:sz w:val="32"/>
          <w:szCs w:val="32"/>
          <w:lang w:val="en-US" w:eastAsia="zh-CN"/>
        </w:rPr>
        <w:t>53.91</w:t>
      </w:r>
      <w:r>
        <w:rPr>
          <w:rFonts w:hint="eastAsia" w:ascii="CESI仿宋-GB2312" w:hAnsi="CESI仿宋-GB2312" w:eastAsia="CESI仿宋-GB2312" w:cs="CESI仿宋-GB2312"/>
          <w:b w:val="0"/>
          <w:bCs w:val="0"/>
          <w:sz w:val="32"/>
          <w:szCs w:val="32"/>
          <w:lang w:val="zh-CN"/>
        </w:rPr>
        <w:t>万元，完成预算100%，决算数等于预算数。</w:t>
      </w:r>
    </w:p>
    <w:p>
      <w:pPr>
        <w:spacing w:line="600" w:lineRule="exact"/>
        <w:ind w:firstLine="640"/>
        <w:rPr>
          <w:rFonts w:hint="eastAsia" w:ascii="CESI仿宋-GB2312" w:hAnsi="CESI仿宋-GB2312" w:eastAsia="CESI仿宋-GB2312" w:cs="CESI仿宋-GB2312"/>
          <w:b w:val="0"/>
          <w:bCs w:val="0"/>
          <w:sz w:val="32"/>
          <w:szCs w:val="32"/>
          <w:lang w:val="zh-CN"/>
        </w:rPr>
      </w:pPr>
      <w:r>
        <w:rPr>
          <w:rFonts w:hint="eastAsia" w:ascii="CESI仿宋-GB2312" w:hAnsi="CESI仿宋-GB2312" w:eastAsia="CESI仿宋-GB2312" w:cs="CESI仿宋-GB2312"/>
          <w:b w:val="0"/>
          <w:bCs w:val="0"/>
          <w:sz w:val="32"/>
          <w:szCs w:val="32"/>
          <w:lang w:val="zh-CN"/>
        </w:rPr>
        <w:t>（</w:t>
      </w:r>
      <w:r>
        <w:rPr>
          <w:rFonts w:hint="eastAsia" w:ascii="CESI仿宋-GB2312" w:hAnsi="CESI仿宋-GB2312" w:eastAsia="CESI仿宋-GB2312" w:cs="CESI仿宋-GB2312"/>
          <w:b w:val="0"/>
          <w:bCs w:val="0"/>
          <w:sz w:val="32"/>
          <w:szCs w:val="32"/>
          <w:lang w:val="en-US" w:eastAsia="zh-CN"/>
        </w:rPr>
        <w:t>2</w:t>
      </w:r>
      <w:r>
        <w:rPr>
          <w:rFonts w:hint="eastAsia" w:ascii="CESI仿宋-GB2312" w:hAnsi="CESI仿宋-GB2312" w:eastAsia="CESI仿宋-GB2312" w:cs="CESI仿宋-GB2312"/>
          <w:b w:val="0"/>
          <w:bCs w:val="0"/>
          <w:sz w:val="32"/>
          <w:szCs w:val="32"/>
          <w:lang w:val="zh-CN"/>
        </w:rPr>
        <w:t>）</w:t>
      </w:r>
      <w:r>
        <w:rPr>
          <w:rFonts w:hint="eastAsia" w:ascii="CESI仿宋-GB2312" w:hAnsi="CESI仿宋-GB2312" w:eastAsia="CESI仿宋-GB2312" w:cs="CESI仿宋-GB2312"/>
          <w:b w:val="0"/>
          <w:bCs w:val="0"/>
          <w:sz w:val="32"/>
          <w:szCs w:val="32"/>
          <w:lang w:val="en-US" w:eastAsia="zh-CN"/>
        </w:rPr>
        <w:t>其他计划生育事务支出（99项）:</w:t>
      </w:r>
      <w:r>
        <w:rPr>
          <w:rFonts w:hint="eastAsia" w:ascii="CESI仿宋-GB2312" w:hAnsi="CESI仿宋-GB2312" w:eastAsia="CESI仿宋-GB2312" w:cs="CESI仿宋-GB2312"/>
          <w:b w:val="0"/>
          <w:bCs w:val="0"/>
          <w:sz w:val="32"/>
          <w:szCs w:val="32"/>
          <w:lang w:val="zh-CN"/>
        </w:rPr>
        <w:t>支出决算为</w:t>
      </w:r>
      <w:r>
        <w:rPr>
          <w:rFonts w:hint="eastAsia" w:ascii="CESI仿宋-GB2312" w:hAnsi="CESI仿宋-GB2312" w:eastAsia="CESI仿宋-GB2312" w:cs="CESI仿宋-GB2312"/>
          <w:b w:val="0"/>
          <w:bCs w:val="0"/>
          <w:sz w:val="32"/>
          <w:szCs w:val="32"/>
          <w:lang w:val="en-US" w:eastAsia="zh-CN"/>
        </w:rPr>
        <w:t>1092.72</w:t>
      </w:r>
      <w:r>
        <w:rPr>
          <w:rFonts w:hint="eastAsia" w:ascii="CESI仿宋-GB2312" w:hAnsi="CESI仿宋-GB2312" w:eastAsia="CESI仿宋-GB2312" w:cs="CESI仿宋-GB2312"/>
          <w:b w:val="0"/>
          <w:bCs w:val="0"/>
          <w:sz w:val="32"/>
          <w:szCs w:val="32"/>
          <w:lang w:val="zh-CN"/>
        </w:rPr>
        <w:t>万元，完成预算100%，决算数等于预算数。</w:t>
      </w:r>
    </w:p>
    <w:p>
      <w:pPr>
        <w:spacing w:line="600" w:lineRule="exact"/>
        <w:ind w:firstLine="640"/>
        <w:rPr>
          <w:rFonts w:hint="eastAsia" w:ascii="CESI仿宋-GB2312" w:hAnsi="CESI仿宋-GB2312" w:eastAsia="CESI仿宋-GB2312" w:cs="CESI仿宋-GB2312"/>
          <w:b w:val="0"/>
          <w:bCs w:val="0"/>
          <w:sz w:val="32"/>
          <w:szCs w:val="32"/>
          <w:lang w:val="zh-CN"/>
        </w:rPr>
      </w:pPr>
      <w:r>
        <w:rPr>
          <w:rFonts w:hint="eastAsia" w:ascii="CESI仿宋-GB2312" w:hAnsi="CESI仿宋-GB2312" w:eastAsia="CESI仿宋-GB2312" w:cs="CESI仿宋-GB2312"/>
          <w:b w:val="0"/>
          <w:bCs w:val="0"/>
          <w:sz w:val="32"/>
          <w:szCs w:val="32"/>
          <w:highlight w:val="none"/>
          <w:lang w:val="en-US" w:eastAsia="zh-CN"/>
        </w:rPr>
        <w:t>10.</w:t>
      </w:r>
      <w:r>
        <w:rPr>
          <w:rFonts w:hint="eastAsia" w:ascii="CESI仿宋-GB2312" w:hAnsi="CESI仿宋-GB2312" w:eastAsia="CESI仿宋-GB2312" w:cs="CESI仿宋-GB2312"/>
          <w:b w:val="0"/>
          <w:bCs w:val="0"/>
          <w:sz w:val="32"/>
          <w:szCs w:val="32"/>
          <w:highlight w:val="none"/>
          <w:lang w:val="zh-CN"/>
        </w:rPr>
        <w:t>卫生健康支出（</w:t>
      </w:r>
      <w:r>
        <w:rPr>
          <w:rFonts w:hint="eastAsia" w:ascii="CESI仿宋-GB2312" w:hAnsi="CESI仿宋-GB2312" w:eastAsia="CESI仿宋-GB2312" w:cs="CESI仿宋-GB2312"/>
          <w:b w:val="0"/>
          <w:bCs w:val="0"/>
          <w:sz w:val="32"/>
          <w:szCs w:val="32"/>
          <w:highlight w:val="none"/>
          <w:lang w:val="en-US" w:eastAsia="zh-CN"/>
        </w:rPr>
        <w:t>210</w:t>
      </w:r>
      <w:r>
        <w:rPr>
          <w:rFonts w:hint="eastAsia" w:ascii="CESI仿宋-GB2312" w:hAnsi="CESI仿宋-GB2312" w:eastAsia="CESI仿宋-GB2312" w:cs="CESI仿宋-GB2312"/>
          <w:b w:val="0"/>
          <w:bCs w:val="0"/>
          <w:sz w:val="32"/>
          <w:szCs w:val="32"/>
          <w:highlight w:val="none"/>
          <w:lang w:val="zh-CN"/>
        </w:rPr>
        <w:t>类）行政事业单位医疗（</w:t>
      </w:r>
      <w:r>
        <w:rPr>
          <w:rFonts w:hint="eastAsia" w:ascii="CESI仿宋-GB2312" w:hAnsi="CESI仿宋-GB2312" w:eastAsia="CESI仿宋-GB2312" w:cs="CESI仿宋-GB2312"/>
          <w:b w:val="0"/>
          <w:bCs w:val="0"/>
          <w:sz w:val="32"/>
          <w:szCs w:val="32"/>
          <w:highlight w:val="none"/>
          <w:lang w:val="en-US" w:eastAsia="zh-CN"/>
        </w:rPr>
        <w:t>11</w:t>
      </w:r>
      <w:r>
        <w:rPr>
          <w:rFonts w:hint="eastAsia" w:ascii="CESI仿宋-GB2312" w:hAnsi="CESI仿宋-GB2312" w:eastAsia="CESI仿宋-GB2312" w:cs="CESI仿宋-GB2312"/>
          <w:b w:val="0"/>
          <w:bCs w:val="0"/>
          <w:sz w:val="32"/>
          <w:szCs w:val="32"/>
          <w:highlight w:val="none"/>
          <w:lang w:val="zh-CN"/>
        </w:rPr>
        <w:t>款</w:t>
      </w:r>
      <w:r>
        <w:rPr>
          <w:rFonts w:hint="eastAsia" w:ascii="CESI仿宋-GB2312" w:hAnsi="CESI仿宋-GB2312" w:eastAsia="CESI仿宋-GB2312" w:cs="CESI仿宋-GB2312"/>
          <w:b w:val="0"/>
          <w:bCs w:val="0"/>
          <w:sz w:val="32"/>
          <w:szCs w:val="32"/>
          <w:lang w:val="zh-CN"/>
        </w:rPr>
        <w:t>）:支出决算为</w:t>
      </w:r>
      <w:r>
        <w:rPr>
          <w:rFonts w:hint="eastAsia" w:ascii="CESI仿宋-GB2312" w:hAnsi="CESI仿宋-GB2312" w:eastAsia="CESI仿宋-GB2312" w:cs="CESI仿宋-GB2312"/>
          <w:b w:val="0"/>
          <w:bCs w:val="0"/>
          <w:sz w:val="32"/>
          <w:szCs w:val="32"/>
          <w:lang w:val="en-US" w:eastAsia="zh-CN"/>
        </w:rPr>
        <w:t>647.41</w:t>
      </w:r>
      <w:r>
        <w:rPr>
          <w:rFonts w:hint="eastAsia" w:ascii="CESI仿宋-GB2312" w:hAnsi="CESI仿宋-GB2312" w:eastAsia="CESI仿宋-GB2312" w:cs="CESI仿宋-GB2312"/>
          <w:b w:val="0"/>
          <w:bCs w:val="0"/>
          <w:sz w:val="32"/>
          <w:szCs w:val="32"/>
          <w:lang w:val="zh-CN"/>
        </w:rPr>
        <w:t>万元，完成预算100%，决算数等于预算数。</w:t>
      </w:r>
    </w:p>
    <w:p>
      <w:pPr>
        <w:spacing w:line="600" w:lineRule="exact"/>
        <w:ind w:firstLine="640"/>
        <w:rPr>
          <w:rFonts w:hint="eastAsia" w:ascii="CESI仿宋-GB2312" w:hAnsi="CESI仿宋-GB2312" w:eastAsia="CESI仿宋-GB2312" w:cs="CESI仿宋-GB2312"/>
          <w:b w:val="0"/>
          <w:bCs w:val="0"/>
          <w:sz w:val="32"/>
          <w:szCs w:val="32"/>
          <w:lang w:val="zh-CN"/>
        </w:rPr>
      </w:pPr>
      <w:r>
        <w:rPr>
          <w:rFonts w:hint="eastAsia" w:ascii="CESI仿宋-GB2312" w:hAnsi="CESI仿宋-GB2312" w:eastAsia="CESI仿宋-GB2312" w:cs="CESI仿宋-GB2312"/>
          <w:b w:val="0"/>
          <w:bCs w:val="0"/>
          <w:sz w:val="32"/>
          <w:szCs w:val="32"/>
          <w:lang w:val="zh-CN"/>
        </w:rPr>
        <w:t>（</w:t>
      </w:r>
      <w:r>
        <w:rPr>
          <w:rFonts w:hint="eastAsia" w:ascii="CESI仿宋-GB2312" w:hAnsi="CESI仿宋-GB2312" w:eastAsia="CESI仿宋-GB2312" w:cs="CESI仿宋-GB2312"/>
          <w:b w:val="0"/>
          <w:bCs w:val="0"/>
          <w:sz w:val="32"/>
          <w:szCs w:val="32"/>
          <w:lang w:val="en-US" w:eastAsia="zh-CN"/>
        </w:rPr>
        <w:t>1</w:t>
      </w:r>
      <w:r>
        <w:rPr>
          <w:rFonts w:hint="eastAsia" w:ascii="CESI仿宋-GB2312" w:hAnsi="CESI仿宋-GB2312" w:eastAsia="CESI仿宋-GB2312" w:cs="CESI仿宋-GB2312"/>
          <w:b w:val="0"/>
          <w:bCs w:val="0"/>
          <w:sz w:val="32"/>
          <w:szCs w:val="32"/>
          <w:lang w:val="zh-CN"/>
        </w:rPr>
        <w:t>）</w:t>
      </w:r>
      <w:r>
        <w:rPr>
          <w:rFonts w:hint="eastAsia" w:ascii="CESI仿宋-GB2312" w:hAnsi="CESI仿宋-GB2312" w:eastAsia="CESI仿宋-GB2312" w:cs="CESI仿宋-GB2312"/>
          <w:b w:val="0"/>
          <w:bCs w:val="0"/>
          <w:sz w:val="32"/>
          <w:szCs w:val="32"/>
          <w:lang w:val="en-US" w:eastAsia="zh-CN"/>
        </w:rPr>
        <w:t>行政单位医疗（01项）:支</w:t>
      </w:r>
      <w:r>
        <w:rPr>
          <w:rFonts w:hint="eastAsia" w:ascii="CESI仿宋-GB2312" w:hAnsi="CESI仿宋-GB2312" w:eastAsia="CESI仿宋-GB2312" w:cs="CESI仿宋-GB2312"/>
          <w:b w:val="0"/>
          <w:bCs w:val="0"/>
          <w:sz w:val="32"/>
          <w:szCs w:val="32"/>
          <w:lang w:val="zh-CN"/>
        </w:rPr>
        <w:t>出决算为</w:t>
      </w:r>
      <w:r>
        <w:rPr>
          <w:rFonts w:hint="eastAsia" w:ascii="CESI仿宋-GB2312" w:hAnsi="CESI仿宋-GB2312" w:eastAsia="CESI仿宋-GB2312" w:cs="CESI仿宋-GB2312"/>
          <w:b w:val="0"/>
          <w:bCs w:val="0"/>
          <w:sz w:val="32"/>
          <w:szCs w:val="32"/>
          <w:lang w:val="en-US" w:eastAsia="zh-CN"/>
        </w:rPr>
        <w:t>20.04</w:t>
      </w:r>
      <w:r>
        <w:rPr>
          <w:rFonts w:hint="eastAsia" w:ascii="CESI仿宋-GB2312" w:hAnsi="CESI仿宋-GB2312" w:eastAsia="CESI仿宋-GB2312" w:cs="CESI仿宋-GB2312"/>
          <w:b w:val="0"/>
          <w:bCs w:val="0"/>
          <w:sz w:val="32"/>
          <w:szCs w:val="32"/>
          <w:lang w:val="zh-CN"/>
        </w:rPr>
        <w:t>万元，完成预算100%，决算数等于预算数。</w:t>
      </w:r>
    </w:p>
    <w:p>
      <w:pPr>
        <w:spacing w:line="600" w:lineRule="exact"/>
        <w:ind w:firstLine="640"/>
        <w:rPr>
          <w:rFonts w:hint="eastAsia" w:ascii="CESI仿宋-GB2312" w:hAnsi="CESI仿宋-GB2312" w:eastAsia="CESI仿宋-GB2312" w:cs="CESI仿宋-GB2312"/>
          <w:b w:val="0"/>
          <w:bCs w:val="0"/>
          <w:sz w:val="32"/>
          <w:szCs w:val="32"/>
          <w:lang w:val="zh-CN"/>
        </w:rPr>
      </w:pPr>
      <w:r>
        <w:rPr>
          <w:rFonts w:hint="eastAsia" w:ascii="CESI仿宋-GB2312" w:hAnsi="CESI仿宋-GB2312" w:eastAsia="CESI仿宋-GB2312" w:cs="CESI仿宋-GB2312"/>
          <w:b w:val="0"/>
          <w:bCs w:val="0"/>
          <w:sz w:val="32"/>
          <w:szCs w:val="32"/>
          <w:lang w:val="zh-CN"/>
        </w:rPr>
        <w:t>（</w:t>
      </w:r>
      <w:r>
        <w:rPr>
          <w:rFonts w:hint="eastAsia" w:ascii="CESI仿宋-GB2312" w:hAnsi="CESI仿宋-GB2312" w:eastAsia="CESI仿宋-GB2312" w:cs="CESI仿宋-GB2312"/>
          <w:b w:val="0"/>
          <w:bCs w:val="0"/>
          <w:sz w:val="32"/>
          <w:szCs w:val="32"/>
          <w:lang w:val="en-US" w:eastAsia="zh-CN"/>
        </w:rPr>
        <w:t>2</w:t>
      </w:r>
      <w:r>
        <w:rPr>
          <w:rFonts w:hint="eastAsia" w:ascii="CESI仿宋-GB2312" w:hAnsi="CESI仿宋-GB2312" w:eastAsia="CESI仿宋-GB2312" w:cs="CESI仿宋-GB2312"/>
          <w:b w:val="0"/>
          <w:bCs w:val="0"/>
          <w:sz w:val="32"/>
          <w:szCs w:val="32"/>
          <w:lang w:val="zh-CN"/>
        </w:rPr>
        <w:t>）</w:t>
      </w:r>
      <w:r>
        <w:rPr>
          <w:rFonts w:hint="eastAsia" w:ascii="CESI仿宋-GB2312" w:hAnsi="CESI仿宋-GB2312" w:eastAsia="CESI仿宋-GB2312" w:cs="CESI仿宋-GB2312"/>
          <w:b w:val="0"/>
          <w:bCs w:val="0"/>
          <w:sz w:val="32"/>
          <w:szCs w:val="32"/>
          <w:lang w:val="en-US" w:eastAsia="zh-CN"/>
        </w:rPr>
        <w:t>事业单位医疗（02项）:</w:t>
      </w:r>
      <w:r>
        <w:rPr>
          <w:rFonts w:hint="eastAsia" w:ascii="CESI仿宋-GB2312" w:hAnsi="CESI仿宋-GB2312" w:eastAsia="CESI仿宋-GB2312" w:cs="CESI仿宋-GB2312"/>
          <w:b w:val="0"/>
          <w:bCs w:val="0"/>
          <w:sz w:val="32"/>
          <w:szCs w:val="32"/>
          <w:lang w:val="zh-CN"/>
        </w:rPr>
        <w:t>支出决算为</w:t>
      </w:r>
      <w:r>
        <w:rPr>
          <w:rFonts w:hint="eastAsia" w:ascii="CESI仿宋-GB2312" w:hAnsi="CESI仿宋-GB2312" w:eastAsia="CESI仿宋-GB2312" w:cs="CESI仿宋-GB2312"/>
          <w:b w:val="0"/>
          <w:bCs w:val="0"/>
          <w:sz w:val="32"/>
          <w:szCs w:val="32"/>
          <w:lang w:val="en-US" w:eastAsia="zh-CN"/>
        </w:rPr>
        <w:t>381.70</w:t>
      </w:r>
      <w:r>
        <w:rPr>
          <w:rFonts w:hint="eastAsia" w:ascii="CESI仿宋-GB2312" w:hAnsi="CESI仿宋-GB2312" w:eastAsia="CESI仿宋-GB2312" w:cs="CESI仿宋-GB2312"/>
          <w:b w:val="0"/>
          <w:bCs w:val="0"/>
          <w:sz w:val="32"/>
          <w:szCs w:val="32"/>
          <w:lang w:val="zh-CN"/>
        </w:rPr>
        <w:t>万元，完成预算100%，决算数等于预算数。</w:t>
      </w:r>
    </w:p>
    <w:p>
      <w:pPr>
        <w:spacing w:line="600" w:lineRule="exact"/>
        <w:ind w:firstLine="640"/>
        <w:rPr>
          <w:rFonts w:hint="eastAsia" w:ascii="CESI仿宋-GB2312" w:hAnsi="CESI仿宋-GB2312" w:eastAsia="CESI仿宋-GB2312" w:cs="CESI仿宋-GB2312"/>
          <w:b w:val="0"/>
          <w:bCs w:val="0"/>
          <w:sz w:val="32"/>
          <w:szCs w:val="32"/>
          <w:lang w:val="zh-CN"/>
        </w:rPr>
      </w:pPr>
      <w:r>
        <w:rPr>
          <w:rFonts w:hint="eastAsia" w:ascii="CESI仿宋-GB2312" w:hAnsi="CESI仿宋-GB2312" w:eastAsia="CESI仿宋-GB2312" w:cs="CESI仿宋-GB2312"/>
          <w:b w:val="0"/>
          <w:bCs w:val="0"/>
          <w:sz w:val="32"/>
          <w:szCs w:val="32"/>
          <w:lang w:val="zh-CN"/>
        </w:rPr>
        <w:t>（</w:t>
      </w:r>
      <w:r>
        <w:rPr>
          <w:rFonts w:hint="eastAsia" w:ascii="CESI仿宋-GB2312" w:hAnsi="CESI仿宋-GB2312" w:eastAsia="CESI仿宋-GB2312" w:cs="CESI仿宋-GB2312"/>
          <w:b w:val="0"/>
          <w:bCs w:val="0"/>
          <w:sz w:val="32"/>
          <w:szCs w:val="32"/>
          <w:lang w:val="en-US" w:eastAsia="zh-CN"/>
        </w:rPr>
        <w:t>3</w:t>
      </w:r>
      <w:r>
        <w:rPr>
          <w:rFonts w:hint="eastAsia" w:ascii="CESI仿宋-GB2312" w:hAnsi="CESI仿宋-GB2312" w:eastAsia="CESI仿宋-GB2312" w:cs="CESI仿宋-GB2312"/>
          <w:b w:val="0"/>
          <w:bCs w:val="0"/>
          <w:sz w:val="32"/>
          <w:szCs w:val="32"/>
          <w:lang w:val="zh-CN"/>
        </w:rPr>
        <w:t>）</w:t>
      </w:r>
      <w:r>
        <w:rPr>
          <w:rFonts w:hint="eastAsia" w:ascii="CESI仿宋-GB2312" w:hAnsi="CESI仿宋-GB2312" w:eastAsia="CESI仿宋-GB2312" w:cs="CESI仿宋-GB2312"/>
          <w:b w:val="0"/>
          <w:bCs w:val="0"/>
          <w:sz w:val="32"/>
          <w:szCs w:val="32"/>
          <w:lang w:val="en-US" w:eastAsia="zh-CN"/>
        </w:rPr>
        <w:t>公务员医疗补助（03项）:</w:t>
      </w:r>
      <w:r>
        <w:rPr>
          <w:rFonts w:hint="eastAsia" w:ascii="CESI仿宋-GB2312" w:hAnsi="CESI仿宋-GB2312" w:eastAsia="CESI仿宋-GB2312" w:cs="CESI仿宋-GB2312"/>
          <w:b w:val="0"/>
          <w:bCs w:val="0"/>
          <w:sz w:val="32"/>
          <w:szCs w:val="32"/>
          <w:lang w:val="zh-CN"/>
        </w:rPr>
        <w:t>支出决算为</w:t>
      </w:r>
      <w:r>
        <w:rPr>
          <w:rFonts w:hint="eastAsia" w:ascii="CESI仿宋-GB2312" w:hAnsi="CESI仿宋-GB2312" w:eastAsia="CESI仿宋-GB2312" w:cs="CESI仿宋-GB2312"/>
          <w:b w:val="0"/>
          <w:bCs w:val="0"/>
          <w:sz w:val="32"/>
          <w:szCs w:val="32"/>
          <w:lang w:val="en-US" w:eastAsia="zh-CN"/>
        </w:rPr>
        <w:t>2.05</w:t>
      </w:r>
      <w:r>
        <w:rPr>
          <w:rFonts w:hint="eastAsia" w:ascii="CESI仿宋-GB2312" w:hAnsi="CESI仿宋-GB2312" w:eastAsia="CESI仿宋-GB2312" w:cs="CESI仿宋-GB2312"/>
          <w:b w:val="0"/>
          <w:bCs w:val="0"/>
          <w:sz w:val="32"/>
          <w:szCs w:val="32"/>
          <w:lang w:val="zh-CN"/>
        </w:rPr>
        <w:t>万元，完成预算100%，决算数等于预算数。</w:t>
      </w:r>
    </w:p>
    <w:p>
      <w:pPr>
        <w:spacing w:line="600" w:lineRule="exact"/>
        <w:ind w:firstLine="640"/>
        <w:rPr>
          <w:rFonts w:hint="eastAsia" w:ascii="CESI仿宋-GB2312" w:hAnsi="CESI仿宋-GB2312" w:eastAsia="CESI仿宋-GB2312" w:cs="CESI仿宋-GB2312"/>
          <w:b w:val="0"/>
          <w:bCs w:val="0"/>
          <w:sz w:val="32"/>
          <w:szCs w:val="32"/>
          <w:lang w:val="zh-CN"/>
        </w:rPr>
      </w:pPr>
      <w:r>
        <w:rPr>
          <w:rFonts w:hint="eastAsia" w:ascii="CESI仿宋-GB2312" w:hAnsi="CESI仿宋-GB2312" w:eastAsia="CESI仿宋-GB2312" w:cs="CESI仿宋-GB2312"/>
          <w:b w:val="0"/>
          <w:bCs w:val="0"/>
          <w:sz w:val="32"/>
          <w:szCs w:val="32"/>
          <w:lang w:val="en-US" w:eastAsia="zh-CN"/>
        </w:rPr>
        <w:t>（4）其他行政事业单位医疗支出（99项）:</w:t>
      </w:r>
      <w:r>
        <w:rPr>
          <w:rFonts w:hint="eastAsia" w:ascii="CESI仿宋-GB2312" w:hAnsi="CESI仿宋-GB2312" w:eastAsia="CESI仿宋-GB2312" w:cs="CESI仿宋-GB2312"/>
          <w:b w:val="0"/>
          <w:bCs w:val="0"/>
          <w:sz w:val="32"/>
          <w:szCs w:val="32"/>
          <w:lang w:val="zh-CN"/>
        </w:rPr>
        <w:t>支出决算为</w:t>
      </w:r>
      <w:r>
        <w:rPr>
          <w:rFonts w:hint="eastAsia" w:ascii="CESI仿宋-GB2312" w:hAnsi="CESI仿宋-GB2312" w:eastAsia="CESI仿宋-GB2312" w:cs="CESI仿宋-GB2312"/>
          <w:b w:val="0"/>
          <w:bCs w:val="0"/>
          <w:sz w:val="32"/>
          <w:szCs w:val="32"/>
          <w:lang w:val="en-US" w:eastAsia="zh-CN"/>
        </w:rPr>
        <w:t>243.62</w:t>
      </w:r>
      <w:r>
        <w:rPr>
          <w:rFonts w:hint="eastAsia" w:ascii="CESI仿宋-GB2312" w:hAnsi="CESI仿宋-GB2312" w:eastAsia="CESI仿宋-GB2312" w:cs="CESI仿宋-GB2312"/>
          <w:b w:val="0"/>
          <w:bCs w:val="0"/>
          <w:sz w:val="32"/>
          <w:szCs w:val="32"/>
          <w:lang w:val="zh-CN"/>
        </w:rPr>
        <w:t>万元，完成预算100%，决算数等于预算数。</w:t>
      </w:r>
    </w:p>
    <w:p>
      <w:pPr>
        <w:spacing w:line="600" w:lineRule="exact"/>
        <w:ind w:firstLine="640"/>
        <w:rPr>
          <w:rFonts w:hint="eastAsia" w:ascii="CESI仿宋-GB2312" w:hAnsi="CESI仿宋-GB2312" w:eastAsia="CESI仿宋-GB2312" w:cs="CESI仿宋-GB2312"/>
          <w:b w:val="0"/>
          <w:bCs w:val="0"/>
          <w:sz w:val="32"/>
          <w:szCs w:val="32"/>
          <w:lang w:val="zh-CN"/>
        </w:rPr>
      </w:pPr>
      <w:r>
        <w:rPr>
          <w:rFonts w:hint="eastAsia" w:ascii="CESI仿宋-GB2312" w:hAnsi="CESI仿宋-GB2312" w:eastAsia="CESI仿宋-GB2312" w:cs="CESI仿宋-GB2312"/>
          <w:b w:val="0"/>
          <w:bCs w:val="0"/>
          <w:sz w:val="32"/>
          <w:szCs w:val="32"/>
          <w:lang w:val="en-US" w:eastAsia="zh-CN"/>
        </w:rPr>
        <w:t>11</w:t>
      </w:r>
      <w:r>
        <w:rPr>
          <w:rFonts w:hint="eastAsia" w:ascii="CESI仿宋-GB2312" w:hAnsi="CESI仿宋-GB2312" w:eastAsia="CESI仿宋-GB2312" w:cs="CESI仿宋-GB2312"/>
          <w:b w:val="0"/>
          <w:bCs w:val="0"/>
          <w:sz w:val="32"/>
          <w:szCs w:val="32"/>
          <w:lang w:val="zh-CN"/>
        </w:rPr>
        <w:t>.卫生健康支出（</w:t>
      </w:r>
      <w:r>
        <w:rPr>
          <w:rFonts w:hint="eastAsia" w:ascii="CESI仿宋-GB2312" w:hAnsi="CESI仿宋-GB2312" w:eastAsia="CESI仿宋-GB2312" w:cs="CESI仿宋-GB2312"/>
          <w:b w:val="0"/>
          <w:bCs w:val="0"/>
          <w:sz w:val="32"/>
          <w:szCs w:val="32"/>
          <w:lang w:val="en-US" w:eastAsia="zh-CN"/>
        </w:rPr>
        <w:t>210</w:t>
      </w:r>
      <w:r>
        <w:rPr>
          <w:rFonts w:hint="eastAsia" w:ascii="CESI仿宋-GB2312" w:hAnsi="CESI仿宋-GB2312" w:eastAsia="CESI仿宋-GB2312" w:cs="CESI仿宋-GB2312"/>
          <w:b w:val="0"/>
          <w:bCs w:val="0"/>
          <w:sz w:val="32"/>
          <w:szCs w:val="32"/>
          <w:lang w:val="zh-CN"/>
        </w:rPr>
        <w:t>类）其他卫生健康支出（</w:t>
      </w:r>
      <w:r>
        <w:rPr>
          <w:rFonts w:hint="eastAsia" w:ascii="CESI仿宋-GB2312" w:hAnsi="CESI仿宋-GB2312" w:eastAsia="CESI仿宋-GB2312" w:cs="CESI仿宋-GB2312"/>
          <w:b w:val="0"/>
          <w:bCs w:val="0"/>
          <w:sz w:val="32"/>
          <w:szCs w:val="32"/>
          <w:lang w:val="en-US" w:eastAsia="zh-CN"/>
        </w:rPr>
        <w:t>99</w:t>
      </w:r>
      <w:r>
        <w:rPr>
          <w:rFonts w:hint="eastAsia" w:ascii="CESI仿宋-GB2312" w:hAnsi="CESI仿宋-GB2312" w:eastAsia="CESI仿宋-GB2312" w:cs="CESI仿宋-GB2312"/>
          <w:b w:val="0"/>
          <w:bCs w:val="0"/>
          <w:sz w:val="32"/>
          <w:szCs w:val="32"/>
          <w:lang w:val="zh-CN"/>
        </w:rPr>
        <w:t>款）其他卫生健康支出（</w:t>
      </w:r>
      <w:r>
        <w:rPr>
          <w:rFonts w:hint="eastAsia" w:ascii="CESI仿宋-GB2312" w:hAnsi="CESI仿宋-GB2312" w:eastAsia="CESI仿宋-GB2312" w:cs="CESI仿宋-GB2312"/>
          <w:b w:val="0"/>
          <w:bCs w:val="0"/>
          <w:sz w:val="32"/>
          <w:szCs w:val="32"/>
          <w:lang w:val="en-US" w:eastAsia="zh-CN"/>
        </w:rPr>
        <w:t>99</w:t>
      </w:r>
      <w:r>
        <w:rPr>
          <w:rFonts w:hint="eastAsia" w:ascii="CESI仿宋-GB2312" w:hAnsi="CESI仿宋-GB2312" w:eastAsia="CESI仿宋-GB2312" w:cs="CESI仿宋-GB2312"/>
          <w:b w:val="0"/>
          <w:bCs w:val="0"/>
          <w:sz w:val="32"/>
          <w:szCs w:val="32"/>
          <w:lang w:val="zh-CN"/>
        </w:rPr>
        <w:t>项）:支出决算为</w:t>
      </w:r>
      <w:r>
        <w:rPr>
          <w:rFonts w:hint="eastAsia" w:ascii="CESI仿宋-GB2312" w:hAnsi="CESI仿宋-GB2312" w:eastAsia="CESI仿宋-GB2312" w:cs="CESI仿宋-GB2312"/>
          <w:b w:val="0"/>
          <w:bCs w:val="0"/>
          <w:sz w:val="32"/>
          <w:szCs w:val="32"/>
          <w:lang w:val="en-US" w:eastAsia="zh-CN"/>
        </w:rPr>
        <w:t>2591.39</w:t>
      </w:r>
      <w:r>
        <w:rPr>
          <w:rFonts w:hint="eastAsia" w:ascii="CESI仿宋-GB2312" w:hAnsi="CESI仿宋-GB2312" w:eastAsia="CESI仿宋-GB2312" w:cs="CESI仿宋-GB2312"/>
          <w:b w:val="0"/>
          <w:bCs w:val="0"/>
          <w:sz w:val="32"/>
          <w:szCs w:val="32"/>
          <w:lang w:val="zh-CN"/>
        </w:rPr>
        <w:t>万元，完成预算100%，决算数等于预算数。</w:t>
      </w:r>
    </w:p>
    <w:p>
      <w:pPr>
        <w:spacing w:line="600" w:lineRule="exact"/>
        <w:ind w:firstLine="640"/>
        <w:rPr>
          <w:rFonts w:hint="eastAsia" w:ascii="CESI仿宋-GB2312" w:hAnsi="CESI仿宋-GB2312" w:eastAsia="CESI仿宋-GB2312" w:cs="CESI仿宋-GB2312"/>
          <w:b w:val="0"/>
          <w:bCs w:val="0"/>
          <w:sz w:val="32"/>
          <w:szCs w:val="32"/>
          <w:lang w:val="zh-CN"/>
        </w:rPr>
      </w:pPr>
      <w:r>
        <w:rPr>
          <w:rFonts w:hint="eastAsia" w:ascii="CESI仿宋-GB2312" w:hAnsi="CESI仿宋-GB2312" w:eastAsia="CESI仿宋-GB2312" w:cs="CESI仿宋-GB2312"/>
          <w:b w:val="0"/>
          <w:bCs w:val="0"/>
          <w:sz w:val="32"/>
          <w:szCs w:val="32"/>
          <w:lang w:val="en-US" w:eastAsia="zh-CN"/>
        </w:rPr>
        <w:t>12</w:t>
      </w:r>
      <w:r>
        <w:rPr>
          <w:rFonts w:hint="eastAsia" w:ascii="CESI仿宋-GB2312" w:hAnsi="CESI仿宋-GB2312" w:eastAsia="CESI仿宋-GB2312" w:cs="CESI仿宋-GB2312"/>
          <w:b w:val="0"/>
          <w:bCs w:val="0"/>
          <w:sz w:val="32"/>
          <w:szCs w:val="32"/>
          <w:lang w:val="zh-CN"/>
        </w:rPr>
        <w:t>.卫生健康支出（</w:t>
      </w:r>
      <w:r>
        <w:rPr>
          <w:rFonts w:hint="eastAsia" w:ascii="CESI仿宋-GB2312" w:hAnsi="CESI仿宋-GB2312" w:eastAsia="CESI仿宋-GB2312" w:cs="CESI仿宋-GB2312"/>
          <w:b w:val="0"/>
          <w:bCs w:val="0"/>
          <w:sz w:val="32"/>
          <w:szCs w:val="32"/>
          <w:lang w:val="en-US" w:eastAsia="zh-CN"/>
        </w:rPr>
        <w:t>210</w:t>
      </w:r>
      <w:r>
        <w:rPr>
          <w:rFonts w:hint="eastAsia" w:ascii="CESI仿宋-GB2312" w:hAnsi="CESI仿宋-GB2312" w:eastAsia="CESI仿宋-GB2312" w:cs="CESI仿宋-GB2312"/>
          <w:b w:val="0"/>
          <w:bCs w:val="0"/>
          <w:sz w:val="32"/>
          <w:szCs w:val="32"/>
          <w:lang w:val="zh-CN"/>
        </w:rPr>
        <w:t>类）老龄卫生健康事务（</w:t>
      </w:r>
      <w:r>
        <w:rPr>
          <w:rFonts w:hint="eastAsia" w:ascii="CESI仿宋-GB2312" w:hAnsi="CESI仿宋-GB2312" w:eastAsia="CESI仿宋-GB2312" w:cs="CESI仿宋-GB2312"/>
          <w:b w:val="0"/>
          <w:bCs w:val="0"/>
          <w:sz w:val="32"/>
          <w:szCs w:val="32"/>
          <w:lang w:val="en-US" w:eastAsia="zh-CN"/>
        </w:rPr>
        <w:t>16</w:t>
      </w:r>
      <w:r>
        <w:rPr>
          <w:rFonts w:hint="eastAsia" w:ascii="CESI仿宋-GB2312" w:hAnsi="CESI仿宋-GB2312" w:eastAsia="CESI仿宋-GB2312" w:cs="CESI仿宋-GB2312"/>
          <w:b w:val="0"/>
          <w:bCs w:val="0"/>
          <w:sz w:val="32"/>
          <w:szCs w:val="32"/>
          <w:lang w:val="zh-CN"/>
        </w:rPr>
        <w:t>款）老龄卫生健康事务（</w:t>
      </w:r>
      <w:r>
        <w:rPr>
          <w:rFonts w:hint="eastAsia" w:ascii="CESI仿宋-GB2312" w:hAnsi="CESI仿宋-GB2312" w:eastAsia="CESI仿宋-GB2312" w:cs="CESI仿宋-GB2312"/>
          <w:b w:val="0"/>
          <w:bCs w:val="0"/>
          <w:sz w:val="32"/>
          <w:szCs w:val="32"/>
          <w:lang w:val="en-US" w:eastAsia="zh-CN"/>
        </w:rPr>
        <w:t>01</w:t>
      </w:r>
      <w:r>
        <w:rPr>
          <w:rFonts w:hint="eastAsia" w:ascii="CESI仿宋-GB2312" w:hAnsi="CESI仿宋-GB2312" w:eastAsia="CESI仿宋-GB2312" w:cs="CESI仿宋-GB2312"/>
          <w:b w:val="0"/>
          <w:bCs w:val="0"/>
          <w:sz w:val="32"/>
          <w:szCs w:val="32"/>
          <w:lang w:val="zh-CN"/>
        </w:rPr>
        <w:t>项）:支出决算为</w:t>
      </w:r>
      <w:r>
        <w:rPr>
          <w:rFonts w:hint="eastAsia" w:ascii="CESI仿宋-GB2312" w:hAnsi="CESI仿宋-GB2312" w:eastAsia="CESI仿宋-GB2312" w:cs="CESI仿宋-GB2312"/>
          <w:b w:val="0"/>
          <w:bCs w:val="0"/>
          <w:sz w:val="32"/>
          <w:szCs w:val="32"/>
          <w:lang w:val="en-US" w:eastAsia="zh-CN"/>
        </w:rPr>
        <w:t>10</w:t>
      </w:r>
      <w:r>
        <w:rPr>
          <w:rFonts w:hint="eastAsia" w:ascii="CESI仿宋-GB2312" w:hAnsi="CESI仿宋-GB2312" w:eastAsia="CESI仿宋-GB2312" w:cs="CESI仿宋-GB2312"/>
          <w:b w:val="0"/>
          <w:bCs w:val="0"/>
          <w:sz w:val="32"/>
          <w:szCs w:val="32"/>
          <w:lang w:val="zh-CN"/>
        </w:rPr>
        <w:t>万元，完成预算100%，决算数等于预算数。</w:t>
      </w:r>
    </w:p>
    <w:p>
      <w:pPr>
        <w:spacing w:line="600" w:lineRule="exact"/>
        <w:ind w:firstLine="640"/>
        <w:rPr>
          <w:rFonts w:hint="eastAsia" w:ascii="CESI仿宋-GB2312" w:hAnsi="CESI仿宋-GB2312" w:eastAsia="CESI仿宋-GB2312" w:cs="CESI仿宋-GB2312"/>
          <w:b w:val="0"/>
          <w:bCs w:val="0"/>
          <w:sz w:val="32"/>
          <w:szCs w:val="32"/>
          <w:lang w:val="zh-CN"/>
        </w:rPr>
      </w:pPr>
      <w:r>
        <w:rPr>
          <w:rFonts w:hint="eastAsia" w:ascii="CESI仿宋-GB2312" w:hAnsi="CESI仿宋-GB2312" w:eastAsia="CESI仿宋-GB2312" w:cs="CESI仿宋-GB2312"/>
          <w:b w:val="0"/>
          <w:bCs w:val="0"/>
          <w:sz w:val="32"/>
          <w:szCs w:val="32"/>
          <w:lang w:val="en-US" w:eastAsia="zh-CN"/>
        </w:rPr>
        <w:t>13</w:t>
      </w:r>
      <w:r>
        <w:rPr>
          <w:rFonts w:hint="eastAsia" w:ascii="CESI仿宋-GB2312" w:hAnsi="CESI仿宋-GB2312" w:eastAsia="CESI仿宋-GB2312" w:cs="CESI仿宋-GB2312"/>
          <w:b w:val="0"/>
          <w:bCs w:val="0"/>
          <w:sz w:val="32"/>
          <w:szCs w:val="32"/>
          <w:lang w:val="zh-CN" w:eastAsia="zh-CN"/>
        </w:rPr>
        <w:t>.农林水支出（</w:t>
      </w:r>
      <w:r>
        <w:rPr>
          <w:rFonts w:hint="eastAsia" w:ascii="CESI仿宋-GB2312" w:hAnsi="CESI仿宋-GB2312" w:eastAsia="CESI仿宋-GB2312" w:cs="CESI仿宋-GB2312"/>
          <w:b w:val="0"/>
          <w:bCs w:val="0"/>
          <w:sz w:val="32"/>
          <w:szCs w:val="32"/>
          <w:lang w:val="en-US" w:eastAsia="zh-CN"/>
        </w:rPr>
        <w:t>213</w:t>
      </w:r>
      <w:r>
        <w:rPr>
          <w:rFonts w:hint="eastAsia" w:ascii="CESI仿宋-GB2312" w:hAnsi="CESI仿宋-GB2312" w:eastAsia="CESI仿宋-GB2312" w:cs="CESI仿宋-GB2312"/>
          <w:b w:val="0"/>
          <w:bCs w:val="0"/>
          <w:sz w:val="32"/>
          <w:szCs w:val="32"/>
          <w:lang w:val="zh-CN" w:eastAsia="zh-CN"/>
        </w:rPr>
        <w:t>类）</w:t>
      </w:r>
      <w:r>
        <w:rPr>
          <w:rFonts w:hint="eastAsia" w:ascii="CESI仿宋-GB2312" w:hAnsi="CESI仿宋-GB2312" w:eastAsia="CESI仿宋-GB2312" w:cs="CESI仿宋-GB2312"/>
          <w:b w:val="0"/>
          <w:bCs w:val="0"/>
          <w:sz w:val="32"/>
          <w:szCs w:val="32"/>
          <w:lang w:val="en-US" w:eastAsia="zh-CN"/>
        </w:rPr>
        <w:t>巩固脱贫衔接乡村振兴</w:t>
      </w:r>
      <w:r>
        <w:rPr>
          <w:rFonts w:hint="eastAsia" w:ascii="CESI仿宋-GB2312" w:hAnsi="CESI仿宋-GB2312" w:eastAsia="CESI仿宋-GB2312" w:cs="CESI仿宋-GB2312"/>
          <w:b w:val="0"/>
          <w:bCs w:val="0"/>
          <w:sz w:val="32"/>
          <w:szCs w:val="32"/>
          <w:lang w:val="zh-CN" w:eastAsia="zh-CN"/>
        </w:rPr>
        <w:t>（</w:t>
      </w:r>
      <w:r>
        <w:rPr>
          <w:rFonts w:hint="eastAsia" w:ascii="CESI仿宋-GB2312" w:hAnsi="CESI仿宋-GB2312" w:eastAsia="CESI仿宋-GB2312" w:cs="CESI仿宋-GB2312"/>
          <w:b w:val="0"/>
          <w:bCs w:val="0"/>
          <w:sz w:val="32"/>
          <w:szCs w:val="32"/>
          <w:lang w:val="en-US" w:eastAsia="zh-CN"/>
        </w:rPr>
        <w:t>05</w:t>
      </w:r>
      <w:r>
        <w:rPr>
          <w:rFonts w:hint="eastAsia" w:ascii="CESI仿宋-GB2312" w:hAnsi="CESI仿宋-GB2312" w:eastAsia="CESI仿宋-GB2312" w:cs="CESI仿宋-GB2312"/>
          <w:b w:val="0"/>
          <w:bCs w:val="0"/>
          <w:sz w:val="32"/>
          <w:szCs w:val="32"/>
          <w:lang w:val="zh-CN" w:eastAsia="zh-CN"/>
        </w:rPr>
        <w:t>款）其他</w:t>
      </w:r>
      <w:r>
        <w:rPr>
          <w:rFonts w:hint="eastAsia" w:ascii="CESI仿宋-GB2312" w:hAnsi="CESI仿宋-GB2312" w:eastAsia="CESI仿宋-GB2312" w:cs="CESI仿宋-GB2312"/>
          <w:b w:val="0"/>
          <w:bCs w:val="0"/>
          <w:sz w:val="32"/>
          <w:szCs w:val="32"/>
          <w:lang w:val="en-US" w:eastAsia="zh-CN"/>
        </w:rPr>
        <w:t>巩固脱贫衔接乡村振兴支出</w:t>
      </w:r>
      <w:r>
        <w:rPr>
          <w:rFonts w:hint="eastAsia" w:ascii="CESI仿宋-GB2312" w:hAnsi="CESI仿宋-GB2312" w:eastAsia="CESI仿宋-GB2312" w:cs="CESI仿宋-GB2312"/>
          <w:b w:val="0"/>
          <w:bCs w:val="0"/>
          <w:sz w:val="32"/>
          <w:szCs w:val="32"/>
          <w:lang w:val="zh-CN" w:eastAsia="zh-CN"/>
        </w:rPr>
        <w:t>（</w:t>
      </w:r>
      <w:r>
        <w:rPr>
          <w:rFonts w:hint="eastAsia" w:ascii="CESI仿宋-GB2312" w:hAnsi="CESI仿宋-GB2312" w:eastAsia="CESI仿宋-GB2312" w:cs="CESI仿宋-GB2312"/>
          <w:b w:val="0"/>
          <w:bCs w:val="0"/>
          <w:sz w:val="32"/>
          <w:szCs w:val="32"/>
          <w:lang w:val="en-US" w:eastAsia="zh-CN"/>
        </w:rPr>
        <w:t>99</w:t>
      </w:r>
      <w:r>
        <w:rPr>
          <w:rFonts w:hint="eastAsia" w:ascii="CESI仿宋-GB2312" w:hAnsi="CESI仿宋-GB2312" w:eastAsia="CESI仿宋-GB2312" w:cs="CESI仿宋-GB2312"/>
          <w:b w:val="0"/>
          <w:bCs w:val="0"/>
          <w:sz w:val="32"/>
          <w:szCs w:val="32"/>
          <w:lang w:val="zh-CN" w:eastAsia="zh-CN"/>
        </w:rPr>
        <w:t>项）:</w:t>
      </w:r>
      <w:r>
        <w:rPr>
          <w:rFonts w:hint="eastAsia" w:ascii="CESI仿宋-GB2312" w:hAnsi="CESI仿宋-GB2312" w:eastAsia="CESI仿宋-GB2312" w:cs="CESI仿宋-GB2312"/>
          <w:b w:val="0"/>
          <w:bCs w:val="0"/>
          <w:sz w:val="32"/>
          <w:szCs w:val="32"/>
          <w:lang w:val="zh-CN"/>
        </w:rPr>
        <w:t>支出决算为</w:t>
      </w:r>
      <w:r>
        <w:rPr>
          <w:rFonts w:hint="eastAsia" w:ascii="CESI仿宋-GB2312" w:hAnsi="CESI仿宋-GB2312" w:eastAsia="CESI仿宋-GB2312" w:cs="CESI仿宋-GB2312"/>
          <w:b w:val="0"/>
          <w:bCs w:val="0"/>
          <w:sz w:val="32"/>
          <w:szCs w:val="32"/>
          <w:lang w:val="en-US" w:eastAsia="zh-CN"/>
        </w:rPr>
        <w:t>196</w:t>
      </w:r>
      <w:r>
        <w:rPr>
          <w:rFonts w:hint="eastAsia" w:ascii="CESI仿宋-GB2312" w:hAnsi="CESI仿宋-GB2312" w:eastAsia="CESI仿宋-GB2312" w:cs="CESI仿宋-GB2312"/>
          <w:b w:val="0"/>
          <w:bCs w:val="0"/>
          <w:sz w:val="32"/>
          <w:szCs w:val="32"/>
          <w:lang w:val="zh-CN"/>
        </w:rPr>
        <w:t xml:space="preserve">万元，完成预算100%，决算数等于预算数。  </w:t>
      </w:r>
    </w:p>
    <w:p>
      <w:pPr>
        <w:spacing w:line="600" w:lineRule="exact"/>
        <w:ind w:firstLine="640"/>
        <w:rPr>
          <w:rFonts w:hint="eastAsia" w:ascii="Times New Roman" w:hAnsi="Times New Roman" w:eastAsia="仿宋_GB2312" w:cs="Times New Roman"/>
          <w:b w:val="0"/>
          <w:bCs w:val="0"/>
          <w:sz w:val="32"/>
          <w:szCs w:val="32"/>
          <w:lang w:val="zh-CN"/>
        </w:rPr>
      </w:pPr>
      <w:r>
        <w:rPr>
          <w:rFonts w:hint="eastAsia" w:ascii="CESI仿宋-GB2312" w:hAnsi="CESI仿宋-GB2312" w:eastAsia="CESI仿宋-GB2312" w:cs="CESI仿宋-GB2312"/>
          <w:b w:val="0"/>
          <w:bCs w:val="0"/>
          <w:sz w:val="32"/>
          <w:szCs w:val="32"/>
          <w:lang w:val="en-US" w:eastAsia="zh-CN"/>
        </w:rPr>
        <w:t>14</w:t>
      </w:r>
      <w:r>
        <w:rPr>
          <w:rFonts w:hint="eastAsia" w:ascii="CESI仿宋-GB2312" w:hAnsi="CESI仿宋-GB2312" w:eastAsia="CESI仿宋-GB2312" w:cs="CESI仿宋-GB2312"/>
          <w:b w:val="0"/>
          <w:bCs w:val="0"/>
          <w:sz w:val="32"/>
          <w:szCs w:val="32"/>
          <w:lang w:val="zh-CN" w:eastAsia="zh-CN"/>
        </w:rPr>
        <w:t>.住房保障支出（</w:t>
      </w:r>
      <w:r>
        <w:rPr>
          <w:rFonts w:hint="eastAsia" w:ascii="CESI仿宋-GB2312" w:hAnsi="CESI仿宋-GB2312" w:eastAsia="CESI仿宋-GB2312" w:cs="CESI仿宋-GB2312"/>
          <w:b w:val="0"/>
          <w:bCs w:val="0"/>
          <w:sz w:val="32"/>
          <w:szCs w:val="32"/>
          <w:lang w:val="en-US" w:eastAsia="zh-CN"/>
        </w:rPr>
        <w:t>221</w:t>
      </w:r>
      <w:r>
        <w:rPr>
          <w:rFonts w:hint="eastAsia" w:ascii="CESI仿宋-GB2312" w:hAnsi="CESI仿宋-GB2312" w:eastAsia="CESI仿宋-GB2312" w:cs="CESI仿宋-GB2312"/>
          <w:b w:val="0"/>
          <w:bCs w:val="0"/>
          <w:sz w:val="32"/>
          <w:szCs w:val="32"/>
          <w:lang w:val="zh-CN" w:eastAsia="zh-CN"/>
        </w:rPr>
        <w:t>类）住房改革支出（</w:t>
      </w:r>
      <w:r>
        <w:rPr>
          <w:rFonts w:hint="eastAsia" w:ascii="CESI仿宋-GB2312" w:hAnsi="CESI仿宋-GB2312" w:eastAsia="CESI仿宋-GB2312" w:cs="CESI仿宋-GB2312"/>
          <w:b w:val="0"/>
          <w:bCs w:val="0"/>
          <w:sz w:val="32"/>
          <w:szCs w:val="32"/>
          <w:lang w:val="en-US" w:eastAsia="zh-CN"/>
        </w:rPr>
        <w:t>02</w:t>
      </w:r>
      <w:r>
        <w:rPr>
          <w:rFonts w:hint="eastAsia" w:ascii="CESI仿宋-GB2312" w:hAnsi="CESI仿宋-GB2312" w:eastAsia="CESI仿宋-GB2312" w:cs="CESI仿宋-GB2312"/>
          <w:b w:val="0"/>
          <w:bCs w:val="0"/>
          <w:sz w:val="32"/>
          <w:szCs w:val="32"/>
          <w:lang w:val="zh-CN" w:eastAsia="zh-CN"/>
        </w:rPr>
        <w:t>款）住房公积金（</w:t>
      </w:r>
      <w:r>
        <w:rPr>
          <w:rFonts w:hint="eastAsia" w:ascii="CESI仿宋-GB2312" w:hAnsi="CESI仿宋-GB2312" w:eastAsia="CESI仿宋-GB2312" w:cs="CESI仿宋-GB2312"/>
          <w:b w:val="0"/>
          <w:bCs w:val="0"/>
          <w:sz w:val="32"/>
          <w:szCs w:val="32"/>
          <w:lang w:val="en-US" w:eastAsia="zh-CN"/>
        </w:rPr>
        <w:t>01</w:t>
      </w:r>
      <w:r>
        <w:rPr>
          <w:rFonts w:hint="eastAsia" w:ascii="CESI仿宋-GB2312" w:hAnsi="CESI仿宋-GB2312" w:eastAsia="CESI仿宋-GB2312" w:cs="CESI仿宋-GB2312"/>
          <w:b w:val="0"/>
          <w:bCs w:val="0"/>
          <w:sz w:val="32"/>
          <w:szCs w:val="32"/>
          <w:lang w:val="zh-CN" w:eastAsia="zh-CN"/>
        </w:rPr>
        <w:t>项）:</w:t>
      </w:r>
      <w:r>
        <w:rPr>
          <w:rFonts w:hint="eastAsia" w:ascii="CESI仿宋-GB2312" w:hAnsi="CESI仿宋-GB2312" w:eastAsia="CESI仿宋-GB2312" w:cs="CESI仿宋-GB2312"/>
          <w:b w:val="0"/>
          <w:bCs w:val="0"/>
          <w:sz w:val="32"/>
          <w:szCs w:val="32"/>
          <w:lang w:val="zh-CN"/>
        </w:rPr>
        <w:t>支出决算为</w:t>
      </w:r>
      <w:r>
        <w:rPr>
          <w:rFonts w:hint="eastAsia" w:ascii="CESI仿宋-GB2312" w:hAnsi="CESI仿宋-GB2312" w:eastAsia="CESI仿宋-GB2312" w:cs="CESI仿宋-GB2312"/>
          <w:b w:val="0"/>
          <w:bCs w:val="0"/>
          <w:sz w:val="32"/>
          <w:szCs w:val="32"/>
          <w:lang w:val="en-US" w:eastAsia="zh-CN"/>
        </w:rPr>
        <w:t>600.66</w:t>
      </w:r>
      <w:r>
        <w:rPr>
          <w:rFonts w:hint="eastAsia" w:ascii="CESI仿宋-GB2312" w:hAnsi="CESI仿宋-GB2312" w:eastAsia="CESI仿宋-GB2312" w:cs="CESI仿宋-GB2312"/>
          <w:b w:val="0"/>
          <w:bCs w:val="0"/>
          <w:sz w:val="32"/>
          <w:szCs w:val="32"/>
          <w:lang w:val="zh-CN"/>
        </w:rPr>
        <w:t>万元，完成预算100%，决算数等于预算数。</w:t>
      </w:r>
    </w:p>
    <w:p>
      <w:pPr>
        <w:tabs>
          <w:tab w:val="right" w:pos="8306"/>
        </w:tabs>
        <w:spacing w:line="600" w:lineRule="exact"/>
        <w:ind w:firstLine="640"/>
        <w:outlineLvl w:val="1"/>
        <w:rPr>
          <w:rStyle w:val="31"/>
        </w:rPr>
      </w:pPr>
      <w:bookmarkStart w:id="55" w:name="_Toc15377214"/>
      <w:bookmarkStart w:id="56"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1"/>
          <w:rFonts w:hint="eastAsia" w:ascii="黑体" w:hAnsi="黑体" w:eastAsia="黑体"/>
          <w:b w:val="0"/>
        </w:rPr>
        <w:t>般公共预算财政拨款基本支出决算情况说明</w:t>
      </w:r>
      <w:bookmarkEnd w:id="55"/>
      <w:bookmarkEnd w:id="56"/>
      <w:r>
        <w:rPr>
          <w:rStyle w:val="31"/>
          <w:rFonts w:ascii="黑体" w:hAnsi="黑体" w:eastAsia="黑体"/>
          <w:b w:val="0"/>
        </w:rPr>
        <w:tab/>
      </w:r>
    </w:p>
    <w:p>
      <w:pPr>
        <w:spacing w:line="600" w:lineRule="exact"/>
        <w:ind w:firstLine="645"/>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2023年度一般公共预算财政拨款基本支出8255.82万元，其中：</w:t>
      </w:r>
    </w:p>
    <w:p>
      <w:pPr>
        <w:spacing w:line="600" w:lineRule="exact"/>
        <w:ind w:firstLine="645"/>
        <w:rPr>
          <w:rFonts w:hint="eastAsia" w:ascii="CESI仿宋-GB2312" w:hAnsi="CESI仿宋-GB2312" w:eastAsia="CESI仿宋-GB2312" w:cs="CESI仿宋-GB2312"/>
          <w:b/>
          <w:sz w:val="32"/>
          <w:szCs w:val="32"/>
        </w:rPr>
      </w:pPr>
      <w:r>
        <w:rPr>
          <w:rFonts w:hint="eastAsia" w:ascii="CESI仿宋-GB2312" w:hAnsi="CESI仿宋-GB2312" w:eastAsia="CESI仿宋-GB2312" w:cs="CESI仿宋-GB2312"/>
          <w:sz w:val="32"/>
          <w:szCs w:val="32"/>
        </w:rPr>
        <w:t>人员经费8192.07万元，主要包括：基本工资、津贴补贴、奖金、绩效工资、机关事业单位基本养老保险缴费、职业年金缴费、职工基本医疗保险缴费</w:t>
      </w:r>
      <w:r>
        <w:rPr>
          <w:rFonts w:hint="eastAsia" w:ascii="CESI仿宋-GB2312" w:hAnsi="CESI仿宋-GB2312" w:eastAsia="CESI仿宋-GB2312" w:cs="CESI仿宋-GB2312"/>
          <w:sz w:val="32"/>
          <w:szCs w:val="32"/>
          <w:lang w:eastAsia="zh-CN"/>
        </w:rPr>
        <w:t>、公务员医疗补助缴费、</w:t>
      </w:r>
      <w:r>
        <w:rPr>
          <w:rFonts w:hint="eastAsia" w:ascii="CESI仿宋-GB2312" w:hAnsi="CESI仿宋-GB2312" w:eastAsia="CESI仿宋-GB2312" w:cs="CESI仿宋-GB2312"/>
          <w:sz w:val="32"/>
          <w:szCs w:val="32"/>
        </w:rPr>
        <w:t>其他社会保障缴费、 住房公积金</w:t>
      </w:r>
      <w:r>
        <w:rPr>
          <w:rFonts w:hint="eastAsia" w:ascii="CESI仿宋-GB2312" w:hAnsi="CESI仿宋-GB2312" w:eastAsia="CESI仿宋-GB2312" w:cs="CESI仿宋-GB2312"/>
          <w:sz w:val="32"/>
          <w:szCs w:val="32"/>
          <w:lang w:eastAsia="zh-CN"/>
        </w:rPr>
        <w:t>、医疗费、</w:t>
      </w:r>
      <w:r>
        <w:rPr>
          <w:rFonts w:hint="eastAsia" w:ascii="CESI仿宋-GB2312" w:hAnsi="CESI仿宋-GB2312" w:eastAsia="CESI仿宋-GB2312" w:cs="CESI仿宋-GB2312"/>
          <w:sz w:val="32"/>
          <w:szCs w:val="32"/>
        </w:rPr>
        <w:t>其他工资福利支出、对个人和家庭的补助</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抚恤金、生活补助、医疗费补助、奖励金、其他对个人和家庭的补助支出。</w:t>
      </w:r>
      <w:r>
        <w:rPr>
          <w:rFonts w:hint="eastAsia" w:ascii="CESI仿宋-GB2312" w:hAnsi="CESI仿宋-GB2312" w:eastAsia="CESI仿宋-GB2312" w:cs="CESI仿宋-GB2312"/>
          <w:sz w:val="32"/>
          <w:szCs w:val="32"/>
        </w:rPr>
        <w:br w:type="textWrapping"/>
      </w:r>
      <w:r>
        <w:rPr>
          <w:rFonts w:hint="eastAsia" w:ascii="CESI仿宋-GB2312" w:hAnsi="CESI仿宋-GB2312" w:eastAsia="CESI仿宋-GB2312" w:cs="CESI仿宋-GB2312"/>
          <w:sz w:val="32"/>
          <w:szCs w:val="32"/>
        </w:rPr>
        <w:t>　　公用经费63.75万元，主要包括：办公费、印刷费、手续费、水费、电费、邮电费、物业管理费、差旅费、维修（护）费、培训费、劳务费、委托业务费、工会经费、福利费、公务用车运行维护费、其他交通费、其他商品和服务支出</w:t>
      </w:r>
      <w:r>
        <w:rPr>
          <w:rFonts w:hint="eastAsia" w:ascii="CESI仿宋-GB2312" w:hAnsi="CESI仿宋-GB2312" w:eastAsia="CESI仿宋-GB2312" w:cs="CESI仿宋-GB2312"/>
          <w:sz w:val="32"/>
          <w:szCs w:val="32"/>
          <w:lang w:eastAsia="zh-CN"/>
        </w:rPr>
        <w:t>。</w:t>
      </w:r>
    </w:p>
    <w:p>
      <w:pPr>
        <w:spacing w:line="600" w:lineRule="exact"/>
        <w:ind w:firstLine="640"/>
        <w:rPr>
          <w:rFonts w:ascii="仿宋" w:hAnsi="仿宋" w:eastAsia="仿宋"/>
          <w:b/>
          <w:sz w:val="32"/>
          <w:szCs w:val="32"/>
        </w:rPr>
      </w:pPr>
    </w:p>
    <w:p>
      <w:pPr>
        <w:spacing w:line="600" w:lineRule="exact"/>
        <w:ind w:firstLine="640"/>
        <w:outlineLvl w:val="1"/>
        <w:rPr>
          <w:rStyle w:val="31"/>
          <w:rFonts w:ascii="黑体" w:hAnsi="黑体" w:eastAsia="黑体"/>
          <w:b w:val="0"/>
        </w:rPr>
      </w:pPr>
      <w:bookmarkStart w:id="57" w:name="_Toc15396609"/>
      <w:bookmarkStart w:id="58" w:name="_Toc15377215"/>
      <w:r>
        <w:rPr>
          <w:rFonts w:hint="eastAsia" w:ascii="黑体" w:eastAsia="黑体"/>
          <w:sz w:val="32"/>
          <w:szCs w:val="32"/>
        </w:rPr>
        <w:t>七、</w:t>
      </w:r>
      <w:r>
        <w:rPr>
          <w:rStyle w:val="31"/>
          <w:rFonts w:hint="eastAsia" w:ascii="黑体" w:hAnsi="黑体" w:eastAsia="黑体"/>
          <w:b w:val="0"/>
        </w:rPr>
        <w:t>财政拨款</w:t>
      </w:r>
      <w:r>
        <w:rPr>
          <w:rStyle w:val="31"/>
          <w:rFonts w:hint="eastAsia" w:ascii="黑体" w:hAnsi="黑体" w:eastAsia="黑体"/>
        </w:rPr>
        <w:t>“</w:t>
      </w:r>
      <w:r>
        <w:rPr>
          <w:rStyle w:val="31"/>
          <w:rFonts w:hint="eastAsia" w:ascii="黑体" w:hAnsi="黑体" w:eastAsia="黑体"/>
          <w:b w:val="0"/>
        </w:rPr>
        <w:t>三公”经费支出决算情况说明</w:t>
      </w:r>
      <w:bookmarkEnd w:id="57"/>
      <w:bookmarkEnd w:id="58"/>
    </w:p>
    <w:p>
      <w:pPr>
        <w:spacing w:line="600" w:lineRule="exact"/>
        <w:ind w:firstLine="640"/>
        <w:outlineLvl w:val="2"/>
        <w:rPr>
          <w:rFonts w:ascii="仿宋" w:hAnsi="仿宋" w:eastAsia="仿宋"/>
          <w:b/>
          <w:sz w:val="32"/>
          <w:szCs w:val="32"/>
        </w:rPr>
      </w:pPr>
      <w:bookmarkStart w:id="59" w:name="_Toc15377216"/>
      <w:r>
        <w:rPr>
          <w:rFonts w:hint="eastAsia" w:ascii="仿宋" w:hAnsi="仿宋" w:eastAsia="仿宋"/>
          <w:b/>
          <w:sz w:val="32"/>
          <w:szCs w:val="32"/>
        </w:rPr>
        <w:t>（一）“三公”经费财政拨款支出决算总体情况说明</w:t>
      </w:r>
      <w:bookmarkEnd w:id="59"/>
    </w:p>
    <w:p>
      <w:pPr>
        <w:keepNext/>
        <w:keepLines/>
        <w:spacing w:beforeLines="0" w:afterLines="0" w:line="576" w:lineRule="exact"/>
        <w:ind w:firstLine="640"/>
        <w:jc w:val="both"/>
        <w:rPr>
          <w:rFonts w:hint="eastAsia" w:ascii="CESI仿宋-GB2312" w:hAnsi="CESI仿宋-GB2312" w:eastAsia="CESI仿宋-GB2312" w:cs="CESI仿宋-GB2312"/>
          <w:color w:val="000000"/>
          <w:kern w:val="2"/>
          <w:sz w:val="32"/>
          <w:szCs w:val="24"/>
          <w:lang w:val="zh-CN"/>
        </w:rPr>
      </w:pPr>
      <w:r>
        <w:rPr>
          <w:rFonts w:hint="eastAsia" w:ascii="CESI仿宋-GB2312" w:hAnsi="CESI仿宋-GB2312" w:eastAsia="CESI仿宋-GB2312" w:cs="CESI仿宋-GB2312"/>
          <w:sz w:val="32"/>
          <w:szCs w:val="32"/>
        </w:rPr>
        <w:t>2023年度“三公”经费财政拨款支出决算为0.8万元，完成预算100%，较上年度减少</w:t>
      </w:r>
      <w:r>
        <w:rPr>
          <w:rFonts w:hint="eastAsia" w:ascii="CESI仿宋-GB2312" w:hAnsi="CESI仿宋-GB2312" w:eastAsia="CESI仿宋-GB2312" w:cs="CESI仿宋-GB2312"/>
          <w:sz w:val="32"/>
          <w:szCs w:val="32"/>
          <w:lang w:val="en-US" w:eastAsia="zh-CN"/>
        </w:rPr>
        <w:t>12.65</w:t>
      </w:r>
      <w:r>
        <w:rPr>
          <w:rFonts w:hint="eastAsia" w:ascii="CESI仿宋-GB2312" w:hAnsi="CESI仿宋-GB2312" w:eastAsia="CESI仿宋-GB2312" w:cs="CESI仿宋-GB2312"/>
          <w:sz w:val="32"/>
          <w:szCs w:val="32"/>
        </w:rPr>
        <w:t>万元，下降</w:t>
      </w:r>
      <w:r>
        <w:rPr>
          <w:rFonts w:hint="eastAsia" w:ascii="CESI仿宋-GB2312" w:hAnsi="CESI仿宋-GB2312" w:eastAsia="CESI仿宋-GB2312" w:cs="CESI仿宋-GB2312"/>
          <w:sz w:val="32"/>
          <w:szCs w:val="32"/>
          <w:lang w:val="en-US" w:eastAsia="zh-CN"/>
        </w:rPr>
        <w:t>94.05</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color w:val="000000"/>
          <w:kern w:val="2"/>
          <w:sz w:val="32"/>
          <w:szCs w:val="24"/>
          <w:lang w:val="zh-CN"/>
        </w:rPr>
        <w:t>决算数</w:t>
      </w:r>
      <w:r>
        <w:rPr>
          <w:rFonts w:hint="eastAsia" w:ascii="CESI仿宋-GB2312" w:hAnsi="CESI仿宋-GB2312" w:eastAsia="CESI仿宋-GB2312" w:cs="CESI仿宋-GB2312"/>
          <w:color w:val="000000"/>
          <w:kern w:val="2"/>
          <w:sz w:val="32"/>
          <w:szCs w:val="24"/>
          <w:lang w:val="en-US" w:eastAsia="zh-CN"/>
        </w:rPr>
        <w:t>持平</w:t>
      </w:r>
      <w:r>
        <w:rPr>
          <w:rFonts w:hint="eastAsia" w:ascii="CESI仿宋-GB2312" w:hAnsi="CESI仿宋-GB2312" w:eastAsia="CESI仿宋-GB2312" w:cs="CESI仿宋-GB2312"/>
          <w:color w:val="000000"/>
          <w:kern w:val="2"/>
          <w:sz w:val="32"/>
          <w:szCs w:val="24"/>
          <w:lang w:val="zh-CN"/>
        </w:rPr>
        <w:t>预算数，</w:t>
      </w:r>
      <w:r>
        <w:rPr>
          <w:rFonts w:hint="eastAsia" w:ascii="CESI仿宋-GB2312" w:hAnsi="CESI仿宋-GB2312" w:eastAsia="CESI仿宋-GB2312" w:cs="CESI仿宋-GB2312"/>
          <w:color w:val="000000"/>
          <w:kern w:val="2"/>
          <w:sz w:val="32"/>
          <w:szCs w:val="24"/>
          <w:lang w:val="en-US" w:eastAsia="zh-CN"/>
        </w:rPr>
        <w:t>较去年下降的</w:t>
      </w:r>
      <w:r>
        <w:rPr>
          <w:rFonts w:hint="eastAsia" w:ascii="CESI仿宋-GB2312" w:hAnsi="CESI仿宋-GB2312" w:eastAsia="CESI仿宋-GB2312" w:cs="CESI仿宋-GB2312"/>
          <w:color w:val="000000"/>
          <w:kern w:val="2"/>
          <w:sz w:val="32"/>
          <w:szCs w:val="24"/>
          <w:lang w:val="zh-CN"/>
        </w:rPr>
        <w:t>主要原因是因为贯彻落实中央八项规定，严格控制接待费用，加强车辆管理，努力降低车辆耗费，合理安排公务出车。</w:t>
      </w:r>
    </w:p>
    <w:p>
      <w:pPr>
        <w:spacing w:line="600" w:lineRule="exact"/>
        <w:ind w:firstLine="640"/>
        <w:outlineLvl w:val="2"/>
        <w:rPr>
          <w:rFonts w:ascii="仿宋" w:hAnsi="仿宋" w:eastAsia="仿宋"/>
          <w:b/>
          <w:sz w:val="32"/>
          <w:szCs w:val="32"/>
        </w:rPr>
      </w:pPr>
      <w:bookmarkStart w:id="60" w:name="_Toc15377217"/>
      <w:r>
        <w:rPr>
          <w:rFonts w:hint="eastAsia" w:ascii="仿宋" w:hAnsi="仿宋" w:eastAsia="仿宋"/>
          <w:b/>
          <w:sz w:val="32"/>
          <w:szCs w:val="32"/>
        </w:rPr>
        <w:t>（二）“三公”经费财政拨款支出决算具体情况说明</w:t>
      </w:r>
      <w:bookmarkEnd w:id="60"/>
    </w:p>
    <w:p>
      <w:pPr>
        <w:spacing w:line="600" w:lineRule="exact"/>
        <w:ind w:firstLine="64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2023年度“三公”经费财政拨款支出决算中，因公出国（境）费支出决算0万元，占0%；公务用车购置及运行维护费支出决算0.8万元，占100%；公务接待费支出决算0万元，占0%。具体情况如下：</w:t>
      </w:r>
    </w:p>
    <w:p>
      <w:pPr>
        <w:pStyle w:val="5"/>
        <w:rPr>
          <w:rFonts w:hint="eastAsia" w:ascii="CESI仿宋-GB2312" w:hAnsi="CESI仿宋-GB2312" w:eastAsia="CESI仿宋-GB2312" w:cs="CESI仿宋-GB2312"/>
          <w:sz w:val="32"/>
          <w:szCs w:val="32"/>
        </w:rPr>
      </w:pPr>
    </w:p>
    <w:p>
      <w:pPr>
        <w:rPr>
          <w:rFonts w:hint="eastAsia" w:ascii="仿宋" w:hAnsi="仿宋" w:eastAsia="仿宋"/>
          <w:sz w:val="32"/>
          <w:szCs w:val="32"/>
        </w:rPr>
      </w:pPr>
      <w:r>
        <w:drawing>
          <wp:inline distT="0" distB="0" distL="0" distR="0">
            <wp:extent cx="5274310" cy="3076575"/>
            <wp:effectExtent l="5080" t="4445" r="16510" b="508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spacing w:line="600" w:lineRule="exact"/>
        <w:ind w:firstLine="640"/>
        <w:jc w:val="center"/>
        <w:rPr>
          <w:rFonts w:ascii="仿宋" w:hAnsi="仿宋" w:eastAsia="仿宋"/>
          <w:sz w:val="32"/>
          <w:szCs w:val="32"/>
        </w:rPr>
      </w:pPr>
      <w:r>
        <w:rPr>
          <w:rFonts w:hint="eastAsia" w:ascii="仿宋" w:hAnsi="仿宋" w:eastAsia="仿宋"/>
          <w:sz w:val="32"/>
          <w:szCs w:val="32"/>
        </w:rPr>
        <w:t>（图7：“三公”经费财政拨款支出结构）</w:t>
      </w:r>
    </w:p>
    <w:p/>
    <w:p>
      <w:pPr>
        <w:spacing w:line="600" w:lineRule="exact"/>
        <w:ind w:firstLine="643" w:firstLineChars="200"/>
        <w:jc w:val="both"/>
        <w:rPr>
          <w:rFonts w:hint="eastAsia" w:ascii="CESI仿宋-GB2312" w:hAnsi="CESI仿宋-GB2312" w:eastAsia="CESI仿宋-GB2312" w:cs="CESI仿宋-GB2312"/>
          <w:sz w:val="32"/>
          <w:szCs w:val="32"/>
          <w:lang w:val="zh-CN"/>
        </w:rPr>
      </w:pPr>
      <w:r>
        <w:rPr>
          <w:rFonts w:hint="eastAsia" w:ascii="CESI仿宋-GB2312" w:hAnsi="CESI仿宋-GB2312" w:eastAsia="CESI仿宋-GB2312" w:cs="CESI仿宋-GB2312"/>
          <w:b/>
          <w:sz w:val="32"/>
          <w:szCs w:val="32"/>
        </w:rPr>
        <w:t>1.因公出国（境）经费支出</w:t>
      </w:r>
      <w:r>
        <w:rPr>
          <w:rFonts w:hint="eastAsia" w:ascii="CESI仿宋-GB2312" w:hAnsi="CESI仿宋-GB2312" w:eastAsia="CESI仿宋-GB2312" w:cs="CESI仿宋-GB2312"/>
          <w:sz w:val="32"/>
          <w:szCs w:val="32"/>
        </w:rPr>
        <w:t>0万元，</w:t>
      </w:r>
      <w:r>
        <w:rPr>
          <w:rStyle w:val="19"/>
          <w:rFonts w:hint="eastAsia" w:ascii="CESI仿宋-GB2312" w:hAnsi="CESI仿宋-GB2312" w:eastAsia="CESI仿宋-GB2312" w:cs="CESI仿宋-GB2312"/>
          <w:b w:val="0"/>
          <w:bCs/>
          <w:sz w:val="32"/>
          <w:szCs w:val="32"/>
        </w:rPr>
        <w:t>完成预算</w:t>
      </w:r>
      <w:r>
        <w:rPr>
          <w:rFonts w:hint="eastAsia" w:ascii="CESI仿宋-GB2312" w:hAnsi="CESI仿宋-GB2312" w:eastAsia="CESI仿宋-GB2312" w:cs="CESI仿宋-GB2312"/>
          <w:sz w:val="32"/>
          <w:szCs w:val="32"/>
        </w:rPr>
        <w:t>0</w:t>
      </w:r>
      <w:r>
        <w:rPr>
          <w:rStyle w:val="19"/>
          <w:rFonts w:hint="eastAsia" w:ascii="CESI仿宋-GB2312" w:hAnsi="CESI仿宋-GB2312" w:eastAsia="CESI仿宋-GB2312" w:cs="CESI仿宋-GB2312"/>
          <w:b w:val="0"/>
          <w:bCs/>
          <w:sz w:val="32"/>
          <w:szCs w:val="32"/>
        </w:rPr>
        <w:t>%。</w:t>
      </w:r>
      <w:r>
        <w:rPr>
          <w:rFonts w:hint="eastAsia" w:ascii="CESI仿宋-GB2312" w:hAnsi="CESI仿宋-GB2312" w:eastAsia="CESI仿宋-GB2312" w:cs="CESI仿宋-GB2312"/>
          <w:sz w:val="32"/>
          <w:szCs w:val="32"/>
        </w:rPr>
        <w:t>全年安排因公出国（境）团组0次，出国（境）0人。因公出国（境）支出决算2022年</w:t>
      </w:r>
      <w:r>
        <w:rPr>
          <w:rFonts w:hint="eastAsia" w:ascii="CESI仿宋-GB2312" w:hAnsi="CESI仿宋-GB2312" w:eastAsia="CESI仿宋-GB2312" w:cs="CESI仿宋-GB2312"/>
          <w:sz w:val="32"/>
          <w:szCs w:val="32"/>
          <w:lang w:eastAsia="zh-CN"/>
        </w:rPr>
        <w:t>持平</w:t>
      </w:r>
      <w:r>
        <w:rPr>
          <w:rFonts w:hint="eastAsia" w:ascii="CESI仿宋-GB2312" w:hAnsi="CESI仿宋-GB2312" w:eastAsia="CESI仿宋-GB2312" w:cs="CESI仿宋-GB2312"/>
          <w:sz w:val="32"/>
          <w:szCs w:val="32"/>
        </w:rPr>
        <w:t>。主要原因是</w:t>
      </w:r>
      <w:r>
        <w:rPr>
          <w:rFonts w:hint="eastAsia" w:ascii="CESI仿宋-GB2312" w:hAnsi="CESI仿宋-GB2312" w:eastAsia="CESI仿宋-GB2312" w:cs="CESI仿宋-GB2312"/>
          <w:sz w:val="32"/>
          <w:szCs w:val="32"/>
          <w:lang w:val="en-US" w:eastAsia="zh-CN"/>
        </w:rPr>
        <w:t>2022年、</w:t>
      </w:r>
      <w:r>
        <w:rPr>
          <w:rFonts w:hint="eastAsia" w:ascii="CESI仿宋-GB2312" w:hAnsi="CESI仿宋-GB2312" w:eastAsia="CESI仿宋-GB2312" w:cs="CESI仿宋-GB2312"/>
          <w:sz w:val="32"/>
          <w:szCs w:val="32"/>
          <w:lang w:val="zh-CN"/>
        </w:rPr>
        <w:t>202</w:t>
      </w:r>
      <w:r>
        <w:rPr>
          <w:rFonts w:hint="eastAsia" w:ascii="CESI仿宋-GB2312" w:hAnsi="CESI仿宋-GB2312" w:eastAsia="CESI仿宋-GB2312" w:cs="CESI仿宋-GB2312"/>
          <w:sz w:val="32"/>
          <w:szCs w:val="32"/>
          <w:lang w:val="en-US" w:eastAsia="zh-CN"/>
        </w:rPr>
        <w:t>3</w:t>
      </w:r>
      <w:r>
        <w:rPr>
          <w:rFonts w:hint="eastAsia" w:ascii="CESI仿宋-GB2312" w:hAnsi="CESI仿宋-GB2312" w:eastAsia="CESI仿宋-GB2312" w:cs="CESI仿宋-GB2312"/>
          <w:sz w:val="32"/>
          <w:szCs w:val="32"/>
          <w:lang w:val="zh-CN"/>
        </w:rPr>
        <w:t xml:space="preserve"> 年无因公出国（境）任务安排，无出国（境）团组人次，无因公出国（境）费拨款支出。</w:t>
      </w:r>
    </w:p>
    <w:p>
      <w:pPr>
        <w:spacing w:line="600" w:lineRule="exact"/>
        <w:ind w:firstLine="643" w:firstLineChars="200"/>
        <w:rPr>
          <w:rFonts w:hint="eastAsia" w:ascii="CESI仿宋-GB2312" w:hAnsi="CESI仿宋-GB2312" w:eastAsia="CESI仿宋-GB2312" w:cs="CESI仿宋-GB2312"/>
          <w:b/>
          <w:sz w:val="32"/>
          <w:szCs w:val="32"/>
        </w:rPr>
      </w:pPr>
      <w:r>
        <w:rPr>
          <w:rFonts w:hint="eastAsia" w:ascii="CESI仿宋-GB2312" w:hAnsi="CESI仿宋-GB2312" w:eastAsia="CESI仿宋-GB2312" w:cs="CESI仿宋-GB2312"/>
          <w:b/>
          <w:sz w:val="32"/>
          <w:szCs w:val="32"/>
        </w:rPr>
        <w:t>2.公务用车购置及运行维护费支出</w:t>
      </w:r>
      <w:r>
        <w:rPr>
          <w:rFonts w:hint="eastAsia" w:ascii="CESI仿宋-GB2312" w:hAnsi="CESI仿宋-GB2312" w:eastAsia="CESI仿宋-GB2312" w:cs="CESI仿宋-GB2312"/>
          <w:sz w:val="32"/>
          <w:szCs w:val="32"/>
        </w:rPr>
        <w:t>0.8万元,</w:t>
      </w:r>
      <w:r>
        <w:rPr>
          <w:rStyle w:val="19"/>
          <w:rFonts w:hint="eastAsia" w:ascii="CESI仿宋-GB2312" w:hAnsi="CESI仿宋-GB2312" w:eastAsia="CESI仿宋-GB2312" w:cs="CESI仿宋-GB2312"/>
          <w:b w:val="0"/>
          <w:bCs/>
          <w:sz w:val="32"/>
          <w:szCs w:val="32"/>
        </w:rPr>
        <w:t>完成预算</w:t>
      </w:r>
      <w:r>
        <w:rPr>
          <w:rFonts w:hint="eastAsia" w:ascii="CESI仿宋-GB2312" w:hAnsi="CESI仿宋-GB2312" w:eastAsia="CESI仿宋-GB2312" w:cs="CESI仿宋-GB2312"/>
          <w:sz w:val="32"/>
          <w:szCs w:val="32"/>
        </w:rPr>
        <w:t>100</w:t>
      </w:r>
      <w:r>
        <w:rPr>
          <w:rStyle w:val="19"/>
          <w:rFonts w:hint="eastAsia" w:ascii="CESI仿宋-GB2312" w:hAnsi="CESI仿宋-GB2312" w:eastAsia="CESI仿宋-GB2312" w:cs="CESI仿宋-GB2312"/>
          <w:b w:val="0"/>
          <w:bCs/>
          <w:sz w:val="32"/>
          <w:szCs w:val="32"/>
        </w:rPr>
        <w:t>%。</w:t>
      </w:r>
      <w:r>
        <w:rPr>
          <w:rFonts w:hint="eastAsia" w:ascii="CESI仿宋-GB2312" w:hAnsi="CESI仿宋-GB2312" w:eastAsia="CESI仿宋-GB2312" w:cs="CESI仿宋-GB2312"/>
          <w:sz w:val="32"/>
          <w:szCs w:val="32"/>
        </w:rPr>
        <w:t>公务用车购置及运行维护费支出决算比2022年度减少</w:t>
      </w:r>
      <w:r>
        <w:rPr>
          <w:rFonts w:hint="eastAsia" w:ascii="CESI仿宋-GB2312" w:hAnsi="CESI仿宋-GB2312" w:eastAsia="CESI仿宋-GB2312" w:cs="CESI仿宋-GB2312"/>
          <w:sz w:val="32"/>
          <w:szCs w:val="32"/>
          <w:lang w:val="en-US" w:eastAsia="zh-CN"/>
        </w:rPr>
        <w:t>12.65</w:t>
      </w:r>
      <w:r>
        <w:rPr>
          <w:rFonts w:hint="eastAsia" w:ascii="CESI仿宋-GB2312" w:hAnsi="CESI仿宋-GB2312" w:eastAsia="CESI仿宋-GB2312" w:cs="CESI仿宋-GB2312"/>
          <w:sz w:val="32"/>
          <w:szCs w:val="32"/>
        </w:rPr>
        <w:t>万元，下降</w:t>
      </w:r>
      <w:r>
        <w:rPr>
          <w:rFonts w:hint="eastAsia" w:ascii="CESI仿宋-GB2312" w:hAnsi="CESI仿宋-GB2312" w:eastAsia="CESI仿宋-GB2312" w:cs="CESI仿宋-GB2312"/>
          <w:sz w:val="32"/>
          <w:szCs w:val="32"/>
          <w:lang w:val="en-US" w:eastAsia="zh-CN"/>
        </w:rPr>
        <w:t>94.05</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color w:val="000000"/>
          <w:kern w:val="2"/>
          <w:sz w:val="32"/>
          <w:szCs w:val="24"/>
          <w:lang w:val="en-US" w:eastAsia="zh-CN"/>
        </w:rPr>
        <w:t>较去年下降的</w:t>
      </w:r>
      <w:r>
        <w:rPr>
          <w:rFonts w:hint="eastAsia" w:ascii="CESI仿宋-GB2312" w:hAnsi="CESI仿宋-GB2312" w:eastAsia="CESI仿宋-GB2312" w:cs="CESI仿宋-GB2312"/>
          <w:color w:val="000000"/>
          <w:kern w:val="2"/>
          <w:sz w:val="32"/>
          <w:szCs w:val="24"/>
          <w:lang w:val="zh-CN"/>
        </w:rPr>
        <w:t>主要原因是因为贯彻落实中央八项规定，严格控制接待费用，加强车辆管理，努力降低车辆耗费，合理安排公务出车。</w:t>
      </w:r>
    </w:p>
    <w:p>
      <w:pPr>
        <w:spacing w:line="600" w:lineRule="exact"/>
        <w:ind w:firstLine="640" w:firstLineChars="200"/>
        <w:rPr>
          <w:rFonts w:hint="eastAsia" w:ascii="CESI仿宋-GB2312" w:hAnsi="CESI仿宋-GB2312" w:eastAsia="CESI仿宋-GB2312" w:cs="CESI仿宋-GB2312"/>
          <w:b/>
          <w:sz w:val="32"/>
          <w:szCs w:val="32"/>
          <w:highlight w:val="none"/>
        </w:rPr>
      </w:pPr>
      <w:r>
        <w:rPr>
          <w:rFonts w:hint="eastAsia" w:ascii="CESI仿宋-GB2312" w:hAnsi="CESI仿宋-GB2312" w:eastAsia="CESI仿宋-GB2312" w:cs="CESI仿宋-GB2312"/>
          <w:sz w:val="32"/>
          <w:szCs w:val="32"/>
        </w:rPr>
        <w:t>其中：</w:t>
      </w:r>
      <w:r>
        <w:rPr>
          <w:rFonts w:hint="eastAsia" w:ascii="CESI仿宋-GB2312" w:hAnsi="CESI仿宋-GB2312" w:eastAsia="CESI仿宋-GB2312" w:cs="CESI仿宋-GB2312"/>
          <w:b/>
          <w:sz w:val="32"/>
          <w:szCs w:val="32"/>
        </w:rPr>
        <w:t>公务用车购置支出</w:t>
      </w:r>
      <w:r>
        <w:rPr>
          <w:rFonts w:hint="eastAsia" w:ascii="CESI仿宋-GB2312" w:hAnsi="CESI仿宋-GB2312" w:eastAsia="CESI仿宋-GB2312" w:cs="CESI仿宋-GB2312"/>
          <w:sz w:val="32"/>
          <w:szCs w:val="32"/>
        </w:rPr>
        <w:t>0万元。全年按规定更新购置公务用车</w:t>
      </w:r>
      <w:r>
        <w:rPr>
          <w:rFonts w:hint="eastAsia" w:ascii="CESI仿宋-GB2312" w:hAnsi="CESI仿宋-GB2312" w:eastAsia="CESI仿宋-GB2312" w:cs="CESI仿宋-GB2312"/>
          <w:sz w:val="32"/>
          <w:szCs w:val="32"/>
          <w:lang w:val="en-US" w:eastAsia="zh-CN"/>
        </w:rPr>
        <w:t>0</w:t>
      </w:r>
      <w:r>
        <w:rPr>
          <w:rFonts w:hint="eastAsia" w:ascii="CESI仿宋-GB2312" w:hAnsi="CESI仿宋-GB2312" w:eastAsia="CESI仿宋-GB2312" w:cs="CESI仿宋-GB2312"/>
          <w:sz w:val="32"/>
          <w:szCs w:val="32"/>
        </w:rPr>
        <w:t>辆，其中：轿车</w:t>
      </w:r>
      <w:r>
        <w:rPr>
          <w:rFonts w:hint="eastAsia" w:ascii="CESI仿宋-GB2312" w:hAnsi="CESI仿宋-GB2312" w:eastAsia="CESI仿宋-GB2312" w:cs="CESI仿宋-GB2312"/>
          <w:sz w:val="32"/>
          <w:szCs w:val="32"/>
          <w:lang w:val="en-US" w:eastAsia="zh-CN"/>
        </w:rPr>
        <w:t>0</w:t>
      </w:r>
      <w:r>
        <w:rPr>
          <w:rFonts w:hint="eastAsia" w:ascii="CESI仿宋-GB2312" w:hAnsi="CESI仿宋-GB2312" w:eastAsia="CESI仿宋-GB2312" w:cs="CESI仿宋-GB2312"/>
          <w:sz w:val="32"/>
          <w:szCs w:val="32"/>
        </w:rPr>
        <w:t>辆、金额</w:t>
      </w:r>
      <w:r>
        <w:rPr>
          <w:rFonts w:hint="eastAsia" w:ascii="CESI仿宋-GB2312" w:hAnsi="CESI仿宋-GB2312" w:eastAsia="CESI仿宋-GB2312" w:cs="CESI仿宋-GB2312"/>
          <w:sz w:val="32"/>
          <w:szCs w:val="32"/>
          <w:lang w:val="en-US" w:eastAsia="zh-CN"/>
        </w:rPr>
        <w:t>0</w:t>
      </w:r>
      <w:r>
        <w:rPr>
          <w:rFonts w:hint="eastAsia" w:ascii="CESI仿宋-GB2312" w:hAnsi="CESI仿宋-GB2312" w:eastAsia="CESI仿宋-GB2312" w:cs="CESI仿宋-GB2312"/>
          <w:sz w:val="32"/>
          <w:szCs w:val="32"/>
        </w:rPr>
        <w:t>万元，越野车</w:t>
      </w:r>
      <w:r>
        <w:rPr>
          <w:rFonts w:hint="eastAsia" w:ascii="CESI仿宋-GB2312" w:hAnsi="CESI仿宋-GB2312" w:eastAsia="CESI仿宋-GB2312" w:cs="CESI仿宋-GB2312"/>
          <w:sz w:val="32"/>
          <w:szCs w:val="32"/>
          <w:lang w:val="en-US" w:eastAsia="zh-CN"/>
        </w:rPr>
        <w:t>0</w:t>
      </w:r>
      <w:r>
        <w:rPr>
          <w:rFonts w:hint="eastAsia" w:ascii="CESI仿宋-GB2312" w:hAnsi="CESI仿宋-GB2312" w:eastAsia="CESI仿宋-GB2312" w:cs="CESI仿宋-GB2312"/>
          <w:sz w:val="32"/>
          <w:szCs w:val="32"/>
        </w:rPr>
        <w:t>辆、金额</w:t>
      </w:r>
      <w:r>
        <w:rPr>
          <w:rFonts w:hint="eastAsia" w:ascii="CESI仿宋-GB2312" w:hAnsi="CESI仿宋-GB2312" w:eastAsia="CESI仿宋-GB2312" w:cs="CESI仿宋-GB2312"/>
          <w:sz w:val="32"/>
          <w:szCs w:val="32"/>
          <w:lang w:val="en-US" w:eastAsia="zh-CN"/>
        </w:rPr>
        <w:t>0</w:t>
      </w:r>
      <w:r>
        <w:rPr>
          <w:rFonts w:hint="eastAsia" w:ascii="CESI仿宋-GB2312" w:hAnsi="CESI仿宋-GB2312" w:eastAsia="CESI仿宋-GB2312" w:cs="CESI仿宋-GB2312"/>
          <w:sz w:val="32"/>
          <w:szCs w:val="32"/>
        </w:rPr>
        <w:t>万元，载客汽车</w:t>
      </w:r>
      <w:r>
        <w:rPr>
          <w:rFonts w:hint="eastAsia" w:ascii="CESI仿宋-GB2312" w:hAnsi="CESI仿宋-GB2312" w:eastAsia="CESI仿宋-GB2312" w:cs="CESI仿宋-GB2312"/>
          <w:sz w:val="32"/>
          <w:szCs w:val="32"/>
          <w:lang w:val="en-US" w:eastAsia="zh-CN"/>
        </w:rPr>
        <w:t>0</w:t>
      </w:r>
      <w:r>
        <w:rPr>
          <w:rFonts w:hint="eastAsia" w:ascii="CESI仿宋-GB2312" w:hAnsi="CESI仿宋-GB2312" w:eastAsia="CESI仿宋-GB2312" w:cs="CESI仿宋-GB2312"/>
          <w:sz w:val="32"/>
          <w:szCs w:val="32"/>
        </w:rPr>
        <w:t>辆、金额</w:t>
      </w:r>
      <w:r>
        <w:rPr>
          <w:rFonts w:hint="eastAsia" w:ascii="CESI仿宋-GB2312" w:hAnsi="CESI仿宋-GB2312" w:eastAsia="CESI仿宋-GB2312" w:cs="CESI仿宋-GB2312"/>
          <w:sz w:val="32"/>
          <w:szCs w:val="32"/>
          <w:lang w:val="en-US" w:eastAsia="zh-CN"/>
        </w:rPr>
        <w:t>0</w:t>
      </w:r>
      <w:r>
        <w:rPr>
          <w:rFonts w:hint="eastAsia" w:ascii="CESI仿宋-GB2312" w:hAnsi="CESI仿宋-GB2312" w:eastAsia="CESI仿宋-GB2312" w:cs="CESI仿宋-GB2312"/>
          <w:sz w:val="32"/>
          <w:szCs w:val="32"/>
        </w:rPr>
        <w:t>万元，截至2023年12月31日，</w:t>
      </w:r>
      <w:r>
        <w:rPr>
          <w:rFonts w:hint="eastAsia" w:ascii="CESI仿宋-GB2312" w:hAnsi="CESI仿宋-GB2312" w:eastAsia="CESI仿宋-GB2312" w:cs="CESI仿宋-GB2312"/>
          <w:sz w:val="32"/>
          <w:szCs w:val="32"/>
          <w:highlight w:val="none"/>
        </w:rPr>
        <w:t>单位共有公务用车</w:t>
      </w:r>
      <w:r>
        <w:rPr>
          <w:rFonts w:hint="eastAsia" w:ascii="CESI仿宋-GB2312" w:hAnsi="CESI仿宋-GB2312" w:eastAsia="CESI仿宋-GB2312" w:cs="CESI仿宋-GB2312"/>
          <w:sz w:val="32"/>
          <w:szCs w:val="32"/>
          <w:highlight w:val="none"/>
          <w:lang w:val="en-US" w:eastAsia="zh-CN"/>
        </w:rPr>
        <w:t>2</w:t>
      </w:r>
      <w:r>
        <w:rPr>
          <w:rFonts w:hint="eastAsia" w:ascii="CESI仿宋-GB2312" w:hAnsi="CESI仿宋-GB2312" w:eastAsia="CESI仿宋-GB2312" w:cs="CESI仿宋-GB2312"/>
          <w:sz w:val="32"/>
          <w:szCs w:val="32"/>
          <w:highlight w:val="none"/>
        </w:rPr>
        <w:t>辆，其中：轿车</w:t>
      </w:r>
      <w:r>
        <w:rPr>
          <w:rFonts w:hint="eastAsia" w:ascii="CESI仿宋-GB2312" w:hAnsi="CESI仿宋-GB2312" w:eastAsia="CESI仿宋-GB2312" w:cs="CESI仿宋-GB2312"/>
          <w:sz w:val="32"/>
          <w:szCs w:val="32"/>
          <w:highlight w:val="none"/>
          <w:lang w:val="en-US" w:eastAsia="zh-CN"/>
        </w:rPr>
        <w:t>0</w:t>
      </w:r>
      <w:r>
        <w:rPr>
          <w:rFonts w:hint="eastAsia" w:ascii="CESI仿宋-GB2312" w:hAnsi="CESI仿宋-GB2312" w:eastAsia="CESI仿宋-GB2312" w:cs="CESI仿宋-GB2312"/>
          <w:sz w:val="32"/>
          <w:szCs w:val="32"/>
          <w:highlight w:val="none"/>
        </w:rPr>
        <w:t>辆、越野车</w:t>
      </w:r>
      <w:r>
        <w:rPr>
          <w:rFonts w:hint="eastAsia" w:ascii="CESI仿宋-GB2312" w:hAnsi="CESI仿宋-GB2312" w:eastAsia="CESI仿宋-GB2312" w:cs="CESI仿宋-GB2312"/>
          <w:sz w:val="32"/>
          <w:szCs w:val="32"/>
          <w:highlight w:val="none"/>
          <w:lang w:val="en-US" w:eastAsia="zh-CN"/>
        </w:rPr>
        <w:t>0</w:t>
      </w:r>
      <w:r>
        <w:rPr>
          <w:rFonts w:hint="eastAsia" w:ascii="CESI仿宋-GB2312" w:hAnsi="CESI仿宋-GB2312" w:eastAsia="CESI仿宋-GB2312" w:cs="CESI仿宋-GB2312"/>
          <w:sz w:val="32"/>
          <w:szCs w:val="32"/>
          <w:highlight w:val="none"/>
        </w:rPr>
        <w:t>辆、载客汽车</w:t>
      </w:r>
      <w:r>
        <w:rPr>
          <w:rFonts w:hint="eastAsia" w:ascii="CESI仿宋-GB2312" w:hAnsi="CESI仿宋-GB2312" w:eastAsia="CESI仿宋-GB2312" w:cs="CESI仿宋-GB2312"/>
          <w:sz w:val="32"/>
          <w:szCs w:val="32"/>
          <w:highlight w:val="none"/>
          <w:lang w:val="en-US" w:eastAsia="zh-CN"/>
        </w:rPr>
        <w:t>0</w:t>
      </w:r>
      <w:r>
        <w:rPr>
          <w:rFonts w:hint="eastAsia" w:ascii="CESI仿宋-GB2312" w:hAnsi="CESI仿宋-GB2312" w:eastAsia="CESI仿宋-GB2312" w:cs="CESI仿宋-GB2312"/>
          <w:sz w:val="32"/>
          <w:szCs w:val="32"/>
          <w:highlight w:val="none"/>
        </w:rPr>
        <w:t>辆。</w:t>
      </w:r>
    </w:p>
    <w:p>
      <w:pPr>
        <w:spacing w:line="600" w:lineRule="exact"/>
        <w:ind w:firstLine="640"/>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sz w:val="32"/>
          <w:szCs w:val="32"/>
        </w:rPr>
        <w:t>公务用车运行维护费支出</w:t>
      </w:r>
      <w:r>
        <w:rPr>
          <w:rFonts w:hint="eastAsia" w:ascii="CESI仿宋-GB2312" w:hAnsi="CESI仿宋-GB2312" w:eastAsia="CESI仿宋-GB2312" w:cs="CESI仿宋-GB2312"/>
          <w:sz w:val="32"/>
          <w:szCs w:val="32"/>
        </w:rPr>
        <w:t>0.8万元。主要用于开展日常工作、保障机关运转等所需的公务用车燃料费、维修费、过路过桥费、保险费等支出。</w:t>
      </w:r>
    </w:p>
    <w:p>
      <w:pPr>
        <w:spacing w:line="600" w:lineRule="exact"/>
        <w:ind w:firstLine="640"/>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sz w:val="32"/>
          <w:szCs w:val="32"/>
        </w:rPr>
        <w:t>3.公务接待费支出</w:t>
      </w:r>
      <w:r>
        <w:rPr>
          <w:rFonts w:hint="eastAsia" w:ascii="CESI仿宋-GB2312" w:hAnsi="CESI仿宋-GB2312" w:eastAsia="CESI仿宋-GB2312" w:cs="CESI仿宋-GB2312"/>
          <w:sz w:val="32"/>
          <w:szCs w:val="32"/>
        </w:rPr>
        <w:t>0万元，</w:t>
      </w:r>
      <w:r>
        <w:rPr>
          <w:rStyle w:val="19"/>
          <w:rFonts w:hint="eastAsia" w:ascii="CESI仿宋-GB2312" w:hAnsi="CESI仿宋-GB2312" w:eastAsia="CESI仿宋-GB2312" w:cs="CESI仿宋-GB2312"/>
          <w:b w:val="0"/>
          <w:bCs/>
          <w:sz w:val="32"/>
          <w:szCs w:val="32"/>
        </w:rPr>
        <w:t>完成预算</w:t>
      </w:r>
      <w:r>
        <w:rPr>
          <w:rFonts w:hint="eastAsia" w:ascii="CESI仿宋-GB2312" w:hAnsi="CESI仿宋-GB2312" w:eastAsia="CESI仿宋-GB2312" w:cs="CESI仿宋-GB2312"/>
          <w:sz w:val="32"/>
          <w:szCs w:val="32"/>
        </w:rPr>
        <w:t>0%</w:t>
      </w:r>
      <w:r>
        <w:rPr>
          <w:rStyle w:val="19"/>
          <w:rFonts w:hint="eastAsia" w:ascii="CESI仿宋-GB2312" w:hAnsi="CESI仿宋-GB2312" w:eastAsia="CESI仿宋-GB2312" w:cs="CESI仿宋-GB2312"/>
          <w:b w:val="0"/>
          <w:bCs/>
          <w:sz w:val="32"/>
          <w:szCs w:val="32"/>
        </w:rPr>
        <w:t>。</w:t>
      </w:r>
      <w:r>
        <w:rPr>
          <w:rFonts w:hint="eastAsia" w:ascii="CESI仿宋-GB2312" w:hAnsi="CESI仿宋-GB2312" w:eastAsia="CESI仿宋-GB2312" w:cs="CESI仿宋-GB2312"/>
          <w:sz w:val="32"/>
          <w:szCs w:val="32"/>
        </w:rPr>
        <w:t>公务接待费支出决算比2022年度减少0.13万元，下降100%。主要原因是因为贯彻落实中央八项规定，严格控制接待费用。其中：国内公务接待支出0万元，2023年无公务接待。外事接待支出0万元，2023年无外事接待。</w:t>
      </w:r>
    </w:p>
    <w:p>
      <w:pPr>
        <w:spacing w:line="600" w:lineRule="exact"/>
        <w:ind w:firstLine="64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b/>
          <w:sz w:val="32"/>
          <w:szCs w:val="32"/>
        </w:rPr>
        <w:t>国内公务接待支出</w:t>
      </w:r>
      <w:r>
        <w:rPr>
          <w:rFonts w:hint="eastAsia" w:ascii="CESI仿宋-GB2312" w:hAnsi="CESI仿宋-GB2312" w:eastAsia="CESI仿宋-GB2312" w:cs="CESI仿宋-GB2312"/>
          <w:b/>
          <w:sz w:val="32"/>
          <w:szCs w:val="32"/>
          <w:lang w:val="en-US" w:eastAsia="zh-CN"/>
        </w:rPr>
        <w:t>0</w:t>
      </w:r>
      <w:r>
        <w:rPr>
          <w:rFonts w:hint="eastAsia" w:ascii="CESI仿宋-GB2312" w:hAnsi="CESI仿宋-GB2312" w:eastAsia="CESI仿宋-GB2312" w:cs="CESI仿宋-GB2312"/>
          <w:sz w:val="32"/>
          <w:szCs w:val="32"/>
        </w:rPr>
        <w:t>万元，</w:t>
      </w:r>
      <w:r>
        <w:rPr>
          <w:rFonts w:hint="eastAsia" w:ascii="CESI仿宋-GB2312" w:hAnsi="CESI仿宋-GB2312" w:eastAsia="CESI仿宋-GB2312" w:cs="CESI仿宋-GB2312"/>
          <w:sz w:val="32"/>
          <w:szCs w:val="32"/>
          <w:lang w:val="en-US" w:eastAsia="zh-CN"/>
        </w:rPr>
        <w:t>2023年无</w:t>
      </w:r>
      <w:r>
        <w:rPr>
          <w:rFonts w:hint="eastAsia" w:ascii="CESI仿宋-GB2312" w:hAnsi="CESI仿宋-GB2312" w:eastAsia="CESI仿宋-GB2312" w:cs="CESI仿宋-GB2312"/>
          <w:b/>
          <w:sz w:val="32"/>
          <w:szCs w:val="32"/>
        </w:rPr>
        <w:t>国内公务接待</w:t>
      </w:r>
      <w:r>
        <w:rPr>
          <w:rFonts w:hint="eastAsia" w:ascii="CESI仿宋-GB2312" w:hAnsi="CESI仿宋-GB2312" w:eastAsia="CESI仿宋-GB2312" w:cs="CESI仿宋-GB2312"/>
          <w:b/>
          <w:sz w:val="32"/>
          <w:szCs w:val="32"/>
          <w:lang w:eastAsia="zh-CN"/>
        </w:rPr>
        <w:t>支出</w:t>
      </w:r>
      <w:r>
        <w:rPr>
          <w:rFonts w:hint="eastAsia" w:ascii="CESI仿宋-GB2312" w:hAnsi="CESI仿宋-GB2312" w:eastAsia="CESI仿宋-GB2312" w:cs="CESI仿宋-GB2312"/>
          <w:sz w:val="32"/>
          <w:szCs w:val="32"/>
          <w:lang w:val="zh-CN" w:eastAsia="zh-CN"/>
        </w:rPr>
        <w:t>。</w:t>
      </w:r>
    </w:p>
    <w:p>
      <w:pPr>
        <w:spacing w:line="600" w:lineRule="exact"/>
        <w:ind w:firstLine="643"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sz w:val="32"/>
          <w:szCs w:val="32"/>
        </w:rPr>
        <w:t>外事接待支出</w:t>
      </w:r>
      <w:r>
        <w:rPr>
          <w:rFonts w:hint="eastAsia" w:ascii="CESI仿宋-GB2312" w:hAnsi="CESI仿宋-GB2312" w:eastAsia="CESI仿宋-GB2312" w:cs="CESI仿宋-GB2312"/>
          <w:b/>
          <w:sz w:val="32"/>
          <w:szCs w:val="32"/>
          <w:lang w:val="en-US" w:eastAsia="zh-CN"/>
        </w:rPr>
        <w:t>0</w:t>
      </w:r>
      <w:r>
        <w:rPr>
          <w:rFonts w:hint="eastAsia" w:ascii="CESI仿宋-GB2312" w:hAnsi="CESI仿宋-GB2312" w:eastAsia="CESI仿宋-GB2312" w:cs="CESI仿宋-GB2312"/>
          <w:sz w:val="32"/>
          <w:szCs w:val="32"/>
        </w:rPr>
        <w:t>万元，</w:t>
      </w:r>
      <w:r>
        <w:rPr>
          <w:rFonts w:hint="eastAsia" w:ascii="CESI仿宋-GB2312" w:hAnsi="CESI仿宋-GB2312" w:eastAsia="CESI仿宋-GB2312" w:cs="CESI仿宋-GB2312"/>
          <w:sz w:val="32"/>
          <w:szCs w:val="32"/>
          <w:lang w:val="en-US" w:eastAsia="zh-CN"/>
        </w:rPr>
        <w:t>2023年无外事接待</w:t>
      </w:r>
      <w:r>
        <w:rPr>
          <w:rFonts w:hint="eastAsia" w:ascii="CESI仿宋-GB2312" w:hAnsi="CESI仿宋-GB2312" w:eastAsia="CESI仿宋-GB2312" w:cs="CESI仿宋-GB2312"/>
          <w:sz w:val="32"/>
          <w:szCs w:val="32"/>
          <w:lang w:val="zh-CN" w:eastAsia="zh-CN"/>
        </w:rPr>
        <w:t>。</w:t>
      </w:r>
      <w:bookmarkStart w:id="61" w:name="_Toc15396610"/>
      <w:bookmarkStart w:id="62" w:name="_Toc15377218"/>
    </w:p>
    <w:p>
      <w:pPr>
        <w:spacing w:line="600" w:lineRule="exact"/>
        <w:ind w:firstLine="640"/>
        <w:outlineLvl w:val="1"/>
        <w:rPr>
          <w:rStyle w:val="31"/>
          <w:rFonts w:ascii="黑体" w:hAnsi="黑体" w:eastAsia="黑体"/>
        </w:rPr>
      </w:pPr>
      <w:r>
        <w:rPr>
          <w:rFonts w:hint="eastAsia" w:ascii="黑体" w:eastAsia="黑体"/>
          <w:sz w:val="32"/>
          <w:szCs w:val="32"/>
        </w:rPr>
        <w:t>八、</w:t>
      </w:r>
      <w:r>
        <w:rPr>
          <w:rStyle w:val="31"/>
          <w:rFonts w:hint="eastAsia" w:ascii="黑体" w:hAnsi="黑体" w:eastAsia="黑体"/>
          <w:b w:val="0"/>
        </w:rPr>
        <w:t>政府性基金预算支出决算情况说明</w:t>
      </w:r>
      <w:bookmarkEnd w:id="61"/>
      <w:bookmarkEnd w:id="62"/>
    </w:p>
    <w:p>
      <w:pPr>
        <w:spacing w:line="600" w:lineRule="exact"/>
        <w:ind w:firstLine="640"/>
        <w:rPr>
          <w:rFonts w:hint="eastAsia" w:ascii="CESI仿宋-GB2312" w:hAnsi="CESI仿宋-GB2312" w:eastAsia="CESI仿宋-GB2312" w:cs="CESI仿宋-GB2312"/>
          <w:sz w:val="32"/>
          <w:szCs w:val="32"/>
          <w:highlight w:val="none"/>
        </w:rPr>
      </w:pPr>
      <w:r>
        <w:rPr>
          <w:rFonts w:hint="eastAsia" w:ascii="CESI仿宋-GB2312" w:hAnsi="CESI仿宋-GB2312" w:eastAsia="CESI仿宋-GB2312" w:cs="CESI仿宋-GB2312"/>
          <w:sz w:val="32"/>
          <w:szCs w:val="32"/>
          <w:highlight w:val="none"/>
        </w:rPr>
        <w:t>2023年度政府性基金预算财政拨款支出5004.06万元。</w:t>
      </w:r>
    </w:p>
    <w:p>
      <w:pPr>
        <w:spacing w:line="600" w:lineRule="exact"/>
        <w:rPr>
          <w:rFonts w:hint="eastAsia" w:ascii="CESI仿宋-GB2312" w:hAnsi="CESI仿宋-GB2312" w:eastAsia="CESI仿宋-GB2312" w:cs="CESI仿宋-GB2312"/>
          <w:sz w:val="32"/>
          <w:szCs w:val="32"/>
          <w:highlight w:val="yellow"/>
        </w:rPr>
      </w:pPr>
      <w:r>
        <w:rPr>
          <w:rFonts w:hint="eastAsia" w:ascii="CESI仿宋-GB2312" w:hAnsi="CESI仿宋-GB2312" w:eastAsia="CESI仿宋-GB2312" w:cs="CESI仿宋-GB2312"/>
          <w:sz w:val="32"/>
          <w:szCs w:val="32"/>
          <w:highlight w:val="none"/>
        </w:rPr>
        <w:t>其中：</w:t>
      </w:r>
    </w:p>
    <w:p>
      <w:pPr>
        <w:numPr>
          <w:ilvl w:val="0"/>
          <w:numId w:val="0"/>
        </w:numPr>
        <w:ind w:firstLine="640" w:firstLineChars="200"/>
        <w:rPr>
          <w:rFonts w:ascii="仿宋_GB2312" w:eastAsia="仿宋_GB2312"/>
          <w:sz w:val="32"/>
          <w:szCs w:val="32"/>
        </w:rPr>
      </w:pPr>
      <w:r>
        <w:rPr>
          <w:rFonts w:hint="eastAsia" w:ascii="CESI仿宋-GB2312" w:hAnsi="CESI仿宋-GB2312" w:eastAsia="CESI仿宋-GB2312" w:cs="CESI仿宋-GB2312"/>
          <w:sz w:val="32"/>
          <w:szCs w:val="32"/>
        </w:rPr>
        <w:t>其他支出（229类）其他政府性基金及对应专项债务收入安排的支出（22904款）其他地方自行试点项目收益专项债券收入安排的支出（2290402项）5000.00万元，属于县财政下达新增专项债券用于盐边县第二人民医院建设项目资金。其他支出（229类）彩票公益金安排的支出</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22960款）用于社会福利的彩票公益金支出（2296002项）</w:t>
      </w:r>
      <w:r>
        <w:rPr>
          <w:rFonts w:hint="eastAsia" w:ascii="CESI仿宋-GB2312" w:hAnsi="CESI仿宋-GB2312" w:eastAsia="CESI仿宋-GB2312" w:cs="CESI仿宋-GB2312"/>
          <w:sz w:val="32"/>
          <w:szCs w:val="32"/>
          <w:lang w:val="en-US" w:eastAsia="zh-CN"/>
        </w:rPr>
        <w:t>4.06万元，</w:t>
      </w:r>
      <w:r>
        <w:rPr>
          <w:rFonts w:hint="eastAsia" w:ascii="CESI仿宋-GB2312" w:hAnsi="CESI仿宋-GB2312" w:eastAsia="CESI仿宋-GB2312" w:cs="CESI仿宋-GB2312"/>
          <w:sz w:val="32"/>
          <w:szCs w:val="32"/>
        </w:rPr>
        <w:t>属于县财政下达新增专项债券</w:t>
      </w:r>
      <w:r>
        <w:rPr>
          <w:rFonts w:hint="eastAsia" w:ascii="CESI仿宋-GB2312" w:hAnsi="CESI仿宋-GB2312" w:eastAsia="CESI仿宋-GB2312" w:cs="CESI仿宋-GB2312"/>
          <w:sz w:val="32"/>
          <w:szCs w:val="32"/>
          <w:lang w:val="en-US" w:eastAsia="zh-CN"/>
        </w:rPr>
        <w:t>用于</w:t>
      </w:r>
      <w:r>
        <w:rPr>
          <w:rFonts w:hint="eastAsia" w:ascii="CESI仿宋-GB2312" w:hAnsi="CESI仿宋-GB2312" w:eastAsia="CESI仿宋-GB2312" w:cs="CESI仿宋-GB2312"/>
          <w:sz w:val="32"/>
          <w:szCs w:val="32"/>
        </w:rPr>
        <w:t>盐边县渔门中心卫生院（盐边县渔门镇妇幼保健计划生育服务站）</w:t>
      </w:r>
      <w:r>
        <w:rPr>
          <w:rFonts w:hint="eastAsia" w:ascii="CESI仿宋-GB2312" w:hAnsi="CESI仿宋-GB2312" w:eastAsia="CESI仿宋-GB2312" w:cs="CESI仿宋-GB2312"/>
          <w:sz w:val="32"/>
          <w:szCs w:val="32"/>
          <w:lang w:eastAsia="zh-CN"/>
        </w:rPr>
        <w:t>老年人心理关爱资金。</w:t>
      </w:r>
    </w:p>
    <w:p>
      <w:pPr>
        <w:numPr>
          <w:ilvl w:val="0"/>
          <w:numId w:val="4"/>
        </w:numPr>
        <w:spacing w:line="600" w:lineRule="exact"/>
        <w:ind w:firstLine="640"/>
        <w:outlineLvl w:val="1"/>
        <w:rPr>
          <w:rStyle w:val="31"/>
          <w:rFonts w:ascii="黑体" w:hAnsi="黑体" w:eastAsia="黑体"/>
          <w:b w:val="0"/>
        </w:rPr>
      </w:pPr>
      <w:bookmarkStart w:id="63" w:name="_Toc15377219"/>
      <w:bookmarkStart w:id="64" w:name="_Toc15396611"/>
      <w:r>
        <w:rPr>
          <w:rStyle w:val="31"/>
          <w:rFonts w:hint="eastAsia" w:ascii="黑体" w:hAnsi="黑体" w:eastAsia="黑体"/>
          <w:b w:val="0"/>
        </w:rPr>
        <w:t>国有资本经营预算支出决算情况说明</w:t>
      </w:r>
      <w:bookmarkEnd w:id="63"/>
      <w:bookmarkEnd w:id="64"/>
    </w:p>
    <w:p>
      <w:pPr>
        <w:spacing w:beforeLines="0" w:afterLines="0" w:line="576" w:lineRule="exact"/>
        <w:ind w:firstLine="640"/>
        <w:jc w:val="both"/>
        <w:rPr>
          <w:rFonts w:ascii="方正小标宋简体" w:hAnsi="方正小标宋简体" w:eastAsia="方正小标宋简体" w:cs="方正小标宋简体"/>
          <w:sz w:val="44"/>
          <w:szCs w:val="44"/>
        </w:rPr>
      </w:pPr>
      <w:r>
        <w:rPr>
          <w:rFonts w:hint="eastAsia" w:ascii="CESI仿宋-GB2312" w:hAnsi="CESI仿宋-GB2312" w:eastAsia="CESI仿宋-GB2312" w:cs="CESI仿宋-GB2312"/>
          <w:sz w:val="32"/>
          <w:szCs w:val="32"/>
        </w:rPr>
        <w:t>2023年度国有资本经营预算财政拨款支出0万元。</w:t>
      </w:r>
      <w:r>
        <w:rPr>
          <w:rFonts w:hint="eastAsia" w:ascii="CESI仿宋-GB2312" w:hAnsi="CESI仿宋-GB2312" w:eastAsia="CESI仿宋-GB2312" w:cs="CESI仿宋-GB2312"/>
          <w:sz w:val="32"/>
          <w:szCs w:val="32"/>
          <w:lang w:val="zh-CN" w:eastAsia="zh-CN"/>
        </w:rPr>
        <w:t>本部门没有国有资本经营预算拨款收入，也没有使用国有资本经营预算拨款安排的支出。</w:t>
      </w:r>
    </w:p>
    <w:p>
      <w:pPr>
        <w:numPr>
          <w:ilvl w:val="0"/>
          <w:numId w:val="4"/>
        </w:numPr>
        <w:spacing w:line="600" w:lineRule="exact"/>
        <w:ind w:firstLine="640"/>
        <w:outlineLvl w:val="1"/>
        <w:rPr>
          <w:rStyle w:val="31"/>
          <w:rFonts w:ascii="黑体" w:hAnsi="黑体" w:eastAsia="黑体"/>
          <w:b w:val="0"/>
        </w:rPr>
      </w:pPr>
      <w:bookmarkStart w:id="65" w:name="_Toc15377221"/>
      <w:bookmarkStart w:id="66" w:name="_Toc15396612"/>
      <w:r>
        <w:rPr>
          <w:rStyle w:val="31"/>
          <w:rFonts w:hint="eastAsia" w:ascii="黑体" w:hAnsi="黑体" w:eastAsia="黑体"/>
          <w:b w:val="0"/>
        </w:rPr>
        <w:t>其他重要事项的情况说明</w:t>
      </w:r>
      <w:bookmarkEnd w:id="65"/>
      <w:bookmarkEnd w:id="66"/>
    </w:p>
    <w:p>
      <w:pPr>
        <w:spacing w:line="600" w:lineRule="exact"/>
        <w:ind w:firstLine="643" w:firstLineChars="200"/>
        <w:outlineLvl w:val="2"/>
        <w:rPr>
          <w:rFonts w:ascii="仿宋" w:hAnsi="仿宋" w:eastAsia="仿宋"/>
          <w:sz w:val="32"/>
          <w:szCs w:val="32"/>
        </w:rPr>
      </w:pPr>
      <w:bookmarkStart w:id="67" w:name="_Toc15377222"/>
      <w:r>
        <w:rPr>
          <w:rFonts w:hint="eastAsia" w:ascii="仿宋" w:hAnsi="仿宋" w:eastAsia="仿宋"/>
          <w:b/>
          <w:sz w:val="32"/>
          <w:szCs w:val="32"/>
        </w:rPr>
        <w:t>（一）机关运行经费支出情况</w:t>
      </w:r>
      <w:bookmarkEnd w:id="67"/>
    </w:p>
    <w:p>
      <w:pPr>
        <w:spacing w:beforeLines="0" w:afterLines="0" w:line="576" w:lineRule="exact"/>
        <w:ind w:firstLine="640"/>
        <w:jc w:val="both"/>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2023年度，盐边县卫生健康局机关运行经费支出43.44万元，比2022年度减少</w:t>
      </w:r>
      <w:r>
        <w:rPr>
          <w:rFonts w:hint="eastAsia" w:ascii="CESI仿宋-GB2312" w:hAnsi="CESI仿宋-GB2312" w:eastAsia="CESI仿宋-GB2312" w:cs="CESI仿宋-GB2312"/>
          <w:sz w:val="32"/>
          <w:szCs w:val="32"/>
          <w:lang w:val="en-US" w:eastAsia="zh-CN"/>
        </w:rPr>
        <w:t>10.66</w:t>
      </w:r>
      <w:r>
        <w:rPr>
          <w:rFonts w:hint="eastAsia" w:ascii="CESI仿宋-GB2312" w:hAnsi="CESI仿宋-GB2312" w:eastAsia="CESI仿宋-GB2312" w:cs="CESI仿宋-GB2312"/>
          <w:sz w:val="32"/>
          <w:szCs w:val="32"/>
        </w:rPr>
        <w:t>万元，下降</w:t>
      </w:r>
      <w:r>
        <w:rPr>
          <w:rFonts w:hint="eastAsia" w:ascii="CESI仿宋-GB2312" w:hAnsi="CESI仿宋-GB2312" w:eastAsia="CESI仿宋-GB2312" w:cs="CESI仿宋-GB2312"/>
          <w:sz w:val="32"/>
          <w:szCs w:val="32"/>
          <w:lang w:val="en-US" w:eastAsia="zh-CN"/>
        </w:rPr>
        <w:t>19.7</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zh-CN" w:eastAsia="zh-CN"/>
        </w:rPr>
        <w:t>主要原因是落实过紧日子要求，厉行节约，从严控制和压缩相关经费支出。</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68" w:name="_Toc15377223"/>
      <w:r>
        <w:rPr>
          <w:rFonts w:hint="eastAsia" w:ascii="仿宋" w:hAnsi="仿宋" w:eastAsia="仿宋"/>
          <w:b/>
          <w:sz w:val="32"/>
          <w:szCs w:val="32"/>
        </w:rPr>
        <w:t>（二）政府采购支出情况</w:t>
      </w:r>
      <w:bookmarkEnd w:id="68"/>
    </w:p>
    <w:p>
      <w:pPr>
        <w:spacing w:line="600" w:lineRule="exact"/>
        <w:ind w:firstLine="640" w:firstLineChars="200"/>
        <w:rPr>
          <w:rFonts w:hint="eastAsia" w:ascii="CESI仿宋-GB13000" w:hAnsi="CESI仿宋-GB13000" w:eastAsia="CESI仿宋-GB13000" w:cs="CESI仿宋-GB13000"/>
          <w:sz w:val="32"/>
          <w:szCs w:val="32"/>
        </w:rPr>
      </w:pPr>
      <w:r>
        <w:rPr>
          <w:rFonts w:hint="eastAsia" w:ascii="CESI仿宋-GB2312" w:hAnsi="CESI仿宋-GB2312" w:eastAsia="CESI仿宋-GB2312" w:cs="CESI仿宋-GB2312"/>
          <w:sz w:val="32"/>
          <w:szCs w:val="32"/>
        </w:rPr>
        <w:t>2023年度，盐边县卫生健康局政府采购支出总额</w:t>
      </w:r>
      <w:r>
        <w:rPr>
          <w:rFonts w:hint="eastAsia" w:ascii="CESI仿宋-GB2312" w:hAnsi="CESI仿宋-GB2312" w:eastAsia="CESI仿宋-GB2312" w:cs="CESI仿宋-GB2312"/>
          <w:sz w:val="32"/>
          <w:szCs w:val="32"/>
          <w:highlight w:val="none"/>
          <w:lang w:val="en-US" w:eastAsia="zh-CN"/>
        </w:rPr>
        <w:t>307.2</w:t>
      </w:r>
      <w:r>
        <w:rPr>
          <w:rFonts w:hint="eastAsia" w:ascii="CESI仿宋-GB2312" w:hAnsi="CESI仿宋-GB2312" w:eastAsia="CESI仿宋-GB2312" w:cs="CESI仿宋-GB2312"/>
          <w:sz w:val="32"/>
          <w:szCs w:val="32"/>
        </w:rPr>
        <w:t>万元，其中：政府采购货物支出</w:t>
      </w:r>
      <w:r>
        <w:rPr>
          <w:rFonts w:hint="eastAsia" w:ascii="CESI仿宋-GB2312" w:hAnsi="CESI仿宋-GB2312" w:eastAsia="CESI仿宋-GB2312" w:cs="CESI仿宋-GB2312"/>
          <w:sz w:val="32"/>
          <w:szCs w:val="32"/>
          <w:highlight w:val="none"/>
        </w:rPr>
        <w:t>5</w:t>
      </w:r>
      <w:r>
        <w:rPr>
          <w:rFonts w:hint="eastAsia" w:ascii="CESI仿宋-GB2312" w:hAnsi="CESI仿宋-GB2312" w:eastAsia="CESI仿宋-GB2312" w:cs="CESI仿宋-GB2312"/>
          <w:sz w:val="32"/>
          <w:szCs w:val="32"/>
        </w:rPr>
        <w:t>万元、政府采购工程支出</w:t>
      </w:r>
      <w:r>
        <w:rPr>
          <w:rFonts w:hint="eastAsia" w:ascii="CESI仿宋-GB2312" w:hAnsi="CESI仿宋-GB2312" w:eastAsia="CESI仿宋-GB2312" w:cs="CESI仿宋-GB2312"/>
          <w:sz w:val="32"/>
          <w:szCs w:val="32"/>
          <w:highlight w:val="none"/>
          <w:lang w:val="en-US" w:eastAsia="zh-CN"/>
        </w:rPr>
        <w:t>0</w:t>
      </w:r>
      <w:r>
        <w:rPr>
          <w:rFonts w:hint="eastAsia" w:ascii="CESI仿宋-GB2312" w:hAnsi="CESI仿宋-GB2312" w:eastAsia="CESI仿宋-GB2312" w:cs="CESI仿宋-GB2312"/>
          <w:sz w:val="32"/>
          <w:szCs w:val="32"/>
        </w:rPr>
        <w:t>万元、政府采购服务支出</w:t>
      </w:r>
      <w:r>
        <w:rPr>
          <w:rFonts w:hint="eastAsia" w:ascii="CESI仿宋-GB2312" w:hAnsi="CESI仿宋-GB2312" w:eastAsia="CESI仿宋-GB2312" w:cs="CESI仿宋-GB2312"/>
          <w:sz w:val="32"/>
          <w:szCs w:val="32"/>
          <w:highlight w:val="none"/>
          <w:lang w:val="en-US" w:eastAsia="zh-CN"/>
        </w:rPr>
        <w:t>302.2</w:t>
      </w:r>
      <w:r>
        <w:rPr>
          <w:rFonts w:hint="eastAsia" w:ascii="CESI仿宋-GB2312" w:hAnsi="CESI仿宋-GB2312" w:eastAsia="CESI仿宋-GB2312" w:cs="CESI仿宋-GB2312"/>
          <w:sz w:val="32"/>
          <w:szCs w:val="32"/>
        </w:rPr>
        <w:t>万元。主要</w:t>
      </w:r>
      <w:r>
        <w:rPr>
          <w:rFonts w:hint="eastAsia" w:ascii="CESI仿宋-GB2312" w:hAnsi="CESI仿宋-GB2312" w:eastAsia="CESI仿宋-GB2312" w:cs="CESI仿宋-GB2312"/>
          <w:sz w:val="32"/>
          <w:szCs w:val="32"/>
          <w:lang w:eastAsia="zh-CN"/>
        </w:rPr>
        <w:t>是县人民医院</w:t>
      </w:r>
      <w:r>
        <w:rPr>
          <w:rFonts w:hint="eastAsia" w:ascii="CESI仿宋-GB2312" w:hAnsi="CESI仿宋-GB2312" w:eastAsia="CESI仿宋-GB2312" w:cs="CESI仿宋-GB2312"/>
          <w:sz w:val="32"/>
          <w:szCs w:val="32"/>
        </w:rPr>
        <w:t>用于打印机、复印机设备购买，物业管理等服务采购项目和盐边县医共体信息化建设网络安全等级保护测评服务及软件测试服务采购项目。授予中小企业合同金额</w:t>
      </w:r>
      <w:r>
        <w:rPr>
          <w:rFonts w:hint="eastAsia" w:ascii="CESI仿宋-GB2312" w:hAnsi="CESI仿宋-GB2312" w:eastAsia="CESI仿宋-GB2312" w:cs="CESI仿宋-GB2312"/>
          <w:sz w:val="32"/>
          <w:szCs w:val="32"/>
          <w:highlight w:val="none"/>
          <w:lang w:val="en-US" w:eastAsia="zh-CN"/>
        </w:rPr>
        <w:t>307.2</w:t>
      </w:r>
      <w:r>
        <w:rPr>
          <w:rFonts w:hint="eastAsia" w:ascii="CESI仿宋-GB2312" w:hAnsi="CESI仿宋-GB2312" w:eastAsia="CESI仿宋-GB2312" w:cs="CESI仿宋-GB2312"/>
          <w:sz w:val="32"/>
          <w:szCs w:val="32"/>
        </w:rPr>
        <w:t>万元，占政府采购支出总额的100%，其中：授予小微企业合同金额</w:t>
      </w:r>
      <w:r>
        <w:rPr>
          <w:rFonts w:hint="eastAsia" w:ascii="CESI仿宋-GB2312" w:hAnsi="CESI仿宋-GB2312" w:eastAsia="CESI仿宋-GB2312" w:cs="CESI仿宋-GB2312"/>
          <w:sz w:val="32"/>
          <w:szCs w:val="32"/>
          <w:highlight w:val="none"/>
          <w:lang w:val="en-US" w:eastAsia="zh-CN"/>
        </w:rPr>
        <w:t>52.5</w:t>
      </w:r>
      <w:r>
        <w:rPr>
          <w:rFonts w:hint="eastAsia" w:ascii="CESI仿宋-GB2312" w:hAnsi="CESI仿宋-GB2312" w:eastAsia="CESI仿宋-GB2312" w:cs="CESI仿宋-GB2312"/>
          <w:sz w:val="32"/>
          <w:szCs w:val="32"/>
        </w:rPr>
        <w:t>万元，占政府采购支出总额的17.08%。</w:t>
      </w:r>
    </w:p>
    <w:p>
      <w:pPr>
        <w:autoSpaceDE w:val="0"/>
        <w:autoSpaceDN w:val="0"/>
        <w:adjustRightInd w:val="0"/>
        <w:spacing w:line="600" w:lineRule="exact"/>
        <w:ind w:firstLine="643" w:firstLineChars="200"/>
        <w:jc w:val="left"/>
        <w:outlineLvl w:val="2"/>
        <w:rPr>
          <w:rFonts w:ascii="仿宋" w:hAnsi="仿宋" w:eastAsia="仿宋"/>
          <w:b/>
          <w:sz w:val="32"/>
          <w:szCs w:val="32"/>
          <w:highlight w:val="none"/>
        </w:rPr>
      </w:pPr>
      <w:bookmarkStart w:id="69" w:name="_Toc15377224"/>
      <w:r>
        <w:rPr>
          <w:rFonts w:hint="eastAsia" w:ascii="仿宋" w:hAnsi="仿宋" w:eastAsia="仿宋"/>
          <w:b/>
          <w:sz w:val="32"/>
          <w:szCs w:val="32"/>
          <w:highlight w:val="none"/>
        </w:rPr>
        <w:t>（三）国有资产占有使用情况</w:t>
      </w:r>
      <w:bookmarkEnd w:id="69"/>
    </w:p>
    <w:p>
      <w:pPr>
        <w:autoSpaceDE w:val="0"/>
        <w:autoSpaceDN w:val="0"/>
        <w:adjustRightInd w:val="0"/>
        <w:spacing w:line="600" w:lineRule="exact"/>
        <w:ind w:firstLine="640" w:firstLineChars="200"/>
        <w:jc w:val="left"/>
        <w:rPr>
          <w:rFonts w:hint="eastAsia" w:ascii="CESI仿宋-GB2312" w:hAnsi="CESI仿宋-GB2312" w:eastAsia="CESI仿宋-GB2312" w:cs="CESI仿宋-GB2312"/>
          <w:sz w:val="32"/>
          <w:szCs w:val="32"/>
          <w:highlight w:val="none"/>
        </w:rPr>
      </w:pPr>
      <w:r>
        <w:rPr>
          <w:rFonts w:hint="eastAsia" w:ascii="CESI仿宋-GB2312" w:hAnsi="CESI仿宋-GB2312" w:eastAsia="CESI仿宋-GB2312" w:cs="CESI仿宋-GB2312"/>
          <w:sz w:val="32"/>
          <w:szCs w:val="32"/>
          <w:highlight w:val="none"/>
        </w:rPr>
        <w:t>截至2023年12月31日，盐边县卫生健康局共有车辆</w:t>
      </w:r>
      <w:r>
        <w:rPr>
          <w:rFonts w:hint="eastAsia" w:ascii="CESI仿宋-GB2312" w:hAnsi="CESI仿宋-GB2312" w:eastAsia="CESI仿宋-GB2312" w:cs="CESI仿宋-GB2312"/>
          <w:sz w:val="32"/>
          <w:szCs w:val="32"/>
          <w:highlight w:val="none"/>
          <w:lang w:val="en-US" w:eastAsia="zh-CN"/>
        </w:rPr>
        <w:t>28</w:t>
      </w:r>
      <w:r>
        <w:rPr>
          <w:rFonts w:hint="eastAsia" w:ascii="CESI仿宋-GB2312" w:hAnsi="CESI仿宋-GB2312" w:eastAsia="CESI仿宋-GB2312" w:cs="CESI仿宋-GB2312"/>
          <w:sz w:val="32"/>
          <w:szCs w:val="32"/>
          <w:highlight w:val="none"/>
        </w:rPr>
        <w:t>辆，其中：主要领导干部用车</w:t>
      </w:r>
      <w:r>
        <w:rPr>
          <w:rFonts w:hint="eastAsia" w:ascii="CESI仿宋-GB2312" w:hAnsi="CESI仿宋-GB2312" w:eastAsia="CESI仿宋-GB2312" w:cs="CESI仿宋-GB2312"/>
          <w:sz w:val="32"/>
          <w:szCs w:val="32"/>
          <w:highlight w:val="none"/>
          <w:lang w:val="en-US" w:eastAsia="zh-CN"/>
        </w:rPr>
        <w:t>0</w:t>
      </w:r>
      <w:r>
        <w:rPr>
          <w:rFonts w:hint="eastAsia" w:ascii="CESI仿宋-GB2312" w:hAnsi="CESI仿宋-GB2312" w:eastAsia="CESI仿宋-GB2312" w:cs="CESI仿宋-GB2312"/>
          <w:sz w:val="32"/>
          <w:szCs w:val="32"/>
          <w:highlight w:val="none"/>
        </w:rPr>
        <w:t>辆、机要通信用车</w:t>
      </w:r>
      <w:r>
        <w:rPr>
          <w:rFonts w:hint="eastAsia" w:ascii="CESI仿宋-GB2312" w:hAnsi="CESI仿宋-GB2312" w:eastAsia="CESI仿宋-GB2312" w:cs="CESI仿宋-GB2312"/>
          <w:sz w:val="32"/>
          <w:szCs w:val="32"/>
          <w:highlight w:val="none"/>
          <w:lang w:val="en-US" w:eastAsia="zh-CN"/>
        </w:rPr>
        <w:t>0</w:t>
      </w:r>
      <w:r>
        <w:rPr>
          <w:rFonts w:hint="eastAsia" w:ascii="CESI仿宋-GB2312" w:hAnsi="CESI仿宋-GB2312" w:eastAsia="CESI仿宋-GB2312" w:cs="CESI仿宋-GB2312"/>
          <w:sz w:val="32"/>
          <w:szCs w:val="32"/>
          <w:highlight w:val="none"/>
        </w:rPr>
        <w:t>辆、应急保障用车1辆、</w:t>
      </w:r>
      <w:r>
        <w:rPr>
          <w:rFonts w:hint="eastAsia" w:ascii="CESI仿宋-GB2312" w:hAnsi="CESI仿宋-GB2312" w:eastAsia="CESI仿宋-GB2312" w:cs="CESI仿宋-GB2312"/>
          <w:sz w:val="32"/>
          <w:szCs w:val="32"/>
          <w:highlight w:val="none"/>
          <w:lang w:eastAsia="zh-CN"/>
        </w:rPr>
        <w:t>特种专业技术用车</w:t>
      </w:r>
      <w:r>
        <w:rPr>
          <w:rFonts w:hint="eastAsia" w:ascii="CESI仿宋-GB2312" w:hAnsi="CESI仿宋-GB2312" w:eastAsia="CESI仿宋-GB2312" w:cs="CESI仿宋-GB2312"/>
          <w:sz w:val="32"/>
          <w:szCs w:val="32"/>
          <w:highlight w:val="none"/>
        </w:rPr>
        <w:t>15</w:t>
      </w:r>
      <w:r>
        <w:rPr>
          <w:rFonts w:hint="eastAsia" w:ascii="CESI仿宋-GB2312" w:hAnsi="CESI仿宋-GB2312" w:eastAsia="CESI仿宋-GB2312" w:cs="CESI仿宋-GB2312"/>
          <w:sz w:val="32"/>
          <w:szCs w:val="32"/>
          <w:highlight w:val="none"/>
          <w:lang w:val="en-US" w:eastAsia="zh-CN"/>
        </w:rPr>
        <w:t>辆、</w:t>
      </w:r>
      <w:r>
        <w:rPr>
          <w:rFonts w:hint="eastAsia" w:ascii="CESI仿宋-GB2312" w:hAnsi="CESI仿宋-GB2312" w:eastAsia="CESI仿宋-GB2312" w:cs="CESI仿宋-GB2312"/>
          <w:sz w:val="32"/>
          <w:szCs w:val="32"/>
          <w:highlight w:val="none"/>
        </w:rPr>
        <w:t>其他用车1</w:t>
      </w:r>
      <w:r>
        <w:rPr>
          <w:rFonts w:hint="eastAsia" w:ascii="CESI仿宋-GB2312" w:hAnsi="CESI仿宋-GB2312" w:eastAsia="CESI仿宋-GB2312" w:cs="CESI仿宋-GB2312"/>
          <w:sz w:val="32"/>
          <w:szCs w:val="32"/>
          <w:highlight w:val="none"/>
          <w:lang w:val="en-US" w:eastAsia="zh-CN"/>
        </w:rPr>
        <w:t>2</w:t>
      </w:r>
      <w:r>
        <w:rPr>
          <w:rFonts w:hint="eastAsia" w:ascii="CESI仿宋-GB2312" w:hAnsi="CESI仿宋-GB2312" w:eastAsia="CESI仿宋-GB2312" w:cs="CESI仿宋-GB2312"/>
          <w:sz w:val="32"/>
          <w:szCs w:val="32"/>
          <w:highlight w:val="none"/>
        </w:rPr>
        <w:t>辆，其他用车主要是用于</w:t>
      </w:r>
      <w:r>
        <w:rPr>
          <w:rFonts w:hint="eastAsia" w:ascii="CESI仿宋-GB2312" w:hAnsi="CESI仿宋-GB2312" w:eastAsia="CESI仿宋-GB2312" w:cs="CESI仿宋-GB2312"/>
          <w:sz w:val="32"/>
          <w:szCs w:val="32"/>
          <w:highlight w:val="none"/>
          <w:lang w:eastAsia="zh-CN"/>
        </w:rPr>
        <w:t>开展下社区、下乡进行基本公共卫生服务工作</w:t>
      </w:r>
      <w:r>
        <w:rPr>
          <w:rFonts w:hint="eastAsia" w:ascii="CESI仿宋-GB2312" w:hAnsi="CESI仿宋-GB2312" w:eastAsia="CESI仿宋-GB2312" w:cs="CESI仿宋-GB2312"/>
          <w:sz w:val="32"/>
          <w:szCs w:val="32"/>
          <w:highlight w:val="none"/>
        </w:rPr>
        <w:t>。单价100万元以上设备（不含车辆）15台（套）。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58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根据预算绩效管理要求，本部门在2023年度预算编制阶段，组织对</w:t>
      </w:r>
      <w:r>
        <w:rPr>
          <w:rFonts w:hint="eastAsia" w:ascii="CESI仿宋-GB2312" w:hAnsi="CESI仿宋-GB2312" w:eastAsia="CESI仿宋-GB2312" w:cs="CESI仿宋-GB2312"/>
          <w:sz w:val="32"/>
          <w:szCs w:val="32"/>
          <w:lang w:val="en-US" w:eastAsia="zh-CN"/>
        </w:rPr>
        <w:t>基本公共卫生服务</w:t>
      </w:r>
      <w:r>
        <w:rPr>
          <w:rFonts w:hint="eastAsia" w:ascii="CESI仿宋-GB2312" w:hAnsi="CESI仿宋-GB2312" w:eastAsia="CESI仿宋-GB2312" w:cs="CESI仿宋-GB2312"/>
          <w:sz w:val="32"/>
          <w:szCs w:val="32"/>
        </w:rPr>
        <w:t>项目</w:t>
      </w:r>
      <w:r>
        <w:rPr>
          <w:rFonts w:hint="eastAsia" w:ascii="CESI仿宋-GB2312" w:hAnsi="CESI仿宋-GB2312" w:eastAsia="CESI仿宋-GB2312" w:cs="CESI仿宋-GB2312"/>
          <w:sz w:val="32"/>
          <w:szCs w:val="32"/>
          <w:lang w:eastAsia="zh-CN"/>
        </w:rPr>
        <w:t>、基本药物制度补助、重大传染病防治</w:t>
      </w:r>
      <w:r>
        <w:rPr>
          <w:rFonts w:hint="eastAsia" w:ascii="CESI仿宋-GB2312" w:hAnsi="CESI仿宋-GB2312" w:eastAsia="CESI仿宋-GB2312" w:cs="CESI仿宋-GB2312"/>
          <w:sz w:val="32"/>
          <w:szCs w:val="32"/>
        </w:rPr>
        <w:t>等</w:t>
      </w:r>
      <w:r>
        <w:rPr>
          <w:rFonts w:hint="eastAsia" w:ascii="CESI仿宋-GB2312" w:hAnsi="CESI仿宋-GB2312" w:eastAsia="CESI仿宋-GB2312" w:cs="CESI仿宋-GB2312"/>
          <w:sz w:val="32"/>
          <w:szCs w:val="32"/>
          <w:lang w:val="en-US" w:eastAsia="zh-CN"/>
        </w:rPr>
        <w:t>14</w:t>
      </w:r>
      <w:r>
        <w:rPr>
          <w:rFonts w:hint="eastAsia" w:ascii="CESI仿宋-GB2312" w:hAnsi="CESI仿宋-GB2312" w:eastAsia="CESI仿宋-GB2312" w:cs="CESI仿宋-GB2312"/>
          <w:sz w:val="32"/>
          <w:szCs w:val="32"/>
        </w:rPr>
        <w:t>个项目开展了预算事前绩效评估，对</w:t>
      </w:r>
      <w:r>
        <w:rPr>
          <w:rFonts w:hint="eastAsia" w:ascii="CESI仿宋-GB2312" w:hAnsi="CESI仿宋-GB2312" w:eastAsia="CESI仿宋-GB2312" w:cs="CESI仿宋-GB2312"/>
          <w:sz w:val="32"/>
          <w:szCs w:val="32"/>
          <w:lang w:val="en-US" w:eastAsia="zh-CN"/>
        </w:rPr>
        <w:t>5</w:t>
      </w:r>
      <w:r>
        <w:rPr>
          <w:rFonts w:hint="eastAsia" w:ascii="CESI仿宋-GB2312" w:hAnsi="CESI仿宋-GB2312" w:eastAsia="CESI仿宋-GB2312" w:cs="CESI仿宋-GB2312"/>
          <w:sz w:val="32"/>
          <w:szCs w:val="32"/>
        </w:rPr>
        <w:t>个项目编制了绩效目标，预算执行过程中，选取</w:t>
      </w:r>
      <w:r>
        <w:rPr>
          <w:rFonts w:hint="eastAsia" w:ascii="CESI仿宋-GB2312" w:hAnsi="CESI仿宋-GB2312" w:eastAsia="CESI仿宋-GB2312" w:cs="CESI仿宋-GB2312"/>
          <w:sz w:val="32"/>
          <w:szCs w:val="32"/>
          <w:lang w:val="en-US" w:eastAsia="zh-CN"/>
        </w:rPr>
        <w:t>5</w:t>
      </w:r>
      <w:r>
        <w:rPr>
          <w:rFonts w:hint="eastAsia" w:ascii="CESI仿宋-GB2312" w:hAnsi="CESI仿宋-GB2312" w:eastAsia="CESI仿宋-GB2312" w:cs="CESI仿宋-GB2312"/>
          <w:sz w:val="32"/>
          <w:szCs w:val="32"/>
        </w:rPr>
        <w:t>个项目开展绩效监控。</w:t>
      </w:r>
    </w:p>
    <w:p>
      <w:pPr>
        <w:spacing w:line="58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组织对2023年度一般公共预算、政府性基金预算、国有资本经营预算、社会保险基金预算以及资本资产、债券资金等全面开展绩效自评，形成</w:t>
      </w:r>
      <w:r>
        <w:rPr>
          <w:rFonts w:hint="eastAsia" w:ascii="CESI仿宋-GB2312" w:hAnsi="CESI仿宋-GB2312" w:eastAsia="CESI仿宋-GB2312" w:cs="CESI仿宋-GB2312"/>
          <w:sz w:val="32"/>
          <w:szCs w:val="32"/>
          <w:lang w:val="en-US" w:eastAsia="zh-CN"/>
        </w:rPr>
        <w:t>盐边县卫生健康局</w:t>
      </w:r>
      <w:r>
        <w:rPr>
          <w:rFonts w:hint="eastAsia" w:ascii="CESI仿宋-GB2312" w:hAnsi="CESI仿宋-GB2312" w:eastAsia="CESI仿宋-GB2312" w:cs="CESI仿宋-GB2312"/>
          <w:sz w:val="32"/>
          <w:szCs w:val="32"/>
        </w:rPr>
        <w:t>部门整体（含部门预算项目）绩效自评报告、</w:t>
      </w:r>
      <w:r>
        <w:rPr>
          <w:rFonts w:hint="eastAsia" w:ascii="CESI仿宋-GB2312" w:hAnsi="CESI仿宋-GB2312" w:eastAsia="CESI仿宋-GB2312" w:cs="CESI仿宋-GB2312"/>
          <w:sz w:val="32"/>
          <w:szCs w:val="32"/>
          <w:lang w:val="en-US" w:eastAsia="zh-CN"/>
        </w:rPr>
        <w:t>基本公共卫生服务</w:t>
      </w:r>
      <w:r>
        <w:rPr>
          <w:rFonts w:hint="eastAsia" w:ascii="CESI仿宋-GB2312" w:hAnsi="CESI仿宋-GB2312" w:eastAsia="CESI仿宋-GB2312" w:cs="CESI仿宋-GB2312"/>
          <w:sz w:val="32"/>
          <w:szCs w:val="32"/>
        </w:rPr>
        <w:t>等专项预算项目绩效自评报告，其中，</w:t>
      </w:r>
      <w:r>
        <w:rPr>
          <w:rFonts w:hint="eastAsia" w:ascii="CESI仿宋-GB2312" w:hAnsi="CESI仿宋-GB2312" w:eastAsia="CESI仿宋-GB2312" w:cs="CESI仿宋-GB2312"/>
          <w:sz w:val="32"/>
          <w:szCs w:val="32"/>
          <w:lang w:val="en-US" w:eastAsia="zh-CN"/>
        </w:rPr>
        <w:t>盐边县卫生健康局</w:t>
      </w:r>
      <w:r>
        <w:rPr>
          <w:rFonts w:hint="eastAsia" w:ascii="CESI仿宋-GB2312" w:hAnsi="CESI仿宋-GB2312" w:eastAsia="CESI仿宋-GB2312" w:cs="CESI仿宋-GB2312"/>
          <w:sz w:val="32"/>
          <w:szCs w:val="32"/>
        </w:rPr>
        <w:t>部门整体（含部门预算项目）绩效自评得分为</w:t>
      </w:r>
      <w:r>
        <w:rPr>
          <w:rFonts w:hint="eastAsia" w:ascii="CESI仿宋-GB2312" w:hAnsi="CESI仿宋-GB2312" w:eastAsia="CESI仿宋-GB2312" w:cs="CESI仿宋-GB2312"/>
          <w:sz w:val="32"/>
          <w:szCs w:val="32"/>
          <w:lang w:val="en-US" w:eastAsia="zh-CN"/>
        </w:rPr>
        <w:t>100</w:t>
      </w:r>
      <w:r>
        <w:rPr>
          <w:rFonts w:hint="eastAsia" w:ascii="CESI仿宋-GB2312" w:hAnsi="CESI仿宋-GB2312" w:eastAsia="CESI仿宋-GB2312" w:cs="CESI仿宋-GB2312"/>
          <w:sz w:val="32"/>
          <w:szCs w:val="32"/>
        </w:rPr>
        <w:t>分，绩效自评综述：</w:t>
      </w:r>
      <w:r>
        <w:rPr>
          <w:rFonts w:hint="eastAsia" w:ascii="CESI仿宋-GB2312" w:hAnsi="CESI仿宋-GB2312" w:eastAsia="CESI仿宋-GB2312" w:cs="CESI仿宋-GB2312"/>
          <w:sz w:val="32"/>
          <w:szCs w:val="32"/>
          <w:lang w:val="en-US" w:eastAsia="zh-CN"/>
        </w:rPr>
        <w:t>绩效目标基本实现</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val="en-US" w:eastAsia="zh-CN"/>
        </w:rPr>
        <w:t>基本公共卫生服务</w:t>
      </w:r>
      <w:r>
        <w:rPr>
          <w:rFonts w:hint="eastAsia" w:ascii="CESI仿宋-GB2312" w:hAnsi="CESI仿宋-GB2312" w:eastAsia="CESI仿宋-GB2312" w:cs="CESI仿宋-GB2312"/>
          <w:sz w:val="32"/>
          <w:szCs w:val="32"/>
        </w:rPr>
        <w:t>专项预算项目绩效自评得分为</w:t>
      </w:r>
      <w:r>
        <w:rPr>
          <w:rFonts w:hint="eastAsia" w:ascii="CESI仿宋-GB2312" w:hAnsi="CESI仿宋-GB2312" w:eastAsia="CESI仿宋-GB2312" w:cs="CESI仿宋-GB2312"/>
          <w:sz w:val="32"/>
          <w:szCs w:val="32"/>
          <w:lang w:val="en-US" w:eastAsia="zh-CN"/>
        </w:rPr>
        <w:t>100</w:t>
      </w:r>
      <w:r>
        <w:rPr>
          <w:rFonts w:hint="eastAsia" w:ascii="CESI仿宋-GB2312" w:hAnsi="CESI仿宋-GB2312" w:eastAsia="CESI仿宋-GB2312" w:cs="CESI仿宋-GB2312"/>
          <w:sz w:val="32"/>
          <w:szCs w:val="32"/>
        </w:rPr>
        <w:t>分，绩效自评综述：</w:t>
      </w:r>
      <w:r>
        <w:rPr>
          <w:rFonts w:hint="eastAsia" w:ascii="CESI仿宋-GB2312" w:hAnsi="CESI仿宋-GB2312" w:eastAsia="CESI仿宋-GB2312" w:cs="CESI仿宋-GB2312"/>
          <w:sz w:val="32"/>
          <w:szCs w:val="32"/>
          <w:lang w:val="en-US" w:eastAsia="zh-CN"/>
        </w:rPr>
        <w:t>绩效目标基本实现</w:t>
      </w:r>
      <w:r>
        <w:rPr>
          <w:rFonts w:hint="eastAsia" w:ascii="CESI仿宋-GB2312" w:hAnsi="CESI仿宋-GB2312" w:eastAsia="CESI仿宋-GB2312" w:cs="CESI仿宋-GB2312"/>
          <w:sz w:val="32"/>
          <w:szCs w:val="32"/>
        </w:rPr>
        <w:t>。绩效自评报告详见附件。</w:t>
      </w:r>
    </w:p>
    <w:p>
      <w:pPr>
        <w:pStyle w:val="2"/>
        <w:jc w:val="center"/>
        <w:rPr>
          <w:rFonts w:hint="eastAsia"/>
        </w:rPr>
      </w:pPr>
    </w:p>
    <w:p>
      <w:pPr>
        <w:pStyle w:val="2"/>
        <w:jc w:val="center"/>
        <w:rPr>
          <w:rFonts w:hint="eastAsia"/>
        </w:rPr>
      </w:pPr>
    </w:p>
    <w:p>
      <w:pPr>
        <w:pStyle w:val="2"/>
        <w:spacing w:before="0" w:after="0" w:line="240" w:lineRule="auto"/>
        <w:jc w:val="both"/>
        <w:rPr>
          <w:rFonts w:hint="eastAsia"/>
        </w:rPr>
      </w:pPr>
    </w:p>
    <w:p>
      <w:pPr>
        <w:rPr>
          <w:rFonts w:hint="eastAsia"/>
        </w:rPr>
      </w:pPr>
    </w:p>
    <w:p>
      <w:pPr>
        <w:pStyle w:val="5"/>
        <w:rPr>
          <w:rFonts w:hint="eastAsia"/>
        </w:rPr>
      </w:pPr>
    </w:p>
    <w:p>
      <w:pPr>
        <w:rPr>
          <w:rFonts w:hint="eastAsia"/>
        </w:rPr>
      </w:pPr>
    </w:p>
    <w:p>
      <w:pPr>
        <w:pStyle w:val="2"/>
        <w:spacing w:before="0" w:after="0" w:line="240" w:lineRule="auto"/>
        <w:jc w:val="center"/>
        <w:rPr>
          <w:rFonts w:hint="eastAsia"/>
        </w:rPr>
      </w:pPr>
    </w:p>
    <w:p>
      <w:pPr>
        <w:pStyle w:val="2"/>
        <w:spacing w:before="0" w:after="0" w:line="240" w:lineRule="auto"/>
        <w:jc w:val="center"/>
        <w:rPr>
          <w:rFonts w:hint="eastAsia"/>
        </w:rPr>
      </w:pPr>
    </w:p>
    <w:p>
      <w:pPr>
        <w:pStyle w:val="2"/>
        <w:spacing w:before="0" w:after="0" w:line="240" w:lineRule="auto"/>
        <w:jc w:val="both"/>
        <w:rPr>
          <w:rFonts w:hint="eastAsia"/>
        </w:rPr>
      </w:pPr>
    </w:p>
    <w:p>
      <w:pPr>
        <w:pStyle w:val="2"/>
        <w:spacing w:before="0" w:after="0" w:line="240" w:lineRule="auto"/>
        <w:jc w:val="center"/>
        <w:rPr>
          <w:rFonts w:hint="eastAsia"/>
        </w:rPr>
      </w:pPr>
    </w:p>
    <w:p>
      <w:pPr>
        <w:pStyle w:val="2"/>
        <w:spacing w:before="0" w:after="0" w:line="240" w:lineRule="auto"/>
        <w:jc w:val="center"/>
        <w:rPr>
          <w:rFonts w:hint="eastAsia"/>
        </w:rPr>
      </w:pPr>
    </w:p>
    <w:p>
      <w:pPr>
        <w:pStyle w:val="2"/>
        <w:spacing w:before="0" w:after="0" w:line="240" w:lineRule="auto"/>
        <w:jc w:val="center"/>
        <w:rPr>
          <w:rFonts w:hint="eastAsia"/>
        </w:rPr>
      </w:pPr>
    </w:p>
    <w:p>
      <w:pPr>
        <w:pStyle w:val="2"/>
        <w:spacing w:before="0" w:after="0" w:line="240" w:lineRule="auto"/>
        <w:jc w:val="center"/>
        <w:rPr>
          <w:rFonts w:hint="eastAsia"/>
        </w:rPr>
      </w:pPr>
    </w:p>
    <w:p>
      <w:pPr>
        <w:pStyle w:val="2"/>
        <w:spacing w:before="0" w:after="0" w:line="240" w:lineRule="auto"/>
        <w:jc w:val="center"/>
        <w:rPr>
          <w:rFonts w:hint="eastAsia"/>
        </w:rPr>
      </w:pPr>
    </w:p>
    <w:p>
      <w:pPr>
        <w:rPr>
          <w:rFonts w:hint="default" w:eastAsia="宋体"/>
          <w:lang w:val="en-US" w:eastAsia="zh-CN"/>
        </w:rPr>
      </w:pPr>
    </w:p>
    <w:p>
      <w:pPr>
        <w:rPr>
          <w:rFonts w:hint="default" w:eastAsia="宋体"/>
          <w:lang w:val="en-US" w:eastAsia="zh-CN"/>
        </w:rPr>
      </w:pPr>
    </w:p>
    <w:p>
      <w:pPr>
        <w:rPr>
          <w:rFonts w:hint="default" w:eastAsia="宋体"/>
          <w:lang w:val="en-US" w:eastAsia="zh-CN"/>
        </w:rPr>
      </w:pPr>
    </w:p>
    <w:p>
      <w:pPr>
        <w:pStyle w:val="2"/>
        <w:spacing w:before="0" w:after="0" w:line="240" w:lineRule="auto"/>
        <w:jc w:val="center"/>
      </w:pPr>
      <w:r>
        <w:rPr>
          <w:rFonts w:hint="eastAsia"/>
        </w:rPr>
        <w:t>第三部分 名词解释</w:t>
      </w:r>
    </w:p>
    <w:p>
      <w:pPr>
        <w:rPr>
          <w:rFonts w:hint="default" w:ascii="Times New Roman" w:hAnsi="Times New Roman" w:eastAsia="仿宋_GB2312" w:cs="Times New Roman"/>
          <w:color w:val="auto"/>
          <w:sz w:val="32"/>
          <w:szCs w:val="32"/>
        </w:rPr>
      </w:pPr>
    </w:p>
    <w:p>
      <w:pPr>
        <w:ind w:firstLine="640" w:firstLineChars="200"/>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1.财政拨款收入：指单位从同级财政部门取得的财政预算资金。</w:t>
      </w:r>
    </w:p>
    <w:p>
      <w:pPr>
        <w:ind w:firstLine="640" w:firstLineChars="200"/>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2.事业收入：指事业单位开展专业业务活动及辅助活动取得的收入。</w:t>
      </w:r>
    </w:p>
    <w:p>
      <w:pPr>
        <w:ind w:firstLine="640" w:firstLineChars="200"/>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3.经营收入：指事业单位在专业业务活动及其辅助活动之外开展非独立核算经营活动取得的收入。</w:t>
      </w:r>
    </w:p>
    <w:p>
      <w:pPr>
        <w:ind w:firstLine="640" w:firstLineChars="200"/>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4.其他收入：指单位取得的除上述收入以外的各项收入。</w:t>
      </w:r>
    </w:p>
    <w:p>
      <w:pPr>
        <w:ind w:firstLine="640" w:firstLineChars="200"/>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5.使用非财政拨款结余：指事业单位使用以前年度积累的非财政拨款结余弥补当年收支差额的金额。</w:t>
      </w:r>
    </w:p>
    <w:p>
      <w:pPr>
        <w:ind w:firstLine="640" w:firstLineChars="200"/>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6.年初结转和结余：指以前年度尚未完成、结转到本年按有关规定继续使用的资金。</w:t>
      </w:r>
    </w:p>
    <w:p>
      <w:pPr>
        <w:ind w:firstLine="640" w:firstLineChars="200"/>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7.结余分配：指事业单位按照会计制度规定缴纳的所得税、提取的专用结余以及转入非财政拨款结余的金额等。</w:t>
      </w:r>
    </w:p>
    <w:p>
      <w:pPr>
        <w:ind w:firstLine="640" w:firstLineChars="200"/>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8</w:t>
      </w:r>
      <w:r>
        <w:rPr>
          <w:rFonts w:hint="eastAsia" w:ascii="CESI仿宋-GB2312" w:hAnsi="CESI仿宋-GB2312" w:eastAsia="CESI仿宋-GB2312" w:cs="CESI仿宋-GB2312"/>
          <w:color w:val="auto"/>
          <w:sz w:val="32"/>
          <w:szCs w:val="32"/>
          <w:lang w:val="en-US" w:eastAsia="zh-CN"/>
        </w:rPr>
        <w:t>.</w:t>
      </w:r>
      <w:r>
        <w:rPr>
          <w:rFonts w:hint="eastAsia" w:ascii="CESI仿宋-GB2312" w:hAnsi="CESI仿宋-GB2312" w:eastAsia="CESI仿宋-GB2312" w:cs="CESI仿宋-GB2312"/>
          <w:color w:val="auto"/>
          <w:sz w:val="32"/>
          <w:szCs w:val="32"/>
        </w:rPr>
        <w:t>年末结转和结余：指单位按有关规定结转到下年或以后年度继续使用的资金。</w:t>
      </w:r>
    </w:p>
    <w:p>
      <w:pPr>
        <w:ind w:firstLine="640" w:firstLineChars="200"/>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9.一般公共服务（类）组织服务（款）一般行政管理事务（项）:反映行政单位未单独设置项级科目的其他项目支出。</w:t>
      </w:r>
    </w:p>
    <w:p>
      <w:pPr>
        <w:ind w:firstLine="640" w:firstLineChars="200"/>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10.社会保障和就业（类）行政事业单位养老支出（款）:行政单位离退休（项）: 反映行政单位（包括实行公务员管理的事业单位）开支的离退休经费。</w:t>
      </w:r>
    </w:p>
    <w:p>
      <w:pPr>
        <w:ind w:firstLine="640" w:firstLineChars="200"/>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11.社会保障和就业（类）行政事业单位养老支出（款）:事业单位离退休（项）: 反映事业单位开支的离退休经费。</w:t>
      </w:r>
    </w:p>
    <w:p>
      <w:pPr>
        <w:ind w:firstLine="640" w:firstLineChars="200"/>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12.社会保障和就业（类）行政事业单位养老支出（款）:机关事业单位基本养老保险缴费支出（项）: 反映机关事业单位实施养老保险制度由单位缴纳的基本养老保险支出。</w:t>
      </w:r>
    </w:p>
    <w:p>
      <w:pPr>
        <w:ind w:firstLine="640" w:firstLineChars="200"/>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13.社会保障和就业（类）行政事业单位养老支出（款）:机关事业单位职业年金缴费支出（项）: 反映机关事业单位实施养老保险制度由单位缴纳的职业年金支出。</w:t>
      </w:r>
    </w:p>
    <w:p>
      <w:pPr>
        <w:ind w:firstLine="640" w:firstLineChars="200"/>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14.社会保障和就业（类）抚恤（款）死亡抚恤（项）:反映按规定用于烈士和牺牲、病故人员家属的一次性和定期抚恤金以及丧葬费补助。</w:t>
      </w:r>
    </w:p>
    <w:p>
      <w:pPr>
        <w:ind w:firstLine="640" w:firstLineChars="200"/>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15.社会保障和就业（类）抚恤（款）伤残抚恤（项）:反映按规定用于伤残人员的抚恤金和按规定开支的各种伤残补助。</w:t>
      </w:r>
    </w:p>
    <w:p>
      <w:pPr>
        <w:ind w:firstLine="640" w:firstLineChars="200"/>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16.卫生健康支出（类）卫生健康管理事务（款）行政运行（项）:指行政单位（包括实行公务员管理的事业单位）的基本支出。</w:t>
      </w:r>
    </w:p>
    <w:p>
      <w:pPr>
        <w:ind w:firstLine="640" w:firstLineChars="200"/>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17.卫生健康支出（类）卫生健康管理事务（款）其他卫生健康管理事务支出（项）:反映除上述项目以外其他用于卫生健康管理事务方面的支出。</w:t>
      </w:r>
    </w:p>
    <w:p>
      <w:pPr>
        <w:ind w:firstLine="640" w:firstLineChars="200"/>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18.卫生健康支出（类）公立医院（款）综合医院（项）:反映卫生健康、中医部门所属的城市综合性医院、独立门诊、教学医院、疗养院和县医院的支出。</w:t>
      </w:r>
    </w:p>
    <w:p>
      <w:pPr>
        <w:ind w:firstLine="640" w:firstLineChars="200"/>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19.卫生健康支出（类）公立医院（款）中医（民族）医院（项）:反映卫生健康、中医部门所属的中医院。中西医结合医院、民族医院的支出。</w:t>
      </w:r>
    </w:p>
    <w:p>
      <w:pPr>
        <w:ind w:firstLine="640" w:firstLineChars="200"/>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20.卫生健康支出（类）公立医院（款）其他公立医院支出（项）:指其他用于公立医院方面的支出。。</w:t>
      </w:r>
    </w:p>
    <w:p>
      <w:pPr>
        <w:ind w:firstLine="640" w:firstLineChars="200"/>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21.卫生健康支出（类）基层医疗卫生机构（款）城市社区卫生机构（项）:反映用于城市社区卫生机构的支出。</w:t>
      </w:r>
    </w:p>
    <w:p>
      <w:pPr>
        <w:ind w:firstLine="640" w:firstLineChars="200"/>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22.卫生健康支出（类）基层医疗卫生机构（款）乡镇卫生院（项）:反映用于乡镇卫生院的支出。</w:t>
      </w:r>
    </w:p>
    <w:p>
      <w:pPr>
        <w:ind w:firstLine="640" w:firstLineChars="200"/>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23.卫生健康支出（类）基层医疗卫生机构（款）其他基层医疗卫生机构支出（项）:指用于基层医疗卫生机构的支出。</w:t>
      </w:r>
    </w:p>
    <w:p>
      <w:pPr>
        <w:ind w:firstLine="640" w:firstLineChars="200"/>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24.卫生健康支出（类）公共卫生（款） 疾病预防控制机构（项）:反映卫生健康部门所属疾病预防控制机构的支出。</w:t>
      </w:r>
    </w:p>
    <w:p>
      <w:pPr>
        <w:ind w:firstLine="640" w:firstLineChars="200"/>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2</w:t>
      </w:r>
      <w:r>
        <w:rPr>
          <w:rFonts w:hint="eastAsia" w:ascii="CESI仿宋-GB2312" w:hAnsi="CESI仿宋-GB2312" w:eastAsia="CESI仿宋-GB2312" w:cs="CESI仿宋-GB2312"/>
          <w:color w:val="auto"/>
          <w:sz w:val="32"/>
          <w:szCs w:val="32"/>
          <w:lang w:val="en-US" w:eastAsia="zh-CN"/>
        </w:rPr>
        <w:t>5</w:t>
      </w:r>
      <w:r>
        <w:rPr>
          <w:rFonts w:hint="eastAsia" w:ascii="CESI仿宋-GB2312" w:hAnsi="CESI仿宋-GB2312" w:eastAsia="CESI仿宋-GB2312" w:cs="CESI仿宋-GB2312"/>
          <w:color w:val="auto"/>
          <w:sz w:val="32"/>
          <w:szCs w:val="32"/>
        </w:rPr>
        <w:t>.卫生健康支出（类）公共卫生（款） 妇幼保健机构（项）:反映卫生健康部门所属妇幼妇幼保健机构的支出。</w:t>
      </w:r>
    </w:p>
    <w:p>
      <w:pPr>
        <w:ind w:firstLine="640" w:firstLineChars="200"/>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2</w:t>
      </w:r>
      <w:r>
        <w:rPr>
          <w:rFonts w:hint="eastAsia" w:ascii="CESI仿宋-GB2312" w:hAnsi="CESI仿宋-GB2312" w:eastAsia="CESI仿宋-GB2312" w:cs="CESI仿宋-GB2312"/>
          <w:color w:val="auto"/>
          <w:sz w:val="32"/>
          <w:szCs w:val="32"/>
          <w:lang w:val="en-US" w:eastAsia="zh-CN"/>
        </w:rPr>
        <w:t>6</w:t>
      </w:r>
      <w:r>
        <w:rPr>
          <w:rFonts w:hint="eastAsia" w:ascii="CESI仿宋-GB2312" w:hAnsi="CESI仿宋-GB2312" w:eastAsia="CESI仿宋-GB2312" w:cs="CESI仿宋-GB2312"/>
          <w:color w:val="auto"/>
          <w:sz w:val="32"/>
          <w:szCs w:val="32"/>
        </w:rPr>
        <w:t>.卫生健康支出（类）公共卫生（款） 基本公共卫生服务（项）:指基本公共卫生服务支出</w:t>
      </w:r>
    </w:p>
    <w:p>
      <w:pPr>
        <w:ind w:firstLine="640" w:firstLineChars="200"/>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2</w:t>
      </w:r>
      <w:r>
        <w:rPr>
          <w:rFonts w:hint="eastAsia" w:ascii="CESI仿宋-GB2312" w:hAnsi="CESI仿宋-GB2312" w:eastAsia="CESI仿宋-GB2312" w:cs="CESI仿宋-GB2312"/>
          <w:color w:val="auto"/>
          <w:sz w:val="32"/>
          <w:szCs w:val="32"/>
          <w:lang w:val="en-US" w:eastAsia="zh-CN"/>
        </w:rPr>
        <w:t>7</w:t>
      </w:r>
      <w:r>
        <w:rPr>
          <w:rFonts w:hint="eastAsia" w:ascii="CESI仿宋-GB2312" w:hAnsi="CESI仿宋-GB2312" w:eastAsia="CESI仿宋-GB2312" w:cs="CESI仿宋-GB2312"/>
          <w:color w:val="auto"/>
          <w:sz w:val="32"/>
          <w:szCs w:val="32"/>
        </w:rPr>
        <w:t>.卫生健康支出（类）公共卫生（款）重大公共卫生服务（项）:指重大疾病预防控制等重大公共卫生服务项目支出。</w:t>
      </w:r>
    </w:p>
    <w:p>
      <w:pPr>
        <w:ind w:firstLine="640" w:firstLineChars="200"/>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2</w:t>
      </w:r>
      <w:r>
        <w:rPr>
          <w:rFonts w:hint="eastAsia" w:ascii="CESI仿宋-GB2312" w:hAnsi="CESI仿宋-GB2312" w:eastAsia="CESI仿宋-GB2312" w:cs="CESI仿宋-GB2312"/>
          <w:color w:val="auto"/>
          <w:sz w:val="32"/>
          <w:szCs w:val="32"/>
          <w:lang w:val="en-US" w:eastAsia="zh-CN"/>
        </w:rPr>
        <w:t>8</w:t>
      </w:r>
      <w:r>
        <w:rPr>
          <w:rFonts w:hint="eastAsia" w:ascii="CESI仿宋-GB2312" w:hAnsi="CESI仿宋-GB2312" w:eastAsia="CESI仿宋-GB2312" w:cs="CESI仿宋-GB2312"/>
          <w:color w:val="auto"/>
          <w:sz w:val="32"/>
          <w:szCs w:val="32"/>
        </w:rPr>
        <w:t>.卫生健康支出（类）公共卫生（款）突发公共卫生事件应急处理（项）:反映用于突发公共卫生事件应急处理的支出。</w:t>
      </w:r>
    </w:p>
    <w:p>
      <w:pPr>
        <w:ind w:firstLine="640" w:firstLineChars="200"/>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lang w:val="en-US" w:eastAsia="zh-CN"/>
        </w:rPr>
        <w:t>29</w:t>
      </w:r>
      <w:r>
        <w:rPr>
          <w:rFonts w:hint="eastAsia" w:ascii="CESI仿宋-GB2312" w:hAnsi="CESI仿宋-GB2312" w:eastAsia="CESI仿宋-GB2312" w:cs="CESI仿宋-GB2312"/>
          <w:color w:val="auto"/>
          <w:sz w:val="32"/>
          <w:szCs w:val="32"/>
        </w:rPr>
        <w:t>.卫生健康支出（类）公共卫生（款） 其他公共卫生支出（项）:反映除上述项目以外的其他用于公共卫生方面的支出。</w:t>
      </w:r>
    </w:p>
    <w:p>
      <w:pPr>
        <w:ind w:firstLine="640" w:firstLineChars="200"/>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3</w:t>
      </w:r>
      <w:r>
        <w:rPr>
          <w:rFonts w:hint="eastAsia" w:ascii="CESI仿宋-GB2312" w:hAnsi="CESI仿宋-GB2312" w:eastAsia="CESI仿宋-GB2312" w:cs="CESI仿宋-GB2312"/>
          <w:color w:val="auto"/>
          <w:sz w:val="32"/>
          <w:szCs w:val="32"/>
          <w:lang w:val="en-US" w:eastAsia="zh-CN"/>
        </w:rPr>
        <w:t>0</w:t>
      </w:r>
      <w:r>
        <w:rPr>
          <w:rFonts w:hint="eastAsia" w:ascii="CESI仿宋-GB2312" w:hAnsi="CESI仿宋-GB2312" w:eastAsia="CESI仿宋-GB2312" w:cs="CESI仿宋-GB2312"/>
          <w:color w:val="auto"/>
          <w:sz w:val="32"/>
          <w:szCs w:val="32"/>
        </w:rPr>
        <w:t>.卫生健康支出（类）中医药（款） 中医（民族医）药专项（项）:指除中医（民族医）药专项支出以外的其他中医药支出。</w:t>
      </w:r>
    </w:p>
    <w:p>
      <w:pPr>
        <w:ind w:firstLine="640" w:firstLineChars="200"/>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3</w:t>
      </w:r>
      <w:r>
        <w:rPr>
          <w:rFonts w:hint="eastAsia" w:ascii="CESI仿宋-GB2312" w:hAnsi="CESI仿宋-GB2312" w:eastAsia="CESI仿宋-GB2312" w:cs="CESI仿宋-GB2312"/>
          <w:color w:val="auto"/>
          <w:sz w:val="32"/>
          <w:szCs w:val="32"/>
          <w:lang w:val="en-US" w:eastAsia="zh-CN"/>
        </w:rPr>
        <w:t>1</w:t>
      </w:r>
      <w:r>
        <w:rPr>
          <w:rFonts w:hint="eastAsia" w:ascii="CESI仿宋-GB2312" w:hAnsi="CESI仿宋-GB2312" w:eastAsia="CESI仿宋-GB2312" w:cs="CESI仿宋-GB2312"/>
          <w:color w:val="auto"/>
          <w:sz w:val="32"/>
          <w:szCs w:val="32"/>
        </w:rPr>
        <w:t>.卫生健康支出（类）中医药（款）其他中医药支出（项）:反映除中医（民族医）药专项支出以外的其他中医药支出。</w:t>
      </w:r>
    </w:p>
    <w:p>
      <w:pPr>
        <w:ind w:firstLine="640" w:firstLineChars="200"/>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3</w:t>
      </w:r>
      <w:r>
        <w:rPr>
          <w:rFonts w:hint="eastAsia" w:ascii="CESI仿宋-GB2312" w:hAnsi="CESI仿宋-GB2312" w:eastAsia="CESI仿宋-GB2312" w:cs="CESI仿宋-GB2312"/>
          <w:color w:val="auto"/>
          <w:sz w:val="32"/>
          <w:szCs w:val="32"/>
          <w:lang w:val="en-US" w:eastAsia="zh-CN"/>
        </w:rPr>
        <w:t>2</w:t>
      </w:r>
      <w:r>
        <w:rPr>
          <w:rFonts w:hint="eastAsia" w:ascii="CESI仿宋-GB2312" w:hAnsi="CESI仿宋-GB2312" w:eastAsia="CESI仿宋-GB2312" w:cs="CESI仿宋-GB2312"/>
          <w:color w:val="auto"/>
          <w:sz w:val="32"/>
          <w:szCs w:val="32"/>
        </w:rPr>
        <w:t>.卫生健康支出（类）计划生育事务（款）计划生育服务（项）:指计划生育服务支出。</w:t>
      </w:r>
    </w:p>
    <w:p>
      <w:pPr>
        <w:ind w:firstLine="640" w:firstLineChars="200"/>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3</w:t>
      </w:r>
      <w:r>
        <w:rPr>
          <w:rFonts w:hint="eastAsia" w:ascii="CESI仿宋-GB2312" w:hAnsi="CESI仿宋-GB2312" w:eastAsia="CESI仿宋-GB2312" w:cs="CESI仿宋-GB2312"/>
          <w:color w:val="auto"/>
          <w:sz w:val="32"/>
          <w:szCs w:val="32"/>
          <w:lang w:val="en-US" w:eastAsia="zh-CN"/>
        </w:rPr>
        <w:t>3</w:t>
      </w:r>
      <w:r>
        <w:rPr>
          <w:rFonts w:hint="eastAsia" w:ascii="CESI仿宋-GB2312" w:hAnsi="CESI仿宋-GB2312" w:eastAsia="CESI仿宋-GB2312" w:cs="CESI仿宋-GB2312"/>
          <w:color w:val="auto"/>
          <w:sz w:val="32"/>
          <w:szCs w:val="32"/>
        </w:rPr>
        <w:t>.卫生健康支出（类）计划生育事务（款）其他计划生育事务支出（项）:指其他用于计划生育管理事务方面的支出。</w:t>
      </w:r>
    </w:p>
    <w:p>
      <w:pPr>
        <w:ind w:firstLine="640" w:firstLineChars="200"/>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3</w:t>
      </w:r>
      <w:r>
        <w:rPr>
          <w:rFonts w:hint="eastAsia" w:ascii="CESI仿宋-GB2312" w:hAnsi="CESI仿宋-GB2312" w:eastAsia="CESI仿宋-GB2312" w:cs="CESI仿宋-GB2312"/>
          <w:color w:val="auto"/>
          <w:sz w:val="32"/>
          <w:szCs w:val="32"/>
          <w:lang w:val="en-US" w:eastAsia="zh-CN"/>
        </w:rPr>
        <w:t>4</w:t>
      </w:r>
      <w:r>
        <w:rPr>
          <w:rFonts w:hint="eastAsia" w:ascii="CESI仿宋-GB2312" w:hAnsi="CESI仿宋-GB2312" w:eastAsia="CESI仿宋-GB2312" w:cs="CESI仿宋-GB2312"/>
          <w:color w:val="auto"/>
          <w:sz w:val="32"/>
          <w:szCs w:val="32"/>
        </w:rPr>
        <w:t>.卫生健康支出（类）行政事业单位医疗（款）行政单位医疗（项）:反映财政部门安排的行政单位（包括实行公务员管理的事业单位）基本医疗保险缴费经费，未参加医疗保险的行政单位的公费医疗经费，按国家规定享受离休人员、红军老战士待遇人员的医疗经费。</w:t>
      </w:r>
    </w:p>
    <w:p>
      <w:pPr>
        <w:ind w:firstLine="640" w:firstLineChars="200"/>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3</w:t>
      </w:r>
      <w:r>
        <w:rPr>
          <w:rFonts w:hint="eastAsia" w:ascii="CESI仿宋-GB2312" w:hAnsi="CESI仿宋-GB2312" w:eastAsia="CESI仿宋-GB2312" w:cs="CESI仿宋-GB2312"/>
          <w:color w:val="auto"/>
          <w:sz w:val="32"/>
          <w:szCs w:val="32"/>
          <w:lang w:val="en-US" w:eastAsia="zh-CN"/>
        </w:rPr>
        <w:t>5</w:t>
      </w:r>
      <w:r>
        <w:rPr>
          <w:rFonts w:hint="eastAsia" w:ascii="CESI仿宋-GB2312" w:hAnsi="CESI仿宋-GB2312" w:eastAsia="CESI仿宋-GB2312" w:cs="CESI仿宋-GB2312"/>
          <w:color w:val="auto"/>
          <w:sz w:val="32"/>
          <w:szCs w:val="32"/>
        </w:rPr>
        <w:t>.卫生健康支出（类） 行政事业单位医疗（款）事业单位医疗（项）:反映财政部门安排的事业单位基本医疗保险缴费经费，未参加医疗保险的事业单位的公费医疗经费，按国家规定享受离休人员待遇的医疗经费。</w:t>
      </w:r>
    </w:p>
    <w:p>
      <w:pPr>
        <w:ind w:firstLine="640" w:firstLineChars="200"/>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3</w:t>
      </w:r>
      <w:r>
        <w:rPr>
          <w:rFonts w:hint="eastAsia" w:ascii="CESI仿宋-GB2312" w:hAnsi="CESI仿宋-GB2312" w:eastAsia="CESI仿宋-GB2312" w:cs="CESI仿宋-GB2312"/>
          <w:color w:val="auto"/>
          <w:sz w:val="32"/>
          <w:szCs w:val="32"/>
          <w:lang w:val="en-US" w:eastAsia="zh-CN"/>
        </w:rPr>
        <w:t>6</w:t>
      </w:r>
      <w:r>
        <w:rPr>
          <w:rFonts w:hint="eastAsia" w:ascii="CESI仿宋-GB2312" w:hAnsi="CESI仿宋-GB2312" w:eastAsia="CESI仿宋-GB2312" w:cs="CESI仿宋-GB2312"/>
          <w:color w:val="auto"/>
          <w:sz w:val="32"/>
          <w:szCs w:val="32"/>
        </w:rPr>
        <w:t>.卫生健康支出（类） 行政事业单位医疗（款）  公务员医疗补助（项）:反映财政部门安排的公务员医疗补助经费。</w:t>
      </w:r>
    </w:p>
    <w:p>
      <w:pPr>
        <w:ind w:firstLine="640" w:firstLineChars="200"/>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3</w:t>
      </w:r>
      <w:r>
        <w:rPr>
          <w:rFonts w:hint="eastAsia" w:ascii="CESI仿宋-GB2312" w:hAnsi="CESI仿宋-GB2312" w:eastAsia="CESI仿宋-GB2312" w:cs="CESI仿宋-GB2312"/>
          <w:color w:val="auto"/>
          <w:sz w:val="32"/>
          <w:szCs w:val="32"/>
          <w:lang w:val="en-US" w:eastAsia="zh-CN"/>
        </w:rPr>
        <w:t>7</w:t>
      </w:r>
      <w:r>
        <w:rPr>
          <w:rFonts w:hint="eastAsia" w:ascii="CESI仿宋-GB2312" w:hAnsi="CESI仿宋-GB2312" w:eastAsia="CESI仿宋-GB2312" w:cs="CESI仿宋-GB2312"/>
          <w:color w:val="auto"/>
          <w:sz w:val="32"/>
          <w:szCs w:val="32"/>
        </w:rPr>
        <w:t>.卫生健康支出（类） 行政事业单位医疗（款）其他行政事业单位医疗支出（项）:反映除上述项目以外的其他用于行政事业单位医疗方面的支出。</w:t>
      </w:r>
    </w:p>
    <w:p>
      <w:pPr>
        <w:ind w:firstLine="640" w:firstLineChars="200"/>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3</w:t>
      </w:r>
      <w:r>
        <w:rPr>
          <w:rFonts w:hint="eastAsia" w:ascii="CESI仿宋-GB2312" w:hAnsi="CESI仿宋-GB2312" w:eastAsia="CESI仿宋-GB2312" w:cs="CESI仿宋-GB2312"/>
          <w:color w:val="auto"/>
          <w:sz w:val="32"/>
          <w:szCs w:val="32"/>
          <w:lang w:val="en-US" w:eastAsia="zh-CN"/>
        </w:rPr>
        <w:t>8</w:t>
      </w:r>
      <w:r>
        <w:rPr>
          <w:rFonts w:hint="eastAsia" w:ascii="CESI仿宋-GB2312" w:hAnsi="CESI仿宋-GB2312" w:eastAsia="CESI仿宋-GB2312" w:cs="CESI仿宋-GB2312"/>
          <w:color w:val="auto"/>
          <w:sz w:val="32"/>
          <w:szCs w:val="32"/>
        </w:rPr>
        <w:t>.卫生健康支出（类）其他卫生健康支出（款）其他卫生健康支出（项）:指用于其他卫生健康方面的支出。</w:t>
      </w:r>
    </w:p>
    <w:p>
      <w:pPr>
        <w:ind w:firstLine="640" w:firstLineChars="200"/>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lang w:val="en-US" w:eastAsia="zh-CN"/>
        </w:rPr>
        <w:t>39</w:t>
      </w:r>
      <w:r>
        <w:rPr>
          <w:rFonts w:hint="eastAsia" w:ascii="CESI仿宋-GB2312" w:hAnsi="CESI仿宋-GB2312" w:eastAsia="CESI仿宋-GB2312" w:cs="CESI仿宋-GB2312"/>
          <w:color w:val="auto"/>
          <w:sz w:val="32"/>
          <w:szCs w:val="32"/>
        </w:rPr>
        <w:t>.农林水支出（类）</w:t>
      </w:r>
      <w:r>
        <w:rPr>
          <w:rFonts w:hint="eastAsia" w:ascii="CESI仿宋-GB2312" w:hAnsi="CESI仿宋-GB2312" w:eastAsia="CESI仿宋-GB2312" w:cs="CESI仿宋-GB2312"/>
          <w:color w:val="auto"/>
          <w:sz w:val="32"/>
          <w:szCs w:val="32"/>
          <w:lang w:val="en-US" w:eastAsia="zh-CN"/>
        </w:rPr>
        <w:t>巩固脱贫衔接乡村振兴</w:t>
      </w:r>
      <w:r>
        <w:rPr>
          <w:rFonts w:hint="eastAsia" w:ascii="CESI仿宋-GB2312" w:hAnsi="CESI仿宋-GB2312" w:eastAsia="CESI仿宋-GB2312" w:cs="CESI仿宋-GB2312"/>
          <w:color w:val="auto"/>
          <w:sz w:val="32"/>
          <w:szCs w:val="32"/>
        </w:rPr>
        <w:t>（款）</w:t>
      </w:r>
      <w:r>
        <w:rPr>
          <w:rFonts w:hint="eastAsia" w:ascii="CESI仿宋-GB2312" w:hAnsi="CESI仿宋-GB2312" w:eastAsia="CESI仿宋-GB2312" w:cs="CESI仿宋-GB2312"/>
          <w:color w:val="auto"/>
          <w:sz w:val="32"/>
          <w:szCs w:val="32"/>
          <w:lang w:val="en-US" w:eastAsia="zh-CN"/>
        </w:rPr>
        <w:t>其他巩固脱贫衔接乡村振兴支出</w:t>
      </w:r>
      <w:r>
        <w:rPr>
          <w:rFonts w:hint="eastAsia" w:ascii="CESI仿宋-GB2312" w:hAnsi="CESI仿宋-GB2312" w:eastAsia="CESI仿宋-GB2312" w:cs="CESI仿宋-GB2312"/>
          <w:color w:val="auto"/>
          <w:sz w:val="32"/>
          <w:szCs w:val="32"/>
        </w:rPr>
        <w:t>（项）:反映除上述项目以外其他用于</w:t>
      </w:r>
      <w:r>
        <w:rPr>
          <w:rFonts w:hint="eastAsia" w:ascii="CESI仿宋-GB2312" w:hAnsi="CESI仿宋-GB2312" w:eastAsia="CESI仿宋-GB2312" w:cs="CESI仿宋-GB2312"/>
          <w:color w:val="auto"/>
          <w:sz w:val="32"/>
          <w:szCs w:val="32"/>
          <w:lang w:val="en-US" w:eastAsia="zh-CN"/>
        </w:rPr>
        <w:t>巩固拓展脱贫攻坚成果同乡村振兴有效衔接</w:t>
      </w:r>
      <w:r>
        <w:rPr>
          <w:rFonts w:hint="eastAsia" w:ascii="CESI仿宋-GB2312" w:hAnsi="CESI仿宋-GB2312" w:eastAsia="CESI仿宋-GB2312" w:cs="CESI仿宋-GB2312"/>
          <w:color w:val="auto"/>
          <w:sz w:val="32"/>
          <w:szCs w:val="32"/>
        </w:rPr>
        <w:t xml:space="preserve">方面的支出。  </w:t>
      </w:r>
    </w:p>
    <w:p>
      <w:pPr>
        <w:ind w:firstLine="640" w:firstLineChars="200"/>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4</w:t>
      </w:r>
      <w:r>
        <w:rPr>
          <w:rFonts w:hint="eastAsia" w:ascii="CESI仿宋-GB2312" w:hAnsi="CESI仿宋-GB2312" w:eastAsia="CESI仿宋-GB2312" w:cs="CESI仿宋-GB2312"/>
          <w:color w:val="auto"/>
          <w:sz w:val="32"/>
          <w:szCs w:val="32"/>
          <w:lang w:val="en-US" w:eastAsia="zh-CN"/>
        </w:rPr>
        <w:t>0</w:t>
      </w:r>
      <w:r>
        <w:rPr>
          <w:rFonts w:hint="eastAsia" w:ascii="CESI仿宋-GB2312" w:hAnsi="CESI仿宋-GB2312" w:eastAsia="CESI仿宋-GB2312" w:cs="CESI仿宋-GB2312"/>
          <w:color w:val="auto"/>
          <w:sz w:val="32"/>
          <w:szCs w:val="32"/>
        </w:rPr>
        <w:t>.住房保障支出（类）住房改革支出（款）住房公积金（项）:指单位按照人力资源和社会保障部、财政部规定的基本工资和津贴补贴以及规定比例为职工缴纳的住房公积金。</w:t>
      </w:r>
    </w:p>
    <w:p>
      <w:pPr>
        <w:ind w:firstLine="640" w:firstLineChars="200"/>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4</w:t>
      </w:r>
      <w:r>
        <w:rPr>
          <w:rFonts w:hint="eastAsia" w:ascii="CESI仿宋-GB2312" w:hAnsi="CESI仿宋-GB2312" w:eastAsia="CESI仿宋-GB2312" w:cs="CESI仿宋-GB2312"/>
          <w:color w:val="auto"/>
          <w:sz w:val="32"/>
          <w:szCs w:val="32"/>
          <w:lang w:val="en-US" w:eastAsia="zh-CN"/>
        </w:rPr>
        <w:t>1</w:t>
      </w:r>
      <w:r>
        <w:rPr>
          <w:rFonts w:hint="eastAsia" w:ascii="CESI仿宋-GB2312" w:hAnsi="CESI仿宋-GB2312" w:eastAsia="CESI仿宋-GB2312" w:cs="CESI仿宋-GB2312"/>
          <w:color w:val="auto"/>
          <w:sz w:val="32"/>
          <w:szCs w:val="32"/>
        </w:rPr>
        <w:t>.其他支出（类）其他支出（款） 其他支出（项）:反映除上述项目以外其他不能划分具体功能科目中的支出项目。</w:t>
      </w:r>
    </w:p>
    <w:p>
      <w:pPr>
        <w:ind w:firstLine="640" w:firstLineChars="200"/>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4</w:t>
      </w:r>
      <w:r>
        <w:rPr>
          <w:rFonts w:hint="eastAsia" w:ascii="CESI仿宋-GB2312" w:hAnsi="CESI仿宋-GB2312" w:eastAsia="CESI仿宋-GB2312" w:cs="CESI仿宋-GB2312"/>
          <w:color w:val="auto"/>
          <w:sz w:val="32"/>
          <w:szCs w:val="32"/>
          <w:lang w:val="en-US" w:eastAsia="zh-CN"/>
        </w:rPr>
        <w:t>2</w:t>
      </w:r>
      <w:r>
        <w:rPr>
          <w:rFonts w:hint="eastAsia" w:ascii="CESI仿宋-GB2312" w:hAnsi="CESI仿宋-GB2312" w:eastAsia="CESI仿宋-GB2312" w:cs="CESI仿宋-GB2312"/>
          <w:color w:val="auto"/>
          <w:sz w:val="32"/>
          <w:szCs w:val="32"/>
        </w:rPr>
        <w:t>.基本支出：指为保障机构正常运转、完成日常工作任务而发生的人员支出和公用支出。</w:t>
      </w:r>
    </w:p>
    <w:p>
      <w:pPr>
        <w:ind w:firstLine="640" w:firstLineChars="200"/>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4</w:t>
      </w:r>
      <w:r>
        <w:rPr>
          <w:rFonts w:hint="eastAsia" w:ascii="CESI仿宋-GB2312" w:hAnsi="CESI仿宋-GB2312" w:eastAsia="CESI仿宋-GB2312" w:cs="CESI仿宋-GB2312"/>
          <w:color w:val="auto"/>
          <w:sz w:val="32"/>
          <w:szCs w:val="32"/>
          <w:lang w:val="en-US" w:eastAsia="zh-CN"/>
        </w:rPr>
        <w:t>3</w:t>
      </w:r>
      <w:r>
        <w:rPr>
          <w:rFonts w:hint="eastAsia" w:ascii="CESI仿宋-GB2312" w:hAnsi="CESI仿宋-GB2312" w:eastAsia="CESI仿宋-GB2312" w:cs="CESI仿宋-GB2312"/>
          <w:color w:val="auto"/>
          <w:sz w:val="32"/>
          <w:szCs w:val="32"/>
        </w:rPr>
        <w:t>.项目支出：指在基本支出之外为完成特定行政任务和事业发展目标所发生的支出。</w:t>
      </w:r>
    </w:p>
    <w:p>
      <w:pPr>
        <w:ind w:firstLine="640" w:firstLineChars="200"/>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4</w:t>
      </w:r>
      <w:r>
        <w:rPr>
          <w:rFonts w:hint="eastAsia" w:ascii="CESI仿宋-GB2312" w:hAnsi="CESI仿宋-GB2312" w:eastAsia="CESI仿宋-GB2312" w:cs="CESI仿宋-GB2312"/>
          <w:color w:val="auto"/>
          <w:sz w:val="32"/>
          <w:szCs w:val="32"/>
          <w:lang w:val="en-US" w:eastAsia="zh-CN"/>
        </w:rPr>
        <w:t>4</w:t>
      </w:r>
      <w:r>
        <w:rPr>
          <w:rFonts w:hint="eastAsia" w:ascii="CESI仿宋-GB2312" w:hAnsi="CESI仿宋-GB2312" w:eastAsia="CESI仿宋-GB2312" w:cs="CESI仿宋-GB2312"/>
          <w:color w:val="auto"/>
          <w:sz w:val="32"/>
          <w:szCs w:val="32"/>
        </w:rPr>
        <w:t>.经营支出：指事业单位在专业业务活动及其辅助活动之外开展非独立核算经营活动发生的支出。</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color w:val="auto"/>
          <w:sz w:val="32"/>
          <w:szCs w:val="32"/>
        </w:rPr>
        <w:t>4</w:t>
      </w:r>
      <w:r>
        <w:rPr>
          <w:rFonts w:hint="eastAsia" w:ascii="CESI仿宋-GB2312" w:hAnsi="CESI仿宋-GB2312" w:eastAsia="CESI仿宋-GB2312" w:cs="CESI仿宋-GB2312"/>
          <w:color w:val="auto"/>
          <w:sz w:val="32"/>
          <w:szCs w:val="32"/>
          <w:lang w:val="en-US" w:eastAsia="zh-CN"/>
        </w:rPr>
        <w:t>5</w:t>
      </w:r>
      <w:r>
        <w:rPr>
          <w:rFonts w:hint="eastAsia" w:ascii="CESI仿宋-GB2312" w:hAnsi="CESI仿宋-GB2312" w:eastAsia="CESI仿宋-GB2312" w:cs="CESI仿宋-GB2312"/>
          <w:color w:val="auto"/>
          <w:sz w:val="32"/>
          <w:szCs w:val="32"/>
        </w:rPr>
        <w:t>.</w:t>
      </w:r>
      <w:r>
        <w:rPr>
          <w:rFonts w:hint="eastAsia" w:ascii="CESI仿宋-GB2312" w:hAnsi="CESI仿宋-GB2312" w:eastAsia="CESI仿宋-GB2312" w:cs="CESI仿宋-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0" w:firstLineChars="200"/>
        <w:rPr>
          <w:rFonts w:ascii="仿宋_GB2312" w:eastAsia="仿宋_GB2312"/>
          <w:sz w:val="32"/>
          <w:szCs w:val="32"/>
        </w:rPr>
      </w:pPr>
      <w:r>
        <w:rPr>
          <w:rFonts w:hint="eastAsia" w:ascii="CESI仿宋-GB2312" w:hAnsi="CESI仿宋-GB2312" w:eastAsia="CESI仿宋-GB2312" w:cs="CESI仿宋-GB2312"/>
          <w:color w:val="auto"/>
          <w:sz w:val="32"/>
          <w:szCs w:val="32"/>
        </w:rPr>
        <w:t>4</w:t>
      </w:r>
      <w:r>
        <w:rPr>
          <w:rFonts w:hint="eastAsia" w:ascii="CESI仿宋-GB2312" w:hAnsi="CESI仿宋-GB2312" w:eastAsia="CESI仿宋-GB2312" w:cs="CESI仿宋-GB2312"/>
          <w:color w:val="auto"/>
          <w:sz w:val="32"/>
          <w:szCs w:val="32"/>
          <w:lang w:val="en-US" w:eastAsia="zh-CN"/>
        </w:rPr>
        <w:t>6</w:t>
      </w:r>
      <w:r>
        <w:rPr>
          <w:rFonts w:hint="eastAsia" w:ascii="CESI仿宋-GB2312" w:hAnsi="CESI仿宋-GB2312" w:eastAsia="CESI仿宋-GB2312" w:cs="CESI仿宋-GB2312"/>
          <w:color w:val="auto"/>
          <w:sz w:val="32"/>
          <w:szCs w:val="32"/>
        </w:rPr>
        <w:t>.</w:t>
      </w:r>
      <w:r>
        <w:rPr>
          <w:rFonts w:hint="eastAsia" w:ascii="CESI仿宋-GB2312" w:hAnsi="CESI仿宋-GB2312" w:eastAsia="CESI仿宋-GB2312" w:cs="CESI仿宋-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firstLineChars="200"/>
        <w:rPr>
          <w:rFonts w:ascii="仿宋" w:hAnsi="仿宋" w:eastAsia="仿宋"/>
          <w:b/>
          <w:sz w:val="32"/>
          <w:szCs w:val="32"/>
        </w:rPr>
      </w:pPr>
      <w:r>
        <w:rPr>
          <w:rFonts w:ascii="仿宋" w:hAnsi="仿宋" w:eastAsia="仿宋"/>
          <w:b/>
          <w:sz w:val="32"/>
          <w:szCs w:val="32"/>
        </w:rPr>
        <w:br w:type="page"/>
      </w:r>
    </w:p>
    <w:p>
      <w:pPr>
        <w:spacing w:line="600" w:lineRule="exact"/>
        <w:jc w:val="center"/>
        <w:outlineLvl w:val="0"/>
        <w:rPr>
          <w:rStyle w:val="40"/>
          <w:rFonts w:hint="eastAsia" w:ascii="黑体" w:hAnsi="黑体" w:eastAsia="黑体"/>
          <w:b w:val="0"/>
        </w:rPr>
      </w:pPr>
      <w:bookmarkStart w:id="70" w:name="_Toc15396614"/>
      <w:r>
        <w:rPr>
          <w:rFonts w:hint="eastAsia" w:ascii="黑体" w:hAnsi="黑体" w:eastAsia="黑体"/>
          <w:sz w:val="44"/>
          <w:szCs w:val="44"/>
        </w:rPr>
        <w:t>第</w:t>
      </w:r>
      <w:r>
        <w:rPr>
          <w:rStyle w:val="40"/>
          <w:rFonts w:hint="eastAsia" w:ascii="黑体" w:hAnsi="黑体" w:eastAsia="黑体"/>
          <w:b w:val="0"/>
        </w:rPr>
        <w:t>四部分 附件</w:t>
      </w:r>
      <w:bookmarkEnd w:id="70"/>
    </w:p>
    <w:p>
      <w:pPr>
        <w:spacing w:line="572" w:lineRule="exact"/>
        <w:jc w:val="left"/>
        <w:outlineLvl w:val="0"/>
        <w:rPr>
          <w:rFonts w:hint="eastAsia" w:ascii="黑体" w:hAnsi="黑体" w:eastAsia="黑体" w:cs="黑体"/>
          <w:color w:val="FF0000"/>
          <w:sz w:val="32"/>
          <w:szCs w:val="32"/>
        </w:rPr>
      </w:pPr>
    </w:p>
    <w:p>
      <w:pPr>
        <w:spacing w:line="572" w:lineRule="exact"/>
        <w:jc w:val="left"/>
        <w:outlineLvl w:val="0"/>
        <w:rPr>
          <w:rFonts w:hint="eastAsia" w:ascii="方正小标宋简体" w:hAnsi="方正小标宋简体" w:eastAsia="黑体" w:cs="方正小标宋简体"/>
          <w:sz w:val="44"/>
          <w:szCs w:val="44"/>
        </w:rPr>
      </w:pPr>
      <w:r>
        <w:rPr>
          <w:rFonts w:hint="eastAsia" w:ascii="黑体" w:hAnsi="黑体" w:eastAsia="黑体" w:cs="黑体"/>
          <w:sz w:val="32"/>
          <w:szCs w:val="32"/>
        </w:rPr>
        <w:t>附件1</w:t>
      </w:r>
    </w:p>
    <w:p>
      <w:pPr>
        <w:widowControl/>
        <w:adjustRightInd w:val="0"/>
        <w:snapToGrid w:val="0"/>
        <w:spacing w:line="578" w:lineRule="exact"/>
        <w:ind w:firstLine="880" w:firstLineChars="200"/>
        <w:contextualSpacing/>
        <w:jc w:val="center"/>
        <w:rPr>
          <w:rFonts w:hint="eastAsia" w:ascii="Times New Roman" w:hAnsi="Times New Roman" w:eastAsia="方正小标宋简体"/>
          <w:bCs/>
          <w:sz w:val="44"/>
          <w:szCs w:val="44"/>
          <w:shd w:val="clear" w:color="auto" w:fill="FFFFFF"/>
        </w:rPr>
      </w:pPr>
      <w:r>
        <w:rPr>
          <w:rFonts w:hint="eastAsia" w:ascii="Times New Roman" w:hAnsi="Times New Roman" w:eastAsia="方正小标宋简体"/>
          <w:bCs/>
          <w:sz w:val="44"/>
          <w:szCs w:val="44"/>
          <w:shd w:val="clear" w:color="auto" w:fill="FFFFFF"/>
        </w:rPr>
        <w:t>盐边县卫生健康局</w:t>
      </w:r>
    </w:p>
    <w:p>
      <w:pPr>
        <w:widowControl/>
        <w:adjustRightInd w:val="0"/>
        <w:snapToGrid w:val="0"/>
        <w:spacing w:line="578" w:lineRule="exact"/>
        <w:ind w:firstLine="880" w:firstLineChars="200"/>
        <w:contextualSpacing/>
        <w:jc w:val="center"/>
        <w:rPr>
          <w:rFonts w:hint="eastAsia" w:ascii="Times New Roman" w:hAnsi="Times New Roman" w:eastAsia="方正小标宋简体"/>
          <w:bCs/>
          <w:sz w:val="44"/>
          <w:szCs w:val="44"/>
          <w:shd w:val="clear" w:color="auto" w:fill="FFFFFF"/>
        </w:rPr>
      </w:pPr>
      <w:r>
        <w:rPr>
          <w:rFonts w:hint="eastAsia" w:ascii="Times New Roman" w:hAnsi="Times New Roman" w:eastAsia="方正小标宋简体"/>
          <w:bCs/>
          <w:sz w:val="44"/>
          <w:szCs w:val="44"/>
          <w:shd w:val="clear" w:color="auto" w:fill="FFFFFF"/>
        </w:rPr>
        <w:t>部门整体支出绩效自评报告</w:t>
      </w:r>
    </w:p>
    <w:p>
      <w:pPr>
        <w:pStyle w:val="5"/>
      </w:pPr>
    </w:p>
    <w:p>
      <w:pPr>
        <w:widowControl/>
        <w:adjustRightInd w:val="0"/>
        <w:snapToGrid w:val="0"/>
        <w:spacing w:line="580" w:lineRule="exact"/>
        <w:ind w:firstLine="640" w:firstLineChars="200"/>
        <w:contextualSpacing/>
        <w:jc w:val="left"/>
        <w:rPr>
          <w:rFonts w:eastAsia="黑体"/>
          <w:kern w:val="0"/>
          <w:sz w:val="32"/>
          <w:szCs w:val="32"/>
          <w:shd w:val="clear" w:color="auto" w:fill="FFFFFF"/>
          <w:lang w:val="zh-CN"/>
        </w:rPr>
      </w:pPr>
      <w:r>
        <w:rPr>
          <w:rFonts w:eastAsia="黑体"/>
          <w:kern w:val="0"/>
          <w:sz w:val="32"/>
          <w:szCs w:val="32"/>
          <w:shd w:val="clear" w:color="auto" w:fill="FFFFFF"/>
        </w:rPr>
        <w:t>一、</w:t>
      </w:r>
      <w:r>
        <w:rPr>
          <w:rFonts w:eastAsia="黑体"/>
          <w:kern w:val="0"/>
          <w:sz w:val="32"/>
          <w:szCs w:val="32"/>
          <w:shd w:val="clear" w:color="auto" w:fill="FFFFFF"/>
          <w:lang w:val="zh-CN"/>
        </w:rPr>
        <w:t>部门概况</w:t>
      </w:r>
    </w:p>
    <w:p>
      <w:pPr>
        <w:ind w:firstLine="640" w:firstLineChars="200"/>
        <w:rPr>
          <w:rFonts w:hint="eastAsia" w:ascii="CESI仿宋-GB2312" w:hAnsi="CESI仿宋-GB2312" w:eastAsia="CESI仿宋-GB2312" w:cs="CESI仿宋-GB2312"/>
          <w:sz w:val="32"/>
          <w:szCs w:val="32"/>
        </w:rPr>
      </w:pPr>
      <w:r>
        <w:rPr>
          <w:kern w:val="0"/>
          <w:sz w:val="32"/>
          <w:szCs w:val="32"/>
          <w:shd w:val="clear" w:color="auto" w:fill="FFFFFF"/>
          <w:lang w:val="zh-CN"/>
        </w:rPr>
        <w:t>（一）机构组成。</w:t>
      </w:r>
      <w:r>
        <w:rPr>
          <w:rFonts w:hint="eastAsia" w:ascii="CESI仿宋-GB2312" w:hAnsi="CESI仿宋-GB2312" w:eastAsia="CESI仿宋-GB2312" w:cs="CESI仿宋-GB2312"/>
          <w:b w:val="0"/>
          <w:bCs/>
          <w:sz w:val="32"/>
          <w:szCs w:val="32"/>
          <w:lang w:eastAsia="zh-CN"/>
        </w:rPr>
        <w:t>全县</w:t>
      </w:r>
      <w:r>
        <w:rPr>
          <w:rFonts w:hint="eastAsia" w:ascii="CESI仿宋-GB2312" w:hAnsi="CESI仿宋-GB2312" w:eastAsia="CESI仿宋-GB2312" w:cs="CESI仿宋-GB2312"/>
          <w:sz w:val="32"/>
          <w:szCs w:val="32"/>
        </w:rPr>
        <w:t>共有各级各类医疗卫生机构 2</w:t>
      </w:r>
      <w:r>
        <w:rPr>
          <w:rFonts w:hint="eastAsia" w:ascii="CESI仿宋-GB2312" w:hAnsi="CESI仿宋-GB2312" w:eastAsia="CESI仿宋-GB2312" w:cs="CESI仿宋-GB2312"/>
          <w:sz w:val="32"/>
          <w:szCs w:val="32"/>
          <w:lang w:eastAsia="zh-CN"/>
        </w:rPr>
        <w:t>3</w:t>
      </w:r>
      <w:r>
        <w:rPr>
          <w:rFonts w:hint="eastAsia" w:ascii="CESI仿宋-GB2312" w:hAnsi="CESI仿宋-GB2312" w:eastAsia="CESI仿宋-GB2312" w:cs="CESI仿宋-GB2312"/>
          <w:sz w:val="32"/>
          <w:szCs w:val="32"/>
          <w:lang w:val="en-US" w:eastAsia="zh-CN"/>
        </w:rPr>
        <w:t>2</w:t>
      </w:r>
      <w:r>
        <w:rPr>
          <w:rFonts w:hint="eastAsia" w:ascii="CESI仿宋-GB2312" w:hAnsi="CESI仿宋-GB2312" w:eastAsia="CESI仿宋-GB2312" w:cs="CESI仿宋-GB2312"/>
          <w:sz w:val="32"/>
          <w:szCs w:val="32"/>
        </w:rPr>
        <w:t>家。其中，公立县级医疗机构3个</w:t>
      </w:r>
      <w:r>
        <w:rPr>
          <w:rFonts w:hint="eastAsia" w:ascii="CESI仿宋-GB2312" w:hAnsi="CESI仿宋-GB2312" w:eastAsia="CESI仿宋-GB2312" w:cs="CESI仿宋-GB2312"/>
          <w:sz w:val="32"/>
          <w:szCs w:val="32"/>
          <w:lang w:eastAsia="zh-CN"/>
        </w:rPr>
        <w:t>（县</w:t>
      </w:r>
      <w:r>
        <w:rPr>
          <w:rFonts w:hint="eastAsia" w:ascii="CESI仿宋-GB2312" w:hAnsi="CESI仿宋-GB2312" w:eastAsia="CESI仿宋-GB2312" w:cs="CESI仿宋-GB2312"/>
          <w:sz w:val="32"/>
          <w:szCs w:val="32"/>
          <w:lang w:val="en-US" w:eastAsia="zh-CN"/>
        </w:rPr>
        <w:t>人民医院、县第二人民医院、县中医院</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，卫生计生监督执法机构1个</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县卫生计生执法监督大队</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，公共卫生服务机构2个</w:t>
      </w:r>
      <w:r>
        <w:rPr>
          <w:rFonts w:hint="eastAsia" w:ascii="CESI仿宋-GB2312" w:hAnsi="CESI仿宋-GB2312" w:eastAsia="CESI仿宋-GB2312" w:cs="CESI仿宋-GB2312"/>
          <w:sz w:val="32"/>
          <w:szCs w:val="32"/>
          <w:lang w:eastAsia="zh-CN"/>
        </w:rPr>
        <w:t>（县疾病预防控制中心和县妇幼保健服务中心）</w:t>
      </w:r>
      <w:r>
        <w:rPr>
          <w:rFonts w:hint="eastAsia" w:ascii="CESI仿宋-GB2312" w:hAnsi="CESI仿宋-GB2312" w:eastAsia="CESI仿宋-GB2312" w:cs="CESI仿宋-GB2312"/>
          <w:sz w:val="32"/>
          <w:szCs w:val="32"/>
        </w:rPr>
        <w:t>，乡镇卫生院12个，社区卫生服务中心1个，村卫生室173个，民营医院3个，民营诊所37个。</w:t>
      </w:r>
    </w:p>
    <w:p>
      <w:pPr>
        <w:widowControl w:val="0"/>
        <w:adjustRightInd/>
        <w:snapToGrid/>
        <w:spacing w:line="590" w:lineRule="atLeast"/>
        <w:ind w:firstLine="640" w:firstLineChars="200"/>
        <w:contextualSpacing/>
        <w:jc w:val="both"/>
        <w:rPr>
          <w:rFonts w:hint="eastAsia" w:ascii="CESI仿宋-GB2312" w:hAnsi="CESI仿宋-GB2312" w:eastAsia="CESI仿宋-GB2312" w:cs="CESI仿宋-GB2312"/>
          <w:kern w:val="0"/>
          <w:sz w:val="32"/>
          <w:szCs w:val="32"/>
          <w:shd w:val="clear" w:color="auto" w:fill="FFFFFF"/>
          <w:lang w:val="zh-CN"/>
        </w:rPr>
      </w:pPr>
      <w:r>
        <w:rPr>
          <w:rFonts w:hint="eastAsia" w:ascii="CESI仿宋-GB2312" w:hAnsi="CESI仿宋-GB2312" w:eastAsia="CESI仿宋-GB2312" w:cs="CESI仿宋-GB2312"/>
          <w:sz w:val="32"/>
          <w:szCs w:val="32"/>
        </w:rPr>
        <w:t>盐边县卫生健康局内设8个行政股室，与上年无变化。分别是办公室（政策法规股）、医政执法监督股（医改办）、基层卫生和妇幼健康股（卫生应急办公室）、人口监测与家庭发展股、疾病预防控制股（爱国卫生办公室）、健康服务业发展股、人事与科教股和规划财务审计股。盐边县卫生健康局为县本级一级预算单位，下属1</w:t>
      </w:r>
      <w:r>
        <w:rPr>
          <w:rFonts w:hint="eastAsia" w:ascii="CESI仿宋-GB2312" w:hAnsi="CESI仿宋-GB2312" w:eastAsia="CESI仿宋-GB2312" w:cs="CESI仿宋-GB2312"/>
          <w:sz w:val="32"/>
          <w:szCs w:val="32"/>
          <w:lang w:val="en-US" w:eastAsia="zh-CN"/>
        </w:rPr>
        <w:t>9</w:t>
      </w:r>
      <w:r>
        <w:rPr>
          <w:rFonts w:hint="eastAsia" w:ascii="CESI仿宋-GB2312" w:hAnsi="CESI仿宋-GB2312" w:eastAsia="CESI仿宋-GB2312" w:cs="CESI仿宋-GB2312"/>
          <w:sz w:val="32"/>
          <w:szCs w:val="32"/>
        </w:rPr>
        <w:t>个财政</w:t>
      </w:r>
      <w:r>
        <w:rPr>
          <w:rFonts w:hint="eastAsia" w:ascii="CESI仿宋-GB2312" w:hAnsi="CESI仿宋-GB2312" w:eastAsia="CESI仿宋-GB2312" w:cs="CESI仿宋-GB2312"/>
          <w:sz w:val="32"/>
          <w:szCs w:val="32"/>
          <w:lang w:eastAsia="zh-CN"/>
        </w:rPr>
        <w:t>一</w:t>
      </w:r>
      <w:r>
        <w:rPr>
          <w:rFonts w:hint="eastAsia" w:ascii="CESI仿宋-GB2312" w:hAnsi="CESI仿宋-GB2312" w:eastAsia="CESI仿宋-GB2312" w:cs="CESI仿宋-GB2312"/>
          <w:sz w:val="32"/>
          <w:szCs w:val="32"/>
        </w:rPr>
        <w:t>级预算单位，分别是县疾病预防控制中心、县卫生计生执法监督大队、</w:t>
      </w:r>
      <w:r>
        <w:rPr>
          <w:rFonts w:hint="eastAsia" w:ascii="CESI仿宋-GB2312" w:hAnsi="CESI仿宋-GB2312" w:eastAsia="CESI仿宋-GB2312" w:cs="CESI仿宋-GB2312"/>
          <w:sz w:val="32"/>
          <w:szCs w:val="32"/>
          <w:lang w:eastAsia="zh-CN"/>
        </w:rPr>
        <w:t>县妇幼保健服务中心和</w:t>
      </w:r>
      <w:r>
        <w:rPr>
          <w:rFonts w:hint="eastAsia" w:ascii="CESI仿宋-GB2312" w:hAnsi="CESI仿宋-GB2312" w:eastAsia="CESI仿宋-GB2312" w:cs="CESI仿宋-GB2312"/>
          <w:sz w:val="32"/>
          <w:szCs w:val="32"/>
        </w:rPr>
        <w:t>2个综合医院</w:t>
      </w:r>
      <w:r>
        <w:rPr>
          <w:rFonts w:hint="eastAsia" w:ascii="CESI仿宋-GB2312" w:hAnsi="CESI仿宋-GB2312" w:eastAsia="CESI仿宋-GB2312" w:cs="CESI仿宋-GB2312"/>
          <w:sz w:val="32"/>
          <w:szCs w:val="32"/>
          <w:lang w:eastAsia="zh-CN"/>
        </w:rPr>
        <w:t>（县人民医院和县第二人民医院）</w:t>
      </w:r>
      <w:r>
        <w:rPr>
          <w:rFonts w:hint="eastAsia" w:ascii="CESI仿宋-GB2312" w:hAnsi="CESI仿宋-GB2312" w:eastAsia="CESI仿宋-GB2312" w:cs="CESI仿宋-GB2312"/>
          <w:sz w:val="32"/>
          <w:szCs w:val="32"/>
        </w:rPr>
        <w:t>、1个中医医院</w:t>
      </w:r>
      <w:r>
        <w:rPr>
          <w:rFonts w:hint="eastAsia" w:ascii="CESI仿宋-GB2312" w:hAnsi="CESI仿宋-GB2312" w:eastAsia="CESI仿宋-GB2312" w:cs="CESI仿宋-GB2312"/>
          <w:sz w:val="32"/>
          <w:szCs w:val="32"/>
          <w:lang w:eastAsia="zh-CN"/>
        </w:rPr>
        <w:t>（县中医院）</w:t>
      </w:r>
      <w:r>
        <w:rPr>
          <w:rFonts w:hint="eastAsia" w:ascii="CESI仿宋-GB2312" w:hAnsi="CESI仿宋-GB2312" w:eastAsia="CESI仿宋-GB2312" w:cs="CESI仿宋-GB2312"/>
          <w:sz w:val="32"/>
          <w:szCs w:val="32"/>
        </w:rPr>
        <w:t>、1个社区卫生服务中心、12个乡镇卫生院。</w:t>
      </w:r>
    </w:p>
    <w:p>
      <w:pPr>
        <w:widowControl/>
        <w:adjustRightInd w:val="0"/>
        <w:snapToGrid w:val="0"/>
        <w:spacing w:line="580" w:lineRule="exact"/>
        <w:ind w:firstLine="640" w:firstLineChars="200"/>
        <w:contextualSpacing/>
        <w:jc w:val="left"/>
        <w:rPr>
          <w:rFonts w:hint="eastAsia" w:ascii="CESI仿宋-GB2312" w:hAnsi="CESI仿宋-GB2312" w:eastAsia="CESI仿宋-GB2312" w:cs="CESI仿宋-GB2312"/>
          <w:kern w:val="0"/>
          <w:sz w:val="32"/>
          <w:szCs w:val="32"/>
          <w:shd w:val="clear" w:color="auto" w:fill="FFFFFF"/>
          <w:lang w:val="zh-CN"/>
        </w:rPr>
      </w:pPr>
      <w:r>
        <w:rPr>
          <w:rFonts w:hint="eastAsia" w:ascii="CESI仿宋-GB2312" w:hAnsi="CESI仿宋-GB2312" w:eastAsia="CESI仿宋-GB2312" w:cs="CESI仿宋-GB2312"/>
          <w:kern w:val="0"/>
          <w:sz w:val="32"/>
          <w:szCs w:val="32"/>
          <w:shd w:val="clear" w:color="auto" w:fill="FFFFFF"/>
          <w:lang w:val="zh-CN"/>
        </w:rPr>
        <w:t xml:space="preserve">（二）机构职能。 1.组织拟订全县卫生健康政策。负责拟订卫生健康事业发展政策、规划并组织实施。统筹规划全县卫生健康资源配置。制定并组织实施推进卫生健康基本公共服务均等化、普惠化、便捷化和公共资源向基层延伸等政策措施。 </w:t>
      </w:r>
    </w:p>
    <w:p>
      <w:pPr>
        <w:widowControl/>
        <w:adjustRightInd w:val="0"/>
        <w:snapToGrid w:val="0"/>
        <w:spacing w:line="580" w:lineRule="exact"/>
        <w:ind w:firstLine="640" w:firstLineChars="200"/>
        <w:contextualSpacing/>
        <w:jc w:val="left"/>
        <w:rPr>
          <w:rFonts w:hint="eastAsia" w:ascii="CESI仿宋-GB2312" w:hAnsi="CESI仿宋-GB2312" w:eastAsia="CESI仿宋-GB2312" w:cs="CESI仿宋-GB2312"/>
          <w:kern w:val="0"/>
          <w:sz w:val="32"/>
          <w:szCs w:val="32"/>
          <w:shd w:val="clear" w:color="auto" w:fill="FFFFFF"/>
          <w:lang w:val="zh-CN"/>
        </w:rPr>
      </w:pPr>
      <w:r>
        <w:rPr>
          <w:rFonts w:hint="eastAsia" w:ascii="CESI仿宋-GB2312" w:hAnsi="CESI仿宋-GB2312" w:eastAsia="CESI仿宋-GB2312" w:cs="CESI仿宋-GB2312"/>
          <w:kern w:val="0"/>
          <w:sz w:val="32"/>
          <w:szCs w:val="32"/>
          <w:shd w:val="clear" w:color="auto" w:fill="FFFFFF"/>
          <w:lang w:val="zh-CN"/>
        </w:rPr>
        <w:t xml:space="preserve">2.牵头推进全县深化医药卫生体制改革。研究提出深化改革重大政策、措施的建议。组织深化公立医院综合改革，建立健全现代医院管理制度。制定并组织实施推动卫生健康公共服务提供主体多元化、提供方式多样化的政策措施。 </w:t>
      </w:r>
    </w:p>
    <w:p>
      <w:pPr>
        <w:widowControl/>
        <w:adjustRightInd w:val="0"/>
        <w:snapToGrid w:val="0"/>
        <w:spacing w:line="580" w:lineRule="exact"/>
        <w:ind w:firstLine="640" w:firstLineChars="200"/>
        <w:contextualSpacing/>
        <w:jc w:val="left"/>
        <w:rPr>
          <w:rFonts w:hint="eastAsia" w:ascii="CESI仿宋-GB2312" w:hAnsi="CESI仿宋-GB2312" w:eastAsia="CESI仿宋-GB2312" w:cs="CESI仿宋-GB2312"/>
          <w:kern w:val="0"/>
          <w:sz w:val="32"/>
          <w:szCs w:val="32"/>
          <w:shd w:val="clear" w:color="auto" w:fill="FFFFFF"/>
          <w:lang w:val="zh-CN"/>
        </w:rPr>
      </w:pPr>
      <w:r>
        <w:rPr>
          <w:rFonts w:hint="eastAsia" w:ascii="CESI仿宋-GB2312" w:hAnsi="CESI仿宋-GB2312" w:eastAsia="CESI仿宋-GB2312" w:cs="CESI仿宋-GB2312"/>
          <w:kern w:val="0"/>
          <w:sz w:val="32"/>
          <w:szCs w:val="32"/>
          <w:shd w:val="clear" w:color="auto" w:fill="FFFFFF"/>
          <w:lang w:val="zh-CN"/>
        </w:rPr>
        <w:t xml:space="preserve"> 3.制定并组织落实全县疾病预防控制规划、免疫规划以及严重危害人民健康的艾滋病等重大传染病、寄生虫病、地方病等公共卫生问题的干预措施。负责全县卫生应急工作，组织和指导全县突发公共卫生事件预防控制和各类突发公共事件的医疗卫生救援。收集、报告法定传染病疫情信息、突发公共卫生事件应急处置信息。依照国家检疫传染病和监测传染病目录，参与开展检疫监测工作。 </w:t>
      </w:r>
    </w:p>
    <w:p>
      <w:pPr>
        <w:widowControl/>
        <w:adjustRightInd w:val="0"/>
        <w:snapToGrid w:val="0"/>
        <w:spacing w:line="580" w:lineRule="exact"/>
        <w:ind w:firstLine="640" w:firstLineChars="200"/>
        <w:contextualSpacing/>
        <w:jc w:val="left"/>
        <w:rPr>
          <w:rFonts w:hint="eastAsia" w:ascii="CESI仿宋-GB2312" w:hAnsi="CESI仿宋-GB2312" w:eastAsia="CESI仿宋-GB2312" w:cs="CESI仿宋-GB2312"/>
          <w:kern w:val="0"/>
          <w:sz w:val="32"/>
          <w:szCs w:val="32"/>
          <w:shd w:val="clear" w:color="auto" w:fill="FFFFFF"/>
          <w:lang w:val="zh-CN"/>
        </w:rPr>
      </w:pPr>
      <w:r>
        <w:rPr>
          <w:rFonts w:hint="eastAsia" w:ascii="CESI仿宋-GB2312" w:hAnsi="CESI仿宋-GB2312" w:eastAsia="CESI仿宋-GB2312" w:cs="CESI仿宋-GB2312"/>
          <w:kern w:val="0"/>
          <w:sz w:val="32"/>
          <w:szCs w:val="32"/>
          <w:shd w:val="clear" w:color="auto" w:fill="FFFFFF"/>
          <w:lang w:val="zh-CN"/>
        </w:rPr>
        <w:t xml:space="preserve">4.贯彻落实国家应对人口老龄化政策措施。负责推进老年健康服务体系建设和医养结合工作。承担县老龄工作委员会日常工作。 </w:t>
      </w:r>
    </w:p>
    <w:p>
      <w:pPr>
        <w:widowControl/>
        <w:adjustRightInd w:val="0"/>
        <w:snapToGrid w:val="0"/>
        <w:spacing w:line="580" w:lineRule="exact"/>
        <w:ind w:firstLine="640" w:firstLineChars="200"/>
        <w:contextualSpacing/>
        <w:jc w:val="left"/>
        <w:rPr>
          <w:rFonts w:hint="eastAsia" w:ascii="CESI仿宋-GB2312" w:hAnsi="CESI仿宋-GB2312" w:eastAsia="CESI仿宋-GB2312" w:cs="CESI仿宋-GB2312"/>
          <w:kern w:val="0"/>
          <w:sz w:val="32"/>
          <w:szCs w:val="32"/>
          <w:shd w:val="clear" w:color="auto" w:fill="FFFFFF"/>
          <w:lang w:val="zh-CN"/>
        </w:rPr>
      </w:pPr>
      <w:r>
        <w:rPr>
          <w:rFonts w:hint="eastAsia" w:ascii="CESI仿宋-GB2312" w:hAnsi="CESI仿宋-GB2312" w:eastAsia="CESI仿宋-GB2312" w:cs="CESI仿宋-GB2312"/>
          <w:kern w:val="0"/>
          <w:sz w:val="32"/>
          <w:szCs w:val="32"/>
          <w:shd w:val="clear" w:color="auto" w:fill="FFFFFF"/>
          <w:lang w:val="zh-CN"/>
        </w:rPr>
        <w:t xml:space="preserve">5.贯彻落实国家药物政策和国家基本药物制度。开展药械使用监测、临床综合评价和短缺药品预警，组织执行国家药典和国家基本药物目录，实施基本药物采购、配送、使用的政策措施。 </w:t>
      </w:r>
    </w:p>
    <w:p>
      <w:pPr>
        <w:widowControl/>
        <w:adjustRightInd w:val="0"/>
        <w:snapToGrid w:val="0"/>
        <w:spacing w:line="580" w:lineRule="exact"/>
        <w:ind w:firstLine="640" w:firstLineChars="200"/>
        <w:contextualSpacing/>
        <w:jc w:val="left"/>
        <w:rPr>
          <w:rFonts w:hint="eastAsia" w:ascii="CESI仿宋-GB2312" w:hAnsi="CESI仿宋-GB2312" w:eastAsia="CESI仿宋-GB2312" w:cs="CESI仿宋-GB2312"/>
          <w:kern w:val="0"/>
          <w:sz w:val="32"/>
          <w:szCs w:val="32"/>
          <w:shd w:val="clear" w:color="auto" w:fill="FFFFFF"/>
          <w:lang w:val="zh-CN"/>
        </w:rPr>
      </w:pPr>
      <w:r>
        <w:rPr>
          <w:rFonts w:hint="eastAsia" w:ascii="CESI仿宋-GB2312" w:hAnsi="CESI仿宋-GB2312" w:eastAsia="CESI仿宋-GB2312" w:cs="CESI仿宋-GB2312"/>
          <w:kern w:val="0"/>
          <w:sz w:val="32"/>
          <w:szCs w:val="32"/>
          <w:shd w:val="clear" w:color="auto" w:fill="FFFFFF"/>
          <w:lang w:val="zh-CN"/>
        </w:rPr>
        <w:t xml:space="preserve">6.组织实施食品安全风险监测。开展食品安全企业标准备案，组织开展食品安全事故流行病学调查。 </w:t>
      </w:r>
    </w:p>
    <w:p>
      <w:pPr>
        <w:widowControl/>
        <w:adjustRightInd w:val="0"/>
        <w:snapToGrid w:val="0"/>
        <w:spacing w:line="580" w:lineRule="exact"/>
        <w:ind w:firstLine="640" w:firstLineChars="200"/>
        <w:contextualSpacing/>
        <w:jc w:val="left"/>
        <w:rPr>
          <w:rFonts w:hint="eastAsia" w:ascii="CESI仿宋-GB2312" w:hAnsi="CESI仿宋-GB2312" w:eastAsia="CESI仿宋-GB2312" w:cs="CESI仿宋-GB2312"/>
          <w:kern w:val="0"/>
          <w:sz w:val="32"/>
          <w:szCs w:val="32"/>
          <w:shd w:val="clear" w:color="auto" w:fill="FFFFFF"/>
          <w:lang w:val="zh-CN"/>
        </w:rPr>
      </w:pPr>
      <w:r>
        <w:rPr>
          <w:rFonts w:hint="eastAsia" w:ascii="CESI仿宋-GB2312" w:hAnsi="CESI仿宋-GB2312" w:eastAsia="CESI仿宋-GB2312" w:cs="CESI仿宋-GB2312"/>
          <w:kern w:val="0"/>
          <w:sz w:val="32"/>
          <w:szCs w:val="32"/>
          <w:shd w:val="clear" w:color="auto" w:fill="FFFFFF"/>
          <w:lang w:val="zh-CN"/>
        </w:rPr>
        <w:t xml:space="preserve">7.负责职责范围内的职业卫生、放射卫生、环境卫生、学校卫生、公共场所卫生、饮用水卫生等公共卫生的监督管理。负责传染病防治监督，健全卫生健康综合监管体系。 </w:t>
      </w:r>
    </w:p>
    <w:p>
      <w:pPr>
        <w:widowControl/>
        <w:adjustRightInd w:val="0"/>
        <w:snapToGrid w:val="0"/>
        <w:spacing w:line="580" w:lineRule="exact"/>
        <w:ind w:firstLine="640" w:firstLineChars="200"/>
        <w:contextualSpacing/>
        <w:jc w:val="left"/>
        <w:rPr>
          <w:rFonts w:hint="eastAsia" w:ascii="CESI仿宋-GB2312" w:hAnsi="CESI仿宋-GB2312" w:eastAsia="CESI仿宋-GB2312" w:cs="CESI仿宋-GB2312"/>
          <w:kern w:val="0"/>
          <w:sz w:val="32"/>
          <w:szCs w:val="32"/>
          <w:shd w:val="clear" w:color="auto" w:fill="FFFFFF"/>
          <w:lang w:val="zh-CN"/>
        </w:rPr>
      </w:pPr>
      <w:r>
        <w:rPr>
          <w:rFonts w:hint="eastAsia" w:ascii="CESI仿宋-GB2312" w:hAnsi="CESI仿宋-GB2312" w:eastAsia="CESI仿宋-GB2312" w:cs="CESI仿宋-GB2312"/>
          <w:kern w:val="0"/>
          <w:sz w:val="32"/>
          <w:szCs w:val="32"/>
          <w:shd w:val="clear" w:color="auto" w:fill="FFFFFF"/>
          <w:lang w:val="zh-CN"/>
        </w:rPr>
        <w:t xml:space="preserve">8.制定全县医疗机构、医疗服务行业管理办法并监督实施，建立医疗服务评价和监督管理体系。会同有关部门实施卫生健康专业技术人员资格标准。组织实施医疗服务规范、标准和卫生健康专业技术人员执业规则、服务规范。负责医疗机构、人员和行为的日常监管。 </w:t>
      </w:r>
    </w:p>
    <w:p>
      <w:pPr>
        <w:widowControl/>
        <w:adjustRightInd w:val="0"/>
        <w:snapToGrid w:val="0"/>
        <w:spacing w:line="580" w:lineRule="exact"/>
        <w:ind w:firstLine="640" w:firstLineChars="200"/>
        <w:contextualSpacing/>
        <w:jc w:val="left"/>
        <w:rPr>
          <w:rFonts w:hint="eastAsia" w:ascii="CESI仿宋-GB2312" w:hAnsi="CESI仿宋-GB2312" w:eastAsia="CESI仿宋-GB2312" w:cs="CESI仿宋-GB2312"/>
          <w:kern w:val="0"/>
          <w:sz w:val="32"/>
          <w:szCs w:val="32"/>
          <w:shd w:val="clear" w:color="auto" w:fill="FFFFFF"/>
          <w:lang w:val="zh-CN"/>
        </w:rPr>
      </w:pPr>
      <w:r>
        <w:rPr>
          <w:rFonts w:hint="eastAsia" w:ascii="CESI仿宋-GB2312" w:hAnsi="CESI仿宋-GB2312" w:eastAsia="CESI仿宋-GB2312" w:cs="CESI仿宋-GB2312"/>
          <w:kern w:val="0"/>
          <w:sz w:val="32"/>
          <w:szCs w:val="32"/>
          <w:shd w:val="clear" w:color="auto" w:fill="FFFFFF"/>
          <w:lang w:val="zh-CN"/>
        </w:rPr>
        <w:t xml:space="preserve">9.制定全县中医药中长期发展规划，并纳入卫生健康事业发展总体规划和战略目标予以组织实施。 </w:t>
      </w:r>
    </w:p>
    <w:p>
      <w:pPr>
        <w:widowControl/>
        <w:adjustRightInd w:val="0"/>
        <w:snapToGrid w:val="0"/>
        <w:spacing w:line="580" w:lineRule="exact"/>
        <w:ind w:firstLine="640" w:firstLineChars="200"/>
        <w:contextualSpacing/>
        <w:jc w:val="left"/>
        <w:rPr>
          <w:rFonts w:hint="eastAsia" w:ascii="CESI仿宋-GB2312" w:hAnsi="CESI仿宋-GB2312" w:eastAsia="CESI仿宋-GB2312" w:cs="CESI仿宋-GB2312"/>
          <w:kern w:val="0"/>
          <w:sz w:val="32"/>
          <w:szCs w:val="32"/>
          <w:shd w:val="clear" w:color="auto" w:fill="FFFFFF"/>
          <w:lang w:val="zh-CN"/>
        </w:rPr>
      </w:pPr>
      <w:r>
        <w:rPr>
          <w:rFonts w:hint="eastAsia" w:ascii="CESI仿宋-GB2312" w:hAnsi="CESI仿宋-GB2312" w:eastAsia="CESI仿宋-GB2312" w:cs="CESI仿宋-GB2312"/>
          <w:kern w:val="0"/>
          <w:sz w:val="32"/>
          <w:szCs w:val="32"/>
          <w:shd w:val="clear" w:color="auto" w:fill="FFFFFF"/>
          <w:lang w:val="zh-CN"/>
        </w:rPr>
        <w:t xml:space="preserve">10.负责全县计划生育管理和服务工作。开展人口监测预警，研究提出人口与家庭发展相关政策建议，执行计划生育政策。指导县计划生育协会的业务工作。 </w:t>
      </w:r>
    </w:p>
    <w:p>
      <w:pPr>
        <w:widowControl/>
        <w:adjustRightInd w:val="0"/>
        <w:snapToGrid w:val="0"/>
        <w:spacing w:line="580" w:lineRule="exact"/>
        <w:ind w:firstLine="640" w:firstLineChars="200"/>
        <w:contextualSpacing/>
        <w:jc w:val="left"/>
        <w:rPr>
          <w:rFonts w:hint="eastAsia" w:ascii="CESI仿宋-GB2312" w:hAnsi="CESI仿宋-GB2312" w:eastAsia="CESI仿宋-GB2312" w:cs="CESI仿宋-GB2312"/>
          <w:kern w:val="0"/>
          <w:sz w:val="32"/>
          <w:szCs w:val="32"/>
          <w:shd w:val="clear" w:color="auto" w:fill="FFFFFF"/>
          <w:lang w:val="zh-CN"/>
        </w:rPr>
      </w:pPr>
      <w:r>
        <w:rPr>
          <w:rFonts w:hint="eastAsia" w:ascii="CESI仿宋-GB2312" w:hAnsi="CESI仿宋-GB2312" w:eastAsia="CESI仿宋-GB2312" w:cs="CESI仿宋-GB2312"/>
          <w:kern w:val="0"/>
          <w:sz w:val="32"/>
          <w:szCs w:val="32"/>
          <w:shd w:val="clear" w:color="auto" w:fill="FFFFFF"/>
          <w:lang w:val="zh-CN"/>
        </w:rPr>
        <w:t xml:space="preserve">11.指导乡（镇）卫生健康工作。指导基层医疗卫生、妇幼健康服务体系和基层卫生队伍建设。推进卫生健康科技创新发展。 </w:t>
      </w:r>
    </w:p>
    <w:p>
      <w:pPr>
        <w:widowControl/>
        <w:adjustRightInd w:val="0"/>
        <w:snapToGrid w:val="0"/>
        <w:spacing w:line="580" w:lineRule="exact"/>
        <w:ind w:firstLine="640" w:firstLineChars="200"/>
        <w:contextualSpacing/>
        <w:jc w:val="left"/>
        <w:rPr>
          <w:rFonts w:hint="eastAsia" w:ascii="CESI仿宋-GB2312" w:hAnsi="CESI仿宋-GB2312" w:eastAsia="CESI仿宋-GB2312" w:cs="CESI仿宋-GB2312"/>
          <w:kern w:val="0"/>
          <w:sz w:val="32"/>
          <w:szCs w:val="32"/>
          <w:shd w:val="clear" w:color="auto" w:fill="FFFFFF"/>
          <w:lang w:val="zh-CN"/>
        </w:rPr>
      </w:pPr>
      <w:r>
        <w:rPr>
          <w:rFonts w:hint="eastAsia" w:ascii="CESI仿宋-GB2312" w:hAnsi="CESI仿宋-GB2312" w:eastAsia="CESI仿宋-GB2312" w:cs="CESI仿宋-GB2312"/>
          <w:kern w:val="0"/>
          <w:sz w:val="32"/>
          <w:szCs w:val="32"/>
          <w:shd w:val="clear" w:color="auto" w:fill="FFFFFF"/>
          <w:lang w:val="zh-CN"/>
        </w:rPr>
        <w:t xml:space="preserve">12.负责县确定的保健对象的医疗保健工作。负责县级有关部门（单位）离休干部医疗管理工作。负责重要会议与重大活动的医疗卫生保障工作。 </w:t>
      </w:r>
    </w:p>
    <w:p>
      <w:pPr>
        <w:widowControl/>
        <w:adjustRightInd w:val="0"/>
        <w:snapToGrid w:val="0"/>
        <w:spacing w:line="580" w:lineRule="exact"/>
        <w:ind w:firstLine="640" w:firstLineChars="200"/>
        <w:contextualSpacing/>
        <w:jc w:val="left"/>
        <w:rPr>
          <w:rFonts w:hint="eastAsia" w:ascii="CESI仿宋-GB2312" w:hAnsi="CESI仿宋-GB2312" w:eastAsia="CESI仿宋-GB2312" w:cs="CESI仿宋-GB2312"/>
          <w:kern w:val="0"/>
          <w:sz w:val="32"/>
          <w:szCs w:val="32"/>
          <w:shd w:val="clear" w:color="auto" w:fill="FFFFFF"/>
          <w:lang w:val="zh-CN"/>
        </w:rPr>
      </w:pPr>
      <w:r>
        <w:rPr>
          <w:rFonts w:hint="eastAsia" w:ascii="CESI仿宋-GB2312" w:hAnsi="CESI仿宋-GB2312" w:eastAsia="CESI仿宋-GB2312" w:cs="CESI仿宋-GB2312"/>
          <w:kern w:val="0"/>
          <w:sz w:val="32"/>
          <w:szCs w:val="32"/>
          <w:shd w:val="clear" w:color="auto" w:fill="FFFFFF"/>
          <w:lang w:val="zh-CN"/>
        </w:rPr>
        <w:t xml:space="preserve">13.依法依规履行卫生健康行业安全生产监管职责。负责职责范围内的生态环境保护、审批服务便民化等工作。 </w:t>
      </w:r>
    </w:p>
    <w:p>
      <w:pPr>
        <w:widowControl/>
        <w:adjustRightInd w:val="0"/>
        <w:snapToGrid w:val="0"/>
        <w:spacing w:line="580" w:lineRule="exact"/>
        <w:ind w:firstLine="640" w:firstLineChars="200"/>
        <w:contextualSpacing/>
        <w:jc w:val="left"/>
        <w:rPr>
          <w:rFonts w:hint="eastAsia" w:ascii="CESI仿宋-GB2312" w:hAnsi="CESI仿宋-GB2312" w:eastAsia="CESI仿宋-GB2312" w:cs="CESI仿宋-GB2312"/>
          <w:kern w:val="0"/>
          <w:sz w:val="32"/>
          <w:szCs w:val="32"/>
          <w:shd w:val="clear" w:color="auto" w:fill="FFFFFF"/>
          <w:lang w:val="zh-CN"/>
        </w:rPr>
      </w:pPr>
      <w:r>
        <w:rPr>
          <w:rFonts w:hint="eastAsia" w:ascii="CESI仿宋-GB2312" w:hAnsi="CESI仿宋-GB2312" w:eastAsia="CESI仿宋-GB2312" w:cs="CESI仿宋-GB2312"/>
          <w:kern w:val="0"/>
          <w:sz w:val="32"/>
          <w:szCs w:val="32"/>
          <w:shd w:val="clear" w:color="auto" w:fill="FFFFFF"/>
          <w:lang w:val="zh-CN"/>
        </w:rPr>
        <w:t>14.承担卫生健康事业多元化、多层次发展相关工作。协调推进深化医药卫生体制改革，参与卫生健康改革发展实践，组织开展相关技术支持、咨询指导、教学培训、成果转化应用与能力提升；承担中医药传承创新发展促进事务性工作；承担卫生健康政策制定的风险评估和实施监测评价与监督指导；承担卫生健康系统新建项目相关服务性工作；承担卫生健康服务信息化系统建设和维护工作</w:t>
      </w:r>
    </w:p>
    <w:p>
      <w:pPr>
        <w:widowControl/>
        <w:adjustRightInd w:val="0"/>
        <w:snapToGrid w:val="0"/>
        <w:spacing w:line="580" w:lineRule="exact"/>
        <w:ind w:firstLine="640" w:firstLineChars="200"/>
        <w:contextualSpacing/>
        <w:jc w:val="left"/>
        <w:rPr>
          <w:rFonts w:hint="eastAsia" w:ascii="CESI仿宋-GB2312" w:hAnsi="CESI仿宋-GB2312" w:eastAsia="CESI仿宋-GB2312" w:cs="CESI仿宋-GB2312"/>
          <w:kern w:val="0"/>
          <w:sz w:val="32"/>
          <w:szCs w:val="32"/>
          <w:shd w:val="clear" w:color="auto" w:fill="FFFFFF"/>
          <w:lang w:val="zh-CN"/>
        </w:rPr>
      </w:pPr>
      <w:r>
        <w:rPr>
          <w:rFonts w:hint="eastAsia" w:ascii="CESI仿宋-GB2312" w:hAnsi="CESI仿宋-GB2312" w:eastAsia="CESI仿宋-GB2312" w:cs="CESI仿宋-GB2312"/>
          <w:kern w:val="0"/>
          <w:sz w:val="32"/>
          <w:szCs w:val="32"/>
          <w:shd w:val="clear" w:color="auto" w:fill="FFFFFF"/>
          <w:lang w:val="zh-CN"/>
        </w:rPr>
        <w:t>15.完成县委、县政府交办的其他任务。</w:t>
      </w:r>
    </w:p>
    <w:p>
      <w:pPr>
        <w:widowControl w:val="0"/>
        <w:adjustRightInd/>
        <w:snapToGrid/>
        <w:spacing w:line="590" w:lineRule="atLeast"/>
        <w:ind w:firstLine="640" w:firstLineChars="200"/>
        <w:contextualSpacing/>
        <w:jc w:val="both"/>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kern w:val="0"/>
          <w:sz w:val="32"/>
          <w:szCs w:val="32"/>
          <w:shd w:val="clear" w:color="auto" w:fill="FFFFFF"/>
          <w:lang w:val="zh-CN"/>
        </w:rPr>
        <w:t>（三）人员概况。</w:t>
      </w:r>
      <w:r>
        <w:rPr>
          <w:rFonts w:hint="eastAsia" w:ascii="CESI仿宋-GB2312" w:hAnsi="CESI仿宋-GB2312" w:eastAsia="CESI仿宋-GB2312" w:cs="CESI仿宋-GB2312"/>
          <w:sz w:val="32"/>
          <w:szCs w:val="32"/>
        </w:rPr>
        <w:t>截至2023年末，</w:t>
      </w:r>
      <w:r>
        <w:rPr>
          <w:rFonts w:hint="eastAsia" w:ascii="CESI仿宋-GB2312" w:hAnsi="CESI仿宋-GB2312" w:eastAsia="CESI仿宋-GB2312" w:cs="CESI仿宋-GB2312"/>
          <w:color w:val="auto"/>
          <w:sz w:val="32"/>
          <w:szCs w:val="32"/>
        </w:rPr>
        <w:t>全县医疗卫生机构共有在编人员</w:t>
      </w:r>
      <w:r>
        <w:rPr>
          <w:rFonts w:hint="eastAsia" w:ascii="CESI仿宋-GB2312" w:hAnsi="CESI仿宋-GB2312" w:eastAsia="CESI仿宋-GB2312" w:cs="CESI仿宋-GB2312"/>
          <w:color w:val="auto"/>
          <w:sz w:val="32"/>
          <w:szCs w:val="32"/>
          <w:lang w:val="en-US" w:eastAsia="zh-CN"/>
        </w:rPr>
        <w:t>487</w:t>
      </w:r>
      <w:r>
        <w:rPr>
          <w:rFonts w:hint="eastAsia" w:ascii="CESI仿宋-GB2312" w:hAnsi="CESI仿宋-GB2312" w:eastAsia="CESI仿宋-GB2312" w:cs="CESI仿宋-GB2312"/>
          <w:color w:val="auto"/>
          <w:sz w:val="32"/>
          <w:szCs w:val="32"/>
        </w:rPr>
        <w:t>人，其中县级医疗机构</w:t>
      </w:r>
      <w:r>
        <w:rPr>
          <w:rFonts w:hint="eastAsia" w:ascii="CESI仿宋-GB2312" w:hAnsi="CESI仿宋-GB2312" w:eastAsia="CESI仿宋-GB2312" w:cs="CESI仿宋-GB2312"/>
          <w:color w:val="auto"/>
          <w:sz w:val="32"/>
          <w:szCs w:val="32"/>
          <w:lang w:val="en-US" w:eastAsia="zh-CN"/>
        </w:rPr>
        <w:t>278</w:t>
      </w:r>
      <w:r>
        <w:rPr>
          <w:rFonts w:hint="eastAsia" w:ascii="CESI仿宋-GB2312" w:hAnsi="CESI仿宋-GB2312" w:eastAsia="CESI仿宋-GB2312" w:cs="CESI仿宋-GB2312"/>
          <w:color w:val="auto"/>
          <w:sz w:val="32"/>
          <w:szCs w:val="32"/>
        </w:rPr>
        <w:t>人，乡镇卫生院</w:t>
      </w:r>
      <w:r>
        <w:rPr>
          <w:rFonts w:hint="eastAsia" w:ascii="CESI仿宋-GB2312" w:hAnsi="CESI仿宋-GB2312" w:eastAsia="CESI仿宋-GB2312" w:cs="CESI仿宋-GB2312"/>
          <w:color w:val="auto"/>
          <w:sz w:val="32"/>
          <w:szCs w:val="32"/>
          <w:lang w:val="en-US" w:eastAsia="zh-CN"/>
        </w:rPr>
        <w:t>185</w:t>
      </w:r>
      <w:r>
        <w:rPr>
          <w:rFonts w:hint="eastAsia" w:ascii="CESI仿宋-GB2312" w:hAnsi="CESI仿宋-GB2312" w:eastAsia="CESI仿宋-GB2312" w:cs="CESI仿宋-GB2312"/>
          <w:color w:val="auto"/>
          <w:sz w:val="32"/>
          <w:szCs w:val="32"/>
        </w:rPr>
        <w:t>人。全县公立医疗卫生机构自主聘用人员</w:t>
      </w:r>
      <w:r>
        <w:rPr>
          <w:rFonts w:hint="eastAsia" w:ascii="CESI仿宋-GB2312" w:hAnsi="CESI仿宋-GB2312" w:eastAsia="CESI仿宋-GB2312" w:cs="CESI仿宋-GB2312"/>
          <w:color w:val="auto"/>
          <w:sz w:val="32"/>
          <w:szCs w:val="32"/>
          <w:lang w:val="en-US" w:eastAsia="zh-CN"/>
        </w:rPr>
        <w:t>115</w:t>
      </w:r>
      <w:r>
        <w:rPr>
          <w:rFonts w:hint="eastAsia" w:ascii="CESI仿宋-GB2312" w:hAnsi="CESI仿宋-GB2312" w:eastAsia="CESI仿宋-GB2312" w:cs="CESI仿宋-GB2312"/>
          <w:color w:val="auto"/>
          <w:sz w:val="32"/>
          <w:szCs w:val="32"/>
        </w:rPr>
        <w:t>人。其中，县级医疗机构</w:t>
      </w:r>
      <w:r>
        <w:rPr>
          <w:rFonts w:hint="eastAsia" w:ascii="CESI仿宋-GB2312" w:hAnsi="CESI仿宋-GB2312" w:eastAsia="CESI仿宋-GB2312" w:cs="CESI仿宋-GB2312"/>
          <w:color w:val="auto"/>
          <w:sz w:val="32"/>
          <w:szCs w:val="32"/>
          <w:lang w:val="en-US" w:eastAsia="zh-CN"/>
        </w:rPr>
        <w:t>52</w:t>
      </w:r>
      <w:r>
        <w:rPr>
          <w:rFonts w:hint="eastAsia" w:ascii="CESI仿宋-GB2312" w:hAnsi="CESI仿宋-GB2312" w:eastAsia="CESI仿宋-GB2312" w:cs="CESI仿宋-GB2312"/>
          <w:color w:val="auto"/>
          <w:sz w:val="32"/>
          <w:szCs w:val="32"/>
        </w:rPr>
        <w:t>人（县第二人民医院</w:t>
      </w:r>
      <w:r>
        <w:rPr>
          <w:rFonts w:hint="eastAsia" w:ascii="CESI仿宋-GB2312" w:hAnsi="CESI仿宋-GB2312" w:eastAsia="CESI仿宋-GB2312" w:cs="CESI仿宋-GB2312"/>
          <w:color w:val="auto"/>
          <w:sz w:val="32"/>
          <w:szCs w:val="32"/>
          <w:highlight w:val="none"/>
          <w:lang w:val="en-US" w:eastAsia="zh-CN"/>
        </w:rPr>
        <w:t>52</w:t>
      </w:r>
      <w:r>
        <w:rPr>
          <w:rFonts w:hint="eastAsia" w:ascii="CESI仿宋-GB2312" w:hAnsi="CESI仿宋-GB2312" w:eastAsia="CESI仿宋-GB2312" w:cs="CESI仿宋-GB2312"/>
          <w:color w:val="auto"/>
          <w:sz w:val="32"/>
          <w:szCs w:val="32"/>
        </w:rPr>
        <w:t>人，疾控6人）；乡镇（中心）卫生院及社区</w:t>
      </w:r>
      <w:r>
        <w:rPr>
          <w:rFonts w:hint="eastAsia" w:ascii="CESI仿宋-GB2312" w:hAnsi="CESI仿宋-GB2312" w:eastAsia="CESI仿宋-GB2312" w:cs="CESI仿宋-GB2312"/>
          <w:color w:val="auto"/>
          <w:sz w:val="32"/>
          <w:szCs w:val="32"/>
          <w:lang w:val="en-US" w:eastAsia="zh-CN"/>
        </w:rPr>
        <w:t>57</w:t>
      </w:r>
      <w:r>
        <w:rPr>
          <w:rFonts w:hint="eastAsia" w:ascii="CESI仿宋-GB2312" w:hAnsi="CESI仿宋-GB2312" w:eastAsia="CESI仿宋-GB2312" w:cs="CESI仿宋-GB2312"/>
          <w:color w:val="auto"/>
          <w:sz w:val="32"/>
          <w:szCs w:val="32"/>
        </w:rPr>
        <w:t>人。卫生和计划生育监督执法大队有在编人员5人。</w:t>
      </w:r>
    </w:p>
    <w:p>
      <w:pPr>
        <w:ind w:firstLine="640" w:firstLineChars="200"/>
        <w:rPr>
          <w:rFonts w:hint="eastAsia" w:ascii="CESI仿宋-GB2312" w:hAnsi="CESI仿宋-GB2312" w:eastAsia="CESI仿宋-GB2312" w:cs="CESI仿宋-GB2312"/>
          <w:kern w:val="0"/>
          <w:sz w:val="32"/>
          <w:szCs w:val="32"/>
          <w:shd w:val="clear" w:color="auto" w:fill="FFFFFF"/>
          <w:lang w:val="zh-CN"/>
        </w:rPr>
      </w:pPr>
      <w:r>
        <w:rPr>
          <w:rFonts w:hint="eastAsia" w:ascii="CESI仿宋-GB2312" w:hAnsi="CESI仿宋-GB2312" w:eastAsia="CESI仿宋-GB2312" w:cs="CESI仿宋-GB2312"/>
          <w:color w:val="auto"/>
          <w:sz w:val="32"/>
          <w:szCs w:val="32"/>
          <w:highlight w:val="none"/>
        </w:rPr>
        <w:t>县卫生健康局机关行政编制</w:t>
      </w:r>
      <w:r>
        <w:rPr>
          <w:rFonts w:hint="eastAsia" w:ascii="CESI仿宋-GB2312" w:hAnsi="CESI仿宋-GB2312" w:eastAsia="CESI仿宋-GB2312" w:cs="CESI仿宋-GB2312"/>
          <w:color w:val="auto"/>
          <w:sz w:val="32"/>
          <w:szCs w:val="32"/>
          <w:highlight w:val="none"/>
          <w:lang w:val="en-US" w:eastAsia="zh-CN"/>
        </w:rPr>
        <w:t>24</w:t>
      </w:r>
      <w:r>
        <w:rPr>
          <w:rFonts w:hint="eastAsia" w:ascii="CESI仿宋-GB2312" w:hAnsi="CESI仿宋-GB2312" w:eastAsia="CESI仿宋-GB2312" w:cs="CESI仿宋-GB2312"/>
          <w:color w:val="auto"/>
          <w:sz w:val="32"/>
          <w:szCs w:val="32"/>
          <w:highlight w:val="none"/>
        </w:rPr>
        <w:t>名。其中，局长1名，副局长3名，党委副书记1名。参公编制数1名。机关后勤服务人员控制数（机关后勤事业编制）2 名。现有在编人员</w:t>
      </w:r>
      <w:r>
        <w:rPr>
          <w:rFonts w:hint="eastAsia" w:ascii="CESI仿宋-GB2312" w:hAnsi="CESI仿宋-GB2312" w:eastAsia="CESI仿宋-GB2312" w:cs="CESI仿宋-GB2312"/>
          <w:color w:val="auto"/>
          <w:sz w:val="32"/>
          <w:szCs w:val="32"/>
          <w:highlight w:val="none"/>
          <w:lang w:val="en-US" w:eastAsia="zh-CN"/>
        </w:rPr>
        <w:t>24</w:t>
      </w:r>
      <w:r>
        <w:rPr>
          <w:rFonts w:hint="eastAsia" w:ascii="CESI仿宋-GB2312" w:hAnsi="CESI仿宋-GB2312" w:eastAsia="CESI仿宋-GB2312" w:cs="CESI仿宋-GB2312"/>
          <w:color w:val="auto"/>
          <w:sz w:val="32"/>
          <w:szCs w:val="32"/>
          <w:highlight w:val="none"/>
        </w:rPr>
        <w:t>人。</w:t>
      </w:r>
    </w:p>
    <w:p>
      <w:pPr>
        <w:widowControl/>
        <w:adjustRightInd w:val="0"/>
        <w:snapToGrid w:val="0"/>
        <w:spacing w:line="580" w:lineRule="exact"/>
        <w:ind w:firstLine="640" w:firstLineChars="200"/>
        <w:contextualSpacing/>
        <w:jc w:val="left"/>
        <w:rPr>
          <w:rFonts w:eastAsia="黑体"/>
          <w:kern w:val="0"/>
          <w:sz w:val="32"/>
          <w:szCs w:val="32"/>
          <w:shd w:val="clear" w:color="auto" w:fill="FFFFFF"/>
        </w:rPr>
      </w:pPr>
      <w:r>
        <w:rPr>
          <w:rFonts w:eastAsia="黑体"/>
          <w:kern w:val="0"/>
          <w:sz w:val="32"/>
          <w:szCs w:val="32"/>
          <w:shd w:val="clear" w:color="auto" w:fill="FFFFFF"/>
        </w:rPr>
        <w:t>二、部门财政资金收支情况</w:t>
      </w:r>
    </w:p>
    <w:p>
      <w:pPr>
        <w:widowControl/>
        <w:adjustRightInd/>
        <w:snapToGrid w:val="0"/>
        <w:spacing w:line="590" w:lineRule="atLeast"/>
        <w:ind w:firstLine="640" w:firstLineChars="200"/>
        <w:contextualSpacing/>
        <w:jc w:val="left"/>
        <w:rPr>
          <w:rFonts w:hint="eastAsia" w:ascii="CESI仿宋-GB2312" w:hAnsi="CESI仿宋-GB2312" w:eastAsia="CESI仿宋-GB2312" w:cs="CESI仿宋-GB2312"/>
          <w:sz w:val="32"/>
          <w:szCs w:val="32"/>
          <w:highlight w:val="none"/>
        </w:rPr>
      </w:pPr>
      <w:r>
        <w:rPr>
          <w:kern w:val="0"/>
          <w:sz w:val="32"/>
          <w:szCs w:val="32"/>
          <w:shd w:val="clear" w:color="auto" w:fill="FFFFFF"/>
          <w:lang w:val="zh-CN"/>
        </w:rPr>
        <w:t>（一）部门财政资金收入情况。</w:t>
      </w:r>
      <w:r>
        <w:rPr>
          <w:rFonts w:hint="eastAsia" w:ascii="CESI仿宋-GB2312" w:hAnsi="CESI仿宋-GB2312" w:eastAsia="CESI仿宋-GB2312" w:cs="CESI仿宋-GB2312"/>
          <w:sz w:val="32"/>
          <w:szCs w:val="32"/>
          <w:highlight w:val="none"/>
          <w:lang w:eastAsia="zh-CN"/>
        </w:rPr>
        <w:t>202</w:t>
      </w:r>
      <w:r>
        <w:rPr>
          <w:rFonts w:hint="eastAsia" w:ascii="CESI仿宋-GB2312" w:hAnsi="CESI仿宋-GB2312" w:eastAsia="CESI仿宋-GB2312" w:cs="CESI仿宋-GB2312"/>
          <w:sz w:val="32"/>
          <w:szCs w:val="32"/>
          <w:highlight w:val="none"/>
          <w:lang w:val="en-US" w:eastAsia="zh-CN"/>
        </w:rPr>
        <w:t>3</w:t>
      </w:r>
      <w:r>
        <w:rPr>
          <w:rFonts w:hint="eastAsia" w:ascii="CESI仿宋-GB2312" w:hAnsi="CESI仿宋-GB2312" w:eastAsia="CESI仿宋-GB2312" w:cs="CESI仿宋-GB2312"/>
          <w:sz w:val="32"/>
          <w:szCs w:val="32"/>
          <w:highlight w:val="none"/>
          <w:lang w:eastAsia="zh-CN"/>
        </w:rPr>
        <w:t>年</w:t>
      </w:r>
      <w:r>
        <w:rPr>
          <w:rFonts w:hint="eastAsia" w:ascii="CESI仿宋-GB2312" w:hAnsi="CESI仿宋-GB2312" w:eastAsia="CESI仿宋-GB2312" w:cs="CESI仿宋-GB2312"/>
          <w:sz w:val="32"/>
          <w:szCs w:val="32"/>
          <w:highlight w:val="none"/>
        </w:rPr>
        <w:t>，局本级和下属1</w:t>
      </w:r>
      <w:r>
        <w:rPr>
          <w:rFonts w:hint="eastAsia" w:ascii="CESI仿宋-GB2312" w:hAnsi="CESI仿宋-GB2312" w:eastAsia="CESI仿宋-GB2312" w:cs="CESI仿宋-GB2312"/>
          <w:sz w:val="32"/>
          <w:szCs w:val="32"/>
          <w:highlight w:val="none"/>
          <w:lang w:eastAsia="zh-CN"/>
        </w:rPr>
        <w:t>9</w:t>
      </w:r>
      <w:r>
        <w:rPr>
          <w:rFonts w:hint="eastAsia" w:ascii="CESI仿宋-GB2312" w:hAnsi="CESI仿宋-GB2312" w:eastAsia="CESI仿宋-GB2312" w:cs="CESI仿宋-GB2312"/>
          <w:sz w:val="32"/>
          <w:szCs w:val="32"/>
          <w:highlight w:val="none"/>
        </w:rPr>
        <w:t>家医疗机构本年总收入合计</w:t>
      </w:r>
      <w:r>
        <w:rPr>
          <w:rFonts w:hint="eastAsia" w:ascii="CESI仿宋-GB2312" w:hAnsi="CESI仿宋-GB2312" w:eastAsia="CESI仿宋-GB2312" w:cs="CESI仿宋-GB2312"/>
          <w:sz w:val="32"/>
          <w:szCs w:val="32"/>
          <w:highlight w:val="none"/>
          <w:lang w:eastAsia="zh-CN"/>
        </w:rPr>
        <w:t>31,415.89</w:t>
      </w:r>
      <w:r>
        <w:rPr>
          <w:rFonts w:hint="eastAsia" w:ascii="CESI仿宋-GB2312" w:hAnsi="CESI仿宋-GB2312" w:eastAsia="CESI仿宋-GB2312" w:cs="CESI仿宋-GB2312"/>
          <w:sz w:val="32"/>
          <w:szCs w:val="32"/>
          <w:highlight w:val="none"/>
        </w:rPr>
        <w:t>万元，其中一般公共预算财政拨款收入</w:t>
      </w:r>
      <w:r>
        <w:rPr>
          <w:rFonts w:hint="eastAsia" w:ascii="CESI仿宋-GB2312" w:hAnsi="CESI仿宋-GB2312" w:eastAsia="CESI仿宋-GB2312" w:cs="CESI仿宋-GB2312"/>
          <w:sz w:val="32"/>
          <w:szCs w:val="32"/>
          <w:highlight w:val="none"/>
          <w:lang w:eastAsia="zh-CN"/>
        </w:rPr>
        <w:t>15,288.16</w:t>
      </w:r>
      <w:r>
        <w:rPr>
          <w:rFonts w:hint="eastAsia" w:ascii="CESI仿宋-GB2312" w:hAnsi="CESI仿宋-GB2312" w:eastAsia="CESI仿宋-GB2312" w:cs="CESI仿宋-GB2312"/>
          <w:sz w:val="32"/>
          <w:szCs w:val="32"/>
          <w:highlight w:val="none"/>
        </w:rPr>
        <w:t>万元，政府性基金预算财政拨款收入</w:t>
      </w:r>
      <w:r>
        <w:rPr>
          <w:rFonts w:hint="eastAsia" w:ascii="CESI仿宋-GB2312" w:hAnsi="CESI仿宋-GB2312" w:eastAsia="CESI仿宋-GB2312" w:cs="CESI仿宋-GB2312"/>
          <w:sz w:val="32"/>
          <w:szCs w:val="32"/>
          <w:highlight w:val="none"/>
          <w:lang w:eastAsia="zh-CN"/>
        </w:rPr>
        <w:t>5,004.06</w:t>
      </w:r>
      <w:r>
        <w:rPr>
          <w:rFonts w:hint="eastAsia" w:ascii="CESI仿宋-GB2312" w:hAnsi="CESI仿宋-GB2312" w:eastAsia="CESI仿宋-GB2312" w:cs="CESI仿宋-GB2312"/>
          <w:sz w:val="32"/>
          <w:szCs w:val="32"/>
          <w:highlight w:val="none"/>
        </w:rPr>
        <w:t>万元、事业收入</w:t>
      </w:r>
      <w:r>
        <w:rPr>
          <w:rFonts w:hint="eastAsia" w:ascii="CESI仿宋-GB2312" w:hAnsi="CESI仿宋-GB2312" w:eastAsia="CESI仿宋-GB2312" w:cs="CESI仿宋-GB2312"/>
          <w:sz w:val="32"/>
          <w:szCs w:val="32"/>
          <w:highlight w:val="none"/>
          <w:lang w:eastAsia="zh-CN"/>
        </w:rPr>
        <w:t>10,860.93</w:t>
      </w:r>
      <w:r>
        <w:rPr>
          <w:rFonts w:hint="eastAsia" w:ascii="CESI仿宋-GB2312" w:hAnsi="CESI仿宋-GB2312" w:eastAsia="CESI仿宋-GB2312" w:cs="CESI仿宋-GB2312"/>
          <w:sz w:val="32"/>
          <w:szCs w:val="32"/>
          <w:highlight w:val="none"/>
        </w:rPr>
        <w:t>万元、其他收入167.22万元。</w:t>
      </w:r>
      <w:r>
        <w:rPr>
          <w:rFonts w:hint="eastAsia" w:ascii="CESI仿宋-GB2312" w:hAnsi="CESI仿宋-GB2312" w:eastAsia="CESI仿宋-GB2312" w:cs="CESI仿宋-GB2312"/>
          <w:sz w:val="32"/>
          <w:szCs w:val="32"/>
          <w:highlight w:val="none"/>
          <w:lang w:val="en-US" w:eastAsia="zh-CN"/>
        </w:rPr>
        <w:t>使用非财政拨款结余（含专用结余）95.52万元。</w:t>
      </w:r>
    </w:p>
    <w:p>
      <w:pPr>
        <w:widowControl/>
        <w:adjustRightInd w:val="0"/>
        <w:snapToGrid w:val="0"/>
        <w:spacing w:line="580" w:lineRule="exact"/>
        <w:ind w:firstLine="640" w:firstLineChars="200"/>
        <w:contextualSpacing/>
        <w:jc w:val="left"/>
        <w:rPr>
          <w:rFonts w:hint="eastAsia" w:ascii="CESI仿宋-GB2312" w:hAnsi="CESI仿宋-GB2312" w:eastAsia="CESI仿宋-GB2312" w:cs="CESI仿宋-GB2312"/>
          <w:kern w:val="0"/>
          <w:sz w:val="32"/>
          <w:szCs w:val="32"/>
          <w:shd w:val="clear" w:color="auto" w:fill="FFFFFF"/>
          <w:lang w:val="zh-CN"/>
        </w:rPr>
      </w:pPr>
      <w:r>
        <w:rPr>
          <w:rFonts w:hint="eastAsia" w:ascii="CESI仿宋-GB2312" w:hAnsi="CESI仿宋-GB2312" w:eastAsia="CESI仿宋-GB2312" w:cs="CESI仿宋-GB2312"/>
          <w:sz w:val="32"/>
          <w:szCs w:val="32"/>
          <w:highlight w:val="none"/>
        </w:rPr>
        <w:t>局本级</w:t>
      </w:r>
      <w:r>
        <w:rPr>
          <w:rFonts w:hint="eastAsia" w:ascii="CESI仿宋-GB2312" w:hAnsi="CESI仿宋-GB2312" w:eastAsia="CESI仿宋-GB2312" w:cs="CESI仿宋-GB2312"/>
          <w:sz w:val="32"/>
          <w:szCs w:val="32"/>
          <w:highlight w:val="none"/>
          <w:lang w:eastAsia="zh-CN"/>
        </w:rPr>
        <w:t>202</w:t>
      </w:r>
      <w:r>
        <w:rPr>
          <w:rFonts w:hint="eastAsia" w:ascii="CESI仿宋-GB2312" w:hAnsi="CESI仿宋-GB2312" w:eastAsia="CESI仿宋-GB2312" w:cs="CESI仿宋-GB2312"/>
          <w:sz w:val="32"/>
          <w:szCs w:val="32"/>
          <w:highlight w:val="none"/>
          <w:lang w:val="en-US" w:eastAsia="zh-CN"/>
        </w:rPr>
        <w:t>3</w:t>
      </w:r>
      <w:r>
        <w:rPr>
          <w:rFonts w:hint="eastAsia" w:ascii="CESI仿宋-GB2312" w:hAnsi="CESI仿宋-GB2312" w:eastAsia="CESI仿宋-GB2312" w:cs="CESI仿宋-GB2312"/>
          <w:sz w:val="32"/>
          <w:szCs w:val="32"/>
          <w:highlight w:val="none"/>
          <w:lang w:eastAsia="zh-CN"/>
        </w:rPr>
        <w:t>年</w:t>
      </w:r>
      <w:r>
        <w:rPr>
          <w:rFonts w:hint="eastAsia" w:ascii="CESI仿宋-GB2312" w:hAnsi="CESI仿宋-GB2312" w:eastAsia="CESI仿宋-GB2312" w:cs="CESI仿宋-GB2312"/>
          <w:sz w:val="32"/>
          <w:szCs w:val="32"/>
          <w:highlight w:val="none"/>
        </w:rPr>
        <w:t>总收入合计</w:t>
      </w:r>
      <w:r>
        <w:rPr>
          <w:rFonts w:hint="eastAsia" w:ascii="CESI仿宋-GB2312" w:hAnsi="CESI仿宋-GB2312" w:eastAsia="CESI仿宋-GB2312" w:cs="CESI仿宋-GB2312"/>
          <w:sz w:val="32"/>
          <w:szCs w:val="32"/>
          <w:highlight w:val="none"/>
          <w:lang w:eastAsia="zh-CN"/>
        </w:rPr>
        <w:t>7,258.84</w:t>
      </w:r>
      <w:r>
        <w:rPr>
          <w:rFonts w:hint="eastAsia" w:ascii="CESI仿宋-GB2312" w:hAnsi="CESI仿宋-GB2312" w:eastAsia="CESI仿宋-GB2312" w:cs="CESI仿宋-GB2312"/>
          <w:sz w:val="32"/>
          <w:szCs w:val="32"/>
          <w:highlight w:val="none"/>
        </w:rPr>
        <w:t>万元，其中一般公共预算财政拨款收入</w:t>
      </w:r>
      <w:r>
        <w:rPr>
          <w:rFonts w:hint="eastAsia" w:ascii="CESI仿宋-GB2312" w:hAnsi="CESI仿宋-GB2312" w:eastAsia="CESI仿宋-GB2312" w:cs="CESI仿宋-GB2312"/>
          <w:sz w:val="32"/>
          <w:szCs w:val="32"/>
          <w:highlight w:val="none"/>
          <w:lang w:eastAsia="zh-CN"/>
        </w:rPr>
        <w:t>2,258.84</w:t>
      </w:r>
      <w:r>
        <w:rPr>
          <w:rFonts w:hint="eastAsia" w:ascii="CESI仿宋-GB2312" w:hAnsi="CESI仿宋-GB2312" w:eastAsia="CESI仿宋-GB2312" w:cs="CESI仿宋-GB2312"/>
          <w:sz w:val="32"/>
          <w:szCs w:val="32"/>
          <w:highlight w:val="none"/>
        </w:rPr>
        <w:t>万元，政府性基金预算财政拨款收入</w:t>
      </w:r>
      <w:r>
        <w:rPr>
          <w:rFonts w:hint="eastAsia" w:ascii="CESI仿宋-GB2312" w:hAnsi="CESI仿宋-GB2312" w:eastAsia="CESI仿宋-GB2312" w:cs="CESI仿宋-GB2312"/>
          <w:sz w:val="32"/>
          <w:szCs w:val="32"/>
          <w:highlight w:val="none"/>
          <w:lang w:eastAsia="zh-CN"/>
        </w:rPr>
        <w:t>5,00</w:t>
      </w:r>
      <w:r>
        <w:rPr>
          <w:rFonts w:hint="eastAsia" w:ascii="CESI仿宋-GB2312" w:hAnsi="CESI仿宋-GB2312" w:eastAsia="CESI仿宋-GB2312" w:cs="CESI仿宋-GB2312"/>
          <w:sz w:val="32"/>
          <w:szCs w:val="32"/>
          <w:highlight w:val="none"/>
          <w:lang w:val="en-US" w:eastAsia="zh-CN"/>
        </w:rPr>
        <w:t>0</w:t>
      </w:r>
      <w:r>
        <w:rPr>
          <w:rFonts w:hint="eastAsia" w:ascii="CESI仿宋-GB2312" w:hAnsi="CESI仿宋-GB2312" w:eastAsia="CESI仿宋-GB2312" w:cs="CESI仿宋-GB2312"/>
          <w:sz w:val="32"/>
          <w:szCs w:val="32"/>
          <w:highlight w:val="none"/>
        </w:rPr>
        <w:t>万元</w:t>
      </w:r>
      <w:r>
        <w:rPr>
          <w:rFonts w:hint="eastAsia" w:ascii="CESI仿宋-GB2312" w:hAnsi="CESI仿宋-GB2312" w:eastAsia="CESI仿宋-GB2312" w:cs="CESI仿宋-GB2312"/>
          <w:sz w:val="32"/>
          <w:szCs w:val="32"/>
          <w:highlight w:val="none"/>
          <w:lang w:eastAsia="zh-CN"/>
        </w:rPr>
        <w:t>。</w:t>
      </w:r>
    </w:p>
    <w:p>
      <w:pPr>
        <w:numPr>
          <w:ilvl w:val="0"/>
          <w:numId w:val="0"/>
        </w:numPr>
        <w:ind w:firstLine="640" w:firstLineChars="200"/>
        <w:rPr>
          <w:rFonts w:hint="eastAsia" w:ascii="CESI仿宋-GB2312" w:hAnsi="CESI仿宋-GB2312" w:eastAsia="CESI仿宋-GB2312" w:cs="CESI仿宋-GB2312"/>
          <w:sz w:val="32"/>
          <w:szCs w:val="32"/>
          <w:highlight w:val="none"/>
        </w:rPr>
      </w:pPr>
      <w:r>
        <w:rPr>
          <w:kern w:val="0"/>
          <w:sz w:val="32"/>
          <w:szCs w:val="32"/>
          <w:shd w:val="clear" w:color="auto" w:fill="FFFFFF"/>
          <w:lang w:val="zh-CN"/>
        </w:rPr>
        <w:t>（二）部门财政资金支出情况。</w:t>
      </w:r>
      <w:r>
        <w:rPr>
          <w:rFonts w:hint="eastAsia" w:ascii="CESI仿宋-GB2312" w:hAnsi="CESI仿宋-GB2312" w:eastAsia="CESI仿宋-GB2312" w:cs="CESI仿宋-GB2312"/>
          <w:sz w:val="32"/>
          <w:szCs w:val="32"/>
          <w:highlight w:val="none"/>
          <w:lang w:eastAsia="zh-CN"/>
        </w:rPr>
        <w:t>202</w:t>
      </w:r>
      <w:r>
        <w:rPr>
          <w:rFonts w:hint="eastAsia" w:ascii="CESI仿宋-GB2312" w:hAnsi="CESI仿宋-GB2312" w:eastAsia="CESI仿宋-GB2312" w:cs="CESI仿宋-GB2312"/>
          <w:sz w:val="32"/>
          <w:szCs w:val="32"/>
          <w:highlight w:val="none"/>
          <w:lang w:val="en-US" w:eastAsia="zh-CN"/>
        </w:rPr>
        <w:t>3</w:t>
      </w:r>
      <w:r>
        <w:rPr>
          <w:rFonts w:hint="eastAsia" w:ascii="CESI仿宋-GB2312" w:hAnsi="CESI仿宋-GB2312" w:eastAsia="CESI仿宋-GB2312" w:cs="CESI仿宋-GB2312"/>
          <w:sz w:val="32"/>
          <w:szCs w:val="32"/>
          <w:highlight w:val="none"/>
          <w:lang w:eastAsia="zh-CN"/>
        </w:rPr>
        <w:t>年</w:t>
      </w:r>
      <w:r>
        <w:rPr>
          <w:rFonts w:hint="eastAsia" w:ascii="CESI仿宋-GB2312" w:hAnsi="CESI仿宋-GB2312" w:eastAsia="CESI仿宋-GB2312" w:cs="CESI仿宋-GB2312"/>
          <w:sz w:val="32"/>
          <w:szCs w:val="32"/>
          <w:highlight w:val="none"/>
        </w:rPr>
        <w:t>，局本级和下属1</w:t>
      </w:r>
      <w:r>
        <w:rPr>
          <w:rFonts w:hint="eastAsia" w:ascii="CESI仿宋-GB2312" w:hAnsi="CESI仿宋-GB2312" w:eastAsia="CESI仿宋-GB2312" w:cs="CESI仿宋-GB2312"/>
          <w:sz w:val="32"/>
          <w:szCs w:val="32"/>
          <w:highlight w:val="none"/>
          <w:lang w:eastAsia="zh-CN"/>
        </w:rPr>
        <w:t>9</w:t>
      </w:r>
      <w:r>
        <w:rPr>
          <w:rFonts w:hint="eastAsia" w:ascii="CESI仿宋-GB2312" w:hAnsi="CESI仿宋-GB2312" w:eastAsia="CESI仿宋-GB2312" w:cs="CESI仿宋-GB2312"/>
          <w:sz w:val="32"/>
          <w:szCs w:val="32"/>
          <w:highlight w:val="none"/>
        </w:rPr>
        <w:t>家医疗机构本年支出合计</w:t>
      </w:r>
      <w:r>
        <w:rPr>
          <w:rFonts w:hint="eastAsia" w:ascii="CESI仿宋-GB2312" w:hAnsi="CESI仿宋-GB2312" w:eastAsia="CESI仿宋-GB2312" w:cs="CESI仿宋-GB2312"/>
          <w:sz w:val="32"/>
          <w:szCs w:val="32"/>
          <w:highlight w:val="none"/>
          <w:lang w:eastAsia="zh-CN"/>
        </w:rPr>
        <w:t>31,415.89</w:t>
      </w:r>
      <w:r>
        <w:rPr>
          <w:rFonts w:hint="eastAsia" w:ascii="CESI仿宋-GB2312" w:hAnsi="CESI仿宋-GB2312" w:eastAsia="CESI仿宋-GB2312" w:cs="CESI仿宋-GB2312"/>
          <w:sz w:val="32"/>
          <w:szCs w:val="32"/>
          <w:highlight w:val="none"/>
        </w:rPr>
        <w:t>万元</w:t>
      </w:r>
      <w:r>
        <w:rPr>
          <w:rFonts w:hint="eastAsia" w:ascii="CESI仿宋-GB2312" w:hAnsi="CESI仿宋-GB2312" w:eastAsia="CESI仿宋-GB2312" w:cs="CESI仿宋-GB2312"/>
          <w:sz w:val="32"/>
          <w:szCs w:val="32"/>
          <w:highlight w:val="none"/>
          <w:lang w:eastAsia="zh-CN"/>
        </w:rPr>
        <w:t>，其</w:t>
      </w:r>
      <w:r>
        <w:rPr>
          <w:rFonts w:hint="eastAsia" w:ascii="CESI仿宋-GB2312" w:hAnsi="CESI仿宋-GB2312" w:eastAsia="CESI仿宋-GB2312" w:cs="CESI仿宋-GB2312"/>
          <w:sz w:val="32"/>
          <w:szCs w:val="32"/>
          <w:highlight w:val="none"/>
        </w:rPr>
        <w:t>中社会保障和就业</w:t>
      </w:r>
      <w:r>
        <w:rPr>
          <w:rFonts w:hint="eastAsia" w:ascii="CESI仿宋-GB2312" w:hAnsi="CESI仿宋-GB2312" w:eastAsia="CESI仿宋-GB2312" w:cs="CESI仿宋-GB2312"/>
          <w:sz w:val="32"/>
          <w:szCs w:val="32"/>
          <w:highlight w:val="none"/>
          <w:lang w:eastAsia="zh-CN"/>
        </w:rPr>
        <w:t>1,684.49</w:t>
      </w:r>
      <w:r>
        <w:rPr>
          <w:rFonts w:hint="eastAsia" w:ascii="CESI仿宋-GB2312" w:hAnsi="CESI仿宋-GB2312" w:eastAsia="CESI仿宋-GB2312" w:cs="CESI仿宋-GB2312"/>
          <w:sz w:val="32"/>
          <w:szCs w:val="32"/>
          <w:highlight w:val="none"/>
        </w:rPr>
        <w:t>万元，卫生健康支出</w:t>
      </w:r>
      <w:r>
        <w:rPr>
          <w:rFonts w:hint="eastAsia" w:ascii="CESI仿宋-GB2312" w:hAnsi="CESI仿宋-GB2312" w:eastAsia="CESI仿宋-GB2312" w:cs="CESI仿宋-GB2312"/>
          <w:sz w:val="32"/>
          <w:szCs w:val="32"/>
          <w:highlight w:val="none"/>
          <w:lang w:eastAsia="zh-CN"/>
        </w:rPr>
        <w:t>23,073.82</w:t>
      </w:r>
      <w:r>
        <w:rPr>
          <w:rFonts w:hint="eastAsia" w:ascii="CESI仿宋-GB2312" w:hAnsi="CESI仿宋-GB2312" w:eastAsia="CESI仿宋-GB2312" w:cs="CESI仿宋-GB2312"/>
          <w:sz w:val="32"/>
          <w:szCs w:val="32"/>
          <w:highlight w:val="none"/>
        </w:rPr>
        <w:t>万元、住房保障支出</w:t>
      </w:r>
      <w:r>
        <w:rPr>
          <w:rFonts w:hint="eastAsia" w:ascii="CESI仿宋-GB2312" w:hAnsi="CESI仿宋-GB2312" w:eastAsia="CESI仿宋-GB2312" w:cs="CESI仿宋-GB2312"/>
          <w:sz w:val="32"/>
          <w:szCs w:val="32"/>
          <w:highlight w:val="none"/>
          <w:lang w:eastAsia="zh-CN"/>
        </w:rPr>
        <w:t>600.66</w:t>
      </w:r>
      <w:r>
        <w:rPr>
          <w:rFonts w:hint="eastAsia" w:ascii="CESI仿宋-GB2312" w:hAnsi="CESI仿宋-GB2312" w:eastAsia="CESI仿宋-GB2312" w:cs="CESI仿宋-GB2312"/>
          <w:sz w:val="32"/>
          <w:szCs w:val="32"/>
          <w:highlight w:val="none"/>
        </w:rPr>
        <w:t>万元、农林水支出</w:t>
      </w:r>
      <w:r>
        <w:rPr>
          <w:rFonts w:hint="eastAsia" w:ascii="CESI仿宋-GB2312" w:hAnsi="CESI仿宋-GB2312" w:eastAsia="CESI仿宋-GB2312" w:cs="CESI仿宋-GB2312"/>
          <w:sz w:val="32"/>
          <w:szCs w:val="32"/>
          <w:highlight w:val="none"/>
          <w:lang w:eastAsia="zh-CN"/>
        </w:rPr>
        <w:t>196.00</w:t>
      </w:r>
      <w:r>
        <w:rPr>
          <w:rFonts w:hint="eastAsia" w:ascii="CESI仿宋-GB2312" w:hAnsi="CESI仿宋-GB2312" w:eastAsia="CESI仿宋-GB2312" w:cs="CESI仿宋-GB2312"/>
          <w:sz w:val="32"/>
          <w:szCs w:val="32"/>
          <w:highlight w:val="none"/>
        </w:rPr>
        <w:t>万元、</w:t>
      </w:r>
      <w:r>
        <w:rPr>
          <w:rFonts w:hint="eastAsia" w:ascii="CESI仿宋-GB2312" w:hAnsi="CESI仿宋-GB2312" w:eastAsia="CESI仿宋-GB2312" w:cs="CESI仿宋-GB2312"/>
          <w:sz w:val="32"/>
          <w:szCs w:val="32"/>
          <w:highlight w:val="none"/>
          <w:lang w:eastAsia="zh-CN"/>
        </w:rPr>
        <w:t>其他支出</w:t>
      </w:r>
      <w:r>
        <w:rPr>
          <w:rFonts w:hint="eastAsia" w:ascii="CESI仿宋-GB2312" w:hAnsi="CESI仿宋-GB2312" w:eastAsia="CESI仿宋-GB2312" w:cs="CESI仿宋-GB2312"/>
          <w:sz w:val="32"/>
          <w:szCs w:val="32"/>
          <w:highlight w:val="none"/>
        </w:rPr>
        <w:t>5,004.06万元。</w:t>
      </w:r>
    </w:p>
    <w:p>
      <w:pPr>
        <w:numPr>
          <w:ilvl w:val="0"/>
          <w:numId w:val="0"/>
        </w:numPr>
        <w:ind w:firstLine="640" w:firstLineChars="200"/>
        <w:rPr>
          <w:rFonts w:hint="eastAsia" w:ascii="CESI仿宋-GB2312" w:hAnsi="CESI仿宋-GB2312" w:eastAsia="CESI仿宋-GB2312" w:cs="CESI仿宋-GB2312"/>
          <w:kern w:val="0"/>
          <w:sz w:val="32"/>
          <w:szCs w:val="32"/>
          <w:shd w:val="clear" w:color="auto" w:fill="FFFFFF"/>
          <w:lang w:val="zh-CN"/>
        </w:rPr>
      </w:pPr>
      <w:r>
        <w:rPr>
          <w:rFonts w:hint="eastAsia" w:ascii="CESI仿宋-GB2312" w:hAnsi="CESI仿宋-GB2312" w:eastAsia="CESI仿宋-GB2312" w:cs="CESI仿宋-GB2312"/>
          <w:sz w:val="32"/>
          <w:szCs w:val="32"/>
          <w:highlight w:val="none"/>
        </w:rPr>
        <w:t>县卫生健康局</w:t>
      </w:r>
      <w:r>
        <w:rPr>
          <w:rFonts w:hint="eastAsia" w:ascii="CESI仿宋-GB2312" w:hAnsi="CESI仿宋-GB2312" w:eastAsia="CESI仿宋-GB2312" w:cs="CESI仿宋-GB2312"/>
          <w:sz w:val="32"/>
          <w:szCs w:val="32"/>
          <w:highlight w:val="none"/>
          <w:lang w:eastAsia="zh-CN"/>
        </w:rPr>
        <w:t>202</w:t>
      </w:r>
      <w:r>
        <w:rPr>
          <w:rFonts w:hint="eastAsia" w:ascii="CESI仿宋-GB2312" w:hAnsi="CESI仿宋-GB2312" w:eastAsia="CESI仿宋-GB2312" w:cs="CESI仿宋-GB2312"/>
          <w:sz w:val="32"/>
          <w:szCs w:val="32"/>
          <w:highlight w:val="none"/>
          <w:lang w:val="en-US" w:eastAsia="zh-CN"/>
        </w:rPr>
        <w:t>3</w:t>
      </w:r>
      <w:r>
        <w:rPr>
          <w:rFonts w:hint="eastAsia" w:ascii="CESI仿宋-GB2312" w:hAnsi="CESI仿宋-GB2312" w:eastAsia="CESI仿宋-GB2312" w:cs="CESI仿宋-GB2312"/>
          <w:sz w:val="32"/>
          <w:szCs w:val="32"/>
          <w:highlight w:val="none"/>
          <w:lang w:eastAsia="zh-CN"/>
        </w:rPr>
        <w:t>年</w:t>
      </w:r>
      <w:r>
        <w:rPr>
          <w:rFonts w:hint="eastAsia" w:ascii="CESI仿宋-GB2312" w:hAnsi="CESI仿宋-GB2312" w:eastAsia="CESI仿宋-GB2312" w:cs="CESI仿宋-GB2312"/>
          <w:sz w:val="32"/>
          <w:szCs w:val="32"/>
          <w:highlight w:val="none"/>
        </w:rPr>
        <w:t>本年支出合计</w:t>
      </w:r>
      <w:r>
        <w:rPr>
          <w:rFonts w:hint="eastAsia" w:ascii="CESI仿宋-GB2312" w:hAnsi="CESI仿宋-GB2312" w:eastAsia="CESI仿宋-GB2312" w:cs="CESI仿宋-GB2312"/>
          <w:sz w:val="32"/>
          <w:szCs w:val="32"/>
          <w:highlight w:val="none"/>
          <w:lang w:eastAsia="zh-CN"/>
        </w:rPr>
        <w:t>7,258.84</w:t>
      </w:r>
      <w:r>
        <w:rPr>
          <w:rFonts w:hint="eastAsia" w:ascii="CESI仿宋-GB2312" w:hAnsi="CESI仿宋-GB2312" w:eastAsia="CESI仿宋-GB2312" w:cs="CESI仿宋-GB2312"/>
          <w:sz w:val="32"/>
          <w:szCs w:val="32"/>
          <w:highlight w:val="none"/>
        </w:rPr>
        <w:t>万元，其中社会保障和就业</w:t>
      </w:r>
      <w:r>
        <w:rPr>
          <w:rFonts w:hint="eastAsia" w:ascii="CESI仿宋-GB2312" w:hAnsi="CESI仿宋-GB2312" w:eastAsia="CESI仿宋-GB2312" w:cs="CESI仿宋-GB2312"/>
          <w:sz w:val="32"/>
          <w:szCs w:val="32"/>
          <w:highlight w:val="none"/>
          <w:lang w:eastAsia="zh-CN"/>
        </w:rPr>
        <w:t>203.12</w:t>
      </w:r>
      <w:r>
        <w:rPr>
          <w:rFonts w:hint="eastAsia" w:ascii="CESI仿宋-GB2312" w:hAnsi="CESI仿宋-GB2312" w:eastAsia="CESI仿宋-GB2312" w:cs="CESI仿宋-GB2312"/>
          <w:sz w:val="32"/>
          <w:szCs w:val="32"/>
          <w:highlight w:val="none"/>
        </w:rPr>
        <w:t>万元，其他支出</w:t>
      </w:r>
      <w:r>
        <w:rPr>
          <w:rFonts w:hint="eastAsia" w:ascii="CESI仿宋-GB2312" w:hAnsi="CESI仿宋-GB2312" w:eastAsia="CESI仿宋-GB2312" w:cs="CESI仿宋-GB2312"/>
          <w:sz w:val="32"/>
          <w:szCs w:val="32"/>
          <w:highlight w:val="none"/>
          <w:lang w:eastAsia="zh-CN"/>
        </w:rPr>
        <w:t>1</w:t>
      </w:r>
      <w:r>
        <w:rPr>
          <w:rFonts w:hint="eastAsia" w:ascii="CESI仿宋-GB2312" w:hAnsi="CESI仿宋-GB2312" w:eastAsia="CESI仿宋-GB2312" w:cs="CESI仿宋-GB2312"/>
          <w:sz w:val="32"/>
          <w:szCs w:val="32"/>
          <w:highlight w:val="none"/>
          <w:lang w:val="en-US" w:eastAsia="zh-CN"/>
        </w:rPr>
        <w:t>8</w:t>
      </w:r>
      <w:r>
        <w:rPr>
          <w:rFonts w:hint="eastAsia" w:ascii="CESI仿宋-GB2312" w:hAnsi="CESI仿宋-GB2312" w:eastAsia="CESI仿宋-GB2312" w:cs="CESI仿宋-GB2312"/>
          <w:sz w:val="32"/>
          <w:szCs w:val="32"/>
          <w:highlight w:val="none"/>
        </w:rPr>
        <w:t>万元、卫生健康支出</w:t>
      </w:r>
      <w:r>
        <w:rPr>
          <w:rFonts w:hint="eastAsia" w:ascii="CESI仿宋-GB2312" w:hAnsi="CESI仿宋-GB2312" w:eastAsia="CESI仿宋-GB2312" w:cs="CESI仿宋-GB2312"/>
          <w:sz w:val="32"/>
          <w:szCs w:val="32"/>
          <w:highlight w:val="none"/>
          <w:lang w:eastAsia="zh-CN"/>
        </w:rPr>
        <w:t>1,826.71</w:t>
      </w:r>
      <w:r>
        <w:rPr>
          <w:rFonts w:hint="eastAsia" w:ascii="CESI仿宋-GB2312" w:hAnsi="CESI仿宋-GB2312" w:eastAsia="CESI仿宋-GB2312" w:cs="CESI仿宋-GB2312"/>
          <w:sz w:val="32"/>
          <w:szCs w:val="32"/>
          <w:highlight w:val="none"/>
        </w:rPr>
        <w:t>万元、住房保障支出</w:t>
      </w:r>
      <w:r>
        <w:rPr>
          <w:rFonts w:hint="eastAsia" w:ascii="CESI仿宋-GB2312" w:hAnsi="CESI仿宋-GB2312" w:eastAsia="CESI仿宋-GB2312" w:cs="CESI仿宋-GB2312"/>
          <w:sz w:val="32"/>
          <w:szCs w:val="32"/>
          <w:highlight w:val="none"/>
          <w:lang w:eastAsia="zh-CN"/>
        </w:rPr>
        <w:t>33.01</w:t>
      </w:r>
      <w:r>
        <w:rPr>
          <w:rFonts w:hint="eastAsia" w:ascii="CESI仿宋-GB2312" w:hAnsi="CESI仿宋-GB2312" w:eastAsia="CESI仿宋-GB2312" w:cs="CESI仿宋-GB2312"/>
          <w:sz w:val="32"/>
          <w:szCs w:val="32"/>
          <w:highlight w:val="none"/>
        </w:rPr>
        <w:t>万元，农林水支出</w:t>
      </w:r>
      <w:r>
        <w:rPr>
          <w:rFonts w:hint="eastAsia" w:ascii="CESI仿宋-GB2312" w:hAnsi="CESI仿宋-GB2312" w:eastAsia="CESI仿宋-GB2312" w:cs="CESI仿宋-GB2312"/>
          <w:sz w:val="32"/>
          <w:szCs w:val="32"/>
          <w:highlight w:val="none"/>
          <w:lang w:val="en-US" w:eastAsia="zh-CN"/>
        </w:rPr>
        <w:t>196.00</w:t>
      </w:r>
      <w:r>
        <w:rPr>
          <w:rFonts w:hint="eastAsia" w:ascii="CESI仿宋-GB2312" w:hAnsi="CESI仿宋-GB2312" w:eastAsia="CESI仿宋-GB2312" w:cs="CESI仿宋-GB2312"/>
          <w:sz w:val="32"/>
          <w:szCs w:val="32"/>
          <w:highlight w:val="none"/>
        </w:rPr>
        <w:t>万元</w:t>
      </w:r>
      <w:r>
        <w:rPr>
          <w:rFonts w:hint="eastAsia" w:ascii="CESI仿宋-GB2312" w:hAnsi="CESI仿宋-GB2312" w:eastAsia="CESI仿宋-GB2312" w:cs="CESI仿宋-GB2312"/>
          <w:sz w:val="32"/>
          <w:szCs w:val="32"/>
          <w:highlight w:val="none"/>
          <w:lang w:eastAsia="zh-CN"/>
        </w:rPr>
        <w:t>、其他支出</w:t>
      </w:r>
      <w:r>
        <w:rPr>
          <w:rFonts w:hint="eastAsia" w:ascii="CESI仿宋-GB2312" w:hAnsi="CESI仿宋-GB2312" w:eastAsia="CESI仿宋-GB2312" w:cs="CESI仿宋-GB2312"/>
          <w:sz w:val="32"/>
          <w:szCs w:val="32"/>
          <w:highlight w:val="none"/>
        </w:rPr>
        <w:t>5,000万元</w:t>
      </w:r>
      <w:r>
        <w:rPr>
          <w:rFonts w:hint="eastAsia" w:ascii="CESI仿宋-GB2312" w:hAnsi="CESI仿宋-GB2312" w:eastAsia="CESI仿宋-GB2312" w:cs="CESI仿宋-GB2312"/>
          <w:sz w:val="32"/>
          <w:szCs w:val="32"/>
          <w:highlight w:val="none"/>
          <w:lang w:eastAsia="zh-CN"/>
        </w:rPr>
        <w:t>。</w:t>
      </w:r>
    </w:p>
    <w:p>
      <w:pPr>
        <w:widowControl/>
        <w:adjustRightInd w:val="0"/>
        <w:snapToGrid w:val="0"/>
        <w:spacing w:line="580" w:lineRule="exact"/>
        <w:ind w:firstLine="640" w:firstLineChars="200"/>
        <w:contextualSpacing/>
        <w:jc w:val="left"/>
        <w:rPr>
          <w:rFonts w:eastAsia="黑体"/>
          <w:kern w:val="0"/>
          <w:sz w:val="32"/>
          <w:szCs w:val="32"/>
          <w:shd w:val="clear" w:color="auto" w:fill="FFFFFF"/>
        </w:rPr>
      </w:pPr>
      <w:r>
        <w:rPr>
          <w:rFonts w:eastAsia="黑体"/>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kern w:val="0"/>
          <w:sz w:val="32"/>
          <w:szCs w:val="32"/>
          <w:shd w:val="clear" w:color="auto" w:fill="FFFFFF"/>
          <w:lang w:val="zh-CN"/>
        </w:rPr>
      </w:pPr>
      <w:r>
        <w:rPr>
          <w:kern w:val="0"/>
          <w:sz w:val="32"/>
          <w:szCs w:val="32"/>
          <w:shd w:val="clear" w:color="auto" w:fill="FFFFFF"/>
          <w:lang w:val="zh-CN"/>
        </w:rPr>
        <w:t>（一）部门预算项目绩效管理。</w:t>
      </w:r>
    </w:p>
    <w:p>
      <w:pPr>
        <w:widowControl/>
        <w:adjustRightInd w:val="0"/>
        <w:snapToGrid w:val="0"/>
        <w:spacing w:line="590" w:lineRule="atLeast"/>
        <w:ind w:firstLine="640" w:firstLineChars="0"/>
        <w:contextualSpacing/>
        <w:jc w:val="left"/>
        <w:rPr>
          <w:rFonts w:hint="eastAsia" w:ascii="Times New Roman" w:hAnsi="Times New Roman" w:eastAsia="仿宋_GB2312"/>
          <w:b/>
          <w:color w:val="auto"/>
          <w:sz w:val="32"/>
          <w:szCs w:val="32"/>
        </w:rPr>
      </w:pPr>
      <w:r>
        <w:rPr>
          <w:rFonts w:hint="eastAsia" w:ascii="Times New Roman" w:hAnsi="Times New Roman" w:eastAsia="仿宋_GB2312"/>
          <w:b/>
          <w:color w:val="auto"/>
          <w:sz w:val="32"/>
          <w:szCs w:val="32"/>
          <w:shd w:val="clear" w:color="auto" w:fill="auto"/>
        </w:rPr>
        <w:t>1.绩效目标实现全覆盖</w:t>
      </w:r>
    </w:p>
    <w:p>
      <w:pPr>
        <w:widowControl/>
        <w:adjustRightInd w:val="0"/>
        <w:snapToGrid w:val="0"/>
        <w:spacing w:line="590" w:lineRule="atLeast"/>
        <w:ind w:firstLine="640" w:firstLineChars="200"/>
        <w:contextualSpacing/>
        <w:jc w:val="left"/>
        <w:rPr>
          <w:rFonts w:hint="eastAsia" w:ascii="Times New Roman" w:hAnsi="Times New Roman" w:eastAsia="仿宋_GB2312"/>
          <w:color w:val="auto"/>
          <w:sz w:val="32"/>
          <w:szCs w:val="32"/>
        </w:rPr>
      </w:pPr>
      <w:r>
        <w:rPr>
          <w:rFonts w:hint="eastAsia" w:ascii="CESI仿宋-GB2312" w:hAnsi="CESI仿宋-GB2312" w:eastAsia="CESI仿宋-GB2312" w:cs="CESI仿宋-GB2312"/>
          <w:sz w:val="32"/>
          <w:szCs w:val="32"/>
          <w:lang w:eastAsia="zh-CN"/>
        </w:rPr>
        <w:t>202</w:t>
      </w:r>
      <w:r>
        <w:rPr>
          <w:rFonts w:hint="eastAsia" w:ascii="CESI仿宋-GB2312" w:hAnsi="CESI仿宋-GB2312" w:eastAsia="CESI仿宋-GB2312" w:cs="CESI仿宋-GB2312"/>
          <w:sz w:val="32"/>
          <w:szCs w:val="32"/>
          <w:lang w:val="en-US" w:eastAsia="zh-CN"/>
        </w:rPr>
        <w:t>3</w:t>
      </w:r>
      <w:r>
        <w:rPr>
          <w:rFonts w:hint="eastAsia" w:ascii="CESI仿宋-GB2312" w:hAnsi="CESI仿宋-GB2312" w:eastAsia="CESI仿宋-GB2312" w:cs="CESI仿宋-GB2312"/>
          <w:sz w:val="32"/>
          <w:szCs w:val="32"/>
          <w:lang w:eastAsia="zh-CN"/>
        </w:rPr>
        <w:t>年</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color w:val="auto"/>
          <w:sz w:val="32"/>
          <w:szCs w:val="32"/>
          <w:shd w:val="clear" w:color="auto" w:fill="auto"/>
        </w:rPr>
        <w:t>绩效目标管理覆盖一般公共预算中所有本级项目和中央对地方专项转移支付，</w:t>
      </w:r>
      <w:r>
        <w:rPr>
          <w:rFonts w:hint="eastAsia" w:ascii="CESI仿宋-GB2312" w:hAnsi="CESI仿宋-GB2312" w:eastAsia="CESI仿宋-GB2312" w:cs="CESI仿宋-GB2312"/>
          <w:sz w:val="32"/>
          <w:szCs w:val="32"/>
        </w:rPr>
        <w:t>建立了比较全面规范的绩效指标体系，同时</w:t>
      </w:r>
      <w:r>
        <w:rPr>
          <w:rFonts w:hint="eastAsia" w:ascii="CESI仿宋-GB2312" w:hAnsi="CESI仿宋-GB2312" w:eastAsia="CESI仿宋-GB2312" w:cs="CESI仿宋-GB2312"/>
          <w:color w:val="auto"/>
          <w:sz w:val="32"/>
          <w:szCs w:val="32"/>
          <w:shd w:val="clear" w:color="auto" w:fill="auto"/>
        </w:rPr>
        <w:t>将绩效目标随同</w:t>
      </w:r>
      <w:r>
        <w:rPr>
          <w:rFonts w:hint="eastAsia" w:ascii="CESI仿宋-GB2312" w:hAnsi="CESI仿宋-GB2312" w:eastAsia="CESI仿宋-GB2312" w:cs="CESI仿宋-GB2312"/>
          <w:sz w:val="32"/>
          <w:szCs w:val="32"/>
        </w:rPr>
        <w:t>资金同步下</w:t>
      </w:r>
      <w:r>
        <w:rPr>
          <w:rFonts w:hint="eastAsia" w:ascii="CESI仿宋-GB2312" w:hAnsi="CESI仿宋-GB2312" w:eastAsia="CESI仿宋-GB2312" w:cs="CESI仿宋-GB2312"/>
          <w:color w:val="auto"/>
          <w:sz w:val="32"/>
          <w:szCs w:val="32"/>
          <w:shd w:val="clear" w:color="auto" w:fill="auto"/>
        </w:rPr>
        <w:t>达，强化资金使用单位的主体责任和效率意识。</w:t>
      </w:r>
    </w:p>
    <w:p>
      <w:pPr>
        <w:widowControl/>
        <w:adjustRightInd w:val="0"/>
        <w:snapToGrid w:val="0"/>
        <w:spacing w:line="590" w:lineRule="atLeast"/>
        <w:ind w:firstLine="640" w:firstLineChars="0"/>
        <w:contextualSpacing/>
        <w:jc w:val="left"/>
        <w:rPr>
          <w:rFonts w:hint="eastAsia" w:ascii="Times New Roman" w:hAnsi="Times New Roman" w:eastAsia="仿宋_GB2312"/>
          <w:b/>
          <w:color w:val="auto"/>
          <w:sz w:val="32"/>
          <w:szCs w:val="32"/>
        </w:rPr>
      </w:pPr>
      <w:r>
        <w:rPr>
          <w:rFonts w:hint="eastAsia" w:ascii="Times New Roman" w:hAnsi="Times New Roman" w:eastAsia="仿宋_GB2312"/>
          <w:b/>
          <w:color w:val="auto"/>
          <w:sz w:val="32"/>
          <w:szCs w:val="32"/>
          <w:shd w:val="clear" w:color="auto" w:fill="auto"/>
        </w:rPr>
        <w:t>2.全面实施绩效自评</w:t>
      </w:r>
    </w:p>
    <w:p>
      <w:pPr>
        <w:widowControl/>
        <w:adjustRightInd w:val="0"/>
        <w:snapToGrid w:val="0"/>
        <w:spacing w:line="590" w:lineRule="atLeast"/>
        <w:ind w:firstLine="640" w:firstLineChars="200"/>
        <w:contextualSpacing/>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color w:val="auto"/>
          <w:sz w:val="32"/>
          <w:szCs w:val="32"/>
          <w:shd w:val="clear" w:color="auto" w:fill="auto"/>
        </w:rPr>
        <w:t>组织</w:t>
      </w:r>
      <w:r>
        <w:rPr>
          <w:rFonts w:hint="eastAsia" w:ascii="CESI仿宋-GB2312" w:hAnsi="CESI仿宋-GB2312" w:eastAsia="CESI仿宋-GB2312" w:cs="CESI仿宋-GB2312"/>
          <w:sz w:val="32"/>
          <w:szCs w:val="32"/>
        </w:rPr>
        <w:t>局机关各股室及下属19家医疗卫生机构</w:t>
      </w:r>
      <w:r>
        <w:rPr>
          <w:rFonts w:hint="eastAsia" w:ascii="CESI仿宋-GB2312" w:hAnsi="CESI仿宋-GB2312" w:eastAsia="CESI仿宋-GB2312" w:cs="CESI仿宋-GB2312"/>
          <w:color w:val="auto"/>
          <w:sz w:val="32"/>
          <w:szCs w:val="32"/>
          <w:shd w:val="clear" w:color="auto" w:fill="auto"/>
        </w:rPr>
        <w:t>对上年所有本级项目</w:t>
      </w:r>
      <w:r>
        <w:rPr>
          <w:rFonts w:hint="eastAsia" w:ascii="CESI仿宋-GB2312" w:hAnsi="CESI仿宋-GB2312" w:eastAsia="CESI仿宋-GB2312" w:cs="CESI仿宋-GB2312"/>
          <w:sz w:val="32"/>
          <w:szCs w:val="32"/>
        </w:rPr>
        <w:t>和</w:t>
      </w:r>
      <w:r>
        <w:rPr>
          <w:rFonts w:hint="eastAsia" w:ascii="CESI仿宋-GB2312" w:hAnsi="CESI仿宋-GB2312" w:eastAsia="CESI仿宋-GB2312" w:cs="CESI仿宋-GB2312"/>
          <w:color w:val="auto"/>
          <w:sz w:val="32"/>
          <w:szCs w:val="32"/>
          <w:shd w:val="clear" w:color="auto" w:fill="auto"/>
        </w:rPr>
        <w:t>中央专项转移支付全面开展绩效自评。</w:t>
      </w:r>
      <w:r>
        <w:rPr>
          <w:rFonts w:hint="eastAsia" w:ascii="CESI仿宋-GB2312" w:hAnsi="CESI仿宋-GB2312" w:eastAsia="CESI仿宋-GB2312" w:cs="CESI仿宋-GB2312"/>
          <w:sz w:val="32"/>
          <w:szCs w:val="32"/>
        </w:rPr>
        <w:t>并对本年度预算执行、预算调整、绩效目标完成及实现情况全面开展事中绩效监控，提高财政资金使用效益，</w:t>
      </w:r>
      <w:r>
        <w:rPr>
          <w:rFonts w:hint="eastAsia" w:ascii="CESI仿宋-GB2312" w:hAnsi="CESI仿宋-GB2312" w:eastAsia="CESI仿宋-GB2312" w:cs="CESI仿宋-GB2312"/>
          <w:sz w:val="32"/>
          <w:szCs w:val="32"/>
          <w:lang w:eastAsia="zh-CN"/>
        </w:rPr>
        <w:t>202</w:t>
      </w:r>
      <w:r>
        <w:rPr>
          <w:rFonts w:hint="eastAsia" w:ascii="CESI仿宋-GB2312" w:hAnsi="CESI仿宋-GB2312" w:eastAsia="CESI仿宋-GB2312" w:cs="CESI仿宋-GB2312"/>
          <w:sz w:val="32"/>
          <w:szCs w:val="32"/>
          <w:lang w:val="en-US" w:eastAsia="zh-CN"/>
        </w:rPr>
        <w:t>3</w:t>
      </w:r>
      <w:r>
        <w:rPr>
          <w:rFonts w:hint="eastAsia" w:ascii="CESI仿宋-GB2312" w:hAnsi="CESI仿宋-GB2312" w:eastAsia="CESI仿宋-GB2312" w:cs="CESI仿宋-GB2312"/>
          <w:sz w:val="32"/>
          <w:szCs w:val="32"/>
          <w:lang w:eastAsia="zh-CN"/>
        </w:rPr>
        <w:t>年</w:t>
      </w:r>
      <w:r>
        <w:rPr>
          <w:rFonts w:hint="eastAsia" w:ascii="CESI仿宋-GB2312" w:hAnsi="CESI仿宋-GB2312" w:eastAsia="CESI仿宋-GB2312" w:cs="CESI仿宋-GB2312"/>
          <w:sz w:val="32"/>
          <w:szCs w:val="32"/>
        </w:rPr>
        <w:t>无违规记录。</w:t>
      </w:r>
    </w:p>
    <w:p>
      <w:pPr>
        <w:widowControl/>
        <w:adjustRightInd w:val="0"/>
        <w:snapToGrid w:val="0"/>
        <w:spacing w:line="590" w:lineRule="atLeast"/>
        <w:ind w:firstLine="482" w:firstLineChars="150"/>
        <w:contextualSpacing/>
        <w:jc w:val="left"/>
        <w:rPr>
          <w:rFonts w:hint="eastAsia" w:ascii="CESI仿宋-GB2312" w:hAnsi="CESI仿宋-GB2312" w:eastAsia="CESI仿宋-GB2312" w:cs="CESI仿宋-GB2312"/>
          <w:color w:val="000000"/>
          <w:sz w:val="32"/>
          <w:szCs w:val="32"/>
          <w:highlight w:val="none"/>
        </w:rPr>
      </w:pPr>
      <w:r>
        <w:rPr>
          <w:rFonts w:hint="eastAsia" w:ascii="CESI仿宋-GB2312" w:hAnsi="CESI仿宋-GB2312" w:eastAsia="CESI仿宋-GB2312" w:cs="CESI仿宋-GB2312"/>
          <w:b/>
          <w:color w:val="000000"/>
          <w:sz w:val="32"/>
          <w:szCs w:val="32"/>
          <w:highlight w:val="none"/>
        </w:rPr>
        <w:t>人员经费类</w:t>
      </w:r>
      <w:r>
        <w:rPr>
          <w:rFonts w:hint="eastAsia" w:ascii="CESI仿宋-GB2312" w:hAnsi="CESI仿宋-GB2312" w:eastAsia="CESI仿宋-GB2312" w:cs="CESI仿宋-GB2312"/>
          <w:color w:val="000000"/>
          <w:sz w:val="32"/>
          <w:szCs w:val="32"/>
          <w:highlight w:val="none"/>
        </w:rPr>
        <w:t>：主要是保障局机关</w:t>
      </w:r>
      <w:r>
        <w:rPr>
          <w:rFonts w:hint="eastAsia" w:ascii="CESI仿宋-GB2312" w:hAnsi="CESI仿宋-GB2312" w:eastAsia="CESI仿宋-GB2312" w:cs="CESI仿宋-GB2312"/>
          <w:color w:val="000000"/>
          <w:sz w:val="32"/>
          <w:szCs w:val="32"/>
          <w:highlight w:val="none"/>
          <w:lang w:val="en-US" w:eastAsia="zh-CN"/>
        </w:rPr>
        <w:t>24</w:t>
      </w:r>
      <w:r>
        <w:rPr>
          <w:rFonts w:hint="eastAsia" w:ascii="CESI仿宋-GB2312" w:hAnsi="CESI仿宋-GB2312" w:eastAsia="CESI仿宋-GB2312" w:cs="CESI仿宋-GB2312"/>
          <w:color w:val="000000"/>
          <w:sz w:val="32"/>
          <w:szCs w:val="32"/>
          <w:highlight w:val="none"/>
        </w:rPr>
        <w:t>名和下属二级医疗机</w:t>
      </w:r>
      <w:r>
        <w:rPr>
          <w:rFonts w:hint="eastAsia" w:ascii="CESI仿宋-GB2312" w:hAnsi="CESI仿宋-GB2312" w:eastAsia="CESI仿宋-GB2312" w:cs="CESI仿宋-GB2312"/>
          <w:color w:val="000000"/>
          <w:sz w:val="32"/>
          <w:szCs w:val="32"/>
          <w:highlight w:val="none"/>
          <w:lang w:val="en-US" w:eastAsia="zh-CN"/>
        </w:rPr>
        <w:t>644</w:t>
      </w:r>
      <w:r>
        <w:rPr>
          <w:rFonts w:hint="eastAsia" w:ascii="CESI仿宋-GB2312" w:hAnsi="CESI仿宋-GB2312" w:eastAsia="CESI仿宋-GB2312" w:cs="CESI仿宋-GB2312"/>
          <w:color w:val="000000"/>
          <w:sz w:val="32"/>
          <w:szCs w:val="32"/>
          <w:highlight w:val="none"/>
        </w:rPr>
        <w:t>名职工的基本工资、津贴补贴保险、奖金、保险和公积金等，每月按时发放，有调资或者增资等严格按照人社局审批执行及时拨付，保证了人员的稳定和积极性。局本级年初人员经费预算</w:t>
      </w:r>
      <w:r>
        <w:rPr>
          <w:rFonts w:hint="eastAsia" w:ascii="CESI仿宋-GB2312" w:hAnsi="CESI仿宋-GB2312" w:eastAsia="CESI仿宋-GB2312" w:cs="CESI仿宋-GB2312"/>
          <w:color w:val="000000"/>
          <w:sz w:val="32"/>
          <w:szCs w:val="32"/>
          <w:highlight w:val="none"/>
          <w:lang w:val="en-US" w:eastAsia="zh-CN"/>
        </w:rPr>
        <w:t>360.35</w:t>
      </w:r>
      <w:r>
        <w:rPr>
          <w:rFonts w:hint="eastAsia" w:ascii="CESI仿宋-GB2312" w:hAnsi="CESI仿宋-GB2312" w:eastAsia="CESI仿宋-GB2312" w:cs="CESI仿宋-GB2312"/>
          <w:color w:val="000000"/>
          <w:sz w:val="32"/>
          <w:szCs w:val="32"/>
          <w:highlight w:val="none"/>
        </w:rPr>
        <w:t>万元，完成率100%，无资金结余。</w:t>
      </w:r>
    </w:p>
    <w:p>
      <w:pPr>
        <w:widowControl/>
        <w:adjustRightInd w:val="0"/>
        <w:snapToGrid w:val="0"/>
        <w:spacing w:line="590" w:lineRule="atLeast"/>
        <w:ind w:firstLine="482" w:firstLineChars="150"/>
        <w:contextualSpacing/>
        <w:jc w:val="left"/>
        <w:rPr>
          <w:rFonts w:hint="eastAsia" w:ascii="CESI仿宋-GB2312" w:hAnsi="CESI仿宋-GB2312" w:eastAsia="CESI仿宋-GB2312" w:cs="CESI仿宋-GB2312"/>
          <w:color w:val="000000"/>
          <w:sz w:val="32"/>
          <w:szCs w:val="32"/>
          <w:highlight w:val="none"/>
        </w:rPr>
      </w:pPr>
      <w:r>
        <w:rPr>
          <w:rFonts w:hint="eastAsia" w:ascii="CESI仿宋-GB2312" w:hAnsi="CESI仿宋-GB2312" w:eastAsia="CESI仿宋-GB2312" w:cs="CESI仿宋-GB2312"/>
          <w:b/>
          <w:color w:val="000000"/>
          <w:sz w:val="32"/>
          <w:szCs w:val="32"/>
          <w:highlight w:val="none"/>
        </w:rPr>
        <w:t>公用经费：</w:t>
      </w:r>
      <w:r>
        <w:rPr>
          <w:rFonts w:hint="eastAsia" w:ascii="CESI仿宋-GB2312" w:hAnsi="CESI仿宋-GB2312" w:eastAsia="CESI仿宋-GB2312" w:cs="CESI仿宋-GB2312"/>
          <w:color w:val="000000"/>
          <w:sz w:val="32"/>
          <w:szCs w:val="32"/>
          <w:highlight w:val="none"/>
        </w:rPr>
        <w:t>主要是保障单位各项基本职能的履行和日常工作开展，全面贯彻政府过紧日子要求，本着厉行节约、打紧使用的原则控制支出，合理使用资金，单位各项工作有序、稳定的全面执行。年初公用经费预算</w:t>
      </w:r>
      <w:r>
        <w:rPr>
          <w:rFonts w:hint="eastAsia" w:ascii="CESI仿宋-GB2312" w:hAnsi="CESI仿宋-GB2312" w:eastAsia="CESI仿宋-GB2312" w:cs="CESI仿宋-GB2312"/>
          <w:color w:val="000000"/>
          <w:sz w:val="32"/>
          <w:szCs w:val="32"/>
          <w:highlight w:val="none"/>
          <w:lang w:eastAsia="zh-CN"/>
        </w:rPr>
        <w:t>1</w:t>
      </w:r>
      <w:r>
        <w:rPr>
          <w:rFonts w:hint="eastAsia" w:ascii="CESI仿宋-GB2312" w:hAnsi="CESI仿宋-GB2312" w:eastAsia="CESI仿宋-GB2312" w:cs="CESI仿宋-GB2312"/>
          <w:color w:val="000000"/>
          <w:sz w:val="32"/>
          <w:szCs w:val="32"/>
          <w:highlight w:val="none"/>
          <w:lang w:val="en-US" w:eastAsia="zh-CN"/>
        </w:rPr>
        <w:t>413.40</w:t>
      </w:r>
      <w:r>
        <w:rPr>
          <w:rFonts w:hint="eastAsia" w:ascii="CESI仿宋-GB2312" w:hAnsi="CESI仿宋-GB2312" w:eastAsia="CESI仿宋-GB2312" w:cs="CESI仿宋-GB2312"/>
          <w:color w:val="000000"/>
          <w:sz w:val="32"/>
          <w:szCs w:val="32"/>
          <w:highlight w:val="none"/>
        </w:rPr>
        <w:t>万元，其中，局本级年初公用经费预算</w:t>
      </w:r>
      <w:r>
        <w:rPr>
          <w:rFonts w:hint="eastAsia" w:ascii="CESI仿宋-GB2312" w:hAnsi="CESI仿宋-GB2312" w:eastAsia="CESI仿宋-GB2312" w:cs="CESI仿宋-GB2312"/>
          <w:color w:val="000000"/>
          <w:sz w:val="32"/>
          <w:szCs w:val="32"/>
          <w:highlight w:val="none"/>
          <w:lang w:eastAsia="zh-CN"/>
        </w:rPr>
        <w:t>3</w:t>
      </w:r>
      <w:r>
        <w:rPr>
          <w:rFonts w:hint="eastAsia" w:ascii="CESI仿宋-GB2312" w:hAnsi="CESI仿宋-GB2312" w:eastAsia="CESI仿宋-GB2312" w:cs="CESI仿宋-GB2312"/>
          <w:color w:val="000000"/>
          <w:sz w:val="32"/>
          <w:szCs w:val="32"/>
          <w:highlight w:val="none"/>
          <w:lang w:val="en-US" w:eastAsia="zh-CN"/>
        </w:rPr>
        <w:t>9.06</w:t>
      </w:r>
      <w:r>
        <w:rPr>
          <w:rFonts w:hint="eastAsia" w:ascii="CESI仿宋-GB2312" w:hAnsi="CESI仿宋-GB2312" w:eastAsia="CESI仿宋-GB2312" w:cs="CESI仿宋-GB2312"/>
          <w:color w:val="000000"/>
          <w:sz w:val="32"/>
          <w:szCs w:val="32"/>
          <w:highlight w:val="none"/>
        </w:rPr>
        <w:t>万元，完成率100%，无资金结余。</w:t>
      </w:r>
    </w:p>
    <w:p>
      <w:pPr>
        <w:widowControl/>
        <w:adjustRightInd w:val="0"/>
        <w:snapToGrid w:val="0"/>
        <w:spacing w:line="590" w:lineRule="atLeast"/>
        <w:ind w:firstLine="643" w:firstLineChars="200"/>
        <w:contextualSpacing/>
        <w:jc w:val="left"/>
        <w:rPr>
          <w:rFonts w:hint="eastAsia" w:ascii="CESI仿宋-GB2312" w:hAnsi="CESI仿宋-GB2312" w:eastAsia="CESI仿宋-GB2312" w:cs="CESI仿宋-GB2312"/>
          <w:color w:val="auto"/>
          <w:sz w:val="32"/>
          <w:szCs w:val="32"/>
          <w:highlight w:val="none"/>
        </w:rPr>
      </w:pPr>
      <w:r>
        <w:rPr>
          <w:rFonts w:hint="eastAsia" w:ascii="CESI仿宋-GB2312" w:hAnsi="CESI仿宋-GB2312" w:eastAsia="CESI仿宋-GB2312" w:cs="CESI仿宋-GB2312"/>
          <w:b/>
          <w:color w:val="000000"/>
          <w:sz w:val="32"/>
          <w:szCs w:val="32"/>
          <w:highlight w:val="none"/>
        </w:rPr>
        <w:t>特定目标类</w:t>
      </w:r>
      <w:r>
        <w:rPr>
          <w:rFonts w:hint="eastAsia" w:ascii="CESI仿宋-GB2312" w:hAnsi="CESI仿宋-GB2312" w:eastAsia="CESI仿宋-GB2312" w:cs="CESI仿宋-GB2312"/>
          <w:color w:val="000000"/>
          <w:sz w:val="32"/>
          <w:szCs w:val="32"/>
          <w:highlight w:val="none"/>
        </w:rPr>
        <w:t>：</w:t>
      </w:r>
      <w:r>
        <w:rPr>
          <w:rFonts w:hint="eastAsia" w:ascii="CESI仿宋-GB2312" w:hAnsi="CESI仿宋-GB2312" w:eastAsia="CESI仿宋-GB2312" w:cs="CESI仿宋-GB2312"/>
          <w:color w:val="auto"/>
          <w:sz w:val="32"/>
          <w:szCs w:val="32"/>
          <w:highlight w:val="none"/>
        </w:rPr>
        <w:t>特定目标类年初预算</w:t>
      </w:r>
      <w:r>
        <w:rPr>
          <w:rFonts w:hint="eastAsia" w:ascii="CESI仿宋-GB2312" w:hAnsi="CESI仿宋-GB2312" w:eastAsia="CESI仿宋-GB2312" w:cs="CESI仿宋-GB2312"/>
          <w:color w:val="auto"/>
          <w:sz w:val="32"/>
          <w:szCs w:val="32"/>
          <w:highlight w:val="none"/>
          <w:lang w:val="en-US" w:eastAsia="zh-CN"/>
        </w:rPr>
        <w:t>1829.23</w:t>
      </w:r>
      <w:r>
        <w:rPr>
          <w:rFonts w:hint="eastAsia" w:ascii="CESI仿宋-GB2312" w:hAnsi="CESI仿宋-GB2312" w:eastAsia="CESI仿宋-GB2312" w:cs="CESI仿宋-GB2312"/>
          <w:color w:val="auto"/>
          <w:sz w:val="32"/>
          <w:szCs w:val="32"/>
          <w:highlight w:val="none"/>
        </w:rPr>
        <w:t>万元，</w:t>
      </w:r>
      <w:r>
        <w:rPr>
          <w:rFonts w:hint="eastAsia" w:ascii="CESI仿宋-GB2312" w:hAnsi="CESI仿宋-GB2312" w:eastAsia="CESI仿宋-GB2312" w:cs="CESI仿宋-GB2312"/>
          <w:color w:val="auto"/>
          <w:sz w:val="32"/>
          <w:szCs w:val="32"/>
          <w:highlight w:val="none"/>
          <w:lang w:eastAsia="zh-CN"/>
        </w:rPr>
        <w:t>其中：卫健局</w:t>
      </w:r>
      <w:r>
        <w:rPr>
          <w:rFonts w:hint="eastAsia" w:ascii="CESI仿宋-GB2312" w:hAnsi="CESI仿宋-GB2312" w:eastAsia="CESI仿宋-GB2312" w:cs="CESI仿宋-GB2312"/>
          <w:color w:val="auto"/>
          <w:sz w:val="32"/>
          <w:szCs w:val="32"/>
          <w:highlight w:val="none"/>
          <w:lang w:val="en-US" w:eastAsia="zh-CN"/>
        </w:rPr>
        <w:t>345.43万元、</w:t>
      </w:r>
      <w:r>
        <w:rPr>
          <w:rFonts w:hint="eastAsia" w:ascii="CESI仿宋-GB2312" w:hAnsi="CESI仿宋-GB2312" w:eastAsia="CESI仿宋-GB2312" w:cs="CESI仿宋-GB2312"/>
          <w:color w:val="auto"/>
          <w:sz w:val="32"/>
          <w:szCs w:val="32"/>
          <w:highlight w:val="none"/>
        </w:rPr>
        <w:t>医疗机构</w:t>
      </w:r>
      <w:r>
        <w:rPr>
          <w:rFonts w:hint="eastAsia" w:ascii="CESI仿宋-GB2312" w:hAnsi="CESI仿宋-GB2312" w:eastAsia="CESI仿宋-GB2312" w:cs="CESI仿宋-GB2312"/>
          <w:color w:val="auto"/>
          <w:sz w:val="32"/>
          <w:szCs w:val="32"/>
          <w:highlight w:val="none"/>
          <w:lang w:val="en-US" w:eastAsia="zh-CN"/>
        </w:rPr>
        <w:t>1483.8万元</w:t>
      </w:r>
      <w:r>
        <w:rPr>
          <w:rFonts w:hint="eastAsia" w:ascii="CESI仿宋-GB2312" w:hAnsi="CESI仿宋-GB2312" w:eastAsia="CESI仿宋-GB2312" w:cs="CESI仿宋-GB2312"/>
          <w:color w:val="auto"/>
          <w:sz w:val="32"/>
          <w:szCs w:val="32"/>
          <w:highlight w:val="none"/>
        </w:rPr>
        <w:t>的</w:t>
      </w:r>
      <w:r>
        <w:rPr>
          <w:rFonts w:hint="eastAsia" w:ascii="CESI仿宋-GB2312" w:hAnsi="CESI仿宋-GB2312" w:eastAsia="CESI仿宋-GB2312" w:cs="CESI仿宋-GB2312"/>
          <w:color w:val="auto"/>
          <w:sz w:val="32"/>
          <w:szCs w:val="32"/>
          <w:highlight w:val="none"/>
          <w:lang w:eastAsia="zh-CN"/>
        </w:rPr>
        <w:t>。202</w:t>
      </w:r>
      <w:r>
        <w:rPr>
          <w:rFonts w:hint="eastAsia" w:ascii="CESI仿宋-GB2312" w:hAnsi="CESI仿宋-GB2312" w:eastAsia="CESI仿宋-GB2312" w:cs="CESI仿宋-GB2312"/>
          <w:color w:val="auto"/>
          <w:sz w:val="32"/>
          <w:szCs w:val="32"/>
          <w:highlight w:val="none"/>
          <w:lang w:val="en-US" w:eastAsia="zh-CN"/>
        </w:rPr>
        <w:t>3</w:t>
      </w:r>
      <w:r>
        <w:rPr>
          <w:rFonts w:hint="eastAsia" w:ascii="CESI仿宋-GB2312" w:hAnsi="CESI仿宋-GB2312" w:eastAsia="CESI仿宋-GB2312" w:cs="CESI仿宋-GB2312"/>
          <w:color w:val="auto"/>
          <w:sz w:val="32"/>
          <w:szCs w:val="32"/>
          <w:highlight w:val="none"/>
          <w:lang w:eastAsia="zh-CN"/>
        </w:rPr>
        <w:t>年</w:t>
      </w:r>
      <w:r>
        <w:rPr>
          <w:rFonts w:hint="eastAsia" w:ascii="CESI仿宋-GB2312" w:hAnsi="CESI仿宋-GB2312" w:eastAsia="CESI仿宋-GB2312" w:cs="CESI仿宋-GB2312"/>
          <w:color w:val="auto"/>
          <w:sz w:val="32"/>
          <w:szCs w:val="32"/>
          <w:highlight w:val="none"/>
        </w:rPr>
        <w:t>紧密结合县委、县政府工作重点和卫生健康事业的发展规划，对所申报的项目按照相关法律、法规、方针政策和支出需要，进行充分调研和论证，做好可行性分析，按照轻重缓急的原则合理进行编报。所有项目制定了绩效目标，实行项目入库、严格支出管理，按进度支付，实行绩效监控、开展绩效评价、提高资金使用效益。</w:t>
      </w:r>
      <w:r>
        <w:rPr>
          <w:rFonts w:hint="eastAsia" w:ascii="CESI仿宋-GB2312" w:hAnsi="CESI仿宋-GB2312" w:eastAsia="CESI仿宋-GB2312" w:cs="CESI仿宋-GB2312"/>
          <w:color w:val="auto"/>
          <w:sz w:val="32"/>
          <w:szCs w:val="32"/>
          <w:highlight w:val="none"/>
          <w:lang w:eastAsia="zh-CN"/>
        </w:rPr>
        <w:t>202</w:t>
      </w:r>
      <w:r>
        <w:rPr>
          <w:rFonts w:hint="eastAsia" w:ascii="CESI仿宋-GB2312" w:hAnsi="CESI仿宋-GB2312" w:eastAsia="CESI仿宋-GB2312" w:cs="CESI仿宋-GB2312"/>
          <w:color w:val="auto"/>
          <w:sz w:val="32"/>
          <w:szCs w:val="32"/>
          <w:highlight w:val="none"/>
          <w:lang w:val="en-US" w:eastAsia="zh-CN"/>
        </w:rPr>
        <w:t>3</w:t>
      </w:r>
      <w:r>
        <w:rPr>
          <w:rFonts w:hint="eastAsia" w:ascii="CESI仿宋-GB2312" w:hAnsi="CESI仿宋-GB2312" w:eastAsia="CESI仿宋-GB2312" w:cs="CESI仿宋-GB2312"/>
          <w:color w:val="auto"/>
          <w:sz w:val="32"/>
          <w:szCs w:val="32"/>
          <w:highlight w:val="none"/>
          <w:lang w:eastAsia="zh-CN"/>
        </w:rPr>
        <w:t>年局本级及下属</w:t>
      </w:r>
      <w:r>
        <w:rPr>
          <w:rFonts w:hint="eastAsia" w:ascii="CESI仿宋-GB2312" w:hAnsi="CESI仿宋-GB2312" w:eastAsia="CESI仿宋-GB2312" w:cs="CESI仿宋-GB2312"/>
          <w:color w:val="auto"/>
          <w:sz w:val="32"/>
          <w:szCs w:val="32"/>
          <w:highlight w:val="none"/>
          <w:lang w:val="en-US" w:eastAsia="zh-CN"/>
        </w:rPr>
        <w:t>19家医疗机构</w:t>
      </w:r>
      <w:r>
        <w:rPr>
          <w:rFonts w:hint="eastAsia" w:ascii="CESI仿宋-GB2312" w:hAnsi="CESI仿宋-GB2312" w:eastAsia="CESI仿宋-GB2312" w:cs="CESI仿宋-GB2312"/>
          <w:color w:val="auto"/>
          <w:sz w:val="32"/>
          <w:szCs w:val="32"/>
          <w:highlight w:val="none"/>
        </w:rPr>
        <w:t>特定项目类支出</w:t>
      </w:r>
      <w:r>
        <w:rPr>
          <w:rFonts w:hint="eastAsia" w:ascii="CESI仿宋-GB2312" w:hAnsi="CESI仿宋-GB2312" w:eastAsia="CESI仿宋-GB2312" w:cs="CESI仿宋-GB2312"/>
          <w:color w:val="auto"/>
          <w:sz w:val="32"/>
          <w:szCs w:val="32"/>
          <w:highlight w:val="none"/>
          <w:lang w:val="en-US" w:eastAsia="zh-CN"/>
        </w:rPr>
        <w:t>12513.06</w:t>
      </w:r>
      <w:r>
        <w:rPr>
          <w:rFonts w:hint="eastAsia" w:ascii="CESI仿宋-GB2312" w:hAnsi="CESI仿宋-GB2312" w:eastAsia="CESI仿宋-GB2312" w:cs="CESI仿宋-GB2312"/>
          <w:color w:val="auto"/>
          <w:sz w:val="32"/>
          <w:szCs w:val="32"/>
          <w:highlight w:val="none"/>
        </w:rPr>
        <w:t>万元，其中一般公共预算财政拨款支出</w:t>
      </w:r>
      <w:r>
        <w:rPr>
          <w:rFonts w:hint="eastAsia" w:ascii="CESI仿宋-GB2312" w:hAnsi="CESI仿宋-GB2312" w:eastAsia="CESI仿宋-GB2312" w:cs="CESI仿宋-GB2312"/>
          <w:color w:val="auto"/>
          <w:sz w:val="32"/>
          <w:szCs w:val="32"/>
          <w:highlight w:val="none"/>
          <w:lang w:val="en-US" w:eastAsia="zh-CN"/>
        </w:rPr>
        <w:t>7509</w:t>
      </w:r>
      <w:r>
        <w:rPr>
          <w:rFonts w:hint="eastAsia" w:ascii="CESI仿宋-GB2312" w:hAnsi="CESI仿宋-GB2312" w:eastAsia="CESI仿宋-GB2312" w:cs="CESI仿宋-GB2312"/>
          <w:color w:val="auto"/>
          <w:sz w:val="32"/>
          <w:szCs w:val="32"/>
          <w:highlight w:val="none"/>
        </w:rPr>
        <w:t>万元</w:t>
      </w:r>
      <w:r>
        <w:rPr>
          <w:rFonts w:hint="eastAsia" w:ascii="CESI仿宋-GB2312" w:hAnsi="CESI仿宋-GB2312" w:eastAsia="CESI仿宋-GB2312" w:cs="CESI仿宋-GB2312"/>
          <w:color w:val="auto"/>
          <w:sz w:val="32"/>
          <w:szCs w:val="32"/>
          <w:highlight w:val="none"/>
          <w:lang w:eastAsia="zh-CN"/>
        </w:rPr>
        <w:t>、</w:t>
      </w:r>
      <w:r>
        <w:rPr>
          <w:rFonts w:hint="eastAsia" w:ascii="CESI仿宋-GB2312" w:hAnsi="CESI仿宋-GB2312" w:eastAsia="CESI仿宋-GB2312" w:cs="CESI仿宋-GB2312"/>
          <w:color w:val="auto"/>
          <w:sz w:val="32"/>
          <w:szCs w:val="32"/>
          <w:highlight w:val="none"/>
        </w:rPr>
        <w:t>政府性基金预算财政拨款</w:t>
      </w:r>
      <w:r>
        <w:rPr>
          <w:rFonts w:hint="eastAsia" w:ascii="CESI仿宋-GB2312" w:hAnsi="CESI仿宋-GB2312" w:eastAsia="CESI仿宋-GB2312" w:cs="CESI仿宋-GB2312"/>
          <w:color w:val="auto"/>
          <w:sz w:val="32"/>
          <w:szCs w:val="32"/>
          <w:highlight w:val="none"/>
          <w:lang w:eastAsia="zh-CN"/>
        </w:rPr>
        <w:t>收入</w:t>
      </w:r>
      <w:r>
        <w:rPr>
          <w:rFonts w:hint="eastAsia" w:ascii="CESI仿宋-GB2312" w:hAnsi="CESI仿宋-GB2312" w:eastAsia="CESI仿宋-GB2312" w:cs="CESI仿宋-GB2312"/>
          <w:color w:val="auto"/>
          <w:sz w:val="32"/>
          <w:szCs w:val="32"/>
          <w:highlight w:val="none"/>
          <w:lang w:val="en-US" w:eastAsia="zh-CN"/>
        </w:rPr>
        <w:t>5004.06万元</w:t>
      </w:r>
      <w:r>
        <w:rPr>
          <w:rFonts w:hint="eastAsia" w:ascii="CESI仿宋-GB2312" w:hAnsi="CESI仿宋-GB2312" w:eastAsia="CESI仿宋-GB2312" w:cs="CESI仿宋-GB2312"/>
          <w:color w:val="auto"/>
          <w:sz w:val="32"/>
          <w:szCs w:val="32"/>
          <w:highlight w:val="none"/>
        </w:rPr>
        <w:t>。其中：卫健局</w:t>
      </w:r>
      <w:r>
        <w:rPr>
          <w:rFonts w:hint="eastAsia" w:ascii="CESI仿宋-GB2312" w:hAnsi="CESI仿宋-GB2312" w:eastAsia="CESI仿宋-GB2312" w:cs="CESI仿宋-GB2312"/>
          <w:color w:val="auto"/>
          <w:sz w:val="32"/>
          <w:szCs w:val="32"/>
          <w:highlight w:val="none"/>
          <w:lang w:eastAsia="zh-CN"/>
        </w:rPr>
        <w:t>202</w:t>
      </w:r>
      <w:r>
        <w:rPr>
          <w:rFonts w:hint="eastAsia" w:ascii="CESI仿宋-GB2312" w:hAnsi="CESI仿宋-GB2312" w:eastAsia="CESI仿宋-GB2312" w:cs="CESI仿宋-GB2312"/>
          <w:color w:val="auto"/>
          <w:sz w:val="32"/>
          <w:szCs w:val="32"/>
          <w:highlight w:val="none"/>
          <w:lang w:val="en-US" w:eastAsia="zh-CN"/>
        </w:rPr>
        <w:t>3</w:t>
      </w:r>
      <w:r>
        <w:rPr>
          <w:rFonts w:hint="eastAsia" w:ascii="CESI仿宋-GB2312" w:hAnsi="CESI仿宋-GB2312" w:eastAsia="CESI仿宋-GB2312" w:cs="CESI仿宋-GB2312"/>
          <w:color w:val="auto"/>
          <w:sz w:val="32"/>
          <w:szCs w:val="32"/>
          <w:highlight w:val="none"/>
          <w:lang w:eastAsia="zh-CN"/>
        </w:rPr>
        <w:t>年</w:t>
      </w:r>
      <w:r>
        <w:rPr>
          <w:rFonts w:hint="eastAsia" w:ascii="CESI仿宋-GB2312" w:hAnsi="CESI仿宋-GB2312" w:eastAsia="CESI仿宋-GB2312" w:cs="CESI仿宋-GB2312"/>
          <w:color w:val="auto"/>
          <w:sz w:val="32"/>
          <w:szCs w:val="32"/>
          <w:highlight w:val="none"/>
        </w:rPr>
        <w:t>特定项目类支出</w:t>
      </w:r>
      <w:r>
        <w:rPr>
          <w:rFonts w:hint="eastAsia" w:ascii="CESI仿宋-GB2312" w:hAnsi="CESI仿宋-GB2312" w:eastAsia="CESI仿宋-GB2312" w:cs="CESI仿宋-GB2312"/>
          <w:color w:val="auto"/>
          <w:sz w:val="32"/>
          <w:szCs w:val="32"/>
          <w:highlight w:val="none"/>
          <w:lang w:val="en-US" w:eastAsia="zh-CN"/>
        </w:rPr>
        <w:t>6655.05</w:t>
      </w:r>
      <w:r>
        <w:rPr>
          <w:rFonts w:hint="eastAsia" w:ascii="CESI仿宋-GB2312" w:hAnsi="CESI仿宋-GB2312" w:eastAsia="CESI仿宋-GB2312" w:cs="CESI仿宋-GB2312"/>
          <w:color w:val="auto"/>
          <w:sz w:val="32"/>
          <w:szCs w:val="32"/>
          <w:highlight w:val="none"/>
        </w:rPr>
        <w:t>万元，其中一般公共预算财政拨款支出</w:t>
      </w:r>
      <w:r>
        <w:rPr>
          <w:rFonts w:hint="eastAsia" w:ascii="CESI仿宋-GB2312" w:hAnsi="CESI仿宋-GB2312" w:eastAsia="CESI仿宋-GB2312" w:cs="CESI仿宋-GB2312"/>
          <w:color w:val="auto"/>
          <w:sz w:val="32"/>
          <w:szCs w:val="32"/>
          <w:highlight w:val="none"/>
          <w:lang w:val="en-US" w:eastAsia="zh-CN"/>
        </w:rPr>
        <w:t>1655.05</w:t>
      </w:r>
      <w:r>
        <w:rPr>
          <w:rFonts w:hint="eastAsia" w:ascii="CESI仿宋-GB2312" w:hAnsi="CESI仿宋-GB2312" w:eastAsia="CESI仿宋-GB2312" w:cs="CESI仿宋-GB2312"/>
          <w:color w:val="auto"/>
          <w:sz w:val="32"/>
          <w:szCs w:val="32"/>
          <w:highlight w:val="none"/>
        </w:rPr>
        <w:t>万元</w:t>
      </w:r>
      <w:r>
        <w:rPr>
          <w:rFonts w:hint="eastAsia" w:ascii="CESI仿宋-GB2312" w:hAnsi="CESI仿宋-GB2312" w:eastAsia="CESI仿宋-GB2312" w:cs="CESI仿宋-GB2312"/>
          <w:color w:val="auto"/>
          <w:sz w:val="32"/>
          <w:szCs w:val="32"/>
          <w:highlight w:val="none"/>
          <w:lang w:eastAsia="zh-CN"/>
        </w:rPr>
        <w:t>、</w:t>
      </w:r>
      <w:r>
        <w:rPr>
          <w:rFonts w:hint="eastAsia" w:ascii="CESI仿宋-GB2312" w:hAnsi="CESI仿宋-GB2312" w:eastAsia="CESI仿宋-GB2312" w:cs="CESI仿宋-GB2312"/>
          <w:color w:val="auto"/>
          <w:sz w:val="32"/>
          <w:szCs w:val="32"/>
          <w:highlight w:val="none"/>
        </w:rPr>
        <w:t>政府性基金预算财政拨款</w:t>
      </w:r>
      <w:r>
        <w:rPr>
          <w:rFonts w:hint="eastAsia" w:ascii="CESI仿宋-GB2312" w:hAnsi="CESI仿宋-GB2312" w:eastAsia="CESI仿宋-GB2312" w:cs="CESI仿宋-GB2312"/>
          <w:color w:val="auto"/>
          <w:sz w:val="32"/>
          <w:szCs w:val="32"/>
          <w:highlight w:val="none"/>
          <w:lang w:eastAsia="zh-CN"/>
        </w:rPr>
        <w:t>收入</w:t>
      </w:r>
      <w:r>
        <w:rPr>
          <w:rFonts w:hint="eastAsia" w:ascii="CESI仿宋-GB2312" w:hAnsi="CESI仿宋-GB2312" w:eastAsia="CESI仿宋-GB2312" w:cs="CESI仿宋-GB2312"/>
          <w:color w:val="auto"/>
          <w:sz w:val="32"/>
          <w:szCs w:val="32"/>
          <w:highlight w:val="none"/>
          <w:lang w:val="en-US" w:eastAsia="zh-CN"/>
        </w:rPr>
        <w:t>5000万元。</w:t>
      </w:r>
      <w:r>
        <w:rPr>
          <w:rFonts w:hint="eastAsia" w:ascii="CESI仿宋-GB2312" w:hAnsi="CESI仿宋-GB2312" w:eastAsia="CESI仿宋-GB2312" w:cs="CESI仿宋-GB2312"/>
          <w:color w:val="auto"/>
          <w:sz w:val="32"/>
          <w:szCs w:val="32"/>
          <w:highlight w:val="none"/>
        </w:rPr>
        <w:t>年末无资金结余。</w:t>
      </w:r>
    </w:p>
    <w:p>
      <w:pPr>
        <w:widowControl/>
        <w:adjustRightInd w:val="0"/>
        <w:snapToGrid w:val="0"/>
        <w:spacing w:line="580" w:lineRule="exact"/>
        <w:ind w:firstLine="640" w:firstLineChars="200"/>
        <w:contextualSpacing/>
        <w:jc w:val="left"/>
        <w:rPr>
          <w:kern w:val="0"/>
          <w:sz w:val="32"/>
          <w:szCs w:val="32"/>
          <w:shd w:val="clear" w:color="auto" w:fill="FFFFFF"/>
          <w:lang w:val="zh-CN"/>
        </w:rPr>
      </w:pPr>
      <w:r>
        <w:rPr>
          <w:kern w:val="0"/>
          <w:sz w:val="32"/>
          <w:szCs w:val="32"/>
          <w:shd w:val="clear" w:color="auto" w:fill="FFFFFF"/>
          <w:lang w:val="zh-CN"/>
        </w:rPr>
        <w:t>（二）结果应用情况。</w:t>
      </w:r>
    </w:p>
    <w:p>
      <w:pPr>
        <w:keepNext w:val="0"/>
        <w:keepLines w:val="0"/>
        <w:pageBreakBefore w:val="0"/>
        <w:widowControl/>
        <w:kinsoku/>
        <w:wordWrap/>
        <w:overflowPunct/>
        <w:topLinePunct w:val="0"/>
        <w:autoSpaceDE/>
        <w:autoSpaceDN/>
        <w:bidi w:val="0"/>
        <w:adjustRightInd w:val="0"/>
        <w:snapToGrid w:val="0"/>
        <w:spacing w:line="590" w:lineRule="atLeast"/>
        <w:ind w:firstLine="640" w:firstLineChars="200"/>
        <w:contextualSpacing/>
        <w:jc w:val="left"/>
        <w:rPr>
          <w:rFonts w:hint="eastAsia" w:ascii="Times New Roman" w:hAnsi="Times New Roman" w:eastAsia="仿宋_GB2312"/>
          <w:b/>
          <w:bCs/>
          <w:color w:val="auto"/>
          <w:sz w:val="32"/>
          <w:szCs w:val="32"/>
          <w:lang w:val="en-US" w:eastAsia="zh-CN"/>
        </w:rPr>
      </w:pPr>
      <w:r>
        <w:rPr>
          <w:rFonts w:hint="eastAsia" w:ascii="CESI仿宋-GB2312" w:hAnsi="CESI仿宋-GB2312" w:eastAsia="CESI仿宋-GB2312" w:cs="CESI仿宋-GB2312"/>
          <w:b w:val="0"/>
          <w:bCs w:val="0"/>
          <w:color w:val="auto"/>
          <w:sz w:val="32"/>
          <w:szCs w:val="32"/>
          <w:lang w:val="en-US" w:eastAsia="zh-CN"/>
        </w:rPr>
        <w:t>1.2023年重点项目绩效目标完成良好，服务对象满意率较好。</w:t>
      </w:r>
    </w:p>
    <w:p>
      <w:pPr>
        <w:keepNext w:val="0"/>
        <w:keepLines w:val="0"/>
        <w:pageBreakBefore w:val="0"/>
        <w:widowControl/>
        <w:kinsoku/>
        <w:wordWrap/>
        <w:overflowPunct/>
        <w:topLinePunct w:val="0"/>
        <w:autoSpaceDE/>
        <w:autoSpaceDN/>
        <w:bidi w:val="0"/>
        <w:adjustRightInd w:val="0"/>
        <w:snapToGrid w:val="0"/>
        <w:spacing w:line="590" w:lineRule="atLeast"/>
        <w:ind w:firstLine="643" w:firstLineChars="200"/>
        <w:contextualSpacing/>
        <w:jc w:val="left"/>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b/>
          <w:bCs/>
          <w:color w:val="auto"/>
          <w:sz w:val="32"/>
          <w:szCs w:val="32"/>
          <w:lang w:val="en-US" w:eastAsia="zh-CN"/>
        </w:rPr>
        <w:t>（1）扎实推动医疗卫生服务体系改革</w:t>
      </w:r>
      <w:r>
        <w:rPr>
          <w:rFonts w:hint="eastAsia" w:ascii="CESI仿宋-GB2312" w:hAnsi="CESI仿宋-GB2312" w:eastAsia="CESI仿宋-GB2312" w:cs="CESI仿宋-GB2312"/>
          <w:color w:val="auto"/>
          <w:sz w:val="32"/>
          <w:szCs w:val="32"/>
          <w:lang w:val="en-US" w:eastAsia="zh-CN"/>
        </w:rPr>
        <w:t>。不断深化与市中西医结合医院的战略合作关系，依托上级医院资源、学科、服务能力等优势，同步推进城市医联体和县域医共体建设，不断优化整合县域医疗资源，建立盐边县人民院“4合1”运行机制、国胜·红宝联合卫生院发展模式，集中优势医疗资源全力推动县级医疗机构等级建设，基层特色专科创建全面推开。并在此基础上进一步探索全县“1+2+3+N”医疗体系整体发展规划，根据医疗资源分布和各级医疗机构发展特色，确定县级医疗机构“综合全科+医养康复”、“中医专科+急诊急救”、“创伤专科+现代康复”错位发展模式，以及基层医疗机构由“大而全”转向“小而精”的发展方向。成功打造省级重点专科2个、基层特色专科2个，完成申报县级重点专科2个、基层特色专科3个。</w:t>
      </w:r>
    </w:p>
    <w:p>
      <w:pPr>
        <w:keepNext w:val="0"/>
        <w:keepLines w:val="0"/>
        <w:pageBreakBefore w:val="0"/>
        <w:widowControl/>
        <w:kinsoku/>
        <w:wordWrap/>
        <w:overflowPunct/>
        <w:topLinePunct w:val="0"/>
        <w:autoSpaceDE/>
        <w:autoSpaceDN/>
        <w:bidi w:val="0"/>
        <w:adjustRightInd w:val="0"/>
        <w:snapToGrid w:val="0"/>
        <w:spacing w:line="590" w:lineRule="atLeast"/>
        <w:ind w:firstLine="643" w:firstLineChars="200"/>
        <w:contextualSpacing/>
        <w:jc w:val="left"/>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b/>
          <w:bCs/>
          <w:color w:val="auto"/>
          <w:sz w:val="32"/>
          <w:szCs w:val="32"/>
          <w:lang w:val="en-US" w:eastAsia="zh-CN"/>
        </w:rPr>
        <w:t>（2）全力开展基层中医药事业综合改革</w:t>
      </w:r>
      <w:r>
        <w:rPr>
          <w:rFonts w:hint="eastAsia" w:ascii="CESI仿宋-GB2312" w:hAnsi="CESI仿宋-GB2312" w:eastAsia="CESI仿宋-GB2312" w:cs="CESI仿宋-GB2312"/>
          <w:color w:val="auto"/>
          <w:sz w:val="32"/>
          <w:szCs w:val="32"/>
          <w:lang w:val="en-US" w:eastAsia="zh-CN"/>
        </w:rPr>
        <w:t>。积极争创四川省中医药强县和全国基层中医药工作改革示范县，持续推动中草药产业突破攻坚行动，打造万亩蚕桑现代农业园区3个，桑葚种子资源库130余个，川续断、魔芋生产基地千亩以上基地2个，云木香、重楼基地百亩以上基地3个。着力提升中医药传统诊疗技术服务能力，争取资金250万元，成功创建2个省级中医特色科室、攀枝花市治未病中心分中心2个、建成中医适宜技术推广培训中心1个、区域中医医疗次中心1个。强化中医药文化体系建设，成功创建攀枝花市中医药文化宣传教育基地2个。成功申报四川省中医药健康旅游示范基地1个、四川省林草中药材规范化种植示范基地1个、四川省中医药文化宣传教育基地1个。获得四川省民族地区中医药工作表现优秀集体和优秀个人称号。</w:t>
      </w:r>
    </w:p>
    <w:p>
      <w:pPr>
        <w:keepNext w:val="0"/>
        <w:keepLines w:val="0"/>
        <w:pageBreakBefore w:val="0"/>
        <w:widowControl/>
        <w:kinsoku/>
        <w:wordWrap/>
        <w:overflowPunct/>
        <w:topLinePunct w:val="0"/>
        <w:autoSpaceDE/>
        <w:autoSpaceDN/>
        <w:bidi w:val="0"/>
        <w:adjustRightInd w:val="0"/>
        <w:snapToGrid w:val="0"/>
        <w:spacing w:line="590" w:lineRule="atLeast"/>
        <w:ind w:firstLine="643" w:firstLineChars="200"/>
        <w:contextualSpacing/>
        <w:jc w:val="left"/>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b/>
          <w:bCs/>
          <w:color w:val="auto"/>
          <w:sz w:val="32"/>
          <w:szCs w:val="32"/>
          <w:lang w:val="en-US" w:eastAsia="zh-CN"/>
        </w:rPr>
        <w:t>（3）提升基础设施硬实力</w:t>
      </w:r>
      <w:r>
        <w:rPr>
          <w:rFonts w:hint="eastAsia" w:ascii="CESI仿宋-GB2312" w:hAnsi="CESI仿宋-GB2312" w:eastAsia="CESI仿宋-GB2312" w:cs="CESI仿宋-GB2312"/>
          <w:color w:val="auto"/>
          <w:sz w:val="32"/>
          <w:szCs w:val="32"/>
          <w:lang w:val="en-US" w:eastAsia="zh-CN"/>
        </w:rPr>
        <w:t>。结合红格运动康养旅游发展定位和紧邻安宁工业园区地理优势，争取资金12000万元，以“三级乙等”综合医院建设标准，启动县第二人民医院建设项目。实施县中医院能力提升项目，完成县中医院综合大楼建设工程项目可研等前期工作，为创建三级医疗机构奠定硬件基础。</w:t>
      </w:r>
    </w:p>
    <w:p>
      <w:pPr>
        <w:keepNext w:val="0"/>
        <w:keepLines w:val="0"/>
        <w:pageBreakBefore w:val="0"/>
        <w:widowControl/>
        <w:kinsoku/>
        <w:wordWrap/>
        <w:overflowPunct/>
        <w:topLinePunct w:val="0"/>
        <w:autoSpaceDE/>
        <w:autoSpaceDN/>
        <w:bidi w:val="0"/>
        <w:adjustRightInd w:val="0"/>
        <w:snapToGrid w:val="0"/>
        <w:spacing w:line="590" w:lineRule="atLeast"/>
        <w:ind w:firstLine="643" w:firstLineChars="200"/>
        <w:contextualSpacing/>
        <w:jc w:val="left"/>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b/>
          <w:bCs/>
          <w:color w:val="auto"/>
          <w:sz w:val="32"/>
          <w:szCs w:val="32"/>
          <w:lang w:val="en-US" w:eastAsia="zh-CN"/>
        </w:rPr>
        <w:t>（4）提升重点学科软实力</w:t>
      </w:r>
      <w:r>
        <w:rPr>
          <w:rFonts w:hint="eastAsia" w:ascii="CESI仿宋-GB2312" w:hAnsi="CESI仿宋-GB2312" w:eastAsia="CESI仿宋-GB2312" w:cs="CESI仿宋-GB2312"/>
          <w:color w:val="auto"/>
          <w:sz w:val="32"/>
          <w:szCs w:val="32"/>
          <w:lang w:val="en-US" w:eastAsia="zh-CN"/>
        </w:rPr>
        <w:t>。持续推进2个省级重点专科、2个县级重点专科的常规化建设。持续加强与成都厚朴古风中医学研究所交流合作，积极引进南京凌启云副主任中医师成立“凌启云名中医工作室”，强化县级医疗机构中医药服务能力。积极培育县级医疗机构体检科、血透室等学科，着力满足县域内群众的健康需求。鼓励县级医疗机构积极争创各级重点学科，进一步提升我县医疗救治服务能力。</w:t>
      </w:r>
    </w:p>
    <w:p>
      <w:pPr>
        <w:keepNext w:val="0"/>
        <w:keepLines w:val="0"/>
        <w:pageBreakBefore w:val="0"/>
        <w:widowControl/>
        <w:kinsoku/>
        <w:wordWrap/>
        <w:overflowPunct/>
        <w:topLinePunct w:val="0"/>
        <w:autoSpaceDE/>
        <w:autoSpaceDN/>
        <w:bidi w:val="0"/>
        <w:adjustRightInd w:val="0"/>
        <w:snapToGrid w:val="0"/>
        <w:spacing w:line="590" w:lineRule="atLeast"/>
        <w:ind w:firstLine="643" w:firstLineChars="200"/>
        <w:contextualSpacing/>
        <w:jc w:val="left"/>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b/>
          <w:bCs/>
          <w:color w:val="auto"/>
          <w:sz w:val="32"/>
          <w:szCs w:val="32"/>
          <w:lang w:val="en-US" w:eastAsia="zh-CN"/>
        </w:rPr>
        <w:t>（5）提升招才引智竞争力</w:t>
      </w:r>
      <w:r>
        <w:rPr>
          <w:rFonts w:hint="eastAsia" w:ascii="CESI仿宋-GB2312" w:hAnsi="CESI仿宋-GB2312" w:eastAsia="CESI仿宋-GB2312" w:cs="CESI仿宋-GB2312"/>
          <w:color w:val="auto"/>
          <w:sz w:val="32"/>
          <w:szCs w:val="32"/>
          <w:lang w:val="en-US" w:eastAsia="zh-CN"/>
        </w:rPr>
        <w:t>。直接考核招聘引进成熟专业技术人才1人，引进“西部志愿者”2人，引进县域外编内专业技术人才1人，医疗机构自主招聘25人。扎实开展“滋味盐边·就在身边”工作，助力1名包保对象进入卫生健康系统工作。针对我县薄弱学科建设，积极对接市中心医院、市中西医结合医院、攀钢集团总医院、市第二人民医院，争取到7名专家，到县级医疗机构开展为期2年的“传帮带”对口支援业务指导，帮助培养我县后备力量。同时，选派26人到上级医疗机构进修学习，为培养本土高层次人才打下人才基础。</w:t>
      </w:r>
    </w:p>
    <w:p>
      <w:pPr>
        <w:keepNext w:val="0"/>
        <w:keepLines w:val="0"/>
        <w:pageBreakBefore w:val="0"/>
        <w:widowControl/>
        <w:kinsoku/>
        <w:wordWrap/>
        <w:overflowPunct/>
        <w:topLinePunct w:val="0"/>
        <w:autoSpaceDE/>
        <w:autoSpaceDN/>
        <w:bidi w:val="0"/>
        <w:adjustRightInd w:val="0"/>
        <w:snapToGrid w:val="0"/>
        <w:spacing w:line="590" w:lineRule="atLeast"/>
        <w:ind w:firstLine="643" w:firstLineChars="200"/>
        <w:contextualSpacing/>
        <w:jc w:val="left"/>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b/>
          <w:bCs/>
          <w:color w:val="auto"/>
          <w:sz w:val="32"/>
          <w:szCs w:val="32"/>
          <w:lang w:val="en-US" w:eastAsia="zh-CN"/>
        </w:rPr>
        <w:t>（6）持续强化基本公共服务</w:t>
      </w:r>
      <w:r>
        <w:rPr>
          <w:rFonts w:hint="eastAsia" w:ascii="CESI仿宋-GB2312" w:hAnsi="CESI仿宋-GB2312" w:eastAsia="CESI仿宋-GB2312" w:cs="CESI仿宋-GB2312"/>
          <w:color w:val="auto"/>
          <w:sz w:val="32"/>
          <w:szCs w:val="32"/>
          <w:lang w:val="en-US" w:eastAsia="zh-CN"/>
        </w:rPr>
        <w:t>。筑牢基层服务网底，持续开展“优质服务基层行”创建工作，不断巩固11家已达基本标准基层医疗机构成效，完成2家已达推荐标准机构的申报工作，最后2家达到基本标准机构已通过市级验收，均等待省级现场验收，完成2家社区医院创建申报工作。强化居民电子健康档案规范管理，规范管理率93.07%。扎实做好严重精神障碍患者管理工作，规范管理率达96.25%，定期与公安、教育、民政等部门开展严重精神障碍患者信息交换，确保重点人群在管在册。今年重大活动和重大事件节点，未发生肇事肇祸严重精神障碍患者失管失控事件。</w:t>
      </w:r>
    </w:p>
    <w:p>
      <w:pPr>
        <w:keepNext w:val="0"/>
        <w:keepLines w:val="0"/>
        <w:pageBreakBefore w:val="0"/>
        <w:widowControl/>
        <w:kinsoku/>
        <w:wordWrap/>
        <w:overflowPunct/>
        <w:topLinePunct w:val="0"/>
        <w:autoSpaceDE/>
        <w:autoSpaceDN/>
        <w:bidi w:val="0"/>
        <w:adjustRightInd w:val="0"/>
        <w:snapToGrid w:val="0"/>
        <w:spacing w:line="590" w:lineRule="atLeast"/>
        <w:ind w:firstLine="643" w:firstLineChars="200"/>
        <w:contextualSpacing/>
        <w:jc w:val="left"/>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b/>
          <w:bCs/>
          <w:color w:val="auto"/>
          <w:sz w:val="32"/>
          <w:szCs w:val="32"/>
          <w:lang w:val="en-US" w:eastAsia="zh-CN"/>
        </w:rPr>
        <w:t>（7）深入开展爱国卫生运动</w:t>
      </w:r>
      <w:r>
        <w:rPr>
          <w:rFonts w:hint="eastAsia" w:ascii="CESI仿宋-GB2312" w:hAnsi="CESI仿宋-GB2312" w:eastAsia="CESI仿宋-GB2312" w:cs="CESI仿宋-GB2312"/>
          <w:color w:val="auto"/>
          <w:sz w:val="32"/>
          <w:szCs w:val="32"/>
          <w:lang w:val="en-US" w:eastAsia="zh-CN"/>
        </w:rPr>
        <w:t>。开展爱国卫生月、健康科普“五进”等各类活动41场（次），参与2000人次。桐子林镇、红格镇成功通过国家卫生县城、国家卫生乡镇复审，渔门镇顺利通过国家卫生乡镇现场评审，复审（评审）通过率达100%。成功申报6个健康单位、2个健康乡镇、13个健康村、2个健康促进医院、2家健康企业、200个健康家庭，目前已接受市级评审。</w:t>
      </w:r>
    </w:p>
    <w:p>
      <w:pPr>
        <w:keepNext w:val="0"/>
        <w:keepLines w:val="0"/>
        <w:pageBreakBefore w:val="0"/>
        <w:widowControl/>
        <w:kinsoku/>
        <w:wordWrap/>
        <w:overflowPunct/>
        <w:topLinePunct w:val="0"/>
        <w:autoSpaceDE/>
        <w:autoSpaceDN/>
        <w:bidi w:val="0"/>
        <w:adjustRightInd w:val="0"/>
        <w:snapToGrid w:val="0"/>
        <w:spacing w:line="590" w:lineRule="atLeast"/>
        <w:ind w:firstLine="643" w:firstLineChars="200"/>
        <w:contextualSpacing/>
        <w:jc w:val="left"/>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b/>
          <w:bCs/>
          <w:color w:val="auto"/>
          <w:sz w:val="32"/>
          <w:szCs w:val="32"/>
          <w:lang w:val="en-US" w:eastAsia="zh-CN"/>
        </w:rPr>
        <w:t>（8）全面加强老龄健康服务</w:t>
      </w:r>
      <w:r>
        <w:rPr>
          <w:rFonts w:hint="eastAsia" w:ascii="CESI仿宋-GB2312" w:hAnsi="CESI仿宋-GB2312" w:eastAsia="CESI仿宋-GB2312" w:cs="CESI仿宋-GB2312"/>
          <w:color w:val="auto"/>
          <w:sz w:val="32"/>
          <w:szCs w:val="32"/>
          <w:lang w:val="en-US" w:eastAsia="zh-CN"/>
        </w:rPr>
        <w:t>。开展老年健康宣传周、“大笮健康讲堂”等老龄健康宣传活动4场次，1000余名65岁老年人参加现场活动并接受老龄健康指导。组织县域内家庭医生服务团队，通过“健康敲门行动”为314名65岁以上老年人提供“三个一”健康服务。争取资金4.06万元，积极申报打造渔门镇狮子堡村老年心理关爱点，完成村内337名65岁以上老年人心理调查评和数字档案建立工作。</w:t>
      </w:r>
    </w:p>
    <w:p>
      <w:pPr>
        <w:keepNext w:val="0"/>
        <w:keepLines w:val="0"/>
        <w:pageBreakBefore w:val="0"/>
        <w:widowControl/>
        <w:kinsoku/>
        <w:wordWrap/>
        <w:overflowPunct/>
        <w:topLinePunct w:val="0"/>
        <w:autoSpaceDE/>
        <w:autoSpaceDN/>
        <w:bidi w:val="0"/>
        <w:adjustRightInd w:val="0"/>
        <w:snapToGrid w:val="0"/>
        <w:spacing w:line="590" w:lineRule="atLeast"/>
        <w:ind w:firstLine="643" w:firstLineChars="200"/>
        <w:contextualSpacing/>
        <w:jc w:val="left"/>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b/>
          <w:bCs/>
          <w:color w:val="auto"/>
          <w:sz w:val="32"/>
          <w:szCs w:val="32"/>
          <w:lang w:val="en-US" w:eastAsia="zh-CN"/>
        </w:rPr>
        <w:t>（9）妥善实施生育各项政策</w:t>
      </w:r>
      <w:r>
        <w:rPr>
          <w:rFonts w:hint="eastAsia" w:ascii="CESI仿宋-GB2312" w:hAnsi="CESI仿宋-GB2312" w:eastAsia="CESI仿宋-GB2312" w:cs="CESI仿宋-GB2312"/>
          <w:color w:val="auto"/>
          <w:sz w:val="32"/>
          <w:szCs w:val="32"/>
          <w:lang w:val="en-US" w:eastAsia="zh-CN"/>
        </w:rPr>
        <w:t>。稳妥执行计生特别扶助政策，反复认真核对目标人群，截至目前，累计兑现各项扶助金1304.526万元。严格落实国家生命登记管理制度，健全完善人口发展统计监测体系，截至10月31日，县域内累计出生1233人，出生率6.84‰；死亡1457人，死亡率8.09‰，人口自然增长率-2.33‰。全面实施育儿补贴金政策，鼓励适龄人群积极生育，2022年累计566人符合政策，发放育儿补贴金227.4万元，截至目前，新增申报279人。扎实开展计生特殊家庭扶助关怀工作，搭建就医绿色通道，落实“双岗”联系人制度，为173名特别扶助对象购买住院护理补贴保险，2023年累计理赔住院护理补贴35件，理赔金额3.91万元。持续扩大普惠托育服务供给，新增3岁以下婴幼儿托育机构1家，设立托位50个，县域内3岁以下婴幼儿托位增加至334个。</w:t>
      </w:r>
    </w:p>
    <w:p>
      <w:pPr>
        <w:keepNext w:val="0"/>
        <w:keepLines w:val="0"/>
        <w:pageBreakBefore w:val="0"/>
        <w:widowControl/>
        <w:kinsoku/>
        <w:wordWrap/>
        <w:overflowPunct/>
        <w:topLinePunct w:val="0"/>
        <w:autoSpaceDE/>
        <w:autoSpaceDN/>
        <w:bidi w:val="0"/>
        <w:adjustRightInd w:val="0"/>
        <w:snapToGrid w:val="0"/>
        <w:spacing w:line="590" w:lineRule="atLeast"/>
        <w:ind w:firstLine="643" w:firstLineChars="200"/>
        <w:contextualSpacing/>
        <w:jc w:val="left"/>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b/>
          <w:bCs/>
          <w:color w:val="auto"/>
          <w:sz w:val="32"/>
          <w:szCs w:val="32"/>
          <w:lang w:val="en-US" w:eastAsia="zh-CN"/>
        </w:rPr>
        <w:t>（10）优化提升妇幼健康服务。</w:t>
      </w:r>
      <w:r>
        <w:rPr>
          <w:rFonts w:hint="eastAsia" w:ascii="CESI仿宋-GB2312" w:hAnsi="CESI仿宋-GB2312" w:eastAsia="CESI仿宋-GB2312" w:cs="CESI仿宋-GB2312"/>
          <w:color w:val="auto"/>
          <w:sz w:val="32"/>
          <w:szCs w:val="32"/>
          <w:lang w:val="en-US" w:eastAsia="zh-CN"/>
        </w:rPr>
        <w:t>切实保障母婴安全，县域内全年住院分娩产妇数1249人，活产数1260人，无孕产妇死亡，5岁以下儿童死亡率为6.34‰、婴儿死亡率为4.0‰。加强农村妇女健康监测，完成农村适龄妇女免费“两癌”筛查1813人。做好婚育健康体检，免费婚前医学检查428对、免费孕前优生检查484对。有效预防出生缺陷，截至目前，新生儿疾病筛查率达95.25%，新生儿听力筛查率达90%。成功申报儿童早期发展基地1个，并顺利通过市级验收。</w:t>
      </w:r>
    </w:p>
    <w:p>
      <w:pPr>
        <w:keepNext w:val="0"/>
        <w:keepLines w:val="0"/>
        <w:pageBreakBefore w:val="0"/>
        <w:widowControl/>
        <w:kinsoku/>
        <w:wordWrap/>
        <w:overflowPunct/>
        <w:topLinePunct w:val="0"/>
        <w:autoSpaceDE/>
        <w:autoSpaceDN/>
        <w:bidi w:val="0"/>
        <w:adjustRightInd w:val="0"/>
        <w:snapToGrid w:val="0"/>
        <w:spacing w:line="590" w:lineRule="atLeast"/>
        <w:ind w:firstLine="643" w:firstLineChars="200"/>
        <w:contextualSpacing/>
        <w:jc w:val="left"/>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b/>
          <w:bCs/>
          <w:color w:val="auto"/>
          <w:sz w:val="32"/>
          <w:szCs w:val="32"/>
          <w:lang w:val="en-US" w:eastAsia="zh-CN"/>
        </w:rPr>
        <w:t>（11）扎实抓好民生实事项目。</w:t>
      </w:r>
      <w:r>
        <w:rPr>
          <w:rFonts w:hint="eastAsia" w:ascii="CESI仿宋-GB2312" w:hAnsi="CESI仿宋-GB2312" w:eastAsia="CESI仿宋-GB2312" w:cs="CESI仿宋-GB2312"/>
          <w:color w:val="auto"/>
          <w:sz w:val="32"/>
          <w:szCs w:val="32"/>
          <w:lang w:val="en-US" w:eastAsia="zh-CN"/>
        </w:rPr>
        <w:t>累计争取基本公共卫生服务项目中央、省、县级资金1434.06万元，截至目前已拨付中央、省级资金1334.06万元，县级配套资金100万元将于年终考核结束后拨付。争取农村适龄妇女“两癌”筛查项目资金23.04万元，截至目前，已完成筛查1813人，资金已拨付到位。争取普惠性托育项目资金50万元，截至目前已完成新九镇萌宝托育园新建50个托位改建项目，项目资金已拨付到位。</w:t>
      </w:r>
    </w:p>
    <w:p>
      <w:pPr>
        <w:keepNext w:val="0"/>
        <w:keepLines w:val="0"/>
        <w:pageBreakBefore w:val="0"/>
        <w:widowControl/>
        <w:kinsoku/>
        <w:wordWrap/>
        <w:overflowPunct/>
        <w:topLinePunct w:val="0"/>
        <w:autoSpaceDE/>
        <w:autoSpaceDN/>
        <w:bidi w:val="0"/>
        <w:adjustRightInd w:val="0"/>
        <w:snapToGrid w:val="0"/>
        <w:spacing w:line="590" w:lineRule="atLeast"/>
        <w:ind w:firstLine="643" w:firstLineChars="200"/>
        <w:contextualSpacing/>
        <w:jc w:val="left"/>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b/>
          <w:bCs/>
          <w:color w:val="auto"/>
          <w:sz w:val="32"/>
          <w:szCs w:val="32"/>
          <w:lang w:val="en-US" w:eastAsia="zh-CN"/>
        </w:rPr>
        <w:t>（12.）加强绩效评价监督检查和考核工作。</w:t>
      </w:r>
      <w:r>
        <w:rPr>
          <w:rFonts w:hint="eastAsia" w:ascii="CESI仿宋-GB2312" w:hAnsi="CESI仿宋-GB2312" w:eastAsia="CESI仿宋-GB2312" w:cs="CESI仿宋-GB2312"/>
          <w:color w:val="auto"/>
          <w:sz w:val="32"/>
          <w:szCs w:val="32"/>
          <w:lang w:val="en-US" w:eastAsia="zh-CN"/>
        </w:rPr>
        <w:t>将绩效目标完成情况纳入各医疗卫生机构年度目标考核，并将绩效评价结果作为下年度项目立项和经费支持的重要依据。加强对绩效管理工作的跟踪督查，实现绩效管理规范化、常态化。</w:t>
      </w:r>
    </w:p>
    <w:p>
      <w:pPr>
        <w:keepNext w:val="0"/>
        <w:keepLines w:val="0"/>
        <w:pageBreakBefore w:val="0"/>
        <w:widowControl/>
        <w:kinsoku/>
        <w:wordWrap/>
        <w:overflowPunct/>
        <w:topLinePunct w:val="0"/>
        <w:autoSpaceDE/>
        <w:autoSpaceDN/>
        <w:bidi w:val="0"/>
        <w:adjustRightInd w:val="0"/>
        <w:snapToGrid w:val="0"/>
        <w:spacing w:line="590" w:lineRule="atLeast"/>
        <w:ind w:firstLine="643" w:firstLineChars="200"/>
        <w:contextualSpacing/>
        <w:jc w:val="left"/>
        <w:rPr>
          <w:rFonts w:hint="eastAsia" w:ascii="CESI仿宋-GB2312" w:hAnsi="CESI仿宋-GB2312" w:eastAsia="CESI仿宋-GB2312" w:cs="CESI仿宋-GB2312"/>
          <w:kern w:val="0"/>
          <w:sz w:val="32"/>
          <w:szCs w:val="32"/>
          <w:shd w:val="clear" w:color="auto" w:fill="FFFFFF"/>
          <w:lang w:val="zh-CN"/>
        </w:rPr>
      </w:pPr>
      <w:r>
        <w:rPr>
          <w:rFonts w:hint="eastAsia" w:ascii="CESI仿宋-GB2312" w:hAnsi="CESI仿宋-GB2312" w:eastAsia="CESI仿宋-GB2312" w:cs="CESI仿宋-GB2312"/>
          <w:b/>
          <w:bCs/>
          <w:color w:val="auto"/>
          <w:sz w:val="32"/>
          <w:szCs w:val="32"/>
          <w:lang w:val="en-US" w:eastAsia="zh-CN"/>
        </w:rPr>
        <w:t>（13.）及时按要求开展</w:t>
      </w:r>
      <w:r>
        <w:rPr>
          <w:rFonts w:hint="eastAsia" w:ascii="CESI仿宋-GB2312" w:hAnsi="CESI仿宋-GB2312" w:eastAsia="CESI仿宋-GB2312" w:cs="CESI仿宋-GB2312"/>
          <w:b/>
          <w:bCs/>
          <w:color w:val="auto"/>
          <w:sz w:val="32"/>
          <w:szCs w:val="32"/>
          <w:shd w:val="clear" w:color="auto" w:fill="auto"/>
        </w:rPr>
        <w:t>绩效</w:t>
      </w:r>
      <w:r>
        <w:rPr>
          <w:rFonts w:hint="eastAsia" w:ascii="CESI仿宋-GB2312" w:hAnsi="CESI仿宋-GB2312" w:eastAsia="CESI仿宋-GB2312" w:cs="CESI仿宋-GB2312"/>
          <w:b/>
          <w:bCs/>
          <w:color w:val="auto"/>
          <w:sz w:val="32"/>
          <w:szCs w:val="32"/>
          <w:shd w:val="clear" w:color="auto" w:fill="auto"/>
          <w:lang w:eastAsia="zh-CN"/>
        </w:rPr>
        <w:t>自评</w:t>
      </w:r>
      <w:r>
        <w:rPr>
          <w:rFonts w:hint="eastAsia" w:ascii="CESI仿宋-GB2312" w:hAnsi="CESI仿宋-GB2312" w:eastAsia="CESI仿宋-GB2312" w:cs="CESI仿宋-GB2312"/>
          <w:b/>
          <w:bCs/>
          <w:color w:val="auto"/>
          <w:sz w:val="32"/>
          <w:szCs w:val="32"/>
          <w:shd w:val="clear" w:color="auto" w:fill="auto"/>
        </w:rPr>
        <w:t>信息公开。</w:t>
      </w:r>
      <w:r>
        <w:rPr>
          <w:rFonts w:hint="eastAsia" w:ascii="CESI仿宋-GB2312" w:hAnsi="CESI仿宋-GB2312" w:eastAsia="CESI仿宋-GB2312" w:cs="CESI仿宋-GB2312"/>
          <w:color w:val="auto"/>
          <w:sz w:val="32"/>
          <w:szCs w:val="32"/>
        </w:rPr>
        <w:t>卫生健康系统内各单位均</w:t>
      </w:r>
      <w:r>
        <w:rPr>
          <w:rFonts w:hint="eastAsia" w:ascii="CESI仿宋-GB2312" w:hAnsi="CESI仿宋-GB2312" w:eastAsia="CESI仿宋-GB2312" w:cs="CESI仿宋-GB2312"/>
          <w:sz w:val="32"/>
          <w:szCs w:val="32"/>
        </w:rPr>
        <w:t>按</w:t>
      </w:r>
      <w:r>
        <w:rPr>
          <w:rFonts w:hint="eastAsia" w:ascii="CESI仿宋-GB2312" w:hAnsi="CESI仿宋-GB2312" w:eastAsia="CESI仿宋-GB2312" w:cs="CESI仿宋-GB2312"/>
          <w:sz w:val="32"/>
          <w:szCs w:val="32"/>
          <w:lang w:eastAsia="zh-CN"/>
        </w:rPr>
        <w:t>县</w:t>
      </w:r>
      <w:r>
        <w:rPr>
          <w:rFonts w:hint="eastAsia" w:ascii="CESI仿宋-GB2312" w:hAnsi="CESI仿宋-GB2312" w:eastAsia="CESI仿宋-GB2312" w:cs="CESI仿宋-GB2312"/>
          <w:sz w:val="32"/>
          <w:szCs w:val="32"/>
        </w:rPr>
        <w:t>财政局相关规定和要求</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color w:val="auto"/>
          <w:sz w:val="32"/>
          <w:szCs w:val="32"/>
        </w:rPr>
        <w:t>将部门预算、决算</w:t>
      </w:r>
      <w:r>
        <w:rPr>
          <w:rFonts w:hint="eastAsia" w:ascii="CESI仿宋-GB2312" w:hAnsi="CESI仿宋-GB2312" w:eastAsia="CESI仿宋-GB2312" w:cs="CESI仿宋-GB2312"/>
          <w:color w:val="auto"/>
          <w:sz w:val="32"/>
          <w:szCs w:val="32"/>
          <w:lang w:eastAsia="zh-CN"/>
        </w:rPr>
        <w:t>及绩效评价</w:t>
      </w:r>
      <w:r>
        <w:rPr>
          <w:rFonts w:hint="eastAsia" w:ascii="CESI仿宋-GB2312" w:hAnsi="CESI仿宋-GB2312" w:eastAsia="CESI仿宋-GB2312" w:cs="CESI仿宋-GB2312"/>
          <w:color w:val="auto"/>
          <w:sz w:val="32"/>
          <w:szCs w:val="32"/>
        </w:rPr>
        <w:t>等信息，</w:t>
      </w:r>
      <w:r>
        <w:rPr>
          <w:rFonts w:hint="eastAsia" w:ascii="CESI仿宋-GB2312" w:hAnsi="CESI仿宋-GB2312" w:eastAsia="CESI仿宋-GB2312" w:cs="CESI仿宋-GB2312"/>
          <w:color w:val="auto"/>
          <w:sz w:val="32"/>
          <w:szCs w:val="32"/>
          <w:lang w:eastAsia="zh-CN"/>
        </w:rPr>
        <w:t>按</w:t>
      </w:r>
      <w:r>
        <w:rPr>
          <w:rFonts w:hint="eastAsia" w:ascii="CESI仿宋-GB2312" w:hAnsi="CESI仿宋-GB2312" w:eastAsia="CESI仿宋-GB2312" w:cs="CESI仿宋-GB2312"/>
          <w:color w:val="auto"/>
          <w:sz w:val="32"/>
          <w:szCs w:val="32"/>
        </w:rPr>
        <w:t>时在盐边县公众信息网“财政信息”栏中进行公开。</w:t>
      </w:r>
    </w:p>
    <w:p>
      <w:pPr>
        <w:widowControl/>
        <w:numPr>
          <w:ilvl w:val="0"/>
          <w:numId w:val="5"/>
        </w:numPr>
        <w:adjustRightInd w:val="0"/>
        <w:snapToGrid w:val="0"/>
        <w:spacing w:line="580" w:lineRule="exact"/>
        <w:ind w:firstLine="640" w:firstLineChars="200"/>
        <w:contextualSpacing/>
        <w:jc w:val="left"/>
        <w:rPr>
          <w:kern w:val="0"/>
          <w:sz w:val="32"/>
          <w:szCs w:val="32"/>
          <w:shd w:val="clear" w:color="auto" w:fill="FFFFFF"/>
        </w:rPr>
      </w:pPr>
      <w:r>
        <w:rPr>
          <w:kern w:val="0"/>
          <w:sz w:val="32"/>
          <w:szCs w:val="32"/>
          <w:shd w:val="clear" w:color="auto" w:fill="FFFFFF"/>
          <w:lang w:val="zh-CN"/>
        </w:rPr>
        <w:t>自评质量</w:t>
      </w:r>
      <w:r>
        <w:rPr>
          <w:rFonts w:hint="eastAsia"/>
          <w:kern w:val="0"/>
          <w:sz w:val="32"/>
          <w:szCs w:val="32"/>
          <w:shd w:val="clear" w:color="auto" w:fill="FFFFFF"/>
          <w:lang w:val="zh-CN"/>
        </w:rPr>
        <w:t>。</w:t>
      </w:r>
      <w:r>
        <w:rPr>
          <w:rFonts w:hint="eastAsia" w:ascii="CESI仿宋-GB2312" w:hAnsi="CESI仿宋-GB2312" w:eastAsia="CESI仿宋-GB2312" w:cs="CESI仿宋-GB2312"/>
          <w:color w:val="000000"/>
          <w:kern w:val="0"/>
          <w:sz w:val="32"/>
          <w:szCs w:val="32"/>
          <w:shd w:val="clear" w:color="auto" w:fill="FFFFFF"/>
        </w:rPr>
        <w:t>本次自评工作启动后，我局及时</w:t>
      </w:r>
      <w:r>
        <w:rPr>
          <w:rFonts w:hint="eastAsia" w:ascii="CESI仿宋-GB2312" w:hAnsi="CESI仿宋-GB2312" w:eastAsia="CESI仿宋-GB2312" w:cs="CESI仿宋-GB2312"/>
          <w:color w:val="000000"/>
          <w:kern w:val="0"/>
          <w:sz w:val="32"/>
          <w:szCs w:val="32"/>
          <w:shd w:val="clear" w:color="auto" w:fill="FFFFFF"/>
          <w:lang w:eastAsia="zh-CN"/>
        </w:rPr>
        <w:t>转</w:t>
      </w:r>
      <w:r>
        <w:rPr>
          <w:rFonts w:hint="eastAsia" w:ascii="CESI仿宋-GB2312" w:hAnsi="CESI仿宋-GB2312" w:eastAsia="CESI仿宋-GB2312" w:cs="CESI仿宋-GB2312"/>
          <w:color w:val="000000"/>
          <w:kern w:val="0"/>
          <w:sz w:val="32"/>
          <w:szCs w:val="32"/>
          <w:shd w:val="clear" w:color="auto" w:fill="FFFFFF"/>
        </w:rPr>
        <w:t>发了盐边县财政局关于开展2023年度预算绩效自评工作的通知</w:t>
      </w:r>
      <w:r>
        <w:rPr>
          <w:rFonts w:hint="eastAsia" w:ascii="CESI仿宋-GB2312" w:hAnsi="CESI仿宋-GB2312" w:eastAsia="CESI仿宋-GB2312" w:cs="CESI仿宋-GB2312"/>
          <w:color w:val="000000"/>
          <w:kern w:val="0"/>
          <w:sz w:val="32"/>
          <w:szCs w:val="32"/>
          <w:shd w:val="clear" w:color="auto" w:fill="FFFFFF"/>
          <w:lang w:eastAsia="zh-CN"/>
        </w:rPr>
        <w:t>（</w:t>
      </w:r>
      <w:r>
        <w:rPr>
          <w:rFonts w:hint="eastAsia" w:ascii="CESI仿宋-GB2312" w:hAnsi="CESI仿宋-GB2312" w:eastAsia="CESI仿宋-GB2312" w:cs="CESI仿宋-GB2312"/>
          <w:color w:val="000000"/>
          <w:kern w:val="0"/>
          <w:sz w:val="32"/>
          <w:szCs w:val="32"/>
          <w:shd w:val="clear" w:color="auto" w:fill="FFFFFF"/>
        </w:rPr>
        <w:t>盐边财绩〔2024〕2号</w:t>
      </w:r>
      <w:r>
        <w:rPr>
          <w:rFonts w:hint="eastAsia" w:ascii="CESI仿宋-GB2312" w:hAnsi="CESI仿宋-GB2312" w:eastAsia="CESI仿宋-GB2312" w:cs="CESI仿宋-GB2312"/>
          <w:color w:val="000000"/>
          <w:kern w:val="0"/>
          <w:sz w:val="32"/>
          <w:szCs w:val="32"/>
          <w:shd w:val="clear" w:color="auto" w:fill="FFFFFF"/>
          <w:lang w:eastAsia="zh-CN"/>
        </w:rPr>
        <w:t>）</w:t>
      </w:r>
      <w:r>
        <w:rPr>
          <w:rFonts w:hint="eastAsia" w:ascii="CESI仿宋-GB2312" w:hAnsi="CESI仿宋-GB2312" w:eastAsia="CESI仿宋-GB2312" w:cs="CESI仿宋-GB2312"/>
          <w:color w:val="000000"/>
          <w:kern w:val="0"/>
          <w:sz w:val="32"/>
          <w:szCs w:val="32"/>
          <w:shd w:val="clear" w:color="auto" w:fill="FFFFFF"/>
        </w:rPr>
        <w:t>，</w:t>
      </w:r>
      <w:r>
        <w:rPr>
          <w:rFonts w:hint="eastAsia" w:ascii="CESI仿宋-GB2312" w:hAnsi="CESI仿宋-GB2312" w:eastAsia="CESI仿宋-GB2312" w:cs="CESI仿宋-GB2312"/>
          <w:color w:val="000000"/>
          <w:kern w:val="0"/>
          <w:sz w:val="32"/>
          <w:szCs w:val="32"/>
          <w:shd w:val="clear" w:color="auto" w:fill="FFFFFF"/>
          <w:lang w:eastAsia="zh-CN"/>
        </w:rPr>
        <w:t>对下属各</w:t>
      </w:r>
      <w:r>
        <w:rPr>
          <w:rFonts w:hint="eastAsia" w:ascii="CESI仿宋-GB2312" w:hAnsi="CESI仿宋-GB2312" w:eastAsia="CESI仿宋-GB2312" w:cs="CESI仿宋-GB2312"/>
          <w:color w:val="000000"/>
          <w:kern w:val="0"/>
          <w:sz w:val="32"/>
          <w:szCs w:val="32"/>
          <w:shd w:val="clear" w:color="auto" w:fill="FFFFFF"/>
        </w:rPr>
        <w:t>预算单位进行了工作部署，要求对部门预算和专项预算进行全覆盖自评。自评工作</w:t>
      </w:r>
      <w:r>
        <w:rPr>
          <w:rFonts w:hint="eastAsia" w:ascii="CESI仿宋-GB2312" w:hAnsi="CESI仿宋-GB2312" w:eastAsia="CESI仿宋-GB2312" w:cs="CESI仿宋-GB2312"/>
          <w:color w:val="000000"/>
          <w:kern w:val="0"/>
          <w:sz w:val="32"/>
          <w:szCs w:val="32"/>
          <w:shd w:val="clear" w:color="auto" w:fill="FFFFFF"/>
          <w:lang w:eastAsia="zh-CN"/>
        </w:rPr>
        <w:t>覆盖局本级和下属</w:t>
      </w:r>
      <w:r>
        <w:rPr>
          <w:rFonts w:hint="eastAsia" w:ascii="CESI仿宋-GB2312" w:hAnsi="CESI仿宋-GB2312" w:eastAsia="CESI仿宋-GB2312" w:cs="CESI仿宋-GB2312"/>
          <w:color w:val="000000"/>
          <w:kern w:val="0"/>
          <w:sz w:val="32"/>
          <w:szCs w:val="32"/>
          <w:shd w:val="clear" w:color="auto" w:fill="FFFFFF"/>
          <w:lang w:val="en-US" w:eastAsia="zh-CN"/>
        </w:rPr>
        <w:t>19</w:t>
      </w:r>
      <w:r>
        <w:rPr>
          <w:rFonts w:hint="eastAsia" w:ascii="CESI仿宋-GB2312" w:hAnsi="CESI仿宋-GB2312" w:eastAsia="CESI仿宋-GB2312" w:cs="CESI仿宋-GB2312"/>
          <w:color w:val="000000"/>
          <w:kern w:val="0"/>
          <w:sz w:val="32"/>
          <w:szCs w:val="32"/>
          <w:shd w:val="clear" w:color="auto" w:fill="FFFFFF"/>
        </w:rPr>
        <w:t>个</w:t>
      </w:r>
      <w:r>
        <w:rPr>
          <w:rFonts w:hint="eastAsia" w:ascii="CESI仿宋-GB2312" w:hAnsi="CESI仿宋-GB2312" w:eastAsia="CESI仿宋-GB2312" w:cs="CESI仿宋-GB2312"/>
          <w:color w:val="000000"/>
          <w:kern w:val="0"/>
          <w:sz w:val="32"/>
          <w:szCs w:val="32"/>
          <w:shd w:val="clear" w:color="auto" w:fill="FFFFFF"/>
          <w:lang w:eastAsia="zh-CN"/>
        </w:rPr>
        <w:t>医疗卫生</w:t>
      </w:r>
      <w:r>
        <w:rPr>
          <w:rFonts w:hint="eastAsia" w:ascii="CESI仿宋-GB2312" w:hAnsi="CESI仿宋-GB2312" w:eastAsia="CESI仿宋-GB2312" w:cs="CESI仿宋-GB2312"/>
          <w:color w:val="000000"/>
          <w:kern w:val="0"/>
          <w:sz w:val="32"/>
          <w:szCs w:val="32"/>
          <w:shd w:val="clear" w:color="auto" w:fill="FFFFFF"/>
        </w:rPr>
        <w:t>单位，压紧压实了</w:t>
      </w:r>
      <w:r>
        <w:rPr>
          <w:rFonts w:hint="eastAsia" w:ascii="CESI仿宋-GB2312" w:hAnsi="CESI仿宋-GB2312" w:eastAsia="CESI仿宋-GB2312" w:cs="CESI仿宋-GB2312"/>
          <w:color w:val="000000"/>
          <w:kern w:val="0"/>
          <w:sz w:val="32"/>
          <w:szCs w:val="32"/>
          <w:shd w:val="clear" w:color="auto" w:fill="FFFFFF"/>
          <w:lang w:eastAsia="zh-CN"/>
        </w:rPr>
        <w:t>局机关相关股室</w:t>
      </w:r>
      <w:r>
        <w:rPr>
          <w:rFonts w:hint="eastAsia" w:ascii="CESI仿宋-GB2312" w:hAnsi="CESI仿宋-GB2312" w:eastAsia="CESI仿宋-GB2312" w:cs="CESI仿宋-GB2312"/>
          <w:color w:val="000000"/>
          <w:kern w:val="0"/>
          <w:sz w:val="32"/>
          <w:szCs w:val="32"/>
          <w:shd w:val="clear" w:color="auto" w:fill="FFFFFF"/>
        </w:rPr>
        <w:t>及</w:t>
      </w:r>
      <w:r>
        <w:rPr>
          <w:rFonts w:hint="eastAsia" w:ascii="CESI仿宋-GB2312" w:hAnsi="CESI仿宋-GB2312" w:eastAsia="CESI仿宋-GB2312" w:cs="CESI仿宋-GB2312"/>
          <w:color w:val="000000"/>
          <w:kern w:val="0"/>
          <w:sz w:val="32"/>
          <w:szCs w:val="32"/>
          <w:shd w:val="clear" w:color="auto" w:fill="FFFFFF"/>
          <w:lang w:eastAsia="zh-CN"/>
        </w:rPr>
        <w:t>各医疗卫生单位</w:t>
      </w:r>
      <w:r>
        <w:rPr>
          <w:rFonts w:hint="eastAsia" w:ascii="CESI仿宋-GB2312" w:hAnsi="CESI仿宋-GB2312" w:eastAsia="CESI仿宋-GB2312" w:cs="CESI仿宋-GB2312"/>
          <w:color w:val="000000"/>
          <w:kern w:val="0"/>
          <w:sz w:val="32"/>
          <w:szCs w:val="32"/>
          <w:shd w:val="clear" w:color="auto" w:fill="FFFFFF"/>
        </w:rPr>
        <w:t>的主体责任，但由于自评工作时间紧、任务重、项目多，资金使用末端单位较多，自评报告主要基于各</w:t>
      </w:r>
      <w:r>
        <w:rPr>
          <w:rFonts w:hint="eastAsia" w:ascii="CESI仿宋-GB2312" w:hAnsi="CESI仿宋-GB2312" w:eastAsia="CESI仿宋-GB2312" w:cs="CESI仿宋-GB2312"/>
          <w:color w:val="000000"/>
          <w:kern w:val="0"/>
          <w:sz w:val="32"/>
          <w:szCs w:val="32"/>
          <w:shd w:val="clear" w:color="auto" w:fill="FFFFFF"/>
          <w:lang w:eastAsia="zh-CN"/>
        </w:rPr>
        <w:t>股室、</w:t>
      </w:r>
      <w:r>
        <w:rPr>
          <w:rFonts w:hint="eastAsia" w:ascii="CESI仿宋-GB2312" w:hAnsi="CESI仿宋-GB2312" w:eastAsia="CESI仿宋-GB2312" w:cs="CESI仿宋-GB2312"/>
          <w:color w:val="000000"/>
          <w:kern w:val="0"/>
          <w:sz w:val="32"/>
          <w:szCs w:val="32"/>
          <w:shd w:val="clear" w:color="auto" w:fill="FFFFFF"/>
        </w:rPr>
        <w:t>各</w:t>
      </w:r>
      <w:r>
        <w:rPr>
          <w:rFonts w:hint="eastAsia" w:ascii="CESI仿宋-GB2312" w:hAnsi="CESI仿宋-GB2312" w:eastAsia="CESI仿宋-GB2312" w:cs="CESI仿宋-GB2312"/>
          <w:color w:val="000000"/>
          <w:kern w:val="0"/>
          <w:sz w:val="32"/>
          <w:szCs w:val="32"/>
          <w:shd w:val="clear" w:color="auto" w:fill="FFFFFF"/>
          <w:lang w:eastAsia="zh-CN"/>
        </w:rPr>
        <w:t>医疗卫生</w:t>
      </w:r>
      <w:r>
        <w:rPr>
          <w:rFonts w:hint="eastAsia" w:ascii="CESI仿宋-GB2312" w:hAnsi="CESI仿宋-GB2312" w:eastAsia="CESI仿宋-GB2312" w:cs="CESI仿宋-GB2312"/>
          <w:color w:val="000000"/>
          <w:kern w:val="0"/>
          <w:sz w:val="32"/>
          <w:szCs w:val="32"/>
          <w:shd w:val="clear" w:color="auto" w:fill="FFFFFF"/>
        </w:rPr>
        <w:t>单位的自评情况进行汇总分析，可能存在一定的局限性和片面性，此项自评得分</w:t>
      </w:r>
      <w:r>
        <w:rPr>
          <w:rFonts w:hint="eastAsia" w:ascii="CESI仿宋-GB2312" w:hAnsi="CESI仿宋-GB2312" w:eastAsia="CESI仿宋-GB2312" w:cs="CESI仿宋-GB2312"/>
          <w:color w:val="000000"/>
          <w:kern w:val="0"/>
          <w:sz w:val="32"/>
          <w:szCs w:val="32"/>
          <w:shd w:val="clear" w:color="auto" w:fill="FFFFFF"/>
          <w:lang w:val="en-US" w:eastAsia="zh-CN"/>
        </w:rPr>
        <w:t>10</w:t>
      </w:r>
      <w:r>
        <w:rPr>
          <w:rFonts w:hint="eastAsia" w:ascii="CESI仿宋-GB2312" w:hAnsi="CESI仿宋-GB2312" w:eastAsia="CESI仿宋-GB2312" w:cs="CESI仿宋-GB2312"/>
          <w:color w:val="000000"/>
          <w:kern w:val="0"/>
          <w:sz w:val="32"/>
          <w:szCs w:val="32"/>
          <w:shd w:val="clear" w:color="auto" w:fill="FFFFFF"/>
        </w:rPr>
        <w:t>分。</w:t>
      </w:r>
    </w:p>
    <w:p>
      <w:pPr>
        <w:widowControl/>
        <w:adjustRightInd w:val="0"/>
        <w:snapToGrid w:val="0"/>
        <w:spacing w:line="580" w:lineRule="exact"/>
        <w:ind w:firstLine="640" w:firstLineChars="200"/>
        <w:contextualSpacing/>
        <w:jc w:val="left"/>
        <w:rPr>
          <w:rFonts w:eastAsia="黑体"/>
          <w:kern w:val="0"/>
          <w:sz w:val="32"/>
          <w:szCs w:val="32"/>
          <w:shd w:val="clear" w:color="auto" w:fill="FFFFFF"/>
        </w:rPr>
      </w:pPr>
      <w:r>
        <w:rPr>
          <w:rFonts w:eastAsia="黑体"/>
          <w:kern w:val="0"/>
          <w:sz w:val="32"/>
          <w:szCs w:val="32"/>
          <w:shd w:val="clear" w:color="auto" w:fill="FFFFFF"/>
        </w:rPr>
        <w:t>四、评价结论及建议</w:t>
      </w:r>
    </w:p>
    <w:p>
      <w:pPr>
        <w:snapToGrid w:val="0"/>
        <w:spacing w:line="590" w:lineRule="atLeast"/>
        <w:ind w:firstLine="640" w:firstLineChars="200"/>
        <w:rPr>
          <w:rFonts w:ascii="Times New Roman" w:hAnsi="Times New Roman" w:eastAsia="仿宋_GB2312"/>
          <w:bCs w:val="0"/>
          <w:color w:val="000000"/>
          <w:sz w:val="32"/>
          <w:szCs w:val="32"/>
        </w:rPr>
      </w:pPr>
      <w:r>
        <w:rPr>
          <w:kern w:val="0"/>
          <w:sz w:val="32"/>
          <w:szCs w:val="32"/>
          <w:shd w:val="clear" w:color="auto" w:fill="FFFFFF"/>
          <w:lang w:val="zh-CN"/>
        </w:rPr>
        <w:t>（一）评价结论。</w:t>
      </w:r>
      <w:r>
        <w:rPr>
          <w:rFonts w:hint="eastAsia" w:ascii="Times New Roman" w:hAnsi="Times New Roman" w:eastAsia="仿宋_GB2312"/>
          <w:bCs w:val="0"/>
          <w:color w:val="000000"/>
          <w:sz w:val="32"/>
          <w:szCs w:val="32"/>
        </w:rPr>
        <w:t>盐边县卫生健康局严格按照财政预算编制规定和要求，结合单位年度工作计划采取人员经费按照县委组织部审核过的工资进行编制，公用经费按定额编制的方法按时完成人员经费、日常公用经费编制工作，切实做到数据完整和准确无误。项目资金预算</w:t>
      </w:r>
      <w:r>
        <w:rPr>
          <w:rFonts w:hint="eastAsia" w:ascii="Times New Roman" w:hAnsi="Times New Roman" w:eastAsia="仿宋_GB2312"/>
          <w:color w:val="000000"/>
          <w:sz w:val="32"/>
          <w:szCs w:val="32"/>
        </w:rPr>
        <w:t>，</w:t>
      </w:r>
      <w:r>
        <w:rPr>
          <w:rFonts w:hint="eastAsia" w:ascii="Times New Roman" w:hAnsi="Times New Roman" w:eastAsia="仿宋_GB2312"/>
          <w:bCs w:val="0"/>
          <w:color w:val="000000"/>
          <w:sz w:val="32"/>
          <w:szCs w:val="32"/>
        </w:rPr>
        <w:t>精准编制项目支出绩效申报表，提供准确的项目支撑依据，切实做到项目资金编制的合理化，并</w:t>
      </w:r>
      <w:r>
        <w:rPr>
          <w:rFonts w:hint="eastAsia" w:ascii="Times New Roman" w:hAnsi="Times New Roman" w:eastAsia="仿宋_GB2312"/>
          <w:color w:val="000000"/>
          <w:sz w:val="32"/>
          <w:szCs w:val="32"/>
        </w:rPr>
        <w:t>按财政</w:t>
      </w:r>
      <w:r>
        <w:rPr>
          <w:rFonts w:hint="eastAsia" w:ascii="Times New Roman" w:hAnsi="Times New Roman" w:eastAsia="仿宋_GB2312"/>
          <w:bCs w:val="0"/>
          <w:color w:val="000000"/>
          <w:sz w:val="32"/>
          <w:szCs w:val="32"/>
        </w:rPr>
        <w:t>规定完整、准确</w:t>
      </w:r>
      <w:r>
        <w:rPr>
          <w:rFonts w:hint="eastAsia" w:ascii="Times New Roman" w:hAnsi="Times New Roman" w:eastAsia="仿宋_GB2312"/>
          <w:color w:val="000000"/>
          <w:sz w:val="32"/>
          <w:szCs w:val="32"/>
        </w:rPr>
        <w:t>、及时</w:t>
      </w:r>
      <w:r>
        <w:rPr>
          <w:rFonts w:hint="eastAsia" w:ascii="Times New Roman" w:hAnsi="Times New Roman" w:eastAsia="仿宋_GB2312"/>
          <w:bCs w:val="0"/>
          <w:color w:val="000000"/>
          <w:sz w:val="32"/>
          <w:szCs w:val="32"/>
        </w:rPr>
        <w:t>报送。</w:t>
      </w:r>
    </w:p>
    <w:p>
      <w:pPr>
        <w:widowControl w:val="0"/>
        <w:adjustRightInd/>
        <w:snapToGrid w:val="0"/>
        <w:spacing w:line="590" w:lineRule="atLeast"/>
        <w:ind w:firstLine="640" w:firstLineChars="200"/>
        <w:contextualSpacing/>
        <w:jc w:val="both"/>
        <w:rPr>
          <w:rFonts w:hint="eastAsia" w:ascii="Times New Roman" w:hAnsi="Times New Roman" w:eastAsia="仿宋_GB2312"/>
          <w:color w:val="000000"/>
          <w:sz w:val="32"/>
          <w:szCs w:val="32"/>
        </w:rPr>
      </w:pPr>
      <w:r>
        <w:rPr>
          <w:rFonts w:hint="eastAsia" w:ascii="Times New Roman" w:hAnsi="Times New Roman" w:eastAsia="仿宋_GB2312"/>
          <w:bCs w:val="0"/>
          <w:color w:val="000000"/>
          <w:sz w:val="32"/>
          <w:szCs w:val="32"/>
        </w:rPr>
        <w:t>资金支出执行</w:t>
      </w:r>
      <w:r>
        <w:rPr>
          <w:rFonts w:hint="eastAsia" w:ascii="Times New Roman" w:hAnsi="Times New Roman" w:eastAsia="仿宋_GB2312"/>
          <w:bCs w:val="0"/>
          <w:color w:val="000000"/>
          <w:sz w:val="32"/>
          <w:szCs w:val="32"/>
          <w:lang w:eastAsia="zh-CN"/>
        </w:rPr>
        <w:t>方面</w:t>
      </w:r>
      <w:r>
        <w:rPr>
          <w:rFonts w:hint="eastAsia" w:ascii="Times New Roman" w:hAnsi="Times New Roman" w:eastAsia="仿宋_GB2312"/>
          <w:bCs w:val="0"/>
          <w:color w:val="000000"/>
          <w:sz w:val="32"/>
          <w:szCs w:val="32"/>
        </w:rPr>
        <w:t>严格按照预算执行，坚持“反对浪费、节约开支”的原则，专款专用，不拖欠、不挪用。在收到财政对口股室下达的各类指标后，按照资金的用途，在把好审核关的基础上，按时按量按照资金预算进度及时拨付各项款项。人员经费、日常公用是按要求和规定给予支付，保障机关正常运转。</w:t>
      </w:r>
      <w:r>
        <w:rPr>
          <w:rFonts w:hint="eastAsia" w:ascii="Times New Roman" w:hAnsi="Times New Roman" w:eastAsia="仿宋_GB2312"/>
          <w:color w:val="000000"/>
          <w:sz w:val="32"/>
          <w:szCs w:val="32"/>
        </w:rPr>
        <w:t>加强</w:t>
      </w:r>
      <w:r>
        <w:rPr>
          <w:rFonts w:hint="eastAsia" w:ascii="Times New Roman" w:hAnsi="Times New Roman" w:eastAsia="仿宋_GB2312"/>
          <w:bCs w:val="0"/>
          <w:color w:val="000000"/>
          <w:sz w:val="32"/>
          <w:szCs w:val="32"/>
        </w:rPr>
        <w:t>“三公”经费管理，严格把支出控制在年初的预算指标内，严格按照中央八项规定、省、市“十项规定”和财务相关规定执行财政资金的管理和使用。</w:t>
      </w:r>
    </w:p>
    <w:p>
      <w:pPr>
        <w:widowControl/>
        <w:adjustRightInd w:val="0"/>
        <w:snapToGrid w:val="0"/>
        <w:spacing w:line="580" w:lineRule="exact"/>
        <w:ind w:firstLine="640" w:firstLineChars="200"/>
        <w:contextualSpacing/>
        <w:jc w:val="left"/>
        <w:rPr>
          <w:kern w:val="0"/>
          <w:sz w:val="32"/>
          <w:szCs w:val="32"/>
          <w:shd w:val="clear" w:color="auto" w:fill="FFFFFF"/>
          <w:lang w:val="zh-CN"/>
        </w:rPr>
      </w:pPr>
      <w:r>
        <w:rPr>
          <w:rFonts w:hint="eastAsia" w:ascii="CESI仿宋-GB2312" w:hAnsi="CESI仿宋-GB2312" w:eastAsia="CESI仿宋-GB2312" w:cs="CESI仿宋-GB2312"/>
          <w:color w:val="000000"/>
          <w:sz w:val="32"/>
          <w:szCs w:val="32"/>
          <w:lang w:eastAsia="zh-CN"/>
        </w:rPr>
        <w:t>202</w:t>
      </w:r>
      <w:r>
        <w:rPr>
          <w:rFonts w:hint="eastAsia" w:ascii="CESI仿宋-GB2312" w:hAnsi="CESI仿宋-GB2312" w:eastAsia="CESI仿宋-GB2312" w:cs="CESI仿宋-GB2312"/>
          <w:color w:val="000000"/>
          <w:sz w:val="32"/>
          <w:szCs w:val="32"/>
          <w:lang w:val="en-US" w:eastAsia="zh-CN"/>
        </w:rPr>
        <w:t>3</w:t>
      </w:r>
      <w:r>
        <w:rPr>
          <w:rFonts w:hint="eastAsia" w:ascii="Times New Roman" w:hAnsi="Times New Roman" w:eastAsia="仿宋_GB2312"/>
          <w:color w:val="000000"/>
          <w:sz w:val="32"/>
          <w:szCs w:val="32"/>
          <w:lang w:eastAsia="zh-CN"/>
        </w:rPr>
        <w:t>年</w:t>
      </w:r>
      <w:r>
        <w:rPr>
          <w:rFonts w:hint="eastAsia" w:ascii="Times New Roman" w:hAnsi="Times New Roman" w:eastAsia="仿宋_GB2312"/>
          <w:sz w:val="32"/>
          <w:szCs w:val="32"/>
        </w:rPr>
        <w:t>全年基本支出保证了部门的正常运行和日常工作的正常开展，项目支出保障了部门重点工作的实施，达到了预期绩效管理目标，</w:t>
      </w:r>
      <w:r>
        <w:rPr>
          <w:rFonts w:hint="eastAsia" w:ascii="CESI仿宋-GB2312" w:hAnsi="CESI仿宋-GB2312" w:eastAsia="CESI仿宋-GB2312" w:cs="CESI仿宋-GB2312"/>
          <w:sz w:val="32"/>
          <w:szCs w:val="32"/>
        </w:rPr>
        <w:t>自评</w:t>
      </w:r>
      <w:r>
        <w:rPr>
          <w:rFonts w:hint="eastAsia" w:ascii="CESI仿宋-GB2312" w:hAnsi="CESI仿宋-GB2312" w:eastAsia="CESI仿宋-GB2312" w:cs="CESI仿宋-GB2312"/>
          <w:sz w:val="32"/>
          <w:szCs w:val="32"/>
          <w:lang w:eastAsia="zh-CN"/>
        </w:rPr>
        <w:t>得分</w:t>
      </w:r>
      <w:r>
        <w:rPr>
          <w:rFonts w:hint="eastAsia" w:ascii="CESI仿宋-GB2312" w:hAnsi="CESI仿宋-GB2312" w:eastAsia="CESI仿宋-GB2312" w:cs="CESI仿宋-GB2312"/>
          <w:sz w:val="32"/>
          <w:szCs w:val="32"/>
          <w:lang w:val="en-US" w:eastAsia="zh-CN"/>
        </w:rPr>
        <w:t>98分</w:t>
      </w:r>
      <w:r>
        <w:rPr>
          <w:rFonts w:hint="eastAsia" w:ascii="CESI仿宋-GB2312" w:hAnsi="CESI仿宋-GB2312" w:eastAsia="CESI仿宋-GB2312" w:cs="CESI仿宋-GB2312"/>
          <w:sz w:val="32"/>
          <w:szCs w:val="32"/>
        </w:rPr>
        <w:t>。</w:t>
      </w:r>
    </w:p>
    <w:p>
      <w:pPr>
        <w:numPr>
          <w:ilvl w:val="0"/>
          <w:numId w:val="6"/>
        </w:numPr>
        <w:snapToGrid w:val="0"/>
        <w:spacing w:line="590" w:lineRule="atLeast"/>
        <w:ind w:firstLine="640" w:firstLineChars="200"/>
        <w:rPr>
          <w:kern w:val="0"/>
          <w:sz w:val="32"/>
          <w:szCs w:val="32"/>
          <w:shd w:val="clear" w:color="auto" w:fill="FFFFFF"/>
          <w:lang w:val="zh-CN"/>
        </w:rPr>
      </w:pPr>
      <w:r>
        <w:rPr>
          <w:kern w:val="0"/>
          <w:sz w:val="32"/>
          <w:szCs w:val="32"/>
          <w:shd w:val="clear" w:color="auto" w:fill="FFFFFF"/>
          <w:lang w:val="zh-CN"/>
        </w:rPr>
        <w:t>存在问题。</w:t>
      </w:r>
    </w:p>
    <w:p>
      <w:pPr>
        <w:numPr>
          <w:ilvl w:val="0"/>
          <w:numId w:val="0"/>
        </w:numPr>
        <w:snapToGrid w:val="0"/>
        <w:spacing w:line="590" w:lineRule="atLeast"/>
        <w:ind w:firstLine="640" w:firstLineChars="200"/>
        <w:rPr>
          <w:rFonts w:hint="eastAsia" w:ascii="CESI仿宋-GB2312" w:hAnsi="CESI仿宋-GB2312" w:eastAsia="CESI仿宋-GB2312" w:cs="CESI仿宋-GB2312"/>
          <w:bCs/>
          <w:sz w:val="32"/>
          <w:szCs w:val="32"/>
        </w:rPr>
      </w:pPr>
      <w:r>
        <w:rPr>
          <w:rFonts w:hint="default" w:ascii="Times New Roman" w:hAnsi="Times New Roman" w:eastAsia="仿宋_GB2312" w:cs="Times New Roman"/>
          <w:bCs/>
          <w:sz w:val="32"/>
          <w:szCs w:val="32"/>
        </w:rPr>
        <w:t>1.</w:t>
      </w:r>
      <w:r>
        <w:rPr>
          <w:rFonts w:hint="eastAsia" w:ascii="CESI仿宋-GB2312" w:hAnsi="CESI仿宋-GB2312" w:eastAsia="CESI仿宋-GB2312" w:cs="CESI仿宋-GB2312"/>
          <w:bCs/>
          <w:sz w:val="32"/>
          <w:szCs w:val="32"/>
        </w:rPr>
        <w:t>内部控制制度不够健全。内控制度基本明确了相关业务岗位的有关风险等级和风险防控措施，但相关</w:t>
      </w:r>
      <w:r>
        <w:rPr>
          <w:rFonts w:hint="eastAsia" w:ascii="CESI仿宋-GB2312" w:hAnsi="CESI仿宋-GB2312" w:eastAsia="CESI仿宋-GB2312" w:cs="CESI仿宋-GB2312"/>
          <w:bCs/>
          <w:sz w:val="32"/>
          <w:szCs w:val="32"/>
          <w:lang w:eastAsia="zh-CN"/>
        </w:rPr>
        <w:t>业务</w:t>
      </w:r>
      <w:r>
        <w:rPr>
          <w:rFonts w:hint="eastAsia" w:ascii="CESI仿宋-GB2312" w:hAnsi="CESI仿宋-GB2312" w:eastAsia="CESI仿宋-GB2312" w:cs="CESI仿宋-GB2312"/>
          <w:bCs/>
          <w:sz w:val="32"/>
          <w:szCs w:val="32"/>
        </w:rPr>
        <w:t>股室领会认识不</w:t>
      </w:r>
      <w:r>
        <w:rPr>
          <w:rFonts w:hint="eastAsia" w:ascii="CESI仿宋-GB2312" w:hAnsi="CESI仿宋-GB2312" w:eastAsia="CESI仿宋-GB2312" w:cs="CESI仿宋-GB2312"/>
          <w:bCs/>
          <w:sz w:val="32"/>
          <w:szCs w:val="32"/>
          <w:lang w:eastAsia="zh-CN"/>
        </w:rPr>
        <w:t>足</w:t>
      </w:r>
      <w:r>
        <w:rPr>
          <w:rFonts w:hint="eastAsia" w:ascii="CESI仿宋-GB2312" w:hAnsi="CESI仿宋-GB2312" w:eastAsia="CESI仿宋-GB2312" w:cs="CESI仿宋-GB2312"/>
          <w:bCs/>
          <w:sz w:val="32"/>
          <w:szCs w:val="32"/>
        </w:rPr>
        <w:t xml:space="preserve">，履行职能职责还不是很到位。  </w:t>
      </w:r>
    </w:p>
    <w:p>
      <w:pPr>
        <w:snapToGrid w:val="0"/>
        <w:spacing w:line="590" w:lineRule="atLeast"/>
        <w:ind w:firstLine="640" w:firstLineChars="200"/>
        <w:rPr>
          <w:rFonts w:hint="eastAsia" w:ascii="CESI仿宋-GB2312" w:hAnsi="CESI仿宋-GB2312" w:eastAsia="CESI仿宋-GB2312" w:cs="CESI仿宋-GB2312"/>
          <w:kern w:val="0"/>
          <w:sz w:val="32"/>
          <w:szCs w:val="32"/>
          <w:shd w:val="clear" w:color="auto" w:fill="FFFFFF"/>
          <w:lang w:val="zh-CN"/>
        </w:rPr>
      </w:pPr>
      <w:r>
        <w:rPr>
          <w:rFonts w:hint="eastAsia" w:ascii="CESI仿宋-GB2312" w:hAnsi="CESI仿宋-GB2312" w:eastAsia="CESI仿宋-GB2312" w:cs="CESI仿宋-GB2312"/>
          <w:bCs/>
          <w:sz w:val="32"/>
          <w:szCs w:val="32"/>
        </w:rPr>
        <w:t>2.财务人员业务能力</w:t>
      </w:r>
      <w:r>
        <w:rPr>
          <w:rFonts w:hint="eastAsia" w:ascii="CESI仿宋-GB2312" w:hAnsi="CESI仿宋-GB2312" w:eastAsia="CESI仿宋-GB2312" w:cs="CESI仿宋-GB2312"/>
          <w:bCs/>
          <w:sz w:val="32"/>
          <w:szCs w:val="32"/>
          <w:lang w:eastAsia="zh-CN"/>
        </w:rPr>
        <w:t>不足</w:t>
      </w:r>
      <w:r>
        <w:rPr>
          <w:rFonts w:hint="eastAsia" w:ascii="CESI仿宋-GB2312" w:hAnsi="CESI仿宋-GB2312" w:eastAsia="CESI仿宋-GB2312" w:cs="CESI仿宋-GB2312"/>
          <w:bCs/>
          <w:sz w:val="32"/>
          <w:szCs w:val="32"/>
        </w:rPr>
        <w:t>。在会计核算工作中，财务人员欠缺整体联动和统筹结合的逻辑运用能力，业务能力有待进一步增强。</w:t>
      </w:r>
    </w:p>
    <w:p>
      <w:pPr>
        <w:snapToGrid w:val="0"/>
        <w:spacing w:line="590" w:lineRule="atLeast"/>
        <w:ind w:firstLine="640" w:firstLineChars="200"/>
        <w:rPr>
          <w:kern w:val="0"/>
          <w:sz w:val="32"/>
          <w:szCs w:val="32"/>
          <w:shd w:val="clear" w:color="auto" w:fill="FFFFFF"/>
          <w:lang w:val="zh-CN"/>
        </w:rPr>
      </w:pPr>
      <w:r>
        <w:rPr>
          <w:kern w:val="0"/>
          <w:sz w:val="32"/>
          <w:szCs w:val="32"/>
          <w:shd w:val="clear" w:color="auto" w:fill="FFFFFF"/>
          <w:lang w:val="zh-CN"/>
        </w:rPr>
        <w:t>（三）改进建议。</w:t>
      </w:r>
    </w:p>
    <w:p>
      <w:pPr>
        <w:snapToGrid w:val="0"/>
        <w:spacing w:line="590" w:lineRule="atLeast"/>
        <w:ind w:firstLine="640" w:firstLineChars="200"/>
        <w:rPr>
          <w:rFonts w:hint="eastAsia" w:ascii="CESI仿宋-GB2312" w:hAnsi="CESI仿宋-GB2312" w:eastAsia="CESI仿宋-GB2312" w:cs="CESI仿宋-GB2312"/>
          <w:bCs/>
          <w:sz w:val="32"/>
          <w:szCs w:val="32"/>
        </w:rPr>
      </w:pPr>
      <w:r>
        <w:rPr>
          <w:rFonts w:hint="eastAsia" w:ascii="CESI仿宋-GB2312" w:hAnsi="CESI仿宋-GB2312" w:eastAsia="CESI仿宋-GB2312" w:cs="CESI仿宋-GB2312"/>
          <w:bCs/>
          <w:sz w:val="32"/>
          <w:szCs w:val="32"/>
        </w:rPr>
        <w:t>1.加强内部控制，突出风险防控。建立健全内部监督管理制度，完善业务流程，将制衡机制嵌入部门内部管理各环节，建立起决策、执行和监督相互分离、相互制约的长效机制。</w:t>
      </w:r>
    </w:p>
    <w:p>
      <w:pPr>
        <w:snapToGrid w:val="0"/>
        <w:spacing w:line="590" w:lineRule="atLeast"/>
        <w:ind w:firstLine="640" w:firstLineChars="200"/>
        <w:rPr>
          <w:rFonts w:hint="eastAsia" w:ascii="CESI仿宋-GB2312" w:hAnsi="CESI仿宋-GB2312" w:eastAsia="CESI仿宋-GB2312" w:cs="CESI仿宋-GB2312"/>
          <w:bCs/>
          <w:sz w:val="32"/>
          <w:szCs w:val="32"/>
        </w:rPr>
      </w:pPr>
      <w:r>
        <w:rPr>
          <w:rFonts w:hint="eastAsia" w:ascii="CESI仿宋-GB2312" w:hAnsi="CESI仿宋-GB2312" w:eastAsia="CESI仿宋-GB2312" w:cs="CESI仿宋-GB2312"/>
          <w:bCs/>
          <w:sz w:val="32"/>
          <w:szCs w:val="32"/>
        </w:rPr>
        <w:t>2.定期组织培训，不断提高财务人员</w:t>
      </w:r>
      <w:r>
        <w:rPr>
          <w:rFonts w:hint="eastAsia" w:ascii="CESI仿宋-GB2312" w:hAnsi="CESI仿宋-GB2312" w:eastAsia="CESI仿宋-GB2312" w:cs="CESI仿宋-GB2312"/>
          <w:bCs/>
          <w:sz w:val="32"/>
          <w:szCs w:val="32"/>
          <w:lang w:eastAsia="zh-CN"/>
        </w:rPr>
        <w:t>业务</w:t>
      </w:r>
      <w:r>
        <w:rPr>
          <w:rFonts w:hint="eastAsia" w:ascii="CESI仿宋-GB2312" w:hAnsi="CESI仿宋-GB2312" w:eastAsia="CESI仿宋-GB2312" w:cs="CESI仿宋-GB2312"/>
          <w:bCs/>
          <w:sz w:val="32"/>
          <w:szCs w:val="32"/>
        </w:rPr>
        <w:t>能力。以不断提升财务管理工作能力为目标，进一步加强学习各项财经制度，大力提升财务人员综合能力。</w:t>
      </w:r>
    </w:p>
    <w:p>
      <w:pPr>
        <w:widowControl/>
        <w:adjustRightInd w:val="0"/>
        <w:snapToGrid w:val="0"/>
        <w:spacing w:line="580" w:lineRule="exact"/>
        <w:ind w:firstLine="640" w:firstLineChars="200"/>
        <w:contextualSpacing/>
        <w:jc w:val="left"/>
        <w:rPr>
          <w:rFonts w:hint="eastAsia" w:ascii="CESI仿宋-GB2312" w:hAnsi="CESI仿宋-GB2312" w:eastAsia="CESI仿宋-GB2312" w:cs="CESI仿宋-GB2312"/>
          <w:color w:val="000000"/>
          <w:kern w:val="0"/>
          <w:sz w:val="32"/>
          <w:szCs w:val="32"/>
          <w:shd w:val="clear" w:color="auto" w:fill="FFFFFF"/>
          <w:lang w:val="zh-CN"/>
        </w:rPr>
      </w:pPr>
      <w:r>
        <w:rPr>
          <w:rFonts w:hint="eastAsia" w:ascii="CESI仿宋-GB2312" w:hAnsi="CESI仿宋-GB2312" w:eastAsia="CESI仿宋-GB2312" w:cs="CESI仿宋-GB2312"/>
          <w:sz w:val="32"/>
          <w:szCs w:val="32"/>
          <w:lang w:val="zh-CN"/>
        </w:rPr>
        <w:t>3.进一步加强预算编制，早部署早谋划，提高预算编制的精准性，严格预算调整，项目实施分类管理，明确经费保障范围。</w:t>
      </w:r>
    </w:p>
    <w:p>
      <w:pPr>
        <w:widowControl/>
        <w:adjustRightInd w:val="0"/>
        <w:snapToGrid w:val="0"/>
        <w:spacing w:line="580" w:lineRule="exact"/>
        <w:ind w:firstLine="640" w:firstLineChars="200"/>
        <w:contextualSpacing/>
        <w:jc w:val="left"/>
        <w:rPr>
          <w:kern w:val="0"/>
          <w:sz w:val="32"/>
          <w:szCs w:val="32"/>
          <w:shd w:val="clear" w:color="auto" w:fill="FFFFFF"/>
          <w:lang w:val="zh-CN"/>
        </w:rPr>
      </w:pPr>
      <w:r>
        <w:rPr>
          <w:rFonts w:hint="eastAsia" w:hAnsi="Times New Roman"/>
          <w:sz w:val="32"/>
          <w:lang w:val="zh-CN"/>
        </w:rPr>
        <w:t>附表：</w:t>
      </w:r>
      <w:r>
        <w:rPr>
          <w:rFonts w:hint="eastAsia" w:hAnsi="Times New Roman"/>
          <w:sz w:val="32"/>
        </w:rPr>
        <w:t>部门预算项目支出绩效自评表（202</w:t>
      </w:r>
      <w:r>
        <w:rPr>
          <w:rFonts w:hint="eastAsia"/>
          <w:sz w:val="32"/>
        </w:rPr>
        <w:t>3</w:t>
      </w:r>
      <w:r>
        <w:rPr>
          <w:rFonts w:hint="eastAsia" w:hAnsi="Times New Roman"/>
          <w:sz w:val="32"/>
        </w:rPr>
        <w:t>年度）</w:t>
      </w:r>
    </w:p>
    <w:p>
      <w:pPr>
        <w:pStyle w:val="8"/>
        <w:spacing w:line="560" w:lineRule="exact"/>
        <w:ind w:leftChars="0" w:firstLine="640"/>
        <w:rPr>
          <w:rFonts w:hint="eastAsia" w:hAnsi="Times New Roman"/>
          <w:sz w:val="32"/>
          <w:lang w:val="zh-CN"/>
        </w:rPr>
      </w:pPr>
    </w:p>
    <w:p>
      <w:pPr>
        <w:rPr>
          <w:rFonts w:ascii="黑体" w:hAnsi="黑体" w:eastAsia="黑体"/>
          <w:sz w:val="32"/>
          <w:szCs w:val="32"/>
        </w:rPr>
      </w:pPr>
    </w:p>
    <w:p>
      <w:pPr>
        <w:pStyle w:val="5"/>
      </w:pPr>
    </w:p>
    <w:p>
      <w:pPr>
        <w:pStyle w:val="5"/>
      </w:pPr>
    </w:p>
    <w:p/>
    <w:p>
      <w:pPr>
        <w:pStyle w:val="5"/>
      </w:pPr>
    </w:p>
    <w:p/>
    <w:p>
      <w:pPr>
        <w:pStyle w:val="5"/>
      </w:pPr>
    </w:p>
    <w:p/>
    <w:p>
      <w:pPr>
        <w:pStyle w:val="5"/>
      </w:pPr>
    </w:p>
    <w:p/>
    <w:p>
      <w:pPr>
        <w:pStyle w:val="5"/>
      </w:pPr>
    </w:p>
    <w:p/>
    <w:p>
      <w:pPr>
        <w:pStyle w:val="5"/>
      </w:pPr>
    </w:p>
    <w:p/>
    <w:p>
      <w:pPr>
        <w:pStyle w:val="5"/>
      </w:pPr>
    </w:p>
    <w:p/>
    <w:p>
      <w:pPr>
        <w:pStyle w:val="5"/>
      </w:pPr>
    </w:p>
    <w:p/>
    <w:p>
      <w:pPr>
        <w:pStyle w:val="5"/>
      </w:pPr>
    </w:p>
    <w:p/>
    <w:p>
      <w:pPr>
        <w:pStyle w:val="6"/>
        <w:rPr>
          <w:rFonts w:hint="eastAsia" w:ascii="黑体" w:hAnsi="黑体" w:eastAsia="黑体" w:cs="黑体"/>
          <w:kern w:val="0"/>
          <w:sz w:val="32"/>
          <w:szCs w:val="32"/>
          <w:shd w:val="clear" w:color="auto" w:fill="FFFFFF"/>
          <w:lang w:val="zh-CN"/>
        </w:rPr>
      </w:pPr>
    </w:p>
    <w:p>
      <w:pPr>
        <w:pStyle w:val="6"/>
        <w:rPr>
          <w:rFonts w:hint="eastAsia" w:ascii="黑体" w:hAnsi="黑体" w:eastAsia="黑体" w:cs="黑体"/>
          <w:kern w:val="0"/>
          <w:sz w:val="32"/>
          <w:szCs w:val="32"/>
          <w:shd w:val="clear" w:color="auto" w:fill="FFFFFF"/>
          <w:lang w:val="zh-CN"/>
        </w:rPr>
      </w:pPr>
    </w:p>
    <w:p>
      <w:pPr>
        <w:pStyle w:val="6"/>
        <w:rPr>
          <w:rFonts w:hint="eastAsia" w:ascii="黑体" w:hAnsi="黑体" w:eastAsia="黑体" w:cs="黑体"/>
          <w:kern w:val="0"/>
          <w:sz w:val="32"/>
          <w:szCs w:val="32"/>
          <w:shd w:val="clear" w:color="auto" w:fill="FFFFFF"/>
          <w:lang w:val="zh-CN"/>
        </w:rPr>
      </w:pPr>
    </w:p>
    <w:p>
      <w:pPr>
        <w:pStyle w:val="6"/>
        <w:rPr>
          <w:rFonts w:hint="eastAsia" w:ascii="黑体" w:hAnsi="黑体" w:eastAsia="黑体" w:cs="黑体"/>
          <w:sz w:val="32"/>
          <w:szCs w:val="32"/>
        </w:rPr>
      </w:pPr>
      <w:r>
        <w:rPr>
          <w:rFonts w:hint="eastAsia" w:ascii="黑体" w:hAnsi="黑体" w:eastAsia="黑体" w:cs="黑体"/>
          <w:kern w:val="0"/>
          <w:sz w:val="32"/>
          <w:szCs w:val="32"/>
          <w:shd w:val="clear" w:color="auto" w:fill="FFFFFF"/>
          <w:lang w:val="zh-CN"/>
        </w:rPr>
        <w:t>附件</w:t>
      </w:r>
      <w:r>
        <w:rPr>
          <w:rFonts w:hint="eastAsia" w:ascii="黑体" w:hAnsi="黑体" w:eastAsia="黑体" w:cs="黑体"/>
          <w:kern w:val="0"/>
          <w:sz w:val="32"/>
          <w:szCs w:val="32"/>
          <w:shd w:val="clear" w:color="auto" w:fill="FFFFFF"/>
        </w:rPr>
        <w:t>2</w:t>
      </w:r>
    </w:p>
    <w:p>
      <w:pPr>
        <w:pStyle w:val="36"/>
        <w:spacing w:line="578" w:lineRule="exact"/>
        <w:jc w:val="center"/>
        <w:rPr>
          <w:rFonts w:hint="eastAsia" w:ascii="方正小标宋简体" w:hAnsi="方正小标宋简体" w:eastAsia="方正小标宋简体" w:cs="方正小标宋简体"/>
          <w:color w:val="auto"/>
          <w:kern w:val="2"/>
          <w:sz w:val="44"/>
          <w:szCs w:val="44"/>
          <w:lang w:val="en-US"/>
        </w:rPr>
      </w:pPr>
    </w:p>
    <w:p>
      <w:pPr>
        <w:pStyle w:val="36"/>
        <w:spacing w:line="578" w:lineRule="exact"/>
        <w:jc w:val="center"/>
        <w:rPr>
          <w:rFonts w:hint="eastAsia"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专项预算</w:t>
      </w:r>
      <w:r>
        <w:rPr>
          <w:rFonts w:hint="eastAsia" w:ascii="方正小标宋_GBK" w:hAnsi="方正小标宋_GBK" w:eastAsia="方正小标宋_GBK" w:cs="方正小标宋_GBK"/>
          <w:kern w:val="2"/>
          <w:sz w:val="44"/>
          <w:szCs w:val="44"/>
          <w:lang w:val="en-US" w:eastAsia="zh-CN" w:bidi="ar"/>
        </w:rPr>
        <w:t>基本公共卫生服务</w:t>
      </w:r>
      <w:r>
        <w:rPr>
          <w:rFonts w:hint="eastAsia" w:ascii="方正小标宋简体" w:hAnsi="方正小标宋简体" w:eastAsia="方正小标宋简体" w:cs="方正小标宋简体"/>
          <w:color w:val="auto"/>
          <w:kern w:val="2"/>
          <w:sz w:val="44"/>
          <w:szCs w:val="44"/>
          <w:lang w:val="en-US"/>
        </w:rPr>
        <w:t>项目</w:t>
      </w:r>
    </w:p>
    <w:p>
      <w:pPr>
        <w:pStyle w:val="36"/>
        <w:spacing w:line="578" w:lineRule="exact"/>
        <w:jc w:val="center"/>
        <w:rPr>
          <w:rFonts w:hint="eastAsia" w:ascii="方正小标宋简体" w:hAnsi="方正小标宋简体" w:eastAsia="方正小标宋简体" w:cs="方正小标宋简体"/>
          <w:color w:val="auto"/>
          <w:kern w:val="2"/>
          <w:sz w:val="44"/>
          <w:szCs w:val="44"/>
          <w:lang w:val="en-US" w:eastAsia="zh-CN"/>
        </w:rPr>
      </w:pPr>
      <w:r>
        <w:rPr>
          <w:rFonts w:hint="eastAsia" w:ascii="方正小标宋简体" w:hAnsi="方正小标宋简体" w:eastAsia="方正小标宋简体" w:cs="方正小标宋简体"/>
          <w:color w:val="auto"/>
          <w:kern w:val="2"/>
          <w:sz w:val="44"/>
          <w:szCs w:val="44"/>
          <w:lang w:val="en-US"/>
        </w:rPr>
        <w:t>绩效评价</w:t>
      </w:r>
      <w:r>
        <w:rPr>
          <w:rFonts w:hint="eastAsia" w:ascii="方正小标宋简体" w:hAnsi="方正小标宋简体" w:eastAsia="方正小标宋简体" w:cs="方正小标宋简体"/>
          <w:color w:val="auto"/>
          <w:kern w:val="2"/>
          <w:sz w:val="44"/>
          <w:szCs w:val="44"/>
          <w:lang w:val="en-US" w:eastAsia="zh-CN"/>
        </w:rPr>
        <w:t>报告</w:t>
      </w:r>
    </w:p>
    <w:p>
      <w:pPr>
        <w:pStyle w:val="36"/>
        <w:spacing w:line="578" w:lineRule="exact"/>
        <w:ind w:firstLine="640"/>
        <w:jc w:val="center"/>
        <w:rPr>
          <w:rFonts w:ascii="宋体" w:hAnsi="宋体"/>
          <w:color w:val="auto"/>
          <w:kern w:val="2"/>
          <w:sz w:val="32"/>
          <w:szCs w:val="32"/>
        </w:rPr>
      </w:pPr>
    </w:p>
    <w:p>
      <w:pPr>
        <w:adjustRightInd w:val="0"/>
        <w:snapToGrid w:val="0"/>
        <w:spacing w:line="578"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spacing w:line="560" w:lineRule="exact"/>
        <w:ind w:left="210" w:leftChars="100" w:firstLine="321" w:firstLineChars="100"/>
        <w:rPr>
          <w:rFonts w:hint="eastAsia" w:ascii="CESI仿宋-GB2312" w:hAnsi="CESI仿宋-GB2312" w:eastAsia="CESI仿宋-GB2312" w:cs="CESI仿宋-GB2312"/>
          <w:b/>
          <w:bCs/>
          <w:sz w:val="32"/>
          <w:szCs w:val="32"/>
          <w:lang w:val="zh-CN"/>
        </w:rPr>
      </w:pPr>
      <w:r>
        <w:rPr>
          <w:rFonts w:hint="eastAsia" w:ascii="CESI仿宋-GB2312" w:hAnsi="CESI仿宋-GB2312" w:eastAsia="CESI仿宋-GB2312" w:cs="CESI仿宋-GB2312"/>
          <w:b/>
          <w:bCs/>
          <w:sz w:val="32"/>
          <w:szCs w:val="32"/>
        </w:rPr>
        <w:t>1.</w:t>
      </w:r>
      <w:r>
        <w:rPr>
          <w:rFonts w:hint="eastAsia" w:ascii="CESI仿宋-GB2312" w:hAnsi="CESI仿宋-GB2312" w:eastAsia="CESI仿宋-GB2312" w:cs="CESI仿宋-GB2312"/>
          <w:b/>
          <w:bCs/>
          <w:sz w:val="32"/>
          <w:szCs w:val="32"/>
          <w:lang w:val="zh-CN"/>
        </w:rPr>
        <w:t>说明项目主管部门（单位）在该项目管理中的职能。</w:t>
      </w:r>
    </w:p>
    <w:p>
      <w:pPr>
        <w:spacing w:line="560" w:lineRule="exact"/>
        <w:ind w:firstLine="640" w:firstLineChars="200"/>
        <w:rPr>
          <w:rFonts w:hint="eastAsia" w:ascii="CESI仿宋-GB2312" w:hAnsi="CESI仿宋-GB2312" w:eastAsia="CESI仿宋-GB2312" w:cs="CESI仿宋-GB2312"/>
          <w:b w:val="0"/>
          <w:bCs/>
          <w:sz w:val="32"/>
          <w:szCs w:val="32"/>
          <w:lang w:val="zh-CN" w:eastAsia="zh-CN"/>
        </w:rPr>
      </w:pPr>
      <w:r>
        <w:rPr>
          <w:rFonts w:hint="eastAsia" w:ascii="CESI仿宋-GB2312" w:hAnsi="CESI仿宋-GB2312" w:eastAsia="CESI仿宋-GB2312" w:cs="CESI仿宋-GB2312"/>
          <w:b w:val="0"/>
          <w:bCs/>
          <w:sz w:val="32"/>
          <w:szCs w:val="32"/>
          <w:lang w:val="zh-CN" w:eastAsia="zh-CN"/>
        </w:rPr>
        <w:t>县卫生健康局各相关股室负责制定基本公共卫生服务项目、地方病防治、农村妇女“两癌”筛查、免费孕前优生健康检查、老年健康与医养结合服务项目、双随机、计划生育服务补助、健康教育宣传等项目实施方案、考核细则、拟定项目计划和目标、成立项目技术指导小组、组织人员培训、技术指导、检查督导、绩效考核。</w:t>
      </w:r>
    </w:p>
    <w:p>
      <w:pPr>
        <w:adjustRightInd w:val="0"/>
        <w:snapToGrid w:val="0"/>
        <w:spacing w:line="600" w:lineRule="exact"/>
        <w:ind w:firstLine="720"/>
        <w:rPr>
          <w:rFonts w:hint="eastAsia" w:ascii="CESI仿宋-GB2312" w:hAnsi="CESI仿宋-GB2312" w:eastAsia="CESI仿宋-GB2312" w:cs="CESI仿宋-GB2312"/>
          <w:b/>
          <w:bCs/>
          <w:sz w:val="32"/>
          <w:szCs w:val="32"/>
          <w:lang w:val="zh-CN"/>
        </w:rPr>
      </w:pPr>
      <w:r>
        <w:rPr>
          <w:rFonts w:hint="eastAsia" w:ascii="CESI仿宋-GB2312" w:hAnsi="CESI仿宋-GB2312" w:eastAsia="CESI仿宋-GB2312" w:cs="CESI仿宋-GB2312"/>
          <w:b/>
          <w:bCs/>
          <w:sz w:val="32"/>
          <w:szCs w:val="32"/>
        </w:rPr>
        <w:t>2.</w:t>
      </w:r>
      <w:r>
        <w:rPr>
          <w:rFonts w:hint="eastAsia" w:ascii="CESI仿宋-GB2312" w:hAnsi="CESI仿宋-GB2312" w:eastAsia="CESI仿宋-GB2312" w:cs="CESI仿宋-GB2312"/>
          <w:b/>
          <w:bCs/>
          <w:sz w:val="32"/>
          <w:szCs w:val="32"/>
          <w:lang w:val="zh-CN"/>
        </w:rPr>
        <w:t>项目立项、资金申报的依据。</w:t>
      </w:r>
    </w:p>
    <w:p>
      <w:pPr>
        <w:spacing w:line="560" w:lineRule="exact"/>
        <w:ind w:firstLine="640" w:firstLineChars="200"/>
        <w:rPr>
          <w:rFonts w:hint="eastAsia" w:ascii="CESI仿宋-GB2312" w:hAnsi="CESI仿宋-GB2312" w:eastAsia="CESI仿宋-GB2312" w:cs="CESI仿宋-GB2312"/>
          <w:b w:val="0"/>
          <w:bCs/>
          <w:sz w:val="32"/>
          <w:szCs w:val="32"/>
          <w:lang w:val="en-US" w:eastAsia="zh-CN"/>
        </w:rPr>
      </w:pPr>
      <w:r>
        <w:rPr>
          <w:rFonts w:hint="eastAsia" w:ascii="CESI仿宋-GB2312" w:hAnsi="CESI仿宋-GB2312" w:eastAsia="CESI仿宋-GB2312" w:cs="CESI仿宋-GB2312"/>
          <w:b w:val="0"/>
          <w:bCs/>
          <w:sz w:val="32"/>
          <w:szCs w:val="32"/>
          <w:lang w:val="zh-CN" w:eastAsia="zh-CN"/>
        </w:rPr>
        <w:t>依据《国家基本公共卫生服务项目规范（第三版）》、《四川省基本公共卫生服务项目管理手册》《四川省财政厅 四川省卫生健康委员会 四川省医疗保障局 四川省中医药管理局关于印发公共卫生等5项补助资金管理办法的通知》〔川财社（2022）112号〕等文件，印发《盐边县20</w:t>
      </w:r>
      <w:r>
        <w:rPr>
          <w:rFonts w:hint="eastAsia" w:ascii="CESI仿宋-GB2312" w:hAnsi="CESI仿宋-GB2312" w:eastAsia="CESI仿宋-GB2312" w:cs="CESI仿宋-GB2312"/>
          <w:b w:val="0"/>
          <w:bCs/>
          <w:sz w:val="32"/>
          <w:szCs w:val="32"/>
          <w:lang w:val="en-US" w:eastAsia="zh-CN"/>
        </w:rPr>
        <w:t>23</w:t>
      </w:r>
      <w:r>
        <w:rPr>
          <w:rFonts w:hint="eastAsia" w:ascii="CESI仿宋-GB2312" w:hAnsi="CESI仿宋-GB2312" w:eastAsia="CESI仿宋-GB2312" w:cs="CESI仿宋-GB2312"/>
          <w:b w:val="0"/>
          <w:bCs/>
          <w:sz w:val="32"/>
          <w:szCs w:val="32"/>
          <w:lang w:val="zh-CN" w:eastAsia="zh-CN"/>
        </w:rPr>
        <w:t>年基本公共卫生服务项目实施方案》《盐边县</w:t>
      </w:r>
      <w:r>
        <w:rPr>
          <w:rFonts w:hint="eastAsia" w:ascii="CESI仿宋-GB2312" w:hAnsi="CESI仿宋-GB2312" w:eastAsia="CESI仿宋-GB2312" w:cs="CESI仿宋-GB2312"/>
          <w:b w:val="0"/>
          <w:bCs/>
          <w:sz w:val="32"/>
          <w:szCs w:val="32"/>
          <w:lang w:val="en-US" w:eastAsia="zh-CN"/>
        </w:rPr>
        <w:t>2023年度基本公共卫生服务项目绩效考核方案</w:t>
      </w:r>
      <w:r>
        <w:rPr>
          <w:rFonts w:hint="eastAsia" w:ascii="CESI仿宋-GB2312" w:hAnsi="CESI仿宋-GB2312" w:eastAsia="CESI仿宋-GB2312" w:cs="CESI仿宋-GB2312"/>
          <w:b w:val="0"/>
          <w:bCs/>
          <w:sz w:val="32"/>
          <w:szCs w:val="32"/>
          <w:lang w:val="zh-CN" w:eastAsia="zh-CN"/>
        </w:rPr>
        <w:t>》等方案。</w:t>
      </w:r>
    </w:p>
    <w:p>
      <w:pPr>
        <w:spacing w:line="560" w:lineRule="exact"/>
        <w:ind w:firstLine="643" w:firstLineChars="200"/>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3.</w:t>
      </w:r>
      <w:r>
        <w:rPr>
          <w:rFonts w:hint="eastAsia" w:ascii="CESI仿宋-GB2312" w:hAnsi="CESI仿宋-GB2312" w:eastAsia="CESI仿宋-GB2312" w:cs="CESI仿宋-GB2312"/>
          <w:b/>
          <w:bCs/>
          <w:sz w:val="32"/>
          <w:szCs w:val="32"/>
          <w:lang w:val="zh-CN"/>
        </w:rPr>
        <w:t>资金管理办法制定情况，资金支持具体项目的条件、范围与支持方式概况。</w:t>
      </w:r>
    </w:p>
    <w:p>
      <w:pPr>
        <w:spacing w:line="560" w:lineRule="exact"/>
        <w:ind w:firstLine="640" w:firstLineChars="200"/>
        <w:rPr>
          <w:rFonts w:hint="eastAsia" w:ascii="CESI仿宋-GB2312" w:hAnsi="CESI仿宋-GB2312" w:eastAsia="CESI仿宋-GB2312" w:cs="CESI仿宋-GB2312"/>
          <w:b w:val="0"/>
          <w:bCs/>
          <w:sz w:val="32"/>
          <w:szCs w:val="32"/>
          <w:lang w:val="zh-CN" w:eastAsia="zh-CN"/>
        </w:rPr>
      </w:pPr>
      <w:r>
        <w:rPr>
          <w:rFonts w:hint="eastAsia" w:ascii="CESI仿宋-GB2312" w:hAnsi="CESI仿宋-GB2312" w:eastAsia="CESI仿宋-GB2312" w:cs="CESI仿宋-GB2312"/>
          <w:b w:val="0"/>
          <w:bCs/>
          <w:sz w:val="32"/>
          <w:szCs w:val="32"/>
          <w:lang w:val="zh-CN" w:eastAsia="zh-CN"/>
        </w:rPr>
        <w:t>按照《四川省基本公共卫生服务项目成本核算指导意见》《四川省财政厅 四川省卫生健康委员会 四川省医疗保障局 四川省中医药管理局关于印发公共卫生等5项补助资金管理办法的通知》〔川财社（2022）112号〕及</w:t>
      </w:r>
      <w:r>
        <w:rPr>
          <w:rFonts w:hint="eastAsia" w:ascii="CESI仿宋-GB2312" w:hAnsi="CESI仿宋-GB2312" w:eastAsia="CESI仿宋-GB2312" w:cs="CESI仿宋-GB2312"/>
          <w:sz w:val="32"/>
          <w:szCs w:val="32"/>
          <w:lang w:val="en-US" w:eastAsia="zh-CN"/>
        </w:rPr>
        <w:t>按照地方病防治实施方案及省、市对地方病工作相关要求，</w:t>
      </w:r>
      <w:r>
        <w:rPr>
          <w:rFonts w:hint="eastAsia" w:ascii="CESI仿宋-GB2312" w:hAnsi="CESI仿宋-GB2312" w:eastAsia="CESI仿宋-GB2312" w:cs="CESI仿宋-GB2312"/>
          <w:b w:val="0"/>
          <w:bCs/>
          <w:sz w:val="32"/>
          <w:szCs w:val="32"/>
          <w:lang w:val="zh-CN" w:eastAsia="zh-CN"/>
        </w:rPr>
        <w:t>对各乡（镇）、乡（镇）卫生院、社区卫生服务中心、村卫生室进行考核，按照上级下达人口数进行项目测算，项目完成按照</w:t>
      </w:r>
      <w:r>
        <w:rPr>
          <w:rFonts w:hint="eastAsia" w:ascii="CESI仿宋-GB2312" w:hAnsi="CESI仿宋-GB2312" w:eastAsia="CESI仿宋-GB2312" w:cs="CESI仿宋-GB2312"/>
          <w:b w:val="0"/>
          <w:bCs/>
          <w:sz w:val="32"/>
          <w:szCs w:val="32"/>
          <w:lang w:val="en-US" w:eastAsia="zh-CN"/>
        </w:rPr>
        <w:t>100%比例进行经费拨付</w:t>
      </w:r>
      <w:r>
        <w:rPr>
          <w:rFonts w:hint="eastAsia" w:ascii="CESI仿宋-GB2312" w:hAnsi="CESI仿宋-GB2312" w:eastAsia="CESI仿宋-GB2312" w:cs="CESI仿宋-GB2312"/>
          <w:b w:val="0"/>
          <w:bCs/>
          <w:sz w:val="32"/>
          <w:szCs w:val="32"/>
          <w:lang w:val="zh-CN" w:eastAsia="zh-CN"/>
        </w:rPr>
        <w:t>。</w:t>
      </w:r>
    </w:p>
    <w:p>
      <w:pPr>
        <w:spacing w:line="560" w:lineRule="exact"/>
        <w:ind w:firstLine="643" w:firstLineChars="200"/>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4.</w:t>
      </w:r>
      <w:r>
        <w:rPr>
          <w:rFonts w:hint="eastAsia" w:ascii="CESI仿宋-GB2312" w:hAnsi="CESI仿宋-GB2312" w:eastAsia="CESI仿宋-GB2312" w:cs="CESI仿宋-GB2312"/>
          <w:b/>
          <w:bCs/>
          <w:sz w:val="32"/>
          <w:szCs w:val="32"/>
          <w:lang w:val="zh-CN"/>
        </w:rPr>
        <w:t>资金分配的原则及考虑因素。</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CESI仿宋-GB2312" w:hAnsi="CESI仿宋-GB2312" w:eastAsia="CESI仿宋-GB2312" w:cs="CESI仿宋-GB2312"/>
          <w:b w:val="0"/>
          <w:bCs/>
          <w:sz w:val="32"/>
          <w:szCs w:val="32"/>
          <w:lang w:val="zh-CN" w:eastAsia="zh-CN"/>
        </w:rPr>
        <w:t>该项目资金按照完成数量、质量、群众满意度等综合考虑，不单以完成数量进行拨付。</w:t>
      </w:r>
      <w:r>
        <w:rPr>
          <w:rFonts w:hint="eastAsia" w:ascii="CESI仿宋-GB2312" w:hAnsi="CESI仿宋-GB2312" w:eastAsia="CESI仿宋-GB2312" w:cs="CESI仿宋-GB2312"/>
          <w:b w:val="0"/>
          <w:bCs/>
          <w:sz w:val="32"/>
          <w:szCs w:val="32"/>
          <w:lang w:val="en-US" w:eastAsia="zh-CN"/>
        </w:rPr>
        <w:t>项目资金按照省级要求的比例，在6月底前完成目标任务覆盖人群的70%，9月底前完成目标任务覆盖人群的90%，10月底前完成目标任务覆盖人群的100%，11-12月查漏补缺，项目资金拨付进度和项目完成进度保持一致。项目资金全部拨付给基层医疗卫生机构开展项目使用，县级无截留、挤占、挪用的情况发生。</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1．项目主要内容。</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国家基本公共卫生服务服务项目分别为居民健康档案、健康教育、0-6岁儿童健康管理、预防接种、孕产妇健康管理、老年人健康管理、慢性病管理、严重精神障碍患者管理、肺结核患者健康管理、中医药健康管理、传染病及突发公共卫生事件报告和处理服务、卫生计生监督协管服务、地方病防治、职业病防治、失能老年人健康服务、农村妇女“两癌”筛查、免费孕前优生项目、其他公共卫生服务项目等工作。</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2．项目应实现的具体绩效目标，</w:t>
      </w:r>
      <w:r>
        <w:rPr>
          <w:rFonts w:hint="eastAsia" w:ascii="仿宋_GB2312" w:hAnsi="仿宋_GB2312" w:eastAsia="仿宋_GB2312" w:cs="仿宋_GB2312"/>
          <w:kern w:val="0"/>
          <w:sz w:val="32"/>
          <w:szCs w:val="32"/>
          <w:shd w:val="clear" w:color="auto" w:fill="FFFFFF"/>
        </w:rPr>
        <w:t>包括</w:t>
      </w:r>
      <w:r>
        <w:rPr>
          <w:rFonts w:hint="eastAsia" w:ascii="CESI仿宋-GB2312" w:hAnsi="CESI仿宋-GB2312" w:eastAsia="CESI仿宋-GB2312" w:cs="CESI仿宋-GB2312"/>
          <w:kern w:val="0"/>
          <w:sz w:val="32"/>
          <w:szCs w:val="32"/>
          <w:shd w:val="clear" w:color="auto" w:fill="FFFFFF"/>
        </w:rPr>
        <w:t>绩效</w:t>
      </w:r>
      <w:r>
        <w:rPr>
          <w:rFonts w:hint="eastAsia" w:ascii="仿宋_GB2312" w:hAnsi="仿宋_GB2312" w:eastAsia="仿宋_GB2312" w:cs="仿宋_GB2312"/>
          <w:kern w:val="0"/>
          <w:sz w:val="32"/>
          <w:szCs w:val="32"/>
          <w:shd w:val="clear" w:color="auto" w:fill="FFFFFF"/>
          <w:lang w:val="zh-CN"/>
        </w:rPr>
        <w:t>目标的量化细化情况</w:t>
      </w:r>
      <w:r>
        <w:rPr>
          <w:rFonts w:hint="eastAsia" w:ascii="仿宋_GB2312" w:hAnsi="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lang w:val="zh-CN"/>
        </w:rPr>
        <w:t>项目实施进度计划等。</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居民规范化电子健康档案覆盖率96.97%；全县适龄儿童国家免疫规划疫苗接种率94.03%；7岁以下儿童健康管理率95.49%，0-6岁儿童眼保健和视力检查覆盖率95.42%，3岁以下儿童系统管理率95.28%，孕产妇系统管理率95.12%；高血压患者管理人数10036人，高血压患者基层规范管理服务率71.33%；2型糖尿病患者管理人数3697人，2型糖尿病患者基层规范管理服务率68.03%；65岁及以上老年人城乡社区规范健康管理服务率68.58%，老年人中医药健康管理率77.49%；0-3岁儿童中医药健康管理率93.50%；肺结核患者管理率100%；社区在册居家严重精神障碍患者健康管理率91.94%；卫生监督协管各专业每年巡查（访）2次完成率95%；传染病和突发公共卫生事件报告率100%；职业健康检查服务覆盖率98%；工作场所职业病危害因素监测县（区）覆盖率92%；地方病防治工作任务完成率100%；65岁以上失能老年人健康服务目标任务完成率100%；农村妇女“两癌”筛查任务完成率100.61%，宫颈癌、乳腺癌筛查覆盖率逐步提升；免费孕前优生项目目标人群覆盖率81%。全面完成全年任务目标。</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3．分析评价申报内容是否与实际相符，申报目标是否合理可行。按照省、市印发的基本公共卫生服务项目实施方案要求，制定符合我县的项目实施方案，分解细化目标任务，确保了目标任务全面完成。申报内容与实际相符，申报目标合理可行。</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1.县卫生健康局按照中央、省、市要求，加强对基层医疗卫生机构的日常资金使用指导，每年对各基层医疗卫生机构财务人员进行财经纪律上的培训，保障项目专款专用。</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2.县卫生健康局对拨付的项目经费的支出都做出了相应要求，并上局务会、局党组会讨论通过，有会议纪要作为支撑。</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3.2023年，坚持兼顾公平、多劳多得、优劳优得的原则。细化考核方案，差异化服务、差异化考核，充分发挥考核的激励引导作用，促使基层医疗卫生机构严格按规范、保质量地开展基本公共卫生服务工作。</w:t>
      </w:r>
    </w:p>
    <w:p>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578" w:lineRule="exact"/>
        <w:ind w:firstLine="72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基本公共卫生项目资金由县卫生健康局组织申报、县财政根据实际情况予以批复及进行预算调整。</w:t>
      </w:r>
    </w:p>
    <w:p>
      <w:pPr>
        <w:adjustRightInd w:val="0"/>
        <w:snapToGrid w:val="0"/>
        <w:spacing w:line="578" w:lineRule="exact"/>
        <w:ind w:firstLine="720"/>
        <w:rPr>
          <w:rFonts w:ascii="仿宋_GB2312" w:hAnsi="宋体"/>
          <w:sz w:val="32"/>
          <w:szCs w:val="32"/>
          <w:lang w:val="zh-CN"/>
        </w:rPr>
      </w:pPr>
      <w:r>
        <w:rPr>
          <w:rFonts w:hint="eastAsia" w:ascii="楷体_GB2312" w:hAnsi="宋体" w:eastAsia="楷体_GB2312"/>
          <w:b/>
          <w:sz w:val="32"/>
          <w:szCs w:val="32"/>
          <w:lang w:val="zh-CN"/>
        </w:rPr>
        <w:t>（二）资金计划、到位及使用情况。</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资金计划。2023年按照国家、省、县国家基本公共卫生服务项目实施方案要求，按照人口数下达项目资金共计1558.41万元，其中中央资金1211.71万元，省级资金221.76万元，县级配套资金124.94万元。所有资金全部到位并下拨到各项目执行单位。县卫生健康局将加强对资金监管，确保专款专用，严禁截留和挪用。</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2．资金到位。</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（1）省级下达资金</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2022年12月14日，印发《四川省财政厅  四川省卫生健康委员会关于提前下达2023年基本公共卫生服务中央和省级补助资金的通知》（川财社〔2022〕155号）文件，下达项目资金共计1210.71万元，其中中央资金1046.02万元，省级资金164.69万元。</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2023年6月27日，印发《四川省财政厅  四川省卫生健康委员会关于下达2023年基本公共卫生服务中央和省级补助资金》（川财社〔2023〕73号）文件，下达项目资金221.76万元，其中中央资金192.77万元，省级资金28.99万元。</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（2）市级下达资金</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根据《四川省财政厅  四川省卫生健康委员会关于下达2023年基本公共卫生服务中央和省级补助资金》（川财社〔2023〕73号）文件要求，市卫生健康委印发《攀枝花市财政局攀枝花市卫生健康委员会关于下达2023年基本公共卫生服务中央和省级补助资金(第二批)的通知》（攀财资社〔2023〕146号），下发2023年基本公共卫生服务中央奖励补助资金1万元。</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（3）县级资金</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2023年1月6日，县财政局印发《关于提前下达2023年基本公共卫生服务中央和省级补助资金的通知》（盐财资行〔2023〕7号）文件，拨付基本公共卫生服务项目资金1210.71万元，其中中央资金1046.02万元，省级资金164.69万元。</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2023年7月6日，县财政局印发《关于下达2023年基本公共卫生服务中央和省级补助资金的通知》（盐财资行〔2023〕260号）文件，拨付项目基本公共卫生服务项目资金221.76万元，其中中央资金192.77万元，省级资金28.99万元。</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2023年11月28日，县财政局印发《关于下达2023年基本公共卫生服务项目县级配套经费的通知》（盐财资行〔2023〕498号）文件，拨付基本公共卫生服务项目资金县级配套资金124.94万元。</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3．资金使用。2023年全县各医疗卫生单位实施财务一体化预算，项目资金都在系统上列支，截止2023年底，项目资金1558.41万元已全部拨付到位。</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578" w:lineRule="exact"/>
        <w:ind w:firstLine="72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各项目实施单位财务管理制度健全，严格执行财务管理制度，及时账务处理，规范会计核算，及时完成财务年报、卫生统计年报、月报等。</w:t>
      </w:r>
    </w:p>
    <w:p>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578"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adjustRightInd w:val="0"/>
        <w:snapToGrid w:val="0"/>
        <w:spacing w:line="578" w:lineRule="exact"/>
        <w:ind w:firstLine="720"/>
        <w:rPr>
          <w:rFonts w:hint="eastAsia" w:ascii="CESI仿宋-GB2312" w:hAnsi="CESI仿宋-GB2312" w:eastAsia="CESI仿宋-GB2312" w:cs="CESI仿宋-GB2312"/>
          <w:b w:val="0"/>
          <w:bCs/>
          <w:sz w:val="32"/>
          <w:szCs w:val="32"/>
          <w:lang w:val="zh-CN"/>
        </w:rPr>
      </w:pPr>
      <w:r>
        <w:rPr>
          <w:rFonts w:hint="eastAsia" w:ascii="CESI仿宋-GB2312" w:hAnsi="CESI仿宋-GB2312" w:eastAsia="CESI仿宋-GB2312" w:cs="CESI仿宋-GB2312"/>
          <w:b w:val="0"/>
          <w:bCs/>
          <w:sz w:val="32"/>
          <w:szCs w:val="32"/>
          <w:lang w:val="zh-CN"/>
        </w:rPr>
        <w:t>2023年基本公共卫生服务项目时间是从2023年1月-12月，按照上级要求进行，建立辖区居民健康档案；做好预防接种工作；对重点人群进行每年一次的年度体检，对慢性病、重精、肺结核病等患者进行随访服务，对0-6岁儿童进行成长发育指导，加强对老年人和0-3岁儿童家长进行中医体质辨识指导；做好辖区健康教育宣传咨询和健康教育讲座，做好医疗卫生机构健康素养促进活动；对有避孕意向的妇女发放避孕药具；做好传染病、突发公共卫生事件报告；做好卫生计生监督协管巡查；开展地方病防治工作；开展农村妇女两癌筛查、免费孕前优生健康检查；对65岁以上失能老年人开展健康服务；开展2023年计划生育服务补助；开展双随机抽查等工作。</w:t>
      </w:r>
    </w:p>
    <w:p>
      <w:pPr>
        <w:adjustRightInd w:val="0"/>
        <w:snapToGrid w:val="0"/>
        <w:spacing w:line="578"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（二）项目管理情况。</w:t>
      </w:r>
    </w:p>
    <w:p>
      <w:pPr>
        <w:adjustRightInd w:val="0"/>
        <w:snapToGrid w:val="0"/>
        <w:spacing w:line="578" w:lineRule="exact"/>
        <w:ind w:firstLine="720"/>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一是认真开展“5.19世界家庭医生日”“基本公共卫生服务项目”“高血压病防治”“糖尿病防治”“3.21世界睡眠日”“10.10精神卫生日”等宣传活动。按照国家和省统一安排部署，各医疗卫生机构添措施、想办法开展项目宣传活动，继续深入开展“三减三健”和“七进”活动宣传，提高群众知晓率和感受度，促进居民养成健康的生活方式；二是多形式开展健康教育宣传。采取网络、QQ、微信、展板、宣传折页、宣传标语等群众喜闻乐见的传统宣传方式，形成多渠道、多层次、多语境的宣传态势，为项目实施营造良好氛围，形成强大合力。以基层医疗卫生机构为单位，发放《中国公民健康素养66条》宣传绘图，基本公共卫生服务项目宣传资料，提高群众对基本公共卫生服务项目的参与积极性和自身健康意识；三是抓好信息公开。基层医疗卫生机构在辖区和机构内显著位置公示项目免费政策、服务项目、机构地址、电话号码等内容。将广播、QQ、微信、官方微博等新闻媒体和传统的宣传栏、壁报、宣传折页等形式相结合，多渠道，多途径地将机构基本情况、基本公共卫生服务内容、服务信息、反馈信息和提醒信息等及时全面传递给服务对象；四是加强信息报送。各医疗卫生机构及时总结上报基本公共卫生服务工作完成情况，创新性做法和典型经验等信息。及时总结提炼宣传活动经验、特色亮点，挖掘基本公共卫生服务工作中的先进个人和感人事迹进行深入报道，深化对国家基本公共卫生服务项目的宣传，提高群众的知晓率和认可度。</w:t>
      </w:r>
    </w:p>
    <w:p>
      <w:pPr>
        <w:adjustRightInd w:val="0"/>
        <w:snapToGrid w:val="0"/>
        <w:spacing w:line="578"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（三）项目监管情况。</w:t>
      </w:r>
    </w:p>
    <w:p>
      <w:pPr>
        <w:adjustRightInd w:val="0"/>
        <w:snapToGrid w:val="0"/>
        <w:spacing w:line="578" w:lineRule="exact"/>
        <w:ind w:firstLine="72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日常督导。县卫生健康局将加强基本公共卫生服务项目技术指导和督导，强化重点任务项目落地落实，由县卫生健康局牵头，县均等化指导中心、县疾控中心、县妇幼保健服务中心等指导机构，每月实施重点人群线上信息审核，重点审核体检信息、随访等相关信息，截止2023年底，共完成12次线上审核通报。至少每季度开展一次全方位现场督导检查，截止2023年底，共完成4次督导检查。其他基本公共卫生服务项目采取每月提取相关数据进行通报，确保年底前完成年初下达任务目标。</w:t>
      </w:r>
    </w:p>
    <w:p>
      <w:pPr>
        <w:adjustRightInd w:val="0"/>
        <w:snapToGrid w:val="0"/>
        <w:spacing w:line="578" w:lineRule="exact"/>
        <w:ind w:firstLine="72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考核：2023年6月26日—7月6日，对全县各乡（镇）卫生院、社区卫生服务中心2023年度基本公共卫生服务项目进行了半年绩效考核，总共考核了12个乡（镇）卫生院、1个社区卫生服务中心、28个村卫生室。2023年10月16日—10月26日，对全县各乡（镇）卫生院、社区卫生服务中心2020年度基本公共卫生服务项目进行了年终绩效考核，总共考核了12个乡镇（中心）卫生院、1个社区卫生服务中心、32个村卫生室，现场考核采取查阅资料、问卷调查、现场核实真实性等方式进行，考核结束后在15个工作日内向市卫生健康委上报考核报告。乡（镇）卫生院和社区卫生服务中心要强化对村卫生室的全面绩效考核，严肃处理弄虚作假情况，严格实行评价结果与资金拨付挂钩。</w:t>
      </w:r>
    </w:p>
    <w:p>
      <w:pPr>
        <w:adjustRightInd w:val="0"/>
        <w:snapToGrid w:val="0"/>
        <w:spacing w:line="578" w:lineRule="exact"/>
        <w:ind w:firstLine="720"/>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578" w:lineRule="exact"/>
        <w:ind w:firstLine="72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居民规范化电子健康档案覆盖率96.97%；全县适龄儿童国家免疫规划疫苗接种率94.03%；7岁以下儿童健康管理率95.49%，0-6岁儿童眼保健和视力检查覆盖率95.42%，3岁以下儿童系统管理率95.28%，孕产妇系统管理率95.12%；高血压患者管理人数10036人，高血压患者基层规范管理服务率71.33%；2型糖尿病患者管理人数3697人，2型糖尿病患者基层规范管理服务率68.03%；65岁及以上老年人城乡社区规范健康管理服务率68.58%，老年人中医药健康管理率77.49%；0-3岁儿童中医药健康管理率93.50%；肺结核患者管理率100%；社区在册居家严重精神障碍患者健康管理率91.94%；卫生监督协管各专业每年巡查（访）2次完成率95%；传染病和突发公共卫生事件报告率100%；职业健康检查服务覆盖率98%；工作场所职业病危害因素监测县（区）覆盖率92%；地方病防治工作任务完成率100%；65岁以上失能老年人健康服务目标任务完成率100%；农村妇女“两癌”筛查任务完成率100.61%，宫颈癌、乳腺癌筛查覆盖率逐步提升；免费孕前优生项目目标人群覆盖率81%。全面完成全年任务目标。</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578" w:lineRule="exact"/>
        <w:ind w:firstLine="720"/>
        <w:rPr>
          <w:rFonts w:ascii="黑体" w:hAnsi="宋体" w:eastAsia="黑体"/>
          <w:sz w:val="32"/>
          <w:szCs w:val="32"/>
        </w:rPr>
      </w:pPr>
      <w:r>
        <w:rPr>
          <w:rFonts w:hint="eastAsia" w:ascii="仿宋_GB2312" w:hAnsi="仿宋_GB2312" w:eastAsia="仿宋_GB2312" w:cs="仿宋_GB2312"/>
          <w:kern w:val="0"/>
          <w:sz w:val="32"/>
          <w:szCs w:val="32"/>
          <w:shd w:val="clear" w:color="auto" w:fill="FFFFFF"/>
        </w:rPr>
        <w:t>县卫生健康局和各医疗卫生单位按照省、市卫生健康委的统一部署，开展好“世界家庭医生日”、“国家基本公共卫生宣传月活动”。大力宣传“三减三健”（减盐、减油、减糖，健康体重、健康骨骼、健康口腔），促进居民养成健康的生活方式。推动项目“七进”活动（进社区、进农村、进学校、进机关、进企业、进寺庙、进家庭）。利用电视、广播、网络、微信、报刊、展板、宣传折页、宣传标语等传统媒体和新兴媒介，以群众喜闻乐见的方式加大宣传力度，为项目实施营造良好舆论氛围。配合宣传活动，向居民发放控盐勺、腰围尺、控油壶等实用的健康干预工具，并指导居民使用，提高群众对基本公共卫生服务项目的参与积极性。基层医疗卫生机构在辖区和机构内显著位置公示项目免费政策、服务项目等内容。采用广播、电视、手机短信、微信公众平台等新闻媒体将机构情况、基本公共卫生服务内容、服务信息、反馈信息和提醒信息等及时全面传递给服务对象。</w:t>
      </w:r>
      <w:r>
        <w:rPr>
          <w:rFonts w:hint="eastAsia" w:ascii="黑体" w:hAnsi="宋体" w:eastAsia="黑体"/>
          <w:sz w:val="32"/>
          <w:szCs w:val="32"/>
        </w:rPr>
        <w:t>五、评价结论及建议</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2023年基本公共卫生服务能力得到提升，基本公共卫生服务项目得到有序进行，老百姓获得感不断增强，群众满意度在逐年提高。人民群众健康意识进一步得到增强，使人人享受到基本公共卫生服务带来的健康实惠。项目总体指标完成较好，均能完成评价指标，达到预期值。</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578" w:lineRule="exact"/>
        <w:ind w:firstLine="72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1.组织管理需要加强。部分机构对内部职工和村医的培训资料收集不全，主要存在培训内容与课 件不符，课件收集不全，没有讲课人。大部分机构对上级督导发现的问题形成的整改台账无连续性，部分机构整改计划和整改报告相混淆。项目宣传活动资料收集不全。</w:t>
      </w:r>
    </w:p>
    <w:p>
      <w:pPr>
        <w:adjustRightInd w:val="0"/>
        <w:snapToGrid w:val="0"/>
        <w:spacing w:line="578" w:lineRule="exact"/>
        <w:ind w:firstLine="72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健康档案管理需进一步规范。居民健康档案动态管理率较低，抽查档案中，主要存在普通人群档案使用率不高。重点人群体检表填写不规范，主要是部分辅助检查未做，体检表填写不规范；血压只填一侧；老年人生活方式和情感状况未填；查体项目与实际询问不一致等情况。部分医疗卫生机构未做到基本医疗和基本公卫的有效结合，在系统中未录入慢性病筛查，门诊、住院记录等相关信息未能未在基层信息网中体现出来。</w:t>
      </w:r>
    </w:p>
    <w:p>
      <w:pPr>
        <w:adjustRightInd w:val="0"/>
        <w:snapToGrid w:val="0"/>
        <w:spacing w:line="578" w:lineRule="exact"/>
        <w:ind w:firstLine="72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3.慢性病患者健康管理不够：部分机构高血压、糖尿病患者管理率不达标。部分机构高血压规范管理率未达标，部分机构糖尿病规范管理率未达标，主要是存在体检表记录不全，用药情况与实际询问不一致；随访血压血糖高于正常值，填写控制满意，随访次数不达标、超期随访等情况。慢性病患者筛查未全部录入信息系统中。</w:t>
      </w:r>
    </w:p>
    <w:p>
      <w:pPr>
        <w:adjustRightInd w:val="0"/>
        <w:snapToGrid w:val="0"/>
        <w:spacing w:line="578" w:lineRule="exact"/>
        <w:ind w:firstLine="72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4.健康教育有待提高：影像播放资料收集不齐全，无群众观看图片，播放次数不够。宣传栏资料部分未落机构或日期，宣传栏内容制作未按要求进行，宣传栏部分机构无中医内容和健康素养66条相关内容。公众健康咨询和健康讲座含中医内容的次数不达标，中医药相关内容较少。</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keepNext w:val="0"/>
        <w:keepLines w:val="0"/>
        <w:pageBreakBefore w:val="0"/>
        <w:kinsoku/>
        <w:wordWrap/>
        <w:overflowPunct/>
        <w:topLinePunct w:val="0"/>
        <w:autoSpaceDE/>
        <w:autoSpaceDN/>
        <w:bidi w:val="0"/>
        <w:adjustRightInd/>
        <w:snapToGrid/>
        <w:spacing w:line="570" w:lineRule="exact"/>
        <w:ind w:firstLine="643" w:firstLineChars="200"/>
        <w:textAlignment w:val="auto"/>
        <w:rPr>
          <w:rFonts w:hint="eastAsia" w:ascii="CESI仿宋-GB2312" w:hAnsi="CESI仿宋-GB2312" w:eastAsia="CESI仿宋-GB2312" w:cs="CESI仿宋-GB2312"/>
          <w:b w:val="0"/>
          <w:bCs/>
          <w:sz w:val="32"/>
          <w:szCs w:val="32"/>
        </w:rPr>
      </w:pPr>
      <w:r>
        <w:rPr>
          <w:rFonts w:hint="eastAsia" w:ascii="CESI仿宋-GB2312" w:hAnsi="CESI仿宋-GB2312" w:eastAsia="CESI仿宋-GB2312" w:cs="CESI仿宋-GB2312"/>
          <w:b/>
          <w:bCs w:val="0"/>
          <w:sz w:val="32"/>
          <w:szCs w:val="32"/>
          <w:lang w:val="en-US" w:eastAsia="zh-CN"/>
        </w:rPr>
        <w:t>1.</w:t>
      </w:r>
      <w:r>
        <w:rPr>
          <w:rFonts w:hint="eastAsia" w:ascii="CESI仿宋-GB2312" w:hAnsi="CESI仿宋-GB2312" w:eastAsia="CESI仿宋-GB2312" w:cs="CESI仿宋-GB2312"/>
          <w:b w:val="0"/>
          <w:bCs/>
          <w:sz w:val="32"/>
          <w:szCs w:val="32"/>
        </w:rPr>
        <w:t>建立县、乡、村三级分级负责的公共卫生管理体系，为顺利均等化服务实现奠定组织基础。</w:t>
      </w:r>
    </w:p>
    <w:p>
      <w:pPr>
        <w:keepNext w:val="0"/>
        <w:keepLines w:val="0"/>
        <w:pageBreakBefore w:val="0"/>
        <w:kinsoku/>
        <w:wordWrap/>
        <w:overflowPunct/>
        <w:topLinePunct w:val="0"/>
        <w:autoSpaceDE/>
        <w:autoSpaceDN/>
        <w:bidi w:val="0"/>
        <w:adjustRightInd/>
        <w:snapToGrid/>
        <w:spacing w:line="570" w:lineRule="exact"/>
        <w:ind w:firstLine="643" w:firstLineChars="200"/>
        <w:textAlignment w:val="auto"/>
        <w:rPr>
          <w:rFonts w:hint="eastAsia" w:ascii="CESI仿宋-GB2312" w:hAnsi="CESI仿宋-GB2312" w:eastAsia="CESI仿宋-GB2312" w:cs="CESI仿宋-GB2312"/>
          <w:b w:val="0"/>
          <w:bCs/>
          <w:sz w:val="32"/>
          <w:szCs w:val="32"/>
        </w:rPr>
      </w:pPr>
      <w:r>
        <w:rPr>
          <w:rFonts w:hint="eastAsia" w:ascii="CESI仿宋-GB2312" w:hAnsi="CESI仿宋-GB2312" w:eastAsia="CESI仿宋-GB2312" w:cs="CESI仿宋-GB2312"/>
          <w:b/>
          <w:bCs w:val="0"/>
          <w:sz w:val="32"/>
          <w:szCs w:val="32"/>
          <w:lang w:val="en-US" w:eastAsia="zh-CN"/>
        </w:rPr>
        <w:t>2.</w:t>
      </w:r>
      <w:r>
        <w:rPr>
          <w:rFonts w:hint="eastAsia" w:ascii="CESI仿宋-GB2312" w:hAnsi="CESI仿宋-GB2312" w:eastAsia="CESI仿宋-GB2312" w:cs="CESI仿宋-GB2312"/>
          <w:b w:val="0"/>
          <w:bCs/>
          <w:sz w:val="32"/>
          <w:szCs w:val="32"/>
        </w:rPr>
        <w:t>按照"</w:t>
      </w:r>
      <w:r>
        <w:rPr>
          <w:rFonts w:hint="eastAsia" w:ascii="CESI仿宋-GB2312" w:hAnsi="CESI仿宋-GB2312" w:eastAsia="CESI仿宋-GB2312" w:cs="CESI仿宋-GB2312"/>
          <w:b w:val="0"/>
          <w:bCs/>
          <w:sz w:val="32"/>
          <w:szCs w:val="32"/>
          <w:lang w:eastAsia="zh-CN"/>
        </w:rPr>
        <w:t>购买服务</w:t>
      </w:r>
      <w:r>
        <w:rPr>
          <w:rFonts w:hint="eastAsia" w:ascii="CESI仿宋-GB2312" w:hAnsi="CESI仿宋-GB2312" w:eastAsia="CESI仿宋-GB2312" w:cs="CESI仿宋-GB2312"/>
          <w:b w:val="0"/>
          <w:bCs/>
          <w:sz w:val="32"/>
          <w:szCs w:val="32"/>
        </w:rPr>
        <w:t>"的原则</w:t>
      </w:r>
      <w:r>
        <w:rPr>
          <w:rFonts w:hint="eastAsia" w:ascii="CESI仿宋-GB2312" w:hAnsi="CESI仿宋-GB2312" w:eastAsia="CESI仿宋-GB2312" w:cs="CESI仿宋-GB2312"/>
          <w:b w:val="0"/>
          <w:bCs/>
          <w:sz w:val="32"/>
          <w:szCs w:val="32"/>
          <w:lang w:eastAsia="zh-CN"/>
        </w:rPr>
        <w:t>，</w:t>
      </w:r>
      <w:r>
        <w:rPr>
          <w:rFonts w:hint="eastAsia" w:ascii="CESI仿宋-GB2312" w:hAnsi="CESI仿宋-GB2312" w:eastAsia="CESI仿宋-GB2312" w:cs="CESI仿宋-GB2312"/>
          <w:b w:val="0"/>
          <w:bCs/>
          <w:sz w:val="32"/>
          <w:szCs w:val="32"/>
        </w:rPr>
        <w:t>建立购买基本公共卫生服务工作机制。</w:t>
      </w:r>
    </w:p>
    <w:p>
      <w:pPr>
        <w:keepNext w:val="0"/>
        <w:keepLines w:val="0"/>
        <w:pageBreakBefore w:val="0"/>
        <w:kinsoku/>
        <w:wordWrap/>
        <w:overflowPunct/>
        <w:topLinePunct w:val="0"/>
        <w:autoSpaceDE/>
        <w:autoSpaceDN/>
        <w:bidi w:val="0"/>
        <w:adjustRightInd/>
        <w:snapToGrid/>
        <w:spacing w:line="570" w:lineRule="exact"/>
        <w:ind w:firstLine="643" w:firstLineChars="200"/>
        <w:textAlignment w:val="auto"/>
        <w:rPr>
          <w:rFonts w:hint="eastAsia" w:ascii="CESI仿宋-GB2312" w:hAnsi="CESI仿宋-GB2312" w:eastAsia="CESI仿宋-GB2312" w:cs="CESI仿宋-GB2312"/>
          <w:b w:val="0"/>
          <w:bCs/>
          <w:sz w:val="32"/>
          <w:szCs w:val="32"/>
        </w:rPr>
      </w:pPr>
      <w:r>
        <w:rPr>
          <w:rFonts w:hint="eastAsia" w:ascii="CESI仿宋-GB2312" w:hAnsi="CESI仿宋-GB2312" w:eastAsia="CESI仿宋-GB2312" w:cs="CESI仿宋-GB2312"/>
          <w:b/>
          <w:bCs w:val="0"/>
          <w:sz w:val="32"/>
          <w:szCs w:val="32"/>
          <w:lang w:val="en-US" w:eastAsia="zh-CN"/>
        </w:rPr>
        <w:t>3.</w:t>
      </w:r>
      <w:r>
        <w:rPr>
          <w:rFonts w:hint="eastAsia" w:ascii="CESI仿宋-GB2312" w:hAnsi="CESI仿宋-GB2312" w:eastAsia="CESI仿宋-GB2312" w:cs="CESI仿宋-GB2312"/>
          <w:b w:val="0"/>
          <w:bCs/>
          <w:sz w:val="32"/>
          <w:szCs w:val="32"/>
        </w:rPr>
        <w:t>整合农村资源</w:t>
      </w:r>
      <w:r>
        <w:rPr>
          <w:rFonts w:hint="eastAsia" w:ascii="CESI仿宋-GB2312" w:hAnsi="CESI仿宋-GB2312" w:eastAsia="CESI仿宋-GB2312" w:cs="CESI仿宋-GB2312"/>
          <w:b w:val="0"/>
          <w:bCs/>
          <w:sz w:val="32"/>
          <w:szCs w:val="32"/>
          <w:lang w:eastAsia="zh-CN"/>
        </w:rPr>
        <w:t>，</w:t>
      </w:r>
      <w:r>
        <w:rPr>
          <w:rFonts w:hint="eastAsia" w:ascii="CESI仿宋-GB2312" w:hAnsi="CESI仿宋-GB2312" w:eastAsia="CESI仿宋-GB2312" w:cs="CESI仿宋-GB2312"/>
          <w:b w:val="0"/>
          <w:bCs/>
          <w:sz w:val="32"/>
          <w:szCs w:val="32"/>
        </w:rPr>
        <w:t>建立一支相对稳定以全科医生为主体的较高专业水平，充满活力的家庭医生团队队伍</w:t>
      </w:r>
      <w:r>
        <w:rPr>
          <w:rFonts w:hint="eastAsia" w:ascii="CESI仿宋-GB2312" w:hAnsi="CESI仿宋-GB2312" w:eastAsia="CESI仿宋-GB2312" w:cs="CESI仿宋-GB2312"/>
          <w:b w:val="0"/>
          <w:bCs/>
          <w:sz w:val="32"/>
          <w:szCs w:val="32"/>
          <w:lang w:eastAsia="zh-CN"/>
        </w:rPr>
        <w:t>，参与基层医疗卫生机构巡回诊疗工作</w:t>
      </w:r>
      <w:r>
        <w:rPr>
          <w:rFonts w:hint="eastAsia" w:ascii="CESI仿宋-GB2312" w:hAnsi="CESI仿宋-GB2312" w:eastAsia="CESI仿宋-GB2312" w:cs="CESI仿宋-GB2312"/>
          <w:b w:val="0"/>
          <w:bCs/>
          <w:sz w:val="32"/>
          <w:szCs w:val="32"/>
        </w:rPr>
        <w:t>。</w:t>
      </w:r>
    </w:p>
    <w:p>
      <w:pPr>
        <w:keepNext w:val="0"/>
        <w:keepLines w:val="0"/>
        <w:pageBreakBefore w:val="0"/>
        <w:kinsoku/>
        <w:wordWrap/>
        <w:overflowPunct/>
        <w:topLinePunct w:val="0"/>
        <w:autoSpaceDE/>
        <w:autoSpaceDN/>
        <w:bidi w:val="0"/>
        <w:adjustRightInd/>
        <w:snapToGrid/>
        <w:spacing w:line="570" w:lineRule="exact"/>
        <w:ind w:firstLine="643" w:firstLineChars="200"/>
        <w:textAlignment w:val="auto"/>
        <w:rPr>
          <w:rFonts w:hint="eastAsia" w:ascii="CESI仿宋-GB2312" w:hAnsi="CESI仿宋-GB2312" w:eastAsia="CESI仿宋-GB2312" w:cs="CESI仿宋-GB2312"/>
          <w:b w:val="0"/>
          <w:bCs/>
          <w:sz w:val="32"/>
          <w:szCs w:val="32"/>
        </w:rPr>
      </w:pPr>
      <w:r>
        <w:rPr>
          <w:rFonts w:hint="eastAsia" w:ascii="CESI仿宋-GB2312" w:hAnsi="CESI仿宋-GB2312" w:eastAsia="CESI仿宋-GB2312" w:cs="CESI仿宋-GB2312"/>
          <w:b/>
          <w:bCs w:val="0"/>
          <w:sz w:val="32"/>
          <w:szCs w:val="32"/>
          <w:lang w:val="en-US" w:eastAsia="zh-CN"/>
        </w:rPr>
        <w:t>4.</w:t>
      </w:r>
      <w:r>
        <w:rPr>
          <w:rFonts w:hint="eastAsia" w:ascii="CESI仿宋-GB2312" w:hAnsi="CESI仿宋-GB2312" w:eastAsia="CESI仿宋-GB2312" w:cs="CESI仿宋-GB2312"/>
          <w:b w:val="0"/>
          <w:bCs/>
          <w:sz w:val="32"/>
          <w:szCs w:val="32"/>
        </w:rPr>
        <w:t>持续推进基本公共卫生服务经费调配与差异化绩效考核机制</w:t>
      </w:r>
      <w:r>
        <w:rPr>
          <w:rFonts w:hint="eastAsia" w:ascii="CESI仿宋-GB2312" w:hAnsi="CESI仿宋-GB2312" w:eastAsia="CESI仿宋-GB2312" w:cs="CESI仿宋-GB2312"/>
          <w:b w:val="0"/>
          <w:bCs/>
          <w:sz w:val="32"/>
          <w:szCs w:val="32"/>
          <w:lang w:eastAsia="zh-CN"/>
        </w:rPr>
        <w:t>，</w:t>
      </w:r>
      <w:r>
        <w:rPr>
          <w:rFonts w:hint="eastAsia" w:ascii="CESI仿宋-GB2312" w:hAnsi="CESI仿宋-GB2312" w:eastAsia="CESI仿宋-GB2312" w:cs="CESI仿宋-GB2312"/>
          <w:b w:val="0"/>
          <w:bCs/>
          <w:sz w:val="32"/>
          <w:szCs w:val="32"/>
        </w:rPr>
        <w:t>为健全基本公共卫生服务提供有效保障。</w:t>
      </w:r>
    </w:p>
    <w:p>
      <w:pPr>
        <w:keepNext w:val="0"/>
        <w:keepLines w:val="0"/>
        <w:pageBreakBefore w:val="0"/>
        <w:widowControl/>
        <w:kinsoku/>
        <w:wordWrap/>
        <w:overflowPunct/>
        <w:topLinePunct w:val="0"/>
        <w:autoSpaceDE/>
        <w:autoSpaceDN/>
        <w:bidi w:val="0"/>
        <w:adjustRightInd/>
        <w:snapToGrid/>
        <w:spacing w:line="570" w:lineRule="exact"/>
        <w:ind w:firstLine="585"/>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sz w:val="32"/>
          <w:szCs w:val="32"/>
          <w:lang w:val="en-US" w:eastAsia="zh-CN"/>
        </w:rPr>
        <w:t>5.</w:t>
      </w:r>
      <w:r>
        <w:rPr>
          <w:rFonts w:hint="eastAsia" w:ascii="CESI仿宋-GB2312" w:hAnsi="CESI仿宋-GB2312" w:eastAsia="CESI仿宋-GB2312" w:cs="CESI仿宋-GB2312"/>
          <w:sz w:val="32"/>
          <w:szCs w:val="32"/>
        </w:rPr>
        <w:t>加强惠民项目的宣传引导，实施基本公共卫生规范管理和家庭医生签约服务活动，提高群众主动参与意识与参与度，确保各项服务能够更加顺利地开展，落到实处。</w:t>
      </w:r>
    </w:p>
    <w:p>
      <w:pPr>
        <w:pStyle w:val="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0" w:lineRule="exact"/>
        <w:ind w:firstLine="630" w:firstLineChars="196"/>
        <w:jc w:val="both"/>
        <w:textAlignment w:val="auto"/>
        <w:rPr>
          <w:rFonts w:hint="eastAsia" w:ascii="CESI仿宋-GB2312" w:hAnsi="CESI仿宋-GB2312" w:eastAsia="CESI仿宋-GB2312" w:cs="CESI仿宋-GB2312"/>
          <w:kern w:val="2"/>
          <w:sz w:val="32"/>
          <w:szCs w:val="32"/>
        </w:rPr>
      </w:pPr>
      <w:r>
        <w:rPr>
          <w:rFonts w:hint="eastAsia" w:ascii="CESI仿宋-GB2312" w:hAnsi="CESI仿宋-GB2312" w:eastAsia="CESI仿宋-GB2312" w:cs="CESI仿宋-GB2312"/>
          <w:b/>
          <w:kern w:val="2"/>
          <w:sz w:val="32"/>
          <w:szCs w:val="32"/>
          <w:lang w:val="en-US" w:eastAsia="zh-CN"/>
        </w:rPr>
        <w:t>6.</w:t>
      </w:r>
      <w:r>
        <w:rPr>
          <w:rFonts w:hint="eastAsia" w:ascii="CESI仿宋-GB2312" w:hAnsi="CESI仿宋-GB2312" w:eastAsia="CESI仿宋-GB2312" w:cs="CESI仿宋-GB2312"/>
          <w:kern w:val="2"/>
          <w:sz w:val="32"/>
          <w:szCs w:val="32"/>
        </w:rPr>
        <w:t>加强对基层卫生标准化建设及优质服务基层行创建活动的督导，对参与创建活动单位加大投入和技术指导力度，确保顺利达标验收。</w:t>
      </w:r>
    </w:p>
    <w:p>
      <w:pPr>
        <w:ind w:firstLine="643"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sz w:val="32"/>
          <w:szCs w:val="32"/>
          <w:lang w:val="en-US" w:eastAsia="zh-CN"/>
        </w:rPr>
        <w:t>7.</w:t>
      </w:r>
      <w:r>
        <w:rPr>
          <w:rFonts w:hint="eastAsia" w:ascii="CESI仿宋-GB2312" w:hAnsi="CESI仿宋-GB2312" w:eastAsia="CESI仿宋-GB2312" w:cs="CESI仿宋-GB2312"/>
          <w:sz w:val="32"/>
          <w:szCs w:val="32"/>
        </w:rPr>
        <w:t>规范开展培训，确保基层医务人员全面掌握相应的服务标准和技能，更好地完成项目所规定的任务，满足群众的健康需求。</w:t>
      </w:r>
    </w:p>
    <w:p>
      <w:pPr>
        <w:pStyle w:val="6"/>
        <w:rPr>
          <w:rFonts w:hint="eastAsia" w:ascii="黑体" w:hAnsi="黑体" w:eastAsia="黑体" w:cs="黑体"/>
          <w:kern w:val="0"/>
          <w:sz w:val="32"/>
          <w:szCs w:val="32"/>
          <w:shd w:val="clear" w:color="auto" w:fill="FFFFFF"/>
          <w:lang w:val="zh-CN"/>
        </w:rPr>
      </w:pPr>
    </w:p>
    <w:p>
      <w:pPr>
        <w:pStyle w:val="6"/>
        <w:rPr>
          <w:rFonts w:hint="eastAsia" w:ascii="黑体" w:hAnsi="黑体" w:eastAsia="黑体" w:cs="黑体"/>
          <w:kern w:val="0"/>
          <w:sz w:val="32"/>
          <w:szCs w:val="32"/>
          <w:shd w:val="clear" w:color="auto" w:fill="FFFFFF"/>
          <w:lang w:val="zh-CN"/>
        </w:rPr>
      </w:pPr>
    </w:p>
    <w:p>
      <w:pPr>
        <w:pStyle w:val="6"/>
        <w:rPr>
          <w:rFonts w:hint="eastAsia" w:ascii="黑体" w:hAnsi="黑体" w:eastAsia="黑体" w:cs="黑体"/>
          <w:kern w:val="0"/>
          <w:sz w:val="32"/>
          <w:szCs w:val="32"/>
          <w:shd w:val="clear" w:color="auto" w:fill="FFFFFF"/>
          <w:lang w:val="zh-CN"/>
        </w:rPr>
      </w:pPr>
    </w:p>
    <w:p>
      <w:pPr>
        <w:pStyle w:val="6"/>
        <w:rPr>
          <w:rFonts w:hint="eastAsia" w:ascii="黑体" w:hAnsi="黑体" w:eastAsia="黑体" w:cs="黑体"/>
          <w:kern w:val="0"/>
          <w:sz w:val="32"/>
          <w:szCs w:val="32"/>
          <w:shd w:val="clear" w:color="auto" w:fill="FFFFFF"/>
          <w:lang w:val="zh-CN"/>
        </w:rPr>
      </w:pPr>
    </w:p>
    <w:p>
      <w:pPr>
        <w:pStyle w:val="6"/>
        <w:rPr>
          <w:rFonts w:hint="eastAsia" w:ascii="黑体" w:hAnsi="黑体" w:eastAsia="黑体" w:cs="黑体"/>
          <w:kern w:val="0"/>
          <w:sz w:val="32"/>
          <w:szCs w:val="32"/>
          <w:shd w:val="clear" w:color="auto" w:fill="FFFFFF"/>
          <w:lang w:val="zh-CN"/>
        </w:rPr>
      </w:pPr>
    </w:p>
    <w:p>
      <w:pPr>
        <w:pStyle w:val="6"/>
        <w:rPr>
          <w:rFonts w:hint="eastAsia" w:ascii="黑体" w:hAnsi="黑体" w:eastAsia="黑体" w:cs="黑体"/>
          <w:kern w:val="0"/>
          <w:sz w:val="32"/>
          <w:szCs w:val="32"/>
          <w:shd w:val="clear" w:color="auto" w:fill="FFFFFF"/>
          <w:lang w:val="zh-CN"/>
        </w:rPr>
      </w:pPr>
    </w:p>
    <w:p>
      <w:pPr>
        <w:pStyle w:val="6"/>
        <w:rPr>
          <w:rFonts w:hint="eastAsia" w:ascii="黑体" w:hAnsi="黑体" w:eastAsia="黑体" w:cs="黑体"/>
          <w:kern w:val="0"/>
          <w:sz w:val="32"/>
          <w:szCs w:val="32"/>
          <w:shd w:val="clear" w:color="auto" w:fill="FFFFFF"/>
          <w:lang w:val="zh-CN"/>
        </w:rPr>
      </w:pPr>
    </w:p>
    <w:p>
      <w:pPr>
        <w:pStyle w:val="6"/>
        <w:rPr>
          <w:rFonts w:hint="eastAsia" w:ascii="黑体" w:hAnsi="黑体" w:eastAsia="黑体" w:cs="黑体"/>
          <w:kern w:val="0"/>
          <w:sz w:val="32"/>
          <w:szCs w:val="32"/>
          <w:shd w:val="clear" w:color="auto" w:fill="FFFFFF"/>
          <w:lang w:val="zh-CN"/>
        </w:rPr>
      </w:pPr>
    </w:p>
    <w:p>
      <w:pPr>
        <w:pStyle w:val="6"/>
        <w:rPr>
          <w:rFonts w:hint="eastAsia" w:ascii="黑体" w:hAnsi="黑体" w:eastAsia="黑体" w:cs="黑体"/>
          <w:kern w:val="0"/>
          <w:sz w:val="32"/>
          <w:szCs w:val="32"/>
          <w:shd w:val="clear" w:color="auto" w:fill="FFFFFF"/>
          <w:lang w:val="zh-CN"/>
        </w:rPr>
      </w:pPr>
    </w:p>
    <w:p>
      <w:pPr>
        <w:pStyle w:val="6"/>
        <w:rPr>
          <w:rFonts w:hint="eastAsia" w:ascii="黑体" w:hAnsi="黑体" w:eastAsia="黑体" w:cs="黑体"/>
          <w:kern w:val="0"/>
          <w:sz w:val="32"/>
          <w:szCs w:val="32"/>
          <w:shd w:val="clear" w:color="auto" w:fill="FFFFFF"/>
          <w:lang w:val="zh-CN"/>
        </w:rPr>
      </w:pPr>
    </w:p>
    <w:p>
      <w:pPr>
        <w:pStyle w:val="6"/>
        <w:rPr>
          <w:rFonts w:hint="eastAsia" w:ascii="黑体" w:hAnsi="黑体" w:eastAsia="黑体" w:cs="黑体"/>
          <w:kern w:val="0"/>
          <w:sz w:val="32"/>
          <w:szCs w:val="32"/>
          <w:shd w:val="clear" w:color="auto" w:fill="FFFFFF"/>
          <w:lang w:val="zh-CN"/>
        </w:rPr>
      </w:pPr>
    </w:p>
    <w:p>
      <w:pPr>
        <w:pStyle w:val="6"/>
        <w:rPr>
          <w:rFonts w:hint="eastAsia" w:ascii="黑体" w:hAnsi="黑体" w:eastAsia="黑体" w:cs="黑体"/>
          <w:kern w:val="0"/>
          <w:sz w:val="32"/>
          <w:szCs w:val="32"/>
          <w:shd w:val="clear" w:color="auto" w:fill="FFFFFF"/>
          <w:lang w:val="zh-CN"/>
        </w:rPr>
      </w:pPr>
    </w:p>
    <w:p>
      <w:pPr>
        <w:pStyle w:val="6"/>
        <w:rPr>
          <w:rFonts w:hint="eastAsia" w:ascii="黑体" w:hAnsi="黑体" w:eastAsia="黑体" w:cs="黑体"/>
          <w:kern w:val="0"/>
          <w:sz w:val="32"/>
          <w:szCs w:val="32"/>
          <w:shd w:val="clear" w:color="auto" w:fill="FFFFFF"/>
          <w:lang w:val="zh-CN"/>
        </w:rPr>
      </w:pPr>
    </w:p>
    <w:p>
      <w:pPr>
        <w:pStyle w:val="6"/>
        <w:rPr>
          <w:rFonts w:hint="eastAsia" w:ascii="黑体" w:hAnsi="黑体" w:eastAsia="黑体" w:cs="黑体"/>
          <w:kern w:val="0"/>
          <w:sz w:val="32"/>
          <w:szCs w:val="32"/>
          <w:shd w:val="clear" w:color="auto" w:fill="FFFFFF"/>
          <w:lang w:val="zh-CN"/>
        </w:rPr>
      </w:pPr>
    </w:p>
    <w:p>
      <w:pPr>
        <w:pStyle w:val="6"/>
        <w:rPr>
          <w:rFonts w:hint="eastAsia" w:ascii="黑体" w:hAnsi="黑体" w:eastAsia="黑体" w:cs="黑体"/>
          <w:kern w:val="0"/>
          <w:sz w:val="32"/>
          <w:szCs w:val="32"/>
          <w:shd w:val="clear" w:color="auto" w:fill="FFFFFF"/>
          <w:lang w:val="zh-CN"/>
        </w:rPr>
      </w:pPr>
    </w:p>
    <w:p>
      <w:pPr>
        <w:pStyle w:val="6"/>
        <w:rPr>
          <w:rFonts w:hint="eastAsia" w:ascii="黑体" w:hAnsi="黑体" w:eastAsia="黑体" w:cs="黑体"/>
          <w:kern w:val="0"/>
          <w:sz w:val="32"/>
          <w:szCs w:val="32"/>
          <w:shd w:val="clear" w:color="auto" w:fill="FFFFFF"/>
          <w:lang w:val="zh-CN"/>
        </w:rPr>
      </w:pPr>
    </w:p>
    <w:p>
      <w:pPr>
        <w:pStyle w:val="6"/>
        <w:rPr>
          <w:rFonts w:hint="eastAsia" w:ascii="黑体" w:hAnsi="黑体" w:eastAsia="黑体" w:cs="黑体"/>
          <w:kern w:val="0"/>
          <w:sz w:val="32"/>
          <w:szCs w:val="32"/>
          <w:shd w:val="clear" w:color="auto" w:fill="FFFFFF"/>
          <w:lang w:val="zh-CN"/>
        </w:rPr>
      </w:pPr>
    </w:p>
    <w:p>
      <w:pPr>
        <w:pStyle w:val="6"/>
        <w:rPr>
          <w:rFonts w:hint="eastAsia" w:ascii="黑体" w:hAnsi="黑体" w:eastAsia="黑体" w:cs="黑体"/>
          <w:kern w:val="0"/>
          <w:sz w:val="32"/>
          <w:szCs w:val="32"/>
          <w:shd w:val="clear" w:color="auto" w:fill="FFFFFF"/>
          <w:lang w:val="zh-CN"/>
        </w:rPr>
      </w:pPr>
    </w:p>
    <w:p>
      <w:pPr>
        <w:pStyle w:val="6"/>
        <w:rPr>
          <w:rFonts w:hint="eastAsia" w:ascii="黑体" w:hAnsi="黑体" w:eastAsia="黑体" w:cs="黑体"/>
          <w:sz w:val="32"/>
          <w:szCs w:val="32"/>
          <w:lang w:eastAsia="zh-CN"/>
        </w:rPr>
      </w:pPr>
      <w:r>
        <w:rPr>
          <w:rFonts w:hint="eastAsia" w:ascii="黑体" w:hAnsi="黑体" w:eastAsia="黑体" w:cs="黑体"/>
          <w:kern w:val="0"/>
          <w:sz w:val="32"/>
          <w:szCs w:val="32"/>
          <w:shd w:val="clear" w:color="auto" w:fill="FFFFFF"/>
          <w:lang w:val="zh-CN"/>
        </w:rPr>
        <w:t>附件</w:t>
      </w:r>
      <w:r>
        <w:rPr>
          <w:rFonts w:hint="eastAsia" w:ascii="黑体" w:hAnsi="黑体" w:eastAsia="黑体" w:cs="黑体"/>
          <w:kern w:val="0"/>
          <w:sz w:val="32"/>
          <w:szCs w:val="32"/>
          <w:shd w:val="clear" w:color="auto" w:fill="FFFFFF"/>
          <w:lang w:val="en-US" w:eastAsia="zh-CN"/>
        </w:rPr>
        <w:t>3</w:t>
      </w:r>
    </w:p>
    <w:p>
      <w:pPr>
        <w:pStyle w:val="36"/>
        <w:spacing w:line="578" w:lineRule="exact"/>
        <w:jc w:val="center"/>
        <w:rPr>
          <w:rFonts w:hint="eastAsia" w:ascii="方正小标宋简体" w:hAnsi="方正小标宋简体" w:eastAsia="方正小标宋简体" w:cs="方正小标宋简体"/>
          <w:color w:val="auto"/>
          <w:kern w:val="2"/>
          <w:sz w:val="44"/>
          <w:szCs w:val="44"/>
          <w:lang w:val="en-US"/>
        </w:rPr>
      </w:pPr>
    </w:p>
    <w:p>
      <w:pPr>
        <w:pStyle w:val="36"/>
        <w:spacing w:line="578" w:lineRule="exact"/>
        <w:jc w:val="center"/>
        <w:rPr>
          <w:rFonts w:hint="eastAsia"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专项预算</w:t>
      </w:r>
      <w:r>
        <w:rPr>
          <w:rFonts w:hint="eastAsia" w:ascii="方正小标宋_GBK" w:hAnsi="方正小标宋_GBK" w:eastAsia="方正小标宋_GBK" w:cs="方正小标宋_GBK"/>
          <w:kern w:val="2"/>
          <w:sz w:val="44"/>
          <w:szCs w:val="44"/>
          <w:lang w:val="en-US" w:eastAsia="zh-CN" w:bidi="ar"/>
        </w:rPr>
        <w:t>基本药物制度</w:t>
      </w:r>
      <w:r>
        <w:rPr>
          <w:rFonts w:hint="eastAsia" w:ascii="方正小标宋简体" w:hAnsi="方正小标宋简体" w:eastAsia="方正小标宋简体" w:cs="方正小标宋简体"/>
          <w:color w:val="auto"/>
          <w:kern w:val="2"/>
          <w:sz w:val="44"/>
          <w:szCs w:val="44"/>
          <w:lang w:val="en-US"/>
        </w:rPr>
        <w:t>项目</w:t>
      </w:r>
    </w:p>
    <w:p>
      <w:pPr>
        <w:pStyle w:val="36"/>
        <w:spacing w:line="578" w:lineRule="exact"/>
        <w:jc w:val="center"/>
        <w:rPr>
          <w:rFonts w:hint="eastAsia" w:ascii="方正小标宋简体" w:hAnsi="方正小标宋简体" w:eastAsia="方正小标宋简体" w:cs="方正小标宋简体"/>
          <w:color w:val="auto"/>
          <w:kern w:val="2"/>
          <w:sz w:val="44"/>
          <w:szCs w:val="44"/>
          <w:lang w:val="en-US" w:eastAsia="zh-CN"/>
        </w:rPr>
      </w:pPr>
      <w:r>
        <w:rPr>
          <w:rFonts w:hint="eastAsia" w:ascii="方正小标宋简体" w:hAnsi="方正小标宋简体" w:eastAsia="方正小标宋简体" w:cs="方正小标宋简体"/>
          <w:color w:val="auto"/>
          <w:kern w:val="2"/>
          <w:sz w:val="44"/>
          <w:szCs w:val="44"/>
          <w:lang w:val="en-US"/>
        </w:rPr>
        <w:t>绩效评价</w:t>
      </w:r>
      <w:r>
        <w:rPr>
          <w:rFonts w:hint="eastAsia" w:ascii="方正小标宋简体" w:hAnsi="方正小标宋简体" w:eastAsia="方正小标宋简体" w:cs="方正小标宋简体"/>
          <w:color w:val="auto"/>
          <w:kern w:val="2"/>
          <w:sz w:val="44"/>
          <w:szCs w:val="44"/>
          <w:lang w:val="en-US" w:eastAsia="zh-CN"/>
        </w:rPr>
        <w:t>报告</w:t>
      </w:r>
    </w:p>
    <w:p>
      <w:pPr>
        <w:pStyle w:val="36"/>
        <w:spacing w:line="578" w:lineRule="exact"/>
        <w:ind w:firstLine="640"/>
        <w:jc w:val="center"/>
        <w:rPr>
          <w:rFonts w:ascii="宋体" w:hAnsi="宋体"/>
          <w:color w:val="auto"/>
          <w:kern w:val="2"/>
          <w:sz w:val="32"/>
          <w:szCs w:val="32"/>
        </w:rPr>
      </w:pPr>
    </w:p>
    <w:p>
      <w:pPr>
        <w:adjustRightInd w:val="0"/>
        <w:snapToGrid w:val="0"/>
        <w:spacing w:line="578"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spacing w:line="560" w:lineRule="exact"/>
        <w:ind w:left="210" w:leftChars="100" w:firstLine="321" w:firstLineChars="100"/>
        <w:rPr>
          <w:rFonts w:hint="eastAsia" w:ascii="CESI仿宋-GB2312" w:hAnsi="CESI仿宋-GB2312" w:eastAsia="CESI仿宋-GB2312" w:cs="CESI仿宋-GB2312"/>
          <w:b/>
          <w:bCs/>
          <w:sz w:val="32"/>
          <w:szCs w:val="32"/>
          <w:lang w:val="zh-CN"/>
        </w:rPr>
      </w:pPr>
      <w:r>
        <w:rPr>
          <w:rFonts w:hint="eastAsia" w:ascii="CESI仿宋-GB2312" w:hAnsi="CESI仿宋-GB2312" w:eastAsia="CESI仿宋-GB2312" w:cs="CESI仿宋-GB2312"/>
          <w:b/>
          <w:bCs/>
          <w:sz w:val="32"/>
          <w:szCs w:val="32"/>
        </w:rPr>
        <w:t>1.</w:t>
      </w:r>
      <w:r>
        <w:rPr>
          <w:rFonts w:hint="eastAsia" w:ascii="CESI仿宋-GB2312" w:hAnsi="CESI仿宋-GB2312" w:eastAsia="CESI仿宋-GB2312" w:cs="CESI仿宋-GB2312"/>
          <w:b/>
          <w:bCs/>
          <w:sz w:val="32"/>
          <w:szCs w:val="32"/>
          <w:lang w:val="zh-CN"/>
        </w:rPr>
        <w:t>说明项目主管部门（单位）在该项目管理中的职能。</w:t>
      </w:r>
    </w:p>
    <w:p>
      <w:pPr>
        <w:spacing w:line="560" w:lineRule="exact"/>
        <w:ind w:firstLine="640" w:firstLineChars="200"/>
        <w:rPr>
          <w:rFonts w:hint="eastAsia" w:ascii="CESI仿宋-GB2312" w:hAnsi="CESI仿宋-GB2312" w:eastAsia="CESI仿宋-GB2312" w:cs="CESI仿宋-GB2312"/>
          <w:b w:val="0"/>
          <w:bCs/>
          <w:sz w:val="32"/>
          <w:szCs w:val="32"/>
          <w:lang w:val="zh-CN" w:eastAsia="zh-CN"/>
        </w:rPr>
      </w:pPr>
      <w:r>
        <w:rPr>
          <w:rFonts w:hint="eastAsia" w:ascii="CESI仿宋-GB2312" w:hAnsi="CESI仿宋-GB2312" w:eastAsia="CESI仿宋-GB2312" w:cs="CESI仿宋-GB2312"/>
          <w:b w:val="0"/>
          <w:bCs/>
          <w:sz w:val="32"/>
          <w:szCs w:val="32"/>
          <w:lang w:val="zh-CN" w:eastAsia="zh-CN"/>
        </w:rPr>
        <w:t>县卫生健康局负责制定基本药物制度项目绩效考核方案，及时将中央和省级转移支付资金下达至项目执行单位，组织实施监督和绩效考核。</w:t>
      </w:r>
    </w:p>
    <w:p>
      <w:pPr>
        <w:adjustRightInd w:val="0"/>
        <w:snapToGrid w:val="0"/>
        <w:spacing w:line="600" w:lineRule="exact"/>
        <w:ind w:firstLine="720"/>
        <w:rPr>
          <w:rFonts w:hint="eastAsia" w:ascii="CESI仿宋-GB2312" w:hAnsi="CESI仿宋-GB2312" w:eastAsia="CESI仿宋-GB2312" w:cs="CESI仿宋-GB2312"/>
          <w:b/>
          <w:bCs/>
          <w:sz w:val="32"/>
          <w:szCs w:val="32"/>
          <w:lang w:val="zh-CN"/>
        </w:rPr>
      </w:pPr>
      <w:r>
        <w:rPr>
          <w:rFonts w:hint="eastAsia" w:ascii="CESI仿宋-GB2312" w:hAnsi="CESI仿宋-GB2312" w:eastAsia="CESI仿宋-GB2312" w:cs="CESI仿宋-GB2312"/>
          <w:b/>
          <w:bCs/>
          <w:sz w:val="32"/>
          <w:szCs w:val="32"/>
        </w:rPr>
        <w:t>2.</w:t>
      </w:r>
      <w:r>
        <w:rPr>
          <w:rFonts w:hint="eastAsia" w:ascii="CESI仿宋-GB2312" w:hAnsi="CESI仿宋-GB2312" w:eastAsia="CESI仿宋-GB2312" w:cs="CESI仿宋-GB2312"/>
          <w:b/>
          <w:bCs/>
          <w:sz w:val="32"/>
          <w:szCs w:val="32"/>
          <w:lang w:val="zh-CN"/>
        </w:rPr>
        <w:t>项目立项、资金申报的依据。</w:t>
      </w:r>
    </w:p>
    <w:p>
      <w:pPr>
        <w:spacing w:line="560" w:lineRule="exact"/>
        <w:ind w:firstLine="640" w:firstLineChars="200"/>
        <w:rPr>
          <w:rFonts w:hint="eastAsia" w:ascii="CESI仿宋-GB2312" w:hAnsi="CESI仿宋-GB2312" w:eastAsia="CESI仿宋-GB2312" w:cs="CESI仿宋-GB2312"/>
          <w:b w:val="0"/>
          <w:bCs/>
          <w:sz w:val="32"/>
          <w:szCs w:val="32"/>
          <w:lang w:val="zh-CN" w:eastAsia="zh-CN"/>
        </w:rPr>
      </w:pPr>
      <w:r>
        <w:rPr>
          <w:rFonts w:hint="eastAsia" w:ascii="CESI仿宋-GB2312" w:hAnsi="CESI仿宋-GB2312" w:eastAsia="CESI仿宋-GB2312" w:cs="CESI仿宋-GB2312"/>
          <w:b w:val="0"/>
          <w:bCs/>
          <w:sz w:val="32"/>
          <w:szCs w:val="32"/>
          <w:lang w:val="zh-CN" w:eastAsia="zh-CN"/>
        </w:rPr>
        <w:t>加强和规范中央和省级财政支持基层医疗卫生机构实施国家基本药物制度补助资金的分配、使用和管理，根据《中</w:t>
      </w:r>
    </w:p>
    <w:p>
      <w:pPr>
        <w:spacing w:line="560" w:lineRule="exact"/>
        <w:jc w:val="left"/>
        <w:rPr>
          <w:rFonts w:hint="eastAsia" w:ascii="CESI仿宋-GB2312" w:hAnsi="CESI仿宋-GB2312" w:eastAsia="CESI仿宋-GB2312" w:cs="CESI仿宋-GB2312"/>
          <w:b w:val="0"/>
          <w:bCs/>
          <w:sz w:val="32"/>
          <w:szCs w:val="32"/>
          <w:lang w:val="en-US" w:eastAsia="zh-CN"/>
        </w:rPr>
      </w:pPr>
      <w:r>
        <w:rPr>
          <w:rFonts w:hint="eastAsia" w:ascii="CESI仿宋-GB2312" w:hAnsi="CESI仿宋-GB2312" w:eastAsia="CESI仿宋-GB2312" w:cs="CESI仿宋-GB2312"/>
          <w:b w:val="0"/>
          <w:bCs/>
          <w:sz w:val="32"/>
          <w:szCs w:val="32"/>
          <w:lang w:val="zh-CN" w:eastAsia="zh-CN"/>
        </w:rPr>
        <w:t>华人民共和国预算法》《财政部 国家卫生健康委基本药物制度补助资金管理办法》《中共四川省委四川省人民政府关于全面预算绩效管理的实施意见》《四川省人民政府关于改革完善省对下转移支付制度的意见》《四川省国家基本药物制度实施意见》《关于建立健全基层医疗卫生机构补偿机制的意见》《四川省人民政府办公厅关于印发四川省基本公共服务领域省与市县共同财政事权和支出责任划分改革方案的通知》《四川省财政厅 四川省卫生健康委员会 四川省医疗保障局 四川省中医药管理局关于印发公共卫生等5项补助资金管理办法的通知》等有关法律法规和政策文件。</w:t>
      </w:r>
    </w:p>
    <w:p>
      <w:pPr>
        <w:spacing w:line="560" w:lineRule="exact"/>
        <w:ind w:firstLine="643" w:firstLineChars="200"/>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3.</w:t>
      </w:r>
      <w:r>
        <w:rPr>
          <w:rFonts w:hint="eastAsia" w:ascii="CESI仿宋-GB2312" w:hAnsi="CESI仿宋-GB2312" w:eastAsia="CESI仿宋-GB2312" w:cs="CESI仿宋-GB2312"/>
          <w:b/>
          <w:bCs/>
          <w:sz w:val="32"/>
          <w:szCs w:val="32"/>
          <w:lang w:val="zh-CN"/>
        </w:rPr>
        <w:t>资金管理办法制定情况，资金支持具体项目的条件、范围与支持方式概况。</w:t>
      </w:r>
    </w:p>
    <w:p>
      <w:pPr>
        <w:spacing w:line="560" w:lineRule="exact"/>
        <w:ind w:firstLine="640" w:firstLineChars="200"/>
        <w:rPr>
          <w:rFonts w:hint="eastAsia" w:ascii="CESI仿宋-GB2312" w:hAnsi="CESI仿宋-GB2312" w:eastAsia="CESI仿宋-GB2312" w:cs="CESI仿宋-GB2312"/>
          <w:b w:val="0"/>
          <w:bCs/>
          <w:sz w:val="32"/>
          <w:szCs w:val="32"/>
          <w:lang w:val="zh-CN" w:eastAsia="zh-CN"/>
        </w:rPr>
      </w:pPr>
      <w:r>
        <w:rPr>
          <w:rFonts w:hint="eastAsia" w:ascii="CESI仿宋-GB2312" w:hAnsi="CESI仿宋-GB2312" w:eastAsia="CESI仿宋-GB2312" w:cs="CESI仿宋-GB2312"/>
          <w:b w:val="0"/>
          <w:bCs/>
          <w:sz w:val="32"/>
          <w:szCs w:val="32"/>
          <w:lang w:val="zh-CN" w:eastAsia="zh-CN"/>
        </w:rPr>
        <w:t>为巩固国家基本药物制度实施成果，强化监督和考核工作，规范实施国家基本药物制度，按照《四川省卫生健康委员会办公室关于进一步加强基本药物制度绩效考核的通知》（川卫办基卫便函〔2023〕26号）《攀枝花市卫生健康委员会关于下达2023年基本药物制度绩效考核指标的通知》要求，结合全县实际，印制定了《盐边县卫生健康局关于印发基层医疗卫生机构国家基本药物制度绩效考核方案（试行）的通知》，按照客观公正，民主公开，分级考核，合理规划，科学论证，强化管理，注重实效，讲求绩效，量效挂钩的原则加强国家基本药物制度补助资金管理，提高资金使用效益，确保国家基本药物制度的有效实施，推进基层医疗卫生机构综合改革，转变医疗卫生服务模式，有效控制不合理医疗费用，增强城乡居民就诊看病的“获得感”，鼓励基层医疗机构抓实基本医疗服务。</w:t>
      </w:r>
    </w:p>
    <w:p>
      <w:pPr>
        <w:spacing w:line="560" w:lineRule="exact"/>
        <w:ind w:firstLine="643" w:firstLineChars="200"/>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4.</w:t>
      </w:r>
      <w:r>
        <w:rPr>
          <w:rFonts w:hint="eastAsia" w:ascii="CESI仿宋-GB2312" w:hAnsi="CESI仿宋-GB2312" w:eastAsia="CESI仿宋-GB2312" w:cs="CESI仿宋-GB2312"/>
          <w:b/>
          <w:bCs/>
          <w:sz w:val="32"/>
          <w:szCs w:val="32"/>
          <w:lang w:val="zh-CN"/>
        </w:rPr>
        <w:t>资金分配的原则及考虑因素。</w:t>
      </w:r>
    </w:p>
    <w:p>
      <w:pPr>
        <w:widowControl/>
        <w:adjustRightInd w:val="0"/>
        <w:snapToGrid w:val="0"/>
        <w:spacing w:line="578" w:lineRule="exact"/>
        <w:ind w:firstLine="640" w:firstLineChars="200"/>
        <w:contextualSpacing/>
        <w:jc w:val="left"/>
        <w:rPr>
          <w:rFonts w:hint="eastAsia" w:ascii="CESI仿宋-GB2312" w:hAnsi="CESI仿宋-GB2312" w:eastAsia="CESI仿宋-GB2312" w:cs="CESI仿宋-GB2312"/>
          <w:b w:val="0"/>
          <w:bCs/>
          <w:sz w:val="32"/>
          <w:szCs w:val="32"/>
          <w:lang w:val="zh-CN" w:eastAsia="zh-CN"/>
        </w:rPr>
      </w:pPr>
      <w:r>
        <w:rPr>
          <w:rFonts w:hint="eastAsia" w:ascii="CESI仿宋-GB2312" w:hAnsi="CESI仿宋-GB2312" w:eastAsia="CESI仿宋-GB2312" w:cs="CESI仿宋-GB2312"/>
          <w:b w:val="0"/>
          <w:bCs/>
          <w:sz w:val="32"/>
          <w:szCs w:val="32"/>
          <w:lang w:val="zh-CN" w:eastAsia="zh-CN"/>
        </w:rPr>
        <w:t>（1）分配原则</w:t>
      </w:r>
    </w:p>
    <w:p>
      <w:pPr>
        <w:widowControl/>
        <w:adjustRightInd w:val="0"/>
        <w:snapToGrid w:val="0"/>
        <w:spacing w:line="578" w:lineRule="exact"/>
        <w:ind w:firstLine="640" w:firstLineChars="200"/>
        <w:contextualSpacing/>
        <w:jc w:val="left"/>
        <w:rPr>
          <w:rFonts w:hint="eastAsia" w:ascii="CESI仿宋-GB2312" w:hAnsi="CESI仿宋-GB2312" w:eastAsia="CESI仿宋-GB2312" w:cs="CESI仿宋-GB2312"/>
          <w:b w:val="0"/>
          <w:bCs/>
          <w:sz w:val="32"/>
          <w:szCs w:val="32"/>
          <w:lang w:val="zh-CN" w:eastAsia="zh-CN"/>
        </w:rPr>
      </w:pPr>
      <w:r>
        <w:rPr>
          <w:rFonts w:hint="eastAsia" w:ascii="CESI仿宋-GB2312" w:hAnsi="CESI仿宋-GB2312" w:eastAsia="CESI仿宋-GB2312" w:cs="CESI仿宋-GB2312"/>
          <w:b w:val="0"/>
          <w:bCs/>
          <w:sz w:val="32"/>
          <w:szCs w:val="32"/>
          <w:lang w:val="zh-CN" w:eastAsia="zh-CN"/>
        </w:rPr>
        <w:t>合理规划，分级管理。按照医改工作总体要求及相关规划，合理分配补助资金。</w:t>
      </w:r>
    </w:p>
    <w:p>
      <w:pPr>
        <w:widowControl/>
        <w:adjustRightInd w:val="0"/>
        <w:snapToGrid w:val="0"/>
        <w:spacing w:line="578" w:lineRule="exact"/>
        <w:ind w:firstLine="640" w:firstLineChars="200"/>
        <w:contextualSpacing/>
        <w:jc w:val="left"/>
        <w:rPr>
          <w:rFonts w:hint="eastAsia" w:ascii="CESI仿宋-GB2312" w:hAnsi="CESI仿宋-GB2312" w:eastAsia="CESI仿宋-GB2312" w:cs="CESI仿宋-GB2312"/>
          <w:b w:val="0"/>
          <w:bCs/>
          <w:sz w:val="32"/>
          <w:szCs w:val="32"/>
          <w:lang w:val="zh-CN" w:eastAsia="zh-CN"/>
        </w:rPr>
      </w:pPr>
      <w:r>
        <w:rPr>
          <w:rFonts w:hint="eastAsia" w:ascii="CESI仿宋-GB2312" w:hAnsi="CESI仿宋-GB2312" w:eastAsia="CESI仿宋-GB2312" w:cs="CESI仿宋-GB2312"/>
          <w:b w:val="0"/>
          <w:bCs/>
          <w:sz w:val="32"/>
          <w:szCs w:val="32"/>
          <w:lang w:val="zh-CN" w:eastAsia="zh-CN"/>
        </w:rPr>
        <w:t>统筹安排，保障基本。结合实际工作需要，统筹安排上级转移支付资金和本级预算安排资金，支持落实相关工作任务。</w:t>
      </w:r>
    </w:p>
    <w:p>
      <w:pPr>
        <w:widowControl/>
        <w:adjustRightInd w:val="0"/>
        <w:snapToGrid w:val="0"/>
        <w:spacing w:line="578" w:lineRule="exact"/>
        <w:ind w:firstLine="640" w:firstLineChars="200"/>
        <w:contextualSpacing/>
        <w:jc w:val="left"/>
        <w:rPr>
          <w:rFonts w:hint="eastAsia" w:ascii="CESI仿宋-GB2312" w:hAnsi="CESI仿宋-GB2312" w:eastAsia="CESI仿宋-GB2312" w:cs="CESI仿宋-GB2312"/>
          <w:b w:val="0"/>
          <w:bCs/>
          <w:sz w:val="32"/>
          <w:szCs w:val="32"/>
          <w:lang w:val="zh-CN" w:eastAsia="zh-CN"/>
        </w:rPr>
      </w:pPr>
      <w:r>
        <w:rPr>
          <w:rFonts w:hint="eastAsia" w:ascii="CESI仿宋-GB2312" w:hAnsi="CESI仿宋-GB2312" w:eastAsia="CESI仿宋-GB2312" w:cs="CESI仿宋-GB2312"/>
          <w:b w:val="0"/>
          <w:bCs/>
          <w:sz w:val="32"/>
          <w:szCs w:val="32"/>
          <w:lang w:val="zh-CN" w:eastAsia="zh-CN"/>
        </w:rPr>
        <w:t>讲求绩效，量效挂钩。补助资金实施全过程预算绩效管理，建立绩效评价结果与资金分配挂钩机制，提高资金使用效益。</w:t>
      </w:r>
    </w:p>
    <w:p>
      <w:pPr>
        <w:widowControl/>
        <w:adjustRightInd w:val="0"/>
        <w:snapToGrid w:val="0"/>
        <w:spacing w:line="578" w:lineRule="exact"/>
        <w:ind w:firstLine="640" w:firstLineChars="200"/>
        <w:contextualSpacing/>
        <w:jc w:val="left"/>
        <w:rPr>
          <w:rFonts w:hint="eastAsia" w:ascii="CESI仿宋-GB2312" w:hAnsi="CESI仿宋-GB2312" w:eastAsia="CESI仿宋-GB2312" w:cs="CESI仿宋-GB2312"/>
          <w:b w:val="0"/>
          <w:bCs/>
          <w:sz w:val="32"/>
          <w:szCs w:val="32"/>
          <w:lang w:val="zh-CN" w:eastAsia="zh-CN"/>
        </w:rPr>
      </w:pPr>
      <w:r>
        <w:rPr>
          <w:rFonts w:hint="eastAsia" w:ascii="CESI仿宋-GB2312" w:hAnsi="CESI仿宋-GB2312" w:eastAsia="CESI仿宋-GB2312" w:cs="CESI仿宋-GB2312"/>
          <w:b w:val="0"/>
          <w:bCs/>
          <w:sz w:val="32"/>
          <w:szCs w:val="32"/>
          <w:lang w:val="zh-CN" w:eastAsia="zh-CN"/>
        </w:rPr>
        <w:t>（2）分配因素</w:t>
      </w:r>
    </w:p>
    <w:p>
      <w:pPr>
        <w:widowControl/>
        <w:adjustRightInd w:val="0"/>
        <w:snapToGrid w:val="0"/>
        <w:spacing w:line="578" w:lineRule="exact"/>
        <w:ind w:firstLine="640" w:firstLineChars="200"/>
        <w:contextualSpacing/>
        <w:jc w:val="left"/>
        <w:rPr>
          <w:rFonts w:hint="eastAsia" w:ascii="CESI仿宋-GB2312" w:hAnsi="CESI仿宋-GB2312" w:eastAsia="CESI仿宋-GB2312" w:cs="CESI仿宋-GB2312"/>
          <w:b w:val="0"/>
          <w:bCs/>
          <w:sz w:val="32"/>
          <w:szCs w:val="32"/>
          <w:lang w:val="zh-CN" w:eastAsia="zh-CN"/>
        </w:rPr>
      </w:pPr>
      <w:r>
        <w:rPr>
          <w:rFonts w:hint="eastAsia" w:ascii="CESI仿宋-GB2312" w:hAnsi="CESI仿宋-GB2312" w:eastAsia="CESI仿宋-GB2312" w:cs="CESI仿宋-GB2312"/>
          <w:b w:val="0"/>
          <w:bCs/>
          <w:sz w:val="32"/>
          <w:szCs w:val="32"/>
          <w:lang w:val="zh-CN" w:eastAsia="zh-CN"/>
        </w:rPr>
        <w:t>对社区卫生服务中心和乡镇卫生院，按照“核定任务、核定收支、绩效考核补助”的办法核定补助资金。其中:中央补</w:t>
      </w:r>
    </w:p>
    <w:p>
      <w:pPr>
        <w:widowControl/>
        <w:adjustRightInd w:val="0"/>
        <w:snapToGrid w:val="0"/>
        <w:spacing w:line="578" w:lineRule="exact"/>
        <w:ind w:firstLine="640" w:firstLineChars="200"/>
        <w:contextualSpacing/>
        <w:jc w:val="left"/>
        <w:rPr>
          <w:rFonts w:hint="eastAsia" w:ascii="CESI仿宋-GB2312" w:hAnsi="CESI仿宋-GB2312" w:eastAsia="CESI仿宋-GB2312" w:cs="CESI仿宋-GB2312"/>
          <w:b w:val="0"/>
          <w:bCs/>
          <w:sz w:val="32"/>
          <w:szCs w:val="32"/>
          <w:lang w:val="zh-CN" w:eastAsia="zh-CN"/>
        </w:rPr>
      </w:pPr>
      <w:r>
        <w:rPr>
          <w:rFonts w:hint="eastAsia" w:ascii="CESI仿宋-GB2312" w:hAnsi="CESI仿宋-GB2312" w:eastAsia="CESI仿宋-GB2312" w:cs="CESI仿宋-GB2312"/>
          <w:b w:val="0"/>
          <w:bCs/>
          <w:sz w:val="32"/>
          <w:szCs w:val="32"/>
          <w:lang w:val="zh-CN" w:eastAsia="zh-CN"/>
        </w:rPr>
        <w:t>助资金按照常住人口数分配，并参照绩效考核因素予以调整;省级补助资金根据常住人口数和既定补助标准据实分配。分配所需的常住人口数量为省统计局公布的第N-2年常住人口数量(N为资金下达年度)。</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CESI仿宋-GB2312" w:hAnsi="CESI仿宋-GB2312" w:eastAsia="CESI仿宋-GB2312" w:cs="CESI仿宋-GB2312"/>
          <w:b w:val="0"/>
          <w:bCs/>
          <w:sz w:val="32"/>
          <w:szCs w:val="32"/>
          <w:lang w:val="zh-CN" w:eastAsia="zh-CN"/>
        </w:rPr>
        <w:t>对村卫生室，中央补助资金按照农业人口数和村卫生室个数两个因素分配;省级转移支付资金按照村卫生室个数和补助标准两个因素分配。分配所需的农业人口数量为省统计局公布的第N-2年农业人口数量(N为资金下达年度)。</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1．项目主要内容。</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保证所有政府办基层医疗卫生机构实施国家基本药物制度，推进综合改革顺利进行。对实施国家基本药物制度的村卫生室给予补助，支持国家基本药物制度在村卫生室顺利实施。</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2．项目应实现的具体绩效目标，</w:t>
      </w:r>
      <w:r>
        <w:rPr>
          <w:rFonts w:hint="eastAsia" w:ascii="仿宋_GB2312" w:hAnsi="仿宋_GB2312" w:eastAsia="仿宋_GB2312" w:cs="仿宋_GB2312"/>
          <w:kern w:val="0"/>
          <w:sz w:val="32"/>
          <w:szCs w:val="32"/>
          <w:shd w:val="clear" w:color="auto" w:fill="FFFFFF"/>
        </w:rPr>
        <w:t>包括</w:t>
      </w:r>
      <w:r>
        <w:rPr>
          <w:rFonts w:hint="eastAsia" w:ascii="CESI仿宋-GB2312" w:hAnsi="CESI仿宋-GB2312" w:eastAsia="CESI仿宋-GB2312" w:cs="CESI仿宋-GB2312"/>
          <w:kern w:val="0"/>
          <w:sz w:val="32"/>
          <w:szCs w:val="32"/>
          <w:shd w:val="clear" w:color="auto" w:fill="FFFFFF"/>
        </w:rPr>
        <w:t>绩效</w:t>
      </w:r>
      <w:r>
        <w:rPr>
          <w:rFonts w:hint="eastAsia" w:ascii="仿宋_GB2312" w:hAnsi="仿宋_GB2312" w:eastAsia="仿宋_GB2312" w:cs="仿宋_GB2312"/>
          <w:kern w:val="0"/>
          <w:sz w:val="32"/>
          <w:szCs w:val="32"/>
          <w:shd w:val="clear" w:color="auto" w:fill="FFFFFF"/>
          <w:lang w:val="zh-CN"/>
        </w:rPr>
        <w:t>目标的量化细化情况</w:t>
      </w:r>
      <w:r>
        <w:rPr>
          <w:rFonts w:hint="eastAsia" w:ascii="仿宋_GB2312" w:hAnsi="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lang w:val="zh-CN"/>
        </w:rPr>
        <w:t>项目实施进度计划等。</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加强国家基本药物制度补助资金管理，提高资金使用效益，确保国家基本药物制度的有效实施，推进基层医疗卫生机构综合改革，转变医疗卫生服务模式，有效控制不合理医疗费用，增强城乡居民就诊看病的“获得感”，鼓励基层医疗机构抓实基本医疗服务。2023年基层医疗卫生机构和村卫生室全面实施了国家基本药物制度，依据考核方案给予了资金补助，基本药物制度在我县落地落实。</w:t>
      </w:r>
    </w:p>
    <w:p>
      <w:pPr>
        <w:widowControl/>
        <w:numPr>
          <w:ilvl w:val="0"/>
          <w:numId w:val="7"/>
        </w:numPr>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分析评价申报内容是否与实际相符，申报目标是否合理可行。</w:t>
      </w:r>
    </w:p>
    <w:p>
      <w:pPr>
        <w:widowControl/>
        <w:numPr>
          <w:ilvl w:val="0"/>
          <w:numId w:val="0"/>
        </w:numPr>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按根据开展基本药物指导工作情况分析，申报内容是与实际相符，申报目标是合理可行的。</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组织相关人员开展基本药物制度绩效考核，一是通过现场查看了解基层医疗机构和村卫生室执行基本药物“零”加价、提高群众满意度评价效益；二是利用药械平台提取基层医疗机构采购基本药物量作为量化兑现补助；三是通过乡村一体化管理由乡镇卫生院代采购村卫生室的基本药物，并监督执行及绩效考核。</w:t>
      </w:r>
    </w:p>
    <w:p>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578" w:lineRule="exact"/>
        <w:ind w:firstLine="72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2023年度，共计下达项目资金348.82万元，其中：中央资金217.19万元，省级资金131.63万元。截止2023年12月底，已全部完成项目资金的拨付。</w:t>
      </w:r>
    </w:p>
    <w:p>
      <w:pPr>
        <w:adjustRightInd w:val="0"/>
        <w:snapToGrid w:val="0"/>
        <w:spacing w:line="578" w:lineRule="exact"/>
        <w:ind w:firstLine="720"/>
        <w:rPr>
          <w:rFonts w:ascii="仿宋_GB2312" w:hAnsi="宋体"/>
          <w:sz w:val="32"/>
          <w:szCs w:val="32"/>
          <w:lang w:val="zh-CN"/>
        </w:rPr>
      </w:pPr>
      <w:r>
        <w:rPr>
          <w:rFonts w:hint="eastAsia" w:ascii="楷体_GB2312" w:hAnsi="宋体" w:eastAsia="楷体_GB2312"/>
          <w:b/>
          <w:sz w:val="32"/>
          <w:szCs w:val="32"/>
          <w:lang w:val="zh-CN"/>
        </w:rPr>
        <w:t>（二）资金计划、到位及使用情况。</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1．资金计划。上级共下达项目资金348.82万元，全部用于基层医疗卫生机构和村卫生室开展基本药物制度。</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2．资金到位。</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2022年12月14日，印发《四川省财政厅  四川省卫生健康委员会关于提前下达2023年基本药物制度中央和省级补助资金的通知》（川财社〔2022〕153号）文件，拨付项目中央和省级资金322.81万元，其中拨付基层医疗机构130.56万元（中央资金91.18万元、省级资金39.38万元）；拨付村卫生室项目资金192.25万元（中央109.11万元、省级83.14万元）</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2023年6月27日，印发《四川省财政厅四川省卫生健康委员会关于下达2023年基本药物制度中央和省级补助资金的通知》（川财社〔2023〕70号）文件，拨付项目中央和省级资金26.01万元，其中拨付基层医疗机构中央资金14.78万元；拨付村卫生室11.23万元（中央资金2.12万元，省级资金9.11万元）。</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3．资金使用。2023年基本药物补助资金348.82万元，按照客观公正，民主公开，分级考核，合理规划，科学论证，强化管理，注重实效，讲求绩效，量效挂钩的原则加强国家基本药物制度补助资金管理，提高资金使用效益，确保国家基本药物制度的有效实施，推进基层医疗卫生机构综合改革，转变医疗卫生服务模式，有效控制不合理医疗费用，增强城乡居民就诊看病的“获得感”，鼓励基层医疗机构抓实基本医疗服务。制定《盐边县卫生健康局关于印发基层医疗卫生机构国家基本药物制度绩效考核方案（试行）的通知》，科学分配补助资金给基层医疗机构和村卫生室。</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578" w:lineRule="exact"/>
        <w:ind w:firstLine="72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县财政局、县卫生健康局及我县相关基层医疗机构严格按照全面实施预算绩效管理的要求，强化绩效目标管理，做好本地区补助资金监督检查和绩效评价工作，并加强结果应用，确保提高补助资金配置效率和使用效益。县卫生健康部门负责项目业务指导和管理，并对项目执行情况开展每年一次的绩效评价。</w:t>
      </w:r>
    </w:p>
    <w:p>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578"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adjustRightInd w:val="0"/>
        <w:snapToGrid w:val="0"/>
        <w:spacing w:line="578" w:lineRule="exact"/>
        <w:ind w:firstLine="720"/>
        <w:rPr>
          <w:rFonts w:hint="eastAsia" w:ascii="CESI仿宋-GB2312" w:hAnsi="CESI仿宋-GB2312" w:eastAsia="CESI仿宋-GB2312" w:cs="CESI仿宋-GB2312"/>
          <w:b w:val="0"/>
          <w:bCs/>
          <w:sz w:val="32"/>
          <w:szCs w:val="32"/>
          <w:lang w:val="zh-CN"/>
        </w:rPr>
      </w:pPr>
      <w:r>
        <w:rPr>
          <w:rFonts w:hint="eastAsia" w:ascii="CESI仿宋-GB2312" w:hAnsi="CESI仿宋-GB2312" w:eastAsia="CESI仿宋-GB2312" w:cs="CESI仿宋-GB2312"/>
          <w:b w:val="0"/>
          <w:bCs/>
          <w:sz w:val="32"/>
          <w:szCs w:val="32"/>
          <w:lang w:val="zh-CN"/>
        </w:rPr>
        <w:t>通过上述分配原则和因素，由县卫生健康局党组研究决定后分配项目资金给基层医疗机构组织实施。</w:t>
      </w:r>
    </w:p>
    <w:p>
      <w:pPr>
        <w:adjustRightInd w:val="0"/>
        <w:snapToGrid w:val="0"/>
        <w:spacing w:line="578"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（二）项目管理情况。</w:t>
      </w:r>
    </w:p>
    <w:p>
      <w:pPr>
        <w:adjustRightInd w:val="0"/>
        <w:snapToGrid w:val="0"/>
        <w:spacing w:line="578" w:lineRule="exact"/>
        <w:ind w:firstLine="720"/>
        <w:rPr>
          <w:rFonts w:hint="eastAsia" w:ascii="楷体_GB2312" w:hAnsi="宋体" w:eastAsia="楷体_GB2312"/>
          <w:b/>
          <w:sz w:val="32"/>
          <w:szCs w:val="32"/>
          <w:lang w:val="zh-CN"/>
        </w:rPr>
      </w:pPr>
      <w:r>
        <w:rPr>
          <w:rFonts w:hint="eastAsia" w:ascii="仿宋_GB2312" w:hAnsi="仿宋_GB2312" w:eastAsia="仿宋_GB2312" w:cs="仿宋_GB2312"/>
          <w:kern w:val="0"/>
          <w:sz w:val="32"/>
          <w:szCs w:val="32"/>
          <w:shd w:val="clear" w:color="auto" w:fill="FFFFFF"/>
          <w:lang w:val="zh-CN"/>
        </w:rPr>
        <w:t>根据《四川省财政厅 四川省卫生健康委员会 四川省医疗保障局 四川省中医药管理局关于印发公共卫生等5项补助资金管理办法的通知》（川财社〔2022〕112号）中《四川省基本药物制度补助资金管理办法》严格执行项目管理。</w:t>
      </w:r>
      <w:r>
        <w:rPr>
          <w:rFonts w:hint="eastAsia" w:ascii="楷体_GB2312" w:hAnsi="宋体" w:eastAsia="楷体_GB2312"/>
          <w:b/>
          <w:sz w:val="32"/>
          <w:szCs w:val="32"/>
          <w:lang w:val="zh-CN"/>
        </w:rPr>
        <w:t>（三）项目监管情况。</w:t>
      </w:r>
    </w:p>
    <w:p>
      <w:pPr>
        <w:adjustRightInd w:val="0"/>
        <w:snapToGrid w:val="0"/>
        <w:spacing w:line="578" w:lineRule="exact"/>
        <w:ind w:firstLine="72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按照《盐边县卫生健康局关于印发基层医疗卫生机构国家基本药物制度绩效考核方案（试行）的通知》要求，县卫生健康局负责对基层医疗卫生机构进行考核，基层医疗卫生机构负责对本辖区内村卫生室进行考核，县卫生健康局按照每个乡（镇）村卫生室不低于20%的比例进行抽查复核。按照半年一次的频次开展考核，半年考核与年终考核各占50%比例进行最终核算，考核结果与补助资金直接挂钩。</w:t>
      </w:r>
    </w:p>
    <w:p>
      <w:pPr>
        <w:adjustRightInd w:val="0"/>
        <w:snapToGrid w:val="0"/>
        <w:spacing w:line="578" w:lineRule="exact"/>
        <w:ind w:firstLine="720"/>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578" w:lineRule="exact"/>
        <w:ind w:firstLine="72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2023年，我县兑现基本药物补助的基层医疗机构为13家，100%政府办基层医疗卫生机构实施国家基本药物制度；村卫生室执行基本药物制度142家，村卫生室实施国家基本药物制度覆盖率100%。基层医疗卫生机构“优质服务基层行”活动开展评价机构数比例为100%，达到基本标准11家，2家达到推荐标准，达标率为100%。</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578" w:lineRule="exact"/>
        <w:ind w:firstLine="720"/>
        <w:rPr>
          <w:rFonts w:ascii="黑体" w:hAnsi="宋体" w:eastAsia="黑体"/>
          <w:sz w:val="32"/>
          <w:szCs w:val="32"/>
        </w:rPr>
      </w:pPr>
      <w:r>
        <w:rPr>
          <w:rFonts w:hint="eastAsia" w:ascii="仿宋_GB2312" w:hAnsi="仿宋_GB2312" w:eastAsia="仿宋_GB2312" w:cs="仿宋_GB2312"/>
          <w:kern w:val="0"/>
          <w:sz w:val="32"/>
          <w:szCs w:val="32"/>
          <w:shd w:val="clear" w:color="auto" w:fill="FFFFFF"/>
        </w:rPr>
        <w:t>通过执行基本药物制度，对乡村医生的药品采购、艰苦因素等进行综合考虑后发放补助，乡村医生的收入保持稳定，在精准扶贫工作中发挥着积极作用；执行基本药物制度补助资金用于支持基层医疗卫生机构实施国家基本药物制度、推进基层医疗卫生机构综合改革，提升人民群众的获得感，在一段时间内（中长期）国家基本药物制度将在基层持续实施。</w:t>
      </w:r>
      <w:r>
        <w:rPr>
          <w:rFonts w:hint="eastAsia" w:ascii="黑体" w:hAnsi="宋体" w:eastAsia="黑体"/>
          <w:sz w:val="32"/>
          <w:szCs w:val="32"/>
        </w:rPr>
        <w:t>五、评价结论及建议</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22023年基本药物补助资金项目在卫生健康局的统筹安排下，在财政部门的支持下，通过项目单位（基层医疗机构）共同努力下达到支持基层医疗卫生机构实施国家基本药物制度的目的。社区卫生服务中心和乡镇卫生院，弥补核定收支后的经常性收支差额补助、推进基层医疗卫生机构综合改革等符合政府卫生投入政策落地见效。实施基本药物制度的村卫生室，乡村医生的收入补助得到提高。基层医疗机构的就医环境、服务能力、服务流程进一步改善，人民群众的获得感和满意度进一步提升，基层医疗机构医防结合能力得到加强。</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578" w:lineRule="exact"/>
        <w:ind w:firstLine="72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由于我县开展区域规划撤乡并镇、强村并组工作，原有的行政村撤并减少，村医去留是个大问题，导致积极性不高，落实基本药物制度不到位。</w:t>
      </w:r>
    </w:p>
    <w:p>
      <w:pPr>
        <w:adjustRightInd w:val="0"/>
        <w:snapToGrid w:val="0"/>
        <w:spacing w:line="578" w:lineRule="exact"/>
        <w:ind w:firstLine="72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基层医疗机构基本药物挂网采购价格普遍较高，药店和社会办医在药品销售上占一定的优势，人民群众对政府举办的基层医疗机构药品价格产生质疑。</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pStyle w:val="6"/>
        <w:ind w:firstLine="640" w:firstLineChars="200"/>
        <w:rPr>
          <w:rFonts w:hint="default" w:ascii="Times New Roman" w:hAnsi="Times New Roman" w:eastAsia="方正仿宋_GBK" w:cs="Times New Roman"/>
          <w:b/>
          <w:bCs w:val="0"/>
          <w:sz w:val="32"/>
          <w:szCs w:val="32"/>
          <w:lang w:val="en-US" w:eastAsia="zh-CN"/>
        </w:rPr>
      </w:pPr>
      <w:r>
        <w:rPr>
          <w:rFonts w:hint="eastAsia" w:ascii="CESI仿宋-GB2312" w:hAnsi="CESI仿宋-GB2312" w:eastAsia="CESI仿宋-GB2312" w:cs="CESI仿宋-GB2312"/>
          <w:b w:val="0"/>
          <w:bCs/>
          <w:sz w:val="32"/>
          <w:szCs w:val="32"/>
          <w:lang w:val="en-US" w:eastAsia="zh-CN"/>
        </w:rPr>
        <w:t>下一步将充分结合自身的情况，一是强弱项，补短板，积极争取政府的支持，科学设置村卫生室，形成稳定的村卫生室稳定的村医收入，确保人民群众能就近就医，为乡村振兴提高良好的农村医疗环境；二是充分利用我县县域紧密型医共体试点县的契机，科学谋划，统筹考虑，在医共体政策体系更加完善，保障机制更加健全，建成目标明确、权责清晰、分工协作、有效运行的整合型医疗卫生体系上将基本药物制度在基层医疗机构落地落实，彻底解除以药补医机制，力促基层门急诊人次和住院人次占比较前一年度有所提升，基层开展技术、项目的能力不断增加，基本实现“大病不出县、小病不出乡（镇）”。</w:t>
      </w:r>
    </w:p>
    <w:p>
      <w:pPr>
        <w:pStyle w:val="6"/>
        <w:rPr>
          <w:rFonts w:hint="eastAsia" w:ascii="黑体" w:hAnsi="黑体" w:eastAsia="黑体" w:cs="黑体"/>
          <w:kern w:val="0"/>
          <w:sz w:val="32"/>
          <w:szCs w:val="32"/>
          <w:shd w:val="clear" w:color="auto" w:fill="FFFFFF"/>
          <w:lang w:val="zh-CN"/>
        </w:rPr>
      </w:pPr>
    </w:p>
    <w:p>
      <w:pPr>
        <w:pStyle w:val="6"/>
        <w:rPr>
          <w:rFonts w:hint="eastAsia" w:ascii="黑体" w:hAnsi="黑体" w:eastAsia="黑体" w:cs="黑体"/>
          <w:kern w:val="0"/>
          <w:sz w:val="32"/>
          <w:szCs w:val="32"/>
          <w:shd w:val="clear" w:color="auto" w:fill="FFFFFF"/>
          <w:lang w:val="zh-CN"/>
        </w:rPr>
      </w:pPr>
    </w:p>
    <w:p>
      <w:pPr>
        <w:pStyle w:val="6"/>
        <w:rPr>
          <w:rFonts w:hint="eastAsia" w:ascii="黑体" w:hAnsi="黑体" w:eastAsia="黑体" w:cs="黑体"/>
          <w:kern w:val="0"/>
          <w:sz w:val="32"/>
          <w:szCs w:val="32"/>
          <w:shd w:val="clear" w:color="auto" w:fill="FFFFFF"/>
          <w:lang w:val="zh-CN"/>
        </w:rPr>
      </w:pPr>
    </w:p>
    <w:p>
      <w:pPr>
        <w:pStyle w:val="6"/>
        <w:rPr>
          <w:rFonts w:hint="eastAsia" w:ascii="黑体" w:hAnsi="黑体" w:eastAsia="黑体" w:cs="黑体"/>
          <w:kern w:val="0"/>
          <w:sz w:val="32"/>
          <w:szCs w:val="32"/>
          <w:shd w:val="clear" w:color="auto" w:fill="FFFFFF"/>
          <w:lang w:val="zh-CN"/>
        </w:rPr>
      </w:pPr>
    </w:p>
    <w:p>
      <w:pPr>
        <w:pStyle w:val="6"/>
        <w:rPr>
          <w:rFonts w:hint="eastAsia" w:ascii="黑体" w:hAnsi="黑体" w:eastAsia="黑体" w:cs="黑体"/>
          <w:kern w:val="0"/>
          <w:sz w:val="32"/>
          <w:szCs w:val="32"/>
          <w:shd w:val="clear" w:color="auto" w:fill="FFFFFF"/>
          <w:lang w:val="zh-CN"/>
        </w:rPr>
      </w:pPr>
    </w:p>
    <w:p>
      <w:pPr>
        <w:pStyle w:val="6"/>
        <w:rPr>
          <w:rFonts w:hint="eastAsia" w:ascii="黑体" w:hAnsi="黑体" w:eastAsia="黑体" w:cs="黑体"/>
          <w:kern w:val="0"/>
          <w:sz w:val="32"/>
          <w:szCs w:val="32"/>
          <w:shd w:val="clear" w:color="auto" w:fill="FFFFFF"/>
          <w:lang w:val="zh-CN"/>
        </w:rPr>
      </w:pPr>
    </w:p>
    <w:p>
      <w:pPr>
        <w:pStyle w:val="6"/>
        <w:rPr>
          <w:rFonts w:hint="eastAsia" w:ascii="黑体" w:hAnsi="黑体" w:eastAsia="黑体" w:cs="黑体"/>
          <w:kern w:val="0"/>
          <w:sz w:val="32"/>
          <w:szCs w:val="32"/>
          <w:shd w:val="clear" w:color="auto" w:fill="FFFFFF"/>
          <w:lang w:val="zh-CN"/>
        </w:rPr>
      </w:pPr>
    </w:p>
    <w:p>
      <w:pPr>
        <w:pStyle w:val="6"/>
        <w:rPr>
          <w:rFonts w:hint="eastAsia" w:ascii="黑体" w:hAnsi="黑体" w:eastAsia="黑体" w:cs="黑体"/>
          <w:kern w:val="0"/>
          <w:sz w:val="32"/>
          <w:szCs w:val="32"/>
          <w:shd w:val="clear" w:color="auto" w:fill="FFFFFF"/>
          <w:lang w:val="zh-CN"/>
        </w:rPr>
      </w:pPr>
    </w:p>
    <w:p>
      <w:pPr>
        <w:pStyle w:val="6"/>
        <w:rPr>
          <w:rFonts w:hint="eastAsia" w:ascii="黑体" w:hAnsi="黑体" w:eastAsia="黑体" w:cs="黑体"/>
          <w:kern w:val="0"/>
          <w:sz w:val="32"/>
          <w:szCs w:val="32"/>
          <w:shd w:val="clear" w:color="auto" w:fill="FFFFFF"/>
          <w:lang w:val="zh-CN"/>
        </w:rPr>
      </w:pPr>
    </w:p>
    <w:p>
      <w:pPr>
        <w:pStyle w:val="6"/>
        <w:rPr>
          <w:rFonts w:hint="eastAsia" w:ascii="黑体" w:hAnsi="黑体" w:eastAsia="黑体" w:cs="黑体"/>
          <w:kern w:val="0"/>
          <w:sz w:val="32"/>
          <w:szCs w:val="32"/>
          <w:shd w:val="clear" w:color="auto" w:fill="FFFFFF"/>
          <w:lang w:val="zh-CN"/>
        </w:rPr>
      </w:pPr>
    </w:p>
    <w:p>
      <w:pPr>
        <w:pStyle w:val="6"/>
        <w:rPr>
          <w:rFonts w:hint="eastAsia" w:ascii="黑体" w:hAnsi="黑体" w:eastAsia="黑体" w:cs="黑体"/>
          <w:kern w:val="0"/>
          <w:sz w:val="32"/>
          <w:szCs w:val="32"/>
          <w:shd w:val="clear" w:color="auto" w:fill="FFFFFF"/>
          <w:lang w:val="zh-CN"/>
        </w:rPr>
      </w:pPr>
    </w:p>
    <w:p>
      <w:pPr>
        <w:pStyle w:val="6"/>
        <w:rPr>
          <w:rFonts w:hint="eastAsia" w:ascii="黑体" w:hAnsi="黑体" w:eastAsia="黑体" w:cs="黑体"/>
          <w:kern w:val="0"/>
          <w:sz w:val="32"/>
          <w:szCs w:val="32"/>
          <w:shd w:val="clear" w:color="auto" w:fill="FFFFFF"/>
          <w:lang w:val="zh-CN"/>
        </w:rPr>
      </w:pPr>
    </w:p>
    <w:p>
      <w:pPr>
        <w:pStyle w:val="6"/>
        <w:rPr>
          <w:rFonts w:hint="eastAsia" w:ascii="黑体" w:hAnsi="黑体" w:eastAsia="黑体" w:cs="黑体"/>
          <w:kern w:val="0"/>
          <w:sz w:val="32"/>
          <w:szCs w:val="32"/>
          <w:shd w:val="clear" w:color="auto" w:fill="FFFFFF"/>
          <w:lang w:val="zh-CN"/>
        </w:rPr>
      </w:pPr>
    </w:p>
    <w:p>
      <w:pPr>
        <w:pStyle w:val="6"/>
        <w:rPr>
          <w:rFonts w:hint="eastAsia" w:ascii="黑体" w:hAnsi="黑体" w:eastAsia="黑体" w:cs="黑体"/>
          <w:kern w:val="0"/>
          <w:sz w:val="32"/>
          <w:szCs w:val="32"/>
          <w:shd w:val="clear" w:color="auto" w:fill="FFFFFF"/>
          <w:lang w:val="zh-CN"/>
        </w:rPr>
      </w:pPr>
    </w:p>
    <w:p>
      <w:pPr>
        <w:pStyle w:val="6"/>
        <w:rPr>
          <w:rFonts w:hint="eastAsia" w:ascii="黑体" w:hAnsi="黑体" w:eastAsia="黑体" w:cs="黑体"/>
          <w:kern w:val="0"/>
          <w:sz w:val="32"/>
          <w:szCs w:val="32"/>
          <w:shd w:val="clear" w:color="auto" w:fill="FFFFFF"/>
          <w:lang w:val="zh-CN"/>
        </w:rPr>
      </w:pPr>
    </w:p>
    <w:p>
      <w:pPr>
        <w:pStyle w:val="6"/>
        <w:rPr>
          <w:rFonts w:hint="eastAsia" w:ascii="黑体" w:hAnsi="黑体" w:eastAsia="黑体" w:cs="黑体"/>
          <w:kern w:val="0"/>
          <w:sz w:val="32"/>
          <w:szCs w:val="32"/>
          <w:shd w:val="clear" w:color="auto" w:fill="FFFFFF"/>
          <w:lang w:val="zh-CN"/>
        </w:rPr>
      </w:pPr>
    </w:p>
    <w:p>
      <w:pPr>
        <w:pStyle w:val="6"/>
        <w:rPr>
          <w:rFonts w:hint="eastAsia" w:ascii="黑体" w:hAnsi="黑体" w:eastAsia="黑体" w:cs="黑体"/>
          <w:kern w:val="0"/>
          <w:sz w:val="32"/>
          <w:szCs w:val="32"/>
          <w:shd w:val="clear" w:color="auto" w:fill="FFFFFF"/>
          <w:lang w:val="zh-CN"/>
        </w:rPr>
      </w:pPr>
    </w:p>
    <w:p>
      <w:pPr>
        <w:pStyle w:val="6"/>
        <w:rPr>
          <w:rFonts w:hint="eastAsia" w:ascii="黑体" w:hAnsi="黑体" w:eastAsia="黑体" w:cs="黑体"/>
          <w:kern w:val="0"/>
          <w:sz w:val="32"/>
          <w:szCs w:val="32"/>
          <w:shd w:val="clear" w:color="auto" w:fill="FFFFFF"/>
          <w:lang w:val="zh-CN"/>
        </w:rPr>
      </w:pPr>
    </w:p>
    <w:p>
      <w:pPr>
        <w:pStyle w:val="6"/>
        <w:rPr>
          <w:rFonts w:hint="eastAsia" w:ascii="黑体" w:hAnsi="黑体" w:eastAsia="黑体" w:cs="黑体"/>
          <w:sz w:val="32"/>
          <w:szCs w:val="32"/>
          <w:lang w:eastAsia="zh-CN"/>
        </w:rPr>
      </w:pPr>
      <w:r>
        <w:rPr>
          <w:rFonts w:hint="eastAsia" w:ascii="黑体" w:hAnsi="黑体" w:eastAsia="黑体" w:cs="黑体"/>
          <w:kern w:val="0"/>
          <w:sz w:val="32"/>
          <w:szCs w:val="32"/>
          <w:shd w:val="clear" w:color="auto" w:fill="FFFFFF"/>
          <w:lang w:val="zh-CN"/>
        </w:rPr>
        <w:t>附件</w:t>
      </w:r>
      <w:r>
        <w:rPr>
          <w:rFonts w:hint="eastAsia" w:ascii="黑体" w:hAnsi="黑体" w:eastAsia="黑体" w:cs="黑体"/>
          <w:kern w:val="0"/>
          <w:sz w:val="32"/>
          <w:szCs w:val="32"/>
          <w:shd w:val="clear" w:color="auto" w:fill="FFFFFF"/>
          <w:lang w:val="en-US" w:eastAsia="zh-CN"/>
        </w:rPr>
        <w:t>4</w:t>
      </w:r>
    </w:p>
    <w:p>
      <w:pPr>
        <w:pStyle w:val="36"/>
        <w:spacing w:line="578" w:lineRule="exact"/>
        <w:jc w:val="center"/>
        <w:rPr>
          <w:rFonts w:hint="eastAsia" w:ascii="方正小标宋简体" w:hAnsi="方正小标宋简体" w:eastAsia="方正小标宋简体" w:cs="方正小标宋简体"/>
          <w:color w:val="auto"/>
          <w:kern w:val="2"/>
          <w:sz w:val="44"/>
          <w:szCs w:val="44"/>
          <w:lang w:val="en-US"/>
        </w:rPr>
      </w:pPr>
    </w:p>
    <w:p>
      <w:pPr>
        <w:pStyle w:val="36"/>
        <w:spacing w:line="578" w:lineRule="exact"/>
        <w:jc w:val="center"/>
        <w:rPr>
          <w:rFonts w:ascii="Times New Roman" w:hAnsi="Times New Roman" w:eastAsia="方正小标宋简体"/>
          <w:color w:val="auto"/>
          <w:kern w:val="2"/>
          <w:sz w:val="40"/>
          <w:szCs w:val="40"/>
        </w:rPr>
      </w:pPr>
      <w:r>
        <w:rPr>
          <w:rFonts w:hint="eastAsia" w:ascii="方正小标宋简体" w:hAnsi="方正小标宋简体" w:eastAsia="方正小标宋简体" w:cs="方正小标宋简体"/>
          <w:color w:val="auto"/>
          <w:kern w:val="2"/>
          <w:sz w:val="44"/>
          <w:szCs w:val="44"/>
          <w:lang w:val="en-US"/>
        </w:rPr>
        <w:t>专项预算</w:t>
      </w:r>
      <w:r>
        <w:rPr>
          <w:rFonts w:hint="eastAsia" w:ascii="Times New Roman" w:hAnsi="Times New Roman" w:eastAsia="方正小标宋简体"/>
          <w:color w:val="auto"/>
          <w:kern w:val="2"/>
          <w:sz w:val="40"/>
          <w:szCs w:val="40"/>
          <w:lang w:eastAsia="zh-CN"/>
        </w:rPr>
        <w:t>计划生育转移支付资金</w:t>
      </w:r>
      <w:r>
        <w:rPr>
          <w:rFonts w:ascii="Times New Roman" w:hAnsi="Times New Roman" w:eastAsia="方正小标宋简体"/>
          <w:color w:val="auto"/>
          <w:kern w:val="2"/>
          <w:sz w:val="40"/>
          <w:szCs w:val="40"/>
        </w:rPr>
        <w:t>项目</w:t>
      </w:r>
    </w:p>
    <w:p>
      <w:pPr>
        <w:pStyle w:val="36"/>
        <w:spacing w:line="578" w:lineRule="exact"/>
        <w:jc w:val="center"/>
        <w:rPr>
          <w:rFonts w:hint="eastAsia" w:ascii="方正小标宋简体" w:hAnsi="方正小标宋简体" w:eastAsia="方正小标宋简体" w:cs="方正小标宋简体"/>
          <w:color w:val="auto"/>
          <w:kern w:val="2"/>
          <w:sz w:val="44"/>
          <w:szCs w:val="44"/>
          <w:lang w:val="en-US" w:eastAsia="zh-CN"/>
        </w:rPr>
      </w:pPr>
      <w:r>
        <w:rPr>
          <w:rFonts w:hint="eastAsia" w:ascii="方正小标宋简体" w:hAnsi="方正小标宋简体" w:eastAsia="方正小标宋简体" w:cs="方正小标宋简体"/>
          <w:color w:val="auto"/>
          <w:kern w:val="2"/>
          <w:sz w:val="44"/>
          <w:szCs w:val="44"/>
          <w:lang w:val="en-US"/>
        </w:rPr>
        <w:t>绩效评价</w:t>
      </w:r>
      <w:r>
        <w:rPr>
          <w:rFonts w:hint="eastAsia" w:ascii="方正小标宋简体" w:hAnsi="方正小标宋简体" w:eastAsia="方正小标宋简体" w:cs="方正小标宋简体"/>
          <w:color w:val="auto"/>
          <w:kern w:val="2"/>
          <w:sz w:val="44"/>
          <w:szCs w:val="44"/>
          <w:lang w:val="en-US" w:eastAsia="zh-CN"/>
        </w:rPr>
        <w:t>报告</w:t>
      </w:r>
    </w:p>
    <w:p>
      <w:pPr>
        <w:pStyle w:val="36"/>
        <w:spacing w:line="578" w:lineRule="exact"/>
        <w:ind w:firstLine="640"/>
        <w:jc w:val="center"/>
        <w:rPr>
          <w:rFonts w:ascii="宋体" w:hAnsi="宋体"/>
          <w:color w:val="auto"/>
          <w:kern w:val="2"/>
          <w:sz w:val="32"/>
          <w:szCs w:val="32"/>
        </w:rPr>
      </w:pPr>
    </w:p>
    <w:p>
      <w:pPr>
        <w:adjustRightInd w:val="0"/>
        <w:snapToGrid w:val="0"/>
        <w:spacing w:line="578"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spacing w:line="560" w:lineRule="exact"/>
        <w:ind w:left="210" w:leftChars="100" w:firstLine="321" w:firstLineChars="100"/>
        <w:rPr>
          <w:rFonts w:hint="eastAsia" w:ascii="CESI仿宋-GB2312" w:hAnsi="CESI仿宋-GB2312" w:eastAsia="CESI仿宋-GB2312" w:cs="CESI仿宋-GB2312"/>
          <w:b/>
          <w:bCs/>
          <w:sz w:val="32"/>
          <w:szCs w:val="32"/>
          <w:lang w:val="zh-CN"/>
        </w:rPr>
      </w:pPr>
      <w:r>
        <w:rPr>
          <w:rFonts w:hint="eastAsia" w:ascii="CESI仿宋-GB2312" w:hAnsi="CESI仿宋-GB2312" w:eastAsia="CESI仿宋-GB2312" w:cs="CESI仿宋-GB2312"/>
          <w:b/>
          <w:bCs/>
          <w:sz w:val="32"/>
          <w:szCs w:val="32"/>
        </w:rPr>
        <w:t>1.</w:t>
      </w:r>
      <w:r>
        <w:rPr>
          <w:rFonts w:hint="eastAsia" w:ascii="CESI仿宋-GB2312" w:hAnsi="CESI仿宋-GB2312" w:eastAsia="CESI仿宋-GB2312" w:cs="CESI仿宋-GB2312"/>
          <w:b/>
          <w:bCs/>
          <w:sz w:val="32"/>
          <w:szCs w:val="32"/>
          <w:lang w:val="zh-CN"/>
        </w:rPr>
        <w:t>说明项目主管部门（单位）在该项目管理中的职能。</w:t>
      </w:r>
    </w:p>
    <w:p>
      <w:pPr>
        <w:spacing w:line="560" w:lineRule="exact"/>
        <w:ind w:firstLine="640" w:firstLineChars="200"/>
        <w:rPr>
          <w:rFonts w:hint="eastAsia" w:ascii="CESI仿宋-GB2312" w:hAnsi="CESI仿宋-GB2312" w:eastAsia="CESI仿宋-GB2312" w:cs="CESI仿宋-GB2312"/>
          <w:b w:val="0"/>
          <w:bCs/>
          <w:sz w:val="32"/>
          <w:szCs w:val="32"/>
          <w:lang w:val="zh-CN" w:eastAsia="zh-CN"/>
        </w:rPr>
      </w:pPr>
      <w:r>
        <w:rPr>
          <w:rFonts w:hint="eastAsia" w:ascii="CESI仿宋-GB2312" w:hAnsi="CESI仿宋-GB2312" w:eastAsia="CESI仿宋-GB2312" w:cs="CESI仿宋-GB2312"/>
          <w:b w:val="0"/>
          <w:bCs/>
          <w:sz w:val="32"/>
          <w:szCs w:val="32"/>
          <w:lang w:val="zh-CN" w:eastAsia="zh-CN"/>
        </w:rPr>
        <w:t>县卫生健康局贯彻执行党和国家关于卫生健康工作方针、政策与法律法规以及县委、县政府关于卫生健康方面的决策部署，指导全县各乡镇有序开展卫生健康工作。</w:t>
      </w:r>
    </w:p>
    <w:p>
      <w:pPr>
        <w:spacing w:line="560" w:lineRule="exact"/>
        <w:ind w:firstLine="640" w:firstLineChars="200"/>
        <w:rPr>
          <w:rFonts w:hint="eastAsia" w:ascii="CESI仿宋-GB2312" w:hAnsi="CESI仿宋-GB2312" w:eastAsia="CESI仿宋-GB2312" w:cs="CESI仿宋-GB2312"/>
          <w:b w:val="0"/>
          <w:bCs/>
          <w:sz w:val="32"/>
          <w:szCs w:val="32"/>
          <w:lang w:val="zh-CN" w:eastAsia="zh-CN"/>
        </w:rPr>
      </w:pPr>
      <w:r>
        <w:rPr>
          <w:rFonts w:hint="eastAsia" w:ascii="CESI仿宋-GB2312" w:hAnsi="CESI仿宋-GB2312" w:eastAsia="CESI仿宋-GB2312" w:cs="CESI仿宋-GB2312"/>
          <w:b w:val="0"/>
          <w:bCs/>
          <w:sz w:val="32"/>
          <w:szCs w:val="32"/>
          <w:lang w:val="zh-CN" w:eastAsia="zh-CN"/>
        </w:rPr>
        <w:t xml:space="preserve">计划生育服务项目主要涉及农村部分计划生育家庭奖励扶助制度和计划生育家庭特别扶助制度，奖励扶助政策是全国性计划生育利益导向重要政策制度。该政策从2005起开始执行，现已全面推行。主要受益群众为农村部分计划生育家庭。特别扶助政策是促进社会主义和谐社会建设，积极做好关爱关怀失独家庭工作，利于缓解独生子女伤残死亡家庭的实际困难，利于促进人口和计划生育工作向依法管理和利益导向政策转变，利于完善社会保障制度，体现社会公平。  </w:t>
      </w:r>
    </w:p>
    <w:p>
      <w:pPr>
        <w:spacing w:line="560" w:lineRule="exact"/>
        <w:ind w:firstLine="640" w:firstLineChars="200"/>
        <w:rPr>
          <w:rFonts w:hint="eastAsia" w:ascii="CESI仿宋-GB2312" w:hAnsi="CESI仿宋-GB2312" w:eastAsia="CESI仿宋-GB2312" w:cs="CESI仿宋-GB2312"/>
          <w:b w:val="0"/>
          <w:bCs/>
          <w:sz w:val="32"/>
          <w:szCs w:val="32"/>
          <w:lang w:val="zh-CN" w:eastAsia="zh-CN"/>
        </w:rPr>
      </w:pPr>
      <w:r>
        <w:rPr>
          <w:rFonts w:hint="eastAsia" w:ascii="CESI仿宋-GB2312" w:hAnsi="CESI仿宋-GB2312" w:eastAsia="CESI仿宋-GB2312" w:cs="CESI仿宋-GB2312"/>
          <w:b w:val="0"/>
          <w:bCs/>
          <w:sz w:val="32"/>
          <w:szCs w:val="32"/>
          <w:lang w:val="zh-CN" w:eastAsia="zh-CN"/>
        </w:rPr>
        <w:t>实行农村部分计划生育家庭奖励扶助制度和计划生育家庭特别扶助制度缓解了农村计划生育家庭、计划生育特别扶助家庭在生产生活和养老方面的特殊困难，有利于促进人口老龄化问题的解决，促进人口与经济，社会协调发展和可持续发展。县卫生健康局管理职能是结合实际指导基层，层层开展培训，熟练掌握扶助制度各项工作流程，严格执行工作规范，确保工作质量。进一步加强监管，切实落实质量抽查和县级复查确认，严格遵守资金发放管理规范，确保资格准确无误，及时配套各级资金确保资金及时足额发放到位，接受社会举报和监督。</w:t>
      </w:r>
    </w:p>
    <w:p>
      <w:pPr>
        <w:adjustRightInd w:val="0"/>
        <w:snapToGrid w:val="0"/>
        <w:spacing w:line="600" w:lineRule="exact"/>
        <w:ind w:firstLine="720"/>
        <w:rPr>
          <w:rFonts w:hint="eastAsia" w:ascii="CESI仿宋-GB2312" w:hAnsi="CESI仿宋-GB2312" w:eastAsia="CESI仿宋-GB2312" w:cs="CESI仿宋-GB2312"/>
          <w:b/>
          <w:bCs/>
          <w:sz w:val="32"/>
          <w:szCs w:val="32"/>
          <w:lang w:val="zh-CN"/>
        </w:rPr>
      </w:pPr>
      <w:r>
        <w:rPr>
          <w:rFonts w:hint="eastAsia" w:ascii="CESI仿宋-GB2312" w:hAnsi="CESI仿宋-GB2312" w:eastAsia="CESI仿宋-GB2312" w:cs="CESI仿宋-GB2312"/>
          <w:b/>
          <w:bCs/>
          <w:sz w:val="32"/>
          <w:szCs w:val="32"/>
        </w:rPr>
        <w:t>2.</w:t>
      </w:r>
      <w:r>
        <w:rPr>
          <w:rFonts w:hint="eastAsia" w:ascii="CESI仿宋-GB2312" w:hAnsi="CESI仿宋-GB2312" w:eastAsia="CESI仿宋-GB2312" w:cs="CESI仿宋-GB2312"/>
          <w:b/>
          <w:bCs/>
          <w:sz w:val="32"/>
          <w:szCs w:val="32"/>
          <w:lang w:val="zh-CN"/>
        </w:rPr>
        <w:t>项目立项、资金申报的依据。</w:t>
      </w:r>
    </w:p>
    <w:p>
      <w:pPr>
        <w:spacing w:line="560" w:lineRule="exact"/>
        <w:ind w:firstLine="640" w:firstLineChars="200"/>
        <w:rPr>
          <w:rFonts w:hint="eastAsia" w:ascii="CESI仿宋-GB2312" w:hAnsi="CESI仿宋-GB2312" w:eastAsia="CESI仿宋-GB2312" w:cs="CESI仿宋-GB2312"/>
          <w:b w:val="0"/>
          <w:bCs/>
          <w:sz w:val="32"/>
          <w:szCs w:val="32"/>
          <w:lang w:val="en-US" w:eastAsia="zh-CN"/>
        </w:rPr>
      </w:pPr>
      <w:r>
        <w:rPr>
          <w:rFonts w:hint="eastAsia" w:ascii="CESI仿宋-GB2312" w:hAnsi="CESI仿宋-GB2312" w:eastAsia="CESI仿宋-GB2312" w:cs="CESI仿宋-GB2312"/>
          <w:b w:val="0"/>
          <w:bCs/>
          <w:sz w:val="32"/>
          <w:szCs w:val="32"/>
          <w:lang w:val="zh-CN" w:eastAsia="zh-CN"/>
        </w:rPr>
        <w:t>根据《财政部 人口计生委关于调整全国农村部分计划生育家庭奖励扶助和计划生育家庭特别扶助标准的通知》（财教〔2011〕623号）、《国家人口计生委财政部关于将三级以上计划生育手术并发症人员纳人计划生育家庭特别扶助制度的通知》（人口政法〔2011〕62号）、《四川省人民政府办公厅转发省人口计生委省财政厅关于开展农村部分计划生育家庭实行奖励扶助制度试点工作实施意见的通知》（川办发〔2004〕25号）、《四川省人口和计划生育委员会关于做好2008年农村计划生育家庭奖励扶助工作的通知》（川人口发〔2007〕27号）、《四川省人口和计划生育委员会关于印发〈四川省农村计划生育家庭奖励扶助制度信息管理规范（试行）〉的通知》（川人口发〔2008〕 22号）、《四川省卫生健康委员会关于农村部分计划生育家庭奖励扶助政策的实施意见》（川卫规〔2022〕1号）进行项目立项；根据《财政部人口计生委关于调整全国农村部分计划生育家庭奖励扶助和计划生育家庭特别扶助标准的通知》（财教〔2011〕623号）、《财政厅 省卫生健康委关于提高计划生育家庭特别扶助制度扶助标准的通知》（川财社〔2022〕48号）、《省财政厅 省人口和计划生育委员会关于调整独生子女父母奖励金发放标准的通知》（川财教〔2013〕22号）、文件，开展项目资金申报。</w:t>
      </w:r>
    </w:p>
    <w:p>
      <w:pPr>
        <w:spacing w:line="560" w:lineRule="exact"/>
        <w:ind w:firstLine="643" w:firstLineChars="200"/>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3.</w:t>
      </w:r>
      <w:r>
        <w:rPr>
          <w:rFonts w:hint="eastAsia" w:ascii="CESI仿宋-GB2312" w:hAnsi="CESI仿宋-GB2312" w:eastAsia="CESI仿宋-GB2312" w:cs="CESI仿宋-GB2312"/>
          <w:b/>
          <w:bCs/>
          <w:sz w:val="32"/>
          <w:szCs w:val="32"/>
          <w:lang w:val="zh-CN"/>
        </w:rPr>
        <w:t>资金管理办法制定情况，资金支持具体项目的条件、范围与支持方式概况。</w:t>
      </w:r>
    </w:p>
    <w:p>
      <w:pPr>
        <w:spacing w:line="560" w:lineRule="exact"/>
        <w:ind w:firstLine="640" w:firstLineChars="200"/>
        <w:rPr>
          <w:rFonts w:hint="eastAsia" w:ascii="CESI仿宋-GB2312" w:hAnsi="CESI仿宋-GB2312" w:eastAsia="CESI仿宋-GB2312" w:cs="CESI仿宋-GB2312"/>
          <w:b w:val="0"/>
          <w:bCs/>
          <w:sz w:val="32"/>
          <w:szCs w:val="32"/>
          <w:lang w:val="zh-CN" w:eastAsia="zh-CN"/>
        </w:rPr>
      </w:pPr>
      <w:r>
        <w:rPr>
          <w:rFonts w:hint="eastAsia" w:ascii="CESI仿宋-GB2312" w:hAnsi="CESI仿宋-GB2312" w:eastAsia="CESI仿宋-GB2312" w:cs="CESI仿宋-GB2312"/>
          <w:b w:val="0"/>
          <w:bCs/>
          <w:sz w:val="32"/>
          <w:szCs w:val="32"/>
          <w:lang w:val="zh-CN" w:eastAsia="zh-CN"/>
        </w:rPr>
        <w:t>计划生育奖励扶助补助资金根据《财政部国家卫生健康委国家医保局国家中医药局国家疾控局关于修订基本公共卫生服务等5项补助资金管理办法的通知》以及《四川省财政厅四川省卫生和计划生育委员会关于印发〈四川省计划生育服务补助资金管理办法〉的通知》（川财社〔2016〕72号）文件，对符合规范的人群、机构落实财政补助政策的补助，市县级执行国家、省级补助资金管理办法，未再单独制定补助资金管理办法。</w:t>
      </w:r>
    </w:p>
    <w:p>
      <w:pPr>
        <w:spacing w:line="560" w:lineRule="exact"/>
        <w:ind w:firstLine="640" w:firstLineChars="200"/>
        <w:rPr>
          <w:rFonts w:hint="eastAsia" w:ascii="CESI仿宋-GB2312" w:hAnsi="CESI仿宋-GB2312" w:eastAsia="CESI仿宋-GB2312" w:cs="CESI仿宋-GB2312"/>
          <w:b w:val="0"/>
          <w:bCs/>
          <w:sz w:val="32"/>
          <w:szCs w:val="32"/>
          <w:lang w:val="zh-CN" w:eastAsia="zh-CN"/>
        </w:rPr>
      </w:pPr>
      <w:r>
        <w:rPr>
          <w:rFonts w:hint="eastAsia" w:ascii="CESI仿宋-GB2312" w:hAnsi="CESI仿宋-GB2312" w:eastAsia="CESI仿宋-GB2312" w:cs="CESI仿宋-GB2312"/>
          <w:b w:val="0"/>
          <w:bCs/>
          <w:sz w:val="32"/>
          <w:szCs w:val="32"/>
          <w:lang w:val="zh-CN" w:eastAsia="zh-CN"/>
        </w:rPr>
        <w:t>农村部分计划生育家庭奖励扶助对象应是同时具备以下基本条件的已婚农村居民：（1）本人为农村居民户口或界定为农村居民户口，且户口在本乡（镇、街道）。（2）本人或配偶曾经生育子女，本人及配偶没有违反计划生育法规和政策规定生育。（3）本人及配偶现存一个子女，或现存两个女孩，或子女死亡现无子女。（4）1933年1月1日以后出生，男性年满60周岁，女性年满58周岁（58-59岁女性由省按照国家农村计划生育家庭奖励扶助标准予以奖励，年满60周岁后纳入国家农村计划生育家庭奖励扶助范围）（5）奖励扶助标准：每人每月80元，即全年960元/年。（6）所需经费实行各级财政分级负担解决。</w:t>
      </w:r>
    </w:p>
    <w:p>
      <w:pPr>
        <w:spacing w:line="560" w:lineRule="exact"/>
        <w:ind w:firstLine="640" w:firstLineChars="200"/>
        <w:rPr>
          <w:rFonts w:hint="eastAsia" w:ascii="CESI仿宋-GB2312" w:hAnsi="CESI仿宋-GB2312" w:eastAsia="CESI仿宋-GB2312" w:cs="CESI仿宋-GB2312"/>
          <w:b w:val="0"/>
          <w:bCs/>
          <w:sz w:val="32"/>
          <w:szCs w:val="32"/>
          <w:lang w:val="zh-CN" w:eastAsia="zh-CN"/>
        </w:rPr>
      </w:pPr>
      <w:r>
        <w:rPr>
          <w:rFonts w:hint="eastAsia" w:ascii="CESI仿宋-GB2312" w:hAnsi="CESI仿宋-GB2312" w:eastAsia="CESI仿宋-GB2312" w:cs="CESI仿宋-GB2312"/>
          <w:b w:val="0"/>
          <w:bCs/>
          <w:sz w:val="32"/>
          <w:szCs w:val="32"/>
          <w:lang w:val="zh-CN" w:eastAsia="zh-CN"/>
        </w:rPr>
        <w:t>计划生育家庭特别扶助制度扶助的对象是：四川省户籍人口中独生子女死亡或伤、病残后未再生育或收养子女家庭的夫妻。扶助对象应同时符合以下条件：（1）应在1933年1月1日以后出生，女方须年满49周岁。（2）只生育一个子女或合法收养一个子女。（3）现无存活子女或独生子女被依法鉴定为残疾（伤残达到三级以上）。</w:t>
      </w:r>
    </w:p>
    <w:p>
      <w:pPr>
        <w:spacing w:line="560" w:lineRule="exact"/>
        <w:ind w:firstLine="640" w:firstLineChars="200"/>
        <w:rPr>
          <w:rFonts w:hint="eastAsia" w:ascii="CESI仿宋-GB2312" w:hAnsi="CESI仿宋-GB2312" w:eastAsia="CESI仿宋-GB2312" w:cs="CESI仿宋-GB2312"/>
          <w:b w:val="0"/>
          <w:bCs/>
          <w:sz w:val="32"/>
          <w:szCs w:val="32"/>
          <w:lang w:val="zh-CN" w:eastAsia="zh-CN"/>
        </w:rPr>
      </w:pPr>
      <w:r>
        <w:rPr>
          <w:rFonts w:hint="eastAsia" w:ascii="CESI仿宋-GB2312" w:hAnsi="CESI仿宋-GB2312" w:eastAsia="CESI仿宋-GB2312" w:cs="CESI仿宋-GB2312"/>
          <w:b w:val="0"/>
          <w:bCs/>
          <w:sz w:val="32"/>
          <w:szCs w:val="32"/>
          <w:lang w:val="zh-CN" w:eastAsia="zh-CN"/>
        </w:rPr>
        <w:t>计划生育并发症人员纳入特别扶助制度的基本政策对象条件：纳入特扶助制度的井发症人员应同时具备以下条件，（1）施行了计划生育手术。（2）按规定鉴定为三级以上的并发症。（3）并发症尚未治愈或康复。</w:t>
      </w:r>
    </w:p>
    <w:p>
      <w:pPr>
        <w:spacing w:line="560" w:lineRule="exact"/>
        <w:ind w:firstLine="640" w:firstLineChars="200"/>
        <w:rPr>
          <w:rFonts w:hint="eastAsia" w:ascii="CESI仿宋-GB2312" w:hAnsi="CESI仿宋-GB2312" w:eastAsia="CESI仿宋-GB2312" w:cs="CESI仿宋-GB2312"/>
          <w:b w:val="0"/>
          <w:bCs/>
          <w:sz w:val="32"/>
          <w:szCs w:val="32"/>
          <w:lang w:val="zh-CN" w:eastAsia="zh-CN"/>
        </w:rPr>
      </w:pPr>
      <w:r>
        <w:rPr>
          <w:rFonts w:hint="eastAsia" w:ascii="CESI仿宋-GB2312" w:hAnsi="CESI仿宋-GB2312" w:eastAsia="CESI仿宋-GB2312" w:cs="CESI仿宋-GB2312"/>
          <w:b w:val="0"/>
          <w:bCs/>
          <w:sz w:val="32"/>
          <w:szCs w:val="32"/>
          <w:lang w:val="zh-CN" w:eastAsia="zh-CN"/>
        </w:rPr>
        <w:t>独生子女父母奖励金为：领取《独生子女父母光荣证》之月起，发至其独生子女满十八周岁止，我市独生子女父母奖励金标准为每对夫妇每年不低于120元。是给独生子女父母的一种奖励政策。</w:t>
      </w:r>
    </w:p>
    <w:p>
      <w:pPr>
        <w:spacing w:line="560" w:lineRule="exact"/>
        <w:ind w:firstLine="643" w:firstLineChars="200"/>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4.</w:t>
      </w:r>
      <w:r>
        <w:rPr>
          <w:rFonts w:hint="eastAsia" w:ascii="CESI仿宋-GB2312" w:hAnsi="CESI仿宋-GB2312" w:eastAsia="CESI仿宋-GB2312" w:cs="CESI仿宋-GB2312"/>
          <w:b/>
          <w:bCs/>
          <w:sz w:val="32"/>
          <w:szCs w:val="32"/>
          <w:lang w:val="zh-CN"/>
        </w:rPr>
        <w:t>资金分配的原则及考虑因素。</w:t>
      </w:r>
    </w:p>
    <w:p>
      <w:pPr>
        <w:adjustRightInd w:val="0"/>
        <w:snapToGrid w:val="0"/>
        <w:spacing w:line="578" w:lineRule="exact"/>
        <w:ind w:firstLine="720"/>
        <w:rPr>
          <w:rFonts w:hint="eastAsia" w:ascii="CESI仿宋-GB2312" w:hAnsi="CESI仿宋-GB2312" w:eastAsia="CESI仿宋-GB2312" w:cs="CESI仿宋-GB2312"/>
          <w:b w:val="0"/>
          <w:bCs/>
          <w:sz w:val="32"/>
          <w:szCs w:val="32"/>
          <w:lang w:val="zh-CN" w:eastAsia="zh-CN"/>
        </w:rPr>
      </w:pPr>
      <w:r>
        <w:rPr>
          <w:rFonts w:hint="eastAsia" w:ascii="CESI仿宋-GB2312" w:hAnsi="CESI仿宋-GB2312" w:eastAsia="CESI仿宋-GB2312" w:cs="CESI仿宋-GB2312"/>
          <w:b w:val="0"/>
          <w:bCs/>
          <w:sz w:val="32"/>
          <w:szCs w:val="32"/>
          <w:lang w:val="zh-CN" w:eastAsia="zh-CN"/>
        </w:rPr>
        <w:t>农村部分计划生育家庭奖励扶助每月80元标准；特别扶助制度对象子女死亡1000元/月、子女伤残790元/月；二级手术并发症490元/月、三级手术并发症260元/月；独生子女父母奖励金标准为每对夫妇每年不低于120元。农村部分计划生育家庭奖励扶助、特别扶助制度对象扶助标准根据国家标准和省定标准，由省、市、县三级财政共同负担，列入年度财政预算。其中国家标准所需经费由中央承担80%，省级承担16%，县级承担4%；省定标准所需经费由省级承担45%，县级承担55%。独生子女父母奖励金省级每人12.5元，县级每人47.5元。我县在实施计划生育奖励扶助、特别扶助、独生子女父母奖励过程中，严格实行“四权分离”管理机制（即将行政、立法、司法和监察四个权力分别独立运作，相互制约，以保证政策稳定和公正），资金分配原则按照年度审核的实际人数进行分配，需要考虑人员资格退出、死亡退出等因素。</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1．项目主要内容。</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总体目标：（1）实施农村部分计划生育家庭奖励扶助制度，解决3104人农村独生子女和双女家庭养老问题，全年计划发放资金297.984万元。（2）落实计划生育家庭特别扶助制度目标人数174人（其中伤残家庭32人，死亡家庭142人），全年计划发放资金200.736万元。（3）计划生育特别扶助其他1799人，全年计划发放资金562.392万元。（4）独生子女父母奖励金923人，全年计划发放资金5.262万元。（5）独生子女伤残夭折父母养老保险1人，计划资金1.0149万元；（6）独生子女伤残夭折父母定期扶助8人，1.6万元；（7）特别扶助交通补贴资金174人，计划发放资金12.528万元；（8）计划生育特别扶助（其他）人员县级补助12.0431万元。专项资金按制度及时发放给符合条件的对象，体现了政府对计划生育家庭的关怀，有效促进了社会和谐稳定。2．项目应实现的具体绩效目标，</w:t>
      </w:r>
      <w:r>
        <w:rPr>
          <w:rFonts w:hint="eastAsia" w:ascii="仿宋_GB2312" w:hAnsi="仿宋_GB2312" w:eastAsia="仿宋_GB2312" w:cs="仿宋_GB2312"/>
          <w:kern w:val="0"/>
          <w:sz w:val="32"/>
          <w:szCs w:val="32"/>
          <w:shd w:val="clear" w:color="auto" w:fill="FFFFFF"/>
        </w:rPr>
        <w:t>包括</w:t>
      </w:r>
      <w:r>
        <w:rPr>
          <w:rFonts w:hint="eastAsia" w:ascii="CESI仿宋-GB2312" w:hAnsi="CESI仿宋-GB2312" w:eastAsia="CESI仿宋-GB2312" w:cs="CESI仿宋-GB2312"/>
          <w:kern w:val="0"/>
          <w:sz w:val="32"/>
          <w:szCs w:val="32"/>
          <w:shd w:val="clear" w:color="auto" w:fill="FFFFFF"/>
        </w:rPr>
        <w:t>绩效</w:t>
      </w:r>
      <w:r>
        <w:rPr>
          <w:rFonts w:hint="eastAsia" w:ascii="仿宋_GB2312" w:hAnsi="仿宋_GB2312" w:eastAsia="仿宋_GB2312" w:cs="仿宋_GB2312"/>
          <w:kern w:val="0"/>
          <w:sz w:val="32"/>
          <w:szCs w:val="32"/>
          <w:shd w:val="clear" w:color="auto" w:fill="FFFFFF"/>
          <w:lang w:val="zh-CN"/>
        </w:rPr>
        <w:t>目标的量化细化情况</w:t>
      </w:r>
      <w:r>
        <w:rPr>
          <w:rFonts w:hint="eastAsia" w:ascii="仿宋_GB2312" w:hAnsi="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lang w:val="zh-CN"/>
        </w:rPr>
        <w:t>项目实施进度计划等。</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（1）2023年上报农村部分计划生育家庭3104人，实际支付农村计划生育家庭奖励扶助对象3102人，执行标准为960元/人/年，共支付资金297.792万元（未支付2人，原因：2人因省级复核户籍农转非不符退出未拨付）。</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2023年上报计划生育特别扶助家庭174人，实际支付计划生育特别扶助家庭173人，其中子女死亡141人（执行标准1000元/月），子女伤残32人（790元/月），共支付资金199.536万元。（未支付1人，原因：独生子女死亡扶助对象陈泽连因死亡销户时间为2022年11月，未拨付2023年扶助金。）</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3）2023年上报计划生育手术并发症人员174人，实际支付计划生育手术并发症人员1798人（二级4人，三级1794人），二级人员执行标准490元/月；三级人员执行标准260元/月，共计支付资金562.08万元。（未支付1人，原因：李春云户籍已迁入遂宁市，未发放资金。）</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（4）2023年实际支付独生子女父母奖励金人员923人，执行标准5元/月/人，共计发放资金5.262万元。</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6）评价时间安排：12月-1月确认扶助对象录入“四川省计划生育奖特扶系统”情况，开展资格审查；2月扶助对象县级复核工作完成，统计符合条件人员的组卷审核、资格年审确认工作的情况；6月-11月资金发放到位情况。</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7）项目产出情况：农村部分计划生育家庭奖励扶助执行2008年国家标准及四川省标准，即每人每年960元；特别扶助制度对象子女死亡12000元/年、子女伤残9480元/年；二级手术并发症5880元/年、三级手术并发症3120元/年；独生子女父母奖励金标准为5元/月/人。</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（8）项目效益情况：每年11月底前完成符合条件扶助对象资金发放。</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3．分析评价申报内容是否与实际相符，申报目标是否合理可行。</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农村部分计划生育家庭奖励扶助新增对象全部进行资格认定，并通过“三级”审核、“三级”公示、群众举报、社会监督等措施，确保政策执行的公平性。已申报的历年奖励扶助、特别扶助、手术并发症、独生子女父母奖励金享受对象每年1月进行资格条件年审，确保申报内容与实际相符，并建立完善基本的信息档案，各项扶助资金及时足额发放。计划生育项目申报内容与实际相符，申报目标合理可行。</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578" w:lineRule="exact"/>
        <w:ind w:firstLine="72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通过查阅资料、入户走访、系统信息比对等方式，对所有奖特扶对象的资格确认进行逐一核查。采取窗口年审的核查方式，正常享受对象到户籍所在地乡（镇）社会事务办公室或乡（镇）便民服务中心计生窗口接受年审；对没有到窗口来办理的体弱多病、行走不便等特殊年审对象，按照窗口年审规范进行入户年审调查；对外出不在家、看病或随子女在外生活的对象，采取微信、视频等形式进行年审。对核查后发现人员资格确认有误的，督促乡（镇）及时在系统进行人员退出，清退涉及资金后缴存县级财政部门。同时，加强政策的学习，强抓业务培训，提升服务能力。</w:t>
      </w:r>
    </w:p>
    <w:p>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578" w:lineRule="exact"/>
        <w:ind w:firstLine="72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2023年盐边县卫生健康局《关于盐边县2023年农村计划生育家庭奖励扶助、特别扶助对象审批结果的报告》（盐边卫〔2023〕11号）上报2023年年度农村计划生育家庭奖励扶助对象、特别扶助对象资格确认人数，并纳入预算申报。</w:t>
      </w:r>
    </w:p>
    <w:p>
      <w:pPr>
        <w:adjustRightInd w:val="0"/>
        <w:snapToGrid w:val="0"/>
        <w:spacing w:line="578" w:lineRule="exact"/>
        <w:ind w:firstLine="720"/>
        <w:rPr>
          <w:rFonts w:ascii="仿宋_GB2312" w:hAnsi="宋体"/>
          <w:sz w:val="32"/>
          <w:szCs w:val="32"/>
          <w:lang w:val="zh-CN"/>
        </w:rPr>
      </w:pPr>
      <w:r>
        <w:rPr>
          <w:rFonts w:hint="eastAsia" w:ascii="楷体_GB2312" w:hAnsi="宋体" w:eastAsia="楷体_GB2312"/>
          <w:b/>
          <w:sz w:val="32"/>
          <w:szCs w:val="32"/>
          <w:lang w:val="zh-CN"/>
        </w:rPr>
        <w:t>（二）资金计划、到位及使用情况。</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资金计划。2023年农村计划生育家庭奖励扶助对象3104人、计划生育特别扶助家庭174人、计划生育手术并发症人员1799人、独生子女父母奖励金奖励人员923人。根据省定标准，由省、市、县三级财政共同负担，列入年度财政预算。2023年计划生育家庭扶助项目补助资金到位1093.56万元，其中：中央资金756.54万元，省级资金203.5万元，县级资金133.52万元。</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2．资金到位。</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根据《省财政厅省卫健委关于提前下达2023年计划生育服务中央和省级补助资金的通知》(川财社〔2022〕154号)安排资金635万元（其中中央资金492万元，省级资金143万元）、《四川省财政厅四川省卫生健康委员会关于下达2023年计划生育服务中央和省级补助资金的通知》（川财社〔2023〕74号）安排资金325.04万元（其中中央资金264.54万元，省级资金60.5万元）、《县财政局关于印发2023年部门预算批复的通知》（盐边财政〔2023〕8号）安排县级资金133.52万元。各级配套到位各级资金共计1093.56万元。</w:t>
      </w:r>
    </w:p>
    <w:p>
      <w:pPr>
        <w:widowControl/>
        <w:numPr>
          <w:ilvl w:val="0"/>
          <w:numId w:val="7"/>
        </w:numPr>
        <w:adjustRightInd w:val="0"/>
        <w:snapToGrid w:val="0"/>
        <w:spacing w:line="578" w:lineRule="exact"/>
        <w:ind w:left="0" w:leftChars="0"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资金使用。</w:t>
      </w:r>
    </w:p>
    <w:p>
      <w:pPr>
        <w:widowControl/>
        <w:numPr>
          <w:ilvl w:val="0"/>
          <w:numId w:val="0"/>
        </w:numPr>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2023计划生育家庭扶助金按制度、按程序发放给提出申请且符合条件的计划生育家庭。</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（1）2023年实际支付农村计划生育家庭奖励扶助对象3102人，执行标准为960元/人/年，共支付资金297.792万元（未支付原因：2人因户籍农转非省级系统复核退出未拨付）。</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（2）2023年实际支付计划生育特别扶助家庭173人，其中子女死亡141人（执行标准1000元/月），子女伤残32人（执行标准790元/月），共支付资金199.536万元。 （未支付原因：子女死亡扶助对象陈泽连销户时间在2022年，予以退出未拨付。）</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3）2023年实际支付计划生育手术并发症人员1798人（二级4人，三级1794人），二级人员执行标准490元/月；三级人员执行标准260元/月，共计支付资金562.08万元。（未支付原因：共和乡李春云因户籍迁入遂宁市予以退出，未发放资金。）</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（4）2023年实际支付独生子女父母奖励金人员923人，执行标准5元/月/人，共计发放资金5.262万元。</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2023计划生育家庭扶助金、独生子女父母奖励金已按要求于2023年11月底前全部通过“四川省计划生育奖特扶系统”推送系统人员至“一卡通系统”，拨付到本人社保卡，符合发放但死亡无卡或社保卡注销的通过特殊备案方式发放，由乡镇、村社监督签订社保卡代领协议，确保享受人员领取使用（死亡人员由继承人领取），资金发放安全合法。</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578" w:lineRule="exact"/>
        <w:ind w:firstLine="72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计划生育扶助资金、独生子女父母奖励金实行“财政专项、封闭运行、委托发放、专款专用”的管理制度，实行专款专用，专账核算。财务管理制度健全，执行情况良好，严格按照财务制度实施，会计核算规范，及时拨付资金，无违反财务管理、财务纪律情况发生。</w:t>
      </w:r>
    </w:p>
    <w:p>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578"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adjustRightInd w:val="0"/>
        <w:snapToGrid w:val="0"/>
        <w:spacing w:line="578" w:lineRule="exact"/>
        <w:ind w:firstLine="720"/>
        <w:rPr>
          <w:rFonts w:hint="eastAsia" w:ascii="CESI仿宋-GB2312" w:hAnsi="CESI仿宋-GB2312" w:eastAsia="CESI仿宋-GB2312" w:cs="CESI仿宋-GB2312"/>
          <w:b w:val="0"/>
          <w:bCs/>
          <w:sz w:val="32"/>
          <w:szCs w:val="32"/>
          <w:lang w:val="zh-CN"/>
        </w:rPr>
      </w:pPr>
      <w:r>
        <w:rPr>
          <w:rFonts w:hint="eastAsia" w:ascii="CESI仿宋-GB2312" w:hAnsi="CESI仿宋-GB2312" w:eastAsia="CESI仿宋-GB2312" w:cs="CESI仿宋-GB2312"/>
          <w:b w:val="0"/>
          <w:bCs/>
          <w:sz w:val="32"/>
          <w:szCs w:val="32"/>
          <w:lang w:val="zh-CN"/>
        </w:rPr>
        <w:t>农村部分计划生育家庭奖励扶助、计划生育特别扶助制度工作规范按照宣传工作，窗口申报、年审受理，乡村联合核查，乡级初审、乡级公示、县级复查确认、市级质量抽查，档案管理工作等五个环节，通过广泛宣传，切实抓好奖扶政策的宣传引导工作，让群众了解奖励的对象、扶助的标准，以及资格确认、资金发放的具体程序，增加政策执行透明度，并对重点人群发放《宣传告知单》，实施重点宣传。经乡级初审、乡级奖扶公示、县级复查确认、市级质量抽查，符合条件的纳入享受对象。已享受农村部分计划生育家庭奖励扶助、计划生育特别扶助制度、计划生育特别扶助手术并发症、独生子女父母奖励金对象每年到户籍所在地乡（镇、街道）卫生计生办或乡（镇、街道）便民服务中心计生窗口接受年审。</w:t>
      </w:r>
    </w:p>
    <w:p>
      <w:pPr>
        <w:adjustRightInd w:val="0"/>
        <w:snapToGrid w:val="0"/>
        <w:spacing w:line="578" w:lineRule="exact"/>
        <w:ind w:firstLine="720"/>
        <w:rPr>
          <w:rFonts w:hint="eastAsia" w:ascii="CESI仿宋-GB2312" w:hAnsi="CESI仿宋-GB2312" w:eastAsia="CESI仿宋-GB2312" w:cs="CESI仿宋-GB2312"/>
          <w:b w:val="0"/>
          <w:bCs/>
          <w:sz w:val="32"/>
          <w:szCs w:val="32"/>
          <w:lang w:val="zh-CN"/>
        </w:rPr>
      </w:pPr>
      <w:r>
        <w:rPr>
          <w:rFonts w:hint="eastAsia" w:ascii="CESI仿宋-GB2312" w:hAnsi="CESI仿宋-GB2312" w:eastAsia="CESI仿宋-GB2312" w:cs="CESI仿宋-GB2312"/>
          <w:b w:val="0"/>
          <w:bCs/>
          <w:sz w:val="32"/>
          <w:szCs w:val="32"/>
          <w:lang w:val="zh-CN"/>
        </w:rPr>
        <w:t xml:space="preserve">每年4月至12月，申报人到户籍所在地乡（镇）卫生健康部门进行申报，提交相关申报资料。乡（镇）系统操作员进行信息采集、系统录入，通过系统打印《申报表》2份，申报人核对《申报表》内容，无误后签名、盖指模，口头告知申报人申报受理完毕，并做“目标人群对象见面调查表”。  </w:t>
      </w:r>
    </w:p>
    <w:p>
      <w:pPr>
        <w:adjustRightInd w:val="0"/>
        <w:snapToGrid w:val="0"/>
        <w:spacing w:line="578" w:lineRule="exact"/>
        <w:ind w:firstLine="720"/>
        <w:rPr>
          <w:rFonts w:hint="eastAsia" w:ascii="CESI仿宋-GB2312" w:hAnsi="CESI仿宋-GB2312" w:eastAsia="CESI仿宋-GB2312" w:cs="CESI仿宋-GB2312"/>
          <w:b w:val="0"/>
          <w:bCs/>
          <w:sz w:val="32"/>
          <w:szCs w:val="32"/>
          <w:lang w:val="zh-CN"/>
        </w:rPr>
      </w:pPr>
      <w:r>
        <w:rPr>
          <w:rFonts w:hint="eastAsia" w:ascii="CESI仿宋-GB2312" w:hAnsi="CESI仿宋-GB2312" w:eastAsia="CESI仿宋-GB2312" w:cs="CESI仿宋-GB2312"/>
          <w:b w:val="0"/>
          <w:bCs/>
          <w:sz w:val="32"/>
          <w:szCs w:val="32"/>
          <w:lang w:val="zh-CN"/>
        </w:rPr>
        <w:t>由乡、村两级干部组成调查组，携带《申报表》开展入户调查，对每个申报对象调查走访知情群众不少于3人，重点询问调查对象婚姻史、生育史、节育史、收养史、户籍、居住地等情况，核实申报信息，请知情群众在《申报表》“知情群众签名”处签字。调查结束后核查人员在《申报表》“核查意见”签署意见并签名，村级盖章。（简易程序由乡、村两级干部进村入户核查对象申报信息真实性、完整性，核查人员在申报表核查情况栏签署意见并签名，村级盖章。)</w:t>
      </w:r>
    </w:p>
    <w:p>
      <w:pPr>
        <w:adjustRightInd w:val="0"/>
        <w:snapToGrid w:val="0"/>
        <w:spacing w:line="578" w:lineRule="exact"/>
        <w:ind w:firstLine="720"/>
        <w:rPr>
          <w:rFonts w:hint="eastAsia" w:ascii="CESI仿宋-GB2312" w:hAnsi="CESI仿宋-GB2312" w:eastAsia="CESI仿宋-GB2312" w:cs="CESI仿宋-GB2312"/>
          <w:b w:val="0"/>
          <w:bCs/>
          <w:sz w:val="32"/>
          <w:szCs w:val="32"/>
          <w:lang w:val="zh-CN"/>
        </w:rPr>
      </w:pPr>
      <w:r>
        <w:rPr>
          <w:rFonts w:hint="eastAsia" w:ascii="CESI仿宋-GB2312" w:hAnsi="CESI仿宋-GB2312" w:eastAsia="CESI仿宋-GB2312" w:cs="CESI仿宋-GB2312"/>
          <w:b w:val="0"/>
          <w:bCs/>
          <w:sz w:val="32"/>
          <w:szCs w:val="32"/>
          <w:lang w:val="zh-CN"/>
        </w:rPr>
        <w:t>由乡（镇）分管卫生健康工作领导、卫生健康部门人员和全体调查人员对申报对象资格进行初审，乡（镇）分管卫生健康工作的领导在《申报表》上签署意见、签名并加盖政府公章。</w:t>
      </w:r>
    </w:p>
    <w:p>
      <w:pPr>
        <w:adjustRightInd w:val="0"/>
        <w:snapToGrid w:val="0"/>
        <w:spacing w:line="578" w:lineRule="exact"/>
        <w:ind w:firstLine="720"/>
        <w:rPr>
          <w:rFonts w:hint="eastAsia" w:ascii="CESI仿宋-GB2312" w:hAnsi="CESI仿宋-GB2312" w:eastAsia="CESI仿宋-GB2312" w:cs="CESI仿宋-GB2312"/>
          <w:b w:val="0"/>
          <w:bCs/>
          <w:sz w:val="32"/>
          <w:szCs w:val="32"/>
          <w:lang w:val="zh-CN"/>
        </w:rPr>
      </w:pPr>
      <w:r>
        <w:rPr>
          <w:rFonts w:hint="eastAsia" w:ascii="CESI仿宋-GB2312" w:hAnsi="CESI仿宋-GB2312" w:eastAsia="CESI仿宋-GB2312" w:cs="CESI仿宋-GB2312"/>
          <w:b w:val="0"/>
          <w:bCs/>
          <w:sz w:val="32"/>
          <w:szCs w:val="32"/>
          <w:lang w:val="zh-CN"/>
        </w:rPr>
        <w:t>乡镇卫生健康部门打印奖特扶对象年审表，对已享受对象通过窗口年审及上门年审等形式进行年审，同时对年审对象的相关信息进行询问，对信息有变化的及时在系统里进行更改，对应退出享受对象在系统里进行退出操作。</w:t>
      </w:r>
    </w:p>
    <w:p>
      <w:pPr>
        <w:adjustRightInd w:val="0"/>
        <w:snapToGrid w:val="0"/>
        <w:spacing w:line="578" w:lineRule="exact"/>
        <w:ind w:firstLine="720"/>
        <w:rPr>
          <w:rFonts w:hint="eastAsia" w:ascii="CESI仿宋-GB2312" w:hAnsi="CESI仿宋-GB2312" w:eastAsia="CESI仿宋-GB2312" w:cs="CESI仿宋-GB2312"/>
          <w:b w:val="0"/>
          <w:bCs/>
          <w:sz w:val="32"/>
          <w:szCs w:val="32"/>
          <w:lang w:val="zh-CN"/>
        </w:rPr>
      </w:pPr>
      <w:r>
        <w:rPr>
          <w:rFonts w:hint="eastAsia" w:ascii="CESI仿宋-GB2312" w:hAnsi="CESI仿宋-GB2312" w:eastAsia="CESI仿宋-GB2312" w:cs="CESI仿宋-GB2312"/>
          <w:b w:val="0"/>
          <w:bCs/>
          <w:sz w:val="32"/>
          <w:szCs w:val="32"/>
          <w:lang w:val="zh-CN"/>
        </w:rPr>
        <w:t>乡镇卫生健康部门打印奖励扶助新增对象公示榜、退出对象公示榜，由乡（镇）级组织以村为单位在村（居）委会驻地、交通要道、对象所在村（居）民小组进行为期7天的公示。对公示有异议对象，重新进村（居）入户调查核实，如符合条件上报县级卫生健康局，如不符合条件发放《不受理（不符合）告知书》。</w:t>
      </w:r>
    </w:p>
    <w:p>
      <w:pPr>
        <w:adjustRightInd w:val="0"/>
        <w:snapToGrid w:val="0"/>
        <w:spacing w:line="578" w:lineRule="exact"/>
        <w:ind w:firstLine="720"/>
        <w:rPr>
          <w:rFonts w:hint="eastAsia" w:ascii="CESI仿宋-GB2312" w:hAnsi="CESI仿宋-GB2312" w:eastAsia="CESI仿宋-GB2312" w:cs="CESI仿宋-GB2312"/>
          <w:b w:val="0"/>
          <w:bCs/>
          <w:sz w:val="32"/>
          <w:szCs w:val="32"/>
          <w:lang w:val="zh-CN"/>
        </w:rPr>
      </w:pPr>
      <w:r>
        <w:rPr>
          <w:rFonts w:hint="eastAsia" w:ascii="CESI仿宋-GB2312" w:hAnsi="CESI仿宋-GB2312" w:eastAsia="CESI仿宋-GB2312" w:cs="CESI仿宋-GB2312"/>
          <w:b w:val="0"/>
          <w:bCs/>
          <w:sz w:val="32"/>
          <w:szCs w:val="32"/>
          <w:lang w:val="zh-CN"/>
        </w:rPr>
        <w:t>乡镇为扶助对象建立档案，将书面申报材料报送县卫生健康局人口监测与家庭发展股，由局分管领导及股室工作人员审查上报的材料，对需要补充调查的通知乡（镇）限时补充调查并上报。组织工作人员对上报对象进行复查，复查对象不低于20%的入户复查。县卫生健康局分管领导在申报表签署意见，在系统里进行确认上报。对不符合政策的退档并由乡（镇）发放《不受理（不符合）告知书》。</w:t>
      </w:r>
    </w:p>
    <w:p>
      <w:pPr>
        <w:adjustRightInd w:val="0"/>
        <w:snapToGrid w:val="0"/>
        <w:spacing w:line="578"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（二）项目管理情况。</w:t>
      </w:r>
    </w:p>
    <w:p>
      <w:pPr>
        <w:adjustRightInd w:val="0"/>
        <w:snapToGrid w:val="0"/>
        <w:spacing w:line="578" w:lineRule="exact"/>
        <w:ind w:firstLine="72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1.坚持标准，准确无误</w:t>
      </w:r>
    </w:p>
    <w:p>
      <w:pPr>
        <w:adjustRightInd w:val="0"/>
        <w:snapToGrid w:val="0"/>
        <w:spacing w:line="578" w:lineRule="exact"/>
        <w:ind w:firstLine="72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对各乡（镇）加强政策培训，真正做到对政策一清二楚，了如指掌。严格审查、把好关口，对核查后发现人员资格确认有误的，督促乡（镇）及时在系统进行人员退出，清退涉及资金后缴存县级财政部门。同时，加强政策的学习，强抓业务培训，提升服务能力。真正做到符合奖扶条件的一户不漏，不符合条件的一户不报，确保奖扶对象准确率100%。</w:t>
      </w:r>
    </w:p>
    <w:p>
      <w:pPr>
        <w:adjustRightInd w:val="0"/>
        <w:snapToGrid w:val="0"/>
        <w:spacing w:line="578" w:lineRule="exact"/>
        <w:ind w:firstLine="72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2.严格程序，公开公正</w:t>
      </w:r>
    </w:p>
    <w:p>
      <w:pPr>
        <w:adjustRightInd w:val="0"/>
        <w:snapToGrid w:val="0"/>
        <w:spacing w:line="578" w:lineRule="exact"/>
        <w:ind w:firstLine="72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按照各项奖扶制度的确认程序，通过张榜公布、逐级审核、接受群众和社会监督等措施，确保公开透明、公正公平地执行政策。按照资格确认、资金管理、资金发放与监督评估“四权分离”的运行机制（四权分离将行政、立法、司法和监察四个权力分别独立运作，相互制约，以保证政策稳定和公正），及时足额将资金拨付到委托代理发放机构，监督委托代理发放机构及时划转到个人账户，确保政策执行到位。并通过公示、群众举报、社会监督等措施，确保政策执行的公平性。</w:t>
      </w:r>
    </w:p>
    <w:p>
      <w:pPr>
        <w:adjustRightInd w:val="0"/>
        <w:snapToGrid w:val="0"/>
        <w:spacing w:line="578"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（三）项目监管情况。</w:t>
      </w:r>
    </w:p>
    <w:p>
      <w:pPr>
        <w:adjustRightInd w:val="0"/>
        <w:snapToGrid w:val="0"/>
        <w:spacing w:line="578" w:lineRule="exact"/>
        <w:ind w:firstLine="72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直接补助，到户到人。由县财政局监管，签订代发协议，委托第三方机构发放奖励扶助金，根据“阳光审批公示”流程，通过“一卡通系统”直接打款在本人社保卡中。严禁任何单位或个人截留挪用、虚报冒领奖励扶助金和以扣代罚等各种名目的违规行为，确保奖励扶助政策真正落实到每一个应奖励扶助的对象。</w:t>
      </w:r>
    </w:p>
    <w:p>
      <w:pPr>
        <w:adjustRightInd w:val="0"/>
        <w:snapToGrid w:val="0"/>
        <w:spacing w:line="578" w:lineRule="exact"/>
        <w:ind w:firstLine="720"/>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578" w:lineRule="exact"/>
        <w:ind w:firstLine="72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2023年共计兑现资金：1088.82万元，其中：农村计划生育家庭奖励扶助资金3102人，297.792万元；计划生育特别扶助资金173人，199.536万元；独生子女伤残夭折父母养老保险1人，1.0149万元；独生子女伤残夭折父母定期扶助8人，1.6万元；特别扶助交通补贴资金173人，12.456万元；计划生育家庭特别扶助制度（其它）1798人，562.08万元；计划生育特别扶助（其他）人员县级补助24人，9.0797万元；独生子女父母奖励金资金923人，5.262万元。已完成符合条件扶助对象资金发放，已于当年11月底前通过“一卡通”系统兑现到本人社保卡，其中通过“一卡通”系统发放资金1078.726万元。</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578" w:lineRule="exact"/>
        <w:ind w:firstLine="72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1.经济效益分析</w:t>
      </w:r>
    </w:p>
    <w:p>
      <w:pPr>
        <w:adjustRightInd w:val="0"/>
        <w:snapToGrid w:val="0"/>
        <w:spacing w:line="578" w:lineRule="exact"/>
        <w:ind w:firstLine="72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较好地缓解了计划生育家庭的老有所养问题，特别扶助政策是促进社会主义和谐社会建设，积极做好关爱关怀失独家庭工作，利于缓解独生子女伤残死亡家庭的实际困难，利于促进人口和计划生育工作向依法管理和利益导向政策转变，利于完善社会保障制度，体现社会公平。促进了农民增收和农村稳定，改善了农村计划生育老年人的生活质量。符合制度要求奖励扶助对象资金发放情况达到100％。</w:t>
      </w:r>
    </w:p>
    <w:p>
      <w:pPr>
        <w:adjustRightInd w:val="0"/>
        <w:snapToGrid w:val="0"/>
        <w:spacing w:line="578" w:lineRule="exact"/>
        <w:ind w:firstLine="72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2.社会效益分析</w:t>
      </w:r>
    </w:p>
    <w:p>
      <w:pPr>
        <w:adjustRightInd w:val="0"/>
        <w:snapToGrid w:val="0"/>
        <w:spacing w:line="578" w:lineRule="exact"/>
        <w:ind w:firstLine="72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综合运用利益导向、服务关怀和宣传倡导等手段，开展计划生育特殊家庭扶助关怀，为计划生育特殊家庭解决实际困难，使他们生活上得到帮助、精神上获得慰藉。改善了人口计生工作者与农民群众的关系，推进了社会主义新农村建设，体现了财政资金的使用投向更加关注民生的需求。</w:t>
      </w:r>
    </w:p>
    <w:p>
      <w:pPr>
        <w:adjustRightInd w:val="0"/>
        <w:snapToGrid w:val="0"/>
        <w:spacing w:line="578" w:lineRule="exact"/>
        <w:ind w:firstLine="72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3.可持续效益</w:t>
      </w:r>
    </w:p>
    <w:p>
      <w:pPr>
        <w:adjustRightInd w:val="0"/>
        <w:snapToGrid w:val="0"/>
        <w:spacing w:line="578" w:lineRule="exact"/>
        <w:ind w:firstLine="72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全面贯彻落实计划生育家庭扶助保障政策，坚定人民立场，着力帮助解决群众问题，有效地促进了基层计划生育工作的开展。</w:t>
      </w:r>
    </w:p>
    <w:p>
      <w:pPr>
        <w:adjustRightInd w:val="0"/>
        <w:snapToGrid w:val="0"/>
        <w:spacing w:line="578" w:lineRule="exact"/>
        <w:ind w:firstLine="72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4.服务对象满意度</w:t>
      </w:r>
    </w:p>
    <w:p>
      <w:pPr>
        <w:adjustRightInd w:val="0"/>
        <w:snapToGrid w:val="0"/>
        <w:spacing w:line="578" w:lineRule="exact"/>
        <w:ind w:firstLine="72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扶助制度提高了计划生育家庭对国家计生政策的满意度，融洽了干群关系。对计划生育工作更加理解和支持，对象满意度达到95%以上。</w:t>
      </w:r>
    </w:p>
    <w:p>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578" w:lineRule="exact"/>
        <w:ind w:firstLine="720"/>
        <w:rPr>
          <w:rFonts w:ascii="楷体_GB2312" w:hAnsi="宋体" w:eastAsia="楷体_GB2312"/>
          <w:b/>
          <w:sz w:val="32"/>
          <w:szCs w:val="32"/>
          <w:lang w:val="zh-CN"/>
        </w:rPr>
      </w:pPr>
      <w:r>
        <w:rPr>
          <w:rFonts w:hint="eastAsia" w:ascii="仿宋_GB2312" w:hAnsi="仿宋_GB2312" w:eastAsia="仿宋_GB2312" w:cs="仿宋_GB2312"/>
          <w:kern w:val="0"/>
          <w:sz w:val="32"/>
          <w:szCs w:val="32"/>
          <w:shd w:val="clear" w:color="auto" w:fill="FFFFFF"/>
          <w:lang w:val="zh-CN"/>
        </w:rPr>
        <w:t>2023年度计划生育扶助项目专项资金进行了绩效自评，对项目概况、项目资金使用、管理、实施情况以及项目的绩效情况进行了总结，自评得分97分，自评结果为“较好”。</w:t>
      </w:r>
      <w:r>
        <w:rPr>
          <w:rFonts w:hint="eastAsia" w:ascii="楷体_GB2312" w:hAnsi="宋体" w:eastAsia="楷体_GB2312"/>
          <w:b/>
          <w:sz w:val="32"/>
          <w:szCs w:val="32"/>
          <w:lang w:val="zh-CN"/>
        </w:rPr>
        <w:t>（二）存在的问题。</w:t>
      </w:r>
    </w:p>
    <w:p>
      <w:pPr>
        <w:adjustRightInd w:val="0"/>
        <w:snapToGrid w:val="0"/>
        <w:spacing w:line="578" w:lineRule="exact"/>
        <w:ind w:firstLine="72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负责奖扶的工作人员变动频繁，工作岗位不固定，造成了新旧交替时工作衔接不上等问题。人口家庭工作面临着新形势、新任务，部分乡（镇）行政区划调整后，新接手工作的人员对相关业务及操作管理流程不熟悉，业务能力有待提升、服务管理力度不够等问题和困难。</w:t>
      </w:r>
    </w:p>
    <w:p>
      <w:pPr>
        <w:adjustRightInd w:val="0"/>
        <w:snapToGrid w:val="0"/>
        <w:spacing w:line="578" w:lineRule="exact"/>
        <w:ind w:firstLine="72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对象每年到户籍所在地乡（镇、街道）卫生计生办或乡（镇、街道）便民服务中心计生窗口接受年审，但仍然存在极少部分群众变动户口后未及时告知，仍然使用原农业户籍证明（户口簿）进行年审，影响年审工作质量。</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ind w:firstLine="640" w:firstLineChars="200"/>
        <w:rPr>
          <w:rFonts w:hint="eastAsia" w:ascii="CESI仿宋-GB2312" w:hAnsi="CESI仿宋-GB2312" w:eastAsia="CESI仿宋-GB2312" w:cs="CESI仿宋-GB2312"/>
          <w:b w:val="0"/>
          <w:bCs/>
          <w:sz w:val="32"/>
          <w:szCs w:val="32"/>
          <w:lang w:val="en-US" w:eastAsia="zh-CN"/>
        </w:rPr>
      </w:pPr>
      <w:r>
        <w:rPr>
          <w:rFonts w:hint="eastAsia" w:ascii="CESI仿宋-GB2312" w:hAnsi="CESI仿宋-GB2312" w:eastAsia="CESI仿宋-GB2312" w:cs="CESI仿宋-GB2312"/>
          <w:b w:val="0"/>
          <w:bCs/>
          <w:sz w:val="32"/>
          <w:szCs w:val="32"/>
          <w:lang w:val="en-US" w:eastAsia="zh-CN"/>
        </w:rPr>
        <w:t>1.强化政策宣传。加大宣传力度，提高宣传效果，广泛利用多种宣传渠道。加大对各乡（镇）分管领导、基层工作人员的业务培训，提升系统操作、业务能力水平和服务管理力度，提高奖扶对象确认及时率。加强资金使用的规范管理，加强对资金使用情况的监督和审计，加强组织管理，提高工作效率，确保政策的全面执行。</w:t>
      </w:r>
    </w:p>
    <w:p>
      <w:pPr>
        <w:ind w:firstLine="640" w:firstLineChars="200"/>
        <w:rPr>
          <w:rFonts w:hint="eastAsia" w:ascii="CESI仿宋-GB2312" w:hAnsi="CESI仿宋-GB2312" w:eastAsia="CESI仿宋-GB2312" w:cs="CESI仿宋-GB2312"/>
          <w:b w:val="0"/>
          <w:bCs/>
          <w:sz w:val="32"/>
          <w:szCs w:val="32"/>
          <w:lang w:val="en-US" w:eastAsia="zh-CN"/>
        </w:rPr>
      </w:pPr>
      <w:r>
        <w:rPr>
          <w:rFonts w:hint="eastAsia" w:ascii="CESI仿宋-GB2312" w:hAnsi="CESI仿宋-GB2312" w:eastAsia="CESI仿宋-GB2312" w:cs="CESI仿宋-GB2312"/>
          <w:b w:val="0"/>
          <w:bCs/>
          <w:sz w:val="32"/>
          <w:szCs w:val="32"/>
          <w:lang w:val="en-US" w:eastAsia="zh-CN"/>
        </w:rPr>
        <w:t>2.2011年《财政部人口计生委关于调整全国农村部分计划生育家庭奖励扶助和计划生育家庭特别扶助标准的通知》（财教〔2011〕623号）文件精神奖励扶助标准每人每月80元，考虑经济不断发展，该标准一直未进行调整，建议适当提高调整扶助标准。</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val="0"/>
          <w:bCs/>
          <w:sz w:val="32"/>
          <w:szCs w:val="32"/>
          <w:lang w:val="en-US" w:eastAsia="zh-CN"/>
        </w:rPr>
        <w:t>3.《四川省卫生健康委员会关于农村部分计划生育家庭奖励扶助政策的实施意见》（川卫规〔2022〕1号）文件要求“本人或配偶曾经生育子女，本人及配偶没有违反计划生育法规和政策规定生育”“再婚夫妻再婚后未生育和收养子女的，可按各自生育和收养情况分别判定”。部分再婚夫妻再婚后未生育和收养子女，而配偶存在违反计划生育法规和政策规定生育情况，导致未违反计划生育法规和政策规定生育的一方也无法申报该项目。建议再婚夫妻再婚后未生育和收养子女的，配偶生育情况不计入本人的生育合法性。</w:t>
      </w:r>
    </w:p>
    <w:p>
      <w:pPr>
        <w:pStyle w:val="2"/>
        <w:jc w:val="center"/>
        <w:rPr>
          <w:rFonts w:hint="eastAsia" w:ascii="黑体" w:hAnsi="黑体" w:eastAsia="黑体"/>
        </w:rPr>
      </w:pPr>
    </w:p>
    <w:p>
      <w:pPr>
        <w:rPr>
          <w:rFonts w:hint="eastAsia" w:ascii="黑体" w:hAnsi="黑体" w:eastAsia="黑体"/>
        </w:rPr>
      </w:pPr>
    </w:p>
    <w:p>
      <w:pPr>
        <w:rPr>
          <w:rFonts w:hint="eastAsia" w:ascii="黑体" w:hAnsi="黑体" w:eastAsia="黑体"/>
        </w:rPr>
      </w:pPr>
    </w:p>
    <w:p>
      <w:pPr>
        <w:rPr>
          <w:rFonts w:hint="eastAsia" w:ascii="黑体" w:hAnsi="黑体" w:eastAsia="黑体"/>
        </w:rPr>
      </w:pPr>
    </w:p>
    <w:p>
      <w:pPr>
        <w:rPr>
          <w:rFonts w:hint="eastAsia" w:ascii="黑体" w:hAnsi="黑体" w:eastAsia="黑体"/>
        </w:rPr>
      </w:pPr>
    </w:p>
    <w:p>
      <w:pPr>
        <w:rPr>
          <w:rFonts w:hint="eastAsia" w:ascii="黑体" w:hAnsi="黑体" w:eastAsia="黑体"/>
        </w:rPr>
      </w:pPr>
    </w:p>
    <w:p>
      <w:pPr>
        <w:rPr>
          <w:rFonts w:hint="eastAsia" w:ascii="黑体" w:hAnsi="黑体" w:eastAsia="黑体"/>
        </w:rPr>
      </w:pPr>
    </w:p>
    <w:p>
      <w:pPr>
        <w:rPr>
          <w:rFonts w:hint="eastAsia" w:ascii="黑体" w:hAnsi="黑体" w:eastAsia="黑体"/>
        </w:rPr>
      </w:pPr>
    </w:p>
    <w:p>
      <w:pPr>
        <w:rPr>
          <w:rFonts w:hint="eastAsia" w:ascii="黑体" w:hAnsi="黑体" w:eastAsia="黑体"/>
        </w:rPr>
      </w:pPr>
    </w:p>
    <w:p>
      <w:pPr>
        <w:rPr>
          <w:rFonts w:hint="eastAsia" w:ascii="黑体" w:hAnsi="黑体" w:eastAsia="黑体"/>
        </w:rPr>
      </w:pPr>
    </w:p>
    <w:p>
      <w:pPr>
        <w:rPr>
          <w:rFonts w:hint="eastAsia" w:ascii="黑体" w:hAnsi="黑体" w:eastAsia="黑体"/>
        </w:rPr>
      </w:pPr>
    </w:p>
    <w:p>
      <w:pPr>
        <w:rPr>
          <w:rFonts w:hint="eastAsia" w:ascii="黑体" w:hAnsi="黑体" w:eastAsia="黑体"/>
        </w:rPr>
      </w:pPr>
    </w:p>
    <w:p>
      <w:pPr>
        <w:rPr>
          <w:rFonts w:hint="eastAsia" w:ascii="黑体" w:hAnsi="黑体" w:eastAsia="黑体"/>
        </w:rPr>
      </w:pPr>
    </w:p>
    <w:p>
      <w:pPr>
        <w:rPr>
          <w:rFonts w:hint="eastAsia" w:ascii="黑体" w:hAnsi="黑体" w:eastAsia="黑体"/>
        </w:rPr>
      </w:pPr>
    </w:p>
    <w:p>
      <w:pPr>
        <w:rPr>
          <w:rFonts w:hint="eastAsia" w:ascii="黑体" w:hAnsi="黑体" w:eastAsia="黑体"/>
        </w:rPr>
      </w:pPr>
    </w:p>
    <w:p>
      <w:pPr>
        <w:rPr>
          <w:rFonts w:hint="eastAsia" w:ascii="黑体" w:hAnsi="黑体" w:eastAsia="黑体"/>
        </w:rPr>
      </w:pPr>
    </w:p>
    <w:p>
      <w:pPr>
        <w:rPr>
          <w:rFonts w:hint="eastAsia" w:ascii="黑体" w:hAnsi="黑体" w:eastAsia="黑体"/>
        </w:rPr>
      </w:pPr>
    </w:p>
    <w:p>
      <w:pPr>
        <w:rPr>
          <w:rFonts w:hint="eastAsia" w:ascii="黑体" w:hAnsi="黑体" w:eastAsia="黑体"/>
        </w:rPr>
      </w:pPr>
    </w:p>
    <w:p>
      <w:pPr>
        <w:rPr>
          <w:rFonts w:hint="eastAsia" w:ascii="黑体" w:hAnsi="黑体" w:eastAsia="黑体"/>
        </w:rPr>
      </w:pPr>
    </w:p>
    <w:p>
      <w:pPr>
        <w:rPr>
          <w:rFonts w:hint="eastAsia" w:ascii="黑体" w:hAnsi="黑体" w:eastAsia="黑体"/>
        </w:rPr>
      </w:pPr>
    </w:p>
    <w:p>
      <w:pPr>
        <w:rPr>
          <w:rFonts w:hint="eastAsia" w:ascii="黑体" w:hAnsi="黑体" w:eastAsia="黑体"/>
        </w:rPr>
      </w:pPr>
    </w:p>
    <w:p>
      <w:pPr>
        <w:rPr>
          <w:rFonts w:hint="eastAsia" w:ascii="黑体" w:hAnsi="黑体" w:eastAsia="黑体"/>
        </w:rPr>
      </w:pPr>
    </w:p>
    <w:p>
      <w:pPr>
        <w:pStyle w:val="6"/>
        <w:rPr>
          <w:rFonts w:hint="eastAsia" w:ascii="黑体" w:hAnsi="黑体" w:eastAsia="黑体" w:cs="黑体"/>
          <w:sz w:val="32"/>
          <w:szCs w:val="32"/>
          <w:lang w:eastAsia="zh-CN"/>
        </w:rPr>
      </w:pPr>
      <w:r>
        <w:rPr>
          <w:rFonts w:hint="eastAsia" w:ascii="黑体" w:hAnsi="黑体" w:eastAsia="黑体" w:cs="黑体"/>
          <w:kern w:val="0"/>
          <w:sz w:val="32"/>
          <w:szCs w:val="32"/>
          <w:shd w:val="clear" w:color="auto" w:fill="FFFFFF"/>
          <w:lang w:val="zh-CN"/>
        </w:rPr>
        <w:t>附件</w:t>
      </w:r>
      <w:r>
        <w:rPr>
          <w:rFonts w:hint="eastAsia" w:ascii="黑体" w:hAnsi="黑体" w:eastAsia="黑体" w:cs="黑体"/>
          <w:kern w:val="0"/>
          <w:sz w:val="32"/>
          <w:szCs w:val="32"/>
          <w:shd w:val="clear" w:color="auto" w:fill="FFFFFF"/>
          <w:lang w:val="en-US" w:eastAsia="zh-CN"/>
        </w:rPr>
        <w:t>5</w:t>
      </w:r>
    </w:p>
    <w:p>
      <w:pPr>
        <w:pStyle w:val="36"/>
        <w:spacing w:line="578" w:lineRule="exact"/>
        <w:jc w:val="center"/>
        <w:rPr>
          <w:rFonts w:hint="eastAsia"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专项预算</w:t>
      </w:r>
      <w:r>
        <w:rPr>
          <w:rFonts w:hint="eastAsia" w:ascii="Times New Roman" w:hAnsi="Times New Roman" w:eastAsia="方正小标宋简体"/>
          <w:color w:val="auto"/>
          <w:kern w:val="2"/>
          <w:sz w:val="40"/>
          <w:szCs w:val="40"/>
        </w:rPr>
        <w:t>医疗服务与保障能力提升</w:t>
      </w:r>
      <w:r>
        <w:rPr>
          <w:rFonts w:hint="eastAsia" w:ascii="方正小标宋简体" w:hAnsi="方正小标宋简体" w:eastAsia="方正小标宋简体" w:cs="方正小标宋简体"/>
          <w:color w:val="auto"/>
          <w:kern w:val="2"/>
          <w:sz w:val="44"/>
          <w:szCs w:val="44"/>
          <w:lang w:val="en-US"/>
        </w:rPr>
        <w:t>项目绩效评价报告</w:t>
      </w:r>
    </w:p>
    <w:p>
      <w:pPr>
        <w:pStyle w:val="36"/>
        <w:spacing w:line="578" w:lineRule="exact"/>
        <w:ind w:firstLine="640"/>
        <w:jc w:val="center"/>
        <w:rPr>
          <w:rFonts w:ascii="宋体" w:hAnsi="宋体"/>
          <w:color w:val="auto"/>
          <w:kern w:val="2"/>
          <w:sz w:val="32"/>
          <w:szCs w:val="32"/>
        </w:rPr>
      </w:pPr>
    </w:p>
    <w:p>
      <w:pPr>
        <w:adjustRightInd w:val="0"/>
        <w:snapToGrid w:val="0"/>
        <w:spacing w:line="578"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spacing w:line="560" w:lineRule="exact"/>
        <w:ind w:left="638" w:leftChars="304" w:firstLine="0" w:firstLineChars="0"/>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1．说明项目主管部门（单位）在该项目管理中的职能</w:t>
      </w:r>
    </w:p>
    <w:p>
      <w:pPr>
        <w:spacing w:line="560" w:lineRule="exact"/>
        <w:ind w:firstLine="640" w:firstLineChars="200"/>
        <w:jc w:val="left"/>
        <w:rPr>
          <w:rFonts w:ascii="仿宋_GB2312" w:hAnsi="仿宋_GB2312" w:eastAsia="仿宋_GB2312" w:cs="仿宋_GB2312"/>
          <w:kern w:val="0"/>
          <w:sz w:val="32"/>
          <w:szCs w:val="32"/>
          <w:shd w:val="clear" w:color="auto" w:fill="FFFFFF"/>
          <w:lang w:val="zh-CN"/>
        </w:rPr>
      </w:pPr>
      <w:r>
        <w:rPr>
          <w:rFonts w:hint="default" w:ascii="Times New Roman" w:hAnsi="Times New Roman" w:eastAsia="仿宋_GB2312" w:cs="Times New Roman"/>
          <w:sz w:val="32"/>
          <w:szCs w:val="32"/>
        </w:rPr>
        <w:t>卫生健康局按规定下达预算并拨付资金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确定并下达预算绩效目标，指导督促制定绩效目标并做好绩效自评，组织开展预算监管和绩效评价。根据政策目标制定工作方案和规划;提供测算因素数据,并对其准确性、及时性负责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审核报送的材料和数据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督促做好相关项目实施工作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按要求开展预算绩效管理工作。</w:t>
      </w:r>
    </w:p>
    <w:p>
      <w:pPr>
        <w:widowControl/>
        <w:numPr>
          <w:ilvl w:val="0"/>
          <w:numId w:val="8"/>
        </w:numPr>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项目立项、资金申报的依据</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规范和加强中央和省级财政医疗服务与保障能力提升补助资金管理，提高资金使用效益，根据《中华人民共和国</w:t>
      </w:r>
    </w:p>
    <w:p>
      <w:pPr>
        <w:spacing w:line="560" w:lineRule="exact"/>
        <w:rPr>
          <w:rFonts w:hint="eastAsia" w:ascii="仿宋_GB2312" w:hAnsi="仿宋_GB2312" w:eastAsia="仿宋_GB2312" w:cs="仿宋_GB2312"/>
          <w:kern w:val="0"/>
          <w:sz w:val="32"/>
          <w:szCs w:val="32"/>
          <w:shd w:val="clear" w:color="auto" w:fill="FFFFFF"/>
          <w:lang w:val="zh-CN"/>
        </w:rPr>
      </w:pPr>
      <w:r>
        <w:rPr>
          <w:rFonts w:hint="default" w:ascii="Times New Roman" w:hAnsi="Times New Roman" w:eastAsia="仿宋_GB2312" w:cs="Times New Roman"/>
          <w:sz w:val="32"/>
          <w:szCs w:val="32"/>
        </w:rPr>
        <w:t>预算法》《财政部国家卫生健康委国家医疗保障局国家中医药管理局医疗服务与保障能力提升补助资金管理办法》《中共四川省委四川省人民政府关于全面预算绩效管理的实施意见》《四川省人民政府关于改革完善省对下转移支付制度的意见》《四川省人民政府办公厅关于印发四川省基本公共服务领域省与市县共同财政事权和支出责任划分改革方案的通知》等有关法律法规和政策文件。</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3．资金管理办法制定情况，资金支持具体项目的条件、范围与支持方式概况。</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根据《四川省医疗服务与保障能力提升补助资金管理办法》，由财政厅会同省卫生健康委、省医疗保障局、省中医药管理局根据《“健康中国2030”规划纲要》《“健康四川2030”规划纲要》《四川省贯彻中医药发展战略规划纲要(2016-2030年)实施方案》《关于印发基本公共卫生服务等4项补助资金管理办法的通知》,以及深化医药卫生体制改革总体要求和工作部署安排使用。重点支持公立医院综合改革、卫生健康人才培养、医疗卫生机构能力建设、医疗保障服务能力建设以及其他医改相关工作,具体内容和方式由财政厅会同省卫生健康委、省医疗保障局、省中医药管理局按照国家部委有关要求、相关规划以及医疗服务与医疗保障领域年度重点工作安排研究确定。采取提前预拨与后期结算相结合的方式。按照预算法和预算管理有关规定，省级财政在收到中央财政转移支付资金后30日内下达各地;在省人民代表大会批准预算后30日内将省级财政转移支付下达各地。各地要根据预算法的有关要求，将提前下达的转移支付预计数编入本级政府预算,在收到上级转移支付资金后30日内将资金拨付到下级财政或项目承担单位。</w:t>
      </w:r>
    </w:p>
    <w:p>
      <w:pPr>
        <w:widowControl/>
        <w:numPr>
          <w:ilvl w:val="0"/>
          <w:numId w:val="8"/>
        </w:numPr>
        <w:adjustRightInd w:val="0"/>
        <w:snapToGrid w:val="0"/>
        <w:spacing w:line="578" w:lineRule="exact"/>
        <w:ind w:left="0" w:leftChars="0"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资金分配的原则及考虑因素。</w:t>
      </w:r>
    </w:p>
    <w:p>
      <w:pPr>
        <w:widowControl/>
        <w:numPr>
          <w:ilvl w:val="0"/>
          <w:numId w:val="0"/>
        </w:numPr>
        <w:adjustRightInd w:val="0"/>
        <w:snapToGrid w:val="0"/>
        <w:spacing w:line="578" w:lineRule="exact"/>
        <w:ind w:left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（1）原则。</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合理规划、科学论证。按照健康中国、健康四川战略、健康攀枝花、健康盐边和医改总体布局及相关规划，合理确定补助资金使用方向，对补助资金支持项目的必要性、可行性进行科学论证。</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统筹分配、保障重点。统筹考虑健康中国、健康四川和医改工作需要，合理安排补助资金预算,动态调整重点支持项</w:t>
      </w:r>
    </w:p>
    <w:p>
      <w:pPr>
        <w:widowControl/>
        <w:adjustRightInd w:val="0"/>
        <w:snapToGrid w:val="0"/>
        <w:spacing w:line="578" w:lineRule="exact"/>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目，切实保障医疗服务与保障能力提升重点项目的资金需求。</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 xml:space="preserve">讲求绩效、绩效挂钩。资金实施全过程预算绩效管理，建立绩效评价结果与资金分配挂钩机制，提高资金使用效益。       </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（2）因素。</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省级主要考虑补助对象数量、补助标准等因素，其中:某地公立医院综合改革应拨付资金=补助对象数量x补助标准x人口系数x贫困系数(根据常住人口数量分档确定贫困倾斜系数)。县级因素分配权重根据县域公立医院在改革工作中的发挥作用确定。取消药品加成地方配套资金根据公立医院药品采购情况测算补助，减省级下拨部分，剩于的报县政府有地方财政承担。</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1．项目主要内容。深化公立医院综合改革，建立健全现代医院管理制度，协调推进医疗价格、人事薪酬、药品流通、医保支付改革，提高医疗卫生服务质量。</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2．项目应实现的具体绩效目标，</w:t>
      </w:r>
      <w:r>
        <w:rPr>
          <w:rFonts w:hint="eastAsia" w:ascii="仿宋_GB2312" w:hAnsi="仿宋_GB2312" w:eastAsia="仿宋_GB2312" w:cs="仿宋_GB2312"/>
          <w:kern w:val="0"/>
          <w:sz w:val="32"/>
          <w:szCs w:val="32"/>
          <w:shd w:val="clear" w:color="auto" w:fill="FFFFFF"/>
        </w:rPr>
        <w:t>包括但不限于</w:t>
      </w:r>
      <w:r>
        <w:rPr>
          <w:rFonts w:hint="eastAsia" w:ascii="仿宋_GB2312" w:hAnsi="仿宋_GB2312" w:cs="仿宋_GB2312"/>
          <w:kern w:val="0"/>
          <w:sz w:val="32"/>
          <w:szCs w:val="32"/>
          <w:shd w:val="clear" w:color="auto" w:fill="FFFFFF"/>
        </w:rPr>
        <w:t>：绩效</w:t>
      </w:r>
      <w:r>
        <w:rPr>
          <w:rFonts w:hint="eastAsia" w:ascii="仿宋_GB2312" w:hAnsi="仿宋_GB2312" w:eastAsia="仿宋_GB2312" w:cs="仿宋_GB2312"/>
          <w:kern w:val="0"/>
          <w:sz w:val="32"/>
          <w:szCs w:val="32"/>
          <w:shd w:val="clear" w:color="auto" w:fill="FFFFFF"/>
          <w:lang w:val="zh-CN"/>
        </w:rPr>
        <w:t>目标的量化细化情况</w:t>
      </w:r>
      <w:r>
        <w:rPr>
          <w:rFonts w:hint="eastAsia" w:ascii="仿宋_GB2312" w:hAnsi="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lang w:val="zh-CN"/>
        </w:rPr>
        <w:t>项目实施进度计划等。（1）持续推进辖区内公立医院医疗总费用及门诊、住院次均费用控制在我县GDP增长以内，切实降低人民群众医疗费用。</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（2）区域内公立医院医疗服务收入（不含药品、耗材、检查、化验收入）占医疗收入的比例较上年上升。</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（3）区域内公立医疗机构配备使用国家基本药物全部达到规定比例（县医院和中医院45%、二院和保健院50%，基层医疗机构55%，村卫生室65%）。三家二级医疗机构全部购买医疗责任保险。</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（4）二级及以上公立医院平均住院日低于全市平均值。</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（5）根据市卫生健康委要求，健全综合监管制度，全面推进医疗“三监管”，落实市县分级监管，问题线索查处率100％。</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（6）医疗机构建立医疗“三监管”制度体系和工作机制，开展自主监管。三家二级以上医疗机构100%接入医废在线监管平台，并按要求做好在线监管工作。</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（7）二级以上公立医院医责险覆盖率达100%。</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（8）区域内公立医院门诊诊疗量、住院量较上一年提升；区域内未发生定性为主要责任的一级及以上医疗事故或直接被卫生健康部门判定的重大医疗事故。</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（9）区域内公立医院实现收支平衡的公立医院占公立医院总数的比例较上一年提升。</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（10）辖区内医疗机构职工满意度94%，门诊满意度91%，住院患者满意度90%。</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3．分析评价申报内容是否与实际相符，申报目标是否合理可行。根据开展公立医院工作情况分析。申报内容是与实际相符，申报目标是合理可行的。</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说明项目绩效自评采用的组织实施步骤及方法。</w:t>
      </w:r>
    </w:p>
    <w:p>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组织相关人员开展公立医院改革绩效评价，一是通过现场查看了解公立医院优化医疗环境、改善医疗服务态度、升级就医布局、提高群众满意度评估效益；二是利用信息平台提取公立医院落实医改目标任务数据评估效果；三是通过查阅资料了解资金使用情况评估效率。</w:t>
      </w:r>
    </w:p>
    <w:p>
      <w:pPr>
        <w:adjustRightInd w:val="0"/>
        <w:snapToGrid w:val="0"/>
        <w:spacing w:line="578" w:lineRule="exact"/>
        <w:ind w:firstLine="720"/>
        <w:rPr>
          <w:rFonts w:ascii="仿宋_GB2312" w:hAnsi="宋体"/>
          <w:sz w:val="32"/>
          <w:szCs w:val="32"/>
          <w:lang w:val="zh-CN"/>
        </w:rPr>
      </w:pPr>
      <w:r>
        <w:rPr>
          <w:rFonts w:hint="eastAsia" w:ascii="楷体_GB2312" w:hAnsi="宋体" w:eastAsia="楷体_GB2312"/>
          <w:b/>
          <w:sz w:val="32"/>
          <w:szCs w:val="32"/>
          <w:lang w:val="zh-CN"/>
        </w:rPr>
        <w:t>（二）资金计划、到位及使用情况（可用表格形式反映）。</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1．资金计划。中央转移支付公立医院改革资金131.95万元，省级取消药品加成34.02万元。</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资金到位。“关于提前下达2023医疗服务与保障能力提升中央和省级补助资金的通知”（川财社〔2022〕150号）、“财政厅省卫生健康委关于下达关于下达2023年医疗服务与保障能力提升（公立医院综合改革）中央补助资金的通知”（川财社〔2023〕67号）等文件共计下达165.97万元。所有项目资金根据预算法的有关要求和中央、省提出的“三保”要求，县级财政严格落实保障序列，在先保障人员工资和单位的基本运转，其次保证必要的民生支出前提下，再尽可能收到上级转移支付资金后30日内将资金拨付到项目承担单位。</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3．资金使用。汇项目资金按照全面实施预算绩效管理的要求，强化绩效目标管理，做好绩效监控和绩效评价，并加强结果运用，确保项目资金在我县公立医院综合改革事项中用好、用活，提高转移支付资金配置效率和使用效益。县卫生健康局会同县财政建立健全绩效评价机制，对项目执行情况开展绩效评价。</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其中，2023年1月，拨付公立医院改革资金123.58万元，拨付取消药品加成补助资金34.02万元；共计下达157.6万元；2023年7月，中央拨付公立医院改革资金8.37万元，共计下达8.37万元；2023年9月，根据2022年10月-2023年6月药品采购金额，核算取消药品加成金额共计29.2万元，拨付29.2万元。</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578" w:lineRule="exact"/>
        <w:ind w:firstLine="72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县财政局、县卫生健康局及我县相关县级医疗机构严格按照财政预算和国库管理规定，制定资金管理部办法，加强资金管理，规范预算执行管理。</w:t>
      </w:r>
    </w:p>
    <w:p>
      <w:pPr>
        <w:adjustRightInd w:val="0"/>
        <w:snapToGrid w:val="0"/>
        <w:spacing w:line="578" w:lineRule="exact"/>
        <w:ind w:firstLine="720"/>
        <w:rPr>
          <w:rFonts w:ascii="仿宋_GB2312" w:hAnsi="仿宋_GB2312" w:eastAsia="仿宋_GB2312" w:cs="仿宋_GB2312"/>
          <w:kern w:val="0"/>
          <w:sz w:val="32"/>
          <w:szCs w:val="32"/>
          <w:shd w:val="clear" w:color="auto" w:fill="FFFFFF"/>
          <w:lang w:val="zh-CN"/>
        </w:rPr>
      </w:pPr>
      <w:r>
        <w:rPr>
          <w:rFonts w:hint="eastAsia" w:ascii="黑体" w:hAnsi="宋体" w:eastAsia="黑体"/>
          <w:sz w:val="32"/>
          <w:szCs w:val="32"/>
        </w:rPr>
        <w:t>三、项目实施及管理情况</w:t>
      </w:r>
    </w:p>
    <w:p>
      <w:pPr>
        <w:adjustRightInd w:val="0"/>
        <w:snapToGrid w:val="0"/>
        <w:spacing w:line="578" w:lineRule="exact"/>
        <w:ind w:firstLine="720"/>
        <w:rPr>
          <w:rFonts w:hint="eastAsia" w:ascii="CESI仿宋-GB2312" w:hAnsi="CESI仿宋-GB2312" w:eastAsia="CESI仿宋-GB2312" w:cs="CESI仿宋-GB2312"/>
          <w:b w:val="0"/>
          <w:bCs/>
          <w:sz w:val="32"/>
          <w:szCs w:val="32"/>
          <w:lang w:val="zh-CN"/>
        </w:rPr>
      </w:pPr>
      <w:r>
        <w:rPr>
          <w:rFonts w:hint="eastAsia" w:ascii="楷体_GB2312" w:hAnsi="宋体" w:eastAsia="楷体_GB2312"/>
          <w:b/>
          <w:sz w:val="32"/>
          <w:szCs w:val="32"/>
          <w:lang w:val="zh-CN"/>
        </w:rPr>
        <w:t>（一）项目组织架构及实施流程。</w:t>
      </w:r>
      <w:r>
        <w:rPr>
          <w:rFonts w:hint="eastAsia" w:ascii="CESI仿宋-GB2312" w:hAnsi="CESI仿宋-GB2312" w:eastAsia="CESI仿宋-GB2312" w:cs="CESI仿宋-GB2312"/>
          <w:b w:val="0"/>
          <w:bCs/>
          <w:sz w:val="32"/>
          <w:szCs w:val="32"/>
          <w:lang w:val="zh-CN"/>
        </w:rPr>
        <w:t>通过项目资金分配原则和因素，由卫生健康局党委研究决定后分配项目资金给县域公立医院组织实施。</w:t>
      </w:r>
    </w:p>
    <w:p>
      <w:pPr>
        <w:adjustRightInd w:val="0"/>
        <w:snapToGrid w:val="0"/>
        <w:spacing w:line="578" w:lineRule="exact"/>
        <w:ind w:firstLine="720"/>
        <w:rPr>
          <w:rFonts w:ascii="仿宋_GB2312" w:hAnsi="仿宋_GB2312" w:eastAsia="仿宋_GB2312" w:cs="仿宋_GB2312"/>
          <w:kern w:val="0"/>
          <w:sz w:val="32"/>
          <w:szCs w:val="32"/>
          <w:shd w:val="clear" w:color="auto" w:fill="FFFFFF"/>
          <w:lang w:val="zh-CN"/>
        </w:rPr>
      </w:pPr>
      <w:r>
        <w:rPr>
          <w:rFonts w:hint="eastAsia" w:ascii="楷体_GB2312" w:hAnsi="宋体" w:eastAsia="楷体_GB2312"/>
          <w:b/>
          <w:sz w:val="32"/>
          <w:szCs w:val="32"/>
          <w:lang w:val="zh-CN"/>
        </w:rPr>
        <w:t>（二）项目管理情况。</w:t>
      </w:r>
      <w:r>
        <w:rPr>
          <w:rFonts w:hint="eastAsia" w:ascii="仿宋_GB2312" w:hAnsi="仿宋_GB2312" w:eastAsia="仿宋_GB2312" w:cs="仿宋_GB2312"/>
          <w:kern w:val="0"/>
          <w:sz w:val="32"/>
          <w:szCs w:val="32"/>
          <w:shd w:val="clear" w:color="auto" w:fill="FFFFFF"/>
          <w:lang w:val="zh-CN"/>
        </w:rPr>
        <w:t>根据《财政厅省卫生健康委 省医疗保障局 省中医药管理局关于印发基本公共卫生服务等4项补助资金管理办法的通知》川财社〔2019〕76号中《四川省医疗服务与保障能力提升补助资金管理办法》严格执行项目管理。</w:t>
      </w:r>
    </w:p>
    <w:p>
      <w:pPr>
        <w:adjustRightInd w:val="0"/>
        <w:snapToGrid w:val="0"/>
        <w:spacing w:line="578" w:lineRule="exact"/>
        <w:ind w:firstLine="720"/>
        <w:rPr>
          <w:rFonts w:hint="eastAsia" w:ascii="仿宋_GB2312" w:hAnsi="仿宋_GB2312" w:eastAsia="仿宋_GB2312" w:cs="仿宋_GB2312"/>
          <w:kern w:val="0"/>
          <w:sz w:val="32"/>
          <w:szCs w:val="32"/>
          <w:shd w:val="clear" w:color="auto" w:fill="FFFFFF"/>
          <w:lang w:val="zh-CN"/>
        </w:rPr>
      </w:pPr>
      <w:r>
        <w:rPr>
          <w:rFonts w:hint="eastAsia" w:ascii="楷体_GB2312" w:hAnsi="宋体" w:eastAsia="楷体_GB2312"/>
          <w:b/>
          <w:sz w:val="32"/>
          <w:szCs w:val="32"/>
          <w:lang w:val="zh-CN"/>
        </w:rPr>
        <w:t>（三）项目监管情况。</w:t>
      </w:r>
      <w:r>
        <w:rPr>
          <w:rFonts w:hint="eastAsia" w:ascii="仿宋_GB2312" w:hAnsi="仿宋_GB2312" w:eastAsia="仿宋_GB2312" w:cs="仿宋_GB2312"/>
          <w:kern w:val="0"/>
          <w:sz w:val="32"/>
          <w:szCs w:val="32"/>
          <w:shd w:val="clear" w:color="auto" w:fill="FFFFFF"/>
          <w:lang w:val="zh-CN"/>
        </w:rPr>
        <w:t>卫生健康局根据需要对医疗服务与保障能力提升政策落实、资金分配和使用等进行绩效评价和监督检查,并将评价检查结果与补助资金分配挂钩。按照财政预算和国库管理有关规定，制定资金管理办法，加强资金管理，规范预算执行管理。补助资金原则上应在当年执行完毕，年度未支出的补助资金按财政部门结转结余资金管理有关规定管理。认真开展补助资金管理和使用情况监督检查，及时发现和纠正有关问题。各级部门( 单位)和工作人员不得以任何形式挤占、挪用、截留补助资金;不得擅自扩大补助资金使用范围;不得违反规定分配或使用补助资金。</w:t>
      </w:r>
    </w:p>
    <w:p>
      <w:pPr>
        <w:adjustRightInd w:val="0"/>
        <w:snapToGrid w:val="0"/>
        <w:spacing w:line="578" w:lineRule="exact"/>
        <w:ind w:firstLine="720"/>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widowControl/>
        <w:adjustRightInd w:val="0"/>
        <w:snapToGrid w:val="0"/>
        <w:spacing w:line="578" w:lineRule="exact"/>
        <w:ind w:firstLine="640" w:firstLineChars="200"/>
        <w:contextualSpacing/>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我县公立医院有4家，县医院为二级甲等综合医院，县中医院为二级甲等中医医院，县二院为二级乙等综合医院，县保健院属专科医院，2022年10月与县人民医院整合。2023年我县县级医院的医疗服务收入占公立医院医疗收入较2022年有所提高。</w:t>
      </w:r>
    </w:p>
    <w:p>
      <w:pPr>
        <w:widowControl/>
        <w:adjustRightInd w:val="0"/>
        <w:snapToGrid w:val="0"/>
        <w:spacing w:line="578" w:lineRule="exact"/>
        <w:ind w:firstLine="640" w:firstLineChars="200"/>
        <w:contextualSpacing/>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2023年县级公立医院医疗服务能力得到提升，现代医院管理制度加快建立。主要表现在：持续推进辖区内公立医院医疗总费用及门诊、住院次均费用控制在我县GDP增长以内，切实降低人民群众医疗费用。二级及以上公立医院药占比控制在30％以内、公立医疗机构百元医疗收入（不含药品收入）中消耗的卫生材料费用低于20元、医疗服务收入占业务收入比重达到35％以上。落实二级及以上医院临床路径管理率达到60％（距离70%有一定的差距）。公立医疗机构配备使用国家基本药物全部达到规定比例（县医院和中医院45%、二院和保健院50%，基层医疗机构55%，村卫生室65%）。三家二级医疗机构全部购买医疗责任保险。根据市卫生健康委要求，健全综合监管制度，全面推进医疗“三监管”，落实市县分级监管，问题线索查处率100％。医疗机构建立医疗“三监管”制度体系和工作机制，开展自主监管。三家二级以上医疗机构100%接入医废在线监管平台，并按要求做好在线监管工作。。</w:t>
      </w:r>
    </w:p>
    <w:p>
      <w:pPr>
        <w:widowControl/>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公立医院百元医疗收入的医疗支出（不含药品收入）低于上年水平。</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widowControl/>
        <w:adjustRightInd w:val="0"/>
        <w:snapToGrid w:val="0"/>
        <w:spacing w:line="578" w:lineRule="exact"/>
        <w:ind w:firstLine="640" w:firstLineChars="200"/>
        <w:contextualSpacing/>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公立医院医疗服务收入（不含药品、耗材、检查、化验收入）占医疗收入的比例高于2022年水平；人员支出占业务支出比例高于2022年水平；财政补助收入占总支出比例高于2022年水平；公立医院资产负债率低于2022年水平。</w:t>
      </w:r>
    </w:p>
    <w:p>
      <w:pPr>
        <w:widowControl/>
        <w:adjustRightInd w:val="0"/>
        <w:snapToGrid w:val="0"/>
        <w:spacing w:line="578" w:lineRule="exact"/>
        <w:ind w:firstLine="640" w:firstLineChars="200"/>
        <w:contextualSpacing/>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公立医院平均住院日高于2022年水平；公立医院百元医疗收入的医疗支出（不含药品收入）高于2022年水平。</w:t>
      </w:r>
    </w:p>
    <w:p>
      <w:pPr>
        <w:widowControl/>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2023年县公立医院的门诊患者满意度、住院患者满意度、职工满意度较上年有所提高。</w:t>
      </w:r>
    </w:p>
    <w:p>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578" w:lineRule="exact"/>
        <w:ind w:firstLine="720"/>
        <w:rPr>
          <w:rFonts w:ascii="楷体_GB2312" w:hAnsi="宋体" w:eastAsia="楷体_GB2312"/>
          <w:b/>
          <w:sz w:val="32"/>
          <w:szCs w:val="32"/>
          <w:lang w:val="zh-CN"/>
        </w:rPr>
      </w:pPr>
      <w:r>
        <w:rPr>
          <w:rFonts w:hint="eastAsia" w:ascii="仿宋_GB2312" w:hAnsi="仿宋_GB2312" w:eastAsia="仿宋_GB2312" w:cs="仿宋_GB2312"/>
          <w:kern w:val="0"/>
          <w:sz w:val="32"/>
          <w:szCs w:val="32"/>
          <w:shd w:val="clear" w:color="auto" w:fill="FFFFFF"/>
          <w:lang w:val="zh-CN"/>
        </w:rPr>
        <w:t>2023年公立医院改革资金项目在卫生健康局的统筹安排下，在财政部门的支持下，通过项目单位（县级公立医院）的细化落实下完成了年度目标任务。医疗机构的就医环境、服务能力、服务流程进一步改善，基层诊疗量有所增长，人民群众的获得感和满意度进一步提升，达到项目预期目标。</w:t>
      </w:r>
      <w:r>
        <w:rPr>
          <w:rFonts w:hint="eastAsia" w:ascii="楷体_GB2312" w:hAnsi="宋体" w:eastAsia="楷体_GB2312"/>
          <w:b/>
          <w:sz w:val="32"/>
          <w:szCs w:val="32"/>
          <w:lang w:val="zh-CN"/>
        </w:rPr>
        <w:t>（二）存在的问题。</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由于我县的县医院、县二院的位置离市区比较近，人才流失严重，加之人民群众的就医需求在不断提升，三家医院的服务能力较弱，看大病、解难症水平提升不明显，实现大病不出县、群众就地就医的目标是硬伤是短板。</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我县地广人稀，南北分散，县级医院的基础差、底子薄、人才引进难。在医疗服务收入占比、医疗费用控制、医疗服务量的提升、县域诊疗量占比等很难达到省市的要求，县级医院在政府和社会的满意度不高，支持率低。</w:t>
      </w:r>
    </w:p>
    <w:p>
      <w:pPr>
        <w:numPr>
          <w:ilvl w:val="0"/>
          <w:numId w:val="6"/>
        </w:numPr>
        <w:adjustRightInd w:val="0"/>
        <w:snapToGrid w:val="0"/>
        <w:spacing w:line="578" w:lineRule="exact"/>
        <w:ind w:left="0" w:leftChars="0"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相关建议。</w:t>
      </w:r>
    </w:p>
    <w:p>
      <w:pPr>
        <w:ind w:firstLine="643" w:firstLineChars="200"/>
        <w:rPr>
          <w:rFonts w:hint="default" w:ascii="Times New Roman" w:hAnsi="Times New Roman" w:eastAsia="仿宋" w:cs="Times New Roman"/>
          <w:color w:val="000000"/>
          <w:sz w:val="32"/>
          <w:szCs w:val="32"/>
        </w:rPr>
      </w:pPr>
      <w:r>
        <w:rPr>
          <w:rFonts w:hint="eastAsia" w:ascii="楷体_GB2312" w:hAnsi="宋体" w:eastAsia="楷体_GB2312"/>
          <w:b/>
          <w:sz w:val="32"/>
          <w:szCs w:val="32"/>
          <w:lang w:val="en-US" w:eastAsia="zh-CN"/>
        </w:rPr>
        <w:t xml:space="preserve">  </w:t>
      </w:r>
      <w:r>
        <w:rPr>
          <w:rFonts w:hint="default" w:ascii="Times New Roman" w:hAnsi="Times New Roman" w:eastAsia="仿宋_GB2312" w:cs="Times New Roman"/>
          <w:sz w:val="32"/>
          <w:szCs w:val="32"/>
        </w:rPr>
        <w:t>下一步将结合自身的情况，</w:t>
      </w:r>
      <w:r>
        <w:rPr>
          <w:rFonts w:hint="default" w:ascii="Times New Roman" w:hAnsi="Times New Roman" w:eastAsia="仿宋_GB2312" w:cs="Times New Roman"/>
          <w:sz w:val="32"/>
          <w:szCs w:val="32"/>
          <w:lang w:val="en-US" w:eastAsia="zh-CN"/>
        </w:rPr>
        <w:t>让县级机构</w:t>
      </w:r>
      <w:r>
        <w:rPr>
          <w:rFonts w:hint="default" w:ascii="Times New Roman" w:hAnsi="Times New Roman" w:eastAsia="仿宋_GB2312" w:cs="Times New Roman"/>
          <w:sz w:val="32"/>
          <w:szCs w:val="32"/>
        </w:rPr>
        <w:t>走好差异化发展道路。</w:t>
      </w:r>
      <w:r>
        <w:rPr>
          <w:rFonts w:hint="default" w:ascii="Times New Roman" w:hAnsi="Times New Roman" w:eastAsia="仿宋" w:cs="Times New Roman"/>
          <w:b/>
          <w:color w:val="000000"/>
          <w:sz w:val="32"/>
          <w:szCs w:val="32"/>
        </w:rPr>
        <w:t>一是</w:t>
      </w:r>
      <w:r>
        <w:rPr>
          <w:rFonts w:hint="default" w:ascii="Times New Roman" w:hAnsi="Times New Roman" w:eastAsia="仿宋" w:cs="Times New Roman"/>
          <w:color w:val="000000"/>
          <w:sz w:val="32"/>
          <w:szCs w:val="32"/>
        </w:rPr>
        <w:t>建强县人民医院康复、妇幼、内科、体检、外科等重点学科，提升县人民医院综合实力，争创三级乙等综合医院，打造县域内医疗卫生高地，充分发挥龙头医疗机构辐射带动作用。</w:t>
      </w:r>
      <w:r>
        <w:rPr>
          <w:rFonts w:hint="default" w:ascii="Times New Roman" w:hAnsi="Times New Roman" w:eastAsia="仿宋" w:cs="Times New Roman"/>
          <w:b/>
          <w:color w:val="000000"/>
          <w:sz w:val="32"/>
          <w:szCs w:val="32"/>
        </w:rPr>
        <w:t>二是</w:t>
      </w:r>
      <w:r>
        <w:rPr>
          <w:rFonts w:hint="default" w:ascii="Times New Roman" w:hAnsi="Times New Roman" w:eastAsia="仿宋" w:cs="Times New Roman"/>
          <w:color w:val="000000"/>
          <w:sz w:val="32"/>
          <w:szCs w:val="32"/>
        </w:rPr>
        <w:t>结合红格运动康养旅游发展定位，加快推进县第二人民医院建设项目，强化县第二人民医院医养结合、运动康复、中医康复、骨伤等特色科室建设，积极打造“康养+医疗”特色产业。</w:t>
      </w:r>
      <w:r>
        <w:rPr>
          <w:rFonts w:hint="default" w:ascii="Times New Roman" w:hAnsi="Times New Roman" w:eastAsia="仿宋" w:cs="Times New Roman"/>
          <w:b/>
          <w:color w:val="000000"/>
          <w:sz w:val="32"/>
          <w:szCs w:val="32"/>
        </w:rPr>
        <w:t>三是</w:t>
      </w:r>
      <w:r>
        <w:rPr>
          <w:rFonts w:hint="default" w:ascii="Times New Roman" w:hAnsi="Times New Roman" w:eastAsia="仿宋" w:cs="Times New Roman"/>
          <w:color w:val="000000"/>
          <w:sz w:val="32"/>
          <w:szCs w:val="32"/>
        </w:rPr>
        <w:t>持续开展县中医院能力提升建设，集中力量打造急诊急救、卒中、胸痛、中医等重点学科，强化对基层医疗机构的业务指导和培训，建立健全农村地区院前急救网络。</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积极争取上级部门的支持，利用好有限的公立医院改革资金，积极引进人才，提升县级医院的服务能力，充分利用我县是全国县域紧密型医共体试点县的契机，科学谋划，统筹考虑，努力建成南北两个紧密型医共体。积极对接相关部门，努力推动县域紧密型医共体建设，提升广大群众看病就医的便捷性。依托市中心医院对我县县级医疗机构的托管协议，落实分级诊疗制度，真正实现“传、帮、带”，提升农村卫生服务能力，为乡村振兴战略出力。以县域紧密型医共体建设为改革的突破口，从根本上扭转我县公立医院改革的被动局面，努力将我县的公立医院服务能力提质增效，逐步实现省市的要求。</w:t>
      </w:r>
    </w:p>
    <w:p>
      <w:pPr>
        <w:numPr>
          <w:ilvl w:val="0"/>
          <w:numId w:val="0"/>
        </w:numPr>
        <w:adjustRightInd w:val="0"/>
        <w:snapToGrid w:val="0"/>
        <w:spacing w:line="578" w:lineRule="exact"/>
        <w:rPr>
          <w:rFonts w:hint="default" w:ascii="楷体_GB2312" w:hAnsi="宋体" w:eastAsia="楷体_GB2312"/>
          <w:b/>
          <w:sz w:val="32"/>
          <w:szCs w:val="32"/>
          <w:lang w:val="en-US" w:eastAsia="zh-CN"/>
        </w:rPr>
      </w:pPr>
    </w:p>
    <w:p>
      <w:pPr>
        <w:pStyle w:val="2"/>
        <w:jc w:val="center"/>
        <w:rPr>
          <w:rFonts w:hint="eastAsia" w:ascii="黑体" w:hAnsi="黑体" w:eastAsia="黑体"/>
        </w:rPr>
      </w:pPr>
    </w:p>
    <w:p>
      <w:pPr>
        <w:rPr>
          <w:rFonts w:hint="eastAsia" w:ascii="黑体" w:hAnsi="黑体" w:eastAsia="黑体"/>
        </w:rPr>
      </w:pPr>
    </w:p>
    <w:p>
      <w:pPr>
        <w:rPr>
          <w:rFonts w:hint="eastAsia" w:ascii="黑体" w:hAnsi="黑体" w:eastAsia="黑体"/>
        </w:rPr>
      </w:pPr>
    </w:p>
    <w:p>
      <w:pPr>
        <w:rPr>
          <w:rFonts w:hint="eastAsia" w:ascii="黑体" w:hAnsi="黑体" w:eastAsia="黑体"/>
        </w:rPr>
      </w:pPr>
    </w:p>
    <w:p>
      <w:pPr>
        <w:rPr>
          <w:rFonts w:hint="eastAsia" w:ascii="黑体" w:hAnsi="黑体" w:eastAsia="黑体"/>
        </w:rPr>
      </w:pPr>
    </w:p>
    <w:p>
      <w:pPr>
        <w:rPr>
          <w:rFonts w:hint="eastAsia" w:ascii="黑体" w:hAnsi="黑体" w:eastAsia="黑体"/>
        </w:rPr>
      </w:pPr>
    </w:p>
    <w:p>
      <w:pPr>
        <w:rPr>
          <w:rFonts w:hint="eastAsia" w:ascii="黑体" w:hAnsi="黑体" w:eastAsia="黑体"/>
        </w:rPr>
      </w:pPr>
    </w:p>
    <w:p>
      <w:pPr>
        <w:pStyle w:val="6"/>
        <w:rPr>
          <w:rFonts w:hint="eastAsia" w:ascii="黑体" w:hAnsi="黑体" w:eastAsia="黑体" w:cs="黑体"/>
          <w:sz w:val="32"/>
          <w:szCs w:val="32"/>
          <w:lang w:eastAsia="zh-CN"/>
        </w:rPr>
      </w:pPr>
      <w:r>
        <w:rPr>
          <w:rFonts w:hint="eastAsia" w:ascii="黑体" w:hAnsi="黑体" w:eastAsia="黑体" w:cs="黑体"/>
          <w:kern w:val="0"/>
          <w:sz w:val="32"/>
          <w:szCs w:val="32"/>
          <w:shd w:val="clear" w:color="auto" w:fill="FFFFFF"/>
          <w:lang w:val="zh-CN"/>
        </w:rPr>
        <w:t>附件</w:t>
      </w:r>
      <w:r>
        <w:rPr>
          <w:rFonts w:hint="eastAsia" w:ascii="黑体" w:hAnsi="黑体" w:eastAsia="黑体" w:cs="黑体"/>
          <w:kern w:val="0"/>
          <w:sz w:val="32"/>
          <w:szCs w:val="32"/>
          <w:shd w:val="clear" w:color="auto" w:fill="FFFFFF"/>
          <w:lang w:val="en-US" w:eastAsia="zh-CN"/>
        </w:rPr>
        <w:t>6</w:t>
      </w:r>
    </w:p>
    <w:p>
      <w:pPr>
        <w:pStyle w:val="36"/>
        <w:spacing w:line="578" w:lineRule="exact"/>
        <w:jc w:val="center"/>
        <w:rPr>
          <w:rFonts w:hint="eastAsia"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专项预算</w:t>
      </w:r>
      <w:r>
        <w:rPr>
          <w:rFonts w:hint="eastAsia" w:ascii="方正小标宋简体" w:hAnsi="方正小标宋简体" w:eastAsia="方正小标宋简体" w:cs="方正小标宋简体"/>
          <w:color w:val="auto"/>
          <w:kern w:val="2"/>
          <w:sz w:val="44"/>
          <w:szCs w:val="44"/>
          <w:lang w:eastAsia="zh-CN"/>
        </w:rPr>
        <w:t>重大传染病防治</w:t>
      </w:r>
      <w:r>
        <w:rPr>
          <w:rFonts w:hint="eastAsia" w:ascii="方正小标宋简体" w:hAnsi="方正小标宋简体" w:eastAsia="方正小标宋简体" w:cs="方正小标宋简体"/>
          <w:color w:val="auto"/>
          <w:kern w:val="2"/>
          <w:sz w:val="44"/>
          <w:szCs w:val="44"/>
          <w:lang w:val="en-US"/>
        </w:rPr>
        <w:t>项目</w:t>
      </w:r>
    </w:p>
    <w:p>
      <w:pPr>
        <w:pStyle w:val="36"/>
        <w:spacing w:line="578" w:lineRule="exact"/>
        <w:jc w:val="center"/>
        <w:rPr>
          <w:rFonts w:hint="eastAsia"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绩效评价报告范本</w:t>
      </w:r>
    </w:p>
    <w:p>
      <w:pPr>
        <w:pStyle w:val="36"/>
        <w:spacing w:line="578" w:lineRule="exact"/>
        <w:ind w:firstLine="640"/>
        <w:jc w:val="center"/>
        <w:rPr>
          <w:rFonts w:ascii="宋体" w:hAnsi="宋体"/>
          <w:color w:val="auto"/>
          <w:kern w:val="2"/>
          <w:sz w:val="32"/>
          <w:szCs w:val="32"/>
        </w:rPr>
      </w:pPr>
    </w:p>
    <w:p>
      <w:pPr>
        <w:adjustRightInd w:val="0"/>
        <w:snapToGrid w:val="0"/>
        <w:spacing w:line="578"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1．说明项目主管部门（单位）在该项目管理中的职能。</w:t>
      </w:r>
    </w:p>
    <w:p>
      <w:pPr>
        <w:keepNext w:val="0"/>
        <w:keepLines w:val="0"/>
        <w:pageBreakBefore w:val="0"/>
        <w:kinsoku/>
        <w:wordWrap/>
        <w:overflowPunct/>
        <w:topLinePunct w:val="0"/>
        <w:autoSpaceDE/>
        <w:autoSpaceDN/>
        <w:bidi w:val="0"/>
        <w:adjustRightInd w:val="0"/>
        <w:snapToGrid w:val="0"/>
        <w:spacing w:line="560" w:lineRule="exact"/>
        <w:ind w:left="319" w:leftChars="152" w:firstLine="774" w:firstLineChars="242"/>
        <w:jc w:val="left"/>
        <w:rPr>
          <w:rFonts w:ascii="仿宋_GB2312" w:hAnsi="仿宋_GB2312" w:eastAsia="仿宋_GB2312" w:cs="仿宋_GB2312"/>
          <w:kern w:val="0"/>
          <w:sz w:val="32"/>
          <w:szCs w:val="32"/>
          <w:shd w:val="clear" w:color="auto" w:fill="FFFFFF"/>
          <w:lang w:val="zh-CN"/>
        </w:rPr>
      </w:pPr>
      <w:r>
        <w:rPr>
          <w:rFonts w:hint="default" w:ascii="Times New Roman" w:hAnsi="Times New Roman" w:eastAsia="仿宋" w:cs="Times New Roman"/>
          <w:sz w:val="32"/>
          <w:szCs w:val="32"/>
          <w:lang w:val="zh-CN" w:eastAsia="zh-CN"/>
        </w:rPr>
        <w:t>县卫生健康局</w:t>
      </w:r>
      <w:r>
        <w:rPr>
          <w:rFonts w:hint="default" w:ascii="Times New Roman" w:hAnsi="Times New Roman" w:eastAsia="仿宋" w:cs="Times New Roman"/>
          <w:sz w:val="32"/>
          <w:szCs w:val="32"/>
        </w:rPr>
        <w:t>负责</w:t>
      </w:r>
      <w:r>
        <w:rPr>
          <w:rFonts w:hint="default" w:ascii="Times New Roman" w:hAnsi="Times New Roman" w:eastAsia="仿宋" w:cs="Times New Roman"/>
          <w:sz w:val="32"/>
          <w:szCs w:val="32"/>
          <w:lang w:eastAsia="zh-CN"/>
        </w:rPr>
        <w:t>重大传染病防控项目</w:t>
      </w:r>
      <w:r>
        <w:rPr>
          <w:rFonts w:hint="default" w:ascii="Times New Roman" w:hAnsi="Times New Roman" w:eastAsia="仿宋" w:cs="Times New Roman"/>
          <w:sz w:val="32"/>
          <w:szCs w:val="32"/>
          <w:lang w:val="zh-CN" w:eastAsia="zh-CN"/>
        </w:rPr>
        <w:t>实施方案、考核细则、</w:t>
      </w:r>
      <w:r>
        <w:rPr>
          <w:rFonts w:hint="default" w:ascii="Times New Roman" w:hAnsi="Times New Roman" w:eastAsia="仿宋" w:cs="Times New Roman"/>
          <w:sz w:val="32"/>
          <w:szCs w:val="32"/>
          <w:lang w:eastAsia="zh-CN"/>
        </w:rPr>
        <w:t>工作</w:t>
      </w:r>
      <w:r>
        <w:rPr>
          <w:rFonts w:hint="default" w:ascii="Times New Roman" w:hAnsi="Times New Roman" w:eastAsia="仿宋" w:cs="Times New Roman"/>
          <w:sz w:val="32"/>
          <w:szCs w:val="32"/>
        </w:rPr>
        <w:t>计划</w:t>
      </w:r>
      <w:r>
        <w:rPr>
          <w:rFonts w:hint="default" w:ascii="Times New Roman" w:hAnsi="Times New Roman" w:eastAsia="仿宋" w:cs="Times New Roman"/>
          <w:sz w:val="32"/>
          <w:szCs w:val="32"/>
          <w:lang w:eastAsia="zh-CN"/>
        </w:rPr>
        <w:t>的制定，</w:t>
      </w:r>
      <w:r>
        <w:rPr>
          <w:rFonts w:hint="default" w:ascii="Times New Roman" w:hAnsi="Times New Roman" w:eastAsia="仿宋" w:cs="Times New Roman"/>
          <w:sz w:val="32"/>
          <w:szCs w:val="32"/>
        </w:rPr>
        <w:t>下达经费使用方案；负责组织协调、督查指导、评估考核</w:t>
      </w:r>
      <w:r>
        <w:rPr>
          <w:rFonts w:hint="default" w:ascii="Times New Roman" w:hAnsi="Times New Roman" w:eastAsia="仿宋" w:cs="Times New Roman"/>
          <w:sz w:val="32"/>
          <w:szCs w:val="32"/>
          <w:lang w:eastAsia="zh-CN"/>
        </w:rPr>
        <w:t>、人员培训等</w:t>
      </w:r>
      <w:r>
        <w:rPr>
          <w:rFonts w:hint="default" w:ascii="Times New Roman" w:hAnsi="Times New Roman" w:eastAsia="仿宋" w:cs="Times New Roman"/>
          <w:sz w:val="32"/>
          <w:szCs w:val="32"/>
        </w:rPr>
        <w:t>工作</w:t>
      </w:r>
      <w:r>
        <w:rPr>
          <w:rFonts w:hint="default" w:ascii="Times New Roman" w:hAnsi="Times New Roman" w:eastAsia="仿宋" w:cs="Times New Roman"/>
          <w:sz w:val="32"/>
          <w:szCs w:val="32"/>
          <w:lang w:eastAsia="zh-CN"/>
        </w:rPr>
        <w:t>。</w:t>
      </w:r>
    </w:p>
    <w:p>
      <w:pPr>
        <w:keepNext w:val="0"/>
        <w:keepLines w:val="0"/>
        <w:pageBreakBefore w:val="0"/>
        <w:numPr>
          <w:ilvl w:val="0"/>
          <w:numId w:val="9"/>
        </w:numPr>
        <w:kinsoku/>
        <w:wordWrap/>
        <w:overflowPunct/>
        <w:topLinePunct w:val="0"/>
        <w:autoSpaceDE/>
        <w:autoSpaceDN/>
        <w:bidi w:val="0"/>
        <w:adjustRightInd w:val="0"/>
        <w:snapToGrid w:val="0"/>
        <w:spacing w:line="560" w:lineRule="exact"/>
        <w:ind w:firstLine="72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项目立项、资金申报的依据。</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rPr>
          <w:rFonts w:ascii="仿宋_GB2312" w:hAnsi="仿宋_GB2312" w:eastAsia="仿宋_GB2312" w:cs="仿宋_GB2312"/>
          <w:kern w:val="0"/>
          <w:sz w:val="32"/>
          <w:szCs w:val="32"/>
          <w:shd w:val="clear" w:color="auto" w:fill="FFFFFF"/>
          <w:lang w:val="zh-CN"/>
        </w:rPr>
      </w:pPr>
      <w:r>
        <w:rPr>
          <w:rFonts w:hint="default" w:ascii="Times New Roman" w:hAnsi="Times New Roman" w:eastAsia="仿宋" w:cs="Times New Roman"/>
          <w:sz w:val="32"/>
          <w:szCs w:val="32"/>
          <w:lang w:eastAsia="zh-CN"/>
        </w:rPr>
        <w:t>依据国家、省、市重大传染病防控相关规定及《</w:t>
      </w: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年四川省艾滋病防治工作重点任务</w:t>
      </w:r>
      <w:r>
        <w:rPr>
          <w:rFonts w:hint="default" w:ascii="Times New Roman" w:hAnsi="Times New Roman" w:eastAsia="仿宋" w:cs="Times New Roman"/>
          <w:sz w:val="32"/>
          <w:szCs w:val="32"/>
          <w:lang w:eastAsia="zh-CN"/>
        </w:rPr>
        <w:t>》、《202</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eastAsia="zh-CN"/>
        </w:rPr>
        <w:t>年攀枝花市艾滋病防治工作重点任务》要求，完成重大传染病各项目标任务</w:t>
      </w:r>
      <w:r>
        <w:rPr>
          <w:rFonts w:hint="default" w:ascii="Times New Roman" w:hAnsi="Times New Roman" w:eastAsia="仿宋" w:cs="Times New Roman"/>
          <w:sz w:val="32"/>
          <w:szCs w:val="32"/>
        </w:rPr>
        <w:t>。</w:t>
      </w:r>
    </w:p>
    <w:p>
      <w:pPr>
        <w:keepNext w:val="0"/>
        <w:keepLines w:val="0"/>
        <w:pageBreakBefore w:val="0"/>
        <w:numPr>
          <w:ilvl w:val="0"/>
          <w:numId w:val="9"/>
        </w:numPr>
        <w:kinsoku/>
        <w:wordWrap/>
        <w:overflowPunct/>
        <w:topLinePunct w:val="0"/>
        <w:autoSpaceDE/>
        <w:autoSpaceDN/>
        <w:bidi w:val="0"/>
        <w:adjustRightInd w:val="0"/>
        <w:snapToGrid w:val="0"/>
        <w:spacing w:line="560" w:lineRule="exact"/>
        <w:ind w:left="0" w:leftChars="0" w:firstLine="720" w:firstLineChars="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资金</w:t>
      </w:r>
      <w:r>
        <w:rPr>
          <w:rFonts w:hint="eastAsia" w:ascii="仿宋_GB2312" w:hAnsi="仿宋_GB2312" w:eastAsia="仿宋_GB2312" w:cs="仿宋_GB2312"/>
          <w:kern w:val="0"/>
          <w:sz w:val="32"/>
          <w:szCs w:val="32"/>
          <w:shd w:val="clear" w:color="auto" w:fill="FFFFFF"/>
        </w:rPr>
        <w:t>或项目</w:t>
      </w:r>
      <w:r>
        <w:rPr>
          <w:rFonts w:hint="eastAsia" w:ascii="仿宋_GB2312" w:hAnsi="仿宋_GB2312" w:eastAsia="仿宋_GB2312" w:cs="仿宋_GB2312"/>
          <w:kern w:val="0"/>
          <w:sz w:val="32"/>
          <w:szCs w:val="32"/>
          <w:shd w:val="clear" w:color="auto" w:fill="FFFFFF"/>
          <w:lang w:val="zh-CN"/>
        </w:rPr>
        <w:t>管理办法制定情况。</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rPr>
          <w:rFonts w:ascii="仿宋_GB2312" w:hAnsi="仿宋_GB2312" w:eastAsia="仿宋_GB2312" w:cs="仿宋_GB2312"/>
          <w:kern w:val="0"/>
          <w:sz w:val="32"/>
          <w:szCs w:val="32"/>
          <w:shd w:val="clear" w:color="auto" w:fill="FFFFFF"/>
          <w:lang w:val="zh-CN"/>
        </w:rPr>
      </w:pPr>
      <w:r>
        <w:rPr>
          <w:rFonts w:hint="default" w:ascii="Times New Roman" w:hAnsi="Times New Roman" w:eastAsia="仿宋" w:cs="Times New Roman"/>
          <w:sz w:val="32"/>
          <w:szCs w:val="32"/>
          <w:lang w:val="zh-CN" w:eastAsia="zh-CN"/>
        </w:rPr>
        <w:t>根据《四川省重大传染病防控补助资金管理办法》、《四川省财政厅</w:t>
      </w:r>
      <w:r>
        <w:rPr>
          <w:rFonts w:hint="default" w:ascii="Times New Roman" w:hAnsi="Times New Roman" w:eastAsia="仿宋" w:cs="Times New Roman"/>
          <w:sz w:val="32"/>
          <w:szCs w:val="32"/>
          <w:lang w:val="en-US" w:eastAsia="zh-CN"/>
        </w:rPr>
        <w:t xml:space="preserve"> 省卫生健康委 省医疗保障局 省中医药管理局关于印发公共卫生服务等5项补助资金管理办法的通知</w:t>
      </w:r>
      <w:r>
        <w:rPr>
          <w:rFonts w:hint="default" w:ascii="Times New Roman" w:hAnsi="Times New Roman" w:eastAsia="仿宋" w:cs="Times New Roman"/>
          <w:sz w:val="32"/>
          <w:szCs w:val="32"/>
          <w:lang w:val="zh-CN" w:eastAsia="zh-CN"/>
        </w:rPr>
        <w:t>》（川</w:t>
      </w:r>
      <w:r>
        <w:rPr>
          <w:rFonts w:hint="default" w:ascii="Times New Roman" w:hAnsi="Times New Roman" w:eastAsia="仿宋" w:cs="Times New Roman"/>
          <w:sz w:val="32"/>
          <w:szCs w:val="32"/>
          <w:lang w:val="en-US" w:eastAsia="zh-CN"/>
        </w:rPr>
        <w:t>财社〔2022〕112号</w:t>
      </w:r>
      <w:r>
        <w:rPr>
          <w:rFonts w:hint="default" w:ascii="Times New Roman" w:hAnsi="Times New Roman" w:eastAsia="仿宋" w:cs="Times New Roman"/>
          <w:sz w:val="32"/>
          <w:szCs w:val="32"/>
          <w:lang w:val="zh-CN" w:eastAsia="zh-CN"/>
        </w:rPr>
        <w:t>）等文件精神，依据《四川省卫生健康委员会关于印发四川省2023年中央财政补助艾滋病等重大传染病和地方病防治项目第一批资金实施方案的通知》、《四川省卫生健康委员会关于印发四川省2023年中央财政补助艾滋病等重大传染病和地方病防治项目第二批资金实施方案的通知》</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下达各</w:t>
      </w:r>
      <w:r>
        <w:rPr>
          <w:rFonts w:hint="default" w:ascii="Times New Roman" w:hAnsi="Times New Roman" w:eastAsia="仿宋" w:cs="Times New Roman"/>
          <w:sz w:val="32"/>
          <w:szCs w:val="32"/>
          <w:lang w:eastAsia="zh-CN"/>
        </w:rPr>
        <w:t>医疗卫生</w:t>
      </w:r>
      <w:r>
        <w:rPr>
          <w:rFonts w:hint="default" w:ascii="Times New Roman" w:hAnsi="Times New Roman" w:eastAsia="仿宋" w:cs="Times New Roman"/>
          <w:sz w:val="32"/>
          <w:szCs w:val="32"/>
        </w:rPr>
        <w:t>单位</w:t>
      </w:r>
      <w:r>
        <w:rPr>
          <w:rFonts w:hint="default" w:ascii="Times New Roman" w:hAnsi="Times New Roman" w:eastAsia="仿宋" w:cs="Times New Roman"/>
          <w:sz w:val="32"/>
          <w:szCs w:val="32"/>
          <w:lang w:eastAsia="zh-CN"/>
        </w:rPr>
        <w:t>重大</w:t>
      </w:r>
      <w:r>
        <w:rPr>
          <w:rFonts w:hint="default" w:ascii="Times New Roman" w:hAnsi="Times New Roman" w:eastAsia="仿宋" w:cs="Times New Roman"/>
          <w:sz w:val="32"/>
          <w:szCs w:val="32"/>
        </w:rPr>
        <w:t>传染病防治经费。</w:t>
      </w:r>
    </w:p>
    <w:p>
      <w:pPr>
        <w:widowControl/>
        <w:numPr>
          <w:ilvl w:val="0"/>
          <w:numId w:val="9"/>
        </w:numPr>
        <w:adjustRightInd w:val="0"/>
        <w:snapToGrid w:val="0"/>
        <w:spacing w:line="578" w:lineRule="exact"/>
        <w:ind w:left="0" w:leftChars="0" w:firstLine="720" w:firstLineChars="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资金分配的原则及考虑因素。</w:t>
      </w:r>
    </w:p>
    <w:p>
      <w:pPr>
        <w:widowControl/>
        <w:numPr>
          <w:ilvl w:val="0"/>
          <w:numId w:val="0"/>
        </w:numPr>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按照各医疗卫生单位承担任务的完成数量、质量、满意度等综合考虑，进行资金分配；项目资金拨付给县疾控中心、县妇计中心、各医疗卫生机构开展项目使用，局本级不截留、挤占、挪用。</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项目主要内容。重大传染病防控主要包括纳入国家免疫规划的常规免疫及补充免疫，艾滋病、结核病、血吸虫病、包虫病防控，精神心理疾病综合管理、重大慢性病防控管理模式和适宜技术探索、疾病及危害因素监测等全国性或跨区域的重大疾病防控内容，以及省级根据实际情况增加实施的相关项目。</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2．项目应实现的具体绩效目标，</w:t>
      </w:r>
      <w:r>
        <w:rPr>
          <w:rFonts w:hint="eastAsia" w:ascii="仿宋_GB2312" w:hAnsi="仿宋_GB2312" w:eastAsia="仿宋_GB2312" w:cs="仿宋_GB2312"/>
          <w:kern w:val="0"/>
          <w:sz w:val="32"/>
          <w:szCs w:val="32"/>
          <w:shd w:val="clear" w:color="auto" w:fill="FFFFFF"/>
        </w:rPr>
        <w:t>包括但不限于</w:t>
      </w:r>
      <w:r>
        <w:rPr>
          <w:rFonts w:hint="eastAsia" w:ascii="仿宋_GB2312" w:hAnsi="仿宋_GB2312" w:cs="仿宋_GB2312"/>
          <w:kern w:val="0"/>
          <w:sz w:val="32"/>
          <w:szCs w:val="32"/>
          <w:shd w:val="clear" w:color="auto" w:fill="FFFFFF"/>
        </w:rPr>
        <w:t>：绩效</w:t>
      </w:r>
      <w:r>
        <w:rPr>
          <w:rFonts w:hint="eastAsia" w:ascii="仿宋_GB2312" w:hAnsi="仿宋_GB2312" w:eastAsia="仿宋_GB2312" w:cs="仿宋_GB2312"/>
          <w:kern w:val="0"/>
          <w:sz w:val="32"/>
          <w:szCs w:val="32"/>
          <w:shd w:val="clear" w:color="auto" w:fill="FFFFFF"/>
          <w:lang w:val="zh-CN"/>
        </w:rPr>
        <w:t>目标的量化细化情况</w:t>
      </w:r>
      <w:r>
        <w:rPr>
          <w:rFonts w:hint="eastAsia" w:ascii="仿宋_GB2312" w:hAnsi="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lang w:val="zh-CN"/>
        </w:rPr>
        <w:t>项目实施进度计划等。</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（1）在治病人病毒载量检测比例9</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 w:cs="Times New Roman"/>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（2）抗病毒治疗</w:t>
      </w:r>
      <w:r>
        <w:rPr>
          <w:rFonts w:hint="default" w:ascii="Times New Roman" w:hAnsi="Times New Roman" w:eastAsia="仿宋" w:cs="Times New Roman"/>
          <w:color w:val="000000" w:themeColor="text1"/>
          <w:sz w:val="32"/>
          <w:szCs w:val="32"/>
          <w:lang w:eastAsia="zh-CN"/>
          <w14:textFill>
            <w14:solidFill>
              <w14:schemeClr w14:val="tx1"/>
            </w14:solidFill>
          </w14:textFill>
        </w:rPr>
        <w:t>覆盖率</w:t>
      </w:r>
      <w:r>
        <w:rPr>
          <w:rFonts w:hint="default" w:ascii="Times New Roman" w:hAnsi="Times New Roman" w:eastAsia="仿宋" w:cs="Times New Roman"/>
          <w:color w:val="000000" w:themeColor="text1"/>
          <w:sz w:val="32"/>
          <w:szCs w:val="32"/>
          <w14:textFill>
            <w14:solidFill>
              <w14:schemeClr w14:val="tx1"/>
            </w14:solidFill>
          </w14:textFill>
        </w:rPr>
        <w:t>9</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 w:cs="Times New Roman"/>
          <w:color w:val="000000" w:themeColor="text1"/>
          <w:sz w:val="32"/>
          <w:szCs w:val="32"/>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（3）抗病毒治疗成功率9</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 w:cs="Times New Roman"/>
          <w:color w:val="000000" w:themeColor="text1"/>
          <w:sz w:val="32"/>
          <w:szCs w:val="32"/>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（4）感染者/病人随访检测比例90%</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（5）阳性者配偶检测比例85%</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（6）孕产妇艾滋病、梅毒和乙肝检测率</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90%</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（7）适龄儿童国家免疫规划疫苗接种率</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90%</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（8）病原学阳性肺结核患者耐药筛查率</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80%</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（9）肺结核治疗成功率</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90%</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10</w:t>
      </w:r>
      <w:r>
        <w:rPr>
          <w:rFonts w:hint="default" w:ascii="Times New Roman" w:hAnsi="Times New Roman" w:eastAsia="仿宋" w:cs="Times New Roman"/>
          <w:color w:val="000000" w:themeColor="text1"/>
          <w:sz w:val="32"/>
          <w:szCs w:val="32"/>
          <w14:textFill>
            <w14:solidFill>
              <w14:schemeClr w14:val="tx1"/>
            </w14:solidFill>
          </w14:textFill>
        </w:rPr>
        <w:t>）在册严重精神障碍患者规范管理率</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80%</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11</w:t>
      </w:r>
      <w:r>
        <w:rPr>
          <w:rFonts w:hint="default" w:ascii="Times New Roman" w:hAnsi="Times New Roman" w:eastAsia="仿宋" w:cs="Times New Roman"/>
          <w:color w:val="000000" w:themeColor="text1"/>
          <w:sz w:val="32"/>
          <w:szCs w:val="32"/>
          <w14:textFill>
            <w14:solidFill>
              <w14:schemeClr w14:val="tx1"/>
            </w14:solidFill>
          </w14:textFill>
        </w:rPr>
        <w:t>）在册精神障碍患者治疗率</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70%</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zh-CN"/>
        </w:rPr>
        <w:t>（</w:t>
      </w:r>
      <w:r>
        <w:rPr>
          <w:rFonts w:hint="eastAsia" w:ascii="CESI仿宋-GB2312" w:hAnsi="CESI仿宋-GB2312" w:eastAsia="CESI仿宋-GB2312" w:cs="CESI仿宋-GB2312"/>
          <w:sz w:val="32"/>
          <w:szCs w:val="32"/>
          <w:lang w:val="en-US" w:eastAsia="zh-CN"/>
        </w:rPr>
        <w:t>12</w:t>
      </w:r>
      <w:r>
        <w:rPr>
          <w:rFonts w:hint="eastAsia" w:ascii="CESI仿宋-GB2312" w:hAnsi="CESI仿宋-GB2312" w:eastAsia="CESI仿宋-GB2312" w:cs="CESI仿宋-GB2312"/>
          <w:sz w:val="32"/>
          <w:szCs w:val="32"/>
          <w:lang w:val="zh-CN"/>
        </w:rPr>
        <w:t>）窝沟封闭完成率</w:t>
      </w:r>
      <w:r>
        <w:rPr>
          <w:rFonts w:hint="eastAsia" w:ascii="CESI仿宋-GB2312" w:hAnsi="CESI仿宋-GB2312" w:eastAsia="CESI仿宋-GB2312" w:cs="CESI仿宋-GB2312"/>
          <w:sz w:val="32"/>
          <w:szCs w:val="32"/>
          <w:lang w:val="en-US" w:eastAsia="zh-CN"/>
        </w:rPr>
        <w:t>100%</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（13）钉螺调查任务完成率90%</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rPr>
          <w:rFonts w:ascii="仿宋_GB2312" w:hAnsi="仿宋_GB2312" w:eastAsia="仿宋_GB2312" w:cs="仿宋_GB2312"/>
          <w:kern w:val="0"/>
          <w:sz w:val="32"/>
          <w:szCs w:val="32"/>
          <w:shd w:val="clear" w:color="auto" w:fill="FFFFFF"/>
          <w:lang w:val="zh-CN"/>
        </w:rPr>
      </w:pPr>
      <w:r>
        <w:rPr>
          <w:rFonts w:hint="eastAsia" w:ascii="CESI仿宋-GB2312" w:hAnsi="CESI仿宋-GB2312" w:eastAsia="CESI仿宋-GB2312" w:cs="CESI仿宋-GB2312"/>
          <w:sz w:val="32"/>
          <w:szCs w:val="32"/>
          <w:lang w:val="en-US" w:eastAsia="zh-CN"/>
        </w:rPr>
        <w:t>（14）麻风病规定随访到位率90%</w:t>
      </w:r>
    </w:p>
    <w:p>
      <w:pPr>
        <w:keepNext w:val="0"/>
        <w:keepLines w:val="0"/>
        <w:pageBreakBefore w:val="0"/>
        <w:kinsoku/>
        <w:wordWrap/>
        <w:overflowPunct/>
        <w:topLinePunct w:val="0"/>
        <w:autoSpaceDE/>
        <w:autoSpaceDN/>
        <w:bidi w:val="0"/>
        <w:adjustRightInd w:val="0"/>
        <w:snapToGrid w:val="0"/>
        <w:spacing w:line="560" w:lineRule="exact"/>
        <w:ind w:firstLine="720"/>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3．分析评价申报内容是否与实际相符，申报目标是否合理可行。</w:t>
      </w:r>
      <w:r>
        <w:rPr>
          <w:rFonts w:hint="default" w:ascii="Times New Roman" w:hAnsi="Times New Roman" w:eastAsia="仿宋" w:cs="Times New Roman"/>
          <w:color w:val="000000"/>
          <w:kern w:val="0"/>
          <w:sz w:val="33"/>
          <w:szCs w:val="33"/>
          <w:lang w:val="en-US" w:eastAsia="zh-CN"/>
        </w:rPr>
        <w:t>按照省、市印发的重大传染病防治项目实施方案要求，分解细化目标任务，确保了目标任务全面完成。申报内容与实际相符，申报目标合理可行。</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578" w:lineRule="exact"/>
        <w:ind w:firstLine="72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县卫生健康局按照中央、省、市要求，加强对县疾控中心、县妇计中心、各医疗卫生机构的日常资金使用指导；根据各医疗卫生单位承担任务的完成数量、质量等综合考虑，进行资金拨付，各医疗卫生机构保障项目专款专用；县卫生健康局对拨付的项目经费都做出了相应要求，并报经局务会、党组会讨论通过，有会议纪要作为支撑；对各单位资金进行监督检查，及时发现和纠正有关问题，确保资金安全。</w:t>
      </w:r>
    </w:p>
    <w:p>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578" w:lineRule="exact"/>
        <w:ind w:firstLine="72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申报：2023年重大传染病防治经费项目预算；</w:t>
      </w:r>
    </w:p>
    <w:p>
      <w:pPr>
        <w:adjustRightInd w:val="0"/>
        <w:snapToGrid w:val="0"/>
        <w:spacing w:line="578" w:lineRule="exact"/>
        <w:ind w:firstLine="72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批复：盐边县财政局下达2023年重大传染病防治经费项目预算控制数60万元（盐边财政〔2023〕8号）。</w:t>
      </w:r>
    </w:p>
    <w:p>
      <w:pPr>
        <w:adjustRightInd w:val="0"/>
        <w:snapToGrid w:val="0"/>
        <w:spacing w:line="578" w:lineRule="exact"/>
        <w:ind w:firstLine="720"/>
        <w:rPr>
          <w:rFonts w:ascii="仿宋_GB2312" w:hAnsi="宋体"/>
          <w:sz w:val="32"/>
          <w:szCs w:val="32"/>
          <w:lang w:val="zh-CN"/>
        </w:rPr>
      </w:pPr>
      <w:r>
        <w:rPr>
          <w:rFonts w:hint="eastAsia" w:ascii="楷体_GB2312" w:hAnsi="宋体" w:eastAsia="楷体_GB2312"/>
          <w:b/>
          <w:sz w:val="32"/>
          <w:szCs w:val="32"/>
          <w:lang w:val="zh-CN"/>
        </w:rPr>
        <w:t>（二）资金计划、到位及使用情况（可用表格形式反映）。</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1．资金计划。中央资金270.74万元，县级申报资金60万元。</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2．资金到位。</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（1）川财社〔2022〕156号文件下达2023年重大传染病防控中央补助资金（第一批）162.98万元。</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（2）川财社〔2023〕90号文件下达2023年重大传染病防控中央补助资金（第二批）107.76万元。</w:t>
      </w:r>
    </w:p>
    <w:p>
      <w:pPr>
        <w:widowControl/>
        <w:adjustRightInd w:val="0"/>
        <w:snapToGrid w:val="0"/>
        <w:spacing w:line="578" w:lineRule="exact"/>
        <w:ind w:left="638" w:leftChars="304" w:firstLine="0" w:firstLineChars="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（3）盐边财政〔2023〕8号文件下达县级资金60万元。3．资金使用。</w:t>
      </w:r>
    </w:p>
    <w:p>
      <w:pPr>
        <w:adjustRightInd w:val="0"/>
        <w:snapToGrid w:val="0"/>
        <w:spacing w:line="578" w:lineRule="exact"/>
        <w:ind w:firstLine="72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（1）中央下达艾滋病防治经费共计270.74万元，由县卫生健康局出具分配方案分配后，报县财政局下达县疾控中心、县妇计中心及相关医疗机构。</w:t>
      </w:r>
    </w:p>
    <w:p>
      <w:pPr>
        <w:adjustRightInd w:val="0"/>
        <w:snapToGrid w:val="0"/>
        <w:spacing w:line="578" w:lineRule="exact"/>
        <w:ind w:firstLine="640" w:firstLineChars="20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（2）地方配套资金60万元拨付县疾控中心，用于支付HIV抗体检测试剂及耗材采购、相关检测费用报销等。</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各项目实施单位财务管理制度健全，严格执行财务管理制度，及时账务处理，规范会计核算，及时完成财务年报、卫生统计年报、月报等。</w:t>
      </w:r>
    </w:p>
    <w:p>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r>
        <w:rPr>
          <w:rFonts w:hint="default" w:ascii="Times New Roman" w:hAnsi="Times New Roman" w:eastAsia="仿宋" w:cs="Times New Roman"/>
          <w:sz w:val="32"/>
          <w:szCs w:val="32"/>
        </w:rPr>
        <w:t>盐边县卫生健康局</w:t>
      </w:r>
      <w:r>
        <w:rPr>
          <w:rFonts w:hint="default" w:ascii="Times New Roman" w:hAnsi="Times New Roman" w:eastAsia="仿宋" w:cs="Times New Roman"/>
          <w:sz w:val="32"/>
          <w:szCs w:val="32"/>
          <w:lang w:eastAsia="zh-CN"/>
        </w:rPr>
        <w:t>负责组织实施，加强所属医疗卫生单位开展疾病预防控制工作管理、考核和绩效评价</w:t>
      </w:r>
      <w:r>
        <w:rPr>
          <w:rFonts w:hint="default" w:ascii="Times New Roman" w:hAnsi="Times New Roman" w:eastAsia="仿宋" w:cs="Times New Roman"/>
          <w:sz w:val="32"/>
          <w:szCs w:val="32"/>
          <w:lang w:val="en-US" w:eastAsia="zh-CN"/>
        </w:rPr>
        <w:t>，县</w:t>
      </w:r>
      <w:r>
        <w:rPr>
          <w:rFonts w:hint="default" w:ascii="Times New Roman" w:hAnsi="Times New Roman" w:eastAsia="仿宋" w:cs="Times New Roman"/>
          <w:sz w:val="32"/>
          <w:szCs w:val="32"/>
          <w:lang w:eastAsia="zh-CN"/>
        </w:rPr>
        <w:t>疾病预防控制中心负责各医疗机构业务指导和项目管理，提供项目技术支持，各医疗机构具体负责实施相关工作。</w:t>
      </w:r>
    </w:p>
    <w:p>
      <w:pPr>
        <w:adjustRightInd w:val="0"/>
        <w:snapToGrid w:val="0"/>
        <w:spacing w:line="578" w:lineRule="exact"/>
        <w:ind w:firstLine="720"/>
        <w:rPr>
          <w:rFonts w:ascii="仿宋_GB2312" w:hAnsi="仿宋_GB2312" w:eastAsia="仿宋_GB2312" w:cs="仿宋_GB2312"/>
          <w:kern w:val="0"/>
          <w:sz w:val="32"/>
          <w:szCs w:val="32"/>
          <w:shd w:val="clear" w:color="auto" w:fill="FFFFFF"/>
          <w:lang w:val="zh-CN"/>
        </w:rPr>
      </w:pPr>
      <w:r>
        <w:rPr>
          <w:rFonts w:hint="eastAsia" w:ascii="楷体_GB2312" w:hAnsi="宋体" w:eastAsia="楷体_GB2312"/>
          <w:b/>
          <w:sz w:val="32"/>
          <w:szCs w:val="32"/>
          <w:lang w:val="zh-CN"/>
        </w:rPr>
        <w:t>（二）项目管理情况。</w:t>
      </w:r>
      <w:r>
        <w:rPr>
          <w:rFonts w:hint="eastAsia" w:ascii="仿宋_GB2312" w:hAnsi="仿宋_GB2312" w:eastAsia="仿宋_GB2312" w:cs="仿宋_GB2312"/>
          <w:kern w:val="0"/>
          <w:sz w:val="32"/>
          <w:szCs w:val="32"/>
          <w:shd w:val="clear" w:color="auto" w:fill="FFFFFF"/>
          <w:lang w:val="zh-CN"/>
        </w:rPr>
        <w:t>县卫生健康局结合本地情况统筹安排，对落实本项目各项活动中的不足经费协调解决，并根据工作进度合理使用上年结转资金，确保各项目标任务完成。</w:t>
      </w:r>
    </w:p>
    <w:p>
      <w:pPr>
        <w:adjustRightInd w:val="0"/>
        <w:snapToGrid w:val="0"/>
        <w:spacing w:line="578" w:lineRule="exact"/>
        <w:ind w:firstLine="720"/>
        <w:rPr>
          <w:rFonts w:hint="eastAsia" w:ascii="仿宋_GB2312" w:hAnsi="仿宋_GB2312" w:eastAsia="仿宋_GB2312" w:cs="仿宋_GB2312"/>
          <w:kern w:val="0"/>
          <w:sz w:val="32"/>
          <w:szCs w:val="32"/>
          <w:shd w:val="clear" w:color="auto" w:fill="FFFFFF"/>
          <w:lang w:val="zh-CN"/>
        </w:rPr>
      </w:pPr>
      <w:r>
        <w:rPr>
          <w:rFonts w:hint="eastAsia" w:ascii="楷体_GB2312" w:hAnsi="宋体" w:eastAsia="楷体_GB2312"/>
          <w:b/>
          <w:sz w:val="32"/>
          <w:szCs w:val="32"/>
          <w:lang w:val="zh-CN"/>
        </w:rPr>
        <w:t>（三）项目监管情况。</w:t>
      </w:r>
      <w:r>
        <w:rPr>
          <w:rFonts w:hint="eastAsia" w:ascii="仿宋_GB2312" w:hAnsi="仿宋_GB2312" w:eastAsia="仿宋_GB2312" w:cs="仿宋_GB2312"/>
          <w:kern w:val="0"/>
          <w:sz w:val="32"/>
          <w:szCs w:val="32"/>
          <w:shd w:val="clear" w:color="auto" w:fill="FFFFFF"/>
          <w:lang w:val="zh-CN"/>
        </w:rPr>
        <w:t>按照《中央补助地方卫生事业专项资金管理办法》和《四川省省级卫生事业财政专项资金管理暂行办法（川财社〔2004〕159号）、《四川省财政厅预算绩效管理工作实施方案》（川财办〔2019〕27号）、《四川省财政厅关于开展2020年度绩效运行自行监控工作的通知》（川财绩〔2020〕15号）的规定，加强资金的管理与监督，确保专项资金专款专用，适时开展绩效运行自行监控和评估。</w:t>
      </w:r>
    </w:p>
    <w:p>
      <w:pPr>
        <w:adjustRightInd w:val="0"/>
        <w:snapToGrid w:val="0"/>
        <w:spacing w:line="578" w:lineRule="exact"/>
        <w:ind w:firstLine="720"/>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widowControl/>
        <w:adjustRightInd w:val="0"/>
        <w:snapToGrid w:val="0"/>
        <w:spacing w:line="578" w:lineRule="exact"/>
        <w:ind w:firstLine="640" w:firstLineChars="200"/>
        <w:contextualSpacing/>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（1）在治病人病毒载量检测比例97.85%</w:t>
      </w:r>
    </w:p>
    <w:p>
      <w:pPr>
        <w:widowControl/>
        <w:adjustRightInd w:val="0"/>
        <w:snapToGrid w:val="0"/>
        <w:spacing w:line="578" w:lineRule="exact"/>
        <w:ind w:firstLine="640" w:firstLineChars="200"/>
        <w:contextualSpacing/>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（2）抗病毒治疗覆盖率96.74%</w:t>
      </w:r>
    </w:p>
    <w:p>
      <w:pPr>
        <w:widowControl/>
        <w:adjustRightInd w:val="0"/>
        <w:snapToGrid w:val="0"/>
        <w:spacing w:line="578" w:lineRule="exact"/>
        <w:ind w:firstLine="640" w:firstLineChars="200"/>
        <w:contextualSpacing/>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（3）抗病毒治疗成功率97.44%</w:t>
      </w:r>
    </w:p>
    <w:p>
      <w:pPr>
        <w:widowControl/>
        <w:adjustRightInd w:val="0"/>
        <w:snapToGrid w:val="0"/>
        <w:spacing w:line="578" w:lineRule="exact"/>
        <w:ind w:firstLine="640" w:firstLineChars="200"/>
        <w:contextualSpacing/>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（4）感染者/病人随访检测比例92.51%</w:t>
      </w:r>
    </w:p>
    <w:p>
      <w:pPr>
        <w:widowControl/>
        <w:adjustRightInd w:val="0"/>
        <w:snapToGrid w:val="0"/>
        <w:spacing w:line="578" w:lineRule="exact"/>
        <w:ind w:firstLine="640" w:firstLineChars="200"/>
        <w:contextualSpacing/>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（5）阳性者配偶检测比例91.14%</w:t>
      </w:r>
    </w:p>
    <w:p>
      <w:pPr>
        <w:widowControl/>
        <w:adjustRightInd w:val="0"/>
        <w:snapToGrid w:val="0"/>
        <w:spacing w:line="578" w:lineRule="exact"/>
        <w:ind w:firstLine="640" w:firstLineChars="200"/>
        <w:contextualSpacing/>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（6）孕产妇艾滋病、梅毒和乙肝检测率100%</w:t>
      </w:r>
    </w:p>
    <w:p>
      <w:pPr>
        <w:widowControl/>
        <w:adjustRightInd w:val="0"/>
        <w:snapToGrid w:val="0"/>
        <w:spacing w:line="578" w:lineRule="exact"/>
        <w:ind w:firstLine="640" w:firstLineChars="200"/>
        <w:contextualSpacing/>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（7）适龄儿童国家免疫规划疫苗接种率91%</w:t>
      </w:r>
    </w:p>
    <w:p>
      <w:pPr>
        <w:widowControl/>
        <w:adjustRightInd w:val="0"/>
        <w:snapToGrid w:val="0"/>
        <w:spacing w:line="578" w:lineRule="exact"/>
        <w:ind w:firstLine="640" w:firstLineChars="200"/>
        <w:contextualSpacing/>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（8）病原学阳性肺结核患者耐药筛查率100%</w:t>
      </w:r>
    </w:p>
    <w:p>
      <w:pPr>
        <w:widowControl/>
        <w:adjustRightInd w:val="0"/>
        <w:snapToGrid w:val="0"/>
        <w:spacing w:line="578" w:lineRule="exact"/>
        <w:ind w:firstLine="640" w:firstLineChars="200"/>
        <w:contextualSpacing/>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（9）肺结核治疗成功率96.43%</w:t>
      </w:r>
    </w:p>
    <w:p>
      <w:pPr>
        <w:widowControl/>
        <w:adjustRightInd w:val="0"/>
        <w:snapToGrid w:val="0"/>
        <w:spacing w:line="578" w:lineRule="exact"/>
        <w:ind w:firstLine="640" w:firstLineChars="200"/>
        <w:contextualSpacing/>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（10）在册严重精神障碍患者规范管理率95.29%</w:t>
      </w:r>
    </w:p>
    <w:p>
      <w:pPr>
        <w:widowControl/>
        <w:adjustRightInd w:val="0"/>
        <w:snapToGrid w:val="0"/>
        <w:spacing w:line="578" w:lineRule="exact"/>
        <w:ind w:firstLine="640" w:firstLineChars="200"/>
        <w:contextualSpacing/>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（11）在册精神障碍患者治疗率80.57%</w:t>
      </w:r>
    </w:p>
    <w:p>
      <w:pPr>
        <w:widowControl/>
        <w:adjustRightInd w:val="0"/>
        <w:snapToGrid w:val="0"/>
        <w:spacing w:line="578" w:lineRule="exact"/>
        <w:ind w:firstLine="640" w:firstLineChars="200"/>
        <w:contextualSpacing/>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（12）窝沟封闭完成率100%</w:t>
      </w:r>
    </w:p>
    <w:p>
      <w:pPr>
        <w:widowControl/>
        <w:adjustRightInd w:val="0"/>
        <w:snapToGrid w:val="0"/>
        <w:spacing w:line="578" w:lineRule="exact"/>
        <w:ind w:firstLine="640" w:firstLineChars="200"/>
        <w:contextualSpacing/>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（13）钉螺调查任务完成率100%</w:t>
      </w:r>
    </w:p>
    <w:p>
      <w:pPr>
        <w:widowControl/>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（14）麻风病规定随访到位率100%</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578" w:lineRule="exact"/>
        <w:ind w:firstLine="72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盐边县落实落细各项工作措施，有效遏制艾滋病、结核病传播，减少地方病发生，减少麻风病危害，疾病防治知识知晓率进一步提升；全县免疫规划、精神卫生、慢性病防控、传染病监测及突发公共卫生事件处置、健康危害因素监测水平进一步提高，群众满意率95%，项目实现了预期目标。</w:t>
      </w:r>
    </w:p>
    <w:p>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578" w:lineRule="exact"/>
        <w:ind w:firstLine="72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2023年重大传染病防治工作得到有序进行，项目总体指标完成较好，均能完成评价指标，达到预期值，自评为优良。</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1.宣传发动还不够深入，全人群传染病知晓率低。健康教育针对性不强，人群覆盖面窄，各类人群传染病知识知晓率和目标要求还有较大差距。</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2.筛查组织待加强，艾滋病病毒感染者和病人检测发现率低。基层组织动员不广泛，重点人群筛查未全覆盖，筛查效果差。</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3.协调配合待加强，部分单位履行艾防主体责任不明确。有的单位职责任务不明确，工作被动应付，工作人员频繁更换。</w:t>
      </w:r>
    </w:p>
    <w:p>
      <w:pPr>
        <w:adjustRightInd w:val="0"/>
        <w:snapToGrid w:val="0"/>
        <w:spacing w:line="578"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578" w:lineRule="exact"/>
        <w:ind w:firstLine="720"/>
        <w:rPr>
          <w:rFonts w:hint="eastAsia" w:ascii="CESI仿宋-GB2312" w:hAnsi="CESI仿宋-GB2312" w:eastAsia="CESI仿宋-GB2312" w:cs="CESI仿宋-GB2312"/>
          <w:b w:val="0"/>
          <w:bCs/>
          <w:sz w:val="32"/>
          <w:szCs w:val="32"/>
          <w:lang w:val="zh-CN"/>
        </w:rPr>
      </w:pPr>
      <w:r>
        <w:rPr>
          <w:rFonts w:hint="eastAsia" w:ascii="CESI仿宋-GB2312" w:hAnsi="CESI仿宋-GB2312" w:eastAsia="CESI仿宋-GB2312" w:cs="CESI仿宋-GB2312"/>
          <w:b w:val="0"/>
          <w:bCs/>
          <w:sz w:val="32"/>
          <w:szCs w:val="32"/>
          <w:lang w:val="zh-CN"/>
        </w:rPr>
        <w:t>1.强化宣传，营造良好防治氛围。各单位要采取多种方式，全面普及重大传染病防治知识和政策，动员全社会参与，提高知识知晓率。</w:t>
      </w:r>
    </w:p>
    <w:p>
      <w:pPr>
        <w:adjustRightInd w:val="0"/>
        <w:snapToGrid w:val="0"/>
        <w:spacing w:line="578" w:lineRule="exact"/>
        <w:ind w:firstLine="720"/>
        <w:rPr>
          <w:rFonts w:hint="eastAsia" w:ascii="CESI仿宋-GB2312" w:hAnsi="CESI仿宋-GB2312" w:eastAsia="CESI仿宋-GB2312" w:cs="CESI仿宋-GB2312"/>
          <w:b w:val="0"/>
          <w:bCs/>
          <w:sz w:val="32"/>
          <w:szCs w:val="32"/>
          <w:lang w:val="zh-CN"/>
        </w:rPr>
      </w:pPr>
      <w:r>
        <w:rPr>
          <w:rFonts w:hint="eastAsia" w:ascii="CESI仿宋-GB2312" w:hAnsi="CESI仿宋-GB2312" w:eastAsia="CESI仿宋-GB2312" w:cs="CESI仿宋-GB2312"/>
          <w:b w:val="0"/>
          <w:bCs/>
          <w:sz w:val="32"/>
          <w:szCs w:val="32"/>
          <w:lang w:val="zh-CN"/>
        </w:rPr>
        <w:t>2.综合施策，全方位推进工作开展。各单位要分工协作，密切配合，采取一切有效措施，推进重大传染病防治工作的开展。</w:t>
      </w:r>
    </w:p>
    <w:p>
      <w:pPr>
        <w:pStyle w:val="2"/>
        <w:jc w:val="center"/>
        <w:rPr>
          <w:rFonts w:hint="eastAsia" w:ascii="黑体" w:hAnsi="黑体" w:eastAsia="黑体"/>
        </w:rPr>
      </w:pPr>
    </w:p>
    <w:p>
      <w:pPr>
        <w:pStyle w:val="2"/>
        <w:jc w:val="center"/>
        <w:rPr>
          <w:rFonts w:hint="eastAsia" w:ascii="黑体" w:hAnsi="黑体" w:eastAsia="黑体"/>
        </w:rPr>
      </w:pPr>
    </w:p>
    <w:p>
      <w:pPr>
        <w:outlineLvl w:val="1"/>
        <w:rPr>
          <w:rFonts w:ascii="仿宋" w:hAnsi="仿宋" w:eastAsia="仿宋"/>
          <w:sz w:val="32"/>
          <w:szCs w:val="32"/>
        </w:rPr>
        <w:sectPr>
          <w:footerReference r:id="rId10" w:type="first"/>
          <w:footerReference r:id="rId9" w:type="default"/>
          <w:pgSz w:w="11906" w:h="16838"/>
          <w:pgMar w:top="1440" w:right="1800" w:bottom="1440" w:left="1800" w:header="851" w:footer="992" w:gutter="0"/>
          <w:pgNumType w:fmt="decimal" w:start="1"/>
          <w:cols w:space="425" w:num="1"/>
          <w:titlePg/>
          <w:docGrid w:type="lines" w:linePitch="312" w:charSpace="0"/>
        </w:sectPr>
      </w:pPr>
    </w:p>
    <w:p>
      <w:pPr>
        <w:pStyle w:val="2"/>
        <w:jc w:val="center"/>
        <w:rPr>
          <w:rFonts w:ascii="黑体" w:hAnsi="黑体" w:eastAsia="黑体"/>
        </w:rPr>
      </w:pPr>
      <w:r>
        <w:rPr>
          <w:rFonts w:hint="eastAsia" w:ascii="黑体" w:hAnsi="黑体" w:eastAsia="黑体"/>
        </w:rPr>
        <w:t>第五部分 附表</w:t>
      </w:r>
    </w:p>
    <w:p>
      <w:pPr>
        <w:rPr>
          <w:rFonts w:ascii="仿宋" w:hAnsi="仿宋" w:eastAsia="仿宋"/>
          <w:sz w:val="32"/>
          <w:szCs w:val="32"/>
        </w:rPr>
      </w:pPr>
      <w:r>
        <w:rPr>
          <w:rFonts w:hint="eastAsia" w:ascii="仿宋" w:hAnsi="仿宋" w:eastAsia="仿宋"/>
          <w:sz w:val="32"/>
          <w:szCs w:val="32"/>
        </w:rPr>
        <w:t>一、收入支出决算总表</w:t>
      </w:r>
    </w:p>
    <w:p>
      <w:pPr>
        <w:rPr>
          <w:rFonts w:ascii="仿宋" w:hAnsi="仿宋" w:eastAsia="仿宋"/>
          <w:sz w:val="32"/>
          <w:szCs w:val="32"/>
        </w:rPr>
      </w:pPr>
      <w:r>
        <w:rPr>
          <w:rFonts w:hint="eastAsia" w:ascii="仿宋" w:hAnsi="仿宋" w:eastAsia="仿宋"/>
          <w:sz w:val="32"/>
          <w:szCs w:val="32"/>
        </w:rPr>
        <w:t>二、收入决算表</w:t>
      </w:r>
    </w:p>
    <w:p>
      <w:pPr>
        <w:rPr>
          <w:rFonts w:ascii="仿宋" w:hAnsi="仿宋" w:eastAsia="仿宋"/>
          <w:sz w:val="32"/>
          <w:szCs w:val="32"/>
        </w:rPr>
      </w:pPr>
      <w:r>
        <w:rPr>
          <w:rFonts w:hint="eastAsia" w:ascii="仿宋" w:hAnsi="仿宋" w:eastAsia="仿宋"/>
          <w:sz w:val="32"/>
          <w:szCs w:val="32"/>
        </w:rPr>
        <w:t>三、支出决算表</w:t>
      </w:r>
    </w:p>
    <w:p>
      <w:pPr>
        <w:rPr>
          <w:rFonts w:ascii="仿宋" w:hAnsi="仿宋" w:eastAsia="仿宋"/>
          <w:sz w:val="32"/>
          <w:szCs w:val="32"/>
        </w:rPr>
      </w:pPr>
      <w:r>
        <w:rPr>
          <w:rFonts w:hint="eastAsia" w:ascii="仿宋" w:hAnsi="仿宋" w:eastAsia="仿宋"/>
          <w:sz w:val="32"/>
          <w:szCs w:val="32"/>
        </w:rPr>
        <w:t>四、财政拨款收入支出决算总表</w:t>
      </w:r>
    </w:p>
    <w:p>
      <w:pPr>
        <w:rPr>
          <w:rFonts w:ascii="仿宋" w:hAnsi="仿宋" w:eastAsia="仿宋"/>
          <w:sz w:val="32"/>
          <w:szCs w:val="32"/>
        </w:rPr>
      </w:pPr>
      <w:r>
        <w:rPr>
          <w:rFonts w:hint="eastAsia" w:ascii="仿宋" w:hAnsi="仿宋" w:eastAsia="仿宋"/>
          <w:sz w:val="32"/>
          <w:szCs w:val="32"/>
        </w:rPr>
        <w:t>五、财政拨款支出决算明细表</w:t>
      </w:r>
    </w:p>
    <w:p>
      <w:pPr>
        <w:rPr>
          <w:rFonts w:ascii="仿宋" w:hAnsi="仿宋" w:eastAsia="仿宋"/>
          <w:sz w:val="32"/>
          <w:szCs w:val="32"/>
        </w:rPr>
      </w:pPr>
      <w:r>
        <w:rPr>
          <w:rFonts w:hint="eastAsia" w:ascii="仿宋" w:hAnsi="仿宋" w:eastAsia="仿宋"/>
          <w:sz w:val="32"/>
          <w:szCs w:val="32"/>
        </w:rPr>
        <w:t>六、一般公共预算财政拨款支出决算表</w:t>
      </w:r>
    </w:p>
    <w:p>
      <w:pPr>
        <w:rPr>
          <w:rFonts w:ascii="仿宋" w:hAnsi="仿宋" w:eastAsia="仿宋"/>
          <w:sz w:val="32"/>
          <w:szCs w:val="32"/>
        </w:rPr>
      </w:pPr>
      <w:r>
        <w:rPr>
          <w:rFonts w:hint="eastAsia" w:ascii="仿宋" w:hAnsi="仿宋" w:eastAsia="仿宋"/>
          <w:sz w:val="32"/>
          <w:szCs w:val="32"/>
        </w:rPr>
        <w:t>七、一般公共预算财政拨款支出决算明细表</w:t>
      </w:r>
    </w:p>
    <w:p>
      <w:pPr>
        <w:rPr>
          <w:rFonts w:ascii="仿宋" w:hAnsi="仿宋" w:eastAsia="仿宋"/>
          <w:sz w:val="32"/>
          <w:szCs w:val="32"/>
        </w:rPr>
      </w:pPr>
      <w:r>
        <w:rPr>
          <w:rFonts w:hint="eastAsia" w:ascii="仿宋" w:hAnsi="仿宋" w:eastAsia="仿宋"/>
          <w:sz w:val="32"/>
          <w:szCs w:val="32"/>
        </w:rPr>
        <w:t>八、一般公共预算财政拨款基本支出决算表</w:t>
      </w:r>
    </w:p>
    <w:p>
      <w:pPr>
        <w:rPr>
          <w:rFonts w:ascii="仿宋" w:hAnsi="仿宋" w:eastAsia="仿宋"/>
          <w:sz w:val="32"/>
          <w:szCs w:val="32"/>
        </w:rPr>
      </w:pPr>
      <w:r>
        <w:rPr>
          <w:rFonts w:hint="eastAsia" w:ascii="仿宋" w:hAnsi="仿宋" w:eastAsia="仿宋"/>
          <w:sz w:val="32"/>
          <w:szCs w:val="32"/>
        </w:rPr>
        <w:t>九、一般公共预算财政拨款项目支出决算表</w:t>
      </w:r>
    </w:p>
    <w:p>
      <w:pPr>
        <w:rPr>
          <w:rFonts w:ascii="仿宋" w:hAnsi="仿宋" w:eastAsia="仿宋"/>
          <w:sz w:val="32"/>
          <w:szCs w:val="32"/>
        </w:rPr>
      </w:pPr>
      <w:r>
        <w:rPr>
          <w:rFonts w:hint="eastAsia" w:ascii="仿宋" w:hAnsi="仿宋" w:eastAsia="仿宋"/>
          <w:sz w:val="32"/>
          <w:szCs w:val="32"/>
        </w:rPr>
        <w:t>十、政府性基金预算财政拨款收入支出决算表</w:t>
      </w:r>
    </w:p>
    <w:p>
      <w:pPr>
        <w:rPr>
          <w:rFonts w:ascii="仿宋" w:hAnsi="仿宋" w:eastAsia="仿宋"/>
          <w:sz w:val="32"/>
          <w:szCs w:val="32"/>
        </w:rPr>
      </w:pPr>
      <w:r>
        <w:rPr>
          <w:rFonts w:hint="eastAsia" w:ascii="仿宋" w:hAnsi="仿宋" w:eastAsia="仿宋"/>
          <w:sz w:val="32"/>
          <w:szCs w:val="32"/>
        </w:rPr>
        <w:t>十一、国有资本经营预算财政拨款收入支出决算表</w:t>
      </w:r>
    </w:p>
    <w:p>
      <w:pPr>
        <w:rPr>
          <w:rFonts w:ascii="仿宋" w:hAnsi="仿宋" w:eastAsia="仿宋"/>
          <w:sz w:val="32"/>
          <w:szCs w:val="32"/>
        </w:rPr>
      </w:pPr>
      <w:r>
        <w:rPr>
          <w:rFonts w:hint="eastAsia" w:ascii="仿宋" w:hAnsi="仿宋" w:eastAsia="仿宋"/>
          <w:sz w:val="32"/>
          <w:szCs w:val="32"/>
        </w:rPr>
        <w:t>十二、国有资本经营预算财政拨款支出决算表</w:t>
      </w:r>
    </w:p>
    <w:p>
      <w:pPr>
        <w:rPr>
          <w:rFonts w:ascii="仿宋" w:hAnsi="仿宋" w:eastAsia="仿宋"/>
          <w:sz w:val="32"/>
          <w:szCs w:val="32"/>
        </w:rPr>
      </w:pPr>
      <w:r>
        <w:rPr>
          <w:rFonts w:hint="eastAsia" w:ascii="仿宋" w:hAnsi="仿宋" w:eastAsia="仿宋"/>
          <w:sz w:val="32"/>
          <w:szCs w:val="32"/>
        </w:rPr>
        <w:t>十三、财政拨款“三公”经费支出决算表</w:t>
      </w:r>
    </w:p>
    <w:p>
      <w:pPr>
        <w:outlineLvl w:val="1"/>
        <w:rPr>
          <w:rFonts w:ascii="仿宋" w:hAnsi="仿宋" w:eastAsia="仿宋"/>
          <w:sz w:val="32"/>
          <w:szCs w:val="32"/>
        </w:rPr>
      </w:pPr>
    </w:p>
    <w:sectPr>
      <w:footerReference r:id="rId12" w:type="first"/>
      <w:footerReference r:id="rId11"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华文中宋"/>
    <w:panose1 w:val="00000000000000000000"/>
    <w:charset w:val="00"/>
    <w:family w:val="roman"/>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CESI仿宋-GB13000">
    <w:altName w:val="仿宋"/>
    <w:panose1 w:val="02000500000000000000"/>
    <w:charset w:val="86"/>
    <w:family w:val="auto"/>
    <w:pitch w:val="default"/>
    <w:sig w:usb0="00000000" w:usb1="00000000" w:usb2="00000016" w:usb3="00000000" w:csb0="0004000F" w:csb1="00000000"/>
  </w:font>
  <w:font w:name="CESI仿宋-GB2312">
    <w:altName w:val="仿宋"/>
    <w:panose1 w:val="02000500000000000000"/>
    <w:charset w:val="86"/>
    <w:family w:val="auto"/>
    <w:pitch w:val="default"/>
    <w:sig w:usb0="00000000" w:usb1="00000000" w:usb2="00000010" w:usb3="00000000" w:csb0="0004000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2"/>
          <w:jc w:val="center"/>
        </w:pPr>
        <w:r>
          <w:fldChar w:fldCharType="begin"/>
        </w:r>
        <w:r>
          <w:instrText xml:space="preserve">PAGE   \* MERGEFORMAT</w:instrText>
        </w:r>
        <w:r>
          <w:fldChar w:fldCharType="separate"/>
        </w:r>
        <w:r>
          <w:rPr>
            <w:lang w:val="zh-CN"/>
          </w:rPr>
          <w:t>23</w:t>
        </w:r>
        <w:r>
          <w:fldChar w:fldCharType="end"/>
        </w:r>
      </w:p>
    </w:sdtContent>
  </w:sdt>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tabs>
        <w:tab w:val="clear" w:pos="4153"/>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s>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tabs>
        <w:tab w:val="clear" w:pos="4153"/>
      </w:tabs>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s>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pPr>
                                <w:pStyle w:val="12"/>
                                <w:jc w:val="center"/>
                              </w:pPr>
                              <w:r>
                                <w:fldChar w:fldCharType="begin"/>
                              </w:r>
                              <w:r>
                                <w:instrText xml:space="preserve">PAGE   \* MERGEFORMAT</w:instrText>
                              </w:r>
                              <w:r>
                                <w:fldChar w:fldCharType="separate"/>
                              </w:r>
                              <w:r>
                                <w:rPr>
                                  <w:lang w:val="zh-CN"/>
                                </w:rPr>
                                <w:t>23</w:t>
                              </w:r>
                              <w:r>
                                <w:fldChar w:fldCharType="end"/>
                              </w:r>
                            </w:p>
                          </w:sdtContent>
                        </w:sdt>
                        <w:p>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sdt>
                    <w:sdtPr>
                      <w:id w:val="-1"/>
                    </w:sdtPr>
                    <w:sdtContent>
                      <w:p>
                        <w:pPr>
                          <w:pStyle w:val="12"/>
                          <w:jc w:val="center"/>
                        </w:pPr>
                        <w:r>
                          <w:fldChar w:fldCharType="begin"/>
                        </w:r>
                        <w:r>
                          <w:instrText xml:space="preserve">PAGE   \* MERGEFORMAT</w:instrText>
                        </w:r>
                        <w:r>
                          <w:fldChar w:fldCharType="separate"/>
                        </w:r>
                        <w:r>
                          <w:rPr>
                            <w:lang w:val="zh-CN"/>
                          </w:rPr>
                          <w:t>23</w:t>
                        </w:r>
                        <w:r>
                          <w:fldChar w:fldCharType="end"/>
                        </w:r>
                      </w:p>
                    </w:sdtContent>
                  </w:sdt>
                  <w:p>
                    <w:pPr>
                      <w:pStyle w:val="5"/>
                    </w:pPr>
                  </w:p>
                </w:txbxContent>
              </v:textbox>
            </v:shape>
          </w:pict>
        </mc:Fallback>
      </mc:AlternateContent>
    </w:r>
  </w:p>
  <w:p>
    <w:pPr>
      <w:pStyle w:val="12"/>
      <w:tabs>
        <w:tab w:val="clear" w:pos="4153"/>
      </w:tabs>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s>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pPr>
                                <w:pStyle w:val="12"/>
                                <w:jc w:val="center"/>
                              </w:pPr>
                              <w:r>
                                <w:fldChar w:fldCharType="begin"/>
                              </w:r>
                              <w:r>
                                <w:instrText xml:space="preserve">PAGE   \* MERGEFORMAT</w:instrText>
                              </w:r>
                              <w:r>
                                <w:fldChar w:fldCharType="separate"/>
                              </w:r>
                              <w:r>
                                <w:rPr>
                                  <w:lang w:val="zh-CN"/>
                                </w:rPr>
                                <w:t>23</w:t>
                              </w:r>
                              <w:r>
                                <w:fldChar w:fldCharType="end"/>
                              </w:r>
                            </w:p>
                          </w:sdtContent>
                        </w:sdt>
                        <w:p>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sdt>
                    <w:sdtPr>
                      <w:id w:val="-1"/>
                    </w:sdtPr>
                    <w:sdtContent>
                      <w:p>
                        <w:pPr>
                          <w:pStyle w:val="12"/>
                          <w:jc w:val="center"/>
                        </w:pPr>
                        <w:r>
                          <w:fldChar w:fldCharType="begin"/>
                        </w:r>
                        <w:r>
                          <w:instrText xml:space="preserve">PAGE   \* MERGEFORMAT</w:instrText>
                        </w:r>
                        <w:r>
                          <w:fldChar w:fldCharType="separate"/>
                        </w:r>
                        <w:r>
                          <w:rPr>
                            <w:lang w:val="zh-CN"/>
                          </w:rPr>
                          <w:t>23</w:t>
                        </w:r>
                        <w:r>
                          <w:fldChar w:fldCharType="end"/>
                        </w:r>
                      </w:p>
                    </w:sdtContent>
                  </w:sdt>
                  <w:p>
                    <w:pPr>
                      <w:pStyle w:val="5"/>
                    </w:pPr>
                  </w:p>
                </w:txbxContent>
              </v:textbox>
            </v:shape>
          </w:pict>
        </mc:Fallback>
      </mc:AlternateContent>
    </w:r>
  </w:p>
  <w:p>
    <w:pPr>
      <w:pStyle w:val="12"/>
      <w:tabs>
        <w:tab w:val="clear" w:pos="4153"/>
      </w:tabs>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s>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FF7B5A44"/>
    <w:multiLevelType w:val="singleLevel"/>
    <w:tmpl w:val="FF7B5A44"/>
    <w:lvl w:ilvl="0" w:tentative="0">
      <w:start w:val="2"/>
      <w:numFmt w:val="chineseCounting"/>
      <w:suff w:val="nothing"/>
      <w:lvlText w:val="（%1）"/>
      <w:lvlJc w:val="left"/>
      <w:rPr>
        <w:rFonts w:hint="eastAsia"/>
      </w:rPr>
    </w:lvl>
  </w:abstractNum>
  <w:abstractNum w:abstractNumId="2">
    <w:nsid w:val="FF9FC194"/>
    <w:multiLevelType w:val="singleLevel"/>
    <w:tmpl w:val="FF9FC194"/>
    <w:lvl w:ilvl="0" w:tentative="0">
      <w:start w:val="3"/>
      <w:numFmt w:val="decimal"/>
      <w:suff w:val="nothing"/>
      <w:lvlText w:val="%1．"/>
      <w:lvlJc w:val="left"/>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E794925"/>
    <w:multiLevelType w:val="singleLevel"/>
    <w:tmpl w:val="3E794925"/>
    <w:lvl w:ilvl="0" w:tentative="0">
      <w:start w:val="3"/>
      <w:numFmt w:val="chineseCounting"/>
      <w:suff w:val="nothing"/>
      <w:lvlText w:val="（%1）"/>
      <w:lvlJc w:val="left"/>
      <w:rPr>
        <w:rFonts w:hint="eastAsia"/>
      </w:rPr>
    </w:lvl>
  </w:abstractNum>
  <w:abstractNum w:abstractNumId="5">
    <w:nsid w:val="64BB7037"/>
    <w:multiLevelType w:val="singleLevel"/>
    <w:tmpl w:val="64BB7037"/>
    <w:lvl w:ilvl="0" w:tentative="0">
      <w:start w:val="1"/>
      <w:numFmt w:val="decimal"/>
      <w:lvlText w:val="%1."/>
      <w:lvlJc w:val="left"/>
      <w:pPr>
        <w:tabs>
          <w:tab w:val="left" w:pos="312"/>
        </w:tabs>
      </w:pPr>
    </w:lvl>
  </w:abstractNum>
  <w:abstractNum w:abstractNumId="6">
    <w:nsid w:val="7938380D"/>
    <w:multiLevelType w:val="singleLevel"/>
    <w:tmpl w:val="7938380D"/>
    <w:lvl w:ilvl="0" w:tentative="0">
      <w:start w:val="2"/>
      <w:numFmt w:val="decimal"/>
      <w:suff w:val="nothing"/>
      <w:lvlText w:val="%1．"/>
      <w:lvlJc w:val="left"/>
    </w:lvl>
  </w:abstractNum>
  <w:abstractNum w:abstractNumId="7">
    <w:nsid w:val="7EB73AD0"/>
    <w:multiLevelType w:val="singleLevel"/>
    <w:tmpl w:val="7EB73AD0"/>
    <w:lvl w:ilvl="0" w:tentative="0">
      <w:start w:val="1"/>
      <w:numFmt w:val="chineseCounting"/>
      <w:suff w:val="nothing"/>
      <w:lvlText w:val="%1、"/>
      <w:lvlJc w:val="left"/>
      <w:rPr>
        <w:rFonts w:hint="eastAsia"/>
      </w:rPr>
    </w:lvl>
  </w:abstractNum>
  <w:abstractNum w:abstractNumId="8">
    <w:nsid w:val="7EEEBAE5"/>
    <w:multiLevelType w:val="singleLevel"/>
    <w:tmpl w:val="7EEEBAE5"/>
    <w:lvl w:ilvl="0" w:tentative="0">
      <w:start w:val="2"/>
      <w:numFmt w:val="decimal"/>
      <w:suff w:val="nothing"/>
      <w:lvlText w:val="%1．"/>
      <w:lvlJc w:val="left"/>
    </w:lvl>
  </w:abstractNum>
  <w:num w:numId="1">
    <w:abstractNumId w:val="7"/>
  </w:num>
  <w:num w:numId="2">
    <w:abstractNumId w:val="5"/>
  </w:num>
  <w:num w:numId="3">
    <w:abstractNumId w:val="3"/>
  </w:num>
  <w:num w:numId="4">
    <w:abstractNumId w:val="0"/>
  </w:num>
  <w:num w:numId="5">
    <w:abstractNumId w:val="4"/>
  </w:num>
  <w:num w:numId="6">
    <w:abstractNumId w:val="1"/>
  </w:num>
  <w:num w:numId="7">
    <w:abstractNumId w:val="2"/>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61C"/>
    <w:rsid w:val="00014A1C"/>
    <w:rsid w:val="000222C6"/>
    <w:rsid w:val="0002549F"/>
    <w:rsid w:val="00035392"/>
    <w:rsid w:val="000468DB"/>
    <w:rsid w:val="0006487A"/>
    <w:rsid w:val="00065F8F"/>
    <w:rsid w:val="00070A43"/>
    <w:rsid w:val="000768F2"/>
    <w:rsid w:val="00082EAC"/>
    <w:rsid w:val="0009184B"/>
    <w:rsid w:val="00094236"/>
    <w:rsid w:val="0009593C"/>
    <w:rsid w:val="00097322"/>
    <w:rsid w:val="00097358"/>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0E5"/>
    <w:rsid w:val="00174518"/>
    <w:rsid w:val="0018106D"/>
    <w:rsid w:val="001877A7"/>
    <w:rsid w:val="00191536"/>
    <w:rsid w:val="00196687"/>
    <w:rsid w:val="001C0962"/>
    <w:rsid w:val="001C2738"/>
    <w:rsid w:val="001D7531"/>
    <w:rsid w:val="001E737D"/>
    <w:rsid w:val="001F0592"/>
    <w:rsid w:val="001F6419"/>
    <w:rsid w:val="001F7506"/>
    <w:rsid w:val="002006CD"/>
    <w:rsid w:val="00202B36"/>
    <w:rsid w:val="00204B7A"/>
    <w:rsid w:val="00204CDE"/>
    <w:rsid w:val="0021101A"/>
    <w:rsid w:val="00220536"/>
    <w:rsid w:val="00235629"/>
    <w:rsid w:val="00260289"/>
    <w:rsid w:val="00260C38"/>
    <w:rsid w:val="002616C0"/>
    <w:rsid w:val="002643DB"/>
    <w:rsid w:val="00265372"/>
    <w:rsid w:val="002662AA"/>
    <w:rsid w:val="00280496"/>
    <w:rsid w:val="00283D47"/>
    <w:rsid w:val="00294DC9"/>
    <w:rsid w:val="00295495"/>
    <w:rsid w:val="002A31DE"/>
    <w:rsid w:val="002A62F7"/>
    <w:rsid w:val="002B2613"/>
    <w:rsid w:val="002C1468"/>
    <w:rsid w:val="002D6D05"/>
    <w:rsid w:val="002F1818"/>
    <w:rsid w:val="002F5109"/>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2919"/>
    <w:rsid w:val="003D66DA"/>
    <w:rsid w:val="003E1310"/>
    <w:rsid w:val="003E2E6A"/>
    <w:rsid w:val="003E6F55"/>
    <w:rsid w:val="00406254"/>
    <w:rsid w:val="00410559"/>
    <w:rsid w:val="0041585D"/>
    <w:rsid w:val="00420B47"/>
    <w:rsid w:val="004223DE"/>
    <w:rsid w:val="00434489"/>
    <w:rsid w:val="00437085"/>
    <w:rsid w:val="00443880"/>
    <w:rsid w:val="004464F4"/>
    <w:rsid w:val="00447329"/>
    <w:rsid w:val="00471401"/>
    <w:rsid w:val="00473F31"/>
    <w:rsid w:val="0048263A"/>
    <w:rsid w:val="004826A2"/>
    <w:rsid w:val="00487E5D"/>
    <w:rsid w:val="004A711F"/>
    <w:rsid w:val="004B199D"/>
    <w:rsid w:val="004B4690"/>
    <w:rsid w:val="004E0A2D"/>
    <w:rsid w:val="004E206B"/>
    <w:rsid w:val="004E3607"/>
    <w:rsid w:val="004E6DF7"/>
    <w:rsid w:val="004F0FBD"/>
    <w:rsid w:val="00505A47"/>
    <w:rsid w:val="00512FDA"/>
    <w:rsid w:val="00520DA0"/>
    <w:rsid w:val="005664BB"/>
    <w:rsid w:val="00566FFA"/>
    <w:rsid w:val="0057481D"/>
    <w:rsid w:val="0058486E"/>
    <w:rsid w:val="00585B33"/>
    <w:rsid w:val="0059014D"/>
    <w:rsid w:val="005A09FD"/>
    <w:rsid w:val="005B0198"/>
    <w:rsid w:val="005B321C"/>
    <w:rsid w:val="005B5C64"/>
    <w:rsid w:val="005C5337"/>
    <w:rsid w:val="005C6BD0"/>
    <w:rsid w:val="005D1C8B"/>
    <w:rsid w:val="005D468D"/>
    <w:rsid w:val="005D5CED"/>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516B"/>
    <w:rsid w:val="00746F48"/>
    <w:rsid w:val="0075404D"/>
    <w:rsid w:val="0076182A"/>
    <w:rsid w:val="00762406"/>
    <w:rsid w:val="0076493D"/>
    <w:rsid w:val="00767B7E"/>
    <w:rsid w:val="007770C3"/>
    <w:rsid w:val="00784D24"/>
    <w:rsid w:val="00785FBA"/>
    <w:rsid w:val="00786E4A"/>
    <w:rsid w:val="007875EB"/>
    <w:rsid w:val="0079426B"/>
    <w:rsid w:val="007D1682"/>
    <w:rsid w:val="007D312A"/>
    <w:rsid w:val="007D3F19"/>
    <w:rsid w:val="007E23B0"/>
    <w:rsid w:val="007E23E5"/>
    <w:rsid w:val="007E6A82"/>
    <w:rsid w:val="007F1991"/>
    <w:rsid w:val="007F2C2F"/>
    <w:rsid w:val="007F55FC"/>
    <w:rsid w:val="007F5665"/>
    <w:rsid w:val="007F7385"/>
    <w:rsid w:val="00800112"/>
    <w:rsid w:val="00813348"/>
    <w:rsid w:val="008253BB"/>
    <w:rsid w:val="0083706E"/>
    <w:rsid w:val="008408F6"/>
    <w:rsid w:val="008423A5"/>
    <w:rsid w:val="00850625"/>
    <w:rsid w:val="00853718"/>
    <w:rsid w:val="00855221"/>
    <w:rsid w:val="00860645"/>
    <w:rsid w:val="00871F71"/>
    <w:rsid w:val="00872FD8"/>
    <w:rsid w:val="00875641"/>
    <w:rsid w:val="00885AF4"/>
    <w:rsid w:val="00887F08"/>
    <w:rsid w:val="008914B9"/>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F0"/>
    <w:rsid w:val="00935C98"/>
    <w:rsid w:val="00946945"/>
    <w:rsid w:val="00951248"/>
    <w:rsid w:val="0095152F"/>
    <w:rsid w:val="009546E4"/>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91760"/>
    <w:rsid w:val="00A93B00"/>
    <w:rsid w:val="00A93C21"/>
    <w:rsid w:val="00AB64C9"/>
    <w:rsid w:val="00AC2E50"/>
    <w:rsid w:val="00AC3C6A"/>
    <w:rsid w:val="00AD5620"/>
    <w:rsid w:val="00AD656B"/>
    <w:rsid w:val="00AD7C1B"/>
    <w:rsid w:val="00AE16BA"/>
    <w:rsid w:val="00AE1EBE"/>
    <w:rsid w:val="00B03C9D"/>
    <w:rsid w:val="00B060AE"/>
    <w:rsid w:val="00B10517"/>
    <w:rsid w:val="00B12E8B"/>
    <w:rsid w:val="00B14E76"/>
    <w:rsid w:val="00B161B8"/>
    <w:rsid w:val="00B2048C"/>
    <w:rsid w:val="00B310B9"/>
    <w:rsid w:val="00B35F3F"/>
    <w:rsid w:val="00B36CBB"/>
    <w:rsid w:val="00B411A6"/>
    <w:rsid w:val="00B425E0"/>
    <w:rsid w:val="00B440AA"/>
    <w:rsid w:val="00B44B70"/>
    <w:rsid w:val="00B53C56"/>
    <w:rsid w:val="00B57DAF"/>
    <w:rsid w:val="00B76F9D"/>
    <w:rsid w:val="00B77EA6"/>
    <w:rsid w:val="00B81598"/>
    <w:rsid w:val="00B841F1"/>
    <w:rsid w:val="00B944D6"/>
    <w:rsid w:val="00BA579E"/>
    <w:rsid w:val="00BB4DF0"/>
    <w:rsid w:val="00BC289F"/>
    <w:rsid w:val="00BC2D50"/>
    <w:rsid w:val="00BC5361"/>
    <w:rsid w:val="00BC5460"/>
    <w:rsid w:val="00BC6B50"/>
    <w:rsid w:val="00BD0E25"/>
    <w:rsid w:val="00BF5BD6"/>
    <w:rsid w:val="00C03E31"/>
    <w:rsid w:val="00C33E72"/>
    <w:rsid w:val="00C354B2"/>
    <w:rsid w:val="00C35554"/>
    <w:rsid w:val="00C42709"/>
    <w:rsid w:val="00C46119"/>
    <w:rsid w:val="00C533CC"/>
    <w:rsid w:val="00C5751C"/>
    <w:rsid w:val="00C61BFC"/>
    <w:rsid w:val="00C62B85"/>
    <w:rsid w:val="00C65438"/>
    <w:rsid w:val="00C860D5"/>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50A1"/>
    <w:rsid w:val="00DA634F"/>
    <w:rsid w:val="00DA65AC"/>
    <w:rsid w:val="00DB1913"/>
    <w:rsid w:val="00DC410D"/>
    <w:rsid w:val="00DC5A81"/>
    <w:rsid w:val="00DC68CA"/>
    <w:rsid w:val="00DC7CBA"/>
    <w:rsid w:val="00DD73B7"/>
    <w:rsid w:val="00DF24DF"/>
    <w:rsid w:val="00DF28BC"/>
    <w:rsid w:val="00DF34B9"/>
    <w:rsid w:val="00E01053"/>
    <w:rsid w:val="00E01B70"/>
    <w:rsid w:val="00E07ACF"/>
    <w:rsid w:val="00E11813"/>
    <w:rsid w:val="00E331A1"/>
    <w:rsid w:val="00E33202"/>
    <w:rsid w:val="00E336A9"/>
    <w:rsid w:val="00E472B1"/>
    <w:rsid w:val="00E50624"/>
    <w:rsid w:val="00E568DF"/>
    <w:rsid w:val="00E64269"/>
    <w:rsid w:val="00E82267"/>
    <w:rsid w:val="00E853CE"/>
    <w:rsid w:val="00E867B6"/>
    <w:rsid w:val="00EA010F"/>
    <w:rsid w:val="00EB0FAE"/>
    <w:rsid w:val="00ED1B63"/>
    <w:rsid w:val="00ED3C1F"/>
    <w:rsid w:val="00ED4085"/>
    <w:rsid w:val="00ED420E"/>
    <w:rsid w:val="00ED6FBE"/>
    <w:rsid w:val="00EE2F57"/>
    <w:rsid w:val="00EF4C34"/>
    <w:rsid w:val="00EF77C6"/>
    <w:rsid w:val="00F03938"/>
    <w:rsid w:val="00F05438"/>
    <w:rsid w:val="00F1361C"/>
    <w:rsid w:val="00F156F0"/>
    <w:rsid w:val="00F160C7"/>
    <w:rsid w:val="00F2408F"/>
    <w:rsid w:val="00F240E9"/>
    <w:rsid w:val="00F36D8F"/>
    <w:rsid w:val="00F417B1"/>
    <w:rsid w:val="00F45853"/>
    <w:rsid w:val="00F5561B"/>
    <w:rsid w:val="00F602DF"/>
    <w:rsid w:val="00F754A1"/>
    <w:rsid w:val="00F81FD9"/>
    <w:rsid w:val="00F841AA"/>
    <w:rsid w:val="00F84A94"/>
    <w:rsid w:val="00F87E96"/>
    <w:rsid w:val="00FA23E8"/>
    <w:rsid w:val="00FA789D"/>
    <w:rsid w:val="00FC7DA4"/>
    <w:rsid w:val="00FD3CC1"/>
    <w:rsid w:val="00FF1E02"/>
    <w:rsid w:val="00FF30B4"/>
    <w:rsid w:val="015975B8"/>
    <w:rsid w:val="02FEBE30"/>
    <w:rsid w:val="036F8141"/>
    <w:rsid w:val="06584091"/>
    <w:rsid w:val="066E0107"/>
    <w:rsid w:val="07996F6E"/>
    <w:rsid w:val="07DFD8BA"/>
    <w:rsid w:val="0A2032A3"/>
    <w:rsid w:val="0D35B1ED"/>
    <w:rsid w:val="0E7ED1F5"/>
    <w:rsid w:val="0F98263C"/>
    <w:rsid w:val="101860EC"/>
    <w:rsid w:val="10C055FF"/>
    <w:rsid w:val="118107EC"/>
    <w:rsid w:val="13D50BC4"/>
    <w:rsid w:val="13F5616D"/>
    <w:rsid w:val="14604995"/>
    <w:rsid w:val="160A4032"/>
    <w:rsid w:val="16BB723D"/>
    <w:rsid w:val="17F9714D"/>
    <w:rsid w:val="1918F934"/>
    <w:rsid w:val="19C31ED3"/>
    <w:rsid w:val="1B1B468B"/>
    <w:rsid w:val="1BE8440E"/>
    <w:rsid w:val="1C2776E6"/>
    <w:rsid w:val="1D155CEE"/>
    <w:rsid w:val="1DFBC4B3"/>
    <w:rsid w:val="1E740ACF"/>
    <w:rsid w:val="1F19C781"/>
    <w:rsid w:val="1F33FCE5"/>
    <w:rsid w:val="1F7F7398"/>
    <w:rsid w:val="1FD2DB6F"/>
    <w:rsid w:val="1FF35744"/>
    <w:rsid w:val="1FF6BC77"/>
    <w:rsid w:val="1FF9236D"/>
    <w:rsid w:val="20742119"/>
    <w:rsid w:val="22043726"/>
    <w:rsid w:val="2333840E"/>
    <w:rsid w:val="23860B96"/>
    <w:rsid w:val="240371BF"/>
    <w:rsid w:val="257C638F"/>
    <w:rsid w:val="29FD04D3"/>
    <w:rsid w:val="2BFF7BC6"/>
    <w:rsid w:val="2C8A61B5"/>
    <w:rsid w:val="2CD59C95"/>
    <w:rsid w:val="2DF04E50"/>
    <w:rsid w:val="2EFD05E5"/>
    <w:rsid w:val="2F040D46"/>
    <w:rsid w:val="2F4F95CE"/>
    <w:rsid w:val="2FA6BF9D"/>
    <w:rsid w:val="2FACAFDD"/>
    <w:rsid w:val="2FAE5751"/>
    <w:rsid w:val="2FB1A395"/>
    <w:rsid w:val="2FCC36F6"/>
    <w:rsid w:val="2FCF0B76"/>
    <w:rsid w:val="2FD9A7D8"/>
    <w:rsid w:val="319F7F4E"/>
    <w:rsid w:val="3304709D"/>
    <w:rsid w:val="36AA5135"/>
    <w:rsid w:val="36BE0DA7"/>
    <w:rsid w:val="376B6AA6"/>
    <w:rsid w:val="376D39B2"/>
    <w:rsid w:val="37E16F03"/>
    <w:rsid w:val="37F53A3B"/>
    <w:rsid w:val="38D469F0"/>
    <w:rsid w:val="38F78389"/>
    <w:rsid w:val="397BAF1F"/>
    <w:rsid w:val="39E7B272"/>
    <w:rsid w:val="39F7642F"/>
    <w:rsid w:val="39FF7B37"/>
    <w:rsid w:val="3AB79AF3"/>
    <w:rsid w:val="3AFDCB77"/>
    <w:rsid w:val="3B7EF35A"/>
    <w:rsid w:val="3B9FDB6C"/>
    <w:rsid w:val="3BE79925"/>
    <w:rsid w:val="3BF5BC2F"/>
    <w:rsid w:val="3BF7C23A"/>
    <w:rsid w:val="3BFF223E"/>
    <w:rsid w:val="3C6EC0A1"/>
    <w:rsid w:val="3CDB0824"/>
    <w:rsid w:val="3CEBA265"/>
    <w:rsid w:val="3D6A7F9F"/>
    <w:rsid w:val="3D7E7F4D"/>
    <w:rsid w:val="3D98207C"/>
    <w:rsid w:val="3D9CF30A"/>
    <w:rsid w:val="3DFF5A3E"/>
    <w:rsid w:val="3DFF64EB"/>
    <w:rsid w:val="3E78745D"/>
    <w:rsid w:val="3EEE77E9"/>
    <w:rsid w:val="3F394AF5"/>
    <w:rsid w:val="3FBE5714"/>
    <w:rsid w:val="3FDD8615"/>
    <w:rsid w:val="3FDFB2FF"/>
    <w:rsid w:val="3FF4CAE0"/>
    <w:rsid w:val="3FF75FAF"/>
    <w:rsid w:val="3FF7B227"/>
    <w:rsid w:val="44E268DA"/>
    <w:rsid w:val="457F4F6B"/>
    <w:rsid w:val="4737FB58"/>
    <w:rsid w:val="47ECCB02"/>
    <w:rsid w:val="47FA6A3F"/>
    <w:rsid w:val="481F64FB"/>
    <w:rsid w:val="49D7AE48"/>
    <w:rsid w:val="4A3F6C7E"/>
    <w:rsid w:val="4A627F82"/>
    <w:rsid w:val="4B0E749A"/>
    <w:rsid w:val="4B4F25DA"/>
    <w:rsid w:val="4BBB4781"/>
    <w:rsid w:val="4BD709A5"/>
    <w:rsid w:val="4BDD9BFF"/>
    <w:rsid w:val="4BE068DB"/>
    <w:rsid w:val="4D577224"/>
    <w:rsid w:val="4DBF1CEB"/>
    <w:rsid w:val="4DBF6A6B"/>
    <w:rsid w:val="4DF6A672"/>
    <w:rsid w:val="4EAB630A"/>
    <w:rsid w:val="4ECE2238"/>
    <w:rsid w:val="4F7EA413"/>
    <w:rsid w:val="4FAB812F"/>
    <w:rsid w:val="4FE9BD67"/>
    <w:rsid w:val="4FEE4C07"/>
    <w:rsid w:val="4FFB052F"/>
    <w:rsid w:val="528A6861"/>
    <w:rsid w:val="53425514"/>
    <w:rsid w:val="537E6D0A"/>
    <w:rsid w:val="53AB6B88"/>
    <w:rsid w:val="53F74C96"/>
    <w:rsid w:val="5583522D"/>
    <w:rsid w:val="57BD3DD4"/>
    <w:rsid w:val="57F9CD1E"/>
    <w:rsid w:val="5AF92295"/>
    <w:rsid w:val="5AF9D8E9"/>
    <w:rsid w:val="5BDD38BD"/>
    <w:rsid w:val="5BDD79E6"/>
    <w:rsid w:val="5BEFC772"/>
    <w:rsid w:val="5BF368BE"/>
    <w:rsid w:val="5BFC7176"/>
    <w:rsid w:val="5BFF5DFC"/>
    <w:rsid w:val="5CD71FC4"/>
    <w:rsid w:val="5D1F11B5"/>
    <w:rsid w:val="5D3647F9"/>
    <w:rsid w:val="5DA644D4"/>
    <w:rsid w:val="5DAE1B18"/>
    <w:rsid w:val="5DE7D9E5"/>
    <w:rsid w:val="5E8C6FBD"/>
    <w:rsid w:val="5ECEC941"/>
    <w:rsid w:val="5EFF8FC6"/>
    <w:rsid w:val="5F5BA39A"/>
    <w:rsid w:val="5F7D3B79"/>
    <w:rsid w:val="5F7D5BB7"/>
    <w:rsid w:val="5F7F4610"/>
    <w:rsid w:val="5FBF9FF3"/>
    <w:rsid w:val="5FCD4E2C"/>
    <w:rsid w:val="5FEF394A"/>
    <w:rsid w:val="5FF67715"/>
    <w:rsid w:val="61CA71D5"/>
    <w:rsid w:val="627EE9EA"/>
    <w:rsid w:val="63B23AA5"/>
    <w:rsid w:val="64621411"/>
    <w:rsid w:val="647F5392"/>
    <w:rsid w:val="64E322C4"/>
    <w:rsid w:val="65FB93B9"/>
    <w:rsid w:val="6633C463"/>
    <w:rsid w:val="67D55B77"/>
    <w:rsid w:val="67DE09D8"/>
    <w:rsid w:val="67EE7F84"/>
    <w:rsid w:val="686F5F53"/>
    <w:rsid w:val="6A7FFA73"/>
    <w:rsid w:val="6AFFCEAF"/>
    <w:rsid w:val="6B96E9E6"/>
    <w:rsid w:val="6BCE57B5"/>
    <w:rsid w:val="6BFEA4DB"/>
    <w:rsid w:val="6BFFB662"/>
    <w:rsid w:val="6C4A05C8"/>
    <w:rsid w:val="6CFF4FB8"/>
    <w:rsid w:val="6D6BD6E0"/>
    <w:rsid w:val="6D77E73C"/>
    <w:rsid w:val="6DBF5E93"/>
    <w:rsid w:val="6DFF077E"/>
    <w:rsid w:val="6E7E3605"/>
    <w:rsid w:val="6E7FDCC7"/>
    <w:rsid w:val="6ED6A62E"/>
    <w:rsid w:val="6EE00B15"/>
    <w:rsid w:val="6EE737B2"/>
    <w:rsid w:val="6EEB2329"/>
    <w:rsid w:val="6EECE67A"/>
    <w:rsid w:val="6F6F90A8"/>
    <w:rsid w:val="6F6FB3EB"/>
    <w:rsid w:val="6F8731EA"/>
    <w:rsid w:val="6FBC2ADD"/>
    <w:rsid w:val="6FD57C00"/>
    <w:rsid w:val="6FEFFFD8"/>
    <w:rsid w:val="6FF5CC65"/>
    <w:rsid w:val="6FFB47EC"/>
    <w:rsid w:val="6FFF034A"/>
    <w:rsid w:val="712A28F1"/>
    <w:rsid w:val="715C0E4B"/>
    <w:rsid w:val="71FFD401"/>
    <w:rsid w:val="72233669"/>
    <w:rsid w:val="72734D90"/>
    <w:rsid w:val="7332FE48"/>
    <w:rsid w:val="73AD73D5"/>
    <w:rsid w:val="73B6EB34"/>
    <w:rsid w:val="73FA497D"/>
    <w:rsid w:val="744731E5"/>
    <w:rsid w:val="74BBD01D"/>
    <w:rsid w:val="74CAE78F"/>
    <w:rsid w:val="74ED5379"/>
    <w:rsid w:val="75DEEEC2"/>
    <w:rsid w:val="75FE5142"/>
    <w:rsid w:val="767F479D"/>
    <w:rsid w:val="76E3355F"/>
    <w:rsid w:val="76F742AF"/>
    <w:rsid w:val="76F7BE7D"/>
    <w:rsid w:val="76FF5125"/>
    <w:rsid w:val="773570D3"/>
    <w:rsid w:val="77597F31"/>
    <w:rsid w:val="776F6FFA"/>
    <w:rsid w:val="7777A522"/>
    <w:rsid w:val="77858688"/>
    <w:rsid w:val="778769C8"/>
    <w:rsid w:val="77CB741A"/>
    <w:rsid w:val="77D50D1C"/>
    <w:rsid w:val="77D7BE3A"/>
    <w:rsid w:val="77DC22F5"/>
    <w:rsid w:val="797E3A6C"/>
    <w:rsid w:val="79CF70E2"/>
    <w:rsid w:val="79D7FD79"/>
    <w:rsid w:val="79E75806"/>
    <w:rsid w:val="79EE5BA4"/>
    <w:rsid w:val="7A641148"/>
    <w:rsid w:val="7A6F8BF5"/>
    <w:rsid w:val="7A894339"/>
    <w:rsid w:val="7ACF82B5"/>
    <w:rsid w:val="7ADE4B6F"/>
    <w:rsid w:val="7AFF28C9"/>
    <w:rsid w:val="7AFF72A0"/>
    <w:rsid w:val="7AFF7572"/>
    <w:rsid w:val="7B6C7DFB"/>
    <w:rsid w:val="7B7D76A7"/>
    <w:rsid w:val="7BAE2FE2"/>
    <w:rsid w:val="7BAF6951"/>
    <w:rsid w:val="7BBFBED0"/>
    <w:rsid w:val="7BC3E394"/>
    <w:rsid w:val="7BF3FE4C"/>
    <w:rsid w:val="7BFB5035"/>
    <w:rsid w:val="7BFDE17E"/>
    <w:rsid w:val="7BFFCBFA"/>
    <w:rsid w:val="7CBFC87B"/>
    <w:rsid w:val="7CFE0F48"/>
    <w:rsid w:val="7D3DE31C"/>
    <w:rsid w:val="7D7EC23E"/>
    <w:rsid w:val="7D7F8A13"/>
    <w:rsid w:val="7DBBCB01"/>
    <w:rsid w:val="7DC765D0"/>
    <w:rsid w:val="7DDB0EE0"/>
    <w:rsid w:val="7DFF51D8"/>
    <w:rsid w:val="7E634199"/>
    <w:rsid w:val="7E8ADEBF"/>
    <w:rsid w:val="7EEF11D3"/>
    <w:rsid w:val="7EF78C20"/>
    <w:rsid w:val="7F3F679B"/>
    <w:rsid w:val="7F4FC4EF"/>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46FEA"/>
    <w:rsid w:val="7FF5890D"/>
    <w:rsid w:val="7FF5EB09"/>
    <w:rsid w:val="7FF89B92"/>
    <w:rsid w:val="7FF8F2E7"/>
    <w:rsid w:val="7FF93490"/>
    <w:rsid w:val="7FFA6237"/>
    <w:rsid w:val="7FFB5275"/>
    <w:rsid w:val="7FFD14DE"/>
    <w:rsid w:val="7FFFF783"/>
    <w:rsid w:val="93F70A9E"/>
    <w:rsid w:val="969F9126"/>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5F48C4"/>
    <w:rsid w:val="BF7F09AC"/>
    <w:rsid w:val="BFB3380D"/>
    <w:rsid w:val="BFB7E7A2"/>
    <w:rsid w:val="BFC2F103"/>
    <w:rsid w:val="BFD475C3"/>
    <w:rsid w:val="BFDAAE76"/>
    <w:rsid w:val="BFDE5EA6"/>
    <w:rsid w:val="BFDFEB8D"/>
    <w:rsid w:val="BFEF99E9"/>
    <w:rsid w:val="BFF9E564"/>
    <w:rsid w:val="BFFB78E6"/>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7F5897"/>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11D31FD"/>
    <w:rsid w:val="E2BD0ED5"/>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1FBB2E1"/>
    <w:rsid w:val="F2BEBCB8"/>
    <w:rsid w:val="F36FB518"/>
    <w:rsid w:val="F3DE1A04"/>
    <w:rsid w:val="F3E244FA"/>
    <w:rsid w:val="F3EFB7CA"/>
    <w:rsid w:val="F3F722E5"/>
    <w:rsid w:val="F699BB1A"/>
    <w:rsid w:val="F6DEABFE"/>
    <w:rsid w:val="F7B650C7"/>
    <w:rsid w:val="F7BEE329"/>
    <w:rsid w:val="F7E55095"/>
    <w:rsid w:val="F7EF9033"/>
    <w:rsid w:val="F7FDC2B1"/>
    <w:rsid w:val="F8DDDAC6"/>
    <w:rsid w:val="F96B55C8"/>
    <w:rsid w:val="FA2F5BEB"/>
    <w:rsid w:val="FA5F1E70"/>
    <w:rsid w:val="FA5FDB97"/>
    <w:rsid w:val="FB1BB959"/>
    <w:rsid w:val="FB75E3C8"/>
    <w:rsid w:val="FB7F461B"/>
    <w:rsid w:val="FB7F486A"/>
    <w:rsid w:val="FB7F6E28"/>
    <w:rsid w:val="FB8778F4"/>
    <w:rsid w:val="FB9E06E3"/>
    <w:rsid w:val="FBB61866"/>
    <w:rsid w:val="FBEE055A"/>
    <w:rsid w:val="FBF7C102"/>
    <w:rsid w:val="FBF91527"/>
    <w:rsid w:val="FBFD1260"/>
    <w:rsid w:val="FBFF5B2E"/>
    <w:rsid w:val="FC833EBB"/>
    <w:rsid w:val="FC9D5473"/>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03718"/>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778F5"/>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Salutation"/>
    <w:basedOn w:val="1"/>
    <w:next w:val="1"/>
    <w:unhideWhenUsed/>
    <w:qFormat/>
    <w:uiPriority w:val="99"/>
  </w:style>
  <w:style w:type="paragraph" w:styleId="6">
    <w:name w:val="Body Text"/>
    <w:basedOn w:val="1"/>
    <w:link w:val="27"/>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qFormat/>
    <w:uiPriority w:val="0"/>
    <w:rPr>
      <w:rFonts w:ascii="宋体" w:hAnsi="Courier New"/>
    </w:rPr>
  </w:style>
  <w:style w:type="paragraph" w:styleId="11">
    <w:name w:val="Balloon Text"/>
    <w:basedOn w:val="1"/>
    <w:link w:val="33"/>
    <w:semiHidden/>
    <w:unhideWhenUsed/>
    <w:qFormat/>
    <w:uiPriority w:val="99"/>
    <w:rPr>
      <w:sz w:val="18"/>
      <w:szCs w:val="18"/>
    </w:rPr>
  </w:style>
  <w:style w:type="paragraph" w:styleId="12">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semiHidden/>
    <w:unhideWhenUsed/>
    <w:qFormat/>
    <w:uiPriority w:val="99"/>
    <w:rPr>
      <w:sz w:val="24"/>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字符"/>
    <w:link w:val="13"/>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字符"/>
    <w:link w:val="12"/>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字符"/>
    <w:link w:val="6"/>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字符"/>
    <w:basedOn w:val="18"/>
    <w:link w:val="2"/>
    <w:qFormat/>
    <w:uiPriority w:val="9"/>
    <w:rPr>
      <w:rFonts w:ascii="Times New Roman" w:hAnsi="Times New Roman"/>
      <w:b/>
      <w:bCs/>
      <w:kern w:val="44"/>
      <w:sz w:val="44"/>
      <w:szCs w:val="44"/>
    </w:rPr>
  </w:style>
  <w:style w:type="character" w:customStyle="1" w:styleId="31">
    <w:name w:val="标题 2 字符"/>
    <w:basedOn w:val="18"/>
    <w:link w:val="3"/>
    <w:qFormat/>
    <w:uiPriority w:val="9"/>
    <w:rPr>
      <w:rFonts w:asciiTheme="majorHAnsi" w:hAnsiTheme="majorHAnsi" w:eastAsiaTheme="majorEastAsia" w:cstheme="majorBidi"/>
      <w:b/>
      <w:bCs/>
      <w:kern w:val="2"/>
      <w:sz w:val="32"/>
      <w:szCs w:val="32"/>
    </w:rPr>
  </w:style>
  <w:style w:type="paragraph" w:customStyle="1" w:styleId="32">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18"/>
    <w:link w:val="11"/>
    <w:semiHidden/>
    <w:qFormat/>
    <w:uiPriority w:val="99"/>
    <w:rPr>
      <w:rFonts w:ascii="Times New Roman" w:hAnsi="Times New Roman"/>
      <w:kern w:val="2"/>
      <w:sz w:val="18"/>
      <w:szCs w:val="18"/>
    </w:rPr>
  </w:style>
  <w:style w:type="character" w:customStyle="1" w:styleId="34">
    <w:name w:val="标题 3 字符"/>
    <w:basedOn w:val="18"/>
    <w:link w:val="4"/>
    <w:qFormat/>
    <w:uiPriority w:val="9"/>
    <w:rPr>
      <w:rFonts w:ascii="Times New Roman" w:hAnsi="Times New Roman"/>
      <w:b/>
      <w:bCs/>
      <w:kern w:val="2"/>
      <w:sz w:val="32"/>
      <w:szCs w:val="32"/>
    </w:rPr>
  </w:style>
  <w:style w:type="paragraph" w:customStyle="1" w:styleId="35">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paragraph" w:customStyle="1" w:styleId="38">
    <w:name w:val="WPSOffice手动目录 2"/>
    <w:qFormat/>
    <w:uiPriority w:val="0"/>
    <w:pPr>
      <w:ind w:leftChars="200"/>
    </w:pPr>
    <w:rPr>
      <w:rFonts w:ascii="Times New Roman" w:hAnsi="Times New Roman" w:eastAsia="宋体" w:cs="Times New Roman"/>
      <w:sz w:val="20"/>
      <w:szCs w:val="20"/>
    </w:rPr>
  </w:style>
  <w:style w:type="paragraph" w:customStyle="1" w:styleId="39">
    <w:name w:val="WPSOffice手动目录 3"/>
    <w:qFormat/>
    <w:uiPriority w:val="0"/>
    <w:pPr>
      <w:ind w:leftChars="400"/>
    </w:pPr>
    <w:rPr>
      <w:rFonts w:ascii="Times New Roman" w:hAnsi="Times New Roman" w:eastAsia="宋体" w:cs="Times New Roman"/>
      <w:sz w:val="20"/>
      <w:szCs w:val="20"/>
    </w:rPr>
  </w:style>
  <w:style w:type="character" w:customStyle="1" w:styleId="40">
    <w:name w:val="标题 1 Char"/>
    <w:link w:val="2"/>
    <w:qFormat/>
    <w:uiPriority w:val="9"/>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7.xml"/><Relationship Id="rId2" Type="http://schemas.openxmlformats.org/officeDocument/2006/relationships/settings" Target="settings.xml"/><Relationship Id="rId19" Type="http://schemas.openxmlformats.org/officeDocument/2006/relationships/chart" Target="charts/chart6.xml"/><Relationship Id="rId18" Type="http://schemas.openxmlformats.org/officeDocument/2006/relationships/chart" Target="charts/chart5.xml"/><Relationship Id="rId17" Type="http://schemas.openxmlformats.org/officeDocument/2006/relationships/chart" Target="charts/chart4.xml"/><Relationship Id="rId16" Type="http://schemas.openxmlformats.org/officeDocument/2006/relationships/chart" Target="charts/chart3.xml"/><Relationship Id="rId15" Type="http://schemas.openxmlformats.org/officeDocument/2006/relationships/chart" Target="charts/chart2.xml"/><Relationship Id="rId14" Type="http://schemas.openxmlformats.org/officeDocument/2006/relationships/chart" Target="charts/chart1.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709905948455"/>
          <c:y val="0.027002861230329"/>
          <c:w val="0.748259435690729"/>
          <c:h val="0.866773962804006"/>
        </c:manualLayout>
      </c:layout>
      <c:barChart>
        <c:barDir val="col"/>
        <c:grouping val="clustered"/>
        <c:varyColors val="0"/>
        <c:ser>
          <c:idx val="0"/>
          <c:order val="0"/>
          <c:tx>
            <c:strRef>
              <c:f>Sheet1!$B$1</c:f>
              <c:strCache>
                <c:ptCount val="1"/>
                <c:pt idx="0">
                  <c:v>2022年</c:v>
                </c:pt>
              </c:strCache>
            </c:strRef>
          </c:tx>
          <c:invertIfNegative val="0"/>
          <c:dLbls>
            <c:delete val="1"/>
          </c:dLbls>
          <c:cat>
            <c:strRef>
              <c:f>Sheet1!$A$2</c:f>
              <c:strCache>
                <c:ptCount val="1"/>
                <c:pt idx="0">
                  <c:v>收、支</c:v>
                </c:pt>
              </c:strCache>
            </c:strRef>
          </c:cat>
          <c:val>
            <c:numRef>
              <c:f>Sheet1!$B$2</c:f>
              <c:numCache>
                <c:formatCode>#,##0.00</c:formatCode>
                <c:ptCount val="1"/>
                <c:pt idx="0">
                  <c:v>26098.2</c:v>
                </c:pt>
              </c:numCache>
            </c:numRef>
          </c:val>
        </c:ser>
        <c:ser>
          <c:idx val="1"/>
          <c:order val="1"/>
          <c:tx>
            <c:strRef>
              <c:f>Sheet1!$C$1</c:f>
              <c:strCache>
                <c:ptCount val="1"/>
                <c:pt idx="0">
                  <c:v>2023年</c:v>
                </c:pt>
              </c:strCache>
            </c:strRef>
          </c:tx>
          <c:invertIfNegative val="0"/>
          <c:dLbls>
            <c:delete val="1"/>
          </c:dLbls>
          <c:cat>
            <c:strRef>
              <c:f>Sheet1!$A$2</c:f>
              <c:strCache>
                <c:ptCount val="1"/>
                <c:pt idx="0">
                  <c:v>收、支</c:v>
                </c:pt>
              </c:strCache>
            </c:strRef>
          </c:cat>
          <c:val>
            <c:numRef>
              <c:f>Sheet1!$C$2</c:f>
              <c:numCache>
                <c:formatCode>General</c:formatCode>
                <c:ptCount val="1"/>
                <c:pt idx="0">
                  <c:v>31415.89</c:v>
                </c:pt>
              </c:numCache>
            </c:numRef>
          </c:val>
        </c:ser>
        <c:dLbls>
          <c:showLegendKey val="0"/>
          <c:showVal val="0"/>
          <c:showCatName val="0"/>
          <c:showSerName val="0"/>
          <c:showPercent val="0"/>
          <c:showBubbleSize val="0"/>
        </c:dLbls>
        <c:gapWidth val="330"/>
        <c:overlap val="-100"/>
        <c:axId val="177253376"/>
        <c:axId val="177304320"/>
      </c:barChart>
      <c:catAx>
        <c:axId val="177253376"/>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7304320"/>
        <c:crosses val="autoZero"/>
        <c:auto val="1"/>
        <c:lblAlgn val="ctr"/>
        <c:lblOffset val="100"/>
        <c:noMultiLvlLbl val="0"/>
      </c:catAx>
      <c:valAx>
        <c:axId val="177304320"/>
        <c:scaling>
          <c:orientation val="minMax"/>
        </c:scaling>
        <c:delete val="0"/>
        <c:axPos val="l"/>
        <c:majorGridlines/>
        <c:numFmt formatCode="#,##0.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7253376"/>
        <c:crosses val="autoZero"/>
        <c:crossBetween val="between"/>
      </c:valAx>
    </c:plotArea>
    <c:legend>
      <c:legendPos val="r"/>
      <c:layout>
        <c:manualLayout>
          <c:xMode val="edge"/>
          <c:yMode val="edge"/>
          <c:x val="0.871503603273482"/>
          <c:y val="0.436427038626609"/>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2023年收入</c:v>
                </c:pt>
              </c:strCache>
            </c:strRef>
          </c:tx>
          <c:explosion val="0"/>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Sheet1!$A$2:$A$6</c:f>
              <c:strCache>
                <c:ptCount val="5"/>
                <c:pt idx="0">
                  <c:v>一般公共预算财政拨款收入</c:v>
                </c:pt>
                <c:pt idx="1">
                  <c:v>事业收入</c:v>
                </c:pt>
                <c:pt idx="2">
                  <c:v>政府性基金预算财政拨款收入</c:v>
                </c:pt>
                <c:pt idx="3">
                  <c:v>其他收入</c:v>
                </c:pt>
              </c:strCache>
            </c:strRef>
          </c:cat>
          <c:val>
            <c:numRef>
              <c:f>Sheet1!$B$2:$B$6</c:f>
              <c:numCache>
                <c:formatCode>General</c:formatCode>
                <c:ptCount val="5"/>
                <c:pt idx="0">
                  <c:v>15288.16</c:v>
                </c:pt>
                <c:pt idx="1">
                  <c:v>10860.93</c:v>
                </c:pt>
                <c:pt idx="2">
                  <c:v>5004.06</c:v>
                </c:pt>
                <c:pt idx="3">
                  <c:v>167.22</c:v>
                </c:pt>
              </c:numCache>
            </c:numRef>
          </c:val>
        </c:ser>
        <c:dLbls>
          <c:showLegendKey val="0"/>
          <c:showVal val="0"/>
          <c:showCatName val="0"/>
          <c:showSerName val="0"/>
          <c:showPercent val="1"/>
          <c:showBubbleSize val="0"/>
          <c:showLeaderLines val="1"/>
        </c:dLbls>
        <c:firstSliceAng val="0"/>
      </c:pieChart>
    </c:plotArea>
    <c:legend>
      <c:legendPos val="t"/>
      <c:layout>
        <c:manualLayout>
          <c:xMode val="edge"/>
          <c:yMode val="edge"/>
          <c:x val="0.276800976800977"/>
          <c:y val="0.155055446836268"/>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2023年支出</c:v>
                </c:pt>
              </c:strCache>
            </c:strRef>
          </c:tx>
          <c:explosion val="0"/>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18515.36</c:v>
                </c:pt>
                <c:pt idx="1">
                  <c:v>12043.68</c:v>
                </c:pt>
              </c:numCache>
            </c:numRef>
          </c:val>
        </c:ser>
        <c:dLbls>
          <c:showLegendKey val="0"/>
          <c:showVal val="0"/>
          <c:showCatName val="0"/>
          <c:showSerName val="0"/>
          <c:showPercent val="1"/>
          <c:showBubbleSize val="0"/>
          <c:showLeaderLines val="1"/>
        </c:dLbls>
        <c:firstSliceAng val="0"/>
      </c:pieChart>
    </c:plotArea>
    <c:legend>
      <c:legendPos val="t"/>
      <c:layout>
        <c:manualLayout>
          <c:xMode val="edge"/>
          <c:yMode val="edge"/>
          <c:x val="0.0879445449065702"/>
          <c:y val="0.18206896551724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77678786419456"/>
          <c:y val="0.00684931506849315"/>
          <c:w val="0.723693715386468"/>
          <c:h val="0.83013698630137"/>
        </c:manualLayout>
      </c:layout>
      <c:barChart>
        <c:barDir val="col"/>
        <c:grouping val="clustered"/>
        <c:varyColors val="0"/>
        <c:ser>
          <c:idx val="0"/>
          <c:order val="0"/>
          <c:tx>
            <c:strRef>
              <c:f>Sheet1!$B$1</c:f>
              <c:strCache>
                <c:ptCount val="1"/>
                <c:pt idx="0">
                  <c:v>2022年</c:v>
                </c:pt>
              </c:strCache>
            </c:strRef>
          </c:tx>
          <c:invertIfNegative val="0"/>
          <c:dLbls>
            <c:delete val="1"/>
          </c:dLbls>
          <c:cat>
            <c:strRef>
              <c:f>Sheet1!$A$2</c:f>
              <c:strCache>
                <c:ptCount val="1"/>
                <c:pt idx="0">
                  <c:v>收支</c:v>
                </c:pt>
              </c:strCache>
            </c:strRef>
          </c:cat>
          <c:val>
            <c:numRef>
              <c:f>Sheet1!$B$2</c:f>
              <c:numCache>
                <c:formatCode>General</c:formatCode>
                <c:ptCount val="1"/>
                <c:pt idx="0">
                  <c:v>14350.45</c:v>
                </c:pt>
              </c:numCache>
            </c:numRef>
          </c:val>
        </c:ser>
        <c:ser>
          <c:idx val="1"/>
          <c:order val="1"/>
          <c:tx>
            <c:strRef>
              <c:f>Sheet1!$C$1</c:f>
              <c:strCache>
                <c:ptCount val="1"/>
                <c:pt idx="0">
                  <c:v>2023年</c:v>
                </c:pt>
              </c:strCache>
            </c:strRef>
          </c:tx>
          <c:invertIfNegative val="0"/>
          <c:dLbls>
            <c:delete val="1"/>
          </c:dLbls>
          <c:cat>
            <c:strRef>
              <c:f>Sheet1!$A$2</c:f>
              <c:strCache>
                <c:ptCount val="1"/>
                <c:pt idx="0">
                  <c:v>收支</c:v>
                </c:pt>
              </c:strCache>
            </c:strRef>
          </c:cat>
          <c:val>
            <c:numRef>
              <c:f>Sheet1!$C$2</c:f>
              <c:numCache>
                <c:formatCode>General</c:formatCode>
                <c:ptCount val="1"/>
                <c:pt idx="0">
                  <c:v>20292.22</c:v>
                </c:pt>
              </c:numCache>
            </c:numRef>
          </c:val>
        </c:ser>
        <c:dLbls>
          <c:showLegendKey val="0"/>
          <c:showVal val="0"/>
          <c:showCatName val="0"/>
          <c:showSerName val="0"/>
          <c:showPercent val="0"/>
          <c:showBubbleSize val="0"/>
        </c:dLbls>
        <c:gapWidth val="330"/>
        <c:overlap val="-100"/>
        <c:axId val="177253376"/>
        <c:axId val="177304320"/>
      </c:barChart>
      <c:catAx>
        <c:axId val="177253376"/>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7304320"/>
        <c:crosses val="autoZero"/>
        <c:auto val="1"/>
        <c:lblAlgn val="ctr"/>
        <c:lblOffset val="100"/>
        <c:noMultiLvlLbl val="0"/>
      </c:catAx>
      <c:valAx>
        <c:axId val="17730432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725337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2022年</c:v>
                </c:pt>
              </c:strCache>
            </c:strRef>
          </c:tx>
          <c:invertIfNegative val="0"/>
          <c:dLbls>
            <c:delete val="1"/>
          </c:dLbls>
          <c:cat>
            <c:strRef>
              <c:f>Sheet1!$A$2</c:f>
              <c:strCache>
                <c:ptCount val="1"/>
                <c:pt idx="0">
                  <c:v>支出</c:v>
                </c:pt>
              </c:strCache>
            </c:strRef>
          </c:cat>
          <c:val>
            <c:numRef>
              <c:f>Sheet1!$B$2</c:f>
              <c:numCache>
                <c:formatCode>General</c:formatCode>
                <c:ptCount val="1"/>
                <c:pt idx="0">
                  <c:v>14350.45</c:v>
                </c:pt>
              </c:numCache>
            </c:numRef>
          </c:val>
        </c:ser>
        <c:ser>
          <c:idx val="1"/>
          <c:order val="1"/>
          <c:tx>
            <c:strRef>
              <c:f>Sheet1!$C$1</c:f>
              <c:strCache>
                <c:ptCount val="1"/>
                <c:pt idx="0">
                  <c:v>2023年</c:v>
                </c:pt>
              </c:strCache>
            </c:strRef>
          </c:tx>
          <c:invertIfNegative val="0"/>
          <c:dLbls>
            <c:delete val="1"/>
          </c:dLbls>
          <c:cat>
            <c:strRef>
              <c:f>Sheet1!$A$2</c:f>
              <c:strCache>
                <c:ptCount val="1"/>
                <c:pt idx="0">
                  <c:v>支出</c:v>
                </c:pt>
              </c:strCache>
            </c:strRef>
          </c:cat>
          <c:val>
            <c:numRef>
              <c:f>Sheet1!$C$2</c:f>
              <c:numCache>
                <c:formatCode>General</c:formatCode>
                <c:ptCount val="1"/>
                <c:pt idx="0">
                  <c:v>15288.16</c:v>
                </c:pt>
              </c:numCache>
            </c:numRef>
          </c:val>
        </c:ser>
        <c:dLbls>
          <c:showLegendKey val="0"/>
          <c:showVal val="0"/>
          <c:showCatName val="0"/>
          <c:showSerName val="0"/>
          <c:showPercent val="0"/>
          <c:showBubbleSize val="0"/>
        </c:dLbls>
        <c:gapWidth val="330"/>
        <c:overlap val="-100"/>
        <c:axId val="157152384"/>
        <c:axId val="157153920"/>
      </c:barChart>
      <c:catAx>
        <c:axId val="15715238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7153920"/>
        <c:crosses val="autoZero"/>
        <c:auto val="1"/>
        <c:lblAlgn val="ctr"/>
        <c:lblOffset val="100"/>
        <c:noMultiLvlLbl val="0"/>
      </c:catAx>
      <c:valAx>
        <c:axId val="15715392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715238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一般公共预算财政拨款支出</c:v>
                </c:pt>
              </c:strCache>
            </c:strRef>
          </c:tx>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Sheet1!$A$2:$A$5</c:f>
              <c:strCache>
                <c:ptCount val="4"/>
                <c:pt idx="0">
                  <c:v>社会保障和就业支出</c:v>
                </c:pt>
                <c:pt idx="1">
                  <c:v>卫生健康支出</c:v>
                </c:pt>
                <c:pt idx="2">
                  <c:v>农林水支出</c:v>
                </c:pt>
                <c:pt idx="3">
                  <c:v>住房保障支出</c:v>
                </c:pt>
              </c:strCache>
            </c:strRef>
          </c:cat>
          <c:val>
            <c:numRef>
              <c:f>Sheet1!$B$2:$B$5</c:f>
              <c:numCache>
                <c:formatCode>General</c:formatCode>
                <c:ptCount val="4"/>
                <c:pt idx="0">
                  <c:v>1684.49</c:v>
                </c:pt>
                <c:pt idx="1">
                  <c:v>12807</c:v>
                </c:pt>
                <c:pt idx="2">
                  <c:v>196</c:v>
                </c:pt>
                <c:pt idx="3">
                  <c:v>600.66</c:v>
                </c:pt>
              </c:numCache>
            </c:numRef>
          </c:val>
        </c:ser>
        <c:dLbls>
          <c:showLegendKey val="0"/>
          <c:showVal val="1"/>
          <c:showCatName val="0"/>
          <c:showSerName val="0"/>
          <c:showPercent val="0"/>
          <c:showBubbleSize val="0"/>
          <c:showLeaderLines val="1"/>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2023年“三公”经费财政拨款支出</c:v>
                </c:pt>
              </c:strCache>
            </c:strRef>
          </c:tx>
          <c:explosion val="0"/>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Sheet1!$A$2:$A$6</c:f>
              <c:strCache>
                <c:ptCount val="5"/>
                <c:pt idx="0">
                  <c:v>因公出国（境）费支出</c:v>
                </c:pt>
                <c:pt idx="1">
                  <c:v>公务用车购置及运行维护费支出</c:v>
                </c:pt>
                <c:pt idx="2">
                  <c:v>公务接待费支出</c:v>
                </c:pt>
              </c:strCache>
            </c:strRef>
          </c:cat>
          <c:val>
            <c:numRef>
              <c:f>Sheet1!$B$2:$B$6</c:f>
              <c:numCache>
                <c:formatCode>General</c:formatCode>
                <c:ptCount val="5"/>
                <c:pt idx="0">
                  <c:v>0</c:v>
                </c:pt>
                <c:pt idx="1">
                  <c:v>0.8</c:v>
                </c:pt>
                <c:pt idx="2">
                  <c:v>0</c:v>
                </c:pt>
              </c:numCache>
            </c:numRef>
          </c:val>
        </c:ser>
        <c:dLbls>
          <c:showLegendKey val="0"/>
          <c:showVal val="1"/>
          <c:showCatName val="0"/>
          <c:showSerName val="0"/>
          <c:showPercent val="0"/>
          <c:showBubbleSize val="0"/>
          <c:showLeaderLines val="1"/>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Pages>
  <Words>1535</Words>
  <Characters>8751</Characters>
  <Lines>1</Lines>
  <Paragraphs>1</Paragraphs>
  <TotalTime>12</TotalTime>
  <ScaleCrop>false</ScaleCrop>
  <LinksUpToDate>false</LinksUpToDate>
  <CharactersWithSpaces>10266</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2024-08-10T07:12:00Z</dcterms:created>
  <dc:creator>曹颖</dc:creator>
  <cp:lastModifiedBy>孙克玉</cp:lastModifiedBy>
  <cp:lastPrinted>2023-08-08T10:35:00Z</cp:lastPrinted>
  <dcterms:modified xsi:type="dcterms:W3CDTF">2025-11-11T08:28:30Z</dcterms:modified>
  <dc:title>四川省***</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6E6E9A0E1A03B26A2F763167E9A96E48</vt:lpwstr>
  </property>
</Properties>
</file>