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1A34">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425"/>
      <w:bookmarkStart w:id="2" w:name="_Toc15306267"/>
      <w:bookmarkStart w:id="3" w:name="_Toc15396597"/>
      <w:bookmarkStart w:id="4" w:name="_Toc15377193"/>
      <w:bookmarkStart w:id="5" w:name="_Toc15396475"/>
      <w:bookmarkStart w:id="6" w:name="_Toc15396599"/>
      <w:bookmarkStart w:id="7" w:name="_Toc15377196"/>
    </w:p>
    <w:p w14:paraId="5D162DB3">
      <w:pPr>
        <w:pStyle w:val="2"/>
        <w:rPr>
          <w:rFonts w:hint="default" w:ascii="Times New Roman" w:hAnsi="Times New Roman" w:eastAsia="方正小标宋简体" w:cs="Times New Roman"/>
          <w:color w:val="auto"/>
          <w:kern w:val="2"/>
          <w:sz w:val="72"/>
          <w:szCs w:val="72"/>
          <w:highlight w:val="none"/>
          <w:lang w:val="en-US" w:eastAsia="zh-CN" w:bidi="ar-SA"/>
        </w:rPr>
      </w:pPr>
    </w:p>
    <w:p w14:paraId="6CA5A93B">
      <w:pPr>
        <w:pStyle w:val="2"/>
        <w:rPr>
          <w:rFonts w:hint="default" w:ascii="Times New Roman" w:hAnsi="Times New Roman" w:eastAsia="方正小标宋简体" w:cs="Times New Roman"/>
          <w:color w:val="auto"/>
          <w:kern w:val="2"/>
          <w:sz w:val="72"/>
          <w:szCs w:val="72"/>
          <w:highlight w:val="none"/>
          <w:lang w:val="en-US" w:eastAsia="zh-CN" w:bidi="ar-SA"/>
        </w:rPr>
      </w:pPr>
    </w:p>
    <w:p w14:paraId="468C4D9B">
      <w:pPr>
        <w:pStyle w:val="2"/>
        <w:spacing w:before="93"/>
        <w:rPr>
          <w:rFonts w:hint="default" w:ascii="Times New Roman" w:hAnsi="Times New Roman" w:eastAsia="方正小标宋简体" w:cs="Times New Roman"/>
          <w:kern w:val="2"/>
          <w:sz w:val="72"/>
          <w:szCs w:val="72"/>
        </w:rPr>
      </w:pPr>
    </w:p>
    <w:p w14:paraId="0EE9B329">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14:paraId="629C644B">
      <w:pPr>
        <w:pStyle w:val="2"/>
        <w:spacing w:before="93"/>
        <w:jc w:val="center"/>
        <w:rPr>
          <w:rFonts w:hint="default"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val="en-US" w:eastAsia="zh-CN"/>
        </w:rPr>
        <w:t>幼儿园</w:t>
      </w:r>
    </w:p>
    <w:p w14:paraId="4AFACFE3">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单位决算公开</w:t>
      </w:r>
    </w:p>
    <w:p w14:paraId="41A1C3EC">
      <w:pPr>
        <w:pStyle w:val="19"/>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sdt>
      <w:sdtPr>
        <w:rPr>
          <w:rFonts w:ascii="宋体" w:hAnsi="宋体" w:eastAsia="宋体" w:cs="Times New Roman"/>
          <w:kern w:val="2"/>
          <w:sz w:val="21"/>
          <w:szCs w:val="24"/>
          <w:lang w:val="en-US" w:eastAsia="zh-CN" w:bidi="ar-SA"/>
        </w:rPr>
        <w:id w:val="147454667"/>
        <w15:color w:val="DBDBDB"/>
        <w:docPartObj>
          <w:docPartGallery w:val="Table of Contents"/>
          <w:docPartUnique/>
        </w:docPartObj>
      </w:sdtPr>
      <w:sdtEndPr>
        <w:rPr>
          <w:rFonts w:hint="default" w:ascii="Times New Roman" w:hAnsi="Times New Roman" w:eastAsia="方正小标宋简体" w:cs="Times New Roman"/>
          <w:b/>
          <w:bCs/>
          <w:kern w:val="44"/>
          <w:sz w:val="44"/>
          <w:szCs w:val="44"/>
          <w:lang w:val="en-US" w:eastAsia="zh-CN" w:bidi="ar-SA"/>
        </w:rPr>
      </w:sdtEndPr>
      <w:sdtContent>
        <w:p w14:paraId="1A70534F">
          <w:pPr>
            <w:widowControl/>
            <w:jc w:val="center"/>
            <w:rPr>
              <w:rFonts w:hint="default" w:ascii="Times New Roman" w:hAnsi="Times New Roman" w:eastAsia="黑体" w:cs="Times New Roman"/>
              <w:sz w:val="28"/>
              <w:szCs w:val="28"/>
            </w:rPr>
          </w:pPr>
          <w:r>
            <w:rPr>
              <w:rFonts w:hint="default" w:ascii="Times New Roman" w:hAnsi="Times New Roman" w:eastAsia="黑体" w:cs="Times New Roman"/>
              <w:sz w:val="48"/>
              <w:szCs w:val="48"/>
            </w:rPr>
            <w:t>目</w:t>
          </w:r>
          <w:r>
            <w:rPr>
              <w:rFonts w:hint="eastAsia"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14:paraId="62A763AF">
          <w:pPr>
            <w:pStyle w:val="12"/>
          </w:pPr>
          <w:r>
            <w:rPr>
              <w:rFonts w:hint="default" w:ascii="Times New Roman" w:hAnsi="Times New Roman" w:eastAsia="仿宋_GB2312" w:cs="Times New Roman"/>
            </w:rPr>
            <w:t>公开时间：2025年10月</w:t>
          </w:r>
          <w:r>
            <w:rPr>
              <w:rFonts w:hint="default" w:ascii="Times New Roman" w:hAnsi="Times New Roman" w:eastAsia="仿宋_GB2312" w:cs="Times New Roman"/>
              <w:lang w:val="en-US" w:eastAsia="zh-CN"/>
            </w:rPr>
            <w:t>28</w:t>
          </w:r>
          <w:r>
            <w:rPr>
              <w:rFonts w:hint="default" w:ascii="Times New Roman" w:hAnsi="Times New Roman" w:eastAsia="仿宋_GB2312" w:cs="Times New Roman"/>
            </w:rPr>
            <w:t>日</w:t>
          </w:r>
        </w:p>
        <w:p w14:paraId="3A3499AD">
          <w:pPr>
            <w:pStyle w:val="12"/>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sz w:val="32"/>
              <w:szCs w:val="32"/>
            </w:rPr>
            <w:fldChar w:fldCharType="begin"/>
          </w:r>
          <w:r>
            <w:rPr>
              <w:rFonts w:hint="eastAsia" w:ascii="方正仿宋_GBK" w:hAnsi="方正仿宋_GBK" w:eastAsia="方正仿宋_GBK" w:cs="方正仿宋_GBK"/>
              <w:b w:val="0"/>
              <w:sz w:val="32"/>
              <w:szCs w:val="32"/>
            </w:rPr>
            <w:instrText xml:space="preserve">TOC \o "1-2" \h \u </w:instrText>
          </w:r>
          <w:r>
            <w:rPr>
              <w:rFonts w:hint="eastAsia" w:ascii="方正仿宋_GBK" w:hAnsi="方正仿宋_GBK" w:eastAsia="方正仿宋_GBK" w:cs="方正仿宋_GBK"/>
              <w:b w:val="0"/>
              <w:sz w:val="32"/>
              <w:szCs w:val="32"/>
            </w:rPr>
            <w:fldChar w:fldCharType="separate"/>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_Toc15463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第一部分  单位概况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_Toc15463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697426AF">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_Toc29788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一、</w:t>
          </w:r>
          <w:r>
            <w:rPr>
              <w:rFonts w:hint="eastAsia" w:ascii="方正仿宋_GBK" w:hAnsi="方正仿宋_GBK" w:eastAsia="方正仿宋_GBK" w:cs="方正仿宋_GBK"/>
              <w:bCs/>
              <w:sz w:val="32"/>
              <w:szCs w:val="32"/>
            </w:rPr>
            <w:t>主要职责</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_Toc29788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77DAEB09">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_Toc31377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二、</w:t>
          </w:r>
          <w:r>
            <w:rPr>
              <w:rFonts w:hint="eastAsia" w:ascii="方正仿宋_GBK" w:hAnsi="方正仿宋_GBK" w:eastAsia="方正仿宋_GBK" w:cs="方正仿宋_GBK"/>
              <w:bCs/>
              <w:sz w:val="32"/>
              <w:szCs w:val="32"/>
            </w:rPr>
            <w:t>机构设置</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_Toc31377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04675EF">
          <w:pPr>
            <w:pStyle w:val="12"/>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_Toc2242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第二部分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2024年度</w:t>
          </w:r>
          <w:r>
            <w:rPr>
              <w:rFonts w:hint="eastAsia" w:ascii="方正仿宋_GBK" w:hAnsi="方正仿宋_GBK" w:eastAsia="方正仿宋_GBK" w:cs="方正仿宋_GBK"/>
              <w:sz w:val="32"/>
              <w:szCs w:val="32"/>
            </w:rPr>
            <w:t>部门决算情况说明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_Toc2242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5FAC039">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_Toc23167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一、</w:t>
          </w:r>
          <w:r>
            <w:rPr>
              <w:rFonts w:hint="eastAsia" w:ascii="方正仿宋_GBK" w:hAnsi="方正仿宋_GBK" w:eastAsia="方正仿宋_GBK" w:cs="方正仿宋_GBK"/>
              <w:bCs/>
              <w:sz w:val="32"/>
              <w:szCs w:val="32"/>
            </w:rPr>
            <w:t>收入支出决算总体情况说明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_Toc23167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4F7A93E7">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_Toc21733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二、收入决算情况说明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_Toc21733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503AEC06">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_Toc16676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三、支出决算情况说明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_Toc16676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88DE03E">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_Toc29078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四、财政拨款收入支出决算总体情况说明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_Toc29078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4E65B62F">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_Toc5494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五、一般公共预算财政拨款支出决算情况说明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_Toc5494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6712F0B1">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_Toc15103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六、一般公共预算财政拨款基本支出决算情况说明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_Toc15103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79FB8AB3">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_Toc14766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七、财政拨款“三公”经费支出决算情况说明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_Toc14766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12775CD">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_Toc10951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八、政府性基金预算支出决算情况说明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_Toc10951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F69DE97">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_Toc22269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九、国有资本经营预算支出决算情况说明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_Toc22269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729D53C4">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_Toc16136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eastAsia="zh-CN"/>
            </w:rPr>
            <w:t>十、其他重要事项的情况说明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_Toc16136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4575601">
          <w:pPr>
            <w:pStyle w:val="12"/>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_Toc16210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zh-CN"/>
            </w:rPr>
            <w:t>第三部分 名词解释</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_Toc16210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2801534">
          <w:pPr>
            <w:pStyle w:val="12"/>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_Toc23014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第四部分 附件</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_Toc23014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F767531">
          <w:pPr>
            <w:pStyle w:val="12"/>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_Toc17833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第五部分 附表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_Toc17833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3E175D4D">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_Toc20740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一、收入支出决算总表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_Toc20740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66633D89">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_Toc19794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二、收入决算表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_Toc19794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A301294">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_Toc2619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三、支出决算表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_Toc2619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D18836B">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_Toc22322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四、财政拨款收入支出决算总表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_Toc22322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5BE17C65">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_Toc22951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五、财政拨款支出决算明细表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_Toc22951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3DF0F26">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_Toc30958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六、一般公共预算财政拨款支出决算表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_Toc30958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581DB840">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_Toc16152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七、一般公共预算财政拨款支出决算明细表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_Toc16152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7105760">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_Toc30922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八、一般公共预算财政拨款基本支出决算表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_Toc30922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4D7474A6">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_Toc32406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九、一般公共预算财政拨款项目支出决算表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_Toc32406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4D85547C">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_Toc3641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十、政府性基金预算财政拨款收入支出决算表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_Toc3641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F747977">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_Toc3880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十一、国有资本经营预算财政拨款收入支出决算表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_Toc3880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C7919CE">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_Toc1028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十二、国有资本经营预算财政拨款支出决算表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_Toc1028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6E8B8023">
          <w:pPr>
            <w:pStyle w:val="14"/>
            <w:tabs>
              <w:tab w:val="right" w:leader="dot" w:pos="8306"/>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_Toc26857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十三、财政拨款“三公”经费支出决算表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_Toc26857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5A187FDB">
          <w:pPr>
            <w:pStyle w:val="3"/>
            <w:jc w:val="center"/>
            <w:rPr>
              <w:rFonts w:hint="default" w:ascii="Times New Roman" w:hAnsi="Times New Roman" w:eastAsia="方正小标宋简体" w:cs="Times New Roman"/>
              <w:b/>
              <w:bCs/>
              <w:kern w:val="44"/>
              <w:sz w:val="44"/>
              <w:szCs w:val="44"/>
              <w:lang w:val="en-US" w:eastAsia="zh-CN" w:bidi="ar-SA"/>
            </w:rPr>
          </w:pPr>
          <w:r>
            <w:rPr>
              <w:rFonts w:hint="eastAsia" w:ascii="方正仿宋_GBK" w:hAnsi="方正仿宋_GBK" w:eastAsia="方正仿宋_GBK" w:cs="方正仿宋_GBK"/>
              <w:sz w:val="32"/>
              <w:szCs w:val="32"/>
            </w:rPr>
            <w:fldChar w:fldCharType="end"/>
          </w:r>
        </w:p>
      </w:sdtContent>
    </w:sdt>
    <w:p w14:paraId="70332AEB">
      <w:pPr>
        <w:rPr>
          <w:rFonts w:hint="default"/>
        </w:rPr>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pPr>
    </w:p>
    <w:p w14:paraId="0C6DCEE2">
      <w:pPr>
        <w:pStyle w:val="3"/>
        <w:spacing w:line="240" w:lineRule="auto"/>
        <w:jc w:val="center"/>
        <w:rPr>
          <w:rFonts w:hint="default" w:ascii="Times New Roman" w:hAnsi="Times New Roman" w:eastAsia="方正小标宋_GBK" w:cs="Times New Roman"/>
          <w:b w:val="0"/>
          <w:sz w:val="44"/>
          <w:szCs w:val="44"/>
        </w:rPr>
      </w:pPr>
      <w:bookmarkStart w:id="8" w:name="_Toc15463"/>
      <w:r>
        <w:rPr>
          <w:rFonts w:hint="default" w:ascii="Times New Roman" w:hAnsi="Times New Roman" w:eastAsia="方正小标宋_GBK" w:cs="Times New Roman"/>
          <w:b w:val="0"/>
          <w:sz w:val="44"/>
          <w:szCs w:val="44"/>
        </w:rPr>
        <w:t>第一部分  单位概况</w:t>
      </w:r>
      <w:bookmarkEnd w:id="8"/>
    </w:p>
    <w:p w14:paraId="254B01BB">
      <w:pPr>
        <w:pStyle w:val="4"/>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b w:val="0"/>
          <w:bCs/>
        </w:rPr>
      </w:pPr>
      <w:bookmarkStart w:id="9" w:name="_Toc29788"/>
      <w:r>
        <w:rPr>
          <w:rFonts w:hint="default" w:ascii="Times New Roman" w:hAnsi="Times New Roman" w:eastAsia="方正黑体_GBK" w:cs="Times New Roman"/>
          <w:b w:val="0"/>
          <w:bCs/>
          <w:kern w:val="2"/>
          <w:sz w:val="32"/>
          <w:szCs w:val="32"/>
          <w:lang w:val="en-US" w:eastAsia="zh-CN" w:bidi="ar-SA"/>
        </w:rPr>
        <w:t>一、</w:t>
      </w:r>
      <w:r>
        <w:rPr>
          <w:rFonts w:hint="default" w:ascii="Times New Roman" w:hAnsi="Times New Roman" w:eastAsia="方正黑体_GBK" w:cs="Times New Roman"/>
          <w:b w:val="0"/>
          <w:bCs/>
        </w:rPr>
        <w:t>主要职责</w:t>
      </w:r>
      <w:bookmarkEnd w:id="9"/>
    </w:p>
    <w:p w14:paraId="7ABFBBEE">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rPr>
      </w:pPr>
      <w:bookmarkStart w:id="10" w:name="_Toc29723"/>
      <w:bookmarkStart w:id="11" w:name="_Toc29332"/>
      <w:r>
        <w:rPr>
          <w:rFonts w:hint="default" w:ascii="Times New Roman" w:hAnsi="Times New Roman" w:eastAsia="方正仿宋_GBK" w:cs="Times New Roman"/>
          <w:b w:val="0"/>
          <w:bCs w:val="0"/>
        </w:rPr>
        <w:t>认真贯彻执行党和国家的有关法律法规，方针，政策，依法办园，坚持正确的办园方向;落实《3-6岁儿童学习与发展指南》的精神，遵循“正确的爱培养良好习惯，快乐游戏激发多元潜能”的办园理念;立足“幼儿乐学、家长乐道、教师乐教”的办园宗旨;以“玩中学、学中乐、乐中长”的教学理念。遵循幼儿身心发展的规律，以一日生活皆教育，提升保教质量，促进幼儿全面和谐发展。</w:t>
      </w:r>
      <w:bookmarkEnd w:id="10"/>
      <w:bookmarkEnd w:id="11"/>
    </w:p>
    <w:p w14:paraId="5E4B9BBB">
      <w:pPr>
        <w:pStyle w:val="4"/>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rPr>
      </w:pPr>
      <w:bookmarkStart w:id="12" w:name="_Toc31377"/>
      <w:r>
        <w:rPr>
          <w:rFonts w:hint="default" w:ascii="Times New Roman" w:hAnsi="Times New Roman" w:cs="Times New Roman" w:eastAsiaTheme="majorEastAsia"/>
          <w:b/>
          <w:bCs/>
          <w:kern w:val="2"/>
          <w:sz w:val="32"/>
          <w:szCs w:val="32"/>
          <w:lang w:val="en-US" w:eastAsia="zh-CN" w:bidi="ar-SA"/>
        </w:rPr>
        <w:t>二、</w:t>
      </w:r>
      <w:r>
        <w:rPr>
          <w:rFonts w:hint="default" w:ascii="Times New Roman" w:hAnsi="Times New Roman" w:eastAsia="方正黑体_GBK" w:cs="Times New Roman"/>
          <w:b w:val="0"/>
          <w:bCs/>
        </w:rPr>
        <w:t>机构设置</w:t>
      </w:r>
      <w:bookmarkEnd w:id="12"/>
    </w:p>
    <w:p w14:paraId="17624016">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rPr>
      </w:pPr>
      <w:bookmarkStart w:id="13" w:name="_Toc15319"/>
      <w:r>
        <w:rPr>
          <w:rFonts w:hint="default" w:ascii="Times New Roman" w:hAnsi="Times New Roman" w:eastAsia="方正仿宋_GBK" w:cs="Times New Roman"/>
          <w:b w:val="0"/>
          <w:bCs w:val="0"/>
          <w:lang w:val="en-US" w:eastAsia="zh-CN"/>
        </w:rPr>
        <w:t>盐边县幼儿园</w:t>
      </w:r>
      <w:r>
        <w:rPr>
          <w:rFonts w:hint="default" w:ascii="Times New Roman" w:hAnsi="Times New Roman" w:eastAsia="方正仿宋_GBK" w:cs="Times New Roman"/>
          <w:b w:val="0"/>
          <w:bCs w:val="0"/>
        </w:rPr>
        <w:t>202</w:t>
      </w:r>
      <w:r>
        <w:rPr>
          <w:rFonts w:hint="default" w:ascii="Times New Roman" w:hAnsi="Times New Roman" w:eastAsia="方正仿宋_GBK" w:cs="Times New Roman"/>
          <w:b w:val="0"/>
          <w:bCs w:val="0"/>
          <w:lang w:val="en-US" w:eastAsia="zh-CN"/>
        </w:rPr>
        <w:t>4</w:t>
      </w:r>
      <w:r>
        <w:rPr>
          <w:rFonts w:hint="default" w:ascii="Times New Roman" w:hAnsi="Times New Roman" w:eastAsia="方正仿宋_GBK" w:cs="Times New Roman"/>
          <w:b w:val="0"/>
          <w:bCs w:val="0"/>
        </w:rPr>
        <w:t>年设大中小教学班12个，在园幼儿</w:t>
      </w:r>
      <w:r>
        <w:rPr>
          <w:rFonts w:hint="default" w:ascii="Times New Roman" w:hAnsi="Times New Roman" w:eastAsia="方正仿宋_GBK" w:cs="Times New Roman"/>
          <w:b w:val="0"/>
          <w:bCs w:val="0"/>
          <w:lang w:val="en-US" w:eastAsia="zh-CN"/>
        </w:rPr>
        <w:t>384</w:t>
      </w:r>
      <w:r>
        <w:rPr>
          <w:rFonts w:hint="default" w:ascii="Times New Roman" w:hAnsi="Times New Roman" w:eastAsia="方正仿宋_GBK" w:cs="Times New Roman"/>
          <w:b w:val="0"/>
          <w:bCs w:val="0"/>
        </w:rPr>
        <w:t>人，</w:t>
      </w:r>
      <w:r>
        <w:rPr>
          <w:rFonts w:hint="default" w:ascii="Times New Roman" w:hAnsi="Times New Roman" w:eastAsia="方正仿宋_GBK" w:cs="Times New Roman"/>
          <w:b w:val="0"/>
          <w:bCs w:val="0"/>
          <w:lang w:val="en-US" w:eastAsia="zh-CN"/>
        </w:rPr>
        <w:t>2024年末</w:t>
      </w:r>
      <w:r>
        <w:rPr>
          <w:rFonts w:hint="default" w:ascii="Times New Roman" w:hAnsi="Times New Roman" w:eastAsia="方正仿宋_GBK" w:cs="Times New Roman"/>
          <w:b w:val="0"/>
          <w:bCs w:val="0"/>
        </w:rPr>
        <w:t>在编教职工2</w:t>
      </w:r>
      <w:r>
        <w:rPr>
          <w:rFonts w:hint="default" w:ascii="Times New Roman" w:hAnsi="Times New Roman" w:eastAsia="方正仿宋_GBK" w:cs="Times New Roman"/>
          <w:b w:val="0"/>
          <w:bCs w:val="0"/>
          <w:lang w:val="en-US" w:eastAsia="zh-CN"/>
        </w:rPr>
        <w:t>8</w:t>
      </w:r>
      <w:r>
        <w:rPr>
          <w:rFonts w:hint="default" w:ascii="Times New Roman" w:hAnsi="Times New Roman" w:eastAsia="方正仿宋_GBK" w:cs="Times New Roman"/>
          <w:b w:val="0"/>
          <w:bCs w:val="0"/>
        </w:rPr>
        <w:t>人，学历达标率100%。有高级教师职称</w:t>
      </w:r>
      <w:r>
        <w:rPr>
          <w:rFonts w:hint="default" w:ascii="Times New Roman" w:hAnsi="Times New Roman" w:eastAsia="方正仿宋_GBK" w:cs="Times New Roman"/>
          <w:b w:val="0"/>
          <w:bCs w:val="0"/>
          <w:lang w:val="en-US" w:eastAsia="zh-CN"/>
        </w:rPr>
        <w:t>5</w:t>
      </w:r>
      <w:r>
        <w:rPr>
          <w:rFonts w:hint="default" w:ascii="Times New Roman" w:hAnsi="Times New Roman" w:eastAsia="方正仿宋_GBK" w:cs="Times New Roman"/>
          <w:b w:val="0"/>
          <w:bCs w:val="0"/>
        </w:rPr>
        <w:t>人， 中级职称1</w:t>
      </w:r>
      <w:r>
        <w:rPr>
          <w:rFonts w:hint="default" w:ascii="Times New Roman" w:hAnsi="Times New Roman" w:eastAsia="方正仿宋_GBK" w:cs="Times New Roman"/>
          <w:b w:val="0"/>
          <w:bCs w:val="0"/>
          <w:lang w:val="en-US" w:eastAsia="zh-CN"/>
        </w:rPr>
        <w:t>1</w:t>
      </w:r>
      <w:r>
        <w:rPr>
          <w:rFonts w:hint="default" w:ascii="Times New Roman" w:hAnsi="Times New Roman" w:eastAsia="方正仿宋_GBK" w:cs="Times New Roman"/>
          <w:b w:val="0"/>
          <w:bCs w:val="0"/>
        </w:rPr>
        <w:t>人，初级职称</w:t>
      </w:r>
      <w:r>
        <w:rPr>
          <w:rFonts w:hint="default" w:ascii="Times New Roman" w:hAnsi="Times New Roman" w:eastAsia="方正仿宋_GBK" w:cs="Times New Roman"/>
          <w:b w:val="0"/>
          <w:bCs w:val="0"/>
          <w:lang w:val="en-US" w:eastAsia="zh-CN"/>
        </w:rPr>
        <w:t>11</w:t>
      </w:r>
      <w:r>
        <w:rPr>
          <w:rFonts w:hint="default" w:ascii="Times New Roman" w:hAnsi="Times New Roman" w:eastAsia="方正仿宋_GBK" w:cs="Times New Roman"/>
          <w:b w:val="0"/>
          <w:bCs w:val="0"/>
        </w:rPr>
        <w:t>人，技术工1人，市县级骨干教师学科带头人</w:t>
      </w:r>
      <w:r>
        <w:rPr>
          <w:rFonts w:hint="default" w:ascii="Times New Roman" w:hAnsi="Times New Roman" w:eastAsia="方正仿宋_GBK" w:cs="Times New Roman"/>
          <w:b w:val="0"/>
          <w:bCs w:val="0"/>
          <w:lang w:val="en-US" w:eastAsia="zh-CN"/>
        </w:rPr>
        <w:t>共</w:t>
      </w:r>
      <w:r>
        <w:rPr>
          <w:rFonts w:hint="default" w:ascii="Times New Roman" w:hAnsi="Times New Roman" w:eastAsia="方正仿宋_GBK" w:cs="Times New Roman"/>
          <w:b w:val="0"/>
          <w:bCs w:val="0"/>
        </w:rPr>
        <w:t>6名。</w:t>
      </w:r>
      <w:bookmarkEnd w:id="13"/>
    </w:p>
    <w:p w14:paraId="5F48E0CF">
      <w:pPr>
        <w:numPr>
          <w:ilvl w:val="0"/>
          <w:numId w:val="0"/>
        </w:numPr>
        <w:spacing w:line="240" w:lineRule="auto"/>
        <w:ind w:leftChars="0"/>
        <w:rPr>
          <w:rFonts w:hint="default" w:ascii="Times New Roman" w:hAnsi="Times New Roman" w:cs="Times New Roman"/>
        </w:rPr>
      </w:pPr>
    </w:p>
    <w:bookmarkEnd w:id="0"/>
    <w:bookmarkEnd w:id="1"/>
    <w:bookmarkEnd w:id="2"/>
    <w:bookmarkEnd w:id="3"/>
    <w:bookmarkEnd w:id="4"/>
    <w:bookmarkEnd w:id="5"/>
    <w:p w14:paraId="7C0B8247">
      <w:pPr>
        <w:pStyle w:val="3"/>
        <w:spacing w:line="240" w:lineRule="auto"/>
        <w:jc w:val="center"/>
        <w:rPr>
          <w:rFonts w:hint="default" w:ascii="Times New Roman" w:hAnsi="Times New Roman" w:eastAsia="方正小标宋简体" w:cs="Times New Roman"/>
          <w:b w:val="0"/>
          <w:color w:val="auto"/>
          <w:highlight w:val="none"/>
        </w:rPr>
      </w:pPr>
    </w:p>
    <w:p w14:paraId="5F9766FC">
      <w:pPr>
        <w:spacing w:line="240" w:lineRule="auto"/>
        <w:rPr>
          <w:rFonts w:hint="default" w:ascii="Times New Roman" w:hAnsi="Times New Roman" w:eastAsia="方正小标宋简体" w:cs="Times New Roman"/>
          <w:b w:val="0"/>
          <w:color w:val="auto"/>
          <w:highlight w:val="none"/>
        </w:rPr>
      </w:pPr>
    </w:p>
    <w:bookmarkEnd w:id="6"/>
    <w:bookmarkEnd w:id="7"/>
    <w:p w14:paraId="5E84DF0A">
      <w:pPr>
        <w:pStyle w:val="3"/>
        <w:spacing w:line="240" w:lineRule="auto"/>
        <w:jc w:val="center"/>
        <w:rPr>
          <w:rFonts w:hint="default" w:ascii="Times New Roman" w:hAnsi="Times New Roman" w:cs="Times New Roman"/>
          <w:color w:val="auto"/>
          <w:highlight w:val="none"/>
        </w:rPr>
      </w:pPr>
      <w:bookmarkStart w:id="14" w:name="_Toc15377204"/>
      <w:bookmarkStart w:id="15" w:name="_Toc15396602"/>
      <w:bookmarkStart w:id="16" w:name="_Toc2242"/>
      <w:r>
        <w:rPr>
          <w:rFonts w:hint="default" w:ascii="Times New Roman" w:hAnsi="Times New Roman" w:eastAsia="方正小标宋_GBK" w:cs="Times New Roman"/>
          <w:b w:val="0"/>
          <w:sz w:val="44"/>
          <w:szCs w:val="44"/>
        </w:rPr>
        <w:t>第二部分</w:t>
      </w:r>
      <w:r>
        <w:rPr>
          <w:rFonts w:hint="default" w:ascii="Times New Roman" w:hAnsi="Times New Roman" w:eastAsia="方正小标宋_GBK" w:cs="Times New Roman"/>
          <w:b w:val="0"/>
          <w:sz w:val="44"/>
          <w:szCs w:val="44"/>
          <w:lang w:val="en-US" w:eastAsia="zh-CN"/>
        </w:rPr>
        <w:t xml:space="preserve"> </w:t>
      </w:r>
      <w:r>
        <w:rPr>
          <w:rFonts w:hint="default" w:ascii="Times New Roman" w:hAnsi="Times New Roman" w:eastAsia="方正小标宋_GBK" w:cs="Times New Roman"/>
          <w:b w:val="0"/>
          <w:sz w:val="44"/>
          <w:szCs w:val="44"/>
        </w:rPr>
        <w:t xml:space="preserve"> </w:t>
      </w:r>
      <w:r>
        <w:rPr>
          <w:rFonts w:hint="default" w:ascii="Times New Roman" w:hAnsi="Times New Roman" w:eastAsia="方正小标宋_GBK" w:cs="Times New Roman"/>
          <w:b w:val="0"/>
          <w:sz w:val="44"/>
          <w:szCs w:val="44"/>
          <w:lang w:val="en-US" w:eastAsia="zh-CN"/>
        </w:rPr>
        <w:t>2024年度</w:t>
      </w:r>
      <w:r>
        <w:rPr>
          <w:rFonts w:hint="default" w:ascii="Times New Roman" w:hAnsi="Times New Roman" w:eastAsia="方正小标宋_GBK" w:cs="Times New Roman"/>
          <w:b w:val="0"/>
          <w:sz w:val="44"/>
          <w:szCs w:val="44"/>
        </w:rPr>
        <w:t>部门决算情况说明</w:t>
      </w:r>
      <w:bookmarkEnd w:id="14"/>
      <w:bookmarkEnd w:id="15"/>
      <w:bookmarkEnd w:id="16"/>
    </w:p>
    <w:p w14:paraId="25DA8114">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bCs/>
        </w:rPr>
      </w:pPr>
      <w:bookmarkStart w:id="17" w:name="_Toc15396603"/>
      <w:bookmarkStart w:id="18" w:name="_Toc23167"/>
      <w:bookmarkStart w:id="19" w:name="_Toc15377205"/>
      <w:r>
        <w:rPr>
          <w:rFonts w:hint="default" w:ascii="Times New Roman" w:hAnsi="Times New Roman" w:eastAsia="方正黑体_GBK" w:cs="Times New Roman"/>
          <w:b w:val="0"/>
          <w:bCs/>
          <w:lang w:eastAsia="zh-CN"/>
        </w:rPr>
        <w:t>一、</w:t>
      </w:r>
      <w:r>
        <w:rPr>
          <w:rFonts w:hint="default" w:ascii="Times New Roman" w:hAnsi="Times New Roman" w:eastAsia="方正黑体_GBK" w:cs="Times New Roman"/>
          <w:b w:val="0"/>
          <w:bCs/>
        </w:rPr>
        <w:t>收入支出决算总体情况说明</w:t>
      </w:r>
      <w:bookmarkEnd w:id="17"/>
      <w:bookmarkEnd w:id="18"/>
      <w:bookmarkEnd w:id="19"/>
    </w:p>
    <w:p w14:paraId="2B5623B8">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20" w:name="_Toc15289"/>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sz w:val="32"/>
          <w:szCs w:val="32"/>
        </w:rPr>
        <w:t>772.97</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2023年度823.76万元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总计各减少50.79万元，下降</w:t>
      </w:r>
      <w:r>
        <w:rPr>
          <w:rFonts w:hint="default" w:ascii="Times New Roman" w:hAnsi="Times New Roman" w:eastAsia="方正仿宋_GBK" w:cs="Times New Roman"/>
          <w:color w:val="auto"/>
          <w:sz w:val="32"/>
          <w:szCs w:val="32"/>
          <w:highlight w:val="none"/>
          <w:lang w:val="en-US" w:eastAsia="zh-CN"/>
        </w:rPr>
        <w:t>6.17</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val="en-US" w:eastAsia="zh-CN"/>
        </w:rPr>
        <w:t>本年度</w:t>
      </w:r>
      <w:r>
        <w:rPr>
          <w:rFonts w:hint="default" w:ascii="Times New Roman" w:hAnsi="Times New Roman" w:eastAsia="方正仿宋_GBK" w:cs="Times New Roman"/>
          <w:color w:val="auto"/>
          <w:sz w:val="32"/>
          <w:szCs w:val="32"/>
          <w:highlight w:val="none"/>
        </w:rPr>
        <w:t>退休3人，新招2人，调离1人及本年无新增工程项目</w:t>
      </w:r>
      <w:r>
        <w:rPr>
          <w:rFonts w:hint="default" w:ascii="Times New Roman" w:hAnsi="Times New Roman" w:eastAsia="方正仿宋_GBK" w:cs="Times New Roman"/>
          <w:color w:val="auto"/>
          <w:sz w:val="32"/>
          <w:szCs w:val="32"/>
          <w:highlight w:val="none"/>
          <w:lang w:eastAsia="zh-CN"/>
        </w:rPr>
        <w:t>。</w:t>
      </w:r>
      <w:bookmarkEnd w:id="20"/>
    </w:p>
    <w:p w14:paraId="3836A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w:t>
      </w:r>
    </w:p>
    <w:p w14:paraId="1CB7A5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rPr>
        <w:drawing>
          <wp:inline distT="0" distB="0" distL="114300" distR="114300">
            <wp:extent cx="5290820" cy="4267835"/>
            <wp:effectExtent l="5080" t="4445" r="19050"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597528">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bCs/>
          <w:lang w:eastAsia="zh-CN"/>
        </w:rPr>
      </w:pPr>
      <w:bookmarkStart w:id="21" w:name="_Toc15377206"/>
      <w:bookmarkStart w:id="22" w:name="_Toc15396604"/>
      <w:bookmarkStart w:id="23" w:name="_Toc21733"/>
      <w:r>
        <w:rPr>
          <w:rFonts w:hint="default" w:ascii="Times New Roman" w:hAnsi="Times New Roman" w:eastAsia="方正黑体_GBK" w:cs="Times New Roman"/>
          <w:b w:val="0"/>
          <w:bCs/>
          <w:lang w:eastAsia="zh-CN"/>
        </w:rPr>
        <w:t>二、收入决算情况说明</w:t>
      </w:r>
      <w:bookmarkEnd w:id="21"/>
      <w:bookmarkEnd w:id="22"/>
      <w:bookmarkEnd w:id="23"/>
    </w:p>
    <w:p w14:paraId="75213BBF">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bookmarkStart w:id="24" w:name="_Toc21062"/>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772.97万元，其中：一般公共预算财政拨款收入772.97</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%；上级补助收入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%；事业收入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%；附属单位上缴收入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%；其他收入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w:t>
      </w:r>
      <w:bookmarkEnd w:id="24"/>
    </w:p>
    <w:p w14:paraId="248CB210">
      <w:pPr>
        <w:spacing w:line="240" w:lineRule="auto"/>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17710738">
      <w:pPr>
        <w:spacing w:line="240" w:lineRule="auto"/>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5293995" cy="4105910"/>
            <wp:effectExtent l="4445" t="4445" r="16510" b="234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2EC677">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bCs/>
          <w:lang w:eastAsia="zh-CN"/>
        </w:rPr>
      </w:pPr>
      <w:bookmarkStart w:id="25" w:name="_Toc16676"/>
      <w:bookmarkStart w:id="26" w:name="_Toc15377207"/>
      <w:bookmarkStart w:id="27" w:name="_Toc15396605"/>
      <w:r>
        <w:rPr>
          <w:rFonts w:hint="default" w:ascii="Times New Roman" w:hAnsi="Times New Roman" w:eastAsia="方正黑体_GBK" w:cs="Times New Roman"/>
          <w:b w:val="0"/>
          <w:bCs/>
          <w:lang w:eastAsia="zh-CN"/>
        </w:rPr>
        <w:t>三、支出决算情况说明</w:t>
      </w:r>
      <w:bookmarkEnd w:id="25"/>
      <w:bookmarkEnd w:id="26"/>
      <w:bookmarkEnd w:id="27"/>
    </w:p>
    <w:p w14:paraId="3111CC79">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bookmarkStart w:id="28" w:name="_Toc14966"/>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772.97</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577.52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74.71</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195.45</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25.2</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color w:val="auto"/>
          <w:sz w:val="32"/>
          <w:szCs w:val="32"/>
          <w:highlight w:val="none"/>
          <w:lang w:eastAsia="zh-CN"/>
        </w:rPr>
        <w:t>%；上缴上级支出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%；对附属单位补助支出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w:t>
      </w:r>
      <w:bookmarkEnd w:id="28"/>
    </w:p>
    <w:p w14:paraId="5F2C44A8">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方正仿宋_GBK" w:cs="Times New Roman"/>
          <w:color w:val="auto"/>
          <w:sz w:val="32"/>
          <w:szCs w:val="32"/>
          <w:highlight w:val="none"/>
          <w:lang w:eastAsia="zh-CN"/>
        </w:rPr>
      </w:pPr>
      <w:bookmarkStart w:id="29" w:name="_Toc19443"/>
      <w:r>
        <w:rPr>
          <w:rFonts w:hint="default" w:ascii="Times New Roman" w:hAnsi="Times New Roman" w:eastAsia="方正仿宋_GBK" w:cs="Times New Roman"/>
          <w:color w:val="auto"/>
          <w:sz w:val="32"/>
          <w:szCs w:val="32"/>
          <w:highlight w:val="none"/>
          <w:lang w:eastAsia="zh-CN"/>
        </w:rPr>
        <w:t>（图3：支出决算结构图）</w:t>
      </w:r>
      <w:bookmarkEnd w:id="29"/>
    </w:p>
    <w:p w14:paraId="00816E54">
      <w:pPr>
        <w:spacing w:line="240" w:lineRule="auto"/>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3646170" cy="2506345"/>
            <wp:effectExtent l="4445" t="4445" r="6985" b="228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C3AE99">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bCs/>
          <w:lang w:eastAsia="zh-CN"/>
        </w:rPr>
      </w:pPr>
      <w:bookmarkStart w:id="30" w:name="_Toc15377208"/>
      <w:bookmarkStart w:id="31" w:name="_Toc15396606"/>
      <w:bookmarkStart w:id="32" w:name="_Toc29078"/>
      <w:r>
        <w:rPr>
          <w:rFonts w:hint="default" w:ascii="Times New Roman" w:hAnsi="Times New Roman" w:eastAsia="方正黑体_GBK" w:cs="Times New Roman"/>
          <w:b w:val="0"/>
          <w:bCs/>
          <w:lang w:eastAsia="zh-CN"/>
        </w:rPr>
        <w:t>四、财政拨款收入支出决算总体情况说明</w:t>
      </w:r>
      <w:bookmarkEnd w:id="30"/>
      <w:bookmarkEnd w:id="31"/>
      <w:bookmarkEnd w:id="32"/>
    </w:p>
    <w:p w14:paraId="01056836">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仿宋_GB2312" w:cs="Times New Roman"/>
          <w:color w:val="auto"/>
          <w:kern w:val="2"/>
          <w:sz w:val="32"/>
          <w:szCs w:val="32"/>
          <w:highlight w:val="none"/>
          <w:lang w:val="en-US" w:eastAsia="zh-CN" w:bidi="ar-SA"/>
        </w:rPr>
      </w:pPr>
      <w:bookmarkStart w:id="33" w:name="_Toc15117"/>
      <w:r>
        <w:rPr>
          <w:rFonts w:hint="default" w:ascii="Times New Roman" w:hAnsi="Times New Roman" w:eastAsia="方正仿宋_GBK" w:cs="Times New Roman"/>
          <w:color w:val="auto"/>
          <w:sz w:val="32"/>
          <w:szCs w:val="32"/>
          <w:highlight w:val="none"/>
          <w:lang w:val="en-US" w:eastAsia="zh-CN"/>
        </w:rPr>
        <w:t>2024年度财政拨款收入、支出总计均为</w:t>
      </w:r>
      <w:r>
        <w:rPr>
          <w:rFonts w:hint="default" w:ascii="Times New Roman" w:hAnsi="Times New Roman" w:eastAsia="方正仿宋_GBK" w:cs="Times New Roman"/>
          <w:color w:val="auto"/>
          <w:sz w:val="32"/>
          <w:szCs w:val="32"/>
          <w:highlight w:val="none"/>
          <w:lang w:eastAsia="zh-CN"/>
        </w:rPr>
        <w:t>772.97</w:t>
      </w:r>
      <w:r>
        <w:rPr>
          <w:rFonts w:hint="default" w:ascii="Times New Roman" w:hAnsi="Times New Roman" w:eastAsia="方正仿宋_GBK" w:cs="Times New Roman"/>
          <w:color w:val="auto"/>
          <w:sz w:val="32"/>
          <w:szCs w:val="32"/>
          <w:highlight w:val="none"/>
          <w:lang w:val="en-US" w:eastAsia="zh-CN"/>
        </w:rPr>
        <w:t>万元。与2023年度相比（2023年度823.76万元），财政拨款收入总计、支出总计各减少50.79万元，下降6.17%。</w:t>
      </w:r>
      <w:r>
        <w:rPr>
          <w:rFonts w:hint="default" w:ascii="Times New Roman" w:hAnsi="Times New Roman" w:eastAsia="方正仿宋_GBK" w:cs="Times New Roman"/>
          <w:color w:val="auto"/>
          <w:sz w:val="32"/>
          <w:szCs w:val="32"/>
          <w:highlight w:val="none"/>
          <w:lang w:eastAsia="zh-CN"/>
        </w:rPr>
        <w:t>主要变动原因是</w:t>
      </w:r>
      <w:r>
        <w:rPr>
          <w:rFonts w:hint="default" w:ascii="Times New Roman" w:hAnsi="Times New Roman" w:eastAsia="方正仿宋_GBK" w:cs="Times New Roman"/>
          <w:color w:val="auto"/>
          <w:sz w:val="32"/>
          <w:szCs w:val="32"/>
          <w:highlight w:val="none"/>
          <w:lang w:val="en-US" w:eastAsia="zh-CN"/>
        </w:rPr>
        <w:t>本年度</w:t>
      </w:r>
      <w:r>
        <w:rPr>
          <w:rFonts w:hint="default" w:ascii="Times New Roman" w:hAnsi="Times New Roman" w:eastAsia="方正仿宋_GBK" w:cs="Times New Roman"/>
          <w:color w:val="auto"/>
          <w:sz w:val="32"/>
          <w:szCs w:val="32"/>
          <w:highlight w:val="none"/>
          <w:lang w:eastAsia="zh-CN"/>
        </w:rPr>
        <w:t>退休3人，新招2人，调离1人及本年无新增工程项目。</w:t>
      </w:r>
      <w:bookmarkEnd w:id="33"/>
    </w:p>
    <w:p w14:paraId="130BB090">
      <w:pPr>
        <w:spacing w:line="240" w:lineRule="auto"/>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r>
        <w:rPr>
          <w:rFonts w:hint="default" w:ascii="Times New Roman" w:hAnsi="Times New Roman" w:cs="Times New Roman"/>
        </w:rPr>
        <w:drawing>
          <wp:inline distT="0" distB="0" distL="114300" distR="114300">
            <wp:extent cx="5031105" cy="2581275"/>
            <wp:effectExtent l="4445" t="4445" r="12700" b="508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4BD700">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bCs/>
          <w:lang w:eastAsia="zh-CN"/>
        </w:rPr>
      </w:pPr>
      <w:bookmarkStart w:id="34" w:name="_Toc5494"/>
      <w:bookmarkStart w:id="35" w:name="_Toc15396607"/>
      <w:bookmarkStart w:id="36" w:name="_Toc15377209"/>
      <w:r>
        <w:rPr>
          <w:rFonts w:hint="default" w:ascii="Times New Roman" w:hAnsi="Times New Roman" w:eastAsia="方正黑体_GBK" w:cs="Times New Roman"/>
          <w:b w:val="0"/>
          <w:bCs/>
          <w:lang w:eastAsia="zh-CN"/>
        </w:rPr>
        <w:t>五、一般公共预算财政拨款支出决算情况说明</w:t>
      </w:r>
      <w:bookmarkEnd w:id="34"/>
      <w:bookmarkEnd w:id="35"/>
      <w:bookmarkEnd w:id="36"/>
    </w:p>
    <w:p w14:paraId="298DDD6F">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bookmarkStart w:id="37" w:name="_Toc15377210"/>
      <w:r>
        <w:rPr>
          <w:rFonts w:hint="default" w:ascii="Times New Roman" w:hAnsi="Times New Roman" w:eastAsia="方正楷体_GBK" w:cs="Times New Roman"/>
          <w:b/>
          <w:color w:val="auto"/>
          <w:sz w:val="32"/>
          <w:szCs w:val="32"/>
          <w:highlight w:val="none"/>
        </w:rPr>
        <w:t>（一）一般公共预算财政拨款支出决算总体情况</w:t>
      </w:r>
      <w:bookmarkEnd w:id="37"/>
    </w:p>
    <w:p w14:paraId="5F10E5F0">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仿宋_GB2312" w:cs="Times New Roman"/>
          <w:color w:val="auto"/>
          <w:kern w:val="2"/>
          <w:sz w:val="32"/>
          <w:szCs w:val="32"/>
          <w:highlight w:val="none"/>
          <w:lang w:val="en-US" w:eastAsia="zh-CN" w:bidi="ar-SA"/>
        </w:rPr>
      </w:pPr>
      <w:bookmarkStart w:id="38" w:name="_Toc28673"/>
      <w:r>
        <w:rPr>
          <w:rFonts w:hint="default" w:ascii="Times New Roman" w:hAnsi="Times New Roman" w:eastAsia="方正仿宋_GBK" w:cs="Times New Roman"/>
          <w:color w:val="auto"/>
          <w:sz w:val="32"/>
          <w:szCs w:val="32"/>
          <w:highlight w:val="none"/>
          <w:lang w:val="en-US" w:eastAsia="zh-CN"/>
        </w:rPr>
        <w:t>2024年度一般公共预算财政拨款支出772.97万元，占本年支出合计的100%。与2023年度相比（2023年度823.76万元），一般公共预算财政拨款支出减少50.79万元，下降6.17%。主要变动原因是本年度退休3人，新招2人，调离1人及本年无新增工程项目。</w:t>
      </w:r>
      <w:bookmarkEnd w:id="38"/>
    </w:p>
    <w:p w14:paraId="677293BD">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仿宋_GB2312" w:cs="Times New Roman"/>
          <w:color w:val="auto"/>
          <w:kern w:val="2"/>
          <w:sz w:val="32"/>
          <w:szCs w:val="32"/>
          <w:highlight w:val="none"/>
          <w:lang w:val="en-US" w:eastAsia="zh-CN" w:bidi="ar-SA"/>
        </w:rPr>
      </w:pPr>
      <w:bookmarkStart w:id="39" w:name="_Toc14460"/>
      <w:r>
        <w:rPr>
          <w:rFonts w:hint="default" w:ascii="Times New Roman" w:hAnsi="Times New Roman" w:eastAsia="方正仿宋_GBK" w:cs="Times New Roman"/>
          <w:color w:val="auto"/>
          <w:sz w:val="32"/>
          <w:szCs w:val="32"/>
          <w:highlight w:val="none"/>
          <w:lang w:val="en-US" w:eastAsia="zh-CN"/>
        </w:rPr>
        <w:t>（图5：一般公共预算财政拨款支出决算变动情况）</w:t>
      </w:r>
      <w:bookmarkEnd w:id="39"/>
    </w:p>
    <w:p w14:paraId="4D7DC267">
      <w:pPr>
        <w:pStyle w:val="19"/>
        <w:spacing w:line="240" w:lineRule="auto"/>
        <w:jc w:val="both"/>
        <w:rPr>
          <w:rFonts w:hint="default" w:ascii="Times New Roman" w:hAnsi="Times New Roman" w:eastAsia="楷体_GB2312" w:cs="Times New Roman"/>
          <w:b/>
          <w:color w:val="auto"/>
          <w:sz w:val="32"/>
          <w:szCs w:val="32"/>
          <w:highlight w:val="none"/>
        </w:rPr>
      </w:pPr>
      <w:r>
        <w:rPr>
          <w:rFonts w:hint="default" w:ascii="Times New Roman" w:hAnsi="Times New Roman" w:cs="Times New Roman"/>
        </w:rPr>
        <w:drawing>
          <wp:inline distT="0" distB="0" distL="114300" distR="114300">
            <wp:extent cx="5290185" cy="3904615"/>
            <wp:effectExtent l="5080" t="4445" r="19685" b="1524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40" w:name="_Toc15377211"/>
    </w:p>
    <w:p w14:paraId="29E388B8">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（二）一般公共预算财政拨款支出决算结构情况</w:t>
      </w:r>
      <w:bookmarkEnd w:id="40"/>
    </w:p>
    <w:p w14:paraId="7B6B048B">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仿宋_GB2312" w:cs="Times New Roman"/>
          <w:color w:val="auto"/>
          <w:kern w:val="2"/>
          <w:sz w:val="32"/>
          <w:szCs w:val="32"/>
          <w:highlight w:val="none"/>
          <w:lang w:val="en-US" w:eastAsia="zh-CN" w:bidi="ar-SA"/>
        </w:rPr>
      </w:pPr>
      <w:bookmarkStart w:id="41" w:name="_Toc22119"/>
      <w:r>
        <w:rPr>
          <w:rFonts w:hint="default" w:ascii="Times New Roman" w:hAnsi="Times New Roman" w:eastAsia="方正仿宋_GBK" w:cs="Times New Roman"/>
          <w:color w:val="auto"/>
          <w:sz w:val="32"/>
          <w:szCs w:val="32"/>
          <w:highlight w:val="none"/>
          <w:lang w:val="en-US" w:eastAsia="zh-CN"/>
        </w:rPr>
        <w:t>2024年度一般公共预算财政拨款支出772.97万元，主要用于以下方面：教育支出556.43万元，占71.99%；社会保障和就业支出18.13万元，占18.13%；卫生健康支出40.04万元，占5.18%；住房保障支出36.33万元，占4.7%。</w:t>
      </w:r>
      <w:bookmarkEnd w:id="41"/>
    </w:p>
    <w:p w14:paraId="1C02ED74">
      <w:pPr>
        <w:spacing w:line="24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w:t>
      </w:r>
    </w:p>
    <w:p w14:paraId="460973D8">
      <w:pPr>
        <w:pStyle w:val="19"/>
        <w:spacing w:line="240" w:lineRule="auto"/>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5313045" cy="4185920"/>
            <wp:effectExtent l="4445" t="4445" r="16510" b="1968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B4763D">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bookmarkStart w:id="42" w:name="_Toc15377212"/>
      <w:r>
        <w:rPr>
          <w:rFonts w:hint="default" w:ascii="Times New Roman" w:hAnsi="Times New Roman" w:eastAsia="方正楷体_GBK" w:cs="Times New Roman"/>
          <w:b/>
          <w:color w:val="auto"/>
          <w:sz w:val="32"/>
          <w:szCs w:val="32"/>
          <w:highlight w:val="none"/>
        </w:rPr>
        <w:t>（三）一般公共预算财政拨款支出决算具体情况</w:t>
      </w:r>
      <w:bookmarkEnd w:id="42"/>
    </w:p>
    <w:p w14:paraId="10F8C963">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43" w:name="_Toc15377213"/>
      <w:bookmarkStart w:id="44" w:name="_Toc15377444"/>
      <w:bookmarkStart w:id="45" w:name="_Toc15378460"/>
      <w:bookmarkStart w:id="46" w:name="_Toc22403"/>
      <w:r>
        <w:rPr>
          <w:rFonts w:hint="default" w:ascii="Times New Roman" w:hAnsi="Times New Roman" w:eastAsia="方正仿宋_GBK" w:cs="Times New Roman"/>
          <w:color w:val="auto"/>
          <w:sz w:val="32"/>
          <w:szCs w:val="32"/>
          <w:highlight w:val="none"/>
          <w:lang w:val="en-US" w:eastAsia="zh-CN"/>
        </w:rPr>
        <w:t>2024年度一般公共预算财政拨款支出决算数为772.97，万元完成预算100%。其中：</w:t>
      </w:r>
      <w:bookmarkEnd w:id="43"/>
      <w:bookmarkEnd w:id="44"/>
      <w:bookmarkEnd w:id="45"/>
      <w:bookmarkEnd w:id="46"/>
    </w:p>
    <w:p w14:paraId="478454E7">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47" w:name="_Toc16582"/>
      <w:r>
        <w:rPr>
          <w:rFonts w:hint="default" w:ascii="Times New Roman" w:hAnsi="Times New Roman" w:eastAsia="方正仿宋_GBK" w:cs="Times New Roman"/>
          <w:color w:val="auto"/>
          <w:sz w:val="32"/>
          <w:szCs w:val="32"/>
          <w:highlight w:val="none"/>
          <w:lang w:val="en-US" w:eastAsia="zh-CN"/>
        </w:rPr>
        <w:t>1.教育支出（类）:支出决算数为556.43万元，其中：教育支出（类）普通教育（款）学前教育（项）:支出决算为542.45万元，完成预算100%；教育支出（类）教育费附加安排的支出（款）农村中小学教学设施 （项）:支出决算为13.98万元，完成预算100%。</w:t>
      </w:r>
      <w:bookmarkEnd w:id="47"/>
    </w:p>
    <w:p w14:paraId="0097C940">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48" w:name="_Toc1959"/>
      <w:r>
        <w:rPr>
          <w:rFonts w:hint="default" w:ascii="Times New Roman" w:hAnsi="Times New Roman" w:eastAsia="方正仿宋_GBK" w:cs="Times New Roman"/>
          <w:color w:val="auto"/>
          <w:sz w:val="32"/>
          <w:szCs w:val="32"/>
          <w:highlight w:val="none"/>
          <w:lang w:val="en-US" w:eastAsia="zh-CN"/>
        </w:rPr>
        <w:t>2.社会保障和就业支出（类）支出决算数为:140.17万元，其中：社会保障和就业支出（类）行政事业单位养老支出（款）事业单位离退休（项）支出决算为49.04万元，完成预算100%，社会保障和就业支出（类）行政事业单位养老支出（款）机关事业单位基本养老保险缴费支出（项）:支出决算为48.8万元，完成预算100%。社会保障和就业支出（类）行政事业单位养老支出（款）机关事业单位职业年金缴费支出（项）:支出决算为42.33万元，完成预算100%。</w:t>
      </w:r>
      <w:bookmarkEnd w:id="48"/>
    </w:p>
    <w:p w14:paraId="20014ACD">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49" w:name="_Toc4534"/>
      <w:r>
        <w:rPr>
          <w:rFonts w:hint="default" w:ascii="Times New Roman" w:hAnsi="Times New Roman" w:eastAsia="方正仿宋_GBK" w:cs="Times New Roman"/>
          <w:color w:val="auto"/>
          <w:sz w:val="32"/>
          <w:szCs w:val="32"/>
          <w:highlight w:val="none"/>
          <w:lang w:val="en-US" w:eastAsia="zh-CN"/>
        </w:rPr>
        <w:t>3.卫生健康支出（类）支出决算数为：40.04万元，其中： 卫生健康支出（类）行政事业单位医疗（款）事业单位医疗（项）：支出决算为23.83万元，完成预算100%；卫生健康支出（类）行政事业单位医疗（款）其他行政事业单位医疗支出（项）:支出决算为16.21万元，完成预算100%。</w:t>
      </w:r>
      <w:bookmarkEnd w:id="49"/>
    </w:p>
    <w:p w14:paraId="049246CD">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50" w:name="_Toc25443"/>
      <w:r>
        <w:rPr>
          <w:rFonts w:hint="default" w:ascii="Times New Roman" w:hAnsi="Times New Roman" w:eastAsia="方正仿宋_GBK" w:cs="Times New Roman"/>
          <w:color w:val="auto"/>
          <w:sz w:val="32"/>
          <w:szCs w:val="32"/>
          <w:highlight w:val="none"/>
          <w:lang w:val="en-US" w:eastAsia="zh-CN"/>
        </w:rPr>
        <w:t>4. 住房保障支出（类）住房改革支出（款）住房公积金（项）:支出决算为36.33万元，完成预算100%。</w:t>
      </w:r>
      <w:bookmarkEnd w:id="50"/>
    </w:p>
    <w:p w14:paraId="3E8B4891">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Style w:val="29"/>
          <w:rFonts w:hint="default" w:ascii="Times New Roman" w:hAnsi="Times New Roman" w:cs="Times New Roman"/>
          <w:b/>
          <w:bCs/>
          <w:color w:val="auto"/>
          <w:highlight w:val="none"/>
        </w:rPr>
      </w:pPr>
      <w:bookmarkStart w:id="51" w:name="_Toc15377214"/>
      <w:bookmarkStart w:id="52" w:name="_Toc15396608"/>
      <w:bookmarkStart w:id="53" w:name="_Toc15103"/>
      <w:r>
        <w:rPr>
          <w:rFonts w:hint="default" w:ascii="Times New Roman" w:hAnsi="Times New Roman" w:eastAsia="方正黑体_GBK" w:cs="Times New Roman"/>
          <w:b w:val="0"/>
          <w:bCs/>
          <w:lang w:eastAsia="zh-CN"/>
        </w:rPr>
        <w:t>六、一般公共预算财政拨款基本支出决算情况说明</w:t>
      </w:r>
      <w:bookmarkEnd w:id="51"/>
      <w:bookmarkEnd w:id="52"/>
      <w:bookmarkEnd w:id="53"/>
      <w:r>
        <w:rPr>
          <w:rFonts w:hint="default" w:ascii="Times New Roman" w:hAnsi="Times New Roman" w:eastAsia="方正黑体_GBK" w:cs="Times New Roman"/>
          <w:b w:val="0"/>
          <w:bCs/>
          <w:lang w:eastAsia="zh-CN"/>
        </w:rPr>
        <w:tab/>
      </w:r>
    </w:p>
    <w:p w14:paraId="7A8CA8EC">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577.52</w:t>
      </w:r>
      <w:r>
        <w:rPr>
          <w:rFonts w:hint="default" w:ascii="Times New Roman" w:hAnsi="Times New Roman" w:eastAsia="方正仿宋_GBK" w:cs="Times New Roman"/>
          <w:color w:val="auto"/>
          <w:kern w:val="2"/>
          <w:sz w:val="32"/>
          <w:szCs w:val="32"/>
          <w:highlight w:val="none"/>
          <w:lang w:val="en-US" w:eastAsia="zh-CN" w:bidi="ar-SA"/>
        </w:rPr>
        <w:t>万元，其中：</w:t>
      </w:r>
    </w:p>
    <w:p w14:paraId="19D80205">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540.99</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绩效工资、机关事业单位基本养老保险缴费、职业年金缴费、职工基本医疗保险缴费、其他社会保障缴费、医疗费、其他工资福利支出、住房公积金、生活补助、医疗费补助、奖励金、助学金。</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rPr>
        <w:t>36.53</w:t>
      </w:r>
      <w:r>
        <w:rPr>
          <w:rFonts w:hint="default" w:ascii="Times New Roman" w:hAnsi="Times New Roman" w:eastAsia="方正仿宋_GBK" w:cs="Times New Roman"/>
          <w:color w:val="auto"/>
          <w:kern w:val="2"/>
          <w:sz w:val="32"/>
          <w:szCs w:val="32"/>
          <w:highlight w:val="none"/>
          <w:lang w:val="en-US" w:eastAsia="zh-CN" w:bidi="ar-SA"/>
        </w:rPr>
        <w:t>万元，主要包括：办公费、印刷费、咨水费、电费、邮电费、物业管理费、差旅费、维修（护）费、租赁费、培训费、专用材料费、劳务费、工会经费、福利费、其他商品和服务支出、办公设备购置、专用设备购置。</w:t>
      </w:r>
    </w:p>
    <w:p w14:paraId="47C6A0CD">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bCs/>
          <w:lang w:eastAsia="zh-CN"/>
        </w:rPr>
      </w:pPr>
      <w:bookmarkStart w:id="54" w:name="_Toc15396609"/>
      <w:bookmarkStart w:id="55" w:name="_Toc15377215"/>
      <w:bookmarkStart w:id="56" w:name="_Toc14766"/>
      <w:r>
        <w:rPr>
          <w:rFonts w:hint="default" w:ascii="Times New Roman" w:hAnsi="Times New Roman" w:eastAsia="方正黑体_GBK" w:cs="Times New Roman"/>
          <w:b w:val="0"/>
          <w:bCs/>
          <w:lang w:eastAsia="zh-CN"/>
        </w:rPr>
        <w:t>七、财政拨款“三公”经费支出决算情况说明</w:t>
      </w:r>
      <w:bookmarkEnd w:id="54"/>
      <w:bookmarkEnd w:id="55"/>
      <w:bookmarkEnd w:id="56"/>
    </w:p>
    <w:p w14:paraId="1FC5D70B">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bookmarkStart w:id="57" w:name="_Toc15377216"/>
      <w:r>
        <w:rPr>
          <w:rFonts w:hint="default" w:ascii="Times New Roman" w:hAnsi="Times New Roman" w:eastAsia="方正楷体_GBK" w:cs="Times New Roman"/>
          <w:b/>
          <w:color w:val="auto"/>
          <w:sz w:val="32"/>
          <w:szCs w:val="32"/>
          <w:highlight w:val="none"/>
        </w:rPr>
        <w:t>（一）“三公”经费财政拨款支出决算总体情况说明</w:t>
      </w:r>
      <w:bookmarkEnd w:id="57"/>
    </w:p>
    <w:p w14:paraId="4058B496">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2024年度“三公”经费财政拨款支出决算为0万元，完成预算0%，与2023年决算数持平。</w:t>
      </w:r>
    </w:p>
    <w:p w14:paraId="07103C09">
      <w:pPr>
        <w:spacing w:line="240" w:lineRule="auto"/>
        <w:ind w:firstLine="643" w:firstLineChars="200"/>
        <w:outlineLvl w:val="2"/>
        <w:rPr>
          <w:rFonts w:hint="default" w:ascii="Times New Roman" w:hAnsi="Times New Roman" w:eastAsia="方正楷体_GBK" w:cs="Times New Roman"/>
          <w:b/>
          <w:color w:val="auto"/>
          <w:sz w:val="32"/>
          <w:szCs w:val="32"/>
          <w:highlight w:val="none"/>
        </w:rPr>
      </w:pPr>
      <w:bookmarkStart w:id="58"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58"/>
    </w:p>
    <w:p w14:paraId="1C093E03">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14:paraId="3D12B9B6">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1.因公出国（境）经费支出0万元，完成预算0%。全年安排因公出国（境）团组0次，出国（境）0人。因公出国（境）支出决算与2023年决算数持平。</w:t>
      </w:r>
    </w:p>
    <w:p w14:paraId="4A72C2D6">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2.公务用车购置及运行维护费支出0万元，完成预算0%。公务用车购置及运行维护费支出决算与2023年决算数持平。</w:t>
      </w:r>
    </w:p>
    <w:p w14:paraId="6853C853">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3A2C783A">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公务用车运行维护费支出0万元。</w:t>
      </w:r>
    </w:p>
    <w:p w14:paraId="03ED8017">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3.公务接待费支出0万元，完成预算0%。公务接待费支出决算与2023年决算数持平。其中：</w:t>
      </w:r>
    </w:p>
    <w:p w14:paraId="5ADE4A94">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国内公务接待支出0万元，国内公务接待0批次，0人次（不包括陪同人员），共计支出0万元。</w:t>
      </w:r>
    </w:p>
    <w:p w14:paraId="2E5C0F07">
      <w:pPr>
        <w:spacing w:line="240" w:lineRule="auto"/>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外事接待支出0万元。外事接待0批次，0人次（不包括陪同人员），共计支出0万元。</w:t>
      </w:r>
      <w:bookmarkStart w:id="59" w:name="_Toc15377218"/>
      <w:bookmarkStart w:id="60" w:name="_Toc15396610"/>
    </w:p>
    <w:p w14:paraId="005DFCA1">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bCs/>
          <w:lang w:eastAsia="zh-CN"/>
        </w:rPr>
      </w:pPr>
      <w:bookmarkStart w:id="61" w:name="_Toc10951"/>
      <w:r>
        <w:rPr>
          <w:rFonts w:hint="default" w:ascii="Times New Roman" w:hAnsi="Times New Roman" w:eastAsia="方正黑体_GBK" w:cs="Times New Roman"/>
          <w:b w:val="0"/>
          <w:bCs/>
          <w:lang w:eastAsia="zh-CN"/>
        </w:rPr>
        <w:t>八、政府性基金预算支出决算情况说明</w:t>
      </w:r>
      <w:bookmarkEnd w:id="59"/>
      <w:bookmarkEnd w:id="60"/>
      <w:bookmarkEnd w:id="61"/>
    </w:p>
    <w:p w14:paraId="56559D9C">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2024年度政府性基金预算财政拨款支出0万元，占本年支出合计的0%。与2023年度相比，政府性基金预算财政拨款支出与2023年决算数持平。</w:t>
      </w:r>
    </w:p>
    <w:p w14:paraId="7553C396">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bCs/>
          <w:lang w:eastAsia="zh-CN"/>
        </w:rPr>
      </w:pPr>
      <w:bookmarkStart w:id="62" w:name="_Toc22269"/>
      <w:bookmarkStart w:id="63" w:name="_Toc15377219"/>
      <w:bookmarkStart w:id="64" w:name="_Toc15396611"/>
      <w:r>
        <w:rPr>
          <w:rFonts w:hint="default" w:ascii="Times New Roman" w:hAnsi="Times New Roman" w:eastAsia="方正黑体_GBK" w:cs="Times New Roman"/>
          <w:b w:val="0"/>
          <w:bCs/>
          <w:lang w:eastAsia="zh-CN"/>
        </w:rPr>
        <w:t>九、国有资本经营预算支出决算情况说明</w:t>
      </w:r>
      <w:bookmarkEnd w:id="62"/>
      <w:bookmarkEnd w:id="63"/>
      <w:bookmarkEnd w:id="64"/>
    </w:p>
    <w:p w14:paraId="5A816FAC">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2024年度国有资本经营预算财政拨款支出0万元，占本年支出合计的0%。与2023年决算数持平。</w:t>
      </w:r>
    </w:p>
    <w:p w14:paraId="2037CB8C">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bCs/>
          <w:lang w:eastAsia="zh-CN"/>
        </w:rPr>
      </w:pPr>
      <w:bookmarkStart w:id="65" w:name="_Toc15377221"/>
      <w:bookmarkStart w:id="66" w:name="_Toc16136"/>
      <w:bookmarkStart w:id="67" w:name="_Toc15396612"/>
      <w:r>
        <w:rPr>
          <w:rFonts w:hint="default" w:ascii="Times New Roman" w:hAnsi="Times New Roman" w:eastAsia="方正黑体_GBK" w:cs="Times New Roman"/>
          <w:b w:val="0"/>
          <w:bCs/>
          <w:lang w:eastAsia="zh-CN"/>
        </w:rPr>
        <w:t>十、其他重要事项的情况说明</w:t>
      </w:r>
      <w:bookmarkEnd w:id="65"/>
      <w:bookmarkEnd w:id="66"/>
      <w:bookmarkEnd w:id="67"/>
    </w:p>
    <w:p w14:paraId="355D257B">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bookmarkStart w:id="68" w:name="_Toc15377222"/>
      <w:r>
        <w:rPr>
          <w:rFonts w:hint="default" w:ascii="Times New Roman" w:hAnsi="Times New Roman" w:eastAsia="楷体_GB2312" w:cs="Times New Roman"/>
          <w:b/>
          <w:color w:val="auto"/>
          <w:sz w:val="32"/>
          <w:szCs w:val="32"/>
          <w:highlight w:val="none"/>
        </w:rPr>
        <w:t>（一）机关运行经费支出情况</w:t>
      </w:r>
      <w:bookmarkEnd w:id="68"/>
    </w:p>
    <w:p w14:paraId="424DAAEC">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2024年度，盐边县幼儿园机关运行经费支出0万元，与2023年度决算数持平。</w:t>
      </w:r>
    </w:p>
    <w:p w14:paraId="1E545D5F">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bookmarkStart w:id="69" w:name="_Toc15377223"/>
      <w:r>
        <w:rPr>
          <w:rFonts w:hint="default" w:ascii="Times New Roman" w:hAnsi="Times New Roman" w:eastAsia="楷体_GB2312" w:cs="Times New Roman"/>
          <w:b/>
          <w:color w:val="auto"/>
          <w:sz w:val="32"/>
          <w:szCs w:val="32"/>
          <w:highlight w:val="none"/>
        </w:rPr>
        <w:t>（二）政府采购支出情况</w:t>
      </w:r>
      <w:bookmarkEnd w:id="69"/>
    </w:p>
    <w:p w14:paraId="271F9F10">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盐边县幼儿园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CBF99B3">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bookmarkStart w:id="70" w:name="_Toc15377224"/>
      <w:r>
        <w:rPr>
          <w:rFonts w:hint="default" w:ascii="Times New Roman" w:hAnsi="Times New Roman" w:eastAsia="楷体_GB2312" w:cs="Times New Roman"/>
          <w:b/>
          <w:color w:val="auto"/>
          <w:sz w:val="32"/>
          <w:szCs w:val="32"/>
          <w:highlight w:val="none"/>
        </w:rPr>
        <w:t>（三）国有资产占有使用情况</w:t>
      </w:r>
      <w:bookmarkEnd w:id="70"/>
    </w:p>
    <w:p w14:paraId="7CEC9E90">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截至2024年12月31日，盐边县幼儿园共有车辆0辆，其中：主要负责人用车0辆、机要通信用车0辆、应急保障用车0辆、其他用车0辆。单价100万元（含）以上设备（不含车辆）0台（套）。</w:t>
      </w:r>
    </w:p>
    <w:p w14:paraId="67ACD176">
      <w:pPr>
        <w:spacing w:line="240" w:lineRule="auto"/>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73976D65">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盐边县幼儿园在2024年度预算编制阶段，组织对幼儿园维修维护及教学用品及设备购置，幼儿园创建设备采购及环境提升，幼儿园保教费减免，盐边县幼儿园校舍维修改造4个项目开展了预算事前绩效评估，对4个项目编制了绩效目标，预算执行过程中，选取4个项目开展绩效监控。组织对5个项目开展绩效自评，绩效自评表详见第四部分附件。</w:t>
      </w:r>
    </w:p>
    <w:p w14:paraId="1648806F">
      <w:pPr>
        <w:spacing w:line="240" w:lineRule="auto"/>
        <w:rPr>
          <w:rFonts w:hint="default" w:ascii="Times New Roman" w:hAnsi="Times New Roman" w:eastAsia="仿宋_GB2312" w:cs="Times New Roman"/>
          <w:color w:val="auto"/>
          <w:kern w:val="2"/>
          <w:sz w:val="32"/>
          <w:szCs w:val="32"/>
          <w:highlight w:val="none"/>
          <w:lang w:val="en-US" w:eastAsia="zh-CN" w:bidi="ar-SA"/>
        </w:rPr>
      </w:pPr>
    </w:p>
    <w:p w14:paraId="7FC05418">
      <w:pPr>
        <w:pStyle w:val="19"/>
        <w:rPr>
          <w:rFonts w:hint="default" w:ascii="Times New Roman" w:hAnsi="Times New Roman" w:eastAsia="黑体" w:cs="Times New Roman"/>
          <w:color w:val="000000"/>
          <w:kern w:val="2"/>
          <w:sz w:val="44"/>
          <w:lang w:val="zh-CN"/>
        </w:rPr>
      </w:pPr>
    </w:p>
    <w:p w14:paraId="43FD5BE1">
      <w:pPr>
        <w:rPr>
          <w:rFonts w:hint="default" w:ascii="Times New Roman" w:hAnsi="Times New Roman" w:eastAsia="黑体" w:cs="Times New Roman"/>
          <w:color w:val="000000"/>
          <w:kern w:val="2"/>
          <w:sz w:val="44"/>
          <w:lang w:val="zh-CN"/>
        </w:rPr>
      </w:pPr>
    </w:p>
    <w:p w14:paraId="4C0B8381">
      <w:pPr>
        <w:rPr>
          <w:rFonts w:hint="default" w:ascii="Times New Roman" w:hAnsi="Times New Roman" w:eastAsia="黑体" w:cs="Times New Roman"/>
          <w:color w:val="000000"/>
          <w:kern w:val="2"/>
          <w:sz w:val="44"/>
          <w:lang w:val="zh-CN"/>
        </w:rPr>
      </w:pPr>
      <w:r>
        <w:rPr>
          <w:rFonts w:hint="default" w:ascii="Times New Roman" w:hAnsi="Times New Roman" w:eastAsia="黑体" w:cs="Times New Roman"/>
          <w:color w:val="000000"/>
          <w:kern w:val="2"/>
          <w:sz w:val="44"/>
          <w:lang w:val="zh-CN"/>
        </w:rPr>
        <w:br w:type="page"/>
      </w:r>
    </w:p>
    <w:p w14:paraId="74B8CB83">
      <w:pPr>
        <w:pStyle w:val="3"/>
        <w:spacing w:line="240" w:lineRule="auto"/>
        <w:jc w:val="center"/>
        <w:rPr>
          <w:rFonts w:hint="default" w:ascii="Times New Roman" w:hAnsi="Times New Roman" w:eastAsia="方正小标宋_GBK" w:cs="Times New Roman"/>
          <w:b w:val="0"/>
          <w:sz w:val="44"/>
          <w:szCs w:val="44"/>
          <w:lang w:val="zh-CN"/>
        </w:rPr>
      </w:pPr>
      <w:bookmarkStart w:id="71" w:name="_Toc16210"/>
      <w:r>
        <w:rPr>
          <w:rFonts w:hint="default" w:ascii="Times New Roman" w:hAnsi="Times New Roman" w:eastAsia="方正小标宋_GBK" w:cs="Times New Roman"/>
          <w:b w:val="0"/>
          <w:sz w:val="44"/>
          <w:szCs w:val="44"/>
          <w:lang w:val="zh-CN"/>
        </w:rPr>
        <w:t>第三部分 名词解释</w:t>
      </w:r>
      <w:bookmarkEnd w:id="71"/>
    </w:p>
    <w:p w14:paraId="31BF08FC">
      <w:pPr>
        <w:pStyle w:val="26"/>
        <w:spacing w:beforeLines="0" w:afterLines="0" w:line="240" w:lineRule="auto"/>
        <w:ind w:firstLine="640" w:firstLineChars="200"/>
        <w:rPr>
          <w:rFonts w:hint="default" w:ascii="Times New Roman" w:hAnsi="Times New Roman" w:eastAsia="方正仿宋_GBK" w:cs="Times New Roman"/>
          <w:color w:val="auto"/>
          <w:sz w:val="32"/>
        </w:rPr>
      </w:pPr>
      <w:bookmarkStart w:id="72" w:name="_Toc15396618"/>
      <w:bookmarkStart w:id="73" w:name="_Toc15377226"/>
      <w:r>
        <w:rPr>
          <w:rFonts w:hint="default" w:ascii="Times New Roman" w:hAnsi="Times New Roman" w:eastAsia="方正仿宋_GBK" w:cs="Times New Roman"/>
          <w:color w:val="auto"/>
          <w:sz w:val="32"/>
        </w:rPr>
        <w:t>1.财政拨款收入：指单位从同级财政部门取得的财政预算资金。</w:t>
      </w:r>
    </w:p>
    <w:p w14:paraId="731E8864">
      <w:pPr>
        <w:pStyle w:val="26"/>
        <w:spacing w:beforeLines="0" w:afterLines="0" w:line="240" w:lineRule="auto"/>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2.事业收入：指事业单位开展专业业务活动及辅助活动取得的收入。</w:t>
      </w:r>
    </w:p>
    <w:p w14:paraId="2B6D11A0">
      <w:pPr>
        <w:pStyle w:val="26"/>
        <w:spacing w:beforeLines="0" w:afterLines="0" w:line="240" w:lineRule="auto"/>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3.经营收入：指事业单位在专业业务活动及其辅助活动之外开展非独立核算经营活动取得的收入。</w:t>
      </w:r>
    </w:p>
    <w:p w14:paraId="6A91AC3A">
      <w:pPr>
        <w:pStyle w:val="26"/>
        <w:spacing w:beforeLines="0" w:afterLines="0" w:line="240" w:lineRule="auto"/>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4.其他收入：指单位取得的除上述收入以外的各项收入。</w:t>
      </w:r>
    </w:p>
    <w:p w14:paraId="02F902F4">
      <w:pPr>
        <w:pStyle w:val="26"/>
        <w:spacing w:beforeLines="0" w:afterLines="0" w:line="240" w:lineRule="auto"/>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5.使用非财政拨款结余：指事业单位使用以前年度积累的非财政拨款结余弥补当年收支差额的金额。</w:t>
      </w:r>
    </w:p>
    <w:p w14:paraId="26AAF0F6">
      <w:pPr>
        <w:pStyle w:val="26"/>
        <w:spacing w:beforeLines="0" w:afterLines="0" w:line="240" w:lineRule="auto"/>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6.年初结转和结余：指以前年度尚未完成、结转到本年按有关规定继续使用的资金。</w:t>
      </w:r>
    </w:p>
    <w:p w14:paraId="79EEB0FC">
      <w:pPr>
        <w:pStyle w:val="26"/>
        <w:spacing w:beforeLines="0" w:afterLines="0" w:line="240" w:lineRule="auto"/>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7.结余分配：指事业单位按照会计制度规定缴纳的所得税、提取的专用结余以及转入非财政拨款结余的金额等。</w:t>
      </w:r>
    </w:p>
    <w:p w14:paraId="3FD8447C">
      <w:pPr>
        <w:pStyle w:val="26"/>
        <w:spacing w:beforeLines="0" w:afterLines="0" w:line="240" w:lineRule="auto"/>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8.年末结转和结余：指单位按有关规定结转到下年或以后年度继续使用的资金。</w:t>
      </w:r>
    </w:p>
    <w:p w14:paraId="09974697">
      <w:pPr>
        <w:spacing w:beforeLines="0" w:afterLines="0" w:line="240" w:lineRule="auto"/>
        <w:ind w:firstLine="627" w:firstLineChars="196"/>
        <w:rPr>
          <w:rFonts w:hint="default" w:ascii="Times New Roman" w:hAnsi="Times New Roman" w:eastAsia="方正仿宋_GBK" w:cs="Times New Roman"/>
          <w:color w:val="000000"/>
          <w:sz w:val="32"/>
          <w:lang w:val="zh-CN"/>
        </w:rPr>
      </w:pPr>
      <w:r>
        <w:rPr>
          <w:rFonts w:hint="default" w:ascii="Times New Roman" w:hAnsi="Times New Roman" w:eastAsia="方正仿宋_GBK" w:cs="Times New Roman"/>
          <w:sz w:val="32"/>
        </w:rPr>
        <w:t>9.</w:t>
      </w:r>
      <w:r>
        <w:rPr>
          <w:rFonts w:hint="default" w:ascii="Times New Roman" w:hAnsi="Times New Roman" w:eastAsia="方正仿宋_GBK" w:cs="Times New Roman"/>
          <w:color w:val="000000"/>
          <w:sz w:val="32"/>
          <w:lang w:val="zh-CN"/>
        </w:rPr>
        <w:t xml:space="preserve"> </w:t>
      </w:r>
      <w:r>
        <w:rPr>
          <w:rStyle w:val="17"/>
          <w:rFonts w:hint="default" w:ascii="Times New Roman" w:hAnsi="Times New Roman" w:eastAsia="方正仿宋_GBK" w:cs="Times New Roman"/>
          <w:b w:val="0"/>
          <w:sz w:val="32"/>
        </w:rPr>
        <w:t>教育支出（类）普通教育（款）学前教育</w:t>
      </w:r>
      <w:r>
        <w:rPr>
          <w:rFonts w:hint="default" w:ascii="Times New Roman" w:hAnsi="Times New Roman" w:eastAsia="方正仿宋_GBK" w:cs="Times New Roman"/>
          <w:color w:val="000000"/>
          <w:sz w:val="32"/>
          <w:lang w:val="zh-CN"/>
        </w:rPr>
        <w:t>（项）：反映各部门举办的学前教育支出。</w:t>
      </w:r>
    </w:p>
    <w:p w14:paraId="41517A21">
      <w:pPr>
        <w:spacing w:beforeLines="0" w:afterLines="0" w:line="240" w:lineRule="auto"/>
        <w:ind w:firstLine="627" w:firstLineChars="196"/>
        <w:rPr>
          <w:rStyle w:val="17"/>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color w:val="000000"/>
          <w:sz w:val="32"/>
          <w:lang w:val="zh-CN"/>
        </w:rPr>
        <w:t>10.</w:t>
      </w:r>
      <w:r>
        <w:rPr>
          <w:rStyle w:val="17"/>
          <w:rFonts w:hint="default" w:ascii="Times New Roman" w:hAnsi="Times New Roman" w:eastAsia="方正仿宋_GBK" w:cs="Times New Roman"/>
          <w:b w:val="0"/>
          <w:sz w:val="32"/>
        </w:rPr>
        <w:t>教育支出（类）教育费附</w:t>
      </w:r>
      <w:r>
        <w:rPr>
          <w:rFonts w:hint="default" w:ascii="Times New Roman" w:hAnsi="Times New Roman" w:eastAsia="方正仿宋_GBK" w:cs="Times New Roman"/>
          <w:color w:val="000000"/>
          <w:sz w:val="32"/>
          <w:lang w:val="zh-CN"/>
        </w:rPr>
        <w:t>加安排的支出（款）农村中小学教学设施（项）：反映教育费附加安排</w:t>
      </w:r>
      <w:r>
        <w:rPr>
          <w:rFonts w:hint="default" w:ascii="Times New Roman" w:hAnsi="Times New Roman" w:eastAsia="方正仿宋_GBK" w:cs="Times New Roman"/>
          <w:color w:val="000000"/>
          <w:sz w:val="32"/>
          <w:lang w:val="en-US" w:eastAsia="zh-CN"/>
        </w:rPr>
        <w:t>用于改善农村中小学教学设施和办学条件的支出。</w:t>
      </w:r>
    </w:p>
    <w:p w14:paraId="68D5BFEC">
      <w:pPr>
        <w:spacing w:beforeLines="0" w:afterLines="0" w:line="240" w:lineRule="auto"/>
        <w:ind w:firstLine="627" w:firstLineChars="196"/>
        <w:rPr>
          <w:rFonts w:hint="default" w:ascii="Times New Roman" w:hAnsi="Times New Roman" w:eastAsia="方正仿宋_GBK" w:cs="Times New Roman"/>
          <w:lang w:val="zh-CN"/>
        </w:rPr>
      </w:pPr>
      <w:r>
        <w:rPr>
          <w:rStyle w:val="17"/>
          <w:rFonts w:hint="default" w:ascii="Times New Roman" w:hAnsi="Times New Roman" w:eastAsia="方正仿宋_GBK" w:cs="Times New Roman"/>
          <w:b w:val="0"/>
          <w:sz w:val="32"/>
          <w:lang w:val="en-US" w:eastAsia="zh-CN"/>
        </w:rPr>
        <w:t>11</w:t>
      </w:r>
      <w:r>
        <w:rPr>
          <w:rFonts w:hint="default" w:ascii="Times New Roman" w:hAnsi="Times New Roman" w:eastAsia="方正仿宋_GBK" w:cs="Times New Roman"/>
          <w:b w:val="0"/>
          <w:bCs/>
          <w:color w:val="000000"/>
          <w:sz w:val="32"/>
          <w:lang w:val="en-US" w:eastAsia="zh-CN"/>
        </w:rPr>
        <w:t>.</w:t>
      </w:r>
      <w:r>
        <w:rPr>
          <w:rStyle w:val="17"/>
          <w:rFonts w:hint="default" w:ascii="Times New Roman" w:hAnsi="Times New Roman" w:eastAsia="方正仿宋_GBK" w:cs="Times New Roman"/>
          <w:b w:val="0"/>
          <w:sz w:val="32"/>
        </w:rPr>
        <w:t>教育支出（类）教育费附加安排的支出（款）其他教育费附加安排的支出</w:t>
      </w:r>
      <w:r>
        <w:rPr>
          <w:rFonts w:hint="default" w:ascii="Times New Roman" w:hAnsi="Times New Roman" w:eastAsia="方正仿宋_GBK" w:cs="Times New Roman"/>
          <w:color w:val="000000"/>
          <w:sz w:val="32"/>
          <w:lang w:val="zh-CN"/>
        </w:rPr>
        <w:t>（项）：反映</w:t>
      </w:r>
      <w:r>
        <w:rPr>
          <w:rFonts w:hint="default" w:ascii="Times New Roman" w:hAnsi="Times New Roman" w:eastAsia="方正仿宋_GBK" w:cs="Times New Roman"/>
          <w:color w:val="000000"/>
          <w:sz w:val="32"/>
          <w:lang w:val="en-US" w:eastAsia="zh-CN"/>
        </w:rPr>
        <w:t>除上述项目以外的教育附加支出。</w:t>
      </w:r>
    </w:p>
    <w:p w14:paraId="3A836BB5">
      <w:pPr>
        <w:spacing w:beforeLines="0" w:afterLines="0" w:line="240" w:lineRule="auto"/>
        <w:ind w:firstLine="627" w:firstLineChars="196"/>
        <w:rPr>
          <w:rFonts w:hint="default" w:ascii="Times New Roman" w:hAnsi="Times New Roman" w:eastAsia="方正仿宋_GBK" w:cs="Times New Roman"/>
          <w:color w:val="000000"/>
          <w:sz w:val="32"/>
          <w:lang w:val="zh-CN"/>
        </w:rPr>
      </w:pPr>
      <w:r>
        <w:rPr>
          <w:rFonts w:hint="default" w:ascii="Times New Roman" w:hAnsi="Times New Roman" w:eastAsia="方正仿宋_GBK" w:cs="Times New Roman"/>
          <w:color w:val="000000"/>
          <w:sz w:val="32"/>
          <w:lang w:val="zh-CN"/>
        </w:rPr>
        <w:t>1</w:t>
      </w:r>
      <w:r>
        <w:rPr>
          <w:rFonts w:hint="default" w:ascii="Times New Roman" w:hAnsi="Times New Roman" w:eastAsia="方正仿宋_GBK" w:cs="Times New Roman"/>
          <w:color w:val="000000"/>
          <w:sz w:val="32"/>
          <w:lang w:val="en-US" w:eastAsia="zh-CN"/>
        </w:rPr>
        <w:t>2</w:t>
      </w:r>
      <w:r>
        <w:rPr>
          <w:rFonts w:hint="default" w:ascii="Times New Roman" w:hAnsi="Times New Roman" w:eastAsia="方正仿宋_GBK" w:cs="Times New Roman"/>
          <w:color w:val="000000"/>
          <w:sz w:val="32"/>
          <w:lang w:val="zh-CN"/>
        </w:rPr>
        <w:t>.社会保障和就业（类）</w:t>
      </w:r>
      <w:r>
        <w:rPr>
          <w:rStyle w:val="17"/>
          <w:rFonts w:hint="default" w:ascii="Times New Roman" w:hAnsi="Times New Roman" w:eastAsia="方正仿宋_GBK" w:cs="Times New Roman"/>
          <w:b w:val="0"/>
          <w:sz w:val="32"/>
        </w:rPr>
        <w:t>行政事业单位养老支出</w:t>
      </w:r>
      <w:r>
        <w:rPr>
          <w:rFonts w:hint="default" w:ascii="Times New Roman" w:hAnsi="Times New Roman" w:eastAsia="方正仿宋_GBK" w:cs="Times New Roman"/>
          <w:color w:val="000000"/>
          <w:sz w:val="32"/>
          <w:lang w:val="zh-CN"/>
        </w:rPr>
        <w:t>（款）事业单位离退休费（项）：反映事业单位开支的离退休经费。</w:t>
      </w:r>
    </w:p>
    <w:p w14:paraId="6072E893">
      <w:pPr>
        <w:tabs>
          <w:tab w:val="left" w:pos="315"/>
        </w:tabs>
        <w:spacing w:beforeLines="0" w:afterLines="0" w:line="240" w:lineRule="auto"/>
        <w:ind w:firstLine="627" w:firstLineChars="196"/>
        <w:rPr>
          <w:rFonts w:hint="default" w:ascii="Times New Roman" w:hAnsi="Times New Roman" w:eastAsia="方正仿宋_GBK" w:cs="Times New Roman"/>
          <w:color w:val="000000"/>
          <w:sz w:val="32"/>
          <w:lang w:val="zh-CN"/>
        </w:rPr>
      </w:pPr>
      <w:r>
        <w:rPr>
          <w:rFonts w:hint="default" w:ascii="Times New Roman" w:hAnsi="Times New Roman" w:eastAsia="方正仿宋_GBK" w:cs="Times New Roman"/>
          <w:color w:val="000000"/>
          <w:sz w:val="32"/>
          <w:lang w:val="zh-CN"/>
        </w:rPr>
        <w:t>1</w:t>
      </w:r>
      <w:r>
        <w:rPr>
          <w:rFonts w:hint="default" w:ascii="Times New Roman" w:hAnsi="Times New Roman" w:eastAsia="方正仿宋_GBK" w:cs="Times New Roman"/>
          <w:color w:val="000000"/>
          <w:sz w:val="32"/>
          <w:lang w:val="en-US" w:eastAsia="zh-CN"/>
        </w:rPr>
        <w:t>3</w:t>
      </w:r>
      <w:r>
        <w:rPr>
          <w:rFonts w:hint="default" w:ascii="Times New Roman" w:hAnsi="Times New Roman" w:eastAsia="方正仿宋_GBK" w:cs="Times New Roman"/>
          <w:color w:val="000000"/>
          <w:sz w:val="32"/>
          <w:lang w:val="zh-CN"/>
        </w:rPr>
        <w:t>.社会保障和就业（类）</w:t>
      </w:r>
      <w:r>
        <w:rPr>
          <w:rStyle w:val="17"/>
          <w:rFonts w:hint="default" w:ascii="Times New Roman" w:hAnsi="Times New Roman" w:eastAsia="方正仿宋_GBK" w:cs="Times New Roman"/>
          <w:b w:val="0"/>
          <w:sz w:val="32"/>
        </w:rPr>
        <w:t>行政事业单位养老支出</w:t>
      </w:r>
      <w:r>
        <w:rPr>
          <w:rFonts w:hint="default" w:ascii="Times New Roman" w:hAnsi="Times New Roman" w:eastAsia="方正仿宋_GBK" w:cs="Times New Roman"/>
          <w:color w:val="000000"/>
          <w:sz w:val="32"/>
          <w:lang w:val="zh-CN"/>
        </w:rPr>
        <w:t>（款）机关事业单位</w:t>
      </w:r>
      <w:r>
        <w:rPr>
          <w:rFonts w:hint="default" w:ascii="Times New Roman" w:hAnsi="Times New Roman" w:eastAsia="方正仿宋_GBK" w:cs="Times New Roman"/>
          <w:color w:val="000000"/>
          <w:sz w:val="32"/>
          <w:lang w:val="en-US" w:eastAsia="zh-CN"/>
        </w:rPr>
        <w:t>基本</w:t>
      </w:r>
      <w:r>
        <w:rPr>
          <w:rFonts w:hint="default" w:ascii="Times New Roman" w:hAnsi="Times New Roman" w:eastAsia="方正仿宋_GBK" w:cs="Times New Roman"/>
          <w:color w:val="000000"/>
          <w:sz w:val="32"/>
          <w:lang w:val="zh-CN"/>
        </w:rPr>
        <w:t>养老保险缴费支出（项）：反映机关事业单位实施养老保险制度由单位缴纳的基本养老保险费支出。</w:t>
      </w:r>
    </w:p>
    <w:p w14:paraId="4457F2E3">
      <w:pPr>
        <w:spacing w:beforeLines="0" w:afterLines="0" w:line="240" w:lineRule="auto"/>
        <w:ind w:firstLine="707" w:firstLineChars="221"/>
        <w:rPr>
          <w:rStyle w:val="17"/>
          <w:rFonts w:hint="default" w:ascii="Times New Roman" w:hAnsi="Times New Roman" w:eastAsia="方正仿宋_GBK" w:cs="Times New Roman"/>
          <w:b w:val="0"/>
          <w:sz w:val="32"/>
        </w:rPr>
      </w:pPr>
      <w:r>
        <w:rPr>
          <w:rStyle w:val="17"/>
          <w:rFonts w:hint="default" w:ascii="Times New Roman" w:hAnsi="Times New Roman" w:eastAsia="方正仿宋_GBK" w:cs="Times New Roman"/>
          <w:b w:val="0"/>
          <w:sz w:val="32"/>
        </w:rPr>
        <w:t>1</w:t>
      </w:r>
      <w:r>
        <w:rPr>
          <w:rStyle w:val="17"/>
          <w:rFonts w:hint="default" w:ascii="Times New Roman" w:hAnsi="Times New Roman" w:eastAsia="方正仿宋_GBK" w:cs="Times New Roman"/>
          <w:b w:val="0"/>
          <w:sz w:val="32"/>
          <w:lang w:val="en-US" w:eastAsia="zh-CN"/>
        </w:rPr>
        <w:t>4</w:t>
      </w:r>
      <w:r>
        <w:rPr>
          <w:rStyle w:val="17"/>
          <w:rFonts w:hint="default" w:ascii="Times New Roman" w:hAnsi="Times New Roman" w:eastAsia="方正仿宋_GBK" w:cs="Times New Roman"/>
          <w:b w:val="0"/>
          <w:sz w:val="32"/>
        </w:rPr>
        <w:t>.社会保障和就业（类）行政事业单位养老支出（款）机关事业单位职业年金缴费支出（项）:反映机关事业单位实施养老保险制度由单位实际缴纳的职业年金支出。</w:t>
      </w:r>
    </w:p>
    <w:p w14:paraId="4BEB44EB">
      <w:pPr>
        <w:spacing w:beforeLines="0" w:afterLines="0" w:line="240" w:lineRule="auto"/>
        <w:ind w:firstLine="627" w:firstLineChars="196"/>
        <w:rPr>
          <w:rFonts w:hint="default" w:ascii="Times New Roman" w:hAnsi="Times New Roman" w:eastAsia="方正仿宋_GBK" w:cs="Times New Roman"/>
          <w:color w:val="000000"/>
          <w:sz w:val="32"/>
          <w:lang w:val="zh-CN"/>
        </w:rPr>
      </w:pPr>
      <w:r>
        <w:rPr>
          <w:rFonts w:hint="default" w:ascii="Times New Roman" w:hAnsi="Times New Roman" w:eastAsia="方正仿宋_GBK" w:cs="Times New Roman"/>
          <w:color w:val="000000"/>
          <w:sz w:val="32"/>
          <w:lang w:val="zh-CN"/>
        </w:rPr>
        <w:t>1</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lang w:val="zh-CN"/>
        </w:rPr>
        <w:t>.卫生健康（类）</w:t>
      </w:r>
      <w:r>
        <w:rPr>
          <w:rStyle w:val="17"/>
          <w:rFonts w:hint="default" w:ascii="Times New Roman" w:hAnsi="Times New Roman" w:eastAsia="方正仿宋_GBK" w:cs="Times New Roman"/>
          <w:b w:val="0"/>
          <w:sz w:val="32"/>
        </w:rPr>
        <w:t>行政事业单位医疗</w:t>
      </w:r>
      <w:r>
        <w:rPr>
          <w:rFonts w:hint="default" w:ascii="Times New Roman" w:hAnsi="Times New Roman" w:eastAsia="方正仿宋_GBK" w:cs="Times New Roman"/>
          <w:color w:val="000000"/>
          <w:sz w:val="32"/>
          <w:lang w:val="zh-CN"/>
        </w:rPr>
        <w:t>（款）</w:t>
      </w:r>
      <w:r>
        <w:rPr>
          <w:rStyle w:val="17"/>
          <w:rFonts w:hint="default" w:ascii="Times New Roman" w:hAnsi="Times New Roman" w:eastAsia="方正仿宋_GBK" w:cs="Times New Roman"/>
          <w:b w:val="0"/>
          <w:sz w:val="32"/>
        </w:rPr>
        <w:t>事业单位医疗</w:t>
      </w:r>
      <w:r>
        <w:rPr>
          <w:rFonts w:hint="default" w:ascii="Times New Roman" w:hAnsi="Times New Roman" w:eastAsia="方正仿宋_GBK" w:cs="Times New Roman"/>
          <w:color w:val="000000"/>
          <w:sz w:val="32"/>
          <w:lang w:val="zh-CN"/>
        </w:rPr>
        <w:t>（项）：反映财政部门安排的事业单位基本医疗保险缴费经费，未参加医疗保险的事业单位的公费医疗经费，按国家规定享受离休人员待遇的医疗经费。</w:t>
      </w:r>
    </w:p>
    <w:p w14:paraId="6787C0CD">
      <w:pPr>
        <w:spacing w:beforeLines="0" w:afterLines="0" w:line="240" w:lineRule="auto"/>
        <w:ind w:firstLine="627" w:firstLineChars="196"/>
        <w:rPr>
          <w:rFonts w:hint="default" w:ascii="Times New Roman" w:hAnsi="Times New Roman" w:eastAsia="方正仿宋_GBK" w:cs="Times New Roman"/>
          <w:color w:val="000000"/>
          <w:sz w:val="32"/>
          <w:lang w:val="zh-CN"/>
        </w:rPr>
      </w:pPr>
      <w:r>
        <w:rPr>
          <w:rFonts w:hint="default" w:ascii="Times New Roman" w:hAnsi="Times New Roman" w:eastAsia="方正仿宋_GBK" w:cs="Times New Roman"/>
          <w:color w:val="000000"/>
          <w:sz w:val="32"/>
          <w:lang w:val="zh-CN"/>
        </w:rPr>
        <w:t>1</w:t>
      </w:r>
      <w:r>
        <w:rPr>
          <w:rFonts w:hint="default" w:ascii="Times New Roman" w:hAnsi="Times New Roman" w:eastAsia="方正仿宋_GBK" w:cs="Times New Roman"/>
          <w:color w:val="000000"/>
          <w:sz w:val="32"/>
          <w:lang w:val="en-US" w:eastAsia="zh-CN"/>
        </w:rPr>
        <w:t>6</w:t>
      </w:r>
      <w:r>
        <w:rPr>
          <w:rFonts w:hint="default" w:ascii="Times New Roman" w:hAnsi="Times New Roman" w:eastAsia="方正仿宋_GBK" w:cs="Times New Roman"/>
          <w:color w:val="000000"/>
          <w:sz w:val="32"/>
          <w:lang w:val="zh-CN"/>
        </w:rPr>
        <w:t>.卫生健康（类）</w:t>
      </w:r>
      <w:r>
        <w:rPr>
          <w:rStyle w:val="17"/>
          <w:rFonts w:hint="default" w:ascii="Times New Roman" w:hAnsi="Times New Roman" w:eastAsia="方正仿宋_GBK" w:cs="Times New Roman"/>
          <w:b w:val="0"/>
          <w:sz w:val="32"/>
        </w:rPr>
        <w:t>行政事业单位医疗</w:t>
      </w:r>
      <w:r>
        <w:rPr>
          <w:rFonts w:hint="default" w:ascii="Times New Roman" w:hAnsi="Times New Roman" w:eastAsia="方正仿宋_GBK" w:cs="Times New Roman"/>
          <w:color w:val="000000"/>
          <w:sz w:val="32"/>
          <w:lang w:val="zh-CN"/>
        </w:rPr>
        <w:t>（款）其他行政事业单位医疗支出（项）：反映除上述项目以外的其他用于行政事业单位医疗方面的支出。</w:t>
      </w:r>
    </w:p>
    <w:p w14:paraId="442A1E6E">
      <w:pPr>
        <w:spacing w:beforeLines="0" w:afterLines="0" w:line="240" w:lineRule="auto"/>
        <w:ind w:firstLine="627" w:firstLineChars="196"/>
        <w:rPr>
          <w:rFonts w:hint="default" w:ascii="Times New Roman" w:hAnsi="Times New Roman" w:eastAsia="方正仿宋_GBK" w:cs="Times New Roman"/>
          <w:color w:val="000000"/>
          <w:sz w:val="32"/>
          <w:lang w:val="zh-CN"/>
        </w:rPr>
      </w:pPr>
      <w:r>
        <w:rPr>
          <w:rFonts w:hint="default" w:ascii="Times New Roman" w:hAnsi="Times New Roman" w:eastAsia="方正仿宋_GBK" w:cs="Times New Roman"/>
          <w:color w:val="000000"/>
          <w:sz w:val="32"/>
          <w:lang w:val="zh-CN"/>
        </w:rPr>
        <w:t>1</w:t>
      </w:r>
      <w:r>
        <w:rPr>
          <w:rFonts w:hint="default" w:ascii="Times New Roman" w:hAnsi="Times New Roman" w:eastAsia="方正仿宋_GBK" w:cs="Times New Roman"/>
          <w:color w:val="000000"/>
          <w:sz w:val="32"/>
          <w:lang w:val="en-US" w:eastAsia="zh-CN"/>
        </w:rPr>
        <w:t>7</w:t>
      </w:r>
      <w:r>
        <w:rPr>
          <w:rFonts w:hint="default" w:ascii="Times New Roman" w:hAnsi="Times New Roman" w:eastAsia="方正仿宋_GBK" w:cs="Times New Roman"/>
          <w:color w:val="000000"/>
          <w:sz w:val="32"/>
          <w:lang w:val="zh-CN"/>
        </w:rPr>
        <w:t>. 住房保障（类）住房改革支出（款）住房公积金（项）：</w:t>
      </w:r>
      <w:r>
        <w:rPr>
          <w:rFonts w:hint="default" w:ascii="Times New Roman" w:hAnsi="Times New Roman" w:eastAsia="方正仿宋_GBK" w:cs="Times New Roman"/>
          <w:color w:val="000000"/>
          <w:sz w:val="32"/>
          <w:szCs w:val="32"/>
          <w:lang w:val="zh-CN"/>
        </w:rPr>
        <w:t>反映行政事业单位按人力资源和社会保障部、财政部规定的基本工资和津贴补贴以及规定</w:t>
      </w:r>
      <w:bookmarkStart w:id="103" w:name="_GoBack"/>
      <w:bookmarkEnd w:id="103"/>
      <w:r>
        <w:rPr>
          <w:rFonts w:hint="eastAsia" w:eastAsia="方正仿宋_GBK" w:cs="Times New Roman"/>
          <w:color w:val="000000"/>
          <w:sz w:val="32"/>
          <w:szCs w:val="32"/>
          <w:lang w:val="zh-CN"/>
        </w:rPr>
        <w:t>比例为</w:t>
      </w:r>
      <w:r>
        <w:rPr>
          <w:rFonts w:hint="default" w:ascii="Times New Roman" w:hAnsi="Times New Roman" w:eastAsia="方正仿宋_GBK" w:cs="Times New Roman"/>
          <w:color w:val="000000"/>
          <w:sz w:val="32"/>
          <w:szCs w:val="32"/>
          <w:lang w:val="zh-CN"/>
        </w:rPr>
        <w:t>职工缴纳的住房公积金。</w:t>
      </w:r>
    </w:p>
    <w:p w14:paraId="53FF5264">
      <w:pPr>
        <w:spacing w:beforeLines="0" w:afterLines="0" w:line="240" w:lineRule="auto"/>
        <w:ind w:firstLine="627" w:firstLineChars="196"/>
        <w:rPr>
          <w:rFonts w:hint="default" w:ascii="Times New Roman" w:hAnsi="Times New Roman" w:eastAsia="方正仿宋_GBK" w:cs="Times New Roman"/>
          <w:color w:val="000000"/>
          <w:sz w:val="32"/>
          <w:lang w:val="zh-CN"/>
        </w:rPr>
      </w:pPr>
      <w:r>
        <w:rPr>
          <w:rFonts w:hint="default" w:ascii="Times New Roman" w:hAnsi="Times New Roman" w:eastAsia="方正仿宋_GBK" w:cs="Times New Roman"/>
          <w:color w:val="000000"/>
          <w:sz w:val="32"/>
          <w:lang w:val="zh-CN"/>
        </w:rPr>
        <w:t>1</w:t>
      </w:r>
      <w:r>
        <w:rPr>
          <w:rFonts w:hint="default" w:ascii="Times New Roman" w:hAnsi="Times New Roman" w:eastAsia="方正仿宋_GBK" w:cs="Times New Roman"/>
          <w:color w:val="000000"/>
          <w:sz w:val="32"/>
          <w:lang w:val="en-US" w:eastAsia="zh-CN"/>
        </w:rPr>
        <w:t>8</w:t>
      </w:r>
      <w:r>
        <w:rPr>
          <w:rFonts w:hint="default" w:ascii="Times New Roman" w:hAnsi="Times New Roman" w:eastAsia="方正仿宋_GBK" w:cs="Times New Roman"/>
          <w:color w:val="000000"/>
          <w:sz w:val="32"/>
          <w:lang w:val="zh-CN"/>
        </w:rPr>
        <w:t>.基本支出：指为保障机构正常运转、完成日常工作任务而发生的人员支出和公用支出。</w:t>
      </w:r>
    </w:p>
    <w:p w14:paraId="25718F2B">
      <w:pPr>
        <w:spacing w:beforeLines="0" w:afterLines="0" w:line="240" w:lineRule="auto"/>
        <w:ind w:firstLine="627" w:firstLineChars="196"/>
        <w:rPr>
          <w:rFonts w:hint="default" w:ascii="Times New Roman" w:hAnsi="Times New Roman" w:eastAsia="方正仿宋_GBK" w:cs="Times New Roman"/>
          <w:color w:val="000000"/>
          <w:sz w:val="32"/>
          <w:lang w:val="zh-CN"/>
        </w:rPr>
      </w:pPr>
      <w:r>
        <w:rPr>
          <w:rFonts w:hint="default" w:ascii="Times New Roman" w:hAnsi="Times New Roman" w:eastAsia="方正仿宋_GBK" w:cs="Times New Roman"/>
          <w:color w:val="000000"/>
          <w:sz w:val="32"/>
          <w:lang w:val="zh-CN"/>
        </w:rPr>
        <w:t>1</w:t>
      </w:r>
      <w:r>
        <w:rPr>
          <w:rFonts w:hint="default" w:ascii="Times New Roman" w:hAnsi="Times New Roman" w:eastAsia="方正仿宋_GBK" w:cs="Times New Roman"/>
          <w:color w:val="000000"/>
          <w:sz w:val="32"/>
          <w:lang w:val="en-US" w:eastAsia="zh-CN"/>
        </w:rPr>
        <w:t>9</w:t>
      </w:r>
      <w:r>
        <w:rPr>
          <w:rFonts w:hint="default" w:ascii="Times New Roman" w:hAnsi="Times New Roman" w:eastAsia="方正仿宋_GBK" w:cs="Times New Roman"/>
          <w:color w:val="000000"/>
          <w:sz w:val="32"/>
          <w:lang w:val="zh-CN"/>
        </w:rPr>
        <w:t>.项目支出：指在基本支出之外为完成特定行政任务和事业发展目标所发生的支出。</w:t>
      </w:r>
    </w:p>
    <w:p w14:paraId="3689DF6A">
      <w:pPr>
        <w:spacing w:beforeLines="0" w:afterLines="0" w:line="240" w:lineRule="auto"/>
        <w:ind w:firstLine="627" w:firstLineChars="196"/>
        <w:rPr>
          <w:rFonts w:hint="default" w:ascii="Times New Roman" w:hAnsi="Times New Roman" w:eastAsia="方正仿宋_GBK" w:cs="Times New Roman"/>
          <w:color w:val="000000"/>
          <w:sz w:val="32"/>
          <w:lang w:val="zh-CN"/>
        </w:rPr>
      </w:pPr>
      <w:r>
        <w:rPr>
          <w:rFonts w:hint="default" w:ascii="Times New Roman" w:hAnsi="Times New Roman" w:eastAsia="方正仿宋_GBK" w:cs="Times New Roman"/>
          <w:color w:val="000000"/>
          <w:sz w:val="32"/>
          <w:lang w:val="en-US" w:eastAsia="zh-CN"/>
        </w:rPr>
        <w:t>20</w:t>
      </w:r>
      <w:r>
        <w:rPr>
          <w:rFonts w:hint="default" w:ascii="Times New Roman" w:hAnsi="Times New Roman" w:eastAsia="方正仿宋_GBK" w:cs="Times New Roman"/>
          <w:color w:val="000000"/>
          <w:sz w:val="32"/>
          <w:lang w:val="zh-CN"/>
        </w:rPr>
        <w:t>.经营支出：指事业单位在专业业务活动及其辅助活动之外开展非独立核算经营活动发生的支出。</w:t>
      </w:r>
    </w:p>
    <w:p w14:paraId="3EBF2104">
      <w:pPr>
        <w:pStyle w:val="26"/>
        <w:spacing w:beforeLines="0" w:afterLines="0" w:line="240" w:lineRule="auto"/>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2</w:t>
      </w:r>
      <w:r>
        <w:rPr>
          <w:rFonts w:hint="default" w:ascii="Times New Roman" w:hAnsi="Times New Roman" w:eastAsia="方正仿宋_GBK" w:cs="Times New Roman"/>
          <w:color w:val="auto"/>
          <w:sz w:val="32"/>
          <w:lang w:val="en-US" w:eastAsia="zh-CN"/>
        </w:rPr>
        <w:t>1</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sz w:val="32"/>
        </w:rPr>
        <w:t>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14:paraId="2A747EEB">
      <w:pPr>
        <w:spacing w:beforeLines="0" w:afterLines="0" w:line="240" w:lineRule="auto"/>
        <w:ind w:firstLine="64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2</w:t>
      </w:r>
      <w:r>
        <w:rPr>
          <w:rFonts w:hint="default" w:ascii="Times New Roman" w:hAnsi="Times New Roman" w:eastAsia="方正仿宋_GBK" w:cs="Times New Roman"/>
          <w:color w:val="000000"/>
          <w:sz w:val="32"/>
          <w:lang w:val="en-US" w:eastAsia="zh-CN"/>
        </w:rPr>
        <w:t>2</w:t>
      </w:r>
      <w:r>
        <w:rPr>
          <w:rFonts w:hint="default" w:ascii="Times New Roman" w:hAnsi="Times New Roman" w:eastAsia="方正仿宋_GBK" w:cs="Times New Roman"/>
          <w:color w:val="000000"/>
          <w:sz w:val="32"/>
        </w:rPr>
        <w:t>.机关运行经费：</w:t>
      </w:r>
      <w:r>
        <w:rPr>
          <w:rFonts w:hint="default" w:ascii="Times New Roman" w:hAnsi="Times New Roman" w:eastAsia="方正仿宋_GBK" w:cs="Times New Roman"/>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36B6BE">
      <w:pPr>
        <w:spacing w:line="240" w:lineRule="auto"/>
        <w:jc w:val="center"/>
        <w:outlineLvl w:val="0"/>
        <w:rPr>
          <w:rFonts w:hint="default" w:ascii="Times New Roman" w:hAnsi="Times New Roman" w:eastAsia="黑体" w:cs="Times New Roman"/>
          <w:sz w:val="44"/>
          <w:szCs w:val="44"/>
        </w:rPr>
      </w:pPr>
    </w:p>
    <w:p w14:paraId="63E0C9DF">
      <w:pP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br w:type="page"/>
      </w:r>
    </w:p>
    <w:p w14:paraId="54C4A36D">
      <w:pPr>
        <w:pStyle w:val="3"/>
        <w:spacing w:line="240" w:lineRule="auto"/>
        <w:jc w:val="center"/>
        <w:rPr>
          <w:rFonts w:hint="default" w:ascii="Times New Roman" w:hAnsi="Times New Roman" w:eastAsia="方正小标宋_GBK" w:cs="Times New Roman"/>
          <w:b w:val="0"/>
          <w:sz w:val="44"/>
          <w:szCs w:val="44"/>
        </w:rPr>
      </w:pPr>
      <w:bookmarkStart w:id="74" w:name="_Toc23014"/>
      <w:r>
        <w:rPr>
          <w:rFonts w:hint="default" w:ascii="Times New Roman" w:hAnsi="Times New Roman" w:eastAsia="方正小标宋_GBK" w:cs="Times New Roman"/>
          <w:b w:val="0"/>
          <w:sz w:val="44"/>
          <w:szCs w:val="44"/>
        </w:rPr>
        <w:t>第四部分 附件</w:t>
      </w:r>
      <w:bookmarkEnd w:id="74"/>
    </w:p>
    <w:p w14:paraId="3324BDE6">
      <w:pPr>
        <w:spacing w:line="240" w:lineRule="auto"/>
        <w:jc w:val="left"/>
        <w:outlineLvl w:val="0"/>
        <w:rPr>
          <w:rFonts w:hint="default" w:ascii="Times New Roman" w:hAnsi="Times New Roman" w:eastAsia="仿宋_GB2312" w:cs="Times New Roman"/>
          <w:color w:val="auto"/>
          <w:sz w:val="32"/>
          <w:szCs w:val="32"/>
        </w:rPr>
      </w:pPr>
    </w:p>
    <w:p w14:paraId="48A8D44B">
      <w:pPr>
        <w:spacing w:line="240" w:lineRule="auto"/>
        <w:jc w:val="center"/>
        <w:outlineLvl w:val="0"/>
        <w:rPr>
          <w:rFonts w:hint="default" w:ascii="Times New Roman" w:hAnsi="Times New Roman" w:eastAsia="黑体" w:cs="Times New Roman"/>
          <w:color w:val="0000FF"/>
          <w:sz w:val="44"/>
          <w:szCs w:val="44"/>
        </w:rPr>
      </w:pPr>
      <w:bookmarkStart w:id="75" w:name="_Toc10686"/>
      <w:r>
        <w:rPr>
          <w:rFonts w:hint="default" w:ascii="Times New Roman" w:hAnsi="Times New Roman" w:cs="Times New Roman"/>
          <w:color w:val="auto"/>
          <w:sz w:val="32"/>
          <w:szCs w:val="32"/>
        </w:rPr>
        <w:t>部门预算项目支出绩效自评表（202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年度</w:t>
      </w:r>
      <w:r>
        <w:rPr>
          <w:rFonts w:hint="default" w:ascii="Times New Roman" w:hAnsi="Times New Roman" w:cs="Times New Roman"/>
          <w:color w:val="0000FF"/>
          <w:sz w:val="32"/>
          <w:szCs w:val="32"/>
        </w:rPr>
        <w:t>）</w:t>
      </w:r>
      <w:bookmarkEnd w:id="75"/>
    </w:p>
    <w:p w14:paraId="43AD46C8">
      <w:pPr>
        <w:pStyle w:val="7"/>
        <w:spacing w:line="240" w:lineRule="auto"/>
        <w:ind w:left="0" w:leftChars="0" w:firstLine="640"/>
        <w:rPr>
          <w:rFonts w:hint="default" w:ascii="Times New Roman" w:hAnsi="Times New Roman" w:cs="Times New Roman"/>
          <w:color w:val="0000FF"/>
          <w:sz w:val="32"/>
        </w:rPr>
      </w:pPr>
    </w:p>
    <w:p w14:paraId="05380248">
      <w:pPr>
        <w:pStyle w:val="7"/>
        <w:spacing w:line="240" w:lineRule="auto"/>
        <w:ind w:left="0" w:leftChars="0" w:firstLine="640"/>
        <w:rPr>
          <w:rFonts w:hint="default" w:ascii="Times New Roman" w:hAnsi="Times New Roman" w:eastAsia="仿宋_GB2312" w:cs="Times New Roman"/>
          <w:sz w:val="32"/>
        </w:rPr>
      </w:pPr>
    </w:p>
    <w:p w14:paraId="3B0E4413">
      <w:pPr>
        <w:pStyle w:val="7"/>
        <w:spacing w:line="240" w:lineRule="auto"/>
        <w:ind w:left="0" w:leftChars="0" w:firstLine="640"/>
        <w:rPr>
          <w:rFonts w:hint="default" w:ascii="Times New Roman" w:hAnsi="Times New Roman" w:eastAsia="仿宋_GB2312" w:cs="Times New Roman"/>
          <w:sz w:val="32"/>
        </w:rPr>
      </w:pPr>
    </w:p>
    <w:p w14:paraId="77C0E29F">
      <w:pPr>
        <w:pStyle w:val="7"/>
        <w:spacing w:line="240" w:lineRule="auto"/>
        <w:ind w:left="0" w:leftChars="0" w:firstLine="640"/>
        <w:rPr>
          <w:rFonts w:hint="default" w:ascii="Times New Roman" w:hAnsi="Times New Roman" w:eastAsia="仿宋_GB2312" w:cs="Times New Roman"/>
          <w:sz w:val="32"/>
        </w:rPr>
      </w:pPr>
    </w:p>
    <w:p w14:paraId="726393A9">
      <w:pPr>
        <w:pStyle w:val="7"/>
        <w:spacing w:line="240" w:lineRule="auto"/>
        <w:ind w:left="0" w:leftChars="0" w:firstLine="640"/>
        <w:rPr>
          <w:rFonts w:hint="default" w:ascii="Times New Roman" w:hAnsi="Times New Roman" w:eastAsia="仿宋_GB2312" w:cs="Times New Roman"/>
          <w:sz w:val="32"/>
        </w:rPr>
      </w:pPr>
    </w:p>
    <w:p w14:paraId="53D919CE">
      <w:pPr>
        <w:pStyle w:val="7"/>
        <w:spacing w:line="240" w:lineRule="auto"/>
        <w:ind w:left="0" w:leftChars="0" w:firstLine="640"/>
        <w:rPr>
          <w:rFonts w:hint="default" w:ascii="Times New Roman" w:hAnsi="Times New Roman" w:eastAsia="仿宋_GB2312" w:cs="Times New Roman"/>
          <w:sz w:val="32"/>
        </w:rPr>
      </w:pPr>
    </w:p>
    <w:p w14:paraId="62DD22BD">
      <w:pPr>
        <w:pStyle w:val="7"/>
        <w:spacing w:line="240" w:lineRule="auto"/>
        <w:ind w:left="0" w:leftChars="0" w:firstLine="640"/>
        <w:rPr>
          <w:rFonts w:hint="default" w:ascii="Times New Roman" w:hAnsi="Times New Roman" w:eastAsia="仿宋_GB2312" w:cs="Times New Roman"/>
          <w:sz w:val="32"/>
        </w:rPr>
      </w:pPr>
    </w:p>
    <w:p w14:paraId="3EBA71E4">
      <w:pPr>
        <w:pStyle w:val="7"/>
        <w:spacing w:line="240" w:lineRule="auto"/>
        <w:ind w:left="0" w:leftChars="0" w:firstLine="640"/>
        <w:rPr>
          <w:rFonts w:hint="default" w:ascii="Times New Roman" w:hAnsi="Times New Roman" w:eastAsia="仿宋_GB2312" w:cs="Times New Roman"/>
          <w:sz w:val="32"/>
        </w:rPr>
      </w:pPr>
    </w:p>
    <w:p w14:paraId="0D34D475">
      <w:pPr>
        <w:pStyle w:val="7"/>
        <w:spacing w:line="240" w:lineRule="auto"/>
        <w:ind w:left="0" w:leftChars="0" w:firstLine="640"/>
        <w:rPr>
          <w:rFonts w:hint="default" w:ascii="Times New Roman" w:hAnsi="Times New Roman" w:eastAsia="仿宋_GB2312" w:cs="Times New Roman"/>
          <w:sz w:val="32"/>
        </w:rPr>
      </w:pPr>
    </w:p>
    <w:p w14:paraId="51A68877">
      <w:pPr>
        <w:pStyle w:val="7"/>
        <w:spacing w:line="240" w:lineRule="auto"/>
        <w:ind w:left="0" w:leftChars="0" w:firstLine="640"/>
        <w:rPr>
          <w:rFonts w:hint="default" w:ascii="Times New Roman" w:hAnsi="Times New Roman" w:eastAsia="仿宋_GB2312" w:cs="Times New Roman"/>
          <w:sz w:val="32"/>
        </w:rPr>
      </w:pPr>
    </w:p>
    <w:p w14:paraId="6282F9CC">
      <w:pPr>
        <w:pStyle w:val="7"/>
        <w:spacing w:line="240" w:lineRule="auto"/>
        <w:ind w:left="0" w:leftChars="0" w:firstLine="640"/>
        <w:rPr>
          <w:rFonts w:hint="default" w:ascii="Times New Roman" w:hAnsi="Times New Roman" w:eastAsia="仿宋_GB2312" w:cs="Times New Roman"/>
          <w:sz w:val="32"/>
        </w:rPr>
      </w:pPr>
    </w:p>
    <w:p w14:paraId="258E8C8E">
      <w:pPr>
        <w:pStyle w:val="7"/>
        <w:spacing w:line="240" w:lineRule="auto"/>
        <w:ind w:left="0" w:leftChars="0" w:firstLine="640"/>
        <w:rPr>
          <w:rFonts w:hint="default" w:ascii="Times New Roman" w:hAnsi="Times New Roman" w:eastAsia="仿宋_GB2312" w:cs="Times New Roman"/>
          <w:sz w:val="32"/>
        </w:rPr>
      </w:pPr>
    </w:p>
    <w:p w14:paraId="0F5CE792">
      <w:pPr>
        <w:pStyle w:val="7"/>
        <w:spacing w:line="240" w:lineRule="auto"/>
        <w:ind w:left="0" w:leftChars="0" w:firstLine="640"/>
        <w:rPr>
          <w:rFonts w:hint="default" w:ascii="Times New Roman" w:hAnsi="Times New Roman" w:eastAsia="仿宋_GB2312" w:cs="Times New Roman"/>
          <w:sz w:val="32"/>
          <w:lang w:val="zh-CN"/>
        </w:rPr>
      </w:pPr>
    </w:p>
    <w:p w14:paraId="75EB7F4A">
      <w:pPr>
        <w:pStyle w:val="2"/>
        <w:spacing w:before="93" w:line="240" w:lineRule="auto"/>
        <w:rPr>
          <w:rFonts w:hint="default" w:ascii="Times New Roman" w:hAnsi="Times New Roman" w:cs="Times New Roman"/>
          <w:sz w:val="32"/>
          <w:szCs w:val="32"/>
        </w:rPr>
      </w:pPr>
    </w:p>
    <w:p w14:paraId="31E992F9">
      <w:pPr>
        <w:widowControl/>
        <w:spacing w:line="240" w:lineRule="auto"/>
        <w:jc w:val="center"/>
        <w:rPr>
          <w:rFonts w:hint="default" w:ascii="Times New Roman" w:hAnsi="Times New Roman" w:eastAsia="黑体" w:cs="Times New Roman"/>
          <w:color w:val="auto"/>
          <w:sz w:val="44"/>
          <w:szCs w:val="44"/>
          <w:highlight w:val="none"/>
        </w:rPr>
      </w:pPr>
    </w:p>
    <w:p w14:paraId="00F8012B">
      <w:pPr>
        <w:rPr>
          <w:rFonts w:hint="default" w:ascii="Times New Roman" w:hAnsi="Times New Roman" w:eastAsia="方正小标宋_GBK" w:cs="Times New Roman"/>
          <w:b w:val="0"/>
          <w:sz w:val="44"/>
          <w:szCs w:val="44"/>
        </w:rPr>
      </w:pPr>
      <w:r>
        <w:rPr>
          <w:rFonts w:hint="default" w:ascii="Times New Roman" w:hAnsi="Times New Roman" w:eastAsia="方正小标宋_GBK" w:cs="Times New Roman"/>
          <w:b w:val="0"/>
          <w:sz w:val="44"/>
          <w:szCs w:val="44"/>
        </w:rPr>
        <w:br w:type="page"/>
      </w:r>
    </w:p>
    <w:p w14:paraId="00BB7AE9">
      <w:pPr>
        <w:pStyle w:val="3"/>
        <w:spacing w:line="240" w:lineRule="auto"/>
        <w:jc w:val="center"/>
        <w:rPr>
          <w:rFonts w:hint="default" w:ascii="Times New Roman" w:hAnsi="Times New Roman" w:eastAsia="方正小标宋_GBK" w:cs="Times New Roman"/>
          <w:b w:val="0"/>
          <w:sz w:val="44"/>
          <w:szCs w:val="44"/>
        </w:rPr>
      </w:pPr>
      <w:bookmarkStart w:id="76" w:name="_Toc17833"/>
      <w:r>
        <w:rPr>
          <w:rFonts w:hint="default" w:ascii="Times New Roman" w:hAnsi="Times New Roman" w:eastAsia="方正小标宋_GBK" w:cs="Times New Roman"/>
          <w:b w:val="0"/>
          <w:sz w:val="44"/>
          <w:szCs w:val="44"/>
        </w:rPr>
        <w:t>第五部分 附表</w:t>
      </w:r>
      <w:bookmarkEnd w:id="72"/>
      <w:bookmarkEnd w:id="73"/>
      <w:bookmarkEnd w:id="76"/>
      <w:bookmarkStart w:id="77" w:name="_Toc15396619"/>
    </w:p>
    <w:p w14:paraId="0919D909">
      <w:pPr>
        <w:pStyle w:val="14"/>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32"/>
          <w:szCs w:val="32"/>
          <w:highlight w:val="none"/>
        </w:rPr>
      </w:pPr>
    </w:p>
    <w:p w14:paraId="608C4107">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78" w:name="_Toc20740"/>
      <w:r>
        <w:rPr>
          <w:rFonts w:hint="default" w:ascii="Times New Roman" w:hAnsi="Times New Roman" w:eastAsia="方正黑体_GBK" w:cs="Times New Roman"/>
          <w:b w:val="0"/>
          <w:bCs/>
          <w:kern w:val="2"/>
          <w:sz w:val="32"/>
          <w:szCs w:val="32"/>
          <w:lang w:val="en-US" w:eastAsia="zh-CN" w:bidi="ar-SA"/>
        </w:rPr>
        <w:t>一、收入支出决算总表</w:t>
      </w:r>
      <w:bookmarkEnd w:id="77"/>
      <w:bookmarkEnd w:id="78"/>
    </w:p>
    <w:p w14:paraId="6ACC404D">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79" w:name="_Toc15396620"/>
      <w:bookmarkStart w:id="80" w:name="_Toc19794"/>
      <w:r>
        <w:rPr>
          <w:rFonts w:hint="default" w:ascii="Times New Roman" w:hAnsi="Times New Roman" w:eastAsia="方正黑体_GBK" w:cs="Times New Roman"/>
          <w:b w:val="0"/>
          <w:bCs/>
          <w:kern w:val="2"/>
          <w:sz w:val="32"/>
          <w:szCs w:val="32"/>
          <w:lang w:val="en-US" w:eastAsia="zh-CN" w:bidi="ar-SA"/>
        </w:rPr>
        <w:t>二、收入决算表</w:t>
      </w:r>
      <w:bookmarkEnd w:id="79"/>
      <w:bookmarkEnd w:id="80"/>
    </w:p>
    <w:p w14:paraId="4B9F0ED3">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1" w:name="_Toc15396621"/>
      <w:bookmarkStart w:id="82" w:name="_Toc2619"/>
      <w:r>
        <w:rPr>
          <w:rFonts w:hint="default" w:ascii="Times New Roman" w:hAnsi="Times New Roman" w:eastAsia="方正黑体_GBK" w:cs="Times New Roman"/>
          <w:b w:val="0"/>
          <w:bCs/>
          <w:kern w:val="2"/>
          <w:sz w:val="32"/>
          <w:szCs w:val="32"/>
          <w:lang w:val="en-US" w:eastAsia="zh-CN" w:bidi="ar-SA"/>
        </w:rPr>
        <w:t>三、支出决算表</w:t>
      </w:r>
      <w:bookmarkEnd w:id="81"/>
      <w:bookmarkEnd w:id="82"/>
    </w:p>
    <w:p w14:paraId="620859AA">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3" w:name="_Toc15396622"/>
      <w:bookmarkStart w:id="84" w:name="_Toc22322"/>
      <w:r>
        <w:rPr>
          <w:rFonts w:hint="default" w:ascii="Times New Roman" w:hAnsi="Times New Roman" w:eastAsia="方正黑体_GBK" w:cs="Times New Roman"/>
          <w:b w:val="0"/>
          <w:bCs/>
          <w:kern w:val="2"/>
          <w:sz w:val="32"/>
          <w:szCs w:val="32"/>
          <w:lang w:val="en-US" w:eastAsia="zh-CN" w:bidi="ar-SA"/>
        </w:rPr>
        <w:t>四、财政拨款收入支出决算总表</w:t>
      </w:r>
      <w:bookmarkEnd w:id="83"/>
      <w:bookmarkEnd w:id="84"/>
    </w:p>
    <w:p w14:paraId="64BC4455">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5" w:name="_Toc22951"/>
      <w:bookmarkStart w:id="86" w:name="_Toc15396623"/>
      <w:r>
        <w:rPr>
          <w:rFonts w:hint="default" w:ascii="Times New Roman" w:hAnsi="Times New Roman" w:eastAsia="方正黑体_GBK" w:cs="Times New Roman"/>
          <w:b w:val="0"/>
          <w:bCs/>
          <w:kern w:val="2"/>
          <w:sz w:val="32"/>
          <w:szCs w:val="32"/>
          <w:lang w:val="en-US" w:eastAsia="zh-CN" w:bidi="ar-SA"/>
        </w:rPr>
        <w:t>五、财政拨款支出决算明细表</w:t>
      </w:r>
      <w:bookmarkEnd w:id="85"/>
      <w:bookmarkEnd w:id="86"/>
      <w:bookmarkStart w:id="87" w:name="_Toc15396624"/>
    </w:p>
    <w:p w14:paraId="0F357B58">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8" w:name="_Toc30958"/>
      <w:r>
        <w:rPr>
          <w:rFonts w:hint="default" w:ascii="Times New Roman" w:hAnsi="Times New Roman" w:eastAsia="方正黑体_GBK" w:cs="Times New Roman"/>
          <w:b w:val="0"/>
          <w:bCs/>
          <w:kern w:val="2"/>
          <w:sz w:val="32"/>
          <w:szCs w:val="32"/>
          <w:lang w:val="en-US" w:eastAsia="zh-CN" w:bidi="ar-SA"/>
        </w:rPr>
        <w:t>六、一般公共预算财政拨款支出决算表</w:t>
      </w:r>
      <w:bookmarkEnd w:id="87"/>
      <w:bookmarkEnd w:id="88"/>
    </w:p>
    <w:p w14:paraId="32903F25">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89" w:name="_Toc15396625"/>
      <w:bookmarkStart w:id="90" w:name="_Toc16152"/>
      <w:r>
        <w:rPr>
          <w:rFonts w:hint="default" w:ascii="Times New Roman" w:hAnsi="Times New Roman" w:eastAsia="方正黑体_GBK" w:cs="Times New Roman"/>
          <w:b w:val="0"/>
          <w:bCs/>
          <w:kern w:val="2"/>
          <w:sz w:val="32"/>
          <w:szCs w:val="32"/>
          <w:lang w:val="en-US" w:eastAsia="zh-CN" w:bidi="ar-SA"/>
        </w:rPr>
        <w:t>七、一般公共预算财政拨款支出决算明细表</w:t>
      </w:r>
      <w:bookmarkEnd w:id="89"/>
      <w:bookmarkEnd w:id="90"/>
    </w:p>
    <w:p w14:paraId="0F4D8F11">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1" w:name="_Toc15396626"/>
      <w:bookmarkStart w:id="92" w:name="_Toc30922"/>
      <w:r>
        <w:rPr>
          <w:rFonts w:hint="default" w:ascii="Times New Roman" w:hAnsi="Times New Roman" w:eastAsia="方正黑体_GBK" w:cs="Times New Roman"/>
          <w:b w:val="0"/>
          <w:bCs/>
          <w:kern w:val="2"/>
          <w:sz w:val="32"/>
          <w:szCs w:val="32"/>
          <w:lang w:val="en-US" w:eastAsia="zh-CN" w:bidi="ar-SA"/>
        </w:rPr>
        <w:t>八、一般公共预算财政拨款基本支出决算表</w:t>
      </w:r>
      <w:bookmarkEnd w:id="91"/>
      <w:bookmarkEnd w:id="92"/>
    </w:p>
    <w:p w14:paraId="4DFD56C7">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3" w:name="_Toc15396627"/>
      <w:bookmarkStart w:id="94" w:name="_Toc32406"/>
      <w:r>
        <w:rPr>
          <w:rFonts w:hint="default" w:ascii="Times New Roman" w:hAnsi="Times New Roman" w:eastAsia="方正黑体_GBK" w:cs="Times New Roman"/>
          <w:b w:val="0"/>
          <w:bCs/>
          <w:kern w:val="2"/>
          <w:sz w:val="32"/>
          <w:szCs w:val="32"/>
          <w:lang w:val="en-US" w:eastAsia="zh-CN" w:bidi="ar-SA"/>
        </w:rPr>
        <w:t>九、一般公共预算财政拨款项目支出决算表</w:t>
      </w:r>
      <w:bookmarkEnd w:id="93"/>
      <w:bookmarkEnd w:id="94"/>
    </w:p>
    <w:p w14:paraId="1C649E36">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5" w:name="_Toc15396628"/>
      <w:bookmarkStart w:id="96" w:name="_Toc3641"/>
      <w:r>
        <w:rPr>
          <w:rFonts w:hint="default" w:ascii="Times New Roman" w:hAnsi="Times New Roman" w:eastAsia="方正黑体_GBK" w:cs="Times New Roman"/>
          <w:b w:val="0"/>
          <w:bCs/>
          <w:kern w:val="2"/>
          <w:sz w:val="32"/>
          <w:szCs w:val="32"/>
          <w:lang w:val="en-US" w:eastAsia="zh-CN" w:bidi="ar-SA"/>
        </w:rPr>
        <w:t>十、</w:t>
      </w:r>
      <w:bookmarkEnd w:id="95"/>
      <w:r>
        <w:rPr>
          <w:rFonts w:hint="default" w:ascii="Times New Roman" w:hAnsi="Times New Roman" w:eastAsia="方正黑体_GBK" w:cs="Times New Roman"/>
          <w:b w:val="0"/>
          <w:bCs/>
          <w:kern w:val="2"/>
          <w:sz w:val="32"/>
          <w:szCs w:val="32"/>
          <w:lang w:val="en-US" w:eastAsia="zh-CN" w:bidi="ar-SA"/>
        </w:rPr>
        <w:t>政府性基金预算财政拨款收入支出决算表</w:t>
      </w:r>
      <w:bookmarkEnd w:id="96"/>
    </w:p>
    <w:p w14:paraId="3B709956">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7" w:name="_Toc15396629"/>
      <w:bookmarkStart w:id="98" w:name="_Toc3880"/>
      <w:r>
        <w:rPr>
          <w:rFonts w:hint="default" w:ascii="Times New Roman" w:hAnsi="Times New Roman" w:eastAsia="方正黑体_GBK" w:cs="Times New Roman"/>
          <w:b w:val="0"/>
          <w:bCs/>
          <w:kern w:val="2"/>
          <w:sz w:val="32"/>
          <w:szCs w:val="32"/>
          <w:lang w:val="en-US" w:eastAsia="zh-CN" w:bidi="ar-SA"/>
        </w:rPr>
        <w:t>十一、</w:t>
      </w:r>
      <w:bookmarkEnd w:id="97"/>
      <w:r>
        <w:rPr>
          <w:rFonts w:hint="default" w:ascii="Times New Roman" w:hAnsi="Times New Roman" w:eastAsia="方正黑体_GBK" w:cs="Times New Roman"/>
          <w:b w:val="0"/>
          <w:bCs/>
          <w:kern w:val="2"/>
          <w:sz w:val="32"/>
          <w:szCs w:val="32"/>
          <w:lang w:val="en-US" w:eastAsia="zh-CN" w:bidi="ar-SA"/>
        </w:rPr>
        <w:t>国有资本经营预算财政拨款收入支出决算表</w:t>
      </w:r>
      <w:bookmarkEnd w:id="98"/>
    </w:p>
    <w:p w14:paraId="31170E51">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99" w:name="_Toc15396630"/>
      <w:bookmarkStart w:id="100" w:name="_Toc1028"/>
      <w:r>
        <w:rPr>
          <w:rFonts w:hint="default" w:ascii="Times New Roman" w:hAnsi="Times New Roman" w:eastAsia="方正黑体_GBK" w:cs="Times New Roman"/>
          <w:b w:val="0"/>
          <w:bCs/>
          <w:kern w:val="2"/>
          <w:sz w:val="32"/>
          <w:szCs w:val="32"/>
          <w:lang w:val="en-US" w:eastAsia="zh-CN" w:bidi="ar-SA"/>
        </w:rPr>
        <w:t>十二、</w:t>
      </w:r>
      <w:bookmarkEnd w:id="99"/>
      <w:r>
        <w:rPr>
          <w:rFonts w:hint="default" w:ascii="Times New Roman" w:hAnsi="Times New Roman" w:eastAsia="方正黑体_GBK" w:cs="Times New Roman"/>
          <w:b w:val="0"/>
          <w:bCs/>
          <w:kern w:val="2"/>
          <w:sz w:val="32"/>
          <w:szCs w:val="32"/>
          <w:lang w:val="en-US" w:eastAsia="zh-CN" w:bidi="ar-SA"/>
        </w:rPr>
        <w:t>国有资本经营预算财政拨款支出决算表</w:t>
      </w:r>
      <w:bookmarkEnd w:id="100"/>
    </w:p>
    <w:p w14:paraId="0FF74490">
      <w:pPr>
        <w:tabs>
          <w:tab w:val="right" w:pos="8306"/>
        </w:tabs>
        <w:spacing w:line="240" w:lineRule="auto"/>
        <w:ind w:firstLine="640"/>
        <w:outlineLvl w:val="1"/>
        <w:rPr>
          <w:rFonts w:hint="default" w:ascii="Times New Roman" w:hAnsi="Times New Roman" w:eastAsia="方正黑体_GBK" w:cs="Times New Roman"/>
          <w:b w:val="0"/>
          <w:bCs/>
          <w:kern w:val="2"/>
          <w:sz w:val="32"/>
          <w:szCs w:val="32"/>
          <w:lang w:val="en-US" w:eastAsia="zh-CN" w:bidi="ar-SA"/>
        </w:rPr>
      </w:pPr>
      <w:bookmarkStart w:id="101" w:name="_Toc15396631"/>
      <w:bookmarkStart w:id="102" w:name="_Toc26857"/>
      <w:r>
        <w:rPr>
          <w:rFonts w:hint="default" w:ascii="Times New Roman" w:hAnsi="Times New Roman" w:eastAsia="方正黑体_GBK" w:cs="Times New Roman"/>
          <w:b w:val="0"/>
          <w:bCs/>
          <w:kern w:val="2"/>
          <w:sz w:val="32"/>
          <w:szCs w:val="32"/>
          <w:lang w:val="en-US" w:eastAsia="zh-CN" w:bidi="ar-SA"/>
        </w:rPr>
        <w:t>十三、</w:t>
      </w:r>
      <w:bookmarkEnd w:id="101"/>
      <w:r>
        <w:rPr>
          <w:rFonts w:hint="default" w:ascii="Times New Roman" w:hAnsi="Times New Roman" w:eastAsia="方正黑体_GBK" w:cs="Times New Roman"/>
          <w:b w:val="0"/>
          <w:bCs/>
          <w:kern w:val="2"/>
          <w:sz w:val="32"/>
          <w:szCs w:val="32"/>
          <w:lang w:val="en-US" w:eastAsia="zh-CN" w:bidi="ar-SA"/>
        </w:rPr>
        <w:t>财政拨款“三公”经费支出决算表</w:t>
      </w:r>
      <w:bookmarkEnd w:id="102"/>
    </w:p>
    <w:p w14:paraId="482E7EA7">
      <w:pPr>
        <w:spacing w:line="240" w:lineRule="auto"/>
        <w:rPr>
          <w:rFonts w:hint="default" w:ascii="Times New Roman" w:hAnsi="Times New Roman" w:cs="Times New Roman"/>
          <w:lang w:eastAsia="zh-CN"/>
        </w:rPr>
      </w:pPr>
    </w:p>
    <w:sectPr>
      <w:footerReference r:id="rId9" w:type="firs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048B">
    <w:pPr>
      <w:pStyle w:val="10"/>
      <w:jc w:val="center"/>
    </w:pPr>
  </w:p>
  <w:p w14:paraId="1FFE79F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AF94">
    <w:pPr>
      <w:pStyle w:val="10"/>
      <w:jc w:val="center"/>
    </w:pPr>
  </w:p>
  <w:p w14:paraId="09D20F0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372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A545">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8B89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B8B89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1AE446CF">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814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2790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A2790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4E29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2664">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A9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58454A"/>
    <w:rsid w:val="061E35DE"/>
    <w:rsid w:val="066E0107"/>
    <w:rsid w:val="07996F6E"/>
    <w:rsid w:val="07DFD8BA"/>
    <w:rsid w:val="088A7250"/>
    <w:rsid w:val="09867E8F"/>
    <w:rsid w:val="0A2032A3"/>
    <w:rsid w:val="0A663D38"/>
    <w:rsid w:val="0AFD411D"/>
    <w:rsid w:val="0B0B356F"/>
    <w:rsid w:val="0CA8290A"/>
    <w:rsid w:val="0D35B1ED"/>
    <w:rsid w:val="0E254B6B"/>
    <w:rsid w:val="0E390D48"/>
    <w:rsid w:val="0F98263C"/>
    <w:rsid w:val="101860EC"/>
    <w:rsid w:val="101F47CC"/>
    <w:rsid w:val="10C055FF"/>
    <w:rsid w:val="11694EBD"/>
    <w:rsid w:val="11772AA4"/>
    <w:rsid w:val="118107EC"/>
    <w:rsid w:val="12E24EE2"/>
    <w:rsid w:val="13810BC4"/>
    <w:rsid w:val="13D50BC4"/>
    <w:rsid w:val="14B17F78"/>
    <w:rsid w:val="14D34A96"/>
    <w:rsid w:val="155D7676"/>
    <w:rsid w:val="165E0673"/>
    <w:rsid w:val="16B831D5"/>
    <w:rsid w:val="16BB723D"/>
    <w:rsid w:val="17E50567"/>
    <w:rsid w:val="186504BB"/>
    <w:rsid w:val="190D5C53"/>
    <w:rsid w:val="19A445FC"/>
    <w:rsid w:val="1A996CB8"/>
    <w:rsid w:val="1BE6765D"/>
    <w:rsid w:val="1BE8440E"/>
    <w:rsid w:val="1C7B5D7E"/>
    <w:rsid w:val="1D155CEE"/>
    <w:rsid w:val="1D1638FE"/>
    <w:rsid w:val="1E312DEB"/>
    <w:rsid w:val="1E740ACF"/>
    <w:rsid w:val="1FF35744"/>
    <w:rsid w:val="1FF6BC77"/>
    <w:rsid w:val="2186353C"/>
    <w:rsid w:val="23860B96"/>
    <w:rsid w:val="23E643D1"/>
    <w:rsid w:val="240371BF"/>
    <w:rsid w:val="244F3473"/>
    <w:rsid w:val="24C97D99"/>
    <w:rsid w:val="254C693A"/>
    <w:rsid w:val="25652BD4"/>
    <w:rsid w:val="25A718F0"/>
    <w:rsid w:val="25BB59F6"/>
    <w:rsid w:val="260F557C"/>
    <w:rsid w:val="26970054"/>
    <w:rsid w:val="26ED7131"/>
    <w:rsid w:val="281408E2"/>
    <w:rsid w:val="294F2651"/>
    <w:rsid w:val="29E24751"/>
    <w:rsid w:val="29FD04D3"/>
    <w:rsid w:val="2AFB484E"/>
    <w:rsid w:val="2BFF7BC6"/>
    <w:rsid w:val="2C8A61B5"/>
    <w:rsid w:val="2DF04E50"/>
    <w:rsid w:val="2E1F2BD3"/>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D55562"/>
    <w:rsid w:val="37E16F03"/>
    <w:rsid w:val="37F53A3B"/>
    <w:rsid w:val="389B6C89"/>
    <w:rsid w:val="38D469F0"/>
    <w:rsid w:val="39627CCD"/>
    <w:rsid w:val="397BAF1F"/>
    <w:rsid w:val="399729A2"/>
    <w:rsid w:val="3AB79AF3"/>
    <w:rsid w:val="3AB90493"/>
    <w:rsid w:val="3AE834C0"/>
    <w:rsid w:val="3AED6C95"/>
    <w:rsid w:val="3B7EF35A"/>
    <w:rsid w:val="3B9FDB6C"/>
    <w:rsid w:val="3BF5BC2F"/>
    <w:rsid w:val="3CEBA265"/>
    <w:rsid w:val="3D98207C"/>
    <w:rsid w:val="3DEE7CF3"/>
    <w:rsid w:val="3E43215B"/>
    <w:rsid w:val="3E740A63"/>
    <w:rsid w:val="3E78745D"/>
    <w:rsid w:val="3E7F23CB"/>
    <w:rsid w:val="3EE17838"/>
    <w:rsid w:val="3F55381A"/>
    <w:rsid w:val="3F7F7599"/>
    <w:rsid w:val="3FF4CAE0"/>
    <w:rsid w:val="3FF7B227"/>
    <w:rsid w:val="43AE692C"/>
    <w:rsid w:val="44E268DA"/>
    <w:rsid w:val="450D13D7"/>
    <w:rsid w:val="45506656"/>
    <w:rsid w:val="47C52BF0"/>
    <w:rsid w:val="486A6C7A"/>
    <w:rsid w:val="4A627F82"/>
    <w:rsid w:val="4AAD003E"/>
    <w:rsid w:val="4B0E749A"/>
    <w:rsid w:val="4B2477C4"/>
    <w:rsid w:val="4B4F25DA"/>
    <w:rsid w:val="4BE068DB"/>
    <w:rsid w:val="4D577224"/>
    <w:rsid w:val="4DBF1CEB"/>
    <w:rsid w:val="4DF0007C"/>
    <w:rsid w:val="4EAB630A"/>
    <w:rsid w:val="4ECE2238"/>
    <w:rsid w:val="4F415F4F"/>
    <w:rsid w:val="4F833267"/>
    <w:rsid w:val="4FE9BD67"/>
    <w:rsid w:val="4FFB052F"/>
    <w:rsid w:val="537E6D0A"/>
    <w:rsid w:val="53F74C96"/>
    <w:rsid w:val="55170BA8"/>
    <w:rsid w:val="553218C9"/>
    <w:rsid w:val="561B6A6C"/>
    <w:rsid w:val="56207005"/>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C53749"/>
    <w:rsid w:val="62BF3928"/>
    <w:rsid w:val="63B3701E"/>
    <w:rsid w:val="647F5392"/>
    <w:rsid w:val="65E66580"/>
    <w:rsid w:val="66457482"/>
    <w:rsid w:val="664B1D71"/>
    <w:rsid w:val="664B4E8E"/>
    <w:rsid w:val="67277B67"/>
    <w:rsid w:val="67AA3209"/>
    <w:rsid w:val="67DE4157"/>
    <w:rsid w:val="698D0931"/>
    <w:rsid w:val="6A7FE5F3"/>
    <w:rsid w:val="6B053271"/>
    <w:rsid w:val="6BDD78B3"/>
    <w:rsid w:val="6C4A05C8"/>
    <w:rsid w:val="6C8742B8"/>
    <w:rsid w:val="6DBF5E93"/>
    <w:rsid w:val="6DFF077E"/>
    <w:rsid w:val="6E714EF0"/>
    <w:rsid w:val="6E7E3605"/>
    <w:rsid w:val="6E7FDCC7"/>
    <w:rsid w:val="6EB91323"/>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42A7F"/>
    <w:rsid w:val="73AB61DA"/>
    <w:rsid w:val="73AD73D5"/>
    <w:rsid w:val="73B6EB34"/>
    <w:rsid w:val="73FA497D"/>
    <w:rsid w:val="744731E5"/>
    <w:rsid w:val="74BBD01D"/>
    <w:rsid w:val="74ED5379"/>
    <w:rsid w:val="75C961B3"/>
    <w:rsid w:val="75DC07DB"/>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CE15F5"/>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标题 1 字符"/>
    <w:basedOn w:val="16"/>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PC\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C\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0" i="0" u="none" strike="noStrike" kern="1200" spc="0" baseline="0">
                <a:solidFill>
                  <a:schemeClr val="tx1">
                    <a:lumMod val="65000"/>
                    <a:lumOff val="35000"/>
                  </a:schemeClr>
                </a:solidFill>
                <a:latin typeface="+mn-lt"/>
                <a:ea typeface="+mn-ea"/>
                <a:cs typeface="+mn-cs"/>
              </a:defRPr>
            </a:pPr>
            <a:r>
              <a:rPr sz="1680"/>
              <a:t>收入、支出决算总计变动情况图（单位：万元）</a:t>
            </a:r>
            <a:endParaRPr sz="1680"/>
          </a:p>
        </c:rich>
      </c:tx>
      <c:layout/>
      <c:overlay val="0"/>
      <c:spPr>
        <a:noFill/>
        <a:ln>
          <a:noFill/>
        </a:ln>
        <a:effectLst/>
      </c:spPr>
    </c:title>
    <c:autoTitleDeleted val="0"/>
    <c:plotArea>
      <c:layout/>
      <c:barChart>
        <c:barDir val="col"/>
        <c:grouping val="clustered"/>
        <c:varyColors val="0"/>
        <c:ser>
          <c:idx val="0"/>
          <c:order val="0"/>
          <c:tx>
            <c:strRef>
              <c:f>[图表.xlsx]Sheet1!$B$19</c:f>
              <c:strCache>
                <c:ptCount val="1"/>
                <c:pt idx="0">
                  <c:v>2023年</c:v>
                </c:pt>
              </c:strCache>
            </c:strRef>
          </c:tx>
          <c:spPr>
            <a:solidFill>
              <a:schemeClr val="accent1"/>
            </a:solidFill>
            <a:ln>
              <a:noFill/>
            </a:ln>
            <a:effectLst/>
          </c:spPr>
          <c:invertIfNegative val="0"/>
          <c:dLbls>
            <c:dLbl>
              <c:idx val="0"/>
              <c:layout>
                <c:manualLayout>
                  <c:x val="0.00261734426801605"/>
                  <c:y val="0.0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41668120746816"/>
                      <c:h val="0.111555555555556"/>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43761996161228"/>
                      <c:h val="0.069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[图表.xlsx]Sheet1!$C$19:$D$19</c:f>
              <c:numCache>
                <c:formatCode>General</c:formatCode>
                <c:ptCount val="2"/>
                <c:pt idx="0">
                  <c:v>823.76</c:v>
                </c:pt>
                <c:pt idx="1">
                  <c:v>823.76</c:v>
                </c:pt>
              </c:numCache>
            </c:numRef>
          </c:val>
        </c:ser>
        <c:ser>
          <c:idx val="1"/>
          <c:order val="1"/>
          <c:tx>
            <c:strRef>
              <c:f>[图表.xlsx]Sheet1!$B$20</c:f>
              <c:strCache>
                <c:ptCount val="1"/>
                <c:pt idx="0">
                  <c:v>2024年</c:v>
                </c:pt>
              </c:strCache>
            </c:strRef>
          </c:tx>
          <c:spPr>
            <a:solidFill>
              <a:schemeClr val="accent2"/>
            </a:solidFill>
            <a:ln>
              <a:noFill/>
            </a:ln>
            <a:effectLst/>
          </c:spPr>
          <c:invertIfNegative val="0"/>
          <c:dLbls>
            <c:dLbl>
              <c:idx val="0"/>
              <c:layout>
                <c:manualLayout>
                  <c:x val="0.0157040656080963"/>
                  <c:y val="0.0533333333333333"/>
                </c:manualLayout>
              </c:layout>
              <c:numFmt formatCode="#,##0.00_);\(#,##0.00\)" sourceLinked="0"/>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216192636538126"/>
                      <c:h val="0.117111111111111"/>
                    </c:manualLayout>
                  </c15:layout>
                </c:ext>
              </c:extLst>
            </c:dLbl>
            <c:dLbl>
              <c:idx val="1"/>
              <c:layout>
                <c:manualLayout>
                  <c:x val="0.0104693770720642"/>
                  <c:y val="0.046666666666666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514569883092"/>
                      <c:h val="0.105333333333333"/>
                    </c:manualLayout>
                  </c15:layout>
                </c:ext>
              </c:extLst>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[图表.xlsx]Sheet1!$C$20:$D$20</c:f>
              <c:numCache>
                <c:formatCode>General</c:formatCode>
                <c:ptCount val="2"/>
                <c:pt idx="0">
                  <c:v>772.97</c:v>
                </c:pt>
                <c:pt idx="1">
                  <c:v>772.97</c:v>
                </c:pt>
              </c:numCache>
            </c:numRef>
          </c:val>
        </c:ser>
        <c:dLbls>
          <c:showLegendKey val="0"/>
          <c:showVal val="1"/>
          <c:showCatName val="0"/>
          <c:showSerName val="0"/>
          <c:showPercent val="0"/>
          <c:showBubbleSize val="0"/>
        </c:dLbls>
        <c:gapWidth val="219"/>
        <c:overlap val="-27"/>
        <c:axId val="283535560"/>
        <c:axId val="976689542"/>
      </c:barChart>
      <c:catAx>
        <c:axId val="283535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976689542"/>
        <c:crosses val="autoZero"/>
        <c:auto val="1"/>
        <c:lblAlgn val="ctr"/>
        <c:lblOffset val="100"/>
        <c:noMultiLvlLbl val="0"/>
      </c:catAx>
      <c:valAx>
        <c:axId val="97668954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2835355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16753f-c6d9-4cae-b75f-1610586aeb0a}"/>
      </c:ext>
    </c:extLst>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sz="1440"/>
              <a:t>收入决算结构图（单位：万元）</a:t>
            </a:r>
            <a:endParaRPr sz="144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[图表.xlsx]Sheet1!$B$25:$B$26</c:f>
              <c:strCache>
                <c:ptCount val="2"/>
                <c:pt idx="0">
                  <c:v>一般公共预算财政拨款收入</c:v>
                </c:pt>
              </c:strCache>
            </c:strRef>
          </c:cat>
          <c:val>
            <c:numRef>
              <c:f>[图表.xlsx]Sheet1!$C$25:$C$26</c:f>
              <c:numCache>
                <c:formatCode>General</c:formatCode>
                <c:ptCount val="2"/>
                <c:pt idx="0">
                  <c:v>772.97</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f29baaa-24ac-4c87-90a0-b6db99159321}"/>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cap="none" spc="20" baseline="0">
                <a:solidFill>
                  <a:schemeClr val="tx1">
                    <a:lumMod val="50000"/>
                    <a:lumOff val="50000"/>
                  </a:schemeClr>
                </a:solidFill>
                <a:latin typeface="+mn-lt"/>
                <a:ea typeface="+mn-ea"/>
                <a:cs typeface="+mn-cs"/>
              </a:defRPr>
            </a:pPr>
            <a:r>
              <a:rPr sz="1440"/>
              <a:t>支出决算结构图（单位：万元）</a:t>
            </a:r>
            <a:endParaRPr sz="1440"/>
          </a:p>
        </c:rich>
      </c:tx>
      <c:layout>
        <c:manualLayout>
          <c:xMode val="edge"/>
          <c:yMode val="edge"/>
          <c:x val="0.304027777777778"/>
          <c:y val="0.0138888888888889"/>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65000"/>
                        <a:lumOff val="3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[图表.xlsx]Sheet1!$B$44:$B$45</c:f>
              <c:strCache>
                <c:ptCount val="2"/>
                <c:pt idx="0">
                  <c:v>基本支出</c:v>
                </c:pt>
                <c:pt idx="1">
                  <c:v>项目支出</c:v>
                </c:pt>
              </c:strCache>
            </c:strRef>
          </c:cat>
          <c:val>
            <c:numRef>
              <c:f>[图表.xlsx]Sheet1!$C$44:$C$45</c:f>
              <c:numCache>
                <c:formatCode>General</c:formatCode>
                <c:ptCount val="2"/>
                <c:pt idx="0">
                  <c:v>577.52</c:v>
                </c:pt>
                <c:pt idx="1">
                  <c:v>195.45</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50000"/>
                    <a:lumOff val="50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50000"/>
                    <a:lumOff val="50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c97abf4a-6605-40d6-835b-4f3b78cc9dd0}"/>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sz="1440"/>
              <a:t>财政拨款收、支决算总计变动情况（单位：万元）</a:t>
            </a:r>
            <a:endParaRPr sz="1440"/>
          </a:p>
        </c:rich>
      </c:tx>
      <c:layout>
        <c:manualLayout>
          <c:xMode val="edge"/>
          <c:yMode val="edge"/>
          <c:x val="0.0369723043828986"/>
          <c:y val="0.018055899084838"/>
        </c:manualLayout>
      </c:layout>
      <c:overlay val="0"/>
      <c:spPr>
        <a:noFill/>
        <a:ln>
          <a:noFill/>
        </a:ln>
        <a:effectLst/>
      </c:spPr>
    </c:title>
    <c:autoTitleDeleted val="0"/>
    <c:plotArea>
      <c:layout/>
      <c:barChart>
        <c:barDir val="col"/>
        <c:grouping val="clustered"/>
        <c:varyColors val="0"/>
        <c:ser>
          <c:idx val="0"/>
          <c:order val="0"/>
          <c:tx>
            <c:strRef>
              <c:f>[图表.xlsx]Sheet1!$B$3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[图表.xlsx]Sheet1!$C$3:$D$3</c:f>
              <c:numCache>
                <c:formatCode>General</c:formatCode>
                <c:ptCount val="2"/>
                <c:pt idx="0">
                  <c:v>823.76</c:v>
                </c:pt>
                <c:pt idx="1">
                  <c:v>823.76</c:v>
                </c:pt>
              </c:numCache>
            </c:numRef>
          </c:val>
        </c:ser>
        <c:ser>
          <c:idx val="1"/>
          <c:order val="1"/>
          <c:tx>
            <c:strRef>
              <c:f>[图表.xlsx]Sheet1!$B$4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[图表.xlsx]Sheet1!$C$4:$D$4</c:f>
              <c:numCache>
                <c:formatCode>General</c:formatCode>
                <c:ptCount val="2"/>
                <c:pt idx="0">
                  <c:v>772.97</c:v>
                </c:pt>
                <c:pt idx="1">
                  <c:v>772.97</c:v>
                </c:pt>
              </c:numCache>
            </c:numRef>
          </c:val>
        </c:ser>
        <c:dLbls>
          <c:showLegendKey val="0"/>
          <c:showVal val="1"/>
          <c:showCatName val="0"/>
          <c:showSerName val="0"/>
          <c:showPercent val="0"/>
          <c:showBubbleSize val="0"/>
        </c:dLbls>
        <c:gapWidth val="219"/>
        <c:overlap val="-27"/>
        <c:axId val="811510952"/>
        <c:axId val="935866826"/>
      </c:barChart>
      <c:catAx>
        <c:axId val="8115109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935866826"/>
        <c:crosses val="autoZero"/>
        <c:auto val="1"/>
        <c:lblAlgn val="ctr"/>
        <c:lblOffset val="100"/>
        <c:noMultiLvlLbl val="0"/>
      </c:catAx>
      <c:valAx>
        <c:axId val="9358668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81151095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59f332-530a-40a7-88f8-19481c76cd49}"/>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[图表.xlsx]Sheet1!$C$68</c:f>
              <c:strCache>
                <c:ptCount val="1"/>
                <c:pt idx="0">
                  <c:v>一般公共预算财政拨款支出决算总体情况（单位：万元）</c:v>
                </c:pt>
              </c:strCache>
            </c:strRef>
          </c:tx>
          <c:spPr>
            <a:solidFill>
              <a:schemeClr val="accent1"/>
            </a:solidFill>
            <a:ln>
              <a:noFill/>
            </a:ln>
            <a:effectLst/>
          </c:spPr>
          <c:invertIfNegative val="0"/>
          <c:dLbls>
            <c:dLbl>
              <c:idx val="0"/>
              <c:layout>
                <c:manualLayout>
                  <c:x val="0.0082696580045779"/>
                  <c:y val="-0.36496926173766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5"/>
                  <c:y val="-0.1579121556679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[图表.xlsx]Sheet1!$B$69:$B$70</c:f>
              <c:strCache>
                <c:ptCount val="2"/>
                <c:pt idx="0">
                  <c:v>2023年</c:v>
                </c:pt>
                <c:pt idx="1">
                  <c:v>2024年</c:v>
                </c:pt>
              </c:strCache>
            </c:strRef>
          </c:cat>
          <c:val>
            <c:numRef>
              <c:f>[图表.xlsx]Sheet1!$C$69:$C$70</c:f>
              <c:numCache>
                <c:formatCode>General</c:formatCode>
                <c:ptCount val="2"/>
                <c:pt idx="0">
                  <c:v>823.76</c:v>
                </c:pt>
                <c:pt idx="1">
                  <c:v>772.97</c:v>
                </c:pt>
              </c:numCache>
            </c:numRef>
          </c:val>
        </c:ser>
        <c:dLbls>
          <c:showLegendKey val="0"/>
          <c:showVal val="1"/>
          <c:showCatName val="0"/>
          <c:showSerName val="0"/>
          <c:showPercent val="0"/>
          <c:showBubbleSize val="0"/>
        </c:dLbls>
        <c:gapWidth val="150"/>
        <c:overlap val="100"/>
        <c:axId val="556116136"/>
        <c:axId val="986431536"/>
      </c:barChart>
      <c:catAx>
        <c:axId val="556116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431536"/>
        <c:crosses val="autoZero"/>
        <c:auto val="1"/>
        <c:lblAlgn val="ctr"/>
        <c:lblOffset val="100"/>
        <c:noMultiLvlLbl val="0"/>
      </c:catAx>
      <c:valAx>
        <c:axId val="98643153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16136"/>
        <c:crosses val="autoZero"/>
        <c:crossBetween val="between"/>
      </c:valAx>
      <c:spPr>
        <a:noFill/>
        <a:ln>
          <a:noFill/>
        </a:ln>
        <a:effectLst/>
      </c:spPr>
    </c:plotArea>
    <c:plotVisOnly val="1"/>
    <c:dispBlanksAs val="gap"/>
    <c:showDLblsOverMax val="0"/>
    <c:extLst>
      <c:ext uri="{0b15fc19-7d7d-44ad-8c2d-2c3a37ce22c3}">
        <chartProps xmlns="https://web.wps.cn/et/2018/main" chartId="{2d52b5f1-928b-4d3f-9e36-3dc5b4be634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sz="1440"/>
              <a:t>一般公共预算财政拨款支出决算结构（单位：万元）</a:t>
            </a:r>
            <a:endParaRPr sz="144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0939429839624547"/>
                  <c:y val="0.0293405482620078"/>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[图表.xlsx]Sheet1!$B$168:$B$171</c:f>
              <c:strCache>
                <c:ptCount val="4"/>
                <c:pt idx="0">
                  <c:v>教育支出</c:v>
                </c:pt>
                <c:pt idx="1">
                  <c:v>社会保障和就业支出</c:v>
                </c:pt>
                <c:pt idx="2">
                  <c:v>卫生健康支出</c:v>
                </c:pt>
                <c:pt idx="3">
                  <c:v>住房保障支出</c:v>
                </c:pt>
              </c:strCache>
            </c:strRef>
          </c:cat>
          <c:val>
            <c:numRef>
              <c:f>[图表.xlsx]Sheet1!$C$168:$C$171</c:f>
              <c:numCache>
                <c:formatCode>General</c:formatCode>
                <c:ptCount val="4"/>
                <c:pt idx="0">
                  <c:v>556.43</c:v>
                </c:pt>
                <c:pt idx="1">
                  <c:v>140.17</c:v>
                </c:pt>
                <c:pt idx="2">
                  <c:v>40.04</c:v>
                </c:pt>
                <c:pt idx="3">
                  <c:v>36.33</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203064-adfd-43e6-bcd8-9ecbc5e6b798}"/>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5076</Words>
  <Characters>5517</Characters>
  <Lines>61</Lines>
  <Paragraphs>17</Paragraphs>
  <TotalTime>2</TotalTime>
  <ScaleCrop>false</ScaleCrop>
  <LinksUpToDate>false</LinksUpToDate>
  <CharactersWithSpaces>5631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张晓骄</cp:lastModifiedBy>
  <cp:lastPrinted>2025-08-06T17:34:00Z</cp:lastPrinted>
  <dcterms:modified xsi:type="dcterms:W3CDTF">2025-11-11T07:18:24Z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189604AAC849464887EAEE2B6FA8B061_13</vt:lpwstr>
  </property>
  <property fmtid="{D5CDD505-2E9C-101B-9397-08002B2CF9AE}" pid="4" name="KSOTemplateDocerSaveRecord">
    <vt:lpwstr>eyJoZGlkIjoiNWIwYjgyMzAyYjdlMTc0NjlhNjFkZTU2NDY0NzJjZGIiLCJ1c2VySWQiOiIzNTQwMzUzMTgifQ==</vt:lpwstr>
  </property>
</Properties>
</file>