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0D24E">
      <w:pPr>
        <w:pStyle w:val="2"/>
        <w:spacing w:before="93"/>
        <w:rPr>
          <w:rFonts w:hint="default" w:ascii="Times New Roman" w:hAnsi="Times New Roman" w:eastAsia="方正小标宋简体" w:cs="Times New Roman"/>
          <w:kern w:val="2"/>
          <w:sz w:val="72"/>
          <w:szCs w:val="72"/>
        </w:rPr>
      </w:pPr>
      <w:bookmarkStart w:id="0" w:name="_Toc15396597"/>
      <w:bookmarkStart w:id="1" w:name="_Toc15378441"/>
      <w:bookmarkStart w:id="2" w:name="_Toc15377193"/>
      <w:bookmarkStart w:id="3" w:name="_Toc15377425"/>
      <w:bookmarkStart w:id="4" w:name="_Toc15306267"/>
      <w:bookmarkStart w:id="5" w:name="_Toc15396475"/>
    </w:p>
    <w:p w14:paraId="157883E7">
      <w:pPr>
        <w:pStyle w:val="2"/>
        <w:spacing w:before="93"/>
        <w:rPr>
          <w:rFonts w:hint="default" w:ascii="Times New Roman" w:hAnsi="Times New Roman" w:eastAsia="方正小标宋简体" w:cs="Times New Roman"/>
          <w:kern w:val="2"/>
          <w:sz w:val="72"/>
          <w:szCs w:val="72"/>
        </w:rPr>
      </w:pPr>
    </w:p>
    <w:p w14:paraId="1E2C24A5">
      <w:pPr>
        <w:pStyle w:val="2"/>
        <w:spacing w:before="93"/>
        <w:rPr>
          <w:rFonts w:hint="default" w:ascii="Times New Roman" w:hAnsi="Times New Roman" w:eastAsia="方正小标宋简体" w:cs="Times New Roman"/>
          <w:kern w:val="2"/>
          <w:sz w:val="72"/>
          <w:szCs w:val="72"/>
        </w:rPr>
      </w:pPr>
    </w:p>
    <w:p w14:paraId="1139852D">
      <w:pPr>
        <w:pStyle w:val="2"/>
        <w:spacing w:before="93"/>
        <w:jc w:val="center"/>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rPr>
        <w:t>2024年度</w:t>
      </w:r>
    </w:p>
    <w:p w14:paraId="6C7C6F0F">
      <w:pPr>
        <w:pStyle w:val="2"/>
        <w:spacing w:before="93"/>
        <w:jc w:val="center"/>
        <w:rPr>
          <w:rFonts w:hint="default" w:ascii="Times New Roman" w:hAnsi="Times New Roman" w:eastAsia="方正小标宋简体" w:cs="Times New Roman"/>
          <w:kern w:val="2"/>
          <w:sz w:val="72"/>
          <w:szCs w:val="72"/>
          <w:lang w:val="en-US" w:eastAsia="zh-CN"/>
        </w:rPr>
      </w:pPr>
      <w:r>
        <w:rPr>
          <w:rFonts w:hint="default" w:ascii="Times New Roman" w:hAnsi="Times New Roman" w:eastAsia="方正小标宋简体" w:cs="Times New Roman"/>
          <w:kern w:val="2"/>
          <w:sz w:val="72"/>
          <w:szCs w:val="72"/>
        </w:rPr>
        <w:t>盐边</w:t>
      </w:r>
      <w:r>
        <w:rPr>
          <w:rFonts w:hint="default" w:ascii="Times New Roman" w:hAnsi="Times New Roman" w:eastAsia="方正小标宋简体" w:cs="Times New Roman"/>
          <w:kern w:val="2"/>
          <w:sz w:val="72"/>
          <w:szCs w:val="72"/>
          <w:lang w:val="en-US" w:eastAsia="zh-CN"/>
        </w:rPr>
        <w:t>县教育和体育</w:t>
      </w:r>
    </w:p>
    <w:p w14:paraId="2256C306">
      <w:pPr>
        <w:pStyle w:val="2"/>
        <w:spacing w:before="93"/>
        <w:jc w:val="center"/>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rPr>
        <w:t>单位决算公开</w:t>
      </w:r>
    </w:p>
    <w:p w14:paraId="40665E37">
      <w:pPr>
        <w:spacing w:line="600" w:lineRule="exact"/>
        <w:jc w:val="center"/>
        <w:outlineLvl w:val="0"/>
        <w:rPr>
          <w:rFonts w:hint="default" w:ascii="Times New Roman" w:hAnsi="Times New Roman" w:eastAsia="方正小标宋简体" w:cs="Times New Roman"/>
          <w:sz w:val="72"/>
          <w:szCs w:val="72"/>
        </w:rPr>
      </w:pPr>
    </w:p>
    <w:p w14:paraId="5940EC88">
      <w:pPr>
        <w:pStyle w:val="19"/>
        <w:rPr>
          <w:rFonts w:hint="default" w:ascii="Times New Roman" w:hAnsi="Times New Roman" w:cs="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70CC3447">
      <w:pPr>
        <w:rPr>
          <w:rFonts w:hint="default" w:ascii="Times New Roman" w:hAnsi="Times New Roman" w:cs="Times New Roman"/>
        </w:rPr>
      </w:pPr>
    </w:p>
    <w:bookmarkEnd w:id="0"/>
    <w:bookmarkEnd w:id="1"/>
    <w:bookmarkEnd w:id="2"/>
    <w:bookmarkEnd w:id="3"/>
    <w:bookmarkEnd w:id="4"/>
    <w:bookmarkEnd w:id="5"/>
    <w:sdt>
      <w:sdtPr>
        <w:rPr>
          <w:rFonts w:hint="default" w:ascii="Times New Roman" w:hAnsi="Times New Roman" w:eastAsia="宋体" w:cs="Times New Roman"/>
          <w:kern w:val="2"/>
          <w:sz w:val="21"/>
          <w:szCs w:val="24"/>
          <w:lang w:val="en-US" w:eastAsia="zh-CN" w:bidi="ar-SA"/>
        </w:rPr>
        <w:id w:val="147471178"/>
        <w15:color w:val="DBDBDB"/>
        <w:docPartObj>
          <w:docPartGallery w:val="Table of Contents"/>
          <w:docPartUnique/>
        </w:docPartObj>
      </w:sdtPr>
      <w:sdtEndPr>
        <w:rPr>
          <w:rFonts w:hint="default" w:ascii="Times New Roman" w:hAnsi="Times New Roman" w:eastAsia="仿宋_GB2312" w:cs="Times New Roman"/>
          <w:kern w:val="0"/>
          <w:sz w:val="32"/>
          <w:szCs w:val="24"/>
          <w:lang w:val="en-US" w:eastAsia="zh-CN" w:bidi="ar-SA"/>
        </w:rPr>
      </w:sdtEndPr>
      <w:sdtContent>
        <w:p w14:paraId="68FD06BA">
          <w:pPr>
            <w:spacing w:before="0" w:beforeLines="0" w:after="0" w:afterLines="0" w:line="240" w:lineRule="auto"/>
            <w:ind w:left="0" w:leftChars="0" w:right="0" w:rightChars="0" w:firstLine="0" w:firstLineChars="0"/>
            <w:jc w:val="center"/>
            <w:rPr>
              <w:rFonts w:hint="default" w:ascii="Times New Roman" w:hAnsi="Times New Roman" w:eastAsia="黑体" w:cs="Times New Roman"/>
              <w:sz w:val="48"/>
              <w:szCs w:val="48"/>
            </w:rPr>
          </w:pPr>
          <w:r>
            <w:rPr>
              <w:rFonts w:hint="default" w:ascii="Times New Roman" w:hAnsi="Times New Roman" w:eastAsia="黑体" w:cs="Times New Roman"/>
              <w:sz w:val="48"/>
              <w:szCs w:val="48"/>
            </w:rPr>
            <w:t>目</w:t>
          </w:r>
          <w:r>
            <w:rPr>
              <w:rFonts w:hint="default" w:ascii="Times New Roman" w:hAnsi="Times New Roman" w:eastAsia="黑体" w:cs="Times New Roman"/>
              <w:sz w:val="48"/>
              <w:szCs w:val="48"/>
              <w:lang w:val="en-US" w:eastAsia="zh-CN"/>
            </w:rPr>
            <w:t xml:space="preserve"> </w:t>
          </w:r>
          <w:r>
            <w:rPr>
              <w:rFonts w:hint="default" w:ascii="Times New Roman" w:hAnsi="Times New Roman" w:eastAsia="黑体" w:cs="Times New Roman"/>
              <w:sz w:val="48"/>
              <w:szCs w:val="48"/>
            </w:rPr>
            <w:t>录</w:t>
          </w:r>
        </w:p>
        <w:p w14:paraId="00DBA1DF">
          <w:pPr>
            <w:pStyle w:val="12"/>
            <w:rPr>
              <w:rFonts w:hint="default" w:ascii="Times New Roman" w:hAnsi="Times New Roman" w:cs="Times New Roman"/>
            </w:rPr>
          </w:pPr>
          <w:r>
            <w:rPr>
              <w:rFonts w:hint="default" w:ascii="Times New Roman" w:hAnsi="Times New Roman" w:eastAsia="仿宋_GB2312" w:cs="Times New Roman"/>
            </w:rPr>
            <w:t>公开时间：2025年10月</w:t>
          </w:r>
          <w:r>
            <w:rPr>
              <w:rFonts w:hint="default" w:ascii="Times New Roman" w:hAnsi="Times New Roman" w:eastAsia="仿宋_GB2312" w:cs="Times New Roman"/>
              <w:lang w:val="en-US" w:eastAsia="zh-CN"/>
            </w:rPr>
            <w:t>28</w:t>
          </w:r>
          <w:r>
            <w:rPr>
              <w:rFonts w:hint="default" w:ascii="Times New Roman" w:hAnsi="Times New Roman" w:eastAsia="仿宋_GB2312" w:cs="Times New Roman"/>
            </w:rPr>
            <w:t>日</w:t>
          </w:r>
        </w:p>
        <w:p w14:paraId="6562C0E5">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val="en-US" w:eastAsia="zh-CN" w:bidi="ar-SA"/>
            </w:rPr>
            <w:fldChar w:fldCharType="begin"/>
          </w:r>
          <w:r>
            <w:rPr>
              <w:rFonts w:hint="default" w:ascii="Times New Roman" w:hAnsi="Times New Roman" w:eastAsia="方正仿宋_GBK" w:cs="Times New Roman"/>
              <w:kern w:val="0"/>
              <w:sz w:val="28"/>
              <w:szCs w:val="28"/>
              <w:lang w:val="en-US" w:eastAsia="zh-CN" w:bidi="ar-SA"/>
            </w:rPr>
            <w:instrText xml:space="preserve">TOC \o "1-2" \h \u </w:instrText>
          </w:r>
          <w:r>
            <w:rPr>
              <w:rFonts w:hint="default" w:ascii="Times New Roman" w:hAnsi="Times New Roman" w:eastAsia="方正仿宋_GBK" w:cs="Times New Roman"/>
              <w:kern w:val="0"/>
              <w:sz w:val="28"/>
              <w:szCs w:val="28"/>
              <w:lang w:val="en-US" w:eastAsia="zh-CN" w:bidi="ar-SA"/>
            </w:rPr>
            <w:fldChar w:fldCharType="separate"/>
          </w:r>
          <w:r>
            <w:rPr>
              <w:rFonts w:hint="default" w:ascii="Times New Roman" w:hAnsi="Times New Roman" w:eastAsia="方正仿宋_GBK" w:cs="Times New Roman"/>
              <w:kern w:val="0"/>
              <w:sz w:val="28"/>
              <w:szCs w:val="28"/>
              <w:lang w:val="en-US" w:eastAsia="zh-CN" w:bidi="ar-SA"/>
            </w:rPr>
            <w:fldChar w:fldCharType="begin"/>
          </w:r>
          <w:r>
            <w:rPr>
              <w:rFonts w:hint="default" w:ascii="Times New Roman" w:hAnsi="Times New Roman" w:eastAsia="方正仿宋_GBK" w:cs="Times New Roman"/>
              <w:kern w:val="0"/>
              <w:sz w:val="28"/>
              <w:szCs w:val="28"/>
              <w:lang w:val="en-US" w:eastAsia="zh-CN" w:bidi="ar-SA"/>
            </w:rPr>
            <w:instrText xml:space="preserve"> HYPERLINK \l _Toc3665 </w:instrText>
          </w:r>
          <w:r>
            <w:rPr>
              <w:rFonts w:hint="default" w:ascii="Times New Roman" w:hAnsi="Times New Roman" w:eastAsia="方正仿宋_GBK" w:cs="Times New Roman"/>
              <w:kern w:val="0"/>
              <w:sz w:val="28"/>
              <w:szCs w:val="28"/>
              <w:lang w:val="en-US" w:eastAsia="zh-CN" w:bidi="ar-SA"/>
            </w:rPr>
            <w:fldChar w:fldCharType="separate"/>
          </w:r>
          <w:r>
            <w:rPr>
              <w:rFonts w:hint="default" w:ascii="Times New Roman" w:hAnsi="Times New Roman" w:eastAsia="方正仿宋_GBK" w:cs="Times New Roman"/>
              <w:bCs w:val="0"/>
              <w:sz w:val="28"/>
              <w:szCs w:val="28"/>
            </w:rPr>
            <w:t>第一部分  单位概况</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_Toc3665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kern w:val="0"/>
              <w:sz w:val="28"/>
              <w:szCs w:val="28"/>
              <w:lang w:val="en-US" w:eastAsia="zh-CN" w:bidi="ar-SA"/>
            </w:rPr>
            <w:fldChar w:fldCharType="end"/>
          </w:r>
        </w:p>
        <w:p w14:paraId="5DF81F5D">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val="en-US" w:eastAsia="zh-CN" w:bidi="ar-SA"/>
            </w:rPr>
            <w:fldChar w:fldCharType="begin"/>
          </w:r>
          <w:r>
            <w:rPr>
              <w:rFonts w:hint="default" w:ascii="Times New Roman" w:hAnsi="Times New Roman" w:eastAsia="方正仿宋_GBK" w:cs="Times New Roman"/>
              <w:kern w:val="0"/>
              <w:sz w:val="28"/>
              <w:szCs w:val="28"/>
              <w:lang w:val="en-US" w:eastAsia="zh-CN" w:bidi="ar-SA"/>
            </w:rPr>
            <w:instrText xml:space="preserve"> HYPERLINK \l _Toc30699 </w:instrText>
          </w:r>
          <w:r>
            <w:rPr>
              <w:rFonts w:hint="default" w:ascii="Times New Roman" w:hAnsi="Times New Roman" w:eastAsia="方正仿宋_GBK" w:cs="Times New Roman"/>
              <w:kern w:val="0"/>
              <w:sz w:val="28"/>
              <w:szCs w:val="28"/>
              <w:lang w:val="en-US" w:eastAsia="zh-CN" w:bidi="ar-SA"/>
            </w:rPr>
            <w:fldChar w:fldCharType="separate"/>
          </w:r>
          <w:r>
            <w:rPr>
              <w:rFonts w:hint="default" w:ascii="Times New Roman" w:hAnsi="Times New Roman" w:eastAsia="方正仿宋_GBK" w:cs="Times New Roman"/>
              <w:bCs/>
              <w:sz w:val="28"/>
              <w:szCs w:val="28"/>
            </w:rPr>
            <w:t>一、 主要职责</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_Toc30699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kern w:val="0"/>
              <w:sz w:val="28"/>
              <w:szCs w:val="28"/>
              <w:lang w:val="en-US" w:eastAsia="zh-CN" w:bidi="ar-SA"/>
            </w:rPr>
            <w:fldChar w:fldCharType="end"/>
          </w:r>
        </w:p>
        <w:p w14:paraId="59BC7393">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val="en-US" w:eastAsia="zh-CN" w:bidi="ar-SA"/>
            </w:rPr>
            <w:fldChar w:fldCharType="begin"/>
          </w:r>
          <w:r>
            <w:rPr>
              <w:rFonts w:hint="default" w:ascii="Times New Roman" w:hAnsi="Times New Roman" w:eastAsia="方正仿宋_GBK" w:cs="Times New Roman"/>
              <w:kern w:val="0"/>
              <w:sz w:val="28"/>
              <w:szCs w:val="28"/>
              <w:lang w:val="en-US" w:eastAsia="zh-CN" w:bidi="ar-SA"/>
            </w:rPr>
            <w:instrText xml:space="preserve"> HYPERLINK \l _Toc3304 </w:instrText>
          </w:r>
          <w:r>
            <w:rPr>
              <w:rFonts w:hint="default" w:ascii="Times New Roman" w:hAnsi="Times New Roman" w:eastAsia="方正仿宋_GBK" w:cs="Times New Roman"/>
              <w:kern w:val="0"/>
              <w:sz w:val="28"/>
              <w:szCs w:val="28"/>
              <w:lang w:val="en-US" w:eastAsia="zh-CN" w:bidi="ar-SA"/>
            </w:rPr>
            <w:fldChar w:fldCharType="separate"/>
          </w:r>
          <w:r>
            <w:rPr>
              <w:rFonts w:hint="default" w:ascii="Times New Roman" w:hAnsi="Times New Roman" w:eastAsia="方正仿宋_GBK" w:cs="Times New Roman"/>
              <w:bCs/>
              <w:sz w:val="28"/>
              <w:szCs w:val="28"/>
            </w:rPr>
            <w:t>二、 机构设置</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_Toc3304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6</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kern w:val="0"/>
              <w:sz w:val="28"/>
              <w:szCs w:val="28"/>
              <w:lang w:val="en-US" w:eastAsia="zh-CN" w:bidi="ar-SA"/>
            </w:rPr>
            <w:fldChar w:fldCharType="end"/>
          </w:r>
        </w:p>
        <w:p w14:paraId="2C7F4065">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val="en-US" w:eastAsia="zh-CN" w:bidi="ar-SA"/>
            </w:rPr>
            <w:fldChar w:fldCharType="begin"/>
          </w:r>
          <w:r>
            <w:rPr>
              <w:rFonts w:hint="default" w:ascii="Times New Roman" w:hAnsi="Times New Roman" w:eastAsia="方正仿宋_GBK" w:cs="Times New Roman"/>
              <w:kern w:val="0"/>
              <w:sz w:val="28"/>
              <w:szCs w:val="28"/>
              <w:lang w:val="en-US" w:eastAsia="zh-CN" w:bidi="ar-SA"/>
            </w:rPr>
            <w:instrText xml:space="preserve"> HYPERLINK \l _Toc18882 </w:instrText>
          </w:r>
          <w:r>
            <w:rPr>
              <w:rFonts w:hint="default" w:ascii="Times New Roman" w:hAnsi="Times New Roman" w:eastAsia="方正仿宋_GBK" w:cs="Times New Roman"/>
              <w:kern w:val="0"/>
              <w:sz w:val="28"/>
              <w:szCs w:val="28"/>
              <w:lang w:val="en-US" w:eastAsia="zh-CN" w:bidi="ar-SA"/>
            </w:rPr>
            <w:fldChar w:fldCharType="separate"/>
          </w:r>
          <w:r>
            <w:rPr>
              <w:rFonts w:hint="default" w:ascii="Times New Roman" w:hAnsi="Times New Roman" w:eastAsia="方正仿宋_GBK" w:cs="Times New Roman"/>
              <w:bCs w:val="0"/>
              <w:sz w:val="28"/>
              <w:szCs w:val="28"/>
            </w:rPr>
            <w:t>第二部分  2024年度部门决算情况说明</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_Toc18882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7</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kern w:val="0"/>
              <w:sz w:val="28"/>
              <w:szCs w:val="28"/>
              <w:lang w:val="en-US" w:eastAsia="zh-CN" w:bidi="ar-SA"/>
            </w:rPr>
            <w:fldChar w:fldCharType="end"/>
          </w:r>
        </w:p>
        <w:p w14:paraId="097A697B">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val="en-US" w:eastAsia="zh-CN" w:bidi="ar-SA"/>
            </w:rPr>
            <w:fldChar w:fldCharType="begin"/>
          </w:r>
          <w:r>
            <w:rPr>
              <w:rFonts w:hint="default" w:ascii="Times New Roman" w:hAnsi="Times New Roman" w:eastAsia="方正仿宋_GBK" w:cs="Times New Roman"/>
              <w:kern w:val="0"/>
              <w:sz w:val="28"/>
              <w:szCs w:val="28"/>
              <w:lang w:val="en-US" w:eastAsia="zh-CN" w:bidi="ar-SA"/>
            </w:rPr>
            <w:instrText xml:space="preserve"> HYPERLINK \l _Toc3122 </w:instrText>
          </w:r>
          <w:r>
            <w:rPr>
              <w:rFonts w:hint="default" w:ascii="Times New Roman" w:hAnsi="Times New Roman" w:eastAsia="方正仿宋_GBK" w:cs="Times New Roman"/>
              <w:kern w:val="0"/>
              <w:sz w:val="28"/>
              <w:szCs w:val="28"/>
              <w:lang w:val="en-US" w:eastAsia="zh-CN" w:bidi="ar-SA"/>
            </w:rPr>
            <w:fldChar w:fldCharType="separate"/>
          </w:r>
          <w:r>
            <w:rPr>
              <w:rFonts w:hint="default" w:ascii="Times New Roman" w:hAnsi="Times New Roman" w:eastAsia="方正仿宋_GBK" w:cs="Times New Roman"/>
              <w:sz w:val="28"/>
              <w:szCs w:val="28"/>
            </w:rPr>
            <w:t>一、收入支出决算总体情况说明</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_Toc3122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7</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kern w:val="0"/>
              <w:sz w:val="28"/>
              <w:szCs w:val="28"/>
              <w:lang w:val="en-US" w:eastAsia="zh-CN" w:bidi="ar-SA"/>
            </w:rPr>
            <w:fldChar w:fldCharType="end"/>
          </w:r>
        </w:p>
        <w:p w14:paraId="4601B272">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val="en-US" w:eastAsia="zh-CN" w:bidi="ar-SA"/>
            </w:rPr>
            <w:fldChar w:fldCharType="begin"/>
          </w:r>
          <w:r>
            <w:rPr>
              <w:rFonts w:hint="default" w:ascii="Times New Roman" w:hAnsi="Times New Roman" w:eastAsia="方正仿宋_GBK" w:cs="Times New Roman"/>
              <w:kern w:val="0"/>
              <w:sz w:val="28"/>
              <w:szCs w:val="28"/>
              <w:lang w:val="en-US" w:eastAsia="zh-CN" w:bidi="ar-SA"/>
            </w:rPr>
            <w:instrText xml:space="preserve"> HYPERLINK \l _Toc21655 </w:instrText>
          </w:r>
          <w:r>
            <w:rPr>
              <w:rFonts w:hint="default" w:ascii="Times New Roman" w:hAnsi="Times New Roman" w:eastAsia="方正仿宋_GBK" w:cs="Times New Roman"/>
              <w:kern w:val="0"/>
              <w:sz w:val="28"/>
              <w:szCs w:val="28"/>
              <w:lang w:val="en-US" w:eastAsia="zh-CN" w:bidi="ar-SA"/>
            </w:rPr>
            <w:fldChar w:fldCharType="separate"/>
          </w:r>
          <w:r>
            <w:rPr>
              <w:rFonts w:hint="default" w:ascii="Times New Roman" w:hAnsi="Times New Roman" w:eastAsia="方正仿宋_GBK" w:cs="Times New Roman"/>
              <w:sz w:val="28"/>
              <w:szCs w:val="28"/>
            </w:rPr>
            <w:t>二、收入决算情况说明</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_Toc21655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7</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kern w:val="0"/>
              <w:sz w:val="28"/>
              <w:szCs w:val="28"/>
              <w:lang w:val="en-US" w:eastAsia="zh-CN" w:bidi="ar-SA"/>
            </w:rPr>
            <w:fldChar w:fldCharType="end"/>
          </w:r>
        </w:p>
        <w:p w14:paraId="303D45E9">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val="en-US" w:eastAsia="zh-CN" w:bidi="ar-SA"/>
            </w:rPr>
            <w:fldChar w:fldCharType="begin"/>
          </w:r>
          <w:r>
            <w:rPr>
              <w:rFonts w:hint="default" w:ascii="Times New Roman" w:hAnsi="Times New Roman" w:eastAsia="方正仿宋_GBK" w:cs="Times New Roman"/>
              <w:kern w:val="0"/>
              <w:sz w:val="28"/>
              <w:szCs w:val="28"/>
              <w:lang w:val="en-US" w:eastAsia="zh-CN" w:bidi="ar-SA"/>
            </w:rPr>
            <w:instrText xml:space="preserve"> HYPERLINK \l _Toc13044 </w:instrText>
          </w:r>
          <w:r>
            <w:rPr>
              <w:rFonts w:hint="default" w:ascii="Times New Roman" w:hAnsi="Times New Roman" w:eastAsia="方正仿宋_GBK" w:cs="Times New Roman"/>
              <w:kern w:val="0"/>
              <w:sz w:val="28"/>
              <w:szCs w:val="28"/>
              <w:lang w:val="en-US" w:eastAsia="zh-CN" w:bidi="ar-SA"/>
            </w:rPr>
            <w:fldChar w:fldCharType="separate"/>
          </w:r>
          <w:r>
            <w:rPr>
              <w:rFonts w:hint="default" w:ascii="Times New Roman" w:hAnsi="Times New Roman" w:eastAsia="方正仿宋_GBK" w:cs="Times New Roman"/>
              <w:sz w:val="28"/>
              <w:szCs w:val="28"/>
            </w:rPr>
            <w:t>三、支出决算情况说明</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_Toc13044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8</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kern w:val="0"/>
              <w:sz w:val="28"/>
              <w:szCs w:val="28"/>
              <w:lang w:val="en-US" w:eastAsia="zh-CN" w:bidi="ar-SA"/>
            </w:rPr>
            <w:fldChar w:fldCharType="end"/>
          </w:r>
        </w:p>
        <w:p w14:paraId="1C63DB42">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val="en-US" w:eastAsia="zh-CN" w:bidi="ar-SA"/>
            </w:rPr>
            <w:fldChar w:fldCharType="begin"/>
          </w:r>
          <w:r>
            <w:rPr>
              <w:rFonts w:hint="default" w:ascii="Times New Roman" w:hAnsi="Times New Roman" w:eastAsia="方正仿宋_GBK" w:cs="Times New Roman"/>
              <w:kern w:val="0"/>
              <w:sz w:val="28"/>
              <w:szCs w:val="28"/>
              <w:lang w:val="en-US" w:eastAsia="zh-CN" w:bidi="ar-SA"/>
            </w:rPr>
            <w:instrText xml:space="preserve"> HYPERLINK \l _Toc27864 </w:instrText>
          </w:r>
          <w:r>
            <w:rPr>
              <w:rFonts w:hint="default" w:ascii="Times New Roman" w:hAnsi="Times New Roman" w:eastAsia="方正仿宋_GBK" w:cs="Times New Roman"/>
              <w:kern w:val="0"/>
              <w:sz w:val="28"/>
              <w:szCs w:val="28"/>
              <w:lang w:val="en-US" w:eastAsia="zh-CN" w:bidi="ar-SA"/>
            </w:rPr>
            <w:fldChar w:fldCharType="separate"/>
          </w:r>
          <w:r>
            <w:rPr>
              <w:rFonts w:hint="default" w:ascii="Times New Roman" w:hAnsi="Times New Roman" w:eastAsia="方正仿宋_GBK" w:cs="Times New Roman"/>
              <w:sz w:val="28"/>
              <w:szCs w:val="28"/>
            </w:rPr>
            <w:t>四、财政拨款收入支出决算总体情况说明</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_Toc27864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9</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kern w:val="0"/>
              <w:sz w:val="28"/>
              <w:szCs w:val="28"/>
              <w:lang w:val="en-US" w:eastAsia="zh-CN" w:bidi="ar-SA"/>
            </w:rPr>
            <w:fldChar w:fldCharType="end"/>
          </w:r>
        </w:p>
        <w:p w14:paraId="60B7C54D">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val="en-US" w:eastAsia="zh-CN" w:bidi="ar-SA"/>
            </w:rPr>
            <w:fldChar w:fldCharType="begin"/>
          </w:r>
          <w:r>
            <w:rPr>
              <w:rFonts w:hint="default" w:ascii="Times New Roman" w:hAnsi="Times New Roman" w:eastAsia="方正仿宋_GBK" w:cs="Times New Roman"/>
              <w:kern w:val="0"/>
              <w:sz w:val="28"/>
              <w:szCs w:val="28"/>
              <w:lang w:val="en-US" w:eastAsia="zh-CN" w:bidi="ar-SA"/>
            </w:rPr>
            <w:instrText xml:space="preserve"> HYPERLINK \l _Toc5524 </w:instrText>
          </w:r>
          <w:r>
            <w:rPr>
              <w:rFonts w:hint="default" w:ascii="Times New Roman" w:hAnsi="Times New Roman" w:eastAsia="方正仿宋_GBK" w:cs="Times New Roman"/>
              <w:kern w:val="0"/>
              <w:sz w:val="28"/>
              <w:szCs w:val="28"/>
              <w:lang w:val="en-US" w:eastAsia="zh-CN" w:bidi="ar-SA"/>
            </w:rPr>
            <w:fldChar w:fldCharType="separate"/>
          </w:r>
          <w:r>
            <w:rPr>
              <w:rFonts w:hint="default" w:ascii="Times New Roman" w:hAnsi="Times New Roman" w:eastAsia="方正仿宋_GBK" w:cs="Times New Roman"/>
              <w:sz w:val="28"/>
              <w:szCs w:val="28"/>
            </w:rPr>
            <w:t>五、一般公共预算财政拨款支出决算情况说明</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_Toc5524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10</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kern w:val="0"/>
              <w:sz w:val="28"/>
              <w:szCs w:val="28"/>
              <w:lang w:val="en-US" w:eastAsia="zh-CN" w:bidi="ar-SA"/>
            </w:rPr>
            <w:fldChar w:fldCharType="end"/>
          </w:r>
        </w:p>
        <w:p w14:paraId="13CFF6D1">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val="en-US" w:eastAsia="zh-CN" w:bidi="ar-SA"/>
            </w:rPr>
            <w:fldChar w:fldCharType="begin"/>
          </w:r>
          <w:r>
            <w:rPr>
              <w:rFonts w:hint="default" w:ascii="Times New Roman" w:hAnsi="Times New Roman" w:eastAsia="方正仿宋_GBK" w:cs="Times New Roman"/>
              <w:kern w:val="0"/>
              <w:sz w:val="28"/>
              <w:szCs w:val="28"/>
              <w:lang w:val="en-US" w:eastAsia="zh-CN" w:bidi="ar-SA"/>
            </w:rPr>
            <w:instrText xml:space="preserve"> HYPERLINK \l _Toc19431 </w:instrText>
          </w:r>
          <w:r>
            <w:rPr>
              <w:rFonts w:hint="default" w:ascii="Times New Roman" w:hAnsi="Times New Roman" w:eastAsia="方正仿宋_GBK" w:cs="Times New Roman"/>
              <w:kern w:val="0"/>
              <w:sz w:val="28"/>
              <w:szCs w:val="28"/>
              <w:lang w:val="en-US" w:eastAsia="zh-CN" w:bidi="ar-SA"/>
            </w:rPr>
            <w:fldChar w:fldCharType="separate"/>
          </w:r>
          <w:r>
            <w:rPr>
              <w:rFonts w:hint="default" w:ascii="Times New Roman" w:hAnsi="Times New Roman" w:eastAsia="方正仿宋_GBK" w:cs="Times New Roman"/>
              <w:sz w:val="28"/>
              <w:szCs w:val="28"/>
            </w:rPr>
            <w:t>六、一般公共预算财政拨款基本支出决算情况说明</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_Toc19431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14</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kern w:val="0"/>
              <w:sz w:val="28"/>
              <w:szCs w:val="28"/>
              <w:lang w:val="en-US" w:eastAsia="zh-CN" w:bidi="ar-SA"/>
            </w:rPr>
            <w:fldChar w:fldCharType="end"/>
          </w:r>
        </w:p>
        <w:p w14:paraId="0F546DD5">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val="en-US" w:eastAsia="zh-CN" w:bidi="ar-SA"/>
            </w:rPr>
            <w:fldChar w:fldCharType="begin"/>
          </w:r>
          <w:r>
            <w:rPr>
              <w:rFonts w:hint="default" w:ascii="Times New Roman" w:hAnsi="Times New Roman" w:eastAsia="方正仿宋_GBK" w:cs="Times New Roman"/>
              <w:kern w:val="0"/>
              <w:sz w:val="28"/>
              <w:szCs w:val="28"/>
              <w:lang w:val="en-US" w:eastAsia="zh-CN" w:bidi="ar-SA"/>
            </w:rPr>
            <w:instrText xml:space="preserve"> HYPERLINK \l _Toc14794 </w:instrText>
          </w:r>
          <w:r>
            <w:rPr>
              <w:rFonts w:hint="default" w:ascii="Times New Roman" w:hAnsi="Times New Roman" w:eastAsia="方正仿宋_GBK" w:cs="Times New Roman"/>
              <w:kern w:val="0"/>
              <w:sz w:val="28"/>
              <w:szCs w:val="28"/>
              <w:lang w:val="en-US" w:eastAsia="zh-CN" w:bidi="ar-SA"/>
            </w:rPr>
            <w:fldChar w:fldCharType="separate"/>
          </w:r>
          <w:r>
            <w:rPr>
              <w:rFonts w:hint="default" w:ascii="Times New Roman" w:hAnsi="Times New Roman" w:eastAsia="方正仿宋_GBK" w:cs="Times New Roman"/>
              <w:bCs/>
              <w:sz w:val="28"/>
              <w:szCs w:val="28"/>
            </w:rPr>
            <w:t>七、财政拨款“三公”经费支出决算情况说明</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_Toc14794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15</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kern w:val="0"/>
              <w:sz w:val="28"/>
              <w:szCs w:val="28"/>
              <w:lang w:val="en-US" w:eastAsia="zh-CN" w:bidi="ar-SA"/>
            </w:rPr>
            <w:fldChar w:fldCharType="end"/>
          </w:r>
        </w:p>
        <w:p w14:paraId="305405AD">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val="en-US" w:eastAsia="zh-CN" w:bidi="ar-SA"/>
            </w:rPr>
            <w:fldChar w:fldCharType="begin"/>
          </w:r>
          <w:r>
            <w:rPr>
              <w:rFonts w:hint="default" w:ascii="Times New Roman" w:hAnsi="Times New Roman" w:eastAsia="方正仿宋_GBK" w:cs="Times New Roman"/>
              <w:kern w:val="0"/>
              <w:sz w:val="28"/>
              <w:szCs w:val="28"/>
              <w:lang w:val="en-US" w:eastAsia="zh-CN" w:bidi="ar-SA"/>
            </w:rPr>
            <w:instrText xml:space="preserve"> HYPERLINK \l _Toc5687 </w:instrText>
          </w:r>
          <w:r>
            <w:rPr>
              <w:rFonts w:hint="default" w:ascii="Times New Roman" w:hAnsi="Times New Roman" w:eastAsia="方正仿宋_GBK" w:cs="Times New Roman"/>
              <w:kern w:val="0"/>
              <w:sz w:val="28"/>
              <w:szCs w:val="28"/>
              <w:lang w:val="en-US" w:eastAsia="zh-CN" w:bidi="ar-SA"/>
            </w:rPr>
            <w:fldChar w:fldCharType="separate"/>
          </w:r>
          <w:r>
            <w:rPr>
              <w:rFonts w:hint="default" w:ascii="Times New Roman" w:hAnsi="Times New Roman" w:eastAsia="方正仿宋_GBK" w:cs="Times New Roman"/>
              <w:sz w:val="28"/>
              <w:szCs w:val="28"/>
            </w:rPr>
            <w:t>八、政府性基金预算支出决算情况说明</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_Toc5687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16</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kern w:val="0"/>
              <w:sz w:val="28"/>
              <w:szCs w:val="28"/>
              <w:lang w:val="en-US" w:eastAsia="zh-CN" w:bidi="ar-SA"/>
            </w:rPr>
            <w:fldChar w:fldCharType="end"/>
          </w:r>
        </w:p>
        <w:p w14:paraId="0CBAC892">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val="en-US" w:eastAsia="zh-CN" w:bidi="ar-SA"/>
            </w:rPr>
            <w:fldChar w:fldCharType="begin"/>
          </w:r>
          <w:r>
            <w:rPr>
              <w:rFonts w:hint="default" w:ascii="Times New Roman" w:hAnsi="Times New Roman" w:eastAsia="方正仿宋_GBK" w:cs="Times New Roman"/>
              <w:kern w:val="0"/>
              <w:sz w:val="28"/>
              <w:szCs w:val="28"/>
              <w:lang w:val="en-US" w:eastAsia="zh-CN" w:bidi="ar-SA"/>
            </w:rPr>
            <w:instrText xml:space="preserve"> HYPERLINK \l _Toc17570 </w:instrText>
          </w:r>
          <w:r>
            <w:rPr>
              <w:rFonts w:hint="default" w:ascii="Times New Roman" w:hAnsi="Times New Roman" w:eastAsia="方正仿宋_GBK" w:cs="Times New Roman"/>
              <w:kern w:val="0"/>
              <w:sz w:val="28"/>
              <w:szCs w:val="28"/>
              <w:lang w:val="en-US" w:eastAsia="zh-CN" w:bidi="ar-SA"/>
            </w:rPr>
            <w:fldChar w:fldCharType="separate"/>
          </w:r>
          <w:r>
            <w:rPr>
              <w:rFonts w:hint="default" w:ascii="Times New Roman" w:hAnsi="Times New Roman" w:eastAsia="方正仿宋_GBK" w:cs="Times New Roman"/>
              <w:sz w:val="28"/>
              <w:szCs w:val="28"/>
            </w:rPr>
            <w:t>九、国有资本经营预算支出决算情况说明</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_Toc17570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17</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kern w:val="0"/>
              <w:sz w:val="28"/>
              <w:szCs w:val="28"/>
              <w:lang w:val="en-US" w:eastAsia="zh-CN" w:bidi="ar-SA"/>
            </w:rPr>
            <w:fldChar w:fldCharType="end"/>
          </w:r>
        </w:p>
        <w:p w14:paraId="4FB2E6A1">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val="en-US" w:eastAsia="zh-CN" w:bidi="ar-SA"/>
            </w:rPr>
            <w:fldChar w:fldCharType="begin"/>
          </w:r>
          <w:r>
            <w:rPr>
              <w:rFonts w:hint="default" w:ascii="Times New Roman" w:hAnsi="Times New Roman" w:eastAsia="方正仿宋_GBK" w:cs="Times New Roman"/>
              <w:kern w:val="0"/>
              <w:sz w:val="28"/>
              <w:szCs w:val="28"/>
              <w:lang w:val="en-US" w:eastAsia="zh-CN" w:bidi="ar-SA"/>
            </w:rPr>
            <w:instrText xml:space="preserve"> HYPERLINK \l _Toc3195 </w:instrText>
          </w:r>
          <w:r>
            <w:rPr>
              <w:rFonts w:hint="default" w:ascii="Times New Roman" w:hAnsi="Times New Roman" w:eastAsia="方正仿宋_GBK" w:cs="Times New Roman"/>
              <w:kern w:val="0"/>
              <w:sz w:val="28"/>
              <w:szCs w:val="28"/>
              <w:lang w:val="en-US" w:eastAsia="zh-CN" w:bidi="ar-SA"/>
            </w:rPr>
            <w:fldChar w:fldCharType="separate"/>
          </w:r>
          <w:r>
            <w:rPr>
              <w:rFonts w:hint="default" w:ascii="Times New Roman" w:hAnsi="Times New Roman" w:eastAsia="方正仿宋_GBK" w:cs="Times New Roman"/>
              <w:sz w:val="28"/>
              <w:szCs w:val="28"/>
            </w:rPr>
            <w:t>十、其他重要事项的情况说明</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_Toc3195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17</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kern w:val="0"/>
              <w:sz w:val="28"/>
              <w:szCs w:val="28"/>
              <w:lang w:val="en-US" w:eastAsia="zh-CN" w:bidi="ar-SA"/>
            </w:rPr>
            <w:fldChar w:fldCharType="end"/>
          </w:r>
        </w:p>
        <w:p w14:paraId="56F6412E">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val="en-US" w:eastAsia="zh-CN" w:bidi="ar-SA"/>
            </w:rPr>
            <w:fldChar w:fldCharType="begin"/>
          </w:r>
          <w:r>
            <w:rPr>
              <w:rFonts w:hint="default" w:ascii="Times New Roman" w:hAnsi="Times New Roman" w:eastAsia="方正仿宋_GBK" w:cs="Times New Roman"/>
              <w:kern w:val="0"/>
              <w:sz w:val="28"/>
              <w:szCs w:val="28"/>
              <w:lang w:val="en-US" w:eastAsia="zh-CN" w:bidi="ar-SA"/>
            </w:rPr>
            <w:instrText xml:space="preserve"> HYPERLINK \l _Toc8466 </w:instrText>
          </w:r>
          <w:r>
            <w:rPr>
              <w:rFonts w:hint="default" w:ascii="Times New Roman" w:hAnsi="Times New Roman" w:eastAsia="方正仿宋_GBK" w:cs="Times New Roman"/>
              <w:kern w:val="0"/>
              <w:sz w:val="28"/>
              <w:szCs w:val="28"/>
              <w:lang w:val="en-US" w:eastAsia="zh-CN" w:bidi="ar-SA"/>
            </w:rPr>
            <w:fldChar w:fldCharType="separate"/>
          </w:r>
          <w:r>
            <w:rPr>
              <w:rFonts w:hint="default" w:ascii="Times New Roman" w:hAnsi="Times New Roman" w:eastAsia="方正仿宋_GBK" w:cs="Times New Roman"/>
              <w:bCs w:val="0"/>
              <w:sz w:val="28"/>
              <w:szCs w:val="28"/>
            </w:rPr>
            <w:t>第三部分  名词解释</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_Toc8466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20</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kern w:val="0"/>
              <w:sz w:val="28"/>
              <w:szCs w:val="28"/>
              <w:lang w:val="en-US" w:eastAsia="zh-CN" w:bidi="ar-SA"/>
            </w:rPr>
            <w:fldChar w:fldCharType="end"/>
          </w:r>
        </w:p>
        <w:p w14:paraId="3B3A79F1">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val="en-US" w:eastAsia="zh-CN" w:bidi="ar-SA"/>
            </w:rPr>
            <w:fldChar w:fldCharType="begin"/>
          </w:r>
          <w:r>
            <w:rPr>
              <w:rFonts w:hint="default" w:ascii="Times New Roman" w:hAnsi="Times New Roman" w:eastAsia="方正仿宋_GBK" w:cs="Times New Roman"/>
              <w:kern w:val="0"/>
              <w:sz w:val="28"/>
              <w:szCs w:val="28"/>
              <w:lang w:val="en-US" w:eastAsia="zh-CN" w:bidi="ar-SA"/>
            </w:rPr>
            <w:instrText xml:space="preserve"> HYPERLINK \l _Toc11932 </w:instrText>
          </w:r>
          <w:r>
            <w:rPr>
              <w:rFonts w:hint="default" w:ascii="Times New Roman" w:hAnsi="Times New Roman" w:eastAsia="方正仿宋_GBK" w:cs="Times New Roman"/>
              <w:kern w:val="0"/>
              <w:sz w:val="28"/>
              <w:szCs w:val="28"/>
              <w:lang w:val="en-US" w:eastAsia="zh-CN" w:bidi="ar-SA"/>
            </w:rPr>
            <w:fldChar w:fldCharType="separate"/>
          </w:r>
          <w:r>
            <w:rPr>
              <w:rFonts w:hint="default" w:ascii="Times New Roman" w:hAnsi="Times New Roman" w:eastAsia="方正仿宋_GBK" w:cs="Times New Roman"/>
              <w:bCs w:val="0"/>
              <w:sz w:val="28"/>
              <w:szCs w:val="28"/>
            </w:rPr>
            <w:t>第四部分  附件</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_Toc11932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27</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kern w:val="0"/>
              <w:sz w:val="28"/>
              <w:szCs w:val="28"/>
              <w:lang w:val="en-US" w:eastAsia="zh-CN" w:bidi="ar-SA"/>
            </w:rPr>
            <w:fldChar w:fldCharType="end"/>
          </w:r>
        </w:p>
        <w:p w14:paraId="3111D49C">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val="en-US" w:eastAsia="zh-CN" w:bidi="ar-SA"/>
            </w:rPr>
            <w:fldChar w:fldCharType="begin"/>
          </w:r>
          <w:r>
            <w:rPr>
              <w:rFonts w:hint="default" w:ascii="Times New Roman" w:hAnsi="Times New Roman" w:eastAsia="方正仿宋_GBK" w:cs="Times New Roman"/>
              <w:kern w:val="0"/>
              <w:sz w:val="28"/>
              <w:szCs w:val="28"/>
              <w:lang w:val="en-US" w:eastAsia="zh-CN" w:bidi="ar-SA"/>
            </w:rPr>
            <w:instrText xml:space="preserve"> HYPERLINK \l _Toc13568 </w:instrText>
          </w:r>
          <w:r>
            <w:rPr>
              <w:rFonts w:hint="default" w:ascii="Times New Roman" w:hAnsi="Times New Roman" w:eastAsia="方正仿宋_GBK" w:cs="Times New Roman"/>
              <w:kern w:val="0"/>
              <w:sz w:val="28"/>
              <w:szCs w:val="28"/>
              <w:lang w:val="en-US" w:eastAsia="zh-CN" w:bidi="ar-SA"/>
            </w:rPr>
            <w:fldChar w:fldCharType="separate"/>
          </w:r>
          <w:r>
            <w:rPr>
              <w:rFonts w:hint="default" w:ascii="Times New Roman" w:hAnsi="Times New Roman" w:eastAsia="方正仿宋_GBK" w:cs="Times New Roman"/>
              <w:bCs w:val="0"/>
              <w:sz w:val="28"/>
              <w:szCs w:val="28"/>
            </w:rPr>
            <w:t>第五部分 附表</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_Toc13568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28</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kern w:val="0"/>
              <w:sz w:val="28"/>
              <w:szCs w:val="28"/>
              <w:lang w:val="en-US" w:eastAsia="zh-CN" w:bidi="ar-SA"/>
            </w:rPr>
            <w:fldChar w:fldCharType="end"/>
          </w:r>
        </w:p>
        <w:p w14:paraId="59658782">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kern w:val="0"/>
              <w:sz w:val="32"/>
              <w:szCs w:val="24"/>
              <w:lang w:val="en-US" w:eastAsia="zh-CN" w:bidi="ar-SA"/>
            </w:rPr>
          </w:pPr>
          <w:r>
            <w:rPr>
              <w:rFonts w:hint="default" w:ascii="Times New Roman" w:hAnsi="Times New Roman" w:eastAsia="方正仿宋_GBK" w:cs="Times New Roman"/>
              <w:kern w:val="0"/>
              <w:sz w:val="28"/>
              <w:szCs w:val="28"/>
              <w:lang w:val="en-US" w:eastAsia="zh-CN" w:bidi="ar-SA"/>
            </w:rPr>
            <w:fldChar w:fldCharType="end"/>
          </w:r>
        </w:p>
      </w:sdtContent>
    </w:sdt>
    <w:p w14:paraId="75A20DAF">
      <w:pPr>
        <w:pStyle w:val="3"/>
        <w:keepNext/>
        <w:keepLines/>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b/>
          <w:bCs w:val="0"/>
          <w:sz w:val="32"/>
          <w:szCs w:val="32"/>
        </w:rPr>
      </w:pPr>
      <w:bookmarkStart w:id="6" w:name="_Toc3665"/>
      <w:r>
        <w:rPr>
          <w:rFonts w:hint="default" w:ascii="Times New Roman" w:hAnsi="Times New Roman" w:eastAsia="方正小标宋_GBK" w:cs="Times New Roman"/>
          <w:b/>
          <w:bCs w:val="0"/>
        </w:rPr>
        <w:t xml:space="preserve">第一部分  </w:t>
      </w:r>
      <w:r>
        <w:rPr>
          <w:rStyle w:val="28"/>
          <w:rFonts w:hint="default" w:ascii="Times New Roman" w:hAnsi="Times New Roman" w:eastAsia="方正小标宋_GBK" w:cs="Times New Roman"/>
          <w:b/>
          <w:bCs w:val="0"/>
        </w:rPr>
        <w:t>单位概况</w:t>
      </w:r>
      <w:bookmarkEnd w:id="6"/>
    </w:p>
    <w:p w14:paraId="04508EAA">
      <w:pPr>
        <w:pStyle w:val="4"/>
        <w:numPr>
          <w:ilvl w:val="0"/>
          <w:numId w:val="1"/>
        </w:numPr>
        <w:ind w:left="0" w:leftChars="0" w:firstLine="0" w:firstLineChars="0"/>
        <w:rPr>
          <w:rFonts w:hint="default" w:ascii="Times New Roman" w:hAnsi="Times New Roman" w:eastAsia="方正黑体_GBK" w:cs="Times New Roman"/>
          <w:b w:val="0"/>
          <w:bCs/>
        </w:rPr>
      </w:pPr>
      <w:bookmarkStart w:id="7" w:name="_Toc30699"/>
      <w:r>
        <w:rPr>
          <w:rFonts w:hint="default" w:ascii="Times New Roman" w:hAnsi="Times New Roman" w:eastAsia="方正黑体_GBK" w:cs="Times New Roman"/>
          <w:b w:val="0"/>
          <w:bCs/>
        </w:rPr>
        <w:t>主要职责</w:t>
      </w:r>
      <w:bookmarkEnd w:id="7"/>
    </w:p>
    <w:p w14:paraId="7C41700C">
      <w:pPr>
        <w:pStyle w:val="27"/>
        <w:pageBreakBefore w:val="0"/>
        <w:widowControl w:val="0"/>
        <w:numPr>
          <w:ilvl w:val="0"/>
          <w:numId w:val="2"/>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bookmarkStart w:id="8" w:name="_Toc15377200"/>
      <w:bookmarkStart w:id="9" w:name="_Toc15396601"/>
      <w:r>
        <w:rPr>
          <w:rFonts w:hint="default" w:ascii="Times New Roman" w:hAnsi="Times New Roman" w:eastAsia="方正仿宋_GBK" w:cs="Times New Roman"/>
          <w:sz w:val="32"/>
          <w:szCs w:val="32"/>
        </w:rPr>
        <w:t xml:space="preserve">贯彻执行国家和省有关教育体育工作的方针、政策和法律、法规，研究制定有关贯彻意见并组织实施。 </w:t>
      </w:r>
    </w:p>
    <w:p w14:paraId="321CE609">
      <w:pPr>
        <w:pStyle w:val="27"/>
        <w:pageBreakBefore w:val="0"/>
        <w:widowControl w:val="0"/>
        <w:numPr>
          <w:ilvl w:val="0"/>
          <w:numId w:val="2"/>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拟订全县教育事业发展规划，组织实施教育体制改革；负责各类教育的统筹规划和协调管理；指导各类学校的教育教学改革；负责中小学布局结构调整；负责全县多元化体育服务体系建设，推进体育公共服务和体育体制改革；负责全县教育体育系统基本信息的统计、分析、发布工作；负责组织全县教育体育信息化建设工作。 </w:t>
      </w:r>
    </w:p>
    <w:p w14:paraId="7F652B1E">
      <w:pPr>
        <w:pStyle w:val="27"/>
        <w:pageBreakBefore w:val="0"/>
        <w:widowControl w:val="0"/>
        <w:numPr>
          <w:ilvl w:val="0"/>
          <w:numId w:val="2"/>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负责义务教育的统筹管理，推进全县义务教育均衡发展和促进教育公平。指导普通高中教育、学前教育和特殊教育工作。推进基础教育教学改革，全面实施素质教育。 </w:t>
      </w:r>
    </w:p>
    <w:p w14:paraId="3868119D">
      <w:pPr>
        <w:pStyle w:val="27"/>
        <w:pageBreakBefore w:val="0"/>
        <w:widowControl w:val="0"/>
        <w:numPr>
          <w:ilvl w:val="0"/>
          <w:numId w:val="2"/>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推进基础教育、职业教育和成人教育学校开展思想政治、 德育、体育卫生与艺术教育、国防教育、心理健康教育、安全和稳定工作。 </w:t>
      </w:r>
    </w:p>
    <w:p w14:paraId="4927BFBC">
      <w:pPr>
        <w:pStyle w:val="27"/>
        <w:pageBreakBefore w:val="0"/>
        <w:widowControl w:val="0"/>
        <w:numPr>
          <w:ilvl w:val="0"/>
          <w:numId w:val="2"/>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负责职业教育发展与改革，组织实施民族地区免费中等职业教育工作，完成省下达的藏（彝）区学生“9+3” 免费职业教育任务。</w:t>
      </w:r>
    </w:p>
    <w:p w14:paraId="6053270A">
      <w:pPr>
        <w:pStyle w:val="27"/>
        <w:pageBreakBefore w:val="0"/>
        <w:widowControl w:val="0"/>
        <w:numPr>
          <w:ilvl w:val="0"/>
          <w:numId w:val="2"/>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负责管理全县成人教育和广播电视教育及扫除青壮年文盲工作，促进协调发展。 </w:t>
      </w:r>
    </w:p>
    <w:p w14:paraId="1DB3634D">
      <w:pPr>
        <w:pStyle w:val="27"/>
        <w:pageBreakBefore w:val="0"/>
        <w:widowControl w:val="0"/>
        <w:numPr>
          <w:ilvl w:val="0"/>
          <w:numId w:val="2"/>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负责全县教育督导工作。负责承担基础教育、职业教育和广播电视教育以及扫除青壮年文盲工作的督导检查和评估验收工作，开展基础教育发展水平和质量监测工作。</w:t>
      </w:r>
    </w:p>
    <w:p w14:paraId="1C95ECF8">
      <w:pPr>
        <w:pStyle w:val="27"/>
        <w:pageBreakBefore w:val="0"/>
        <w:widowControl w:val="0"/>
        <w:numPr>
          <w:ilvl w:val="0"/>
          <w:numId w:val="2"/>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会同有关部门制定教育体育经费筹措、教育基建投资的办法，协助有关部门做好教育体育经费的筹集、拨付工作；负责本部门教育体育经费的统筹管理；协调本级财政贯彻执行教育财政、生均经费和教师工资与学生公用经费拨款；负责国（境）外教育援助、教育贷款和教育合作项目的执行；承办普通高校生源地信用助学贷款工作，完善贫困学生资助管理体系；承担对少数民族地区的教育援助工作。 </w:t>
      </w:r>
    </w:p>
    <w:p w14:paraId="2BA145A7">
      <w:pPr>
        <w:pStyle w:val="27"/>
        <w:pageBreakBefore w:val="0"/>
        <w:widowControl w:val="0"/>
        <w:numPr>
          <w:ilvl w:val="0"/>
          <w:numId w:val="2"/>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规范民办教育办学秩序，促进民办教育事业健康发展。 </w:t>
      </w:r>
    </w:p>
    <w:p w14:paraId="62C0478B">
      <w:pPr>
        <w:pStyle w:val="27"/>
        <w:pageBreakBefore w:val="0"/>
        <w:widowControl w:val="0"/>
        <w:numPr>
          <w:ilvl w:val="0"/>
          <w:numId w:val="2"/>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负责全县中小学教师和教育行政干部队伍建设工作；推进学校内部管理体制改革。 </w:t>
      </w:r>
    </w:p>
    <w:p w14:paraId="1C5E1B82">
      <w:pPr>
        <w:pStyle w:val="27"/>
        <w:pageBreakBefore w:val="0"/>
        <w:widowControl w:val="0"/>
        <w:numPr>
          <w:ilvl w:val="0"/>
          <w:numId w:val="2"/>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贯彻执行国家语言文字的方针政策，拟订语言文字工作中长期规划和工作计划，负责普通话推广和普通话师资培训工作，承办语言文字工作委员会的具体工作。 </w:t>
      </w:r>
    </w:p>
    <w:p w14:paraId="6A0A50EF">
      <w:pPr>
        <w:pStyle w:val="27"/>
        <w:pageBreakBefore w:val="0"/>
        <w:widowControl w:val="0"/>
        <w:numPr>
          <w:ilvl w:val="0"/>
          <w:numId w:val="2"/>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负责并指导教育基础设施建设，完善中小学校校舍维修改造长效机制；负责并指导学校现代信息技术教育和推进现代教育信息化建设，进一步改善学校办学条件；负责推进农村薄弱学校建设；加强项目建设管理，推动校舍档案和信息系统建设，促进校舍安全管理的规范化、信息化。 </w:t>
      </w:r>
    </w:p>
    <w:p w14:paraId="7930B111">
      <w:pPr>
        <w:pStyle w:val="27"/>
        <w:pageBreakBefore w:val="0"/>
        <w:widowControl w:val="0"/>
        <w:numPr>
          <w:ilvl w:val="0"/>
          <w:numId w:val="2"/>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负责全县教育系统对外交流与合作，承办全县中小学校出国留学人员和基础教育系统来我县外籍教师、专家及留学人员的有关管理工作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大中专招生和自学考试工作。制定中小学校招生计划并组织实施，会同中等职业学校做好本县中职招生工作统筹规划全县群众体育发展。负责推行全民健身计划，监督实施国家体育锻炼标准，承担全县国民体质监测和社会体育指导工作队伍制度建设；指导公共体育设施的建设，负责对公共体育设施的管理。统筹规划全县竞技体育发展。指导体育训练、体育竞赛和运动员队伍建设；组织和统筹参加省级以上综合运动会，负责组织协调县级综合性运动会的竞赛工作，协调运动员社会保障工作。</w:t>
      </w:r>
    </w:p>
    <w:p w14:paraId="21B19D24">
      <w:pPr>
        <w:pStyle w:val="27"/>
        <w:pageBreakBefore w:val="0"/>
        <w:widowControl w:val="0"/>
        <w:numPr>
          <w:ilvl w:val="0"/>
          <w:numId w:val="2"/>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统筹规划全县青少年体育发展。指导和管理学校体育工作；制定全县学校体育、青少年业余训练的规划和工作意见，并负责组织实施、督促和检查。 </w:t>
      </w:r>
    </w:p>
    <w:p w14:paraId="72E70C8D">
      <w:pPr>
        <w:pStyle w:val="27"/>
        <w:pageBreakBefore w:val="0"/>
        <w:widowControl w:val="0"/>
        <w:numPr>
          <w:ilvl w:val="0"/>
          <w:numId w:val="2"/>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指导全县学校后勤改革和体育产业发展，负责全县学校后勤和体育产业管理；拟定全县体育产业发展政策、措施，规范体育服务管理，推动体育标准化建设；协助管理全县体育彩票市场。</w:t>
      </w:r>
    </w:p>
    <w:p w14:paraId="58675D27">
      <w:pPr>
        <w:pStyle w:val="27"/>
        <w:pageBreakBefore w:val="0"/>
        <w:widowControl w:val="0"/>
        <w:numPr>
          <w:ilvl w:val="0"/>
          <w:numId w:val="2"/>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负责教育体育科研、技术攻关及成果推广工作；负责组织、监督全县体育运动中的反兴奋剂工作。 </w:t>
      </w:r>
    </w:p>
    <w:p w14:paraId="29AF52CF">
      <w:pPr>
        <w:pStyle w:val="27"/>
        <w:pageBreakBefore w:val="0"/>
        <w:widowControl w:val="0"/>
        <w:numPr>
          <w:ilvl w:val="0"/>
          <w:numId w:val="2"/>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负责指导、检查、督促全县学校安全管理工作。 </w:t>
      </w:r>
    </w:p>
    <w:p w14:paraId="00D99A33">
      <w:pPr>
        <w:pStyle w:val="27"/>
        <w:pageBreakBefore w:val="0"/>
        <w:widowControl w:val="0"/>
        <w:numPr>
          <w:ilvl w:val="0"/>
          <w:numId w:val="2"/>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负责职责范围内的安全生产和职业教育、生态环境保护、审批服务便民化等工作。 </w:t>
      </w:r>
    </w:p>
    <w:p w14:paraId="799E16EA">
      <w:pPr>
        <w:pStyle w:val="27"/>
        <w:pageBreakBefore w:val="0"/>
        <w:widowControl w:val="0"/>
        <w:numPr>
          <w:ilvl w:val="0"/>
          <w:numId w:val="2"/>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承担县政府公布的有关行政审批事项。 </w:t>
      </w:r>
    </w:p>
    <w:p w14:paraId="3D1167F2">
      <w:pPr>
        <w:pStyle w:val="27"/>
        <w:pageBreakBefore w:val="0"/>
        <w:widowControl w:val="0"/>
        <w:numPr>
          <w:ilvl w:val="0"/>
          <w:numId w:val="2"/>
        </w:numPr>
        <w:kinsoku/>
        <w:wordWrap/>
        <w:overflowPunct/>
        <w:topLinePunct w:val="0"/>
        <w:autoSpaceDE/>
        <w:autoSpaceDN/>
        <w:bidi w:val="0"/>
        <w:adjustRightInd/>
        <w:snapToGrid/>
        <w:spacing w:line="240" w:lineRule="auto"/>
        <w:ind w:left="0" w:leftChars="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承办县政府交办的其他事项</w:t>
      </w:r>
    </w:p>
    <w:p w14:paraId="2484E592">
      <w:pPr>
        <w:pStyle w:val="4"/>
        <w:numPr>
          <w:ilvl w:val="0"/>
          <w:numId w:val="1"/>
        </w:numPr>
        <w:ind w:left="0" w:leftChars="0" w:firstLine="0" w:firstLineChars="0"/>
        <w:rPr>
          <w:rFonts w:hint="default" w:ascii="Times New Roman" w:hAnsi="Times New Roman" w:eastAsia="方正黑体_GBK" w:cs="Times New Roman"/>
          <w:b w:val="0"/>
          <w:bCs/>
        </w:rPr>
      </w:pPr>
      <w:bookmarkStart w:id="10" w:name="_Toc3304"/>
      <w:r>
        <w:rPr>
          <w:rFonts w:hint="default" w:ascii="Times New Roman" w:hAnsi="Times New Roman" w:eastAsia="方正黑体_GBK" w:cs="Times New Roman"/>
          <w:b w:val="0"/>
          <w:bCs/>
        </w:rPr>
        <w:t>机构设置</w:t>
      </w:r>
      <w:bookmarkEnd w:id="10"/>
    </w:p>
    <w:p w14:paraId="51C97936">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盐边县教育和体育局（本级）下属二级单位0个，纳入盐边县教育和体育局（本级）编报范围的非独立核算事业单位3个，包括教师发展交流中心、教育科学研究中心、招生考试中心。</w:t>
      </w:r>
    </w:p>
    <w:p w14:paraId="4D5583DA">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br w:type="page"/>
      </w:r>
    </w:p>
    <w:p w14:paraId="3A7C9141">
      <w:pPr>
        <w:pStyle w:val="3"/>
        <w:keepNext/>
        <w:keepLines/>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rPr>
      </w:pPr>
      <w:bookmarkStart w:id="11" w:name="_Toc15396602"/>
      <w:bookmarkStart w:id="12" w:name="_Toc15377204"/>
      <w:bookmarkStart w:id="13" w:name="_Toc18882"/>
      <w:r>
        <w:rPr>
          <w:rFonts w:hint="default" w:ascii="Times New Roman" w:hAnsi="Times New Roman" w:eastAsia="方正小标宋_GBK" w:cs="Times New Roman"/>
          <w:b/>
          <w:bCs w:val="0"/>
        </w:rPr>
        <w:t>第二部分  2024年度部门决算情况说明</w:t>
      </w:r>
      <w:bookmarkEnd w:id="11"/>
      <w:bookmarkEnd w:id="12"/>
      <w:bookmarkEnd w:id="13"/>
    </w:p>
    <w:p w14:paraId="3C614055">
      <w:pPr>
        <w:pStyle w:val="27"/>
        <w:keepNext w:val="0"/>
        <w:keepLines w:val="0"/>
        <w:pageBreakBefore w:val="0"/>
        <w:kinsoku/>
        <w:wordWrap/>
        <w:overflowPunct/>
        <w:topLinePunct w:val="0"/>
        <w:autoSpaceDE/>
        <w:autoSpaceDN/>
        <w:bidi w:val="0"/>
        <w:spacing w:line="240" w:lineRule="auto"/>
        <w:ind w:firstLine="640"/>
        <w:textAlignment w:val="auto"/>
        <w:outlineLvl w:val="1"/>
        <w:rPr>
          <w:rStyle w:val="29"/>
          <w:rFonts w:hint="default" w:ascii="Times New Roman" w:hAnsi="Times New Roman" w:eastAsia="方正黑体_GBK" w:cs="Times New Roman"/>
          <w:b w:val="0"/>
        </w:rPr>
      </w:pPr>
      <w:bookmarkStart w:id="14" w:name="_Toc15396603"/>
      <w:bookmarkStart w:id="15" w:name="_Toc15377205"/>
      <w:bookmarkStart w:id="16" w:name="_Toc3122"/>
      <w:r>
        <w:rPr>
          <w:rFonts w:hint="default" w:ascii="Times New Roman" w:hAnsi="Times New Roman" w:eastAsia="方正黑体_GBK" w:cs="Times New Roman"/>
          <w:sz w:val="32"/>
          <w:szCs w:val="32"/>
        </w:rPr>
        <w:t>一、收</w:t>
      </w:r>
      <w:r>
        <w:rPr>
          <w:rStyle w:val="29"/>
          <w:rFonts w:hint="default" w:ascii="Times New Roman" w:hAnsi="Times New Roman" w:eastAsia="方正黑体_GBK" w:cs="Times New Roman"/>
          <w:b w:val="0"/>
        </w:rPr>
        <w:t>入支出决算总体情况说明</w:t>
      </w:r>
      <w:bookmarkEnd w:id="14"/>
      <w:bookmarkEnd w:id="15"/>
      <w:bookmarkEnd w:id="16"/>
    </w:p>
    <w:p w14:paraId="793A3AD1">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rPr>
        <w:t>2024年度收入</w:t>
      </w:r>
      <w:r>
        <w:rPr>
          <w:rFonts w:hint="default" w:ascii="Times New Roman" w:hAnsi="Times New Roman" w:eastAsia="方正仿宋_GBK" w:cs="Times New Roman"/>
          <w:lang w:val="en-US" w:eastAsia="zh-CN"/>
        </w:rPr>
        <w:t>总计为12053.58万元</w:t>
      </w:r>
      <w:r>
        <w:rPr>
          <w:rFonts w:hint="default" w:ascii="Times New Roman" w:hAnsi="Times New Roman" w:eastAsia="方正仿宋_GBK" w:cs="Times New Roman"/>
        </w:rPr>
        <w:t>、支出总计</w:t>
      </w:r>
      <w:r>
        <w:rPr>
          <w:rFonts w:hint="default" w:ascii="Times New Roman" w:hAnsi="Times New Roman" w:eastAsia="方正仿宋_GBK" w:cs="Times New Roman"/>
          <w:lang w:val="en-US" w:eastAsia="zh-CN"/>
        </w:rPr>
        <w:t>为12000.74</w:t>
      </w:r>
      <w:r>
        <w:rPr>
          <w:rFonts w:hint="default" w:ascii="Times New Roman" w:hAnsi="Times New Roman" w:eastAsia="方正仿宋_GBK" w:cs="Times New Roman"/>
        </w:rPr>
        <w:t>万元。与2023年度相比，收入</w:t>
      </w:r>
      <w:r>
        <w:rPr>
          <w:rFonts w:hint="default" w:ascii="Times New Roman" w:hAnsi="Times New Roman" w:eastAsia="方正仿宋_GBK" w:cs="Times New Roman"/>
          <w:lang w:val="en-US" w:eastAsia="zh-CN"/>
        </w:rPr>
        <w:t>总计增加3203.91万元，</w:t>
      </w:r>
      <w:r>
        <w:rPr>
          <w:rFonts w:hint="default" w:ascii="Times New Roman" w:hAnsi="Times New Roman" w:eastAsia="方正仿宋_GBK" w:cs="Times New Roman"/>
        </w:rPr>
        <w:t>增长</w:t>
      </w:r>
      <w:r>
        <w:rPr>
          <w:rFonts w:hint="default" w:ascii="Times New Roman" w:hAnsi="Times New Roman" w:eastAsia="方正仿宋_GBK" w:cs="Times New Roman"/>
          <w:lang w:val="en-US" w:eastAsia="zh-CN"/>
        </w:rPr>
        <w:t>36.20</w:t>
      </w:r>
      <w:r>
        <w:rPr>
          <w:rFonts w:hint="default" w:ascii="Times New Roman" w:hAnsi="Times New Roman" w:eastAsia="方正仿宋_GBK" w:cs="Times New Roman"/>
        </w:rPr>
        <w:t>%、支出总计减少</w:t>
      </w:r>
      <w:r>
        <w:rPr>
          <w:rFonts w:hint="default" w:ascii="Times New Roman" w:hAnsi="Times New Roman" w:eastAsia="方正仿宋_GBK" w:cs="Times New Roman"/>
          <w:lang w:val="en-US" w:eastAsia="zh-CN"/>
        </w:rPr>
        <w:t>3921.51</w:t>
      </w:r>
      <w:r>
        <w:rPr>
          <w:rFonts w:hint="default" w:ascii="Times New Roman" w:hAnsi="Times New Roman" w:eastAsia="方正仿宋_GBK" w:cs="Times New Roman"/>
        </w:rPr>
        <w:t>万元，增长</w:t>
      </w:r>
      <w:r>
        <w:rPr>
          <w:rFonts w:hint="default" w:ascii="Times New Roman" w:hAnsi="Times New Roman" w:eastAsia="方正仿宋_GBK" w:cs="Times New Roman"/>
          <w:lang w:val="en-US" w:eastAsia="zh-CN"/>
        </w:rPr>
        <w:t>44.31</w:t>
      </w:r>
      <w:r>
        <w:rPr>
          <w:rFonts w:hint="default" w:ascii="Times New Roman" w:hAnsi="Times New Roman" w:eastAsia="方正仿宋_GBK" w:cs="Times New Roman"/>
        </w:rPr>
        <w:t>%。主要变动原因是</w:t>
      </w:r>
      <w:r>
        <w:rPr>
          <w:rFonts w:hint="default" w:ascii="Times New Roman" w:hAnsi="Times New Roman" w:eastAsia="方正仿宋_GBK" w:cs="Times New Roman"/>
          <w:lang w:val="en-US" w:eastAsia="zh-CN"/>
        </w:rPr>
        <w:t>项目支出增加。</w:t>
      </w:r>
    </w:p>
    <w:p w14:paraId="53D7DA1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drawing>
          <wp:inline distT="0" distB="0" distL="114300" distR="114300">
            <wp:extent cx="5063490" cy="4222115"/>
            <wp:effectExtent l="4445" t="4445" r="18415" b="21590"/>
            <wp:docPr id="24" name="图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BC14789">
      <w:pPr>
        <w:keepNext w:val="0"/>
        <w:keepLines w:val="0"/>
        <w:pageBreakBefore w:val="0"/>
        <w:kinsoku/>
        <w:wordWrap/>
        <w:overflowPunct/>
        <w:topLinePunct w:val="0"/>
        <w:autoSpaceDE/>
        <w:autoSpaceDN/>
        <w:bidi w:val="0"/>
        <w:snapToGrid/>
        <w:spacing w:line="240" w:lineRule="auto"/>
        <w:ind w:firstLine="480" w:firstLineChars="200"/>
        <w:jc w:val="center"/>
        <w:textAlignment w:val="auto"/>
        <w:rPr>
          <w:rFonts w:hint="default" w:ascii="Times New Roman" w:hAnsi="Times New Roman" w:eastAsia="黑体" w:cs="Times New Roman"/>
          <w:sz w:val="24"/>
          <w:szCs w:val="24"/>
        </w:rPr>
      </w:pPr>
      <w:bookmarkStart w:id="17" w:name="_Toc15396604"/>
      <w:bookmarkStart w:id="18" w:name="_Toc15377206"/>
      <w:r>
        <w:rPr>
          <w:rFonts w:hint="default" w:ascii="Times New Roman" w:hAnsi="Times New Roman" w:eastAsia="仿宋_GB2312" w:cs="Times New Roman"/>
          <w:sz w:val="24"/>
          <w:szCs w:val="24"/>
        </w:rPr>
        <w:t>（图1：收、支决算总计变动情况图）</w:t>
      </w:r>
    </w:p>
    <w:p w14:paraId="160F6832">
      <w:pPr>
        <w:pStyle w:val="27"/>
        <w:keepNext w:val="0"/>
        <w:keepLines w:val="0"/>
        <w:pageBreakBefore w:val="0"/>
        <w:kinsoku/>
        <w:wordWrap/>
        <w:overflowPunct/>
        <w:topLinePunct w:val="0"/>
        <w:autoSpaceDE/>
        <w:autoSpaceDN/>
        <w:bidi w:val="0"/>
        <w:spacing w:line="240" w:lineRule="auto"/>
        <w:ind w:firstLine="640"/>
        <w:textAlignment w:val="auto"/>
        <w:outlineLvl w:val="1"/>
        <w:rPr>
          <w:rFonts w:hint="default" w:ascii="Times New Roman" w:hAnsi="Times New Roman" w:eastAsia="方正黑体_GBK" w:cs="Times New Roman"/>
          <w:sz w:val="32"/>
          <w:szCs w:val="32"/>
        </w:rPr>
      </w:pPr>
      <w:bookmarkStart w:id="19" w:name="_Toc21655"/>
      <w:r>
        <w:rPr>
          <w:rFonts w:hint="default" w:ascii="Times New Roman" w:hAnsi="Times New Roman" w:eastAsia="方正黑体_GBK" w:cs="Times New Roman"/>
          <w:sz w:val="32"/>
          <w:szCs w:val="32"/>
        </w:rPr>
        <w:t>二、收入决算情况说明</w:t>
      </w:r>
      <w:bookmarkEnd w:id="17"/>
      <w:bookmarkEnd w:id="18"/>
      <w:bookmarkEnd w:id="19"/>
    </w:p>
    <w:p w14:paraId="4368FD1C">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2024年度本年收入合计</w:t>
      </w:r>
      <w:r>
        <w:rPr>
          <w:rFonts w:hint="default" w:ascii="Times New Roman" w:hAnsi="Times New Roman" w:cs="Times New Roman"/>
          <w:lang w:val="en-US" w:eastAsia="zh-CN"/>
        </w:rPr>
        <w:t>12053.58</w:t>
      </w:r>
      <w:r>
        <w:rPr>
          <w:rFonts w:hint="default" w:ascii="Times New Roman" w:hAnsi="Times New Roman" w:cs="Times New Roman"/>
        </w:rPr>
        <w:t>万元，其中：一般公共预算财政拨款收入</w:t>
      </w:r>
      <w:r>
        <w:rPr>
          <w:rFonts w:hint="default" w:ascii="Times New Roman" w:hAnsi="Times New Roman" w:cs="Times New Roman"/>
          <w:lang w:val="en-US" w:eastAsia="zh-CN"/>
        </w:rPr>
        <w:t>10086.87</w:t>
      </w:r>
      <w:r>
        <w:rPr>
          <w:rFonts w:hint="default" w:ascii="Times New Roman" w:hAnsi="Times New Roman" w:cs="Times New Roman"/>
        </w:rPr>
        <w:t>万元，占</w:t>
      </w:r>
      <w:r>
        <w:rPr>
          <w:rFonts w:hint="default" w:ascii="Times New Roman" w:hAnsi="Times New Roman" w:cs="Times New Roman"/>
          <w:lang w:val="en-US" w:eastAsia="zh-CN"/>
        </w:rPr>
        <w:t>83.68</w:t>
      </w:r>
      <w:r>
        <w:rPr>
          <w:rFonts w:hint="default" w:ascii="Times New Roman" w:hAnsi="Times New Roman" w:cs="Times New Roman"/>
        </w:rPr>
        <w:t>%；政府性基金预算财政拨款收入</w:t>
      </w:r>
      <w:r>
        <w:rPr>
          <w:rFonts w:hint="default" w:ascii="Times New Roman" w:hAnsi="Times New Roman" w:cs="Times New Roman"/>
          <w:lang w:val="en-US" w:eastAsia="zh-CN"/>
        </w:rPr>
        <w:t>1911.19</w:t>
      </w:r>
      <w:r>
        <w:rPr>
          <w:rFonts w:hint="default" w:ascii="Times New Roman" w:hAnsi="Times New Roman" w:cs="Times New Roman"/>
        </w:rPr>
        <w:t>万元，占</w:t>
      </w:r>
      <w:r>
        <w:rPr>
          <w:rFonts w:hint="default" w:ascii="Times New Roman" w:hAnsi="Times New Roman" w:cs="Times New Roman"/>
          <w:lang w:val="en-US" w:eastAsia="zh-CN"/>
        </w:rPr>
        <w:t>15.86</w:t>
      </w:r>
      <w:r>
        <w:rPr>
          <w:rFonts w:hint="default" w:ascii="Times New Roman" w:hAnsi="Times New Roman" w:cs="Times New Roman"/>
        </w:rPr>
        <w:t>%；国有资本经营预算财政拨款收入</w:t>
      </w:r>
      <w:r>
        <w:rPr>
          <w:rFonts w:hint="default" w:ascii="Times New Roman" w:hAnsi="Times New Roman" w:cs="Times New Roman"/>
          <w:lang w:val="en-US" w:eastAsia="zh-CN"/>
        </w:rPr>
        <w:t>0</w:t>
      </w:r>
      <w:r>
        <w:rPr>
          <w:rFonts w:hint="default" w:ascii="Times New Roman" w:hAnsi="Times New Roman" w:cs="Times New Roman"/>
        </w:rPr>
        <w:t>万元，占</w:t>
      </w:r>
      <w:r>
        <w:rPr>
          <w:rFonts w:hint="default" w:ascii="Times New Roman" w:hAnsi="Times New Roman" w:cs="Times New Roman"/>
          <w:lang w:val="en-US" w:eastAsia="zh-CN"/>
        </w:rPr>
        <w:t>0</w:t>
      </w:r>
      <w:r>
        <w:rPr>
          <w:rFonts w:hint="default" w:ascii="Times New Roman" w:hAnsi="Times New Roman" w:cs="Times New Roman"/>
        </w:rPr>
        <w:t>%；上级补助收入</w:t>
      </w:r>
      <w:r>
        <w:rPr>
          <w:rFonts w:hint="default" w:ascii="Times New Roman" w:hAnsi="Times New Roman" w:cs="Times New Roman"/>
          <w:lang w:val="en-US" w:eastAsia="zh-CN"/>
        </w:rPr>
        <w:t>0</w:t>
      </w:r>
      <w:r>
        <w:rPr>
          <w:rFonts w:hint="default" w:ascii="Times New Roman" w:hAnsi="Times New Roman" w:cs="Times New Roman"/>
        </w:rPr>
        <w:t>万元，占</w:t>
      </w:r>
      <w:r>
        <w:rPr>
          <w:rFonts w:hint="default" w:ascii="Times New Roman" w:hAnsi="Times New Roman" w:cs="Times New Roman"/>
          <w:lang w:val="en-US" w:eastAsia="zh-CN"/>
        </w:rPr>
        <w:t>0</w:t>
      </w:r>
      <w:r>
        <w:rPr>
          <w:rFonts w:hint="default" w:ascii="Times New Roman" w:hAnsi="Times New Roman" w:cs="Times New Roman"/>
        </w:rPr>
        <w:t>%；事业收入</w:t>
      </w:r>
      <w:r>
        <w:rPr>
          <w:rFonts w:hint="default" w:ascii="Times New Roman" w:hAnsi="Times New Roman" w:cs="Times New Roman"/>
          <w:lang w:val="en-US" w:eastAsia="zh-CN"/>
        </w:rPr>
        <w:t>0</w:t>
      </w:r>
      <w:r>
        <w:rPr>
          <w:rFonts w:hint="default" w:ascii="Times New Roman" w:hAnsi="Times New Roman" w:cs="Times New Roman"/>
        </w:rPr>
        <w:t>元，占</w:t>
      </w:r>
      <w:r>
        <w:rPr>
          <w:rFonts w:hint="default" w:ascii="Times New Roman" w:hAnsi="Times New Roman" w:cs="Times New Roman"/>
          <w:lang w:val="en-US" w:eastAsia="zh-CN"/>
        </w:rPr>
        <w:t>0</w:t>
      </w:r>
      <w:r>
        <w:rPr>
          <w:rFonts w:hint="default" w:ascii="Times New Roman" w:hAnsi="Times New Roman" w:cs="Times New Roman"/>
        </w:rPr>
        <w:t>%；经营收入</w:t>
      </w:r>
      <w:r>
        <w:rPr>
          <w:rFonts w:hint="default" w:ascii="Times New Roman" w:hAnsi="Times New Roman" w:cs="Times New Roman"/>
          <w:lang w:val="en-US" w:eastAsia="zh-CN"/>
        </w:rPr>
        <w:t>0</w:t>
      </w:r>
      <w:r>
        <w:rPr>
          <w:rFonts w:hint="default" w:ascii="Times New Roman" w:hAnsi="Times New Roman" w:cs="Times New Roman"/>
        </w:rPr>
        <w:t>万元，占</w:t>
      </w:r>
      <w:r>
        <w:rPr>
          <w:rFonts w:hint="default" w:ascii="Times New Roman" w:hAnsi="Times New Roman" w:cs="Times New Roman"/>
          <w:lang w:val="en-US" w:eastAsia="zh-CN"/>
        </w:rPr>
        <w:t>0</w:t>
      </w:r>
      <w:r>
        <w:rPr>
          <w:rFonts w:hint="default" w:ascii="Times New Roman" w:hAnsi="Times New Roman" w:cs="Times New Roman"/>
        </w:rPr>
        <w:t>%；附属单位上缴收入</w:t>
      </w:r>
      <w:r>
        <w:rPr>
          <w:rFonts w:hint="default" w:ascii="Times New Roman" w:hAnsi="Times New Roman" w:cs="Times New Roman"/>
          <w:lang w:val="en-US" w:eastAsia="zh-CN"/>
        </w:rPr>
        <w:t>0</w:t>
      </w:r>
      <w:r>
        <w:rPr>
          <w:rFonts w:hint="default" w:ascii="Times New Roman" w:hAnsi="Times New Roman" w:cs="Times New Roman"/>
        </w:rPr>
        <w:t>万元，占</w:t>
      </w:r>
      <w:r>
        <w:rPr>
          <w:rFonts w:hint="default" w:ascii="Times New Roman" w:hAnsi="Times New Roman" w:cs="Times New Roman"/>
          <w:lang w:val="en-US" w:eastAsia="zh-CN"/>
        </w:rPr>
        <w:t>0</w:t>
      </w:r>
      <w:r>
        <w:rPr>
          <w:rFonts w:hint="default" w:ascii="Times New Roman" w:hAnsi="Times New Roman" w:cs="Times New Roman"/>
        </w:rPr>
        <w:t>%；其他收入</w:t>
      </w:r>
      <w:r>
        <w:rPr>
          <w:rFonts w:hint="default" w:ascii="Times New Roman" w:hAnsi="Times New Roman" w:cs="Times New Roman"/>
          <w:lang w:val="en-US" w:eastAsia="zh-CN"/>
        </w:rPr>
        <w:t>55.51</w:t>
      </w:r>
      <w:r>
        <w:rPr>
          <w:rFonts w:hint="default" w:ascii="Times New Roman" w:hAnsi="Times New Roman" w:cs="Times New Roman"/>
        </w:rPr>
        <w:t>万元，占</w:t>
      </w:r>
      <w:r>
        <w:rPr>
          <w:rFonts w:hint="default" w:ascii="Times New Roman" w:hAnsi="Times New Roman" w:cs="Times New Roman"/>
          <w:lang w:val="en-US" w:eastAsia="zh-CN"/>
        </w:rPr>
        <w:t>0.46</w:t>
      </w:r>
      <w:r>
        <w:rPr>
          <w:rFonts w:hint="default" w:ascii="Times New Roman" w:hAnsi="Times New Roman" w:cs="Times New Roman"/>
        </w:rPr>
        <w:t>%。</w:t>
      </w:r>
    </w:p>
    <w:p w14:paraId="40E3D084">
      <w:pPr>
        <w:pStyle w:val="27"/>
        <w:keepNext w:val="0"/>
        <w:keepLines w:val="0"/>
        <w:pageBreakBefore w:val="0"/>
        <w:kinsoku/>
        <w:wordWrap/>
        <w:overflowPunct/>
        <w:topLinePunct w:val="0"/>
        <w:autoSpaceDE/>
        <w:autoSpaceDN/>
        <w:bidi w:val="0"/>
        <w:spacing w:line="240" w:lineRule="auto"/>
        <w:ind w:left="0" w:leftChars="0" w:firstLine="0" w:firstLineChars="0"/>
        <w:jc w:val="center"/>
        <w:textAlignment w:val="auto"/>
        <w:outlineLvl w:val="1"/>
        <w:rPr>
          <w:rFonts w:hint="default" w:ascii="Times New Roman" w:hAnsi="Times New Roman" w:eastAsia="仿宋_GB2312" w:cs="Times New Roman"/>
          <w:sz w:val="24"/>
          <w:szCs w:val="24"/>
        </w:rPr>
      </w:pPr>
      <w:r>
        <w:rPr>
          <w:rFonts w:hint="default" w:ascii="Times New Roman" w:hAnsi="Times New Roman" w:eastAsia="仿宋_GB2312" w:cs="Times New Roman"/>
          <w:b/>
          <w:bCs/>
          <w:sz w:val="32"/>
          <w:szCs w:val="32"/>
          <w:lang w:eastAsia="zh-CN"/>
        </w:rPr>
        <w:drawing>
          <wp:inline distT="0" distB="0" distL="114300" distR="114300">
            <wp:extent cx="5329555" cy="4151630"/>
            <wp:effectExtent l="4445" t="4445" r="19050" b="15875"/>
            <wp:docPr id="21"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C534E3">
      <w:pPr>
        <w:keepNext w:val="0"/>
        <w:keepLines w:val="0"/>
        <w:pageBreakBefore w:val="0"/>
        <w:kinsoku/>
        <w:wordWrap/>
        <w:overflowPunct/>
        <w:topLinePunct w:val="0"/>
        <w:autoSpaceDE/>
        <w:autoSpaceDN/>
        <w:bidi w:val="0"/>
        <w:spacing w:line="240" w:lineRule="auto"/>
        <w:ind w:firstLine="600" w:firstLineChars="250"/>
        <w:jc w:val="center"/>
        <w:textAlignment w:val="auto"/>
        <w:rPr>
          <w:rFonts w:hint="default" w:ascii="Times New Roman" w:hAnsi="Times New Roman" w:eastAsia="方正黑体_GBK" w:cs="Times New Roman"/>
          <w:sz w:val="32"/>
          <w:szCs w:val="32"/>
        </w:rPr>
      </w:pPr>
      <w:r>
        <w:rPr>
          <w:rFonts w:hint="default" w:ascii="Times New Roman" w:hAnsi="Times New Roman" w:eastAsia="仿宋_GB2312" w:cs="Times New Roman"/>
          <w:sz w:val="24"/>
          <w:szCs w:val="24"/>
        </w:rPr>
        <w:t>（图2：收入决算结构图）</w:t>
      </w:r>
      <w:bookmarkStart w:id="20" w:name="_Toc15377207"/>
      <w:bookmarkStart w:id="21" w:name="_Toc15396605"/>
    </w:p>
    <w:p w14:paraId="24BDE33B">
      <w:pPr>
        <w:pStyle w:val="27"/>
        <w:keepNext w:val="0"/>
        <w:keepLines w:val="0"/>
        <w:pageBreakBefore w:val="0"/>
        <w:kinsoku/>
        <w:wordWrap/>
        <w:overflowPunct/>
        <w:topLinePunct w:val="0"/>
        <w:autoSpaceDE/>
        <w:autoSpaceDN/>
        <w:bidi w:val="0"/>
        <w:spacing w:line="240" w:lineRule="auto"/>
        <w:ind w:firstLine="640"/>
        <w:textAlignment w:val="auto"/>
        <w:outlineLvl w:val="1"/>
        <w:rPr>
          <w:rFonts w:hint="default" w:ascii="Times New Roman" w:hAnsi="Times New Roman" w:eastAsia="方正黑体_GBK" w:cs="Times New Roman"/>
          <w:sz w:val="32"/>
          <w:szCs w:val="32"/>
        </w:rPr>
      </w:pPr>
      <w:bookmarkStart w:id="22" w:name="_Toc13044"/>
      <w:r>
        <w:rPr>
          <w:rFonts w:hint="default" w:ascii="Times New Roman" w:hAnsi="Times New Roman" w:eastAsia="方正黑体_GBK" w:cs="Times New Roman"/>
          <w:sz w:val="32"/>
          <w:szCs w:val="32"/>
        </w:rPr>
        <w:t>三、支出决算情况说明</w:t>
      </w:r>
      <w:bookmarkEnd w:id="20"/>
      <w:bookmarkEnd w:id="21"/>
      <w:bookmarkEnd w:id="22"/>
    </w:p>
    <w:p w14:paraId="10BAAB81">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rPr>
        <w:t>2024年度本年支出合计</w:t>
      </w:r>
      <w:r>
        <w:rPr>
          <w:rFonts w:hint="default" w:ascii="Times New Roman" w:hAnsi="Times New Roman" w:cs="Times New Roman"/>
          <w:lang w:val="en-US" w:eastAsia="zh-CN"/>
        </w:rPr>
        <w:t>12000.74</w:t>
      </w:r>
      <w:r>
        <w:rPr>
          <w:rFonts w:hint="default" w:ascii="Times New Roman" w:hAnsi="Times New Roman" w:cs="Times New Roman"/>
        </w:rPr>
        <w:t>万元，其中：基本支出</w:t>
      </w:r>
      <w:r>
        <w:rPr>
          <w:rFonts w:hint="default" w:ascii="Times New Roman" w:hAnsi="Times New Roman" w:cs="Times New Roman"/>
          <w:lang w:val="en-US" w:eastAsia="zh-CN"/>
        </w:rPr>
        <w:t>1213.80</w:t>
      </w:r>
      <w:r>
        <w:rPr>
          <w:rFonts w:hint="default" w:ascii="Times New Roman" w:hAnsi="Times New Roman" w:cs="Times New Roman"/>
        </w:rPr>
        <w:t>万元，占</w:t>
      </w:r>
      <w:r>
        <w:rPr>
          <w:rFonts w:hint="default" w:ascii="Times New Roman" w:hAnsi="Times New Roman" w:cs="Times New Roman"/>
          <w:lang w:val="en-US" w:eastAsia="zh-CN"/>
        </w:rPr>
        <w:t>10.11</w:t>
      </w:r>
      <w:r>
        <w:rPr>
          <w:rFonts w:hint="default" w:ascii="Times New Roman" w:hAnsi="Times New Roman" w:cs="Times New Roman"/>
        </w:rPr>
        <w:t>%；项目支出</w:t>
      </w:r>
      <w:r>
        <w:rPr>
          <w:rFonts w:hint="default" w:ascii="Times New Roman" w:hAnsi="Times New Roman" w:cs="Times New Roman"/>
          <w:lang w:val="en-US" w:eastAsia="zh-CN"/>
        </w:rPr>
        <w:t>10786.93</w:t>
      </w:r>
      <w:r>
        <w:rPr>
          <w:rFonts w:hint="default" w:ascii="Times New Roman" w:hAnsi="Times New Roman" w:cs="Times New Roman"/>
        </w:rPr>
        <w:t>万元，占</w:t>
      </w:r>
      <w:r>
        <w:rPr>
          <w:rFonts w:hint="default" w:ascii="Times New Roman" w:hAnsi="Times New Roman" w:cs="Times New Roman"/>
          <w:lang w:val="en-US" w:eastAsia="zh-CN"/>
        </w:rPr>
        <w:t>89.89</w:t>
      </w:r>
      <w:r>
        <w:rPr>
          <w:rFonts w:hint="default" w:ascii="Times New Roman" w:hAnsi="Times New Roman" w:cs="Times New Roman"/>
        </w:rPr>
        <w:t>%；上缴上级支出</w:t>
      </w:r>
      <w:r>
        <w:rPr>
          <w:rFonts w:hint="default" w:ascii="Times New Roman" w:hAnsi="Times New Roman" w:cs="Times New Roman"/>
          <w:lang w:val="en-US" w:eastAsia="zh-CN"/>
        </w:rPr>
        <w:t>0</w:t>
      </w:r>
      <w:r>
        <w:rPr>
          <w:rFonts w:hint="default" w:ascii="Times New Roman" w:hAnsi="Times New Roman" w:cs="Times New Roman"/>
        </w:rPr>
        <w:t>万元，占</w:t>
      </w:r>
      <w:r>
        <w:rPr>
          <w:rFonts w:hint="default" w:ascii="Times New Roman" w:hAnsi="Times New Roman" w:cs="Times New Roman"/>
          <w:lang w:val="en-US" w:eastAsia="zh-CN"/>
        </w:rPr>
        <w:t>0</w:t>
      </w:r>
      <w:r>
        <w:rPr>
          <w:rFonts w:hint="default" w:ascii="Times New Roman" w:hAnsi="Times New Roman" w:cs="Times New Roman"/>
        </w:rPr>
        <w:t>%；经营支出</w:t>
      </w:r>
      <w:r>
        <w:rPr>
          <w:rFonts w:hint="default" w:ascii="Times New Roman" w:hAnsi="Times New Roman" w:cs="Times New Roman"/>
          <w:lang w:val="en-US" w:eastAsia="zh-CN"/>
        </w:rPr>
        <w:t>0</w:t>
      </w:r>
      <w:r>
        <w:rPr>
          <w:rFonts w:hint="default" w:ascii="Times New Roman" w:hAnsi="Times New Roman" w:cs="Times New Roman"/>
        </w:rPr>
        <w:t>万元，占</w:t>
      </w:r>
      <w:r>
        <w:rPr>
          <w:rFonts w:hint="default" w:ascii="Times New Roman" w:hAnsi="Times New Roman" w:cs="Times New Roman"/>
          <w:lang w:val="en-US" w:eastAsia="zh-CN"/>
        </w:rPr>
        <w:t>0</w:t>
      </w:r>
      <w:r>
        <w:rPr>
          <w:rFonts w:hint="default" w:ascii="Times New Roman" w:hAnsi="Times New Roman" w:cs="Times New Roman"/>
        </w:rPr>
        <w:t>%；对附属单位补助支出</w:t>
      </w:r>
      <w:r>
        <w:rPr>
          <w:rFonts w:hint="default" w:ascii="Times New Roman" w:hAnsi="Times New Roman" w:cs="Times New Roman"/>
          <w:lang w:val="en-US" w:eastAsia="zh-CN"/>
        </w:rPr>
        <w:t>0</w:t>
      </w:r>
      <w:r>
        <w:rPr>
          <w:rFonts w:hint="default" w:ascii="Times New Roman" w:hAnsi="Times New Roman" w:cs="Times New Roman"/>
        </w:rPr>
        <w:t>万元，占</w:t>
      </w:r>
      <w:r>
        <w:rPr>
          <w:rFonts w:hint="default" w:ascii="Times New Roman" w:hAnsi="Times New Roman" w:cs="Times New Roman"/>
          <w:lang w:val="en-US" w:eastAsia="zh-CN"/>
        </w:rPr>
        <w:t>0</w:t>
      </w:r>
      <w:r>
        <w:rPr>
          <w:rFonts w:hint="default" w:ascii="Times New Roman" w:hAnsi="Times New Roman" w:cs="Times New Roman"/>
        </w:rPr>
        <w:t>*%。</w:t>
      </w:r>
    </w:p>
    <w:p w14:paraId="0F90E2CE">
      <w:pPr>
        <w:pStyle w:val="27"/>
        <w:keepNext w:val="0"/>
        <w:keepLines w:val="0"/>
        <w:pageBreakBefore w:val="0"/>
        <w:kinsoku/>
        <w:wordWrap/>
        <w:overflowPunct/>
        <w:topLinePunct w:val="0"/>
        <w:autoSpaceDE/>
        <w:autoSpaceDN/>
        <w:bidi w:val="0"/>
        <w:spacing w:line="240" w:lineRule="auto"/>
        <w:ind w:left="0" w:leftChars="0" w:firstLine="0" w:firstLineChars="0"/>
        <w:jc w:val="center"/>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drawing>
          <wp:inline distT="0" distB="0" distL="114300" distR="114300">
            <wp:extent cx="5243195" cy="2945130"/>
            <wp:effectExtent l="4445" t="4445" r="10160" b="22225"/>
            <wp:docPr id="22"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06D390">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（图3：支出决算结构图）</w:t>
      </w:r>
    </w:p>
    <w:p w14:paraId="16E9DC79">
      <w:pPr>
        <w:pStyle w:val="27"/>
        <w:keepNext w:val="0"/>
        <w:keepLines w:val="0"/>
        <w:pageBreakBefore w:val="0"/>
        <w:kinsoku/>
        <w:wordWrap/>
        <w:overflowPunct/>
        <w:topLinePunct w:val="0"/>
        <w:autoSpaceDE/>
        <w:autoSpaceDN/>
        <w:bidi w:val="0"/>
        <w:spacing w:line="240" w:lineRule="auto"/>
        <w:ind w:firstLine="640"/>
        <w:textAlignment w:val="auto"/>
        <w:outlineLvl w:val="1"/>
        <w:rPr>
          <w:rFonts w:hint="default" w:ascii="Times New Roman" w:hAnsi="Times New Roman" w:eastAsia="方正黑体_GBK" w:cs="Times New Roman"/>
          <w:sz w:val="32"/>
          <w:szCs w:val="32"/>
        </w:rPr>
      </w:pPr>
      <w:bookmarkStart w:id="23" w:name="_Toc27864"/>
      <w:bookmarkStart w:id="24" w:name="_Toc15377208"/>
      <w:bookmarkStart w:id="25" w:name="_Toc15396606"/>
      <w:r>
        <w:rPr>
          <w:rFonts w:hint="default" w:ascii="Times New Roman" w:hAnsi="Times New Roman" w:eastAsia="方正黑体_GBK" w:cs="Times New Roman"/>
          <w:sz w:val="32"/>
          <w:szCs w:val="32"/>
        </w:rPr>
        <w:t>四、财政拨款收入支出决算总体情况说明</w:t>
      </w:r>
      <w:bookmarkEnd w:id="23"/>
      <w:bookmarkEnd w:id="24"/>
      <w:bookmarkEnd w:id="25"/>
    </w:p>
    <w:p w14:paraId="1542B1C9">
      <w:pPr>
        <w:pStyle w:val="2"/>
        <w:bidi w:val="0"/>
        <w:rPr>
          <w:rFonts w:hint="default" w:ascii="Times New Roman" w:hAnsi="Times New Roman" w:cs="Times New Roman"/>
          <w:lang w:val="en-US" w:eastAsia="zh-CN"/>
        </w:rPr>
      </w:pPr>
      <w:r>
        <w:rPr>
          <w:rFonts w:hint="default" w:ascii="Times New Roman" w:hAnsi="Times New Roman" w:cs="Times New Roman"/>
        </w:rPr>
        <w:t>2024年度财政拨款收入</w:t>
      </w:r>
      <w:r>
        <w:rPr>
          <w:rFonts w:hint="default" w:ascii="Times New Roman" w:hAnsi="Times New Roman" w:cs="Times New Roman"/>
          <w:lang w:eastAsia="zh-CN"/>
        </w:rPr>
        <w:t>、</w:t>
      </w:r>
      <w:r>
        <w:rPr>
          <w:rFonts w:hint="default" w:ascii="Times New Roman" w:hAnsi="Times New Roman" w:cs="Times New Roman"/>
        </w:rPr>
        <w:t>支出总计</w:t>
      </w:r>
      <w:r>
        <w:rPr>
          <w:rFonts w:hint="default" w:ascii="Times New Roman" w:hAnsi="Times New Roman" w:cs="Times New Roman"/>
          <w:lang w:val="en-US" w:eastAsia="zh-CN"/>
        </w:rPr>
        <w:t>均</w:t>
      </w:r>
      <w:r>
        <w:rPr>
          <w:rFonts w:hint="default" w:ascii="Times New Roman" w:hAnsi="Times New Roman" w:cs="Times New Roman"/>
        </w:rPr>
        <w:t>为</w:t>
      </w:r>
      <w:r>
        <w:rPr>
          <w:rFonts w:hint="default" w:ascii="Times New Roman" w:hAnsi="Times New Roman" w:cs="Times New Roman"/>
          <w:lang w:val="en-US" w:eastAsia="zh-CN"/>
        </w:rPr>
        <w:t>11998.07</w:t>
      </w:r>
      <w:r>
        <w:rPr>
          <w:rFonts w:hint="default" w:ascii="Times New Roman" w:hAnsi="Times New Roman" w:cs="Times New Roman"/>
        </w:rPr>
        <w:t>万元。与2023年度相比，财政拨款收入总计、支出总计各增加</w:t>
      </w:r>
      <w:r>
        <w:rPr>
          <w:rFonts w:hint="default" w:ascii="Times New Roman" w:hAnsi="Times New Roman" w:cs="Times New Roman"/>
          <w:lang w:val="en-US" w:eastAsia="zh-CN"/>
        </w:rPr>
        <w:t>3148.4</w:t>
      </w:r>
      <w:r>
        <w:rPr>
          <w:rFonts w:hint="default" w:ascii="Times New Roman" w:hAnsi="Times New Roman" w:cs="Times New Roman"/>
        </w:rPr>
        <w:t>万元，增长</w:t>
      </w:r>
      <w:r>
        <w:rPr>
          <w:rFonts w:hint="default" w:ascii="Times New Roman" w:hAnsi="Times New Roman" w:cs="Times New Roman"/>
          <w:lang w:val="en-US" w:eastAsia="zh-CN"/>
        </w:rPr>
        <w:t>35.58</w:t>
      </w:r>
      <w:r>
        <w:rPr>
          <w:rFonts w:hint="default" w:ascii="Times New Roman" w:hAnsi="Times New Roman" w:cs="Times New Roman"/>
        </w:rPr>
        <w:t>%。主要变动原因是</w:t>
      </w:r>
      <w:r>
        <w:rPr>
          <w:rFonts w:hint="default" w:ascii="Times New Roman" w:hAnsi="Times New Roman" w:cs="Times New Roman"/>
          <w:lang w:val="en-US" w:eastAsia="zh-CN"/>
        </w:rPr>
        <w:t>项目支出增加。</w:t>
      </w:r>
    </w:p>
    <w:p w14:paraId="38319656">
      <w:pPr>
        <w:pStyle w:val="2"/>
        <w:keepNext w:val="0"/>
        <w:keepLines w:val="0"/>
        <w:pageBreakBefore w:val="0"/>
        <w:kinsoku/>
        <w:wordWrap/>
        <w:overflowPunct/>
        <w:topLinePunct w:val="0"/>
        <w:autoSpaceDE/>
        <w:autoSpaceDN/>
        <w:bidi w:val="0"/>
        <w:spacing w:line="240" w:lineRule="auto"/>
        <w:ind w:left="0" w:leftChars="0" w:firstLine="0" w:firstLineChars="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32"/>
          <w:szCs w:val="32"/>
          <w:lang w:val="en-US" w:eastAsia="zh-CN"/>
        </w:rPr>
        <w:drawing>
          <wp:inline distT="0" distB="0" distL="114300" distR="114300">
            <wp:extent cx="5274310" cy="3703320"/>
            <wp:effectExtent l="4445" t="4445" r="17145" b="6985"/>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035511F">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（图4：财政拨款收、支决算总计变动情况）</w:t>
      </w:r>
      <w:bookmarkStart w:id="26" w:name="_Toc15377209"/>
      <w:bookmarkStart w:id="27" w:name="_Toc15396607"/>
    </w:p>
    <w:p w14:paraId="3BD6CA58">
      <w:pPr>
        <w:pStyle w:val="27"/>
        <w:keepNext w:val="0"/>
        <w:keepLines w:val="0"/>
        <w:pageBreakBefore w:val="0"/>
        <w:kinsoku/>
        <w:wordWrap/>
        <w:overflowPunct/>
        <w:topLinePunct w:val="0"/>
        <w:autoSpaceDE/>
        <w:autoSpaceDN/>
        <w:bidi w:val="0"/>
        <w:spacing w:line="240" w:lineRule="auto"/>
        <w:ind w:firstLine="640"/>
        <w:textAlignment w:val="auto"/>
        <w:outlineLvl w:val="1"/>
        <w:rPr>
          <w:rFonts w:hint="default" w:ascii="Times New Roman" w:hAnsi="Times New Roman" w:eastAsia="方正黑体_GBK" w:cs="Times New Roman"/>
          <w:sz w:val="32"/>
          <w:szCs w:val="32"/>
        </w:rPr>
      </w:pPr>
      <w:bookmarkStart w:id="28" w:name="_Toc5524"/>
      <w:r>
        <w:rPr>
          <w:rFonts w:hint="default" w:ascii="Times New Roman" w:hAnsi="Times New Roman" w:eastAsia="方正黑体_GBK" w:cs="Times New Roman"/>
          <w:sz w:val="32"/>
          <w:szCs w:val="32"/>
        </w:rPr>
        <w:t>五、一般公共预算财政拨款支出决算情况说明</w:t>
      </w:r>
      <w:bookmarkEnd w:id="26"/>
      <w:bookmarkEnd w:id="27"/>
      <w:bookmarkEnd w:id="28"/>
    </w:p>
    <w:p w14:paraId="3D15EA0F">
      <w:pPr>
        <w:keepNext w:val="0"/>
        <w:keepLines w:val="0"/>
        <w:pageBreakBefore w:val="0"/>
        <w:kinsoku/>
        <w:wordWrap/>
        <w:overflowPunct/>
        <w:topLinePunct w:val="0"/>
        <w:autoSpaceDE/>
        <w:autoSpaceDN/>
        <w:bidi w:val="0"/>
        <w:spacing w:line="240" w:lineRule="auto"/>
        <w:ind w:firstLine="643" w:firstLineChars="200"/>
        <w:textAlignment w:val="auto"/>
        <w:outlineLvl w:val="2"/>
        <w:rPr>
          <w:rFonts w:hint="default" w:ascii="Times New Roman" w:hAnsi="Times New Roman" w:eastAsia="方正楷体_GBK" w:cs="Times New Roman"/>
          <w:b/>
          <w:bCs w:val="0"/>
          <w:sz w:val="32"/>
          <w:szCs w:val="32"/>
        </w:rPr>
      </w:pPr>
      <w:bookmarkStart w:id="29" w:name="_Toc15377210"/>
      <w:r>
        <w:rPr>
          <w:rFonts w:hint="default" w:ascii="Times New Roman" w:hAnsi="Times New Roman" w:eastAsia="方正楷体_GBK" w:cs="Times New Roman"/>
          <w:b/>
          <w:bCs w:val="0"/>
          <w:sz w:val="32"/>
          <w:szCs w:val="32"/>
        </w:rPr>
        <w:t>（一）一般公共预算财政拨款支出决算总体情况</w:t>
      </w:r>
      <w:bookmarkEnd w:id="29"/>
    </w:p>
    <w:p w14:paraId="64EBE820">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sz w:val="32"/>
          <w:szCs w:val="32"/>
        </w:rPr>
        <w:t>2024年度一般公共预算财政拨款支出</w:t>
      </w:r>
      <w:r>
        <w:rPr>
          <w:rFonts w:hint="default" w:ascii="Times New Roman" w:hAnsi="Times New Roman" w:eastAsia="方正仿宋_GBK" w:cs="Times New Roman"/>
          <w:sz w:val="32"/>
          <w:szCs w:val="32"/>
          <w:lang w:val="en-US" w:eastAsia="zh-CN"/>
        </w:rPr>
        <w:t>10086.87</w:t>
      </w:r>
      <w:r>
        <w:rPr>
          <w:rFonts w:hint="default" w:ascii="Times New Roman" w:hAnsi="Times New Roman" w:eastAsia="方正仿宋_GBK" w:cs="Times New Roman"/>
          <w:sz w:val="32"/>
          <w:szCs w:val="32"/>
        </w:rPr>
        <w:t>万元，占本年支出合计的</w:t>
      </w:r>
      <w:r>
        <w:rPr>
          <w:rFonts w:hint="default" w:ascii="Times New Roman" w:hAnsi="Times New Roman" w:eastAsia="方正仿宋_GBK" w:cs="Times New Roman"/>
          <w:sz w:val="32"/>
          <w:szCs w:val="32"/>
          <w:lang w:val="en-US" w:eastAsia="zh-CN"/>
        </w:rPr>
        <w:t>84.07</w:t>
      </w:r>
      <w:r>
        <w:rPr>
          <w:rFonts w:hint="default" w:ascii="Times New Roman" w:hAnsi="Times New Roman" w:eastAsia="方正仿宋_GBK" w:cs="Times New Roman"/>
          <w:sz w:val="32"/>
          <w:szCs w:val="32"/>
        </w:rPr>
        <w:t>%。与2023年度相比，一般公共预算财政拨款支出增加</w:t>
      </w:r>
      <w:r>
        <w:rPr>
          <w:rFonts w:hint="default" w:ascii="Times New Roman" w:hAnsi="Times New Roman" w:eastAsia="方正仿宋_GBK" w:cs="Times New Roman"/>
          <w:sz w:val="32"/>
          <w:szCs w:val="32"/>
          <w:lang w:val="en-US" w:eastAsia="zh-CN"/>
        </w:rPr>
        <w:t>1315.8</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15.00</w:t>
      </w:r>
      <w:r>
        <w:rPr>
          <w:rFonts w:hint="default" w:ascii="Times New Roman" w:hAnsi="Times New Roman" w:eastAsia="方正仿宋_GBK" w:cs="Times New Roman"/>
          <w:sz w:val="32"/>
          <w:szCs w:val="32"/>
        </w:rPr>
        <w:t>%。主要变动原因是</w:t>
      </w:r>
      <w:r>
        <w:rPr>
          <w:rFonts w:hint="default" w:ascii="Times New Roman" w:hAnsi="Times New Roman" w:eastAsia="方正仿宋_GBK" w:cs="Times New Roman"/>
          <w:sz w:val="32"/>
          <w:szCs w:val="32"/>
          <w:lang w:val="en-US" w:eastAsia="zh-CN"/>
        </w:rPr>
        <w:t xml:space="preserve">项目支出增加。 </w:t>
      </w:r>
      <w:r>
        <w:rPr>
          <w:rFonts w:hint="default" w:ascii="Times New Roman" w:hAnsi="Times New Roman" w:eastAsia="仿宋_GB2312" w:cs="Times New Roman"/>
          <w:sz w:val="32"/>
          <w:szCs w:val="32"/>
          <w:lang w:val="en-US" w:eastAsia="zh-CN"/>
        </w:rPr>
        <w:t xml:space="preserve"> </w:t>
      </w:r>
    </w:p>
    <w:p w14:paraId="1BBCE471">
      <w:pPr>
        <w:pStyle w:val="2"/>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drawing>
          <wp:inline distT="0" distB="0" distL="114300" distR="114300">
            <wp:extent cx="5401310" cy="3881120"/>
            <wp:effectExtent l="4445" t="4445" r="23495" b="19685"/>
            <wp:docPr id="25"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9794862">
      <w:pPr>
        <w:keepNext w:val="0"/>
        <w:keepLines w:val="0"/>
        <w:pageBreakBefore w:val="0"/>
        <w:kinsoku/>
        <w:wordWrap/>
        <w:overflowPunct/>
        <w:topLinePunct w:val="0"/>
        <w:autoSpaceDE/>
        <w:autoSpaceDN/>
        <w:bidi w:val="0"/>
        <w:spacing w:line="240" w:lineRule="auto"/>
        <w:ind w:firstLine="64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（图5：一般公共预算财政拨款支出决算变动情况）</w:t>
      </w:r>
    </w:p>
    <w:p w14:paraId="295F9810">
      <w:pPr>
        <w:keepNext w:val="0"/>
        <w:keepLines w:val="0"/>
        <w:pageBreakBefore w:val="0"/>
        <w:kinsoku/>
        <w:wordWrap/>
        <w:overflowPunct/>
        <w:topLinePunct w:val="0"/>
        <w:autoSpaceDE/>
        <w:autoSpaceDN/>
        <w:bidi w:val="0"/>
        <w:spacing w:line="240" w:lineRule="auto"/>
        <w:ind w:firstLine="643" w:firstLineChars="200"/>
        <w:textAlignment w:val="auto"/>
        <w:outlineLvl w:val="2"/>
        <w:rPr>
          <w:rFonts w:hint="default" w:ascii="Times New Roman" w:hAnsi="Times New Roman" w:eastAsia="方正楷体_GBK" w:cs="Times New Roman"/>
          <w:b/>
          <w:bCs w:val="0"/>
          <w:sz w:val="32"/>
          <w:szCs w:val="32"/>
        </w:rPr>
      </w:pPr>
      <w:bookmarkStart w:id="30" w:name="_Toc15377211"/>
      <w:r>
        <w:rPr>
          <w:rFonts w:hint="default" w:ascii="Times New Roman" w:hAnsi="Times New Roman" w:eastAsia="方正楷体_GBK" w:cs="Times New Roman"/>
          <w:b/>
          <w:bCs w:val="0"/>
          <w:sz w:val="32"/>
          <w:szCs w:val="32"/>
        </w:rPr>
        <w:t>（二）一般公共预算财政拨款支出决算结构情况</w:t>
      </w:r>
      <w:bookmarkEnd w:id="30"/>
    </w:p>
    <w:p w14:paraId="12358571">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2024年度一般公共预算财政拨款支出</w:t>
      </w:r>
      <w:r>
        <w:rPr>
          <w:rFonts w:hint="default" w:ascii="Times New Roman" w:hAnsi="Times New Roman" w:eastAsia="方正仿宋_GBK" w:cs="Times New Roman"/>
          <w:sz w:val="32"/>
          <w:szCs w:val="32"/>
          <w:lang w:val="en-US" w:eastAsia="zh-CN"/>
        </w:rPr>
        <w:t>10086.87</w:t>
      </w:r>
      <w:r>
        <w:rPr>
          <w:rFonts w:hint="default" w:ascii="Times New Roman" w:hAnsi="Times New Roman" w:eastAsia="方正仿宋_GBK" w:cs="Times New Roman"/>
          <w:sz w:val="32"/>
          <w:szCs w:val="32"/>
        </w:rPr>
        <w:t>万元，主要用于以下方面：教育支出</w:t>
      </w:r>
      <w:r>
        <w:rPr>
          <w:rFonts w:hint="default" w:ascii="Times New Roman" w:hAnsi="Times New Roman" w:eastAsia="方正仿宋_GBK" w:cs="Times New Roman"/>
          <w:sz w:val="32"/>
          <w:szCs w:val="32"/>
          <w:lang w:val="en-US" w:eastAsia="zh-CN"/>
        </w:rPr>
        <w:t>9279.51</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92.00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文化旅游体育与传媒</w:t>
      </w:r>
      <w:r>
        <w:rPr>
          <w:rFonts w:hint="default" w:ascii="Times New Roman" w:hAnsi="Times New Roman" w:eastAsia="方正仿宋_GBK" w:cs="Times New Roman"/>
          <w:sz w:val="32"/>
          <w:szCs w:val="32"/>
        </w:rPr>
        <w:t>支出</w:t>
      </w:r>
      <w:r>
        <w:rPr>
          <w:rFonts w:hint="default" w:ascii="Times New Roman" w:hAnsi="Times New Roman" w:eastAsia="方正仿宋_GBK" w:cs="Times New Roman"/>
          <w:sz w:val="32"/>
          <w:szCs w:val="32"/>
          <w:lang w:val="en-US" w:eastAsia="zh-CN"/>
        </w:rPr>
        <w:t>401.79</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3.98</w:t>
      </w:r>
      <w:r>
        <w:rPr>
          <w:rFonts w:hint="default" w:ascii="Times New Roman" w:hAnsi="Times New Roman" w:eastAsia="方正仿宋_GBK" w:cs="Times New Roman"/>
          <w:sz w:val="32"/>
          <w:szCs w:val="32"/>
        </w:rPr>
        <w:t>%；社会保障和就业支出</w:t>
      </w:r>
      <w:r>
        <w:rPr>
          <w:rFonts w:hint="default" w:ascii="Times New Roman" w:hAnsi="Times New Roman" w:eastAsia="方正仿宋_GBK" w:cs="Times New Roman"/>
          <w:sz w:val="32"/>
          <w:szCs w:val="32"/>
          <w:lang w:val="en-US" w:eastAsia="zh-CN"/>
        </w:rPr>
        <w:t>246.01</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2.44</w:t>
      </w:r>
      <w:r>
        <w:rPr>
          <w:rFonts w:hint="default" w:ascii="Times New Roman" w:hAnsi="Times New Roman" w:eastAsia="方正仿宋_GBK" w:cs="Times New Roman"/>
          <w:sz w:val="32"/>
          <w:szCs w:val="32"/>
        </w:rPr>
        <w:t>%；卫生健康支出</w:t>
      </w:r>
      <w:r>
        <w:rPr>
          <w:rFonts w:hint="default" w:ascii="Times New Roman" w:hAnsi="Times New Roman" w:eastAsia="方正仿宋_GBK" w:cs="Times New Roman"/>
          <w:sz w:val="32"/>
          <w:szCs w:val="32"/>
          <w:lang w:val="en-US" w:eastAsia="zh-CN"/>
        </w:rPr>
        <w:t>82.02</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0.81</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lang w:val="en-US" w:eastAsia="zh-CN"/>
        </w:rPr>
        <w:t>77.54</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0.77</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仿宋_GB2312" w:cs="Times New Roman"/>
          <w:sz w:val="32"/>
          <w:szCs w:val="32"/>
          <w:lang w:val="en-US" w:eastAsia="zh-CN"/>
        </w:rPr>
        <w:t xml:space="preserve">                                                                                                       </w:t>
      </w:r>
    </w:p>
    <w:p w14:paraId="43AACC01">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32"/>
          <w:szCs w:val="32"/>
          <w:lang w:val="en-US" w:eastAsia="zh-CN"/>
        </w:rPr>
        <w:drawing>
          <wp:inline distT="0" distB="0" distL="114300" distR="114300">
            <wp:extent cx="5207000" cy="3444875"/>
            <wp:effectExtent l="4445" t="4445" r="8255" b="17780"/>
            <wp:docPr id="26"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4185BB0">
      <w:pPr>
        <w:keepNext w:val="0"/>
        <w:keepLines w:val="0"/>
        <w:pageBreakBefore w:val="0"/>
        <w:kinsoku/>
        <w:wordWrap/>
        <w:overflowPunct/>
        <w:topLinePunct w:val="0"/>
        <w:autoSpaceDE/>
        <w:autoSpaceDN/>
        <w:bidi w:val="0"/>
        <w:spacing w:line="240" w:lineRule="auto"/>
        <w:ind w:firstLine="64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（图6：一般公共预算财政拨款支出决算结构）</w:t>
      </w:r>
    </w:p>
    <w:p w14:paraId="578C1B07">
      <w:pPr>
        <w:keepNext w:val="0"/>
        <w:keepLines w:val="0"/>
        <w:pageBreakBefore w:val="0"/>
        <w:kinsoku/>
        <w:wordWrap/>
        <w:overflowPunct/>
        <w:topLinePunct w:val="0"/>
        <w:autoSpaceDE/>
        <w:autoSpaceDN/>
        <w:bidi w:val="0"/>
        <w:spacing w:line="240" w:lineRule="auto"/>
        <w:ind w:firstLine="643" w:firstLineChars="200"/>
        <w:textAlignment w:val="auto"/>
        <w:outlineLvl w:val="2"/>
        <w:rPr>
          <w:rFonts w:hint="default" w:ascii="Times New Roman" w:hAnsi="Times New Roman" w:eastAsia="方正楷体_GBK" w:cs="Times New Roman"/>
          <w:b/>
          <w:bCs w:val="0"/>
          <w:sz w:val="32"/>
          <w:szCs w:val="32"/>
        </w:rPr>
      </w:pPr>
      <w:bookmarkStart w:id="31" w:name="_Toc15377212"/>
      <w:r>
        <w:rPr>
          <w:rFonts w:hint="default" w:ascii="Times New Roman" w:hAnsi="Times New Roman" w:eastAsia="方正楷体_GBK" w:cs="Times New Roman"/>
          <w:b/>
          <w:bCs w:val="0"/>
          <w:sz w:val="32"/>
          <w:szCs w:val="32"/>
        </w:rPr>
        <w:t>（三）一般公共预算财政拨款支出决算具体情况</w:t>
      </w:r>
      <w:bookmarkEnd w:id="31"/>
    </w:p>
    <w:p w14:paraId="43F07146">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bookmarkStart w:id="32" w:name="_Toc15377444"/>
      <w:bookmarkStart w:id="33" w:name="_Toc15378460"/>
      <w:bookmarkStart w:id="34" w:name="_Toc15377213"/>
      <w:r>
        <w:rPr>
          <w:rFonts w:hint="default" w:ascii="Times New Roman" w:hAnsi="Times New Roman" w:eastAsia="方正仿宋_GBK" w:cs="Times New Roman"/>
          <w:sz w:val="32"/>
          <w:szCs w:val="32"/>
        </w:rPr>
        <w:t>2024年度一般公共预算财政拨款支出决算数为</w:t>
      </w:r>
      <w:r>
        <w:rPr>
          <w:rFonts w:hint="default" w:ascii="Times New Roman" w:hAnsi="Times New Roman" w:eastAsia="方正仿宋_GBK" w:cs="Times New Roman"/>
          <w:sz w:val="32"/>
          <w:szCs w:val="32"/>
          <w:lang w:val="en-US" w:eastAsia="zh-CN"/>
        </w:rPr>
        <w:t>1213.80</w:t>
      </w:r>
      <w:r>
        <w:rPr>
          <w:rFonts w:hint="default" w:ascii="Times New Roman" w:hAnsi="Times New Roman" w:eastAsia="方正仿宋_GBK" w:cs="Times New Roman"/>
          <w:sz w:val="32"/>
          <w:szCs w:val="32"/>
        </w:rPr>
        <w:t>万元，完成预算</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%。其中：</w:t>
      </w:r>
      <w:bookmarkEnd w:id="32"/>
      <w:bookmarkEnd w:id="33"/>
      <w:bookmarkEnd w:id="34"/>
    </w:p>
    <w:p w14:paraId="3F93EFBF">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教育</w:t>
      </w:r>
      <w:r>
        <w:rPr>
          <w:rFonts w:hint="default" w:ascii="Times New Roman" w:hAnsi="Times New Roman" w:eastAsia="方正仿宋_GBK" w:cs="Times New Roman"/>
          <w:sz w:val="32"/>
          <w:szCs w:val="32"/>
          <w:lang w:val="en-US" w:eastAsia="zh-CN"/>
        </w:rPr>
        <w:t>支出205</w:t>
      </w:r>
      <w:r>
        <w:rPr>
          <w:rFonts w:hint="default" w:ascii="Times New Roman" w:hAnsi="Times New Roman" w:eastAsia="方正仿宋_GBK" w:cs="Times New Roman"/>
          <w:sz w:val="32"/>
          <w:szCs w:val="32"/>
        </w:rPr>
        <w:t>（类）</w:t>
      </w:r>
      <w:r>
        <w:rPr>
          <w:rFonts w:hint="default" w:ascii="Times New Roman" w:hAnsi="Times New Roman" w:eastAsia="方正仿宋_GBK" w:cs="Times New Roman"/>
          <w:sz w:val="32"/>
          <w:szCs w:val="32"/>
          <w:lang w:val="en-US" w:eastAsia="zh-CN"/>
        </w:rPr>
        <w:t>教育管理事务01</w:t>
      </w:r>
      <w:r>
        <w:rPr>
          <w:rFonts w:hint="default" w:ascii="Times New Roman" w:hAnsi="Times New Roman" w:eastAsia="方正仿宋_GBK" w:cs="Times New Roman"/>
          <w:sz w:val="32"/>
          <w:szCs w:val="32"/>
        </w:rPr>
        <w:t>（款）</w:t>
      </w:r>
    </w:p>
    <w:p w14:paraId="22EB1D83">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行政运行01</w:t>
      </w:r>
      <w:r>
        <w:rPr>
          <w:rFonts w:hint="default" w:ascii="Times New Roman" w:hAnsi="Times New Roman" w:eastAsia="方正仿宋_GBK" w:cs="Times New Roman"/>
          <w:sz w:val="32"/>
          <w:szCs w:val="32"/>
        </w:rPr>
        <w:t>（项）支出决算为</w:t>
      </w:r>
      <w:r>
        <w:rPr>
          <w:rFonts w:hint="default" w:ascii="Times New Roman" w:hAnsi="Times New Roman" w:eastAsia="方正仿宋_GBK" w:cs="Times New Roman"/>
          <w:sz w:val="32"/>
          <w:szCs w:val="32"/>
          <w:lang w:val="en-US" w:eastAsia="zh-CN"/>
        </w:rPr>
        <w:t>280.55</w:t>
      </w:r>
      <w:r>
        <w:rPr>
          <w:rFonts w:hint="default" w:ascii="Times New Roman" w:hAnsi="Times New Roman" w:eastAsia="方正仿宋_GBK" w:cs="Times New Roman"/>
          <w:sz w:val="32"/>
          <w:szCs w:val="32"/>
        </w:rPr>
        <w:t>万元，完成预算</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p>
    <w:p w14:paraId="194F700B">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一般行政管理事务02（项）支出决算为0.75万元，</w:t>
      </w:r>
      <w:r>
        <w:rPr>
          <w:rFonts w:hint="default" w:ascii="Times New Roman" w:hAnsi="Times New Roman" w:eastAsia="方正仿宋_GBK" w:cs="Times New Roman"/>
          <w:sz w:val="32"/>
          <w:szCs w:val="32"/>
          <w:lang w:eastAsia="zh-CN"/>
        </w:rPr>
        <w:t>完成预算</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lang w:eastAsia="zh-CN"/>
        </w:rPr>
        <w:t>%。</w:t>
      </w:r>
    </w:p>
    <w:p w14:paraId="66F82E49">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（3）其他教育管理事务支出99（项）支出决算为540.79万元，完成预算100%。</w:t>
      </w:r>
    </w:p>
    <w:p w14:paraId="11F32D09">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教育</w:t>
      </w:r>
      <w:r>
        <w:rPr>
          <w:rFonts w:hint="default" w:ascii="Times New Roman" w:hAnsi="Times New Roman" w:eastAsia="方正仿宋_GBK" w:cs="Times New Roman"/>
          <w:sz w:val="32"/>
          <w:szCs w:val="32"/>
          <w:lang w:val="en-US" w:eastAsia="zh-CN"/>
        </w:rPr>
        <w:t>支出205</w:t>
      </w:r>
      <w:r>
        <w:rPr>
          <w:rFonts w:hint="default" w:ascii="Times New Roman" w:hAnsi="Times New Roman" w:eastAsia="方正仿宋_GBK" w:cs="Times New Roman"/>
          <w:sz w:val="32"/>
          <w:szCs w:val="32"/>
        </w:rPr>
        <w:t>（类）</w:t>
      </w:r>
      <w:r>
        <w:rPr>
          <w:rFonts w:hint="default" w:ascii="Times New Roman" w:hAnsi="Times New Roman" w:eastAsia="方正仿宋_GBK" w:cs="Times New Roman"/>
          <w:sz w:val="32"/>
          <w:szCs w:val="32"/>
          <w:lang w:val="en-US" w:eastAsia="zh-CN"/>
        </w:rPr>
        <w:t>普通教育02</w:t>
      </w:r>
      <w:r>
        <w:rPr>
          <w:rFonts w:hint="default" w:ascii="Times New Roman" w:hAnsi="Times New Roman" w:eastAsia="方正仿宋_GBK" w:cs="Times New Roman"/>
          <w:sz w:val="32"/>
          <w:szCs w:val="32"/>
        </w:rPr>
        <w:t>（款）</w:t>
      </w:r>
    </w:p>
    <w:p w14:paraId="2B1511C5">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学前教育01</w:t>
      </w:r>
      <w:r>
        <w:rPr>
          <w:rFonts w:hint="default" w:ascii="Times New Roman" w:hAnsi="Times New Roman" w:eastAsia="方正仿宋_GBK" w:cs="Times New Roman"/>
          <w:sz w:val="32"/>
          <w:szCs w:val="32"/>
        </w:rPr>
        <w:t>（项）支出决算为</w:t>
      </w:r>
      <w:r>
        <w:rPr>
          <w:rFonts w:hint="default" w:ascii="Times New Roman" w:hAnsi="Times New Roman" w:eastAsia="方正仿宋_GBK" w:cs="Times New Roman"/>
          <w:sz w:val="32"/>
          <w:szCs w:val="32"/>
          <w:lang w:val="en-US" w:eastAsia="zh-CN"/>
        </w:rPr>
        <w:t>1311.64</w:t>
      </w:r>
      <w:r>
        <w:rPr>
          <w:rFonts w:hint="default" w:ascii="Times New Roman" w:hAnsi="Times New Roman" w:eastAsia="方正仿宋_GBK" w:cs="Times New Roman"/>
          <w:sz w:val="32"/>
          <w:szCs w:val="32"/>
        </w:rPr>
        <w:t>万元，完成预算</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p>
    <w:p w14:paraId="6DF93904">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小学教育02</w:t>
      </w:r>
      <w:r>
        <w:rPr>
          <w:rFonts w:hint="default" w:ascii="Times New Roman" w:hAnsi="Times New Roman" w:eastAsia="方正仿宋_GBK" w:cs="Times New Roman"/>
          <w:sz w:val="32"/>
          <w:szCs w:val="32"/>
        </w:rPr>
        <w:t>（项）支出决算为</w:t>
      </w:r>
      <w:r>
        <w:rPr>
          <w:rFonts w:hint="default" w:ascii="Times New Roman" w:hAnsi="Times New Roman" w:eastAsia="方正仿宋_GBK" w:cs="Times New Roman"/>
          <w:sz w:val="32"/>
          <w:szCs w:val="32"/>
          <w:lang w:val="en-US" w:eastAsia="zh-CN"/>
        </w:rPr>
        <w:t>1435.65</w:t>
      </w:r>
      <w:r>
        <w:rPr>
          <w:rFonts w:hint="default" w:ascii="Times New Roman" w:hAnsi="Times New Roman" w:eastAsia="方正仿宋_GBK" w:cs="Times New Roman"/>
          <w:sz w:val="32"/>
          <w:szCs w:val="32"/>
        </w:rPr>
        <w:t>万元，完成预算</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p>
    <w:p w14:paraId="72198146">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初中教育03</w:t>
      </w:r>
      <w:r>
        <w:rPr>
          <w:rFonts w:hint="default" w:ascii="Times New Roman" w:hAnsi="Times New Roman" w:eastAsia="方正仿宋_GBK" w:cs="Times New Roman"/>
          <w:sz w:val="32"/>
          <w:szCs w:val="32"/>
        </w:rPr>
        <w:t>（项）支出决算为</w:t>
      </w:r>
      <w:r>
        <w:rPr>
          <w:rFonts w:hint="default" w:ascii="Times New Roman" w:hAnsi="Times New Roman" w:eastAsia="方正仿宋_GBK" w:cs="Times New Roman"/>
          <w:sz w:val="32"/>
          <w:szCs w:val="32"/>
          <w:lang w:val="en-US" w:eastAsia="zh-CN"/>
        </w:rPr>
        <w:t>3200.54</w:t>
      </w:r>
      <w:r>
        <w:rPr>
          <w:rFonts w:hint="default" w:ascii="Times New Roman" w:hAnsi="Times New Roman" w:eastAsia="方正仿宋_GBK" w:cs="Times New Roman"/>
          <w:sz w:val="32"/>
          <w:szCs w:val="32"/>
        </w:rPr>
        <w:t>万元，完成预算</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p>
    <w:p w14:paraId="2D24CFD4">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高中教育04</w:t>
      </w:r>
      <w:r>
        <w:rPr>
          <w:rFonts w:hint="default" w:ascii="Times New Roman" w:hAnsi="Times New Roman" w:eastAsia="方正仿宋_GBK" w:cs="Times New Roman"/>
          <w:sz w:val="32"/>
          <w:szCs w:val="32"/>
        </w:rPr>
        <w:t>（项）支出决算为</w:t>
      </w:r>
      <w:r>
        <w:rPr>
          <w:rFonts w:hint="default" w:ascii="Times New Roman" w:hAnsi="Times New Roman" w:eastAsia="方正仿宋_GBK" w:cs="Times New Roman"/>
          <w:sz w:val="32"/>
          <w:szCs w:val="32"/>
          <w:lang w:val="en-US" w:eastAsia="zh-CN"/>
        </w:rPr>
        <w:t>162.10</w:t>
      </w:r>
      <w:r>
        <w:rPr>
          <w:rFonts w:hint="default" w:ascii="Times New Roman" w:hAnsi="Times New Roman" w:eastAsia="方正仿宋_GBK" w:cs="Times New Roman"/>
          <w:sz w:val="32"/>
          <w:szCs w:val="32"/>
        </w:rPr>
        <w:t>万元，完成预算</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p>
    <w:p w14:paraId="6A4E10FC">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高等教育05</w:t>
      </w:r>
      <w:r>
        <w:rPr>
          <w:rFonts w:hint="default" w:ascii="Times New Roman" w:hAnsi="Times New Roman" w:eastAsia="方正仿宋_GBK" w:cs="Times New Roman"/>
          <w:sz w:val="32"/>
          <w:szCs w:val="32"/>
        </w:rPr>
        <w:t>（项）支出决算为</w:t>
      </w:r>
      <w:r>
        <w:rPr>
          <w:rFonts w:hint="default" w:ascii="Times New Roman" w:hAnsi="Times New Roman" w:eastAsia="方正仿宋_GBK" w:cs="Times New Roman"/>
          <w:sz w:val="32"/>
          <w:szCs w:val="32"/>
          <w:lang w:val="en-US" w:eastAsia="zh-CN"/>
        </w:rPr>
        <w:t>13.64</w:t>
      </w:r>
      <w:r>
        <w:rPr>
          <w:rFonts w:hint="default" w:ascii="Times New Roman" w:hAnsi="Times New Roman" w:eastAsia="方正仿宋_GBK" w:cs="Times New Roman"/>
          <w:sz w:val="32"/>
          <w:szCs w:val="32"/>
        </w:rPr>
        <w:t>万元，完成预算</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p>
    <w:p w14:paraId="2B229CAB">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其他普通教育支出99</w:t>
      </w:r>
      <w:r>
        <w:rPr>
          <w:rFonts w:hint="default" w:ascii="Times New Roman" w:hAnsi="Times New Roman" w:eastAsia="方正仿宋_GBK" w:cs="Times New Roman"/>
          <w:sz w:val="32"/>
          <w:szCs w:val="32"/>
        </w:rPr>
        <w:t>（项）支出决算为</w:t>
      </w:r>
      <w:r>
        <w:rPr>
          <w:rFonts w:hint="default" w:ascii="Times New Roman" w:hAnsi="Times New Roman" w:eastAsia="方正仿宋_GBK" w:cs="Times New Roman"/>
          <w:sz w:val="32"/>
          <w:szCs w:val="32"/>
          <w:lang w:val="en-US" w:eastAsia="zh-CN"/>
        </w:rPr>
        <w:t>89.40</w:t>
      </w:r>
      <w:r>
        <w:rPr>
          <w:rFonts w:hint="default" w:ascii="Times New Roman" w:hAnsi="Times New Roman" w:eastAsia="方正仿宋_GBK" w:cs="Times New Roman"/>
          <w:sz w:val="32"/>
          <w:szCs w:val="32"/>
        </w:rPr>
        <w:t>万元，完成预算</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p>
    <w:p w14:paraId="731CE477">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教育</w:t>
      </w:r>
      <w:r>
        <w:rPr>
          <w:rFonts w:hint="default" w:ascii="Times New Roman" w:hAnsi="Times New Roman" w:eastAsia="方正仿宋_GBK" w:cs="Times New Roman"/>
          <w:sz w:val="32"/>
          <w:szCs w:val="32"/>
          <w:lang w:val="en-US" w:eastAsia="zh-CN"/>
        </w:rPr>
        <w:t>支出205</w:t>
      </w:r>
      <w:r>
        <w:rPr>
          <w:rFonts w:hint="default" w:ascii="Times New Roman" w:hAnsi="Times New Roman" w:eastAsia="方正仿宋_GBK" w:cs="Times New Roman"/>
          <w:sz w:val="32"/>
          <w:szCs w:val="32"/>
        </w:rPr>
        <w:t>（类）</w:t>
      </w:r>
      <w:r>
        <w:rPr>
          <w:rFonts w:hint="default" w:ascii="Times New Roman" w:hAnsi="Times New Roman" w:eastAsia="方正仿宋_GBK" w:cs="Times New Roman"/>
          <w:sz w:val="32"/>
          <w:szCs w:val="32"/>
          <w:lang w:val="en-US" w:eastAsia="zh-CN"/>
        </w:rPr>
        <w:t>职业教育03</w:t>
      </w:r>
      <w:r>
        <w:rPr>
          <w:rFonts w:hint="default" w:ascii="Times New Roman" w:hAnsi="Times New Roman" w:eastAsia="方正仿宋_GBK" w:cs="Times New Roman"/>
          <w:sz w:val="32"/>
          <w:szCs w:val="32"/>
        </w:rPr>
        <w:t>（款）</w:t>
      </w:r>
    </w:p>
    <w:p w14:paraId="46010F34">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其他职业教育99</w:t>
      </w:r>
      <w:r>
        <w:rPr>
          <w:rFonts w:hint="default" w:ascii="Times New Roman" w:hAnsi="Times New Roman" w:eastAsia="方正仿宋_GBK" w:cs="Times New Roman"/>
          <w:sz w:val="32"/>
          <w:szCs w:val="32"/>
        </w:rPr>
        <w:t>（项）支出决算为</w:t>
      </w:r>
      <w:r>
        <w:rPr>
          <w:rFonts w:hint="default" w:ascii="Times New Roman" w:hAnsi="Times New Roman" w:eastAsia="方正仿宋_GBK" w:cs="Times New Roman"/>
          <w:sz w:val="32"/>
          <w:szCs w:val="32"/>
          <w:lang w:val="en-US" w:eastAsia="zh-CN"/>
        </w:rPr>
        <w:t>0.20</w:t>
      </w:r>
      <w:r>
        <w:rPr>
          <w:rFonts w:hint="default" w:ascii="Times New Roman" w:hAnsi="Times New Roman" w:eastAsia="方正仿宋_GBK" w:cs="Times New Roman"/>
          <w:sz w:val="32"/>
          <w:szCs w:val="32"/>
        </w:rPr>
        <w:t>万元，完成预算</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p>
    <w:p w14:paraId="1EE31779">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教育</w:t>
      </w:r>
      <w:r>
        <w:rPr>
          <w:rFonts w:hint="default" w:ascii="Times New Roman" w:hAnsi="Times New Roman" w:eastAsia="方正仿宋_GBK" w:cs="Times New Roman"/>
          <w:sz w:val="32"/>
          <w:szCs w:val="32"/>
          <w:lang w:val="en-US" w:eastAsia="zh-CN"/>
        </w:rPr>
        <w:t>支出205</w:t>
      </w:r>
      <w:r>
        <w:rPr>
          <w:rFonts w:hint="default" w:ascii="Times New Roman" w:hAnsi="Times New Roman" w:eastAsia="方正仿宋_GBK" w:cs="Times New Roman"/>
          <w:sz w:val="32"/>
          <w:szCs w:val="32"/>
        </w:rPr>
        <w:t>（类）</w:t>
      </w:r>
      <w:r>
        <w:rPr>
          <w:rFonts w:hint="default" w:ascii="Times New Roman" w:hAnsi="Times New Roman" w:eastAsia="方正仿宋_GBK" w:cs="Times New Roman"/>
          <w:sz w:val="32"/>
          <w:szCs w:val="32"/>
          <w:lang w:val="en-US" w:eastAsia="zh-CN"/>
        </w:rPr>
        <w:t>进修及培训08</w:t>
      </w:r>
      <w:r>
        <w:rPr>
          <w:rFonts w:hint="default" w:ascii="Times New Roman" w:hAnsi="Times New Roman" w:eastAsia="方正仿宋_GBK" w:cs="Times New Roman"/>
          <w:sz w:val="32"/>
          <w:szCs w:val="32"/>
        </w:rPr>
        <w:t>（款）</w:t>
      </w:r>
    </w:p>
    <w:p w14:paraId="4C2E7323">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培训支出03</w:t>
      </w:r>
      <w:r>
        <w:rPr>
          <w:rFonts w:hint="default" w:ascii="Times New Roman" w:hAnsi="Times New Roman" w:eastAsia="方正仿宋_GBK" w:cs="Times New Roman"/>
          <w:sz w:val="32"/>
          <w:szCs w:val="32"/>
        </w:rPr>
        <w:t>（项）支出决算为</w:t>
      </w:r>
      <w:r>
        <w:rPr>
          <w:rFonts w:hint="default" w:ascii="Times New Roman" w:hAnsi="Times New Roman" w:eastAsia="方正仿宋_GBK" w:cs="Times New Roman"/>
          <w:sz w:val="32"/>
          <w:szCs w:val="32"/>
          <w:lang w:val="en-US" w:eastAsia="zh-CN"/>
        </w:rPr>
        <w:t>14.75</w:t>
      </w:r>
      <w:r>
        <w:rPr>
          <w:rFonts w:hint="default" w:ascii="Times New Roman" w:hAnsi="Times New Roman" w:eastAsia="方正仿宋_GBK" w:cs="Times New Roman"/>
          <w:sz w:val="32"/>
          <w:szCs w:val="32"/>
        </w:rPr>
        <w:t>万元，完成预算</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p>
    <w:p w14:paraId="6BBE37B4">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教育</w:t>
      </w:r>
      <w:r>
        <w:rPr>
          <w:rFonts w:hint="default" w:ascii="Times New Roman" w:hAnsi="Times New Roman" w:eastAsia="方正仿宋_GBK" w:cs="Times New Roman"/>
          <w:sz w:val="32"/>
          <w:szCs w:val="32"/>
          <w:lang w:val="en-US" w:eastAsia="zh-CN"/>
        </w:rPr>
        <w:t>支出205</w:t>
      </w:r>
      <w:r>
        <w:rPr>
          <w:rFonts w:hint="default" w:ascii="Times New Roman" w:hAnsi="Times New Roman" w:eastAsia="方正仿宋_GBK" w:cs="Times New Roman"/>
          <w:sz w:val="32"/>
          <w:szCs w:val="32"/>
        </w:rPr>
        <w:t>（类）</w:t>
      </w:r>
      <w:r>
        <w:rPr>
          <w:rFonts w:hint="default" w:ascii="Times New Roman" w:hAnsi="Times New Roman" w:eastAsia="方正仿宋_GBK" w:cs="Times New Roman"/>
          <w:sz w:val="32"/>
          <w:szCs w:val="32"/>
          <w:lang w:val="en-US" w:eastAsia="zh-CN"/>
        </w:rPr>
        <w:t>教育费附加安排09</w:t>
      </w:r>
      <w:r>
        <w:rPr>
          <w:rFonts w:hint="default" w:ascii="Times New Roman" w:hAnsi="Times New Roman" w:eastAsia="方正仿宋_GBK" w:cs="Times New Roman"/>
          <w:sz w:val="32"/>
          <w:szCs w:val="32"/>
        </w:rPr>
        <w:t>（款）</w:t>
      </w:r>
    </w:p>
    <w:p w14:paraId="3337199E">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农村中小学校校舍建设01</w:t>
      </w:r>
      <w:r>
        <w:rPr>
          <w:rFonts w:hint="default" w:ascii="Times New Roman" w:hAnsi="Times New Roman" w:eastAsia="方正仿宋_GBK" w:cs="Times New Roman"/>
          <w:sz w:val="32"/>
          <w:szCs w:val="32"/>
        </w:rPr>
        <w:t>（项）支出决算为</w:t>
      </w:r>
      <w:r>
        <w:rPr>
          <w:rFonts w:hint="default" w:ascii="Times New Roman" w:hAnsi="Times New Roman" w:eastAsia="方正仿宋_GBK" w:cs="Times New Roman"/>
          <w:sz w:val="32"/>
          <w:szCs w:val="32"/>
          <w:lang w:val="en-US" w:eastAsia="zh-CN"/>
        </w:rPr>
        <w:t>162.60</w:t>
      </w:r>
      <w:r>
        <w:rPr>
          <w:rFonts w:hint="default" w:ascii="Times New Roman" w:hAnsi="Times New Roman" w:eastAsia="方正仿宋_GBK" w:cs="Times New Roman"/>
          <w:sz w:val="32"/>
          <w:szCs w:val="32"/>
        </w:rPr>
        <w:t>万元，完成预算</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p>
    <w:p w14:paraId="2E6C8158">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（2）农村中小学教学设施02（项）支出决算为334.69万元，完成预算100%。</w:t>
      </w:r>
    </w:p>
    <w:p w14:paraId="423DE8D1">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（3）其他教育费附加安排99（项）支出决算为1732.41万元，完成预算100%。</w:t>
      </w:r>
    </w:p>
    <w:p w14:paraId="256042F3">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文化旅游体育与传媒</w:t>
      </w:r>
      <w:r>
        <w:rPr>
          <w:rFonts w:hint="default" w:ascii="Times New Roman" w:hAnsi="Times New Roman" w:eastAsia="方正仿宋_GBK" w:cs="Times New Roman"/>
          <w:sz w:val="32"/>
          <w:szCs w:val="32"/>
          <w:lang w:val="en-US" w:eastAsia="zh-CN"/>
        </w:rPr>
        <w:t>207</w:t>
      </w:r>
      <w:r>
        <w:rPr>
          <w:rFonts w:hint="default" w:ascii="Times New Roman" w:hAnsi="Times New Roman" w:eastAsia="方正仿宋_GBK" w:cs="Times New Roman"/>
          <w:sz w:val="32"/>
          <w:szCs w:val="32"/>
        </w:rPr>
        <w:t>（类）</w:t>
      </w:r>
      <w:r>
        <w:rPr>
          <w:rFonts w:hint="default" w:ascii="Times New Roman" w:hAnsi="Times New Roman" w:eastAsia="方正仿宋_GBK" w:cs="Times New Roman"/>
          <w:sz w:val="32"/>
          <w:szCs w:val="32"/>
          <w:lang w:val="en-US" w:eastAsia="zh-CN"/>
        </w:rPr>
        <w:t>体育03</w:t>
      </w:r>
      <w:r>
        <w:rPr>
          <w:rFonts w:hint="default" w:ascii="Times New Roman" w:hAnsi="Times New Roman" w:eastAsia="方正仿宋_GBK" w:cs="Times New Roman"/>
          <w:sz w:val="32"/>
          <w:szCs w:val="32"/>
        </w:rPr>
        <w:t>（款）</w:t>
      </w:r>
    </w:p>
    <w:p w14:paraId="0F1E5A91">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（1）体育竞赛05（项）支出决算为141.50万元，完成预算100%。</w:t>
      </w:r>
    </w:p>
    <w:p w14:paraId="2D9493B3">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（2）体育场馆07（项）支出决算为209.14万元，完成预算100%。</w:t>
      </w:r>
    </w:p>
    <w:p w14:paraId="64321DE8">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（3）群众体育08（项）支出决算为51.16万元，完成预算100%。</w:t>
      </w:r>
    </w:p>
    <w:p w14:paraId="71943D7B">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.社会保障和就业</w:t>
      </w:r>
      <w:r>
        <w:rPr>
          <w:rFonts w:hint="default" w:ascii="Times New Roman" w:hAnsi="Times New Roman" w:eastAsia="方正仿宋_GBK" w:cs="Times New Roman"/>
          <w:sz w:val="32"/>
          <w:szCs w:val="32"/>
          <w:lang w:val="en-US" w:eastAsia="zh-CN"/>
        </w:rPr>
        <w:t>208</w:t>
      </w:r>
      <w:r>
        <w:rPr>
          <w:rFonts w:hint="default" w:ascii="Times New Roman" w:hAnsi="Times New Roman" w:eastAsia="方正仿宋_GBK" w:cs="Times New Roman"/>
          <w:sz w:val="32"/>
          <w:szCs w:val="32"/>
        </w:rPr>
        <w:t>（类）</w:t>
      </w:r>
      <w:r>
        <w:rPr>
          <w:rFonts w:hint="default" w:ascii="Times New Roman" w:hAnsi="Times New Roman" w:eastAsia="方正仿宋_GBK" w:cs="Times New Roman"/>
          <w:sz w:val="32"/>
          <w:szCs w:val="32"/>
          <w:lang w:val="en-US" w:eastAsia="zh-CN"/>
        </w:rPr>
        <w:t>行政事业单位养老05</w:t>
      </w:r>
      <w:r>
        <w:rPr>
          <w:rFonts w:hint="default" w:ascii="Times New Roman" w:hAnsi="Times New Roman" w:eastAsia="方正仿宋_GBK" w:cs="Times New Roman"/>
          <w:sz w:val="32"/>
          <w:szCs w:val="32"/>
        </w:rPr>
        <w:t>（款）</w:t>
      </w:r>
    </w:p>
    <w:p w14:paraId="50218F83">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（1）行政单位离退休01（项）支出决算为33.89万元，完成预算100%。</w:t>
      </w:r>
    </w:p>
    <w:p w14:paraId="01E4F6A4">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（2）事业单位离退休02（项）支出决算为74.06万元，完成预算100%。</w:t>
      </w:r>
    </w:p>
    <w:p w14:paraId="0A1E83C4">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（3）机关事业单位基本养老保险缴费支出05（项）支出决算为91.80万元，完成预算100%。</w:t>
      </w:r>
    </w:p>
    <w:p w14:paraId="14690E3E">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（4）机关事业单位职业年金缴费支出06（项）支出决算为40.31万元，完成预算100%。</w:t>
      </w:r>
    </w:p>
    <w:p w14:paraId="2AC04A38">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.社会保障和就业</w:t>
      </w:r>
      <w:r>
        <w:rPr>
          <w:rFonts w:hint="default" w:ascii="Times New Roman" w:hAnsi="Times New Roman" w:eastAsia="方正仿宋_GBK" w:cs="Times New Roman"/>
          <w:sz w:val="32"/>
          <w:szCs w:val="32"/>
          <w:lang w:val="en-US" w:eastAsia="zh-CN"/>
        </w:rPr>
        <w:t>208</w:t>
      </w:r>
      <w:r>
        <w:rPr>
          <w:rFonts w:hint="default" w:ascii="Times New Roman" w:hAnsi="Times New Roman" w:eastAsia="方正仿宋_GBK" w:cs="Times New Roman"/>
          <w:sz w:val="32"/>
          <w:szCs w:val="32"/>
        </w:rPr>
        <w:t>（类）</w:t>
      </w:r>
      <w:r>
        <w:rPr>
          <w:rFonts w:hint="default" w:ascii="Times New Roman" w:hAnsi="Times New Roman" w:eastAsia="方正仿宋_GBK" w:cs="Times New Roman"/>
          <w:sz w:val="32"/>
          <w:szCs w:val="32"/>
          <w:lang w:val="en-US" w:eastAsia="zh-CN"/>
        </w:rPr>
        <w:t>抚恤08</w:t>
      </w:r>
      <w:r>
        <w:rPr>
          <w:rFonts w:hint="default" w:ascii="Times New Roman" w:hAnsi="Times New Roman" w:eastAsia="方正仿宋_GBK" w:cs="Times New Roman"/>
          <w:sz w:val="32"/>
          <w:szCs w:val="32"/>
        </w:rPr>
        <w:t>（款）</w:t>
      </w:r>
    </w:p>
    <w:p w14:paraId="407FBC42">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伤残抚恤02（项）支出决算为5.95万元，完成预算100%。</w:t>
      </w:r>
    </w:p>
    <w:p w14:paraId="0B3B29EC">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卫生健康</w:t>
      </w:r>
      <w:r>
        <w:rPr>
          <w:rFonts w:hint="default" w:ascii="Times New Roman" w:hAnsi="Times New Roman" w:eastAsia="方正仿宋_GBK" w:cs="Times New Roman"/>
          <w:sz w:val="32"/>
          <w:szCs w:val="32"/>
          <w:lang w:val="en-US" w:eastAsia="zh-CN"/>
        </w:rPr>
        <w:t>210</w:t>
      </w:r>
      <w:r>
        <w:rPr>
          <w:rFonts w:hint="default" w:ascii="Times New Roman" w:hAnsi="Times New Roman" w:eastAsia="方正仿宋_GBK" w:cs="Times New Roman"/>
          <w:sz w:val="32"/>
          <w:szCs w:val="32"/>
        </w:rPr>
        <w:t>（类）</w:t>
      </w:r>
      <w:r>
        <w:rPr>
          <w:rFonts w:hint="default" w:ascii="Times New Roman" w:hAnsi="Times New Roman" w:eastAsia="方正仿宋_GBK" w:cs="Times New Roman"/>
          <w:sz w:val="32"/>
          <w:szCs w:val="32"/>
          <w:lang w:val="en-US" w:eastAsia="zh-CN"/>
        </w:rPr>
        <w:t>行政事业单位医疗11</w:t>
      </w:r>
      <w:r>
        <w:rPr>
          <w:rFonts w:hint="default" w:ascii="Times New Roman" w:hAnsi="Times New Roman" w:eastAsia="方正仿宋_GBK" w:cs="Times New Roman"/>
          <w:sz w:val="32"/>
          <w:szCs w:val="32"/>
        </w:rPr>
        <w:t>（款）</w:t>
      </w:r>
    </w:p>
    <w:p w14:paraId="38B33C6A">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（1）行政单位医疗01（项）支出决算为17.49万元，完成预算100%。</w:t>
      </w:r>
    </w:p>
    <w:p w14:paraId="365CA009">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（2）事业单位医疗02（项）支出决算为32.70万元，完成预算100%。</w:t>
      </w:r>
    </w:p>
    <w:p w14:paraId="17E70DB2">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（3）公务员医疗补助03（项）支出决算为1.78万元，完成预算100%。</w:t>
      </w:r>
    </w:p>
    <w:p w14:paraId="33254D96">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（4）其他行政事业单位医疗99（项）支出决算为30.04万元，完成预算100%。</w:t>
      </w:r>
    </w:p>
    <w:p w14:paraId="2B45D7BB">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10.住房保障221</w:t>
      </w:r>
      <w:r>
        <w:rPr>
          <w:rFonts w:hint="default" w:ascii="Times New Roman" w:hAnsi="Times New Roman" w:eastAsia="方正仿宋_GBK" w:cs="Times New Roman"/>
          <w:sz w:val="32"/>
          <w:szCs w:val="32"/>
        </w:rPr>
        <w:t>（类）</w:t>
      </w:r>
      <w:r>
        <w:rPr>
          <w:rFonts w:hint="default" w:ascii="Times New Roman" w:hAnsi="Times New Roman" w:eastAsia="方正仿宋_GBK" w:cs="Times New Roman"/>
          <w:sz w:val="32"/>
          <w:szCs w:val="32"/>
          <w:lang w:val="en-US" w:eastAsia="zh-CN"/>
        </w:rPr>
        <w:t>住房改革02</w:t>
      </w:r>
      <w:r>
        <w:rPr>
          <w:rFonts w:hint="default" w:ascii="Times New Roman" w:hAnsi="Times New Roman" w:eastAsia="方正仿宋_GBK" w:cs="Times New Roman"/>
          <w:sz w:val="32"/>
          <w:szCs w:val="32"/>
        </w:rPr>
        <w:t>（款）</w:t>
      </w:r>
    </w:p>
    <w:p w14:paraId="69B05191">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住房公积金01（项）支出决算为77.54万元，完成预算100%。</w:t>
      </w:r>
    </w:p>
    <w:p w14:paraId="3336365C">
      <w:pPr>
        <w:pStyle w:val="27"/>
        <w:keepNext w:val="0"/>
        <w:keepLines w:val="0"/>
        <w:pageBreakBefore w:val="0"/>
        <w:kinsoku/>
        <w:wordWrap/>
        <w:overflowPunct/>
        <w:topLinePunct w:val="0"/>
        <w:autoSpaceDE/>
        <w:autoSpaceDN/>
        <w:bidi w:val="0"/>
        <w:spacing w:line="240" w:lineRule="auto"/>
        <w:ind w:firstLine="640"/>
        <w:textAlignment w:val="auto"/>
        <w:outlineLvl w:val="1"/>
        <w:rPr>
          <w:rFonts w:hint="default" w:ascii="Times New Roman" w:hAnsi="Times New Roman" w:eastAsia="方正黑体_GBK" w:cs="Times New Roman"/>
          <w:sz w:val="32"/>
          <w:szCs w:val="32"/>
        </w:rPr>
      </w:pPr>
      <w:bookmarkStart w:id="35" w:name="_Toc19431"/>
      <w:bookmarkStart w:id="36" w:name="_Toc15396608"/>
      <w:bookmarkStart w:id="37" w:name="_Toc15377214"/>
      <w:r>
        <w:rPr>
          <w:rFonts w:hint="default" w:ascii="Times New Roman" w:hAnsi="Times New Roman" w:eastAsia="方正黑体_GBK" w:cs="Times New Roman"/>
          <w:sz w:val="32"/>
          <w:szCs w:val="32"/>
        </w:rPr>
        <w:t>六、一般公共预算财政拨款基本支出决算情况说明</w:t>
      </w:r>
      <w:bookmarkEnd w:id="35"/>
      <w:bookmarkEnd w:id="36"/>
      <w:bookmarkEnd w:id="37"/>
      <w:r>
        <w:rPr>
          <w:rFonts w:hint="default" w:ascii="Times New Roman" w:hAnsi="Times New Roman" w:eastAsia="方正黑体_GBK" w:cs="Times New Roman"/>
          <w:sz w:val="32"/>
          <w:szCs w:val="32"/>
        </w:rPr>
        <w:tab/>
      </w:r>
    </w:p>
    <w:p w14:paraId="3E1D7C5D">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2024年度一般公共预算财政拨款基本支出</w:t>
      </w:r>
      <w:r>
        <w:rPr>
          <w:rFonts w:hint="default" w:ascii="Times New Roman" w:hAnsi="Times New Roman" w:eastAsia="方正仿宋_GBK" w:cs="Times New Roman"/>
          <w:sz w:val="32"/>
          <w:szCs w:val="32"/>
          <w:lang w:val="en-US" w:eastAsia="zh-CN"/>
        </w:rPr>
        <w:t>1213.80</w:t>
      </w:r>
      <w:r>
        <w:rPr>
          <w:rFonts w:hint="default" w:ascii="Times New Roman" w:hAnsi="Times New Roman" w:eastAsia="方正仿宋_GBK" w:cs="Times New Roman"/>
          <w:sz w:val="32"/>
          <w:szCs w:val="32"/>
        </w:rPr>
        <w:t>万元，其中：</w:t>
      </w:r>
    </w:p>
    <w:p w14:paraId="5AED2807">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人员经费</w:t>
      </w:r>
      <w:r>
        <w:rPr>
          <w:rFonts w:hint="default" w:ascii="Times New Roman" w:hAnsi="Times New Roman" w:eastAsia="方正仿宋_GBK" w:cs="Times New Roman"/>
          <w:sz w:val="32"/>
          <w:szCs w:val="32"/>
          <w:lang w:val="en-US" w:eastAsia="zh-CN"/>
        </w:rPr>
        <w:t>1137.51</w:t>
      </w:r>
      <w:r>
        <w:rPr>
          <w:rFonts w:hint="default" w:ascii="Times New Roman" w:hAnsi="Times New Roman" w:eastAsia="方正仿宋_GBK" w:cs="Times New Roman"/>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32"/>
          <w:szCs w:val="32"/>
        </w:rPr>
        <w:t>　　公用经费</w:t>
      </w:r>
      <w:r>
        <w:rPr>
          <w:rFonts w:hint="default" w:ascii="Times New Roman" w:hAnsi="Times New Roman" w:eastAsia="方正仿宋_GBK" w:cs="Times New Roman"/>
          <w:sz w:val="32"/>
          <w:szCs w:val="32"/>
          <w:lang w:val="en-US" w:eastAsia="zh-CN"/>
        </w:rPr>
        <w:t>76.29</w:t>
      </w:r>
      <w:r>
        <w:rPr>
          <w:rFonts w:hint="default" w:ascii="Times New Roman" w:hAnsi="Times New Roman" w:eastAsia="方正仿宋_GBK" w:cs="Times New Roman"/>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FE32D6A">
      <w:pPr>
        <w:keepNext w:val="0"/>
        <w:keepLines w:val="0"/>
        <w:pageBreakBefore w:val="0"/>
        <w:tabs>
          <w:tab w:val="right" w:pos="8306"/>
        </w:tabs>
        <w:kinsoku/>
        <w:wordWrap/>
        <w:overflowPunct/>
        <w:topLinePunct w:val="0"/>
        <w:autoSpaceDE/>
        <w:autoSpaceDN/>
        <w:bidi w:val="0"/>
        <w:spacing w:line="240" w:lineRule="auto"/>
        <w:ind w:firstLine="640"/>
        <w:textAlignment w:val="auto"/>
        <w:outlineLvl w:val="1"/>
        <w:rPr>
          <w:rFonts w:hint="default" w:ascii="Times New Roman" w:hAnsi="Times New Roman" w:eastAsia="方正黑体_GBK" w:cs="Times New Roman"/>
          <w:b w:val="0"/>
          <w:bCs/>
          <w:sz w:val="32"/>
          <w:szCs w:val="32"/>
        </w:rPr>
      </w:pPr>
      <w:bookmarkStart w:id="38" w:name="_Toc14794"/>
      <w:bookmarkStart w:id="39" w:name="_Toc15396609"/>
      <w:bookmarkStart w:id="40" w:name="_Toc15377215"/>
      <w:r>
        <w:rPr>
          <w:rFonts w:hint="default" w:ascii="Times New Roman" w:hAnsi="Times New Roman" w:eastAsia="方正黑体_GBK" w:cs="Times New Roman"/>
          <w:b w:val="0"/>
          <w:bCs/>
          <w:sz w:val="32"/>
          <w:szCs w:val="32"/>
        </w:rPr>
        <w:t>七、财政拨款“三公”经费支出决算情况说明</w:t>
      </w:r>
      <w:bookmarkEnd w:id="38"/>
      <w:bookmarkEnd w:id="39"/>
      <w:bookmarkEnd w:id="40"/>
    </w:p>
    <w:p w14:paraId="28676B3E">
      <w:pPr>
        <w:keepNext w:val="0"/>
        <w:keepLines w:val="0"/>
        <w:pageBreakBefore w:val="0"/>
        <w:kinsoku/>
        <w:wordWrap/>
        <w:overflowPunct/>
        <w:topLinePunct w:val="0"/>
        <w:autoSpaceDE/>
        <w:autoSpaceDN/>
        <w:bidi w:val="0"/>
        <w:spacing w:line="240" w:lineRule="auto"/>
        <w:ind w:firstLine="643" w:firstLineChars="200"/>
        <w:textAlignment w:val="auto"/>
        <w:outlineLvl w:val="2"/>
        <w:rPr>
          <w:rFonts w:hint="default" w:ascii="Times New Roman" w:hAnsi="Times New Roman" w:eastAsia="方正楷体_GBK" w:cs="Times New Roman"/>
          <w:b/>
          <w:bCs w:val="0"/>
          <w:sz w:val="32"/>
          <w:szCs w:val="32"/>
        </w:rPr>
      </w:pPr>
      <w:bookmarkStart w:id="41" w:name="_Toc15377216"/>
      <w:r>
        <w:rPr>
          <w:rFonts w:hint="default" w:ascii="Times New Roman" w:hAnsi="Times New Roman" w:eastAsia="方正楷体_GBK" w:cs="Times New Roman"/>
          <w:b/>
          <w:bCs w:val="0"/>
          <w:sz w:val="32"/>
          <w:szCs w:val="32"/>
        </w:rPr>
        <w:t>（一）“三公”经费财政拨款支出决算总体情况说明</w:t>
      </w:r>
      <w:bookmarkEnd w:id="41"/>
    </w:p>
    <w:p w14:paraId="53D971EA">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rPr>
        <w:t>2024年度“三公”经费财政拨款支出决算为</w:t>
      </w:r>
      <w:r>
        <w:rPr>
          <w:rFonts w:hint="default" w:ascii="Times New Roman" w:hAnsi="Times New Roman" w:eastAsia="方正仿宋_GBK" w:cs="Times New Roman"/>
          <w:b w:val="0"/>
          <w:bCs w:val="0"/>
          <w:sz w:val="32"/>
          <w:szCs w:val="32"/>
          <w:lang w:val="en-US" w:eastAsia="zh-CN"/>
        </w:rPr>
        <w:t>0.21</w:t>
      </w:r>
      <w:r>
        <w:rPr>
          <w:rFonts w:hint="default" w:ascii="Times New Roman" w:hAnsi="Times New Roman" w:eastAsia="方正仿宋_GBK" w:cs="Times New Roman"/>
          <w:b w:val="0"/>
          <w:bCs w:val="0"/>
          <w:sz w:val="32"/>
          <w:szCs w:val="32"/>
        </w:rPr>
        <w:t>万元，完成预算</w:t>
      </w:r>
      <w:r>
        <w:rPr>
          <w:rFonts w:hint="default" w:ascii="Times New Roman" w:hAnsi="Times New Roman" w:eastAsia="方正仿宋_GBK" w:cs="Times New Roman"/>
          <w:b w:val="0"/>
          <w:bCs w:val="0"/>
          <w:sz w:val="32"/>
          <w:szCs w:val="32"/>
          <w:lang w:val="en-US" w:eastAsia="zh-CN"/>
        </w:rPr>
        <w:t>100</w:t>
      </w:r>
      <w:r>
        <w:rPr>
          <w:rFonts w:hint="default" w:ascii="Times New Roman" w:hAnsi="Times New Roman" w:eastAsia="方正仿宋_GBK" w:cs="Times New Roman"/>
          <w:b w:val="0"/>
          <w:bCs w:val="0"/>
          <w:sz w:val="32"/>
          <w:szCs w:val="32"/>
        </w:rPr>
        <w:t>%，较上年度减少</w:t>
      </w:r>
      <w:r>
        <w:rPr>
          <w:rFonts w:hint="default" w:ascii="Times New Roman" w:hAnsi="Times New Roman" w:eastAsia="方正仿宋_GBK" w:cs="Times New Roman"/>
          <w:b w:val="0"/>
          <w:bCs w:val="0"/>
          <w:sz w:val="32"/>
          <w:szCs w:val="32"/>
          <w:lang w:val="en-US" w:eastAsia="zh-CN"/>
        </w:rPr>
        <w:t>0.24</w:t>
      </w:r>
      <w:r>
        <w:rPr>
          <w:rFonts w:hint="default" w:ascii="Times New Roman" w:hAnsi="Times New Roman" w:eastAsia="方正仿宋_GBK" w:cs="Times New Roman"/>
          <w:b w:val="0"/>
          <w:bCs w:val="0"/>
          <w:sz w:val="32"/>
          <w:szCs w:val="32"/>
        </w:rPr>
        <w:t>万元，下降</w:t>
      </w:r>
      <w:r>
        <w:rPr>
          <w:rFonts w:hint="default" w:ascii="Times New Roman" w:hAnsi="Times New Roman" w:eastAsia="方正仿宋_GBK" w:cs="Times New Roman"/>
          <w:b w:val="0"/>
          <w:bCs w:val="0"/>
          <w:sz w:val="32"/>
          <w:szCs w:val="32"/>
          <w:lang w:val="en-US" w:eastAsia="zh-CN"/>
        </w:rPr>
        <w:t>53.33</w:t>
      </w:r>
      <w:r>
        <w:rPr>
          <w:rFonts w:hint="default" w:ascii="Times New Roman" w:hAnsi="Times New Roman" w:eastAsia="方正仿宋_GBK" w:cs="Times New Roman"/>
          <w:b w:val="0"/>
          <w:bCs w:val="0"/>
          <w:sz w:val="32"/>
          <w:szCs w:val="32"/>
        </w:rPr>
        <w:t>%。决算数与预算数持平的主要原因是</w:t>
      </w:r>
      <w:r>
        <w:rPr>
          <w:rFonts w:hint="default" w:ascii="Times New Roman" w:hAnsi="Times New Roman" w:eastAsia="方正仿宋_GBK" w:cs="Times New Roman"/>
          <w:b w:val="0"/>
          <w:bCs w:val="0"/>
          <w:sz w:val="32"/>
          <w:szCs w:val="32"/>
          <w:lang w:val="en-US" w:eastAsia="zh-CN"/>
        </w:rPr>
        <w:t>厉行节约，减少开支。</w:t>
      </w:r>
    </w:p>
    <w:p w14:paraId="7D978A61">
      <w:pPr>
        <w:keepNext w:val="0"/>
        <w:keepLines w:val="0"/>
        <w:pageBreakBefore w:val="0"/>
        <w:kinsoku/>
        <w:wordWrap/>
        <w:overflowPunct/>
        <w:topLinePunct w:val="0"/>
        <w:autoSpaceDE/>
        <w:autoSpaceDN/>
        <w:bidi w:val="0"/>
        <w:spacing w:line="240" w:lineRule="auto"/>
        <w:ind w:firstLine="643" w:firstLineChars="200"/>
        <w:textAlignment w:val="auto"/>
        <w:outlineLvl w:val="2"/>
        <w:rPr>
          <w:rFonts w:hint="default" w:ascii="Times New Roman" w:hAnsi="Times New Roman" w:eastAsia="方正楷体_GBK" w:cs="Times New Roman"/>
          <w:b/>
          <w:bCs w:val="0"/>
          <w:sz w:val="32"/>
          <w:szCs w:val="32"/>
        </w:rPr>
      </w:pPr>
      <w:bookmarkStart w:id="42" w:name="_Toc15377217"/>
      <w:r>
        <w:rPr>
          <w:rFonts w:hint="default" w:ascii="Times New Roman" w:hAnsi="Times New Roman" w:eastAsia="方正楷体_GBK" w:cs="Times New Roman"/>
          <w:b/>
          <w:bCs w:val="0"/>
          <w:sz w:val="32"/>
          <w:szCs w:val="32"/>
        </w:rPr>
        <w:t>（二）“三公”经费财政拨款支出决算具体情况说明</w:t>
      </w:r>
      <w:bookmarkEnd w:id="42"/>
    </w:p>
    <w:p w14:paraId="6FA0FD34">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2024年度“三公”经费财政拨款支出决算中，因公出国（境）费支出决算</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万元，占</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%；公务用车购置及运行维护费支出决算</w:t>
      </w:r>
      <w:r>
        <w:rPr>
          <w:rFonts w:hint="default" w:ascii="Times New Roman" w:hAnsi="Times New Roman" w:eastAsia="方正仿宋_GBK" w:cs="Times New Roman"/>
          <w:b w:val="0"/>
          <w:bCs w:val="0"/>
          <w:sz w:val="32"/>
          <w:szCs w:val="32"/>
          <w:lang w:val="en-US" w:eastAsia="zh-CN"/>
        </w:rPr>
        <w:t>0.21</w:t>
      </w:r>
      <w:r>
        <w:rPr>
          <w:rFonts w:hint="default" w:ascii="Times New Roman" w:hAnsi="Times New Roman" w:eastAsia="方正仿宋_GBK" w:cs="Times New Roman"/>
          <w:b w:val="0"/>
          <w:bCs w:val="0"/>
          <w:sz w:val="32"/>
          <w:szCs w:val="32"/>
        </w:rPr>
        <w:t>万元，占</w:t>
      </w:r>
      <w:r>
        <w:rPr>
          <w:rFonts w:hint="default" w:ascii="Times New Roman" w:hAnsi="Times New Roman" w:eastAsia="方正仿宋_GBK" w:cs="Times New Roman"/>
          <w:b w:val="0"/>
          <w:bCs w:val="0"/>
          <w:sz w:val="32"/>
          <w:szCs w:val="32"/>
          <w:lang w:val="en-US" w:eastAsia="zh-CN"/>
        </w:rPr>
        <w:t>100</w:t>
      </w:r>
      <w:r>
        <w:rPr>
          <w:rFonts w:hint="default" w:ascii="Times New Roman" w:hAnsi="Times New Roman" w:eastAsia="方正仿宋_GBK" w:cs="Times New Roman"/>
          <w:b w:val="0"/>
          <w:bCs w:val="0"/>
          <w:sz w:val="32"/>
          <w:szCs w:val="32"/>
        </w:rPr>
        <w:t>%；公务接待费支出决算</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万元，占</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%。具体情况如下：</w:t>
      </w:r>
    </w:p>
    <w:p w14:paraId="56273E2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drawing>
          <wp:inline distT="0" distB="0" distL="114300" distR="114300">
            <wp:extent cx="5245100" cy="2892425"/>
            <wp:effectExtent l="4445" t="4445" r="8255" b="17780"/>
            <wp:docPr id="27" name="图表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5B6D392">
      <w:pPr>
        <w:keepNext w:val="0"/>
        <w:keepLines w:val="0"/>
        <w:pageBreakBefore w:val="0"/>
        <w:kinsoku/>
        <w:wordWrap/>
        <w:overflowPunct/>
        <w:topLinePunct w:val="0"/>
        <w:autoSpaceDE/>
        <w:autoSpaceDN/>
        <w:bidi w:val="0"/>
        <w:spacing w:line="240" w:lineRule="auto"/>
        <w:ind w:firstLine="64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（图7：“三公”经费财政拨款支出结构）</w:t>
      </w:r>
    </w:p>
    <w:p w14:paraId="55A0A55C">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仿宋_GB2312" w:cs="Times New Roman"/>
          <w:b/>
          <w:bCs/>
          <w:sz w:val="32"/>
          <w:szCs w:val="32"/>
        </w:rPr>
        <w:t>1.因公出国（境）经费支出</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万元，完成预算</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w:t>
      </w:r>
      <w:r>
        <w:rPr>
          <w:rFonts w:hint="default" w:ascii="Times New Roman" w:hAnsi="Times New Roman" w:eastAsia="方正仿宋_GBK" w:cs="Times New Roman"/>
          <w:sz w:val="32"/>
          <w:szCs w:val="32"/>
        </w:rPr>
        <w:t>全年安排因公出国（境）团组</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次，出国（境）</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人。因公出国（境）支出决算比202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年度</w:t>
      </w:r>
      <w:r>
        <w:rPr>
          <w:rFonts w:hint="default" w:ascii="Times New Roman" w:hAnsi="Times New Roman" w:eastAsia="方正仿宋_GBK" w:cs="Times New Roman"/>
          <w:sz w:val="32"/>
          <w:szCs w:val="32"/>
          <w:lang w:val="en-US" w:eastAsia="zh-CN"/>
        </w:rPr>
        <w:t>持平。</w:t>
      </w:r>
    </w:p>
    <w:p w14:paraId="70A805FB">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仿宋_GB2312" w:cs="Times New Roman"/>
          <w:b/>
          <w:bCs/>
          <w:sz w:val="32"/>
          <w:szCs w:val="32"/>
        </w:rPr>
        <w:t>2.公务用车购置及运行维护费支出</w:t>
      </w:r>
      <w:r>
        <w:rPr>
          <w:rFonts w:hint="default" w:ascii="Times New Roman" w:hAnsi="Times New Roman" w:eastAsia="仿宋_GB2312" w:cs="Times New Roman"/>
          <w:b/>
          <w:bCs/>
          <w:sz w:val="32"/>
          <w:szCs w:val="32"/>
          <w:lang w:val="en-US" w:eastAsia="zh-CN"/>
        </w:rPr>
        <w:t>0.21</w:t>
      </w:r>
      <w:r>
        <w:rPr>
          <w:rFonts w:hint="default" w:ascii="Times New Roman" w:hAnsi="Times New Roman" w:eastAsia="仿宋_GB2312" w:cs="Times New Roman"/>
          <w:b/>
          <w:bCs/>
          <w:sz w:val="32"/>
          <w:szCs w:val="32"/>
        </w:rPr>
        <w:t>万元，完成预算</w:t>
      </w:r>
      <w:r>
        <w:rPr>
          <w:rFonts w:hint="default" w:ascii="Times New Roman" w:hAnsi="Times New Roman" w:eastAsia="仿宋_GB2312" w:cs="Times New Roman"/>
          <w:b/>
          <w:bCs/>
          <w:sz w:val="32"/>
          <w:szCs w:val="32"/>
          <w:lang w:val="en-US" w:eastAsia="zh-CN"/>
        </w:rPr>
        <w:t>100</w:t>
      </w:r>
      <w:r>
        <w:rPr>
          <w:rFonts w:hint="default" w:ascii="Times New Roman" w:hAnsi="Times New Roman" w:eastAsia="仿宋_GB2312" w:cs="Times New Roman"/>
          <w:b/>
          <w:bCs/>
          <w:sz w:val="32"/>
          <w:szCs w:val="32"/>
        </w:rPr>
        <w:t>%。</w:t>
      </w:r>
      <w:r>
        <w:rPr>
          <w:rFonts w:hint="default" w:ascii="Times New Roman" w:hAnsi="Times New Roman" w:eastAsia="方正仿宋_GBK" w:cs="Times New Roman"/>
          <w:sz w:val="32"/>
          <w:szCs w:val="32"/>
        </w:rPr>
        <w:t>公务用车购置及运行维护费支出决算比2023年度减少</w:t>
      </w:r>
      <w:r>
        <w:rPr>
          <w:rFonts w:hint="default" w:ascii="Times New Roman" w:hAnsi="Times New Roman" w:eastAsia="方正仿宋_GBK" w:cs="Times New Roman"/>
          <w:sz w:val="32"/>
          <w:szCs w:val="32"/>
          <w:lang w:val="en-US" w:eastAsia="zh-CN"/>
        </w:rPr>
        <w:t>0.09</w:t>
      </w:r>
      <w:r>
        <w:rPr>
          <w:rFonts w:hint="default" w:ascii="Times New Roman" w:hAnsi="Times New Roman" w:eastAsia="方正仿宋_GBK" w:cs="Times New Roman"/>
          <w:sz w:val="32"/>
          <w:szCs w:val="32"/>
        </w:rPr>
        <w:t>万元，下降</w:t>
      </w:r>
      <w:r>
        <w:rPr>
          <w:rFonts w:hint="default" w:ascii="Times New Roman" w:hAnsi="Times New Roman" w:eastAsia="方正仿宋_GBK" w:cs="Times New Roman"/>
          <w:sz w:val="32"/>
          <w:szCs w:val="32"/>
          <w:lang w:val="en-US" w:eastAsia="zh-CN"/>
        </w:rPr>
        <w:t>31.03</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本年度报废1辆公务用车，支出减少。</w:t>
      </w:r>
    </w:p>
    <w:p w14:paraId="79B2B155">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其中：公务用车购置支出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万元。全年按规定更新购置公务用车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辆，其中：轿车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辆、金额</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万元，越野车辆、金额万元，载客汽车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辆、金额</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截至2024年12月31日，单位共有公务用车</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辆，其中：轿车</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辆、越野车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辆、载客汽车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w:t>
      </w:r>
    </w:p>
    <w:p w14:paraId="1EDFB049">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公务用车运行维护费支出</w:t>
      </w:r>
      <w:r>
        <w:rPr>
          <w:rFonts w:hint="default" w:ascii="Times New Roman" w:hAnsi="Times New Roman" w:eastAsia="方正仿宋_GBK" w:cs="Times New Roman"/>
          <w:sz w:val="32"/>
          <w:szCs w:val="32"/>
          <w:lang w:val="en-US" w:eastAsia="zh-CN"/>
        </w:rPr>
        <w:t>0.21</w:t>
      </w:r>
      <w:r>
        <w:rPr>
          <w:rFonts w:hint="default" w:ascii="Times New Roman" w:hAnsi="Times New Roman" w:eastAsia="方正仿宋_GBK" w:cs="Times New Roman"/>
          <w:sz w:val="32"/>
          <w:szCs w:val="32"/>
        </w:rPr>
        <w:t>万元。主要用于所需的公务用车燃料费、维修费、过路过桥费、保险费等支出。</w:t>
      </w:r>
    </w:p>
    <w:p w14:paraId="658B185C">
      <w:pPr>
        <w:keepNext w:val="0"/>
        <w:keepLines w:val="0"/>
        <w:pageBreakBefore w:val="0"/>
        <w:numPr>
          <w:ilvl w:val="0"/>
          <w:numId w:val="0"/>
        </w:numPr>
        <w:kinsoku/>
        <w:wordWrap/>
        <w:overflowPunct/>
        <w:topLinePunct w:val="0"/>
        <w:autoSpaceDE/>
        <w:autoSpaceDN/>
        <w:bidi w:val="0"/>
        <w:spacing w:line="240" w:lineRule="auto"/>
        <w:ind w:firstLine="640" w:firstLineChars="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kern w:val="2"/>
          <w:sz w:val="32"/>
          <w:szCs w:val="32"/>
          <w:lang w:val="en-US" w:eastAsia="zh-CN" w:bidi="ar-SA"/>
        </w:rPr>
        <w:t>3.</w:t>
      </w:r>
      <w:r>
        <w:rPr>
          <w:rFonts w:hint="default" w:ascii="Times New Roman" w:hAnsi="Times New Roman" w:eastAsia="仿宋_GB2312" w:cs="Times New Roman"/>
          <w:b/>
          <w:bCs/>
          <w:sz w:val="32"/>
          <w:szCs w:val="32"/>
        </w:rPr>
        <w:t>公务接待费支出</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万元，完成预算</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w:t>
      </w:r>
    </w:p>
    <w:p w14:paraId="7A2E2B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公务接待费支出决算比2023年度减少</w:t>
      </w:r>
      <w:r>
        <w:rPr>
          <w:rFonts w:hint="default" w:ascii="Times New Roman" w:hAnsi="Times New Roman" w:eastAsia="方正仿宋_GBK" w:cs="Times New Roman"/>
          <w:sz w:val="32"/>
          <w:szCs w:val="32"/>
          <w:lang w:val="en-US" w:eastAsia="zh-CN"/>
        </w:rPr>
        <w:t>0.15</w:t>
      </w:r>
      <w:r>
        <w:rPr>
          <w:rFonts w:hint="default" w:ascii="Times New Roman" w:hAnsi="Times New Roman" w:eastAsia="方正仿宋_GBK" w:cs="Times New Roman"/>
          <w:sz w:val="32"/>
          <w:szCs w:val="32"/>
        </w:rPr>
        <w:t>万元，下降</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%。主要原因是厉行节约，减少开支。其中：</w:t>
      </w:r>
    </w:p>
    <w:p w14:paraId="510839E3">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国内公务接待支出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万元。国内公务接待</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批次，</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人次（不包括陪同人员），共计支出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p>
    <w:p w14:paraId="3120D10F">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外事接待支出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万元。外事接待</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批次，</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人次（不包括陪同人员），共计支出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bookmarkStart w:id="43" w:name="_Toc15377218"/>
      <w:bookmarkStart w:id="44" w:name="_Toc15396610"/>
    </w:p>
    <w:p w14:paraId="615F1319">
      <w:pPr>
        <w:keepNext w:val="0"/>
        <w:keepLines w:val="0"/>
        <w:pageBreakBefore w:val="0"/>
        <w:kinsoku/>
        <w:wordWrap/>
        <w:overflowPunct/>
        <w:topLinePunct w:val="0"/>
        <w:autoSpaceDE/>
        <w:autoSpaceDN/>
        <w:bidi w:val="0"/>
        <w:spacing w:line="240" w:lineRule="auto"/>
        <w:ind w:firstLine="640"/>
        <w:textAlignment w:val="auto"/>
        <w:outlineLvl w:val="1"/>
        <w:rPr>
          <w:rStyle w:val="29"/>
          <w:rFonts w:hint="default" w:ascii="Times New Roman" w:hAnsi="Times New Roman" w:eastAsia="黑体" w:cs="Times New Roman"/>
        </w:rPr>
      </w:pPr>
      <w:bookmarkStart w:id="45" w:name="_Toc5687"/>
      <w:r>
        <w:rPr>
          <w:rFonts w:hint="default" w:ascii="Times New Roman" w:hAnsi="Times New Roman" w:eastAsia="黑体" w:cs="Times New Roman"/>
          <w:sz w:val="32"/>
          <w:szCs w:val="32"/>
        </w:rPr>
        <w:t>八、</w:t>
      </w:r>
      <w:r>
        <w:rPr>
          <w:rStyle w:val="29"/>
          <w:rFonts w:hint="default" w:ascii="Times New Roman" w:hAnsi="Times New Roman" w:eastAsia="黑体" w:cs="Times New Roman"/>
          <w:b w:val="0"/>
        </w:rPr>
        <w:t>政府性基金预算支出决算情况说明</w:t>
      </w:r>
      <w:bookmarkEnd w:id="43"/>
      <w:bookmarkEnd w:id="44"/>
      <w:bookmarkEnd w:id="45"/>
    </w:p>
    <w:p w14:paraId="61EA4AC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2024年度政府性基金预算财政拨款支出</w:t>
      </w:r>
      <w:r>
        <w:rPr>
          <w:rFonts w:hint="default" w:ascii="Times New Roman" w:hAnsi="Times New Roman" w:eastAsia="方正仿宋_GBK" w:cs="Times New Roman"/>
          <w:sz w:val="32"/>
          <w:szCs w:val="32"/>
          <w:lang w:val="en-US" w:eastAsia="zh-CN"/>
        </w:rPr>
        <w:t>1911.19</w:t>
      </w:r>
      <w:r>
        <w:rPr>
          <w:rFonts w:hint="default" w:ascii="Times New Roman" w:hAnsi="Times New Roman" w:eastAsia="方正仿宋_GBK" w:cs="Times New Roman"/>
          <w:sz w:val="32"/>
          <w:szCs w:val="32"/>
        </w:rPr>
        <w:t>万元，占本年支出合计的**%。与2023年度相比，政府性基金预算财政拨款支出增加</w:t>
      </w:r>
      <w:r>
        <w:rPr>
          <w:rFonts w:hint="default" w:ascii="Times New Roman" w:hAnsi="Times New Roman" w:eastAsia="方正仿宋_GBK" w:cs="Times New Roman"/>
          <w:sz w:val="32"/>
          <w:szCs w:val="32"/>
          <w:lang w:val="en-US" w:eastAsia="zh-CN"/>
        </w:rPr>
        <w:t>1832.59</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2331.54%</w:t>
      </w:r>
      <w:r>
        <w:rPr>
          <w:rFonts w:hint="default" w:ascii="Times New Roman" w:hAnsi="Times New Roman" w:eastAsia="方正仿宋_GBK" w:cs="Times New Roman"/>
          <w:sz w:val="32"/>
          <w:szCs w:val="32"/>
        </w:rPr>
        <w:t>。主要变动原因是</w:t>
      </w:r>
      <w:r>
        <w:rPr>
          <w:rFonts w:hint="default" w:ascii="Times New Roman" w:hAnsi="Times New Roman" w:eastAsia="方正仿宋_GBK" w:cs="Times New Roman"/>
          <w:sz w:val="32"/>
          <w:szCs w:val="32"/>
          <w:lang w:val="en-US" w:eastAsia="zh-CN"/>
        </w:rPr>
        <w:t>项目支出增加。</w:t>
      </w:r>
    </w:p>
    <w:p w14:paraId="69BE24F1">
      <w:pPr>
        <w:keepNext w:val="0"/>
        <w:keepLines w:val="0"/>
        <w:pageBreakBefore w:val="0"/>
        <w:kinsoku/>
        <w:wordWrap/>
        <w:overflowPunct/>
        <w:topLinePunct w:val="0"/>
        <w:autoSpaceDE/>
        <w:autoSpaceDN/>
        <w:bidi w:val="0"/>
        <w:spacing w:line="240" w:lineRule="auto"/>
        <w:ind w:left="630"/>
        <w:textAlignment w:val="auto"/>
        <w:outlineLvl w:val="1"/>
        <w:rPr>
          <w:rStyle w:val="29"/>
          <w:rFonts w:hint="default" w:ascii="Times New Roman" w:hAnsi="Times New Roman" w:eastAsia="黑体" w:cs="Times New Roman"/>
          <w:b w:val="0"/>
        </w:rPr>
      </w:pPr>
      <w:bookmarkStart w:id="46" w:name="_Toc15396611"/>
      <w:bookmarkStart w:id="47" w:name="_Toc15377219"/>
      <w:bookmarkStart w:id="48" w:name="_Toc17570"/>
      <w:r>
        <w:rPr>
          <w:rStyle w:val="29"/>
          <w:rFonts w:hint="default" w:ascii="Times New Roman" w:hAnsi="Times New Roman" w:eastAsia="黑体" w:cs="Times New Roman"/>
          <w:b w:val="0"/>
        </w:rPr>
        <w:t>九、国有资本经营预算支出决算情况说明</w:t>
      </w:r>
      <w:bookmarkEnd w:id="46"/>
      <w:bookmarkEnd w:id="47"/>
      <w:bookmarkEnd w:id="48"/>
    </w:p>
    <w:p w14:paraId="64DF2B1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2024年度国有资本经营预算财政拨款支出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万元，占本年支出合计的</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%。与2023年度相比，国有资本经营预算财政拨款支出</w:t>
      </w:r>
      <w:r>
        <w:rPr>
          <w:rFonts w:hint="default" w:ascii="Times New Roman" w:hAnsi="Times New Roman" w:eastAsia="方正仿宋_GBK" w:cs="Times New Roman"/>
          <w:sz w:val="32"/>
          <w:szCs w:val="32"/>
          <w:lang w:val="en-US" w:eastAsia="zh-CN"/>
        </w:rPr>
        <w:t>与上年持平。</w:t>
      </w:r>
    </w:p>
    <w:p w14:paraId="08C2A696">
      <w:pPr>
        <w:keepNext w:val="0"/>
        <w:keepLines w:val="0"/>
        <w:pageBreakBefore w:val="0"/>
        <w:kinsoku/>
        <w:wordWrap/>
        <w:overflowPunct/>
        <w:topLinePunct w:val="0"/>
        <w:autoSpaceDE/>
        <w:autoSpaceDN/>
        <w:bidi w:val="0"/>
        <w:spacing w:line="240" w:lineRule="auto"/>
        <w:ind w:left="630"/>
        <w:textAlignment w:val="auto"/>
        <w:outlineLvl w:val="1"/>
        <w:rPr>
          <w:rStyle w:val="29"/>
          <w:rFonts w:hint="default" w:ascii="Times New Roman" w:hAnsi="Times New Roman" w:eastAsia="黑体" w:cs="Times New Roman"/>
          <w:b w:val="0"/>
        </w:rPr>
      </w:pPr>
      <w:bookmarkStart w:id="49" w:name="_Toc15377221"/>
      <w:bookmarkStart w:id="50" w:name="_Toc15396612"/>
      <w:bookmarkStart w:id="51" w:name="_Toc3195"/>
      <w:r>
        <w:rPr>
          <w:rStyle w:val="29"/>
          <w:rFonts w:hint="default" w:ascii="Times New Roman" w:hAnsi="Times New Roman" w:eastAsia="黑体" w:cs="Times New Roman"/>
          <w:b w:val="0"/>
        </w:rPr>
        <w:t>十、其他重要事项的情况说明</w:t>
      </w:r>
      <w:bookmarkEnd w:id="49"/>
      <w:bookmarkEnd w:id="50"/>
      <w:bookmarkEnd w:id="51"/>
    </w:p>
    <w:p w14:paraId="3E14C63C">
      <w:pPr>
        <w:keepNext w:val="0"/>
        <w:keepLines w:val="0"/>
        <w:pageBreakBefore w:val="0"/>
        <w:kinsoku/>
        <w:wordWrap/>
        <w:overflowPunct/>
        <w:topLinePunct w:val="0"/>
        <w:autoSpaceDE/>
        <w:autoSpaceDN/>
        <w:bidi w:val="0"/>
        <w:spacing w:line="240" w:lineRule="auto"/>
        <w:ind w:firstLine="643" w:firstLineChars="200"/>
        <w:textAlignment w:val="auto"/>
        <w:outlineLvl w:val="2"/>
        <w:rPr>
          <w:rFonts w:hint="default" w:ascii="Times New Roman" w:hAnsi="Times New Roman" w:eastAsia="方正楷体_GBK" w:cs="Times New Roman"/>
          <w:b/>
          <w:bCs w:val="0"/>
          <w:sz w:val="32"/>
          <w:szCs w:val="32"/>
        </w:rPr>
      </w:pPr>
      <w:bookmarkStart w:id="52" w:name="_Toc15377222"/>
      <w:r>
        <w:rPr>
          <w:rFonts w:hint="default" w:ascii="Times New Roman" w:hAnsi="Times New Roman" w:eastAsia="方正楷体_GBK" w:cs="Times New Roman"/>
          <w:b/>
          <w:bCs w:val="0"/>
          <w:sz w:val="32"/>
          <w:szCs w:val="32"/>
        </w:rPr>
        <w:t>（一）机关运行经费支出情况</w:t>
      </w:r>
      <w:bookmarkEnd w:id="52"/>
    </w:p>
    <w:p w14:paraId="497FFBA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2024年度，</w:t>
      </w:r>
      <w:r>
        <w:rPr>
          <w:rFonts w:hint="default" w:ascii="Times New Roman" w:hAnsi="Times New Roman" w:eastAsia="方正仿宋_GBK" w:cs="Times New Roman"/>
          <w:sz w:val="32"/>
          <w:szCs w:val="32"/>
          <w:lang w:val="en-US" w:eastAsia="zh-CN"/>
        </w:rPr>
        <w:t>盐边县教育和体育局</w:t>
      </w:r>
      <w:r>
        <w:rPr>
          <w:rFonts w:hint="default" w:ascii="Times New Roman" w:hAnsi="Times New Roman" w:eastAsia="方正仿宋_GBK" w:cs="Times New Roman"/>
          <w:sz w:val="32"/>
          <w:szCs w:val="32"/>
        </w:rPr>
        <w:t>机关运行经费支出</w:t>
      </w:r>
      <w:r>
        <w:rPr>
          <w:rFonts w:hint="default" w:ascii="Times New Roman" w:hAnsi="Times New Roman" w:eastAsia="方正仿宋_GBK" w:cs="Times New Roman"/>
          <w:sz w:val="32"/>
          <w:szCs w:val="32"/>
          <w:lang w:val="en-US" w:eastAsia="zh-CN"/>
        </w:rPr>
        <w:t>76.29</w:t>
      </w:r>
      <w:r>
        <w:rPr>
          <w:rFonts w:hint="default" w:ascii="Times New Roman" w:hAnsi="Times New Roman" w:eastAsia="方正仿宋_GBK" w:cs="Times New Roman"/>
          <w:sz w:val="32"/>
          <w:szCs w:val="32"/>
        </w:rPr>
        <w:t>万元，比2023年度增加</w:t>
      </w:r>
      <w:r>
        <w:rPr>
          <w:rFonts w:hint="default" w:ascii="Times New Roman" w:hAnsi="Times New Roman" w:eastAsia="方正仿宋_GBK" w:cs="Times New Roman"/>
          <w:sz w:val="32"/>
          <w:szCs w:val="32"/>
          <w:lang w:val="en-US" w:eastAsia="zh-CN"/>
        </w:rPr>
        <w:t>4.6</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6.42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办公用品需求增加。</w:t>
      </w:r>
    </w:p>
    <w:p w14:paraId="3A3EDEEB">
      <w:pPr>
        <w:keepNext w:val="0"/>
        <w:keepLines w:val="0"/>
        <w:pageBreakBefore w:val="0"/>
        <w:kinsoku/>
        <w:wordWrap/>
        <w:overflowPunct/>
        <w:topLinePunct w:val="0"/>
        <w:autoSpaceDE/>
        <w:autoSpaceDN/>
        <w:bidi w:val="0"/>
        <w:spacing w:line="240" w:lineRule="auto"/>
        <w:ind w:firstLine="643" w:firstLineChars="200"/>
        <w:textAlignment w:val="auto"/>
        <w:outlineLvl w:val="2"/>
        <w:rPr>
          <w:rFonts w:hint="default" w:ascii="Times New Roman" w:hAnsi="Times New Roman" w:eastAsia="方正楷体_GBK" w:cs="Times New Roman"/>
          <w:b/>
          <w:bCs w:val="0"/>
          <w:sz w:val="32"/>
          <w:szCs w:val="32"/>
        </w:rPr>
      </w:pPr>
      <w:bookmarkStart w:id="53" w:name="_Toc15377223"/>
      <w:r>
        <w:rPr>
          <w:rFonts w:hint="default" w:ascii="Times New Roman" w:hAnsi="Times New Roman" w:eastAsia="方正楷体_GBK" w:cs="Times New Roman"/>
          <w:b/>
          <w:bCs w:val="0"/>
          <w:sz w:val="32"/>
          <w:szCs w:val="32"/>
        </w:rPr>
        <w:t>（二）政府采购支出情况</w:t>
      </w:r>
      <w:bookmarkEnd w:id="53"/>
    </w:p>
    <w:p w14:paraId="2A9954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w:t>
      </w:r>
      <w:r>
        <w:rPr>
          <w:rFonts w:hint="default" w:ascii="Times New Roman" w:hAnsi="Times New Roman" w:eastAsia="方正仿宋_GBK" w:cs="Times New Roman"/>
          <w:sz w:val="32"/>
          <w:szCs w:val="32"/>
          <w:lang w:val="en-US" w:eastAsia="zh-CN"/>
        </w:rPr>
        <w:t>盐边县教育和体育局</w:t>
      </w:r>
      <w:r>
        <w:rPr>
          <w:rFonts w:hint="default" w:ascii="Times New Roman" w:hAnsi="Times New Roman" w:eastAsia="方正仿宋_GBK" w:cs="Times New Roman"/>
          <w:sz w:val="32"/>
          <w:szCs w:val="32"/>
        </w:rPr>
        <w:t>政府采购支出总额</w:t>
      </w:r>
      <w:r>
        <w:rPr>
          <w:rFonts w:hint="default" w:ascii="Times New Roman" w:hAnsi="Times New Roman" w:eastAsia="方正仿宋_GBK" w:cs="Times New Roman"/>
          <w:sz w:val="32"/>
          <w:szCs w:val="32"/>
          <w:lang w:val="en-US" w:eastAsia="zh-CN"/>
        </w:rPr>
        <w:t>3198.66</w:t>
      </w:r>
      <w:r>
        <w:rPr>
          <w:rFonts w:hint="default" w:ascii="Times New Roman" w:hAnsi="Times New Roman" w:eastAsia="方正仿宋_GBK" w:cs="Times New Roman"/>
          <w:sz w:val="32"/>
          <w:szCs w:val="32"/>
        </w:rPr>
        <w:t>万元，其中：政府采购货物支出</w:t>
      </w:r>
      <w:r>
        <w:rPr>
          <w:rFonts w:hint="default" w:ascii="Times New Roman" w:hAnsi="Times New Roman" w:eastAsia="方正仿宋_GBK" w:cs="Times New Roman"/>
          <w:sz w:val="32"/>
          <w:szCs w:val="32"/>
          <w:lang w:val="en-US" w:eastAsia="zh-CN"/>
        </w:rPr>
        <w:t>1715.10</w:t>
      </w:r>
      <w:r>
        <w:rPr>
          <w:rFonts w:hint="default" w:ascii="Times New Roman" w:hAnsi="Times New Roman" w:eastAsia="方正仿宋_GBK" w:cs="Times New Roman"/>
          <w:sz w:val="32"/>
          <w:szCs w:val="32"/>
        </w:rPr>
        <w:t>万元、政府采购工程支出</w:t>
      </w:r>
      <w:r>
        <w:rPr>
          <w:rFonts w:hint="default" w:ascii="Times New Roman" w:hAnsi="Times New Roman" w:eastAsia="方正仿宋_GBK" w:cs="Times New Roman"/>
          <w:sz w:val="32"/>
          <w:szCs w:val="32"/>
          <w:lang w:val="en-US" w:eastAsia="zh-CN"/>
        </w:rPr>
        <w:t>1034.83</w:t>
      </w:r>
      <w:r>
        <w:rPr>
          <w:rFonts w:hint="default" w:ascii="Times New Roman" w:hAnsi="Times New Roman" w:eastAsia="方正仿宋_GBK" w:cs="Times New Roman"/>
          <w:sz w:val="32"/>
          <w:szCs w:val="32"/>
        </w:rPr>
        <w:t>万元、政府采购服务支出</w:t>
      </w:r>
      <w:r>
        <w:rPr>
          <w:rFonts w:hint="default" w:ascii="Times New Roman" w:hAnsi="Times New Roman" w:eastAsia="方正仿宋_GBK" w:cs="Times New Roman"/>
          <w:sz w:val="32"/>
          <w:szCs w:val="32"/>
          <w:lang w:val="en-US" w:eastAsia="zh-CN"/>
        </w:rPr>
        <w:t>448.73</w:t>
      </w:r>
      <w:r>
        <w:rPr>
          <w:rFonts w:hint="default" w:ascii="Times New Roman" w:hAnsi="Times New Roman" w:eastAsia="方正仿宋_GBK" w:cs="Times New Roman"/>
          <w:sz w:val="32"/>
          <w:szCs w:val="32"/>
        </w:rPr>
        <w:t>万元。主要用于</w:t>
      </w:r>
      <w:r>
        <w:rPr>
          <w:rFonts w:hint="default" w:ascii="Times New Roman" w:hAnsi="Times New Roman" w:eastAsia="方正仿宋_GBK" w:cs="Times New Roman"/>
          <w:sz w:val="32"/>
          <w:szCs w:val="32"/>
          <w:lang w:val="en-US" w:eastAsia="zh-CN"/>
        </w:rPr>
        <w:t>红格镇第二幼儿园设备采购、购买乡镇中心幼儿园保教服务、公办学校安全服务等</w:t>
      </w:r>
      <w:r>
        <w:rPr>
          <w:rFonts w:hint="default" w:ascii="Times New Roman" w:hAnsi="Times New Roman" w:eastAsia="方正仿宋_GBK" w:cs="Times New Roman"/>
          <w:sz w:val="32"/>
          <w:szCs w:val="32"/>
        </w:rPr>
        <w:t>。授予中小企业合同金额</w:t>
      </w:r>
      <w:r>
        <w:rPr>
          <w:rFonts w:hint="default" w:ascii="Times New Roman" w:hAnsi="Times New Roman" w:eastAsia="方正仿宋_GBK" w:cs="Times New Roman"/>
          <w:sz w:val="32"/>
          <w:szCs w:val="32"/>
          <w:lang w:val="en-US" w:eastAsia="zh-CN"/>
        </w:rPr>
        <w:t>3143.54</w:t>
      </w:r>
      <w:r>
        <w:rPr>
          <w:rFonts w:hint="default" w:ascii="Times New Roman" w:hAnsi="Times New Roman" w:eastAsia="方正仿宋_GBK" w:cs="Times New Roman"/>
          <w:sz w:val="32"/>
          <w:szCs w:val="32"/>
        </w:rPr>
        <w:t>万元，占政府采购支出总额的</w:t>
      </w:r>
      <w:r>
        <w:rPr>
          <w:rFonts w:hint="default" w:ascii="Times New Roman" w:hAnsi="Times New Roman" w:eastAsia="方正仿宋_GBK" w:cs="Times New Roman"/>
          <w:sz w:val="32"/>
          <w:szCs w:val="32"/>
          <w:lang w:val="en-US" w:eastAsia="zh-CN"/>
        </w:rPr>
        <w:t>98.28</w:t>
      </w:r>
      <w:r>
        <w:rPr>
          <w:rFonts w:hint="default" w:ascii="Times New Roman" w:hAnsi="Times New Roman" w:eastAsia="方正仿宋_GBK" w:cs="Times New Roman"/>
          <w:sz w:val="32"/>
          <w:szCs w:val="32"/>
        </w:rPr>
        <w:t>%，其中：授予小微企业合同金额</w:t>
      </w:r>
      <w:r>
        <w:rPr>
          <w:rFonts w:hint="default" w:ascii="Times New Roman" w:hAnsi="Times New Roman" w:eastAsia="方正仿宋_GBK" w:cs="Times New Roman"/>
          <w:sz w:val="32"/>
          <w:szCs w:val="32"/>
          <w:lang w:val="en-US" w:eastAsia="zh-CN"/>
        </w:rPr>
        <w:t>2997.50</w:t>
      </w:r>
      <w:r>
        <w:rPr>
          <w:rFonts w:hint="default" w:ascii="Times New Roman" w:hAnsi="Times New Roman" w:eastAsia="方正仿宋_GBK" w:cs="Times New Roman"/>
          <w:sz w:val="32"/>
          <w:szCs w:val="32"/>
        </w:rPr>
        <w:t>万元，占政府采购支出总额的</w:t>
      </w:r>
      <w:r>
        <w:rPr>
          <w:rFonts w:hint="default" w:ascii="Times New Roman" w:hAnsi="Times New Roman" w:eastAsia="方正仿宋_GBK" w:cs="Times New Roman"/>
          <w:sz w:val="32"/>
          <w:szCs w:val="32"/>
          <w:lang w:val="en-US" w:eastAsia="zh-CN"/>
        </w:rPr>
        <w:t>93.71</w:t>
      </w:r>
      <w:r>
        <w:rPr>
          <w:rFonts w:hint="default" w:ascii="Times New Roman" w:hAnsi="Times New Roman" w:eastAsia="方正仿宋_GBK" w:cs="Times New Roman"/>
          <w:sz w:val="32"/>
          <w:szCs w:val="32"/>
        </w:rPr>
        <w:t>%。</w:t>
      </w:r>
    </w:p>
    <w:p w14:paraId="4F520E61">
      <w:pPr>
        <w:keepNext w:val="0"/>
        <w:keepLines w:val="0"/>
        <w:pageBreakBefore w:val="0"/>
        <w:kinsoku/>
        <w:wordWrap/>
        <w:overflowPunct/>
        <w:topLinePunct w:val="0"/>
        <w:autoSpaceDE/>
        <w:autoSpaceDN/>
        <w:bidi w:val="0"/>
        <w:spacing w:line="240" w:lineRule="auto"/>
        <w:ind w:firstLine="643" w:firstLineChars="200"/>
        <w:textAlignment w:val="auto"/>
        <w:outlineLvl w:val="2"/>
        <w:rPr>
          <w:rFonts w:hint="default" w:ascii="Times New Roman" w:hAnsi="Times New Roman" w:eastAsia="方正楷体_GBK" w:cs="Times New Roman"/>
          <w:b/>
          <w:bCs w:val="0"/>
          <w:sz w:val="32"/>
          <w:szCs w:val="32"/>
        </w:rPr>
      </w:pPr>
      <w:bookmarkStart w:id="54" w:name="_Toc15377224"/>
      <w:r>
        <w:rPr>
          <w:rFonts w:hint="default" w:ascii="Times New Roman" w:hAnsi="Times New Roman" w:eastAsia="方正楷体_GBK" w:cs="Times New Roman"/>
          <w:b/>
          <w:bCs w:val="0"/>
          <w:sz w:val="32"/>
          <w:szCs w:val="32"/>
        </w:rPr>
        <w:t>（三）国有资产占有使用情况</w:t>
      </w:r>
      <w:bookmarkEnd w:id="54"/>
    </w:p>
    <w:p w14:paraId="78F1188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截至2024年12月31日，</w:t>
      </w:r>
      <w:r>
        <w:rPr>
          <w:rFonts w:hint="default" w:ascii="Times New Roman" w:hAnsi="Times New Roman" w:eastAsia="方正仿宋_GBK" w:cs="Times New Roman"/>
          <w:sz w:val="32"/>
          <w:szCs w:val="32"/>
          <w:lang w:val="en-US" w:eastAsia="zh-CN"/>
        </w:rPr>
        <w:t>盐边县教育和体育局</w:t>
      </w:r>
      <w:r>
        <w:rPr>
          <w:rFonts w:hint="default" w:ascii="Times New Roman" w:hAnsi="Times New Roman" w:eastAsia="方正仿宋_GBK" w:cs="Times New Roman"/>
          <w:sz w:val="32"/>
          <w:szCs w:val="32"/>
        </w:rPr>
        <w:t>共有车辆</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辆，其中：主要负责人用车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辆、机要通信用车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辆、应急保障用车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辆、其他用车</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辆，其他用车主要是用于其他用车主要是用于运送物资、下乡检查工作等。单价100万元（含）以上设备（不含车辆）</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台（套）。</w:t>
      </w:r>
    </w:p>
    <w:p w14:paraId="03A92773">
      <w:pPr>
        <w:keepNext w:val="0"/>
        <w:keepLines w:val="0"/>
        <w:pageBreakBefore w:val="0"/>
        <w:kinsoku/>
        <w:wordWrap/>
        <w:overflowPunct/>
        <w:topLinePunct w:val="0"/>
        <w:autoSpaceDE/>
        <w:autoSpaceDN/>
        <w:bidi w:val="0"/>
        <w:spacing w:line="240" w:lineRule="auto"/>
        <w:ind w:firstLine="643" w:firstLineChars="200"/>
        <w:textAlignment w:val="auto"/>
        <w:outlineLvl w:val="2"/>
        <w:rPr>
          <w:rFonts w:hint="default" w:ascii="Times New Roman" w:hAnsi="Times New Roman" w:eastAsia="方正楷体_GBK" w:cs="Times New Roman"/>
          <w:b/>
          <w:bCs w:val="0"/>
          <w:sz w:val="32"/>
          <w:szCs w:val="32"/>
        </w:rPr>
      </w:pPr>
      <w:r>
        <w:rPr>
          <w:rFonts w:hint="default" w:ascii="Times New Roman" w:hAnsi="Times New Roman" w:eastAsia="方正楷体_GBK" w:cs="Times New Roman"/>
          <w:b/>
          <w:bCs w:val="0"/>
          <w:sz w:val="32"/>
          <w:szCs w:val="32"/>
        </w:rPr>
        <w:t>（四）预算绩效管理情况</w:t>
      </w:r>
    </w:p>
    <w:p w14:paraId="1144EBAA">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根据预算绩效管理要求，</w:t>
      </w:r>
      <w:r>
        <w:rPr>
          <w:rFonts w:hint="default" w:ascii="Times New Roman" w:hAnsi="Times New Roman" w:eastAsia="方正仿宋_GBK" w:cs="Times New Roman"/>
          <w:color w:val="auto"/>
          <w:sz w:val="32"/>
          <w:szCs w:val="32"/>
          <w:lang w:val="en-US" w:eastAsia="zh-CN"/>
        </w:rPr>
        <w:t>盐边县教育和体育局</w:t>
      </w:r>
      <w:r>
        <w:rPr>
          <w:rFonts w:hint="default" w:ascii="Times New Roman" w:hAnsi="Times New Roman" w:eastAsia="方正仿宋_GBK" w:cs="Times New Roman"/>
          <w:color w:val="auto"/>
          <w:sz w:val="32"/>
          <w:szCs w:val="32"/>
        </w:rPr>
        <w:t>在2024年度预算编制阶段，组织对</w:t>
      </w:r>
      <w:r>
        <w:rPr>
          <w:rFonts w:hint="default" w:ascii="Times New Roman" w:hAnsi="Times New Roman" w:eastAsia="方正仿宋_GBK" w:cs="Times New Roman"/>
          <w:color w:val="auto"/>
          <w:sz w:val="32"/>
          <w:szCs w:val="32"/>
          <w:lang w:val="en-US" w:eastAsia="zh-CN"/>
        </w:rPr>
        <w:t>87</w:t>
      </w:r>
      <w:r>
        <w:rPr>
          <w:rFonts w:hint="default" w:ascii="Times New Roman" w:hAnsi="Times New Roman" w:eastAsia="方正仿宋_GBK" w:cs="Times New Roman"/>
          <w:color w:val="auto"/>
          <w:sz w:val="32"/>
          <w:szCs w:val="32"/>
        </w:rPr>
        <w:t>个项目开展了预算事前绩效评估，对</w:t>
      </w:r>
      <w:r>
        <w:rPr>
          <w:rFonts w:hint="default" w:ascii="Times New Roman" w:hAnsi="Times New Roman" w:eastAsia="方正仿宋_GBK" w:cs="Times New Roman"/>
          <w:color w:val="auto"/>
          <w:sz w:val="32"/>
          <w:szCs w:val="32"/>
          <w:lang w:val="en-US" w:eastAsia="zh-CN"/>
        </w:rPr>
        <w:t>87</w:t>
      </w:r>
      <w:r>
        <w:rPr>
          <w:rFonts w:hint="default" w:ascii="Times New Roman" w:hAnsi="Times New Roman" w:eastAsia="方正仿宋_GBK" w:cs="Times New Roman"/>
          <w:color w:val="auto"/>
          <w:sz w:val="32"/>
          <w:szCs w:val="32"/>
        </w:rPr>
        <w:t>个项目编制了绩效目标，预算执行过程中，选取</w:t>
      </w:r>
      <w:r>
        <w:rPr>
          <w:rFonts w:hint="default" w:ascii="Times New Roman" w:hAnsi="Times New Roman" w:eastAsia="方正仿宋_GBK" w:cs="Times New Roman"/>
          <w:color w:val="auto"/>
          <w:sz w:val="32"/>
          <w:szCs w:val="32"/>
          <w:lang w:val="en-US" w:eastAsia="zh-CN"/>
        </w:rPr>
        <w:t>87</w:t>
      </w:r>
      <w:r>
        <w:rPr>
          <w:rFonts w:hint="default" w:ascii="Times New Roman" w:hAnsi="Times New Roman" w:eastAsia="方正仿宋_GBK" w:cs="Times New Roman"/>
          <w:color w:val="auto"/>
          <w:sz w:val="32"/>
          <w:szCs w:val="32"/>
        </w:rPr>
        <w:t>个项目开展绩效监控。</w:t>
      </w:r>
    </w:p>
    <w:p w14:paraId="73CEDE5A">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组织对2024年度一般公共预算、政府性基金预算、国有资本经营预算、社会保险基金预算以及资本资产、债券资金等全面开展绩效自评，形成部门整体（含部门预算项目）绩效自评报告、专项预算项目绩效自评报告，其中，部门整体（含部门预算项目）绩效自评得分为</w:t>
      </w:r>
      <w:r>
        <w:rPr>
          <w:rFonts w:hint="default" w:ascii="Times New Roman" w:hAnsi="Times New Roman" w:eastAsia="方正仿宋_GBK" w:cs="Times New Roman"/>
          <w:color w:val="auto"/>
          <w:sz w:val="32"/>
          <w:szCs w:val="32"/>
          <w:lang w:val="en-US" w:eastAsia="zh-CN"/>
        </w:rPr>
        <w:t>98</w:t>
      </w:r>
      <w:r>
        <w:rPr>
          <w:rFonts w:hint="default" w:ascii="Times New Roman" w:hAnsi="Times New Roman" w:eastAsia="方正仿宋_GBK" w:cs="Times New Roman"/>
          <w:color w:val="auto"/>
          <w:sz w:val="32"/>
          <w:szCs w:val="32"/>
          <w:lang w:eastAsia="zh-CN"/>
        </w:rPr>
        <w:t>。</w:t>
      </w:r>
    </w:p>
    <w:p w14:paraId="230912AB">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工资性支出（行政）专项预算项目绩效自评得分为</w:t>
      </w:r>
      <w:r>
        <w:rPr>
          <w:rFonts w:hint="default" w:ascii="Times New Roman" w:hAnsi="Times New Roman" w:eastAsia="方正仿宋_GBK" w:cs="Times New Roman"/>
          <w:color w:val="auto"/>
          <w:sz w:val="32"/>
          <w:szCs w:val="32"/>
          <w:lang w:val="en-US" w:eastAsia="zh-CN"/>
        </w:rPr>
        <w:t>100</w:t>
      </w:r>
      <w:r>
        <w:rPr>
          <w:rFonts w:hint="default" w:ascii="Times New Roman" w:hAnsi="Times New Roman" w:eastAsia="方正仿宋_GBK" w:cs="Times New Roman"/>
          <w:color w:val="auto"/>
          <w:sz w:val="32"/>
          <w:szCs w:val="32"/>
        </w:rPr>
        <w:t>分，绩效自评综述严格执行相关政策，保障工资及时、足额发放或社保及时、足额缴纳，预算编制科学合理，减少结余资金。民族地区幼儿园全面实行保教费减免资助专项预算项目绩效自评得分为</w:t>
      </w:r>
      <w:r>
        <w:rPr>
          <w:rFonts w:hint="default" w:ascii="Times New Roman" w:hAnsi="Times New Roman" w:eastAsia="方正仿宋_GBK" w:cs="Times New Roman"/>
          <w:color w:val="auto"/>
          <w:sz w:val="32"/>
          <w:szCs w:val="32"/>
          <w:lang w:val="en-US" w:eastAsia="zh-CN"/>
        </w:rPr>
        <w:t>100</w:t>
      </w:r>
      <w:r>
        <w:rPr>
          <w:rFonts w:hint="default" w:ascii="Times New Roman" w:hAnsi="Times New Roman" w:eastAsia="方正仿宋_GBK" w:cs="Times New Roman"/>
          <w:color w:val="auto"/>
          <w:sz w:val="32"/>
          <w:szCs w:val="32"/>
        </w:rPr>
        <w:t>分，绩效自评综述全县学前教育在园幼儿全部纳入民族地区幼儿园全面实行保教费减免资助；省属高校毕业生到艰苦边远地区基层就业学费奖补资金专项预算项目绩效自评得分为</w:t>
      </w:r>
      <w:r>
        <w:rPr>
          <w:rFonts w:hint="default" w:ascii="Times New Roman" w:hAnsi="Times New Roman" w:eastAsia="方正仿宋_GBK" w:cs="Times New Roman"/>
          <w:color w:val="auto"/>
          <w:sz w:val="32"/>
          <w:szCs w:val="32"/>
          <w:lang w:val="en-US" w:eastAsia="zh-CN"/>
        </w:rPr>
        <w:t>96</w:t>
      </w:r>
      <w:r>
        <w:rPr>
          <w:rFonts w:hint="default" w:ascii="Times New Roman" w:hAnsi="Times New Roman" w:eastAsia="方正仿宋_GBK" w:cs="Times New Roman"/>
          <w:color w:val="auto"/>
          <w:sz w:val="32"/>
          <w:szCs w:val="32"/>
        </w:rPr>
        <w:t>分，绩效自评综述及时支付盐边县省属、市属</w:t>
      </w:r>
      <w:bookmarkStart w:id="75" w:name="_GoBack"/>
      <w:bookmarkEnd w:id="75"/>
      <w:r>
        <w:rPr>
          <w:rFonts w:hint="eastAsia" w:eastAsia="方正仿宋_GBK" w:cs="Times New Roman"/>
          <w:color w:val="auto"/>
          <w:sz w:val="32"/>
          <w:szCs w:val="32"/>
          <w:lang w:eastAsia="zh-CN"/>
        </w:rPr>
        <w:t>高校毕业生</w:t>
      </w:r>
      <w:r>
        <w:rPr>
          <w:rFonts w:hint="default" w:ascii="Times New Roman" w:hAnsi="Times New Roman" w:eastAsia="方正仿宋_GBK" w:cs="Times New Roman"/>
          <w:color w:val="auto"/>
          <w:sz w:val="32"/>
          <w:szCs w:val="32"/>
        </w:rPr>
        <w:t>到艰苦边远地区基层单位就业学费奖补</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部分公办幼儿园教育装备和玩教具采购项目绩效自评得分为</w:t>
      </w:r>
      <w:r>
        <w:rPr>
          <w:rFonts w:hint="default" w:ascii="Times New Roman" w:hAnsi="Times New Roman" w:eastAsia="方正仿宋_GBK" w:cs="Times New Roman"/>
          <w:color w:val="auto"/>
          <w:sz w:val="32"/>
          <w:szCs w:val="32"/>
          <w:lang w:val="en-US" w:eastAsia="zh-CN"/>
        </w:rPr>
        <w:t>100</w:t>
      </w:r>
      <w:r>
        <w:rPr>
          <w:rFonts w:hint="default" w:ascii="Times New Roman" w:hAnsi="Times New Roman" w:eastAsia="方正仿宋_GBK" w:cs="Times New Roman"/>
          <w:color w:val="auto"/>
          <w:sz w:val="32"/>
          <w:szCs w:val="32"/>
        </w:rPr>
        <w:t>分，绩效自评综述采购幼儿专用家具用具、幼儿图书采购、幼儿玩教具</w:t>
      </w:r>
      <w:r>
        <w:rPr>
          <w:rFonts w:hint="default" w:ascii="Times New Roman" w:hAnsi="Times New Roman" w:eastAsia="方正仿宋_GBK" w:cs="Times New Roman"/>
          <w:color w:val="auto"/>
          <w:sz w:val="32"/>
          <w:szCs w:val="32"/>
          <w:lang w:eastAsia="zh-CN"/>
        </w:rPr>
        <w:t>；国家登山健身步道维护补助经费</w:t>
      </w:r>
      <w:r>
        <w:rPr>
          <w:rFonts w:hint="default" w:ascii="Times New Roman" w:hAnsi="Times New Roman" w:eastAsia="方正仿宋_GBK" w:cs="Times New Roman"/>
          <w:color w:val="auto"/>
          <w:sz w:val="32"/>
          <w:szCs w:val="32"/>
        </w:rPr>
        <w:t>项目绩效自评得分为</w:t>
      </w:r>
      <w:r>
        <w:rPr>
          <w:rFonts w:hint="default" w:ascii="Times New Roman" w:hAnsi="Times New Roman" w:eastAsia="方正仿宋_GBK" w:cs="Times New Roman"/>
          <w:color w:val="auto"/>
          <w:sz w:val="32"/>
          <w:szCs w:val="32"/>
          <w:lang w:val="en-US" w:eastAsia="zh-CN"/>
        </w:rPr>
        <w:t>100</w:t>
      </w:r>
      <w:r>
        <w:rPr>
          <w:rFonts w:hint="default" w:ascii="Times New Roman" w:hAnsi="Times New Roman" w:eastAsia="方正仿宋_GBK" w:cs="Times New Roman"/>
          <w:color w:val="auto"/>
          <w:sz w:val="32"/>
          <w:szCs w:val="32"/>
        </w:rPr>
        <w:t>分，绩效自评综述该步道在城市旁边，登顶可看新盐边县城及雅砻江风光。设计功能为解决普通居民日常健身需求及开展部分小型登山活动。绩效自评表详见第四部分附件。</w:t>
      </w:r>
    </w:p>
    <w:p w14:paraId="43A2A144">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宋体" w:cs="Times New Roman"/>
          <w:lang w:val="en-US" w:eastAsia="zh-CN"/>
        </w:rPr>
      </w:pPr>
    </w:p>
    <w:p w14:paraId="623E4651">
      <w:pPr>
        <w:rPr>
          <w:rFonts w:hint="default" w:ascii="Times New Roman" w:hAnsi="Times New Roman" w:eastAsia="方正小标宋_GBK" w:cs="Times New Roman"/>
          <w:b/>
          <w:bCs w:val="0"/>
        </w:rPr>
      </w:pPr>
      <w:bookmarkStart w:id="55" w:name="_Toc8466"/>
      <w:bookmarkStart w:id="56" w:name="_Toc15396613"/>
      <w:bookmarkStart w:id="57" w:name="_Toc15377225"/>
      <w:r>
        <w:rPr>
          <w:rFonts w:hint="default" w:ascii="Times New Roman" w:hAnsi="Times New Roman" w:eastAsia="方正小标宋_GBK" w:cs="Times New Roman"/>
          <w:b/>
          <w:bCs w:val="0"/>
        </w:rPr>
        <w:br w:type="page"/>
      </w:r>
    </w:p>
    <w:p w14:paraId="6834CC56">
      <w:pPr>
        <w:pStyle w:val="3"/>
        <w:keepNext/>
        <w:keepLines/>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b/>
          <w:bCs w:val="0"/>
        </w:rPr>
      </w:pPr>
      <w:r>
        <w:rPr>
          <w:rFonts w:hint="default" w:ascii="Times New Roman" w:hAnsi="Times New Roman" w:eastAsia="方正小标宋_GBK" w:cs="Times New Roman"/>
          <w:b/>
          <w:bCs w:val="0"/>
        </w:rPr>
        <w:t>第三部分  名词解释</w:t>
      </w:r>
      <w:bookmarkEnd w:id="55"/>
      <w:bookmarkEnd w:id="56"/>
      <w:bookmarkEnd w:id="57"/>
    </w:p>
    <w:p w14:paraId="7A753316">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1.财政拨款收入：指单位从同级财政部门取得的财政预算资金。</w:t>
      </w:r>
    </w:p>
    <w:p w14:paraId="5330153B">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.其他收入：指单位取得的除上述收入以外的各项收入。</w:t>
      </w:r>
    </w:p>
    <w:p w14:paraId="364D6689">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 xml:space="preserve">.使用非财政拨款结余（含专用结余）：指事业单位使用以前年度积累的非财政拨款结余弥补当年收支差额的金额。 </w:t>
      </w:r>
    </w:p>
    <w:p w14:paraId="00E680B0">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 xml:space="preserve">.年初结转和结余：指以前年度尚未完成、结转到本年按有关规定继续使用的资金。 </w:t>
      </w:r>
    </w:p>
    <w:p w14:paraId="53C54BBD">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结余分配：指事业单位按照会计制度规定缴纳的所得税、提取的专用结余以及转入非财政拨款结余的金额等。</w:t>
      </w:r>
    </w:p>
    <w:p w14:paraId="3905B58D">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年末结转和结余：指单位按有关规定结转到下年或以后年度继续使用的资金。</w:t>
      </w:r>
    </w:p>
    <w:p w14:paraId="17AD785E">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.一般公共服务</w:t>
      </w:r>
      <w:r>
        <w:rPr>
          <w:rFonts w:hint="default" w:ascii="Times New Roman" w:hAnsi="Times New Roman" w:eastAsia="方正仿宋_GBK" w:cs="Times New Roman"/>
          <w:sz w:val="32"/>
          <w:szCs w:val="32"/>
          <w:lang w:val="en-US" w:eastAsia="zh-CN"/>
        </w:rPr>
        <w:t>201</w:t>
      </w:r>
      <w:r>
        <w:rPr>
          <w:rFonts w:hint="default" w:ascii="Times New Roman" w:hAnsi="Times New Roman" w:eastAsia="方正仿宋_GBK" w:cs="Times New Roman"/>
          <w:sz w:val="32"/>
          <w:szCs w:val="32"/>
        </w:rPr>
        <w:t>（类）</w:t>
      </w:r>
      <w:r>
        <w:rPr>
          <w:rFonts w:hint="default" w:ascii="Times New Roman" w:hAnsi="Times New Roman" w:eastAsia="方正仿宋_GBK" w:cs="Times New Roman"/>
          <w:sz w:val="32"/>
          <w:szCs w:val="32"/>
          <w:lang w:val="en-US" w:eastAsia="zh-CN"/>
        </w:rPr>
        <w:t>民族事务23</w:t>
      </w:r>
      <w:r>
        <w:rPr>
          <w:rFonts w:hint="default" w:ascii="Times New Roman" w:hAnsi="Times New Roman" w:eastAsia="方正仿宋_GBK" w:cs="Times New Roman"/>
          <w:sz w:val="32"/>
          <w:szCs w:val="32"/>
        </w:rPr>
        <w:t>（款）</w:t>
      </w:r>
      <w:r>
        <w:rPr>
          <w:rFonts w:hint="default" w:ascii="Times New Roman" w:hAnsi="Times New Roman" w:eastAsia="方正仿宋_GBK" w:cs="Times New Roman"/>
          <w:sz w:val="32"/>
          <w:szCs w:val="32"/>
          <w:lang w:val="en-US" w:eastAsia="zh-CN"/>
        </w:rPr>
        <w:t>其他民族事务99</w:t>
      </w:r>
      <w:r>
        <w:rPr>
          <w:rFonts w:hint="default" w:ascii="Times New Roman" w:hAnsi="Times New Roman" w:eastAsia="方正仿宋_GBK" w:cs="Times New Roman"/>
          <w:sz w:val="32"/>
          <w:szCs w:val="32"/>
        </w:rPr>
        <w:t>（项）：指</w:t>
      </w:r>
      <w:r>
        <w:rPr>
          <w:rFonts w:hint="default" w:ascii="Times New Roman" w:hAnsi="Times New Roman" w:eastAsia="方正仿宋_GBK" w:cs="Times New Roman"/>
          <w:sz w:val="32"/>
          <w:szCs w:val="32"/>
          <w:lang w:val="en-US" w:eastAsia="zh-CN"/>
        </w:rPr>
        <w:t>反映除上述项目以外其他用于民族事务方面的支出。</w:t>
      </w:r>
    </w:p>
    <w:p w14:paraId="52117CC5">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教育</w:t>
      </w:r>
      <w:r>
        <w:rPr>
          <w:rFonts w:hint="default" w:ascii="Times New Roman" w:hAnsi="Times New Roman" w:eastAsia="方正仿宋_GBK" w:cs="Times New Roman"/>
          <w:sz w:val="32"/>
          <w:szCs w:val="32"/>
          <w:lang w:val="en-US" w:eastAsia="zh-CN"/>
        </w:rPr>
        <w:t>205</w:t>
      </w:r>
      <w:r>
        <w:rPr>
          <w:rFonts w:hint="default" w:ascii="Times New Roman" w:hAnsi="Times New Roman" w:eastAsia="方正仿宋_GBK" w:cs="Times New Roman"/>
          <w:sz w:val="32"/>
          <w:szCs w:val="32"/>
        </w:rPr>
        <w:t>（类）</w:t>
      </w:r>
      <w:r>
        <w:rPr>
          <w:rFonts w:hint="default" w:ascii="Times New Roman" w:hAnsi="Times New Roman" w:eastAsia="方正仿宋_GBK" w:cs="Times New Roman"/>
          <w:sz w:val="32"/>
          <w:szCs w:val="32"/>
          <w:lang w:val="en-US" w:eastAsia="zh-CN"/>
        </w:rPr>
        <w:t>教育管理事务01</w:t>
      </w:r>
      <w:r>
        <w:rPr>
          <w:rFonts w:hint="default" w:ascii="Times New Roman" w:hAnsi="Times New Roman" w:eastAsia="方正仿宋_GBK" w:cs="Times New Roman"/>
          <w:sz w:val="32"/>
          <w:szCs w:val="32"/>
        </w:rPr>
        <w:t>（款）</w:t>
      </w:r>
      <w:r>
        <w:rPr>
          <w:rFonts w:hint="default" w:ascii="Times New Roman" w:hAnsi="Times New Roman" w:eastAsia="方正仿宋_GBK" w:cs="Times New Roman"/>
          <w:sz w:val="32"/>
          <w:szCs w:val="32"/>
          <w:lang w:val="en-US" w:eastAsia="zh-CN"/>
        </w:rPr>
        <w:t>行政运行01</w:t>
      </w:r>
      <w:r>
        <w:rPr>
          <w:rFonts w:hint="default" w:ascii="Times New Roman" w:hAnsi="Times New Roman" w:eastAsia="方正仿宋_GBK" w:cs="Times New Roman"/>
          <w:sz w:val="32"/>
          <w:szCs w:val="32"/>
        </w:rPr>
        <w:t>（项）：指</w:t>
      </w:r>
      <w:r>
        <w:rPr>
          <w:rFonts w:hint="default" w:ascii="Times New Roman" w:hAnsi="Times New Roman" w:eastAsia="方正仿宋_GBK" w:cs="Times New Roman"/>
          <w:sz w:val="32"/>
          <w:szCs w:val="32"/>
          <w:lang w:val="en-US" w:eastAsia="zh-CN"/>
        </w:rPr>
        <w:t>反映行政单位（包含实行公务员管理的事业单位）的基本支出。</w:t>
      </w:r>
    </w:p>
    <w:p w14:paraId="468F9FF6">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教育</w:t>
      </w:r>
      <w:r>
        <w:rPr>
          <w:rFonts w:hint="default" w:ascii="Times New Roman" w:hAnsi="Times New Roman" w:eastAsia="方正仿宋_GBK" w:cs="Times New Roman"/>
          <w:sz w:val="32"/>
          <w:szCs w:val="32"/>
          <w:lang w:val="en-US" w:eastAsia="zh-CN"/>
        </w:rPr>
        <w:t>205</w:t>
      </w:r>
      <w:r>
        <w:rPr>
          <w:rFonts w:hint="default" w:ascii="Times New Roman" w:hAnsi="Times New Roman" w:eastAsia="方正仿宋_GBK" w:cs="Times New Roman"/>
          <w:sz w:val="32"/>
          <w:szCs w:val="32"/>
        </w:rPr>
        <w:t>（类）</w:t>
      </w:r>
      <w:r>
        <w:rPr>
          <w:rFonts w:hint="default" w:ascii="Times New Roman" w:hAnsi="Times New Roman" w:eastAsia="方正仿宋_GBK" w:cs="Times New Roman"/>
          <w:sz w:val="32"/>
          <w:szCs w:val="32"/>
          <w:lang w:val="en-US" w:eastAsia="zh-CN"/>
        </w:rPr>
        <w:t>教育管理事务01</w:t>
      </w:r>
      <w:r>
        <w:rPr>
          <w:rFonts w:hint="default" w:ascii="Times New Roman" w:hAnsi="Times New Roman" w:eastAsia="方正仿宋_GBK" w:cs="Times New Roman"/>
          <w:sz w:val="32"/>
          <w:szCs w:val="32"/>
        </w:rPr>
        <w:t>（款）</w:t>
      </w:r>
      <w:r>
        <w:rPr>
          <w:rFonts w:hint="default" w:ascii="Times New Roman" w:hAnsi="Times New Roman" w:eastAsia="方正仿宋_GBK" w:cs="Times New Roman"/>
          <w:sz w:val="32"/>
          <w:szCs w:val="32"/>
          <w:lang w:val="en-US" w:eastAsia="zh-CN"/>
        </w:rPr>
        <w:t>一般行政管理事务02</w:t>
      </w:r>
      <w:r>
        <w:rPr>
          <w:rFonts w:hint="default" w:ascii="Times New Roman" w:hAnsi="Times New Roman" w:eastAsia="方正仿宋_GBK" w:cs="Times New Roman"/>
          <w:sz w:val="32"/>
          <w:szCs w:val="32"/>
        </w:rPr>
        <w:t>（项）：</w:t>
      </w:r>
      <w:r>
        <w:rPr>
          <w:rFonts w:hint="default" w:ascii="Times New Roman" w:hAnsi="Times New Roman" w:eastAsia="方正仿宋_GBK" w:cs="Times New Roman"/>
          <w:sz w:val="32"/>
          <w:szCs w:val="32"/>
          <w:lang w:val="en-US" w:eastAsia="zh-CN"/>
        </w:rPr>
        <w:t>指反映行政单位（包含实行公务员管理的事业单位）未单独设置顶级科目的其他项目支出。</w:t>
      </w:r>
    </w:p>
    <w:p w14:paraId="1BB3F032">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10.教育205（类）教育管理事务01（款）其他教育管理事务支出99（项）：指反映除上述项目以外其他用于教育管理事务方面的支出。</w:t>
      </w:r>
    </w:p>
    <w:p w14:paraId="2C870C58">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11.教育205（类）普通教育02（款）学前教育01（项）：指反映各部门举办的学前教育支出。政府各部门对社会组织等举办的幼儿园的资助，如捐赠、补贴等，也在本科目中反映。</w:t>
      </w:r>
    </w:p>
    <w:p w14:paraId="5B9F5071">
      <w:pPr>
        <w:pStyle w:val="2"/>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12.教育205（类）</w:t>
      </w:r>
      <w:r>
        <w:rPr>
          <w:rFonts w:hint="default" w:ascii="Times New Roman" w:hAnsi="Times New Roman" w:eastAsia="方正仿宋_GBK" w:cs="Times New Roman"/>
          <w:sz w:val="32"/>
          <w:szCs w:val="32"/>
          <w:lang w:val="en-US" w:eastAsia="zh-CN"/>
        </w:rPr>
        <w:t>普通教育02（款）小学教育02（项）</w:t>
      </w:r>
      <w:r>
        <w:rPr>
          <w:rFonts w:hint="default" w:ascii="Times New Roman" w:hAnsi="Times New Roman" w:eastAsia="方正仿宋_GBK" w:cs="Times New Roman"/>
          <w:kern w:val="2"/>
          <w:sz w:val="32"/>
          <w:szCs w:val="32"/>
          <w:lang w:val="en-US" w:eastAsia="zh-CN" w:bidi="ar-SA"/>
        </w:rPr>
        <w:t>：指反映各部门举办的小学教育支出。政府各部门对社会组织等举办的小学的资助，如捐赠、补贴等，也在本科目中反映。</w:t>
      </w:r>
    </w:p>
    <w:p w14:paraId="31DC4E44">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13.教育205（类）</w:t>
      </w:r>
      <w:r>
        <w:rPr>
          <w:rFonts w:hint="default" w:ascii="Times New Roman" w:hAnsi="Times New Roman" w:eastAsia="方正仿宋_GBK" w:cs="Times New Roman"/>
          <w:sz w:val="32"/>
          <w:szCs w:val="32"/>
          <w:lang w:val="en-US" w:eastAsia="zh-CN"/>
        </w:rPr>
        <w:t>普通教育02（款）初中教育03（项）</w:t>
      </w:r>
      <w:r>
        <w:rPr>
          <w:rFonts w:hint="default" w:ascii="Times New Roman" w:hAnsi="Times New Roman" w:eastAsia="方正仿宋_GBK" w:cs="Times New Roman"/>
          <w:kern w:val="2"/>
          <w:sz w:val="32"/>
          <w:szCs w:val="32"/>
          <w:lang w:val="en-US" w:eastAsia="zh-CN" w:bidi="ar-SA"/>
        </w:rPr>
        <w:t>：指反映各部门举办的初中教育支出。政府各部门对社会组织等举办的初中的资助，如捐赠、补贴等，也在本科目中反映。</w:t>
      </w:r>
    </w:p>
    <w:p w14:paraId="75E15249">
      <w:pPr>
        <w:pStyle w:val="2"/>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kern w:val="2"/>
          <w:sz w:val="32"/>
          <w:szCs w:val="32"/>
          <w:lang w:val="en-US" w:eastAsia="zh-CN" w:bidi="ar-SA"/>
        </w:rPr>
        <w:t>14.教育205（类）</w:t>
      </w:r>
      <w:r>
        <w:rPr>
          <w:rFonts w:hint="default" w:ascii="Times New Roman" w:hAnsi="Times New Roman" w:eastAsia="方正仿宋_GBK" w:cs="Times New Roman"/>
          <w:sz w:val="32"/>
          <w:szCs w:val="32"/>
          <w:lang w:val="en-US" w:eastAsia="zh-CN"/>
        </w:rPr>
        <w:t>普通教育02（款）高中教育04（项）</w:t>
      </w:r>
      <w:r>
        <w:rPr>
          <w:rFonts w:hint="default" w:ascii="Times New Roman" w:hAnsi="Times New Roman" w:eastAsia="方正仿宋_GBK" w:cs="Times New Roman"/>
          <w:kern w:val="2"/>
          <w:sz w:val="32"/>
          <w:szCs w:val="32"/>
          <w:lang w:val="en-US" w:eastAsia="zh-CN" w:bidi="ar-SA"/>
        </w:rPr>
        <w:t>：指反映各部门举办的普通高中教育支出。政府各部门对社会组织等举办的普通高中的资助，如捐赠、补贴等，也在本科目中反映。</w:t>
      </w:r>
    </w:p>
    <w:p w14:paraId="23183D13">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15.教育205（类）</w:t>
      </w:r>
      <w:r>
        <w:rPr>
          <w:rFonts w:hint="default" w:ascii="Times New Roman" w:hAnsi="Times New Roman" w:eastAsia="方正仿宋_GBK" w:cs="Times New Roman"/>
          <w:sz w:val="32"/>
          <w:szCs w:val="32"/>
          <w:lang w:val="en-US" w:eastAsia="zh-CN"/>
        </w:rPr>
        <w:t>普通教育02（款）高等教育05（项）</w:t>
      </w:r>
      <w:r>
        <w:rPr>
          <w:rFonts w:hint="default" w:ascii="Times New Roman" w:hAnsi="Times New Roman" w:eastAsia="方正仿宋_GBK" w:cs="Times New Roman"/>
          <w:kern w:val="2"/>
          <w:sz w:val="32"/>
          <w:szCs w:val="32"/>
          <w:lang w:val="en-US" w:eastAsia="zh-CN" w:bidi="ar-SA"/>
        </w:rPr>
        <w:t>：指反映各部门举办的普通本科（包括研究生）教育支出。政府各部门对社会组织等举办的普通本科高等院校（包括研究生）的资助，如捐赠、补贴等，也在本科目中反映。</w:t>
      </w:r>
    </w:p>
    <w:p w14:paraId="67B4D7B5">
      <w:pPr>
        <w:pStyle w:val="2"/>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16.教育205（类）</w:t>
      </w:r>
      <w:r>
        <w:rPr>
          <w:rFonts w:hint="default" w:ascii="Times New Roman" w:hAnsi="Times New Roman" w:eastAsia="方正仿宋_GBK" w:cs="Times New Roman"/>
          <w:sz w:val="32"/>
          <w:szCs w:val="32"/>
          <w:lang w:val="en-US" w:eastAsia="zh-CN"/>
        </w:rPr>
        <w:t>普通教育02（款）其他普通教育支出99（项）</w:t>
      </w:r>
      <w:r>
        <w:rPr>
          <w:rFonts w:hint="default" w:ascii="Times New Roman" w:hAnsi="Times New Roman" w:eastAsia="方正仿宋_GBK" w:cs="Times New Roman"/>
          <w:kern w:val="2"/>
          <w:sz w:val="32"/>
          <w:szCs w:val="32"/>
          <w:lang w:val="en-US" w:eastAsia="zh-CN" w:bidi="ar-SA"/>
        </w:rPr>
        <w:t>：指反映除上述项目以外其他用于普通教育方面的支出。</w:t>
      </w:r>
    </w:p>
    <w:p w14:paraId="69D66835">
      <w:pPr>
        <w:pStyle w:val="2"/>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17.教育205（类）</w:t>
      </w:r>
      <w:r>
        <w:rPr>
          <w:rFonts w:hint="default" w:ascii="Times New Roman" w:hAnsi="Times New Roman" w:eastAsia="方正仿宋_GBK" w:cs="Times New Roman"/>
          <w:sz w:val="32"/>
          <w:szCs w:val="32"/>
          <w:lang w:val="en-US" w:eastAsia="zh-CN"/>
        </w:rPr>
        <w:t>职业教育03（款）其他职业教育99（项）</w:t>
      </w:r>
      <w:r>
        <w:rPr>
          <w:rFonts w:hint="default" w:ascii="Times New Roman" w:hAnsi="Times New Roman" w:eastAsia="方正仿宋_GBK" w:cs="Times New Roman"/>
          <w:kern w:val="2"/>
          <w:sz w:val="32"/>
          <w:szCs w:val="32"/>
          <w:lang w:val="en-US" w:eastAsia="zh-CN" w:bidi="ar-SA"/>
        </w:rPr>
        <w:t>：指反映除上述项目以外其他用于职业教育方面的支出。</w:t>
      </w:r>
    </w:p>
    <w:p w14:paraId="1F1F3D60">
      <w:pPr>
        <w:pStyle w:val="2"/>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18.教育205（类）</w:t>
      </w:r>
      <w:r>
        <w:rPr>
          <w:rFonts w:hint="default" w:ascii="Times New Roman" w:hAnsi="Times New Roman" w:eastAsia="方正仿宋_GBK" w:cs="Times New Roman"/>
          <w:sz w:val="32"/>
          <w:szCs w:val="32"/>
          <w:lang w:val="en-US" w:eastAsia="zh-CN"/>
        </w:rPr>
        <w:t>进修及培训08（款）培训支出03（项）：</w:t>
      </w:r>
      <w:r>
        <w:rPr>
          <w:rFonts w:hint="default" w:ascii="Times New Roman" w:hAnsi="Times New Roman" w:eastAsia="方正仿宋_GBK" w:cs="Times New Roman"/>
          <w:kern w:val="2"/>
          <w:sz w:val="32"/>
          <w:szCs w:val="32"/>
          <w:lang w:val="en-US" w:eastAsia="zh-CN" w:bidi="ar-SA"/>
        </w:rPr>
        <w:t>指反映各部门安排的用于培训的支出。教育部门的师资培训，党校、行政学院等专业干部教育机构的支出，以及退役士兵、转业士官的培训支出，不在本科目反映。</w:t>
      </w:r>
    </w:p>
    <w:p w14:paraId="34DDB6C5">
      <w:pPr>
        <w:pStyle w:val="2"/>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19.教育205（类）</w:t>
      </w:r>
      <w:r>
        <w:rPr>
          <w:rFonts w:hint="default" w:ascii="Times New Roman" w:hAnsi="Times New Roman" w:eastAsia="方正仿宋_GBK" w:cs="Times New Roman"/>
          <w:sz w:val="32"/>
          <w:szCs w:val="32"/>
          <w:lang w:val="en-US" w:eastAsia="zh-CN"/>
        </w:rPr>
        <w:t>教育费附加安排09（款）农村中小学校校舍建设01（项）：</w:t>
      </w:r>
      <w:r>
        <w:rPr>
          <w:rFonts w:hint="default" w:ascii="Times New Roman" w:hAnsi="Times New Roman" w:eastAsia="方正仿宋_GBK" w:cs="Times New Roman"/>
          <w:kern w:val="2"/>
          <w:sz w:val="32"/>
          <w:szCs w:val="32"/>
          <w:lang w:val="en-US" w:eastAsia="zh-CN" w:bidi="ar-SA"/>
        </w:rPr>
        <w:t>指反映教育费附加安排用于农村中小学校舍新建、改建、修缮和维护的支出。</w:t>
      </w:r>
    </w:p>
    <w:p w14:paraId="53C4B6F4">
      <w:pPr>
        <w:pStyle w:val="2"/>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20.教育205（类）</w:t>
      </w:r>
      <w:r>
        <w:rPr>
          <w:rFonts w:hint="default" w:ascii="Times New Roman" w:hAnsi="Times New Roman" w:eastAsia="方正仿宋_GBK" w:cs="Times New Roman"/>
          <w:sz w:val="32"/>
          <w:szCs w:val="32"/>
          <w:lang w:val="en-US" w:eastAsia="zh-CN"/>
        </w:rPr>
        <w:t>教育费附加安排09（款）农村中小教学设施02（项）：</w:t>
      </w:r>
      <w:r>
        <w:rPr>
          <w:rFonts w:hint="default" w:ascii="Times New Roman" w:hAnsi="Times New Roman" w:eastAsia="方正仿宋_GBK" w:cs="Times New Roman"/>
          <w:kern w:val="2"/>
          <w:sz w:val="32"/>
          <w:szCs w:val="32"/>
          <w:lang w:val="en-US" w:eastAsia="zh-CN" w:bidi="ar-SA"/>
        </w:rPr>
        <w:t>指反映教育费附加安排用于改善农村中小学教学设施和办学条件的支出。</w:t>
      </w:r>
    </w:p>
    <w:p w14:paraId="633EEE9C">
      <w:pPr>
        <w:pStyle w:val="2"/>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21.教育205（类）</w:t>
      </w:r>
      <w:r>
        <w:rPr>
          <w:rFonts w:hint="default" w:ascii="Times New Roman" w:hAnsi="Times New Roman" w:eastAsia="方正仿宋_GBK" w:cs="Times New Roman"/>
          <w:sz w:val="32"/>
          <w:szCs w:val="32"/>
          <w:lang w:val="en-US" w:eastAsia="zh-CN"/>
        </w:rPr>
        <w:t>教育费附加安排09（款）其他教育费附加安排99（项）：</w:t>
      </w:r>
      <w:r>
        <w:rPr>
          <w:rFonts w:hint="default" w:ascii="Times New Roman" w:hAnsi="Times New Roman" w:eastAsia="方正仿宋_GBK" w:cs="Times New Roman"/>
          <w:kern w:val="2"/>
          <w:sz w:val="32"/>
          <w:szCs w:val="32"/>
          <w:lang w:val="en-US" w:eastAsia="zh-CN" w:bidi="ar-SA"/>
        </w:rPr>
        <w:t>指反映除以上项目以外的教育费附加支出。</w:t>
      </w:r>
    </w:p>
    <w:p w14:paraId="348477C4">
      <w:pPr>
        <w:pStyle w:val="2"/>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22.文化旅游体育与传媒207（类）</w:t>
      </w:r>
      <w:r>
        <w:rPr>
          <w:rFonts w:hint="default" w:ascii="Times New Roman" w:hAnsi="Times New Roman" w:eastAsia="方正仿宋_GBK" w:cs="Times New Roman"/>
          <w:sz w:val="32"/>
          <w:szCs w:val="32"/>
          <w:lang w:val="en-US" w:eastAsia="zh-CN"/>
        </w:rPr>
        <w:t>体育03（款）体育竞赛05（项）：</w:t>
      </w:r>
      <w:r>
        <w:rPr>
          <w:rFonts w:hint="default" w:ascii="Times New Roman" w:hAnsi="Times New Roman" w:eastAsia="方正仿宋_GBK" w:cs="Times New Roman"/>
          <w:kern w:val="2"/>
          <w:sz w:val="32"/>
          <w:szCs w:val="32"/>
          <w:lang w:val="en-US" w:eastAsia="zh-CN" w:bidi="ar-SA"/>
        </w:rPr>
        <w:t>指反映综合性运动会及单项体育比赛支出。</w:t>
      </w:r>
    </w:p>
    <w:p w14:paraId="5571A9D6">
      <w:pPr>
        <w:pStyle w:val="2"/>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23.文化旅游体育与传媒207（类）</w:t>
      </w:r>
      <w:r>
        <w:rPr>
          <w:rFonts w:hint="default" w:ascii="Times New Roman" w:hAnsi="Times New Roman" w:eastAsia="方正仿宋_GBK" w:cs="Times New Roman"/>
          <w:sz w:val="32"/>
          <w:szCs w:val="32"/>
          <w:lang w:val="en-US" w:eastAsia="zh-CN"/>
        </w:rPr>
        <w:t>体育03（款）体育场馆07（项）：</w:t>
      </w:r>
      <w:r>
        <w:rPr>
          <w:rFonts w:hint="default" w:ascii="Times New Roman" w:hAnsi="Times New Roman" w:eastAsia="方正仿宋_GBK" w:cs="Times New Roman"/>
          <w:kern w:val="2"/>
          <w:sz w:val="32"/>
          <w:szCs w:val="32"/>
          <w:lang w:val="en-US" w:eastAsia="zh-CN" w:bidi="ar-SA"/>
        </w:rPr>
        <w:t>指反映体育场馆建设及维护等方面的支出。</w:t>
      </w:r>
    </w:p>
    <w:p w14:paraId="13E59233">
      <w:pPr>
        <w:pStyle w:val="2"/>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24.文化旅游体育与传媒207（类）</w:t>
      </w:r>
      <w:r>
        <w:rPr>
          <w:rFonts w:hint="default" w:ascii="Times New Roman" w:hAnsi="Times New Roman" w:eastAsia="方正仿宋_GBK" w:cs="Times New Roman"/>
          <w:sz w:val="32"/>
          <w:szCs w:val="32"/>
          <w:lang w:val="en-US" w:eastAsia="zh-CN"/>
        </w:rPr>
        <w:t>体育03（款）群众体育08（项）：</w:t>
      </w:r>
      <w:r>
        <w:rPr>
          <w:rFonts w:hint="default" w:ascii="Times New Roman" w:hAnsi="Times New Roman" w:eastAsia="方正仿宋_GBK" w:cs="Times New Roman"/>
          <w:kern w:val="2"/>
          <w:sz w:val="32"/>
          <w:szCs w:val="32"/>
          <w:lang w:val="en-US" w:eastAsia="zh-CN" w:bidi="ar-SA"/>
        </w:rPr>
        <w:t>指反映业余体校和全民健身等群众体育活动方面的支出。</w:t>
      </w:r>
    </w:p>
    <w:p w14:paraId="4B3EE19D">
      <w:pPr>
        <w:pStyle w:val="2"/>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25.文化旅游体育与传媒207（类）</w:t>
      </w:r>
      <w:r>
        <w:rPr>
          <w:rFonts w:hint="default" w:ascii="Times New Roman" w:hAnsi="Times New Roman" w:eastAsia="方正仿宋_GBK" w:cs="Times New Roman"/>
          <w:sz w:val="32"/>
          <w:szCs w:val="32"/>
          <w:lang w:val="en-US" w:eastAsia="zh-CN"/>
        </w:rPr>
        <w:t>体育03（款）其他体育支出99（项）：</w:t>
      </w:r>
      <w:r>
        <w:rPr>
          <w:rFonts w:hint="default" w:ascii="Times New Roman" w:hAnsi="Times New Roman" w:eastAsia="方正仿宋_GBK" w:cs="Times New Roman"/>
          <w:kern w:val="2"/>
          <w:sz w:val="32"/>
          <w:szCs w:val="32"/>
          <w:lang w:val="en-US" w:eastAsia="zh-CN" w:bidi="ar-SA"/>
        </w:rPr>
        <w:t>指反映除上述项目以外其他用于体育方面的支出。</w:t>
      </w:r>
    </w:p>
    <w:p w14:paraId="59334840">
      <w:pPr>
        <w:pStyle w:val="2"/>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26.社会保障和就业208（类）</w:t>
      </w:r>
      <w:r>
        <w:rPr>
          <w:rFonts w:hint="default" w:ascii="Times New Roman" w:hAnsi="Times New Roman" w:eastAsia="方正仿宋_GBK" w:cs="Times New Roman"/>
          <w:sz w:val="32"/>
          <w:szCs w:val="32"/>
          <w:lang w:val="en-US" w:eastAsia="zh-CN"/>
        </w:rPr>
        <w:t>行政事业单位养老05（款）行政事业离退休01（项）：</w:t>
      </w:r>
      <w:r>
        <w:rPr>
          <w:rFonts w:hint="default" w:ascii="Times New Roman" w:hAnsi="Times New Roman" w:eastAsia="方正仿宋_GBK" w:cs="Times New Roman"/>
          <w:kern w:val="2"/>
          <w:sz w:val="32"/>
          <w:szCs w:val="32"/>
          <w:lang w:val="en-US" w:eastAsia="zh-CN" w:bidi="ar-SA"/>
        </w:rPr>
        <w:t>指反映行政单位（包含实行公务员管理的事业单位）开支的离退休经费。</w:t>
      </w:r>
    </w:p>
    <w:p w14:paraId="53329D60">
      <w:pPr>
        <w:pStyle w:val="2"/>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27.社会保障和就业208（类）</w:t>
      </w:r>
      <w:r>
        <w:rPr>
          <w:rFonts w:hint="default" w:ascii="Times New Roman" w:hAnsi="Times New Roman" w:eastAsia="方正仿宋_GBK" w:cs="Times New Roman"/>
          <w:sz w:val="32"/>
          <w:szCs w:val="32"/>
          <w:lang w:val="en-US" w:eastAsia="zh-CN"/>
        </w:rPr>
        <w:t>行政事业单位养老05（款）事业单位离退休02（项）：</w:t>
      </w:r>
      <w:r>
        <w:rPr>
          <w:rFonts w:hint="default" w:ascii="Times New Roman" w:hAnsi="Times New Roman" w:eastAsia="方正仿宋_GBK" w:cs="Times New Roman"/>
          <w:kern w:val="2"/>
          <w:sz w:val="32"/>
          <w:szCs w:val="32"/>
          <w:lang w:val="en-US" w:eastAsia="zh-CN" w:bidi="ar-SA"/>
        </w:rPr>
        <w:t>指反映事业单位开支的离退休经费。</w:t>
      </w:r>
    </w:p>
    <w:p w14:paraId="02660DBA">
      <w:pPr>
        <w:pStyle w:val="2"/>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28.社会保障和就业208（类）</w:t>
      </w:r>
      <w:r>
        <w:rPr>
          <w:rFonts w:hint="default" w:ascii="Times New Roman" w:hAnsi="Times New Roman" w:eastAsia="方正仿宋_GBK" w:cs="Times New Roman"/>
          <w:sz w:val="32"/>
          <w:szCs w:val="32"/>
          <w:lang w:val="en-US" w:eastAsia="zh-CN"/>
        </w:rPr>
        <w:t>行政事业单位养老05（款）机关事业单位基本养老保险缴费05（项）：</w:t>
      </w:r>
      <w:r>
        <w:rPr>
          <w:rFonts w:hint="default" w:ascii="Times New Roman" w:hAnsi="Times New Roman" w:eastAsia="方正仿宋_GBK" w:cs="Times New Roman"/>
          <w:kern w:val="2"/>
          <w:sz w:val="32"/>
          <w:szCs w:val="32"/>
          <w:lang w:val="en-US" w:eastAsia="zh-CN" w:bidi="ar-SA"/>
        </w:rPr>
        <w:t>指反映机关事业单位实施养老保险制度由单位缴纳的基本养老保险费支出。</w:t>
      </w:r>
    </w:p>
    <w:p w14:paraId="4FC38C2C">
      <w:pPr>
        <w:pStyle w:val="2"/>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29.社会保障和就业208（类）</w:t>
      </w:r>
      <w:r>
        <w:rPr>
          <w:rFonts w:hint="default" w:ascii="Times New Roman" w:hAnsi="Times New Roman" w:eastAsia="方正仿宋_GBK" w:cs="Times New Roman"/>
          <w:sz w:val="32"/>
          <w:szCs w:val="32"/>
          <w:lang w:val="en-US" w:eastAsia="zh-CN"/>
        </w:rPr>
        <w:t>行政事业单位养老05（款）机关事业单位职业年金缴费</w:t>
      </w:r>
      <w:r>
        <w:rPr>
          <w:rFonts w:hint="default" w:ascii="Times New Roman" w:hAnsi="Times New Roman" w:cs="Times New Roman"/>
          <w:sz w:val="32"/>
          <w:szCs w:val="32"/>
          <w:lang w:val="en-US" w:eastAsia="zh-CN"/>
        </w:rPr>
        <w:t>06</w:t>
      </w:r>
      <w:r>
        <w:rPr>
          <w:rFonts w:hint="default" w:ascii="Times New Roman" w:hAnsi="Times New Roman" w:eastAsia="方正仿宋_GBK" w:cs="Times New Roman"/>
          <w:sz w:val="32"/>
          <w:szCs w:val="32"/>
          <w:lang w:val="en-US" w:eastAsia="zh-CN"/>
        </w:rPr>
        <w:t>（项）：</w:t>
      </w:r>
      <w:r>
        <w:rPr>
          <w:rFonts w:hint="default" w:ascii="Times New Roman" w:hAnsi="Times New Roman" w:eastAsia="方正仿宋_GBK" w:cs="Times New Roman"/>
          <w:kern w:val="2"/>
          <w:sz w:val="32"/>
          <w:szCs w:val="32"/>
          <w:lang w:val="en-US" w:eastAsia="zh-CN" w:bidi="ar-SA"/>
        </w:rPr>
        <w:t>指反映机关事业单位实施养老保险制度由单位实际缴纳的职业年金支出（含职业年金补记支出）。</w:t>
      </w:r>
    </w:p>
    <w:p w14:paraId="2C01B529">
      <w:pPr>
        <w:pStyle w:val="2"/>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30.社会保障和就业208（类）</w:t>
      </w:r>
      <w:r>
        <w:rPr>
          <w:rFonts w:hint="default" w:ascii="Times New Roman" w:hAnsi="Times New Roman" w:eastAsia="方正仿宋_GBK" w:cs="Times New Roman"/>
          <w:sz w:val="32"/>
          <w:szCs w:val="32"/>
          <w:lang w:val="en-US" w:eastAsia="zh-CN"/>
        </w:rPr>
        <w:t>抚恤08（款）伤残抚恤02（项）：</w:t>
      </w:r>
      <w:r>
        <w:rPr>
          <w:rFonts w:hint="default" w:ascii="Times New Roman" w:hAnsi="Times New Roman" w:eastAsia="方正仿宋_GBK" w:cs="Times New Roman"/>
          <w:kern w:val="2"/>
          <w:sz w:val="32"/>
          <w:szCs w:val="32"/>
          <w:lang w:val="en-US" w:eastAsia="zh-CN" w:bidi="ar-SA"/>
        </w:rPr>
        <w:t>指反映按规定用于伤残人员的抚恤金和按规定开支的各种伤残补助费。</w:t>
      </w:r>
    </w:p>
    <w:p w14:paraId="3C473C79">
      <w:pPr>
        <w:pStyle w:val="2"/>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31.卫生健康210（类）</w:t>
      </w:r>
      <w:r>
        <w:rPr>
          <w:rFonts w:hint="default" w:ascii="Times New Roman" w:hAnsi="Times New Roman" w:eastAsia="方正仿宋_GBK" w:cs="Times New Roman"/>
          <w:sz w:val="32"/>
          <w:szCs w:val="32"/>
          <w:lang w:val="en-US" w:eastAsia="zh-CN"/>
        </w:rPr>
        <w:t>行政事业单位医疗11（款）行政单位医疗01（项）：</w:t>
      </w:r>
      <w:r>
        <w:rPr>
          <w:rFonts w:hint="default" w:ascii="Times New Roman" w:hAnsi="Times New Roman" w:eastAsia="方正仿宋_GBK" w:cs="Times New Roman"/>
          <w:kern w:val="2"/>
          <w:sz w:val="32"/>
          <w:szCs w:val="32"/>
          <w:lang w:val="en-US" w:eastAsia="zh-CN" w:bidi="ar-SA"/>
        </w:rPr>
        <w:t>指反映财政部门安排的行政单位（包括实行公务员管理的事业单位，下同）基本医疗保险缴费经费，未参加医疗保险的行政单位的公费医疗经费，按国家规定享受离休人员红军老战士待遇人员的医疗经费。</w:t>
      </w:r>
    </w:p>
    <w:p w14:paraId="1B52A35A">
      <w:pPr>
        <w:pStyle w:val="2"/>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32.卫生健康210（类）</w:t>
      </w:r>
      <w:r>
        <w:rPr>
          <w:rFonts w:hint="default" w:ascii="Times New Roman" w:hAnsi="Times New Roman" w:eastAsia="方正仿宋_GBK" w:cs="Times New Roman"/>
          <w:sz w:val="32"/>
          <w:szCs w:val="32"/>
          <w:lang w:val="en-US" w:eastAsia="zh-CN"/>
        </w:rPr>
        <w:t>行政事业单位医疗11（款）事业单位医疗02（项）：</w:t>
      </w:r>
      <w:r>
        <w:rPr>
          <w:rFonts w:hint="default" w:ascii="Times New Roman" w:hAnsi="Times New Roman" w:eastAsia="方正仿宋_GBK" w:cs="Times New Roman"/>
          <w:kern w:val="2"/>
          <w:sz w:val="32"/>
          <w:szCs w:val="32"/>
          <w:lang w:val="en-US" w:eastAsia="zh-CN" w:bidi="ar-SA"/>
        </w:rPr>
        <w:t>指反映财政部门安排的事业单位基本医疗保险缴费经费，未参加医疗保险的事业单位的公费医疗经费，按国家规定享受离休人员待遇的医疗经费。</w:t>
      </w:r>
    </w:p>
    <w:p w14:paraId="6C8726A6">
      <w:pPr>
        <w:pStyle w:val="2"/>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33.卫生健康210（类）</w:t>
      </w:r>
      <w:r>
        <w:rPr>
          <w:rFonts w:hint="default" w:ascii="Times New Roman" w:hAnsi="Times New Roman" w:eastAsia="方正仿宋_GBK" w:cs="Times New Roman"/>
          <w:sz w:val="32"/>
          <w:szCs w:val="32"/>
          <w:lang w:val="en-US" w:eastAsia="zh-CN"/>
        </w:rPr>
        <w:t>行政事业单位医疗11（款）公务员医疗补助03（项）：</w:t>
      </w:r>
      <w:r>
        <w:rPr>
          <w:rFonts w:hint="default" w:ascii="Times New Roman" w:hAnsi="Times New Roman" w:eastAsia="方正仿宋_GBK" w:cs="Times New Roman"/>
          <w:kern w:val="2"/>
          <w:sz w:val="32"/>
          <w:szCs w:val="32"/>
          <w:lang w:val="en-US" w:eastAsia="zh-CN" w:bidi="ar-SA"/>
        </w:rPr>
        <w:t>指反映财政部门安排的公务员医疗补助经费。</w:t>
      </w:r>
    </w:p>
    <w:p w14:paraId="179765B8">
      <w:pPr>
        <w:pStyle w:val="2"/>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34.卫生健康210（类）</w:t>
      </w:r>
      <w:r>
        <w:rPr>
          <w:rFonts w:hint="default" w:ascii="Times New Roman" w:hAnsi="Times New Roman" w:eastAsia="方正仿宋_GBK" w:cs="Times New Roman"/>
          <w:sz w:val="32"/>
          <w:szCs w:val="32"/>
          <w:lang w:val="en-US" w:eastAsia="zh-CN"/>
        </w:rPr>
        <w:t>行政事业单位医疗11（款）其他行政事业单位医疗99（项）：</w:t>
      </w:r>
      <w:r>
        <w:rPr>
          <w:rFonts w:hint="default" w:ascii="Times New Roman" w:hAnsi="Times New Roman" w:eastAsia="方正仿宋_GBK" w:cs="Times New Roman"/>
          <w:kern w:val="2"/>
          <w:sz w:val="32"/>
          <w:szCs w:val="32"/>
          <w:lang w:val="en-US" w:eastAsia="zh-CN" w:bidi="ar-SA"/>
        </w:rPr>
        <w:t>指反映除上述项目以外的其他用于行政事业单位医疗方面的支出。</w:t>
      </w:r>
    </w:p>
    <w:p w14:paraId="3B91EDA6">
      <w:pPr>
        <w:pStyle w:val="2"/>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35.住房保障221（类）</w:t>
      </w:r>
      <w:r>
        <w:rPr>
          <w:rFonts w:hint="default" w:ascii="Times New Roman" w:hAnsi="Times New Roman" w:eastAsia="方正仿宋_GBK" w:cs="Times New Roman"/>
          <w:sz w:val="32"/>
          <w:szCs w:val="32"/>
          <w:lang w:val="en-US" w:eastAsia="zh-CN"/>
        </w:rPr>
        <w:t>住房改革02（款）住房公积金01（项）：</w:t>
      </w:r>
      <w:r>
        <w:rPr>
          <w:rFonts w:hint="default" w:ascii="Times New Roman" w:hAnsi="Times New Roman" w:eastAsia="方正仿宋_GBK" w:cs="Times New Roman"/>
          <w:kern w:val="2"/>
          <w:sz w:val="32"/>
          <w:szCs w:val="32"/>
          <w:lang w:val="en-US" w:eastAsia="zh-CN" w:bidi="ar-SA"/>
        </w:rPr>
        <w:t>指反映行政事业单位按人力资源和社会保障部、财政部规定的基本工资和津贴补贴以及规定比例为职工缴纳的住房公积金。</w:t>
      </w:r>
    </w:p>
    <w:p w14:paraId="552CA3F3">
      <w:pPr>
        <w:pStyle w:val="2"/>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36.其他229（类）其他政府性基金及对应专项债务收入安排04（款）其他地方自行试点项目收益专项债券收入安排02（项）</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kern w:val="2"/>
          <w:sz w:val="32"/>
          <w:szCs w:val="32"/>
          <w:lang w:val="en-US" w:eastAsia="zh-CN" w:bidi="ar-SA"/>
        </w:rPr>
        <w:t>指其他地方自行试点项目收益专项债券收入安排的支出。</w:t>
      </w:r>
    </w:p>
    <w:p w14:paraId="2FD1B769">
      <w:pPr>
        <w:pStyle w:val="2"/>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37.其他229（类）彩票公益金安排60（款）用于体育事业的彩票公益金03（项）</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kern w:val="2"/>
          <w:sz w:val="32"/>
          <w:szCs w:val="32"/>
          <w:lang w:val="en-US" w:eastAsia="zh-CN" w:bidi="ar-SA"/>
        </w:rPr>
        <w:t>指反映用于体育事业的彩票公益金支出。</w:t>
      </w:r>
    </w:p>
    <w:p w14:paraId="1900EAF4">
      <w:pPr>
        <w:pStyle w:val="2"/>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38.其他229（类）其他99（款）其他99（项）</w:t>
      </w:r>
      <w:r>
        <w:rPr>
          <w:rFonts w:hint="default" w:ascii="Times New Roman" w:hAnsi="Times New Roman" w:eastAsia="方正仿宋_GBK" w:cs="Times New Roman"/>
          <w:sz w:val="32"/>
          <w:szCs w:val="32"/>
          <w:lang w:val="en-US" w:eastAsia="zh-CN"/>
        </w:rPr>
        <w:t>：指反映除上述项目以外其他不划到具体功能科目中的支出项目。</w:t>
      </w:r>
    </w:p>
    <w:p w14:paraId="756AEF17">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39</w:t>
      </w:r>
      <w:r>
        <w:rPr>
          <w:rFonts w:hint="default" w:ascii="Times New Roman" w:hAnsi="Times New Roman" w:eastAsia="方正仿宋_GBK" w:cs="Times New Roman"/>
          <w:sz w:val="32"/>
          <w:szCs w:val="32"/>
        </w:rPr>
        <w:t>.基本支出：指为保障机构正常运转、完成日常工作任务而发生的人员支出和公用支出。</w:t>
      </w:r>
    </w:p>
    <w:p w14:paraId="16149EF0">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40</w:t>
      </w:r>
      <w:r>
        <w:rPr>
          <w:rFonts w:hint="default" w:ascii="Times New Roman" w:hAnsi="Times New Roman" w:eastAsia="方正仿宋_GBK" w:cs="Times New Roman"/>
          <w:sz w:val="32"/>
          <w:szCs w:val="32"/>
        </w:rPr>
        <w:t xml:space="preserve">.项目支出：指在基本支出之外为完成特定行政任务和事业发展目标所发生的支出。 </w:t>
      </w:r>
    </w:p>
    <w:p w14:paraId="511D283B">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41</w:t>
      </w:r>
      <w:r>
        <w:rPr>
          <w:rFonts w:hint="default" w:ascii="Times New Roman" w:hAnsi="Times New Roman" w:eastAsia="方正仿宋_GBK" w:cs="Times New Roman"/>
          <w:sz w:val="32"/>
          <w:szCs w:val="32"/>
        </w:rPr>
        <w:t>.经营支出：指事业单位在专业业务活动及其辅助活动之外开展非独立核算经营活动发生的支出。</w:t>
      </w:r>
    </w:p>
    <w:p w14:paraId="31D091B8">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42</w:t>
      </w:r>
      <w:r>
        <w:rPr>
          <w:rFonts w:hint="default" w:ascii="Times New Roman" w:hAnsi="Times New Roman" w:eastAsia="方正仿宋_GBK"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892EB32">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43</w:t>
      </w:r>
      <w:r>
        <w:rPr>
          <w:rFonts w:hint="default" w:ascii="Times New Roman" w:hAnsi="Times New Roman" w:eastAsia="方正仿宋_GBK"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727EDD6">
      <w:pPr>
        <w:rPr>
          <w:rFonts w:hint="default" w:ascii="Times New Roman" w:hAnsi="Times New Roman" w:cs="Times New Roman"/>
        </w:rPr>
      </w:pPr>
      <w:r>
        <w:rPr>
          <w:rFonts w:hint="default" w:ascii="Times New Roman" w:hAnsi="Times New Roman" w:eastAsia="方正仿宋_GBK" w:cs="Times New Roman"/>
          <w:sz w:val="32"/>
          <w:szCs w:val="32"/>
        </w:rPr>
        <w:br w:type="page"/>
      </w:r>
    </w:p>
    <w:p w14:paraId="5DF87A30">
      <w:pPr>
        <w:pStyle w:val="3"/>
        <w:keepNext/>
        <w:keepLines/>
        <w:pageBreakBefore w:val="0"/>
        <w:widowControl w:val="0"/>
        <w:numPr>
          <w:ilvl w:val="0"/>
          <w:numId w:val="3"/>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b/>
          <w:bCs w:val="0"/>
        </w:rPr>
      </w:pPr>
      <w:bookmarkStart w:id="58" w:name="_Toc11932"/>
      <w:bookmarkStart w:id="59" w:name="_Toc15396614"/>
      <w:r>
        <w:rPr>
          <w:rFonts w:hint="default" w:ascii="Times New Roman" w:hAnsi="Times New Roman" w:eastAsia="方正小标宋_GBK" w:cs="Times New Roman"/>
          <w:b/>
          <w:bCs w:val="0"/>
        </w:rPr>
        <w:t xml:space="preserve"> 附件</w:t>
      </w:r>
      <w:bookmarkEnd w:id="58"/>
      <w:bookmarkEnd w:id="59"/>
    </w:p>
    <w:p w14:paraId="6D3512E8">
      <w:pPr>
        <w:numPr>
          <w:ilvl w:val="0"/>
          <w:numId w:val="0"/>
        </w:numPr>
        <w:rPr>
          <w:rFonts w:hint="default" w:ascii="Times New Roman" w:hAnsi="Times New Roman" w:cs="Times New Roman"/>
        </w:rPr>
      </w:pPr>
    </w:p>
    <w:p w14:paraId="7334522C">
      <w:pPr>
        <w:keepNext w:val="0"/>
        <w:keepLines w:val="0"/>
        <w:pageBreakBefore w:val="0"/>
        <w:widowControl/>
        <w:kinsoku/>
        <w:wordWrap/>
        <w:overflowPunct/>
        <w:topLinePunct w:val="0"/>
        <w:autoSpaceDE/>
        <w:autoSpaceDN/>
        <w:bidi w:val="0"/>
        <w:spacing w:line="240" w:lineRule="auto"/>
        <w:contextualSpacing/>
        <w:jc w:val="center"/>
        <w:textAlignment w:val="auto"/>
        <w:rPr>
          <w:rFonts w:hint="default" w:ascii="Times New Roman" w:hAnsi="Times New Roman" w:eastAsia="仿宋_GB2312" w:cs="Times New Roman"/>
          <w:kern w:val="0"/>
          <w:sz w:val="32"/>
        </w:rPr>
      </w:pPr>
      <w:r>
        <w:rPr>
          <w:rFonts w:hint="default" w:ascii="Times New Roman" w:hAnsi="Times New Roman" w:eastAsia="黑体" w:cs="Times New Roman"/>
          <w:sz w:val="32"/>
          <w:szCs w:val="32"/>
        </w:rPr>
        <w:t>部门预算项目支出绩效评价表（2024年度）</w:t>
      </w:r>
      <w:r>
        <w:rPr>
          <w:rFonts w:hint="default" w:ascii="Times New Roman" w:hAnsi="Times New Roman" w:eastAsia="黑体" w:cs="Times New Roman"/>
          <w:sz w:val="32"/>
          <w:szCs w:val="32"/>
          <w:lang w:val="en-US" w:eastAsia="zh-CN"/>
        </w:rPr>
        <w:t>见附件</w:t>
      </w:r>
    </w:p>
    <w:p w14:paraId="679340DB">
      <w:pPr>
        <w:rPr>
          <w:rFonts w:hint="default" w:ascii="Times New Roman" w:hAnsi="Times New Roman" w:eastAsia="方正小标宋_GBK" w:cs="Times New Roman"/>
          <w:b/>
          <w:bCs w:val="0"/>
        </w:rPr>
      </w:pPr>
      <w:bookmarkStart w:id="60" w:name="_Toc13568"/>
      <w:bookmarkStart w:id="61" w:name="_Toc15396618"/>
      <w:r>
        <w:rPr>
          <w:rFonts w:hint="default" w:ascii="Times New Roman" w:hAnsi="Times New Roman" w:eastAsia="方正小标宋_GBK" w:cs="Times New Roman"/>
          <w:b/>
          <w:bCs w:val="0"/>
        </w:rPr>
        <w:br w:type="page"/>
      </w:r>
    </w:p>
    <w:p w14:paraId="4520F81E">
      <w:pPr>
        <w:pStyle w:val="3"/>
        <w:keepNext/>
        <w:keepLines/>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sz w:val="32"/>
          <w:szCs w:val="32"/>
        </w:rPr>
      </w:pPr>
      <w:r>
        <w:rPr>
          <w:rFonts w:hint="default" w:ascii="Times New Roman" w:hAnsi="Times New Roman" w:eastAsia="方正小标宋_GBK" w:cs="Times New Roman"/>
          <w:b/>
          <w:bCs w:val="0"/>
        </w:rPr>
        <w:t>第五部分 附表</w:t>
      </w:r>
      <w:bookmarkEnd w:id="60"/>
      <w:bookmarkEnd w:id="61"/>
      <w:bookmarkStart w:id="62" w:name="_Toc15396619"/>
    </w:p>
    <w:p w14:paraId="3DD9B8E9">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一、收入支出决算总表</w:t>
      </w:r>
      <w:bookmarkEnd w:id="62"/>
    </w:p>
    <w:p w14:paraId="1910BCF5">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方正黑体_GBK" w:cs="Times New Roman"/>
          <w:kern w:val="2"/>
          <w:sz w:val="32"/>
          <w:szCs w:val="32"/>
          <w:lang w:val="en-US" w:eastAsia="zh-CN" w:bidi="ar-SA"/>
        </w:rPr>
      </w:pPr>
      <w:bookmarkStart w:id="63" w:name="_Toc15396620"/>
      <w:r>
        <w:rPr>
          <w:rFonts w:hint="default" w:ascii="Times New Roman" w:hAnsi="Times New Roman" w:eastAsia="方正黑体_GBK" w:cs="Times New Roman"/>
          <w:kern w:val="2"/>
          <w:sz w:val="32"/>
          <w:szCs w:val="32"/>
          <w:lang w:val="en-US" w:eastAsia="zh-CN" w:bidi="ar-SA"/>
        </w:rPr>
        <w:t>二、收入决算表</w:t>
      </w:r>
      <w:bookmarkEnd w:id="63"/>
    </w:p>
    <w:p w14:paraId="7929B1C4">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方正黑体_GBK" w:cs="Times New Roman"/>
          <w:kern w:val="2"/>
          <w:sz w:val="32"/>
          <w:szCs w:val="32"/>
          <w:lang w:val="en-US" w:eastAsia="zh-CN" w:bidi="ar-SA"/>
        </w:rPr>
      </w:pPr>
      <w:bookmarkStart w:id="64" w:name="_Toc15396621"/>
      <w:r>
        <w:rPr>
          <w:rFonts w:hint="default" w:ascii="Times New Roman" w:hAnsi="Times New Roman" w:eastAsia="方正黑体_GBK" w:cs="Times New Roman"/>
          <w:kern w:val="2"/>
          <w:sz w:val="32"/>
          <w:szCs w:val="32"/>
          <w:lang w:val="en-US" w:eastAsia="zh-CN" w:bidi="ar-SA"/>
        </w:rPr>
        <w:t>三、支出决算表</w:t>
      </w:r>
      <w:bookmarkEnd w:id="64"/>
    </w:p>
    <w:p w14:paraId="20390529">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方正黑体_GBK" w:cs="Times New Roman"/>
          <w:kern w:val="2"/>
          <w:sz w:val="32"/>
          <w:szCs w:val="32"/>
          <w:lang w:val="en-US" w:eastAsia="zh-CN" w:bidi="ar-SA"/>
        </w:rPr>
      </w:pPr>
      <w:bookmarkStart w:id="65" w:name="_Toc15396622"/>
      <w:r>
        <w:rPr>
          <w:rFonts w:hint="default" w:ascii="Times New Roman" w:hAnsi="Times New Roman" w:eastAsia="方正黑体_GBK" w:cs="Times New Roman"/>
          <w:kern w:val="2"/>
          <w:sz w:val="32"/>
          <w:szCs w:val="32"/>
          <w:lang w:val="en-US" w:eastAsia="zh-CN" w:bidi="ar-SA"/>
        </w:rPr>
        <w:t>四、财政拨款收入支出决算总表</w:t>
      </w:r>
      <w:bookmarkEnd w:id="65"/>
    </w:p>
    <w:p w14:paraId="7521B808">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方正黑体_GBK" w:cs="Times New Roman"/>
          <w:kern w:val="2"/>
          <w:sz w:val="32"/>
          <w:szCs w:val="32"/>
          <w:lang w:val="en-US" w:eastAsia="zh-CN" w:bidi="ar-SA"/>
        </w:rPr>
      </w:pPr>
      <w:bookmarkStart w:id="66" w:name="_Toc15396623"/>
      <w:r>
        <w:rPr>
          <w:rFonts w:hint="default" w:ascii="Times New Roman" w:hAnsi="Times New Roman" w:eastAsia="方正黑体_GBK" w:cs="Times New Roman"/>
          <w:kern w:val="2"/>
          <w:sz w:val="32"/>
          <w:szCs w:val="32"/>
          <w:lang w:val="en-US" w:eastAsia="zh-CN" w:bidi="ar-SA"/>
        </w:rPr>
        <w:t>五、财政拨款支出决算明细表</w:t>
      </w:r>
      <w:bookmarkEnd w:id="66"/>
      <w:bookmarkStart w:id="67" w:name="_Toc15396624"/>
    </w:p>
    <w:p w14:paraId="2A0D98F7">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六、一般公共预算财政拨款支出决算表</w:t>
      </w:r>
      <w:bookmarkEnd w:id="67"/>
    </w:p>
    <w:p w14:paraId="59C78ECD">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方正黑体_GBK" w:cs="Times New Roman"/>
          <w:kern w:val="2"/>
          <w:sz w:val="32"/>
          <w:szCs w:val="32"/>
          <w:lang w:val="en-US" w:eastAsia="zh-CN" w:bidi="ar-SA"/>
        </w:rPr>
      </w:pPr>
      <w:bookmarkStart w:id="68" w:name="_Toc15396625"/>
      <w:r>
        <w:rPr>
          <w:rFonts w:hint="default" w:ascii="Times New Roman" w:hAnsi="Times New Roman" w:eastAsia="方正黑体_GBK" w:cs="Times New Roman"/>
          <w:kern w:val="2"/>
          <w:sz w:val="32"/>
          <w:szCs w:val="32"/>
          <w:lang w:val="en-US" w:eastAsia="zh-CN" w:bidi="ar-SA"/>
        </w:rPr>
        <w:t>七、一般公共预算财政拨款支出决算明细表</w:t>
      </w:r>
      <w:bookmarkEnd w:id="68"/>
    </w:p>
    <w:p w14:paraId="38683042">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方正黑体_GBK" w:cs="Times New Roman"/>
          <w:kern w:val="2"/>
          <w:sz w:val="32"/>
          <w:szCs w:val="32"/>
          <w:lang w:val="en-US" w:eastAsia="zh-CN" w:bidi="ar-SA"/>
        </w:rPr>
      </w:pPr>
      <w:bookmarkStart w:id="69" w:name="_Toc15396626"/>
      <w:r>
        <w:rPr>
          <w:rFonts w:hint="default" w:ascii="Times New Roman" w:hAnsi="Times New Roman" w:eastAsia="方正黑体_GBK" w:cs="Times New Roman"/>
          <w:kern w:val="2"/>
          <w:sz w:val="32"/>
          <w:szCs w:val="32"/>
          <w:lang w:val="en-US" w:eastAsia="zh-CN" w:bidi="ar-SA"/>
        </w:rPr>
        <w:t>八、一般公共预算财政拨款基本支出决算表</w:t>
      </w:r>
      <w:bookmarkEnd w:id="69"/>
    </w:p>
    <w:p w14:paraId="5D1213A5">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方正黑体_GBK" w:cs="Times New Roman"/>
          <w:kern w:val="2"/>
          <w:sz w:val="32"/>
          <w:szCs w:val="32"/>
          <w:lang w:val="en-US" w:eastAsia="zh-CN" w:bidi="ar-SA"/>
        </w:rPr>
      </w:pPr>
      <w:bookmarkStart w:id="70" w:name="_Toc15396627"/>
      <w:r>
        <w:rPr>
          <w:rFonts w:hint="default" w:ascii="Times New Roman" w:hAnsi="Times New Roman" w:eastAsia="方正黑体_GBK" w:cs="Times New Roman"/>
          <w:kern w:val="2"/>
          <w:sz w:val="32"/>
          <w:szCs w:val="32"/>
          <w:lang w:val="en-US" w:eastAsia="zh-CN" w:bidi="ar-SA"/>
        </w:rPr>
        <w:t>九、一般公共预算财政拨款项目支出决算表</w:t>
      </w:r>
      <w:bookmarkEnd w:id="70"/>
    </w:p>
    <w:p w14:paraId="7DC8968B">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方正黑体_GBK" w:cs="Times New Roman"/>
          <w:kern w:val="2"/>
          <w:sz w:val="32"/>
          <w:szCs w:val="32"/>
          <w:lang w:val="en-US" w:eastAsia="zh-CN" w:bidi="ar-SA"/>
        </w:rPr>
      </w:pPr>
      <w:bookmarkStart w:id="71" w:name="_Toc15396628"/>
      <w:r>
        <w:rPr>
          <w:rFonts w:hint="default" w:ascii="Times New Roman" w:hAnsi="Times New Roman" w:eastAsia="方正黑体_GBK" w:cs="Times New Roman"/>
          <w:kern w:val="2"/>
          <w:sz w:val="32"/>
          <w:szCs w:val="32"/>
          <w:lang w:val="en-US" w:eastAsia="zh-CN" w:bidi="ar-SA"/>
        </w:rPr>
        <w:t>十、</w:t>
      </w:r>
      <w:bookmarkEnd w:id="71"/>
      <w:r>
        <w:rPr>
          <w:rFonts w:hint="default" w:ascii="Times New Roman" w:hAnsi="Times New Roman" w:eastAsia="方正黑体_GBK" w:cs="Times New Roman"/>
          <w:kern w:val="2"/>
          <w:sz w:val="32"/>
          <w:szCs w:val="32"/>
          <w:lang w:val="en-US" w:eastAsia="zh-CN" w:bidi="ar-SA"/>
        </w:rPr>
        <w:t>政府性基金预算财政拨款收入支出决算表</w:t>
      </w:r>
    </w:p>
    <w:p w14:paraId="6AD1228B">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方正黑体_GBK" w:cs="Times New Roman"/>
          <w:kern w:val="2"/>
          <w:sz w:val="32"/>
          <w:szCs w:val="32"/>
          <w:lang w:val="en-US" w:eastAsia="zh-CN" w:bidi="ar-SA"/>
        </w:rPr>
      </w:pPr>
      <w:bookmarkStart w:id="72" w:name="_Toc15396629"/>
      <w:r>
        <w:rPr>
          <w:rFonts w:hint="default" w:ascii="Times New Roman" w:hAnsi="Times New Roman" w:eastAsia="方正黑体_GBK" w:cs="Times New Roman"/>
          <w:kern w:val="2"/>
          <w:sz w:val="32"/>
          <w:szCs w:val="32"/>
          <w:lang w:val="en-US" w:eastAsia="zh-CN" w:bidi="ar-SA"/>
        </w:rPr>
        <w:t>十一、</w:t>
      </w:r>
      <w:bookmarkEnd w:id="72"/>
      <w:r>
        <w:rPr>
          <w:rFonts w:hint="default" w:ascii="Times New Roman" w:hAnsi="Times New Roman" w:eastAsia="方正黑体_GBK" w:cs="Times New Roman"/>
          <w:kern w:val="2"/>
          <w:sz w:val="32"/>
          <w:szCs w:val="32"/>
          <w:lang w:val="en-US" w:eastAsia="zh-CN" w:bidi="ar-SA"/>
        </w:rPr>
        <w:t>国有资本经营预算财政拨款收入支出决算表</w:t>
      </w:r>
    </w:p>
    <w:p w14:paraId="40FF07DE">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方正黑体_GBK" w:cs="Times New Roman"/>
          <w:kern w:val="2"/>
          <w:sz w:val="32"/>
          <w:szCs w:val="32"/>
          <w:lang w:val="en-US" w:eastAsia="zh-CN" w:bidi="ar-SA"/>
        </w:rPr>
      </w:pPr>
      <w:bookmarkStart w:id="73" w:name="_Toc15396630"/>
      <w:r>
        <w:rPr>
          <w:rFonts w:hint="default" w:ascii="Times New Roman" w:hAnsi="Times New Roman" w:eastAsia="方正黑体_GBK" w:cs="Times New Roman"/>
          <w:kern w:val="2"/>
          <w:sz w:val="32"/>
          <w:szCs w:val="32"/>
          <w:lang w:val="en-US" w:eastAsia="zh-CN" w:bidi="ar-SA"/>
        </w:rPr>
        <w:t>十二、</w:t>
      </w:r>
      <w:bookmarkEnd w:id="73"/>
      <w:r>
        <w:rPr>
          <w:rFonts w:hint="default" w:ascii="Times New Roman" w:hAnsi="Times New Roman" w:eastAsia="方正黑体_GBK" w:cs="Times New Roman"/>
          <w:kern w:val="2"/>
          <w:sz w:val="32"/>
          <w:szCs w:val="32"/>
          <w:lang w:val="en-US" w:eastAsia="zh-CN" w:bidi="ar-SA"/>
        </w:rPr>
        <w:t>国有资本经营预算财政拨款支出决算表</w:t>
      </w:r>
    </w:p>
    <w:p w14:paraId="744253C2">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lang w:val="en-US" w:eastAsia="zh-CN"/>
        </w:rPr>
      </w:pPr>
      <w:bookmarkStart w:id="74" w:name="_Toc15396631"/>
      <w:r>
        <w:rPr>
          <w:rFonts w:hint="default" w:ascii="Times New Roman" w:hAnsi="Times New Roman" w:eastAsia="方正黑体_GBK" w:cs="Times New Roman"/>
          <w:kern w:val="2"/>
          <w:sz w:val="32"/>
          <w:szCs w:val="32"/>
          <w:lang w:val="en-US" w:eastAsia="zh-CN" w:bidi="ar-SA"/>
        </w:rPr>
        <w:t>十三、</w:t>
      </w:r>
      <w:bookmarkEnd w:id="74"/>
      <w:r>
        <w:rPr>
          <w:rFonts w:hint="default" w:ascii="Times New Roman" w:hAnsi="Times New Roman" w:eastAsia="方正黑体_GBK" w:cs="Times New Roman"/>
          <w:kern w:val="2"/>
          <w:sz w:val="32"/>
          <w:szCs w:val="32"/>
          <w:lang w:val="en-US" w:eastAsia="zh-CN" w:bidi="ar-SA"/>
        </w:rPr>
        <w:t>财政拨款“三公”经费支出</w:t>
      </w:r>
      <w:bookmarkEnd w:id="8"/>
      <w:bookmarkEnd w:id="9"/>
    </w:p>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85E06">
    <w:pPr>
      <w:pStyle w:val="10"/>
      <w:jc w:val="center"/>
    </w:pPr>
  </w:p>
  <w:p w14:paraId="7D2114B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1A2E5">
    <w:pPr>
      <w:pStyle w:val="10"/>
      <w:jc w:val="center"/>
    </w:pPr>
  </w:p>
  <w:p w14:paraId="542C454A">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6AFBD">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0691D">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765762"/>
    <w:multiLevelType w:val="singleLevel"/>
    <w:tmpl w:val="FC765762"/>
    <w:lvl w:ilvl="0" w:tentative="0">
      <w:start w:val="1"/>
      <w:numFmt w:val="decimal"/>
      <w:suff w:val="nothing"/>
      <w:lvlText w:val="%1."/>
      <w:lvlJc w:val="left"/>
      <w:pPr>
        <w:ind w:left="425" w:hanging="425"/>
      </w:pPr>
      <w:rPr>
        <w:rFonts w:hint="default"/>
      </w:rPr>
    </w:lvl>
  </w:abstractNum>
  <w:abstractNum w:abstractNumId="1">
    <w:nsid w:val="02E7C6A8"/>
    <w:multiLevelType w:val="singleLevel"/>
    <w:tmpl w:val="02E7C6A8"/>
    <w:lvl w:ilvl="0" w:tentative="0">
      <w:start w:val="1"/>
      <w:numFmt w:val="chineseCounting"/>
      <w:suff w:val="nothing"/>
      <w:lvlText w:val="%1、"/>
      <w:lvlJc w:val="left"/>
      <w:rPr>
        <w:rFonts w:hint="eastAsia"/>
      </w:rPr>
    </w:lvl>
  </w:abstractNum>
  <w:abstractNum w:abstractNumId="2">
    <w:nsid w:val="21D9698E"/>
    <w:multiLevelType w:val="singleLevel"/>
    <w:tmpl w:val="21D9698E"/>
    <w:lvl w:ilvl="0" w:tentative="0">
      <w:start w:val="4"/>
      <w:numFmt w:val="chineseCounting"/>
      <w:suff w:val="space"/>
      <w:lvlText w:val="第%1部分"/>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441E"/>
    <w:rsid w:val="000E6613"/>
    <w:rsid w:val="000E7119"/>
    <w:rsid w:val="00114E9B"/>
    <w:rsid w:val="00142216"/>
    <w:rsid w:val="00144D6A"/>
    <w:rsid w:val="0014729F"/>
    <w:rsid w:val="00157BAB"/>
    <w:rsid w:val="001654D1"/>
    <w:rsid w:val="00174518"/>
    <w:rsid w:val="0018106D"/>
    <w:rsid w:val="001877A7"/>
    <w:rsid w:val="00191536"/>
    <w:rsid w:val="00196687"/>
    <w:rsid w:val="001A43E3"/>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A77D0"/>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374F"/>
    <w:rsid w:val="004A711F"/>
    <w:rsid w:val="004B199D"/>
    <w:rsid w:val="004B4690"/>
    <w:rsid w:val="004E0A2D"/>
    <w:rsid w:val="004E206B"/>
    <w:rsid w:val="004E383C"/>
    <w:rsid w:val="004E6DF7"/>
    <w:rsid w:val="004F0FBD"/>
    <w:rsid w:val="00505A47"/>
    <w:rsid w:val="00512FDA"/>
    <w:rsid w:val="00520DA0"/>
    <w:rsid w:val="005664BB"/>
    <w:rsid w:val="00566FFA"/>
    <w:rsid w:val="0057481D"/>
    <w:rsid w:val="005817F3"/>
    <w:rsid w:val="0058486E"/>
    <w:rsid w:val="00585B33"/>
    <w:rsid w:val="0059014D"/>
    <w:rsid w:val="005A2D64"/>
    <w:rsid w:val="005B5C64"/>
    <w:rsid w:val="005C5337"/>
    <w:rsid w:val="005C6BD0"/>
    <w:rsid w:val="005D1C8B"/>
    <w:rsid w:val="005D468D"/>
    <w:rsid w:val="005D5CED"/>
    <w:rsid w:val="005F1A4C"/>
    <w:rsid w:val="00605688"/>
    <w:rsid w:val="006070AF"/>
    <w:rsid w:val="00607712"/>
    <w:rsid w:val="00607E6C"/>
    <w:rsid w:val="006101B1"/>
    <w:rsid w:val="00614E44"/>
    <w:rsid w:val="0062270A"/>
    <w:rsid w:val="00622830"/>
    <w:rsid w:val="00623DA0"/>
    <w:rsid w:val="00630AEF"/>
    <w:rsid w:val="006325F8"/>
    <w:rsid w:val="00633463"/>
    <w:rsid w:val="00634C9A"/>
    <w:rsid w:val="006440E4"/>
    <w:rsid w:val="0066343B"/>
    <w:rsid w:val="00664777"/>
    <w:rsid w:val="00672AB7"/>
    <w:rsid w:val="006748A4"/>
    <w:rsid w:val="00681A31"/>
    <w:rsid w:val="00683E73"/>
    <w:rsid w:val="006A015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5E4"/>
    <w:rsid w:val="00871F71"/>
    <w:rsid w:val="00872FD8"/>
    <w:rsid w:val="00885AF4"/>
    <w:rsid w:val="008939CD"/>
    <w:rsid w:val="008B768C"/>
    <w:rsid w:val="008C4DB1"/>
    <w:rsid w:val="008C4EAF"/>
    <w:rsid w:val="008C5176"/>
    <w:rsid w:val="008C7FD0"/>
    <w:rsid w:val="008E1DE7"/>
    <w:rsid w:val="008E707C"/>
    <w:rsid w:val="008F7702"/>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30BB"/>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1E2A"/>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533F0F"/>
    <w:rsid w:val="02FEBE30"/>
    <w:rsid w:val="04916F1E"/>
    <w:rsid w:val="04ED23F9"/>
    <w:rsid w:val="053F4F6B"/>
    <w:rsid w:val="05810D93"/>
    <w:rsid w:val="061E35DE"/>
    <w:rsid w:val="066E0107"/>
    <w:rsid w:val="067D3AA5"/>
    <w:rsid w:val="06D51397"/>
    <w:rsid w:val="07506C6F"/>
    <w:rsid w:val="07996F6E"/>
    <w:rsid w:val="07DFD8BA"/>
    <w:rsid w:val="096802A0"/>
    <w:rsid w:val="09867E8F"/>
    <w:rsid w:val="0A2032A3"/>
    <w:rsid w:val="0A8F3F52"/>
    <w:rsid w:val="0ADF27E4"/>
    <w:rsid w:val="0B09160F"/>
    <w:rsid w:val="0B304DED"/>
    <w:rsid w:val="0BD065D0"/>
    <w:rsid w:val="0CA8290A"/>
    <w:rsid w:val="0CCF1895"/>
    <w:rsid w:val="0D35B1ED"/>
    <w:rsid w:val="0D9C47C7"/>
    <w:rsid w:val="0E254B6B"/>
    <w:rsid w:val="0F98263C"/>
    <w:rsid w:val="101860EC"/>
    <w:rsid w:val="101F47CC"/>
    <w:rsid w:val="106B1D32"/>
    <w:rsid w:val="10C055FF"/>
    <w:rsid w:val="114A2981"/>
    <w:rsid w:val="11694EBD"/>
    <w:rsid w:val="11772AA4"/>
    <w:rsid w:val="118107EC"/>
    <w:rsid w:val="12503FC7"/>
    <w:rsid w:val="12CC7AF2"/>
    <w:rsid w:val="12E24EE2"/>
    <w:rsid w:val="132C233E"/>
    <w:rsid w:val="136A730B"/>
    <w:rsid w:val="13D50BC4"/>
    <w:rsid w:val="147C5547"/>
    <w:rsid w:val="149D3976"/>
    <w:rsid w:val="14B17F78"/>
    <w:rsid w:val="15543DCE"/>
    <w:rsid w:val="15634011"/>
    <w:rsid w:val="15F35C9B"/>
    <w:rsid w:val="165E0673"/>
    <w:rsid w:val="16B831D5"/>
    <w:rsid w:val="16B97BDA"/>
    <w:rsid w:val="16BB723D"/>
    <w:rsid w:val="16CC508A"/>
    <w:rsid w:val="17746A03"/>
    <w:rsid w:val="178A7F7B"/>
    <w:rsid w:val="17925102"/>
    <w:rsid w:val="17CA65CA"/>
    <w:rsid w:val="17E50567"/>
    <w:rsid w:val="18187335"/>
    <w:rsid w:val="186504BB"/>
    <w:rsid w:val="19A445FC"/>
    <w:rsid w:val="1A3146DE"/>
    <w:rsid w:val="1A3A17E5"/>
    <w:rsid w:val="1A6745A4"/>
    <w:rsid w:val="1AA82C77"/>
    <w:rsid w:val="1BE8440E"/>
    <w:rsid w:val="1BE85270"/>
    <w:rsid w:val="1CC6347C"/>
    <w:rsid w:val="1CF814E3"/>
    <w:rsid w:val="1D155CEE"/>
    <w:rsid w:val="1D1638FE"/>
    <w:rsid w:val="1D596426"/>
    <w:rsid w:val="1D8217C2"/>
    <w:rsid w:val="1D9751A0"/>
    <w:rsid w:val="1DD106B2"/>
    <w:rsid w:val="1E312DEB"/>
    <w:rsid w:val="1E6E5F01"/>
    <w:rsid w:val="1E707ECB"/>
    <w:rsid w:val="1E740ACF"/>
    <w:rsid w:val="1F6A2B6C"/>
    <w:rsid w:val="1FF35744"/>
    <w:rsid w:val="1FF6BC77"/>
    <w:rsid w:val="20BA367F"/>
    <w:rsid w:val="2186353C"/>
    <w:rsid w:val="229E48DB"/>
    <w:rsid w:val="22C2681B"/>
    <w:rsid w:val="22EF3388"/>
    <w:rsid w:val="2369138D"/>
    <w:rsid w:val="23860B96"/>
    <w:rsid w:val="240371BF"/>
    <w:rsid w:val="2428111D"/>
    <w:rsid w:val="244F3473"/>
    <w:rsid w:val="248C5333"/>
    <w:rsid w:val="249266C1"/>
    <w:rsid w:val="24C97D99"/>
    <w:rsid w:val="25956469"/>
    <w:rsid w:val="25A718F0"/>
    <w:rsid w:val="25BB59F6"/>
    <w:rsid w:val="260F557C"/>
    <w:rsid w:val="26970054"/>
    <w:rsid w:val="27BA12A7"/>
    <w:rsid w:val="27DD33A4"/>
    <w:rsid w:val="281408E2"/>
    <w:rsid w:val="28E84B02"/>
    <w:rsid w:val="29FD04D3"/>
    <w:rsid w:val="2B1E0CAF"/>
    <w:rsid w:val="2B211B55"/>
    <w:rsid w:val="2B404781"/>
    <w:rsid w:val="2BFF7BC6"/>
    <w:rsid w:val="2C2E0A7D"/>
    <w:rsid w:val="2C8A61B5"/>
    <w:rsid w:val="2CAE7C0A"/>
    <w:rsid w:val="2D2F480E"/>
    <w:rsid w:val="2D4F514F"/>
    <w:rsid w:val="2DF04E50"/>
    <w:rsid w:val="2E586DFA"/>
    <w:rsid w:val="2EAE40F8"/>
    <w:rsid w:val="2EC41B6D"/>
    <w:rsid w:val="2EF97A69"/>
    <w:rsid w:val="2F040D46"/>
    <w:rsid w:val="2F1877C3"/>
    <w:rsid w:val="2F4F58DB"/>
    <w:rsid w:val="2F6B035B"/>
    <w:rsid w:val="2F7E3ACA"/>
    <w:rsid w:val="2FAE5751"/>
    <w:rsid w:val="2FB1A395"/>
    <w:rsid w:val="2FD9A7D8"/>
    <w:rsid w:val="2FDBF714"/>
    <w:rsid w:val="304A079B"/>
    <w:rsid w:val="30AB6865"/>
    <w:rsid w:val="319F7F4E"/>
    <w:rsid w:val="32BD1EF1"/>
    <w:rsid w:val="3304709D"/>
    <w:rsid w:val="33A773CB"/>
    <w:rsid w:val="33AE06F6"/>
    <w:rsid w:val="342434F8"/>
    <w:rsid w:val="345117AD"/>
    <w:rsid w:val="346B2DA2"/>
    <w:rsid w:val="34763909"/>
    <w:rsid w:val="349D6851"/>
    <w:rsid w:val="34F52A80"/>
    <w:rsid w:val="35301D0A"/>
    <w:rsid w:val="3550415A"/>
    <w:rsid w:val="36AA5135"/>
    <w:rsid w:val="36BE0DA7"/>
    <w:rsid w:val="36CE3589"/>
    <w:rsid w:val="370B658B"/>
    <w:rsid w:val="376B6AA6"/>
    <w:rsid w:val="376D39B2"/>
    <w:rsid w:val="37E16F03"/>
    <w:rsid w:val="37F53A3B"/>
    <w:rsid w:val="389B6C89"/>
    <w:rsid w:val="38D469F0"/>
    <w:rsid w:val="395F2BBE"/>
    <w:rsid w:val="39627CCD"/>
    <w:rsid w:val="397BAF1F"/>
    <w:rsid w:val="3A184B1B"/>
    <w:rsid w:val="3A231E3E"/>
    <w:rsid w:val="3A25040D"/>
    <w:rsid w:val="3A5D0B4A"/>
    <w:rsid w:val="3AB79AF3"/>
    <w:rsid w:val="3AE834C0"/>
    <w:rsid w:val="3B225C51"/>
    <w:rsid w:val="3B7EF35A"/>
    <w:rsid w:val="3B9FDB6C"/>
    <w:rsid w:val="3BB84807"/>
    <w:rsid w:val="3BF5BC2F"/>
    <w:rsid w:val="3CEBA265"/>
    <w:rsid w:val="3D163594"/>
    <w:rsid w:val="3D98207C"/>
    <w:rsid w:val="3DEE7CF3"/>
    <w:rsid w:val="3E740A63"/>
    <w:rsid w:val="3E78745D"/>
    <w:rsid w:val="3EE17838"/>
    <w:rsid w:val="3F55381A"/>
    <w:rsid w:val="3F5C7A6A"/>
    <w:rsid w:val="3F7F7599"/>
    <w:rsid w:val="3FF4CAE0"/>
    <w:rsid w:val="3FF7B227"/>
    <w:rsid w:val="414A5F02"/>
    <w:rsid w:val="426254CD"/>
    <w:rsid w:val="42973690"/>
    <w:rsid w:val="43301127"/>
    <w:rsid w:val="434D7F2B"/>
    <w:rsid w:val="43E73EDC"/>
    <w:rsid w:val="44134CD1"/>
    <w:rsid w:val="44231564"/>
    <w:rsid w:val="447B63D2"/>
    <w:rsid w:val="44E268DA"/>
    <w:rsid w:val="450D13D7"/>
    <w:rsid w:val="45506656"/>
    <w:rsid w:val="459D0E81"/>
    <w:rsid w:val="45C1250B"/>
    <w:rsid w:val="45E5215E"/>
    <w:rsid w:val="464F5D68"/>
    <w:rsid w:val="47947ED7"/>
    <w:rsid w:val="479E2B03"/>
    <w:rsid w:val="47ED3A8B"/>
    <w:rsid w:val="486A6C7A"/>
    <w:rsid w:val="487970CD"/>
    <w:rsid w:val="4968786D"/>
    <w:rsid w:val="49E113CD"/>
    <w:rsid w:val="4A627F82"/>
    <w:rsid w:val="4A7D6C3A"/>
    <w:rsid w:val="4B0E749A"/>
    <w:rsid w:val="4B187071"/>
    <w:rsid w:val="4B2477C4"/>
    <w:rsid w:val="4B4F25DA"/>
    <w:rsid w:val="4B78366B"/>
    <w:rsid w:val="4BE068DB"/>
    <w:rsid w:val="4C9170DB"/>
    <w:rsid w:val="4CBF5C1D"/>
    <w:rsid w:val="4CF17D0F"/>
    <w:rsid w:val="4D155616"/>
    <w:rsid w:val="4D4E5624"/>
    <w:rsid w:val="4D577224"/>
    <w:rsid w:val="4D5C1497"/>
    <w:rsid w:val="4DBF1CEB"/>
    <w:rsid w:val="4DF0007C"/>
    <w:rsid w:val="4EAB630A"/>
    <w:rsid w:val="4ECE2238"/>
    <w:rsid w:val="4EE26BCE"/>
    <w:rsid w:val="4EFB6A8D"/>
    <w:rsid w:val="4F275AD4"/>
    <w:rsid w:val="4F833267"/>
    <w:rsid w:val="4FE9BD67"/>
    <w:rsid w:val="4FFB052F"/>
    <w:rsid w:val="50C21AA1"/>
    <w:rsid w:val="514B617B"/>
    <w:rsid w:val="51FA127E"/>
    <w:rsid w:val="52081BED"/>
    <w:rsid w:val="52102850"/>
    <w:rsid w:val="537E6D0A"/>
    <w:rsid w:val="53F74C96"/>
    <w:rsid w:val="5495703C"/>
    <w:rsid w:val="55170BA8"/>
    <w:rsid w:val="553218C9"/>
    <w:rsid w:val="55FC3817"/>
    <w:rsid w:val="55FE6621"/>
    <w:rsid w:val="567E1AA5"/>
    <w:rsid w:val="56E47B74"/>
    <w:rsid w:val="56EF512A"/>
    <w:rsid w:val="57175D52"/>
    <w:rsid w:val="5728063B"/>
    <w:rsid w:val="57552E22"/>
    <w:rsid w:val="57BD3DD4"/>
    <w:rsid w:val="57C25B09"/>
    <w:rsid w:val="583848AE"/>
    <w:rsid w:val="58E277F5"/>
    <w:rsid w:val="59A3044D"/>
    <w:rsid w:val="5A3D04EE"/>
    <w:rsid w:val="5AF92295"/>
    <w:rsid w:val="5B250254"/>
    <w:rsid w:val="5B991B08"/>
    <w:rsid w:val="5BDD79E6"/>
    <w:rsid w:val="5BF561CA"/>
    <w:rsid w:val="5BFF5DFC"/>
    <w:rsid w:val="5C207B33"/>
    <w:rsid w:val="5C85412C"/>
    <w:rsid w:val="5CD71FC4"/>
    <w:rsid w:val="5CF60894"/>
    <w:rsid w:val="5D1F11B5"/>
    <w:rsid w:val="5D695134"/>
    <w:rsid w:val="5DAE1B18"/>
    <w:rsid w:val="5DE7D9E5"/>
    <w:rsid w:val="5ECEC941"/>
    <w:rsid w:val="5F88611B"/>
    <w:rsid w:val="5FBF9FF3"/>
    <w:rsid w:val="5FCD4E2C"/>
    <w:rsid w:val="5FEF394A"/>
    <w:rsid w:val="5FF67715"/>
    <w:rsid w:val="606A75CF"/>
    <w:rsid w:val="61131F9A"/>
    <w:rsid w:val="62BF3928"/>
    <w:rsid w:val="62DE42A4"/>
    <w:rsid w:val="63065CD5"/>
    <w:rsid w:val="632C3261"/>
    <w:rsid w:val="63B3701E"/>
    <w:rsid w:val="63C17E4E"/>
    <w:rsid w:val="64202DC6"/>
    <w:rsid w:val="64474EFB"/>
    <w:rsid w:val="647F5392"/>
    <w:rsid w:val="64833355"/>
    <w:rsid w:val="65E66580"/>
    <w:rsid w:val="664B1D71"/>
    <w:rsid w:val="664B4E8E"/>
    <w:rsid w:val="66A51361"/>
    <w:rsid w:val="66E63727"/>
    <w:rsid w:val="67277B67"/>
    <w:rsid w:val="678371C8"/>
    <w:rsid w:val="67AA3209"/>
    <w:rsid w:val="67F02AB0"/>
    <w:rsid w:val="6861575B"/>
    <w:rsid w:val="698B155E"/>
    <w:rsid w:val="698D0931"/>
    <w:rsid w:val="69BF6BDD"/>
    <w:rsid w:val="6A4470E3"/>
    <w:rsid w:val="6A7FE5F3"/>
    <w:rsid w:val="6AFD14CE"/>
    <w:rsid w:val="6B053271"/>
    <w:rsid w:val="6BB32772"/>
    <w:rsid w:val="6BDD78B3"/>
    <w:rsid w:val="6BDF3567"/>
    <w:rsid w:val="6C4A05C8"/>
    <w:rsid w:val="6C5648C6"/>
    <w:rsid w:val="6C613F7C"/>
    <w:rsid w:val="6C8742B8"/>
    <w:rsid w:val="6D5533B5"/>
    <w:rsid w:val="6DBF5E93"/>
    <w:rsid w:val="6DFF077E"/>
    <w:rsid w:val="6E714EF0"/>
    <w:rsid w:val="6E7E3605"/>
    <w:rsid w:val="6E7FDCC7"/>
    <w:rsid w:val="6EBD1212"/>
    <w:rsid w:val="6ED6A62E"/>
    <w:rsid w:val="6EE00B15"/>
    <w:rsid w:val="6F6FB3EB"/>
    <w:rsid w:val="6F8731EA"/>
    <w:rsid w:val="6FCE6052"/>
    <w:rsid w:val="6FD57C00"/>
    <w:rsid w:val="6FDF206B"/>
    <w:rsid w:val="6FEFFFD8"/>
    <w:rsid w:val="6FF5CC65"/>
    <w:rsid w:val="6FFB47EC"/>
    <w:rsid w:val="6FFF034A"/>
    <w:rsid w:val="701B2694"/>
    <w:rsid w:val="70484440"/>
    <w:rsid w:val="712A28F1"/>
    <w:rsid w:val="71453E6C"/>
    <w:rsid w:val="715C0E4B"/>
    <w:rsid w:val="71992E7C"/>
    <w:rsid w:val="72233669"/>
    <w:rsid w:val="72734D90"/>
    <w:rsid w:val="727C3F8E"/>
    <w:rsid w:val="72834520"/>
    <w:rsid w:val="73160E6D"/>
    <w:rsid w:val="7332FE48"/>
    <w:rsid w:val="73463ECB"/>
    <w:rsid w:val="735F0AE9"/>
    <w:rsid w:val="73AB61DA"/>
    <w:rsid w:val="73AD73D5"/>
    <w:rsid w:val="73B6EB34"/>
    <w:rsid w:val="73FA497D"/>
    <w:rsid w:val="744731E5"/>
    <w:rsid w:val="74BBD01D"/>
    <w:rsid w:val="74ED5379"/>
    <w:rsid w:val="75644ADD"/>
    <w:rsid w:val="75DE488F"/>
    <w:rsid w:val="75DEEEC2"/>
    <w:rsid w:val="75E32345"/>
    <w:rsid w:val="76053C67"/>
    <w:rsid w:val="76E3355F"/>
    <w:rsid w:val="76FF5125"/>
    <w:rsid w:val="776F6FFA"/>
    <w:rsid w:val="777128B1"/>
    <w:rsid w:val="778769C8"/>
    <w:rsid w:val="77A75DCA"/>
    <w:rsid w:val="77DC22F5"/>
    <w:rsid w:val="783E271A"/>
    <w:rsid w:val="78616DE9"/>
    <w:rsid w:val="78E875D7"/>
    <w:rsid w:val="79086DAD"/>
    <w:rsid w:val="792E51E6"/>
    <w:rsid w:val="79731F5E"/>
    <w:rsid w:val="79D7FD79"/>
    <w:rsid w:val="79EE5BA4"/>
    <w:rsid w:val="7A415409"/>
    <w:rsid w:val="7A894339"/>
    <w:rsid w:val="7ACD6C80"/>
    <w:rsid w:val="7AD284E8"/>
    <w:rsid w:val="7AF83CFD"/>
    <w:rsid w:val="7AFF7572"/>
    <w:rsid w:val="7B3C3170"/>
    <w:rsid w:val="7B6C7DFB"/>
    <w:rsid w:val="7BBFBED0"/>
    <w:rsid w:val="7BC3E394"/>
    <w:rsid w:val="7C1F3737"/>
    <w:rsid w:val="7CBFC87B"/>
    <w:rsid w:val="7CFE0F48"/>
    <w:rsid w:val="7D272ABC"/>
    <w:rsid w:val="7D7EC23E"/>
    <w:rsid w:val="7D871368"/>
    <w:rsid w:val="7D983576"/>
    <w:rsid w:val="7DBE2549"/>
    <w:rsid w:val="7E8ADEBF"/>
    <w:rsid w:val="7EEF11D3"/>
    <w:rsid w:val="7EFE4840"/>
    <w:rsid w:val="7F0971A6"/>
    <w:rsid w:val="7F1D62E7"/>
    <w:rsid w:val="7F3F679B"/>
    <w:rsid w:val="7F4FC4EF"/>
    <w:rsid w:val="7F596D35"/>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30" w:beforeLines="30"/>
      <w:ind w:firstLine="1440" w:firstLineChars="200"/>
    </w:pPr>
    <w:rPr>
      <w:rFonts w:ascii="仿宋_GB2312" w:hAnsi="仿宋_GB2312" w:eastAsia="方正仿宋_GBK"/>
      <w:kern w:val="0"/>
      <w:sz w:val="32"/>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仿宋_GB2312" w:eastAsia="方正仿宋_GBK"/>
      <w:sz w:val="32"/>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320" b="1" i="0" u="none" strike="noStrike" kern="1200" baseline="0">
                <a:solidFill>
                  <a:schemeClr val="tx1">
                    <a:lumMod val="75000"/>
                    <a:lumOff val="25000"/>
                  </a:schemeClr>
                </a:solidFill>
                <a:latin typeface="+mn-lt"/>
                <a:ea typeface="+mn-ea"/>
                <a:cs typeface="+mn-cs"/>
              </a:defRPr>
            </a:pPr>
            <a:r>
              <a:rPr sz="1320"/>
              <a:t>单位（万元）</a:t>
            </a:r>
            <a:endParaRPr lang="en-US" altLang="zh-CN" sz="1320"/>
          </a:p>
        </c:rich>
      </c:tx>
      <c:layout>
        <c:manualLayout>
          <c:xMode val="edge"/>
          <c:yMode val="edge"/>
          <c:x val="0.764073447692679"/>
          <c:y val="0.0254993625159371"/>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2024年度</c:v>
                </c:pt>
                <c:pt idx="1">
                  <c:v>2023年度</c:v>
                </c:pt>
              </c:strCache>
            </c:strRef>
          </c:cat>
          <c:val>
            <c:numRef>
              <c:f>Sheet1!$B$2:$B$3</c:f>
              <c:numCache>
                <c:formatCode>General</c:formatCode>
                <c:ptCount val="2"/>
                <c:pt idx="0">
                  <c:v>12053.58</c:v>
                </c:pt>
                <c:pt idx="1">
                  <c:v>8849.67</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2024年度</c:v>
                </c:pt>
                <c:pt idx="1">
                  <c:v>2023年度</c:v>
                </c:pt>
              </c:strCache>
            </c:strRef>
          </c:cat>
          <c:val>
            <c:numRef>
              <c:f>Sheet1!$C$2:$C$3</c:f>
              <c:numCache>
                <c:formatCode>General</c:formatCode>
                <c:ptCount val="2"/>
                <c:pt idx="0">
                  <c:v>12000.74</c:v>
                </c:pt>
                <c:pt idx="1">
                  <c:v>8849.67</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2024年度</c:v>
                </c:pt>
                <c:pt idx="1">
                  <c:v>2023年度</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150"/>
        <c:overlap val="-25"/>
        <c:axId val="570526106"/>
        <c:axId val="844609821"/>
      </c:barChart>
      <c:catAx>
        <c:axId val="57052610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crossAx val="844609821"/>
        <c:crosses val="autoZero"/>
        <c:auto val="1"/>
        <c:lblAlgn val="ctr"/>
        <c:lblOffset val="100"/>
        <c:noMultiLvlLbl val="0"/>
      </c:catAx>
      <c:valAx>
        <c:axId val="844609821"/>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crossAx val="570526106"/>
        <c:crosses val="autoZero"/>
        <c:crossBetween val="between"/>
      </c:valAx>
      <c:spPr>
        <a:noFill/>
        <a:ln>
          <a:noFill/>
        </a:ln>
        <a:effectLst/>
      </c:spPr>
    </c:plotArea>
    <c:legend>
      <c:legendPos val="t"/>
      <c:legendEntry>
        <c:idx val="0"/>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Entry>
      <c:legendEntry>
        <c:idx val="2"/>
        <c:delete val="1"/>
      </c:legendEntry>
      <c:layout/>
      <c:overlay val="0"/>
      <c:spPr>
        <a:noFill/>
        <a:ln>
          <a:noFill/>
        </a:ln>
        <a:effectLst/>
      </c:spPr>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0f81a18-560a-4ba0-94af-f300d4911c9b}"/>
      </c:ext>
    </c:extLst>
  </c:chart>
  <c:spPr>
    <a:solidFill>
      <a:schemeClr val="bg1"/>
    </a:solidFill>
    <a:ln w="9525" cap="flat" cmpd="sng" algn="ctr">
      <a:solidFill>
        <a:schemeClr val="tx1">
          <a:lumMod val="15000"/>
          <a:lumOff val="85000"/>
        </a:schemeClr>
      </a:solidFill>
      <a:round/>
    </a:ln>
    <a:effectLst/>
  </c:spPr>
  <c:txPr>
    <a:bodyPr/>
    <a:lstStyle/>
    <a:p>
      <a:pPr>
        <a:defRPr lang="zh-CN" sz="110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manualLayout>
          <c:layoutTarget val="inner"/>
          <c:xMode val="edge"/>
          <c:yMode val="edge"/>
          <c:x val="0.252369230769231"/>
          <c:y val="0.231421722293933"/>
          <c:w val="0.485907692307692"/>
          <c:h val="0.728010326387608"/>
        </c:manualLayout>
      </c:layout>
      <c:pieChart>
        <c:varyColors val="1"/>
        <c:ser>
          <c:idx val="0"/>
          <c:order val="0"/>
          <c:tx>
            <c:strRef>
              <c:f>Sheet1!$B$1</c:f>
              <c:strCache>
                <c:ptCount val="1"/>
                <c:pt idx="0">
                  <c:v>销售额</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一般公共预算财政拨款</c:v>
                </c:pt>
                <c:pt idx="1">
                  <c:v>政府性基金预算财政拨款</c:v>
                </c:pt>
                <c:pt idx="2">
                  <c:v>其他收入</c:v>
                </c:pt>
              </c:strCache>
            </c:strRef>
          </c:cat>
          <c:val>
            <c:numRef>
              <c:f>Sheet1!$B$2:$B$4</c:f>
              <c:numCache>
                <c:formatCode>General</c:formatCode>
                <c:ptCount val="3"/>
                <c:pt idx="0">
                  <c:v>10086.87</c:v>
                </c:pt>
                <c:pt idx="1">
                  <c:v>1911.19</c:v>
                </c:pt>
                <c:pt idx="2">
                  <c:v>55.51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105736094123041"/>
          <c:y val="0.095268311973636"/>
        </c:manualLayout>
      </c:layout>
      <c:overlay val="0"/>
      <c:spPr>
        <a:noFill/>
        <a:ln>
          <a:noFill/>
        </a:ln>
        <a:effectLst/>
      </c:spPr>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4dc0d99-b562-42b3-9b7d-9194aef4904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20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pieChart>
        <c:varyColors val="1"/>
        <c:ser>
          <c:idx val="0"/>
          <c:order val="0"/>
          <c:tx>
            <c:strRef>
              <c:f>Sheet1!$B$1</c:f>
              <c:strCache>
                <c:ptCount val="1"/>
                <c:pt idx="0">
                  <c:v>列2</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3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1213.8</c:v>
                </c:pt>
                <c:pt idx="1">
                  <c:v>10786.93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13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3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332025139190106"/>
          <c:y val="0.0930544314011727"/>
        </c:manualLayout>
      </c:layout>
      <c:overlay val="0"/>
      <c:spPr>
        <a:noFill/>
        <a:ln>
          <a:noFill/>
        </a:ln>
        <a:effectLst/>
      </c:spPr>
      <c:txPr>
        <a:bodyPr rot="0" spcFirstLastPara="0" vertOverflow="ellipsis" vert="horz" wrap="square" anchor="ctr" anchorCtr="1"/>
        <a:lstStyle/>
        <a:p>
          <a:pPr>
            <a:defRPr lang="zh-CN" sz="13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9ecc712-88b9-4269-b307-1e43efde47a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300"/>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320" b="1" i="0" u="none" strike="noStrike" kern="1200" baseline="0">
                <a:solidFill>
                  <a:schemeClr val="tx1"/>
                </a:solidFill>
                <a:latin typeface="+mn-ea"/>
                <a:ea typeface="+mn-ea"/>
                <a:cs typeface="+mn-ea"/>
                <a:sym typeface="+mn-ea"/>
              </a:defRPr>
            </a:pPr>
            <a:r>
              <a:rPr sz="1320">
                <a:latin typeface="+mn-ea"/>
                <a:ea typeface="+mn-ea"/>
                <a:cs typeface="+mn-ea"/>
                <a:sym typeface="+mn-ea"/>
              </a:rPr>
              <a:t>单位（万元）</a:t>
            </a:r>
            <a:endParaRPr sz="1320">
              <a:latin typeface="+mn-ea"/>
              <a:ea typeface="+mn-ea"/>
              <a:cs typeface="+mn-ea"/>
              <a:sym typeface="+mn-ea"/>
            </a:endParaRPr>
          </a:p>
        </c:rich>
      </c:tx>
      <c:layout>
        <c:manualLayout>
          <c:xMode val="edge"/>
          <c:yMode val="edge"/>
          <c:x val="0.778448900700652"/>
          <c:y val="0.0361240968975776"/>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2024年度</c:v>
                </c:pt>
                <c:pt idx="1">
                  <c:v>2023年度</c:v>
                </c:pt>
              </c:strCache>
            </c:strRef>
          </c:cat>
          <c:val>
            <c:numRef>
              <c:f>Sheet1!$B$2:$B$3</c:f>
              <c:numCache>
                <c:formatCode>General</c:formatCode>
                <c:ptCount val="2"/>
                <c:pt idx="0">
                  <c:v>11998.07</c:v>
                </c:pt>
                <c:pt idx="1">
                  <c:v>8849.67</c:v>
                </c:pt>
              </c:numCache>
            </c:numRef>
          </c:val>
        </c:ser>
        <c:ser>
          <c:idx val="1"/>
          <c:order val="1"/>
          <c:tx>
            <c:strRef>
              <c:f>Sheet1!$C$1</c:f>
              <c:strCache>
                <c:ptCount val="1"/>
                <c:pt idx="0">
                  <c:v>财政拨款支出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2024年度</c:v>
                </c:pt>
                <c:pt idx="1">
                  <c:v>2023年度</c:v>
                </c:pt>
              </c:strCache>
            </c:strRef>
          </c:cat>
          <c:val>
            <c:numRef>
              <c:f>Sheet1!$C$2:$C$3</c:f>
              <c:numCache>
                <c:formatCode>General</c:formatCode>
                <c:ptCount val="2"/>
                <c:pt idx="0">
                  <c:v>11998.07</c:v>
                </c:pt>
                <c:pt idx="1">
                  <c:v>8849.67</c:v>
                </c:pt>
              </c:numCache>
            </c:numRef>
          </c:val>
        </c:ser>
        <c:ser>
          <c:idx val="2"/>
          <c:order val="2"/>
          <c:tx>
            <c:strRef>
              <c:f>Sheet1!#REF!</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2024年度</c:v>
                </c:pt>
                <c:pt idx="1">
                  <c:v>2023年度</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150"/>
        <c:overlap val="-25"/>
        <c:axId val="412747906"/>
        <c:axId val="41329070"/>
      </c:barChart>
      <c:catAx>
        <c:axId val="41274790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crossAx val="41329070"/>
        <c:crosses val="autoZero"/>
        <c:auto val="1"/>
        <c:lblAlgn val="ctr"/>
        <c:lblOffset val="100"/>
        <c:noMultiLvlLbl val="0"/>
      </c:catAx>
      <c:valAx>
        <c:axId val="41329070"/>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crossAx val="412747906"/>
        <c:crosses val="autoZero"/>
        <c:crossBetween val="between"/>
      </c:valAx>
      <c:spPr>
        <a:noFill/>
        <a:ln>
          <a:noFill/>
        </a:ln>
        <a:effectLst/>
      </c:spPr>
    </c:plotArea>
    <c:legend>
      <c:legendPos val="t"/>
      <c:legendEntry>
        <c:idx val="0"/>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Entry>
      <c:legendEntry>
        <c:idx val="2"/>
        <c:delete val="1"/>
      </c:legendEntry>
      <c:layout>
        <c:manualLayout>
          <c:xMode val="edge"/>
          <c:yMode val="edge"/>
          <c:x val="0.337581541435129"/>
          <c:y val="0.145558861028474"/>
        </c:manualLayout>
      </c:layout>
      <c:overlay val="0"/>
      <c:spPr>
        <a:noFill/>
        <a:ln>
          <a:noFill/>
        </a:ln>
        <a:effectLst/>
      </c:spPr>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8a23ee9-21c0-4b20-9cf4-76ad4a477644}"/>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100"/>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单位（万元）</a:t>
            </a:r>
          </a:p>
        </c:rich>
      </c:tx>
      <c:layout>
        <c:manualLayout>
          <c:xMode val="edge"/>
          <c:yMode val="edge"/>
          <c:x val="0.752838849963759"/>
          <c:y val="0.0308117297067573"/>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2024年度</c:v>
                </c:pt>
                <c:pt idx="1">
                  <c:v>2023年度</c:v>
                </c:pt>
              </c:strCache>
            </c:strRef>
          </c:cat>
          <c:val>
            <c:numRef>
              <c:f>Sheet1!$B$2:$B$3</c:f>
              <c:numCache>
                <c:formatCode>General</c:formatCode>
                <c:ptCount val="2"/>
                <c:pt idx="0">
                  <c:v>10086.87</c:v>
                </c:pt>
                <c:pt idx="1">
                  <c:v>8771.07</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2024年度</c:v>
                </c:pt>
                <c:pt idx="1">
                  <c:v>2023年度</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2024年度</c:v>
                </c:pt>
                <c:pt idx="1">
                  <c:v>2023年度</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25"/>
        <c:axId val="692224546"/>
        <c:axId val="831418049"/>
      </c:barChart>
      <c:catAx>
        <c:axId val="69222454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1418049"/>
        <c:crosses val="autoZero"/>
        <c:auto val="1"/>
        <c:lblAlgn val="ctr"/>
        <c:lblOffset val="100"/>
        <c:noMultiLvlLbl val="0"/>
      </c:catAx>
      <c:valAx>
        <c:axId val="831418049"/>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2224546"/>
        <c:crosses val="autoZero"/>
        <c:crossBetween val="between"/>
      </c:valAx>
      <c:spPr>
        <a:noFill/>
        <a:ln>
          <a:noFill/>
        </a:ln>
        <a:effectLst/>
      </c:spPr>
    </c:plotArea>
    <c:legend>
      <c:legendPos val="t"/>
      <c:legendEntry>
        <c:idx val="0"/>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35df7a2-72db-4fc4-8923-d579c2612e8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32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文化旅游体育与传媒支出</c:v>
                </c:pt>
                <c:pt idx="2">
                  <c:v>社会保障和就业支出</c:v>
                </c:pt>
                <c:pt idx="3">
                  <c:v>卫生健康支出</c:v>
                </c:pt>
              </c:strCache>
            </c:strRef>
          </c:cat>
          <c:val>
            <c:numRef>
              <c:f>Sheet1!$B$2:$B$5</c:f>
              <c:numCache>
                <c:formatCode>General</c:formatCode>
                <c:ptCount val="4"/>
                <c:pt idx="0">
                  <c:v>9279.51</c:v>
                </c:pt>
                <c:pt idx="1">
                  <c:v>401.79</c:v>
                </c:pt>
                <c:pt idx="2">
                  <c:v>246.01</c:v>
                </c:pt>
                <c:pt idx="3">
                  <c:v>82.02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823e216-a9a2-4aa2-8970-7c6b85aa4a8b}"/>
      </c:ext>
    </c:extLst>
  </c:chart>
  <c:spPr>
    <a:solidFill>
      <a:schemeClr val="bg1"/>
    </a:solidFill>
    <a:ln w="9525" cap="flat" cmpd="sng" algn="ctr">
      <a:solidFill>
        <a:schemeClr val="tx1">
          <a:lumMod val="15000"/>
          <a:lumOff val="85000"/>
        </a:schemeClr>
      </a:solidFill>
      <a:round/>
    </a:ln>
    <a:effectLst/>
  </c:spPr>
  <c:txPr>
    <a:bodyPr/>
    <a:lstStyle/>
    <a:p>
      <a:pPr>
        <a:defRPr lang="zh-CN" sz="1100"/>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32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公务用车购置及运行维护费支出</c:v>
                </c:pt>
              </c:strCache>
            </c:strRef>
          </c:cat>
          <c:val>
            <c:numRef>
              <c:f>Sheet1!$B$2</c:f>
              <c:numCache>
                <c:formatCode>General</c:formatCode>
                <c:ptCount val="1"/>
                <c:pt idx="0">
                  <c:v>0.21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087b4a6-0cfb-468b-9e3b-734cc9a8b79d}"/>
      </c:ext>
    </c:extLst>
  </c:chart>
  <c:spPr>
    <a:solidFill>
      <a:schemeClr val="bg1"/>
    </a:solidFill>
    <a:ln w="9525" cap="flat" cmpd="sng" algn="ctr">
      <a:solidFill>
        <a:schemeClr val="tx1">
          <a:lumMod val="15000"/>
          <a:lumOff val="85000"/>
        </a:schemeClr>
      </a:solidFill>
      <a:round/>
    </a:ln>
    <a:effectLst/>
  </c:spPr>
  <c:txPr>
    <a:bodyPr/>
    <a:lstStyle/>
    <a:p>
      <a:pPr>
        <a:defRPr lang="zh-CN" sz="1100"/>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4493</Words>
  <Characters>5111</Characters>
  <Lines>44</Lines>
  <Paragraphs>12</Paragraphs>
  <TotalTime>4</TotalTime>
  <ScaleCrop>false</ScaleCrop>
  <LinksUpToDate>false</LinksUpToDate>
  <CharactersWithSpaces>5303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张晓骄</cp:lastModifiedBy>
  <cp:lastPrinted>2025-10-10T03:06:00Z</cp:lastPrinted>
  <dcterms:modified xsi:type="dcterms:W3CDTF">2025-11-11T07:10:46Z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CA6F6E7DDE3B40C192773C3440CF6DEB_13</vt:lpwstr>
  </property>
  <property fmtid="{D5CDD505-2E9C-101B-9397-08002B2CF9AE}" pid="4" name="KSOTemplateDocerSaveRecord">
    <vt:lpwstr>eyJoZGlkIjoiNWIwYjgyMzAyYjdlMTc0NjlhNjFkZTU2NDY0NzJjZGIiLCJ1c2VySWQiOiIzNTQwMzUzMTgifQ==</vt:lpwstr>
  </property>
</Properties>
</file>