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9C7E7">
      <w:pPr>
        <w:pStyle w:val="8"/>
        <w:spacing w:before="93"/>
        <w:rPr>
          <w:rFonts w:hint="default" w:ascii="Times New Roman" w:hAnsi="Times New Roman" w:eastAsia="方正小标宋简体" w:cs="Times New Roman"/>
          <w:kern w:val="2"/>
          <w:sz w:val="72"/>
          <w:szCs w:val="72"/>
        </w:rPr>
      </w:pPr>
      <w:bookmarkStart w:id="0" w:name="_Toc15396475"/>
      <w:bookmarkStart w:id="1" w:name="_Toc15396597"/>
      <w:bookmarkStart w:id="2" w:name="_Toc15378441"/>
      <w:bookmarkStart w:id="3" w:name="_Toc15377425"/>
      <w:bookmarkStart w:id="4" w:name="_Toc15306267"/>
      <w:bookmarkStart w:id="5" w:name="_Toc15377193"/>
    </w:p>
    <w:p w14:paraId="7BEAFDF1">
      <w:pPr>
        <w:pStyle w:val="8"/>
        <w:spacing w:before="93"/>
        <w:rPr>
          <w:rFonts w:hint="default" w:ascii="Times New Roman" w:hAnsi="Times New Roman" w:eastAsia="方正小标宋简体" w:cs="Times New Roman"/>
          <w:kern w:val="2"/>
          <w:sz w:val="72"/>
          <w:szCs w:val="72"/>
        </w:rPr>
      </w:pPr>
    </w:p>
    <w:p w14:paraId="298C5497">
      <w:pPr>
        <w:pStyle w:val="8"/>
        <w:spacing w:before="93"/>
        <w:rPr>
          <w:rFonts w:hint="default" w:ascii="Times New Roman" w:hAnsi="Times New Roman" w:eastAsia="方正小标宋简体" w:cs="Times New Roman"/>
          <w:kern w:val="2"/>
          <w:sz w:val="72"/>
          <w:szCs w:val="72"/>
        </w:rPr>
      </w:pPr>
    </w:p>
    <w:p w14:paraId="0CBCB99D">
      <w:pPr>
        <w:suppressAutoHyphens/>
        <w:adjustRightInd w:val="0"/>
        <w:snapToGrid w:val="0"/>
        <w:spacing w:line="360" w:lineRule="auto"/>
        <w:jc w:val="center"/>
        <w:outlineLvl w:val="0"/>
        <w:rPr>
          <w:rFonts w:hint="default" w:ascii="Times New Roman" w:hAnsi="Times New Roman" w:eastAsia="方正小标宋简体" w:cs="Times New Roman"/>
          <w:sz w:val="56"/>
          <w:szCs w:val="56"/>
        </w:rPr>
      </w:pPr>
      <w:r>
        <w:rPr>
          <w:rFonts w:hint="default" w:ascii="Times New Roman" w:hAnsi="Times New Roman" w:eastAsia="方正小标宋简体" w:cs="Times New Roman"/>
          <w:sz w:val="56"/>
          <w:szCs w:val="56"/>
        </w:rPr>
        <w:t>2024年度</w:t>
      </w:r>
    </w:p>
    <w:p w14:paraId="5D31E8CB">
      <w:pPr>
        <w:suppressAutoHyphens/>
        <w:adjustRightInd w:val="0"/>
        <w:snapToGrid w:val="0"/>
        <w:spacing w:line="360" w:lineRule="auto"/>
        <w:jc w:val="center"/>
        <w:outlineLvl w:val="0"/>
        <w:rPr>
          <w:rFonts w:hint="default" w:ascii="Times New Roman" w:hAnsi="Times New Roman" w:eastAsia="方正小标宋简体" w:cs="Times New Roman"/>
          <w:sz w:val="56"/>
          <w:szCs w:val="56"/>
          <w:lang w:eastAsia="zh-CN"/>
        </w:rPr>
      </w:pPr>
      <w:r>
        <w:rPr>
          <w:rFonts w:hint="default" w:ascii="Times New Roman" w:hAnsi="Times New Roman" w:eastAsia="方正小标宋简体" w:cs="Times New Roman"/>
          <w:sz w:val="56"/>
          <w:szCs w:val="56"/>
        </w:rPr>
        <w:t>盐边县</w:t>
      </w:r>
      <w:r>
        <w:rPr>
          <w:rFonts w:hint="default" w:ascii="Times New Roman" w:hAnsi="Times New Roman" w:eastAsia="方正小标宋简体" w:cs="Times New Roman"/>
          <w:sz w:val="56"/>
          <w:szCs w:val="56"/>
          <w:lang w:val="en-US" w:eastAsia="zh-CN"/>
        </w:rPr>
        <w:t>教育和体育</w:t>
      </w:r>
      <w:r>
        <w:rPr>
          <w:rFonts w:hint="default" w:ascii="Times New Roman" w:hAnsi="Times New Roman" w:eastAsia="方正小标宋简体" w:cs="Times New Roman"/>
          <w:sz w:val="56"/>
          <w:szCs w:val="56"/>
        </w:rPr>
        <w:t>局</w:t>
      </w:r>
      <w:r>
        <w:rPr>
          <w:rFonts w:hint="default" w:ascii="Times New Roman" w:hAnsi="Times New Roman" w:eastAsia="方正小标宋简体" w:cs="Times New Roman"/>
          <w:sz w:val="56"/>
          <w:szCs w:val="56"/>
          <w:lang w:eastAsia="zh-CN"/>
        </w:rPr>
        <w:t>（</w:t>
      </w:r>
      <w:r>
        <w:rPr>
          <w:rFonts w:hint="default" w:ascii="Times New Roman" w:hAnsi="Times New Roman" w:eastAsia="方正小标宋简体" w:cs="Times New Roman"/>
          <w:sz w:val="56"/>
          <w:szCs w:val="56"/>
        </w:rPr>
        <w:t>部门</w:t>
      </w:r>
      <w:r>
        <w:rPr>
          <w:rFonts w:hint="default" w:ascii="Times New Roman" w:hAnsi="Times New Roman" w:eastAsia="方正小标宋简体" w:cs="Times New Roman"/>
          <w:sz w:val="56"/>
          <w:szCs w:val="56"/>
          <w:lang w:eastAsia="zh-CN"/>
        </w:rPr>
        <w:t>）</w:t>
      </w:r>
    </w:p>
    <w:p w14:paraId="584C91BF">
      <w:pPr>
        <w:suppressAutoHyphens/>
        <w:adjustRightInd w:val="0"/>
        <w:snapToGrid w:val="0"/>
        <w:spacing w:line="360" w:lineRule="auto"/>
        <w:jc w:val="center"/>
        <w:outlineLvl w:val="0"/>
        <w:rPr>
          <w:rFonts w:hint="default" w:ascii="Times New Roman" w:hAnsi="Times New Roman" w:eastAsia="方正小标宋简体" w:cs="Times New Roman"/>
          <w:sz w:val="56"/>
          <w:szCs w:val="56"/>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eastAsia="方正小标宋简体" w:cs="Times New Roman"/>
          <w:sz w:val="56"/>
          <w:szCs w:val="56"/>
        </w:rPr>
        <w:t>决算公开</w:t>
      </w:r>
    </w:p>
    <w:bookmarkEnd w:id="0"/>
    <w:bookmarkEnd w:id="1"/>
    <w:bookmarkEnd w:id="2"/>
    <w:bookmarkEnd w:id="3"/>
    <w:bookmarkEnd w:id="4"/>
    <w:bookmarkEnd w:id="5"/>
    <w:sdt>
      <w:sdtPr>
        <w:rPr>
          <w:rFonts w:hint="default" w:ascii="Times New Roman" w:hAnsi="Times New Roman" w:eastAsia="黑体" w:cs="Times New Roman"/>
          <w:sz w:val="48"/>
          <w:szCs w:val="48"/>
          <w:lang w:val="en-US" w:eastAsia="zh-CN"/>
        </w:rPr>
        <w:id w:val="147480982"/>
        <w15:color w:val="DBDBDB"/>
        <w:docPartObj>
          <w:docPartGallery w:val="Table of Contents"/>
          <w:docPartUnique/>
        </w:docPartObj>
      </w:sdtPr>
      <w:sdtEndPr>
        <w:rPr>
          <w:rFonts w:hint="default" w:ascii="Times New Roman" w:hAnsi="Times New Roman" w:eastAsia="仿宋_GB2312" w:cs="Times New Roman"/>
          <w:kern w:val="0"/>
          <w:sz w:val="30"/>
          <w:szCs w:val="24"/>
          <w:lang w:val="en-US" w:eastAsia="zh-CN" w:bidi="ar-SA"/>
        </w:rPr>
      </w:sdtEndPr>
      <w:sdtContent>
        <w:p w14:paraId="4F207DB2">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72E00877">
          <w:pPr>
            <w:pStyle w:val="13"/>
            <w:rPr>
              <w:rFonts w:hint="default" w:ascii="Times New Roman" w:hAnsi="Times New Roman" w:cs="Times New Roman"/>
            </w:rPr>
          </w:pPr>
          <w:r>
            <w:rPr>
              <w:rFonts w:hint="default" w:ascii="Times New Roman" w:hAnsi="Times New Roman" w:eastAsia="仿宋_GB2312" w:cs="Times New Roman"/>
            </w:rPr>
            <w:t>公开时间：2025年10月</w:t>
          </w:r>
          <w:r>
            <w:rPr>
              <w:rFonts w:hint="default" w:ascii="Times New Roman" w:hAnsi="Times New Roman" w:eastAsia="仿宋_GB2312" w:cs="Times New Roman"/>
              <w:lang w:val="en-US" w:eastAsia="zh-CN"/>
            </w:rPr>
            <w:t>28</w:t>
          </w:r>
          <w:r>
            <w:rPr>
              <w:rFonts w:hint="default" w:ascii="Times New Roman" w:hAnsi="Times New Roman" w:eastAsia="仿宋_GB2312" w:cs="Times New Roman"/>
            </w:rPr>
            <w:t>日</w:t>
          </w:r>
        </w:p>
        <w:p w14:paraId="664A4921">
          <w:pPr>
            <w:pStyle w:val="13"/>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_Toc11601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Cs w:val="0"/>
              <w:sz w:val="28"/>
              <w:szCs w:val="28"/>
            </w:rPr>
            <w:t>第一部分  部门概况</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_Toc11601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798CA8B4">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_Toc12213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Cs/>
              <w:sz w:val="28"/>
              <w:szCs w:val="28"/>
            </w:rPr>
            <w:t>一、 部门职责</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_Toc12213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219A53CC">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_Toc8236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Cs/>
              <w:sz w:val="28"/>
              <w:szCs w:val="28"/>
            </w:rPr>
            <w:t>二、 机构设置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_Toc8236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51ABC833">
          <w:pPr>
            <w:pStyle w:val="13"/>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_Toc29970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Cs w:val="0"/>
              <w:sz w:val="28"/>
              <w:szCs w:val="28"/>
            </w:rPr>
            <w:t>第二部分  2024年度部门决算情况说明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_Toc29970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- 6 -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6C546537">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_Toc7149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一、收入支出决算总体情况说明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_Toc7149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- 6 -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5F9C4F3E">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_Toc20736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二、收入决算情况说明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_Toc20736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499D216F">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_Toc30278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三、支出决算情况说明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_Toc30278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26C29739">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_Toc21310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四、财政拨款收入支出决算总体情况说明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_Toc21310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- 8 -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0BE94570">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_Toc5102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五、一般公共预算财政拨款支出决算情况说明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_Toc5102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- 9 -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6A966DAA">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_Toc16298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八、政府性基金预算支出决算情况说明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_Toc16298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585FC6A3">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_Toc18365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九、国有资本经营预算支出决算情况说明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_Toc18365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0B40E2B2">
          <w:pPr>
            <w:pStyle w:val="14"/>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_Toc20382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十、其他重要事项的情况说明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_Toc20382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6AB1A434">
          <w:pPr>
            <w:pStyle w:val="13"/>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_Toc20961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Cs w:val="0"/>
              <w:sz w:val="28"/>
              <w:szCs w:val="28"/>
            </w:rPr>
            <w:t>第三部分  名词解释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_Toc20382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62BCA471">
          <w:pPr>
            <w:pStyle w:val="13"/>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_Toc20181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附件1</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_Toc20181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331C826B">
          <w:pPr>
            <w:pStyle w:val="13"/>
            <w:tabs>
              <w:tab w:val="right" w:leader="dot" w:pos="8306"/>
              <w:tab w:val="clear" w:pos="8296"/>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_Toc6251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Cs w:val="0"/>
              <w:sz w:val="28"/>
              <w:szCs w:val="28"/>
            </w:rPr>
            <w:t>部门预算绩效评价报告范本</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_Toc6251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69018393">
          <w:pPr>
            <w:pStyle w:val="14"/>
            <w:tabs>
              <w:tab w:val="right" w:leader="dot" w:pos="8306"/>
              <w:tab w:val="clear" w:pos="8296"/>
            </w:tabs>
            <w:rPr>
              <w:rFonts w:hint="default" w:ascii="Times New Roman" w:hAnsi="Times New Roman" w:cs="Times New Roman"/>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_Toc22338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lang w:val="zh-CN"/>
            </w:rPr>
            <w:t>一、部门（单位）基本情况</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_Toc22338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- 27 -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14:paraId="097DD335">
          <w:pPr>
            <w:pStyle w:val="8"/>
            <w:rPr>
              <w:rFonts w:hint="default" w:ascii="Times New Roman" w:hAnsi="Times New Roman" w:eastAsia="仿宋_GB2312" w:cs="Times New Roman"/>
              <w:kern w:val="0"/>
              <w:sz w:val="30"/>
              <w:szCs w:val="24"/>
              <w:lang w:val="en-US" w:eastAsia="zh-CN" w:bidi="ar-SA"/>
            </w:rPr>
          </w:pPr>
          <w:r>
            <w:rPr>
              <w:rFonts w:hint="default" w:ascii="Times New Roman" w:hAnsi="Times New Roman" w:cs="Times New Roman"/>
            </w:rPr>
            <w:fldChar w:fldCharType="end"/>
          </w:r>
        </w:p>
      </w:sdtContent>
    </w:sdt>
    <w:p w14:paraId="23C7EB36">
      <w:pPr>
        <w:pStyle w:val="8"/>
        <w:rPr>
          <w:rFonts w:hint="default" w:ascii="Times New Roman" w:hAnsi="Times New Roman" w:eastAsia="仿宋_GB2312" w:cs="Times New Roman"/>
          <w:kern w:val="0"/>
          <w:sz w:val="30"/>
          <w:szCs w:val="24"/>
          <w:lang w:val="en-US" w:eastAsia="zh-CN" w:bidi="ar-SA"/>
        </w:rPr>
      </w:pPr>
    </w:p>
    <w:p w14:paraId="6E4DA83A">
      <w:pPr>
        <w:rPr>
          <w:rFonts w:hint="default" w:ascii="Times New Roman" w:hAnsi="Times New Roman" w:cs="Times New Roman"/>
        </w:rPr>
      </w:pPr>
      <w:r>
        <w:rPr>
          <w:rFonts w:hint="default" w:ascii="Times New Roman" w:hAnsi="Times New Roman" w:cs="Times New Roman"/>
        </w:rPr>
        <w:br w:type="page"/>
      </w:r>
    </w:p>
    <w:p w14:paraId="71DB3BDC">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rPr>
      </w:pPr>
      <w:bookmarkStart w:id="6" w:name="_Toc15377196"/>
      <w:bookmarkStart w:id="7" w:name="_Toc15396599"/>
      <w:bookmarkStart w:id="8" w:name="_Toc11601"/>
      <w:r>
        <w:rPr>
          <w:rFonts w:hint="default" w:ascii="Times New Roman" w:hAnsi="Times New Roman" w:eastAsia="方正小标宋_GBK" w:cs="Times New Roman"/>
          <w:b/>
          <w:bCs w:val="0"/>
        </w:rPr>
        <w:t>第一部分  部门概况</w:t>
      </w:r>
      <w:bookmarkEnd w:id="6"/>
      <w:bookmarkEnd w:id="7"/>
      <w:bookmarkEnd w:id="8"/>
    </w:p>
    <w:p w14:paraId="6B079D85">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 w:name="_Toc12213"/>
      <w:r>
        <w:rPr>
          <w:rFonts w:hint="default" w:ascii="Times New Roman" w:hAnsi="Times New Roman" w:eastAsia="方正黑体_GBK" w:cs="Times New Roman"/>
          <w:b w:val="0"/>
          <w:bCs/>
          <w:lang w:val="en-US" w:eastAsia="zh-CN"/>
        </w:rPr>
        <w:t>一、部门职责</w:t>
      </w:r>
      <w:bookmarkEnd w:id="9"/>
    </w:p>
    <w:p w14:paraId="19433D80">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贯彻执行国家和省有关教育体育工作的方针、政策和法律、法规，研究制定有关贯彻意见并组织实施。 </w:t>
      </w:r>
    </w:p>
    <w:p w14:paraId="15981F7F">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拟订全县教育事业发展规划，组织实施教育体制改革；负责各类教育的统筹规划和协调管理；指导各类学校的教育教学改革；负责中小学布局结构调整；负责全县多元化体育服务体系建设，推进体育公共服务和体育体制改革；负责全县教育体育系统基本信息的统计、分析、发布工作；负责组织全县教育体育信息化建设工作。 </w:t>
      </w:r>
    </w:p>
    <w:p w14:paraId="1C91406D">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负责义务教育的统筹管理，推进全县义务教育均衡发展和促进教育公平。指导普通高中教育、学前教育和特殊教育工作。推进基础教育教学改革，全面实施素质教育。 </w:t>
      </w:r>
    </w:p>
    <w:p w14:paraId="6747349C">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推进基础教育、职业教育和成人教育学校开展思想政治、 德育、体育卫生与艺术教育、国防教育、心理健康教育、安全和稳定工作。 </w:t>
      </w:r>
    </w:p>
    <w:p w14:paraId="053C19A1">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负责职业教育发展与改革，组织实施民族地区免费中等职业教育工作，完成省下达的藏（彝）区学生“9+3” 免费职业教育任务。</w:t>
      </w:r>
    </w:p>
    <w:p w14:paraId="7E9237F8">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负责管理全县成人教育和广播电视教育及扫除青壮年文盲工作，促进协调发展。 </w:t>
      </w:r>
    </w:p>
    <w:p w14:paraId="5BD61CEB">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负责全县教育督导工作。负责承担基础教育、职业教育和广播电视教育以及扫除青壮年文盲工作的督导检查和评估验收工作，开展基础教育发展水平和质量监测工作。 </w:t>
      </w:r>
    </w:p>
    <w:p w14:paraId="47E5AAFD">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会同有关部门制定教育体育经费筹措、教育基建投资的办法，协助有关部门做好教育体育经费的筹集、拨付工作；负责本部门教育体育经费的统筹管理；协调本级财政贯彻执行教育财政、生均经费和教师工资与学生公用经费拨款；负责国（境）外教育援助、教育贷款和教育合作项目的执行；承办普通高校生源地信用助学贷款工作，完善贫困学生资助管理体系；承担对少数民族地区的教育援助工作。 </w:t>
      </w:r>
    </w:p>
    <w:p w14:paraId="684F4DEB">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规范民办教育办学秩序，促进民办教育事业健康发展。 </w:t>
      </w:r>
    </w:p>
    <w:p w14:paraId="7F0C7D98">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负责全县中小学教师和教育行政干部队伍建设工作；推进学校内部管理体制改革。 </w:t>
      </w:r>
    </w:p>
    <w:p w14:paraId="103196BD">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贯彻执行国家语言文字的方针政策，拟订语言文字工作中长期规划和工作计划，负责普通话推广和普通话师资培训工作，承办语言文字工作委员会的具体工作。 </w:t>
      </w:r>
    </w:p>
    <w:p w14:paraId="62E9790B">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并指导教育基础设施建设，完善中小学校校舍维修改造长效机制；负责并指导学校现代信息技术教育和推进现代教育信息化建设，进一步改善学校办学条件；负责推进农村薄弱学校建设；加强项目建设管理，推动校舍档案和信息系统建设，促进校舍安全管理的规范化、信息化。 </w:t>
      </w:r>
    </w:p>
    <w:p w14:paraId="2BE5953F">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负责全县教育系统对外交流与合作，承办全县中小学校出国留学人员和基础教育系统来我县外籍教师、专家及留学人员的有关管理工作。 </w:t>
      </w:r>
    </w:p>
    <w:p w14:paraId="73451453">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负责大中专招生和自学考试工作。制定中小学校招生计划并组织实施，会同中等职业学校做好本县中职招生工作。 </w:t>
      </w:r>
    </w:p>
    <w:p w14:paraId="029CC522">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统筹规划全县群众体育发展。负责推行全民健身计划，监督实施国家体育锻炼标准，承担全县国民体质监测和社会体育指导工作队伍制度建设；指导公共体育设施的建设，负责对公共体育设施的管理。 </w:t>
      </w:r>
    </w:p>
    <w:p w14:paraId="0899E30C">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统筹规划全县竞技体育发展。指导体育训练、体育竞赛和运动员队伍建设；组织和统筹参加省级以上综合运动会，负责组织协调县级综合性运动会的竞赛工作，协调运动员社会保障工作。</w:t>
      </w:r>
    </w:p>
    <w:p w14:paraId="59C3BC52">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统筹规划全县青少年体育发展。指导和管理学校体育工作；制定全县学校体育、青少年业余训练的规划和工作意见，并负责组织实施、督促和检查。 </w:t>
      </w:r>
    </w:p>
    <w:p w14:paraId="7641699B">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指导全县学校后勤改革和体育产业发展，负责全县学校后勤和体育产业管理；拟定全县体育产业发展政策、措施，规范体育服务管理，推动体育标准化建设；协助管理全县体育彩票市场。</w:t>
      </w:r>
    </w:p>
    <w:p w14:paraId="57D6F924">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负责教育体育科研、技术攻关及成果推广工作；负责组织、监督全县体育运动中的反兴奋剂工作。 </w:t>
      </w:r>
    </w:p>
    <w:p w14:paraId="3224E8CD">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负责指导、检查、督促全县学校安全管理工作。 </w:t>
      </w:r>
    </w:p>
    <w:p w14:paraId="4B96B424">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负责职责范围内的安全生产和职业教育、生态环境保护、审批服务便民化等工作。 </w:t>
      </w:r>
    </w:p>
    <w:p w14:paraId="2743A164">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承担县政府公布的有关行政审批事项。 </w:t>
      </w:r>
    </w:p>
    <w:p w14:paraId="0664413E">
      <w:pPr>
        <w:pStyle w:val="27"/>
        <w:pageBreakBefore w:val="0"/>
        <w:widowControl w:val="0"/>
        <w:numPr>
          <w:ilvl w:val="0"/>
          <w:numId w:val="1"/>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承办县政府交办的其他事项</w:t>
      </w:r>
      <w:r>
        <w:rPr>
          <w:rFonts w:hint="default" w:ascii="Times New Roman" w:hAnsi="Times New Roman" w:eastAsia="方正仿宋_GBK" w:cs="Times New Roman"/>
          <w:sz w:val="32"/>
          <w:szCs w:val="32"/>
          <w:lang w:eastAsia="zh-CN"/>
        </w:rPr>
        <w:t>。</w:t>
      </w:r>
    </w:p>
    <w:p w14:paraId="779099BB">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rPr>
      </w:pPr>
      <w:bookmarkStart w:id="10" w:name="_Toc15377200"/>
      <w:bookmarkStart w:id="11" w:name="_Toc8236"/>
      <w:bookmarkStart w:id="12" w:name="_Toc15396601"/>
      <w:r>
        <w:rPr>
          <w:rFonts w:hint="default" w:ascii="Times New Roman" w:hAnsi="Times New Roman" w:eastAsia="方正黑体_GBK" w:cs="Times New Roman"/>
          <w:b w:val="0"/>
          <w:bCs/>
          <w:lang w:val="en-US" w:eastAsia="zh-CN"/>
        </w:rPr>
        <w:t>二、</w:t>
      </w:r>
      <w:r>
        <w:rPr>
          <w:rFonts w:hint="default" w:ascii="Times New Roman" w:hAnsi="Times New Roman" w:eastAsia="方正黑体_GBK" w:cs="Times New Roman"/>
          <w:b w:val="0"/>
          <w:bCs/>
        </w:rPr>
        <w:t>机构设置</w:t>
      </w:r>
      <w:bookmarkEnd w:id="10"/>
      <w:bookmarkEnd w:id="11"/>
      <w:bookmarkEnd w:id="12"/>
    </w:p>
    <w:p w14:paraId="768D44A8">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盐边县教育和体育局</w:t>
      </w:r>
      <w:r>
        <w:rPr>
          <w:rFonts w:hint="default" w:ascii="Times New Roman" w:hAnsi="Times New Roman" w:eastAsia="方正仿宋_GBK" w:cs="Times New Roman"/>
          <w:sz w:val="32"/>
          <w:szCs w:val="32"/>
        </w:rPr>
        <w:t>下属二级预算单位</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个，其中行政单位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个，参照公务员法管理的事业单位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个，其他事业单位</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个。</w:t>
      </w:r>
    </w:p>
    <w:p w14:paraId="58BC3D16">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纳入</w:t>
      </w:r>
      <w:r>
        <w:rPr>
          <w:rFonts w:hint="default" w:ascii="Times New Roman" w:hAnsi="Times New Roman" w:eastAsia="方正仿宋_GBK" w:cs="Times New Roman"/>
          <w:sz w:val="32"/>
          <w:szCs w:val="32"/>
          <w:lang w:val="en-US" w:eastAsia="zh-CN"/>
        </w:rPr>
        <w:t>盐边县教育和体育局</w:t>
      </w:r>
      <w:r>
        <w:rPr>
          <w:rFonts w:hint="default" w:ascii="Times New Roman" w:hAnsi="Times New Roman" w:eastAsia="方正仿宋_GBK" w:cs="Times New Roman"/>
          <w:sz w:val="32"/>
          <w:szCs w:val="32"/>
        </w:rPr>
        <w:t>2024年度部门决算编制范围的二级预算单位包括：</w:t>
      </w:r>
      <w:bookmarkStart w:id="13" w:name="_Toc117868862"/>
      <w:bookmarkStart w:id="14" w:name="_Toc15378448"/>
      <w:bookmarkStart w:id="15" w:name="_Toc15377432"/>
      <w:bookmarkStart w:id="16" w:name="_Toc15306275"/>
      <w:bookmarkStart w:id="17" w:name="_Toc15377201"/>
      <w:r>
        <w:rPr>
          <w:rFonts w:hint="default" w:ascii="Times New Roman" w:hAnsi="Times New Roman" w:eastAsia="方正仿宋_GBK" w:cs="Times New Roman"/>
          <w:sz w:val="32"/>
          <w:szCs w:val="32"/>
          <w:lang w:val="en-US" w:eastAsia="zh-CN"/>
        </w:rPr>
        <w:t>盐边县教育和体育局</w:t>
      </w:r>
      <w:bookmarkEnd w:id="13"/>
      <w:r>
        <w:rPr>
          <w:rFonts w:hint="default" w:ascii="Times New Roman" w:hAnsi="Times New Roman" w:eastAsia="方正仿宋_GBK" w:cs="Times New Roman"/>
          <w:sz w:val="32"/>
          <w:szCs w:val="32"/>
          <w:lang w:val="en-US" w:eastAsia="zh-CN"/>
        </w:rPr>
        <w:t>、</w:t>
      </w:r>
      <w:bookmarkStart w:id="18" w:name="_Toc117868863"/>
      <w:r>
        <w:rPr>
          <w:rFonts w:hint="default" w:ascii="Times New Roman" w:hAnsi="Times New Roman" w:eastAsia="方正仿宋_GBK" w:cs="Times New Roman"/>
          <w:sz w:val="32"/>
          <w:szCs w:val="32"/>
          <w:lang w:val="en-US" w:eastAsia="zh-CN"/>
        </w:rPr>
        <w:t>盐边县红格镇初级中学校</w:t>
      </w:r>
      <w:bookmarkEnd w:id="18"/>
      <w:bookmarkStart w:id="19" w:name="_Toc117868864"/>
      <w:r>
        <w:rPr>
          <w:rFonts w:hint="default" w:ascii="Times New Roman" w:hAnsi="Times New Roman" w:eastAsia="方正仿宋_GBK" w:cs="Times New Roman"/>
          <w:sz w:val="32"/>
          <w:szCs w:val="32"/>
          <w:lang w:val="en-US" w:eastAsia="zh-CN"/>
        </w:rPr>
        <w:t>、盐边县温泉彝族乡中心学校</w:t>
      </w:r>
      <w:bookmarkEnd w:id="19"/>
      <w:bookmarkStart w:id="20" w:name="_Toc117868865"/>
      <w:r>
        <w:rPr>
          <w:rFonts w:hint="default" w:ascii="Times New Roman" w:hAnsi="Times New Roman" w:eastAsia="方正仿宋_GBK" w:cs="Times New Roman"/>
          <w:sz w:val="32"/>
          <w:szCs w:val="32"/>
          <w:lang w:val="en-US" w:eastAsia="zh-CN"/>
        </w:rPr>
        <w:t>、盐边县红果彝族乡中心学校</w:t>
      </w:r>
      <w:bookmarkEnd w:id="20"/>
      <w:bookmarkStart w:id="21" w:name="_Toc117868866"/>
      <w:r>
        <w:rPr>
          <w:rFonts w:hint="default" w:ascii="Times New Roman" w:hAnsi="Times New Roman" w:eastAsia="方正仿宋_GBK" w:cs="Times New Roman"/>
          <w:sz w:val="32"/>
          <w:szCs w:val="32"/>
          <w:lang w:val="en-US" w:eastAsia="zh-CN"/>
        </w:rPr>
        <w:t>、盐边县桐子林镇中心学校</w:t>
      </w:r>
      <w:bookmarkEnd w:id="21"/>
      <w:bookmarkStart w:id="22" w:name="_Toc117868867"/>
      <w:r>
        <w:rPr>
          <w:rFonts w:hint="default" w:ascii="Times New Roman" w:hAnsi="Times New Roman" w:eastAsia="方正仿宋_GBK" w:cs="Times New Roman"/>
          <w:sz w:val="32"/>
          <w:szCs w:val="32"/>
          <w:lang w:val="en-US" w:eastAsia="zh-CN"/>
        </w:rPr>
        <w:t>、盐边县新九镇中心学校</w:t>
      </w:r>
      <w:bookmarkEnd w:id="22"/>
      <w:bookmarkStart w:id="23" w:name="_Toc117868868"/>
      <w:r>
        <w:rPr>
          <w:rFonts w:hint="default" w:ascii="Times New Roman" w:hAnsi="Times New Roman" w:eastAsia="方正仿宋_GBK" w:cs="Times New Roman"/>
          <w:sz w:val="32"/>
          <w:szCs w:val="32"/>
          <w:lang w:val="en-US" w:eastAsia="zh-CN"/>
        </w:rPr>
        <w:t>、盐边县红格镇中心学校</w:t>
      </w:r>
      <w:bookmarkEnd w:id="23"/>
      <w:bookmarkStart w:id="24" w:name="_Toc117868869"/>
      <w:r>
        <w:rPr>
          <w:rFonts w:hint="default" w:ascii="Times New Roman" w:hAnsi="Times New Roman" w:eastAsia="方正仿宋_GBK" w:cs="Times New Roman"/>
          <w:sz w:val="32"/>
          <w:szCs w:val="32"/>
          <w:lang w:val="en-US" w:eastAsia="zh-CN"/>
        </w:rPr>
        <w:t>、盐边县格萨拉彝族乡中心学校</w:t>
      </w:r>
      <w:bookmarkEnd w:id="24"/>
      <w:bookmarkStart w:id="25" w:name="_Toc117868870"/>
      <w:r>
        <w:rPr>
          <w:rFonts w:hint="default" w:ascii="Times New Roman" w:hAnsi="Times New Roman" w:eastAsia="方正仿宋_GBK" w:cs="Times New Roman"/>
          <w:sz w:val="32"/>
          <w:szCs w:val="32"/>
          <w:lang w:val="en-US" w:eastAsia="zh-CN"/>
        </w:rPr>
        <w:t>、盐边县永兴镇初级中学校</w:t>
      </w:r>
      <w:bookmarkEnd w:id="25"/>
      <w:bookmarkStart w:id="26" w:name="_Toc117868871"/>
      <w:r>
        <w:rPr>
          <w:rFonts w:hint="default" w:ascii="Times New Roman" w:hAnsi="Times New Roman" w:eastAsia="方正仿宋_GBK" w:cs="Times New Roman"/>
          <w:sz w:val="32"/>
          <w:szCs w:val="32"/>
          <w:lang w:val="en-US" w:eastAsia="zh-CN"/>
        </w:rPr>
        <w:t>、盐边县国胜乡中心学校</w:t>
      </w:r>
      <w:bookmarkEnd w:id="26"/>
      <w:bookmarkStart w:id="27" w:name="_Toc117868872"/>
      <w:r>
        <w:rPr>
          <w:rFonts w:hint="default" w:ascii="Times New Roman" w:hAnsi="Times New Roman" w:eastAsia="方正仿宋_GBK" w:cs="Times New Roman"/>
          <w:sz w:val="32"/>
          <w:szCs w:val="32"/>
          <w:lang w:val="en-US" w:eastAsia="zh-CN"/>
        </w:rPr>
        <w:t>、盐边县共和乡中心学校</w:t>
      </w:r>
      <w:bookmarkEnd w:id="27"/>
      <w:bookmarkStart w:id="28" w:name="_Toc117868873"/>
      <w:r>
        <w:rPr>
          <w:rFonts w:hint="default" w:ascii="Times New Roman" w:hAnsi="Times New Roman" w:eastAsia="方正仿宋_GBK" w:cs="Times New Roman"/>
          <w:sz w:val="32"/>
          <w:szCs w:val="32"/>
          <w:lang w:val="en-US" w:eastAsia="zh-CN"/>
        </w:rPr>
        <w:t>、盐边县渔门镇初级中学校</w:t>
      </w:r>
      <w:bookmarkEnd w:id="28"/>
      <w:bookmarkStart w:id="29" w:name="_Toc117868875"/>
      <w:r>
        <w:rPr>
          <w:rFonts w:hint="default" w:ascii="Times New Roman" w:hAnsi="Times New Roman" w:eastAsia="方正仿宋_GBK" w:cs="Times New Roman"/>
          <w:sz w:val="32"/>
          <w:szCs w:val="32"/>
          <w:lang w:val="en-US" w:eastAsia="zh-CN"/>
        </w:rPr>
        <w:t>、盐边县惠民镇中心学校</w:t>
      </w:r>
      <w:bookmarkEnd w:id="29"/>
      <w:bookmarkStart w:id="30" w:name="_Toc117868876"/>
      <w:r>
        <w:rPr>
          <w:rFonts w:hint="default" w:ascii="Times New Roman" w:hAnsi="Times New Roman" w:eastAsia="方正仿宋_GBK" w:cs="Times New Roman"/>
          <w:sz w:val="32"/>
          <w:szCs w:val="32"/>
          <w:lang w:val="en-US" w:eastAsia="zh-CN"/>
        </w:rPr>
        <w:t>、盐边县永兴镇中心学校</w:t>
      </w:r>
      <w:bookmarkEnd w:id="30"/>
      <w:bookmarkStart w:id="31" w:name="_Toc117868877"/>
      <w:r>
        <w:rPr>
          <w:rFonts w:hint="default" w:ascii="Times New Roman" w:hAnsi="Times New Roman" w:eastAsia="方正仿宋_GBK" w:cs="Times New Roman"/>
          <w:sz w:val="32"/>
          <w:szCs w:val="32"/>
          <w:lang w:val="en-US" w:eastAsia="zh-CN"/>
        </w:rPr>
        <w:t>、盐边县渔门镇中心学校</w:t>
      </w:r>
      <w:bookmarkEnd w:id="31"/>
      <w:r>
        <w:rPr>
          <w:rFonts w:hint="default" w:ascii="Times New Roman" w:hAnsi="Times New Roman" w:eastAsia="方正仿宋_GBK" w:cs="Times New Roman"/>
          <w:sz w:val="32"/>
          <w:szCs w:val="32"/>
          <w:lang w:val="en-US" w:eastAsia="zh-CN"/>
        </w:rPr>
        <w:t>、盐边县中学校、盐边县职业中学校、盐边县第一初级中学校、盐边县民族中学校、盐边县县城第一小学校、盐边县幼儿园。</w:t>
      </w:r>
    </w:p>
    <w:bookmarkEnd w:id="14"/>
    <w:bookmarkEnd w:id="15"/>
    <w:bookmarkEnd w:id="16"/>
    <w:bookmarkEnd w:id="17"/>
    <w:p w14:paraId="4CF3157C">
      <w:pPr>
        <w:pageBreakBefore w:val="0"/>
        <w:kinsoku/>
        <w:wordWrap/>
        <w:overflowPunct/>
        <w:topLinePunct w:val="0"/>
        <w:bidi w:val="0"/>
        <w:spacing w:line="240" w:lineRule="auto"/>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03DF7CE0">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rPr>
      </w:pPr>
      <w:bookmarkStart w:id="32" w:name="_Toc15396602"/>
      <w:bookmarkStart w:id="33" w:name="_Toc29970"/>
      <w:bookmarkStart w:id="34" w:name="_Toc15377204"/>
      <w:r>
        <w:rPr>
          <w:rFonts w:hint="default" w:ascii="Times New Roman" w:hAnsi="Times New Roman" w:eastAsia="方正小标宋_GBK" w:cs="Times New Roman"/>
          <w:b/>
          <w:bCs w:val="0"/>
        </w:rPr>
        <w:t>第二部分  2024年度部门决算情况说明</w:t>
      </w:r>
      <w:bookmarkEnd w:id="32"/>
      <w:bookmarkEnd w:id="33"/>
      <w:bookmarkEnd w:id="34"/>
    </w:p>
    <w:p w14:paraId="7504E0EF">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rPr>
      </w:pPr>
      <w:bookmarkStart w:id="35" w:name="_Toc15396603"/>
      <w:bookmarkStart w:id="36" w:name="_Toc7149"/>
      <w:bookmarkStart w:id="37" w:name="_Toc15377205"/>
      <w:r>
        <w:rPr>
          <w:rFonts w:hint="default" w:ascii="Times New Roman" w:hAnsi="Times New Roman" w:eastAsia="方正黑体_GBK" w:cs="Times New Roman"/>
          <w:b w:val="0"/>
          <w:bCs/>
        </w:rPr>
        <w:t>一、收入支出决算总体情况说明</w:t>
      </w:r>
      <w:bookmarkEnd w:id="35"/>
      <w:bookmarkEnd w:id="36"/>
      <w:bookmarkEnd w:id="37"/>
    </w:p>
    <w:p w14:paraId="713CC0D8">
      <w:pPr>
        <w:pStyle w:val="8"/>
        <w:keepNext w:val="0"/>
        <w:keepLines w:val="0"/>
        <w:pageBreakBefore w:val="0"/>
        <w:widowControl w:val="0"/>
        <w:kinsoku/>
        <w:wordWrap/>
        <w:overflowPunct/>
        <w:topLinePunct w:val="0"/>
        <w:autoSpaceDE/>
        <w:autoSpaceDN/>
        <w:bidi w:val="0"/>
        <w:adjustRightInd/>
        <w:snapToGrid/>
        <w:spacing w:before="30"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rPr>
        <w:t>2024年度收入</w:t>
      </w:r>
      <w:r>
        <w:rPr>
          <w:rFonts w:hint="default" w:ascii="Times New Roman" w:hAnsi="Times New Roman" w:eastAsia="方正仿宋_GBK" w:cs="Times New Roman"/>
          <w:sz w:val="32"/>
          <w:lang w:val="en-US" w:eastAsia="zh-CN"/>
        </w:rPr>
        <w:t>总计为50879.82万元</w:t>
      </w:r>
      <w:r>
        <w:rPr>
          <w:rFonts w:hint="default" w:ascii="Times New Roman" w:hAnsi="Times New Roman" w:eastAsia="方正仿宋_GBK" w:cs="Times New Roman"/>
          <w:sz w:val="32"/>
        </w:rPr>
        <w:t>、支出总计为</w:t>
      </w:r>
      <w:r>
        <w:rPr>
          <w:rFonts w:hint="default" w:ascii="Times New Roman" w:hAnsi="Times New Roman" w:eastAsia="方正仿宋_GBK" w:cs="Times New Roman"/>
          <w:sz w:val="32"/>
          <w:lang w:val="en-US" w:eastAsia="zh-CN"/>
        </w:rPr>
        <w:t>50826.98</w:t>
      </w:r>
      <w:r>
        <w:rPr>
          <w:rFonts w:hint="default" w:ascii="Times New Roman" w:hAnsi="Times New Roman" w:eastAsia="方正仿宋_GBK" w:cs="Times New Roman"/>
          <w:sz w:val="32"/>
        </w:rPr>
        <w:t>万元。与2023年度相比，收入</w:t>
      </w:r>
      <w:r>
        <w:rPr>
          <w:rFonts w:hint="default" w:ascii="Times New Roman" w:hAnsi="Times New Roman" w:eastAsia="方正仿宋_GBK" w:cs="Times New Roman"/>
          <w:sz w:val="32"/>
          <w:lang w:val="en-US" w:eastAsia="zh-CN"/>
        </w:rPr>
        <w:t>总计增加12573.13万元，增长32.82%</w:t>
      </w:r>
      <w:r>
        <w:rPr>
          <w:rFonts w:hint="default" w:ascii="Times New Roman" w:hAnsi="Times New Roman" w:eastAsia="方正仿宋_GBK" w:cs="Times New Roman"/>
          <w:sz w:val="32"/>
        </w:rPr>
        <w:t>、支出</w:t>
      </w:r>
      <w:r>
        <w:rPr>
          <w:rFonts w:hint="default" w:ascii="Times New Roman" w:hAnsi="Times New Roman" w:eastAsia="方正仿宋_GBK" w:cs="Times New Roman"/>
          <w:sz w:val="32"/>
          <w:lang w:val="en-US" w:eastAsia="zh-CN"/>
        </w:rPr>
        <w:t>总计增加12520.29</w:t>
      </w:r>
      <w:r>
        <w:rPr>
          <w:rFonts w:hint="default" w:ascii="Times New Roman" w:hAnsi="Times New Roman" w:eastAsia="方正仿宋_GBK" w:cs="Times New Roman"/>
          <w:sz w:val="32"/>
        </w:rPr>
        <w:t>万元，增长</w:t>
      </w:r>
      <w:r>
        <w:rPr>
          <w:rFonts w:hint="default" w:ascii="Times New Roman" w:hAnsi="Times New Roman" w:eastAsia="方正仿宋_GBK" w:cs="Times New Roman"/>
          <w:sz w:val="32"/>
          <w:lang w:val="en-US" w:eastAsia="zh-CN"/>
        </w:rPr>
        <w:t>32.68</w:t>
      </w:r>
      <w:r>
        <w:rPr>
          <w:rFonts w:hint="default" w:ascii="Times New Roman" w:hAnsi="Times New Roman" w:eastAsia="方正仿宋_GBK" w:cs="Times New Roman"/>
          <w:sz w:val="32"/>
        </w:rPr>
        <w:t>%。主要变动原因是</w:t>
      </w:r>
      <w:r>
        <w:rPr>
          <w:rFonts w:hint="default" w:ascii="Times New Roman" w:hAnsi="Times New Roman" w:eastAsia="方正仿宋_GBK" w:cs="Times New Roman"/>
          <w:sz w:val="32"/>
          <w:lang w:val="en-US" w:eastAsia="zh-CN"/>
        </w:rPr>
        <w:t>填报口径发生变化，较2023年多4个学校。</w:t>
      </w:r>
    </w:p>
    <w:p w14:paraId="31FDAA29">
      <w:pPr>
        <w:pStyle w:val="2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157480</wp:posOffset>
            </wp:positionH>
            <wp:positionV relativeFrom="paragraph">
              <wp:posOffset>37465</wp:posOffset>
            </wp:positionV>
            <wp:extent cx="5229860" cy="5232400"/>
            <wp:effectExtent l="4445" t="4445" r="23495" b="209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D365EB1">
      <w:pPr>
        <w:pStyle w:val="2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仿宋_GB2312" w:cs="Times New Roman"/>
          <w:sz w:val="32"/>
          <w:szCs w:val="32"/>
        </w:rPr>
      </w:pPr>
    </w:p>
    <w:p w14:paraId="65D1C2A5">
      <w:pPr>
        <w:pStyle w:val="2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仿宋_GB2312" w:cs="Times New Roman"/>
          <w:sz w:val="32"/>
          <w:szCs w:val="32"/>
        </w:rPr>
      </w:pPr>
    </w:p>
    <w:p w14:paraId="23285AFA">
      <w:pPr>
        <w:pStyle w:val="2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仿宋_GB2312" w:cs="Times New Roman"/>
          <w:sz w:val="32"/>
          <w:szCs w:val="32"/>
        </w:rPr>
      </w:pPr>
    </w:p>
    <w:p w14:paraId="55AA3874">
      <w:pPr>
        <w:pStyle w:val="2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仿宋_GB2312" w:cs="Times New Roman"/>
          <w:sz w:val="32"/>
          <w:szCs w:val="32"/>
        </w:rPr>
      </w:pPr>
    </w:p>
    <w:p w14:paraId="22439864">
      <w:pPr>
        <w:pStyle w:val="2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仿宋_GB2312" w:cs="Times New Roman"/>
          <w:sz w:val="32"/>
          <w:szCs w:val="32"/>
        </w:rPr>
      </w:pPr>
    </w:p>
    <w:p w14:paraId="77155A4E">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仿宋_GB2312" w:cs="Times New Roman"/>
          <w:sz w:val="32"/>
          <w:szCs w:val="32"/>
        </w:rPr>
      </w:pPr>
    </w:p>
    <w:p w14:paraId="7A6FA131">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Times New Roman" w:hAnsi="Times New Roman" w:eastAsia="仿宋_GB2312" w:cs="Times New Roman"/>
          <w:sz w:val="21"/>
          <w:szCs w:val="21"/>
        </w:rPr>
      </w:pPr>
      <w:bookmarkStart w:id="38" w:name="_Toc17120"/>
    </w:p>
    <w:p w14:paraId="682DE8DE">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hint="default" w:ascii="Times New Roman" w:hAnsi="Times New Roman" w:eastAsia="仿宋_GB2312" w:cs="Times New Roman"/>
          <w:sz w:val="30"/>
          <w:szCs w:val="30"/>
        </w:rPr>
      </w:pPr>
    </w:p>
    <w:p w14:paraId="55737B2C">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sz w:val="30"/>
          <w:szCs w:val="30"/>
        </w:rPr>
      </w:pPr>
    </w:p>
    <w:p w14:paraId="21DC0338">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sz w:val="30"/>
          <w:szCs w:val="30"/>
        </w:rPr>
      </w:pPr>
    </w:p>
    <w:p w14:paraId="3C61317D">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sz w:val="30"/>
          <w:szCs w:val="30"/>
        </w:rPr>
      </w:pPr>
    </w:p>
    <w:p w14:paraId="2A75E463">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sz w:val="30"/>
          <w:szCs w:val="30"/>
        </w:rPr>
      </w:pPr>
    </w:p>
    <w:p w14:paraId="44B81364">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sz w:val="30"/>
          <w:szCs w:val="30"/>
        </w:rPr>
      </w:pPr>
    </w:p>
    <w:p w14:paraId="0D5F50F4">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（图1：收入、支出决算总计变动情况图）</w:t>
      </w:r>
      <w:bookmarkEnd w:id="38"/>
    </w:p>
    <w:p w14:paraId="06456397">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rPr>
      </w:pPr>
      <w:bookmarkStart w:id="39" w:name="_Toc15377206"/>
      <w:bookmarkStart w:id="40" w:name="_Toc15396604"/>
      <w:bookmarkStart w:id="41" w:name="_Toc20736"/>
      <w:r>
        <w:rPr>
          <w:rFonts w:hint="default" w:ascii="Times New Roman" w:hAnsi="Times New Roman" w:eastAsia="方正黑体_GBK" w:cs="Times New Roman"/>
          <w:b w:val="0"/>
          <w:bCs/>
        </w:rPr>
        <w:t>二、收入决算情况说明</w:t>
      </w:r>
      <w:bookmarkEnd w:id="39"/>
      <w:bookmarkEnd w:id="40"/>
      <w:bookmarkEnd w:id="41"/>
    </w:p>
    <w:p w14:paraId="47B34200">
      <w:pPr>
        <w:pStyle w:val="8"/>
        <w:keepNext w:val="0"/>
        <w:keepLines w:val="0"/>
        <w:pageBreakBefore w:val="0"/>
        <w:widowControl w:val="0"/>
        <w:kinsoku/>
        <w:wordWrap/>
        <w:overflowPunct/>
        <w:topLinePunct w:val="0"/>
        <w:autoSpaceDE/>
        <w:autoSpaceDN/>
        <w:bidi w:val="0"/>
        <w:adjustRightInd/>
        <w:snapToGrid/>
        <w:spacing w:before="30"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2024年度本年收入合计</w:t>
      </w:r>
      <w:r>
        <w:rPr>
          <w:rFonts w:hint="default" w:ascii="Times New Roman" w:hAnsi="Times New Roman" w:eastAsia="方正仿宋_GBK" w:cs="Times New Roman"/>
          <w:sz w:val="32"/>
          <w:szCs w:val="32"/>
          <w:lang w:val="en-US" w:eastAsia="zh-CN"/>
        </w:rPr>
        <w:t>50879.82</w:t>
      </w:r>
      <w:r>
        <w:rPr>
          <w:rFonts w:hint="default" w:ascii="Times New Roman" w:hAnsi="Times New Roman" w:eastAsia="方正仿宋_GBK" w:cs="Times New Roman"/>
          <w:sz w:val="32"/>
          <w:szCs w:val="32"/>
        </w:rPr>
        <w:t>万元，其中：一般公共预算财政拨款收入</w:t>
      </w:r>
      <w:r>
        <w:rPr>
          <w:rFonts w:hint="default" w:ascii="Times New Roman" w:hAnsi="Times New Roman" w:eastAsia="方正仿宋_GBK" w:cs="Times New Roman"/>
          <w:sz w:val="32"/>
          <w:szCs w:val="32"/>
          <w:lang w:val="en-US" w:eastAsia="zh-CN"/>
        </w:rPr>
        <w:t>47389.13</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93.14</w:t>
      </w:r>
      <w:r>
        <w:rPr>
          <w:rFonts w:hint="default" w:ascii="Times New Roman" w:hAnsi="Times New Roman" w:eastAsia="方正仿宋_GBK" w:cs="Times New Roman"/>
          <w:sz w:val="32"/>
          <w:szCs w:val="32"/>
        </w:rPr>
        <w:t>%；政府性基金预算财政拨款收入</w:t>
      </w:r>
      <w:r>
        <w:rPr>
          <w:rFonts w:hint="default" w:ascii="Times New Roman" w:hAnsi="Times New Roman" w:eastAsia="方正仿宋_GBK" w:cs="Times New Roman"/>
          <w:sz w:val="32"/>
          <w:szCs w:val="32"/>
          <w:lang w:val="en-US" w:eastAsia="zh-CN"/>
        </w:rPr>
        <w:t>1911.19</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3.76</w:t>
      </w:r>
      <w:r>
        <w:rPr>
          <w:rFonts w:hint="default" w:ascii="Times New Roman" w:hAnsi="Times New Roman" w:eastAsia="方正仿宋_GBK" w:cs="Times New Roman"/>
          <w:sz w:val="32"/>
          <w:szCs w:val="32"/>
        </w:rPr>
        <w:t>%；国有资本经营预算财政拨款收入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%；上级补助收入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%；事业收入</w:t>
      </w:r>
      <w:r>
        <w:rPr>
          <w:rFonts w:hint="default" w:ascii="Times New Roman" w:hAnsi="Times New Roman" w:eastAsia="方正仿宋_GBK" w:cs="Times New Roman"/>
          <w:sz w:val="32"/>
          <w:szCs w:val="32"/>
          <w:lang w:val="en-US" w:eastAsia="zh-CN"/>
        </w:rPr>
        <w:t>1517.98</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2.98</w:t>
      </w:r>
      <w:r>
        <w:rPr>
          <w:rFonts w:hint="default" w:ascii="Times New Roman" w:hAnsi="Times New Roman" w:eastAsia="方正仿宋_GBK" w:cs="Times New Roman"/>
          <w:sz w:val="32"/>
          <w:szCs w:val="32"/>
        </w:rPr>
        <w:t>%；经营收入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%；附属单位上缴收入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lang w:val="en-US" w:eastAsia="zh-CN"/>
        </w:rPr>
        <w:t>61.51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0.12</w:t>
      </w:r>
      <w:r>
        <w:rPr>
          <w:rFonts w:hint="default" w:ascii="Times New Roman" w:hAnsi="Times New Roman" w:eastAsia="方正仿宋_GBK" w:cs="Times New Roman"/>
          <w:sz w:val="32"/>
          <w:szCs w:val="32"/>
        </w:rPr>
        <w:t>%。</w:t>
      </w:r>
    </w:p>
    <w:p w14:paraId="133F2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32"/>
          <w:szCs w:val="32"/>
          <w:lang w:eastAsia="zh-CN"/>
        </w:rPr>
        <w:drawing>
          <wp:inline distT="0" distB="0" distL="114300" distR="114300">
            <wp:extent cx="4882515" cy="3950335"/>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0C2D97">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（图2：收入决算结构图）</w:t>
      </w:r>
    </w:p>
    <w:p w14:paraId="0732AEAE">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rPr>
      </w:pPr>
      <w:bookmarkStart w:id="42" w:name="_Toc30278"/>
      <w:bookmarkStart w:id="43" w:name="_Toc15396605"/>
      <w:bookmarkStart w:id="44" w:name="_Toc15377207"/>
      <w:r>
        <w:rPr>
          <w:rFonts w:hint="default" w:ascii="Times New Roman" w:hAnsi="Times New Roman" w:eastAsia="方正黑体_GBK" w:cs="Times New Roman"/>
          <w:b w:val="0"/>
          <w:bCs/>
        </w:rPr>
        <w:t>三、支出决算情况说明</w:t>
      </w:r>
      <w:bookmarkEnd w:id="42"/>
      <w:bookmarkEnd w:id="43"/>
      <w:bookmarkEnd w:id="44"/>
    </w:p>
    <w:p w14:paraId="2D54E9D7">
      <w:pPr>
        <w:pStyle w:val="8"/>
        <w:keepNext w:val="0"/>
        <w:keepLines w:val="0"/>
        <w:pageBreakBefore w:val="0"/>
        <w:widowControl w:val="0"/>
        <w:kinsoku/>
        <w:wordWrap/>
        <w:overflowPunct/>
        <w:topLinePunct w:val="0"/>
        <w:autoSpaceDE/>
        <w:autoSpaceDN/>
        <w:bidi w:val="0"/>
        <w:adjustRightInd/>
        <w:snapToGrid/>
        <w:spacing w:before="30" w:line="240" w:lineRule="auto"/>
        <w:ind w:firstLine="640" w:firstLineChars="200"/>
        <w:textAlignment w:val="auto"/>
        <w:rPr>
          <w:rFonts w:hint="default" w:ascii="Times New Roman" w:hAnsi="Times New Roman" w:eastAsia="方正仿宋_GBK" w:cs="Times New Roman"/>
          <w:sz w:val="32"/>
          <w:lang w:val="en-US" w:eastAsia="zh-CN"/>
        </w:rPr>
      </w:pPr>
      <w:bookmarkStart w:id="45" w:name="_Toc9517"/>
      <w:r>
        <w:rPr>
          <w:rFonts w:hint="default" w:ascii="Times New Roman" w:hAnsi="Times New Roman" w:eastAsia="方正仿宋_GBK" w:cs="Times New Roman"/>
          <w:sz w:val="32"/>
          <w:lang w:val="en-US" w:eastAsia="zh-CN"/>
        </w:rPr>
        <w:t>2024年度本年支出合计50826.98万元，其中：基本支出35664.64万元，占70.17%；项目支出15162.34万元，占29.83%；上缴上级支出0万元，占0%；经营支出0万元，占0%；对附属单位补助支出0万元，占0%。</w:t>
      </w:r>
      <w:bookmarkEnd w:id="45"/>
    </w:p>
    <w:p w14:paraId="2BA27143">
      <w:pPr>
        <w:pStyle w:val="8"/>
        <w:keepNext w:val="0"/>
        <w:keepLines w:val="0"/>
        <w:pageBreakBefore w:val="0"/>
        <w:widowControl w:val="0"/>
        <w:kinsoku/>
        <w:wordWrap/>
        <w:overflowPunct/>
        <w:topLinePunct w:val="0"/>
        <w:autoSpaceDE/>
        <w:autoSpaceDN/>
        <w:bidi w:val="0"/>
        <w:adjustRightInd/>
        <w:snapToGrid/>
        <w:spacing w:before="30" w:line="240" w:lineRule="auto"/>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drawing>
          <wp:anchor distT="0" distB="0" distL="114300" distR="114300" simplePos="0" relativeHeight="251660288" behindDoc="0" locked="0" layoutInCell="1" allowOverlap="1">
            <wp:simplePos x="0" y="0"/>
            <wp:positionH relativeFrom="column">
              <wp:posOffset>76835</wp:posOffset>
            </wp:positionH>
            <wp:positionV relativeFrom="paragraph">
              <wp:posOffset>26035</wp:posOffset>
            </wp:positionV>
            <wp:extent cx="5267960" cy="4490085"/>
            <wp:effectExtent l="4445" t="4445" r="2349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1EB0D73">
      <w:pPr>
        <w:pStyle w:val="8"/>
        <w:keepNext w:val="0"/>
        <w:keepLines w:val="0"/>
        <w:pageBreakBefore w:val="0"/>
        <w:widowControl w:val="0"/>
        <w:kinsoku/>
        <w:wordWrap/>
        <w:overflowPunct/>
        <w:topLinePunct w:val="0"/>
        <w:autoSpaceDE/>
        <w:autoSpaceDN/>
        <w:bidi w:val="0"/>
        <w:adjustRightInd/>
        <w:snapToGrid/>
        <w:spacing w:before="30" w:line="240" w:lineRule="auto"/>
        <w:ind w:firstLine="640" w:firstLineChars="200"/>
        <w:textAlignment w:val="auto"/>
        <w:rPr>
          <w:rFonts w:hint="default" w:ascii="Times New Roman" w:hAnsi="Times New Roman" w:eastAsia="方正仿宋_GBK" w:cs="Times New Roman"/>
          <w:sz w:val="32"/>
          <w:lang w:val="en-US" w:eastAsia="zh-CN"/>
        </w:rPr>
      </w:pPr>
    </w:p>
    <w:p w14:paraId="2F34F43D">
      <w:pPr>
        <w:pStyle w:val="27"/>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outlineLvl w:val="1"/>
        <w:rPr>
          <w:rFonts w:hint="default" w:ascii="Times New Roman" w:hAnsi="Times New Roman" w:eastAsia="仿宋_GB2312" w:cs="Times New Roman"/>
          <w:b/>
          <w:bCs/>
          <w:sz w:val="32"/>
          <w:szCs w:val="32"/>
        </w:rPr>
      </w:pPr>
    </w:p>
    <w:p w14:paraId="51036158">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14:paraId="55227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117BD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11F91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08F51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61DD1C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0"/>
          <w:szCs w:val="30"/>
        </w:rPr>
      </w:pPr>
    </w:p>
    <w:p w14:paraId="13F05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0"/>
          <w:szCs w:val="30"/>
        </w:rPr>
      </w:pPr>
    </w:p>
    <w:p w14:paraId="29FE7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0"/>
          <w:szCs w:val="30"/>
        </w:rPr>
      </w:pPr>
    </w:p>
    <w:p w14:paraId="67EB3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黑体_GBK" w:cs="Times New Roman"/>
          <w:b w:val="0"/>
          <w:bCs/>
        </w:rPr>
      </w:pPr>
      <w:r>
        <w:rPr>
          <w:rFonts w:hint="default" w:ascii="Times New Roman" w:hAnsi="Times New Roman" w:eastAsia="方正仿宋_GBK" w:cs="Times New Roman"/>
          <w:sz w:val="30"/>
          <w:szCs w:val="30"/>
        </w:rPr>
        <w:t>（图3：支出决算结构图）</w:t>
      </w:r>
      <w:bookmarkStart w:id="46" w:name="_Toc21310"/>
      <w:bookmarkStart w:id="47" w:name="_Toc15377208"/>
      <w:bookmarkStart w:id="48" w:name="_Toc15396606"/>
    </w:p>
    <w:p w14:paraId="2C5736F5">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rPr>
      </w:pPr>
      <w:r>
        <w:rPr>
          <w:rFonts w:hint="default" w:ascii="Times New Roman" w:hAnsi="Times New Roman" w:eastAsia="方正黑体_GBK" w:cs="Times New Roman"/>
          <w:b w:val="0"/>
          <w:bCs/>
        </w:rPr>
        <w:t>四、财政拨款收入支出决算总体情况说明</w:t>
      </w:r>
      <w:bookmarkEnd w:id="46"/>
      <w:bookmarkEnd w:id="47"/>
      <w:bookmarkEnd w:id="48"/>
    </w:p>
    <w:p w14:paraId="12CE648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2024年度财政拨款收入、支出总计均为49300.33万元。与2023年度相比，财政拨款收入总计、支出总计各增加10993.64万元，增长28.70%。主要变动原因是填报口径发生变化，较2023年多4个学校。</w:t>
      </w:r>
    </w:p>
    <w:p w14:paraId="31055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kern w:val="0"/>
          <w:sz w:val="32"/>
          <w:szCs w:val="24"/>
          <w:lang w:val="en-US" w:eastAsia="zh-CN" w:bidi="ar-SA"/>
        </w:rPr>
        <w:drawing>
          <wp:anchor distT="0" distB="0" distL="114300" distR="114300" simplePos="0" relativeHeight="251661312" behindDoc="0" locked="0" layoutInCell="1" allowOverlap="1">
            <wp:simplePos x="0" y="0"/>
            <wp:positionH relativeFrom="column">
              <wp:posOffset>57785</wp:posOffset>
            </wp:positionH>
            <wp:positionV relativeFrom="paragraph">
              <wp:posOffset>162560</wp:posOffset>
            </wp:positionV>
            <wp:extent cx="5216525" cy="4857115"/>
            <wp:effectExtent l="4445" t="4445" r="17780" b="1524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方正仿宋_GBK" w:cs="Times New Roman"/>
          <w:sz w:val="30"/>
          <w:szCs w:val="30"/>
        </w:rPr>
        <w:t>（图4：财政拨款收、支决算总计变动情况）</w:t>
      </w:r>
    </w:p>
    <w:p w14:paraId="0ED4B464">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rPr>
      </w:pPr>
      <w:bookmarkStart w:id="49" w:name="_Toc15377209"/>
      <w:bookmarkStart w:id="50" w:name="_Toc15396607"/>
      <w:bookmarkStart w:id="51" w:name="_Toc5102"/>
      <w:r>
        <w:rPr>
          <w:rFonts w:hint="default" w:ascii="Times New Roman" w:hAnsi="Times New Roman" w:eastAsia="方正黑体_GBK" w:cs="Times New Roman"/>
          <w:b w:val="0"/>
          <w:bCs/>
        </w:rPr>
        <w:t>五、一般公共预算财政拨款支出决算情况说明</w:t>
      </w:r>
      <w:bookmarkEnd w:id="49"/>
      <w:bookmarkEnd w:id="50"/>
      <w:bookmarkEnd w:id="51"/>
    </w:p>
    <w:p w14:paraId="398365EF">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52" w:name="_Toc15377210"/>
      <w:r>
        <w:rPr>
          <w:rFonts w:hint="default" w:ascii="Times New Roman" w:hAnsi="Times New Roman" w:eastAsia="方正楷体_GBK" w:cs="Times New Roman"/>
          <w:b/>
          <w:bCs w:val="0"/>
          <w:sz w:val="32"/>
          <w:szCs w:val="32"/>
        </w:rPr>
        <w:t>（一）一般公共预算财政拨款支出决算总体情况</w:t>
      </w:r>
      <w:bookmarkEnd w:id="52"/>
    </w:p>
    <w:p w14:paraId="32993AB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2024年度一般公共预算财政拨款支出47389.13万元，占本年支出合计的96.12%。与2023年度相比，一般公共预算财政拨款支出增加9161.04万元，增长23.96%。主要变动原因是填报口径发生变化，较2023年多4个学校。</w:t>
      </w:r>
    </w:p>
    <w:p w14:paraId="1D638263">
      <w:pPr>
        <w:pStyle w:val="2"/>
        <w:rPr>
          <w:rFonts w:hint="default" w:ascii="Times New Roman" w:hAnsi="Times New Roman" w:eastAsia="方正仿宋_GBK" w:cs="Times New Roman"/>
          <w:kern w:val="0"/>
          <w:sz w:val="32"/>
          <w:szCs w:val="24"/>
          <w:lang w:val="en-US" w:eastAsia="zh-CN" w:bidi="ar-SA"/>
        </w:rPr>
      </w:pPr>
    </w:p>
    <w:p w14:paraId="41D57FC5">
      <w:pPr>
        <w:pStyle w:val="3"/>
        <w:ind w:left="0" w:leftChars="0" w:firstLine="0" w:firstLineChars="0"/>
        <w:rPr>
          <w:rFonts w:hint="default" w:ascii="Times New Roman" w:hAnsi="Times New Roman" w:eastAsia="方正仿宋_GBK" w:cs="Times New Roman"/>
          <w:kern w:val="0"/>
          <w:sz w:val="32"/>
          <w:szCs w:val="24"/>
          <w:lang w:val="en-US" w:eastAsia="zh-CN" w:bidi="ar-SA"/>
        </w:rPr>
      </w:pPr>
    </w:p>
    <w:p w14:paraId="4052CCA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2336" behindDoc="0" locked="0" layoutInCell="1" allowOverlap="1">
            <wp:simplePos x="0" y="0"/>
            <wp:positionH relativeFrom="column">
              <wp:posOffset>86360</wp:posOffset>
            </wp:positionH>
            <wp:positionV relativeFrom="paragraph">
              <wp:posOffset>17145</wp:posOffset>
            </wp:positionV>
            <wp:extent cx="5133340" cy="3787140"/>
            <wp:effectExtent l="4445" t="4445" r="5715" b="1841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E3195B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14:paraId="059225E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14:paraId="764BE4B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14:paraId="671F507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14:paraId="7281B58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lang w:eastAsia="zh-CN"/>
        </w:rPr>
      </w:pPr>
    </w:p>
    <w:p w14:paraId="244F714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14:paraId="6ED7CE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0"/>
          <w:szCs w:val="30"/>
        </w:rPr>
      </w:pPr>
    </w:p>
    <w:p w14:paraId="214E2C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0"/>
          <w:szCs w:val="30"/>
        </w:rPr>
      </w:pPr>
    </w:p>
    <w:p w14:paraId="1740B292">
      <w:pPr>
        <w:pStyle w:val="2"/>
        <w:rPr>
          <w:rFonts w:hint="default" w:ascii="Times New Roman" w:hAnsi="Times New Roman" w:eastAsia="仿宋_GB2312" w:cs="Times New Roman"/>
          <w:sz w:val="30"/>
          <w:szCs w:val="30"/>
        </w:rPr>
      </w:pPr>
    </w:p>
    <w:p w14:paraId="4E1B8512">
      <w:pPr>
        <w:pStyle w:val="3"/>
        <w:rPr>
          <w:rFonts w:hint="default" w:ascii="Times New Roman" w:hAnsi="Times New Roman" w:cs="Times New Roman"/>
        </w:rPr>
      </w:pPr>
    </w:p>
    <w:p w14:paraId="087D6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（图5：一般公共预算财政拨款支出决算变动情况）</w:t>
      </w:r>
    </w:p>
    <w:p w14:paraId="3FB7B41C">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53" w:name="_Toc15377211"/>
      <w:r>
        <w:rPr>
          <w:rFonts w:hint="default" w:ascii="Times New Roman" w:hAnsi="Times New Roman" w:eastAsia="方正楷体_GBK" w:cs="Times New Roman"/>
          <w:b/>
          <w:bCs w:val="0"/>
          <w:sz w:val="32"/>
          <w:szCs w:val="32"/>
        </w:rPr>
        <w:t>（二）一般公共预算财政拨款支出决算结构情况</w:t>
      </w:r>
      <w:bookmarkEnd w:id="53"/>
    </w:p>
    <w:p w14:paraId="08896CA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一般公共预算财政拨款支出47389.13万元，主要用于以下方面：一般公共服务支出72.06万元，占0.15%；教育支出36531.44万元，占77.09%；文化旅游体育与传媒支出401.79万元，占0.85%；社会保障和就业支出5349.98万元，占11.29%；卫生健康支出2595.11万元，占5.47%；住房保障支出2438.74万元，占5.15%。</w:t>
      </w:r>
    </w:p>
    <w:p w14:paraId="32A83DA4">
      <w:pPr>
        <w:pStyle w:val="2"/>
        <w:rPr>
          <w:rFonts w:hint="default" w:ascii="Times New Roman" w:hAnsi="Times New Roman" w:eastAsia="方正仿宋_GBK" w:cs="Times New Roman"/>
          <w:kern w:val="0"/>
          <w:sz w:val="32"/>
          <w:szCs w:val="24"/>
          <w:lang w:val="en-US" w:eastAsia="zh-CN" w:bidi="ar-SA"/>
        </w:rPr>
      </w:pPr>
    </w:p>
    <w:p w14:paraId="2F7913D4">
      <w:pPr>
        <w:pStyle w:val="3"/>
        <w:rPr>
          <w:rFonts w:hint="default" w:ascii="Times New Roman" w:hAnsi="Times New Roman" w:eastAsia="方正仿宋_GBK" w:cs="Times New Roman"/>
          <w:kern w:val="0"/>
          <w:sz w:val="32"/>
          <w:szCs w:val="24"/>
          <w:lang w:val="en-US" w:eastAsia="zh-CN" w:bidi="ar-SA"/>
        </w:rPr>
      </w:pPr>
    </w:p>
    <w:p w14:paraId="1818432D">
      <w:pPr>
        <w:pStyle w:val="3"/>
        <w:rPr>
          <w:rFonts w:hint="default" w:ascii="Times New Roman" w:hAnsi="Times New Roman" w:eastAsia="方正仿宋_GBK" w:cs="Times New Roman"/>
          <w:kern w:val="0"/>
          <w:sz w:val="32"/>
          <w:szCs w:val="24"/>
          <w:lang w:val="en-US" w:eastAsia="zh-CN" w:bidi="ar-SA"/>
        </w:rPr>
      </w:pPr>
    </w:p>
    <w:p w14:paraId="4F0175E7">
      <w:pPr>
        <w:pStyle w:val="3"/>
        <w:ind w:left="0" w:leftChars="0" w:firstLine="0" w:firstLineChars="0"/>
        <w:rPr>
          <w:rFonts w:hint="default" w:ascii="Times New Roman" w:hAnsi="Times New Roman" w:eastAsia="方正仿宋_GBK" w:cs="Times New Roman"/>
          <w:kern w:val="0"/>
          <w:sz w:val="32"/>
          <w:szCs w:val="24"/>
          <w:lang w:val="en-US" w:eastAsia="zh-CN" w:bidi="ar-SA"/>
        </w:rPr>
      </w:pPr>
    </w:p>
    <w:p w14:paraId="39DF9FE1">
      <w:pPr>
        <w:pStyle w:val="3"/>
        <w:ind w:left="0" w:leftChars="0" w:firstLine="0" w:firstLineChars="0"/>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仿宋_GB2312" w:cs="Times New Roman"/>
          <w:sz w:val="32"/>
          <w:szCs w:val="32"/>
          <w:lang w:eastAsia="zh-CN"/>
        </w:rPr>
        <w:drawing>
          <wp:anchor distT="0" distB="0" distL="114300" distR="114300" simplePos="0" relativeHeight="251663360" behindDoc="0" locked="0" layoutInCell="1" allowOverlap="1">
            <wp:simplePos x="0" y="0"/>
            <wp:positionH relativeFrom="column">
              <wp:posOffset>-8255</wp:posOffset>
            </wp:positionH>
            <wp:positionV relativeFrom="paragraph">
              <wp:posOffset>142240</wp:posOffset>
            </wp:positionV>
            <wp:extent cx="5227955" cy="4055745"/>
            <wp:effectExtent l="4445" t="4445" r="6350" b="1651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B2F4156">
      <w:pPr>
        <w:pStyle w:val="3"/>
        <w:rPr>
          <w:rFonts w:hint="default" w:ascii="Times New Roman" w:hAnsi="Times New Roman" w:eastAsia="方正仿宋_GBK" w:cs="Times New Roman"/>
          <w:kern w:val="0"/>
          <w:sz w:val="32"/>
          <w:szCs w:val="24"/>
          <w:lang w:val="en-US" w:eastAsia="zh-CN" w:bidi="ar-SA"/>
        </w:rPr>
      </w:pPr>
    </w:p>
    <w:p w14:paraId="4292A57F">
      <w:pPr>
        <w:pStyle w:val="8"/>
        <w:pageBreakBefore w:val="0"/>
        <w:kinsoku/>
        <w:wordWrap/>
        <w:overflowPunct/>
        <w:topLinePunct w:val="0"/>
        <w:bidi w:val="0"/>
        <w:spacing w:line="240" w:lineRule="auto"/>
        <w:textAlignment w:val="auto"/>
        <w:rPr>
          <w:rFonts w:hint="default" w:ascii="Times New Roman" w:hAnsi="Times New Roman" w:eastAsia="方正仿宋_GBK" w:cs="Times New Roman"/>
          <w:kern w:val="0"/>
          <w:sz w:val="32"/>
          <w:szCs w:val="24"/>
          <w:lang w:val="en-US" w:eastAsia="zh-CN" w:bidi="ar-SA"/>
        </w:rPr>
      </w:pPr>
    </w:p>
    <w:p w14:paraId="6127ECDB">
      <w:pPr>
        <w:pStyle w:val="8"/>
        <w:pageBreakBefore w:val="0"/>
        <w:kinsoku/>
        <w:wordWrap/>
        <w:overflowPunct/>
        <w:topLinePunct w:val="0"/>
        <w:bidi w:val="0"/>
        <w:spacing w:line="240" w:lineRule="auto"/>
        <w:textAlignment w:val="auto"/>
        <w:rPr>
          <w:rFonts w:hint="default" w:ascii="Times New Roman" w:hAnsi="Times New Roman" w:eastAsia="方正仿宋_GBK" w:cs="Times New Roman"/>
          <w:kern w:val="0"/>
          <w:sz w:val="32"/>
          <w:szCs w:val="24"/>
          <w:lang w:val="en-US" w:eastAsia="zh-CN" w:bidi="ar-SA"/>
        </w:rPr>
      </w:pPr>
    </w:p>
    <w:p w14:paraId="5F3F8E7B">
      <w:pPr>
        <w:pStyle w:val="8"/>
        <w:pageBreakBefore w:val="0"/>
        <w:kinsoku/>
        <w:wordWrap/>
        <w:overflowPunct/>
        <w:topLinePunct w:val="0"/>
        <w:bidi w:val="0"/>
        <w:spacing w:line="240" w:lineRule="auto"/>
        <w:textAlignment w:val="auto"/>
        <w:rPr>
          <w:rFonts w:hint="default" w:ascii="Times New Roman" w:hAnsi="Times New Roman" w:eastAsia="方正仿宋_GBK" w:cs="Times New Roman"/>
          <w:kern w:val="0"/>
          <w:sz w:val="32"/>
          <w:szCs w:val="24"/>
          <w:lang w:val="en-US" w:eastAsia="zh-CN" w:bidi="ar-SA"/>
        </w:rPr>
      </w:pPr>
    </w:p>
    <w:p w14:paraId="6D8221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0"/>
          <w:szCs w:val="30"/>
        </w:rPr>
      </w:pPr>
    </w:p>
    <w:p w14:paraId="7EE4D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4317F0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4EC13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2EC2B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p>
    <w:p w14:paraId="45F97ECC">
      <w:pPr>
        <w:keepNext w:val="0"/>
        <w:keepLines w:val="0"/>
        <w:pageBreakBefore w:val="0"/>
        <w:kinsoku/>
        <w:wordWrap/>
        <w:overflowPunct/>
        <w:topLinePunct w:val="0"/>
        <w:autoSpaceDE/>
        <w:autoSpaceDN/>
        <w:bidi w:val="0"/>
        <w:spacing w:line="240" w:lineRule="auto"/>
        <w:jc w:val="center"/>
        <w:textAlignment w:val="auto"/>
        <w:outlineLvl w:val="2"/>
        <w:rPr>
          <w:rFonts w:hint="default" w:ascii="Times New Roman" w:hAnsi="Times New Roman" w:eastAsia="方正仿宋_GBK" w:cs="Times New Roman"/>
          <w:sz w:val="30"/>
          <w:szCs w:val="30"/>
        </w:rPr>
      </w:pPr>
      <w:r>
        <w:rPr>
          <w:rFonts w:hint="default" w:ascii="Times New Roman" w:hAnsi="Times New Roman" w:eastAsia="方正仿宋_GBK" w:cs="Times New Roman"/>
          <w:b w:val="0"/>
          <w:bCs/>
          <w:sz w:val="32"/>
          <w:szCs w:val="32"/>
        </w:rPr>
        <w:t>（图6：一般公共预算财政拨款支出决算结构）</w:t>
      </w:r>
    </w:p>
    <w:p w14:paraId="7309156C">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54" w:name="_Toc15377212"/>
      <w:r>
        <w:rPr>
          <w:rFonts w:hint="default" w:ascii="Times New Roman" w:hAnsi="Times New Roman" w:eastAsia="方正楷体_GBK" w:cs="Times New Roman"/>
          <w:b/>
          <w:bCs w:val="0"/>
          <w:sz w:val="32"/>
          <w:szCs w:val="32"/>
        </w:rPr>
        <w:t>（三）一般公共预算财政拨款支出决算具体情况</w:t>
      </w:r>
      <w:bookmarkEnd w:id="54"/>
    </w:p>
    <w:p w14:paraId="24DC13A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bookmarkStart w:id="55" w:name="_Toc15377213"/>
      <w:bookmarkStart w:id="56" w:name="_Toc15378460"/>
      <w:bookmarkStart w:id="57" w:name="_Toc15377444"/>
      <w:r>
        <w:rPr>
          <w:rFonts w:hint="default" w:ascii="Times New Roman" w:hAnsi="Times New Roman" w:eastAsia="方正仿宋_GBK" w:cs="Times New Roman"/>
          <w:kern w:val="0"/>
          <w:sz w:val="32"/>
          <w:szCs w:val="24"/>
          <w:lang w:val="en-US" w:eastAsia="zh-CN" w:bidi="ar-SA"/>
        </w:rPr>
        <w:t>2024年度一般公共预算财政拨款支出决算数为47389.13万元，完成预算100%。其中：</w:t>
      </w:r>
      <w:bookmarkEnd w:id="55"/>
      <w:bookmarkEnd w:id="56"/>
      <w:bookmarkEnd w:id="57"/>
    </w:p>
    <w:p w14:paraId="232FDC8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1.一般公共服务支出201（类）民族事务23（款）</w:t>
      </w:r>
    </w:p>
    <w:p w14:paraId="78AD8A2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（1）其他民族事务99（项）支出决算为72.06万元，完成预算100%。</w:t>
      </w:r>
    </w:p>
    <w:p w14:paraId="284B316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2.教育支出205（类）教育管理事务01（款）</w:t>
      </w:r>
    </w:p>
    <w:p w14:paraId="45B176B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（1）行政运行01（项）支出决算为280.55万元，完成预算100%。</w:t>
      </w:r>
    </w:p>
    <w:p w14:paraId="2F78A2B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（2）一般行政管理事务02（项）支出决算为0.75万元，完成预算100%。</w:t>
      </w:r>
    </w:p>
    <w:p w14:paraId="6C80DCF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（3）其他教育管理事务支出99（项）支出决算为540.79万元，完成预算100%。</w:t>
      </w:r>
    </w:p>
    <w:p w14:paraId="1B5394B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3.教育支出205（类）普通教育02（款）</w:t>
      </w:r>
    </w:p>
    <w:p w14:paraId="208890F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（1）学前教育01（项）支出决算为2098.26万元，完成预算100%。</w:t>
      </w:r>
    </w:p>
    <w:p w14:paraId="4573956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（2）小学教育02（项）支出决算为15774.87万元，完成预算100%。</w:t>
      </w:r>
    </w:p>
    <w:p w14:paraId="127A2F9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（3）初中教育03（项）支出决算为11074.96万元，完成预算100%。</w:t>
      </w:r>
    </w:p>
    <w:p w14:paraId="4212AB6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（4）高中教育04（项）支出决算为3134.75万元，完成预算100%。</w:t>
      </w:r>
    </w:p>
    <w:p w14:paraId="0D8A546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（5）高等教育05（项）支出决算为13.64万元，完成预算100%。</w:t>
      </w:r>
    </w:p>
    <w:p w14:paraId="2C6870D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（6）其他普通教育支出99（项）支出决算为89.40万元，完成预算100%。</w:t>
      </w:r>
    </w:p>
    <w:p w14:paraId="6626108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4.教育支出205（类）职业教育03（款）</w:t>
      </w:r>
    </w:p>
    <w:p w14:paraId="44DFEA0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（1）其他职业教育99（项）支出决算为0.20万元，完成预算100%。</w:t>
      </w:r>
    </w:p>
    <w:p w14:paraId="08F9E03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5.教育支出205（类）进修及培训08（款）</w:t>
      </w:r>
    </w:p>
    <w:p w14:paraId="46D6878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（1）培训支出03（项）支出决算为14.75万元，完成预算100%。</w:t>
      </w:r>
    </w:p>
    <w:p w14:paraId="706A15B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6.教育支出205（类）教育费附加安排09（款）</w:t>
      </w:r>
    </w:p>
    <w:p w14:paraId="46A6777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（1）农村中小学校校舍建设01（项）支出决算为1010.65万元，完成预算100%。</w:t>
      </w:r>
    </w:p>
    <w:p w14:paraId="719B169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（2）农村中小学教学设施02（项）支出决算为746.98万元，完成预算100%。</w:t>
      </w:r>
    </w:p>
    <w:p w14:paraId="73FFD72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（3）其他教育费附加安排99（项）支出决算为1750.90万元，完成预算100%。</w:t>
      </w:r>
    </w:p>
    <w:p w14:paraId="54BEEEE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7.文化旅游体育与传媒207（类）体育03（款）</w:t>
      </w:r>
    </w:p>
    <w:p w14:paraId="0FAFC18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（1）体育竞赛05（项）支出决算为141.50万元，完成预算100%。</w:t>
      </w:r>
    </w:p>
    <w:p w14:paraId="56895ED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（2）体育场馆07（项）支出决算为209.14万元，完成预算100%。</w:t>
      </w:r>
    </w:p>
    <w:p w14:paraId="0C8A1D3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（3）群众体育08（项）支出决算为51.16万元，完成预算100%。</w:t>
      </w:r>
    </w:p>
    <w:p w14:paraId="58F2D6F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8.社会保障和就业208（类）行政事业单位养老05（款）</w:t>
      </w:r>
    </w:p>
    <w:p w14:paraId="0EF9A24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（1）行政单位离退休01（项）支出决算为33.89万元，完成预算100%。</w:t>
      </w:r>
    </w:p>
    <w:p w14:paraId="7389FC2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（2）事业单位离退休02（项）支出决算为1582.83万元，完成预算100%。</w:t>
      </w:r>
    </w:p>
    <w:p w14:paraId="09985BF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（3）机关事业单位基本养老保险缴费支出05（项）支出决算为3043.84万元，完成预算100%。</w:t>
      </w:r>
    </w:p>
    <w:p w14:paraId="4FA5789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（4）机关事业单位职业年金缴费支出06（项）支出决算为665.01万元，完成预算100%。</w:t>
      </w:r>
    </w:p>
    <w:p w14:paraId="4D5AC32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8.社会保障和就业208（类）抚恤08（款）</w:t>
      </w:r>
    </w:p>
    <w:p w14:paraId="40621FA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（1）伤残抚恤02（项）支出决算为24.40万元，完成预算100%。</w:t>
      </w:r>
    </w:p>
    <w:p w14:paraId="632A578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9.卫生健康210（类）行政事业单位医疗11（款）</w:t>
      </w:r>
    </w:p>
    <w:p w14:paraId="627A925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（1）行政单位医疗01（项）支出决算为17.49万元，完成预算100%。</w:t>
      </w:r>
    </w:p>
    <w:p w14:paraId="19CD588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（2）事业单位医疗02（项）支出决算为1558.37万元，完成预算100%。</w:t>
      </w:r>
    </w:p>
    <w:p w14:paraId="144FC75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（3）公务员医疗补助03（项）支出决算为1.78万元，完成预算100%。</w:t>
      </w:r>
    </w:p>
    <w:p w14:paraId="6A03739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（4）其他行政事业单位医疗99（项）支出决算为1017.47万元，完成预算100%。</w:t>
      </w:r>
    </w:p>
    <w:p w14:paraId="0D57434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10.住房保障221（类）住房改革02（款）</w:t>
      </w:r>
    </w:p>
    <w:p w14:paraId="0070034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（1）住房公积金01（项）支出决算为2438.74万元，完成预算100%。</w:t>
      </w:r>
    </w:p>
    <w:p w14:paraId="52DC06AB">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58" w:name="_Toc15377214"/>
      <w:bookmarkStart w:id="59" w:name="_Toc15396608"/>
      <w:r>
        <w:rPr>
          <w:rFonts w:hint="default" w:ascii="Times New Roman" w:hAnsi="Times New Roman" w:eastAsia="方正黑体_GBK" w:cs="Times New Roman"/>
          <w:b w:val="0"/>
          <w:bCs/>
          <w:lang w:val="en-US" w:eastAsia="zh-CN"/>
        </w:rPr>
        <w:t>六、一般公共预算财政拨款基本支出决算情况说明</w:t>
      </w:r>
      <w:bookmarkEnd w:id="58"/>
      <w:bookmarkEnd w:id="59"/>
      <w:r>
        <w:rPr>
          <w:rFonts w:hint="default" w:ascii="Times New Roman" w:hAnsi="Times New Roman" w:eastAsia="方正黑体_GBK" w:cs="Times New Roman"/>
          <w:b w:val="0"/>
          <w:bCs/>
          <w:lang w:val="en-US" w:eastAsia="zh-CN"/>
        </w:rPr>
        <w:tab/>
      </w:r>
    </w:p>
    <w:p w14:paraId="44D474D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2024年度一般公共预算财政拨款基本支出35664.64万元，其中：</w:t>
      </w:r>
    </w:p>
    <w:p w14:paraId="4282AD4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kern w:val="0"/>
          <w:sz w:val="32"/>
          <w:szCs w:val="24"/>
          <w:lang w:val="en-US" w:eastAsia="zh-CN" w:bidi="ar-SA"/>
        </w:rPr>
        <w:t>人员经费30566.37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kern w:val="0"/>
          <w:sz w:val="32"/>
          <w:szCs w:val="24"/>
          <w:lang w:val="en-US" w:eastAsia="zh-CN" w:bidi="ar-SA"/>
        </w:rPr>
        <w:br w:type="textWrapping"/>
      </w:r>
      <w:r>
        <w:rPr>
          <w:rFonts w:hint="default" w:ascii="Times New Roman" w:hAnsi="Times New Roman" w:eastAsia="方正仿宋_GBK" w:cs="Times New Roman"/>
          <w:kern w:val="0"/>
          <w:sz w:val="32"/>
          <w:szCs w:val="24"/>
          <w:lang w:val="en-US" w:eastAsia="zh-CN" w:bidi="ar-SA"/>
        </w:rPr>
        <w:t>　　公用经费5098.26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0A51251">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60" w:name="_Toc15396609"/>
      <w:bookmarkStart w:id="61" w:name="_Toc15377215"/>
      <w:r>
        <w:rPr>
          <w:rFonts w:hint="default" w:ascii="Times New Roman" w:hAnsi="Times New Roman" w:eastAsia="方正黑体_GBK" w:cs="Times New Roman"/>
          <w:b w:val="0"/>
          <w:bCs/>
          <w:lang w:val="en-US" w:eastAsia="zh-CN"/>
        </w:rPr>
        <w:t>七、财政拨款“三公”经费支出决算情况说明</w:t>
      </w:r>
      <w:bookmarkEnd w:id="60"/>
      <w:bookmarkEnd w:id="61"/>
    </w:p>
    <w:p w14:paraId="75F6E20C">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62" w:name="_Toc15377216"/>
      <w:r>
        <w:rPr>
          <w:rFonts w:hint="default" w:ascii="Times New Roman" w:hAnsi="Times New Roman" w:eastAsia="方正楷体_GBK" w:cs="Times New Roman"/>
          <w:b/>
          <w:bCs w:val="0"/>
          <w:sz w:val="32"/>
          <w:szCs w:val="32"/>
        </w:rPr>
        <w:t>（一）“三公”经费财政拨款支出决算总体情况说明</w:t>
      </w:r>
      <w:bookmarkEnd w:id="62"/>
    </w:p>
    <w:p w14:paraId="1B946D2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2024年度“三公”经费财政拨款支出决算为2.86万元，完成预算100%，较上年度减少0.83万元，下降22.6%。主要原因厉行节约。</w:t>
      </w:r>
    </w:p>
    <w:p w14:paraId="1B3D7F5A">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63" w:name="_Toc15377217"/>
      <w:r>
        <w:rPr>
          <w:rFonts w:hint="default" w:ascii="Times New Roman" w:hAnsi="Times New Roman" w:eastAsia="方正楷体_GBK" w:cs="Times New Roman"/>
          <w:b/>
          <w:bCs w:val="0"/>
          <w:sz w:val="32"/>
          <w:szCs w:val="32"/>
        </w:rPr>
        <w:t>（二）“三公”经费财政拨款支出决算具体情况说明</w:t>
      </w:r>
      <w:bookmarkEnd w:id="63"/>
    </w:p>
    <w:p w14:paraId="70893B4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kern w:val="0"/>
          <w:sz w:val="32"/>
          <w:szCs w:val="24"/>
          <w:lang w:val="en-US" w:eastAsia="zh-CN" w:bidi="ar-SA"/>
        </w:rPr>
        <w:t>2024年度“三公”经费财政拨款支出决算中，因公出国（境）费支出决算0万元，占0%；公务用车购置及运行维护费支出决算2.86万元，占100%；公务接待费支出决算0万元，占0%。具体情况如下：</w:t>
      </w:r>
    </w:p>
    <w:p w14:paraId="51DB2A9D">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lang w:eastAsia="zh-CN"/>
        </w:rPr>
        <w:drawing>
          <wp:inline distT="0" distB="0" distL="114300" distR="114300">
            <wp:extent cx="5187950" cy="3416935"/>
            <wp:effectExtent l="4445" t="4445" r="8255" b="762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30D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（图7：“三公”经费财政拨款支出结构）</w:t>
      </w:r>
    </w:p>
    <w:p w14:paraId="4A0BAB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0"/>
          <w:sz w:val="32"/>
          <w:szCs w:val="24"/>
          <w:lang w:val="en-US" w:eastAsia="zh-CN" w:bidi="ar-SA"/>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因公出国（境）经费支出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4"/>
          <w:lang w:val="en-US" w:eastAsia="zh-CN" w:bidi="ar-SA"/>
        </w:rPr>
        <w:t>全年安排因公出国（境）团组0次，出国（境）0人。因公出国（境）支出决算与上年持平。</w:t>
      </w:r>
    </w:p>
    <w:p w14:paraId="2ACB948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val="0"/>
          <w:bCs w:val="0"/>
          <w:kern w:val="0"/>
          <w:sz w:val="32"/>
          <w:szCs w:val="24"/>
          <w:lang w:val="en-US" w:eastAsia="zh-CN" w:bidi="ar-SA"/>
        </w:rPr>
      </w:pPr>
      <w:r>
        <w:rPr>
          <w:rFonts w:hint="default" w:ascii="Times New Roman" w:hAnsi="Times New Roman" w:eastAsia="方正仿宋_GBK" w:cs="Times New Roman"/>
          <w:b w:val="0"/>
          <w:bCs w:val="0"/>
          <w:sz w:val="32"/>
          <w:szCs w:val="32"/>
        </w:rPr>
        <w:t>2.公务用车购置及运行维护费支出</w:t>
      </w:r>
      <w:r>
        <w:rPr>
          <w:rFonts w:hint="default" w:ascii="Times New Roman" w:hAnsi="Times New Roman" w:eastAsia="方正仿宋_GBK" w:cs="Times New Roman"/>
          <w:b w:val="0"/>
          <w:bCs w:val="0"/>
          <w:sz w:val="32"/>
          <w:szCs w:val="32"/>
          <w:lang w:val="en-US" w:eastAsia="zh-CN"/>
        </w:rPr>
        <w:t>2.86</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4"/>
          <w:lang w:val="en-US" w:eastAsia="zh-CN" w:bidi="ar-SA"/>
        </w:rPr>
        <w:t>公务用车购置及运行维护费支出决算比2023年度增减少0.34万元，下降10.62%。主要原因是今年报废一辆公务用车，运行费减少。</w:t>
      </w:r>
    </w:p>
    <w:p w14:paraId="71FD313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val="0"/>
          <w:bCs w:val="0"/>
          <w:kern w:val="0"/>
          <w:sz w:val="32"/>
          <w:szCs w:val="24"/>
          <w:lang w:val="en-US" w:eastAsia="zh-CN" w:bidi="ar-SA"/>
        </w:rPr>
      </w:pPr>
      <w:r>
        <w:rPr>
          <w:rFonts w:hint="default" w:ascii="Times New Roman" w:hAnsi="Times New Roman" w:eastAsia="方正仿宋_GBK" w:cs="Times New Roman"/>
          <w:b w:val="0"/>
          <w:bCs w:val="0"/>
          <w:kern w:val="0"/>
          <w:sz w:val="32"/>
          <w:szCs w:val="24"/>
          <w:lang w:val="en-US" w:eastAsia="zh-CN" w:bidi="ar-SA"/>
        </w:rPr>
        <w:t>其中：公务用车购置支出0万元。全年按规定更新购置公务用车0辆，其中：轿车0辆、金额0万元，越野车0辆、金额0万元，载客汽车0辆、金额0万元。截至2024年12月31日，单位共有公务用车4辆，其中：轿车4辆、越野车0辆、载客汽车0辆。</w:t>
      </w:r>
    </w:p>
    <w:p w14:paraId="46ECCF6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val="0"/>
          <w:bCs w:val="0"/>
          <w:kern w:val="0"/>
          <w:sz w:val="32"/>
          <w:szCs w:val="24"/>
          <w:lang w:val="en-US" w:eastAsia="zh-CN" w:bidi="ar-SA"/>
        </w:rPr>
      </w:pPr>
      <w:r>
        <w:rPr>
          <w:rFonts w:hint="default" w:ascii="Times New Roman" w:hAnsi="Times New Roman" w:eastAsia="方正仿宋_GBK" w:cs="Times New Roman"/>
          <w:b w:val="0"/>
          <w:bCs w:val="0"/>
          <w:kern w:val="0"/>
          <w:sz w:val="32"/>
          <w:szCs w:val="24"/>
          <w:lang w:val="en-US" w:eastAsia="zh-CN" w:bidi="ar-SA"/>
        </w:rPr>
        <w:t>公务用车运行维护费支出2.86万元。主要用于所需的公务用车燃料费、维修费、过路过桥费、保险费等支出。</w:t>
      </w:r>
    </w:p>
    <w:p w14:paraId="352AAEB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val="0"/>
          <w:bCs w:val="0"/>
          <w:kern w:val="0"/>
          <w:sz w:val="32"/>
          <w:szCs w:val="24"/>
          <w:lang w:val="en-US" w:eastAsia="zh-CN" w:bidi="ar-SA"/>
        </w:rPr>
      </w:pPr>
      <w:r>
        <w:rPr>
          <w:rFonts w:hint="default" w:ascii="Times New Roman" w:hAnsi="Times New Roman" w:eastAsia="方正仿宋_GBK" w:cs="Times New Roman"/>
          <w:b w:val="0"/>
          <w:bCs w:val="0"/>
          <w:kern w:val="2"/>
          <w:sz w:val="32"/>
          <w:szCs w:val="32"/>
          <w:lang w:val="en-US" w:eastAsia="zh-CN" w:bidi="ar-SA"/>
        </w:rPr>
        <w:t>3.公务接待费支出0万元，完成预算0%。</w:t>
      </w:r>
      <w:r>
        <w:rPr>
          <w:rFonts w:hint="default" w:ascii="Times New Roman" w:hAnsi="Times New Roman" w:eastAsia="方正仿宋_GBK" w:cs="Times New Roman"/>
          <w:b w:val="0"/>
          <w:bCs w:val="0"/>
          <w:kern w:val="0"/>
          <w:sz w:val="32"/>
          <w:szCs w:val="24"/>
          <w:lang w:val="en-US" w:eastAsia="zh-CN" w:bidi="ar-SA"/>
        </w:rPr>
        <w:t>公务接待费支出决算与2023年度与上年持平。</w:t>
      </w:r>
    </w:p>
    <w:p w14:paraId="36083DF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val="0"/>
          <w:bCs w:val="0"/>
          <w:kern w:val="0"/>
          <w:sz w:val="32"/>
          <w:szCs w:val="24"/>
          <w:lang w:val="en-US" w:eastAsia="zh-CN" w:bidi="ar-SA"/>
        </w:rPr>
      </w:pPr>
      <w:r>
        <w:rPr>
          <w:rFonts w:hint="default" w:ascii="Times New Roman" w:hAnsi="Times New Roman" w:eastAsia="方正仿宋_GBK" w:cs="Times New Roman"/>
          <w:b w:val="0"/>
          <w:bCs w:val="0"/>
          <w:kern w:val="0"/>
          <w:sz w:val="32"/>
          <w:szCs w:val="24"/>
          <w:lang w:val="en-US" w:eastAsia="zh-CN" w:bidi="ar-SA"/>
        </w:rPr>
        <w:t>国内公务接待支出0万元。国内公务接待0批次，0人次（不包括陪同人员），共计支出0万元。</w:t>
      </w:r>
    </w:p>
    <w:p w14:paraId="1AC31B5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b w:val="0"/>
          <w:bCs w:val="0"/>
          <w:kern w:val="0"/>
          <w:sz w:val="32"/>
          <w:szCs w:val="24"/>
          <w:lang w:val="en-US" w:eastAsia="zh-CN" w:bidi="ar-SA"/>
        </w:rPr>
        <w:t>外事接待支出0万元。外事接待0</w:t>
      </w:r>
      <w:r>
        <w:rPr>
          <w:rFonts w:hint="default" w:ascii="Times New Roman" w:hAnsi="Times New Roman" w:eastAsia="方正仿宋_GBK" w:cs="Times New Roman"/>
          <w:kern w:val="0"/>
          <w:sz w:val="32"/>
          <w:szCs w:val="24"/>
          <w:lang w:val="en-US" w:eastAsia="zh-CN" w:bidi="ar-SA"/>
        </w:rPr>
        <w:t>批次，0人次（不包括陪同人员），共计支出0万元。</w:t>
      </w:r>
      <w:bookmarkStart w:id="64" w:name="_Toc15396610"/>
      <w:bookmarkStart w:id="65" w:name="_Toc15377218"/>
    </w:p>
    <w:p w14:paraId="6C743196">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66" w:name="_Toc16298"/>
      <w:r>
        <w:rPr>
          <w:rFonts w:hint="default" w:ascii="Times New Roman" w:hAnsi="Times New Roman" w:eastAsia="方正黑体_GBK" w:cs="Times New Roman"/>
          <w:b w:val="0"/>
          <w:bCs/>
          <w:lang w:val="en-US" w:eastAsia="zh-CN"/>
        </w:rPr>
        <w:t>八、政府性基金预算支出决算情况说明</w:t>
      </w:r>
      <w:bookmarkEnd w:id="64"/>
      <w:bookmarkEnd w:id="65"/>
      <w:bookmarkEnd w:id="66"/>
    </w:p>
    <w:p w14:paraId="401B648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2024年度政府性基金预算财政拨款支出1911.19万元，占本年支出合计的3.76%。与2023年度相比，政府性基金预算财政拨款支出减少1832.59万元，增长2331.54%。主要变动原因是项目增加支出。</w:t>
      </w:r>
    </w:p>
    <w:p w14:paraId="53E92251">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67" w:name="_Toc15396611"/>
      <w:bookmarkStart w:id="68" w:name="_Toc18365"/>
      <w:bookmarkStart w:id="69" w:name="_Toc15377219"/>
      <w:r>
        <w:rPr>
          <w:rFonts w:hint="default" w:ascii="Times New Roman" w:hAnsi="Times New Roman" w:eastAsia="方正黑体_GBK" w:cs="Times New Roman"/>
          <w:b w:val="0"/>
          <w:bCs/>
          <w:lang w:val="en-US" w:eastAsia="zh-CN"/>
        </w:rPr>
        <w:t>九、国有资本经营预算支出决算情况说明</w:t>
      </w:r>
      <w:bookmarkEnd w:id="67"/>
      <w:bookmarkEnd w:id="68"/>
      <w:bookmarkEnd w:id="69"/>
    </w:p>
    <w:p w14:paraId="6473376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2024年度国有资本经营预算财政拨款支出0万元，占本年支出合计的0%。与2023年度相比，国有资本经营预算财政拨款支出与上年持平。</w:t>
      </w:r>
    </w:p>
    <w:p w14:paraId="6B438A7B">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70" w:name="_Toc15396612"/>
      <w:bookmarkStart w:id="71" w:name="_Toc15377221"/>
      <w:bookmarkStart w:id="72" w:name="_Toc20382"/>
      <w:r>
        <w:rPr>
          <w:rFonts w:hint="default" w:ascii="Times New Roman" w:hAnsi="Times New Roman" w:eastAsia="方正黑体_GBK" w:cs="Times New Roman"/>
          <w:b w:val="0"/>
          <w:bCs/>
          <w:lang w:val="en-US" w:eastAsia="zh-CN"/>
        </w:rPr>
        <w:t>十、其他重要事项的情况说明</w:t>
      </w:r>
      <w:bookmarkEnd w:id="70"/>
      <w:bookmarkEnd w:id="71"/>
      <w:bookmarkEnd w:id="72"/>
    </w:p>
    <w:p w14:paraId="4272257C">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73" w:name="_Toc15377222"/>
      <w:r>
        <w:rPr>
          <w:rFonts w:hint="default" w:ascii="Times New Roman" w:hAnsi="Times New Roman" w:eastAsia="方正楷体_GBK" w:cs="Times New Roman"/>
          <w:b/>
          <w:bCs w:val="0"/>
          <w:sz w:val="32"/>
          <w:szCs w:val="32"/>
        </w:rPr>
        <w:t>（一）机关运行经费支出情况</w:t>
      </w:r>
      <w:bookmarkEnd w:id="73"/>
    </w:p>
    <w:p w14:paraId="65414E3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2024年度，盐边县教育和体育局机关运行经费支出76.29万元，比2023年度增加4.60万元，增长6.42%，主要原因是办公用品需求增加。</w:t>
      </w:r>
    </w:p>
    <w:p w14:paraId="2EEC237C">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74" w:name="_Toc15377223"/>
      <w:r>
        <w:rPr>
          <w:rFonts w:hint="default" w:ascii="Times New Roman" w:hAnsi="Times New Roman" w:eastAsia="方正楷体_GBK" w:cs="Times New Roman"/>
          <w:b/>
          <w:bCs w:val="0"/>
          <w:sz w:val="32"/>
          <w:szCs w:val="32"/>
        </w:rPr>
        <w:t>（二）政府采购支出情况</w:t>
      </w:r>
      <w:bookmarkEnd w:id="74"/>
    </w:p>
    <w:p w14:paraId="6612318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2024年度，盐边县教育和体育局部门政府采购支出总额3198.66万元，其中：政府采购货物支出1715.10万元、政府采购工程支出1034.83万元、政府采购服务支出448.73万元。主要用于红格镇第二幼儿园设备采购、购买乡镇中心幼儿园保教服务、公办学校安全服务等。授予中小企业合同金额3143.54万元，占政府采购支出总额的98.28%，其中：授予小微企业合同金额2997.50万元，占政府采购支出总额的93.71%。</w:t>
      </w:r>
    </w:p>
    <w:p w14:paraId="605490B2">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75" w:name="_Toc15377224"/>
      <w:r>
        <w:rPr>
          <w:rFonts w:hint="default" w:ascii="Times New Roman" w:hAnsi="Times New Roman" w:eastAsia="方正楷体_GBK" w:cs="Times New Roman"/>
          <w:b/>
          <w:bCs w:val="0"/>
          <w:sz w:val="32"/>
          <w:szCs w:val="32"/>
        </w:rPr>
        <w:t>（三）国有资产占有使用情况</w:t>
      </w:r>
      <w:bookmarkEnd w:id="75"/>
    </w:p>
    <w:p w14:paraId="7831AC3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kern w:val="0"/>
          <w:sz w:val="32"/>
          <w:szCs w:val="24"/>
          <w:lang w:val="en-US" w:eastAsia="zh-CN" w:bidi="ar-SA"/>
        </w:rPr>
        <w:t>截至2024年12月31日，盐边县教育和体育局部门共有车辆4辆，其中：主要负责人用车0辆、机要通信用车0辆、应急保障用车0辆、其他用车4辆，其他用车主要是用于运送物资、下乡检查工作等。单价100万元（含）以上设备（不含车辆）0台（套）。</w:t>
      </w:r>
    </w:p>
    <w:p w14:paraId="693859FB">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r>
        <w:rPr>
          <w:rFonts w:hint="default" w:ascii="Times New Roman" w:hAnsi="Times New Roman" w:eastAsia="方正楷体_GBK" w:cs="Times New Roman"/>
          <w:b/>
          <w:bCs w:val="0"/>
          <w:sz w:val="32"/>
          <w:szCs w:val="32"/>
        </w:rPr>
        <w:t>（四）预算绩效管理情况</w:t>
      </w:r>
    </w:p>
    <w:p w14:paraId="146960A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根据预算绩效管理要求，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盐边县教育和体育局</w:t>
      </w:r>
      <w:r>
        <w:rPr>
          <w:rFonts w:hint="default" w:ascii="Times New Roman" w:hAnsi="Times New Roman" w:eastAsia="方正仿宋_GBK" w:cs="Times New Roman"/>
          <w:color w:val="000000" w:themeColor="text1"/>
          <w:sz w:val="32"/>
          <w:szCs w:val="32"/>
          <w14:textFill>
            <w14:solidFill>
              <w14:schemeClr w14:val="tx1"/>
            </w14:solidFill>
          </w14:textFill>
        </w:rPr>
        <w:t>在2024年度预算编制阶段，组织对盐边县幼儿园改扩建工程质保金（项目名称）等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145</w:t>
      </w:r>
      <w:r>
        <w:rPr>
          <w:rFonts w:hint="default" w:ascii="Times New Roman" w:hAnsi="Times New Roman" w:eastAsia="方正仿宋_GBK" w:cs="Times New Roman"/>
          <w:color w:val="000000" w:themeColor="text1"/>
          <w:sz w:val="32"/>
          <w:szCs w:val="32"/>
          <w14:textFill>
            <w14:solidFill>
              <w14:schemeClr w14:val="tx1"/>
            </w14:solidFill>
          </w14:textFill>
        </w:rPr>
        <w:t>个项目开展了预算事前绩效评估，对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145</w:t>
      </w:r>
      <w:r>
        <w:rPr>
          <w:rFonts w:hint="default" w:ascii="Times New Roman" w:hAnsi="Times New Roman" w:eastAsia="方正仿宋_GBK" w:cs="Times New Roman"/>
          <w:color w:val="000000" w:themeColor="text1"/>
          <w:sz w:val="32"/>
          <w:szCs w:val="32"/>
          <w14:textFill>
            <w14:solidFill>
              <w14:schemeClr w14:val="tx1"/>
            </w14:solidFill>
          </w14:textFill>
        </w:rPr>
        <w:t>个项目编制了绩效目标，预算执行过程中，选取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145</w:t>
      </w:r>
      <w:r>
        <w:rPr>
          <w:rFonts w:hint="default" w:ascii="Times New Roman" w:hAnsi="Times New Roman" w:eastAsia="方正仿宋_GBK" w:cs="Times New Roman"/>
          <w:color w:val="000000" w:themeColor="text1"/>
          <w:sz w:val="32"/>
          <w:szCs w:val="32"/>
          <w14:textFill>
            <w14:solidFill>
              <w14:schemeClr w14:val="tx1"/>
            </w14:solidFill>
          </w14:textFill>
        </w:rPr>
        <w:t>个项目开展绩效监控。</w:t>
      </w:r>
    </w:p>
    <w:p w14:paraId="1049284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组织对2024年度一般公共预算、政府性基金预算、国有资本经营预算、社会保险基金预算以及资本资产、债券资金等全面开展绩效自评，形成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盐边县教育和体育局</w:t>
      </w:r>
      <w:r>
        <w:rPr>
          <w:rFonts w:hint="default" w:ascii="Times New Roman" w:hAnsi="Times New Roman" w:eastAsia="方正仿宋_GBK" w:cs="Times New Roman"/>
          <w:color w:val="000000" w:themeColor="text1"/>
          <w:sz w:val="32"/>
          <w:szCs w:val="32"/>
          <w14:textFill>
            <w14:solidFill>
              <w14:schemeClr w14:val="tx1"/>
            </w14:solidFill>
          </w14:textFill>
        </w:rPr>
        <w:t>部门整体（含部门预算项目）绩效自评报告、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盐边县教育和体育局</w:t>
      </w:r>
      <w:r>
        <w:rPr>
          <w:rFonts w:hint="default" w:ascii="Times New Roman" w:hAnsi="Times New Roman" w:eastAsia="方正仿宋_GBK" w:cs="Times New Roman"/>
          <w:color w:val="000000" w:themeColor="text1"/>
          <w:sz w:val="32"/>
          <w:szCs w:val="32"/>
          <w14:textFill>
            <w14:solidFill>
              <w14:schemeClr w14:val="tx1"/>
            </w14:solidFill>
          </w14:textFill>
        </w:rPr>
        <w:t>等专项预算项目绩效自评报告，其中，盐边县幼儿园改扩建工程质保金部门整体（含部门预算项目）绩效自评得分为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分，绩效自评综述盐边县幼儿园改扩建工程项目完工，并验收合格支付质保金；盐边县惠民镇中心学校“三支一扶”一次性安家费专项预算项目绩效自评得分为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分，绩效自评综述鼓励人才扎根基层，稳定教师队伍；盐边县渔门镇初级中学校篮球场地改造项目专项预算项目绩效自评得分为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分，绩效自评综述本年内完成施工达到各项指标满意，消除安全隐患，改善运动环境质量，提高安全系数，使用时限长久，同时提高学校办学条件；学生公寓室内改造工程专项预算项目绩效自评得分为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分，绩效自评综述盐边县新九镇中心学校学生宿舍建于2005年，建筑面积1418平方米，共有宿舍46间，可容纳368名学生入住。现学校有住校生250余名。由于宿舍修建时间已久，大部分卫生间及盥洗室出现漏水现象，已无法正常使用。宿舍内墙面及顶棚也出现漆面脱落情况，对学生宿舍进行维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绩效自评报告详见附件。</w:t>
      </w:r>
    </w:p>
    <w:p w14:paraId="45888BF2">
      <w:pPr>
        <w:rPr>
          <w:rFonts w:hint="default" w:ascii="Times New Roman" w:hAnsi="Times New Roman" w:eastAsia="方正小标宋_GBK" w:cs="Times New Roman"/>
          <w:b/>
          <w:bCs w:val="0"/>
          <w:lang w:eastAsia="zh-CN"/>
        </w:rPr>
      </w:pPr>
      <w:bookmarkStart w:id="76" w:name="_Toc3922"/>
      <w:r>
        <w:rPr>
          <w:rFonts w:hint="default" w:ascii="Times New Roman" w:hAnsi="Times New Roman" w:eastAsia="方正小标宋_GBK" w:cs="Times New Roman"/>
          <w:b/>
          <w:bCs w:val="0"/>
          <w:lang w:eastAsia="zh-CN"/>
        </w:rPr>
        <w:br w:type="page"/>
      </w:r>
    </w:p>
    <w:p w14:paraId="65ABE29C">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lang w:eastAsia="zh-CN"/>
        </w:rPr>
      </w:pPr>
      <w:r>
        <w:rPr>
          <w:rFonts w:hint="default" w:ascii="Times New Roman" w:hAnsi="Times New Roman" w:eastAsia="方正小标宋_GBK" w:cs="Times New Roman"/>
          <w:b/>
          <w:bCs w:val="0"/>
          <w:lang w:eastAsia="zh-CN"/>
        </w:rPr>
        <w:t>第三部分 名词解释</w:t>
      </w:r>
      <w:bookmarkEnd w:id="76"/>
    </w:p>
    <w:p w14:paraId="1E5325C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1.财政拨款收入：指单位从同级财政部门取得的财政预算资金。</w:t>
      </w:r>
    </w:p>
    <w:p w14:paraId="6D94F0F7">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2.其他收入：指单位取得的除上述收入以外的各项收入。</w:t>
      </w:r>
    </w:p>
    <w:p w14:paraId="5CD22C4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3.使用非财政拨款结余（含专用结余）：指事业单位使用以前年度积累的非财政拨款结余弥补当年收支差额的金额。 </w:t>
      </w:r>
    </w:p>
    <w:p w14:paraId="13FE14E5">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4.年初结转和结余：指以前年度尚未完成、结转到本年按有关规定继续使用的资金。 </w:t>
      </w:r>
    </w:p>
    <w:p w14:paraId="1475FDB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5.结余分配：指事业单位按照会计制度规定缴纳的所得税、提取的专用结余以及转入非财政拨款结余的金额等。</w:t>
      </w:r>
    </w:p>
    <w:p w14:paraId="52AC5B2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6.年末结转和结余：指单位按有关规定结转到下年或以后年度继续使用的资金。</w:t>
      </w:r>
    </w:p>
    <w:p w14:paraId="5DC1173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7.一般公共服务201（类）民族事务23（款）其他民族事务99（项）：指反映除上述项目以外其他用于民族事务方面的支出。</w:t>
      </w:r>
    </w:p>
    <w:p w14:paraId="38AE166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8.教育205（类）教育管理事务01（款）行政运行01（项）：指反映行政单位（包含实行公务员管理的事业单位）的基本支出。</w:t>
      </w:r>
    </w:p>
    <w:p w14:paraId="5E31E6D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9.教育205（类）教育管理事务01（款）一般行政管理事务02（项）：指反映行政单位（包含实行公务员管理的事业单位）未单独设置顶级科目的其他项目支出。</w:t>
      </w:r>
    </w:p>
    <w:p w14:paraId="1D5194D5">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10.教育205（类）教育管理事务01（款）其他教育管理事务支出99（项）：指反映除上述项目以外其他用于教育管理事务方面的支出。</w:t>
      </w:r>
    </w:p>
    <w:p w14:paraId="3D90CF2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11.教育205（类）普通教育02（款）学前教育01（项）：指反映各部门举办的学前教育支出。政府各部门对社会组织等举办的幼儿园的资助，如捐赠、补贴等，也在本科目中反映。</w:t>
      </w:r>
    </w:p>
    <w:p w14:paraId="2FB6E86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12.教育205（类）普通教育02（款）小学教育02（项）：指反映各部门举办的小学教育支出。政府各部门对社会组织等举办的小学的资助，如捐赠、补贴等，也在本科目中反映。</w:t>
      </w:r>
    </w:p>
    <w:p w14:paraId="03AFBE8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13.教育205（类）普通教育02（款）初中教育03（项）：指反映各部门举办的初中教育支出。政府各部门对社会组织等举办的初中的资助，如捐赠、补贴等，也在本科目中反映。</w:t>
      </w:r>
    </w:p>
    <w:p w14:paraId="6131C0F8">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14.教育205（类）普通教育02（款）高中教育04（项）：指反映各部门举办的普通高中教育支出。政府各部门对社会组织等举办的普通高中的资助，如捐赠、补贴等，也在本科目中反映。</w:t>
      </w:r>
    </w:p>
    <w:p w14:paraId="5FF26287">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15.教育205（类）普通教育02（款）高等教育05（项）：指反映各部门举办的普通本科（包括研究生）教育支出。政府各部门对社会组织等举办的普通本科高等院校（包括研究生）的资助，如捐赠、补贴等，也在本科目中反映。</w:t>
      </w:r>
    </w:p>
    <w:p w14:paraId="4150D98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16.教育205（类）普通教育02（款）其他普通教育支出99（项）：指反映除上述项目以外其他用于普通教育方面的支出。</w:t>
      </w:r>
    </w:p>
    <w:p w14:paraId="74F0C98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17.教育205（类）职业教育03（款）其他职业教育99（项）：指反映除上述项目以外其他用于职业教育方面的支出。</w:t>
      </w:r>
    </w:p>
    <w:p w14:paraId="1E20EE5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18.教育205（类）进修及培训08（款）培训支出03（项）：指反映各部门安排的用于培训的支出。教育部门的师资培训，党校、行政学院等专业干部教育机构的支出，以及退役士兵、转业士官的培训支出，不在本科目反映。</w:t>
      </w:r>
    </w:p>
    <w:p w14:paraId="7C752C3D">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19.教育205（类）教育费附加安排09（款）农村中小学校校舍建设01（项）：指反映教育费附加安排用于农村中小学校舍新建、改建、修缮和维护的支出。</w:t>
      </w:r>
    </w:p>
    <w:p w14:paraId="331C996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20.教育205（类）教育费附加安排09（款）农村中小教学设施02（项）：指反映教育费附加安排用于改善农村中小学教学设施和办学条件的支出。</w:t>
      </w:r>
    </w:p>
    <w:p w14:paraId="4D59FC3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21.教育205（类）教育费附加安排09（款）其他教育费附加安排99（项）：指反映除以上项目以外的教育费附加支出。</w:t>
      </w:r>
    </w:p>
    <w:p w14:paraId="0D30F5A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22.文化旅游体育与传媒207（类）体育03（款）体育竞赛05（项）：指反映综合性运动会及单项体育比赛支出。</w:t>
      </w:r>
    </w:p>
    <w:p w14:paraId="35D5A5DD">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23.文化旅游体育与传媒207（类）体育03（款）体育场馆07（项）：指反映体育场馆建设及维护等方面的支出。</w:t>
      </w:r>
    </w:p>
    <w:p w14:paraId="67D5BEAD">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24.文化旅游体育与传媒207（类）体育03（款）群众体育08（项）：指反映业余体校和全民健身等群众体育活动方面的支出。</w:t>
      </w:r>
    </w:p>
    <w:p w14:paraId="1AFDD117">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25.文化旅游体育与传媒207（类）体育03（款）其他体育支出99（项）：指反映除上述项目以外其他用于体育方面的支出。</w:t>
      </w:r>
    </w:p>
    <w:p w14:paraId="30C2870D">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26.社会保障和就业208（类）行政事业单位养老05（款）行政事业离退休01（项）：指反映行政单位（包含实行公务员管理的事业单位）开支的离退休经费。</w:t>
      </w:r>
    </w:p>
    <w:p w14:paraId="16C943DE">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27.社会保障和就业208（类）行政事业单位养老05（款）事业单位离退休02（项）：指反映事业单位开支的离退休经费。</w:t>
      </w:r>
    </w:p>
    <w:p w14:paraId="1BAA604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28.社会保障和就业208（类）行政事业单位养老05（款）机关事业单位基本养老保险缴费05（项）：指反映机关事业单位实施养老保险制度由单位缴纳的基本养老保险费支出。</w:t>
      </w:r>
    </w:p>
    <w:p w14:paraId="3AD062A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29.社会保障和就业208（类）行政事业单位养老05（款）机关事业单位职业年金缴费（项）：指反映机关事业单位实施养老保险制度由单位实际缴纳的职业年金支出（含职业年金补记支出）。</w:t>
      </w:r>
    </w:p>
    <w:p w14:paraId="3882E71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30.社会保障和就业208（类）抚恤08（款）伤残抚恤02（项）：指反映按规定用于伤残人员的抚恤金和按规定开支的各种伤残补助费。</w:t>
      </w:r>
    </w:p>
    <w:p w14:paraId="6DA6DCE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31.卫生健康210（类）行政事业单位医疗11（款）行政单位医疗01（项）：指反映财政部门安排的行政单位（包括实行公务员管理的事业单位，下同）基本医疗保险缴费经费，未参加医疗保险的行政单位的公费医疗经费，按国家规定享受离休人员红军老战士待遇人员的医疗经费。</w:t>
      </w:r>
    </w:p>
    <w:p w14:paraId="19D7A22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32.卫生健康210（类）行政事业单位医疗11（款）事业单位医疗02（项）：指反映财政部门安排的事业单位基本医疗保险缴费经费，未参加医疗保险的事业单位的公费医疗经费，按国家规定享受离休人员待遇的医疗经费。</w:t>
      </w:r>
    </w:p>
    <w:p w14:paraId="0E5E8B2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33.卫生健康210（类）行政事业单位医疗11（款）公务员医疗补助03（项）：指反映财政部门安排的公务员医疗补助经费。</w:t>
      </w:r>
    </w:p>
    <w:p w14:paraId="0E72FF2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34.卫生健康210（类）行政事业单位医疗11（款）其他行政事业单位医疗99（项）：指反映除上述项目以外的其他用于行政事业单位医疗方面的支出。</w:t>
      </w:r>
    </w:p>
    <w:p w14:paraId="5AB78EF5">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35.住房保障221（类）住房改革02（款）住房公积金01（项）：指反映行政事业单位按人力资源和社会保障部、财政部规定的基本工资和津贴补贴以及规定比例为职工缴纳的住房公积金。</w:t>
      </w:r>
    </w:p>
    <w:p w14:paraId="704E8CD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36.其他229（类）其他政府性基金及对应专项债务收入安排04（款）其他地方自行试点项目收益专项债券收入安排02（项）：指其他地方自行试点项目收益专项债券收入安排的支出。</w:t>
      </w:r>
    </w:p>
    <w:p w14:paraId="1A9AC12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37.其他229（类）彩票公益金安排60（款）用于体育事业的彩票公益金03（项）：指反映用于体育事业的彩票公益金支出。</w:t>
      </w:r>
    </w:p>
    <w:p w14:paraId="68DCE6A5">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38.其他229（类）其他99（款）其他99（项）：指反映除上述项目以外其他不划到具体功能科目中的支出项目。</w:t>
      </w:r>
    </w:p>
    <w:p w14:paraId="3D1EB8F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39.基本支出：指为保障机构正常运转、完成日常工作任务而发生的人员支出和公用支出。</w:t>
      </w:r>
    </w:p>
    <w:p w14:paraId="6C6688E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40.项目支出：指在基本支出之外为完成特定行政任务和事业发展目标所发生的支出。 </w:t>
      </w:r>
    </w:p>
    <w:p w14:paraId="74FB0C3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41.经营支出：指事业单位在专业业务活动及其辅助活动之外开展非独立核算经营活动发生的支出。</w:t>
      </w:r>
    </w:p>
    <w:p w14:paraId="00C2330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42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33E54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方正仿宋_GBK" w:cs="Times New Roman"/>
          <w:kern w:val="0"/>
          <w:sz w:val="32"/>
          <w:szCs w:val="24"/>
          <w:lang w:val="en-US" w:eastAsia="zh-CN" w:bidi="ar-SA"/>
        </w:rPr>
        <w:t>43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7" w:name="_Toc15377226"/>
      <w:r>
        <w:rPr>
          <w:rFonts w:hint="default" w:ascii="Times New Roman" w:hAnsi="Times New Roman" w:eastAsia="方正仿宋_GBK" w:cs="Times New Roman"/>
          <w:kern w:val="0"/>
          <w:sz w:val="32"/>
          <w:szCs w:val="24"/>
          <w:lang w:val="en-US" w:eastAsia="zh-CN" w:bidi="ar-SA"/>
        </w:rPr>
        <w:br w:type="page"/>
      </w:r>
      <w:bookmarkStart w:id="78" w:name="_Toc15396614"/>
      <w:r>
        <w:rPr>
          <w:rFonts w:hint="default" w:ascii="Times New Roman" w:hAnsi="Times New Roman" w:eastAsia="方正小标宋_GBK" w:cs="Times New Roman"/>
          <w:b/>
          <w:bCs w:val="0"/>
          <w:kern w:val="44"/>
          <w:sz w:val="44"/>
          <w:szCs w:val="44"/>
          <w:lang w:val="en-US" w:eastAsia="zh-CN" w:bidi="ar-SA"/>
        </w:rPr>
        <w:t>第四部分  附件</w:t>
      </w:r>
      <w:bookmarkEnd w:id="78"/>
    </w:p>
    <w:p w14:paraId="0B4D534E">
      <w:pPr>
        <w:pageBreakBefore w:val="0"/>
        <w:kinsoku/>
        <w:wordWrap/>
        <w:overflowPunct/>
        <w:topLinePunct w:val="0"/>
        <w:bidi w:val="0"/>
        <w:spacing w:line="240" w:lineRule="auto"/>
        <w:jc w:val="left"/>
        <w:textAlignment w:val="auto"/>
        <w:outlineLvl w:val="0"/>
        <w:rPr>
          <w:rFonts w:hint="default" w:ascii="Times New Roman" w:hAnsi="Times New Roman" w:eastAsia="方正小标宋简体" w:cs="Times New Roman"/>
          <w:bCs/>
          <w:sz w:val="44"/>
          <w:szCs w:val="44"/>
          <w:shd w:val="clear" w:color="auto" w:fill="FFFFFF"/>
        </w:rPr>
      </w:pPr>
      <w:bookmarkStart w:id="79" w:name="_Toc20181"/>
      <w:r>
        <w:rPr>
          <w:rFonts w:hint="default" w:ascii="Times New Roman" w:hAnsi="Times New Roman" w:eastAsia="黑体" w:cs="Times New Roman"/>
          <w:sz w:val="32"/>
          <w:szCs w:val="32"/>
        </w:rPr>
        <w:t>附件1</w:t>
      </w:r>
      <w:bookmarkEnd w:id="79"/>
    </w:p>
    <w:p w14:paraId="5AD79F83">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rPr>
      </w:pPr>
      <w:bookmarkStart w:id="80" w:name="_Toc6251"/>
      <w:r>
        <w:rPr>
          <w:rFonts w:hint="default" w:ascii="Times New Roman" w:hAnsi="Times New Roman" w:eastAsia="方正小标宋_GBK" w:cs="Times New Roman"/>
          <w:b/>
          <w:bCs w:val="0"/>
          <w:lang w:eastAsia="zh-CN"/>
        </w:rPr>
        <w:t>部门预算绩效评价报告范本</w:t>
      </w:r>
      <w:bookmarkEnd w:id="80"/>
    </w:p>
    <w:p w14:paraId="655E2C3B">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bookmarkStart w:id="81" w:name="_Toc22338"/>
      <w:r>
        <w:rPr>
          <w:rFonts w:hint="default" w:ascii="Times New Roman" w:hAnsi="Times New Roman" w:eastAsia="方正黑体_GBK" w:cs="Times New Roman"/>
          <w:b w:val="0"/>
          <w:bCs/>
          <w:lang w:val="zh-CN" w:eastAsia="zh-CN"/>
        </w:rPr>
        <w:t>一、部门（单位）基本情况</w:t>
      </w:r>
      <w:bookmarkEnd w:id="81"/>
    </w:p>
    <w:p w14:paraId="3D295942">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（一）机构组成</w:t>
      </w:r>
    </w:p>
    <w:p w14:paraId="578E865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盐边县教育和体育局部门（单位）内设股室6个；下属二级预算单位21个，其中：行政单位1个，参照公务员法管理的事业单位0个，其他事业单位20个。</w:t>
      </w:r>
    </w:p>
    <w:p w14:paraId="289B2022">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（二）机构职能</w:t>
      </w:r>
    </w:p>
    <w:p w14:paraId="7B73806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1.贯彻执行国家和省有关教育体育工作的方针、政策和法律、法规，研究制定有关贯彻意见并组织实施。 </w:t>
      </w:r>
    </w:p>
    <w:p w14:paraId="3B7CDA2E">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2.拟订全县教育事业发展规划，组织实施教育体制改革；负责各类教育的统筹规划和协调管理；指导各类学校的教育教学改革；负责中小学布局结构调整；负责全县多元化体育服务体系建设，推进体育公共服务和体育体制改革；负责全县教育体育系统基本信息的统计、分析、发布工作；负责组织全县教育体育信息化建设工作。 </w:t>
      </w:r>
    </w:p>
    <w:p w14:paraId="01CA37DF">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3.负责义务教育的统筹管理，推进全县义务教育均衡发展和促进教育公平。指导普通高中教育、学前教育和特殊教育工作。推进基础教育教学改革，全面实施素质教育。 </w:t>
      </w:r>
    </w:p>
    <w:p w14:paraId="3ACF30F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4.推进基础教育、职业教育和成人教育学校开展思想政治、 德育、体育卫生与艺术教育、国防教育、心理健康教育、安全和稳定工作。 </w:t>
      </w:r>
    </w:p>
    <w:p w14:paraId="3FF0097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5.负责职业教育发展与改革，组织实施民族地区免费中等职业教育工作，完成省下达的藏（彝）区学生“9+3” 免费职业教育任务。</w:t>
      </w:r>
    </w:p>
    <w:p w14:paraId="65BD66E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6.负责管理全县成人教育和广播电视教育及扫除青壮年文盲工作，促进协调发展。 </w:t>
      </w:r>
    </w:p>
    <w:p w14:paraId="2021F4F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7.负责全县教育督导工作。负责承担基础教育、职业教育和广播电视教育以及扫除青壮年文盲工作的督导检查和评估验收工作，开展基础教育发展水平和质量监测工作。 </w:t>
      </w:r>
    </w:p>
    <w:p w14:paraId="68ABB02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8.会同有关部门制定教育体育经费筹措、教育基建投资的办法，协助有关部门做好教育体育经费的筹集、拨付工作；负责本部门教育体育经费的统筹管理；协调本级财政贯彻执行教育财政、生均经费和教师工资与学生公用经费拨款；负责国（境）外教育援助、教育贷款和教育合作项目的执行；承办普通高校生源地信用助学贷款工作，完善贫困学生资助管理体系；承担对少数民族地区的教育援助工作。 </w:t>
      </w:r>
    </w:p>
    <w:p w14:paraId="12BB571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9.规范民办教育办学秩序，促进民办教育事业健康发展。 </w:t>
      </w:r>
    </w:p>
    <w:p w14:paraId="3FB83DF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10.负责全县中小学教师和教育行政干部队伍建设工作；推进学校内部管理体制改革。 </w:t>
      </w:r>
    </w:p>
    <w:p w14:paraId="605586FF">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11.贯彻执行国家语言文字的方针政策，拟订语言文字工作中长期规划和工作计划，负责普通话推广和普通话师资培训工作，承办语言文字工作委员会的具体工作。 </w:t>
      </w:r>
    </w:p>
    <w:p w14:paraId="4FF6522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12.负责并指导教育基础设施建设，完善中小学校校舍维修改造长效机制；负责并指导学校现代信息技术教育和推进现代教育信息化建设，进一步改善学校办学条件；负责推进农村薄弱学校建设；加强项目建设管理，推动校舍档案和信息系统建设，促进校舍安全管理的规范化、信息化。 </w:t>
      </w:r>
    </w:p>
    <w:p w14:paraId="775E8EC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13.负责全县教育系统对外交流与合作，承办全县中小学校出国留学人员和基础教育系统来我县外籍教师、专家及留学人员的有关管理工作。 </w:t>
      </w:r>
    </w:p>
    <w:p w14:paraId="20AA16A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14.负责大中专招生和自学考试工作。制定中小学校招生计划并组织实施，会同中等职业学校做好本县中职招生工作。 </w:t>
      </w:r>
    </w:p>
    <w:p w14:paraId="74797F3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15.统筹规划全县群众体育发展。负责推行全民健身计划，监督实施国家体育锻炼标准，承担全县国民体质监测和社会体育指导工作队伍制度建设；指导公共体育设施的建设，负责对公共体育设施的管理。 </w:t>
      </w:r>
    </w:p>
    <w:p w14:paraId="266C4AE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16.统筹规划全县竞技体育发展。指导体育训练、体育竞赛和运动员队伍建设；组织和统筹参加省级以上综合运动会，负责组织协调县级综合性运动会的竞赛工作，协调运动员社会保障工作。</w:t>
      </w:r>
    </w:p>
    <w:p w14:paraId="7F09597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17.统筹规划全县青少年体育发展。指导和管理学校体育工作；制定全县学校体育、青少年业余训练的规划和工作意见，并负责组织实施、督促和检查。 </w:t>
      </w:r>
    </w:p>
    <w:p w14:paraId="66ADF47E">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18.指导全县学校后勤改革和体育产业发展，负责全县学校后勤和体育产业管理；拟定全县体育产业发展政策、措施，规范体育服务管理，推动体育标准化建设；协助管理全县体育彩票市场。</w:t>
      </w:r>
    </w:p>
    <w:p w14:paraId="6DC52C57">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19.负责教育体育科研、技术攻关及成果推广工作；负责组织、监督全县体育运动中的反兴奋剂工作。 </w:t>
      </w:r>
    </w:p>
    <w:p w14:paraId="76082CE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20.负责指导、检查、督促全县学校安全管理工作。 </w:t>
      </w:r>
    </w:p>
    <w:p w14:paraId="37B04018">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21.负责职责范围内的安全生产和职业教育、生态环境保护、审批服务便民化等工作。 </w:t>
      </w:r>
    </w:p>
    <w:p w14:paraId="7E6301D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 xml:space="preserve">22.承担县政府公布的有关行政审批事项。 </w:t>
      </w:r>
    </w:p>
    <w:p w14:paraId="353A8C0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en-US" w:eastAsia="zh-CN" w:bidi="ar-SA"/>
        </w:rPr>
        <w:t>23.承办县政府交办的其他事项。</w:t>
      </w:r>
    </w:p>
    <w:p w14:paraId="04C4A464">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（三）人员概况</w:t>
      </w:r>
    </w:p>
    <w:p w14:paraId="26879B7F">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截至2024年末，盐边县教育和体育局及下属单位编制数21个，在职人员总数1636人，其中：行政人员11人，参照公务员法管理的事业人员0人，其他事业人员1625人；离（退）休人员0人。</w:t>
      </w:r>
    </w:p>
    <w:p w14:paraId="27D66BD3">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二、部门资金收支情况</w:t>
      </w:r>
    </w:p>
    <w:p w14:paraId="5226E798">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（一）收入情况</w:t>
      </w:r>
    </w:p>
    <w:p w14:paraId="386698F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盐边县教育和体育局2024年年初预算收入40211.41万元、决算报表收入50879.82万元。</w:t>
      </w:r>
    </w:p>
    <w:p w14:paraId="24C83F6F">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en-US" w:eastAsia="zh-CN"/>
        </w:rPr>
        <w:t>（二）</w:t>
      </w:r>
      <w:r>
        <w:rPr>
          <w:rFonts w:hint="default" w:ascii="Times New Roman" w:hAnsi="Times New Roman" w:eastAsia="方正楷体_GBK" w:cs="Times New Roman"/>
          <w:b/>
          <w:bCs w:val="0"/>
          <w:sz w:val="32"/>
          <w:szCs w:val="32"/>
          <w:lang w:val="zh-CN" w:eastAsia="zh-CN"/>
        </w:rPr>
        <w:t>支出情况</w:t>
      </w:r>
    </w:p>
    <w:p w14:paraId="0D40D82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en-US" w:eastAsia="zh-CN" w:bidi="ar-SA"/>
        </w:rPr>
        <w:t>盐边县教育和体育局2024年年初预算支出40211.41万元、决算报表支出50826.98万元，主要包括完成的任务、达成的效果等。</w:t>
      </w:r>
    </w:p>
    <w:p w14:paraId="4B85458D">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（三）结余分配和结转结余情况</w:t>
      </w:r>
    </w:p>
    <w:p w14:paraId="663142DE">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en-US" w:eastAsia="zh-CN" w:bidi="ar-SA"/>
        </w:rPr>
        <w:t>盐边县教育和体育局2024年决算报表结转结余52.84万元。</w:t>
      </w:r>
    </w:p>
    <w:p w14:paraId="63E31717">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三、部门预算绩效分析</w:t>
      </w:r>
    </w:p>
    <w:p w14:paraId="1D998705">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（一）部门预算总体绩效分析</w:t>
      </w:r>
    </w:p>
    <w:p w14:paraId="5E76B6E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zh-CN" w:eastAsia="zh-CN" w:bidi="ar-SA"/>
        </w:rPr>
        <w:t>根据部门预算绩效评价指标体系“总体绩效”涉及二、三级指标进行逐项绩效分析并评分，依次包括履职效能、预算管理、财务管理、资产管理、采购管理等情况。</w:t>
      </w:r>
    </w:p>
    <w:p w14:paraId="10FE4A6E">
      <w:pPr>
        <w:keepNext w:val="0"/>
        <w:keepLines w:val="0"/>
        <w:pageBreakBefore w:val="0"/>
        <w:kinsoku/>
        <w:wordWrap/>
        <w:overflowPunct/>
        <w:topLinePunct w:val="0"/>
        <w:autoSpaceDE/>
        <w:autoSpaceDN/>
        <w:bidi w:val="0"/>
        <w:spacing w:line="240" w:lineRule="auto"/>
        <w:ind w:firstLine="640" w:firstLineChars="200"/>
        <w:textAlignment w:val="auto"/>
        <w:outlineLvl w:val="2"/>
        <w:rPr>
          <w:rFonts w:hint="default" w:ascii="Times New Roman" w:hAnsi="Times New Roman" w:eastAsia="方正仿宋_GBK" w:cs="Times New Roman"/>
          <w:b w:val="0"/>
          <w:bCs/>
          <w:sz w:val="32"/>
          <w:szCs w:val="32"/>
          <w:lang w:val="zh-CN" w:eastAsia="zh-CN"/>
        </w:rPr>
      </w:pPr>
      <w:r>
        <w:rPr>
          <w:rFonts w:hint="default" w:ascii="Times New Roman" w:hAnsi="Times New Roman" w:eastAsia="方正仿宋_GBK" w:cs="Times New Roman"/>
          <w:b w:val="0"/>
          <w:bCs/>
          <w:sz w:val="32"/>
          <w:szCs w:val="32"/>
          <w:lang w:val="zh-CN" w:eastAsia="zh-CN"/>
        </w:rPr>
        <w:t>1.履职效能</w:t>
      </w:r>
    </w:p>
    <w:p w14:paraId="37BEF24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en-US" w:eastAsia="zh-CN" w:bidi="ar-SA"/>
        </w:rPr>
        <w:t>一是</w:t>
      </w:r>
      <w:r>
        <w:rPr>
          <w:rFonts w:hint="default" w:ascii="Times New Roman" w:hAnsi="Times New Roman" w:eastAsia="方正仿宋_GBK" w:cs="Times New Roman"/>
          <w:kern w:val="0"/>
          <w:sz w:val="32"/>
          <w:szCs w:val="24"/>
          <w:lang w:val="zh-CN" w:eastAsia="zh-CN" w:bidi="ar-SA"/>
        </w:rPr>
        <w:t>盐边县第一初级（民族）中学改扩建项目，总投资1820万元，建设盐边县第一初级（民族）中学改扩建项目，投资1400万元，新建学生宿舍楼1栋3300平方米，以及相关配套设施建设；投资420万元，新建学生食堂工程，新建学生食堂一栋1200平方米，</w:t>
      </w:r>
      <w:r>
        <w:rPr>
          <w:rFonts w:hint="default" w:ascii="Times New Roman" w:hAnsi="Times New Roman" w:eastAsia="方正仿宋_GBK" w:cs="Times New Roman"/>
          <w:kern w:val="0"/>
          <w:sz w:val="32"/>
          <w:szCs w:val="24"/>
          <w:lang w:val="en-US" w:eastAsia="zh-CN" w:bidi="ar-SA"/>
        </w:rPr>
        <w:t>绩效指标达到98%以上。</w:t>
      </w:r>
      <w:r>
        <w:rPr>
          <w:rFonts w:hint="default" w:ascii="Times New Roman" w:hAnsi="Times New Roman" w:eastAsia="方正仿宋_GBK" w:cs="Times New Roman"/>
          <w:kern w:val="0"/>
          <w:sz w:val="32"/>
          <w:szCs w:val="24"/>
          <w:lang w:val="zh-CN" w:eastAsia="zh-CN" w:bidi="ar-SA"/>
        </w:rPr>
        <w:tab/>
      </w:r>
      <w:r>
        <w:rPr>
          <w:rFonts w:hint="default" w:ascii="Times New Roman" w:hAnsi="Times New Roman" w:eastAsia="方正仿宋_GBK" w:cs="Times New Roman"/>
          <w:kern w:val="0"/>
          <w:sz w:val="32"/>
          <w:szCs w:val="24"/>
          <w:lang w:val="en-US" w:eastAsia="zh-CN" w:bidi="ar-SA"/>
        </w:rPr>
        <w:t>二是家庭经济困难学生生活费补助，为了做好家庭经济困难学生认定工作，进一步提高资助精准度。预算数与执行数均为524.3625万元，初中资助标准625元/生/年，资助人数为5500人；小学生资助标准</w:t>
      </w:r>
      <w:r>
        <w:rPr>
          <w:rFonts w:hint="default" w:ascii="Times New Roman" w:hAnsi="Times New Roman" w:eastAsia="方正仿宋_GBK" w:cs="Times New Roman"/>
          <w:kern w:val="0"/>
          <w:sz w:val="32"/>
          <w:szCs w:val="24"/>
          <w:lang w:val="zh-CN" w:eastAsia="zh-CN" w:bidi="ar-SA"/>
        </w:rPr>
        <w:tab/>
      </w:r>
      <w:r>
        <w:rPr>
          <w:rFonts w:hint="default" w:ascii="Times New Roman" w:hAnsi="Times New Roman" w:eastAsia="方正仿宋_GBK" w:cs="Times New Roman"/>
          <w:kern w:val="0"/>
          <w:sz w:val="32"/>
          <w:szCs w:val="24"/>
          <w:lang w:val="en-US" w:eastAsia="zh-CN" w:bidi="ar-SA"/>
        </w:rPr>
        <w:t>500元/生/年，按时发放，不拖欠，效益减轻学生家庭经济压力，激励学生成长成才，绩效指标达到100%。</w:t>
      </w:r>
      <w:r>
        <w:rPr>
          <w:rFonts w:hint="default" w:ascii="Times New Roman" w:hAnsi="Times New Roman" w:eastAsia="方正仿宋_GBK" w:cs="Times New Roman"/>
          <w:kern w:val="0"/>
          <w:sz w:val="32"/>
          <w:szCs w:val="24"/>
          <w:lang w:val="zh-CN" w:eastAsia="zh-CN" w:bidi="ar-SA"/>
        </w:rPr>
        <w:tab/>
      </w:r>
      <w:r>
        <w:rPr>
          <w:rFonts w:hint="default" w:ascii="Times New Roman" w:hAnsi="Times New Roman" w:eastAsia="方正仿宋_GBK" w:cs="Times New Roman"/>
          <w:kern w:val="0"/>
          <w:sz w:val="32"/>
          <w:szCs w:val="24"/>
          <w:lang w:val="zh-CN" w:eastAsia="zh-CN" w:bidi="ar-SA"/>
        </w:rPr>
        <w:tab/>
      </w:r>
      <w:r>
        <w:rPr>
          <w:rFonts w:hint="default" w:ascii="Times New Roman" w:hAnsi="Times New Roman" w:eastAsia="方正仿宋_GBK" w:cs="Times New Roman"/>
          <w:kern w:val="0"/>
          <w:sz w:val="32"/>
          <w:szCs w:val="24"/>
          <w:lang w:val="zh-CN" w:eastAsia="zh-CN" w:bidi="ar-SA"/>
        </w:rPr>
        <w:tab/>
      </w:r>
      <w:r>
        <w:rPr>
          <w:rFonts w:hint="default" w:ascii="Times New Roman" w:hAnsi="Times New Roman" w:eastAsia="方正仿宋_GBK" w:cs="Times New Roman"/>
          <w:kern w:val="0"/>
          <w:sz w:val="32"/>
          <w:szCs w:val="24"/>
          <w:lang w:val="zh-CN" w:eastAsia="zh-CN" w:bidi="ar-SA"/>
        </w:rPr>
        <w:tab/>
      </w:r>
    </w:p>
    <w:p w14:paraId="3AC89BD3">
      <w:pPr>
        <w:keepNext w:val="0"/>
        <w:keepLines w:val="0"/>
        <w:pageBreakBefore w:val="0"/>
        <w:kinsoku/>
        <w:wordWrap/>
        <w:overflowPunct/>
        <w:topLinePunct w:val="0"/>
        <w:autoSpaceDE/>
        <w:autoSpaceDN/>
        <w:bidi w:val="0"/>
        <w:spacing w:line="240" w:lineRule="auto"/>
        <w:ind w:firstLine="640" w:firstLineChars="200"/>
        <w:textAlignment w:val="auto"/>
        <w:outlineLvl w:val="2"/>
        <w:rPr>
          <w:rFonts w:hint="default" w:ascii="Times New Roman" w:hAnsi="Times New Roman" w:eastAsia="方正仿宋_GBK" w:cs="Times New Roman"/>
          <w:b w:val="0"/>
          <w:bCs/>
          <w:sz w:val="32"/>
          <w:szCs w:val="32"/>
          <w:lang w:val="zh-CN" w:eastAsia="zh-CN"/>
        </w:rPr>
      </w:pPr>
      <w:r>
        <w:rPr>
          <w:rFonts w:hint="default" w:ascii="Times New Roman" w:hAnsi="Times New Roman" w:eastAsia="方正仿宋_GBK" w:cs="Times New Roman"/>
          <w:b w:val="0"/>
          <w:bCs/>
          <w:sz w:val="32"/>
          <w:szCs w:val="32"/>
          <w:lang w:val="zh-CN" w:eastAsia="zh-CN"/>
        </w:rPr>
        <w:t>2.预算管理</w:t>
      </w:r>
    </w:p>
    <w:p w14:paraId="4FB2155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en-US" w:eastAsia="zh-CN" w:bidi="ar-SA"/>
        </w:rPr>
        <w:t>一是严格落实财政预算改革要求，实施零基预算，科学足额安排年度教育经费，及时批复年度预算。二是2024年度“三公经费”为2.86万元，比上年度减幅22.6%。三是2024年度支出数为50826.98万元，预算年终结余52.84万元，具体是本年度有市级资金。</w:t>
      </w:r>
    </w:p>
    <w:p w14:paraId="6F8E83A8">
      <w:pPr>
        <w:keepNext w:val="0"/>
        <w:keepLines w:val="0"/>
        <w:pageBreakBefore w:val="0"/>
        <w:kinsoku/>
        <w:wordWrap/>
        <w:overflowPunct/>
        <w:topLinePunct w:val="0"/>
        <w:autoSpaceDE/>
        <w:autoSpaceDN/>
        <w:bidi w:val="0"/>
        <w:spacing w:line="240" w:lineRule="auto"/>
        <w:ind w:firstLine="640" w:firstLineChars="200"/>
        <w:textAlignment w:val="auto"/>
        <w:outlineLvl w:val="2"/>
        <w:rPr>
          <w:rFonts w:hint="default" w:ascii="Times New Roman" w:hAnsi="Times New Roman" w:eastAsia="方正仿宋_GBK" w:cs="Times New Roman"/>
          <w:b w:val="0"/>
          <w:bCs/>
          <w:sz w:val="32"/>
          <w:szCs w:val="32"/>
          <w:lang w:val="zh-CN" w:eastAsia="zh-CN"/>
        </w:rPr>
      </w:pPr>
      <w:r>
        <w:rPr>
          <w:rFonts w:hint="default" w:ascii="Times New Roman" w:hAnsi="Times New Roman" w:eastAsia="方正仿宋_GBK" w:cs="Times New Roman"/>
          <w:b w:val="0"/>
          <w:bCs/>
          <w:sz w:val="32"/>
          <w:szCs w:val="32"/>
          <w:lang w:val="zh-CN" w:eastAsia="zh-CN"/>
        </w:rPr>
        <w:t>3.财务管理</w:t>
      </w:r>
    </w:p>
    <w:p w14:paraId="471816F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一是县教育和体育局的日常办公、业务及其它各项经费，实行集中统一管理，由分管财务工作的领导审批。二是财务人员要严格财务管理，遵守财经纪律。定期做好财务分析和财务报表。及时做好各种台账，并接受相关部门和上级主管部门的检查。三是严格控制“三公经费”和各种不合理开支。实行“一支笔”审批制度, 任何人不得越权批准。凡属重大开支均由集体研究决定。四是县教育和体育局经费必须按程序经批准后开支。报账程序为先由经办人注明支出事由，交分管财务局领导审核签字，分管领导签署意见，由主要领导签批。五是经费收支应按计划进行。年初编制收支预算，实行经费总额控制，专项经费开支（外出考察、学习等）和大宗设备购置，必须事先拟定计划和方案报办公室，由办公室提请分管领导审批后办理；日常办公用品的购买，先各中心、股室拟定购买计划送办公室，由办公室呈报分管副领导审批。大宗设备的采购实行公开招标办理。日常办公用品的购买由办公室安排两人以上办理，否则，不予报销。六是接待用餐和加班用餐严格控制，提倡节约。所有来客接待、日常事务和因加班需要安排工作餐的必须先向办公室申报，经主要领导批准后，由办公室在指定地点按标准统一安排。除市外办事等特殊情况可实行事后报告制外，其它情况一律履行事先申报手续。七是各股室建立财务专账。报销的各类票据应分科目登记台账，每月与办公室核对一次账目，做到账账相符、账据相符、帐物相符。</w:t>
      </w:r>
    </w:p>
    <w:p w14:paraId="78E98CE0">
      <w:pPr>
        <w:keepNext w:val="0"/>
        <w:keepLines w:val="0"/>
        <w:pageBreakBefore w:val="0"/>
        <w:kinsoku/>
        <w:wordWrap/>
        <w:overflowPunct/>
        <w:topLinePunct w:val="0"/>
        <w:autoSpaceDE/>
        <w:autoSpaceDN/>
        <w:bidi w:val="0"/>
        <w:spacing w:line="240" w:lineRule="auto"/>
        <w:ind w:firstLine="640" w:firstLineChars="200"/>
        <w:textAlignment w:val="auto"/>
        <w:outlineLvl w:val="2"/>
        <w:rPr>
          <w:rFonts w:hint="default" w:ascii="Times New Roman" w:hAnsi="Times New Roman" w:eastAsia="方正仿宋_GBK" w:cs="Times New Roman"/>
          <w:b w:val="0"/>
          <w:bCs/>
          <w:sz w:val="32"/>
          <w:szCs w:val="32"/>
          <w:lang w:val="zh-CN" w:eastAsia="zh-CN"/>
        </w:rPr>
      </w:pPr>
      <w:r>
        <w:rPr>
          <w:rFonts w:hint="default" w:ascii="Times New Roman" w:hAnsi="Times New Roman" w:eastAsia="方正仿宋_GBK" w:cs="Times New Roman"/>
          <w:b w:val="0"/>
          <w:bCs/>
          <w:sz w:val="32"/>
          <w:szCs w:val="32"/>
          <w:lang w:val="zh-CN" w:eastAsia="zh-CN"/>
        </w:rPr>
        <w:t>4.资产管理。</w:t>
      </w:r>
    </w:p>
    <w:p w14:paraId="1A62610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en-US" w:eastAsia="zh-CN" w:bidi="ar-SA"/>
        </w:rPr>
        <w:t>一是对所有固定资产，每年进行一次清查、以物对账、以账对物，做到账表相符，账账相符，账实相符。发生盈亏、报废等及时处理调整账户，保持固定资产账、卡、物相一致。二是局机关在进行财产清查时，要在局机关领导的安排下，由办公室主任具体负责，组织相关人员参加。清查方法以核实账面、实地盘点为主，以抽查、临时盘仓的方法为辅，以达到摸清家底、保证财产安全的目的。三是对清查出的各项未使用、不需用的固定资产，要查明购建日期，使用时间和技术状况等，按</w:t>
      </w:r>
      <w:bookmarkStart w:id="97" w:name="_GoBack"/>
      <w:bookmarkEnd w:id="97"/>
      <w:r>
        <w:rPr>
          <w:rFonts w:hint="eastAsia" w:eastAsia="方正仿宋_GBK" w:cs="Times New Roman"/>
          <w:kern w:val="0"/>
          <w:sz w:val="32"/>
          <w:szCs w:val="24"/>
          <w:lang w:val="en-US" w:eastAsia="zh-CN" w:bidi="ar-SA"/>
        </w:rPr>
        <w:t>调拨</w:t>
      </w:r>
      <w:r>
        <w:rPr>
          <w:rFonts w:hint="default" w:ascii="Times New Roman" w:hAnsi="Times New Roman" w:eastAsia="方正仿宋_GBK" w:cs="Times New Roman"/>
          <w:kern w:val="0"/>
          <w:sz w:val="32"/>
          <w:szCs w:val="24"/>
          <w:lang w:val="en-US" w:eastAsia="zh-CN" w:bidi="ar-SA"/>
        </w:rPr>
        <w:t>、出售、待报废等提出处理意见，并及时上报上级领导。经清查后的各项固定资产，要区别固定资产用途和使用情况（指在用、未使用或不需用等）进行重新登</w:t>
      </w:r>
      <w:r>
        <w:rPr>
          <w:rFonts w:hint="default" w:ascii="Times New Roman" w:hAnsi="Times New Roman" w:eastAsia="方正仿宋_GBK" w:cs="Times New Roman"/>
          <w:kern w:val="0"/>
          <w:sz w:val="32"/>
          <w:szCs w:val="24"/>
          <w:lang w:val="zh-CN" w:eastAsia="zh-CN" w:bidi="ar-SA"/>
        </w:rPr>
        <w:t>记。</w:t>
      </w:r>
    </w:p>
    <w:p w14:paraId="0005152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zh-CN" w:eastAsia="zh-CN" w:bidi="ar-SA"/>
        </w:rPr>
      </w:pPr>
      <w:r>
        <w:rPr>
          <w:rFonts w:hint="default" w:ascii="Times New Roman" w:hAnsi="Times New Roman" w:eastAsia="方正仿宋_GBK" w:cs="Times New Roman"/>
          <w:kern w:val="0"/>
          <w:sz w:val="32"/>
          <w:szCs w:val="24"/>
          <w:lang w:val="zh-CN" w:eastAsia="zh-CN" w:bidi="ar-SA"/>
        </w:rPr>
        <w:t>5.采购管理</w:t>
      </w:r>
    </w:p>
    <w:p w14:paraId="1F97C01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按照盐边县财政局关于印发《盐边县行政事业单位同意办公设备和办公家具配置限额标准》的通知与附件盐边县行政事业单位统一办公设备和办公家具配置限额标准表要求进行采购。</w:t>
      </w:r>
    </w:p>
    <w:p w14:paraId="3488FE52">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（二）部门预算项目绩效分析。</w:t>
      </w:r>
    </w:p>
    <w:p w14:paraId="43362A1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常年项目绩效分析。</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该类项目总数</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63</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个，涉及预算总金额</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6886.96</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万元，1—1</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月预算执行总体进度为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79.54</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%，其中：预算结余率大于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的项目共计</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36</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个。</w:t>
      </w:r>
    </w:p>
    <w:p w14:paraId="3DA6C75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阶段（一次性）项目绩效分析。</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该类项目总数</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29</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个，涉及预算总金额</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617</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万元，1—1</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月预算执行总体进度为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7.38</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%，其中：预算结余率大于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的项目共计</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19</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个。</w:t>
      </w:r>
    </w:p>
    <w:p w14:paraId="190E611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项目决策。</w:t>
      </w:r>
    </w:p>
    <w:p w14:paraId="04F07DF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严格围绕项目决策程序进行专项项目编制，设立相关绩效目标，严格按照程序进行项目入库并进行预算绩效分析。</w:t>
      </w:r>
    </w:p>
    <w:p w14:paraId="6499722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项目执行</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w:t>
      </w:r>
    </w:p>
    <w:p w14:paraId="68C2905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资金按预算和项目计划“同向”流动，按照程序进行项目调整、项目完成后按照绩效评价表进行绩效分析。</w:t>
      </w:r>
    </w:p>
    <w:p w14:paraId="19435CE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3.目标实现。</w:t>
      </w:r>
    </w:p>
    <w:p w14:paraId="44CAD45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围绕绩效评价表进行目标完成评价、检查项目是否目标偏离、进行实现效果绩效分析。</w:t>
      </w:r>
    </w:p>
    <w:p w14:paraId="3DF4380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部门对2024年度一般公共预算、政府性基金预算、国有资本经营预算安排的常年项目、阶段项目绩效目标完成情况，以及债券资金、政府购买服务有关情况，</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按年初预算时制定的绩效目标执行，无偏离绩效目标的项目。</w:t>
      </w:r>
    </w:p>
    <w:p w14:paraId="3CC0F00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（三）绩效结果应用情况</w:t>
      </w:r>
    </w:p>
    <w:p w14:paraId="4E697454">
      <w:pPr>
        <w:pStyle w:val="3"/>
        <w:keepNext w:val="0"/>
        <w:keepLines w:val="0"/>
        <w:pageBreakBefore w:val="0"/>
        <w:kinsoku/>
        <w:wordWrap/>
        <w:overflowPunct/>
        <w:topLinePunct w:val="0"/>
        <w:bidi w:val="0"/>
        <w:spacing w:line="240" w:lineRule="auto"/>
        <w:ind w:leftChars="0" w:firstLine="64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我局严格对照项目支出绩效评价发现的问题，查找管理漏洞，强化结果应用，将评价结果用于制定政策、完善内控管理制度，用于改进项目管理、财务管理和资金使用管理，用于调整预算安排方式、增减预算规模和优化支出结构，不断提高资金使用效益。按时将绩效自评公开，对各部门的预算绩效评价结果存在的问题及时进行整改。</w:t>
      </w:r>
    </w:p>
    <w:p w14:paraId="6AF9E706">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四、评价结论及建议</w:t>
      </w:r>
    </w:p>
    <w:p w14:paraId="498BFD2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（一）评价结论</w:t>
      </w:r>
    </w:p>
    <w:p w14:paraId="25BF58C3">
      <w:pPr>
        <w:pStyle w:val="3"/>
        <w:keepNext w:val="0"/>
        <w:keepLines w:val="0"/>
        <w:pageBreakBefore w:val="0"/>
        <w:kinsoku/>
        <w:wordWrap/>
        <w:overflowPunct/>
        <w:topLinePunct w:val="0"/>
        <w:bidi w:val="0"/>
        <w:spacing w:line="240" w:lineRule="auto"/>
        <w:ind w:leftChars="0" w:firstLine="64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kern w:val="2"/>
          <w:sz w:val="32"/>
          <w:szCs w:val="32"/>
          <w:lang w:val="zh-CN" w:eastAsia="zh-CN" w:bidi="ar-SA"/>
        </w:rPr>
        <w:t>202</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年我单位在执行财政预算的过程中，强化了预算绩效意识，严格按照预算项目支出绩效目标开展相关工作，整体支出情况良好，预算执行严格有序，预算管理规范可控，资金效益合乎预期，达到预期绩效目标。</w:t>
      </w:r>
    </w:p>
    <w:p w14:paraId="30B7278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（二）存在问题</w:t>
      </w:r>
    </w:p>
    <w:p w14:paraId="424D3771">
      <w:pPr>
        <w:pStyle w:val="3"/>
        <w:keepNext w:val="0"/>
        <w:keepLines w:val="0"/>
        <w:pageBreakBefore w:val="0"/>
        <w:widowControl w:val="0"/>
        <w:kinsoku/>
        <w:wordWrap/>
        <w:overflowPunct/>
        <w:topLinePunct w:val="0"/>
        <w:autoSpaceDE/>
        <w:autoSpaceDN/>
        <w:bidi w:val="0"/>
        <w:adjustRightInd/>
        <w:snapToGrid/>
        <w:spacing w:line="240" w:lineRule="auto"/>
        <w:ind w:left="198" w:leftChars="0" w:firstLine="64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由于预算绩效管理工作涉及面广，专业性强，加上缺乏系统的培训，具体工作人员对预算绩效管理理解不充分，对预算绩效管理业务不精通，在一定程度上影响了绩效评价工作质量。</w:t>
      </w:r>
    </w:p>
    <w:p w14:paraId="051F1E6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（三）改进建议</w:t>
      </w:r>
    </w:p>
    <w:p w14:paraId="2A0945DF">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细化预算编制，提高预算精准度。按照《预算法》及其实施条例的相关规定，参考上一年度的预算执行情况科学编制预算，早计划、早安排，避免年中大幅追加预算情况的发生。同时严格预算执行，提高资金使用效率。</w:t>
      </w:r>
    </w:p>
    <w:p w14:paraId="37C5E534">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附表：部门预算项目支出绩效自评表（2024年度）</w:t>
      </w:r>
    </w:p>
    <w:p w14:paraId="321C9D4B">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（注：按照绩效自评工作安排，各部门已在预算管理一体化系统绩效自评模块上传“部门预算项目支出绩效自评表（2024年度）”，该表格应作为附表予以公开）</w:t>
      </w:r>
    </w:p>
    <w:p w14:paraId="10B2AFDD">
      <w:pPr>
        <w:pStyle w:val="3"/>
        <w:keepNext w:val="0"/>
        <w:keepLines w:val="0"/>
        <w:pageBreakBefore w:val="0"/>
        <w:kinsoku/>
        <w:wordWrap/>
        <w:overflowPunct/>
        <w:topLinePunct w:val="0"/>
        <w:bidi w:val="0"/>
        <w:spacing w:line="240" w:lineRule="auto"/>
        <w:ind w:left="0" w:leftChars="0" w:firstLine="0" w:firstLineChars="0"/>
        <w:textAlignment w:val="auto"/>
        <w:rPr>
          <w:rFonts w:hint="default" w:ascii="Times New Roman" w:hAnsi="Times New Roman" w:cs="Times New Roman"/>
          <w:sz w:val="32"/>
          <w:highlight w:val="yellow"/>
          <w:lang w:val="zh-CN"/>
        </w:rPr>
      </w:pPr>
    </w:p>
    <w:p w14:paraId="10872C04">
      <w:pPr>
        <w:pStyle w:val="8"/>
        <w:keepNext w:val="0"/>
        <w:keepLines w:val="0"/>
        <w:pageBreakBefore w:val="0"/>
        <w:kinsoku/>
        <w:wordWrap/>
        <w:overflowPunct/>
        <w:topLinePunct w:val="0"/>
        <w:bidi w:val="0"/>
        <w:spacing w:before="93" w:line="240" w:lineRule="auto"/>
        <w:textAlignment w:val="auto"/>
        <w:rPr>
          <w:rFonts w:hint="default" w:ascii="Times New Roman" w:hAnsi="Times New Roman" w:cs="Times New Roman"/>
          <w:sz w:val="32"/>
          <w:szCs w:val="32"/>
          <w:highlight w:val="yellow"/>
          <w:shd w:val="clear" w:color="auto" w:fill="FFFFFF"/>
          <w:lang w:val="zh-CN"/>
        </w:rPr>
      </w:pPr>
    </w:p>
    <w:p w14:paraId="369A181F">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14:paraId="7D922958">
      <w:pPr>
        <w:pStyle w:val="8"/>
        <w:keepNext w:val="0"/>
        <w:keepLines w:val="0"/>
        <w:pageBreakBefore w:val="0"/>
        <w:kinsoku/>
        <w:wordWrap/>
        <w:overflowPunct/>
        <w:topLinePunct w:val="0"/>
        <w:bidi w:val="0"/>
        <w:spacing w:before="93" w:line="240" w:lineRule="auto"/>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14:paraId="62EC588E">
      <w:pPr>
        <w:pStyle w:val="34"/>
        <w:keepNext w:val="0"/>
        <w:keepLines w:val="0"/>
        <w:pageBreakBefore w:val="0"/>
        <w:kinsoku/>
        <w:wordWrap/>
        <w:overflowPunct/>
        <w:topLinePunct w:val="0"/>
        <w:bidi w:val="0"/>
        <w:spacing w:line="240" w:lineRule="auto"/>
        <w:jc w:val="center"/>
        <w:textAlignment w:val="auto"/>
        <w:rPr>
          <w:rFonts w:hint="default" w:ascii="Times New Roman" w:hAnsi="Times New Roman" w:eastAsia="方正小标宋简体" w:cs="Times New Roman"/>
          <w:color w:val="auto"/>
          <w:kern w:val="2"/>
          <w:sz w:val="44"/>
          <w:szCs w:val="44"/>
          <w:lang w:val="en-US"/>
        </w:rPr>
      </w:pPr>
    </w:p>
    <w:p w14:paraId="6BD24E2F">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_GBK" w:cs="Times New Roman"/>
          <w:b/>
          <w:bCs w:val="0"/>
          <w:lang w:val="en-US" w:eastAsia="zh-CN"/>
        </w:rPr>
        <w:t>专项预算项目绩效评价报告</w:t>
      </w:r>
    </w:p>
    <w:p w14:paraId="7C3D3536">
      <w:pPr>
        <w:keepNext w:val="0"/>
        <w:keepLines w:val="0"/>
        <w:pageBreakBefore w:val="0"/>
        <w:kinsoku/>
        <w:wordWrap/>
        <w:overflowPunct/>
        <w:topLinePunct w:val="0"/>
        <w:bidi w:val="0"/>
        <w:spacing w:line="240" w:lineRule="auto"/>
        <w:ind w:left="361" w:hanging="361" w:hangingChars="10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方正楷体_GBK" w:cs="Times New Roman"/>
          <w:b/>
          <w:sz w:val="36"/>
          <w:szCs w:val="36"/>
          <w:highlight w:val="none"/>
          <w:lang w:eastAsia="zh-CN"/>
        </w:rPr>
        <w:t>（</w:t>
      </w:r>
      <w:r>
        <w:rPr>
          <w:rFonts w:hint="default" w:ascii="Times New Roman" w:hAnsi="Times New Roman" w:eastAsia="方正楷体_GBK" w:cs="Times New Roman"/>
          <w:b/>
          <w:sz w:val="28"/>
          <w:szCs w:val="28"/>
          <w:highlight w:val="none"/>
        </w:rPr>
        <w:t>盐边县教育考试中心</w:t>
      </w:r>
      <w:r>
        <w:rPr>
          <w:rFonts w:hint="default" w:ascii="Times New Roman" w:hAnsi="Times New Roman" w:eastAsia="方正楷体_GBK" w:cs="Times New Roman"/>
          <w:b/>
          <w:sz w:val="28"/>
          <w:szCs w:val="28"/>
          <w:highlight w:val="none"/>
          <w:lang w:val="en-US" w:eastAsia="zh-CN"/>
        </w:rPr>
        <w:t>2024</w:t>
      </w:r>
      <w:r>
        <w:rPr>
          <w:rFonts w:hint="default" w:ascii="Times New Roman" w:hAnsi="Times New Roman" w:eastAsia="方正楷体_GBK" w:cs="Times New Roman"/>
          <w:b/>
          <w:sz w:val="28"/>
          <w:szCs w:val="28"/>
          <w:highlight w:val="none"/>
        </w:rPr>
        <w:t>年大中专招生考试工作经费项目支出</w:t>
      </w:r>
      <w:r>
        <w:rPr>
          <w:rFonts w:hint="default" w:ascii="Times New Roman" w:hAnsi="Times New Roman" w:eastAsia="方正楷体_GBK" w:cs="Times New Roman"/>
          <w:b/>
          <w:sz w:val="36"/>
          <w:szCs w:val="36"/>
          <w:highlight w:val="none"/>
          <w:lang w:eastAsia="zh-CN"/>
        </w:rPr>
        <w:t>）</w:t>
      </w:r>
    </w:p>
    <w:p w14:paraId="3903E91F">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一、项目概况</w:t>
      </w:r>
    </w:p>
    <w:p w14:paraId="3265190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（一）项目基本情况</w:t>
      </w:r>
    </w:p>
    <w:p w14:paraId="1D332A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1.盐边县教育考试中心202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年大中专招生考试工作经费项目主管部门是盐边县教育和体育局，主要职能是实施202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年盐边县各项招生考试工作。</w:t>
      </w:r>
    </w:p>
    <w:p w14:paraId="14CC2E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2.项目根据盐边县教育和体育局《盐边县教育和体育局关于解决2024年大中专招生考试工作经费的请示》</w:t>
      </w:r>
      <w:bookmarkStart w:id="82" w:name="doc_mark"/>
      <w:r>
        <w:rPr>
          <w:rFonts w:hint="default" w:ascii="Times New Roman" w:hAnsi="Times New Roman" w:eastAsia="方正仿宋_GBK" w:cs="Times New Roman"/>
          <w:sz w:val="32"/>
          <w:szCs w:val="32"/>
          <w:lang w:val="zh-CN"/>
        </w:rPr>
        <w:t>盐边教体〔202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〕20号</w:t>
      </w:r>
      <w:bookmarkEnd w:id="82"/>
      <w:r>
        <w:rPr>
          <w:rFonts w:hint="default" w:ascii="Times New Roman" w:hAnsi="Times New Roman" w:eastAsia="方正仿宋_GBK" w:cs="Times New Roman"/>
          <w:sz w:val="32"/>
          <w:szCs w:val="32"/>
          <w:lang w:val="zh-CN"/>
        </w:rPr>
        <w:t>，全县成立了教育考试中心对全县普通高考、成人高考、高中阶段教育考试（含初三体育考试，初二年级生物地理考试）和书法水平考试工作等进行管理。</w:t>
      </w:r>
    </w:p>
    <w:p w14:paraId="47D460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资金管理办法制定情况：根据四川省发展和改革委员会、四川省财政厅《关于重新发布全省教育系统考试考务行政事业性收费的通知》川发改价格484号文件和攀枝花市教育局、攀枝花市财政局《关于印发攀枝花市招生考试经费开支标准及管理办法的通知》（攀教发〔2014〕18号）文件精神，推进政府向人民群众进行考试升学服务，更好满足人民群众需要的新举措，是对发展教育考试路径和模式的新探索，有利于教育资金的合理配置。</w:t>
      </w:r>
    </w:p>
    <w:p w14:paraId="2F07EF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条件：经教育行政主管部门批准设立的企事业单位。</w:t>
      </w:r>
    </w:p>
    <w:p w14:paraId="52E8A4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范围：符合全县高中、初中、小学等阶段的适龄考生。</w:t>
      </w:r>
    </w:p>
    <w:p w14:paraId="20CB9D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支持方式概况：为盐边籍考生及随迁子女考生提供考试服务，让考生知道报考的政策，报考的流程，报考后的志愿填报，给考生以好的发展提供便利服务，让其享受好的教育资源，从而考生有一个好的发展，为社会输送人才。</w:t>
      </w:r>
    </w:p>
    <w:p w14:paraId="08D9D4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4.资金分配的原则及考虑因素。</w:t>
      </w:r>
    </w:p>
    <w:p w14:paraId="3784AF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资金分配原则：实行合理化管理。</w:t>
      </w:r>
    </w:p>
    <w:p w14:paraId="028EEE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考虑的因素：考务组及监考人员服务于考生，需要获得相应的报酬。</w:t>
      </w:r>
    </w:p>
    <w:p w14:paraId="1858C1A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（二）项目绩效目标</w:t>
      </w:r>
    </w:p>
    <w:p w14:paraId="210781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1.项目主要内容：（1）考点设置：普通高考1个考点；成人高考1个考点；中考2个考点。初二年级生物地理结业考试</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个考点；初三体育考试2个考点；初中理科实验操作考试设盐边一中、红格中学、渔门中学、永兴中学4个考点。（2）考场设置：普通高考</w:t>
      </w:r>
      <w:r>
        <w:rPr>
          <w:rFonts w:hint="default"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lang w:val="zh-CN"/>
        </w:rPr>
        <w:t>个，成人高考</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zh-CN"/>
        </w:rPr>
        <w:t>个</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中考</w:t>
      </w:r>
      <w:r>
        <w:rPr>
          <w:rFonts w:hint="default" w:ascii="Times New Roman" w:hAnsi="Times New Roman" w:eastAsia="方正仿宋_GBK" w:cs="Times New Roman"/>
          <w:sz w:val="32"/>
          <w:szCs w:val="32"/>
          <w:lang w:val="en-US" w:eastAsia="zh-CN"/>
        </w:rPr>
        <w:t>59</w:t>
      </w:r>
      <w:r>
        <w:rPr>
          <w:rFonts w:hint="default" w:ascii="Times New Roman" w:hAnsi="Times New Roman" w:eastAsia="方正仿宋_GBK" w:cs="Times New Roman"/>
          <w:sz w:val="32"/>
          <w:szCs w:val="32"/>
          <w:lang w:val="zh-CN"/>
        </w:rPr>
        <w:t>个，初二年级生物地理考试</w:t>
      </w:r>
      <w:r>
        <w:rPr>
          <w:rFonts w:hint="default" w:ascii="Times New Roman" w:hAnsi="Times New Roman" w:eastAsia="方正仿宋_GBK" w:cs="Times New Roman"/>
          <w:sz w:val="32"/>
          <w:szCs w:val="32"/>
          <w:lang w:val="en-US" w:eastAsia="zh-CN"/>
        </w:rPr>
        <w:t>52</w:t>
      </w:r>
      <w:r>
        <w:rPr>
          <w:rFonts w:hint="default" w:ascii="Times New Roman" w:hAnsi="Times New Roman" w:eastAsia="方正仿宋_GBK" w:cs="Times New Roman"/>
          <w:sz w:val="32"/>
          <w:szCs w:val="32"/>
          <w:lang w:val="zh-CN"/>
        </w:rPr>
        <w:t>个，高中阶段体育考试为流动性考场。初中理科实验操作考试</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个</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rPr>
        <w:t>（3）考试人次：各类招生考试共计</w:t>
      </w:r>
      <w:r>
        <w:rPr>
          <w:rFonts w:hint="default" w:ascii="Times New Roman" w:hAnsi="Times New Roman" w:eastAsia="方正仿宋_GBK" w:cs="Times New Roman"/>
          <w:sz w:val="32"/>
          <w:szCs w:val="32"/>
          <w:lang w:val="en-US" w:eastAsia="zh-CN"/>
        </w:rPr>
        <w:t>9110</w:t>
      </w:r>
      <w:r>
        <w:rPr>
          <w:rFonts w:hint="default" w:ascii="Times New Roman" w:hAnsi="Times New Roman" w:eastAsia="方正仿宋_GBK" w:cs="Times New Roman"/>
          <w:sz w:val="32"/>
          <w:szCs w:val="32"/>
          <w:lang w:val="zh-CN"/>
        </w:rPr>
        <w:t>人次。其中：普通高考2193人，成人高考540人，中考（含初三体育考试、实验考试和初二生物地理考试）3196人次、</w:t>
      </w:r>
      <w:r>
        <w:rPr>
          <w:rFonts w:hint="default" w:ascii="Times New Roman" w:hAnsi="Times New Roman" w:eastAsia="方正仿宋_GBK" w:cs="Times New Roman"/>
          <w:sz w:val="32"/>
          <w:szCs w:val="32"/>
          <w:lang w:val="en-US" w:eastAsia="zh-CN"/>
        </w:rPr>
        <w:t>学业水平考试</w:t>
      </w:r>
      <w:r>
        <w:rPr>
          <w:rFonts w:hint="default" w:ascii="Times New Roman" w:hAnsi="Times New Roman" w:eastAsia="方正仿宋_GBK" w:cs="Times New Roman"/>
          <w:sz w:val="32"/>
          <w:szCs w:val="32"/>
          <w:lang w:val="zh-CN"/>
        </w:rPr>
        <w:t>3181</w:t>
      </w:r>
      <w:r>
        <w:rPr>
          <w:rFonts w:hint="default" w:ascii="Times New Roman" w:hAnsi="Times New Roman" w:eastAsia="方正仿宋_GBK" w:cs="Times New Roman"/>
          <w:sz w:val="32"/>
          <w:szCs w:val="32"/>
          <w:lang w:val="zh-CN" w:eastAsia="zh-CN"/>
        </w:rPr>
        <w:t>人</w:t>
      </w:r>
      <w:r>
        <w:rPr>
          <w:rFonts w:hint="default" w:ascii="Times New Roman" w:hAnsi="Times New Roman" w:eastAsia="方正仿宋_GBK" w:cs="Times New Roman"/>
          <w:sz w:val="32"/>
          <w:szCs w:val="32"/>
          <w:lang w:val="zh-CN"/>
        </w:rPr>
        <w:t>。（4）监考员及考务工作人员：普通高考</w:t>
      </w:r>
      <w:r>
        <w:rPr>
          <w:rFonts w:hint="default" w:ascii="Times New Roman" w:hAnsi="Times New Roman" w:eastAsia="方正仿宋_GBK" w:cs="Times New Roman"/>
          <w:sz w:val="32"/>
          <w:szCs w:val="32"/>
          <w:lang w:val="en-US" w:eastAsia="zh-CN"/>
        </w:rPr>
        <w:t>1184</w:t>
      </w:r>
      <w:r>
        <w:rPr>
          <w:rFonts w:hint="default" w:ascii="Times New Roman" w:hAnsi="Times New Roman" w:eastAsia="方正仿宋_GBK" w:cs="Times New Roman"/>
          <w:sz w:val="32"/>
          <w:szCs w:val="32"/>
          <w:lang w:val="zh-CN"/>
        </w:rPr>
        <w:t>人，成人高考</w:t>
      </w:r>
      <w:r>
        <w:rPr>
          <w:rFonts w:hint="default" w:ascii="Times New Roman" w:hAnsi="Times New Roman" w:eastAsia="方正仿宋_GBK" w:cs="Times New Roman"/>
          <w:sz w:val="32"/>
          <w:szCs w:val="32"/>
          <w:lang w:val="en-US" w:eastAsia="zh-CN"/>
        </w:rPr>
        <w:t>141</w:t>
      </w:r>
      <w:r>
        <w:rPr>
          <w:rFonts w:hint="default" w:ascii="Times New Roman" w:hAnsi="Times New Roman" w:eastAsia="方正仿宋_GBK" w:cs="Times New Roman"/>
          <w:sz w:val="32"/>
          <w:szCs w:val="32"/>
          <w:lang w:val="zh-CN"/>
        </w:rPr>
        <w:t>人，中考（含初三体育考试、实验考试和初二生物地理考试）</w:t>
      </w:r>
      <w:r>
        <w:rPr>
          <w:rFonts w:hint="default" w:ascii="Times New Roman" w:hAnsi="Times New Roman" w:eastAsia="方正仿宋_GBK" w:cs="Times New Roman"/>
          <w:sz w:val="32"/>
          <w:szCs w:val="32"/>
          <w:lang w:val="en-US" w:eastAsia="zh-CN"/>
        </w:rPr>
        <w:t>710</w:t>
      </w:r>
      <w:r>
        <w:rPr>
          <w:rFonts w:hint="default" w:ascii="Times New Roman" w:hAnsi="Times New Roman" w:eastAsia="方正仿宋_GBK" w:cs="Times New Roman"/>
          <w:sz w:val="32"/>
          <w:szCs w:val="32"/>
          <w:lang w:val="zh-CN"/>
        </w:rPr>
        <w:t>人次</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学业水平考试109人</w:t>
      </w:r>
      <w:r>
        <w:rPr>
          <w:rFonts w:hint="default" w:ascii="Times New Roman" w:hAnsi="Times New Roman" w:eastAsia="方正仿宋_GBK" w:cs="Times New Roman"/>
          <w:sz w:val="32"/>
          <w:szCs w:val="32"/>
          <w:lang w:val="zh-CN"/>
        </w:rPr>
        <w:t>。</w:t>
      </w:r>
    </w:p>
    <w:p w14:paraId="2562E3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项目应实现的具体绩效目标：盐边县2023年普通高考、成人高考、高中阶段教育考试（含初三体育考试，初二年级生物地理考试）和书法水平考试的报名工作、组考工作和组考后续工作等圆满完成，工作完成率达到100%。体现了2023年的考试工作平稳、有序的完成。</w:t>
      </w:r>
    </w:p>
    <w:p w14:paraId="40DC3B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仿宋_GBK" w:cs="Times New Roman"/>
          <w:sz w:val="32"/>
          <w:szCs w:val="32"/>
          <w:lang w:val="zh-CN"/>
        </w:rPr>
        <w:t>3.项目申报内容是与实际相符，申报目标是合理可行。</w:t>
      </w:r>
      <w:r>
        <w:rPr>
          <w:rFonts w:hint="default" w:ascii="Times New Roman" w:hAnsi="Times New Roman" w:eastAsia="方正楷体_GBK" w:cs="Times New Roman"/>
          <w:b/>
          <w:bCs w:val="0"/>
          <w:sz w:val="32"/>
          <w:szCs w:val="32"/>
          <w:lang w:val="zh-CN" w:eastAsia="zh-CN"/>
        </w:rPr>
        <w:t>（三）项目自评步骤及方法</w:t>
      </w:r>
    </w:p>
    <w:p w14:paraId="21C693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采取现场查看资料，不定期的抽查，此项目每一年实施一次，全部按相关要求实施。</w:t>
      </w:r>
    </w:p>
    <w:p w14:paraId="350676F9">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二、项目资金申报及使用情况</w:t>
      </w:r>
    </w:p>
    <w:p w14:paraId="764C8CC8">
      <w:pPr>
        <w:keepNext w:val="0"/>
        <w:keepLines w:val="0"/>
        <w:pageBreakBefore w:val="0"/>
        <w:widowControl/>
        <w:kinsoku/>
        <w:wordWrap/>
        <w:overflowPunct/>
        <w:topLinePunct w:val="0"/>
        <w:autoSpaceDE/>
        <w:autoSpaceDN/>
        <w:bidi w:val="0"/>
        <w:adjustRightInd/>
        <w:snapToGrid/>
        <w:spacing w:line="240" w:lineRule="auto"/>
        <w:ind w:left="638" w:leftChars="304" w:firstLine="0" w:firstLineChars="0"/>
        <w:jc w:val="left"/>
        <w:textAlignment w:val="auto"/>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（一）项目资金申报及批复情况</w:t>
      </w:r>
    </w:p>
    <w:p w14:paraId="4D958E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项目资金申报、批复及预算调整等程序的相关情况：经县财政局和县教育和体育局对202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度盐边县考生人数，考务组人数进行审核，向县政府递交《盐边县教育和体育局关于解决2024年大中专招生考试工作经费的请示》，县政府批复下达县财政局，县财政局再次审核下拨资金到县教育和体育局，县教育和体育局根据核定结果下拨到教育考试中心。</w:t>
      </w:r>
    </w:p>
    <w:p w14:paraId="5FA301B3">
      <w:pPr>
        <w:keepNext w:val="0"/>
        <w:keepLines w:val="0"/>
        <w:pageBreakBefore w:val="0"/>
        <w:widowControl/>
        <w:kinsoku/>
        <w:wordWrap/>
        <w:overflowPunct/>
        <w:topLinePunct w:val="0"/>
        <w:autoSpaceDE/>
        <w:autoSpaceDN/>
        <w:bidi w:val="0"/>
        <w:adjustRightInd/>
        <w:snapToGrid/>
        <w:spacing w:line="240" w:lineRule="auto"/>
        <w:ind w:left="638" w:leftChars="304" w:firstLine="0" w:firstLineChars="0"/>
        <w:jc w:val="left"/>
        <w:textAlignment w:val="auto"/>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（二）资金计划、到位及使用情况（可用表格形式反映）</w:t>
      </w:r>
    </w:p>
    <w:p w14:paraId="007CE0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1.资金计划。202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年计划合计资金</w:t>
      </w:r>
      <w:r>
        <w:rPr>
          <w:rFonts w:hint="default" w:ascii="Times New Roman" w:hAnsi="Times New Roman" w:eastAsia="方正仿宋_GBK" w:cs="Times New Roman"/>
          <w:sz w:val="32"/>
          <w:szCs w:val="32"/>
          <w:lang w:val="en-US" w:eastAsia="zh-CN"/>
        </w:rPr>
        <w:t>106.34</w:t>
      </w:r>
      <w:r>
        <w:rPr>
          <w:rFonts w:hint="default" w:ascii="Times New Roman" w:hAnsi="Times New Roman" w:eastAsia="方正仿宋_GBK" w:cs="Times New Roman"/>
          <w:sz w:val="32"/>
          <w:szCs w:val="32"/>
          <w:lang w:val="zh-CN"/>
        </w:rPr>
        <w:t>万元，实际拨付202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年大中专招生考试工作经费合计资金</w:t>
      </w:r>
      <w:r>
        <w:rPr>
          <w:rFonts w:hint="default" w:ascii="Times New Roman" w:hAnsi="Times New Roman" w:eastAsia="方正仿宋_GBK" w:cs="Times New Roman"/>
          <w:sz w:val="32"/>
          <w:szCs w:val="32"/>
          <w:lang w:val="en-US" w:eastAsia="zh-CN"/>
        </w:rPr>
        <w:t>106.34</w:t>
      </w:r>
      <w:r>
        <w:rPr>
          <w:rFonts w:hint="default" w:ascii="Times New Roman" w:hAnsi="Times New Roman" w:eastAsia="方正仿宋_GBK" w:cs="Times New Roman"/>
          <w:sz w:val="32"/>
          <w:szCs w:val="32"/>
          <w:lang w:val="zh-CN"/>
        </w:rPr>
        <w:t>万元，上级财政资金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万元。</w:t>
      </w:r>
    </w:p>
    <w:p w14:paraId="42E305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2.资金到位。202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年级上级财政资金及时足额到位。</w:t>
      </w:r>
    </w:p>
    <w:p w14:paraId="17C2BF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资金使用。用于各级各类的考试经费，包括考试稿纸费、考务组劳务费、考场设备维护费等维持考试进行的费用。资金按要求划拨到个人及各个企业，确保了资金的合理利用。资金的及时发放，有利于调到人员的积极性，从而提高了工作效率，保证了各级各类考试顺利进行。</w:t>
      </w:r>
    </w:p>
    <w:p w14:paraId="7B45369D">
      <w:pPr>
        <w:keepNext w:val="0"/>
        <w:keepLines w:val="0"/>
        <w:pageBreakBefore w:val="0"/>
        <w:widowControl/>
        <w:kinsoku/>
        <w:wordWrap/>
        <w:overflowPunct/>
        <w:topLinePunct w:val="0"/>
        <w:autoSpaceDE/>
        <w:autoSpaceDN/>
        <w:bidi w:val="0"/>
        <w:adjustRightInd/>
        <w:snapToGrid/>
        <w:spacing w:line="240" w:lineRule="auto"/>
        <w:ind w:left="638" w:leftChars="304" w:firstLine="0" w:firstLineChars="0"/>
        <w:jc w:val="left"/>
        <w:textAlignment w:val="auto"/>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（三）项目财务管理情况</w:t>
      </w:r>
    </w:p>
    <w:p w14:paraId="6FB175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盐边县教育和体育局审核基本数据，申报受财政局监督、审核、复核，然后请示县政府批复下拨资金，县教育和体育局随时抽查，复核。项目的财务管理制度是健全的，并严格执行财务管理制度，账务处理及时，会计核算内容完整、真实、准确。</w:t>
      </w:r>
    </w:p>
    <w:p w14:paraId="7903B63E">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三、项目实施及管理情况</w:t>
      </w:r>
    </w:p>
    <w:p w14:paraId="79054AF8">
      <w:pPr>
        <w:keepNext w:val="0"/>
        <w:keepLines w:val="0"/>
        <w:pageBreakBefore w:val="0"/>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sz w:val="32"/>
          <w:szCs w:val="32"/>
          <w:lang w:val="zh-CN" w:eastAsia="zh-CN"/>
        </w:rPr>
        <w:t>（一）项目组织架构及实施流程</w:t>
      </w:r>
    </w:p>
    <w:p w14:paraId="5BDF90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每年大中专招生考试工作经费划拨资金，教育考试中心实施，县教育和体育局审核后拨付。</w:t>
      </w:r>
    </w:p>
    <w:p w14:paraId="5C0F8748">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kern w:val="2"/>
          <w:sz w:val="32"/>
          <w:szCs w:val="32"/>
          <w:lang w:val="zh-CN" w:eastAsia="zh-CN" w:bidi="ar-SA"/>
        </w:rPr>
        <w:t>（二）</w:t>
      </w:r>
      <w:r>
        <w:rPr>
          <w:rFonts w:hint="default" w:ascii="Times New Roman" w:hAnsi="Times New Roman" w:eastAsia="方正楷体_GBK" w:cs="Times New Roman"/>
          <w:b/>
          <w:bCs w:val="0"/>
          <w:sz w:val="32"/>
          <w:szCs w:val="32"/>
          <w:lang w:val="zh-CN" w:eastAsia="zh-CN"/>
        </w:rPr>
        <w:t>项目管理情况</w:t>
      </w:r>
    </w:p>
    <w:p w14:paraId="550DC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盐边县大中专招生考试委员会在盐边县教育和体育局设立教育考试中心，具体负责管理盐边县招生考试日常工作。</w:t>
      </w:r>
    </w:p>
    <w:p w14:paraId="7D1FAA07">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sz w:val="32"/>
          <w:szCs w:val="32"/>
          <w:lang w:val="zh-CN" w:eastAsia="zh-CN"/>
        </w:rPr>
      </w:pPr>
      <w:r>
        <w:rPr>
          <w:rFonts w:hint="default" w:ascii="Times New Roman" w:hAnsi="Times New Roman" w:eastAsia="方正楷体_GBK" w:cs="Times New Roman"/>
          <w:b/>
          <w:bCs w:val="0"/>
          <w:kern w:val="2"/>
          <w:sz w:val="32"/>
          <w:szCs w:val="32"/>
          <w:lang w:val="zh-CN" w:eastAsia="zh-CN" w:bidi="ar-SA"/>
        </w:rPr>
        <w:t>（三）</w:t>
      </w:r>
      <w:r>
        <w:rPr>
          <w:rFonts w:hint="default" w:ascii="Times New Roman" w:hAnsi="Times New Roman" w:eastAsia="方正楷体_GBK" w:cs="Times New Roman"/>
          <w:b/>
          <w:bCs w:val="0"/>
          <w:sz w:val="32"/>
          <w:szCs w:val="32"/>
          <w:lang w:val="zh-CN" w:eastAsia="zh-CN"/>
        </w:rPr>
        <w:t>项目监管情况</w:t>
      </w:r>
    </w:p>
    <w:p w14:paraId="169DFB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教育考试中心每年进行一次绩效考核申报，并受财政局监督、审核、复核，然后请示县政府批复下拨资金，教育局随时抽查，复核。项目的财务管理制度是健全的，严格执行财务管理制度，账务处理及时，会计核算内容完整、真实、准确。</w:t>
      </w:r>
    </w:p>
    <w:p w14:paraId="1F1C04BD">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四、项目绩效情况</w:t>
      </w:r>
      <w:r>
        <w:rPr>
          <w:rFonts w:hint="default" w:ascii="Times New Roman" w:hAnsi="Times New Roman" w:eastAsia="方正黑体_GBK" w:cs="Times New Roman"/>
          <w:b w:val="0"/>
          <w:bCs/>
          <w:lang w:val="zh-CN" w:eastAsia="zh-CN"/>
        </w:rPr>
        <w:tab/>
      </w:r>
    </w:p>
    <w:p w14:paraId="6E4F7182">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bookmarkStart w:id="83" w:name="_Toc15396618"/>
      <w:r>
        <w:rPr>
          <w:rFonts w:hint="default" w:ascii="Times New Roman" w:hAnsi="Times New Roman" w:eastAsia="方正楷体_GBK" w:cs="Times New Roman"/>
          <w:b/>
          <w:bCs w:val="0"/>
          <w:kern w:val="2"/>
          <w:sz w:val="32"/>
          <w:szCs w:val="32"/>
          <w:lang w:val="zh-CN" w:eastAsia="zh-CN" w:bidi="ar-SA"/>
        </w:rPr>
        <w:t>（一）项目完成情况</w:t>
      </w:r>
    </w:p>
    <w:p w14:paraId="4B1EAF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资金全部到位并及时足额拨付。</w:t>
      </w:r>
    </w:p>
    <w:p w14:paraId="5A9BF28A">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（二）项目效益情况</w:t>
      </w:r>
    </w:p>
    <w:p w14:paraId="7BCD5C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1.社会效益：标准化考场建设不断完善，惠及的师生不断扩大，考试实现了“公平、公正、公开”的目标，社会评价不断提高。</w:t>
      </w:r>
    </w:p>
    <w:p w14:paraId="516847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2.功能实现情况：标准化考场的利用率提高，并且各级各类考试“高效、安全、平稳”的完成。</w:t>
      </w:r>
    </w:p>
    <w:p w14:paraId="12E7C3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运行保障效果：打破了传统考试机制的束缚，带来了现代化的考试机制，从技术层面不断提升考试设备，更加高效、便捷的完成每一次考试。节约了人力资源，从而减少了不必要的成本，优化了资金的合理利用。</w:t>
      </w:r>
    </w:p>
    <w:p w14:paraId="3C9D9B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受益群体满意度：我县考试设备不断完善以来，惠及到的学生，家庭数量不断扩大，他们对革新以后得评价及满意度是比较高的，很认可我县考试服务水平和组考质量，对考试的产出也是比较满意的。学生，家庭和社会是不可分割的三个维度，形成了三个同心圆，即包含和被包含关系，学生和家庭的满意度不断提高，说明社会对我县考试工作的满意度也是提高的。因此学生，家庭和社会对我县考试工作的满意度是一直处于上升阶段，甚至满意度可以达到100%的。这都是对我县考试工作的认可，也是今后对考试工作的动力来源。</w:t>
      </w:r>
    </w:p>
    <w:p w14:paraId="7C90C03E">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五、问题及建议</w:t>
      </w:r>
    </w:p>
    <w:p w14:paraId="7A96F3DD">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（一）存在的问题</w:t>
      </w:r>
    </w:p>
    <w:p w14:paraId="583519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考试业务培训力度有待提高。针对年轻人员而言，系统的学习考试业务是必要，业务操作很多年轻人员是不怎么熟练的，这需要不断去实践，这种实践就是培训。培训中可以发现自己的不足，可以和学员、老师相互学习，这样年轻的业务员会迅速成长起来。</w:t>
      </w:r>
    </w:p>
    <w:p w14:paraId="18884B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2.考试业务员的配备有待优化，人员配备紧缺。有的先去教育考试中心的业务骨干往往就是一个人，很多工作量都压在一个人的身上。</w:t>
      </w:r>
    </w:p>
    <w:p w14:paraId="0FBC6D03">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（二）相关建议</w:t>
      </w:r>
    </w:p>
    <w:p w14:paraId="108B98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建议：组织省、市、县三级教育考试机构进行考试业务培训，提升业务员的工作水平，更好的服务于教育考试事业。考试业务员是教育考试中不能忽略的组成部分，要合理分配考试业务员，不足的人员通过招考，引进的形式进行补充，对业务员减负的同时增添了新鲜的血液。</w:t>
      </w:r>
    </w:p>
    <w:p w14:paraId="40818D31">
      <w:pP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14:paraId="699C1C11">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bCs w:val="0"/>
          <w:lang w:val="en-US" w:eastAsia="zh-CN"/>
        </w:rPr>
        <w:t>2024年度专项资金绩效自评报告</w:t>
      </w:r>
    </w:p>
    <w:p w14:paraId="602652EE">
      <w:pPr>
        <w:keepNext w:val="0"/>
        <w:keepLines w:val="0"/>
        <w:pageBreakBefore w:val="0"/>
        <w:kinsoku/>
        <w:wordWrap/>
        <w:overflowPunct/>
        <w:topLinePunct w:val="0"/>
        <w:bidi w:val="0"/>
        <w:spacing w:line="240" w:lineRule="auto"/>
        <w:ind w:left="361" w:hanging="281" w:hangingChars="100"/>
        <w:jc w:val="center"/>
        <w:textAlignment w:val="auto"/>
        <w:rPr>
          <w:rFonts w:hint="default" w:ascii="Times New Roman" w:hAnsi="Times New Roman" w:eastAsia="方正楷体_GBK" w:cs="Times New Roman"/>
          <w:b/>
          <w:sz w:val="28"/>
          <w:szCs w:val="28"/>
          <w:highlight w:val="none"/>
          <w:lang w:val="zh-CN" w:eastAsia="zh-CN"/>
        </w:rPr>
      </w:pPr>
      <w:r>
        <w:rPr>
          <w:rFonts w:hint="default" w:ascii="Times New Roman" w:hAnsi="Times New Roman" w:eastAsia="方正楷体_GBK" w:cs="Times New Roman"/>
          <w:b/>
          <w:sz w:val="28"/>
          <w:szCs w:val="28"/>
          <w:highlight w:val="none"/>
          <w:lang w:eastAsia="zh-CN"/>
        </w:rPr>
        <w:t>（义务教育阶段学生营养改善计划项目）</w:t>
      </w:r>
    </w:p>
    <w:p w14:paraId="35EBB1AA">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一、项目概况</w:t>
      </w:r>
    </w:p>
    <w:p w14:paraId="78431E84">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方正楷体_GBK" w:cs="Times New Roman"/>
          <w:b/>
          <w:bCs w:val="0"/>
          <w:kern w:val="2"/>
          <w:sz w:val="32"/>
          <w:szCs w:val="32"/>
          <w:lang w:val="zh-CN" w:eastAsia="zh-CN" w:bidi="ar-SA"/>
        </w:rPr>
        <w:t>（一）项目基本情况</w:t>
      </w:r>
    </w:p>
    <w:p w14:paraId="4DF754BE">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1.盐边县义务教育阶段营养改善计划项目主管部门是盐边县教育和体育局，主要职能是资金的划拨和使用的审核。</w:t>
      </w:r>
    </w:p>
    <w:p w14:paraId="5B6ACDF8">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2.项目根据国家营养改善计划的相关文件执行。</w:t>
      </w:r>
    </w:p>
    <w:p w14:paraId="1195C501">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3.每学期开学根据各学校学生人数，按每天每生5元的标准划拨资金，各学校按每餐就餐学生人数实施，再经营养餐办公室审核报账支付。资金覆盖全县义务教育阶段所有学生。</w:t>
      </w:r>
    </w:p>
    <w:p w14:paraId="53E61E2C">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4.资金按各学校在校学生人数分配。</w:t>
      </w:r>
    </w:p>
    <w:p w14:paraId="2EA13DB8">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（二）项目绩效目标</w:t>
      </w:r>
    </w:p>
    <w:p w14:paraId="3E2BC663">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1.项目主要内容：让全县义务教育阶段所有学生按国家标准及时足额吃到营养餐。</w:t>
      </w:r>
    </w:p>
    <w:p w14:paraId="2376C029">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2.项目应实现的具体绩效目标：全县义务教育阶段所有学生及时足额吃到营养餐。</w:t>
      </w:r>
    </w:p>
    <w:p w14:paraId="0A345404">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3.分析评价申报内容是否与实际相符：此项目与实际相符。</w:t>
      </w:r>
    </w:p>
    <w:p w14:paraId="478A08BA">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（三）项目自评步骤及方法</w:t>
      </w:r>
    </w:p>
    <w:p w14:paraId="62FF1849">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此项目实施多年全部按要求实施。</w:t>
      </w:r>
    </w:p>
    <w:p w14:paraId="1CCA0CB4">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二、项目资金申报及使用情况</w:t>
      </w:r>
    </w:p>
    <w:p w14:paraId="75C50B5E">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（一）项目资金申报及批复情况</w:t>
      </w:r>
    </w:p>
    <w:p w14:paraId="11805C85">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资金按国家营养改善计划相关政策执行，不需要立项。</w:t>
      </w:r>
    </w:p>
    <w:p w14:paraId="127BC2DA">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（二）资金计划、到位及使用情况</w:t>
      </w:r>
    </w:p>
    <w:p w14:paraId="18700DB9">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1.资金计划。202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年中央资金</w:t>
      </w:r>
      <w:r>
        <w:rPr>
          <w:rFonts w:hint="default" w:ascii="Times New Roman" w:hAnsi="Times New Roman" w:eastAsia="方正仿宋_GBK" w:cs="Times New Roman"/>
          <w:b w:val="0"/>
          <w:bCs/>
          <w:sz w:val="32"/>
          <w:szCs w:val="32"/>
          <w:lang w:val="en-US" w:eastAsia="zh-CN"/>
        </w:rPr>
        <w:t>1220.46</w:t>
      </w:r>
      <w:r>
        <w:rPr>
          <w:rFonts w:hint="default" w:ascii="Times New Roman" w:hAnsi="Times New Roman" w:eastAsia="方正仿宋_GBK" w:cs="Times New Roman"/>
          <w:b w:val="0"/>
          <w:bCs/>
          <w:sz w:val="32"/>
          <w:szCs w:val="32"/>
        </w:rPr>
        <w:t>万元，省级资金</w:t>
      </w:r>
      <w:r>
        <w:rPr>
          <w:rFonts w:hint="default" w:ascii="Times New Roman" w:hAnsi="Times New Roman" w:eastAsia="方正仿宋_GBK" w:cs="Times New Roman"/>
          <w:b w:val="0"/>
          <w:bCs/>
          <w:sz w:val="32"/>
          <w:szCs w:val="32"/>
          <w:lang w:val="en-US" w:eastAsia="zh-CN"/>
        </w:rPr>
        <w:t xml:space="preserve">  178.54</w:t>
      </w:r>
      <w:r>
        <w:rPr>
          <w:rFonts w:hint="default" w:ascii="Times New Roman" w:hAnsi="Times New Roman" w:eastAsia="方正仿宋_GBK" w:cs="Times New Roman"/>
          <w:b w:val="0"/>
          <w:bCs/>
          <w:sz w:val="32"/>
          <w:szCs w:val="32"/>
        </w:rPr>
        <w:t>万元，县级资金</w:t>
      </w:r>
      <w:r>
        <w:rPr>
          <w:rFonts w:hint="default" w:ascii="Times New Roman" w:hAnsi="Times New Roman" w:eastAsia="方正仿宋_GBK" w:cs="Times New Roman"/>
          <w:b w:val="0"/>
          <w:bCs/>
          <w:sz w:val="32"/>
          <w:szCs w:val="32"/>
          <w:lang w:val="en-US" w:eastAsia="zh-CN"/>
        </w:rPr>
        <w:t>110.97</w:t>
      </w:r>
      <w:r>
        <w:rPr>
          <w:rFonts w:hint="default" w:ascii="Times New Roman" w:hAnsi="Times New Roman" w:eastAsia="方正仿宋_GBK" w:cs="Times New Roman"/>
          <w:b w:val="0"/>
          <w:bCs/>
          <w:sz w:val="32"/>
          <w:szCs w:val="32"/>
        </w:rPr>
        <w:t>万元。</w:t>
      </w:r>
    </w:p>
    <w:p w14:paraId="3934B1D5">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2.资金到位。202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年中央资金</w:t>
      </w:r>
      <w:r>
        <w:rPr>
          <w:rFonts w:hint="default" w:ascii="Times New Roman" w:hAnsi="Times New Roman" w:eastAsia="方正仿宋_GBK" w:cs="Times New Roman"/>
          <w:b w:val="0"/>
          <w:bCs/>
          <w:sz w:val="32"/>
          <w:szCs w:val="32"/>
          <w:lang w:val="en-US" w:eastAsia="zh-CN"/>
        </w:rPr>
        <w:t>1220.46</w:t>
      </w:r>
      <w:r>
        <w:rPr>
          <w:rFonts w:hint="default" w:ascii="Times New Roman" w:hAnsi="Times New Roman" w:eastAsia="方正仿宋_GBK" w:cs="Times New Roman"/>
          <w:b w:val="0"/>
          <w:bCs/>
          <w:sz w:val="32"/>
          <w:szCs w:val="32"/>
        </w:rPr>
        <w:t>万元，省级资金</w:t>
      </w:r>
      <w:r>
        <w:rPr>
          <w:rFonts w:hint="default" w:ascii="Times New Roman" w:hAnsi="Times New Roman" w:eastAsia="方正仿宋_GBK" w:cs="Times New Roman"/>
          <w:b w:val="0"/>
          <w:bCs/>
          <w:sz w:val="32"/>
          <w:szCs w:val="32"/>
          <w:lang w:val="en-US" w:eastAsia="zh-CN"/>
        </w:rPr>
        <w:t xml:space="preserve">  178.54</w:t>
      </w:r>
      <w:r>
        <w:rPr>
          <w:rFonts w:hint="default" w:ascii="Times New Roman" w:hAnsi="Times New Roman" w:eastAsia="方正仿宋_GBK" w:cs="Times New Roman"/>
          <w:b w:val="0"/>
          <w:bCs/>
          <w:sz w:val="32"/>
          <w:szCs w:val="32"/>
        </w:rPr>
        <w:t>万元，县级资金</w:t>
      </w:r>
      <w:r>
        <w:rPr>
          <w:rFonts w:hint="default" w:ascii="Times New Roman" w:hAnsi="Times New Roman" w:eastAsia="方正仿宋_GBK" w:cs="Times New Roman"/>
          <w:b w:val="0"/>
          <w:bCs/>
          <w:sz w:val="32"/>
          <w:szCs w:val="32"/>
          <w:lang w:val="en-US" w:eastAsia="zh-CN"/>
        </w:rPr>
        <w:t>110.97</w:t>
      </w:r>
      <w:r>
        <w:rPr>
          <w:rFonts w:hint="default" w:ascii="Times New Roman" w:hAnsi="Times New Roman" w:eastAsia="方正仿宋_GBK" w:cs="Times New Roman"/>
          <w:b w:val="0"/>
          <w:bCs/>
          <w:sz w:val="32"/>
          <w:szCs w:val="32"/>
        </w:rPr>
        <w:t>万元及时足额到位。</w:t>
      </w:r>
    </w:p>
    <w:p w14:paraId="6208B04E">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3.资金使用。资金全部按各学校的学生人数划拨到各学校。</w:t>
      </w:r>
    </w:p>
    <w:p w14:paraId="369AD127">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（三）项目财务管理情况</w:t>
      </w:r>
    </w:p>
    <w:p w14:paraId="066805EF">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营养改善计划金管理制度健全，严格执行财务管理制度，账务处理及时，会计核算规范。</w:t>
      </w:r>
    </w:p>
    <w:p w14:paraId="39FC1920">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三、项目实施及管理情况</w:t>
      </w:r>
    </w:p>
    <w:p w14:paraId="454788DE">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（一）项目组织架构及实施流程</w:t>
      </w:r>
    </w:p>
    <w:p w14:paraId="605FB423">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每学期教育体育局按各学校在校学生人数划拨资金，各学校实施，县教育和体育局营养餐办公室审核后支付。</w:t>
      </w:r>
    </w:p>
    <w:p w14:paraId="5D46A13F">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（二）项目管理情况</w:t>
      </w:r>
    </w:p>
    <w:p w14:paraId="0E0CD645">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营养餐大宗食品定点采购，营养餐菜谱提前一周公示，用量每天公示，使用资金每月公示。</w:t>
      </w:r>
    </w:p>
    <w:p w14:paraId="72B11D8A">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（三）项目监管情况</w:t>
      </w:r>
    </w:p>
    <w:p w14:paraId="4E152A35">
      <w:pPr>
        <w:keepNext w:val="0"/>
        <w:keepLines w:val="0"/>
        <w:pageBreakBefore w:val="0"/>
        <w:numPr>
          <w:ilvl w:val="0"/>
          <w:numId w:val="0"/>
        </w:numPr>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每学期组织家长、学生及教师代表进行一次营养餐成本核算，公示每天营养餐用量，每餐学生实名签字，每月使用资金经营养餐办公室审核后各学校公示支付。</w:t>
      </w:r>
    </w:p>
    <w:p w14:paraId="257B4EDC">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四、项目绩效情况</w:t>
      </w:r>
      <w:r>
        <w:rPr>
          <w:rFonts w:hint="default" w:ascii="Times New Roman" w:hAnsi="Times New Roman" w:eastAsia="方正黑体_GBK" w:cs="Times New Roman"/>
          <w:b w:val="0"/>
          <w:bCs/>
          <w:lang w:val="zh-CN" w:eastAsia="zh-CN"/>
        </w:rPr>
        <w:tab/>
      </w:r>
    </w:p>
    <w:p w14:paraId="1E7E539C">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（一）项目完成情况</w:t>
      </w:r>
    </w:p>
    <w:p w14:paraId="75CA6B51">
      <w:pPr>
        <w:keepNext w:val="0"/>
        <w:keepLines w:val="0"/>
        <w:pageBreakBefore w:val="0"/>
        <w:numPr>
          <w:ilvl w:val="0"/>
          <w:numId w:val="0"/>
        </w:numPr>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年营养餐资金全部使用到学生头上，学生及时足额吃到营养餐。</w:t>
      </w:r>
    </w:p>
    <w:p w14:paraId="7D744196">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（二）项目效益情况</w:t>
      </w:r>
    </w:p>
    <w:p w14:paraId="523177C1">
      <w:pPr>
        <w:keepNext w:val="0"/>
        <w:keepLines w:val="0"/>
        <w:pageBreakBefore w:val="0"/>
        <w:numPr>
          <w:ilvl w:val="0"/>
          <w:numId w:val="0"/>
        </w:numPr>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此项目的实施减轻了家长的经济负担，增强学生体质。</w:t>
      </w:r>
    </w:p>
    <w:p w14:paraId="5B7CB15D">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五、评价结论及建议</w:t>
      </w:r>
    </w:p>
    <w:p w14:paraId="197D6579">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（一）评价结论</w:t>
      </w:r>
    </w:p>
    <w:p w14:paraId="568027AC">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此项目的实施减轻了家长的经济负担，增强学生体质，社会满意度高。</w:t>
      </w:r>
    </w:p>
    <w:p w14:paraId="4BB78C15">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（二）存在的问题</w:t>
      </w:r>
    </w:p>
    <w:p w14:paraId="2B4C63CC">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无</w:t>
      </w:r>
      <w:r>
        <w:rPr>
          <w:rFonts w:hint="default" w:ascii="Times New Roman" w:hAnsi="Times New Roman" w:eastAsia="楷体_GB2312" w:cs="Times New Roman"/>
          <w:sz w:val="32"/>
          <w:szCs w:val="32"/>
          <w:lang w:eastAsia="zh-CN"/>
        </w:rPr>
        <w:t>。</w:t>
      </w:r>
    </w:p>
    <w:p w14:paraId="4C874296">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（三）相关建议</w:t>
      </w:r>
    </w:p>
    <w:p w14:paraId="2163D1CA">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p>
    <w:p w14:paraId="33386C9C">
      <w:pPr>
        <w:pStyle w:val="8"/>
        <w:keepNext w:val="0"/>
        <w:keepLines w:val="0"/>
        <w:pageBreakBefore w:val="0"/>
        <w:kinsoku/>
        <w:wordWrap/>
        <w:overflowPunct/>
        <w:topLinePunct w:val="0"/>
        <w:bidi w:val="0"/>
        <w:spacing w:line="240" w:lineRule="auto"/>
        <w:jc w:val="center"/>
        <w:textAlignment w:val="auto"/>
        <w:rPr>
          <w:rFonts w:hint="default" w:ascii="Times New Roman" w:hAnsi="Times New Roman" w:eastAsia="方正小标宋_GBK" w:cs="Times New Roman"/>
          <w:sz w:val="44"/>
          <w:szCs w:val="44"/>
        </w:rPr>
      </w:pPr>
    </w:p>
    <w:p w14:paraId="728FA4D9">
      <w:pPr>
        <w:pStyle w:val="8"/>
        <w:keepNext w:val="0"/>
        <w:keepLines w:val="0"/>
        <w:pageBreakBefore w:val="0"/>
        <w:kinsoku/>
        <w:wordWrap/>
        <w:overflowPunct/>
        <w:topLinePunct w:val="0"/>
        <w:bidi w:val="0"/>
        <w:spacing w:line="240" w:lineRule="auto"/>
        <w:jc w:val="center"/>
        <w:textAlignment w:val="auto"/>
        <w:rPr>
          <w:rFonts w:hint="default" w:ascii="Times New Roman" w:hAnsi="Times New Roman" w:eastAsia="方正小标宋_GBK" w:cs="Times New Roman"/>
          <w:sz w:val="44"/>
          <w:szCs w:val="44"/>
        </w:rPr>
      </w:pPr>
    </w:p>
    <w:p w14:paraId="6F73EAE4">
      <w:pPr>
        <w:keepNext w:val="0"/>
        <w:keepLines w:val="0"/>
        <w:pageBreakBefore w:val="0"/>
        <w:kinsoku/>
        <w:wordWrap/>
        <w:overflowPunct/>
        <w:topLinePunct w:val="0"/>
        <w:bidi w:val="0"/>
        <w:spacing w:line="240" w:lineRule="auto"/>
        <w:jc w:val="both"/>
        <w:textAlignment w:val="auto"/>
        <w:rPr>
          <w:rFonts w:hint="default" w:ascii="Times New Roman" w:hAnsi="Times New Roman" w:eastAsia="方正小标宋_GBK" w:cs="Times New Roman"/>
          <w:sz w:val="44"/>
          <w:szCs w:val="44"/>
        </w:rPr>
      </w:pPr>
    </w:p>
    <w:p w14:paraId="5EF672A5">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lang w:val="en-US" w:eastAsia="zh-CN"/>
        </w:rPr>
      </w:pPr>
      <w:r>
        <w:rPr>
          <w:rFonts w:hint="default" w:ascii="Times New Roman" w:hAnsi="Times New Roman" w:eastAsia="方正小标宋_GBK" w:cs="Times New Roman"/>
          <w:b/>
          <w:bCs w:val="0"/>
          <w:lang w:val="en-US" w:eastAsia="zh-CN"/>
        </w:rPr>
        <w:t>2024年度专项资金绩效自评报告</w:t>
      </w:r>
    </w:p>
    <w:p w14:paraId="397AE156">
      <w:pPr>
        <w:pStyle w:val="8"/>
        <w:keepNext w:val="0"/>
        <w:keepLines w:val="0"/>
        <w:pageBreakBefore w:val="0"/>
        <w:kinsoku/>
        <w:wordWrap/>
        <w:overflowPunct/>
        <w:topLinePunct w:val="0"/>
        <w:bidi w:val="0"/>
        <w:spacing w:line="240" w:lineRule="auto"/>
        <w:jc w:val="center"/>
        <w:textAlignment w:val="auto"/>
        <w:rPr>
          <w:rFonts w:hint="default" w:ascii="Times New Roman" w:hAnsi="Times New Roman" w:eastAsia="黑体" w:cs="Times New Roman"/>
          <w:sz w:val="44"/>
          <w:szCs w:val="44"/>
        </w:rPr>
      </w:pPr>
      <w:r>
        <w:rPr>
          <w:rFonts w:hint="default" w:ascii="Times New Roman" w:hAnsi="Times New Roman" w:eastAsia="方正楷体_GBK" w:cs="Times New Roman"/>
          <w:b/>
          <w:sz w:val="32"/>
          <w:szCs w:val="32"/>
        </w:rPr>
        <w:t>（</w:t>
      </w:r>
      <w:r>
        <w:rPr>
          <w:rFonts w:hint="default" w:ascii="Times New Roman" w:hAnsi="Times New Roman" w:eastAsia="方正楷体_GBK" w:cs="Times New Roman"/>
          <w:b/>
          <w:sz w:val="28"/>
          <w:szCs w:val="28"/>
        </w:rPr>
        <w:t>县教育和体育局义务教育家庭经济困难学生生活补助）</w:t>
      </w:r>
    </w:p>
    <w:p w14:paraId="7DBE5861">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一、项目概况</w:t>
      </w:r>
    </w:p>
    <w:p w14:paraId="1ED8AE8A">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（一）项目资金申报及批复情况</w:t>
      </w:r>
    </w:p>
    <w:p w14:paraId="3F42AD69">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1.项目资金由管理部门做资金请示报告，交县委县政府进行批复，再通过县财政局审核后划拨到县教育和体育局财务部门。</w:t>
      </w:r>
    </w:p>
    <w:p w14:paraId="6B567CD9">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2.项目立项、资金申报的依据：根据《四川省人民政府关于进一步完善城乡义务教育经费保障机制的实施意见》（川府发〔2016〕9号）、《四川省财政厅 四川省教育厅关于下达2019城乡义务教育补助经费预算的通知》（川财教〔2019〕111号）文件要求，省级提前下达资助人数和资助资金，学校评定、公示。主管部门申请资金。</w:t>
      </w:r>
    </w:p>
    <w:p w14:paraId="21A58A6D">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3.资金管理办法制定情况，资金支持具体项目的条件、范围与支持方式概况：家庭经济困难学生在校申请，学校评审小组评审并公示，公示无异议后发放。</w:t>
      </w:r>
    </w:p>
    <w:p w14:paraId="48C4146C">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b/>
          <w:bCs w:val="0"/>
          <w:kern w:val="2"/>
          <w:sz w:val="32"/>
          <w:szCs w:val="32"/>
          <w:lang w:val="zh-CN" w:eastAsia="zh-CN" w:bidi="ar-SA"/>
        </w:rPr>
        <w:t>（二）项目绩效目标</w:t>
      </w:r>
    </w:p>
    <w:p w14:paraId="5631D971">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项目主要内容：义务教育家庭经济困难学生生活补助。</w:t>
      </w:r>
    </w:p>
    <w:p w14:paraId="1223F2AD">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2.按中央及省级下发资助学生人数和资金，学生申请，班级和学校进行评定，在学校公示栏公示无异议后上报受助学生名单及资金，资金及时发放。</w:t>
      </w:r>
    </w:p>
    <w:p w14:paraId="6C3F2FA8">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3.评价内容按实际享受资助资金的人数和实际发放资金进行评价。</w:t>
      </w:r>
    </w:p>
    <w:p w14:paraId="17461195">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（三）项目资金申报相符性</w:t>
      </w:r>
    </w:p>
    <w:p w14:paraId="3A63ED76">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项目对义务教育阶段家庭经济困难寄宿和非寄宿生实施生活补助。申报内容与具体实施内容相符。资金分配的原则及考虑因素：分学段及寄宿生、非寄宿生发放。小学：寄宿生每生每年1000元的资助标准，非寄宿生每生每年500元的资助标准；初中：寄宿生每生每年1250元的资助标准，非寄宿生每生每年625元的资助标准。</w:t>
      </w:r>
    </w:p>
    <w:p w14:paraId="1F49D1AA">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ab/>
      </w:r>
      <w:r>
        <w:rPr>
          <w:rFonts w:hint="default" w:ascii="Times New Roman" w:hAnsi="Times New Roman" w:eastAsia="方正黑体_GBK" w:cs="Times New Roman"/>
          <w:b w:val="0"/>
          <w:bCs/>
          <w:lang w:val="zh-CN" w:eastAsia="zh-CN"/>
        </w:rPr>
        <w:t>二、项目资金申报及使用情况</w:t>
      </w:r>
    </w:p>
    <w:p w14:paraId="76B73DBD">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（一）资金计划、到位及使用情况</w:t>
      </w:r>
    </w:p>
    <w:p w14:paraId="2EE571AA">
      <w:pPr>
        <w:keepNext w:val="0"/>
        <w:keepLines w:val="0"/>
        <w:pageBreakBefore w:val="0"/>
        <w:tabs>
          <w:tab w:val="left" w:pos="635"/>
        </w:tabs>
        <w:kinsoku/>
        <w:wordWrap/>
        <w:overflowPunct/>
        <w:topLinePunct w:val="0"/>
        <w:bidi w:val="0"/>
        <w:spacing w:line="240" w:lineRule="auto"/>
        <w:textAlignment w:val="auto"/>
        <w:rPr>
          <w:rFonts w:hint="default" w:ascii="Times New Roman" w:hAnsi="Times New Roman" w:eastAsia="方正仿宋_GBK" w:cs="Times New Roman"/>
          <w:b w:val="0"/>
          <w:bCs/>
          <w:sz w:val="32"/>
          <w:szCs w:val="32"/>
        </w:rPr>
      </w:pPr>
      <w:r>
        <w:rPr>
          <w:rFonts w:hint="default" w:ascii="Times New Roman" w:hAnsi="Times New Roman" w:eastAsia="仿宋_GB2312" w:cs="Times New Roman"/>
          <w:sz w:val="32"/>
          <w:szCs w:val="32"/>
        </w:rPr>
        <w:tab/>
      </w:r>
      <w:r>
        <w:rPr>
          <w:rFonts w:hint="default" w:ascii="Times New Roman" w:hAnsi="Times New Roman" w:eastAsia="方正仿宋_GBK" w:cs="Times New Roman"/>
          <w:b w:val="0"/>
          <w:bCs/>
          <w:sz w:val="32"/>
          <w:szCs w:val="32"/>
        </w:rPr>
        <w:t>1.资金计划及到位。根据2023年春、秋季家庭经济困难学生名额及资金分配表确定资助人数。按不同学段寄宿生及非寄宿生的标准核算资金，县财政局按文件确定资金分担。资助资金及时到位，按时间节点及时发放到受助学生的社保卡。</w:t>
      </w:r>
    </w:p>
    <w:p w14:paraId="32B8FE39">
      <w:pPr>
        <w:keepNext w:val="0"/>
        <w:keepLines w:val="0"/>
        <w:pageBreakBefore w:val="0"/>
        <w:tabs>
          <w:tab w:val="left" w:pos="714"/>
        </w:tabs>
        <w:kinsoku/>
        <w:wordWrap/>
        <w:overflowPunct/>
        <w:topLinePunct w:val="0"/>
        <w:bidi w:val="0"/>
        <w:spacing w:line="240" w:lineRule="auto"/>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ab/>
      </w:r>
      <w:r>
        <w:rPr>
          <w:rFonts w:hint="default" w:ascii="Times New Roman" w:hAnsi="Times New Roman" w:eastAsia="方正仿宋_GBK" w:cs="Times New Roman"/>
          <w:b w:val="0"/>
          <w:bCs/>
          <w:sz w:val="32"/>
          <w:szCs w:val="32"/>
        </w:rPr>
        <w:t>2.资金使用。资金用于家庭经济困难学生的学习和生活开支，资助标准按照寄宿生：小学寄宿生每生每年1000元，春季学期资助</w:t>
      </w:r>
      <w:r>
        <w:rPr>
          <w:rFonts w:hint="default" w:ascii="Times New Roman" w:hAnsi="Times New Roman" w:eastAsia="方正仿宋_GBK" w:cs="Times New Roman"/>
          <w:b w:val="0"/>
          <w:bCs/>
          <w:sz w:val="32"/>
          <w:szCs w:val="32"/>
          <w:lang w:val="en-US" w:eastAsia="zh-CN"/>
        </w:rPr>
        <w:t>1366</w:t>
      </w:r>
      <w:r>
        <w:rPr>
          <w:rFonts w:hint="default" w:ascii="Times New Roman" w:hAnsi="Times New Roman" w:eastAsia="方正仿宋_GBK" w:cs="Times New Roman"/>
          <w:b w:val="0"/>
          <w:bCs/>
          <w:sz w:val="32"/>
          <w:szCs w:val="32"/>
        </w:rPr>
        <w:t>人，资助资金</w:t>
      </w:r>
      <w:r>
        <w:rPr>
          <w:rFonts w:hint="default" w:ascii="Times New Roman" w:hAnsi="Times New Roman" w:eastAsia="方正仿宋_GBK" w:cs="Times New Roman"/>
          <w:b w:val="0"/>
          <w:bCs/>
          <w:sz w:val="32"/>
          <w:szCs w:val="32"/>
          <w:lang w:val="en-US" w:eastAsia="zh-CN"/>
        </w:rPr>
        <w:t>85.3750</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秋季学期资助1080人，资助资金67.8750万元</w:t>
      </w:r>
      <w:r>
        <w:rPr>
          <w:rFonts w:hint="default" w:ascii="Times New Roman" w:hAnsi="Times New Roman" w:eastAsia="方正仿宋_GBK" w:cs="Times New Roman"/>
          <w:b w:val="0"/>
          <w:bCs/>
          <w:sz w:val="32"/>
          <w:szCs w:val="32"/>
        </w:rPr>
        <w:t>；初中寄宿生每生每年1250元，春季学期资助</w:t>
      </w:r>
      <w:r>
        <w:rPr>
          <w:rFonts w:hint="default" w:ascii="Times New Roman" w:hAnsi="Times New Roman" w:eastAsia="方正仿宋_GBK" w:cs="Times New Roman"/>
          <w:b w:val="0"/>
          <w:bCs/>
          <w:sz w:val="32"/>
          <w:szCs w:val="32"/>
          <w:lang w:val="en-US" w:eastAsia="zh-CN"/>
        </w:rPr>
        <w:t>1941</w:t>
      </w:r>
      <w:r>
        <w:rPr>
          <w:rFonts w:hint="default" w:ascii="Times New Roman" w:hAnsi="Times New Roman" w:eastAsia="方正仿宋_GBK" w:cs="Times New Roman"/>
          <w:b w:val="0"/>
          <w:bCs/>
          <w:sz w:val="32"/>
          <w:szCs w:val="32"/>
        </w:rPr>
        <w:t>人，资助资金</w:t>
      </w:r>
      <w:r>
        <w:rPr>
          <w:rFonts w:hint="default" w:ascii="Times New Roman" w:hAnsi="Times New Roman" w:eastAsia="方正仿宋_GBK" w:cs="Times New Roman"/>
          <w:b w:val="0"/>
          <w:bCs/>
          <w:sz w:val="32"/>
          <w:szCs w:val="32"/>
          <w:lang w:val="en-US" w:eastAsia="zh-CN"/>
        </w:rPr>
        <w:t>145.5750</w:t>
      </w:r>
      <w:r>
        <w:rPr>
          <w:rFonts w:hint="default" w:ascii="Times New Roman" w:hAnsi="Times New Roman" w:eastAsia="方正仿宋_GBK" w:cs="Times New Roman"/>
          <w:b w:val="0"/>
          <w:bCs/>
          <w:sz w:val="32"/>
          <w:szCs w:val="32"/>
        </w:rPr>
        <w:t>万元；秋季学期资助</w:t>
      </w:r>
      <w:r>
        <w:rPr>
          <w:rFonts w:hint="default" w:ascii="Times New Roman" w:hAnsi="Times New Roman" w:eastAsia="方正仿宋_GBK" w:cs="Times New Roman"/>
          <w:b w:val="0"/>
          <w:bCs/>
          <w:sz w:val="32"/>
          <w:szCs w:val="32"/>
          <w:lang w:val="en-US" w:eastAsia="zh-CN"/>
        </w:rPr>
        <w:t>1885</w:t>
      </w:r>
      <w:r>
        <w:rPr>
          <w:rFonts w:hint="default" w:ascii="Times New Roman" w:hAnsi="Times New Roman" w:eastAsia="方正仿宋_GBK" w:cs="Times New Roman"/>
          <w:b w:val="0"/>
          <w:bCs/>
          <w:sz w:val="32"/>
          <w:szCs w:val="32"/>
        </w:rPr>
        <w:t>人，资助资金</w:t>
      </w:r>
      <w:r>
        <w:rPr>
          <w:rFonts w:hint="default" w:ascii="Times New Roman" w:hAnsi="Times New Roman" w:eastAsia="方正仿宋_GBK" w:cs="Times New Roman"/>
          <w:b w:val="0"/>
          <w:bCs/>
          <w:sz w:val="32"/>
          <w:szCs w:val="32"/>
          <w:lang w:val="en-US" w:eastAsia="zh-CN"/>
        </w:rPr>
        <w:t>141.3750</w:t>
      </w:r>
      <w:r>
        <w:rPr>
          <w:rFonts w:hint="default" w:ascii="Times New Roman" w:hAnsi="Times New Roman" w:eastAsia="方正仿宋_GBK" w:cs="Times New Roman"/>
          <w:b w:val="0"/>
          <w:bCs/>
          <w:sz w:val="32"/>
          <w:szCs w:val="32"/>
        </w:rPr>
        <w:t>万元。非寄宿生：小学每生每年500元，春季学期资助</w:t>
      </w:r>
      <w:r>
        <w:rPr>
          <w:rFonts w:hint="default" w:ascii="Times New Roman" w:hAnsi="Times New Roman" w:eastAsia="方正仿宋_GBK" w:cs="Times New Roman"/>
          <w:b w:val="0"/>
          <w:bCs/>
          <w:sz w:val="32"/>
          <w:szCs w:val="32"/>
          <w:lang w:val="en-US" w:eastAsia="zh-CN"/>
        </w:rPr>
        <w:t>1519</w:t>
      </w:r>
      <w:r>
        <w:rPr>
          <w:rFonts w:hint="default" w:ascii="Times New Roman" w:hAnsi="Times New Roman" w:eastAsia="方正仿宋_GBK" w:cs="Times New Roman"/>
          <w:b w:val="0"/>
          <w:bCs/>
          <w:sz w:val="32"/>
          <w:szCs w:val="32"/>
        </w:rPr>
        <w:t>人，资助资金</w:t>
      </w:r>
      <w:r>
        <w:rPr>
          <w:rFonts w:hint="default" w:ascii="Times New Roman" w:hAnsi="Times New Roman" w:eastAsia="方正仿宋_GBK" w:cs="Times New Roman"/>
          <w:b w:val="0"/>
          <w:bCs/>
          <w:sz w:val="32"/>
          <w:szCs w:val="32"/>
          <w:lang w:val="en-US" w:eastAsia="zh-CN"/>
        </w:rPr>
        <w:t>47.46875</w:t>
      </w:r>
      <w:r>
        <w:rPr>
          <w:rFonts w:hint="default" w:ascii="Times New Roman" w:hAnsi="Times New Roman" w:eastAsia="方正仿宋_GBK" w:cs="Times New Roman"/>
          <w:b w:val="0"/>
          <w:bCs/>
          <w:sz w:val="32"/>
          <w:szCs w:val="32"/>
        </w:rPr>
        <w:t>万元，秋季学期资助</w:t>
      </w:r>
      <w:r>
        <w:rPr>
          <w:rFonts w:hint="default" w:ascii="Times New Roman" w:hAnsi="Times New Roman" w:eastAsia="方正仿宋_GBK" w:cs="Times New Roman"/>
          <w:b w:val="0"/>
          <w:bCs/>
          <w:sz w:val="32"/>
          <w:szCs w:val="32"/>
          <w:lang w:val="en-US" w:eastAsia="zh-CN"/>
        </w:rPr>
        <w:t>1539</w:t>
      </w:r>
      <w:r>
        <w:rPr>
          <w:rFonts w:hint="default" w:ascii="Times New Roman" w:hAnsi="Times New Roman" w:eastAsia="方正仿宋_GBK" w:cs="Times New Roman"/>
          <w:b w:val="0"/>
          <w:bCs/>
          <w:sz w:val="32"/>
          <w:szCs w:val="32"/>
        </w:rPr>
        <w:t>人，资助资金</w:t>
      </w:r>
      <w:r>
        <w:rPr>
          <w:rFonts w:hint="default" w:ascii="Times New Roman" w:hAnsi="Times New Roman" w:eastAsia="方正仿宋_GBK" w:cs="Times New Roman"/>
          <w:b w:val="0"/>
          <w:bCs/>
          <w:sz w:val="32"/>
          <w:szCs w:val="32"/>
          <w:lang w:val="en-US" w:eastAsia="zh-CN"/>
        </w:rPr>
        <w:t>48.09375</w:t>
      </w:r>
      <w:r>
        <w:rPr>
          <w:rFonts w:hint="default" w:ascii="Times New Roman" w:hAnsi="Times New Roman" w:eastAsia="方正仿宋_GBK" w:cs="Times New Roman"/>
          <w:b w:val="0"/>
          <w:bCs/>
          <w:sz w:val="32"/>
          <w:szCs w:val="32"/>
        </w:rPr>
        <w:t>万元；初中非寄宿生每生每年625元，春季学期资助4</w:t>
      </w:r>
      <w:r>
        <w:rPr>
          <w:rFonts w:hint="default" w:ascii="Times New Roman" w:hAnsi="Times New Roman" w:eastAsia="方正仿宋_GBK" w:cs="Times New Roman"/>
          <w:b w:val="0"/>
          <w:bCs/>
          <w:sz w:val="32"/>
          <w:szCs w:val="32"/>
          <w:lang w:val="en-US" w:eastAsia="zh-CN"/>
        </w:rPr>
        <w:t>01</w:t>
      </w:r>
      <w:r>
        <w:rPr>
          <w:rFonts w:hint="default" w:ascii="Times New Roman" w:hAnsi="Times New Roman" w:eastAsia="方正仿宋_GBK" w:cs="Times New Roman"/>
          <w:b w:val="0"/>
          <w:bCs/>
          <w:sz w:val="32"/>
          <w:szCs w:val="32"/>
        </w:rPr>
        <w:t>人，资助资金</w:t>
      </w:r>
      <w:r>
        <w:rPr>
          <w:rFonts w:hint="default" w:ascii="Times New Roman" w:hAnsi="Times New Roman" w:eastAsia="方正仿宋_GBK" w:cs="Times New Roman"/>
          <w:b w:val="0"/>
          <w:bCs/>
          <w:sz w:val="32"/>
          <w:szCs w:val="32"/>
          <w:lang w:val="en-US" w:eastAsia="zh-CN"/>
        </w:rPr>
        <w:t>15.0375</w:t>
      </w:r>
      <w:r>
        <w:rPr>
          <w:rFonts w:hint="default" w:ascii="Times New Roman" w:hAnsi="Times New Roman" w:eastAsia="方正仿宋_GBK" w:cs="Times New Roman"/>
          <w:b w:val="0"/>
          <w:bCs/>
          <w:sz w:val="32"/>
          <w:szCs w:val="32"/>
        </w:rPr>
        <w:t>万元，秋季学期资助</w:t>
      </w:r>
      <w:r>
        <w:rPr>
          <w:rFonts w:hint="default" w:ascii="Times New Roman" w:hAnsi="Times New Roman" w:eastAsia="方正仿宋_GBK" w:cs="Times New Roman"/>
          <w:b w:val="0"/>
          <w:bCs/>
          <w:sz w:val="32"/>
          <w:szCs w:val="32"/>
          <w:lang w:val="en-US" w:eastAsia="zh-CN"/>
        </w:rPr>
        <w:t>575</w:t>
      </w:r>
      <w:r>
        <w:rPr>
          <w:rFonts w:hint="default" w:ascii="Times New Roman" w:hAnsi="Times New Roman" w:eastAsia="方正仿宋_GBK" w:cs="Times New Roman"/>
          <w:b w:val="0"/>
          <w:bCs/>
          <w:sz w:val="32"/>
          <w:szCs w:val="32"/>
        </w:rPr>
        <w:t>人，资助资金</w:t>
      </w:r>
      <w:r>
        <w:rPr>
          <w:rFonts w:hint="default" w:ascii="Times New Roman" w:hAnsi="Times New Roman" w:eastAsia="方正仿宋_GBK" w:cs="Times New Roman"/>
          <w:b w:val="0"/>
          <w:bCs/>
          <w:sz w:val="32"/>
          <w:szCs w:val="32"/>
          <w:lang w:val="en-US" w:eastAsia="zh-CN"/>
        </w:rPr>
        <w:t>72.35625</w:t>
      </w:r>
      <w:r>
        <w:rPr>
          <w:rFonts w:hint="default" w:ascii="Times New Roman" w:hAnsi="Times New Roman" w:eastAsia="方正仿宋_GBK" w:cs="Times New Roman"/>
          <w:b w:val="0"/>
          <w:bCs/>
          <w:sz w:val="32"/>
          <w:szCs w:val="32"/>
        </w:rPr>
        <w:t>万元。202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年应发资金</w:t>
      </w:r>
      <w:r>
        <w:rPr>
          <w:rFonts w:hint="default" w:ascii="Times New Roman" w:hAnsi="Times New Roman" w:eastAsia="方正仿宋_GBK" w:cs="Times New Roman"/>
          <w:b w:val="0"/>
          <w:bCs/>
          <w:sz w:val="32"/>
          <w:szCs w:val="32"/>
          <w:lang w:val="en-US" w:eastAsia="zh-CN"/>
        </w:rPr>
        <w:t>572.3625</w:t>
      </w:r>
      <w:r>
        <w:rPr>
          <w:rFonts w:hint="default" w:ascii="Times New Roman" w:hAnsi="Times New Roman" w:eastAsia="方正仿宋_GBK" w:cs="Times New Roman"/>
          <w:b w:val="0"/>
          <w:bCs/>
          <w:sz w:val="32"/>
          <w:szCs w:val="32"/>
        </w:rPr>
        <w:t>万元，实际拨付资金</w:t>
      </w:r>
      <w:r>
        <w:rPr>
          <w:rFonts w:hint="default" w:ascii="Times New Roman" w:hAnsi="Times New Roman" w:eastAsia="方正仿宋_GBK" w:cs="Times New Roman"/>
          <w:b w:val="0"/>
          <w:bCs/>
          <w:sz w:val="32"/>
          <w:szCs w:val="32"/>
          <w:lang w:val="en-US" w:eastAsia="zh-CN"/>
        </w:rPr>
        <w:t>572.3625</w:t>
      </w:r>
      <w:r>
        <w:rPr>
          <w:rFonts w:hint="default" w:ascii="Times New Roman" w:hAnsi="Times New Roman" w:eastAsia="方正仿宋_GBK" w:cs="Times New Roman"/>
          <w:b w:val="0"/>
          <w:bCs/>
          <w:sz w:val="32"/>
          <w:szCs w:val="32"/>
        </w:rPr>
        <w:t>万元，实际发放率100%。</w:t>
      </w:r>
    </w:p>
    <w:p w14:paraId="5A7EF4AC">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（二）项目财务管理情况</w:t>
      </w:r>
    </w:p>
    <w:p w14:paraId="33FBFC29">
      <w:pPr>
        <w:keepNext w:val="0"/>
        <w:keepLines w:val="0"/>
        <w:pageBreakBefore w:val="0"/>
        <w:tabs>
          <w:tab w:val="left" w:pos="639"/>
        </w:tabs>
        <w:kinsoku/>
        <w:wordWrap/>
        <w:overflowPunct/>
        <w:topLinePunct w:val="0"/>
        <w:bidi w:val="0"/>
        <w:spacing w:line="240" w:lineRule="auto"/>
        <w:textAlignment w:val="auto"/>
        <w:rPr>
          <w:rFonts w:hint="default" w:ascii="Times New Roman" w:hAnsi="Times New Roman" w:eastAsia="方正仿宋_GBK" w:cs="Times New Roman"/>
          <w:b w:val="0"/>
          <w:bCs/>
          <w:sz w:val="32"/>
          <w:szCs w:val="32"/>
        </w:rPr>
      </w:pPr>
      <w:r>
        <w:rPr>
          <w:rFonts w:hint="default" w:ascii="Times New Roman" w:hAnsi="Times New Roman" w:eastAsia="仿宋_GB2312" w:cs="Times New Roman"/>
          <w:sz w:val="32"/>
          <w:szCs w:val="32"/>
        </w:rPr>
        <w:tab/>
      </w:r>
      <w:r>
        <w:rPr>
          <w:rFonts w:hint="default" w:ascii="Times New Roman" w:hAnsi="Times New Roman" w:eastAsia="方正仿宋_GBK" w:cs="Times New Roman"/>
          <w:b w:val="0"/>
          <w:bCs/>
          <w:sz w:val="32"/>
          <w:szCs w:val="32"/>
        </w:rPr>
        <w:t>财务管理制度健全，严格按照财经纪律和财务管理制度进行资金发放，按时间节点发放资金，资金核算按相关文件和学校评定的人数进行核算。</w:t>
      </w:r>
    </w:p>
    <w:p w14:paraId="0698ABE3">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（三）项目组织实施情况</w:t>
      </w:r>
    </w:p>
    <w:p w14:paraId="3EC66577">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1.项目组织架构及实施流程。</w:t>
      </w:r>
    </w:p>
    <w:p w14:paraId="1DA76E94">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中央、省级预算，学校评定、公示，主管部门审核并核算资金，形成请示文件上报县委县政府，县财政局审核后划拨资金，通过金保网“一卡通”集中发放。</w:t>
      </w:r>
    </w:p>
    <w:p w14:paraId="5EC17669">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ab/>
      </w:r>
      <w:r>
        <w:rPr>
          <w:rFonts w:hint="default" w:ascii="Times New Roman" w:hAnsi="Times New Roman" w:eastAsia="方正仿宋_GBK" w:cs="Times New Roman"/>
          <w:b w:val="0"/>
          <w:bCs/>
          <w:sz w:val="32"/>
          <w:szCs w:val="32"/>
        </w:rPr>
        <w:t>2.项目管理情况。</w:t>
      </w:r>
    </w:p>
    <w:p w14:paraId="0EB4600F">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ab/>
      </w:r>
      <w:r>
        <w:rPr>
          <w:rFonts w:hint="default" w:ascii="Times New Roman" w:hAnsi="Times New Roman" w:eastAsia="方正仿宋_GBK" w:cs="Times New Roman"/>
          <w:b w:val="0"/>
          <w:bCs/>
          <w:sz w:val="32"/>
          <w:szCs w:val="32"/>
        </w:rPr>
        <w:t>根据《财政部 教育部关于印发&lt;城乡义务教育补助经费管理办法&gt;的通知》财教[2019]121号文件的要求严格执行。</w:t>
      </w:r>
    </w:p>
    <w:p w14:paraId="18BCB5F6">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3.项目监管情况。</w:t>
      </w:r>
    </w:p>
    <w:p w14:paraId="68ED652A">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首先核实受助学生的学籍，确保受助学生必须是在藉在校就读的学生。其次审核学生申请资料，确保“精准资助”和资助分档的合理性。再通过金保网“一卡通”集中发放，确保资助资金能及时、准确的发放到受助学生的社保卡。</w:t>
      </w:r>
    </w:p>
    <w:p w14:paraId="26152139">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三、项目绩效情况</w:t>
      </w:r>
    </w:p>
    <w:p w14:paraId="562D11A3">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（一）项目完成情况</w:t>
      </w:r>
    </w:p>
    <w:p w14:paraId="34D6B07B">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年义务教育家庭经济困难学生生活补助资助资金年度指标</w:t>
      </w:r>
      <w:r>
        <w:rPr>
          <w:rFonts w:hint="default" w:ascii="Times New Roman" w:hAnsi="Times New Roman" w:eastAsia="方正仿宋_GBK" w:cs="Times New Roman"/>
          <w:b w:val="0"/>
          <w:bCs/>
          <w:sz w:val="32"/>
          <w:szCs w:val="32"/>
          <w:lang w:val="en-US" w:eastAsia="zh-CN"/>
        </w:rPr>
        <w:t>572.3625</w:t>
      </w:r>
      <w:r>
        <w:rPr>
          <w:rFonts w:hint="default" w:ascii="Times New Roman" w:hAnsi="Times New Roman" w:eastAsia="方正仿宋_GBK" w:cs="Times New Roman"/>
          <w:b w:val="0"/>
          <w:bCs/>
          <w:sz w:val="32"/>
          <w:szCs w:val="32"/>
        </w:rPr>
        <w:t>万元，实际完成</w:t>
      </w:r>
      <w:r>
        <w:rPr>
          <w:rFonts w:hint="default" w:ascii="Times New Roman" w:hAnsi="Times New Roman" w:eastAsia="方正仿宋_GBK" w:cs="Times New Roman"/>
          <w:b w:val="0"/>
          <w:bCs/>
          <w:sz w:val="32"/>
          <w:szCs w:val="32"/>
          <w:lang w:val="en-US" w:eastAsia="zh-CN"/>
        </w:rPr>
        <w:t>572.3625</w:t>
      </w:r>
      <w:r>
        <w:rPr>
          <w:rFonts w:hint="default" w:ascii="Times New Roman" w:hAnsi="Times New Roman" w:eastAsia="方正仿宋_GBK" w:cs="Times New Roman"/>
          <w:b w:val="0"/>
          <w:bCs/>
          <w:sz w:val="32"/>
          <w:szCs w:val="32"/>
        </w:rPr>
        <w:t>万元，完成率100%。质量指标：建档立卡学生占比年度指标值40%，实际完成40.39%，完成率101%。时效指标：资金及时发放率100%。资助学生名单公示时间7天。资助标准小学：寄宿生每生每年1000元，非寄宿生每生每年500元；初中：寄宿生每生每年1250元，非寄宿生每生每年625元。</w:t>
      </w:r>
    </w:p>
    <w:p w14:paraId="3F27A38D">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（二）项目效益情况</w:t>
      </w:r>
    </w:p>
    <w:p w14:paraId="4609F6C7">
      <w:pPr>
        <w:keepNext w:val="0"/>
        <w:keepLines w:val="0"/>
        <w:pageBreakBefore w:val="0"/>
        <w:widowControl w:val="0"/>
        <w:tabs>
          <w:tab w:val="left" w:pos="639"/>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社会效益指标：政策知晓率100%。可持续影响指标：义务教育阶段家庭经济困难学生生活费补助发放 （初中）3年；义务教育阶段家庭经济困难学生生活费补助发放 （小学）6年。满意度指标：受助学生家长满意度100%，受助学生满意度100%。</w:t>
      </w:r>
    </w:p>
    <w:p w14:paraId="628FA9AF">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640" w:firstLineChars="200"/>
        <w:textAlignment w:val="auto"/>
        <w:rPr>
          <w:rFonts w:hint="default" w:ascii="Times New Roman" w:hAnsi="Times New Roman" w:eastAsia="方正黑体_GBK" w:cs="Times New Roman"/>
          <w:b w:val="0"/>
          <w:bCs/>
          <w:lang w:val="zh-CN" w:eastAsia="zh-CN"/>
        </w:rPr>
      </w:pPr>
      <w:r>
        <w:rPr>
          <w:rFonts w:hint="default" w:ascii="Times New Roman" w:hAnsi="Times New Roman" w:eastAsia="方正黑体_GBK" w:cs="Times New Roman"/>
          <w:b w:val="0"/>
          <w:bCs/>
          <w:lang w:val="zh-CN" w:eastAsia="zh-CN"/>
        </w:rPr>
        <w:tab/>
      </w:r>
      <w:r>
        <w:rPr>
          <w:rFonts w:hint="default" w:ascii="Times New Roman" w:hAnsi="Times New Roman" w:eastAsia="方正黑体_GBK" w:cs="Times New Roman"/>
          <w:b w:val="0"/>
          <w:bCs/>
          <w:lang w:val="zh-CN" w:eastAsia="zh-CN"/>
        </w:rPr>
        <w:t>四、问题及建议</w:t>
      </w:r>
    </w:p>
    <w:p w14:paraId="6995712A">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（一）存在的问题</w:t>
      </w:r>
    </w:p>
    <w:p w14:paraId="1C00B677">
      <w:pPr>
        <w:keepNext w:val="0"/>
        <w:keepLines w:val="0"/>
        <w:pageBreakBefore w:val="0"/>
        <w:tabs>
          <w:tab w:val="left" w:pos="902"/>
        </w:tabs>
        <w:kinsoku/>
        <w:wordWrap/>
        <w:overflowPunct/>
        <w:topLinePunct w:val="0"/>
        <w:bidi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方正仿宋_GBK" w:cs="Times New Roman"/>
          <w:b w:val="0"/>
          <w:bCs/>
          <w:sz w:val="32"/>
          <w:szCs w:val="32"/>
        </w:rPr>
        <w:t>通过金保网“一卡通”发放过程中，存在发放失败的情况。主要是由于学生的卡挂失，长时间不用被银行冻结</w:t>
      </w:r>
      <w:r>
        <w:rPr>
          <w:rFonts w:hint="default" w:ascii="Times New Roman" w:hAnsi="Times New Roman" w:eastAsia="仿宋_GB2312" w:cs="Times New Roman"/>
          <w:sz w:val="32"/>
          <w:szCs w:val="32"/>
        </w:rPr>
        <w:t>。</w:t>
      </w:r>
    </w:p>
    <w:p w14:paraId="4DB1BCFF">
      <w:pPr>
        <w:keepNext w:val="0"/>
        <w:keepLines w:val="0"/>
        <w:pageBreakBefore w:val="0"/>
        <w:numPr>
          <w:ilvl w:val="0"/>
          <w:numId w:val="0"/>
        </w:numPr>
        <w:kinsoku/>
        <w:wordWrap/>
        <w:overflowPunct/>
        <w:topLinePunct w:val="0"/>
        <w:bidi w:val="0"/>
        <w:spacing w:line="240" w:lineRule="auto"/>
        <w:ind w:firstLine="643" w:firstLineChars="200"/>
        <w:textAlignment w:val="auto"/>
        <w:rPr>
          <w:rFonts w:hint="default" w:ascii="Times New Roman" w:hAnsi="Times New Roman" w:eastAsia="方正楷体_GBK" w:cs="Times New Roman"/>
          <w:b/>
          <w:bCs w:val="0"/>
          <w:kern w:val="2"/>
          <w:sz w:val="32"/>
          <w:szCs w:val="32"/>
          <w:lang w:val="zh-CN" w:eastAsia="zh-CN" w:bidi="ar-SA"/>
        </w:rPr>
      </w:pPr>
      <w:r>
        <w:rPr>
          <w:rFonts w:hint="default" w:ascii="Times New Roman" w:hAnsi="Times New Roman" w:eastAsia="方正楷体_GBK" w:cs="Times New Roman"/>
          <w:b/>
          <w:bCs w:val="0"/>
          <w:kern w:val="2"/>
          <w:sz w:val="32"/>
          <w:szCs w:val="32"/>
          <w:lang w:val="zh-CN" w:eastAsia="zh-CN" w:bidi="ar-SA"/>
        </w:rPr>
        <w:t>（二）相关建议</w:t>
      </w:r>
    </w:p>
    <w:p w14:paraId="39E06159">
      <w:pPr>
        <w:keepNext w:val="0"/>
        <w:keepLines w:val="0"/>
        <w:pageBreakBefore w:val="0"/>
        <w:widowControl w:val="0"/>
        <w:tabs>
          <w:tab w:val="left" w:pos="902"/>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1.加强学校和银行联系沟通，对学生办理的“一卡通”银行卡实行特殊处理。</w:t>
      </w:r>
    </w:p>
    <w:p w14:paraId="6A8E7866">
      <w:pPr>
        <w:keepNext w:val="0"/>
        <w:keepLines w:val="0"/>
        <w:pageBreakBefore w:val="0"/>
        <w:widowControl w:val="0"/>
        <w:tabs>
          <w:tab w:val="left" w:pos="902"/>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2.加强学校和相关学生的联系，对“一卡通”银行卡实行有效管理。</w:t>
      </w:r>
    </w:p>
    <w:p w14:paraId="1E542C9F">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7E305501">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0F7C8B95">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748572FE">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098813E3">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5A14F57D">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29AEF77E">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300F4D2E">
      <w:pPr>
        <w:keepNext w:val="0"/>
        <w:keepLines w:val="0"/>
        <w:pageBreakBefore w:val="0"/>
        <w:kinsoku/>
        <w:wordWrap/>
        <w:overflowPunct/>
        <w:topLinePunct w:val="0"/>
        <w:bidi w:val="0"/>
        <w:spacing w:line="240" w:lineRule="auto"/>
        <w:textAlignment w:val="auto"/>
        <w:rPr>
          <w:rFonts w:hint="default" w:ascii="Times New Roman" w:hAnsi="Times New Roman" w:eastAsia="黑体" w:cs="Times New Roman"/>
          <w:sz w:val="44"/>
          <w:szCs w:val="44"/>
        </w:rPr>
      </w:pPr>
    </w:p>
    <w:p w14:paraId="175C0094">
      <w:pPr>
        <w:widowControl/>
        <w:spacing w:line="578" w:lineRule="exact"/>
        <w:contextualSpacing/>
        <w:jc w:val="center"/>
        <w:rPr>
          <w:rFonts w:hint="default" w:ascii="Times New Roman" w:hAnsi="Times New Roman" w:eastAsia="方正小标宋_GBK" w:cs="Times New Roman"/>
          <w:sz w:val="44"/>
          <w:szCs w:val="44"/>
        </w:rPr>
      </w:pPr>
    </w:p>
    <w:p w14:paraId="22C199C1">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黑体" w:cs="Times New Roman"/>
          <w:sz w:val="44"/>
          <w:szCs w:val="44"/>
        </w:rPr>
      </w:pPr>
      <w:r>
        <w:rPr>
          <w:rFonts w:hint="default" w:ascii="Times New Roman" w:hAnsi="Times New Roman" w:eastAsia="仿宋_GB2312" w:cs="Times New Roman"/>
          <w:kern w:val="0"/>
          <w:sz w:val="32"/>
          <w:szCs w:val="32"/>
        </w:rPr>
        <w:br w:type="page"/>
      </w:r>
    </w:p>
    <w:p w14:paraId="16AB7F36">
      <w:pPr>
        <w:pStyle w:val="5"/>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_GBK" w:cs="Times New Roman"/>
          <w:b/>
          <w:bCs w:val="0"/>
        </w:rPr>
        <w:t>第五部分 附表</w:t>
      </w:r>
      <w:bookmarkEnd w:id="77"/>
      <w:bookmarkEnd w:id="83"/>
      <w:bookmarkStart w:id="84" w:name="_Toc15396619"/>
    </w:p>
    <w:p w14:paraId="7AAD70AE">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r>
        <w:rPr>
          <w:rFonts w:hint="default" w:ascii="Times New Roman" w:hAnsi="Times New Roman" w:eastAsia="方正黑体_GBK" w:cs="Times New Roman"/>
          <w:b w:val="0"/>
          <w:bCs/>
          <w:lang w:val="en-US" w:eastAsia="zh-CN"/>
        </w:rPr>
        <w:t>一、收入支出决算总表</w:t>
      </w:r>
      <w:bookmarkEnd w:id="84"/>
    </w:p>
    <w:p w14:paraId="7862288A">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85" w:name="_Toc15396620"/>
      <w:r>
        <w:rPr>
          <w:rFonts w:hint="default" w:ascii="Times New Roman" w:hAnsi="Times New Roman" w:eastAsia="方正黑体_GBK" w:cs="Times New Roman"/>
          <w:b w:val="0"/>
          <w:bCs/>
          <w:lang w:val="en-US" w:eastAsia="zh-CN"/>
        </w:rPr>
        <w:t>二、收入决算表</w:t>
      </w:r>
      <w:bookmarkEnd w:id="85"/>
    </w:p>
    <w:p w14:paraId="218A7227">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86" w:name="_Toc15396621"/>
      <w:r>
        <w:rPr>
          <w:rFonts w:hint="default" w:ascii="Times New Roman" w:hAnsi="Times New Roman" w:eastAsia="方正黑体_GBK" w:cs="Times New Roman"/>
          <w:b w:val="0"/>
          <w:bCs/>
          <w:lang w:val="en-US" w:eastAsia="zh-CN"/>
        </w:rPr>
        <w:t>三、支出决算表</w:t>
      </w:r>
      <w:bookmarkEnd w:id="86"/>
    </w:p>
    <w:p w14:paraId="0FB9084C">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87" w:name="_Toc15396622"/>
      <w:r>
        <w:rPr>
          <w:rFonts w:hint="default" w:ascii="Times New Roman" w:hAnsi="Times New Roman" w:eastAsia="方正黑体_GBK" w:cs="Times New Roman"/>
          <w:b w:val="0"/>
          <w:bCs/>
          <w:lang w:val="en-US" w:eastAsia="zh-CN"/>
        </w:rPr>
        <w:t>四、财政拨款收入支出决算总表</w:t>
      </w:r>
      <w:bookmarkEnd w:id="87"/>
    </w:p>
    <w:p w14:paraId="4C6E7D23">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88" w:name="_Toc15396623"/>
      <w:r>
        <w:rPr>
          <w:rFonts w:hint="default" w:ascii="Times New Roman" w:hAnsi="Times New Roman" w:eastAsia="方正黑体_GBK" w:cs="Times New Roman"/>
          <w:b w:val="0"/>
          <w:bCs/>
          <w:lang w:val="en-US" w:eastAsia="zh-CN"/>
        </w:rPr>
        <w:t>五、财政拨款支出决算明细表</w:t>
      </w:r>
      <w:bookmarkEnd w:id="88"/>
      <w:bookmarkStart w:id="89" w:name="_Toc15396624"/>
    </w:p>
    <w:p w14:paraId="7F5B3362">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r>
        <w:rPr>
          <w:rFonts w:hint="default" w:ascii="Times New Roman" w:hAnsi="Times New Roman" w:eastAsia="方正黑体_GBK" w:cs="Times New Roman"/>
          <w:b w:val="0"/>
          <w:bCs/>
          <w:lang w:val="en-US" w:eastAsia="zh-CN"/>
        </w:rPr>
        <w:t>六、一般公共预算财政拨款支出决算表</w:t>
      </w:r>
      <w:bookmarkEnd w:id="89"/>
    </w:p>
    <w:p w14:paraId="635A1DD3">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0" w:name="_Toc15396625"/>
      <w:r>
        <w:rPr>
          <w:rFonts w:hint="default" w:ascii="Times New Roman" w:hAnsi="Times New Roman" w:eastAsia="方正黑体_GBK" w:cs="Times New Roman"/>
          <w:b w:val="0"/>
          <w:bCs/>
          <w:lang w:val="en-US" w:eastAsia="zh-CN"/>
        </w:rPr>
        <w:t>七、一般公共预算财政拨款支出决算明细表</w:t>
      </w:r>
      <w:bookmarkEnd w:id="90"/>
    </w:p>
    <w:p w14:paraId="7840A8A7">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1" w:name="_Toc15396626"/>
      <w:r>
        <w:rPr>
          <w:rFonts w:hint="default" w:ascii="Times New Roman" w:hAnsi="Times New Roman" w:eastAsia="方正黑体_GBK" w:cs="Times New Roman"/>
          <w:b w:val="0"/>
          <w:bCs/>
          <w:lang w:val="en-US" w:eastAsia="zh-CN"/>
        </w:rPr>
        <w:t>八、一般公共预算财政拨款基本支出决算表</w:t>
      </w:r>
      <w:bookmarkEnd w:id="91"/>
    </w:p>
    <w:p w14:paraId="64C8E28B">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2" w:name="_Toc15396627"/>
      <w:r>
        <w:rPr>
          <w:rFonts w:hint="default" w:ascii="Times New Roman" w:hAnsi="Times New Roman" w:eastAsia="方正黑体_GBK" w:cs="Times New Roman"/>
          <w:b w:val="0"/>
          <w:bCs/>
          <w:lang w:val="en-US" w:eastAsia="zh-CN"/>
        </w:rPr>
        <w:t>九、一般公共预算财政拨款项目支出决算表</w:t>
      </w:r>
      <w:bookmarkEnd w:id="92"/>
    </w:p>
    <w:p w14:paraId="492823CF">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3" w:name="_Toc15396628"/>
      <w:r>
        <w:rPr>
          <w:rFonts w:hint="default" w:ascii="Times New Roman" w:hAnsi="Times New Roman" w:eastAsia="方正黑体_GBK" w:cs="Times New Roman"/>
          <w:b w:val="0"/>
          <w:bCs/>
          <w:lang w:val="en-US" w:eastAsia="zh-CN"/>
        </w:rPr>
        <w:t>十、</w:t>
      </w:r>
      <w:bookmarkEnd w:id="93"/>
      <w:r>
        <w:rPr>
          <w:rFonts w:hint="default" w:ascii="Times New Roman" w:hAnsi="Times New Roman" w:eastAsia="方正黑体_GBK" w:cs="Times New Roman"/>
          <w:b w:val="0"/>
          <w:bCs/>
          <w:lang w:val="en-US" w:eastAsia="zh-CN"/>
        </w:rPr>
        <w:t>政府性基金预算财政拨款收入支出决算表</w:t>
      </w:r>
    </w:p>
    <w:p w14:paraId="05515F60">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4" w:name="_Toc15396629"/>
      <w:r>
        <w:rPr>
          <w:rFonts w:hint="default" w:ascii="Times New Roman" w:hAnsi="Times New Roman" w:eastAsia="方正黑体_GBK" w:cs="Times New Roman"/>
          <w:b w:val="0"/>
          <w:bCs/>
          <w:lang w:val="en-US" w:eastAsia="zh-CN"/>
        </w:rPr>
        <w:t>十一、</w:t>
      </w:r>
      <w:bookmarkEnd w:id="94"/>
      <w:r>
        <w:rPr>
          <w:rFonts w:hint="default" w:ascii="Times New Roman" w:hAnsi="Times New Roman" w:eastAsia="方正黑体_GBK" w:cs="Times New Roman"/>
          <w:b w:val="0"/>
          <w:bCs/>
          <w:lang w:val="en-US" w:eastAsia="zh-CN"/>
        </w:rPr>
        <w:t>国有资本经营预算财政拨款收入支出决算表</w:t>
      </w:r>
    </w:p>
    <w:p w14:paraId="1EC4D8AC">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5" w:name="_Toc15396630"/>
      <w:r>
        <w:rPr>
          <w:rFonts w:hint="default" w:ascii="Times New Roman" w:hAnsi="Times New Roman" w:eastAsia="方正黑体_GBK" w:cs="Times New Roman"/>
          <w:b w:val="0"/>
          <w:bCs/>
          <w:lang w:val="en-US" w:eastAsia="zh-CN"/>
        </w:rPr>
        <w:t>十二、</w:t>
      </w:r>
      <w:bookmarkEnd w:id="95"/>
      <w:r>
        <w:rPr>
          <w:rFonts w:hint="default" w:ascii="Times New Roman" w:hAnsi="Times New Roman" w:eastAsia="方正黑体_GBK" w:cs="Times New Roman"/>
          <w:b w:val="0"/>
          <w:bCs/>
          <w:lang w:val="en-US" w:eastAsia="zh-CN"/>
        </w:rPr>
        <w:t>国有资本经营预算财政拨款支出决算表</w:t>
      </w:r>
    </w:p>
    <w:p w14:paraId="579B4DC3">
      <w:pPr>
        <w:pStyle w:val="6"/>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黑体_GBK" w:cs="Times New Roman"/>
          <w:b w:val="0"/>
          <w:bCs/>
          <w:lang w:val="en-US" w:eastAsia="zh-CN"/>
        </w:rPr>
      </w:pPr>
      <w:bookmarkStart w:id="96" w:name="_Toc15396631"/>
      <w:r>
        <w:rPr>
          <w:rFonts w:hint="default" w:ascii="Times New Roman" w:hAnsi="Times New Roman" w:eastAsia="方正黑体_GBK" w:cs="Times New Roman"/>
          <w:b w:val="0"/>
          <w:bCs/>
          <w:lang w:val="en-US" w:eastAsia="zh-CN"/>
        </w:rPr>
        <w:t>十三、</w:t>
      </w:r>
      <w:bookmarkEnd w:id="96"/>
      <w:r>
        <w:rPr>
          <w:rFonts w:hint="default" w:ascii="Times New Roman" w:hAnsi="Times New Roman" w:eastAsia="方正黑体_GBK" w:cs="Times New Roman"/>
          <w:b w:val="0"/>
          <w:bCs/>
          <w:lang w:val="en-US" w:eastAsia="zh-CN"/>
        </w:rPr>
        <w:t>财政拨款“三公”经费支出决算表</w:t>
      </w:r>
    </w:p>
    <w:p w14:paraId="15233DDE">
      <w:pPr>
        <w:rPr>
          <w:rFonts w:hint="default" w:ascii="Times New Roman" w:hAnsi="Times New Roman" w:cs="Times New Roma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C845">
    <w:pPr>
      <w:pStyle w:val="11"/>
      <w:jc w:val="center"/>
    </w:pPr>
  </w:p>
  <w:p w14:paraId="6625387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59B">
    <w:pPr>
      <w:pStyle w:val="11"/>
      <w:jc w:val="center"/>
    </w:pPr>
  </w:p>
  <w:p w14:paraId="62431F8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B17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787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65762"/>
    <w:multiLevelType w:val="singleLevel"/>
    <w:tmpl w:val="FC765762"/>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23011"/>
    <w:rsid w:val="021A5896"/>
    <w:rsid w:val="02FEBE30"/>
    <w:rsid w:val="032064E7"/>
    <w:rsid w:val="03393105"/>
    <w:rsid w:val="04916F1E"/>
    <w:rsid w:val="04926F71"/>
    <w:rsid w:val="061E35DE"/>
    <w:rsid w:val="066E0107"/>
    <w:rsid w:val="068A3C77"/>
    <w:rsid w:val="06E710CA"/>
    <w:rsid w:val="06ED5AF7"/>
    <w:rsid w:val="06F31889"/>
    <w:rsid w:val="0765056A"/>
    <w:rsid w:val="07996F6E"/>
    <w:rsid w:val="07DFD8BA"/>
    <w:rsid w:val="08C7781A"/>
    <w:rsid w:val="09322AD0"/>
    <w:rsid w:val="09867E8F"/>
    <w:rsid w:val="09A60DC8"/>
    <w:rsid w:val="0A2032A3"/>
    <w:rsid w:val="0CA8290A"/>
    <w:rsid w:val="0D35B1ED"/>
    <w:rsid w:val="0D6C40D7"/>
    <w:rsid w:val="0E252C04"/>
    <w:rsid w:val="0E254B6B"/>
    <w:rsid w:val="0F295A08"/>
    <w:rsid w:val="0F98263C"/>
    <w:rsid w:val="0FFF1232"/>
    <w:rsid w:val="101860EC"/>
    <w:rsid w:val="101F47CC"/>
    <w:rsid w:val="10C055FF"/>
    <w:rsid w:val="111156C1"/>
    <w:rsid w:val="11694EBD"/>
    <w:rsid w:val="11772AA4"/>
    <w:rsid w:val="118107EC"/>
    <w:rsid w:val="12A762DD"/>
    <w:rsid w:val="12E24EE2"/>
    <w:rsid w:val="13195B69"/>
    <w:rsid w:val="13824654"/>
    <w:rsid w:val="13D50BC4"/>
    <w:rsid w:val="14495172"/>
    <w:rsid w:val="14B17F78"/>
    <w:rsid w:val="159E5049"/>
    <w:rsid w:val="165E0673"/>
    <w:rsid w:val="169E79F7"/>
    <w:rsid w:val="16B831D5"/>
    <w:rsid w:val="16BB723D"/>
    <w:rsid w:val="17E50567"/>
    <w:rsid w:val="186504BB"/>
    <w:rsid w:val="19042678"/>
    <w:rsid w:val="191915B7"/>
    <w:rsid w:val="19A445FC"/>
    <w:rsid w:val="1A98475D"/>
    <w:rsid w:val="1B486183"/>
    <w:rsid w:val="1B860A5A"/>
    <w:rsid w:val="1BAD4F97"/>
    <w:rsid w:val="1BE8440E"/>
    <w:rsid w:val="1CC6347C"/>
    <w:rsid w:val="1D155CEE"/>
    <w:rsid w:val="1D1638FE"/>
    <w:rsid w:val="1E210532"/>
    <w:rsid w:val="1E312DEB"/>
    <w:rsid w:val="1E696B3C"/>
    <w:rsid w:val="1E740ACF"/>
    <w:rsid w:val="1FB355EB"/>
    <w:rsid w:val="1FF35744"/>
    <w:rsid w:val="1FF6BC77"/>
    <w:rsid w:val="20286583"/>
    <w:rsid w:val="209B4FA7"/>
    <w:rsid w:val="212C3E51"/>
    <w:rsid w:val="2186353C"/>
    <w:rsid w:val="21A4660B"/>
    <w:rsid w:val="227B0BEC"/>
    <w:rsid w:val="23860B96"/>
    <w:rsid w:val="240371BF"/>
    <w:rsid w:val="241906BD"/>
    <w:rsid w:val="244F3473"/>
    <w:rsid w:val="24C97D99"/>
    <w:rsid w:val="2531393D"/>
    <w:rsid w:val="2548391D"/>
    <w:rsid w:val="25A718F0"/>
    <w:rsid w:val="25B032A3"/>
    <w:rsid w:val="25BB59F6"/>
    <w:rsid w:val="260F557C"/>
    <w:rsid w:val="26970054"/>
    <w:rsid w:val="26B172D2"/>
    <w:rsid w:val="277B51EB"/>
    <w:rsid w:val="281408E2"/>
    <w:rsid w:val="28697739"/>
    <w:rsid w:val="29AE18A7"/>
    <w:rsid w:val="29C37F84"/>
    <w:rsid w:val="29CC61D1"/>
    <w:rsid w:val="29FD04D3"/>
    <w:rsid w:val="2A2D4EC2"/>
    <w:rsid w:val="2B31595B"/>
    <w:rsid w:val="2BFF7BC6"/>
    <w:rsid w:val="2C8A61B5"/>
    <w:rsid w:val="2DF04E50"/>
    <w:rsid w:val="2E586DFA"/>
    <w:rsid w:val="2F040D46"/>
    <w:rsid w:val="2F2148C9"/>
    <w:rsid w:val="2F6B035B"/>
    <w:rsid w:val="2FAE5751"/>
    <w:rsid w:val="2FB1A395"/>
    <w:rsid w:val="2FD9A7D8"/>
    <w:rsid w:val="2FDBF714"/>
    <w:rsid w:val="306B6744"/>
    <w:rsid w:val="30AB6865"/>
    <w:rsid w:val="30E46F60"/>
    <w:rsid w:val="3139239E"/>
    <w:rsid w:val="319F7F4E"/>
    <w:rsid w:val="31F14A27"/>
    <w:rsid w:val="3273368E"/>
    <w:rsid w:val="32BD1EF1"/>
    <w:rsid w:val="32EB591A"/>
    <w:rsid w:val="3304709D"/>
    <w:rsid w:val="33435AC0"/>
    <w:rsid w:val="339A4871"/>
    <w:rsid w:val="33A773CB"/>
    <w:rsid w:val="33B57CD6"/>
    <w:rsid w:val="34012F1B"/>
    <w:rsid w:val="34360E17"/>
    <w:rsid w:val="349D6851"/>
    <w:rsid w:val="358D0F0B"/>
    <w:rsid w:val="363A7049"/>
    <w:rsid w:val="36AA5135"/>
    <w:rsid w:val="36BE0DA7"/>
    <w:rsid w:val="376B6AA6"/>
    <w:rsid w:val="376D39B2"/>
    <w:rsid w:val="37A367C3"/>
    <w:rsid w:val="37E16F03"/>
    <w:rsid w:val="37F53A3B"/>
    <w:rsid w:val="382F62A9"/>
    <w:rsid w:val="388C0E59"/>
    <w:rsid w:val="389B6C89"/>
    <w:rsid w:val="38D17360"/>
    <w:rsid w:val="38D469F0"/>
    <w:rsid w:val="39627CCD"/>
    <w:rsid w:val="397BAF1F"/>
    <w:rsid w:val="3A3B2C9B"/>
    <w:rsid w:val="3A6A7A6C"/>
    <w:rsid w:val="3AB24F6F"/>
    <w:rsid w:val="3AB79AF3"/>
    <w:rsid w:val="3AE834C0"/>
    <w:rsid w:val="3B750477"/>
    <w:rsid w:val="3B7EF35A"/>
    <w:rsid w:val="3B9FDB6C"/>
    <w:rsid w:val="3BF5BC2F"/>
    <w:rsid w:val="3C616C4D"/>
    <w:rsid w:val="3CEBA265"/>
    <w:rsid w:val="3CFB49AC"/>
    <w:rsid w:val="3D7A6E34"/>
    <w:rsid w:val="3D98207C"/>
    <w:rsid w:val="3DBE5819"/>
    <w:rsid w:val="3DEE7CF3"/>
    <w:rsid w:val="3E5A1BA6"/>
    <w:rsid w:val="3E740A63"/>
    <w:rsid w:val="3E78745D"/>
    <w:rsid w:val="3EA64DEB"/>
    <w:rsid w:val="3EE17838"/>
    <w:rsid w:val="3F55381A"/>
    <w:rsid w:val="3F7D5B4C"/>
    <w:rsid w:val="3F7F7599"/>
    <w:rsid w:val="3F827606"/>
    <w:rsid w:val="3FF4CAE0"/>
    <w:rsid w:val="3FF7B227"/>
    <w:rsid w:val="423544BC"/>
    <w:rsid w:val="425863FC"/>
    <w:rsid w:val="436112E1"/>
    <w:rsid w:val="43AC4C52"/>
    <w:rsid w:val="43CC351F"/>
    <w:rsid w:val="44E268DA"/>
    <w:rsid w:val="450D13D7"/>
    <w:rsid w:val="45506656"/>
    <w:rsid w:val="45E31539"/>
    <w:rsid w:val="462211FB"/>
    <w:rsid w:val="46821C9A"/>
    <w:rsid w:val="46A16022"/>
    <w:rsid w:val="46BB4E28"/>
    <w:rsid w:val="477737C9"/>
    <w:rsid w:val="486A6C7A"/>
    <w:rsid w:val="4910358D"/>
    <w:rsid w:val="4A627F82"/>
    <w:rsid w:val="4B0E749A"/>
    <w:rsid w:val="4B2477C4"/>
    <w:rsid w:val="4B4F25DA"/>
    <w:rsid w:val="4B524331"/>
    <w:rsid w:val="4BC82845"/>
    <w:rsid w:val="4BE068DB"/>
    <w:rsid w:val="4C0B44E0"/>
    <w:rsid w:val="4D577224"/>
    <w:rsid w:val="4DBF1CEB"/>
    <w:rsid w:val="4DDA26C7"/>
    <w:rsid w:val="4DF0007C"/>
    <w:rsid w:val="4E3917D8"/>
    <w:rsid w:val="4EAB630A"/>
    <w:rsid w:val="4ECE2238"/>
    <w:rsid w:val="4EED611E"/>
    <w:rsid w:val="4EF94AC3"/>
    <w:rsid w:val="4F247D92"/>
    <w:rsid w:val="4F833267"/>
    <w:rsid w:val="4F846A83"/>
    <w:rsid w:val="4FE9BD67"/>
    <w:rsid w:val="4FFB052F"/>
    <w:rsid w:val="50125E3D"/>
    <w:rsid w:val="502A1EA5"/>
    <w:rsid w:val="50884351"/>
    <w:rsid w:val="51C55131"/>
    <w:rsid w:val="53407165"/>
    <w:rsid w:val="53511372"/>
    <w:rsid w:val="537E6D0A"/>
    <w:rsid w:val="53AE40CE"/>
    <w:rsid w:val="53F74C96"/>
    <w:rsid w:val="54181E8F"/>
    <w:rsid w:val="545509EE"/>
    <w:rsid w:val="54A11E85"/>
    <w:rsid w:val="55170BA8"/>
    <w:rsid w:val="553218C9"/>
    <w:rsid w:val="567E1AA5"/>
    <w:rsid w:val="56AD4B11"/>
    <w:rsid w:val="56E47B74"/>
    <w:rsid w:val="57175D52"/>
    <w:rsid w:val="57BD3DD4"/>
    <w:rsid w:val="58D565A1"/>
    <w:rsid w:val="58ED5699"/>
    <w:rsid w:val="5AA61FA3"/>
    <w:rsid w:val="5ACC12DE"/>
    <w:rsid w:val="5ADD173D"/>
    <w:rsid w:val="5AF92295"/>
    <w:rsid w:val="5B250254"/>
    <w:rsid w:val="5BD57899"/>
    <w:rsid w:val="5BDD79E6"/>
    <w:rsid w:val="5BF561CA"/>
    <w:rsid w:val="5BFF5DFC"/>
    <w:rsid w:val="5C05719D"/>
    <w:rsid w:val="5CD71FC4"/>
    <w:rsid w:val="5D1F11B5"/>
    <w:rsid w:val="5D695134"/>
    <w:rsid w:val="5DAE1B18"/>
    <w:rsid w:val="5DE7D9E5"/>
    <w:rsid w:val="5E9568E2"/>
    <w:rsid w:val="5ECEC941"/>
    <w:rsid w:val="5F830B05"/>
    <w:rsid w:val="5FBF9FF3"/>
    <w:rsid w:val="5FCD4E2C"/>
    <w:rsid w:val="5FEF394A"/>
    <w:rsid w:val="5FF67715"/>
    <w:rsid w:val="602D6CC3"/>
    <w:rsid w:val="605D1356"/>
    <w:rsid w:val="61926DDD"/>
    <w:rsid w:val="61DA1F93"/>
    <w:rsid w:val="62BF3928"/>
    <w:rsid w:val="632223E3"/>
    <w:rsid w:val="63627211"/>
    <w:rsid w:val="63B3701E"/>
    <w:rsid w:val="63E55EE5"/>
    <w:rsid w:val="647F5392"/>
    <w:rsid w:val="64A82DBC"/>
    <w:rsid w:val="65E66580"/>
    <w:rsid w:val="66130838"/>
    <w:rsid w:val="664B1D71"/>
    <w:rsid w:val="664B4E8E"/>
    <w:rsid w:val="669A1B16"/>
    <w:rsid w:val="66BA2932"/>
    <w:rsid w:val="67177D85"/>
    <w:rsid w:val="67277B67"/>
    <w:rsid w:val="672C7CD4"/>
    <w:rsid w:val="67876CB8"/>
    <w:rsid w:val="67AA3209"/>
    <w:rsid w:val="68112A26"/>
    <w:rsid w:val="68D75A1D"/>
    <w:rsid w:val="698D0931"/>
    <w:rsid w:val="6A7FE5F3"/>
    <w:rsid w:val="6B053271"/>
    <w:rsid w:val="6BDD78B3"/>
    <w:rsid w:val="6C4A05C8"/>
    <w:rsid w:val="6C615D2A"/>
    <w:rsid w:val="6C8742B8"/>
    <w:rsid w:val="6CC87B57"/>
    <w:rsid w:val="6D392803"/>
    <w:rsid w:val="6D3B7408"/>
    <w:rsid w:val="6DA560EA"/>
    <w:rsid w:val="6DBF5E93"/>
    <w:rsid w:val="6DFF077E"/>
    <w:rsid w:val="6E184B0E"/>
    <w:rsid w:val="6E3000AA"/>
    <w:rsid w:val="6E714EF0"/>
    <w:rsid w:val="6E7E3605"/>
    <w:rsid w:val="6E7FDCC7"/>
    <w:rsid w:val="6ED6A62E"/>
    <w:rsid w:val="6EE00B15"/>
    <w:rsid w:val="6EED7D49"/>
    <w:rsid w:val="6F2D6397"/>
    <w:rsid w:val="6F6FB3EB"/>
    <w:rsid w:val="6F8731EA"/>
    <w:rsid w:val="6F997ED1"/>
    <w:rsid w:val="6FCE6052"/>
    <w:rsid w:val="6FD57C00"/>
    <w:rsid w:val="6FEFFFD8"/>
    <w:rsid w:val="6FF5CC65"/>
    <w:rsid w:val="6FFB47EC"/>
    <w:rsid w:val="6FFF034A"/>
    <w:rsid w:val="70484440"/>
    <w:rsid w:val="708741CD"/>
    <w:rsid w:val="708C3591"/>
    <w:rsid w:val="70A703CB"/>
    <w:rsid w:val="70D8681E"/>
    <w:rsid w:val="712A28F1"/>
    <w:rsid w:val="715C0E4B"/>
    <w:rsid w:val="71992E7C"/>
    <w:rsid w:val="72233669"/>
    <w:rsid w:val="7270316B"/>
    <w:rsid w:val="72734D90"/>
    <w:rsid w:val="73160E6D"/>
    <w:rsid w:val="7332FE48"/>
    <w:rsid w:val="73520AC2"/>
    <w:rsid w:val="73AB61DA"/>
    <w:rsid w:val="73AD73D5"/>
    <w:rsid w:val="73B6EB34"/>
    <w:rsid w:val="73D43285"/>
    <w:rsid w:val="73FA497D"/>
    <w:rsid w:val="74234169"/>
    <w:rsid w:val="744731E5"/>
    <w:rsid w:val="74B60BDD"/>
    <w:rsid w:val="74BBD01D"/>
    <w:rsid w:val="74DA2B1D"/>
    <w:rsid w:val="74ED5379"/>
    <w:rsid w:val="75297601"/>
    <w:rsid w:val="75DEEEC2"/>
    <w:rsid w:val="75E32345"/>
    <w:rsid w:val="760F67F7"/>
    <w:rsid w:val="76E3355F"/>
    <w:rsid w:val="76FF5125"/>
    <w:rsid w:val="775D17E4"/>
    <w:rsid w:val="776F6FFA"/>
    <w:rsid w:val="778769C8"/>
    <w:rsid w:val="77A75DCA"/>
    <w:rsid w:val="77D45FB6"/>
    <w:rsid w:val="77DC22F5"/>
    <w:rsid w:val="783E271A"/>
    <w:rsid w:val="78616DE9"/>
    <w:rsid w:val="78E875D7"/>
    <w:rsid w:val="78F9553C"/>
    <w:rsid w:val="79086DAD"/>
    <w:rsid w:val="79D7FD79"/>
    <w:rsid w:val="79EE5BA4"/>
    <w:rsid w:val="7A244C3E"/>
    <w:rsid w:val="7A70182E"/>
    <w:rsid w:val="7A85177D"/>
    <w:rsid w:val="7A894339"/>
    <w:rsid w:val="7AD284E8"/>
    <w:rsid w:val="7AFF7572"/>
    <w:rsid w:val="7B6C7DFB"/>
    <w:rsid w:val="7B963516"/>
    <w:rsid w:val="7BBFBED0"/>
    <w:rsid w:val="7BC3E394"/>
    <w:rsid w:val="7C1F3737"/>
    <w:rsid w:val="7C907F65"/>
    <w:rsid w:val="7CBFC87B"/>
    <w:rsid w:val="7CFE0F48"/>
    <w:rsid w:val="7D272ABC"/>
    <w:rsid w:val="7D7EC23E"/>
    <w:rsid w:val="7E2D0162"/>
    <w:rsid w:val="7E3F39F1"/>
    <w:rsid w:val="7E8ADEBF"/>
    <w:rsid w:val="7EEF11D3"/>
    <w:rsid w:val="7EFE4840"/>
    <w:rsid w:val="7F0971A6"/>
    <w:rsid w:val="7F0C5FC9"/>
    <w:rsid w:val="7F1D62E7"/>
    <w:rsid w:val="7F3F679B"/>
    <w:rsid w:val="7F4514DB"/>
    <w:rsid w:val="7F4FC4EF"/>
    <w:rsid w:val="7F5E4D54"/>
    <w:rsid w:val="7F6E0135"/>
    <w:rsid w:val="7F79F205"/>
    <w:rsid w:val="7F9F6E3D"/>
    <w:rsid w:val="7FA30C79"/>
    <w:rsid w:val="7FA79C44"/>
    <w:rsid w:val="7FAF8ABF"/>
    <w:rsid w:val="7FB421BD"/>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baseline="0">
                <a:solidFill>
                  <a:schemeClr val="tx1">
                    <a:lumMod val="75000"/>
                    <a:lumOff val="25000"/>
                  </a:schemeClr>
                </a:solidFill>
                <a:latin typeface="+mn-lt"/>
                <a:ea typeface="+mn-ea"/>
                <a:cs typeface="+mn-cs"/>
              </a:defRPr>
            </a:pPr>
            <a:r>
              <a:rPr sz="1680"/>
              <a:t>单位（万元）</a:t>
            </a:r>
            <a:endParaRPr sz="1680"/>
          </a:p>
        </c:rich>
      </c:tx>
      <c:layout/>
      <c:overlay val="0"/>
      <c:spPr>
        <a:noFill/>
        <a:ln>
          <a:noFill/>
        </a:ln>
        <a:effectLst/>
      </c:spPr>
    </c:title>
    <c:autoTitleDeleted val="0"/>
    <c:plotArea>
      <c:layout>
        <c:manualLayout>
          <c:layoutTarget val="inner"/>
          <c:xMode val="edge"/>
          <c:yMode val="edge"/>
          <c:x val="0.0261562239923909"/>
          <c:y val="0.198703026272032"/>
          <c:w val="0.947687552015218"/>
          <c:h val="0.717559028932491"/>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1"/>
              <c:layout>
                <c:manualLayout>
                  <c:x val="-0.098823053137548"/>
                  <c:y val="-0.00150068454640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50879.82</c:v>
                </c:pt>
                <c:pt idx="1" c:formatCode="#,##0.00">
                  <c:v>38306.69</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114222717155956"/>
                  <c:y val="0.008498984105185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Sheet1!$C$2:$C$3</c:f>
              <c:numCache>
                <c:formatCode>General</c:formatCode>
                <c:ptCount val="2"/>
                <c:pt idx="0">
                  <c:v>50826.98</c:v>
                </c:pt>
                <c:pt idx="1" c:formatCode="#,##0.00">
                  <c:v>38306.69</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25"/>
        <c:axId val="56848095"/>
        <c:axId val="924208323"/>
      </c:barChart>
      <c:catAx>
        <c:axId val="568480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924208323"/>
        <c:crosses val="autoZero"/>
        <c:auto val="1"/>
        <c:lblAlgn val="ctr"/>
        <c:lblOffset val="100"/>
        <c:noMultiLvlLbl val="0"/>
      </c:catAx>
      <c:valAx>
        <c:axId val="924208323"/>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56848095"/>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1714c0e-f6dc-4aae-9bc5-1606e0619bb0}"/>
      </c:ext>
    </c:extLst>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413074712643678"/>
          <c:y val="0.240165289256198"/>
          <c:w val="0.4790469348659"/>
          <c:h val="0.661322314049587"/>
        </c:manualLayout>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1"/>
              <c:layout>
                <c:manualLayout>
                  <c:x val="-0.0097123930630595"/>
                  <c:y val="-0.0064500937480237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09305042919663"/>
                  <c:y val="-0.0023649171349520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87160941232458"/>
                  <c:y val="0.007518358082899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政府性基金预算财政拨款收入</c:v>
                </c:pt>
                <c:pt idx="2">
                  <c:v>事业收入</c:v>
                </c:pt>
                <c:pt idx="3">
                  <c:v>其他收入</c:v>
                </c:pt>
              </c:strCache>
            </c:strRef>
          </c:cat>
          <c:val>
            <c:numRef>
              <c:f>Sheet1!$B$2:$B$6</c:f>
              <c:numCache>
                <c:formatCode>General</c:formatCode>
                <c:ptCount val="5"/>
                <c:pt idx="0">
                  <c:v>47389.13</c:v>
                </c:pt>
                <c:pt idx="1">
                  <c:v>1911.19</c:v>
                </c:pt>
                <c:pt idx="2">
                  <c:v>1517.98</c:v>
                </c:pt>
                <c:pt idx="3">
                  <c:v>61.51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4"/>
        <c:delete val="1"/>
      </c:legendEntry>
      <c:layout>
        <c:manualLayout>
          <c:xMode val="edge"/>
          <c:yMode val="edge"/>
          <c:x val="0.492217432950192"/>
          <c:y val="0.339834710743802"/>
          <c:w val="0.50419061302682"/>
          <c:h val="0.292396694214876"/>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766c760-ee64-42b2-9f70-2c7a24815616}"/>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8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35664.64</c:v>
                </c:pt>
                <c:pt idx="1">
                  <c:v>15162.34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13df02-6824-43b5-ac44-f70f1846307f}"/>
      </c:ext>
    </c:extLst>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40"/>
              <a:t>单位（万元）</a:t>
            </a:r>
            <a:endParaRPr sz="1440"/>
          </a:p>
        </c:rich>
      </c:tx>
      <c:layout>
        <c:manualLayout>
          <c:xMode val="edge"/>
          <c:yMode val="edge"/>
          <c:x val="0.742597559430368"/>
          <c:y val="0.0556635463738493"/>
        </c:manualLayout>
      </c:layout>
      <c:overlay val="0"/>
      <c:spPr>
        <a:noFill/>
        <a:ln>
          <a:noFill/>
        </a:ln>
        <a:effectLst/>
      </c:spPr>
    </c:title>
    <c:autoTitleDeleted val="0"/>
    <c:plotArea>
      <c:layout>
        <c:manualLayout>
          <c:layoutTarget val="inner"/>
          <c:xMode val="edge"/>
          <c:yMode val="edge"/>
          <c:x val="0.0291425818882466"/>
          <c:y val="0.270120053357048"/>
          <c:w val="0.947013487475915"/>
          <c:h val="0.6223654957759"/>
        </c:manualLayout>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49300.33</c:v>
                </c:pt>
                <c:pt idx="1" c:formatCode="#,##0.00">
                  <c:v>38306.69</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Sheet1!$C$2:$C$3</c:f>
              <c:numCache>
                <c:formatCode>General</c:formatCode>
                <c:ptCount val="2"/>
                <c:pt idx="0">
                  <c:v>49300.33</c:v>
                </c:pt>
                <c:pt idx="1" c:formatCode="#,##0.00">
                  <c:v>38306.69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25"/>
        <c:axId val="116297460"/>
        <c:axId val="650142860"/>
      </c:barChart>
      <c:catAx>
        <c:axId val="116297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650142860"/>
        <c:crosses val="autoZero"/>
        <c:auto val="1"/>
        <c:lblAlgn val="ctr"/>
        <c:lblOffset val="100"/>
        <c:noMultiLvlLbl val="0"/>
      </c:catAx>
      <c:valAx>
        <c:axId val="65014286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116297460"/>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delete val="1"/>
      </c:legendEntry>
      <c:layout>
        <c:manualLayout>
          <c:xMode val="edge"/>
          <c:yMode val="edge"/>
          <c:x val="0.288544928932787"/>
          <c:y val="0.140769532180242"/>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d3af3f-12de-4be7-8417-b36cabb410ec}"/>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40"/>
              <a:t>单位（万元）</a:t>
            </a:r>
            <a:endParaRPr sz="1440"/>
          </a:p>
        </c:rich>
      </c:tx>
      <c:layout>
        <c:manualLayout>
          <c:xMode val="edge"/>
          <c:yMode val="edge"/>
          <c:x val="0.765523073206088"/>
          <c:y val="0.02018699532511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47389.13</c:v>
                </c:pt>
                <c:pt idx="1" c:formatCode="#,##0.00">
                  <c:v>38228.09</c:v>
                </c:pt>
              </c:numCache>
            </c:numRef>
          </c:val>
        </c:ser>
        <c:ser>
          <c:idx val="1"/>
          <c:order val="1"/>
          <c:tx>
            <c:strRef>
              <c:f>Sheet1!$C$1</c:f>
              <c:strCache>
                <c:ptCount val="1"/>
                <c:pt idx="0">
                  <c:v>一般公共预算财政拨款支出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Sheet1!$C$2:$C$3</c:f>
              <c:numCache>
                <c:formatCode>General</c:formatCode>
                <c:ptCount val="2"/>
                <c:pt idx="0">
                  <c:v>47389.13</c:v>
                </c:pt>
                <c:pt idx="1" c:formatCode="#,##0.00">
                  <c:v>38228.09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25"/>
        <c:axId val="731078030"/>
        <c:axId val="653222495"/>
      </c:barChart>
      <c:catAx>
        <c:axId val="7310780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653222495"/>
        <c:crosses val="autoZero"/>
        <c:auto val="1"/>
        <c:lblAlgn val="ctr"/>
        <c:lblOffset val="100"/>
        <c:noMultiLvlLbl val="0"/>
      </c:catAx>
      <c:valAx>
        <c:axId val="65322249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31078030"/>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8dee01a-f6ab-474f-8b9f-3c84c574e110}"/>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814135809914365"/>
          <c:y val="0.16771582733813"/>
          <c:w val="0.403328910867205"/>
          <c:h val="0.751798561151079"/>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一般公共预算财政拨款支出</c:v>
                </c:pt>
                <c:pt idx="1">
                  <c:v>教育支出</c:v>
                </c:pt>
                <c:pt idx="2">
                  <c:v>文化旅游体育与传媒支出</c:v>
                </c:pt>
                <c:pt idx="3">
                  <c:v>社会保障和就业支出</c:v>
                </c:pt>
                <c:pt idx="4">
                  <c:v>卫生健康支出</c:v>
                </c:pt>
                <c:pt idx="5">
                  <c:v>住房保障支出</c:v>
                </c:pt>
              </c:strCache>
            </c:strRef>
          </c:cat>
          <c:val>
            <c:numRef>
              <c:f>Sheet1!$B$2:$B$7</c:f>
              <c:numCache>
                <c:formatCode>General</c:formatCode>
                <c:ptCount val="6"/>
                <c:pt idx="0">
                  <c:v>72.06</c:v>
                </c:pt>
                <c:pt idx="1">
                  <c:v>36531.44</c:v>
                </c:pt>
                <c:pt idx="2">
                  <c:v>401.79</c:v>
                </c:pt>
                <c:pt idx="3">
                  <c:v>5349.98</c:v>
                </c:pt>
                <c:pt idx="4">
                  <c:v>2595.11</c:v>
                </c:pt>
                <c:pt idx="5">
                  <c:v>2438.74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507055843685924"/>
          <c:y val="0.300359712230216"/>
          <c:w val="0.456760342540104"/>
          <c:h val="0.411196043165468"/>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af35b8c-7811-4ecf-82a4-0115403cf7d4}"/>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公务用车购置及运行维护费支出</c:v>
                </c:pt>
              </c:strCache>
            </c:strRef>
          </c:cat>
          <c:val>
            <c:numRef>
              <c:f>Sheet1!$B$2</c:f>
              <c:numCache>
                <c:formatCode>General</c:formatCode>
                <c:ptCount val="1"/>
                <c:pt idx="0">
                  <c:v>2.86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289583-d8c4-4524-8051-0659c84ed260}"/>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3437</Words>
  <Characters>3897</Characters>
  <Lines>63</Lines>
  <Paragraphs>17</Paragraphs>
  <TotalTime>1</TotalTime>
  <ScaleCrop>false</ScaleCrop>
  <LinksUpToDate>false</LinksUpToDate>
  <CharactersWithSpaces>4011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张晓骄</cp:lastModifiedBy>
  <cp:lastPrinted>2025-08-06T17:34:00Z</cp:lastPrinted>
  <dcterms:modified xsi:type="dcterms:W3CDTF">2025-11-11T03:45:36Z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82F93CF9C0ED4E7D8E52078080D415A1_13</vt:lpwstr>
  </property>
  <property fmtid="{D5CDD505-2E9C-101B-9397-08002B2CF9AE}" pid="4" name="KSOTemplateDocerSaveRecord">
    <vt:lpwstr>eyJoZGlkIjoiNWIwYjgyMzAyYjdlMTc0NjlhNjFkZTU2NDY0NzJjZGIiLCJ1c2VySWQiOiIzNTQwMzUzMTgifQ==</vt:lpwstr>
  </property>
</Properties>
</file>