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B0BAC">
      <w:pPr>
        <w:pStyle w:val="9"/>
        <w:rPr>
          <w:rFonts w:hint="default" w:ascii="Times New Roman" w:hAnsi="Times New Roman" w:eastAsia="方正小标宋_GBK" w:cs="Times New Roman"/>
          <w:color w:val="auto"/>
          <w:kern w:val="2"/>
          <w:sz w:val="72"/>
          <w:szCs w:val="72"/>
          <w:highlight w:val="none"/>
          <w:lang w:val="en-US" w:eastAsia="zh-CN" w:bidi="ar-SA"/>
        </w:rPr>
      </w:pPr>
      <w:bookmarkStart w:id="0" w:name="_Toc15396597"/>
      <w:bookmarkStart w:id="1" w:name="_Toc15306267"/>
      <w:bookmarkStart w:id="2" w:name="_Toc15396475"/>
      <w:bookmarkStart w:id="3" w:name="_Toc15378441"/>
      <w:bookmarkStart w:id="4" w:name="_Toc15377193"/>
      <w:bookmarkStart w:id="5" w:name="_Toc15377425"/>
    </w:p>
    <w:p w14:paraId="544CD0D3">
      <w:pPr>
        <w:pStyle w:val="9"/>
        <w:rPr>
          <w:rFonts w:hint="default" w:ascii="Times New Roman" w:hAnsi="Times New Roman" w:eastAsia="方正小标宋_GBK" w:cs="Times New Roman"/>
          <w:color w:val="auto"/>
          <w:kern w:val="2"/>
          <w:sz w:val="72"/>
          <w:szCs w:val="72"/>
          <w:highlight w:val="none"/>
          <w:lang w:val="en-US" w:eastAsia="zh-CN" w:bidi="ar-SA"/>
        </w:rPr>
      </w:pPr>
    </w:p>
    <w:p w14:paraId="74EA8F19">
      <w:pPr>
        <w:pStyle w:val="9"/>
        <w:rPr>
          <w:rFonts w:hint="default" w:ascii="Times New Roman" w:hAnsi="Times New Roman" w:eastAsia="方正小标宋_GBK" w:cs="Times New Roman"/>
          <w:color w:val="auto"/>
          <w:kern w:val="2"/>
          <w:sz w:val="72"/>
          <w:szCs w:val="72"/>
          <w:highlight w:val="none"/>
          <w:lang w:val="en-US" w:eastAsia="zh-CN" w:bidi="ar-SA"/>
        </w:rPr>
      </w:pPr>
    </w:p>
    <w:p w14:paraId="1A626F0D">
      <w:pPr>
        <w:pStyle w:val="9"/>
        <w:spacing w:before="93"/>
        <w:jc w:val="center"/>
        <w:rPr>
          <w:rFonts w:hint="default" w:ascii="Times New Roman" w:hAnsi="Times New Roman" w:eastAsia="方正小标宋_GBK" w:cs="Times New Roman"/>
          <w:kern w:val="2"/>
          <w:sz w:val="72"/>
          <w:szCs w:val="72"/>
          <w:lang w:val="en-US" w:eastAsia="zh-CN"/>
        </w:rPr>
      </w:pPr>
      <w:r>
        <w:rPr>
          <w:rFonts w:hint="default" w:ascii="Times New Roman" w:hAnsi="Times New Roman" w:eastAsia="方正小标宋_GBK" w:cs="Times New Roman"/>
          <w:kern w:val="2"/>
          <w:sz w:val="72"/>
          <w:szCs w:val="72"/>
          <w:lang w:val="en-US" w:eastAsia="zh-CN"/>
        </w:rPr>
        <w:t>2024年度盐边县人力资源和社会保障局单位决算公开</w:t>
      </w:r>
    </w:p>
    <w:p w14:paraId="7E82FE69">
      <w:pPr>
        <w:pStyle w:val="9"/>
        <w:spacing w:before="93"/>
        <w:jc w:val="center"/>
        <w:rPr>
          <w:rFonts w:hint="default" w:ascii="Times New Roman" w:hAnsi="Times New Roman" w:eastAsia="方正小标宋_GBK" w:cs="Times New Roman"/>
          <w:kern w:val="2"/>
          <w:sz w:val="72"/>
          <w:szCs w:val="72"/>
          <w:lang w:val="en-US" w:eastAsia="zh-CN"/>
        </w:rPr>
      </w:pPr>
      <w:r>
        <w:rPr>
          <w:rFonts w:hint="default" w:ascii="Times New Roman" w:hAnsi="Times New Roman" w:eastAsia="方正小标宋_GBK" w:cs="Times New Roman"/>
          <w:kern w:val="2"/>
          <w:sz w:val="72"/>
          <w:szCs w:val="72"/>
          <w:lang w:val="en-US" w:eastAsia="zh-CN"/>
        </w:rPr>
        <w:t>编制说明</w:t>
      </w:r>
    </w:p>
    <w:p w14:paraId="078B3691">
      <w:pPr>
        <w:spacing w:line="600" w:lineRule="exact"/>
        <w:jc w:val="center"/>
        <w:outlineLvl w:val="0"/>
        <w:rPr>
          <w:rFonts w:hint="default" w:ascii="Times New Roman" w:hAnsi="Times New Roman" w:eastAsia="方正小标宋_GBK" w:cs="Times New Roman"/>
          <w:color w:val="auto"/>
          <w:sz w:val="72"/>
          <w:szCs w:val="72"/>
          <w:highlight w:val="none"/>
        </w:rPr>
      </w:pPr>
    </w:p>
    <w:p w14:paraId="0BAED415">
      <w:pPr>
        <w:pStyle w:val="25"/>
        <w:rPr>
          <w:rFonts w:hint="default" w:ascii="Times New Roman" w:hAnsi="Times New Roman" w:eastAsia="方正黑体_GBK" w:cs="Times New Roman"/>
        </w:rPr>
        <w:sectPr>
          <w:headerReference r:id="rId3" w:type="default"/>
          <w:footerReference r:id="rId4" w:type="default"/>
          <w:pgSz w:w="11906" w:h="16838"/>
          <w:pgMar w:top="2098" w:right="1474" w:bottom="1984" w:left="1588" w:header="851" w:footer="992" w:gutter="0"/>
          <w:pgNumType w:fmt="numberInDash" w:start="1"/>
          <w:cols w:space="720" w:num="1"/>
          <w:titlePg/>
          <w:docGrid w:type="lines" w:linePitch="312" w:charSpace="0"/>
        </w:sectPr>
      </w:pPr>
    </w:p>
    <w:bookmarkEnd w:id="0"/>
    <w:bookmarkEnd w:id="1"/>
    <w:bookmarkEnd w:id="2"/>
    <w:bookmarkEnd w:id="3"/>
    <w:bookmarkEnd w:id="4"/>
    <w:bookmarkEnd w:id="5"/>
    <w:p w14:paraId="540EE2A7">
      <w:pPr>
        <w:widowControl/>
        <w:jc w:val="center"/>
        <w:rPr>
          <w:rFonts w:hint="default" w:ascii="Times New Roman" w:hAnsi="Times New Roman" w:eastAsia="方正黑体_GBK" w:cs="Times New Roman"/>
          <w:color w:val="auto"/>
          <w:sz w:val="48"/>
          <w:szCs w:val="48"/>
          <w:highlight w:val="none"/>
        </w:rPr>
      </w:pPr>
      <w:r>
        <w:rPr>
          <w:rFonts w:hint="default" w:ascii="Times New Roman" w:hAnsi="Times New Roman" w:eastAsia="方正黑体_GBK" w:cs="Times New Roman"/>
          <w:color w:val="auto"/>
          <w:sz w:val="48"/>
          <w:szCs w:val="48"/>
          <w:highlight w:val="none"/>
        </w:rPr>
        <w:t>目录</w:t>
      </w:r>
    </w:p>
    <w:p w14:paraId="3FEA25F0">
      <w:pPr>
        <w:widowControl/>
        <w:jc w:val="center"/>
        <w:rPr>
          <w:rFonts w:hint="default" w:ascii="Times New Roman" w:hAnsi="Times New Roman" w:eastAsia="方正黑体_GBK" w:cs="Times New Roman"/>
          <w:color w:val="auto"/>
          <w:sz w:val="28"/>
          <w:szCs w:val="28"/>
          <w:highlight w:val="none"/>
        </w:rPr>
      </w:pPr>
    </w:p>
    <w:p w14:paraId="3D051A1B">
      <w:pPr>
        <w:pStyle w:val="16"/>
        <w:tabs>
          <w:tab w:val="right" w:leader="dot" w:pos="8296"/>
        </w:tabs>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公开时间：20</w:t>
      </w:r>
      <w:r>
        <w:rPr>
          <w:rFonts w:hint="default" w:ascii="Times New Roman" w:hAnsi="Times New Roman" w:eastAsia="方正仿宋_GBK" w:cs="Times New Roman"/>
          <w:color w:val="auto"/>
          <w:sz w:val="32"/>
          <w:szCs w:val="32"/>
          <w:highlight w:val="none"/>
          <w:lang w:val="en-US" w:eastAsia="zh-CN"/>
        </w:rPr>
        <w:t>25</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lang w:val="en-US" w:eastAsia="zh-CN"/>
        </w:rPr>
        <w:t>28</w:t>
      </w:r>
      <w:r>
        <w:rPr>
          <w:rFonts w:hint="default" w:ascii="Times New Roman" w:hAnsi="Times New Roman" w:eastAsia="方正仿宋_GBK" w:cs="Times New Roman"/>
          <w:color w:val="auto"/>
          <w:sz w:val="32"/>
          <w:szCs w:val="32"/>
          <w:highlight w:val="none"/>
        </w:rPr>
        <w:t>日</w:t>
      </w:r>
    </w:p>
    <w:p w14:paraId="5775866A">
      <w:pPr>
        <w:rPr>
          <w:rFonts w:hint="default" w:ascii="Times New Roman" w:hAnsi="Times New Roman" w:cs="Times New Roman"/>
          <w:color w:val="auto"/>
          <w:highlight w:val="none"/>
        </w:rPr>
      </w:pPr>
    </w:p>
    <w:p w14:paraId="07FEBD63">
      <w:pPr>
        <w:pStyle w:val="16"/>
        <w:tabs>
          <w:tab w:val="right" w:leader="dot" w:pos="8306"/>
        </w:tabs>
        <w:rPr>
          <w:rFonts w:hint="default" w:ascii="Times New Roman" w:hAnsi="Times New Roman" w:eastAsia="方正黑体_GBK" w:cs="黑体"/>
          <w:color w:val="auto"/>
          <w:sz w:val="28"/>
          <w:szCs w:val="28"/>
          <w:lang w:val="en-US" w:eastAsia="zh-CN"/>
        </w:rPr>
      </w:pPr>
      <w:bookmarkStart w:id="6" w:name="_Toc15396599"/>
      <w:bookmarkStart w:id="7" w:name="_Toc15377196"/>
      <w:r>
        <w:rPr>
          <w:rFonts w:hint="default" w:ascii="Times New Roman" w:hAnsi="Times New Roman" w:cs="Times New Roman"/>
        </w:rPr>
        <w:fldChar w:fldCharType="begin"/>
      </w:r>
      <w:r>
        <w:rPr>
          <w:rFonts w:hint="default" w:ascii="Times New Roman" w:hAnsi="Times New Roman" w:cs="Times New Roman"/>
        </w:rPr>
        <w:instrText xml:space="preserve">TOC \o "1-3" \h  \u </w:instrText>
      </w:r>
      <w:r>
        <w:rPr>
          <w:rFonts w:hint="default" w:ascii="Times New Roman" w:hAnsi="Times New Roman" w:cs="Times New Roman"/>
        </w:rPr>
        <w:fldChar w:fldCharType="separate"/>
      </w:r>
      <w:r>
        <w:rPr>
          <w:rFonts w:hint="default" w:ascii="Times New Roman" w:hAnsi="Times New Roman" w:eastAsia="方正黑体_GBK" w:cs="黑体"/>
          <w:color w:val="auto"/>
          <w:sz w:val="28"/>
          <w:szCs w:val="28"/>
          <w:lang w:val="en-US" w:eastAsia="zh-CN"/>
        </w:rPr>
        <w:fldChar w:fldCharType="begin"/>
      </w:r>
      <w:r>
        <w:rPr>
          <w:rFonts w:hint="default" w:ascii="Times New Roman" w:hAnsi="Times New Roman" w:eastAsia="方正黑体_GBK" w:cs="黑体"/>
          <w:color w:val="auto"/>
          <w:sz w:val="28"/>
          <w:szCs w:val="28"/>
          <w:lang w:val="en-US" w:eastAsia="zh-CN"/>
        </w:rPr>
        <w:instrText xml:space="preserve"> HYPERLINK \l _Toc14287 </w:instrText>
      </w:r>
      <w:r>
        <w:rPr>
          <w:rFonts w:hint="default" w:ascii="Times New Roman" w:hAnsi="Times New Roman" w:eastAsia="方正黑体_GBK" w:cs="黑体"/>
          <w:color w:val="auto"/>
          <w:sz w:val="28"/>
          <w:szCs w:val="28"/>
          <w:lang w:val="en-US" w:eastAsia="zh-CN"/>
        </w:rPr>
        <w:fldChar w:fldCharType="separate"/>
      </w:r>
      <w:r>
        <w:rPr>
          <w:rFonts w:hint="default" w:ascii="Times New Roman" w:hAnsi="Times New Roman" w:eastAsia="方正黑体_GBK" w:cs="黑体"/>
          <w:color w:val="auto"/>
          <w:sz w:val="28"/>
          <w:szCs w:val="28"/>
          <w:lang w:val="en-US" w:eastAsia="zh-CN"/>
        </w:rPr>
        <w:t>第一部分  部门概况</w:t>
      </w:r>
      <w:r>
        <w:rPr>
          <w:rFonts w:hint="default" w:ascii="Times New Roman" w:hAnsi="Times New Roman" w:eastAsia="方正黑体_GBK" w:cs="黑体"/>
          <w:color w:val="auto"/>
          <w:sz w:val="28"/>
          <w:szCs w:val="28"/>
          <w:lang w:val="en-US" w:eastAsia="zh-CN"/>
        </w:rPr>
        <w:tab/>
      </w:r>
      <w:r>
        <w:rPr>
          <w:rFonts w:hint="default" w:ascii="Times New Roman" w:hAnsi="Times New Roman" w:eastAsia="方正黑体_GBK" w:cs="黑体"/>
          <w:color w:val="auto"/>
          <w:sz w:val="28"/>
          <w:szCs w:val="28"/>
          <w:lang w:val="en-US" w:eastAsia="zh-CN"/>
        </w:rPr>
        <w:fldChar w:fldCharType="begin"/>
      </w:r>
      <w:r>
        <w:rPr>
          <w:rFonts w:hint="default" w:ascii="Times New Roman" w:hAnsi="Times New Roman" w:eastAsia="方正黑体_GBK" w:cs="黑体"/>
          <w:color w:val="auto"/>
          <w:sz w:val="28"/>
          <w:szCs w:val="28"/>
          <w:lang w:val="en-US" w:eastAsia="zh-CN"/>
        </w:rPr>
        <w:instrText xml:space="preserve"> PAGEREF _Toc14287 </w:instrText>
      </w:r>
      <w:r>
        <w:rPr>
          <w:rFonts w:hint="default" w:ascii="Times New Roman" w:hAnsi="Times New Roman" w:eastAsia="方正黑体_GBK" w:cs="黑体"/>
          <w:color w:val="auto"/>
          <w:sz w:val="28"/>
          <w:szCs w:val="28"/>
          <w:lang w:val="en-US" w:eastAsia="zh-CN"/>
        </w:rPr>
        <w:fldChar w:fldCharType="separate"/>
      </w:r>
      <w:r>
        <w:rPr>
          <w:rFonts w:hint="default" w:ascii="Times New Roman" w:hAnsi="Times New Roman" w:eastAsia="方正黑体_GBK" w:cs="黑体"/>
          <w:color w:val="auto"/>
          <w:sz w:val="28"/>
          <w:szCs w:val="28"/>
          <w:lang w:val="en-US" w:eastAsia="zh-CN"/>
        </w:rPr>
        <w:t>1</w:t>
      </w:r>
      <w:r>
        <w:rPr>
          <w:rFonts w:hint="default" w:ascii="Times New Roman" w:hAnsi="Times New Roman" w:eastAsia="方正黑体_GBK" w:cs="黑体"/>
          <w:color w:val="auto"/>
          <w:sz w:val="28"/>
          <w:szCs w:val="28"/>
          <w:lang w:val="en-US" w:eastAsia="zh-CN"/>
        </w:rPr>
        <w:fldChar w:fldCharType="end"/>
      </w:r>
      <w:r>
        <w:rPr>
          <w:rFonts w:hint="default" w:ascii="Times New Roman" w:hAnsi="Times New Roman" w:eastAsia="方正黑体_GBK" w:cs="黑体"/>
          <w:color w:val="auto"/>
          <w:sz w:val="28"/>
          <w:szCs w:val="28"/>
          <w:lang w:val="en-US" w:eastAsia="zh-CN"/>
        </w:rPr>
        <w:fldChar w:fldCharType="end"/>
      </w:r>
    </w:p>
    <w:p w14:paraId="3C7E4609">
      <w:pPr>
        <w:pStyle w:val="19"/>
        <w:tabs>
          <w:tab w:val="right" w:leader="dot" w:pos="8306"/>
        </w:tabs>
        <w:rPr>
          <w:rFonts w:hint="default" w:ascii="Times New Roman" w:hAnsi="Times New Roman" w:eastAsia="方正黑体_GBK" w:cs="黑体"/>
          <w:color w:val="auto"/>
          <w:kern w:val="2"/>
          <w:sz w:val="28"/>
          <w:szCs w:val="28"/>
          <w:lang w:val="en-US" w:eastAsia="zh-CN" w:bidi="ar-SA"/>
        </w:rPr>
      </w:pPr>
      <w:r>
        <w:rPr>
          <w:rFonts w:hint="default" w:ascii="Times New Roman" w:hAnsi="Times New Roman" w:eastAsia="方正黑体_GBK" w:cs="黑体"/>
          <w:color w:val="auto"/>
          <w:kern w:val="2"/>
          <w:sz w:val="28"/>
          <w:szCs w:val="28"/>
          <w:lang w:val="en-US" w:eastAsia="zh-CN" w:bidi="ar-SA"/>
        </w:rPr>
        <w:fldChar w:fldCharType="begin"/>
      </w:r>
      <w:r>
        <w:rPr>
          <w:rFonts w:hint="default" w:ascii="Times New Roman" w:hAnsi="Times New Roman" w:eastAsia="方正黑体_GBK" w:cs="黑体"/>
          <w:color w:val="auto"/>
          <w:kern w:val="2"/>
          <w:sz w:val="28"/>
          <w:szCs w:val="28"/>
          <w:lang w:val="en-US" w:eastAsia="zh-CN" w:bidi="ar-SA"/>
        </w:rPr>
        <w:instrText xml:space="preserve"> HYPERLINK \l _Toc30610 </w:instrText>
      </w:r>
      <w:r>
        <w:rPr>
          <w:rFonts w:hint="default" w:ascii="Times New Roman" w:hAnsi="Times New Roman" w:eastAsia="方正黑体_GBK" w:cs="黑体"/>
          <w:color w:val="auto"/>
          <w:kern w:val="2"/>
          <w:sz w:val="28"/>
          <w:szCs w:val="28"/>
          <w:lang w:val="en-US" w:eastAsia="zh-CN" w:bidi="ar-SA"/>
        </w:rPr>
        <w:fldChar w:fldCharType="separate"/>
      </w:r>
      <w:r>
        <w:rPr>
          <w:rFonts w:hint="default" w:eastAsia="方正仿宋_GBK" w:cs="仿宋_GB2312"/>
          <w:color w:val="auto"/>
          <w:sz w:val="28"/>
          <w:szCs w:val="28"/>
          <w:lang w:val="en-US" w:eastAsia="zh-CN"/>
        </w:rPr>
        <w:t>一、主要职责</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fldChar w:fldCharType="begin"/>
      </w:r>
      <w:r>
        <w:rPr>
          <w:rFonts w:hint="default" w:ascii="Times New Roman" w:hAnsi="Times New Roman" w:eastAsia="方正黑体_GBK" w:cs="黑体"/>
          <w:color w:val="auto"/>
          <w:kern w:val="2"/>
          <w:sz w:val="28"/>
          <w:szCs w:val="28"/>
          <w:lang w:val="en-US" w:eastAsia="zh-CN" w:bidi="ar-SA"/>
        </w:rPr>
        <w:instrText xml:space="preserve"> PAGEREF _Toc30610 </w:instrText>
      </w:r>
      <w:r>
        <w:rPr>
          <w:rFonts w:hint="default" w:ascii="Times New Roman" w:hAnsi="Times New Roman" w:eastAsia="方正黑体_GBK" w:cs="黑体"/>
          <w:color w:val="auto"/>
          <w:kern w:val="2"/>
          <w:sz w:val="28"/>
          <w:szCs w:val="28"/>
          <w:lang w:val="en-US" w:eastAsia="zh-CN" w:bidi="ar-SA"/>
        </w:rPr>
        <w:fldChar w:fldCharType="separate"/>
      </w:r>
      <w:r>
        <w:rPr>
          <w:rFonts w:hint="default" w:ascii="Times New Roman" w:hAnsi="Times New Roman" w:eastAsia="方正黑体_GBK" w:cs="黑体"/>
          <w:color w:val="auto"/>
          <w:kern w:val="2"/>
          <w:sz w:val="28"/>
          <w:szCs w:val="28"/>
          <w:lang w:val="en-US" w:eastAsia="zh-CN" w:bidi="ar-SA"/>
        </w:rPr>
        <w:t>1</w:t>
      </w:r>
      <w:r>
        <w:rPr>
          <w:rFonts w:hint="default" w:ascii="Times New Roman" w:hAnsi="Times New Roman" w:eastAsia="方正黑体_GBK" w:cs="黑体"/>
          <w:color w:val="auto"/>
          <w:kern w:val="2"/>
          <w:sz w:val="28"/>
          <w:szCs w:val="28"/>
          <w:lang w:val="en-US" w:eastAsia="zh-CN" w:bidi="ar-SA"/>
        </w:rPr>
        <w:fldChar w:fldCharType="end"/>
      </w:r>
      <w:r>
        <w:rPr>
          <w:rFonts w:hint="default" w:ascii="Times New Roman" w:hAnsi="Times New Roman" w:eastAsia="方正黑体_GBK" w:cs="黑体"/>
          <w:color w:val="auto"/>
          <w:kern w:val="2"/>
          <w:sz w:val="28"/>
          <w:szCs w:val="28"/>
          <w:lang w:val="en-US" w:eastAsia="zh-CN" w:bidi="ar-SA"/>
        </w:rPr>
        <w:fldChar w:fldCharType="end"/>
      </w:r>
    </w:p>
    <w:p w14:paraId="2664F0AE">
      <w:pPr>
        <w:pStyle w:val="19"/>
        <w:tabs>
          <w:tab w:val="right" w:leader="dot" w:pos="8306"/>
        </w:tabs>
        <w:rPr>
          <w:rFonts w:hint="default" w:ascii="Times New Roman" w:hAnsi="Times New Roman" w:eastAsia="仿宋" w:cs="Times New Roman"/>
          <w:bCs w:val="0"/>
          <w:kern w:val="2"/>
          <w:sz w:val="24"/>
          <w:szCs w:val="24"/>
          <w:lang w:val="en-US" w:eastAsia="zh-CN" w:bidi="ar-SA"/>
        </w:rPr>
      </w:pPr>
      <w:r>
        <w:rPr>
          <w:rFonts w:hint="default" w:ascii="Times New Roman" w:hAnsi="Times New Roman" w:eastAsia="仿宋" w:cs="Times New Roman"/>
          <w:bCs w:val="0"/>
          <w:kern w:val="2"/>
          <w:sz w:val="24"/>
          <w:szCs w:val="24"/>
          <w:lang w:val="en-US" w:eastAsia="zh-CN" w:bidi="ar-SA"/>
        </w:rPr>
        <w:fldChar w:fldCharType="begin"/>
      </w:r>
      <w:r>
        <w:rPr>
          <w:rFonts w:hint="default" w:ascii="Times New Roman" w:hAnsi="Times New Roman" w:eastAsia="仿宋" w:cs="Times New Roman"/>
          <w:bCs w:val="0"/>
          <w:kern w:val="2"/>
          <w:sz w:val="24"/>
          <w:szCs w:val="24"/>
          <w:lang w:val="en-US" w:eastAsia="zh-CN" w:bidi="ar-SA"/>
        </w:rPr>
        <w:instrText xml:space="preserve"> HYPERLINK \l _Toc23927 </w:instrText>
      </w:r>
      <w:r>
        <w:rPr>
          <w:rFonts w:hint="default" w:ascii="Times New Roman" w:hAnsi="Times New Roman" w:eastAsia="仿宋" w:cs="Times New Roman"/>
          <w:bCs w:val="0"/>
          <w:kern w:val="2"/>
          <w:sz w:val="24"/>
          <w:szCs w:val="24"/>
          <w:lang w:val="en-US" w:eastAsia="zh-CN" w:bidi="ar-SA"/>
        </w:rPr>
        <w:fldChar w:fldCharType="separate"/>
      </w:r>
      <w:r>
        <w:rPr>
          <w:rFonts w:hint="default" w:eastAsia="方正仿宋_GBK" w:cs="仿宋_GB2312"/>
          <w:color w:val="auto"/>
          <w:sz w:val="28"/>
          <w:szCs w:val="28"/>
          <w:lang w:val="en-US" w:eastAsia="zh-CN"/>
        </w:rPr>
        <w:t>二、机构设置</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fldChar w:fldCharType="begin"/>
      </w:r>
      <w:r>
        <w:rPr>
          <w:rFonts w:hint="default" w:ascii="Times New Roman" w:hAnsi="Times New Roman" w:eastAsia="方正黑体_GBK" w:cs="黑体"/>
          <w:color w:val="auto"/>
          <w:kern w:val="2"/>
          <w:sz w:val="28"/>
          <w:szCs w:val="28"/>
          <w:lang w:val="en-US" w:eastAsia="zh-CN" w:bidi="ar-SA"/>
        </w:rPr>
        <w:instrText xml:space="preserve"> PAGEREF _Toc23927 </w:instrText>
      </w:r>
      <w:r>
        <w:rPr>
          <w:rFonts w:hint="default" w:ascii="Times New Roman" w:hAnsi="Times New Roman" w:eastAsia="方正黑体_GBK" w:cs="黑体"/>
          <w:color w:val="auto"/>
          <w:kern w:val="2"/>
          <w:sz w:val="28"/>
          <w:szCs w:val="28"/>
          <w:lang w:val="en-US" w:eastAsia="zh-CN" w:bidi="ar-SA"/>
        </w:rPr>
        <w:fldChar w:fldCharType="separate"/>
      </w:r>
      <w:r>
        <w:rPr>
          <w:rFonts w:hint="default" w:ascii="Times New Roman" w:hAnsi="Times New Roman" w:eastAsia="方正黑体_GBK" w:cs="黑体"/>
          <w:color w:val="auto"/>
          <w:kern w:val="2"/>
          <w:sz w:val="28"/>
          <w:szCs w:val="28"/>
          <w:lang w:val="en-US" w:eastAsia="zh-CN" w:bidi="ar-SA"/>
        </w:rPr>
        <w:t>4</w:t>
      </w:r>
      <w:r>
        <w:rPr>
          <w:rFonts w:hint="default" w:ascii="Times New Roman" w:hAnsi="Times New Roman" w:eastAsia="方正黑体_GBK" w:cs="黑体"/>
          <w:color w:val="auto"/>
          <w:kern w:val="2"/>
          <w:sz w:val="28"/>
          <w:szCs w:val="28"/>
          <w:lang w:val="en-US" w:eastAsia="zh-CN" w:bidi="ar-SA"/>
        </w:rPr>
        <w:fldChar w:fldCharType="end"/>
      </w:r>
      <w:r>
        <w:rPr>
          <w:rFonts w:hint="default" w:ascii="Times New Roman" w:hAnsi="Times New Roman" w:eastAsia="仿宋" w:cs="Times New Roman"/>
          <w:bCs w:val="0"/>
          <w:kern w:val="2"/>
          <w:sz w:val="24"/>
          <w:szCs w:val="24"/>
          <w:lang w:val="en-US" w:eastAsia="zh-CN" w:bidi="ar-SA"/>
        </w:rPr>
        <w:fldChar w:fldCharType="end"/>
      </w:r>
    </w:p>
    <w:p w14:paraId="70ABF6F7">
      <w:pPr>
        <w:pStyle w:val="16"/>
        <w:tabs>
          <w:tab w:val="right" w:leader="dot" w:pos="8306"/>
        </w:tabs>
        <w:rPr>
          <w:rFonts w:hint="default" w:ascii="Times New Roman" w:hAnsi="Times New Roman" w:eastAsia="方正黑体_GBK" w:cs="Times New Roman"/>
          <w:kern w:val="2"/>
          <w:sz w:val="28"/>
          <w:szCs w:val="28"/>
          <w:lang w:val="en-US" w:eastAsia="zh-CN" w:bidi="ar-SA"/>
        </w:rPr>
      </w:pPr>
      <w:r>
        <w:rPr>
          <w:rFonts w:hint="default" w:ascii="Times New Roman" w:hAnsi="Times New Roman" w:eastAsia="方正黑体_GBK" w:cs="Times New Roman"/>
          <w:kern w:val="2"/>
          <w:sz w:val="28"/>
          <w:szCs w:val="28"/>
          <w:lang w:val="en-US" w:eastAsia="zh-CN" w:bidi="ar-SA"/>
        </w:rPr>
        <w:fldChar w:fldCharType="begin"/>
      </w:r>
      <w:r>
        <w:rPr>
          <w:rFonts w:hint="default" w:ascii="Times New Roman" w:hAnsi="Times New Roman" w:eastAsia="方正黑体_GBK" w:cs="Times New Roman"/>
          <w:kern w:val="2"/>
          <w:sz w:val="28"/>
          <w:szCs w:val="28"/>
          <w:lang w:val="en-US" w:eastAsia="zh-CN" w:bidi="ar-SA"/>
        </w:rPr>
        <w:instrText xml:space="preserve"> HYPERLINK \l _Toc9214 </w:instrText>
      </w:r>
      <w:r>
        <w:rPr>
          <w:rFonts w:hint="default" w:ascii="Times New Roman" w:hAnsi="Times New Roman" w:eastAsia="方正黑体_GBK" w:cs="Times New Roman"/>
          <w:kern w:val="2"/>
          <w:sz w:val="28"/>
          <w:szCs w:val="28"/>
          <w:lang w:val="en-US" w:eastAsia="zh-CN" w:bidi="ar-SA"/>
        </w:rPr>
        <w:fldChar w:fldCharType="separate"/>
      </w:r>
      <w:r>
        <w:rPr>
          <w:rFonts w:hint="default" w:ascii="Times New Roman" w:hAnsi="Times New Roman" w:eastAsia="方正黑体_GBK" w:cs="黑体"/>
          <w:color w:val="auto"/>
          <w:sz w:val="28"/>
          <w:szCs w:val="28"/>
          <w:lang w:val="en-US" w:eastAsia="zh-CN"/>
        </w:rPr>
        <w:t>第二部分  2024年度部门决算情况说明</w:t>
      </w:r>
      <w:r>
        <w:rPr>
          <w:rFonts w:hint="default" w:ascii="Times New Roman" w:hAnsi="Times New Roman" w:eastAsia="方正黑体_GBK" w:cs="黑体"/>
          <w:color w:val="auto"/>
          <w:sz w:val="28"/>
          <w:szCs w:val="28"/>
          <w:lang w:val="en-US" w:eastAsia="zh-CN"/>
        </w:rPr>
        <w:tab/>
      </w:r>
      <w:r>
        <w:rPr>
          <w:rFonts w:hint="default" w:ascii="Times New Roman" w:hAnsi="Times New Roman" w:eastAsia="方正黑体_GBK" w:cs="黑体"/>
          <w:color w:val="auto"/>
          <w:sz w:val="28"/>
          <w:szCs w:val="28"/>
          <w:lang w:val="en-US" w:eastAsia="zh-CN"/>
        </w:rPr>
        <w:fldChar w:fldCharType="begin"/>
      </w:r>
      <w:r>
        <w:rPr>
          <w:rFonts w:hint="default" w:ascii="Times New Roman" w:hAnsi="Times New Roman" w:eastAsia="方正黑体_GBK" w:cs="黑体"/>
          <w:color w:val="auto"/>
          <w:sz w:val="28"/>
          <w:szCs w:val="28"/>
          <w:lang w:val="en-US" w:eastAsia="zh-CN"/>
        </w:rPr>
        <w:instrText xml:space="preserve"> PAGEREF _Toc9214 </w:instrText>
      </w:r>
      <w:r>
        <w:rPr>
          <w:rFonts w:hint="default" w:ascii="Times New Roman" w:hAnsi="Times New Roman" w:eastAsia="方正黑体_GBK" w:cs="黑体"/>
          <w:color w:val="auto"/>
          <w:sz w:val="28"/>
          <w:szCs w:val="28"/>
          <w:lang w:val="en-US" w:eastAsia="zh-CN"/>
        </w:rPr>
        <w:fldChar w:fldCharType="separate"/>
      </w:r>
      <w:r>
        <w:rPr>
          <w:rFonts w:hint="default" w:ascii="Times New Roman" w:hAnsi="Times New Roman" w:eastAsia="方正黑体_GBK" w:cs="黑体"/>
          <w:color w:val="auto"/>
          <w:sz w:val="28"/>
          <w:szCs w:val="28"/>
          <w:lang w:val="en-US" w:eastAsia="zh-CN"/>
        </w:rPr>
        <w:t>5</w:t>
      </w:r>
      <w:r>
        <w:rPr>
          <w:rFonts w:hint="default" w:ascii="Times New Roman" w:hAnsi="Times New Roman" w:eastAsia="方正黑体_GBK" w:cs="黑体"/>
          <w:color w:val="auto"/>
          <w:sz w:val="28"/>
          <w:szCs w:val="28"/>
          <w:lang w:val="en-US" w:eastAsia="zh-CN"/>
        </w:rPr>
        <w:fldChar w:fldCharType="end"/>
      </w:r>
      <w:r>
        <w:rPr>
          <w:rFonts w:hint="default" w:ascii="Times New Roman" w:hAnsi="Times New Roman" w:eastAsia="方正黑体_GBK" w:cs="Times New Roman"/>
          <w:kern w:val="2"/>
          <w:sz w:val="28"/>
          <w:szCs w:val="28"/>
          <w:lang w:val="en-US" w:eastAsia="zh-CN" w:bidi="ar-SA"/>
        </w:rPr>
        <w:fldChar w:fldCharType="end"/>
      </w:r>
    </w:p>
    <w:p w14:paraId="223EEE18">
      <w:pPr>
        <w:pStyle w:val="19"/>
        <w:tabs>
          <w:tab w:val="right" w:leader="dot" w:pos="8306"/>
        </w:tabs>
        <w:rPr>
          <w:rFonts w:hint="default" w:ascii="Times New Roman" w:hAnsi="Times New Roman" w:eastAsia="仿宋" w:cs="Times New Roman"/>
          <w:bCs w:val="0"/>
          <w:kern w:val="2"/>
          <w:sz w:val="24"/>
          <w:szCs w:val="24"/>
          <w:lang w:val="en-US" w:eastAsia="zh-CN" w:bidi="ar-SA"/>
        </w:rPr>
      </w:pPr>
      <w:r>
        <w:rPr>
          <w:rFonts w:hint="default" w:ascii="Times New Roman" w:hAnsi="Times New Roman" w:eastAsia="仿宋" w:cs="Times New Roman"/>
          <w:bCs w:val="0"/>
          <w:kern w:val="2"/>
          <w:sz w:val="24"/>
          <w:szCs w:val="24"/>
          <w:lang w:val="en-US" w:eastAsia="zh-CN" w:bidi="ar-SA"/>
        </w:rPr>
        <w:fldChar w:fldCharType="begin"/>
      </w:r>
      <w:r>
        <w:rPr>
          <w:rFonts w:hint="default" w:ascii="Times New Roman" w:hAnsi="Times New Roman" w:eastAsia="仿宋" w:cs="Times New Roman"/>
          <w:bCs w:val="0"/>
          <w:kern w:val="2"/>
          <w:sz w:val="24"/>
          <w:szCs w:val="24"/>
          <w:lang w:val="en-US" w:eastAsia="zh-CN" w:bidi="ar-SA"/>
        </w:rPr>
        <w:instrText xml:space="preserve"> HYPERLINK \l _Toc10789 </w:instrText>
      </w:r>
      <w:r>
        <w:rPr>
          <w:rFonts w:hint="default" w:ascii="Times New Roman" w:hAnsi="Times New Roman" w:eastAsia="仿宋" w:cs="Times New Roman"/>
          <w:bCs w:val="0"/>
          <w:kern w:val="2"/>
          <w:sz w:val="24"/>
          <w:szCs w:val="24"/>
          <w:lang w:val="en-US" w:eastAsia="zh-CN" w:bidi="ar-SA"/>
        </w:rPr>
        <w:fldChar w:fldCharType="separate"/>
      </w:r>
      <w:r>
        <w:rPr>
          <w:rFonts w:hint="default" w:eastAsia="方正仿宋_GBK" w:cs="仿宋_GB2312"/>
          <w:color w:val="auto"/>
          <w:sz w:val="28"/>
          <w:szCs w:val="28"/>
          <w:lang w:val="en-US" w:eastAsia="zh-CN"/>
        </w:rPr>
        <w:t>一、收入支出决算总体情况说明</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fldChar w:fldCharType="begin"/>
      </w:r>
      <w:r>
        <w:rPr>
          <w:rFonts w:hint="default" w:ascii="Times New Roman" w:hAnsi="Times New Roman" w:eastAsia="方正黑体_GBK" w:cs="黑体"/>
          <w:color w:val="auto"/>
          <w:kern w:val="2"/>
          <w:sz w:val="28"/>
          <w:szCs w:val="28"/>
          <w:lang w:val="en-US" w:eastAsia="zh-CN" w:bidi="ar-SA"/>
        </w:rPr>
        <w:instrText xml:space="preserve"> PAGEREF _Toc10789 </w:instrText>
      </w:r>
      <w:r>
        <w:rPr>
          <w:rFonts w:hint="default" w:ascii="Times New Roman" w:hAnsi="Times New Roman" w:eastAsia="方正黑体_GBK" w:cs="黑体"/>
          <w:color w:val="auto"/>
          <w:kern w:val="2"/>
          <w:sz w:val="28"/>
          <w:szCs w:val="28"/>
          <w:lang w:val="en-US" w:eastAsia="zh-CN" w:bidi="ar-SA"/>
        </w:rPr>
        <w:fldChar w:fldCharType="separate"/>
      </w:r>
      <w:r>
        <w:rPr>
          <w:rFonts w:hint="default" w:ascii="Times New Roman" w:hAnsi="Times New Roman" w:eastAsia="方正黑体_GBK" w:cs="黑体"/>
          <w:color w:val="auto"/>
          <w:kern w:val="2"/>
          <w:sz w:val="28"/>
          <w:szCs w:val="28"/>
          <w:lang w:val="en-US" w:eastAsia="zh-CN" w:bidi="ar-SA"/>
        </w:rPr>
        <w:t>5</w:t>
      </w:r>
      <w:r>
        <w:rPr>
          <w:rFonts w:hint="default" w:ascii="Times New Roman" w:hAnsi="Times New Roman" w:eastAsia="方正黑体_GBK" w:cs="黑体"/>
          <w:color w:val="auto"/>
          <w:kern w:val="2"/>
          <w:sz w:val="28"/>
          <w:szCs w:val="28"/>
          <w:lang w:val="en-US" w:eastAsia="zh-CN" w:bidi="ar-SA"/>
        </w:rPr>
        <w:fldChar w:fldCharType="end"/>
      </w:r>
      <w:r>
        <w:rPr>
          <w:rFonts w:hint="default" w:ascii="Times New Roman" w:hAnsi="Times New Roman" w:eastAsia="仿宋" w:cs="Times New Roman"/>
          <w:bCs w:val="0"/>
          <w:kern w:val="2"/>
          <w:sz w:val="24"/>
          <w:szCs w:val="24"/>
          <w:lang w:val="en-US" w:eastAsia="zh-CN" w:bidi="ar-SA"/>
        </w:rPr>
        <w:fldChar w:fldCharType="end"/>
      </w:r>
    </w:p>
    <w:p w14:paraId="44544D5C">
      <w:pPr>
        <w:pStyle w:val="19"/>
        <w:tabs>
          <w:tab w:val="right" w:leader="dot" w:pos="8306"/>
        </w:tabs>
        <w:rPr>
          <w:rFonts w:hint="default" w:ascii="Times New Roman" w:hAnsi="Times New Roman" w:eastAsia="仿宋" w:cs="Times New Roman"/>
          <w:bCs w:val="0"/>
          <w:kern w:val="2"/>
          <w:sz w:val="24"/>
          <w:szCs w:val="24"/>
          <w:lang w:val="en-US" w:eastAsia="zh-CN" w:bidi="ar-SA"/>
        </w:rPr>
      </w:pPr>
      <w:r>
        <w:rPr>
          <w:rFonts w:hint="default" w:ascii="Times New Roman" w:hAnsi="Times New Roman" w:eastAsia="仿宋" w:cs="Times New Roman"/>
          <w:bCs w:val="0"/>
          <w:kern w:val="2"/>
          <w:sz w:val="24"/>
          <w:szCs w:val="24"/>
          <w:lang w:val="en-US" w:eastAsia="zh-CN" w:bidi="ar-SA"/>
        </w:rPr>
        <w:fldChar w:fldCharType="begin"/>
      </w:r>
      <w:r>
        <w:rPr>
          <w:rFonts w:hint="default" w:ascii="Times New Roman" w:hAnsi="Times New Roman" w:eastAsia="仿宋" w:cs="Times New Roman"/>
          <w:bCs w:val="0"/>
          <w:kern w:val="2"/>
          <w:sz w:val="24"/>
          <w:szCs w:val="24"/>
          <w:lang w:val="en-US" w:eastAsia="zh-CN" w:bidi="ar-SA"/>
        </w:rPr>
        <w:instrText xml:space="preserve"> HYPERLINK \l _Toc1945 </w:instrText>
      </w:r>
      <w:r>
        <w:rPr>
          <w:rFonts w:hint="default" w:ascii="Times New Roman" w:hAnsi="Times New Roman" w:eastAsia="仿宋" w:cs="Times New Roman"/>
          <w:bCs w:val="0"/>
          <w:kern w:val="2"/>
          <w:sz w:val="24"/>
          <w:szCs w:val="24"/>
          <w:lang w:val="en-US" w:eastAsia="zh-CN" w:bidi="ar-SA"/>
        </w:rPr>
        <w:fldChar w:fldCharType="separate"/>
      </w:r>
      <w:r>
        <w:rPr>
          <w:rFonts w:hint="default" w:eastAsia="方正仿宋_GBK" w:cs="仿宋_GB2312"/>
          <w:color w:val="auto"/>
          <w:sz w:val="28"/>
          <w:szCs w:val="28"/>
          <w:lang w:val="en-US" w:eastAsia="zh-CN"/>
        </w:rPr>
        <w:t>二、收入决算情况说明</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fldChar w:fldCharType="begin"/>
      </w:r>
      <w:r>
        <w:rPr>
          <w:rFonts w:hint="default" w:ascii="Times New Roman" w:hAnsi="Times New Roman" w:eastAsia="方正黑体_GBK" w:cs="黑体"/>
          <w:color w:val="auto"/>
          <w:kern w:val="2"/>
          <w:sz w:val="28"/>
          <w:szCs w:val="28"/>
          <w:lang w:val="en-US" w:eastAsia="zh-CN" w:bidi="ar-SA"/>
        </w:rPr>
        <w:instrText xml:space="preserve"> PAGEREF _Toc1945 </w:instrText>
      </w:r>
      <w:r>
        <w:rPr>
          <w:rFonts w:hint="default" w:ascii="Times New Roman" w:hAnsi="Times New Roman" w:eastAsia="方正黑体_GBK" w:cs="黑体"/>
          <w:color w:val="auto"/>
          <w:kern w:val="2"/>
          <w:sz w:val="28"/>
          <w:szCs w:val="28"/>
          <w:lang w:val="en-US" w:eastAsia="zh-CN" w:bidi="ar-SA"/>
        </w:rPr>
        <w:fldChar w:fldCharType="separate"/>
      </w:r>
      <w:r>
        <w:rPr>
          <w:rFonts w:hint="default" w:ascii="Times New Roman" w:hAnsi="Times New Roman" w:eastAsia="方正黑体_GBK" w:cs="黑体"/>
          <w:color w:val="auto"/>
          <w:kern w:val="2"/>
          <w:sz w:val="28"/>
          <w:szCs w:val="28"/>
          <w:lang w:val="en-US" w:eastAsia="zh-CN" w:bidi="ar-SA"/>
        </w:rPr>
        <w:t>5</w:t>
      </w:r>
      <w:r>
        <w:rPr>
          <w:rFonts w:hint="default" w:ascii="Times New Roman" w:hAnsi="Times New Roman" w:eastAsia="方正黑体_GBK" w:cs="黑体"/>
          <w:color w:val="auto"/>
          <w:kern w:val="2"/>
          <w:sz w:val="28"/>
          <w:szCs w:val="28"/>
          <w:lang w:val="en-US" w:eastAsia="zh-CN" w:bidi="ar-SA"/>
        </w:rPr>
        <w:fldChar w:fldCharType="end"/>
      </w:r>
      <w:r>
        <w:rPr>
          <w:rFonts w:hint="default" w:ascii="Times New Roman" w:hAnsi="Times New Roman" w:eastAsia="仿宋" w:cs="Times New Roman"/>
          <w:bCs w:val="0"/>
          <w:kern w:val="2"/>
          <w:sz w:val="24"/>
          <w:szCs w:val="24"/>
          <w:lang w:val="en-US" w:eastAsia="zh-CN" w:bidi="ar-SA"/>
        </w:rPr>
        <w:fldChar w:fldCharType="end"/>
      </w:r>
    </w:p>
    <w:p w14:paraId="243851B5">
      <w:pPr>
        <w:pStyle w:val="19"/>
        <w:tabs>
          <w:tab w:val="right" w:leader="dot" w:pos="8306"/>
        </w:tabs>
        <w:rPr>
          <w:rFonts w:hint="default" w:ascii="Times New Roman" w:hAnsi="Times New Roman" w:eastAsia="仿宋" w:cs="Times New Roman"/>
          <w:bCs w:val="0"/>
          <w:kern w:val="2"/>
          <w:sz w:val="24"/>
          <w:szCs w:val="24"/>
          <w:lang w:val="en-US" w:eastAsia="zh-CN" w:bidi="ar-SA"/>
        </w:rPr>
      </w:pPr>
      <w:r>
        <w:rPr>
          <w:rFonts w:hint="default" w:ascii="Times New Roman" w:hAnsi="Times New Roman" w:eastAsia="仿宋" w:cs="Times New Roman"/>
          <w:bCs w:val="0"/>
          <w:kern w:val="2"/>
          <w:sz w:val="24"/>
          <w:szCs w:val="24"/>
          <w:lang w:val="en-US" w:eastAsia="zh-CN" w:bidi="ar-SA"/>
        </w:rPr>
        <w:fldChar w:fldCharType="begin"/>
      </w:r>
      <w:r>
        <w:rPr>
          <w:rFonts w:hint="default" w:ascii="Times New Roman" w:hAnsi="Times New Roman" w:eastAsia="仿宋" w:cs="Times New Roman"/>
          <w:bCs w:val="0"/>
          <w:kern w:val="2"/>
          <w:sz w:val="24"/>
          <w:szCs w:val="24"/>
          <w:lang w:val="en-US" w:eastAsia="zh-CN" w:bidi="ar-SA"/>
        </w:rPr>
        <w:instrText xml:space="preserve"> HYPERLINK \l _Toc28543 </w:instrText>
      </w:r>
      <w:r>
        <w:rPr>
          <w:rFonts w:hint="default" w:ascii="Times New Roman" w:hAnsi="Times New Roman" w:eastAsia="仿宋" w:cs="Times New Roman"/>
          <w:bCs w:val="0"/>
          <w:kern w:val="2"/>
          <w:sz w:val="24"/>
          <w:szCs w:val="24"/>
          <w:lang w:val="en-US" w:eastAsia="zh-CN" w:bidi="ar-SA"/>
        </w:rPr>
        <w:fldChar w:fldCharType="separate"/>
      </w:r>
      <w:r>
        <w:rPr>
          <w:rFonts w:hint="default" w:eastAsia="方正仿宋_GBK" w:cs="仿宋_GB2312"/>
          <w:color w:val="auto"/>
          <w:sz w:val="28"/>
          <w:szCs w:val="28"/>
          <w:lang w:val="en-US" w:eastAsia="zh-CN"/>
        </w:rPr>
        <w:t>三、支出决算情况说明</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fldChar w:fldCharType="begin"/>
      </w:r>
      <w:r>
        <w:rPr>
          <w:rFonts w:hint="default" w:ascii="Times New Roman" w:hAnsi="Times New Roman" w:eastAsia="方正黑体_GBK" w:cs="黑体"/>
          <w:color w:val="auto"/>
          <w:kern w:val="2"/>
          <w:sz w:val="28"/>
          <w:szCs w:val="28"/>
          <w:lang w:val="en-US" w:eastAsia="zh-CN" w:bidi="ar-SA"/>
        </w:rPr>
        <w:instrText xml:space="preserve"> PAGEREF _Toc28543 </w:instrText>
      </w:r>
      <w:r>
        <w:rPr>
          <w:rFonts w:hint="default" w:ascii="Times New Roman" w:hAnsi="Times New Roman" w:eastAsia="方正黑体_GBK" w:cs="黑体"/>
          <w:color w:val="auto"/>
          <w:kern w:val="2"/>
          <w:sz w:val="28"/>
          <w:szCs w:val="28"/>
          <w:lang w:val="en-US" w:eastAsia="zh-CN" w:bidi="ar-SA"/>
        </w:rPr>
        <w:fldChar w:fldCharType="separate"/>
      </w:r>
      <w:r>
        <w:rPr>
          <w:rFonts w:hint="default" w:ascii="Times New Roman" w:hAnsi="Times New Roman" w:eastAsia="方正黑体_GBK" w:cs="黑体"/>
          <w:color w:val="auto"/>
          <w:kern w:val="2"/>
          <w:sz w:val="28"/>
          <w:szCs w:val="28"/>
          <w:lang w:val="en-US" w:eastAsia="zh-CN" w:bidi="ar-SA"/>
        </w:rPr>
        <w:t>6</w:t>
      </w:r>
      <w:r>
        <w:rPr>
          <w:rFonts w:hint="default" w:ascii="Times New Roman" w:hAnsi="Times New Roman" w:eastAsia="方正黑体_GBK" w:cs="黑体"/>
          <w:color w:val="auto"/>
          <w:kern w:val="2"/>
          <w:sz w:val="28"/>
          <w:szCs w:val="28"/>
          <w:lang w:val="en-US" w:eastAsia="zh-CN" w:bidi="ar-SA"/>
        </w:rPr>
        <w:fldChar w:fldCharType="end"/>
      </w:r>
      <w:r>
        <w:rPr>
          <w:rFonts w:hint="default" w:ascii="Times New Roman" w:hAnsi="Times New Roman" w:eastAsia="仿宋" w:cs="Times New Roman"/>
          <w:bCs w:val="0"/>
          <w:kern w:val="2"/>
          <w:sz w:val="24"/>
          <w:szCs w:val="24"/>
          <w:lang w:val="en-US" w:eastAsia="zh-CN" w:bidi="ar-SA"/>
        </w:rPr>
        <w:fldChar w:fldCharType="end"/>
      </w:r>
    </w:p>
    <w:p w14:paraId="18486171">
      <w:pPr>
        <w:pStyle w:val="19"/>
        <w:tabs>
          <w:tab w:val="right" w:leader="dot" w:pos="8306"/>
        </w:tabs>
        <w:rPr>
          <w:rFonts w:hint="default" w:ascii="Times New Roman" w:hAnsi="Times New Roman" w:eastAsia="仿宋" w:cs="Times New Roman"/>
          <w:bCs w:val="0"/>
          <w:kern w:val="2"/>
          <w:sz w:val="24"/>
          <w:szCs w:val="24"/>
          <w:lang w:val="en-US" w:eastAsia="zh-CN" w:bidi="ar-SA"/>
        </w:rPr>
      </w:pPr>
      <w:r>
        <w:rPr>
          <w:rFonts w:hint="default" w:ascii="Times New Roman" w:hAnsi="Times New Roman" w:eastAsia="仿宋" w:cs="Times New Roman"/>
          <w:bCs w:val="0"/>
          <w:kern w:val="2"/>
          <w:sz w:val="24"/>
          <w:szCs w:val="24"/>
          <w:lang w:val="en-US" w:eastAsia="zh-CN" w:bidi="ar-SA"/>
        </w:rPr>
        <w:fldChar w:fldCharType="begin"/>
      </w:r>
      <w:r>
        <w:rPr>
          <w:rFonts w:hint="default" w:ascii="Times New Roman" w:hAnsi="Times New Roman" w:eastAsia="仿宋" w:cs="Times New Roman"/>
          <w:bCs w:val="0"/>
          <w:kern w:val="2"/>
          <w:sz w:val="24"/>
          <w:szCs w:val="24"/>
          <w:lang w:val="en-US" w:eastAsia="zh-CN" w:bidi="ar-SA"/>
        </w:rPr>
        <w:instrText xml:space="preserve"> HYPERLINK \l _Toc28195 </w:instrText>
      </w:r>
      <w:r>
        <w:rPr>
          <w:rFonts w:hint="default" w:ascii="Times New Roman" w:hAnsi="Times New Roman" w:eastAsia="仿宋" w:cs="Times New Roman"/>
          <w:bCs w:val="0"/>
          <w:kern w:val="2"/>
          <w:sz w:val="24"/>
          <w:szCs w:val="24"/>
          <w:lang w:val="en-US" w:eastAsia="zh-CN" w:bidi="ar-SA"/>
        </w:rPr>
        <w:fldChar w:fldCharType="separate"/>
      </w:r>
      <w:r>
        <w:rPr>
          <w:rFonts w:hint="default" w:eastAsia="方正仿宋_GBK" w:cs="仿宋_GB2312"/>
          <w:color w:val="auto"/>
          <w:sz w:val="28"/>
          <w:szCs w:val="28"/>
          <w:lang w:val="en-US" w:eastAsia="zh-CN"/>
        </w:rPr>
        <w:t>四、财政拨款收入支出决算总体情况说明</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fldChar w:fldCharType="begin"/>
      </w:r>
      <w:r>
        <w:rPr>
          <w:rFonts w:hint="default" w:ascii="Times New Roman" w:hAnsi="Times New Roman" w:eastAsia="方正黑体_GBK" w:cs="黑体"/>
          <w:color w:val="auto"/>
          <w:kern w:val="2"/>
          <w:sz w:val="28"/>
          <w:szCs w:val="28"/>
          <w:lang w:val="en-US" w:eastAsia="zh-CN" w:bidi="ar-SA"/>
        </w:rPr>
        <w:instrText xml:space="preserve"> PAGEREF _Toc28195 </w:instrText>
      </w:r>
      <w:r>
        <w:rPr>
          <w:rFonts w:hint="default" w:ascii="Times New Roman" w:hAnsi="Times New Roman" w:eastAsia="方正黑体_GBK" w:cs="黑体"/>
          <w:color w:val="auto"/>
          <w:kern w:val="2"/>
          <w:sz w:val="28"/>
          <w:szCs w:val="28"/>
          <w:lang w:val="en-US" w:eastAsia="zh-CN" w:bidi="ar-SA"/>
        </w:rPr>
        <w:fldChar w:fldCharType="separate"/>
      </w:r>
      <w:r>
        <w:rPr>
          <w:rFonts w:hint="default" w:ascii="Times New Roman" w:hAnsi="Times New Roman" w:eastAsia="方正黑体_GBK" w:cs="黑体"/>
          <w:color w:val="auto"/>
          <w:kern w:val="2"/>
          <w:sz w:val="28"/>
          <w:szCs w:val="28"/>
          <w:lang w:val="en-US" w:eastAsia="zh-CN" w:bidi="ar-SA"/>
        </w:rPr>
        <w:t>6</w:t>
      </w:r>
      <w:r>
        <w:rPr>
          <w:rFonts w:hint="default" w:ascii="Times New Roman" w:hAnsi="Times New Roman" w:eastAsia="方正黑体_GBK" w:cs="黑体"/>
          <w:color w:val="auto"/>
          <w:kern w:val="2"/>
          <w:sz w:val="28"/>
          <w:szCs w:val="28"/>
          <w:lang w:val="en-US" w:eastAsia="zh-CN" w:bidi="ar-SA"/>
        </w:rPr>
        <w:fldChar w:fldCharType="end"/>
      </w:r>
      <w:r>
        <w:rPr>
          <w:rFonts w:hint="default" w:ascii="Times New Roman" w:hAnsi="Times New Roman" w:eastAsia="仿宋" w:cs="Times New Roman"/>
          <w:bCs w:val="0"/>
          <w:kern w:val="2"/>
          <w:sz w:val="24"/>
          <w:szCs w:val="24"/>
          <w:lang w:val="en-US" w:eastAsia="zh-CN" w:bidi="ar-SA"/>
        </w:rPr>
        <w:fldChar w:fldCharType="end"/>
      </w:r>
    </w:p>
    <w:p w14:paraId="547E37E7">
      <w:pPr>
        <w:pStyle w:val="19"/>
        <w:tabs>
          <w:tab w:val="right" w:leader="dot" w:pos="8306"/>
        </w:tabs>
        <w:rPr>
          <w:rFonts w:hint="default" w:ascii="Times New Roman" w:hAnsi="Times New Roman" w:eastAsia="仿宋" w:cs="Times New Roman"/>
          <w:bCs w:val="0"/>
          <w:kern w:val="2"/>
          <w:sz w:val="24"/>
          <w:szCs w:val="24"/>
          <w:lang w:val="en-US" w:eastAsia="zh-CN" w:bidi="ar-SA"/>
        </w:rPr>
      </w:pPr>
      <w:r>
        <w:rPr>
          <w:rFonts w:hint="default" w:ascii="Times New Roman" w:hAnsi="Times New Roman" w:eastAsia="仿宋" w:cs="Times New Roman"/>
          <w:bCs w:val="0"/>
          <w:kern w:val="2"/>
          <w:sz w:val="24"/>
          <w:szCs w:val="24"/>
          <w:lang w:val="en-US" w:eastAsia="zh-CN" w:bidi="ar-SA"/>
        </w:rPr>
        <w:fldChar w:fldCharType="begin"/>
      </w:r>
      <w:r>
        <w:rPr>
          <w:rFonts w:hint="default" w:ascii="Times New Roman" w:hAnsi="Times New Roman" w:eastAsia="仿宋" w:cs="Times New Roman"/>
          <w:bCs w:val="0"/>
          <w:kern w:val="2"/>
          <w:sz w:val="24"/>
          <w:szCs w:val="24"/>
          <w:lang w:val="en-US" w:eastAsia="zh-CN" w:bidi="ar-SA"/>
        </w:rPr>
        <w:instrText xml:space="preserve"> HYPERLINK \l _Toc1561 </w:instrText>
      </w:r>
      <w:r>
        <w:rPr>
          <w:rFonts w:hint="default" w:ascii="Times New Roman" w:hAnsi="Times New Roman" w:eastAsia="仿宋" w:cs="Times New Roman"/>
          <w:bCs w:val="0"/>
          <w:kern w:val="2"/>
          <w:sz w:val="24"/>
          <w:szCs w:val="24"/>
          <w:lang w:val="en-US" w:eastAsia="zh-CN" w:bidi="ar-SA"/>
        </w:rPr>
        <w:fldChar w:fldCharType="separate"/>
      </w:r>
      <w:r>
        <w:rPr>
          <w:rFonts w:hint="default" w:eastAsia="方正仿宋_GBK" w:cs="仿宋_GB2312"/>
          <w:color w:val="auto"/>
          <w:sz w:val="28"/>
          <w:szCs w:val="28"/>
          <w:lang w:val="en-US" w:eastAsia="zh-CN"/>
        </w:rPr>
        <w:t>五、一般公共预算财政拨款支出决算情况说明</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fldChar w:fldCharType="begin"/>
      </w:r>
      <w:r>
        <w:rPr>
          <w:rFonts w:hint="default" w:ascii="Times New Roman" w:hAnsi="Times New Roman" w:eastAsia="方正黑体_GBK" w:cs="黑体"/>
          <w:color w:val="auto"/>
          <w:kern w:val="2"/>
          <w:sz w:val="28"/>
          <w:szCs w:val="28"/>
          <w:lang w:val="en-US" w:eastAsia="zh-CN" w:bidi="ar-SA"/>
        </w:rPr>
        <w:instrText xml:space="preserve"> PAGEREF _Toc1561 </w:instrText>
      </w:r>
      <w:r>
        <w:rPr>
          <w:rFonts w:hint="default" w:ascii="Times New Roman" w:hAnsi="Times New Roman" w:eastAsia="方正黑体_GBK" w:cs="黑体"/>
          <w:color w:val="auto"/>
          <w:kern w:val="2"/>
          <w:sz w:val="28"/>
          <w:szCs w:val="28"/>
          <w:lang w:val="en-US" w:eastAsia="zh-CN" w:bidi="ar-SA"/>
        </w:rPr>
        <w:fldChar w:fldCharType="separate"/>
      </w:r>
      <w:r>
        <w:rPr>
          <w:rFonts w:hint="default" w:ascii="Times New Roman" w:hAnsi="Times New Roman" w:eastAsia="方正黑体_GBK" w:cs="黑体"/>
          <w:color w:val="auto"/>
          <w:kern w:val="2"/>
          <w:sz w:val="28"/>
          <w:szCs w:val="28"/>
          <w:lang w:val="en-US" w:eastAsia="zh-CN" w:bidi="ar-SA"/>
        </w:rPr>
        <w:t>7</w:t>
      </w:r>
      <w:r>
        <w:rPr>
          <w:rFonts w:hint="default" w:ascii="Times New Roman" w:hAnsi="Times New Roman" w:eastAsia="方正黑体_GBK" w:cs="黑体"/>
          <w:color w:val="auto"/>
          <w:kern w:val="2"/>
          <w:sz w:val="28"/>
          <w:szCs w:val="28"/>
          <w:lang w:val="en-US" w:eastAsia="zh-CN" w:bidi="ar-SA"/>
        </w:rPr>
        <w:fldChar w:fldCharType="end"/>
      </w:r>
      <w:r>
        <w:rPr>
          <w:rFonts w:hint="default" w:ascii="Times New Roman" w:hAnsi="Times New Roman" w:eastAsia="仿宋" w:cs="Times New Roman"/>
          <w:bCs w:val="0"/>
          <w:kern w:val="2"/>
          <w:sz w:val="24"/>
          <w:szCs w:val="24"/>
          <w:lang w:val="en-US" w:eastAsia="zh-CN" w:bidi="ar-SA"/>
        </w:rPr>
        <w:fldChar w:fldCharType="end"/>
      </w:r>
    </w:p>
    <w:p w14:paraId="3AE90946">
      <w:pPr>
        <w:pStyle w:val="19"/>
        <w:tabs>
          <w:tab w:val="right" w:leader="dot" w:pos="8306"/>
        </w:tabs>
        <w:rPr>
          <w:rFonts w:hint="default" w:ascii="Times New Roman" w:hAnsi="Times New Roman" w:eastAsia="仿宋" w:cs="Times New Roman"/>
          <w:bCs w:val="0"/>
          <w:kern w:val="2"/>
          <w:sz w:val="24"/>
          <w:szCs w:val="24"/>
          <w:lang w:val="en-US" w:eastAsia="zh-CN" w:bidi="ar-SA"/>
        </w:rPr>
      </w:pPr>
      <w:r>
        <w:rPr>
          <w:rFonts w:hint="default" w:ascii="Times New Roman" w:hAnsi="Times New Roman" w:eastAsia="仿宋" w:cs="Times New Roman"/>
          <w:bCs w:val="0"/>
          <w:kern w:val="2"/>
          <w:sz w:val="24"/>
          <w:szCs w:val="24"/>
          <w:lang w:val="en-US" w:eastAsia="zh-CN" w:bidi="ar-SA"/>
        </w:rPr>
        <w:fldChar w:fldCharType="begin"/>
      </w:r>
      <w:r>
        <w:rPr>
          <w:rFonts w:hint="default" w:ascii="Times New Roman" w:hAnsi="Times New Roman" w:eastAsia="仿宋" w:cs="Times New Roman"/>
          <w:bCs w:val="0"/>
          <w:kern w:val="2"/>
          <w:sz w:val="24"/>
          <w:szCs w:val="24"/>
          <w:lang w:val="en-US" w:eastAsia="zh-CN" w:bidi="ar-SA"/>
        </w:rPr>
        <w:instrText xml:space="preserve"> HYPERLINK \l _Toc15144 </w:instrText>
      </w:r>
      <w:r>
        <w:rPr>
          <w:rFonts w:hint="default" w:ascii="Times New Roman" w:hAnsi="Times New Roman" w:eastAsia="仿宋" w:cs="Times New Roman"/>
          <w:bCs w:val="0"/>
          <w:kern w:val="2"/>
          <w:sz w:val="24"/>
          <w:szCs w:val="24"/>
          <w:lang w:val="en-US" w:eastAsia="zh-CN" w:bidi="ar-SA"/>
        </w:rPr>
        <w:fldChar w:fldCharType="separate"/>
      </w:r>
      <w:r>
        <w:rPr>
          <w:rFonts w:hint="default" w:eastAsia="方正仿宋_GBK" w:cs="仿宋_GB2312"/>
          <w:color w:val="auto"/>
          <w:sz w:val="28"/>
          <w:szCs w:val="28"/>
          <w:lang w:val="en-US" w:eastAsia="zh-CN"/>
        </w:rPr>
        <w:t>六、一般公共预算财政拨款基本支出决算情况说明</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fldChar w:fldCharType="begin"/>
      </w:r>
      <w:r>
        <w:rPr>
          <w:rFonts w:hint="default" w:ascii="Times New Roman" w:hAnsi="Times New Roman" w:eastAsia="方正黑体_GBK" w:cs="黑体"/>
          <w:color w:val="auto"/>
          <w:kern w:val="2"/>
          <w:sz w:val="28"/>
          <w:szCs w:val="28"/>
          <w:lang w:val="en-US" w:eastAsia="zh-CN" w:bidi="ar-SA"/>
        </w:rPr>
        <w:instrText xml:space="preserve"> PAGEREF _Toc15144 </w:instrText>
      </w:r>
      <w:r>
        <w:rPr>
          <w:rFonts w:hint="default" w:ascii="Times New Roman" w:hAnsi="Times New Roman" w:eastAsia="方正黑体_GBK" w:cs="黑体"/>
          <w:color w:val="auto"/>
          <w:kern w:val="2"/>
          <w:sz w:val="28"/>
          <w:szCs w:val="28"/>
          <w:lang w:val="en-US" w:eastAsia="zh-CN" w:bidi="ar-SA"/>
        </w:rPr>
        <w:fldChar w:fldCharType="separate"/>
      </w:r>
      <w:r>
        <w:rPr>
          <w:rFonts w:hint="default" w:ascii="Times New Roman" w:hAnsi="Times New Roman" w:eastAsia="方正黑体_GBK" w:cs="黑体"/>
          <w:color w:val="auto"/>
          <w:kern w:val="2"/>
          <w:sz w:val="28"/>
          <w:szCs w:val="28"/>
          <w:lang w:val="en-US" w:eastAsia="zh-CN" w:bidi="ar-SA"/>
        </w:rPr>
        <w:t>10</w:t>
      </w:r>
      <w:r>
        <w:rPr>
          <w:rFonts w:hint="default" w:ascii="Times New Roman" w:hAnsi="Times New Roman" w:eastAsia="方正黑体_GBK" w:cs="黑体"/>
          <w:color w:val="auto"/>
          <w:kern w:val="2"/>
          <w:sz w:val="28"/>
          <w:szCs w:val="28"/>
          <w:lang w:val="en-US" w:eastAsia="zh-CN" w:bidi="ar-SA"/>
        </w:rPr>
        <w:fldChar w:fldCharType="end"/>
      </w:r>
      <w:r>
        <w:rPr>
          <w:rFonts w:hint="default" w:ascii="Times New Roman" w:hAnsi="Times New Roman" w:eastAsia="仿宋" w:cs="Times New Roman"/>
          <w:bCs w:val="0"/>
          <w:kern w:val="2"/>
          <w:sz w:val="24"/>
          <w:szCs w:val="24"/>
          <w:lang w:val="en-US" w:eastAsia="zh-CN" w:bidi="ar-SA"/>
        </w:rPr>
        <w:fldChar w:fldCharType="end"/>
      </w:r>
    </w:p>
    <w:p w14:paraId="50E06F4F">
      <w:pPr>
        <w:pStyle w:val="19"/>
        <w:tabs>
          <w:tab w:val="right" w:leader="dot" w:pos="8306"/>
        </w:tabs>
        <w:rPr>
          <w:rFonts w:hint="default" w:ascii="Times New Roman" w:hAnsi="Times New Roman" w:eastAsia="仿宋" w:cs="Times New Roman"/>
          <w:bCs w:val="0"/>
          <w:kern w:val="2"/>
          <w:sz w:val="24"/>
          <w:szCs w:val="24"/>
          <w:lang w:val="en-US" w:eastAsia="zh-CN" w:bidi="ar-SA"/>
        </w:rPr>
      </w:pPr>
      <w:r>
        <w:rPr>
          <w:rFonts w:hint="default" w:ascii="Times New Roman" w:hAnsi="Times New Roman" w:eastAsia="仿宋" w:cs="Times New Roman"/>
          <w:bCs w:val="0"/>
          <w:kern w:val="2"/>
          <w:sz w:val="24"/>
          <w:szCs w:val="24"/>
          <w:lang w:val="en-US" w:eastAsia="zh-CN" w:bidi="ar-SA"/>
        </w:rPr>
        <w:fldChar w:fldCharType="begin"/>
      </w:r>
      <w:r>
        <w:rPr>
          <w:rFonts w:hint="default" w:ascii="Times New Roman" w:hAnsi="Times New Roman" w:eastAsia="仿宋" w:cs="Times New Roman"/>
          <w:bCs w:val="0"/>
          <w:kern w:val="2"/>
          <w:sz w:val="24"/>
          <w:szCs w:val="24"/>
          <w:lang w:val="en-US" w:eastAsia="zh-CN" w:bidi="ar-SA"/>
        </w:rPr>
        <w:instrText xml:space="preserve"> HYPERLINK \l _Toc23186 </w:instrText>
      </w:r>
      <w:r>
        <w:rPr>
          <w:rFonts w:hint="default" w:ascii="Times New Roman" w:hAnsi="Times New Roman" w:eastAsia="仿宋" w:cs="Times New Roman"/>
          <w:bCs w:val="0"/>
          <w:kern w:val="2"/>
          <w:sz w:val="24"/>
          <w:szCs w:val="24"/>
          <w:lang w:val="en-US" w:eastAsia="zh-CN" w:bidi="ar-SA"/>
        </w:rPr>
        <w:fldChar w:fldCharType="separate"/>
      </w:r>
      <w:r>
        <w:rPr>
          <w:rFonts w:hint="default" w:eastAsia="方正仿宋_GBK" w:cs="仿宋_GB2312"/>
          <w:color w:val="auto"/>
          <w:sz w:val="28"/>
          <w:szCs w:val="28"/>
          <w:lang w:val="en-US" w:eastAsia="zh-CN"/>
        </w:rPr>
        <w:t>七、财政拨款“三公”经费支出决算情况说明</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fldChar w:fldCharType="begin"/>
      </w:r>
      <w:r>
        <w:rPr>
          <w:rFonts w:hint="default" w:ascii="Times New Roman" w:hAnsi="Times New Roman" w:eastAsia="方正黑体_GBK" w:cs="黑体"/>
          <w:color w:val="auto"/>
          <w:kern w:val="2"/>
          <w:sz w:val="28"/>
          <w:szCs w:val="28"/>
          <w:lang w:val="en-US" w:eastAsia="zh-CN" w:bidi="ar-SA"/>
        </w:rPr>
        <w:instrText xml:space="preserve"> PAGEREF _Toc23186 </w:instrText>
      </w:r>
      <w:r>
        <w:rPr>
          <w:rFonts w:hint="default" w:ascii="Times New Roman" w:hAnsi="Times New Roman" w:eastAsia="方正黑体_GBK" w:cs="黑体"/>
          <w:color w:val="auto"/>
          <w:kern w:val="2"/>
          <w:sz w:val="28"/>
          <w:szCs w:val="28"/>
          <w:lang w:val="en-US" w:eastAsia="zh-CN" w:bidi="ar-SA"/>
        </w:rPr>
        <w:fldChar w:fldCharType="separate"/>
      </w:r>
      <w:r>
        <w:rPr>
          <w:rFonts w:hint="default" w:ascii="Times New Roman" w:hAnsi="Times New Roman" w:eastAsia="方正黑体_GBK" w:cs="黑体"/>
          <w:color w:val="auto"/>
          <w:kern w:val="2"/>
          <w:sz w:val="28"/>
          <w:szCs w:val="28"/>
          <w:lang w:val="en-US" w:eastAsia="zh-CN" w:bidi="ar-SA"/>
        </w:rPr>
        <w:t>10</w:t>
      </w:r>
      <w:r>
        <w:rPr>
          <w:rFonts w:hint="default" w:ascii="Times New Roman" w:hAnsi="Times New Roman" w:eastAsia="方正黑体_GBK" w:cs="黑体"/>
          <w:color w:val="auto"/>
          <w:kern w:val="2"/>
          <w:sz w:val="28"/>
          <w:szCs w:val="28"/>
          <w:lang w:val="en-US" w:eastAsia="zh-CN" w:bidi="ar-SA"/>
        </w:rPr>
        <w:fldChar w:fldCharType="end"/>
      </w:r>
      <w:r>
        <w:rPr>
          <w:rFonts w:hint="default" w:ascii="Times New Roman" w:hAnsi="Times New Roman" w:eastAsia="仿宋" w:cs="Times New Roman"/>
          <w:bCs w:val="0"/>
          <w:kern w:val="2"/>
          <w:sz w:val="24"/>
          <w:szCs w:val="24"/>
          <w:lang w:val="en-US" w:eastAsia="zh-CN" w:bidi="ar-SA"/>
        </w:rPr>
        <w:fldChar w:fldCharType="end"/>
      </w:r>
    </w:p>
    <w:p w14:paraId="3DC98961">
      <w:pPr>
        <w:pStyle w:val="19"/>
        <w:tabs>
          <w:tab w:val="right" w:leader="dot" w:pos="8306"/>
        </w:tabs>
        <w:rPr>
          <w:rFonts w:hint="default" w:ascii="Times New Roman" w:hAnsi="Times New Roman" w:eastAsia="仿宋" w:cs="Times New Roman"/>
          <w:bCs w:val="0"/>
          <w:kern w:val="2"/>
          <w:sz w:val="24"/>
          <w:szCs w:val="24"/>
          <w:lang w:val="en-US" w:eastAsia="zh-CN" w:bidi="ar-SA"/>
        </w:rPr>
      </w:pPr>
      <w:r>
        <w:rPr>
          <w:rFonts w:hint="default" w:ascii="Times New Roman" w:hAnsi="Times New Roman" w:eastAsia="仿宋" w:cs="Times New Roman"/>
          <w:bCs w:val="0"/>
          <w:kern w:val="2"/>
          <w:sz w:val="24"/>
          <w:szCs w:val="24"/>
          <w:lang w:val="en-US" w:eastAsia="zh-CN" w:bidi="ar-SA"/>
        </w:rPr>
        <w:fldChar w:fldCharType="begin"/>
      </w:r>
      <w:r>
        <w:rPr>
          <w:rFonts w:hint="default" w:ascii="Times New Roman" w:hAnsi="Times New Roman" w:eastAsia="仿宋" w:cs="Times New Roman"/>
          <w:bCs w:val="0"/>
          <w:kern w:val="2"/>
          <w:sz w:val="24"/>
          <w:szCs w:val="24"/>
          <w:lang w:val="en-US" w:eastAsia="zh-CN" w:bidi="ar-SA"/>
        </w:rPr>
        <w:instrText xml:space="preserve"> HYPERLINK \l _Toc22144 </w:instrText>
      </w:r>
      <w:r>
        <w:rPr>
          <w:rFonts w:hint="default" w:ascii="Times New Roman" w:hAnsi="Times New Roman" w:eastAsia="仿宋" w:cs="Times New Roman"/>
          <w:bCs w:val="0"/>
          <w:kern w:val="2"/>
          <w:sz w:val="24"/>
          <w:szCs w:val="24"/>
          <w:lang w:val="en-US" w:eastAsia="zh-CN" w:bidi="ar-SA"/>
        </w:rPr>
        <w:fldChar w:fldCharType="separate"/>
      </w:r>
      <w:r>
        <w:rPr>
          <w:rFonts w:hint="default" w:eastAsia="方正仿宋_GBK" w:cs="仿宋_GB2312"/>
          <w:color w:val="auto"/>
          <w:sz w:val="28"/>
          <w:szCs w:val="28"/>
          <w:lang w:val="en-US" w:eastAsia="zh-CN"/>
        </w:rPr>
        <w:t>八、政府性基金预算支出决算情况说明</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fldChar w:fldCharType="begin"/>
      </w:r>
      <w:r>
        <w:rPr>
          <w:rFonts w:hint="default" w:ascii="Times New Roman" w:hAnsi="Times New Roman" w:eastAsia="方正黑体_GBK" w:cs="黑体"/>
          <w:color w:val="auto"/>
          <w:kern w:val="2"/>
          <w:sz w:val="28"/>
          <w:szCs w:val="28"/>
          <w:lang w:val="en-US" w:eastAsia="zh-CN" w:bidi="ar-SA"/>
        </w:rPr>
        <w:instrText xml:space="preserve"> PAGEREF _Toc22144 </w:instrText>
      </w:r>
      <w:r>
        <w:rPr>
          <w:rFonts w:hint="default" w:ascii="Times New Roman" w:hAnsi="Times New Roman" w:eastAsia="方正黑体_GBK" w:cs="黑体"/>
          <w:color w:val="auto"/>
          <w:kern w:val="2"/>
          <w:sz w:val="28"/>
          <w:szCs w:val="28"/>
          <w:lang w:val="en-US" w:eastAsia="zh-CN" w:bidi="ar-SA"/>
        </w:rPr>
        <w:fldChar w:fldCharType="separate"/>
      </w:r>
      <w:r>
        <w:rPr>
          <w:rFonts w:hint="default" w:ascii="Times New Roman" w:hAnsi="Times New Roman" w:eastAsia="方正黑体_GBK" w:cs="黑体"/>
          <w:color w:val="auto"/>
          <w:kern w:val="2"/>
          <w:sz w:val="28"/>
          <w:szCs w:val="28"/>
          <w:lang w:val="en-US" w:eastAsia="zh-CN" w:bidi="ar-SA"/>
        </w:rPr>
        <w:t>12</w:t>
      </w:r>
      <w:r>
        <w:rPr>
          <w:rFonts w:hint="default" w:ascii="Times New Roman" w:hAnsi="Times New Roman" w:eastAsia="方正黑体_GBK" w:cs="黑体"/>
          <w:color w:val="auto"/>
          <w:kern w:val="2"/>
          <w:sz w:val="28"/>
          <w:szCs w:val="28"/>
          <w:lang w:val="en-US" w:eastAsia="zh-CN" w:bidi="ar-SA"/>
        </w:rPr>
        <w:fldChar w:fldCharType="end"/>
      </w:r>
      <w:r>
        <w:rPr>
          <w:rFonts w:hint="default" w:ascii="Times New Roman" w:hAnsi="Times New Roman" w:eastAsia="仿宋" w:cs="Times New Roman"/>
          <w:bCs w:val="0"/>
          <w:kern w:val="2"/>
          <w:sz w:val="24"/>
          <w:szCs w:val="24"/>
          <w:lang w:val="en-US" w:eastAsia="zh-CN" w:bidi="ar-SA"/>
        </w:rPr>
        <w:fldChar w:fldCharType="end"/>
      </w:r>
    </w:p>
    <w:p w14:paraId="6263F910">
      <w:pPr>
        <w:pStyle w:val="19"/>
        <w:tabs>
          <w:tab w:val="right" w:leader="dot" w:pos="8306"/>
        </w:tabs>
        <w:rPr>
          <w:rFonts w:hint="default" w:ascii="Times New Roman" w:hAnsi="Times New Roman" w:eastAsia="仿宋" w:cs="Times New Roman"/>
          <w:bCs w:val="0"/>
          <w:kern w:val="2"/>
          <w:sz w:val="24"/>
          <w:szCs w:val="24"/>
          <w:lang w:val="en-US" w:eastAsia="zh-CN" w:bidi="ar-SA"/>
        </w:rPr>
      </w:pPr>
      <w:r>
        <w:rPr>
          <w:rFonts w:hint="default" w:ascii="Times New Roman" w:hAnsi="Times New Roman" w:eastAsia="仿宋" w:cs="Times New Roman"/>
          <w:bCs w:val="0"/>
          <w:kern w:val="2"/>
          <w:sz w:val="24"/>
          <w:szCs w:val="24"/>
          <w:lang w:val="en-US" w:eastAsia="zh-CN" w:bidi="ar-SA"/>
        </w:rPr>
        <w:fldChar w:fldCharType="begin"/>
      </w:r>
      <w:r>
        <w:rPr>
          <w:rFonts w:hint="default" w:ascii="Times New Roman" w:hAnsi="Times New Roman" w:eastAsia="仿宋" w:cs="Times New Roman"/>
          <w:bCs w:val="0"/>
          <w:kern w:val="2"/>
          <w:sz w:val="24"/>
          <w:szCs w:val="24"/>
          <w:lang w:val="en-US" w:eastAsia="zh-CN" w:bidi="ar-SA"/>
        </w:rPr>
        <w:instrText xml:space="preserve"> HYPERLINK \l _Toc19325 </w:instrText>
      </w:r>
      <w:r>
        <w:rPr>
          <w:rFonts w:hint="default" w:ascii="Times New Roman" w:hAnsi="Times New Roman" w:eastAsia="仿宋" w:cs="Times New Roman"/>
          <w:bCs w:val="0"/>
          <w:kern w:val="2"/>
          <w:sz w:val="24"/>
          <w:szCs w:val="24"/>
          <w:lang w:val="en-US" w:eastAsia="zh-CN" w:bidi="ar-SA"/>
        </w:rPr>
        <w:fldChar w:fldCharType="separate"/>
      </w:r>
      <w:r>
        <w:rPr>
          <w:rFonts w:hint="default" w:eastAsia="方正仿宋_GBK" w:cs="仿宋_GB2312"/>
          <w:color w:val="auto"/>
          <w:sz w:val="28"/>
          <w:szCs w:val="28"/>
          <w:lang w:val="en-US" w:eastAsia="zh-CN"/>
        </w:rPr>
        <w:t>九、国有资本经营预算支出决算情况说明</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fldChar w:fldCharType="begin"/>
      </w:r>
      <w:r>
        <w:rPr>
          <w:rFonts w:hint="default" w:ascii="Times New Roman" w:hAnsi="Times New Roman" w:eastAsia="方正黑体_GBK" w:cs="黑体"/>
          <w:color w:val="auto"/>
          <w:kern w:val="2"/>
          <w:sz w:val="28"/>
          <w:szCs w:val="28"/>
          <w:lang w:val="en-US" w:eastAsia="zh-CN" w:bidi="ar-SA"/>
        </w:rPr>
        <w:instrText xml:space="preserve"> PAGEREF _Toc19325 </w:instrText>
      </w:r>
      <w:r>
        <w:rPr>
          <w:rFonts w:hint="default" w:ascii="Times New Roman" w:hAnsi="Times New Roman" w:eastAsia="方正黑体_GBK" w:cs="黑体"/>
          <w:color w:val="auto"/>
          <w:kern w:val="2"/>
          <w:sz w:val="28"/>
          <w:szCs w:val="28"/>
          <w:lang w:val="en-US" w:eastAsia="zh-CN" w:bidi="ar-SA"/>
        </w:rPr>
        <w:fldChar w:fldCharType="separate"/>
      </w:r>
      <w:r>
        <w:rPr>
          <w:rFonts w:hint="default" w:ascii="Times New Roman" w:hAnsi="Times New Roman" w:eastAsia="方正黑体_GBK" w:cs="黑体"/>
          <w:color w:val="auto"/>
          <w:kern w:val="2"/>
          <w:sz w:val="28"/>
          <w:szCs w:val="28"/>
          <w:lang w:val="en-US" w:eastAsia="zh-CN" w:bidi="ar-SA"/>
        </w:rPr>
        <w:t>13</w:t>
      </w:r>
      <w:r>
        <w:rPr>
          <w:rFonts w:hint="default" w:ascii="Times New Roman" w:hAnsi="Times New Roman" w:eastAsia="方正黑体_GBK" w:cs="黑体"/>
          <w:color w:val="auto"/>
          <w:kern w:val="2"/>
          <w:sz w:val="28"/>
          <w:szCs w:val="28"/>
          <w:lang w:val="en-US" w:eastAsia="zh-CN" w:bidi="ar-SA"/>
        </w:rPr>
        <w:fldChar w:fldCharType="end"/>
      </w:r>
      <w:r>
        <w:rPr>
          <w:rFonts w:hint="default" w:ascii="Times New Roman" w:hAnsi="Times New Roman" w:eastAsia="仿宋" w:cs="Times New Roman"/>
          <w:bCs w:val="0"/>
          <w:kern w:val="2"/>
          <w:sz w:val="24"/>
          <w:szCs w:val="24"/>
          <w:lang w:val="en-US" w:eastAsia="zh-CN" w:bidi="ar-SA"/>
        </w:rPr>
        <w:fldChar w:fldCharType="end"/>
      </w:r>
    </w:p>
    <w:p w14:paraId="210EB450">
      <w:pPr>
        <w:pStyle w:val="19"/>
        <w:tabs>
          <w:tab w:val="right" w:leader="dot" w:pos="8306"/>
        </w:tabs>
        <w:rPr>
          <w:rFonts w:hint="default" w:ascii="Times New Roman" w:hAnsi="Times New Roman" w:eastAsia="仿宋" w:cs="Times New Roman"/>
          <w:bCs w:val="0"/>
          <w:kern w:val="2"/>
          <w:sz w:val="24"/>
          <w:szCs w:val="24"/>
          <w:lang w:val="en-US" w:eastAsia="zh-CN" w:bidi="ar-SA"/>
        </w:rPr>
      </w:pPr>
      <w:r>
        <w:rPr>
          <w:rFonts w:hint="default" w:ascii="Times New Roman" w:hAnsi="Times New Roman" w:eastAsia="仿宋" w:cs="Times New Roman"/>
          <w:bCs w:val="0"/>
          <w:kern w:val="2"/>
          <w:sz w:val="24"/>
          <w:szCs w:val="24"/>
          <w:lang w:val="en-US" w:eastAsia="zh-CN" w:bidi="ar-SA"/>
        </w:rPr>
        <w:fldChar w:fldCharType="begin"/>
      </w:r>
      <w:r>
        <w:rPr>
          <w:rFonts w:hint="default" w:ascii="Times New Roman" w:hAnsi="Times New Roman" w:eastAsia="仿宋" w:cs="Times New Roman"/>
          <w:bCs w:val="0"/>
          <w:kern w:val="2"/>
          <w:sz w:val="24"/>
          <w:szCs w:val="24"/>
          <w:lang w:val="en-US" w:eastAsia="zh-CN" w:bidi="ar-SA"/>
        </w:rPr>
        <w:instrText xml:space="preserve"> HYPERLINK \l _Toc10870 </w:instrText>
      </w:r>
      <w:r>
        <w:rPr>
          <w:rFonts w:hint="default" w:ascii="Times New Roman" w:hAnsi="Times New Roman" w:eastAsia="仿宋" w:cs="Times New Roman"/>
          <w:bCs w:val="0"/>
          <w:kern w:val="2"/>
          <w:sz w:val="24"/>
          <w:szCs w:val="24"/>
          <w:lang w:val="en-US" w:eastAsia="zh-CN" w:bidi="ar-SA"/>
        </w:rPr>
        <w:fldChar w:fldCharType="separate"/>
      </w:r>
      <w:r>
        <w:rPr>
          <w:rFonts w:hint="default" w:eastAsia="方正仿宋_GBK" w:cs="仿宋_GB2312"/>
          <w:color w:val="auto"/>
          <w:sz w:val="28"/>
          <w:szCs w:val="28"/>
          <w:lang w:val="en-US" w:eastAsia="zh-CN"/>
        </w:rPr>
        <w:t>十、其他重要事项的情况说明</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fldChar w:fldCharType="begin"/>
      </w:r>
      <w:r>
        <w:rPr>
          <w:rFonts w:hint="default" w:ascii="Times New Roman" w:hAnsi="Times New Roman" w:eastAsia="方正黑体_GBK" w:cs="黑体"/>
          <w:color w:val="auto"/>
          <w:kern w:val="2"/>
          <w:sz w:val="28"/>
          <w:szCs w:val="28"/>
          <w:lang w:val="en-US" w:eastAsia="zh-CN" w:bidi="ar-SA"/>
        </w:rPr>
        <w:instrText xml:space="preserve"> PAGEREF _Toc10870 </w:instrText>
      </w:r>
      <w:r>
        <w:rPr>
          <w:rFonts w:hint="default" w:ascii="Times New Roman" w:hAnsi="Times New Roman" w:eastAsia="方正黑体_GBK" w:cs="黑体"/>
          <w:color w:val="auto"/>
          <w:kern w:val="2"/>
          <w:sz w:val="28"/>
          <w:szCs w:val="28"/>
          <w:lang w:val="en-US" w:eastAsia="zh-CN" w:bidi="ar-SA"/>
        </w:rPr>
        <w:fldChar w:fldCharType="separate"/>
      </w:r>
      <w:r>
        <w:rPr>
          <w:rFonts w:hint="default" w:ascii="Times New Roman" w:hAnsi="Times New Roman" w:eastAsia="方正黑体_GBK" w:cs="黑体"/>
          <w:color w:val="auto"/>
          <w:kern w:val="2"/>
          <w:sz w:val="28"/>
          <w:szCs w:val="28"/>
          <w:lang w:val="en-US" w:eastAsia="zh-CN" w:bidi="ar-SA"/>
        </w:rPr>
        <w:t>13</w:t>
      </w:r>
      <w:r>
        <w:rPr>
          <w:rFonts w:hint="default" w:ascii="Times New Roman" w:hAnsi="Times New Roman" w:eastAsia="方正黑体_GBK" w:cs="黑体"/>
          <w:color w:val="auto"/>
          <w:kern w:val="2"/>
          <w:sz w:val="28"/>
          <w:szCs w:val="28"/>
          <w:lang w:val="en-US" w:eastAsia="zh-CN" w:bidi="ar-SA"/>
        </w:rPr>
        <w:fldChar w:fldCharType="end"/>
      </w:r>
      <w:r>
        <w:rPr>
          <w:rFonts w:hint="default" w:ascii="Times New Roman" w:hAnsi="Times New Roman" w:eastAsia="仿宋" w:cs="Times New Roman"/>
          <w:bCs w:val="0"/>
          <w:kern w:val="2"/>
          <w:sz w:val="24"/>
          <w:szCs w:val="24"/>
          <w:lang w:val="en-US" w:eastAsia="zh-CN" w:bidi="ar-SA"/>
        </w:rPr>
        <w:fldChar w:fldCharType="end"/>
      </w:r>
    </w:p>
    <w:p w14:paraId="4B207FA6">
      <w:pPr>
        <w:pStyle w:val="16"/>
        <w:tabs>
          <w:tab w:val="right" w:leader="dot" w:pos="8306"/>
        </w:tabs>
        <w:rPr>
          <w:rFonts w:hint="default" w:ascii="Times New Roman" w:hAnsi="Times New Roman" w:eastAsia="方正黑体_GBK" w:cs="Times New Roman"/>
          <w:kern w:val="2"/>
          <w:sz w:val="28"/>
          <w:szCs w:val="28"/>
          <w:lang w:val="en-US" w:eastAsia="zh-CN" w:bidi="ar-SA"/>
        </w:rPr>
      </w:pPr>
      <w:r>
        <w:rPr>
          <w:rFonts w:hint="default" w:ascii="Times New Roman" w:hAnsi="Times New Roman" w:eastAsia="方正黑体_GBK" w:cs="Times New Roman"/>
          <w:kern w:val="2"/>
          <w:sz w:val="28"/>
          <w:szCs w:val="28"/>
          <w:lang w:val="en-US" w:eastAsia="zh-CN" w:bidi="ar-SA"/>
        </w:rPr>
        <w:fldChar w:fldCharType="begin"/>
      </w:r>
      <w:r>
        <w:rPr>
          <w:rFonts w:hint="default" w:ascii="Times New Roman" w:hAnsi="Times New Roman" w:eastAsia="方正黑体_GBK" w:cs="Times New Roman"/>
          <w:kern w:val="2"/>
          <w:sz w:val="28"/>
          <w:szCs w:val="28"/>
          <w:lang w:val="en-US" w:eastAsia="zh-CN" w:bidi="ar-SA"/>
        </w:rPr>
        <w:instrText xml:space="preserve"> HYPERLINK \l _Toc26615 </w:instrText>
      </w:r>
      <w:r>
        <w:rPr>
          <w:rFonts w:hint="default" w:ascii="Times New Roman" w:hAnsi="Times New Roman" w:eastAsia="方正黑体_GBK" w:cs="Times New Roman"/>
          <w:kern w:val="2"/>
          <w:sz w:val="28"/>
          <w:szCs w:val="28"/>
          <w:lang w:val="en-US" w:eastAsia="zh-CN" w:bidi="ar-SA"/>
        </w:rPr>
        <w:fldChar w:fldCharType="separate"/>
      </w:r>
      <w:r>
        <w:rPr>
          <w:rFonts w:hint="default" w:ascii="Times New Roman" w:hAnsi="Times New Roman" w:eastAsia="方正黑体_GBK" w:cs="黑体"/>
          <w:color w:val="auto"/>
          <w:sz w:val="28"/>
          <w:szCs w:val="28"/>
          <w:lang w:val="en-US" w:eastAsia="zh-CN"/>
        </w:rPr>
        <w:t>第三部分  名词解释</w:t>
      </w:r>
      <w:r>
        <w:rPr>
          <w:rFonts w:hint="default" w:ascii="Times New Roman" w:hAnsi="Times New Roman" w:eastAsia="方正黑体_GBK" w:cs="黑体"/>
          <w:color w:val="auto"/>
          <w:sz w:val="28"/>
          <w:szCs w:val="28"/>
          <w:lang w:val="en-US" w:eastAsia="zh-CN"/>
        </w:rPr>
        <w:tab/>
      </w:r>
      <w:r>
        <w:rPr>
          <w:rFonts w:hint="default" w:ascii="Times New Roman" w:hAnsi="Times New Roman" w:eastAsia="方正黑体_GBK" w:cs="黑体"/>
          <w:color w:val="auto"/>
          <w:kern w:val="2"/>
          <w:sz w:val="28"/>
          <w:szCs w:val="28"/>
          <w:lang w:val="en-US" w:eastAsia="zh-CN" w:bidi="ar-SA"/>
        </w:rPr>
        <w:fldChar w:fldCharType="begin"/>
      </w:r>
      <w:r>
        <w:rPr>
          <w:rFonts w:hint="default" w:ascii="Times New Roman" w:hAnsi="Times New Roman" w:eastAsia="方正黑体_GBK" w:cs="黑体"/>
          <w:color w:val="auto"/>
          <w:kern w:val="2"/>
          <w:sz w:val="28"/>
          <w:szCs w:val="28"/>
          <w:lang w:val="en-US" w:eastAsia="zh-CN" w:bidi="ar-SA"/>
        </w:rPr>
        <w:instrText xml:space="preserve"> PAGEREF _Toc26615 </w:instrText>
      </w:r>
      <w:r>
        <w:rPr>
          <w:rFonts w:hint="default" w:ascii="Times New Roman" w:hAnsi="Times New Roman" w:eastAsia="方正黑体_GBK" w:cs="黑体"/>
          <w:color w:val="auto"/>
          <w:kern w:val="2"/>
          <w:sz w:val="28"/>
          <w:szCs w:val="28"/>
          <w:lang w:val="en-US" w:eastAsia="zh-CN" w:bidi="ar-SA"/>
        </w:rPr>
        <w:fldChar w:fldCharType="separate"/>
      </w:r>
      <w:r>
        <w:rPr>
          <w:rFonts w:hint="default" w:ascii="Times New Roman" w:hAnsi="Times New Roman" w:eastAsia="方正黑体_GBK" w:cs="黑体"/>
          <w:color w:val="auto"/>
          <w:kern w:val="2"/>
          <w:sz w:val="28"/>
          <w:szCs w:val="28"/>
          <w:lang w:val="en-US" w:eastAsia="zh-CN" w:bidi="ar-SA"/>
        </w:rPr>
        <w:t>15</w:t>
      </w:r>
      <w:r>
        <w:rPr>
          <w:rFonts w:hint="default" w:ascii="Times New Roman" w:hAnsi="Times New Roman" w:eastAsia="方正黑体_GBK" w:cs="黑体"/>
          <w:color w:val="auto"/>
          <w:kern w:val="2"/>
          <w:sz w:val="28"/>
          <w:szCs w:val="28"/>
          <w:lang w:val="en-US" w:eastAsia="zh-CN" w:bidi="ar-SA"/>
        </w:rPr>
        <w:fldChar w:fldCharType="end"/>
      </w:r>
      <w:r>
        <w:rPr>
          <w:rFonts w:hint="default" w:ascii="Times New Roman" w:hAnsi="Times New Roman" w:eastAsia="方正黑体_GBK" w:cs="Times New Roman"/>
          <w:kern w:val="2"/>
          <w:sz w:val="28"/>
          <w:szCs w:val="28"/>
          <w:lang w:val="en-US" w:eastAsia="zh-CN" w:bidi="ar-SA"/>
        </w:rPr>
        <w:fldChar w:fldCharType="end"/>
      </w:r>
    </w:p>
    <w:p w14:paraId="6FCD4976">
      <w:pPr>
        <w:pStyle w:val="16"/>
        <w:tabs>
          <w:tab w:val="right" w:leader="dot" w:pos="8306"/>
        </w:tabs>
        <w:rPr>
          <w:rFonts w:hint="default" w:ascii="Times New Roman" w:hAnsi="Times New Roman" w:eastAsia="方正黑体_GBK" w:cs="Times New Roman"/>
          <w:kern w:val="2"/>
          <w:sz w:val="28"/>
          <w:szCs w:val="28"/>
          <w:lang w:val="en-US" w:eastAsia="zh-CN" w:bidi="ar-SA"/>
        </w:rPr>
      </w:pPr>
      <w:r>
        <w:rPr>
          <w:rFonts w:hint="default" w:ascii="Times New Roman" w:hAnsi="Times New Roman" w:eastAsia="宋体" w:cs="Times New Roman"/>
          <w:kern w:val="2"/>
          <w:szCs w:val="18"/>
          <w:lang w:val="en-US" w:eastAsia="zh-CN" w:bidi="ar-SA"/>
        </w:rPr>
        <w:fldChar w:fldCharType="end"/>
      </w:r>
      <w:r>
        <w:rPr>
          <w:rFonts w:hint="default" w:ascii="Times New Roman" w:hAnsi="Times New Roman" w:eastAsia="方正黑体_GBK" w:cs="黑体"/>
          <w:color w:val="auto"/>
          <w:sz w:val="28"/>
          <w:szCs w:val="28"/>
          <w:lang w:val="en-US" w:eastAsia="zh-CN"/>
        </w:rPr>
        <w:t>第四部分 附件</w:t>
      </w:r>
      <w:r>
        <w:rPr>
          <w:rFonts w:hint="default" w:ascii="Times New Roman" w:hAnsi="Times New Roman" w:eastAsia="方正黑体_GBK" w:cs="黑体"/>
          <w:color w:val="auto"/>
          <w:sz w:val="28"/>
          <w:szCs w:val="28"/>
          <w:lang w:val="en-US" w:eastAsia="zh-CN"/>
        </w:rPr>
        <w:tab/>
      </w:r>
      <w:r>
        <w:rPr>
          <w:rFonts w:hint="default" w:ascii="Times New Roman" w:hAnsi="Times New Roman" w:eastAsia="方正黑体_GBK" w:cs="黑体"/>
          <w:color w:val="auto"/>
          <w:kern w:val="2"/>
          <w:sz w:val="28"/>
          <w:szCs w:val="28"/>
          <w:lang w:val="en-US" w:eastAsia="zh-CN" w:bidi="ar-SA"/>
        </w:rPr>
        <w:fldChar w:fldCharType="begin"/>
      </w:r>
      <w:r>
        <w:rPr>
          <w:rFonts w:hint="default" w:ascii="Times New Roman" w:hAnsi="Times New Roman" w:eastAsia="方正黑体_GBK" w:cs="黑体"/>
          <w:color w:val="auto"/>
          <w:kern w:val="2"/>
          <w:sz w:val="28"/>
          <w:szCs w:val="28"/>
          <w:lang w:val="en-US" w:eastAsia="zh-CN" w:bidi="ar-SA"/>
        </w:rPr>
        <w:instrText xml:space="preserve"> PAGEREF _Toc4470 </w:instrText>
      </w:r>
      <w:r>
        <w:rPr>
          <w:rFonts w:hint="default" w:ascii="Times New Roman" w:hAnsi="Times New Roman" w:eastAsia="方正黑体_GBK" w:cs="黑体"/>
          <w:color w:val="auto"/>
          <w:kern w:val="2"/>
          <w:sz w:val="28"/>
          <w:szCs w:val="28"/>
          <w:lang w:val="en-US" w:eastAsia="zh-CN" w:bidi="ar-SA"/>
        </w:rPr>
        <w:fldChar w:fldCharType="separate"/>
      </w:r>
      <w:r>
        <w:rPr>
          <w:rFonts w:hint="default" w:ascii="Times New Roman" w:hAnsi="Times New Roman" w:eastAsia="方正黑体_GBK" w:cs="黑体"/>
          <w:color w:val="auto"/>
          <w:kern w:val="2"/>
          <w:sz w:val="28"/>
          <w:szCs w:val="28"/>
          <w:lang w:val="en-US" w:eastAsia="zh-CN" w:bidi="ar-SA"/>
        </w:rPr>
        <w:t>2</w:t>
      </w:r>
      <w:r>
        <w:rPr>
          <w:rFonts w:hint="default" w:ascii="Times New Roman" w:hAnsi="Times New Roman" w:eastAsia="方正黑体_GBK" w:cs="黑体"/>
          <w:color w:val="auto"/>
          <w:kern w:val="2"/>
          <w:sz w:val="28"/>
          <w:szCs w:val="28"/>
          <w:lang w:val="en-US" w:eastAsia="zh-CN" w:bidi="ar-SA"/>
        </w:rPr>
        <w:fldChar w:fldCharType="end"/>
      </w:r>
      <w:r>
        <w:rPr>
          <w:rFonts w:hint="default" w:ascii="Times New Roman" w:hAnsi="Times New Roman" w:eastAsia="方正黑体_GBK" w:cs="黑体"/>
          <w:color w:val="auto"/>
          <w:kern w:val="2"/>
          <w:sz w:val="28"/>
          <w:szCs w:val="28"/>
          <w:lang w:val="en-US" w:eastAsia="zh-CN" w:bidi="ar-SA"/>
        </w:rPr>
        <w:t>0</w:t>
      </w:r>
    </w:p>
    <w:p w14:paraId="79E32832">
      <w:pPr>
        <w:pStyle w:val="16"/>
        <w:tabs>
          <w:tab w:val="right" w:leader="dot" w:pos="8306"/>
        </w:tabs>
        <w:rPr>
          <w:rFonts w:hint="default" w:ascii="Times New Roman" w:hAnsi="Times New Roman" w:eastAsia="方正黑体_GBK" w:cs="Times New Roman"/>
          <w:kern w:val="2"/>
          <w:sz w:val="28"/>
          <w:szCs w:val="28"/>
          <w:lang w:val="en-US" w:eastAsia="zh-CN" w:bidi="ar-SA"/>
        </w:rPr>
      </w:pPr>
      <w:r>
        <w:rPr>
          <w:rFonts w:hint="default" w:ascii="Times New Roman" w:hAnsi="Times New Roman" w:eastAsia="方正黑体_GBK" w:cs="黑体"/>
          <w:color w:val="auto"/>
          <w:sz w:val="28"/>
          <w:szCs w:val="28"/>
          <w:lang w:val="en-US" w:eastAsia="zh-CN"/>
        </w:rPr>
        <w:t>第五部分 附表</w:t>
      </w:r>
      <w:r>
        <w:rPr>
          <w:rFonts w:hint="default" w:ascii="Times New Roman" w:hAnsi="Times New Roman" w:eastAsia="方正黑体_GBK" w:cs="黑体"/>
          <w:color w:val="auto"/>
          <w:sz w:val="28"/>
          <w:szCs w:val="28"/>
          <w:lang w:val="en-US" w:eastAsia="zh-CN"/>
        </w:rPr>
        <w:tab/>
      </w:r>
      <w:r>
        <w:rPr>
          <w:rFonts w:hint="default" w:ascii="Times New Roman" w:hAnsi="Times New Roman" w:eastAsia="方正黑体_GBK" w:cs="黑体"/>
          <w:color w:val="auto"/>
          <w:kern w:val="2"/>
          <w:sz w:val="28"/>
          <w:szCs w:val="28"/>
          <w:lang w:val="en-US" w:eastAsia="zh-CN" w:bidi="ar-SA"/>
        </w:rPr>
        <w:fldChar w:fldCharType="begin"/>
      </w:r>
      <w:r>
        <w:rPr>
          <w:rFonts w:hint="default" w:ascii="Times New Roman" w:hAnsi="Times New Roman" w:eastAsia="方正黑体_GBK" w:cs="黑体"/>
          <w:color w:val="auto"/>
          <w:kern w:val="2"/>
          <w:sz w:val="28"/>
          <w:szCs w:val="28"/>
          <w:lang w:val="en-US" w:eastAsia="zh-CN" w:bidi="ar-SA"/>
        </w:rPr>
        <w:instrText xml:space="preserve"> PAGEREF _Toc12704 </w:instrText>
      </w:r>
      <w:r>
        <w:rPr>
          <w:rFonts w:hint="default" w:ascii="Times New Roman" w:hAnsi="Times New Roman" w:eastAsia="方正黑体_GBK" w:cs="黑体"/>
          <w:color w:val="auto"/>
          <w:kern w:val="2"/>
          <w:sz w:val="28"/>
          <w:szCs w:val="28"/>
          <w:lang w:val="en-US" w:eastAsia="zh-CN" w:bidi="ar-SA"/>
        </w:rPr>
        <w:fldChar w:fldCharType="separate"/>
      </w:r>
      <w:r>
        <w:rPr>
          <w:rFonts w:hint="default" w:ascii="Times New Roman" w:hAnsi="Times New Roman" w:eastAsia="方正黑体_GBK" w:cs="黑体"/>
          <w:color w:val="auto"/>
          <w:kern w:val="2"/>
          <w:sz w:val="28"/>
          <w:szCs w:val="28"/>
          <w:lang w:val="en-US" w:eastAsia="zh-CN" w:bidi="ar-SA"/>
        </w:rPr>
        <w:t>21</w:t>
      </w:r>
      <w:r>
        <w:rPr>
          <w:rFonts w:hint="default" w:ascii="Times New Roman" w:hAnsi="Times New Roman" w:eastAsia="方正黑体_GBK" w:cs="黑体"/>
          <w:color w:val="auto"/>
          <w:kern w:val="2"/>
          <w:sz w:val="28"/>
          <w:szCs w:val="28"/>
          <w:lang w:val="en-US" w:eastAsia="zh-CN" w:bidi="ar-SA"/>
        </w:rPr>
        <w:fldChar w:fldCharType="end"/>
      </w:r>
    </w:p>
    <w:p w14:paraId="6F5F0E5E">
      <w:pPr>
        <w:pStyle w:val="19"/>
        <w:tabs>
          <w:tab w:val="right" w:leader="dot" w:pos="8306"/>
        </w:tabs>
        <w:rPr>
          <w:rFonts w:hint="default" w:ascii="Times New Roman" w:hAnsi="Times New Roman" w:eastAsia="宋体" w:cs="Times New Roman"/>
          <w:kern w:val="2"/>
          <w:sz w:val="24"/>
          <w:szCs w:val="24"/>
          <w:lang w:val="en-US" w:eastAsia="zh-CN" w:bidi="ar-SA"/>
        </w:rPr>
      </w:pPr>
      <w:r>
        <w:rPr>
          <w:rFonts w:hint="default" w:eastAsia="方正仿宋_GBK" w:cs="仿宋_GB2312"/>
          <w:color w:val="auto"/>
          <w:sz w:val="28"/>
          <w:szCs w:val="28"/>
          <w:lang w:val="en-US" w:eastAsia="zh-CN"/>
        </w:rPr>
        <w:t>一、收入支出决算总表</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t>21</w:t>
      </w:r>
    </w:p>
    <w:p w14:paraId="736CE320">
      <w:pPr>
        <w:pStyle w:val="19"/>
        <w:tabs>
          <w:tab w:val="right" w:leader="dot" w:pos="8306"/>
        </w:tabs>
        <w:rPr>
          <w:rFonts w:hint="default" w:ascii="Times New Roman" w:hAnsi="Times New Roman" w:eastAsia="宋体" w:cs="Times New Roman"/>
          <w:kern w:val="2"/>
          <w:sz w:val="24"/>
          <w:szCs w:val="24"/>
          <w:lang w:val="en-US" w:eastAsia="zh-CN" w:bidi="ar-SA"/>
        </w:rPr>
      </w:pPr>
      <w:r>
        <w:rPr>
          <w:rFonts w:hint="default" w:eastAsia="方正仿宋_GBK" w:cs="仿宋_GB2312"/>
          <w:color w:val="auto"/>
          <w:sz w:val="28"/>
          <w:szCs w:val="28"/>
          <w:lang w:val="en-US" w:eastAsia="zh-CN"/>
        </w:rPr>
        <w:t>二、收入决算表</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t>21</w:t>
      </w:r>
    </w:p>
    <w:p w14:paraId="26BF6BF5">
      <w:pPr>
        <w:pStyle w:val="19"/>
        <w:tabs>
          <w:tab w:val="right" w:leader="dot" w:pos="8306"/>
        </w:tabs>
        <w:rPr>
          <w:rFonts w:hint="default" w:ascii="Times New Roman" w:hAnsi="Times New Roman" w:eastAsia="宋体" w:cs="Times New Roman"/>
          <w:kern w:val="2"/>
          <w:sz w:val="24"/>
          <w:szCs w:val="24"/>
          <w:lang w:val="en-US" w:eastAsia="zh-CN" w:bidi="ar-SA"/>
        </w:rPr>
      </w:pPr>
      <w:r>
        <w:rPr>
          <w:rFonts w:hint="default" w:eastAsia="方正仿宋_GBK" w:cs="仿宋_GB2312"/>
          <w:color w:val="auto"/>
          <w:sz w:val="28"/>
          <w:szCs w:val="28"/>
          <w:lang w:val="en-US" w:eastAsia="zh-CN"/>
        </w:rPr>
        <w:t>三、支出决算表</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t>21</w:t>
      </w:r>
    </w:p>
    <w:p w14:paraId="61946974">
      <w:pPr>
        <w:pStyle w:val="19"/>
        <w:tabs>
          <w:tab w:val="right" w:leader="dot" w:pos="8306"/>
        </w:tabs>
        <w:rPr>
          <w:rFonts w:hint="default" w:ascii="Times New Roman" w:hAnsi="Times New Roman" w:eastAsia="宋体" w:cs="Times New Roman"/>
          <w:kern w:val="2"/>
          <w:sz w:val="24"/>
          <w:szCs w:val="24"/>
          <w:lang w:val="en-US" w:eastAsia="zh-CN" w:bidi="ar-SA"/>
        </w:rPr>
      </w:pPr>
      <w:r>
        <w:rPr>
          <w:rFonts w:hint="default" w:eastAsia="方正仿宋_GBK" w:cs="仿宋_GB2312"/>
          <w:color w:val="auto"/>
          <w:sz w:val="28"/>
          <w:szCs w:val="28"/>
          <w:lang w:val="en-US" w:eastAsia="zh-CN"/>
        </w:rPr>
        <w:t>四、财政拨款收入支出决算总表</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t>21</w:t>
      </w:r>
    </w:p>
    <w:p w14:paraId="5424985D">
      <w:pPr>
        <w:pStyle w:val="19"/>
        <w:tabs>
          <w:tab w:val="right" w:leader="dot" w:pos="8306"/>
        </w:tabs>
        <w:rPr>
          <w:rFonts w:hint="default" w:ascii="Times New Roman" w:hAnsi="Times New Roman" w:eastAsia="宋体" w:cs="Times New Roman"/>
          <w:kern w:val="2"/>
          <w:sz w:val="24"/>
          <w:szCs w:val="24"/>
          <w:lang w:val="en-US" w:eastAsia="zh-CN" w:bidi="ar-SA"/>
        </w:rPr>
      </w:pPr>
      <w:r>
        <w:rPr>
          <w:rFonts w:hint="default" w:eastAsia="方正仿宋_GBK" w:cs="仿宋_GB2312"/>
          <w:color w:val="auto"/>
          <w:sz w:val="28"/>
          <w:szCs w:val="28"/>
          <w:lang w:val="en-US" w:eastAsia="zh-CN"/>
        </w:rPr>
        <w:t>五、财政拨款支出决算明细表</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t>21</w:t>
      </w:r>
    </w:p>
    <w:p w14:paraId="5DFD77B3">
      <w:pPr>
        <w:pStyle w:val="19"/>
        <w:tabs>
          <w:tab w:val="right" w:leader="dot" w:pos="8306"/>
        </w:tabs>
        <w:rPr>
          <w:rFonts w:hint="default" w:ascii="Times New Roman" w:hAnsi="Times New Roman" w:eastAsia="宋体" w:cs="Times New Roman"/>
          <w:kern w:val="2"/>
          <w:sz w:val="24"/>
          <w:szCs w:val="24"/>
          <w:lang w:val="en-US" w:eastAsia="zh-CN" w:bidi="ar-SA"/>
        </w:rPr>
      </w:pPr>
      <w:r>
        <w:rPr>
          <w:rFonts w:hint="default" w:eastAsia="方正仿宋_GBK" w:cs="仿宋_GB2312"/>
          <w:color w:val="auto"/>
          <w:sz w:val="28"/>
          <w:szCs w:val="28"/>
          <w:lang w:val="en-US" w:eastAsia="zh-CN"/>
        </w:rPr>
        <w:t>六、一般公共预算财政拨款支出决算表</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t>21</w:t>
      </w:r>
    </w:p>
    <w:p w14:paraId="58F2E5A0">
      <w:pPr>
        <w:pStyle w:val="19"/>
        <w:tabs>
          <w:tab w:val="right" w:leader="dot" w:pos="8306"/>
        </w:tabs>
        <w:rPr>
          <w:rFonts w:hint="default" w:ascii="Times New Roman" w:hAnsi="Times New Roman" w:eastAsia="宋体" w:cs="Times New Roman"/>
          <w:kern w:val="2"/>
          <w:sz w:val="24"/>
          <w:szCs w:val="24"/>
          <w:lang w:val="en-US" w:eastAsia="zh-CN" w:bidi="ar-SA"/>
        </w:rPr>
      </w:pPr>
      <w:r>
        <w:rPr>
          <w:rFonts w:hint="default" w:eastAsia="方正仿宋_GBK" w:cs="仿宋_GB2312"/>
          <w:color w:val="auto"/>
          <w:sz w:val="28"/>
          <w:szCs w:val="28"/>
          <w:lang w:val="en-US" w:eastAsia="zh-CN"/>
        </w:rPr>
        <w:t>七、一般公共预算财政拨款支出决算明细表</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t>21</w:t>
      </w:r>
    </w:p>
    <w:p w14:paraId="6B63675C">
      <w:pPr>
        <w:pStyle w:val="19"/>
        <w:tabs>
          <w:tab w:val="right" w:leader="dot" w:pos="8306"/>
        </w:tabs>
        <w:rPr>
          <w:rFonts w:hint="default" w:ascii="Times New Roman" w:hAnsi="Times New Roman" w:eastAsia="宋体" w:cs="Times New Roman"/>
          <w:kern w:val="2"/>
          <w:sz w:val="24"/>
          <w:szCs w:val="24"/>
          <w:lang w:val="en-US" w:eastAsia="zh-CN" w:bidi="ar-SA"/>
        </w:rPr>
      </w:pPr>
      <w:r>
        <w:rPr>
          <w:rFonts w:hint="default" w:eastAsia="方正仿宋_GBK" w:cs="仿宋_GB2312"/>
          <w:color w:val="auto"/>
          <w:sz w:val="28"/>
          <w:szCs w:val="28"/>
          <w:lang w:val="en-US" w:eastAsia="zh-CN"/>
        </w:rPr>
        <w:t>八、一般公共预算财政拨款基本支出决算表</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t>21</w:t>
      </w:r>
    </w:p>
    <w:p w14:paraId="5D5605FE">
      <w:pPr>
        <w:pStyle w:val="19"/>
        <w:tabs>
          <w:tab w:val="right" w:leader="dot" w:pos="8306"/>
        </w:tabs>
        <w:rPr>
          <w:rFonts w:hint="default" w:ascii="Times New Roman" w:hAnsi="Times New Roman" w:eastAsia="宋体" w:cs="Times New Roman"/>
          <w:kern w:val="2"/>
          <w:sz w:val="24"/>
          <w:szCs w:val="24"/>
          <w:lang w:val="en-US" w:eastAsia="zh-CN" w:bidi="ar-SA"/>
        </w:rPr>
      </w:pPr>
      <w:r>
        <w:rPr>
          <w:rFonts w:hint="default" w:eastAsia="方正仿宋_GBK" w:cs="仿宋_GB2312"/>
          <w:color w:val="auto"/>
          <w:sz w:val="28"/>
          <w:szCs w:val="28"/>
          <w:lang w:val="en-US" w:eastAsia="zh-CN"/>
        </w:rPr>
        <w:t>九、一般公共预算财政拨款项目支出决算表</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t>21</w:t>
      </w:r>
    </w:p>
    <w:p w14:paraId="66768643">
      <w:pPr>
        <w:pStyle w:val="19"/>
        <w:tabs>
          <w:tab w:val="right" w:leader="dot" w:pos="8306"/>
        </w:tabs>
        <w:rPr>
          <w:rFonts w:hint="default" w:ascii="Times New Roman" w:hAnsi="Times New Roman" w:eastAsia="宋体" w:cs="Times New Roman"/>
          <w:kern w:val="2"/>
          <w:sz w:val="24"/>
          <w:szCs w:val="24"/>
          <w:lang w:val="en-US" w:eastAsia="zh-CN" w:bidi="ar-SA"/>
        </w:rPr>
      </w:pPr>
      <w:r>
        <w:rPr>
          <w:rFonts w:hint="default" w:eastAsia="方正仿宋_GBK" w:cs="仿宋_GB2312"/>
          <w:color w:val="auto"/>
          <w:sz w:val="28"/>
          <w:szCs w:val="28"/>
          <w:lang w:val="en-US" w:eastAsia="zh-CN"/>
        </w:rPr>
        <w:t>十、政府性基金预算财政拨款收入支出决算表</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t>21</w:t>
      </w:r>
    </w:p>
    <w:p w14:paraId="1919E20B">
      <w:pPr>
        <w:pStyle w:val="19"/>
        <w:tabs>
          <w:tab w:val="right" w:leader="dot" w:pos="8306"/>
        </w:tabs>
        <w:rPr>
          <w:rFonts w:hint="default" w:ascii="Times New Roman" w:hAnsi="Times New Roman" w:eastAsia="方正黑体_GBK" w:cs="黑体"/>
          <w:color w:val="auto"/>
          <w:kern w:val="2"/>
          <w:sz w:val="28"/>
          <w:szCs w:val="28"/>
          <w:lang w:val="en-US" w:eastAsia="zh-CN" w:bidi="ar-SA"/>
        </w:rPr>
      </w:pPr>
      <w:r>
        <w:rPr>
          <w:rFonts w:hint="default" w:eastAsia="方正仿宋_GBK" w:cs="仿宋_GB2312"/>
          <w:color w:val="auto"/>
          <w:sz w:val="28"/>
          <w:szCs w:val="28"/>
          <w:lang w:val="en-US" w:eastAsia="zh-CN"/>
        </w:rPr>
        <w:t>十一、国有资本经营预算财政拨款收入支出决算表</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t>21</w:t>
      </w:r>
    </w:p>
    <w:p w14:paraId="6FC41F1F">
      <w:pPr>
        <w:pStyle w:val="19"/>
        <w:tabs>
          <w:tab w:val="right" w:leader="dot" w:pos="8306"/>
        </w:tabs>
        <w:rPr>
          <w:rFonts w:hint="default" w:ascii="Times New Roman" w:hAnsi="Times New Roman" w:eastAsia="宋体" w:cs="Times New Roman"/>
          <w:kern w:val="2"/>
          <w:sz w:val="24"/>
          <w:szCs w:val="24"/>
          <w:lang w:val="en-US" w:eastAsia="zh-CN" w:bidi="ar-SA"/>
        </w:rPr>
      </w:pPr>
      <w:r>
        <w:rPr>
          <w:rFonts w:hint="default" w:eastAsia="方正仿宋_GBK" w:cs="仿宋_GB2312"/>
          <w:color w:val="auto"/>
          <w:sz w:val="28"/>
          <w:szCs w:val="28"/>
          <w:lang w:val="en-US" w:eastAsia="zh-CN"/>
        </w:rPr>
        <w:t>十二、国有资本经营预算财政拨款支出决算表</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t>21</w:t>
      </w:r>
    </w:p>
    <w:p w14:paraId="3699BD14">
      <w:pPr>
        <w:pStyle w:val="19"/>
        <w:tabs>
          <w:tab w:val="right" w:leader="dot" w:pos="8306"/>
        </w:tabs>
        <w:rPr>
          <w:rFonts w:hint="default" w:ascii="Times New Roman" w:hAnsi="Times New Roman" w:eastAsia="宋体" w:cs="Times New Roman"/>
          <w:kern w:val="2"/>
          <w:sz w:val="24"/>
          <w:szCs w:val="24"/>
          <w:lang w:val="en-US" w:eastAsia="zh-CN" w:bidi="ar-SA"/>
        </w:rPr>
      </w:pPr>
      <w:r>
        <w:rPr>
          <w:rFonts w:hint="default" w:eastAsia="方正仿宋_GBK" w:cs="仿宋_GB2312"/>
          <w:color w:val="auto"/>
          <w:sz w:val="28"/>
          <w:szCs w:val="28"/>
          <w:lang w:val="en-US" w:eastAsia="zh-CN"/>
        </w:rPr>
        <w:t>十三、财政拨款“三公”经费支出决算表</w:t>
      </w:r>
      <w:r>
        <w:rPr>
          <w:rFonts w:hint="default" w:ascii="Times New Roman" w:hAnsi="Times New Roman" w:eastAsia="方正黑体_GBK" w:cs="黑体"/>
          <w:color w:val="auto"/>
          <w:kern w:val="2"/>
          <w:sz w:val="28"/>
          <w:szCs w:val="28"/>
          <w:lang w:val="en-US" w:eastAsia="zh-CN" w:bidi="ar-SA"/>
        </w:rPr>
        <w:tab/>
      </w:r>
      <w:r>
        <w:rPr>
          <w:rFonts w:hint="default" w:ascii="Times New Roman" w:hAnsi="Times New Roman" w:eastAsia="方正黑体_GBK" w:cs="黑体"/>
          <w:color w:val="auto"/>
          <w:kern w:val="2"/>
          <w:sz w:val="28"/>
          <w:szCs w:val="28"/>
          <w:lang w:val="en-US" w:eastAsia="zh-CN" w:bidi="ar-SA"/>
        </w:rPr>
        <w:t>21</w:t>
      </w:r>
      <w:bookmarkStart w:id="91" w:name="_GoBack"/>
      <w:bookmarkEnd w:id="91"/>
    </w:p>
    <w:p w14:paraId="79785CDA">
      <w:pPr>
        <w:pStyle w:val="2"/>
        <w:rPr>
          <w:rFonts w:hint="default" w:ascii="Times New Roman" w:hAnsi="Times New Roman" w:cs="Times New Roman"/>
        </w:rPr>
      </w:pPr>
    </w:p>
    <w:p w14:paraId="5D1ECD34">
      <w:pPr>
        <w:pStyle w:val="5"/>
        <w:jc w:val="center"/>
        <w:rPr>
          <w:rFonts w:hint="default" w:ascii="Times New Roman" w:hAnsi="Times New Roman" w:eastAsia="方正小标宋_GBK" w:cs="Times New Roman"/>
          <w:b w:val="0"/>
          <w:color w:val="auto"/>
          <w:highlight w:val="none"/>
        </w:rPr>
        <w:sectPr>
          <w:footerReference r:id="rId6" w:type="first"/>
          <w:footerReference r:id="rId5" w:type="default"/>
          <w:pgSz w:w="11906" w:h="16838"/>
          <w:pgMar w:top="2098" w:right="1474" w:bottom="1984" w:left="1588" w:header="851" w:footer="992" w:gutter="0"/>
          <w:pgNumType w:fmt="decimal" w:start="1"/>
          <w:cols w:space="720" w:num="1"/>
          <w:titlePg/>
          <w:docGrid w:type="lines" w:linePitch="312" w:charSpace="0"/>
        </w:sectPr>
      </w:pPr>
      <w:bookmarkStart w:id="8" w:name="_Toc14287"/>
    </w:p>
    <w:p w14:paraId="4E000E0E">
      <w:pPr>
        <w:pStyle w:val="5"/>
        <w:jc w:val="center"/>
        <w:rPr>
          <w:rStyle w:val="37"/>
          <w:rFonts w:hint="default" w:ascii="Times New Roman" w:hAnsi="Times New Roman" w:eastAsia="方正小标宋_GBK" w:cs="Times New Roman"/>
          <w:b/>
          <w:bCs w:val="0"/>
          <w:color w:val="auto"/>
          <w:highlight w:val="none"/>
        </w:rPr>
      </w:pPr>
      <w:r>
        <w:rPr>
          <w:rFonts w:hint="default" w:ascii="Times New Roman" w:hAnsi="Times New Roman" w:eastAsia="方正小标宋_GBK" w:cs="Times New Roman"/>
          <w:b/>
          <w:bCs w:val="0"/>
          <w:color w:val="auto"/>
          <w:highlight w:val="none"/>
        </w:rPr>
        <w:t>第一部分</w:t>
      </w:r>
      <w:r>
        <w:rPr>
          <w:rFonts w:hint="default" w:ascii="Times New Roman" w:hAnsi="Times New Roman" w:eastAsia="方正小标宋_GBK" w:cs="Times New Roman"/>
          <w:b/>
          <w:bCs w:val="0"/>
          <w:color w:val="auto"/>
          <w:highlight w:val="none"/>
          <w:lang w:val="en-US" w:eastAsia="zh-CN"/>
        </w:rPr>
        <w:t xml:space="preserve"> </w:t>
      </w:r>
      <w:r>
        <w:rPr>
          <w:rFonts w:hint="default" w:ascii="Times New Roman" w:hAnsi="Times New Roman" w:eastAsia="方正小标宋_GBK" w:cs="Times New Roman"/>
          <w:b/>
          <w:bCs w:val="0"/>
          <w:color w:val="auto"/>
          <w:highlight w:val="none"/>
        </w:rPr>
        <w:t xml:space="preserve"> </w:t>
      </w:r>
      <w:r>
        <w:rPr>
          <w:rStyle w:val="37"/>
          <w:rFonts w:hint="default" w:ascii="Times New Roman" w:hAnsi="Times New Roman" w:eastAsia="方正小标宋_GBK" w:cs="Times New Roman"/>
          <w:b/>
          <w:bCs w:val="0"/>
          <w:color w:val="auto"/>
          <w:highlight w:val="none"/>
        </w:rPr>
        <w:t>部门概况</w:t>
      </w:r>
      <w:bookmarkEnd w:id="6"/>
      <w:bookmarkEnd w:id="7"/>
      <w:bookmarkEnd w:id="8"/>
    </w:p>
    <w:p w14:paraId="75008E66">
      <w:pPr>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方正仿宋_GBK" w:cs="Times New Roman"/>
          <w:sz w:val="32"/>
          <w:szCs w:val="32"/>
        </w:rPr>
      </w:pPr>
    </w:p>
    <w:p w14:paraId="41CF87A9">
      <w:pPr>
        <w:pStyle w:val="6"/>
        <w:pageBreakBefore w:val="0"/>
        <w:numPr>
          <w:ilvl w:val="0"/>
          <w:numId w:val="0"/>
        </w:numPr>
        <w:kinsoku/>
        <w:wordWrap/>
        <w:overflowPunct/>
        <w:topLinePunct w:val="0"/>
        <w:autoSpaceDE/>
        <w:autoSpaceDN/>
        <w:bidi w:val="0"/>
        <w:spacing w:before="0" w:after="0" w:line="576" w:lineRule="exact"/>
        <w:ind w:firstLine="640" w:firstLineChars="200"/>
        <w:jc w:val="both"/>
        <w:textAlignment w:val="auto"/>
        <w:rPr>
          <w:rFonts w:hint="default" w:ascii="Times New Roman" w:hAnsi="Times New Roman" w:eastAsia="方正黑体_GBK" w:cs="Times New Roman"/>
          <w:b w:val="0"/>
          <w:color w:val="auto"/>
          <w:highlight w:val="none"/>
          <w:lang w:eastAsia="zh-CN"/>
        </w:rPr>
      </w:pPr>
      <w:bookmarkStart w:id="9" w:name="_Toc30610"/>
      <w:r>
        <w:rPr>
          <w:rFonts w:hint="default" w:ascii="Times New Roman" w:hAnsi="Times New Roman" w:eastAsia="方正黑体_GBK" w:cs="Times New Roman"/>
          <w:b w:val="0"/>
          <w:bCs/>
          <w:color w:val="auto"/>
          <w:kern w:val="2"/>
          <w:sz w:val="32"/>
          <w:szCs w:val="32"/>
          <w:lang w:val="en-US" w:eastAsia="zh-CN" w:bidi="ar-SA"/>
        </w:rPr>
        <w:t>一、</w:t>
      </w:r>
      <w:r>
        <w:rPr>
          <w:rFonts w:hint="default" w:ascii="Times New Roman" w:hAnsi="Times New Roman" w:eastAsia="方正黑体_GBK" w:cs="Times New Roman"/>
          <w:b w:val="0"/>
          <w:color w:val="auto"/>
          <w:highlight w:val="none"/>
          <w:lang w:eastAsia="zh-CN"/>
        </w:rPr>
        <w:t>主要职责</w:t>
      </w:r>
      <w:bookmarkEnd w:id="9"/>
    </w:p>
    <w:p w14:paraId="136E7260">
      <w:pPr>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1.贯彻执行国家、省、市人力资源和社会保障工作的法律、法规、规章和政策，拟订全县人力资源和社会保障事业发展规划、政策并组织实施，统筹推进人力资源和社会保障事业发展。</w:t>
      </w:r>
    </w:p>
    <w:p w14:paraId="2D5F58E0">
      <w:pPr>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2.拟订并组织实施全县人力资源市场发展规划和人力资源服务业发展、人力资源流动政策，促进人力资源合理流动，有效配置。</w:t>
      </w:r>
    </w:p>
    <w:p w14:paraId="53F0C40B">
      <w:pPr>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负责促进就业工作，拟订统筹全县城乡就业发展规划和政策，完善公共就业创业服务体系，统筹建立面向城乡劳动者的职业技能培训制度，拟订并组织落实创业、就业援助制度，提出就业资金安排计划并组织实施，牵头拟订高校毕业生就业政策，组织实施高校毕业生就业创业服务工作。</w:t>
      </w:r>
    </w:p>
    <w:p w14:paraId="42C9CC5B">
      <w:pPr>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统筹推进建立覆盖全县城乡的多层次社会保障体系。贯彻执行国家、省、市养老、失业、工伤等社会保险及其补充保险政策和标准，拟订全县的相关政策并组织实施，贯彻落实养老保险全国统筹办法和全国统一的养老、失业、工伤保险关系转续办法，会同有关部门拟订全县养老、失业、工伤等社会保险及其补充保险基金管理和监督制度并组织实施，编制全县相关社会保险基金预决算草案，会同有关部门实施全民参保计划并建立全县统一的社会保险公共服务平台。负责全县养老、失业、工伤保险基金保值增值的监督检查。拟订人力资源和社会保障信息化建设总体规划、年度计划，制定相关制度并组织实施。</w:t>
      </w:r>
    </w:p>
    <w:p w14:paraId="2606A339">
      <w:pPr>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5.负责就业、失业和相关社会保障基金预测预警和信息引导，拟订应对预案，实施预防、调节和控制，保持就业形势稳定和相关社会保险基金总体收支平衡。</w:t>
      </w:r>
    </w:p>
    <w:p w14:paraId="23C9ED94">
      <w:pPr>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统筹拟订劳动人事争议调解仲裁制度和劳动关系政策，完善劳动关系协商协调机制，拟订职工工作时间、休息休假制度，拟订消除非法使用童工政策和女工、未成年工特殊劳动保护政策。依法督促用人单位在劳动用工、合同签订与履约时，载明劳动保护、劳动条件和职业危害防护等条款。组织实施劳动保障监察，协调劳动者维权工，依法查处重大案件。</w:t>
      </w:r>
    </w:p>
    <w:p w14:paraId="427D6D5F">
      <w:pPr>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牵头推进深化职称制度改革，拟订专业技术人员管理、继续教育和博士后管理政策并组织实施，负责高层次专业技术人才选拔和培养工作，负责留学回国人员的服务和管理工作。组织拟订技能人才培养评价、使用和激励制度。贯彻落实职业资格制度，健全职业技能多元化评价政策。指导、监督各级各类技工学校、民办职业培训机构按国家、省、市、县有关规定履行安全管理责任。</w:t>
      </w:r>
    </w:p>
    <w:p w14:paraId="0444E386">
      <w:pPr>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8.组织实施国家表彰制度，综合管理政府表彰奖励工作，承担评比达标表彰等工作。承办县委管理的部分领导人员的行政任免手续。</w:t>
      </w:r>
    </w:p>
    <w:p w14:paraId="17A4AF80">
      <w:pPr>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会同有关部门指导实施事业单位人事制度改革，按照管理权限承办事业单位岗位设置、公开招聘、人员聘用等人事综合管理工作，拟订事业单位工作人员和机关工勤人员管理政策，将安全生产责任履行情况作为事业单位工作人员奖惩、考核的重要内容。</w:t>
      </w:r>
    </w:p>
    <w:p w14:paraId="2AC0182C">
      <w:pPr>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贯彻执行国家、省、市企业职工工资收入分配、支付、保障和调控政策，指导和监督国有企业工资总额管理和国有企业负责人工资收入分配。贯彻落实事业单位人员工资收入分配政策，建立企事业单位人员工资决定、正常增长和支付保障机制，贯彻落实企事业单位人员福利和退休政策。</w:t>
      </w:r>
    </w:p>
    <w:p w14:paraId="09FF8E9D">
      <w:pPr>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11.会同有关部门拟订劳务开发及农民工工作综合性政策和规划并推动相关政策的落实，协调解决重点难点问题，维护农民工合法权益。负责将安全生产纳入农民工技能培训内容。</w:t>
      </w:r>
    </w:p>
    <w:p w14:paraId="4AF5EA8E">
      <w:pPr>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12.受理人力资源和社会保障方面的信访事项，会同有关部门协调处理重大信访事件或突发事件。</w:t>
      </w:r>
    </w:p>
    <w:p w14:paraId="387C823D">
      <w:pPr>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13.负责县人力资源社会保障领域的对外交流与合作工作。</w:t>
      </w:r>
    </w:p>
    <w:p w14:paraId="79F39CF6">
      <w:pPr>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14.担职责范围内的安全生产和职业健康、生态环境保护、审批服务便民化等工作。</w:t>
      </w:r>
    </w:p>
    <w:p w14:paraId="3C8CF3FC">
      <w:pPr>
        <w:pageBreakBefore w:val="0"/>
        <w:kinsoku/>
        <w:wordWrap/>
        <w:overflowPunct/>
        <w:topLinePunct w:val="0"/>
        <w:autoSpaceDE/>
        <w:autoSpaceDN/>
        <w:bidi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15.完成县委、县政府交办的其他任务。</w:t>
      </w:r>
    </w:p>
    <w:p w14:paraId="72097009">
      <w:pPr>
        <w:pStyle w:val="9"/>
        <w:pageBreakBefore w:val="0"/>
        <w:kinsoku/>
        <w:wordWrap/>
        <w:overflowPunct/>
        <w:topLinePunct w:val="0"/>
        <w:autoSpaceDE/>
        <w:autoSpaceDN/>
        <w:bidi w:val="0"/>
        <w:adjustRightInd w:val="0"/>
        <w:snapToGrid w:val="0"/>
        <w:spacing w:beforeLines="0" w:line="576" w:lineRule="exact"/>
        <w:ind w:firstLine="640" w:firstLineChars="200"/>
        <w:jc w:val="both"/>
        <w:textAlignment w:val="auto"/>
        <w:outlineLvl w:val="2"/>
        <w:rPr>
          <w:rFonts w:hint="default" w:ascii="Times New Roman" w:hAnsi="Times New Roman" w:eastAsia="方正仿宋_GBK" w:cs="Times New Roman"/>
          <w:lang w:eastAsia="zh-CN"/>
        </w:rPr>
      </w:pPr>
      <w:bookmarkStart w:id="10" w:name="_Toc116570342"/>
      <w:bookmarkStart w:id="11" w:name="_Toc23938"/>
      <w:bookmarkStart w:id="12" w:name="_Toc2686"/>
      <w:r>
        <w:rPr>
          <w:rFonts w:hint="default" w:ascii="Times New Roman" w:hAnsi="Times New Roman" w:eastAsia="方正仿宋_GBK" w:cs="Times New Roman"/>
          <w:kern w:val="2"/>
          <w:sz w:val="32"/>
          <w:szCs w:val="32"/>
        </w:rPr>
        <w:t>16.职能转变。深入推进简政放权、放管结合、优化服务改革，进一步减少行政审批事项，规范和优化对外办理事项，减少职业资格许可和认定等事项，实行职业资格目录清单管理，加强事中事后监管，创新就业和社会保障等公共服务方式，加强信息共享，提高公共服务水平。</w:t>
      </w:r>
      <w:bookmarkEnd w:id="10"/>
      <w:bookmarkEnd w:id="11"/>
      <w:bookmarkEnd w:id="12"/>
    </w:p>
    <w:p w14:paraId="4CB3A69F">
      <w:pPr>
        <w:pStyle w:val="6"/>
        <w:pageBreakBefore w:val="0"/>
        <w:kinsoku/>
        <w:wordWrap/>
        <w:overflowPunct/>
        <w:topLinePunct w:val="0"/>
        <w:autoSpaceDE/>
        <w:autoSpaceDN/>
        <w:bidi w:val="0"/>
        <w:spacing w:before="0" w:after="0" w:line="576" w:lineRule="exact"/>
        <w:ind w:firstLine="640" w:firstLineChars="200"/>
        <w:jc w:val="both"/>
        <w:textAlignment w:val="auto"/>
        <w:rPr>
          <w:rStyle w:val="38"/>
          <w:rFonts w:hint="default" w:ascii="Times New Roman" w:hAnsi="Times New Roman" w:cs="Times New Roman"/>
          <w:b w:val="0"/>
          <w:bCs w:val="0"/>
          <w:color w:val="auto"/>
          <w:highlight w:val="none"/>
        </w:rPr>
      </w:pPr>
      <w:bookmarkStart w:id="13" w:name="_Toc15396601"/>
      <w:bookmarkStart w:id="14" w:name="_Toc23927"/>
      <w:bookmarkStart w:id="15" w:name="_Toc15377200"/>
      <w:r>
        <w:rPr>
          <w:rFonts w:hint="default" w:ascii="Times New Roman" w:hAnsi="Times New Roman" w:eastAsia="方正黑体_GBK" w:cs="Times New Roman"/>
          <w:b w:val="0"/>
          <w:color w:val="auto"/>
          <w:highlight w:val="none"/>
        </w:rPr>
        <w:t>二、机</w:t>
      </w:r>
      <w:r>
        <w:rPr>
          <w:rStyle w:val="38"/>
          <w:rFonts w:hint="default" w:ascii="Times New Roman" w:hAnsi="Times New Roman" w:eastAsia="方正黑体_GBK" w:cs="Times New Roman"/>
          <w:b w:val="0"/>
          <w:bCs w:val="0"/>
          <w:color w:val="auto"/>
          <w:highlight w:val="none"/>
        </w:rPr>
        <w:t>构设置</w:t>
      </w:r>
      <w:bookmarkEnd w:id="13"/>
      <w:bookmarkEnd w:id="14"/>
      <w:bookmarkEnd w:id="15"/>
    </w:p>
    <w:p w14:paraId="402A5EF6">
      <w:pPr>
        <w:pageBreakBefore w:val="0"/>
        <w:widowControl w:val="0"/>
        <w:kinsoku/>
        <w:wordWrap/>
        <w:overflowPunct/>
        <w:topLinePunct w:val="0"/>
        <w:autoSpaceDE/>
        <w:autoSpaceDN/>
        <w:bidi w:val="0"/>
        <w:spacing w:line="576" w:lineRule="exact"/>
        <w:ind w:left="0" w:leftChars="0" w:right="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方正仿宋_GBK" w:cs="Times New Roman"/>
          <w:sz w:val="32"/>
          <w:szCs w:val="32"/>
          <w:lang w:eastAsia="zh-CN"/>
        </w:rPr>
        <w:t>盐边县人力资源和社会保障局设下列内设机构：办公室（政策法规股）、就业促进与人力资源开发股、事业人员管理股、工资福利股、综合股</w:t>
      </w:r>
      <w:r>
        <w:rPr>
          <w:rFonts w:hint="default" w:ascii="Times New Roman" w:hAnsi="Times New Roman" w:eastAsia="方正仿宋_GBK" w:cs="Times New Roman"/>
          <w:sz w:val="32"/>
          <w:szCs w:val="32"/>
          <w:lang w:val="en-US" w:eastAsia="zh-CN"/>
        </w:rPr>
        <w:t>。</w:t>
      </w:r>
    </w:p>
    <w:p w14:paraId="796880B4">
      <w:pPr>
        <w:pStyle w:val="9"/>
        <w:pageBreakBefore w:val="0"/>
        <w:widowControl w:val="0"/>
        <w:kinsoku/>
        <w:wordWrap/>
        <w:overflowPunct/>
        <w:topLinePunct w:val="0"/>
        <w:autoSpaceDE/>
        <w:autoSpaceDN/>
        <w:bidi w:val="0"/>
        <w:adjustRightInd w:val="0"/>
        <w:snapToGrid w:val="0"/>
        <w:spacing w:beforeLines="0" w:line="576" w:lineRule="exact"/>
        <w:ind w:left="0" w:leftChars="0" w:right="0" w:firstLine="640" w:firstLineChars="200"/>
        <w:jc w:val="both"/>
        <w:textAlignment w:val="auto"/>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纳入盐边县人力资源和社会保障局202</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年度</w:t>
      </w:r>
      <w:r>
        <w:rPr>
          <w:rFonts w:hint="default" w:ascii="Times New Roman" w:hAnsi="Times New Roman" w:eastAsia="仿宋" w:cs="Times New Roman"/>
          <w:sz w:val="32"/>
          <w:szCs w:val="32"/>
          <w:lang w:eastAsia="zh-CN"/>
        </w:rPr>
        <w:t>单位</w:t>
      </w:r>
      <w:r>
        <w:rPr>
          <w:rFonts w:hint="default" w:ascii="Times New Roman" w:hAnsi="Times New Roman" w:eastAsia="仿宋" w:cs="Times New Roman"/>
          <w:sz w:val="32"/>
          <w:szCs w:val="32"/>
        </w:rPr>
        <w:t>决算编制范围的二级预算单位：无。</w:t>
      </w:r>
    </w:p>
    <w:p w14:paraId="7F211354">
      <w:pPr>
        <w:pageBreakBefore w:val="0"/>
        <w:kinsoku/>
        <w:wordWrap/>
        <w:overflowPunct/>
        <w:topLinePunct w:val="0"/>
        <w:autoSpaceDE/>
        <w:autoSpaceDN/>
        <w:bidi w:val="0"/>
        <w:spacing w:line="576" w:lineRule="exact"/>
        <w:ind w:firstLine="420" w:firstLineChars="200"/>
        <w:jc w:val="both"/>
        <w:textAlignment w:val="auto"/>
        <w:rPr>
          <w:rFonts w:hint="default" w:ascii="Times New Roman" w:hAnsi="Times New Roman" w:cs="Times New Roman"/>
        </w:rPr>
      </w:pPr>
    </w:p>
    <w:p w14:paraId="7F7B5E5E">
      <w:pPr>
        <w:pageBreakBefore w:val="0"/>
        <w:widowControl/>
        <w:kinsoku/>
        <w:wordWrap/>
        <w:overflowPunct/>
        <w:topLinePunct w:val="0"/>
        <w:autoSpaceDE/>
        <w:autoSpaceDN/>
        <w:bidi w:val="0"/>
        <w:spacing w:line="576" w:lineRule="exact"/>
        <w:jc w:val="center"/>
        <w:textAlignment w:val="auto"/>
        <w:rPr>
          <w:rFonts w:hint="default" w:ascii="Times New Roman" w:hAnsi="Times New Roman" w:eastAsia="方正小标宋_GBK" w:cs="Times New Roman"/>
          <w:b/>
          <w:bCs/>
          <w:color w:val="auto"/>
          <w:sz w:val="44"/>
          <w:szCs w:val="44"/>
          <w:highlight w:val="none"/>
        </w:rPr>
      </w:pPr>
      <w:r>
        <w:rPr>
          <w:rFonts w:hint="default" w:ascii="Times New Roman" w:hAnsi="Times New Roman" w:eastAsia="仿宋" w:cs="Times New Roman"/>
          <w:color w:val="auto"/>
          <w:sz w:val="32"/>
          <w:szCs w:val="32"/>
          <w:highlight w:val="none"/>
        </w:rPr>
        <w:br w:type="page"/>
      </w:r>
      <w:bookmarkStart w:id="16" w:name="_Toc15396602"/>
      <w:bookmarkStart w:id="17" w:name="_Toc15377204"/>
      <w:bookmarkStart w:id="18" w:name="_Toc9214"/>
      <w:r>
        <w:rPr>
          <w:rFonts w:hint="default" w:ascii="Times New Roman" w:hAnsi="Times New Roman" w:eastAsia="方正小标宋_GBK" w:cs="Times New Roman"/>
          <w:b/>
          <w:bCs/>
          <w:color w:val="auto"/>
          <w:sz w:val="44"/>
          <w:szCs w:val="44"/>
          <w:highlight w:val="none"/>
        </w:rPr>
        <w:t>第二部分</w:t>
      </w:r>
      <w:r>
        <w:rPr>
          <w:rFonts w:hint="default" w:ascii="Times New Roman" w:hAnsi="Times New Roman" w:eastAsia="方正小标宋_GBK" w:cs="Times New Roman"/>
          <w:b/>
          <w:bCs/>
          <w:color w:val="auto"/>
          <w:sz w:val="44"/>
          <w:szCs w:val="44"/>
          <w:highlight w:val="none"/>
          <w:lang w:val="en-US" w:eastAsia="zh-CN"/>
        </w:rPr>
        <w:t xml:space="preserve"> </w:t>
      </w:r>
      <w:r>
        <w:rPr>
          <w:rFonts w:hint="default" w:ascii="Times New Roman" w:hAnsi="Times New Roman" w:eastAsia="方正小标宋_GBK" w:cs="Times New Roman"/>
          <w:b/>
          <w:bCs/>
          <w:color w:val="auto"/>
          <w:sz w:val="44"/>
          <w:szCs w:val="44"/>
          <w:highlight w:val="none"/>
        </w:rPr>
        <w:t xml:space="preserve"> </w:t>
      </w:r>
      <w:r>
        <w:rPr>
          <w:rFonts w:hint="default" w:ascii="Times New Roman" w:hAnsi="Times New Roman" w:eastAsia="方正小标宋_GBK" w:cs="Times New Roman"/>
          <w:b/>
          <w:bCs/>
          <w:color w:val="auto"/>
          <w:sz w:val="44"/>
          <w:szCs w:val="44"/>
          <w:highlight w:val="none"/>
          <w:lang w:val="en-US" w:eastAsia="zh-CN"/>
        </w:rPr>
        <w:t>2024年度</w:t>
      </w:r>
      <w:r>
        <w:rPr>
          <w:rFonts w:hint="default" w:ascii="Times New Roman" w:hAnsi="Times New Roman" w:eastAsia="方正小标宋_GBK" w:cs="Times New Roman"/>
          <w:b/>
          <w:bCs/>
          <w:color w:val="auto"/>
          <w:sz w:val="44"/>
          <w:szCs w:val="44"/>
          <w:highlight w:val="none"/>
        </w:rPr>
        <w:t>部门决算情况说明</w:t>
      </w:r>
      <w:bookmarkEnd w:id="16"/>
      <w:bookmarkEnd w:id="17"/>
      <w:bookmarkEnd w:id="18"/>
    </w:p>
    <w:p w14:paraId="781F7CC3">
      <w:pPr>
        <w:rPr>
          <w:rFonts w:hint="default" w:ascii="Times New Roman" w:hAnsi="Times New Roman" w:cs="Times New Roman"/>
          <w:color w:val="auto"/>
          <w:highlight w:val="none"/>
        </w:rPr>
      </w:pPr>
    </w:p>
    <w:p w14:paraId="4CBD493B">
      <w:pPr>
        <w:pStyle w:val="27"/>
        <w:widowControl w:val="0"/>
        <w:numPr>
          <w:ilvl w:val="0"/>
          <w:numId w:val="0"/>
        </w:numPr>
        <w:wordWrap/>
        <w:adjustRightInd/>
        <w:snapToGrid/>
        <w:spacing w:line="600" w:lineRule="exact"/>
        <w:ind w:firstLine="640" w:firstLineChars="200"/>
        <w:textAlignment w:val="auto"/>
        <w:outlineLvl w:val="1"/>
        <w:rPr>
          <w:rStyle w:val="38"/>
          <w:rFonts w:hint="default" w:ascii="Times New Roman" w:hAnsi="Times New Roman" w:eastAsia="方正黑体_GBK" w:cs="Times New Roman"/>
          <w:b w:val="0"/>
          <w:color w:val="auto"/>
          <w:highlight w:val="none"/>
        </w:rPr>
      </w:pPr>
      <w:bookmarkStart w:id="19" w:name="_Toc15396603"/>
      <w:bookmarkStart w:id="20" w:name="_Toc15377205"/>
      <w:bookmarkStart w:id="21" w:name="_Toc10789"/>
      <w:r>
        <w:rPr>
          <w:rFonts w:hint="default" w:ascii="Times New Roman" w:hAnsi="Times New Roman" w:eastAsia="方正黑体_GBK" w:cs="Times New Roman"/>
          <w:color w:val="auto"/>
          <w:sz w:val="32"/>
          <w:szCs w:val="32"/>
          <w:highlight w:val="none"/>
          <w:lang w:eastAsia="zh-CN"/>
        </w:rPr>
        <w:t>一、</w:t>
      </w:r>
      <w:r>
        <w:rPr>
          <w:rFonts w:hint="default" w:ascii="Times New Roman" w:hAnsi="Times New Roman" w:eastAsia="方正黑体_GBK" w:cs="Times New Roman"/>
          <w:color w:val="auto"/>
          <w:sz w:val="32"/>
          <w:szCs w:val="32"/>
          <w:highlight w:val="none"/>
        </w:rPr>
        <w:t>收</w:t>
      </w:r>
      <w:r>
        <w:rPr>
          <w:rStyle w:val="38"/>
          <w:rFonts w:hint="default" w:ascii="Times New Roman" w:hAnsi="Times New Roman" w:eastAsia="方正黑体_GBK" w:cs="Times New Roman"/>
          <w:b w:val="0"/>
          <w:color w:val="auto"/>
          <w:highlight w:val="none"/>
        </w:rPr>
        <w:t>入支出决算总体情况说明</w:t>
      </w:r>
      <w:bookmarkEnd w:id="19"/>
      <w:bookmarkEnd w:id="20"/>
      <w:bookmarkEnd w:id="21"/>
    </w:p>
    <w:p w14:paraId="55543976">
      <w:pPr>
        <w:widowControl w:val="0"/>
        <w:numPr>
          <w:ilvl w:val="0"/>
          <w:numId w:val="0"/>
        </w:numPr>
        <w:wordWrap/>
        <w:adjustRightInd/>
        <w:snapToGrid/>
        <w:spacing w:line="600" w:lineRule="exact"/>
        <w:ind w:firstLine="640" w:firstLineChars="200"/>
        <w:textAlignment w:val="auto"/>
        <w:outlineLvl w:val="1"/>
        <w:rPr>
          <w:rFonts w:hint="default" w:ascii="Times New Roman" w:hAnsi="Times New Roman" w:eastAsia="方正仿宋_GBK" w:cs="Times New Roman"/>
          <w:color w:val="auto"/>
          <w:sz w:val="32"/>
          <w:szCs w:val="32"/>
          <w:highlight w:val="none"/>
          <w:lang w:eastAsia="zh-CN"/>
        </w:rPr>
      </w:pPr>
      <w:bookmarkStart w:id="22" w:name="_Toc17323"/>
      <w:r>
        <w:rPr>
          <w:rFonts w:hint="default" w:ascii="Times New Roman" w:hAnsi="Times New Roman" w:eastAsia="方正仿宋_GBK" w:cs="Times New Roman"/>
          <w:color w:val="auto"/>
          <w:sz w:val="32"/>
          <w:szCs w:val="32"/>
          <w:highlight w:val="none"/>
          <w:lang w:eastAsia="zh-CN"/>
        </w:rPr>
        <w:t>2024年度收入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总计</w:t>
      </w:r>
      <w:r>
        <w:rPr>
          <w:rFonts w:hint="default" w:ascii="Times New Roman" w:hAnsi="Times New Roman" w:eastAsia="方正仿宋_GBK" w:cs="Times New Roman"/>
          <w:color w:val="auto"/>
          <w:sz w:val="32"/>
          <w:szCs w:val="32"/>
          <w:highlight w:val="none"/>
          <w:lang w:eastAsia="zh-CN"/>
        </w:rPr>
        <w:t>均为</w:t>
      </w:r>
      <w:r>
        <w:rPr>
          <w:rFonts w:hint="default" w:ascii="Times New Roman" w:hAnsi="Times New Roman" w:eastAsia="方正仿宋_GBK" w:cs="Times New Roman"/>
          <w:sz w:val="32"/>
          <w:szCs w:val="32"/>
        </w:rPr>
        <w:t>2118.12</w:t>
      </w:r>
      <w:r>
        <w:rPr>
          <w:rFonts w:hint="default" w:ascii="Times New Roman" w:hAnsi="Times New Roman" w:eastAsia="方正仿宋_GBK" w:cs="Times New Roman"/>
          <w:color w:val="auto"/>
          <w:sz w:val="32"/>
          <w:szCs w:val="32"/>
          <w:highlight w:val="none"/>
        </w:rPr>
        <w:t>万元。与</w:t>
      </w:r>
      <w:r>
        <w:rPr>
          <w:rFonts w:hint="default" w:ascii="Times New Roman" w:hAnsi="Times New Roman" w:eastAsia="方正仿宋_GBK" w:cs="Times New Roman"/>
          <w:color w:val="auto"/>
          <w:sz w:val="32"/>
          <w:szCs w:val="32"/>
          <w:highlight w:val="none"/>
          <w:lang w:eastAsia="zh-CN"/>
        </w:rPr>
        <w:t>202</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eastAsia="zh-CN"/>
        </w:rPr>
        <w:t>度</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年度收、支</w:t>
      </w:r>
      <w:r>
        <w:rPr>
          <w:rFonts w:hint="default" w:ascii="Times New Roman" w:hAnsi="Times New Roman" w:eastAsia="仿宋" w:cs="Times New Roman"/>
          <w:sz w:val="32"/>
          <w:szCs w:val="32"/>
          <w:lang w:eastAsia="zh-CN"/>
        </w:rPr>
        <w:t>均为</w:t>
      </w:r>
      <w:r>
        <w:rPr>
          <w:rFonts w:hint="default" w:ascii="Times New Roman" w:hAnsi="Times New Roman" w:eastAsia="仿宋" w:cs="Times New Roman"/>
          <w:sz w:val="32"/>
          <w:szCs w:val="32"/>
          <w:lang w:val="en-US" w:eastAsia="zh-CN"/>
        </w:rPr>
        <w:t>1614.33</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w:t>
      </w:r>
      <w:r>
        <w:rPr>
          <w:rFonts w:hint="default" w:ascii="Times New Roman" w:hAnsi="Times New Roman" w:eastAsia="方正仿宋_GBK" w:cs="Times New Roman"/>
          <w:color w:val="auto"/>
          <w:sz w:val="32"/>
          <w:szCs w:val="32"/>
          <w:highlight w:val="none"/>
        </w:rPr>
        <w:t>相比，</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总计各增加</w:t>
      </w:r>
      <w:r>
        <w:rPr>
          <w:rFonts w:hint="default" w:ascii="Times New Roman" w:hAnsi="Times New Roman" w:eastAsia="方正仿宋_GBK" w:cs="Times New Roman"/>
          <w:color w:val="auto"/>
          <w:sz w:val="32"/>
          <w:szCs w:val="32"/>
          <w:highlight w:val="none"/>
          <w:lang w:val="en-US" w:eastAsia="zh-CN"/>
        </w:rPr>
        <w:t>503.79</w:t>
      </w:r>
      <w:r>
        <w:rPr>
          <w:rFonts w:hint="default" w:ascii="Times New Roman" w:hAnsi="Times New Roman" w:eastAsia="方正仿宋_GBK" w:cs="Times New Roman"/>
          <w:color w:val="auto"/>
          <w:sz w:val="32"/>
          <w:szCs w:val="32"/>
          <w:highlight w:val="none"/>
        </w:rPr>
        <w:t>万元，增长</w:t>
      </w:r>
      <w:r>
        <w:rPr>
          <w:rFonts w:hint="default" w:ascii="Times New Roman" w:hAnsi="Times New Roman" w:eastAsia="方正仿宋_GBK" w:cs="Times New Roman"/>
          <w:color w:val="auto"/>
          <w:sz w:val="32"/>
          <w:szCs w:val="32"/>
          <w:highlight w:val="none"/>
          <w:lang w:val="en-US" w:eastAsia="zh-CN"/>
        </w:rPr>
        <w:t>31.21</w:t>
      </w:r>
      <w:r>
        <w:rPr>
          <w:rFonts w:hint="default" w:ascii="Times New Roman" w:hAnsi="Times New Roman" w:eastAsia="方正仿宋_GBK" w:cs="Times New Roman"/>
          <w:color w:val="auto"/>
          <w:sz w:val="32"/>
          <w:szCs w:val="32"/>
          <w:highlight w:val="none"/>
        </w:rPr>
        <w:t>%。主要变动原因是本年人员经费增加与项目收入增加。</w:t>
      </w:r>
      <w:bookmarkEnd w:id="22"/>
    </w:p>
    <w:p w14:paraId="582C7CA7">
      <w:pPr>
        <w:widowControl w:val="0"/>
        <w:wordWrap/>
        <w:adjustRightInd/>
        <w:snapToGrid/>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（图1：</w:t>
      </w:r>
      <w:r>
        <w:rPr>
          <w:rFonts w:hint="default" w:ascii="Times New Roman" w:hAnsi="Times New Roman" w:eastAsia="方正仿宋_GBK" w:cs="Times New Roman"/>
          <w:color w:val="auto"/>
          <w:sz w:val="32"/>
          <w:szCs w:val="32"/>
          <w:highlight w:val="none"/>
          <w:lang w:eastAsia="zh-CN"/>
        </w:rPr>
        <w:t>收入</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决算总计变动情况图）（柱状图）</w:t>
      </w:r>
    </w:p>
    <w:p w14:paraId="56F5D65B">
      <w:pPr>
        <w:widowControl w:val="0"/>
        <w:wordWrap/>
        <w:adjustRightInd/>
        <w:snapToGrid/>
        <w:ind w:firstLine="42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宋体" w:cs="Times New Roman"/>
          <w:b/>
          <w:kern w:val="2"/>
          <w:sz w:val="21"/>
          <w:szCs w:val="24"/>
          <w:lang w:val="en-US" w:eastAsia="zh-CN" w:bidi="ar-SA"/>
        </w:rPr>
        <w:pict>
          <v:shape id="_x0000_s1030" o:spid="_x0000_s1030" o:spt="75" type="#_x0000_t75" style="position:absolute;left:0pt;margin-left:36.9pt;margin-top:7pt;height:173.75pt;width:259.8pt;mso-wrap-distance-bottom:0pt;mso-wrap-distance-left:9pt;mso-wrap-distance-right:9pt;mso-wrap-distance-top:0pt;z-index:251659264;mso-width-relative:page;mso-height-relative:page;" o:ole="t" fillcolor="#FFFFFF" filled="f" o:preferrelative="t" stroked="f" coordsize="21600,21600">
            <v:path/>
            <v:fill on="f" color2="#FFFFFF" focussize="0,0"/>
            <v:stroke on="f"/>
            <v:imagedata r:id="rId11" gain="65536f" blacklevel="0f" gamma="0" o:title=""/>
            <o:lock v:ext="edit" position="f" selection="f" grouping="f" rotation="f" cropping="f" text="f" aspectratio="t"/>
            <w10:wrap type="square"/>
          </v:shape>
          <o:OLEObject Type="Embed" ProgID="MSGraph.Chart.8" ShapeID="_x0000_s1030" DrawAspect="Content" ObjectID="_1468075725" r:id="rId10">
            <o:LockedField>false</o:LockedField>
          </o:OLEObject>
        </w:pict>
      </w:r>
    </w:p>
    <w:p w14:paraId="07901127">
      <w:pPr>
        <w:pStyle w:val="27"/>
        <w:widowControl w:val="0"/>
        <w:numPr>
          <w:ilvl w:val="0"/>
          <w:numId w:val="0"/>
        </w:numPr>
        <w:wordWrap/>
        <w:adjustRightInd/>
        <w:snapToGrid/>
        <w:spacing w:line="600" w:lineRule="exact"/>
        <w:ind w:firstLine="640" w:firstLineChars="200"/>
        <w:textAlignment w:val="auto"/>
        <w:outlineLvl w:val="1"/>
        <w:rPr>
          <w:rFonts w:hint="default" w:ascii="Times New Roman" w:hAnsi="Times New Roman" w:eastAsia="方正黑体_GBK" w:cs="Times New Roman"/>
          <w:color w:val="auto"/>
          <w:sz w:val="32"/>
          <w:szCs w:val="32"/>
          <w:highlight w:val="none"/>
          <w:lang w:eastAsia="zh-CN"/>
        </w:rPr>
      </w:pPr>
      <w:bookmarkStart w:id="23" w:name="_Toc15377206"/>
      <w:bookmarkStart w:id="24" w:name="_Toc15396604"/>
    </w:p>
    <w:p w14:paraId="4305FE12">
      <w:pPr>
        <w:pStyle w:val="27"/>
        <w:widowControl w:val="0"/>
        <w:numPr>
          <w:ilvl w:val="0"/>
          <w:numId w:val="0"/>
        </w:numPr>
        <w:wordWrap/>
        <w:adjustRightInd/>
        <w:snapToGrid/>
        <w:spacing w:line="600" w:lineRule="exact"/>
        <w:ind w:firstLine="640" w:firstLineChars="200"/>
        <w:textAlignment w:val="auto"/>
        <w:outlineLvl w:val="1"/>
        <w:rPr>
          <w:rFonts w:hint="default" w:ascii="Times New Roman" w:hAnsi="Times New Roman" w:eastAsia="方正黑体_GBK" w:cs="Times New Roman"/>
          <w:color w:val="auto"/>
          <w:sz w:val="32"/>
          <w:szCs w:val="32"/>
          <w:highlight w:val="none"/>
          <w:lang w:eastAsia="zh-CN"/>
        </w:rPr>
      </w:pPr>
    </w:p>
    <w:p w14:paraId="6842DA7F">
      <w:pPr>
        <w:pStyle w:val="27"/>
        <w:widowControl w:val="0"/>
        <w:numPr>
          <w:ilvl w:val="0"/>
          <w:numId w:val="0"/>
        </w:numPr>
        <w:wordWrap/>
        <w:adjustRightInd/>
        <w:snapToGrid/>
        <w:spacing w:line="600" w:lineRule="exact"/>
        <w:ind w:firstLine="640" w:firstLineChars="200"/>
        <w:textAlignment w:val="auto"/>
        <w:outlineLvl w:val="1"/>
        <w:rPr>
          <w:rFonts w:hint="default" w:ascii="Times New Roman" w:hAnsi="Times New Roman" w:eastAsia="方正黑体_GBK" w:cs="Times New Roman"/>
          <w:color w:val="auto"/>
          <w:sz w:val="32"/>
          <w:szCs w:val="32"/>
          <w:highlight w:val="none"/>
          <w:lang w:eastAsia="zh-CN"/>
        </w:rPr>
      </w:pPr>
    </w:p>
    <w:p w14:paraId="59CE75A4">
      <w:pPr>
        <w:pStyle w:val="27"/>
        <w:widowControl w:val="0"/>
        <w:numPr>
          <w:ilvl w:val="0"/>
          <w:numId w:val="0"/>
        </w:numPr>
        <w:wordWrap/>
        <w:adjustRightInd/>
        <w:snapToGrid/>
        <w:spacing w:line="600" w:lineRule="exact"/>
        <w:ind w:firstLine="640" w:firstLineChars="200"/>
        <w:textAlignment w:val="auto"/>
        <w:outlineLvl w:val="1"/>
        <w:rPr>
          <w:rFonts w:hint="default" w:ascii="Times New Roman" w:hAnsi="Times New Roman" w:eastAsia="方正黑体_GBK" w:cs="Times New Roman"/>
          <w:color w:val="auto"/>
          <w:sz w:val="32"/>
          <w:szCs w:val="32"/>
          <w:highlight w:val="none"/>
          <w:lang w:eastAsia="zh-CN"/>
        </w:rPr>
      </w:pPr>
    </w:p>
    <w:p w14:paraId="734BE6F1">
      <w:pPr>
        <w:pStyle w:val="27"/>
        <w:widowControl w:val="0"/>
        <w:numPr>
          <w:ilvl w:val="0"/>
          <w:numId w:val="0"/>
        </w:numPr>
        <w:wordWrap/>
        <w:adjustRightInd/>
        <w:snapToGrid/>
        <w:spacing w:line="600" w:lineRule="exact"/>
        <w:ind w:firstLine="640" w:firstLineChars="200"/>
        <w:textAlignment w:val="auto"/>
        <w:outlineLvl w:val="1"/>
        <w:rPr>
          <w:rFonts w:hint="default" w:ascii="Times New Roman" w:hAnsi="Times New Roman" w:eastAsia="方正黑体_GBK" w:cs="Times New Roman"/>
          <w:color w:val="auto"/>
          <w:sz w:val="32"/>
          <w:szCs w:val="32"/>
          <w:highlight w:val="none"/>
          <w:lang w:eastAsia="zh-CN"/>
        </w:rPr>
      </w:pPr>
    </w:p>
    <w:p w14:paraId="1F0EB18B">
      <w:pPr>
        <w:pStyle w:val="27"/>
        <w:widowControl w:val="0"/>
        <w:numPr>
          <w:ilvl w:val="0"/>
          <w:numId w:val="0"/>
        </w:numPr>
        <w:wordWrap/>
        <w:adjustRightInd/>
        <w:snapToGrid/>
        <w:spacing w:line="600" w:lineRule="exact"/>
        <w:ind w:firstLine="640" w:firstLineChars="200"/>
        <w:textAlignment w:val="auto"/>
        <w:outlineLvl w:val="1"/>
        <w:rPr>
          <w:rFonts w:hint="default" w:ascii="Times New Roman" w:hAnsi="Times New Roman" w:eastAsia="方正黑体_GBK" w:cs="Times New Roman"/>
          <w:color w:val="auto"/>
          <w:sz w:val="32"/>
          <w:szCs w:val="32"/>
          <w:highlight w:val="none"/>
          <w:lang w:eastAsia="zh-CN"/>
        </w:rPr>
      </w:pPr>
      <w:bookmarkStart w:id="25" w:name="_Toc1945"/>
      <w:r>
        <w:rPr>
          <w:rFonts w:hint="default" w:ascii="Times New Roman" w:hAnsi="Times New Roman" w:eastAsia="方正黑体_GBK" w:cs="Times New Roman"/>
          <w:color w:val="auto"/>
          <w:sz w:val="32"/>
          <w:szCs w:val="32"/>
          <w:highlight w:val="none"/>
          <w:lang w:eastAsia="zh-CN"/>
        </w:rPr>
        <w:t>二、收入决算情况说明</w:t>
      </w:r>
      <w:bookmarkEnd w:id="23"/>
      <w:bookmarkEnd w:id="24"/>
      <w:bookmarkEnd w:id="25"/>
    </w:p>
    <w:p w14:paraId="313AB727">
      <w:pPr>
        <w:pStyle w:val="27"/>
        <w:widowControl w:val="0"/>
        <w:numPr>
          <w:ilvl w:val="0"/>
          <w:numId w:val="0"/>
        </w:numPr>
        <w:wordWrap/>
        <w:adjustRightInd/>
        <w:snapToGrid/>
        <w:spacing w:line="600" w:lineRule="exact"/>
        <w:ind w:firstLine="640" w:firstLineChars="200"/>
        <w:jc w:val="left"/>
        <w:textAlignment w:val="auto"/>
        <w:outlineLvl w:val="1"/>
        <w:rPr>
          <w:rFonts w:hint="default" w:ascii="Times New Roman" w:hAnsi="Times New Roman" w:eastAsia="方正仿宋_GBK" w:cs="Times New Roman"/>
          <w:b/>
          <w:bCs/>
          <w:color w:val="auto"/>
          <w:sz w:val="32"/>
          <w:szCs w:val="32"/>
          <w:highlight w:val="none"/>
          <w:lang w:eastAsia="zh-CN"/>
        </w:rPr>
      </w:pPr>
      <w:bookmarkStart w:id="26" w:name="_Toc3325"/>
      <w:r>
        <w:rPr>
          <w:rFonts w:hint="default" w:ascii="Times New Roman" w:hAnsi="Times New Roman" w:eastAsia="方正仿宋_GBK" w:cs="Times New Roman"/>
          <w:color w:val="auto"/>
          <w:sz w:val="32"/>
          <w:szCs w:val="32"/>
          <w:highlight w:val="none"/>
          <w:lang w:eastAsia="zh-CN"/>
        </w:rPr>
        <w:t>2024年度本年收入合计</w:t>
      </w:r>
      <w:r>
        <w:rPr>
          <w:rFonts w:hint="default" w:ascii="Times New Roman" w:hAnsi="Times New Roman" w:eastAsia="方正仿宋_GBK" w:cs="Times New Roman"/>
          <w:sz w:val="32"/>
          <w:szCs w:val="32"/>
        </w:rPr>
        <w:t>2118.12万元，其中：一般公共预算财政拨款收入2116.12</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99.9</w:t>
      </w:r>
      <w:r>
        <w:rPr>
          <w:rFonts w:hint="default" w:ascii="Times New Roman" w:hAnsi="Times New Roman" w:eastAsia="方正仿宋_GBK" w:cs="Times New Roman"/>
          <w:color w:val="auto"/>
          <w:sz w:val="32"/>
          <w:szCs w:val="32"/>
          <w:highlight w:val="none"/>
          <w:lang w:eastAsia="zh-CN"/>
        </w:rPr>
        <w:t>%；国有资本经营预算财政拨款收入</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0.09</w:t>
      </w:r>
      <w:r>
        <w:rPr>
          <w:rFonts w:hint="default" w:ascii="Times New Roman" w:hAnsi="Times New Roman" w:eastAsia="方正仿宋_GBK" w:cs="Times New Roman"/>
          <w:color w:val="auto"/>
          <w:sz w:val="32"/>
          <w:szCs w:val="32"/>
          <w:highlight w:val="none"/>
          <w:lang w:eastAsia="zh-CN"/>
        </w:rPr>
        <w:t>%。</w:t>
      </w:r>
      <w:bookmarkEnd w:id="26"/>
    </w:p>
    <w:p w14:paraId="26A66159">
      <w:pPr>
        <w:ind w:firstLine="800" w:firstLineChars="25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（图2：收入决算结构图）（饼状图）</w:t>
      </w:r>
    </w:p>
    <w:p w14:paraId="52103638">
      <w:pPr>
        <w:ind w:firstLine="525" w:firstLineChars="25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宋体" w:cs="Times New Roman"/>
          <w:kern w:val="2"/>
          <w:sz w:val="21"/>
          <w:szCs w:val="24"/>
          <w:lang w:val="en-US" w:eastAsia="zh-CN" w:bidi="ar-SA"/>
        </w:rPr>
        <w:pict>
          <v:shape id="_x0000_s1031" o:spid="_x0000_s1031" o:spt="75" type="#_x0000_t75" style="position:absolute;left:0pt;margin-left:36.9pt;margin-top:5.9pt;height:144pt;width:215.35pt;mso-wrap-distance-bottom:0pt;mso-wrap-distance-left:9pt;mso-wrap-distance-right:9pt;mso-wrap-distance-top:0pt;z-index:251660288;mso-width-relative:page;mso-height-relative:page;" o:ole="t" fillcolor="#FFFFFF" filled="f" o:preferrelative="t" stroked="f" coordsize="21600,21600">
            <v:path/>
            <v:fill on="f" color2="#FFFFFF" focussize="0,0"/>
            <v:stroke on="f"/>
            <v:imagedata r:id="rId13" gain="65536f" blacklevel="0f" gamma="0" o:title=""/>
            <o:lock v:ext="edit" position="f" selection="f" grouping="f" rotation="f" cropping="f" text="f" aspectratio="t"/>
            <w10:wrap type="square"/>
          </v:shape>
          <o:OLEObject Type="Embed" ProgID="MSGraph.Chart.8" ShapeID="_x0000_s1031" DrawAspect="Content" ObjectID="_1468075726" r:id="rId12">
            <o:LockedField>false</o:LockedField>
          </o:OLEObject>
        </w:pict>
      </w:r>
    </w:p>
    <w:p w14:paraId="5D543E80">
      <w:pPr>
        <w:pStyle w:val="27"/>
        <w:widowControl w:val="0"/>
        <w:numPr>
          <w:ilvl w:val="0"/>
          <w:numId w:val="0"/>
        </w:numPr>
        <w:wordWrap/>
        <w:adjustRightInd/>
        <w:snapToGrid/>
        <w:spacing w:line="600" w:lineRule="exact"/>
        <w:ind w:firstLine="640" w:firstLineChars="200"/>
        <w:textAlignment w:val="auto"/>
        <w:outlineLvl w:val="1"/>
        <w:rPr>
          <w:rFonts w:hint="default" w:ascii="Times New Roman" w:hAnsi="Times New Roman" w:eastAsia="方正黑体_GBK" w:cs="Times New Roman"/>
          <w:color w:val="auto"/>
          <w:sz w:val="32"/>
          <w:szCs w:val="32"/>
          <w:highlight w:val="none"/>
          <w:lang w:eastAsia="zh-CN"/>
        </w:rPr>
      </w:pPr>
      <w:bookmarkStart w:id="27" w:name="_Toc15396605"/>
      <w:bookmarkStart w:id="28" w:name="_Toc15377207"/>
    </w:p>
    <w:p w14:paraId="76F2075D">
      <w:pPr>
        <w:pStyle w:val="27"/>
        <w:widowControl w:val="0"/>
        <w:numPr>
          <w:ilvl w:val="0"/>
          <w:numId w:val="0"/>
        </w:numPr>
        <w:wordWrap/>
        <w:adjustRightInd/>
        <w:snapToGrid/>
        <w:spacing w:line="600" w:lineRule="exact"/>
        <w:ind w:firstLine="640" w:firstLineChars="200"/>
        <w:textAlignment w:val="auto"/>
        <w:outlineLvl w:val="1"/>
        <w:rPr>
          <w:rStyle w:val="38"/>
          <w:rFonts w:hint="default" w:ascii="Times New Roman" w:hAnsi="Times New Roman" w:eastAsia="方正黑体_GBK" w:cs="Times New Roman"/>
          <w:b w:val="0"/>
          <w:color w:val="auto"/>
          <w:highlight w:val="none"/>
        </w:rPr>
      </w:pPr>
      <w:bookmarkStart w:id="29" w:name="_Toc28543"/>
      <w:r>
        <w:rPr>
          <w:rFonts w:hint="default" w:ascii="Times New Roman" w:hAnsi="Times New Roman" w:eastAsia="方正黑体_GBK" w:cs="Times New Roman"/>
          <w:color w:val="auto"/>
          <w:sz w:val="32"/>
          <w:szCs w:val="32"/>
          <w:highlight w:val="none"/>
          <w:lang w:eastAsia="zh-CN"/>
        </w:rPr>
        <w:t>三、</w:t>
      </w:r>
      <w:r>
        <w:rPr>
          <w:rFonts w:hint="default" w:ascii="Times New Roman" w:hAnsi="Times New Roman" w:eastAsia="方正黑体_GBK" w:cs="Times New Roman"/>
          <w:color w:val="auto"/>
          <w:sz w:val="32"/>
          <w:szCs w:val="32"/>
          <w:highlight w:val="none"/>
        </w:rPr>
        <w:t>支</w:t>
      </w:r>
      <w:r>
        <w:rPr>
          <w:rStyle w:val="38"/>
          <w:rFonts w:hint="default" w:ascii="Times New Roman" w:hAnsi="Times New Roman" w:eastAsia="方正黑体_GBK" w:cs="Times New Roman"/>
          <w:b w:val="0"/>
          <w:color w:val="auto"/>
          <w:highlight w:val="none"/>
        </w:rPr>
        <w:t>出决算情况说明</w:t>
      </w:r>
      <w:bookmarkEnd w:id="27"/>
      <w:bookmarkEnd w:id="28"/>
      <w:bookmarkEnd w:id="29"/>
    </w:p>
    <w:p w14:paraId="6CA14272">
      <w:pPr>
        <w:pStyle w:val="27"/>
        <w:widowControl w:val="0"/>
        <w:numPr>
          <w:ilvl w:val="0"/>
          <w:numId w:val="0"/>
        </w:numPr>
        <w:wordWrap/>
        <w:adjustRightInd/>
        <w:snapToGrid/>
        <w:spacing w:line="600" w:lineRule="exact"/>
        <w:ind w:firstLine="640" w:firstLineChars="200"/>
        <w:jc w:val="left"/>
        <w:textAlignment w:val="auto"/>
        <w:outlineLvl w:val="1"/>
        <w:rPr>
          <w:rFonts w:hint="default" w:ascii="Times New Roman" w:hAnsi="Times New Roman" w:eastAsia="方正仿宋_GBK" w:cs="Times New Roman"/>
          <w:color w:val="auto"/>
          <w:sz w:val="32"/>
          <w:szCs w:val="32"/>
          <w:highlight w:val="none"/>
          <w:lang w:eastAsia="zh-CN"/>
        </w:rPr>
      </w:pPr>
      <w:bookmarkStart w:id="30" w:name="_Toc31541"/>
      <w:r>
        <w:rPr>
          <w:rFonts w:hint="default" w:ascii="Times New Roman" w:hAnsi="Times New Roman" w:eastAsia="方正仿宋_GBK" w:cs="Times New Roman"/>
          <w:color w:val="auto"/>
          <w:sz w:val="32"/>
          <w:szCs w:val="32"/>
          <w:highlight w:val="none"/>
          <w:lang w:eastAsia="zh-CN"/>
        </w:rPr>
        <w:t>2024年度本年支出合计</w:t>
      </w:r>
      <w:r>
        <w:rPr>
          <w:rFonts w:hint="default" w:ascii="Times New Roman" w:hAnsi="Times New Roman" w:eastAsia="方正仿宋_GBK" w:cs="Times New Roman"/>
          <w:sz w:val="32"/>
          <w:szCs w:val="32"/>
        </w:rPr>
        <w:t>2118.12</w:t>
      </w:r>
      <w:r>
        <w:rPr>
          <w:rFonts w:hint="default" w:ascii="Times New Roman" w:hAnsi="Times New Roman" w:eastAsia="方正仿宋_GBK" w:cs="Times New Roman"/>
          <w:color w:val="auto"/>
          <w:sz w:val="32"/>
          <w:szCs w:val="32"/>
          <w:highlight w:val="none"/>
          <w:lang w:eastAsia="zh-CN"/>
        </w:rPr>
        <w:t>万元，其中：基本支出</w:t>
      </w:r>
      <w:r>
        <w:rPr>
          <w:rFonts w:hint="default" w:ascii="Times New Roman" w:hAnsi="Times New Roman" w:eastAsia="方正仿宋_GBK" w:cs="Times New Roman"/>
          <w:sz w:val="32"/>
          <w:szCs w:val="32"/>
        </w:rPr>
        <w:t>1347.99</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63.64</w:t>
      </w:r>
      <w:r>
        <w:rPr>
          <w:rFonts w:hint="default" w:ascii="Times New Roman" w:hAnsi="Times New Roman" w:eastAsia="方正仿宋_GBK" w:cs="Times New Roman"/>
          <w:color w:val="auto"/>
          <w:sz w:val="32"/>
          <w:szCs w:val="32"/>
          <w:highlight w:val="none"/>
          <w:lang w:eastAsia="zh-CN"/>
        </w:rPr>
        <w:t>%；项目支出</w:t>
      </w:r>
      <w:r>
        <w:rPr>
          <w:rFonts w:hint="default" w:ascii="Times New Roman" w:hAnsi="Times New Roman" w:eastAsia="方正仿宋_GBK" w:cs="Times New Roman"/>
          <w:sz w:val="32"/>
          <w:szCs w:val="32"/>
        </w:rPr>
        <w:t>770.13</w:t>
      </w:r>
      <w:r>
        <w:rPr>
          <w:rFonts w:hint="default" w:ascii="Times New Roman" w:hAnsi="Times New Roman" w:eastAsia="方正仿宋_GBK" w:cs="Times New Roman"/>
          <w:color w:val="auto"/>
          <w:sz w:val="32"/>
          <w:szCs w:val="32"/>
          <w:highlight w:val="none"/>
          <w:lang w:eastAsia="zh-CN"/>
        </w:rPr>
        <w:t>万元，占</w:t>
      </w:r>
      <w:r>
        <w:rPr>
          <w:rFonts w:hint="default" w:ascii="Times New Roman" w:hAnsi="Times New Roman" w:eastAsia="方正仿宋_GBK" w:cs="Times New Roman"/>
          <w:sz w:val="32"/>
          <w:szCs w:val="32"/>
        </w:rPr>
        <w:t>36.35</w:t>
      </w:r>
      <w:r>
        <w:rPr>
          <w:rFonts w:hint="default" w:ascii="Times New Roman" w:hAnsi="Times New Roman" w:eastAsia="方正仿宋_GBK" w:cs="Times New Roman"/>
          <w:color w:val="auto"/>
          <w:sz w:val="32"/>
          <w:szCs w:val="32"/>
          <w:highlight w:val="none"/>
          <w:lang w:eastAsia="zh-CN"/>
        </w:rPr>
        <w:t>%。</w:t>
      </w:r>
      <w:bookmarkEnd w:id="30"/>
    </w:p>
    <w:p w14:paraId="3AF187B3">
      <w:pPr>
        <w:ind w:firstLine="800" w:firstLineChars="25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（图3：支出决算结构图）（饼状图）</w:t>
      </w:r>
    </w:p>
    <w:p w14:paraId="0736CF53">
      <w:pPr>
        <w:ind w:firstLine="525" w:firstLineChars="25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宋体" w:cs="Times New Roman"/>
          <w:kern w:val="2"/>
          <w:sz w:val="21"/>
          <w:szCs w:val="24"/>
          <w:lang w:val="en-US" w:eastAsia="zh-CN" w:bidi="ar-SA"/>
        </w:rPr>
        <w:pict>
          <v:shape id="_x0000_s1032" o:spid="_x0000_s1032" o:spt="75" type="#_x0000_t75" style="position:absolute;left:0pt;margin-left:47.25pt;margin-top:4.8pt;height:144pt;width:215.35pt;mso-wrap-distance-bottom:0pt;mso-wrap-distance-left:9pt;mso-wrap-distance-right:9pt;mso-wrap-distance-top:0pt;z-index:251661312;mso-width-relative:page;mso-height-relative:page;" o:ole="t" fillcolor="#FFFFFF" filled="f" o:preferrelative="t" stroked="f" coordsize="21600,21600">
            <v:path/>
            <v:fill on="f" color2="#FFFFFF" focussize="0,0"/>
            <v:stroke on="f"/>
            <v:imagedata r:id="rId15" gain="65536f" blacklevel="0f" gamma="0" o:title=""/>
            <o:lock v:ext="edit" position="f" selection="f" grouping="f" rotation="f" cropping="f" text="f" aspectratio="t"/>
            <w10:wrap type="square"/>
          </v:shape>
          <o:OLEObject Type="Embed" ProgID="MSGraph.Chart.8" ShapeID="_x0000_s1032" DrawAspect="Content" ObjectID="_1468075727" r:id="rId14">
            <o:LockedField>false</o:LockedField>
          </o:OLEObject>
        </w:pict>
      </w:r>
    </w:p>
    <w:p w14:paraId="6F78D500">
      <w:pPr>
        <w:spacing w:line="600" w:lineRule="exact"/>
        <w:ind w:firstLine="640" w:firstLineChars="200"/>
        <w:outlineLvl w:val="1"/>
        <w:rPr>
          <w:rFonts w:hint="default" w:ascii="Times New Roman" w:hAnsi="Times New Roman" w:eastAsia="方正黑体_GBK" w:cs="Times New Roman"/>
          <w:color w:val="auto"/>
          <w:sz w:val="32"/>
          <w:szCs w:val="32"/>
          <w:highlight w:val="none"/>
        </w:rPr>
      </w:pPr>
      <w:bookmarkStart w:id="31" w:name="_Toc15396606"/>
      <w:bookmarkStart w:id="32" w:name="_Toc15377208"/>
    </w:p>
    <w:p w14:paraId="1A6FCF2A">
      <w:pPr>
        <w:spacing w:line="600" w:lineRule="exact"/>
        <w:ind w:firstLine="640" w:firstLineChars="200"/>
        <w:outlineLvl w:val="1"/>
        <w:rPr>
          <w:rFonts w:hint="default" w:ascii="Times New Roman" w:hAnsi="Times New Roman" w:eastAsia="方正黑体_GBK" w:cs="Times New Roman"/>
          <w:color w:val="auto"/>
          <w:sz w:val="32"/>
          <w:szCs w:val="32"/>
          <w:highlight w:val="none"/>
        </w:rPr>
      </w:pPr>
    </w:p>
    <w:p w14:paraId="1B7140B7">
      <w:pPr>
        <w:spacing w:line="600" w:lineRule="exact"/>
        <w:ind w:firstLine="640" w:firstLineChars="200"/>
        <w:outlineLvl w:val="1"/>
        <w:rPr>
          <w:rFonts w:hint="default" w:ascii="Times New Roman" w:hAnsi="Times New Roman" w:eastAsia="方正黑体_GBK" w:cs="Times New Roman"/>
          <w:color w:val="auto"/>
          <w:sz w:val="32"/>
          <w:szCs w:val="32"/>
          <w:highlight w:val="none"/>
        </w:rPr>
      </w:pPr>
    </w:p>
    <w:p w14:paraId="5ECB1EDC">
      <w:pPr>
        <w:spacing w:line="600" w:lineRule="exact"/>
        <w:ind w:firstLine="640" w:firstLineChars="200"/>
        <w:outlineLvl w:val="1"/>
        <w:rPr>
          <w:rFonts w:hint="default" w:ascii="Times New Roman" w:hAnsi="Times New Roman" w:eastAsia="方正黑体_GBK" w:cs="Times New Roman"/>
          <w:color w:val="auto"/>
          <w:sz w:val="32"/>
          <w:szCs w:val="32"/>
          <w:highlight w:val="none"/>
        </w:rPr>
      </w:pPr>
    </w:p>
    <w:p w14:paraId="71B97F1D">
      <w:pPr>
        <w:spacing w:line="600" w:lineRule="exact"/>
        <w:ind w:firstLine="640" w:firstLineChars="200"/>
        <w:outlineLvl w:val="1"/>
        <w:rPr>
          <w:rStyle w:val="38"/>
          <w:rFonts w:hint="default" w:ascii="Times New Roman" w:hAnsi="Times New Roman" w:eastAsia="方正黑体_GBK" w:cs="Times New Roman"/>
          <w:b w:val="0"/>
          <w:color w:val="auto"/>
          <w:highlight w:val="none"/>
        </w:rPr>
      </w:pPr>
      <w:bookmarkStart w:id="33" w:name="_Toc28195"/>
      <w:r>
        <w:rPr>
          <w:rFonts w:hint="default" w:ascii="Times New Roman" w:hAnsi="Times New Roman" w:eastAsia="方正黑体_GBK" w:cs="Times New Roman"/>
          <w:color w:val="auto"/>
          <w:sz w:val="32"/>
          <w:szCs w:val="32"/>
          <w:highlight w:val="none"/>
        </w:rPr>
        <w:t>四、财</w:t>
      </w:r>
      <w:r>
        <w:rPr>
          <w:rStyle w:val="38"/>
          <w:rFonts w:hint="default" w:ascii="Times New Roman" w:hAnsi="Times New Roman" w:eastAsia="方正黑体_GBK" w:cs="Times New Roman"/>
          <w:b w:val="0"/>
          <w:color w:val="auto"/>
          <w:highlight w:val="none"/>
        </w:rPr>
        <w:t>政拨款收入支出决算总体情况说明</w:t>
      </w:r>
      <w:bookmarkEnd w:id="31"/>
      <w:bookmarkEnd w:id="32"/>
      <w:bookmarkEnd w:id="33"/>
    </w:p>
    <w:p w14:paraId="725EC4DA">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2024年度财政拨款收入、支出总计均为</w:t>
      </w:r>
      <w:r>
        <w:rPr>
          <w:rFonts w:hint="default" w:ascii="Times New Roman" w:hAnsi="Times New Roman" w:eastAsia="方正仿宋_GBK" w:cs="Times New Roman"/>
          <w:sz w:val="32"/>
          <w:szCs w:val="32"/>
        </w:rPr>
        <w:t>2118.12</w:t>
      </w:r>
      <w:r>
        <w:rPr>
          <w:rFonts w:hint="default" w:ascii="Times New Roman" w:hAnsi="Times New Roman" w:eastAsia="方正仿宋_GBK" w:cs="Times New Roman"/>
          <w:color w:val="auto"/>
          <w:kern w:val="2"/>
          <w:sz w:val="32"/>
          <w:szCs w:val="32"/>
          <w:highlight w:val="none"/>
          <w:lang w:val="en-US" w:eastAsia="zh-CN" w:bidi="ar-SA"/>
        </w:rPr>
        <w:t>万元。与2023年度</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年度收、支</w:t>
      </w:r>
      <w:r>
        <w:rPr>
          <w:rFonts w:hint="default" w:ascii="Times New Roman" w:hAnsi="Times New Roman" w:eastAsia="仿宋" w:cs="Times New Roman"/>
          <w:sz w:val="32"/>
          <w:szCs w:val="32"/>
          <w:lang w:eastAsia="zh-CN"/>
        </w:rPr>
        <w:t>均为</w:t>
      </w: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val="en-US" w:eastAsia="zh-CN"/>
        </w:rPr>
        <w:t>614.33</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w:t>
      </w:r>
      <w:r>
        <w:rPr>
          <w:rFonts w:hint="default" w:ascii="Times New Roman" w:hAnsi="Times New Roman" w:eastAsia="方正仿宋_GBK" w:cs="Times New Roman"/>
          <w:color w:val="auto"/>
          <w:kern w:val="2"/>
          <w:sz w:val="32"/>
          <w:szCs w:val="32"/>
          <w:highlight w:val="none"/>
          <w:lang w:val="en-US" w:eastAsia="zh-CN" w:bidi="ar-SA"/>
        </w:rPr>
        <w:t>相比，财政拨款收入总计、支出总计各增加503.79万元，增长31.21%。主要变动原因是</w:t>
      </w:r>
      <w:r>
        <w:rPr>
          <w:rFonts w:hint="default" w:ascii="Times New Roman" w:hAnsi="Times New Roman" w:eastAsia="方正仿宋_GBK" w:cs="Times New Roman"/>
          <w:color w:val="auto"/>
          <w:sz w:val="32"/>
          <w:szCs w:val="32"/>
          <w:highlight w:val="none"/>
        </w:rPr>
        <w:t>本年人员经费增加与项目收入增加</w:t>
      </w:r>
      <w:r>
        <w:rPr>
          <w:rFonts w:hint="default" w:ascii="Times New Roman" w:hAnsi="Times New Roman" w:eastAsia="方正仿宋_GBK" w:cs="Times New Roman"/>
          <w:color w:val="auto"/>
          <w:sz w:val="32"/>
          <w:szCs w:val="32"/>
          <w:highlight w:val="none"/>
          <w:lang w:eastAsia="zh-CN"/>
        </w:rPr>
        <w:t>。</w:t>
      </w:r>
    </w:p>
    <w:p w14:paraId="2C121B0E">
      <w:pPr>
        <w:spacing w:line="600" w:lineRule="exact"/>
        <w:ind w:firstLine="640"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（图4：财政拨款收、支决算总计变动情况）（柱状图）</w:t>
      </w:r>
    </w:p>
    <w:p w14:paraId="76F60419">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宋体" w:cs="Times New Roman"/>
          <w:b/>
          <w:kern w:val="2"/>
          <w:sz w:val="21"/>
          <w:szCs w:val="24"/>
          <w:lang w:val="en-US" w:eastAsia="zh-CN" w:bidi="ar-SA"/>
        </w:rPr>
        <w:pict>
          <v:shape id="_x0000_s1033" o:spid="_x0000_s1033" o:spt="75" type="#_x0000_t75" style="position:absolute;left:0pt;margin-left:36.9pt;margin-top:7pt;height:173.75pt;width:259.8pt;mso-wrap-distance-bottom:0pt;mso-wrap-distance-left:9pt;mso-wrap-distance-right:9pt;mso-wrap-distance-top:0pt;z-index:251662336;mso-width-relative:page;mso-height-relative:page;" o:ole="t" fillcolor="#FFFFFF" filled="f" o:preferrelative="t" stroked="f" coordsize="21600,21600">
            <v:path/>
            <v:fill on="f" color2="#FFFFFF" focussize="0,0"/>
            <v:stroke on="f"/>
            <v:imagedata r:id="rId11" gain="65536f" blacklevel="0f" gamma="0" o:title=""/>
            <o:lock v:ext="edit" position="f" selection="f" grouping="f" rotation="f" cropping="f" text="f" aspectratio="t"/>
            <w10:wrap type="square"/>
          </v:shape>
          <o:OLEObject Type="Embed" ProgID="MSGraph.Chart.8" ShapeID="_x0000_s1033" DrawAspect="Content" ObjectID="_1468075728" r:id="rId16">
            <o:LockedField>false</o:LockedField>
          </o:OLEObject>
        </w:pict>
      </w:r>
    </w:p>
    <w:p w14:paraId="52C7D8B3">
      <w:pPr>
        <w:spacing w:line="600" w:lineRule="exact"/>
        <w:ind w:firstLine="640" w:firstLineChars="200"/>
        <w:outlineLvl w:val="1"/>
        <w:rPr>
          <w:rFonts w:hint="default" w:ascii="Times New Roman" w:hAnsi="Times New Roman" w:eastAsia="方正黑体_GBK" w:cs="Times New Roman"/>
          <w:color w:val="auto"/>
          <w:sz w:val="32"/>
          <w:szCs w:val="32"/>
          <w:highlight w:val="none"/>
        </w:rPr>
      </w:pPr>
      <w:bookmarkStart w:id="34" w:name="_Toc15377209"/>
      <w:bookmarkStart w:id="35" w:name="_Toc15396607"/>
    </w:p>
    <w:p w14:paraId="12BAE5E5">
      <w:pPr>
        <w:spacing w:line="600" w:lineRule="exact"/>
        <w:ind w:firstLine="640" w:firstLineChars="200"/>
        <w:outlineLvl w:val="1"/>
        <w:rPr>
          <w:rFonts w:hint="default" w:ascii="Times New Roman" w:hAnsi="Times New Roman" w:eastAsia="方正黑体_GBK" w:cs="Times New Roman"/>
          <w:color w:val="auto"/>
          <w:sz w:val="32"/>
          <w:szCs w:val="32"/>
          <w:highlight w:val="none"/>
        </w:rPr>
      </w:pPr>
    </w:p>
    <w:p w14:paraId="4A226124">
      <w:pPr>
        <w:spacing w:line="600" w:lineRule="exact"/>
        <w:ind w:firstLine="640" w:firstLineChars="200"/>
        <w:outlineLvl w:val="1"/>
        <w:rPr>
          <w:rFonts w:hint="default" w:ascii="Times New Roman" w:hAnsi="Times New Roman" w:eastAsia="方正黑体_GBK" w:cs="Times New Roman"/>
          <w:color w:val="auto"/>
          <w:sz w:val="32"/>
          <w:szCs w:val="32"/>
          <w:highlight w:val="none"/>
        </w:rPr>
      </w:pPr>
    </w:p>
    <w:p w14:paraId="4D002AE0">
      <w:pPr>
        <w:spacing w:line="600" w:lineRule="exact"/>
        <w:ind w:firstLine="640" w:firstLineChars="200"/>
        <w:outlineLvl w:val="1"/>
        <w:rPr>
          <w:rFonts w:hint="default" w:ascii="Times New Roman" w:hAnsi="Times New Roman" w:eastAsia="方正黑体_GBK" w:cs="Times New Roman"/>
          <w:color w:val="auto"/>
          <w:sz w:val="32"/>
          <w:szCs w:val="32"/>
          <w:highlight w:val="none"/>
        </w:rPr>
      </w:pPr>
    </w:p>
    <w:p w14:paraId="35A84D3D">
      <w:pPr>
        <w:spacing w:line="600" w:lineRule="exact"/>
        <w:ind w:firstLine="640" w:firstLineChars="200"/>
        <w:outlineLvl w:val="1"/>
        <w:rPr>
          <w:rFonts w:hint="default" w:ascii="Times New Roman" w:hAnsi="Times New Roman" w:eastAsia="方正黑体_GBK" w:cs="Times New Roman"/>
          <w:color w:val="auto"/>
          <w:sz w:val="32"/>
          <w:szCs w:val="32"/>
          <w:highlight w:val="none"/>
        </w:rPr>
      </w:pPr>
    </w:p>
    <w:p w14:paraId="27B3A954">
      <w:pPr>
        <w:spacing w:line="600" w:lineRule="exact"/>
        <w:ind w:firstLine="640" w:firstLineChars="200"/>
        <w:outlineLvl w:val="1"/>
        <w:rPr>
          <w:rStyle w:val="38"/>
          <w:rFonts w:hint="default" w:ascii="Times New Roman" w:hAnsi="Times New Roman" w:eastAsia="方正黑体_GBK" w:cs="Times New Roman"/>
          <w:b w:val="0"/>
          <w:color w:val="auto"/>
          <w:highlight w:val="none"/>
        </w:rPr>
      </w:pPr>
      <w:bookmarkStart w:id="36" w:name="_Toc1561"/>
      <w:r>
        <w:rPr>
          <w:rFonts w:hint="default" w:ascii="Times New Roman" w:hAnsi="Times New Roman" w:eastAsia="方正黑体_GBK" w:cs="Times New Roman"/>
          <w:color w:val="auto"/>
          <w:sz w:val="32"/>
          <w:szCs w:val="32"/>
          <w:highlight w:val="none"/>
        </w:rPr>
        <w:t>五、</w:t>
      </w:r>
      <w:r>
        <w:rPr>
          <w:rFonts w:hint="default" w:ascii="Times New Roman" w:hAnsi="Times New Roman" w:eastAsia="方正黑体_GBK" w:cs="Times New Roman"/>
          <w:b/>
          <w:color w:val="auto"/>
          <w:sz w:val="32"/>
          <w:szCs w:val="32"/>
          <w:highlight w:val="none"/>
        </w:rPr>
        <w:t>一</w:t>
      </w:r>
      <w:r>
        <w:rPr>
          <w:rStyle w:val="38"/>
          <w:rFonts w:hint="default" w:ascii="Times New Roman" w:hAnsi="Times New Roman" w:eastAsia="方正黑体_GBK" w:cs="Times New Roman"/>
          <w:b w:val="0"/>
          <w:color w:val="auto"/>
          <w:highlight w:val="none"/>
        </w:rPr>
        <w:t>般公共预算财政拨款支出决算情况说明</w:t>
      </w:r>
      <w:bookmarkEnd w:id="34"/>
      <w:bookmarkEnd w:id="35"/>
      <w:bookmarkEnd w:id="36"/>
    </w:p>
    <w:p w14:paraId="7A3631D5">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37" w:name="_Toc15377210"/>
      <w:bookmarkStart w:id="38" w:name="_Toc4904"/>
      <w:r>
        <w:rPr>
          <w:rFonts w:hint="default" w:ascii="Times New Roman" w:hAnsi="Times New Roman" w:eastAsia="方正楷体_GBK" w:cs="Times New Roman"/>
          <w:b/>
          <w:color w:val="auto"/>
          <w:sz w:val="32"/>
          <w:szCs w:val="32"/>
          <w:highlight w:val="none"/>
        </w:rPr>
        <w:t>（一）一般公共预算财政拨款支出决算总体情况</w:t>
      </w:r>
      <w:bookmarkEnd w:id="37"/>
      <w:bookmarkEnd w:id="38"/>
    </w:p>
    <w:p w14:paraId="663F35DC">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w:t>
      </w:r>
      <w:r>
        <w:rPr>
          <w:rFonts w:hint="default" w:ascii="Times New Roman" w:hAnsi="Times New Roman" w:eastAsia="方正仿宋_GBK" w:cs="Times New Roman"/>
          <w:sz w:val="32"/>
          <w:szCs w:val="32"/>
        </w:rPr>
        <w:t>2116.12</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sz w:val="32"/>
          <w:szCs w:val="32"/>
        </w:rPr>
        <w:t>99.9</w:t>
      </w:r>
      <w:r>
        <w:rPr>
          <w:rFonts w:hint="default" w:ascii="Times New Roman" w:hAnsi="Times New Roman" w:eastAsia="方正仿宋_GBK" w:cs="Times New Roman"/>
          <w:color w:val="auto"/>
          <w:kern w:val="2"/>
          <w:sz w:val="32"/>
          <w:szCs w:val="32"/>
          <w:highlight w:val="none"/>
          <w:lang w:val="en-US" w:eastAsia="zh-CN" w:bidi="ar-SA"/>
        </w:rPr>
        <w:t>%。与2023年度</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年度支</w:t>
      </w:r>
      <w:r>
        <w:rPr>
          <w:rFonts w:hint="default" w:ascii="Times New Roman" w:hAnsi="Times New Roman" w:eastAsia="仿宋" w:cs="Times New Roman"/>
          <w:sz w:val="32"/>
          <w:szCs w:val="32"/>
          <w:lang w:eastAsia="zh-CN"/>
        </w:rPr>
        <w:t>出为</w:t>
      </w: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lang w:val="en-US" w:eastAsia="zh-CN"/>
        </w:rPr>
        <w:t>614.33</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w:t>
      </w:r>
      <w:r>
        <w:rPr>
          <w:rFonts w:hint="default" w:ascii="Times New Roman" w:hAnsi="Times New Roman" w:eastAsia="方正仿宋_GBK" w:cs="Times New Roman"/>
          <w:color w:val="auto"/>
          <w:kern w:val="2"/>
          <w:sz w:val="32"/>
          <w:szCs w:val="32"/>
          <w:highlight w:val="none"/>
          <w:lang w:val="en-US" w:eastAsia="zh-CN" w:bidi="ar-SA"/>
        </w:rPr>
        <w:t>相比，一般公共预算财政拨款支出增加501.79万元，增长31.08%。主要变动原因是</w:t>
      </w:r>
      <w:r>
        <w:rPr>
          <w:rFonts w:hint="default" w:ascii="Times New Roman" w:hAnsi="Times New Roman" w:eastAsia="方正仿宋_GBK" w:cs="Times New Roman"/>
          <w:color w:val="auto"/>
          <w:sz w:val="32"/>
          <w:szCs w:val="32"/>
          <w:highlight w:val="none"/>
        </w:rPr>
        <w:t>本年人员经费</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增加与项目</w:t>
      </w:r>
      <w:r>
        <w:rPr>
          <w:rFonts w:hint="default" w:ascii="Times New Roman" w:hAnsi="Times New Roman" w:eastAsia="方正仿宋_GBK" w:cs="Times New Roman"/>
          <w:color w:val="auto"/>
          <w:sz w:val="32"/>
          <w:szCs w:val="32"/>
          <w:highlight w:val="none"/>
          <w:lang w:eastAsia="zh-CN"/>
        </w:rPr>
        <w:t>支出</w:t>
      </w:r>
      <w:r>
        <w:rPr>
          <w:rFonts w:hint="default" w:ascii="Times New Roman" w:hAnsi="Times New Roman" w:eastAsia="方正仿宋_GBK" w:cs="Times New Roman"/>
          <w:color w:val="auto"/>
          <w:sz w:val="32"/>
          <w:szCs w:val="32"/>
          <w:highlight w:val="none"/>
        </w:rPr>
        <w:t>增加</w:t>
      </w:r>
      <w:r>
        <w:rPr>
          <w:rFonts w:hint="default" w:ascii="Times New Roman" w:hAnsi="Times New Roman" w:eastAsia="方正仿宋_GBK" w:cs="Times New Roman"/>
          <w:color w:val="auto"/>
          <w:sz w:val="32"/>
          <w:szCs w:val="32"/>
          <w:highlight w:val="none"/>
          <w:lang w:eastAsia="zh-CN"/>
        </w:rPr>
        <w:t>。</w:t>
      </w:r>
    </w:p>
    <w:p w14:paraId="08AC5107">
      <w:pPr>
        <w:spacing w:line="600" w:lineRule="exact"/>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（图5：一般公共预算财政拨款支出决算变动情况）（柱状图）</w:t>
      </w:r>
    </w:p>
    <w:p w14:paraId="3B3B86D2">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宋体" w:cs="Times New Roman"/>
          <w:kern w:val="2"/>
          <w:sz w:val="21"/>
          <w:szCs w:val="24"/>
          <w:lang w:val="en-US" w:eastAsia="zh-CN" w:bidi="ar-SA"/>
        </w:rPr>
        <w:pict>
          <v:shape id="_x0000_s1034" o:spid="_x0000_s1034" o:spt="75" type="#_x0000_t75" style="position:absolute;left:0pt;margin-left:44.7pt;margin-top:6.6pt;height:195.6pt;width:292.5pt;mso-wrap-distance-bottom:0pt;mso-wrap-distance-left:9pt;mso-wrap-distance-right:9pt;mso-wrap-distance-top:0pt;z-index:251663360;mso-width-relative:page;mso-height-relative:page;" o:ole="t" fillcolor="#FFFFFF" filled="f" o:preferrelative="t" stroked="f" coordsize="21600,21600">
            <v:path/>
            <v:fill on="f" color2="#FFFFFF" focussize="0,0"/>
            <v:stroke on="f"/>
            <v:imagedata r:id="rId18" gain="65536f" blacklevel="0f" gamma="0" o:title=""/>
            <o:lock v:ext="edit" position="f" selection="f" grouping="f" rotation="f" cropping="f" text="f" aspectratio="t"/>
            <w10:wrap type="square"/>
          </v:shape>
          <o:OLEObject Type="Embed" ProgID="MSGraph.Chart.8" ShapeID="_x0000_s1034" DrawAspect="Content" ObjectID="_1468075729" r:id="rId17">
            <o:LockedField>false</o:LockedField>
          </o:OLEObject>
        </w:pict>
      </w:r>
    </w:p>
    <w:p w14:paraId="47721064">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39" w:name="_Toc14234"/>
      <w:bookmarkStart w:id="40" w:name="_Toc15377211"/>
    </w:p>
    <w:p w14:paraId="3EEB4A70">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p>
    <w:p w14:paraId="118A39DE">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p>
    <w:p w14:paraId="4210B72C">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p>
    <w:p w14:paraId="27A4DD6A">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p>
    <w:p w14:paraId="0A277E69">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p>
    <w:p w14:paraId="40FA5D40">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r>
        <w:rPr>
          <w:rFonts w:hint="default" w:ascii="Times New Roman" w:hAnsi="Times New Roman" w:eastAsia="方正楷体_GBK" w:cs="Times New Roman"/>
          <w:b/>
          <w:color w:val="auto"/>
          <w:sz w:val="32"/>
          <w:szCs w:val="32"/>
          <w:highlight w:val="none"/>
        </w:rPr>
        <w:t>（二）一般公共预算财政拨款支出决算结构情况</w:t>
      </w:r>
      <w:bookmarkEnd w:id="39"/>
      <w:bookmarkEnd w:id="40"/>
    </w:p>
    <w:p w14:paraId="6528208D">
      <w:pPr>
        <w:spacing w:line="600" w:lineRule="exact"/>
        <w:ind w:firstLine="640"/>
        <w:rPr>
          <w:rFonts w:hint="default" w:ascii="Times New Roman" w:hAnsi="Times New Roman" w:eastAsia="方正仿宋_GBK" w:cs="Times New Roman"/>
          <w:b/>
          <w:bCs/>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2024年度一般公共预算财政拨款支出2116.12万元，主要用于以下方面：社会保障和就业支出1421.13万元，占67.16%；卫生健康支出103.36万元，占4.88%；农林水支出494.25万元，占23.36%；住房保障支出97.38万元，占4.6%。</w:t>
      </w:r>
    </w:p>
    <w:p w14:paraId="1B2E1AB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（图6：一般公共预算财政拨款支出决算结构）（饼状图）</w:t>
      </w:r>
    </w:p>
    <w:p w14:paraId="482ECB36">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宋体" w:cs="Times New Roman"/>
          <w:kern w:val="2"/>
          <w:sz w:val="21"/>
          <w:szCs w:val="24"/>
          <w:lang w:val="en-US" w:eastAsia="zh-CN" w:bidi="ar-SA"/>
        </w:rPr>
        <w:pict>
          <v:shape id="_x0000_s1035" o:spid="_x0000_s1035" o:spt="75" type="#_x0000_t75" style="position:absolute;left:0pt;margin-left:82.5pt;margin-top:7.65pt;height:144pt;width:215.35pt;mso-wrap-distance-bottom:0pt;mso-wrap-distance-left:9pt;mso-wrap-distance-right:9pt;mso-wrap-distance-top:0pt;z-index:251664384;mso-width-relative:page;mso-height-relative:page;" o:ole="t" fillcolor="#FFFFFF" filled="f" o:preferrelative="t" stroked="f" coordsize="21600,21600">
            <v:path/>
            <v:fill on="f" color2="#FFFFFF" focussize="0,0"/>
            <v:stroke on="f"/>
            <v:imagedata r:id="rId20" gain="65536f" blacklevel="0f" gamma="0" o:title=""/>
            <o:lock v:ext="edit" position="f" selection="f" grouping="f" rotation="f" cropping="f" text="f" aspectratio="t"/>
            <w10:wrap type="square"/>
          </v:shape>
          <o:OLEObject Type="Embed" ProgID="MSGraph.Chart.8" ShapeID="_x0000_s1035" DrawAspect="Content" ObjectID="_1468075730" r:id="rId19">
            <o:LockedField>false</o:LockedField>
          </o:OLEObject>
        </w:pict>
      </w:r>
    </w:p>
    <w:p w14:paraId="53DF04A0">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41" w:name="_Toc15377212"/>
    </w:p>
    <w:p w14:paraId="4DD7754C">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p>
    <w:p w14:paraId="6757D928">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p>
    <w:p w14:paraId="016587CD">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p>
    <w:p w14:paraId="461A2EC7">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p>
    <w:p w14:paraId="7531C0B6">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42" w:name="_Toc18452"/>
      <w:r>
        <w:rPr>
          <w:rFonts w:hint="default" w:ascii="Times New Roman" w:hAnsi="Times New Roman" w:eastAsia="方正楷体_GBK" w:cs="Times New Roman"/>
          <w:b/>
          <w:color w:val="auto"/>
          <w:sz w:val="32"/>
          <w:szCs w:val="32"/>
          <w:highlight w:val="none"/>
        </w:rPr>
        <w:t>（三）一般公共预算财政拨款支出决算具体情况</w:t>
      </w:r>
      <w:bookmarkEnd w:id="41"/>
      <w:bookmarkEnd w:id="42"/>
    </w:p>
    <w:p w14:paraId="30984B83">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bookmarkStart w:id="43" w:name="_Toc15377213"/>
      <w:bookmarkStart w:id="44" w:name="_Toc15378460"/>
      <w:bookmarkStart w:id="45" w:name="_Toc15377444"/>
      <w:r>
        <w:rPr>
          <w:rFonts w:hint="default" w:ascii="Times New Roman" w:hAnsi="Times New Roman" w:eastAsia="方正仿宋_GBK"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方正仿宋_GBK" w:cs="Times New Roman"/>
          <w:sz w:val="32"/>
          <w:szCs w:val="32"/>
        </w:rPr>
        <w:t>2116.12</w:t>
      </w:r>
      <w:r>
        <w:rPr>
          <w:rFonts w:hint="default" w:ascii="Times New Roman" w:hAnsi="Times New Roman" w:eastAsia="方正仿宋_GBK" w:cs="Times New Roman"/>
          <w:color w:val="auto"/>
          <w:kern w:val="2"/>
          <w:sz w:val="32"/>
          <w:szCs w:val="32"/>
          <w:highlight w:val="none"/>
          <w:lang w:val="en-US" w:eastAsia="zh-CN" w:bidi="ar-SA"/>
        </w:rPr>
        <w:t>，完成预算100%。其中：</w:t>
      </w:r>
      <w:bookmarkEnd w:id="43"/>
      <w:bookmarkEnd w:id="44"/>
      <w:bookmarkEnd w:id="45"/>
    </w:p>
    <w:p w14:paraId="680B394D">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1.社会保障和就业（类）人力资源和社会保障管理事务（款）行政运行（项）：支出决算为204.85万元，完成预算100%。</w:t>
      </w:r>
    </w:p>
    <w:p w14:paraId="3FD02171">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2.社会保障和就业（类）人力资源和社会保障管理事务（款）一般行政管理事务（项）: 支出决算为10万元，完成预算100%。</w:t>
      </w:r>
    </w:p>
    <w:p w14:paraId="335B1465">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3.社会保障和就业（类）人力资源和社会保障管理事务（款）事业运行（项）：支出决算为758.40万元，完成预算100%。</w:t>
      </w:r>
    </w:p>
    <w:p w14:paraId="2736AE7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4.社会保障和就业（类）人力资源和社会保障管理事务（款）其他人力资源和社会保障管理事务支出（项）：支出决算为222.37万元，完成预算100%。</w:t>
      </w:r>
    </w:p>
    <w:p w14:paraId="61472856">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5.社会保障和就业（类）行政事业单位养老支出（款）行政单位离退休（项）：支出决算为28.06万元，完成预算100%。</w:t>
      </w:r>
    </w:p>
    <w:p w14:paraId="40916839">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6.社会保障和就业支出（类）行政事业单位养老支出（款）机关事业单位基本养老保险缴费支出（项）：支出决算为120.16万元，完成预算100%。</w:t>
      </w:r>
    </w:p>
    <w:p w14:paraId="11339B05">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7.社会保障和就业支出（类）行政事业单位养老支出（款）机关事业单位职业年金缴费支出（项）：支出决算为8.67万元，完成预算100%。</w:t>
      </w:r>
    </w:p>
    <w:p w14:paraId="0C8707F3">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8.社会保障和就业支出（类）就业补助（款）就业见习补贴（项）：支出决算为41.51万元，完成预算100%。</w:t>
      </w:r>
    </w:p>
    <w:p w14:paraId="76330FFF">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9.社会保障和就业支出（类）抚恤（款）死亡抚恤（项）：支出决算为23.88万元，完成预算100%。</w:t>
      </w:r>
    </w:p>
    <w:p w14:paraId="4115CDA1">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10.社会保障和就业支出（类）抚恤（款）伤残抚恤（项）：支出决算为3.23万元，完成预算100%。</w:t>
      </w:r>
    </w:p>
    <w:p w14:paraId="25690E09">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11.卫生健康支出（类）行政事业单位医疗（款）行政单位医疗（项）：支出决算为13.08万元，完成预算100%。</w:t>
      </w:r>
    </w:p>
    <w:p w14:paraId="060B10A8">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12.卫生健康支出（类）行政事业单位医疗（款）事业单位医疗（项）：支出决算为50.49万元，完成预算100%。</w:t>
      </w:r>
    </w:p>
    <w:p w14:paraId="4ACF6559">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13.卫生健康支出（类）行政事业单位医疗（款）公务员医疗补助（项）：支出决算为1.45万元，完成预算100%。</w:t>
      </w:r>
    </w:p>
    <w:p w14:paraId="40341E51">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14.卫生健康支出（类）行政事业单位医疗（款）其他行政事业单位医疗支出（项）：支出决算为38.34万元，完成预算100%。</w:t>
      </w:r>
    </w:p>
    <w:p w14:paraId="2A7FA505">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15.农林水支出（类）巩固脱贫攻坚成果衔接乡村振兴（款）其他巩固脱贫攻坚成果衔接乡村振兴支出（项）：支出决算为494.25万元，完成预算100%。</w:t>
      </w:r>
    </w:p>
    <w:p w14:paraId="62171633">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16.住房保障支出（类）住房改革支出（款）住房公积金（项）：支出决算为97.38万元，完成预算100%。</w:t>
      </w:r>
    </w:p>
    <w:p w14:paraId="35790B89">
      <w:pPr>
        <w:tabs>
          <w:tab w:val="right" w:pos="8306"/>
        </w:tabs>
        <w:spacing w:line="600" w:lineRule="exact"/>
        <w:ind w:firstLine="640"/>
        <w:outlineLvl w:val="1"/>
        <w:rPr>
          <w:rStyle w:val="38"/>
          <w:rFonts w:hint="default" w:ascii="Times New Roman" w:hAnsi="Times New Roman" w:cs="Times New Roman"/>
          <w:color w:val="auto"/>
          <w:highlight w:val="none"/>
        </w:rPr>
      </w:pPr>
      <w:bookmarkStart w:id="46" w:name="_Toc15144"/>
      <w:bookmarkStart w:id="47" w:name="_Toc15377214"/>
      <w:bookmarkStart w:id="48" w:name="_Toc15396608"/>
      <w:r>
        <w:rPr>
          <w:rFonts w:hint="default" w:ascii="Times New Roman" w:hAnsi="Times New Roman" w:eastAsia="方正黑体_GBK" w:cs="Times New Roman"/>
          <w:color w:val="auto"/>
          <w:sz w:val="32"/>
          <w:szCs w:val="32"/>
          <w:highlight w:val="none"/>
        </w:rPr>
        <w:t>六</w:t>
      </w:r>
      <w:r>
        <w:rPr>
          <w:rFonts w:hint="default" w:ascii="Times New Roman" w:hAnsi="Times New Roman" w:eastAsia="方正黑体_GBK" w:cs="Times New Roman"/>
          <w:b/>
          <w:color w:val="auto"/>
          <w:sz w:val="32"/>
          <w:szCs w:val="32"/>
          <w:highlight w:val="none"/>
        </w:rPr>
        <w:t>、一</w:t>
      </w:r>
      <w:r>
        <w:rPr>
          <w:rStyle w:val="38"/>
          <w:rFonts w:hint="default" w:ascii="Times New Roman" w:hAnsi="Times New Roman" w:eastAsia="方正黑体_GBK" w:cs="Times New Roman"/>
          <w:b w:val="0"/>
          <w:color w:val="auto"/>
          <w:highlight w:val="none"/>
        </w:rPr>
        <w:t>般公共预算财政拨款基本支出决算情况说明</w:t>
      </w:r>
      <w:bookmarkEnd w:id="46"/>
      <w:bookmarkEnd w:id="47"/>
      <w:bookmarkEnd w:id="48"/>
      <w:r>
        <w:rPr>
          <w:rStyle w:val="38"/>
          <w:rFonts w:hint="default" w:ascii="Times New Roman" w:hAnsi="Times New Roman" w:eastAsia="方正黑体_GBK" w:cs="Times New Roman"/>
          <w:b w:val="0"/>
          <w:color w:val="auto"/>
          <w:highlight w:val="none"/>
        </w:rPr>
        <w:tab/>
      </w:r>
    </w:p>
    <w:p w14:paraId="5234DD19">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2024年度一般公共预算财政拨款基本支出</w:t>
      </w:r>
      <w:r>
        <w:rPr>
          <w:rFonts w:hint="default" w:ascii="Times New Roman" w:hAnsi="Times New Roman" w:eastAsia="方正仿宋_GBK" w:cs="Times New Roman"/>
          <w:sz w:val="32"/>
          <w:szCs w:val="32"/>
        </w:rPr>
        <w:t>1347.99</w:t>
      </w:r>
      <w:r>
        <w:rPr>
          <w:rFonts w:hint="default" w:ascii="Times New Roman" w:hAnsi="Times New Roman" w:eastAsia="方正仿宋_GBK" w:cs="Times New Roman"/>
          <w:color w:val="auto"/>
          <w:kern w:val="2"/>
          <w:sz w:val="32"/>
          <w:szCs w:val="32"/>
          <w:highlight w:val="none"/>
          <w:lang w:val="en-US" w:eastAsia="zh-CN" w:bidi="ar-SA"/>
        </w:rPr>
        <w:t>万元，其中：</w:t>
      </w:r>
    </w:p>
    <w:p w14:paraId="0C75AF32">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人员经费</w:t>
      </w:r>
      <w:r>
        <w:rPr>
          <w:rFonts w:hint="default" w:ascii="Times New Roman" w:hAnsi="Times New Roman" w:eastAsia="方正仿宋_GBK" w:cs="Times New Roman"/>
          <w:sz w:val="32"/>
          <w:szCs w:val="32"/>
        </w:rPr>
        <w:t>1260.75</w:t>
      </w:r>
      <w:r>
        <w:rPr>
          <w:rFonts w:hint="default" w:ascii="Times New Roman" w:hAnsi="Times New Roman" w:eastAsia="方正仿宋_GBK" w:cs="Times New Roman"/>
          <w:color w:val="auto"/>
          <w:kern w:val="2"/>
          <w:sz w:val="32"/>
          <w:szCs w:val="32"/>
          <w:highlight w:val="none"/>
          <w:lang w:val="en-US" w:eastAsia="zh-CN" w:bidi="ar-SA"/>
        </w:rPr>
        <w:t>万元，主要包括：基本工资、津贴补贴、奖金、绩效工资、机关事业单位基本养老保险缴费、职业年金缴费、职工基本医疗保险缴费、公务员医疗补助缴费、其他社会保障缴费、住房公积金、医疗费、其他工资福利支出、抚恤金、生活补助、医疗费补助等。</w:t>
      </w:r>
    </w:p>
    <w:p w14:paraId="26985A55">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公用经费</w:t>
      </w:r>
      <w:r>
        <w:rPr>
          <w:rFonts w:hint="default" w:ascii="Times New Roman" w:hAnsi="Times New Roman" w:eastAsia="方正仿宋_GBK" w:cs="Times New Roman"/>
          <w:sz w:val="32"/>
          <w:szCs w:val="32"/>
        </w:rPr>
        <w:t>87.24</w:t>
      </w:r>
      <w:r>
        <w:rPr>
          <w:rFonts w:hint="default" w:ascii="Times New Roman" w:hAnsi="Times New Roman" w:eastAsia="方正仿宋_GBK" w:cs="Times New Roman"/>
          <w:color w:val="auto"/>
          <w:kern w:val="2"/>
          <w:sz w:val="32"/>
          <w:szCs w:val="32"/>
          <w:highlight w:val="none"/>
          <w:lang w:val="en-US" w:eastAsia="zh-CN" w:bidi="ar-SA"/>
        </w:rPr>
        <w:t>万元，主要包括：办公费、印刷费、水费、电费、邮电费、差旅费、维修（护）费、租赁费、公务接待费、劳务费、工会经费、福利费、公务用车运行维护费、其他交通费、等。</w:t>
      </w:r>
    </w:p>
    <w:p w14:paraId="13FDE014">
      <w:pPr>
        <w:spacing w:line="600" w:lineRule="exact"/>
        <w:ind w:firstLine="640"/>
        <w:outlineLvl w:val="1"/>
        <w:rPr>
          <w:rStyle w:val="38"/>
          <w:rFonts w:hint="default" w:ascii="Times New Roman" w:hAnsi="Times New Roman" w:eastAsia="方正黑体_GBK" w:cs="Times New Roman"/>
          <w:b w:val="0"/>
          <w:color w:val="auto"/>
          <w:highlight w:val="none"/>
        </w:rPr>
      </w:pPr>
      <w:bookmarkStart w:id="49" w:name="_Toc15377215"/>
      <w:bookmarkStart w:id="50" w:name="_Toc15396609"/>
      <w:bookmarkStart w:id="51" w:name="_Toc23186"/>
      <w:r>
        <w:rPr>
          <w:rFonts w:hint="default" w:ascii="Times New Roman" w:hAnsi="Times New Roman" w:eastAsia="方正黑体_GBK" w:cs="Times New Roman"/>
          <w:color w:val="auto"/>
          <w:sz w:val="32"/>
          <w:szCs w:val="32"/>
          <w:highlight w:val="none"/>
        </w:rPr>
        <w:t>七、</w:t>
      </w:r>
      <w:r>
        <w:rPr>
          <w:rStyle w:val="38"/>
          <w:rFonts w:hint="default" w:ascii="Times New Roman" w:hAnsi="Times New Roman" w:eastAsia="方正黑体_GBK" w:cs="Times New Roman"/>
          <w:b w:val="0"/>
          <w:color w:val="auto"/>
          <w:highlight w:val="none"/>
        </w:rPr>
        <w:t>财政拨款</w:t>
      </w:r>
      <w:r>
        <w:rPr>
          <w:rStyle w:val="38"/>
          <w:rFonts w:hint="default" w:ascii="Times New Roman" w:hAnsi="Times New Roman" w:eastAsia="方正黑体_GBK" w:cs="Times New Roman"/>
          <w:color w:val="auto"/>
          <w:highlight w:val="none"/>
        </w:rPr>
        <w:t>“</w:t>
      </w:r>
      <w:r>
        <w:rPr>
          <w:rStyle w:val="38"/>
          <w:rFonts w:hint="default" w:ascii="Times New Roman" w:hAnsi="Times New Roman" w:eastAsia="方正黑体_GBK" w:cs="Times New Roman"/>
          <w:b w:val="0"/>
          <w:color w:val="auto"/>
          <w:highlight w:val="none"/>
        </w:rPr>
        <w:t>三公”经费支出决算情况说明</w:t>
      </w:r>
      <w:bookmarkEnd w:id="49"/>
      <w:bookmarkEnd w:id="50"/>
      <w:bookmarkEnd w:id="51"/>
    </w:p>
    <w:p w14:paraId="532FE589">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52" w:name="_Toc8148"/>
      <w:bookmarkStart w:id="53" w:name="_Toc15377216"/>
      <w:r>
        <w:rPr>
          <w:rFonts w:hint="default" w:ascii="Times New Roman" w:hAnsi="Times New Roman" w:eastAsia="方正楷体_GBK" w:cs="Times New Roman"/>
          <w:b/>
          <w:color w:val="auto"/>
          <w:sz w:val="32"/>
          <w:szCs w:val="32"/>
          <w:highlight w:val="none"/>
        </w:rPr>
        <w:t>（一）“三公”经费财政拨款支出决算总体情况说明</w:t>
      </w:r>
      <w:bookmarkEnd w:id="52"/>
      <w:bookmarkEnd w:id="53"/>
    </w:p>
    <w:p w14:paraId="67F3A626">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2024年度“三公”经费财政拨款支出决算为</w:t>
      </w:r>
      <w:r>
        <w:rPr>
          <w:rFonts w:hint="default" w:ascii="Times New Roman" w:hAnsi="Times New Roman" w:eastAsia="方正仿宋_GBK" w:cs="Times New Roman"/>
          <w:sz w:val="32"/>
          <w:szCs w:val="32"/>
        </w:rPr>
        <w:t>3.02</w:t>
      </w:r>
      <w:r>
        <w:rPr>
          <w:rFonts w:hint="default" w:ascii="Times New Roman" w:hAnsi="Times New Roman" w:eastAsia="方正仿宋_GBK" w:cs="Times New Roman"/>
          <w:color w:val="auto"/>
          <w:kern w:val="2"/>
          <w:sz w:val="32"/>
          <w:szCs w:val="32"/>
          <w:highlight w:val="none"/>
          <w:lang w:val="en-US" w:eastAsia="zh-CN" w:bidi="ar-SA"/>
        </w:rPr>
        <w:t>万元，完成预算</w:t>
      </w:r>
      <w:r>
        <w:rPr>
          <w:rFonts w:hint="default" w:ascii="Times New Roman" w:hAnsi="Times New Roman" w:eastAsia="方正仿宋_GBK" w:cs="Times New Roman"/>
          <w:sz w:val="32"/>
          <w:szCs w:val="32"/>
        </w:rPr>
        <w:t>100</w:t>
      </w:r>
      <w:r>
        <w:rPr>
          <w:rFonts w:hint="default" w:ascii="Times New Roman" w:hAnsi="Times New Roman" w:eastAsia="方正仿宋_GBK" w:cs="Times New Roman"/>
          <w:color w:val="auto"/>
          <w:kern w:val="2"/>
          <w:sz w:val="32"/>
          <w:szCs w:val="32"/>
          <w:highlight w:val="none"/>
          <w:lang w:val="en-US" w:eastAsia="zh-CN" w:bidi="ar-SA"/>
        </w:rPr>
        <w:t>%，较上年度</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年为</w:t>
      </w:r>
      <w:r>
        <w:rPr>
          <w:rFonts w:hint="default" w:ascii="Times New Roman" w:hAnsi="Times New Roman" w:eastAsia="仿宋" w:cs="Times New Roman"/>
          <w:sz w:val="32"/>
          <w:szCs w:val="32"/>
          <w:lang w:val="en-US" w:eastAsia="zh-CN"/>
        </w:rPr>
        <w:t>3.8</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w:t>
      </w:r>
      <w:r>
        <w:rPr>
          <w:rFonts w:hint="default" w:ascii="Times New Roman" w:hAnsi="Times New Roman" w:eastAsia="方正仿宋_GBK" w:cs="Times New Roman"/>
          <w:color w:val="auto"/>
          <w:kern w:val="2"/>
          <w:sz w:val="32"/>
          <w:szCs w:val="32"/>
          <w:highlight w:val="none"/>
          <w:lang w:val="en-US" w:eastAsia="zh-CN" w:bidi="ar-SA"/>
        </w:rPr>
        <w:t>减少0.78万元，下降20.53%。决算数与预算数持平。</w:t>
      </w:r>
    </w:p>
    <w:p w14:paraId="352513E0">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54" w:name="_Toc32056"/>
      <w:bookmarkStart w:id="55" w:name="_Toc15377217"/>
      <w:r>
        <w:rPr>
          <w:rFonts w:hint="default" w:ascii="Times New Roman" w:hAnsi="Times New Roman" w:eastAsia="方正楷体_GBK" w:cs="Times New Roman"/>
          <w:b/>
          <w:color w:val="auto"/>
          <w:sz w:val="32"/>
          <w:szCs w:val="32"/>
          <w:highlight w:val="none"/>
        </w:rPr>
        <w:t>（二）“三公”经费财政拨款支出决算具体情况说明</w:t>
      </w:r>
      <w:bookmarkEnd w:id="54"/>
      <w:bookmarkEnd w:id="55"/>
    </w:p>
    <w:p w14:paraId="75C511F8">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万元，占0%；公务用车运行维护费支出决算</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color w:val="auto"/>
          <w:kern w:val="2"/>
          <w:sz w:val="32"/>
          <w:szCs w:val="32"/>
          <w:highlight w:val="none"/>
          <w:lang w:val="en-US" w:eastAsia="zh-CN" w:bidi="ar-SA"/>
        </w:rPr>
        <w:t>万元，占66.89%；公务接待费支出决算</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color w:val="auto"/>
          <w:kern w:val="2"/>
          <w:sz w:val="32"/>
          <w:szCs w:val="32"/>
          <w:highlight w:val="none"/>
          <w:lang w:val="en-US" w:eastAsia="zh-CN" w:bidi="ar-SA"/>
        </w:rPr>
        <w:t>万元，占33.11%。具体情况如下：</w:t>
      </w:r>
    </w:p>
    <w:p w14:paraId="3A585BE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（图7：“三公”经费财政拨款支出结构）（饼状图）</w:t>
      </w:r>
    </w:p>
    <w:p w14:paraId="3FBA7E15">
      <w:pPr>
        <w:pStyle w:val="2"/>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仿宋_GB2312" w:cs="Times New Roman"/>
          <w:b/>
          <w:kern w:val="0"/>
          <w:sz w:val="24"/>
          <w:szCs w:val="20"/>
          <w:lang w:val="en-US" w:eastAsia="zh-CN" w:bidi="ar-SA"/>
        </w:rPr>
        <w:pict>
          <v:shape id="_x0000_s1036" o:spid="_x0000_s1036" o:spt="75" type="#_x0000_t75" style="position:absolute;left:0pt;margin-left:71.25pt;margin-top:12.25pt;height:157.55pt;width:235.6pt;mso-wrap-distance-bottom:0pt;mso-wrap-distance-left:9pt;mso-wrap-distance-right:9pt;mso-wrap-distance-top:0pt;z-index:251665408;mso-width-relative:page;mso-height-relative:page;" o:ole="t" fillcolor="#FFFFFF" filled="f" o:preferrelative="t" stroked="f" coordsize="21600,21600">
            <v:path/>
            <v:fill on="f" color2="#FFFFFF" focussize="0,0"/>
            <v:stroke on="f"/>
            <v:imagedata r:id="rId22" gain="65536f" blacklevel="0f" gamma="0" o:title=""/>
            <o:lock v:ext="edit" position="f" selection="f" grouping="f" rotation="f" cropping="f" text="f" aspectratio="t"/>
            <w10:wrap type="square"/>
          </v:shape>
          <o:OLEObject Type="Embed" ProgID="MSGraph.Chart.8" ShapeID="_x0000_s1036" DrawAspect="Content" ObjectID="_1468075731" r:id="rId21">
            <o:LockedField>false</o:LockedField>
          </o:OLEObject>
        </w:pict>
      </w:r>
    </w:p>
    <w:p w14:paraId="03461341">
      <w:pPr>
        <w:pStyle w:val="3"/>
        <w:rPr>
          <w:rFonts w:hint="default" w:ascii="Times New Roman" w:hAnsi="Times New Roman" w:eastAsia="方正仿宋_GBK" w:cs="Times New Roman"/>
          <w:color w:val="auto"/>
          <w:kern w:val="2"/>
          <w:sz w:val="32"/>
          <w:szCs w:val="32"/>
          <w:highlight w:val="none"/>
          <w:lang w:val="en-US" w:eastAsia="zh-CN" w:bidi="ar-SA"/>
        </w:rPr>
      </w:pPr>
    </w:p>
    <w:p w14:paraId="1E76DB2C">
      <w:pPr>
        <w:pStyle w:val="3"/>
        <w:rPr>
          <w:rFonts w:hint="default" w:ascii="Times New Roman" w:hAnsi="Times New Roman" w:eastAsia="方正仿宋_GBK" w:cs="Times New Roman"/>
          <w:color w:val="auto"/>
          <w:kern w:val="2"/>
          <w:sz w:val="32"/>
          <w:szCs w:val="32"/>
          <w:highlight w:val="none"/>
          <w:lang w:val="en-US" w:eastAsia="zh-CN" w:bidi="ar-SA"/>
        </w:rPr>
      </w:pPr>
    </w:p>
    <w:p w14:paraId="5C2FBEDE">
      <w:pPr>
        <w:pStyle w:val="3"/>
        <w:rPr>
          <w:rFonts w:hint="default" w:ascii="Times New Roman" w:hAnsi="Times New Roman" w:eastAsia="方正仿宋_GBK" w:cs="Times New Roman"/>
          <w:color w:val="auto"/>
          <w:kern w:val="2"/>
          <w:sz w:val="32"/>
          <w:szCs w:val="32"/>
          <w:highlight w:val="none"/>
          <w:lang w:val="en-US" w:eastAsia="zh-CN" w:bidi="ar-SA"/>
        </w:rPr>
      </w:pPr>
    </w:p>
    <w:p w14:paraId="25BF6890">
      <w:pPr>
        <w:spacing w:line="600" w:lineRule="exact"/>
        <w:ind w:firstLine="640"/>
        <w:rPr>
          <w:rFonts w:hint="default" w:ascii="Times New Roman" w:hAnsi="Times New Roman" w:eastAsia="方正仿宋_GBK" w:cs="Times New Roman"/>
          <w:b/>
          <w:bCs/>
          <w:color w:val="auto"/>
          <w:kern w:val="2"/>
          <w:sz w:val="32"/>
          <w:szCs w:val="32"/>
          <w:highlight w:val="none"/>
          <w:lang w:val="en-US" w:eastAsia="zh-CN" w:bidi="ar-SA"/>
        </w:rPr>
      </w:pPr>
    </w:p>
    <w:p w14:paraId="55E9A4BE">
      <w:pPr>
        <w:spacing w:line="600" w:lineRule="exact"/>
        <w:ind w:firstLine="640"/>
        <w:rPr>
          <w:rFonts w:hint="default" w:ascii="Times New Roman" w:hAnsi="Times New Roman" w:eastAsia="方正仿宋_GBK" w:cs="Times New Roman"/>
          <w:b/>
          <w:bCs/>
          <w:color w:val="auto"/>
          <w:kern w:val="2"/>
          <w:sz w:val="32"/>
          <w:szCs w:val="32"/>
          <w:highlight w:val="none"/>
          <w:lang w:val="en-US" w:eastAsia="zh-CN" w:bidi="ar-SA"/>
        </w:rPr>
      </w:pPr>
    </w:p>
    <w:p w14:paraId="10B71A6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1.因公出国（境）经费支出0万元，完成预算100%。</w:t>
      </w:r>
      <w:r>
        <w:rPr>
          <w:rFonts w:hint="default" w:ascii="Times New Roman" w:hAnsi="Times New Roman" w:eastAsia="方正仿宋_GBK" w:cs="Times New Roman"/>
          <w:color w:val="auto"/>
          <w:kern w:val="2"/>
          <w:sz w:val="32"/>
          <w:szCs w:val="32"/>
          <w:highlight w:val="none"/>
          <w:lang w:val="en-US" w:eastAsia="zh-CN" w:bidi="ar-SA"/>
        </w:rPr>
        <w:t>全年安排因公出国（境）团组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次，出国（境）</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人。因公出国（境）支出决算与2023年</w:t>
      </w:r>
      <w:r>
        <w:rPr>
          <w:rFonts w:hint="default" w:ascii="Times New Roman" w:hAnsi="Times New Roman" w:eastAsia="方正仿宋_GBK" w:cs="Times New Roman"/>
          <w:sz w:val="32"/>
          <w:szCs w:val="32"/>
        </w:rPr>
        <w:t>持平</w:t>
      </w:r>
      <w:r>
        <w:rPr>
          <w:rFonts w:hint="default" w:ascii="Times New Roman" w:hAnsi="Times New Roman" w:eastAsia="方正仿宋_GBK" w:cs="Times New Roman"/>
          <w:color w:val="auto"/>
          <w:kern w:val="2"/>
          <w:sz w:val="32"/>
          <w:szCs w:val="32"/>
          <w:highlight w:val="none"/>
          <w:lang w:val="en-US" w:eastAsia="zh-CN" w:bidi="ar-SA"/>
        </w:rPr>
        <w:t>。主要原因是本单位未安排出国公务，未产生出国（境）费用。</w:t>
      </w:r>
    </w:p>
    <w:p w14:paraId="70A0BAD6">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2.公务用车运行维护费支出2.02万元，完成预算100%。</w:t>
      </w:r>
      <w:r>
        <w:rPr>
          <w:rFonts w:hint="default" w:ascii="Times New Roman" w:hAnsi="Times New Roman" w:eastAsia="方正仿宋_GBK" w:cs="Times New Roman"/>
          <w:color w:val="auto"/>
          <w:kern w:val="2"/>
          <w:sz w:val="32"/>
          <w:szCs w:val="32"/>
          <w:highlight w:val="none"/>
          <w:lang w:val="en-US" w:eastAsia="zh-CN" w:bidi="ar-SA"/>
        </w:rPr>
        <w:t>公务用车购置及运行维护费支出决算比2023年度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2023年度为3.5万元）</w:t>
      </w:r>
      <w:r>
        <w:rPr>
          <w:rFonts w:hint="default" w:ascii="Times New Roman" w:hAnsi="Times New Roman" w:eastAsia="方正仿宋_GBK" w:cs="Times New Roman"/>
          <w:color w:val="auto"/>
          <w:kern w:val="2"/>
          <w:sz w:val="32"/>
          <w:szCs w:val="32"/>
          <w:highlight w:val="none"/>
          <w:lang w:val="en-US" w:eastAsia="zh-CN" w:bidi="ar-SA"/>
        </w:rPr>
        <w:t>减少1.48万元，下降42.29%。主要原因是油费和修理费减少。</w:t>
      </w:r>
    </w:p>
    <w:p w14:paraId="5F56AAE3">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其中：公务用车运行维护费支出</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color w:val="auto"/>
          <w:kern w:val="2"/>
          <w:sz w:val="32"/>
          <w:szCs w:val="32"/>
          <w:highlight w:val="none"/>
          <w:lang w:val="en-US" w:eastAsia="zh-CN" w:bidi="ar-SA"/>
        </w:rPr>
        <w:t>万元。主要用于乡村振兴、检查工作等所需的公务用车燃料费、维修费、过路过桥费、保险费等支出。</w:t>
      </w:r>
    </w:p>
    <w:p w14:paraId="4451185A">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bCs/>
          <w:color w:val="auto"/>
          <w:kern w:val="2"/>
          <w:sz w:val="32"/>
          <w:szCs w:val="32"/>
          <w:highlight w:val="none"/>
          <w:lang w:val="en-US" w:eastAsia="zh-CN" w:bidi="ar-SA"/>
        </w:rPr>
        <w:t>3.公务接待费支出1万元，完成预算100%。</w:t>
      </w:r>
      <w:r>
        <w:rPr>
          <w:rFonts w:hint="default" w:ascii="Times New Roman" w:hAnsi="Times New Roman" w:eastAsia="方正仿宋_GBK" w:cs="Times New Roman"/>
          <w:color w:val="auto"/>
          <w:kern w:val="2"/>
          <w:sz w:val="32"/>
          <w:szCs w:val="32"/>
          <w:highlight w:val="none"/>
          <w:lang w:val="en-US" w:eastAsia="zh-CN" w:bidi="ar-SA"/>
        </w:rPr>
        <w:t>公务接待费支出决算比2023年度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2023年度为0.3万元）</w:t>
      </w:r>
      <w:r>
        <w:rPr>
          <w:rFonts w:hint="default" w:ascii="Times New Roman" w:hAnsi="Times New Roman" w:eastAsia="方正仿宋_GBK" w:cs="Times New Roman"/>
          <w:color w:val="auto"/>
          <w:kern w:val="2"/>
          <w:sz w:val="32"/>
          <w:szCs w:val="32"/>
          <w:highlight w:val="none"/>
          <w:lang w:val="en-US" w:eastAsia="zh-CN" w:bidi="ar-SA"/>
        </w:rPr>
        <w:t>增加0.7万元，增长233%。主要原因是接待批次与人数增加。其中：</w:t>
      </w:r>
    </w:p>
    <w:p w14:paraId="78A3FF8E">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国内公务接待支出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color w:val="auto"/>
          <w:kern w:val="2"/>
          <w:sz w:val="32"/>
          <w:szCs w:val="32"/>
          <w:highlight w:val="none"/>
          <w:lang w:val="en-US" w:eastAsia="zh-CN" w:bidi="ar-SA"/>
        </w:rPr>
        <w:t>万元，主要用于省厅开展社保基金整改督导工作、人力资源建设交流学习、浙江大学博士团来攀调研、省就业服务管理局赴盐边开展网络创业培训工作调研、省职鉴中心考察第二届康养职业技能大赛工作、省就业赴我县京东（盐边）乡村振兴示范园调研就业创业工作用餐费。国内公务接待</w:t>
      </w:r>
      <w:r>
        <w:rPr>
          <w:rFonts w:hint="default" w:ascii="Times New Roman" w:hAnsi="Times New Roman" w:eastAsia="方正仿宋_GBK" w:cs="Times New Roman"/>
          <w:sz w:val="32"/>
          <w:szCs w:val="32"/>
        </w:rPr>
        <w:t>6</w:t>
      </w:r>
      <w:r>
        <w:rPr>
          <w:rFonts w:hint="default" w:ascii="Times New Roman" w:hAnsi="Times New Roman" w:eastAsia="方正仿宋_GBK" w:cs="Times New Roman"/>
          <w:color w:val="auto"/>
          <w:kern w:val="2"/>
          <w:sz w:val="32"/>
          <w:szCs w:val="32"/>
          <w:highlight w:val="none"/>
          <w:lang w:val="en-US" w:eastAsia="zh-CN" w:bidi="ar-SA"/>
        </w:rPr>
        <w:t>批次，</w:t>
      </w:r>
      <w:r>
        <w:rPr>
          <w:rFonts w:hint="default" w:ascii="Times New Roman" w:hAnsi="Times New Roman" w:eastAsia="方正仿宋_GBK" w:cs="Times New Roman"/>
          <w:sz w:val="32"/>
          <w:szCs w:val="32"/>
        </w:rPr>
        <w:t>85</w:t>
      </w:r>
      <w:r>
        <w:rPr>
          <w:rFonts w:hint="default" w:ascii="Times New Roman" w:hAnsi="Times New Roman" w:eastAsia="方正仿宋_GBK" w:cs="Times New Roman"/>
          <w:color w:val="auto"/>
          <w:kern w:val="2"/>
          <w:sz w:val="32"/>
          <w:szCs w:val="32"/>
          <w:highlight w:val="none"/>
          <w:lang w:val="en-US" w:eastAsia="zh-CN" w:bidi="ar-SA"/>
        </w:rPr>
        <w:t>人次（不包括陪同人员），共计支出1万元，具体内容包括：省厅开展社保基金整改督导工作用餐费0.17万元、人力资源建设交流学习用餐费0.15万元、浙江大学博士团来攀调研用餐费0.24万元、省就业服务管理局赴盐边开展网络创业培训工作调研用餐费0.15万元、省职鉴中心考察第二届康养职业技能大赛工作用餐费0.13万元、省就业赴我县京东（盐边）乡村振兴示范园调研就业创业工作用餐费0.16万元。</w:t>
      </w:r>
    </w:p>
    <w:p w14:paraId="5D367EC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外事接待支出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人次（不包括陪同人员），共计支出0万元。</w:t>
      </w:r>
    </w:p>
    <w:p w14:paraId="3413AA66">
      <w:pPr>
        <w:spacing w:line="600" w:lineRule="exact"/>
        <w:ind w:firstLine="640"/>
        <w:outlineLvl w:val="1"/>
        <w:rPr>
          <w:rStyle w:val="38"/>
          <w:rFonts w:hint="default" w:ascii="Times New Roman" w:hAnsi="Times New Roman" w:eastAsia="方正黑体_GBK" w:cs="Times New Roman"/>
          <w:color w:val="auto"/>
          <w:highlight w:val="none"/>
        </w:rPr>
      </w:pPr>
      <w:bookmarkStart w:id="56" w:name="_Toc15377218"/>
      <w:bookmarkStart w:id="57" w:name="_Toc22144"/>
      <w:bookmarkStart w:id="58" w:name="_Toc15396610"/>
      <w:r>
        <w:rPr>
          <w:rFonts w:hint="default" w:ascii="Times New Roman" w:hAnsi="Times New Roman" w:eastAsia="方正黑体_GBK" w:cs="Times New Roman"/>
          <w:color w:val="auto"/>
          <w:sz w:val="32"/>
          <w:szCs w:val="32"/>
          <w:highlight w:val="none"/>
        </w:rPr>
        <w:t>八、</w:t>
      </w:r>
      <w:r>
        <w:rPr>
          <w:rStyle w:val="38"/>
          <w:rFonts w:hint="default" w:ascii="Times New Roman" w:hAnsi="Times New Roman" w:eastAsia="方正黑体_GBK" w:cs="Times New Roman"/>
          <w:b w:val="0"/>
          <w:color w:val="auto"/>
          <w:highlight w:val="none"/>
        </w:rPr>
        <w:t>政府性基金预算支出决算情况说明</w:t>
      </w:r>
      <w:bookmarkEnd w:id="56"/>
      <w:bookmarkEnd w:id="57"/>
      <w:bookmarkEnd w:id="58"/>
    </w:p>
    <w:p w14:paraId="3956B749">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2024年度政府性基金预算财政拨款支出0万元，与2023年度持平。</w:t>
      </w:r>
      <w:bookmarkStart w:id="59" w:name="_Toc15377219"/>
      <w:bookmarkStart w:id="60" w:name="_Toc15396611"/>
    </w:p>
    <w:p w14:paraId="1F8568E9">
      <w:pPr>
        <w:numPr>
          <w:ilvl w:val="0"/>
          <w:numId w:val="0"/>
        </w:numPr>
        <w:spacing w:line="600" w:lineRule="exact"/>
        <w:ind w:left="630" w:leftChars="0"/>
        <w:outlineLvl w:val="1"/>
        <w:rPr>
          <w:rStyle w:val="38"/>
          <w:rFonts w:hint="default" w:ascii="Times New Roman" w:hAnsi="Times New Roman" w:eastAsia="方正黑体_GBK" w:cs="Times New Roman"/>
          <w:b w:val="0"/>
          <w:color w:val="auto"/>
          <w:highlight w:val="none"/>
        </w:rPr>
      </w:pPr>
      <w:bookmarkStart w:id="61" w:name="_Toc19325"/>
      <w:r>
        <w:rPr>
          <w:rStyle w:val="38"/>
          <w:rFonts w:hint="default" w:ascii="Times New Roman" w:hAnsi="Times New Roman" w:eastAsia="方正黑体_GBK" w:cs="Times New Roman"/>
          <w:b w:val="0"/>
          <w:color w:val="auto"/>
          <w:highlight w:val="none"/>
          <w:lang w:eastAsia="zh-CN"/>
        </w:rPr>
        <w:t>九、</w:t>
      </w:r>
      <w:r>
        <w:rPr>
          <w:rStyle w:val="38"/>
          <w:rFonts w:hint="default" w:ascii="Times New Roman" w:hAnsi="Times New Roman" w:eastAsia="方正黑体_GBK" w:cs="Times New Roman"/>
          <w:b w:val="0"/>
          <w:color w:val="auto"/>
          <w:highlight w:val="none"/>
        </w:rPr>
        <w:t>国有资本经营预算支出决算情况说明</w:t>
      </w:r>
      <w:bookmarkEnd w:id="59"/>
      <w:bookmarkEnd w:id="60"/>
      <w:bookmarkEnd w:id="61"/>
    </w:p>
    <w:p w14:paraId="45A508C6">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2024年度国有资本经营预算财政拨款支出</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color w:val="auto"/>
          <w:kern w:val="2"/>
          <w:sz w:val="32"/>
          <w:szCs w:val="32"/>
          <w:highlight w:val="none"/>
          <w:lang w:val="en-US" w:eastAsia="zh-CN" w:bidi="ar-SA"/>
        </w:rPr>
        <w:t>万元，占本年支出合计的</w:t>
      </w:r>
      <w:r>
        <w:rPr>
          <w:rFonts w:hint="default" w:ascii="Times New Roman" w:hAnsi="Times New Roman" w:eastAsia="方正仿宋_GBK" w:cs="Times New Roman"/>
          <w:sz w:val="32"/>
          <w:szCs w:val="32"/>
        </w:rPr>
        <w:t>0.09</w:t>
      </w:r>
      <w:r>
        <w:rPr>
          <w:rFonts w:hint="default" w:ascii="Times New Roman" w:hAnsi="Times New Roman" w:eastAsia="方正仿宋_GBK" w:cs="Times New Roman"/>
          <w:color w:val="auto"/>
          <w:kern w:val="2"/>
          <w:sz w:val="32"/>
          <w:szCs w:val="32"/>
          <w:highlight w:val="none"/>
          <w:lang w:val="en-US" w:eastAsia="zh-CN" w:bidi="ar-SA"/>
        </w:rPr>
        <w:t>%。与2023年度相比，国有资本经营预算财政拨款支出增加2万元，增长100%。主要变动原因是2024年新增国有企业退休人员社会化管理补助资金。</w:t>
      </w:r>
    </w:p>
    <w:p w14:paraId="58E1D3A3">
      <w:pPr>
        <w:numPr>
          <w:ilvl w:val="0"/>
          <w:numId w:val="0"/>
        </w:numPr>
        <w:spacing w:line="600" w:lineRule="exact"/>
        <w:ind w:left="630" w:leftChars="0"/>
        <w:outlineLvl w:val="1"/>
        <w:rPr>
          <w:rStyle w:val="38"/>
          <w:rFonts w:hint="default" w:ascii="Times New Roman" w:hAnsi="Times New Roman" w:eastAsia="方正黑体_GBK" w:cs="Times New Roman"/>
          <w:b w:val="0"/>
          <w:color w:val="auto"/>
          <w:highlight w:val="none"/>
        </w:rPr>
      </w:pPr>
      <w:bookmarkStart w:id="62" w:name="_Toc15377221"/>
      <w:bookmarkStart w:id="63" w:name="_Toc10870"/>
      <w:bookmarkStart w:id="64" w:name="_Toc15396612"/>
      <w:r>
        <w:rPr>
          <w:rStyle w:val="38"/>
          <w:rFonts w:hint="default" w:ascii="Times New Roman" w:hAnsi="Times New Roman" w:eastAsia="方正黑体_GBK" w:cs="Times New Roman"/>
          <w:b w:val="0"/>
          <w:color w:val="auto"/>
          <w:highlight w:val="none"/>
          <w:lang w:eastAsia="zh-CN"/>
        </w:rPr>
        <w:t>十、</w:t>
      </w:r>
      <w:r>
        <w:rPr>
          <w:rStyle w:val="38"/>
          <w:rFonts w:hint="default" w:ascii="Times New Roman" w:hAnsi="Times New Roman" w:eastAsia="方正黑体_GBK" w:cs="Times New Roman"/>
          <w:b w:val="0"/>
          <w:color w:val="auto"/>
          <w:highlight w:val="none"/>
        </w:rPr>
        <w:t>其他重要事项的情况说明</w:t>
      </w:r>
      <w:bookmarkEnd w:id="62"/>
      <w:bookmarkEnd w:id="63"/>
      <w:bookmarkEnd w:id="64"/>
    </w:p>
    <w:p w14:paraId="4156CAE1">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65" w:name="_Toc15377222"/>
      <w:bookmarkStart w:id="66" w:name="_Toc21100"/>
      <w:r>
        <w:rPr>
          <w:rFonts w:hint="default" w:ascii="Times New Roman" w:hAnsi="Times New Roman" w:eastAsia="方正楷体_GBK" w:cs="Times New Roman"/>
          <w:b/>
          <w:color w:val="auto"/>
          <w:sz w:val="32"/>
          <w:szCs w:val="32"/>
          <w:highlight w:val="none"/>
        </w:rPr>
        <w:t>（一）机关运行经费支出情况</w:t>
      </w:r>
      <w:bookmarkEnd w:id="65"/>
      <w:bookmarkEnd w:id="66"/>
    </w:p>
    <w:p w14:paraId="4F3832D5">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w:t>
      </w:r>
      <w:r>
        <w:rPr>
          <w:rFonts w:hint="default" w:ascii="Times New Roman" w:hAnsi="Times New Roman" w:eastAsia="方正仿宋_GBK" w:cs="Times New Roman"/>
          <w:sz w:val="32"/>
          <w:szCs w:val="32"/>
        </w:rPr>
        <w:t>盐边县人力资源和社会保障局（本级）</w:t>
      </w:r>
      <w:r>
        <w:rPr>
          <w:rFonts w:hint="default" w:ascii="Times New Roman" w:hAnsi="Times New Roman" w:eastAsia="方正仿宋_GBK" w:cs="Times New Roman"/>
          <w:color w:val="auto"/>
          <w:kern w:val="2"/>
          <w:sz w:val="32"/>
          <w:szCs w:val="32"/>
          <w:highlight w:val="none"/>
          <w:lang w:val="en-US" w:eastAsia="zh-CN" w:bidi="ar-SA"/>
        </w:rPr>
        <w:t>机关运行经费支出</w:t>
      </w:r>
      <w:r>
        <w:rPr>
          <w:rFonts w:hint="default" w:ascii="Times New Roman" w:hAnsi="Times New Roman" w:eastAsia="方正仿宋_GBK" w:cs="Times New Roman"/>
          <w:sz w:val="32"/>
          <w:szCs w:val="32"/>
        </w:rPr>
        <w:t>87.24</w:t>
      </w:r>
      <w:r>
        <w:rPr>
          <w:rFonts w:hint="default" w:ascii="Times New Roman" w:hAnsi="Times New Roman" w:eastAsia="方正仿宋_GBK" w:cs="Times New Roman"/>
          <w:color w:val="auto"/>
          <w:kern w:val="2"/>
          <w:sz w:val="32"/>
          <w:szCs w:val="32"/>
          <w:highlight w:val="none"/>
          <w:lang w:val="en-US" w:eastAsia="zh-CN" w:bidi="ar-SA"/>
        </w:rPr>
        <w:t>万元，比2023年度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2023年度为83.55万元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kern w:val="2"/>
          <w:sz w:val="32"/>
          <w:szCs w:val="32"/>
          <w:highlight w:val="none"/>
          <w:lang w:val="en-US" w:eastAsia="zh-CN" w:bidi="ar-SA"/>
        </w:rPr>
        <w:t>增加3.69万元，增长4.42%。主要原因是2024年人员增加，公用经费相应增加。</w:t>
      </w:r>
    </w:p>
    <w:p w14:paraId="46F799CA">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67" w:name="_Toc20442"/>
      <w:bookmarkStart w:id="68" w:name="_Toc15377223"/>
      <w:r>
        <w:rPr>
          <w:rFonts w:hint="default" w:ascii="Times New Roman" w:hAnsi="Times New Roman" w:eastAsia="方正楷体_GBK" w:cs="Times New Roman"/>
          <w:b/>
          <w:color w:val="auto"/>
          <w:sz w:val="32"/>
          <w:szCs w:val="32"/>
          <w:highlight w:val="none"/>
        </w:rPr>
        <w:t>（二）政府采购支出情况</w:t>
      </w:r>
      <w:bookmarkEnd w:id="67"/>
      <w:bookmarkEnd w:id="68"/>
    </w:p>
    <w:p w14:paraId="5C96FFA1">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2024年度，</w:t>
      </w:r>
      <w:r>
        <w:rPr>
          <w:rFonts w:hint="default" w:ascii="Times New Roman" w:hAnsi="Times New Roman" w:eastAsia="方正仿宋_GBK" w:cs="Times New Roman"/>
          <w:sz w:val="32"/>
          <w:szCs w:val="32"/>
        </w:rPr>
        <w:t>盐边县人力资源和社会保障局（本级）</w:t>
      </w:r>
      <w:r>
        <w:rPr>
          <w:rFonts w:hint="default" w:ascii="Times New Roman" w:hAnsi="Times New Roman" w:eastAsia="方正仿宋_GBK" w:cs="Times New Roman"/>
          <w:color w:val="auto"/>
          <w:kern w:val="2"/>
          <w:sz w:val="32"/>
          <w:szCs w:val="32"/>
          <w:highlight w:val="none"/>
          <w:lang w:val="en-US" w:eastAsia="zh-CN" w:bidi="ar-SA"/>
        </w:rPr>
        <w:t>政府采购支出总额</w:t>
      </w:r>
      <w:r>
        <w:rPr>
          <w:rFonts w:hint="default" w:ascii="Times New Roman" w:hAnsi="Times New Roman" w:eastAsia="方正仿宋_GBK" w:cs="Times New Roman"/>
          <w:sz w:val="32"/>
          <w:szCs w:val="32"/>
        </w:rPr>
        <w:t>2.8</w:t>
      </w:r>
      <w:r>
        <w:rPr>
          <w:rFonts w:hint="default" w:ascii="Times New Roman" w:hAnsi="Times New Roman" w:eastAsia="方正仿宋_GBK" w:cs="Times New Roman"/>
          <w:color w:val="auto"/>
          <w:kern w:val="2"/>
          <w:sz w:val="32"/>
          <w:szCs w:val="32"/>
          <w:highlight w:val="none"/>
          <w:lang w:val="en-US" w:eastAsia="zh-CN" w:bidi="ar-SA"/>
        </w:rPr>
        <w:t>万元，其中：政府采购货物支出</w:t>
      </w:r>
      <w:r>
        <w:rPr>
          <w:rFonts w:hint="default" w:ascii="Times New Roman" w:hAnsi="Times New Roman" w:eastAsia="方正仿宋_GBK" w:cs="Times New Roman"/>
          <w:sz w:val="32"/>
          <w:szCs w:val="32"/>
        </w:rPr>
        <w:t>1.36</w:t>
      </w:r>
      <w:r>
        <w:rPr>
          <w:rFonts w:hint="default" w:ascii="Times New Roman" w:hAnsi="Times New Roman" w:eastAsia="方正仿宋_GBK" w:cs="Times New Roman"/>
          <w:color w:val="auto"/>
          <w:kern w:val="2"/>
          <w:sz w:val="32"/>
          <w:szCs w:val="32"/>
          <w:highlight w:val="none"/>
          <w:lang w:val="en-US" w:eastAsia="zh-CN" w:bidi="ar-SA"/>
        </w:rPr>
        <w:t>万元、政府采购工程支出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万元、政府采购服务支出</w:t>
      </w:r>
      <w:r>
        <w:rPr>
          <w:rFonts w:hint="default" w:ascii="Times New Roman" w:hAnsi="Times New Roman" w:eastAsia="方正仿宋_GBK" w:cs="Times New Roman"/>
          <w:sz w:val="32"/>
          <w:szCs w:val="32"/>
        </w:rPr>
        <w:t>1.44</w:t>
      </w:r>
      <w:r>
        <w:rPr>
          <w:rFonts w:hint="default" w:ascii="Times New Roman" w:hAnsi="Times New Roman" w:eastAsia="方正仿宋_GBK" w:cs="Times New Roman"/>
          <w:color w:val="auto"/>
          <w:kern w:val="2"/>
          <w:sz w:val="32"/>
          <w:szCs w:val="32"/>
          <w:highlight w:val="none"/>
          <w:lang w:val="en-US" w:eastAsia="zh-CN" w:bidi="ar-SA"/>
        </w:rPr>
        <w:t>万元。主要用于采购办公用电脑、公务用车油费及车辆修理费。授予中小企业合同金额</w:t>
      </w:r>
      <w:r>
        <w:rPr>
          <w:rFonts w:hint="default" w:ascii="Times New Roman" w:hAnsi="Times New Roman" w:eastAsia="方正仿宋_GBK" w:cs="Times New Roman"/>
          <w:sz w:val="32"/>
          <w:szCs w:val="32"/>
        </w:rPr>
        <w:t>2.62</w:t>
      </w:r>
      <w:r>
        <w:rPr>
          <w:rFonts w:hint="default" w:ascii="Times New Roman" w:hAnsi="Times New Roman" w:eastAsia="方正仿宋_GBK" w:cs="Times New Roman"/>
          <w:color w:val="auto"/>
          <w:kern w:val="2"/>
          <w:sz w:val="32"/>
          <w:szCs w:val="32"/>
          <w:highlight w:val="none"/>
          <w:lang w:val="en-US" w:eastAsia="zh-CN" w:bidi="ar-SA"/>
        </w:rPr>
        <w:t>万元，占政府采购支出总额的</w:t>
      </w:r>
      <w:r>
        <w:rPr>
          <w:rFonts w:hint="default" w:ascii="Times New Roman" w:hAnsi="Times New Roman" w:eastAsia="方正仿宋_GBK" w:cs="Times New Roman"/>
          <w:sz w:val="32"/>
          <w:szCs w:val="32"/>
        </w:rPr>
        <w:t>93.58</w:t>
      </w:r>
      <w:r>
        <w:rPr>
          <w:rFonts w:hint="default" w:ascii="Times New Roman" w:hAnsi="Times New Roman" w:eastAsia="方正仿宋_GBK" w:cs="Times New Roman"/>
          <w:color w:val="auto"/>
          <w:kern w:val="2"/>
          <w:sz w:val="32"/>
          <w:szCs w:val="32"/>
          <w:highlight w:val="none"/>
          <w:lang w:val="en-US" w:eastAsia="zh-CN" w:bidi="ar-SA"/>
        </w:rPr>
        <w:t>%，其中：授予小微企业合同金额</w:t>
      </w:r>
      <w:r>
        <w:rPr>
          <w:rFonts w:hint="default" w:ascii="Times New Roman" w:hAnsi="Times New Roman" w:eastAsia="方正仿宋_GBK" w:cs="Times New Roman"/>
          <w:sz w:val="32"/>
          <w:szCs w:val="32"/>
        </w:rPr>
        <w:t>1.36</w:t>
      </w:r>
      <w:r>
        <w:rPr>
          <w:rFonts w:hint="default" w:ascii="Times New Roman" w:hAnsi="Times New Roman" w:eastAsia="方正仿宋_GBK" w:cs="Times New Roman"/>
          <w:color w:val="auto"/>
          <w:kern w:val="2"/>
          <w:sz w:val="32"/>
          <w:szCs w:val="32"/>
          <w:highlight w:val="none"/>
          <w:lang w:val="en-US" w:eastAsia="zh-CN" w:bidi="ar-SA"/>
        </w:rPr>
        <w:t>万元，占政府采购支出总额的</w:t>
      </w:r>
      <w:r>
        <w:rPr>
          <w:rFonts w:hint="default" w:ascii="Times New Roman" w:hAnsi="Times New Roman" w:eastAsia="方正仿宋_GBK" w:cs="Times New Roman"/>
          <w:sz w:val="32"/>
          <w:szCs w:val="32"/>
        </w:rPr>
        <w:t>48.57</w:t>
      </w:r>
      <w:r>
        <w:rPr>
          <w:rFonts w:hint="default" w:ascii="Times New Roman" w:hAnsi="Times New Roman" w:eastAsia="方正仿宋_GBK" w:cs="Times New Roman"/>
          <w:color w:val="auto"/>
          <w:kern w:val="2"/>
          <w:sz w:val="32"/>
          <w:szCs w:val="32"/>
          <w:highlight w:val="none"/>
          <w:lang w:val="en-US" w:eastAsia="zh-CN" w:bidi="ar-SA"/>
        </w:rPr>
        <w:t>%。</w:t>
      </w:r>
    </w:p>
    <w:p w14:paraId="6998D55C">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69" w:name="_Toc27601"/>
      <w:bookmarkStart w:id="70" w:name="_Toc15377224"/>
      <w:r>
        <w:rPr>
          <w:rFonts w:hint="default" w:ascii="Times New Roman" w:hAnsi="Times New Roman" w:eastAsia="方正楷体_GBK" w:cs="Times New Roman"/>
          <w:b/>
          <w:color w:val="auto"/>
          <w:sz w:val="32"/>
          <w:szCs w:val="32"/>
          <w:highlight w:val="none"/>
        </w:rPr>
        <w:t>（三）国有资产占有使用情况</w:t>
      </w:r>
      <w:bookmarkEnd w:id="69"/>
      <w:bookmarkEnd w:id="70"/>
    </w:p>
    <w:p w14:paraId="24DFBFFC">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截至2024年12月31日，</w:t>
      </w:r>
      <w:r>
        <w:rPr>
          <w:rFonts w:hint="default" w:ascii="Times New Roman" w:hAnsi="Times New Roman" w:eastAsia="方正仿宋_GBK" w:cs="Times New Roman"/>
          <w:sz w:val="32"/>
          <w:szCs w:val="32"/>
        </w:rPr>
        <w:t>盐边县人力资源和社会保障局（本级）</w:t>
      </w:r>
      <w:r>
        <w:rPr>
          <w:rFonts w:hint="default" w:ascii="Times New Roman" w:hAnsi="Times New Roman" w:eastAsia="方正仿宋_GBK" w:cs="Times New Roman"/>
          <w:color w:val="auto"/>
          <w:kern w:val="2"/>
          <w:sz w:val="32"/>
          <w:szCs w:val="32"/>
          <w:highlight w:val="none"/>
          <w:lang w:val="en-US" w:eastAsia="zh-CN" w:bidi="ar-SA"/>
        </w:rPr>
        <w:t>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color w:val="auto"/>
          <w:kern w:val="2"/>
          <w:sz w:val="32"/>
          <w:szCs w:val="32"/>
          <w:highlight w:val="none"/>
          <w:lang w:val="en-US" w:eastAsia="zh-CN" w:bidi="ar-SA"/>
        </w:rPr>
        <w:t>辆，其中：其他用车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color w:val="auto"/>
          <w:kern w:val="2"/>
          <w:sz w:val="32"/>
          <w:szCs w:val="32"/>
          <w:highlight w:val="none"/>
          <w:lang w:val="en-US" w:eastAsia="zh-CN" w:bidi="ar-SA"/>
        </w:rPr>
        <w:t>辆，其他用车主要是用于</w:t>
      </w:r>
      <w:r>
        <w:rPr>
          <w:rFonts w:hint="default" w:ascii="Times New Roman" w:hAnsi="Times New Roman" w:eastAsia="方正仿宋_GBK" w:cs="Times New Roman"/>
          <w:color w:val="000000"/>
          <w:sz w:val="32"/>
          <w:szCs w:val="32"/>
        </w:rPr>
        <w:t>社会保险工作、就业创业工作、劳动保障监察等相关工作用车</w:t>
      </w:r>
      <w:r>
        <w:rPr>
          <w:rFonts w:hint="default" w:ascii="Times New Roman" w:hAnsi="Times New Roman" w:eastAsia="方正仿宋_GBK" w:cs="Times New Roman"/>
          <w:color w:val="auto"/>
          <w:kern w:val="2"/>
          <w:sz w:val="32"/>
          <w:szCs w:val="32"/>
          <w:highlight w:val="none"/>
          <w:lang w:val="en-US" w:eastAsia="zh-CN" w:bidi="ar-SA"/>
        </w:rPr>
        <w:t>。单价100万元（含）以上设备（不含车辆）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color w:val="auto"/>
          <w:kern w:val="2"/>
          <w:sz w:val="32"/>
          <w:szCs w:val="32"/>
          <w:highlight w:val="none"/>
          <w:lang w:val="en-US" w:eastAsia="zh-CN" w:bidi="ar-SA"/>
        </w:rPr>
        <w:t>台（套）。</w:t>
      </w:r>
    </w:p>
    <w:p w14:paraId="2CCB5A72">
      <w:pPr>
        <w:spacing w:line="600" w:lineRule="exact"/>
        <w:ind w:firstLine="643" w:firstLineChars="200"/>
        <w:outlineLvl w:val="2"/>
        <w:rPr>
          <w:rFonts w:hint="default" w:ascii="Times New Roman" w:hAnsi="Times New Roman" w:eastAsia="方正楷体_GBK" w:cs="Times New Roman"/>
          <w:b/>
          <w:color w:val="auto"/>
          <w:sz w:val="32"/>
          <w:szCs w:val="32"/>
          <w:highlight w:val="none"/>
        </w:rPr>
      </w:pPr>
      <w:bookmarkStart w:id="71" w:name="_Toc16023"/>
      <w:r>
        <w:rPr>
          <w:rFonts w:hint="default" w:ascii="Times New Roman" w:hAnsi="Times New Roman" w:eastAsia="方正楷体_GBK" w:cs="Times New Roman"/>
          <w:b/>
          <w:color w:val="auto"/>
          <w:sz w:val="32"/>
          <w:szCs w:val="32"/>
          <w:highlight w:val="none"/>
        </w:rPr>
        <w:t>（四）预算绩效管理情况</w:t>
      </w:r>
      <w:bookmarkEnd w:id="71"/>
    </w:p>
    <w:p w14:paraId="6D9DC6C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根据预算绩效管理要求，本单位在2024年度预算编制阶段，组织对推进乡村振兴补助资金（公益性岗位补贴）、省级财政人社公共服务能力建设资金等16个项目开展了预算事前绩效评估，对16个项目编制了绩效目标，预算执行过程中，选取16个项目开展绩效监控（因资金到达时间不同、文号不同，在部门预算项目支出绩效自评表（2024年度）里面显示19个项目，但实际上推进乡村振兴补助资金（脱贫人口劳动力跨省就业一次性交通补助）、川财农【2024】37号关于下达2024年中央和省级财政衔接推进乡村振兴补助资金、盐财资农【2024】103号关于下达2024年县级财政衔接推进乡村振兴补助资金、盐财资农【2024】115号关于调整使用2024年度第一批省级财政衔接资金为同一项目，故项目数统计为16个）。</w:t>
      </w:r>
    </w:p>
    <w:p w14:paraId="1BFC11C9">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p>
    <w:p w14:paraId="206AF6B5">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p>
    <w:p w14:paraId="003B5549">
      <w:pPr>
        <w:numPr>
          <w:ilvl w:val="0"/>
          <w:numId w:val="0"/>
        </w:numPr>
        <w:spacing w:line="600" w:lineRule="exact"/>
        <w:jc w:val="center"/>
        <w:outlineLvl w:val="0"/>
        <w:rPr>
          <w:rFonts w:hint="default" w:ascii="Times New Roman" w:hAnsi="Times New Roman" w:eastAsia="方正小标宋_GBK" w:cs="Times New Roman"/>
          <w:b/>
          <w:bCs/>
          <w:color w:val="auto"/>
          <w:sz w:val="44"/>
          <w:szCs w:val="44"/>
          <w:highlight w:val="none"/>
        </w:rPr>
      </w:pPr>
      <w:bookmarkStart w:id="72" w:name="_Toc15377225"/>
      <w:bookmarkStart w:id="73" w:name="_Toc15396613"/>
      <w:bookmarkStart w:id="74" w:name="_Toc26615"/>
      <w:r>
        <w:rPr>
          <w:rFonts w:hint="default" w:ascii="Times New Roman" w:hAnsi="Times New Roman" w:eastAsia="方正黑体_GBK" w:cs="Times New Roman"/>
          <w:color w:val="auto"/>
          <w:sz w:val="44"/>
          <w:szCs w:val="44"/>
          <w:highlight w:val="none"/>
        </w:rPr>
        <w:br w:type="page"/>
      </w:r>
      <w:r>
        <w:rPr>
          <w:rFonts w:hint="default" w:ascii="Times New Roman" w:hAnsi="Times New Roman" w:eastAsia="方正小标宋_GBK" w:cs="Times New Roman"/>
          <w:b/>
          <w:bCs/>
          <w:color w:val="auto"/>
          <w:sz w:val="44"/>
          <w:szCs w:val="44"/>
          <w:highlight w:val="none"/>
        </w:rPr>
        <w:t>第</w:t>
      </w:r>
      <w:r>
        <w:rPr>
          <w:rFonts w:hint="default" w:ascii="Times New Roman" w:hAnsi="Times New Roman" w:eastAsia="方正小标宋_GBK" w:cs="Times New Roman"/>
          <w:b/>
          <w:bCs/>
          <w:color w:val="auto"/>
          <w:sz w:val="44"/>
          <w:szCs w:val="44"/>
          <w:highlight w:val="none"/>
          <w:lang w:eastAsia="zh-CN"/>
        </w:rPr>
        <w:t>三</w:t>
      </w:r>
      <w:r>
        <w:rPr>
          <w:rFonts w:hint="default" w:ascii="Times New Roman" w:hAnsi="Times New Roman" w:eastAsia="方正小标宋_GBK" w:cs="Times New Roman"/>
          <w:b/>
          <w:bCs/>
          <w:color w:val="auto"/>
          <w:sz w:val="44"/>
          <w:szCs w:val="44"/>
          <w:highlight w:val="none"/>
        </w:rPr>
        <w:t>部分</w:t>
      </w:r>
      <w:r>
        <w:rPr>
          <w:rFonts w:hint="default" w:ascii="Times New Roman" w:hAnsi="Times New Roman" w:eastAsia="方正小标宋_GBK" w:cs="Times New Roman"/>
          <w:b/>
          <w:bCs/>
          <w:color w:val="auto"/>
          <w:sz w:val="44"/>
          <w:szCs w:val="44"/>
          <w:highlight w:val="none"/>
          <w:lang w:val="en-US" w:eastAsia="zh-CN"/>
        </w:rPr>
        <w:t xml:space="preserve">  </w:t>
      </w:r>
      <w:r>
        <w:rPr>
          <w:rFonts w:hint="default" w:ascii="Times New Roman" w:hAnsi="Times New Roman" w:eastAsia="方正小标宋_GBK" w:cs="Times New Roman"/>
          <w:b/>
          <w:bCs/>
          <w:color w:val="auto"/>
          <w:sz w:val="44"/>
          <w:szCs w:val="44"/>
          <w:highlight w:val="none"/>
        </w:rPr>
        <w:t>名词解释</w:t>
      </w:r>
      <w:bookmarkEnd w:id="72"/>
      <w:bookmarkEnd w:id="73"/>
      <w:bookmarkEnd w:id="74"/>
    </w:p>
    <w:p w14:paraId="141A7756">
      <w:pPr>
        <w:spacing w:line="600" w:lineRule="exact"/>
        <w:jc w:val="left"/>
        <w:rPr>
          <w:rFonts w:hint="default" w:ascii="Times New Roman" w:hAnsi="Times New Roman" w:cs="Times New Roman"/>
          <w:b/>
          <w:color w:val="auto"/>
          <w:sz w:val="44"/>
          <w:szCs w:val="44"/>
          <w:highlight w:val="none"/>
        </w:rPr>
      </w:pPr>
    </w:p>
    <w:p w14:paraId="3A033C2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1.财政拨款收入：指单位从同级财政部门取得的财政预算资金。</w:t>
      </w:r>
    </w:p>
    <w:p w14:paraId="7D8AA2AF">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2.事业收入：指事业单位开展专业业务活动及辅助活动取得的收入。如二级预算单位事业收入情况等。</w:t>
      </w:r>
    </w:p>
    <w:p w14:paraId="33CD26B0">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3.经营收入：指事业单位在专业业务活动及其辅助活动之外开展非独立核算经营活动取得的收入。如二级预算单位经营收入情况等。</w:t>
      </w:r>
    </w:p>
    <w:p w14:paraId="03DA7B46">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4.其他收入：指单位取得的除上述收入以外的各项收入。 </w:t>
      </w:r>
    </w:p>
    <w:p w14:paraId="5ADEE60B">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503525D1">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6.年初结转和结余：指以前年度尚未完成、结转到本年按有关规定继续使用的资金。 </w:t>
      </w:r>
    </w:p>
    <w:p w14:paraId="4D5042B3">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7.结余分配：指事业单位按照会计制度规定缴纳的所得税、提取的专用结余以及转入非财政拨款结余的金额等。</w:t>
      </w:r>
    </w:p>
    <w:p w14:paraId="772713D7">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8.年末结转和结余：指单位按有关规定结转到下年或以后年度继续使用的资金。</w:t>
      </w:r>
    </w:p>
    <w:p w14:paraId="48B799A6">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9.社会保障和就业（类）人力资源和社会保障管理事务（款）行政运行（项）：</w:t>
      </w:r>
      <w:r>
        <w:rPr>
          <w:rFonts w:hint="default" w:ascii="Times New Roman" w:hAnsi="Times New Roman" w:eastAsia="方正仿宋_GBK" w:cs="Times New Roman"/>
          <w:kern w:val="0"/>
          <w:sz w:val="32"/>
          <w:szCs w:val="32"/>
        </w:rPr>
        <w:t>指行政单位（包括实行公务员管理的事业单位）的基本支出。</w:t>
      </w:r>
    </w:p>
    <w:p w14:paraId="4FA8F2DB">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10.</w:t>
      </w:r>
      <w:r>
        <w:rPr>
          <w:rFonts w:hint="default" w:ascii="Times New Roman" w:hAnsi="Times New Roman" w:eastAsia="方正仿宋_GBK" w:cs="Times New Roman"/>
          <w:color w:val="auto"/>
          <w:kern w:val="0"/>
          <w:sz w:val="32"/>
          <w:szCs w:val="32"/>
        </w:rPr>
        <w:t>社会保障和就业（类）人力资源和社会保障管理事务（款）一般行政管理事务（项）</w:t>
      </w:r>
      <w:r>
        <w:rPr>
          <w:rFonts w:hint="default"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0"/>
          <w:sz w:val="32"/>
          <w:szCs w:val="32"/>
        </w:rPr>
        <w:t>指政单位（包括实行公务员管理的事业单位）未单独设置项级科目的其他项目支出。</w:t>
      </w:r>
    </w:p>
    <w:p w14:paraId="0AE73905">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11.</w:t>
      </w:r>
      <w:r>
        <w:rPr>
          <w:rFonts w:hint="default" w:ascii="Times New Roman" w:hAnsi="Times New Roman" w:eastAsia="方正仿宋_GBK" w:cs="Times New Roman"/>
          <w:kern w:val="0"/>
          <w:sz w:val="32"/>
          <w:szCs w:val="32"/>
        </w:rPr>
        <w:t>社会保障和就业（类）人力资源和社会保障管理事务（款）事业运行（项）</w:t>
      </w:r>
      <w:r>
        <w:rPr>
          <w:rFonts w:hint="default"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kern w:val="0"/>
          <w:sz w:val="32"/>
          <w:szCs w:val="32"/>
        </w:rPr>
        <w:t>指事业单位的基本支出，不包括行政单位（包括实行公务员管理的事业单位）后勤服务中心、医务室等附属事业单位。</w:t>
      </w:r>
    </w:p>
    <w:p w14:paraId="41C646F2">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12.</w:t>
      </w:r>
      <w:r>
        <w:rPr>
          <w:rFonts w:hint="default" w:ascii="Times New Roman" w:hAnsi="Times New Roman" w:eastAsia="方正仿宋_GBK" w:cs="Times New Roman"/>
          <w:kern w:val="0"/>
          <w:sz w:val="32"/>
          <w:szCs w:val="32"/>
        </w:rPr>
        <w:t>社会保障和就业（类）人力资源和社会保障管理事务（款）其他人力资源和社会保障管理事务支出（项）</w:t>
      </w:r>
      <w:r>
        <w:rPr>
          <w:rFonts w:hint="default"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kern w:val="0"/>
          <w:sz w:val="32"/>
          <w:szCs w:val="32"/>
        </w:rPr>
        <w:t>指社会保障和就业支出（类）人力资源和社会保障管理事务（款）已有项目以外其他用于人力资源和社会保障管理事务方面的支出。</w:t>
      </w:r>
    </w:p>
    <w:p w14:paraId="570C510D">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13.</w:t>
      </w:r>
      <w:r>
        <w:rPr>
          <w:rFonts w:hint="default" w:ascii="Times New Roman" w:hAnsi="Times New Roman" w:eastAsia="方正仿宋_GBK" w:cs="Times New Roman"/>
          <w:kern w:val="0"/>
          <w:sz w:val="32"/>
          <w:szCs w:val="32"/>
        </w:rPr>
        <w:t>社会保障和就业（类）行政事业单位养老支出（款）行政单位离退休（项）</w:t>
      </w:r>
      <w:r>
        <w:rPr>
          <w:rFonts w:hint="default"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kern w:val="0"/>
          <w:sz w:val="32"/>
          <w:szCs w:val="32"/>
        </w:rPr>
        <w:t>指行政单位（包括实行公务员管理的事业单位）开支的离退休经费。</w:t>
      </w:r>
    </w:p>
    <w:p w14:paraId="0E7C5B73">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14.</w:t>
      </w:r>
      <w:r>
        <w:rPr>
          <w:rFonts w:hint="default" w:ascii="Times New Roman" w:hAnsi="Times New Roman" w:eastAsia="方正仿宋_GBK" w:cs="Times New Roman"/>
          <w:kern w:val="0"/>
          <w:sz w:val="32"/>
          <w:szCs w:val="32"/>
        </w:rPr>
        <w:t>社会保障和就业支出（类）行政事业单位养老支出（款）机关事业单位基本养老保险缴费支出（项）</w:t>
      </w:r>
      <w:r>
        <w:rPr>
          <w:rFonts w:hint="default"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kern w:val="0"/>
          <w:sz w:val="32"/>
          <w:szCs w:val="32"/>
        </w:rPr>
        <w:t>指机关事业单位实施养老保险制度由单位缴纳的基本养老保险费支出。</w:t>
      </w:r>
    </w:p>
    <w:p w14:paraId="3D53EB07">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15.社会保障和就业支出（类）行政事业单位养老支出（款）机关事业单位职业年金缴费支出（项）：指机关事业单位实施养老保险制度由单位实际缴纳的职业年金支出（含职业年金补记支出）。</w:t>
      </w:r>
    </w:p>
    <w:p w14:paraId="3682F867">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16.社会保障和就业支出（类）就业补助（款）就业见习补贴（项）：指</w:t>
      </w:r>
      <w:r>
        <w:rPr>
          <w:rStyle w:val="23"/>
          <w:rFonts w:hint="default" w:ascii="Times New Roman" w:hAnsi="Times New Roman" w:eastAsia="仿宋" w:cs="Times New Roman"/>
          <w:b w:val="0"/>
          <w:bCs/>
          <w:sz w:val="32"/>
          <w:szCs w:val="32"/>
          <w:lang w:eastAsia="zh-CN"/>
        </w:rPr>
        <w:t>财政对高校毕业生就业见习基本生活费给予的补贴支出</w:t>
      </w:r>
      <w:r>
        <w:rPr>
          <w:rStyle w:val="23"/>
          <w:rFonts w:hint="default" w:ascii="Times New Roman" w:hAnsi="Times New Roman" w:eastAsia="仿宋" w:cs="Times New Roman"/>
          <w:b w:val="0"/>
          <w:bCs/>
          <w:sz w:val="32"/>
          <w:szCs w:val="32"/>
        </w:rPr>
        <w:t>。</w:t>
      </w:r>
    </w:p>
    <w:p w14:paraId="2FCDF96B">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17.社会保障和就业支出（类）抚恤（款）死亡抚恤（项）：指按规定用于烈士和牺牲、病故人员家属的一次性和定期抚恤金、丧葬补助费以及烈士褒扬金。</w:t>
      </w:r>
    </w:p>
    <w:p w14:paraId="0FF12FC7">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18.社会保障和就业支出（类）抚恤（款）伤残抚恤（项）：指按规定用于伤残人员的的抚恤金和按规定开支的各种伤残补助费。</w:t>
      </w:r>
    </w:p>
    <w:p w14:paraId="51C82AC1">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19.卫生健康支出（类）行政事业单位医疗（款）行政单位医疗（项）：</w:t>
      </w:r>
      <w:r>
        <w:rPr>
          <w:rFonts w:hint="default" w:ascii="Times New Roman" w:hAnsi="Times New Roman" w:eastAsia="方正仿宋_GBK" w:cs="Times New Roman"/>
          <w:kern w:val="0"/>
          <w:sz w:val="32"/>
          <w:szCs w:val="32"/>
        </w:rPr>
        <w:t>指财政部门安排的行政单位（包括实行公务员管理的事业单位）基本医疗保险缴费经费，未参加医疗保险的行政单位的公费医疗经费，按国家规定享受离休人员、红军老战士待遇人员的医疗经费。</w:t>
      </w:r>
    </w:p>
    <w:p w14:paraId="6DF80298">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20.卫生健康支出（类）行政事业单位医疗（款）事业单位医疗（项）：</w:t>
      </w:r>
      <w:r>
        <w:rPr>
          <w:rFonts w:hint="default" w:ascii="Times New Roman" w:hAnsi="Times New Roman" w:eastAsia="方正仿宋_GBK" w:cs="Times New Roman"/>
          <w:kern w:val="0"/>
          <w:sz w:val="32"/>
          <w:szCs w:val="32"/>
        </w:rPr>
        <w:t>指财政部门安排的事业单位基本医疗保险缴费经费，未参加医疗保险的事业单位的公费医疗经费，按国家规定享受离休人员待遇的医疗经费。</w:t>
      </w:r>
    </w:p>
    <w:p w14:paraId="538EA1C0">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21.卫生健康支出（类）行政事业单位医疗（款）公务员医疗补助（项）：</w:t>
      </w:r>
      <w:r>
        <w:rPr>
          <w:rFonts w:hint="default" w:ascii="Times New Roman" w:hAnsi="Times New Roman" w:eastAsia="方正仿宋_GBK" w:cs="Times New Roman"/>
          <w:kern w:val="0"/>
          <w:sz w:val="32"/>
          <w:szCs w:val="32"/>
        </w:rPr>
        <w:t>指财政部门安排的公务员医疗补助经费。</w:t>
      </w:r>
    </w:p>
    <w:p w14:paraId="14679234">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22.</w:t>
      </w:r>
      <w:r>
        <w:rPr>
          <w:rFonts w:hint="default" w:ascii="Times New Roman" w:hAnsi="Times New Roman" w:eastAsia="方正仿宋_GBK" w:cs="Times New Roman"/>
          <w:kern w:val="0"/>
          <w:sz w:val="32"/>
          <w:szCs w:val="32"/>
        </w:rPr>
        <w:t>卫生健康支出（类）行政事业单位医疗（款）其他行政事业单位医疗支出（项）</w:t>
      </w:r>
      <w:r>
        <w:rPr>
          <w:rFonts w:hint="default"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kern w:val="0"/>
          <w:sz w:val="32"/>
          <w:szCs w:val="32"/>
        </w:rPr>
        <w:t>指卫生健康支出（类）行政事业单位医疗（款）已有项目以外的其他用于行政事业单位医疗方面的支出。</w:t>
      </w:r>
    </w:p>
    <w:p w14:paraId="52EE6373">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23.农林水支出（类）巩固脱贫衔接乡村振兴（款）其他巩固脱贫衔接乡村振兴支出（项）：指农林水支出（类）巩固脱贫衔接乡村振兴（款）已有项目以外其他用于巩固拓展脱贫攻坚成果同乡村振兴有效衔接方面的支出。</w:t>
      </w:r>
    </w:p>
    <w:p w14:paraId="300D9B2B">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24.</w:t>
      </w:r>
      <w:r>
        <w:rPr>
          <w:rFonts w:hint="default" w:ascii="Times New Roman" w:hAnsi="Times New Roman" w:eastAsia="方正仿宋_GBK" w:cs="Times New Roman"/>
          <w:kern w:val="0"/>
          <w:sz w:val="32"/>
          <w:szCs w:val="32"/>
        </w:rPr>
        <w:t>住房保障支出（类）住房改革支出（款）住房公积金（项）</w:t>
      </w:r>
      <w:r>
        <w:rPr>
          <w:rFonts w:hint="default"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kern w:val="0"/>
          <w:sz w:val="32"/>
          <w:szCs w:val="32"/>
        </w:rPr>
        <w:t>指行政事业单位按人力资源和社会保障部、财政部规定的基本工资和津贴补贴以及规定比例为职工缴纳的住房公积金。</w:t>
      </w:r>
    </w:p>
    <w:p w14:paraId="2E2DA3E7">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25.基本支出：指为保障机构正常运转、完成日常工作任务而发生的人员支出和公用支出。</w:t>
      </w:r>
    </w:p>
    <w:p w14:paraId="71A47F00">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 xml:space="preserve">26.项目支出：指在基本支出之外为完成特定行政任务和事业发展目标所发生的支出。 </w:t>
      </w:r>
    </w:p>
    <w:p w14:paraId="34C197DC">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27.经营支出：指事业单位在专业业务活动及其辅助活动之外开展非独立核算经营活动发生的支出。</w:t>
      </w:r>
    </w:p>
    <w:p w14:paraId="661D7FA9">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28.“三公”经费：指部门用财政拨款安排的因公出国（境）费用、公务用车运行维护费和公务接待费。其中，因公出国（境）费用反映单位公务出国（境）的国际旅费、国外城市间交通费、住宿费、伙食费、培训费、公杂费等支出；公务用车运行维护费反映单位按规定保留的公务用车燃料费、维修费、过路过桥费、保险费、安全奖励费用等支出；公务接待费反映单位按规定开支的各类公务接待（含外宾接待）费用。</w:t>
      </w:r>
    </w:p>
    <w:p w14:paraId="3D1DCB73">
      <w:pPr>
        <w:spacing w:line="600" w:lineRule="exact"/>
        <w:ind w:firstLine="64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DA96038">
      <w:pPr>
        <w:spacing w:line="600" w:lineRule="exact"/>
        <w:jc w:val="center"/>
        <w:rPr>
          <w:rStyle w:val="37"/>
          <w:rFonts w:hint="default" w:ascii="Times New Roman" w:hAnsi="Times New Roman" w:eastAsia="方正小标宋_GBK" w:cs="Times New Roman"/>
          <w:b/>
          <w:bCs/>
          <w:color w:val="auto"/>
          <w:highlight w:val="none"/>
          <w:lang w:eastAsia="zh-CN"/>
        </w:rPr>
      </w:pPr>
      <w:bookmarkStart w:id="75" w:name="_Toc15377226"/>
      <w:r>
        <w:rPr>
          <w:rFonts w:hint="default" w:ascii="Times New Roman" w:hAnsi="Times New Roman" w:eastAsia="方正仿宋_GBK" w:cs="Times New Roman"/>
          <w:color w:val="auto"/>
          <w:kern w:val="2"/>
          <w:sz w:val="32"/>
          <w:szCs w:val="32"/>
          <w:highlight w:val="none"/>
          <w:lang w:val="en-US" w:eastAsia="zh-CN" w:bidi="ar-SA"/>
        </w:rPr>
        <w:br w:type="page"/>
      </w:r>
      <w:bookmarkStart w:id="76" w:name="_Toc15396614"/>
      <w:r>
        <w:rPr>
          <w:rFonts w:hint="default" w:ascii="Times New Roman" w:hAnsi="Times New Roman" w:eastAsia="方正小标宋_GBK" w:cs="Times New Roman"/>
          <w:b/>
          <w:bCs/>
          <w:color w:val="auto"/>
          <w:sz w:val="44"/>
          <w:szCs w:val="44"/>
          <w:highlight w:val="none"/>
        </w:rPr>
        <w:t>第四部分</w:t>
      </w:r>
      <w:r>
        <w:rPr>
          <w:rFonts w:hint="default" w:ascii="Times New Roman" w:hAnsi="Times New Roman" w:eastAsia="方正小标宋_GBK" w:cs="Times New Roman"/>
          <w:b/>
          <w:bCs/>
          <w:color w:val="auto"/>
          <w:sz w:val="44"/>
          <w:szCs w:val="44"/>
          <w:highlight w:val="none"/>
          <w:lang w:val="en-US" w:eastAsia="zh-CN"/>
        </w:rPr>
        <w:t xml:space="preserve"> </w:t>
      </w:r>
      <w:r>
        <w:rPr>
          <w:rFonts w:hint="default" w:ascii="Times New Roman" w:hAnsi="Times New Roman" w:eastAsia="方正小标宋_GBK" w:cs="Times New Roman"/>
          <w:b/>
          <w:bCs/>
          <w:color w:val="auto"/>
          <w:sz w:val="44"/>
          <w:szCs w:val="44"/>
          <w:highlight w:val="none"/>
        </w:rPr>
        <w:t xml:space="preserve"> 附件</w:t>
      </w:r>
      <w:bookmarkEnd w:id="76"/>
    </w:p>
    <w:p w14:paraId="4349265F">
      <w:pPr>
        <w:wordWrap/>
        <w:spacing w:line="572" w:lineRule="exact"/>
        <w:jc w:val="left"/>
        <w:textAlignment w:val="auto"/>
        <w:outlineLvl w:val="0"/>
        <w:rPr>
          <w:rFonts w:hint="default" w:ascii="Times New Roman" w:hAnsi="Times New Roman" w:eastAsia="方正黑体_GBK" w:cs="Times New Roman"/>
          <w:color w:val="FF0000"/>
          <w:sz w:val="32"/>
          <w:szCs w:val="32"/>
          <w:highlight w:val="none"/>
        </w:rPr>
      </w:pPr>
    </w:p>
    <w:p w14:paraId="74333F91">
      <w:pPr>
        <w:pStyle w:val="3"/>
        <w:numPr>
          <w:ilvl w:val="0"/>
          <w:numId w:val="0"/>
        </w:numPr>
        <w:wordWrap/>
        <w:spacing w:line="560" w:lineRule="exact"/>
        <w:ind w:firstLine="640" w:firstLineChars="200"/>
        <w:textAlignment w:val="auto"/>
        <w:rPr>
          <w:rFonts w:hint="default" w:ascii="Times New Roman" w:hAnsi="Times New Roman" w:eastAsia="方正仿宋_GBK" w:cs="Times New Roman"/>
          <w:kern w:val="2"/>
          <w:sz w:val="32"/>
          <w:szCs w:val="32"/>
          <w:u w:val="none"/>
          <w:lang w:val="zh-CN" w:eastAsia="zh-CN"/>
        </w:rPr>
      </w:pPr>
      <w:r>
        <w:rPr>
          <w:rFonts w:hint="default" w:ascii="Times New Roman" w:hAnsi="Times New Roman" w:eastAsia="方正仿宋_GBK" w:cs="Times New Roman"/>
          <w:kern w:val="2"/>
          <w:sz w:val="32"/>
          <w:szCs w:val="32"/>
          <w:u w:val="none"/>
          <w:lang w:val="zh-CN" w:eastAsia="zh-CN"/>
        </w:rPr>
        <w:t>附表：</w:t>
      </w:r>
      <w:r>
        <w:rPr>
          <w:rFonts w:hint="default" w:ascii="Times New Roman" w:hAnsi="Times New Roman" w:eastAsia="方正仿宋_GBK" w:cs="Times New Roman"/>
          <w:kern w:val="2"/>
          <w:sz w:val="32"/>
          <w:szCs w:val="32"/>
          <w:u w:val="none"/>
          <w:lang w:val="en-US" w:eastAsia="zh-CN"/>
        </w:rPr>
        <w:t>部门预算项目支出绩效自评表（2024年度）</w:t>
      </w:r>
    </w:p>
    <w:p w14:paraId="3CBEC867">
      <w:pPr>
        <w:pStyle w:val="3"/>
        <w:numPr>
          <w:ilvl w:val="0"/>
          <w:numId w:val="0"/>
        </w:numPr>
        <w:wordWrap/>
        <w:spacing w:line="560" w:lineRule="exact"/>
        <w:textAlignment w:val="auto"/>
        <w:rPr>
          <w:rFonts w:hint="default" w:ascii="Times New Roman" w:hAnsi="Times New Roman" w:cs="Times New Roman"/>
          <w:sz w:val="32"/>
          <w:szCs w:val="32"/>
          <w:highlight w:val="yellow"/>
          <w:lang w:val="zh-CN" w:eastAsia="zh-CN"/>
        </w:rPr>
      </w:pPr>
    </w:p>
    <w:p w14:paraId="01C7F010">
      <w:pPr>
        <w:pStyle w:val="9"/>
        <w:rPr>
          <w:rFonts w:hint="default" w:ascii="Times New Roman" w:hAnsi="Times New Roman" w:eastAsia="方正仿宋_GBK" w:cs="Times New Roman"/>
          <w:color w:val="FF0000"/>
          <w:kern w:val="0"/>
          <w:sz w:val="32"/>
          <w:szCs w:val="32"/>
          <w:highlight w:val="yellow"/>
          <w:shd w:val="clear" w:color="auto" w:fill="FFFFFF"/>
          <w:lang w:val="zh-CN"/>
        </w:rPr>
      </w:pPr>
    </w:p>
    <w:p w14:paraId="3FFE134C">
      <w:pPr>
        <w:jc w:val="center"/>
        <w:rPr>
          <w:rFonts w:hint="default" w:ascii="Times New Roman" w:hAnsi="Times New Roman" w:eastAsia="方正小标宋_GBK" w:cs="Times New Roman"/>
          <w:b/>
          <w:bCs/>
          <w:color w:val="auto"/>
          <w:sz w:val="44"/>
          <w:szCs w:val="44"/>
          <w:highlight w:val="none"/>
        </w:rPr>
      </w:pPr>
      <w:r>
        <w:rPr>
          <w:rFonts w:hint="default" w:ascii="Times New Roman" w:hAnsi="Times New Roman" w:eastAsia="方正黑体_GBK" w:cs="Times New Roman"/>
          <w:color w:val="auto"/>
          <w:kern w:val="0"/>
          <w:sz w:val="32"/>
          <w:szCs w:val="32"/>
          <w:highlight w:val="none"/>
          <w:shd w:val="clear" w:color="auto" w:fill="FFFFFF"/>
          <w:lang w:val="zh-CN"/>
        </w:rPr>
        <w:br w:type="page"/>
      </w:r>
      <w:bookmarkStart w:id="77" w:name="_Toc15396618"/>
      <w:r>
        <w:rPr>
          <w:rFonts w:hint="default" w:ascii="Times New Roman" w:hAnsi="Times New Roman" w:eastAsia="方正小标宋_GBK" w:cs="Times New Roman"/>
          <w:b/>
          <w:bCs/>
          <w:color w:val="auto"/>
          <w:sz w:val="44"/>
          <w:szCs w:val="44"/>
          <w:highlight w:val="none"/>
        </w:rPr>
        <w:t>第</w:t>
      </w:r>
      <w:r>
        <w:rPr>
          <w:rStyle w:val="37"/>
          <w:rFonts w:hint="default" w:ascii="Times New Roman" w:hAnsi="Times New Roman" w:eastAsia="方正小标宋_GBK" w:cs="Times New Roman"/>
          <w:b/>
          <w:bCs/>
          <w:color w:val="auto"/>
          <w:sz w:val="44"/>
          <w:szCs w:val="44"/>
          <w:highlight w:val="none"/>
        </w:rPr>
        <w:t>五部分</w:t>
      </w:r>
      <w:r>
        <w:rPr>
          <w:rStyle w:val="37"/>
          <w:rFonts w:hint="default" w:ascii="Times New Roman" w:hAnsi="Times New Roman" w:eastAsia="方正小标宋_GBK" w:cs="Times New Roman"/>
          <w:b/>
          <w:bCs/>
          <w:color w:val="auto"/>
          <w:sz w:val="44"/>
          <w:szCs w:val="44"/>
          <w:highlight w:val="none"/>
          <w:lang w:val="en-US" w:eastAsia="zh-CN"/>
        </w:rPr>
        <w:t xml:space="preserve"> </w:t>
      </w:r>
      <w:r>
        <w:rPr>
          <w:rStyle w:val="37"/>
          <w:rFonts w:hint="default" w:ascii="Times New Roman" w:hAnsi="Times New Roman" w:eastAsia="方正小标宋_GBK" w:cs="Times New Roman"/>
          <w:b/>
          <w:bCs/>
          <w:color w:val="auto"/>
          <w:sz w:val="44"/>
          <w:szCs w:val="44"/>
          <w:highlight w:val="none"/>
        </w:rPr>
        <w:t xml:space="preserve"> 附表</w:t>
      </w:r>
      <w:bookmarkEnd w:id="75"/>
      <w:bookmarkEnd w:id="77"/>
      <w:bookmarkStart w:id="78" w:name="_Toc15396619"/>
    </w:p>
    <w:p w14:paraId="7E799CFA">
      <w:pPr>
        <w:pStyle w:val="19"/>
        <w:tabs>
          <w:tab w:val="right" w:leader="dot" w:pos="8296"/>
        </w:tabs>
        <w:wordWrap/>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p>
    <w:p w14:paraId="66E10234">
      <w:pPr>
        <w:pStyle w:val="19"/>
        <w:tabs>
          <w:tab w:val="right" w:leader="dot" w:pos="8296"/>
        </w:tabs>
        <w:wordWrap/>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一、收入支出决算总表</w:t>
      </w:r>
      <w:bookmarkEnd w:id="78"/>
    </w:p>
    <w:p w14:paraId="0DC5F53F">
      <w:pPr>
        <w:pStyle w:val="19"/>
        <w:tabs>
          <w:tab w:val="right" w:leader="dot" w:pos="8296"/>
        </w:tabs>
        <w:wordWrap/>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bookmarkStart w:id="79" w:name="_Toc15396620"/>
      <w:r>
        <w:rPr>
          <w:rFonts w:hint="default" w:ascii="Times New Roman" w:hAnsi="Times New Roman" w:eastAsia="方正仿宋_GBK" w:cs="Times New Roman"/>
          <w:color w:val="auto"/>
          <w:sz w:val="32"/>
          <w:szCs w:val="32"/>
          <w:highlight w:val="none"/>
        </w:rPr>
        <w:t>二、收入决算表</w:t>
      </w:r>
      <w:bookmarkEnd w:id="79"/>
    </w:p>
    <w:p w14:paraId="1F956D19">
      <w:pPr>
        <w:pStyle w:val="19"/>
        <w:tabs>
          <w:tab w:val="right" w:leader="dot" w:pos="8296"/>
        </w:tabs>
        <w:wordWrap/>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bookmarkStart w:id="80" w:name="_Toc15396621"/>
      <w:r>
        <w:rPr>
          <w:rFonts w:hint="default" w:ascii="Times New Roman" w:hAnsi="Times New Roman" w:eastAsia="方正仿宋_GBK" w:cs="Times New Roman"/>
          <w:color w:val="auto"/>
          <w:sz w:val="32"/>
          <w:szCs w:val="32"/>
          <w:highlight w:val="none"/>
        </w:rPr>
        <w:t>三、支出决算表</w:t>
      </w:r>
      <w:bookmarkEnd w:id="80"/>
    </w:p>
    <w:p w14:paraId="0052BB48">
      <w:pPr>
        <w:pStyle w:val="19"/>
        <w:tabs>
          <w:tab w:val="right" w:leader="dot" w:pos="8296"/>
        </w:tabs>
        <w:wordWrap/>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bookmarkStart w:id="81" w:name="_Toc15396622"/>
      <w:r>
        <w:rPr>
          <w:rFonts w:hint="default" w:ascii="Times New Roman" w:hAnsi="Times New Roman" w:eastAsia="方正仿宋_GBK" w:cs="Times New Roman"/>
          <w:color w:val="auto"/>
          <w:sz w:val="32"/>
          <w:szCs w:val="32"/>
          <w:highlight w:val="none"/>
        </w:rPr>
        <w:t>四、财政拨款收入支出决算总表</w:t>
      </w:r>
      <w:bookmarkEnd w:id="81"/>
    </w:p>
    <w:p w14:paraId="38C0D148">
      <w:pPr>
        <w:pStyle w:val="19"/>
        <w:tabs>
          <w:tab w:val="right" w:leader="dot" w:pos="8296"/>
        </w:tabs>
        <w:wordWrap/>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bookmarkStart w:id="82" w:name="_Toc15396623"/>
      <w:r>
        <w:rPr>
          <w:rFonts w:hint="default" w:ascii="Times New Roman" w:hAnsi="Times New Roman" w:eastAsia="方正仿宋_GBK" w:cs="Times New Roman"/>
          <w:color w:val="auto"/>
          <w:sz w:val="32"/>
          <w:szCs w:val="32"/>
          <w:highlight w:val="none"/>
        </w:rPr>
        <w:t>五、财政拨款支出决算明细表</w:t>
      </w:r>
      <w:bookmarkEnd w:id="82"/>
      <w:bookmarkStart w:id="83" w:name="_Toc15396624"/>
    </w:p>
    <w:p w14:paraId="686E938B">
      <w:pPr>
        <w:pStyle w:val="19"/>
        <w:tabs>
          <w:tab w:val="right" w:leader="dot" w:pos="8296"/>
        </w:tabs>
        <w:wordWrap/>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六、一般公共预算财政拨款支出决算表</w:t>
      </w:r>
      <w:bookmarkEnd w:id="83"/>
    </w:p>
    <w:p w14:paraId="61C448B9">
      <w:pPr>
        <w:pStyle w:val="19"/>
        <w:tabs>
          <w:tab w:val="right" w:leader="dot" w:pos="8296"/>
        </w:tabs>
        <w:wordWrap/>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bookmarkStart w:id="84" w:name="_Toc15396625"/>
      <w:r>
        <w:rPr>
          <w:rFonts w:hint="default" w:ascii="Times New Roman" w:hAnsi="Times New Roman" w:eastAsia="方正仿宋_GBK" w:cs="Times New Roman"/>
          <w:color w:val="auto"/>
          <w:sz w:val="32"/>
          <w:szCs w:val="32"/>
          <w:highlight w:val="none"/>
        </w:rPr>
        <w:t>七、一般公共预算财政拨款支出决算明细表</w:t>
      </w:r>
      <w:bookmarkEnd w:id="84"/>
    </w:p>
    <w:p w14:paraId="0167F6E2">
      <w:pPr>
        <w:pStyle w:val="19"/>
        <w:tabs>
          <w:tab w:val="right" w:leader="dot" w:pos="8296"/>
        </w:tabs>
        <w:wordWrap/>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bookmarkStart w:id="85" w:name="_Toc15396626"/>
      <w:r>
        <w:rPr>
          <w:rFonts w:hint="default" w:ascii="Times New Roman" w:hAnsi="Times New Roman" w:eastAsia="方正仿宋_GBK" w:cs="Times New Roman"/>
          <w:color w:val="auto"/>
          <w:sz w:val="32"/>
          <w:szCs w:val="32"/>
          <w:highlight w:val="none"/>
        </w:rPr>
        <w:t>八、一般公共预算财政拨款基本支出决算表</w:t>
      </w:r>
      <w:bookmarkEnd w:id="85"/>
    </w:p>
    <w:p w14:paraId="36A346F3">
      <w:pPr>
        <w:pStyle w:val="19"/>
        <w:tabs>
          <w:tab w:val="right" w:leader="dot" w:pos="8296"/>
        </w:tabs>
        <w:wordWrap/>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bookmarkStart w:id="86" w:name="_Toc15396627"/>
      <w:r>
        <w:rPr>
          <w:rFonts w:hint="default" w:ascii="Times New Roman" w:hAnsi="Times New Roman" w:eastAsia="方正仿宋_GBK" w:cs="Times New Roman"/>
          <w:color w:val="auto"/>
          <w:sz w:val="32"/>
          <w:szCs w:val="32"/>
          <w:highlight w:val="none"/>
        </w:rPr>
        <w:t>九、一般公共预算财政拨款项目支出决算表</w:t>
      </w:r>
      <w:bookmarkEnd w:id="86"/>
    </w:p>
    <w:p w14:paraId="34D797DD">
      <w:pPr>
        <w:pStyle w:val="19"/>
        <w:tabs>
          <w:tab w:val="right" w:leader="dot" w:pos="8296"/>
        </w:tabs>
        <w:wordWrap/>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bookmarkStart w:id="87" w:name="_Toc15396628"/>
      <w:r>
        <w:rPr>
          <w:rFonts w:hint="default" w:ascii="Times New Roman" w:hAnsi="Times New Roman" w:eastAsia="方正仿宋_GBK" w:cs="Times New Roman"/>
          <w:color w:val="auto"/>
          <w:sz w:val="32"/>
          <w:szCs w:val="32"/>
          <w:highlight w:val="none"/>
        </w:rPr>
        <w:t>十、</w:t>
      </w:r>
      <w:bookmarkEnd w:id="87"/>
      <w:r>
        <w:rPr>
          <w:rFonts w:hint="default" w:ascii="Times New Roman" w:hAnsi="Times New Roman" w:eastAsia="方正仿宋_GBK" w:cs="Times New Roman"/>
          <w:color w:val="auto"/>
          <w:sz w:val="32"/>
          <w:szCs w:val="32"/>
          <w:highlight w:val="none"/>
        </w:rPr>
        <w:t>政府性基金预算财政拨款收入支出决算表</w:t>
      </w:r>
    </w:p>
    <w:p w14:paraId="4B00AADF">
      <w:pPr>
        <w:pStyle w:val="19"/>
        <w:tabs>
          <w:tab w:val="right" w:leader="dot" w:pos="8296"/>
        </w:tabs>
        <w:wordWrap/>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bookmarkStart w:id="88" w:name="_Toc15396629"/>
      <w:r>
        <w:rPr>
          <w:rFonts w:hint="default" w:ascii="Times New Roman" w:hAnsi="Times New Roman" w:eastAsia="方正仿宋_GBK" w:cs="Times New Roman"/>
          <w:color w:val="auto"/>
          <w:sz w:val="32"/>
          <w:szCs w:val="32"/>
          <w:highlight w:val="none"/>
        </w:rPr>
        <w:t>十一、</w:t>
      </w:r>
      <w:bookmarkEnd w:id="88"/>
      <w:r>
        <w:rPr>
          <w:rFonts w:hint="default" w:ascii="Times New Roman" w:hAnsi="Times New Roman" w:eastAsia="方正仿宋_GBK" w:cs="Times New Roman"/>
          <w:color w:val="auto"/>
          <w:sz w:val="32"/>
          <w:szCs w:val="32"/>
          <w:highlight w:val="none"/>
        </w:rPr>
        <w:t>国有资本经营预算</w:t>
      </w:r>
      <w:r>
        <w:rPr>
          <w:rFonts w:hint="default" w:ascii="Times New Roman" w:hAnsi="Times New Roman" w:eastAsia="方正仿宋_GBK" w:cs="Times New Roman"/>
          <w:color w:val="auto"/>
          <w:sz w:val="32"/>
          <w:szCs w:val="32"/>
          <w:highlight w:val="none"/>
          <w:lang w:eastAsia="zh-CN"/>
        </w:rPr>
        <w:t>财政拨款收入</w:t>
      </w:r>
      <w:r>
        <w:rPr>
          <w:rFonts w:hint="default" w:ascii="Times New Roman" w:hAnsi="Times New Roman" w:eastAsia="方正仿宋_GBK" w:cs="Times New Roman"/>
          <w:color w:val="auto"/>
          <w:sz w:val="32"/>
          <w:szCs w:val="32"/>
          <w:highlight w:val="none"/>
        </w:rPr>
        <w:t>支出决算表</w:t>
      </w:r>
    </w:p>
    <w:p w14:paraId="0A4A4CBA">
      <w:pPr>
        <w:pStyle w:val="19"/>
        <w:tabs>
          <w:tab w:val="right" w:leader="dot" w:pos="8296"/>
        </w:tabs>
        <w:wordWrap/>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rPr>
      </w:pPr>
      <w:bookmarkStart w:id="89" w:name="_Toc15396630"/>
      <w:r>
        <w:rPr>
          <w:rFonts w:hint="default" w:ascii="Times New Roman" w:hAnsi="Times New Roman" w:eastAsia="方正仿宋_GBK" w:cs="Times New Roman"/>
          <w:color w:val="auto"/>
          <w:sz w:val="32"/>
          <w:szCs w:val="32"/>
          <w:highlight w:val="none"/>
        </w:rPr>
        <w:t>十二、</w:t>
      </w:r>
      <w:bookmarkEnd w:id="89"/>
      <w:r>
        <w:rPr>
          <w:rFonts w:hint="default" w:ascii="Times New Roman" w:hAnsi="Times New Roman" w:eastAsia="方正仿宋_GBK" w:cs="Times New Roman"/>
          <w:color w:val="auto"/>
          <w:sz w:val="32"/>
          <w:szCs w:val="32"/>
          <w:highlight w:val="none"/>
          <w:lang w:eastAsia="zh-CN"/>
        </w:rPr>
        <w:t>国有资本经营预算财政拨款支出决算表</w:t>
      </w:r>
    </w:p>
    <w:p w14:paraId="1C039581">
      <w:pPr>
        <w:pStyle w:val="19"/>
        <w:tabs>
          <w:tab w:val="right" w:leader="dot" w:pos="8296"/>
        </w:tabs>
        <w:wordWrap/>
        <w:adjustRightInd w:val="0"/>
        <w:snapToGrid w:val="0"/>
        <w:spacing w:line="560" w:lineRule="exact"/>
        <w:jc w:val="left"/>
        <w:textAlignment w:val="auto"/>
        <w:rPr>
          <w:rFonts w:hint="default" w:ascii="Times New Roman" w:hAnsi="Times New Roman" w:eastAsia="方正仿宋_GBK" w:cs="Times New Roman"/>
          <w:color w:val="auto"/>
          <w:sz w:val="32"/>
          <w:szCs w:val="32"/>
          <w:highlight w:val="none"/>
          <w:lang w:eastAsia="zh-CN"/>
        </w:rPr>
      </w:pPr>
      <w:bookmarkStart w:id="90" w:name="_Toc15396631"/>
      <w:r>
        <w:rPr>
          <w:rFonts w:hint="default" w:ascii="Times New Roman" w:hAnsi="Times New Roman" w:eastAsia="方正仿宋_GBK" w:cs="Times New Roman"/>
          <w:color w:val="auto"/>
          <w:sz w:val="32"/>
          <w:szCs w:val="32"/>
          <w:highlight w:val="none"/>
        </w:rPr>
        <w:t>十三、</w:t>
      </w:r>
      <w:bookmarkEnd w:id="90"/>
      <w:r>
        <w:rPr>
          <w:rFonts w:hint="default" w:ascii="Times New Roman" w:hAnsi="Times New Roman" w:eastAsia="方正仿宋_GBK" w:cs="Times New Roman"/>
          <w:color w:val="auto"/>
          <w:sz w:val="32"/>
          <w:szCs w:val="32"/>
          <w:highlight w:val="none"/>
          <w:lang w:eastAsia="zh-CN"/>
        </w:rPr>
        <w:t>财政拨款“三公”经费支出决算表</w:t>
      </w:r>
    </w:p>
    <w:p w14:paraId="440350CA">
      <w:pPr>
        <w:rPr>
          <w:rFonts w:hint="default" w:ascii="Times New Roman" w:hAnsi="Times New Roman" w:cs="Times New Roman"/>
          <w:lang w:eastAsia="zh-CN"/>
        </w:rPr>
      </w:pPr>
    </w:p>
    <w:sectPr>
      <w:footerReference r:id="rId8" w:type="first"/>
      <w:footerReference r:id="rId7" w:type="default"/>
      <w:pgSz w:w="11906" w:h="16838"/>
      <w:pgMar w:top="2098" w:right="1474" w:bottom="1984" w:left="1588"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C82AB">
    <w:pPr>
      <w:pStyle w:val="14"/>
      <w:jc w:val="center"/>
    </w:pPr>
  </w:p>
  <w:p w14:paraId="60F9916B">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D66FF">
    <w:pPr>
      <w:pStyle w:val="14"/>
      <w:jc w:val="center"/>
    </w:pPr>
    <w:r>
      <w:rPr>
        <w:rFonts w:ascii="Calibri" w:hAnsi="Calibri" w:eastAsia="宋体" w:cs="Times New Roman"/>
        <w:kern w:val="0"/>
        <w:sz w:val="18"/>
        <w:szCs w:val="18"/>
        <w:lang w:val="en-US" w:eastAsia="zh-CN" w:bidi="ar-SA"/>
      </w:rPr>
      <w:pict>
        <v:shape id="文本框8" o:spid="_x0000_s2050"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46DE7E68">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w:r>
  </w:p>
  <w:p w14:paraId="7C4A5CDC">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559D5">
    <w:pPr>
      <w:pStyle w:val="14"/>
    </w:pPr>
    <w:r>
      <w:rPr>
        <w:rFonts w:ascii="Calibri" w:hAnsi="Calibri" w:eastAsia="宋体" w:cs="Times New Roman"/>
        <w:kern w:val="0"/>
        <w:sz w:val="18"/>
        <w:szCs w:val="18"/>
        <w:lang w:val="en-US" w:eastAsia="zh-CN" w:bidi="ar-SA"/>
      </w:rPr>
      <w:pict>
        <v:shape id="文本框9" o:spid="_x0000_s2049" o:spt="202" type="#_x0000_t202"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7CFF8A9E">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AA414">
    <w:pPr>
      <w:pStyle w:val="14"/>
      <w:jc w:val="center"/>
    </w:pPr>
    <w:r>
      <w:rPr>
        <w:rFonts w:ascii="Calibri" w:hAnsi="Calibri" w:eastAsia="宋体" w:cs="Times New Roman"/>
        <w:kern w:val="0"/>
        <w:sz w:val="18"/>
        <w:szCs w:val="18"/>
        <w:lang w:val="en-US" w:eastAsia="zh-CN" w:bidi="ar-SA"/>
      </w:rPr>
      <w:pict>
        <v:shape id="文本框14" o:spid="_x0000_s2052" o:spt="202" type="#_x0000_t202"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FA51FA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w:r>
  </w:p>
  <w:p w14:paraId="3AEBE554">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E9B14">
    <w:pPr>
      <w:pStyle w:val="14"/>
    </w:pPr>
    <w:r>
      <w:rPr>
        <w:rFonts w:ascii="Calibri" w:hAnsi="Calibri" w:eastAsia="宋体" w:cs="Times New Roman"/>
        <w:kern w:val="0"/>
        <w:sz w:val="18"/>
        <w:szCs w:val="18"/>
        <w:lang w:val="en-US" w:eastAsia="zh-CN" w:bidi="ar-SA"/>
      </w:rPr>
      <w:pict>
        <v:shape id="文本框15" o:spid="_x0000_s2051" o:spt="202" type="#_x0000_t202" style="position:absolute;left:0pt;margin-top:0pt;height:144pt;width:144pt;mso-position-horizontal:center;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44A75791">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392FB">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C931AD8"/>
    <w:rsid w:val="10AF0EAA"/>
    <w:rsid w:val="159527C6"/>
    <w:rsid w:val="1A6C5716"/>
    <w:rsid w:val="1AFF658A"/>
    <w:rsid w:val="1C556DAA"/>
    <w:rsid w:val="1E843F4D"/>
    <w:rsid w:val="47AC3472"/>
    <w:rsid w:val="4BE5547B"/>
    <w:rsid w:val="65B35574"/>
    <w:rsid w:val="694110E9"/>
    <w:rsid w:val="6CBF7C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8"/>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7">
    <w:name w:val="heading 3"/>
    <w:basedOn w:val="1"/>
    <w:next w:val="1"/>
    <w:link w:val="40"/>
    <w:unhideWhenUsed/>
    <w:qFormat/>
    <w:uiPriority w:val="9"/>
    <w:pPr>
      <w:keepNext/>
      <w:keepLines/>
      <w:spacing w:before="260" w:after="260" w:line="416" w:lineRule="auto"/>
      <w:outlineLvl w:val="2"/>
    </w:pPr>
    <w:rPr>
      <w:b/>
      <w:bCs/>
      <w:sz w:val="32"/>
      <w:szCs w:val="32"/>
    </w:rPr>
  </w:style>
  <w:style w:type="character" w:default="1" w:styleId="22">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toc 7"/>
    <w:basedOn w:val="1"/>
    <w:next w:val="1"/>
    <w:semiHidden/>
    <w:unhideWhenUsed/>
    <w:qFormat/>
    <w:uiPriority w:val="39"/>
    <w:pPr>
      <w:ind w:left="2520" w:leftChars="1200"/>
    </w:pPr>
  </w:style>
  <w:style w:type="paragraph" w:styleId="9">
    <w:name w:val="Body Text"/>
    <w:basedOn w:val="1"/>
    <w:link w:val="36"/>
    <w:qFormat/>
    <w:uiPriority w:val="99"/>
    <w:pPr>
      <w:spacing w:beforeLines="30"/>
    </w:pPr>
    <w:rPr>
      <w:rFonts w:ascii="仿宋_GB2312" w:eastAsia="仿宋_GB2312"/>
      <w:kern w:val="0"/>
      <w:sz w:val="30"/>
    </w:rPr>
  </w:style>
  <w:style w:type="paragraph" w:styleId="10">
    <w:name w:val="toc 5"/>
    <w:basedOn w:val="1"/>
    <w:next w:val="1"/>
    <w:semiHidden/>
    <w:unhideWhenUsed/>
    <w:qFormat/>
    <w:uiPriority w:val="39"/>
    <w:pPr>
      <w:ind w:left="1680" w:leftChars="800"/>
    </w:pPr>
  </w:style>
  <w:style w:type="paragraph" w:styleId="11">
    <w:name w:val="toc 3"/>
    <w:basedOn w:val="1"/>
    <w:next w:val="1"/>
    <w:unhideWhenUsed/>
    <w:qFormat/>
    <w:uiPriority w:val="39"/>
    <w:pPr>
      <w:ind w:left="840" w:leftChars="400"/>
    </w:pPr>
  </w:style>
  <w:style w:type="paragraph" w:styleId="12">
    <w:name w:val="toc 8"/>
    <w:basedOn w:val="1"/>
    <w:next w:val="1"/>
    <w:semiHidden/>
    <w:unhideWhenUsed/>
    <w:qFormat/>
    <w:uiPriority w:val="39"/>
    <w:pPr>
      <w:ind w:left="2940" w:leftChars="1400"/>
    </w:pPr>
  </w:style>
  <w:style w:type="paragraph" w:styleId="13">
    <w:name w:val="Balloon Text"/>
    <w:basedOn w:val="1"/>
    <w:link w:val="39"/>
    <w:semiHidden/>
    <w:unhideWhenUsed/>
    <w:qFormat/>
    <w:uiPriority w:val="99"/>
    <w:rPr>
      <w:sz w:val="18"/>
      <w:szCs w:val="18"/>
    </w:rPr>
  </w:style>
  <w:style w:type="paragraph" w:styleId="14">
    <w:name w:val="footer"/>
    <w:basedOn w:val="1"/>
    <w:link w:val="34"/>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3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unhideWhenUsed/>
    <w:qFormat/>
    <w:uiPriority w:val="39"/>
  </w:style>
  <w:style w:type="paragraph" w:styleId="17">
    <w:name w:val="toc 4"/>
    <w:basedOn w:val="1"/>
    <w:next w:val="1"/>
    <w:semiHidden/>
    <w:unhideWhenUsed/>
    <w:qFormat/>
    <w:uiPriority w:val="39"/>
    <w:pPr>
      <w:ind w:left="1260" w:leftChars="600"/>
    </w:pPr>
  </w:style>
  <w:style w:type="paragraph" w:styleId="18">
    <w:name w:val="toc 6"/>
    <w:basedOn w:val="1"/>
    <w:next w:val="1"/>
    <w:semiHidden/>
    <w:unhideWhenUsed/>
    <w:qFormat/>
    <w:uiPriority w:val="39"/>
    <w:pPr>
      <w:ind w:left="2100" w:leftChars="1000"/>
    </w:pPr>
  </w:style>
  <w:style w:type="paragraph" w:styleId="19">
    <w:name w:val="toc 2"/>
    <w:basedOn w:val="1"/>
    <w:next w:val="1"/>
    <w:unhideWhenUsed/>
    <w:qFormat/>
    <w:uiPriority w:val="39"/>
    <w:pPr>
      <w:ind w:left="420" w:leftChars="200"/>
    </w:pPr>
  </w:style>
  <w:style w:type="paragraph" w:styleId="20">
    <w:name w:val="toc 9"/>
    <w:basedOn w:val="1"/>
    <w:next w:val="1"/>
    <w:semiHidden/>
    <w:unhideWhenUsed/>
    <w:qFormat/>
    <w:uiPriority w:val="39"/>
    <w:pPr>
      <w:ind w:left="3360" w:leftChars="1600"/>
    </w:pPr>
  </w:style>
  <w:style w:type="character" w:styleId="23">
    <w:name w:val="Strong"/>
    <w:basedOn w:val="22"/>
    <w:qFormat/>
    <w:uiPriority w:val="99"/>
    <w:rPr>
      <w:b/>
    </w:rPr>
  </w:style>
  <w:style w:type="character" w:styleId="24">
    <w:name w:val="Hyperlink"/>
    <w:basedOn w:val="22"/>
    <w:unhideWhenUsed/>
    <w:qFormat/>
    <w:uiPriority w:val="99"/>
    <w:rPr>
      <w:color w:val="0000FF"/>
      <w:u w:val="single"/>
    </w:rPr>
  </w:style>
  <w:style w:type="paragraph" w:customStyle="1" w:styleId="25">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List Paragraph"/>
    <w:basedOn w:val="1"/>
    <w:qFormat/>
    <w:uiPriority w:val="34"/>
    <w:pPr>
      <w:ind w:firstLine="420" w:firstLineChars="200"/>
    </w:pPr>
  </w:style>
  <w:style w:type="paragraph" w:customStyle="1" w:styleId="28">
    <w:name w:val="TOC 标题1"/>
    <w:basedOn w:val="5"/>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29">
    <w:name w:val="TOC Heading"/>
    <w:basedOn w:val="5"/>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30">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1">
    <w:name w:val="Header Char"/>
    <w:basedOn w:val="22"/>
    <w:semiHidden/>
    <w:qFormat/>
    <w:uiPriority w:val="99"/>
    <w:rPr>
      <w:rFonts w:ascii="Times New Roman" w:hAnsi="Times New Roman"/>
      <w:sz w:val="18"/>
      <w:szCs w:val="18"/>
    </w:rPr>
  </w:style>
  <w:style w:type="character" w:customStyle="1" w:styleId="32">
    <w:name w:val="页眉 Char"/>
    <w:link w:val="15"/>
    <w:semiHidden/>
    <w:qFormat/>
    <w:locked/>
    <w:uiPriority w:val="99"/>
    <w:rPr>
      <w:sz w:val="18"/>
    </w:rPr>
  </w:style>
  <w:style w:type="character" w:customStyle="1" w:styleId="33">
    <w:name w:val="Footer Char"/>
    <w:basedOn w:val="22"/>
    <w:semiHidden/>
    <w:qFormat/>
    <w:uiPriority w:val="99"/>
    <w:rPr>
      <w:rFonts w:ascii="Times New Roman" w:hAnsi="Times New Roman"/>
      <w:sz w:val="18"/>
      <w:szCs w:val="18"/>
    </w:rPr>
  </w:style>
  <w:style w:type="character" w:customStyle="1" w:styleId="34">
    <w:name w:val="页脚 Char"/>
    <w:link w:val="14"/>
    <w:qFormat/>
    <w:locked/>
    <w:uiPriority w:val="99"/>
    <w:rPr>
      <w:sz w:val="18"/>
    </w:rPr>
  </w:style>
  <w:style w:type="character" w:customStyle="1" w:styleId="35">
    <w:name w:val="Body Text Char"/>
    <w:basedOn w:val="22"/>
    <w:semiHidden/>
    <w:qFormat/>
    <w:uiPriority w:val="99"/>
    <w:rPr>
      <w:rFonts w:ascii="Times New Roman" w:hAnsi="Times New Roman"/>
      <w:szCs w:val="24"/>
    </w:rPr>
  </w:style>
  <w:style w:type="character" w:customStyle="1" w:styleId="36">
    <w:name w:val="正文文本 Char"/>
    <w:link w:val="9"/>
    <w:qFormat/>
    <w:locked/>
    <w:uiPriority w:val="99"/>
    <w:rPr>
      <w:rFonts w:ascii="仿宋_GB2312" w:hAnsi="Times New Roman" w:eastAsia="仿宋_GB2312"/>
      <w:sz w:val="24"/>
    </w:rPr>
  </w:style>
  <w:style w:type="character" w:customStyle="1" w:styleId="37">
    <w:name w:val="标题 1 Char"/>
    <w:basedOn w:val="22"/>
    <w:link w:val="5"/>
    <w:qFormat/>
    <w:uiPriority w:val="9"/>
    <w:rPr>
      <w:rFonts w:ascii="Times New Roman" w:hAnsi="Times New Roman"/>
      <w:b/>
      <w:bCs/>
      <w:kern w:val="44"/>
      <w:sz w:val="44"/>
      <w:szCs w:val="44"/>
    </w:rPr>
  </w:style>
  <w:style w:type="character" w:customStyle="1" w:styleId="38">
    <w:name w:val="标题 2 Char"/>
    <w:basedOn w:val="22"/>
    <w:link w:val="6"/>
    <w:qFormat/>
    <w:uiPriority w:val="9"/>
    <w:rPr>
      <w:rFonts w:ascii="Cambria" w:hAnsi="Cambria" w:eastAsia="宋体" w:cs="黑体"/>
      <w:b/>
      <w:bCs/>
      <w:kern w:val="2"/>
      <w:sz w:val="32"/>
      <w:szCs w:val="32"/>
    </w:rPr>
  </w:style>
  <w:style w:type="character" w:customStyle="1" w:styleId="39">
    <w:name w:val="批注框文本 Char"/>
    <w:basedOn w:val="22"/>
    <w:link w:val="13"/>
    <w:semiHidden/>
    <w:qFormat/>
    <w:uiPriority w:val="99"/>
    <w:rPr>
      <w:rFonts w:ascii="Times New Roman" w:hAnsi="Times New Roman"/>
      <w:kern w:val="2"/>
      <w:sz w:val="18"/>
      <w:szCs w:val="18"/>
    </w:rPr>
  </w:style>
  <w:style w:type="character" w:customStyle="1" w:styleId="40">
    <w:name w:val="标题 3 Char"/>
    <w:basedOn w:val="22"/>
    <w:link w:val="7"/>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6.emf"/><Relationship Id="rId21" Type="http://schemas.openxmlformats.org/officeDocument/2006/relationships/oleObject" Target="embeddings/oleObject7.bin"/><Relationship Id="rId20" Type="http://schemas.openxmlformats.org/officeDocument/2006/relationships/image" Target="media/image5.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4.emf"/><Relationship Id="rId17" Type="http://schemas.openxmlformats.org/officeDocument/2006/relationships/oleObject" Target="embeddings/oleObject5.bin"/><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Info spid="_x0000_s2049" textRotate="1"/>
    <customShpInfo spid="_x0000_s2052" textRotate="1"/>
    <customShpInfo spid="_x0000_s2051" textRotate="1"/>
    <customShpInfo spid="_x0000_s1030"/>
    <customShpInfo spid="_x0000_s1031"/>
    <customShpInfo spid="_x0000_s1032"/>
    <customShpInfo spid="_x0000_s1033"/>
    <customShpInfo spid="_x0000_s1034"/>
    <customShpInfo spid="_x0000_s1035"/>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7962</Words>
  <Characters>8662</Characters>
  <Lines>61</Lines>
  <Paragraphs>17</Paragraphs>
  <TotalTime>12</TotalTime>
  <ScaleCrop>false</ScaleCrop>
  <LinksUpToDate>false</LinksUpToDate>
  <CharactersWithSpaces>8716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唐明燕</cp:lastModifiedBy>
  <cp:lastPrinted>2025-08-06T17:34:00Z</cp:lastPrinted>
  <dcterms:modified xsi:type="dcterms:W3CDTF">2025-10-28T02:04:20Z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eyJoZGlkIjoiNGM1MDMxNzk5MGJlY2NiOWU5NDQzNzM4MzA5ODIyYTIiLCJ1c2VySWQiOiIxMDUyNzY3OTc4In0=</vt:lpwstr>
  </property>
</Properties>
</file>