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0F11B">
      <w:pPr>
        <w:pStyle w:val="5"/>
        <w:spacing w:before="93"/>
        <w:rPr>
          <w:rFonts w:ascii="Times New Roman" w:eastAsia="方正小标宋简体"/>
          <w:kern w:val="2"/>
          <w:sz w:val="72"/>
          <w:szCs w:val="72"/>
        </w:rPr>
      </w:pPr>
      <w:bookmarkStart w:id="0" w:name="_Toc15378441"/>
      <w:bookmarkStart w:id="1" w:name="_Toc15396597"/>
      <w:bookmarkStart w:id="2" w:name="_Toc15306267"/>
      <w:bookmarkStart w:id="3" w:name="_Toc15396475"/>
      <w:bookmarkStart w:id="4" w:name="_Toc15377425"/>
      <w:bookmarkStart w:id="5" w:name="_Toc15377193"/>
    </w:p>
    <w:p w14:paraId="36984729">
      <w:pPr>
        <w:pStyle w:val="5"/>
        <w:spacing w:before="93"/>
        <w:rPr>
          <w:rFonts w:ascii="Times New Roman" w:eastAsia="方正小标宋简体"/>
          <w:kern w:val="2"/>
          <w:sz w:val="72"/>
          <w:szCs w:val="72"/>
        </w:rPr>
      </w:pPr>
    </w:p>
    <w:p w14:paraId="20022ADA">
      <w:pPr>
        <w:pStyle w:val="5"/>
        <w:spacing w:before="93"/>
        <w:rPr>
          <w:rFonts w:ascii="Times New Roman" w:eastAsia="方正小标宋简体"/>
          <w:kern w:val="2"/>
          <w:sz w:val="72"/>
          <w:szCs w:val="72"/>
        </w:rPr>
      </w:pPr>
    </w:p>
    <w:p w14:paraId="181092D1">
      <w:pPr>
        <w:pStyle w:val="5"/>
        <w:spacing w:before="93"/>
        <w:jc w:val="center"/>
        <w:rPr>
          <w:rFonts w:ascii="Times New Roman" w:eastAsia="方正小标宋简体"/>
          <w:kern w:val="2"/>
          <w:sz w:val="72"/>
          <w:szCs w:val="72"/>
        </w:rPr>
      </w:pPr>
      <w:r>
        <w:rPr>
          <w:rFonts w:hint="eastAsia" w:ascii="Times New Roman" w:eastAsia="方正小标宋简体"/>
          <w:kern w:val="2"/>
          <w:sz w:val="72"/>
          <w:szCs w:val="72"/>
        </w:rPr>
        <w:t>2024年度</w:t>
      </w:r>
    </w:p>
    <w:p w14:paraId="4E0055C8">
      <w:pPr>
        <w:pStyle w:val="5"/>
        <w:spacing w:before="93"/>
        <w:jc w:val="center"/>
        <w:rPr>
          <w:rFonts w:ascii="Times New Roman" w:eastAsia="方正小标宋简体"/>
          <w:kern w:val="2"/>
          <w:sz w:val="72"/>
          <w:szCs w:val="72"/>
        </w:rPr>
      </w:pPr>
      <w:r>
        <w:rPr>
          <w:rFonts w:hint="eastAsia" w:ascii="Times New Roman" w:eastAsia="方正小标宋简体"/>
          <w:kern w:val="2"/>
          <w:sz w:val="72"/>
          <w:szCs w:val="72"/>
        </w:rPr>
        <w:t>盐边县</w:t>
      </w:r>
      <w:r>
        <w:rPr>
          <w:rFonts w:hint="eastAsia" w:ascii="Times New Roman" w:hAnsi="Times New Roman" w:eastAsia="方正小标宋简体" w:cs="Times New Roman"/>
          <w:kern w:val="2"/>
          <w:sz w:val="72"/>
          <w:szCs w:val="72"/>
        </w:rPr>
        <w:t>供销合作社联合社</w:t>
      </w:r>
      <w:r>
        <w:rPr>
          <w:rFonts w:hint="eastAsia" w:ascii="Times New Roman" w:eastAsia="方正小标宋简体"/>
          <w:kern w:val="2"/>
          <w:sz w:val="72"/>
          <w:szCs w:val="72"/>
        </w:rPr>
        <w:t>部门决算</w:t>
      </w:r>
    </w:p>
    <w:p w14:paraId="37D76BBD">
      <w:pPr>
        <w:pStyle w:val="5"/>
        <w:spacing w:before="93"/>
        <w:jc w:val="center"/>
        <w:rPr>
          <w:rFonts w:ascii="Times New Roman" w:eastAsia="方正小标宋简体"/>
          <w:kern w:val="2"/>
          <w:sz w:val="72"/>
          <w:szCs w:val="72"/>
        </w:rPr>
      </w:pPr>
      <w:r>
        <w:rPr>
          <w:rFonts w:hint="eastAsia" w:ascii="Times New Roman" w:eastAsia="方正小标宋简体"/>
          <w:kern w:val="2"/>
          <w:sz w:val="72"/>
          <w:szCs w:val="72"/>
        </w:rPr>
        <w:t>公开编制说明</w:t>
      </w:r>
    </w:p>
    <w:p w14:paraId="4AF6B3A9">
      <w:pPr>
        <w:spacing w:line="600" w:lineRule="exact"/>
        <w:jc w:val="center"/>
        <w:outlineLvl w:val="0"/>
        <w:rPr>
          <w:rFonts w:eastAsia="方正小标宋简体"/>
          <w:sz w:val="72"/>
          <w:szCs w:val="72"/>
        </w:rPr>
      </w:pPr>
    </w:p>
    <w:p w14:paraId="2B5D8FAA">
      <w:pPr>
        <w:pStyle w:val="20"/>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14:paraId="1C3EE4F9"/>
    <w:bookmarkEnd w:id="0"/>
    <w:bookmarkEnd w:id="1"/>
    <w:bookmarkEnd w:id="2"/>
    <w:bookmarkEnd w:id="3"/>
    <w:bookmarkEnd w:id="4"/>
    <w:bookmarkEnd w:id="5"/>
    <w:p w14:paraId="25A3A77B">
      <w:pPr>
        <w:widowControl/>
        <w:jc w:val="center"/>
        <w:rPr>
          <w:rFonts w:eastAsia="黑体"/>
          <w:sz w:val="48"/>
          <w:szCs w:val="48"/>
        </w:rPr>
      </w:pPr>
      <w:r>
        <w:rPr>
          <w:rFonts w:hint="eastAsia" w:eastAsia="黑体"/>
          <w:sz w:val="48"/>
          <w:szCs w:val="48"/>
        </w:rPr>
        <w:t>目录</w:t>
      </w:r>
    </w:p>
    <w:p w14:paraId="07C5B5B9">
      <w:pPr>
        <w:widowControl/>
        <w:jc w:val="center"/>
        <w:rPr>
          <w:rFonts w:eastAsia="黑体" w:cstheme="minorBidi"/>
          <w:sz w:val="28"/>
          <w:szCs w:val="28"/>
        </w:rPr>
      </w:pPr>
    </w:p>
    <w:p w14:paraId="3EA8A9DB">
      <w:pPr>
        <w:pStyle w:val="13"/>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公开时间：2025年</w:t>
      </w: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29</w:t>
      </w:r>
      <w:bookmarkStart w:id="59" w:name="_GoBack"/>
      <w:bookmarkEnd w:id="59"/>
      <w:r>
        <w:rPr>
          <w:rFonts w:hint="eastAsia" w:ascii="Times New Roman" w:hAnsi="Times New Roman" w:eastAsia="仿宋_GB2312" w:cs="仿宋_GB2312"/>
          <w:sz w:val="32"/>
          <w:szCs w:val="32"/>
        </w:rPr>
        <w:t>日</w:t>
      </w:r>
    </w:p>
    <w:p w14:paraId="05B47FC9"/>
    <w:p w14:paraId="25D80C2B">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第一部分 部门概况</w:t>
      </w:r>
      <w:r>
        <w:rPr>
          <w:rFonts w:hint="eastAsia" w:ascii="Times New Roman" w:hAnsi="Times New Roman" w:eastAsia="黑体" w:cs="黑体"/>
          <w:sz w:val="32"/>
          <w:szCs w:val="32"/>
        </w:rPr>
        <w:tab/>
      </w:r>
      <w:r>
        <w:rPr>
          <w:rFonts w:hint="eastAsia" w:ascii="Times New Roman" w:hAnsi="Times New Roman" w:eastAsia="黑体" w:cs="黑体"/>
          <w:sz w:val="32"/>
          <w:szCs w:val="32"/>
        </w:rPr>
        <w:t>1</w:t>
      </w:r>
    </w:p>
    <w:p w14:paraId="4FFE33D6">
      <w:pPr>
        <w:pStyle w:val="15"/>
        <w:adjustRightInd w:val="0"/>
        <w:snapToGrid w:val="0"/>
        <w:spacing w:line="560" w:lineRule="exact"/>
        <w:ind w:left="0" w:leftChars="0" w:firstLine="640" w:firstLineChars="200"/>
        <w:jc w:val="left"/>
        <w:rPr>
          <w:rFonts w:hint="eastAsia" w:eastAsia="仿宋_GB2312" w:cs="仿宋_GB2312"/>
          <w:sz w:val="32"/>
          <w:szCs w:val="32"/>
        </w:rPr>
      </w:pPr>
      <w:r>
        <w:rPr>
          <w:rFonts w:hint="eastAsia" w:eastAsia="仿宋_GB2312" w:cs="仿宋_GB2312"/>
          <w:sz w:val="32"/>
          <w:szCs w:val="32"/>
        </w:rPr>
        <w:t>一、部门职责</w:t>
      </w:r>
      <w:r>
        <w:rPr>
          <w:rFonts w:hint="eastAsia" w:eastAsia="仿宋_GB2312" w:cs="仿宋_GB2312"/>
          <w:sz w:val="32"/>
          <w:szCs w:val="32"/>
        </w:rPr>
        <w:tab/>
      </w:r>
      <w:r>
        <w:rPr>
          <w:rFonts w:hint="eastAsia" w:eastAsia="仿宋_GB2312" w:cs="仿宋_GB2312"/>
          <w:sz w:val="32"/>
          <w:szCs w:val="32"/>
        </w:rPr>
        <w:t>1</w:t>
      </w:r>
    </w:p>
    <w:p w14:paraId="54892537">
      <w:pPr>
        <w:pStyle w:val="15"/>
        <w:numPr>
          <w:ilvl w:val="0"/>
          <w:numId w:val="1"/>
        </w:numPr>
        <w:adjustRightInd w:val="0"/>
        <w:snapToGrid w:val="0"/>
        <w:spacing w:line="560" w:lineRule="exact"/>
        <w:ind w:left="0" w:leftChars="0" w:firstLine="640" w:firstLineChars="200"/>
        <w:jc w:val="left"/>
        <w:rPr>
          <w:rFonts w:hint="eastAsia" w:eastAsia="仿宋_GB2312" w:cs="仿宋_GB2312"/>
          <w:sz w:val="32"/>
          <w:szCs w:val="32"/>
        </w:rPr>
      </w:pPr>
      <w:r>
        <w:rPr>
          <w:rFonts w:hint="eastAsia" w:eastAsia="仿宋_GB2312" w:cs="仿宋_GB2312"/>
          <w:sz w:val="32"/>
          <w:szCs w:val="32"/>
        </w:rPr>
        <w:t>机构设置</w:t>
      </w:r>
      <w:r>
        <w:rPr>
          <w:rFonts w:hint="eastAsia" w:eastAsia="仿宋_GB2312" w:cs="仿宋_GB2312"/>
          <w:sz w:val="32"/>
          <w:szCs w:val="32"/>
        </w:rPr>
        <w:tab/>
      </w:r>
      <w:r>
        <w:rPr>
          <w:rFonts w:hint="eastAsia" w:eastAsia="仿宋_GB2312" w:cs="仿宋_GB2312"/>
          <w:sz w:val="32"/>
          <w:szCs w:val="32"/>
          <w:lang w:val="en-US" w:eastAsia="zh-CN"/>
        </w:rPr>
        <w:t>1</w:t>
      </w:r>
    </w:p>
    <w:p w14:paraId="71F4C78F">
      <w:pPr>
        <w:pStyle w:val="13"/>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第二部分 2024年度部门决算情况说明</w:t>
      </w:r>
      <w:r>
        <w:rPr>
          <w:rFonts w:hint="eastAsia" w:ascii="Times New Roman" w:hAnsi="Times New Roman" w:eastAsia="黑体" w:cs="黑体"/>
          <w:sz w:val="32"/>
          <w:szCs w:val="32"/>
        </w:rPr>
        <w:tab/>
      </w:r>
      <w:r>
        <w:rPr>
          <w:rFonts w:hint="eastAsia" w:ascii="Times New Roman" w:hAnsi="Times New Roman" w:eastAsia="黑体" w:cs="黑体"/>
          <w:sz w:val="32"/>
          <w:szCs w:val="32"/>
          <w:lang w:val="en-US" w:eastAsia="zh-CN"/>
        </w:rPr>
        <w:t>2</w:t>
      </w:r>
    </w:p>
    <w:p w14:paraId="5015D375">
      <w:pPr>
        <w:pStyle w:val="15"/>
        <w:adjustRightInd w:val="0"/>
        <w:snapToGrid w:val="0"/>
        <w:spacing w:line="560" w:lineRule="exact"/>
        <w:ind w:left="0" w:leftChars="0" w:firstLine="640" w:firstLineChars="200"/>
        <w:jc w:val="left"/>
        <w:rPr>
          <w:rFonts w:hint="eastAsia" w:eastAsia="仿宋_GB2312"/>
          <w:lang w:eastAsia="zh-CN"/>
        </w:rPr>
      </w:pPr>
      <w:r>
        <w:rPr>
          <w:rFonts w:hint="eastAsia" w:eastAsia="仿宋_GB2312" w:cs="仿宋_GB2312"/>
          <w:sz w:val="32"/>
          <w:szCs w:val="32"/>
        </w:rPr>
        <w:t>一、收入支出决算总体情况说明</w:t>
      </w:r>
      <w:r>
        <w:rPr>
          <w:rFonts w:hint="eastAsia" w:eastAsia="仿宋_GB2312" w:cs="仿宋_GB2312"/>
          <w:sz w:val="32"/>
          <w:szCs w:val="32"/>
        </w:rPr>
        <w:tab/>
      </w:r>
      <w:r>
        <w:rPr>
          <w:rFonts w:hint="eastAsia" w:eastAsia="仿宋_GB2312" w:cs="仿宋_GB2312"/>
          <w:sz w:val="32"/>
          <w:szCs w:val="32"/>
          <w:lang w:val="en-US" w:eastAsia="zh-CN"/>
        </w:rPr>
        <w:t>2</w:t>
      </w:r>
    </w:p>
    <w:p w14:paraId="45BE8B00">
      <w:pPr>
        <w:pStyle w:val="15"/>
        <w:adjustRightInd w:val="0"/>
        <w:snapToGrid w:val="0"/>
        <w:spacing w:line="560" w:lineRule="exact"/>
        <w:ind w:left="0" w:leftChars="0" w:firstLine="640" w:firstLineChars="200"/>
        <w:jc w:val="left"/>
        <w:rPr>
          <w:rFonts w:hint="eastAsia" w:eastAsia="仿宋_GB2312" w:cs="仿宋_GB2312"/>
          <w:sz w:val="32"/>
          <w:szCs w:val="32"/>
          <w:lang w:eastAsia="zh-CN"/>
        </w:rPr>
      </w:pPr>
      <w:r>
        <w:rPr>
          <w:rFonts w:hint="eastAsia" w:eastAsia="仿宋_GB2312" w:cs="仿宋_GB2312"/>
          <w:sz w:val="32"/>
          <w:szCs w:val="32"/>
        </w:rPr>
        <w:t>二、收入决算情况说明</w:t>
      </w:r>
      <w:r>
        <w:rPr>
          <w:rFonts w:hint="eastAsia" w:eastAsia="仿宋_GB2312" w:cs="仿宋_GB2312"/>
          <w:sz w:val="32"/>
          <w:szCs w:val="32"/>
        </w:rPr>
        <w:tab/>
      </w:r>
      <w:r>
        <w:rPr>
          <w:rFonts w:hint="eastAsia" w:eastAsia="仿宋_GB2312" w:cs="仿宋_GB2312"/>
          <w:sz w:val="32"/>
          <w:szCs w:val="32"/>
          <w:lang w:val="en-US" w:eastAsia="zh-CN"/>
        </w:rPr>
        <w:t>3</w:t>
      </w:r>
    </w:p>
    <w:p w14:paraId="11528BF7">
      <w:pPr>
        <w:pStyle w:val="15"/>
        <w:adjustRightInd w:val="0"/>
        <w:snapToGrid w:val="0"/>
        <w:spacing w:line="560" w:lineRule="exact"/>
        <w:ind w:left="0" w:leftChars="0" w:firstLine="640" w:firstLineChars="200"/>
        <w:jc w:val="left"/>
        <w:rPr>
          <w:rFonts w:hint="eastAsia" w:eastAsia="仿宋_GB2312" w:cs="仿宋_GB2312"/>
          <w:sz w:val="32"/>
          <w:szCs w:val="32"/>
          <w:lang w:eastAsia="zh-CN"/>
        </w:rPr>
      </w:pPr>
      <w:r>
        <w:rPr>
          <w:rFonts w:hint="eastAsia" w:eastAsia="仿宋_GB2312" w:cs="仿宋_GB2312"/>
          <w:sz w:val="32"/>
          <w:szCs w:val="32"/>
        </w:rPr>
        <w:t>三、支出决算情况说明</w:t>
      </w:r>
      <w:r>
        <w:rPr>
          <w:rFonts w:hint="eastAsia" w:eastAsia="仿宋_GB2312" w:cs="仿宋_GB2312"/>
          <w:sz w:val="32"/>
          <w:szCs w:val="32"/>
        </w:rPr>
        <w:tab/>
      </w:r>
      <w:r>
        <w:rPr>
          <w:rFonts w:hint="eastAsia" w:eastAsia="仿宋_GB2312" w:cs="仿宋_GB2312"/>
          <w:sz w:val="32"/>
          <w:szCs w:val="32"/>
          <w:lang w:val="en-US" w:eastAsia="zh-CN"/>
        </w:rPr>
        <w:t>3</w:t>
      </w:r>
    </w:p>
    <w:p w14:paraId="38047D65">
      <w:pPr>
        <w:pStyle w:val="15"/>
        <w:adjustRightInd w:val="0"/>
        <w:snapToGrid w:val="0"/>
        <w:spacing w:line="560" w:lineRule="exact"/>
        <w:ind w:left="0" w:leftChars="0" w:firstLine="640" w:firstLineChars="200"/>
        <w:jc w:val="left"/>
        <w:rPr>
          <w:rFonts w:hint="eastAsia" w:eastAsia="仿宋_GB2312" w:cs="仿宋_GB2312"/>
          <w:sz w:val="32"/>
          <w:szCs w:val="32"/>
          <w:lang w:eastAsia="zh-CN"/>
        </w:rPr>
      </w:pPr>
      <w:r>
        <w:rPr>
          <w:rFonts w:hint="eastAsia" w:eastAsia="仿宋_GB2312" w:cs="仿宋_GB2312"/>
          <w:sz w:val="32"/>
          <w:szCs w:val="32"/>
        </w:rPr>
        <w:t>四、财政拨款收入支出决算总体情况说明</w:t>
      </w:r>
      <w:r>
        <w:rPr>
          <w:rFonts w:hint="eastAsia" w:eastAsia="仿宋_GB2312" w:cs="仿宋_GB2312"/>
          <w:sz w:val="32"/>
          <w:szCs w:val="32"/>
        </w:rPr>
        <w:tab/>
      </w:r>
      <w:r>
        <w:rPr>
          <w:rFonts w:hint="eastAsia" w:eastAsia="仿宋_GB2312" w:cs="仿宋_GB2312"/>
          <w:sz w:val="32"/>
          <w:szCs w:val="32"/>
          <w:lang w:val="en-US" w:eastAsia="zh-CN"/>
        </w:rPr>
        <w:t>4</w:t>
      </w:r>
    </w:p>
    <w:p w14:paraId="4B7EEABD">
      <w:pPr>
        <w:pStyle w:val="15"/>
        <w:adjustRightInd w:val="0"/>
        <w:snapToGrid w:val="0"/>
        <w:spacing w:line="560" w:lineRule="exact"/>
        <w:ind w:left="0" w:leftChars="0" w:firstLine="640" w:firstLineChars="200"/>
        <w:jc w:val="left"/>
        <w:rPr>
          <w:rFonts w:hint="eastAsia" w:eastAsia="仿宋_GB2312" w:cs="仿宋_GB2312"/>
          <w:sz w:val="32"/>
          <w:szCs w:val="32"/>
          <w:lang w:eastAsia="zh-CN"/>
        </w:rPr>
      </w:pPr>
      <w:r>
        <w:rPr>
          <w:rFonts w:hint="eastAsia" w:eastAsia="仿宋_GB2312" w:cs="仿宋_GB2312"/>
          <w:sz w:val="32"/>
          <w:szCs w:val="32"/>
        </w:rPr>
        <w:t>五、一般公共预算财政拨款支出决算情况说明</w:t>
      </w:r>
      <w:r>
        <w:rPr>
          <w:rFonts w:hint="eastAsia" w:eastAsia="仿宋_GB2312" w:cs="仿宋_GB2312"/>
          <w:sz w:val="32"/>
          <w:szCs w:val="32"/>
        </w:rPr>
        <w:tab/>
      </w:r>
      <w:r>
        <w:rPr>
          <w:rFonts w:hint="eastAsia" w:eastAsia="仿宋_GB2312" w:cs="仿宋_GB2312"/>
          <w:sz w:val="32"/>
          <w:szCs w:val="32"/>
          <w:lang w:val="en-US" w:eastAsia="zh-CN"/>
        </w:rPr>
        <w:t>5</w:t>
      </w:r>
    </w:p>
    <w:p w14:paraId="6B786571">
      <w:pPr>
        <w:pStyle w:val="15"/>
        <w:adjustRightInd w:val="0"/>
        <w:snapToGrid w:val="0"/>
        <w:spacing w:line="560" w:lineRule="exact"/>
        <w:ind w:left="0" w:leftChars="0" w:firstLine="640" w:firstLineChars="200"/>
        <w:jc w:val="left"/>
        <w:rPr>
          <w:rFonts w:hint="eastAsia" w:eastAsia="仿宋_GB2312" w:cs="仿宋_GB2312"/>
          <w:sz w:val="32"/>
          <w:szCs w:val="32"/>
          <w:lang w:eastAsia="zh-CN"/>
        </w:rPr>
      </w:pPr>
      <w:r>
        <w:rPr>
          <w:rFonts w:hint="eastAsia" w:eastAsia="仿宋_GB2312" w:cs="仿宋_GB2312"/>
          <w:sz w:val="32"/>
          <w:szCs w:val="32"/>
        </w:rPr>
        <w:t>六、一般公共预算财政拨款基本支出决算情况说明</w:t>
      </w:r>
      <w:r>
        <w:rPr>
          <w:rFonts w:hint="eastAsia" w:eastAsia="仿宋_GB2312" w:cs="仿宋_GB2312"/>
          <w:sz w:val="32"/>
          <w:szCs w:val="32"/>
        </w:rPr>
        <w:tab/>
      </w:r>
      <w:r>
        <w:rPr>
          <w:rFonts w:hint="eastAsia" w:eastAsia="仿宋_GB2312" w:cs="仿宋_GB2312"/>
          <w:sz w:val="32"/>
          <w:szCs w:val="32"/>
          <w:lang w:val="en-US" w:eastAsia="zh-CN"/>
        </w:rPr>
        <w:t>8</w:t>
      </w:r>
    </w:p>
    <w:p w14:paraId="64DCCC76">
      <w:pPr>
        <w:pStyle w:val="15"/>
        <w:adjustRightInd w:val="0"/>
        <w:snapToGrid w:val="0"/>
        <w:spacing w:line="560" w:lineRule="exact"/>
        <w:ind w:left="0" w:leftChars="0" w:firstLine="640" w:firstLineChars="200"/>
        <w:jc w:val="left"/>
        <w:rPr>
          <w:rFonts w:hint="eastAsia" w:eastAsia="仿宋_GB2312" w:cs="仿宋_GB2312"/>
          <w:sz w:val="32"/>
          <w:szCs w:val="32"/>
          <w:lang w:eastAsia="zh-CN"/>
        </w:rPr>
      </w:pPr>
      <w:r>
        <w:rPr>
          <w:rFonts w:hint="eastAsia" w:eastAsia="仿宋_GB2312" w:cs="仿宋_GB2312"/>
          <w:sz w:val="32"/>
          <w:szCs w:val="32"/>
        </w:rPr>
        <w:t>七、财政拨款“三公”经费支出决算情况说明</w:t>
      </w:r>
      <w:r>
        <w:rPr>
          <w:rFonts w:hint="eastAsia" w:eastAsia="仿宋_GB2312" w:cs="仿宋_GB2312"/>
          <w:sz w:val="32"/>
          <w:szCs w:val="32"/>
        </w:rPr>
        <w:tab/>
      </w:r>
      <w:r>
        <w:rPr>
          <w:rFonts w:hint="eastAsia" w:eastAsia="仿宋_GB2312" w:cs="仿宋_GB2312"/>
          <w:sz w:val="32"/>
          <w:szCs w:val="32"/>
          <w:lang w:val="en-US" w:eastAsia="zh-CN"/>
        </w:rPr>
        <w:t>9</w:t>
      </w:r>
    </w:p>
    <w:p w14:paraId="43422678">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八、政府性基金预算支出决算情况说明</w:t>
      </w:r>
      <w:r>
        <w:rPr>
          <w:rFonts w:hint="eastAsia" w:eastAsia="仿宋_GB2312" w:cs="仿宋_GB2312"/>
          <w:sz w:val="32"/>
          <w:szCs w:val="32"/>
        </w:rPr>
        <w:tab/>
      </w:r>
      <w:r>
        <w:rPr>
          <w:rFonts w:hint="eastAsia" w:eastAsia="仿宋_GB2312" w:cs="仿宋_GB2312"/>
          <w:sz w:val="32"/>
          <w:szCs w:val="32"/>
          <w:lang w:val="en-US" w:eastAsia="zh-CN"/>
        </w:rPr>
        <w:t>11</w:t>
      </w:r>
    </w:p>
    <w:p w14:paraId="7B3EED2D">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九、国有资本经营预算支出决算情况说明</w:t>
      </w:r>
      <w:r>
        <w:rPr>
          <w:rFonts w:hint="eastAsia" w:eastAsia="仿宋_GB2312" w:cs="仿宋_GB2312"/>
          <w:sz w:val="32"/>
          <w:szCs w:val="32"/>
        </w:rPr>
        <w:tab/>
      </w:r>
      <w:r>
        <w:rPr>
          <w:rFonts w:hint="eastAsia" w:eastAsia="仿宋_GB2312" w:cs="仿宋_GB2312"/>
          <w:sz w:val="32"/>
          <w:szCs w:val="32"/>
          <w:lang w:val="en-US" w:eastAsia="zh-CN"/>
        </w:rPr>
        <w:t>11</w:t>
      </w:r>
    </w:p>
    <w:p w14:paraId="55215CED">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十、其他重要事项的情况说明</w:t>
      </w:r>
      <w:r>
        <w:rPr>
          <w:rFonts w:hint="eastAsia" w:eastAsia="仿宋_GB2312" w:cs="仿宋_GB2312"/>
          <w:sz w:val="32"/>
          <w:szCs w:val="32"/>
        </w:rPr>
        <w:tab/>
      </w:r>
      <w:r>
        <w:rPr>
          <w:rFonts w:hint="eastAsia" w:eastAsia="仿宋_GB2312" w:cs="仿宋_GB2312"/>
          <w:sz w:val="32"/>
          <w:szCs w:val="32"/>
          <w:lang w:val="en-US" w:eastAsia="zh-CN"/>
        </w:rPr>
        <w:t>11</w:t>
      </w:r>
    </w:p>
    <w:p w14:paraId="4B60BED5">
      <w:pPr>
        <w:pStyle w:val="13"/>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第三部分 名词解释</w:t>
      </w:r>
      <w:r>
        <w:rPr>
          <w:rFonts w:hint="eastAsia" w:ascii="Times New Roman" w:hAnsi="Times New Roman" w:eastAsia="黑体" w:cs="黑体"/>
          <w:sz w:val="32"/>
          <w:szCs w:val="32"/>
        </w:rPr>
        <w:tab/>
      </w:r>
      <w:r>
        <w:rPr>
          <w:rFonts w:hint="eastAsia" w:ascii="Times New Roman" w:hAnsi="Times New Roman" w:eastAsia="黑体" w:cs="黑体"/>
          <w:sz w:val="32"/>
          <w:szCs w:val="32"/>
          <w:lang w:val="en-US" w:eastAsia="zh-CN"/>
        </w:rPr>
        <w:t>14</w:t>
      </w:r>
    </w:p>
    <w:p w14:paraId="4DBE2B9B">
      <w:pPr>
        <w:pStyle w:val="13"/>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第四部分 附件</w:t>
      </w:r>
      <w:r>
        <w:rPr>
          <w:rFonts w:hint="eastAsia" w:ascii="Times New Roman" w:hAnsi="Times New Roman" w:eastAsia="黑体" w:cs="黑体"/>
          <w:sz w:val="32"/>
          <w:szCs w:val="32"/>
        </w:rPr>
        <w:tab/>
      </w:r>
      <w:r>
        <w:rPr>
          <w:rFonts w:hint="eastAsia" w:ascii="Times New Roman" w:hAnsi="Times New Roman" w:eastAsia="黑体" w:cs="黑体"/>
          <w:sz w:val="32"/>
          <w:szCs w:val="32"/>
          <w:lang w:val="en-US" w:eastAsia="zh-CN"/>
        </w:rPr>
        <w:t>17</w:t>
      </w:r>
    </w:p>
    <w:p w14:paraId="527B3314">
      <w:pPr>
        <w:pStyle w:val="13"/>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第五部分 附表</w:t>
      </w:r>
      <w:r>
        <w:rPr>
          <w:rFonts w:hint="eastAsia" w:ascii="Times New Roman" w:hAnsi="Times New Roman" w:eastAsia="黑体" w:cs="黑体"/>
          <w:sz w:val="32"/>
          <w:szCs w:val="32"/>
        </w:rPr>
        <w:tab/>
      </w:r>
      <w:r>
        <w:rPr>
          <w:rFonts w:hint="eastAsia" w:ascii="Times New Roman" w:hAnsi="Times New Roman" w:eastAsia="黑体" w:cs="黑体"/>
          <w:sz w:val="32"/>
          <w:szCs w:val="32"/>
          <w:lang w:val="en-US" w:eastAsia="zh-CN"/>
        </w:rPr>
        <w:t>50</w:t>
      </w:r>
    </w:p>
    <w:p w14:paraId="69E42565">
      <w:pPr>
        <w:pStyle w:val="15"/>
        <w:adjustRightInd w:val="0"/>
        <w:snapToGrid w:val="0"/>
        <w:spacing w:line="560" w:lineRule="exact"/>
        <w:ind w:left="0" w:leftChars="0" w:firstLine="640" w:firstLineChars="200"/>
        <w:jc w:val="left"/>
        <w:rPr>
          <w:rFonts w:hint="default" w:eastAsia="仿宋_GB2312" w:cs="仿宋_GB2312"/>
          <w:sz w:val="32"/>
          <w:szCs w:val="32"/>
          <w:lang w:val="en-US"/>
        </w:rPr>
      </w:pPr>
      <w:r>
        <w:rPr>
          <w:rFonts w:hint="eastAsia" w:eastAsia="仿宋_GB2312" w:cs="仿宋_GB2312"/>
          <w:sz w:val="32"/>
          <w:szCs w:val="32"/>
        </w:rPr>
        <w:t>一、收入支出决算总表</w:t>
      </w:r>
      <w:r>
        <w:rPr>
          <w:rFonts w:hint="eastAsia" w:ascii="Times New Roman" w:hAnsi="Times New Roman" w:eastAsia="黑体" w:cs="黑体"/>
          <w:kern w:val="2"/>
          <w:sz w:val="32"/>
          <w:szCs w:val="32"/>
          <w:lang w:val="en-US" w:eastAsia="zh-CN" w:bidi="ar-SA"/>
        </w:rPr>
        <w:tab/>
      </w:r>
      <w:r>
        <w:rPr>
          <w:rFonts w:hint="eastAsia" w:ascii="Times New Roman" w:hAnsi="Times New Roman" w:eastAsia="黑体" w:cs="黑体"/>
          <w:kern w:val="2"/>
          <w:sz w:val="32"/>
          <w:szCs w:val="32"/>
          <w:lang w:val="en-US" w:eastAsia="zh-CN" w:bidi="ar-SA"/>
        </w:rPr>
        <w:t>5</w:t>
      </w:r>
      <w:r>
        <w:rPr>
          <w:rFonts w:hint="eastAsia" w:eastAsia="黑体" w:cs="黑体"/>
          <w:kern w:val="2"/>
          <w:sz w:val="32"/>
          <w:szCs w:val="32"/>
          <w:lang w:val="en-US" w:eastAsia="zh-CN" w:bidi="ar-SA"/>
        </w:rPr>
        <w:t>0</w:t>
      </w:r>
    </w:p>
    <w:p w14:paraId="2B5529AF">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二、收入决算表</w:t>
      </w:r>
      <w:r>
        <w:rPr>
          <w:rFonts w:hint="eastAsia" w:eastAsia="仿宋_GB2312" w:cs="仿宋_GB2312"/>
          <w:sz w:val="32"/>
          <w:szCs w:val="32"/>
        </w:rPr>
        <w:tab/>
      </w:r>
      <w:r>
        <w:rPr>
          <w:rFonts w:hint="eastAsia" w:eastAsia="仿宋_GB2312" w:cs="仿宋_GB2312"/>
          <w:sz w:val="32"/>
          <w:szCs w:val="32"/>
          <w:lang w:val="en-US" w:eastAsia="zh-CN"/>
        </w:rPr>
        <w:t>50</w:t>
      </w:r>
    </w:p>
    <w:p w14:paraId="0F04470A">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三、支出决算表</w:t>
      </w:r>
      <w:r>
        <w:rPr>
          <w:rFonts w:hint="eastAsia" w:eastAsia="仿宋_GB2312" w:cs="仿宋_GB2312"/>
          <w:sz w:val="32"/>
          <w:szCs w:val="32"/>
        </w:rPr>
        <w:tab/>
      </w:r>
      <w:r>
        <w:rPr>
          <w:rFonts w:hint="eastAsia" w:eastAsia="仿宋_GB2312" w:cs="仿宋_GB2312"/>
          <w:sz w:val="32"/>
          <w:szCs w:val="32"/>
          <w:lang w:val="en-US" w:eastAsia="zh-CN"/>
        </w:rPr>
        <w:t>50</w:t>
      </w:r>
    </w:p>
    <w:p w14:paraId="7053A78A">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四、财政拨款收入支出决算总表</w:t>
      </w:r>
      <w:r>
        <w:rPr>
          <w:rFonts w:hint="eastAsia" w:eastAsia="仿宋_GB2312" w:cs="仿宋_GB2312"/>
          <w:sz w:val="32"/>
          <w:szCs w:val="32"/>
        </w:rPr>
        <w:tab/>
      </w:r>
      <w:r>
        <w:rPr>
          <w:rFonts w:hint="eastAsia" w:eastAsia="仿宋_GB2312" w:cs="仿宋_GB2312"/>
          <w:sz w:val="32"/>
          <w:szCs w:val="32"/>
          <w:lang w:val="en-US" w:eastAsia="zh-CN"/>
        </w:rPr>
        <w:t>50</w:t>
      </w:r>
    </w:p>
    <w:p w14:paraId="174EA6B4">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五、财政拨款支出决算明细表</w:t>
      </w:r>
      <w:r>
        <w:rPr>
          <w:rFonts w:hint="eastAsia" w:eastAsia="仿宋_GB2312" w:cs="仿宋_GB2312"/>
          <w:sz w:val="32"/>
          <w:szCs w:val="32"/>
        </w:rPr>
        <w:tab/>
      </w:r>
      <w:r>
        <w:rPr>
          <w:rFonts w:hint="eastAsia" w:eastAsia="仿宋_GB2312" w:cs="仿宋_GB2312"/>
          <w:sz w:val="32"/>
          <w:szCs w:val="32"/>
          <w:lang w:val="en-US" w:eastAsia="zh-CN"/>
        </w:rPr>
        <w:t>50</w:t>
      </w:r>
    </w:p>
    <w:p w14:paraId="1F701856">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六、一般公共预算财政拨款支出决算表</w:t>
      </w:r>
      <w:r>
        <w:rPr>
          <w:rFonts w:hint="eastAsia" w:eastAsia="仿宋_GB2312" w:cs="仿宋_GB2312"/>
          <w:sz w:val="32"/>
          <w:szCs w:val="32"/>
        </w:rPr>
        <w:tab/>
      </w:r>
      <w:r>
        <w:rPr>
          <w:rFonts w:hint="eastAsia" w:eastAsia="仿宋_GB2312" w:cs="仿宋_GB2312"/>
          <w:sz w:val="32"/>
          <w:szCs w:val="32"/>
          <w:lang w:val="en-US" w:eastAsia="zh-CN"/>
        </w:rPr>
        <w:t>50</w:t>
      </w:r>
    </w:p>
    <w:p w14:paraId="1A818A8A">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七、一般公共预算财政拨款支出决算明细表</w:t>
      </w:r>
      <w:r>
        <w:rPr>
          <w:rFonts w:hint="eastAsia" w:eastAsia="仿宋_GB2312" w:cs="仿宋_GB2312"/>
          <w:sz w:val="32"/>
          <w:szCs w:val="32"/>
        </w:rPr>
        <w:tab/>
      </w:r>
      <w:r>
        <w:rPr>
          <w:rFonts w:hint="eastAsia" w:eastAsia="仿宋_GB2312" w:cs="仿宋_GB2312"/>
          <w:sz w:val="32"/>
          <w:szCs w:val="32"/>
          <w:lang w:val="en-US" w:eastAsia="zh-CN"/>
        </w:rPr>
        <w:t>50</w:t>
      </w:r>
    </w:p>
    <w:p w14:paraId="3B6F7D6A">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八、一般公共预算财政拨款基本支出决算明细表</w:t>
      </w:r>
      <w:r>
        <w:rPr>
          <w:rFonts w:hint="eastAsia" w:eastAsia="仿宋_GB2312" w:cs="仿宋_GB2312"/>
          <w:sz w:val="32"/>
          <w:szCs w:val="32"/>
        </w:rPr>
        <w:tab/>
      </w:r>
      <w:r>
        <w:rPr>
          <w:rFonts w:hint="eastAsia" w:eastAsia="仿宋_GB2312" w:cs="仿宋_GB2312"/>
          <w:sz w:val="32"/>
          <w:szCs w:val="32"/>
          <w:lang w:val="en-US" w:eastAsia="zh-CN"/>
        </w:rPr>
        <w:t>50</w:t>
      </w:r>
    </w:p>
    <w:p w14:paraId="793C0393">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九、一般公共预算财政拨款项目支出决算表</w:t>
      </w:r>
      <w:r>
        <w:rPr>
          <w:rFonts w:hint="eastAsia" w:eastAsia="仿宋_GB2312" w:cs="仿宋_GB2312"/>
          <w:sz w:val="32"/>
          <w:szCs w:val="32"/>
        </w:rPr>
        <w:tab/>
      </w:r>
      <w:r>
        <w:rPr>
          <w:rFonts w:hint="eastAsia" w:eastAsia="仿宋_GB2312" w:cs="仿宋_GB2312"/>
          <w:sz w:val="32"/>
          <w:szCs w:val="32"/>
          <w:lang w:val="en-US" w:eastAsia="zh-CN"/>
        </w:rPr>
        <w:t>50</w:t>
      </w:r>
    </w:p>
    <w:p w14:paraId="2982A409">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十、政府性基金预算财政拨款收入支出决算表</w:t>
      </w:r>
      <w:r>
        <w:rPr>
          <w:rFonts w:hint="eastAsia" w:eastAsia="仿宋_GB2312" w:cs="仿宋_GB2312"/>
          <w:sz w:val="32"/>
          <w:szCs w:val="32"/>
        </w:rPr>
        <w:tab/>
      </w:r>
      <w:r>
        <w:rPr>
          <w:rFonts w:hint="eastAsia" w:eastAsia="仿宋_GB2312" w:cs="仿宋_GB2312"/>
          <w:sz w:val="32"/>
          <w:szCs w:val="32"/>
          <w:lang w:val="en-US" w:eastAsia="zh-CN"/>
        </w:rPr>
        <w:t>50</w:t>
      </w:r>
    </w:p>
    <w:p w14:paraId="5A342D15">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十一、国有资本经营预算财政拨款收入支出决算表</w:t>
      </w:r>
      <w:r>
        <w:rPr>
          <w:rFonts w:hint="eastAsia" w:eastAsia="仿宋_GB2312" w:cs="仿宋_GB2312"/>
          <w:sz w:val="32"/>
          <w:szCs w:val="32"/>
        </w:rPr>
        <w:tab/>
      </w:r>
      <w:r>
        <w:rPr>
          <w:rFonts w:hint="eastAsia" w:eastAsia="仿宋_GB2312" w:cs="仿宋_GB2312"/>
          <w:sz w:val="32"/>
          <w:szCs w:val="32"/>
          <w:lang w:val="en-US" w:eastAsia="zh-CN"/>
        </w:rPr>
        <w:t>50</w:t>
      </w:r>
    </w:p>
    <w:p w14:paraId="6C6441B6">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十二、国有资本经营预算财政拨款支出决算表</w:t>
      </w:r>
      <w:r>
        <w:rPr>
          <w:rFonts w:hint="eastAsia" w:eastAsia="仿宋_GB2312" w:cs="仿宋_GB2312"/>
          <w:sz w:val="32"/>
          <w:szCs w:val="32"/>
        </w:rPr>
        <w:tab/>
      </w:r>
      <w:r>
        <w:rPr>
          <w:rFonts w:hint="eastAsia" w:eastAsia="仿宋_GB2312" w:cs="仿宋_GB2312"/>
          <w:sz w:val="32"/>
          <w:szCs w:val="32"/>
          <w:lang w:val="en-US" w:eastAsia="zh-CN"/>
        </w:rPr>
        <w:t>50</w:t>
      </w:r>
    </w:p>
    <w:p w14:paraId="4D10BEB7">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十三、财政拨款“三公”经费支出决算表</w:t>
      </w:r>
      <w:r>
        <w:rPr>
          <w:rFonts w:hint="eastAsia" w:eastAsia="仿宋_GB2312" w:cs="仿宋_GB2312"/>
          <w:sz w:val="32"/>
          <w:szCs w:val="32"/>
        </w:rPr>
        <w:tab/>
      </w:r>
      <w:r>
        <w:rPr>
          <w:rFonts w:hint="eastAsia" w:eastAsia="仿宋_GB2312" w:cs="仿宋_GB2312"/>
          <w:sz w:val="32"/>
          <w:szCs w:val="32"/>
          <w:lang w:val="en-US" w:eastAsia="zh-CN"/>
        </w:rPr>
        <w:t>50</w:t>
      </w:r>
    </w:p>
    <w:p w14:paraId="023989EA">
      <w:pPr>
        <w:pStyle w:val="2"/>
        <w:jc w:val="center"/>
        <w:rPr>
          <w:rFonts w:hint="eastAsia" w:eastAsia="方正小标宋简体" w:cs="方正小标宋简体"/>
          <w:b w:val="0"/>
        </w:rPr>
        <w:sectPr>
          <w:footerReference r:id="rId7" w:type="first"/>
          <w:footerReference r:id="rId6" w:type="default"/>
          <w:pgSz w:w="11906" w:h="16838"/>
          <w:pgMar w:top="1440" w:right="1800" w:bottom="1440" w:left="1800" w:header="851" w:footer="992" w:gutter="0"/>
          <w:pgNumType w:fmt="decimal" w:start="1"/>
          <w:cols w:space="425" w:num="1"/>
          <w:titlePg/>
          <w:docGrid w:type="lines" w:linePitch="312" w:charSpace="0"/>
        </w:sectPr>
      </w:pPr>
      <w:bookmarkStart w:id="6" w:name="_Toc15396599"/>
      <w:bookmarkStart w:id="7" w:name="_Toc15377196"/>
    </w:p>
    <w:p w14:paraId="6E7E087F">
      <w:pPr>
        <w:pStyle w:val="2"/>
        <w:jc w:val="center"/>
        <w:rPr>
          <w:rStyle w:val="29"/>
          <w:rFonts w:eastAsia="方正小标宋简体" w:cs="方正小标宋简体"/>
          <w:b/>
          <w:bCs w:val="0"/>
        </w:rPr>
      </w:pPr>
      <w:r>
        <w:rPr>
          <w:rFonts w:hint="eastAsia" w:eastAsia="方正小标宋简体" w:cs="方正小标宋简体"/>
          <w:b w:val="0"/>
        </w:rPr>
        <w:t xml:space="preserve">第一部分  </w:t>
      </w:r>
      <w:r>
        <w:rPr>
          <w:rStyle w:val="29"/>
          <w:rFonts w:hint="eastAsia" w:eastAsia="方正小标宋简体" w:cs="方正小标宋简体"/>
          <w:b w:val="0"/>
          <w:bCs w:val="0"/>
        </w:rPr>
        <w:t>部门概况</w:t>
      </w:r>
      <w:bookmarkEnd w:id="6"/>
      <w:bookmarkEnd w:id="7"/>
    </w:p>
    <w:p w14:paraId="6BAD9A05">
      <w:pPr>
        <w:widowControl/>
        <w:jc w:val="left"/>
        <w:rPr>
          <w:rFonts w:eastAsia="黑体"/>
          <w:sz w:val="32"/>
          <w:szCs w:val="32"/>
        </w:rPr>
      </w:pPr>
    </w:p>
    <w:p w14:paraId="46E3A753">
      <w:pPr>
        <w:pStyle w:val="3"/>
        <w:numPr>
          <w:ilvl w:val="0"/>
          <w:numId w:val="2"/>
        </w:numPr>
        <w:rPr>
          <w:rFonts w:hint="eastAsia" w:ascii="Times New Roman" w:hAnsi="Times New Roman" w:eastAsia="黑体"/>
          <w:b w:val="0"/>
        </w:rPr>
      </w:pPr>
      <w:r>
        <w:rPr>
          <w:rFonts w:hint="eastAsia" w:ascii="Times New Roman" w:hAnsi="Times New Roman" w:eastAsia="黑体"/>
          <w:b w:val="0"/>
        </w:rPr>
        <w:t>部门职责</w:t>
      </w:r>
    </w:p>
    <w:p w14:paraId="1DB3CB6E">
      <w:pPr>
        <w:snapToGrid w:val="0"/>
        <w:spacing w:line="520" w:lineRule="exact"/>
        <w:ind w:firstLine="640" w:firstLineChars="200"/>
        <w:rPr>
          <w:rFonts w:eastAsia="仿宋_GB2312"/>
          <w:bCs/>
          <w:kern w:val="0"/>
          <w:sz w:val="32"/>
          <w:szCs w:val="32"/>
        </w:rPr>
      </w:pPr>
      <w:r>
        <w:rPr>
          <w:rFonts w:eastAsia="仿宋_GB2312"/>
          <w:bCs/>
          <w:kern w:val="0"/>
          <w:sz w:val="32"/>
          <w:szCs w:val="32"/>
        </w:rPr>
        <w:t>为农业、农村、农民提供综合服务。对公司基层社进行指导、协调、监督、服务工作，对重要农业生产资料及其他商品经营进行组织、协调、管理，对社有资产进行中短期投资。</w:t>
      </w:r>
    </w:p>
    <w:p w14:paraId="6F9F78E2">
      <w:pPr>
        <w:numPr>
          <w:ilvl w:val="0"/>
          <w:numId w:val="0"/>
        </w:numPr>
      </w:pPr>
    </w:p>
    <w:p w14:paraId="6B513E41">
      <w:pPr>
        <w:pStyle w:val="3"/>
        <w:rPr>
          <w:rStyle w:val="30"/>
          <w:rFonts w:ascii="Times New Roman" w:hAnsi="Times New Roman"/>
          <w:b w:val="0"/>
          <w:bCs w:val="0"/>
        </w:rPr>
      </w:pPr>
      <w:bookmarkStart w:id="8" w:name="_Toc15377200"/>
      <w:bookmarkStart w:id="9" w:name="_Toc15396601"/>
      <w:r>
        <w:rPr>
          <w:rFonts w:hint="eastAsia" w:ascii="Times New Roman" w:hAnsi="Times New Roman" w:eastAsia="黑体"/>
          <w:b w:val="0"/>
        </w:rPr>
        <w:t>二、机</w:t>
      </w:r>
      <w:r>
        <w:rPr>
          <w:rStyle w:val="30"/>
          <w:rFonts w:hint="eastAsia" w:ascii="Times New Roman" w:hAnsi="Times New Roman" w:eastAsia="黑体"/>
          <w:b w:val="0"/>
          <w:bCs w:val="0"/>
        </w:rPr>
        <w:t>构设置</w:t>
      </w:r>
      <w:bookmarkEnd w:id="8"/>
      <w:bookmarkEnd w:id="9"/>
    </w:p>
    <w:p w14:paraId="043E3B01">
      <w:pPr>
        <w:spacing w:line="560" w:lineRule="exact"/>
        <w:ind w:firstLine="640" w:firstLineChars="200"/>
        <w:rPr>
          <w:rFonts w:eastAsia="仿宋_GB2312"/>
          <w:color w:val="000000"/>
          <w:sz w:val="32"/>
          <w:szCs w:val="32"/>
        </w:rPr>
      </w:pPr>
      <w:r>
        <w:rPr>
          <w:rFonts w:eastAsia="仿宋_GB2312"/>
          <w:color w:val="000000"/>
          <w:sz w:val="32"/>
          <w:szCs w:val="32"/>
        </w:rPr>
        <w:t>盐边县供销社为参公管理的事业单位，下属二级预算单位0个，其中行政单位0个，参照公务员法管理的事业单位0个，其他事业单位0个。</w:t>
      </w:r>
    </w:p>
    <w:p w14:paraId="583E1C7E">
      <w:pPr>
        <w:pStyle w:val="2"/>
        <w:jc w:val="center"/>
        <w:rPr>
          <w:rFonts w:hint="eastAsia" w:eastAsia="方正小标宋简体" w:cs="方正小标宋简体"/>
          <w:b w:val="0"/>
        </w:rPr>
        <w:sectPr>
          <w:footerReference r:id="rId9" w:type="first"/>
          <w:footerReference r:id="rId8" w:type="default"/>
          <w:pgSz w:w="11906" w:h="16838"/>
          <w:pgMar w:top="1440" w:right="1800" w:bottom="1440" w:left="1800" w:header="851" w:footer="992" w:gutter="0"/>
          <w:pgNumType w:fmt="numberInDash" w:start="1"/>
          <w:cols w:space="425" w:num="1"/>
          <w:docGrid w:type="lines" w:linePitch="312" w:charSpace="0"/>
        </w:sectPr>
      </w:pPr>
      <w:bookmarkStart w:id="10" w:name="_Toc15377204"/>
      <w:bookmarkStart w:id="11" w:name="_Toc15396602"/>
    </w:p>
    <w:p w14:paraId="03730195">
      <w:pPr>
        <w:pStyle w:val="2"/>
        <w:jc w:val="center"/>
        <w:rPr>
          <w:rFonts w:eastAsia="方正小标宋简体" w:cs="方正小标宋简体"/>
          <w:b w:val="0"/>
        </w:rPr>
      </w:pPr>
      <w:r>
        <w:rPr>
          <w:rFonts w:hint="eastAsia" w:eastAsia="方正小标宋简体" w:cs="方正小标宋简体"/>
          <w:b w:val="0"/>
        </w:rPr>
        <w:t>第二部分  2024年度部门决算情况说明</w:t>
      </w:r>
      <w:bookmarkEnd w:id="10"/>
      <w:bookmarkEnd w:id="11"/>
    </w:p>
    <w:p w14:paraId="07219719"/>
    <w:p w14:paraId="0DCACD25">
      <w:pPr>
        <w:pStyle w:val="28"/>
        <w:spacing w:line="600" w:lineRule="exact"/>
        <w:ind w:firstLine="640"/>
        <w:outlineLvl w:val="1"/>
        <w:rPr>
          <w:rStyle w:val="30"/>
          <w:rFonts w:ascii="Times New Roman" w:hAnsi="Times New Roman" w:eastAsia="黑体"/>
          <w:b w:val="0"/>
        </w:rPr>
      </w:pPr>
      <w:bookmarkStart w:id="12" w:name="_Toc15396603"/>
      <w:bookmarkStart w:id="13" w:name="_Toc15377205"/>
      <w:r>
        <w:rPr>
          <w:rFonts w:hint="eastAsia" w:eastAsia="黑体"/>
          <w:sz w:val="32"/>
          <w:szCs w:val="32"/>
        </w:rPr>
        <w:t>一、收</w:t>
      </w:r>
      <w:r>
        <w:rPr>
          <w:rStyle w:val="30"/>
          <w:rFonts w:hint="eastAsia" w:ascii="Times New Roman" w:hAnsi="Times New Roman" w:eastAsia="黑体"/>
          <w:b w:val="0"/>
        </w:rPr>
        <w:t>入支出决算总体情况说明</w:t>
      </w:r>
      <w:bookmarkEnd w:id="12"/>
      <w:bookmarkEnd w:id="13"/>
    </w:p>
    <w:p w14:paraId="3C30006B">
      <w:pPr>
        <w:snapToGrid/>
        <w:spacing w:line="240" w:lineRule="auto"/>
        <w:ind w:firstLine="709" w:firstLineChars="0"/>
        <w:rPr>
          <w:rFonts w:hint="eastAsia" w:ascii="Times New Roman" w:hAnsi="Times New Roman" w:eastAsia="仿宋_GB2312" w:cs="Times New Roman"/>
          <w:sz w:val="32"/>
          <w:szCs w:val="32"/>
        </w:rPr>
      </w:pPr>
      <w:r>
        <w:rPr>
          <w:rFonts w:eastAsia="仿宋_GB2312"/>
          <w:sz w:val="32"/>
          <w:szCs w:val="32"/>
        </w:rPr>
        <w:t>202</w:t>
      </w:r>
      <w:r>
        <w:rPr>
          <w:rFonts w:hint="eastAsia" w:eastAsia="仿宋_GB2312"/>
          <w:sz w:val="32"/>
          <w:szCs w:val="32"/>
          <w:lang w:val="en-US" w:eastAsia="zh-CN"/>
        </w:rPr>
        <w:t>4</w:t>
      </w:r>
      <w:r>
        <w:rPr>
          <w:rFonts w:eastAsia="仿宋_GB2312"/>
          <w:sz w:val="32"/>
          <w:szCs w:val="32"/>
        </w:rPr>
        <w:t>年度收、支总计</w:t>
      </w:r>
      <w:r>
        <w:rPr>
          <w:rFonts w:hint="eastAsia" w:eastAsia="仿宋_GB2312"/>
          <w:sz w:val="32"/>
          <w:szCs w:val="32"/>
          <w:lang w:val="en-US" w:eastAsia="zh-CN"/>
        </w:rPr>
        <w:t>2213.8</w:t>
      </w:r>
      <w:r>
        <w:rPr>
          <w:rFonts w:eastAsia="仿宋_GB2312"/>
          <w:sz w:val="32"/>
          <w:szCs w:val="32"/>
        </w:rPr>
        <w:t>万元。与202</w:t>
      </w:r>
      <w:r>
        <w:rPr>
          <w:rFonts w:hint="eastAsia" w:eastAsia="仿宋_GB2312"/>
          <w:sz w:val="32"/>
          <w:szCs w:val="32"/>
          <w:lang w:val="en-US" w:eastAsia="zh-CN"/>
        </w:rPr>
        <w:t>3</w:t>
      </w:r>
      <w:r>
        <w:rPr>
          <w:rFonts w:eastAsia="仿宋_GB2312"/>
          <w:sz w:val="32"/>
          <w:szCs w:val="32"/>
        </w:rPr>
        <w:t>年相比，收、支总计各增加</w:t>
      </w:r>
      <w:r>
        <w:rPr>
          <w:rFonts w:hint="eastAsia" w:eastAsia="仿宋_GB2312"/>
          <w:sz w:val="32"/>
          <w:szCs w:val="32"/>
          <w:lang w:val="en-US" w:eastAsia="zh-CN"/>
        </w:rPr>
        <w:t>1874.72</w:t>
      </w:r>
      <w:r>
        <w:rPr>
          <w:rFonts w:eastAsia="仿宋_GB2312"/>
          <w:sz w:val="32"/>
          <w:szCs w:val="32"/>
        </w:rPr>
        <w:t>万元，增长</w:t>
      </w:r>
      <w:r>
        <w:rPr>
          <w:rFonts w:hint="eastAsia" w:eastAsia="仿宋_GB2312"/>
          <w:sz w:val="32"/>
          <w:szCs w:val="32"/>
          <w:lang w:val="en-US" w:eastAsia="zh-CN"/>
        </w:rPr>
        <w:t>552.88</w:t>
      </w:r>
      <w:r>
        <w:rPr>
          <w:rFonts w:eastAsia="仿宋_GB2312"/>
          <w:sz w:val="32"/>
          <w:szCs w:val="32"/>
        </w:rPr>
        <w:t>%。主要变动原因是</w:t>
      </w:r>
      <w:r>
        <w:rPr>
          <w:rFonts w:hint="eastAsia" w:ascii="仿宋_GB2312" w:hAnsi="仿宋" w:eastAsia="仿宋_GB2312"/>
          <w:sz w:val="32"/>
          <w:szCs w:val="32"/>
        </w:rPr>
        <w:t>2</w:t>
      </w:r>
      <w:r>
        <w:rPr>
          <w:rFonts w:hint="eastAsia" w:ascii="仿宋_GB2312" w:hAnsi="仿宋" w:eastAsia="仿宋_GB2312" w:cs="仿宋"/>
          <w:spacing w:val="6"/>
          <w:sz w:val="32"/>
          <w:szCs w:val="32"/>
          <w:lang w:val="en-US" w:eastAsia="zh-CN"/>
        </w:rPr>
        <w:t>023年只有</w:t>
      </w:r>
      <w:r>
        <w:rPr>
          <w:rFonts w:hint="eastAsia" w:ascii="仿宋_GB2312" w:hAnsi="仿宋" w:eastAsia="仿宋_GB2312"/>
          <w:sz w:val="32"/>
          <w:szCs w:val="32"/>
        </w:rPr>
        <w:t>一般公共预算财政拨款收入</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但是给企业投入资本金注入73万元。</w:t>
      </w:r>
      <w:r>
        <w:rPr>
          <w:rFonts w:hint="eastAsia" w:ascii="仿宋_GB2312" w:hAnsi="方正仿宋_GBK" w:eastAsia="仿宋_GB2312" w:cs="方正仿宋_GBK"/>
          <w:sz w:val="32"/>
          <w:szCs w:val="32"/>
          <w:lang w:val="en-US" w:eastAsia="zh-CN"/>
        </w:rPr>
        <w:t>2024年有</w:t>
      </w:r>
      <w:r>
        <w:rPr>
          <w:rFonts w:hint="eastAsia" w:ascii="仿宋_GB2312" w:hAnsi="仿宋" w:eastAsia="仿宋_GB2312"/>
          <w:sz w:val="32"/>
          <w:szCs w:val="32"/>
        </w:rPr>
        <w:t>一般公共预算财政拨款</w:t>
      </w:r>
      <w:r>
        <w:rPr>
          <w:rFonts w:hint="eastAsia" w:ascii="仿宋_GB2312" w:hAnsi="仿宋" w:eastAsia="仿宋_GB2312"/>
          <w:sz w:val="32"/>
          <w:szCs w:val="32"/>
          <w:lang w:eastAsia="zh-CN"/>
        </w:rPr>
        <w:t>收入和政府性基金预算财政拨款收入，</w:t>
      </w:r>
      <w:r>
        <w:rPr>
          <w:rFonts w:hint="eastAsia" w:ascii="仿宋_GB2312" w:hAnsi="仿宋" w:eastAsia="仿宋_GB2312"/>
          <w:sz w:val="32"/>
          <w:szCs w:val="32"/>
          <w:lang w:val="en-US" w:eastAsia="zh-CN"/>
        </w:rPr>
        <w:t>24年除了对基层社的入股资金、修建渔门冷链项目、</w:t>
      </w:r>
      <w:r>
        <w:rPr>
          <w:rFonts w:hint="eastAsia" w:ascii="仿宋_GB2312" w:hAnsi="仿宋" w:eastAsia="仿宋_GB2312"/>
          <w:sz w:val="30"/>
          <w:szCs w:val="30"/>
          <w:lang w:val="en-US" w:eastAsia="zh-CN"/>
        </w:rPr>
        <w:t>支持基层供销社示范社发展的补助资金</w:t>
      </w:r>
      <w:r>
        <w:rPr>
          <w:rFonts w:hint="eastAsia" w:ascii="仿宋_GB2312" w:hAnsi="仿宋" w:eastAsia="仿宋_GB2312"/>
          <w:sz w:val="32"/>
          <w:szCs w:val="32"/>
          <w:lang w:val="en-US" w:eastAsia="zh-CN"/>
        </w:rPr>
        <w:t>；</w:t>
      </w:r>
      <w:r>
        <w:rPr>
          <w:rFonts w:hint="eastAsia" w:ascii="仿宋_GB2312" w:hAnsi="方正仿宋_GBK" w:eastAsia="仿宋_GB2312" w:cs="方正仿宋_GBK"/>
          <w:sz w:val="32"/>
          <w:szCs w:val="32"/>
        </w:rPr>
        <w:t>所以我单位202</w:t>
      </w:r>
      <w:r>
        <w:rPr>
          <w:rFonts w:hint="eastAsia" w:ascii="仿宋_GB2312" w:hAnsi="方正仿宋_GBK" w:eastAsia="仿宋_GB2312" w:cs="方正仿宋_GBK"/>
          <w:sz w:val="32"/>
          <w:szCs w:val="32"/>
          <w:lang w:val="en-US" w:eastAsia="zh-CN"/>
        </w:rPr>
        <w:t>4</w:t>
      </w:r>
      <w:r>
        <w:rPr>
          <w:rFonts w:hint="eastAsia" w:ascii="仿宋_GB2312" w:hAnsi="方正仿宋_GBK" w:eastAsia="仿宋_GB2312" w:cs="方正仿宋_GBK"/>
          <w:sz w:val="32"/>
          <w:szCs w:val="32"/>
        </w:rPr>
        <w:t>年的基层社建设项目资金相比202</w:t>
      </w:r>
      <w:r>
        <w:rPr>
          <w:rFonts w:hint="eastAsia" w:ascii="仿宋_GB2312" w:hAnsi="方正仿宋_GBK" w:eastAsia="仿宋_GB2312" w:cs="方正仿宋_GBK"/>
          <w:sz w:val="32"/>
          <w:szCs w:val="32"/>
          <w:lang w:val="en-US" w:eastAsia="zh-CN"/>
        </w:rPr>
        <w:t>3</w:t>
      </w:r>
      <w:r>
        <w:rPr>
          <w:rFonts w:hint="eastAsia" w:ascii="仿宋_GB2312" w:hAnsi="方正仿宋_GBK" w:eastAsia="仿宋_GB2312" w:cs="方正仿宋_GBK"/>
          <w:sz w:val="32"/>
          <w:szCs w:val="32"/>
        </w:rPr>
        <w:t>年增多。</w:t>
      </w:r>
    </w:p>
    <w:p w14:paraId="084F5EBE">
      <w:pPr>
        <w:ind w:firstLine="640" w:firstLineChars="200"/>
        <w:rPr>
          <w:rFonts w:eastAsia="仿宋_GB2312" w:cs="仿宋_GB2312"/>
          <w:sz w:val="32"/>
          <w:szCs w:val="32"/>
        </w:rPr>
      </w:pPr>
      <w:r>
        <w:rPr>
          <w:rFonts w:hint="eastAsia" w:eastAsia="仿宋_GB2312" w:cs="仿宋_GB2312"/>
          <w:sz w:val="32"/>
          <w:szCs w:val="32"/>
        </w:rPr>
        <w:t>（图1：收入、支出决算总计变动情况图）</w:t>
      </w:r>
    </w:p>
    <w:p w14:paraId="0F86FBA8">
      <w:pPr>
        <w:ind w:firstLine="420" w:firstLineChars="200"/>
        <w:rPr>
          <w:rFonts w:eastAsia="仿宋_GB2312" w:cs="仿宋_GB2312"/>
          <w:sz w:val="32"/>
          <w:szCs w:val="32"/>
        </w:rPr>
      </w:pPr>
      <w:r>
        <w:drawing>
          <wp:anchor distT="0" distB="0" distL="114300" distR="114300" simplePos="0" relativeHeight="251660288" behindDoc="0" locked="0" layoutInCell="1" allowOverlap="1">
            <wp:simplePos x="0" y="0"/>
            <wp:positionH relativeFrom="column">
              <wp:posOffset>105410</wp:posOffset>
            </wp:positionH>
            <wp:positionV relativeFrom="paragraph">
              <wp:posOffset>255905</wp:posOffset>
            </wp:positionV>
            <wp:extent cx="4875530" cy="2691765"/>
            <wp:effectExtent l="4445" t="4445" r="15875" b="889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47FBFF54">
      <w:pPr>
        <w:pStyle w:val="9"/>
        <w:rPr>
          <w:rFonts w:eastAsia="仿宋_GB2312" w:cs="仿宋_GB2312"/>
          <w:sz w:val="32"/>
          <w:szCs w:val="32"/>
        </w:rPr>
      </w:pPr>
    </w:p>
    <w:p w14:paraId="5ED90C8F">
      <w:pPr>
        <w:pStyle w:val="28"/>
        <w:spacing w:line="600" w:lineRule="exact"/>
        <w:ind w:firstLine="640"/>
        <w:outlineLvl w:val="1"/>
        <w:rPr>
          <w:rFonts w:eastAsia="黑体"/>
          <w:sz w:val="32"/>
          <w:szCs w:val="32"/>
        </w:rPr>
      </w:pPr>
      <w:bookmarkStart w:id="14" w:name="_Toc15377206"/>
      <w:bookmarkStart w:id="15" w:name="_Toc15396604"/>
      <w:r>
        <w:rPr>
          <w:rFonts w:hint="eastAsia" w:eastAsia="黑体"/>
          <w:sz w:val="32"/>
          <w:szCs w:val="32"/>
        </w:rPr>
        <w:t>二、收入决算情况说明</w:t>
      </w:r>
      <w:bookmarkEnd w:id="14"/>
      <w:bookmarkEnd w:id="15"/>
    </w:p>
    <w:p w14:paraId="36A615C3">
      <w:pPr>
        <w:ind w:firstLine="709"/>
        <w:rPr>
          <w:rFonts w:eastAsia="仿宋_GB2312"/>
          <w:sz w:val="32"/>
          <w:szCs w:val="32"/>
        </w:rPr>
      </w:pPr>
      <w:r>
        <w:rPr>
          <w:rFonts w:eastAsia="仿宋_GB2312"/>
          <w:sz w:val="32"/>
          <w:szCs w:val="32"/>
        </w:rPr>
        <w:t>202</w:t>
      </w:r>
      <w:r>
        <w:rPr>
          <w:rFonts w:hint="eastAsia" w:eastAsia="仿宋_GB2312"/>
          <w:sz w:val="32"/>
          <w:szCs w:val="32"/>
          <w:lang w:val="en-US" w:eastAsia="zh-CN"/>
        </w:rPr>
        <w:t>4</w:t>
      </w:r>
      <w:r>
        <w:rPr>
          <w:rFonts w:eastAsia="仿宋_GB2312"/>
          <w:sz w:val="32"/>
          <w:szCs w:val="32"/>
        </w:rPr>
        <w:t>年本年收入合计</w:t>
      </w:r>
      <w:r>
        <w:rPr>
          <w:rFonts w:hint="eastAsia" w:eastAsia="仿宋_GB2312"/>
          <w:sz w:val="32"/>
          <w:szCs w:val="32"/>
          <w:lang w:val="en-US" w:eastAsia="zh-CN"/>
        </w:rPr>
        <w:t>2213.8</w:t>
      </w:r>
      <w:r>
        <w:rPr>
          <w:rFonts w:eastAsia="仿宋_GB2312"/>
          <w:sz w:val="32"/>
          <w:szCs w:val="32"/>
        </w:rPr>
        <w:t>万元，其中：一般公共预算财政拨款收入</w:t>
      </w:r>
      <w:r>
        <w:rPr>
          <w:rFonts w:hint="eastAsia" w:eastAsia="仿宋_GB2312"/>
          <w:sz w:val="32"/>
          <w:szCs w:val="32"/>
          <w:lang w:val="en-US" w:eastAsia="zh-CN"/>
        </w:rPr>
        <w:t>601.3</w:t>
      </w:r>
      <w:r>
        <w:rPr>
          <w:rFonts w:eastAsia="仿宋_GB2312"/>
          <w:sz w:val="32"/>
          <w:szCs w:val="32"/>
        </w:rPr>
        <w:t>万元，占</w:t>
      </w:r>
      <w:r>
        <w:rPr>
          <w:rFonts w:hint="eastAsia" w:eastAsia="仿宋_GB2312"/>
          <w:sz w:val="32"/>
          <w:szCs w:val="32"/>
          <w:lang w:val="en-US" w:eastAsia="zh-CN"/>
        </w:rPr>
        <w:t>27.16</w:t>
      </w:r>
      <w:r>
        <w:rPr>
          <w:rFonts w:eastAsia="仿宋_GB2312"/>
          <w:sz w:val="32"/>
          <w:szCs w:val="32"/>
        </w:rPr>
        <w:t>%；政府性基金预算财政拨款收入</w:t>
      </w:r>
      <w:r>
        <w:rPr>
          <w:rFonts w:hint="eastAsia" w:eastAsia="仿宋_GB2312"/>
          <w:sz w:val="32"/>
          <w:szCs w:val="32"/>
          <w:lang w:val="en-US" w:eastAsia="zh-CN"/>
        </w:rPr>
        <w:t>1612.5</w:t>
      </w:r>
      <w:r>
        <w:rPr>
          <w:rFonts w:eastAsia="仿宋_GB2312"/>
          <w:sz w:val="32"/>
          <w:szCs w:val="32"/>
        </w:rPr>
        <w:t>万元，占</w:t>
      </w:r>
      <w:r>
        <w:rPr>
          <w:rFonts w:hint="eastAsia" w:eastAsia="仿宋_GB2312"/>
          <w:sz w:val="32"/>
          <w:szCs w:val="32"/>
          <w:lang w:val="en-US" w:eastAsia="zh-CN"/>
        </w:rPr>
        <w:t>72.84</w:t>
      </w:r>
      <w:r>
        <w:rPr>
          <w:rFonts w:eastAsia="仿宋_GB2312"/>
          <w:sz w:val="32"/>
          <w:szCs w:val="32"/>
        </w:rPr>
        <w:t>%；国有资本经营预算财政拨款收入0万元，占0%；上级补助收入0万元，占0%；事业收入0万元，占0%；经营收入0万元，占0%；附属单位上缴收入0万元，占0%；其他收入</w:t>
      </w:r>
      <w:r>
        <w:rPr>
          <w:rFonts w:hint="eastAsia" w:eastAsia="仿宋_GB2312"/>
          <w:sz w:val="32"/>
          <w:szCs w:val="32"/>
          <w:lang w:val="en-US" w:eastAsia="zh-CN"/>
        </w:rPr>
        <w:t>0</w:t>
      </w:r>
      <w:r>
        <w:rPr>
          <w:rFonts w:eastAsia="仿宋_GB2312"/>
          <w:sz w:val="32"/>
          <w:szCs w:val="32"/>
        </w:rPr>
        <w:t>万元，占</w:t>
      </w:r>
      <w:r>
        <w:rPr>
          <w:rFonts w:hint="eastAsia" w:eastAsia="仿宋_GB2312"/>
          <w:sz w:val="32"/>
          <w:szCs w:val="32"/>
          <w:lang w:val="en-US" w:eastAsia="zh-CN"/>
        </w:rPr>
        <w:t>0</w:t>
      </w:r>
      <w:r>
        <w:rPr>
          <w:rFonts w:eastAsia="仿宋_GB2312"/>
          <w:sz w:val="32"/>
          <w:szCs w:val="32"/>
        </w:rPr>
        <w:t>%。</w:t>
      </w:r>
    </w:p>
    <w:p w14:paraId="30507F52">
      <w:pPr>
        <w:ind w:firstLine="1760" w:firstLineChars="550"/>
        <w:rPr>
          <w:rFonts w:hint="eastAsia" w:eastAsia="仿宋_GB2312" w:cs="仿宋_GB2312"/>
          <w:sz w:val="32"/>
          <w:szCs w:val="32"/>
        </w:rPr>
      </w:pPr>
      <w:r>
        <w:rPr>
          <w:rFonts w:hint="eastAsia" w:eastAsia="仿宋_GB2312" w:cs="仿宋_GB2312"/>
          <w:sz w:val="32"/>
          <w:szCs w:val="32"/>
        </w:rPr>
        <w:t>（图2：收入决算结构图）</w:t>
      </w:r>
    </w:p>
    <w:p w14:paraId="735B0776">
      <w:pPr>
        <w:pStyle w:val="9"/>
        <w:rPr>
          <w:rFonts w:hint="eastAsia" w:eastAsia="仿宋_GB2312" w:cs="仿宋_GB2312"/>
          <w:sz w:val="32"/>
          <w:szCs w:val="32"/>
        </w:rPr>
      </w:pPr>
      <w:r>
        <w:drawing>
          <wp:inline distT="0" distB="0" distL="114300" distR="114300">
            <wp:extent cx="4831080" cy="2743200"/>
            <wp:effectExtent l="4445" t="4445" r="22225" b="14605"/>
            <wp:docPr id="2" name="图表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577257C">
      <w:pPr>
        <w:pStyle w:val="9"/>
        <w:rPr>
          <w:rFonts w:hint="eastAsia" w:eastAsia="仿宋_GB2312" w:cs="仿宋_GB2312"/>
          <w:sz w:val="32"/>
          <w:szCs w:val="32"/>
        </w:rPr>
      </w:pPr>
    </w:p>
    <w:p w14:paraId="3B9EA680">
      <w:pPr>
        <w:pStyle w:val="28"/>
        <w:spacing w:line="600" w:lineRule="exact"/>
        <w:ind w:firstLine="640"/>
        <w:outlineLvl w:val="1"/>
        <w:rPr>
          <w:rStyle w:val="30"/>
          <w:rFonts w:ascii="Times New Roman" w:hAnsi="Times New Roman" w:eastAsia="黑体"/>
          <w:b w:val="0"/>
        </w:rPr>
      </w:pPr>
      <w:bookmarkStart w:id="16" w:name="_Toc15377207"/>
      <w:bookmarkStart w:id="17" w:name="_Toc15396605"/>
      <w:r>
        <w:rPr>
          <w:rFonts w:hint="eastAsia" w:eastAsia="黑体"/>
          <w:sz w:val="32"/>
          <w:szCs w:val="32"/>
        </w:rPr>
        <w:t>三、支</w:t>
      </w:r>
      <w:r>
        <w:rPr>
          <w:rStyle w:val="30"/>
          <w:rFonts w:hint="eastAsia" w:ascii="Times New Roman" w:hAnsi="Times New Roman" w:eastAsia="黑体"/>
          <w:b w:val="0"/>
        </w:rPr>
        <w:t>出决算情况说明</w:t>
      </w:r>
      <w:bookmarkEnd w:id="16"/>
      <w:bookmarkEnd w:id="17"/>
    </w:p>
    <w:p w14:paraId="4AB7E698">
      <w:pPr>
        <w:ind w:firstLine="709"/>
        <w:rPr>
          <w:rFonts w:eastAsia="仿宋_GB2312"/>
          <w:sz w:val="32"/>
          <w:szCs w:val="32"/>
        </w:rPr>
      </w:pPr>
      <w:r>
        <w:rPr>
          <w:rFonts w:eastAsia="仿宋_GB2312"/>
          <w:sz w:val="32"/>
          <w:szCs w:val="32"/>
        </w:rPr>
        <w:t>202</w:t>
      </w:r>
      <w:r>
        <w:rPr>
          <w:rFonts w:hint="eastAsia" w:eastAsia="仿宋_GB2312"/>
          <w:sz w:val="32"/>
          <w:szCs w:val="32"/>
          <w:lang w:val="en-US" w:eastAsia="zh-CN"/>
        </w:rPr>
        <w:t>4</w:t>
      </w:r>
      <w:r>
        <w:rPr>
          <w:rFonts w:eastAsia="仿宋_GB2312"/>
          <w:sz w:val="32"/>
          <w:szCs w:val="32"/>
        </w:rPr>
        <w:t>年本年支出合计</w:t>
      </w:r>
      <w:r>
        <w:rPr>
          <w:rFonts w:hint="eastAsia" w:eastAsia="仿宋_GB2312"/>
          <w:sz w:val="32"/>
          <w:szCs w:val="32"/>
          <w:lang w:val="en-US" w:eastAsia="zh-CN"/>
        </w:rPr>
        <w:t>2213.8</w:t>
      </w:r>
      <w:r>
        <w:rPr>
          <w:rFonts w:eastAsia="仿宋_GB2312"/>
          <w:sz w:val="32"/>
          <w:szCs w:val="32"/>
        </w:rPr>
        <w:t>万元，其中：基本支出</w:t>
      </w:r>
      <w:r>
        <w:rPr>
          <w:rFonts w:hint="eastAsia" w:eastAsia="仿宋_GB2312"/>
          <w:sz w:val="32"/>
          <w:szCs w:val="32"/>
          <w:lang w:val="en-US" w:eastAsia="zh-CN"/>
        </w:rPr>
        <w:t>261.12</w:t>
      </w:r>
      <w:r>
        <w:rPr>
          <w:rFonts w:eastAsia="仿宋_GB2312"/>
          <w:sz w:val="32"/>
          <w:szCs w:val="32"/>
        </w:rPr>
        <w:t>万元，占</w:t>
      </w:r>
      <w:r>
        <w:rPr>
          <w:rFonts w:hint="eastAsia" w:eastAsia="仿宋_GB2312"/>
          <w:sz w:val="32"/>
          <w:szCs w:val="32"/>
          <w:lang w:val="en-US" w:eastAsia="zh-CN"/>
        </w:rPr>
        <w:t>11.8</w:t>
      </w:r>
      <w:r>
        <w:rPr>
          <w:rFonts w:eastAsia="仿宋_GB2312"/>
          <w:sz w:val="32"/>
          <w:szCs w:val="32"/>
        </w:rPr>
        <w:t>%；项目支出</w:t>
      </w:r>
      <w:r>
        <w:rPr>
          <w:rFonts w:hint="eastAsia" w:eastAsia="仿宋_GB2312"/>
          <w:sz w:val="32"/>
          <w:szCs w:val="32"/>
          <w:lang w:val="en-US" w:eastAsia="zh-CN"/>
        </w:rPr>
        <w:t>1991.9</w:t>
      </w:r>
      <w:r>
        <w:rPr>
          <w:rFonts w:eastAsia="仿宋_GB2312"/>
          <w:sz w:val="32"/>
          <w:szCs w:val="32"/>
        </w:rPr>
        <w:t>万元，占</w:t>
      </w:r>
      <w:r>
        <w:rPr>
          <w:rFonts w:hint="eastAsia" w:eastAsia="仿宋_GB2312"/>
          <w:sz w:val="32"/>
          <w:szCs w:val="32"/>
          <w:lang w:val="en-US" w:eastAsia="zh-CN"/>
        </w:rPr>
        <w:t>88.2</w:t>
      </w:r>
      <w:r>
        <w:rPr>
          <w:rFonts w:eastAsia="仿宋_GB2312"/>
          <w:sz w:val="32"/>
          <w:szCs w:val="32"/>
        </w:rPr>
        <w:t>%；上缴上级支出0万元，占0%；经营支出0万元，占0%；对附属单位补助支出0万元，占0%。</w:t>
      </w:r>
    </w:p>
    <w:p w14:paraId="28AD1263">
      <w:pPr>
        <w:ind w:firstLine="1760" w:firstLineChars="550"/>
        <w:rPr>
          <w:rFonts w:hint="eastAsia" w:eastAsia="仿宋_GB2312" w:cs="仿宋_GB2312"/>
          <w:sz w:val="32"/>
          <w:szCs w:val="32"/>
        </w:rPr>
      </w:pPr>
    </w:p>
    <w:p w14:paraId="1132D532">
      <w:pPr>
        <w:ind w:firstLine="2400" w:firstLineChars="750"/>
        <w:rPr>
          <w:rFonts w:eastAsia="仿宋_GB2312" w:cs="仿宋_GB2312"/>
          <w:sz w:val="32"/>
          <w:szCs w:val="32"/>
        </w:rPr>
      </w:pPr>
      <w:r>
        <w:rPr>
          <w:rFonts w:hint="eastAsia" w:eastAsia="仿宋_GB2312" w:cs="仿宋_GB2312"/>
          <w:sz w:val="32"/>
          <w:szCs w:val="32"/>
        </w:rPr>
        <w:t>（图3：支出决算结构图）</w:t>
      </w:r>
    </w:p>
    <w:p w14:paraId="78A068BA">
      <w:pPr>
        <w:ind w:firstLine="525" w:firstLineChars="250"/>
        <w:rPr>
          <w:rFonts w:eastAsia="仿宋_GB2312" w:cs="仿宋_GB2312"/>
          <w:sz w:val="32"/>
          <w:szCs w:val="32"/>
        </w:rPr>
      </w:pPr>
      <w:r>
        <w:drawing>
          <wp:anchor distT="0" distB="0" distL="114300" distR="114300" simplePos="0" relativeHeight="251661312" behindDoc="0" locked="0" layoutInCell="1" allowOverlap="1">
            <wp:simplePos x="0" y="0"/>
            <wp:positionH relativeFrom="column">
              <wp:posOffset>265430</wp:posOffset>
            </wp:positionH>
            <wp:positionV relativeFrom="paragraph">
              <wp:posOffset>141605</wp:posOffset>
            </wp:positionV>
            <wp:extent cx="4831080" cy="2743200"/>
            <wp:effectExtent l="4445" t="4445" r="22225" b="14605"/>
            <wp:wrapSquare wrapText="bothSides"/>
            <wp:docPr id="3" name="图表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33365D7D">
      <w:pPr>
        <w:spacing w:line="600" w:lineRule="exact"/>
        <w:ind w:firstLine="640" w:firstLineChars="200"/>
        <w:outlineLvl w:val="1"/>
        <w:rPr>
          <w:rStyle w:val="30"/>
          <w:rFonts w:ascii="Times New Roman" w:hAnsi="Times New Roman" w:eastAsia="黑体"/>
          <w:b w:val="0"/>
        </w:rPr>
      </w:pPr>
      <w:bookmarkStart w:id="18" w:name="_Toc15396606"/>
      <w:bookmarkStart w:id="19" w:name="_Toc15377208"/>
      <w:r>
        <w:rPr>
          <w:rFonts w:hint="eastAsia" w:eastAsia="黑体"/>
          <w:sz w:val="32"/>
          <w:szCs w:val="32"/>
        </w:rPr>
        <w:t>四、财</w:t>
      </w:r>
      <w:r>
        <w:rPr>
          <w:rStyle w:val="30"/>
          <w:rFonts w:hint="eastAsia" w:ascii="Times New Roman" w:hAnsi="Times New Roman" w:eastAsia="黑体"/>
          <w:b w:val="0"/>
        </w:rPr>
        <w:t>政拨款收入支出决算总体情况说明</w:t>
      </w:r>
      <w:bookmarkEnd w:id="18"/>
      <w:bookmarkEnd w:id="19"/>
    </w:p>
    <w:p w14:paraId="48585932">
      <w:pPr>
        <w:ind w:firstLine="709"/>
        <w:jc w:val="left"/>
        <w:rPr>
          <w:rFonts w:eastAsia="仿宋_GB2312"/>
          <w:sz w:val="32"/>
          <w:szCs w:val="32"/>
        </w:rPr>
      </w:pPr>
      <w:r>
        <w:rPr>
          <w:rFonts w:eastAsia="仿宋_GB2312"/>
          <w:sz w:val="32"/>
          <w:szCs w:val="32"/>
        </w:rPr>
        <w:t>202</w:t>
      </w:r>
      <w:r>
        <w:rPr>
          <w:rFonts w:hint="eastAsia" w:eastAsia="仿宋_GB2312"/>
          <w:sz w:val="32"/>
          <w:szCs w:val="32"/>
          <w:lang w:val="en-US" w:eastAsia="zh-CN"/>
        </w:rPr>
        <w:t>4</w:t>
      </w:r>
      <w:r>
        <w:rPr>
          <w:rFonts w:eastAsia="仿宋_GB2312"/>
          <w:sz w:val="32"/>
          <w:szCs w:val="32"/>
        </w:rPr>
        <w:t>年财政拨款收、支总计</w:t>
      </w:r>
      <w:r>
        <w:rPr>
          <w:rFonts w:hint="eastAsia" w:eastAsia="仿宋_GB2312"/>
          <w:sz w:val="32"/>
          <w:szCs w:val="32"/>
          <w:lang w:val="en-US" w:eastAsia="zh-CN"/>
        </w:rPr>
        <w:t>2213.8</w:t>
      </w:r>
      <w:r>
        <w:rPr>
          <w:rFonts w:eastAsia="仿宋_GB2312"/>
          <w:sz w:val="32"/>
          <w:szCs w:val="32"/>
        </w:rPr>
        <w:t>万元。与202</w:t>
      </w:r>
      <w:r>
        <w:rPr>
          <w:rFonts w:hint="eastAsia" w:eastAsia="仿宋_GB2312"/>
          <w:sz w:val="32"/>
          <w:szCs w:val="32"/>
          <w:lang w:val="en-US" w:eastAsia="zh-CN"/>
        </w:rPr>
        <w:t>3</w:t>
      </w:r>
      <w:r>
        <w:rPr>
          <w:rFonts w:eastAsia="仿宋_GB2312"/>
          <w:sz w:val="32"/>
          <w:szCs w:val="32"/>
        </w:rPr>
        <w:t>年相比，财政拨款收、支总计各</w:t>
      </w:r>
      <w:r>
        <w:rPr>
          <w:rFonts w:hint="eastAsia" w:eastAsia="仿宋_GB2312"/>
          <w:sz w:val="32"/>
          <w:szCs w:val="32"/>
          <w:lang w:val="en-US" w:eastAsia="zh-CN"/>
        </w:rPr>
        <w:t>增加1874.72</w:t>
      </w:r>
      <w:r>
        <w:rPr>
          <w:rFonts w:eastAsia="仿宋_GB2312"/>
          <w:sz w:val="32"/>
          <w:szCs w:val="32"/>
        </w:rPr>
        <w:t>万元，</w:t>
      </w:r>
      <w:r>
        <w:rPr>
          <w:rFonts w:hint="eastAsia" w:eastAsia="仿宋_GB2312"/>
          <w:sz w:val="32"/>
          <w:szCs w:val="32"/>
          <w:lang w:val="en-US" w:eastAsia="zh-CN"/>
        </w:rPr>
        <w:t>增加552.59</w:t>
      </w:r>
      <w:r>
        <w:rPr>
          <w:rFonts w:eastAsia="仿宋_GB2312"/>
          <w:sz w:val="32"/>
          <w:szCs w:val="32"/>
        </w:rPr>
        <w:t>%。主要变动原因是202</w:t>
      </w:r>
      <w:r>
        <w:rPr>
          <w:rFonts w:hint="eastAsia" w:eastAsia="仿宋_GB2312"/>
          <w:sz w:val="32"/>
          <w:szCs w:val="32"/>
          <w:lang w:val="en-US" w:eastAsia="zh-CN"/>
        </w:rPr>
        <w:t>4</w:t>
      </w:r>
      <w:r>
        <w:rPr>
          <w:rFonts w:eastAsia="仿宋_GB2312"/>
          <w:sz w:val="32"/>
          <w:szCs w:val="32"/>
        </w:rPr>
        <w:t>年</w:t>
      </w:r>
      <w:r>
        <w:rPr>
          <w:rFonts w:hint="eastAsia" w:eastAsia="仿宋_GB2312"/>
          <w:sz w:val="32"/>
          <w:szCs w:val="32"/>
          <w:lang w:val="en-US" w:eastAsia="zh-CN"/>
        </w:rPr>
        <w:t>修建了渔门冷链物流项目、增加对基层社入股资金和采购华为电脑2台及配套软件</w:t>
      </w:r>
      <w:r>
        <w:rPr>
          <w:rFonts w:eastAsia="仿宋_GB2312"/>
          <w:sz w:val="32"/>
          <w:szCs w:val="32"/>
        </w:rPr>
        <w:t>。</w:t>
      </w:r>
    </w:p>
    <w:p w14:paraId="24E30C06">
      <w:pPr>
        <w:spacing w:line="600" w:lineRule="exact"/>
        <w:ind w:firstLine="640" w:firstLineChars="200"/>
        <w:rPr>
          <w:rFonts w:eastAsia="仿宋_GB2312" w:cs="仿宋_GB2312"/>
          <w:sz w:val="32"/>
          <w:szCs w:val="32"/>
        </w:rPr>
      </w:pPr>
      <w:r>
        <w:rPr>
          <w:rFonts w:hint="eastAsia" w:eastAsia="仿宋_GB2312" w:cs="仿宋_GB2312"/>
          <w:sz w:val="32"/>
          <w:szCs w:val="32"/>
        </w:rPr>
        <w:t>（图4：财政拨款收、支决算总计变动情况）</w:t>
      </w:r>
    </w:p>
    <w:p w14:paraId="0797472F">
      <w:pPr>
        <w:spacing w:line="600" w:lineRule="exact"/>
        <w:ind w:firstLine="640"/>
        <w:rPr>
          <w:rFonts w:eastAsia="仿宋_GB2312" w:cs="仿宋_GB2312"/>
          <w:sz w:val="32"/>
          <w:szCs w:val="32"/>
        </w:rPr>
      </w:pPr>
      <w:r>
        <w:drawing>
          <wp:anchor distT="0" distB="0" distL="114300" distR="114300" simplePos="0" relativeHeight="251662336" behindDoc="0" locked="0" layoutInCell="1" allowOverlap="1">
            <wp:simplePos x="0" y="0"/>
            <wp:positionH relativeFrom="column">
              <wp:posOffset>262890</wp:posOffset>
            </wp:positionH>
            <wp:positionV relativeFrom="paragraph">
              <wp:posOffset>203200</wp:posOffset>
            </wp:positionV>
            <wp:extent cx="4913630" cy="2633980"/>
            <wp:effectExtent l="4445" t="4445" r="15875" b="9525"/>
            <wp:wrapSquare wrapText="bothSides"/>
            <wp:docPr id="4" name="图表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7845A93C">
      <w:pPr>
        <w:spacing w:line="600" w:lineRule="exact"/>
        <w:ind w:firstLine="640" w:firstLineChars="200"/>
        <w:outlineLvl w:val="1"/>
        <w:rPr>
          <w:rFonts w:hint="eastAsia" w:eastAsia="楷体_GB2312" w:cs="楷体_GB2312"/>
          <w:b/>
          <w:sz w:val="32"/>
          <w:szCs w:val="32"/>
        </w:rPr>
      </w:pPr>
      <w:bookmarkStart w:id="20" w:name="_Toc15377209"/>
      <w:bookmarkStart w:id="21" w:name="_Toc15396607"/>
      <w:r>
        <w:rPr>
          <w:rFonts w:hint="eastAsia" w:eastAsia="黑体"/>
          <w:sz w:val="32"/>
          <w:szCs w:val="32"/>
        </w:rPr>
        <w:t>五、</w:t>
      </w:r>
      <w:r>
        <w:rPr>
          <w:rFonts w:hint="eastAsia" w:eastAsia="黑体"/>
          <w:b/>
          <w:sz w:val="32"/>
          <w:szCs w:val="32"/>
        </w:rPr>
        <w:t>一</w:t>
      </w:r>
      <w:r>
        <w:rPr>
          <w:rStyle w:val="30"/>
          <w:rFonts w:hint="eastAsia" w:ascii="Times New Roman" w:hAnsi="Times New Roman" w:eastAsia="黑体"/>
          <w:b w:val="0"/>
        </w:rPr>
        <w:t>般公共预算财政拨款支出决算情况说明</w:t>
      </w:r>
      <w:bookmarkEnd w:id="20"/>
      <w:bookmarkEnd w:id="21"/>
      <w:bookmarkStart w:id="22" w:name="_Toc15377210"/>
    </w:p>
    <w:p w14:paraId="1B895307">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（一）一般公共预算财政拨款支出决算总体情况</w:t>
      </w:r>
      <w:bookmarkEnd w:id="22"/>
    </w:p>
    <w:p w14:paraId="738C5B4C">
      <w:pPr>
        <w:ind w:firstLine="709"/>
        <w:jc w:val="left"/>
        <w:rPr>
          <w:rFonts w:eastAsia="仿宋_GB2312"/>
          <w:sz w:val="32"/>
          <w:szCs w:val="32"/>
        </w:rPr>
      </w:pPr>
      <w:r>
        <w:rPr>
          <w:rFonts w:eastAsia="仿宋_GB2312"/>
          <w:sz w:val="32"/>
          <w:szCs w:val="32"/>
        </w:rPr>
        <w:t>202</w:t>
      </w:r>
      <w:r>
        <w:rPr>
          <w:rFonts w:hint="eastAsia" w:eastAsia="仿宋_GB2312"/>
          <w:sz w:val="32"/>
          <w:szCs w:val="32"/>
          <w:lang w:val="en-US" w:eastAsia="zh-CN"/>
        </w:rPr>
        <w:t>4</w:t>
      </w:r>
      <w:r>
        <w:rPr>
          <w:rFonts w:eastAsia="仿宋_GB2312"/>
          <w:sz w:val="32"/>
          <w:szCs w:val="32"/>
        </w:rPr>
        <w:t>年一般公共预算财政拨款收入</w:t>
      </w:r>
      <w:r>
        <w:rPr>
          <w:rFonts w:hint="eastAsia" w:eastAsia="仿宋_GB2312"/>
          <w:sz w:val="32"/>
          <w:szCs w:val="32"/>
          <w:lang w:val="en-US" w:eastAsia="zh-CN"/>
        </w:rPr>
        <w:t>601.3</w:t>
      </w:r>
      <w:r>
        <w:rPr>
          <w:rFonts w:eastAsia="仿宋_GB2312"/>
          <w:sz w:val="32"/>
          <w:szCs w:val="32"/>
        </w:rPr>
        <w:t>万元</w:t>
      </w:r>
      <w:r>
        <w:rPr>
          <w:rFonts w:hint="eastAsia" w:eastAsia="仿宋_GB2312"/>
          <w:sz w:val="32"/>
          <w:szCs w:val="32"/>
          <w:lang w:eastAsia="zh-CN"/>
        </w:rPr>
        <w:t>，</w:t>
      </w:r>
      <w:r>
        <w:rPr>
          <w:rFonts w:hint="eastAsia" w:eastAsia="仿宋_GB2312"/>
          <w:sz w:val="32"/>
          <w:szCs w:val="32"/>
          <w:lang w:val="en-US" w:eastAsia="zh-CN"/>
        </w:rPr>
        <w:t>占27.16</w:t>
      </w:r>
      <w:r>
        <w:rPr>
          <w:rFonts w:eastAsia="仿宋_GB2312"/>
          <w:sz w:val="32"/>
          <w:szCs w:val="32"/>
        </w:rPr>
        <w:t>%；政府性基金预算财政拨款收入</w:t>
      </w:r>
      <w:r>
        <w:rPr>
          <w:rFonts w:hint="eastAsia" w:eastAsia="仿宋_GB2312"/>
          <w:sz w:val="32"/>
          <w:szCs w:val="32"/>
          <w:lang w:val="en-US" w:eastAsia="zh-CN"/>
        </w:rPr>
        <w:t>1612.5</w:t>
      </w:r>
      <w:r>
        <w:rPr>
          <w:rFonts w:eastAsia="仿宋_GB2312"/>
          <w:sz w:val="32"/>
          <w:szCs w:val="32"/>
        </w:rPr>
        <w:t>万元，占</w:t>
      </w:r>
      <w:r>
        <w:rPr>
          <w:rFonts w:hint="eastAsia" w:eastAsia="仿宋_GB2312"/>
          <w:sz w:val="32"/>
          <w:szCs w:val="32"/>
          <w:lang w:val="en-US" w:eastAsia="zh-CN"/>
        </w:rPr>
        <w:t>72.84</w:t>
      </w:r>
      <w:r>
        <w:rPr>
          <w:rFonts w:eastAsia="仿宋_GB2312"/>
          <w:sz w:val="32"/>
          <w:szCs w:val="32"/>
        </w:rPr>
        <w:t>%；与202</w:t>
      </w:r>
      <w:r>
        <w:rPr>
          <w:rFonts w:hint="eastAsia" w:eastAsia="仿宋_GB2312"/>
          <w:sz w:val="32"/>
          <w:szCs w:val="32"/>
          <w:lang w:val="en-US" w:eastAsia="zh-CN"/>
        </w:rPr>
        <w:t>3</w:t>
      </w:r>
      <w:r>
        <w:rPr>
          <w:rFonts w:eastAsia="仿宋_GB2312"/>
          <w:sz w:val="32"/>
          <w:szCs w:val="32"/>
        </w:rPr>
        <w:t>年相比，一般公共预算财政拨款支出</w:t>
      </w:r>
      <w:r>
        <w:rPr>
          <w:rFonts w:hint="eastAsia" w:eastAsia="仿宋_GB2312"/>
          <w:sz w:val="32"/>
          <w:szCs w:val="32"/>
          <w:lang w:val="en-US" w:eastAsia="zh-CN"/>
        </w:rPr>
        <w:t>增加262.22</w:t>
      </w:r>
      <w:r>
        <w:rPr>
          <w:rFonts w:eastAsia="仿宋_GB2312"/>
          <w:sz w:val="32"/>
          <w:szCs w:val="32"/>
        </w:rPr>
        <w:t>万元，</w:t>
      </w:r>
      <w:r>
        <w:rPr>
          <w:rFonts w:hint="eastAsia" w:eastAsia="仿宋_GB2312"/>
          <w:sz w:val="32"/>
          <w:szCs w:val="32"/>
          <w:lang w:val="en-US" w:eastAsia="zh-CN"/>
        </w:rPr>
        <w:t>增加77.33</w:t>
      </w:r>
      <w:r>
        <w:rPr>
          <w:rFonts w:eastAsia="仿宋_GB2312"/>
          <w:sz w:val="32"/>
          <w:szCs w:val="32"/>
        </w:rPr>
        <w:t>%</w:t>
      </w:r>
      <w:r>
        <w:rPr>
          <w:rFonts w:hint="eastAsia" w:eastAsia="仿宋_GB2312"/>
          <w:sz w:val="32"/>
          <w:szCs w:val="32"/>
          <w:lang w:eastAsia="zh-CN"/>
        </w:rPr>
        <w:t>；</w:t>
      </w:r>
      <w:r>
        <w:rPr>
          <w:rFonts w:eastAsia="仿宋_GB2312"/>
          <w:sz w:val="32"/>
          <w:szCs w:val="32"/>
        </w:rPr>
        <w:t>政府性基金预算财政拨款收入</w:t>
      </w:r>
      <w:r>
        <w:rPr>
          <w:rFonts w:hint="eastAsia" w:eastAsia="仿宋_GB2312"/>
          <w:sz w:val="32"/>
          <w:szCs w:val="32"/>
          <w:lang w:val="en-US" w:eastAsia="zh-CN"/>
        </w:rPr>
        <w:t>1612.5</w:t>
      </w:r>
      <w:r>
        <w:rPr>
          <w:rFonts w:eastAsia="仿宋_GB2312"/>
          <w:sz w:val="32"/>
          <w:szCs w:val="32"/>
        </w:rPr>
        <w:t>万元，</w:t>
      </w:r>
      <w:r>
        <w:rPr>
          <w:rFonts w:hint="eastAsia" w:eastAsia="仿宋_GB2312"/>
          <w:sz w:val="32"/>
          <w:szCs w:val="32"/>
          <w:lang w:val="en-US" w:eastAsia="zh-CN"/>
        </w:rPr>
        <w:t>增加100</w:t>
      </w:r>
      <w:r>
        <w:rPr>
          <w:rFonts w:eastAsia="仿宋_GB2312"/>
          <w:sz w:val="32"/>
          <w:szCs w:val="32"/>
        </w:rPr>
        <w:t>%。主要变动原因是202</w:t>
      </w:r>
      <w:r>
        <w:rPr>
          <w:rFonts w:hint="eastAsia" w:eastAsia="仿宋_GB2312"/>
          <w:sz w:val="32"/>
          <w:szCs w:val="32"/>
          <w:lang w:val="en-US" w:eastAsia="zh-CN"/>
        </w:rPr>
        <w:t>4</w:t>
      </w:r>
      <w:r>
        <w:rPr>
          <w:rFonts w:eastAsia="仿宋_GB2312"/>
          <w:sz w:val="32"/>
          <w:szCs w:val="32"/>
        </w:rPr>
        <w:t>年社会保障和就业支出</w:t>
      </w:r>
      <w:r>
        <w:rPr>
          <w:rFonts w:hint="eastAsia" w:eastAsia="仿宋_GB2312"/>
          <w:sz w:val="32"/>
          <w:szCs w:val="32"/>
          <w:lang w:val="en-US" w:eastAsia="zh-CN"/>
        </w:rPr>
        <w:t>增加</w:t>
      </w:r>
      <w:r>
        <w:rPr>
          <w:rFonts w:hint="eastAsia" w:eastAsia="仿宋_GB2312"/>
          <w:sz w:val="32"/>
          <w:szCs w:val="32"/>
          <w:lang w:eastAsia="zh-CN"/>
        </w:rPr>
        <w:t>、城乡社区支出、农林水支出</w:t>
      </w:r>
      <w:r>
        <w:rPr>
          <w:rFonts w:hint="eastAsia" w:eastAsia="仿宋_GB2312"/>
          <w:sz w:val="32"/>
          <w:szCs w:val="32"/>
          <w:lang w:val="en-US" w:eastAsia="zh-CN"/>
        </w:rPr>
        <w:t>和其他支出增加，</w:t>
      </w:r>
      <w:r>
        <w:rPr>
          <w:rFonts w:eastAsia="仿宋_GB2312"/>
          <w:sz w:val="32"/>
          <w:szCs w:val="32"/>
        </w:rPr>
        <w:t>相比202</w:t>
      </w:r>
      <w:r>
        <w:rPr>
          <w:rFonts w:hint="eastAsia" w:eastAsia="仿宋_GB2312"/>
          <w:sz w:val="32"/>
          <w:szCs w:val="32"/>
          <w:lang w:val="en-US" w:eastAsia="zh-CN"/>
        </w:rPr>
        <w:t>3</w:t>
      </w:r>
      <w:r>
        <w:rPr>
          <w:rFonts w:eastAsia="仿宋_GB2312"/>
          <w:sz w:val="32"/>
          <w:szCs w:val="32"/>
        </w:rPr>
        <w:t>年，</w:t>
      </w:r>
      <w:r>
        <w:rPr>
          <w:rFonts w:hint="eastAsia" w:eastAsia="仿宋_GB2312"/>
          <w:sz w:val="32"/>
          <w:szCs w:val="32"/>
          <w:lang w:val="en-US" w:eastAsia="zh-CN"/>
        </w:rPr>
        <w:t>增加了修建渔门冷链项目，增加对基层社入股资金和采购华为电脑2台及配套软件</w:t>
      </w:r>
      <w:r>
        <w:rPr>
          <w:rFonts w:eastAsia="仿宋_GB2312"/>
          <w:sz w:val="32"/>
          <w:szCs w:val="32"/>
        </w:rPr>
        <w:t>。</w:t>
      </w:r>
    </w:p>
    <w:p w14:paraId="44A66F1C">
      <w:pPr>
        <w:spacing w:line="600" w:lineRule="exact"/>
        <w:ind w:firstLine="640"/>
        <w:rPr>
          <w:rFonts w:hint="eastAsia" w:eastAsia="仿宋_GB2312" w:cs="仿宋_GB2312"/>
          <w:sz w:val="32"/>
          <w:szCs w:val="32"/>
        </w:rPr>
      </w:pPr>
      <w:r>
        <w:rPr>
          <w:rFonts w:hint="eastAsia" w:eastAsia="仿宋_GB2312" w:cs="仿宋_GB2312"/>
          <w:sz w:val="32"/>
          <w:szCs w:val="32"/>
        </w:rPr>
        <w:t>（图5：一般公共预算财政拨款支出决算变动情况）</w:t>
      </w:r>
    </w:p>
    <w:p w14:paraId="52E165F0">
      <w:pPr>
        <w:pStyle w:val="9"/>
        <w:rPr>
          <w:rFonts w:hint="eastAsia" w:eastAsia="仿宋_GB2312" w:cs="仿宋_GB2312"/>
          <w:sz w:val="32"/>
          <w:szCs w:val="32"/>
        </w:rPr>
      </w:pPr>
    </w:p>
    <w:p w14:paraId="641B8CC6">
      <w:pPr>
        <w:pStyle w:val="9"/>
        <w:rPr>
          <w:rFonts w:hint="eastAsia" w:eastAsia="仿宋_GB2312" w:cs="仿宋_GB2312"/>
          <w:sz w:val="32"/>
          <w:szCs w:val="32"/>
        </w:rPr>
      </w:pPr>
    </w:p>
    <w:p w14:paraId="72E7FADE">
      <w:pPr>
        <w:pStyle w:val="9"/>
        <w:rPr>
          <w:rFonts w:hint="eastAsia" w:eastAsia="仿宋_GB2312" w:cs="仿宋_GB2312"/>
          <w:sz w:val="32"/>
          <w:szCs w:val="32"/>
        </w:rPr>
      </w:pPr>
      <w:r>
        <w:drawing>
          <wp:inline distT="0" distB="0" distL="114300" distR="114300">
            <wp:extent cx="4831080" cy="2743200"/>
            <wp:effectExtent l="4445" t="4445" r="22225"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9FDF570">
      <w:pPr>
        <w:spacing w:line="600" w:lineRule="exact"/>
        <w:outlineLvl w:val="2"/>
        <w:rPr>
          <w:rFonts w:hint="eastAsia" w:eastAsia="楷体_GB2312" w:cs="楷体_GB2312"/>
          <w:b/>
          <w:sz w:val="32"/>
          <w:szCs w:val="32"/>
        </w:rPr>
      </w:pPr>
      <w:bookmarkStart w:id="23" w:name="_Toc15377211"/>
    </w:p>
    <w:p w14:paraId="08D8FB47">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（二）一般公共预算财政拨款支出决算结构情况</w:t>
      </w:r>
      <w:bookmarkEnd w:id="23"/>
    </w:p>
    <w:p w14:paraId="6B3CEB83">
      <w:pPr>
        <w:ind w:firstLine="709"/>
        <w:jc w:val="left"/>
        <w:rPr>
          <w:rFonts w:eastAsia="仿宋_GB2312"/>
          <w:sz w:val="32"/>
          <w:szCs w:val="32"/>
        </w:rPr>
      </w:pPr>
      <w:r>
        <w:rPr>
          <w:rFonts w:eastAsia="仿宋_GB2312"/>
          <w:sz w:val="32"/>
          <w:szCs w:val="32"/>
        </w:rPr>
        <w:t>20</w:t>
      </w:r>
      <w:r>
        <w:rPr>
          <w:rFonts w:hint="eastAsia" w:eastAsia="仿宋_GB2312"/>
          <w:sz w:val="32"/>
          <w:szCs w:val="32"/>
          <w:lang w:val="en-US" w:eastAsia="zh-CN"/>
        </w:rPr>
        <w:t>24</w:t>
      </w:r>
      <w:r>
        <w:rPr>
          <w:rFonts w:eastAsia="仿宋_GB2312"/>
          <w:sz w:val="32"/>
          <w:szCs w:val="32"/>
        </w:rPr>
        <w:t>年一般公共预算财政拨款支出</w:t>
      </w:r>
      <w:r>
        <w:rPr>
          <w:rFonts w:hint="eastAsia" w:eastAsia="仿宋_GB2312"/>
          <w:sz w:val="32"/>
          <w:szCs w:val="32"/>
          <w:lang w:val="en-US" w:eastAsia="zh-CN"/>
        </w:rPr>
        <w:t>601.3</w:t>
      </w:r>
      <w:r>
        <w:rPr>
          <w:rFonts w:eastAsia="仿宋_GB2312"/>
          <w:sz w:val="32"/>
          <w:szCs w:val="32"/>
        </w:rPr>
        <w:t>万元，政府性基金预算财政拨款收入</w:t>
      </w:r>
      <w:r>
        <w:rPr>
          <w:rFonts w:hint="eastAsia" w:eastAsia="仿宋_GB2312"/>
          <w:sz w:val="32"/>
          <w:szCs w:val="32"/>
          <w:lang w:val="en-US" w:eastAsia="zh-CN"/>
        </w:rPr>
        <w:t>1612.5</w:t>
      </w:r>
      <w:r>
        <w:rPr>
          <w:rFonts w:eastAsia="仿宋_GB2312"/>
          <w:sz w:val="32"/>
          <w:szCs w:val="32"/>
        </w:rPr>
        <w:t>万元</w:t>
      </w:r>
      <w:r>
        <w:rPr>
          <w:rFonts w:hint="eastAsia" w:eastAsia="仿宋_GB2312"/>
          <w:sz w:val="32"/>
          <w:szCs w:val="32"/>
          <w:lang w:eastAsia="zh-CN"/>
        </w:rPr>
        <w:t>，</w:t>
      </w:r>
      <w:r>
        <w:rPr>
          <w:rFonts w:hint="eastAsia" w:eastAsia="仿宋_GB2312"/>
          <w:sz w:val="32"/>
          <w:szCs w:val="32"/>
          <w:lang w:val="en-US" w:eastAsia="zh-CN"/>
        </w:rPr>
        <w:t>共计支出2213.8万元;</w:t>
      </w:r>
      <w:r>
        <w:rPr>
          <w:rFonts w:eastAsia="仿宋_GB2312"/>
          <w:sz w:val="32"/>
          <w:szCs w:val="32"/>
        </w:rPr>
        <w:t>主要用于以下方面:社会保障和就业（类）支出</w:t>
      </w:r>
      <w:r>
        <w:rPr>
          <w:rFonts w:hint="eastAsia" w:eastAsia="仿宋_GB2312"/>
          <w:sz w:val="32"/>
          <w:szCs w:val="32"/>
          <w:lang w:val="en-US" w:eastAsia="zh-CN"/>
        </w:rPr>
        <w:t>46.09</w:t>
      </w:r>
      <w:r>
        <w:rPr>
          <w:rFonts w:eastAsia="仿宋_GB2312"/>
          <w:sz w:val="32"/>
          <w:szCs w:val="32"/>
        </w:rPr>
        <w:t>万元，占</w:t>
      </w:r>
      <w:r>
        <w:rPr>
          <w:rFonts w:hint="eastAsia" w:eastAsia="仿宋_GB2312"/>
          <w:sz w:val="32"/>
          <w:szCs w:val="32"/>
          <w:lang w:val="en-US" w:eastAsia="zh-CN"/>
        </w:rPr>
        <w:t>2.08</w:t>
      </w:r>
      <w:r>
        <w:rPr>
          <w:rFonts w:eastAsia="仿宋_GB2312"/>
          <w:sz w:val="32"/>
          <w:szCs w:val="32"/>
        </w:rPr>
        <w:t>%；卫生健康（类）支出</w:t>
      </w:r>
      <w:r>
        <w:rPr>
          <w:rFonts w:hint="eastAsia" w:eastAsia="仿宋_GB2312"/>
          <w:sz w:val="32"/>
          <w:szCs w:val="32"/>
          <w:lang w:val="en-US" w:eastAsia="zh-CN"/>
        </w:rPr>
        <w:t>15.06</w:t>
      </w:r>
      <w:r>
        <w:rPr>
          <w:rFonts w:eastAsia="仿宋_GB2312"/>
          <w:sz w:val="32"/>
          <w:szCs w:val="32"/>
        </w:rPr>
        <w:t>万元，占</w:t>
      </w:r>
      <w:r>
        <w:rPr>
          <w:rFonts w:hint="eastAsia" w:eastAsia="仿宋_GB2312"/>
          <w:sz w:val="32"/>
          <w:szCs w:val="32"/>
          <w:lang w:val="en-US" w:eastAsia="zh-CN"/>
        </w:rPr>
        <w:t>0.68</w:t>
      </w:r>
      <w:r>
        <w:rPr>
          <w:rFonts w:eastAsia="仿宋_GB2312"/>
          <w:sz w:val="32"/>
          <w:szCs w:val="32"/>
        </w:rPr>
        <w:t>%；</w:t>
      </w:r>
      <w:r>
        <w:rPr>
          <w:rFonts w:hint="eastAsia" w:eastAsia="仿宋_GB2312"/>
          <w:sz w:val="32"/>
          <w:szCs w:val="32"/>
        </w:rPr>
        <w:t>城乡社区</w:t>
      </w:r>
      <w:r>
        <w:rPr>
          <w:rFonts w:eastAsia="仿宋_GB2312"/>
          <w:sz w:val="32"/>
          <w:szCs w:val="32"/>
        </w:rPr>
        <w:t>（类）</w:t>
      </w:r>
      <w:r>
        <w:rPr>
          <w:rFonts w:hint="eastAsia" w:eastAsia="仿宋_GB2312"/>
          <w:sz w:val="32"/>
          <w:szCs w:val="32"/>
        </w:rPr>
        <w:t>支出</w:t>
      </w:r>
      <w:r>
        <w:rPr>
          <w:rFonts w:hint="eastAsia" w:eastAsia="仿宋_GB2312"/>
          <w:sz w:val="32"/>
          <w:szCs w:val="32"/>
          <w:lang w:val="en-US" w:eastAsia="zh-CN"/>
        </w:rPr>
        <w:t>12.5万元,</w:t>
      </w:r>
      <w:r>
        <w:rPr>
          <w:rFonts w:eastAsia="仿宋_GB2312"/>
          <w:sz w:val="32"/>
          <w:szCs w:val="32"/>
        </w:rPr>
        <w:t>占</w:t>
      </w:r>
      <w:r>
        <w:rPr>
          <w:rFonts w:hint="eastAsia" w:eastAsia="仿宋_GB2312"/>
          <w:sz w:val="32"/>
          <w:szCs w:val="32"/>
          <w:lang w:val="en-US" w:eastAsia="zh-CN"/>
        </w:rPr>
        <w:t>0.56</w:t>
      </w:r>
      <w:r>
        <w:rPr>
          <w:rFonts w:eastAsia="仿宋_GB2312"/>
          <w:sz w:val="32"/>
          <w:szCs w:val="32"/>
        </w:rPr>
        <w:t>%</w:t>
      </w:r>
      <w:r>
        <w:rPr>
          <w:rFonts w:hint="eastAsia" w:eastAsia="仿宋_GB2312"/>
          <w:sz w:val="32"/>
          <w:szCs w:val="32"/>
          <w:lang w:val="en-US" w:eastAsia="zh-CN"/>
        </w:rPr>
        <w:t>;</w:t>
      </w:r>
      <w:r>
        <w:rPr>
          <w:rFonts w:hint="eastAsia" w:eastAsia="仿宋_GB2312"/>
          <w:sz w:val="32"/>
          <w:szCs w:val="32"/>
        </w:rPr>
        <w:t>农林水</w:t>
      </w:r>
      <w:r>
        <w:rPr>
          <w:rFonts w:eastAsia="仿宋_GB2312"/>
          <w:sz w:val="32"/>
          <w:szCs w:val="32"/>
        </w:rPr>
        <w:t>（类）</w:t>
      </w:r>
      <w:r>
        <w:rPr>
          <w:rFonts w:hint="eastAsia" w:eastAsia="仿宋_GB2312"/>
          <w:sz w:val="32"/>
          <w:szCs w:val="32"/>
        </w:rPr>
        <w:t>支出</w:t>
      </w:r>
      <w:r>
        <w:rPr>
          <w:rFonts w:hint="eastAsia" w:eastAsia="仿宋_GB2312"/>
          <w:sz w:val="32"/>
          <w:szCs w:val="32"/>
          <w:lang w:val="en-US" w:eastAsia="zh-CN"/>
        </w:rPr>
        <w:t>77.95万元，占3.52%；</w:t>
      </w:r>
      <w:r>
        <w:rPr>
          <w:rFonts w:eastAsia="仿宋_GB2312"/>
          <w:sz w:val="32"/>
          <w:szCs w:val="32"/>
        </w:rPr>
        <w:t>商业服务业等（类）支出</w:t>
      </w:r>
      <w:r>
        <w:rPr>
          <w:rFonts w:hint="eastAsia" w:eastAsia="仿宋_GB2312"/>
          <w:sz w:val="32"/>
          <w:szCs w:val="32"/>
          <w:lang w:val="en-US" w:eastAsia="zh-CN"/>
        </w:rPr>
        <w:t>447.83</w:t>
      </w:r>
      <w:r>
        <w:rPr>
          <w:rFonts w:eastAsia="仿宋_GB2312"/>
          <w:sz w:val="32"/>
          <w:szCs w:val="32"/>
        </w:rPr>
        <w:t>万元，占</w:t>
      </w:r>
      <w:r>
        <w:rPr>
          <w:rFonts w:hint="eastAsia" w:eastAsia="仿宋_GB2312"/>
          <w:sz w:val="32"/>
          <w:szCs w:val="32"/>
          <w:lang w:val="en-US" w:eastAsia="zh-CN"/>
        </w:rPr>
        <w:t>20.23</w:t>
      </w:r>
      <w:r>
        <w:rPr>
          <w:rFonts w:eastAsia="仿宋_GB2312"/>
          <w:sz w:val="32"/>
          <w:szCs w:val="32"/>
        </w:rPr>
        <w:t>%；住房保障（类）支出</w:t>
      </w:r>
      <w:r>
        <w:rPr>
          <w:rFonts w:hint="eastAsia" w:eastAsia="仿宋_GB2312"/>
          <w:sz w:val="32"/>
          <w:szCs w:val="32"/>
          <w:lang w:val="en-US" w:eastAsia="zh-CN"/>
        </w:rPr>
        <w:t>14.37</w:t>
      </w:r>
      <w:r>
        <w:rPr>
          <w:rFonts w:eastAsia="仿宋_GB2312"/>
          <w:sz w:val="32"/>
          <w:szCs w:val="32"/>
        </w:rPr>
        <w:t>万元，占</w:t>
      </w:r>
      <w:r>
        <w:rPr>
          <w:rFonts w:hint="eastAsia" w:eastAsia="仿宋_GB2312"/>
          <w:sz w:val="32"/>
          <w:szCs w:val="32"/>
          <w:lang w:val="en-US" w:eastAsia="zh-CN"/>
        </w:rPr>
        <w:t>0.65</w:t>
      </w:r>
      <w:r>
        <w:rPr>
          <w:rFonts w:eastAsia="仿宋_GB2312"/>
          <w:sz w:val="32"/>
          <w:szCs w:val="32"/>
        </w:rPr>
        <w:t>%</w:t>
      </w:r>
      <w:r>
        <w:rPr>
          <w:rFonts w:hint="eastAsia" w:eastAsia="仿宋_GB2312"/>
          <w:sz w:val="32"/>
          <w:szCs w:val="32"/>
          <w:lang w:val="en-US" w:eastAsia="zh-CN"/>
        </w:rPr>
        <w:t>;其他</w:t>
      </w:r>
      <w:r>
        <w:rPr>
          <w:rFonts w:eastAsia="仿宋_GB2312"/>
          <w:sz w:val="32"/>
          <w:szCs w:val="32"/>
        </w:rPr>
        <w:t>（类）</w:t>
      </w:r>
      <w:r>
        <w:rPr>
          <w:rFonts w:hint="eastAsia" w:eastAsia="仿宋_GB2312"/>
          <w:sz w:val="32"/>
          <w:szCs w:val="32"/>
          <w:lang w:val="en-US" w:eastAsia="zh-CN"/>
        </w:rPr>
        <w:t>支出1600万元，占72.28%</w:t>
      </w:r>
      <w:r>
        <w:rPr>
          <w:rFonts w:eastAsia="仿宋_GB2312"/>
          <w:sz w:val="32"/>
          <w:szCs w:val="32"/>
        </w:rPr>
        <w:t>。</w:t>
      </w:r>
    </w:p>
    <w:p w14:paraId="1029A0F7">
      <w:pPr>
        <w:spacing w:line="600" w:lineRule="exact"/>
        <w:ind w:firstLine="640"/>
        <w:rPr>
          <w:rFonts w:hint="eastAsia" w:eastAsia="仿宋_GB2312" w:cs="仿宋_GB2312"/>
          <w:sz w:val="32"/>
          <w:szCs w:val="32"/>
        </w:rPr>
      </w:pPr>
      <w:r>
        <w:rPr>
          <w:rFonts w:hint="eastAsia" w:eastAsia="仿宋_GB2312" w:cs="仿宋_GB2312"/>
          <w:sz w:val="32"/>
          <w:szCs w:val="32"/>
        </w:rPr>
        <w:t>（图6：一般公共预算财政拨款支出决算结构）</w:t>
      </w:r>
    </w:p>
    <w:p w14:paraId="1B435FD6">
      <w:pPr>
        <w:pStyle w:val="9"/>
        <w:rPr>
          <w:rFonts w:hint="eastAsia" w:eastAsia="仿宋_GB2312" w:cs="仿宋_GB2312"/>
          <w:sz w:val="32"/>
          <w:szCs w:val="32"/>
        </w:rPr>
      </w:pPr>
    </w:p>
    <w:p w14:paraId="5F990FDF">
      <w:pPr>
        <w:pStyle w:val="9"/>
        <w:rPr>
          <w:rFonts w:hint="eastAsia" w:eastAsia="仿宋_GB2312" w:cs="仿宋_GB2312"/>
          <w:sz w:val="32"/>
          <w:szCs w:val="32"/>
        </w:rPr>
      </w:pPr>
    </w:p>
    <w:p w14:paraId="00A2DA88">
      <w:pPr>
        <w:pStyle w:val="9"/>
        <w:rPr>
          <w:rFonts w:hint="eastAsia" w:eastAsia="仿宋_GB2312" w:cs="仿宋_GB2312"/>
          <w:sz w:val="32"/>
          <w:szCs w:val="32"/>
        </w:rPr>
      </w:pPr>
    </w:p>
    <w:p w14:paraId="3D382B85">
      <w:pPr>
        <w:spacing w:line="600" w:lineRule="exact"/>
        <w:ind w:firstLine="420" w:firstLineChars="200"/>
        <w:outlineLvl w:val="2"/>
        <w:rPr>
          <w:rFonts w:eastAsia="楷体_GB2312" w:cs="楷体_GB2312"/>
          <w:b/>
          <w:sz w:val="32"/>
          <w:szCs w:val="32"/>
        </w:rPr>
      </w:pPr>
      <w:bookmarkStart w:id="24" w:name="_Toc15377212"/>
      <w:r>
        <w:drawing>
          <wp:anchor distT="0" distB="0" distL="114300" distR="114300" simplePos="0" relativeHeight="251663360" behindDoc="0" locked="0" layoutInCell="1" allowOverlap="1">
            <wp:simplePos x="0" y="0"/>
            <wp:positionH relativeFrom="column">
              <wp:posOffset>220345</wp:posOffset>
            </wp:positionH>
            <wp:positionV relativeFrom="paragraph">
              <wp:posOffset>85725</wp:posOffset>
            </wp:positionV>
            <wp:extent cx="4831080" cy="2743200"/>
            <wp:effectExtent l="4445" t="4445" r="22225" b="14605"/>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Pr>
          <w:rFonts w:hint="eastAsia" w:eastAsia="楷体_GB2312" w:cs="楷体_GB2312"/>
          <w:b/>
          <w:sz w:val="32"/>
          <w:szCs w:val="32"/>
        </w:rPr>
        <w:t>（三）一般公共预算财政拨款支出决算具体情况</w:t>
      </w:r>
      <w:bookmarkEnd w:id="24"/>
    </w:p>
    <w:p w14:paraId="783AF028">
      <w:pPr>
        <w:spacing w:line="600" w:lineRule="exact"/>
        <w:ind w:firstLine="640"/>
        <w:rPr>
          <w:rFonts w:hint="eastAsia" w:eastAsia="仿宋_GB2312" w:cs="仿宋_GB2312"/>
          <w:sz w:val="32"/>
          <w:szCs w:val="32"/>
        </w:rPr>
      </w:pPr>
      <w:r>
        <w:rPr>
          <w:rFonts w:hint="eastAsia" w:eastAsia="仿宋_GB2312" w:cs="仿宋_GB2312"/>
          <w:sz w:val="32"/>
          <w:szCs w:val="32"/>
        </w:rPr>
        <w:t>2024年一般公共预算财政拨款支出601.3万元，政府性基金预算财政拨款收入1612.5万元，完成预算100%。其中：</w:t>
      </w:r>
    </w:p>
    <w:p w14:paraId="78DB4CDC">
      <w:pPr>
        <w:spacing w:line="600" w:lineRule="exact"/>
        <w:ind w:firstLine="640"/>
        <w:rPr>
          <w:rFonts w:hint="eastAsia" w:eastAsia="仿宋_GB2312" w:cs="仿宋_GB2312"/>
          <w:sz w:val="32"/>
          <w:szCs w:val="32"/>
        </w:rPr>
      </w:pPr>
      <w:r>
        <w:rPr>
          <w:rFonts w:hint="eastAsia" w:eastAsia="仿宋_GB2312" w:cs="仿宋_GB2312"/>
          <w:sz w:val="32"/>
          <w:szCs w:val="32"/>
        </w:rPr>
        <w:t xml:space="preserve"> </w:t>
      </w:r>
      <w:r>
        <w:rPr>
          <w:rFonts w:hint="eastAsia" w:eastAsia="仿宋_GB2312" w:cs="仿宋_GB2312"/>
          <w:b/>
          <w:bCs/>
          <w:sz w:val="32"/>
          <w:szCs w:val="32"/>
        </w:rPr>
        <w:t>1.社会保障和就业支出（类）行政事业单位养老支出（款）行政单位离退休（项）:</w:t>
      </w:r>
      <w:r>
        <w:rPr>
          <w:rFonts w:hint="eastAsia" w:eastAsia="仿宋_GB2312" w:cs="仿宋_GB2312"/>
          <w:sz w:val="32"/>
          <w:szCs w:val="32"/>
        </w:rPr>
        <w:t>支出决算为26.34万元，完成预算100%。</w:t>
      </w:r>
    </w:p>
    <w:p w14:paraId="64BD5DE3">
      <w:pPr>
        <w:spacing w:line="600" w:lineRule="exact"/>
        <w:ind w:firstLine="640"/>
        <w:rPr>
          <w:rFonts w:hint="eastAsia" w:eastAsia="仿宋_GB2312" w:cs="仿宋_GB2312"/>
          <w:sz w:val="32"/>
          <w:szCs w:val="32"/>
        </w:rPr>
      </w:pPr>
      <w:r>
        <w:rPr>
          <w:rFonts w:hint="eastAsia" w:eastAsia="仿宋_GB2312" w:cs="仿宋_GB2312"/>
          <w:b/>
          <w:bCs/>
          <w:sz w:val="32"/>
          <w:szCs w:val="32"/>
        </w:rPr>
        <w:t>2. 社会保障和就业支出（类）行政事业单位养老支出（款）机关事业单位基本养老保险缴费（项）:</w:t>
      </w:r>
      <w:r>
        <w:rPr>
          <w:rFonts w:hint="eastAsia" w:eastAsia="仿宋_GB2312" w:cs="仿宋_GB2312"/>
          <w:sz w:val="32"/>
          <w:szCs w:val="32"/>
        </w:rPr>
        <w:t>支出决算为18.23万元，完成预算100%。</w:t>
      </w:r>
    </w:p>
    <w:p w14:paraId="4D9ACA50">
      <w:pPr>
        <w:spacing w:line="600" w:lineRule="exact"/>
        <w:ind w:firstLine="640"/>
        <w:rPr>
          <w:rFonts w:hint="eastAsia" w:eastAsia="仿宋_GB2312" w:cs="仿宋_GB2312"/>
          <w:sz w:val="32"/>
          <w:szCs w:val="32"/>
        </w:rPr>
      </w:pPr>
      <w:r>
        <w:rPr>
          <w:rFonts w:hint="eastAsia" w:eastAsia="仿宋_GB2312" w:cs="仿宋_GB2312"/>
          <w:b/>
          <w:bCs/>
          <w:sz w:val="32"/>
          <w:szCs w:val="32"/>
        </w:rPr>
        <w:t>3.社会保障和就业支出（类）抚恤（款）伤残抚恤（项）：</w:t>
      </w:r>
      <w:r>
        <w:rPr>
          <w:rFonts w:hint="eastAsia" w:eastAsia="仿宋_GB2312" w:cs="仿宋_GB2312"/>
          <w:sz w:val="32"/>
          <w:szCs w:val="32"/>
        </w:rPr>
        <w:t>支出决算为1.52万元，完成预算100%。</w:t>
      </w:r>
    </w:p>
    <w:p w14:paraId="2299131D">
      <w:pPr>
        <w:spacing w:line="600" w:lineRule="exact"/>
        <w:ind w:firstLine="640"/>
        <w:rPr>
          <w:rFonts w:hint="eastAsia" w:eastAsia="仿宋_GB2312" w:cs="仿宋_GB2312"/>
          <w:sz w:val="32"/>
          <w:szCs w:val="32"/>
        </w:rPr>
      </w:pPr>
      <w:r>
        <w:rPr>
          <w:rFonts w:hint="eastAsia" w:eastAsia="仿宋_GB2312" w:cs="仿宋_GB2312"/>
          <w:b/>
          <w:bCs/>
          <w:sz w:val="32"/>
          <w:szCs w:val="32"/>
        </w:rPr>
        <w:t>4.卫生健康支出（类）行政事业单位医疗（款）行政单位医疗（项）:</w:t>
      </w:r>
      <w:r>
        <w:rPr>
          <w:rFonts w:hint="eastAsia" w:eastAsia="仿宋_GB2312" w:cs="仿宋_GB2312"/>
          <w:sz w:val="32"/>
          <w:szCs w:val="32"/>
        </w:rPr>
        <w:t>支出决算为9.5万元，完成预算100%。</w:t>
      </w:r>
    </w:p>
    <w:p w14:paraId="552CDE1F">
      <w:pPr>
        <w:spacing w:line="600" w:lineRule="exact"/>
        <w:ind w:firstLine="640"/>
        <w:rPr>
          <w:rFonts w:hint="eastAsia" w:eastAsia="仿宋_GB2312" w:cs="仿宋_GB2312"/>
          <w:sz w:val="32"/>
          <w:szCs w:val="32"/>
        </w:rPr>
      </w:pPr>
      <w:r>
        <w:rPr>
          <w:rFonts w:hint="eastAsia" w:eastAsia="仿宋_GB2312" w:cs="仿宋_GB2312"/>
          <w:b/>
          <w:bCs/>
          <w:sz w:val="32"/>
          <w:szCs w:val="32"/>
        </w:rPr>
        <w:t>5.卫生健康支出（类）行政事业单位医疗（款）公务员医疗补助（项）：</w:t>
      </w:r>
      <w:r>
        <w:rPr>
          <w:rFonts w:hint="eastAsia" w:eastAsia="仿宋_GB2312" w:cs="仿宋_GB2312"/>
          <w:sz w:val="32"/>
          <w:szCs w:val="32"/>
        </w:rPr>
        <w:t>支出决算为0.51万元，完成预算100%。</w:t>
      </w:r>
    </w:p>
    <w:p w14:paraId="2DF192A9">
      <w:pPr>
        <w:spacing w:line="600" w:lineRule="exact"/>
        <w:ind w:firstLine="640"/>
        <w:rPr>
          <w:rFonts w:hint="eastAsia" w:eastAsia="仿宋_GB2312" w:cs="仿宋_GB2312"/>
          <w:sz w:val="32"/>
          <w:szCs w:val="32"/>
        </w:rPr>
      </w:pPr>
      <w:r>
        <w:rPr>
          <w:rFonts w:hint="eastAsia" w:eastAsia="仿宋_GB2312" w:cs="仿宋_GB2312"/>
          <w:b/>
          <w:bCs/>
          <w:sz w:val="32"/>
          <w:szCs w:val="32"/>
        </w:rPr>
        <w:t>6.卫生健康支出（类）行政事业单位医疗(款）其他行政事业单位医疗（项）：</w:t>
      </w:r>
      <w:r>
        <w:rPr>
          <w:rFonts w:hint="eastAsia" w:eastAsia="仿宋_GB2312" w:cs="仿宋_GB2312"/>
          <w:sz w:val="32"/>
          <w:szCs w:val="32"/>
        </w:rPr>
        <w:t>支出决算为5.05万元，完成预算100%。</w:t>
      </w:r>
    </w:p>
    <w:p w14:paraId="3F3505B9">
      <w:pPr>
        <w:spacing w:line="600" w:lineRule="exact"/>
        <w:ind w:firstLine="640"/>
        <w:rPr>
          <w:rFonts w:hint="eastAsia" w:eastAsia="仿宋_GB2312" w:cs="仿宋_GB2312"/>
          <w:sz w:val="32"/>
          <w:szCs w:val="32"/>
        </w:rPr>
      </w:pPr>
      <w:r>
        <w:rPr>
          <w:rFonts w:hint="eastAsia" w:eastAsia="仿宋_GB2312" w:cs="仿宋_GB2312"/>
          <w:b/>
          <w:bCs/>
          <w:sz w:val="32"/>
          <w:szCs w:val="32"/>
        </w:rPr>
        <w:t>7.城乡社区支出（类）国有土地使用权出让收入安排的支出（款）征地和拆迁补偿（项）：</w:t>
      </w:r>
      <w:r>
        <w:rPr>
          <w:rFonts w:hint="eastAsia" w:eastAsia="仿宋_GB2312" w:cs="仿宋_GB2312"/>
          <w:sz w:val="32"/>
          <w:szCs w:val="32"/>
        </w:rPr>
        <w:t>支出决算为4.43万元，完成预算100%。</w:t>
      </w:r>
    </w:p>
    <w:p w14:paraId="1E72D5C9">
      <w:pPr>
        <w:spacing w:line="600" w:lineRule="exact"/>
        <w:ind w:firstLine="640"/>
        <w:rPr>
          <w:rFonts w:hint="eastAsia" w:eastAsia="仿宋_GB2312" w:cs="仿宋_GB2312"/>
          <w:sz w:val="32"/>
          <w:szCs w:val="32"/>
        </w:rPr>
      </w:pPr>
      <w:r>
        <w:rPr>
          <w:rFonts w:hint="eastAsia" w:eastAsia="仿宋_GB2312" w:cs="仿宋_GB2312"/>
          <w:b/>
          <w:bCs/>
          <w:sz w:val="32"/>
          <w:szCs w:val="32"/>
        </w:rPr>
        <w:t>8.农林水支出（类）农业农村（款）其他农业农村（项）：</w:t>
      </w:r>
      <w:r>
        <w:rPr>
          <w:rFonts w:hint="eastAsia" w:eastAsia="仿宋_GB2312" w:cs="仿宋_GB2312"/>
          <w:sz w:val="32"/>
          <w:szCs w:val="32"/>
        </w:rPr>
        <w:t>支出决算为12万元，完成预算100%。</w:t>
      </w:r>
    </w:p>
    <w:p w14:paraId="17DCA127">
      <w:pPr>
        <w:spacing w:line="600" w:lineRule="exact"/>
        <w:ind w:firstLine="640"/>
        <w:rPr>
          <w:rFonts w:hint="eastAsia" w:eastAsia="仿宋_GB2312" w:cs="仿宋_GB2312"/>
          <w:sz w:val="32"/>
          <w:szCs w:val="32"/>
        </w:rPr>
      </w:pPr>
      <w:r>
        <w:rPr>
          <w:rFonts w:hint="eastAsia" w:eastAsia="仿宋_GB2312" w:cs="仿宋_GB2312"/>
          <w:b/>
          <w:bCs/>
          <w:sz w:val="32"/>
          <w:szCs w:val="32"/>
        </w:rPr>
        <w:t>9.农林水支出（类）巩固脱贫攻坚成果衔接乡村振兴（款）其他巩固脱贫攻坚成果衔接乡村振兴（项）：</w:t>
      </w:r>
      <w:r>
        <w:rPr>
          <w:rFonts w:hint="eastAsia" w:eastAsia="仿宋_GB2312" w:cs="仿宋_GB2312"/>
          <w:sz w:val="32"/>
          <w:szCs w:val="32"/>
        </w:rPr>
        <w:t>支出决算为27万元，完成预算100%。</w:t>
      </w:r>
    </w:p>
    <w:p w14:paraId="32E766C1">
      <w:pPr>
        <w:spacing w:line="600" w:lineRule="exact"/>
        <w:ind w:firstLine="640"/>
        <w:rPr>
          <w:rFonts w:hint="eastAsia" w:eastAsia="仿宋_GB2312" w:cs="仿宋_GB2312"/>
          <w:sz w:val="32"/>
          <w:szCs w:val="32"/>
        </w:rPr>
      </w:pPr>
      <w:r>
        <w:rPr>
          <w:rFonts w:hint="eastAsia" w:eastAsia="仿宋_GB2312" w:cs="仿宋_GB2312"/>
          <w:b/>
          <w:bCs/>
          <w:sz w:val="32"/>
          <w:szCs w:val="32"/>
        </w:rPr>
        <w:t>10.农林水支出（类）其他农林水支出（款）其他农林水（项）：</w:t>
      </w:r>
      <w:r>
        <w:rPr>
          <w:rFonts w:hint="eastAsia" w:eastAsia="仿宋_GB2312" w:cs="仿宋_GB2312"/>
          <w:sz w:val="32"/>
          <w:szCs w:val="32"/>
        </w:rPr>
        <w:t>支出决算为38.95万元，完成预算100%。</w:t>
      </w:r>
    </w:p>
    <w:p w14:paraId="0B4979D2">
      <w:pPr>
        <w:spacing w:line="600" w:lineRule="exact"/>
        <w:ind w:firstLine="640"/>
        <w:rPr>
          <w:rFonts w:hint="eastAsia" w:eastAsia="仿宋_GB2312" w:cs="仿宋_GB2312"/>
          <w:sz w:val="32"/>
          <w:szCs w:val="32"/>
        </w:rPr>
      </w:pPr>
      <w:r>
        <w:rPr>
          <w:rFonts w:hint="eastAsia" w:eastAsia="仿宋_GB2312" w:cs="仿宋_GB2312"/>
          <w:b/>
          <w:bCs/>
          <w:sz w:val="32"/>
          <w:szCs w:val="32"/>
        </w:rPr>
        <w:t>11.商业服务业等支出（类）商业流通事务(款）行政运行（项）：</w:t>
      </w:r>
      <w:r>
        <w:rPr>
          <w:rFonts w:hint="eastAsia" w:eastAsia="仿宋_GB2312" w:cs="仿宋_GB2312"/>
          <w:sz w:val="32"/>
          <w:szCs w:val="32"/>
        </w:rPr>
        <w:t>支出决算为146.37万元，完成预算100%。</w:t>
      </w:r>
    </w:p>
    <w:p w14:paraId="0AEA362B">
      <w:pPr>
        <w:spacing w:line="600" w:lineRule="exact"/>
        <w:ind w:firstLine="640"/>
        <w:rPr>
          <w:rFonts w:hint="eastAsia" w:eastAsia="仿宋_GB2312" w:cs="仿宋_GB2312"/>
          <w:sz w:val="32"/>
          <w:szCs w:val="32"/>
        </w:rPr>
      </w:pPr>
      <w:r>
        <w:rPr>
          <w:rFonts w:hint="eastAsia" w:eastAsia="仿宋_GB2312" w:cs="仿宋_GB2312"/>
          <w:b/>
          <w:bCs/>
          <w:sz w:val="32"/>
          <w:szCs w:val="32"/>
        </w:rPr>
        <w:t>12.商业服务业等支出（类）商业流通事务(款）一般行政管理事务（项）：</w:t>
      </w:r>
      <w:r>
        <w:rPr>
          <w:rFonts w:hint="eastAsia" w:eastAsia="仿宋_GB2312" w:cs="仿宋_GB2312"/>
          <w:sz w:val="32"/>
          <w:szCs w:val="32"/>
        </w:rPr>
        <w:t>支出决算为1.46万元，完成预算100%。</w:t>
      </w:r>
    </w:p>
    <w:p w14:paraId="3C100837">
      <w:pPr>
        <w:spacing w:line="600" w:lineRule="exact"/>
        <w:ind w:firstLine="640"/>
        <w:rPr>
          <w:rFonts w:hint="eastAsia" w:eastAsia="仿宋_GB2312" w:cs="仿宋_GB2312"/>
          <w:sz w:val="32"/>
          <w:szCs w:val="32"/>
        </w:rPr>
      </w:pPr>
      <w:r>
        <w:rPr>
          <w:rFonts w:hint="eastAsia" w:eastAsia="仿宋_GB2312" w:cs="仿宋_GB2312"/>
          <w:b/>
          <w:bCs/>
          <w:sz w:val="32"/>
          <w:szCs w:val="32"/>
        </w:rPr>
        <w:t>13.住房保障支出（类）住房改革支出(款）住房公积金（项）：</w:t>
      </w:r>
      <w:r>
        <w:rPr>
          <w:rFonts w:hint="eastAsia" w:eastAsia="仿宋_GB2312" w:cs="仿宋_GB2312"/>
          <w:sz w:val="32"/>
          <w:szCs w:val="32"/>
        </w:rPr>
        <w:t>支出决算为14.37万元，完成预算100%。</w:t>
      </w:r>
    </w:p>
    <w:p w14:paraId="5C919925">
      <w:pPr>
        <w:spacing w:line="600" w:lineRule="exact"/>
        <w:ind w:firstLine="640"/>
        <w:rPr>
          <w:rFonts w:eastAsia="仿宋_GB2312" w:cs="仿宋_GB2312"/>
          <w:sz w:val="32"/>
          <w:szCs w:val="32"/>
        </w:rPr>
      </w:pPr>
      <w:r>
        <w:rPr>
          <w:rFonts w:hint="eastAsia" w:eastAsia="仿宋_GB2312" w:cs="仿宋_GB2312"/>
          <w:b/>
          <w:bCs/>
          <w:sz w:val="32"/>
          <w:szCs w:val="32"/>
        </w:rPr>
        <w:t>14.其他支出（类）其他政府性基金及对应专项债务收入安排的支出(款）其他地方自行试点项目收益专项债券收入安排的支出（项）：</w:t>
      </w:r>
      <w:r>
        <w:rPr>
          <w:rFonts w:hint="eastAsia" w:eastAsia="仿宋_GB2312" w:cs="仿宋_GB2312"/>
          <w:sz w:val="32"/>
          <w:szCs w:val="32"/>
        </w:rPr>
        <w:t xml:space="preserve">支出决算为1600万元，完成预算100%。 </w:t>
      </w:r>
    </w:p>
    <w:p w14:paraId="67806D82">
      <w:pPr>
        <w:tabs>
          <w:tab w:val="right" w:pos="8306"/>
        </w:tabs>
        <w:spacing w:line="600" w:lineRule="exact"/>
        <w:ind w:firstLine="640"/>
        <w:outlineLvl w:val="1"/>
        <w:rPr>
          <w:rStyle w:val="30"/>
          <w:rFonts w:ascii="Times New Roman" w:hAnsi="Times New Roman"/>
        </w:rPr>
      </w:pPr>
      <w:bookmarkStart w:id="25" w:name="_Toc15396608"/>
      <w:bookmarkStart w:id="26" w:name="_Toc15377214"/>
      <w:r>
        <w:rPr>
          <w:rFonts w:hint="eastAsia" w:eastAsia="黑体"/>
          <w:sz w:val="32"/>
          <w:szCs w:val="32"/>
        </w:rPr>
        <w:t>六</w:t>
      </w:r>
      <w:r>
        <w:rPr>
          <w:rFonts w:hint="eastAsia" w:eastAsia="黑体"/>
          <w:b/>
          <w:sz w:val="32"/>
          <w:szCs w:val="32"/>
        </w:rPr>
        <w:t>、一</w:t>
      </w:r>
      <w:r>
        <w:rPr>
          <w:rStyle w:val="30"/>
          <w:rFonts w:hint="eastAsia" w:ascii="Times New Roman" w:hAnsi="Times New Roman" w:eastAsia="黑体"/>
          <w:b w:val="0"/>
        </w:rPr>
        <w:t>般公共预算财政拨款基本支出决算情况说明</w:t>
      </w:r>
      <w:bookmarkEnd w:id="25"/>
      <w:bookmarkEnd w:id="26"/>
      <w:r>
        <w:rPr>
          <w:rStyle w:val="30"/>
          <w:rFonts w:ascii="Times New Roman" w:hAnsi="Times New Roman" w:eastAsia="黑体"/>
          <w:b w:val="0"/>
        </w:rPr>
        <w:tab/>
      </w:r>
    </w:p>
    <w:p w14:paraId="1363552C">
      <w:pPr>
        <w:spacing w:line="600" w:lineRule="exact"/>
        <w:ind w:firstLine="640" w:firstLineChars="200"/>
        <w:rPr>
          <w:rFonts w:hint="eastAsia"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lang w:val="en-US" w:eastAsia="zh-CN"/>
        </w:rPr>
        <w:t>601.3</w:t>
      </w:r>
      <w:r>
        <w:rPr>
          <w:rFonts w:hint="eastAsia" w:ascii="仿宋_GB2312" w:hAnsi="仿宋_GB2312" w:eastAsia="仿宋_GB2312" w:cs="仿宋_GB2312"/>
          <w:sz w:val="32"/>
          <w:szCs w:val="32"/>
        </w:rPr>
        <w:t>万</w:t>
      </w:r>
      <w:r>
        <w:rPr>
          <w:rFonts w:hint="eastAsia" w:eastAsia="仿宋_GB2312" w:cs="仿宋_GB2312"/>
          <w:sz w:val="32"/>
          <w:szCs w:val="32"/>
        </w:rPr>
        <w:t>元，</w:t>
      </w:r>
      <w:r>
        <w:rPr>
          <w:rFonts w:eastAsia="仿宋_GB2312" w:cs="Times New Roman"/>
          <w:sz w:val="32"/>
          <w:szCs w:val="32"/>
        </w:rPr>
        <w:t>政府性基金预算财政拨款收入</w:t>
      </w:r>
      <w:r>
        <w:rPr>
          <w:rFonts w:hint="eastAsia" w:eastAsia="仿宋_GB2312" w:cs="Times New Roman"/>
          <w:sz w:val="32"/>
          <w:szCs w:val="32"/>
          <w:lang w:val="en-US" w:eastAsia="zh-CN"/>
        </w:rPr>
        <w:t>1612.5</w:t>
      </w:r>
      <w:r>
        <w:rPr>
          <w:rFonts w:eastAsia="仿宋_GB2312" w:cs="Times New Roman"/>
          <w:sz w:val="32"/>
          <w:szCs w:val="32"/>
        </w:rPr>
        <w:t>万元，</w:t>
      </w:r>
      <w:r>
        <w:rPr>
          <w:rFonts w:hint="eastAsia" w:eastAsia="仿宋_GB2312" w:cs="仿宋_GB2312"/>
          <w:sz w:val="32"/>
          <w:szCs w:val="32"/>
        </w:rPr>
        <w:t>其中：</w:t>
      </w:r>
    </w:p>
    <w:p w14:paraId="473F2AC8">
      <w:pPr>
        <w:spacing w:line="600" w:lineRule="exact"/>
        <w:ind w:firstLine="640" w:firstLineChars="200"/>
      </w:pPr>
      <w:r>
        <w:rPr>
          <w:rFonts w:hint="eastAsia" w:eastAsia="仿宋_GB2312" w:cs="仿宋_GB2312"/>
          <w:sz w:val="32"/>
          <w:szCs w:val="32"/>
        </w:rPr>
        <w:t>人员经费</w:t>
      </w:r>
      <w:r>
        <w:rPr>
          <w:rFonts w:hint="eastAsia" w:ascii="仿宋_GB2312" w:hAnsi="仿宋_GB2312" w:eastAsia="仿宋_GB2312" w:cs="仿宋_GB2312"/>
          <w:sz w:val="32"/>
          <w:szCs w:val="32"/>
          <w:lang w:val="en-US" w:eastAsia="zh-CN"/>
        </w:rPr>
        <w:t>171.18</w:t>
      </w:r>
      <w:r>
        <w:rPr>
          <w:rFonts w:hint="eastAsia" w:ascii="仿宋_GB2312" w:hAnsi="仿宋_GB2312" w:eastAsia="仿宋_GB2312" w:cs="仿宋_GB2312"/>
          <w:sz w:val="32"/>
          <w:szCs w:val="32"/>
        </w:rPr>
        <w:t>万</w:t>
      </w:r>
      <w:r>
        <w:rPr>
          <w:rFonts w:hint="eastAsia" w:eastAsia="仿宋_GB2312" w:cs="仿宋_GB2312"/>
          <w:sz w:val="32"/>
          <w:szCs w:val="32"/>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lang w:val="en-US" w:eastAsia="zh-CN"/>
        </w:rPr>
        <w:t>20.7</w:t>
      </w:r>
      <w:r>
        <w:rPr>
          <w:rFonts w:hint="eastAsia" w:ascii="仿宋_GB2312" w:hAnsi="仿宋_GB2312" w:eastAsia="仿宋_GB2312" w:cs="仿宋_GB2312"/>
          <w:sz w:val="32"/>
          <w:szCs w:val="32"/>
        </w:rPr>
        <w:t>万</w:t>
      </w:r>
      <w:r>
        <w:rPr>
          <w:rFonts w:hint="eastAsia" w:eastAsia="仿宋_GB2312" w:cs="仿宋_GB2312"/>
          <w:sz w:val="32"/>
          <w:szCs w:val="32"/>
        </w:rPr>
        <w:t>元，主要包括：办公费、印刷费、咨询费、手续费、水费、电费、邮电费、差旅费、维修（护）费、劳务费、委托业务费、工会经费、福利费、其他交通费、其他商品和服务支出、办公设备购置、专用设备购置、信息网络及软件购置更新、其他资本性支出。</w:t>
      </w:r>
    </w:p>
    <w:p w14:paraId="3499EBC6">
      <w:pPr>
        <w:spacing w:line="600" w:lineRule="exact"/>
        <w:ind w:firstLine="640"/>
        <w:outlineLvl w:val="1"/>
        <w:rPr>
          <w:rStyle w:val="30"/>
          <w:rFonts w:ascii="Times New Roman" w:hAnsi="Times New Roman" w:eastAsia="黑体"/>
          <w:b w:val="0"/>
        </w:rPr>
      </w:pPr>
      <w:bookmarkStart w:id="27" w:name="_Toc15396609"/>
      <w:bookmarkStart w:id="28" w:name="_Toc15377215"/>
      <w:r>
        <w:rPr>
          <w:rFonts w:hint="eastAsia" w:eastAsia="黑体"/>
          <w:sz w:val="32"/>
          <w:szCs w:val="32"/>
        </w:rPr>
        <w:t>七、</w:t>
      </w:r>
      <w:r>
        <w:rPr>
          <w:rStyle w:val="30"/>
          <w:rFonts w:hint="eastAsia" w:ascii="Times New Roman" w:hAnsi="Times New Roman" w:eastAsia="黑体"/>
          <w:b w:val="0"/>
        </w:rPr>
        <w:t>财政拨款</w:t>
      </w:r>
      <w:r>
        <w:rPr>
          <w:rStyle w:val="30"/>
          <w:rFonts w:hint="eastAsia" w:ascii="Times New Roman" w:hAnsi="Times New Roman" w:eastAsia="黑体"/>
        </w:rPr>
        <w:t>“</w:t>
      </w:r>
      <w:r>
        <w:rPr>
          <w:rStyle w:val="30"/>
          <w:rFonts w:hint="eastAsia" w:ascii="Times New Roman" w:hAnsi="Times New Roman" w:eastAsia="黑体"/>
          <w:b w:val="0"/>
        </w:rPr>
        <w:t>三公”经费支出决算情况说明</w:t>
      </w:r>
      <w:bookmarkEnd w:id="27"/>
      <w:bookmarkEnd w:id="28"/>
    </w:p>
    <w:p w14:paraId="19F0342A">
      <w:pPr>
        <w:spacing w:line="600" w:lineRule="exact"/>
        <w:ind w:firstLine="643" w:firstLineChars="200"/>
        <w:outlineLvl w:val="2"/>
        <w:rPr>
          <w:rFonts w:eastAsia="楷体_GB2312" w:cs="楷体_GB2312"/>
          <w:b/>
          <w:sz w:val="32"/>
          <w:szCs w:val="32"/>
        </w:rPr>
      </w:pPr>
      <w:bookmarkStart w:id="29" w:name="_Toc15377216"/>
      <w:r>
        <w:rPr>
          <w:rFonts w:hint="eastAsia" w:eastAsia="楷体_GB2312" w:cs="楷体_GB2312"/>
          <w:b/>
          <w:sz w:val="32"/>
          <w:szCs w:val="32"/>
        </w:rPr>
        <w:t>（一）“三公”经费财政拨款支出决算总体情况说明</w:t>
      </w:r>
      <w:bookmarkEnd w:id="29"/>
    </w:p>
    <w:p w14:paraId="342A9923">
      <w:pPr>
        <w:ind w:firstLine="709"/>
        <w:jc w:val="left"/>
        <w:rPr>
          <w:rFonts w:ascii="仿宋" w:hAnsi="仿宋" w:eastAsia="仿宋"/>
          <w:sz w:val="32"/>
          <w:szCs w:val="32"/>
        </w:rPr>
      </w:pPr>
      <w:r>
        <w:rPr>
          <w:rFonts w:eastAsia="仿宋_GB2312"/>
          <w:sz w:val="32"/>
          <w:szCs w:val="32"/>
        </w:rPr>
        <w:t>202</w:t>
      </w:r>
      <w:r>
        <w:rPr>
          <w:rFonts w:hint="eastAsia" w:eastAsia="仿宋_GB2312"/>
          <w:sz w:val="32"/>
          <w:szCs w:val="32"/>
          <w:lang w:val="en-US" w:eastAsia="zh-CN"/>
        </w:rPr>
        <w:t>4</w:t>
      </w:r>
      <w:r>
        <w:rPr>
          <w:rFonts w:eastAsia="仿宋_GB2312"/>
          <w:sz w:val="32"/>
          <w:szCs w:val="32"/>
        </w:rPr>
        <w:t>年</w:t>
      </w:r>
      <w:r>
        <w:rPr>
          <w:rFonts w:hint="eastAsia" w:eastAsia="仿宋_GB2312"/>
          <w:sz w:val="32"/>
          <w:szCs w:val="32"/>
          <w:lang w:val="en-US" w:eastAsia="zh-CN"/>
        </w:rPr>
        <w:t>无</w:t>
      </w:r>
      <w:r>
        <w:rPr>
          <w:rFonts w:eastAsia="仿宋_GB2312"/>
          <w:sz w:val="32"/>
          <w:szCs w:val="32"/>
        </w:rPr>
        <w:t>“三公”经费财政拨款支出，</w:t>
      </w:r>
      <w:r>
        <w:rPr>
          <w:rFonts w:hint="eastAsia" w:eastAsia="仿宋_GB2312"/>
          <w:sz w:val="32"/>
          <w:szCs w:val="32"/>
          <w:lang w:val="en-US" w:eastAsia="zh-CN"/>
        </w:rPr>
        <w:t>因24年</w:t>
      </w:r>
      <w:r>
        <w:rPr>
          <w:rFonts w:hint="eastAsia" w:ascii="仿宋_GB2312" w:hAnsi="仿宋" w:eastAsia="仿宋_GB2312"/>
          <w:sz w:val="32"/>
          <w:szCs w:val="32"/>
          <w:lang w:val="en-US" w:eastAsia="zh-CN"/>
        </w:rPr>
        <w:t>未产生公务接待会</w:t>
      </w:r>
      <w:r>
        <w:rPr>
          <w:rFonts w:eastAsia="仿宋_GB2312"/>
          <w:sz w:val="32"/>
          <w:szCs w:val="32"/>
        </w:rPr>
        <w:t>。</w:t>
      </w:r>
    </w:p>
    <w:p w14:paraId="163EF100">
      <w:pPr>
        <w:spacing w:line="600" w:lineRule="exact"/>
        <w:ind w:firstLine="643" w:firstLineChars="200"/>
        <w:outlineLvl w:val="2"/>
        <w:rPr>
          <w:rFonts w:eastAsia="楷体_GB2312" w:cs="楷体_GB2312"/>
          <w:b/>
          <w:sz w:val="32"/>
          <w:szCs w:val="32"/>
        </w:rPr>
      </w:pPr>
      <w:bookmarkStart w:id="30" w:name="_Toc15377217"/>
      <w:r>
        <w:rPr>
          <w:rFonts w:hint="eastAsia" w:eastAsia="楷体_GB2312" w:cs="楷体_GB2312"/>
          <w:b/>
          <w:sz w:val="32"/>
          <w:szCs w:val="32"/>
        </w:rPr>
        <w:t>（二）“三公”经费财政拨款支出决算具体情况说明</w:t>
      </w:r>
      <w:bookmarkEnd w:id="30"/>
    </w:p>
    <w:p w14:paraId="55C06130">
      <w:pPr>
        <w:ind w:firstLine="709"/>
        <w:jc w:val="left"/>
        <w:rPr>
          <w:rFonts w:eastAsia="仿宋_GB2312"/>
          <w:sz w:val="32"/>
          <w:szCs w:val="32"/>
        </w:rPr>
      </w:pPr>
      <w:r>
        <w:rPr>
          <w:rFonts w:eastAsia="仿宋_GB2312"/>
          <w:sz w:val="32"/>
          <w:szCs w:val="32"/>
        </w:rPr>
        <w:t>202</w:t>
      </w:r>
      <w:r>
        <w:rPr>
          <w:rFonts w:hint="eastAsia" w:eastAsia="仿宋_GB2312"/>
          <w:sz w:val="32"/>
          <w:szCs w:val="32"/>
          <w:lang w:val="en-US" w:eastAsia="zh-CN"/>
        </w:rPr>
        <w:t>4</w:t>
      </w:r>
      <w:r>
        <w:rPr>
          <w:rFonts w:eastAsia="仿宋_GB2312"/>
          <w:sz w:val="32"/>
          <w:szCs w:val="32"/>
        </w:rPr>
        <w:t>年“三公”经费财政拨款支出决算中，因公出国（境）费支出决算0万元，占0%；公务用车购置及运行维护费支出决算0万元，占0%；公务接待费支出决算</w:t>
      </w:r>
      <w:r>
        <w:rPr>
          <w:rFonts w:hint="eastAsia" w:eastAsia="仿宋_GB2312"/>
          <w:sz w:val="32"/>
          <w:szCs w:val="32"/>
          <w:lang w:val="en-US" w:eastAsia="zh-CN"/>
        </w:rPr>
        <w:t>0</w:t>
      </w:r>
      <w:r>
        <w:rPr>
          <w:rFonts w:eastAsia="仿宋_GB2312"/>
          <w:sz w:val="32"/>
          <w:szCs w:val="32"/>
        </w:rPr>
        <w:t>万元，占</w:t>
      </w:r>
      <w:r>
        <w:rPr>
          <w:rFonts w:hint="eastAsia" w:eastAsia="仿宋_GB2312"/>
          <w:sz w:val="32"/>
          <w:szCs w:val="32"/>
          <w:lang w:val="en-US" w:eastAsia="zh-CN"/>
        </w:rPr>
        <w:t>0</w:t>
      </w:r>
      <w:r>
        <w:rPr>
          <w:rFonts w:eastAsia="仿宋_GB2312"/>
          <w:sz w:val="32"/>
          <w:szCs w:val="32"/>
        </w:rPr>
        <w:t>%。具体情况如下：</w:t>
      </w:r>
    </w:p>
    <w:p w14:paraId="0BCCD928">
      <w:pPr>
        <w:spacing w:line="600" w:lineRule="exact"/>
        <w:ind w:firstLine="640"/>
        <w:rPr>
          <w:rFonts w:hint="eastAsia" w:eastAsia="仿宋_GB2312" w:cs="仿宋_GB2312"/>
          <w:sz w:val="32"/>
          <w:szCs w:val="32"/>
        </w:rPr>
      </w:pPr>
      <w:r>
        <w:rPr>
          <w:rFonts w:hint="eastAsia" w:eastAsia="仿宋_GB2312" w:cs="仿宋_GB2312"/>
          <w:sz w:val="32"/>
          <w:szCs w:val="32"/>
        </w:rPr>
        <w:t>（图7：“三公”经费财政拨款支出结构）</w:t>
      </w:r>
    </w:p>
    <w:p w14:paraId="34648E34">
      <w:pPr>
        <w:pStyle w:val="9"/>
        <w:rPr>
          <w:rFonts w:hint="eastAsia" w:eastAsia="仿宋_GB2312" w:cs="仿宋_GB2312"/>
          <w:sz w:val="32"/>
          <w:szCs w:val="32"/>
        </w:rPr>
      </w:pPr>
    </w:p>
    <w:p w14:paraId="13D3BBCB">
      <w:pPr>
        <w:pStyle w:val="9"/>
        <w:rPr>
          <w:rFonts w:hint="eastAsia" w:eastAsia="仿宋_GB2312" w:cs="仿宋_GB2312"/>
          <w:sz w:val="32"/>
          <w:szCs w:val="32"/>
        </w:rPr>
      </w:pPr>
      <w:r>
        <w:drawing>
          <wp:inline distT="0" distB="0" distL="114300" distR="114300">
            <wp:extent cx="4350385" cy="2711450"/>
            <wp:effectExtent l="4445" t="4445" r="7620" b="825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3C10875">
      <w:pPr>
        <w:pStyle w:val="9"/>
        <w:rPr>
          <w:rFonts w:hint="eastAsia" w:eastAsia="仿宋_GB2312" w:cs="仿宋_GB2312"/>
          <w:sz w:val="32"/>
          <w:szCs w:val="32"/>
        </w:rPr>
      </w:pPr>
    </w:p>
    <w:p w14:paraId="2BBB3071">
      <w:pPr>
        <w:ind w:firstLine="709"/>
        <w:jc w:val="left"/>
        <w:rPr>
          <w:rFonts w:eastAsia="仿宋_GB2312" w:cs="仿宋_GB2312"/>
          <w:sz w:val="32"/>
          <w:szCs w:val="32"/>
        </w:rPr>
      </w:pPr>
      <w:r>
        <w:rPr>
          <w:rFonts w:hint="eastAsia" w:eastAsia="仿宋_GB2312" w:cs="仿宋_GB2312"/>
          <w:b/>
          <w:bCs/>
          <w:sz w:val="32"/>
          <w:szCs w:val="32"/>
        </w:rPr>
        <w:t>1.因公出国（境）经费支出</w:t>
      </w:r>
      <w:r>
        <w:rPr>
          <w:rFonts w:hint="eastAsia" w:eastAsia="仿宋_GB2312" w:cs="仿宋_GB2312"/>
          <w:b/>
          <w:bCs/>
          <w:sz w:val="32"/>
          <w:szCs w:val="32"/>
          <w:lang w:val="en-US" w:eastAsia="zh-CN"/>
        </w:rPr>
        <w:t>0</w:t>
      </w:r>
      <w:r>
        <w:rPr>
          <w:rFonts w:hint="eastAsia" w:eastAsia="仿宋_GB2312" w:cs="仿宋_GB2312"/>
          <w:b/>
          <w:bCs/>
          <w:sz w:val="32"/>
          <w:szCs w:val="32"/>
        </w:rPr>
        <w:t>万元，完成预算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eastAsia="仿宋_GB2312"/>
          <w:sz w:val="32"/>
          <w:szCs w:val="32"/>
        </w:rPr>
        <w:t>全年安排因公出国（境）团组0次，出国（境）0人。因公出国（境）支出决算和202</w:t>
      </w:r>
      <w:r>
        <w:rPr>
          <w:rFonts w:hint="eastAsia" w:eastAsia="仿宋_GB2312"/>
          <w:sz w:val="32"/>
          <w:szCs w:val="32"/>
          <w:lang w:val="en-US" w:eastAsia="zh-CN"/>
        </w:rPr>
        <w:t>3</w:t>
      </w:r>
      <w:r>
        <w:rPr>
          <w:rFonts w:eastAsia="仿宋_GB2312"/>
          <w:sz w:val="32"/>
          <w:szCs w:val="32"/>
        </w:rPr>
        <w:t>年持平，主要原因是202</w:t>
      </w:r>
      <w:r>
        <w:rPr>
          <w:rFonts w:hint="eastAsia" w:eastAsia="仿宋_GB2312"/>
          <w:sz w:val="32"/>
          <w:szCs w:val="32"/>
          <w:lang w:val="en-US" w:eastAsia="zh-CN"/>
        </w:rPr>
        <w:t>4</w:t>
      </w:r>
      <w:r>
        <w:rPr>
          <w:rFonts w:eastAsia="仿宋_GB2312"/>
          <w:sz w:val="32"/>
          <w:szCs w:val="32"/>
        </w:rPr>
        <w:t>年和202</w:t>
      </w:r>
      <w:r>
        <w:rPr>
          <w:rFonts w:hint="eastAsia" w:eastAsia="仿宋_GB2312"/>
          <w:sz w:val="32"/>
          <w:szCs w:val="32"/>
          <w:lang w:val="en-US" w:eastAsia="zh-CN"/>
        </w:rPr>
        <w:t>3</w:t>
      </w:r>
      <w:r>
        <w:rPr>
          <w:rFonts w:eastAsia="仿宋_GB2312"/>
          <w:sz w:val="32"/>
          <w:szCs w:val="32"/>
        </w:rPr>
        <w:t>年都没有因公出国（境）支出。</w:t>
      </w:r>
    </w:p>
    <w:p w14:paraId="69B7D877">
      <w:pPr>
        <w:spacing w:line="600" w:lineRule="exact"/>
        <w:ind w:firstLine="640"/>
        <w:rPr>
          <w:rFonts w:eastAsia="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eastAsia="仿宋_GB2312"/>
          <w:sz w:val="32"/>
          <w:szCs w:val="32"/>
        </w:rPr>
        <w:t>公务用车购置及运行维护费支出决算和202</w:t>
      </w:r>
      <w:r>
        <w:rPr>
          <w:rFonts w:hint="eastAsia" w:eastAsia="仿宋_GB2312"/>
          <w:sz w:val="32"/>
          <w:szCs w:val="32"/>
          <w:lang w:val="en-US" w:eastAsia="zh-CN"/>
        </w:rPr>
        <w:t>3</w:t>
      </w:r>
      <w:r>
        <w:rPr>
          <w:rFonts w:eastAsia="仿宋_GB2312"/>
          <w:sz w:val="32"/>
          <w:szCs w:val="32"/>
        </w:rPr>
        <w:t>年持平。</w:t>
      </w:r>
    </w:p>
    <w:p w14:paraId="2BDFBF9D">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万元。全年按规定更新购置公务用车</w:t>
      </w:r>
      <w:r>
        <w:rPr>
          <w:rFonts w:hint="eastAsia" w:eastAsia="仿宋_GB2312" w:cs="仿宋_GB2312"/>
          <w:sz w:val="32"/>
          <w:szCs w:val="32"/>
          <w:lang w:val="en-US" w:eastAsia="zh-CN"/>
        </w:rPr>
        <w:t>0</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万元，越野车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万元，载客汽车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万元。截至2024年12月31日，单位共有公务用车</w:t>
      </w:r>
      <w:r>
        <w:rPr>
          <w:rFonts w:hint="eastAsia" w:eastAsia="仿宋_GB2312" w:cs="仿宋_GB2312"/>
          <w:sz w:val="32"/>
          <w:szCs w:val="32"/>
          <w:lang w:val="en-US" w:eastAsia="zh-CN"/>
        </w:rPr>
        <w:t>0</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辆、越野车</w:t>
      </w:r>
      <w:r>
        <w:rPr>
          <w:rFonts w:hint="eastAsia" w:eastAsia="仿宋_GB2312" w:cs="仿宋_GB2312"/>
          <w:sz w:val="32"/>
          <w:szCs w:val="32"/>
          <w:lang w:val="en-US" w:eastAsia="zh-CN"/>
        </w:rPr>
        <w:t>0</w:t>
      </w:r>
      <w:r>
        <w:rPr>
          <w:rFonts w:hint="eastAsia" w:eastAsia="仿宋_GB2312" w:cs="仿宋_GB2312"/>
          <w:sz w:val="32"/>
          <w:szCs w:val="32"/>
        </w:rPr>
        <w:t>辆、载客汽车</w:t>
      </w:r>
      <w:r>
        <w:rPr>
          <w:rFonts w:hint="eastAsia" w:eastAsia="仿宋_GB2312" w:cs="仿宋_GB2312"/>
          <w:sz w:val="32"/>
          <w:szCs w:val="32"/>
          <w:lang w:val="en-US" w:eastAsia="zh-CN"/>
        </w:rPr>
        <w:t>0</w:t>
      </w:r>
      <w:r>
        <w:rPr>
          <w:rFonts w:hint="eastAsia" w:eastAsia="仿宋_GB2312" w:cs="仿宋_GB2312"/>
          <w:sz w:val="32"/>
          <w:szCs w:val="32"/>
        </w:rPr>
        <w:t>辆。</w:t>
      </w:r>
    </w:p>
    <w:p w14:paraId="10E9F6F6">
      <w:pPr>
        <w:ind w:firstLine="709"/>
        <w:jc w:val="left"/>
        <w:rPr>
          <w:rFonts w:eastAsia="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万元。</w:t>
      </w:r>
      <w:r>
        <w:rPr>
          <w:rFonts w:hint="eastAsia" w:eastAsia="仿宋_GB2312"/>
          <w:sz w:val="32"/>
          <w:szCs w:val="32"/>
          <w:lang w:eastAsia="zh-CN"/>
        </w:rPr>
        <w:t>我单位</w:t>
      </w:r>
      <w:r>
        <w:rPr>
          <w:rFonts w:eastAsia="仿宋_GB2312"/>
          <w:sz w:val="32"/>
          <w:szCs w:val="32"/>
        </w:rPr>
        <w:t>202</w:t>
      </w:r>
      <w:r>
        <w:rPr>
          <w:rFonts w:hint="eastAsia" w:eastAsia="仿宋_GB2312"/>
          <w:sz w:val="32"/>
          <w:szCs w:val="32"/>
          <w:lang w:val="en-US" w:eastAsia="zh-CN"/>
        </w:rPr>
        <w:t>4</w:t>
      </w:r>
      <w:r>
        <w:rPr>
          <w:rFonts w:eastAsia="仿宋_GB2312"/>
          <w:sz w:val="32"/>
          <w:szCs w:val="32"/>
        </w:rPr>
        <w:t>年</w:t>
      </w:r>
      <w:r>
        <w:rPr>
          <w:rFonts w:hint="eastAsia" w:eastAsia="仿宋_GB2312"/>
          <w:sz w:val="32"/>
          <w:szCs w:val="32"/>
          <w:lang w:val="en-US" w:eastAsia="zh-CN"/>
        </w:rPr>
        <w:t>无</w:t>
      </w:r>
      <w:r>
        <w:rPr>
          <w:rFonts w:eastAsia="仿宋_GB2312"/>
          <w:sz w:val="32"/>
          <w:szCs w:val="32"/>
        </w:rPr>
        <w:t>公务用车运行维护费支出。</w:t>
      </w:r>
    </w:p>
    <w:p w14:paraId="66558478">
      <w:pPr>
        <w:numPr>
          <w:ilvl w:val="0"/>
          <w:numId w:val="0"/>
        </w:numPr>
        <w:ind w:firstLine="643" w:firstLineChars="200"/>
        <w:jc w:val="left"/>
        <w:rPr>
          <w:rFonts w:eastAsia="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eastAsia="仿宋_GB2312"/>
          <w:sz w:val="32"/>
          <w:szCs w:val="32"/>
        </w:rPr>
        <w:t>公务接待费支出决算比202</w:t>
      </w:r>
      <w:r>
        <w:rPr>
          <w:rFonts w:hint="eastAsia" w:eastAsia="仿宋_GB2312"/>
          <w:sz w:val="32"/>
          <w:szCs w:val="32"/>
          <w:lang w:val="en-US" w:eastAsia="zh-CN"/>
        </w:rPr>
        <w:t>3</w:t>
      </w:r>
      <w:r>
        <w:rPr>
          <w:rFonts w:eastAsia="仿宋_GB2312"/>
          <w:sz w:val="32"/>
          <w:szCs w:val="32"/>
        </w:rPr>
        <w:t>年</w:t>
      </w:r>
      <w:r>
        <w:rPr>
          <w:rFonts w:hint="eastAsia" w:eastAsia="仿宋_GB2312"/>
          <w:sz w:val="32"/>
          <w:szCs w:val="32"/>
          <w:lang w:val="en-US" w:eastAsia="zh-CN"/>
        </w:rPr>
        <w:t>持平</w:t>
      </w:r>
      <w:r>
        <w:rPr>
          <w:rFonts w:eastAsia="仿宋_GB2312"/>
          <w:sz w:val="32"/>
          <w:szCs w:val="32"/>
        </w:rPr>
        <w:t>。主要原因是202</w:t>
      </w:r>
      <w:r>
        <w:rPr>
          <w:rFonts w:hint="eastAsia" w:eastAsia="仿宋_GB2312"/>
          <w:sz w:val="32"/>
          <w:szCs w:val="32"/>
          <w:lang w:val="en-US" w:eastAsia="zh-CN"/>
        </w:rPr>
        <w:t>4</w:t>
      </w:r>
      <w:r>
        <w:rPr>
          <w:rFonts w:eastAsia="仿宋_GB2312"/>
          <w:sz w:val="32"/>
          <w:szCs w:val="32"/>
        </w:rPr>
        <w:t>年</w:t>
      </w:r>
      <w:r>
        <w:rPr>
          <w:rFonts w:hint="eastAsia" w:eastAsia="仿宋_GB2312"/>
          <w:sz w:val="32"/>
          <w:szCs w:val="32"/>
          <w:lang w:val="en-US" w:eastAsia="zh-CN"/>
        </w:rPr>
        <w:t>和2023年未产生公务接待费</w:t>
      </w:r>
      <w:r>
        <w:rPr>
          <w:rFonts w:eastAsia="仿宋_GB2312"/>
          <w:sz w:val="32"/>
          <w:szCs w:val="32"/>
        </w:rPr>
        <w:t>。</w:t>
      </w:r>
    </w:p>
    <w:p w14:paraId="7B1D1A86">
      <w:pPr>
        <w:pStyle w:val="9"/>
        <w:numPr>
          <w:ilvl w:val="0"/>
          <w:numId w:val="0"/>
        </w:numPr>
        <w:ind w:firstLine="640" w:firstLineChars="200"/>
        <w:rPr>
          <w:rFonts w:hint="eastAsia" w:eastAsia="仿宋_GB2312"/>
          <w:lang w:val="en-US" w:eastAsia="zh-CN"/>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w:t>
      </w:r>
      <w:r>
        <w:rPr>
          <w:rFonts w:hint="eastAsia" w:eastAsia="仿宋_GB2312" w:cs="仿宋_GB2312"/>
          <w:sz w:val="32"/>
          <w:szCs w:val="32"/>
        </w:rPr>
        <w:t>元，</w:t>
      </w:r>
      <w:r>
        <w:rPr>
          <w:rFonts w:hint="eastAsia" w:ascii="Calibri" w:hAnsi="Calibri" w:eastAsia="仿宋_GB2312"/>
          <w:kern w:val="2"/>
          <w:sz w:val="32"/>
          <w:szCs w:val="32"/>
          <w:lang w:val="en-US" w:eastAsia="zh-CN" w:bidi="ar-SA"/>
        </w:rPr>
        <w:t>我单位2024年无国内公务接待支出，无</w:t>
      </w:r>
      <w:r>
        <w:rPr>
          <w:rFonts w:hint="eastAsia" w:ascii="仿宋_GB2312" w:eastAsia="仿宋_GB2312"/>
          <w:sz w:val="32"/>
          <w:szCs w:val="32"/>
        </w:rPr>
        <w:t>国内公务接待批次</w:t>
      </w:r>
      <w:r>
        <w:rPr>
          <w:rFonts w:hint="eastAsia" w:ascii="仿宋_GB2312" w:eastAsia="仿宋_GB2312"/>
          <w:sz w:val="32"/>
          <w:szCs w:val="32"/>
          <w:lang w:val="en-US" w:eastAsia="zh-CN"/>
        </w:rPr>
        <w:t>人次。</w:t>
      </w:r>
    </w:p>
    <w:p w14:paraId="6450F3E5">
      <w:pPr>
        <w:ind w:firstLine="709"/>
        <w:jc w:val="left"/>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bookmarkStart w:id="31" w:name="_Toc15377218"/>
      <w:bookmarkStart w:id="32" w:name="_Toc15396610"/>
      <w:r>
        <w:rPr>
          <w:rFonts w:eastAsia="仿宋_GB2312"/>
          <w:sz w:val="32"/>
          <w:szCs w:val="32"/>
        </w:rPr>
        <w:t>202</w:t>
      </w:r>
      <w:r>
        <w:rPr>
          <w:rFonts w:hint="eastAsia" w:eastAsia="仿宋_GB2312"/>
          <w:sz w:val="32"/>
          <w:szCs w:val="32"/>
          <w:lang w:val="en-US" w:eastAsia="zh-CN"/>
        </w:rPr>
        <w:t>4</w:t>
      </w:r>
      <w:r>
        <w:rPr>
          <w:rFonts w:eastAsia="仿宋_GB2312"/>
          <w:sz w:val="32"/>
          <w:szCs w:val="32"/>
        </w:rPr>
        <w:t>年无外事接待任务，无外事接待批次人次。</w:t>
      </w:r>
    </w:p>
    <w:p w14:paraId="0A9B888E">
      <w:pPr>
        <w:spacing w:line="600" w:lineRule="exact"/>
        <w:ind w:firstLine="640"/>
        <w:outlineLvl w:val="1"/>
        <w:rPr>
          <w:rStyle w:val="30"/>
          <w:rFonts w:ascii="Times New Roman" w:hAnsi="Times New Roman" w:eastAsia="黑体"/>
        </w:rPr>
      </w:pPr>
      <w:r>
        <w:rPr>
          <w:rFonts w:hint="eastAsia" w:eastAsia="黑体"/>
          <w:sz w:val="32"/>
          <w:szCs w:val="32"/>
        </w:rPr>
        <w:t>八、</w:t>
      </w:r>
      <w:r>
        <w:rPr>
          <w:rStyle w:val="30"/>
          <w:rFonts w:hint="eastAsia" w:ascii="Times New Roman" w:hAnsi="Times New Roman" w:eastAsia="黑体"/>
          <w:b w:val="0"/>
        </w:rPr>
        <w:t>政府性基金预算支出决算情况说明</w:t>
      </w:r>
      <w:bookmarkEnd w:id="31"/>
      <w:bookmarkEnd w:id="32"/>
    </w:p>
    <w:p w14:paraId="490267EB">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2024年度政府性基金预算财政拨款支出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eastAsia="仿宋_GB2312" w:cs="仿宋_GB2312"/>
          <w:sz w:val="32"/>
          <w:szCs w:val="32"/>
        </w:rPr>
        <w:t>。与2023年度相比，政府性基金预算财政拨款支出</w:t>
      </w:r>
      <w:r>
        <w:rPr>
          <w:rFonts w:hint="eastAsia" w:eastAsia="仿宋_GB2312" w:cs="仿宋_GB2312"/>
          <w:sz w:val="32"/>
          <w:szCs w:val="32"/>
          <w:lang w:val="en-US" w:eastAsia="zh-CN"/>
        </w:rPr>
        <w:t>持平。</w:t>
      </w:r>
    </w:p>
    <w:p w14:paraId="591B9589">
      <w:pPr>
        <w:spacing w:line="600" w:lineRule="exact"/>
        <w:ind w:left="630"/>
        <w:outlineLvl w:val="1"/>
        <w:rPr>
          <w:rStyle w:val="30"/>
          <w:rFonts w:ascii="Times New Roman" w:hAnsi="Times New Roman" w:eastAsia="黑体"/>
          <w:b w:val="0"/>
        </w:rPr>
      </w:pPr>
      <w:bookmarkStart w:id="33" w:name="_Toc15377219"/>
      <w:bookmarkStart w:id="34" w:name="_Toc15396611"/>
      <w:r>
        <w:rPr>
          <w:rStyle w:val="30"/>
          <w:rFonts w:hint="eastAsia" w:ascii="Times New Roman" w:hAnsi="Times New Roman" w:eastAsia="黑体"/>
          <w:b w:val="0"/>
        </w:rPr>
        <w:t>九、国有资本经营预算支出决算情况说明</w:t>
      </w:r>
      <w:bookmarkEnd w:id="33"/>
      <w:bookmarkEnd w:id="34"/>
    </w:p>
    <w:p w14:paraId="04B2901B">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eastAsia="仿宋_GB2312" w:cs="仿宋_GB2312"/>
          <w:sz w:val="32"/>
          <w:szCs w:val="32"/>
        </w:rPr>
        <w:t>。与2023年度相比，国有资本经营预算财政拨款支出</w:t>
      </w:r>
      <w:r>
        <w:rPr>
          <w:rFonts w:hint="eastAsia" w:eastAsia="仿宋_GB2312" w:cs="仿宋_GB2312"/>
          <w:sz w:val="32"/>
          <w:szCs w:val="32"/>
          <w:lang w:val="en-US" w:eastAsia="zh-CN"/>
        </w:rPr>
        <w:t>持平</w:t>
      </w:r>
      <w:r>
        <w:rPr>
          <w:rFonts w:hint="eastAsia" w:eastAsia="仿宋_GB2312" w:cs="仿宋_GB2312"/>
          <w:sz w:val="32"/>
          <w:szCs w:val="32"/>
        </w:rPr>
        <w:t>。</w:t>
      </w:r>
    </w:p>
    <w:p w14:paraId="6A31ED00">
      <w:pPr>
        <w:spacing w:line="600" w:lineRule="exact"/>
        <w:ind w:left="630"/>
        <w:outlineLvl w:val="1"/>
        <w:rPr>
          <w:rStyle w:val="30"/>
          <w:rFonts w:ascii="Times New Roman" w:hAnsi="Times New Roman" w:eastAsia="黑体"/>
          <w:b w:val="0"/>
        </w:rPr>
      </w:pPr>
      <w:bookmarkStart w:id="35" w:name="_Toc15377221"/>
      <w:bookmarkStart w:id="36" w:name="_Toc15396612"/>
      <w:r>
        <w:rPr>
          <w:rStyle w:val="30"/>
          <w:rFonts w:hint="eastAsia" w:ascii="Times New Roman" w:hAnsi="Times New Roman" w:eastAsia="黑体"/>
          <w:b w:val="0"/>
        </w:rPr>
        <w:t>十、其他重要事项的情况说明</w:t>
      </w:r>
      <w:bookmarkEnd w:id="35"/>
      <w:bookmarkEnd w:id="36"/>
    </w:p>
    <w:p w14:paraId="6B816ACD">
      <w:pPr>
        <w:spacing w:line="600" w:lineRule="exact"/>
        <w:ind w:firstLine="643" w:firstLineChars="200"/>
        <w:outlineLvl w:val="2"/>
        <w:rPr>
          <w:rFonts w:eastAsia="楷体_GB2312" w:cs="楷体_GB2312"/>
          <w:b/>
          <w:sz w:val="32"/>
          <w:szCs w:val="32"/>
        </w:rPr>
      </w:pPr>
      <w:bookmarkStart w:id="37" w:name="_Toc15377222"/>
      <w:r>
        <w:rPr>
          <w:rFonts w:hint="eastAsia" w:eastAsia="楷体_GB2312" w:cs="楷体_GB2312"/>
          <w:b/>
          <w:sz w:val="32"/>
          <w:szCs w:val="32"/>
        </w:rPr>
        <w:t>（一）机关运行经费支出情况</w:t>
      </w:r>
      <w:bookmarkEnd w:id="37"/>
    </w:p>
    <w:p w14:paraId="3BBB8956">
      <w:pPr>
        <w:spacing w:line="600" w:lineRule="exact"/>
        <w:ind w:firstLine="640" w:firstLineChars="20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盐边县供销合作社联合社</w:t>
      </w:r>
      <w:r>
        <w:rPr>
          <w:rFonts w:hint="eastAsia" w:ascii="仿宋_GB2312" w:hAnsi="仿宋_GB2312" w:eastAsia="仿宋_GB2312" w:cs="仿宋_GB2312"/>
          <w:sz w:val="32"/>
          <w:szCs w:val="32"/>
        </w:rPr>
        <w:t>机关运行经费支出</w:t>
      </w:r>
      <w:r>
        <w:rPr>
          <w:rFonts w:hint="eastAsia" w:ascii="仿宋_GB2312" w:hAnsi="仿宋_GB2312" w:eastAsia="仿宋_GB2312" w:cs="仿宋_GB2312"/>
          <w:sz w:val="32"/>
          <w:szCs w:val="32"/>
          <w:lang w:val="en-US" w:eastAsia="zh-CN"/>
        </w:rPr>
        <w:t>19.28</w:t>
      </w:r>
      <w:r>
        <w:rPr>
          <w:rFonts w:hint="eastAsia" w:ascii="仿宋_GB2312" w:hAnsi="仿宋_GB2312" w:eastAsia="仿宋_GB2312" w:cs="仿宋_GB2312"/>
          <w:sz w:val="32"/>
          <w:szCs w:val="32"/>
        </w:rPr>
        <w:t>万</w:t>
      </w:r>
      <w:r>
        <w:rPr>
          <w:rFonts w:hint="eastAsia" w:eastAsia="仿宋_GB2312" w:cs="仿宋_GB2312"/>
          <w:sz w:val="32"/>
          <w:szCs w:val="32"/>
        </w:rPr>
        <w:t>元，比2023年度减少</w:t>
      </w:r>
      <w:r>
        <w:rPr>
          <w:rFonts w:hint="eastAsia" w:eastAsia="仿宋_GB2312" w:cs="仿宋_GB2312"/>
          <w:sz w:val="32"/>
          <w:szCs w:val="32"/>
          <w:lang w:val="en-US" w:eastAsia="zh-CN"/>
        </w:rPr>
        <w:t>1.47</w:t>
      </w:r>
      <w:r>
        <w:rPr>
          <w:rFonts w:hint="eastAsia" w:eastAsia="仿宋_GB2312" w:cs="仿宋_GB2312"/>
          <w:sz w:val="32"/>
          <w:szCs w:val="32"/>
        </w:rPr>
        <w:t>万元，下降</w:t>
      </w:r>
      <w:r>
        <w:rPr>
          <w:rFonts w:hint="eastAsia" w:eastAsia="仿宋_GB2312" w:cs="仿宋_GB2312"/>
          <w:sz w:val="32"/>
          <w:szCs w:val="32"/>
          <w:lang w:val="en-US" w:eastAsia="zh-CN"/>
        </w:rPr>
        <w:t>7.08</w:t>
      </w:r>
      <w:r>
        <w:rPr>
          <w:rFonts w:hint="eastAsia" w:eastAsia="仿宋_GB2312" w:cs="仿宋_GB2312"/>
          <w:sz w:val="32"/>
          <w:szCs w:val="32"/>
        </w:rPr>
        <w:t>%。</w:t>
      </w:r>
      <w:r>
        <w:rPr>
          <w:rFonts w:eastAsia="仿宋_GB2312"/>
          <w:color w:val="auto"/>
          <w:sz w:val="32"/>
          <w:szCs w:val="32"/>
        </w:rPr>
        <w:t>主要原因是</w:t>
      </w:r>
      <w:r>
        <w:rPr>
          <w:rFonts w:hint="eastAsia" w:eastAsia="仿宋_GB2312"/>
          <w:color w:val="auto"/>
          <w:sz w:val="32"/>
          <w:szCs w:val="32"/>
          <w:lang w:val="en-US" w:eastAsia="zh-CN"/>
        </w:rPr>
        <w:t>2024年厉行节约，反对浪费，控制机关运行经费</w:t>
      </w:r>
      <w:r>
        <w:rPr>
          <w:rFonts w:eastAsia="仿宋_GB2312"/>
          <w:color w:val="auto"/>
          <w:sz w:val="32"/>
          <w:szCs w:val="32"/>
        </w:rPr>
        <w:t>。</w:t>
      </w:r>
    </w:p>
    <w:p w14:paraId="49B55CDD">
      <w:pPr>
        <w:spacing w:line="600" w:lineRule="exact"/>
        <w:ind w:firstLine="643" w:firstLineChars="200"/>
        <w:outlineLvl w:val="2"/>
        <w:rPr>
          <w:rFonts w:eastAsia="楷体_GB2312" w:cs="楷体_GB2312"/>
          <w:b/>
          <w:sz w:val="32"/>
          <w:szCs w:val="32"/>
        </w:rPr>
      </w:pPr>
      <w:bookmarkStart w:id="38" w:name="_Toc15377223"/>
      <w:r>
        <w:rPr>
          <w:rFonts w:hint="eastAsia" w:eastAsia="楷体_GB2312" w:cs="楷体_GB2312"/>
          <w:b/>
          <w:sz w:val="32"/>
          <w:szCs w:val="32"/>
        </w:rPr>
        <w:t>（二）政府采购支出情况</w:t>
      </w:r>
      <w:bookmarkEnd w:id="38"/>
    </w:p>
    <w:p w14:paraId="6E76BA3E">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w:t>
      </w:r>
      <w:r>
        <w:rPr>
          <w:rFonts w:hint="eastAsia" w:ascii="仿宋_GB2312" w:hAnsi="仿宋_GB2312" w:eastAsia="仿宋_GB2312" w:cs="仿宋_GB2312"/>
          <w:sz w:val="32"/>
          <w:szCs w:val="32"/>
          <w:lang w:val="en-US" w:eastAsia="zh-CN"/>
        </w:rPr>
        <w:t>盐边县供销合作社联合社</w:t>
      </w:r>
      <w:r>
        <w:rPr>
          <w:rFonts w:hint="eastAsia" w:ascii="仿宋_GB2312" w:hAnsi="仿宋_GB2312" w:eastAsia="仿宋_GB2312" w:cs="仿宋_GB2312"/>
          <w:sz w:val="32"/>
          <w:szCs w:val="32"/>
        </w:rPr>
        <w:t>政府采购支出总额</w:t>
      </w:r>
      <w:r>
        <w:rPr>
          <w:rFonts w:hint="eastAsia" w:ascii="仿宋_GB2312" w:hAnsi="仿宋_GB2312" w:eastAsia="仿宋_GB2312" w:cs="仿宋_GB2312"/>
          <w:sz w:val="32"/>
          <w:szCs w:val="32"/>
          <w:lang w:val="en-US" w:eastAsia="zh-CN"/>
        </w:rPr>
        <w:t>1.46</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1.46</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val="en-US" w:eastAsia="zh-CN"/>
        </w:rPr>
        <w:t>采购华为电脑2台及系统软件2套，</w:t>
      </w:r>
      <w:r>
        <w:rPr>
          <w:rFonts w:hint="eastAsia" w:eastAsia="仿宋_GB2312"/>
          <w:sz w:val="32"/>
          <w:szCs w:val="32"/>
          <w:lang w:val="en-US" w:eastAsia="zh-CN"/>
        </w:rPr>
        <w:t>维持供销社的单位运行</w:t>
      </w:r>
      <w:r>
        <w:rPr>
          <w:rFonts w:hint="eastAsia" w:ascii="仿宋_GB2312" w:hAnsi="仿宋_GB2312" w:eastAsia="仿宋_GB2312" w:cs="仿宋_GB2312"/>
          <w:sz w:val="32"/>
          <w:szCs w:val="32"/>
        </w:rPr>
        <w:t>。授予中小企业合同金额</w:t>
      </w:r>
      <w:r>
        <w:rPr>
          <w:rFonts w:hint="eastAsia" w:ascii="仿宋_GB2312" w:hAnsi="仿宋_GB2312" w:eastAsia="仿宋_GB2312" w:cs="仿宋_GB2312"/>
          <w:sz w:val="32"/>
          <w:szCs w:val="32"/>
          <w:lang w:val="en-US" w:eastAsia="zh-CN"/>
        </w:rPr>
        <w:t>1.46</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1.46</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14:paraId="4B86F4CC">
      <w:pPr>
        <w:spacing w:line="600" w:lineRule="exact"/>
        <w:ind w:firstLine="643" w:firstLineChars="200"/>
        <w:outlineLvl w:val="2"/>
        <w:rPr>
          <w:rFonts w:eastAsia="楷体_GB2312" w:cs="楷体_GB2312"/>
          <w:b/>
          <w:sz w:val="32"/>
          <w:szCs w:val="32"/>
        </w:rPr>
      </w:pPr>
      <w:bookmarkStart w:id="39" w:name="_Toc15377224"/>
      <w:r>
        <w:rPr>
          <w:rFonts w:hint="eastAsia" w:eastAsia="楷体_GB2312" w:cs="楷体_GB2312"/>
          <w:b/>
          <w:sz w:val="32"/>
          <w:szCs w:val="32"/>
        </w:rPr>
        <w:t>（三）国有资产占有使用情况</w:t>
      </w:r>
      <w:bookmarkEnd w:id="39"/>
    </w:p>
    <w:p w14:paraId="1C8C8ED4">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w:t>
      </w:r>
      <w:r>
        <w:rPr>
          <w:rFonts w:hint="eastAsia" w:ascii="仿宋_GB2312" w:hAnsi="仿宋_GB2312" w:eastAsia="仿宋_GB2312" w:cs="仿宋_GB2312"/>
          <w:sz w:val="32"/>
          <w:szCs w:val="32"/>
          <w:lang w:val="en-US" w:eastAsia="zh-CN"/>
        </w:rPr>
        <w:t>盐边县供销合作社联合社</w:t>
      </w:r>
      <w:r>
        <w:rPr>
          <w:rFonts w:hint="eastAsia" w:ascii="仿宋_GB2312" w:hAnsi="仿宋_GB2312" w:eastAsia="仿宋_GB2312" w:cs="仿宋_GB2312"/>
          <w:sz w:val="32"/>
          <w:szCs w:val="32"/>
        </w:rPr>
        <w:t>共有车辆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辆，其中：主要负责人用车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辆、机要通信用车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辆、应急保障用车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辆。单价100万元（含）以上设备（不含车辆）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r>
        <w:rPr>
          <w:rFonts w:hint="eastAsia" w:eastAsia="仿宋_GB2312" w:cs="仿宋_GB2312"/>
          <w:sz w:val="32"/>
          <w:szCs w:val="32"/>
        </w:rPr>
        <w:t>。</w:t>
      </w:r>
    </w:p>
    <w:p w14:paraId="197A6283">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0286FD43">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根据预算绩效管理要求，本部门在2023年度预算编制阶段，组织对</w:t>
      </w:r>
      <w:r>
        <w:rPr>
          <w:rFonts w:hint="eastAsia" w:ascii="仿宋_GB2312" w:hAnsi="仿宋_GB2312" w:eastAsia="仿宋_GB2312" w:cs="仿宋_GB2312"/>
          <w:color w:val="auto"/>
          <w:sz w:val="32"/>
          <w:szCs w:val="32"/>
          <w:lang w:val="en-US" w:eastAsia="zh-CN"/>
        </w:rPr>
        <w:t>“盐边县供销社办公场所搬迁及新增办公设备经费”“</w:t>
      </w:r>
      <w:r>
        <w:rPr>
          <w:rFonts w:hint="eastAsia" w:ascii="仿宋_GB2312" w:hAnsi="仿宋_GB2312" w:eastAsia="仿宋_GB2312" w:cs="仿宋_GB2312"/>
          <w:color w:val="auto"/>
          <w:sz w:val="32"/>
          <w:szCs w:val="32"/>
        </w:rPr>
        <w:t>2023年财政衔接推进乡村振兴项目（支持基层供销社示范社发展）补助资金</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项目等</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个项目开展了预算事前绩效评估，对</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个项目编制了绩效目标，预算执行过程中，选取</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个项目开展绩效监控。</w:t>
      </w:r>
    </w:p>
    <w:p w14:paraId="0EF76DA8">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组织对2023年度一般公共预算</w:t>
      </w:r>
      <w:r>
        <w:rPr>
          <w:rFonts w:hint="eastAsia" w:ascii="仿宋_GB2312" w:hAnsi="仿宋_GB2312" w:eastAsia="仿宋_GB2312" w:cs="仿宋_GB2312"/>
          <w:color w:val="auto"/>
          <w:sz w:val="32"/>
          <w:szCs w:val="32"/>
          <w:lang w:val="en-US" w:eastAsia="zh-CN"/>
        </w:rPr>
        <w:t>所有预算资金</w:t>
      </w:r>
      <w:r>
        <w:rPr>
          <w:rFonts w:hint="eastAsia" w:ascii="仿宋_GB2312" w:hAnsi="仿宋_GB2312" w:eastAsia="仿宋_GB2312" w:cs="仿宋_GB2312"/>
          <w:color w:val="auto"/>
          <w:sz w:val="32"/>
          <w:szCs w:val="32"/>
        </w:rPr>
        <w:t>全面开展绩效自评，形成</w:t>
      </w:r>
      <w:r>
        <w:rPr>
          <w:rFonts w:eastAsia="仿宋_GB2312"/>
          <w:color w:val="auto"/>
          <w:sz w:val="32"/>
          <w:szCs w:val="32"/>
        </w:rPr>
        <w:t>盐边县供销合作社联合社</w:t>
      </w:r>
      <w:r>
        <w:rPr>
          <w:rFonts w:hint="eastAsia" w:ascii="仿宋_GB2312" w:hAnsi="仿宋_GB2312" w:eastAsia="仿宋_GB2312" w:cs="仿宋_GB2312"/>
          <w:color w:val="auto"/>
          <w:sz w:val="32"/>
          <w:szCs w:val="32"/>
        </w:rPr>
        <w:t>部门整体（含部门预算项目）绩效自评报告、</w:t>
      </w:r>
      <w:r>
        <w:rPr>
          <w:rFonts w:hint="eastAsia" w:ascii="仿宋_GB2312" w:hAnsi="仿宋_GB2312" w:eastAsia="仿宋_GB2312" w:cs="仿宋_GB2312"/>
          <w:color w:val="auto"/>
          <w:sz w:val="32"/>
          <w:szCs w:val="32"/>
          <w:lang w:val="en-US" w:eastAsia="zh-CN"/>
        </w:rPr>
        <w:t>盐边县供销社办公场所搬迁及新增办公设备经费、</w:t>
      </w:r>
      <w:r>
        <w:rPr>
          <w:rFonts w:hint="eastAsia" w:ascii="仿宋_GB2312" w:hAnsi="仿宋_GB2312" w:eastAsia="仿宋_GB2312" w:cs="仿宋_GB2312"/>
          <w:color w:val="auto"/>
          <w:sz w:val="32"/>
          <w:szCs w:val="32"/>
        </w:rPr>
        <w:t>2023年财政衔接推进乡村振兴项目（支持基层供销社示范社发展）补助资金等专项预算项目绩效自评报告，其中，</w:t>
      </w:r>
      <w:r>
        <w:rPr>
          <w:rFonts w:eastAsia="仿宋_GB2312"/>
          <w:color w:val="auto"/>
          <w:sz w:val="32"/>
          <w:szCs w:val="32"/>
        </w:rPr>
        <w:t>盐边县供销合作社联合社</w:t>
      </w:r>
      <w:r>
        <w:rPr>
          <w:rFonts w:hint="eastAsia" w:ascii="仿宋_GB2312" w:hAnsi="仿宋_GB2312" w:eastAsia="仿宋_GB2312" w:cs="仿宋_GB2312"/>
          <w:color w:val="auto"/>
          <w:sz w:val="32"/>
          <w:szCs w:val="32"/>
        </w:rPr>
        <w:t>部门整体（含部门预算项目）绩效自评得分为</w:t>
      </w:r>
      <w:r>
        <w:rPr>
          <w:rFonts w:hint="eastAsia" w:ascii="仿宋_GB2312" w:hAnsi="仿宋_GB2312" w:eastAsia="仿宋_GB2312" w:cs="仿宋_GB2312"/>
          <w:color w:val="auto"/>
          <w:sz w:val="32"/>
          <w:szCs w:val="32"/>
          <w:lang w:val="en-US" w:eastAsia="zh-CN"/>
        </w:rPr>
        <w:t>96</w:t>
      </w:r>
      <w:r>
        <w:rPr>
          <w:rFonts w:hint="eastAsia" w:ascii="仿宋_GB2312" w:hAnsi="仿宋_GB2312" w:eastAsia="仿宋_GB2312" w:cs="仿宋_GB2312"/>
          <w:color w:val="auto"/>
          <w:sz w:val="32"/>
          <w:szCs w:val="32"/>
        </w:rPr>
        <w:t>分，绩效自评综述：保障单位日常运转，提高预算编制质量，严格执行预算，减少结余资金；</w:t>
      </w:r>
      <w:r>
        <w:rPr>
          <w:rFonts w:hint="eastAsia" w:ascii="仿宋_GB2312" w:hAnsi="仿宋_GB2312" w:eastAsia="仿宋_GB2312" w:cs="仿宋_GB2312"/>
          <w:color w:val="auto"/>
          <w:sz w:val="32"/>
          <w:szCs w:val="32"/>
          <w:lang w:val="en-US" w:eastAsia="zh-CN"/>
        </w:rPr>
        <w:t>盐边县供销社办公场所搬迁及新增办公设备经费</w:t>
      </w:r>
      <w:r>
        <w:rPr>
          <w:rFonts w:hint="eastAsia" w:ascii="仿宋_GB2312" w:hAnsi="仿宋_GB2312" w:eastAsia="仿宋_GB2312" w:cs="仿宋_GB2312"/>
          <w:color w:val="auto"/>
          <w:sz w:val="32"/>
          <w:szCs w:val="32"/>
        </w:rPr>
        <w:t>专项预算项目绩效自评得分为</w:t>
      </w:r>
      <w:r>
        <w:rPr>
          <w:rFonts w:hint="eastAsia" w:ascii="仿宋_GB2312" w:hAnsi="仿宋_GB2312" w:eastAsia="仿宋_GB2312" w:cs="仿宋_GB2312"/>
          <w:color w:val="auto"/>
          <w:sz w:val="32"/>
          <w:szCs w:val="32"/>
          <w:lang w:val="en-US" w:eastAsia="zh-CN"/>
        </w:rPr>
        <w:t>99</w:t>
      </w:r>
      <w:r>
        <w:rPr>
          <w:rFonts w:hint="eastAsia" w:ascii="仿宋_GB2312" w:hAnsi="仿宋_GB2312" w:eastAsia="仿宋_GB2312" w:cs="仿宋_GB2312"/>
          <w:color w:val="auto"/>
          <w:sz w:val="32"/>
          <w:szCs w:val="32"/>
        </w:rPr>
        <w:t>分，绩效自评综述：</w:t>
      </w:r>
      <w:r>
        <w:rPr>
          <w:rFonts w:hint="eastAsia" w:ascii="仿宋_GB2312" w:hAnsi="仿宋_GB2312" w:eastAsia="仿宋_GB2312" w:cs="仿宋_GB2312"/>
          <w:color w:val="auto"/>
          <w:sz w:val="32"/>
          <w:szCs w:val="32"/>
          <w:lang w:val="en-US" w:eastAsia="zh-CN"/>
        </w:rPr>
        <w:t>该项目能全面保障供销社基本工作的开展。基层示范社建设资金专</w:t>
      </w:r>
      <w:r>
        <w:rPr>
          <w:rFonts w:hint="eastAsia" w:ascii="仿宋_GB2312" w:hAnsi="仿宋_GB2312" w:eastAsia="仿宋_GB2312" w:cs="仿宋_GB2312"/>
          <w:color w:val="auto"/>
          <w:sz w:val="32"/>
          <w:szCs w:val="32"/>
        </w:rPr>
        <w:t>项预算项目绩效自评得分为</w:t>
      </w:r>
      <w:r>
        <w:rPr>
          <w:rFonts w:hint="eastAsia" w:ascii="仿宋_GB2312" w:hAnsi="仿宋_GB2312" w:eastAsia="仿宋_GB2312" w:cs="仿宋_GB2312"/>
          <w:color w:val="auto"/>
          <w:sz w:val="32"/>
          <w:szCs w:val="32"/>
          <w:lang w:val="en-US" w:eastAsia="zh-CN"/>
        </w:rPr>
        <w:t>95</w:t>
      </w:r>
      <w:r>
        <w:rPr>
          <w:rFonts w:hint="eastAsia" w:ascii="仿宋_GB2312" w:hAnsi="仿宋_GB2312" w:eastAsia="仿宋_GB2312" w:cs="仿宋_GB2312"/>
          <w:color w:val="auto"/>
          <w:sz w:val="32"/>
          <w:szCs w:val="32"/>
        </w:rPr>
        <w:t>分，绩效自评综述：</w:t>
      </w:r>
      <w:r>
        <w:rPr>
          <w:rFonts w:hint="eastAsia" w:ascii="仿宋_GB2312" w:hAnsi="仿宋_GB2312" w:eastAsia="仿宋_GB2312" w:cs="仿宋_GB2312"/>
          <w:color w:val="auto"/>
          <w:sz w:val="32"/>
          <w:szCs w:val="32"/>
          <w:lang w:val="en-US" w:eastAsia="zh-CN"/>
        </w:rPr>
        <w:t>该项目能全面推进基层供销社示范社创建工作，不断提高为农服务质量和效能，服务“三农”助力乡村振兴，助力集体经济发展。</w:t>
      </w:r>
      <w:r>
        <w:rPr>
          <w:rFonts w:hint="eastAsia" w:ascii="仿宋_GB2312" w:hAnsi="仿宋_GB2312" w:eastAsia="仿宋_GB2312" w:cs="仿宋_GB2312"/>
          <w:sz w:val="32"/>
          <w:szCs w:val="32"/>
        </w:rPr>
        <w:t>绩效自评报告详见附件。</w:t>
      </w:r>
    </w:p>
    <w:p w14:paraId="7F5C42AA">
      <w:pPr>
        <w:spacing w:line="600" w:lineRule="exact"/>
        <w:ind w:firstLine="640"/>
        <w:rPr>
          <w:rFonts w:eastAsia="仿宋_GB2312" w:cs="仿宋_GB2312"/>
          <w:sz w:val="32"/>
          <w:szCs w:val="32"/>
        </w:rPr>
      </w:pPr>
    </w:p>
    <w:p w14:paraId="27C7C9BF">
      <w:pPr>
        <w:pStyle w:val="9"/>
        <w:rPr>
          <w:rFonts w:eastAsia="仿宋_GB2312" w:cs="仿宋_GB2312"/>
          <w:sz w:val="32"/>
          <w:szCs w:val="32"/>
        </w:rPr>
      </w:pPr>
    </w:p>
    <w:p w14:paraId="18C25762">
      <w:pPr>
        <w:pStyle w:val="9"/>
        <w:rPr>
          <w:rFonts w:eastAsia="仿宋_GB2312" w:cs="仿宋_GB2312"/>
          <w:sz w:val="32"/>
          <w:szCs w:val="32"/>
        </w:rPr>
      </w:pPr>
    </w:p>
    <w:p w14:paraId="3ADE0307">
      <w:pPr>
        <w:pStyle w:val="9"/>
        <w:rPr>
          <w:rFonts w:eastAsia="仿宋_GB2312" w:cs="仿宋_GB2312"/>
          <w:sz w:val="32"/>
          <w:szCs w:val="32"/>
        </w:rPr>
      </w:pPr>
    </w:p>
    <w:p w14:paraId="7618AACF">
      <w:pPr>
        <w:pStyle w:val="9"/>
        <w:rPr>
          <w:rFonts w:eastAsia="仿宋_GB2312" w:cs="仿宋_GB2312"/>
          <w:sz w:val="32"/>
          <w:szCs w:val="32"/>
        </w:rPr>
      </w:pPr>
    </w:p>
    <w:p w14:paraId="7F1C54B6">
      <w:pPr>
        <w:pStyle w:val="9"/>
        <w:rPr>
          <w:rFonts w:eastAsia="仿宋_GB2312" w:cs="仿宋_GB2312"/>
          <w:sz w:val="32"/>
          <w:szCs w:val="32"/>
        </w:rPr>
      </w:pPr>
    </w:p>
    <w:p w14:paraId="36F41AC3">
      <w:pPr>
        <w:pStyle w:val="9"/>
        <w:rPr>
          <w:rFonts w:eastAsia="仿宋_GB2312" w:cs="仿宋_GB2312"/>
          <w:sz w:val="32"/>
          <w:szCs w:val="32"/>
        </w:rPr>
      </w:pPr>
    </w:p>
    <w:p w14:paraId="10746DF1">
      <w:pPr>
        <w:pStyle w:val="9"/>
        <w:rPr>
          <w:rFonts w:eastAsia="仿宋_GB2312" w:cs="仿宋_GB2312"/>
          <w:sz w:val="32"/>
          <w:szCs w:val="32"/>
        </w:rPr>
      </w:pPr>
    </w:p>
    <w:p w14:paraId="524E2738">
      <w:pPr>
        <w:pStyle w:val="9"/>
        <w:rPr>
          <w:rFonts w:eastAsia="仿宋_GB2312" w:cs="仿宋_GB2312"/>
          <w:sz w:val="32"/>
          <w:szCs w:val="32"/>
        </w:rPr>
      </w:pPr>
    </w:p>
    <w:p w14:paraId="5FC3C6FA">
      <w:pPr>
        <w:pStyle w:val="9"/>
        <w:rPr>
          <w:rFonts w:eastAsia="仿宋_GB2312" w:cs="仿宋_GB2312"/>
          <w:sz w:val="32"/>
          <w:szCs w:val="32"/>
        </w:rPr>
      </w:pPr>
    </w:p>
    <w:p w14:paraId="328874E1">
      <w:pPr>
        <w:spacing w:line="600" w:lineRule="exact"/>
        <w:ind w:firstLine="640"/>
        <w:rPr>
          <w:rFonts w:eastAsia="仿宋_GB2312" w:cs="仿宋_GB2312"/>
          <w:sz w:val="32"/>
          <w:szCs w:val="32"/>
        </w:rPr>
      </w:pPr>
    </w:p>
    <w:p w14:paraId="46420ED8">
      <w:pPr>
        <w:pStyle w:val="14"/>
      </w:pPr>
    </w:p>
    <w:p w14:paraId="4750C467">
      <w:pPr>
        <w:pStyle w:val="7"/>
        <w:ind w:left="420"/>
      </w:pPr>
    </w:p>
    <w:p w14:paraId="74C93BB1">
      <w:pPr>
        <w:pStyle w:val="7"/>
        <w:ind w:left="420"/>
      </w:pPr>
    </w:p>
    <w:p w14:paraId="679D2181">
      <w:pPr>
        <w:pStyle w:val="7"/>
        <w:ind w:left="420"/>
      </w:pPr>
    </w:p>
    <w:p w14:paraId="685FC3C0">
      <w:pPr>
        <w:pStyle w:val="7"/>
        <w:ind w:left="420"/>
      </w:pPr>
    </w:p>
    <w:p w14:paraId="766053C5">
      <w:pPr>
        <w:pStyle w:val="7"/>
        <w:ind w:left="420"/>
      </w:pPr>
    </w:p>
    <w:p w14:paraId="1C7AC7DA">
      <w:pPr>
        <w:spacing w:line="600" w:lineRule="exact"/>
        <w:jc w:val="center"/>
        <w:outlineLvl w:val="0"/>
        <w:rPr>
          <w:rFonts w:eastAsia="黑体"/>
          <w:sz w:val="44"/>
          <w:szCs w:val="44"/>
        </w:rPr>
      </w:pPr>
      <w:bookmarkStart w:id="40" w:name="_Toc15396613"/>
      <w:bookmarkStart w:id="41" w:name="_Toc15377225"/>
      <w:r>
        <w:rPr>
          <w:rFonts w:hint="eastAsia" w:eastAsia="黑体"/>
          <w:sz w:val="44"/>
          <w:szCs w:val="44"/>
        </w:rPr>
        <w:t>第三部分  名词解释</w:t>
      </w:r>
      <w:bookmarkEnd w:id="40"/>
      <w:bookmarkEnd w:id="41"/>
    </w:p>
    <w:p w14:paraId="1C8DD39F">
      <w:pPr>
        <w:spacing w:line="600" w:lineRule="exact"/>
        <w:jc w:val="left"/>
        <w:rPr>
          <w:b/>
          <w:sz w:val="44"/>
          <w:szCs w:val="44"/>
        </w:rPr>
      </w:pPr>
    </w:p>
    <w:p w14:paraId="50EAEFD9">
      <w:pPr>
        <w:pStyle w:val="27"/>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1.财政拨款收入：指单位从同级财政部门取得的财政预算资金。</w:t>
      </w:r>
    </w:p>
    <w:p w14:paraId="4830ED69">
      <w:pPr>
        <w:pStyle w:val="27"/>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2.事业收入：指事业单位开展专业业务活动及辅助活动取得的收入。</w:t>
      </w:r>
    </w:p>
    <w:p w14:paraId="11408BD6">
      <w:pPr>
        <w:pStyle w:val="27"/>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3.经营收入：指事业单位在专业业务活动及其辅助活动之外开展非独立核算经营活动取得的收入。</w:t>
      </w:r>
    </w:p>
    <w:p w14:paraId="4592C123">
      <w:pPr>
        <w:pStyle w:val="27"/>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4.其他收入：指单位取得的除上述收入以外的各项收入。</w:t>
      </w:r>
    </w:p>
    <w:p w14:paraId="51B48E3C">
      <w:pPr>
        <w:pStyle w:val="27"/>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5.使用非财政拨款结余：指事业单位使用以前年度积累的非财政拨款结余弥补当年收支差额的金额。</w:t>
      </w:r>
    </w:p>
    <w:p w14:paraId="65E97E74">
      <w:pPr>
        <w:pStyle w:val="27"/>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6.年初结转和结余：指以前年度尚未完成、结转到本年按有关规定继续使用的资金。</w:t>
      </w:r>
    </w:p>
    <w:p w14:paraId="72D248D3">
      <w:pPr>
        <w:pStyle w:val="27"/>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7.结余分配：指事业单位按照会计制度规定缴纳的所得税、提取的专用结余以及转入非财政拨款结余的金额等。</w:t>
      </w:r>
    </w:p>
    <w:p w14:paraId="58E1756F">
      <w:pPr>
        <w:pStyle w:val="27"/>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8.年末结转和结余：指单位按有关规定结转到下年或以后年度继续使用的资金。</w:t>
      </w:r>
    </w:p>
    <w:p w14:paraId="400431D3">
      <w:pPr>
        <w:ind w:firstLine="640" w:firstLineChars="200"/>
        <w:rPr>
          <w:rFonts w:eastAsia="仿宋_GB2312"/>
          <w:color w:val="000000"/>
          <w:sz w:val="32"/>
          <w:szCs w:val="32"/>
        </w:rPr>
      </w:pPr>
      <w:r>
        <w:rPr>
          <w:rFonts w:eastAsia="仿宋_GB2312"/>
          <w:kern w:val="0"/>
          <w:sz w:val="32"/>
          <w:szCs w:val="32"/>
        </w:rPr>
        <w:t>9.社会保障和就业支出（类）行政事业单位养老支出（款）  行政单位离退休（项）:</w:t>
      </w:r>
      <w:r>
        <w:rPr>
          <w:rFonts w:eastAsia="仿宋_GB2312"/>
          <w:color w:val="000000"/>
          <w:sz w:val="32"/>
          <w:szCs w:val="32"/>
        </w:rPr>
        <w:t xml:space="preserve"> 指行政单位（包括实行公务员管理的事业单位）开支的离退休经费。</w:t>
      </w:r>
    </w:p>
    <w:p w14:paraId="4B14661C">
      <w:pPr>
        <w:ind w:firstLine="640" w:firstLineChars="200"/>
        <w:rPr>
          <w:rFonts w:eastAsia="仿宋_GB2312"/>
          <w:color w:val="000000"/>
          <w:sz w:val="32"/>
          <w:szCs w:val="32"/>
        </w:rPr>
      </w:pPr>
      <w:r>
        <w:rPr>
          <w:rFonts w:eastAsia="仿宋_GB2312"/>
          <w:kern w:val="0"/>
          <w:sz w:val="32"/>
          <w:szCs w:val="32"/>
        </w:rPr>
        <w:t>10.社会保障和就业支出（类）行政事业单位养老支出（款) 机关事业单位基本养老保险缴费支出（项）:</w:t>
      </w:r>
      <w:r>
        <w:rPr>
          <w:rFonts w:eastAsia="仿宋_GB2312"/>
          <w:color w:val="000000"/>
          <w:sz w:val="32"/>
          <w:szCs w:val="32"/>
        </w:rPr>
        <w:t>指机关事业单位实施养老保险制度由单位缴纳的基本养老保险费支出。</w:t>
      </w:r>
    </w:p>
    <w:p w14:paraId="490699D1">
      <w:pPr>
        <w:rPr>
          <w:rFonts w:eastAsia="仿宋_GB2312"/>
          <w:kern w:val="0"/>
          <w:sz w:val="32"/>
          <w:szCs w:val="32"/>
        </w:rPr>
      </w:pPr>
      <w:r>
        <w:rPr>
          <w:rFonts w:hint="eastAsia" w:eastAsia="仿宋_GB2312"/>
          <w:kern w:val="0"/>
          <w:sz w:val="32"/>
          <w:szCs w:val="32"/>
        </w:rPr>
        <w:t>　　</w:t>
      </w:r>
      <w:r>
        <w:rPr>
          <w:rFonts w:eastAsia="仿宋_GB2312"/>
          <w:kern w:val="0"/>
          <w:sz w:val="32"/>
          <w:szCs w:val="32"/>
        </w:rPr>
        <w:t xml:space="preserve">11.社会保障和就业支出（类）抚恤(款）伤残抚恤（项）：指按规定用于伤残人员的抚恤金和按规定开支的各种伤残补助费。 </w:t>
      </w:r>
    </w:p>
    <w:p w14:paraId="4ED9802F">
      <w:pPr>
        <w:rPr>
          <w:rFonts w:eastAsia="仿宋_GB2312"/>
          <w:kern w:val="0"/>
          <w:sz w:val="32"/>
          <w:szCs w:val="32"/>
        </w:rPr>
      </w:pPr>
      <w:r>
        <w:rPr>
          <w:rFonts w:hint="eastAsia"/>
          <w:sz w:val="32"/>
          <w:szCs w:val="32"/>
        </w:rPr>
        <w:t>　　</w:t>
      </w:r>
      <w:r>
        <w:rPr>
          <w:sz w:val="32"/>
          <w:szCs w:val="32"/>
        </w:rPr>
        <w:t>1</w:t>
      </w:r>
      <w:r>
        <w:rPr>
          <w:rFonts w:eastAsia="仿宋_GB2312"/>
          <w:kern w:val="0"/>
          <w:sz w:val="32"/>
          <w:szCs w:val="32"/>
        </w:rPr>
        <w:t>2.卫生健康支出（类）行政事业单位医疗(款）行政单位医疗（项）：指财政部门安排的行政单位（包括实行公务员管理的事业单位）基本医疗保险缴费经费，未参加医疗保险的行政单位的公费医疗经费，按国家规定享受离休人员、红军老战士待遇人员的医疗经费。</w:t>
      </w:r>
    </w:p>
    <w:p w14:paraId="19A4A8E2">
      <w:pPr>
        <w:rPr>
          <w:rFonts w:eastAsia="仿宋_GB2312"/>
          <w:kern w:val="0"/>
          <w:sz w:val="32"/>
          <w:szCs w:val="32"/>
        </w:rPr>
      </w:pPr>
      <w:r>
        <w:rPr>
          <w:rFonts w:eastAsia="仿宋_GB2312"/>
          <w:kern w:val="0"/>
          <w:sz w:val="32"/>
          <w:szCs w:val="32"/>
        </w:rPr>
        <w:t xml:space="preserve">    13.卫生健康支出（类）行政事业单位医疗(款）公务员医疗补助（项）：反应财政部门安排的公务员医疗补助经费。</w:t>
      </w:r>
    </w:p>
    <w:p w14:paraId="1818F775">
      <w:pPr>
        <w:rPr>
          <w:rFonts w:eastAsia="仿宋_GB2312"/>
          <w:kern w:val="0"/>
          <w:sz w:val="32"/>
          <w:szCs w:val="32"/>
        </w:rPr>
      </w:pPr>
      <w:r>
        <w:rPr>
          <w:rFonts w:eastAsia="仿宋_GB2312"/>
          <w:kern w:val="0"/>
          <w:sz w:val="32"/>
          <w:szCs w:val="32"/>
        </w:rPr>
        <w:t xml:space="preserve">    14.商业服务业等支出（类）商业流通事务(款）行政运行（项）：</w:t>
      </w:r>
      <w:r>
        <w:rPr>
          <w:rFonts w:eastAsia="仿宋_GB2312"/>
          <w:bCs/>
          <w:color w:val="000000"/>
          <w:sz w:val="32"/>
          <w:szCs w:val="32"/>
        </w:rPr>
        <w:t>指行政单位</w:t>
      </w:r>
      <w:r>
        <w:rPr>
          <w:rFonts w:eastAsia="仿宋_GB2312"/>
          <w:color w:val="000000"/>
          <w:sz w:val="32"/>
          <w:szCs w:val="32"/>
        </w:rPr>
        <w:t>(包括实行公务员管理的事业单位）</w:t>
      </w:r>
      <w:r>
        <w:rPr>
          <w:rFonts w:eastAsia="仿宋_GB2312"/>
          <w:bCs/>
          <w:color w:val="000000"/>
          <w:sz w:val="32"/>
          <w:szCs w:val="32"/>
        </w:rPr>
        <w:t>的基本支出</w:t>
      </w:r>
      <w:r>
        <w:rPr>
          <w:rFonts w:eastAsia="仿宋_GB2312"/>
          <w:kern w:val="0"/>
          <w:sz w:val="32"/>
          <w:szCs w:val="32"/>
        </w:rPr>
        <w:t>。</w:t>
      </w:r>
    </w:p>
    <w:p w14:paraId="218D9272">
      <w:pPr>
        <w:rPr>
          <w:rFonts w:eastAsia="仿宋_GB2312"/>
          <w:kern w:val="0"/>
          <w:sz w:val="32"/>
          <w:szCs w:val="32"/>
        </w:rPr>
      </w:pPr>
      <w:r>
        <w:rPr>
          <w:rFonts w:hint="eastAsia" w:eastAsia="仿宋_GB2312"/>
          <w:kern w:val="0"/>
          <w:sz w:val="32"/>
          <w:szCs w:val="32"/>
        </w:rPr>
        <w:t>　　</w:t>
      </w:r>
      <w:r>
        <w:rPr>
          <w:rFonts w:eastAsia="仿宋_GB2312"/>
          <w:kern w:val="0"/>
          <w:sz w:val="32"/>
          <w:szCs w:val="32"/>
        </w:rPr>
        <w:t>15.商业服务业等支出</w:t>
      </w:r>
      <w:r>
        <w:rPr>
          <w:rFonts w:eastAsia="仿宋_GB2312"/>
          <w:sz w:val="32"/>
          <w:szCs w:val="32"/>
        </w:rPr>
        <w:t>（类）商业流通事务(款）其他商业流通事务支出（项）：</w:t>
      </w:r>
      <w:r>
        <w:rPr>
          <w:rFonts w:eastAsia="仿宋_GB2312"/>
          <w:kern w:val="0"/>
          <w:sz w:val="32"/>
          <w:szCs w:val="32"/>
        </w:rPr>
        <w:t xml:space="preserve">指其他用于商业流通事务方面的支出。 </w:t>
      </w:r>
    </w:p>
    <w:p w14:paraId="57C2DBC6">
      <w:pPr>
        <w:rPr>
          <w:rFonts w:eastAsia="仿宋_GB2312"/>
          <w:kern w:val="0"/>
          <w:sz w:val="32"/>
          <w:szCs w:val="32"/>
        </w:rPr>
      </w:pPr>
      <w:r>
        <w:rPr>
          <w:rFonts w:eastAsia="仿宋_GB2312"/>
          <w:kern w:val="0"/>
          <w:sz w:val="32"/>
          <w:szCs w:val="32"/>
        </w:rPr>
        <w:t xml:space="preserve">    16.住房保障支出（类）住房改革支出(款）住房公积金（项）：</w:t>
      </w:r>
      <w:r>
        <w:rPr>
          <w:rFonts w:eastAsia="仿宋_GB2312"/>
          <w:bCs/>
          <w:color w:val="000000"/>
          <w:sz w:val="32"/>
          <w:szCs w:val="32"/>
        </w:rPr>
        <w:t>指行政事业单位按人力资源和社会保障部、财政部规定的基本工资和津贴补贴以及规定比例为职工缴纳的住房公积金</w:t>
      </w:r>
      <w:r>
        <w:rPr>
          <w:rFonts w:eastAsia="仿宋_GB2312"/>
          <w:kern w:val="0"/>
          <w:sz w:val="32"/>
          <w:szCs w:val="32"/>
        </w:rPr>
        <w:t>。</w:t>
      </w:r>
    </w:p>
    <w:p w14:paraId="4478CBC0">
      <w:pPr>
        <w:spacing w:line="600" w:lineRule="exact"/>
        <w:ind w:firstLine="640"/>
        <w:rPr>
          <w:rFonts w:eastAsia="仿宋_GB2312" w:cs="仿宋_GB2312"/>
          <w:sz w:val="32"/>
          <w:szCs w:val="32"/>
        </w:rPr>
      </w:pPr>
      <w:r>
        <w:rPr>
          <w:rFonts w:hint="eastAsia" w:eastAsia="仿宋_GB2312" w:cs="仿宋_GB2312"/>
          <w:sz w:val="32"/>
          <w:szCs w:val="32"/>
          <w:lang w:val="en-US" w:eastAsia="zh-CN"/>
        </w:rPr>
        <w:t>1</w:t>
      </w:r>
      <w:r>
        <w:rPr>
          <w:rFonts w:hint="eastAsia" w:eastAsia="仿宋_GB2312" w:cs="仿宋_GB2312"/>
          <w:sz w:val="32"/>
          <w:szCs w:val="32"/>
        </w:rPr>
        <w:t>7.基本支出：指为保障机构正常运转、完成日常工作任务而发生的人员支出和公用支出。</w:t>
      </w:r>
    </w:p>
    <w:p w14:paraId="1EAF43CE">
      <w:pPr>
        <w:spacing w:line="600" w:lineRule="exact"/>
        <w:ind w:firstLine="640"/>
        <w:rPr>
          <w:rFonts w:eastAsia="仿宋_GB2312" w:cs="仿宋_GB2312"/>
          <w:sz w:val="32"/>
          <w:szCs w:val="32"/>
        </w:rPr>
      </w:pPr>
      <w:r>
        <w:rPr>
          <w:rFonts w:hint="eastAsia" w:eastAsia="仿宋_GB2312" w:cs="仿宋_GB2312"/>
          <w:sz w:val="32"/>
          <w:szCs w:val="32"/>
          <w:lang w:val="en-US" w:eastAsia="zh-CN"/>
        </w:rPr>
        <w:t>1</w:t>
      </w:r>
      <w:r>
        <w:rPr>
          <w:rFonts w:hint="eastAsia" w:eastAsia="仿宋_GB2312" w:cs="仿宋_GB2312"/>
          <w:sz w:val="32"/>
          <w:szCs w:val="32"/>
        </w:rPr>
        <w:t xml:space="preserve">8.项目支出：指在基本支出之外为完成特定行政任务和事业发展目标所发生的支出。 </w:t>
      </w:r>
    </w:p>
    <w:p w14:paraId="070EA70E">
      <w:pPr>
        <w:spacing w:line="600" w:lineRule="exact"/>
        <w:ind w:firstLine="640"/>
        <w:rPr>
          <w:rFonts w:eastAsia="仿宋_GB2312" w:cs="仿宋_GB2312"/>
          <w:sz w:val="32"/>
          <w:szCs w:val="32"/>
        </w:rPr>
      </w:pPr>
      <w:r>
        <w:rPr>
          <w:rFonts w:hint="eastAsia" w:eastAsia="仿宋_GB2312" w:cs="仿宋_GB2312"/>
          <w:sz w:val="32"/>
          <w:szCs w:val="32"/>
          <w:lang w:val="en-US" w:eastAsia="zh-CN"/>
        </w:rPr>
        <w:t>1</w:t>
      </w:r>
      <w:r>
        <w:rPr>
          <w:rFonts w:hint="eastAsia" w:eastAsia="仿宋_GB2312" w:cs="仿宋_GB2312"/>
          <w:sz w:val="32"/>
          <w:szCs w:val="32"/>
        </w:rPr>
        <w:t>9.经营支出：指事业单位在专业业务活动及其辅助活动之外开展非独立核算经营活动发生的支出。</w:t>
      </w:r>
    </w:p>
    <w:p w14:paraId="46FB96A6">
      <w:pPr>
        <w:spacing w:line="600" w:lineRule="exact"/>
        <w:ind w:firstLine="640"/>
        <w:rPr>
          <w:rFonts w:eastAsia="仿宋_GB2312" w:cs="仿宋_GB2312"/>
          <w:sz w:val="32"/>
          <w:szCs w:val="32"/>
        </w:rPr>
      </w:pPr>
      <w:r>
        <w:rPr>
          <w:rFonts w:hint="eastAsia" w:eastAsia="仿宋_GB2312" w:cs="仿宋_GB2312"/>
          <w:sz w:val="32"/>
          <w:szCs w:val="32"/>
          <w:lang w:val="en-US" w:eastAsia="zh-CN"/>
        </w:rPr>
        <w:t>2</w:t>
      </w:r>
      <w:r>
        <w:rPr>
          <w:rFonts w:hint="eastAsia" w:eastAsia="仿宋_GB2312" w:cs="仿宋_GB2312"/>
          <w:sz w:val="32"/>
          <w:szCs w:val="32"/>
        </w:rPr>
        <w:t>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BC0795D">
      <w:pPr>
        <w:spacing w:line="600" w:lineRule="exact"/>
        <w:ind w:firstLine="640"/>
        <w:rPr>
          <w:rFonts w:eastAsia="仿宋_GB2312" w:cs="仿宋_GB2312"/>
          <w:sz w:val="32"/>
          <w:szCs w:val="32"/>
        </w:rPr>
      </w:pPr>
      <w:r>
        <w:rPr>
          <w:rFonts w:hint="eastAsia" w:eastAsia="仿宋_GB2312" w:cs="仿宋_GB2312"/>
          <w:sz w:val="32"/>
          <w:szCs w:val="32"/>
          <w:lang w:val="en-US" w:eastAsia="zh-CN"/>
        </w:rPr>
        <w:t>2</w:t>
      </w:r>
      <w:r>
        <w:rPr>
          <w:rFonts w:hint="eastAsia" w:eastAsia="仿宋_GB2312" w:cs="仿宋_GB2312"/>
          <w:sz w:val="32"/>
          <w:szCs w:val="32"/>
        </w:rPr>
        <w:t>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8C45A85">
      <w:pPr>
        <w:spacing w:line="600" w:lineRule="exact"/>
        <w:jc w:val="center"/>
        <w:rPr>
          <w:rStyle w:val="29"/>
          <w:rFonts w:eastAsia="黑体"/>
          <w:b w:val="0"/>
        </w:rPr>
      </w:pPr>
      <w:bookmarkStart w:id="42" w:name="_Toc15377226"/>
      <w:r>
        <w:rPr>
          <w:rFonts w:hint="eastAsia" w:eastAsia="仿宋_GB2312" w:cs="仿宋_GB2312"/>
          <w:sz w:val="32"/>
          <w:szCs w:val="32"/>
        </w:rPr>
        <w:br w:type="page"/>
      </w:r>
      <w:bookmarkStart w:id="43" w:name="_Toc15396614"/>
      <w:r>
        <w:rPr>
          <w:rFonts w:hint="eastAsia" w:eastAsia="黑体"/>
          <w:sz w:val="44"/>
          <w:szCs w:val="44"/>
        </w:rPr>
        <w:t>第四部分  附件</w:t>
      </w:r>
      <w:bookmarkEnd w:id="43"/>
    </w:p>
    <w:p w14:paraId="793EBB74">
      <w:pPr>
        <w:spacing w:line="572" w:lineRule="exact"/>
        <w:jc w:val="left"/>
        <w:outlineLvl w:val="0"/>
        <w:rPr>
          <w:rFonts w:eastAsia="黑体" w:cs="黑体"/>
          <w:sz w:val="32"/>
          <w:szCs w:val="32"/>
        </w:rPr>
      </w:pPr>
    </w:p>
    <w:p w14:paraId="739D95E0">
      <w:pPr>
        <w:spacing w:line="572" w:lineRule="exact"/>
        <w:jc w:val="left"/>
        <w:outlineLvl w:val="0"/>
        <w:rPr>
          <w:rFonts w:eastAsia="黑体" w:cs="方正小标宋简体"/>
          <w:sz w:val="44"/>
          <w:szCs w:val="44"/>
        </w:rPr>
      </w:pPr>
      <w:r>
        <w:rPr>
          <w:rFonts w:hint="eastAsia" w:eastAsia="黑体" w:cs="黑体"/>
          <w:sz w:val="32"/>
          <w:szCs w:val="32"/>
        </w:rPr>
        <w:t>附件1</w:t>
      </w:r>
    </w:p>
    <w:p w14:paraId="3A63701E">
      <w:pPr>
        <w:widowControl/>
        <w:spacing w:line="578" w:lineRule="exact"/>
        <w:contextualSpacing/>
        <w:jc w:val="center"/>
        <w:rPr>
          <w:rFonts w:eastAsia="方正小标宋简体"/>
          <w:bCs/>
          <w:sz w:val="44"/>
          <w:szCs w:val="44"/>
          <w:shd w:val="clear" w:color="auto" w:fill="FFFFFF"/>
        </w:rPr>
      </w:pPr>
    </w:p>
    <w:p w14:paraId="6E7F1CE2">
      <w:pPr>
        <w:widowControl/>
        <w:spacing w:line="578" w:lineRule="exact"/>
        <w:contextualSpacing/>
        <w:jc w:val="center"/>
        <w:rPr>
          <w:rFonts w:eastAsia="方正小标宋简体"/>
          <w:bCs/>
          <w:sz w:val="44"/>
          <w:szCs w:val="44"/>
          <w:shd w:val="clear" w:color="auto" w:fill="FFFFFF"/>
        </w:rPr>
      </w:pPr>
      <w:r>
        <w:rPr>
          <w:rFonts w:eastAsia="方正小标宋简体"/>
          <w:bCs/>
          <w:sz w:val="44"/>
          <w:szCs w:val="44"/>
          <w:shd w:val="clear" w:color="auto" w:fill="FFFFFF"/>
        </w:rPr>
        <w:t>部门预算绩效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报告范本</w:t>
      </w:r>
    </w:p>
    <w:p w14:paraId="2AB7A379">
      <w:pPr>
        <w:widowControl/>
        <w:adjustRightInd w:val="0"/>
        <w:snapToGrid w:val="0"/>
        <w:spacing w:line="578" w:lineRule="exact"/>
        <w:ind w:firstLine="480" w:firstLineChars="200"/>
        <w:contextualSpacing/>
        <w:jc w:val="left"/>
        <w:rPr>
          <w:rFonts w:eastAsia="黑体"/>
          <w:kern w:val="0"/>
          <w:sz w:val="24"/>
          <w:szCs w:val="32"/>
          <w:shd w:val="clear" w:color="auto" w:fill="FFFFFF"/>
        </w:rPr>
      </w:pPr>
    </w:p>
    <w:p w14:paraId="28EE5AAD">
      <w:pPr>
        <w:widowControl/>
        <w:adjustRightInd w:val="0"/>
        <w:snapToGrid w:val="0"/>
        <w:spacing w:line="578" w:lineRule="exact"/>
        <w:ind w:firstLine="640" w:firstLineChars="200"/>
        <w:contextualSpacing/>
        <w:jc w:val="left"/>
        <w:rPr>
          <w:rFonts w:eastAsia="黑体"/>
          <w:kern w:val="0"/>
          <w:sz w:val="32"/>
          <w:szCs w:val="32"/>
          <w:shd w:val="clear" w:color="auto" w:fill="FFFFFF"/>
          <w:lang w:val="zh-CN"/>
        </w:rPr>
      </w:pPr>
      <w:r>
        <w:rPr>
          <w:rFonts w:hint="eastAsia" w:eastAsia="黑体"/>
          <w:kern w:val="0"/>
          <w:sz w:val="32"/>
          <w:szCs w:val="32"/>
          <w:shd w:val="clear" w:color="auto" w:fill="FFFFFF"/>
          <w:lang w:val="zh-CN"/>
        </w:rPr>
        <w:t>一、</w:t>
      </w:r>
      <w:r>
        <w:rPr>
          <w:rFonts w:eastAsia="黑体"/>
          <w:kern w:val="0"/>
          <w:sz w:val="32"/>
          <w:szCs w:val="32"/>
          <w:shd w:val="clear" w:color="auto" w:fill="FFFFFF"/>
          <w:lang w:val="zh-CN"/>
        </w:rPr>
        <w:t>部门（单位）基本情况</w:t>
      </w:r>
    </w:p>
    <w:p w14:paraId="7E82CDC1">
      <w:pPr>
        <w:widowControl/>
        <w:adjustRightInd w:val="0"/>
        <w:snapToGrid w:val="0"/>
        <w:spacing w:line="560" w:lineRule="exact"/>
        <w:ind w:firstLine="643" w:firstLineChars="200"/>
        <w:contextualSpacing/>
        <w:jc w:val="left"/>
        <w:rPr>
          <w:rFonts w:eastAsia="仿宋_GB2312"/>
          <w:color w:val="000000"/>
          <w:sz w:val="32"/>
          <w:szCs w:val="32"/>
          <w:lang w:val="zh-CN"/>
        </w:rPr>
      </w:pPr>
      <w:r>
        <w:rPr>
          <w:rFonts w:hint="eastAsia" w:eastAsia="楷体_GB2312" w:cs="楷体_GB2312"/>
          <w:b/>
          <w:sz w:val="32"/>
          <w:szCs w:val="32"/>
          <w:lang w:val="zh-CN"/>
        </w:rPr>
        <w:t>（一）</w:t>
      </w:r>
      <w:r>
        <w:rPr>
          <w:rFonts w:eastAsia="楷体_GB2312" w:cs="楷体_GB2312"/>
          <w:b/>
          <w:sz w:val="32"/>
          <w:szCs w:val="32"/>
          <w:lang w:val="zh-CN"/>
        </w:rPr>
        <w:t>机构组成。</w:t>
      </w:r>
      <w:r>
        <w:rPr>
          <w:rFonts w:hint="eastAsia" w:ascii="仿宋_GB2312" w:hAnsi="仿宋_GB2312" w:eastAsia="仿宋_GB2312" w:cs="仿宋_GB2312"/>
          <w:sz w:val="32"/>
          <w:szCs w:val="32"/>
          <w:lang w:val="en-US" w:eastAsia="zh-CN"/>
        </w:rPr>
        <w:t>盐边供销合作社联合社为1个参公管理的事业单位，单位有3个股室，分别为办公室、发展指导股、财会审计股。</w:t>
      </w:r>
    </w:p>
    <w:p w14:paraId="55B98EA3">
      <w:pPr>
        <w:widowControl/>
        <w:adjustRightInd w:val="0"/>
        <w:snapToGrid w:val="0"/>
        <w:spacing w:line="560" w:lineRule="exact"/>
        <w:ind w:firstLine="643" w:firstLineChars="200"/>
        <w:contextualSpacing/>
        <w:jc w:val="left"/>
        <w:rPr>
          <w:rFonts w:hint="eastAsia" w:ascii="仿宋_GB2312" w:hAnsi="仿宋_GB2312" w:eastAsia="仿宋_GB2312" w:cs="仿宋_GB2312"/>
          <w:kern w:val="2"/>
          <w:sz w:val="32"/>
          <w:szCs w:val="32"/>
          <w:lang w:val="zh-CN" w:eastAsia="zh-CN" w:bidi="ar-SA"/>
        </w:rPr>
      </w:pPr>
      <w:r>
        <w:rPr>
          <w:rFonts w:eastAsia="楷体_GB2312" w:cs="楷体_GB2312"/>
          <w:b/>
          <w:sz w:val="32"/>
          <w:szCs w:val="32"/>
          <w:lang w:val="zh-CN"/>
        </w:rPr>
        <w:t>（二）机构职能</w:t>
      </w:r>
      <w:r>
        <w:rPr>
          <w:rFonts w:hint="eastAsia" w:eastAsia="楷体_GB2312" w:cs="楷体_GB2312"/>
          <w:b/>
          <w:sz w:val="32"/>
          <w:szCs w:val="32"/>
          <w:lang w:val="zh-CN"/>
        </w:rPr>
        <w:t>。</w:t>
      </w:r>
      <w:r>
        <w:rPr>
          <w:rFonts w:hint="eastAsia" w:ascii="仿宋_GB2312" w:hAnsi="仿宋_GB2312" w:eastAsia="仿宋_GB2312" w:cs="仿宋_GB2312"/>
          <w:kern w:val="2"/>
          <w:sz w:val="32"/>
          <w:szCs w:val="32"/>
          <w:lang w:val="en-US" w:eastAsia="zh-CN" w:bidi="ar-SA"/>
        </w:rPr>
        <w:t>盐边供销合作社联合社为农业、农村、农民提供综合服务。对公司基层社进行指导、协调、监督、服务工作，对重要农业生产资料及其他商品经营进行组织、协调、管理，对社有资产进行中短期投资。</w:t>
      </w:r>
    </w:p>
    <w:p w14:paraId="1FF39A9A">
      <w:pPr>
        <w:widowControl/>
        <w:numPr>
          <w:ilvl w:val="0"/>
          <w:numId w:val="3"/>
        </w:numPr>
        <w:adjustRightInd w:val="0"/>
        <w:snapToGrid w:val="0"/>
        <w:spacing w:line="560" w:lineRule="exact"/>
        <w:ind w:firstLine="643" w:firstLineChars="200"/>
        <w:contextualSpacing/>
        <w:jc w:val="left"/>
        <w:rPr>
          <w:rFonts w:hint="eastAsia" w:eastAsia="仿宋_GB2312"/>
          <w:color w:val="000000"/>
          <w:sz w:val="32"/>
          <w:szCs w:val="32"/>
        </w:rPr>
      </w:pPr>
      <w:r>
        <w:rPr>
          <w:rFonts w:eastAsia="楷体_GB2312"/>
          <w:b/>
          <w:bCs/>
          <w:kern w:val="0"/>
          <w:sz w:val="32"/>
          <w:szCs w:val="32"/>
          <w:shd w:val="clear" w:color="auto" w:fill="FFFFFF"/>
          <w:lang w:val="zh-CN"/>
        </w:rPr>
        <w:t>人员概况</w:t>
      </w:r>
      <w:r>
        <w:rPr>
          <w:rFonts w:hint="eastAsia" w:eastAsia="楷体_GB2312"/>
          <w:b/>
          <w:bCs/>
          <w:kern w:val="0"/>
          <w:sz w:val="32"/>
          <w:szCs w:val="32"/>
          <w:shd w:val="clear" w:color="auto" w:fill="FFFFFF"/>
          <w:lang w:val="zh-CN"/>
        </w:rPr>
        <w:t>。</w:t>
      </w:r>
      <w:r>
        <w:rPr>
          <w:rFonts w:hint="eastAsia" w:eastAsia="仿宋_GB2312"/>
          <w:color w:val="000000"/>
          <w:sz w:val="32"/>
          <w:szCs w:val="32"/>
        </w:rPr>
        <w:t>截至2024年末，盐边供销合作社联合社2024年初8人，年末9人。2024年期间调进一名人员。</w:t>
      </w:r>
    </w:p>
    <w:p w14:paraId="641AFA19">
      <w:pPr>
        <w:widowControl/>
        <w:adjustRightInd w:val="0"/>
        <w:snapToGrid w:val="0"/>
        <w:spacing w:line="578" w:lineRule="exact"/>
        <w:ind w:firstLine="640" w:firstLineChars="200"/>
        <w:contextualSpacing/>
        <w:jc w:val="left"/>
        <w:rPr>
          <w:rFonts w:eastAsia="黑体"/>
          <w:kern w:val="0"/>
          <w:sz w:val="32"/>
          <w:szCs w:val="32"/>
          <w:shd w:val="clear" w:color="auto" w:fill="FFFFFF"/>
          <w:lang w:val="zh-CN"/>
        </w:rPr>
      </w:pPr>
      <w:r>
        <w:rPr>
          <w:rFonts w:eastAsia="黑体"/>
          <w:kern w:val="0"/>
          <w:sz w:val="32"/>
          <w:szCs w:val="32"/>
          <w:shd w:val="clear" w:color="auto" w:fill="FFFFFF"/>
          <w:lang w:val="zh-CN"/>
        </w:rPr>
        <w:t>二、部门资金收支情况</w:t>
      </w:r>
    </w:p>
    <w:p w14:paraId="5A5CA053">
      <w:pPr>
        <w:widowControl/>
        <w:adjustRightInd w:val="0"/>
        <w:snapToGrid w:val="0"/>
        <w:spacing w:line="578" w:lineRule="exact"/>
        <w:ind w:firstLine="643" w:firstLineChars="200"/>
        <w:contextualSpacing/>
        <w:jc w:val="left"/>
        <w:rPr>
          <w:rFonts w:hint="eastAsia" w:eastAsia="仿宋_GB2312" w:cs="仿宋_GB2312"/>
          <w:sz w:val="32"/>
          <w:szCs w:val="32"/>
        </w:rPr>
      </w:pPr>
      <w:r>
        <w:rPr>
          <w:rFonts w:eastAsia="楷体_GB2312"/>
          <w:b/>
          <w:bCs/>
          <w:kern w:val="0"/>
          <w:sz w:val="32"/>
          <w:szCs w:val="32"/>
          <w:shd w:val="clear" w:color="auto" w:fill="FFFFFF"/>
          <w:lang w:val="zh-CN"/>
        </w:rPr>
        <w:t>（一）</w:t>
      </w:r>
      <w:r>
        <w:rPr>
          <w:rFonts w:hint="eastAsia" w:eastAsia="楷体_GB2312"/>
          <w:b/>
          <w:bCs/>
          <w:kern w:val="0"/>
          <w:sz w:val="32"/>
          <w:szCs w:val="32"/>
          <w:shd w:val="clear" w:color="auto" w:fill="FFFFFF"/>
          <w:lang w:val="zh-CN"/>
        </w:rPr>
        <w:t>收入情况</w:t>
      </w:r>
      <w:r>
        <w:rPr>
          <w:rFonts w:eastAsia="楷体_GB2312"/>
          <w:b/>
          <w:bCs/>
          <w:kern w:val="0"/>
          <w:sz w:val="32"/>
          <w:szCs w:val="32"/>
          <w:shd w:val="clear" w:color="auto" w:fill="FFFFFF"/>
          <w:lang w:val="zh-CN"/>
        </w:rPr>
        <w:t>。</w:t>
      </w:r>
      <w:r>
        <w:rPr>
          <w:rFonts w:hint="eastAsia" w:eastAsia="仿宋_GB2312" w:cs="仿宋_GB2312"/>
          <w:sz w:val="32"/>
          <w:szCs w:val="32"/>
        </w:rPr>
        <w:t>盐边供销合作社联合社2024年年初预算收入564.88万元、决算报表收入2213.8万元。</w:t>
      </w:r>
    </w:p>
    <w:p w14:paraId="1B45E26E">
      <w:pPr>
        <w:widowControl/>
        <w:adjustRightInd w:val="0"/>
        <w:snapToGrid w:val="0"/>
        <w:spacing w:line="578" w:lineRule="exact"/>
        <w:ind w:firstLine="643" w:firstLineChars="200"/>
        <w:contextualSpacing/>
        <w:jc w:val="left"/>
        <w:rPr>
          <w:rFonts w:hint="eastAsia" w:eastAsia="仿宋_GB2312"/>
          <w:sz w:val="32"/>
          <w:szCs w:val="32"/>
        </w:rPr>
      </w:pPr>
      <w:r>
        <w:rPr>
          <w:rFonts w:eastAsia="楷体_GB2312"/>
          <w:b/>
          <w:bCs/>
          <w:kern w:val="0"/>
          <w:sz w:val="32"/>
          <w:szCs w:val="32"/>
          <w:shd w:val="clear" w:color="auto" w:fill="FFFFFF"/>
          <w:lang w:val="zh-CN"/>
        </w:rPr>
        <w:t>（</w:t>
      </w:r>
      <w:r>
        <w:rPr>
          <w:rFonts w:hint="eastAsia" w:eastAsia="楷体_GB2312"/>
          <w:b/>
          <w:bCs/>
          <w:kern w:val="0"/>
          <w:sz w:val="32"/>
          <w:szCs w:val="32"/>
          <w:shd w:val="clear" w:color="auto" w:fill="FFFFFF"/>
          <w:lang w:val="zh-CN"/>
        </w:rPr>
        <w:t>二</w:t>
      </w:r>
      <w:r>
        <w:rPr>
          <w:rFonts w:eastAsia="楷体_GB2312"/>
          <w:b/>
          <w:bCs/>
          <w:kern w:val="0"/>
          <w:sz w:val="32"/>
          <w:szCs w:val="32"/>
          <w:shd w:val="clear" w:color="auto" w:fill="FFFFFF"/>
          <w:lang w:val="zh-CN"/>
        </w:rPr>
        <w:t>）</w:t>
      </w:r>
      <w:r>
        <w:rPr>
          <w:rFonts w:hint="eastAsia" w:eastAsia="楷体_GB2312"/>
          <w:b/>
          <w:bCs/>
          <w:kern w:val="0"/>
          <w:sz w:val="32"/>
          <w:szCs w:val="32"/>
          <w:shd w:val="clear" w:color="auto" w:fill="FFFFFF"/>
          <w:lang w:val="zh-CN"/>
        </w:rPr>
        <w:t>支出情况</w:t>
      </w:r>
      <w:r>
        <w:rPr>
          <w:rFonts w:eastAsia="楷体_GB2312"/>
          <w:b/>
          <w:bCs/>
          <w:kern w:val="0"/>
          <w:sz w:val="32"/>
          <w:szCs w:val="32"/>
          <w:shd w:val="clear" w:color="auto" w:fill="FFFFFF"/>
          <w:lang w:val="zh-CN"/>
        </w:rPr>
        <w:t>。</w:t>
      </w:r>
      <w:r>
        <w:rPr>
          <w:rFonts w:hint="eastAsia" w:eastAsia="仿宋_GB2312"/>
          <w:sz w:val="32"/>
          <w:szCs w:val="32"/>
        </w:rPr>
        <w:t>盐边供销合作社联合社2024年年初预算支出564.88万元、决算报表支出2213.8万元，主要包括一是2024年投入资金500万元（其中省级供销城乡经营服务体系建设项目资金150万元），推进红果、永渔、联合、小坪、安宁、新建等6个村级供销社提升改造，建设农资超市、生活超市，购置农资配送车辆以及必要的办公设备，拓展基层社服务范围、提升基层供销社经营能力。项目实施后，6个基层供销社示范社营业场所面积增加约700平方米，办公设备增加6台套，货柜或展柜数量增加32组，配送车辆增加6台。二是我县投入资金2285.17万元（其中省级供销城乡经营服务体系建设项目资金299万元）在渔门镇三源河村建设面积为2482.4㎡的冷链物流分拣中心1栋，面积为1438.96㎡的农资保供应急仓库1栋，配套相关辅助设施。项目已于4月1日开工建设，计划2024年12月底前完成建设。三是2024年新建韭菜坪、大坪子、林海、太田、清源等5个基层示范社，截止11月15日，全县基层示范社个数达20个。三是新建红果，新建，联合，小坪，永渔，安宁，三滩等7个村级再生资源回收点，再生资源回收体系建设迈出关键一步。</w:t>
      </w:r>
    </w:p>
    <w:p w14:paraId="0284B3D4">
      <w:pPr>
        <w:widowControl/>
        <w:adjustRightInd w:val="0"/>
        <w:snapToGrid w:val="0"/>
        <w:spacing w:line="578" w:lineRule="exact"/>
        <w:ind w:firstLine="643" w:firstLineChars="200"/>
        <w:contextualSpacing/>
        <w:jc w:val="left"/>
        <w:rPr>
          <w:rFonts w:hint="eastAsia" w:eastAsia="仿宋_GB2312" w:cs="仿宋_GB2312"/>
          <w:kern w:val="0"/>
          <w:sz w:val="32"/>
          <w:szCs w:val="32"/>
          <w:shd w:val="clear" w:color="auto" w:fill="FFFFFF"/>
          <w:lang w:val="zh-CN"/>
        </w:rPr>
      </w:pPr>
      <w:r>
        <w:rPr>
          <w:rFonts w:eastAsia="楷体_GB2312"/>
          <w:b/>
          <w:bCs/>
          <w:kern w:val="0"/>
          <w:sz w:val="32"/>
          <w:szCs w:val="32"/>
          <w:shd w:val="clear" w:color="auto" w:fill="FFFFFF"/>
          <w:lang w:val="zh-CN"/>
        </w:rPr>
        <w:t>（</w:t>
      </w:r>
      <w:r>
        <w:rPr>
          <w:rFonts w:hint="eastAsia" w:eastAsia="楷体_GB2312"/>
          <w:b/>
          <w:bCs/>
          <w:kern w:val="0"/>
          <w:sz w:val="32"/>
          <w:szCs w:val="32"/>
          <w:shd w:val="clear" w:color="auto" w:fill="FFFFFF"/>
          <w:lang w:val="zh-CN"/>
        </w:rPr>
        <w:t>三</w:t>
      </w:r>
      <w:r>
        <w:rPr>
          <w:rFonts w:eastAsia="楷体_GB2312"/>
          <w:b/>
          <w:bCs/>
          <w:kern w:val="0"/>
          <w:sz w:val="32"/>
          <w:szCs w:val="32"/>
          <w:shd w:val="clear" w:color="auto" w:fill="FFFFFF"/>
          <w:lang w:val="zh-CN"/>
        </w:rPr>
        <w:t>）结余分配和结转结余情况</w:t>
      </w:r>
      <w:r>
        <w:rPr>
          <w:rFonts w:hint="eastAsia" w:eastAsia="楷体_GB2312"/>
          <w:b/>
          <w:bCs/>
          <w:kern w:val="0"/>
          <w:sz w:val="32"/>
          <w:szCs w:val="32"/>
          <w:shd w:val="clear" w:color="auto" w:fill="FFFFFF"/>
          <w:lang w:val="zh-CN"/>
        </w:rPr>
        <w:t>。</w:t>
      </w:r>
      <w:r>
        <w:rPr>
          <w:rFonts w:hint="eastAsia" w:eastAsia="仿宋_GB2312" w:cs="仿宋_GB2312"/>
          <w:sz w:val="32"/>
          <w:szCs w:val="32"/>
        </w:rPr>
        <w:t>盐边供销合作社联合社2024年决算报表无结转结余情况。</w:t>
      </w:r>
    </w:p>
    <w:p w14:paraId="23FDB51C">
      <w:pPr>
        <w:widowControl/>
        <w:adjustRightInd w:val="0"/>
        <w:snapToGrid w:val="0"/>
        <w:spacing w:line="578" w:lineRule="exact"/>
        <w:ind w:firstLine="640" w:firstLineChars="200"/>
        <w:contextualSpacing/>
        <w:jc w:val="left"/>
        <w:rPr>
          <w:rFonts w:eastAsia="黑体"/>
          <w:kern w:val="0"/>
          <w:sz w:val="32"/>
          <w:szCs w:val="32"/>
          <w:shd w:val="clear" w:color="auto" w:fill="FFFFFF"/>
          <w:lang w:val="zh-CN"/>
        </w:rPr>
      </w:pPr>
      <w:r>
        <w:rPr>
          <w:rFonts w:eastAsia="黑体"/>
          <w:kern w:val="0"/>
          <w:sz w:val="32"/>
          <w:szCs w:val="32"/>
          <w:shd w:val="clear" w:color="auto" w:fill="FFFFFF"/>
          <w:lang w:val="zh-CN"/>
        </w:rPr>
        <w:t>三、部门预算绩效分析</w:t>
      </w:r>
    </w:p>
    <w:p w14:paraId="5373BFF8">
      <w:pPr>
        <w:adjustRightInd w:val="0"/>
        <w:snapToGrid w:val="0"/>
        <w:spacing w:line="578" w:lineRule="exact"/>
        <w:ind w:firstLine="643" w:firstLineChars="200"/>
        <w:contextualSpacing/>
        <w:jc w:val="left"/>
        <w:rPr>
          <w:rFonts w:eastAsia="仿宋_GB2312" w:cs="仿宋_GB2312"/>
          <w:sz w:val="32"/>
          <w:szCs w:val="32"/>
          <w:lang w:val="zh-CN"/>
        </w:rPr>
      </w:pPr>
      <w:r>
        <w:rPr>
          <w:rFonts w:eastAsia="楷体_GB2312"/>
          <w:b/>
          <w:bCs/>
          <w:kern w:val="0"/>
          <w:sz w:val="32"/>
          <w:szCs w:val="32"/>
          <w:shd w:val="clear" w:color="auto" w:fill="FFFFFF"/>
          <w:lang w:val="zh-CN"/>
        </w:rPr>
        <w:t>（一）</w:t>
      </w:r>
      <w:r>
        <w:rPr>
          <w:rFonts w:hint="eastAsia" w:eastAsia="楷体_GB2312"/>
          <w:b/>
          <w:bCs/>
          <w:kern w:val="0"/>
          <w:sz w:val="32"/>
          <w:szCs w:val="32"/>
          <w:shd w:val="clear" w:color="auto" w:fill="FFFFFF"/>
          <w:lang w:val="zh-CN"/>
        </w:rPr>
        <w:t>部门预算</w:t>
      </w:r>
      <w:r>
        <w:rPr>
          <w:rFonts w:eastAsia="楷体_GB2312"/>
          <w:b/>
          <w:bCs/>
          <w:kern w:val="0"/>
          <w:sz w:val="32"/>
          <w:szCs w:val="32"/>
          <w:shd w:val="clear" w:color="auto" w:fill="FFFFFF"/>
          <w:lang w:val="zh-CN"/>
        </w:rPr>
        <w:t>总体绩效分析。</w:t>
      </w:r>
      <w:r>
        <w:rPr>
          <w:rFonts w:eastAsia="仿宋_GB2312" w:cs="仿宋_GB2312"/>
          <w:sz w:val="32"/>
          <w:szCs w:val="32"/>
          <w:lang w:val="zh-CN"/>
        </w:rPr>
        <w:t>根据部门预算绩效评价指标体系</w:t>
      </w:r>
      <w:r>
        <w:rPr>
          <w:rFonts w:hint="eastAsia" w:eastAsia="仿宋_GB2312" w:cs="仿宋_GB2312"/>
          <w:sz w:val="32"/>
          <w:szCs w:val="32"/>
          <w:lang w:val="zh-CN"/>
        </w:rPr>
        <w:t>“</w:t>
      </w:r>
      <w:r>
        <w:rPr>
          <w:rFonts w:eastAsia="仿宋_GB2312" w:cs="仿宋_GB2312"/>
          <w:sz w:val="32"/>
          <w:szCs w:val="32"/>
          <w:lang w:val="zh-CN"/>
        </w:rPr>
        <w:t>总体绩效</w:t>
      </w:r>
      <w:r>
        <w:rPr>
          <w:rFonts w:hint="eastAsia" w:eastAsia="仿宋_GB2312" w:cs="仿宋_GB2312"/>
          <w:sz w:val="32"/>
          <w:szCs w:val="32"/>
          <w:lang w:val="zh-CN"/>
        </w:rPr>
        <w:t>”</w:t>
      </w:r>
      <w:r>
        <w:rPr>
          <w:rFonts w:eastAsia="仿宋_GB2312" w:cs="仿宋_GB2312"/>
          <w:sz w:val="32"/>
          <w:szCs w:val="32"/>
          <w:lang w:val="zh-CN"/>
        </w:rPr>
        <w:t>涉及</w:t>
      </w:r>
      <w:r>
        <w:rPr>
          <w:rFonts w:hint="eastAsia" w:eastAsia="仿宋_GB2312" w:cs="仿宋_GB2312"/>
          <w:sz w:val="32"/>
          <w:szCs w:val="32"/>
          <w:lang w:val="zh-CN"/>
        </w:rPr>
        <w:t>二、三级</w:t>
      </w:r>
      <w:r>
        <w:rPr>
          <w:rFonts w:eastAsia="仿宋_GB2312" w:cs="仿宋_GB2312"/>
          <w:sz w:val="32"/>
          <w:szCs w:val="32"/>
          <w:lang w:val="zh-CN"/>
        </w:rPr>
        <w:t>指标进行</w:t>
      </w:r>
      <w:r>
        <w:rPr>
          <w:rFonts w:hint="eastAsia" w:eastAsia="仿宋_GB2312" w:cs="仿宋_GB2312"/>
          <w:sz w:val="32"/>
          <w:szCs w:val="32"/>
          <w:lang w:val="zh-CN"/>
        </w:rPr>
        <w:t>逐项</w:t>
      </w:r>
      <w:r>
        <w:rPr>
          <w:rFonts w:eastAsia="仿宋_GB2312" w:cs="仿宋_GB2312"/>
          <w:sz w:val="32"/>
          <w:szCs w:val="32"/>
          <w:lang w:val="zh-CN"/>
        </w:rPr>
        <w:t>绩效分析</w:t>
      </w:r>
      <w:r>
        <w:rPr>
          <w:rFonts w:hint="eastAsia" w:eastAsia="仿宋_GB2312" w:cs="仿宋_GB2312"/>
          <w:sz w:val="32"/>
          <w:szCs w:val="32"/>
          <w:lang w:val="zh-CN"/>
        </w:rPr>
        <w:t>并评分</w:t>
      </w:r>
      <w:r>
        <w:rPr>
          <w:rFonts w:eastAsia="仿宋_GB2312" w:cs="仿宋_GB2312"/>
          <w:sz w:val="32"/>
          <w:szCs w:val="32"/>
          <w:lang w:val="zh-CN"/>
        </w:rPr>
        <w:t>，依次包括履职效能、预算管理、财务管理、资产管理、采购管理等情况。</w:t>
      </w:r>
    </w:p>
    <w:p w14:paraId="53F2AFDC">
      <w:pPr>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rPr>
        <w:t>1.</w:t>
      </w:r>
      <w:r>
        <w:rPr>
          <w:rFonts w:hint="eastAsia" w:ascii="楷体_GB2312" w:hAnsi="楷体_GB2312" w:eastAsia="楷体_GB2312" w:cs="楷体_GB2312"/>
          <w:kern w:val="0"/>
          <w:sz w:val="32"/>
          <w:szCs w:val="32"/>
          <w:shd w:val="clear" w:color="auto" w:fill="FFFFFF"/>
          <w:lang w:val="zh-CN"/>
        </w:rPr>
        <w:t>履职效能。</w:t>
      </w:r>
      <w:r>
        <w:rPr>
          <w:rFonts w:hint="eastAsia" w:ascii="仿宋_GB2312" w:hAnsi="仿宋_GB2312" w:eastAsia="仿宋_GB2312" w:cs="仿宋_GB2312"/>
          <w:kern w:val="0"/>
          <w:sz w:val="32"/>
          <w:szCs w:val="32"/>
          <w:shd w:val="clear" w:color="auto" w:fill="FFFFFF"/>
          <w:lang w:val="zh-CN"/>
        </w:rPr>
        <w:t>根据川财农〔2022〕157号下争取2023年中央和省级财政衔接推进乡村振兴补助资金，100%有效的支持对基层社的各项工作的开展及各项职能履行，对农业、农村、农民提供综合服务，发挥了有效的经济效益和社会效益。川财建〔2023〕310号争取2022年第二批省级供销综合改革及发展专项资金（供销为农服务综合平台试点县建设），100%有效的完成对基层社的入股资金及渔门供应链项目工程款的支出。川财债〔2024〕19号争取的盐边县渔门片区城乡冷链物流建设项目专项债券资金，已于4月1日开工建设，计划2024年12月底前完成建设。其经济效益、社会效益、生态效益完成率100%。</w:t>
      </w:r>
    </w:p>
    <w:p w14:paraId="68512617">
      <w:pPr>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rPr>
        <w:t>2.</w:t>
      </w:r>
      <w:r>
        <w:rPr>
          <w:rFonts w:hint="eastAsia" w:ascii="楷体_GB2312" w:hAnsi="楷体_GB2312" w:eastAsia="楷体_GB2312" w:cs="楷体_GB2312"/>
          <w:kern w:val="0"/>
          <w:sz w:val="32"/>
          <w:szCs w:val="32"/>
          <w:shd w:val="clear" w:color="auto" w:fill="FFFFFF"/>
          <w:lang w:val="zh-CN"/>
        </w:rPr>
        <w:t>预算管理。</w:t>
      </w:r>
      <w:r>
        <w:rPr>
          <w:rFonts w:hint="eastAsia" w:ascii="仿宋_GB2312" w:hAnsi="仿宋_GB2312" w:eastAsia="仿宋_GB2312" w:cs="仿宋_GB2312"/>
          <w:kern w:val="0"/>
          <w:sz w:val="32"/>
          <w:szCs w:val="32"/>
          <w:shd w:val="clear" w:color="auto" w:fill="FFFFFF"/>
          <w:lang w:val="zh-CN"/>
        </w:rPr>
        <w:t>严格按照政府信息公开有关规定公开相关预决算信息，用以反映和评价部门预决算管理的公开透明情况。严格控制“三公经费”的支出。</w:t>
      </w:r>
    </w:p>
    <w:p w14:paraId="419EB55F">
      <w:pPr>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rPr>
        <w:t>3.</w:t>
      </w:r>
      <w:r>
        <w:rPr>
          <w:rFonts w:hint="eastAsia" w:ascii="楷体_GB2312" w:hAnsi="楷体_GB2312" w:eastAsia="楷体_GB2312" w:cs="楷体_GB2312"/>
          <w:kern w:val="0"/>
          <w:sz w:val="32"/>
          <w:szCs w:val="32"/>
          <w:shd w:val="clear" w:color="auto" w:fill="FFFFFF"/>
          <w:lang w:val="zh-CN"/>
        </w:rPr>
        <w:t>财务管理。</w:t>
      </w:r>
      <w:r>
        <w:rPr>
          <w:rFonts w:hint="eastAsia" w:ascii="仿宋_GB2312" w:hAnsi="仿宋_GB2312" w:eastAsia="仿宋_GB2312" w:cs="仿宋_GB2312"/>
          <w:kern w:val="0"/>
          <w:sz w:val="32"/>
          <w:szCs w:val="32"/>
          <w:shd w:val="clear" w:color="auto" w:fill="FFFFFF"/>
          <w:lang w:val="zh-CN"/>
        </w:rPr>
        <w:t>部门已制定内部财务管理制度，合理设置财务工作岗位，明确职责权限；部门资金使用符合相关财务管理制度规定。</w:t>
      </w:r>
    </w:p>
    <w:p w14:paraId="0247D5A1">
      <w:pPr>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rPr>
        <w:t>4.</w:t>
      </w:r>
      <w:r>
        <w:rPr>
          <w:rFonts w:hint="eastAsia" w:ascii="楷体_GB2312" w:hAnsi="楷体_GB2312" w:eastAsia="楷体_GB2312" w:cs="楷体_GB2312"/>
          <w:kern w:val="0"/>
          <w:sz w:val="32"/>
          <w:szCs w:val="32"/>
          <w:shd w:val="clear" w:color="auto" w:fill="FFFFFF"/>
          <w:lang w:val="zh-CN"/>
        </w:rPr>
        <w:t>资产管理。</w:t>
      </w:r>
      <w:r>
        <w:rPr>
          <w:rFonts w:hint="eastAsia" w:ascii="仿宋_GB2312" w:hAnsi="仿宋_GB2312" w:eastAsia="仿宋_GB2312" w:cs="仿宋_GB2312"/>
          <w:kern w:val="0"/>
          <w:sz w:val="32"/>
          <w:szCs w:val="32"/>
          <w:shd w:val="clear" w:color="auto" w:fill="FFFFFF"/>
          <w:lang w:val="zh-CN"/>
        </w:rPr>
        <w:t>资产账务管理合规，账实相符；做到资产资产有偿使用及处置收入及时足额上缴。</w:t>
      </w:r>
    </w:p>
    <w:p w14:paraId="3FD3CE4A">
      <w:pPr>
        <w:numPr>
          <w:ilvl w:val="0"/>
          <w:numId w:val="0"/>
        </w:numPr>
        <w:spacing w:line="550" w:lineRule="exact"/>
        <w:ind w:firstLine="640" w:firstLineChars="200"/>
        <w:rPr>
          <w:rFonts w:ascii="仿宋_GB2312" w:hAnsi="仿宋_GB2312" w:eastAsia="仿宋_GB2312" w:cs="仿宋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rPr>
        <w:t>5.</w:t>
      </w:r>
      <w:r>
        <w:rPr>
          <w:rFonts w:hint="eastAsia" w:ascii="楷体_GB2312" w:hAnsi="楷体_GB2312" w:eastAsia="楷体_GB2312" w:cs="楷体_GB2312"/>
          <w:kern w:val="0"/>
          <w:sz w:val="32"/>
          <w:szCs w:val="32"/>
          <w:shd w:val="clear" w:color="auto" w:fill="FFFFFF"/>
          <w:lang w:val="zh-CN"/>
        </w:rPr>
        <w:t>采购管理。</w:t>
      </w:r>
      <w:r>
        <w:rPr>
          <w:rFonts w:hint="eastAsia" w:ascii="仿宋_GB2312" w:hAnsi="仿宋_GB2312" w:eastAsia="仿宋_GB2312" w:cs="仿宋_GB2312"/>
          <w:kern w:val="0"/>
          <w:sz w:val="32"/>
          <w:szCs w:val="32"/>
          <w:shd w:val="clear" w:color="auto" w:fill="FFFFFF"/>
          <w:lang w:val="en-US" w:eastAsia="zh-CN"/>
        </w:rPr>
        <w:t>部门严格执行政府采购促进中小企业发展相关管理办法。</w:t>
      </w:r>
    </w:p>
    <w:p w14:paraId="11483B11">
      <w:pPr>
        <w:adjustRightInd w:val="0"/>
        <w:snapToGrid w:val="0"/>
        <w:spacing w:line="578" w:lineRule="exact"/>
        <w:ind w:firstLine="643" w:firstLineChars="200"/>
        <w:contextualSpacing/>
        <w:rPr>
          <w:rFonts w:hint="eastAsia" w:eastAsia="仿宋_GB2312" w:cs="仿宋_GB2312"/>
          <w:sz w:val="32"/>
          <w:szCs w:val="32"/>
          <w:lang w:val="zh-CN"/>
        </w:rPr>
      </w:pPr>
      <w:r>
        <w:rPr>
          <w:rFonts w:eastAsia="楷体_GB2312"/>
          <w:b/>
          <w:bCs/>
          <w:kern w:val="0"/>
          <w:sz w:val="32"/>
          <w:szCs w:val="32"/>
          <w:shd w:val="clear" w:color="auto" w:fill="FFFFFF"/>
          <w:lang w:val="zh-CN"/>
        </w:rPr>
        <w:t>（二）部门预算项目绩效分析。</w:t>
      </w:r>
      <w:r>
        <w:rPr>
          <w:rFonts w:hint="eastAsia" w:eastAsia="仿宋_GB2312" w:cs="仿宋_GB2312"/>
          <w:sz w:val="32"/>
          <w:szCs w:val="32"/>
          <w:lang w:val="zh-CN"/>
        </w:rPr>
        <w:t>常年项目绩效分析。该类项目总数 8 个，涉及预算总金额1991.9万元，1—12月预算执行总体进度为100 %，其中：预算结余率大于10%的项目共计 0 个。</w:t>
      </w:r>
    </w:p>
    <w:p w14:paraId="02D4C460">
      <w:pPr>
        <w:adjustRightInd w:val="0"/>
        <w:snapToGrid w:val="0"/>
        <w:spacing w:line="578" w:lineRule="exact"/>
        <w:ind w:firstLine="640" w:firstLineChars="200"/>
        <w:contextualSpacing/>
        <w:rPr>
          <w:rFonts w:eastAsia="仿宋_GB2312" w:cs="仿宋_GB2312"/>
          <w:sz w:val="32"/>
          <w:szCs w:val="32"/>
          <w:lang w:val="zh-CN"/>
        </w:rPr>
      </w:pPr>
      <w:r>
        <w:rPr>
          <w:rFonts w:hint="eastAsia" w:eastAsia="仿宋_GB2312" w:cs="仿宋_GB2312"/>
          <w:sz w:val="32"/>
          <w:szCs w:val="32"/>
          <w:lang w:val="zh-CN"/>
        </w:rPr>
        <w:t>阶段（含一次性）项目绩效分析。该类项目总数 0 个，涉及预算总金额 0 万元，1—12月预算执行总体进度为 0 %，其中：预算结余率大于10%的项目共计 0 个。</w:t>
      </w:r>
    </w:p>
    <w:p w14:paraId="5E512006">
      <w:pPr>
        <w:numPr>
          <w:ilvl w:val="0"/>
          <w:numId w:val="0"/>
        </w:numPr>
        <w:adjustRightInd w:val="0"/>
        <w:snapToGrid w:val="0"/>
        <w:spacing w:line="578" w:lineRule="exact"/>
        <w:ind w:firstLine="640" w:firstLineChars="200"/>
        <w:contextualSpacing/>
        <w:rPr>
          <w:rFonts w:hint="eastAsia" w:eastAsia="仿宋_GB2312" w:cs="仿宋_GB2312"/>
          <w:sz w:val="32"/>
          <w:szCs w:val="32"/>
          <w:lang w:val="zh-CN"/>
        </w:rPr>
      </w:pPr>
      <w:r>
        <w:rPr>
          <w:rFonts w:hint="eastAsia" w:eastAsia="仿宋_GB2312" w:cs="仿宋_GB2312"/>
          <w:sz w:val="32"/>
          <w:szCs w:val="32"/>
          <w:lang w:val="en-US" w:eastAsia="zh-CN"/>
        </w:rPr>
        <w:t>1.</w:t>
      </w:r>
      <w:r>
        <w:rPr>
          <w:rFonts w:hint="eastAsia" w:eastAsia="仿宋_GB2312" w:cs="仿宋_GB2312"/>
          <w:sz w:val="32"/>
          <w:szCs w:val="32"/>
          <w:lang w:val="zh-CN"/>
        </w:rPr>
        <w:t>项目决策。明确项目决策程序的规范性、目标设置的合理性以及项目入库的科学性，确保项目立项严谨、目标清晰。</w:t>
      </w:r>
    </w:p>
    <w:p w14:paraId="4CE24EDF">
      <w:pPr>
        <w:numPr>
          <w:ilvl w:val="0"/>
          <w:numId w:val="0"/>
        </w:numPr>
        <w:adjustRightInd w:val="0"/>
        <w:snapToGrid w:val="0"/>
        <w:spacing w:line="578" w:lineRule="exact"/>
        <w:ind w:firstLine="640" w:firstLineChars="200"/>
        <w:contextualSpacing/>
        <w:rPr>
          <w:rFonts w:hint="eastAsia" w:eastAsia="仿宋_GB2312" w:cs="仿宋_GB2312"/>
          <w:sz w:val="32"/>
          <w:szCs w:val="32"/>
          <w:lang w:val="zh-CN"/>
        </w:rPr>
      </w:pPr>
      <w:r>
        <w:rPr>
          <w:rFonts w:hint="eastAsia" w:eastAsia="仿宋_GB2312" w:cs="仿宋_GB2312"/>
          <w:sz w:val="32"/>
          <w:szCs w:val="32"/>
        </w:rPr>
        <w:t>2.项目执行</w:t>
      </w:r>
      <w:r>
        <w:rPr>
          <w:rFonts w:hint="eastAsia" w:eastAsia="仿宋_GB2312" w:cs="仿宋_GB2312"/>
          <w:sz w:val="32"/>
          <w:szCs w:val="32"/>
          <w:lang w:val="zh-CN"/>
        </w:rPr>
        <w:t>。关注资金执行与计划的同向性、调整程序的合规性以及执行结果的实效性，以强化过程管控。</w:t>
      </w:r>
    </w:p>
    <w:p w14:paraId="2AB18F3F">
      <w:pPr>
        <w:adjustRightInd w:val="0"/>
        <w:snapToGrid w:val="0"/>
        <w:spacing w:line="578" w:lineRule="exact"/>
        <w:ind w:firstLine="640" w:firstLineChars="200"/>
        <w:contextualSpacing/>
        <w:rPr>
          <w:rFonts w:hint="eastAsia" w:eastAsia="仿宋_GB2312" w:cs="仿宋_GB2312"/>
          <w:sz w:val="32"/>
          <w:szCs w:val="32"/>
          <w:lang w:val="zh-CN"/>
        </w:rPr>
      </w:pPr>
      <w:r>
        <w:rPr>
          <w:rFonts w:hint="eastAsia" w:eastAsia="仿宋_GB2312" w:cs="仿宋_GB2312"/>
          <w:sz w:val="32"/>
          <w:szCs w:val="32"/>
        </w:rPr>
        <w:t>3.</w:t>
      </w:r>
      <w:r>
        <w:rPr>
          <w:rFonts w:hint="eastAsia" w:eastAsia="仿宋_GB2312" w:cs="仿宋_GB2312"/>
          <w:sz w:val="32"/>
          <w:szCs w:val="32"/>
          <w:lang w:val="zh-CN"/>
        </w:rPr>
        <w:t>目标实现。需综合分析目标完成率、偏离原因及经济效益、社会效益、可持续性，从而全面衡量项目绩效，为后续优化提供依据。</w:t>
      </w:r>
    </w:p>
    <w:p w14:paraId="4752EB57">
      <w:pPr>
        <w:snapToGrid w:val="0"/>
        <w:spacing w:line="600" w:lineRule="exact"/>
        <w:ind w:firstLine="640" w:firstLineChars="200"/>
        <w:rPr>
          <w:rFonts w:eastAsia="仿宋_GB2312"/>
          <w:sz w:val="32"/>
          <w:szCs w:val="32"/>
        </w:rPr>
      </w:pPr>
      <w:r>
        <w:rPr>
          <w:rFonts w:hint="eastAsia" w:eastAsia="仿宋_GB2312"/>
          <w:sz w:val="32"/>
          <w:szCs w:val="32"/>
        </w:rPr>
        <w:t>县级部门对2024年度一般公共预算601.29万元，政府性基金预算1612.5万元。按照项目绩效目标完成支付，完成率达到100%。债券资金按照项目工程进度进行完成支付，完成率达到100%。</w:t>
      </w:r>
    </w:p>
    <w:p w14:paraId="2354ACB4">
      <w:pPr>
        <w:snapToGrid w:val="0"/>
        <w:spacing w:line="600" w:lineRule="exact"/>
        <w:ind w:firstLine="643" w:firstLineChars="200"/>
        <w:rPr>
          <w:rFonts w:eastAsia="仿宋_GB2312"/>
          <w:sz w:val="32"/>
          <w:szCs w:val="32"/>
          <w:lang w:bidi="ar"/>
        </w:rPr>
      </w:pPr>
      <w:r>
        <w:rPr>
          <w:rFonts w:eastAsia="楷体_GB2312"/>
          <w:b/>
          <w:bCs/>
          <w:kern w:val="0"/>
          <w:sz w:val="32"/>
          <w:szCs w:val="32"/>
          <w:shd w:val="clear" w:color="auto" w:fill="FFFFFF"/>
          <w:lang w:val="zh-CN"/>
        </w:rPr>
        <w:t>（</w:t>
      </w:r>
      <w:r>
        <w:rPr>
          <w:rFonts w:hint="eastAsia" w:eastAsia="楷体_GB2312"/>
          <w:b/>
          <w:bCs/>
          <w:kern w:val="0"/>
          <w:sz w:val="32"/>
          <w:szCs w:val="32"/>
          <w:shd w:val="clear" w:color="auto" w:fill="FFFFFF"/>
        </w:rPr>
        <w:t>三</w:t>
      </w:r>
      <w:r>
        <w:rPr>
          <w:rFonts w:eastAsia="楷体_GB2312"/>
          <w:b/>
          <w:bCs/>
          <w:kern w:val="0"/>
          <w:sz w:val="32"/>
          <w:szCs w:val="32"/>
          <w:shd w:val="clear" w:color="auto" w:fill="FFFFFF"/>
          <w:lang w:val="zh-CN"/>
        </w:rPr>
        <w:t>）绩效结果应用情况</w:t>
      </w:r>
      <w:r>
        <w:rPr>
          <w:rFonts w:hint="eastAsia" w:eastAsia="楷体_GB2312"/>
          <w:b/>
          <w:bCs/>
          <w:kern w:val="0"/>
          <w:sz w:val="32"/>
          <w:szCs w:val="32"/>
          <w:shd w:val="clear" w:color="auto" w:fill="FFFFFF"/>
          <w:lang w:val="zh-CN"/>
        </w:rPr>
        <w:t>。</w:t>
      </w:r>
      <w:r>
        <w:rPr>
          <w:rFonts w:hint="eastAsia" w:eastAsia="仿宋_GB2312"/>
          <w:sz w:val="32"/>
          <w:szCs w:val="32"/>
          <w:lang w:val="zh-CN" w:bidi="ar"/>
        </w:rPr>
        <w:t>对绩效优良的项目，在后续预算安排中优先保障或加大支持力度；对低效、无效或偏离目标的项目，减少或取消资金安排，避免资源浪费。针对绩效评价发现的决策、执行或目标偏差问题，优化管理流程。公开绩效评价结果，接受社会监督，增强政府公信力；引导公众参与绩效目标设定，提高项目社会效益。</w:t>
      </w:r>
    </w:p>
    <w:p w14:paraId="5FD99ED1">
      <w:pPr>
        <w:widowControl/>
        <w:adjustRightInd w:val="0"/>
        <w:snapToGrid w:val="0"/>
        <w:spacing w:line="578" w:lineRule="exact"/>
        <w:ind w:firstLine="640" w:firstLineChars="200"/>
        <w:contextualSpacing/>
        <w:jc w:val="left"/>
        <w:rPr>
          <w:rFonts w:eastAsia="黑体"/>
          <w:kern w:val="0"/>
          <w:sz w:val="32"/>
          <w:szCs w:val="32"/>
          <w:shd w:val="clear" w:color="auto" w:fill="FFFFFF"/>
          <w:lang w:val="zh-CN"/>
        </w:rPr>
      </w:pPr>
      <w:r>
        <w:rPr>
          <w:rFonts w:eastAsia="黑体"/>
          <w:kern w:val="0"/>
          <w:sz w:val="32"/>
          <w:szCs w:val="32"/>
          <w:shd w:val="clear" w:color="auto" w:fill="FFFFFF"/>
          <w:lang w:val="zh-CN"/>
        </w:rPr>
        <w:t>四、评价结论及建议</w:t>
      </w:r>
    </w:p>
    <w:p w14:paraId="3C81A52A">
      <w:pPr>
        <w:widowControl/>
        <w:adjustRightInd w:val="0"/>
        <w:snapToGrid w:val="0"/>
        <w:spacing w:line="578" w:lineRule="exact"/>
        <w:ind w:firstLine="643" w:firstLineChars="200"/>
        <w:contextualSpacing/>
        <w:jc w:val="left"/>
        <w:rPr>
          <w:rFonts w:eastAsia="仿宋_GB2312"/>
          <w:sz w:val="32"/>
          <w:szCs w:val="32"/>
          <w:lang w:bidi="ar"/>
        </w:rPr>
      </w:pPr>
      <w:r>
        <w:rPr>
          <w:rFonts w:eastAsia="楷体_GB2312"/>
          <w:b/>
          <w:bCs/>
          <w:kern w:val="0"/>
          <w:sz w:val="32"/>
          <w:szCs w:val="32"/>
          <w:shd w:val="clear" w:color="auto" w:fill="FFFFFF"/>
          <w:lang w:val="zh-CN"/>
        </w:rPr>
        <w:t>（一）评价结论。</w:t>
      </w:r>
      <w:r>
        <w:rPr>
          <w:rFonts w:hint="eastAsia" w:eastAsia="仿宋_GB2312"/>
          <w:sz w:val="32"/>
          <w:szCs w:val="32"/>
          <w:lang w:bidi="ar"/>
        </w:rPr>
        <w:t>2024年部门预算执行基本实现“时间进度与资金支出”双同步。建立完善了"预算-绩效"一体化管理机制，实现绩效目标编制覆盖率100%。2024年部门预算绩效自评得分95分。</w:t>
      </w:r>
    </w:p>
    <w:p w14:paraId="6D5E5A6F">
      <w:pPr>
        <w:widowControl/>
        <w:adjustRightInd w:val="0"/>
        <w:snapToGrid w:val="0"/>
        <w:spacing w:line="578" w:lineRule="exact"/>
        <w:ind w:firstLine="643" w:firstLineChars="200"/>
        <w:contextualSpacing/>
        <w:jc w:val="left"/>
        <w:rPr>
          <w:rFonts w:hint="eastAsia" w:eastAsia="仿宋_GB2312"/>
          <w:sz w:val="32"/>
          <w:szCs w:val="32"/>
          <w:lang w:bidi="ar"/>
        </w:rPr>
      </w:pPr>
      <w:r>
        <w:rPr>
          <w:rFonts w:eastAsia="楷体_GB2312"/>
          <w:b/>
          <w:bCs/>
          <w:kern w:val="0"/>
          <w:sz w:val="32"/>
          <w:szCs w:val="32"/>
          <w:shd w:val="clear" w:color="auto" w:fill="FFFFFF"/>
          <w:lang w:val="zh-CN"/>
        </w:rPr>
        <w:t>（二）存在问题。</w:t>
      </w:r>
      <w:r>
        <w:rPr>
          <w:rFonts w:hint="eastAsia" w:eastAsia="仿宋_GB2312"/>
          <w:sz w:val="32"/>
          <w:szCs w:val="32"/>
          <w:lang w:bidi="ar"/>
        </w:rPr>
        <w:t>县供销社近20年未实施过建设项目，在项目建设方面缺乏经验，导致项目推进过程中可能面临效率不高、管理不够精细等问题。</w:t>
      </w:r>
    </w:p>
    <w:p w14:paraId="2DB7F9C7">
      <w:pPr>
        <w:widowControl/>
        <w:adjustRightInd w:val="0"/>
        <w:snapToGrid w:val="0"/>
        <w:spacing w:line="578" w:lineRule="exact"/>
        <w:ind w:firstLine="643" w:firstLineChars="200"/>
        <w:contextualSpacing/>
        <w:jc w:val="left"/>
        <w:rPr>
          <w:rFonts w:hint="eastAsia" w:eastAsia="仿宋_GB2312"/>
          <w:sz w:val="32"/>
          <w:szCs w:val="32"/>
          <w:lang w:bidi="ar"/>
        </w:rPr>
      </w:pPr>
      <w:r>
        <w:rPr>
          <w:rFonts w:eastAsia="楷体_GB2312"/>
          <w:b/>
          <w:bCs/>
          <w:kern w:val="0"/>
          <w:sz w:val="32"/>
          <w:szCs w:val="32"/>
          <w:shd w:val="clear" w:color="auto" w:fill="FFFFFF"/>
          <w:lang w:val="zh-CN"/>
        </w:rPr>
        <w:t>（三）改进建议。</w:t>
      </w:r>
      <w:bookmarkStart w:id="44" w:name="_Hlk110546638"/>
      <w:r>
        <w:rPr>
          <w:rFonts w:hint="eastAsia" w:eastAsia="仿宋_GB2312"/>
          <w:sz w:val="32"/>
          <w:szCs w:val="32"/>
          <w:lang w:bidi="ar"/>
        </w:rPr>
        <w:t>绩效评价结果作为后续项目立项和预算安排的重要依据，对绩效优良的项目优先支持，对低效项目进行压减或淘汰，推动资源精准配置。开展绩效目标专项培训，重点提升指标与职能的匹配度。</w:t>
      </w:r>
    </w:p>
    <w:p w14:paraId="4BF8FAAE">
      <w:pPr>
        <w:widowControl/>
        <w:adjustRightInd w:val="0"/>
        <w:snapToGrid w:val="0"/>
        <w:spacing w:line="578" w:lineRule="exact"/>
        <w:ind w:firstLine="640" w:firstLineChars="200"/>
        <w:contextualSpacing/>
        <w:jc w:val="left"/>
        <w:rPr>
          <w:rFonts w:hint="eastAsia" w:eastAsia="仿宋_GB2312"/>
          <w:sz w:val="32"/>
          <w:szCs w:val="32"/>
          <w:lang w:bidi="ar"/>
        </w:rPr>
      </w:pPr>
    </w:p>
    <w:p w14:paraId="3D1C6F68">
      <w:pPr>
        <w:widowControl/>
        <w:spacing w:line="600" w:lineRule="exact"/>
        <w:jc w:val="center"/>
        <w:textAlignment w:val="center"/>
        <w:rPr>
          <w:rFonts w:hint="eastAsia" w:ascii="Times New Roman" w:eastAsia="仿宋_GB2312"/>
          <w:sz w:val="32"/>
          <w:lang w:val="zh-CN" w:bidi="ar"/>
        </w:rPr>
      </w:pPr>
      <w:r>
        <w:rPr>
          <w:rFonts w:hint="eastAsia" w:eastAsia="仿宋_GB2312"/>
          <w:sz w:val="32"/>
          <w:lang w:val="en-US" w:eastAsia="zh-CN" w:bidi="ar"/>
        </w:rPr>
        <w:t xml:space="preserve">    附件：</w:t>
      </w:r>
      <w:r>
        <w:rPr>
          <w:rFonts w:hint="eastAsia" w:ascii="Times New Roman" w:eastAsia="仿宋_GB2312"/>
          <w:sz w:val="32"/>
          <w:lang w:val="zh-CN" w:bidi="ar"/>
        </w:rPr>
        <w:t>部门预算项目支出绩效自评表（2024年度）见附件3</w:t>
      </w:r>
    </w:p>
    <w:p w14:paraId="236C2439">
      <w:pPr>
        <w:widowControl/>
        <w:adjustRightInd w:val="0"/>
        <w:snapToGrid w:val="0"/>
        <w:spacing w:line="578" w:lineRule="exact"/>
        <w:ind w:firstLine="640" w:firstLineChars="200"/>
        <w:contextualSpacing/>
        <w:jc w:val="left"/>
        <w:rPr>
          <w:rFonts w:hint="eastAsia" w:eastAsia="仿宋_GB2312"/>
          <w:sz w:val="32"/>
          <w:szCs w:val="32"/>
          <w:lang w:val="en" w:bidi="ar"/>
        </w:rPr>
      </w:pPr>
    </w:p>
    <w:bookmarkEnd w:id="44"/>
    <w:p w14:paraId="5121E1AF">
      <w:pPr>
        <w:pStyle w:val="7"/>
        <w:spacing w:line="560" w:lineRule="exact"/>
        <w:ind w:left="0" w:leftChars="0" w:firstLine="640"/>
        <w:rPr>
          <w:rFonts w:ascii="Times New Roman" w:eastAsia="仿宋_GB2312"/>
          <w:sz w:val="32"/>
          <w:lang w:val="zh-CN" w:bidi="ar"/>
        </w:rPr>
      </w:pPr>
    </w:p>
    <w:p w14:paraId="1EAE2CA4">
      <w:pPr>
        <w:pStyle w:val="7"/>
        <w:spacing w:line="560" w:lineRule="exact"/>
        <w:ind w:left="0" w:leftChars="0" w:firstLine="640"/>
        <w:rPr>
          <w:rFonts w:hint="eastAsia" w:ascii="Times New Roman" w:eastAsia="仿宋_GB2312"/>
          <w:sz w:val="32"/>
          <w:lang w:val="zh-CN" w:bidi="ar"/>
        </w:rPr>
      </w:pPr>
    </w:p>
    <w:p w14:paraId="5A5300DC">
      <w:pPr>
        <w:pStyle w:val="7"/>
        <w:spacing w:line="560" w:lineRule="exact"/>
        <w:ind w:left="0" w:leftChars="0" w:firstLine="640"/>
        <w:rPr>
          <w:rFonts w:hint="eastAsia" w:ascii="Times New Roman" w:eastAsia="仿宋_GB2312"/>
          <w:sz w:val="32"/>
          <w:lang w:val="zh-CN" w:bidi="ar"/>
        </w:rPr>
      </w:pPr>
    </w:p>
    <w:p w14:paraId="0F014C01">
      <w:pPr>
        <w:pStyle w:val="7"/>
        <w:spacing w:line="560" w:lineRule="exact"/>
        <w:ind w:left="0" w:leftChars="0" w:firstLine="640"/>
        <w:rPr>
          <w:rFonts w:hint="eastAsia" w:ascii="Times New Roman" w:eastAsia="仿宋_GB2312"/>
          <w:sz w:val="32"/>
          <w:lang w:val="zh-CN" w:bidi="ar"/>
        </w:rPr>
      </w:pPr>
    </w:p>
    <w:p w14:paraId="5E520B9D">
      <w:pPr>
        <w:pStyle w:val="7"/>
        <w:spacing w:line="560" w:lineRule="exact"/>
        <w:ind w:left="0" w:leftChars="0" w:firstLine="640"/>
        <w:rPr>
          <w:rFonts w:hint="eastAsia" w:ascii="Times New Roman" w:eastAsia="仿宋_GB2312"/>
          <w:sz w:val="32"/>
          <w:lang w:val="zh-CN" w:bidi="ar"/>
        </w:rPr>
      </w:pPr>
    </w:p>
    <w:p w14:paraId="40AC4A4E">
      <w:pPr>
        <w:pStyle w:val="7"/>
        <w:spacing w:line="560" w:lineRule="exact"/>
        <w:ind w:left="0" w:leftChars="0" w:firstLine="640"/>
        <w:rPr>
          <w:rFonts w:hint="eastAsia" w:ascii="Times New Roman" w:eastAsia="仿宋_GB2312"/>
          <w:sz w:val="32"/>
          <w:lang w:val="zh-CN" w:bidi="ar"/>
        </w:rPr>
      </w:pPr>
    </w:p>
    <w:p w14:paraId="59D74249">
      <w:pPr>
        <w:pStyle w:val="7"/>
        <w:spacing w:line="560" w:lineRule="exact"/>
        <w:ind w:left="0" w:leftChars="0" w:firstLine="640"/>
        <w:rPr>
          <w:rFonts w:hint="eastAsia" w:ascii="Times New Roman" w:eastAsia="仿宋_GB2312"/>
          <w:sz w:val="32"/>
          <w:lang w:val="zh-CN" w:bidi="ar"/>
        </w:rPr>
      </w:pPr>
    </w:p>
    <w:p w14:paraId="0974F21A">
      <w:pPr>
        <w:pStyle w:val="7"/>
        <w:spacing w:line="560" w:lineRule="exact"/>
        <w:ind w:left="0" w:leftChars="0" w:firstLine="640"/>
        <w:rPr>
          <w:rFonts w:hint="eastAsia" w:ascii="Times New Roman" w:eastAsia="仿宋_GB2312"/>
          <w:sz w:val="32"/>
          <w:lang w:val="zh-CN" w:bidi="ar"/>
        </w:rPr>
      </w:pPr>
    </w:p>
    <w:p w14:paraId="4C83EE17">
      <w:pPr>
        <w:pStyle w:val="7"/>
        <w:spacing w:line="560" w:lineRule="exact"/>
        <w:ind w:left="0" w:leftChars="0" w:firstLine="640"/>
        <w:rPr>
          <w:rFonts w:hint="eastAsia" w:ascii="Times New Roman" w:eastAsia="仿宋_GB2312"/>
          <w:sz w:val="32"/>
          <w:lang w:val="zh-CN" w:bidi="ar"/>
        </w:rPr>
      </w:pPr>
    </w:p>
    <w:p w14:paraId="2EA3B5DE">
      <w:pPr>
        <w:pStyle w:val="7"/>
        <w:spacing w:line="560" w:lineRule="exact"/>
        <w:ind w:left="0" w:leftChars="0" w:firstLine="640"/>
        <w:rPr>
          <w:rFonts w:hint="eastAsia" w:ascii="Times New Roman" w:eastAsia="仿宋_GB2312"/>
          <w:sz w:val="32"/>
          <w:lang w:val="zh-CN" w:bidi="ar"/>
        </w:rPr>
      </w:pPr>
    </w:p>
    <w:p w14:paraId="4708625B">
      <w:pPr>
        <w:pStyle w:val="7"/>
        <w:spacing w:line="560" w:lineRule="exact"/>
        <w:ind w:left="0" w:leftChars="0" w:firstLine="640"/>
        <w:rPr>
          <w:rFonts w:hint="eastAsia" w:ascii="Times New Roman" w:eastAsia="仿宋_GB2312"/>
          <w:sz w:val="32"/>
          <w:lang w:val="zh-CN" w:bidi="ar"/>
        </w:rPr>
      </w:pPr>
    </w:p>
    <w:p w14:paraId="4096D002">
      <w:pPr>
        <w:pStyle w:val="7"/>
        <w:spacing w:line="560" w:lineRule="exact"/>
        <w:ind w:left="0" w:leftChars="0" w:firstLine="640"/>
        <w:rPr>
          <w:rFonts w:hint="eastAsia" w:ascii="Times New Roman" w:eastAsia="仿宋_GB2312"/>
          <w:sz w:val="32"/>
          <w:lang w:val="zh-CN" w:bidi="ar"/>
        </w:rPr>
      </w:pPr>
    </w:p>
    <w:p w14:paraId="6FD7BCBA">
      <w:pPr>
        <w:pStyle w:val="7"/>
        <w:spacing w:line="560" w:lineRule="exact"/>
        <w:ind w:left="0" w:leftChars="0" w:firstLine="640"/>
        <w:rPr>
          <w:rFonts w:hint="eastAsia" w:ascii="Times New Roman" w:eastAsia="仿宋_GB2312"/>
          <w:sz w:val="32"/>
          <w:lang w:val="zh-CN" w:bidi="ar"/>
        </w:rPr>
      </w:pPr>
    </w:p>
    <w:p w14:paraId="0DBC4128">
      <w:pPr>
        <w:pStyle w:val="5"/>
        <w:spacing w:before="93"/>
        <w:rPr>
          <w:rFonts w:ascii="Times New Roman" w:eastAsia="黑体" w:cs="黑体"/>
          <w:sz w:val="32"/>
          <w:szCs w:val="32"/>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rPr>
        <w:t>2</w:t>
      </w:r>
    </w:p>
    <w:p w14:paraId="5B9FBC92">
      <w:pPr>
        <w:pStyle w:val="35"/>
        <w:spacing w:line="578" w:lineRule="exact"/>
        <w:jc w:val="center"/>
        <w:rPr>
          <w:rFonts w:ascii="Times New Roman" w:hAnsi="Times New Roman" w:eastAsia="方正小标宋简体" w:cs="方正小标宋简体"/>
          <w:color w:val="auto"/>
          <w:kern w:val="2"/>
          <w:sz w:val="44"/>
          <w:szCs w:val="44"/>
          <w:lang w:val="en-US"/>
        </w:rPr>
      </w:pPr>
    </w:p>
    <w:p w14:paraId="39E66A5B">
      <w:pPr>
        <w:pStyle w:val="35"/>
        <w:spacing w:line="578" w:lineRule="exact"/>
        <w:ind w:firstLine="640"/>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盐边县供销合作社联合社政府采购</w:t>
      </w:r>
    </w:p>
    <w:p w14:paraId="66D314B4">
      <w:pPr>
        <w:pStyle w:val="35"/>
        <w:spacing w:line="578" w:lineRule="exact"/>
        <w:ind w:firstLine="640"/>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电脑预算项目绩效</w:t>
      </w:r>
      <w:r>
        <w:rPr>
          <w:rFonts w:hint="eastAsia" w:ascii="Times New Roman" w:hAnsi="Times New Roman" w:eastAsia="方正小标宋简体" w:cs="方正小标宋简体"/>
          <w:color w:val="auto"/>
          <w:kern w:val="2"/>
          <w:sz w:val="44"/>
          <w:szCs w:val="44"/>
          <w:lang w:val="en-US" w:eastAsia="zh-CN"/>
        </w:rPr>
        <w:t>评价</w:t>
      </w:r>
      <w:r>
        <w:rPr>
          <w:rFonts w:hint="eastAsia" w:ascii="Times New Roman" w:hAnsi="Times New Roman" w:eastAsia="方正小标宋简体" w:cs="方正小标宋简体"/>
          <w:color w:val="auto"/>
          <w:kern w:val="2"/>
          <w:sz w:val="44"/>
          <w:szCs w:val="44"/>
          <w:lang w:val="en-US"/>
        </w:rPr>
        <w:t>报告</w:t>
      </w:r>
    </w:p>
    <w:p w14:paraId="72288EA0">
      <w:pPr>
        <w:pStyle w:val="35"/>
        <w:spacing w:line="578" w:lineRule="exact"/>
        <w:ind w:firstLine="640"/>
        <w:jc w:val="center"/>
        <w:rPr>
          <w:rFonts w:hint="eastAsia" w:ascii="Times New Roman" w:hAnsi="Times New Roman" w:eastAsia="方正小标宋简体" w:cs="方正小标宋简体"/>
          <w:color w:val="auto"/>
          <w:kern w:val="2"/>
          <w:sz w:val="44"/>
          <w:szCs w:val="44"/>
          <w:lang w:val="en-US"/>
        </w:rPr>
      </w:pPr>
    </w:p>
    <w:p w14:paraId="33777B8D">
      <w:pPr>
        <w:adjustRightInd w:val="0"/>
        <w:snapToGrid w:val="0"/>
        <w:spacing w:line="600" w:lineRule="exact"/>
        <w:ind w:firstLine="720"/>
        <w:rPr>
          <w:rFonts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14:paraId="2D0ADD61">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（一）项目基本情况。</w:t>
      </w:r>
    </w:p>
    <w:p w14:paraId="25038AC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项目背景：随着县供销社业务的不断拓展与数字化办公需求的持续增长，原有办公电脑因使用年限较长，硬件配置逐渐老化，频繁出现运行卡顿、系统故障等问题，已难以满足日常办公及业务开展需求。为提高办公效率，保障各项工作的顺利推进，依据单位实际需求及相关政策规定，县供销社通过政府采购流程购置2台电脑，以优化办公设备配置，提升工作效能。</w:t>
      </w:r>
    </w:p>
    <w:p w14:paraId="0633657E">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主要内容及实施情况：本项目主要内容为通过规范的政府采购流程，采购2台符合办公需求的电脑。在实施过程中，严格遵循政府采购相关法律法规及单位内部采购制度，完成了需求调研、采31日完成采购，并及时将电脑交付使用，确保设备能够尽快投入到实际办公场景中。</w:t>
      </w:r>
    </w:p>
    <w:p w14:paraId="4FA9FB1F">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资金投入和使用情况：本项目预算资金为1.46万元，实际到位资金1.46元，资金到位率100%。实际支出1.46万元，资金使用率100%。资金主要用于电脑的购置费用，包括电脑主机、显示器、键盘鼠标等配件，以及运输、安装调试等相关费用。</w:t>
      </w:r>
    </w:p>
    <w:p w14:paraId="25392A9D">
      <w:pPr>
        <w:adjustRightInd w:val="0"/>
        <w:snapToGrid w:val="0"/>
        <w:spacing w:line="600" w:lineRule="exact"/>
        <w:ind w:firstLine="720"/>
        <w:rPr>
          <w:rFonts w:ascii="仿宋_GB2312" w:hAnsi="仿宋_GB2312" w:eastAsia="仿宋_GB2312" w:cs="仿宋_GB2312"/>
          <w:sz w:val="32"/>
          <w:szCs w:val="32"/>
          <w:lang w:val="zh-CN"/>
        </w:rPr>
      </w:pPr>
    </w:p>
    <w:p w14:paraId="081C03F4">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（二）项目绩效目标。</w:t>
      </w:r>
    </w:p>
    <w:p w14:paraId="70157A1C">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1.总体目标：通过采购2台电脑，改善县供销社办公设备条件，提升办公自动化水平，保障各项业务工作高效、稳定开展，为提高供销社服务质量和工作效率提供硬件支持。</w:t>
      </w:r>
    </w:p>
    <w:p w14:paraId="28440531">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2.阶段性目标：在2024年12月31日前完成电脑采购工作；设备交付后，在1个月内完成安装调试及人员培训，确保设备正常使用；在设备使用后的1年内，实现办公效率提升15%以上，设备故障率低于5%。</w:t>
      </w:r>
    </w:p>
    <w:p w14:paraId="638C5296">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rPr>
        <w:t>二、项目资金申报及使用情况</w:t>
      </w:r>
    </w:p>
    <w:p w14:paraId="0291575D">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14:paraId="63DF1020">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我单位202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月向县政府报告解决</w:t>
      </w:r>
      <w:r>
        <w:rPr>
          <w:rFonts w:hint="eastAsia" w:ascii="仿宋_GB2312" w:hAnsi="仿宋_GB2312" w:eastAsia="仿宋_GB2312" w:cs="仿宋_GB2312"/>
          <w:sz w:val="32"/>
          <w:szCs w:val="32"/>
          <w:lang w:val="en-US" w:eastAsia="zh-CN"/>
        </w:rPr>
        <w:t>盐边供销合作社联合社采购电脑1.72</w:t>
      </w:r>
      <w:r>
        <w:rPr>
          <w:rFonts w:hint="eastAsia" w:ascii="仿宋_GB2312" w:hAnsi="仿宋_GB2312" w:eastAsia="仿宋_GB2312" w:cs="仿宋_GB2312"/>
          <w:sz w:val="32"/>
          <w:szCs w:val="32"/>
          <w:lang w:val="zh-CN"/>
        </w:rPr>
        <w:t>万元，县财政局在2024年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rPr>
        <w:t>月下达批复资金文件（盐财资行〔2024〕163号），同意拨付我单位</w:t>
      </w:r>
      <w:r>
        <w:rPr>
          <w:rFonts w:hint="eastAsia" w:ascii="仿宋_GB2312" w:hAnsi="仿宋_GB2312" w:eastAsia="仿宋_GB2312" w:cs="仿宋_GB2312"/>
          <w:sz w:val="32"/>
          <w:szCs w:val="32"/>
          <w:lang w:val="en-US" w:eastAsia="zh-CN"/>
        </w:rPr>
        <w:t>1.72</w:t>
      </w:r>
      <w:r>
        <w:rPr>
          <w:rFonts w:hint="eastAsia" w:ascii="仿宋_GB2312" w:hAnsi="仿宋_GB2312" w:eastAsia="仿宋_GB2312" w:cs="仿宋_GB2312"/>
          <w:sz w:val="32"/>
          <w:szCs w:val="32"/>
          <w:lang w:val="zh-CN"/>
        </w:rPr>
        <w:t>万元资金。</w:t>
      </w:r>
    </w:p>
    <w:p w14:paraId="0D45B4BD">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（二）资金计划、到位及使用情况。</w:t>
      </w:r>
    </w:p>
    <w:p w14:paraId="08B44BD0">
      <w:pPr>
        <w:adjustRightInd w:val="0"/>
        <w:snapToGrid w:val="0"/>
        <w:spacing w:line="600" w:lineRule="exact"/>
        <w:ind w:firstLine="720"/>
        <w:rPr>
          <w:rFonts w:hint="eastAsia" w:eastAsia="仿宋_GB2312"/>
          <w:color w:val="auto"/>
          <w:sz w:val="32"/>
          <w:szCs w:val="32"/>
          <w:lang w:val="en-US" w:eastAsia="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资金计划。</w:t>
      </w:r>
      <w:r>
        <w:rPr>
          <w:rFonts w:eastAsia="仿宋_GB2312"/>
          <w:color w:val="auto"/>
          <w:sz w:val="32"/>
          <w:szCs w:val="32"/>
        </w:rPr>
        <w:t>此项目资金全为县级财政资金，用于</w:t>
      </w:r>
      <w:r>
        <w:rPr>
          <w:rFonts w:hint="eastAsia" w:eastAsia="仿宋_GB2312"/>
          <w:color w:val="auto"/>
          <w:sz w:val="32"/>
          <w:szCs w:val="32"/>
          <w:lang w:val="en-US" w:eastAsia="zh-CN"/>
        </w:rPr>
        <w:t>盐边县供销社2024年电脑替换设备处置工作。</w:t>
      </w:r>
    </w:p>
    <w:p w14:paraId="7906E8C0">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资金到位。</w:t>
      </w:r>
      <w:r>
        <w:rPr>
          <w:rFonts w:eastAsia="仿宋_GB2312"/>
          <w:color w:val="auto"/>
          <w:sz w:val="32"/>
          <w:szCs w:val="32"/>
        </w:rPr>
        <w:t>此项目在202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lang w:val="en-US" w:eastAsia="zh-CN"/>
        </w:rPr>
        <w:t>12</w:t>
      </w:r>
      <w:r>
        <w:rPr>
          <w:rFonts w:eastAsia="仿宋_GB2312"/>
          <w:color w:val="auto"/>
          <w:sz w:val="32"/>
          <w:szCs w:val="32"/>
        </w:rPr>
        <w:t>月验收合格，县财政局在202</w:t>
      </w:r>
      <w:r>
        <w:rPr>
          <w:rFonts w:hint="eastAsia" w:eastAsia="仿宋_GB2312"/>
          <w:color w:val="auto"/>
          <w:sz w:val="32"/>
          <w:szCs w:val="32"/>
          <w:lang w:val="en-US" w:eastAsia="zh-CN"/>
        </w:rPr>
        <w:t>4</w:t>
      </w:r>
      <w:r>
        <w:rPr>
          <w:rFonts w:eastAsia="仿宋_GB2312"/>
          <w:color w:val="auto"/>
          <w:sz w:val="32"/>
          <w:szCs w:val="32"/>
        </w:rPr>
        <w:t>年</w:t>
      </w:r>
      <w:r>
        <w:rPr>
          <w:rFonts w:hint="eastAsia"/>
          <w:color w:val="auto"/>
          <w:sz w:val="32"/>
          <w:szCs w:val="32"/>
          <w:lang w:val="en-US" w:eastAsia="zh-CN"/>
        </w:rPr>
        <w:t>1</w:t>
      </w:r>
      <w:r>
        <w:rPr>
          <w:rFonts w:eastAsia="仿宋_GB2312"/>
          <w:color w:val="auto"/>
          <w:sz w:val="32"/>
          <w:szCs w:val="32"/>
        </w:rPr>
        <w:t>月将财政指标下给县供销社，县供销社及时支付</w:t>
      </w:r>
      <w:r>
        <w:rPr>
          <w:rFonts w:hint="eastAsia" w:hAnsi="Times New Roman" w:eastAsia="仿宋_GB2312" w:cs="Times New Roman"/>
          <w:color w:val="auto"/>
          <w:sz w:val="32"/>
          <w:szCs w:val="32"/>
          <w:lang w:val="en-US" w:eastAsia="zh-CN"/>
        </w:rPr>
        <w:t>2024年电脑采购款</w:t>
      </w:r>
      <w:r>
        <w:rPr>
          <w:rFonts w:eastAsia="仿宋_GB2312"/>
          <w:color w:val="auto"/>
          <w:sz w:val="32"/>
          <w:szCs w:val="32"/>
        </w:rPr>
        <w:t>到对方的账户，资金及时</w:t>
      </w:r>
      <w:r>
        <w:rPr>
          <w:rFonts w:hint="eastAsia"/>
          <w:color w:val="auto"/>
          <w:sz w:val="32"/>
          <w:szCs w:val="32"/>
          <w:lang w:val="en-US" w:eastAsia="zh-CN"/>
        </w:rPr>
        <w:t>支付</w:t>
      </w:r>
      <w:r>
        <w:rPr>
          <w:rFonts w:eastAsia="仿宋_GB2312"/>
          <w:color w:val="auto"/>
          <w:sz w:val="32"/>
          <w:szCs w:val="32"/>
        </w:rPr>
        <w:t>到位。</w:t>
      </w:r>
    </w:p>
    <w:p w14:paraId="2624DCCC">
      <w:pPr>
        <w:adjustRightInd w:val="0"/>
        <w:snapToGrid w:val="0"/>
        <w:spacing w:line="600" w:lineRule="exact"/>
        <w:ind w:firstLine="720"/>
        <w:rPr>
          <w:rFonts w:eastAsia="仿宋_GB2312"/>
          <w:color w:val="auto"/>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资金使用。</w:t>
      </w:r>
      <w:r>
        <w:rPr>
          <w:rFonts w:hint="eastAsia" w:ascii="仿宋_GB2312" w:hAnsi="仿宋_GB2312" w:eastAsia="仿宋_GB2312" w:cs="仿宋_GB2312"/>
          <w:sz w:val="32"/>
          <w:szCs w:val="32"/>
          <w:lang w:val="en-US" w:eastAsia="zh-CN"/>
        </w:rPr>
        <w:t>资金</w:t>
      </w:r>
      <w:r>
        <w:rPr>
          <w:rFonts w:eastAsia="仿宋_GB2312"/>
          <w:color w:val="auto"/>
          <w:sz w:val="32"/>
          <w:szCs w:val="32"/>
        </w:rPr>
        <w:t>用于</w:t>
      </w:r>
      <w:r>
        <w:rPr>
          <w:rFonts w:hint="eastAsia" w:eastAsia="仿宋_GB2312"/>
          <w:color w:val="auto"/>
          <w:sz w:val="32"/>
          <w:szCs w:val="32"/>
          <w:lang w:val="en-US" w:eastAsia="zh-CN"/>
        </w:rPr>
        <w:t>盐边县供销社2024年电脑替换设备处置工作。</w:t>
      </w:r>
      <w:r>
        <w:rPr>
          <w:rFonts w:eastAsia="仿宋_GB2312"/>
          <w:color w:val="auto"/>
          <w:sz w:val="32"/>
          <w:szCs w:val="32"/>
        </w:rPr>
        <w:t>我们在实际支付范围、支付依据与预算相符，支付标准严格按照财政相关文件要求执行，资金使用规范。在202</w:t>
      </w:r>
      <w:r>
        <w:rPr>
          <w:rFonts w:hint="eastAsia"/>
          <w:color w:val="auto"/>
          <w:sz w:val="32"/>
          <w:szCs w:val="32"/>
          <w:lang w:val="en-US" w:eastAsia="zh-CN"/>
        </w:rPr>
        <w:t>4</w:t>
      </w:r>
      <w:r>
        <w:rPr>
          <w:rFonts w:eastAsia="仿宋_GB2312"/>
          <w:color w:val="auto"/>
          <w:sz w:val="32"/>
          <w:szCs w:val="32"/>
        </w:rPr>
        <w:t>年底，此项目资金支付率达到100%。</w:t>
      </w:r>
    </w:p>
    <w:p w14:paraId="36EDC87B">
      <w:pPr>
        <w:numPr>
          <w:ilvl w:val="0"/>
          <w:numId w:val="0"/>
        </w:numPr>
        <w:adjustRightInd w:val="0"/>
        <w:snapToGrid w:val="0"/>
        <w:spacing w:line="600" w:lineRule="exact"/>
        <w:ind w:firstLine="643" w:firstLineChars="20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（三）项目财务管理情况。</w:t>
      </w:r>
    </w:p>
    <w:p w14:paraId="66788F07">
      <w:pPr>
        <w:ind w:firstLine="640" w:firstLineChars="200"/>
        <w:rPr>
          <w:rFonts w:eastAsia="仿宋_GB2312"/>
          <w:color w:val="auto"/>
          <w:sz w:val="32"/>
          <w:szCs w:val="32"/>
        </w:rPr>
      </w:pPr>
      <w:r>
        <w:rPr>
          <w:rFonts w:eastAsia="仿宋_GB2312"/>
          <w:color w:val="auto"/>
          <w:sz w:val="32"/>
          <w:szCs w:val="32"/>
        </w:rPr>
        <w:t>我单位实施此项目，财务管理制度健全，严格执行财务管理制度，账务处理及时，会计核算规范。</w:t>
      </w:r>
    </w:p>
    <w:p w14:paraId="60C13B3B">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rPr>
        <w:t>三、项目实施及管理情况</w:t>
      </w:r>
    </w:p>
    <w:p w14:paraId="5A414A7C">
      <w:pPr>
        <w:ind w:firstLine="640" w:firstLineChars="200"/>
        <w:rPr>
          <w:rFonts w:eastAsia="仿宋_GB2312"/>
          <w:color w:val="auto"/>
          <w:sz w:val="32"/>
          <w:szCs w:val="32"/>
        </w:rPr>
      </w:pPr>
      <w:r>
        <w:rPr>
          <w:rFonts w:eastAsia="仿宋_GB2312"/>
          <w:color w:val="auto"/>
          <w:sz w:val="32"/>
          <w:szCs w:val="32"/>
        </w:rPr>
        <w:t>此项目资金用于</w:t>
      </w:r>
      <w:r>
        <w:rPr>
          <w:rFonts w:hint="eastAsia" w:eastAsia="仿宋_GB2312"/>
          <w:color w:val="auto"/>
          <w:sz w:val="32"/>
          <w:szCs w:val="32"/>
          <w:lang w:val="en-US" w:eastAsia="zh-CN"/>
        </w:rPr>
        <w:t>盐边县供销社2024年电脑替换设备处置工作</w:t>
      </w:r>
      <w:r>
        <w:rPr>
          <w:rFonts w:eastAsia="仿宋_GB2312"/>
          <w:color w:val="auto"/>
          <w:sz w:val="32"/>
          <w:szCs w:val="32"/>
        </w:rPr>
        <w:t>，资金使用严格遵守财务管理制度，会计核算规范。</w:t>
      </w:r>
    </w:p>
    <w:p w14:paraId="65F6B6C6">
      <w:pPr>
        <w:numPr>
          <w:ilvl w:val="0"/>
          <w:numId w:val="4"/>
        </w:numPr>
        <w:adjustRightInd w:val="0"/>
        <w:snapToGrid w:val="0"/>
        <w:spacing w:line="600" w:lineRule="exact"/>
        <w:ind w:firstLine="720"/>
        <w:rPr>
          <w:rFonts w:ascii="Times New Roman" w:hAnsi="Times New Roman" w:eastAsia="仿宋_GB2312" w:cs="Times New Roman"/>
          <w:color w:val="auto"/>
          <w:sz w:val="32"/>
          <w:szCs w:val="32"/>
          <w:lang w:val="zh-CN"/>
        </w:rPr>
      </w:pPr>
      <w:r>
        <w:rPr>
          <w:rFonts w:hint="eastAsia" w:ascii="仿宋_GB2312" w:hAnsi="仿宋_GB2312" w:eastAsia="仿宋_GB2312" w:cs="仿宋_GB2312"/>
          <w:b/>
          <w:sz w:val="32"/>
          <w:szCs w:val="32"/>
          <w:lang w:val="zh-CN"/>
        </w:rPr>
        <w:t>项目组织架构及实施流程。</w:t>
      </w:r>
      <w:r>
        <w:rPr>
          <w:rFonts w:hint="eastAsia" w:ascii="Times New Roman" w:hAnsi="Times New Roman" w:eastAsia="仿宋_GB2312" w:cs="Times New Roman"/>
          <w:color w:val="auto"/>
          <w:sz w:val="32"/>
          <w:szCs w:val="32"/>
          <w:lang w:val="en-US" w:eastAsia="zh-CN"/>
        </w:rPr>
        <w:t>通过框架协议采购华为电脑2台，严格按照采购流程执行采购电脑，并通过单位内部人员进行验收，及时支付相关费用。</w:t>
      </w:r>
    </w:p>
    <w:p w14:paraId="0849304F">
      <w:pPr>
        <w:spacing w:line="560" w:lineRule="exact"/>
        <w:ind w:firstLine="321" w:firstLineChars="100"/>
        <w:rPr>
          <w:rFonts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（二）项目管理情况。</w:t>
      </w:r>
      <w:r>
        <w:rPr>
          <w:rFonts w:hint="eastAsia" w:ascii="仿宋_GB2312" w:hAnsi="仿宋_GB2312" w:eastAsia="仿宋_GB2312" w:cs="仿宋_GB2312"/>
          <w:sz w:val="32"/>
          <w:szCs w:val="32"/>
        </w:rPr>
        <w:t>通过电脑使用情况，与使用人员进行访谈，了解设备运行状况和使用效果；收集使用人员对设备性能、采购服务等方面的满意度评价；对项目资金使用情况进行详细核查，确保资金使用合规、合理。</w:t>
      </w:r>
    </w:p>
    <w:p w14:paraId="363D5CD6">
      <w:pPr>
        <w:adjustRightInd w:val="0"/>
        <w:snapToGrid w:val="0"/>
        <w:spacing w:line="600" w:lineRule="exact"/>
        <w:ind w:firstLine="720"/>
        <w:rPr>
          <w:rFonts w:ascii="黑体" w:hAnsi="黑体" w:eastAsia="黑体" w:cs="黑体"/>
          <w:sz w:val="32"/>
          <w:szCs w:val="32"/>
          <w:lang w:val="zh-CN"/>
        </w:rPr>
      </w:pPr>
      <w:r>
        <w:rPr>
          <w:rFonts w:hint="eastAsia" w:ascii="黑体" w:hAnsi="黑体" w:eastAsia="黑体" w:cs="黑体"/>
          <w:sz w:val="32"/>
          <w:szCs w:val="32"/>
        </w:rPr>
        <w:t>四、项目绩效情况</w:t>
      </w:r>
      <w:r>
        <w:rPr>
          <w:rFonts w:hint="eastAsia" w:ascii="黑体" w:hAnsi="黑体" w:eastAsia="黑体" w:cs="黑体"/>
          <w:sz w:val="32"/>
          <w:szCs w:val="32"/>
          <w:lang w:val="zh-CN"/>
        </w:rPr>
        <w:tab/>
      </w:r>
    </w:p>
    <w:p w14:paraId="223F4A65">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14:paraId="3CFFA934">
      <w:pPr>
        <w:ind w:firstLine="640" w:firstLineChars="200"/>
        <w:rPr>
          <w:rFonts w:ascii="Times New Roman"/>
        </w:rPr>
      </w:pPr>
      <w:r>
        <w:rPr>
          <w:rFonts w:eastAsia="仿宋_GB2312"/>
          <w:color w:val="auto"/>
          <w:sz w:val="32"/>
          <w:szCs w:val="32"/>
        </w:rPr>
        <w:t>我单位按照合同要求在</w:t>
      </w:r>
      <w:r>
        <w:rPr>
          <w:rFonts w:hint="eastAsia"/>
          <w:color w:val="auto"/>
          <w:sz w:val="32"/>
          <w:szCs w:val="32"/>
          <w:lang w:val="en-US" w:eastAsia="zh-CN"/>
        </w:rPr>
        <w:t>2024年12月底</w:t>
      </w:r>
      <w:r>
        <w:rPr>
          <w:rFonts w:eastAsia="仿宋_GB2312"/>
          <w:color w:val="auto"/>
          <w:sz w:val="32"/>
          <w:szCs w:val="32"/>
        </w:rPr>
        <w:t>及时全额支付</w:t>
      </w:r>
      <w:r>
        <w:rPr>
          <w:rFonts w:hint="eastAsia" w:eastAsia="仿宋_GB2312"/>
          <w:color w:val="auto"/>
          <w:sz w:val="32"/>
          <w:szCs w:val="32"/>
          <w:lang w:val="en-US" w:eastAsia="zh-CN"/>
        </w:rPr>
        <w:t>盐边县供销社2024年电脑替换设备处置工作</w:t>
      </w:r>
      <w:r>
        <w:rPr>
          <w:rFonts w:hint="eastAsia" w:hAnsi="Times New Roman" w:eastAsia="仿宋_GB2312" w:cs="Times New Roman"/>
          <w:color w:val="auto"/>
          <w:sz w:val="32"/>
          <w:szCs w:val="32"/>
          <w:lang w:val="en-US" w:eastAsia="zh-CN"/>
        </w:rPr>
        <w:t>1.46</w:t>
      </w:r>
      <w:r>
        <w:rPr>
          <w:rFonts w:eastAsia="仿宋_GB2312"/>
          <w:color w:val="auto"/>
          <w:sz w:val="32"/>
          <w:szCs w:val="32"/>
        </w:rPr>
        <w:t>万元费</w:t>
      </w:r>
      <w:r>
        <w:rPr>
          <w:rFonts w:hint="eastAsia" w:eastAsia="仿宋_GB2312"/>
          <w:color w:val="auto"/>
          <w:sz w:val="32"/>
          <w:szCs w:val="32"/>
          <w:lang w:val="en-US" w:eastAsia="zh-CN"/>
        </w:rPr>
        <w:t>用</w:t>
      </w:r>
      <w:r>
        <w:rPr>
          <w:rFonts w:eastAsia="仿宋_GB2312"/>
          <w:color w:val="auto"/>
          <w:sz w:val="32"/>
          <w:szCs w:val="32"/>
        </w:rPr>
        <w:t>，资金没有结余，资金使用效益较高，没有违规情况发生。</w:t>
      </w:r>
    </w:p>
    <w:p w14:paraId="1A679159">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p>
    <w:p w14:paraId="1EE887F6">
      <w:pPr>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对采购的电脑进行严格验收，从外观检查到性能测试，确保设备质量符合要求后才办理交付使用手续。</w:t>
      </w:r>
    </w:p>
    <w:p w14:paraId="5743F20C">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rPr>
        <w:t>五、评价结论及建议</w:t>
      </w:r>
    </w:p>
    <w:p w14:paraId="6D82EBD1">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（一）评价结论。</w:t>
      </w:r>
    </w:p>
    <w:p w14:paraId="223F3523">
      <w:pPr>
        <w:adjustRightInd w:val="0"/>
        <w:snapToGrid w:val="0"/>
        <w:spacing w:line="600" w:lineRule="exact"/>
        <w:ind w:firstLine="72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通过使用新购置的电脑，单位办公效率得到显著提升，经统计，实际办公效率提升30%，超过了预期目标；设备运行稳定，故障率低于预期的5%；使用人员对设备的性能、操作便捷性等方面满意度较高</w:t>
      </w:r>
      <w:r>
        <w:rPr>
          <w:rFonts w:hint="eastAsia" w:ascii="仿宋_GB2312" w:hAnsi="仿宋_GB2312" w:eastAsia="仿宋_GB2312" w:cs="仿宋_GB2312"/>
          <w:sz w:val="32"/>
          <w:szCs w:val="32"/>
          <w:lang w:eastAsia="zh-CN"/>
        </w:rPr>
        <w:t>。</w:t>
      </w:r>
    </w:p>
    <w:p w14:paraId="016C3BA3">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（二）存在的问题。</w:t>
      </w:r>
    </w:p>
    <w:p w14:paraId="3DFECC0C">
      <w:pPr>
        <w:adjustRightInd w:val="0"/>
        <w:snapToGrid w:val="0"/>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lang w:val="zh-CN"/>
        </w:rPr>
        <w:tab/>
      </w:r>
    </w:p>
    <w:p w14:paraId="7D61F8DA">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（三）相关建议。</w:t>
      </w:r>
    </w:p>
    <w:p w14:paraId="48865CB8">
      <w:pPr>
        <w:spacing w:line="578" w:lineRule="exact"/>
        <w:ind w:firstLine="640"/>
        <w:rPr>
          <w:rFonts w:eastAsia="仿宋_GB2312" w:cs="仿宋_GB2312"/>
          <w:kern w:val="0"/>
          <w:sz w:val="32"/>
          <w:szCs w:val="32"/>
        </w:rPr>
      </w:pPr>
      <w:r>
        <w:rPr>
          <w:rFonts w:hint="eastAsia" w:ascii="仿宋_GB2312" w:hAnsi="仿宋_GB2312" w:eastAsia="仿宋_GB2312" w:cs="仿宋_GB2312"/>
          <w:sz w:val="32"/>
          <w:szCs w:val="32"/>
        </w:rPr>
        <w:t>完善设备维护管理体系：制定完善的设备维护管理制度，明确设备维护责任人和维护流程；加强对单位内部人员的设备维护培训，提高其基本维护技能；必要时可聘请专业的设备维护人员或与专业维护机构建立长期合作关系，确保设备能够得到及时、有效的维护和保养。</w:t>
      </w:r>
    </w:p>
    <w:p w14:paraId="0C8A2906">
      <w:pPr>
        <w:spacing w:line="578" w:lineRule="exact"/>
        <w:ind w:firstLine="640"/>
        <w:rPr>
          <w:rFonts w:hint="eastAsia" w:eastAsia="仿宋_GB2312" w:cs="仿宋_GB2312"/>
          <w:kern w:val="0"/>
          <w:sz w:val="32"/>
          <w:szCs w:val="32"/>
        </w:rPr>
      </w:pPr>
      <w:bookmarkStart w:id="45" w:name="_Toc15396618"/>
      <w:r>
        <w:rPr>
          <w:rFonts w:hint="eastAsia" w:eastAsia="仿宋_GB2312" w:cs="仿宋_GB2312"/>
          <w:kern w:val="0"/>
          <w:sz w:val="32"/>
          <w:szCs w:val="32"/>
        </w:rPr>
        <w:br w:type="page"/>
      </w:r>
    </w:p>
    <w:p w14:paraId="526A51F7">
      <w:pPr>
        <w:pStyle w:val="5"/>
        <w:spacing w:before="93"/>
        <w:rPr>
          <w:rFonts w:hint="eastAsia" w:ascii="Times New Roman" w:eastAsia="黑体" w:cs="黑体"/>
          <w:sz w:val="32"/>
          <w:szCs w:val="32"/>
          <w:lang w:eastAsia="zh-CN"/>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lang w:val="en-US" w:eastAsia="zh-CN"/>
        </w:rPr>
        <w:t>3</w:t>
      </w:r>
    </w:p>
    <w:p w14:paraId="1452713E">
      <w:pPr>
        <w:pStyle w:val="35"/>
        <w:spacing w:line="578" w:lineRule="exact"/>
        <w:ind w:firstLine="640"/>
        <w:jc w:val="center"/>
        <w:rPr>
          <w:rFonts w:hint="eastAsia" w:ascii="Times New Roman" w:hAnsi="Times New Roman" w:eastAsia="方正小标宋简体" w:cs="方正小标宋简体"/>
          <w:color w:val="auto"/>
          <w:kern w:val="2"/>
          <w:sz w:val="44"/>
          <w:szCs w:val="44"/>
          <w:lang w:val="en-US"/>
        </w:rPr>
      </w:pPr>
    </w:p>
    <w:p w14:paraId="58CDD153">
      <w:pPr>
        <w:pStyle w:val="35"/>
        <w:spacing w:line="578" w:lineRule="exact"/>
        <w:ind w:firstLine="640"/>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解决盐边县渔门片区城乡</w:t>
      </w:r>
    </w:p>
    <w:p w14:paraId="68B392F5">
      <w:pPr>
        <w:pStyle w:val="35"/>
        <w:spacing w:line="578" w:lineRule="exact"/>
        <w:ind w:firstLine="640"/>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冷链物流建设项目青苗补偿金项目绩效自评报告</w:t>
      </w:r>
    </w:p>
    <w:p w14:paraId="74034912">
      <w:pPr>
        <w:pStyle w:val="35"/>
        <w:spacing w:line="578" w:lineRule="exact"/>
        <w:ind w:firstLine="640"/>
        <w:jc w:val="center"/>
        <w:rPr>
          <w:rFonts w:hint="eastAsia" w:ascii="Times New Roman" w:hAnsi="Times New Roman" w:eastAsia="方正小标宋简体" w:cs="方正小标宋简体"/>
          <w:color w:val="auto"/>
          <w:kern w:val="2"/>
          <w:sz w:val="44"/>
          <w:szCs w:val="44"/>
          <w:lang w:val="en-US"/>
        </w:rPr>
      </w:pPr>
    </w:p>
    <w:p w14:paraId="1261C21E">
      <w:pPr>
        <w:adjustRightInd w:val="0"/>
        <w:snapToGrid w:val="0"/>
        <w:spacing w:line="600" w:lineRule="exact"/>
        <w:ind w:firstLine="720"/>
        <w:rPr>
          <w:rFonts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14:paraId="6CF0D738">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（一）项目基本情况。</w:t>
      </w:r>
    </w:p>
    <w:p w14:paraId="073723FA">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盐边县渔门片区城乡冷链物流建设项目是省供销社省财政厅支持我县加快补齐供销城乡流通和为农服务短板、建强服务网络、提升服务能力以及推进供销社改革和高质量发展的重点项目，已列入县政府2024年《政府工作报告》重点任务清单。渔门镇党委政府高度重视和配合项目落实落地，安排渔门镇三源河村村民委员会负责项目施工红线范围内土地征拆和青苗补偿工作。截止2024年7月14日，渔门镇参照《盐边县人民政府关于公布盐边县征收农用地区片综合地价标准的通知》（盐边府发〔2020〕37号）《盐边县征地青苗和地上附着物补偿标准》（盐边府发〔2021〕189号）等规定，已与项目施工红线范围内涉及的谢镇东、赵朝发、李伟、任代发、李跃蓉等5户农户就地上附着物补偿签订了青苗补偿协议。加快推进盐边县渔门片区城乡冷链物流建设项目建设。</w:t>
      </w:r>
    </w:p>
    <w:p w14:paraId="38D141AE">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（二）项目绩效目标。</w:t>
      </w:r>
    </w:p>
    <w:p w14:paraId="72FEB0F1">
      <w:pPr>
        <w:adjustRightInd w:val="0"/>
        <w:snapToGrid w:val="0"/>
        <w:spacing w:line="520" w:lineRule="exact"/>
        <w:ind w:firstLine="640" w:firstLineChars="200"/>
        <w:rPr>
          <w:rFonts w:hint="eastAsia" w:ascii="仿宋_GB2312" w:hAnsi="宋体" w:eastAsia="仿宋_GB2312"/>
          <w:sz w:val="32"/>
          <w:szCs w:val="32"/>
          <w:lang w:eastAsia="zh-CN"/>
        </w:rPr>
      </w:pPr>
      <w:r>
        <w:rPr>
          <w:rFonts w:hint="eastAsia" w:ascii="仿宋_GB2312" w:hAnsi="宋体" w:eastAsia="仿宋_GB2312"/>
          <w:bCs/>
          <w:sz w:val="32"/>
          <w:szCs w:val="32"/>
          <w:lang w:eastAsia="zh-CN"/>
        </w:rPr>
        <w:t>严格按照</w:t>
      </w:r>
      <w:r>
        <w:rPr>
          <w:rFonts w:hint="eastAsia" w:ascii="仿宋_GB2312" w:hAnsi="宋体" w:eastAsia="仿宋_GB2312"/>
          <w:bCs/>
          <w:sz w:val="32"/>
          <w:szCs w:val="32"/>
        </w:rPr>
        <w:t>《盐边县人民政府关于公布盐边县征收农用地区片综合地价标准的通知》（盐边府发〔2020〕37号）《盐边县征地青苗和地上附着物补偿标准》（盐边府发〔2021〕189号）等规定</w:t>
      </w:r>
      <w:r>
        <w:rPr>
          <w:rFonts w:hint="eastAsia" w:ascii="仿宋_GB2312" w:hAnsi="宋体" w:eastAsia="仿宋_GB2312"/>
          <w:bCs/>
          <w:sz w:val="32"/>
          <w:szCs w:val="32"/>
          <w:lang w:eastAsia="zh-CN"/>
        </w:rPr>
        <w:t>，确定与</w:t>
      </w:r>
      <w:r>
        <w:rPr>
          <w:rFonts w:hint="eastAsia" w:ascii="仿宋_GB2312" w:hAnsi="宋体" w:eastAsia="仿宋_GB2312"/>
          <w:sz w:val="32"/>
          <w:szCs w:val="32"/>
        </w:rPr>
        <w:t>项目施工红线范围内涉及的谢镇东、赵朝发、李伟、任代发、李跃蓉等5户农户就地上附着物补偿签订了青苗补偿协议</w:t>
      </w:r>
      <w:r>
        <w:rPr>
          <w:rFonts w:hint="eastAsia" w:ascii="仿宋_GB2312" w:hAnsi="宋体" w:eastAsia="仿宋_GB2312"/>
          <w:sz w:val="32"/>
          <w:szCs w:val="32"/>
          <w:lang w:eastAsia="zh-CN"/>
        </w:rPr>
        <w:t>，补偿合理。</w:t>
      </w:r>
    </w:p>
    <w:p w14:paraId="744CA526">
      <w:pPr>
        <w:pStyle w:val="20"/>
        <w:numPr>
          <w:ilvl w:val="0"/>
          <w:numId w:val="0"/>
        </w:numPr>
        <w:ind w:left="720" w:leftChars="0"/>
        <w:rPr>
          <w:rFonts w:hint="eastAsia" w:ascii="仿宋_GB2312" w:hAnsi="仿宋_GB2312" w:eastAsia="仿宋_GB2312" w:cs="仿宋_GB2312"/>
          <w:b/>
          <w:kern w:val="2"/>
          <w:sz w:val="32"/>
          <w:szCs w:val="32"/>
          <w:lang w:val="zh-CN" w:eastAsia="zh-CN" w:bidi="ar-SA"/>
        </w:rPr>
      </w:pPr>
      <w:r>
        <w:rPr>
          <w:rFonts w:hint="eastAsia" w:ascii="仿宋_GB2312" w:hAnsi="仿宋_GB2312" w:eastAsia="仿宋_GB2312" w:cs="仿宋_GB2312"/>
          <w:b/>
          <w:kern w:val="2"/>
          <w:sz w:val="32"/>
          <w:szCs w:val="32"/>
          <w:lang w:val="zh-CN" w:eastAsia="zh-CN" w:bidi="ar-SA"/>
        </w:rPr>
        <w:t>（</w:t>
      </w:r>
      <w:r>
        <w:rPr>
          <w:rFonts w:hint="eastAsia" w:ascii="仿宋_GB2312" w:hAnsi="仿宋_GB2312" w:eastAsia="仿宋_GB2312" w:cs="仿宋_GB2312"/>
          <w:b/>
          <w:kern w:val="2"/>
          <w:sz w:val="32"/>
          <w:szCs w:val="32"/>
          <w:lang w:val="en-US" w:eastAsia="zh-CN" w:bidi="ar-SA"/>
        </w:rPr>
        <w:t>三）</w:t>
      </w:r>
      <w:r>
        <w:rPr>
          <w:rFonts w:hint="eastAsia" w:ascii="仿宋_GB2312" w:hAnsi="仿宋_GB2312" w:eastAsia="仿宋_GB2312" w:cs="仿宋_GB2312"/>
          <w:b/>
          <w:kern w:val="2"/>
          <w:sz w:val="32"/>
          <w:szCs w:val="32"/>
          <w:lang w:val="zh-CN" w:eastAsia="zh-CN" w:bidi="ar-SA"/>
        </w:rPr>
        <w:t>项目自评步骤及方法</w:t>
      </w:r>
    </w:p>
    <w:p w14:paraId="78DBD506">
      <w:pPr>
        <w:spacing w:line="560" w:lineRule="exact"/>
        <w:ind w:firstLine="640" w:firstLineChars="200"/>
        <w:rPr>
          <w:rFonts w:eastAsia="仿宋_GB2312"/>
          <w:color w:val="auto"/>
          <w:sz w:val="32"/>
          <w:szCs w:val="32"/>
        </w:rPr>
      </w:pPr>
      <w:r>
        <w:rPr>
          <w:rFonts w:eastAsia="仿宋_GB2312"/>
          <w:color w:val="auto"/>
          <w:sz w:val="32"/>
          <w:szCs w:val="32"/>
        </w:rPr>
        <w:t>1.现场评价</w:t>
      </w:r>
      <w:r>
        <w:rPr>
          <w:rFonts w:hint="eastAsia" w:eastAsia="仿宋_GB2312"/>
          <w:color w:val="auto"/>
          <w:sz w:val="32"/>
          <w:szCs w:val="32"/>
        </w:rPr>
        <w:t>。</w:t>
      </w:r>
    </w:p>
    <w:p w14:paraId="711ABD7E">
      <w:pPr>
        <w:spacing w:line="560" w:lineRule="exact"/>
        <w:ind w:firstLine="640" w:firstLineChars="200"/>
        <w:rPr>
          <w:rFonts w:eastAsia="仿宋_GB2312"/>
          <w:color w:val="auto"/>
          <w:sz w:val="32"/>
          <w:szCs w:val="32"/>
        </w:rPr>
      </w:pPr>
      <w:r>
        <w:rPr>
          <w:rFonts w:eastAsia="仿宋_GB2312"/>
          <w:color w:val="auto"/>
          <w:sz w:val="32"/>
          <w:szCs w:val="32"/>
        </w:rPr>
        <w:t>经县供销社现场验收，满足</w:t>
      </w:r>
      <w:r>
        <w:rPr>
          <w:rFonts w:hint="eastAsia" w:ascii="仿宋_GB2312" w:hAnsi="宋体" w:eastAsia="仿宋_GB2312"/>
          <w:sz w:val="32"/>
          <w:szCs w:val="32"/>
        </w:rPr>
        <w:t>5户农户就地上附着物补偿</w:t>
      </w:r>
      <w:r>
        <w:rPr>
          <w:rFonts w:eastAsia="仿宋_GB2312"/>
          <w:color w:val="auto"/>
          <w:sz w:val="32"/>
          <w:szCs w:val="32"/>
        </w:rPr>
        <w:t>相关</w:t>
      </w:r>
      <w:r>
        <w:rPr>
          <w:rFonts w:hint="eastAsia" w:eastAsia="仿宋_GB2312"/>
          <w:color w:val="auto"/>
          <w:sz w:val="32"/>
          <w:szCs w:val="32"/>
          <w:lang w:val="en-US" w:eastAsia="zh-CN"/>
        </w:rPr>
        <w:t>赔偿规定</w:t>
      </w:r>
      <w:r>
        <w:rPr>
          <w:rFonts w:eastAsia="仿宋_GB2312"/>
          <w:color w:val="auto"/>
          <w:sz w:val="32"/>
          <w:szCs w:val="32"/>
        </w:rPr>
        <w:t xml:space="preserve">。 </w:t>
      </w:r>
    </w:p>
    <w:p w14:paraId="6966ADFD">
      <w:pPr>
        <w:spacing w:line="560" w:lineRule="exact"/>
        <w:ind w:firstLine="640" w:firstLineChars="200"/>
        <w:rPr>
          <w:rFonts w:eastAsia="仿宋_GB2312"/>
          <w:color w:val="auto"/>
          <w:sz w:val="32"/>
          <w:szCs w:val="32"/>
        </w:rPr>
      </w:pPr>
      <w:r>
        <w:rPr>
          <w:rFonts w:eastAsia="仿宋_GB2312"/>
          <w:color w:val="auto"/>
          <w:sz w:val="32"/>
          <w:szCs w:val="32"/>
        </w:rPr>
        <w:t>2.项目总体评价</w:t>
      </w:r>
      <w:r>
        <w:rPr>
          <w:rFonts w:hint="eastAsia" w:eastAsia="仿宋_GB2312"/>
          <w:color w:val="auto"/>
          <w:sz w:val="32"/>
          <w:szCs w:val="32"/>
        </w:rPr>
        <w:t>。</w:t>
      </w:r>
    </w:p>
    <w:p w14:paraId="5D9D8EB4">
      <w:pPr>
        <w:ind w:firstLine="640" w:firstLineChars="200"/>
        <w:rPr>
          <w:rFonts w:hint="default"/>
          <w:lang w:val="en-US" w:eastAsia="zh-CN"/>
        </w:rPr>
      </w:pPr>
      <w:r>
        <w:rPr>
          <w:rFonts w:eastAsia="仿宋_GB2312"/>
          <w:color w:val="auto"/>
          <w:sz w:val="32"/>
          <w:szCs w:val="32"/>
        </w:rPr>
        <w:t>项目总体评价</w:t>
      </w:r>
      <w:r>
        <w:rPr>
          <w:rFonts w:hint="eastAsia" w:eastAsia="仿宋_GB2312"/>
          <w:color w:val="auto"/>
          <w:sz w:val="32"/>
          <w:szCs w:val="32"/>
        </w:rPr>
        <w:t>为</w:t>
      </w:r>
      <w:r>
        <w:rPr>
          <w:rFonts w:hint="eastAsia"/>
          <w:color w:val="auto"/>
          <w:sz w:val="32"/>
          <w:szCs w:val="32"/>
          <w:lang w:val="en-US" w:eastAsia="zh-CN"/>
        </w:rPr>
        <w:t>良</w:t>
      </w:r>
      <w:r>
        <w:rPr>
          <w:rFonts w:hint="eastAsia"/>
          <w:color w:val="auto"/>
          <w:sz w:val="32"/>
          <w:szCs w:val="32"/>
          <w:lang w:eastAsia="zh-CN"/>
        </w:rPr>
        <w:t>。</w:t>
      </w:r>
    </w:p>
    <w:p w14:paraId="392E1880">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rPr>
        <w:t>二、项目资金申报及使用情况</w:t>
      </w:r>
    </w:p>
    <w:p w14:paraId="24B232D0">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14:paraId="2B217CB1">
      <w:pPr>
        <w:adjustRightInd w:val="0"/>
        <w:snapToGrid w:val="0"/>
        <w:spacing w:line="600" w:lineRule="exact"/>
        <w:ind w:firstLine="640" w:firstLineChars="200"/>
        <w:rPr>
          <w:rFonts w:eastAsia="仿宋_GB2312" w:cs="Times New Roman"/>
          <w:color w:val="auto"/>
          <w:sz w:val="32"/>
          <w:szCs w:val="32"/>
        </w:rPr>
      </w:pPr>
      <w:r>
        <w:rPr>
          <w:rFonts w:eastAsia="仿宋_GB2312"/>
          <w:color w:val="auto"/>
          <w:sz w:val="32"/>
          <w:szCs w:val="32"/>
        </w:rPr>
        <w:t>我单位202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lang w:val="en-US" w:eastAsia="zh-CN"/>
        </w:rPr>
        <w:t>7</w:t>
      </w:r>
      <w:r>
        <w:rPr>
          <w:rFonts w:eastAsia="仿宋_GB2312"/>
          <w:color w:val="auto"/>
          <w:sz w:val="32"/>
          <w:szCs w:val="32"/>
        </w:rPr>
        <w:t>月向县政府报告</w:t>
      </w:r>
      <w:r>
        <w:rPr>
          <w:rFonts w:eastAsia="仿宋_GB2312" w:cs="Times New Roman"/>
          <w:color w:val="auto"/>
          <w:sz w:val="32"/>
          <w:szCs w:val="32"/>
        </w:rPr>
        <w:t>解决盐边县渔门片区城乡冷链物流建设项目青苗补偿金</w:t>
      </w:r>
      <w:r>
        <w:rPr>
          <w:rFonts w:hint="eastAsia" w:eastAsia="仿宋_GB2312"/>
          <w:color w:val="auto"/>
          <w:sz w:val="32"/>
          <w:szCs w:val="32"/>
          <w:lang w:val="en-US" w:eastAsia="zh-CN"/>
        </w:rPr>
        <w:t>12.5</w:t>
      </w:r>
      <w:r>
        <w:rPr>
          <w:rFonts w:eastAsia="仿宋_GB2312"/>
          <w:color w:val="auto"/>
          <w:sz w:val="32"/>
          <w:szCs w:val="32"/>
        </w:rPr>
        <w:t>万元</w:t>
      </w:r>
      <w:r>
        <w:rPr>
          <w:rFonts w:eastAsia="仿宋_GB2312" w:cs="Times New Roman"/>
          <w:color w:val="auto"/>
          <w:sz w:val="32"/>
          <w:szCs w:val="32"/>
        </w:rPr>
        <w:t>，县财政局在202</w:t>
      </w:r>
      <w:r>
        <w:rPr>
          <w:rFonts w:hint="eastAsia" w:eastAsia="仿宋_GB2312" w:cs="Times New Roman"/>
          <w:color w:val="auto"/>
          <w:sz w:val="32"/>
          <w:szCs w:val="32"/>
          <w:lang w:val="en-US" w:eastAsia="zh-CN"/>
        </w:rPr>
        <w:t>4</w:t>
      </w:r>
      <w:r>
        <w:rPr>
          <w:rFonts w:eastAsia="仿宋_GB2312" w:cs="Times New Roman"/>
          <w:color w:val="auto"/>
          <w:sz w:val="32"/>
          <w:szCs w:val="32"/>
        </w:rPr>
        <w:t>年</w:t>
      </w:r>
      <w:r>
        <w:rPr>
          <w:rFonts w:hint="eastAsia" w:eastAsia="仿宋_GB2312" w:cs="Times New Roman"/>
          <w:color w:val="auto"/>
          <w:sz w:val="32"/>
          <w:szCs w:val="32"/>
          <w:lang w:val="en-US" w:eastAsia="zh-CN"/>
        </w:rPr>
        <w:t>7</w:t>
      </w:r>
      <w:r>
        <w:rPr>
          <w:rFonts w:eastAsia="仿宋_GB2312" w:cs="Times New Roman"/>
          <w:color w:val="auto"/>
          <w:sz w:val="32"/>
          <w:szCs w:val="32"/>
        </w:rPr>
        <w:t>月下达批复资金文件（</w:t>
      </w:r>
      <w:r>
        <w:rPr>
          <w:rFonts w:hint="eastAsia" w:eastAsia="仿宋_GB2312" w:cs="Times New Roman"/>
          <w:color w:val="auto"/>
          <w:sz w:val="32"/>
          <w:szCs w:val="32"/>
        </w:rPr>
        <w:t>盐财资建【2024】196号</w:t>
      </w:r>
      <w:r>
        <w:rPr>
          <w:rFonts w:eastAsia="仿宋_GB2312" w:cs="Times New Roman"/>
          <w:color w:val="auto"/>
          <w:sz w:val="32"/>
          <w:szCs w:val="32"/>
        </w:rPr>
        <w:t>），同意拨付我单位</w:t>
      </w:r>
      <w:r>
        <w:rPr>
          <w:rFonts w:hint="eastAsia" w:eastAsia="仿宋_GB2312" w:cs="Times New Roman"/>
          <w:color w:val="auto"/>
          <w:sz w:val="32"/>
          <w:szCs w:val="32"/>
          <w:lang w:val="en-US" w:eastAsia="zh-CN"/>
        </w:rPr>
        <w:t>12.5</w:t>
      </w:r>
      <w:r>
        <w:rPr>
          <w:rFonts w:eastAsia="仿宋_GB2312" w:cs="Times New Roman"/>
          <w:color w:val="auto"/>
          <w:sz w:val="32"/>
          <w:szCs w:val="32"/>
        </w:rPr>
        <w:t>万元资金。</w:t>
      </w:r>
    </w:p>
    <w:p w14:paraId="0C84902D">
      <w:pPr>
        <w:adjustRightInd w:val="0"/>
        <w:snapToGrid w:val="0"/>
        <w:spacing w:line="600" w:lineRule="exact"/>
        <w:ind w:firstLine="643" w:firstLineChars="200"/>
        <w:rPr>
          <w:rFonts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（二）资金计划、到位及使用情况。</w:t>
      </w:r>
    </w:p>
    <w:p w14:paraId="76629A50">
      <w:pPr>
        <w:numPr>
          <w:ilvl w:val="0"/>
          <w:numId w:val="0"/>
        </w:numPr>
        <w:adjustRightInd w:val="0"/>
        <w:snapToGrid w:val="0"/>
        <w:spacing w:line="60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1.资金计划。此项目资金全为县级财政资金，用于盐边县渔门片区城乡冷链物流建设项目青苗补偿金。</w:t>
      </w:r>
    </w:p>
    <w:p w14:paraId="108806C7">
      <w:pPr>
        <w:numPr>
          <w:ilvl w:val="0"/>
          <w:numId w:val="0"/>
        </w:numPr>
        <w:adjustRightInd w:val="0"/>
        <w:snapToGrid w:val="0"/>
        <w:spacing w:line="60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2.资金到位。此项目在2023年7月验收合格，县财政局在2023年7月底将财政指标下给县供销社，县供销社及时支付盐边县渔门片区城乡冷链物流建设项目青苗补偿金到对方的账户，资金及时支付到位。</w:t>
      </w:r>
    </w:p>
    <w:p w14:paraId="157978BC">
      <w:pPr>
        <w:numPr>
          <w:ilvl w:val="0"/>
          <w:numId w:val="0"/>
        </w:num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3.资金使用。此项目资金用于盐边县渔门片区城乡冷链物流建设项目青苗补偿金。我们在实际支付范围、支付依据与预算相符，支付标准严格按照财政相关文件要求执行，资金使用规范。在2024年底，此项目资金支付率达到100%。</w:t>
      </w:r>
      <w:r>
        <w:rPr>
          <w:rFonts w:hint="eastAsia" w:ascii="仿宋_GB2312" w:hAnsi="仿宋_GB2312" w:eastAsia="仿宋_GB2312" w:cs="仿宋_GB2312"/>
          <w:sz w:val="32"/>
          <w:szCs w:val="32"/>
          <w:lang w:val="en-US" w:eastAsia="zh-CN"/>
        </w:rPr>
        <w:t xml:space="preserve"> </w:t>
      </w:r>
    </w:p>
    <w:p w14:paraId="1867564B">
      <w:pPr>
        <w:numPr>
          <w:ilvl w:val="0"/>
          <w:numId w:val="0"/>
        </w:numPr>
        <w:adjustRightInd w:val="0"/>
        <w:snapToGrid w:val="0"/>
        <w:spacing w:line="600" w:lineRule="exact"/>
        <w:ind w:firstLine="643" w:firstLineChars="20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（三）项目财务管理情况。</w:t>
      </w:r>
    </w:p>
    <w:p w14:paraId="43438251">
      <w:pPr>
        <w:ind w:firstLine="640" w:firstLineChars="200"/>
        <w:rPr>
          <w:rFonts w:eastAsia="仿宋_GB2312"/>
          <w:color w:val="auto"/>
          <w:sz w:val="32"/>
          <w:szCs w:val="32"/>
        </w:rPr>
      </w:pPr>
      <w:r>
        <w:rPr>
          <w:rFonts w:eastAsia="仿宋_GB2312"/>
          <w:color w:val="auto"/>
          <w:sz w:val="32"/>
          <w:szCs w:val="32"/>
        </w:rPr>
        <w:t>我单位实施此项目，财务管理制度健全，严格执行财务管理制度，账务处理及时，会计核算规范。</w:t>
      </w:r>
    </w:p>
    <w:p w14:paraId="477B664D">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rPr>
        <w:t>三、项目实施及管理情况</w:t>
      </w:r>
    </w:p>
    <w:p w14:paraId="2AF35DE8">
      <w:pPr>
        <w:ind w:firstLine="640" w:firstLineChars="200"/>
        <w:rPr>
          <w:rFonts w:eastAsia="仿宋_GB2312"/>
          <w:color w:val="auto"/>
          <w:sz w:val="32"/>
          <w:szCs w:val="32"/>
        </w:rPr>
      </w:pPr>
      <w:r>
        <w:rPr>
          <w:rFonts w:hint="eastAsia" w:eastAsia="仿宋_GB2312"/>
          <w:color w:val="auto"/>
          <w:sz w:val="32"/>
          <w:szCs w:val="32"/>
        </w:rPr>
        <w:t>此项目资金用于盐边县渔门片区城乡冷链物流建设项目青苗补偿金，资金使用严格遵守财务管理制度，会计核算规范。</w:t>
      </w:r>
    </w:p>
    <w:p w14:paraId="0B904CFC">
      <w:pPr>
        <w:numPr>
          <w:ilvl w:val="0"/>
          <w:numId w:val="0"/>
        </w:numPr>
        <w:adjustRightInd w:val="0"/>
        <w:snapToGrid w:val="0"/>
        <w:spacing w:line="600" w:lineRule="exact"/>
        <w:ind w:firstLine="643" w:firstLineChars="200"/>
        <w:rPr>
          <w:rFonts w:ascii="Times New Roman" w:hAnsi="Times New Roman" w:eastAsia="仿宋_GB2312" w:cs="Times New Roman"/>
          <w:color w:val="auto"/>
          <w:sz w:val="32"/>
          <w:szCs w:val="32"/>
          <w:lang w:val="zh-CN"/>
        </w:rPr>
      </w:pPr>
      <w:r>
        <w:rPr>
          <w:rFonts w:hint="eastAsia" w:ascii="仿宋_GB2312" w:hAnsi="仿宋_GB2312" w:eastAsia="仿宋_GB2312" w:cs="仿宋_GB2312"/>
          <w:b/>
          <w:sz w:val="32"/>
          <w:szCs w:val="32"/>
          <w:lang w:val="zh-CN"/>
        </w:rPr>
        <w:t>（</w:t>
      </w:r>
      <w:r>
        <w:rPr>
          <w:rFonts w:hint="eastAsia" w:ascii="仿宋_GB2312" w:hAnsi="仿宋_GB2312" w:eastAsia="仿宋_GB2312" w:cs="仿宋_GB2312"/>
          <w:b/>
          <w:sz w:val="32"/>
          <w:szCs w:val="32"/>
          <w:lang w:val="en-US" w:eastAsia="zh-CN"/>
        </w:rPr>
        <w:t>一）</w:t>
      </w:r>
      <w:r>
        <w:rPr>
          <w:rFonts w:hint="eastAsia" w:ascii="仿宋_GB2312" w:hAnsi="仿宋_GB2312" w:eastAsia="仿宋_GB2312" w:cs="仿宋_GB2312"/>
          <w:b/>
          <w:sz w:val="32"/>
          <w:szCs w:val="32"/>
          <w:lang w:val="zh-CN"/>
        </w:rPr>
        <w:t>项目组织架构及实施流程。</w:t>
      </w:r>
    </w:p>
    <w:p w14:paraId="6FA0C30D">
      <w:pPr>
        <w:pStyle w:val="9"/>
        <w:numPr>
          <w:ilvl w:val="0"/>
          <w:numId w:val="0"/>
        </w:numPr>
        <w:ind w:firstLine="640" w:firstLineChars="200"/>
        <w:rPr>
          <w:rFonts w:eastAsia="仿宋_GB2312"/>
          <w:color w:val="auto"/>
          <w:sz w:val="32"/>
          <w:szCs w:val="32"/>
        </w:rPr>
      </w:pPr>
      <w:r>
        <w:rPr>
          <w:rFonts w:hint="eastAsia" w:ascii="仿宋_GB2312" w:hAnsi="宋体" w:eastAsia="仿宋_GB2312"/>
          <w:b w:val="0"/>
          <w:bCs w:val="0"/>
          <w:sz w:val="32"/>
          <w:szCs w:val="32"/>
          <w:lang w:eastAsia="zh-CN"/>
        </w:rPr>
        <w:t>通过村两委、施工方前期调查沟通，确认了</w:t>
      </w:r>
      <w:r>
        <w:rPr>
          <w:rFonts w:hint="eastAsia" w:ascii="仿宋_GB2312" w:hAnsi="宋体" w:eastAsia="仿宋_GB2312"/>
          <w:b w:val="0"/>
          <w:bCs w:val="0"/>
          <w:sz w:val="32"/>
          <w:szCs w:val="32"/>
        </w:rPr>
        <w:t>项目施工红线范围内涉及的谢镇东、赵朝发、李伟、任代发、李跃蓉等5户农户</w:t>
      </w:r>
      <w:r>
        <w:rPr>
          <w:rFonts w:hint="eastAsia" w:ascii="仿宋_GB2312" w:hAnsi="宋体" w:eastAsia="仿宋_GB2312"/>
          <w:b w:val="0"/>
          <w:bCs w:val="0"/>
          <w:sz w:val="32"/>
          <w:szCs w:val="32"/>
          <w:lang w:eastAsia="zh-CN"/>
        </w:rPr>
        <w:t>存在</w:t>
      </w:r>
      <w:r>
        <w:rPr>
          <w:rFonts w:hint="eastAsia" w:ascii="仿宋_GB2312" w:hAnsi="宋体" w:eastAsia="仿宋_GB2312"/>
          <w:b w:val="0"/>
          <w:bCs w:val="0"/>
          <w:sz w:val="32"/>
          <w:szCs w:val="32"/>
        </w:rPr>
        <w:t>地上附着物</w:t>
      </w:r>
      <w:r>
        <w:rPr>
          <w:rFonts w:hint="eastAsia" w:ascii="仿宋_GB2312" w:hAnsi="宋体" w:eastAsia="仿宋_GB2312"/>
          <w:b w:val="0"/>
          <w:bCs w:val="0"/>
          <w:sz w:val="32"/>
          <w:szCs w:val="32"/>
          <w:lang w:eastAsia="zh-CN"/>
        </w:rPr>
        <w:t>，渔门镇、县供销社对</w:t>
      </w:r>
      <w:r>
        <w:rPr>
          <w:rFonts w:hint="eastAsia" w:ascii="仿宋_GB2312" w:hAnsi="宋体" w:eastAsia="仿宋_GB2312"/>
          <w:b w:val="0"/>
          <w:bCs w:val="0"/>
          <w:sz w:val="32"/>
          <w:szCs w:val="32"/>
        </w:rPr>
        <w:t>项目施工红线范围内</w:t>
      </w:r>
      <w:r>
        <w:rPr>
          <w:rFonts w:hint="eastAsia" w:ascii="仿宋_GB2312" w:hAnsi="宋体" w:eastAsia="仿宋_GB2312"/>
          <w:b w:val="0"/>
          <w:bCs w:val="0"/>
          <w:sz w:val="32"/>
          <w:szCs w:val="32"/>
          <w:lang w:eastAsia="zh-CN"/>
        </w:rPr>
        <w:t>存在</w:t>
      </w:r>
      <w:r>
        <w:rPr>
          <w:rFonts w:hint="eastAsia" w:ascii="仿宋_GB2312" w:hAnsi="宋体" w:eastAsia="仿宋_GB2312"/>
          <w:b w:val="0"/>
          <w:bCs w:val="0"/>
          <w:sz w:val="32"/>
          <w:szCs w:val="32"/>
        </w:rPr>
        <w:t>地上附着物</w:t>
      </w:r>
      <w:r>
        <w:rPr>
          <w:rFonts w:hint="eastAsia" w:ascii="仿宋_GB2312" w:hAnsi="宋体" w:eastAsia="仿宋_GB2312"/>
          <w:b w:val="0"/>
          <w:bCs w:val="0"/>
          <w:sz w:val="32"/>
          <w:szCs w:val="32"/>
          <w:lang w:eastAsia="zh-CN"/>
        </w:rPr>
        <w:t>进行了核实。按照相关文件精神对此</w:t>
      </w:r>
      <w:r>
        <w:rPr>
          <w:rFonts w:hint="eastAsia" w:ascii="仿宋_GB2312" w:hAnsi="宋体" w:eastAsia="仿宋_GB2312"/>
          <w:b w:val="0"/>
          <w:bCs w:val="0"/>
          <w:sz w:val="32"/>
          <w:szCs w:val="32"/>
          <w:lang w:val="en-US" w:eastAsia="zh-CN"/>
        </w:rPr>
        <w:t>5户农户再次进行了确认，结合农户需求及文件精神共同确认了补偿协议。</w:t>
      </w:r>
    </w:p>
    <w:p w14:paraId="73C20586">
      <w:pPr>
        <w:spacing w:line="560" w:lineRule="exact"/>
        <w:ind w:firstLine="643" w:firstLineChars="200"/>
        <w:rPr>
          <w:rFonts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（二）项目管理情况。</w:t>
      </w:r>
      <w:r>
        <w:rPr>
          <w:rFonts w:hint="eastAsia" w:ascii="仿宋_GB2312" w:hAnsi="仿宋_GB2312" w:eastAsia="仿宋_GB2312" w:cs="仿宋_GB2312"/>
          <w:sz w:val="32"/>
          <w:szCs w:val="32"/>
        </w:rPr>
        <w:t>参照《盐边县人民政府关于公布盐边县征收农用地区片综合地价标准的通知》（盐边府发〔2020〕37号）《盐边县征地青苗和地上附着物补偿标准》（盐边府发〔2021〕189号）等规定，测算青苗补偿金为125012元。</w:t>
      </w:r>
    </w:p>
    <w:p w14:paraId="646F39E3">
      <w:pPr>
        <w:adjustRightInd w:val="0"/>
        <w:snapToGrid w:val="0"/>
        <w:spacing w:line="600" w:lineRule="exact"/>
        <w:ind w:firstLine="720"/>
        <w:rPr>
          <w:rFonts w:ascii="黑体" w:hAnsi="黑体" w:eastAsia="黑体" w:cs="黑体"/>
          <w:sz w:val="32"/>
          <w:szCs w:val="32"/>
          <w:lang w:val="zh-CN"/>
        </w:rPr>
      </w:pPr>
      <w:r>
        <w:rPr>
          <w:rFonts w:hint="eastAsia" w:ascii="黑体" w:hAnsi="黑体" w:eastAsia="黑体" w:cs="黑体"/>
          <w:sz w:val="32"/>
          <w:szCs w:val="32"/>
        </w:rPr>
        <w:t>四、项目绩效情况</w:t>
      </w:r>
      <w:r>
        <w:rPr>
          <w:rFonts w:hint="eastAsia" w:ascii="黑体" w:hAnsi="黑体" w:eastAsia="黑体" w:cs="黑体"/>
          <w:sz w:val="32"/>
          <w:szCs w:val="32"/>
          <w:lang w:val="zh-CN"/>
        </w:rPr>
        <w:tab/>
      </w:r>
    </w:p>
    <w:p w14:paraId="32B7548F">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14:paraId="032D3D16">
      <w:pPr>
        <w:adjustRightInd w:val="0"/>
        <w:snapToGrid w:val="0"/>
        <w:spacing w:line="600" w:lineRule="exact"/>
        <w:ind w:firstLine="720"/>
        <w:rPr>
          <w:rFonts w:hint="eastAsia" w:eastAsia="仿宋_GB2312"/>
          <w:color w:val="auto"/>
          <w:sz w:val="32"/>
          <w:szCs w:val="32"/>
        </w:rPr>
      </w:pPr>
      <w:r>
        <w:rPr>
          <w:rFonts w:hint="eastAsia" w:eastAsia="仿宋_GB2312"/>
          <w:color w:val="auto"/>
          <w:sz w:val="32"/>
          <w:szCs w:val="32"/>
        </w:rPr>
        <w:t>我单位按照合同要求在202</w:t>
      </w:r>
      <w:r>
        <w:rPr>
          <w:rFonts w:hint="eastAsia" w:eastAsia="仿宋_GB2312"/>
          <w:color w:val="auto"/>
          <w:sz w:val="32"/>
          <w:szCs w:val="32"/>
          <w:lang w:val="en-US" w:eastAsia="zh-CN"/>
        </w:rPr>
        <w:t>4</w:t>
      </w:r>
      <w:r>
        <w:rPr>
          <w:rFonts w:hint="eastAsia" w:eastAsia="仿宋_GB2312"/>
          <w:color w:val="auto"/>
          <w:sz w:val="32"/>
          <w:szCs w:val="32"/>
        </w:rPr>
        <w:t>年7月以前及时全额支付盐边县渔门片区城乡冷链物流建设项目青苗补偿金12.5万元费用，资金没有结余，资金使用效益较高，没有违规情况发生。</w:t>
      </w:r>
    </w:p>
    <w:p w14:paraId="4B6CAD59">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p>
    <w:p w14:paraId="54979D33">
      <w:pPr>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此次补偿后，渔门片区城乡冷链物流建设项目得以顺利推进，解决了后续施工问题。</w:t>
      </w:r>
    </w:p>
    <w:p w14:paraId="535CE4A9">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rPr>
        <w:t>五、评价结论及建议</w:t>
      </w:r>
    </w:p>
    <w:p w14:paraId="48E208AD">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（一）评价结论。</w:t>
      </w:r>
    </w:p>
    <w:p w14:paraId="3F8BECDD">
      <w:pPr>
        <w:adjustRightInd w:val="0"/>
        <w:snapToGrid w:val="0"/>
        <w:spacing w:line="600" w:lineRule="exact"/>
        <w:ind w:firstLine="72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此项目落地后，盐边北部片区实现特色鲜果冷链加工一体化，增强农产品流通，提高冷链服务水平，提高农产品保鲜率、减少损耗，有效提升周边农副产品交易基础设施保障能力，促进农业增产、农民增收。</w:t>
      </w:r>
    </w:p>
    <w:p w14:paraId="451A1A83">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（二）存在的问题。</w:t>
      </w:r>
    </w:p>
    <w:p w14:paraId="4E939745">
      <w:pPr>
        <w:adjustRightInd w:val="0"/>
        <w:snapToGrid w:val="0"/>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lang w:val="zh-CN"/>
        </w:rPr>
        <w:tab/>
      </w:r>
    </w:p>
    <w:p w14:paraId="795143B8">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（三）相关建议。</w:t>
      </w:r>
    </w:p>
    <w:p w14:paraId="6A2EACAF">
      <w:pPr>
        <w:spacing w:line="578" w:lineRule="exact"/>
        <w:ind w:firstLine="640"/>
        <w:rPr>
          <w:rFonts w:hint="eastAsia" w:eastAsia="仿宋_GB2312" w:cs="仿宋_GB2312"/>
          <w:kern w:val="0"/>
          <w:sz w:val="32"/>
          <w:szCs w:val="32"/>
          <w:lang w:eastAsia="zh-CN"/>
        </w:rPr>
      </w:pPr>
      <w:r>
        <w:rPr>
          <w:rFonts w:hint="eastAsia" w:ascii="仿宋_GB2312" w:hAnsi="仿宋_GB2312" w:eastAsia="仿宋_GB2312" w:cs="仿宋_GB2312"/>
          <w:sz w:val="32"/>
          <w:szCs w:val="32"/>
          <w:lang w:val="en-US" w:eastAsia="zh-CN"/>
        </w:rPr>
        <w:t>无</w:t>
      </w:r>
    </w:p>
    <w:p w14:paraId="7D593CD9">
      <w:pPr>
        <w:spacing w:line="578" w:lineRule="exact"/>
        <w:ind w:firstLine="640"/>
        <w:rPr>
          <w:rFonts w:hint="eastAsia" w:eastAsia="仿宋_GB2312" w:cs="仿宋_GB2312"/>
          <w:kern w:val="0"/>
          <w:sz w:val="32"/>
          <w:szCs w:val="32"/>
        </w:rPr>
      </w:pPr>
    </w:p>
    <w:p w14:paraId="07C12DC7">
      <w:pPr>
        <w:spacing w:line="578" w:lineRule="exact"/>
        <w:ind w:firstLine="640"/>
        <w:rPr>
          <w:rFonts w:hint="eastAsia" w:eastAsia="仿宋_GB2312" w:cs="仿宋_GB2312"/>
          <w:kern w:val="0"/>
          <w:sz w:val="32"/>
          <w:szCs w:val="32"/>
        </w:rPr>
      </w:pPr>
    </w:p>
    <w:p w14:paraId="42A965A6">
      <w:pPr>
        <w:pStyle w:val="5"/>
        <w:spacing w:before="93"/>
        <w:rPr>
          <w:rFonts w:hint="eastAsia" w:ascii="Times New Roman" w:eastAsia="黑体" w:cs="黑体"/>
          <w:sz w:val="32"/>
          <w:szCs w:val="32"/>
          <w:lang w:eastAsia="zh-CN"/>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lang w:val="en-US" w:eastAsia="zh-CN"/>
        </w:rPr>
        <w:t>4</w:t>
      </w:r>
    </w:p>
    <w:p w14:paraId="138EA800">
      <w:pPr>
        <w:spacing w:line="578" w:lineRule="exact"/>
        <w:rPr>
          <w:rFonts w:hint="eastAsia" w:eastAsia="仿宋_GB2312" w:cs="仿宋_GB2312"/>
          <w:kern w:val="0"/>
          <w:sz w:val="32"/>
          <w:szCs w:val="32"/>
        </w:rPr>
      </w:pPr>
    </w:p>
    <w:p w14:paraId="1BD13A84">
      <w:pPr>
        <w:pStyle w:val="35"/>
        <w:spacing w:line="578" w:lineRule="exact"/>
        <w:ind w:firstLine="640"/>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入股攀枝花嘉慧农资供应链管理</w:t>
      </w:r>
    </w:p>
    <w:p w14:paraId="2D838E23">
      <w:pPr>
        <w:pStyle w:val="35"/>
        <w:spacing w:line="578" w:lineRule="exact"/>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有限公司首批资金项目绩效自评报告</w:t>
      </w:r>
    </w:p>
    <w:p w14:paraId="6068F1AF">
      <w:pPr>
        <w:pStyle w:val="35"/>
        <w:spacing w:line="578" w:lineRule="exact"/>
        <w:ind w:firstLine="640"/>
        <w:jc w:val="center"/>
        <w:rPr>
          <w:rFonts w:hint="eastAsia" w:ascii="Times New Roman" w:hAnsi="Times New Roman" w:eastAsia="方正小标宋简体" w:cs="方正小标宋简体"/>
          <w:color w:val="auto"/>
          <w:kern w:val="2"/>
          <w:sz w:val="44"/>
          <w:szCs w:val="44"/>
          <w:lang w:val="en-US"/>
        </w:rPr>
      </w:pPr>
    </w:p>
    <w:p w14:paraId="423CD25B">
      <w:pPr>
        <w:adjustRightInd w:val="0"/>
        <w:snapToGrid w:val="0"/>
        <w:spacing w:line="600" w:lineRule="exact"/>
        <w:ind w:firstLine="720"/>
        <w:rPr>
          <w:rFonts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14:paraId="1AE96E87">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（一）项目基本情况。</w:t>
      </w:r>
    </w:p>
    <w:p w14:paraId="413A2CA4">
      <w:pPr>
        <w:adjustRightInd w:val="0"/>
        <w:snapToGrid w:val="0"/>
        <w:spacing w:line="60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持续深化供销合作社综合改革，充分发挥供销社为农服务主力军和农资供应主渠道作用，早安排、早谋划、早部署做好农业生产资料保供稳价，切实有效保障盐边县农资市场供应，结合“绿色农资升级行动试点县”项目，盐边县供销系统开展了金融服务农资供应链试点工作。</w:t>
      </w:r>
    </w:p>
    <w:p w14:paraId="6EF6F23E">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（二）项目绩效目标。</w:t>
      </w:r>
    </w:p>
    <w:p w14:paraId="1F1FCF2A">
      <w:pPr>
        <w:adjustRightInd w:val="0"/>
        <w:snapToGrid w:val="0"/>
        <w:spacing w:line="600" w:lineRule="exact"/>
        <w:ind w:firstLine="7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攀枝花嘉慧农资供应链管理有限公司于2023年8月18日成立，公司注册资金1000万元，其中县供销社占股10%县发展集团占股51%，市嘉会农业科技公司占股 49%，既保证了盐边县县发展集团控股，又保证了市嘉会农业科技公司开展农资业务，也实现了供销系统为农服务的功能。</w:t>
      </w:r>
    </w:p>
    <w:p w14:paraId="702F9D57">
      <w:pPr>
        <w:adjustRightInd w:val="0"/>
        <w:snapToGrid w:val="0"/>
        <w:spacing w:line="600" w:lineRule="exact"/>
        <w:ind w:firstLine="720"/>
        <w:rPr>
          <w:rFonts w:hint="eastAsia" w:ascii="仿宋_GB2312" w:hAnsi="仿宋_GB2312" w:eastAsia="仿宋_GB2312" w:cs="仿宋_GB2312"/>
          <w:b/>
          <w:sz w:val="32"/>
          <w:szCs w:val="32"/>
          <w:lang w:val="zh-CN" w:eastAsia="zh-CN"/>
        </w:rPr>
      </w:pPr>
      <w:r>
        <w:rPr>
          <w:rFonts w:hint="eastAsia" w:ascii="仿宋_GB2312" w:hAnsi="仿宋_GB2312" w:eastAsia="仿宋_GB2312" w:cs="仿宋_GB2312"/>
          <w:b/>
          <w:sz w:val="32"/>
          <w:szCs w:val="32"/>
          <w:lang w:val="zh-CN" w:eastAsia="zh-CN"/>
        </w:rPr>
        <w:t>（</w:t>
      </w:r>
      <w:r>
        <w:rPr>
          <w:rFonts w:hint="eastAsia" w:ascii="仿宋_GB2312" w:hAnsi="仿宋_GB2312" w:eastAsia="仿宋_GB2312" w:cs="仿宋_GB2312"/>
          <w:b/>
          <w:sz w:val="32"/>
          <w:szCs w:val="32"/>
          <w:lang w:val="en-US" w:eastAsia="zh-CN"/>
        </w:rPr>
        <w:t>三）</w:t>
      </w:r>
      <w:r>
        <w:rPr>
          <w:rFonts w:hint="eastAsia" w:ascii="仿宋_GB2312" w:hAnsi="仿宋_GB2312" w:eastAsia="仿宋_GB2312" w:cs="仿宋_GB2312"/>
          <w:b/>
          <w:sz w:val="32"/>
          <w:szCs w:val="32"/>
          <w:lang w:val="zh-CN" w:eastAsia="zh-CN"/>
        </w:rPr>
        <w:t>项目自评步骤及方法</w:t>
      </w:r>
    </w:p>
    <w:p w14:paraId="1423F0D7">
      <w:pPr>
        <w:adjustRightInd w:val="0"/>
        <w:snapToGrid w:val="0"/>
        <w:spacing w:line="600" w:lineRule="exact"/>
        <w:ind w:firstLine="72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1.现场评价。</w:t>
      </w:r>
    </w:p>
    <w:p w14:paraId="1C11C25D">
      <w:pPr>
        <w:spacing w:line="560" w:lineRule="exact"/>
        <w:ind w:firstLine="640" w:firstLineChars="200"/>
        <w:rPr>
          <w:rFonts w:eastAsia="仿宋_GB2312"/>
          <w:color w:val="auto"/>
          <w:sz w:val="32"/>
          <w:szCs w:val="32"/>
        </w:rPr>
      </w:pPr>
      <w:r>
        <w:rPr>
          <w:rFonts w:eastAsia="仿宋_GB2312"/>
          <w:color w:val="auto"/>
          <w:sz w:val="32"/>
          <w:szCs w:val="32"/>
        </w:rPr>
        <w:t>经县供销社现场</w:t>
      </w:r>
      <w:r>
        <w:rPr>
          <w:rFonts w:hint="eastAsia" w:eastAsia="仿宋_GB2312"/>
          <w:color w:val="auto"/>
          <w:sz w:val="32"/>
          <w:szCs w:val="32"/>
          <w:lang w:val="en-US" w:eastAsia="zh-CN"/>
        </w:rPr>
        <w:t>揭牌成立，满足供销社入股相关规范。</w:t>
      </w:r>
      <w:r>
        <w:rPr>
          <w:rFonts w:eastAsia="仿宋_GB2312"/>
          <w:color w:val="auto"/>
          <w:sz w:val="32"/>
          <w:szCs w:val="32"/>
        </w:rPr>
        <w:t xml:space="preserve"> </w:t>
      </w:r>
    </w:p>
    <w:p w14:paraId="6FB1EA55">
      <w:pPr>
        <w:spacing w:line="560" w:lineRule="exact"/>
        <w:ind w:firstLine="640" w:firstLineChars="200"/>
        <w:rPr>
          <w:rFonts w:eastAsia="仿宋_GB2312"/>
          <w:color w:val="auto"/>
          <w:sz w:val="32"/>
          <w:szCs w:val="32"/>
        </w:rPr>
      </w:pPr>
      <w:r>
        <w:rPr>
          <w:rFonts w:eastAsia="仿宋_GB2312"/>
          <w:color w:val="auto"/>
          <w:sz w:val="32"/>
          <w:szCs w:val="32"/>
        </w:rPr>
        <w:t>2.项目总体评价</w:t>
      </w:r>
      <w:r>
        <w:rPr>
          <w:rFonts w:hint="eastAsia" w:eastAsia="仿宋_GB2312"/>
          <w:color w:val="auto"/>
          <w:sz w:val="32"/>
          <w:szCs w:val="32"/>
        </w:rPr>
        <w:t>。</w:t>
      </w:r>
    </w:p>
    <w:p w14:paraId="458A96A1">
      <w:pPr>
        <w:ind w:firstLine="640" w:firstLineChars="200"/>
        <w:rPr>
          <w:rFonts w:hint="default"/>
          <w:lang w:val="en-US" w:eastAsia="zh-CN"/>
        </w:rPr>
      </w:pPr>
      <w:r>
        <w:rPr>
          <w:rFonts w:eastAsia="仿宋_GB2312"/>
          <w:color w:val="auto"/>
          <w:sz w:val="32"/>
          <w:szCs w:val="32"/>
        </w:rPr>
        <w:t>项目总体评价</w:t>
      </w:r>
      <w:r>
        <w:rPr>
          <w:rFonts w:hint="eastAsia" w:eastAsia="仿宋_GB2312"/>
          <w:color w:val="auto"/>
          <w:sz w:val="32"/>
          <w:szCs w:val="32"/>
        </w:rPr>
        <w:t>为</w:t>
      </w:r>
      <w:r>
        <w:rPr>
          <w:rFonts w:hint="eastAsia"/>
          <w:color w:val="auto"/>
          <w:sz w:val="32"/>
          <w:szCs w:val="32"/>
          <w:lang w:val="en-US" w:eastAsia="zh-CN"/>
        </w:rPr>
        <w:t>良</w:t>
      </w:r>
      <w:r>
        <w:rPr>
          <w:rFonts w:hint="eastAsia"/>
          <w:color w:val="auto"/>
          <w:sz w:val="32"/>
          <w:szCs w:val="32"/>
          <w:lang w:eastAsia="zh-CN"/>
        </w:rPr>
        <w:t>。</w:t>
      </w:r>
    </w:p>
    <w:p w14:paraId="44EE4F5A">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rPr>
        <w:t>二、项目资金申报及使用情况</w:t>
      </w:r>
    </w:p>
    <w:p w14:paraId="615DC8CA">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14:paraId="27E6C5BD">
      <w:pPr>
        <w:pStyle w:val="9"/>
        <w:ind w:firstLine="640" w:firstLineChars="200"/>
        <w:rPr>
          <w:rFonts w:hint="default" w:eastAsia="仿宋_GB2312" w:cs="Times New Roman"/>
          <w:color w:val="auto"/>
          <w:sz w:val="32"/>
          <w:szCs w:val="32"/>
          <w:lang w:val="en-US" w:eastAsia="zh-CN"/>
        </w:rPr>
      </w:pPr>
      <w:r>
        <w:rPr>
          <w:rFonts w:eastAsia="仿宋_GB2312"/>
          <w:color w:val="auto"/>
          <w:sz w:val="32"/>
          <w:szCs w:val="32"/>
        </w:rPr>
        <w:t>我单位202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lang w:val="en-US" w:eastAsia="zh-CN"/>
        </w:rPr>
        <w:t>7</w:t>
      </w:r>
      <w:r>
        <w:rPr>
          <w:rFonts w:eastAsia="仿宋_GB2312"/>
          <w:color w:val="auto"/>
          <w:sz w:val="32"/>
          <w:szCs w:val="32"/>
        </w:rPr>
        <w:t>月向县政府报告</w:t>
      </w:r>
      <w:r>
        <w:rPr>
          <w:rFonts w:eastAsia="仿宋_GB2312" w:cs="Times New Roman"/>
          <w:color w:val="auto"/>
          <w:sz w:val="32"/>
          <w:szCs w:val="32"/>
        </w:rPr>
        <w:t>解决</w:t>
      </w:r>
      <w:r>
        <w:rPr>
          <w:rFonts w:hint="eastAsia" w:eastAsia="仿宋_GB2312" w:cs="Times New Roman"/>
          <w:color w:val="auto"/>
          <w:sz w:val="32"/>
          <w:szCs w:val="32"/>
        </w:rPr>
        <w:t>下达入股攀枝花嘉慧农资供应链管理有限公司首批资金</w:t>
      </w:r>
      <w:r>
        <w:rPr>
          <w:rFonts w:hint="eastAsia" w:eastAsia="仿宋_GB2312"/>
          <w:color w:val="auto"/>
          <w:sz w:val="32"/>
          <w:szCs w:val="32"/>
          <w:lang w:val="en-US" w:eastAsia="zh-CN"/>
        </w:rPr>
        <w:t>30</w:t>
      </w:r>
      <w:r>
        <w:rPr>
          <w:rFonts w:eastAsia="仿宋_GB2312"/>
          <w:color w:val="auto"/>
          <w:sz w:val="32"/>
          <w:szCs w:val="32"/>
        </w:rPr>
        <w:t>万元</w:t>
      </w:r>
      <w:r>
        <w:rPr>
          <w:rFonts w:eastAsia="仿宋_GB2312" w:cs="Times New Roman"/>
          <w:color w:val="auto"/>
          <w:sz w:val="32"/>
          <w:szCs w:val="32"/>
        </w:rPr>
        <w:t>，县财政局在202</w:t>
      </w:r>
      <w:r>
        <w:rPr>
          <w:rFonts w:hint="eastAsia" w:eastAsia="仿宋_GB2312" w:cs="Times New Roman"/>
          <w:color w:val="auto"/>
          <w:sz w:val="32"/>
          <w:szCs w:val="32"/>
          <w:lang w:val="en-US" w:eastAsia="zh-CN"/>
        </w:rPr>
        <w:t>4</w:t>
      </w:r>
      <w:r>
        <w:rPr>
          <w:rFonts w:eastAsia="仿宋_GB2312" w:cs="Times New Roman"/>
          <w:color w:val="auto"/>
          <w:sz w:val="32"/>
          <w:szCs w:val="32"/>
        </w:rPr>
        <w:t>年</w:t>
      </w:r>
      <w:r>
        <w:rPr>
          <w:rFonts w:hint="eastAsia" w:eastAsia="仿宋_GB2312" w:cs="Times New Roman"/>
          <w:color w:val="auto"/>
          <w:sz w:val="32"/>
          <w:szCs w:val="32"/>
          <w:lang w:val="en-US" w:eastAsia="zh-CN"/>
        </w:rPr>
        <w:t>7</w:t>
      </w:r>
      <w:r>
        <w:rPr>
          <w:rFonts w:eastAsia="仿宋_GB2312" w:cs="Times New Roman"/>
          <w:color w:val="auto"/>
          <w:sz w:val="32"/>
          <w:szCs w:val="32"/>
        </w:rPr>
        <w:t>月</w:t>
      </w:r>
      <w:r>
        <w:rPr>
          <w:rFonts w:hint="eastAsia" w:eastAsia="仿宋_GB2312" w:cs="Times New Roman"/>
          <w:color w:val="auto"/>
          <w:sz w:val="32"/>
          <w:szCs w:val="32"/>
          <w:lang w:val="en-US" w:eastAsia="zh-CN"/>
        </w:rPr>
        <w:t>上旬</w:t>
      </w:r>
      <w:r>
        <w:rPr>
          <w:rFonts w:eastAsia="仿宋_GB2312" w:cs="Times New Roman"/>
          <w:color w:val="auto"/>
          <w:sz w:val="32"/>
          <w:szCs w:val="32"/>
        </w:rPr>
        <w:t>下达批复资金文件（</w:t>
      </w:r>
      <w:r>
        <w:rPr>
          <w:rFonts w:hint="eastAsia" w:eastAsia="仿宋_GB2312" w:cs="Times New Roman"/>
          <w:color w:val="auto"/>
          <w:sz w:val="32"/>
          <w:szCs w:val="32"/>
        </w:rPr>
        <w:t>盐财资建〔2024〕168号</w:t>
      </w:r>
      <w:r>
        <w:rPr>
          <w:rFonts w:eastAsia="仿宋_GB2312" w:cs="Times New Roman"/>
          <w:color w:val="auto"/>
          <w:sz w:val="32"/>
          <w:szCs w:val="32"/>
        </w:rPr>
        <w:t>），同意拨付我单位</w:t>
      </w:r>
      <w:r>
        <w:rPr>
          <w:rFonts w:hint="eastAsia" w:eastAsia="仿宋_GB2312" w:cs="Times New Roman"/>
          <w:color w:val="auto"/>
          <w:sz w:val="32"/>
          <w:szCs w:val="32"/>
          <w:lang w:val="en-US" w:eastAsia="zh-CN"/>
        </w:rPr>
        <w:t>30</w:t>
      </w:r>
      <w:r>
        <w:rPr>
          <w:rFonts w:eastAsia="仿宋_GB2312" w:cs="Times New Roman"/>
          <w:color w:val="auto"/>
          <w:sz w:val="32"/>
          <w:szCs w:val="32"/>
        </w:rPr>
        <w:t>万元资金。</w:t>
      </w:r>
    </w:p>
    <w:p w14:paraId="595F9624">
      <w:pPr>
        <w:adjustRightInd w:val="0"/>
        <w:snapToGrid w:val="0"/>
        <w:spacing w:line="600" w:lineRule="exact"/>
        <w:ind w:firstLine="643" w:firstLineChars="200"/>
        <w:rPr>
          <w:rFonts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（二）资金计划、到位及使用情况。</w:t>
      </w:r>
    </w:p>
    <w:p w14:paraId="5A6112B3">
      <w:pPr>
        <w:numPr>
          <w:ilvl w:val="0"/>
          <w:numId w:val="0"/>
        </w:numPr>
        <w:adjustRightInd w:val="0"/>
        <w:snapToGrid w:val="0"/>
        <w:spacing w:line="60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1.资金计划。此项目资金全为县级财政资金，用于入股攀枝花嘉慧农资供应链管理有限公司首批资金。</w:t>
      </w:r>
    </w:p>
    <w:p w14:paraId="7E6F3A1B">
      <w:pPr>
        <w:numPr>
          <w:ilvl w:val="0"/>
          <w:numId w:val="0"/>
        </w:numPr>
        <w:adjustRightInd w:val="0"/>
        <w:snapToGrid w:val="0"/>
        <w:spacing w:line="60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2.资金到位。此项目在202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年7月验收合格，县财政局在202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年7月底将财政指标下给县供销社，县供销社及时支付入股攀枝花嘉慧农资供应链管理有限公司首批资金到对方的账户，资金及时支付到位。</w:t>
      </w:r>
    </w:p>
    <w:p w14:paraId="4AB4FF6C">
      <w:pPr>
        <w:numPr>
          <w:ilvl w:val="0"/>
          <w:numId w:val="0"/>
        </w:num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3.资金使用。此项目资金用于入股攀枝花嘉慧农资供应链管理有限公司首批资金。我们在实际支付范围、支付依据与预算相符，支付标准严格按照财政相关文件要求执行，资金使用规范。在2024年底，此项目资金支付率达到100%。</w:t>
      </w:r>
      <w:r>
        <w:rPr>
          <w:rFonts w:hint="eastAsia" w:ascii="仿宋_GB2312" w:hAnsi="仿宋_GB2312" w:eastAsia="仿宋_GB2312" w:cs="仿宋_GB2312"/>
          <w:sz w:val="32"/>
          <w:szCs w:val="32"/>
          <w:lang w:val="en-US" w:eastAsia="zh-CN"/>
        </w:rPr>
        <w:t xml:space="preserve"> </w:t>
      </w:r>
    </w:p>
    <w:p w14:paraId="09742AE0">
      <w:pPr>
        <w:numPr>
          <w:ilvl w:val="0"/>
          <w:numId w:val="0"/>
        </w:numPr>
        <w:adjustRightInd w:val="0"/>
        <w:snapToGrid w:val="0"/>
        <w:spacing w:line="600" w:lineRule="exact"/>
        <w:ind w:firstLine="643" w:firstLineChars="20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（三）项目财务管理情况。</w:t>
      </w:r>
    </w:p>
    <w:p w14:paraId="7841B682">
      <w:pPr>
        <w:adjustRightInd w:val="0"/>
        <w:snapToGrid w:val="0"/>
        <w:spacing w:line="600" w:lineRule="exact"/>
        <w:ind w:firstLine="720"/>
        <w:rPr>
          <w:rFonts w:hint="eastAsia" w:eastAsia="仿宋_GB2312"/>
          <w:color w:val="auto"/>
          <w:sz w:val="32"/>
          <w:szCs w:val="32"/>
        </w:rPr>
      </w:pPr>
      <w:r>
        <w:rPr>
          <w:rFonts w:hint="eastAsia" w:eastAsia="仿宋_GB2312"/>
          <w:color w:val="auto"/>
          <w:sz w:val="32"/>
          <w:szCs w:val="32"/>
        </w:rPr>
        <w:t>我单位实施此项目，财务管理制度健全，严格执行财务管理制度，账务处理及时，会计核算规范。</w:t>
      </w:r>
    </w:p>
    <w:p w14:paraId="0B6137B2">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rPr>
        <w:t>三、项目实施及管理情况</w:t>
      </w:r>
    </w:p>
    <w:p w14:paraId="3695E9AC">
      <w:pPr>
        <w:numPr>
          <w:ilvl w:val="0"/>
          <w:numId w:val="0"/>
        </w:numPr>
        <w:adjustRightInd w:val="0"/>
        <w:snapToGrid w:val="0"/>
        <w:spacing w:line="600" w:lineRule="exact"/>
        <w:ind w:firstLine="640" w:firstLineChars="200"/>
        <w:rPr>
          <w:rFonts w:hint="eastAsia" w:eastAsia="仿宋_GB2312"/>
          <w:color w:val="auto"/>
          <w:sz w:val="32"/>
          <w:szCs w:val="32"/>
        </w:rPr>
      </w:pPr>
      <w:r>
        <w:rPr>
          <w:rFonts w:hint="eastAsia" w:eastAsia="仿宋_GB2312"/>
          <w:color w:val="auto"/>
          <w:sz w:val="32"/>
          <w:szCs w:val="32"/>
        </w:rPr>
        <w:t>此项目资金用于入股攀枝花嘉慧农资供应链管理有限公司首批资金，资金使用严格遵守财务管理制度，会计核算规范。</w:t>
      </w:r>
    </w:p>
    <w:p w14:paraId="6610BF34">
      <w:pPr>
        <w:numPr>
          <w:ilvl w:val="0"/>
          <w:numId w:val="0"/>
        </w:numPr>
        <w:adjustRightInd w:val="0"/>
        <w:snapToGrid w:val="0"/>
        <w:spacing w:line="600" w:lineRule="exact"/>
        <w:ind w:firstLine="643" w:firstLineChars="200"/>
        <w:rPr>
          <w:rFonts w:ascii="Times New Roman" w:hAnsi="Times New Roman" w:eastAsia="仿宋_GB2312" w:cs="Times New Roman"/>
          <w:color w:val="auto"/>
          <w:sz w:val="32"/>
          <w:szCs w:val="32"/>
          <w:lang w:val="zh-CN"/>
        </w:rPr>
      </w:pPr>
      <w:r>
        <w:rPr>
          <w:rFonts w:hint="eastAsia" w:ascii="仿宋_GB2312" w:hAnsi="仿宋_GB2312" w:eastAsia="仿宋_GB2312" w:cs="仿宋_GB2312"/>
          <w:b/>
          <w:sz w:val="32"/>
          <w:szCs w:val="32"/>
          <w:lang w:val="zh-CN"/>
        </w:rPr>
        <w:t>（</w:t>
      </w:r>
      <w:r>
        <w:rPr>
          <w:rFonts w:hint="eastAsia" w:ascii="仿宋_GB2312" w:hAnsi="仿宋_GB2312" w:eastAsia="仿宋_GB2312" w:cs="仿宋_GB2312"/>
          <w:b/>
          <w:sz w:val="32"/>
          <w:szCs w:val="32"/>
          <w:lang w:val="en-US" w:eastAsia="zh-CN"/>
        </w:rPr>
        <w:t>一）</w:t>
      </w:r>
      <w:r>
        <w:rPr>
          <w:rFonts w:hint="eastAsia" w:ascii="仿宋_GB2312" w:hAnsi="仿宋_GB2312" w:eastAsia="仿宋_GB2312" w:cs="仿宋_GB2312"/>
          <w:b/>
          <w:sz w:val="32"/>
          <w:szCs w:val="32"/>
          <w:lang w:val="zh-CN"/>
        </w:rPr>
        <w:t>项目组织架构及实施流程。</w:t>
      </w:r>
    </w:p>
    <w:p w14:paraId="795ADBAE">
      <w:pPr>
        <w:pStyle w:val="9"/>
        <w:numPr>
          <w:ilvl w:val="0"/>
          <w:numId w:val="0"/>
        </w:numPr>
        <w:ind w:firstLine="640" w:firstLineChars="200"/>
        <w:rPr>
          <w:rFonts w:eastAsia="仿宋_GB2312"/>
          <w:color w:val="auto"/>
          <w:sz w:val="32"/>
          <w:szCs w:val="32"/>
        </w:rPr>
      </w:pPr>
      <w:r>
        <w:rPr>
          <w:rFonts w:hint="eastAsia" w:ascii="仿宋_GB2312" w:hAnsi="宋体" w:eastAsia="仿宋_GB2312"/>
          <w:b w:val="0"/>
          <w:bCs w:val="0"/>
          <w:sz w:val="32"/>
          <w:szCs w:val="32"/>
          <w:lang w:eastAsia="zh-CN"/>
        </w:rPr>
        <w:t>县供销社与县发展集团、市嘉会农业科技公司共同成立了攀枝花嘉慧农资供应链管理有限公司，公司注册资金1000万元，其中县供销社占股10%，县发展集团占股51%,市嘉会农业科技公司占股 49%,按照前期入股 30%县供销社需实缴 30 万元。通过与县农商行、易加数融合作,为农户提供免息专项农资贷款，开展“绿色农资”线上线下农资交易，优化了农资交易环节，提高了农资交易效率。</w:t>
      </w:r>
    </w:p>
    <w:p w14:paraId="293DFA44">
      <w:pPr>
        <w:numPr>
          <w:ilvl w:val="0"/>
          <w:numId w:val="4"/>
        </w:numPr>
        <w:spacing w:line="560" w:lineRule="exact"/>
        <w:ind w:left="0" w:leftChars="0" w:firstLine="720" w:firstLineChars="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项目管理情况。</w:t>
      </w:r>
    </w:p>
    <w:p w14:paraId="75E7EA9B">
      <w:pPr>
        <w:numPr>
          <w:ilvl w:val="0"/>
          <w:numId w:val="0"/>
        </w:numPr>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根据党的二十大精神和习近平总书记对四川工作系列重要指示精神，省委十二届四次、五次全会精神，市委十一届七次全会暨市委经济工作会议精神，县委十五届五次全会暨县委经济工作会议精神，县级领导干部和乡科级主要负责同志推动高质量发展专题读书班暨党纪学习教育读书班精神，对照《县委常委会 2024年工作要点》(盐边委发(20243号)和《县政府工作报告》精神，县委、县政府高度重视:将金融服务农资供应链试点工作列入盐边县2024年度农口重点工作。</w:t>
      </w:r>
    </w:p>
    <w:p w14:paraId="31BBEE24">
      <w:pPr>
        <w:adjustRightInd w:val="0"/>
        <w:snapToGrid w:val="0"/>
        <w:spacing w:line="600" w:lineRule="exact"/>
        <w:ind w:firstLine="720"/>
        <w:rPr>
          <w:rFonts w:ascii="黑体" w:hAnsi="黑体" w:eastAsia="黑体" w:cs="黑体"/>
          <w:sz w:val="32"/>
          <w:szCs w:val="32"/>
          <w:lang w:val="zh-CN"/>
        </w:rPr>
      </w:pPr>
      <w:r>
        <w:rPr>
          <w:rFonts w:hint="eastAsia" w:ascii="黑体" w:hAnsi="黑体" w:eastAsia="黑体" w:cs="黑体"/>
          <w:sz w:val="32"/>
          <w:szCs w:val="32"/>
        </w:rPr>
        <w:t>四、项目绩效情况</w:t>
      </w:r>
      <w:r>
        <w:rPr>
          <w:rFonts w:hint="eastAsia" w:ascii="黑体" w:hAnsi="黑体" w:eastAsia="黑体" w:cs="黑体"/>
          <w:sz w:val="32"/>
          <w:szCs w:val="32"/>
          <w:lang w:val="zh-CN"/>
        </w:rPr>
        <w:tab/>
      </w:r>
    </w:p>
    <w:p w14:paraId="2E739D72">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14:paraId="144DD154">
      <w:pPr>
        <w:adjustRightInd w:val="0"/>
        <w:snapToGrid w:val="0"/>
        <w:spacing w:line="600" w:lineRule="exact"/>
        <w:ind w:firstLine="720"/>
        <w:rPr>
          <w:rFonts w:hint="eastAsia" w:eastAsia="仿宋_GB2312"/>
          <w:color w:val="auto"/>
          <w:sz w:val="32"/>
          <w:szCs w:val="32"/>
        </w:rPr>
      </w:pPr>
      <w:r>
        <w:rPr>
          <w:rFonts w:hint="eastAsia" w:eastAsia="仿宋_GB2312"/>
          <w:color w:val="auto"/>
          <w:sz w:val="32"/>
          <w:szCs w:val="32"/>
        </w:rPr>
        <w:t>我单位按照合同要求在202</w:t>
      </w:r>
      <w:r>
        <w:rPr>
          <w:rFonts w:hint="eastAsia" w:eastAsia="仿宋_GB2312"/>
          <w:color w:val="auto"/>
          <w:sz w:val="32"/>
          <w:szCs w:val="32"/>
          <w:lang w:val="en-US" w:eastAsia="zh-CN"/>
        </w:rPr>
        <w:t>4</w:t>
      </w:r>
      <w:r>
        <w:rPr>
          <w:rFonts w:hint="eastAsia" w:eastAsia="仿宋_GB2312"/>
          <w:color w:val="auto"/>
          <w:sz w:val="32"/>
          <w:szCs w:val="32"/>
        </w:rPr>
        <w:t>年9月以前及时全额支付入股攀枝花嘉慧农资供应链管理有限公司首批资金30万元费用，资金没有结余，资金使用效益较高，没有违规情况发生。</w:t>
      </w:r>
    </w:p>
    <w:p w14:paraId="025AB7B1">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p>
    <w:p w14:paraId="2DD538D4">
      <w:pPr>
        <w:adjustRightInd w:val="0"/>
        <w:snapToGrid w:val="0"/>
        <w:spacing w:line="60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银行授信，农户在平台下单后自动反馈银行获得相应的贷款金额，约定还款期限，“专款专用”购买农资，让农户享受“0”利息贷款服务，实现“有了收成再付款”有效解决农户购买农资资金困难、扩大生产的问题，让农户没有后顾之忧，更加积极发展农业产业，能长期在乡村建设的积极作用，长期为乡村集体经济发展作贡献。</w:t>
      </w:r>
    </w:p>
    <w:p w14:paraId="7BE2127F">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rPr>
        <w:t>五、评价结论及建议</w:t>
      </w:r>
    </w:p>
    <w:p w14:paraId="64E93350">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（一）评价结论。</w:t>
      </w:r>
    </w:p>
    <w:p w14:paraId="13B6D6B9">
      <w:pPr>
        <w:adjustRightInd w:val="0"/>
        <w:snapToGrid w:val="0"/>
        <w:spacing w:line="600" w:lineRule="exact"/>
        <w:ind w:firstLine="72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供应链完成建设后，县域内农资系统将形成一套完整的、绿色的、可靠的、可循环的农资供应链，农资供应选品要求更高、农资监管更严，平台所售农资实现全程可追溯。此过程中，将吸纳更多的农资经营户加入，统一开展农资服务，可使农资市场秩序更加规范，有效保障消费者权益，实现“绿色农资”可持续发展，在促进共同富裕方面具有重要意义。</w:t>
      </w:r>
    </w:p>
    <w:p w14:paraId="6F5B267C">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（二）存在的问题。</w:t>
      </w:r>
    </w:p>
    <w:p w14:paraId="54F40DF3">
      <w:pPr>
        <w:adjustRightInd w:val="0"/>
        <w:snapToGrid w:val="0"/>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lang w:val="zh-CN"/>
        </w:rPr>
        <w:tab/>
      </w:r>
    </w:p>
    <w:p w14:paraId="6F589951">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（三）相关建议。</w:t>
      </w:r>
    </w:p>
    <w:p w14:paraId="6952083A">
      <w:pPr>
        <w:spacing w:line="578" w:lineRule="exact"/>
        <w:ind w:firstLine="640"/>
        <w:rPr>
          <w:rFonts w:hint="eastAsia" w:eastAsia="仿宋_GB2312" w:cs="仿宋_GB2312"/>
          <w:kern w:val="0"/>
          <w:sz w:val="32"/>
          <w:szCs w:val="32"/>
          <w:lang w:eastAsia="zh-CN"/>
        </w:rPr>
      </w:pPr>
      <w:r>
        <w:rPr>
          <w:rFonts w:hint="eastAsia" w:ascii="仿宋_GB2312" w:hAnsi="仿宋_GB2312" w:eastAsia="仿宋_GB2312" w:cs="仿宋_GB2312"/>
          <w:sz w:val="32"/>
          <w:szCs w:val="32"/>
          <w:lang w:val="en-US" w:eastAsia="zh-CN"/>
        </w:rPr>
        <w:t>无</w:t>
      </w:r>
    </w:p>
    <w:p w14:paraId="07DA6319">
      <w:pPr>
        <w:pStyle w:val="5"/>
        <w:spacing w:before="93"/>
        <w:rPr>
          <w:rFonts w:hint="eastAsia" w:ascii="Times New Roman" w:eastAsia="黑体" w:cs="黑体"/>
          <w:sz w:val="32"/>
          <w:szCs w:val="32"/>
          <w:shd w:val="clear" w:color="auto" w:fill="FFFFFF"/>
          <w:lang w:val="zh-CN"/>
        </w:rPr>
      </w:pPr>
    </w:p>
    <w:p w14:paraId="2C5A387C">
      <w:pPr>
        <w:pStyle w:val="5"/>
        <w:spacing w:before="93"/>
        <w:rPr>
          <w:rFonts w:hint="eastAsia" w:ascii="Times New Roman" w:eastAsia="黑体" w:cs="黑体"/>
          <w:sz w:val="32"/>
          <w:szCs w:val="32"/>
          <w:lang w:val="en-US" w:eastAsia="zh-CN"/>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lang w:val="en-US" w:eastAsia="zh-CN"/>
        </w:rPr>
        <w:t>5</w:t>
      </w:r>
    </w:p>
    <w:p w14:paraId="19B326E1">
      <w:pPr>
        <w:spacing w:line="578" w:lineRule="exact"/>
        <w:rPr>
          <w:rFonts w:hint="eastAsia" w:eastAsia="仿宋_GB2312" w:cs="仿宋_GB2312"/>
          <w:kern w:val="0"/>
          <w:sz w:val="32"/>
          <w:szCs w:val="32"/>
        </w:rPr>
      </w:pPr>
    </w:p>
    <w:p w14:paraId="0716601E">
      <w:pPr>
        <w:pStyle w:val="35"/>
        <w:spacing w:line="578" w:lineRule="exact"/>
        <w:ind w:firstLine="640"/>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2023年中央财政农业经营主体能力提升资金项目绩效自评报告</w:t>
      </w:r>
    </w:p>
    <w:p w14:paraId="7ED080C7">
      <w:pPr>
        <w:pStyle w:val="35"/>
        <w:spacing w:line="578" w:lineRule="exact"/>
        <w:ind w:firstLine="640"/>
        <w:jc w:val="center"/>
        <w:rPr>
          <w:rFonts w:hint="eastAsia" w:ascii="Times New Roman" w:hAnsi="Times New Roman" w:eastAsia="方正小标宋简体" w:cs="方正小标宋简体"/>
          <w:color w:val="auto"/>
          <w:kern w:val="2"/>
          <w:sz w:val="44"/>
          <w:szCs w:val="44"/>
          <w:lang w:val="en-US"/>
        </w:rPr>
      </w:pPr>
    </w:p>
    <w:p w14:paraId="214F157C">
      <w:pPr>
        <w:adjustRightInd w:val="0"/>
        <w:snapToGrid w:val="0"/>
        <w:spacing w:line="600" w:lineRule="exact"/>
        <w:ind w:firstLine="720"/>
        <w:rPr>
          <w:rFonts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14:paraId="77A091F3">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（一）项目基本情况。</w:t>
      </w:r>
    </w:p>
    <w:p w14:paraId="10C4BF01">
      <w:pPr>
        <w:adjustRightInd w:val="0"/>
        <w:snapToGrid w:val="0"/>
        <w:spacing w:line="60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2023年，中央下达中央财政转移支付资金12万元，用于支持农业社会化服务，项目面积0.12万亩。</w:t>
      </w:r>
    </w:p>
    <w:p w14:paraId="7C11B790">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（二）项目绩效目标。</w:t>
      </w:r>
    </w:p>
    <w:p w14:paraId="335B2863">
      <w:pPr>
        <w:adjustRightInd w:val="0"/>
        <w:snapToGrid w:val="0"/>
        <w:spacing w:line="600" w:lineRule="exact"/>
        <w:ind w:firstLine="7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2023年，按照《四川省农业农村厅 四川省供销社 四川省财政厅关于印发＜2023年农业社会化服务项目实施方案＞的通知》（川农函〔2023〕407号）文件要求，下达我县2023年中央财政支持农业生产社会化服务项目资金12万元，实施农业生产社会化服务0.12万亩。</w:t>
      </w:r>
    </w:p>
    <w:p w14:paraId="24004BFC">
      <w:pPr>
        <w:adjustRightInd w:val="0"/>
        <w:snapToGrid w:val="0"/>
        <w:spacing w:line="600" w:lineRule="exact"/>
        <w:ind w:firstLine="720"/>
        <w:rPr>
          <w:rFonts w:hint="eastAsia" w:ascii="仿宋_GB2312" w:hAnsi="仿宋_GB2312" w:eastAsia="仿宋_GB2312" w:cs="仿宋_GB2312"/>
          <w:b/>
          <w:sz w:val="32"/>
          <w:szCs w:val="32"/>
          <w:lang w:val="zh-CN" w:eastAsia="zh-CN"/>
        </w:rPr>
      </w:pPr>
      <w:r>
        <w:rPr>
          <w:rFonts w:hint="eastAsia" w:ascii="仿宋_GB2312" w:hAnsi="仿宋_GB2312" w:eastAsia="仿宋_GB2312" w:cs="仿宋_GB2312"/>
          <w:b/>
          <w:sz w:val="32"/>
          <w:szCs w:val="32"/>
          <w:lang w:val="zh-CN" w:eastAsia="zh-CN"/>
        </w:rPr>
        <w:t>（</w:t>
      </w:r>
      <w:r>
        <w:rPr>
          <w:rFonts w:hint="eastAsia" w:ascii="仿宋_GB2312" w:hAnsi="仿宋_GB2312" w:eastAsia="仿宋_GB2312" w:cs="仿宋_GB2312"/>
          <w:b/>
          <w:sz w:val="32"/>
          <w:szCs w:val="32"/>
          <w:lang w:val="en-US" w:eastAsia="zh-CN"/>
        </w:rPr>
        <w:t>三）</w:t>
      </w:r>
      <w:r>
        <w:rPr>
          <w:rFonts w:hint="eastAsia" w:ascii="仿宋_GB2312" w:hAnsi="仿宋_GB2312" w:eastAsia="仿宋_GB2312" w:cs="仿宋_GB2312"/>
          <w:b/>
          <w:sz w:val="32"/>
          <w:szCs w:val="32"/>
          <w:lang w:val="zh-CN" w:eastAsia="zh-CN"/>
        </w:rPr>
        <w:t>项目自评步骤及方法</w:t>
      </w:r>
    </w:p>
    <w:p w14:paraId="677E0034">
      <w:pPr>
        <w:adjustRightInd w:val="0"/>
        <w:snapToGrid w:val="0"/>
        <w:spacing w:line="600" w:lineRule="exact"/>
        <w:ind w:firstLine="72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1.现场评价。</w:t>
      </w:r>
    </w:p>
    <w:p w14:paraId="10B8BF34">
      <w:pPr>
        <w:spacing w:line="560" w:lineRule="exact"/>
        <w:ind w:firstLine="640" w:firstLineChars="200"/>
        <w:rPr>
          <w:rFonts w:eastAsia="仿宋_GB2312"/>
          <w:color w:val="auto"/>
          <w:sz w:val="32"/>
          <w:szCs w:val="32"/>
        </w:rPr>
      </w:pPr>
      <w:r>
        <w:rPr>
          <w:rFonts w:eastAsia="仿宋_GB2312"/>
          <w:color w:val="auto"/>
          <w:sz w:val="32"/>
          <w:szCs w:val="32"/>
        </w:rPr>
        <w:t>经县供销社现场</w:t>
      </w:r>
      <w:r>
        <w:rPr>
          <w:rFonts w:hint="eastAsia" w:eastAsia="仿宋_GB2312"/>
          <w:color w:val="auto"/>
          <w:sz w:val="32"/>
          <w:szCs w:val="32"/>
          <w:lang w:val="en-US" w:eastAsia="zh-CN"/>
        </w:rPr>
        <w:t>抽查、走访和现场验收，满足供销社社会化服务支付相关规范。</w:t>
      </w:r>
      <w:r>
        <w:rPr>
          <w:rFonts w:eastAsia="仿宋_GB2312"/>
          <w:color w:val="auto"/>
          <w:sz w:val="32"/>
          <w:szCs w:val="32"/>
        </w:rPr>
        <w:t xml:space="preserve"> </w:t>
      </w:r>
    </w:p>
    <w:p w14:paraId="6EC5CFCC">
      <w:pPr>
        <w:spacing w:line="560" w:lineRule="exact"/>
        <w:ind w:firstLine="640" w:firstLineChars="200"/>
        <w:rPr>
          <w:rFonts w:eastAsia="仿宋_GB2312"/>
          <w:color w:val="auto"/>
          <w:sz w:val="32"/>
          <w:szCs w:val="32"/>
        </w:rPr>
      </w:pPr>
      <w:r>
        <w:rPr>
          <w:rFonts w:eastAsia="仿宋_GB2312"/>
          <w:color w:val="auto"/>
          <w:sz w:val="32"/>
          <w:szCs w:val="32"/>
        </w:rPr>
        <w:t>2.项目总体评价</w:t>
      </w:r>
      <w:r>
        <w:rPr>
          <w:rFonts w:hint="eastAsia" w:eastAsia="仿宋_GB2312"/>
          <w:color w:val="auto"/>
          <w:sz w:val="32"/>
          <w:szCs w:val="32"/>
        </w:rPr>
        <w:t>。</w:t>
      </w:r>
    </w:p>
    <w:p w14:paraId="0C4C3B03">
      <w:pPr>
        <w:ind w:firstLine="640" w:firstLineChars="200"/>
        <w:rPr>
          <w:rFonts w:hint="default"/>
          <w:lang w:val="en-US" w:eastAsia="zh-CN"/>
        </w:rPr>
      </w:pPr>
      <w:r>
        <w:rPr>
          <w:rFonts w:eastAsia="仿宋_GB2312"/>
          <w:color w:val="auto"/>
          <w:sz w:val="32"/>
          <w:szCs w:val="32"/>
        </w:rPr>
        <w:t>项目总体评价</w:t>
      </w:r>
      <w:r>
        <w:rPr>
          <w:rFonts w:hint="eastAsia" w:eastAsia="仿宋_GB2312"/>
          <w:color w:val="auto"/>
          <w:sz w:val="32"/>
          <w:szCs w:val="32"/>
        </w:rPr>
        <w:t>为</w:t>
      </w:r>
      <w:r>
        <w:rPr>
          <w:rFonts w:hint="eastAsia"/>
          <w:color w:val="auto"/>
          <w:sz w:val="32"/>
          <w:szCs w:val="32"/>
          <w:lang w:val="en-US" w:eastAsia="zh-CN"/>
        </w:rPr>
        <w:t>良</w:t>
      </w:r>
      <w:r>
        <w:rPr>
          <w:rFonts w:hint="eastAsia"/>
          <w:color w:val="auto"/>
          <w:sz w:val="32"/>
          <w:szCs w:val="32"/>
          <w:lang w:eastAsia="zh-CN"/>
        </w:rPr>
        <w:t>。</w:t>
      </w:r>
    </w:p>
    <w:p w14:paraId="39E64420">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rPr>
        <w:t>二、项目资金申报及使用情况</w:t>
      </w:r>
    </w:p>
    <w:p w14:paraId="626BE9F5">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14:paraId="2AE23A65">
      <w:pPr>
        <w:pStyle w:val="9"/>
        <w:ind w:firstLine="640" w:firstLineChars="200"/>
        <w:rPr>
          <w:rFonts w:hint="default" w:eastAsia="仿宋_GB2312" w:cs="Times New Roman"/>
          <w:color w:val="auto"/>
          <w:sz w:val="32"/>
          <w:szCs w:val="32"/>
          <w:lang w:val="en-US" w:eastAsia="zh-CN"/>
        </w:rPr>
      </w:pPr>
      <w:r>
        <w:rPr>
          <w:rFonts w:eastAsia="仿宋_GB2312"/>
          <w:color w:val="auto"/>
          <w:sz w:val="32"/>
          <w:szCs w:val="32"/>
        </w:rPr>
        <w:t>我单位202</w:t>
      </w:r>
      <w:r>
        <w:rPr>
          <w:rFonts w:hint="eastAsia" w:eastAsia="仿宋_GB2312"/>
          <w:color w:val="auto"/>
          <w:sz w:val="32"/>
          <w:szCs w:val="32"/>
          <w:lang w:val="en-US" w:eastAsia="zh-CN"/>
        </w:rPr>
        <w:t>3</w:t>
      </w:r>
      <w:r>
        <w:rPr>
          <w:rFonts w:eastAsia="仿宋_GB2312"/>
          <w:color w:val="auto"/>
          <w:sz w:val="32"/>
          <w:szCs w:val="32"/>
        </w:rPr>
        <w:t>年</w:t>
      </w:r>
      <w:r>
        <w:rPr>
          <w:rFonts w:hint="eastAsia" w:eastAsia="仿宋_GB2312"/>
          <w:color w:val="auto"/>
          <w:sz w:val="32"/>
          <w:szCs w:val="32"/>
          <w:lang w:val="en-US" w:eastAsia="zh-CN"/>
        </w:rPr>
        <w:t>12</w:t>
      </w:r>
      <w:r>
        <w:rPr>
          <w:rFonts w:eastAsia="仿宋_GB2312"/>
          <w:color w:val="auto"/>
          <w:sz w:val="32"/>
          <w:szCs w:val="32"/>
        </w:rPr>
        <w:t>月向县政府报告</w:t>
      </w:r>
      <w:r>
        <w:rPr>
          <w:rFonts w:eastAsia="仿宋_GB2312" w:cs="Times New Roman"/>
          <w:color w:val="auto"/>
          <w:sz w:val="32"/>
          <w:szCs w:val="32"/>
        </w:rPr>
        <w:t>解决</w:t>
      </w:r>
      <w:r>
        <w:rPr>
          <w:rFonts w:hint="eastAsia" w:eastAsia="仿宋_GB2312" w:cs="Times New Roman"/>
          <w:color w:val="auto"/>
          <w:sz w:val="32"/>
          <w:szCs w:val="32"/>
        </w:rPr>
        <w:t>下达2023年中央财政农业经营主体能力提升资金</w:t>
      </w:r>
      <w:r>
        <w:rPr>
          <w:rFonts w:hint="eastAsia" w:eastAsia="仿宋_GB2312"/>
          <w:color w:val="auto"/>
          <w:sz w:val="32"/>
          <w:szCs w:val="32"/>
          <w:lang w:val="en-US" w:eastAsia="zh-CN"/>
        </w:rPr>
        <w:t>12</w:t>
      </w:r>
      <w:r>
        <w:rPr>
          <w:rFonts w:eastAsia="仿宋_GB2312"/>
          <w:color w:val="auto"/>
          <w:sz w:val="32"/>
          <w:szCs w:val="32"/>
        </w:rPr>
        <w:t>万元</w:t>
      </w:r>
      <w:r>
        <w:rPr>
          <w:rFonts w:eastAsia="仿宋_GB2312" w:cs="Times New Roman"/>
          <w:color w:val="auto"/>
          <w:sz w:val="32"/>
          <w:szCs w:val="32"/>
        </w:rPr>
        <w:t>，县财政局在202</w:t>
      </w:r>
      <w:r>
        <w:rPr>
          <w:rFonts w:hint="eastAsia" w:eastAsia="仿宋_GB2312" w:cs="Times New Roman"/>
          <w:color w:val="auto"/>
          <w:sz w:val="32"/>
          <w:szCs w:val="32"/>
          <w:lang w:val="en-US" w:eastAsia="zh-CN"/>
        </w:rPr>
        <w:t>4</w:t>
      </w:r>
      <w:r>
        <w:rPr>
          <w:rFonts w:eastAsia="仿宋_GB2312" w:cs="Times New Roman"/>
          <w:color w:val="auto"/>
          <w:sz w:val="32"/>
          <w:szCs w:val="32"/>
        </w:rPr>
        <w:t>年</w:t>
      </w:r>
      <w:r>
        <w:rPr>
          <w:rFonts w:hint="eastAsia" w:eastAsia="仿宋_GB2312" w:cs="Times New Roman"/>
          <w:color w:val="auto"/>
          <w:sz w:val="32"/>
          <w:szCs w:val="32"/>
          <w:lang w:val="en-US" w:eastAsia="zh-CN"/>
        </w:rPr>
        <w:t>1</w:t>
      </w:r>
      <w:r>
        <w:rPr>
          <w:rFonts w:eastAsia="仿宋_GB2312" w:cs="Times New Roman"/>
          <w:color w:val="auto"/>
          <w:sz w:val="32"/>
          <w:szCs w:val="32"/>
        </w:rPr>
        <w:t>月</w:t>
      </w:r>
      <w:r>
        <w:rPr>
          <w:rFonts w:hint="eastAsia" w:eastAsia="仿宋_GB2312" w:cs="Times New Roman"/>
          <w:color w:val="auto"/>
          <w:sz w:val="32"/>
          <w:szCs w:val="32"/>
          <w:lang w:val="en-US" w:eastAsia="zh-CN"/>
        </w:rPr>
        <w:t>上旬</w:t>
      </w:r>
      <w:r>
        <w:rPr>
          <w:rFonts w:eastAsia="仿宋_GB2312" w:cs="Times New Roman"/>
          <w:color w:val="auto"/>
          <w:sz w:val="32"/>
          <w:szCs w:val="32"/>
        </w:rPr>
        <w:t>下达批复资金文件（</w:t>
      </w:r>
      <w:r>
        <w:rPr>
          <w:rFonts w:hint="eastAsia" w:eastAsia="仿宋_GB2312" w:cs="Times New Roman"/>
          <w:color w:val="auto"/>
          <w:sz w:val="32"/>
          <w:szCs w:val="32"/>
        </w:rPr>
        <w:t>盐财资农〔2022〕96号</w:t>
      </w:r>
      <w:r>
        <w:rPr>
          <w:rFonts w:eastAsia="仿宋_GB2312" w:cs="Times New Roman"/>
          <w:color w:val="auto"/>
          <w:sz w:val="32"/>
          <w:szCs w:val="32"/>
        </w:rPr>
        <w:t>），同意拨付我单位</w:t>
      </w:r>
      <w:r>
        <w:rPr>
          <w:rFonts w:hint="eastAsia" w:eastAsia="仿宋_GB2312" w:cs="Times New Roman"/>
          <w:color w:val="auto"/>
          <w:sz w:val="32"/>
          <w:szCs w:val="32"/>
          <w:lang w:val="en-US" w:eastAsia="zh-CN"/>
        </w:rPr>
        <w:t>12</w:t>
      </w:r>
      <w:r>
        <w:rPr>
          <w:rFonts w:eastAsia="仿宋_GB2312" w:cs="Times New Roman"/>
          <w:color w:val="auto"/>
          <w:sz w:val="32"/>
          <w:szCs w:val="32"/>
        </w:rPr>
        <w:t>万元资金。</w:t>
      </w:r>
    </w:p>
    <w:p w14:paraId="04D1D4D1">
      <w:pPr>
        <w:adjustRightInd w:val="0"/>
        <w:snapToGrid w:val="0"/>
        <w:spacing w:line="600" w:lineRule="exact"/>
        <w:ind w:firstLine="643" w:firstLineChars="200"/>
        <w:rPr>
          <w:rFonts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（二）资金计划、到位及使用情况。</w:t>
      </w:r>
    </w:p>
    <w:p w14:paraId="38BC11A2">
      <w:pPr>
        <w:numPr>
          <w:ilvl w:val="0"/>
          <w:numId w:val="0"/>
        </w:numPr>
        <w:adjustRightInd w:val="0"/>
        <w:snapToGrid w:val="0"/>
        <w:spacing w:line="60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1.资金计划。此项目资金全为县级财政资金，用于2023年中央财政农业经营主体能力提升资金。</w:t>
      </w:r>
    </w:p>
    <w:p w14:paraId="5E451F53">
      <w:pPr>
        <w:numPr>
          <w:ilvl w:val="0"/>
          <w:numId w:val="0"/>
        </w:numPr>
        <w:adjustRightInd w:val="0"/>
        <w:snapToGrid w:val="0"/>
        <w:spacing w:line="60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2.资金到位。此项目在20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zh-CN"/>
        </w:rPr>
        <w:t>月验收合格，县财政局在202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月底将财政指标下给县供销社，县供销社及时支付到攀枝花市嘉会农业科技有限公司的账户。</w:t>
      </w:r>
    </w:p>
    <w:p w14:paraId="2FE6717C">
      <w:pPr>
        <w:numPr>
          <w:ilvl w:val="0"/>
          <w:numId w:val="0"/>
        </w:num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3.资金使用。此项目资金用于2023年中央财政农业经营主体能力提升资金。我们在实际支付范围、支付依据与预算相符，支付标准严格按照财政相关文件要求执行，资金使用规范。在2024年底，此项目资金支付率达到100%。</w:t>
      </w:r>
      <w:r>
        <w:rPr>
          <w:rFonts w:hint="eastAsia" w:ascii="仿宋_GB2312" w:hAnsi="仿宋_GB2312" w:eastAsia="仿宋_GB2312" w:cs="仿宋_GB2312"/>
          <w:sz w:val="32"/>
          <w:szCs w:val="32"/>
          <w:lang w:val="en-US" w:eastAsia="zh-CN"/>
        </w:rPr>
        <w:t xml:space="preserve"> </w:t>
      </w:r>
    </w:p>
    <w:p w14:paraId="12775CD6">
      <w:pPr>
        <w:numPr>
          <w:ilvl w:val="0"/>
          <w:numId w:val="0"/>
        </w:numPr>
        <w:adjustRightInd w:val="0"/>
        <w:snapToGrid w:val="0"/>
        <w:spacing w:line="600" w:lineRule="exact"/>
        <w:ind w:firstLine="643" w:firstLineChars="20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（三）项目财务管理情况。</w:t>
      </w:r>
    </w:p>
    <w:p w14:paraId="0A6B9BA0">
      <w:pPr>
        <w:adjustRightInd w:val="0"/>
        <w:snapToGrid w:val="0"/>
        <w:spacing w:line="600" w:lineRule="exact"/>
        <w:ind w:firstLine="720"/>
        <w:rPr>
          <w:rFonts w:hint="eastAsia" w:eastAsia="仿宋_GB2312"/>
          <w:color w:val="auto"/>
          <w:sz w:val="32"/>
          <w:szCs w:val="32"/>
        </w:rPr>
      </w:pPr>
      <w:r>
        <w:rPr>
          <w:rFonts w:hint="eastAsia" w:eastAsia="仿宋_GB2312"/>
          <w:color w:val="auto"/>
          <w:sz w:val="32"/>
          <w:szCs w:val="32"/>
        </w:rPr>
        <w:t>我单位实施此项目，财务管理制度健全，严格执行财务管理制度，账务处理及时，会计核算规范。</w:t>
      </w:r>
    </w:p>
    <w:p w14:paraId="4AE140EF">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rPr>
        <w:t>三、项目实施及管理情况</w:t>
      </w:r>
    </w:p>
    <w:p w14:paraId="159140A6">
      <w:pPr>
        <w:numPr>
          <w:ilvl w:val="0"/>
          <w:numId w:val="0"/>
        </w:numPr>
        <w:adjustRightInd w:val="0"/>
        <w:snapToGrid w:val="0"/>
        <w:spacing w:line="600" w:lineRule="exact"/>
        <w:ind w:firstLine="640" w:firstLineChars="200"/>
        <w:rPr>
          <w:rFonts w:hint="eastAsia" w:eastAsia="仿宋_GB2312"/>
          <w:color w:val="auto"/>
          <w:sz w:val="32"/>
          <w:szCs w:val="32"/>
        </w:rPr>
      </w:pPr>
      <w:r>
        <w:rPr>
          <w:rFonts w:hint="eastAsia" w:eastAsia="仿宋_GB2312"/>
          <w:color w:val="auto"/>
          <w:sz w:val="32"/>
          <w:szCs w:val="32"/>
        </w:rPr>
        <w:t>此项目资金用于2023年中央财政农业经营主体能力提升资金，资金使用严格遵守财务管理制度，会计核算规范。</w:t>
      </w:r>
    </w:p>
    <w:p w14:paraId="0849E205">
      <w:pPr>
        <w:numPr>
          <w:ilvl w:val="0"/>
          <w:numId w:val="0"/>
        </w:numPr>
        <w:adjustRightInd w:val="0"/>
        <w:snapToGrid w:val="0"/>
        <w:spacing w:line="600" w:lineRule="exact"/>
        <w:ind w:firstLine="643" w:firstLineChars="200"/>
        <w:rPr>
          <w:rFonts w:ascii="Times New Roman" w:hAnsi="Times New Roman" w:eastAsia="仿宋_GB2312" w:cs="Times New Roman"/>
          <w:color w:val="auto"/>
          <w:sz w:val="32"/>
          <w:szCs w:val="32"/>
          <w:lang w:val="zh-CN"/>
        </w:rPr>
      </w:pPr>
      <w:r>
        <w:rPr>
          <w:rFonts w:hint="eastAsia" w:ascii="仿宋_GB2312" w:hAnsi="仿宋_GB2312" w:eastAsia="仿宋_GB2312" w:cs="仿宋_GB2312"/>
          <w:b/>
          <w:sz w:val="32"/>
          <w:szCs w:val="32"/>
          <w:lang w:val="zh-CN"/>
        </w:rPr>
        <w:t>（</w:t>
      </w:r>
      <w:r>
        <w:rPr>
          <w:rFonts w:hint="eastAsia" w:ascii="仿宋_GB2312" w:hAnsi="仿宋_GB2312" w:eastAsia="仿宋_GB2312" w:cs="仿宋_GB2312"/>
          <w:b/>
          <w:sz w:val="32"/>
          <w:szCs w:val="32"/>
          <w:lang w:val="en-US" w:eastAsia="zh-CN"/>
        </w:rPr>
        <w:t>一）</w:t>
      </w:r>
      <w:r>
        <w:rPr>
          <w:rFonts w:hint="eastAsia" w:ascii="仿宋_GB2312" w:hAnsi="仿宋_GB2312" w:eastAsia="仿宋_GB2312" w:cs="仿宋_GB2312"/>
          <w:b/>
          <w:sz w:val="32"/>
          <w:szCs w:val="32"/>
          <w:lang w:val="zh-CN"/>
        </w:rPr>
        <w:t>项目组织架构及实施流程。</w:t>
      </w:r>
    </w:p>
    <w:p w14:paraId="2D126D72">
      <w:pPr>
        <w:pStyle w:val="9"/>
        <w:numPr>
          <w:ilvl w:val="0"/>
          <w:numId w:val="0"/>
        </w:numPr>
        <w:ind w:firstLine="640" w:firstLineChars="200"/>
        <w:rPr>
          <w:rFonts w:eastAsia="仿宋_GB2312"/>
          <w:color w:val="auto"/>
          <w:sz w:val="32"/>
          <w:szCs w:val="32"/>
        </w:rPr>
      </w:pPr>
      <w:r>
        <w:rPr>
          <w:rFonts w:hint="eastAsia" w:ascii="仿宋_GB2312" w:hAnsi="宋体" w:eastAsia="仿宋_GB2312"/>
          <w:b w:val="0"/>
          <w:bCs w:val="0"/>
          <w:sz w:val="32"/>
          <w:szCs w:val="32"/>
          <w:lang w:eastAsia="zh-CN"/>
        </w:rPr>
        <w:t>项目实施期内需实施1200亩土豆耕、种、防三个环节全托管农业社会化服务项目。县供销编写了《2023年盐边县农业生产社会化服务项目实施方案》实施方案，按《方案》要求经过遴选，确定了该项目实施主体为攀枝花市嘉会农业科技有限公司，并与之签订了项目实施合同，根据服务合同制定项目实施工作计划、进度安排、项目管理办法等，收集、整理项目资料并完成有关报告。</w:t>
      </w:r>
    </w:p>
    <w:p w14:paraId="6132A156">
      <w:pPr>
        <w:numPr>
          <w:ilvl w:val="0"/>
          <w:numId w:val="4"/>
        </w:numPr>
        <w:spacing w:line="560" w:lineRule="exact"/>
        <w:ind w:left="0" w:leftChars="0" w:firstLine="720" w:firstLineChars="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项目管理情况。</w:t>
      </w:r>
    </w:p>
    <w:p w14:paraId="6193FE03">
      <w:pPr>
        <w:adjustRightInd w:val="0"/>
        <w:snapToGrid w:val="0"/>
        <w:spacing w:line="560" w:lineRule="exact"/>
        <w:ind w:firstLine="720"/>
        <w:rPr>
          <w:rFonts w:hint="eastAsia" w:ascii="仿宋_GB2312" w:hAnsi="仿宋_GB2312" w:eastAsia="仿宋_GB2312" w:cs="仿宋_GB2312"/>
          <w:color w:val="000000" w:themeColor="text1"/>
          <w:sz w:val="33"/>
          <w:szCs w:val="33"/>
          <w:lang w:eastAsia="zh-CN"/>
          <w14:textFill>
            <w14:solidFill>
              <w14:schemeClr w14:val="tx1"/>
            </w14:solidFill>
          </w14:textFill>
        </w:rPr>
      </w:pPr>
      <w:r>
        <w:rPr>
          <w:rFonts w:hint="eastAsia" w:eastAsia="仿宋_GB2312" w:cs="仿宋_GB2312"/>
          <w:bCs/>
          <w:color w:val="000000" w:themeColor="text1"/>
          <w:kern w:val="21"/>
          <w:sz w:val="33"/>
          <w:szCs w:val="33"/>
          <w:lang w:eastAsia="zh-CN"/>
          <w14:textFill>
            <w14:solidFill>
              <w14:schemeClr w14:val="tx1"/>
            </w14:solidFill>
          </w14:textFill>
        </w:rPr>
        <w:t>盐边县供销社已发布《关于遴选盐边县 2023年农业生产社会化服务项目实施主体的公告》，从</w:t>
      </w:r>
      <w:r>
        <w:rPr>
          <w:rFonts w:hint="eastAsia" w:ascii="仿宋_GB2312" w:hAnsi="仿宋_GB2312" w:eastAsia="仿宋_GB2312" w:cs="仿宋_GB2312"/>
          <w:color w:val="000000" w:themeColor="text1"/>
          <w:sz w:val="33"/>
          <w:szCs w:val="33"/>
          <w14:textFill>
            <w14:solidFill>
              <w14:schemeClr w14:val="tx1"/>
            </w14:solidFill>
          </w14:textFill>
        </w:rPr>
        <w:t>纳入省级供销系统农业社会化服务主体名录库的社有企业、基层供销合作社</w:t>
      </w:r>
      <w:r>
        <w:rPr>
          <w:rFonts w:hint="eastAsia" w:ascii="仿宋_GB2312" w:hAnsi="仿宋_GB2312" w:eastAsia="仿宋_GB2312" w:cs="仿宋_GB2312"/>
          <w:color w:val="000000" w:themeColor="text1"/>
          <w:sz w:val="33"/>
          <w:szCs w:val="33"/>
          <w:lang w:eastAsia="zh-CN"/>
          <w14:textFill>
            <w14:solidFill>
              <w14:schemeClr w14:val="tx1"/>
            </w14:solidFill>
          </w14:textFill>
        </w:rPr>
        <w:t>名录中选择实施主体，选定亩报价最低攀枝花市嘉会农业科技有限公司为盐边县 2023 年农业生产社会化服务项目实施主体，其服务价格为机耕70元/亩、种植70元/亩、管理40元/亩、机收90元/亩。</w:t>
      </w:r>
    </w:p>
    <w:p w14:paraId="1F76CFD0">
      <w:pPr>
        <w:adjustRightInd w:val="0"/>
        <w:snapToGrid w:val="0"/>
        <w:spacing w:line="560" w:lineRule="exact"/>
        <w:ind w:firstLine="720"/>
        <w:rPr>
          <w:rFonts w:hint="eastAsia" w:ascii="仿宋_GB2312" w:hAnsi="仿宋_GB2312" w:eastAsia="仿宋_GB2312" w:cs="仿宋_GB2312"/>
          <w:color w:val="000000" w:themeColor="text1"/>
          <w:sz w:val="33"/>
          <w:szCs w:val="33"/>
          <w:lang w:eastAsia="zh-CN"/>
          <w14:textFill>
            <w14:solidFill>
              <w14:schemeClr w14:val="tx1"/>
            </w14:solidFill>
          </w14:textFill>
        </w:rPr>
      </w:pPr>
      <w:r>
        <w:rPr>
          <w:rFonts w:hint="eastAsia" w:eastAsia="仿宋_GB2312"/>
          <w:sz w:val="32"/>
          <w:szCs w:val="32"/>
        </w:rPr>
        <w:t>为确保项目实施工作有组织有领导地开展，</w:t>
      </w:r>
      <w:r>
        <w:rPr>
          <w:rFonts w:hint="eastAsia" w:ascii="仿宋_GB2312" w:hAnsi="仿宋_GB2312" w:eastAsia="仿宋_GB2312" w:cs="仿宋_GB2312"/>
          <w:color w:val="000000" w:themeColor="text1"/>
          <w:sz w:val="33"/>
          <w:szCs w:val="33"/>
          <w:lang w:eastAsia="zh-CN"/>
          <w14:textFill>
            <w14:solidFill>
              <w14:schemeClr w14:val="tx1"/>
            </w14:solidFill>
          </w14:textFill>
        </w:rPr>
        <w:t>攀枝花市嘉会农业科技有限公司</w:t>
      </w:r>
      <w:r>
        <w:rPr>
          <w:rFonts w:hint="eastAsia" w:eastAsia="仿宋_GB2312"/>
          <w:sz w:val="32"/>
          <w:szCs w:val="32"/>
        </w:rPr>
        <w:t>负责项目实施的整体运筹、组织协调、管理以及解决项目实施过程中的重大问题。</w:t>
      </w:r>
      <w:r>
        <w:rPr>
          <w:rFonts w:hint="eastAsia" w:eastAsia="仿宋_GB2312"/>
          <w:sz w:val="32"/>
          <w:szCs w:val="32"/>
          <w:lang w:eastAsia="zh-CN"/>
        </w:rPr>
        <w:t>盐边县供销社</w:t>
      </w:r>
      <w:r>
        <w:rPr>
          <w:rFonts w:hint="eastAsia" w:eastAsia="仿宋_GB2312"/>
          <w:sz w:val="32"/>
          <w:szCs w:val="32"/>
        </w:rPr>
        <w:t>主持全面工作，实行部门责任制，严格执行部门工作标准和岗位责任制，对各部门进行工作监督和责任追究</w:t>
      </w:r>
      <w:r>
        <w:rPr>
          <w:rFonts w:hint="eastAsia" w:eastAsia="仿宋_GB2312"/>
          <w:sz w:val="32"/>
          <w:szCs w:val="32"/>
          <w:lang w:eastAsia="zh-CN"/>
        </w:rPr>
        <w:t>，</w:t>
      </w:r>
      <w:r>
        <w:rPr>
          <w:rFonts w:hint="eastAsia" w:eastAsia="仿宋_GB2312"/>
          <w:sz w:val="32"/>
          <w:szCs w:val="32"/>
        </w:rPr>
        <w:t>严格执行项目实施的管理规章制度、财务管理制度、项目资金管理规定、财政资金管理规定和资金使用监督规定。</w:t>
      </w:r>
    </w:p>
    <w:p w14:paraId="2CCF4715">
      <w:pPr>
        <w:adjustRightInd w:val="0"/>
        <w:snapToGrid w:val="0"/>
        <w:spacing w:line="600" w:lineRule="exact"/>
        <w:ind w:firstLine="720"/>
        <w:rPr>
          <w:rFonts w:ascii="黑体" w:hAnsi="黑体" w:eastAsia="黑体" w:cs="黑体"/>
          <w:sz w:val="32"/>
          <w:szCs w:val="32"/>
          <w:lang w:val="zh-CN"/>
        </w:rPr>
      </w:pPr>
      <w:r>
        <w:rPr>
          <w:rFonts w:hint="eastAsia" w:ascii="黑体" w:hAnsi="黑体" w:eastAsia="黑体" w:cs="黑体"/>
          <w:sz w:val="32"/>
          <w:szCs w:val="32"/>
        </w:rPr>
        <w:t>四、项目绩效情况</w:t>
      </w:r>
      <w:r>
        <w:rPr>
          <w:rFonts w:hint="eastAsia" w:ascii="黑体" w:hAnsi="黑体" w:eastAsia="黑体" w:cs="黑体"/>
          <w:sz w:val="32"/>
          <w:szCs w:val="32"/>
          <w:lang w:val="zh-CN"/>
        </w:rPr>
        <w:tab/>
      </w:r>
    </w:p>
    <w:p w14:paraId="2C802DE5">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14:paraId="6258056C">
      <w:pPr>
        <w:adjustRightInd w:val="0"/>
        <w:snapToGrid w:val="0"/>
        <w:spacing w:line="600" w:lineRule="exact"/>
        <w:ind w:firstLine="720"/>
        <w:rPr>
          <w:rFonts w:hint="eastAsia" w:eastAsia="仿宋_GB2312"/>
          <w:color w:val="auto"/>
          <w:sz w:val="32"/>
          <w:szCs w:val="32"/>
        </w:rPr>
      </w:pPr>
      <w:r>
        <w:rPr>
          <w:rFonts w:hint="eastAsia" w:eastAsia="仿宋_GB2312"/>
          <w:color w:val="auto"/>
          <w:sz w:val="32"/>
          <w:szCs w:val="32"/>
        </w:rPr>
        <w:t>我单位按照合同要求在202</w:t>
      </w:r>
      <w:r>
        <w:rPr>
          <w:rFonts w:hint="eastAsia" w:eastAsia="仿宋_GB2312"/>
          <w:color w:val="auto"/>
          <w:sz w:val="32"/>
          <w:szCs w:val="32"/>
          <w:lang w:val="en-US" w:eastAsia="zh-CN"/>
        </w:rPr>
        <w:t>4</w:t>
      </w:r>
      <w:r>
        <w:rPr>
          <w:rFonts w:hint="eastAsia" w:eastAsia="仿宋_GB2312"/>
          <w:color w:val="auto"/>
          <w:sz w:val="32"/>
          <w:szCs w:val="32"/>
        </w:rPr>
        <w:t>年9月以前及时全额</w:t>
      </w:r>
      <w:r>
        <w:rPr>
          <w:rFonts w:hint="eastAsia" w:eastAsia="仿宋_GB2312"/>
          <w:color w:val="auto"/>
          <w:sz w:val="32"/>
          <w:szCs w:val="32"/>
          <w:lang w:val="en-US" w:eastAsia="zh-CN"/>
        </w:rPr>
        <w:t>支付</w:t>
      </w:r>
      <w:r>
        <w:rPr>
          <w:rFonts w:hint="eastAsia" w:eastAsia="仿宋_GB2312"/>
          <w:color w:val="auto"/>
          <w:sz w:val="32"/>
          <w:szCs w:val="32"/>
        </w:rPr>
        <w:t>2023年中央财政农业经营主体能力提升资金</w:t>
      </w:r>
      <w:r>
        <w:rPr>
          <w:rFonts w:hint="eastAsia" w:eastAsia="仿宋_GB2312"/>
          <w:color w:val="auto"/>
          <w:sz w:val="32"/>
          <w:szCs w:val="32"/>
          <w:lang w:val="en-US" w:eastAsia="zh-CN"/>
        </w:rPr>
        <w:t>12</w:t>
      </w:r>
      <w:r>
        <w:rPr>
          <w:rFonts w:hint="eastAsia" w:eastAsia="仿宋_GB2312"/>
          <w:color w:val="auto"/>
          <w:sz w:val="32"/>
          <w:szCs w:val="32"/>
        </w:rPr>
        <w:t>万元费用，资金没有结余，资金使用效益较高，没有违规情况发生。</w:t>
      </w:r>
    </w:p>
    <w:p w14:paraId="1D4F2A4A">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p>
    <w:p w14:paraId="1304FCA7">
      <w:pPr>
        <w:adjustRightInd w:val="0"/>
        <w:snapToGrid w:val="0"/>
        <w:spacing w:line="60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实施后能使服务区域内农民节本增收，原本的小户、散户通过零散的种植，在合理用药、规范管理等方面的意识不足，可能导致土豆种植的产出率不高，通过农业社会化服务项目，统一由攀枝花市嘉会农业科技有限公司实施，就能实现合理用药和规范管理，能极大的提高产出率，并降低成本支出，增加农户收入。</w:t>
      </w:r>
    </w:p>
    <w:p w14:paraId="06AB1238">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rPr>
        <w:t>五、评价结论及建议</w:t>
      </w:r>
    </w:p>
    <w:p w14:paraId="58A3C4E3">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（一）评价结论。</w:t>
      </w:r>
    </w:p>
    <w:p w14:paraId="6BD44907">
      <w:pPr>
        <w:adjustRightInd w:val="0"/>
        <w:snapToGrid w:val="0"/>
        <w:spacing w:line="60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农业社会化服务能够降低农业生产成本，进而增加农户收入，并能扩大生产规模，提高生产质量。体现出了农业社会化服务稳定农产品价格，保证消费市场的稳定的良性作用，对振兴农业和农村经济，促进经济内循环，推动地区经济高质量发展有着十分重要的意义。</w:t>
      </w:r>
    </w:p>
    <w:p w14:paraId="24730AC7">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（二）存在的问题。</w:t>
      </w:r>
    </w:p>
    <w:p w14:paraId="11E641CF">
      <w:pPr>
        <w:adjustRightInd w:val="0"/>
        <w:snapToGrid w:val="0"/>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服务组织经济效益获得不明显，一是服务对象主要是小户、散户，农户土地不集中，难以完全统一开展托管服务，造成现代化机械作业困难，二是目前农机设备使用寿命短，维护成本高，导致服务投入成本高。</w:t>
      </w:r>
      <w:r>
        <w:rPr>
          <w:rFonts w:hint="eastAsia" w:ascii="仿宋_GB2312" w:hAnsi="仿宋_GB2312" w:eastAsia="仿宋_GB2312" w:cs="仿宋_GB2312"/>
          <w:sz w:val="32"/>
          <w:szCs w:val="32"/>
          <w:lang w:val="zh-CN"/>
        </w:rPr>
        <w:tab/>
      </w:r>
    </w:p>
    <w:p w14:paraId="1D9E823C">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（三）相关建议。</w:t>
      </w:r>
    </w:p>
    <w:p w14:paraId="51877D72">
      <w:pPr>
        <w:spacing w:line="578" w:lineRule="exact"/>
        <w:ind w:firstLine="640"/>
        <w:rPr>
          <w:rFonts w:hint="eastAsia" w:eastAsia="仿宋_GB2312" w:cs="仿宋_GB2312"/>
          <w:color w:val="auto"/>
          <w:kern w:val="0"/>
          <w:sz w:val="32"/>
          <w:szCs w:val="32"/>
          <w:lang w:eastAsia="zh-CN"/>
        </w:rPr>
      </w:pPr>
      <w:r>
        <w:rPr>
          <w:rFonts w:hint="eastAsia" w:ascii="仿宋_GB2312" w:hAnsi="仿宋_GB2312" w:eastAsia="仿宋_GB2312" w:cs="仿宋_GB2312"/>
          <w:color w:val="auto"/>
          <w:sz w:val="32"/>
          <w:szCs w:val="32"/>
          <w:lang w:val="en-US" w:eastAsia="zh-CN"/>
        </w:rPr>
        <w:t>无</w:t>
      </w:r>
    </w:p>
    <w:p w14:paraId="38D59C1A">
      <w:pPr>
        <w:spacing w:line="578" w:lineRule="exact"/>
        <w:ind w:firstLine="640"/>
        <w:rPr>
          <w:rFonts w:hint="eastAsia" w:eastAsia="仿宋_GB2312" w:cs="仿宋_GB2312"/>
          <w:kern w:val="0"/>
          <w:sz w:val="32"/>
          <w:szCs w:val="32"/>
        </w:rPr>
      </w:pPr>
    </w:p>
    <w:p w14:paraId="68A880CC">
      <w:pPr>
        <w:pStyle w:val="5"/>
        <w:spacing w:before="93"/>
        <w:rPr>
          <w:rFonts w:hint="eastAsia" w:ascii="Times New Roman" w:eastAsia="黑体" w:cs="黑体"/>
          <w:sz w:val="32"/>
          <w:szCs w:val="32"/>
          <w:lang w:val="en-US" w:eastAsia="zh-CN"/>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lang w:val="en-US" w:eastAsia="zh-CN"/>
        </w:rPr>
        <w:t>6</w:t>
      </w:r>
    </w:p>
    <w:p w14:paraId="1EC7F426">
      <w:pPr>
        <w:spacing w:line="578" w:lineRule="exact"/>
        <w:ind w:firstLine="640"/>
        <w:rPr>
          <w:rFonts w:hint="eastAsia" w:eastAsia="仿宋_GB2312" w:cs="仿宋_GB2312"/>
          <w:kern w:val="0"/>
          <w:sz w:val="32"/>
          <w:szCs w:val="32"/>
        </w:rPr>
      </w:pPr>
    </w:p>
    <w:p w14:paraId="26BB6DF0">
      <w:pPr>
        <w:pStyle w:val="35"/>
        <w:spacing w:line="578" w:lineRule="exact"/>
        <w:ind w:firstLine="640"/>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关于推进重点项目工作经费</w:t>
      </w:r>
    </w:p>
    <w:p w14:paraId="3D5AC79A">
      <w:pPr>
        <w:pStyle w:val="35"/>
        <w:spacing w:line="578" w:lineRule="exact"/>
        <w:ind w:firstLine="640"/>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绩效自评报告</w:t>
      </w:r>
    </w:p>
    <w:p w14:paraId="21633597">
      <w:pPr>
        <w:pStyle w:val="35"/>
        <w:spacing w:line="578" w:lineRule="exact"/>
        <w:ind w:firstLine="640"/>
        <w:jc w:val="center"/>
        <w:rPr>
          <w:rFonts w:hint="eastAsia" w:ascii="Times New Roman" w:hAnsi="Times New Roman" w:eastAsia="方正小标宋简体" w:cs="方正小标宋简体"/>
          <w:color w:val="auto"/>
          <w:kern w:val="2"/>
          <w:sz w:val="44"/>
          <w:szCs w:val="44"/>
          <w:lang w:val="en-US"/>
        </w:rPr>
      </w:pPr>
    </w:p>
    <w:p w14:paraId="2F5CDF9E">
      <w:pPr>
        <w:adjustRightInd w:val="0"/>
        <w:snapToGrid w:val="0"/>
        <w:spacing w:line="600" w:lineRule="exact"/>
        <w:ind w:firstLine="720"/>
        <w:rPr>
          <w:rFonts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14:paraId="13AB9146">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（一）项目基本情况。</w:t>
      </w:r>
    </w:p>
    <w:p w14:paraId="3BA60F8D">
      <w:pPr>
        <w:adjustRightInd w:val="0"/>
        <w:snapToGrid w:val="0"/>
        <w:spacing w:line="60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为顺利推进供销城乡经营服务体系建设（农产品交易中心）、供销为农服务综合体（渔门城乡冷链物流项目）建设以及蓝莓种植（一期项目为1000亩）等3个项目建设，需要项目办公经费、资料费总计8.95万元。</w:t>
      </w:r>
    </w:p>
    <w:p w14:paraId="063F2E75">
      <w:pPr>
        <w:numPr>
          <w:ilvl w:val="0"/>
          <w:numId w:val="5"/>
        </w:num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项目绩效目标。</w:t>
      </w:r>
    </w:p>
    <w:p w14:paraId="069E3BC9">
      <w:pPr>
        <w:numPr>
          <w:ilvl w:val="0"/>
          <w:numId w:val="0"/>
        </w:numPr>
        <w:adjustRightInd w:val="0"/>
        <w:snapToGrid w:val="0"/>
        <w:spacing w:line="600" w:lineRule="exact"/>
        <w:ind w:firstLine="640" w:firstLineChars="200"/>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由我社包装的供销城乡经营服务体系建设项目和供销为农服务综合体建设项目已成功争取到省级供销综合改革及发展专项资金523万元，其中供销为农服务综合体建设项目也申请到地方专项债1600万元，该项目已列入县政府2024年《政府工作报告》重点任务清单。由我社牵头招商的大田百谷（杭州）蓝莓种植项目已列入我县2024年度重点项目。在上述3个重点项目推进和实施过程中，将产生额外的办公经费和资料费9.3万元，解决好3个项目建设需要项目办公经费、资料费，以保障重点项目顺利推进。</w:t>
      </w:r>
    </w:p>
    <w:p w14:paraId="34CA72E6">
      <w:pPr>
        <w:numPr>
          <w:ilvl w:val="0"/>
          <w:numId w:val="0"/>
        </w:numPr>
        <w:adjustRightInd w:val="0"/>
        <w:snapToGrid w:val="0"/>
        <w:spacing w:line="600" w:lineRule="exact"/>
        <w:ind w:firstLine="643" w:firstLineChars="200"/>
        <w:rPr>
          <w:rFonts w:hint="eastAsia" w:ascii="仿宋_GB2312" w:hAnsi="仿宋_GB2312" w:eastAsia="仿宋_GB2312" w:cs="仿宋_GB2312"/>
          <w:b/>
          <w:kern w:val="2"/>
          <w:sz w:val="32"/>
          <w:szCs w:val="32"/>
          <w:lang w:val="zh-CN" w:eastAsia="zh-CN" w:bidi="ar-SA"/>
        </w:rPr>
      </w:pPr>
      <w:r>
        <w:rPr>
          <w:rFonts w:hint="eastAsia" w:ascii="仿宋_GB2312" w:hAnsi="仿宋_GB2312" w:eastAsia="仿宋_GB2312" w:cs="仿宋_GB2312"/>
          <w:b/>
          <w:kern w:val="2"/>
          <w:sz w:val="32"/>
          <w:szCs w:val="32"/>
          <w:lang w:val="zh-CN" w:eastAsia="zh-CN" w:bidi="ar-SA"/>
        </w:rPr>
        <w:t>（</w:t>
      </w:r>
      <w:r>
        <w:rPr>
          <w:rFonts w:hint="eastAsia" w:ascii="仿宋_GB2312" w:hAnsi="仿宋_GB2312" w:eastAsia="仿宋_GB2312" w:cs="仿宋_GB2312"/>
          <w:b/>
          <w:kern w:val="2"/>
          <w:sz w:val="32"/>
          <w:szCs w:val="32"/>
          <w:lang w:val="en-US" w:eastAsia="zh-CN" w:bidi="ar-SA"/>
        </w:rPr>
        <w:t>三）</w:t>
      </w:r>
      <w:r>
        <w:rPr>
          <w:rFonts w:hint="eastAsia" w:ascii="仿宋_GB2312" w:hAnsi="仿宋_GB2312" w:eastAsia="仿宋_GB2312" w:cs="仿宋_GB2312"/>
          <w:b/>
          <w:kern w:val="2"/>
          <w:sz w:val="32"/>
          <w:szCs w:val="32"/>
          <w:lang w:val="zh-CN" w:eastAsia="zh-CN" w:bidi="ar-SA"/>
        </w:rPr>
        <w:t>项目自评步骤及方法</w:t>
      </w:r>
    </w:p>
    <w:p w14:paraId="203511A9">
      <w:pPr>
        <w:ind w:firstLine="640" w:firstLineChars="200"/>
        <w:rPr>
          <w:rFonts w:hint="eastAsia" w:eastAsia="仿宋_GB2312"/>
          <w:color w:val="auto"/>
          <w:sz w:val="32"/>
          <w:szCs w:val="32"/>
        </w:rPr>
      </w:pPr>
      <w:r>
        <w:rPr>
          <w:rFonts w:hint="eastAsia" w:eastAsia="仿宋_GB2312"/>
          <w:color w:val="auto"/>
          <w:sz w:val="32"/>
          <w:szCs w:val="32"/>
        </w:rPr>
        <w:t>1. 准备阶段：成立绩效评价工作小组，明确小组成员职责分工；制定绩效评价工作方案，确定评价指标体系、评价方法和评价标准。</w:t>
      </w:r>
    </w:p>
    <w:p w14:paraId="28657CCE">
      <w:pPr>
        <w:ind w:firstLine="640" w:firstLineChars="200"/>
        <w:rPr>
          <w:rFonts w:hint="eastAsia" w:eastAsia="仿宋_GB2312"/>
          <w:color w:val="auto"/>
          <w:sz w:val="32"/>
          <w:szCs w:val="32"/>
        </w:rPr>
      </w:pPr>
      <w:r>
        <w:rPr>
          <w:rFonts w:hint="eastAsia" w:eastAsia="仿宋_GB2312"/>
          <w:color w:val="auto"/>
          <w:sz w:val="32"/>
          <w:szCs w:val="32"/>
        </w:rPr>
        <w:t>2. 实施阶段：通过实地查看，对项目资金使用情况进行详细核查，确保资金使用合规、合理。</w:t>
      </w:r>
    </w:p>
    <w:p w14:paraId="50FBC072">
      <w:pPr>
        <w:ind w:firstLine="640" w:firstLineChars="200"/>
        <w:rPr>
          <w:rFonts w:hint="default"/>
          <w:lang w:val="en-US" w:eastAsia="zh-CN"/>
        </w:rPr>
      </w:pPr>
      <w:r>
        <w:rPr>
          <w:rFonts w:hint="eastAsia" w:eastAsia="仿宋_GB2312"/>
          <w:color w:val="auto"/>
          <w:sz w:val="32"/>
          <w:szCs w:val="32"/>
        </w:rPr>
        <w:t>3. 总结阶段：对收集到的资料进行整理、分析和汇总，对照评价指标体系进行评分；撰写绩效自评报告，总结项目取得的成效，分析存在的问题，提出改进建议和措施。</w:t>
      </w:r>
    </w:p>
    <w:p w14:paraId="676B6F5C">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rPr>
        <w:t>二、项目资金申报及使用情况</w:t>
      </w:r>
    </w:p>
    <w:p w14:paraId="402B722E">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14:paraId="2D8CD473">
      <w:pPr>
        <w:adjustRightInd w:val="0"/>
        <w:snapToGrid w:val="0"/>
        <w:spacing w:line="600" w:lineRule="exact"/>
        <w:ind w:firstLine="640" w:firstLineChars="200"/>
        <w:rPr>
          <w:rFonts w:hint="eastAsia" w:eastAsia="仿宋_GB2312"/>
          <w:color w:val="auto"/>
          <w:sz w:val="32"/>
          <w:szCs w:val="32"/>
        </w:rPr>
      </w:pPr>
      <w:r>
        <w:rPr>
          <w:rFonts w:hint="eastAsia" w:eastAsia="仿宋_GB2312"/>
          <w:color w:val="auto"/>
          <w:sz w:val="32"/>
          <w:szCs w:val="32"/>
        </w:rPr>
        <w:t>2024年5月</w:t>
      </w:r>
      <w:r>
        <w:rPr>
          <w:rFonts w:hint="eastAsia" w:eastAsia="仿宋_GB2312"/>
          <w:color w:val="auto"/>
          <w:sz w:val="32"/>
          <w:szCs w:val="32"/>
          <w:lang w:val="en-US" w:eastAsia="zh-CN"/>
        </w:rPr>
        <w:t>中旬</w:t>
      </w:r>
      <w:r>
        <w:rPr>
          <w:rFonts w:hint="eastAsia" w:eastAsia="仿宋_GB2312"/>
          <w:color w:val="auto"/>
          <w:sz w:val="32"/>
          <w:szCs w:val="32"/>
        </w:rPr>
        <w:t>，盐边县供销合作社联合社向县政府上报《关于解决重点项目推进专项经费的请示》，请求县政府解决重点项目推进专项经费8.95万元。</w:t>
      </w:r>
    </w:p>
    <w:p w14:paraId="2B1BBBCC">
      <w:pPr>
        <w:adjustRightInd w:val="0"/>
        <w:snapToGrid w:val="0"/>
        <w:spacing w:line="600" w:lineRule="exact"/>
        <w:ind w:firstLine="643" w:firstLineChars="200"/>
        <w:rPr>
          <w:rFonts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（二）资金计划、到位及使用情况。</w:t>
      </w:r>
    </w:p>
    <w:p w14:paraId="79F90C93">
      <w:pPr>
        <w:numPr>
          <w:ilvl w:val="0"/>
          <w:numId w:val="0"/>
        </w:numPr>
        <w:adjustRightInd w:val="0"/>
        <w:snapToGrid w:val="0"/>
        <w:spacing w:line="60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1.资金计划。计划将申请到的重点项目推进专项经费8.95万元用于供销城乡经营服务体系建设、供销为农服务综合体建设以及蓝莓种植这3个项目的工作经费。</w:t>
      </w:r>
    </w:p>
    <w:p w14:paraId="377DD208">
      <w:pPr>
        <w:numPr>
          <w:ilvl w:val="0"/>
          <w:numId w:val="0"/>
        </w:numPr>
        <w:adjustRightInd w:val="0"/>
        <w:snapToGrid w:val="0"/>
        <w:spacing w:line="60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2.资金到位。经请示县政府2024年实际到账8.95元。</w:t>
      </w:r>
    </w:p>
    <w:p w14:paraId="4FAF64C2">
      <w:pPr>
        <w:numPr>
          <w:ilvl w:val="0"/>
          <w:numId w:val="0"/>
        </w:num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3.资金使用。用于供销城乡经营服务体系建设、供销为农服务综合体建设以及蓝莓种植这3各项目办公经费、资料费。</w:t>
      </w:r>
      <w:r>
        <w:rPr>
          <w:rFonts w:hint="eastAsia" w:ascii="仿宋_GB2312" w:hAnsi="仿宋_GB2312" w:eastAsia="仿宋_GB2312" w:cs="仿宋_GB2312"/>
          <w:sz w:val="32"/>
          <w:szCs w:val="32"/>
          <w:lang w:val="en-US" w:eastAsia="zh-CN"/>
        </w:rPr>
        <w:t xml:space="preserve"> </w:t>
      </w:r>
    </w:p>
    <w:p w14:paraId="547283C1">
      <w:pPr>
        <w:numPr>
          <w:ilvl w:val="0"/>
          <w:numId w:val="0"/>
        </w:numPr>
        <w:adjustRightInd w:val="0"/>
        <w:snapToGrid w:val="0"/>
        <w:spacing w:line="600" w:lineRule="exact"/>
        <w:ind w:firstLine="643" w:firstLineChars="20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（三）项目财务管理情况。</w:t>
      </w:r>
    </w:p>
    <w:p w14:paraId="07372F39">
      <w:pPr>
        <w:adjustRightInd w:val="0"/>
        <w:snapToGrid w:val="0"/>
        <w:spacing w:line="600" w:lineRule="exact"/>
        <w:ind w:firstLine="720"/>
        <w:rPr>
          <w:rFonts w:hint="eastAsia" w:eastAsia="仿宋_GB2312"/>
          <w:color w:val="auto"/>
          <w:sz w:val="32"/>
          <w:szCs w:val="32"/>
        </w:rPr>
      </w:pPr>
      <w:r>
        <w:rPr>
          <w:rFonts w:hint="eastAsia" w:eastAsia="仿宋_GB2312"/>
          <w:color w:val="auto"/>
          <w:sz w:val="32"/>
          <w:szCs w:val="32"/>
        </w:rPr>
        <w:t>该3个项目额外的办公经费和资料费，实施单位财务管理制度健全，严格执行财务管理制度，会计核算规范。</w:t>
      </w:r>
    </w:p>
    <w:p w14:paraId="29B3045E">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rPr>
        <w:t>三、项目实施及管理情况</w:t>
      </w:r>
    </w:p>
    <w:p w14:paraId="69D14BCB">
      <w:pPr>
        <w:numPr>
          <w:ilvl w:val="0"/>
          <w:numId w:val="0"/>
        </w:numPr>
        <w:spacing w:line="560" w:lineRule="exact"/>
        <w:ind w:firstLine="640" w:firstLineChars="200"/>
        <w:rPr>
          <w:rFonts w:hint="eastAsia" w:ascii="仿宋_GB2312" w:hAnsi="宋体" w:eastAsia="仿宋_GB2312"/>
          <w:b w:val="0"/>
          <w:bCs w:val="0"/>
          <w:sz w:val="32"/>
          <w:szCs w:val="32"/>
          <w:lang w:eastAsia="zh-CN"/>
        </w:rPr>
      </w:pPr>
      <w:r>
        <w:rPr>
          <w:rFonts w:hint="eastAsia" w:ascii="仿宋_GB2312" w:hAnsi="宋体" w:eastAsia="仿宋_GB2312"/>
          <w:b w:val="0"/>
          <w:bCs w:val="0"/>
          <w:sz w:val="32"/>
          <w:szCs w:val="32"/>
          <w:lang w:eastAsia="zh-CN"/>
        </w:rPr>
        <w:t>通过供销城乡经营服务体系建设、供销为农服务综合体建设以及蓝莓种植等3个项目建设额外的办公经费和资料费到位，改善办公设备条件、提升办公效率等方面取得了显著成效，资金使用合理合规，流程规范有序，达到了预期的绩效目标。</w:t>
      </w:r>
    </w:p>
    <w:p w14:paraId="58394B82">
      <w:pPr>
        <w:adjustRightInd w:val="0"/>
        <w:snapToGrid w:val="0"/>
        <w:spacing w:line="600" w:lineRule="exact"/>
        <w:ind w:firstLine="720"/>
        <w:rPr>
          <w:rFonts w:ascii="黑体" w:hAnsi="黑体" w:eastAsia="黑体" w:cs="黑体"/>
          <w:sz w:val="32"/>
          <w:szCs w:val="32"/>
          <w:lang w:val="zh-CN"/>
        </w:rPr>
      </w:pPr>
      <w:r>
        <w:rPr>
          <w:rFonts w:hint="eastAsia" w:ascii="黑体" w:hAnsi="黑体" w:eastAsia="黑体" w:cs="黑体"/>
          <w:sz w:val="32"/>
          <w:szCs w:val="32"/>
        </w:rPr>
        <w:t>四、项目绩效情况</w:t>
      </w:r>
      <w:r>
        <w:rPr>
          <w:rFonts w:hint="eastAsia" w:ascii="黑体" w:hAnsi="黑体" w:eastAsia="黑体" w:cs="黑体"/>
          <w:sz w:val="32"/>
          <w:szCs w:val="32"/>
          <w:lang w:val="zh-CN"/>
        </w:rPr>
        <w:tab/>
      </w:r>
    </w:p>
    <w:p w14:paraId="54B35ECE">
      <w:pPr>
        <w:numPr>
          <w:ilvl w:val="0"/>
          <w:numId w:val="0"/>
        </w:numPr>
        <w:spacing w:line="560" w:lineRule="exact"/>
        <w:ind w:firstLine="640" w:firstLineChars="200"/>
        <w:rPr>
          <w:rFonts w:hint="default" w:ascii="仿宋_GB2312" w:hAnsi="宋体" w:eastAsia="仿宋_GB2312" w:cs="Times New Roman"/>
          <w:b w:val="0"/>
          <w:bCs w:val="0"/>
          <w:sz w:val="32"/>
          <w:szCs w:val="32"/>
          <w:lang w:eastAsia="zh-CN"/>
        </w:rPr>
      </w:pPr>
      <w:r>
        <w:rPr>
          <w:rFonts w:hint="default" w:ascii="仿宋_GB2312" w:hAnsi="宋体" w:eastAsia="仿宋_GB2312" w:cs="Times New Roman"/>
          <w:b w:val="0"/>
          <w:bCs w:val="0"/>
          <w:sz w:val="32"/>
          <w:szCs w:val="32"/>
          <w:lang w:eastAsia="zh-CN"/>
        </w:rPr>
        <w:t>通过办公经费和资料费到位，供销城乡经营服务体系建设、供销为农服务综合体建设以及蓝莓种植等3个项目工作效率得到显著提升，有效提高了员工的工作积极性。同时也为供销社更好地服务“三农”、开展业务工作提供了有力支持，产生了良好的社会效益。</w:t>
      </w:r>
    </w:p>
    <w:p w14:paraId="7263C12A">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rPr>
        <w:t>五、评价结论及建议</w:t>
      </w:r>
    </w:p>
    <w:p w14:paraId="64790654">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（一）评价结论。</w:t>
      </w:r>
    </w:p>
    <w:p w14:paraId="5007D79A">
      <w:pPr>
        <w:adjustRightInd w:val="0"/>
        <w:snapToGrid w:val="0"/>
        <w:spacing w:line="600" w:lineRule="exact"/>
        <w:ind w:firstLine="720"/>
        <w:rPr>
          <w:rFonts w:hint="default" w:ascii="Times New Roman" w:hAnsi="Times New Roman" w:cs="Times New Roman"/>
          <w:szCs w:val="32"/>
        </w:rPr>
      </w:pPr>
      <w:r>
        <w:rPr>
          <w:rFonts w:hint="eastAsia" w:ascii="仿宋_GB2312" w:hAnsi="仿宋_GB2312" w:eastAsia="仿宋_GB2312" w:cs="仿宋_GB2312"/>
          <w:sz w:val="32"/>
          <w:szCs w:val="32"/>
        </w:rPr>
        <w:t xml:space="preserve"> </w:t>
      </w:r>
      <w:r>
        <w:rPr>
          <w:rFonts w:hint="default" w:ascii="仿宋_GB2312" w:hAnsi="仿宋_GB2312" w:eastAsia="仿宋_GB2312" w:cs="仿宋_GB2312"/>
          <w:sz w:val="32"/>
          <w:szCs w:val="32"/>
          <w:lang w:val="en-US" w:eastAsia="zh-CN"/>
        </w:rPr>
        <w:t>经综合评价，县供销社推进重点项目工作经费绩效评价得分为100分，评价等级为“优秀”。项目在改善办公条件、提升办公效率等方面取得了显著成效，资金使用合理合规，流程规范有序，达到了预期的绩效目标。</w:t>
      </w:r>
    </w:p>
    <w:p w14:paraId="0B972855">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（二）存在的问题。</w:t>
      </w:r>
    </w:p>
    <w:p w14:paraId="7D4BF7BF">
      <w:pPr>
        <w:adjustRightInd w:val="0"/>
        <w:snapToGrid w:val="0"/>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lang w:val="zh-CN"/>
        </w:rPr>
        <w:tab/>
      </w:r>
    </w:p>
    <w:p w14:paraId="2A312558">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（三）相关建议。</w:t>
      </w:r>
    </w:p>
    <w:p w14:paraId="6D006FB7">
      <w:pPr>
        <w:spacing w:line="578" w:lineRule="exact"/>
        <w:ind w:firstLine="640"/>
        <w:rPr>
          <w:rFonts w:hint="eastAsia" w:eastAsia="仿宋_GB2312" w:cs="仿宋_GB2312"/>
          <w:color w:val="auto"/>
          <w:kern w:val="0"/>
          <w:sz w:val="32"/>
          <w:szCs w:val="32"/>
          <w:lang w:eastAsia="zh-CN"/>
        </w:rPr>
      </w:pPr>
      <w:r>
        <w:rPr>
          <w:rFonts w:hint="eastAsia" w:ascii="仿宋_GB2312" w:hAnsi="仿宋_GB2312" w:eastAsia="仿宋_GB2312" w:cs="仿宋_GB2312"/>
          <w:color w:val="auto"/>
          <w:sz w:val="32"/>
          <w:szCs w:val="32"/>
          <w:lang w:val="en-US" w:eastAsia="zh-CN"/>
        </w:rPr>
        <w:t>无</w:t>
      </w:r>
    </w:p>
    <w:p w14:paraId="08ED2A27">
      <w:pPr>
        <w:spacing w:line="578" w:lineRule="exact"/>
        <w:ind w:firstLine="640"/>
        <w:rPr>
          <w:rFonts w:hint="eastAsia" w:eastAsia="仿宋_GB2312" w:cs="仿宋_GB2312"/>
          <w:kern w:val="0"/>
          <w:sz w:val="32"/>
          <w:szCs w:val="32"/>
        </w:rPr>
      </w:pPr>
    </w:p>
    <w:p w14:paraId="56563CC5">
      <w:pPr>
        <w:pStyle w:val="5"/>
        <w:spacing w:before="93"/>
        <w:rPr>
          <w:rFonts w:hint="eastAsia" w:ascii="Times New Roman" w:eastAsia="黑体" w:cs="黑体"/>
          <w:sz w:val="32"/>
          <w:szCs w:val="32"/>
          <w:lang w:eastAsia="zh-CN"/>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lang w:val="en-US" w:eastAsia="zh-CN"/>
        </w:rPr>
        <w:t>7</w:t>
      </w:r>
    </w:p>
    <w:p w14:paraId="1FC91EC3">
      <w:pPr>
        <w:pStyle w:val="35"/>
        <w:spacing w:line="578" w:lineRule="exact"/>
        <w:ind w:firstLine="640"/>
        <w:jc w:val="center"/>
        <w:rPr>
          <w:rFonts w:hint="eastAsia" w:ascii="Times New Roman" w:hAnsi="Times New Roman" w:eastAsia="方正小标宋简体" w:cs="方正小标宋简体"/>
          <w:color w:val="auto"/>
          <w:kern w:val="2"/>
          <w:sz w:val="44"/>
          <w:szCs w:val="44"/>
          <w:lang w:val="en-US"/>
        </w:rPr>
      </w:pPr>
    </w:p>
    <w:p w14:paraId="7BFE0760">
      <w:pPr>
        <w:pStyle w:val="35"/>
        <w:spacing w:line="578" w:lineRule="exact"/>
        <w:ind w:firstLine="640"/>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2023年财政衔接推进乡村振兴项目</w:t>
      </w:r>
    </w:p>
    <w:p w14:paraId="7ADAA777">
      <w:pPr>
        <w:pStyle w:val="35"/>
        <w:spacing w:line="578" w:lineRule="exact"/>
        <w:ind w:firstLine="640"/>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（支持基层供销社示范社发展）补助资金</w:t>
      </w:r>
      <w:r>
        <w:rPr>
          <w:rFonts w:hint="eastAsia" w:ascii="Times New Roman" w:hAnsi="Times New Roman" w:eastAsia="方正小标宋简体" w:cs="方正小标宋简体"/>
          <w:color w:val="auto"/>
          <w:kern w:val="2"/>
          <w:sz w:val="44"/>
          <w:szCs w:val="44"/>
          <w:lang w:val="en-US" w:eastAsia="zh-CN"/>
        </w:rPr>
        <w:t>项目</w:t>
      </w:r>
      <w:r>
        <w:rPr>
          <w:rFonts w:hint="eastAsia" w:ascii="Times New Roman" w:hAnsi="Times New Roman" w:eastAsia="方正小标宋简体" w:cs="方正小标宋简体"/>
          <w:color w:val="auto"/>
          <w:kern w:val="2"/>
          <w:sz w:val="44"/>
          <w:szCs w:val="44"/>
          <w:lang w:val="en-US"/>
        </w:rPr>
        <w:t>绩效自评报告</w:t>
      </w:r>
    </w:p>
    <w:p w14:paraId="2362DFB4">
      <w:pPr>
        <w:pStyle w:val="35"/>
        <w:spacing w:line="578" w:lineRule="exact"/>
        <w:ind w:firstLine="640"/>
        <w:jc w:val="center"/>
        <w:rPr>
          <w:rFonts w:hint="eastAsia" w:ascii="Times New Roman" w:hAnsi="Times New Roman" w:eastAsia="方正小标宋简体" w:cs="方正小标宋简体"/>
          <w:color w:val="auto"/>
          <w:kern w:val="2"/>
          <w:sz w:val="44"/>
          <w:szCs w:val="44"/>
          <w:lang w:val="en-US"/>
        </w:rPr>
      </w:pPr>
    </w:p>
    <w:p w14:paraId="796A3F99">
      <w:pPr>
        <w:adjustRightInd w:val="0"/>
        <w:snapToGrid w:val="0"/>
        <w:spacing w:line="600" w:lineRule="exact"/>
        <w:ind w:firstLine="720"/>
        <w:rPr>
          <w:rFonts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14:paraId="7353CD33">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（一）项目基本情况。</w:t>
      </w:r>
    </w:p>
    <w:p w14:paraId="3E0C7542">
      <w:pPr>
        <w:adjustRightInd w:val="0"/>
        <w:snapToGrid w:val="0"/>
        <w:spacing w:line="60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1.全县已建设20个基层社示范社，县供销社作为理事会、监事会，管理基层社示范社运行、发展等。</w:t>
      </w:r>
    </w:p>
    <w:p w14:paraId="4EA194CA">
      <w:pPr>
        <w:adjustRightInd w:val="0"/>
        <w:snapToGrid w:val="0"/>
        <w:spacing w:line="60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2.按照攀枝花市供销合作社联合社《攀枝花市供销合作社联合社关于做好2022年度基层供销社建设工作的通知》（攀供〔2022〕20号）通知要求，规范建设基层社示范社。2024年，新建3个基层供销社。</w:t>
      </w:r>
    </w:p>
    <w:p w14:paraId="473657BC">
      <w:pPr>
        <w:adjustRightInd w:val="0"/>
        <w:snapToGrid w:val="0"/>
        <w:spacing w:line="60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按照建设内容及标准，经营主导方面，每个基层社有固定产，县供销社持股达到34﹪以上。服务功能方面，围绕农业生产产前、产中、产后提供服务，开展农业生产资料销售，拓展服务功能，开展线上线下营销业务。紧密联结农民，以农民为主体，农民社员不低于100人，有三个基层社组织领办农民专业合作社。在行业管理方面，能遵守供销合作社章程和接受县级供销社的领导；运行管理比较规范，实行独立核算、自主经营、自负盈亏。建立了规范的社员代表大会、理事会、监事会制度的内部管理制度，规范使用“中国供销合作社”标识。</w:t>
      </w:r>
    </w:p>
    <w:p w14:paraId="5724181D">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（二）项目绩效目标。</w:t>
      </w:r>
    </w:p>
    <w:p w14:paraId="7B0EBB23">
      <w:pPr>
        <w:adjustRightInd w:val="0"/>
        <w:snapToGrid w:val="0"/>
        <w:spacing w:line="60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1.项目主要内容。按照攀枝花市供销合作社联合社《攀枝花市供销合作社联合社关于做好2022年度基层供销社建设工作的通知》（攀供〔2022〕20号）通知要求，规范建设基层社示范社3个。</w:t>
      </w:r>
    </w:p>
    <w:p w14:paraId="2E6F7B0B">
      <w:pPr>
        <w:adjustRightInd w:val="0"/>
        <w:snapToGrid w:val="0"/>
        <w:spacing w:line="60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2.项目应实现的具体绩效目标。2024年底完成3个基层示范社创建任务，在申报实施方案中，经过实地考察调研，红格镇联合村、红格镇和爱村、桐子林镇清源社区产业基础好、群众居住相对集中、村社干部积极性较高，有固定经营场所，基本符合建设要求，项目申报内容与具体实施内容相符，申报目标合理可行。</w:t>
      </w:r>
    </w:p>
    <w:p w14:paraId="46511112">
      <w:pPr>
        <w:adjustRightInd w:val="0"/>
        <w:snapToGrid w:val="0"/>
        <w:spacing w:line="600" w:lineRule="exact"/>
        <w:ind w:firstLine="640" w:firstLineChars="200"/>
        <w:rPr>
          <w:rFonts w:hint="eastAsia" w:eastAsia="仿宋_GB2312"/>
          <w:color w:val="auto"/>
          <w:sz w:val="32"/>
          <w:szCs w:val="32"/>
          <w:lang w:val="en-US" w:eastAsia="zh-CN"/>
        </w:rPr>
      </w:pPr>
      <w:r>
        <w:rPr>
          <w:rFonts w:hint="eastAsia" w:eastAsia="仿宋_GB2312"/>
          <w:color w:val="auto"/>
          <w:sz w:val="32"/>
          <w:szCs w:val="32"/>
          <w:lang w:val="en-US" w:eastAsia="zh-CN"/>
        </w:rPr>
        <w:t>3.基层社示范社按照建设规范和要求，对应验收条件，完成建设，符合申报内容和申报目标。</w:t>
      </w:r>
    </w:p>
    <w:p w14:paraId="6C8D73BB">
      <w:pPr>
        <w:adjustRightInd w:val="0"/>
        <w:snapToGrid w:val="0"/>
        <w:spacing w:line="600" w:lineRule="exact"/>
        <w:ind w:firstLine="720"/>
        <w:rPr>
          <w:rFonts w:hint="eastAsia" w:ascii="仿宋_GB2312" w:hAnsi="仿宋_GB2312" w:eastAsia="仿宋_GB2312" w:cs="仿宋_GB2312"/>
          <w:b/>
          <w:sz w:val="32"/>
          <w:szCs w:val="32"/>
          <w:lang w:val="zh-CN" w:eastAsia="zh-CN"/>
        </w:rPr>
      </w:pPr>
      <w:r>
        <w:rPr>
          <w:rFonts w:hint="eastAsia" w:ascii="仿宋_GB2312" w:hAnsi="仿宋_GB2312" w:eastAsia="仿宋_GB2312" w:cs="仿宋_GB2312"/>
          <w:b/>
          <w:sz w:val="32"/>
          <w:szCs w:val="32"/>
          <w:lang w:val="zh-CN" w:eastAsia="zh-CN"/>
        </w:rPr>
        <w:t>（</w:t>
      </w:r>
      <w:r>
        <w:rPr>
          <w:rFonts w:hint="eastAsia" w:ascii="仿宋_GB2312" w:hAnsi="仿宋_GB2312" w:eastAsia="仿宋_GB2312" w:cs="仿宋_GB2312"/>
          <w:b/>
          <w:sz w:val="32"/>
          <w:szCs w:val="32"/>
          <w:lang w:val="en-US" w:eastAsia="zh-CN"/>
        </w:rPr>
        <w:t>三）</w:t>
      </w:r>
      <w:r>
        <w:rPr>
          <w:rFonts w:hint="eastAsia" w:ascii="仿宋_GB2312" w:hAnsi="仿宋_GB2312" w:eastAsia="仿宋_GB2312" w:cs="仿宋_GB2312"/>
          <w:b/>
          <w:sz w:val="32"/>
          <w:szCs w:val="32"/>
          <w:lang w:val="zh-CN" w:eastAsia="zh-CN"/>
        </w:rPr>
        <w:t>项目自评步骤及方法</w:t>
      </w:r>
    </w:p>
    <w:p w14:paraId="051D135B">
      <w:pPr>
        <w:adjustRightInd w:val="0"/>
        <w:snapToGrid w:val="0"/>
        <w:spacing w:line="600" w:lineRule="exact"/>
        <w:ind w:firstLine="640" w:firstLineChars="200"/>
        <w:rPr>
          <w:rFonts w:hint="eastAsia" w:eastAsia="仿宋_GB2312"/>
          <w:color w:val="auto"/>
          <w:sz w:val="32"/>
          <w:szCs w:val="32"/>
        </w:rPr>
      </w:pPr>
      <w:r>
        <w:rPr>
          <w:rFonts w:hint="eastAsia" w:eastAsia="仿宋_GB2312"/>
          <w:color w:val="auto"/>
          <w:sz w:val="32"/>
          <w:szCs w:val="32"/>
          <w:lang w:val="zh-CN"/>
        </w:rPr>
        <w:t>经现场检查，各建设项目均严格按照基层供销社建设内容和标准完成，均开展经营业务，验收合格。</w:t>
      </w:r>
    </w:p>
    <w:p w14:paraId="5E5C4436">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rPr>
        <w:t>二、项目资金申报及使用情况</w:t>
      </w:r>
    </w:p>
    <w:p w14:paraId="5E7E9A06">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14:paraId="0A0453B2">
      <w:pPr>
        <w:adjustRightInd w:val="0"/>
        <w:snapToGrid w:val="0"/>
        <w:spacing w:line="600" w:lineRule="exact"/>
        <w:ind w:firstLine="640" w:firstLineChars="200"/>
        <w:rPr>
          <w:rFonts w:hint="eastAsia" w:eastAsia="仿宋_GB2312"/>
          <w:color w:val="auto"/>
          <w:sz w:val="32"/>
          <w:szCs w:val="32"/>
        </w:rPr>
      </w:pPr>
      <w:r>
        <w:rPr>
          <w:rFonts w:hint="eastAsia" w:eastAsia="仿宋_GB2312"/>
          <w:color w:val="auto"/>
          <w:sz w:val="32"/>
          <w:szCs w:val="32"/>
        </w:rPr>
        <w:t>基层社建设内容、建设时间及申报目标符合省供销社、市供销社以及盐边县2023年度财政衔接推进乡村振兴补助资金建设要求。</w:t>
      </w:r>
    </w:p>
    <w:p w14:paraId="0321ED25">
      <w:pPr>
        <w:adjustRightInd w:val="0"/>
        <w:snapToGrid w:val="0"/>
        <w:spacing w:line="600" w:lineRule="exact"/>
        <w:ind w:firstLine="643" w:firstLineChars="200"/>
        <w:rPr>
          <w:rFonts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（二）资金计划、到位及使用情况。</w:t>
      </w:r>
    </w:p>
    <w:p w14:paraId="3CCD5281">
      <w:pPr>
        <w:numPr>
          <w:ilvl w:val="0"/>
          <w:numId w:val="0"/>
        </w:numPr>
        <w:adjustRightInd w:val="0"/>
        <w:snapToGrid w:val="0"/>
        <w:spacing w:line="60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1.资金计划。计划将申请红格镇联合村、和爱村和桐子林镇清源社区3个基层社的入股资金</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lang w:val="zh-CN"/>
        </w:rPr>
        <w:t>万元，用于红格镇联合村、和爱村和桐子林镇清源社区3个基层社的入股</w:t>
      </w:r>
      <w:r>
        <w:rPr>
          <w:rFonts w:hint="eastAsia" w:ascii="仿宋_GB2312" w:hAnsi="仿宋_GB2312" w:eastAsia="仿宋_GB2312" w:cs="仿宋_GB2312"/>
          <w:sz w:val="32"/>
          <w:szCs w:val="32"/>
          <w:lang w:val="en-US" w:eastAsia="zh-CN"/>
        </w:rPr>
        <w:t>资金</w:t>
      </w:r>
      <w:r>
        <w:rPr>
          <w:rFonts w:hint="eastAsia" w:ascii="仿宋_GB2312" w:hAnsi="仿宋_GB2312" w:eastAsia="仿宋_GB2312" w:cs="仿宋_GB2312"/>
          <w:sz w:val="32"/>
          <w:szCs w:val="32"/>
          <w:lang w:val="zh-CN"/>
        </w:rPr>
        <w:t>。</w:t>
      </w:r>
    </w:p>
    <w:p w14:paraId="084D5C9A">
      <w:pPr>
        <w:numPr>
          <w:ilvl w:val="0"/>
          <w:numId w:val="0"/>
        </w:numPr>
        <w:adjustRightInd w:val="0"/>
        <w:snapToGrid w:val="0"/>
        <w:spacing w:line="60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2.资金到位。经请示县政府2024年实际到账</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lang w:val="zh-CN"/>
        </w:rPr>
        <w:t>元。</w:t>
      </w:r>
    </w:p>
    <w:p w14:paraId="18CCB344">
      <w:pPr>
        <w:numPr>
          <w:ilvl w:val="0"/>
          <w:numId w:val="0"/>
        </w:num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3.资金使用。用于</w:t>
      </w:r>
      <w:r>
        <w:rPr>
          <w:rFonts w:hint="eastAsia" w:ascii="仿宋_GB2312" w:hAnsi="仿宋_GB2312" w:eastAsia="仿宋_GB2312" w:cs="仿宋_GB2312"/>
          <w:sz w:val="32"/>
          <w:szCs w:val="32"/>
          <w:lang w:val="en-US" w:eastAsia="zh-CN"/>
        </w:rPr>
        <w:t>红格镇联合村、和爱村和桐子林镇清源社区</w:t>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lang w:val="en-US" w:eastAsia="zh-CN"/>
        </w:rPr>
        <w:t>个基层社的入股资金，我们在实际支付范围、支付依据与预算相符，支付标准严格按照财政相关文件要求执行，资金使用规范。在2024年底，此项目资金支付率达到100%。</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 xml:space="preserve"> </w:t>
      </w:r>
    </w:p>
    <w:p w14:paraId="5B7802B0">
      <w:pPr>
        <w:numPr>
          <w:ilvl w:val="0"/>
          <w:numId w:val="0"/>
        </w:numPr>
        <w:adjustRightInd w:val="0"/>
        <w:snapToGrid w:val="0"/>
        <w:spacing w:line="600" w:lineRule="exact"/>
        <w:ind w:firstLine="643" w:firstLineChars="20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（三）项目财务管理情况。</w:t>
      </w:r>
    </w:p>
    <w:p w14:paraId="51F7AC9C">
      <w:pPr>
        <w:adjustRightInd w:val="0"/>
        <w:snapToGrid w:val="0"/>
        <w:spacing w:line="600" w:lineRule="exact"/>
        <w:ind w:firstLine="720"/>
        <w:rPr>
          <w:rFonts w:hint="eastAsia" w:eastAsia="仿宋_GB2312"/>
          <w:color w:val="auto"/>
          <w:sz w:val="32"/>
          <w:szCs w:val="32"/>
        </w:rPr>
      </w:pPr>
      <w:r>
        <w:rPr>
          <w:rFonts w:hint="eastAsia" w:eastAsia="仿宋_GB2312"/>
          <w:color w:val="auto"/>
          <w:sz w:val="32"/>
          <w:szCs w:val="32"/>
        </w:rPr>
        <w:t>项目实施单位财务管理制度健全，并按照财务管理制度严格执行，规范会计核算。</w:t>
      </w:r>
    </w:p>
    <w:p w14:paraId="1572C894">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rPr>
        <w:t>三、项目实施及管理情况</w:t>
      </w:r>
    </w:p>
    <w:p w14:paraId="080A6051">
      <w:pPr>
        <w:adjustRightInd w:val="0"/>
        <w:snapToGrid w:val="0"/>
        <w:spacing w:line="600" w:lineRule="exact"/>
        <w:ind w:firstLine="720"/>
        <w:rPr>
          <w:rFonts w:hint="eastAsia" w:ascii="仿宋_GB2312" w:hAnsi="宋体" w:eastAsia="仿宋_GB2312"/>
          <w:b w:val="0"/>
          <w:bCs w:val="0"/>
          <w:sz w:val="32"/>
          <w:szCs w:val="32"/>
          <w:lang w:eastAsia="zh-CN"/>
        </w:rPr>
      </w:pPr>
      <w:r>
        <w:rPr>
          <w:rFonts w:hint="eastAsia" w:ascii="仿宋_GB2312" w:hAnsi="宋体" w:eastAsia="仿宋_GB2312"/>
          <w:b w:val="0"/>
          <w:bCs w:val="0"/>
          <w:sz w:val="32"/>
          <w:szCs w:val="32"/>
          <w:lang w:eastAsia="zh-CN"/>
        </w:rPr>
        <w:t>本项目在资金使用上，严格按照2022年基层供销社示范社奖补指引的要求使用，专账专户，专款专用，符合相关政策规定。根据项目建设进程，制定资金投资计划，并在项目实施过程中，定期向市供销社汇报资金使用情况，接受有关部门的监管。项目实施单位严格执行财务管理制度，健全账务，会计核算较规范。</w:t>
      </w:r>
    </w:p>
    <w:p w14:paraId="7E6A9611">
      <w:pPr>
        <w:adjustRightInd w:val="0"/>
        <w:snapToGrid w:val="0"/>
        <w:spacing w:line="600" w:lineRule="exact"/>
        <w:ind w:firstLine="720"/>
        <w:rPr>
          <w:rFonts w:hint="eastAsia" w:ascii="仿宋_GB2312" w:hAnsi="宋体" w:eastAsia="仿宋_GB2312"/>
          <w:b w:val="0"/>
          <w:bCs w:val="0"/>
          <w:sz w:val="32"/>
          <w:szCs w:val="32"/>
          <w:lang w:eastAsia="zh-CN"/>
        </w:rPr>
      </w:pPr>
      <w:r>
        <w:rPr>
          <w:rFonts w:hint="eastAsia" w:ascii="仿宋_GB2312" w:hAnsi="宋体" w:eastAsia="仿宋_GB2312"/>
          <w:b w:val="0"/>
          <w:bCs w:val="0"/>
          <w:sz w:val="32"/>
          <w:szCs w:val="32"/>
          <w:lang w:val="en-US" w:eastAsia="zh-CN"/>
        </w:rPr>
        <w:t>1.</w:t>
      </w:r>
      <w:r>
        <w:rPr>
          <w:rFonts w:hint="eastAsia" w:ascii="仿宋_GB2312" w:hAnsi="宋体" w:eastAsia="仿宋_GB2312"/>
          <w:b w:val="0"/>
          <w:bCs w:val="0"/>
          <w:sz w:val="32"/>
          <w:szCs w:val="32"/>
          <w:lang w:eastAsia="zh-CN"/>
        </w:rPr>
        <w:t>加强组织领导。县供销社成立基层示范供销社建设项目领导小组，明确任务分工，纳入年度考核，建立工作台账，强化督查落实。加强同乡（镇）、和村的沟通交流对接，加大对相关村委会的政策支持和工作指导力度，及时向县领导及牵头部门填报工作推进情况，积极协调解决基层供销社建设中的困难和问题。</w:t>
      </w:r>
    </w:p>
    <w:p w14:paraId="6C715558">
      <w:pPr>
        <w:adjustRightInd w:val="0"/>
        <w:snapToGrid w:val="0"/>
        <w:spacing w:line="600" w:lineRule="exact"/>
        <w:ind w:firstLine="720"/>
        <w:rPr>
          <w:rFonts w:hint="eastAsia" w:ascii="仿宋_GB2312" w:hAnsi="宋体" w:eastAsia="仿宋_GB2312"/>
          <w:b w:val="0"/>
          <w:bCs w:val="0"/>
          <w:sz w:val="32"/>
          <w:szCs w:val="32"/>
          <w:lang w:eastAsia="zh-CN"/>
        </w:rPr>
      </w:pPr>
      <w:r>
        <w:rPr>
          <w:rFonts w:hint="eastAsia" w:ascii="仿宋_GB2312" w:hAnsi="宋体" w:eastAsia="仿宋_GB2312"/>
          <w:b w:val="0"/>
          <w:bCs w:val="0"/>
          <w:sz w:val="32"/>
          <w:szCs w:val="32"/>
          <w:lang w:val="en-US" w:eastAsia="zh-CN"/>
        </w:rPr>
        <w:t>2.</w:t>
      </w:r>
      <w:r>
        <w:rPr>
          <w:rFonts w:hint="eastAsia" w:ascii="仿宋_GB2312" w:hAnsi="宋体" w:eastAsia="仿宋_GB2312"/>
          <w:b w:val="0"/>
          <w:bCs w:val="0"/>
          <w:sz w:val="32"/>
          <w:szCs w:val="32"/>
          <w:lang w:eastAsia="zh-CN"/>
        </w:rPr>
        <w:t>健全工作机制。县委、县政府把此项工作列为全县重点任务，为基层示范供销社建设工作提供了组织保障。县供销社制定了《2023年加强基层社建设专项工作方案》，并严格按方案落实到位。建立健全社会代表大会、理事会、监事会“三会”制度，不断提高县社的行业指导能力和统筹服务能力。</w:t>
      </w:r>
    </w:p>
    <w:p w14:paraId="4B85B0FA">
      <w:pPr>
        <w:adjustRightInd w:val="0"/>
        <w:snapToGrid w:val="0"/>
        <w:spacing w:line="600" w:lineRule="exact"/>
        <w:ind w:firstLine="720"/>
        <w:rPr>
          <w:rFonts w:hint="eastAsia" w:ascii="仿宋_GB2312" w:hAnsi="宋体" w:eastAsia="仿宋_GB2312"/>
          <w:b w:val="0"/>
          <w:bCs w:val="0"/>
          <w:sz w:val="32"/>
          <w:szCs w:val="32"/>
          <w:lang w:eastAsia="zh-CN"/>
        </w:rPr>
      </w:pPr>
      <w:r>
        <w:rPr>
          <w:rFonts w:hint="eastAsia" w:ascii="仿宋_GB2312" w:hAnsi="宋体" w:eastAsia="仿宋_GB2312"/>
          <w:b w:val="0"/>
          <w:bCs w:val="0"/>
          <w:sz w:val="32"/>
          <w:szCs w:val="32"/>
          <w:lang w:val="en-US" w:eastAsia="zh-CN"/>
        </w:rPr>
        <w:t>3.</w:t>
      </w:r>
      <w:r>
        <w:rPr>
          <w:rFonts w:hint="eastAsia" w:ascii="仿宋_GB2312" w:hAnsi="宋体" w:eastAsia="仿宋_GB2312"/>
          <w:b w:val="0"/>
          <w:bCs w:val="0"/>
          <w:sz w:val="32"/>
          <w:szCs w:val="32"/>
          <w:lang w:eastAsia="zh-CN"/>
        </w:rPr>
        <w:t>加强风险防控。认真做好改革相关政策和文件解读，最大限凝度聚共识，汇聚改革正能量，密切关注和化解乡（镇）、村（社区）撤并后的潜在风险，广泛收集社情民意，加强信息互通、舆情引导，妥善处置有关信访问题和涉稳事件，确保社会大局稳定。</w:t>
      </w:r>
    </w:p>
    <w:p w14:paraId="07BBB927">
      <w:pPr>
        <w:numPr>
          <w:ilvl w:val="0"/>
          <w:numId w:val="0"/>
        </w:numPr>
        <w:adjustRightInd w:val="0"/>
        <w:snapToGrid w:val="0"/>
        <w:spacing w:line="600" w:lineRule="exact"/>
        <w:ind w:firstLine="640" w:firstLineChars="200"/>
        <w:rPr>
          <w:rFonts w:hint="eastAsia" w:ascii="仿宋_GB2312" w:hAnsi="宋体" w:eastAsia="仿宋_GB2312"/>
          <w:b w:val="0"/>
          <w:bCs w:val="0"/>
          <w:sz w:val="32"/>
          <w:szCs w:val="32"/>
          <w:lang w:eastAsia="zh-CN"/>
        </w:rPr>
      </w:pPr>
      <w:r>
        <w:rPr>
          <w:rFonts w:hint="eastAsia" w:ascii="仿宋_GB2312" w:hAnsi="宋体" w:eastAsia="仿宋_GB2312"/>
          <w:b w:val="0"/>
          <w:bCs w:val="0"/>
          <w:sz w:val="32"/>
          <w:szCs w:val="32"/>
          <w:lang w:val="en-US" w:eastAsia="zh-CN"/>
        </w:rPr>
        <w:t>4.</w:t>
      </w:r>
      <w:r>
        <w:rPr>
          <w:rFonts w:hint="eastAsia" w:ascii="仿宋_GB2312" w:hAnsi="宋体" w:eastAsia="仿宋_GB2312"/>
          <w:b w:val="0"/>
          <w:bCs w:val="0"/>
          <w:sz w:val="32"/>
          <w:szCs w:val="32"/>
          <w:lang w:eastAsia="zh-CN"/>
        </w:rPr>
        <w:t>认真组织开展自查验收工作。根据基层示范社提交的验收申请报告和提供的相关资料，县供销社成立了验收工作组，对照验收内容要求的各项具体建设标准逐一开展自查验收，通过验收均达到合格标准，已正常运行。</w:t>
      </w:r>
    </w:p>
    <w:p w14:paraId="0E949021">
      <w:pPr>
        <w:numPr>
          <w:ilvl w:val="0"/>
          <w:numId w:val="0"/>
        </w:numPr>
        <w:adjustRightInd w:val="0"/>
        <w:snapToGrid w:val="0"/>
        <w:spacing w:line="600" w:lineRule="exact"/>
        <w:ind w:left="720" w:leftChars="0"/>
        <w:rPr>
          <w:rFonts w:ascii="黑体" w:hAnsi="黑体" w:eastAsia="黑体" w:cs="黑体"/>
          <w:sz w:val="32"/>
          <w:szCs w:val="32"/>
          <w:lang w:val="zh-CN"/>
        </w:rPr>
      </w:pPr>
      <w:r>
        <w:rPr>
          <w:rFonts w:hint="eastAsia" w:ascii="黑体" w:hAnsi="黑体" w:eastAsia="黑体" w:cs="黑体"/>
          <w:sz w:val="32"/>
          <w:szCs w:val="32"/>
        </w:rPr>
        <w:t>四、项目绩效情况</w:t>
      </w:r>
      <w:r>
        <w:rPr>
          <w:rFonts w:hint="eastAsia" w:ascii="黑体" w:hAnsi="黑体" w:eastAsia="黑体" w:cs="黑体"/>
          <w:sz w:val="32"/>
          <w:szCs w:val="32"/>
          <w:lang w:val="zh-CN"/>
        </w:rPr>
        <w:tab/>
      </w:r>
    </w:p>
    <w:p w14:paraId="3603E3CD">
      <w:pPr>
        <w:adjustRightInd w:val="0"/>
        <w:snapToGrid w:val="0"/>
        <w:spacing w:line="600" w:lineRule="exact"/>
        <w:ind w:firstLine="720"/>
        <w:rPr>
          <w:rFonts w:hint="default" w:ascii="仿宋_GB2312" w:hAnsi="宋体" w:eastAsia="仿宋_GB2312" w:cs="Times New Roman"/>
          <w:b w:val="0"/>
          <w:bCs w:val="0"/>
          <w:kern w:val="2"/>
          <w:sz w:val="32"/>
          <w:szCs w:val="32"/>
          <w:lang w:val="en-US" w:eastAsia="zh-CN" w:bidi="ar-SA"/>
        </w:rPr>
      </w:pPr>
      <w:r>
        <w:rPr>
          <w:rFonts w:hint="default" w:ascii="仿宋_GB2312" w:hAnsi="宋体" w:eastAsia="仿宋_GB2312" w:cs="Times New Roman"/>
          <w:b w:val="0"/>
          <w:bCs w:val="0"/>
          <w:sz w:val="32"/>
          <w:szCs w:val="32"/>
          <w:lang w:eastAsia="zh-CN"/>
        </w:rPr>
        <w:t>2024年12月12日拨付盐边联合供销社入股资金13万元，和爱供销社入股资金2万元，清源供销社入股资金12万元，按照股份占比要求及时间进度完成拨付。</w:t>
      </w:r>
      <w:r>
        <w:rPr>
          <w:rFonts w:hint="default" w:ascii="仿宋_GB2312" w:hAnsi="宋体" w:eastAsia="仿宋_GB2312" w:cs="Times New Roman"/>
          <w:b w:val="0"/>
          <w:bCs w:val="0"/>
          <w:kern w:val="2"/>
          <w:sz w:val="32"/>
          <w:szCs w:val="32"/>
          <w:lang w:val="en-US" w:eastAsia="zh-CN" w:bidi="ar-SA"/>
        </w:rPr>
        <w:t>深化供销合作社综合改革的出发点是为“三农”服务，落脚点也是让与农民得到收益。基层社建设也是其中重要一环，对“三农”工作有重大意义，一是有利于为农提供多样化、便利化、丰富多彩的服务。二是该项目建设，能够解决农产品“买难”、“卖难”的问题。三是发展乡村振兴战略。</w:t>
      </w:r>
    </w:p>
    <w:p w14:paraId="7FA5D9F4">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rPr>
        <w:t>五、评价结论及建议</w:t>
      </w:r>
    </w:p>
    <w:p w14:paraId="2FB97469">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（一）评价结论。</w:t>
      </w:r>
    </w:p>
    <w:p w14:paraId="7FE51686">
      <w:pPr>
        <w:adjustRightInd w:val="0"/>
        <w:snapToGrid w:val="0"/>
        <w:spacing w:line="600" w:lineRule="exact"/>
        <w:ind w:firstLine="720"/>
        <w:rPr>
          <w:rFonts w:hint="default" w:ascii="Times New Roman" w:hAnsi="Times New Roman" w:cs="Times New Roman"/>
          <w:szCs w:val="32"/>
        </w:rPr>
      </w:pPr>
      <w:r>
        <w:rPr>
          <w:rFonts w:hint="eastAsia" w:ascii="仿宋_GB2312" w:hAnsi="仿宋_GB2312" w:eastAsia="仿宋_GB2312" w:cs="仿宋_GB2312"/>
          <w:sz w:val="32"/>
          <w:szCs w:val="32"/>
        </w:rPr>
        <w:t xml:space="preserve"> </w:t>
      </w:r>
      <w:r>
        <w:rPr>
          <w:rFonts w:hint="default" w:ascii="仿宋_GB2312" w:hAnsi="仿宋_GB2312" w:eastAsia="仿宋_GB2312" w:cs="仿宋_GB2312"/>
          <w:sz w:val="32"/>
          <w:szCs w:val="32"/>
          <w:lang w:val="en-US" w:eastAsia="zh-CN"/>
        </w:rPr>
        <w:t>基层社示范社主要以经营农资、百货为主，经营范围仍有所欠缺。</w:t>
      </w:r>
    </w:p>
    <w:p w14:paraId="1208E398">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（二）存在的问题。</w:t>
      </w:r>
    </w:p>
    <w:p w14:paraId="49E2F744">
      <w:pPr>
        <w:adjustRightInd w:val="0"/>
        <w:snapToGrid w:val="0"/>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lang w:val="zh-CN"/>
        </w:rPr>
        <w:tab/>
      </w:r>
    </w:p>
    <w:p w14:paraId="04A1E6BD">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（三）相关建议。</w:t>
      </w:r>
    </w:p>
    <w:p w14:paraId="42D0D436">
      <w:pPr>
        <w:spacing w:line="578" w:lineRule="exac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下一步，将致力于基层供销社高质量发展，加大资金支持力度，通过提升改造，提质基层供销社，扩大经营范围，持续服务“三农”，壮大集体经济。</w:t>
      </w:r>
    </w:p>
    <w:p w14:paraId="58893FD8">
      <w:pPr>
        <w:pStyle w:val="20"/>
        <w:rPr>
          <w:rFonts w:hint="eastAsia" w:ascii="仿宋_GB2312" w:hAnsi="仿宋_GB2312" w:eastAsia="仿宋_GB2312" w:cs="仿宋_GB2312"/>
          <w:color w:val="auto"/>
          <w:sz w:val="32"/>
          <w:szCs w:val="32"/>
          <w:lang w:val="en-US" w:eastAsia="zh-CN"/>
        </w:rPr>
      </w:pPr>
    </w:p>
    <w:p w14:paraId="5C1BDBF5">
      <w:pPr>
        <w:rPr>
          <w:rFonts w:hint="eastAsia" w:ascii="仿宋_GB2312" w:hAnsi="仿宋_GB2312" w:eastAsia="仿宋_GB2312" w:cs="仿宋_GB2312"/>
          <w:color w:val="auto"/>
          <w:sz w:val="32"/>
          <w:szCs w:val="32"/>
          <w:lang w:val="en-US" w:eastAsia="zh-CN"/>
        </w:rPr>
      </w:pPr>
    </w:p>
    <w:p w14:paraId="0B0652F7">
      <w:pPr>
        <w:pStyle w:val="20"/>
        <w:rPr>
          <w:rFonts w:hint="eastAsia"/>
        </w:rPr>
      </w:pPr>
    </w:p>
    <w:p w14:paraId="3CB7EEA6">
      <w:pPr>
        <w:spacing w:line="578" w:lineRule="exact"/>
        <w:ind w:firstLine="640"/>
        <w:rPr>
          <w:rFonts w:hint="eastAsia" w:eastAsia="仿宋_GB2312" w:cs="仿宋_GB2312"/>
          <w:kern w:val="0"/>
          <w:sz w:val="32"/>
          <w:szCs w:val="32"/>
        </w:rPr>
      </w:pPr>
    </w:p>
    <w:p w14:paraId="6B578BF3">
      <w:pPr>
        <w:spacing w:line="578" w:lineRule="exact"/>
        <w:ind w:firstLine="640"/>
        <w:rPr>
          <w:rFonts w:hint="eastAsia" w:eastAsia="仿宋_GB2312" w:cs="仿宋_GB2312"/>
          <w:kern w:val="0"/>
          <w:sz w:val="32"/>
          <w:szCs w:val="32"/>
        </w:rPr>
      </w:pPr>
    </w:p>
    <w:p w14:paraId="51F07330">
      <w:pPr>
        <w:spacing w:line="578" w:lineRule="exact"/>
        <w:ind w:firstLine="640"/>
        <w:rPr>
          <w:rFonts w:hint="eastAsia" w:eastAsia="仿宋_GB2312" w:cs="仿宋_GB2312"/>
          <w:kern w:val="0"/>
          <w:sz w:val="32"/>
          <w:szCs w:val="32"/>
        </w:rPr>
      </w:pPr>
    </w:p>
    <w:p w14:paraId="1F51823C">
      <w:pPr>
        <w:spacing w:line="578" w:lineRule="exact"/>
        <w:ind w:firstLine="640"/>
        <w:rPr>
          <w:rFonts w:hint="eastAsia" w:eastAsia="仿宋_GB2312" w:cs="仿宋_GB2312"/>
          <w:kern w:val="0"/>
          <w:sz w:val="32"/>
          <w:szCs w:val="32"/>
        </w:rPr>
      </w:pPr>
    </w:p>
    <w:p w14:paraId="306E139B">
      <w:pPr>
        <w:spacing w:line="578" w:lineRule="exact"/>
        <w:ind w:firstLine="640"/>
        <w:rPr>
          <w:rFonts w:hint="eastAsia" w:eastAsia="仿宋_GB2312" w:cs="仿宋_GB2312"/>
          <w:kern w:val="0"/>
          <w:sz w:val="32"/>
          <w:szCs w:val="32"/>
        </w:rPr>
      </w:pPr>
    </w:p>
    <w:p w14:paraId="04B991DD">
      <w:pPr>
        <w:spacing w:line="578" w:lineRule="exact"/>
        <w:ind w:firstLine="640"/>
        <w:rPr>
          <w:rFonts w:hint="eastAsia" w:eastAsia="仿宋_GB2312" w:cs="仿宋_GB2312"/>
          <w:kern w:val="0"/>
          <w:sz w:val="32"/>
          <w:szCs w:val="32"/>
        </w:rPr>
      </w:pPr>
    </w:p>
    <w:p w14:paraId="2F999D39">
      <w:pPr>
        <w:spacing w:line="578" w:lineRule="exact"/>
        <w:ind w:firstLine="640"/>
        <w:rPr>
          <w:rFonts w:hint="eastAsia" w:eastAsia="仿宋_GB2312" w:cs="仿宋_GB2312"/>
          <w:kern w:val="0"/>
          <w:sz w:val="32"/>
          <w:szCs w:val="32"/>
        </w:rPr>
      </w:pPr>
    </w:p>
    <w:p w14:paraId="7198CA56">
      <w:pPr>
        <w:pStyle w:val="5"/>
        <w:spacing w:before="93"/>
        <w:rPr>
          <w:rFonts w:hint="eastAsia" w:ascii="Times New Roman" w:eastAsia="黑体" w:cs="黑体"/>
          <w:sz w:val="32"/>
          <w:szCs w:val="32"/>
          <w:lang w:eastAsia="zh-CN"/>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lang w:val="en-US" w:eastAsia="zh-CN"/>
        </w:rPr>
        <w:t>8</w:t>
      </w:r>
    </w:p>
    <w:p w14:paraId="6AA44C64">
      <w:pPr>
        <w:pStyle w:val="35"/>
        <w:spacing w:line="578" w:lineRule="exact"/>
        <w:ind w:firstLine="640"/>
        <w:jc w:val="center"/>
        <w:rPr>
          <w:rFonts w:hint="eastAsia" w:ascii="Times New Roman" w:hAnsi="Times New Roman" w:eastAsia="方正小标宋简体" w:cs="方正小标宋简体"/>
          <w:color w:val="auto"/>
          <w:kern w:val="2"/>
          <w:sz w:val="44"/>
          <w:szCs w:val="44"/>
          <w:lang w:val="en-US"/>
        </w:rPr>
      </w:pPr>
    </w:p>
    <w:p w14:paraId="3932113C">
      <w:pPr>
        <w:pStyle w:val="35"/>
        <w:spacing w:line="578" w:lineRule="exact"/>
        <w:ind w:firstLine="640"/>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盐边县渔门片区城乡</w:t>
      </w:r>
    </w:p>
    <w:p w14:paraId="53A95B85">
      <w:pPr>
        <w:pStyle w:val="35"/>
        <w:spacing w:line="578" w:lineRule="exact"/>
        <w:ind w:firstLine="640"/>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冷链物流建设项目绩效自评报告</w:t>
      </w:r>
    </w:p>
    <w:p w14:paraId="48BF3E07">
      <w:pPr>
        <w:pStyle w:val="35"/>
        <w:spacing w:line="578" w:lineRule="exact"/>
        <w:ind w:firstLine="640"/>
        <w:jc w:val="center"/>
        <w:rPr>
          <w:rFonts w:hint="eastAsia" w:ascii="Times New Roman" w:hAnsi="Times New Roman" w:eastAsia="方正小标宋简体" w:cs="方正小标宋简体"/>
          <w:color w:val="auto"/>
          <w:kern w:val="2"/>
          <w:sz w:val="44"/>
          <w:szCs w:val="44"/>
          <w:lang w:val="en-US"/>
        </w:rPr>
      </w:pPr>
    </w:p>
    <w:p w14:paraId="653AC3BB">
      <w:pPr>
        <w:adjustRightInd w:val="0"/>
        <w:snapToGrid w:val="0"/>
        <w:spacing w:line="600" w:lineRule="exact"/>
        <w:ind w:firstLine="720"/>
        <w:rPr>
          <w:rFonts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14:paraId="6EFD2EDD">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（一）项目基本情况。</w:t>
      </w:r>
    </w:p>
    <w:p w14:paraId="20C59592">
      <w:pPr>
        <w:adjustRightInd w:val="0"/>
        <w:snapToGrid w:val="0"/>
        <w:spacing w:line="60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地方政府专项债券资金申报要求，根据省供销社、省财政厅《关于支持实施供销为农服务综合平台试点县建设的通知》（川供办〔2023〕91号）文件要求，县供销社制定了“1个体系3个中心”，合理安排项目资金，确定盐边县渔门片区城乡冷链物流建设项目。按照建设程序报送盐边县发改局立项，盐边县供销社作为主管部门承担了“3个中心”实施主体及项目的资金使用及管理、监督职责。</w:t>
      </w:r>
    </w:p>
    <w:p w14:paraId="4EC1D3F4">
      <w:pPr>
        <w:numPr>
          <w:ilvl w:val="0"/>
          <w:numId w:val="6"/>
        </w:num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项目绩效目标。</w:t>
      </w:r>
    </w:p>
    <w:p w14:paraId="11DD4B01">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lang w:val="zh-CN"/>
        </w:rPr>
      </w:pPr>
      <w:r>
        <w:rPr>
          <w:rFonts w:hint="default" w:ascii="仿宋_GB2312" w:hAnsi="仿宋_GB2312" w:eastAsia="仿宋_GB2312" w:cs="仿宋_GB2312"/>
          <w:sz w:val="32"/>
          <w:szCs w:val="32"/>
          <w:lang w:val="en-US" w:eastAsia="zh-CN"/>
        </w:rPr>
        <w:t>2024年县供销社按照要求制定了《盐边县供销合作社联合社关于综合改革专项资金管办理的办法》及《盐边县供销合作社联合社关于地方政府专项债券资金管办理的办法》</w:t>
      </w:r>
      <w:r>
        <w:rPr>
          <w:rFonts w:hint="default" w:ascii="仿宋_GB2312" w:hAnsi="仿宋_GB2312" w:eastAsia="仿宋_GB2312" w:cs="仿宋_GB2312"/>
          <w:sz w:val="32"/>
          <w:szCs w:val="32"/>
          <w:lang w:val="zh-CN"/>
        </w:rPr>
        <w:t>，以供销为农服务综合平台试点县项目实施为契机，将保障为农服务效果提升作为根本目的，聚焦农业产业支持方向推进项目实施。</w:t>
      </w:r>
    </w:p>
    <w:p w14:paraId="410AAA27">
      <w:pPr>
        <w:numPr>
          <w:ilvl w:val="0"/>
          <w:numId w:val="0"/>
        </w:numPr>
        <w:adjustRightInd w:val="0"/>
        <w:snapToGrid w:val="0"/>
        <w:spacing w:line="600" w:lineRule="exact"/>
        <w:ind w:firstLine="643" w:firstLineChars="200"/>
        <w:rPr>
          <w:rFonts w:hint="eastAsia" w:ascii="仿宋_GB2312" w:hAnsi="仿宋_GB2312" w:eastAsia="仿宋_GB2312" w:cs="仿宋_GB2312"/>
          <w:b/>
          <w:sz w:val="32"/>
          <w:szCs w:val="32"/>
          <w:lang w:val="zh-CN" w:eastAsia="zh-CN"/>
        </w:rPr>
      </w:pPr>
      <w:r>
        <w:rPr>
          <w:rFonts w:hint="eastAsia" w:ascii="仿宋_GB2312" w:hAnsi="仿宋_GB2312" w:eastAsia="仿宋_GB2312" w:cs="仿宋_GB2312"/>
          <w:b/>
          <w:kern w:val="2"/>
          <w:sz w:val="32"/>
          <w:szCs w:val="32"/>
          <w:lang w:val="zh-CN" w:eastAsia="zh-CN" w:bidi="ar-SA"/>
        </w:rPr>
        <w:t>（</w:t>
      </w:r>
      <w:r>
        <w:rPr>
          <w:rFonts w:hint="eastAsia" w:ascii="仿宋_GB2312" w:hAnsi="仿宋_GB2312" w:eastAsia="仿宋_GB2312" w:cs="仿宋_GB2312"/>
          <w:b/>
          <w:kern w:val="2"/>
          <w:sz w:val="32"/>
          <w:szCs w:val="32"/>
          <w:lang w:val="en-US" w:eastAsia="zh-CN" w:bidi="ar-SA"/>
        </w:rPr>
        <w:t>三）</w:t>
      </w:r>
      <w:r>
        <w:rPr>
          <w:rFonts w:hint="eastAsia" w:ascii="仿宋_GB2312" w:hAnsi="仿宋_GB2312" w:eastAsia="仿宋_GB2312" w:cs="仿宋_GB2312"/>
          <w:b/>
          <w:sz w:val="32"/>
          <w:szCs w:val="32"/>
          <w:lang w:val="zh-CN" w:eastAsia="zh-CN"/>
        </w:rPr>
        <w:t>项目自评步骤及方法</w:t>
      </w:r>
    </w:p>
    <w:p w14:paraId="7DEC14C4">
      <w:pPr>
        <w:numPr>
          <w:ilvl w:val="0"/>
          <w:numId w:val="0"/>
        </w:numPr>
        <w:adjustRightInd w:val="0"/>
        <w:snapToGrid w:val="0"/>
        <w:spacing w:line="600" w:lineRule="exact"/>
        <w:ind w:firstLine="640" w:firstLineChars="200"/>
        <w:rPr>
          <w:rFonts w:hint="default"/>
          <w:lang w:val="en-US" w:eastAsia="zh-CN"/>
        </w:rPr>
      </w:pPr>
      <w:r>
        <w:rPr>
          <w:rFonts w:hint="eastAsia" w:ascii="仿宋_GB2312" w:hAnsi="仿宋_GB2312" w:eastAsia="仿宋_GB2312" w:cs="仿宋_GB2312"/>
          <w:sz w:val="32"/>
          <w:szCs w:val="32"/>
          <w:lang w:val="zh-CN"/>
        </w:rPr>
        <w:t>项目旨在完成应急保供仓储中心1个、冷链运输中心1个。按照《财政厅关于开展省级部门预算绩效</w:t>
      </w:r>
      <w:r>
        <w:rPr>
          <w:rFonts w:hint="eastAsia" w:eastAsia="仿宋_GB2312"/>
          <w:color w:val="auto"/>
          <w:sz w:val="32"/>
          <w:szCs w:val="32"/>
        </w:rPr>
        <w:t>自评工作的通知》开展自评工作，自评为“良”。</w:t>
      </w:r>
    </w:p>
    <w:p w14:paraId="11B96C53">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rPr>
        <w:t>二、项目资金申报及使用情况</w:t>
      </w:r>
    </w:p>
    <w:p w14:paraId="327383BA">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14:paraId="2040FF5C">
      <w:pPr>
        <w:adjustRightInd w:val="0"/>
        <w:snapToGrid w:val="0"/>
        <w:spacing w:line="600" w:lineRule="exact"/>
        <w:ind w:firstLine="640" w:firstLineChars="200"/>
        <w:rPr>
          <w:rFonts w:eastAsia="仿宋_GB2312" w:cs="Times New Roman"/>
          <w:color w:val="auto"/>
          <w:sz w:val="32"/>
          <w:szCs w:val="32"/>
        </w:rPr>
      </w:pPr>
      <w:r>
        <w:rPr>
          <w:rFonts w:eastAsia="仿宋_GB2312"/>
          <w:color w:val="auto"/>
          <w:sz w:val="32"/>
          <w:szCs w:val="32"/>
        </w:rPr>
        <w:t>我单位202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lang w:val="en-US" w:eastAsia="zh-CN"/>
        </w:rPr>
        <w:t>1</w:t>
      </w:r>
      <w:r>
        <w:rPr>
          <w:rFonts w:eastAsia="仿宋_GB2312"/>
          <w:color w:val="auto"/>
          <w:sz w:val="32"/>
          <w:szCs w:val="32"/>
        </w:rPr>
        <w:t>月向县政府报告</w:t>
      </w:r>
      <w:r>
        <w:rPr>
          <w:rFonts w:eastAsia="仿宋_GB2312" w:cs="Times New Roman"/>
          <w:color w:val="auto"/>
          <w:sz w:val="32"/>
          <w:szCs w:val="32"/>
        </w:rPr>
        <w:t>解决盐边县渔门片区城乡冷链物流建设项目青苗补偿金</w:t>
      </w:r>
      <w:r>
        <w:rPr>
          <w:rFonts w:hint="eastAsia" w:eastAsia="仿宋_GB2312"/>
          <w:color w:val="auto"/>
          <w:sz w:val="32"/>
          <w:szCs w:val="32"/>
          <w:lang w:val="en-US" w:eastAsia="zh-CN"/>
        </w:rPr>
        <w:t>1600</w:t>
      </w:r>
      <w:r>
        <w:rPr>
          <w:rFonts w:eastAsia="仿宋_GB2312"/>
          <w:color w:val="auto"/>
          <w:sz w:val="32"/>
          <w:szCs w:val="32"/>
        </w:rPr>
        <w:t>万元</w:t>
      </w:r>
      <w:r>
        <w:rPr>
          <w:rFonts w:eastAsia="仿宋_GB2312" w:cs="Times New Roman"/>
          <w:color w:val="auto"/>
          <w:sz w:val="32"/>
          <w:szCs w:val="32"/>
        </w:rPr>
        <w:t>，县财政局在202</w:t>
      </w:r>
      <w:r>
        <w:rPr>
          <w:rFonts w:hint="eastAsia" w:eastAsia="仿宋_GB2312" w:cs="Times New Roman"/>
          <w:color w:val="auto"/>
          <w:sz w:val="32"/>
          <w:szCs w:val="32"/>
          <w:lang w:val="en-US" w:eastAsia="zh-CN"/>
        </w:rPr>
        <w:t>4</w:t>
      </w:r>
      <w:r>
        <w:rPr>
          <w:rFonts w:eastAsia="仿宋_GB2312" w:cs="Times New Roman"/>
          <w:color w:val="auto"/>
          <w:sz w:val="32"/>
          <w:szCs w:val="32"/>
        </w:rPr>
        <w:t>年</w:t>
      </w:r>
      <w:r>
        <w:rPr>
          <w:rFonts w:hint="eastAsia" w:eastAsia="仿宋_GB2312" w:cs="Times New Roman"/>
          <w:color w:val="auto"/>
          <w:sz w:val="32"/>
          <w:szCs w:val="32"/>
          <w:lang w:val="en-US" w:eastAsia="zh-CN"/>
        </w:rPr>
        <w:t>9</w:t>
      </w:r>
      <w:r>
        <w:rPr>
          <w:rFonts w:eastAsia="仿宋_GB2312" w:cs="Times New Roman"/>
          <w:color w:val="auto"/>
          <w:sz w:val="32"/>
          <w:szCs w:val="32"/>
        </w:rPr>
        <w:t>月下达批复资金文件（</w:t>
      </w:r>
      <w:r>
        <w:rPr>
          <w:rFonts w:hint="eastAsia" w:eastAsia="仿宋_GB2312" w:cs="Times New Roman"/>
          <w:color w:val="auto"/>
          <w:sz w:val="32"/>
          <w:szCs w:val="32"/>
        </w:rPr>
        <w:t>川财债〔2024〕19</w:t>
      </w:r>
      <w:r>
        <w:rPr>
          <w:rFonts w:hint="eastAsia" w:eastAsia="仿宋_GB2312" w:cs="Times New Roman"/>
          <w:color w:val="auto"/>
          <w:sz w:val="32"/>
          <w:szCs w:val="32"/>
          <w:lang w:val="en-US" w:eastAsia="zh-CN"/>
        </w:rPr>
        <w:t>号</w:t>
      </w:r>
      <w:r>
        <w:rPr>
          <w:rFonts w:eastAsia="仿宋_GB2312" w:cs="Times New Roman"/>
          <w:color w:val="auto"/>
          <w:sz w:val="32"/>
          <w:szCs w:val="32"/>
        </w:rPr>
        <w:t>），同意拨付我单位</w:t>
      </w:r>
      <w:r>
        <w:rPr>
          <w:rFonts w:hint="eastAsia" w:eastAsia="仿宋_GB2312" w:cs="Times New Roman"/>
          <w:color w:val="auto"/>
          <w:sz w:val="32"/>
          <w:szCs w:val="32"/>
          <w:lang w:val="en-US" w:eastAsia="zh-CN"/>
        </w:rPr>
        <w:t>1600</w:t>
      </w:r>
      <w:r>
        <w:rPr>
          <w:rFonts w:eastAsia="仿宋_GB2312" w:cs="Times New Roman"/>
          <w:color w:val="auto"/>
          <w:sz w:val="32"/>
          <w:szCs w:val="32"/>
        </w:rPr>
        <w:t>万元资金。</w:t>
      </w:r>
    </w:p>
    <w:p w14:paraId="592FF510">
      <w:pPr>
        <w:adjustRightInd w:val="0"/>
        <w:snapToGrid w:val="0"/>
        <w:spacing w:line="600" w:lineRule="exact"/>
        <w:ind w:firstLine="643" w:firstLineChars="200"/>
        <w:rPr>
          <w:rFonts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（二）资金计划、到位及使用情况。</w:t>
      </w:r>
    </w:p>
    <w:p w14:paraId="558189E1">
      <w:pPr>
        <w:numPr>
          <w:ilvl w:val="0"/>
          <w:numId w:val="0"/>
        </w:numPr>
        <w:adjustRightInd w:val="0"/>
        <w:snapToGrid w:val="0"/>
        <w:spacing w:line="60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1.资金计划。此项目资金全为县级财政资金，用于盐边县渔门片区城乡冷链物流建设项目。</w:t>
      </w:r>
    </w:p>
    <w:p w14:paraId="1FE75254">
      <w:pPr>
        <w:numPr>
          <w:ilvl w:val="0"/>
          <w:numId w:val="0"/>
        </w:numPr>
        <w:adjustRightInd w:val="0"/>
        <w:snapToGrid w:val="0"/>
        <w:spacing w:line="60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2.资金到位。此项目在202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val="zh-CN"/>
        </w:rPr>
        <w:t>月验收合格，县财政局在2023年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zh-CN"/>
        </w:rPr>
        <w:t>月底将财政指标下给县供销社，县供销社及时支付盐边县渔门片区城乡冷链物流建设项目</w:t>
      </w:r>
      <w:r>
        <w:rPr>
          <w:rFonts w:hint="eastAsia" w:ascii="仿宋_GB2312" w:hAnsi="仿宋_GB2312" w:eastAsia="仿宋_GB2312" w:cs="仿宋_GB2312"/>
          <w:sz w:val="32"/>
          <w:szCs w:val="32"/>
          <w:lang w:val="en-US" w:eastAsia="zh-CN"/>
        </w:rPr>
        <w:t>资金</w:t>
      </w:r>
      <w:r>
        <w:rPr>
          <w:rFonts w:hint="eastAsia" w:ascii="仿宋_GB2312" w:hAnsi="仿宋_GB2312" w:eastAsia="仿宋_GB2312" w:cs="仿宋_GB2312"/>
          <w:sz w:val="32"/>
          <w:szCs w:val="32"/>
          <w:lang w:val="zh-CN"/>
        </w:rPr>
        <w:t>到对方的账户。</w:t>
      </w:r>
    </w:p>
    <w:p w14:paraId="21D188FD">
      <w:pPr>
        <w:numPr>
          <w:ilvl w:val="0"/>
          <w:numId w:val="0"/>
        </w:num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3.资金使用。此项目资金用于盐边县渔门片区城乡冷链物流建设项目。我们在实际支付范围、支付依据与预算相符，支付标准严格按照财政相关文件要求执行，资金使用规范。在2024年底，此项目资金支付率达到100%。</w:t>
      </w:r>
      <w:r>
        <w:rPr>
          <w:rFonts w:hint="eastAsia" w:ascii="仿宋_GB2312" w:hAnsi="仿宋_GB2312" w:eastAsia="仿宋_GB2312" w:cs="仿宋_GB2312"/>
          <w:sz w:val="32"/>
          <w:szCs w:val="32"/>
          <w:lang w:val="en-US" w:eastAsia="zh-CN"/>
        </w:rPr>
        <w:t xml:space="preserve"> </w:t>
      </w:r>
    </w:p>
    <w:p w14:paraId="1FE8957C">
      <w:pPr>
        <w:numPr>
          <w:ilvl w:val="0"/>
          <w:numId w:val="0"/>
        </w:numPr>
        <w:adjustRightInd w:val="0"/>
        <w:snapToGrid w:val="0"/>
        <w:spacing w:line="600" w:lineRule="exact"/>
        <w:ind w:firstLine="643" w:firstLineChars="20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（三）项目财务管理情况。</w:t>
      </w:r>
    </w:p>
    <w:p w14:paraId="6FD06D25">
      <w:pPr>
        <w:ind w:firstLine="640" w:firstLineChars="200"/>
        <w:rPr>
          <w:rFonts w:eastAsia="仿宋_GB2312"/>
          <w:color w:val="auto"/>
          <w:sz w:val="32"/>
          <w:szCs w:val="32"/>
        </w:rPr>
      </w:pPr>
      <w:r>
        <w:rPr>
          <w:rFonts w:eastAsia="仿宋_GB2312"/>
          <w:color w:val="auto"/>
          <w:sz w:val="32"/>
          <w:szCs w:val="32"/>
        </w:rPr>
        <w:t>我单位实施此项目，财务管理制度健全，严格执行财务管理制度，账务处理及时，会计核算规范。</w:t>
      </w:r>
    </w:p>
    <w:p w14:paraId="1932DA42">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rPr>
        <w:t>三、项目实施及管理情况</w:t>
      </w:r>
    </w:p>
    <w:p w14:paraId="3AF90B5C">
      <w:pPr>
        <w:ind w:firstLine="640" w:firstLineChars="200"/>
        <w:rPr>
          <w:rFonts w:eastAsia="仿宋_GB2312"/>
          <w:color w:val="auto"/>
          <w:sz w:val="32"/>
          <w:szCs w:val="32"/>
        </w:rPr>
      </w:pPr>
      <w:r>
        <w:rPr>
          <w:rFonts w:hint="eastAsia" w:eastAsia="仿宋_GB2312"/>
          <w:color w:val="auto"/>
          <w:sz w:val="32"/>
          <w:szCs w:val="32"/>
        </w:rPr>
        <w:t>此项目资金用于盐边县渔门片区城乡冷链物流建设项目，资金使用严格遵守财务管理制度，会计核算规范。</w:t>
      </w:r>
    </w:p>
    <w:p w14:paraId="188D91CE">
      <w:pPr>
        <w:numPr>
          <w:ilvl w:val="0"/>
          <w:numId w:val="0"/>
        </w:numPr>
        <w:adjustRightInd w:val="0"/>
        <w:snapToGrid w:val="0"/>
        <w:spacing w:line="600" w:lineRule="exact"/>
        <w:ind w:firstLine="643" w:firstLineChars="200"/>
        <w:rPr>
          <w:rFonts w:ascii="Times New Roman" w:hAnsi="Times New Roman" w:eastAsia="仿宋_GB2312" w:cs="Times New Roman"/>
          <w:color w:val="auto"/>
          <w:sz w:val="32"/>
          <w:szCs w:val="32"/>
          <w:lang w:val="zh-CN"/>
        </w:rPr>
      </w:pPr>
      <w:r>
        <w:rPr>
          <w:rFonts w:hint="eastAsia" w:ascii="仿宋_GB2312" w:hAnsi="仿宋_GB2312" w:eastAsia="仿宋_GB2312" w:cs="仿宋_GB2312"/>
          <w:b/>
          <w:sz w:val="32"/>
          <w:szCs w:val="32"/>
          <w:lang w:val="zh-CN"/>
        </w:rPr>
        <w:t>（</w:t>
      </w:r>
      <w:r>
        <w:rPr>
          <w:rFonts w:hint="eastAsia" w:ascii="仿宋_GB2312" w:hAnsi="仿宋_GB2312" w:eastAsia="仿宋_GB2312" w:cs="仿宋_GB2312"/>
          <w:b/>
          <w:sz w:val="32"/>
          <w:szCs w:val="32"/>
          <w:lang w:val="en-US" w:eastAsia="zh-CN"/>
        </w:rPr>
        <w:t>一）</w:t>
      </w:r>
      <w:r>
        <w:rPr>
          <w:rFonts w:hint="eastAsia" w:ascii="仿宋_GB2312" w:hAnsi="仿宋_GB2312" w:eastAsia="仿宋_GB2312" w:cs="仿宋_GB2312"/>
          <w:b/>
          <w:sz w:val="32"/>
          <w:szCs w:val="32"/>
          <w:lang w:val="zh-CN"/>
        </w:rPr>
        <w:t>项目组织架构及实施流程。</w:t>
      </w:r>
    </w:p>
    <w:p w14:paraId="5FD689FC">
      <w:pPr>
        <w:spacing w:line="560" w:lineRule="exact"/>
        <w:ind w:firstLine="640" w:firstLineChars="200"/>
        <w:rPr>
          <w:rFonts w:hint="eastAsia" w:ascii="仿宋_GB2312" w:hAnsi="宋体" w:eastAsia="仿宋_GB2312"/>
          <w:b w:val="0"/>
          <w:bCs w:val="0"/>
          <w:sz w:val="32"/>
          <w:szCs w:val="32"/>
          <w:lang w:eastAsia="zh-CN"/>
        </w:rPr>
      </w:pPr>
      <w:r>
        <w:rPr>
          <w:rFonts w:hint="eastAsia" w:ascii="仿宋_GB2312" w:hAnsi="宋体" w:eastAsia="仿宋_GB2312"/>
          <w:b w:val="0"/>
          <w:bCs w:val="0"/>
          <w:sz w:val="32"/>
          <w:szCs w:val="32"/>
          <w:lang w:eastAsia="zh-CN"/>
        </w:rPr>
        <w:t>通过项目绩效自评，强化本部门预算绩效管理工作组织领导，构建协同高效的预算绩效管理工作格局。将评价结果作为完善政策制度、改进项目管理、优化支出结构的重要依据，切实提升财政资金使用效益，避免评价形式主义，客观准确反映资金实际绩效。省供销社、市供销社、县供销社多次前往渔门三岔路项目地进行抽样检查，确保评价全面准确。</w:t>
      </w:r>
    </w:p>
    <w:p w14:paraId="3DE7BC5C">
      <w:pPr>
        <w:spacing w:line="560" w:lineRule="exact"/>
        <w:ind w:firstLine="643"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（二）项目管理情况。</w:t>
      </w:r>
      <w:r>
        <w:rPr>
          <w:rFonts w:hint="eastAsia" w:ascii="仿宋_GB2312" w:hAnsi="仿宋_GB2312" w:eastAsia="仿宋_GB2312" w:cs="仿宋_GB2312"/>
          <w:sz w:val="32"/>
          <w:szCs w:val="32"/>
        </w:rPr>
        <w:t>我县依据中共四川省委 四川省人民政府《关于深化供销合作社综合改革的意见》（川委发〔2016〕22号）、中共四川省委办公厅 四川省人民政府办公厅《印发&lt;关于持续深化供销合作社综合改革加快建设为农服务综合平台的意见&gt;的通知》（川委办〔2022〕38号）等精神，根据地方政府专项债券资金申报要求，结合盐边实际，选择在渔门镇三岔路社有土地建设项目。</w:t>
      </w:r>
    </w:p>
    <w:p w14:paraId="11D334A4">
      <w:pPr>
        <w:adjustRightInd w:val="0"/>
        <w:snapToGrid w:val="0"/>
        <w:spacing w:line="600" w:lineRule="exact"/>
        <w:ind w:firstLine="720"/>
        <w:rPr>
          <w:rFonts w:ascii="黑体" w:hAnsi="黑体" w:eastAsia="黑体" w:cs="黑体"/>
          <w:sz w:val="32"/>
          <w:szCs w:val="32"/>
          <w:lang w:val="zh-CN"/>
        </w:rPr>
      </w:pPr>
      <w:r>
        <w:rPr>
          <w:rFonts w:hint="eastAsia" w:ascii="黑体" w:hAnsi="黑体" w:eastAsia="黑体" w:cs="黑体"/>
          <w:sz w:val="32"/>
          <w:szCs w:val="32"/>
        </w:rPr>
        <w:t>四、项目绩效情况</w:t>
      </w:r>
      <w:r>
        <w:rPr>
          <w:rFonts w:hint="eastAsia" w:ascii="黑体" w:hAnsi="黑体" w:eastAsia="黑体" w:cs="黑体"/>
          <w:sz w:val="32"/>
          <w:szCs w:val="32"/>
          <w:lang w:val="zh-CN"/>
        </w:rPr>
        <w:tab/>
      </w:r>
    </w:p>
    <w:p w14:paraId="613E065D">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14:paraId="7C6FD941">
      <w:pPr>
        <w:adjustRightInd w:val="0"/>
        <w:snapToGrid w:val="0"/>
        <w:spacing w:line="600" w:lineRule="exact"/>
        <w:ind w:firstLine="720"/>
        <w:rPr>
          <w:rFonts w:hint="eastAsia" w:eastAsia="仿宋_GB2312"/>
          <w:color w:val="auto"/>
          <w:sz w:val="32"/>
          <w:szCs w:val="32"/>
        </w:rPr>
      </w:pPr>
      <w:r>
        <w:rPr>
          <w:rFonts w:hint="eastAsia" w:eastAsia="仿宋_GB2312"/>
          <w:color w:val="auto"/>
          <w:sz w:val="32"/>
          <w:szCs w:val="32"/>
        </w:rPr>
        <w:t>我单位按照合同要求在202</w:t>
      </w:r>
      <w:r>
        <w:rPr>
          <w:rFonts w:hint="eastAsia" w:eastAsia="仿宋_GB2312"/>
          <w:color w:val="auto"/>
          <w:sz w:val="32"/>
          <w:szCs w:val="32"/>
          <w:lang w:val="en-US" w:eastAsia="zh-CN"/>
        </w:rPr>
        <w:t>4</w:t>
      </w:r>
      <w:r>
        <w:rPr>
          <w:rFonts w:hint="eastAsia" w:eastAsia="仿宋_GB2312"/>
          <w:color w:val="auto"/>
          <w:sz w:val="32"/>
          <w:szCs w:val="32"/>
        </w:rPr>
        <w:t>年</w:t>
      </w:r>
      <w:r>
        <w:rPr>
          <w:rFonts w:hint="eastAsia" w:eastAsia="仿宋_GB2312"/>
          <w:color w:val="auto"/>
          <w:sz w:val="32"/>
          <w:szCs w:val="32"/>
          <w:lang w:val="en-US" w:eastAsia="zh-CN"/>
        </w:rPr>
        <w:t>12</w:t>
      </w:r>
      <w:r>
        <w:rPr>
          <w:rFonts w:hint="eastAsia" w:eastAsia="仿宋_GB2312"/>
          <w:color w:val="auto"/>
          <w:sz w:val="32"/>
          <w:szCs w:val="32"/>
        </w:rPr>
        <w:t>月以前及时全额支付盐边县渔门片区城乡冷链物流建设项目</w:t>
      </w:r>
      <w:r>
        <w:rPr>
          <w:rFonts w:hint="eastAsia" w:eastAsia="仿宋_GB2312"/>
          <w:color w:val="auto"/>
          <w:sz w:val="32"/>
          <w:szCs w:val="32"/>
          <w:lang w:val="en-US" w:eastAsia="zh-CN"/>
        </w:rPr>
        <w:t>1600</w:t>
      </w:r>
      <w:r>
        <w:rPr>
          <w:rFonts w:hint="eastAsia" w:eastAsia="仿宋_GB2312"/>
          <w:color w:val="auto"/>
          <w:sz w:val="32"/>
          <w:szCs w:val="32"/>
        </w:rPr>
        <w:t>万元费用，资金没有结余，资金使用效益较高，没有违规情况发生。</w:t>
      </w:r>
    </w:p>
    <w:p w14:paraId="18C69857">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p>
    <w:p w14:paraId="5FE0155A">
      <w:pPr>
        <w:adjustRightInd w:val="0"/>
        <w:snapToGrid w:val="0"/>
        <w:spacing w:line="60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我县实际，把扩大群众基础、缩短配送和服务的时间以及提升群众满意度作为本项目的个性绩效指标。通过项目的实施，购买供销系统农用物资的农户数量增加了38.5%，配送和服务时间缩短了58.29%，群众满意度提升了20.3%，基本完成了我县设置的各项个性绩效指标。</w:t>
      </w:r>
    </w:p>
    <w:p w14:paraId="78CBF2D9">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rPr>
        <w:t>五、评价结论及建议</w:t>
      </w:r>
    </w:p>
    <w:p w14:paraId="6AA51FE4">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（一）评价结论。</w:t>
      </w:r>
    </w:p>
    <w:p w14:paraId="17C8CD48">
      <w:pPr>
        <w:adjustRightInd w:val="0"/>
        <w:snapToGrid w:val="0"/>
        <w:spacing w:line="600" w:lineRule="exact"/>
        <w:ind w:firstLine="72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按照省社备案的盐边县渔门片区城乡冷链物流建设项目要求认真组织项目实施，数量指标、质量指标和经济效益均大幅增长，时效指标大幅减少，取得良好的社会效益，群众满意度大幅提升，达到了“加快补齐供销城乡流通和为农服务短板，建强服务网络，提升服务能力，推进供销社改革和高质量发展”的目的。</w:t>
      </w:r>
    </w:p>
    <w:p w14:paraId="02148AD7">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（二）存在的问题。</w:t>
      </w:r>
    </w:p>
    <w:p w14:paraId="0CFFE324">
      <w:pPr>
        <w:adjustRightInd w:val="0"/>
        <w:snapToGrid w:val="0"/>
        <w:spacing w:line="600" w:lineRule="exact"/>
        <w:ind w:firstLine="7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1.配套资金要求比例过大。我县供销系统在2000年左右的改革中，因对上级文件理解误差，人员解散、资产处理殆尽。2020年开始重建供销系统，起步晚、基础薄弱，加之县级财政困难，自筹配套资金难度极大。</w:t>
      </w:r>
    </w:p>
    <w:p w14:paraId="2CD2FB4C">
      <w:pPr>
        <w:adjustRightInd w:val="0"/>
        <w:snapToGrid w:val="0"/>
        <w:spacing w:line="600" w:lineRule="exact"/>
        <w:ind w:firstLine="7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2.人员队伍建设经验不足。县供销社近20年未实施过项目，在项目建设方面缺乏经验，导致项目推进过程中可能面临效率不高、管理不够精细等问题。</w:t>
      </w:r>
    </w:p>
    <w:p w14:paraId="44CCF944">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（三）相关建议。</w:t>
      </w:r>
    </w:p>
    <w:p w14:paraId="32B777F9">
      <w:pPr>
        <w:spacing w:line="578" w:lineRule="exact"/>
        <w:ind w:firstLine="640"/>
        <w:rPr>
          <w:rFonts w:hint="eastAsia" w:eastAsia="仿宋_GB2312" w:cs="仿宋_GB2312"/>
          <w:kern w:val="0"/>
          <w:sz w:val="32"/>
          <w:szCs w:val="32"/>
          <w:lang w:eastAsia="zh-CN"/>
        </w:rPr>
      </w:pPr>
      <w:r>
        <w:rPr>
          <w:rFonts w:hint="eastAsia" w:ascii="仿宋_GB2312" w:hAnsi="仿宋_GB2312" w:eastAsia="仿宋_GB2312" w:cs="仿宋_GB2312"/>
          <w:sz w:val="32"/>
          <w:szCs w:val="32"/>
          <w:lang w:val="en-US" w:eastAsia="zh-CN"/>
        </w:rPr>
        <w:t>无</w:t>
      </w:r>
    </w:p>
    <w:p w14:paraId="5C1AAAB5">
      <w:pPr>
        <w:spacing w:line="578" w:lineRule="exact"/>
        <w:ind w:firstLine="640"/>
        <w:rPr>
          <w:rFonts w:hint="eastAsia" w:eastAsia="仿宋_GB2312" w:cs="仿宋_GB2312"/>
          <w:kern w:val="0"/>
          <w:sz w:val="32"/>
          <w:szCs w:val="32"/>
        </w:rPr>
      </w:pPr>
    </w:p>
    <w:p w14:paraId="47E70A9E">
      <w:pPr>
        <w:spacing w:line="578" w:lineRule="exact"/>
        <w:ind w:firstLine="640"/>
        <w:rPr>
          <w:rFonts w:hint="eastAsia" w:eastAsia="仿宋_GB2312" w:cs="仿宋_GB2312"/>
          <w:kern w:val="0"/>
          <w:sz w:val="32"/>
          <w:szCs w:val="32"/>
        </w:rPr>
      </w:pPr>
    </w:p>
    <w:p w14:paraId="37E04CB8">
      <w:pPr>
        <w:spacing w:line="578" w:lineRule="exact"/>
        <w:rPr>
          <w:rFonts w:hint="eastAsia" w:eastAsia="仿宋_GB2312" w:cs="仿宋_GB2312"/>
          <w:kern w:val="0"/>
          <w:sz w:val="32"/>
          <w:szCs w:val="32"/>
        </w:rPr>
      </w:pPr>
    </w:p>
    <w:p w14:paraId="54DBA146">
      <w:pPr>
        <w:widowControl/>
        <w:jc w:val="center"/>
        <w:rPr>
          <w:rFonts w:eastAsia="仿宋"/>
        </w:rPr>
      </w:pPr>
      <w:r>
        <w:rPr>
          <w:rFonts w:hint="eastAsia" w:eastAsia="黑体"/>
          <w:sz w:val="44"/>
          <w:szCs w:val="44"/>
        </w:rPr>
        <w:t>第</w:t>
      </w:r>
      <w:r>
        <w:rPr>
          <w:rStyle w:val="29"/>
          <w:rFonts w:hint="eastAsia" w:eastAsia="黑体"/>
          <w:b w:val="0"/>
        </w:rPr>
        <w:t>五部分 附表</w:t>
      </w:r>
      <w:bookmarkEnd w:id="42"/>
      <w:bookmarkEnd w:id="45"/>
      <w:bookmarkStart w:id="46" w:name="_Toc15396619"/>
    </w:p>
    <w:p w14:paraId="64B3F0F8">
      <w:pPr>
        <w:pStyle w:val="15"/>
        <w:adjustRightInd w:val="0"/>
        <w:snapToGrid w:val="0"/>
        <w:spacing w:line="560" w:lineRule="exact"/>
        <w:jc w:val="left"/>
        <w:rPr>
          <w:rFonts w:eastAsia="仿宋_GB2312" w:cs="仿宋_GB2312"/>
          <w:sz w:val="32"/>
          <w:szCs w:val="32"/>
        </w:rPr>
      </w:pPr>
    </w:p>
    <w:p w14:paraId="279A1D37">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46"/>
    </w:p>
    <w:p w14:paraId="430FCC01">
      <w:pPr>
        <w:pStyle w:val="15"/>
        <w:adjustRightInd w:val="0"/>
        <w:snapToGrid w:val="0"/>
        <w:spacing w:line="560" w:lineRule="exact"/>
        <w:jc w:val="left"/>
        <w:rPr>
          <w:rFonts w:eastAsia="仿宋_GB2312" w:cs="仿宋_GB2312"/>
          <w:sz w:val="32"/>
          <w:szCs w:val="32"/>
        </w:rPr>
      </w:pPr>
      <w:bookmarkStart w:id="47" w:name="_Toc15396620"/>
      <w:r>
        <w:rPr>
          <w:rFonts w:hint="eastAsia" w:eastAsia="仿宋_GB2312" w:cs="仿宋_GB2312"/>
          <w:sz w:val="32"/>
          <w:szCs w:val="32"/>
        </w:rPr>
        <w:t>二、收入决算表</w:t>
      </w:r>
      <w:bookmarkEnd w:id="47"/>
    </w:p>
    <w:p w14:paraId="6E75BA3F">
      <w:pPr>
        <w:pStyle w:val="15"/>
        <w:adjustRightInd w:val="0"/>
        <w:snapToGrid w:val="0"/>
        <w:spacing w:line="560" w:lineRule="exact"/>
        <w:jc w:val="left"/>
        <w:rPr>
          <w:rFonts w:eastAsia="仿宋_GB2312" w:cs="仿宋_GB2312"/>
          <w:sz w:val="32"/>
          <w:szCs w:val="32"/>
        </w:rPr>
      </w:pPr>
      <w:bookmarkStart w:id="48" w:name="_Toc15396621"/>
      <w:r>
        <w:rPr>
          <w:rFonts w:hint="eastAsia" w:eastAsia="仿宋_GB2312" w:cs="仿宋_GB2312"/>
          <w:sz w:val="32"/>
          <w:szCs w:val="32"/>
        </w:rPr>
        <w:t>三、支出决算表</w:t>
      </w:r>
      <w:bookmarkEnd w:id="48"/>
    </w:p>
    <w:p w14:paraId="0486E52B">
      <w:pPr>
        <w:pStyle w:val="15"/>
        <w:adjustRightInd w:val="0"/>
        <w:snapToGrid w:val="0"/>
        <w:spacing w:line="560" w:lineRule="exact"/>
        <w:jc w:val="left"/>
        <w:rPr>
          <w:rFonts w:eastAsia="仿宋_GB2312" w:cs="仿宋_GB2312"/>
          <w:sz w:val="32"/>
          <w:szCs w:val="32"/>
        </w:rPr>
      </w:pPr>
      <w:bookmarkStart w:id="49" w:name="_Toc15396622"/>
      <w:r>
        <w:rPr>
          <w:rFonts w:hint="eastAsia" w:eastAsia="仿宋_GB2312" w:cs="仿宋_GB2312"/>
          <w:sz w:val="32"/>
          <w:szCs w:val="32"/>
        </w:rPr>
        <w:t>四、财政拨款收入支出决算总表</w:t>
      </w:r>
      <w:bookmarkEnd w:id="49"/>
    </w:p>
    <w:p w14:paraId="6F063BF3">
      <w:pPr>
        <w:pStyle w:val="15"/>
        <w:adjustRightInd w:val="0"/>
        <w:snapToGrid w:val="0"/>
        <w:spacing w:line="560" w:lineRule="exact"/>
        <w:jc w:val="left"/>
        <w:rPr>
          <w:rFonts w:eastAsia="仿宋_GB2312" w:cs="仿宋_GB2312"/>
          <w:sz w:val="32"/>
          <w:szCs w:val="32"/>
        </w:rPr>
      </w:pPr>
      <w:bookmarkStart w:id="50" w:name="_Toc15396623"/>
      <w:r>
        <w:rPr>
          <w:rFonts w:hint="eastAsia" w:eastAsia="仿宋_GB2312" w:cs="仿宋_GB2312"/>
          <w:sz w:val="32"/>
          <w:szCs w:val="32"/>
        </w:rPr>
        <w:t>五、财政拨款支出决算明细表</w:t>
      </w:r>
      <w:bookmarkEnd w:id="50"/>
      <w:bookmarkStart w:id="51" w:name="_Toc15396624"/>
    </w:p>
    <w:p w14:paraId="69D8F8F0">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51"/>
    </w:p>
    <w:p w14:paraId="39F8AF07">
      <w:pPr>
        <w:pStyle w:val="15"/>
        <w:adjustRightInd w:val="0"/>
        <w:snapToGrid w:val="0"/>
        <w:spacing w:line="560" w:lineRule="exact"/>
        <w:jc w:val="left"/>
        <w:rPr>
          <w:rFonts w:eastAsia="仿宋_GB2312" w:cs="仿宋_GB2312"/>
          <w:sz w:val="32"/>
          <w:szCs w:val="32"/>
        </w:rPr>
      </w:pPr>
      <w:bookmarkStart w:id="52" w:name="_Toc15396625"/>
      <w:r>
        <w:rPr>
          <w:rFonts w:hint="eastAsia" w:eastAsia="仿宋_GB2312" w:cs="仿宋_GB2312"/>
          <w:sz w:val="32"/>
          <w:szCs w:val="32"/>
        </w:rPr>
        <w:t>七、一般公共预算财政拨款支出决算明细表</w:t>
      </w:r>
      <w:bookmarkEnd w:id="52"/>
    </w:p>
    <w:p w14:paraId="230BAD70">
      <w:pPr>
        <w:pStyle w:val="15"/>
        <w:adjustRightInd w:val="0"/>
        <w:snapToGrid w:val="0"/>
        <w:spacing w:line="560" w:lineRule="exact"/>
        <w:jc w:val="left"/>
        <w:rPr>
          <w:rFonts w:eastAsia="仿宋_GB2312" w:cs="仿宋_GB2312"/>
          <w:sz w:val="32"/>
          <w:szCs w:val="32"/>
        </w:rPr>
      </w:pPr>
      <w:bookmarkStart w:id="53" w:name="_Toc15396626"/>
      <w:r>
        <w:rPr>
          <w:rFonts w:hint="eastAsia" w:eastAsia="仿宋_GB2312" w:cs="仿宋_GB2312"/>
          <w:sz w:val="32"/>
          <w:szCs w:val="32"/>
        </w:rPr>
        <w:t>八、一般公共预算财政拨款基本支出决算表</w:t>
      </w:r>
      <w:bookmarkEnd w:id="53"/>
    </w:p>
    <w:p w14:paraId="5D2172E0">
      <w:pPr>
        <w:pStyle w:val="15"/>
        <w:adjustRightInd w:val="0"/>
        <w:snapToGrid w:val="0"/>
        <w:spacing w:line="560" w:lineRule="exact"/>
        <w:jc w:val="left"/>
        <w:rPr>
          <w:rFonts w:eastAsia="仿宋_GB2312" w:cs="仿宋_GB2312"/>
          <w:sz w:val="32"/>
          <w:szCs w:val="32"/>
        </w:rPr>
      </w:pPr>
      <w:bookmarkStart w:id="54" w:name="_Toc15396627"/>
      <w:r>
        <w:rPr>
          <w:rFonts w:hint="eastAsia" w:eastAsia="仿宋_GB2312" w:cs="仿宋_GB2312"/>
          <w:sz w:val="32"/>
          <w:szCs w:val="32"/>
        </w:rPr>
        <w:t>九、一般公共预算财政拨款项目支出决算表</w:t>
      </w:r>
      <w:bookmarkEnd w:id="54"/>
    </w:p>
    <w:p w14:paraId="72E1C671">
      <w:pPr>
        <w:pStyle w:val="15"/>
        <w:adjustRightInd w:val="0"/>
        <w:snapToGrid w:val="0"/>
        <w:spacing w:line="560" w:lineRule="exact"/>
        <w:jc w:val="left"/>
        <w:rPr>
          <w:rFonts w:eastAsia="仿宋_GB2312" w:cs="仿宋_GB2312"/>
          <w:sz w:val="32"/>
          <w:szCs w:val="32"/>
        </w:rPr>
      </w:pPr>
      <w:bookmarkStart w:id="55" w:name="_Toc15396628"/>
      <w:r>
        <w:rPr>
          <w:rFonts w:hint="eastAsia" w:eastAsia="仿宋_GB2312" w:cs="仿宋_GB2312"/>
          <w:sz w:val="32"/>
          <w:szCs w:val="32"/>
        </w:rPr>
        <w:t>十、</w:t>
      </w:r>
      <w:bookmarkEnd w:id="55"/>
      <w:r>
        <w:rPr>
          <w:rFonts w:hint="eastAsia" w:eastAsia="仿宋_GB2312" w:cs="仿宋_GB2312"/>
          <w:sz w:val="32"/>
          <w:szCs w:val="32"/>
        </w:rPr>
        <w:t>政府性基金预算财政拨款收入支出决算表</w:t>
      </w:r>
    </w:p>
    <w:p w14:paraId="69771E91">
      <w:pPr>
        <w:pStyle w:val="15"/>
        <w:adjustRightInd w:val="0"/>
        <w:snapToGrid w:val="0"/>
        <w:spacing w:line="560" w:lineRule="exact"/>
        <w:jc w:val="left"/>
        <w:rPr>
          <w:rFonts w:eastAsia="仿宋_GB2312" w:cs="仿宋_GB2312"/>
          <w:sz w:val="32"/>
          <w:szCs w:val="32"/>
        </w:rPr>
      </w:pPr>
      <w:bookmarkStart w:id="56" w:name="_Toc15396629"/>
      <w:r>
        <w:rPr>
          <w:rFonts w:hint="eastAsia" w:eastAsia="仿宋_GB2312" w:cs="仿宋_GB2312"/>
          <w:sz w:val="32"/>
          <w:szCs w:val="32"/>
        </w:rPr>
        <w:t>十一、</w:t>
      </w:r>
      <w:bookmarkEnd w:id="56"/>
      <w:r>
        <w:rPr>
          <w:rFonts w:hint="eastAsia" w:eastAsia="仿宋_GB2312" w:cs="仿宋_GB2312"/>
          <w:sz w:val="32"/>
          <w:szCs w:val="32"/>
        </w:rPr>
        <w:t>国有资本经营预算财政拨款收入支出决算表</w:t>
      </w:r>
    </w:p>
    <w:p w14:paraId="5DB23CB0">
      <w:pPr>
        <w:pStyle w:val="15"/>
        <w:adjustRightInd w:val="0"/>
        <w:snapToGrid w:val="0"/>
        <w:spacing w:line="560" w:lineRule="exact"/>
        <w:jc w:val="left"/>
        <w:rPr>
          <w:rFonts w:eastAsia="仿宋_GB2312" w:cs="仿宋_GB2312"/>
          <w:sz w:val="32"/>
          <w:szCs w:val="32"/>
        </w:rPr>
      </w:pPr>
      <w:bookmarkStart w:id="57" w:name="_Toc15396630"/>
      <w:r>
        <w:rPr>
          <w:rFonts w:hint="eastAsia" w:eastAsia="仿宋_GB2312" w:cs="仿宋_GB2312"/>
          <w:sz w:val="32"/>
          <w:szCs w:val="32"/>
        </w:rPr>
        <w:t>十二、</w:t>
      </w:r>
      <w:bookmarkEnd w:id="57"/>
      <w:r>
        <w:rPr>
          <w:rFonts w:hint="eastAsia" w:eastAsia="仿宋_GB2312" w:cs="仿宋_GB2312"/>
          <w:sz w:val="32"/>
          <w:szCs w:val="32"/>
        </w:rPr>
        <w:t>国有资本经营预算财政拨款支出决算表</w:t>
      </w:r>
    </w:p>
    <w:p w14:paraId="1DA80B93">
      <w:pPr>
        <w:pStyle w:val="15"/>
        <w:adjustRightInd w:val="0"/>
        <w:snapToGrid w:val="0"/>
        <w:spacing w:line="560" w:lineRule="exact"/>
        <w:jc w:val="left"/>
        <w:rPr>
          <w:rFonts w:eastAsia="仿宋_GB2312" w:cs="仿宋_GB2312"/>
          <w:sz w:val="32"/>
          <w:szCs w:val="32"/>
        </w:rPr>
      </w:pPr>
      <w:bookmarkStart w:id="58" w:name="_Toc15396631"/>
      <w:r>
        <w:rPr>
          <w:rFonts w:hint="eastAsia" w:eastAsia="仿宋_GB2312" w:cs="仿宋_GB2312"/>
          <w:sz w:val="32"/>
          <w:szCs w:val="32"/>
        </w:rPr>
        <w:t>十三、</w:t>
      </w:r>
      <w:bookmarkEnd w:id="58"/>
      <w:r>
        <w:rPr>
          <w:rFonts w:hint="eastAsia" w:eastAsia="仿宋_GB2312" w:cs="仿宋_GB2312"/>
          <w:sz w:val="32"/>
          <w:szCs w:val="32"/>
        </w:rPr>
        <w:t>财政拨款“三公”经费支出决算表</w:t>
      </w:r>
    </w:p>
    <w:p w14:paraId="69D0C918"/>
    <w:sectPr>
      <w:footerReference r:id="rId11" w:type="first"/>
      <w:footerReference r:id="rId10"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FB1434-F9D2-4CCB-BAA6-F6EE55EDF0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2C1B4D1-005E-4702-9C67-05FD7D2B8231}"/>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3" w:fontKey="{C1CEC5F3-F45B-4E3F-93F7-7ABC78BE2B38}"/>
  </w:font>
  <w:font w:name="仿宋">
    <w:panose1 w:val="02010609060101010101"/>
    <w:charset w:val="86"/>
    <w:family w:val="modern"/>
    <w:pitch w:val="default"/>
    <w:sig w:usb0="800002BF" w:usb1="38CF7CFA" w:usb2="00000016" w:usb3="00000000" w:csb0="00040001" w:csb1="00000000"/>
    <w:embedRegular r:id="rId4" w:fontKey="{3947A488-821C-428A-B4DD-2E6435B7E49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script"/>
    <w:pitch w:val="default"/>
    <w:sig w:usb0="00000001" w:usb1="08000000" w:usb2="00000000" w:usb3="00000000" w:csb0="00040000" w:csb1="00000000"/>
    <w:embedRegular r:id="rId5" w:fontKey="{EE526C08-0635-4D39-BBF7-1AF622477AC7}"/>
  </w:font>
  <w:font w:name="方正仿宋_GBK">
    <w:panose1 w:val="03000509000000000000"/>
    <w:charset w:val="86"/>
    <w:family w:val="auto"/>
    <w:pitch w:val="default"/>
    <w:sig w:usb0="00000001" w:usb1="080E0000" w:usb2="00000000" w:usb3="00000000" w:csb0="00040000" w:csb1="00000000"/>
    <w:embedRegular r:id="rId6" w:fontKey="{D8154E83-104A-43F3-AB4F-B55A15329F23}"/>
  </w:font>
  <w:font w:name="楷体_GB2312">
    <w:altName w:val="楷体"/>
    <w:panose1 w:val="02010609030101010101"/>
    <w:charset w:val="86"/>
    <w:family w:val="modern"/>
    <w:pitch w:val="default"/>
    <w:sig w:usb0="00000000" w:usb1="00000000" w:usb2="00000010" w:usb3="00000000" w:csb0="00040000" w:csb1="00000000"/>
    <w:embedRegular r:id="rId7" w:fontKey="{A36A3F96-618C-4A45-AFD0-A0140C30574F}"/>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2C926">
    <w:pPr>
      <w:pStyle w:val="11"/>
      <w:jc w:val="center"/>
    </w:pPr>
  </w:p>
  <w:p w14:paraId="2FB4D11C">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14DE8">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877F01">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877F01">
                    <w:pPr>
                      <w:pStyle w:val="11"/>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858BE">
    <w:pPr>
      <w:pStyle w:val="11"/>
      <w:jc w:val="both"/>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AF11C4">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7AF11C4">
                    <w:pPr>
                      <w:pStyle w:val="11"/>
                    </w:pPr>
                  </w:p>
                </w:txbxContent>
              </v:textbox>
            </v:shape>
          </w:pict>
        </mc:Fallback>
      </mc:AlternateContent>
    </w:r>
  </w:p>
  <w:p w14:paraId="20CB6C97">
    <w:pPr>
      <w:pStyle w:val="11"/>
      <w:tabs>
        <w:tab w:val="left" w:pos="7611"/>
        <w:tab w:val="clear" w:pos="4153"/>
      </w:tabs>
      <w:rPr>
        <w:rFonts w:hint="eastAsia" w:eastAsia="宋体"/>
        <w:lang w:eastAsia="zh-CN"/>
      </w:rPr>
    </w:pP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8D327">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F9F988">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4F9F988">
                    <w:pPr>
                      <w:pStyle w:val="11"/>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56D4C">
    <w:pPr>
      <w:pStyle w:val="11"/>
      <w:jc w:val="center"/>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42E610">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7542E610">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302CA6">
                          <w:pPr>
                            <w:pStyle w:val="11"/>
                            <w:rPr>
                              <w:rFonts w:hint="default" w:eastAsia="宋体"/>
                              <w:lang w:val="en-US" w:eastAsia="zh-CN"/>
                            </w:rPr>
                          </w:pPr>
                          <w:r>
                            <w:rPr>
                              <w:rFonts w:hint="eastAsia"/>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8302CA6">
                    <w:pPr>
                      <w:pStyle w:val="11"/>
                      <w:rPr>
                        <w:rFonts w:hint="default" w:eastAsia="宋体"/>
                        <w:lang w:val="en-US" w:eastAsia="zh-CN"/>
                      </w:rPr>
                    </w:pPr>
                    <w:r>
                      <w:rPr>
                        <w:rFonts w:hint="eastAsia"/>
                        <w:lang w:val="en-US" w:eastAsia="zh-CN"/>
                      </w:rPr>
                      <w:t>-</w:t>
                    </w:r>
                  </w:p>
                </w:txbxContent>
              </v:textbox>
            </v:shape>
          </w:pict>
        </mc:Fallback>
      </mc:AlternateContent>
    </w:r>
  </w:p>
  <w:p w14:paraId="2C78AECC">
    <w:pPr>
      <w:pStyle w:val="11"/>
      <w:tabs>
        <w:tab w:val="left" w:pos="7611"/>
        <w:tab w:val="clear" w:pos="4153"/>
      </w:tabs>
      <w:rPr>
        <w:rFonts w:hint="eastAsia" w:eastAsia="宋体"/>
        <w:lang w:eastAsia="zh-CN"/>
      </w:rPr>
    </w:pP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CB258">
    <w:pPr>
      <w:pStyle w:val="11"/>
      <w:rPr>
        <w:rFonts w:hint="eastAsia" w:ascii="宋体" w:hAnsi="宋体" w:eastAsia="宋体" w:cs="宋体"/>
        <w:sz w:val="44"/>
        <w:szCs w:val="44"/>
      </w:rPr>
    </w:pPr>
    <w:r>
      <w:rPr>
        <w:sz w:val="44"/>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33C967">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633C967">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eastAsia="宋体" w:cs="宋体"/>
        <w:sz w:val="44"/>
        <w:szCs w:val="44"/>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732B47">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E732B47">
                    <w:pPr>
                      <w:pStyle w:val="11"/>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78D64">
    <w:pPr>
      <w:pStyle w:val="11"/>
      <w:jc w:val="center"/>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024F9C">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B024F9C">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B0E0CD">
                          <w:pPr>
                            <w:pStyle w:val="11"/>
                            <w:rPr>
                              <w:rFonts w:hint="default" w:eastAsia="宋体"/>
                              <w:lang w:val="en-US" w:eastAsia="zh-CN"/>
                            </w:rPr>
                          </w:pPr>
                          <w:r>
                            <w:rPr>
                              <w:rFonts w:hint="eastAsia"/>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0EB0E0CD">
                    <w:pPr>
                      <w:pStyle w:val="11"/>
                      <w:rPr>
                        <w:rFonts w:hint="default" w:eastAsia="宋体"/>
                        <w:lang w:val="en-US" w:eastAsia="zh-CN"/>
                      </w:rPr>
                    </w:pPr>
                    <w:r>
                      <w:rPr>
                        <w:rFonts w:hint="eastAsia"/>
                        <w:lang w:val="en-US" w:eastAsia="zh-CN"/>
                      </w:rPr>
                      <w:t>-</w:t>
                    </w:r>
                  </w:p>
                </w:txbxContent>
              </v:textbox>
            </v:shape>
          </w:pict>
        </mc:Fallback>
      </mc:AlternateContent>
    </w:r>
  </w:p>
  <w:p w14:paraId="1F738B5C">
    <w:pPr>
      <w:pStyle w:val="11"/>
      <w:tabs>
        <w:tab w:val="left" w:pos="7611"/>
        <w:tab w:val="clear" w:pos="4153"/>
      </w:tabs>
      <w:rPr>
        <w:rFonts w:hint="eastAsia" w:eastAsia="宋体"/>
        <w:lang w:eastAsia="zh-CN"/>
      </w:rPr>
    </w:pPr>
    <w:r>
      <w:rPr>
        <w:rFonts w:hint="eastAsia"/>
        <w:lang w:eastAsia="zh-CN"/>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211EE">
    <w:pPr>
      <w:pStyle w:val="11"/>
      <w:rPr>
        <w:rFonts w:hint="eastAsia" w:ascii="宋体" w:hAnsi="宋体" w:eastAsia="宋体" w:cs="宋体"/>
        <w:sz w:val="44"/>
        <w:szCs w:val="44"/>
      </w:rPr>
    </w:pPr>
    <w:r>
      <w:rPr>
        <w:rFonts w:hint="eastAsia" w:ascii="宋体" w:hAnsi="宋体" w:eastAsia="宋体" w:cs="宋体"/>
        <w:sz w:val="44"/>
        <w:szCs w:val="44"/>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CD6EEE">
                          <w:pPr>
                            <w:pStyle w:val="11"/>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  \* MERGEFORMAT </w:instrText>
                          </w:r>
                          <w:r>
                            <w:rPr>
                              <w:rFonts w:hint="eastAsia" w:ascii="宋体" w:hAnsi="宋体" w:eastAsia="宋体" w:cs="宋体"/>
                              <w:sz w:val="30"/>
                              <w:szCs w:val="30"/>
                            </w:rPr>
                            <w:fldChar w:fldCharType="separate"/>
                          </w:r>
                          <w:r>
                            <w:rPr>
                              <w:rFonts w:hint="eastAsia" w:ascii="宋体" w:hAnsi="宋体" w:eastAsia="宋体" w:cs="宋体"/>
                              <w:sz w:val="30"/>
                              <w:szCs w:val="30"/>
                            </w:rPr>
                            <w:t>1</w:t>
                          </w:r>
                          <w:r>
                            <w:rPr>
                              <w:rFonts w:hint="eastAsia" w:ascii="宋体" w:hAnsi="宋体" w:eastAsia="宋体" w:cs="宋体"/>
                              <w:sz w:val="30"/>
                              <w:szCs w:val="30"/>
                            </w:rPr>
                            <w:fldChar w:fldCharType="end"/>
                          </w:r>
                          <w:r>
                            <w:rPr>
                              <w:rFonts w:hint="eastAsia" w:ascii="宋体" w:hAnsi="宋体" w:eastAsia="宋体" w:cs="宋体"/>
                              <w:sz w:val="30"/>
                              <w:szCs w:val="30"/>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9CD6EEE">
                    <w:pPr>
                      <w:pStyle w:val="11"/>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  \* MERGEFORMAT </w:instrText>
                    </w:r>
                    <w:r>
                      <w:rPr>
                        <w:rFonts w:hint="eastAsia" w:ascii="宋体" w:hAnsi="宋体" w:eastAsia="宋体" w:cs="宋体"/>
                        <w:sz w:val="30"/>
                        <w:szCs w:val="30"/>
                      </w:rPr>
                      <w:fldChar w:fldCharType="separate"/>
                    </w:r>
                    <w:r>
                      <w:rPr>
                        <w:rFonts w:hint="eastAsia" w:ascii="宋体" w:hAnsi="宋体" w:eastAsia="宋体" w:cs="宋体"/>
                        <w:sz w:val="30"/>
                        <w:szCs w:val="30"/>
                      </w:rPr>
                      <w:t>1</w:t>
                    </w:r>
                    <w:r>
                      <w:rPr>
                        <w:rFonts w:hint="eastAsia" w:ascii="宋体" w:hAnsi="宋体" w:eastAsia="宋体" w:cs="宋体"/>
                        <w:sz w:val="30"/>
                        <w:szCs w:val="30"/>
                      </w:rPr>
                      <w:fldChar w:fldCharType="end"/>
                    </w:r>
                    <w:r>
                      <w:rPr>
                        <w:rFonts w:hint="eastAsia" w:ascii="宋体" w:hAnsi="宋体" w:eastAsia="宋体" w:cs="宋体"/>
                        <w:sz w:val="30"/>
                        <w:szCs w:val="30"/>
                        <w:lang w:val="en-US" w:eastAsia="zh-CN"/>
                      </w:rPr>
                      <w:t>-</w:t>
                    </w:r>
                  </w:p>
                </w:txbxContent>
              </v:textbox>
            </v:shape>
          </w:pict>
        </mc:Fallback>
      </mc:AlternateContent>
    </w:r>
    <w:r>
      <w:rPr>
        <w:rFonts w:hint="eastAsia" w:ascii="宋体" w:hAnsi="宋体" w:eastAsia="宋体" w:cs="宋体"/>
        <w:sz w:val="44"/>
        <w:szCs w:val="44"/>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D66263">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04D66263">
                    <w:pPr>
                      <w:pStyle w:val="11"/>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3E7ED">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4510DF"/>
    <w:multiLevelType w:val="singleLevel"/>
    <w:tmpl w:val="944510DF"/>
    <w:lvl w:ilvl="0" w:tentative="0">
      <w:start w:val="2"/>
      <w:numFmt w:val="chineseCounting"/>
      <w:suff w:val="nothing"/>
      <w:lvlText w:val="（%1）"/>
      <w:lvlJc w:val="left"/>
      <w:rPr>
        <w:rFonts w:hint="eastAsia"/>
      </w:rPr>
    </w:lvl>
  </w:abstractNum>
  <w:abstractNum w:abstractNumId="1">
    <w:nsid w:val="B0922C96"/>
    <w:multiLevelType w:val="singleLevel"/>
    <w:tmpl w:val="B0922C96"/>
    <w:lvl w:ilvl="0" w:tentative="0">
      <w:start w:val="1"/>
      <w:numFmt w:val="chineseCounting"/>
      <w:suff w:val="nothing"/>
      <w:lvlText w:val="%1、"/>
      <w:lvlJc w:val="left"/>
      <w:rPr>
        <w:rFonts w:hint="eastAsia"/>
      </w:rPr>
    </w:lvl>
  </w:abstractNum>
  <w:abstractNum w:abstractNumId="2">
    <w:nsid w:val="E0779450"/>
    <w:multiLevelType w:val="singleLevel"/>
    <w:tmpl w:val="E0779450"/>
    <w:lvl w:ilvl="0" w:tentative="0">
      <w:start w:val="2"/>
      <w:numFmt w:val="chineseCounting"/>
      <w:suff w:val="nothing"/>
      <w:lvlText w:val="%1、"/>
      <w:lvlJc w:val="left"/>
      <w:rPr>
        <w:rFonts w:hint="eastAsia"/>
      </w:rPr>
    </w:lvl>
  </w:abstractNum>
  <w:abstractNum w:abstractNumId="3">
    <w:nsid w:val="F905EC57"/>
    <w:multiLevelType w:val="singleLevel"/>
    <w:tmpl w:val="F905EC57"/>
    <w:lvl w:ilvl="0" w:tentative="0">
      <w:start w:val="1"/>
      <w:numFmt w:val="chineseCounting"/>
      <w:suff w:val="nothing"/>
      <w:lvlText w:val="（%1）"/>
      <w:lvlJc w:val="left"/>
      <w:rPr>
        <w:rFonts w:hint="eastAsia"/>
      </w:rPr>
    </w:lvl>
  </w:abstractNum>
  <w:abstractNum w:abstractNumId="4">
    <w:nsid w:val="11551AA1"/>
    <w:multiLevelType w:val="singleLevel"/>
    <w:tmpl w:val="11551AA1"/>
    <w:lvl w:ilvl="0" w:tentative="0">
      <w:start w:val="3"/>
      <w:numFmt w:val="chineseCounting"/>
      <w:suff w:val="nothing"/>
      <w:lvlText w:val="（%1）"/>
      <w:lvlJc w:val="left"/>
      <w:rPr>
        <w:rFonts w:hint="eastAsia"/>
      </w:rPr>
    </w:lvl>
  </w:abstractNum>
  <w:abstractNum w:abstractNumId="5">
    <w:nsid w:val="6542E5B3"/>
    <w:multiLevelType w:val="singleLevel"/>
    <w:tmpl w:val="6542E5B3"/>
    <w:lvl w:ilvl="0" w:tentative="0">
      <w:start w:val="2"/>
      <w:numFmt w:val="chineseCounting"/>
      <w:suff w:val="nothing"/>
      <w:lvlText w:val="（%1）"/>
      <w:lvlJc w:val="left"/>
      <w:rPr>
        <w:rFonts w:hint="eastAsia"/>
      </w:r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8A4"/>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0156"/>
    <w:rsid w:val="006A3141"/>
    <w:rsid w:val="006A5E34"/>
    <w:rsid w:val="006B2422"/>
    <w:rsid w:val="006B2B9A"/>
    <w:rsid w:val="006C1937"/>
    <w:rsid w:val="006F020C"/>
    <w:rsid w:val="007127B7"/>
    <w:rsid w:val="0071798E"/>
    <w:rsid w:val="007416B6"/>
    <w:rsid w:val="00746BD5"/>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75013"/>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494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17821"/>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A426D43"/>
    <w:rsid w:val="0CA8290A"/>
    <w:rsid w:val="0D35B1ED"/>
    <w:rsid w:val="0D4C7233"/>
    <w:rsid w:val="0E254B6B"/>
    <w:rsid w:val="0F98263C"/>
    <w:rsid w:val="101860EC"/>
    <w:rsid w:val="101F47CC"/>
    <w:rsid w:val="10C055FF"/>
    <w:rsid w:val="11694EBD"/>
    <w:rsid w:val="11772AA4"/>
    <w:rsid w:val="118107EC"/>
    <w:rsid w:val="11B050DB"/>
    <w:rsid w:val="12E24EE2"/>
    <w:rsid w:val="13D50BC4"/>
    <w:rsid w:val="14B17F78"/>
    <w:rsid w:val="14DB226E"/>
    <w:rsid w:val="165E0673"/>
    <w:rsid w:val="16B831D5"/>
    <w:rsid w:val="16BB723D"/>
    <w:rsid w:val="17672998"/>
    <w:rsid w:val="17E50567"/>
    <w:rsid w:val="186504BB"/>
    <w:rsid w:val="19A445FC"/>
    <w:rsid w:val="1ABC669E"/>
    <w:rsid w:val="1B925650"/>
    <w:rsid w:val="1BAD4F97"/>
    <w:rsid w:val="1BE8440E"/>
    <w:rsid w:val="1CBD41CD"/>
    <w:rsid w:val="1CC6347C"/>
    <w:rsid w:val="1D155CEE"/>
    <w:rsid w:val="1D1638FE"/>
    <w:rsid w:val="1E312DEB"/>
    <w:rsid w:val="1E740ACF"/>
    <w:rsid w:val="1ECA6EAF"/>
    <w:rsid w:val="1FF35744"/>
    <w:rsid w:val="1FF6BC77"/>
    <w:rsid w:val="2186353C"/>
    <w:rsid w:val="21896106"/>
    <w:rsid w:val="23860B96"/>
    <w:rsid w:val="240371BF"/>
    <w:rsid w:val="244F3473"/>
    <w:rsid w:val="24C97D99"/>
    <w:rsid w:val="254259F1"/>
    <w:rsid w:val="25A718F0"/>
    <w:rsid w:val="25BB59F6"/>
    <w:rsid w:val="260F557C"/>
    <w:rsid w:val="26970054"/>
    <w:rsid w:val="281408E2"/>
    <w:rsid w:val="291B0A33"/>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5C3E66"/>
    <w:rsid w:val="376B6AA6"/>
    <w:rsid w:val="376D39B2"/>
    <w:rsid w:val="37E16F03"/>
    <w:rsid w:val="37F53A3B"/>
    <w:rsid w:val="389B6C89"/>
    <w:rsid w:val="38D469F0"/>
    <w:rsid w:val="39627CCD"/>
    <w:rsid w:val="397BAF1F"/>
    <w:rsid w:val="3AB79AF3"/>
    <w:rsid w:val="3AE834C0"/>
    <w:rsid w:val="3B7EF35A"/>
    <w:rsid w:val="3B9FDB6C"/>
    <w:rsid w:val="3BF5BC2F"/>
    <w:rsid w:val="3C0D6901"/>
    <w:rsid w:val="3CEBA265"/>
    <w:rsid w:val="3D98207C"/>
    <w:rsid w:val="3DEE7CF3"/>
    <w:rsid w:val="3E740A63"/>
    <w:rsid w:val="3E78745D"/>
    <w:rsid w:val="3EE17838"/>
    <w:rsid w:val="3F55381A"/>
    <w:rsid w:val="3F7F7599"/>
    <w:rsid w:val="3FE45DFA"/>
    <w:rsid w:val="3FF4CAE0"/>
    <w:rsid w:val="3FF7B227"/>
    <w:rsid w:val="403149DC"/>
    <w:rsid w:val="43CC351F"/>
    <w:rsid w:val="44E268DA"/>
    <w:rsid w:val="450D13D7"/>
    <w:rsid w:val="45506656"/>
    <w:rsid w:val="486A6C7A"/>
    <w:rsid w:val="4A407EA2"/>
    <w:rsid w:val="4A627F82"/>
    <w:rsid w:val="4B0E749A"/>
    <w:rsid w:val="4B2477C4"/>
    <w:rsid w:val="4B4F25DA"/>
    <w:rsid w:val="4B9B6655"/>
    <w:rsid w:val="4BE068DB"/>
    <w:rsid w:val="4C612351"/>
    <w:rsid w:val="4D577224"/>
    <w:rsid w:val="4DBF1CEB"/>
    <w:rsid w:val="4DF0007C"/>
    <w:rsid w:val="4EAB630A"/>
    <w:rsid w:val="4ECE2238"/>
    <w:rsid w:val="4F833267"/>
    <w:rsid w:val="4FE9BD67"/>
    <w:rsid w:val="4FFB052F"/>
    <w:rsid w:val="514537BF"/>
    <w:rsid w:val="537E6D0A"/>
    <w:rsid w:val="53F74C96"/>
    <w:rsid w:val="55170BA8"/>
    <w:rsid w:val="553218C9"/>
    <w:rsid w:val="567E1AA5"/>
    <w:rsid w:val="56E47B74"/>
    <w:rsid w:val="57175D52"/>
    <w:rsid w:val="57BD3DD4"/>
    <w:rsid w:val="5A970A1E"/>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4874BF3"/>
    <w:rsid w:val="65E66580"/>
    <w:rsid w:val="664B1D71"/>
    <w:rsid w:val="664B4E8E"/>
    <w:rsid w:val="67277B67"/>
    <w:rsid w:val="67566AFF"/>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185B7F"/>
    <w:rsid w:val="776F6FFA"/>
    <w:rsid w:val="778769C8"/>
    <w:rsid w:val="77A75DCA"/>
    <w:rsid w:val="77DC22F5"/>
    <w:rsid w:val="783E271A"/>
    <w:rsid w:val="78616DE9"/>
    <w:rsid w:val="78E875D7"/>
    <w:rsid w:val="79086DAD"/>
    <w:rsid w:val="799449F7"/>
    <w:rsid w:val="79D7FD79"/>
    <w:rsid w:val="79EE5BA4"/>
    <w:rsid w:val="7A894339"/>
    <w:rsid w:val="7AD284E8"/>
    <w:rsid w:val="7AFF7572"/>
    <w:rsid w:val="7B6C7DFB"/>
    <w:rsid w:val="7BBFBED0"/>
    <w:rsid w:val="7BC3E394"/>
    <w:rsid w:val="7BEE6EAE"/>
    <w:rsid w:val="7C1F3737"/>
    <w:rsid w:val="7C3C787F"/>
    <w:rsid w:val="7CBFC87B"/>
    <w:rsid w:val="7CFE0F48"/>
    <w:rsid w:val="7D272ABC"/>
    <w:rsid w:val="7D7EC23E"/>
    <w:rsid w:val="7E2D0162"/>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6"/>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Plain Text"/>
    <w:basedOn w:val="1"/>
    <w:qFormat/>
    <w:uiPriority w:val="99"/>
    <w:rPr>
      <w:rFonts w:ascii="宋体" w:hAnsi="Courier New"/>
    </w:rPr>
  </w:style>
  <w:style w:type="paragraph" w:styleId="10">
    <w:name w:val="Balloon Text"/>
    <w:basedOn w:val="1"/>
    <w:link w:val="32"/>
    <w:semiHidden/>
    <w:unhideWhenUsed/>
    <w:qFormat/>
    <w:uiPriority w:val="99"/>
    <w:rPr>
      <w:sz w:val="18"/>
      <w:szCs w:val="18"/>
    </w:rPr>
  </w:style>
  <w:style w:type="paragraph" w:styleId="11">
    <w:name w:val="footer"/>
    <w:basedOn w:val="1"/>
    <w:next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7"/>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5"/>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2"/>
    <w:qFormat/>
    <w:uiPriority w:val="9"/>
    <w:rPr>
      <w:rFonts w:ascii="Times New Roman" w:hAnsi="Times New Roman"/>
      <w:b/>
      <w:bCs/>
      <w:kern w:val="44"/>
      <w:sz w:val="44"/>
      <w:szCs w:val="44"/>
    </w:rPr>
  </w:style>
  <w:style w:type="character" w:customStyle="1" w:styleId="30">
    <w:name w:val="标题 2 Char"/>
    <w:basedOn w:val="17"/>
    <w:link w:val="3"/>
    <w:qFormat/>
    <w:uiPriority w:val="9"/>
    <w:rPr>
      <w:rFonts w:asciiTheme="majorHAnsi" w:hAnsiTheme="majorHAnsi" w:eastAsiaTheme="majorEastAsia" w:cstheme="majorBidi"/>
      <w:b/>
      <w:bCs/>
      <w:kern w:val="2"/>
      <w:sz w:val="32"/>
      <w:szCs w:val="32"/>
    </w:r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4"/>
    <w:qFormat/>
    <w:uiPriority w:val="9"/>
    <w:rPr>
      <w:rFonts w:ascii="Times New Roman" w:hAnsi="Times New Roman"/>
      <w:b/>
      <w:bCs/>
      <w:kern w:val="2"/>
      <w:sz w:val="32"/>
      <w:szCs w:val="32"/>
    </w:rPr>
  </w:style>
  <w:style w:type="paragraph" w:customStyle="1" w:styleId="3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7.xml"/><Relationship Id="rId18" Type="http://schemas.openxmlformats.org/officeDocument/2006/relationships/chart" Target="charts/chart6.xml"/><Relationship Id="rId17" Type="http://schemas.openxmlformats.org/officeDocument/2006/relationships/chart" Target="charts/chart5.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G:\&#20219;&#20025;\&#20915;&#31639;&#30011;&#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20219;&#20025;\&#20915;&#31639;&#30011;&#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20219;&#20025;\&#20915;&#31639;&#30011;&#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G:\&#20219;&#20025;\&#20915;&#31639;&#30011;&#34920;.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G:\&#20219;&#20025;\&#20915;&#31639;&#30011;&#34920;.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G:\&#20219;&#20025;\&#20915;&#31639;&#30011;&#34920;.xls"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F:\&#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t>收、支决算总计变动情况图（单位：万元）</a:t>
            </a:r>
          </a:p>
        </c:rich>
      </c:tx>
      <c:layout>
        <c:manualLayout>
          <c:xMode val="edge"/>
          <c:yMode val="edge"/>
          <c:x val="0.14261006740284"/>
          <c:y val="0.0417053543794491"/>
        </c:manualLayout>
      </c:layout>
      <c:overlay val="0"/>
      <c:spPr>
        <a:noFill/>
        <a:ln>
          <a:noFill/>
        </a:ln>
        <a:effectLst/>
      </c:spPr>
    </c:title>
    <c:autoTitleDeleted val="0"/>
    <c:plotArea>
      <c:layout>
        <c:manualLayout>
          <c:layoutTarget val="inner"/>
          <c:xMode val="edge"/>
          <c:yMode val="edge"/>
          <c:x val="0.0667753201396973"/>
          <c:y val="0.240629422968911"/>
          <c:w val="0.797992446829656"/>
          <c:h val="0.655997742026531"/>
        </c:manualLayout>
      </c:layout>
      <c:barChart>
        <c:barDir val="col"/>
        <c:grouping val="clustered"/>
        <c:varyColors val="0"/>
        <c:ser>
          <c:idx val="0"/>
          <c:order val="0"/>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[决算画表.xls]Sheet2!$A$3:$A$4</c:f>
              <c:strCache>
                <c:ptCount val="2"/>
                <c:pt idx="0">
                  <c:v>2023年收、支总计</c:v>
                </c:pt>
                <c:pt idx="1">
                  <c:v>2024年收、支总计</c:v>
                </c:pt>
              </c:strCache>
            </c:strRef>
          </c:cat>
          <c:val>
            <c:numRef>
              <c:f>[决算画表.xls]Sheet2!$B$3:$B$4</c:f>
              <c:numCache>
                <c:formatCode>General</c:formatCode>
                <c:ptCount val="2"/>
                <c:pt idx="0">
                  <c:v>339.08</c:v>
                </c:pt>
                <c:pt idx="1">
                  <c:v>2213.8</c:v>
                </c:pt>
              </c:numCache>
            </c:numRef>
          </c:val>
        </c:ser>
        <c:dLbls>
          <c:showLegendKey val="0"/>
          <c:showVal val="1"/>
          <c:showCatName val="0"/>
          <c:showSerName val="0"/>
          <c:showPercent val="0"/>
          <c:showBubbleSize val="0"/>
        </c:dLbls>
        <c:gapWidth val="246"/>
        <c:overlap val="-28"/>
        <c:axId val="325516804"/>
        <c:axId val="853065773"/>
      </c:barChart>
      <c:catAx>
        <c:axId val="325516804"/>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853065773"/>
        <c:crosses val="autoZero"/>
        <c:auto val="1"/>
        <c:lblAlgn val="ctr"/>
        <c:lblOffset val="100"/>
        <c:noMultiLvlLbl val="0"/>
      </c:catAx>
      <c:valAx>
        <c:axId val="853065773"/>
        <c:scaling>
          <c:orientation val="minMax"/>
        </c:scaling>
        <c:delete val="0"/>
        <c:axPos val="l"/>
        <c:majorGridlines>
          <c:spPr>
            <a:ln w="9525" cap="flat" cmpd="sng" algn="ctr">
              <a:solidFill>
                <a:srgbClr val="E6E6E6">
                  <a:lumMod val="902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25516804"/>
        <c:crosses val="autoZero"/>
        <c:crossBetween val="between"/>
      </c:valAx>
      <c:spPr>
        <a:noFill/>
        <a:ln>
          <a:noFill/>
        </a:ln>
        <a:effectLst/>
      </c:spPr>
    </c:plotArea>
    <c:plotVisOnly val="1"/>
    <c:dispBlanksAs val="gap"/>
    <c:showDLblsOverMax val="0"/>
    <c:extLst>
      <c:ext uri="{0b15fc19-7d7d-44ad-8c2d-2c3a37ce22c3}">
        <chartProps xmlns="https://web.wps.cn/et/2018/main" chartId="{8475496b-e665-4974-b0f0-74d1141704a0}"/>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t>收入决算结构图</a:t>
            </a:r>
            <a:endParaRPr sz="1400" b="1" i="0" u="none" strike="noStrike" baseline="0">
              <a:solidFill>
                <a:srgbClr val="404040">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375525762355415"/>
          <c:y val="0.0277777777777778"/>
        </c:manualLayout>
      </c:layout>
      <c:overlay val="0"/>
      <c:spPr>
        <a:noFill/>
        <a:ln>
          <a:noFill/>
        </a:ln>
        <a:effectLst/>
      </c:spPr>
    </c:title>
    <c:autoTitleDeleted val="0"/>
    <c:plotArea>
      <c:layout/>
      <c:pieChart>
        <c:varyColors val="1"/>
        <c:ser>
          <c:idx val="0"/>
          <c:order val="0"/>
          <c:explosion val="0"/>
          <c:dPt>
            <c:idx val="0"/>
            <c:bubble3D val="0"/>
            <c:explosion val="0"/>
            <c:spPr>
              <a:solidFill>
                <a:srgbClr val="4F81BD"/>
              </a:solidFill>
              <a:ln>
                <a:solidFill>
                  <a:srgbClr val="FFFFFF"/>
                </a:solidFill>
              </a:ln>
              <a:effectLst/>
            </c:spPr>
          </c:dPt>
          <c:dPt>
            <c:idx val="1"/>
            <c:bubble3D val="0"/>
            <c:explosion val="0"/>
            <c:spPr>
              <a:solidFill>
                <a:srgbClr val="C0504D"/>
              </a:solidFill>
              <a:ln>
                <a:solidFill>
                  <a:srgbClr val="FFFFFF"/>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inEnd"/>
            <c:showLegendKey val="0"/>
            <c:showVal val="0"/>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[决算画表.xls]Sheet2!$A$3:$A$4</c:f>
              <c:strCache>
                <c:ptCount val="2"/>
                <c:pt idx="0">
                  <c:v>一般公共预算财政拨款：27.16%</c:v>
                </c:pt>
                <c:pt idx="1">
                  <c:v>政府性基金预算财政拨款：72.84%</c:v>
                </c:pt>
              </c:strCache>
            </c:strRef>
          </c:cat>
          <c:val>
            <c:numRef>
              <c:f>[决算画表.xls]Sheet2!$B$3:$B$4</c:f>
              <c:numCache>
                <c:formatCode>General</c:formatCode>
                <c:ptCount val="2"/>
                <c:pt idx="0">
                  <c:v>601.3</c:v>
                </c:pt>
                <c:pt idx="1">
                  <c:v>1612.5</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808abac4-a5b5-4668-ab8d-33cb64021718}"/>
      </c:ext>
    </c:extLst>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rPr sz="1400" b="1" i="0" u="none" strike="noStrike" baseline="0">
                <a:solidFill>
                  <a:srgbClr val="404040">
                    <a:alpha val="100000"/>
                  </a:srgbClr>
                </a:solidFill>
                <a:latin typeface="宋体" panose="02010600030101010101" charset="-122"/>
                <a:ea typeface="宋体" panose="02010600030101010101" charset="-122"/>
                <a:cs typeface="宋体" panose="02010600030101010101" charset="-122"/>
              </a:rPr>
              <a:t>支出决算结构图</a:t>
            </a:r>
            <a:endParaRPr sz="1400" b="1" i="0" u="none" strike="noStrike" baseline="0">
              <a:solidFill>
                <a:srgbClr val="404040">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353969505783386"/>
          <c:y val="0.103472222222222"/>
        </c:manualLayout>
      </c:layout>
      <c:overlay val="0"/>
      <c:spPr>
        <a:noFill/>
        <a:ln>
          <a:noFill/>
        </a:ln>
        <a:effectLst/>
      </c:spPr>
    </c:title>
    <c:autoTitleDeleted val="0"/>
    <c:plotArea>
      <c:layout>
        <c:manualLayout>
          <c:layoutTarget val="inner"/>
          <c:xMode val="edge"/>
          <c:yMode val="edge"/>
          <c:x val="0.266298633017876"/>
          <c:y val="0.22037037037037"/>
          <c:w val="0.438748685594111"/>
          <c:h val="0.772685185185185"/>
        </c:manualLayout>
      </c:layout>
      <c:pieChart>
        <c:varyColors val="1"/>
        <c:ser>
          <c:idx val="0"/>
          <c:order val="0"/>
          <c:explosion val="0"/>
          <c:dPt>
            <c:idx val="0"/>
            <c:bubble3D val="0"/>
            <c:explosion val="0"/>
            <c:spPr>
              <a:solidFill>
                <a:srgbClr val="4F81BD"/>
              </a:solidFill>
              <a:ln>
                <a:solidFill>
                  <a:srgbClr val="FFFFFF"/>
                </a:solidFill>
              </a:ln>
              <a:effectLst/>
            </c:spPr>
          </c:dPt>
          <c:dPt>
            <c:idx val="1"/>
            <c:bubble3D val="0"/>
            <c:explosion val="0"/>
            <c:spPr>
              <a:solidFill>
                <a:srgbClr val="C0504D"/>
              </a:solidFill>
              <a:ln>
                <a:solidFill>
                  <a:srgbClr val="FFFFFF"/>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inEnd"/>
            <c:showLegendKey val="0"/>
            <c:showVal val="0"/>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[决算画表.xls]Sheet2!$A$3:$A$4</c:f>
              <c:strCache>
                <c:ptCount val="2"/>
                <c:pt idx="0">
                  <c:v>基本支出：11.8%</c:v>
                </c:pt>
                <c:pt idx="1">
                  <c:v>项目支出：88.2%</c:v>
                </c:pt>
              </c:strCache>
            </c:strRef>
          </c:cat>
          <c:val>
            <c:numRef>
              <c:f>[决算画表.xls]Sheet2!$B$3:$B$4</c:f>
              <c:numCache>
                <c:formatCode>General</c:formatCode>
                <c:ptCount val="2"/>
                <c:pt idx="0">
                  <c:v>601.3</c:v>
                </c:pt>
                <c:pt idx="1">
                  <c:v>1612.5</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7528aa69-b2f6-4981-8b19-26e05248e08e}"/>
      </c:ext>
    </c:extLst>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t>财政拨款收、支决算总计变动表（单位：万元）</a:t>
            </a:r>
          </a:p>
        </c:rich>
      </c:tx>
      <c:layout/>
      <c:overlay val="0"/>
      <c:spPr>
        <a:noFill/>
        <a:ln>
          <a:noFill/>
        </a:ln>
        <a:effectLst/>
      </c:spPr>
    </c:title>
    <c:autoTitleDeleted val="0"/>
    <c:plotArea>
      <c:layout/>
      <c:barChart>
        <c:barDir val="col"/>
        <c:grouping val="clustered"/>
        <c:varyColors val="0"/>
        <c:ser>
          <c:idx val="0"/>
          <c:order val="0"/>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[决算画表.xls]Sheet2!$A$44:$A$45</c:f>
              <c:strCache>
                <c:ptCount val="2"/>
                <c:pt idx="0">
                  <c:v>2023年财政拨款收、支决算总计</c:v>
                </c:pt>
                <c:pt idx="1">
                  <c:v>2024年财政拨款收、支决算总计</c:v>
                </c:pt>
              </c:strCache>
            </c:strRef>
          </c:cat>
          <c:val>
            <c:numRef>
              <c:f>[决算画表.xls]Sheet2!$B$44:$B$45</c:f>
              <c:numCache>
                <c:formatCode>General</c:formatCode>
                <c:ptCount val="2"/>
                <c:pt idx="0">
                  <c:v>339.08</c:v>
                </c:pt>
                <c:pt idx="1">
                  <c:v>2213.8</c:v>
                </c:pt>
              </c:numCache>
            </c:numRef>
          </c:val>
        </c:ser>
        <c:dLbls>
          <c:showLegendKey val="0"/>
          <c:showVal val="1"/>
          <c:showCatName val="0"/>
          <c:showSerName val="0"/>
          <c:showPercent val="0"/>
          <c:showBubbleSize val="0"/>
        </c:dLbls>
        <c:gapWidth val="246"/>
        <c:overlap val="-28"/>
        <c:axId val="412286714"/>
        <c:axId val="775054420"/>
      </c:barChart>
      <c:catAx>
        <c:axId val="412286714"/>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775054420"/>
        <c:crosses val="autoZero"/>
        <c:auto val="1"/>
        <c:lblAlgn val="ctr"/>
        <c:lblOffset val="100"/>
        <c:noMultiLvlLbl val="0"/>
      </c:catAx>
      <c:valAx>
        <c:axId val="775054420"/>
        <c:scaling>
          <c:orientation val="minMax"/>
        </c:scaling>
        <c:delete val="0"/>
        <c:axPos val="l"/>
        <c:majorGridlines>
          <c:spPr>
            <a:ln w="9525" cap="flat" cmpd="sng" algn="ctr">
              <a:solidFill>
                <a:srgbClr val="E6E6E6">
                  <a:lumMod val="902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412286714"/>
        <c:crosses val="autoZero"/>
        <c:crossBetween val="between"/>
      </c:valAx>
      <c:spPr>
        <a:noFill/>
        <a:ln>
          <a:noFill/>
        </a:ln>
        <a:effectLst/>
      </c:spPr>
    </c:plotArea>
    <c:plotVisOnly val="1"/>
    <c:dispBlanksAs val="gap"/>
    <c:showDLblsOverMax val="0"/>
    <c:extLst>
      <c:ext uri="{0b15fc19-7d7d-44ad-8c2d-2c3a37ce22c3}">
        <chartProps xmlns="https://web.wps.cn/et/2018/main" chartId="{60ffbe07-74ae-48f2-8dfe-30295e1e1302}"/>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t>一般公共预算财政拨款支出决算变动情况</a:t>
            </a:r>
          </a:p>
          <a:p>
            <a:pPr defTabSz="914400">
              <a:defRPr lang="zh-CN" sz="1400" b="1" i="0" u="none" strike="noStrike" kern="1200" baseline="0">
                <a:solidFill>
                  <a:srgbClr val="404040">
                    <a:lumMod val="75000"/>
                    <a:lumOff val="25000"/>
                  </a:srgbClr>
                </a:solidFill>
                <a:latin typeface="+mn-lt"/>
                <a:ea typeface="+mn-ea"/>
                <a:cs typeface="+mn-cs"/>
              </a:defRPr>
            </a:pPr>
            <a:r>
              <a:t>（单位：万元）</a:t>
            </a:r>
          </a:p>
        </c:rich>
      </c:tx>
      <c:layout>
        <c:manualLayout>
          <c:xMode val="edge"/>
          <c:yMode val="edge"/>
          <c:x val="0.160883280757098"/>
          <c:y val="0.0782407407407407"/>
        </c:manualLayout>
      </c:layout>
      <c:overlay val="0"/>
      <c:spPr>
        <a:noFill/>
        <a:ln>
          <a:noFill/>
        </a:ln>
        <a:effectLst/>
      </c:spPr>
    </c:title>
    <c:autoTitleDeleted val="0"/>
    <c:plotArea>
      <c:layout>
        <c:manualLayout>
          <c:layoutTarget val="inner"/>
          <c:xMode val="edge"/>
          <c:yMode val="edge"/>
          <c:x val="0.0735541535226078"/>
          <c:y val="0.27037037037037"/>
          <c:w val="0.888328075709779"/>
          <c:h val="0.633888888888889"/>
        </c:manualLayout>
      </c:layout>
      <c:barChart>
        <c:barDir val="col"/>
        <c:grouping val="clustered"/>
        <c:varyColors val="0"/>
        <c:ser>
          <c:idx val="0"/>
          <c:order val="0"/>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[决算画表.xls]Sheet2!$A$44:$A$45</c:f>
              <c:strCache>
                <c:ptCount val="2"/>
                <c:pt idx="0">
                  <c:v>2023年一般公共预算财政拨款支出</c:v>
                </c:pt>
                <c:pt idx="1">
                  <c:v>2024年一般公共预算财政拨款支出</c:v>
                </c:pt>
              </c:strCache>
            </c:strRef>
          </c:cat>
          <c:val>
            <c:numRef>
              <c:f>[决算画表.xls]Sheet2!$B$44:$B$45</c:f>
              <c:numCache>
                <c:formatCode>General</c:formatCode>
                <c:ptCount val="2"/>
                <c:pt idx="0">
                  <c:v>339.08</c:v>
                </c:pt>
                <c:pt idx="1">
                  <c:v>2213.8</c:v>
                </c:pt>
              </c:numCache>
            </c:numRef>
          </c:val>
        </c:ser>
        <c:dLbls>
          <c:showLegendKey val="0"/>
          <c:showVal val="1"/>
          <c:showCatName val="0"/>
          <c:showSerName val="0"/>
          <c:showPercent val="0"/>
          <c:showBubbleSize val="0"/>
        </c:dLbls>
        <c:gapWidth val="246"/>
        <c:overlap val="-28"/>
        <c:axId val="412286714"/>
        <c:axId val="775054420"/>
      </c:barChart>
      <c:catAx>
        <c:axId val="412286714"/>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775054420"/>
        <c:crosses val="autoZero"/>
        <c:auto val="1"/>
        <c:lblAlgn val="ctr"/>
        <c:lblOffset val="100"/>
        <c:noMultiLvlLbl val="0"/>
      </c:catAx>
      <c:valAx>
        <c:axId val="775054420"/>
        <c:scaling>
          <c:orientation val="minMax"/>
        </c:scaling>
        <c:delete val="0"/>
        <c:axPos val="l"/>
        <c:majorGridlines>
          <c:spPr>
            <a:ln w="9525" cap="flat" cmpd="sng" algn="ctr">
              <a:solidFill>
                <a:srgbClr val="E6E6E6">
                  <a:lumMod val="902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412286714"/>
        <c:crosses val="autoZero"/>
        <c:crossBetween val="between"/>
      </c:valAx>
      <c:spPr>
        <a:noFill/>
        <a:ln>
          <a:noFill/>
        </a:ln>
        <a:effectLst/>
      </c:spPr>
    </c:plotArea>
    <c:plotVisOnly val="1"/>
    <c:dispBlanksAs val="gap"/>
    <c:showDLblsOverMax val="0"/>
    <c:extLst>
      <c:ext uri="{0b15fc19-7d7d-44ad-8c2d-2c3a37ce22c3}">
        <chartProps xmlns="https://web.wps.cn/et/2018/main" chartId="{3f1e9fdf-ecb4-4219-a7b1-d12b23158903}"/>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rgbClr val="4F81BD"/>
              </a:solidFill>
              <a:ln>
                <a:solidFill>
                  <a:srgbClr val="FFFFFF"/>
                </a:solidFill>
              </a:ln>
              <a:effectLst/>
            </c:spPr>
          </c:dPt>
          <c:dPt>
            <c:idx val="1"/>
            <c:bubble3D val="0"/>
            <c:spPr>
              <a:solidFill>
                <a:srgbClr val="C0504D"/>
              </a:solidFill>
              <a:ln>
                <a:solidFill>
                  <a:srgbClr val="FFFFFF"/>
                </a:solidFill>
              </a:ln>
              <a:effectLst/>
            </c:spPr>
          </c:dPt>
          <c:dPt>
            <c:idx val="2"/>
            <c:bubble3D val="0"/>
            <c:spPr>
              <a:solidFill>
                <a:srgbClr val="9BBB59"/>
              </a:solidFill>
              <a:ln>
                <a:solidFill>
                  <a:srgbClr val="FFFFFF"/>
                </a:solidFill>
              </a:ln>
              <a:effectLst/>
            </c:spPr>
          </c:dPt>
          <c:dPt>
            <c:idx val="3"/>
            <c:bubble3D val="0"/>
            <c:spPr>
              <a:solidFill>
                <a:srgbClr val="8064A2"/>
              </a:solidFill>
              <a:ln>
                <a:solidFill>
                  <a:srgbClr val="FFFFFF"/>
                </a:solidFill>
              </a:ln>
              <a:effectLst/>
            </c:spPr>
          </c:dPt>
          <c:dPt>
            <c:idx val="4"/>
            <c:bubble3D val="0"/>
            <c:spPr>
              <a:solidFill>
                <a:srgbClr val="4BACC6"/>
              </a:solidFill>
              <a:ln>
                <a:solidFill>
                  <a:srgbClr val="FFFFFF"/>
                </a:solidFill>
              </a:ln>
              <a:effectLst/>
            </c:spPr>
          </c:dPt>
          <c:dPt>
            <c:idx val="5"/>
            <c:bubble3D val="0"/>
            <c:spPr>
              <a:solidFill>
                <a:srgbClr val="F79646"/>
              </a:solidFill>
              <a:ln>
                <a:solidFill>
                  <a:srgbClr val="FFFFFF"/>
                </a:solidFill>
              </a:ln>
              <a:effectLst/>
            </c:spPr>
          </c:dPt>
          <c:dPt>
            <c:idx val="6"/>
            <c:bubble3D val="0"/>
            <c:spPr>
              <a:solidFill>
                <a:srgbClr val="2C4D75">
                  <a:lumMod val="60000"/>
                </a:srgbClr>
              </a:solidFill>
              <a:ln>
                <a:solidFill>
                  <a:srgbClr val="FFFFFF"/>
                </a:solidFill>
              </a:ln>
              <a:effectLst/>
            </c:spPr>
          </c:dPt>
          <c:dLbls>
            <c:dLbl>
              <c:idx val="0"/>
              <c:layout>
                <c:manualLayout>
                  <c:x val="0.0170416028581329"/>
                  <c:y val="-0.016853964976524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80601822709955"/>
                  <c:y val="0.005342372907589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08223052756203"/>
                  <c:y val="-0.014120373538226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26774860040056"/>
                  <c:y val="0.074679545712949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[决算画表.xls]Sheet2!$A$58:$A$64</c:f>
              <c:strCache>
                <c:ptCount val="7"/>
                <c:pt idx="0">
                  <c:v>社会保障和就业（类）</c:v>
                </c:pt>
                <c:pt idx="1">
                  <c:v>卫生健康（类）</c:v>
                </c:pt>
                <c:pt idx="2">
                  <c:v>城乡社区（类）</c:v>
                </c:pt>
                <c:pt idx="3">
                  <c:v>农林水（类）</c:v>
                </c:pt>
                <c:pt idx="4">
                  <c:v>商业服务业等（类）</c:v>
                </c:pt>
                <c:pt idx="5">
                  <c:v>住房保障（类）</c:v>
                </c:pt>
                <c:pt idx="6">
                  <c:v>其他（类）</c:v>
                </c:pt>
              </c:strCache>
            </c:strRef>
          </c:cat>
          <c:val>
            <c:numRef>
              <c:f>[决算画表.xls]Sheet2!$B$58:$B$64</c:f>
              <c:numCache>
                <c:formatCode>0.00%</c:formatCode>
                <c:ptCount val="7"/>
                <c:pt idx="0">
                  <c:v>0.0208</c:v>
                </c:pt>
                <c:pt idx="1">
                  <c:v>0.0068</c:v>
                </c:pt>
                <c:pt idx="2">
                  <c:v>0.0056</c:v>
                </c:pt>
                <c:pt idx="3">
                  <c:v>0.0352</c:v>
                </c:pt>
                <c:pt idx="4">
                  <c:v>0.2023</c:v>
                </c:pt>
                <c:pt idx="5">
                  <c:v>0.0065</c:v>
                </c:pt>
                <c:pt idx="6">
                  <c:v>0.7228</c:v>
                </c:pt>
              </c:numCache>
            </c:numRef>
          </c:val>
        </c:ser>
        <c:ser>
          <c:idx val="1"/>
          <c:order val="1"/>
          <c:spPr/>
          <c:explosion val="0"/>
          <c:dPt>
            <c:idx val="0"/>
            <c:bubble3D val="0"/>
            <c:spPr>
              <a:solidFill>
                <a:srgbClr val="4F81BD"/>
              </a:solidFill>
              <a:ln>
                <a:solidFill>
                  <a:srgbClr val="FFFFFF"/>
                </a:solidFill>
              </a:ln>
              <a:effectLst/>
            </c:spPr>
          </c:dPt>
          <c:dPt>
            <c:idx val="1"/>
            <c:bubble3D val="0"/>
            <c:spPr>
              <a:solidFill>
                <a:srgbClr val="C0504D"/>
              </a:solidFill>
              <a:ln>
                <a:solidFill>
                  <a:srgbClr val="FFFFFF"/>
                </a:solidFill>
              </a:ln>
              <a:effectLst/>
            </c:spPr>
          </c:dPt>
          <c:dPt>
            <c:idx val="2"/>
            <c:bubble3D val="0"/>
            <c:spPr>
              <a:solidFill>
                <a:srgbClr val="9BBB59"/>
              </a:solidFill>
              <a:ln>
                <a:solidFill>
                  <a:srgbClr val="FFFFFF"/>
                </a:solidFill>
              </a:ln>
              <a:effectLst/>
            </c:spPr>
          </c:dPt>
          <c:dPt>
            <c:idx val="3"/>
            <c:bubble3D val="0"/>
            <c:spPr>
              <a:solidFill>
                <a:srgbClr val="8064A2"/>
              </a:solidFill>
              <a:ln>
                <a:solidFill>
                  <a:srgbClr val="FFFFFF"/>
                </a:solidFill>
              </a:ln>
              <a:effectLst/>
            </c:spPr>
          </c:dPt>
          <c:dLbls>
            <c:delete val="1"/>
          </c:dLbls>
          <c:val>
            <c:numRef>
              <c:f>{4.3,2.5,3.5,4.5}</c:f>
              <c:numCache>
                <c:formatCode>General</c:formatCode>
                <c:ptCount val="4"/>
                <c:pt idx="0">
                  <c:v>4.3</c:v>
                </c:pt>
                <c:pt idx="1">
                  <c:v>2.5</c:v>
                </c:pt>
                <c:pt idx="2">
                  <c:v>3.5</c:v>
                </c:pt>
                <c:pt idx="3">
                  <c:v>4.5</c:v>
                </c:pt>
              </c:numCache>
            </c:numRef>
          </c:val>
        </c:ser>
        <c:ser>
          <c:idx val="2"/>
          <c:order val="2"/>
          <c:spPr/>
          <c:explosion val="0"/>
          <c:dPt>
            <c:idx val="0"/>
            <c:bubble3D val="0"/>
            <c:spPr>
              <a:solidFill>
                <a:srgbClr val="4F81BD"/>
              </a:solidFill>
              <a:ln>
                <a:solidFill>
                  <a:srgbClr val="FFFFFF"/>
                </a:solidFill>
              </a:ln>
              <a:effectLst/>
            </c:spPr>
          </c:dPt>
          <c:dPt>
            <c:idx val="1"/>
            <c:bubble3D val="0"/>
            <c:spPr>
              <a:solidFill>
                <a:srgbClr val="C0504D"/>
              </a:solidFill>
              <a:ln>
                <a:solidFill>
                  <a:srgbClr val="FFFFFF"/>
                </a:solidFill>
              </a:ln>
              <a:effectLst/>
            </c:spPr>
          </c:dPt>
          <c:dPt>
            <c:idx val="2"/>
            <c:bubble3D val="0"/>
            <c:spPr>
              <a:solidFill>
                <a:srgbClr val="9BBB59"/>
              </a:solidFill>
              <a:ln>
                <a:solidFill>
                  <a:srgbClr val="FFFFFF"/>
                </a:solidFill>
              </a:ln>
              <a:effectLst/>
            </c:spPr>
          </c:dPt>
          <c:dPt>
            <c:idx val="3"/>
            <c:bubble3D val="0"/>
            <c:spPr>
              <a:solidFill>
                <a:srgbClr val="8064A2"/>
              </a:solidFill>
              <a:ln>
                <a:solidFill>
                  <a:srgbClr val="FFFFFF"/>
                </a:solidFill>
              </a:ln>
              <a:effectLst/>
            </c:spPr>
          </c:dPt>
          <c:dLbls>
            <c:delete val="1"/>
          </c:dLbls>
          <c:val>
            <c:numRef>
              <c:f>{2.4,4.4,1.8,2.8}</c:f>
              <c:numCache>
                <c:formatCode>General</c:formatCode>
                <c:ptCount val="4"/>
                <c:pt idx="0">
                  <c:v>2.4</c:v>
                </c:pt>
                <c:pt idx="1">
                  <c:v>4.4</c:v>
                </c:pt>
                <c:pt idx="2">
                  <c:v>1.8</c:v>
                </c:pt>
                <c:pt idx="3">
                  <c:v>2.8</c:v>
                </c:pt>
              </c:numCache>
            </c:numRef>
          </c:val>
        </c:ser>
        <c:ser>
          <c:idx val="3"/>
          <c:order val="3"/>
          <c:spPr/>
          <c:explosion val="0"/>
          <c:dPt>
            <c:idx val="0"/>
            <c:bubble3D val="0"/>
            <c:spPr>
              <a:solidFill>
                <a:srgbClr val="4F81BD"/>
              </a:solidFill>
              <a:ln>
                <a:solidFill>
                  <a:srgbClr val="FFFFFF"/>
                </a:solidFill>
              </a:ln>
              <a:effectLst/>
            </c:spPr>
          </c:dPt>
          <c:dPt>
            <c:idx val="1"/>
            <c:bubble3D val="0"/>
            <c:spPr>
              <a:solidFill>
                <a:srgbClr val="C0504D"/>
              </a:solidFill>
              <a:ln>
                <a:solidFill>
                  <a:srgbClr val="FFFFFF"/>
                </a:solidFill>
              </a:ln>
              <a:effectLst/>
            </c:spPr>
          </c:dPt>
          <c:dPt>
            <c:idx val="2"/>
            <c:bubble3D val="0"/>
            <c:spPr>
              <a:solidFill>
                <a:srgbClr val="9BBB59"/>
              </a:solidFill>
              <a:ln>
                <a:solidFill>
                  <a:srgbClr val="FFFFFF"/>
                </a:solidFill>
              </a:ln>
              <a:effectLst/>
            </c:spPr>
          </c:dPt>
          <c:dPt>
            <c:idx val="3"/>
            <c:bubble3D val="0"/>
            <c:spPr>
              <a:solidFill>
                <a:srgbClr val="8064A2"/>
              </a:solidFill>
              <a:ln>
                <a:solidFill>
                  <a:srgbClr val="FFFFFF"/>
                </a:solidFill>
              </a:ln>
              <a:effectLst/>
            </c:spPr>
          </c:dPt>
          <c:dLbls>
            <c:delete val="1"/>
          </c:dLbls>
          <c:val>
            <c:numRef>
              <c:f>{2,2,3,5}</c:f>
              <c:numCache>
                <c:formatCode>General</c:formatCode>
                <c:ptCount val="4"/>
                <c:pt idx="0">
                  <c:v>2</c:v>
                </c:pt>
                <c:pt idx="1">
                  <c:v>2</c:v>
                </c:pt>
                <c:pt idx="2">
                  <c:v>3</c:v>
                </c:pt>
                <c:pt idx="3">
                  <c:v>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888df6a3-f7c3-48b7-bddc-aa7fc935ad23}"/>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spPr>
            <a:solidFill>
              <a:srgbClr val="93CDDD">
                <a:lumMod val="60000"/>
                <a:lumOff val="40000"/>
              </a:srgbClr>
            </a:solidFill>
          </c:spPr>
          <c:explosion val="0"/>
          <c:dPt>
            <c:idx val="0"/>
            <c:bubble3D val="0"/>
            <c:spPr>
              <a:solidFill>
                <a:srgbClr val="93CDDD">
                  <a:lumMod val="60000"/>
                  <a:lumOff val="40000"/>
                </a:srgbClr>
              </a:solidFill>
              <a:ln w="19050">
                <a:solidFill>
                  <a:srgbClr val="FFFFFF"/>
                </a:solidFill>
              </a:ln>
              <a:effectLst/>
            </c:spPr>
          </c:dPt>
          <c:dPt>
            <c:idx val="1"/>
            <c:bubble3D val="0"/>
            <c:spPr>
              <a:solidFill>
                <a:srgbClr val="93CDDD">
                  <a:lumMod val="60000"/>
                  <a:lumOff val="40000"/>
                </a:srgbClr>
              </a:solidFill>
              <a:ln w="19050">
                <a:solidFill>
                  <a:srgbClr val="FFFFFF"/>
                </a:solidFill>
              </a:ln>
              <a:effectLst/>
            </c:spPr>
          </c:dPt>
          <c:dPt>
            <c:idx val="2"/>
            <c:bubble3D val="0"/>
            <c:spPr>
              <a:solidFill>
                <a:srgbClr val="93CDDD">
                  <a:lumMod val="60000"/>
                  <a:lumOff val="40000"/>
                </a:srgbClr>
              </a:solidFill>
              <a:ln w="19050">
                <a:solidFill>
                  <a:srgbClr val="FFFFFF"/>
                </a:solidFill>
              </a:ln>
              <a:effectLst/>
            </c:spPr>
          </c:dPt>
          <c:dLbls>
            <c:dLbl>
              <c:idx val="2"/>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'[新建 XLS 工作表.xls]Sheet1'!$B$24:$B$26</c:f>
              <c:strCache>
                <c:ptCount val="3"/>
                <c:pt idx="0">
                  <c:v>公出国（境）费支出  </c:v>
                </c:pt>
                <c:pt idx="1">
                  <c:v>公务用车购置及运行维护费支出 </c:v>
                </c:pt>
                <c:pt idx="2">
                  <c:v>公务接待费支出  </c:v>
                </c:pt>
              </c:strCache>
            </c:strRef>
          </c:cat>
          <c:val>
            <c:numRef>
              <c:f>'[新建 XLS 工作表.xls]Sheet1'!$C$24:$C$26</c:f>
              <c:numCache>
                <c:formatCode>General</c:formatCode>
                <c:ptCount val="3"/>
                <c:pt idx="0">
                  <c:v>0</c:v>
                </c:pt>
                <c:pt idx="1">
                  <c:v>0</c:v>
                </c:pt>
                <c:pt idx="2">
                  <c:v>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80d64378-81da-46ba-a25e-69a6c85824d4}"/>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noFill/>
      </a:ln>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noFill/>
      </a:ln>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solidFill>
          <a:srgbClr val="FFFFFF"/>
        </a:solidFill>
      </a:ln>
      <a:effectLst/>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noFill/>
      </a:ln>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53</Pages>
  <Words>16019</Words>
  <Characters>17159</Characters>
  <Lines>63</Lines>
  <Paragraphs>17</Paragraphs>
  <TotalTime>3</TotalTime>
  <ScaleCrop>false</ScaleCrop>
  <LinksUpToDate>false</LinksUpToDate>
  <CharactersWithSpaces>17295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垚</cp:lastModifiedBy>
  <cp:lastPrinted>2025-08-06T17:34:00Z</cp:lastPrinted>
  <dcterms:modified xsi:type="dcterms:W3CDTF">2025-10-28T09:05:44Z</dcterms:modified>
  <dc:title>四川省***</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630D92612840499EAE0CB64452BC81C0_13</vt:lpwstr>
  </property>
  <property fmtid="{D5CDD505-2E9C-101B-9397-08002B2CF9AE}" pid="4" name="KSOTemplateDocerSaveRecord">
    <vt:lpwstr>eyJoZGlkIjoiMjA3YzJhYzU5NmM0M2MzOGQyMWFlMmNhOGRkNzJkYjciLCJ1c2VySWQiOiIxMDA0MzA3MjYwIn0=</vt:lpwstr>
  </property>
</Properties>
</file>