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49776">
      <w:pPr>
        <w:pStyle w:val="2"/>
        <w:spacing w:before="93"/>
        <w:rPr>
          <w:rFonts w:hint="default" w:ascii="Times New Roman" w:hAnsi="Times New Roman" w:eastAsia="方正小标宋简体" w:cs="Times New Roman"/>
          <w:kern w:val="2"/>
          <w:sz w:val="72"/>
          <w:szCs w:val="72"/>
        </w:rPr>
      </w:pPr>
      <w:bookmarkStart w:id="0" w:name="_Toc15396475"/>
      <w:bookmarkStart w:id="1" w:name="_Toc15378441"/>
      <w:bookmarkStart w:id="2" w:name="_Toc15377193"/>
      <w:bookmarkStart w:id="3" w:name="_Toc15377425"/>
      <w:bookmarkStart w:id="4" w:name="_Toc15396597"/>
      <w:bookmarkStart w:id="5" w:name="_Toc15306267"/>
    </w:p>
    <w:p w14:paraId="77F6997D">
      <w:pPr>
        <w:pStyle w:val="2"/>
        <w:spacing w:before="93"/>
        <w:rPr>
          <w:rFonts w:hint="default" w:ascii="Times New Roman" w:hAnsi="Times New Roman" w:eastAsia="方正小标宋简体" w:cs="Times New Roman"/>
          <w:kern w:val="2"/>
          <w:sz w:val="72"/>
          <w:szCs w:val="72"/>
        </w:rPr>
      </w:pPr>
    </w:p>
    <w:p w14:paraId="069F3CC5">
      <w:pPr>
        <w:pStyle w:val="2"/>
        <w:spacing w:before="93"/>
        <w:rPr>
          <w:rFonts w:hint="default" w:ascii="Times New Roman" w:hAnsi="Times New Roman" w:eastAsia="方正小标宋简体" w:cs="Times New Roman"/>
          <w:kern w:val="2"/>
          <w:sz w:val="72"/>
          <w:szCs w:val="72"/>
        </w:rPr>
      </w:pPr>
    </w:p>
    <w:p w14:paraId="68D98247">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14:paraId="6D2550F8">
      <w:pPr>
        <w:pStyle w:val="2"/>
        <w:spacing w:before="93"/>
        <w:jc w:val="center"/>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盐边县红格镇初级中学校</w:t>
      </w:r>
    </w:p>
    <w:p w14:paraId="59E18843">
      <w:pPr>
        <w:pStyle w:val="2"/>
        <w:spacing w:before="93"/>
        <w:jc w:val="center"/>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r>
        <w:rPr>
          <w:rFonts w:hint="default" w:ascii="Times New Roman" w:hAnsi="Times New Roman" w:eastAsia="方正小标宋简体" w:cs="Times New Roman"/>
          <w:kern w:val="2"/>
          <w:sz w:val="72"/>
          <w:szCs w:val="72"/>
        </w:rPr>
        <w:t>单位决算公开</w:t>
      </w:r>
    </w:p>
    <w:bookmarkEnd w:id="0"/>
    <w:bookmarkEnd w:id="1"/>
    <w:bookmarkEnd w:id="2"/>
    <w:bookmarkEnd w:id="3"/>
    <w:bookmarkEnd w:id="4"/>
    <w:bookmarkEnd w:id="5"/>
    <w:sdt>
      <w:sdtPr>
        <w:rPr>
          <w:rFonts w:ascii="宋体" w:hAnsi="宋体" w:eastAsia="宋体" w:cs="Times New Roman"/>
          <w:kern w:val="2"/>
          <w:sz w:val="21"/>
          <w:szCs w:val="24"/>
          <w:lang w:val="en-US" w:eastAsia="zh-CN" w:bidi="ar-SA"/>
        </w:rPr>
        <w:id w:val="147467922"/>
        <w15:color w:val="DBDBDB"/>
        <w:docPartObj>
          <w:docPartGallery w:val="Table of Contents"/>
          <w:docPartUnique/>
        </w:docPartObj>
      </w:sdtPr>
      <w:sdtContent>
        <w:p w14:paraId="06A76A41">
          <w:pPr>
            <w:widowControl/>
            <w:jc w:val="center"/>
            <w:rPr>
              <w:rFonts w:hint="default"/>
            </w:rPr>
          </w:pPr>
          <w:bookmarkStart w:id="6" w:name="_Toc15377196"/>
          <w:bookmarkStart w:id="7" w:name="_Toc15396599"/>
          <w:r>
            <w:rPr>
              <w:rFonts w:hint="default" w:ascii="Times New Roman" w:hAnsi="Times New Roman" w:eastAsia="黑体" w:cs="Times New Roman"/>
              <w:sz w:val="48"/>
              <w:szCs w:val="48"/>
            </w:rPr>
            <w:t>目</w:t>
          </w:r>
          <w:r>
            <w:rPr>
              <w:rFonts w:hint="eastAsia" w:eastAsia="黑体" w:cs="Times New Roman"/>
              <w:sz w:val="48"/>
              <w:szCs w:val="48"/>
              <w:lang w:val="en-US" w:eastAsia="zh-CN"/>
            </w:rPr>
            <w:t xml:space="preserve"> </w:t>
          </w:r>
          <w:r>
            <w:rPr>
              <w:rFonts w:hint="default" w:ascii="Times New Roman" w:hAnsi="Times New Roman" w:eastAsia="黑体" w:cs="Times New Roman"/>
              <w:sz w:val="48"/>
              <w:szCs w:val="48"/>
            </w:rPr>
            <w:t>录</w:t>
          </w:r>
        </w:p>
        <w:p w14:paraId="6CD90458">
          <w:pPr>
            <w:pStyle w:val="12"/>
            <w:rPr>
              <w:rFonts w:ascii="宋体" w:hAnsi="宋体" w:eastAsia="宋体" w:cs="Times New Roman"/>
              <w:kern w:val="2"/>
              <w:sz w:val="21"/>
              <w:szCs w:val="24"/>
              <w:lang w:val="en-US" w:eastAsia="zh-CN" w:bidi="ar-SA"/>
            </w:rPr>
          </w:pPr>
          <w:r>
            <w:rPr>
              <w:rFonts w:hint="default" w:ascii="Times New Roman" w:hAnsi="Times New Roman" w:eastAsia="仿宋_GB2312" w:cs="Times New Roman"/>
              <w:sz w:val="32"/>
              <w:szCs w:val="32"/>
            </w:rPr>
            <w:t>公开时间：2025年 10 月 28 日</w:t>
          </w:r>
        </w:p>
        <w:p w14:paraId="31449CC2">
          <w:pPr>
            <w:pStyle w:val="12"/>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TOC \o "1-2" \h \u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_Toc31973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bCs w:val="0"/>
              <w:sz w:val="32"/>
              <w:szCs w:val="32"/>
            </w:rPr>
            <w:t>第一部分  部门概况</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_Toc31973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- 3 -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16E6B2E">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_Toc5682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一、部门职责</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_Toc5682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- 3 -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AEAA4E6">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_Toc31101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二、机构设置</w:t>
          </w:r>
          <w:r>
            <w:rPr>
              <w:rFonts w:hint="eastAsia" w:ascii="方正楷体_GBK" w:hAnsi="方正楷体_GBK" w:eastAsia="方正楷体_GBK" w:cs="方正楷体_GBK"/>
              <w:sz w:val="32"/>
              <w:szCs w:val="32"/>
            </w:rPr>
            <w:tab/>
          </w:r>
          <w:bookmarkStart w:id="93" w:name="_GoBack"/>
          <w:bookmarkEnd w:id="93"/>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_Toc31101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- 3 -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EACAA77">
          <w:pPr>
            <w:pStyle w:val="12"/>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_Toc23932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bCs w:val="0"/>
              <w:sz w:val="32"/>
              <w:szCs w:val="32"/>
            </w:rPr>
            <w:t>第二部分  2024年度部门决算情况说明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_Toc23932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- 4 -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47869A0">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_Toc30095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一、收入支出决算总体情况说明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_Toc30095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- 4 -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4B76BA3">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_Toc22548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二、收入决算情况说明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_Toc22548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- 4 -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8F3E190">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_Toc2941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三、支出决算情况说明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_Toc2941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- 5 -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C343E7B">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_Toc3783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四、财政拨款收入支出决算总体情况说明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_Toc3783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- 6 -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241E36A">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_Toc24839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五、一般公共预算财政拨款支出决算情况说明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_Toc24839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- 6 -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7F569558">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_Toc30681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六、一般公共预算财政拨款基本支出决算情况说明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_Toc30681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E36D772">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_Toc25825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七、财政拨款“三公”经费支出决算情况说明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_Toc25825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229F5E2">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_Toc15039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八、政府性基金预算支出决算情况说明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_Toc15039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- 12 -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5BB8666">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_Toc3569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九、国有资本经营预算支出决算情况说明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_Toc3569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- 12 -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1B17DCD2">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_Toc21226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十、其他重要事项的情况说明</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_Toc21226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- 13 -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63EBBD7F">
          <w:pPr>
            <w:pStyle w:val="12"/>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_Toc20861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bCs w:val="0"/>
              <w:sz w:val="32"/>
              <w:szCs w:val="32"/>
            </w:rPr>
            <w:t>第三部分  名词解释</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_Toc20861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- 15 -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BCD0AEF">
          <w:pPr>
            <w:pStyle w:val="12"/>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_Toc4538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bCs w:val="0"/>
              <w:sz w:val="32"/>
              <w:szCs w:val="32"/>
            </w:rPr>
            <w:t>第四部分  附件</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_Toc4538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- 19 -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CD76B19">
          <w:pPr>
            <w:pStyle w:val="12"/>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_Toc28629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bCs w:val="0"/>
              <w:sz w:val="32"/>
              <w:szCs w:val="32"/>
            </w:rPr>
            <w:t>第五部分 附表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_Toc28629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C84FC22">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_Toc16640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一、收入支出决算总表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_Toc16640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F48533B">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_Toc29499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二、收入决算表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_Toc29499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0E149B9E">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_Toc29384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三、支出决算表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_Toc29384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F3A7D0A">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_Toc23317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四、财政拨款收入支出决算总表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_Toc23317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3F32790">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_Toc12353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五、财政拨款支出决算明细表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_Toc12353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D5674C1">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_Toc32178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六、一般公共预算财政拨款支出决算表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_Toc32178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E943435">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_Toc2291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七、一般公共预算财政拨款支出决算明细表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_Toc2291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A059BD4">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_Toc15651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八、一般公共预算财政拨款基本支出决算表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_Toc15651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F7F8994">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_Toc19628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九、一般公共预算财政拨款项目支出决算表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_Toc19628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70AB534">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_Toc20474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十、政府性基金预算财政拨款收入支出决算表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_Toc20474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3636ED71">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_Toc19909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十一、国有资本经营预算财政拨款收入支出决算表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_Toc19909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538D2D84">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_Toc9456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十二、国有资本经营预算财政拨款支出决算表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_Toc9456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4A694CE5">
          <w:pPr>
            <w:pStyle w:val="14"/>
            <w:tabs>
              <w:tab w:val="right" w:leader="dot" w:pos="8306"/>
              <w:tab w:val="clear" w:pos="8296"/>
            </w:tabs>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HYPERLINK \l _Toc14006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十三、财政拨款“三公”经费支出决算表</w:t>
          </w:r>
          <w:r>
            <w:rPr>
              <w:rFonts w:hint="eastAsia" w:ascii="方正楷体_GBK" w:hAnsi="方正楷体_GBK" w:eastAsia="方正楷体_GBK" w:cs="方正楷体_GBK"/>
              <w:sz w:val="32"/>
              <w:szCs w:val="32"/>
            </w:rPr>
            <w:tab/>
          </w:r>
          <w:r>
            <w:rPr>
              <w:rFonts w:hint="eastAsia" w:ascii="方正楷体_GBK" w:hAnsi="方正楷体_GBK" w:eastAsia="方正楷体_GBK" w:cs="方正楷体_GBK"/>
              <w:sz w:val="32"/>
              <w:szCs w:val="32"/>
            </w:rPr>
            <w:fldChar w:fldCharType="begin"/>
          </w:r>
          <w:r>
            <w:rPr>
              <w:rFonts w:hint="eastAsia" w:ascii="方正楷体_GBK" w:hAnsi="方正楷体_GBK" w:eastAsia="方正楷体_GBK" w:cs="方正楷体_GBK"/>
              <w:sz w:val="32"/>
              <w:szCs w:val="32"/>
            </w:rPr>
            <w:instrText xml:space="preserve"> PAGEREF _Toc14006 \h </w:instrText>
          </w:r>
          <w:r>
            <w:rPr>
              <w:rFonts w:hint="eastAsia" w:ascii="方正楷体_GBK" w:hAnsi="方正楷体_GBK" w:eastAsia="方正楷体_GBK" w:cs="方正楷体_GBK"/>
              <w:sz w:val="32"/>
              <w:szCs w:val="32"/>
            </w:rPr>
            <w:fldChar w:fldCharType="separate"/>
          </w:r>
          <w:r>
            <w:rPr>
              <w:rFonts w:hint="eastAsia" w:ascii="方正楷体_GBK" w:hAnsi="方正楷体_GBK" w:eastAsia="方正楷体_GBK" w:cs="方正楷体_GBK"/>
              <w:sz w:val="32"/>
              <w:szCs w:val="32"/>
            </w:rPr>
            <w:t>- 20 -</w:t>
          </w:r>
          <w:r>
            <w:rPr>
              <w:rFonts w:hint="eastAsia" w:ascii="方正楷体_GBK" w:hAnsi="方正楷体_GBK" w:eastAsia="方正楷体_GBK" w:cs="方正楷体_GBK"/>
              <w:sz w:val="32"/>
              <w:szCs w:val="32"/>
            </w:rPr>
            <w:fldChar w:fldCharType="end"/>
          </w:r>
          <w:r>
            <w:rPr>
              <w:rFonts w:hint="eastAsia" w:ascii="方正楷体_GBK" w:hAnsi="方正楷体_GBK" w:eastAsia="方正楷体_GBK" w:cs="方正楷体_GBK"/>
              <w:sz w:val="32"/>
              <w:szCs w:val="32"/>
            </w:rPr>
            <w:fldChar w:fldCharType="end"/>
          </w:r>
        </w:p>
        <w:p w14:paraId="2EA38BF9">
          <w:r>
            <w:rPr>
              <w:rFonts w:hint="eastAsia" w:ascii="方正楷体_GBK" w:hAnsi="方正楷体_GBK" w:eastAsia="方正楷体_GBK" w:cs="方正楷体_GBK"/>
              <w:sz w:val="32"/>
              <w:szCs w:val="32"/>
            </w:rPr>
            <w:fldChar w:fldCharType="end"/>
          </w:r>
        </w:p>
      </w:sdtContent>
    </w:sdt>
    <w:p w14:paraId="120EDF35"/>
    <w:p w14:paraId="07E8BE27">
      <w:pPr>
        <w:widowControl/>
        <w:spacing w:line="560" w:lineRule="exact"/>
        <w:jc w:val="left"/>
        <w:rPr>
          <w:rFonts w:hint="default" w:ascii="Times New Roman" w:hAnsi="Times New Roman" w:eastAsia="仿宋_GB2312" w:cs="Times New Roman"/>
          <w:bCs/>
          <w:kern w:val="44"/>
          <w:sz w:val="32"/>
          <w:szCs w:val="32"/>
        </w:rPr>
      </w:pPr>
      <w:r>
        <w:rPr>
          <w:rFonts w:hint="default" w:ascii="Times New Roman" w:hAnsi="Times New Roman" w:eastAsia="仿宋_GB2312" w:cs="Times New Roman"/>
          <w:b/>
          <w:sz w:val="32"/>
          <w:szCs w:val="32"/>
        </w:rPr>
        <w:br w:type="page"/>
      </w:r>
    </w:p>
    <w:p w14:paraId="465A7526">
      <w:pPr>
        <w:pStyle w:val="3"/>
        <w:pageBreakBefore w:val="0"/>
        <w:widowControl w:val="0"/>
        <w:kinsoku/>
        <w:wordWrap/>
        <w:overflowPunct/>
        <w:topLinePunct w:val="0"/>
        <w:autoSpaceDE/>
        <w:autoSpaceDN/>
        <w:bidi w:val="0"/>
        <w:adjustRightInd/>
        <w:snapToGrid/>
        <w:spacing w:line="240" w:lineRule="auto"/>
        <w:jc w:val="center"/>
        <w:textAlignment w:val="auto"/>
        <w:rPr>
          <w:rStyle w:val="28"/>
          <w:rFonts w:hint="eastAsia" w:ascii="方正小标宋_GBK" w:hAnsi="方正小标宋_GBK" w:eastAsia="方正小标宋_GBK" w:cs="方正小标宋_GBK"/>
          <w:b/>
          <w:bCs w:val="0"/>
        </w:rPr>
      </w:pPr>
      <w:bookmarkStart w:id="8" w:name="_Toc31973"/>
      <w:r>
        <w:rPr>
          <w:rFonts w:hint="eastAsia" w:ascii="方正小标宋_GBK" w:hAnsi="方正小标宋_GBK" w:eastAsia="方正小标宋_GBK" w:cs="方正小标宋_GBK"/>
          <w:b/>
          <w:bCs w:val="0"/>
        </w:rPr>
        <w:t xml:space="preserve">第一部分  </w:t>
      </w:r>
      <w:r>
        <w:rPr>
          <w:rStyle w:val="28"/>
          <w:rFonts w:hint="eastAsia" w:ascii="方正小标宋_GBK" w:hAnsi="方正小标宋_GBK" w:eastAsia="方正小标宋_GBK" w:cs="方正小标宋_GBK"/>
          <w:b/>
          <w:bCs w:val="0"/>
        </w:rPr>
        <w:t>部门概况</w:t>
      </w:r>
      <w:bookmarkEnd w:id="6"/>
      <w:bookmarkEnd w:id="7"/>
      <w:bookmarkEnd w:id="8"/>
    </w:p>
    <w:p w14:paraId="2F614704">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9" w:name="_Toc15377197"/>
      <w:bookmarkStart w:id="10" w:name="_Toc15396600"/>
      <w:bookmarkStart w:id="11" w:name="_Toc5682"/>
      <w:bookmarkStart w:id="12" w:name="_Toc15377204"/>
      <w:bookmarkStart w:id="13" w:name="_Toc15396602"/>
      <w:r>
        <w:rPr>
          <w:rFonts w:hint="eastAsia" w:ascii="方正黑体_GBK" w:hAnsi="方正黑体_GBK" w:eastAsia="方正黑体_GBK" w:cs="方正黑体_GBK"/>
          <w:b w:val="0"/>
        </w:rPr>
        <w:t>一、</w:t>
      </w:r>
      <w:bookmarkEnd w:id="9"/>
      <w:bookmarkEnd w:id="10"/>
      <w:r>
        <w:rPr>
          <w:rFonts w:hint="eastAsia" w:ascii="方正黑体_GBK" w:hAnsi="方正黑体_GBK" w:eastAsia="方正黑体_GBK" w:cs="方正黑体_GBK"/>
          <w:b w:val="0"/>
        </w:rPr>
        <w:t>部门职责</w:t>
      </w:r>
      <w:bookmarkEnd w:id="11"/>
    </w:p>
    <w:p w14:paraId="5D48C2BF">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 贯彻执行党和国家的教育方针、政策、法规，研究制定盐边县红格镇初级中学校教育发展战略。</w:t>
      </w:r>
    </w:p>
    <w:p w14:paraId="0BCF788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2.研究制定盐边县红格镇初级中学校发展规划和年度计划，组织实施教育体制和办学体制改革。</w:t>
      </w:r>
    </w:p>
    <w:p w14:paraId="3C47DFF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3.管理和指导学校基础教育工作，确保盐边县红格镇、新九镇辖区普及九年义务教育工作成果。</w:t>
      </w:r>
    </w:p>
    <w:p w14:paraId="0B6B5B4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rPr>
      </w:pPr>
      <w:r>
        <w:rPr>
          <w:rFonts w:hint="eastAsia" w:ascii="方正仿宋_GBK" w:hAnsi="方正仿宋_GBK" w:eastAsia="方正仿宋_GBK" w:cs="方正仿宋_GBK"/>
          <w:sz w:val="32"/>
          <w:szCs w:val="32"/>
        </w:rPr>
        <w:t>4.管理学校教育经费，严格执行相关财务制度。</w:t>
      </w:r>
    </w:p>
    <w:p w14:paraId="30515008">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14" w:name="_Toc15396601"/>
      <w:bookmarkStart w:id="15" w:name="_Toc15377200"/>
      <w:bookmarkStart w:id="16" w:name="_Toc31101"/>
      <w:r>
        <w:rPr>
          <w:rFonts w:hint="default" w:ascii="方正黑体_GBK" w:hAnsi="方正黑体_GBK" w:eastAsia="方正黑体_GBK" w:cs="方正黑体_GBK"/>
          <w:b w:val="0"/>
        </w:rPr>
        <w:t>二、机构设置</w:t>
      </w:r>
      <w:bookmarkEnd w:id="14"/>
      <w:bookmarkEnd w:id="15"/>
      <w:bookmarkEnd w:id="16"/>
    </w:p>
    <w:p w14:paraId="5BFAE8C8">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盐边县红格镇初级中学校是盐边县教育和体育局下属独立编制机构。</w:t>
      </w:r>
    </w:p>
    <w:p w14:paraId="53EEA667">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盐边县红格镇初级中学校下属二级预算单位0个，其中行政单位0个，参照公务员法管理的事业单位0个，其他事业单位0个。</w:t>
      </w:r>
    </w:p>
    <w:p w14:paraId="3CE88012">
      <w:pPr>
        <w:pStyle w:val="13"/>
        <w:rPr>
          <w:rFonts w:hint="default" w:ascii="Times New Roman" w:hAnsi="Times New Roman" w:cs="Times New Roman"/>
        </w:rPr>
      </w:pPr>
    </w:p>
    <w:p w14:paraId="081AE17D">
      <w:pPr>
        <w:pStyle w:val="7"/>
        <w:ind w:left="420"/>
        <w:rPr>
          <w:rFonts w:hint="default" w:ascii="Times New Roman" w:hAnsi="Times New Roman" w:cs="Times New Roman"/>
        </w:rPr>
      </w:pPr>
    </w:p>
    <w:p w14:paraId="33D9F3AE">
      <w:pPr>
        <w:pStyle w:val="7"/>
        <w:ind w:left="420"/>
        <w:rPr>
          <w:rFonts w:hint="default" w:ascii="Times New Roman" w:hAnsi="Times New Roman" w:cs="Times New Roman"/>
        </w:rPr>
      </w:pPr>
    </w:p>
    <w:p w14:paraId="7F2F96CC">
      <w:pPr>
        <w:pStyle w:val="7"/>
        <w:ind w:left="420"/>
        <w:rPr>
          <w:rFonts w:hint="default" w:ascii="Times New Roman" w:hAnsi="Times New Roman" w:cs="Times New Roman"/>
        </w:rPr>
      </w:pPr>
    </w:p>
    <w:p w14:paraId="23C2C8E2">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rPr>
      </w:pPr>
      <w:bookmarkStart w:id="17" w:name="_Toc23932"/>
      <w:r>
        <w:rPr>
          <w:rFonts w:hint="default" w:ascii="方正小标宋_GBK" w:hAnsi="方正小标宋_GBK" w:eastAsia="方正小标宋_GBK" w:cs="方正小标宋_GBK"/>
          <w:b/>
          <w:bCs w:val="0"/>
        </w:rPr>
        <w:t>第二部分  2024年度部门决算情况说明</w:t>
      </w:r>
      <w:bookmarkEnd w:id="12"/>
      <w:bookmarkEnd w:id="13"/>
      <w:bookmarkEnd w:id="17"/>
    </w:p>
    <w:p w14:paraId="5242A96F">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18" w:name="_Toc15377205"/>
      <w:bookmarkStart w:id="19" w:name="_Toc15396603"/>
      <w:bookmarkStart w:id="20" w:name="_Toc30095"/>
      <w:r>
        <w:rPr>
          <w:rFonts w:hint="default" w:ascii="方正黑体_GBK" w:hAnsi="方正黑体_GBK" w:eastAsia="方正黑体_GBK" w:cs="方正黑体_GBK"/>
          <w:b w:val="0"/>
        </w:rPr>
        <w:t>一、收入支出决算总体情况说明</w:t>
      </w:r>
      <w:bookmarkEnd w:id="18"/>
      <w:bookmarkEnd w:id="19"/>
      <w:bookmarkEnd w:id="20"/>
    </w:p>
    <w:p w14:paraId="3C3083E6">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收入、支出总计均为2646.4万元。与2023年度相比，收入、支出总计各减少92.08万元，下降3.36%。主要变动原因是（1）基本支出（人员调出和退休所以人员经费减少和学生人数减少造成日常公用经费减少），(2)项目经费（红格运动场项目经费减少）。</w:t>
      </w:r>
    </w:p>
    <w:p w14:paraId="1FCA662F">
      <w:pPr>
        <w:pageBreakBefore w:val="0"/>
        <w:widowControl w:val="0"/>
        <w:suppressAutoHyphens/>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仿宋_GB2312" w:cs="Times New Roman"/>
          <w:sz w:val="32"/>
          <w:szCs w:val="32"/>
        </w:rPr>
      </w:pPr>
      <w:r>
        <w:rPr>
          <w:rFonts w:hint="default" w:ascii="方正仿宋_GBK" w:hAnsi="方正仿宋_GBK" w:eastAsia="方正仿宋_GBK" w:cs="方正仿宋_GBK"/>
          <w:sz w:val="32"/>
          <w:szCs w:val="32"/>
        </w:rPr>
        <w:t>（图1：收入、支出决算总计变动情况图）</w:t>
      </w:r>
    </w:p>
    <w:p w14:paraId="45FDBD6F">
      <w:pPr>
        <w:pStyle w:val="7"/>
        <w:ind w:left="0" w:leftChars="0" w:firstLine="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5352415" cy="3452495"/>
            <wp:effectExtent l="4445" t="4445" r="15240" b="10160"/>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06D847B">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21" w:name="_Toc15396604"/>
      <w:bookmarkStart w:id="22" w:name="_Toc15377206"/>
      <w:bookmarkStart w:id="23" w:name="_Toc22548"/>
      <w:r>
        <w:rPr>
          <w:rFonts w:hint="default" w:ascii="方正黑体_GBK" w:hAnsi="方正黑体_GBK" w:eastAsia="方正黑体_GBK" w:cs="方正黑体_GBK"/>
          <w:b w:val="0"/>
        </w:rPr>
        <w:t>二、收入决算情况说明</w:t>
      </w:r>
      <w:bookmarkEnd w:id="21"/>
      <w:bookmarkEnd w:id="22"/>
      <w:bookmarkEnd w:id="23"/>
    </w:p>
    <w:p w14:paraId="3A5EA0F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2024年度本年收入合计2646.4万元，其中：一般公共预算财政拨款收入2642.95万元，占99.87%；其他收入3.45万元，占0.13%。</w:t>
      </w:r>
    </w:p>
    <w:p w14:paraId="0A8F09C1">
      <w:pPr>
        <w:pageBreakBefore w:val="0"/>
        <w:widowControl w:val="0"/>
        <w:suppressAutoHyphens/>
        <w:kinsoku/>
        <w:wordWrap/>
        <w:overflowPunct/>
        <w:topLinePunct w:val="0"/>
        <w:autoSpaceDE/>
        <w:autoSpaceDN/>
        <w:bidi w:val="0"/>
        <w:adjustRightInd/>
        <w:snapToGrid/>
        <w:spacing w:line="240" w:lineRule="auto"/>
        <w:ind w:firstLine="640" w:firstLineChars="200"/>
        <w:jc w:val="center"/>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（图2：收入决算结构图）</w:t>
      </w:r>
    </w:p>
    <w:p w14:paraId="4512998F">
      <w:pPr>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5244465" cy="3065780"/>
            <wp:effectExtent l="4445" t="4445" r="8890" b="1587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799EA62">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24" w:name="_Toc15396605"/>
      <w:bookmarkStart w:id="25" w:name="_Toc15377207"/>
      <w:bookmarkStart w:id="26" w:name="_Toc2941"/>
      <w:r>
        <w:rPr>
          <w:rFonts w:hint="default" w:ascii="方正黑体_GBK" w:hAnsi="方正黑体_GBK" w:eastAsia="方正黑体_GBK" w:cs="方正黑体_GBK"/>
          <w:b w:val="0"/>
        </w:rPr>
        <w:t>三、支出决算情况说明</w:t>
      </w:r>
      <w:bookmarkEnd w:id="24"/>
      <w:bookmarkEnd w:id="25"/>
      <w:bookmarkEnd w:id="26"/>
    </w:p>
    <w:p w14:paraId="20F32763">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eastAsia" w:ascii="方正仿宋_GBK" w:hAnsi="方正仿宋_GBK" w:eastAsia="方正仿宋_GBK" w:cs="方正仿宋_GBK"/>
          <w:sz w:val="32"/>
          <w:szCs w:val="32"/>
          <w:lang w:val="en-US" w:eastAsia="zh-CN"/>
        </w:rPr>
      </w:pPr>
      <w:r>
        <w:rPr>
          <w:rFonts w:hint="default" w:ascii="方正仿宋_GBK" w:hAnsi="方正仿宋_GBK" w:eastAsia="方正仿宋_GBK" w:cs="方正仿宋_GBK"/>
          <w:sz w:val="32"/>
          <w:szCs w:val="32"/>
        </w:rPr>
        <w:t>2024年度本年支出合计2646.4万元，其中：基本支出2451.58万元，占92.64%；项目支出194.82万元，占7.36%</w:t>
      </w:r>
      <w:r>
        <w:rPr>
          <w:rFonts w:hint="eastAsia" w:ascii="方正仿宋_GBK" w:hAnsi="方正仿宋_GBK" w:eastAsia="方正仿宋_GBK" w:cs="方正仿宋_GBK"/>
          <w:sz w:val="32"/>
          <w:szCs w:val="32"/>
          <w:lang w:val="en-US" w:eastAsia="zh-CN"/>
        </w:rPr>
        <w:t>。</w:t>
      </w:r>
    </w:p>
    <w:p w14:paraId="0FAC82F0">
      <w:pPr>
        <w:ind w:firstLine="800" w:firstLineChars="250"/>
        <w:jc w:val="center"/>
        <w:rPr>
          <w:rFonts w:hint="default" w:ascii="方正仿宋_GBK" w:hAnsi="方正仿宋_GBK" w:eastAsia="方正仿宋_GBK" w:cs="方正仿宋_GBK"/>
          <w:sz w:val="32"/>
          <w:szCs w:val="32"/>
        </w:rPr>
      </w:pPr>
      <w:r>
        <w:rPr>
          <w:rFonts w:hint="default" w:ascii="Times New Roman" w:hAnsi="Times New Roman" w:eastAsia="仿宋_GB2312" w:cs="Times New Roman"/>
          <w:sz w:val="32"/>
          <w:szCs w:val="32"/>
        </w:rPr>
        <w:t>（</w:t>
      </w:r>
      <w:r>
        <w:rPr>
          <w:rFonts w:hint="default" w:ascii="方正仿宋_GBK" w:hAnsi="方正仿宋_GBK" w:eastAsia="方正仿宋_GBK" w:cs="方正仿宋_GBK"/>
          <w:sz w:val="32"/>
          <w:szCs w:val="32"/>
        </w:rPr>
        <w:t>图3：支出决算结构图）</w:t>
      </w:r>
    </w:p>
    <w:p w14:paraId="64F5987A">
      <w:pPr>
        <w:ind w:firstLine="525" w:firstLineChars="250"/>
        <w:rPr>
          <w:rFonts w:hint="default" w:ascii="Times New Roman" w:hAnsi="Times New Roman" w:eastAsia="仿宋_GB2312" w:cs="Times New Roman"/>
          <w:sz w:val="32"/>
          <w:szCs w:val="32"/>
        </w:rPr>
      </w:pPr>
      <w:r>
        <w:rPr>
          <w:rFonts w:hint="default" w:ascii="Times New Roman" w:hAnsi="Times New Roman" w:cs="Times New Roman"/>
        </w:rPr>
        <w:drawing>
          <wp:inline distT="0" distB="0" distL="114300" distR="114300">
            <wp:extent cx="4837430" cy="2834640"/>
            <wp:effectExtent l="4445" t="4445" r="15875" b="184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5C68E72">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27" w:name="_Toc15377208"/>
      <w:bookmarkStart w:id="28" w:name="_Toc15396606"/>
      <w:bookmarkStart w:id="29" w:name="_Toc3783"/>
      <w:r>
        <w:rPr>
          <w:rFonts w:hint="default" w:ascii="方正黑体_GBK" w:hAnsi="方正黑体_GBK" w:eastAsia="方正黑体_GBK" w:cs="方正黑体_GBK"/>
          <w:b w:val="0"/>
        </w:rPr>
        <w:t>四、财政拨款收入支出决算总体情况说明</w:t>
      </w:r>
      <w:bookmarkEnd w:id="27"/>
      <w:bookmarkEnd w:id="28"/>
      <w:bookmarkEnd w:id="29"/>
    </w:p>
    <w:p w14:paraId="1C84A256">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财政拨款收入、支出总计均为2642.95万元。与2023年度相比，财政拨款收入总计、支出总计各减少95.53万元，下降3.49%。主要变动原因是（1）基本支出（人员调出和退休所以人员经费减少和学生人数减少造成日常公用经费减少），（2）项目经费（红格运动场项目经费减少）。</w:t>
      </w:r>
    </w:p>
    <w:p w14:paraId="2B12C373">
      <w:pPr>
        <w:pageBreakBefore w:val="0"/>
        <w:widowControl w:val="0"/>
        <w:suppressAutoHyphens/>
        <w:kinsoku/>
        <w:wordWrap/>
        <w:overflowPunct/>
        <w:topLinePunct w:val="0"/>
        <w:autoSpaceDE/>
        <w:autoSpaceDN/>
        <w:bidi w:val="0"/>
        <w:adjustRightInd/>
        <w:snapToGrid/>
        <w:spacing w:line="240" w:lineRule="auto"/>
        <w:ind w:firstLine="640" w:firstLineChars="200"/>
        <w:jc w:val="center"/>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（图4：财政拨款收、支决算总计变动情况）</w:t>
      </w:r>
    </w:p>
    <w:p w14:paraId="1437BBC6">
      <w:pPr>
        <w:spacing w:line="600" w:lineRule="exact"/>
        <w:ind w:firstLine="640"/>
        <w:rPr>
          <w:rFonts w:hint="default" w:ascii="Times New Roman" w:hAnsi="Times New Roman" w:eastAsia="仿宋_GB2312" w:cs="Times New Roman"/>
          <w:sz w:val="32"/>
          <w:szCs w:val="32"/>
        </w:rPr>
      </w:pPr>
      <w:r>
        <w:rPr>
          <w:rFonts w:hint="default" w:ascii="Times New Roman" w:hAnsi="Times New Roman" w:cs="Times New Roman"/>
        </w:rPr>
        <w:drawing>
          <wp:anchor distT="0" distB="0" distL="114300" distR="114300" simplePos="0" relativeHeight="251659264" behindDoc="1" locked="0" layoutInCell="1" allowOverlap="1">
            <wp:simplePos x="0" y="0"/>
            <wp:positionH relativeFrom="column">
              <wp:posOffset>254000</wp:posOffset>
            </wp:positionH>
            <wp:positionV relativeFrom="paragraph">
              <wp:posOffset>196850</wp:posOffset>
            </wp:positionV>
            <wp:extent cx="5161915" cy="3496945"/>
            <wp:effectExtent l="4445" t="4445" r="15240" b="22860"/>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40F76DF">
      <w:pPr>
        <w:pStyle w:val="13"/>
        <w:rPr>
          <w:rFonts w:hint="default" w:ascii="Times New Roman" w:hAnsi="Times New Roman" w:eastAsia="仿宋_GB2312" w:cs="Times New Roman"/>
          <w:sz w:val="32"/>
          <w:szCs w:val="32"/>
        </w:rPr>
      </w:pPr>
    </w:p>
    <w:p w14:paraId="3AE306DD">
      <w:pPr>
        <w:pStyle w:val="7"/>
        <w:ind w:left="420" w:firstLine="640"/>
        <w:rPr>
          <w:rFonts w:hint="default" w:ascii="Times New Roman" w:hAnsi="Times New Roman" w:eastAsia="仿宋_GB2312" w:cs="Times New Roman"/>
          <w:sz w:val="32"/>
        </w:rPr>
      </w:pPr>
    </w:p>
    <w:p w14:paraId="16270429">
      <w:pPr>
        <w:pStyle w:val="7"/>
        <w:ind w:left="420" w:firstLine="640"/>
        <w:rPr>
          <w:rFonts w:hint="default" w:ascii="Times New Roman" w:hAnsi="Times New Roman" w:eastAsia="仿宋_GB2312" w:cs="Times New Roman"/>
          <w:sz w:val="32"/>
        </w:rPr>
      </w:pPr>
    </w:p>
    <w:p w14:paraId="443E5895">
      <w:pPr>
        <w:pStyle w:val="7"/>
        <w:ind w:left="420" w:firstLine="640"/>
        <w:rPr>
          <w:rFonts w:hint="default" w:ascii="Times New Roman" w:hAnsi="Times New Roman" w:eastAsia="仿宋_GB2312" w:cs="Times New Roman"/>
          <w:sz w:val="32"/>
        </w:rPr>
      </w:pPr>
    </w:p>
    <w:p w14:paraId="3CE64530">
      <w:pPr>
        <w:pStyle w:val="7"/>
        <w:ind w:left="420" w:firstLine="640"/>
        <w:rPr>
          <w:rFonts w:hint="default" w:ascii="Times New Roman" w:hAnsi="Times New Roman" w:eastAsia="仿宋_GB2312" w:cs="Times New Roman"/>
          <w:sz w:val="32"/>
        </w:rPr>
      </w:pPr>
    </w:p>
    <w:p w14:paraId="4D961204">
      <w:pPr>
        <w:pStyle w:val="7"/>
        <w:ind w:left="420" w:firstLine="640"/>
        <w:rPr>
          <w:rFonts w:hint="default" w:ascii="Times New Roman" w:hAnsi="Times New Roman" w:eastAsia="仿宋_GB2312" w:cs="Times New Roman"/>
          <w:sz w:val="32"/>
        </w:rPr>
      </w:pPr>
    </w:p>
    <w:p w14:paraId="384573A8">
      <w:pPr>
        <w:pStyle w:val="7"/>
        <w:ind w:left="420" w:firstLine="640"/>
        <w:rPr>
          <w:rFonts w:hint="default" w:ascii="Times New Roman" w:hAnsi="Times New Roman" w:eastAsia="仿宋_GB2312" w:cs="Times New Roman"/>
          <w:sz w:val="32"/>
        </w:rPr>
      </w:pPr>
    </w:p>
    <w:p w14:paraId="2AD0BC9D">
      <w:pPr>
        <w:pStyle w:val="7"/>
        <w:ind w:left="420" w:firstLine="640"/>
        <w:rPr>
          <w:rFonts w:hint="default" w:ascii="Times New Roman" w:hAnsi="Times New Roman" w:eastAsia="仿宋_GB2312" w:cs="Times New Roman"/>
          <w:sz w:val="32"/>
        </w:rPr>
      </w:pPr>
    </w:p>
    <w:p w14:paraId="4FA44360">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30" w:name="_Toc15396607"/>
      <w:bookmarkStart w:id="31" w:name="_Toc15377209"/>
      <w:bookmarkStart w:id="32" w:name="_Toc24839"/>
      <w:r>
        <w:rPr>
          <w:rFonts w:hint="default" w:ascii="方正黑体_GBK" w:hAnsi="方正黑体_GBK" w:eastAsia="方正黑体_GBK" w:cs="方正黑体_GBK"/>
          <w:b w:val="0"/>
        </w:rPr>
        <w:t>五、一般公共预算财政拨款支出决算情况说明</w:t>
      </w:r>
      <w:bookmarkEnd w:id="30"/>
      <w:bookmarkEnd w:id="31"/>
      <w:bookmarkEnd w:id="32"/>
    </w:p>
    <w:p w14:paraId="3B5FA8C6">
      <w:pPr>
        <w:spacing w:line="240" w:lineRule="auto"/>
        <w:ind w:firstLine="643" w:firstLineChars="200"/>
        <w:outlineLvl w:val="2"/>
        <w:rPr>
          <w:rFonts w:hint="default" w:ascii="Times New Roman" w:hAnsi="Times New Roman" w:eastAsia="楷体_GB2312" w:cs="Times New Roman"/>
          <w:b/>
          <w:sz w:val="32"/>
          <w:szCs w:val="32"/>
        </w:rPr>
      </w:pPr>
      <w:bookmarkStart w:id="33" w:name="_Toc15377210"/>
      <w:r>
        <w:rPr>
          <w:rFonts w:hint="eastAsia" w:ascii="方正楷体_GBK" w:hAnsi="方正楷体_GBK" w:eastAsia="方正楷体_GBK" w:cs="方正楷体_GBK"/>
          <w:b/>
          <w:bCs w:val="0"/>
          <w:sz w:val="32"/>
          <w:szCs w:val="32"/>
        </w:rPr>
        <w:t>（一）一般公共预算财政拨款支出决算总体情况</w:t>
      </w:r>
      <w:bookmarkEnd w:id="33"/>
    </w:p>
    <w:p w14:paraId="7188FD56">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一般公共预算财政拨款支出2,642.95万元，占本年支出合计的99.86%。与2023年度相比，一般公共预算财政拨款支出减少95.53万元，下降3.49%。主要变动原因是（1）基本支出（人员调出和退休所以人员经费减少和学生人数减少造成日常公用经费减少），（2）项目经费（红格运动场项目经费减少）。</w:t>
      </w:r>
    </w:p>
    <w:p w14:paraId="03CDD6CC">
      <w:pPr>
        <w:pageBreakBefore w:val="0"/>
        <w:widowControl w:val="0"/>
        <w:suppressAutoHyphens/>
        <w:kinsoku/>
        <w:wordWrap/>
        <w:overflowPunct/>
        <w:topLinePunct w:val="0"/>
        <w:autoSpaceDE/>
        <w:autoSpaceDN/>
        <w:bidi w:val="0"/>
        <w:adjustRightInd/>
        <w:snapToGrid/>
        <w:spacing w:line="240" w:lineRule="auto"/>
        <w:ind w:firstLine="640" w:firstLineChars="200"/>
        <w:jc w:val="center"/>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（图5：一般公共预算财政拨款支出决算变动情况）</w:t>
      </w:r>
    </w:p>
    <w:p w14:paraId="751EEE66">
      <w:pPr>
        <w:spacing w:line="600" w:lineRule="exact"/>
        <w:ind w:firstLine="640"/>
        <w:rPr>
          <w:rFonts w:hint="default" w:ascii="Times New Roman" w:hAnsi="Times New Roman" w:cs="Times New Roman"/>
        </w:r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116840</wp:posOffset>
            </wp:positionH>
            <wp:positionV relativeFrom="paragraph">
              <wp:posOffset>24765</wp:posOffset>
            </wp:positionV>
            <wp:extent cx="5160010" cy="4296410"/>
            <wp:effectExtent l="4445" t="4445" r="17145" b="2349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75AF7A21">
      <w:pPr>
        <w:spacing w:line="600" w:lineRule="exact"/>
        <w:ind w:firstLine="640"/>
        <w:rPr>
          <w:rFonts w:hint="default" w:ascii="Times New Roman" w:hAnsi="Times New Roman" w:cs="Times New Roman"/>
        </w:rPr>
      </w:pPr>
    </w:p>
    <w:p w14:paraId="522A64D3">
      <w:pPr>
        <w:spacing w:line="600" w:lineRule="exact"/>
        <w:ind w:firstLine="640"/>
        <w:rPr>
          <w:rFonts w:hint="default" w:ascii="Times New Roman" w:hAnsi="Times New Roman" w:cs="Times New Roman"/>
        </w:rPr>
      </w:pPr>
    </w:p>
    <w:p w14:paraId="4FF95196">
      <w:pPr>
        <w:pStyle w:val="13"/>
        <w:rPr>
          <w:rFonts w:hint="default" w:ascii="Times New Roman" w:hAnsi="Times New Roman" w:cs="Times New Roman"/>
        </w:rPr>
      </w:pPr>
    </w:p>
    <w:p w14:paraId="2D6365BA">
      <w:pPr>
        <w:pStyle w:val="7"/>
        <w:ind w:left="420"/>
        <w:rPr>
          <w:rFonts w:hint="default" w:ascii="Times New Roman" w:hAnsi="Times New Roman" w:cs="Times New Roman"/>
        </w:rPr>
      </w:pPr>
    </w:p>
    <w:p w14:paraId="41CAF397">
      <w:pPr>
        <w:pStyle w:val="7"/>
        <w:ind w:left="420"/>
        <w:rPr>
          <w:rFonts w:hint="default" w:ascii="Times New Roman" w:hAnsi="Times New Roman" w:cs="Times New Roman"/>
        </w:rPr>
      </w:pPr>
    </w:p>
    <w:p w14:paraId="14142485">
      <w:pPr>
        <w:pStyle w:val="7"/>
        <w:ind w:left="420"/>
        <w:rPr>
          <w:rFonts w:hint="default" w:ascii="Times New Roman" w:hAnsi="Times New Roman" w:cs="Times New Roman"/>
        </w:rPr>
      </w:pPr>
    </w:p>
    <w:p w14:paraId="0FBFA763">
      <w:pPr>
        <w:spacing w:line="600" w:lineRule="exact"/>
        <w:ind w:firstLine="640"/>
        <w:rPr>
          <w:rFonts w:hint="default" w:ascii="Times New Roman" w:hAnsi="Times New Roman" w:cs="Times New Roman"/>
        </w:rPr>
      </w:pPr>
    </w:p>
    <w:p w14:paraId="00042AC1">
      <w:pPr>
        <w:spacing w:line="600" w:lineRule="exact"/>
        <w:ind w:firstLine="640"/>
        <w:rPr>
          <w:rFonts w:hint="default" w:ascii="Times New Roman" w:hAnsi="Times New Roman" w:eastAsia="仿宋_GB2312" w:cs="Times New Roman"/>
          <w:b/>
          <w:bCs/>
          <w:sz w:val="32"/>
          <w:szCs w:val="32"/>
        </w:rPr>
      </w:pPr>
    </w:p>
    <w:p w14:paraId="5A0AA884">
      <w:pPr>
        <w:spacing w:line="600" w:lineRule="exact"/>
        <w:ind w:firstLine="643" w:firstLineChars="200"/>
        <w:outlineLvl w:val="2"/>
        <w:rPr>
          <w:rFonts w:hint="default" w:ascii="方正楷体_GBK" w:hAnsi="方正楷体_GBK" w:eastAsia="方正楷体_GBK" w:cs="方正楷体_GBK"/>
          <w:b/>
          <w:bCs w:val="0"/>
          <w:sz w:val="32"/>
          <w:szCs w:val="32"/>
        </w:rPr>
      </w:pPr>
      <w:bookmarkStart w:id="34" w:name="_Toc15377211"/>
    </w:p>
    <w:p w14:paraId="141DCC4B">
      <w:pPr>
        <w:spacing w:line="600" w:lineRule="exact"/>
        <w:ind w:firstLine="643" w:firstLineChars="200"/>
        <w:outlineLvl w:val="2"/>
        <w:rPr>
          <w:rFonts w:hint="default" w:ascii="方正楷体_GBK" w:hAnsi="方正楷体_GBK" w:eastAsia="方正楷体_GBK" w:cs="方正楷体_GBK"/>
          <w:b/>
          <w:bCs w:val="0"/>
          <w:sz w:val="32"/>
          <w:szCs w:val="32"/>
        </w:rPr>
      </w:pPr>
    </w:p>
    <w:p w14:paraId="61C565B7">
      <w:pPr>
        <w:spacing w:line="600" w:lineRule="exact"/>
        <w:ind w:firstLine="643" w:firstLineChars="200"/>
        <w:outlineLvl w:val="2"/>
        <w:rPr>
          <w:rFonts w:hint="default" w:ascii="方正楷体_GBK" w:hAnsi="方正楷体_GBK" w:eastAsia="方正楷体_GBK" w:cs="方正楷体_GBK"/>
          <w:b/>
          <w:bCs w:val="0"/>
          <w:sz w:val="32"/>
          <w:szCs w:val="32"/>
        </w:rPr>
      </w:pPr>
    </w:p>
    <w:p w14:paraId="53DB6CEA">
      <w:pPr>
        <w:spacing w:line="600" w:lineRule="exact"/>
        <w:ind w:firstLine="643" w:firstLineChars="200"/>
        <w:outlineLvl w:val="2"/>
        <w:rPr>
          <w:rFonts w:hint="default" w:ascii="方正楷体_GBK" w:hAnsi="方正楷体_GBK" w:eastAsia="方正楷体_GBK" w:cs="方正楷体_GBK"/>
          <w:b/>
          <w:bCs w:val="0"/>
          <w:sz w:val="32"/>
          <w:szCs w:val="32"/>
        </w:rPr>
      </w:pPr>
    </w:p>
    <w:p w14:paraId="47004043">
      <w:pPr>
        <w:spacing w:line="240" w:lineRule="auto"/>
        <w:ind w:firstLine="643" w:firstLineChars="200"/>
        <w:outlineLvl w:val="2"/>
        <w:rPr>
          <w:rFonts w:hint="default" w:ascii="方正楷体_GBK" w:hAnsi="方正楷体_GBK" w:eastAsia="方正楷体_GBK" w:cs="方正楷体_GBK"/>
          <w:b/>
          <w:bCs w:val="0"/>
          <w:sz w:val="32"/>
          <w:szCs w:val="32"/>
        </w:rPr>
      </w:pPr>
      <w:r>
        <w:rPr>
          <w:rFonts w:hint="default" w:ascii="方正楷体_GBK" w:hAnsi="方正楷体_GBK" w:eastAsia="方正楷体_GBK" w:cs="方正楷体_GBK"/>
          <w:b/>
          <w:bCs w:val="0"/>
          <w:sz w:val="32"/>
          <w:szCs w:val="32"/>
        </w:rPr>
        <w:t>（二）一般公共预算财政拨款支出决算结构情况</w:t>
      </w:r>
      <w:bookmarkEnd w:id="34"/>
    </w:p>
    <w:p w14:paraId="699DFA7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2024年度一般公共预算财政拨款支出2642.95万元，主要用于以下方面：一般公共服务支出47.21万元，占1.79%；教育支出1916.59万元，占72.52%；社会保障和就业支出323.20万元，占12.23%</w:t>
      </w:r>
      <w:r>
        <w:rPr>
          <w:rFonts w:hint="eastAsia" w:ascii="方正仿宋_GBK" w:hAnsi="方正仿宋_GBK" w:eastAsia="方正仿宋_GBK" w:cs="方正仿宋_GBK"/>
          <w:sz w:val="32"/>
          <w:szCs w:val="32"/>
          <w:lang w:eastAsia="zh-CN"/>
        </w:rPr>
        <w:t>；</w:t>
      </w:r>
      <w:r>
        <w:rPr>
          <w:rFonts w:hint="default" w:ascii="方正仿宋_GBK" w:hAnsi="方正仿宋_GBK" w:eastAsia="方正仿宋_GBK" w:cs="方正仿宋_GBK"/>
          <w:sz w:val="32"/>
          <w:szCs w:val="32"/>
        </w:rPr>
        <w:t>卫生健康支出183.53万元，占6.94%；住房保障支出172.42万元，占6.52%。</w:t>
      </w:r>
    </w:p>
    <w:p w14:paraId="24EEBD88">
      <w:pPr>
        <w:pageBreakBefore w:val="0"/>
        <w:widowControl w:val="0"/>
        <w:suppressAutoHyphens/>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cs="Times New Roman"/>
        </w:rPr>
      </w:pPr>
      <w:r>
        <w:rPr>
          <w:rFonts w:hint="default" w:ascii="方正仿宋_GBK" w:hAnsi="方正仿宋_GBK" w:eastAsia="方正仿宋_GBK" w:cs="方正仿宋_GBK"/>
          <w:sz w:val="32"/>
          <w:szCs w:val="32"/>
        </w:rPr>
        <w:t>（图6：一般公共预算财政拨款支出决算结构）</w:t>
      </w:r>
      <w:r>
        <w:rPr>
          <w:rFonts w:hint="default" w:ascii="Times New Roman" w:hAnsi="Times New Roman" w:cs="Times New Roman"/>
        </w:rPr>
        <w:drawing>
          <wp:anchor distT="0" distB="0" distL="114300" distR="114300" simplePos="0" relativeHeight="251661312" behindDoc="0" locked="0" layoutInCell="1" allowOverlap="1">
            <wp:simplePos x="0" y="0"/>
            <wp:positionH relativeFrom="column">
              <wp:posOffset>-55880</wp:posOffset>
            </wp:positionH>
            <wp:positionV relativeFrom="paragraph">
              <wp:posOffset>53340</wp:posOffset>
            </wp:positionV>
            <wp:extent cx="5374005" cy="4444365"/>
            <wp:effectExtent l="4445" t="4445" r="12700" b="8890"/>
            <wp:wrapSquare wrapText="bothSides"/>
            <wp:docPr id="1"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0EC86910">
      <w:pPr>
        <w:spacing w:line="240" w:lineRule="auto"/>
        <w:ind w:firstLine="643" w:firstLineChars="200"/>
        <w:outlineLvl w:val="2"/>
        <w:rPr>
          <w:rFonts w:hint="default" w:ascii="方正楷体_GBK" w:hAnsi="方正楷体_GBK" w:eastAsia="方正楷体_GBK" w:cs="方正楷体_GBK"/>
          <w:b/>
          <w:bCs w:val="0"/>
          <w:sz w:val="32"/>
          <w:szCs w:val="32"/>
        </w:rPr>
      </w:pPr>
      <w:bookmarkStart w:id="35" w:name="_Toc15377212"/>
      <w:r>
        <w:rPr>
          <w:rFonts w:hint="default" w:ascii="方正楷体_GBK" w:hAnsi="方正楷体_GBK" w:eastAsia="方正楷体_GBK" w:cs="方正楷体_GBK"/>
          <w:b/>
          <w:bCs w:val="0"/>
          <w:sz w:val="32"/>
          <w:szCs w:val="32"/>
        </w:rPr>
        <w:t>（三）一般公共预算财政拨款支出决算具体情况</w:t>
      </w:r>
      <w:bookmarkEnd w:id="35"/>
    </w:p>
    <w:p w14:paraId="68AEFCC8">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bookmarkStart w:id="36" w:name="_Toc15377444"/>
      <w:bookmarkStart w:id="37" w:name="_Toc15378460"/>
      <w:bookmarkStart w:id="38" w:name="_Toc15377213"/>
      <w:r>
        <w:rPr>
          <w:rFonts w:hint="default" w:ascii="方正仿宋_GBK" w:hAnsi="方正仿宋_GBK" w:eastAsia="方正仿宋_GBK" w:cs="方正仿宋_GBK"/>
          <w:sz w:val="32"/>
          <w:szCs w:val="32"/>
        </w:rPr>
        <w:t>2024年度一般公共预算财政拨款支出决算数为2642.95万元，完成预算100%。其中：</w:t>
      </w:r>
      <w:bookmarkEnd w:id="36"/>
      <w:bookmarkEnd w:id="37"/>
      <w:bookmarkEnd w:id="38"/>
    </w:p>
    <w:p w14:paraId="6CE00872">
      <w:pPr>
        <w:spacing w:line="600" w:lineRule="exact"/>
        <w:ind w:firstLine="640"/>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rPr>
        <w:t>1.一般公共服务支出（类）</w:t>
      </w:r>
      <w:r>
        <w:rPr>
          <w:rFonts w:hint="default" w:ascii="方正仿宋_GBK" w:hAnsi="方正仿宋_GBK" w:eastAsia="方正仿宋_GBK" w:cs="方正仿宋_GBK"/>
          <w:sz w:val="32"/>
          <w:szCs w:val="32"/>
        </w:rPr>
        <w:t>支出决算为47.21万元，完成预算100%。其中：一般公共服务支出（类）民族事务（款）其他民族事务支出（项）：支出决算数47.21万元。</w:t>
      </w:r>
    </w:p>
    <w:p w14:paraId="19204327">
      <w:pPr>
        <w:pageBreakBefore w:val="0"/>
        <w:widowControl w:val="0"/>
        <w:suppressAutoHyphens/>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rPr>
        <w:t>2.教育支出（类）</w:t>
      </w:r>
      <w:r>
        <w:rPr>
          <w:rFonts w:hint="default" w:ascii="方正仿宋_GBK" w:hAnsi="方正仿宋_GBK" w:eastAsia="方正仿宋_GBK" w:cs="方正仿宋_GBK"/>
          <w:sz w:val="32"/>
          <w:szCs w:val="32"/>
        </w:rPr>
        <w:t>支出决算为1916.59万元，完成预算100%。其中：</w:t>
      </w:r>
    </w:p>
    <w:p w14:paraId="1AA4E83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①教育支出（类）普通教育（款）初中教育（项）：支出决算数为1,862.83万元。</w:t>
      </w:r>
    </w:p>
    <w:p w14:paraId="0552D76D">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②教育支出（类）教育费附加安排的支出（款）农村中小学教学设施（项）：支出决算数为53.76万元。</w:t>
      </w:r>
    </w:p>
    <w:p w14:paraId="7EC243EB">
      <w:pPr>
        <w:pageBreakBefore w:val="0"/>
        <w:widowControl w:val="0"/>
        <w:suppressAutoHyphens/>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rPr>
        <w:t xml:space="preserve">3.社会保障和就业支出（类）: </w:t>
      </w:r>
      <w:r>
        <w:rPr>
          <w:rFonts w:hint="default" w:ascii="方正仿宋_GBK" w:hAnsi="方正仿宋_GBK" w:eastAsia="方正仿宋_GBK" w:cs="方正仿宋_GBK"/>
          <w:sz w:val="32"/>
          <w:szCs w:val="32"/>
        </w:rPr>
        <w:t>支出决算为323.20万元，完成预算100%。其中：</w:t>
      </w:r>
    </w:p>
    <w:p w14:paraId="2DA4071C">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①社会保障和就业支出（类）行政事业单位养老支出（款）机关事业单位基本养老保险缴费支出（项）：支出决算数为216.98万元。</w:t>
      </w:r>
    </w:p>
    <w:p w14:paraId="47185F05">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②社会保障和就业支出（类）行政事业单位养老支出（款）机关事业单位职业年金缴费支出（项）：支出决算数为50.85万元。</w:t>
      </w:r>
    </w:p>
    <w:p w14:paraId="16F915B7">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③社会保障和就业支出（类）行政事业单位养老支出（款）事业单位离退休（项）：支出决算数为55.37万元。</w:t>
      </w:r>
    </w:p>
    <w:p w14:paraId="686134B2">
      <w:pPr>
        <w:pageBreakBefore w:val="0"/>
        <w:widowControl w:val="0"/>
        <w:suppressAutoHyphens/>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rPr>
        <w:t>4.卫生健康支出（类）:</w:t>
      </w:r>
      <w:r>
        <w:rPr>
          <w:rFonts w:hint="default" w:ascii="方正仿宋_GBK" w:hAnsi="方正仿宋_GBK" w:eastAsia="方正仿宋_GBK" w:cs="方正仿宋_GBK"/>
          <w:sz w:val="32"/>
          <w:szCs w:val="32"/>
        </w:rPr>
        <w:t>支出决算为183.53万元，完成预算100%。其中：</w:t>
      </w:r>
    </w:p>
    <w:p w14:paraId="02F907B4">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 xml:space="preserve">①卫生健康支出（类）行政事业单位医疗（款）事业单位医疗（项）：支出决算数为111.35万元。  </w:t>
      </w:r>
    </w:p>
    <w:p w14:paraId="60742174">
      <w:pPr>
        <w:pageBreakBefore w:val="0"/>
        <w:widowControl w:val="0"/>
        <w:suppressAutoHyphens/>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②卫生健康支出（类）行政事业单位医疗（款）其他行政事业单位医疗支出（项）：支出决算数为72.18万元。</w:t>
      </w:r>
    </w:p>
    <w:p w14:paraId="12253D62">
      <w:pPr>
        <w:spacing w:line="600" w:lineRule="exact"/>
        <w:ind w:firstLine="640"/>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rPr>
        <w:t>5.住房保障支出（类）:</w:t>
      </w:r>
      <w:r>
        <w:rPr>
          <w:rFonts w:hint="default" w:ascii="方正仿宋_GBK" w:hAnsi="方正仿宋_GBK" w:eastAsia="方正仿宋_GBK" w:cs="方正仿宋_GBK"/>
          <w:sz w:val="32"/>
          <w:szCs w:val="32"/>
        </w:rPr>
        <w:t>支出决算为172.42万元，完成预算100%。其中：住房保障支出（类）住房改革支出（款）住房公积金（项）：支出决算数为172.42万元。</w:t>
      </w:r>
    </w:p>
    <w:p w14:paraId="7CDA2337">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39" w:name="_Toc15396608"/>
      <w:bookmarkStart w:id="40" w:name="_Toc15377214"/>
      <w:bookmarkStart w:id="41" w:name="_Toc30681"/>
      <w:r>
        <w:rPr>
          <w:rFonts w:hint="default" w:ascii="方正黑体_GBK" w:hAnsi="方正黑体_GBK" w:eastAsia="方正黑体_GBK" w:cs="方正黑体_GBK"/>
          <w:b w:val="0"/>
        </w:rPr>
        <w:t>六、一般公共预算财政拨款基本支出决算情况说明</w:t>
      </w:r>
      <w:bookmarkEnd w:id="39"/>
      <w:bookmarkEnd w:id="40"/>
      <w:bookmarkEnd w:id="41"/>
      <w:r>
        <w:rPr>
          <w:rFonts w:hint="default" w:ascii="方正黑体_GBK" w:hAnsi="方正黑体_GBK" w:eastAsia="方正黑体_GBK" w:cs="方正黑体_GBK"/>
          <w:b w:val="0"/>
        </w:rPr>
        <w:tab/>
      </w:r>
    </w:p>
    <w:p w14:paraId="241C5DD5">
      <w:pPr>
        <w:spacing w:line="240" w:lineRule="auto"/>
        <w:ind w:firstLine="64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2024年度一般公共预算财政拨款基本支出2,451.58万元，其中：</w:t>
      </w:r>
    </w:p>
    <w:p w14:paraId="0D40E7E5">
      <w:pPr>
        <w:spacing w:line="240" w:lineRule="auto"/>
        <w:ind w:firstLine="64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人员经费2,252.79万元，主要包括：基本工资、津贴补贴、绩效工资、机关事业单位基本养老保险缴费、职业年金缴费、职工基本医疗保险缴费、其他社会保障缴费、住房公积金、医疗费、其他工资福利支出、生活补助、医疗费补助、奖励金等。</w:t>
      </w:r>
      <w:r>
        <w:rPr>
          <w:rFonts w:hint="default" w:ascii="方正仿宋_GBK" w:hAnsi="方正仿宋_GBK" w:eastAsia="方正仿宋_GBK" w:cs="方正仿宋_GBK"/>
          <w:sz w:val="32"/>
          <w:szCs w:val="32"/>
        </w:rPr>
        <w:br w:type="textWrapping"/>
      </w:r>
      <w:r>
        <w:rPr>
          <w:rFonts w:hint="default" w:ascii="方正仿宋_GBK" w:hAnsi="方正仿宋_GBK" w:eastAsia="方正仿宋_GBK" w:cs="方正仿宋_GBK"/>
          <w:sz w:val="32"/>
          <w:szCs w:val="32"/>
        </w:rPr>
        <w:t>　　公用经费198.79万元，主要包括：办公费、印刷费、咨询费、水费、电费、邮电费、物业管理费、差旅费、维修（护）费、培训费、专用材料费、劳务费、委托业务费、工会经费、福利费、公务用车运行维护费、其他商品和服务支出、办公设备购置、专用设备购置</w:t>
      </w:r>
      <w:bookmarkStart w:id="42" w:name="_Toc15377215"/>
      <w:bookmarkStart w:id="43" w:name="_Toc15396609"/>
      <w:r>
        <w:rPr>
          <w:rFonts w:hint="default" w:ascii="方正仿宋_GBK" w:hAnsi="方正仿宋_GBK" w:eastAsia="方正仿宋_GBK" w:cs="方正仿宋_GBK"/>
          <w:sz w:val="32"/>
          <w:szCs w:val="32"/>
        </w:rPr>
        <w:t>等。</w:t>
      </w:r>
    </w:p>
    <w:p w14:paraId="6FEB46BC">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44" w:name="_Toc25825"/>
      <w:r>
        <w:rPr>
          <w:rFonts w:hint="default" w:ascii="方正黑体_GBK" w:hAnsi="方正黑体_GBK" w:eastAsia="方正黑体_GBK" w:cs="方正黑体_GBK"/>
          <w:b w:val="0"/>
        </w:rPr>
        <w:t>七、财政拨款“三公”经费支出决算情况说明</w:t>
      </w:r>
      <w:bookmarkEnd w:id="42"/>
      <w:bookmarkEnd w:id="43"/>
      <w:bookmarkEnd w:id="44"/>
    </w:p>
    <w:p w14:paraId="5F5C58A1">
      <w:pPr>
        <w:spacing w:line="240" w:lineRule="auto"/>
        <w:ind w:firstLine="643" w:firstLineChars="200"/>
        <w:outlineLvl w:val="2"/>
        <w:rPr>
          <w:rFonts w:hint="default" w:ascii="方正楷体_GBK" w:hAnsi="方正楷体_GBK" w:eastAsia="方正楷体_GBK" w:cs="方正楷体_GBK"/>
          <w:b/>
          <w:bCs w:val="0"/>
          <w:sz w:val="32"/>
          <w:szCs w:val="32"/>
        </w:rPr>
      </w:pPr>
      <w:bookmarkStart w:id="45" w:name="_Toc15377216"/>
      <w:r>
        <w:rPr>
          <w:rFonts w:hint="default" w:ascii="方正楷体_GBK" w:hAnsi="方正楷体_GBK" w:eastAsia="方正楷体_GBK" w:cs="方正楷体_GBK"/>
          <w:b/>
          <w:bCs w:val="0"/>
          <w:sz w:val="32"/>
          <w:szCs w:val="32"/>
        </w:rPr>
        <w:t>（一）“三公”经费财政拨款支出决算总体情况说明</w:t>
      </w:r>
      <w:bookmarkEnd w:id="45"/>
    </w:p>
    <w:p w14:paraId="44DECEC5">
      <w:pPr>
        <w:spacing w:line="240" w:lineRule="auto"/>
        <w:ind w:firstLine="64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2024年度“三公”经费财政拨款支出决算为0.7万元，完成预算100%，较上年度减少0.12万元，下降14.76%。</w:t>
      </w:r>
    </w:p>
    <w:p w14:paraId="5419614C">
      <w:pPr>
        <w:spacing w:line="240" w:lineRule="auto"/>
        <w:ind w:firstLine="643" w:firstLineChars="200"/>
        <w:outlineLvl w:val="2"/>
        <w:rPr>
          <w:rFonts w:hint="eastAsia" w:ascii="方正楷体_GBK" w:hAnsi="方正楷体_GBK" w:eastAsia="方正楷体_GBK" w:cs="方正楷体_GBK"/>
          <w:b/>
          <w:bCs w:val="0"/>
          <w:sz w:val="32"/>
          <w:szCs w:val="32"/>
        </w:rPr>
      </w:pPr>
      <w:bookmarkStart w:id="46" w:name="_Toc15377217"/>
      <w:r>
        <w:rPr>
          <w:rFonts w:hint="eastAsia" w:ascii="方正楷体_GBK" w:hAnsi="方正楷体_GBK" w:eastAsia="方正楷体_GBK" w:cs="方正楷体_GBK"/>
          <w:b/>
          <w:bCs w:val="0"/>
          <w:sz w:val="32"/>
          <w:szCs w:val="32"/>
        </w:rPr>
        <w:t>（二）“三公”经费财政拨款支出决算具体情况说明</w:t>
      </w:r>
      <w:bookmarkEnd w:id="46"/>
    </w:p>
    <w:p w14:paraId="4DA40A9C">
      <w:pPr>
        <w:spacing w:line="240" w:lineRule="auto"/>
        <w:ind w:firstLine="640"/>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2024年度“三公”经费财政拨款支出决算中，因公出国（境）费支出决算0万元，占0%；公务用车购置及运行维护费支出决算0.7万元，占100%；公务接待费支出决算0万元，占0%。具体情况如下：</w:t>
      </w:r>
    </w:p>
    <w:p w14:paraId="14504A2C">
      <w:pPr>
        <w:spacing w:line="240" w:lineRule="auto"/>
        <w:ind w:firstLine="640"/>
        <w:jc w:val="center"/>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（图7：“三公”经费财政拨款支出结构）</w:t>
      </w:r>
    </w:p>
    <w:p w14:paraId="6B097EC1">
      <w:pPr>
        <w:pStyle w:val="13"/>
        <w:jc w:val="both"/>
        <w:rPr>
          <w:rFonts w:hint="default" w:ascii="Times New Roman" w:hAnsi="Times New Roman" w:cs="Times New Roman"/>
        </w:rPr>
      </w:pPr>
      <w:r>
        <w:rPr>
          <w:rFonts w:hint="default" w:ascii="Times New Roman" w:hAnsi="Times New Roman" w:cs="Times New Roman"/>
        </w:rPr>
        <w:drawing>
          <wp:inline distT="0" distB="0" distL="114300" distR="114300">
            <wp:extent cx="5290820" cy="3844925"/>
            <wp:effectExtent l="4445" t="4445" r="19685" b="1778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222C53D">
      <w:pPr>
        <w:pStyle w:val="13"/>
        <w:rPr>
          <w:rFonts w:hint="default" w:ascii="Times New Roman" w:hAnsi="Times New Roman" w:cs="Times New Roman"/>
        </w:rPr>
      </w:pPr>
    </w:p>
    <w:p w14:paraId="7AC0A31B">
      <w:pPr>
        <w:keepNext w:val="0"/>
        <w:keepLines w:val="0"/>
        <w:pageBreakBefore w:val="0"/>
        <w:widowControl w:val="0"/>
        <w:numPr>
          <w:numId w:val="0"/>
        </w:numPr>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eastAsia" w:ascii="方正楷体_GBK" w:hAnsi="方正楷体_GBK" w:eastAsia="方正楷体_GBK" w:cs="方正楷体_GBK"/>
          <w:b/>
          <w:bCs w:val="0"/>
          <w:sz w:val="32"/>
          <w:szCs w:val="32"/>
          <w:lang w:val="en-US" w:eastAsia="zh-CN"/>
        </w:rPr>
        <w:t>1.</w:t>
      </w:r>
      <w:r>
        <w:rPr>
          <w:rFonts w:hint="default" w:ascii="方正楷体_GBK" w:hAnsi="方正楷体_GBK" w:eastAsia="方正楷体_GBK" w:cs="方正楷体_GBK"/>
          <w:b/>
          <w:bCs w:val="0"/>
          <w:sz w:val="32"/>
          <w:szCs w:val="32"/>
        </w:rPr>
        <w:t>因公出国（境）经费支出0万元，完成预算0%。</w:t>
      </w:r>
      <w:r>
        <w:rPr>
          <w:rFonts w:hint="default" w:ascii="方正仿宋_GBK" w:hAnsi="方正仿宋_GBK" w:eastAsia="方正仿宋_GBK" w:cs="方正仿宋_GBK"/>
          <w:sz w:val="32"/>
          <w:szCs w:val="32"/>
        </w:rPr>
        <w:t>全年安排因公出国（境）团组0次，出国（境）0人。因公出国（境）支出决算与2023年持平。</w:t>
      </w:r>
    </w:p>
    <w:p w14:paraId="1D64CA0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lang w:val="en-US" w:eastAsia="zh-CN"/>
        </w:rPr>
        <w:t>2.公务用车购置及运行维护费支出0.7万元，完成预算100%。</w:t>
      </w:r>
      <w:r>
        <w:rPr>
          <w:rFonts w:hint="default" w:ascii="方正仿宋_GBK" w:hAnsi="方正仿宋_GBK" w:eastAsia="方正仿宋_GBK" w:cs="方正仿宋_GBK"/>
          <w:sz w:val="32"/>
          <w:szCs w:val="32"/>
        </w:rPr>
        <w:t>公务用车购置及运行维护费支出决算比2023年减少0.11万元，下降18.98%。主要原因是公务用车运行维护费减少。</w:t>
      </w:r>
    </w:p>
    <w:p w14:paraId="08DECF3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其中：公务用车购置支出0万元。全年按规定更新购置公务用车0辆，其中：轿车0辆、金额0万元，越野车0辆、金额0万元，载客汽车0辆、金额0万元。截至2024年12月31日，单位共有公务用车1辆，其中：轿车1辆、越野车0辆、载客汽车0辆。</w:t>
      </w:r>
    </w:p>
    <w:p w14:paraId="032E0D9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公务用车运行维护费支出0.7万元。主要用于公务业务所需的公务用车燃料费、维修费、保险费等支出。</w:t>
      </w:r>
    </w:p>
    <w:p w14:paraId="72DBD2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textAlignment w:val="auto"/>
        <w:rPr>
          <w:rFonts w:hint="default" w:ascii="方正仿宋_GBK" w:hAnsi="方正仿宋_GBK" w:eastAsia="方正仿宋_GBK" w:cs="方正仿宋_GBK"/>
          <w:sz w:val="32"/>
          <w:szCs w:val="32"/>
        </w:rPr>
      </w:pPr>
      <w:r>
        <w:rPr>
          <w:rFonts w:hint="default" w:ascii="方正楷体_GBK" w:hAnsi="方正楷体_GBK" w:eastAsia="方正楷体_GBK" w:cs="方正楷体_GBK"/>
          <w:b/>
          <w:bCs w:val="0"/>
          <w:sz w:val="32"/>
          <w:szCs w:val="32"/>
          <w:lang w:val="en-US" w:eastAsia="zh-CN"/>
        </w:rPr>
        <w:t>3.公务接待费支出0万元，完成预算0%。</w:t>
      </w:r>
      <w:r>
        <w:rPr>
          <w:rFonts w:hint="default" w:ascii="方正仿宋_GBK" w:hAnsi="方正仿宋_GBK" w:eastAsia="方正仿宋_GBK" w:cs="方正仿宋_GBK"/>
          <w:sz w:val="32"/>
          <w:szCs w:val="32"/>
        </w:rPr>
        <w:t>公</w:t>
      </w:r>
      <w:r>
        <w:rPr>
          <w:rFonts w:hint="default" w:ascii="方正仿宋_GBK" w:hAnsi="方正仿宋_GBK" w:eastAsia="方正仿宋_GBK" w:cs="方正仿宋_GBK"/>
          <w:sz w:val="32"/>
          <w:szCs w:val="32"/>
        </w:rPr>
        <w:t>务接待费支出决算比2023年度减少0.23万元，下降100%。主要原因是本年无公务接待业务发生。其中：</w:t>
      </w:r>
    </w:p>
    <w:p w14:paraId="5D71E7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国内公务接待支出0万元。国内公务接待0批次，0人次，共计支出0万元。</w:t>
      </w:r>
    </w:p>
    <w:p w14:paraId="05AC6F8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外事接待支出0万元。外事接待0批次，0人次（，共计支出0万元。</w:t>
      </w:r>
      <w:bookmarkStart w:id="47" w:name="_Toc15377218"/>
      <w:bookmarkStart w:id="48" w:name="_Toc15396610"/>
    </w:p>
    <w:p w14:paraId="1B5C9B1B">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49" w:name="_Toc15039"/>
      <w:r>
        <w:rPr>
          <w:rFonts w:hint="default" w:ascii="方正黑体_GBK" w:hAnsi="方正黑体_GBK" w:eastAsia="方正黑体_GBK" w:cs="方正黑体_GBK"/>
          <w:b w:val="0"/>
        </w:rPr>
        <w:t>八、政府性基金预算支出决算情况说明</w:t>
      </w:r>
      <w:bookmarkEnd w:id="47"/>
      <w:bookmarkEnd w:id="48"/>
      <w:bookmarkEnd w:id="49"/>
    </w:p>
    <w:p w14:paraId="26C1ED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2024年度政府性基金预算财政拨款支出0万元，占本年支出合计的0%。与2023年度相比，政府性基金预算财政拨款支出持平。</w:t>
      </w:r>
      <w:bookmarkStart w:id="50" w:name="_Toc15377219"/>
      <w:bookmarkStart w:id="51" w:name="_Toc15396611"/>
    </w:p>
    <w:p w14:paraId="22796529">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52" w:name="_Toc3569"/>
      <w:r>
        <w:rPr>
          <w:rFonts w:hint="default" w:ascii="方正黑体_GBK" w:hAnsi="方正黑体_GBK" w:eastAsia="方正黑体_GBK" w:cs="方正黑体_GBK"/>
          <w:b w:val="0"/>
        </w:rPr>
        <w:t>九、国有资本经营预算支出决算情况说明</w:t>
      </w:r>
      <w:bookmarkEnd w:id="50"/>
      <w:bookmarkEnd w:id="51"/>
      <w:bookmarkEnd w:id="52"/>
    </w:p>
    <w:p w14:paraId="75B8C73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2024年度国有资本经营预算财政拨款支出0万元，占本年支出合计的0%。与2023年度相比，国有资本经营预算财政拨款支出持平。</w:t>
      </w:r>
      <w:bookmarkStart w:id="53" w:name="_Toc15377221"/>
      <w:bookmarkStart w:id="54" w:name="_Toc15396612"/>
    </w:p>
    <w:p w14:paraId="05796766">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方正黑体_GBK" w:hAnsi="方正黑体_GBK" w:eastAsia="方正黑体_GBK" w:cs="方正黑体_GBK"/>
          <w:b w:val="0"/>
        </w:rPr>
      </w:pPr>
      <w:bookmarkStart w:id="55" w:name="_Toc21226"/>
      <w:r>
        <w:rPr>
          <w:rFonts w:hint="default" w:ascii="方正黑体_GBK" w:hAnsi="方正黑体_GBK" w:eastAsia="方正黑体_GBK" w:cs="方正黑体_GBK"/>
          <w:b w:val="0"/>
        </w:rPr>
        <w:t>十、其他重要事项的情况说明</w:t>
      </w:r>
      <w:bookmarkEnd w:id="53"/>
      <w:bookmarkEnd w:id="54"/>
      <w:bookmarkEnd w:id="55"/>
    </w:p>
    <w:p w14:paraId="2FD880D7">
      <w:pPr>
        <w:spacing w:line="240" w:lineRule="auto"/>
        <w:ind w:firstLine="643" w:firstLineChars="200"/>
        <w:outlineLvl w:val="2"/>
        <w:rPr>
          <w:rFonts w:hint="default" w:ascii="方正楷体_GBK" w:hAnsi="方正楷体_GBK" w:eastAsia="方正楷体_GBK" w:cs="方正楷体_GBK"/>
          <w:b/>
          <w:bCs w:val="0"/>
          <w:sz w:val="32"/>
          <w:szCs w:val="32"/>
        </w:rPr>
      </w:pPr>
      <w:bookmarkStart w:id="56" w:name="_Toc15377222"/>
      <w:r>
        <w:rPr>
          <w:rFonts w:hint="default" w:ascii="方正楷体_GBK" w:hAnsi="方正楷体_GBK" w:eastAsia="方正楷体_GBK" w:cs="方正楷体_GBK"/>
          <w:b/>
          <w:bCs w:val="0"/>
          <w:sz w:val="32"/>
          <w:szCs w:val="32"/>
        </w:rPr>
        <w:t>（一）机关运行经费支出情况</w:t>
      </w:r>
      <w:bookmarkEnd w:id="56"/>
    </w:p>
    <w:p w14:paraId="235BEE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2024年度，盐边县红格镇初级中学校机关运行经费支出0万元，与2023年度持平。</w:t>
      </w:r>
    </w:p>
    <w:p w14:paraId="2992CF47">
      <w:pPr>
        <w:spacing w:line="240" w:lineRule="auto"/>
        <w:ind w:firstLine="643" w:firstLineChars="200"/>
        <w:outlineLvl w:val="2"/>
        <w:rPr>
          <w:rFonts w:hint="default" w:ascii="方正楷体_GBK" w:hAnsi="方正楷体_GBK" w:eastAsia="方正楷体_GBK" w:cs="方正楷体_GBK"/>
          <w:b/>
          <w:bCs w:val="0"/>
          <w:sz w:val="32"/>
          <w:szCs w:val="32"/>
        </w:rPr>
      </w:pPr>
      <w:bookmarkStart w:id="57" w:name="_Toc15377223"/>
      <w:r>
        <w:rPr>
          <w:rFonts w:hint="default" w:ascii="方正楷体_GBK" w:hAnsi="方正楷体_GBK" w:eastAsia="方正楷体_GBK" w:cs="方正楷体_GBK"/>
          <w:b/>
          <w:bCs w:val="0"/>
          <w:sz w:val="32"/>
          <w:szCs w:val="32"/>
        </w:rPr>
        <w:t>（二）政府采购支出情况</w:t>
      </w:r>
      <w:bookmarkEnd w:id="57"/>
    </w:p>
    <w:p w14:paraId="66BF8D2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2024年度，盐边县红格镇初级中学校政府采购支出总额0.28万元，其中：政府采购货物支出0万元、政府采购工程支出0万元、政府采购服务支出0.28万元。主要用于车辆加油、添加燃料服务直接选定采购。授予中小企业合同金额0.28万元，占政府采购支出总额的100%，其中：授予小微企业合同金额0万元，占政府采购支出总额的0%。</w:t>
      </w:r>
    </w:p>
    <w:p w14:paraId="1084FDA3">
      <w:pPr>
        <w:spacing w:line="240" w:lineRule="auto"/>
        <w:ind w:firstLine="643" w:firstLineChars="200"/>
        <w:outlineLvl w:val="2"/>
        <w:rPr>
          <w:rFonts w:hint="default" w:ascii="方正楷体_GBK" w:hAnsi="方正楷体_GBK" w:eastAsia="方正楷体_GBK" w:cs="方正楷体_GBK"/>
          <w:b/>
          <w:bCs w:val="0"/>
          <w:sz w:val="32"/>
          <w:szCs w:val="32"/>
        </w:rPr>
      </w:pPr>
      <w:bookmarkStart w:id="58" w:name="_Toc15377224"/>
      <w:r>
        <w:rPr>
          <w:rFonts w:hint="default" w:ascii="方正楷体_GBK" w:hAnsi="方正楷体_GBK" w:eastAsia="方正楷体_GBK" w:cs="方正楷体_GBK"/>
          <w:b/>
          <w:bCs w:val="0"/>
          <w:sz w:val="32"/>
          <w:szCs w:val="32"/>
        </w:rPr>
        <w:t>（三）国有资产占有使用情况</w:t>
      </w:r>
      <w:bookmarkEnd w:id="58"/>
    </w:p>
    <w:p w14:paraId="1CDC828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截至2024年12月31日，盐边县红格镇初级中学校共有车辆1辆，其中：主要负责人用车0辆、机要通信用车0辆、应急保障用车0辆、其他用车1辆，其他用车主要是用于办理公务业务。单价100万元（含）以上设备（不含车辆）0台（套）。</w:t>
      </w:r>
    </w:p>
    <w:p w14:paraId="05893368">
      <w:pPr>
        <w:spacing w:line="240" w:lineRule="auto"/>
        <w:ind w:firstLine="643" w:firstLineChars="200"/>
        <w:outlineLvl w:val="2"/>
        <w:rPr>
          <w:rFonts w:hint="default" w:ascii="方正楷体_GBK" w:hAnsi="方正楷体_GBK" w:eastAsia="方正楷体_GBK" w:cs="方正楷体_GBK"/>
          <w:b/>
          <w:bCs w:val="0"/>
          <w:sz w:val="32"/>
          <w:szCs w:val="32"/>
        </w:rPr>
      </w:pPr>
      <w:r>
        <w:rPr>
          <w:rFonts w:hint="default" w:ascii="方正楷体_GBK" w:hAnsi="方正楷体_GBK" w:eastAsia="方正楷体_GBK" w:cs="方正楷体_GBK"/>
          <w:b/>
          <w:bCs w:val="0"/>
          <w:sz w:val="32"/>
          <w:szCs w:val="32"/>
        </w:rPr>
        <w:t>（四）预算绩效管理情况</w:t>
      </w:r>
    </w:p>
    <w:p w14:paraId="15C1EC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根据预算绩效管理要求，盐边县红格镇初级中学校在2024年度预算编制阶段，组织对盐边县红格镇初级中学校运动场建设项目2；盐边县红格镇初级中学校女生宿舍排险工程；盐边县红格镇初级中学校民族团结进校园；盐边县红格镇初级中学校运动场建设项目占用农户房屋及出行道路项目；盐边县红格镇初级中学校教学楼维修工程等5个项目开展了预算事前绩效评估，对5个项目编制了绩效目标，预算执行过程中，选取5个项目开展绩效监控。</w:t>
      </w:r>
    </w:p>
    <w:p w14:paraId="3266960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p>
    <w:p w14:paraId="11DC1F4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p>
    <w:p w14:paraId="1B252F7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方正仿宋_GBK" w:hAnsi="方正仿宋_GBK" w:eastAsia="方正仿宋_GBK" w:cs="方正仿宋_GBK"/>
          <w:sz w:val="32"/>
          <w:szCs w:val="32"/>
        </w:rPr>
      </w:pPr>
      <w:bookmarkStart w:id="59" w:name="_Toc15396613"/>
      <w:bookmarkStart w:id="60" w:name="_Toc15377225"/>
    </w:p>
    <w:p w14:paraId="705EBE3B">
      <w:pPr>
        <w:spacing w:line="600" w:lineRule="exact"/>
        <w:jc w:val="center"/>
        <w:outlineLvl w:val="0"/>
        <w:rPr>
          <w:rFonts w:hint="default" w:ascii="Times New Roman" w:hAnsi="Times New Roman" w:eastAsia="黑体" w:cs="Times New Roman"/>
          <w:sz w:val="44"/>
          <w:szCs w:val="44"/>
        </w:rPr>
      </w:pPr>
    </w:p>
    <w:p w14:paraId="1A07DEE2">
      <w:pPr>
        <w:spacing w:line="600" w:lineRule="exact"/>
        <w:jc w:val="center"/>
        <w:outlineLvl w:val="0"/>
        <w:rPr>
          <w:rFonts w:hint="default" w:ascii="Times New Roman" w:hAnsi="Times New Roman" w:eastAsia="黑体" w:cs="Times New Roman"/>
          <w:sz w:val="44"/>
          <w:szCs w:val="44"/>
        </w:rPr>
      </w:pPr>
    </w:p>
    <w:p w14:paraId="746A752C">
      <w:pPr>
        <w:pStyle w:val="13"/>
        <w:rPr>
          <w:rFonts w:hint="default" w:ascii="Times New Roman" w:hAnsi="Times New Roman" w:eastAsia="黑体" w:cs="Times New Roman"/>
          <w:sz w:val="44"/>
          <w:szCs w:val="44"/>
        </w:rPr>
      </w:pPr>
    </w:p>
    <w:p w14:paraId="13A4783A">
      <w:pPr>
        <w:pStyle w:val="7"/>
        <w:rPr>
          <w:rFonts w:hint="default" w:ascii="Times New Roman" w:hAnsi="Times New Roman" w:eastAsia="黑体" w:cs="Times New Roman"/>
          <w:sz w:val="44"/>
          <w:szCs w:val="44"/>
        </w:rPr>
      </w:pPr>
    </w:p>
    <w:p w14:paraId="0E1C7F05">
      <w:pPr>
        <w:pStyle w:val="7"/>
        <w:rPr>
          <w:rFonts w:hint="default" w:ascii="Times New Roman" w:hAnsi="Times New Roman" w:eastAsia="黑体" w:cs="Times New Roman"/>
          <w:sz w:val="44"/>
          <w:szCs w:val="44"/>
        </w:rPr>
      </w:pPr>
    </w:p>
    <w:p w14:paraId="1EB86399">
      <w:pPr>
        <w:pStyle w:val="7"/>
        <w:rPr>
          <w:rFonts w:hint="default" w:ascii="Times New Roman" w:hAnsi="Times New Roman" w:eastAsia="黑体" w:cs="Times New Roman"/>
          <w:sz w:val="44"/>
          <w:szCs w:val="44"/>
        </w:rPr>
      </w:pPr>
    </w:p>
    <w:p w14:paraId="724FA682">
      <w:pPr>
        <w:pStyle w:val="7"/>
        <w:rPr>
          <w:rFonts w:hint="default" w:ascii="Times New Roman" w:hAnsi="Times New Roman" w:eastAsia="黑体" w:cs="Times New Roman"/>
          <w:sz w:val="44"/>
          <w:szCs w:val="44"/>
        </w:rPr>
      </w:pPr>
    </w:p>
    <w:p w14:paraId="48100512">
      <w:pPr>
        <w:pStyle w:val="7"/>
        <w:rPr>
          <w:rFonts w:hint="default" w:ascii="Times New Roman" w:hAnsi="Times New Roman" w:eastAsia="黑体" w:cs="Times New Roman"/>
          <w:sz w:val="44"/>
          <w:szCs w:val="44"/>
        </w:rPr>
      </w:pPr>
    </w:p>
    <w:p w14:paraId="2360A5CA">
      <w:pPr>
        <w:pStyle w:val="7"/>
        <w:rPr>
          <w:rFonts w:hint="default" w:ascii="Times New Roman" w:hAnsi="Times New Roman" w:eastAsia="黑体" w:cs="Times New Roman"/>
          <w:sz w:val="44"/>
          <w:szCs w:val="44"/>
        </w:rPr>
      </w:pPr>
    </w:p>
    <w:p w14:paraId="2F410854">
      <w:pPr>
        <w:pStyle w:val="7"/>
        <w:rPr>
          <w:rFonts w:hint="default" w:ascii="Times New Roman" w:hAnsi="Times New Roman" w:eastAsia="黑体" w:cs="Times New Roman"/>
          <w:sz w:val="44"/>
          <w:szCs w:val="44"/>
        </w:rPr>
      </w:pPr>
    </w:p>
    <w:p w14:paraId="24EFE8B1">
      <w:pPr>
        <w:pStyle w:val="7"/>
        <w:rPr>
          <w:rFonts w:hint="default" w:ascii="Times New Roman" w:hAnsi="Times New Roman" w:eastAsia="黑体" w:cs="Times New Roman"/>
          <w:sz w:val="44"/>
          <w:szCs w:val="44"/>
        </w:rPr>
      </w:pPr>
    </w:p>
    <w:p w14:paraId="445B6D49">
      <w:pPr>
        <w:pStyle w:val="7"/>
        <w:rPr>
          <w:rFonts w:hint="default" w:ascii="Times New Roman" w:hAnsi="Times New Roman" w:eastAsia="黑体" w:cs="Times New Roman"/>
          <w:sz w:val="44"/>
          <w:szCs w:val="44"/>
        </w:rPr>
      </w:pPr>
    </w:p>
    <w:p w14:paraId="00DB824B">
      <w:pPr>
        <w:pStyle w:val="7"/>
        <w:ind w:left="0" w:leftChars="0" w:firstLine="0" w:firstLineChars="0"/>
        <w:rPr>
          <w:rFonts w:hint="default" w:ascii="Times New Roman" w:hAnsi="Times New Roman" w:eastAsia="黑体" w:cs="Times New Roman"/>
          <w:sz w:val="44"/>
          <w:szCs w:val="44"/>
        </w:rPr>
      </w:pPr>
    </w:p>
    <w:p w14:paraId="3E20D8E8">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sz w:val="44"/>
          <w:szCs w:val="44"/>
        </w:rPr>
      </w:pPr>
      <w:bookmarkStart w:id="61" w:name="_Toc20861"/>
      <w:r>
        <w:rPr>
          <w:rFonts w:hint="default" w:ascii="方正小标宋_GBK" w:hAnsi="方正小标宋_GBK" w:eastAsia="方正小标宋_GBK" w:cs="方正小标宋_GBK"/>
          <w:b/>
          <w:bCs w:val="0"/>
        </w:rPr>
        <w:t>第三部分  名词解释</w:t>
      </w:r>
      <w:bookmarkEnd w:id="59"/>
      <w:bookmarkEnd w:id="60"/>
      <w:bookmarkEnd w:id="61"/>
    </w:p>
    <w:p w14:paraId="765CF437">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1.财政拨款收入：指单位从同级财政部门取得的财政预算资金。</w:t>
      </w:r>
    </w:p>
    <w:p w14:paraId="0A1E207B">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2.事业收入：指事业单位开展专业业务活动及辅助活动取得的收入。</w:t>
      </w:r>
    </w:p>
    <w:p w14:paraId="47C57F37">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3.经营收入：指事业单位在专业业务活动及其辅助活动之外开展非独立核算经营活动取得的收入。</w:t>
      </w:r>
    </w:p>
    <w:p w14:paraId="05C71AB9">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4.其他收入：指单位取得的除上述收入以外的各项收入。 </w:t>
      </w:r>
    </w:p>
    <w:p w14:paraId="62681549">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5.使用非财政拨款结余（含专用结余）：指事业单位使用以前年度积累的非财政拨款结余弥补当年收支差额的金额。 </w:t>
      </w:r>
    </w:p>
    <w:p w14:paraId="7EA8A3B1">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6.年初结转和结余：指以前年度尚未完成、结转到本年按有关规定继续使用的资金。 </w:t>
      </w:r>
    </w:p>
    <w:p w14:paraId="546B398D">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7.结余分配：指事业单位按照会计制度规定缴纳的所得税、提取的专用结余以及转入非财政拨款结余的金额等。</w:t>
      </w:r>
    </w:p>
    <w:p w14:paraId="62CA5D61">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8.年末结转和结余：指单位按有关规定结转到下年或以后年度继续使用的资金。</w:t>
      </w:r>
    </w:p>
    <w:p w14:paraId="35BBB715">
      <w:pPr>
        <w:spacing w:beforeLines="0" w:afterLines="0" w:line="560" w:lineRule="exact"/>
        <w:ind w:firstLine="627" w:firstLineChars="196"/>
        <w:rPr>
          <w:rFonts w:hint="eastAsia" w:ascii="方正仿宋_GBK" w:hAnsi="方正仿宋_GBK" w:eastAsia="方正仿宋_GBK" w:cs="方正仿宋_GBK"/>
          <w:color w:val="000000"/>
          <w:sz w:val="32"/>
          <w:lang w:val="zh-CN"/>
        </w:rPr>
      </w:pPr>
      <w:bookmarkStart w:id="62" w:name="_Toc15377226"/>
      <w:r>
        <w:rPr>
          <w:rFonts w:hint="eastAsia" w:ascii="方正仿宋_GBK" w:hAnsi="方正仿宋_GBK" w:eastAsia="方正仿宋_GBK" w:cs="方正仿宋_GBK"/>
          <w:color w:val="000000"/>
          <w:sz w:val="32"/>
          <w:lang w:val="zh-CN"/>
        </w:rPr>
        <w:t xml:space="preserve">9. </w:t>
      </w:r>
      <w:r>
        <w:rPr>
          <w:rFonts w:hint="eastAsia" w:ascii="方正仿宋_GBK" w:hAnsi="方正仿宋_GBK" w:eastAsia="方正仿宋_GBK" w:cs="方正仿宋_GBK"/>
          <w:color w:val="000000"/>
          <w:sz w:val="32"/>
          <w:lang w:val="en-US" w:eastAsia="zh-CN"/>
        </w:rPr>
        <w:t>教育205（类）普通教育02（款）学前教育01（项）：指反映各部门举办的学前教育支出。政府各部门对社会组织等举办的幼儿园的资助，如捐赠、补贴等，也在本科目中反映。</w:t>
      </w:r>
    </w:p>
    <w:p w14:paraId="0E1ECA74">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 xml:space="preserve">10. </w:t>
      </w:r>
      <w:r>
        <w:rPr>
          <w:rFonts w:hint="eastAsia" w:ascii="方正仿宋_GBK" w:hAnsi="方正仿宋_GBK" w:eastAsia="方正仿宋_GBK" w:cs="方正仿宋_GBK"/>
          <w:color w:val="000000"/>
          <w:sz w:val="32"/>
          <w:lang w:val="en-US" w:eastAsia="zh-CN"/>
        </w:rPr>
        <w:t>教育205（类）普通教育02（款）小学教育02（项）：指反映各部门举办的小学教育支出。政府各部门对社会组织等举办的小学的资助，如捐赠、补贴等，也在本科目中反映。</w:t>
      </w:r>
    </w:p>
    <w:p w14:paraId="6D480BFF">
      <w:pPr>
        <w:spacing w:beforeLines="0" w:afterLines="0" w:line="560" w:lineRule="exact"/>
        <w:ind w:firstLine="627" w:firstLineChars="196"/>
        <w:rPr>
          <w:rFonts w:hint="eastAsia" w:ascii="方正仿宋_GBK" w:hAnsi="方正仿宋_GBK" w:eastAsia="方正仿宋_GBK" w:cs="方正仿宋_GBK"/>
          <w:color w:val="000000"/>
          <w:sz w:val="32"/>
          <w:lang w:val="en-US" w:eastAsia="zh-CN"/>
        </w:rPr>
      </w:pPr>
      <w:r>
        <w:rPr>
          <w:rFonts w:hint="eastAsia" w:ascii="方正仿宋_GBK" w:hAnsi="方正仿宋_GBK" w:eastAsia="方正仿宋_GBK" w:cs="方正仿宋_GBK"/>
          <w:color w:val="000000"/>
          <w:sz w:val="32"/>
          <w:lang w:val="zh-CN"/>
        </w:rPr>
        <w:t xml:space="preserve">11. </w:t>
      </w:r>
      <w:r>
        <w:rPr>
          <w:rFonts w:hint="eastAsia" w:ascii="方正仿宋_GBK" w:hAnsi="方正仿宋_GBK" w:eastAsia="方正仿宋_GBK" w:cs="方正仿宋_GBK"/>
          <w:color w:val="000000"/>
          <w:sz w:val="32"/>
          <w:lang w:val="en-US" w:eastAsia="zh-CN"/>
        </w:rPr>
        <w:t>教育205（类）教育费附加安排09（款）农村中小教学设施02（项）：指反映教育费附加安排用于改善农村中小学教学设施和办学条件的支出。</w:t>
      </w:r>
    </w:p>
    <w:p w14:paraId="06A5F35A">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en-US" w:eastAsia="zh-CN"/>
        </w:rPr>
        <w:t>12.社会保障和就业208（类）行政事业单位养老05（款）事业单位离退休02（项）：指反映事业单位开支的离退休经费。</w:t>
      </w:r>
    </w:p>
    <w:p w14:paraId="2FC3B8C5">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1</w:t>
      </w:r>
      <w:r>
        <w:rPr>
          <w:rFonts w:hint="eastAsia" w:ascii="方正仿宋_GBK" w:hAnsi="方正仿宋_GBK" w:eastAsia="方正仿宋_GBK" w:cs="方正仿宋_GBK"/>
          <w:color w:val="000000"/>
          <w:sz w:val="32"/>
          <w:lang w:val="en-US" w:eastAsia="zh-CN"/>
        </w:rPr>
        <w:t>3</w:t>
      </w:r>
      <w:r>
        <w:rPr>
          <w:rFonts w:hint="eastAsia" w:ascii="方正仿宋_GBK" w:hAnsi="方正仿宋_GBK" w:eastAsia="方正仿宋_GBK" w:cs="方正仿宋_GBK"/>
          <w:color w:val="000000"/>
          <w:sz w:val="32"/>
          <w:lang w:val="zh-CN"/>
        </w:rPr>
        <w:t>.</w:t>
      </w:r>
      <w:r>
        <w:rPr>
          <w:rFonts w:hint="eastAsia" w:ascii="方正仿宋_GBK" w:hAnsi="方正仿宋_GBK" w:eastAsia="方正仿宋_GBK" w:cs="方正仿宋_GBK"/>
          <w:color w:val="000000"/>
          <w:sz w:val="32"/>
          <w:lang w:val="en-US" w:eastAsia="zh-CN"/>
        </w:rPr>
        <w:t>社会保障和就业208（类）行政事业单位养老05（款）机关事业单位基本养老保险缴费05（项）：指反映机关事业单位实施养老保险制度由单位缴纳的基本养老保险费支出。</w:t>
      </w:r>
    </w:p>
    <w:p w14:paraId="1E392409">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en-US" w:eastAsia="zh-CN"/>
        </w:rPr>
        <w:t>14</w:t>
      </w:r>
      <w:r>
        <w:rPr>
          <w:rFonts w:hint="eastAsia" w:ascii="方正仿宋_GBK" w:hAnsi="方正仿宋_GBK" w:eastAsia="方正仿宋_GBK" w:cs="方正仿宋_GBK"/>
          <w:color w:val="000000"/>
          <w:sz w:val="32"/>
          <w:lang w:val="zh-CN"/>
        </w:rPr>
        <w:t>.</w:t>
      </w:r>
      <w:r>
        <w:rPr>
          <w:rFonts w:hint="eastAsia" w:ascii="方正仿宋_GBK" w:hAnsi="方正仿宋_GBK" w:eastAsia="方正仿宋_GBK" w:cs="方正仿宋_GBK"/>
          <w:color w:val="000000"/>
          <w:sz w:val="32"/>
          <w:lang w:val="en-US" w:eastAsia="zh-CN"/>
        </w:rPr>
        <w:t>社会保障和就业208（类）行政事业单位养老05（款）机关事业单位职业年金缴费06（项）：指反映机关事业单位实施养老保险制度由单位实际缴纳的职业年金支出（含职业年金补记支出）。</w:t>
      </w:r>
    </w:p>
    <w:p w14:paraId="2240438D">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1</w:t>
      </w:r>
      <w:r>
        <w:rPr>
          <w:rFonts w:hint="eastAsia" w:ascii="方正仿宋_GBK" w:hAnsi="方正仿宋_GBK" w:eastAsia="方正仿宋_GBK" w:cs="方正仿宋_GBK"/>
          <w:color w:val="000000"/>
          <w:sz w:val="32"/>
          <w:lang w:val="en-US" w:eastAsia="zh-CN"/>
        </w:rPr>
        <w:t>5</w:t>
      </w:r>
      <w:r>
        <w:rPr>
          <w:rFonts w:hint="eastAsia" w:ascii="方正仿宋_GBK" w:hAnsi="方正仿宋_GBK" w:eastAsia="方正仿宋_GBK" w:cs="方正仿宋_GBK"/>
          <w:color w:val="000000"/>
          <w:sz w:val="32"/>
          <w:lang w:val="zh-CN"/>
        </w:rPr>
        <w:t xml:space="preserve">. </w:t>
      </w:r>
      <w:r>
        <w:rPr>
          <w:rFonts w:hint="eastAsia" w:ascii="方正仿宋_GBK" w:hAnsi="方正仿宋_GBK" w:eastAsia="方正仿宋_GBK" w:cs="方正仿宋_GBK"/>
          <w:color w:val="000000"/>
          <w:sz w:val="32"/>
          <w:lang w:val="en-US" w:eastAsia="zh-CN"/>
        </w:rPr>
        <w:t>社会保障和就业208（类）抚恤08（款）伤残抚恤02（项）：指反映按规定用于伤残人员的抚恤金和按规定开支的各种伤残补助费。</w:t>
      </w:r>
    </w:p>
    <w:p w14:paraId="5C50C946">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1</w:t>
      </w:r>
      <w:r>
        <w:rPr>
          <w:rFonts w:hint="eastAsia" w:ascii="方正仿宋_GBK" w:hAnsi="方正仿宋_GBK" w:eastAsia="方正仿宋_GBK" w:cs="方正仿宋_GBK"/>
          <w:color w:val="000000"/>
          <w:sz w:val="32"/>
          <w:lang w:val="en-US" w:eastAsia="zh-CN"/>
        </w:rPr>
        <w:t>6</w:t>
      </w:r>
      <w:r>
        <w:rPr>
          <w:rFonts w:hint="eastAsia" w:ascii="方正仿宋_GBK" w:hAnsi="方正仿宋_GBK" w:eastAsia="方正仿宋_GBK" w:cs="方正仿宋_GBK"/>
          <w:color w:val="000000"/>
          <w:sz w:val="32"/>
          <w:lang w:val="zh-CN"/>
        </w:rPr>
        <w:t>.</w:t>
      </w:r>
      <w:r>
        <w:rPr>
          <w:rFonts w:hint="eastAsia" w:ascii="方正仿宋_GBK" w:hAnsi="方正仿宋_GBK" w:eastAsia="方正仿宋_GBK" w:cs="方正仿宋_GBK"/>
          <w:color w:val="000000"/>
          <w:sz w:val="32"/>
          <w:lang w:val="en-US" w:eastAsia="zh-CN"/>
        </w:rPr>
        <w:t>卫生健康210（类）行政事业单位医疗11（款）事业单位医疗02（项）：指反映财政部门安排的事业单位基本医疗保险缴费经费，未参加医疗保险的事业单位的公费医疗经费，按国家规定享受离休人员待遇的医疗经费。</w:t>
      </w:r>
    </w:p>
    <w:p w14:paraId="6905E928">
      <w:pPr>
        <w:spacing w:beforeLines="0" w:afterLines="0" w:line="560" w:lineRule="exact"/>
        <w:ind w:firstLine="627" w:firstLineChars="196"/>
        <w:rPr>
          <w:rFonts w:hint="eastAsia" w:ascii="方正仿宋_GBK" w:hAnsi="方正仿宋_GBK" w:eastAsia="方正仿宋_GBK" w:cs="方正仿宋_GBK"/>
          <w:color w:val="000000"/>
          <w:sz w:val="32"/>
          <w:lang w:val="zh-CN"/>
        </w:rPr>
      </w:pPr>
      <w:r>
        <w:rPr>
          <w:rFonts w:hint="eastAsia" w:ascii="方正仿宋_GBK" w:hAnsi="方正仿宋_GBK" w:eastAsia="方正仿宋_GBK" w:cs="方正仿宋_GBK"/>
          <w:color w:val="000000"/>
          <w:sz w:val="32"/>
          <w:lang w:val="zh-CN"/>
        </w:rPr>
        <w:t>1</w:t>
      </w:r>
      <w:r>
        <w:rPr>
          <w:rFonts w:hint="eastAsia" w:ascii="方正仿宋_GBK" w:hAnsi="方正仿宋_GBK" w:eastAsia="方正仿宋_GBK" w:cs="方正仿宋_GBK"/>
          <w:color w:val="000000"/>
          <w:sz w:val="32"/>
          <w:lang w:val="en-US" w:eastAsia="zh-CN"/>
        </w:rPr>
        <w:t>7</w:t>
      </w:r>
      <w:r>
        <w:rPr>
          <w:rFonts w:hint="eastAsia" w:ascii="方正仿宋_GBK" w:hAnsi="方正仿宋_GBK" w:eastAsia="方正仿宋_GBK" w:cs="方正仿宋_GBK"/>
          <w:color w:val="000000"/>
          <w:sz w:val="32"/>
          <w:lang w:val="zh-CN"/>
        </w:rPr>
        <w:t>.</w:t>
      </w:r>
      <w:r>
        <w:rPr>
          <w:rFonts w:hint="eastAsia" w:ascii="方正仿宋_GBK" w:hAnsi="方正仿宋_GBK" w:eastAsia="方正仿宋_GBK" w:cs="方正仿宋_GBK"/>
          <w:color w:val="000000"/>
          <w:sz w:val="32"/>
          <w:lang w:val="en-US" w:eastAsia="zh-CN"/>
        </w:rPr>
        <w:t>卫生健康210（类）行政事业单位医疗11（款）其他行政事业单位医疗99（项）：指反映除上述项目以外的其他用于行政事业单位医疗方面的支出。</w:t>
      </w:r>
    </w:p>
    <w:p w14:paraId="4AE84C4E">
      <w:pPr>
        <w:spacing w:beforeLines="0" w:afterLines="0" w:line="560" w:lineRule="exact"/>
        <w:ind w:firstLine="627" w:firstLineChars="196"/>
        <w:rPr>
          <w:rFonts w:hint="eastAsia" w:ascii="方正仿宋_GBK" w:hAnsi="方正仿宋_GBK" w:eastAsia="方正仿宋_GBK" w:cs="方正仿宋_GBK"/>
          <w:color w:val="000000"/>
          <w:sz w:val="32"/>
          <w:lang w:val="en-US" w:eastAsia="zh-CN"/>
        </w:rPr>
      </w:pPr>
      <w:r>
        <w:rPr>
          <w:rFonts w:hint="eastAsia" w:ascii="方正仿宋_GBK" w:hAnsi="方正仿宋_GBK" w:eastAsia="方正仿宋_GBK" w:cs="方正仿宋_GBK"/>
          <w:color w:val="000000"/>
          <w:sz w:val="32"/>
          <w:lang w:val="zh-CN"/>
        </w:rPr>
        <w:t>1</w:t>
      </w:r>
      <w:r>
        <w:rPr>
          <w:rFonts w:hint="eastAsia" w:ascii="方正仿宋_GBK" w:hAnsi="方正仿宋_GBK" w:eastAsia="方正仿宋_GBK" w:cs="方正仿宋_GBK"/>
          <w:color w:val="000000"/>
          <w:sz w:val="32"/>
          <w:lang w:val="en-US" w:eastAsia="zh-CN"/>
        </w:rPr>
        <w:t>8</w:t>
      </w:r>
      <w:r>
        <w:rPr>
          <w:rFonts w:hint="eastAsia" w:ascii="方正仿宋_GBK" w:hAnsi="方正仿宋_GBK" w:eastAsia="方正仿宋_GBK" w:cs="方正仿宋_GBK"/>
          <w:color w:val="000000"/>
          <w:sz w:val="32"/>
          <w:lang w:val="zh-CN"/>
        </w:rPr>
        <w:t xml:space="preserve">. </w:t>
      </w:r>
      <w:r>
        <w:rPr>
          <w:rFonts w:hint="eastAsia" w:ascii="方正仿宋_GBK" w:hAnsi="方正仿宋_GBK" w:eastAsia="方正仿宋_GBK" w:cs="方正仿宋_GBK"/>
          <w:color w:val="000000"/>
          <w:sz w:val="32"/>
          <w:lang w:val="en-US" w:eastAsia="zh-CN"/>
        </w:rPr>
        <w:t>住房保障221（类）住房改革02（款）住房公积金01（项）：指反映行政事业单位按人力资源和社会保障部、财政部规定的基本工资和津贴补贴以及规定比例为职工缴纳的住房公积金。</w:t>
      </w:r>
    </w:p>
    <w:p w14:paraId="7CE30367">
      <w:pPr>
        <w:spacing w:line="600" w:lineRule="exact"/>
        <w:ind w:firstLine="64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en-US" w:eastAsia="zh-CN"/>
        </w:rPr>
        <w:t>19</w:t>
      </w:r>
      <w:r>
        <w:rPr>
          <w:rFonts w:hint="eastAsia" w:ascii="方正仿宋_GBK" w:hAnsi="方正仿宋_GBK" w:eastAsia="方正仿宋_GBK" w:cs="方正仿宋_GBK"/>
          <w:sz w:val="32"/>
          <w:szCs w:val="32"/>
          <w:lang w:val="zh-CN"/>
        </w:rPr>
        <w:t>.基本支出：指为保障机构正常运转、完成日常工作任务而发生的人员支出和公用支出。</w:t>
      </w:r>
    </w:p>
    <w:p w14:paraId="05700F60">
      <w:pPr>
        <w:spacing w:line="600" w:lineRule="exact"/>
        <w:ind w:firstLine="640"/>
        <w:rPr>
          <w:rFonts w:hint="eastAsia" w:ascii="方正仿宋_GBK" w:hAnsi="方正仿宋_GBK" w:eastAsia="方正仿宋_GBK" w:cs="方正仿宋_GBK"/>
          <w:sz w:val="32"/>
          <w:szCs w:val="32"/>
          <w:lang w:val="zh-CN"/>
        </w:rPr>
      </w:pPr>
      <w:r>
        <w:rPr>
          <w:rFonts w:hint="eastAsia" w:ascii="方正仿宋_GBK" w:hAnsi="方正仿宋_GBK" w:eastAsia="方正仿宋_GBK" w:cs="方正仿宋_GBK"/>
          <w:sz w:val="32"/>
          <w:szCs w:val="32"/>
          <w:lang w:val="en-US" w:eastAsia="zh-CN"/>
        </w:rPr>
        <w:t>20</w:t>
      </w:r>
      <w:r>
        <w:rPr>
          <w:rFonts w:hint="eastAsia" w:ascii="方正仿宋_GBK" w:hAnsi="方正仿宋_GBK" w:eastAsia="方正仿宋_GBK" w:cs="方正仿宋_GBK"/>
          <w:sz w:val="32"/>
          <w:szCs w:val="32"/>
          <w:lang w:val="zh-CN"/>
        </w:rPr>
        <w:t>.项目支出：指在基本支出之外为完成特定行政任务和事业发展目标所发生的支出。</w:t>
      </w:r>
    </w:p>
    <w:p w14:paraId="142D7DF5">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21</w:t>
      </w:r>
      <w:r>
        <w:rPr>
          <w:rFonts w:hint="eastAsia" w:ascii="方正仿宋_GBK" w:hAnsi="方正仿宋_GBK" w:eastAsia="方正仿宋_GBK" w:cs="方正仿宋_GBK"/>
          <w:sz w:val="32"/>
          <w:szCs w:val="32"/>
          <w:lang w:val="zh-CN"/>
        </w:rPr>
        <w:t>.经营支出：指事业单位在专业业务活动及其辅助活动之外开展非独立核算经营活动发生的支出。</w:t>
      </w:r>
    </w:p>
    <w:p w14:paraId="0789E351">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22</w:t>
      </w:r>
      <w:r>
        <w:rPr>
          <w:rFonts w:hint="eastAsia" w:ascii="方正仿宋_GBK" w:hAnsi="方正仿宋_GBK" w:eastAsia="方正仿宋_GBK" w:cs="方正仿宋_GBK"/>
          <w:sz w:val="32"/>
          <w:szCs w:val="32"/>
        </w:rPr>
        <w:t>.“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14:paraId="055B2362">
      <w:pPr>
        <w:spacing w:line="600"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23</w:t>
      </w:r>
      <w:r>
        <w:rPr>
          <w:rFonts w:hint="eastAsia" w:ascii="方正仿宋_GBK" w:hAnsi="方正仿宋_GBK" w:eastAsia="方正仿宋_GBK" w:cs="方正仿宋_GBK"/>
          <w:sz w:val="32"/>
          <w:szCs w:val="32"/>
        </w:rPr>
        <w:t>.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775730B">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仿宋_GB2312" w:cs="Times New Roman"/>
          <w:sz w:val="32"/>
          <w:szCs w:val="32"/>
        </w:rPr>
        <w:br w:type="page"/>
      </w:r>
      <w:bookmarkStart w:id="63" w:name="_Toc15396614"/>
      <w:bookmarkStart w:id="64" w:name="_Toc4538"/>
      <w:r>
        <w:rPr>
          <w:rFonts w:hint="default" w:ascii="方正小标宋_GBK" w:hAnsi="方正小标宋_GBK" w:eastAsia="方正小标宋_GBK" w:cs="方正小标宋_GBK"/>
          <w:b/>
          <w:bCs w:val="0"/>
        </w:rPr>
        <w:t>第四部分  附件</w:t>
      </w:r>
      <w:bookmarkEnd w:id="63"/>
      <w:bookmarkEnd w:id="64"/>
    </w:p>
    <w:p w14:paraId="1382C7C2">
      <w:pPr>
        <w:pStyle w:val="7"/>
        <w:spacing w:line="560" w:lineRule="exact"/>
        <w:ind w:left="0" w:leftChars="0" w:firstLine="643"/>
        <w:jc w:val="center"/>
        <w:rPr>
          <w:rFonts w:hint="eastAsia" w:ascii="方正仿宋_GBK" w:hAnsi="方正仿宋_GBK" w:eastAsia="方正仿宋_GBK" w:cs="方正仿宋_GBK"/>
          <w:b w:val="0"/>
          <w:bCs/>
          <w:sz w:val="32"/>
          <w:highlight w:val="yellow"/>
          <w:lang w:val="zh-CN"/>
        </w:rPr>
      </w:pPr>
      <w:r>
        <w:rPr>
          <w:rFonts w:hint="eastAsia" w:ascii="方正仿宋_GBK" w:hAnsi="方正仿宋_GBK" w:eastAsia="方正仿宋_GBK" w:cs="方正仿宋_GBK"/>
          <w:b w:val="0"/>
          <w:bCs/>
          <w:sz w:val="32"/>
          <w:lang w:bidi="ar"/>
        </w:rPr>
        <w:t>部门预算项目支出绩效自评表（2024年度）</w:t>
      </w:r>
    </w:p>
    <w:p w14:paraId="0F83B12C">
      <w:pPr>
        <w:pStyle w:val="2"/>
        <w:spacing w:before="93"/>
        <w:rPr>
          <w:rFonts w:hint="default" w:ascii="Times New Roman" w:hAnsi="Times New Roman" w:cs="Times New Roman"/>
          <w:color w:val="FF0000"/>
          <w:sz w:val="32"/>
          <w:szCs w:val="32"/>
          <w:highlight w:val="yellow"/>
          <w:shd w:val="clear" w:color="auto" w:fill="FFFFFF"/>
          <w:lang w:val="zh-CN"/>
        </w:rPr>
      </w:pPr>
    </w:p>
    <w:p w14:paraId="5088AC3D">
      <w:pPr>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14:paraId="605EA04C">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sz w:val="32"/>
          <w:szCs w:val="32"/>
        </w:rPr>
      </w:pPr>
      <w:bookmarkStart w:id="65" w:name="_Toc15396618"/>
      <w:bookmarkStart w:id="66" w:name="_Toc28629"/>
      <w:r>
        <w:rPr>
          <w:rFonts w:hint="default" w:ascii="方正小标宋_GBK" w:hAnsi="方正小标宋_GBK" w:eastAsia="方正小标宋_GBK" w:cs="方正小标宋_GBK"/>
          <w:b/>
          <w:bCs w:val="0"/>
        </w:rPr>
        <w:t>第五部分 附表</w:t>
      </w:r>
      <w:bookmarkEnd w:id="62"/>
      <w:bookmarkEnd w:id="65"/>
      <w:bookmarkEnd w:id="66"/>
      <w:bookmarkStart w:id="67" w:name="_Toc15396619"/>
    </w:p>
    <w:p w14:paraId="2BAF9DD5">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68" w:name="_Toc16640"/>
      <w:r>
        <w:rPr>
          <w:rFonts w:hint="eastAsia" w:ascii="方正黑体_GBK" w:hAnsi="方正黑体_GBK" w:eastAsia="方正黑体_GBK" w:cs="方正黑体_GBK"/>
          <w:b w:val="0"/>
        </w:rPr>
        <w:t>一、收入支出决算总表</w:t>
      </w:r>
      <w:bookmarkEnd w:id="67"/>
      <w:bookmarkEnd w:id="68"/>
    </w:p>
    <w:p w14:paraId="24C1965E">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69" w:name="_Toc15396620"/>
      <w:bookmarkStart w:id="70" w:name="_Toc29499"/>
      <w:r>
        <w:rPr>
          <w:rFonts w:hint="eastAsia" w:ascii="方正黑体_GBK" w:hAnsi="方正黑体_GBK" w:eastAsia="方正黑体_GBK" w:cs="方正黑体_GBK"/>
          <w:b w:val="0"/>
        </w:rPr>
        <w:t>二、收入决算表</w:t>
      </w:r>
      <w:bookmarkEnd w:id="69"/>
      <w:bookmarkEnd w:id="70"/>
    </w:p>
    <w:p w14:paraId="03DF53E3">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71" w:name="_Toc15396621"/>
      <w:bookmarkStart w:id="72" w:name="_Toc29384"/>
      <w:r>
        <w:rPr>
          <w:rFonts w:hint="eastAsia" w:ascii="方正黑体_GBK" w:hAnsi="方正黑体_GBK" w:eastAsia="方正黑体_GBK" w:cs="方正黑体_GBK"/>
          <w:b w:val="0"/>
        </w:rPr>
        <w:t>三、支出决算表</w:t>
      </w:r>
      <w:bookmarkEnd w:id="71"/>
      <w:bookmarkEnd w:id="72"/>
    </w:p>
    <w:p w14:paraId="636AA9DA">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73" w:name="_Toc15396622"/>
      <w:bookmarkStart w:id="74" w:name="_Toc23317"/>
      <w:r>
        <w:rPr>
          <w:rFonts w:hint="eastAsia" w:ascii="方正黑体_GBK" w:hAnsi="方正黑体_GBK" w:eastAsia="方正黑体_GBK" w:cs="方正黑体_GBK"/>
          <w:b w:val="0"/>
        </w:rPr>
        <w:t>四、财政拨款收入支出决算总表</w:t>
      </w:r>
      <w:bookmarkEnd w:id="73"/>
      <w:bookmarkEnd w:id="74"/>
    </w:p>
    <w:p w14:paraId="3B88AC1E">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75" w:name="_Toc15396623"/>
      <w:bookmarkStart w:id="76" w:name="_Toc12353"/>
      <w:r>
        <w:rPr>
          <w:rFonts w:hint="eastAsia" w:ascii="方正黑体_GBK" w:hAnsi="方正黑体_GBK" w:eastAsia="方正黑体_GBK" w:cs="方正黑体_GBK"/>
          <w:b w:val="0"/>
        </w:rPr>
        <w:t>五、财政拨款支出决算明细表</w:t>
      </w:r>
      <w:bookmarkEnd w:id="75"/>
      <w:bookmarkEnd w:id="76"/>
      <w:bookmarkStart w:id="77" w:name="_Toc15396624"/>
    </w:p>
    <w:p w14:paraId="7360D569">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78" w:name="_Toc32178"/>
      <w:r>
        <w:rPr>
          <w:rFonts w:hint="eastAsia" w:ascii="方正黑体_GBK" w:hAnsi="方正黑体_GBK" w:eastAsia="方正黑体_GBK" w:cs="方正黑体_GBK"/>
          <w:b w:val="0"/>
        </w:rPr>
        <w:t>六、一般公共预算财政拨款支出决算表</w:t>
      </w:r>
      <w:bookmarkEnd w:id="77"/>
      <w:bookmarkEnd w:id="78"/>
    </w:p>
    <w:p w14:paraId="70367A17">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79" w:name="_Toc15396625"/>
      <w:bookmarkStart w:id="80" w:name="_Toc2291"/>
      <w:r>
        <w:rPr>
          <w:rFonts w:hint="eastAsia" w:ascii="方正黑体_GBK" w:hAnsi="方正黑体_GBK" w:eastAsia="方正黑体_GBK" w:cs="方正黑体_GBK"/>
          <w:b w:val="0"/>
        </w:rPr>
        <w:t>七、一般公共预算财政拨款支出决算明细表</w:t>
      </w:r>
      <w:bookmarkEnd w:id="79"/>
      <w:bookmarkEnd w:id="80"/>
    </w:p>
    <w:p w14:paraId="5FE73742">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81" w:name="_Toc15396626"/>
      <w:bookmarkStart w:id="82" w:name="_Toc15651"/>
      <w:r>
        <w:rPr>
          <w:rFonts w:hint="eastAsia" w:ascii="方正黑体_GBK" w:hAnsi="方正黑体_GBK" w:eastAsia="方正黑体_GBK" w:cs="方正黑体_GBK"/>
          <w:b w:val="0"/>
        </w:rPr>
        <w:t>八、一般公共预算财政拨款基本支出决算表</w:t>
      </w:r>
      <w:bookmarkEnd w:id="81"/>
      <w:bookmarkEnd w:id="82"/>
    </w:p>
    <w:p w14:paraId="6513D88F">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83" w:name="_Toc15396627"/>
      <w:bookmarkStart w:id="84" w:name="_Toc19628"/>
      <w:r>
        <w:rPr>
          <w:rFonts w:hint="eastAsia" w:ascii="方正黑体_GBK" w:hAnsi="方正黑体_GBK" w:eastAsia="方正黑体_GBK" w:cs="方正黑体_GBK"/>
          <w:b w:val="0"/>
        </w:rPr>
        <w:t>九、一般公共预算财政拨款项目支出决算表</w:t>
      </w:r>
      <w:bookmarkEnd w:id="83"/>
      <w:bookmarkEnd w:id="84"/>
    </w:p>
    <w:p w14:paraId="675B3EF2">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85" w:name="_Toc15396628"/>
      <w:bookmarkStart w:id="86" w:name="_Toc20474"/>
      <w:r>
        <w:rPr>
          <w:rFonts w:hint="eastAsia" w:ascii="方正黑体_GBK" w:hAnsi="方正黑体_GBK" w:eastAsia="方正黑体_GBK" w:cs="方正黑体_GBK"/>
          <w:b w:val="0"/>
        </w:rPr>
        <w:t>十、</w:t>
      </w:r>
      <w:bookmarkEnd w:id="85"/>
      <w:r>
        <w:rPr>
          <w:rFonts w:hint="eastAsia" w:ascii="方正黑体_GBK" w:hAnsi="方正黑体_GBK" w:eastAsia="方正黑体_GBK" w:cs="方正黑体_GBK"/>
          <w:b w:val="0"/>
        </w:rPr>
        <w:t>政府性基金预算财政拨款收入支出决算表</w:t>
      </w:r>
      <w:bookmarkEnd w:id="86"/>
    </w:p>
    <w:p w14:paraId="5EEF3610">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87" w:name="_Toc15396629"/>
      <w:bookmarkStart w:id="88" w:name="_Toc19909"/>
      <w:r>
        <w:rPr>
          <w:rFonts w:hint="eastAsia" w:ascii="方正黑体_GBK" w:hAnsi="方正黑体_GBK" w:eastAsia="方正黑体_GBK" w:cs="方正黑体_GBK"/>
          <w:b w:val="0"/>
        </w:rPr>
        <w:t>十一、</w:t>
      </w:r>
      <w:bookmarkEnd w:id="87"/>
      <w:r>
        <w:rPr>
          <w:rFonts w:hint="eastAsia" w:ascii="方正黑体_GBK" w:hAnsi="方正黑体_GBK" w:eastAsia="方正黑体_GBK" w:cs="方正黑体_GBK"/>
          <w:b w:val="0"/>
        </w:rPr>
        <w:t>国有资本经营预算财政拨款收入支出决算表</w:t>
      </w:r>
      <w:bookmarkEnd w:id="88"/>
    </w:p>
    <w:p w14:paraId="0E331E20">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89" w:name="_Toc15396630"/>
      <w:bookmarkStart w:id="90" w:name="_Toc9456"/>
      <w:r>
        <w:rPr>
          <w:rFonts w:hint="eastAsia" w:ascii="方正黑体_GBK" w:hAnsi="方正黑体_GBK" w:eastAsia="方正黑体_GBK" w:cs="方正黑体_GBK"/>
          <w:b w:val="0"/>
        </w:rPr>
        <w:t>十二、</w:t>
      </w:r>
      <w:bookmarkEnd w:id="89"/>
      <w:r>
        <w:rPr>
          <w:rFonts w:hint="eastAsia" w:ascii="方正黑体_GBK" w:hAnsi="方正黑体_GBK" w:eastAsia="方正黑体_GBK" w:cs="方正黑体_GBK"/>
          <w:b w:val="0"/>
        </w:rPr>
        <w:t>国有资本经营预算财政拨款支出决算表</w:t>
      </w:r>
      <w:bookmarkEnd w:id="90"/>
    </w:p>
    <w:p w14:paraId="2E248535">
      <w:pPr>
        <w:pStyle w:val="4"/>
        <w:keepNext/>
        <w:keepLines/>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方正黑体_GBK" w:hAnsi="方正黑体_GBK" w:eastAsia="方正黑体_GBK" w:cs="方正黑体_GBK"/>
          <w:b w:val="0"/>
        </w:rPr>
      </w:pPr>
      <w:bookmarkStart w:id="91" w:name="_Toc15396631"/>
      <w:bookmarkStart w:id="92" w:name="_Toc14006"/>
      <w:r>
        <w:rPr>
          <w:rFonts w:hint="eastAsia" w:ascii="方正黑体_GBK" w:hAnsi="方正黑体_GBK" w:eastAsia="方正黑体_GBK" w:cs="方正黑体_GBK"/>
          <w:b w:val="0"/>
        </w:rPr>
        <w:t>十三、</w:t>
      </w:r>
      <w:bookmarkEnd w:id="91"/>
      <w:r>
        <w:rPr>
          <w:rFonts w:hint="eastAsia" w:ascii="方正黑体_GBK" w:hAnsi="方正黑体_GBK" w:eastAsia="方正黑体_GBK" w:cs="方正黑体_GBK"/>
          <w:b w:val="0"/>
        </w:rPr>
        <w:t>财政拨款“三公”经费支出决算表</w:t>
      </w:r>
      <w:bookmarkEnd w:id="92"/>
    </w:p>
    <w:p w14:paraId="000914FC">
      <w:pPr>
        <w:rPr>
          <w:rFonts w:hint="default" w:ascii="Times New Roman" w:hAnsi="Times New Roman" w:cs="Times New Roman"/>
        </w:rPr>
      </w:pPr>
    </w:p>
    <w:sectPr>
      <w:footerReference r:id="rId7" w:type="first"/>
      <w:headerReference r:id="rId5" w:type="defaul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BDF7">
    <w:pPr>
      <w:pStyle w:val="10"/>
      <w:jc w:val="center"/>
    </w:pPr>
  </w:p>
  <w:p w14:paraId="42D94996">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815382"/>
      <w:docPartObj>
        <w:docPartGallery w:val="autotext"/>
      </w:docPartObj>
    </w:sdtPr>
    <w:sdtContent>
      <w:p w14:paraId="68DC4D32">
        <w:pPr>
          <w:pStyle w:val="10"/>
          <w:jc w:val="center"/>
        </w:pPr>
        <w:r>
          <w:fldChar w:fldCharType="begin"/>
        </w:r>
        <w:r>
          <w:instrText xml:space="preserve">PAGE   \* MERGEFORMAT</w:instrText>
        </w:r>
        <w:r>
          <w:fldChar w:fldCharType="separate"/>
        </w:r>
        <w:r>
          <w:rPr>
            <w:lang w:val="zh-CN"/>
          </w:rPr>
          <w:t>-</w:t>
        </w:r>
        <w:r>
          <w:t xml:space="preserve"> 13 -</w:t>
        </w:r>
        <w:r>
          <w:fldChar w:fldCharType="end"/>
        </w:r>
      </w:p>
    </w:sdtContent>
  </w:sdt>
  <w:p w14:paraId="1D7437DA">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917AD">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7BD92">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428FA">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8"/>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37A24"/>
    <w:rsid w:val="000468DB"/>
    <w:rsid w:val="0006487A"/>
    <w:rsid w:val="00065F8F"/>
    <w:rsid w:val="00070A43"/>
    <w:rsid w:val="000768F2"/>
    <w:rsid w:val="0009184B"/>
    <w:rsid w:val="00094236"/>
    <w:rsid w:val="0009593C"/>
    <w:rsid w:val="00097322"/>
    <w:rsid w:val="000A3860"/>
    <w:rsid w:val="000A6A92"/>
    <w:rsid w:val="000B047F"/>
    <w:rsid w:val="000B5923"/>
    <w:rsid w:val="000B5A48"/>
    <w:rsid w:val="000B6FF3"/>
    <w:rsid w:val="000C3467"/>
    <w:rsid w:val="000C3CA6"/>
    <w:rsid w:val="000D1267"/>
    <w:rsid w:val="000D1D50"/>
    <w:rsid w:val="000D5782"/>
    <w:rsid w:val="000E6613"/>
    <w:rsid w:val="000E7119"/>
    <w:rsid w:val="00104B0E"/>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006"/>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19"/>
    <w:rsid w:val="004B4690"/>
    <w:rsid w:val="004E0A2D"/>
    <w:rsid w:val="004E206B"/>
    <w:rsid w:val="004E6DF7"/>
    <w:rsid w:val="004F0FBD"/>
    <w:rsid w:val="00505A47"/>
    <w:rsid w:val="00512FDA"/>
    <w:rsid w:val="00520DA0"/>
    <w:rsid w:val="00560C6C"/>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A1457"/>
    <w:rsid w:val="007D1682"/>
    <w:rsid w:val="007D312A"/>
    <w:rsid w:val="007D3F19"/>
    <w:rsid w:val="007E23B0"/>
    <w:rsid w:val="007E23E5"/>
    <w:rsid w:val="007F1991"/>
    <w:rsid w:val="007F2C2F"/>
    <w:rsid w:val="007F55FC"/>
    <w:rsid w:val="007F5665"/>
    <w:rsid w:val="00800112"/>
    <w:rsid w:val="00807E60"/>
    <w:rsid w:val="00813348"/>
    <w:rsid w:val="008253BB"/>
    <w:rsid w:val="0083706E"/>
    <w:rsid w:val="008408F6"/>
    <w:rsid w:val="008423A5"/>
    <w:rsid w:val="00850625"/>
    <w:rsid w:val="00853718"/>
    <w:rsid w:val="00855221"/>
    <w:rsid w:val="00860645"/>
    <w:rsid w:val="00871F71"/>
    <w:rsid w:val="00872FD8"/>
    <w:rsid w:val="00876F36"/>
    <w:rsid w:val="00885AF4"/>
    <w:rsid w:val="008939CD"/>
    <w:rsid w:val="008B768C"/>
    <w:rsid w:val="008C19A1"/>
    <w:rsid w:val="008C4DB1"/>
    <w:rsid w:val="008C4EAF"/>
    <w:rsid w:val="008C5176"/>
    <w:rsid w:val="008C7FD0"/>
    <w:rsid w:val="008E1DE7"/>
    <w:rsid w:val="008E707C"/>
    <w:rsid w:val="00900B08"/>
    <w:rsid w:val="00902155"/>
    <w:rsid w:val="00902FA3"/>
    <w:rsid w:val="00915CDB"/>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16A36"/>
    <w:rsid w:val="00A237D8"/>
    <w:rsid w:val="00A268C4"/>
    <w:rsid w:val="00A307CD"/>
    <w:rsid w:val="00A331C8"/>
    <w:rsid w:val="00A40A00"/>
    <w:rsid w:val="00A4142F"/>
    <w:rsid w:val="00A422EB"/>
    <w:rsid w:val="00A45BB7"/>
    <w:rsid w:val="00A56DF2"/>
    <w:rsid w:val="00A56E6E"/>
    <w:rsid w:val="00A67AB5"/>
    <w:rsid w:val="00A71F87"/>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372E4"/>
    <w:rsid w:val="00D51276"/>
    <w:rsid w:val="00D7035F"/>
    <w:rsid w:val="00DA634F"/>
    <w:rsid w:val="00DA65AC"/>
    <w:rsid w:val="00DB1913"/>
    <w:rsid w:val="00DC410D"/>
    <w:rsid w:val="00DC5A81"/>
    <w:rsid w:val="00DC68CA"/>
    <w:rsid w:val="00DC7CBA"/>
    <w:rsid w:val="00DD0127"/>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58A2A30"/>
    <w:rsid w:val="061E35DE"/>
    <w:rsid w:val="066E0107"/>
    <w:rsid w:val="07996F6E"/>
    <w:rsid w:val="07DFD8BA"/>
    <w:rsid w:val="09867E8F"/>
    <w:rsid w:val="0A2032A3"/>
    <w:rsid w:val="0CA8290A"/>
    <w:rsid w:val="0D35B1ED"/>
    <w:rsid w:val="0E254B6B"/>
    <w:rsid w:val="0F98263C"/>
    <w:rsid w:val="101860EC"/>
    <w:rsid w:val="101F47CC"/>
    <w:rsid w:val="10C055FF"/>
    <w:rsid w:val="10E332A4"/>
    <w:rsid w:val="11694EBD"/>
    <w:rsid w:val="11772AA4"/>
    <w:rsid w:val="118107EC"/>
    <w:rsid w:val="12E24EE2"/>
    <w:rsid w:val="13BF31B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05C7FDB"/>
    <w:rsid w:val="2186353C"/>
    <w:rsid w:val="23860B96"/>
    <w:rsid w:val="240371BF"/>
    <w:rsid w:val="244F3473"/>
    <w:rsid w:val="24C97D99"/>
    <w:rsid w:val="25A718F0"/>
    <w:rsid w:val="25BB59F6"/>
    <w:rsid w:val="260F557C"/>
    <w:rsid w:val="26970054"/>
    <w:rsid w:val="281408E2"/>
    <w:rsid w:val="29FD04D3"/>
    <w:rsid w:val="2BFF7BC6"/>
    <w:rsid w:val="2C8A61B5"/>
    <w:rsid w:val="2CAE755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0834A1"/>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01B2895"/>
    <w:rsid w:val="44E268DA"/>
    <w:rsid w:val="450D13D7"/>
    <w:rsid w:val="45506656"/>
    <w:rsid w:val="45FC00DD"/>
    <w:rsid w:val="486A6C7A"/>
    <w:rsid w:val="4A627F82"/>
    <w:rsid w:val="4B0E749A"/>
    <w:rsid w:val="4B2477C4"/>
    <w:rsid w:val="4B4F25DA"/>
    <w:rsid w:val="4BE068DB"/>
    <w:rsid w:val="4BEF3DE4"/>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85B419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4D5763"/>
    <w:rsid w:val="63B3701E"/>
    <w:rsid w:val="647F5392"/>
    <w:rsid w:val="65E66580"/>
    <w:rsid w:val="664B1D71"/>
    <w:rsid w:val="664B4E8E"/>
    <w:rsid w:val="67277B67"/>
    <w:rsid w:val="67AA3209"/>
    <w:rsid w:val="68F6059A"/>
    <w:rsid w:val="698D0931"/>
    <w:rsid w:val="6A7FE5F3"/>
    <w:rsid w:val="6AAE27AE"/>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BB4511"/>
    <w:rsid w:val="73160E6D"/>
    <w:rsid w:val="7332FE48"/>
    <w:rsid w:val="73AB61DA"/>
    <w:rsid w:val="73AD73D5"/>
    <w:rsid w:val="73B6EB34"/>
    <w:rsid w:val="73FA497D"/>
    <w:rsid w:val="744731E5"/>
    <w:rsid w:val="74BBD01D"/>
    <w:rsid w:val="74ED5379"/>
    <w:rsid w:val="75DEEEC2"/>
    <w:rsid w:val="75E32345"/>
    <w:rsid w:val="76E3355F"/>
    <w:rsid w:val="76FF5125"/>
    <w:rsid w:val="7723713D"/>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9A7BC3"/>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lang="zh-CN" altLang="en-US" sz="1000"/>
              <a:t>收入、支出决算情况表（单位：万元）</a:t>
            </a:r>
            <a:endParaRPr lang="zh-CN" altLang="en-US" sz="1000"/>
          </a:p>
        </c:rich>
      </c:tx>
      <c:layout>
        <c:manualLayout>
          <c:xMode val="edge"/>
          <c:yMode val="edge"/>
          <c:x val="0.227640631323351"/>
          <c:y val="0.0385946233697099"/>
        </c:manualLayout>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2738.48</c:v>
                </c:pt>
                <c:pt idx="1">
                  <c:v>2738.48</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2646.4</c:v>
                </c:pt>
                <c:pt idx="1">
                  <c:v>2646.4</c:v>
                </c:pt>
              </c:numCache>
            </c:numRef>
          </c:val>
        </c:ser>
        <c:dLbls>
          <c:showLegendKey val="0"/>
          <c:showVal val="1"/>
          <c:showCatName val="0"/>
          <c:showSerName val="0"/>
          <c:showPercent val="0"/>
          <c:showBubbleSize val="0"/>
        </c:dLbls>
        <c:gapWidth val="219"/>
        <c:overlap val="-27"/>
        <c:axId val="127518976"/>
        <c:axId val="127524864"/>
      </c:barChart>
      <c:catAx>
        <c:axId val="127518976"/>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524864"/>
        <c:crosses val="autoZero"/>
        <c:auto val="1"/>
        <c:lblAlgn val="ctr"/>
        <c:lblOffset val="100"/>
        <c:noMultiLvlLbl val="0"/>
      </c:catAx>
      <c:valAx>
        <c:axId val="12752486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275189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1a8b44e4-62e6-4331-9e6c-b917ee63943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收入决算结构图</a:t>
            </a:r>
            <a:endParaRPr lang="zh-CN" altLang="en-US"/>
          </a:p>
        </c:rich>
      </c:tx>
      <c:layout>
        <c:manualLayout>
          <c:xMode val="edge"/>
          <c:yMode val="edge"/>
          <c:x val="0.433194444444444"/>
          <c:y val="0.00694444444444444"/>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58333333333333"/>
                  <c:y val="-0.19431823012292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25"/>
                  <c:y val="0.072916666666666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[图表.xlsx]Sheet1!$B$63:$B$64</c:f>
              <c:strCache>
                <c:ptCount val="2"/>
                <c:pt idx="0">
                  <c:v>一般公共预算财政拨款收入</c:v>
                </c:pt>
                <c:pt idx="1">
                  <c:v>其他收入</c:v>
                </c:pt>
              </c:strCache>
            </c:strRef>
          </c:cat>
          <c:val>
            <c:numRef>
              <c:f>[图表.xlsx]Sheet1!$C$63:$C$64</c:f>
              <c:numCache>
                <c:formatCode>#,##0.00</c:formatCode>
                <c:ptCount val="2"/>
                <c:pt idx="0">
                  <c:v>2642.95</c:v>
                </c:pt>
                <c:pt idx="1" c:formatCode="General">
                  <c:v>3.45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fbadc866-0106-4771-86bb-f7cd6f806df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lang="zh-CN" altLang="en-US" sz="900"/>
              <a:t>支出决算结构图（单位：万元）</a:t>
            </a:r>
            <a:endParaRPr lang="zh-CN" altLang="en-US" sz="900"/>
          </a:p>
        </c:rich>
      </c:tx>
      <c:layout>
        <c:manualLayout>
          <c:xMode val="edge"/>
          <c:yMode val="edge"/>
          <c:x val="0.3225"/>
          <c:y val="0.0208333333333333"/>
        </c:manualLayout>
      </c:layout>
      <c:overlay val="0"/>
      <c:spPr>
        <a:noFill/>
        <a:ln>
          <a:noFill/>
        </a:ln>
        <a:effectLst/>
      </c:spPr>
    </c:title>
    <c:autoTitleDeleted val="0"/>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2451.58</c:v>
                </c:pt>
                <c:pt idx="1" c:formatCode="General">
                  <c:v>194.82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310416666666667"/>
          <c:y val="0.880723180076628"/>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448097e-64d5-407d-b5ef-f90f0745eff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财政拨款收入、支出决算情况表（单位：万元）</a:t>
            </a:r>
            <a:endParaRPr lang="zh-CN" altLang="en-US"/>
          </a:p>
        </c:rich>
      </c:tx>
      <c:layout>
        <c:manualLayout>
          <c:xMode val="edge"/>
          <c:yMode val="edge"/>
          <c:x val="0.181454979129398"/>
          <c:y val="0.0277777777777778"/>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#,##0.00</c:formatCode>
                <c:ptCount val="2"/>
                <c:pt idx="0">
                  <c:v>2738.48</c:v>
                </c:pt>
                <c:pt idx="1">
                  <c:v>2738.48</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#,##0.00</c:formatCode>
                <c:ptCount val="2"/>
                <c:pt idx="0">
                  <c:v>2642.95</c:v>
                </c:pt>
                <c:pt idx="1">
                  <c:v>2642.95</c:v>
                </c:pt>
              </c:numCache>
            </c:numRef>
          </c:val>
        </c:ser>
        <c:dLbls>
          <c:showLegendKey val="0"/>
          <c:showVal val="1"/>
          <c:showCatName val="0"/>
          <c:showSerName val="0"/>
          <c:showPercent val="0"/>
          <c:showBubbleSize val="0"/>
        </c:dLbls>
        <c:gapWidth val="219"/>
        <c:overlap val="-27"/>
        <c:axId val="135082368"/>
        <c:axId val="135083904"/>
      </c:barChart>
      <c:catAx>
        <c:axId val="135082368"/>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083904"/>
        <c:crosses val="autoZero"/>
        <c:auto val="1"/>
        <c:lblAlgn val="ctr"/>
        <c:lblOffset val="100"/>
        <c:noMultiLvlLbl val="0"/>
      </c:catAx>
      <c:valAx>
        <c:axId val="135083904"/>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08236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487886d-1ff8-43d5-80c5-6dc796961b9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lang="zh-CN" altLang="en-US" sz="1000"/>
              <a:t>一般公共预算财政拨款支出决算情况表（单位：万元）</a:t>
            </a:r>
            <a:endParaRPr lang="zh-CN" altLang="en-US"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[图表.xlsx]Sheet1!$I$132</c:f>
              <c:strCache>
                <c:ptCount val="1"/>
                <c:pt idx="0">
                  <c:v>一般公共预算财政拨款支出</c:v>
                </c:pt>
              </c:strCache>
            </c:strRef>
          </c:cat>
          <c:val>
            <c:numRef>
              <c:f>[图表.xlsx]Sheet1!$I$133</c:f>
              <c:numCache>
                <c:formatCode>#,##0.00</c:formatCode>
                <c:ptCount val="1"/>
                <c:pt idx="0">
                  <c:v>2738.48</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[图表.xlsx]Sheet1!$I$132</c:f>
              <c:strCache>
                <c:ptCount val="1"/>
                <c:pt idx="0">
                  <c:v>一般公共预算财政拨款支出</c:v>
                </c:pt>
              </c:strCache>
            </c:strRef>
          </c:cat>
          <c:val>
            <c:numRef>
              <c:f>[图表.xlsx]Sheet1!$I$134</c:f>
              <c:numCache>
                <c:formatCode>#,##0.00</c:formatCode>
                <c:ptCount val="1"/>
                <c:pt idx="0">
                  <c:v>2642.95</c:v>
                </c:pt>
              </c:numCache>
            </c:numRef>
          </c:val>
        </c:ser>
        <c:dLbls>
          <c:showLegendKey val="0"/>
          <c:showVal val="1"/>
          <c:showCatName val="0"/>
          <c:showSerName val="0"/>
          <c:showPercent val="0"/>
          <c:showBubbleSize val="0"/>
        </c:dLbls>
        <c:gapWidth val="219"/>
        <c:overlap val="-27"/>
        <c:axId val="135101824"/>
        <c:axId val="135476352"/>
      </c:barChart>
      <c:catAx>
        <c:axId val="13510182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476352"/>
        <c:crosses val="autoZero"/>
        <c:auto val="1"/>
        <c:lblAlgn val="ctr"/>
        <c:lblOffset val="100"/>
        <c:noMultiLvlLbl val="0"/>
      </c:catAx>
      <c:valAx>
        <c:axId val="13547635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0.00"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510182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03c4d042-f1fb-4671-9322-ce05748964b9}"/>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lang="zh-CN" altLang="en-US" sz="900"/>
              <a:t>一般公共预算财政拨款支出结构图（单位：万元</a:t>
            </a:r>
            <a:r>
              <a:rPr lang="en-US" altLang="zh-CN" sz="900"/>
              <a:t>)</a:t>
            </a:r>
            <a:endParaRPr lang="en-US" altLang="zh-CN" sz="900"/>
          </a:p>
        </c:rich>
      </c:tx>
      <c:layout>
        <c:manualLayout>
          <c:xMode val="edge"/>
          <c:yMode val="edge"/>
          <c:x val="0.26726778386696"/>
          <c:y val="0.00524475524475524"/>
        </c:manualLayout>
      </c:layout>
      <c:overlay val="0"/>
      <c:spPr>
        <a:noFill/>
        <a:ln>
          <a:noFill/>
        </a:ln>
        <a:effectLst/>
      </c:spPr>
    </c:title>
    <c:autoTitleDeleted val="0"/>
    <c:plotArea>
      <c:layout>
        <c:manualLayout>
          <c:layoutTarget val="inner"/>
          <c:xMode val="edge"/>
          <c:yMode val="edge"/>
          <c:x val="0.252513049962714"/>
          <c:y val="0.170034965034965"/>
          <c:w val="0.526293810589113"/>
          <c:h val="0.616923076923077"/>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14091163310962"/>
                  <c:y val="0.085600958471748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2"/>
              <c:layout>
                <c:manualLayout>
                  <c:x val="-0.10625"/>
                  <c:y val="0.15862068965517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252083333333333"/>
                  <c:y val="0.10679361811631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4"/>
              <c:layout>
                <c:manualLayout>
                  <c:x val="-0.227083333333333"/>
                  <c:y val="0.0137733085236945"/>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[图表.xlsx]Sheet1!$B$250:$B$254</c:f>
              <c:strCache>
                <c:ptCount val="5"/>
                <c:pt idx="0">
                  <c:v>一般公共服务支出</c:v>
                </c:pt>
                <c:pt idx="1">
                  <c:v>教育支出</c:v>
                </c:pt>
                <c:pt idx="2">
                  <c:v>社会保障和就业支出</c:v>
                </c:pt>
                <c:pt idx="3">
                  <c:v>卫生健康支出</c:v>
                </c:pt>
                <c:pt idx="4">
                  <c:v>住房保障支出</c:v>
                </c:pt>
              </c:strCache>
            </c:strRef>
          </c:cat>
          <c:val>
            <c:numRef>
              <c:f>[图表.xlsx]Sheet1!$C$250:$C$254</c:f>
              <c:numCache>
                <c:formatCode>General</c:formatCode>
                <c:ptCount val="5"/>
                <c:pt idx="0">
                  <c:v>47.21</c:v>
                </c:pt>
                <c:pt idx="1" c:formatCode="#,##0.00">
                  <c:v>1916.59</c:v>
                </c:pt>
                <c:pt idx="2">
                  <c:v>323.2</c:v>
                </c:pt>
                <c:pt idx="3">
                  <c:v>183.53</c:v>
                </c:pt>
                <c:pt idx="4">
                  <c:v>172.42</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0a04cd-0eac-4cda-a73c-02ff98f8ef2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zh-CN" altLang="en-US"/>
              <a:t>“三公”经费财政拨款支出结构图（单位：万元）</a:t>
            </a:r>
            <a:endParaRPr lang="zh-CN" altLang="en-US"/>
          </a:p>
        </c:rich>
      </c:tx>
      <c:layout>
        <c:manualLayout>
          <c:xMode val="edge"/>
          <c:yMode val="edge"/>
          <c:x val="0.212519178890575"/>
          <c:y val="0.00602966635190431"/>
        </c:manualLayout>
      </c:layout>
      <c:overlay val="0"/>
      <c:spPr>
        <a:noFill/>
        <a:ln>
          <a:noFill/>
        </a:ln>
        <a:effectLst/>
      </c:spPr>
    </c:title>
    <c:autoTitleDeleted val="0"/>
    <c:plotArea>
      <c:layout>
        <c:manualLayout>
          <c:layoutTarget val="inner"/>
          <c:xMode val="edge"/>
          <c:yMode val="edge"/>
          <c:x val="0.328317653009611"/>
          <c:y val="0.176849858356941"/>
          <c:w val="0.343364693980779"/>
          <c:h val="0.641012275731822"/>
        </c:manualLayout>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229166666666667"/>
                  <c:y val="0.07302546296088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25948406676783"/>
                  <c:y val="-0.23088460811894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f>[图表.xlsx]Sheet1!$C$318:$C$320</c:f>
              <c:strCache>
                <c:ptCount val="3"/>
                <c:pt idx="0">
                  <c:v>因公出国（境）费支出</c:v>
                </c:pt>
                <c:pt idx="1">
                  <c:v>公务用车购置及运行维护费</c:v>
                </c:pt>
                <c:pt idx="2">
                  <c:v>公务接待费</c:v>
                </c:pt>
              </c:strCache>
            </c:strRef>
          </c:cat>
          <c:val>
            <c:numRef>
              <c:f>[图表.xlsx]Sheet1!$D$318:$D$320</c:f>
              <c:numCache>
                <c:formatCode>General</c:formatCode>
                <c:ptCount val="3"/>
                <c:pt idx="0">
                  <c:v>0</c:v>
                </c:pt>
                <c:pt idx="1">
                  <c:v>0.7</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a9d0997-3a54-43ca-b924-3aee95ec8d6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8B809-A9E3-4A05-8805-E68FDFCD4B6E}">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5434</Words>
  <Characters>5962</Characters>
  <Lines>43</Lines>
  <Paragraphs>12</Paragraphs>
  <TotalTime>1</TotalTime>
  <ScaleCrop>false</ScaleCrop>
  <LinksUpToDate>false</LinksUpToDate>
  <CharactersWithSpaces>6026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2025-10-21T01:55:00Z</dcterms:created>
  <dc:creator>曹颖</dc:creator>
  <cp:lastModifiedBy>阿淇</cp:lastModifiedBy>
  <cp:lastPrinted>2025-10-21T02:45:00Z</cp:lastPrinted>
  <dcterms:modified xsi:type="dcterms:W3CDTF">2025-10-28T02:06:43Z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eyJoZGlkIjoiOGI1MTY4OTk2MzU4ZjdhYmQwMDg0OWY0ZTk2N2ZkOTAiLCJ1c2VySWQiOiI2NjE3NzA3MDEifQ==</vt:lpwstr>
  </property>
</Properties>
</file>