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53896">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8441"/>
      <w:bookmarkStart w:id="3" w:name="_Toc15377425"/>
      <w:bookmarkStart w:id="4" w:name="_Toc15396597"/>
      <w:bookmarkStart w:id="5" w:name="_Toc15396475"/>
    </w:p>
    <w:p w14:paraId="37C31759">
      <w:pPr>
        <w:pStyle w:val="8"/>
        <w:rPr>
          <w:rFonts w:hint="eastAsia" w:ascii="Times New Roman" w:hAnsi="Times New Roman" w:eastAsia="方正小标宋简体" w:cs="Times New Roman"/>
          <w:color w:val="auto"/>
          <w:kern w:val="2"/>
          <w:sz w:val="72"/>
          <w:szCs w:val="72"/>
          <w:highlight w:val="none"/>
          <w:lang w:val="en-US" w:eastAsia="zh-CN" w:bidi="ar-SA"/>
        </w:rPr>
      </w:pPr>
    </w:p>
    <w:p w14:paraId="508920E6">
      <w:pPr>
        <w:pStyle w:val="8"/>
        <w:rPr>
          <w:rFonts w:hint="eastAsia" w:ascii="Times New Roman" w:hAnsi="Times New Roman" w:eastAsia="方正小标宋简体" w:cs="Times New Roman"/>
          <w:color w:val="auto"/>
          <w:kern w:val="2"/>
          <w:sz w:val="72"/>
          <w:szCs w:val="72"/>
          <w:highlight w:val="none"/>
          <w:lang w:val="en-US" w:eastAsia="zh-CN" w:bidi="ar-SA"/>
        </w:rPr>
      </w:pPr>
    </w:p>
    <w:p w14:paraId="19C64350">
      <w:pPr>
        <w:pStyle w:val="8"/>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2024年度</w:t>
      </w:r>
    </w:p>
    <w:p w14:paraId="145DB1D5">
      <w:pPr>
        <w:pStyle w:val="8"/>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盐边县国胜乡中心学校</w:t>
      </w:r>
    </w:p>
    <w:p w14:paraId="7E3442C8">
      <w:pPr>
        <w:pStyle w:val="8"/>
        <w:spacing w:before="93"/>
        <w:jc w:val="center"/>
        <w:rPr>
          <w:rFonts w:hint="default"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单位决算公开</w:t>
      </w:r>
    </w:p>
    <w:p w14:paraId="2D5A6E87">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25642DB3">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6429"/>
        <w15:color w:val="DBDBDB"/>
        <w:docPartObj>
          <w:docPartGallery w:val="Table of Contents"/>
          <w:docPartUnique/>
        </w:docPartObj>
      </w:sdtPr>
      <w:sdtEndPr>
        <w:rPr>
          <w:rFonts w:hint="default" w:ascii="Times New Roman" w:hAnsi="Times New Roman" w:eastAsia="方正小标宋简体" w:cs="方正小标宋简体"/>
          <w:b/>
          <w:bCs/>
          <w:kern w:val="44"/>
          <w:sz w:val="44"/>
          <w:szCs w:val="44"/>
          <w:lang w:val="en-US" w:eastAsia="zh-CN" w:bidi="ar-SA"/>
        </w:rPr>
      </w:sdtEndPr>
      <w:sdtContent>
        <w:p w14:paraId="74EC0C92">
          <w:pPr>
            <w:widowControl/>
            <w:jc w:val="center"/>
            <w:rPr>
              <w:rFonts w:ascii="宋体" w:hAnsi="宋体" w:eastAsia="宋体"/>
              <w:sz w:val="21"/>
            </w:rPr>
          </w:pP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75BE1D01">
          <w:pPr>
            <w:pStyle w:val="13"/>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10月28 </w:t>
          </w:r>
          <w:r>
            <w:rPr>
              <w:rFonts w:hint="eastAsia" w:ascii="Times New Roman" w:hAnsi="Times New Roman" w:eastAsia="仿宋_GB2312" w:cs="仿宋_GB2312"/>
              <w:color w:val="auto"/>
              <w:sz w:val="32"/>
              <w:szCs w:val="32"/>
              <w:highlight w:val="none"/>
            </w:rPr>
            <w:t>日</w:t>
          </w:r>
        </w:p>
        <w:p w14:paraId="709D19D0">
          <w:pPr>
            <w:pStyle w:val="13"/>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val="0"/>
              <w:sz w:val="30"/>
              <w:szCs w:val="30"/>
              <w:lang w:val="en-US" w:eastAsia="zh-CN"/>
            </w:rPr>
            <w:fldChar w:fldCharType="begin"/>
          </w:r>
          <w:r>
            <w:rPr>
              <w:rFonts w:hint="eastAsia" w:ascii="方正仿宋_GBK" w:hAnsi="方正仿宋_GBK" w:eastAsia="方正仿宋_GBK" w:cs="方正仿宋_GBK"/>
              <w:b w:val="0"/>
              <w:sz w:val="30"/>
              <w:szCs w:val="30"/>
              <w:lang w:val="en-US" w:eastAsia="zh-CN"/>
            </w:rPr>
            <w:instrText xml:space="preserve">TOC \o "1-2" \h \u </w:instrText>
          </w:r>
          <w:r>
            <w:rPr>
              <w:rFonts w:hint="eastAsia" w:ascii="方正仿宋_GBK" w:hAnsi="方正仿宋_GBK" w:eastAsia="方正仿宋_GBK" w:cs="方正仿宋_GBK"/>
              <w:b w:val="0"/>
              <w:sz w:val="30"/>
              <w:szCs w:val="30"/>
              <w:lang w:val="en-US" w:eastAsia="zh-CN"/>
            </w:rPr>
            <w:fldChar w:fldCharType="separate"/>
          </w: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_Toc25155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第一部分</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 xml:space="preserve"> </w:t>
          </w:r>
          <w:r>
            <w:rPr>
              <w:rFonts w:hint="eastAsia" w:ascii="方正仿宋_GBK" w:hAnsi="方正仿宋_GBK" w:eastAsia="方正仿宋_GBK" w:cs="方正仿宋_GBK"/>
              <w:bCs w:val="0"/>
              <w:sz w:val="30"/>
              <w:szCs w:val="30"/>
              <w:highlight w:val="none"/>
            </w:rPr>
            <w:t>部门概况</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_Toc25155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479F37E2">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_Toc26322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rPr>
            <w:t>一、主要职责</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_Toc26322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40B70E3D">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_Toc8774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rPr>
            <w:t>二、机构设置</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_Toc8774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1C54AD45">
          <w:pPr>
            <w:pStyle w:val="13"/>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_Toc28721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第二部分</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 xml:space="preserve"> </w:t>
          </w:r>
          <w:r>
            <w:rPr>
              <w:rFonts w:hint="eastAsia" w:ascii="方正仿宋_GBK" w:hAnsi="方正仿宋_GBK" w:eastAsia="方正仿宋_GBK" w:cs="方正仿宋_GBK"/>
              <w:sz w:val="30"/>
              <w:szCs w:val="30"/>
              <w:highlight w:val="none"/>
              <w:lang w:val="en-US" w:eastAsia="zh-CN"/>
            </w:rPr>
            <w:t>2024年度</w:t>
          </w:r>
          <w:r>
            <w:rPr>
              <w:rFonts w:hint="eastAsia" w:ascii="方正仿宋_GBK" w:hAnsi="方正仿宋_GBK" w:eastAsia="方正仿宋_GBK" w:cs="方正仿宋_GBK"/>
              <w:sz w:val="30"/>
              <w:szCs w:val="30"/>
              <w:highlight w:val="none"/>
            </w:rPr>
            <w:t>部门决算情况说明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_Toc28721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15492665">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_Toc7073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一、</w:t>
          </w:r>
          <w:r>
            <w:rPr>
              <w:rFonts w:hint="eastAsia" w:ascii="方正仿宋_GBK" w:hAnsi="方正仿宋_GBK" w:eastAsia="方正仿宋_GBK" w:cs="方正仿宋_GBK"/>
              <w:sz w:val="30"/>
              <w:szCs w:val="30"/>
              <w:highlight w:val="none"/>
            </w:rPr>
            <w:t>收入支出决算总体情况说明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_Toc7073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CC5F6E0">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_Toc27305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二、收入决算情况说明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_Toc27305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B2C9FA0">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_Toc5821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三、</w:t>
          </w:r>
          <w:r>
            <w:rPr>
              <w:rFonts w:hint="eastAsia" w:ascii="方正仿宋_GBK" w:hAnsi="方正仿宋_GBK" w:eastAsia="方正仿宋_GBK" w:cs="方正仿宋_GBK"/>
              <w:sz w:val="30"/>
              <w:szCs w:val="30"/>
              <w:highlight w:val="none"/>
            </w:rPr>
            <w:t>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_Toc5821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3</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5A859AD">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_Toc5253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四、财政拨款收入支出决算总体情况说明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_Toc5253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DB7E510">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_Toc7962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五、一般公共预算财政拨款支出决算情况说明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_Toc7962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4AF53B3C">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_Toc12127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六、一般公共预算财政拨款基本支出决算情况说明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_Toc12127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7</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90D9DA1">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_Toc24083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七、财政拨款“三公”经费支出决算情况说明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_Toc24083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8</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C79713A">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_Toc23820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八、政府性基金预算支出决算情况说明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_Toc23820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ABA4D36">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_Toc1687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九、</w:t>
          </w:r>
          <w:r>
            <w:rPr>
              <w:rFonts w:hint="eastAsia" w:ascii="方正仿宋_GBK" w:hAnsi="方正仿宋_GBK" w:eastAsia="方正仿宋_GBK" w:cs="方正仿宋_GBK"/>
              <w:sz w:val="30"/>
              <w:szCs w:val="30"/>
              <w:highlight w:val="none"/>
            </w:rPr>
            <w:t>国有资本经营预算支出决算情况说明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_Toc1687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46AED28C">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_Toc21947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十、</w:t>
          </w:r>
          <w:r>
            <w:rPr>
              <w:rFonts w:hint="eastAsia" w:ascii="方正仿宋_GBK" w:hAnsi="方正仿宋_GBK" w:eastAsia="方正仿宋_GBK" w:cs="方正仿宋_GBK"/>
              <w:sz w:val="30"/>
              <w:szCs w:val="30"/>
              <w:highlight w:val="none"/>
            </w:rPr>
            <w:t>其他重要事项的情况说明</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_Toc21947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9</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B390582">
          <w:pPr>
            <w:pStyle w:val="13"/>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_Toc29997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第</w:t>
          </w:r>
          <w:r>
            <w:rPr>
              <w:rFonts w:hint="eastAsia" w:ascii="方正仿宋_GBK" w:hAnsi="方正仿宋_GBK" w:eastAsia="方正仿宋_GBK" w:cs="方正仿宋_GBK"/>
              <w:sz w:val="30"/>
              <w:szCs w:val="30"/>
              <w:highlight w:val="none"/>
              <w:lang w:eastAsia="zh-CN"/>
            </w:rPr>
            <w:t>三</w:t>
          </w:r>
          <w:r>
            <w:rPr>
              <w:rFonts w:hint="eastAsia" w:ascii="方正仿宋_GBK" w:hAnsi="方正仿宋_GBK" w:eastAsia="方正仿宋_GBK" w:cs="方正仿宋_GBK"/>
              <w:sz w:val="30"/>
              <w:szCs w:val="30"/>
              <w:highlight w:val="none"/>
            </w:rPr>
            <w:t>部分</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名词解释</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_Toc29997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11</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533AEA7">
          <w:pPr>
            <w:pStyle w:val="13"/>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_Toc9976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第四部分  附件</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_Toc9976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14</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092C2DE">
          <w:pPr>
            <w:pStyle w:val="13"/>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_Toc29762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rPr>
            <w:t>第五部分 附表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_Toc29762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C1C5362">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_Toc22552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一、收入支出决算总表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_Toc22552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7DAA8338">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_Toc11880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二、收入决算表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_Toc11880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1DC2391A">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_Toc14129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三、支出决算表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_Toc14129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2F3BE0D6">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_Toc1563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四、财政拨款收入支出决算总表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_Toc1563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11D6E49">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_Toc30778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五、财政拨款支出决算明细表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_Toc30778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2351EBCA">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_Toc30009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六、一般公共预算财政拨款支出决算表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_Toc30009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BB231F3">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_Toc29778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七、一般公共预算财政拨款支出决算明细表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_Toc29778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3D4AFA9E">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_Toc1081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八、一般公共预算财政拨款基本支出决算表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_Toc1081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676378D8">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_Toc7840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九、一般公共预算财政拨款项目支出决算表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_Toc7840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2B092AEC">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_Toc23553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十、政府性基金预算财政拨款收入支出决算表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_Toc23553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53CD57AA">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_Toc32078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十一、国有资本经营预算财政拨款收入支出决算表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_Toc32078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49561D34">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_Toc20366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十二、国有资本经营预算财政拨款支出决算表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_Toc20366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2DFB9371">
          <w:pPr>
            <w:pStyle w:val="14"/>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fldChar w:fldCharType="begin"/>
          </w:r>
          <w:r>
            <w:rPr>
              <w:rFonts w:hint="eastAsia" w:ascii="方正仿宋_GBK" w:hAnsi="方正仿宋_GBK" w:eastAsia="方正仿宋_GBK" w:cs="方正仿宋_GBK"/>
              <w:sz w:val="30"/>
              <w:szCs w:val="30"/>
              <w:lang w:val="en-US" w:eastAsia="zh-CN"/>
            </w:rPr>
            <w:instrText xml:space="preserve"> HYPERLINK \l _Toc12041 </w:instrText>
          </w:r>
          <w:r>
            <w:rPr>
              <w:rFonts w:hint="eastAsia" w:ascii="方正仿宋_GBK" w:hAnsi="方正仿宋_GBK" w:eastAsia="方正仿宋_GBK" w:cs="方正仿宋_GBK"/>
              <w:sz w:val="30"/>
              <w:szCs w:val="30"/>
              <w:lang w:val="en-US" w:eastAsia="zh-CN"/>
            </w:rPr>
            <w:fldChar w:fldCharType="separate"/>
          </w:r>
          <w:r>
            <w:rPr>
              <w:rFonts w:hint="eastAsia" w:ascii="方正仿宋_GBK" w:hAnsi="方正仿宋_GBK" w:eastAsia="方正仿宋_GBK" w:cs="方正仿宋_GBK"/>
              <w:sz w:val="30"/>
              <w:szCs w:val="30"/>
              <w:highlight w:val="none"/>
              <w:lang w:eastAsia="zh-CN"/>
            </w:rPr>
            <w:t>十三、财政拨款“三公”经费支出决算表</w:t>
          </w:r>
          <w:r>
            <w:rPr>
              <w:rFonts w:hint="eastAsia" w:ascii="方正仿宋_GBK" w:hAnsi="方正仿宋_GBK" w:eastAsia="方正仿宋_GBK" w:cs="方正仿宋_GBK"/>
              <w:sz w:val="30"/>
              <w:szCs w:val="30"/>
            </w:rPr>
            <w:tab/>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PAGEREF _Toc12041 \h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15</w:t>
          </w:r>
          <w:r>
            <w:rPr>
              <w:rFonts w:hint="eastAsia" w:ascii="方正仿宋_GBK" w:hAnsi="方正仿宋_GBK" w:eastAsia="方正仿宋_GBK" w:cs="方正仿宋_GBK"/>
              <w:sz w:val="30"/>
              <w:szCs w:val="30"/>
            </w:rPr>
            <w:fldChar w:fldCharType="end"/>
          </w:r>
          <w:r>
            <w:rPr>
              <w:rFonts w:hint="eastAsia" w:ascii="方正仿宋_GBK" w:hAnsi="方正仿宋_GBK" w:eastAsia="方正仿宋_GBK" w:cs="方正仿宋_GBK"/>
              <w:sz w:val="30"/>
              <w:szCs w:val="30"/>
              <w:lang w:val="en-US" w:eastAsia="zh-CN"/>
            </w:rPr>
            <w:fldChar w:fldCharType="end"/>
          </w:r>
        </w:p>
        <w:p w14:paraId="22ADF001">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仿宋_GBK" w:hAnsi="方正仿宋_GBK" w:eastAsia="方正仿宋_GBK" w:cs="方正仿宋_GBK"/>
              <w:sz w:val="30"/>
              <w:szCs w:val="30"/>
              <w:lang w:val="en-US" w:eastAsia="zh-CN"/>
            </w:rPr>
            <w:fldChar w:fldCharType="end"/>
          </w:r>
          <w:bookmarkStart w:id="6" w:name="_Toc15396599"/>
          <w:bookmarkStart w:id="7" w:name="_Toc15377196"/>
        </w:p>
      </w:sdtContent>
    </w:sdt>
    <w:p w14:paraId="693F3D27">
      <w:pPr>
        <w:pStyle w:val="5"/>
        <w:jc w:val="center"/>
        <w:rPr>
          <w:rStyle w:val="28"/>
          <w:rFonts w:hint="eastAsia" w:ascii="Times New Roman" w:hAnsi="Times New Roman" w:eastAsia="方正小标宋简体" w:cs="方正小标宋简体"/>
          <w:b/>
          <w:bCs w:val="0"/>
          <w:color w:val="auto"/>
          <w:highlight w:val="none"/>
        </w:rPr>
      </w:pPr>
      <w:bookmarkStart w:id="8" w:name="_Toc2515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23BDFECC">
      <w:pPr>
        <w:widowControl/>
        <w:jc w:val="left"/>
        <w:rPr>
          <w:rFonts w:ascii="Times New Roman" w:hAnsi="Times New Roman" w:eastAsia="黑体"/>
          <w:color w:val="auto"/>
          <w:sz w:val="32"/>
          <w:szCs w:val="32"/>
          <w:highlight w:val="none"/>
        </w:rPr>
      </w:pPr>
    </w:p>
    <w:p w14:paraId="5C5C03BE">
      <w:pPr>
        <w:pStyle w:val="6"/>
        <w:spacing w:before="0" w:after="0" w:line="240" w:lineRule="auto"/>
        <w:rPr>
          <w:rFonts w:ascii="Times New Roman" w:hAnsi="Times New Roman" w:eastAsia="黑体"/>
          <w:b w:val="0"/>
        </w:rPr>
      </w:pPr>
      <w:bookmarkStart w:id="9" w:name="_Toc26322"/>
      <w:bookmarkStart w:id="10" w:name="_Toc15377197"/>
      <w:bookmarkStart w:id="11" w:name="_Toc15396600"/>
      <w:r>
        <w:rPr>
          <w:rFonts w:hint="eastAsia" w:ascii="Times New Roman" w:hAnsi="Times New Roman" w:eastAsia="黑体"/>
          <w:b w:val="0"/>
        </w:rPr>
        <w:t>一、主要职责</w:t>
      </w:r>
      <w:bookmarkEnd w:id="9"/>
    </w:p>
    <w:p w14:paraId="54A8F53D">
      <w:pPr>
        <w:pStyle w:val="27"/>
        <w:spacing w:line="600" w:lineRule="exact"/>
        <w:ind w:firstLine="640"/>
        <w:outlineLvl w:val="1"/>
        <w:rPr>
          <w:rFonts w:eastAsia="仿宋_GB2312" w:cs="仿宋_GB2312"/>
          <w:sz w:val="32"/>
          <w:szCs w:val="32"/>
        </w:rPr>
      </w:pPr>
      <w:bookmarkStart w:id="12" w:name="_Toc18627"/>
      <w:r>
        <w:rPr>
          <w:rFonts w:hint="eastAsia" w:eastAsia="仿宋_GB2312" w:cs="仿宋_GB2312"/>
          <w:sz w:val="32"/>
          <w:szCs w:val="32"/>
        </w:rPr>
        <w:t>职能：实施小学义务教育工作，促进基础教育发展，小学教育等相关社会服务。</w:t>
      </w:r>
      <w:bookmarkEnd w:id="12"/>
    </w:p>
    <w:p w14:paraId="23F3656A">
      <w:pPr>
        <w:pStyle w:val="6"/>
        <w:spacing w:before="0" w:after="0" w:line="240" w:lineRule="auto"/>
        <w:rPr>
          <w:rFonts w:ascii="Times New Roman" w:hAnsi="Times New Roman" w:eastAsia="黑体"/>
          <w:b w:val="0"/>
        </w:rPr>
      </w:pPr>
      <w:bookmarkStart w:id="13" w:name="_Toc8774"/>
      <w:r>
        <w:rPr>
          <w:rFonts w:hint="eastAsia" w:ascii="Times New Roman" w:hAnsi="Times New Roman" w:eastAsia="黑体"/>
          <w:b w:val="0"/>
        </w:rPr>
        <w:t>二、机构设置</w:t>
      </w:r>
      <w:bookmarkEnd w:id="13"/>
    </w:p>
    <w:p w14:paraId="17460A89">
      <w:pPr>
        <w:pStyle w:val="27"/>
        <w:spacing w:line="600" w:lineRule="exact"/>
        <w:ind w:firstLine="640"/>
        <w:outlineLvl w:val="1"/>
        <w:rPr>
          <w:rFonts w:eastAsia="仿宋_GB2312" w:cs="仿宋_GB2312"/>
          <w:sz w:val="32"/>
          <w:szCs w:val="32"/>
        </w:rPr>
      </w:pPr>
      <w:bookmarkStart w:id="14" w:name="_Toc27946"/>
      <w:r>
        <w:rPr>
          <w:rFonts w:hint="eastAsia" w:eastAsia="仿宋_GB2312" w:cs="仿宋_GB2312"/>
          <w:sz w:val="32"/>
          <w:szCs w:val="32"/>
          <w:lang w:eastAsia="zh-CN"/>
        </w:rPr>
        <w:t>盐边县国胜乡中心学校</w:t>
      </w:r>
      <w:r>
        <w:rPr>
          <w:rFonts w:hint="eastAsia" w:eastAsia="仿宋_GB2312" w:cs="仿宋_GB2312"/>
          <w:sz w:val="32"/>
          <w:szCs w:val="32"/>
        </w:rPr>
        <w:t>是盐边县教育和体育局下属独立核算事业单位，单位性质为财政补助事业单位，属于公益一类事业单位，执行事业单位会计制度。</w:t>
      </w:r>
      <w:bookmarkEnd w:id="14"/>
    </w:p>
    <w:p w14:paraId="5942EB2B">
      <w:pPr>
        <w:pStyle w:val="27"/>
        <w:spacing w:line="600" w:lineRule="exact"/>
        <w:ind w:left="638" w:leftChars="304" w:firstLine="0" w:firstLineChars="0"/>
        <w:outlineLvl w:val="1"/>
        <w:rPr>
          <w:rFonts w:hint="eastAsia" w:eastAsia="仿宋_GB2312" w:cs="仿宋_GB2312"/>
          <w:sz w:val="32"/>
          <w:szCs w:val="32"/>
          <w:lang w:val="en-US" w:eastAsia="zh-CN"/>
        </w:rPr>
      </w:pPr>
      <w:bookmarkStart w:id="15" w:name="_Toc17897"/>
      <w:r>
        <w:rPr>
          <w:rFonts w:hint="eastAsia" w:eastAsia="仿宋_GB2312" w:cs="仿宋_GB2312"/>
          <w:sz w:val="32"/>
          <w:szCs w:val="32"/>
        </w:rPr>
        <w:t>现学校内设教学班</w:t>
      </w:r>
      <w:r>
        <w:rPr>
          <w:rFonts w:hint="eastAsia" w:eastAsia="仿宋_GB2312" w:cs="仿宋_GB2312"/>
          <w:sz w:val="32"/>
          <w:szCs w:val="32"/>
          <w:lang w:val="en-US" w:eastAsia="zh-CN"/>
        </w:rPr>
        <w:t xml:space="preserve"> 17</w:t>
      </w:r>
      <w:r>
        <w:rPr>
          <w:rFonts w:hint="eastAsia" w:eastAsia="仿宋_GB2312" w:cs="仿宋_GB2312"/>
          <w:sz w:val="32"/>
          <w:szCs w:val="32"/>
        </w:rPr>
        <w:t xml:space="preserve">个，在校生人数 </w:t>
      </w:r>
      <w:r>
        <w:rPr>
          <w:rFonts w:hint="eastAsia" w:eastAsia="仿宋_GB2312" w:cs="仿宋_GB2312"/>
          <w:sz w:val="32"/>
          <w:szCs w:val="32"/>
          <w:lang w:val="en-US" w:eastAsia="zh-CN"/>
        </w:rPr>
        <w:t>458</w:t>
      </w:r>
      <w:r>
        <w:rPr>
          <w:rFonts w:hint="eastAsia" w:eastAsia="仿宋_GB2312" w:cs="仿宋_GB2312"/>
          <w:sz w:val="32"/>
          <w:szCs w:val="32"/>
        </w:rPr>
        <w:t>人，住校生</w:t>
      </w:r>
      <w:bookmarkEnd w:id="15"/>
      <w:r>
        <w:rPr>
          <w:rFonts w:hint="eastAsia" w:eastAsia="仿宋_GB2312" w:cs="仿宋_GB2312"/>
          <w:sz w:val="32"/>
          <w:szCs w:val="32"/>
          <w:lang w:val="en-US" w:eastAsia="zh-CN"/>
        </w:rPr>
        <w:t xml:space="preserve"> </w:t>
      </w:r>
    </w:p>
    <w:p w14:paraId="1633AD77">
      <w:pPr>
        <w:pStyle w:val="27"/>
        <w:spacing w:line="600" w:lineRule="exact"/>
        <w:ind w:left="0" w:leftChars="0" w:firstLine="0" w:firstLineChars="0"/>
        <w:outlineLvl w:val="1"/>
        <w:rPr>
          <w:rFonts w:eastAsia="仿宋_GB2312" w:cs="仿宋_GB2312"/>
          <w:sz w:val="32"/>
          <w:szCs w:val="32"/>
        </w:rPr>
      </w:pPr>
      <w:bookmarkStart w:id="16" w:name="_Toc4185"/>
      <w:r>
        <w:rPr>
          <w:rFonts w:hint="eastAsia" w:eastAsia="仿宋_GB2312" w:cs="仿宋_GB2312"/>
          <w:sz w:val="32"/>
          <w:szCs w:val="32"/>
          <w:lang w:val="en-US" w:eastAsia="zh-CN"/>
        </w:rPr>
        <w:t>201</w:t>
      </w:r>
      <w:r>
        <w:rPr>
          <w:rFonts w:hint="eastAsia" w:eastAsia="仿宋_GB2312" w:cs="仿宋_GB2312"/>
          <w:sz w:val="32"/>
          <w:szCs w:val="32"/>
        </w:rPr>
        <w:t>人，随班就读</w:t>
      </w:r>
      <w:r>
        <w:rPr>
          <w:rFonts w:hint="eastAsia" w:eastAsia="仿宋_GB2312" w:cs="仿宋_GB2312"/>
          <w:sz w:val="32"/>
          <w:szCs w:val="32"/>
          <w:lang w:val="en-US" w:eastAsia="zh-CN"/>
        </w:rPr>
        <w:t xml:space="preserve"> 2</w:t>
      </w:r>
      <w:r>
        <w:rPr>
          <w:rFonts w:hint="eastAsia" w:eastAsia="仿宋_GB2312" w:cs="仿宋_GB2312"/>
          <w:sz w:val="32"/>
          <w:szCs w:val="32"/>
        </w:rPr>
        <w:t>人</w:t>
      </w:r>
      <w:r>
        <w:rPr>
          <w:rFonts w:hint="eastAsia" w:eastAsia="仿宋_GB2312" w:cs="仿宋_GB2312"/>
          <w:sz w:val="32"/>
          <w:szCs w:val="32"/>
          <w:lang w:eastAsia="zh-CN"/>
        </w:rPr>
        <w:t>，送教上门4 人</w:t>
      </w:r>
      <w:r>
        <w:rPr>
          <w:rFonts w:hint="eastAsia" w:eastAsia="仿宋_GB2312" w:cs="仿宋_GB2312"/>
          <w:sz w:val="32"/>
          <w:szCs w:val="32"/>
        </w:rPr>
        <w:t>。2024年末单位财政供养人数</w:t>
      </w:r>
      <w:r>
        <w:rPr>
          <w:rFonts w:hint="eastAsia" w:eastAsia="仿宋_GB2312" w:cs="仿宋_GB2312"/>
          <w:sz w:val="32"/>
          <w:szCs w:val="32"/>
          <w:lang w:val="en-US" w:eastAsia="zh-CN"/>
        </w:rPr>
        <w:t>115</w:t>
      </w:r>
      <w:r>
        <w:rPr>
          <w:rFonts w:hint="eastAsia" w:eastAsia="仿宋_GB2312" w:cs="仿宋_GB2312"/>
          <w:sz w:val="32"/>
          <w:szCs w:val="32"/>
        </w:rPr>
        <w:t>人，其中：在职人员</w:t>
      </w:r>
      <w:r>
        <w:rPr>
          <w:rFonts w:hint="eastAsia" w:eastAsia="仿宋_GB2312" w:cs="仿宋_GB2312"/>
          <w:sz w:val="32"/>
          <w:szCs w:val="32"/>
          <w:lang w:val="en-US" w:eastAsia="zh-CN"/>
        </w:rPr>
        <w:t xml:space="preserve"> 54</w:t>
      </w:r>
      <w:r>
        <w:rPr>
          <w:rFonts w:hint="eastAsia" w:eastAsia="仿宋_GB2312" w:cs="仿宋_GB2312"/>
          <w:sz w:val="32"/>
          <w:szCs w:val="32"/>
        </w:rPr>
        <w:t>人（副高</w:t>
      </w:r>
      <w:r>
        <w:rPr>
          <w:rFonts w:hint="eastAsia" w:eastAsia="仿宋_GB2312" w:cs="仿宋_GB2312"/>
          <w:sz w:val="32"/>
          <w:szCs w:val="32"/>
          <w:lang w:val="en-US" w:eastAsia="zh-CN"/>
        </w:rPr>
        <w:t>13</w:t>
      </w:r>
      <w:r>
        <w:rPr>
          <w:rFonts w:hint="eastAsia" w:eastAsia="仿宋_GB2312" w:cs="仿宋_GB2312"/>
          <w:sz w:val="32"/>
          <w:szCs w:val="32"/>
        </w:rPr>
        <w:t>人，中级</w:t>
      </w:r>
      <w:r>
        <w:rPr>
          <w:rFonts w:hint="eastAsia" w:eastAsia="仿宋_GB2312" w:cs="仿宋_GB2312"/>
          <w:sz w:val="32"/>
          <w:szCs w:val="32"/>
          <w:lang w:val="en-US" w:eastAsia="zh-CN"/>
        </w:rPr>
        <w:t xml:space="preserve"> 26</w:t>
      </w:r>
      <w:r>
        <w:rPr>
          <w:rFonts w:hint="eastAsia" w:eastAsia="仿宋_GB2312" w:cs="仿宋_GB2312"/>
          <w:sz w:val="32"/>
          <w:szCs w:val="32"/>
        </w:rPr>
        <w:t>人，助理</w:t>
      </w:r>
      <w:r>
        <w:rPr>
          <w:rFonts w:hint="eastAsia" w:eastAsia="仿宋_GB2312" w:cs="仿宋_GB2312"/>
          <w:sz w:val="32"/>
          <w:szCs w:val="32"/>
          <w:lang w:val="en-US" w:eastAsia="zh-CN"/>
        </w:rPr>
        <w:t>15</w:t>
      </w:r>
      <w:r>
        <w:rPr>
          <w:rFonts w:hint="eastAsia" w:eastAsia="仿宋_GB2312" w:cs="仿宋_GB2312"/>
          <w:sz w:val="32"/>
          <w:szCs w:val="32"/>
        </w:rPr>
        <w:t>人），退休人员</w:t>
      </w:r>
      <w:r>
        <w:rPr>
          <w:rFonts w:hint="eastAsia" w:eastAsia="仿宋_GB2312" w:cs="仿宋_GB2312"/>
          <w:sz w:val="32"/>
          <w:szCs w:val="32"/>
          <w:lang w:val="en-US" w:eastAsia="zh-CN"/>
        </w:rPr>
        <w:t>61</w:t>
      </w:r>
      <w:r>
        <w:rPr>
          <w:rFonts w:hint="eastAsia" w:eastAsia="仿宋_GB2312" w:cs="仿宋_GB2312"/>
          <w:sz w:val="32"/>
          <w:szCs w:val="32"/>
        </w:rPr>
        <w:t>人，遗属</w:t>
      </w:r>
      <w:r>
        <w:rPr>
          <w:rFonts w:hint="eastAsia" w:eastAsia="仿宋_GB2312" w:cs="仿宋_GB2312"/>
          <w:sz w:val="32"/>
          <w:szCs w:val="32"/>
          <w:lang w:val="en-US" w:eastAsia="zh-CN"/>
        </w:rPr>
        <w:t>6</w:t>
      </w:r>
      <w:r>
        <w:rPr>
          <w:rFonts w:hint="eastAsia" w:eastAsia="仿宋_GB2312" w:cs="仿宋_GB2312"/>
          <w:sz w:val="32"/>
          <w:szCs w:val="32"/>
        </w:rPr>
        <w:t>人。</w:t>
      </w:r>
      <w:bookmarkEnd w:id="16"/>
    </w:p>
    <w:bookmarkEnd w:id="10"/>
    <w:bookmarkEnd w:id="11"/>
    <w:p w14:paraId="69CCD2D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27FD67D">
      <w:pPr>
        <w:pStyle w:val="5"/>
        <w:jc w:val="center"/>
        <w:rPr>
          <w:rFonts w:hint="eastAsia" w:ascii="Times New Roman" w:hAnsi="Times New Roman" w:eastAsia="方正小标宋简体" w:cs="方正小标宋简体"/>
          <w:b w:val="0"/>
          <w:color w:val="auto"/>
          <w:highlight w:val="none"/>
        </w:rPr>
      </w:pPr>
      <w:bookmarkStart w:id="17" w:name="_Toc15396602"/>
      <w:bookmarkStart w:id="18" w:name="_Toc15377204"/>
      <w:bookmarkStart w:id="19" w:name="_Toc2872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p>
    <w:p w14:paraId="081425FF">
      <w:pPr>
        <w:rPr>
          <w:rFonts w:ascii="Times New Roman" w:hAnsi="Times New Roman"/>
          <w:color w:val="auto"/>
          <w:highlight w:val="none"/>
        </w:rPr>
      </w:pPr>
    </w:p>
    <w:p w14:paraId="665FFE3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3"/>
      <w:bookmarkStart w:id="21" w:name="_Toc15377205"/>
      <w:bookmarkStart w:id="22" w:name="_Toc707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bookmarkEnd w:id="22"/>
    </w:p>
    <w:p w14:paraId="324145B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23" w:name="_Toc24340"/>
      <w:r>
        <w:rPr>
          <w:rFonts w:hint="eastAsia" w:ascii="仿宋_GB2312" w:hAnsi="仿宋_GB2312" w:eastAsia="仿宋_GB2312" w:cs="仿宋_GB2312"/>
          <w:sz w:val="32"/>
          <w:szCs w:val="32"/>
          <w:lang w:eastAsia="zh-CN"/>
        </w:rPr>
        <w:t>2024年度收入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291.16万元。与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总计各减少</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val="en-US" w:eastAsia="zh-CN"/>
        </w:rPr>
        <w:t>项目支出减少，2023年化解暂存暂付款。</w:t>
      </w:r>
      <w:bookmarkEnd w:id="23"/>
    </w:p>
    <w:p w14:paraId="4D87FAE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default" w:eastAsia="仿宋_GB2312" w:cs="仿宋_GB2312"/>
          <w:color w:val="auto"/>
          <w:sz w:val="32"/>
          <w:szCs w:val="32"/>
          <w:highlight w:val="none"/>
          <w:lang w:val="en-US" w:eastAsia="zh-CN"/>
        </w:rPr>
      </w:pPr>
      <w:bookmarkStart w:id="24" w:name="_Toc3940"/>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bookmarkEnd w:id="24"/>
    </w:p>
    <w:p w14:paraId="068EDE4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rPr>
      </w:pPr>
      <w:r>
        <w:rPr>
          <w:sz w:val="18"/>
          <w:szCs w:val="18"/>
        </w:rPr>
        <w:drawing>
          <wp:inline distT="0" distB="0" distL="114300" distR="114300">
            <wp:extent cx="5002530" cy="3442335"/>
            <wp:effectExtent l="4445" t="4445" r="22225" b="20320"/>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0DFC9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bookmarkStart w:id="27" w:name="_Toc27305"/>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71F0AF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8" w:name="_Toc16303"/>
      <w:r>
        <w:rPr>
          <w:rFonts w:hint="eastAsia" w:ascii="仿宋_GB2312" w:hAnsi="仿宋_GB2312" w:eastAsia="仿宋_GB2312" w:cs="仿宋_GB2312"/>
          <w:sz w:val="32"/>
          <w:szCs w:val="32"/>
          <w:lang w:eastAsia="zh-CN"/>
        </w:rPr>
        <w:t>2024年度本年收入合计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291.16万元，其中：一般公共预算财政拨款收入1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291.16</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bookmarkEnd w:id="28"/>
    </w:p>
    <w:p w14:paraId="6CD9E4A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b/>
          <w:bCs/>
          <w:sz w:val="32"/>
          <w:szCs w:val="32"/>
          <w:lang w:eastAsia="zh-CN"/>
        </w:rPr>
      </w:pPr>
      <w:bookmarkStart w:id="29" w:name="_Toc18897"/>
      <w:r>
        <w:rPr>
          <w:rFonts w:hint="eastAsia" w:ascii="Times New Roman" w:hAnsi="Times New Roman" w:eastAsia="仿宋_GB2312" w:cs="仿宋_GB2312"/>
          <w:color w:val="auto"/>
          <w:sz w:val="32"/>
          <w:szCs w:val="32"/>
          <w:highlight w:val="none"/>
          <w:lang w:eastAsia="zh-CN"/>
        </w:rPr>
        <w:t>（图2：收入决算结构图）</w:t>
      </w:r>
      <w:bookmarkEnd w:id="29"/>
    </w:p>
    <w:p w14:paraId="779E6F0E">
      <w:pPr>
        <w:rPr>
          <w:rFonts w:hint="eastAsia" w:ascii="Times New Roman" w:hAnsi="Times New Roman" w:eastAsia="仿宋_GB2312" w:cs="仿宋_GB2312"/>
          <w:color w:val="auto"/>
          <w:sz w:val="32"/>
          <w:szCs w:val="32"/>
          <w:highlight w:val="none"/>
          <w:lang w:eastAsia="zh-CN"/>
        </w:rPr>
      </w:pPr>
      <w:r>
        <w:drawing>
          <wp:inline distT="0" distB="0" distL="114300" distR="114300">
            <wp:extent cx="5110480" cy="3089275"/>
            <wp:effectExtent l="4445" t="4445" r="9525" b="1143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89DE6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30" w:name="_Toc15377207"/>
      <w:bookmarkStart w:id="31" w:name="_Toc15396605"/>
      <w:bookmarkStart w:id="32" w:name="_Toc5821"/>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0"/>
      <w:bookmarkEnd w:id="31"/>
      <w:bookmarkEnd w:id="32"/>
    </w:p>
    <w:p w14:paraId="46091CE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eastAsia="zh-CN"/>
        </w:rPr>
      </w:pPr>
      <w:bookmarkStart w:id="33" w:name="_Toc6453"/>
      <w:r>
        <w:rPr>
          <w:rFonts w:hint="eastAsia" w:ascii="仿宋_GB2312" w:hAnsi="仿宋_GB2312" w:eastAsia="仿宋_GB2312" w:cs="仿宋_GB2312"/>
          <w:sz w:val="32"/>
          <w:szCs w:val="32"/>
          <w:lang w:eastAsia="zh-CN"/>
        </w:rPr>
        <w:t>2024年度本年支出合计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291.16</w:t>
      </w:r>
      <w:r>
        <w:rPr>
          <w:rFonts w:hint="eastAsia" w:ascii="仿宋_GB2312" w:hAnsi="仿宋_GB2312" w:eastAsia="仿宋_GB2312" w:cs="仿宋_GB2312"/>
          <w:sz w:val="32"/>
          <w:szCs w:val="32"/>
          <w:lang w:eastAsia="zh-CN"/>
        </w:rPr>
        <w:t>万元，其中：基本支出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261.31</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97.6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rPr>
        <w:t>29.85</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2.31</w:t>
      </w:r>
      <w:r>
        <w:rPr>
          <w:rFonts w:hint="eastAsia" w:ascii="仿宋_GB2312" w:hAnsi="仿宋_GB2312" w:eastAsia="仿宋_GB2312" w:cs="仿宋_GB2312"/>
          <w:sz w:val="32"/>
          <w:szCs w:val="32"/>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bookmarkEnd w:id="33"/>
    </w:p>
    <w:p w14:paraId="143DB365">
      <w:pPr>
        <w:ind w:firstLine="800" w:firstLineChars="250"/>
        <w:jc w:val="center"/>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auto"/>
          <w:sz w:val="32"/>
          <w:szCs w:val="32"/>
          <w:highlight w:val="none"/>
          <w:lang w:eastAsia="zh-CN"/>
        </w:rPr>
        <w:t>（图3：支出决算结构图）</w:t>
      </w:r>
    </w:p>
    <w:p w14:paraId="63B0DE00">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732020" cy="2512695"/>
            <wp:effectExtent l="4445" t="4445" r="6985" b="1651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B8C7B4">
      <w:pPr>
        <w:spacing w:line="600" w:lineRule="exact"/>
        <w:ind w:firstLine="640" w:firstLineChars="200"/>
        <w:outlineLvl w:val="1"/>
        <w:rPr>
          <w:rStyle w:val="29"/>
          <w:rFonts w:ascii="Times New Roman" w:hAnsi="Times New Roman" w:eastAsia="黑体"/>
          <w:b w:val="0"/>
          <w:color w:val="auto"/>
          <w:highlight w:val="none"/>
        </w:rPr>
      </w:pPr>
      <w:bookmarkStart w:id="34" w:name="_Toc15396606"/>
      <w:bookmarkStart w:id="35" w:name="_Toc15377208"/>
      <w:bookmarkStart w:id="36" w:name="_Toc5253"/>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4"/>
      <w:bookmarkEnd w:id="35"/>
      <w:bookmarkEnd w:id="36"/>
    </w:p>
    <w:p w14:paraId="02F4DABA">
      <w:pPr>
        <w:spacing w:line="60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2024年度财政拨款收入、支出总计均为1,291.16万元。与2023年度相比，财政拨款收入总计、支出总计各减少2.98万元，下降0.23%。主要变动原因是项目支出减少（2023年化解暂存暂付款）</w:t>
      </w:r>
    </w:p>
    <w:p w14:paraId="49BEBA26">
      <w:pPr>
        <w:spacing w:line="600" w:lineRule="exact"/>
        <w:ind w:firstLine="640" w:firstLineChars="200"/>
        <w:jc w:val="center"/>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7452F130">
      <w:pPr>
        <w:spacing w:line="600" w:lineRule="exact"/>
        <w:ind w:firstLine="640"/>
      </w:pPr>
      <w:r>
        <w:drawing>
          <wp:anchor distT="0" distB="0" distL="114300" distR="114300" simplePos="0" relativeHeight="251660288" behindDoc="1" locked="0" layoutInCell="1" allowOverlap="1">
            <wp:simplePos x="0" y="0"/>
            <wp:positionH relativeFrom="column">
              <wp:posOffset>422910</wp:posOffset>
            </wp:positionH>
            <wp:positionV relativeFrom="paragraph">
              <wp:posOffset>8890</wp:posOffset>
            </wp:positionV>
            <wp:extent cx="4623435" cy="3546475"/>
            <wp:effectExtent l="5080" t="4445" r="19685" b="11430"/>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D690BBF">
      <w:pPr>
        <w:keepNext w:val="0"/>
        <w:keepLines w:val="0"/>
        <w:pageBreakBefore w:val="0"/>
        <w:widowControl w:val="0"/>
        <w:kinsoku/>
        <w:wordWrap/>
        <w:overflowPunct/>
        <w:topLinePunct w:val="0"/>
        <w:autoSpaceDE/>
        <w:autoSpaceDN/>
        <w:bidi w:val="0"/>
        <w:adjustRightInd/>
        <w:snapToGrid/>
        <w:spacing w:line="240" w:lineRule="auto"/>
        <w:ind w:firstLine="641"/>
        <w:textAlignment w:val="auto"/>
      </w:pPr>
    </w:p>
    <w:p w14:paraId="3C979077">
      <w:pPr>
        <w:spacing w:line="600" w:lineRule="exact"/>
        <w:ind w:firstLine="640"/>
      </w:pPr>
    </w:p>
    <w:p w14:paraId="6DE5404A">
      <w:pPr>
        <w:spacing w:line="600" w:lineRule="exact"/>
        <w:ind w:firstLine="640"/>
      </w:pPr>
    </w:p>
    <w:p w14:paraId="3B85AFF7">
      <w:pPr>
        <w:pStyle w:val="2"/>
      </w:pPr>
    </w:p>
    <w:p w14:paraId="43A97716">
      <w:pPr>
        <w:pStyle w:val="3"/>
      </w:pPr>
    </w:p>
    <w:p w14:paraId="16DCDCF6">
      <w:pPr>
        <w:pStyle w:val="3"/>
      </w:pPr>
    </w:p>
    <w:p w14:paraId="5602005C">
      <w:pPr>
        <w:spacing w:line="600" w:lineRule="exact"/>
        <w:ind w:firstLine="640"/>
      </w:pPr>
    </w:p>
    <w:p w14:paraId="59095E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594A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74D0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F60536">
      <w:pPr>
        <w:spacing w:line="600" w:lineRule="exact"/>
        <w:ind w:firstLine="640" w:firstLineChars="200"/>
        <w:outlineLvl w:val="1"/>
        <w:rPr>
          <w:rStyle w:val="29"/>
          <w:rFonts w:ascii="Times New Roman" w:hAnsi="Times New Roman" w:eastAsia="黑体"/>
          <w:b w:val="0"/>
          <w:color w:val="auto"/>
          <w:highlight w:val="none"/>
        </w:rPr>
      </w:pPr>
      <w:bookmarkStart w:id="37" w:name="_Toc15396607"/>
      <w:bookmarkStart w:id="38" w:name="_Toc15377209"/>
      <w:bookmarkStart w:id="39" w:name="_Toc796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7"/>
      <w:bookmarkEnd w:id="38"/>
      <w:bookmarkEnd w:id="39"/>
    </w:p>
    <w:p w14:paraId="31FAB6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0"/>
    </w:p>
    <w:p w14:paraId="5EA782CD">
      <w:pPr>
        <w:spacing w:line="600" w:lineRule="exact"/>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2024年度一般公共预算财政拨款支出1,291.16万元，占本年支出合计的100%。与2023年度相比，一般公共预算财政拨款支出减少2.98万元，下降0.23%。主要变动原因是项目支出减少（2023年化解暂存暂付款）。</w:t>
      </w:r>
    </w:p>
    <w:p w14:paraId="189ADE96">
      <w:pPr>
        <w:spacing w:line="600" w:lineRule="exact"/>
      </w:pPr>
    </w:p>
    <w:p w14:paraId="5550679E">
      <w:pPr>
        <w:spacing w:line="600" w:lineRule="exact"/>
        <w:ind w:firstLine="640"/>
        <w:jc w:val="cente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075FE778">
      <w:pPr>
        <w:pStyle w:val="3"/>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75565</wp:posOffset>
            </wp:positionV>
            <wp:extent cx="4558665" cy="3731895"/>
            <wp:effectExtent l="4445" t="4445" r="8890" b="16510"/>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B1A975F">
      <w:pPr>
        <w:pStyle w:val="3"/>
      </w:pPr>
    </w:p>
    <w:p w14:paraId="6C29982A">
      <w:pPr>
        <w:pStyle w:val="3"/>
      </w:pPr>
    </w:p>
    <w:p w14:paraId="2B490EEE">
      <w:pPr>
        <w:pStyle w:val="3"/>
      </w:pPr>
    </w:p>
    <w:p w14:paraId="2D95DBB5">
      <w:pPr>
        <w:pStyle w:val="3"/>
      </w:pPr>
    </w:p>
    <w:p w14:paraId="65F925D9">
      <w:pPr>
        <w:pStyle w:val="3"/>
      </w:pPr>
    </w:p>
    <w:p w14:paraId="7E507F92">
      <w:pPr>
        <w:pStyle w:val="3"/>
      </w:pPr>
    </w:p>
    <w:p w14:paraId="47322AA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1BBE4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12EA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127" w:name="_GoBack"/>
      <w:bookmarkEnd w:id="127"/>
    </w:p>
    <w:p w14:paraId="4B71FB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B437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49ED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1"/>
    </w:p>
    <w:p w14:paraId="2E89DA4A">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sz w:val="32"/>
          <w:szCs w:val="32"/>
          <w:lang w:val="en-US" w:eastAsia="zh-CN"/>
        </w:rPr>
      </w:pPr>
      <w:bookmarkStart w:id="42" w:name="_Toc15295"/>
      <w:r>
        <w:rPr>
          <w:rFonts w:hint="eastAsia" w:ascii="仿宋_GB2312" w:hAnsi="仿宋_GB2312" w:eastAsia="仿宋_GB2312" w:cs="仿宋_GB2312"/>
          <w:sz w:val="32"/>
          <w:szCs w:val="32"/>
          <w:lang w:val="en-US" w:eastAsia="zh-CN"/>
        </w:rPr>
        <w:t>2024年度一般公共预算财政拨款支出1,291.16万元，主要用于以下方面：一般公共服务支出0万元，占0%；教育支出873.59万元，占67.66%；科学技术支出0万元，占0%；文化旅游体育与传媒支出0万元，占0%；社会保障和就业支出250.16万元，占19.37%；卫生健康支出86.74万元，占6.72%；住房保障支出80.67万元，占6.25%。</w:t>
      </w:r>
      <w:bookmarkEnd w:id="42"/>
    </w:p>
    <w:p w14:paraId="534600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0334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4567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6F873D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216FEAC">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4ED0632">
      <w:pPr>
        <w:pStyle w:val="2"/>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768215" cy="4069715"/>
            <wp:effectExtent l="4445" t="4445" r="8890" b="21590"/>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6E44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3"/>
    </w:p>
    <w:p w14:paraId="5982E83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44" w:name="_Toc15377213"/>
      <w:bookmarkStart w:id="45" w:name="_Toc15378460"/>
      <w:bookmarkStart w:id="46" w:name="_Toc15377444"/>
      <w:bookmarkStart w:id="47" w:name="_Toc23250"/>
      <w:r>
        <w:rPr>
          <w:rFonts w:hint="eastAsia" w:ascii="仿宋_GB2312" w:hAnsi="仿宋_GB2312" w:eastAsia="仿宋_GB2312" w:cs="仿宋_GB2312"/>
          <w:sz w:val="32"/>
          <w:szCs w:val="32"/>
          <w:lang w:val="en-US" w:eastAsia="zh-CN"/>
        </w:rPr>
        <w:t>2024年度一般公共预算财政拨款支出决算数为</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291.16</w:t>
      </w:r>
      <w:r>
        <w:rPr>
          <w:rFonts w:hint="eastAsia" w:ascii="仿宋_GB2312" w:hAnsi="仿宋_GB2312" w:eastAsia="仿宋_GB2312" w:cs="仿宋_GB2312"/>
          <w:sz w:val="32"/>
          <w:szCs w:val="32"/>
          <w:lang w:val="en-US" w:eastAsia="zh-CN"/>
        </w:rPr>
        <w:t>万元，完成预算100%。其中：</w:t>
      </w:r>
      <w:bookmarkEnd w:id="44"/>
      <w:bookmarkEnd w:id="45"/>
      <w:bookmarkEnd w:id="46"/>
      <w:bookmarkEnd w:id="47"/>
    </w:p>
    <w:p w14:paraId="2F16968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z w:val="32"/>
          <w:szCs w:val="32"/>
          <w:lang w:val="en-US" w:eastAsia="zh-CN"/>
        </w:rPr>
      </w:pPr>
      <w:bookmarkStart w:id="48" w:name="_Toc24579"/>
      <w:r>
        <w:rPr>
          <w:rFonts w:hint="eastAsia" w:ascii="仿宋_GB2312" w:eastAsia="仿宋_GB2312"/>
          <w:b/>
          <w:bCs/>
          <w:color w:val="auto"/>
          <w:sz w:val="32"/>
          <w:szCs w:val="32"/>
          <w:lang w:val="en-US" w:eastAsia="zh-CN"/>
        </w:rPr>
        <w:t>1.教育支出（类）:</w:t>
      </w:r>
      <w:r>
        <w:rPr>
          <w:rFonts w:ascii="仿宋_GB2312" w:eastAsia="仿宋_GB2312"/>
          <w:color w:val="auto"/>
          <w:sz w:val="32"/>
          <w:szCs w:val="32"/>
        </w:rPr>
        <w:t xml:space="preserve"> </w:t>
      </w:r>
      <w:r>
        <w:rPr>
          <w:rFonts w:hint="eastAsia" w:ascii="仿宋_GB2312" w:eastAsia="仿宋_GB2312"/>
          <w:color w:val="auto"/>
          <w:sz w:val="32"/>
          <w:szCs w:val="32"/>
        </w:rPr>
        <w:t>支</w:t>
      </w:r>
      <w:r>
        <w:rPr>
          <w:rFonts w:hint="eastAsia" w:ascii="仿宋_GB2312" w:hAnsi="仿宋_GB2312" w:eastAsia="仿宋_GB2312" w:cs="仿宋_GB2312"/>
          <w:sz w:val="32"/>
          <w:szCs w:val="32"/>
          <w:lang w:eastAsia="zh-CN"/>
        </w:rPr>
        <w:t>出决算为873.59万元，完成预算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bookmarkEnd w:id="48"/>
    </w:p>
    <w:p w14:paraId="566B4B2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49" w:name="_Toc9439"/>
      <w:r>
        <w:rPr>
          <w:rFonts w:hint="eastAsia" w:ascii="仿宋_GB2312" w:hAnsi="仿宋_GB2312" w:eastAsia="仿宋_GB2312" w:cs="仿宋_GB2312"/>
          <w:sz w:val="32"/>
          <w:szCs w:val="32"/>
          <w:lang w:eastAsia="zh-CN"/>
        </w:rPr>
        <w:t>①教育</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普通教育（款）学前教育（项）：支出决算数为</w:t>
      </w:r>
      <w:r>
        <w:rPr>
          <w:rFonts w:hint="eastAsia" w:ascii="仿宋_GB2312" w:hAnsi="仿宋_GB2312" w:eastAsia="仿宋_GB2312" w:cs="仿宋_GB2312"/>
          <w:sz w:val="32"/>
          <w:szCs w:val="32"/>
          <w:lang w:eastAsia="zh-CN"/>
        </w:rPr>
        <w:t>11.92</w:t>
      </w:r>
      <w:r>
        <w:rPr>
          <w:rFonts w:hint="eastAsia" w:ascii="仿宋_GB2312" w:hAnsi="仿宋_GB2312" w:eastAsia="仿宋_GB2312" w:cs="仿宋_GB2312"/>
          <w:sz w:val="32"/>
          <w:szCs w:val="32"/>
          <w:lang w:val="en-US" w:eastAsia="zh-CN"/>
        </w:rPr>
        <w:t>万元。</w:t>
      </w:r>
      <w:bookmarkEnd w:id="49"/>
    </w:p>
    <w:p w14:paraId="2C741EA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50" w:name="_Toc9712"/>
      <w:r>
        <w:rPr>
          <w:rFonts w:hint="eastAsia" w:ascii="仿宋_GB2312" w:hAnsi="仿宋_GB2312" w:eastAsia="仿宋_GB2312" w:cs="仿宋_GB2312"/>
          <w:sz w:val="32"/>
          <w:szCs w:val="32"/>
          <w:lang w:eastAsia="zh-CN"/>
        </w:rPr>
        <w:t>②教育</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普通教育（款）小学教育（项）：支出决算数为</w:t>
      </w:r>
      <w:r>
        <w:rPr>
          <w:rFonts w:hint="eastAsia" w:ascii="仿宋_GB2312" w:hAnsi="仿宋_GB2312" w:eastAsia="仿宋_GB2312" w:cs="仿宋_GB2312"/>
          <w:sz w:val="32"/>
          <w:szCs w:val="32"/>
          <w:lang w:eastAsia="zh-CN"/>
        </w:rPr>
        <w:t>859.43</w:t>
      </w:r>
      <w:r>
        <w:rPr>
          <w:rFonts w:hint="eastAsia" w:ascii="仿宋_GB2312" w:hAnsi="仿宋_GB2312" w:eastAsia="仿宋_GB2312" w:cs="仿宋_GB2312"/>
          <w:sz w:val="32"/>
          <w:szCs w:val="32"/>
          <w:lang w:val="en-US" w:eastAsia="zh-CN"/>
        </w:rPr>
        <w:t>万元。</w:t>
      </w:r>
      <w:bookmarkEnd w:id="50"/>
    </w:p>
    <w:p w14:paraId="66530FD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51" w:name="_Toc3326"/>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教育附加费安排的支出（款）其他教育附加安排的支出（项）：支出决算数为</w:t>
      </w:r>
      <w:r>
        <w:rPr>
          <w:rFonts w:hint="eastAsia" w:ascii="仿宋_GB2312" w:hAnsi="仿宋_GB2312" w:eastAsia="仿宋_GB2312" w:cs="仿宋_GB2312"/>
          <w:sz w:val="32"/>
          <w:szCs w:val="32"/>
          <w:lang w:eastAsia="zh-CN"/>
        </w:rPr>
        <w:t>2.24</w:t>
      </w:r>
      <w:r>
        <w:rPr>
          <w:rFonts w:hint="eastAsia" w:ascii="仿宋_GB2312" w:hAnsi="仿宋_GB2312" w:eastAsia="仿宋_GB2312" w:cs="仿宋_GB2312"/>
          <w:sz w:val="32"/>
          <w:szCs w:val="32"/>
          <w:lang w:val="en-US" w:eastAsia="zh-CN"/>
        </w:rPr>
        <w:t>万元。</w:t>
      </w:r>
      <w:bookmarkEnd w:id="51"/>
    </w:p>
    <w:p w14:paraId="138C50C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z w:val="32"/>
          <w:szCs w:val="32"/>
          <w:lang w:val="en-US" w:eastAsia="zh-CN"/>
        </w:rPr>
      </w:pPr>
      <w:bookmarkStart w:id="52" w:name="_Toc19838"/>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社会保障和就业</w:t>
      </w:r>
      <w:r>
        <w:rPr>
          <w:rFonts w:hint="eastAsia" w:ascii="仿宋_GB2312" w:eastAsia="仿宋_GB2312"/>
          <w:b/>
          <w:bCs/>
          <w:color w:val="auto"/>
          <w:sz w:val="32"/>
          <w:szCs w:val="32"/>
          <w:lang w:eastAsia="zh-CN"/>
        </w:rPr>
        <w:t>支出（</w:t>
      </w:r>
      <w:r>
        <w:rPr>
          <w:rFonts w:hint="eastAsia" w:ascii="仿宋_GB2312" w:eastAsia="仿宋_GB2312"/>
          <w:b/>
          <w:bCs/>
          <w:color w:val="auto"/>
          <w:sz w:val="32"/>
          <w:szCs w:val="32"/>
          <w:lang w:val="en-US" w:eastAsia="zh-CN"/>
        </w:rPr>
        <w:t>类</w:t>
      </w:r>
      <w:r>
        <w:rPr>
          <w:rFonts w:hint="eastAsia" w:ascii="仿宋_GB2312" w:eastAsia="仿宋_GB2312"/>
          <w:b/>
          <w:bCs/>
          <w:color w:val="auto"/>
          <w:sz w:val="32"/>
          <w:szCs w:val="32"/>
          <w:lang w:eastAsia="zh-CN"/>
        </w:rPr>
        <w:t>）</w:t>
      </w:r>
      <w:r>
        <w:rPr>
          <w:rFonts w:ascii="仿宋_GB2312" w:eastAsia="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支出决算为250.16万元，</w:t>
      </w:r>
      <w:r>
        <w:rPr>
          <w:rFonts w:hint="eastAsia" w:ascii="仿宋_GB2312" w:hAnsi="仿宋_GB2312" w:eastAsia="仿宋_GB2312" w:cs="仿宋_GB2312"/>
          <w:sz w:val="32"/>
          <w:szCs w:val="32"/>
          <w:lang w:eastAsia="zh-CN"/>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bookmarkEnd w:id="52"/>
    </w:p>
    <w:p w14:paraId="76DFABC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53" w:name="_Toc19891"/>
      <w:r>
        <w:rPr>
          <w:rFonts w:hint="eastAsia" w:ascii="仿宋_GB2312" w:hAnsi="仿宋_GB2312" w:eastAsia="仿宋_GB2312" w:cs="仿宋_GB2312"/>
          <w:sz w:val="32"/>
          <w:szCs w:val="32"/>
          <w:lang w:val="en-US" w:eastAsia="zh-CN"/>
        </w:rPr>
        <w:t>①教社会保障和就业支出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行政事业单位养老支出（款）机关事业单位基本养老保险缴费支出（项）：支出决算数为99.83万元。</w:t>
      </w:r>
      <w:bookmarkEnd w:id="53"/>
    </w:p>
    <w:p w14:paraId="4E670F3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54" w:name="_Toc24548"/>
      <w:r>
        <w:rPr>
          <w:rFonts w:hint="eastAsia" w:ascii="仿宋_GB2312" w:hAnsi="仿宋_GB2312" w:eastAsia="仿宋_GB2312" w:cs="仿宋_GB2312"/>
          <w:sz w:val="32"/>
          <w:szCs w:val="32"/>
          <w:lang w:val="en-US" w:eastAsia="zh-CN"/>
        </w:rPr>
        <w:t>②教社会保障和就业支出（类）行政事业单位养老支出（款）机关事业单位职业年金缴费支出（项）：支出决算数为48.61万元。</w:t>
      </w:r>
      <w:bookmarkEnd w:id="54"/>
    </w:p>
    <w:p w14:paraId="34BC7BC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55" w:name="_Toc10512"/>
      <w:r>
        <w:rPr>
          <w:rFonts w:hint="eastAsia" w:ascii="仿宋_GB2312" w:hAnsi="仿宋_GB2312" w:eastAsia="仿宋_GB2312" w:cs="仿宋_GB2312"/>
          <w:sz w:val="32"/>
          <w:szCs w:val="32"/>
          <w:lang w:val="en-US" w:eastAsia="zh-CN"/>
        </w:rPr>
        <w:t>③教社会保障和就业支出（类）行政事业单位养老支出（款）事业单位离退休（项）：支出决算数为101.72万元。</w:t>
      </w:r>
      <w:bookmarkEnd w:id="55"/>
    </w:p>
    <w:p w14:paraId="698AE67A">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卫生健康</w:t>
      </w:r>
      <w:r>
        <w:rPr>
          <w:rFonts w:hint="eastAsia" w:ascii="仿宋_GB2312" w:eastAsia="仿宋_GB2312"/>
          <w:b/>
          <w:bCs/>
          <w:color w:val="auto"/>
          <w:sz w:val="32"/>
          <w:szCs w:val="32"/>
          <w:lang w:eastAsia="zh-CN"/>
        </w:rPr>
        <w:t>支出（</w:t>
      </w:r>
      <w:r>
        <w:rPr>
          <w:rFonts w:hint="eastAsia" w:ascii="仿宋_GB2312" w:eastAsia="仿宋_GB2312"/>
          <w:b/>
          <w:bCs/>
          <w:color w:val="auto"/>
          <w:sz w:val="32"/>
          <w:szCs w:val="32"/>
          <w:lang w:val="en-US" w:eastAsia="zh-CN"/>
        </w:rPr>
        <w:t>类</w:t>
      </w:r>
      <w:r>
        <w:rPr>
          <w:rFonts w:hint="eastAsia" w:ascii="仿宋_GB2312" w:eastAsia="仿宋_GB2312"/>
          <w:b/>
          <w:bCs/>
          <w:color w:val="auto"/>
          <w:sz w:val="32"/>
          <w:szCs w:val="32"/>
          <w:lang w:eastAsia="zh-CN"/>
        </w:rPr>
        <w:t>）</w:t>
      </w:r>
      <w:r>
        <w:rPr>
          <w:rFonts w:ascii="仿宋_GB2312" w:eastAsia="仿宋_GB2312"/>
          <w:b/>
          <w:bCs/>
          <w:color w:val="auto"/>
          <w:sz w:val="32"/>
          <w:szCs w:val="32"/>
        </w:rPr>
        <w:t>:</w:t>
      </w:r>
      <w:r>
        <w:rPr>
          <w:rFonts w:hint="eastAsia" w:ascii="仿宋_GB2312" w:eastAsia="仿宋_GB2312"/>
          <w:color w:val="auto"/>
          <w:sz w:val="32"/>
          <w:szCs w:val="32"/>
        </w:rPr>
        <w:t>支出决算为</w:t>
      </w:r>
      <w:r>
        <w:rPr>
          <w:rFonts w:hint="eastAsia" w:ascii="仿宋_GB2312" w:eastAsia="仿宋_GB2312"/>
          <w:color w:val="auto"/>
          <w:sz w:val="32"/>
          <w:szCs w:val="32"/>
          <w:lang w:val="en-US" w:eastAsia="zh-CN"/>
        </w:rPr>
        <w:t>86.74</w:t>
      </w:r>
      <w:r>
        <w:rPr>
          <w:rFonts w:hint="eastAsia" w:ascii="仿宋_GB2312" w:eastAsia="仿宋_GB2312"/>
          <w:color w:val="auto"/>
          <w:sz w:val="32"/>
          <w:szCs w:val="32"/>
        </w:rPr>
        <w:t>万元，完成预算</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其中：</w:t>
      </w:r>
    </w:p>
    <w:p w14:paraId="207B4CA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56" w:name="_Toc26049"/>
      <w:r>
        <w:rPr>
          <w:rFonts w:hint="eastAsia" w:ascii="仿宋_GB2312" w:hAnsi="仿宋_GB2312" w:eastAsia="仿宋_GB2312" w:cs="仿宋_GB2312"/>
          <w:sz w:val="32"/>
          <w:szCs w:val="32"/>
          <w:lang w:val="en-US" w:eastAsia="zh-CN"/>
        </w:rPr>
        <w:t>①卫生健康支出（类）行政事业单位医疗（款）事业单位医疗（项）：支出决算数为53.40万元。</w:t>
      </w:r>
      <w:bookmarkEnd w:id="56"/>
      <w:r>
        <w:rPr>
          <w:rFonts w:hint="eastAsia" w:ascii="仿宋_GB2312" w:hAnsi="仿宋_GB2312" w:eastAsia="仿宋_GB2312" w:cs="仿宋_GB2312"/>
          <w:sz w:val="32"/>
          <w:szCs w:val="32"/>
          <w:lang w:val="en-US" w:eastAsia="zh-CN"/>
        </w:rPr>
        <w:t xml:space="preserve">  </w:t>
      </w:r>
    </w:p>
    <w:p w14:paraId="492054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57" w:name="_Toc24774"/>
      <w:r>
        <w:rPr>
          <w:rFonts w:hint="eastAsia" w:ascii="仿宋_GB2312" w:hAnsi="仿宋_GB2312" w:eastAsia="仿宋_GB2312" w:cs="仿宋_GB2312"/>
          <w:sz w:val="32"/>
          <w:szCs w:val="32"/>
          <w:lang w:val="en-US" w:eastAsia="zh-CN"/>
        </w:rPr>
        <w:t>②卫生健康支出（类）行政事业单位医疗（款）其他行政事业单位医疗支出（项）：支出决算数为33.34万元。</w:t>
      </w:r>
      <w:bookmarkEnd w:id="57"/>
    </w:p>
    <w:p w14:paraId="5EFDACAB">
      <w:pPr>
        <w:pStyle w:val="26"/>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bCs/>
          <w:color w:val="auto"/>
          <w:sz w:val="32"/>
          <w:szCs w:val="32"/>
          <w:lang w:val="en-US" w:eastAsia="zh-CN"/>
        </w:rPr>
        <w:t>4</w:t>
      </w:r>
      <w:r>
        <w:rPr>
          <w:rFonts w:ascii="仿宋_GB2312" w:eastAsia="仿宋_GB2312"/>
          <w:b/>
          <w:bCs/>
          <w:color w:val="auto"/>
          <w:sz w:val="32"/>
          <w:szCs w:val="32"/>
        </w:rPr>
        <w:t>.</w:t>
      </w:r>
      <w:r>
        <w:rPr>
          <w:rFonts w:hint="eastAsia" w:ascii="仿宋_GB2312" w:eastAsia="仿宋_GB2312"/>
          <w:b/>
          <w:bCs/>
          <w:color w:val="auto"/>
          <w:sz w:val="32"/>
          <w:szCs w:val="32"/>
          <w:lang w:val="en-US" w:eastAsia="zh-CN"/>
        </w:rPr>
        <w:t>住房保障支出（类）</w:t>
      </w:r>
      <w:r>
        <w:rPr>
          <w:rFonts w:ascii="仿宋_GB2312" w:eastAsia="仿宋_GB2312"/>
          <w:b/>
          <w:bCs/>
          <w:color w:val="auto"/>
          <w:sz w:val="32"/>
          <w:szCs w:val="32"/>
        </w:rPr>
        <w:t>:</w:t>
      </w:r>
      <w:r>
        <w:rPr>
          <w:rFonts w:hint="eastAsia" w:ascii="仿宋_GB2312" w:hAnsi="仿宋_GB2312" w:eastAsia="仿宋_GB2312" w:cs="仿宋_GB2312"/>
          <w:color w:val="auto"/>
          <w:kern w:val="2"/>
          <w:sz w:val="32"/>
          <w:szCs w:val="32"/>
          <w:lang w:val="en-US" w:eastAsia="zh-CN" w:bidi="ar-SA"/>
        </w:rPr>
        <w:t>支出决算为80.67万元，完成预算100%。其中：住房保障支出（类）住房改革支出（款）住房公积金（项）：支出决算数为80.67万元.</w:t>
      </w:r>
    </w:p>
    <w:p w14:paraId="2C25AE12">
      <w:pPr>
        <w:tabs>
          <w:tab w:val="right" w:pos="8306"/>
        </w:tabs>
        <w:spacing w:line="600" w:lineRule="exact"/>
        <w:ind w:firstLine="640"/>
        <w:outlineLvl w:val="1"/>
        <w:rPr>
          <w:rStyle w:val="29"/>
          <w:rFonts w:ascii="Times New Roman" w:hAnsi="Times New Roman"/>
          <w:color w:val="auto"/>
          <w:highlight w:val="none"/>
        </w:rPr>
      </w:pPr>
      <w:bookmarkStart w:id="58" w:name="_Toc15396608"/>
      <w:bookmarkStart w:id="59" w:name="_Toc15377214"/>
      <w:bookmarkStart w:id="60" w:name="_Toc12127"/>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8"/>
      <w:bookmarkEnd w:id="59"/>
      <w:bookmarkEnd w:id="60"/>
      <w:r>
        <w:rPr>
          <w:rStyle w:val="29"/>
          <w:rFonts w:ascii="Times New Roman" w:hAnsi="Times New Roman" w:eastAsia="黑体"/>
          <w:b w:val="0"/>
          <w:color w:val="auto"/>
          <w:highlight w:val="none"/>
        </w:rPr>
        <w:tab/>
      </w:r>
    </w:p>
    <w:p w14:paraId="60CE8E1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61" w:name="_Toc19402"/>
      <w:r>
        <w:rPr>
          <w:rFonts w:hint="eastAsia" w:ascii="仿宋_GB2312" w:hAnsi="仿宋_GB2312" w:eastAsia="仿宋_GB2312" w:cs="仿宋_GB2312"/>
          <w:sz w:val="32"/>
          <w:szCs w:val="32"/>
          <w:lang w:val="en-US" w:eastAsia="zh-CN"/>
        </w:rPr>
        <w:t>2024年度一般公共预算财政拨款基本支出1,261.31万元，其中：</w:t>
      </w:r>
      <w:bookmarkEnd w:id="61"/>
    </w:p>
    <w:p w14:paraId="0EAC985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62" w:name="_Toc18513"/>
      <w:r>
        <w:rPr>
          <w:rFonts w:hint="eastAsia" w:ascii="仿宋_GB2312" w:hAnsi="仿宋_GB2312" w:eastAsia="仿宋_GB2312" w:cs="仿宋_GB2312"/>
          <w:sz w:val="32"/>
          <w:szCs w:val="32"/>
          <w:lang w:val="en-US" w:eastAsia="zh-CN"/>
        </w:rPr>
        <w:t>人员经费1,173.72万元，主要包括：基本工资、津贴补贴、绩效工资、机关事业单位基本养老保险缴费、职业年金缴费、职工基本医疗保险缴费、其他社会保障缴费、住房公积金、医疗费、其他工资福利支出、生活补助、医疗费补助。</w:t>
      </w:r>
      <w:r>
        <w:rPr>
          <w:rFonts w:hint="eastAsia" w:ascii="仿宋_GB2312" w:hAnsi="仿宋_GB2312" w:eastAsia="仿宋_GB2312" w:cs="仿宋_GB2312"/>
          <w:sz w:val="32"/>
          <w:szCs w:val="32"/>
          <w:lang w:val="en-US" w:eastAsia="zh-CN"/>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hint="eastAsia" w:ascii="仿宋_GB2312" w:hAnsi="仿宋_GB2312" w:eastAsia="仿宋_GB2312" w:cs="仿宋_GB2312"/>
          <w:sz w:val="32"/>
          <w:szCs w:val="32"/>
          <w:lang w:val="en-US" w:eastAsia="zh-CN"/>
        </w:rPr>
        <w:t>公用经费87.59万元，主要包括：办公费、印刷费、水费、电费、物业管理费、差旅费、维修（护）费、培训费、专用材料费、劳务费、委托业务费、工会经费、福利费、其他交通费、其他商品和服务支出、专用设备购置。</w:t>
      </w:r>
      <w:bookmarkEnd w:id="62"/>
    </w:p>
    <w:p w14:paraId="22586FAB">
      <w:pPr>
        <w:spacing w:line="600" w:lineRule="exact"/>
        <w:ind w:firstLine="640"/>
        <w:outlineLvl w:val="1"/>
        <w:rPr>
          <w:rStyle w:val="29"/>
          <w:rFonts w:ascii="Times New Roman" w:hAnsi="Times New Roman" w:eastAsia="黑体"/>
          <w:b w:val="0"/>
          <w:color w:val="auto"/>
          <w:highlight w:val="none"/>
        </w:rPr>
      </w:pPr>
      <w:bookmarkStart w:id="63" w:name="_Toc15396609"/>
      <w:bookmarkStart w:id="64" w:name="_Toc15377215"/>
      <w:bookmarkStart w:id="65" w:name="_Toc24083"/>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63"/>
      <w:bookmarkEnd w:id="64"/>
      <w:bookmarkEnd w:id="65"/>
    </w:p>
    <w:p w14:paraId="2FA478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6"/>
    </w:p>
    <w:p w14:paraId="1E694EE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67" w:name="_Toc14522"/>
      <w:r>
        <w:rPr>
          <w:rFonts w:hint="eastAsia" w:ascii="仿宋_GB2312" w:hAnsi="仿宋_GB2312" w:eastAsia="仿宋_GB2312" w:cs="仿宋_GB2312"/>
          <w:sz w:val="32"/>
          <w:szCs w:val="32"/>
          <w:lang w:val="en-US" w:eastAsia="zh-CN"/>
        </w:rPr>
        <w:t>2024年度“三公”经费财政拨款支出决算为0万元，完成预算0%，与上年度持平。</w:t>
      </w:r>
      <w:bookmarkEnd w:id="67"/>
    </w:p>
    <w:p w14:paraId="4BE59D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8"/>
    </w:p>
    <w:p w14:paraId="1B45A7A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69" w:name="_Toc23345"/>
      <w:r>
        <w:rPr>
          <w:rFonts w:hint="eastAsia" w:ascii="仿宋_GB2312" w:hAnsi="仿宋_GB2312" w:eastAsia="仿宋_GB2312" w:cs="仿宋_GB2312"/>
          <w:sz w:val="32"/>
          <w:szCs w:val="32"/>
          <w:lang w:val="en-US" w:eastAsia="zh-CN"/>
        </w:rPr>
        <w:t>2024年度“三公”经费财政拨款支出决算中，因公出国（境）费支出决算0万元，占0%；公务用车购置及运行维护费支出决算0万元，占0%；公务接待费支出决算0万元，占0%。具体情况如下：</w:t>
      </w:r>
      <w:bookmarkEnd w:id="69"/>
    </w:p>
    <w:p w14:paraId="1A89A42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z w:val="32"/>
          <w:szCs w:val="32"/>
          <w:lang w:val="en-US" w:eastAsia="zh-CN"/>
        </w:rPr>
      </w:pPr>
      <w:bookmarkStart w:id="70" w:name="_Toc2550"/>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全年安排因公出国（境）团组0次，出国（境）0人。因公出国（境）支出决算与2023年持平。</w:t>
      </w:r>
      <w:bookmarkEnd w:id="70"/>
    </w:p>
    <w:p w14:paraId="4860506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z w:val="32"/>
          <w:szCs w:val="32"/>
          <w:lang w:val="en-US" w:eastAsia="zh-CN"/>
        </w:rPr>
      </w:pPr>
      <w:bookmarkStart w:id="71" w:name="_Toc29402"/>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公务用车购置及运行维护费支出决算与2023年度持平。</w:t>
      </w:r>
      <w:bookmarkEnd w:id="71"/>
    </w:p>
    <w:p w14:paraId="78D49A6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72" w:name="_Toc29064"/>
      <w:r>
        <w:rPr>
          <w:rFonts w:hint="eastAsia" w:ascii="仿宋_GB2312" w:hAnsi="仿宋_GB2312" w:eastAsia="仿宋_GB2312" w:cs="仿宋_GB2312"/>
          <w:sz w:val="32"/>
          <w:szCs w:val="32"/>
          <w:lang w:val="en-US"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bookmarkEnd w:id="72"/>
    </w:p>
    <w:p w14:paraId="20B06AC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73" w:name="_Toc16028"/>
      <w:r>
        <w:rPr>
          <w:rFonts w:hint="eastAsia" w:ascii="仿宋_GB2312" w:hAnsi="仿宋_GB2312" w:eastAsia="仿宋_GB2312" w:cs="仿宋_GB2312"/>
          <w:sz w:val="32"/>
          <w:szCs w:val="32"/>
          <w:lang w:val="en-US" w:eastAsia="zh-CN"/>
        </w:rPr>
        <w:t>公务用车运行维护费支出0万元。</w:t>
      </w:r>
      <w:bookmarkEnd w:id="73"/>
    </w:p>
    <w:p w14:paraId="0AE2C08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仿宋_GB2312" w:hAnsi="仿宋_GB2312" w:eastAsia="仿宋_GB2312" w:cs="仿宋_GB2312"/>
          <w:sz w:val="32"/>
          <w:szCs w:val="32"/>
          <w:lang w:val="en-US" w:eastAsia="zh-CN"/>
        </w:rPr>
      </w:pPr>
      <w:bookmarkStart w:id="74" w:name="_Toc23670"/>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公务接待费支出决算与2023年度持平。其中：</w:t>
      </w:r>
      <w:bookmarkEnd w:id="74"/>
    </w:p>
    <w:p w14:paraId="3D1C79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75" w:name="_Toc4689"/>
      <w:r>
        <w:rPr>
          <w:rFonts w:hint="eastAsia" w:ascii="仿宋_GB2312" w:hAnsi="仿宋_GB2312" w:eastAsia="仿宋_GB2312" w:cs="仿宋_GB2312"/>
          <w:sz w:val="32"/>
          <w:szCs w:val="32"/>
          <w:lang w:val="en-US" w:eastAsia="zh-CN"/>
        </w:rPr>
        <w:t>国内公务接待支出0万元。国内公务接待0批次，0人次（不包括陪同人员），共计支出0万元。</w:t>
      </w:r>
      <w:bookmarkEnd w:id="75"/>
    </w:p>
    <w:p w14:paraId="1076927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76" w:name="_Toc9849"/>
      <w:r>
        <w:rPr>
          <w:rFonts w:hint="eastAsia" w:ascii="仿宋_GB2312" w:hAnsi="仿宋_GB2312" w:eastAsia="仿宋_GB2312" w:cs="仿宋_GB2312"/>
          <w:sz w:val="32"/>
          <w:szCs w:val="32"/>
          <w:lang w:val="en-US" w:eastAsia="zh-CN"/>
        </w:rPr>
        <w:t>外事接待支出0万元。外事接待0批次，0人次（不包括陪同人员），共计支出0万元。</w:t>
      </w:r>
      <w:bookmarkEnd w:id="76"/>
      <w:bookmarkStart w:id="77" w:name="_Toc15396610"/>
      <w:bookmarkStart w:id="78" w:name="_Toc15377218"/>
    </w:p>
    <w:p w14:paraId="3367D233">
      <w:pPr>
        <w:spacing w:line="600" w:lineRule="exact"/>
        <w:ind w:firstLine="640"/>
        <w:outlineLvl w:val="1"/>
        <w:rPr>
          <w:rStyle w:val="29"/>
          <w:rFonts w:ascii="Times New Roman" w:hAnsi="Times New Roman" w:eastAsia="黑体"/>
          <w:color w:val="auto"/>
          <w:highlight w:val="none"/>
        </w:rPr>
      </w:pPr>
      <w:bookmarkStart w:id="79" w:name="_Toc2382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77"/>
      <w:bookmarkEnd w:id="78"/>
      <w:bookmarkEnd w:id="79"/>
    </w:p>
    <w:p w14:paraId="36D970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80" w:name="_Toc25508"/>
      <w:r>
        <w:rPr>
          <w:rFonts w:hint="eastAsia" w:ascii="仿宋_GB2312" w:hAnsi="仿宋_GB2312" w:eastAsia="仿宋_GB2312" w:cs="仿宋_GB2312"/>
          <w:sz w:val="32"/>
          <w:szCs w:val="32"/>
          <w:lang w:val="en-US" w:eastAsia="zh-CN"/>
        </w:rPr>
        <w:t>2024年度政府性基金预算财政拨款支出0万元，占本年支出合计的0%。与2023年度相比，政府性基金预算财政拨款支出持平。</w:t>
      </w:r>
      <w:bookmarkEnd w:id="80"/>
    </w:p>
    <w:p w14:paraId="0AA3EBA1">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81" w:name="_Toc15377219"/>
      <w:bookmarkStart w:id="82" w:name="_Toc15396611"/>
      <w:bookmarkStart w:id="83" w:name="_Toc1687"/>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81"/>
      <w:bookmarkEnd w:id="82"/>
      <w:bookmarkEnd w:id="83"/>
    </w:p>
    <w:p w14:paraId="7698865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84" w:name="_Toc6270"/>
      <w:r>
        <w:rPr>
          <w:rFonts w:hint="eastAsia" w:ascii="仿宋_GB2312" w:hAnsi="仿宋_GB2312" w:eastAsia="仿宋_GB2312" w:cs="仿宋_GB2312"/>
          <w:sz w:val="32"/>
          <w:szCs w:val="32"/>
          <w:lang w:val="en-US" w:eastAsia="zh-CN"/>
        </w:rPr>
        <w:t>2024年度国有资本经营预算财政拨款支出0万元，占本年支出合计的0%。与2023年度相比，国有资本经营预算财政拨款支出持平。</w:t>
      </w:r>
      <w:bookmarkEnd w:id="84"/>
    </w:p>
    <w:p w14:paraId="447AE48A">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85" w:name="_Toc15377221"/>
      <w:bookmarkStart w:id="86" w:name="_Toc15396612"/>
      <w:bookmarkStart w:id="87" w:name="_Toc21947"/>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85"/>
      <w:bookmarkEnd w:id="86"/>
      <w:bookmarkEnd w:id="87"/>
    </w:p>
    <w:p w14:paraId="6DBB5C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8" w:name="_Toc15377222"/>
      <w:r>
        <w:rPr>
          <w:rFonts w:hint="eastAsia" w:ascii="Times New Roman" w:hAnsi="Times New Roman" w:eastAsia="楷体_GB2312" w:cs="楷体_GB2312"/>
          <w:b/>
          <w:color w:val="auto"/>
          <w:sz w:val="32"/>
          <w:szCs w:val="32"/>
          <w:highlight w:val="none"/>
        </w:rPr>
        <w:t>（一）机关运行经费支出情况</w:t>
      </w:r>
      <w:bookmarkEnd w:id="88"/>
    </w:p>
    <w:p w14:paraId="5DE2AA7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89" w:name="_Toc23449"/>
      <w:r>
        <w:rPr>
          <w:rFonts w:hint="eastAsia" w:ascii="仿宋_GB2312" w:hAnsi="仿宋_GB2312" w:eastAsia="仿宋_GB2312" w:cs="仿宋_GB2312"/>
          <w:sz w:val="32"/>
          <w:szCs w:val="32"/>
          <w:lang w:val="en-US" w:eastAsia="zh-CN"/>
        </w:rPr>
        <w:t>2024年度，盐边县国胜乡中心学校机关运行经费支出0万元，与2023年度决算数持平。</w:t>
      </w:r>
      <w:bookmarkEnd w:id="89"/>
    </w:p>
    <w:p w14:paraId="5CC4BB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0" w:name="_Toc15377223"/>
      <w:r>
        <w:rPr>
          <w:rFonts w:hint="eastAsia" w:ascii="Times New Roman" w:hAnsi="Times New Roman" w:eastAsia="楷体_GB2312" w:cs="楷体_GB2312"/>
          <w:b/>
          <w:color w:val="auto"/>
          <w:sz w:val="32"/>
          <w:szCs w:val="32"/>
          <w:highlight w:val="none"/>
        </w:rPr>
        <w:t>（二）政府采购支出情况</w:t>
      </w:r>
      <w:bookmarkEnd w:id="90"/>
    </w:p>
    <w:p w14:paraId="2C9A1B5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91" w:name="_Toc3561"/>
      <w:r>
        <w:rPr>
          <w:rFonts w:hint="eastAsia" w:ascii="仿宋_GB2312" w:hAnsi="仿宋_GB2312" w:eastAsia="仿宋_GB2312" w:cs="仿宋_GB2312"/>
          <w:sz w:val="32"/>
          <w:szCs w:val="32"/>
          <w:lang w:val="en-US" w:eastAsia="zh-CN"/>
        </w:rPr>
        <w:t>2024年度，盐边县国胜乡中心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bookmarkEnd w:id="91"/>
    </w:p>
    <w:p w14:paraId="658CFA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92" w:name="_Toc15377224"/>
      <w:r>
        <w:rPr>
          <w:rFonts w:hint="eastAsia" w:ascii="Times New Roman" w:hAnsi="Times New Roman" w:eastAsia="楷体_GB2312" w:cs="楷体_GB2312"/>
          <w:b/>
          <w:color w:val="auto"/>
          <w:sz w:val="32"/>
          <w:szCs w:val="32"/>
          <w:highlight w:val="none"/>
        </w:rPr>
        <w:t>（三）国有资产占有使用情况</w:t>
      </w:r>
      <w:bookmarkEnd w:id="92"/>
    </w:p>
    <w:p w14:paraId="0F4BF4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截至2024年12月31日，盐边县国胜乡中心学校共有车辆0辆，其中：主要负责人用车0辆、机要通信用车0辆、应急保障用车0辆、其他用车0辆，。单价100万元（含）以上设备（不含车辆）0台（套）。</w:t>
      </w:r>
    </w:p>
    <w:p w14:paraId="5774A0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B86F24D">
      <w:pPr>
        <w:spacing w:line="600" w:lineRule="exact"/>
        <w:ind w:firstLine="640"/>
        <w:rPr>
          <w:rFonts w:hint="eastAsia" w:eastAsia="仿宋_GB2312" w:cs="仿宋_GB2312"/>
          <w:sz w:val="32"/>
          <w:szCs w:val="32"/>
          <w:lang w:eastAsia="zh-CN"/>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25</w:t>
      </w:r>
      <w:r>
        <w:rPr>
          <w:rFonts w:hint="eastAsia" w:ascii="仿宋_GB2312" w:eastAsia="仿宋_GB2312"/>
          <w:sz w:val="32"/>
          <w:szCs w:val="32"/>
        </w:rPr>
        <w:t>项目（</w:t>
      </w:r>
      <w:r>
        <w:rPr>
          <w:rFonts w:hint="eastAsia" w:ascii="仿宋_GB2312" w:eastAsia="仿宋_GB2312"/>
          <w:sz w:val="32"/>
          <w:szCs w:val="32"/>
          <w:lang w:val="en-US" w:eastAsia="zh-CN"/>
        </w:rPr>
        <w:t>公用经费-小学校、遗属人员经费、工资性支出</w:t>
      </w:r>
      <w:r>
        <w:rPr>
          <w:rFonts w:hint="eastAsia" w:ascii="仿宋_GB2312" w:eastAsia="仿宋_GB2312"/>
          <w:sz w:val="32"/>
          <w:szCs w:val="32"/>
        </w:rPr>
        <w:t>）等</w:t>
      </w:r>
      <w:r>
        <w:rPr>
          <w:rFonts w:hint="eastAsia" w:ascii="仿宋_GB2312" w:eastAsia="仿宋_GB2312"/>
          <w:sz w:val="32"/>
          <w:szCs w:val="32"/>
          <w:lang w:val="en-US" w:eastAsia="zh-CN"/>
        </w:rPr>
        <w:t>25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25</w:t>
      </w:r>
      <w:r>
        <w:rPr>
          <w:rFonts w:hint="eastAsia" w:ascii="仿宋_GB2312" w:eastAsia="仿宋_GB2312"/>
          <w:sz w:val="32"/>
          <w:szCs w:val="32"/>
        </w:rPr>
        <w:t>个项目开展绩效自评</w:t>
      </w:r>
      <w:r>
        <w:rPr>
          <w:rFonts w:hint="eastAsia" w:ascii="仿宋_GB2312" w:eastAsia="仿宋_GB2312"/>
          <w:sz w:val="32"/>
          <w:szCs w:val="32"/>
          <w:lang w:eastAsia="zh-CN"/>
        </w:rPr>
        <w:t>。</w:t>
      </w:r>
    </w:p>
    <w:p w14:paraId="3ED5C35F">
      <w:pPr>
        <w:spacing w:line="600" w:lineRule="exact"/>
        <w:ind w:firstLine="640"/>
        <w:rPr>
          <w:rFonts w:hint="eastAsia" w:ascii="Times New Roman" w:hAnsi="Times New Roman" w:eastAsia="仿宋_GB2312" w:cs="仿宋_GB2312"/>
          <w:color w:val="C00000"/>
          <w:kern w:val="2"/>
          <w:sz w:val="32"/>
          <w:szCs w:val="32"/>
          <w:highlight w:val="none"/>
          <w:lang w:val="en-US" w:eastAsia="zh-CN" w:bidi="ar-SA"/>
        </w:rPr>
      </w:pPr>
    </w:p>
    <w:p w14:paraId="655304E4">
      <w:pPr>
        <w:pStyle w:val="2"/>
        <w:rPr>
          <w:rFonts w:hint="eastAsia" w:ascii="Times New Roman" w:hAnsi="Times New Roman" w:eastAsia="仿宋_GB2312" w:cs="仿宋_GB2312"/>
          <w:color w:val="C00000"/>
          <w:kern w:val="2"/>
          <w:sz w:val="32"/>
          <w:szCs w:val="32"/>
          <w:highlight w:val="none"/>
          <w:lang w:val="en-US" w:eastAsia="zh-CN" w:bidi="ar-SA"/>
        </w:rPr>
      </w:pPr>
    </w:p>
    <w:p w14:paraId="1072CEB9">
      <w:pPr>
        <w:pStyle w:val="3"/>
        <w:rPr>
          <w:rFonts w:hint="eastAsia" w:ascii="Times New Roman" w:hAnsi="Times New Roman" w:eastAsia="仿宋_GB2312" w:cs="仿宋_GB2312"/>
          <w:color w:val="C00000"/>
          <w:kern w:val="2"/>
          <w:sz w:val="32"/>
          <w:szCs w:val="32"/>
          <w:highlight w:val="none"/>
          <w:lang w:val="en-US" w:eastAsia="zh-CN" w:bidi="ar-SA"/>
        </w:rPr>
      </w:pPr>
    </w:p>
    <w:p w14:paraId="52C0B432">
      <w:pPr>
        <w:pStyle w:val="3"/>
        <w:rPr>
          <w:rFonts w:hint="eastAsia" w:ascii="Times New Roman" w:hAnsi="Times New Roman" w:eastAsia="仿宋_GB2312" w:cs="仿宋_GB2312"/>
          <w:color w:val="C00000"/>
          <w:kern w:val="2"/>
          <w:sz w:val="32"/>
          <w:szCs w:val="32"/>
          <w:highlight w:val="none"/>
          <w:lang w:val="en-US" w:eastAsia="zh-CN" w:bidi="ar-SA"/>
        </w:rPr>
      </w:pPr>
    </w:p>
    <w:p w14:paraId="0952E5D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A937071">
      <w:pPr>
        <w:rPr>
          <w:rFonts w:hint="eastAsia" w:ascii="Times New Roman" w:hAnsi="Times New Roman" w:eastAsia="黑体"/>
          <w:color w:val="auto"/>
          <w:sz w:val="44"/>
          <w:szCs w:val="44"/>
          <w:highlight w:val="none"/>
        </w:rPr>
      </w:pPr>
      <w:bookmarkStart w:id="93" w:name="_Toc15377225"/>
      <w:bookmarkStart w:id="94" w:name="_Toc15396613"/>
      <w:r>
        <w:rPr>
          <w:rFonts w:hint="eastAsia" w:ascii="Times New Roman" w:hAnsi="Times New Roman" w:eastAsia="黑体"/>
          <w:color w:val="auto"/>
          <w:sz w:val="44"/>
          <w:szCs w:val="44"/>
          <w:highlight w:val="none"/>
        </w:rPr>
        <w:br w:type="page"/>
      </w:r>
    </w:p>
    <w:p w14:paraId="2276DB2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5" w:name="_Toc29997"/>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3"/>
      <w:bookmarkEnd w:id="94"/>
      <w:bookmarkEnd w:id="95"/>
    </w:p>
    <w:p w14:paraId="0E0E395C">
      <w:pPr>
        <w:spacing w:line="600" w:lineRule="exact"/>
        <w:jc w:val="left"/>
        <w:rPr>
          <w:rFonts w:ascii="Times New Roman" w:hAnsi="Times New Roman"/>
          <w:b/>
          <w:color w:val="auto"/>
          <w:sz w:val="44"/>
          <w:szCs w:val="44"/>
          <w:highlight w:val="none"/>
        </w:rPr>
      </w:pPr>
    </w:p>
    <w:p w14:paraId="305EBF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DB5DF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7911A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FFA4E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456900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C48A9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65CA9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284CE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D41896A">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bookmarkStart w:id="96" w:name="_Toc15396614"/>
      <w:bookmarkStart w:id="97" w:name="_Toc15377226"/>
      <w:bookmarkStart w:id="98" w:name="_Toc15396618"/>
      <w:r>
        <w:rPr>
          <w:rFonts w:hint="eastAsia" w:ascii="Times New Roman" w:hAnsi="Times New Roman"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zh-CN"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教育支出（类）普通教育（款）学前教育</w:t>
      </w:r>
      <w:r>
        <w:rPr>
          <w:rFonts w:hint="eastAsia" w:ascii="Times New Roman" w:hAnsi="Times New Roman" w:eastAsia="仿宋_GB2312" w:cs="仿宋_GB2312"/>
          <w:color w:val="auto"/>
          <w:kern w:val="2"/>
          <w:sz w:val="32"/>
          <w:szCs w:val="32"/>
          <w:highlight w:val="none"/>
          <w:lang w:val="zh-CN" w:eastAsia="zh-CN" w:bidi="ar-SA"/>
        </w:rPr>
        <w:t>（项）：反映各部门举办的学前教育支出。</w:t>
      </w:r>
    </w:p>
    <w:p w14:paraId="19605B1B">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zh-CN"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教育支出（类）普通教育（款）小学教育</w:t>
      </w:r>
      <w:r>
        <w:rPr>
          <w:rFonts w:hint="eastAsia" w:ascii="Times New Roman" w:hAnsi="Times New Roman" w:eastAsia="仿宋_GB2312" w:cs="仿宋_GB2312"/>
          <w:color w:val="auto"/>
          <w:kern w:val="2"/>
          <w:sz w:val="32"/>
          <w:szCs w:val="32"/>
          <w:highlight w:val="none"/>
          <w:lang w:val="zh-CN" w:eastAsia="zh-CN" w:bidi="ar-SA"/>
        </w:rPr>
        <w:t>（项）：反映各部门举办的小学教育支出。</w:t>
      </w:r>
    </w:p>
    <w:p w14:paraId="3C23CC2A">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11.</w:t>
      </w:r>
      <w:r>
        <w:rPr>
          <w:rFonts w:hint="eastAsia" w:ascii="Times New Roman" w:hAnsi="Times New Roman" w:eastAsia="仿宋_GB2312" w:cs="仿宋_GB2312"/>
          <w:color w:val="auto"/>
          <w:kern w:val="2"/>
          <w:sz w:val="32"/>
          <w:szCs w:val="32"/>
          <w:highlight w:val="none"/>
          <w:lang w:val="en-US" w:eastAsia="zh-CN" w:bidi="ar-SA"/>
        </w:rPr>
        <w:t xml:space="preserve"> 教育支出（类）教育费附加安排的支出（款）其他教育费附加安排的支出</w:t>
      </w:r>
      <w:r>
        <w:rPr>
          <w:rFonts w:hint="eastAsia" w:ascii="Times New Roman" w:hAnsi="Times New Roman" w:eastAsia="仿宋_GB2312" w:cs="仿宋_GB2312"/>
          <w:color w:val="auto"/>
          <w:kern w:val="2"/>
          <w:sz w:val="32"/>
          <w:szCs w:val="32"/>
          <w:highlight w:val="none"/>
          <w:lang w:val="zh-CN" w:eastAsia="zh-CN" w:bidi="ar-SA"/>
        </w:rPr>
        <w:t>（项）：反映除上述项目以外的教育费附加支出。</w:t>
      </w:r>
    </w:p>
    <w:p w14:paraId="78973F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12.社会保障和就业支出（类）行政事业单位养老支出（款）事业单位离退休费（项）：反映事业单位开支的离退休经费。</w:t>
      </w:r>
    </w:p>
    <w:p w14:paraId="0B394987">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.社会保障和就业支出（类）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zh-CN" w:eastAsia="zh-CN" w:bidi="ar-SA"/>
        </w:rPr>
        <w:t>（款）机关事业单位</w:t>
      </w:r>
      <w:r>
        <w:rPr>
          <w:rFonts w:hint="eastAsia" w:ascii="Times New Roman" w:hAnsi="Times New Roman" w:eastAsia="仿宋_GB2312" w:cs="仿宋_GB2312"/>
          <w:color w:val="auto"/>
          <w:kern w:val="2"/>
          <w:sz w:val="32"/>
          <w:szCs w:val="32"/>
          <w:highlight w:val="none"/>
          <w:lang w:val="en-US" w:eastAsia="zh-CN" w:bidi="ar-SA"/>
        </w:rPr>
        <w:t>基本</w:t>
      </w:r>
      <w:r>
        <w:rPr>
          <w:rFonts w:hint="eastAsia" w:ascii="Times New Roman" w:hAnsi="Times New Roman" w:eastAsia="仿宋_GB2312" w:cs="仿宋_GB2312"/>
          <w:color w:val="auto"/>
          <w:kern w:val="2"/>
          <w:sz w:val="32"/>
          <w:szCs w:val="32"/>
          <w:highlight w:val="none"/>
          <w:lang w:val="zh-CN" w:eastAsia="zh-CN" w:bidi="ar-SA"/>
        </w:rPr>
        <w:t>养老保险缴费支出（项）：反映</w:t>
      </w:r>
      <w:r>
        <w:rPr>
          <w:rFonts w:hint="eastAsia" w:ascii="Times New Roman" w:hAnsi="Times New Roman" w:eastAsia="仿宋_GB2312" w:cs="仿宋_GB2312"/>
          <w:color w:val="auto"/>
          <w:kern w:val="2"/>
          <w:sz w:val="32"/>
          <w:szCs w:val="32"/>
          <w:highlight w:val="none"/>
          <w:lang w:val="en-US" w:eastAsia="zh-CN" w:bidi="ar-SA"/>
        </w:rPr>
        <w:t>机关事业单位实施养老保险制度由单位缴纳的基本养老保险费支出</w:t>
      </w:r>
      <w:r>
        <w:rPr>
          <w:rFonts w:hint="eastAsia" w:ascii="Times New Roman" w:hAnsi="Times New Roman" w:eastAsia="仿宋_GB2312" w:cs="仿宋_GB2312"/>
          <w:color w:val="auto"/>
          <w:kern w:val="2"/>
          <w:sz w:val="32"/>
          <w:szCs w:val="32"/>
          <w:highlight w:val="none"/>
          <w:lang w:val="zh-CN" w:eastAsia="zh-CN" w:bidi="ar-SA"/>
        </w:rPr>
        <w:t>。</w:t>
      </w:r>
    </w:p>
    <w:p w14:paraId="6EBA061F">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.社会保障和就业支出（类）</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ascii="Times New Roman" w:hAnsi="Times New Roman" w:eastAsia="仿宋_GB2312" w:cs="仿宋_GB2312"/>
          <w:color w:val="auto"/>
          <w:kern w:val="2"/>
          <w:sz w:val="32"/>
          <w:szCs w:val="32"/>
          <w:highlight w:val="none"/>
          <w:lang w:val="zh-CN" w:eastAsia="zh-CN" w:bidi="ar-SA"/>
        </w:rPr>
        <w:t>（款）机关事业单位职业年金经</w:t>
      </w:r>
      <w:r>
        <w:rPr>
          <w:rFonts w:hint="eastAsia" w:ascii="Times New Roman" w:hAnsi="Times New Roman" w:eastAsia="仿宋_GB2312" w:cs="仿宋_GB2312"/>
          <w:color w:val="auto"/>
          <w:kern w:val="2"/>
          <w:sz w:val="32"/>
          <w:szCs w:val="32"/>
          <w:highlight w:val="none"/>
          <w:lang w:val="en-US" w:eastAsia="zh-CN" w:bidi="ar-SA"/>
        </w:rPr>
        <w:t>缴</w:t>
      </w:r>
      <w:r>
        <w:rPr>
          <w:rFonts w:hint="eastAsia" w:ascii="Times New Roman" w:hAnsi="Times New Roman" w:eastAsia="仿宋_GB2312" w:cs="仿宋_GB2312"/>
          <w:color w:val="auto"/>
          <w:kern w:val="2"/>
          <w:sz w:val="32"/>
          <w:szCs w:val="32"/>
          <w:highlight w:val="none"/>
          <w:lang w:val="zh-CN" w:eastAsia="zh-CN" w:bidi="ar-SA"/>
        </w:rPr>
        <w:t>费支出（项）：反映</w:t>
      </w:r>
      <w:r>
        <w:rPr>
          <w:rFonts w:hint="eastAsia" w:ascii="Times New Roman" w:hAnsi="Times New Roman" w:eastAsia="仿宋_GB2312" w:cs="仿宋_GB2312"/>
          <w:color w:val="auto"/>
          <w:kern w:val="2"/>
          <w:sz w:val="32"/>
          <w:szCs w:val="32"/>
          <w:highlight w:val="none"/>
          <w:lang w:val="en-US" w:eastAsia="zh-CN" w:bidi="ar-SA"/>
        </w:rPr>
        <w:t>机关事业单位实施养老保险制度由单位实际缴纳的职业年金支出</w:t>
      </w:r>
      <w:r>
        <w:rPr>
          <w:rFonts w:hint="eastAsia" w:ascii="Times New Roman" w:hAnsi="Times New Roman" w:eastAsia="仿宋_GB2312" w:cs="仿宋_GB2312"/>
          <w:color w:val="auto"/>
          <w:kern w:val="2"/>
          <w:sz w:val="32"/>
          <w:szCs w:val="32"/>
          <w:highlight w:val="none"/>
          <w:lang w:val="zh-CN" w:eastAsia="zh-CN" w:bidi="ar-SA"/>
        </w:rPr>
        <w:t>。</w:t>
      </w:r>
    </w:p>
    <w:p w14:paraId="7EC9E2B1">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zh-CN" w:eastAsia="zh-CN" w:bidi="ar-SA"/>
        </w:rPr>
        <w:t>.卫生健康支出（类）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zh-CN" w:eastAsia="zh-CN" w:bidi="ar-SA"/>
        </w:rPr>
        <w:t>（款）</w:t>
      </w:r>
      <w:r>
        <w:rPr>
          <w:rFonts w:hint="eastAsia" w:ascii="Times New Roman" w:hAnsi="Times New Roman" w:eastAsia="仿宋_GB2312" w:cs="仿宋_GB2312"/>
          <w:color w:val="auto"/>
          <w:kern w:val="2"/>
          <w:sz w:val="32"/>
          <w:szCs w:val="32"/>
          <w:highlight w:val="none"/>
          <w:lang w:val="en-US" w:eastAsia="zh-CN" w:bidi="ar-SA"/>
        </w:rPr>
        <w:t>事业单位医疗</w:t>
      </w:r>
      <w:r>
        <w:rPr>
          <w:rFonts w:hint="eastAsia" w:ascii="Times New Roman" w:hAnsi="Times New Roman" w:eastAsia="仿宋_GB2312" w:cs="仿宋_GB2312"/>
          <w:color w:val="auto"/>
          <w:kern w:val="2"/>
          <w:sz w:val="32"/>
          <w:szCs w:val="32"/>
          <w:highlight w:val="none"/>
          <w:lang w:val="zh-CN" w:eastAsia="zh-CN" w:bidi="ar-SA"/>
        </w:rPr>
        <w:t>（项）：反映财政部门安排的事业单位基本医疗保险缴费经费，未参加医疗保险的事业单位的公费医疗经费，按国家规定享受离休人员待遇的医疗经费。</w:t>
      </w:r>
    </w:p>
    <w:p w14:paraId="51CA4345">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zh-CN" w:eastAsia="zh-CN" w:bidi="ar-SA"/>
        </w:rPr>
        <w:t>.卫生健康支出（类）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zh-CN" w:eastAsia="zh-CN" w:bidi="ar-SA"/>
        </w:rPr>
        <w:t>（款）其他行政事业单位医疗支出（项）：反映除上述项目以外的其他用于行政事业单位医疗方面的支出。</w:t>
      </w:r>
    </w:p>
    <w:p w14:paraId="211AC0A6">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w:t>
      </w:r>
      <w:r>
        <w:rPr>
          <w:rFonts w:hint="eastAsia" w:ascii="Times New Roman" w:hAnsi="Times New Roman"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zh-CN" w:eastAsia="zh-CN" w:bidi="ar-SA"/>
        </w:rPr>
        <w:t>. 住房保障</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zh-CN" w:eastAsia="zh-CN" w:bidi="ar-SA"/>
        </w:rPr>
        <w:t>（类）住房改革支出（款）住房公积金（项）：反映</w:t>
      </w:r>
      <w:r>
        <w:rPr>
          <w:rFonts w:hint="eastAsia" w:ascii="Times New Roman" w:hAnsi="Times New Roman" w:eastAsia="仿宋_GB2312" w:cs="仿宋_GB2312"/>
          <w:color w:val="auto"/>
          <w:kern w:val="2"/>
          <w:sz w:val="32"/>
          <w:szCs w:val="32"/>
          <w:highlight w:val="none"/>
          <w:lang w:val="en-US" w:eastAsia="zh-CN" w:bidi="ar-SA"/>
        </w:rPr>
        <w:t>行政事业单位按人力资源和社会保障、财政部规定的基本工资和津贴补贴以及规定比例为职工缴纳的住房公积金。</w:t>
      </w:r>
    </w:p>
    <w:p w14:paraId="36370F9B">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.基本支出：指为保障机构正常运转、完成日常工作任务而发生的人员支出和公用支出。</w:t>
      </w:r>
    </w:p>
    <w:p w14:paraId="0444B874">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zh-CN" w:eastAsia="zh-CN" w:bidi="ar-SA"/>
        </w:rPr>
        <w:t>.项目支出：指在基本支出之外为完成特定行政任务和事业发展目标所发生的支出。</w:t>
      </w:r>
    </w:p>
    <w:p w14:paraId="5D1FFD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2</w:t>
      </w:r>
      <w:r>
        <w:rPr>
          <w:rFonts w:hint="eastAsia" w:ascii="Times New Roman" w:hAnsi="Times New Roman"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zh-CN" w:eastAsia="zh-CN" w:bidi="ar-SA"/>
        </w:rPr>
        <w:t>.经营支出：指事业单位在专业业务活动及其辅助活动之外开展非独立核算经营活动发生的支出。</w:t>
      </w:r>
    </w:p>
    <w:p w14:paraId="14D7DE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576E06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47A5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D2B1F8">
      <w:pPr>
        <w:rPr>
          <w:rFonts w:hint="eastAsia" w:eastAsia="黑体"/>
          <w:sz w:val="44"/>
          <w:szCs w:val="44"/>
        </w:rPr>
      </w:pPr>
      <w:r>
        <w:rPr>
          <w:rFonts w:hint="eastAsia" w:eastAsia="黑体"/>
          <w:sz w:val="44"/>
          <w:szCs w:val="44"/>
        </w:rPr>
        <w:br w:type="page"/>
      </w:r>
    </w:p>
    <w:p w14:paraId="095590A7">
      <w:pPr>
        <w:pStyle w:val="5"/>
        <w:jc w:val="center"/>
        <w:rPr>
          <w:rFonts w:hint="eastAsia" w:ascii="Times New Roman" w:hAnsi="Times New Roman" w:eastAsia="方正小标宋简体" w:cs="方正小标宋简体"/>
          <w:b w:val="0"/>
          <w:color w:val="auto"/>
          <w:highlight w:val="none"/>
        </w:rPr>
      </w:pPr>
      <w:bookmarkStart w:id="99" w:name="_Toc9976"/>
      <w:r>
        <w:rPr>
          <w:rFonts w:hint="eastAsia" w:ascii="Times New Roman" w:hAnsi="Times New Roman" w:eastAsia="方正小标宋简体" w:cs="方正小标宋简体"/>
          <w:b w:val="0"/>
          <w:color w:val="auto"/>
          <w:highlight w:val="none"/>
        </w:rPr>
        <w:t>第四部分  附件</w:t>
      </w:r>
      <w:bookmarkEnd w:id="96"/>
      <w:bookmarkEnd w:id="99"/>
    </w:p>
    <w:p w14:paraId="1326CC5A">
      <w:pPr>
        <w:widowControl/>
        <w:spacing w:line="578" w:lineRule="exact"/>
        <w:contextualSpacing/>
        <w:jc w:val="center"/>
        <w:rPr>
          <w:color w:val="auto"/>
        </w:rPr>
      </w:pPr>
      <w:r>
        <w:rPr>
          <w:rFonts w:hint="eastAsia" w:eastAsia="黑体" w:cs="黑体"/>
          <w:color w:val="auto"/>
          <w:sz w:val="32"/>
          <w:szCs w:val="32"/>
        </w:rPr>
        <w:t>部门预算项目支出绩效评价表（2024年度）</w:t>
      </w:r>
    </w:p>
    <w:p w14:paraId="673F23D6">
      <w:pPr>
        <w:pStyle w:val="3"/>
        <w:spacing w:line="560" w:lineRule="exact"/>
        <w:ind w:left="0" w:leftChars="0" w:firstLine="640"/>
        <w:rPr>
          <w:rFonts w:eastAsia="仿宋_GB2312" w:cs="仿宋_GB2312"/>
          <w:color w:val="C00000"/>
          <w:kern w:val="0"/>
          <w:sz w:val="32"/>
        </w:rPr>
      </w:pPr>
    </w:p>
    <w:p w14:paraId="67AD433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4F1B6A">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br w:type="page"/>
      </w:r>
    </w:p>
    <w:p w14:paraId="39C81144">
      <w:pPr>
        <w:pStyle w:val="5"/>
        <w:jc w:val="center"/>
        <w:rPr>
          <w:rFonts w:hint="eastAsia" w:ascii="Times New Roman" w:hAnsi="Times New Roman" w:eastAsia="方正小标宋简体" w:cs="方正小标宋简体"/>
          <w:b w:val="0"/>
          <w:color w:val="auto"/>
          <w:highlight w:val="none"/>
        </w:rPr>
      </w:pPr>
      <w:bookmarkStart w:id="100" w:name="_Toc29762"/>
      <w:r>
        <w:rPr>
          <w:rFonts w:hint="eastAsia" w:ascii="Times New Roman" w:hAnsi="Times New Roman" w:eastAsia="方正小标宋简体" w:cs="方正小标宋简体"/>
          <w:b w:val="0"/>
          <w:color w:val="auto"/>
          <w:highlight w:val="none"/>
        </w:rPr>
        <w:t>第五部分 附表</w:t>
      </w:r>
      <w:bookmarkEnd w:id="97"/>
      <w:bookmarkEnd w:id="98"/>
      <w:bookmarkEnd w:id="100"/>
      <w:bookmarkStart w:id="101" w:name="_Toc15396619"/>
    </w:p>
    <w:p w14:paraId="0CD7B2D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4BD3E46">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02" w:name="_Toc22552"/>
      <w:r>
        <w:rPr>
          <w:rStyle w:val="29"/>
          <w:rFonts w:hint="eastAsia" w:ascii="Times New Roman" w:hAnsi="Times New Roman" w:eastAsia="黑体"/>
          <w:b w:val="0"/>
          <w:color w:val="auto"/>
          <w:highlight w:val="none"/>
          <w:lang w:eastAsia="zh-CN"/>
        </w:rPr>
        <w:t>一、收入支出决算总表</w:t>
      </w:r>
      <w:bookmarkEnd w:id="101"/>
      <w:bookmarkEnd w:id="102"/>
    </w:p>
    <w:p w14:paraId="49DEF79A">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03" w:name="_Toc15396620"/>
      <w:bookmarkStart w:id="104" w:name="_Toc11880"/>
      <w:r>
        <w:rPr>
          <w:rStyle w:val="29"/>
          <w:rFonts w:hint="eastAsia" w:ascii="Times New Roman" w:hAnsi="Times New Roman" w:eastAsia="黑体"/>
          <w:b w:val="0"/>
          <w:color w:val="auto"/>
          <w:highlight w:val="none"/>
          <w:lang w:eastAsia="zh-CN"/>
        </w:rPr>
        <w:t>二、收入决算表</w:t>
      </w:r>
      <w:bookmarkEnd w:id="103"/>
      <w:bookmarkEnd w:id="104"/>
    </w:p>
    <w:p w14:paraId="268C3599">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05" w:name="_Toc15396621"/>
      <w:bookmarkStart w:id="106" w:name="_Toc14129"/>
      <w:r>
        <w:rPr>
          <w:rStyle w:val="29"/>
          <w:rFonts w:hint="eastAsia" w:ascii="Times New Roman" w:hAnsi="Times New Roman" w:eastAsia="黑体"/>
          <w:b w:val="0"/>
          <w:color w:val="auto"/>
          <w:highlight w:val="none"/>
          <w:lang w:eastAsia="zh-CN"/>
        </w:rPr>
        <w:t>三、支出决算表</w:t>
      </w:r>
      <w:bookmarkEnd w:id="105"/>
      <w:bookmarkEnd w:id="106"/>
    </w:p>
    <w:p w14:paraId="765292E7">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07" w:name="_Toc15396622"/>
      <w:bookmarkStart w:id="108" w:name="_Toc1563"/>
      <w:r>
        <w:rPr>
          <w:rStyle w:val="29"/>
          <w:rFonts w:hint="eastAsia" w:ascii="Times New Roman" w:hAnsi="Times New Roman" w:eastAsia="黑体"/>
          <w:b w:val="0"/>
          <w:color w:val="auto"/>
          <w:highlight w:val="none"/>
          <w:lang w:eastAsia="zh-CN"/>
        </w:rPr>
        <w:t>四、财政拨款收入支出决算总表</w:t>
      </w:r>
      <w:bookmarkEnd w:id="107"/>
      <w:bookmarkEnd w:id="108"/>
    </w:p>
    <w:p w14:paraId="5E692BE5">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09" w:name="_Toc15396623"/>
      <w:bookmarkStart w:id="110" w:name="_Toc30778"/>
      <w:r>
        <w:rPr>
          <w:rStyle w:val="29"/>
          <w:rFonts w:hint="eastAsia" w:ascii="Times New Roman" w:hAnsi="Times New Roman" w:eastAsia="黑体"/>
          <w:b w:val="0"/>
          <w:color w:val="auto"/>
          <w:highlight w:val="none"/>
          <w:lang w:eastAsia="zh-CN"/>
        </w:rPr>
        <w:t>五、财政拨款支出决算明细表</w:t>
      </w:r>
      <w:bookmarkEnd w:id="109"/>
      <w:bookmarkEnd w:id="110"/>
      <w:bookmarkStart w:id="111" w:name="_Toc15396624"/>
    </w:p>
    <w:p w14:paraId="136CF7D2">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12" w:name="_Toc30009"/>
      <w:r>
        <w:rPr>
          <w:rStyle w:val="29"/>
          <w:rFonts w:hint="eastAsia" w:ascii="Times New Roman" w:hAnsi="Times New Roman" w:eastAsia="黑体"/>
          <w:b w:val="0"/>
          <w:color w:val="auto"/>
          <w:highlight w:val="none"/>
          <w:lang w:eastAsia="zh-CN"/>
        </w:rPr>
        <w:t>六、一般公共预算财政拨款支出决算表</w:t>
      </w:r>
      <w:bookmarkEnd w:id="111"/>
      <w:bookmarkEnd w:id="112"/>
    </w:p>
    <w:p w14:paraId="056A60A0">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13" w:name="_Toc15396625"/>
      <w:bookmarkStart w:id="114" w:name="_Toc29778"/>
      <w:r>
        <w:rPr>
          <w:rStyle w:val="29"/>
          <w:rFonts w:hint="eastAsia" w:ascii="Times New Roman" w:hAnsi="Times New Roman" w:eastAsia="黑体"/>
          <w:b w:val="0"/>
          <w:color w:val="auto"/>
          <w:highlight w:val="none"/>
          <w:lang w:eastAsia="zh-CN"/>
        </w:rPr>
        <w:t>七、一般公共预算财政拨款支出决算明细表</w:t>
      </w:r>
      <w:bookmarkEnd w:id="113"/>
      <w:bookmarkEnd w:id="114"/>
    </w:p>
    <w:p w14:paraId="25831009">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15" w:name="_Toc15396626"/>
      <w:bookmarkStart w:id="116" w:name="_Toc1081"/>
      <w:r>
        <w:rPr>
          <w:rStyle w:val="29"/>
          <w:rFonts w:hint="eastAsia" w:ascii="Times New Roman" w:hAnsi="Times New Roman" w:eastAsia="黑体"/>
          <w:b w:val="0"/>
          <w:color w:val="auto"/>
          <w:highlight w:val="none"/>
          <w:lang w:eastAsia="zh-CN"/>
        </w:rPr>
        <w:t>八、一般公共预算财政拨款基本支出决算表</w:t>
      </w:r>
      <w:bookmarkEnd w:id="115"/>
      <w:bookmarkEnd w:id="116"/>
    </w:p>
    <w:p w14:paraId="5B612E60">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17" w:name="_Toc15396627"/>
      <w:bookmarkStart w:id="118" w:name="_Toc7840"/>
      <w:r>
        <w:rPr>
          <w:rStyle w:val="29"/>
          <w:rFonts w:hint="eastAsia" w:ascii="Times New Roman" w:hAnsi="Times New Roman" w:eastAsia="黑体"/>
          <w:b w:val="0"/>
          <w:color w:val="auto"/>
          <w:highlight w:val="none"/>
          <w:lang w:eastAsia="zh-CN"/>
        </w:rPr>
        <w:t>九、一般公共预算财政拨款项目支出决算表</w:t>
      </w:r>
      <w:bookmarkEnd w:id="117"/>
      <w:bookmarkEnd w:id="118"/>
    </w:p>
    <w:p w14:paraId="1B2C4012">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19" w:name="_Toc15396628"/>
      <w:bookmarkStart w:id="120" w:name="_Toc23553"/>
      <w:r>
        <w:rPr>
          <w:rStyle w:val="29"/>
          <w:rFonts w:hint="eastAsia" w:ascii="Times New Roman" w:hAnsi="Times New Roman" w:eastAsia="黑体"/>
          <w:b w:val="0"/>
          <w:color w:val="auto"/>
          <w:highlight w:val="none"/>
          <w:lang w:eastAsia="zh-CN"/>
        </w:rPr>
        <w:t>十、</w:t>
      </w:r>
      <w:bookmarkEnd w:id="119"/>
      <w:r>
        <w:rPr>
          <w:rStyle w:val="29"/>
          <w:rFonts w:hint="eastAsia" w:ascii="Times New Roman" w:hAnsi="Times New Roman" w:eastAsia="黑体"/>
          <w:b w:val="0"/>
          <w:color w:val="auto"/>
          <w:highlight w:val="none"/>
          <w:lang w:eastAsia="zh-CN"/>
        </w:rPr>
        <w:t>政府性基金预算财政拨款收入支出决算表</w:t>
      </w:r>
      <w:bookmarkEnd w:id="120"/>
    </w:p>
    <w:p w14:paraId="2E14EC5C">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21" w:name="_Toc15396629"/>
      <w:bookmarkStart w:id="122" w:name="_Toc32078"/>
      <w:r>
        <w:rPr>
          <w:rStyle w:val="29"/>
          <w:rFonts w:hint="eastAsia" w:ascii="Times New Roman" w:hAnsi="Times New Roman" w:eastAsia="黑体"/>
          <w:b w:val="0"/>
          <w:color w:val="auto"/>
          <w:highlight w:val="none"/>
          <w:lang w:eastAsia="zh-CN"/>
        </w:rPr>
        <w:t>十一、</w:t>
      </w:r>
      <w:bookmarkEnd w:id="121"/>
      <w:r>
        <w:rPr>
          <w:rStyle w:val="29"/>
          <w:rFonts w:hint="eastAsia" w:ascii="Times New Roman" w:hAnsi="Times New Roman" w:eastAsia="黑体"/>
          <w:b w:val="0"/>
          <w:color w:val="auto"/>
          <w:highlight w:val="none"/>
          <w:lang w:eastAsia="zh-CN"/>
        </w:rPr>
        <w:t>国有资本经营预算财政拨款收入支出决算表</w:t>
      </w:r>
      <w:bookmarkEnd w:id="122"/>
    </w:p>
    <w:p w14:paraId="7BE8E5F3">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23" w:name="_Toc15396630"/>
      <w:bookmarkStart w:id="124" w:name="_Toc20366"/>
      <w:r>
        <w:rPr>
          <w:rStyle w:val="29"/>
          <w:rFonts w:hint="eastAsia" w:ascii="Times New Roman" w:hAnsi="Times New Roman" w:eastAsia="黑体"/>
          <w:b w:val="0"/>
          <w:color w:val="auto"/>
          <w:highlight w:val="none"/>
          <w:lang w:eastAsia="zh-CN"/>
        </w:rPr>
        <w:t>十二、</w:t>
      </w:r>
      <w:bookmarkEnd w:id="123"/>
      <w:r>
        <w:rPr>
          <w:rStyle w:val="29"/>
          <w:rFonts w:hint="eastAsia" w:ascii="Times New Roman" w:hAnsi="Times New Roman" w:eastAsia="黑体"/>
          <w:b w:val="0"/>
          <w:color w:val="auto"/>
          <w:highlight w:val="none"/>
          <w:lang w:eastAsia="zh-CN"/>
        </w:rPr>
        <w:t>国有资本经营预算财政拨款支出决算表</w:t>
      </w:r>
      <w:bookmarkEnd w:id="124"/>
    </w:p>
    <w:p w14:paraId="367A58F9">
      <w:pPr>
        <w:numPr>
          <w:ilvl w:val="0"/>
          <w:numId w:val="0"/>
        </w:numPr>
        <w:spacing w:line="600" w:lineRule="exact"/>
        <w:ind w:left="630" w:leftChars="0"/>
        <w:outlineLvl w:val="1"/>
        <w:rPr>
          <w:rStyle w:val="29"/>
          <w:rFonts w:hint="eastAsia" w:ascii="Times New Roman" w:hAnsi="Times New Roman" w:eastAsia="黑体"/>
          <w:b w:val="0"/>
          <w:color w:val="auto"/>
          <w:highlight w:val="none"/>
          <w:lang w:eastAsia="zh-CN"/>
        </w:rPr>
      </w:pPr>
      <w:bookmarkStart w:id="125" w:name="_Toc15396631"/>
      <w:bookmarkStart w:id="126" w:name="_Toc12041"/>
      <w:r>
        <w:rPr>
          <w:rStyle w:val="29"/>
          <w:rFonts w:hint="eastAsia" w:ascii="Times New Roman" w:hAnsi="Times New Roman" w:eastAsia="黑体"/>
          <w:b w:val="0"/>
          <w:color w:val="auto"/>
          <w:highlight w:val="none"/>
          <w:lang w:eastAsia="zh-CN"/>
        </w:rPr>
        <w:t>十三、</w:t>
      </w:r>
      <w:bookmarkEnd w:id="125"/>
      <w:r>
        <w:rPr>
          <w:rStyle w:val="29"/>
          <w:rFonts w:hint="eastAsia" w:ascii="Times New Roman" w:hAnsi="Times New Roman" w:eastAsia="黑体"/>
          <w:b w:val="0"/>
          <w:color w:val="auto"/>
          <w:highlight w:val="none"/>
          <w:lang w:eastAsia="zh-CN"/>
        </w:rPr>
        <w:t>财政拨款“三公”经费支出决算表</w:t>
      </w:r>
      <w:bookmarkEnd w:id="126"/>
    </w:p>
    <w:p w14:paraId="08185E9E">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1E1C48A9-20A9-4766-9809-31EB2CEA3A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EFF1239-28C9-4A78-AA26-63E868934F38}"/>
  </w:font>
  <w:font w:name="仿宋">
    <w:panose1 w:val="02010609060101010101"/>
    <w:charset w:val="86"/>
    <w:family w:val="modern"/>
    <w:pitch w:val="default"/>
    <w:sig w:usb0="800002BF" w:usb1="38CF7CFA" w:usb2="00000016" w:usb3="00000000" w:csb0="00040001" w:csb1="00000000"/>
    <w:embedRegular r:id="rId3" w:fontKey="{FC455EFC-0CDA-45F5-9A76-AA743777A749}"/>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E00694B2-4E37-420F-8258-0EB4FFD99B50}"/>
  </w:font>
  <w:font w:name="楷体_GB2312">
    <w:panose1 w:val="02010609030101010101"/>
    <w:charset w:val="86"/>
    <w:family w:val="auto"/>
    <w:pitch w:val="default"/>
    <w:sig w:usb0="00000001" w:usb1="080E0000" w:usb2="00000000" w:usb3="00000000" w:csb0="00040000" w:csb1="00000000"/>
    <w:embedRegular r:id="rId5" w:fontKey="{5625372F-66C2-4CE7-A7FD-5F48F4EA514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6" w:fontKey="{0DCDF61B-4437-4F8F-86B3-1B526E0A20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439C0">
    <w:pPr>
      <w:pStyle w:val="11"/>
      <w:jc w:val="center"/>
    </w:pPr>
  </w:p>
  <w:p w14:paraId="6929398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A66B">
    <w:pPr>
      <w:pStyle w:val="11"/>
      <w:jc w:val="center"/>
    </w:pPr>
  </w:p>
  <w:p w14:paraId="7AA71D4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4B3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06C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12EFC">
                          <w:pPr>
                            <w:pStyle w:val="11"/>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- 2 -</w:t>
                          </w:r>
                          <w:r>
                            <w:rPr>
                              <w:sz w:val="15"/>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A12EFC">
                    <w:pPr>
                      <w:pStyle w:val="11"/>
                      <w:rPr>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- 2 -</w:t>
                    </w:r>
                    <w:r>
                      <w:rPr>
                        <w:sz w:val="15"/>
                        <w:szCs w:val="15"/>
                      </w:rPr>
                      <w:fldChar w:fldCharType="end"/>
                    </w:r>
                  </w:p>
                </w:txbxContent>
              </v:textbox>
            </v:shape>
          </w:pict>
        </mc:Fallback>
      </mc:AlternateContent>
    </w:r>
  </w:p>
  <w:p w14:paraId="7CFA1A98">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4EA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D5AF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D5AFC">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65E0">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19497B"/>
    <w:rsid w:val="061E35DE"/>
    <w:rsid w:val="066E0107"/>
    <w:rsid w:val="07996F6E"/>
    <w:rsid w:val="07DFD8BA"/>
    <w:rsid w:val="091C30CB"/>
    <w:rsid w:val="09867E8F"/>
    <w:rsid w:val="0A2032A3"/>
    <w:rsid w:val="0CA8290A"/>
    <w:rsid w:val="0D35B1ED"/>
    <w:rsid w:val="0E254B6B"/>
    <w:rsid w:val="0EE140FF"/>
    <w:rsid w:val="0F98263C"/>
    <w:rsid w:val="101860EC"/>
    <w:rsid w:val="101F47CC"/>
    <w:rsid w:val="10C055FF"/>
    <w:rsid w:val="11694EBD"/>
    <w:rsid w:val="11772AA4"/>
    <w:rsid w:val="118107EC"/>
    <w:rsid w:val="1208363B"/>
    <w:rsid w:val="12E24EE2"/>
    <w:rsid w:val="13D50BC4"/>
    <w:rsid w:val="14B17F78"/>
    <w:rsid w:val="165E0673"/>
    <w:rsid w:val="16B831D5"/>
    <w:rsid w:val="16BB723D"/>
    <w:rsid w:val="17E50567"/>
    <w:rsid w:val="186504BB"/>
    <w:rsid w:val="18EE7E47"/>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722F10"/>
    <w:rsid w:val="29FD04D3"/>
    <w:rsid w:val="2BFF7BC6"/>
    <w:rsid w:val="2C8A474C"/>
    <w:rsid w:val="2C8A61B5"/>
    <w:rsid w:val="2DF04E50"/>
    <w:rsid w:val="2E586DFA"/>
    <w:rsid w:val="2F040D46"/>
    <w:rsid w:val="2F6B035B"/>
    <w:rsid w:val="2FAE5751"/>
    <w:rsid w:val="2FB1A395"/>
    <w:rsid w:val="2FD9A7D8"/>
    <w:rsid w:val="2FDBF714"/>
    <w:rsid w:val="304C5976"/>
    <w:rsid w:val="30AB6865"/>
    <w:rsid w:val="319F7F4E"/>
    <w:rsid w:val="32BD1EF1"/>
    <w:rsid w:val="3304709D"/>
    <w:rsid w:val="33A773CB"/>
    <w:rsid w:val="349D6851"/>
    <w:rsid w:val="34E71903"/>
    <w:rsid w:val="36AA5135"/>
    <w:rsid w:val="36BE0DA7"/>
    <w:rsid w:val="376B6AA6"/>
    <w:rsid w:val="376D39B2"/>
    <w:rsid w:val="37E16F03"/>
    <w:rsid w:val="37F53A3B"/>
    <w:rsid w:val="389B6C89"/>
    <w:rsid w:val="38D469F0"/>
    <w:rsid w:val="39627CCD"/>
    <w:rsid w:val="397BAF1F"/>
    <w:rsid w:val="3A305505"/>
    <w:rsid w:val="3AB79AF3"/>
    <w:rsid w:val="3AE834C0"/>
    <w:rsid w:val="3B7EF35A"/>
    <w:rsid w:val="3B9FDB6C"/>
    <w:rsid w:val="3BED199D"/>
    <w:rsid w:val="3BF5BC2F"/>
    <w:rsid w:val="3CEBA265"/>
    <w:rsid w:val="3D98207C"/>
    <w:rsid w:val="3DEE7CF3"/>
    <w:rsid w:val="3E740A63"/>
    <w:rsid w:val="3E78745D"/>
    <w:rsid w:val="3E81108C"/>
    <w:rsid w:val="3EE17838"/>
    <w:rsid w:val="3F55381A"/>
    <w:rsid w:val="3F7F7599"/>
    <w:rsid w:val="3FF4CAE0"/>
    <w:rsid w:val="3FF7B227"/>
    <w:rsid w:val="44E268DA"/>
    <w:rsid w:val="450D13D7"/>
    <w:rsid w:val="45506656"/>
    <w:rsid w:val="486A6C7A"/>
    <w:rsid w:val="4A627F82"/>
    <w:rsid w:val="4AB80380"/>
    <w:rsid w:val="4B0E749A"/>
    <w:rsid w:val="4B2477C4"/>
    <w:rsid w:val="4B4F25DA"/>
    <w:rsid w:val="4BE068DB"/>
    <w:rsid w:val="4C5C3E0B"/>
    <w:rsid w:val="4D577224"/>
    <w:rsid w:val="4DBF1CEB"/>
    <w:rsid w:val="4DF0007C"/>
    <w:rsid w:val="4EAB630A"/>
    <w:rsid w:val="4EB33951"/>
    <w:rsid w:val="4ECE2238"/>
    <w:rsid w:val="4F833267"/>
    <w:rsid w:val="4FE9BD67"/>
    <w:rsid w:val="4FFB052F"/>
    <w:rsid w:val="51996D40"/>
    <w:rsid w:val="537E6D0A"/>
    <w:rsid w:val="53F74C96"/>
    <w:rsid w:val="55170BA8"/>
    <w:rsid w:val="553218C9"/>
    <w:rsid w:val="567E1AA5"/>
    <w:rsid w:val="56E47B74"/>
    <w:rsid w:val="57175D52"/>
    <w:rsid w:val="57BD3DD4"/>
    <w:rsid w:val="59361E6B"/>
    <w:rsid w:val="5A0B1213"/>
    <w:rsid w:val="5A905148"/>
    <w:rsid w:val="5AF92295"/>
    <w:rsid w:val="5B250254"/>
    <w:rsid w:val="5BDD79E6"/>
    <w:rsid w:val="5BF561CA"/>
    <w:rsid w:val="5BFF5DFC"/>
    <w:rsid w:val="5CD71FC4"/>
    <w:rsid w:val="5D1F11B5"/>
    <w:rsid w:val="5D695134"/>
    <w:rsid w:val="5DAE1B18"/>
    <w:rsid w:val="5DE7D9E5"/>
    <w:rsid w:val="5E0E28CF"/>
    <w:rsid w:val="5ECEC941"/>
    <w:rsid w:val="5FBF9FF3"/>
    <w:rsid w:val="5FCD4E2C"/>
    <w:rsid w:val="5FEF394A"/>
    <w:rsid w:val="5FF67715"/>
    <w:rsid w:val="613913B9"/>
    <w:rsid w:val="616D1971"/>
    <w:rsid w:val="62BF3928"/>
    <w:rsid w:val="63B3701E"/>
    <w:rsid w:val="647F5392"/>
    <w:rsid w:val="64BB2B80"/>
    <w:rsid w:val="65E66580"/>
    <w:rsid w:val="664B1D71"/>
    <w:rsid w:val="664B4E8E"/>
    <w:rsid w:val="66BF1C4F"/>
    <w:rsid w:val="67277B67"/>
    <w:rsid w:val="67AA3209"/>
    <w:rsid w:val="698D0931"/>
    <w:rsid w:val="6A7FE5F3"/>
    <w:rsid w:val="6B053271"/>
    <w:rsid w:val="6BDD78B3"/>
    <w:rsid w:val="6C4A05C8"/>
    <w:rsid w:val="6C8742B8"/>
    <w:rsid w:val="6CF7664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432B21"/>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收入、支出决算情况表（单位：万元）</a:t>
            </a:r>
            <a:endParaRPr sz="9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1294.14</c:v>
                </c:pt>
                <c:pt idx="1">
                  <c:v>1294.14</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1291.16</c:v>
                </c:pt>
                <c:pt idx="1" c:formatCode="General">
                  <c:v>1291.16</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c4fcc1-a795-4dbd-8cb2-eda6671dbe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收入决算结构表（单位：万元）</a:t>
            </a:r>
            <a:endParaRPr sz="900"/>
          </a:p>
        </c:rich>
      </c:tx>
      <c:layout>
        <c:manualLayout>
          <c:xMode val="edge"/>
          <c:yMode val="edge"/>
          <c:x val="0.290833333333333"/>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7"/>
              <c:layout>
                <c:manualLayout>
                  <c:x val="0.098180449676538"/>
                  <c:y val="0.040040760766503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[图表.xlsx]Sheet1!$B$63:$B$70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[图表.xlsx]Sheet1!$C$63:$C$70</c:f>
              <c:numCache>
                <c:formatCode>General</c:formatCode>
                <c:ptCount val="8"/>
                <c:pt idx="0">
                  <c:v>1291.16</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9ac1bc-1f85-4b53-931b-f104e88d65bb}"/>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支出决算结构表（单位：万元）</a:t>
            </a:r>
            <a:endParaRPr sz="900"/>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8074656188605"/>
                  <c:y val="-0.2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48058182001427"/>
                  <c:y val="0.08546965204501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[图表.xlsx]Sheet1!$B$89:$B$90</c:f>
              <c:strCache>
                <c:ptCount val="2"/>
                <c:pt idx="0">
                  <c:v>基本支出</c:v>
                </c:pt>
                <c:pt idx="1">
                  <c:v>项目支出</c:v>
                </c:pt>
              </c:strCache>
            </c:strRef>
          </c:cat>
          <c:val>
            <c:numRef>
              <c:f>[图表.xlsx]Sheet1!$C$89:$C$90</c:f>
              <c:numCache>
                <c:formatCode>#,##0.00</c:formatCode>
                <c:ptCount val="2"/>
                <c:pt idx="0">
                  <c:v>1261.31</c:v>
                </c:pt>
                <c:pt idx="1" c:formatCode="General">
                  <c:v>29.85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6986120290813"/>
          <c:y val="0.903219063545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21e3dc-e474-4f6f-a3f0-c84f9f6038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财政拨款收入、支出决算情况表（单位：万元）</a:t>
            </a:r>
            <a:endParaRPr sz="900"/>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[图表.xlsx]Sheet1!$B$114</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[图表.xlsx]Sheet1!$C$113:$D$113</c:f>
              <c:strCache>
                <c:ptCount val="2"/>
                <c:pt idx="0">
                  <c:v>财政拨款收入</c:v>
                </c:pt>
                <c:pt idx="1">
                  <c:v>财政拨款支出</c:v>
                </c:pt>
              </c:strCache>
            </c:strRef>
          </c:cat>
          <c:val>
            <c:numRef>
              <c:f>[图表.xlsx]Sheet1!$C$114:$D$114</c:f>
              <c:numCache>
                <c:formatCode>#,##0.00</c:formatCode>
                <c:ptCount val="2"/>
                <c:pt idx="0">
                  <c:v>1294.14</c:v>
                </c:pt>
                <c:pt idx="1">
                  <c:v>1294.14</c:v>
                </c:pt>
              </c:numCache>
            </c:numRef>
          </c:val>
        </c:ser>
        <c:ser>
          <c:idx val="1"/>
          <c:order val="1"/>
          <c:tx>
            <c:strRef>
              <c:f>[图表.xlsx]Sheet1!$B$115</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[图表.xlsx]Sheet1!$C$113:$D$113</c:f>
              <c:strCache>
                <c:ptCount val="2"/>
                <c:pt idx="0">
                  <c:v>财政拨款收入</c:v>
                </c:pt>
                <c:pt idx="1">
                  <c:v>财政拨款支出</c:v>
                </c:pt>
              </c:strCache>
            </c:strRef>
          </c:cat>
          <c:val>
            <c:numRef>
              <c:f>[图表.xlsx]Sheet1!$C$115:$D$115</c:f>
              <c:numCache>
                <c:formatCode>#,##0.00</c:formatCode>
                <c:ptCount val="2"/>
                <c:pt idx="0">
                  <c:v>1291.16</c:v>
                </c:pt>
                <c:pt idx="1">
                  <c:v>1291.16</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a7671f-2e9a-4009-bb35-96f8e4b2b10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0" i="0" u="none" strike="noStrike" kern="1200" spc="0" baseline="0">
                <a:solidFill>
                  <a:schemeClr val="tx1">
                    <a:lumMod val="65000"/>
                    <a:lumOff val="35000"/>
                  </a:schemeClr>
                </a:solidFill>
                <a:latin typeface="+mn-lt"/>
                <a:ea typeface="+mn-ea"/>
                <a:cs typeface="+mn-cs"/>
              </a:defRPr>
            </a:pPr>
            <a:r>
              <a:rPr sz="1050"/>
              <a:t>一般公共预算财政拨款支出表决算情况表（单位：万元）</a:t>
            </a:r>
            <a:endParaRPr sz="1050"/>
          </a:p>
        </c:rich>
      </c:tx>
      <c:layout>
        <c:manualLayout>
          <c:xMode val="edge"/>
          <c:yMode val="edge"/>
          <c:x val="0.131842875052236"/>
          <c:y val="0.00510464522715671"/>
        </c:manualLayout>
      </c:layout>
      <c:overlay val="0"/>
      <c:spPr>
        <a:noFill/>
        <a:ln>
          <a:noFill/>
        </a:ln>
        <a:effectLst/>
      </c:spPr>
    </c:title>
    <c:autoTitleDeleted val="0"/>
    <c:plotArea>
      <c:layout/>
      <c:barChart>
        <c:barDir val="col"/>
        <c:grouping val="clustered"/>
        <c:varyColors val="0"/>
        <c:ser>
          <c:idx val="0"/>
          <c:order val="0"/>
          <c:tx>
            <c:strRef>
              <c:f>[图表.xlsx]Sheet1!$H$128</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[图表.xlsx]Sheet1!$I$127</c:f>
              <c:strCache>
                <c:ptCount val="1"/>
                <c:pt idx="0">
                  <c:v>一般公共预算财政拨款支出</c:v>
                </c:pt>
              </c:strCache>
            </c:strRef>
          </c:cat>
          <c:val>
            <c:numRef>
              <c:f>[图表.xlsx]Sheet1!$I$128</c:f>
              <c:numCache>
                <c:formatCode>#,##0.00</c:formatCode>
                <c:ptCount val="1"/>
                <c:pt idx="0">
                  <c:v>1294.14</c:v>
                </c:pt>
              </c:numCache>
            </c:numRef>
          </c:val>
        </c:ser>
        <c:ser>
          <c:idx val="1"/>
          <c:order val="1"/>
          <c:tx>
            <c:strRef>
              <c:f>[图表.xlsx]Sheet1!$H$129</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[图表.xlsx]Sheet1!$I$127</c:f>
              <c:strCache>
                <c:ptCount val="1"/>
                <c:pt idx="0">
                  <c:v>一般公共预算财政拨款支出</c:v>
                </c:pt>
              </c:strCache>
            </c:strRef>
          </c:cat>
          <c:val>
            <c:numRef>
              <c:f>[图表.xlsx]Sheet1!$I$129</c:f>
              <c:numCache>
                <c:formatCode>#,##0.00</c:formatCode>
                <c:ptCount val="1"/>
                <c:pt idx="0">
                  <c:v>1291.16</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1f0399-3c70-4c7a-9388-600235400f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功能支出决算结构图（单位：万元）</a:t>
            </a:r>
            <a:endParaRPr sz="900"/>
          </a:p>
        </c:rich>
      </c:tx>
      <c:layout>
        <c:manualLayout>
          <c:xMode val="edge"/>
          <c:yMode val="edge"/>
          <c:x val="0.246156962112593"/>
          <c:y val="0.0099585062240663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42362891734226"/>
                  <c:y val="0.0532341432213279"/>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967167251595086"/>
                  <c:y val="-0.0037839246315420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412613489538667"/>
                  <c:y val="-0.048473267807477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084303229693553"/>
                  <c:y val="0.098572039300777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4"/>
              <c:layout>
                <c:manualLayout>
                  <c:x val="-0.159429457184939"/>
                  <c:y val="0.04629309995076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5"/>
              <c:layout>
                <c:manualLayout>
                  <c:x val="-0.217085298172744"/>
                  <c:y val="0.067904864880291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6"/>
              <c:layout>
                <c:manualLayout>
                  <c:x val="-0.193490909692483"/>
                  <c:y val="0.036985593137169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[图表.xlsx]Sheet1!$B$245:$B$251</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[图表.xlsx]Sheet1!$C$245:$C$251</c:f>
              <c:numCache>
                <c:formatCode>#,##0.00</c:formatCode>
                <c:ptCount val="7"/>
                <c:pt idx="0">
                  <c:v>0</c:v>
                </c:pt>
                <c:pt idx="1" c:formatCode="General">
                  <c:v>873.59</c:v>
                </c:pt>
                <c:pt idx="2" c:formatCode="General">
                  <c:v>0</c:v>
                </c:pt>
                <c:pt idx="3" c:formatCode="General">
                  <c:v>0</c:v>
                </c:pt>
                <c:pt idx="4" c:formatCode="General">
                  <c:v>250.16</c:v>
                </c:pt>
                <c:pt idx="5" c:formatCode="General">
                  <c:v>86.74</c:v>
                </c:pt>
                <c:pt idx="6" c:formatCode="General">
                  <c:v>80.67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0d759c-d093-42f1-bc79-c138b8569d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5038</Words>
  <Characters>5477</Characters>
  <Lines>61</Lines>
  <Paragraphs>17</Paragraphs>
  <TotalTime>9</TotalTime>
  <ScaleCrop>false</ScaleCrop>
  <LinksUpToDate>false</LinksUpToDate>
  <CharactersWithSpaces>5547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阿淇</cp:lastModifiedBy>
  <cp:lastPrinted>2025-10-11T08:39:00Z</cp:lastPrinted>
  <dcterms:modified xsi:type="dcterms:W3CDTF">2025-10-28T01:26:19Z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222C98DBF4A84B9087499DAC40FCCF9E_13</vt:lpwstr>
  </property>
  <property fmtid="{D5CDD505-2E9C-101B-9397-08002B2CF9AE}" pid="4" name="KSOTemplateDocerSaveRecord">
    <vt:lpwstr>eyJoZGlkIjoiOGI1MTY4OTk2MzU4ZjdhYmQwMDg0OWY0ZTk2N2ZkOTAiLCJ1c2VySWQiOiI2NjE3NzA3MDEifQ==</vt:lpwstr>
  </property>
</Properties>
</file>