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rPr>
          <w:rFonts w:hint="default" w:ascii="Times New Roman" w:hAnsi="Times New Roman" w:eastAsia="方正小标宋简体" w:cs="Times New Roman"/>
          <w:color w:val="auto"/>
          <w:kern w:val="2"/>
          <w:sz w:val="72"/>
          <w:szCs w:val="72"/>
          <w:highlight w:val="none"/>
          <w:lang w:val="en-US" w:eastAsia="zh-CN" w:bidi="ar-SA"/>
        </w:rPr>
      </w:pPr>
    </w:p>
    <w:p>
      <w:pPr>
        <w:pStyle w:val="2"/>
        <w:spacing w:before="93"/>
        <w:rPr>
          <w:rFonts w:hint="default" w:ascii="Times New Roman" w:hAnsi="Times New Roman" w:eastAsia="方正小标宋简体" w:cs="Times New Roman"/>
          <w:kern w:val="2"/>
          <w:sz w:val="72"/>
          <w:szCs w:val="72"/>
        </w:rPr>
      </w:pPr>
    </w:p>
    <w:p>
      <w:pPr>
        <w:pStyle w:val="2"/>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2024年度</w:t>
      </w:r>
    </w:p>
    <w:p>
      <w:pPr>
        <w:pStyle w:val="2"/>
        <w:spacing w:before="93"/>
        <w:jc w:val="center"/>
        <w:rPr>
          <w:rFonts w:hint="default" w:ascii="Times New Roman" w:hAnsi="Times New Roman" w:eastAsia="方正小标宋简体" w:cs="Times New Roman"/>
          <w:kern w:val="2"/>
          <w:sz w:val="72"/>
          <w:szCs w:val="72"/>
          <w:lang w:val="en-US" w:eastAsia="zh-CN"/>
        </w:rPr>
      </w:pPr>
      <w:r>
        <w:rPr>
          <w:rFonts w:hint="default" w:ascii="Times New Roman" w:hAnsi="Times New Roman" w:eastAsia="方正小标宋简体" w:cs="Times New Roman"/>
          <w:kern w:val="2"/>
          <w:sz w:val="72"/>
          <w:szCs w:val="72"/>
        </w:rPr>
        <w:t>盐边县</w:t>
      </w:r>
      <w:r>
        <w:rPr>
          <w:rFonts w:hint="default" w:ascii="Times New Roman" w:hAnsi="Times New Roman" w:eastAsia="方正小标宋简体" w:cs="Times New Roman"/>
          <w:kern w:val="2"/>
          <w:sz w:val="72"/>
          <w:szCs w:val="72"/>
          <w:lang w:val="en-US" w:eastAsia="zh-CN"/>
        </w:rPr>
        <w:t>共和乡中心学校</w:t>
      </w:r>
    </w:p>
    <w:p>
      <w:pPr>
        <w:pStyle w:val="2"/>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单位决算公开</w:t>
      </w:r>
    </w:p>
    <w:p>
      <w:pPr>
        <w:spacing w:line="600" w:lineRule="exact"/>
        <w:jc w:val="center"/>
        <w:outlineLvl w:val="0"/>
        <w:rPr>
          <w:rFonts w:hint="default" w:ascii="Times New Roman" w:hAnsi="Times New Roman" w:eastAsia="方正小标宋简体" w:cs="Times New Roman"/>
          <w:sz w:val="72"/>
          <w:szCs w:val="72"/>
        </w:rPr>
      </w:pPr>
    </w:p>
    <w:p>
      <w:pPr>
        <w:pStyle w:val="19"/>
        <w:rPr>
          <w:rFonts w:hint="default" w:ascii="Times New Roman" w:hAnsi="Times New Roman" w:cs="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titlePg/>
          <w:docGrid w:type="lines" w:linePitch="312" w:charSpace="0"/>
        </w:sectPr>
      </w:pPr>
    </w:p>
    <w:p>
      <w:pPr>
        <w:rPr>
          <w:rFonts w:hint="default" w:ascii="Times New Roman" w:hAnsi="Times New Roman" w:cs="Times New Roman"/>
        </w:rPr>
      </w:pPr>
    </w:p>
    <w:sdt>
      <w:sdtPr>
        <w:rPr>
          <w:rFonts w:hint="eastAsia" w:ascii="Times New Roman" w:hAnsi="Times New Roman" w:eastAsia="宋体" w:cs="Times New Roman"/>
          <w:kern w:val="2"/>
          <w:sz w:val="48"/>
          <w:szCs w:val="48"/>
          <w:lang w:val="en-US" w:eastAsia="zh-CN" w:bidi="ar-SA"/>
        </w:rPr>
        <w:id w:val="147469313"/>
        <w:docPartObj>
          <w:docPartGallery w:val="Table of Contents"/>
          <w:docPartUnique/>
        </w:docPartObj>
      </w:sdtPr>
      <w:sdtEndPr>
        <w:rPr>
          <w:rFonts w:hint="eastAsia" w:ascii="黑体" w:hAnsi="黑体" w:eastAsia="黑体" w:cs="黑体"/>
          <w:sz w:val="21"/>
          <w:szCs w:val="21"/>
        </w:rPr>
      </w:sdtEndPr>
      <w:sdtContent>
        <w:p>
          <w:pPr>
            <w:widowControl/>
            <w:jc w:val="center"/>
            <w:rPr>
              <w:rFonts w:hint="eastAsia" w:ascii="Times New Roman" w:hAnsi="Times New Roman" w:eastAsia="宋体" w:cs="Times New Roman"/>
              <w:kern w:val="2"/>
              <w:sz w:val="48"/>
              <w:szCs w:val="48"/>
              <w:lang w:bidi="ar-SA"/>
            </w:rPr>
          </w:pPr>
          <w:bookmarkStart w:id="0" w:name="_Toc24262_WPSOffice_Type2"/>
          <w:r>
            <w:rPr>
              <w:rFonts w:hint="eastAsia" w:ascii="Times New Roman" w:hAnsi="Times New Roman" w:eastAsia="宋体" w:cs="Times New Roman"/>
              <w:kern w:val="2"/>
              <w:sz w:val="48"/>
              <w:szCs w:val="48"/>
              <w:lang w:bidi="ar-SA"/>
            </w:rPr>
            <w:t>目录</w:t>
          </w:r>
        </w:p>
        <w:p>
          <w:pPr>
            <w:pStyle w:val="12"/>
            <w:jc w:val="center"/>
            <w:rPr>
              <w:rFonts w:hint="eastAsia"/>
              <w:lang/>
            </w:rPr>
          </w:pPr>
          <w:r>
            <w:rPr>
              <w:rFonts w:hint="eastAsia" w:ascii="Times New Roman" w:hAnsi="Times New Roman" w:eastAsia="仿宋_GB2312" w:cs="仿宋_GB2312"/>
            </w:rPr>
            <w:t>公开时间：2025年10月</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日</w:t>
          </w:r>
          <w:bookmarkStart w:id="149" w:name="_GoBack"/>
          <w:bookmarkEnd w:id="149"/>
        </w:p>
        <w:p>
          <w:pPr>
            <w:pStyle w:val="36"/>
            <w:tabs>
              <w:tab w:val="right" w:leader="dot" w:pos="8306"/>
            </w:tabs>
          </w:pPr>
          <w:r>
            <w:rPr>
              <w:b/>
              <w:bCs/>
            </w:rPr>
            <w:fldChar w:fldCharType="begin"/>
          </w:r>
          <w:r>
            <w:instrText xml:space="preserve"> HYPERLINK \l _Toc1_WPSOffice_Level1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9313"/>
              <w:placeholder>
                <w:docPart w:val="{aa90a895-c769-46c2-8e08-39edde8738f2}"/>
              </w:placeholder>
            </w:sdtPr>
            <w:sdtEndPr>
              <w:rPr>
                <w:rFonts w:hint="eastAsia" w:ascii="方正小标宋_GBK" w:hAnsi="方正小标宋_GBK" w:eastAsia="方正小标宋_GBK" w:cs="方正小标宋_GBK"/>
                <w:b/>
                <w:bCs/>
                <w:kern w:val="2"/>
                <w:sz w:val="28"/>
                <w:szCs w:val="28"/>
                <w:lang w:val="en-US" w:eastAsia="zh-CN" w:bidi="ar-SA"/>
              </w:rPr>
            </w:sdtEndPr>
            <w:sdtContent>
              <w:r>
                <w:rPr>
                  <w:rFonts w:hint="eastAsia" w:ascii="方正小标宋_GBK" w:hAnsi="方正小标宋_GBK" w:eastAsia="方正小标宋_GBK" w:cs="方正小标宋_GBK"/>
                  <w:b/>
                  <w:bCs/>
                  <w:sz w:val="28"/>
                  <w:szCs w:val="28"/>
                </w:rPr>
                <w:t>第一部分  单位概况</w:t>
              </w:r>
            </w:sdtContent>
          </w:sdt>
          <w:r>
            <w:rPr>
              <w:rFonts w:hint="eastAsia" w:ascii="方正小标宋_GBK" w:hAnsi="方正小标宋_GBK" w:eastAsia="方正小标宋_GBK" w:cs="方正小标宋_GBK"/>
              <w:b/>
              <w:bCs/>
              <w:sz w:val="28"/>
              <w:szCs w:val="28"/>
            </w:rPr>
            <w:tab/>
          </w:r>
          <w:bookmarkStart w:id="1" w:name="_Toc1_WPSOffice_Level1Page"/>
          <w:r>
            <w:rPr>
              <w:rFonts w:hint="eastAsia" w:ascii="方正小标宋_GBK" w:hAnsi="方正小标宋_GBK" w:eastAsia="方正小标宋_GBK" w:cs="方正小标宋_GBK"/>
              <w:b/>
              <w:bCs/>
              <w:sz w:val="28"/>
              <w:szCs w:val="28"/>
            </w:rPr>
            <w:t>2</w:t>
          </w:r>
          <w:bookmarkEnd w:id="1"/>
          <w:r>
            <w:rPr>
              <w:b/>
              <w:bCs/>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_Toc24262_WPSOffice_Level2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4f99cf34-aa07-4c11-9737-f92c39242788}"/>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一、 主要职责</w:t>
              </w:r>
            </w:sdtContent>
          </w:sdt>
          <w:r>
            <w:rPr>
              <w:rFonts w:hint="eastAsia" w:ascii="黑体" w:hAnsi="黑体" w:eastAsia="黑体" w:cs="黑体"/>
              <w:sz w:val="21"/>
              <w:szCs w:val="21"/>
            </w:rPr>
            <w:tab/>
          </w:r>
          <w:bookmarkStart w:id="2" w:name="_Toc24262_WPSOffice_Level2Page"/>
          <w:r>
            <w:rPr>
              <w:rFonts w:hint="eastAsia" w:ascii="黑体" w:hAnsi="黑体" w:eastAsia="黑体" w:cs="黑体"/>
              <w:sz w:val="21"/>
              <w:szCs w:val="21"/>
            </w:rPr>
            <w:t>2</w:t>
          </w:r>
          <w:bookmarkEnd w:id="2"/>
          <w:r>
            <w:rPr>
              <w:rFonts w:hint="eastAsia" w:ascii="黑体" w:hAnsi="黑体" w:eastAsia="黑体" w:cs="黑体"/>
              <w:sz w:val="21"/>
              <w:szCs w:val="21"/>
            </w:rPr>
            <w:fldChar w:fldCharType="end"/>
          </w:r>
        </w:p>
        <w:p>
          <w:pPr>
            <w:pStyle w:val="37"/>
            <w:tabs>
              <w:tab w:val="right" w:leader="dot" w:pos="8306"/>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_Toc22166_WPSOffice_Level2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db870f5a-0dda-4747-9b4f-cf92e0a1481c}"/>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二、 机构设置</w:t>
              </w:r>
            </w:sdtContent>
          </w:sdt>
          <w:r>
            <w:rPr>
              <w:rFonts w:hint="eastAsia" w:ascii="黑体" w:hAnsi="黑体" w:eastAsia="黑体" w:cs="黑体"/>
              <w:sz w:val="21"/>
              <w:szCs w:val="21"/>
            </w:rPr>
            <w:tab/>
          </w:r>
          <w:bookmarkStart w:id="3" w:name="_Toc22166_WPSOffice_Level2Page"/>
          <w:r>
            <w:rPr>
              <w:rFonts w:hint="eastAsia" w:ascii="黑体" w:hAnsi="黑体" w:eastAsia="黑体" w:cs="黑体"/>
              <w:sz w:val="21"/>
              <w:szCs w:val="21"/>
            </w:rPr>
            <w:t>2</w:t>
          </w:r>
          <w:bookmarkEnd w:id="3"/>
          <w:r>
            <w:rPr>
              <w:rFonts w:hint="eastAsia" w:ascii="黑体" w:hAnsi="黑体" w:eastAsia="黑体" w:cs="黑体"/>
              <w:sz w:val="21"/>
              <w:szCs w:val="21"/>
            </w:rPr>
            <w:fldChar w:fldCharType="end"/>
          </w:r>
        </w:p>
        <w:p>
          <w:pPr>
            <w:pStyle w:val="36"/>
            <w:tabs>
              <w:tab w:val="right" w:leader="dot" w:pos="8306"/>
            </w:tabs>
          </w:pPr>
          <w:r>
            <w:rPr>
              <w:b/>
              <w:bCs/>
            </w:rPr>
            <w:fldChar w:fldCharType="begin"/>
          </w:r>
          <w:r>
            <w:instrText xml:space="preserve"> HYPERLINK \l _Toc24262_WPSOffice_Level1 </w:instrText>
          </w:r>
          <w:r>
            <w:rPr>
              <w:b/>
              <w:bCs/>
            </w:rPr>
            <w:fldChar w:fldCharType="separate"/>
          </w:r>
          <w:sdt>
            <w:sdtPr>
              <w:rPr>
                <w:rFonts w:ascii="Times New Roman" w:hAnsi="Times New Roman" w:eastAsia="宋体" w:cs="Times New Roman"/>
                <w:b/>
                <w:bCs/>
                <w:kern w:val="2"/>
                <w:sz w:val="21"/>
                <w:szCs w:val="24"/>
                <w:lang w:val="en-US" w:eastAsia="zh-CN" w:bidi="ar-SA"/>
              </w:rPr>
              <w:id w:val="147469313"/>
              <w:placeholder>
                <w:docPart w:val="{3aad3c28-d548-4161-ad4c-da689f68c2c1}"/>
              </w:placeholder>
            </w:sdtPr>
            <w:sdtEndPr>
              <w:rPr>
                <w:rFonts w:hint="eastAsia" w:ascii="方正小标宋_GBK" w:hAnsi="方正小标宋_GBK" w:eastAsia="方正小标宋_GBK" w:cs="方正小标宋_GBK"/>
                <w:b/>
                <w:bCs/>
                <w:sz w:val="28"/>
                <w:szCs w:val="28"/>
                <w:lang w:val="en-US" w:eastAsia="zh-CN"/>
              </w:rPr>
            </w:sdtEndPr>
            <w:sdtContent>
              <w:r>
                <w:rPr>
                  <w:rFonts w:hint="default" w:ascii="方正小标宋_GBK" w:hAnsi="方正小标宋_GBK" w:eastAsia="方正小标宋_GBK" w:cs="方正小标宋_GBK"/>
                  <w:b/>
                  <w:bCs/>
                  <w:sz w:val="28"/>
                  <w:szCs w:val="28"/>
                </w:rPr>
                <w:t>第二部分  2024年度部门决算情况说明</w:t>
              </w:r>
            </w:sdtContent>
          </w:sdt>
          <w:r>
            <w:rPr>
              <w:rFonts w:hint="eastAsia" w:ascii="方正小标宋_GBK" w:hAnsi="方正小标宋_GBK" w:eastAsia="方正小标宋_GBK" w:cs="方正小标宋_GBK"/>
              <w:b/>
              <w:bCs/>
              <w:sz w:val="28"/>
              <w:szCs w:val="28"/>
            </w:rPr>
            <w:tab/>
          </w:r>
          <w:bookmarkStart w:id="4" w:name="_Toc24262_WPSOffice_Level1Page"/>
          <w:r>
            <w:rPr>
              <w:rFonts w:hint="eastAsia" w:ascii="方正小标宋_GBK" w:hAnsi="方正小标宋_GBK" w:eastAsia="方正小标宋_GBK" w:cs="方正小标宋_GBK"/>
              <w:b/>
              <w:bCs/>
              <w:sz w:val="28"/>
              <w:szCs w:val="28"/>
            </w:rPr>
            <w:t>3</w:t>
          </w:r>
          <w:bookmarkEnd w:id="4"/>
          <w:r>
            <w:rPr>
              <w:b/>
              <w:bCs/>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_Toc29794_WPSOffice_Level2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fc578233-fbf0-4c69-80a4-6647edde0268}"/>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一、收入支出决算总体情况说明</w:t>
              </w:r>
            </w:sdtContent>
          </w:sdt>
          <w:r>
            <w:rPr>
              <w:rFonts w:hint="eastAsia" w:ascii="黑体" w:hAnsi="黑体" w:eastAsia="黑体" w:cs="黑体"/>
              <w:sz w:val="21"/>
              <w:szCs w:val="21"/>
            </w:rPr>
            <w:tab/>
          </w:r>
          <w:bookmarkStart w:id="5" w:name="_Toc29794_WPSOffice_Level2Page"/>
          <w:r>
            <w:rPr>
              <w:rFonts w:hint="eastAsia" w:ascii="黑体" w:hAnsi="黑体" w:eastAsia="黑体" w:cs="黑体"/>
              <w:sz w:val="21"/>
              <w:szCs w:val="21"/>
            </w:rPr>
            <w:t>3</w:t>
          </w:r>
          <w:bookmarkEnd w:id="5"/>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_Toc28216_WPSOffice_Level2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8794131c-e46b-46ec-982e-dc6c6321e693}"/>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二、收入决算情况说明</w:t>
              </w:r>
            </w:sdtContent>
          </w:sdt>
          <w:r>
            <w:rPr>
              <w:rFonts w:hint="eastAsia" w:ascii="黑体" w:hAnsi="黑体" w:eastAsia="黑体" w:cs="黑体"/>
              <w:sz w:val="21"/>
              <w:szCs w:val="21"/>
            </w:rPr>
            <w:tab/>
          </w:r>
          <w:bookmarkStart w:id="6" w:name="_Toc28216_WPSOffice_Level2Page"/>
          <w:r>
            <w:rPr>
              <w:rFonts w:hint="eastAsia" w:ascii="黑体" w:hAnsi="黑体" w:eastAsia="黑体" w:cs="黑体"/>
              <w:sz w:val="21"/>
              <w:szCs w:val="21"/>
            </w:rPr>
            <w:t>3</w:t>
          </w:r>
          <w:bookmarkEnd w:id="6"/>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_Toc7730_WPSOffice_Level2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385b5914-695b-4e1c-b55d-fdd7a1afa8cc}"/>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三、支出决算情况说明</w:t>
              </w:r>
            </w:sdtContent>
          </w:sdt>
          <w:r>
            <w:rPr>
              <w:rFonts w:hint="eastAsia" w:ascii="黑体" w:hAnsi="黑体" w:eastAsia="黑体" w:cs="黑体"/>
              <w:sz w:val="21"/>
              <w:szCs w:val="21"/>
            </w:rPr>
            <w:tab/>
          </w:r>
          <w:bookmarkStart w:id="7" w:name="_Toc7730_WPSOffice_Level2Page"/>
          <w:r>
            <w:rPr>
              <w:rFonts w:hint="eastAsia" w:ascii="黑体" w:hAnsi="黑体" w:eastAsia="黑体" w:cs="黑体"/>
              <w:sz w:val="21"/>
              <w:szCs w:val="21"/>
            </w:rPr>
            <w:t>4</w:t>
          </w:r>
          <w:bookmarkEnd w:id="7"/>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_Toc12353_WPSOffice_Level2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b7f07575-d559-4b7e-aa27-af7677e3774d}"/>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四、财政拨款收入支出决算总体情况说明</w:t>
              </w:r>
            </w:sdtContent>
          </w:sdt>
          <w:r>
            <w:rPr>
              <w:rFonts w:hint="eastAsia" w:ascii="黑体" w:hAnsi="黑体" w:eastAsia="黑体" w:cs="黑体"/>
              <w:sz w:val="21"/>
              <w:szCs w:val="21"/>
            </w:rPr>
            <w:tab/>
          </w:r>
          <w:bookmarkStart w:id="8" w:name="_Toc12353_WPSOffice_Level2Page"/>
          <w:r>
            <w:rPr>
              <w:rFonts w:hint="eastAsia" w:ascii="黑体" w:hAnsi="黑体" w:eastAsia="黑体" w:cs="黑体"/>
              <w:sz w:val="21"/>
              <w:szCs w:val="21"/>
            </w:rPr>
            <w:t>5</w:t>
          </w:r>
          <w:bookmarkEnd w:id="8"/>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_Toc25805_WPSOffice_Level2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926bc637-fc44-4e1d-8af6-f01a0bbdfc86}"/>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五、一般公共预算财政拨款支出决算情况说明</w:t>
              </w:r>
            </w:sdtContent>
          </w:sdt>
          <w:r>
            <w:rPr>
              <w:rFonts w:hint="eastAsia" w:ascii="黑体" w:hAnsi="黑体" w:eastAsia="黑体" w:cs="黑体"/>
              <w:sz w:val="21"/>
              <w:szCs w:val="21"/>
            </w:rPr>
            <w:tab/>
          </w:r>
          <w:bookmarkStart w:id="9" w:name="_Toc25805_WPSOffice_Level2Page"/>
          <w:r>
            <w:rPr>
              <w:rFonts w:hint="eastAsia" w:ascii="黑体" w:hAnsi="黑体" w:eastAsia="黑体" w:cs="黑体"/>
              <w:sz w:val="21"/>
              <w:szCs w:val="21"/>
            </w:rPr>
            <w:t>5</w:t>
          </w:r>
          <w:bookmarkEnd w:id="9"/>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_Toc21737_WPSOffice_Level2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1ba3fe2b-3e4e-4e01-bf05-45b261517198}"/>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六、一般公共预算财政拨款基本支出决算情况说明</w:t>
              </w:r>
            </w:sdtContent>
          </w:sdt>
          <w:r>
            <w:rPr>
              <w:rFonts w:hint="eastAsia" w:ascii="黑体" w:hAnsi="黑体" w:eastAsia="黑体" w:cs="黑体"/>
              <w:sz w:val="21"/>
              <w:szCs w:val="21"/>
            </w:rPr>
            <w:tab/>
          </w:r>
          <w:bookmarkStart w:id="10" w:name="_Toc21737_WPSOffice_Level2Page"/>
          <w:r>
            <w:rPr>
              <w:rFonts w:hint="eastAsia" w:ascii="黑体" w:hAnsi="黑体" w:eastAsia="黑体" w:cs="黑体"/>
              <w:sz w:val="21"/>
              <w:szCs w:val="21"/>
            </w:rPr>
            <w:t>8</w:t>
          </w:r>
          <w:bookmarkEnd w:id="10"/>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_Toc12678_WPSOffice_Level2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8467e00a-83bf-4c17-bb33-36daa8ddef4e}"/>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七、财政拨款“三公”经费支出决算情况说明</w:t>
              </w:r>
            </w:sdtContent>
          </w:sdt>
          <w:r>
            <w:rPr>
              <w:rFonts w:hint="eastAsia" w:ascii="黑体" w:hAnsi="黑体" w:eastAsia="黑体" w:cs="黑体"/>
              <w:sz w:val="21"/>
              <w:szCs w:val="21"/>
            </w:rPr>
            <w:tab/>
          </w:r>
          <w:bookmarkStart w:id="11" w:name="_Toc12678_WPSOffice_Level2Page"/>
          <w:r>
            <w:rPr>
              <w:rFonts w:hint="eastAsia" w:ascii="黑体" w:hAnsi="黑体" w:eastAsia="黑体" w:cs="黑体"/>
              <w:sz w:val="21"/>
              <w:szCs w:val="21"/>
            </w:rPr>
            <w:t>8</w:t>
          </w:r>
          <w:bookmarkEnd w:id="11"/>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_Toc21070_WPSOffice_Level2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7cca6b03-1c73-4c40-9bd8-c7e233f44009}"/>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八、政府性基金预算支出决算情况说明</w:t>
              </w:r>
            </w:sdtContent>
          </w:sdt>
          <w:r>
            <w:rPr>
              <w:rFonts w:hint="eastAsia" w:ascii="黑体" w:hAnsi="黑体" w:eastAsia="黑体" w:cs="黑体"/>
              <w:sz w:val="21"/>
              <w:szCs w:val="21"/>
            </w:rPr>
            <w:tab/>
          </w:r>
          <w:bookmarkStart w:id="12" w:name="_Toc21070_WPSOffice_Level2Page"/>
          <w:r>
            <w:rPr>
              <w:rFonts w:hint="eastAsia" w:ascii="黑体" w:hAnsi="黑体" w:eastAsia="黑体" w:cs="黑体"/>
              <w:sz w:val="21"/>
              <w:szCs w:val="21"/>
            </w:rPr>
            <w:t>9</w:t>
          </w:r>
          <w:bookmarkEnd w:id="12"/>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_Toc21452_WPSOffice_Level2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4f577416-a641-4f35-9c98-d29c50b5f9f5}"/>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九、国有资本经营预算支出决算情况说明</w:t>
              </w:r>
            </w:sdtContent>
          </w:sdt>
          <w:r>
            <w:rPr>
              <w:rFonts w:hint="eastAsia" w:ascii="黑体" w:hAnsi="黑体" w:eastAsia="黑体" w:cs="黑体"/>
              <w:sz w:val="21"/>
              <w:szCs w:val="21"/>
            </w:rPr>
            <w:tab/>
          </w:r>
          <w:bookmarkStart w:id="13" w:name="_Toc21452_WPSOffice_Level2Page"/>
          <w:r>
            <w:rPr>
              <w:rFonts w:hint="eastAsia" w:ascii="黑体" w:hAnsi="黑体" w:eastAsia="黑体" w:cs="黑体"/>
              <w:sz w:val="21"/>
              <w:szCs w:val="21"/>
            </w:rPr>
            <w:t>9</w:t>
          </w:r>
          <w:bookmarkEnd w:id="13"/>
          <w:r>
            <w:rPr>
              <w:rFonts w:hint="eastAsia" w:ascii="黑体" w:hAnsi="黑体" w:eastAsia="黑体" w:cs="黑体"/>
              <w:sz w:val="21"/>
              <w:szCs w:val="21"/>
            </w:rPr>
            <w:fldChar w:fldCharType="end"/>
          </w:r>
        </w:p>
        <w:p>
          <w:pPr>
            <w:pStyle w:val="37"/>
            <w:tabs>
              <w:tab w:val="right" w:leader="dot" w:pos="8306"/>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_Toc19648_WPSOffice_Level2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27e4f46d-8b23-4144-994a-320fc4ae911f}"/>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十、其他重要事项的情况说明</w:t>
              </w:r>
            </w:sdtContent>
          </w:sdt>
          <w:r>
            <w:rPr>
              <w:rFonts w:hint="eastAsia" w:ascii="黑体" w:hAnsi="黑体" w:eastAsia="黑体" w:cs="黑体"/>
              <w:sz w:val="21"/>
              <w:szCs w:val="21"/>
            </w:rPr>
            <w:tab/>
          </w:r>
          <w:bookmarkStart w:id="14" w:name="_Toc19648_WPSOffice_Level2Page"/>
          <w:r>
            <w:rPr>
              <w:rFonts w:hint="eastAsia" w:ascii="黑体" w:hAnsi="黑体" w:eastAsia="黑体" w:cs="黑体"/>
              <w:sz w:val="21"/>
              <w:szCs w:val="21"/>
            </w:rPr>
            <w:t>10</w:t>
          </w:r>
          <w:bookmarkEnd w:id="14"/>
          <w:r>
            <w:rPr>
              <w:rFonts w:hint="eastAsia" w:ascii="黑体" w:hAnsi="黑体" w:eastAsia="黑体" w:cs="黑体"/>
              <w:sz w:val="21"/>
              <w:szCs w:val="21"/>
            </w:rPr>
            <w:fldChar w:fldCharType="end"/>
          </w:r>
        </w:p>
        <w:p>
          <w:pPr>
            <w:pStyle w:val="36"/>
            <w:tabs>
              <w:tab w:val="right" w:leader="dot" w:pos="8306"/>
            </w:tabs>
            <w:rPr>
              <w:rFonts w:hint="default" w:ascii="方正小标宋_GBK" w:hAnsi="方正小标宋_GBK" w:eastAsia="方正小标宋_GBK" w:cs="方正小标宋_GBK"/>
              <w:b/>
              <w:bCs/>
              <w:sz w:val="28"/>
              <w:szCs w:val="28"/>
            </w:rPr>
          </w:pPr>
          <w:r>
            <w:rPr>
              <w:rFonts w:hint="default" w:ascii="方正小标宋_GBK" w:hAnsi="方正小标宋_GBK" w:eastAsia="方正小标宋_GBK" w:cs="方正小标宋_GBK"/>
              <w:b/>
              <w:bCs/>
              <w:sz w:val="28"/>
              <w:szCs w:val="28"/>
            </w:rPr>
            <w:fldChar w:fldCharType="begin"/>
          </w:r>
          <w:r>
            <w:rPr>
              <w:rFonts w:hint="default" w:ascii="方正小标宋_GBK" w:hAnsi="方正小标宋_GBK" w:eastAsia="方正小标宋_GBK" w:cs="方正小标宋_GBK"/>
              <w:b/>
              <w:bCs/>
              <w:sz w:val="28"/>
              <w:szCs w:val="28"/>
            </w:rPr>
            <w:instrText xml:space="preserve"> HYPERLINK \l _Toc22166_WPSOffice_Level1 </w:instrText>
          </w:r>
          <w:r>
            <w:rPr>
              <w:rFonts w:hint="default" w:ascii="方正小标宋_GBK" w:hAnsi="方正小标宋_GBK" w:eastAsia="方正小标宋_GBK" w:cs="方正小标宋_GBK"/>
              <w:b/>
              <w:bCs/>
              <w:sz w:val="28"/>
              <w:szCs w:val="28"/>
            </w:rPr>
            <w:fldChar w:fldCharType="separate"/>
          </w:r>
          <w:sdt>
            <w:sdtPr>
              <w:rPr>
                <w:rFonts w:hint="default" w:ascii="方正小标宋_GBK" w:hAnsi="方正小标宋_GBK" w:eastAsia="方正小标宋_GBK" w:cs="方正小标宋_GBK"/>
                <w:b/>
                <w:bCs/>
                <w:sz w:val="28"/>
                <w:szCs w:val="28"/>
                <w:lang w:val="en-US" w:eastAsia="zh-CN"/>
              </w:rPr>
              <w:id w:val="147469313"/>
              <w:placeholder>
                <w:docPart w:val="{99629cb5-6ad2-476a-b7ac-37d13711144b}"/>
              </w:placeholder>
            </w:sdtPr>
            <w:sdtEndPr>
              <w:rPr>
                <w:rFonts w:hint="default" w:ascii="方正小标宋_GBK" w:hAnsi="方正小标宋_GBK" w:eastAsia="方正小标宋_GBK" w:cs="方正小标宋_GBK"/>
                <w:b/>
                <w:bCs/>
                <w:sz w:val="28"/>
                <w:szCs w:val="28"/>
                <w:lang w:val="en-US" w:eastAsia="zh-CN"/>
              </w:rPr>
            </w:sdtEndPr>
            <w:sdtContent>
              <w:r>
                <w:rPr>
                  <w:rFonts w:hint="default" w:ascii="方正小标宋_GBK" w:hAnsi="方正小标宋_GBK" w:eastAsia="方正小标宋_GBK" w:cs="方正小标宋_GBK"/>
                  <w:b/>
                  <w:bCs/>
                  <w:sz w:val="28"/>
                  <w:szCs w:val="28"/>
                </w:rPr>
                <w:t>第三部分  名词解释</w:t>
              </w:r>
            </w:sdtContent>
          </w:sdt>
          <w:r>
            <w:rPr>
              <w:rFonts w:hint="default" w:ascii="方正小标宋_GBK" w:hAnsi="方正小标宋_GBK" w:eastAsia="方正小标宋_GBK" w:cs="方正小标宋_GBK"/>
              <w:b/>
              <w:bCs/>
              <w:sz w:val="28"/>
              <w:szCs w:val="28"/>
            </w:rPr>
            <w:tab/>
          </w:r>
          <w:bookmarkStart w:id="15" w:name="_Toc22166_WPSOffice_Level1Page"/>
          <w:r>
            <w:rPr>
              <w:rFonts w:hint="default" w:ascii="方正小标宋_GBK" w:hAnsi="方正小标宋_GBK" w:eastAsia="方正小标宋_GBK" w:cs="方正小标宋_GBK"/>
              <w:b/>
              <w:bCs/>
              <w:sz w:val="28"/>
              <w:szCs w:val="28"/>
            </w:rPr>
            <w:t>11</w:t>
          </w:r>
          <w:bookmarkEnd w:id="15"/>
          <w:r>
            <w:rPr>
              <w:rFonts w:hint="default" w:ascii="方正小标宋_GBK" w:hAnsi="方正小标宋_GBK" w:eastAsia="方正小标宋_GBK" w:cs="方正小标宋_GBK"/>
              <w:b/>
              <w:bCs/>
              <w:sz w:val="28"/>
              <w:szCs w:val="28"/>
            </w:rPr>
            <w:fldChar w:fldCharType="end"/>
          </w:r>
        </w:p>
        <w:p>
          <w:pPr>
            <w:pStyle w:val="36"/>
            <w:tabs>
              <w:tab w:val="right" w:leader="dot" w:pos="8306"/>
            </w:tabs>
          </w:pPr>
          <w:r>
            <w:rPr>
              <w:rFonts w:hint="default" w:ascii="方正小标宋_GBK" w:hAnsi="方正小标宋_GBK" w:eastAsia="方正小标宋_GBK" w:cs="方正小标宋_GBK"/>
              <w:b/>
              <w:bCs/>
              <w:sz w:val="28"/>
              <w:szCs w:val="28"/>
            </w:rPr>
            <w:fldChar w:fldCharType="begin"/>
          </w:r>
          <w:r>
            <w:rPr>
              <w:rFonts w:hint="default" w:ascii="方正小标宋_GBK" w:hAnsi="方正小标宋_GBK" w:eastAsia="方正小标宋_GBK" w:cs="方正小标宋_GBK"/>
              <w:b/>
              <w:bCs/>
              <w:sz w:val="28"/>
              <w:szCs w:val="28"/>
            </w:rPr>
            <w:instrText xml:space="preserve"> HYPERLINK \l _Toc29794_WPSOffice_Level1 </w:instrText>
          </w:r>
          <w:r>
            <w:rPr>
              <w:rFonts w:hint="default" w:ascii="方正小标宋_GBK" w:hAnsi="方正小标宋_GBK" w:eastAsia="方正小标宋_GBK" w:cs="方正小标宋_GBK"/>
              <w:b/>
              <w:bCs/>
              <w:sz w:val="28"/>
              <w:szCs w:val="28"/>
            </w:rPr>
            <w:fldChar w:fldCharType="separate"/>
          </w:r>
          <w:sdt>
            <w:sdtPr>
              <w:rPr>
                <w:rFonts w:hint="default" w:ascii="方正小标宋_GBK" w:hAnsi="方正小标宋_GBK" w:eastAsia="方正小标宋_GBK" w:cs="方正小标宋_GBK"/>
                <w:b/>
                <w:bCs/>
                <w:sz w:val="28"/>
                <w:szCs w:val="28"/>
                <w:lang w:val="en-US" w:eastAsia="zh-CN"/>
              </w:rPr>
              <w:id w:val="147469313"/>
              <w:placeholder>
                <w:docPart w:val="{49f345d9-f017-4cce-a6ab-dab6e32fe8de}"/>
              </w:placeholder>
            </w:sdtPr>
            <w:sdtEndPr>
              <w:rPr>
                <w:rFonts w:hint="default" w:ascii="方正小标宋_GBK" w:hAnsi="方正小标宋_GBK" w:eastAsia="方正小标宋_GBK" w:cs="方正小标宋_GBK"/>
                <w:b/>
                <w:bCs/>
                <w:sz w:val="28"/>
                <w:szCs w:val="28"/>
                <w:lang w:val="en-US" w:eastAsia="zh-CN"/>
              </w:rPr>
            </w:sdtEndPr>
            <w:sdtContent>
              <w:r>
                <w:rPr>
                  <w:rFonts w:hint="default" w:ascii="方正小标宋_GBK" w:hAnsi="方正小标宋_GBK" w:eastAsia="方正小标宋_GBK" w:cs="方正小标宋_GBK"/>
                  <w:b/>
                  <w:bCs/>
                  <w:sz w:val="28"/>
                  <w:szCs w:val="28"/>
                </w:rPr>
                <w:t>第四部分 附件</w:t>
              </w:r>
            </w:sdtContent>
          </w:sdt>
          <w:r>
            <w:rPr>
              <w:rFonts w:hint="default" w:ascii="方正小标宋_GBK" w:hAnsi="方正小标宋_GBK" w:eastAsia="方正小标宋_GBK" w:cs="方正小标宋_GBK"/>
              <w:b/>
              <w:bCs/>
              <w:sz w:val="28"/>
              <w:szCs w:val="28"/>
            </w:rPr>
            <w:tab/>
          </w:r>
          <w:bookmarkStart w:id="16" w:name="_Toc29794_WPSOffice_Level1Page"/>
          <w:r>
            <w:rPr>
              <w:rFonts w:hint="default" w:ascii="方正小标宋_GBK" w:hAnsi="方正小标宋_GBK" w:eastAsia="方正小标宋_GBK" w:cs="方正小标宋_GBK"/>
              <w:b/>
              <w:bCs/>
              <w:sz w:val="28"/>
              <w:szCs w:val="28"/>
            </w:rPr>
            <w:t>14</w:t>
          </w:r>
          <w:bookmarkEnd w:id="16"/>
          <w:r>
            <w:rPr>
              <w:rFonts w:hint="default" w:ascii="方正小标宋_GBK" w:hAnsi="方正小标宋_GBK" w:eastAsia="方正小标宋_GBK" w:cs="方正小标宋_GBK"/>
              <w:b/>
              <w:bCs/>
              <w:sz w:val="28"/>
              <w:szCs w:val="28"/>
            </w:rPr>
            <w:fldChar w:fldCharType="end"/>
          </w:r>
        </w:p>
        <w:p>
          <w:pPr>
            <w:pStyle w:val="36"/>
            <w:tabs>
              <w:tab w:val="right" w:leader="dot" w:pos="8306"/>
            </w:tabs>
            <w:rPr>
              <w:rFonts w:hint="default" w:ascii="方正小标宋_GBK" w:hAnsi="方正小标宋_GBK" w:eastAsia="方正小标宋_GBK" w:cs="方正小标宋_GBK"/>
              <w:b/>
              <w:bCs/>
              <w:sz w:val="28"/>
              <w:szCs w:val="28"/>
            </w:rPr>
          </w:pPr>
          <w:r>
            <w:rPr>
              <w:rFonts w:hint="default" w:ascii="方正小标宋_GBK" w:hAnsi="方正小标宋_GBK" w:eastAsia="方正小标宋_GBK" w:cs="方正小标宋_GBK"/>
              <w:b/>
              <w:bCs/>
              <w:sz w:val="28"/>
              <w:szCs w:val="28"/>
            </w:rPr>
            <w:fldChar w:fldCharType="begin"/>
          </w:r>
          <w:r>
            <w:rPr>
              <w:rFonts w:hint="default" w:ascii="方正小标宋_GBK" w:hAnsi="方正小标宋_GBK" w:eastAsia="方正小标宋_GBK" w:cs="方正小标宋_GBK"/>
              <w:b/>
              <w:bCs/>
              <w:sz w:val="28"/>
              <w:szCs w:val="28"/>
            </w:rPr>
            <w:instrText xml:space="preserve"> HYPERLINK \l _Toc28216_WPSOffice_Level1 </w:instrText>
          </w:r>
          <w:r>
            <w:rPr>
              <w:rFonts w:hint="default" w:ascii="方正小标宋_GBK" w:hAnsi="方正小标宋_GBK" w:eastAsia="方正小标宋_GBK" w:cs="方正小标宋_GBK"/>
              <w:b/>
              <w:bCs/>
              <w:sz w:val="28"/>
              <w:szCs w:val="28"/>
            </w:rPr>
            <w:fldChar w:fldCharType="separate"/>
          </w:r>
          <w:sdt>
            <w:sdtPr>
              <w:rPr>
                <w:rFonts w:hint="default" w:ascii="方正小标宋_GBK" w:hAnsi="方正小标宋_GBK" w:eastAsia="方正小标宋_GBK" w:cs="方正小标宋_GBK"/>
                <w:b/>
                <w:bCs/>
                <w:sz w:val="28"/>
                <w:szCs w:val="28"/>
                <w:lang w:val="en-US" w:eastAsia="zh-CN"/>
              </w:rPr>
              <w:id w:val="147469313"/>
              <w:placeholder>
                <w:docPart w:val="{4d6880fe-fecb-4504-bb28-f3f510b84f6e}"/>
              </w:placeholder>
            </w:sdtPr>
            <w:sdtEndPr>
              <w:rPr>
                <w:rFonts w:hint="default" w:ascii="方正小标宋_GBK" w:hAnsi="方正小标宋_GBK" w:eastAsia="方正小标宋_GBK" w:cs="方正小标宋_GBK"/>
                <w:b/>
                <w:bCs/>
                <w:sz w:val="28"/>
                <w:szCs w:val="28"/>
                <w:lang w:val="en-US" w:eastAsia="zh-CN"/>
              </w:rPr>
            </w:sdtEndPr>
            <w:sdtContent>
              <w:r>
                <w:rPr>
                  <w:rFonts w:hint="default" w:ascii="方正小标宋_GBK" w:hAnsi="方正小标宋_GBK" w:eastAsia="方正小标宋_GBK" w:cs="方正小标宋_GBK"/>
                  <w:b/>
                  <w:bCs/>
                  <w:sz w:val="28"/>
                  <w:szCs w:val="28"/>
                </w:rPr>
                <w:t>第五部分 附表</w:t>
              </w:r>
            </w:sdtContent>
          </w:sdt>
          <w:r>
            <w:rPr>
              <w:rFonts w:hint="default" w:ascii="方正小标宋_GBK" w:hAnsi="方正小标宋_GBK" w:eastAsia="方正小标宋_GBK" w:cs="方正小标宋_GBK"/>
              <w:b/>
              <w:bCs/>
              <w:sz w:val="28"/>
              <w:szCs w:val="28"/>
            </w:rPr>
            <w:tab/>
          </w:r>
          <w:bookmarkStart w:id="17" w:name="_Toc28216_WPSOffice_Level1Page"/>
          <w:r>
            <w:rPr>
              <w:rFonts w:hint="default" w:ascii="方正小标宋_GBK" w:hAnsi="方正小标宋_GBK" w:eastAsia="方正小标宋_GBK" w:cs="方正小标宋_GBK"/>
              <w:b/>
              <w:bCs/>
              <w:sz w:val="28"/>
              <w:szCs w:val="28"/>
            </w:rPr>
            <w:t>15</w:t>
          </w:r>
          <w:bookmarkEnd w:id="17"/>
          <w:r>
            <w:rPr>
              <w:rFonts w:hint="default" w:ascii="方正小标宋_GBK" w:hAnsi="方正小标宋_GBK" w:eastAsia="方正小标宋_GBK" w:cs="方正小标宋_GBK"/>
              <w:b/>
              <w:bCs/>
              <w:sz w:val="28"/>
              <w:szCs w:val="28"/>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_Toc4735_WPSOffice_Level2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96e055a3-9c65-423c-a070-0db4e9bc479d}"/>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一、收入支出决算总表</w:t>
              </w:r>
            </w:sdtContent>
          </w:sdt>
          <w:r>
            <w:rPr>
              <w:rFonts w:hint="eastAsia" w:ascii="黑体" w:hAnsi="黑体" w:eastAsia="黑体" w:cs="黑体"/>
              <w:sz w:val="21"/>
              <w:szCs w:val="21"/>
            </w:rPr>
            <w:tab/>
          </w:r>
          <w:bookmarkStart w:id="18" w:name="_Toc4735_WPSOffice_Level2Page"/>
          <w:r>
            <w:rPr>
              <w:rFonts w:hint="eastAsia" w:ascii="黑体" w:hAnsi="黑体" w:eastAsia="黑体" w:cs="黑体"/>
              <w:sz w:val="21"/>
              <w:szCs w:val="21"/>
            </w:rPr>
            <w:t>15</w:t>
          </w:r>
          <w:bookmarkEnd w:id="18"/>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_Toc14497_WPSOffice_Level2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5197ef40-1839-4770-8b03-4f5e94dd8efb}"/>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二、收入决算表</w:t>
              </w:r>
            </w:sdtContent>
          </w:sdt>
          <w:r>
            <w:rPr>
              <w:rFonts w:hint="eastAsia" w:ascii="黑体" w:hAnsi="黑体" w:eastAsia="黑体" w:cs="黑体"/>
              <w:sz w:val="21"/>
              <w:szCs w:val="21"/>
            </w:rPr>
            <w:tab/>
          </w:r>
          <w:bookmarkStart w:id="19" w:name="_Toc14497_WPSOffice_Level2Page"/>
          <w:r>
            <w:rPr>
              <w:rFonts w:hint="eastAsia" w:ascii="黑体" w:hAnsi="黑体" w:eastAsia="黑体" w:cs="黑体"/>
              <w:sz w:val="21"/>
              <w:szCs w:val="21"/>
            </w:rPr>
            <w:t>15</w:t>
          </w:r>
          <w:bookmarkEnd w:id="19"/>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_Toc17993_WPSOffice_Level2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381e60b8-3c4a-45f3-9de8-cd2b16e4f71d}"/>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三、支出决算表</w:t>
              </w:r>
            </w:sdtContent>
          </w:sdt>
          <w:r>
            <w:rPr>
              <w:rFonts w:hint="eastAsia" w:ascii="黑体" w:hAnsi="黑体" w:eastAsia="黑体" w:cs="黑体"/>
              <w:sz w:val="21"/>
              <w:szCs w:val="21"/>
            </w:rPr>
            <w:tab/>
          </w:r>
          <w:bookmarkStart w:id="20" w:name="_Toc17993_WPSOffice_Level2Page"/>
          <w:r>
            <w:rPr>
              <w:rFonts w:hint="eastAsia" w:ascii="黑体" w:hAnsi="黑体" w:eastAsia="黑体" w:cs="黑体"/>
              <w:sz w:val="21"/>
              <w:szCs w:val="21"/>
            </w:rPr>
            <w:t>15</w:t>
          </w:r>
          <w:bookmarkEnd w:id="20"/>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_Toc350_WPSOffice_Level2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55e22637-5e1a-4dd3-833e-174f09eed1d4}"/>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四、财政拨款收入支出决算总表</w:t>
              </w:r>
            </w:sdtContent>
          </w:sdt>
          <w:r>
            <w:rPr>
              <w:rFonts w:hint="eastAsia" w:ascii="黑体" w:hAnsi="黑体" w:eastAsia="黑体" w:cs="黑体"/>
              <w:sz w:val="21"/>
              <w:szCs w:val="21"/>
            </w:rPr>
            <w:tab/>
          </w:r>
          <w:bookmarkStart w:id="21" w:name="_Toc350_WPSOffice_Level2Page"/>
          <w:r>
            <w:rPr>
              <w:rFonts w:hint="eastAsia" w:ascii="黑体" w:hAnsi="黑体" w:eastAsia="黑体" w:cs="黑体"/>
              <w:sz w:val="21"/>
              <w:szCs w:val="21"/>
            </w:rPr>
            <w:t>15</w:t>
          </w:r>
          <w:bookmarkEnd w:id="21"/>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_Toc14179_WPSOffice_Level2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6c865e5f-3548-4393-857d-320ecbfb4594}"/>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五、财政拨款支出决算明细表</w:t>
              </w:r>
            </w:sdtContent>
          </w:sdt>
          <w:r>
            <w:rPr>
              <w:rFonts w:hint="eastAsia" w:ascii="黑体" w:hAnsi="黑体" w:eastAsia="黑体" w:cs="黑体"/>
              <w:sz w:val="21"/>
              <w:szCs w:val="21"/>
            </w:rPr>
            <w:tab/>
          </w:r>
          <w:bookmarkStart w:id="22" w:name="_Toc14179_WPSOffice_Level2Page"/>
          <w:r>
            <w:rPr>
              <w:rFonts w:hint="eastAsia" w:ascii="黑体" w:hAnsi="黑体" w:eastAsia="黑体" w:cs="黑体"/>
              <w:sz w:val="21"/>
              <w:szCs w:val="21"/>
            </w:rPr>
            <w:t>15</w:t>
          </w:r>
          <w:bookmarkEnd w:id="22"/>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_Toc25909_WPSOffice_Level2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d5d0ca6d-04b5-4e40-b89e-ab91c9ccdaab}"/>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六、一般公共预算财政拨款支出决算表</w:t>
              </w:r>
            </w:sdtContent>
          </w:sdt>
          <w:r>
            <w:rPr>
              <w:rFonts w:hint="eastAsia" w:ascii="黑体" w:hAnsi="黑体" w:eastAsia="黑体" w:cs="黑体"/>
              <w:sz w:val="21"/>
              <w:szCs w:val="21"/>
            </w:rPr>
            <w:tab/>
          </w:r>
          <w:bookmarkStart w:id="23" w:name="_Toc25909_WPSOffice_Level2Page"/>
          <w:r>
            <w:rPr>
              <w:rFonts w:hint="eastAsia" w:ascii="黑体" w:hAnsi="黑体" w:eastAsia="黑体" w:cs="黑体"/>
              <w:sz w:val="21"/>
              <w:szCs w:val="21"/>
            </w:rPr>
            <w:t>15</w:t>
          </w:r>
          <w:bookmarkEnd w:id="23"/>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_Toc6928_WPSOffice_Level2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688b7163-645b-43c4-ae0a-fb078d6974ee}"/>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七、一般公共预算财政拨款支出决算明细表</w:t>
              </w:r>
            </w:sdtContent>
          </w:sdt>
          <w:r>
            <w:rPr>
              <w:rFonts w:hint="eastAsia" w:ascii="黑体" w:hAnsi="黑体" w:eastAsia="黑体" w:cs="黑体"/>
              <w:sz w:val="21"/>
              <w:szCs w:val="21"/>
            </w:rPr>
            <w:tab/>
          </w:r>
          <w:bookmarkStart w:id="24" w:name="_Toc6928_WPSOffice_Level2Page"/>
          <w:r>
            <w:rPr>
              <w:rFonts w:hint="eastAsia" w:ascii="黑体" w:hAnsi="黑体" w:eastAsia="黑体" w:cs="黑体"/>
              <w:sz w:val="21"/>
              <w:szCs w:val="21"/>
            </w:rPr>
            <w:t>15</w:t>
          </w:r>
          <w:bookmarkEnd w:id="24"/>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_Toc28343_WPSOffice_Level2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4937bb84-6636-467b-9ee9-fd25ee10e641}"/>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八、一般公共预算财政拨款基本支出决算表</w:t>
              </w:r>
            </w:sdtContent>
          </w:sdt>
          <w:r>
            <w:rPr>
              <w:rFonts w:hint="eastAsia" w:ascii="黑体" w:hAnsi="黑体" w:eastAsia="黑体" w:cs="黑体"/>
              <w:sz w:val="21"/>
              <w:szCs w:val="21"/>
            </w:rPr>
            <w:tab/>
          </w:r>
          <w:bookmarkStart w:id="25" w:name="_Toc28343_WPSOffice_Level2Page"/>
          <w:r>
            <w:rPr>
              <w:rFonts w:hint="eastAsia" w:ascii="黑体" w:hAnsi="黑体" w:eastAsia="黑体" w:cs="黑体"/>
              <w:sz w:val="21"/>
              <w:szCs w:val="21"/>
            </w:rPr>
            <w:t>15</w:t>
          </w:r>
          <w:bookmarkEnd w:id="25"/>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_Toc14991_WPSOffice_Level2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e766926f-a363-4abb-a16a-fa669bfca071}"/>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九、一般公共预算财政拨款项目支出决算表</w:t>
              </w:r>
            </w:sdtContent>
          </w:sdt>
          <w:r>
            <w:rPr>
              <w:rFonts w:hint="eastAsia" w:ascii="黑体" w:hAnsi="黑体" w:eastAsia="黑体" w:cs="黑体"/>
              <w:sz w:val="21"/>
              <w:szCs w:val="21"/>
            </w:rPr>
            <w:tab/>
          </w:r>
          <w:bookmarkStart w:id="26" w:name="_Toc14991_WPSOffice_Level2Page"/>
          <w:r>
            <w:rPr>
              <w:rFonts w:hint="eastAsia" w:ascii="黑体" w:hAnsi="黑体" w:eastAsia="黑体" w:cs="黑体"/>
              <w:sz w:val="21"/>
              <w:szCs w:val="21"/>
            </w:rPr>
            <w:t>15</w:t>
          </w:r>
          <w:bookmarkEnd w:id="26"/>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_Toc20309_WPSOffice_Level2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df517d05-2eea-43f2-96ad-75a15520651d}"/>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十、政府性基金预算财政拨款收入支出决算表</w:t>
              </w:r>
            </w:sdtContent>
          </w:sdt>
          <w:r>
            <w:rPr>
              <w:rFonts w:hint="eastAsia" w:ascii="黑体" w:hAnsi="黑体" w:eastAsia="黑体" w:cs="黑体"/>
              <w:sz w:val="21"/>
              <w:szCs w:val="21"/>
            </w:rPr>
            <w:tab/>
          </w:r>
          <w:bookmarkStart w:id="27" w:name="_Toc20309_WPSOffice_Level2Page"/>
          <w:r>
            <w:rPr>
              <w:rFonts w:hint="eastAsia" w:ascii="黑体" w:hAnsi="黑体" w:eastAsia="黑体" w:cs="黑体"/>
              <w:sz w:val="21"/>
              <w:szCs w:val="21"/>
            </w:rPr>
            <w:t>15</w:t>
          </w:r>
          <w:bookmarkEnd w:id="27"/>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_Toc521_WPSOffice_Level2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2ef6f2ae-5bfa-4f7d-8109-c30b3c3a992e}"/>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十一、国有资本经营预算财政拨款收入支出决算表</w:t>
              </w:r>
            </w:sdtContent>
          </w:sdt>
          <w:r>
            <w:rPr>
              <w:rFonts w:hint="eastAsia" w:ascii="黑体" w:hAnsi="黑体" w:eastAsia="黑体" w:cs="黑体"/>
              <w:sz w:val="21"/>
              <w:szCs w:val="21"/>
            </w:rPr>
            <w:tab/>
          </w:r>
          <w:bookmarkStart w:id="28" w:name="_Toc521_WPSOffice_Level2Page"/>
          <w:r>
            <w:rPr>
              <w:rFonts w:hint="eastAsia" w:ascii="黑体" w:hAnsi="黑体" w:eastAsia="黑体" w:cs="黑体"/>
              <w:sz w:val="21"/>
              <w:szCs w:val="21"/>
            </w:rPr>
            <w:t>15</w:t>
          </w:r>
          <w:bookmarkEnd w:id="28"/>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_Toc18695_WPSOffice_Level2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56b93bfb-ef02-4301-a954-919fa56e678d}"/>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十二、国有资本经营预算财政拨款支出决算表</w:t>
              </w:r>
            </w:sdtContent>
          </w:sdt>
          <w:r>
            <w:rPr>
              <w:rFonts w:hint="eastAsia" w:ascii="黑体" w:hAnsi="黑体" w:eastAsia="黑体" w:cs="黑体"/>
              <w:sz w:val="21"/>
              <w:szCs w:val="21"/>
            </w:rPr>
            <w:tab/>
          </w:r>
          <w:bookmarkStart w:id="29" w:name="_Toc18695_WPSOffice_Level2Page"/>
          <w:r>
            <w:rPr>
              <w:rFonts w:hint="eastAsia" w:ascii="黑体" w:hAnsi="黑体" w:eastAsia="黑体" w:cs="黑体"/>
              <w:sz w:val="21"/>
              <w:szCs w:val="21"/>
            </w:rPr>
            <w:t>15</w:t>
          </w:r>
          <w:bookmarkEnd w:id="29"/>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69313"/>
              <w:placeholder>
                <w:docPart w:val="{4980944d-a0f4-4625-80d7-52d43c942cf2}"/>
              </w:placeholder>
            </w:sdtPr>
            <w:sdtEndPr>
              <w:rPr>
                <w:rFonts w:hint="eastAsia" w:ascii="黑体" w:hAnsi="黑体" w:eastAsia="黑体" w:cs="黑体"/>
                <w:sz w:val="21"/>
                <w:szCs w:val="21"/>
                <w:lang w:val="en-US" w:eastAsia="zh-CN"/>
              </w:rPr>
            </w:sdtEndPr>
            <w:sdtContent>
              <w:r>
                <w:rPr>
                  <w:rFonts w:hint="default" w:ascii="黑体" w:hAnsi="黑体" w:eastAsia="黑体" w:cs="黑体"/>
                  <w:sz w:val="21"/>
                  <w:szCs w:val="21"/>
                </w:rPr>
                <w:t>十三、财政拨款“三公”经费支出决算表</w:t>
              </w:r>
            </w:sdtContent>
          </w:sdt>
          <w:r>
            <w:rPr>
              <w:rFonts w:hint="eastAsia" w:ascii="黑体" w:hAnsi="黑体" w:eastAsia="黑体" w:cs="黑体"/>
              <w:sz w:val="21"/>
              <w:szCs w:val="21"/>
            </w:rPr>
            <w:tab/>
          </w:r>
          <w:bookmarkStart w:id="30" w:name="_Toc42_WPSOffice_Level2Page"/>
          <w:r>
            <w:rPr>
              <w:rFonts w:hint="eastAsia" w:ascii="黑体" w:hAnsi="黑体" w:eastAsia="黑体" w:cs="黑体"/>
              <w:sz w:val="21"/>
              <w:szCs w:val="21"/>
            </w:rPr>
            <w:t>15</w:t>
          </w:r>
          <w:bookmarkEnd w:id="30"/>
          <w:r>
            <w:rPr>
              <w:rFonts w:hint="eastAsia" w:ascii="黑体" w:hAnsi="黑体" w:eastAsia="黑体" w:cs="黑体"/>
              <w:sz w:val="21"/>
              <w:szCs w:val="21"/>
            </w:rPr>
            <w:fldChar w:fldCharType="end"/>
          </w:r>
          <w:bookmarkEnd w:id="0"/>
        </w:p>
      </w:sdtContent>
    </w:sdt>
    <w:p>
      <w:pPr>
        <w:rPr>
          <w:rFonts w:hint="default" w:ascii="Times New Roman" w:hAnsi="Times New Roman" w:cs="Times New Roman"/>
        </w:rPr>
      </w:pPr>
    </w:p>
    <w:p>
      <w:pPr>
        <w:rPr>
          <w:rFonts w:hint="default" w:ascii="Times New Roman" w:hAnsi="Times New Roman" w:eastAsia="方正小标宋简体" w:cs="Times New Roman"/>
          <w:b w:val="0"/>
        </w:rPr>
      </w:pPr>
      <w:r>
        <w:rPr>
          <w:rFonts w:hint="default" w:ascii="Times New Roman" w:hAnsi="Times New Roman" w:eastAsia="方正小标宋简体" w:cs="Times New Roman"/>
          <w:b w:val="0"/>
        </w:rPr>
        <w:br w:type="page"/>
      </w:r>
    </w:p>
    <w:p>
      <w:pPr>
        <w:pStyle w:val="3"/>
        <w:jc w:val="center"/>
        <w:rPr>
          <w:rStyle w:val="28"/>
          <w:rFonts w:hint="default" w:ascii="Times New Roman" w:hAnsi="Times New Roman" w:eastAsia="方正小标宋简体" w:cs="Times New Roman"/>
          <w:b/>
          <w:bCs w:val="0"/>
        </w:rPr>
      </w:pPr>
      <w:bookmarkStart w:id="31" w:name="_Toc20310"/>
      <w:bookmarkStart w:id="32" w:name="_Toc1_WPSOffice_Level1"/>
      <w:r>
        <w:rPr>
          <w:rFonts w:hint="default" w:ascii="Times New Roman" w:hAnsi="Times New Roman" w:eastAsia="方正小标宋简体" w:cs="Times New Roman"/>
          <w:b w:val="0"/>
        </w:rPr>
        <w:t xml:space="preserve">第一部分  </w:t>
      </w:r>
      <w:r>
        <w:rPr>
          <w:rStyle w:val="28"/>
          <w:rFonts w:hint="default" w:ascii="Times New Roman" w:hAnsi="Times New Roman" w:eastAsia="方正小标宋简体" w:cs="Times New Roman"/>
          <w:b w:val="0"/>
          <w:bCs w:val="0"/>
        </w:rPr>
        <w:t>单位概况</w:t>
      </w:r>
      <w:bookmarkEnd w:id="31"/>
      <w:bookmarkEnd w:id="32"/>
    </w:p>
    <w:p>
      <w:pPr>
        <w:pStyle w:val="4"/>
        <w:numPr>
          <w:ilvl w:val="0"/>
          <w:numId w:val="1"/>
        </w:numPr>
        <w:ind w:left="0" w:leftChars="0" w:firstLine="0" w:firstLineChars="0"/>
        <w:rPr>
          <w:rStyle w:val="29"/>
          <w:rFonts w:hint="default" w:ascii="Times New Roman" w:hAnsi="Times New Roman" w:eastAsia="黑体" w:cs="Times New Roman"/>
          <w:b w:val="0"/>
          <w:bCs w:val="0"/>
        </w:rPr>
      </w:pPr>
      <w:bookmarkStart w:id="33" w:name="_Toc810"/>
      <w:bookmarkStart w:id="34" w:name="_Toc28495"/>
      <w:bookmarkStart w:id="35" w:name="_Toc24262_WPSOffice_Level2"/>
      <w:r>
        <w:rPr>
          <w:rStyle w:val="29"/>
          <w:rFonts w:hint="default" w:ascii="Times New Roman" w:hAnsi="Times New Roman" w:eastAsia="黑体" w:cs="Times New Roman"/>
          <w:b w:val="0"/>
          <w:bCs w:val="0"/>
        </w:rPr>
        <w:t>主要职责</w:t>
      </w:r>
      <w:bookmarkEnd w:id="33"/>
      <w:bookmarkEnd w:id="34"/>
      <w:bookmarkEnd w:id="35"/>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盐边县共和乡中心学校是盐边县教育和体育局领导下属的一所城乡居民儿童共享的小学校。实施小学义务教育工作，小学学历教育是学校的主要工作职能。</w:t>
      </w:r>
    </w:p>
    <w:p>
      <w:pPr>
        <w:rPr>
          <w:rFonts w:hint="default" w:ascii="Times New Roman" w:hAnsi="Times New Roman" w:cs="Times New Roman"/>
        </w:rPr>
      </w:pPr>
    </w:p>
    <w:p>
      <w:pPr>
        <w:pStyle w:val="4"/>
        <w:numPr>
          <w:ilvl w:val="0"/>
          <w:numId w:val="1"/>
        </w:numPr>
        <w:ind w:left="0" w:leftChars="0" w:firstLine="0" w:firstLineChars="0"/>
        <w:rPr>
          <w:rStyle w:val="29"/>
          <w:rFonts w:hint="default" w:ascii="Times New Roman" w:hAnsi="Times New Roman" w:eastAsia="黑体" w:cs="Times New Roman"/>
          <w:b w:val="0"/>
          <w:bCs w:val="0"/>
        </w:rPr>
      </w:pPr>
      <w:bookmarkStart w:id="36" w:name="_Toc9553"/>
      <w:bookmarkStart w:id="37" w:name="_Toc17534"/>
      <w:bookmarkStart w:id="38" w:name="_Toc22166_WPSOffice_Level2"/>
      <w:r>
        <w:rPr>
          <w:rFonts w:hint="default" w:ascii="Times New Roman" w:hAnsi="Times New Roman" w:eastAsia="黑体" w:cs="Times New Roman"/>
          <w:b w:val="0"/>
        </w:rPr>
        <w:t>机</w:t>
      </w:r>
      <w:r>
        <w:rPr>
          <w:rStyle w:val="29"/>
          <w:rFonts w:hint="default" w:ascii="Times New Roman" w:hAnsi="Times New Roman" w:eastAsia="黑体" w:cs="Times New Roman"/>
          <w:b w:val="0"/>
          <w:bCs w:val="0"/>
        </w:rPr>
        <w:t>构设置</w:t>
      </w:r>
      <w:bookmarkEnd w:id="36"/>
      <w:bookmarkEnd w:id="37"/>
      <w:bookmarkEnd w:id="38"/>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left"/>
        <w:textAlignment w:val="auto"/>
        <w:outlineLvl w:val="2"/>
        <w:rPr>
          <w:rFonts w:hint="default" w:ascii="Times New Roman" w:hAnsi="Times New Roman" w:eastAsia="仿宋_GB2312" w:cs="Times New Roman"/>
          <w:color w:val="000000"/>
          <w:kern w:val="2"/>
          <w:sz w:val="32"/>
          <w:szCs w:val="32"/>
          <w:lang w:val="zh-CN"/>
        </w:rPr>
      </w:pPr>
      <w:r>
        <w:rPr>
          <w:rFonts w:hint="default" w:ascii="Times New Roman" w:hAnsi="Times New Roman" w:eastAsia="仿宋_GB2312" w:cs="Times New Roman"/>
          <w:sz w:val="32"/>
          <w:szCs w:val="32"/>
          <w:lang w:val="zh-CN"/>
        </w:rPr>
        <w:t>盐边县共和乡中心学校是盐边县机构编制委员会批准成立的独立法人机构，是经费独立的核算事业单位</w:t>
      </w:r>
      <w:r>
        <w:rPr>
          <w:rFonts w:hint="default" w:ascii="Times New Roman" w:hAnsi="Times New Roman" w:cs="Times New Roman"/>
          <w:sz w:val="32"/>
          <w:szCs w:val="32"/>
          <w:lang w:val="zh-CN"/>
        </w:rPr>
        <w:t>，</w:t>
      </w:r>
      <w:r>
        <w:rPr>
          <w:rFonts w:hint="default" w:ascii="Times New Roman" w:hAnsi="Times New Roman" w:cs="Times New Roman"/>
          <w:kern w:val="2"/>
          <w:sz w:val="32"/>
          <w:szCs w:val="32"/>
          <w:lang w:val="zh-CN" w:eastAsia="zh-CN" w:bidi="ar-SA"/>
        </w:rPr>
        <w:t>属盐边县</w:t>
      </w:r>
      <w:r>
        <w:rPr>
          <w:rFonts w:hint="default" w:ascii="Times New Roman" w:hAnsi="Times New Roman" w:eastAsia="仿宋_GB2312" w:cs="Times New Roman"/>
          <w:kern w:val="2"/>
          <w:sz w:val="32"/>
          <w:szCs w:val="32"/>
          <w:lang w:val="zh-CN" w:eastAsia="zh-CN" w:bidi="ar-SA"/>
        </w:rPr>
        <w:t>教育和体育局下属独立核算事业单位</w:t>
      </w:r>
      <w:r>
        <w:rPr>
          <w:rFonts w:hint="default" w:ascii="Times New Roman" w:hAnsi="Times New Roman" w:cs="Times New Roman"/>
          <w:kern w:val="2"/>
          <w:sz w:val="32"/>
          <w:szCs w:val="32"/>
          <w:lang w:val="zh-CN" w:eastAsia="zh-CN" w:bidi="ar-SA"/>
        </w:rPr>
        <w:t>。</w:t>
      </w:r>
    </w:p>
    <w:p>
      <w:pPr>
        <w:numPr>
          <w:ilvl w:val="0"/>
          <w:numId w:val="0"/>
        </w:numPr>
        <w:ind w:leftChars="0"/>
        <w:rPr>
          <w:rFonts w:hint="default" w:ascii="Times New Roman" w:hAnsi="Times New Roman" w:cs="Times New Roman"/>
        </w:rPr>
      </w:pPr>
    </w:p>
    <w:p>
      <w:pPr>
        <w:pStyle w:val="3"/>
        <w:jc w:val="center"/>
        <w:rPr>
          <w:rFonts w:hint="default" w:ascii="Times New Roman" w:hAnsi="Times New Roman" w:eastAsia="方正小标宋简体" w:cs="Times New Roman"/>
          <w:b w:val="0"/>
          <w:color w:val="auto"/>
          <w:highlight w:val="none"/>
        </w:rPr>
      </w:pPr>
    </w:p>
    <w:p>
      <w:pPr>
        <w:pStyle w:val="3"/>
        <w:jc w:val="center"/>
        <w:rPr>
          <w:rFonts w:hint="default" w:ascii="Times New Roman" w:hAnsi="Times New Roman" w:eastAsia="方正小标宋简体" w:cs="Times New Roman"/>
          <w:b w:val="0"/>
          <w:color w:val="auto"/>
          <w:highlight w:val="none"/>
        </w:rPr>
      </w:pPr>
    </w:p>
    <w:p>
      <w:pPr>
        <w:pStyle w:val="3"/>
        <w:jc w:val="both"/>
        <w:rPr>
          <w:rFonts w:hint="default" w:ascii="Times New Roman" w:hAnsi="Times New Roman" w:eastAsia="方正小标宋简体" w:cs="Times New Roman"/>
          <w:b w:val="0"/>
          <w:color w:val="auto"/>
          <w:highlight w:val="none"/>
        </w:rPr>
      </w:pPr>
    </w:p>
    <w:p>
      <w:pPr>
        <w:rPr>
          <w:rFonts w:hint="default" w:ascii="Times New Roman" w:hAnsi="Times New Roman" w:eastAsia="方正小标宋简体" w:cs="Times New Roman"/>
          <w:b w:val="0"/>
          <w:color w:val="auto"/>
          <w:highlight w:val="none"/>
        </w:rPr>
      </w:pPr>
    </w:p>
    <w:p>
      <w:pPr>
        <w:pStyle w:val="19"/>
        <w:rPr>
          <w:rFonts w:hint="default" w:ascii="Times New Roman" w:hAnsi="Times New Roman" w:eastAsia="方正小标宋简体" w:cs="Times New Roman"/>
          <w:b w:val="0"/>
          <w:color w:val="auto"/>
          <w:highlight w:val="none"/>
        </w:rPr>
      </w:pPr>
    </w:p>
    <w:p>
      <w:pPr>
        <w:rPr>
          <w:rFonts w:hint="default" w:ascii="Times New Roman" w:hAnsi="Times New Roman" w:cs="Times New Roman"/>
        </w:rPr>
      </w:pPr>
    </w:p>
    <w:p>
      <w:pPr>
        <w:pStyle w:val="3"/>
        <w:jc w:val="center"/>
        <w:rPr>
          <w:rFonts w:hint="default" w:ascii="Times New Roman" w:hAnsi="Times New Roman" w:eastAsia="方正小标宋简体" w:cs="Times New Roman"/>
          <w:b w:val="0"/>
          <w:color w:val="auto"/>
          <w:highlight w:val="none"/>
        </w:rPr>
      </w:pPr>
      <w:bookmarkStart w:id="39" w:name="_Toc8849"/>
      <w:bookmarkStart w:id="40" w:name="_Toc24262_WPSOffice_Level1"/>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default" w:ascii="Times New Roman" w:hAnsi="Times New Roman" w:eastAsia="方正小标宋简体" w:cs="Times New Roman"/>
          <w:b w:val="0"/>
          <w:color w:val="auto"/>
          <w:highlight w:val="none"/>
        </w:rPr>
        <w:t>部门决算情况说明</w:t>
      </w:r>
      <w:bookmarkEnd w:id="39"/>
      <w:bookmarkEnd w:id="40"/>
    </w:p>
    <w:p>
      <w:pPr>
        <w:rPr>
          <w:rFonts w:hint="default" w:ascii="Times New Roman" w:hAnsi="Times New Roman" w:cs="Times New Roman"/>
          <w:color w:val="auto"/>
          <w:highlight w:val="none"/>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41" w:name="_Toc15377205"/>
      <w:bookmarkStart w:id="42" w:name="_Toc15396603"/>
      <w:bookmarkStart w:id="43" w:name="_Toc14501"/>
      <w:bookmarkStart w:id="44" w:name="_Toc29794_WPSOffice_Level2"/>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29"/>
          <w:rFonts w:hint="default" w:ascii="Times New Roman" w:hAnsi="Times New Roman" w:eastAsia="黑体" w:cs="Times New Roman"/>
          <w:b w:val="0"/>
          <w:color w:val="auto"/>
          <w:highlight w:val="none"/>
        </w:rPr>
        <w:t>入支出决算总体情况说明</w:t>
      </w:r>
      <w:bookmarkEnd w:id="41"/>
      <w:bookmarkEnd w:id="42"/>
      <w:bookmarkEnd w:id="43"/>
      <w:bookmarkEnd w:id="44"/>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highlight w:val="none"/>
          <w:lang w:eastAsia="zh-CN"/>
        </w:rPr>
      </w:pPr>
      <w:bookmarkStart w:id="45" w:name="_Toc21993"/>
      <w:bookmarkStart w:id="46" w:name="_Toc24665"/>
      <w:bookmarkStart w:id="47" w:name="_Toc18927"/>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sz w:val="32"/>
          <w:szCs w:val="32"/>
        </w:rPr>
        <w:t>605</w:t>
      </w:r>
      <w:r>
        <w:rPr>
          <w:rFonts w:hint="default" w:ascii="Times New Roman" w:hAnsi="Times New Roman" w:eastAsia="仿宋_GB2312" w:cs="Times New Roman"/>
          <w:color w:val="auto"/>
          <w:sz w:val="32"/>
          <w:szCs w:val="32"/>
          <w:highlight w:val="none"/>
        </w:rPr>
        <w:t>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2023年度852.64万元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总计各减少</w:t>
      </w:r>
      <w:r>
        <w:rPr>
          <w:rFonts w:hint="default" w:ascii="Times New Roman" w:hAnsi="Times New Roman" w:eastAsia="仿宋_GB2312" w:cs="Times New Roman"/>
          <w:color w:val="auto"/>
          <w:sz w:val="32"/>
          <w:szCs w:val="32"/>
          <w:highlight w:val="none"/>
          <w:lang w:val="en-US" w:eastAsia="zh-CN"/>
        </w:rPr>
        <w:t>247.64</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29.04</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val="en-US" w:eastAsia="zh-CN"/>
        </w:rPr>
        <w:t>本年度</w:t>
      </w:r>
      <w:r>
        <w:rPr>
          <w:rFonts w:hint="default" w:ascii="Times New Roman" w:hAnsi="Times New Roman" w:eastAsia="仿宋_GB2312" w:cs="Times New Roman"/>
          <w:color w:val="auto"/>
          <w:sz w:val="32"/>
          <w:szCs w:val="32"/>
          <w:highlight w:val="none"/>
        </w:rPr>
        <w:t>调离13人，1人退休。</w:t>
      </w:r>
      <w:bookmarkEnd w:id="45"/>
      <w:bookmarkEnd w:id="46"/>
      <w:bookmarkEnd w:id="47"/>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（图1：</w:t>
      </w:r>
      <w:r>
        <w:rPr>
          <w:rFonts w:hint="default" w:ascii="Times New Roman" w:hAnsi="Times New Roman" w:eastAsia="仿宋_GB2312" w:cs="Times New Roman"/>
          <w:color w:val="auto"/>
          <w:sz w:val="24"/>
          <w:szCs w:val="24"/>
          <w:highlight w:val="none"/>
          <w:lang w:eastAsia="zh-CN"/>
        </w:rPr>
        <w:t>收入</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eastAsia="zh-CN"/>
        </w:rPr>
        <w:t>支出</w:t>
      </w:r>
      <w:r>
        <w:rPr>
          <w:rFonts w:hint="default" w:ascii="Times New Roman" w:hAnsi="Times New Roman" w:eastAsia="仿宋_GB2312" w:cs="Times New Roman"/>
          <w:color w:val="auto"/>
          <w:sz w:val="24"/>
          <w:szCs w:val="24"/>
          <w:highlight w:val="none"/>
        </w:rPr>
        <w:t>决算总计变动情况图）</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rPr>
        <w:drawing>
          <wp:inline distT="0" distB="0" distL="114300" distR="114300">
            <wp:extent cx="3924300" cy="30099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48" w:name="_Toc15396604"/>
      <w:bookmarkStart w:id="49" w:name="_Toc15377206"/>
      <w:bookmarkStart w:id="50" w:name="_Toc11824"/>
      <w:bookmarkStart w:id="51" w:name="_Toc28216_WPSOffice_Level2"/>
      <w:r>
        <w:rPr>
          <w:rFonts w:hint="default" w:ascii="Times New Roman" w:hAnsi="Times New Roman" w:eastAsia="黑体" w:cs="Times New Roman"/>
          <w:color w:val="auto"/>
          <w:sz w:val="32"/>
          <w:szCs w:val="32"/>
          <w:highlight w:val="none"/>
          <w:lang w:eastAsia="zh-CN"/>
        </w:rPr>
        <w:t>二、收入决算情况说明</w:t>
      </w:r>
      <w:bookmarkEnd w:id="48"/>
      <w:bookmarkEnd w:id="49"/>
      <w:bookmarkEnd w:id="50"/>
      <w:bookmarkEnd w:id="51"/>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b/>
          <w:bCs/>
          <w:color w:val="auto"/>
          <w:sz w:val="32"/>
          <w:szCs w:val="32"/>
          <w:highlight w:val="none"/>
          <w:lang w:eastAsia="zh-CN"/>
        </w:rPr>
      </w:pPr>
      <w:bookmarkStart w:id="52" w:name="_Toc17367"/>
      <w:bookmarkStart w:id="53" w:name="_Toc20795"/>
      <w:bookmarkStart w:id="54" w:name="_Toc16634"/>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605万元，其中：一般公共预算财政拨款收入605</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sz w:val="32"/>
          <w:szCs w:val="32"/>
          <w:highlight w:val="none"/>
          <w:lang w:eastAsia="zh-CN"/>
        </w:rPr>
        <w:t>%；政府性基金预算财政拨款收入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%；国有资本经营预算财政拨款收入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%；上级补助收入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%；事业收入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%；经营收入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%；附属单位上缴收入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%；其他收入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w:t>
      </w:r>
      <w:bookmarkEnd w:id="52"/>
      <w:bookmarkEnd w:id="53"/>
      <w:bookmarkEnd w:id="54"/>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（图2：收入决算结构图）</w:t>
      </w:r>
    </w:p>
    <w:p>
      <w:pPr>
        <w:ind w:firstLine="525"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inline distT="0" distB="0" distL="114300" distR="114300">
            <wp:extent cx="4775835" cy="2714625"/>
            <wp:effectExtent l="4445" t="4445" r="20320" b="50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55" w:name="_Toc15377207"/>
      <w:bookmarkStart w:id="56" w:name="_Toc15396605"/>
      <w:bookmarkStart w:id="57" w:name="_Toc29225"/>
      <w:bookmarkStart w:id="58" w:name="_Toc7730_WPSOffice_Level2"/>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29"/>
          <w:rFonts w:hint="default" w:ascii="Times New Roman" w:hAnsi="Times New Roman" w:eastAsia="黑体" w:cs="Times New Roman"/>
          <w:b w:val="0"/>
          <w:color w:val="auto"/>
          <w:highlight w:val="none"/>
        </w:rPr>
        <w:t>出决算情况说明</w:t>
      </w:r>
      <w:bookmarkEnd w:id="55"/>
      <w:bookmarkEnd w:id="56"/>
      <w:bookmarkEnd w:id="57"/>
      <w:bookmarkEnd w:id="58"/>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仿宋_GB2312" w:cs="Times New Roman"/>
          <w:color w:val="auto"/>
          <w:sz w:val="32"/>
          <w:szCs w:val="32"/>
          <w:highlight w:val="none"/>
          <w:lang w:eastAsia="zh-CN"/>
        </w:rPr>
      </w:pPr>
      <w:bookmarkStart w:id="59" w:name="_Toc126"/>
      <w:bookmarkStart w:id="60" w:name="_Toc7470"/>
      <w:bookmarkStart w:id="61" w:name="_Toc26986"/>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605</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563.75</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93.18</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41.25</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6.81</w:t>
      </w:r>
      <w:r>
        <w:rPr>
          <w:rFonts w:hint="default" w:ascii="Times New Roman" w:hAnsi="Times New Roman" w:eastAsia="仿宋_GB2312" w:cs="Times New Roman"/>
          <w:color w:val="auto"/>
          <w:sz w:val="32"/>
          <w:szCs w:val="32"/>
          <w:highlight w:val="none"/>
          <w:lang w:eastAsia="zh-CN"/>
        </w:rPr>
        <w:t>%；上缴上级支出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%；经营支出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%；对附属单位补助支出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w:t>
      </w:r>
      <w:bookmarkEnd w:id="59"/>
      <w:bookmarkEnd w:id="60"/>
      <w:bookmarkEnd w:id="61"/>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（图3：支出决算结构图）</w:t>
      </w:r>
      <w:r>
        <w:rPr>
          <w:rFonts w:hint="default" w:ascii="Times New Roman" w:hAnsi="Times New Roman" w:eastAsia="仿宋_GB2312" w:cs="Times New Roman"/>
          <w:color w:val="auto"/>
          <w:sz w:val="24"/>
          <w:szCs w:val="24"/>
          <w:highlight w:val="none"/>
          <w:lang w:eastAsia="zh-CN"/>
        </w:rPr>
        <w:drawing>
          <wp:anchor distT="0" distB="0" distL="114300" distR="114300" simplePos="0" relativeHeight="251663360" behindDoc="0" locked="0" layoutInCell="1" allowOverlap="1">
            <wp:simplePos x="0" y="0"/>
            <wp:positionH relativeFrom="column">
              <wp:posOffset>65405</wp:posOffset>
            </wp:positionH>
            <wp:positionV relativeFrom="paragraph">
              <wp:posOffset>76200</wp:posOffset>
            </wp:positionV>
            <wp:extent cx="5036820" cy="3011805"/>
            <wp:effectExtent l="4445" t="4445" r="6985" b="12700"/>
            <wp:wrapSquare wrapText="bothSides"/>
            <wp:docPr id="1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firstLineChars="200"/>
        <w:outlineLvl w:val="1"/>
        <w:rPr>
          <w:rStyle w:val="29"/>
          <w:rFonts w:hint="default" w:ascii="Times New Roman" w:hAnsi="Times New Roman" w:eastAsia="黑体" w:cs="Times New Roman"/>
          <w:b w:val="0"/>
          <w:color w:val="auto"/>
          <w:highlight w:val="none"/>
        </w:rPr>
      </w:pPr>
      <w:bookmarkStart w:id="62" w:name="_Toc15396606"/>
      <w:bookmarkStart w:id="63" w:name="_Toc15377208"/>
      <w:bookmarkStart w:id="64" w:name="_Toc19691"/>
      <w:bookmarkStart w:id="65" w:name="_Toc12353_WPSOffice_Level2"/>
      <w:r>
        <w:rPr>
          <w:rFonts w:hint="default" w:ascii="Times New Roman" w:hAnsi="Times New Roman" w:eastAsia="黑体" w:cs="Times New Roman"/>
          <w:color w:val="auto"/>
          <w:sz w:val="32"/>
          <w:szCs w:val="32"/>
          <w:highlight w:val="none"/>
        </w:rPr>
        <w:t>四、财</w:t>
      </w:r>
      <w:r>
        <w:rPr>
          <w:rStyle w:val="29"/>
          <w:rFonts w:hint="default" w:ascii="Times New Roman" w:hAnsi="Times New Roman" w:eastAsia="黑体" w:cs="Times New Roman"/>
          <w:b w:val="0"/>
          <w:color w:val="auto"/>
          <w:highlight w:val="none"/>
        </w:rPr>
        <w:t>政拨款收入支出决算总体情况说明</w:t>
      </w:r>
      <w:bookmarkEnd w:id="62"/>
      <w:bookmarkEnd w:id="63"/>
      <w:bookmarkEnd w:id="64"/>
      <w:bookmarkEnd w:id="65"/>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highlight w:val="none"/>
          <w:lang w:eastAsia="zh-CN"/>
        </w:rPr>
      </w:pPr>
      <w:bookmarkStart w:id="66" w:name="_Toc25804"/>
      <w:bookmarkStart w:id="67" w:name="_Toc22773"/>
      <w:bookmarkStart w:id="68" w:name="_Toc18829"/>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605</w:t>
      </w:r>
      <w:r>
        <w:rPr>
          <w:rFonts w:hint="default" w:ascii="Times New Roman" w:hAnsi="Times New Roman" w:eastAsia="仿宋_GB2312" w:cs="Times New Roman"/>
          <w:color w:val="auto"/>
          <w:kern w:val="2"/>
          <w:sz w:val="32"/>
          <w:szCs w:val="32"/>
          <w:highlight w:val="none"/>
          <w:lang w:val="en-US" w:eastAsia="zh-CN" w:bidi="ar-SA"/>
        </w:rPr>
        <w:t>万元。</w:t>
      </w:r>
      <w:r>
        <w:rPr>
          <w:rFonts w:hint="default" w:ascii="Times New Roman" w:hAnsi="Times New Roman" w:eastAsia="仿宋_GB2312" w:cs="Times New Roman"/>
          <w:color w:val="auto"/>
          <w:sz w:val="32"/>
          <w:szCs w:val="32"/>
          <w:highlight w:val="none"/>
        </w:rPr>
        <w:t>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2023年度852.64万元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2"/>
          <w:sz w:val="32"/>
          <w:szCs w:val="32"/>
          <w:highlight w:val="none"/>
          <w:lang w:val="en-US" w:eastAsia="zh-CN" w:bidi="ar-SA"/>
        </w:rPr>
        <w:t>财政拨款收入总计、支出总计各</w:t>
      </w:r>
      <w:r>
        <w:rPr>
          <w:rFonts w:hint="default" w:ascii="Times New Roman" w:hAnsi="Times New Roman" w:eastAsia="仿宋_GB2312" w:cs="Times New Roman"/>
          <w:color w:val="auto"/>
          <w:sz w:val="32"/>
          <w:szCs w:val="32"/>
          <w:highlight w:val="none"/>
        </w:rPr>
        <w:t>减少</w:t>
      </w:r>
      <w:r>
        <w:rPr>
          <w:rFonts w:hint="default" w:ascii="Times New Roman" w:hAnsi="Times New Roman" w:eastAsia="仿宋_GB2312" w:cs="Times New Roman"/>
          <w:color w:val="auto"/>
          <w:sz w:val="32"/>
          <w:szCs w:val="32"/>
          <w:highlight w:val="none"/>
          <w:lang w:val="en-US" w:eastAsia="zh-CN"/>
        </w:rPr>
        <w:t>247.64</w:t>
      </w:r>
      <w:r>
        <w:rPr>
          <w:rFonts w:hint="default" w:ascii="Times New Roman" w:hAnsi="Times New Roman" w:eastAsia="仿宋_GB2312" w:cs="Times New Roman"/>
          <w:color w:val="auto"/>
          <w:sz w:val="32"/>
          <w:szCs w:val="32"/>
          <w:highlight w:val="none"/>
        </w:rPr>
        <w:t>万元，下降</w:t>
      </w:r>
      <w:r>
        <w:rPr>
          <w:rFonts w:hint="default" w:ascii="Times New Roman" w:hAnsi="Times New Roman" w:eastAsia="仿宋_GB2312" w:cs="Times New Roman"/>
          <w:color w:val="auto"/>
          <w:sz w:val="32"/>
          <w:szCs w:val="32"/>
          <w:highlight w:val="none"/>
          <w:lang w:val="en-US" w:eastAsia="zh-CN"/>
        </w:rPr>
        <w:t>29.04</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val="en-US" w:eastAsia="zh-CN"/>
        </w:rPr>
        <w:t>本年度</w:t>
      </w:r>
      <w:r>
        <w:rPr>
          <w:rFonts w:hint="default" w:ascii="Times New Roman" w:hAnsi="Times New Roman" w:eastAsia="仿宋_GB2312" w:cs="Times New Roman"/>
          <w:color w:val="auto"/>
          <w:sz w:val="32"/>
          <w:szCs w:val="32"/>
          <w:highlight w:val="none"/>
        </w:rPr>
        <w:t>调离13人，1人退休。</w:t>
      </w:r>
      <w:bookmarkEnd w:id="66"/>
      <w:bookmarkEnd w:id="67"/>
      <w:bookmarkEnd w:id="68"/>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24"/>
          <w:szCs w:val="24"/>
          <w:highlight w:val="none"/>
          <w:lang w:val="en-US" w:eastAsia="zh-CN"/>
        </w:rPr>
        <w:t>（图4：财政拨款收、支决算总计变动情况）</w:t>
      </w:r>
    </w:p>
    <w:p>
      <w:pPr>
        <w:pStyle w:val="19"/>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313055</wp:posOffset>
            </wp:positionH>
            <wp:positionV relativeFrom="paragraph">
              <wp:posOffset>66675</wp:posOffset>
            </wp:positionV>
            <wp:extent cx="4529455" cy="3928745"/>
            <wp:effectExtent l="4445" t="4445" r="19050" b="10160"/>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rPr>
          <w:rFonts w:hint="default" w:ascii="Times New Roman" w:hAnsi="Times New Roman" w:eastAsia="仿宋_GB2312" w:cs="Times New Roman"/>
          <w:color w:val="auto"/>
          <w:kern w:val="2"/>
          <w:sz w:val="32"/>
          <w:szCs w:val="32"/>
          <w:highlight w:val="none"/>
          <w:lang w:val="en-US" w:eastAsia="zh-CN" w:bidi="ar-SA"/>
        </w:rPr>
      </w:pPr>
    </w:p>
    <w:p>
      <w:pPr>
        <w:pStyle w:val="19"/>
        <w:rPr>
          <w:rFonts w:hint="default" w:ascii="Times New Roman" w:hAnsi="Times New Roman" w:eastAsia="仿宋_GB2312" w:cs="Times New Roman"/>
          <w:color w:val="auto"/>
          <w:kern w:val="2"/>
          <w:sz w:val="32"/>
          <w:szCs w:val="32"/>
          <w:highlight w:val="none"/>
          <w:lang w:val="en-US" w:eastAsia="zh-CN" w:bidi="ar-SA"/>
        </w:rPr>
      </w:pPr>
    </w:p>
    <w:p>
      <w:pPr>
        <w:rPr>
          <w:rFonts w:hint="default" w:ascii="Times New Roman" w:hAnsi="Times New Roman" w:eastAsia="仿宋_GB2312" w:cs="Times New Roman"/>
          <w:color w:val="auto"/>
          <w:kern w:val="2"/>
          <w:sz w:val="32"/>
          <w:szCs w:val="32"/>
          <w:highlight w:val="none"/>
          <w:lang w:val="en-US" w:eastAsia="zh-CN" w:bidi="ar-SA"/>
        </w:rPr>
      </w:pPr>
    </w:p>
    <w:p>
      <w:pPr>
        <w:pStyle w:val="19"/>
        <w:rPr>
          <w:rFonts w:hint="default" w:ascii="Times New Roman" w:hAnsi="Times New Roman" w:eastAsia="仿宋_GB2312" w:cs="Times New Roman"/>
          <w:color w:val="auto"/>
          <w:kern w:val="2"/>
          <w:sz w:val="32"/>
          <w:szCs w:val="32"/>
          <w:highlight w:val="none"/>
          <w:lang w:val="en-US" w:eastAsia="zh-CN" w:bidi="ar-SA"/>
        </w:rPr>
      </w:pPr>
    </w:p>
    <w:p>
      <w:pPr>
        <w:rPr>
          <w:rFonts w:hint="default" w:ascii="Times New Roman" w:hAnsi="Times New Roman" w:cs="Times New Roman"/>
          <w:lang w:val="en-US" w:eastAsia="zh-CN"/>
        </w:rPr>
      </w:pPr>
    </w:p>
    <w:p>
      <w:pPr>
        <w:pStyle w:val="2"/>
        <w:rPr>
          <w:rFonts w:hint="default"/>
          <w:lang w:val="en-US" w:eastAsia="zh-CN"/>
        </w:rPr>
      </w:pPr>
    </w:p>
    <w:p>
      <w:pPr>
        <w:pStyle w:val="2"/>
        <w:rPr>
          <w:rFonts w:hint="default"/>
          <w:lang w:val="en-US" w:eastAsia="zh-CN"/>
        </w:rPr>
      </w:pPr>
    </w:p>
    <w:p>
      <w:pPr>
        <w:spacing w:line="600" w:lineRule="exact"/>
        <w:ind w:firstLine="640" w:firstLineChars="200"/>
        <w:outlineLvl w:val="1"/>
        <w:rPr>
          <w:rStyle w:val="29"/>
          <w:rFonts w:hint="default" w:ascii="Times New Roman" w:hAnsi="Times New Roman" w:eastAsia="黑体" w:cs="Times New Roman"/>
          <w:b w:val="0"/>
          <w:color w:val="auto"/>
          <w:highlight w:val="none"/>
        </w:rPr>
      </w:pPr>
      <w:bookmarkStart w:id="69" w:name="_Toc15396607"/>
      <w:bookmarkStart w:id="70" w:name="_Toc15377209"/>
      <w:bookmarkStart w:id="71" w:name="_Toc5481"/>
      <w:bookmarkStart w:id="72" w:name="_Toc25805_WPSOffice_Level2"/>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般公共预算财政拨款支出决算情况说明</w:t>
      </w:r>
      <w:bookmarkEnd w:id="69"/>
      <w:bookmarkEnd w:id="70"/>
      <w:bookmarkEnd w:id="71"/>
      <w:bookmarkEnd w:id="72"/>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73"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73"/>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highlight w:val="none"/>
          <w:lang w:eastAsia="zh-CN"/>
        </w:rPr>
      </w:pPr>
      <w:bookmarkStart w:id="74" w:name="_Toc10923"/>
      <w:bookmarkStart w:id="75" w:name="_Toc18579"/>
      <w:bookmarkStart w:id="76" w:name="_Toc1785"/>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605</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%。与2023年度相比</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2023年度852.64万元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bidi="ar-SA"/>
        </w:rPr>
        <w:t>，一般公共预算财政拨款支出减少247.64万元，下降29.04%。</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val="en-US" w:eastAsia="zh-CN"/>
        </w:rPr>
        <w:t>本年度</w:t>
      </w:r>
      <w:r>
        <w:rPr>
          <w:rFonts w:hint="default" w:ascii="Times New Roman" w:hAnsi="Times New Roman" w:eastAsia="仿宋_GB2312" w:cs="Times New Roman"/>
          <w:color w:val="auto"/>
          <w:sz w:val="32"/>
          <w:szCs w:val="32"/>
          <w:highlight w:val="none"/>
        </w:rPr>
        <w:t>调离13人，1人退休。</w:t>
      </w:r>
      <w:bookmarkEnd w:id="74"/>
      <w:bookmarkEnd w:id="75"/>
      <w:bookmarkEnd w:id="76"/>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24"/>
          <w:szCs w:val="24"/>
          <w:highlight w:val="none"/>
          <w:lang w:val="en-US" w:eastAsia="zh-CN"/>
        </w:rPr>
        <w:t>（图5：一般公共预算财政拨款支出决算变动情况）</w:t>
      </w:r>
    </w:p>
    <w:p>
      <w:pPr>
        <w:spacing w:line="600" w:lineRule="exact"/>
        <w:ind w:firstLine="640"/>
        <w:jc w:val="center"/>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214630</wp:posOffset>
            </wp:positionH>
            <wp:positionV relativeFrom="paragraph">
              <wp:posOffset>42545</wp:posOffset>
            </wp:positionV>
            <wp:extent cx="4777105" cy="3329305"/>
            <wp:effectExtent l="4445" t="4445" r="19050" b="19050"/>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jc w:val="center"/>
        <w:rPr>
          <w:rFonts w:hint="default" w:ascii="Times New Roman" w:hAnsi="Times New Roman" w:cs="Times New Roman"/>
        </w:rPr>
      </w:pPr>
    </w:p>
    <w:p>
      <w:pPr>
        <w:spacing w:line="600" w:lineRule="exact"/>
        <w:ind w:firstLine="640"/>
        <w:jc w:val="center"/>
        <w:rPr>
          <w:rFonts w:hint="default" w:ascii="Times New Roman" w:hAnsi="Times New Roman" w:cs="Times New Roman"/>
        </w:rPr>
      </w:pPr>
    </w:p>
    <w:p>
      <w:pPr>
        <w:spacing w:line="600" w:lineRule="exact"/>
        <w:ind w:firstLine="640"/>
        <w:jc w:val="center"/>
        <w:rPr>
          <w:rFonts w:hint="default" w:ascii="Times New Roman" w:hAnsi="Times New Roman" w:cs="Times New Roman"/>
        </w:rPr>
      </w:pPr>
    </w:p>
    <w:p>
      <w:pPr>
        <w:spacing w:line="600" w:lineRule="exact"/>
        <w:ind w:firstLine="640"/>
        <w:jc w:val="center"/>
        <w:rPr>
          <w:rFonts w:hint="default" w:ascii="Times New Roman" w:hAnsi="Times New Roman" w:cs="Times New Roman"/>
        </w:rPr>
      </w:pPr>
    </w:p>
    <w:p>
      <w:pPr>
        <w:spacing w:line="600" w:lineRule="exact"/>
        <w:ind w:firstLine="640"/>
        <w:jc w:val="center"/>
        <w:rPr>
          <w:rFonts w:hint="default" w:ascii="Times New Roman" w:hAnsi="Times New Roman" w:cs="Times New Roman"/>
        </w:rPr>
      </w:pPr>
    </w:p>
    <w:p>
      <w:pPr>
        <w:spacing w:line="600" w:lineRule="exact"/>
        <w:ind w:firstLine="640"/>
        <w:jc w:val="center"/>
        <w:rPr>
          <w:rFonts w:hint="default" w:ascii="Times New Roman" w:hAnsi="Times New Roman" w:cs="Times New Roman"/>
        </w:rPr>
      </w:pPr>
    </w:p>
    <w:p>
      <w:pPr>
        <w:spacing w:line="600" w:lineRule="exact"/>
        <w:ind w:firstLine="640"/>
        <w:jc w:val="center"/>
        <w:rPr>
          <w:rFonts w:hint="default" w:ascii="Times New Roman" w:hAnsi="Times New Roman" w:cs="Times New Roman"/>
        </w:rPr>
      </w:pPr>
    </w:p>
    <w:p>
      <w:pPr>
        <w:spacing w:line="600" w:lineRule="exact"/>
        <w:jc w:val="both"/>
        <w:rPr>
          <w:rFonts w:hint="default" w:ascii="Times New Roman" w:hAnsi="Times New Roman" w:cs="Times New Roman"/>
        </w:rPr>
      </w:pP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77"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77"/>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605</w:t>
      </w:r>
      <w:r>
        <w:rPr>
          <w:rFonts w:hint="default" w:ascii="Times New Roman" w:hAnsi="Times New Roman" w:eastAsia="仿宋_GB2312" w:cs="Times New Roman"/>
          <w:color w:val="auto"/>
          <w:kern w:val="2"/>
          <w:sz w:val="32"/>
          <w:szCs w:val="32"/>
          <w:highlight w:val="none"/>
          <w:lang w:val="en-US" w:eastAsia="zh-CN" w:bidi="ar-SA"/>
        </w:rPr>
        <w:t>万元，主要用于以下方面：教育支出425.11万元，占70.27%；社会保障和就业支出108.27万元，占17.9%；卫生健康支出36.63万元，占6.05%；住房保障支出34.99万元，占5.78%。</w:t>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（图6：一般公共预算财政拨款支出决算结构）</w:t>
      </w:r>
    </w:p>
    <w:p>
      <w:pPr>
        <w:spacing w:line="600" w:lineRule="exact"/>
        <w:ind w:firstLine="640"/>
        <w:jc w:val="center"/>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2336" behindDoc="0" locked="0" layoutInCell="1" allowOverlap="1">
            <wp:simplePos x="0" y="0"/>
            <wp:positionH relativeFrom="column">
              <wp:posOffset>549275</wp:posOffset>
            </wp:positionH>
            <wp:positionV relativeFrom="paragraph">
              <wp:posOffset>156845</wp:posOffset>
            </wp:positionV>
            <wp:extent cx="4595495" cy="2877185"/>
            <wp:effectExtent l="4445" t="4445" r="10160" b="13970"/>
            <wp:wrapNone/>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jc w:val="center"/>
        <w:rPr>
          <w:rFonts w:hint="default" w:ascii="Times New Roman" w:hAnsi="Times New Roman" w:cs="Times New Roman"/>
        </w:rPr>
      </w:pPr>
    </w:p>
    <w:p>
      <w:pPr>
        <w:spacing w:line="600" w:lineRule="exact"/>
        <w:ind w:firstLine="640"/>
        <w:jc w:val="center"/>
        <w:rPr>
          <w:rFonts w:hint="default" w:ascii="Times New Roman" w:hAnsi="Times New Roman" w:cs="Times New Roman"/>
        </w:rPr>
      </w:pPr>
    </w:p>
    <w:p>
      <w:pPr>
        <w:spacing w:line="600" w:lineRule="exact"/>
        <w:ind w:firstLine="640"/>
        <w:jc w:val="center"/>
        <w:rPr>
          <w:rFonts w:hint="default" w:ascii="Times New Roman" w:hAnsi="Times New Roman" w:cs="Times New Roman"/>
        </w:rPr>
      </w:pPr>
    </w:p>
    <w:p>
      <w:pPr>
        <w:spacing w:line="600" w:lineRule="exact"/>
        <w:ind w:firstLine="640"/>
        <w:jc w:val="center"/>
        <w:rPr>
          <w:rFonts w:hint="default" w:ascii="Times New Roman" w:hAnsi="Times New Roman" w:cs="Times New Roman"/>
        </w:rPr>
      </w:pPr>
    </w:p>
    <w:p>
      <w:pPr>
        <w:spacing w:line="600" w:lineRule="exact"/>
        <w:ind w:firstLine="640"/>
        <w:jc w:val="center"/>
        <w:rPr>
          <w:rFonts w:hint="default" w:ascii="Times New Roman" w:hAnsi="Times New Roman" w:cs="Times New Roman"/>
        </w:rPr>
      </w:pPr>
    </w:p>
    <w:p>
      <w:pPr>
        <w:spacing w:line="600" w:lineRule="exact"/>
        <w:ind w:firstLine="640"/>
        <w:jc w:val="center"/>
        <w:rPr>
          <w:rFonts w:hint="default" w:ascii="Times New Roman" w:hAnsi="Times New Roman" w:cs="Times New Roman"/>
        </w:rPr>
      </w:pPr>
    </w:p>
    <w:p>
      <w:pPr>
        <w:spacing w:line="600" w:lineRule="exact"/>
        <w:ind w:firstLine="640"/>
        <w:jc w:val="center"/>
        <w:rPr>
          <w:rFonts w:hint="default" w:ascii="Times New Roman" w:hAnsi="Times New Roman" w:cs="Times New Roman"/>
        </w:rPr>
      </w:pP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78"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78"/>
    </w:p>
    <w:p>
      <w:pPr>
        <w:spacing w:beforeLines="0" w:afterLines="0"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bookmarkStart w:id="79" w:name="_Toc15377444"/>
      <w:bookmarkStart w:id="80" w:name="_Toc15377213"/>
      <w:bookmarkStart w:id="81" w:name="_Toc15378460"/>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605</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auto"/>
          <w:kern w:val="2"/>
          <w:sz w:val="32"/>
          <w:szCs w:val="32"/>
          <w:highlight w:val="none"/>
          <w:lang w:val="en-US" w:eastAsia="zh-CN" w:bidi="ar-SA"/>
        </w:rPr>
        <w:t>，完成预算100%。其中：</w:t>
      </w:r>
      <w:bookmarkEnd w:id="79"/>
      <w:bookmarkEnd w:id="80"/>
      <w:bookmarkEnd w:id="81"/>
      <w:bookmarkStart w:id="82" w:name="_Toc15377214"/>
      <w:bookmarkStart w:id="83" w:name="_Toc15396608"/>
    </w:p>
    <w:p>
      <w:pPr>
        <w:spacing w:beforeLines="0" w:afterLines="0" w:line="600" w:lineRule="exact"/>
        <w:ind w:firstLine="640" w:firstLineChars="200"/>
        <w:rPr>
          <w:rFonts w:hint="default" w:ascii="Times New Roman" w:hAnsi="Times New Roman" w:eastAsia="仿宋_GB2312" w:cs="Times New Roman"/>
          <w:b/>
          <w:sz w:val="32"/>
          <w:lang w:eastAsia="zh-CN"/>
        </w:rPr>
      </w:pPr>
      <w:r>
        <w:rPr>
          <w:rStyle w:val="17"/>
          <w:rFonts w:hint="default" w:ascii="Times New Roman" w:hAnsi="Times New Roman" w:eastAsia="仿宋_GB2312" w:cs="Times New Roman"/>
          <w:b w:val="0"/>
          <w:sz w:val="32"/>
        </w:rPr>
        <w:t>1.教育支出（类）:支出决算数为</w:t>
      </w:r>
      <w:r>
        <w:rPr>
          <w:rFonts w:hint="default" w:ascii="Times New Roman" w:hAnsi="Times New Roman" w:eastAsia="仿宋_GB2312" w:cs="Times New Roman"/>
          <w:color w:val="000000"/>
          <w:kern w:val="2"/>
          <w:sz w:val="32"/>
          <w:lang w:val="en-US" w:eastAsia="zh-CN"/>
        </w:rPr>
        <w:t>425.11</w:t>
      </w:r>
      <w:r>
        <w:rPr>
          <w:rStyle w:val="17"/>
          <w:rFonts w:hint="default" w:ascii="Times New Roman" w:hAnsi="Times New Roman" w:eastAsia="仿宋_GB2312" w:cs="Times New Roman"/>
          <w:b w:val="0"/>
          <w:sz w:val="32"/>
        </w:rPr>
        <w:t>万元，其中：教育支出（类）普通教育（款）学前教育（项）:支出决算为</w:t>
      </w:r>
      <w:r>
        <w:rPr>
          <w:rStyle w:val="17"/>
          <w:rFonts w:hint="default" w:ascii="Times New Roman" w:hAnsi="Times New Roman" w:eastAsia="仿宋_GB2312" w:cs="Times New Roman"/>
          <w:b w:val="0"/>
          <w:sz w:val="32"/>
          <w:lang w:val="en-US" w:eastAsia="zh-CN"/>
        </w:rPr>
        <w:t>3.31</w:t>
      </w:r>
      <w:r>
        <w:rPr>
          <w:rStyle w:val="17"/>
          <w:rFonts w:hint="default" w:ascii="Times New Roman" w:hAnsi="Times New Roman" w:eastAsia="仿宋_GB2312" w:cs="Times New Roman"/>
          <w:b w:val="0"/>
          <w:sz w:val="32"/>
        </w:rPr>
        <w:t>万元，完成预算100%，教育支出（类）普通教育（款）小学教育（项）:支出决算为</w:t>
      </w:r>
      <w:r>
        <w:rPr>
          <w:rStyle w:val="17"/>
          <w:rFonts w:hint="default" w:ascii="Times New Roman" w:hAnsi="Times New Roman" w:eastAsia="仿宋_GB2312" w:cs="Times New Roman"/>
          <w:b w:val="0"/>
          <w:sz w:val="32"/>
          <w:lang w:val="en-US" w:eastAsia="zh-CN"/>
        </w:rPr>
        <w:t>381.82</w:t>
      </w:r>
      <w:r>
        <w:rPr>
          <w:rStyle w:val="17"/>
          <w:rFonts w:hint="default" w:ascii="Times New Roman" w:hAnsi="Times New Roman" w:eastAsia="仿宋_GB2312" w:cs="Times New Roman"/>
          <w:b w:val="0"/>
          <w:sz w:val="32"/>
        </w:rPr>
        <w:t>万元，完成预算100%；教育支出（类）教育费附加安排的支出（款） 农村中小学教学设施 （项）:支出决算为</w:t>
      </w:r>
      <w:r>
        <w:rPr>
          <w:rStyle w:val="17"/>
          <w:rFonts w:hint="default" w:ascii="Times New Roman" w:hAnsi="Times New Roman" w:eastAsia="仿宋_GB2312" w:cs="Times New Roman"/>
          <w:b w:val="0"/>
          <w:sz w:val="32"/>
          <w:lang w:val="en-US" w:eastAsia="zh-CN"/>
        </w:rPr>
        <w:t>39.98</w:t>
      </w:r>
      <w:r>
        <w:rPr>
          <w:rStyle w:val="17"/>
          <w:rFonts w:hint="default" w:ascii="Times New Roman" w:hAnsi="Times New Roman" w:eastAsia="仿宋_GB2312" w:cs="Times New Roman"/>
          <w:b w:val="0"/>
          <w:sz w:val="32"/>
        </w:rPr>
        <w:t>万元，完成预算100%</w:t>
      </w:r>
      <w:r>
        <w:rPr>
          <w:rStyle w:val="17"/>
          <w:rFonts w:hint="default" w:ascii="Times New Roman" w:hAnsi="Times New Roman" w:eastAsia="仿宋_GB2312" w:cs="Times New Roman"/>
          <w:b w:val="0"/>
          <w:sz w:val="32"/>
          <w:lang w:eastAsia="zh-CN"/>
        </w:rPr>
        <w:t>。</w:t>
      </w:r>
    </w:p>
    <w:p>
      <w:pPr>
        <w:numPr>
          <w:ilvl w:val="0"/>
          <w:numId w:val="0"/>
        </w:numPr>
        <w:spacing w:beforeLines="0" w:afterLines="0" w:line="600" w:lineRule="exact"/>
        <w:ind w:left="0" w:leftChars="0" w:firstLine="640" w:firstLineChars="200"/>
        <w:rPr>
          <w:rFonts w:hint="default" w:ascii="Times New Roman" w:hAnsi="Times New Roman" w:cs="Times New Roman"/>
        </w:rPr>
      </w:pPr>
      <w:r>
        <w:rPr>
          <w:rStyle w:val="17"/>
          <w:rFonts w:hint="default" w:ascii="Times New Roman" w:hAnsi="Times New Roman" w:eastAsia="仿宋_GB2312" w:cs="Times New Roman"/>
          <w:b w:val="0"/>
          <w:sz w:val="32"/>
          <w:lang w:val="en-US" w:eastAsia="zh-CN"/>
        </w:rPr>
        <w:t>2.</w:t>
      </w:r>
      <w:r>
        <w:rPr>
          <w:rStyle w:val="17"/>
          <w:rFonts w:hint="default" w:ascii="Times New Roman" w:hAnsi="Times New Roman" w:eastAsia="仿宋_GB2312" w:cs="Times New Roman"/>
          <w:b w:val="0"/>
          <w:sz w:val="32"/>
        </w:rPr>
        <w:t>社会保障和就业支出（类）支出决算数为:</w:t>
      </w:r>
      <w:r>
        <w:rPr>
          <w:rFonts w:hint="default" w:ascii="Times New Roman" w:hAnsi="Times New Roman" w:eastAsia="仿宋_GB2312" w:cs="Times New Roman"/>
          <w:sz w:val="32"/>
          <w:lang w:val="en-US" w:eastAsia="zh-CN"/>
        </w:rPr>
        <w:t>108.27</w:t>
      </w:r>
      <w:r>
        <w:rPr>
          <w:rStyle w:val="17"/>
          <w:rFonts w:hint="default" w:ascii="Times New Roman" w:hAnsi="Times New Roman" w:eastAsia="仿宋_GB2312" w:cs="Times New Roman"/>
          <w:b w:val="0"/>
          <w:sz w:val="32"/>
        </w:rPr>
        <w:t>万元，其中：社会保障和就业支出（类）行政事业单位养老支出（款）事业单位离退休（项）：支出决算为</w:t>
      </w:r>
      <w:r>
        <w:rPr>
          <w:rStyle w:val="17"/>
          <w:rFonts w:hint="default" w:ascii="Times New Roman" w:hAnsi="Times New Roman" w:eastAsia="仿宋_GB2312" w:cs="Times New Roman"/>
          <w:b w:val="0"/>
          <w:sz w:val="32"/>
          <w:lang w:val="en-US" w:eastAsia="zh-CN"/>
        </w:rPr>
        <w:t>46.13</w:t>
      </w:r>
      <w:r>
        <w:rPr>
          <w:rStyle w:val="17"/>
          <w:rFonts w:hint="default" w:ascii="Times New Roman" w:hAnsi="Times New Roman" w:eastAsia="仿宋_GB2312" w:cs="Times New Roman"/>
          <w:b w:val="0"/>
          <w:sz w:val="32"/>
        </w:rPr>
        <w:t>万元，完成预算100%，社会保障和就业支出（类）行政事业单位养老支出（款）机关事业单位基本养老保险缴费支出（项）：支出决算为</w:t>
      </w:r>
      <w:r>
        <w:rPr>
          <w:rStyle w:val="17"/>
          <w:rFonts w:hint="default" w:ascii="Times New Roman" w:hAnsi="Times New Roman" w:eastAsia="仿宋_GB2312" w:cs="Times New Roman"/>
          <w:b w:val="0"/>
          <w:sz w:val="32"/>
          <w:lang w:val="en-US" w:eastAsia="zh-CN"/>
        </w:rPr>
        <w:t>41.82</w:t>
      </w:r>
      <w:r>
        <w:rPr>
          <w:rStyle w:val="17"/>
          <w:rFonts w:hint="default" w:ascii="Times New Roman" w:hAnsi="Times New Roman" w:eastAsia="仿宋_GB2312" w:cs="Times New Roman"/>
          <w:b w:val="0"/>
          <w:sz w:val="32"/>
        </w:rPr>
        <w:t>万元，完成预算100%，社会保障和就业支出（类）行政事业单位养老支出（款）机关事业单位职业年金缴费支出（项）:支出决算为</w:t>
      </w:r>
      <w:r>
        <w:rPr>
          <w:rStyle w:val="17"/>
          <w:rFonts w:hint="default" w:ascii="Times New Roman" w:hAnsi="Times New Roman" w:eastAsia="仿宋_GB2312" w:cs="Times New Roman"/>
          <w:b w:val="0"/>
          <w:sz w:val="32"/>
          <w:lang w:val="en-US" w:eastAsia="zh-CN"/>
        </w:rPr>
        <w:t>19.18</w:t>
      </w:r>
      <w:r>
        <w:rPr>
          <w:rStyle w:val="17"/>
          <w:rFonts w:hint="default" w:ascii="Times New Roman" w:hAnsi="Times New Roman" w:eastAsia="仿宋_GB2312" w:cs="Times New Roman"/>
          <w:b w:val="0"/>
          <w:sz w:val="32"/>
        </w:rPr>
        <w:t>万元，完成预算100%</w:t>
      </w:r>
      <w:r>
        <w:rPr>
          <w:rStyle w:val="17"/>
          <w:rFonts w:hint="default" w:ascii="Times New Roman" w:hAnsi="Times New Roman" w:eastAsia="仿宋_GB2312" w:cs="Times New Roman"/>
          <w:b w:val="0"/>
          <w:sz w:val="32"/>
          <w:lang w:eastAsia="zh-CN"/>
        </w:rPr>
        <w:t>；</w:t>
      </w:r>
      <w:r>
        <w:rPr>
          <w:rStyle w:val="17"/>
          <w:rFonts w:hint="default" w:ascii="Times New Roman" w:hAnsi="Times New Roman" w:eastAsia="仿宋_GB2312" w:cs="Times New Roman"/>
          <w:b w:val="0"/>
          <w:sz w:val="32"/>
        </w:rPr>
        <w:t>社会保障和就业支出（类）抚恤（款）伤残抚恤（项）:支出决算为</w:t>
      </w:r>
      <w:r>
        <w:rPr>
          <w:rStyle w:val="17"/>
          <w:rFonts w:hint="default" w:ascii="Times New Roman" w:hAnsi="Times New Roman" w:eastAsia="仿宋_GB2312" w:cs="Times New Roman"/>
          <w:b w:val="0"/>
          <w:sz w:val="32"/>
          <w:lang w:val="en-US" w:eastAsia="zh-CN"/>
        </w:rPr>
        <w:t>1.14</w:t>
      </w:r>
      <w:r>
        <w:rPr>
          <w:rStyle w:val="17"/>
          <w:rFonts w:hint="default" w:ascii="Times New Roman" w:hAnsi="Times New Roman" w:eastAsia="仿宋_GB2312" w:cs="Times New Roman"/>
          <w:b w:val="0"/>
          <w:sz w:val="32"/>
        </w:rPr>
        <w:t>万元，完成预算100%</w:t>
      </w:r>
      <w:r>
        <w:rPr>
          <w:rStyle w:val="17"/>
          <w:rFonts w:hint="default" w:ascii="Times New Roman" w:hAnsi="Times New Roman" w:eastAsia="仿宋_GB2312" w:cs="Times New Roman"/>
          <w:b w:val="0"/>
          <w:sz w:val="32"/>
          <w:lang w:eastAsia="zh-CN"/>
        </w:rPr>
        <w:t>。</w:t>
      </w:r>
    </w:p>
    <w:p>
      <w:pPr>
        <w:spacing w:beforeLines="0" w:afterLines="0" w:line="600" w:lineRule="exact"/>
        <w:ind w:firstLine="640" w:firstLineChars="200"/>
        <w:rPr>
          <w:rStyle w:val="17"/>
          <w:rFonts w:hint="default" w:ascii="Times New Roman" w:hAnsi="Times New Roman" w:eastAsia="仿宋_GB2312" w:cs="Times New Roman"/>
          <w:b w:val="0"/>
          <w:sz w:val="32"/>
        </w:rPr>
      </w:pPr>
      <w:r>
        <w:rPr>
          <w:rStyle w:val="17"/>
          <w:rFonts w:hint="default" w:ascii="Times New Roman" w:hAnsi="Times New Roman" w:eastAsia="仿宋_GB2312" w:cs="Times New Roman"/>
          <w:b w:val="0"/>
          <w:sz w:val="32"/>
        </w:rPr>
        <w:t>3.</w:t>
      </w:r>
      <w:r>
        <w:rPr>
          <w:rFonts w:hint="default" w:ascii="Times New Roman" w:hAnsi="Times New Roman" w:eastAsia="仿宋_GB2312" w:cs="Times New Roman"/>
          <w:sz w:val="32"/>
        </w:rPr>
        <w:t>卫生健康支出</w:t>
      </w:r>
      <w:r>
        <w:rPr>
          <w:rStyle w:val="17"/>
          <w:rFonts w:hint="default" w:ascii="Times New Roman" w:hAnsi="Times New Roman" w:eastAsia="仿宋_GB2312" w:cs="Times New Roman"/>
          <w:b w:val="0"/>
          <w:sz w:val="32"/>
        </w:rPr>
        <w:t>（类）支出决算数为：</w:t>
      </w:r>
      <w:r>
        <w:rPr>
          <w:rStyle w:val="17"/>
          <w:rFonts w:hint="default" w:ascii="Times New Roman" w:hAnsi="Times New Roman" w:eastAsia="仿宋_GB2312" w:cs="Times New Roman"/>
          <w:b w:val="0"/>
          <w:sz w:val="32"/>
          <w:lang w:val="en-US" w:eastAsia="zh-CN"/>
        </w:rPr>
        <w:t>36.63</w:t>
      </w:r>
      <w:r>
        <w:rPr>
          <w:rStyle w:val="17"/>
          <w:rFonts w:hint="default" w:ascii="Times New Roman" w:hAnsi="Times New Roman" w:eastAsia="仿宋_GB2312" w:cs="Times New Roman"/>
          <w:b w:val="0"/>
          <w:sz w:val="32"/>
        </w:rPr>
        <w:t>万元，其中：</w:t>
      </w:r>
      <w:r>
        <w:rPr>
          <w:rFonts w:hint="default" w:ascii="Times New Roman" w:hAnsi="Times New Roman" w:eastAsia="仿宋_GB2312" w:cs="Times New Roman"/>
          <w:sz w:val="32"/>
        </w:rPr>
        <w:t>卫生健康支出</w:t>
      </w:r>
      <w:r>
        <w:rPr>
          <w:rStyle w:val="17"/>
          <w:rFonts w:hint="default" w:ascii="Times New Roman" w:hAnsi="Times New Roman" w:eastAsia="仿宋_GB2312" w:cs="Times New Roman"/>
          <w:b w:val="0"/>
          <w:sz w:val="32"/>
        </w:rPr>
        <w:t>（类）行政事业单位医疗（款）事业单位医疗（项）：支出决算为</w:t>
      </w:r>
      <w:r>
        <w:rPr>
          <w:rStyle w:val="17"/>
          <w:rFonts w:hint="default" w:ascii="Times New Roman" w:hAnsi="Times New Roman" w:eastAsia="仿宋_GB2312" w:cs="Times New Roman"/>
          <w:b w:val="0"/>
          <w:sz w:val="32"/>
          <w:lang w:val="en-US" w:eastAsia="zh-CN"/>
        </w:rPr>
        <w:t>22.08</w:t>
      </w:r>
      <w:r>
        <w:rPr>
          <w:rStyle w:val="17"/>
          <w:rFonts w:hint="default" w:ascii="Times New Roman" w:hAnsi="Times New Roman" w:eastAsia="仿宋_GB2312" w:cs="Times New Roman"/>
          <w:b w:val="0"/>
          <w:sz w:val="32"/>
        </w:rPr>
        <w:t>万元，完成预算100%；</w:t>
      </w:r>
      <w:r>
        <w:rPr>
          <w:rFonts w:hint="default" w:ascii="Times New Roman" w:hAnsi="Times New Roman" w:eastAsia="仿宋_GB2312" w:cs="Times New Roman"/>
          <w:sz w:val="32"/>
        </w:rPr>
        <w:t>卫生健康支出</w:t>
      </w:r>
      <w:r>
        <w:rPr>
          <w:rStyle w:val="17"/>
          <w:rFonts w:hint="default" w:ascii="Times New Roman" w:hAnsi="Times New Roman" w:eastAsia="仿宋_GB2312" w:cs="Times New Roman"/>
          <w:b w:val="0"/>
          <w:sz w:val="32"/>
        </w:rPr>
        <w:t>（类）行政事业单位医疗（款）其他行政事业单位医疗支出（项）</w:t>
      </w:r>
      <w:r>
        <w:rPr>
          <w:rStyle w:val="17"/>
          <w:rFonts w:hint="default" w:ascii="Times New Roman" w:hAnsi="Times New Roman" w:eastAsia="仿宋_GB2312" w:cs="Times New Roman"/>
          <w:sz w:val="32"/>
        </w:rPr>
        <w:t>:</w:t>
      </w:r>
      <w:r>
        <w:rPr>
          <w:rStyle w:val="17"/>
          <w:rFonts w:hint="default" w:ascii="Times New Roman" w:hAnsi="Times New Roman" w:eastAsia="仿宋_GB2312" w:cs="Times New Roman"/>
          <w:b w:val="0"/>
          <w:sz w:val="32"/>
        </w:rPr>
        <w:t>支出决算为</w:t>
      </w:r>
      <w:r>
        <w:rPr>
          <w:rStyle w:val="17"/>
          <w:rFonts w:hint="default" w:ascii="Times New Roman" w:hAnsi="Times New Roman" w:eastAsia="仿宋_GB2312" w:cs="Times New Roman"/>
          <w:b w:val="0"/>
          <w:sz w:val="32"/>
          <w:lang w:val="en-US" w:eastAsia="zh-CN"/>
        </w:rPr>
        <w:t>14.55</w:t>
      </w:r>
      <w:r>
        <w:rPr>
          <w:rStyle w:val="17"/>
          <w:rFonts w:hint="default" w:ascii="Times New Roman" w:hAnsi="Times New Roman" w:eastAsia="仿宋_GB2312" w:cs="Times New Roman"/>
          <w:b w:val="0"/>
          <w:sz w:val="32"/>
        </w:rPr>
        <w:t>万元，完成预算100%。</w:t>
      </w:r>
    </w:p>
    <w:p>
      <w:pPr>
        <w:spacing w:beforeLines="0" w:afterLines="0" w:line="600" w:lineRule="exact"/>
        <w:ind w:firstLine="640" w:firstLineChars="200"/>
        <w:rPr>
          <w:rFonts w:hint="default" w:ascii="Times New Roman" w:hAnsi="Times New Roman" w:eastAsia="仿宋_GB2312" w:cs="Times New Roman"/>
          <w:b/>
          <w:color w:val="000000"/>
          <w:kern w:val="2"/>
          <w:sz w:val="32"/>
          <w:lang w:val="zh-CN"/>
        </w:rPr>
      </w:pPr>
      <w:r>
        <w:rPr>
          <w:rStyle w:val="17"/>
          <w:rFonts w:hint="default" w:ascii="Times New Roman" w:hAnsi="Times New Roman" w:eastAsia="仿宋_GB2312" w:cs="Times New Roman"/>
          <w:b w:val="0"/>
          <w:sz w:val="32"/>
        </w:rPr>
        <w:t>4.</w:t>
      </w:r>
      <w:r>
        <w:rPr>
          <w:rFonts w:hint="default" w:ascii="Times New Roman" w:hAnsi="Times New Roman" w:cs="Times New Roman"/>
          <w:b/>
          <w:sz w:val="24"/>
        </w:rPr>
        <w:t xml:space="preserve"> </w:t>
      </w:r>
      <w:r>
        <w:rPr>
          <w:rFonts w:hint="default" w:ascii="Times New Roman" w:hAnsi="Times New Roman" w:eastAsia="仿宋_GB2312" w:cs="Times New Roman"/>
          <w:sz w:val="32"/>
        </w:rPr>
        <w:t>住房保障支出</w:t>
      </w:r>
      <w:r>
        <w:rPr>
          <w:rStyle w:val="17"/>
          <w:rFonts w:hint="default" w:ascii="Times New Roman" w:hAnsi="Times New Roman" w:eastAsia="仿宋_GB2312" w:cs="Times New Roman"/>
          <w:b w:val="0"/>
          <w:sz w:val="32"/>
        </w:rPr>
        <w:t>（类）住房改革支出（款）住房公积金（项）:支出决算为</w:t>
      </w:r>
      <w:r>
        <w:rPr>
          <w:rStyle w:val="17"/>
          <w:rFonts w:hint="default" w:ascii="Times New Roman" w:hAnsi="Times New Roman" w:eastAsia="仿宋_GB2312" w:cs="Times New Roman"/>
          <w:b w:val="0"/>
          <w:sz w:val="32"/>
          <w:lang w:val="en-US" w:eastAsia="zh-CN"/>
        </w:rPr>
        <w:t>34.99</w:t>
      </w:r>
      <w:r>
        <w:rPr>
          <w:rStyle w:val="17"/>
          <w:rFonts w:hint="default" w:ascii="Times New Roman" w:hAnsi="Times New Roman" w:eastAsia="仿宋_GB2312" w:cs="Times New Roman"/>
          <w:b w:val="0"/>
          <w:sz w:val="32"/>
        </w:rPr>
        <w:t>万元，完成预算100%。</w:t>
      </w:r>
    </w:p>
    <w:p>
      <w:pPr>
        <w:tabs>
          <w:tab w:val="right" w:pos="8306"/>
        </w:tabs>
        <w:spacing w:line="600" w:lineRule="exact"/>
        <w:ind w:firstLine="640"/>
        <w:outlineLvl w:val="1"/>
        <w:rPr>
          <w:rStyle w:val="29"/>
          <w:rFonts w:hint="default" w:ascii="Times New Roman" w:hAnsi="Times New Roman" w:cs="Times New Roman"/>
          <w:color w:val="auto"/>
          <w:highlight w:val="none"/>
        </w:rPr>
      </w:pPr>
      <w:bookmarkStart w:id="84" w:name="_Toc9101"/>
      <w:bookmarkStart w:id="85" w:name="_Toc21737_WPSOffice_Level2"/>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29"/>
          <w:rFonts w:hint="default" w:ascii="Times New Roman" w:hAnsi="Times New Roman" w:eastAsia="黑体" w:cs="Times New Roman"/>
          <w:b w:val="0"/>
          <w:color w:val="auto"/>
          <w:highlight w:val="none"/>
        </w:rPr>
        <w:t>般公共预算财政拨款基本支出决算情况说明</w:t>
      </w:r>
      <w:bookmarkEnd w:id="82"/>
      <w:bookmarkEnd w:id="83"/>
      <w:bookmarkEnd w:id="84"/>
      <w:bookmarkEnd w:id="85"/>
      <w:r>
        <w:rPr>
          <w:rStyle w:val="29"/>
          <w:rFonts w:hint="default" w:ascii="Times New Roman" w:hAnsi="Times New Roman" w:eastAsia="黑体" w:cs="Times New Roman"/>
          <w:b w:val="0"/>
          <w:color w:val="auto"/>
          <w:highlight w:val="none"/>
        </w:rPr>
        <w:tab/>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563.75</w:t>
      </w:r>
      <w:r>
        <w:rPr>
          <w:rFonts w:hint="default" w:ascii="Times New Roman" w:hAnsi="Times New Roman" w:eastAsia="仿宋_GB2312" w:cs="Times New Roman"/>
          <w:color w:val="auto"/>
          <w:kern w:val="2"/>
          <w:sz w:val="32"/>
          <w:szCs w:val="32"/>
          <w:highlight w:val="none"/>
          <w:lang w:val="en-US" w:eastAsia="zh-CN" w:bidi="ar-SA"/>
        </w:rPr>
        <w:t>万元，其中：</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rPr>
        <w:t>536.5</w:t>
      </w:r>
      <w:r>
        <w:rPr>
          <w:rFonts w:hint="default" w:ascii="Times New Roman" w:hAnsi="Times New Roman" w:eastAsia="仿宋_GB2312" w:cs="Times New Roman"/>
          <w:color w:val="auto"/>
          <w:kern w:val="2"/>
          <w:sz w:val="32"/>
          <w:szCs w:val="32"/>
          <w:highlight w:val="none"/>
          <w:lang w:val="en-US" w:eastAsia="zh-CN" w:bidi="ar-SA"/>
        </w:rPr>
        <w:t>万元，主要包括：基本工资、津贴补贴、绩效工资、机关事业单位基本养老保险缴费、职工基本医疗保险缴费、职业年金缴费、其他社会保障缴费、其他工资福利支出、医疗费、住房公积金、抚恤金、生活补助、医疗费补助、奖励金。</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公用经费</w:t>
      </w:r>
      <w:r>
        <w:rPr>
          <w:rFonts w:hint="default" w:ascii="Times New Roman" w:hAnsi="Times New Roman" w:eastAsia="仿宋_GB2312" w:cs="Times New Roman"/>
          <w:sz w:val="32"/>
          <w:szCs w:val="32"/>
        </w:rPr>
        <w:t>27.25</w:t>
      </w:r>
      <w:r>
        <w:rPr>
          <w:rFonts w:hint="default" w:ascii="Times New Roman" w:hAnsi="Times New Roman" w:eastAsia="仿宋_GB2312" w:cs="Times New Roman"/>
          <w:color w:val="auto"/>
          <w:kern w:val="2"/>
          <w:sz w:val="32"/>
          <w:szCs w:val="32"/>
          <w:highlight w:val="none"/>
          <w:lang w:val="en-US" w:eastAsia="zh-CN" w:bidi="ar-SA"/>
        </w:rPr>
        <w:t>万元，主要包括：办公费、印刷费、电费、差旅费、维修（护）费、培训费、劳务费、工会经费、其他交通费、其他商品和服务支出、办公设备购置。</w:t>
      </w:r>
    </w:p>
    <w:p>
      <w:pPr>
        <w:spacing w:line="600" w:lineRule="exact"/>
        <w:ind w:firstLine="640"/>
        <w:outlineLvl w:val="1"/>
        <w:rPr>
          <w:rStyle w:val="29"/>
          <w:rFonts w:hint="default" w:ascii="Times New Roman" w:hAnsi="Times New Roman" w:eastAsia="黑体" w:cs="Times New Roman"/>
          <w:b w:val="0"/>
          <w:color w:val="auto"/>
          <w:highlight w:val="none"/>
        </w:rPr>
      </w:pPr>
      <w:bookmarkStart w:id="86" w:name="_Toc15377215"/>
      <w:bookmarkStart w:id="87" w:name="_Toc15396609"/>
      <w:bookmarkStart w:id="88" w:name="_Toc26617"/>
      <w:bookmarkStart w:id="89" w:name="_Toc12678_WPSOffice_Level2"/>
      <w:r>
        <w:rPr>
          <w:rFonts w:hint="default" w:ascii="Times New Roman" w:hAnsi="Times New Roman" w:eastAsia="黑体" w:cs="Times New Roman"/>
          <w:color w:val="auto"/>
          <w:sz w:val="32"/>
          <w:szCs w:val="32"/>
          <w:highlight w:val="none"/>
        </w:rPr>
        <w:t>七、</w:t>
      </w:r>
      <w:r>
        <w:rPr>
          <w:rStyle w:val="29"/>
          <w:rFonts w:hint="default" w:ascii="Times New Roman" w:hAnsi="Times New Roman" w:eastAsia="黑体" w:cs="Times New Roman"/>
          <w:b w:val="0"/>
          <w:color w:val="auto"/>
          <w:highlight w:val="none"/>
        </w:rPr>
        <w:t>财政拨款</w:t>
      </w:r>
      <w:r>
        <w:rPr>
          <w:rStyle w:val="29"/>
          <w:rFonts w:hint="default" w:ascii="Times New Roman" w:hAnsi="Times New Roman" w:eastAsia="黑体" w:cs="Times New Roman"/>
          <w:color w:val="auto"/>
          <w:highlight w:val="none"/>
        </w:rPr>
        <w:t>“</w:t>
      </w:r>
      <w:r>
        <w:rPr>
          <w:rStyle w:val="29"/>
          <w:rFonts w:hint="default" w:ascii="Times New Roman" w:hAnsi="Times New Roman" w:eastAsia="黑体" w:cs="Times New Roman"/>
          <w:b w:val="0"/>
          <w:color w:val="auto"/>
          <w:highlight w:val="none"/>
        </w:rPr>
        <w:t>三公”经费支出决算情况说明</w:t>
      </w:r>
      <w:bookmarkEnd w:id="86"/>
      <w:bookmarkEnd w:id="87"/>
      <w:bookmarkEnd w:id="88"/>
      <w:bookmarkEnd w:id="89"/>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90"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90"/>
    </w:p>
    <w:p>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%，与2023年决算数持平。</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91"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91"/>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万元，占0%；公务用车购置及运行维护费支出决算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万元，占0%；公务接待费支出决算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万元，占0%。具体情况如下：</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人。因公出国（境）支出决算与2023年度决算数据持平。</w:t>
      </w:r>
    </w:p>
    <w:p>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2.公务用车购置及运行维护费支出0万元，完成预算0%。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公务用车购置及运行维护费支出决算与2023年决算数持平。</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万元。全年按规定更新购置公务用车0辆，其中：轿车0辆、金额0万元，越野车0辆、金额0万元，载客汽车0辆、金额0万元。截至2024年12月31日，单位共有公务用车0辆，其中：轿车0辆、越野车0辆、载客汽车0辆。</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3.公务接待费支出0万元，完成预算0%。</w:t>
      </w:r>
      <w:r>
        <w:rPr>
          <w:rFonts w:hint="default" w:ascii="Times New Roman" w:hAnsi="Times New Roman" w:eastAsia="仿宋_GB2312" w:cs="Times New Roman"/>
          <w:color w:val="auto"/>
          <w:kern w:val="2"/>
          <w:sz w:val="32"/>
          <w:szCs w:val="32"/>
          <w:highlight w:val="none"/>
          <w:lang w:val="en-US" w:eastAsia="zh-CN" w:bidi="ar-SA"/>
        </w:rPr>
        <w:t>公务接待费支出决算与2023年决算数持平。其中：</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万元。国内公务接待</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人次（不包括陪同人员），共计支出0万元。</w:t>
      </w:r>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万元。外事接待</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人次（不包括陪同人员），共计支出0万元。</w:t>
      </w:r>
    </w:p>
    <w:p>
      <w:pPr>
        <w:spacing w:line="600" w:lineRule="exact"/>
        <w:ind w:firstLine="640"/>
        <w:outlineLvl w:val="1"/>
        <w:rPr>
          <w:rStyle w:val="29"/>
          <w:rFonts w:hint="default" w:ascii="Times New Roman" w:hAnsi="Times New Roman" w:eastAsia="黑体" w:cs="Times New Roman"/>
          <w:color w:val="auto"/>
          <w:highlight w:val="none"/>
        </w:rPr>
      </w:pPr>
      <w:bookmarkStart w:id="92" w:name="_Toc15396610"/>
      <w:bookmarkStart w:id="93" w:name="_Toc15377218"/>
      <w:bookmarkStart w:id="94" w:name="_Toc17006"/>
      <w:bookmarkStart w:id="95" w:name="_Toc21070_WPSOffice_Level2"/>
      <w:r>
        <w:rPr>
          <w:rFonts w:hint="default" w:ascii="Times New Roman" w:hAnsi="Times New Roman" w:eastAsia="黑体" w:cs="Times New Roman"/>
          <w:color w:val="auto"/>
          <w:sz w:val="32"/>
          <w:szCs w:val="32"/>
          <w:highlight w:val="none"/>
        </w:rPr>
        <w:t>八、</w:t>
      </w:r>
      <w:r>
        <w:rPr>
          <w:rStyle w:val="29"/>
          <w:rFonts w:hint="default" w:ascii="Times New Roman" w:hAnsi="Times New Roman" w:eastAsia="黑体" w:cs="Times New Roman"/>
          <w:b w:val="0"/>
          <w:color w:val="auto"/>
          <w:highlight w:val="none"/>
        </w:rPr>
        <w:t>政府性基金预算支出决算情况说明</w:t>
      </w:r>
      <w:bookmarkEnd w:id="92"/>
      <w:bookmarkEnd w:id="93"/>
      <w:bookmarkEnd w:id="94"/>
      <w:bookmarkEnd w:id="95"/>
    </w:p>
    <w:p>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%。与2023年决算数持平。</w:t>
      </w:r>
    </w:p>
    <w:p>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96" w:name="_Toc15396611"/>
      <w:bookmarkStart w:id="97" w:name="_Toc15377219"/>
      <w:bookmarkStart w:id="98" w:name="_Toc6486"/>
      <w:bookmarkStart w:id="99" w:name="_Toc21452_WPSOffice_Level2"/>
      <w:r>
        <w:rPr>
          <w:rStyle w:val="29"/>
          <w:rFonts w:hint="default" w:ascii="Times New Roman" w:hAnsi="Times New Roman" w:eastAsia="黑体" w:cs="Times New Roman"/>
          <w:b w:val="0"/>
          <w:color w:val="auto"/>
          <w:highlight w:val="none"/>
          <w:lang w:eastAsia="zh-CN"/>
        </w:rPr>
        <w:t>九、</w:t>
      </w:r>
      <w:r>
        <w:rPr>
          <w:rStyle w:val="29"/>
          <w:rFonts w:hint="default" w:ascii="Times New Roman" w:hAnsi="Times New Roman" w:eastAsia="黑体" w:cs="Times New Roman"/>
          <w:b w:val="0"/>
          <w:color w:val="auto"/>
          <w:highlight w:val="none"/>
        </w:rPr>
        <w:t>国有资本经营预算支出决算情况说明</w:t>
      </w:r>
      <w:bookmarkEnd w:id="96"/>
      <w:bookmarkEnd w:id="97"/>
      <w:bookmarkEnd w:id="98"/>
      <w:bookmarkEnd w:id="99"/>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%。与2023年度相比，国有资本经营预算财政拨款支出与2023年决算数持平。</w:t>
      </w:r>
    </w:p>
    <w:p>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100" w:name="_Toc15377221"/>
      <w:bookmarkStart w:id="101" w:name="_Toc15396612"/>
      <w:bookmarkStart w:id="102" w:name="_Toc2427"/>
      <w:bookmarkStart w:id="103" w:name="_Toc19648_WPSOffice_Level2"/>
      <w:r>
        <w:rPr>
          <w:rStyle w:val="29"/>
          <w:rFonts w:hint="default" w:ascii="Times New Roman" w:hAnsi="Times New Roman" w:eastAsia="黑体" w:cs="Times New Roman"/>
          <w:b w:val="0"/>
          <w:color w:val="auto"/>
          <w:highlight w:val="none"/>
          <w:lang w:eastAsia="zh-CN"/>
        </w:rPr>
        <w:t>十、</w:t>
      </w:r>
      <w:r>
        <w:rPr>
          <w:rStyle w:val="29"/>
          <w:rFonts w:hint="default" w:ascii="Times New Roman" w:hAnsi="Times New Roman" w:eastAsia="黑体" w:cs="Times New Roman"/>
          <w:b w:val="0"/>
          <w:color w:val="auto"/>
          <w:highlight w:val="none"/>
        </w:rPr>
        <w:t>其他重要事项的情况说明</w:t>
      </w:r>
      <w:bookmarkEnd w:id="100"/>
      <w:bookmarkEnd w:id="101"/>
      <w:bookmarkEnd w:id="102"/>
      <w:bookmarkEnd w:id="103"/>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104" w:name="_Toc15377222"/>
      <w:r>
        <w:rPr>
          <w:rFonts w:hint="default" w:ascii="Times New Roman" w:hAnsi="Times New Roman" w:eastAsia="楷体_GB2312" w:cs="Times New Roman"/>
          <w:b/>
          <w:color w:val="auto"/>
          <w:sz w:val="32"/>
          <w:szCs w:val="32"/>
          <w:highlight w:val="none"/>
        </w:rPr>
        <w:t>（一）机关运行经费支出情况</w:t>
      </w:r>
      <w:bookmarkEnd w:id="104"/>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盐边县共和乡中心学校</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万元，与2023年决算数持平。</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105" w:name="_Toc15377223"/>
      <w:r>
        <w:rPr>
          <w:rFonts w:hint="default" w:ascii="Times New Roman" w:hAnsi="Times New Roman" w:eastAsia="楷体_GB2312" w:cs="Times New Roman"/>
          <w:b/>
          <w:color w:val="auto"/>
          <w:sz w:val="32"/>
          <w:szCs w:val="32"/>
          <w:highlight w:val="none"/>
        </w:rPr>
        <w:t>（二）政府采购支出情况</w:t>
      </w:r>
      <w:bookmarkEnd w:id="105"/>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盐边县共和乡中心学校</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万元。授予中小企业合同金额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106" w:name="_Toc15377224"/>
      <w:r>
        <w:rPr>
          <w:rFonts w:hint="default" w:ascii="Times New Roman" w:hAnsi="Times New Roman" w:eastAsia="楷体_GB2312" w:cs="Times New Roman"/>
          <w:b/>
          <w:color w:val="auto"/>
          <w:sz w:val="32"/>
          <w:szCs w:val="32"/>
          <w:highlight w:val="none"/>
        </w:rPr>
        <w:t>（三）国有资产占有使用情况</w:t>
      </w:r>
      <w:bookmarkEnd w:id="106"/>
    </w:p>
    <w:p>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盐边县共和乡中心学校</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辆，其中：主要负责人用车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辆、机要通信用车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辆、应急保障用车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辆。单价100万元（含）以上设备（不含车辆）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台（套）。</w:t>
      </w:r>
    </w:p>
    <w:p>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pPr>
        <w:spacing w:line="600" w:lineRule="exact"/>
        <w:ind w:firstLine="640"/>
        <w:rPr>
          <w:rFonts w:hint="default" w:ascii="Times New Roman" w:hAnsi="Times New Roman" w:eastAsia="仿宋_GB2312" w:cs="Times New Roman"/>
          <w:b/>
          <w:bCs/>
          <w:color w:val="0000FF"/>
          <w:kern w:val="2"/>
          <w:sz w:val="32"/>
          <w:szCs w:val="32"/>
          <w:highlight w:val="none"/>
          <w:lang w:val="en-US" w:eastAsia="zh-CN" w:bidi="ar-SA"/>
        </w:rPr>
      </w:pPr>
      <w:r>
        <w:rPr>
          <w:rFonts w:hint="default" w:ascii="Times New Roman" w:hAnsi="Times New Roman" w:eastAsia="仿宋_GB2312" w:cs="Times New Roman"/>
          <w:sz w:val="32"/>
          <w:szCs w:val="32"/>
        </w:rPr>
        <w:t>根据预算绩效管理要求，本单位在202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年度预算编制阶段，组织对</w:t>
      </w:r>
      <w:r>
        <w:rPr>
          <w:rFonts w:hint="default" w:ascii="Times New Roman" w:hAnsi="Times New Roman" w:cs="Times New Roman"/>
          <w:sz w:val="32"/>
          <w:szCs w:val="32"/>
        </w:rPr>
        <w:t>部门预算项目支出绩效自评</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个项目开展了预算事前绩效评估，对</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个项目开展绩效监控，组织对</w:t>
      </w:r>
      <w:r>
        <w:rPr>
          <w:rFonts w:hint="default"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rPr>
        <w:t>个项目开展绩效自评，绩效自评表详见第四部分附件。</w:t>
      </w:r>
    </w:p>
    <w:p>
      <w:pPr>
        <w:spacing w:line="600" w:lineRule="exact"/>
        <w:rPr>
          <w:rFonts w:hint="default" w:ascii="Times New Roman" w:hAnsi="Times New Roman" w:eastAsia="仿宋_GB2312" w:cs="Times New Roman"/>
          <w:color w:val="auto"/>
          <w:kern w:val="2"/>
          <w:sz w:val="32"/>
          <w:szCs w:val="32"/>
          <w:highlight w:val="none"/>
          <w:lang w:val="en-US" w:eastAsia="zh-CN" w:bidi="ar-SA"/>
        </w:rPr>
      </w:pPr>
    </w:p>
    <w:p>
      <w:pPr>
        <w:numPr>
          <w:ilvl w:val="0"/>
          <w:numId w:val="0"/>
        </w:numPr>
        <w:spacing w:line="600" w:lineRule="exact"/>
        <w:jc w:val="center"/>
        <w:outlineLvl w:val="0"/>
        <w:rPr>
          <w:rFonts w:hint="default" w:ascii="Times New Roman" w:hAnsi="Times New Roman" w:eastAsia="黑体" w:cs="Times New Roman"/>
          <w:color w:val="auto"/>
          <w:sz w:val="44"/>
          <w:szCs w:val="44"/>
          <w:highlight w:val="none"/>
        </w:rPr>
      </w:pPr>
      <w:bookmarkStart w:id="107" w:name="_Toc15377225"/>
      <w:bookmarkStart w:id="108" w:name="_Toc15396613"/>
      <w:bookmarkStart w:id="109" w:name="_Toc9060"/>
      <w:bookmarkStart w:id="110" w:name="_Toc22166_WPSOffice_Level1"/>
      <w:r>
        <w:rPr>
          <w:rFonts w:hint="default" w:ascii="Times New Roman" w:hAnsi="Times New Roman" w:eastAsia="黑体" w:cs="Times New Roman"/>
          <w:color w:val="auto"/>
          <w:sz w:val="44"/>
          <w:szCs w:val="44"/>
          <w:highlight w:val="none"/>
        </w:rPr>
        <w:t>第</w:t>
      </w:r>
      <w:r>
        <w:rPr>
          <w:rFonts w:hint="default" w:ascii="Times New Roman" w:hAnsi="Times New Roman" w:eastAsia="黑体" w:cs="Times New Roman"/>
          <w:color w:val="auto"/>
          <w:sz w:val="44"/>
          <w:szCs w:val="44"/>
          <w:highlight w:val="none"/>
          <w:lang w:eastAsia="zh-CN"/>
        </w:rPr>
        <w:t>三</w:t>
      </w:r>
      <w:r>
        <w:rPr>
          <w:rFonts w:hint="default" w:ascii="Times New Roman" w:hAnsi="Times New Roman" w:eastAsia="黑体" w:cs="Times New Roman"/>
          <w:color w:val="auto"/>
          <w:sz w:val="44"/>
          <w:szCs w:val="44"/>
          <w:highlight w:val="none"/>
        </w:rPr>
        <w:t>部分</w:t>
      </w:r>
      <w:r>
        <w:rPr>
          <w:rFonts w:hint="default" w:ascii="Times New Roman" w:hAnsi="Times New Roman" w:eastAsia="黑体" w:cs="Times New Roman"/>
          <w:color w:val="auto"/>
          <w:sz w:val="44"/>
          <w:szCs w:val="44"/>
          <w:highlight w:val="none"/>
          <w:lang w:val="en-US" w:eastAsia="zh-CN"/>
        </w:rPr>
        <w:t xml:space="preserve">  </w:t>
      </w:r>
      <w:r>
        <w:rPr>
          <w:rFonts w:hint="default" w:ascii="Times New Roman" w:hAnsi="Times New Roman" w:eastAsia="黑体" w:cs="Times New Roman"/>
          <w:color w:val="auto"/>
          <w:sz w:val="44"/>
          <w:szCs w:val="44"/>
          <w:highlight w:val="none"/>
        </w:rPr>
        <w:t>名词解释</w:t>
      </w:r>
      <w:bookmarkEnd w:id="107"/>
      <w:bookmarkEnd w:id="108"/>
      <w:bookmarkEnd w:id="109"/>
      <w:bookmarkEnd w:id="110"/>
    </w:p>
    <w:p>
      <w:pPr>
        <w:spacing w:line="600" w:lineRule="exact"/>
        <w:jc w:val="left"/>
        <w:rPr>
          <w:rFonts w:hint="default" w:ascii="Times New Roman" w:hAnsi="Times New Roman" w:cs="Times New Roman"/>
          <w:b/>
          <w:color w:val="auto"/>
          <w:sz w:val="44"/>
          <w:szCs w:val="44"/>
          <w:highlight w:val="none"/>
        </w:rPr>
      </w:pPr>
    </w:p>
    <w:p>
      <w:pPr>
        <w:pStyle w:val="26"/>
        <w:spacing w:beforeLines="0" w:afterLines="0" w:line="560" w:lineRule="exact"/>
        <w:ind w:firstLine="640" w:firstLineChars="200"/>
        <w:rPr>
          <w:rFonts w:hint="default" w:ascii="Times New Roman" w:hAnsi="Times New Roman" w:eastAsia="仿宋_GB2312" w:cs="Times New Roman"/>
          <w:color w:val="auto"/>
          <w:sz w:val="32"/>
        </w:rPr>
      </w:pPr>
      <w:bookmarkStart w:id="111" w:name="_Toc15396614"/>
      <w:bookmarkStart w:id="112" w:name="_Toc15377226"/>
      <w:r>
        <w:rPr>
          <w:rFonts w:hint="default" w:ascii="Times New Roman" w:hAnsi="Times New Roman" w:eastAsia="仿宋_GB2312" w:cs="Times New Roman"/>
          <w:color w:val="auto"/>
          <w:sz w:val="32"/>
        </w:rPr>
        <w:t>1.财政拨款收入：指单位从同级财政部门取得的财政预算资金。</w:t>
      </w:r>
    </w:p>
    <w:p>
      <w:pPr>
        <w:pStyle w:val="26"/>
        <w:spacing w:beforeLines="0" w:afterLines="0"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2.事业收入：指事业单位开展专业业务活动及辅助活动取得的收入。</w:t>
      </w:r>
    </w:p>
    <w:p>
      <w:pPr>
        <w:pStyle w:val="26"/>
        <w:spacing w:beforeLines="0" w:afterLines="0"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3.经营收入：指事业单位在专业业务活动及其辅助活动之外开展非独立核算经营活动取得的收入。</w:t>
      </w:r>
    </w:p>
    <w:p>
      <w:pPr>
        <w:pStyle w:val="26"/>
        <w:spacing w:beforeLines="0" w:afterLines="0"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4.其他收入：指单位取得的除上述收入以外的各项收入。</w:t>
      </w:r>
    </w:p>
    <w:p>
      <w:pPr>
        <w:pStyle w:val="26"/>
        <w:spacing w:beforeLines="0" w:afterLines="0"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5.使用非财政拨款结余：指事业单位使用以前年度积累的非财政拨款结余弥补当年收支差额的金额。</w:t>
      </w:r>
    </w:p>
    <w:p>
      <w:pPr>
        <w:pStyle w:val="26"/>
        <w:spacing w:beforeLines="0" w:afterLines="0"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6.年初结转和结余：指以前年度尚未完成、结转到本年按有关规定继续使用的资金。</w:t>
      </w:r>
    </w:p>
    <w:p>
      <w:pPr>
        <w:pStyle w:val="26"/>
        <w:spacing w:beforeLines="0" w:afterLines="0"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7.结余分配：指事业单位按照会计制度规定缴纳的所得税、提取的专用结余以及转入非财政拨款结余的金额等。</w:t>
      </w:r>
    </w:p>
    <w:p>
      <w:pPr>
        <w:pStyle w:val="26"/>
        <w:spacing w:beforeLines="0" w:afterLines="0"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8.年末结转和结余：指单位按有关规定结转到下年或以后年度继续使用的资金。</w:t>
      </w:r>
    </w:p>
    <w:p>
      <w:pPr>
        <w:spacing w:beforeLines="0" w:afterLines="0" w:line="560" w:lineRule="exact"/>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 xml:space="preserve">9. </w:t>
      </w:r>
      <w:r>
        <w:rPr>
          <w:rFonts w:hint="default" w:ascii="Times New Roman" w:hAnsi="Times New Roman" w:eastAsia="仿宋_GB2312" w:cs="Times New Roman"/>
          <w:color w:val="000000"/>
          <w:sz w:val="32"/>
          <w:lang w:val="en-US" w:eastAsia="zh-CN"/>
        </w:rPr>
        <w:t>教育205（类）普通教育02（款）学前教育01（项）：指反映各部门举办的学前教育支出。政府各部门对社会组织等举办的幼儿园的资助，如捐赠、补贴等，也在本科目中反映。</w:t>
      </w:r>
    </w:p>
    <w:p>
      <w:pPr>
        <w:spacing w:beforeLines="0" w:afterLines="0" w:line="560" w:lineRule="exact"/>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 xml:space="preserve">10. </w:t>
      </w:r>
      <w:r>
        <w:rPr>
          <w:rFonts w:hint="default" w:ascii="Times New Roman" w:hAnsi="Times New Roman" w:eastAsia="仿宋_GB2312" w:cs="Times New Roman"/>
          <w:color w:val="000000"/>
          <w:sz w:val="32"/>
          <w:lang w:val="en-US" w:eastAsia="zh-CN"/>
        </w:rPr>
        <w:t>教育205（类）普通教育02（款）小学教育02（项）：指反映各部门举办的小学教育支出。政府各部门对社会组织等举办的小学的资助，如捐赠、补贴等，也在本科目中反映。</w:t>
      </w:r>
    </w:p>
    <w:p>
      <w:pPr>
        <w:spacing w:beforeLines="0" w:afterLines="0" w:line="560" w:lineRule="exact"/>
        <w:ind w:firstLine="627" w:firstLineChars="196"/>
        <w:rPr>
          <w:rFonts w:hint="default" w:ascii="Times New Roman" w:hAnsi="Times New Roman" w:eastAsia="仿宋_GB2312" w:cs="Times New Roman"/>
          <w:color w:val="000000"/>
          <w:sz w:val="32"/>
          <w:lang w:val="en-US" w:eastAsia="zh-CN"/>
        </w:rPr>
      </w:pPr>
      <w:r>
        <w:rPr>
          <w:rFonts w:hint="default" w:ascii="Times New Roman" w:hAnsi="Times New Roman" w:eastAsia="仿宋_GB2312" w:cs="Times New Roman"/>
          <w:color w:val="000000"/>
          <w:sz w:val="32"/>
          <w:lang w:val="zh-CN"/>
        </w:rPr>
        <w:t xml:space="preserve">11. </w:t>
      </w:r>
      <w:r>
        <w:rPr>
          <w:rFonts w:hint="default" w:ascii="Times New Roman" w:hAnsi="Times New Roman" w:eastAsia="仿宋_GB2312" w:cs="Times New Roman"/>
          <w:color w:val="000000"/>
          <w:sz w:val="32"/>
          <w:lang w:val="en-US" w:eastAsia="zh-CN"/>
        </w:rPr>
        <w:t>教育205（类）教育费附加安排09（款）农村中小教学设施02（项）：指反映教育费附加安排用于改善农村中小学教学设施和办学条件的支出。</w:t>
      </w:r>
    </w:p>
    <w:p>
      <w:pPr>
        <w:spacing w:beforeLines="0" w:afterLines="0" w:line="560" w:lineRule="exact"/>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en-US" w:eastAsia="zh-CN"/>
        </w:rPr>
        <w:t>12.社会保障和就业208（类）行政事业单位养老05（款）事业单位离退休02（项）：指反映事业单位开支的离退休经费。</w:t>
      </w:r>
    </w:p>
    <w:p>
      <w:pPr>
        <w:spacing w:beforeLines="0" w:afterLines="0" w:line="560" w:lineRule="exact"/>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1</w:t>
      </w:r>
      <w:r>
        <w:rPr>
          <w:rFonts w:hint="default" w:ascii="Times New Roman" w:hAnsi="Times New Roman" w:eastAsia="仿宋_GB2312" w:cs="Times New Roman"/>
          <w:color w:val="000000"/>
          <w:sz w:val="32"/>
          <w:lang w:val="en-US" w:eastAsia="zh-CN"/>
        </w:rPr>
        <w:t>3</w:t>
      </w:r>
      <w:r>
        <w:rPr>
          <w:rFonts w:hint="default" w:ascii="Times New Roman" w:hAnsi="Times New Roman" w:eastAsia="仿宋_GB2312" w:cs="Times New Roman"/>
          <w:color w:val="000000"/>
          <w:sz w:val="32"/>
          <w:lang w:val="zh-CN"/>
        </w:rPr>
        <w:t>.</w:t>
      </w:r>
      <w:r>
        <w:rPr>
          <w:rFonts w:hint="default" w:ascii="Times New Roman" w:hAnsi="Times New Roman" w:eastAsia="仿宋_GB2312" w:cs="Times New Roman"/>
          <w:color w:val="000000"/>
          <w:sz w:val="32"/>
          <w:lang w:val="en-US" w:eastAsia="zh-CN"/>
        </w:rPr>
        <w:t>社会保障和就业208（类）行政事业单位养老05（款）机关事业单位基本养老保险缴费05（项）：指反映机关事业单位实施养老保险制度由单位缴纳的基本养老保险费支出。</w:t>
      </w:r>
    </w:p>
    <w:p>
      <w:pPr>
        <w:spacing w:beforeLines="0" w:afterLines="0" w:line="560" w:lineRule="exact"/>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en-US" w:eastAsia="zh-CN"/>
        </w:rPr>
        <w:t>14</w:t>
      </w:r>
      <w:r>
        <w:rPr>
          <w:rFonts w:hint="default" w:ascii="Times New Roman" w:hAnsi="Times New Roman" w:eastAsia="仿宋_GB2312" w:cs="Times New Roman"/>
          <w:color w:val="000000"/>
          <w:sz w:val="32"/>
          <w:lang w:val="zh-CN"/>
        </w:rPr>
        <w:t>.</w:t>
      </w:r>
      <w:r>
        <w:rPr>
          <w:rFonts w:hint="default" w:ascii="Times New Roman" w:hAnsi="Times New Roman" w:eastAsia="仿宋_GB2312" w:cs="Times New Roman"/>
          <w:color w:val="000000"/>
          <w:sz w:val="32"/>
          <w:lang w:val="en-US" w:eastAsia="zh-CN"/>
        </w:rPr>
        <w:t>社会保障和就业208（类）行政事业单位养老05（款）机关事业单位职业年金缴费06（项）：指反映机关事业单位实施养老保险制度由单位实际缴纳的职业年金支出（含职业年金补记支出）。</w:t>
      </w:r>
    </w:p>
    <w:p>
      <w:pPr>
        <w:spacing w:beforeLines="0" w:afterLines="0" w:line="560" w:lineRule="exact"/>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1</w:t>
      </w:r>
      <w:r>
        <w:rPr>
          <w:rFonts w:hint="default" w:ascii="Times New Roman" w:hAnsi="Times New Roman" w:eastAsia="仿宋_GB2312" w:cs="Times New Roman"/>
          <w:color w:val="000000"/>
          <w:sz w:val="32"/>
          <w:lang w:val="en-US" w:eastAsia="zh-CN"/>
        </w:rPr>
        <w:t>5</w:t>
      </w:r>
      <w:r>
        <w:rPr>
          <w:rFonts w:hint="default" w:ascii="Times New Roman" w:hAnsi="Times New Roman" w:eastAsia="仿宋_GB2312" w:cs="Times New Roman"/>
          <w:color w:val="000000"/>
          <w:sz w:val="32"/>
          <w:lang w:val="zh-CN"/>
        </w:rPr>
        <w:t xml:space="preserve">. </w:t>
      </w:r>
      <w:r>
        <w:rPr>
          <w:rFonts w:hint="default" w:ascii="Times New Roman" w:hAnsi="Times New Roman" w:eastAsia="仿宋_GB2312" w:cs="Times New Roman"/>
          <w:color w:val="000000"/>
          <w:sz w:val="32"/>
          <w:lang w:val="en-US" w:eastAsia="zh-CN"/>
        </w:rPr>
        <w:t>社会保障和就业208（类）抚恤08（款）伤残抚恤02（项）：指反映按规定用于伤残人员的抚恤金和按规定开支的各种伤残补助费。</w:t>
      </w:r>
    </w:p>
    <w:p>
      <w:pPr>
        <w:spacing w:beforeLines="0" w:afterLines="0" w:line="560" w:lineRule="exact"/>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1</w:t>
      </w:r>
      <w:r>
        <w:rPr>
          <w:rFonts w:hint="default" w:ascii="Times New Roman" w:hAnsi="Times New Roman" w:eastAsia="仿宋_GB2312" w:cs="Times New Roman"/>
          <w:color w:val="000000"/>
          <w:sz w:val="32"/>
          <w:lang w:val="en-US" w:eastAsia="zh-CN"/>
        </w:rPr>
        <w:t>6</w:t>
      </w:r>
      <w:r>
        <w:rPr>
          <w:rFonts w:hint="default" w:ascii="Times New Roman" w:hAnsi="Times New Roman" w:eastAsia="仿宋_GB2312" w:cs="Times New Roman"/>
          <w:color w:val="000000"/>
          <w:sz w:val="32"/>
          <w:lang w:val="zh-CN"/>
        </w:rPr>
        <w:t>.</w:t>
      </w:r>
      <w:r>
        <w:rPr>
          <w:rFonts w:hint="default" w:ascii="Times New Roman" w:hAnsi="Times New Roman" w:eastAsia="仿宋_GB2312" w:cs="Times New Roman"/>
          <w:color w:val="000000"/>
          <w:sz w:val="32"/>
          <w:lang w:val="en-US" w:eastAsia="zh-CN"/>
        </w:rPr>
        <w:t>卫生健康210（类）行政事业单位医疗11（款）事业单位医疗02（项）：指反映财政部门安排的事业单位基本医疗保险缴费经费，未参加医疗保险的事业单位的公费医疗经费，按国家规定享受离休人员待遇的医疗经费。</w:t>
      </w:r>
    </w:p>
    <w:p>
      <w:pPr>
        <w:spacing w:beforeLines="0" w:afterLines="0" w:line="560" w:lineRule="exact"/>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1</w:t>
      </w:r>
      <w:r>
        <w:rPr>
          <w:rFonts w:hint="default" w:ascii="Times New Roman" w:hAnsi="Times New Roman" w:eastAsia="仿宋_GB2312" w:cs="Times New Roman"/>
          <w:color w:val="000000"/>
          <w:sz w:val="32"/>
          <w:lang w:val="en-US" w:eastAsia="zh-CN"/>
        </w:rPr>
        <w:t>7</w:t>
      </w:r>
      <w:r>
        <w:rPr>
          <w:rFonts w:hint="default" w:ascii="Times New Roman" w:hAnsi="Times New Roman" w:eastAsia="仿宋_GB2312" w:cs="Times New Roman"/>
          <w:color w:val="000000"/>
          <w:sz w:val="32"/>
          <w:lang w:val="zh-CN"/>
        </w:rPr>
        <w:t>.</w:t>
      </w:r>
      <w:r>
        <w:rPr>
          <w:rFonts w:hint="default" w:ascii="Times New Roman" w:hAnsi="Times New Roman" w:eastAsia="仿宋_GB2312" w:cs="Times New Roman"/>
          <w:color w:val="000000"/>
          <w:sz w:val="32"/>
          <w:lang w:val="en-US" w:eastAsia="zh-CN"/>
        </w:rPr>
        <w:t>卫生健康210（类）行政事业单位医疗11（款）其他行政事业单位医疗99（项）：指反映除上述项目以外的其他用于行政事业单位医疗方面的支出。</w:t>
      </w:r>
    </w:p>
    <w:p>
      <w:pPr>
        <w:spacing w:beforeLines="0" w:afterLines="0" w:line="560" w:lineRule="exact"/>
        <w:ind w:firstLine="627" w:firstLineChars="196"/>
        <w:rPr>
          <w:rFonts w:hint="default" w:ascii="Times New Roman" w:hAnsi="Times New Roman" w:eastAsia="仿宋_GB2312" w:cs="Times New Roman"/>
          <w:color w:val="000000"/>
          <w:sz w:val="32"/>
          <w:lang w:val="en-US" w:eastAsia="zh-CN"/>
        </w:rPr>
      </w:pPr>
      <w:r>
        <w:rPr>
          <w:rFonts w:hint="default" w:ascii="Times New Roman" w:hAnsi="Times New Roman" w:eastAsia="仿宋_GB2312" w:cs="Times New Roman"/>
          <w:color w:val="000000"/>
          <w:sz w:val="32"/>
          <w:lang w:val="zh-CN"/>
        </w:rPr>
        <w:t>1</w:t>
      </w:r>
      <w:r>
        <w:rPr>
          <w:rFonts w:hint="default" w:ascii="Times New Roman" w:hAnsi="Times New Roman" w:eastAsia="仿宋_GB2312" w:cs="Times New Roman"/>
          <w:color w:val="000000"/>
          <w:sz w:val="32"/>
          <w:lang w:val="en-US" w:eastAsia="zh-CN"/>
        </w:rPr>
        <w:t>8</w:t>
      </w:r>
      <w:r>
        <w:rPr>
          <w:rFonts w:hint="default" w:ascii="Times New Roman" w:hAnsi="Times New Roman" w:eastAsia="仿宋_GB2312" w:cs="Times New Roman"/>
          <w:color w:val="000000"/>
          <w:sz w:val="32"/>
          <w:lang w:val="zh-CN"/>
        </w:rPr>
        <w:t xml:space="preserve">. </w:t>
      </w:r>
      <w:r>
        <w:rPr>
          <w:rFonts w:hint="default" w:ascii="Times New Roman" w:hAnsi="Times New Roman" w:eastAsia="仿宋_GB2312" w:cs="Times New Roman"/>
          <w:color w:val="000000"/>
          <w:sz w:val="32"/>
          <w:lang w:val="en-US" w:eastAsia="zh-CN"/>
        </w:rPr>
        <w:t>住房保障221（类）住房改革02（款）住房公积金01（项）：指反映行政事业单位按人力资源和社会保障部、财政部规定的基本工资和津贴补贴以及规定比例为职工缴纳的住房公积金。</w:t>
      </w:r>
    </w:p>
    <w:p>
      <w:pPr>
        <w:spacing w:beforeLines="0" w:afterLines="0" w:line="560" w:lineRule="exact"/>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en-US" w:eastAsia="zh-CN"/>
        </w:rPr>
        <w:t>19</w:t>
      </w:r>
      <w:r>
        <w:rPr>
          <w:rFonts w:hint="default" w:ascii="Times New Roman" w:hAnsi="Times New Roman" w:eastAsia="仿宋_GB2312" w:cs="Times New Roman"/>
          <w:color w:val="000000"/>
          <w:sz w:val="32"/>
          <w:lang w:val="zh-CN"/>
        </w:rPr>
        <w:t>.基本支出：指为保障机构正常运转、完成日常工作任务而发生的人员支出和公用支出。</w:t>
      </w:r>
    </w:p>
    <w:p>
      <w:pPr>
        <w:spacing w:beforeLines="0" w:afterLines="0" w:line="560" w:lineRule="exact"/>
        <w:ind w:firstLine="627" w:firstLineChars="196"/>
        <w:rPr>
          <w:rFonts w:hint="default" w:ascii="Times New Roman" w:hAnsi="Times New Roman" w:eastAsia="仿宋_GB2312" w:cs="Times New Roman"/>
          <w:color w:val="000000"/>
          <w:sz w:val="32"/>
          <w:lang w:val="zh-CN"/>
        </w:rPr>
      </w:pPr>
      <w:r>
        <w:rPr>
          <w:rFonts w:hint="default" w:ascii="Times New Roman" w:hAnsi="Times New Roman" w:eastAsia="仿宋_GB2312" w:cs="Times New Roman"/>
          <w:color w:val="000000"/>
          <w:sz w:val="32"/>
          <w:lang w:val="zh-CN"/>
        </w:rPr>
        <w:t>2</w:t>
      </w:r>
      <w:r>
        <w:rPr>
          <w:rFonts w:hint="default" w:ascii="Times New Roman" w:hAnsi="Times New Roman" w:eastAsia="仿宋_GB2312" w:cs="Times New Roman"/>
          <w:color w:val="000000"/>
          <w:sz w:val="32"/>
          <w:lang w:val="en-US" w:eastAsia="zh-CN"/>
        </w:rPr>
        <w:t>0</w:t>
      </w:r>
      <w:r>
        <w:rPr>
          <w:rFonts w:hint="default" w:ascii="Times New Roman" w:hAnsi="Times New Roman" w:eastAsia="仿宋_GB2312" w:cs="Times New Roman"/>
          <w:color w:val="000000"/>
          <w:sz w:val="32"/>
          <w:lang w:val="zh-CN"/>
        </w:rPr>
        <w:t>.项目支出：指在基本支出之外为完成特定行政任务和事业发展目标所发生的支出。</w:t>
      </w:r>
    </w:p>
    <w:p>
      <w:pPr>
        <w:spacing w:beforeLines="0" w:afterLines="0" w:line="560" w:lineRule="exact"/>
        <w:ind w:firstLine="627" w:firstLineChars="196"/>
        <w:rPr>
          <w:rFonts w:hint="default" w:ascii="Times New Roman" w:hAnsi="Times New Roman" w:eastAsia="仿宋_GB2312" w:cs="Times New Roman"/>
          <w:sz w:val="32"/>
        </w:rPr>
      </w:pPr>
      <w:r>
        <w:rPr>
          <w:rFonts w:hint="default" w:ascii="Times New Roman" w:hAnsi="Times New Roman" w:eastAsia="仿宋_GB2312" w:cs="Times New Roman"/>
          <w:color w:val="000000"/>
          <w:sz w:val="32"/>
          <w:lang w:val="zh-CN"/>
        </w:rPr>
        <w:t>2</w:t>
      </w:r>
      <w:r>
        <w:rPr>
          <w:rFonts w:hint="default" w:ascii="Times New Roman" w:hAnsi="Times New Roman" w:eastAsia="仿宋_GB2312" w:cs="Times New Roman"/>
          <w:color w:val="000000"/>
          <w:sz w:val="32"/>
          <w:lang w:val="en-US" w:eastAsia="zh-CN"/>
        </w:rPr>
        <w:t>1</w:t>
      </w:r>
      <w:r>
        <w:rPr>
          <w:rFonts w:hint="default" w:ascii="Times New Roman" w:hAnsi="Times New Roman" w:eastAsia="仿宋_GB2312" w:cs="Times New Roman"/>
          <w:color w:val="000000"/>
          <w:sz w:val="32"/>
          <w:lang w:val="zh-CN"/>
        </w:rPr>
        <w:t>.经营支出：指事业单位在专业业务活动及其辅助活动之外开展非独立核算经营活动发生的支出。</w:t>
      </w:r>
    </w:p>
    <w:p>
      <w:pPr>
        <w:pStyle w:val="26"/>
        <w:spacing w:beforeLines="0" w:afterLines="0" w:line="560" w:lineRule="exact"/>
        <w:ind w:firstLine="640" w:firstLineChars="200"/>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w:t>
      </w:r>
      <w:r>
        <w:rPr>
          <w:rFonts w:hint="default" w:ascii="Times New Roman" w:hAnsi="Times New Roman" w:eastAsia="仿宋_GB2312" w:cs="Times New Roman"/>
          <w:color w:val="auto"/>
          <w:sz w:val="32"/>
          <w:lang w:val="en-US" w:eastAsia="zh-CN"/>
        </w:rPr>
        <w:t>2</w:t>
      </w:r>
      <w:r>
        <w:rPr>
          <w:rFonts w:hint="default" w:ascii="Times New Roman" w:hAnsi="Times New Roman" w:eastAsia="仿宋_GB2312" w:cs="Times New Roman"/>
          <w:color w:val="auto"/>
          <w:sz w:val="32"/>
        </w:rPr>
        <w:t>.“</w:t>
      </w:r>
      <w:r>
        <w:rPr>
          <w:rFonts w:hint="default" w:ascii="Times New Roman" w:hAnsi="Times New Roman" w:eastAsia="仿宋_GB2312" w:cs="Times New Roman"/>
          <w:sz w:val="32"/>
        </w:rPr>
        <w:t>三公”经费：指单位用财政拨款安排的因公出国（境）费、公务用车购置及运行维护费和公务接待费。其中，因公出国（境）费反映单位公务出国（境）的国际旅费、国外城市间交通费、住宿费、伙食费、培训费、公杂费等支出；公务用车购置反映单位公务用车购置支出（含车辆购置税、牌照费）；公务用车运行维护费反映单位按规定保留的公务用车燃料费、维修费、过桥过路费、保险费、安全奖励费用等支出；公务接待费反映单位按规定开支的各类公务接待（含外宾接待）费用。</w:t>
      </w:r>
    </w:p>
    <w:p>
      <w:pPr>
        <w:spacing w:beforeLines="0" w:afterLines="0" w:line="576" w:lineRule="exact"/>
        <w:ind w:firstLine="640"/>
        <w:rPr>
          <w:rFonts w:hint="default" w:ascii="Times New Roman" w:hAnsi="Times New Roman" w:eastAsia="仿宋_GB2312" w:cs="Times New Roman"/>
          <w:sz w:val="32"/>
        </w:rPr>
      </w:pPr>
      <w:r>
        <w:rPr>
          <w:rFonts w:hint="default" w:ascii="Times New Roman" w:hAnsi="Times New Roman" w:eastAsia="仿宋_GB2312" w:cs="Times New Roman"/>
          <w:sz w:val="32"/>
        </w:rPr>
        <w:t>2</w:t>
      </w:r>
      <w:r>
        <w:rPr>
          <w:rFonts w:hint="default" w:ascii="Times New Roman" w:hAnsi="Times New Roman" w:eastAsia="仿宋_GB2312" w:cs="Times New Roman"/>
          <w:sz w:val="32"/>
          <w:lang w:val="en-US" w:eastAsia="zh-CN"/>
        </w:rPr>
        <w:t>3</w:t>
      </w:r>
      <w:r>
        <w:rPr>
          <w:rFonts w:hint="default" w:ascii="Times New Roman" w:hAnsi="Times New Roman" w:eastAsia="仿宋_GB2312" w:cs="Times New Roman"/>
          <w:sz w:val="32"/>
        </w:rPr>
        <w:t>.</w:t>
      </w:r>
      <w:r>
        <w:rPr>
          <w:rFonts w:hint="default" w:ascii="Times New Roman" w:hAnsi="Times New Roman" w:eastAsia="仿宋_GB2312" w:cs="Times New Roman"/>
          <w:color w:val="000000"/>
          <w:sz w:val="32"/>
        </w:rPr>
        <w:t xml:space="preserve"> 机关运行经费：</w:t>
      </w:r>
      <w:r>
        <w:rPr>
          <w:rFonts w:hint="default" w:ascii="Times New Roman" w:hAnsi="Times New Roman" w:eastAsia="仿宋_GB2312" w:cs="Times New Roman"/>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111"/>
    <w:p>
      <w:pPr>
        <w:spacing w:line="600" w:lineRule="exact"/>
        <w:jc w:val="center"/>
        <w:outlineLvl w:val="0"/>
        <w:rPr>
          <w:rStyle w:val="35"/>
          <w:rFonts w:hint="default" w:ascii="Times New Roman" w:hAnsi="Times New Roman" w:eastAsia="黑体" w:cs="Times New Roman"/>
          <w:b w:val="0"/>
          <w:color w:val="auto"/>
        </w:rPr>
      </w:pPr>
      <w:bookmarkStart w:id="113" w:name="_Toc31697"/>
      <w:bookmarkStart w:id="114" w:name="_Toc29794_WPSOffice_Level1"/>
      <w:bookmarkStart w:id="115" w:name="_Toc15396618"/>
      <w:r>
        <w:rPr>
          <w:rFonts w:hint="default" w:ascii="Times New Roman" w:hAnsi="Times New Roman" w:eastAsia="黑体" w:cs="Times New Roman"/>
          <w:color w:val="auto"/>
          <w:sz w:val="44"/>
          <w:szCs w:val="44"/>
        </w:rPr>
        <w:t>第</w:t>
      </w:r>
      <w:r>
        <w:rPr>
          <w:rStyle w:val="35"/>
          <w:rFonts w:hint="default" w:ascii="Times New Roman" w:hAnsi="Times New Roman" w:eastAsia="黑体" w:cs="Times New Roman"/>
          <w:b w:val="0"/>
          <w:color w:val="auto"/>
        </w:rPr>
        <w:t>四部分 附件</w:t>
      </w:r>
      <w:bookmarkEnd w:id="113"/>
      <w:bookmarkEnd w:id="114"/>
    </w:p>
    <w:p>
      <w:pPr>
        <w:spacing w:line="572" w:lineRule="exact"/>
        <w:jc w:val="left"/>
        <w:outlineLvl w:val="0"/>
        <w:rPr>
          <w:rFonts w:hint="default" w:ascii="Times New Roman" w:hAnsi="Times New Roman" w:eastAsia="仿宋_GB2312" w:cs="Times New Roman"/>
          <w:color w:val="0000FF"/>
          <w:sz w:val="32"/>
          <w:szCs w:val="32"/>
        </w:rPr>
      </w:pPr>
    </w:p>
    <w:p>
      <w:pPr>
        <w:pageBreakBefore w:val="0"/>
        <w:widowControl w:val="0"/>
        <w:kinsoku/>
        <w:wordWrap/>
        <w:overflowPunct/>
        <w:topLinePunct w:val="0"/>
        <w:bidi w:val="0"/>
        <w:snapToGrid/>
        <w:spacing w:line="560" w:lineRule="exact"/>
        <w:jc w:val="center"/>
        <w:textAlignment w:val="auto"/>
        <w:outlineLvl w:val="1"/>
        <w:rPr>
          <w:rFonts w:hint="default" w:ascii="Times New Roman" w:hAnsi="Times New Roman" w:eastAsia="仿宋_GB2312" w:cs="Times New Roman"/>
          <w:sz w:val="32"/>
          <w:szCs w:val="32"/>
          <w:lang w:eastAsia="zh-CN"/>
        </w:rPr>
      </w:pPr>
      <w:bookmarkStart w:id="116" w:name="_Toc1535"/>
      <w:bookmarkStart w:id="117" w:name="_Toc5680"/>
      <w:bookmarkStart w:id="118" w:name="_Toc4781"/>
      <w:bookmarkStart w:id="119" w:name="_Toc4221"/>
      <w:bookmarkStart w:id="120" w:name="_Toc11974_WPSOffice_Level2"/>
      <w:r>
        <w:rPr>
          <w:rFonts w:hint="default" w:ascii="Times New Roman" w:hAnsi="Times New Roman" w:eastAsia="仿宋_GB2312" w:cs="Times New Roman"/>
          <w:sz w:val="32"/>
          <w:szCs w:val="32"/>
        </w:rPr>
        <w:t>部门预算项目支出绩效自评表（202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bookmarkEnd w:id="116"/>
      <w:r>
        <w:rPr>
          <w:rFonts w:hint="default" w:ascii="Times New Roman" w:hAnsi="Times New Roman" w:eastAsia="仿宋_GB2312" w:cs="Times New Roman"/>
          <w:sz w:val="32"/>
          <w:szCs w:val="32"/>
          <w:lang w:eastAsia="zh-CN"/>
        </w:rPr>
        <w:t>见附表。</w:t>
      </w:r>
      <w:bookmarkEnd w:id="117"/>
      <w:bookmarkEnd w:id="118"/>
      <w:bookmarkEnd w:id="119"/>
      <w:bookmarkEnd w:id="120"/>
    </w:p>
    <w:p>
      <w:pPr>
        <w:spacing w:line="600" w:lineRule="exact"/>
        <w:jc w:val="both"/>
        <w:outlineLvl w:val="0"/>
        <w:rPr>
          <w:rFonts w:hint="default" w:ascii="Times New Roman" w:hAnsi="Times New Roman" w:eastAsia="仿宋_GB2312" w:cs="Times New Roman"/>
          <w:color w:val="0000FF"/>
          <w:sz w:val="32"/>
          <w:lang w:val="zh-CN"/>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黑体" w:cs="Times New Roman"/>
          <w:color w:val="auto"/>
          <w:sz w:val="44"/>
          <w:szCs w:val="44"/>
          <w:highlight w:val="none"/>
        </w:rPr>
      </w:pPr>
    </w:p>
    <w:p>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黑体" w:cs="Times New Roman"/>
          <w:color w:val="auto"/>
          <w:sz w:val="44"/>
          <w:szCs w:val="44"/>
          <w:highlight w:val="none"/>
        </w:rPr>
      </w:pPr>
    </w:p>
    <w:p>
      <w:pPr>
        <w:keepNext w:val="0"/>
        <w:keepLines w:val="0"/>
        <w:pageBreakBefore w:val="0"/>
        <w:widowControl w:val="0"/>
        <w:kinsoku/>
        <w:wordWrap/>
        <w:overflowPunct/>
        <w:topLinePunct w:val="0"/>
        <w:autoSpaceDE/>
        <w:autoSpaceDN/>
        <w:bidi w:val="0"/>
        <w:spacing w:line="578" w:lineRule="exact"/>
        <w:textAlignment w:val="auto"/>
        <w:outlineLvl w:val="9"/>
        <w:rPr>
          <w:rFonts w:hint="default" w:ascii="Times New Roman" w:hAnsi="Times New Roman" w:eastAsia="黑体" w:cs="Times New Roman"/>
          <w:color w:val="auto"/>
          <w:sz w:val="44"/>
          <w:szCs w:val="44"/>
          <w:highlight w:val="none"/>
        </w:rPr>
      </w:pPr>
    </w:p>
    <w:p>
      <w:pPr>
        <w:rPr>
          <w:rFonts w:hint="default" w:ascii="Times New Roman" w:hAnsi="Times New Roman" w:eastAsia="方正小标宋简体" w:cs="Times New Roman"/>
          <w:b w:val="0"/>
        </w:rPr>
      </w:pPr>
      <w:r>
        <w:rPr>
          <w:rFonts w:hint="default" w:ascii="Times New Roman" w:hAnsi="Times New Roman" w:eastAsia="方正小标宋简体" w:cs="Times New Roman"/>
          <w:b w:val="0"/>
        </w:rPr>
        <w:br w:type="page"/>
      </w:r>
    </w:p>
    <w:p>
      <w:pPr>
        <w:pStyle w:val="3"/>
        <w:jc w:val="center"/>
        <w:rPr>
          <w:rFonts w:hint="default" w:ascii="Times New Roman" w:hAnsi="Times New Roman" w:eastAsia="仿宋_GB2312" w:cs="Times New Roman"/>
          <w:color w:val="auto"/>
          <w:sz w:val="32"/>
          <w:szCs w:val="32"/>
          <w:highlight w:val="none"/>
        </w:rPr>
      </w:pPr>
      <w:bookmarkStart w:id="121" w:name="_Toc1869"/>
      <w:bookmarkStart w:id="122" w:name="_Toc28216_WPSOffice_Level1"/>
      <w:r>
        <w:rPr>
          <w:rFonts w:hint="default" w:ascii="Times New Roman" w:hAnsi="Times New Roman" w:eastAsia="方正小标宋简体" w:cs="Times New Roman"/>
          <w:b w:val="0"/>
        </w:rPr>
        <w:t>第五部分 附表</w:t>
      </w:r>
      <w:bookmarkEnd w:id="112"/>
      <w:bookmarkEnd w:id="115"/>
      <w:bookmarkEnd w:id="121"/>
      <w:bookmarkEnd w:id="122"/>
      <w:bookmarkStart w:id="123"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24" w:name="_Toc4735_WPSOffice_Level2"/>
      <w:r>
        <w:rPr>
          <w:rFonts w:hint="default" w:ascii="Times New Roman" w:hAnsi="Times New Roman" w:eastAsia="仿宋_GB2312" w:cs="Times New Roman"/>
          <w:color w:val="auto"/>
          <w:sz w:val="32"/>
          <w:szCs w:val="32"/>
          <w:highlight w:val="none"/>
        </w:rPr>
        <w:t>一、收入支出决算总表</w:t>
      </w:r>
      <w:bookmarkEnd w:id="123"/>
      <w:bookmarkEnd w:id="1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25" w:name="_Toc15396620"/>
      <w:bookmarkStart w:id="126" w:name="_Toc14497_WPSOffice_Level2"/>
      <w:r>
        <w:rPr>
          <w:rFonts w:hint="default" w:ascii="Times New Roman" w:hAnsi="Times New Roman" w:eastAsia="仿宋_GB2312" w:cs="Times New Roman"/>
          <w:color w:val="auto"/>
          <w:sz w:val="32"/>
          <w:szCs w:val="32"/>
          <w:highlight w:val="none"/>
        </w:rPr>
        <w:t>二、收入决算表</w:t>
      </w:r>
      <w:bookmarkEnd w:id="125"/>
      <w:bookmarkEnd w:id="12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27" w:name="_Toc15396621"/>
      <w:bookmarkStart w:id="128" w:name="_Toc17993_WPSOffice_Level2"/>
      <w:r>
        <w:rPr>
          <w:rFonts w:hint="default" w:ascii="Times New Roman" w:hAnsi="Times New Roman" w:eastAsia="仿宋_GB2312" w:cs="Times New Roman"/>
          <w:color w:val="auto"/>
          <w:sz w:val="32"/>
          <w:szCs w:val="32"/>
          <w:highlight w:val="none"/>
        </w:rPr>
        <w:t>三、支出决算表</w:t>
      </w:r>
      <w:bookmarkEnd w:id="127"/>
      <w:bookmarkEnd w:id="12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29" w:name="_Toc15396622"/>
      <w:bookmarkStart w:id="130" w:name="_Toc350_WPSOffice_Level2"/>
      <w:r>
        <w:rPr>
          <w:rFonts w:hint="default" w:ascii="Times New Roman" w:hAnsi="Times New Roman" w:eastAsia="仿宋_GB2312" w:cs="Times New Roman"/>
          <w:color w:val="auto"/>
          <w:sz w:val="32"/>
          <w:szCs w:val="32"/>
          <w:highlight w:val="none"/>
        </w:rPr>
        <w:t>四、财政拨款收入支出决算总表</w:t>
      </w:r>
      <w:bookmarkEnd w:id="129"/>
      <w:bookmarkEnd w:id="13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31" w:name="_Toc15396623"/>
      <w:bookmarkStart w:id="132" w:name="_Toc14179_WPSOffice_Level2"/>
      <w:r>
        <w:rPr>
          <w:rFonts w:hint="default" w:ascii="Times New Roman" w:hAnsi="Times New Roman" w:eastAsia="仿宋_GB2312" w:cs="Times New Roman"/>
          <w:color w:val="auto"/>
          <w:sz w:val="32"/>
          <w:szCs w:val="32"/>
          <w:highlight w:val="none"/>
        </w:rPr>
        <w:t>五、财政拨款支出决算明细表</w:t>
      </w:r>
      <w:bookmarkEnd w:id="131"/>
      <w:bookmarkEnd w:id="132"/>
      <w:bookmarkStart w:id="133" w:name="_Toc1539662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34" w:name="_Toc25909_WPSOffice_Level2"/>
      <w:r>
        <w:rPr>
          <w:rFonts w:hint="default" w:ascii="Times New Roman" w:hAnsi="Times New Roman" w:eastAsia="仿宋_GB2312" w:cs="Times New Roman"/>
          <w:color w:val="auto"/>
          <w:sz w:val="32"/>
          <w:szCs w:val="32"/>
          <w:highlight w:val="none"/>
        </w:rPr>
        <w:t>六、一般公共预算财政拨款支出决算表</w:t>
      </w:r>
      <w:bookmarkEnd w:id="133"/>
      <w:bookmarkEnd w:id="13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35" w:name="_Toc15396625"/>
      <w:bookmarkStart w:id="136" w:name="_Toc6928_WPSOffice_Level2"/>
      <w:r>
        <w:rPr>
          <w:rFonts w:hint="default" w:ascii="Times New Roman" w:hAnsi="Times New Roman" w:eastAsia="仿宋_GB2312" w:cs="Times New Roman"/>
          <w:color w:val="auto"/>
          <w:sz w:val="32"/>
          <w:szCs w:val="32"/>
          <w:highlight w:val="none"/>
        </w:rPr>
        <w:t>七、一般公共预算财政拨款支出决算明细表</w:t>
      </w:r>
      <w:bookmarkEnd w:id="135"/>
      <w:bookmarkEnd w:id="13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37" w:name="_Toc15396626"/>
      <w:bookmarkStart w:id="138" w:name="_Toc28343_WPSOffice_Level2"/>
      <w:r>
        <w:rPr>
          <w:rFonts w:hint="default" w:ascii="Times New Roman" w:hAnsi="Times New Roman" w:eastAsia="仿宋_GB2312" w:cs="Times New Roman"/>
          <w:color w:val="auto"/>
          <w:sz w:val="32"/>
          <w:szCs w:val="32"/>
          <w:highlight w:val="none"/>
        </w:rPr>
        <w:t>八、一般公共预算财政拨款基本支出决算表</w:t>
      </w:r>
      <w:bookmarkEnd w:id="137"/>
      <w:bookmarkEnd w:id="138"/>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39" w:name="_Toc15396627"/>
      <w:bookmarkStart w:id="140" w:name="_Toc14991_WPSOffice_Level2"/>
      <w:r>
        <w:rPr>
          <w:rFonts w:hint="default" w:ascii="Times New Roman" w:hAnsi="Times New Roman" w:eastAsia="仿宋_GB2312" w:cs="Times New Roman"/>
          <w:color w:val="auto"/>
          <w:sz w:val="32"/>
          <w:szCs w:val="32"/>
          <w:highlight w:val="none"/>
        </w:rPr>
        <w:t>九、一般公共预算财政拨款项目支出决算表</w:t>
      </w:r>
      <w:bookmarkEnd w:id="139"/>
      <w:bookmarkEnd w:id="140"/>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41" w:name="_Toc15396628"/>
      <w:bookmarkStart w:id="142" w:name="_Toc20309_WPSOffice_Level2"/>
      <w:r>
        <w:rPr>
          <w:rFonts w:hint="default" w:ascii="Times New Roman" w:hAnsi="Times New Roman" w:eastAsia="仿宋_GB2312" w:cs="Times New Roman"/>
          <w:color w:val="auto"/>
          <w:sz w:val="32"/>
          <w:szCs w:val="32"/>
          <w:highlight w:val="none"/>
        </w:rPr>
        <w:t>十、</w:t>
      </w:r>
      <w:bookmarkEnd w:id="141"/>
      <w:r>
        <w:rPr>
          <w:rFonts w:hint="default" w:ascii="Times New Roman" w:hAnsi="Times New Roman" w:eastAsia="仿宋_GB2312" w:cs="Times New Roman"/>
          <w:color w:val="auto"/>
          <w:sz w:val="32"/>
          <w:szCs w:val="32"/>
          <w:highlight w:val="none"/>
        </w:rPr>
        <w:t>政府性基金预算财政拨款收入支出决算表</w:t>
      </w:r>
      <w:bookmarkEnd w:id="142"/>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43" w:name="_Toc15396629"/>
      <w:bookmarkStart w:id="144" w:name="_Toc521_WPSOffice_Level2"/>
      <w:r>
        <w:rPr>
          <w:rFonts w:hint="default" w:ascii="Times New Roman" w:hAnsi="Times New Roman" w:eastAsia="仿宋_GB2312" w:cs="Times New Roman"/>
          <w:color w:val="auto"/>
          <w:sz w:val="32"/>
          <w:szCs w:val="32"/>
          <w:highlight w:val="none"/>
        </w:rPr>
        <w:t>十一、</w:t>
      </w:r>
      <w:bookmarkEnd w:id="143"/>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bookmarkEnd w:id="144"/>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145" w:name="_Toc15396630"/>
      <w:bookmarkStart w:id="146" w:name="_Toc18695_WPSOffice_Level2"/>
      <w:r>
        <w:rPr>
          <w:rFonts w:hint="default" w:ascii="Times New Roman" w:hAnsi="Times New Roman" w:eastAsia="仿宋_GB2312" w:cs="Times New Roman"/>
          <w:color w:val="auto"/>
          <w:sz w:val="32"/>
          <w:szCs w:val="32"/>
          <w:highlight w:val="none"/>
        </w:rPr>
        <w:t>十二、</w:t>
      </w:r>
      <w:bookmarkEnd w:id="145"/>
      <w:r>
        <w:rPr>
          <w:rFonts w:hint="default" w:ascii="Times New Roman" w:hAnsi="Times New Roman" w:eastAsia="仿宋_GB2312" w:cs="Times New Roman"/>
          <w:color w:val="auto"/>
          <w:sz w:val="32"/>
          <w:szCs w:val="32"/>
          <w:highlight w:val="none"/>
          <w:lang w:eastAsia="zh-CN"/>
        </w:rPr>
        <w:t>国有资本经营预算财政拨款支出决算表</w:t>
      </w:r>
      <w:bookmarkEnd w:id="146"/>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147" w:name="_Toc15396631"/>
      <w:bookmarkStart w:id="148" w:name="_Toc42_WPSOffice_Level2"/>
      <w:r>
        <w:rPr>
          <w:rFonts w:hint="default" w:ascii="Times New Roman" w:hAnsi="Times New Roman" w:eastAsia="仿宋_GB2312" w:cs="Times New Roman"/>
          <w:color w:val="auto"/>
          <w:sz w:val="32"/>
          <w:szCs w:val="32"/>
          <w:highlight w:val="none"/>
        </w:rPr>
        <w:t>十三、</w:t>
      </w:r>
      <w:bookmarkEnd w:id="147"/>
      <w:r>
        <w:rPr>
          <w:rFonts w:hint="default" w:ascii="Times New Roman" w:hAnsi="Times New Roman" w:eastAsia="仿宋_GB2312" w:cs="Times New Roman"/>
          <w:color w:val="auto"/>
          <w:sz w:val="32"/>
          <w:szCs w:val="32"/>
          <w:highlight w:val="none"/>
          <w:lang w:eastAsia="zh-CN"/>
        </w:rPr>
        <w:t>财政拨款“三公”经费支出决算表</w:t>
      </w:r>
      <w:bookmarkEnd w:id="148"/>
    </w:p>
    <w:p>
      <w:pPr>
        <w:rPr>
          <w:rFonts w:hint="default" w:ascii="Times New Roman" w:hAnsi="Times New Roman" w:cs="Times New Roman"/>
          <w:lang w:eastAsia="zh-CN"/>
        </w:rPr>
      </w:pPr>
    </w:p>
    <w:sectPr>
      <w:footerReference r:id="rId9" w:type="first"/>
      <w:headerReference r:id="rId7" w:type="default"/>
      <w:footerReference r:id="rId8"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81798"/>
    <w:multiLevelType w:val="singleLevel"/>
    <w:tmpl w:val="915817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3CF6"/>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4C705E"/>
    <w:rsid w:val="04916F1E"/>
    <w:rsid w:val="061E35DE"/>
    <w:rsid w:val="066E0107"/>
    <w:rsid w:val="07996F6E"/>
    <w:rsid w:val="07DFD8BA"/>
    <w:rsid w:val="09867E8F"/>
    <w:rsid w:val="0A2032A3"/>
    <w:rsid w:val="0AFB3470"/>
    <w:rsid w:val="0CA8290A"/>
    <w:rsid w:val="0D35B1ED"/>
    <w:rsid w:val="0E254B6B"/>
    <w:rsid w:val="0F6634D4"/>
    <w:rsid w:val="0F98263C"/>
    <w:rsid w:val="101860EC"/>
    <w:rsid w:val="101F47CC"/>
    <w:rsid w:val="10C055FF"/>
    <w:rsid w:val="11694EBD"/>
    <w:rsid w:val="11772AA4"/>
    <w:rsid w:val="118107EC"/>
    <w:rsid w:val="12D74984"/>
    <w:rsid w:val="12E24EE2"/>
    <w:rsid w:val="13D50BC4"/>
    <w:rsid w:val="14153B0B"/>
    <w:rsid w:val="14B17F78"/>
    <w:rsid w:val="165E0673"/>
    <w:rsid w:val="16B831D5"/>
    <w:rsid w:val="16BB723D"/>
    <w:rsid w:val="17E50567"/>
    <w:rsid w:val="18473CA5"/>
    <w:rsid w:val="186504BB"/>
    <w:rsid w:val="19815B56"/>
    <w:rsid w:val="19A445FC"/>
    <w:rsid w:val="1BA26CB4"/>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7FA25B3"/>
    <w:rsid w:val="281408E2"/>
    <w:rsid w:val="28AD3C50"/>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4D06070"/>
    <w:rsid w:val="35AE47A9"/>
    <w:rsid w:val="36AA5135"/>
    <w:rsid w:val="36BE0DA7"/>
    <w:rsid w:val="376B6AA6"/>
    <w:rsid w:val="376D39B2"/>
    <w:rsid w:val="37E16F03"/>
    <w:rsid w:val="37F53A3B"/>
    <w:rsid w:val="381A0E63"/>
    <w:rsid w:val="389B6C89"/>
    <w:rsid w:val="38D469F0"/>
    <w:rsid w:val="390414E4"/>
    <w:rsid w:val="39627CCD"/>
    <w:rsid w:val="397BAF1F"/>
    <w:rsid w:val="3AB79AF3"/>
    <w:rsid w:val="3AE834C0"/>
    <w:rsid w:val="3B7EF35A"/>
    <w:rsid w:val="3B9FDB6C"/>
    <w:rsid w:val="3BF5BC2F"/>
    <w:rsid w:val="3CEBA265"/>
    <w:rsid w:val="3D98207C"/>
    <w:rsid w:val="3DEE7CF3"/>
    <w:rsid w:val="3E740A63"/>
    <w:rsid w:val="3E78745D"/>
    <w:rsid w:val="3EB63280"/>
    <w:rsid w:val="3EE17838"/>
    <w:rsid w:val="3F55381A"/>
    <w:rsid w:val="3F7F7599"/>
    <w:rsid w:val="3FF4CAE0"/>
    <w:rsid w:val="3FF7B227"/>
    <w:rsid w:val="427C658F"/>
    <w:rsid w:val="44E268DA"/>
    <w:rsid w:val="450D13D7"/>
    <w:rsid w:val="45506656"/>
    <w:rsid w:val="46ED7F2A"/>
    <w:rsid w:val="486A6C7A"/>
    <w:rsid w:val="4A627F82"/>
    <w:rsid w:val="4B0E749A"/>
    <w:rsid w:val="4B2477C4"/>
    <w:rsid w:val="4B4F25DA"/>
    <w:rsid w:val="4BE068DB"/>
    <w:rsid w:val="4D577224"/>
    <w:rsid w:val="4DBF1CEB"/>
    <w:rsid w:val="4DF0007C"/>
    <w:rsid w:val="4EAB630A"/>
    <w:rsid w:val="4ECE2238"/>
    <w:rsid w:val="4F833267"/>
    <w:rsid w:val="4FE9BD67"/>
    <w:rsid w:val="4FFB052F"/>
    <w:rsid w:val="50EE4AFC"/>
    <w:rsid w:val="5341375F"/>
    <w:rsid w:val="537E6D0A"/>
    <w:rsid w:val="53F74C96"/>
    <w:rsid w:val="55170BA8"/>
    <w:rsid w:val="553218C9"/>
    <w:rsid w:val="567E1AA5"/>
    <w:rsid w:val="56E47B74"/>
    <w:rsid w:val="57175D52"/>
    <w:rsid w:val="57BD3DD4"/>
    <w:rsid w:val="58993CFC"/>
    <w:rsid w:val="5AF92295"/>
    <w:rsid w:val="5B250254"/>
    <w:rsid w:val="5BAB5397"/>
    <w:rsid w:val="5BDD79E6"/>
    <w:rsid w:val="5BF561CA"/>
    <w:rsid w:val="5BFF5DFC"/>
    <w:rsid w:val="5CD71FC4"/>
    <w:rsid w:val="5D1F11B5"/>
    <w:rsid w:val="5D695134"/>
    <w:rsid w:val="5DAE1B18"/>
    <w:rsid w:val="5DE7D9E5"/>
    <w:rsid w:val="5ECEC941"/>
    <w:rsid w:val="5FBF9FF3"/>
    <w:rsid w:val="5FCD4E2C"/>
    <w:rsid w:val="5FEF394A"/>
    <w:rsid w:val="5FF67715"/>
    <w:rsid w:val="62835F7F"/>
    <w:rsid w:val="62BF3928"/>
    <w:rsid w:val="63585D6B"/>
    <w:rsid w:val="63B3701E"/>
    <w:rsid w:val="647A570D"/>
    <w:rsid w:val="647F5392"/>
    <w:rsid w:val="65E66580"/>
    <w:rsid w:val="65E971E8"/>
    <w:rsid w:val="664B1D71"/>
    <w:rsid w:val="664B4E8E"/>
    <w:rsid w:val="67277B67"/>
    <w:rsid w:val="67AA3209"/>
    <w:rsid w:val="698D0931"/>
    <w:rsid w:val="6A7FE5F3"/>
    <w:rsid w:val="6B053271"/>
    <w:rsid w:val="6B2D5DC9"/>
    <w:rsid w:val="6BDD78B3"/>
    <w:rsid w:val="6C4A05C8"/>
    <w:rsid w:val="6C8742B8"/>
    <w:rsid w:val="6DBF5E93"/>
    <w:rsid w:val="6DFF077E"/>
    <w:rsid w:val="6E714EF0"/>
    <w:rsid w:val="6E7E3605"/>
    <w:rsid w:val="6E7FDCC7"/>
    <w:rsid w:val="6EA14B04"/>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CD7650"/>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15F5C"/>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9F77F6"/>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标题 1 字符"/>
    <w:basedOn w:val="16"/>
    <w:link w:val="3"/>
    <w:qFormat/>
    <w:uiPriority w:val="9"/>
    <w:rPr>
      <w:rFonts w:ascii="Times New Roman" w:hAnsi="Times New Roman"/>
      <w:b/>
      <w:bCs/>
      <w:kern w:val="44"/>
      <w:sz w:val="44"/>
      <w:szCs w:val="44"/>
    </w:rPr>
  </w:style>
  <w:style w:type="paragraph" w:customStyle="1" w:styleId="36">
    <w:name w:val="WPSOffice手动目录 1"/>
    <w:uiPriority w:val="0"/>
    <w:pPr>
      <w:ind w:leftChars="0"/>
    </w:pPr>
    <w:rPr>
      <w:sz w:val="20"/>
      <w:szCs w:val="20"/>
    </w:rPr>
  </w:style>
  <w:style w:type="paragraph" w:customStyle="1" w:styleId="37">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C\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PC\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PC\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PC\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PC\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PC\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000"/>
              <a:t>收入、支出决算总计变动情况图（单位：万元）</a:t>
            </a:r>
            <a:endParaRPr sz="1000"/>
          </a:p>
        </c:rich>
      </c:tx>
      <c:layout/>
      <c:overlay val="0"/>
      <c:spPr>
        <a:noFill/>
        <a:ln>
          <a:noFill/>
        </a:ln>
        <a:effectLst/>
      </c:spPr>
    </c:title>
    <c:autoTitleDeleted val="0"/>
    <c:plotArea>
      <c:layout/>
      <c:barChart>
        <c:barDir val="col"/>
        <c:grouping val="clustered"/>
        <c:varyColors val="0"/>
        <c:ser>
          <c:idx val="0"/>
          <c:order val="0"/>
          <c:tx>
            <c:strRef>
              <c:f>[图表.xlsx]Sheet1!$B$19</c:f>
              <c:strCache>
                <c:ptCount val="1"/>
                <c:pt idx="0">
                  <c:v>2023年</c:v>
                </c:pt>
              </c:strCache>
            </c:strRef>
          </c:tx>
          <c:spPr>
            <a:solidFill>
              <a:schemeClr val="accent1"/>
            </a:solidFill>
            <a:ln>
              <a:noFill/>
            </a:ln>
            <a:effectLst/>
          </c:spPr>
          <c:invertIfNegative val="0"/>
          <c:dLbls>
            <c:dLbl>
              <c:idx val="0"/>
              <c:layout>
                <c:manualLayout>
                  <c:x val="0.00261734426801605"/>
                  <c:y val="0.04"/>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41668120746816"/>
                      <c:h val="0.111555555555556"/>
                    </c:manualLayout>
                  </c15:layout>
                </c:ext>
              </c:extLst>
            </c:dLbl>
            <c:dLbl>
              <c:idx val="1"/>
              <c:layout/>
              <c:dLblPos val="outEnd"/>
              <c:showLegendKey val="0"/>
              <c:showVal val="1"/>
              <c:showCatName val="0"/>
              <c:showSerName val="0"/>
              <c:showPercent val="0"/>
              <c:showBubbleSize val="0"/>
              <c:extLst>
                <c:ext xmlns:c15="http://schemas.microsoft.com/office/drawing/2012/chart" uri="{CE6537A1-D6FC-4f65-9D91-7224C49458BB}">
                  <c15:layout>
                    <c:manualLayout>
                      <c:w val="0.243761996161228"/>
                      <c:h val="0.0693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[图表.xlsx]Sheet1!$C$19:$D$19</c:f>
              <c:numCache>
                <c:formatCode>General</c:formatCode>
                <c:ptCount val="2"/>
                <c:pt idx="0">
                  <c:v>852.64</c:v>
                </c:pt>
                <c:pt idx="1">
                  <c:v>852.64</c:v>
                </c:pt>
              </c:numCache>
            </c:numRef>
          </c:val>
        </c:ser>
        <c:ser>
          <c:idx val="1"/>
          <c:order val="1"/>
          <c:tx>
            <c:strRef>
              <c:f>[图表.xlsx]Sheet1!$B$20</c:f>
              <c:strCache>
                <c:ptCount val="1"/>
                <c:pt idx="0">
                  <c:v>2024年</c:v>
                </c:pt>
              </c:strCache>
            </c:strRef>
          </c:tx>
          <c:spPr>
            <a:solidFill>
              <a:schemeClr val="accent2"/>
            </a:solidFill>
            <a:ln>
              <a:noFill/>
            </a:ln>
            <a:effectLst/>
          </c:spPr>
          <c:invertIfNegative val="0"/>
          <c:dLbls>
            <c:dLbl>
              <c:idx val="0"/>
              <c:layout>
                <c:manualLayout>
                  <c:x val="0.0157040656080963"/>
                  <c:y val="0.0533333333333333"/>
                </c:manualLayout>
              </c:layout>
              <c:numFmt formatCode="#,##0.00_);\(#,##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manualLayout>
                      <c:w val="0.216192636538126"/>
                      <c:h val="0.117111111111111"/>
                    </c:manualLayout>
                  </c15:layout>
                </c:ext>
              </c:extLst>
            </c:dLbl>
            <c:dLbl>
              <c:idx val="1"/>
              <c:layout>
                <c:manualLayout>
                  <c:x val="0.0104693770720642"/>
                  <c:y val="0.046666666666666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1514569883092"/>
                      <c:h val="0.105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[图表.xlsx]Sheet1!$C$20:$D$20</c:f>
              <c:numCache>
                <c:formatCode>General</c:formatCode>
                <c:ptCount val="2"/>
                <c:pt idx="0">
                  <c:v>605</c:v>
                </c:pt>
                <c:pt idx="1">
                  <c:v>605</c:v>
                </c:pt>
              </c:numCache>
            </c:numRef>
          </c:val>
        </c:ser>
        <c:dLbls>
          <c:showLegendKey val="0"/>
          <c:showVal val="1"/>
          <c:showCatName val="0"/>
          <c:showSerName val="0"/>
          <c:showPercent val="0"/>
          <c:showBubbleSize val="0"/>
        </c:dLbls>
        <c:gapWidth val="219"/>
        <c:overlap val="-27"/>
        <c:axId val="283535560"/>
        <c:axId val="976689542"/>
      </c:barChart>
      <c:catAx>
        <c:axId val="2835355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6689542"/>
        <c:crosses val="autoZero"/>
        <c:auto val="1"/>
        <c:lblAlgn val="ctr"/>
        <c:lblOffset val="100"/>
        <c:noMultiLvlLbl val="0"/>
      </c:catAx>
      <c:valAx>
        <c:axId val="9766895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5355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收入决算结构图（单位：万元）</a:t>
            </a:r>
            <a:endParaRPr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[图表.xlsx]Sheet1!$B$25:$B$32</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[图表.xlsx]Sheet1!$C$25:$C$32</c:f>
              <c:numCache>
                <c:formatCode>General</c:formatCode>
                <c:ptCount val="8"/>
                <c:pt idx="0">
                  <c:v>605</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支出决算结构图（单位：万元）</a:t>
            </a:r>
          </a:p>
        </c:rich>
      </c:tx>
      <c:layout>
        <c:manualLayout>
          <c:xMode val="edge"/>
          <c:yMode val="edge"/>
          <c:x val="0.269946946661599"/>
          <c:y val="0.032452051858995"/>
        </c:manualLayout>
      </c:layout>
      <c:overlay val="0"/>
      <c:spPr>
        <a:noFill/>
        <a:ln>
          <a:noFill/>
        </a:ln>
        <a:effectLst/>
      </c:spPr>
    </c:title>
    <c:autoTitleDeleted val="0"/>
    <c:plotArea>
      <c:layout/>
      <c:pieChart>
        <c:varyColors val="1"/>
        <c:ser>
          <c:idx val="0"/>
          <c:order val="0"/>
          <c:spPr/>
          <c:explosion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[图表.xlsx]Sheet1!$B$50:$B$51</c:f>
              <c:strCache>
                <c:ptCount val="2"/>
                <c:pt idx="0">
                  <c:v>基本支出</c:v>
                </c:pt>
                <c:pt idx="1">
                  <c:v>项目支出</c:v>
                </c:pt>
              </c:strCache>
            </c:strRef>
          </c:cat>
          <c:val>
            <c:numRef>
              <c:f>[图表.xlsx]Sheet1!$C$50:$C$51</c:f>
              <c:numCache>
                <c:formatCode>General</c:formatCode>
                <c:ptCount val="2"/>
                <c:pt idx="0">
                  <c:v>563.75</c:v>
                </c:pt>
                <c:pt idx="1">
                  <c:v>41.25</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财政拨款收、支决算总计变动情况（单位：万元）</a:t>
            </a:r>
            <a:endParaRPr sz="1200"/>
          </a:p>
        </c:rich>
      </c:tx>
      <c:layout>
        <c:manualLayout>
          <c:xMode val="edge"/>
          <c:yMode val="edge"/>
          <c:x val="0.134523474838347"/>
          <c:y val="0.00473186119873817"/>
        </c:manualLayout>
      </c:layout>
      <c:overlay val="0"/>
      <c:spPr>
        <a:noFill/>
        <a:ln>
          <a:noFill/>
        </a:ln>
        <a:effectLst/>
      </c:spPr>
    </c:title>
    <c:autoTitleDeleted val="0"/>
    <c:plotArea>
      <c:layout/>
      <c:barChart>
        <c:barDir val="col"/>
        <c:grouping val="clustered"/>
        <c:varyColors val="0"/>
        <c:ser>
          <c:idx val="0"/>
          <c:order val="0"/>
          <c:tx>
            <c:strRef>
              <c:f>[图表.xlsx]Sheet1!$B$3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[图表.xlsx]Sheet1!$C$3:$D$3</c:f>
              <c:numCache>
                <c:formatCode>General</c:formatCode>
                <c:ptCount val="2"/>
                <c:pt idx="0">
                  <c:v>852.64</c:v>
                </c:pt>
                <c:pt idx="1">
                  <c:v>852.64</c:v>
                </c:pt>
              </c:numCache>
            </c:numRef>
          </c:val>
        </c:ser>
        <c:ser>
          <c:idx val="1"/>
          <c:order val="1"/>
          <c:tx>
            <c:strRef>
              <c:f>[图表.xlsx]Sheet1!$B$4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[图表.xlsx]Sheet1!$C$4:$D$4</c:f>
              <c:numCache>
                <c:formatCode>General</c:formatCode>
                <c:ptCount val="2"/>
                <c:pt idx="0">
                  <c:v>605</c:v>
                </c:pt>
                <c:pt idx="1">
                  <c:v>605</c:v>
                </c:pt>
              </c:numCache>
            </c:numRef>
          </c:val>
        </c:ser>
        <c:dLbls>
          <c:showLegendKey val="0"/>
          <c:showVal val="1"/>
          <c:showCatName val="0"/>
          <c:showSerName val="0"/>
          <c:showPercent val="0"/>
          <c:showBubbleSize val="0"/>
        </c:dLbls>
        <c:gapWidth val="219"/>
        <c:overlap val="-27"/>
        <c:axId val="811510952"/>
        <c:axId val="935866826"/>
      </c:barChart>
      <c:catAx>
        <c:axId val="81151095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866826"/>
        <c:crosses val="autoZero"/>
        <c:auto val="1"/>
        <c:lblAlgn val="ctr"/>
        <c:lblOffset val="100"/>
        <c:noMultiLvlLbl val="0"/>
      </c:catAx>
      <c:valAx>
        <c:axId val="9358668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510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stacked"/>
        <c:varyColors val="0"/>
        <c:ser>
          <c:idx val="0"/>
          <c:order val="0"/>
          <c:tx>
            <c:strRef>
              <c:f>[图表.xlsx]Sheet1!$C$74</c:f>
              <c:strCache>
                <c:ptCount val="1"/>
                <c:pt idx="0">
                  <c:v>一般公共预算财政拨款支出决算总体情况（单位：万元）</c:v>
                </c:pt>
              </c:strCache>
            </c:strRef>
          </c:tx>
          <c:spPr>
            <a:solidFill>
              <a:schemeClr val="accent1"/>
            </a:solidFill>
            <a:ln>
              <a:noFill/>
            </a:ln>
            <a:effectLst/>
          </c:spPr>
          <c:invertIfNegative val="0"/>
          <c:dLbls>
            <c:dLbl>
              <c:idx val="0"/>
              <c:layout>
                <c:manualLayout>
                  <c:x val="-0.00384829002288945"/>
                  <c:y val="-0.37476198248191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89230734706702"/>
                  <c:y val="-0.26808026404076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[图表.xlsx]Sheet1!$B$75:$B$76</c:f>
              <c:strCache>
                <c:ptCount val="2"/>
                <c:pt idx="0">
                  <c:v>2023年</c:v>
                </c:pt>
                <c:pt idx="1">
                  <c:v>2024年</c:v>
                </c:pt>
              </c:strCache>
            </c:strRef>
          </c:cat>
          <c:val>
            <c:numRef>
              <c:f>[图表.xlsx]Sheet1!$C$75:$C$76</c:f>
              <c:numCache>
                <c:formatCode>General</c:formatCode>
                <c:ptCount val="2"/>
                <c:pt idx="0">
                  <c:v>852.64</c:v>
                </c:pt>
                <c:pt idx="1">
                  <c:v>605</c:v>
                </c:pt>
              </c:numCache>
            </c:numRef>
          </c:val>
        </c:ser>
        <c:dLbls>
          <c:showLegendKey val="0"/>
          <c:showVal val="1"/>
          <c:showCatName val="0"/>
          <c:showSerName val="0"/>
          <c:showPercent val="0"/>
          <c:showBubbleSize val="0"/>
        </c:dLbls>
        <c:gapWidth val="150"/>
        <c:overlap val="100"/>
        <c:axId val="556116136"/>
        <c:axId val="986431536"/>
      </c:barChart>
      <c:catAx>
        <c:axId val="5561161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431536"/>
        <c:crosses val="autoZero"/>
        <c:auto val="1"/>
        <c:lblAlgn val="ctr"/>
        <c:lblOffset val="100"/>
        <c:noMultiLvlLbl val="0"/>
      </c:catAx>
      <c:valAx>
        <c:axId val="98643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116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t>一般公共预算财政拨款支出决算结构（单位：万元）</a:t>
            </a:r>
            <a:endParaRPr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2"/>
              <c:layout>
                <c:manualLayout>
                  <c:x val="-0.00939429839624547"/>
                  <c:y val="0.0293405482620078"/>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[图表.xlsx]Sheet1!$B$174:$B$177</c:f>
              <c:strCache>
                <c:ptCount val="4"/>
                <c:pt idx="0">
                  <c:v>教育支出</c:v>
                </c:pt>
                <c:pt idx="1">
                  <c:v>社会保障和就业支出</c:v>
                </c:pt>
                <c:pt idx="2">
                  <c:v>卫生健康支出</c:v>
                </c:pt>
                <c:pt idx="3">
                  <c:v>住房保障支出</c:v>
                </c:pt>
              </c:strCache>
            </c:strRef>
          </c:cat>
          <c:val>
            <c:numRef>
              <c:f>[图表.xlsx]Sheet1!$C$174:$C$177</c:f>
              <c:numCache>
                <c:formatCode>General</c:formatCode>
                <c:ptCount val="4"/>
                <c:pt idx="0">
                  <c:v>425.11</c:v>
                </c:pt>
                <c:pt idx="1">
                  <c:v>108.27</c:v>
                </c:pt>
                <c:pt idx="2">
                  <c:v>36.63</c:v>
                </c:pt>
                <c:pt idx="3">
                  <c:v>34.99</c:v>
                </c:pt>
              </c:numCache>
            </c:numRef>
          </c:val>
        </c:ser>
        <c:dLbls>
          <c:showLegendKey val="1"/>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90a895-c769-46c2-8e08-39edde8738f2}"/>
        <w:style w:val=""/>
        <w:category>
          <w:name w:val="常规"/>
          <w:gallery w:val="placeholder"/>
        </w:category>
        <w:types>
          <w:type w:val="bbPlcHdr"/>
        </w:types>
        <w:behaviors>
          <w:behavior w:val="content"/>
        </w:behaviors>
        <w:description w:val=""/>
        <w:guid w:val="{aa90a895-c769-46c2-8e08-39edde8738f2}"/>
      </w:docPartPr>
      <w:docPartBody>
        <w:p>
          <w:r>
            <w:rPr>
              <w:color w:val="808080"/>
            </w:rPr>
            <w:t>单击此处输入文字。</w:t>
          </w:r>
        </w:p>
      </w:docPartBody>
    </w:docPart>
    <w:docPart>
      <w:docPartPr>
        <w:name w:val="{4f99cf34-aa07-4c11-9737-f92c39242788}"/>
        <w:style w:val=""/>
        <w:category>
          <w:name w:val="常规"/>
          <w:gallery w:val="placeholder"/>
        </w:category>
        <w:types>
          <w:type w:val="bbPlcHdr"/>
        </w:types>
        <w:behaviors>
          <w:behavior w:val="content"/>
        </w:behaviors>
        <w:description w:val=""/>
        <w:guid w:val="{4f99cf34-aa07-4c11-9737-f92c39242788}"/>
      </w:docPartPr>
      <w:docPartBody>
        <w:p>
          <w:r>
            <w:rPr>
              <w:color w:val="808080"/>
            </w:rPr>
            <w:t>单击此处输入文字。</w:t>
          </w:r>
        </w:p>
      </w:docPartBody>
    </w:docPart>
    <w:docPart>
      <w:docPartPr>
        <w:name w:val="{db870f5a-0dda-4747-9b4f-cf92e0a1481c}"/>
        <w:style w:val=""/>
        <w:category>
          <w:name w:val="常规"/>
          <w:gallery w:val="placeholder"/>
        </w:category>
        <w:types>
          <w:type w:val="bbPlcHdr"/>
        </w:types>
        <w:behaviors>
          <w:behavior w:val="content"/>
        </w:behaviors>
        <w:description w:val=""/>
        <w:guid w:val="{db870f5a-0dda-4747-9b4f-cf92e0a1481c}"/>
      </w:docPartPr>
      <w:docPartBody>
        <w:p>
          <w:r>
            <w:rPr>
              <w:color w:val="808080"/>
            </w:rPr>
            <w:t>单击此处输入文字。</w:t>
          </w:r>
        </w:p>
      </w:docPartBody>
    </w:docPart>
    <w:docPart>
      <w:docPartPr>
        <w:name w:val="{3aad3c28-d548-4161-ad4c-da689f68c2c1}"/>
        <w:style w:val=""/>
        <w:category>
          <w:name w:val="常规"/>
          <w:gallery w:val="placeholder"/>
        </w:category>
        <w:types>
          <w:type w:val="bbPlcHdr"/>
        </w:types>
        <w:behaviors>
          <w:behavior w:val="content"/>
        </w:behaviors>
        <w:description w:val=""/>
        <w:guid w:val="{3aad3c28-d548-4161-ad4c-da689f68c2c1}"/>
      </w:docPartPr>
      <w:docPartBody>
        <w:p>
          <w:r>
            <w:rPr>
              <w:color w:val="808080"/>
            </w:rPr>
            <w:t>单击此处输入文字。</w:t>
          </w:r>
        </w:p>
      </w:docPartBody>
    </w:docPart>
    <w:docPart>
      <w:docPartPr>
        <w:name w:val="{fc578233-fbf0-4c69-80a4-6647edde0268}"/>
        <w:style w:val=""/>
        <w:category>
          <w:name w:val="常规"/>
          <w:gallery w:val="placeholder"/>
        </w:category>
        <w:types>
          <w:type w:val="bbPlcHdr"/>
        </w:types>
        <w:behaviors>
          <w:behavior w:val="content"/>
        </w:behaviors>
        <w:description w:val=""/>
        <w:guid w:val="{fc578233-fbf0-4c69-80a4-6647edde0268}"/>
      </w:docPartPr>
      <w:docPartBody>
        <w:p>
          <w:r>
            <w:rPr>
              <w:color w:val="808080"/>
            </w:rPr>
            <w:t>单击此处输入文字。</w:t>
          </w:r>
        </w:p>
      </w:docPartBody>
    </w:docPart>
    <w:docPart>
      <w:docPartPr>
        <w:name w:val="{8794131c-e46b-46ec-982e-dc6c6321e693}"/>
        <w:style w:val=""/>
        <w:category>
          <w:name w:val="常规"/>
          <w:gallery w:val="placeholder"/>
        </w:category>
        <w:types>
          <w:type w:val="bbPlcHdr"/>
        </w:types>
        <w:behaviors>
          <w:behavior w:val="content"/>
        </w:behaviors>
        <w:description w:val=""/>
        <w:guid w:val="{8794131c-e46b-46ec-982e-dc6c6321e693}"/>
      </w:docPartPr>
      <w:docPartBody>
        <w:p>
          <w:r>
            <w:rPr>
              <w:color w:val="808080"/>
            </w:rPr>
            <w:t>单击此处输入文字。</w:t>
          </w:r>
        </w:p>
      </w:docPartBody>
    </w:docPart>
    <w:docPart>
      <w:docPartPr>
        <w:name w:val="{385b5914-695b-4e1c-b55d-fdd7a1afa8cc}"/>
        <w:style w:val=""/>
        <w:category>
          <w:name w:val="常规"/>
          <w:gallery w:val="placeholder"/>
        </w:category>
        <w:types>
          <w:type w:val="bbPlcHdr"/>
        </w:types>
        <w:behaviors>
          <w:behavior w:val="content"/>
        </w:behaviors>
        <w:description w:val=""/>
        <w:guid w:val="{385b5914-695b-4e1c-b55d-fdd7a1afa8cc}"/>
      </w:docPartPr>
      <w:docPartBody>
        <w:p>
          <w:r>
            <w:rPr>
              <w:color w:val="808080"/>
            </w:rPr>
            <w:t>单击此处输入文字。</w:t>
          </w:r>
        </w:p>
      </w:docPartBody>
    </w:docPart>
    <w:docPart>
      <w:docPartPr>
        <w:name w:val="{b7f07575-d559-4b7e-aa27-af7677e3774d}"/>
        <w:style w:val=""/>
        <w:category>
          <w:name w:val="常规"/>
          <w:gallery w:val="placeholder"/>
        </w:category>
        <w:types>
          <w:type w:val="bbPlcHdr"/>
        </w:types>
        <w:behaviors>
          <w:behavior w:val="content"/>
        </w:behaviors>
        <w:description w:val=""/>
        <w:guid w:val="{b7f07575-d559-4b7e-aa27-af7677e3774d}"/>
      </w:docPartPr>
      <w:docPartBody>
        <w:p>
          <w:r>
            <w:rPr>
              <w:color w:val="808080"/>
            </w:rPr>
            <w:t>单击此处输入文字。</w:t>
          </w:r>
        </w:p>
      </w:docPartBody>
    </w:docPart>
    <w:docPart>
      <w:docPartPr>
        <w:name w:val="{926bc637-fc44-4e1d-8af6-f01a0bbdfc86}"/>
        <w:style w:val=""/>
        <w:category>
          <w:name w:val="常规"/>
          <w:gallery w:val="placeholder"/>
        </w:category>
        <w:types>
          <w:type w:val="bbPlcHdr"/>
        </w:types>
        <w:behaviors>
          <w:behavior w:val="content"/>
        </w:behaviors>
        <w:description w:val=""/>
        <w:guid w:val="{926bc637-fc44-4e1d-8af6-f01a0bbdfc86}"/>
      </w:docPartPr>
      <w:docPartBody>
        <w:p>
          <w:r>
            <w:rPr>
              <w:color w:val="808080"/>
            </w:rPr>
            <w:t>单击此处输入文字。</w:t>
          </w:r>
        </w:p>
      </w:docPartBody>
    </w:docPart>
    <w:docPart>
      <w:docPartPr>
        <w:name w:val="{1ba3fe2b-3e4e-4e01-bf05-45b261517198}"/>
        <w:style w:val=""/>
        <w:category>
          <w:name w:val="常规"/>
          <w:gallery w:val="placeholder"/>
        </w:category>
        <w:types>
          <w:type w:val="bbPlcHdr"/>
        </w:types>
        <w:behaviors>
          <w:behavior w:val="content"/>
        </w:behaviors>
        <w:description w:val=""/>
        <w:guid w:val="{1ba3fe2b-3e4e-4e01-bf05-45b261517198}"/>
      </w:docPartPr>
      <w:docPartBody>
        <w:p>
          <w:r>
            <w:rPr>
              <w:color w:val="808080"/>
            </w:rPr>
            <w:t>单击此处输入文字。</w:t>
          </w:r>
        </w:p>
      </w:docPartBody>
    </w:docPart>
    <w:docPart>
      <w:docPartPr>
        <w:name w:val="{8467e00a-83bf-4c17-bb33-36daa8ddef4e}"/>
        <w:style w:val=""/>
        <w:category>
          <w:name w:val="常规"/>
          <w:gallery w:val="placeholder"/>
        </w:category>
        <w:types>
          <w:type w:val="bbPlcHdr"/>
        </w:types>
        <w:behaviors>
          <w:behavior w:val="content"/>
        </w:behaviors>
        <w:description w:val=""/>
        <w:guid w:val="{8467e00a-83bf-4c17-bb33-36daa8ddef4e}"/>
      </w:docPartPr>
      <w:docPartBody>
        <w:p>
          <w:r>
            <w:rPr>
              <w:color w:val="808080"/>
            </w:rPr>
            <w:t>单击此处输入文字。</w:t>
          </w:r>
        </w:p>
      </w:docPartBody>
    </w:docPart>
    <w:docPart>
      <w:docPartPr>
        <w:name w:val="{7cca6b03-1c73-4c40-9bd8-c7e233f44009}"/>
        <w:style w:val=""/>
        <w:category>
          <w:name w:val="常规"/>
          <w:gallery w:val="placeholder"/>
        </w:category>
        <w:types>
          <w:type w:val="bbPlcHdr"/>
        </w:types>
        <w:behaviors>
          <w:behavior w:val="content"/>
        </w:behaviors>
        <w:description w:val=""/>
        <w:guid w:val="{7cca6b03-1c73-4c40-9bd8-c7e233f44009}"/>
      </w:docPartPr>
      <w:docPartBody>
        <w:p>
          <w:r>
            <w:rPr>
              <w:color w:val="808080"/>
            </w:rPr>
            <w:t>单击此处输入文字。</w:t>
          </w:r>
        </w:p>
      </w:docPartBody>
    </w:docPart>
    <w:docPart>
      <w:docPartPr>
        <w:name w:val="{4f577416-a641-4f35-9c98-d29c50b5f9f5}"/>
        <w:style w:val=""/>
        <w:category>
          <w:name w:val="常规"/>
          <w:gallery w:val="placeholder"/>
        </w:category>
        <w:types>
          <w:type w:val="bbPlcHdr"/>
        </w:types>
        <w:behaviors>
          <w:behavior w:val="content"/>
        </w:behaviors>
        <w:description w:val=""/>
        <w:guid w:val="{4f577416-a641-4f35-9c98-d29c50b5f9f5}"/>
      </w:docPartPr>
      <w:docPartBody>
        <w:p>
          <w:r>
            <w:rPr>
              <w:color w:val="808080"/>
            </w:rPr>
            <w:t>单击此处输入文字。</w:t>
          </w:r>
        </w:p>
      </w:docPartBody>
    </w:docPart>
    <w:docPart>
      <w:docPartPr>
        <w:name w:val="{27e4f46d-8b23-4144-994a-320fc4ae911f}"/>
        <w:style w:val=""/>
        <w:category>
          <w:name w:val="常规"/>
          <w:gallery w:val="placeholder"/>
        </w:category>
        <w:types>
          <w:type w:val="bbPlcHdr"/>
        </w:types>
        <w:behaviors>
          <w:behavior w:val="content"/>
        </w:behaviors>
        <w:description w:val=""/>
        <w:guid w:val="{27e4f46d-8b23-4144-994a-320fc4ae911f}"/>
      </w:docPartPr>
      <w:docPartBody>
        <w:p>
          <w:r>
            <w:rPr>
              <w:color w:val="808080"/>
            </w:rPr>
            <w:t>单击此处输入文字。</w:t>
          </w:r>
        </w:p>
      </w:docPartBody>
    </w:docPart>
    <w:docPart>
      <w:docPartPr>
        <w:name w:val="{99629cb5-6ad2-476a-b7ac-37d13711144b}"/>
        <w:style w:val=""/>
        <w:category>
          <w:name w:val="常规"/>
          <w:gallery w:val="placeholder"/>
        </w:category>
        <w:types>
          <w:type w:val="bbPlcHdr"/>
        </w:types>
        <w:behaviors>
          <w:behavior w:val="content"/>
        </w:behaviors>
        <w:description w:val=""/>
        <w:guid w:val="{99629cb5-6ad2-476a-b7ac-37d13711144b}"/>
      </w:docPartPr>
      <w:docPartBody>
        <w:p>
          <w:r>
            <w:rPr>
              <w:color w:val="808080"/>
            </w:rPr>
            <w:t>单击此处输入文字。</w:t>
          </w:r>
        </w:p>
      </w:docPartBody>
    </w:docPart>
    <w:docPart>
      <w:docPartPr>
        <w:name w:val="{49f345d9-f017-4cce-a6ab-dab6e32fe8de}"/>
        <w:style w:val=""/>
        <w:category>
          <w:name w:val="常规"/>
          <w:gallery w:val="placeholder"/>
        </w:category>
        <w:types>
          <w:type w:val="bbPlcHdr"/>
        </w:types>
        <w:behaviors>
          <w:behavior w:val="content"/>
        </w:behaviors>
        <w:description w:val=""/>
        <w:guid w:val="{49f345d9-f017-4cce-a6ab-dab6e32fe8de}"/>
      </w:docPartPr>
      <w:docPartBody>
        <w:p>
          <w:r>
            <w:rPr>
              <w:color w:val="808080"/>
            </w:rPr>
            <w:t>单击此处输入文字。</w:t>
          </w:r>
        </w:p>
      </w:docPartBody>
    </w:docPart>
    <w:docPart>
      <w:docPartPr>
        <w:name w:val="{4d6880fe-fecb-4504-bb28-f3f510b84f6e}"/>
        <w:style w:val=""/>
        <w:category>
          <w:name w:val="常规"/>
          <w:gallery w:val="placeholder"/>
        </w:category>
        <w:types>
          <w:type w:val="bbPlcHdr"/>
        </w:types>
        <w:behaviors>
          <w:behavior w:val="content"/>
        </w:behaviors>
        <w:description w:val=""/>
        <w:guid w:val="{4d6880fe-fecb-4504-bb28-f3f510b84f6e}"/>
      </w:docPartPr>
      <w:docPartBody>
        <w:p>
          <w:r>
            <w:rPr>
              <w:color w:val="808080"/>
            </w:rPr>
            <w:t>单击此处输入文字。</w:t>
          </w:r>
        </w:p>
      </w:docPartBody>
    </w:docPart>
    <w:docPart>
      <w:docPartPr>
        <w:name w:val="{96e055a3-9c65-423c-a070-0db4e9bc479d}"/>
        <w:style w:val=""/>
        <w:category>
          <w:name w:val="常规"/>
          <w:gallery w:val="placeholder"/>
        </w:category>
        <w:types>
          <w:type w:val="bbPlcHdr"/>
        </w:types>
        <w:behaviors>
          <w:behavior w:val="content"/>
        </w:behaviors>
        <w:description w:val=""/>
        <w:guid w:val="{96e055a3-9c65-423c-a070-0db4e9bc479d}"/>
      </w:docPartPr>
      <w:docPartBody>
        <w:p>
          <w:r>
            <w:rPr>
              <w:color w:val="808080"/>
            </w:rPr>
            <w:t>单击此处输入文字。</w:t>
          </w:r>
        </w:p>
      </w:docPartBody>
    </w:docPart>
    <w:docPart>
      <w:docPartPr>
        <w:name w:val="{5197ef40-1839-4770-8b03-4f5e94dd8efb}"/>
        <w:style w:val=""/>
        <w:category>
          <w:name w:val="常规"/>
          <w:gallery w:val="placeholder"/>
        </w:category>
        <w:types>
          <w:type w:val="bbPlcHdr"/>
        </w:types>
        <w:behaviors>
          <w:behavior w:val="content"/>
        </w:behaviors>
        <w:description w:val=""/>
        <w:guid w:val="{5197ef40-1839-4770-8b03-4f5e94dd8efb}"/>
      </w:docPartPr>
      <w:docPartBody>
        <w:p>
          <w:r>
            <w:rPr>
              <w:color w:val="808080"/>
            </w:rPr>
            <w:t>单击此处输入文字。</w:t>
          </w:r>
        </w:p>
      </w:docPartBody>
    </w:docPart>
    <w:docPart>
      <w:docPartPr>
        <w:name w:val="{381e60b8-3c4a-45f3-9de8-cd2b16e4f71d}"/>
        <w:style w:val=""/>
        <w:category>
          <w:name w:val="常规"/>
          <w:gallery w:val="placeholder"/>
        </w:category>
        <w:types>
          <w:type w:val="bbPlcHdr"/>
        </w:types>
        <w:behaviors>
          <w:behavior w:val="content"/>
        </w:behaviors>
        <w:description w:val=""/>
        <w:guid w:val="{381e60b8-3c4a-45f3-9de8-cd2b16e4f71d}"/>
      </w:docPartPr>
      <w:docPartBody>
        <w:p>
          <w:r>
            <w:rPr>
              <w:color w:val="808080"/>
            </w:rPr>
            <w:t>单击此处输入文字。</w:t>
          </w:r>
        </w:p>
      </w:docPartBody>
    </w:docPart>
    <w:docPart>
      <w:docPartPr>
        <w:name w:val="{55e22637-5e1a-4dd3-833e-174f09eed1d4}"/>
        <w:style w:val=""/>
        <w:category>
          <w:name w:val="常规"/>
          <w:gallery w:val="placeholder"/>
        </w:category>
        <w:types>
          <w:type w:val="bbPlcHdr"/>
        </w:types>
        <w:behaviors>
          <w:behavior w:val="content"/>
        </w:behaviors>
        <w:description w:val=""/>
        <w:guid w:val="{55e22637-5e1a-4dd3-833e-174f09eed1d4}"/>
      </w:docPartPr>
      <w:docPartBody>
        <w:p>
          <w:r>
            <w:rPr>
              <w:color w:val="808080"/>
            </w:rPr>
            <w:t>单击此处输入文字。</w:t>
          </w:r>
        </w:p>
      </w:docPartBody>
    </w:docPart>
    <w:docPart>
      <w:docPartPr>
        <w:name w:val="{6c865e5f-3548-4393-857d-320ecbfb4594}"/>
        <w:style w:val=""/>
        <w:category>
          <w:name w:val="常规"/>
          <w:gallery w:val="placeholder"/>
        </w:category>
        <w:types>
          <w:type w:val="bbPlcHdr"/>
        </w:types>
        <w:behaviors>
          <w:behavior w:val="content"/>
        </w:behaviors>
        <w:description w:val=""/>
        <w:guid w:val="{6c865e5f-3548-4393-857d-320ecbfb4594}"/>
      </w:docPartPr>
      <w:docPartBody>
        <w:p>
          <w:r>
            <w:rPr>
              <w:color w:val="808080"/>
            </w:rPr>
            <w:t>单击此处输入文字。</w:t>
          </w:r>
        </w:p>
      </w:docPartBody>
    </w:docPart>
    <w:docPart>
      <w:docPartPr>
        <w:name w:val="{d5d0ca6d-04b5-4e40-b89e-ab91c9ccdaab}"/>
        <w:style w:val=""/>
        <w:category>
          <w:name w:val="常规"/>
          <w:gallery w:val="placeholder"/>
        </w:category>
        <w:types>
          <w:type w:val="bbPlcHdr"/>
        </w:types>
        <w:behaviors>
          <w:behavior w:val="content"/>
        </w:behaviors>
        <w:description w:val=""/>
        <w:guid w:val="{d5d0ca6d-04b5-4e40-b89e-ab91c9ccdaab}"/>
      </w:docPartPr>
      <w:docPartBody>
        <w:p>
          <w:r>
            <w:rPr>
              <w:color w:val="808080"/>
            </w:rPr>
            <w:t>单击此处输入文字。</w:t>
          </w:r>
        </w:p>
      </w:docPartBody>
    </w:docPart>
    <w:docPart>
      <w:docPartPr>
        <w:name w:val="{688b7163-645b-43c4-ae0a-fb078d6974ee}"/>
        <w:style w:val=""/>
        <w:category>
          <w:name w:val="常规"/>
          <w:gallery w:val="placeholder"/>
        </w:category>
        <w:types>
          <w:type w:val="bbPlcHdr"/>
        </w:types>
        <w:behaviors>
          <w:behavior w:val="content"/>
        </w:behaviors>
        <w:description w:val=""/>
        <w:guid w:val="{688b7163-645b-43c4-ae0a-fb078d6974ee}"/>
      </w:docPartPr>
      <w:docPartBody>
        <w:p>
          <w:r>
            <w:rPr>
              <w:color w:val="808080"/>
            </w:rPr>
            <w:t>单击此处输入文字。</w:t>
          </w:r>
        </w:p>
      </w:docPartBody>
    </w:docPart>
    <w:docPart>
      <w:docPartPr>
        <w:name w:val="{4937bb84-6636-467b-9ee9-fd25ee10e641}"/>
        <w:style w:val=""/>
        <w:category>
          <w:name w:val="常规"/>
          <w:gallery w:val="placeholder"/>
        </w:category>
        <w:types>
          <w:type w:val="bbPlcHdr"/>
        </w:types>
        <w:behaviors>
          <w:behavior w:val="content"/>
        </w:behaviors>
        <w:description w:val=""/>
        <w:guid w:val="{4937bb84-6636-467b-9ee9-fd25ee10e641}"/>
      </w:docPartPr>
      <w:docPartBody>
        <w:p>
          <w:r>
            <w:rPr>
              <w:color w:val="808080"/>
            </w:rPr>
            <w:t>单击此处输入文字。</w:t>
          </w:r>
        </w:p>
      </w:docPartBody>
    </w:docPart>
    <w:docPart>
      <w:docPartPr>
        <w:name w:val="{e766926f-a363-4abb-a16a-fa669bfca071}"/>
        <w:style w:val=""/>
        <w:category>
          <w:name w:val="常规"/>
          <w:gallery w:val="placeholder"/>
        </w:category>
        <w:types>
          <w:type w:val="bbPlcHdr"/>
        </w:types>
        <w:behaviors>
          <w:behavior w:val="content"/>
        </w:behaviors>
        <w:description w:val=""/>
        <w:guid w:val="{e766926f-a363-4abb-a16a-fa669bfca071}"/>
      </w:docPartPr>
      <w:docPartBody>
        <w:p>
          <w:r>
            <w:rPr>
              <w:color w:val="808080"/>
            </w:rPr>
            <w:t>单击此处输入文字。</w:t>
          </w:r>
        </w:p>
      </w:docPartBody>
    </w:docPart>
    <w:docPart>
      <w:docPartPr>
        <w:name w:val="{df517d05-2eea-43f2-96ad-75a15520651d}"/>
        <w:style w:val=""/>
        <w:category>
          <w:name w:val="常规"/>
          <w:gallery w:val="placeholder"/>
        </w:category>
        <w:types>
          <w:type w:val="bbPlcHdr"/>
        </w:types>
        <w:behaviors>
          <w:behavior w:val="content"/>
        </w:behaviors>
        <w:description w:val=""/>
        <w:guid w:val="{df517d05-2eea-43f2-96ad-75a15520651d}"/>
      </w:docPartPr>
      <w:docPartBody>
        <w:p>
          <w:r>
            <w:rPr>
              <w:color w:val="808080"/>
            </w:rPr>
            <w:t>单击此处输入文字。</w:t>
          </w:r>
        </w:p>
      </w:docPartBody>
    </w:docPart>
    <w:docPart>
      <w:docPartPr>
        <w:name w:val="{2ef6f2ae-5bfa-4f7d-8109-c30b3c3a992e}"/>
        <w:style w:val=""/>
        <w:category>
          <w:name w:val="常规"/>
          <w:gallery w:val="placeholder"/>
        </w:category>
        <w:types>
          <w:type w:val="bbPlcHdr"/>
        </w:types>
        <w:behaviors>
          <w:behavior w:val="content"/>
        </w:behaviors>
        <w:description w:val=""/>
        <w:guid w:val="{2ef6f2ae-5bfa-4f7d-8109-c30b3c3a992e}"/>
      </w:docPartPr>
      <w:docPartBody>
        <w:p>
          <w:r>
            <w:rPr>
              <w:color w:val="808080"/>
            </w:rPr>
            <w:t>单击此处输入文字。</w:t>
          </w:r>
        </w:p>
      </w:docPartBody>
    </w:docPart>
    <w:docPart>
      <w:docPartPr>
        <w:name w:val="{56b93bfb-ef02-4301-a954-919fa56e678d}"/>
        <w:style w:val=""/>
        <w:category>
          <w:name w:val="常规"/>
          <w:gallery w:val="placeholder"/>
        </w:category>
        <w:types>
          <w:type w:val="bbPlcHdr"/>
        </w:types>
        <w:behaviors>
          <w:behavior w:val="content"/>
        </w:behaviors>
        <w:description w:val=""/>
        <w:guid w:val="{56b93bfb-ef02-4301-a954-919fa56e678d}"/>
      </w:docPartPr>
      <w:docPartBody>
        <w:p>
          <w:r>
            <w:rPr>
              <w:color w:val="808080"/>
            </w:rPr>
            <w:t>单击此处输入文字。</w:t>
          </w:r>
        </w:p>
      </w:docPartBody>
    </w:docPart>
    <w:docPart>
      <w:docPartPr>
        <w:name w:val="{4980944d-a0f4-4625-80d7-52d43c942cf2}"/>
        <w:style w:val=""/>
        <w:category>
          <w:name w:val="常规"/>
          <w:gallery w:val="placeholder"/>
        </w:category>
        <w:types>
          <w:type w:val="bbPlcHdr"/>
        </w:types>
        <w:behaviors>
          <w:behavior w:val="content"/>
        </w:behaviors>
        <w:description w:val=""/>
        <w:guid w:val="{4980944d-a0f4-4625-80d7-52d43c942cf2}"/>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4859</Words>
  <Characters>5312</Characters>
  <Lines>61</Lines>
  <Paragraphs>17</Paragraphs>
  <TotalTime>0</TotalTime>
  <ScaleCrop>false</ScaleCrop>
  <LinksUpToDate>false</LinksUpToDate>
  <CharactersWithSpaces>5409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池鱼</cp:lastModifiedBy>
  <cp:lastPrinted>2025-08-06T17:34:00Z</cp:lastPrinted>
  <dcterms:modified xsi:type="dcterms:W3CDTF">2025-10-28T02:00:17Z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y fmtid="{D5CDD505-2E9C-101B-9397-08002B2CF9AE}" pid="4" name="KSOTemplateDocerSaveRecord">
    <vt:lpwstr>eyJoZGlkIjoiOGI1MTY4OTk2MzU4ZjdhYmQwMDg0OWY0ZTk2N2ZkOTAiLCJ1c2VySWQiOiI2NjE3NzA3MDEifQ==</vt:lpwstr>
  </property>
</Properties>
</file>