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spacing w:before="93"/>
        <w:rPr>
          <w:rFonts w:hint="default" w:ascii="Times New Roman" w:hAnsi="Times New Roman" w:eastAsia="方正小标宋简体" w:cs="Times New Roman"/>
          <w:kern w:val="2"/>
          <w:sz w:val="72"/>
          <w:szCs w:val="72"/>
        </w:rPr>
      </w:pPr>
    </w:p>
    <w:p>
      <w:pPr>
        <w:pStyle w:val="2"/>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2024年度</w:t>
      </w:r>
    </w:p>
    <w:p>
      <w:pPr>
        <w:pStyle w:val="2"/>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盐边县</w:t>
      </w:r>
      <w:r>
        <w:rPr>
          <w:rFonts w:hint="default" w:ascii="Times New Roman" w:hAnsi="Times New Roman" w:eastAsia="方正小标宋简体" w:cs="Times New Roman"/>
          <w:kern w:val="2"/>
          <w:sz w:val="72"/>
          <w:szCs w:val="72"/>
          <w:lang w:val="en-US" w:eastAsia="zh-CN"/>
        </w:rPr>
        <w:t>格萨拉彝族乡中心学校</w:t>
      </w:r>
      <w:r>
        <w:rPr>
          <w:rFonts w:hint="default" w:ascii="Times New Roman" w:hAnsi="Times New Roman" w:eastAsia="方正小标宋简体" w:cs="Times New Roman"/>
          <w:kern w:val="2"/>
          <w:sz w:val="72"/>
          <w:szCs w:val="72"/>
        </w:rPr>
        <w:t>单位决算公开</w:t>
      </w:r>
    </w:p>
    <w:p>
      <w:pPr>
        <w:spacing w:line="600" w:lineRule="exact"/>
        <w:jc w:val="center"/>
        <w:outlineLvl w:val="0"/>
        <w:rPr>
          <w:rFonts w:hint="default" w:ascii="Times New Roman" w:hAnsi="Times New Roman" w:eastAsia="方正小标宋简体" w:cs="Times New Roman"/>
          <w:sz w:val="72"/>
          <w:szCs w:val="72"/>
        </w:rPr>
      </w:pPr>
    </w:p>
    <w:p>
      <w:pPr>
        <w:pStyle w:val="20"/>
        <w:rPr>
          <w:rFonts w:hint="default" w:ascii="Times New Roman" w:hAnsi="Times New Roman" w:cs="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p>
    <w:sdt>
      <w:sdtPr>
        <w:rPr>
          <w:rFonts w:hint="default" w:ascii="Times New Roman" w:hAnsi="Times New Roman" w:eastAsia="宋体" w:cs="Times New Roman"/>
          <w:kern w:val="2"/>
          <w:sz w:val="48"/>
          <w:szCs w:val="48"/>
          <w:lang w:val="en-US" w:eastAsia="zh-CN" w:bidi="ar-SA"/>
        </w:rPr>
        <w:id w:val="147470991"/>
        <w:docPartObj>
          <w:docPartGallery w:val="Table of Contents"/>
          <w:docPartUnique/>
        </w:docPartObj>
      </w:sdtPr>
      <w:sdtEndPr>
        <w:rPr>
          <w:rFonts w:hint="default" w:ascii="Times New Roman" w:hAnsi="Times New Roman" w:eastAsia="宋体" w:cs="Times New Roman"/>
          <w:kern w:val="2"/>
          <w:sz w:val="20"/>
          <w:szCs w:val="20"/>
          <w:lang w:val="en-US" w:eastAsia="zh-CN" w:bidi="ar-SA"/>
        </w:rPr>
      </w:sdtEndPr>
      <w:sdtContent>
        <w:p>
          <w:pPr>
            <w:widowControl/>
            <w:jc w:val="center"/>
            <w:rPr>
              <w:rFonts w:hint="default" w:ascii="Times New Roman" w:hAnsi="Times New Roman" w:eastAsia="宋体" w:cs="Times New Roman"/>
              <w:kern w:val="2"/>
              <w:sz w:val="48"/>
              <w:szCs w:val="48"/>
              <w:lang w:val="en-US" w:eastAsia="zh-CN" w:bidi="ar-SA"/>
            </w:rPr>
          </w:pPr>
          <w:bookmarkStart w:id="0" w:name="_Toc4605_WPSOffice_Type2"/>
          <w:r>
            <w:rPr>
              <w:rFonts w:hint="default" w:ascii="Times New Roman" w:hAnsi="Times New Roman" w:eastAsia="宋体" w:cs="Times New Roman"/>
              <w:kern w:val="2"/>
              <w:sz w:val="48"/>
              <w:szCs w:val="48"/>
              <w:lang w:val="en-US" w:eastAsia="zh-CN" w:bidi="ar-SA"/>
            </w:rPr>
            <w:t>目录</w:t>
          </w:r>
        </w:p>
        <w:p>
          <w:pPr>
            <w:pStyle w:val="13"/>
            <w:jc w:val="center"/>
            <w:rPr>
              <w:rFonts w:hint="default"/>
              <w:lang w:val="en-US" w:eastAsia="zh-CN"/>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日</w:t>
          </w:r>
        </w:p>
        <w:p>
          <w:pPr>
            <w:pStyle w:val="36"/>
            <w:tabs>
              <w:tab w:val="right" w:leader="dot" w:pos="8306"/>
            </w:tabs>
          </w:pPr>
          <w:r>
            <w:rPr>
              <w:b/>
              <w:bCs/>
            </w:rPr>
            <w:fldChar w:fldCharType="begin"/>
          </w:r>
          <w:r>
            <w:instrText xml:space="preserve"> HYPERLINK \l _Toc7242_WPSOffice_Level1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70991"/>
              <w:placeholder>
                <w:docPart w:val="{3e6d5a57-e3d7-4b70-a7d7-18f2034ac571}"/>
              </w:placeholder>
            </w:sdtPr>
            <w:sdtEndPr>
              <w:rPr>
                <w:rFonts w:hint="eastAsia" w:ascii="方正小标宋_GBK" w:hAnsi="方正小标宋_GBK" w:eastAsia="方正小标宋_GBK" w:cs="方正小标宋_GBK"/>
                <w:b/>
                <w:bCs/>
                <w:kern w:val="2"/>
                <w:sz w:val="28"/>
                <w:szCs w:val="28"/>
                <w:lang w:val="en-US" w:eastAsia="zh-CN" w:bidi="ar-SA"/>
              </w:rPr>
            </w:sdtEndPr>
            <w:sdtContent>
              <w:r>
                <w:rPr>
                  <w:rFonts w:hint="eastAsia" w:ascii="方正小标宋_GBK" w:hAnsi="方正小标宋_GBK" w:eastAsia="方正小标宋_GBK" w:cs="方正小标宋_GBK"/>
                  <w:kern w:val="2"/>
                  <w:sz w:val="28"/>
                  <w:szCs w:val="28"/>
                  <w:lang w:val="en-US" w:eastAsia="zh-CN" w:bidi="ar-SA"/>
                </w:rPr>
                <w:t>第一部分  单位概况</w:t>
              </w:r>
            </w:sdtContent>
          </w:sdt>
          <w:r>
            <w:rPr>
              <w:rFonts w:hint="eastAsia" w:ascii="方正小标宋_GBK" w:hAnsi="方正小标宋_GBK" w:eastAsia="方正小标宋_GBK" w:cs="方正小标宋_GBK"/>
              <w:kern w:val="2"/>
              <w:sz w:val="28"/>
              <w:szCs w:val="28"/>
              <w:lang w:val="en-US" w:eastAsia="zh-CN" w:bidi="ar-SA"/>
            </w:rPr>
            <w:tab/>
          </w:r>
          <w:bookmarkStart w:id="1" w:name="_Toc7242_WPSOffice_Level1Page"/>
          <w:r>
            <w:rPr>
              <w:b/>
              <w:bCs/>
            </w:rPr>
            <w:t>2</w:t>
          </w:r>
          <w:bookmarkEnd w:id="1"/>
          <w:r>
            <w:rPr>
              <w:b/>
              <w:bCs/>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_Toc4605_WPSOffice_Level2 </w:instrText>
          </w:r>
          <w:r>
            <w:rPr>
              <w:rFonts w:hint="eastAsia" w:ascii="黑体" w:hAnsi="黑体" w:eastAsia="黑体" w:cs="黑体"/>
              <w:sz w:val="21"/>
              <w:szCs w:val="21"/>
            </w:rPr>
            <w:fldChar w:fldCharType="separate"/>
          </w:r>
          <w:sdt>
            <w:sdtPr>
              <w:rPr>
                <w:rFonts w:hint="eastAsia" w:ascii="黑体" w:hAnsi="黑体" w:eastAsia="黑体" w:cs="黑体"/>
                <w:kern w:val="2"/>
                <w:sz w:val="21"/>
                <w:szCs w:val="21"/>
                <w:lang w:val="en-US" w:eastAsia="zh-CN" w:bidi="ar-SA"/>
              </w:rPr>
              <w:id w:val="147470991"/>
              <w:placeholder>
                <w:docPart w:val="{b285c584-c801-41a8-8bf9-782de80ab436}"/>
              </w:placeholder>
            </w:sdtPr>
            <w:sdtEndPr>
              <w:rPr>
                <w:rFonts w:hint="eastAsia" w:ascii="黑体" w:hAnsi="黑体" w:eastAsia="黑体" w:cs="黑体"/>
                <w:kern w:val="2"/>
                <w:sz w:val="21"/>
                <w:szCs w:val="21"/>
                <w:lang w:val="en-US" w:eastAsia="zh-CN" w:bidi="ar-SA"/>
              </w:rPr>
            </w:sdtEndPr>
            <w:sdtContent>
              <w:r>
                <w:rPr>
                  <w:rFonts w:hint="eastAsia" w:ascii="黑体" w:hAnsi="黑体" w:eastAsia="黑体" w:cs="黑体"/>
                  <w:sz w:val="21"/>
                  <w:szCs w:val="21"/>
                </w:rPr>
                <w:t>一、 主要职责</w:t>
              </w:r>
            </w:sdtContent>
          </w:sdt>
          <w:r>
            <w:rPr>
              <w:rFonts w:hint="eastAsia" w:ascii="黑体" w:hAnsi="黑体" w:eastAsia="黑体" w:cs="黑体"/>
              <w:sz w:val="21"/>
              <w:szCs w:val="21"/>
            </w:rPr>
            <w:tab/>
          </w:r>
          <w:bookmarkStart w:id="2" w:name="_Toc4605_WPSOffice_Level2Page"/>
          <w:r>
            <w:rPr>
              <w:rFonts w:hint="eastAsia" w:ascii="黑体" w:hAnsi="黑体" w:eastAsia="黑体" w:cs="黑体"/>
              <w:sz w:val="21"/>
              <w:szCs w:val="21"/>
            </w:rPr>
            <w:t>2</w:t>
          </w:r>
          <w:bookmarkEnd w:id="2"/>
          <w:r>
            <w:rPr>
              <w:rFonts w:hint="eastAsia" w:ascii="黑体" w:hAnsi="黑体" w:eastAsia="黑体" w:cs="黑体"/>
              <w:sz w:val="21"/>
              <w:szCs w:val="21"/>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_Toc15021_WPSOffice_Level2 </w:instrText>
          </w:r>
          <w:r>
            <w:rPr>
              <w:rFonts w:hint="eastAsia" w:ascii="黑体" w:hAnsi="黑体" w:eastAsia="黑体" w:cs="黑体"/>
              <w:sz w:val="21"/>
              <w:szCs w:val="21"/>
            </w:rPr>
            <w:fldChar w:fldCharType="separate"/>
          </w:r>
          <w:sdt>
            <w:sdtPr>
              <w:rPr>
                <w:rFonts w:hint="eastAsia" w:ascii="黑体" w:hAnsi="黑体" w:eastAsia="黑体" w:cs="黑体"/>
                <w:kern w:val="2"/>
                <w:sz w:val="21"/>
                <w:szCs w:val="21"/>
                <w:lang w:val="en-US" w:eastAsia="zh-CN" w:bidi="ar-SA"/>
              </w:rPr>
              <w:id w:val="147470991"/>
              <w:placeholder>
                <w:docPart w:val="{68313590-3cff-43e9-acff-6997ae4b112e}"/>
              </w:placeholder>
            </w:sdtPr>
            <w:sdtEndPr>
              <w:rPr>
                <w:rFonts w:hint="eastAsia" w:ascii="黑体" w:hAnsi="黑体" w:eastAsia="黑体" w:cs="黑体"/>
                <w:kern w:val="2"/>
                <w:sz w:val="21"/>
                <w:szCs w:val="21"/>
                <w:lang w:val="en-US" w:eastAsia="zh-CN" w:bidi="ar-SA"/>
              </w:rPr>
            </w:sdtEndPr>
            <w:sdtContent>
              <w:r>
                <w:rPr>
                  <w:rFonts w:hint="eastAsia" w:ascii="黑体" w:hAnsi="黑体" w:eastAsia="黑体" w:cs="黑体"/>
                  <w:sz w:val="21"/>
                  <w:szCs w:val="21"/>
                </w:rPr>
                <w:t>二、 机构设置</w:t>
              </w:r>
            </w:sdtContent>
          </w:sdt>
          <w:r>
            <w:rPr>
              <w:rFonts w:hint="eastAsia" w:ascii="黑体" w:hAnsi="黑体" w:eastAsia="黑体" w:cs="黑体"/>
              <w:sz w:val="21"/>
              <w:szCs w:val="21"/>
            </w:rPr>
            <w:tab/>
          </w:r>
          <w:bookmarkStart w:id="3" w:name="_Toc15021_WPSOffice_Level2Page"/>
          <w:r>
            <w:rPr>
              <w:rFonts w:hint="eastAsia" w:ascii="黑体" w:hAnsi="黑体" w:eastAsia="黑体" w:cs="黑体"/>
              <w:sz w:val="21"/>
              <w:szCs w:val="21"/>
            </w:rPr>
            <w:t>2</w:t>
          </w:r>
          <w:bookmarkEnd w:id="3"/>
          <w:r>
            <w:rPr>
              <w:rFonts w:hint="eastAsia" w:ascii="黑体" w:hAnsi="黑体" w:eastAsia="黑体" w:cs="黑体"/>
              <w:sz w:val="21"/>
              <w:szCs w:val="21"/>
            </w:rPr>
            <w:fldChar w:fldCharType="end"/>
          </w:r>
        </w:p>
        <w:p>
          <w:pPr>
            <w:pStyle w:val="36"/>
            <w:tabs>
              <w:tab w:val="right" w:leader="dot" w:pos="8306"/>
            </w:tabs>
            <w:rPr>
              <w:rFonts w:hint="eastAsia" w:ascii="方正小标宋_GBK" w:hAnsi="方正小标宋_GBK" w:eastAsia="方正小标宋_GBK" w:cs="方正小标宋_GBK"/>
              <w:kern w:val="2"/>
              <w:sz w:val="28"/>
              <w:szCs w:val="28"/>
              <w:lang w:val="en-US" w:eastAsia="zh-CN" w:bidi="ar-SA"/>
            </w:rPr>
          </w:pPr>
          <w:r>
            <w:rPr>
              <w:rFonts w:hint="eastAsia" w:ascii="方正小标宋_GBK" w:hAnsi="方正小标宋_GBK" w:eastAsia="方正小标宋_GBK" w:cs="方正小标宋_GBK"/>
              <w:kern w:val="2"/>
              <w:sz w:val="28"/>
              <w:szCs w:val="28"/>
              <w:lang w:val="en-US" w:eastAsia="zh-CN" w:bidi="ar-SA"/>
            </w:rPr>
            <w:fldChar w:fldCharType="begin"/>
          </w:r>
          <w:r>
            <w:rPr>
              <w:rFonts w:hint="eastAsia" w:ascii="方正小标宋_GBK" w:hAnsi="方正小标宋_GBK" w:eastAsia="方正小标宋_GBK" w:cs="方正小标宋_GBK"/>
              <w:kern w:val="2"/>
              <w:sz w:val="28"/>
              <w:szCs w:val="28"/>
              <w:lang w:val="en-US" w:eastAsia="zh-CN" w:bidi="ar-SA"/>
            </w:rPr>
            <w:instrText xml:space="preserve"> HYPERLINK \l _Toc4605_WPSOffice_Level1 </w:instrText>
          </w:r>
          <w:r>
            <w:rPr>
              <w:rFonts w:hint="eastAsia" w:ascii="方正小标宋_GBK" w:hAnsi="方正小标宋_GBK" w:eastAsia="方正小标宋_GBK" w:cs="方正小标宋_GBK"/>
              <w:kern w:val="2"/>
              <w:sz w:val="28"/>
              <w:szCs w:val="28"/>
              <w:lang w:val="en-US" w:eastAsia="zh-CN" w:bidi="ar-SA"/>
            </w:rPr>
            <w:fldChar w:fldCharType="separate"/>
          </w:r>
          <w:sdt>
            <w:sdtPr>
              <w:rPr>
                <w:rFonts w:hint="eastAsia" w:ascii="方正小标宋_GBK" w:hAnsi="方正小标宋_GBK" w:eastAsia="方正小标宋_GBK" w:cs="方正小标宋_GBK"/>
                <w:kern w:val="2"/>
                <w:sz w:val="28"/>
                <w:szCs w:val="28"/>
                <w:lang w:val="en-US" w:eastAsia="zh-CN" w:bidi="ar-SA"/>
              </w:rPr>
              <w:id w:val="147470991"/>
              <w:placeholder>
                <w:docPart w:val="{5313fefc-3ea6-463f-b526-f4fbefd05188}"/>
              </w:placeholder>
            </w:sdtPr>
            <w:sdtEndPr>
              <w:rPr>
                <w:rFonts w:hint="eastAsia" w:ascii="方正小标宋_GBK" w:hAnsi="方正小标宋_GBK" w:eastAsia="方正小标宋_GBK" w:cs="方正小标宋_GBK"/>
                <w:kern w:val="2"/>
                <w:sz w:val="28"/>
                <w:szCs w:val="28"/>
                <w:lang w:val="en-US" w:eastAsia="zh-CN" w:bidi="ar-SA"/>
              </w:rPr>
            </w:sdtEndPr>
            <w:sdtContent>
              <w:r>
                <w:rPr>
                  <w:rFonts w:hint="default" w:ascii="方正小标宋_GBK" w:hAnsi="方正小标宋_GBK" w:eastAsia="方正小标宋_GBK" w:cs="方正小标宋_GBK"/>
                  <w:kern w:val="2"/>
                  <w:sz w:val="28"/>
                  <w:szCs w:val="28"/>
                  <w:lang w:val="en-US" w:eastAsia="zh-CN" w:bidi="ar-SA"/>
                </w:rPr>
                <w:t>第二部分  2024年度部门决算情况说明</w:t>
              </w:r>
            </w:sdtContent>
          </w:sdt>
          <w:r>
            <w:rPr>
              <w:rFonts w:hint="eastAsia" w:ascii="方正小标宋_GBK" w:hAnsi="方正小标宋_GBK" w:eastAsia="方正小标宋_GBK" w:cs="方正小标宋_GBK"/>
              <w:kern w:val="2"/>
              <w:sz w:val="28"/>
              <w:szCs w:val="28"/>
              <w:lang w:val="en-US" w:eastAsia="zh-CN" w:bidi="ar-SA"/>
            </w:rPr>
            <w:tab/>
          </w:r>
          <w:bookmarkStart w:id="4" w:name="_Toc4605_WPSOffice_Level1Page"/>
          <w:r>
            <w:rPr>
              <w:rFonts w:hint="eastAsia" w:ascii="方正小标宋_GBK" w:hAnsi="方正小标宋_GBK" w:eastAsia="方正小标宋_GBK" w:cs="方正小标宋_GBK"/>
              <w:kern w:val="2"/>
              <w:sz w:val="28"/>
              <w:szCs w:val="28"/>
              <w:lang w:val="en-US" w:eastAsia="zh-CN" w:bidi="ar-SA"/>
            </w:rPr>
            <w:t>3</w:t>
          </w:r>
          <w:bookmarkEnd w:id="4"/>
          <w:r>
            <w:rPr>
              <w:rFonts w:hint="eastAsia" w:ascii="方正小标宋_GBK" w:hAnsi="方正小标宋_GBK" w:eastAsia="方正小标宋_GBK" w:cs="方正小标宋_GBK"/>
              <w:kern w:val="2"/>
              <w:sz w:val="28"/>
              <w:szCs w:val="28"/>
              <w:lang w:val="en-US" w:eastAsia="zh-CN" w:bidi="ar-SA"/>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_Toc14787_WPSOffice_Level2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34542c34-f366-45ad-b5f1-442b18397030}"/>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一、收入支出决算总体情况说明</w:t>
              </w:r>
            </w:sdtContent>
          </w:sdt>
          <w:r>
            <w:rPr>
              <w:rFonts w:hint="eastAsia" w:ascii="黑体" w:hAnsi="黑体" w:eastAsia="黑体" w:cs="黑体"/>
              <w:sz w:val="21"/>
              <w:szCs w:val="21"/>
            </w:rPr>
            <w:tab/>
          </w:r>
          <w:bookmarkStart w:id="5" w:name="_Toc14787_WPSOffice_Level2Page"/>
          <w:r>
            <w:rPr>
              <w:rFonts w:hint="eastAsia" w:ascii="黑体" w:hAnsi="黑体" w:eastAsia="黑体" w:cs="黑体"/>
              <w:sz w:val="21"/>
              <w:szCs w:val="21"/>
            </w:rPr>
            <w:t>3</w:t>
          </w:r>
          <w:bookmarkEnd w:id="5"/>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_Toc2173_WPSOffice_Level2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bf21b4be-e4f0-4d09-a186-813592514f67}"/>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二、收入决算情况说明</w:t>
              </w:r>
            </w:sdtContent>
          </w:sdt>
          <w:r>
            <w:rPr>
              <w:rFonts w:hint="eastAsia" w:ascii="黑体" w:hAnsi="黑体" w:eastAsia="黑体" w:cs="黑体"/>
              <w:sz w:val="21"/>
              <w:szCs w:val="21"/>
            </w:rPr>
            <w:tab/>
          </w:r>
          <w:bookmarkStart w:id="6" w:name="_Toc2173_WPSOffice_Level2Page"/>
          <w:r>
            <w:rPr>
              <w:rFonts w:hint="eastAsia" w:ascii="黑体" w:hAnsi="黑体" w:eastAsia="黑体" w:cs="黑体"/>
              <w:sz w:val="21"/>
              <w:szCs w:val="21"/>
            </w:rPr>
            <w:t>3</w:t>
          </w:r>
          <w:bookmarkEnd w:id="6"/>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_Toc21007_WPSOffice_Level2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ddce6201-2f4e-4688-96ee-9aaa588724b6}"/>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三、支出决算情况说明</w:t>
              </w:r>
            </w:sdtContent>
          </w:sdt>
          <w:r>
            <w:rPr>
              <w:rFonts w:hint="eastAsia" w:ascii="黑体" w:hAnsi="黑体" w:eastAsia="黑体" w:cs="黑体"/>
              <w:sz w:val="21"/>
              <w:szCs w:val="21"/>
            </w:rPr>
            <w:tab/>
          </w:r>
          <w:bookmarkStart w:id="7" w:name="_Toc21007_WPSOffice_Level2Page"/>
          <w:r>
            <w:rPr>
              <w:rFonts w:hint="eastAsia" w:ascii="黑体" w:hAnsi="黑体" w:eastAsia="黑体" w:cs="黑体"/>
              <w:sz w:val="21"/>
              <w:szCs w:val="21"/>
            </w:rPr>
            <w:t>4</w:t>
          </w:r>
          <w:bookmarkEnd w:id="7"/>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_Toc18186_WPSOffice_Level2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4f9d4481-7977-401f-8309-6f8666821cda}"/>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四、财政拨款收入支出决算总体情况说明</w:t>
              </w:r>
            </w:sdtContent>
          </w:sdt>
          <w:r>
            <w:rPr>
              <w:rFonts w:hint="eastAsia" w:ascii="黑体" w:hAnsi="黑体" w:eastAsia="黑体" w:cs="黑体"/>
              <w:sz w:val="21"/>
              <w:szCs w:val="21"/>
            </w:rPr>
            <w:tab/>
          </w:r>
          <w:bookmarkStart w:id="8" w:name="_Toc18186_WPSOffice_Level2Page"/>
          <w:r>
            <w:rPr>
              <w:rFonts w:hint="eastAsia" w:ascii="黑体" w:hAnsi="黑体" w:eastAsia="黑体" w:cs="黑体"/>
              <w:sz w:val="21"/>
              <w:szCs w:val="21"/>
            </w:rPr>
            <w:t>4</w:t>
          </w:r>
          <w:bookmarkEnd w:id="8"/>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_Toc23097_WPSOffice_Level2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f8cb77bf-ae64-4f1c-b948-4d5740c85322}"/>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五、一般公共预算财政拨款支出决算情况说明</w:t>
              </w:r>
            </w:sdtContent>
          </w:sdt>
          <w:r>
            <w:rPr>
              <w:rFonts w:hint="eastAsia" w:ascii="黑体" w:hAnsi="黑体" w:eastAsia="黑体" w:cs="黑体"/>
              <w:sz w:val="21"/>
              <w:szCs w:val="21"/>
            </w:rPr>
            <w:tab/>
          </w:r>
          <w:bookmarkStart w:id="9" w:name="_Toc23097_WPSOffice_Level2Page"/>
          <w:r>
            <w:rPr>
              <w:rFonts w:hint="eastAsia" w:ascii="黑体" w:hAnsi="黑体" w:eastAsia="黑体" w:cs="黑体"/>
              <w:sz w:val="21"/>
              <w:szCs w:val="21"/>
            </w:rPr>
            <w:t>5</w:t>
          </w:r>
          <w:bookmarkEnd w:id="9"/>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_Toc21692_WPSOffice_Level2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2eee38ab-1ae0-4ee9-a1af-9a1e1636e0cd}"/>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六、一般公共预算财政拨款基本支出决算情况说明</w:t>
              </w:r>
            </w:sdtContent>
          </w:sdt>
          <w:r>
            <w:rPr>
              <w:rFonts w:hint="eastAsia" w:ascii="黑体" w:hAnsi="黑体" w:eastAsia="黑体" w:cs="黑体"/>
              <w:sz w:val="21"/>
              <w:szCs w:val="21"/>
            </w:rPr>
            <w:tab/>
          </w:r>
          <w:bookmarkStart w:id="10" w:name="_Toc21692_WPSOffice_Level2Page"/>
          <w:r>
            <w:rPr>
              <w:rFonts w:hint="eastAsia" w:ascii="黑体" w:hAnsi="黑体" w:eastAsia="黑体" w:cs="黑体"/>
              <w:sz w:val="21"/>
              <w:szCs w:val="21"/>
            </w:rPr>
            <w:t>8</w:t>
          </w:r>
          <w:bookmarkEnd w:id="10"/>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_Toc27057_WPSOffice_Level2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8a1aabf9-6b30-48ad-8bb2-7b3350eeb52b}"/>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七、财政拨款“三公”经费支出决算情况说明</w:t>
              </w:r>
            </w:sdtContent>
          </w:sdt>
          <w:r>
            <w:rPr>
              <w:rFonts w:hint="eastAsia" w:ascii="黑体" w:hAnsi="黑体" w:eastAsia="黑体" w:cs="黑体"/>
              <w:sz w:val="21"/>
              <w:szCs w:val="21"/>
            </w:rPr>
            <w:tab/>
          </w:r>
          <w:bookmarkStart w:id="11" w:name="_Toc27057_WPSOffice_Level2Page"/>
          <w:r>
            <w:rPr>
              <w:rFonts w:hint="eastAsia" w:ascii="黑体" w:hAnsi="黑体" w:eastAsia="黑体" w:cs="黑体"/>
              <w:sz w:val="21"/>
              <w:szCs w:val="21"/>
            </w:rPr>
            <w:t>8</w:t>
          </w:r>
          <w:bookmarkEnd w:id="11"/>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_Toc31558_WPSOffice_Level2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5193266c-ef59-4703-92d1-b7eaa801e6d7}"/>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八、政府性基金预算支出决算情况说明</w:t>
              </w:r>
            </w:sdtContent>
          </w:sdt>
          <w:r>
            <w:rPr>
              <w:rFonts w:hint="eastAsia" w:ascii="黑体" w:hAnsi="黑体" w:eastAsia="黑体" w:cs="黑体"/>
              <w:sz w:val="21"/>
              <w:szCs w:val="21"/>
            </w:rPr>
            <w:tab/>
          </w:r>
          <w:bookmarkStart w:id="12" w:name="_Toc31558_WPSOffice_Level2Page"/>
          <w:r>
            <w:rPr>
              <w:rFonts w:hint="eastAsia" w:ascii="黑体" w:hAnsi="黑体" w:eastAsia="黑体" w:cs="黑体"/>
              <w:sz w:val="21"/>
              <w:szCs w:val="21"/>
            </w:rPr>
            <w:t>9</w:t>
          </w:r>
          <w:bookmarkEnd w:id="12"/>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_Toc31580_WPSOffice_Level2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1694b039-9c00-4599-bd7a-06e4017ff194}"/>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九、国有资本经营预算支出决算情况说明</w:t>
              </w:r>
            </w:sdtContent>
          </w:sdt>
          <w:r>
            <w:rPr>
              <w:rFonts w:hint="eastAsia" w:ascii="黑体" w:hAnsi="黑体" w:eastAsia="黑体" w:cs="黑体"/>
              <w:sz w:val="21"/>
              <w:szCs w:val="21"/>
            </w:rPr>
            <w:tab/>
          </w:r>
          <w:bookmarkStart w:id="13" w:name="_Toc31580_WPSOffice_Level2Page"/>
          <w:r>
            <w:rPr>
              <w:rFonts w:hint="eastAsia" w:ascii="黑体" w:hAnsi="黑体" w:eastAsia="黑体" w:cs="黑体"/>
              <w:sz w:val="21"/>
              <w:szCs w:val="21"/>
            </w:rPr>
            <w:t>9</w:t>
          </w:r>
          <w:bookmarkEnd w:id="13"/>
          <w:r>
            <w:rPr>
              <w:rFonts w:hint="eastAsia" w:ascii="黑体" w:hAnsi="黑体" w:eastAsia="黑体" w:cs="黑体"/>
              <w:sz w:val="21"/>
              <w:szCs w:val="21"/>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_Toc10762_WPSOffice_Level2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43de332d-bd85-4271-8f4d-8cc8232760f7}"/>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十、其他重要事项的情况说明</w:t>
              </w:r>
            </w:sdtContent>
          </w:sdt>
          <w:r>
            <w:rPr>
              <w:rFonts w:hint="eastAsia" w:ascii="黑体" w:hAnsi="黑体" w:eastAsia="黑体" w:cs="黑体"/>
              <w:sz w:val="21"/>
              <w:szCs w:val="21"/>
            </w:rPr>
            <w:tab/>
          </w:r>
          <w:bookmarkStart w:id="14" w:name="_Toc10762_WPSOffice_Level2Page"/>
          <w:r>
            <w:rPr>
              <w:rFonts w:hint="eastAsia" w:ascii="黑体" w:hAnsi="黑体" w:eastAsia="黑体" w:cs="黑体"/>
              <w:sz w:val="21"/>
              <w:szCs w:val="21"/>
            </w:rPr>
            <w:t>9</w:t>
          </w:r>
          <w:bookmarkEnd w:id="14"/>
          <w:r>
            <w:rPr>
              <w:rFonts w:hint="eastAsia" w:ascii="黑体" w:hAnsi="黑体" w:eastAsia="黑体" w:cs="黑体"/>
              <w:sz w:val="21"/>
              <w:szCs w:val="21"/>
            </w:rPr>
            <w:fldChar w:fldCharType="end"/>
          </w:r>
        </w:p>
        <w:p>
          <w:pPr>
            <w:pStyle w:val="36"/>
            <w:tabs>
              <w:tab w:val="right" w:leader="dot" w:pos="8306"/>
            </w:tabs>
            <w:rPr>
              <w:rFonts w:hint="default" w:ascii="方正小标宋_GBK" w:hAnsi="方正小标宋_GBK" w:eastAsia="方正小标宋_GBK" w:cs="方正小标宋_GBK"/>
              <w:kern w:val="2"/>
              <w:sz w:val="28"/>
              <w:szCs w:val="28"/>
              <w:lang w:val="en-US" w:eastAsia="zh-CN" w:bidi="ar-SA"/>
            </w:rPr>
          </w:pPr>
          <w:r>
            <w:rPr>
              <w:rFonts w:hint="default" w:ascii="方正小标宋_GBK" w:hAnsi="方正小标宋_GBK" w:eastAsia="方正小标宋_GBK" w:cs="方正小标宋_GBK"/>
              <w:kern w:val="2"/>
              <w:sz w:val="28"/>
              <w:szCs w:val="28"/>
              <w:lang w:val="en-US" w:eastAsia="zh-CN" w:bidi="ar-SA"/>
            </w:rPr>
            <w:fldChar w:fldCharType="begin"/>
          </w:r>
          <w:r>
            <w:rPr>
              <w:rFonts w:hint="default" w:ascii="方正小标宋_GBK" w:hAnsi="方正小标宋_GBK" w:eastAsia="方正小标宋_GBK" w:cs="方正小标宋_GBK"/>
              <w:kern w:val="2"/>
              <w:sz w:val="28"/>
              <w:szCs w:val="28"/>
              <w:lang w:val="en-US" w:eastAsia="zh-CN" w:bidi="ar-SA"/>
            </w:rPr>
            <w:instrText xml:space="preserve"> HYPERLINK \l _Toc15021_WPSOffice_Level1 </w:instrText>
          </w:r>
          <w:r>
            <w:rPr>
              <w:rFonts w:hint="default" w:ascii="方正小标宋_GBK" w:hAnsi="方正小标宋_GBK" w:eastAsia="方正小标宋_GBK" w:cs="方正小标宋_GBK"/>
              <w:kern w:val="2"/>
              <w:sz w:val="28"/>
              <w:szCs w:val="28"/>
              <w:lang w:val="en-US" w:eastAsia="zh-CN" w:bidi="ar-SA"/>
            </w:rPr>
            <w:fldChar w:fldCharType="separate"/>
          </w:r>
          <w:sdt>
            <w:sdtPr>
              <w:rPr>
                <w:rFonts w:hint="default" w:ascii="方正小标宋_GBK" w:hAnsi="方正小标宋_GBK" w:eastAsia="方正小标宋_GBK" w:cs="方正小标宋_GBK"/>
                <w:kern w:val="2"/>
                <w:sz w:val="28"/>
                <w:szCs w:val="28"/>
                <w:lang w:val="en-US" w:eastAsia="zh-CN" w:bidi="ar-SA"/>
              </w:rPr>
              <w:id w:val="147470991"/>
              <w:placeholder>
                <w:docPart w:val="{dcb40bbb-92ce-4f13-96bc-c5b3f6e43c18}"/>
              </w:placeholder>
            </w:sdtPr>
            <w:sdtEndPr>
              <w:rPr>
                <w:rFonts w:hint="default" w:ascii="方正小标宋_GBK" w:hAnsi="方正小标宋_GBK" w:eastAsia="方正小标宋_GBK" w:cs="方正小标宋_GBK"/>
                <w:kern w:val="2"/>
                <w:sz w:val="28"/>
                <w:szCs w:val="28"/>
                <w:lang w:val="en-US" w:eastAsia="zh-CN" w:bidi="ar-SA"/>
              </w:rPr>
            </w:sdtEndPr>
            <w:sdtContent>
              <w:r>
                <w:rPr>
                  <w:rFonts w:hint="default" w:ascii="方正小标宋_GBK" w:hAnsi="方正小标宋_GBK" w:eastAsia="方正小标宋_GBK" w:cs="方正小标宋_GBK"/>
                  <w:kern w:val="2"/>
                  <w:sz w:val="28"/>
                  <w:szCs w:val="28"/>
                  <w:lang w:val="en-US" w:eastAsia="zh-CN" w:bidi="ar-SA"/>
                </w:rPr>
                <w:t>第三部分  名词解释</w:t>
              </w:r>
            </w:sdtContent>
          </w:sdt>
          <w:r>
            <w:rPr>
              <w:rFonts w:hint="default" w:ascii="方正小标宋_GBK" w:hAnsi="方正小标宋_GBK" w:eastAsia="方正小标宋_GBK" w:cs="方正小标宋_GBK"/>
              <w:kern w:val="2"/>
              <w:sz w:val="28"/>
              <w:szCs w:val="28"/>
              <w:lang w:val="en-US" w:eastAsia="zh-CN" w:bidi="ar-SA"/>
            </w:rPr>
            <w:tab/>
          </w:r>
          <w:bookmarkStart w:id="15" w:name="_Toc15021_WPSOffice_Level1Page"/>
          <w:r>
            <w:rPr>
              <w:rFonts w:hint="default" w:ascii="方正小标宋_GBK" w:hAnsi="方正小标宋_GBK" w:eastAsia="方正小标宋_GBK" w:cs="方正小标宋_GBK"/>
              <w:kern w:val="2"/>
              <w:sz w:val="28"/>
              <w:szCs w:val="28"/>
              <w:lang w:val="en-US" w:eastAsia="zh-CN" w:bidi="ar-SA"/>
            </w:rPr>
            <w:t>11</w:t>
          </w:r>
          <w:bookmarkEnd w:id="15"/>
          <w:r>
            <w:rPr>
              <w:rFonts w:hint="default" w:ascii="方正小标宋_GBK" w:hAnsi="方正小标宋_GBK" w:eastAsia="方正小标宋_GBK" w:cs="方正小标宋_GBK"/>
              <w:kern w:val="2"/>
              <w:sz w:val="28"/>
              <w:szCs w:val="28"/>
              <w:lang w:val="en-US" w:eastAsia="zh-CN" w:bidi="ar-SA"/>
            </w:rPr>
            <w:fldChar w:fldCharType="end"/>
          </w:r>
        </w:p>
        <w:p>
          <w:pPr>
            <w:pStyle w:val="36"/>
            <w:tabs>
              <w:tab w:val="right" w:leader="dot" w:pos="8306"/>
            </w:tabs>
            <w:rPr>
              <w:rFonts w:hint="default" w:ascii="方正小标宋_GBK" w:hAnsi="方正小标宋_GBK" w:eastAsia="方正小标宋_GBK" w:cs="方正小标宋_GBK"/>
              <w:kern w:val="2"/>
              <w:sz w:val="28"/>
              <w:szCs w:val="28"/>
              <w:lang w:val="en-US" w:eastAsia="zh-CN" w:bidi="ar-SA"/>
            </w:rPr>
          </w:pPr>
          <w:r>
            <w:rPr>
              <w:rFonts w:hint="default" w:ascii="方正小标宋_GBK" w:hAnsi="方正小标宋_GBK" w:eastAsia="方正小标宋_GBK" w:cs="方正小标宋_GBK"/>
              <w:kern w:val="2"/>
              <w:sz w:val="28"/>
              <w:szCs w:val="28"/>
              <w:lang w:val="en-US" w:eastAsia="zh-CN" w:bidi="ar-SA"/>
            </w:rPr>
            <w:fldChar w:fldCharType="begin"/>
          </w:r>
          <w:r>
            <w:rPr>
              <w:rFonts w:hint="default" w:ascii="方正小标宋_GBK" w:hAnsi="方正小标宋_GBK" w:eastAsia="方正小标宋_GBK" w:cs="方正小标宋_GBK"/>
              <w:kern w:val="2"/>
              <w:sz w:val="28"/>
              <w:szCs w:val="28"/>
              <w:lang w:val="en-US" w:eastAsia="zh-CN" w:bidi="ar-SA"/>
            </w:rPr>
            <w:instrText xml:space="preserve"> HYPERLINK \l _Toc14787_WPSOffice_Level1 </w:instrText>
          </w:r>
          <w:r>
            <w:rPr>
              <w:rFonts w:hint="default" w:ascii="方正小标宋_GBK" w:hAnsi="方正小标宋_GBK" w:eastAsia="方正小标宋_GBK" w:cs="方正小标宋_GBK"/>
              <w:kern w:val="2"/>
              <w:sz w:val="28"/>
              <w:szCs w:val="28"/>
              <w:lang w:val="en-US" w:eastAsia="zh-CN" w:bidi="ar-SA"/>
            </w:rPr>
            <w:fldChar w:fldCharType="separate"/>
          </w:r>
          <w:sdt>
            <w:sdtPr>
              <w:rPr>
                <w:rFonts w:hint="default" w:ascii="方正小标宋_GBK" w:hAnsi="方正小标宋_GBK" w:eastAsia="方正小标宋_GBK" w:cs="方正小标宋_GBK"/>
                <w:kern w:val="2"/>
                <w:sz w:val="28"/>
                <w:szCs w:val="28"/>
                <w:lang w:val="en-US" w:eastAsia="zh-CN" w:bidi="ar-SA"/>
              </w:rPr>
              <w:id w:val="147470991"/>
              <w:placeholder>
                <w:docPart w:val="{655807f7-4f03-4275-87ca-990bb0a74d28}"/>
              </w:placeholder>
            </w:sdtPr>
            <w:sdtEndPr>
              <w:rPr>
                <w:rFonts w:hint="default" w:ascii="方正小标宋_GBK" w:hAnsi="方正小标宋_GBK" w:eastAsia="方正小标宋_GBK" w:cs="方正小标宋_GBK"/>
                <w:kern w:val="2"/>
                <w:sz w:val="28"/>
                <w:szCs w:val="28"/>
                <w:lang w:val="en-US" w:eastAsia="zh-CN" w:bidi="ar-SA"/>
              </w:rPr>
            </w:sdtEndPr>
            <w:sdtContent>
              <w:r>
                <w:rPr>
                  <w:rFonts w:hint="default" w:ascii="方正小标宋_GBK" w:hAnsi="方正小标宋_GBK" w:eastAsia="方正小标宋_GBK" w:cs="方正小标宋_GBK"/>
                  <w:kern w:val="2"/>
                  <w:sz w:val="28"/>
                  <w:szCs w:val="28"/>
                  <w:lang w:val="en-US" w:eastAsia="zh-CN" w:bidi="ar-SA"/>
                </w:rPr>
                <w:t>第四部分  附件</w:t>
              </w:r>
            </w:sdtContent>
          </w:sdt>
          <w:r>
            <w:rPr>
              <w:rFonts w:hint="default" w:ascii="方正小标宋_GBK" w:hAnsi="方正小标宋_GBK" w:eastAsia="方正小标宋_GBK" w:cs="方正小标宋_GBK"/>
              <w:kern w:val="2"/>
              <w:sz w:val="28"/>
              <w:szCs w:val="28"/>
              <w:lang w:val="en-US" w:eastAsia="zh-CN" w:bidi="ar-SA"/>
            </w:rPr>
            <w:tab/>
          </w:r>
          <w:bookmarkStart w:id="16" w:name="_Toc14787_WPSOffice_Level1Page"/>
          <w:r>
            <w:rPr>
              <w:rFonts w:hint="default" w:ascii="方正小标宋_GBK" w:hAnsi="方正小标宋_GBK" w:eastAsia="方正小标宋_GBK" w:cs="方正小标宋_GBK"/>
              <w:kern w:val="2"/>
              <w:sz w:val="28"/>
              <w:szCs w:val="28"/>
              <w:lang w:val="en-US" w:eastAsia="zh-CN" w:bidi="ar-SA"/>
            </w:rPr>
            <w:t>14</w:t>
          </w:r>
          <w:bookmarkEnd w:id="16"/>
          <w:r>
            <w:rPr>
              <w:rFonts w:hint="default" w:ascii="方正小标宋_GBK" w:hAnsi="方正小标宋_GBK" w:eastAsia="方正小标宋_GBK" w:cs="方正小标宋_GBK"/>
              <w:kern w:val="2"/>
              <w:sz w:val="28"/>
              <w:szCs w:val="28"/>
              <w:lang w:val="en-US" w:eastAsia="zh-CN" w:bidi="ar-SA"/>
            </w:rPr>
            <w:fldChar w:fldCharType="end"/>
          </w:r>
        </w:p>
        <w:p>
          <w:pPr>
            <w:pStyle w:val="36"/>
            <w:tabs>
              <w:tab w:val="right" w:leader="dot" w:pos="8306"/>
            </w:tabs>
          </w:pPr>
          <w:r>
            <w:rPr>
              <w:rFonts w:hint="default" w:ascii="方正小标宋_GBK" w:hAnsi="方正小标宋_GBK" w:eastAsia="方正小标宋_GBK" w:cs="方正小标宋_GBK"/>
              <w:kern w:val="2"/>
              <w:sz w:val="28"/>
              <w:szCs w:val="28"/>
              <w:lang w:val="en-US" w:eastAsia="zh-CN" w:bidi="ar-SA"/>
            </w:rPr>
            <w:fldChar w:fldCharType="begin"/>
          </w:r>
          <w:r>
            <w:rPr>
              <w:rFonts w:hint="default" w:ascii="方正小标宋_GBK" w:hAnsi="方正小标宋_GBK" w:eastAsia="方正小标宋_GBK" w:cs="方正小标宋_GBK"/>
              <w:kern w:val="2"/>
              <w:sz w:val="28"/>
              <w:szCs w:val="28"/>
              <w:lang w:val="en-US" w:eastAsia="zh-CN" w:bidi="ar-SA"/>
            </w:rPr>
            <w:instrText xml:space="preserve"> HYPERLINK \l _Toc2173_WPSOffice_Level1 </w:instrText>
          </w:r>
          <w:r>
            <w:rPr>
              <w:rFonts w:hint="default" w:ascii="方正小标宋_GBK" w:hAnsi="方正小标宋_GBK" w:eastAsia="方正小标宋_GBK" w:cs="方正小标宋_GBK"/>
              <w:kern w:val="2"/>
              <w:sz w:val="28"/>
              <w:szCs w:val="28"/>
              <w:lang w:val="en-US" w:eastAsia="zh-CN" w:bidi="ar-SA"/>
            </w:rPr>
            <w:fldChar w:fldCharType="separate"/>
          </w:r>
          <w:sdt>
            <w:sdtPr>
              <w:rPr>
                <w:rFonts w:hint="default" w:ascii="方正小标宋_GBK" w:hAnsi="方正小标宋_GBK" w:eastAsia="方正小标宋_GBK" w:cs="方正小标宋_GBK"/>
                <w:kern w:val="2"/>
                <w:sz w:val="28"/>
                <w:szCs w:val="28"/>
                <w:lang w:val="en-US" w:eastAsia="zh-CN" w:bidi="ar-SA"/>
              </w:rPr>
              <w:id w:val="147470991"/>
              <w:placeholder>
                <w:docPart w:val="{79bc242a-e677-4be8-90b4-489f5e138b7c}"/>
              </w:placeholder>
            </w:sdtPr>
            <w:sdtEndPr>
              <w:rPr>
                <w:rFonts w:hint="default" w:ascii="方正小标宋_GBK" w:hAnsi="方正小标宋_GBK" w:eastAsia="方正小标宋_GBK" w:cs="方正小标宋_GBK"/>
                <w:kern w:val="2"/>
                <w:sz w:val="28"/>
                <w:szCs w:val="28"/>
                <w:lang w:val="en-US" w:eastAsia="zh-CN" w:bidi="ar-SA"/>
              </w:rPr>
            </w:sdtEndPr>
            <w:sdtContent>
              <w:r>
                <w:rPr>
                  <w:rFonts w:hint="default" w:ascii="方正小标宋_GBK" w:hAnsi="方正小标宋_GBK" w:eastAsia="方正小标宋_GBK" w:cs="方正小标宋_GBK"/>
                  <w:kern w:val="2"/>
                  <w:sz w:val="28"/>
                  <w:szCs w:val="28"/>
                  <w:lang w:val="en-US" w:eastAsia="zh-CN" w:bidi="ar-SA"/>
                </w:rPr>
                <w:t>第五部分 附表</w:t>
              </w:r>
            </w:sdtContent>
          </w:sdt>
          <w:r>
            <w:rPr>
              <w:rFonts w:hint="default" w:ascii="方正小标宋_GBK" w:hAnsi="方正小标宋_GBK" w:eastAsia="方正小标宋_GBK" w:cs="方正小标宋_GBK"/>
              <w:kern w:val="2"/>
              <w:sz w:val="28"/>
              <w:szCs w:val="28"/>
              <w:lang w:val="en-US" w:eastAsia="zh-CN" w:bidi="ar-SA"/>
            </w:rPr>
            <w:tab/>
          </w:r>
          <w:bookmarkStart w:id="17" w:name="_Toc2173_WPSOffice_Level1Page"/>
          <w:r>
            <w:rPr>
              <w:rFonts w:hint="default" w:ascii="方正小标宋_GBK" w:hAnsi="方正小标宋_GBK" w:eastAsia="方正小标宋_GBK" w:cs="方正小标宋_GBK"/>
              <w:kern w:val="2"/>
              <w:sz w:val="28"/>
              <w:szCs w:val="28"/>
              <w:lang w:val="en-US" w:eastAsia="zh-CN" w:bidi="ar-SA"/>
            </w:rPr>
            <w:t>15</w:t>
          </w:r>
          <w:bookmarkEnd w:id="17"/>
          <w:r>
            <w:rPr>
              <w:rFonts w:hint="default" w:ascii="方正小标宋_GBK" w:hAnsi="方正小标宋_GBK" w:eastAsia="方正小标宋_GBK" w:cs="方正小标宋_GBK"/>
              <w:kern w:val="2"/>
              <w:sz w:val="28"/>
              <w:szCs w:val="28"/>
              <w:lang w:val="en-US" w:eastAsia="zh-CN" w:bidi="ar-SA"/>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_Toc1228_WPSOffice_Level2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12140df4-7114-42d6-a3be-fc1dfe836713}"/>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一、收入支出决算总表</w:t>
              </w:r>
            </w:sdtContent>
          </w:sdt>
          <w:r>
            <w:rPr>
              <w:rFonts w:hint="eastAsia" w:ascii="黑体" w:hAnsi="黑体" w:eastAsia="黑体" w:cs="黑体"/>
              <w:sz w:val="21"/>
              <w:szCs w:val="21"/>
            </w:rPr>
            <w:tab/>
          </w:r>
          <w:bookmarkStart w:id="18" w:name="_Toc1228_WPSOffice_Level2Page"/>
          <w:r>
            <w:rPr>
              <w:rFonts w:hint="eastAsia" w:ascii="黑体" w:hAnsi="黑体" w:eastAsia="黑体" w:cs="黑体"/>
              <w:sz w:val="21"/>
              <w:szCs w:val="21"/>
            </w:rPr>
            <w:t>15</w:t>
          </w:r>
          <w:bookmarkEnd w:id="18"/>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_Toc15614_WPSOffice_Level2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668c81e0-9165-4b35-a8da-bce30f91b36b}"/>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二、收入决算表</w:t>
              </w:r>
            </w:sdtContent>
          </w:sdt>
          <w:r>
            <w:rPr>
              <w:rFonts w:hint="eastAsia" w:ascii="黑体" w:hAnsi="黑体" w:eastAsia="黑体" w:cs="黑体"/>
              <w:sz w:val="21"/>
              <w:szCs w:val="21"/>
            </w:rPr>
            <w:tab/>
          </w:r>
          <w:bookmarkStart w:id="19" w:name="_Toc15614_WPSOffice_Level2Page"/>
          <w:r>
            <w:rPr>
              <w:rFonts w:hint="eastAsia" w:ascii="黑体" w:hAnsi="黑体" w:eastAsia="黑体" w:cs="黑体"/>
              <w:sz w:val="21"/>
              <w:szCs w:val="21"/>
            </w:rPr>
            <w:t>15</w:t>
          </w:r>
          <w:bookmarkEnd w:id="19"/>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_Toc28872_WPSOffice_Level2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d5468189-0f5c-4f4c-98a8-d943a432b215}"/>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三、支出决算表</w:t>
              </w:r>
            </w:sdtContent>
          </w:sdt>
          <w:r>
            <w:rPr>
              <w:rFonts w:hint="eastAsia" w:ascii="黑体" w:hAnsi="黑体" w:eastAsia="黑体" w:cs="黑体"/>
              <w:sz w:val="21"/>
              <w:szCs w:val="21"/>
            </w:rPr>
            <w:tab/>
          </w:r>
          <w:bookmarkStart w:id="20" w:name="_Toc28872_WPSOffice_Level2Page"/>
          <w:r>
            <w:rPr>
              <w:rFonts w:hint="eastAsia" w:ascii="黑体" w:hAnsi="黑体" w:eastAsia="黑体" w:cs="黑体"/>
              <w:sz w:val="21"/>
              <w:szCs w:val="21"/>
            </w:rPr>
            <w:t>15</w:t>
          </w:r>
          <w:bookmarkEnd w:id="20"/>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_Toc32505_WPSOffice_Level2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904f9a12-e4a2-4ac5-95ab-61861267d1af}"/>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四、财政拨款收入支出决算总表</w:t>
              </w:r>
            </w:sdtContent>
          </w:sdt>
          <w:r>
            <w:rPr>
              <w:rFonts w:hint="eastAsia" w:ascii="黑体" w:hAnsi="黑体" w:eastAsia="黑体" w:cs="黑体"/>
              <w:sz w:val="21"/>
              <w:szCs w:val="21"/>
            </w:rPr>
            <w:tab/>
          </w:r>
          <w:bookmarkStart w:id="21" w:name="_Toc32505_WPSOffice_Level2Page"/>
          <w:r>
            <w:rPr>
              <w:rFonts w:hint="eastAsia" w:ascii="黑体" w:hAnsi="黑体" w:eastAsia="黑体" w:cs="黑体"/>
              <w:sz w:val="21"/>
              <w:szCs w:val="21"/>
            </w:rPr>
            <w:t>15</w:t>
          </w:r>
          <w:bookmarkEnd w:id="21"/>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_Toc23461_WPSOffice_Level2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279b4695-8f5e-4885-822c-0b3a527694c0}"/>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五、财政拨款支出决算明细表</w:t>
              </w:r>
            </w:sdtContent>
          </w:sdt>
          <w:r>
            <w:rPr>
              <w:rFonts w:hint="eastAsia" w:ascii="黑体" w:hAnsi="黑体" w:eastAsia="黑体" w:cs="黑体"/>
              <w:sz w:val="21"/>
              <w:szCs w:val="21"/>
            </w:rPr>
            <w:tab/>
          </w:r>
          <w:bookmarkStart w:id="22" w:name="_Toc23461_WPSOffice_Level2Page"/>
          <w:r>
            <w:rPr>
              <w:rFonts w:hint="eastAsia" w:ascii="黑体" w:hAnsi="黑体" w:eastAsia="黑体" w:cs="黑体"/>
              <w:sz w:val="21"/>
              <w:szCs w:val="21"/>
            </w:rPr>
            <w:t>15</w:t>
          </w:r>
          <w:bookmarkEnd w:id="22"/>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_Toc25621_WPSOffice_Level2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abbfcdcf-4453-475f-a3e8-1239c200d55a}"/>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六、一般公共预算财政拨款支出决算表</w:t>
              </w:r>
            </w:sdtContent>
          </w:sdt>
          <w:r>
            <w:rPr>
              <w:rFonts w:hint="eastAsia" w:ascii="黑体" w:hAnsi="黑体" w:eastAsia="黑体" w:cs="黑体"/>
              <w:sz w:val="21"/>
              <w:szCs w:val="21"/>
            </w:rPr>
            <w:tab/>
          </w:r>
          <w:bookmarkStart w:id="23" w:name="_Toc25621_WPSOffice_Level2Page"/>
          <w:r>
            <w:rPr>
              <w:rFonts w:hint="eastAsia" w:ascii="黑体" w:hAnsi="黑体" w:eastAsia="黑体" w:cs="黑体"/>
              <w:sz w:val="21"/>
              <w:szCs w:val="21"/>
            </w:rPr>
            <w:t>15</w:t>
          </w:r>
          <w:bookmarkEnd w:id="23"/>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_Toc4831_WPSOffice_Level2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00d6cf8e-b56c-4ebf-b7c4-e65884032c65}"/>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七、一般公共预算财政拨款支出决算明细表</w:t>
              </w:r>
            </w:sdtContent>
          </w:sdt>
          <w:r>
            <w:rPr>
              <w:rFonts w:hint="eastAsia" w:ascii="黑体" w:hAnsi="黑体" w:eastAsia="黑体" w:cs="黑体"/>
              <w:sz w:val="21"/>
              <w:szCs w:val="21"/>
            </w:rPr>
            <w:tab/>
          </w:r>
          <w:bookmarkStart w:id="24" w:name="_Toc4831_WPSOffice_Level2Page"/>
          <w:r>
            <w:rPr>
              <w:rFonts w:hint="eastAsia" w:ascii="黑体" w:hAnsi="黑体" w:eastAsia="黑体" w:cs="黑体"/>
              <w:sz w:val="21"/>
              <w:szCs w:val="21"/>
            </w:rPr>
            <w:t>15</w:t>
          </w:r>
          <w:bookmarkEnd w:id="24"/>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_Toc997_WPSOffice_Level2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122bf64c-ea79-472b-92dc-3e7c73da0a8f}"/>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八、一般公共预算财政拨款基本支出决算表</w:t>
              </w:r>
            </w:sdtContent>
          </w:sdt>
          <w:r>
            <w:rPr>
              <w:rFonts w:hint="eastAsia" w:ascii="黑体" w:hAnsi="黑体" w:eastAsia="黑体" w:cs="黑体"/>
              <w:sz w:val="21"/>
              <w:szCs w:val="21"/>
            </w:rPr>
            <w:tab/>
          </w:r>
          <w:bookmarkStart w:id="25" w:name="_Toc997_WPSOffice_Level2Page"/>
          <w:r>
            <w:rPr>
              <w:rFonts w:hint="eastAsia" w:ascii="黑体" w:hAnsi="黑体" w:eastAsia="黑体" w:cs="黑体"/>
              <w:sz w:val="21"/>
              <w:szCs w:val="21"/>
            </w:rPr>
            <w:t>15</w:t>
          </w:r>
          <w:bookmarkEnd w:id="25"/>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_Toc30617_WPSOffice_Level2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f236033e-e58c-40f6-beeb-64bbc907bdde}"/>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九、一般公共预算财政拨款项目支出决算表</w:t>
              </w:r>
            </w:sdtContent>
          </w:sdt>
          <w:r>
            <w:rPr>
              <w:rFonts w:hint="eastAsia" w:ascii="黑体" w:hAnsi="黑体" w:eastAsia="黑体" w:cs="黑体"/>
              <w:sz w:val="21"/>
              <w:szCs w:val="21"/>
            </w:rPr>
            <w:tab/>
          </w:r>
          <w:bookmarkStart w:id="26" w:name="_Toc30617_WPSOffice_Level2Page"/>
          <w:r>
            <w:rPr>
              <w:rFonts w:hint="eastAsia" w:ascii="黑体" w:hAnsi="黑体" w:eastAsia="黑体" w:cs="黑体"/>
              <w:sz w:val="21"/>
              <w:szCs w:val="21"/>
            </w:rPr>
            <w:t>15</w:t>
          </w:r>
          <w:bookmarkEnd w:id="26"/>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_Toc19286_WPSOffice_Level2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69c95599-91cd-43f6-a64e-65bd46f83327}"/>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十、政府性基金预算财政拨款收入支出决算表</w:t>
              </w:r>
            </w:sdtContent>
          </w:sdt>
          <w:r>
            <w:rPr>
              <w:rFonts w:hint="eastAsia" w:ascii="黑体" w:hAnsi="黑体" w:eastAsia="黑体" w:cs="黑体"/>
              <w:sz w:val="21"/>
              <w:szCs w:val="21"/>
            </w:rPr>
            <w:tab/>
          </w:r>
          <w:bookmarkStart w:id="27" w:name="_Toc19286_WPSOffice_Level2Page"/>
          <w:r>
            <w:rPr>
              <w:rFonts w:hint="eastAsia" w:ascii="黑体" w:hAnsi="黑体" w:eastAsia="黑体" w:cs="黑体"/>
              <w:sz w:val="21"/>
              <w:szCs w:val="21"/>
            </w:rPr>
            <w:t>15</w:t>
          </w:r>
          <w:bookmarkEnd w:id="27"/>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_Toc31232_WPSOffice_Level2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957f3399-7aa8-466a-aec3-41acf545e5c0}"/>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十一、国有资本经营预算财政拨款收入支出决算表</w:t>
              </w:r>
            </w:sdtContent>
          </w:sdt>
          <w:r>
            <w:rPr>
              <w:rFonts w:hint="eastAsia" w:ascii="黑体" w:hAnsi="黑体" w:eastAsia="黑体" w:cs="黑体"/>
              <w:sz w:val="21"/>
              <w:szCs w:val="21"/>
            </w:rPr>
            <w:tab/>
          </w:r>
          <w:bookmarkStart w:id="28" w:name="_Toc31232_WPSOffice_Level2Page"/>
          <w:r>
            <w:rPr>
              <w:rFonts w:hint="eastAsia" w:ascii="黑体" w:hAnsi="黑体" w:eastAsia="黑体" w:cs="黑体"/>
              <w:sz w:val="21"/>
              <w:szCs w:val="21"/>
            </w:rPr>
            <w:t>15</w:t>
          </w:r>
          <w:bookmarkEnd w:id="28"/>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_Toc3346_WPSOffice_Level2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15b0297f-1d41-488b-98a8-d63e1c171e63}"/>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十二、国有资本经营预算财政拨款支出决算表</w:t>
              </w:r>
            </w:sdtContent>
          </w:sdt>
          <w:r>
            <w:rPr>
              <w:rFonts w:hint="eastAsia" w:ascii="黑体" w:hAnsi="黑体" w:eastAsia="黑体" w:cs="黑体"/>
              <w:sz w:val="21"/>
              <w:szCs w:val="21"/>
            </w:rPr>
            <w:tab/>
          </w:r>
          <w:bookmarkStart w:id="29" w:name="_Toc3346_WPSOffice_Level2Page"/>
          <w:r>
            <w:rPr>
              <w:rFonts w:hint="eastAsia" w:ascii="黑体" w:hAnsi="黑体" w:eastAsia="黑体" w:cs="黑体"/>
              <w:sz w:val="21"/>
              <w:szCs w:val="21"/>
            </w:rPr>
            <w:t>15</w:t>
          </w:r>
          <w:bookmarkEnd w:id="29"/>
          <w:r>
            <w:rPr>
              <w:rFonts w:hint="eastAsia" w:ascii="黑体" w:hAnsi="黑体" w:eastAsia="黑体" w:cs="黑体"/>
              <w:sz w:val="21"/>
              <w:szCs w:val="21"/>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_Toc24728_WPSOffice_Level2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70991"/>
              <w:placeholder>
                <w:docPart w:val="{833e3f5c-b285-4fc1-a5f0-1bd46fe2610a}"/>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十三、财政拨款“三公”经费支出决算表</w:t>
              </w:r>
            </w:sdtContent>
          </w:sdt>
          <w:r>
            <w:rPr>
              <w:rFonts w:hint="eastAsia" w:ascii="黑体" w:hAnsi="黑体" w:eastAsia="黑体" w:cs="黑体"/>
              <w:sz w:val="21"/>
              <w:szCs w:val="21"/>
            </w:rPr>
            <w:tab/>
          </w:r>
          <w:bookmarkStart w:id="30" w:name="_Toc24728_WPSOffice_Level2Page"/>
          <w:r>
            <w:rPr>
              <w:rFonts w:hint="eastAsia" w:ascii="黑体" w:hAnsi="黑体" w:eastAsia="黑体" w:cs="黑体"/>
              <w:sz w:val="21"/>
              <w:szCs w:val="21"/>
            </w:rPr>
            <w:t>15</w:t>
          </w:r>
          <w:bookmarkEnd w:id="30"/>
          <w:r>
            <w:rPr>
              <w:rFonts w:hint="eastAsia" w:ascii="黑体" w:hAnsi="黑体" w:eastAsia="黑体" w:cs="黑体"/>
              <w:sz w:val="21"/>
              <w:szCs w:val="21"/>
            </w:rPr>
            <w:fldChar w:fldCharType="end"/>
          </w:r>
          <w:bookmarkEnd w:id="0"/>
        </w:p>
      </w:sdtContent>
    </w:sdt>
    <w:p>
      <w:pPr>
        <w:rPr>
          <w:rFonts w:hint="default" w:ascii="Times New Roman" w:hAnsi="Times New Roman" w:eastAsia="方正小标宋简体" w:cs="Times New Roman"/>
          <w:b w:val="0"/>
        </w:rPr>
      </w:pPr>
      <w:r>
        <w:rPr>
          <w:rFonts w:hint="default" w:ascii="Times New Roman" w:hAnsi="Times New Roman" w:eastAsia="方正小标宋简体" w:cs="Times New Roman"/>
          <w:b w:val="0"/>
        </w:rPr>
        <w:br w:type="page"/>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rPr>
      </w:pPr>
      <w:bookmarkStart w:id="31" w:name="_Toc17314"/>
      <w:bookmarkStart w:id="32" w:name="_Toc7242_WPSOffice_Level1"/>
      <w:r>
        <w:rPr>
          <w:rFonts w:hint="default" w:ascii="Times New Roman" w:hAnsi="Times New Roman" w:eastAsia="方正小标宋简体" w:cs="Times New Roman"/>
          <w:b w:val="0"/>
        </w:rPr>
        <w:t xml:space="preserve">第一部分  </w:t>
      </w:r>
      <w:r>
        <w:rPr>
          <w:rStyle w:val="29"/>
          <w:rFonts w:hint="default" w:ascii="Times New Roman" w:hAnsi="Times New Roman" w:eastAsia="方正小标宋简体" w:cs="Times New Roman"/>
          <w:b w:val="0"/>
          <w:bCs w:val="0"/>
        </w:rPr>
        <w:t>单位概况</w:t>
      </w:r>
      <w:bookmarkEnd w:id="31"/>
      <w:bookmarkEnd w:id="32"/>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30"/>
          <w:rFonts w:hint="default" w:ascii="Times New Roman" w:hAnsi="Times New Roman" w:eastAsia="黑体" w:cs="Times New Roman"/>
          <w:b w:val="0"/>
          <w:bCs w:val="0"/>
        </w:rPr>
      </w:pPr>
      <w:bookmarkStart w:id="33" w:name="_Toc4605_WPSOffice_Level2"/>
      <w:bookmarkStart w:id="34" w:name="_Toc5646"/>
      <w:r>
        <w:rPr>
          <w:rStyle w:val="30"/>
          <w:rFonts w:hint="default" w:ascii="Times New Roman" w:hAnsi="Times New Roman" w:eastAsia="黑体" w:cs="Times New Roman"/>
          <w:b w:val="0"/>
          <w:bCs w:val="0"/>
        </w:rPr>
        <w:t>主要职责</w:t>
      </w:r>
      <w:bookmarkEnd w:id="33"/>
      <w:bookmarkEnd w:id="34"/>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bookmarkStart w:id="35" w:name="_Toc8889"/>
      <w:bookmarkStart w:id="36" w:name="_Toc18500"/>
      <w:r>
        <w:rPr>
          <w:rFonts w:hint="default" w:ascii="Times New Roman" w:hAnsi="Times New Roman" w:eastAsia="方正仿宋_GBK" w:cs="Times New Roman"/>
          <w:color w:val="auto"/>
          <w:sz w:val="32"/>
          <w:szCs w:val="32"/>
          <w:highlight w:val="none"/>
          <w:lang w:val="en-US" w:eastAsia="zh-CN"/>
        </w:rPr>
        <w:t>盐边县格萨拉彝族乡中心学校是盐边县机构编制委员会批准成立的独立法人机构，是经费独立核算的事业单位。是在盐边县教育和体育局领导下的一所城乡居民儿童共享的小学校，实施小学义务教育，小学学历教育是学校的主要工作职责。</w:t>
      </w:r>
      <w:bookmarkEnd w:id="35"/>
      <w:bookmarkEnd w:id="36"/>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30"/>
          <w:rFonts w:hint="default" w:ascii="Times New Roman" w:hAnsi="Times New Roman" w:eastAsia="黑体" w:cs="Times New Roman"/>
          <w:b w:val="0"/>
          <w:bCs w:val="0"/>
        </w:rPr>
      </w:pPr>
      <w:bookmarkStart w:id="37" w:name="_Toc26210"/>
      <w:bookmarkStart w:id="38" w:name="_Toc15021_WPSOffice_Level2"/>
      <w:r>
        <w:rPr>
          <w:rFonts w:hint="default" w:ascii="Times New Roman" w:hAnsi="Times New Roman" w:eastAsia="黑体" w:cs="Times New Roman"/>
          <w:b w:val="0"/>
        </w:rPr>
        <w:t>机</w:t>
      </w:r>
      <w:r>
        <w:rPr>
          <w:rStyle w:val="30"/>
          <w:rFonts w:hint="default" w:ascii="Times New Roman" w:hAnsi="Times New Roman" w:eastAsia="黑体" w:cs="Times New Roman"/>
          <w:b w:val="0"/>
          <w:bCs w:val="0"/>
        </w:rPr>
        <w:t>构设置</w:t>
      </w:r>
      <w:bookmarkEnd w:id="37"/>
      <w:bookmarkEnd w:id="38"/>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bookmarkStart w:id="39" w:name="_Toc10430"/>
      <w:bookmarkStart w:id="40" w:name="_Toc6711"/>
      <w:r>
        <w:rPr>
          <w:rFonts w:hint="default" w:ascii="Times New Roman" w:hAnsi="Times New Roman" w:eastAsia="方正仿宋_GBK" w:cs="Times New Roman"/>
          <w:color w:val="auto"/>
          <w:sz w:val="32"/>
          <w:szCs w:val="32"/>
          <w:highlight w:val="none"/>
          <w:lang w:eastAsia="zh-CN"/>
        </w:rPr>
        <w:t>盐边县格萨拉彝族乡中心学校是盐边县教育和体育局下属独立核算事业单位，公益一类事业单位，单位性质为：财政补助事业单位，</w:t>
      </w:r>
      <w:r>
        <w:rPr>
          <w:rFonts w:hint="default" w:ascii="Times New Roman" w:hAnsi="Times New Roman" w:eastAsia="方正仿宋_GBK" w:cs="Times New Roman"/>
          <w:color w:val="auto"/>
          <w:sz w:val="32"/>
          <w:szCs w:val="32"/>
          <w:highlight w:val="none"/>
          <w:lang w:val="en-US" w:eastAsia="zh-CN"/>
        </w:rPr>
        <w:t>政府</w:t>
      </w:r>
      <w:r>
        <w:rPr>
          <w:rFonts w:hint="default" w:ascii="Times New Roman" w:hAnsi="Times New Roman" w:eastAsia="方正仿宋_GBK" w:cs="Times New Roman"/>
          <w:color w:val="auto"/>
          <w:sz w:val="32"/>
          <w:szCs w:val="32"/>
          <w:highlight w:val="none"/>
          <w:lang w:eastAsia="zh-CN"/>
        </w:rPr>
        <w:t>会计制度。</w:t>
      </w:r>
      <w:bookmarkEnd w:id="39"/>
      <w:bookmarkEnd w:id="40"/>
    </w:p>
    <w:p>
      <w:pPr>
        <w:numPr>
          <w:ilvl w:val="0"/>
          <w:numId w:val="0"/>
        </w:numPr>
        <w:ind w:leftChars="0"/>
        <w:rPr>
          <w:rFonts w:hint="default" w:ascii="Times New Roman" w:hAnsi="Times New Roman" w:cs="Times New Roman"/>
        </w:rPr>
      </w:pPr>
    </w:p>
    <w:p>
      <w:pPr>
        <w:widowControl/>
        <w:jc w:val="center"/>
        <w:rPr>
          <w:rFonts w:hint="default" w:ascii="Times New Roman" w:hAnsi="Times New Roman" w:eastAsia="黑体" w:cs="Times New Roman"/>
          <w:color w:val="auto"/>
          <w:sz w:val="48"/>
          <w:szCs w:val="48"/>
          <w:highlight w:val="none"/>
        </w:rPr>
      </w:pPr>
    </w:p>
    <w:p>
      <w:pPr>
        <w:widowControl/>
        <w:jc w:val="center"/>
        <w:rPr>
          <w:rFonts w:hint="default" w:ascii="Times New Roman" w:hAnsi="Times New Roman" w:eastAsia="黑体" w:cs="Times New Roman"/>
          <w:color w:val="auto"/>
          <w:sz w:val="48"/>
          <w:szCs w:val="48"/>
          <w:highlight w:val="none"/>
        </w:rPr>
      </w:pPr>
    </w:p>
    <w:p>
      <w:pPr>
        <w:widowControl/>
        <w:jc w:val="center"/>
        <w:rPr>
          <w:rFonts w:hint="default" w:ascii="Times New Roman" w:hAnsi="Times New Roman" w:eastAsia="黑体" w:cs="Times New Roman"/>
          <w:color w:val="auto"/>
          <w:sz w:val="48"/>
          <w:szCs w:val="48"/>
          <w:highlight w:val="none"/>
        </w:rPr>
      </w:pPr>
    </w:p>
    <w:p>
      <w:pPr>
        <w:widowControl/>
        <w:jc w:val="center"/>
        <w:rPr>
          <w:rFonts w:hint="default" w:ascii="Times New Roman" w:hAnsi="Times New Roman" w:eastAsia="黑体" w:cs="Times New Roman"/>
          <w:color w:val="auto"/>
          <w:sz w:val="48"/>
          <w:szCs w:val="48"/>
          <w:highlight w:val="none"/>
        </w:rPr>
      </w:pPr>
    </w:p>
    <w:p>
      <w:pPr>
        <w:widowControl/>
        <w:jc w:val="center"/>
        <w:rPr>
          <w:rFonts w:hint="default" w:ascii="Times New Roman" w:hAnsi="Times New Roman" w:eastAsia="黑体" w:cs="Times New Roman"/>
          <w:color w:val="auto"/>
          <w:sz w:val="48"/>
          <w:szCs w:val="48"/>
          <w:highlight w:val="none"/>
        </w:rPr>
      </w:pPr>
    </w:p>
    <w:p>
      <w:pPr>
        <w:pStyle w:val="2"/>
        <w:rPr>
          <w:rFonts w:hint="default" w:ascii="Times New Roman" w:hAnsi="Times New Roman" w:cs="Times New Roman"/>
        </w:rPr>
      </w:pPr>
    </w:p>
    <w:p>
      <w:pPr>
        <w:widowControl/>
        <w:jc w:val="center"/>
        <w:rPr>
          <w:rFonts w:hint="default" w:ascii="Times New Roman" w:hAnsi="Times New Roman" w:eastAsia="黑体" w:cs="Times New Roman"/>
          <w:color w:val="auto"/>
          <w:sz w:val="48"/>
          <w:szCs w:val="48"/>
          <w:highlight w:val="none"/>
        </w:rPr>
      </w:pPr>
    </w:p>
    <w:p>
      <w:pPr>
        <w:widowControl/>
        <w:jc w:val="both"/>
        <w:rPr>
          <w:rFonts w:hint="default" w:ascii="Times New Roman" w:hAnsi="Times New Roman" w:eastAsia="黑体" w:cs="Times New Roman"/>
          <w:color w:val="auto"/>
          <w:sz w:val="48"/>
          <w:szCs w:val="48"/>
          <w:highlight w:val="none"/>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48"/>
          <w:szCs w:val="48"/>
          <w:highlight w:val="none"/>
        </w:rPr>
      </w:pPr>
      <w:bookmarkStart w:id="41" w:name="_Toc15396602"/>
      <w:bookmarkStart w:id="42" w:name="_Toc15377204"/>
      <w:bookmarkStart w:id="43" w:name="_Toc3804"/>
      <w:bookmarkStart w:id="44" w:name="_Toc4605_WPSOffice_Level1"/>
      <w:r>
        <w:rPr>
          <w:rFonts w:hint="default" w:ascii="Times New Roman" w:hAnsi="Times New Roman" w:eastAsia="方正小标宋简体" w:cs="Times New Roman"/>
          <w:b w:val="0"/>
          <w:lang w:val="en-US" w:eastAsia="zh-CN"/>
        </w:rPr>
        <w:t>第二部分  2024年度部门决算情况说明</w:t>
      </w:r>
      <w:bookmarkEnd w:id="41"/>
      <w:bookmarkEnd w:id="42"/>
      <w:bookmarkEnd w:id="43"/>
      <w:bookmarkEnd w:id="44"/>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olor w:val="auto"/>
          <w:sz w:val="32"/>
          <w:szCs w:val="32"/>
          <w:highlight w:val="none"/>
          <w:lang w:eastAsia="zh-CN"/>
        </w:rPr>
      </w:pPr>
      <w:bookmarkStart w:id="45" w:name="_Toc15396603"/>
      <w:bookmarkStart w:id="46" w:name="_Toc4212"/>
      <w:bookmarkStart w:id="47" w:name="_Toc15377205"/>
      <w:bookmarkStart w:id="48" w:name="_Toc14787_WPSOffice_Level2"/>
      <w:r>
        <w:rPr>
          <w:rFonts w:hint="default" w:ascii="Times New Roman" w:hAnsi="Times New Roman" w:eastAsia="黑体"/>
          <w:color w:val="auto"/>
          <w:sz w:val="32"/>
          <w:szCs w:val="32"/>
          <w:highlight w:val="none"/>
          <w:lang w:eastAsia="zh-CN"/>
        </w:rPr>
        <w:t>一、收入支出决算总体情况说明</w:t>
      </w:r>
      <w:bookmarkEnd w:id="45"/>
      <w:bookmarkEnd w:id="46"/>
      <w:bookmarkEnd w:id="47"/>
      <w:bookmarkEnd w:id="48"/>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bookmarkStart w:id="49" w:name="_Toc4052"/>
      <w:bookmarkStart w:id="50" w:name="_Toc32072"/>
      <w:bookmarkStart w:id="51" w:name="_Toc17243"/>
      <w:r>
        <w:rPr>
          <w:rFonts w:hint="default" w:ascii="Times New Roman" w:hAnsi="Times New Roman" w:eastAsia="方正仿宋_GBK" w:cs="Times New Roman"/>
          <w:color w:val="auto"/>
          <w:sz w:val="32"/>
          <w:szCs w:val="32"/>
          <w:highlight w:val="none"/>
          <w:lang w:eastAsia="zh-CN"/>
        </w:rPr>
        <w:t>2024年度收入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eastAsia="zh-CN"/>
        </w:rPr>
        <w:t>均为</w:t>
      </w:r>
      <w:r>
        <w:rPr>
          <w:rFonts w:hint="default" w:ascii="Times New Roman" w:hAnsi="Times New Roman" w:eastAsia="方正仿宋_GBK" w:cs="Times New Roman"/>
          <w:sz w:val="32"/>
          <w:szCs w:val="32"/>
        </w:rPr>
        <w:t>427.57</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2023年度763.78万元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总计各减少</w:t>
      </w:r>
      <w:r>
        <w:rPr>
          <w:rFonts w:hint="default" w:ascii="Times New Roman" w:hAnsi="Times New Roman" w:eastAsia="方正仿宋_GBK" w:cs="Times New Roman"/>
          <w:color w:val="auto"/>
          <w:sz w:val="32"/>
          <w:szCs w:val="32"/>
          <w:highlight w:val="none"/>
          <w:lang w:val="en-US" w:eastAsia="zh-CN"/>
        </w:rPr>
        <w:t>336.21</w:t>
      </w:r>
      <w:r>
        <w:rPr>
          <w:rFonts w:hint="default" w:ascii="Times New Roman" w:hAnsi="Times New Roman" w:eastAsia="方正仿宋_GBK" w:cs="Times New Roman"/>
          <w:color w:val="auto"/>
          <w:sz w:val="32"/>
          <w:szCs w:val="32"/>
          <w:highlight w:val="none"/>
        </w:rPr>
        <w:t>万元，下降</w:t>
      </w:r>
      <w:r>
        <w:rPr>
          <w:rFonts w:hint="default" w:ascii="Times New Roman" w:hAnsi="Times New Roman" w:eastAsia="方正仿宋_GBK" w:cs="Times New Roman"/>
          <w:color w:val="auto"/>
          <w:sz w:val="32"/>
          <w:szCs w:val="32"/>
          <w:highlight w:val="none"/>
          <w:lang w:val="en-US" w:eastAsia="zh-CN"/>
        </w:rPr>
        <w:t>44.02</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color w:val="auto"/>
          <w:sz w:val="32"/>
          <w:szCs w:val="32"/>
          <w:highlight w:val="none"/>
          <w:lang w:val="en-US" w:eastAsia="zh-CN"/>
        </w:rPr>
        <w:t>本年度</w:t>
      </w:r>
      <w:r>
        <w:rPr>
          <w:rFonts w:hint="default" w:ascii="Times New Roman" w:hAnsi="Times New Roman" w:eastAsia="方正仿宋_GBK" w:cs="Times New Roman"/>
          <w:color w:val="auto"/>
          <w:sz w:val="32"/>
          <w:szCs w:val="32"/>
          <w:highlight w:val="none"/>
        </w:rPr>
        <w:t>调出18人，退休1人。</w:t>
      </w:r>
      <w:bookmarkEnd w:id="49"/>
      <w:bookmarkEnd w:id="50"/>
      <w:bookmarkEnd w:id="51"/>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（图1：收入、支出决算总计变动情况图）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rPr>
        <w:drawing>
          <wp:inline distT="0" distB="0" distL="114300" distR="114300">
            <wp:extent cx="3924300" cy="30099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52" w:name="_Toc15377206"/>
      <w:bookmarkStart w:id="53" w:name="_Toc15396604"/>
      <w:bookmarkStart w:id="54" w:name="_Toc29027"/>
      <w:bookmarkStart w:id="55" w:name="_Toc2173_WPSOffice_Level2"/>
      <w:r>
        <w:rPr>
          <w:rFonts w:hint="default" w:ascii="Times New Roman" w:hAnsi="Times New Roman" w:eastAsia="黑体" w:cs="Times New Roman"/>
          <w:color w:val="auto"/>
          <w:sz w:val="32"/>
          <w:szCs w:val="32"/>
          <w:highlight w:val="none"/>
          <w:lang w:eastAsia="zh-CN"/>
        </w:rPr>
        <w:t>二、收入决算情况说明</w:t>
      </w:r>
      <w:bookmarkEnd w:id="52"/>
      <w:bookmarkEnd w:id="53"/>
      <w:bookmarkEnd w:id="54"/>
      <w:bookmarkEnd w:id="55"/>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56" w:name="_Toc2026"/>
      <w:bookmarkStart w:id="57" w:name="_Toc11922"/>
      <w:bookmarkStart w:id="58" w:name="_Toc30457"/>
      <w:r>
        <w:rPr>
          <w:rFonts w:hint="default" w:ascii="Times New Roman" w:hAnsi="Times New Roman" w:eastAsia="方正仿宋_GBK" w:cs="Times New Roman"/>
          <w:color w:val="auto"/>
          <w:sz w:val="32"/>
          <w:szCs w:val="32"/>
          <w:highlight w:val="none"/>
          <w:lang w:val="en-US" w:eastAsia="zh-CN"/>
        </w:rPr>
        <w:t>2024年度本年收入合计427.57万元，其中：一般公共预算财政拨款收入427.57万元，占100%；政府性基金预算财政拨款收入0万元，占0%；国有资本经营预算财政拨款收入0万元，占0%；上级补助收入0万元，占0%；事业收入0万元，占0%；经营收入0万元，占0%；附属单位上缴收入0万元，占0%；其他收入0万元，占0%。</w:t>
      </w:r>
      <w:bookmarkEnd w:id="56"/>
      <w:bookmarkEnd w:id="57"/>
      <w:bookmarkEnd w:id="58"/>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（图2：收入决算结构图）</w:t>
      </w:r>
    </w:p>
    <w:p>
      <w:pPr>
        <w:keepNext w:val="0"/>
        <w:keepLines w:val="0"/>
        <w:pageBreakBefore w:val="0"/>
        <w:kinsoku/>
        <w:wordWrap/>
        <w:overflowPunct/>
        <w:topLinePunct w:val="0"/>
        <w:bidi w:val="0"/>
        <w:spacing w:line="240" w:lineRule="auto"/>
        <w:jc w:val="center"/>
        <w:textAlignment w:val="auto"/>
        <w:rPr>
          <w:rFonts w:hint="default" w:ascii="Times New Roman" w:hAnsi="Times New Roman" w:cs="Times New Roman"/>
          <w:lang w:eastAsia="zh-CN"/>
        </w:rPr>
      </w:pPr>
      <w:r>
        <w:rPr>
          <w:rFonts w:hint="default" w:ascii="Times New Roman" w:hAnsi="Times New Roman" w:cs="Times New Roman"/>
        </w:rPr>
        <w:drawing>
          <wp:inline distT="0" distB="0" distL="114300" distR="114300">
            <wp:extent cx="5271135" cy="2687320"/>
            <wp:effectExtent l="4445" t="4445" r="20320" b="1333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Style w:val="30"/>
          <w:rFonts w:hint="default" w:ascii="Times New Roman" w:hAnsi="Times New Roman" w:eastAsia="黑体" w:cs="Times New Roman"/>
          <w:b w:val="0"/>
          <w:color w:val="auto"/>
          <w:highlight w:val="none"/>
        </w:rPr>
      </w:pPr>
      <w:bookmarkStart w:id="59" w:name="_Toc15377207"/>
      <w:bookmarkStart w:id="60" w:name="_Toc15396605"/>
      <w:bookmarkStart w:id="61" w:name="_Toc19319"/>
      <w:bookmarkStart w:id="62" w:name="_Toc21007_WPSOffice_Level2"/>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30"/>
          <w:rFonts w:hint="default" w:ascii="Times New Roman" w:hAnsi="Times New Roman" w:eastAsia="黑体" w:cs="Times New Roman"/>
          <w:b w:val="0"/>
          <w:color w:val="auto"/>
          <w:highlight w:val="none"/>
        </w:rPr>
        <w:t>出决算情况说明</w:t>
      </w:r>
      <w:bookmarkEnd w:id="59"/>
      <w:bookmarkEnd w:id="60"/>
      <w:bookmarkEnd w:id="61"/>
      <w:bookmarkEnd w:id="62"/>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bookmarkStart w:id="63" w:name="_Toc10960"/>
      <w:bookmarkStart w:id="64" w:name="_Toc13359"/>
      <w:bookmarkStart w:id="65" w:name="_Toc15730"/>
      <w:r>
        <w:rPr>
          <w:rFonts w:hint="default" w:ascii="Times New Roman" w:hAnsi="Times New Roman" w:eastAsia="方正仿宋_GBK" w:cs="Times New Roman"/>
          <w:color w:val="auto"/>
          <w:sz w:val="32"/>
          <w:szCs w:val="32"/>
          <w:highlight w:val="none"/>
          <w:lang w:eastAsia="zh-CN"/>
        </w:rPr>
        <w:t>2024年度本年支出合计</w:t>
      </w:r>
      <w:r>
        <w:rPr>
          <w:rFonts w:hint="default" w:ascii="Times New Roman" w:hAnsi="Times New Roman" w:eastAsia="方正仿宋_GBK" w:cs="Times New Roman"/>
          <w:sz w:val="32"/>
          <w:szCs w:val="32"/>
        </w:rPr>
        <w:t>427.57</w:t>
      </w:r>
      <w:r>
        <w:rPr>
          <w:rFonts w:hint="default" w:ascii="Times New Roman" w:hAnsi="Times New Roman" w:eastAsia="方正仿宋_GBK" w:cs="Times New Roman"/>
          <w:color w:val="auto"/>
          <w:sz w:val="32"/>
          <w:szCs w:val="32"/>
          <w:highlight w:val="none"/>
          <w:lang w:eastAsia="zh-CN"/>
        </w:rPr>
        <w:t>万元，其中：基本支出</w:t>
      </w:r>
      <w:r>
        <w:rPr>
          <w:rFonts w:hint="default" w:ascii="Times New Roman" w:hAnsi="Times New Roman" w:eastAsia="方正仿宋_GBK" w:cs="Times New Roman"/>
          <w:sz w:val="32"/>
          <w:szCs w:val="32"/>
        </w:rPr>
        <w:t>427.44</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99.9</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color w:val="auto"/>
          <w:sz w:val="32"/>
          <w:szCs w:val="32"/>
          <w:highlight w:val="none"/>
          <w:lang w:eastAsia="zh-CN"/>
        </w:rPr>
        <w:t>%；项目支出</w:t>
      </w:r>
      <w:r>
        <w:rPr>
          <w:rFonts w:hint="default" w:ascii="Times New Roman" w:hAnsi="Times New Roman" w:eastAsia="方正仿宋_GBK" w:cs="Times New Roman"/>
          <w:sz w:val="32"/>
          <w:szCs w:val="32"/>
        </w:rPr>
        <w:t>0.14</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0.03</w:t>
      </w:r>
      <w:r>
        <w:rPr>
          <w:rFonts w:hint="default" w:ascii="Times New Roman" w:hAnsi="Times New Roman" w:eastAsia="方正仿宋_GBK" w:cs="Times New Roman"/>
          <w:color w:val="auto"/>
          <w:sz w:val="32"/>
          <w:szCs w:val="32"/>
          <w:highlight w:val="none"/>
          <w:lang w:eastAsia="zh-CN"/>
        </w:rPr>
        <w:t>%；上缴上级支出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%；经营支出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%；对附属单位补助支出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w:t>
      </w:r>
      <w:bookmarkEnd w:id="63"/>
      <w:bookmarkEnd w:id="64"/>
      <w:bookmarkEnd w:id="65"/>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（图3：支出决算结构图）</w:t>
      </w:r>
    </w:p>
    <w:p>
      <w:pPr>
        <w:pStyle w:val="6"/>
        <w:keepNext w:val="0"/>
        <w:keepLines w:val="0"/>
        <w:pageBreakBefore w:val="0"/>
        <w:kinsoku/>
        <w:wordWrap/>
        <w:overflowPunct/>
        <w:topLinePunct w:val="0"/>
        <w:bidi w:val="0"/>
        <w:spacing w:line="240" w:lineRule="auto"/>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cs="Times New Roman"/>
        </w:rPr>
        <w:drawing>
          <wp:inline distT="0" distB="0" distL="114300" distR="114300">
            <wp:extent cx="5297805" cy="2242820"/>
            <wp:effectExtent l="4445" t="4445" r="12700" b="1968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66" w:name="_Toc15396606"/>
      <w:bookmarkStart w:id="67" w:name="_Toc15377208"/>
    </w:p>
    <w:p>
      <w:pPr>
        <w:keepNext w:val="0"/>
        <w:keepLines w:val="0"/>
        <w:pageBreakBefore w:val="0"/>
        <w:kinsoku/>
        <w:wordWrap/>
        <w:overflowPunct/>
        <w:topLinePunct w:val="0"/>
        <w:bidi w:val="0"/>
        <w:spacing w:line="240" w:lineRule="auto"/>
        <w:ind w:firstLine="640" w:firstLineChars="200"/>
        <w:textAlignment w:val="auto"/>
        <w:outlineLvl w:val="1"/>
        <w:rPr>
          <w:rStyle w:val="30"/>
          <w:rFonts w:hint="default" w:ascii="Times New Roman" w:hAnsi="Times New Roman" w:eastAsia="黑体" w:cs="Times New Roman"/>
          <w:b w:val="0"/>
          <w:color w:val="auto"/>
          <w:highlight w:val="none"/>
        </w:rPr>
      </w:pPr>
      <w:bookmarkStart w:id="68" w:name="_Toc18186_WPSOffice_Level2"/>
      <w:bookmarkStart w:id="69" w:name="_Toc31631"/>
      <w:r>
        <w:rPr>
          <w:rFonts w:hint="default" w:ascii="Times New Roman" w:hAnsi="Times New Roman" w:eastAsia="黑体" w:cs="Times New Roman"/>
          <w:color w:val="auto"/>
          <w:sz w:val="32"/>
          <w:szCs w:val="32"/>
          <w:highlight w:val="none"/>
        </w:rPr>
        <w:t>四、财</w:t>
      </w:r>
      <w:r>
        <w:rPr>
          <w:rStyle w:val="30"/>
          <w:rFonts w:hint="default" w:ascii="Times New Roman" w:hAnsi="Times New Roman" w:eastAsia="黑体" w:cs="Times New Roman"/>
          <w:b w:val="0"/>
          <w:color w:val="auto"/>
          <w:highlight w:val="none"/>
        </w:rPr>
        <w:t>政拨款收入支出决算总体情况说明</w:t>
      </w:r>
      <w:bookmarkEnd w:id="66"/>
      <w:bookmarkEnd w:id="67"/>
      <w:bookmarkEnd w:id="68"/>
      <w:bookmarkEnd w:id="69"/>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bookmarkStart w:id="70" w:name="_Toc7249"/>
      <w:bookmarkStart w:id="71" w:name="_Toc11731"/>
      <w:bookmarkStart w:id="72" w:name="_Toc7612"/>
      <w:r>
        <w:rPr>
          <w:rFonts w:hint="default" w:ascii="Times New Roman" w:hAnsi="Times New Roman" w:eastAsia="方正仿宋_GBK" w:cs="Times New Roman"/>
          <w:color w:val="auto"/>
          <w:sz w:val="32"/>
          <w:szCs w:val="32"/>
          <w:highlight w:val="none"/>
          <w:lang w:val="en-US" w:eastAsia="zh-CN"/>
        </w:rPr>
        <w:t>2024年度财政拨款收入、支出总计均为427.57万元。与2023年度相比（2023年度763.78万元），收入、支出总计各减少336.21万元，下降44.02%。主要变动原因是本年度调出18人，退休1人。</w:t>
      </w:r>
      <w:bookmarkEnd w:id="70"/>
      <w:bookmarkEnd w:id="71"/>
      <w:bookmarkEnd w:id="72"/>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（图4：财政拨款收、支决算总计变动情况）</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259715</wp:posOffset>
            </wp:positionH>
            <wp:positionV relativeFrom="paragraph">
              <wp:posOffset>52705</wp:posOffset>
            </wp:positionV>
            <wp:extent cx="4703445" cy="4785995"/>
            <wp:effectExtent l="4445" t="4445" r="16510" b="10160"/>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cs="Times New Roman"/>
        </w:rPr>
      </w:pP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cs="Times New Roman"/>
        </w:rPr>
      </w:pP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cs="Times New Roman"/>
        </w:rPr>
      </w:pP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cs="Times New Roman"/>
        </w:rPr>
      </w:pP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cs="Times New Roman"/>
        </w:rPr>
      </w:pP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仿宋_GB2312" w:cs="Times New Roman"/>
          <w:color w:val="auto"/>
          <w:kern w:val="2"/>
          <w:sz w:val="32"/>
          <w:szCs w:val="32"/>
          <w:highlight w:val="none"/>
          <w:lang w:val="en-US" w:eastAsia="zh-CN" w:bidi="ar-SA"/>
        </w:rPr>
      </w:pPr>
    </w:p>
    <w:p>
      <w:pPr>
        <w:pStyle w:val="6"/>
        <w:keepNext w:val="0"/>
        <w:keepLines w:val="0"/>
        <w:pageBreakBefore w:val="0"/>
        <w:kinsoku/>
        <w:wordWrap/>
        <w:overflowPunct/>
        <w:topLinePunct w:val="0"/>
        <w:bidi w:val="0"/>
        <w:spacing w:line="240" w:lineRule="auto"/>
        <w:textAlignment w:val="auto"/>
        <w:rPr>
          <w:rFonts w:hint="default" w:ascii="Times New Roman" w:hAnsi="Times New Roman" w:eastAsia="仿宋_GB2312" w:cs="Times New Roman"/>
          <w:color w:val="auto"/>
          <w:kern w:val="2"/>
          <w:sz w:val="32"/>
          <w:szCs w:val="32"/>
          <w:highlight w:val="none"/>
          <w:lang w:val="en-US" w:eastAsia="zh-CN" w:bidi="ar-SA"/>
        </w:rPr>
      </w:pPr>
    </w:p>
    <w:p>
      <w:pPr>
        <w:keepNext w:val="0"/>
        <w:keepLines w:val="0"/>
        <w:pageBreakBefore w:val="0"/>
        <w:kinsoku/>
        <w:wordWrap/>
        <w:overflowPunct/>
        <w:topLinePunct w:val="0"/>
        <w:bidi w:val="0"/>
        <w:spacing w:line="240" w:lineRule="auto"/>
        <w:textAlignment w:val="auto"/>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keepNext w:val="0"/>
        <w:keepLines w:val="0"/>
        <w:pageBreakBefore w:val="0"/>
        <w:kinsoku/>
        <w:wordWrap/>
        <w:overflowPunct/>
        <w:topLinePunct w:val="0"/>
        <w:bidi w:val="0"/>
        <w:spacing w:line="240" w:lineRule="auto"/>
        <w:ind w:firstLine="640" w:firstLineChars="200"/>
        <w:textAlignment w:val="auto"/>
        <w:outlineLvl w:val="1"/>
        <w:rPr>
          <w:rStyle w:val="30"/>
          <w:rFonts w:hint="default" w:ascii="Times New Roman" w:hAnsi="Times New Roman" w:eastAsia="黑体" w:cs="Times New Roman"/>
          <w:b w:val="0"/>
          <w:color w:val="auto"/>
          <w:highlight w:val="none"/>
        </w:rPr>
      </w:pPr>
      <w:bookmarkStart w:id="73" w:name="_Toc15377209"/>
      <w:bookmarkStart w:id="74" w:name="_Toc15396607"/>
      <w:bookmarkStart w:id="75" w:name="_Toc6041"/>
      <w:bookmarkStart w:id="76" w:name="_Toc23097_WPSOffice_Level2"/>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0"/>
          <w:rFonts w:hint="default" w:ascii="Times New Roman" w:hAnsi="Times New Roman" w:eastAsia="黑体" w:cs="Times New Roman"/>
          <w:b w:val="0"/>
          <w:color w:val="auto"/>
          <w:highlight w:val="none"/>
        </w:rPr>
        <w:t>般公共预算财政拨款支出决算情况说明</w:t>
      </w:r>
      <w:bookmarkEnd w:id="73"/>
      <w:bookmarkEnd w:id="74"/>
      <w:bookmarkEnd w:id="75"/>
      <w:bookmarkEnd w:id="76"/>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77"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77"/>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bookmarkStart w:id="78" w:name="_Toc14111"/>
      <w:bookmarkStart w:id="79" w:name="_Toc26380"/>
      <w:bookmarkStart w:id="80" w:name="_Toc12052"/>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427.57</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%。与2023年度相比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2023年度763.78万元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kern w:val="2"/>
          <w:sz w:val="32"/>
          <w:szCs w:val="32"/>
          <w:highlight w:val="none"/>
          <w:lang w:val="en-US" w:eastAsia="zh-CN" w:bidi="ar-SA"/>
        </w:rPr>
        <w:t>一般公共预算财政拨款支出</w:t>
      </w:r>
      <w:r>
        <w:rPr>
          <w:rFonts w:hint="default" w:ascii="Times New Roman" w:hAnsi="Times New Roman" w:eastAsia="方正仿宋_GBK" w:cs="Times New Roman"/>
          <w:color w:val="auto"/>
          <w:sz w:val="32"/>
          <w:szCs w:val="32"/>
          <w:highlight w:val="none"/>
        </w:rPr>
        <w:t>减少</w:t>
      </w:r>
      <w:r>
        <w:rPr>
          <w:rFonts w:hint="default" w:ascii="Times New Roman" w:hAnsi="Times New Roman" w:eastAsia="方正仿宋_GBK" w:cs="Times New Roman"/>
          <w:color w:val="auto"/>
          <w:sz w:val="32"/>
          <w:szCs w:val="32"/>
          <w:highlight w:val="none"/>
          <w:lang w:val="en-US" w:eastAsia="zh-CN"/>
        </w:rPr>
        <w:t>336.21</w:t>
      </w:r>
      <w:r>
        <w:rPr>
          <w:rFonts w:hint="default" w:ascii="Times New Roman" w:hAnsi="Times New Roman" w:eastAsia="方正仿宋_GBK" w:cs="Times New Roman"/>
          <w:color w:val="auto"/>
          <w:sz w:val="32"/>
          <w:szCs w:val="32"/>
          <w:highlight w:val="none"/>
        </w:rPr>
        <w:t>万元，下降</w:t>
      </w:r>
      <w:r>
        <w:rPr>
          <w:rFonts w:hint="default" w:ascii="Times New Roman" w:hAnsi="Times New Roman" w:eastAsia="方正仿宋_GBK" w:cs="Times New Roman"/>
          <w:color w:val="auto"/>
          <w:sz w:val="32"/>
          <w:szCs w:val="32"/>
          <w:highlight w:val="none"/>
          <w:lang w:val="en-US" w:eastAsia="zh-CN"/>
        </w:rPr>
        <w:t>44.02</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color w:val="auto"/>
          <w:sz w:val="32"/>
          <w:szCs w:val="32"/>
          <w:highlight w:val="none"/>
          <w:lang w:val="en-US" w:eastAsia="zh-CN"/>
        </w:rPr>
        <w:t>本年度</w:t>
      </w:r>
      <w:r>
        <w:rPr>
          <w:rFonts w:hint="default" w:ascii="Times New Roman" w:hAnsi="Times New Roman" w:eastAsia="方正仿宋_GBK" w:cs="Times New Roman"/>
          <w:color w:val="auto"/>
          <w:sz w:val="32"/>
          <w:szCs w:val="32"/>
          <w:highlight w:val="none"/>
        </w:rPr>
        <w:t>调出18人，退休1人。</w:t>
      </w:r>
      <w:bookmarkEnd w:id="78"/>
      <w:bookmarkEnd w:id="79"/>
      <w:bookmarkEnd w:id="80"/>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（图5：一般公共预算财政拨款支出决算变动情况）</w:t>
      </w:r>
    </w:p>
    <w:p>
      <w:pPr>
        <w:pStyle w:val="6"/>
        <w:keepNext w:val="0"/>
        <w:keepLines w:val="0"/>
        <w:pageBreakBefore w:val="0"/>
        <w:kinsoku/>
        <w:wordWrap/>
        <w:overflowPunct/>
        <w:topLinePunct w:val="0"/>
        <w:bidi w:val="0"/>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910455" cy="3144520"/>
            <wp:effectExtent l="4445" t="4445" r="19050" b="1333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81"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81"/>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2024年度一般公共预算财政拨款支出427.57万元，主要用于以下方面：教育支出288.33万元，占67.44%；社会保障和就业支出81.83万元，占19.14%；卫生健康支出29.43万元，占6.88%；住房保障支出27.98万元，占6.54%。</w:t>
      </w:r>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（图6：一般公共预算财政拨款支出决算结构）</w:t>
      </w:r>
    </w:p>
    <w:p>
      <w:pPr>
        <w:pStyle w:val="6"/>
        <w:keepNext w:val="0"/>
        <w:keepLines w:val="0"/>
        <w:pageBreakBefore w:val="0"/>
        <w:kinsoku/>
        <w:wordWrap/>
        <w:overflowPunct/>
        <w:topLinePunct w:val="0"/>
        <w:bidi w:val="0"/>
        <w:spacing w:line="240" w:lineRule="auto"/>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385445</wp:posOffset>
            </wp:positionH>
            <wp:positionV relativeFrom="paragraph">
              <wp:posOffset>30480</wp:posOffset>
            </wp:positionV>
            <wp:extent cx="4805045" cy="3150870"/>
            <wp:effectExtent l="4445" t="5080" r="10160" b="6350"/>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keepNext w:val="0"/>
        <w:keepLines w:val="0"/>
        <w:pageBreakBefore w:val="0"/>
        <w:kinsoku/>
        <w:wordWrap/>
        <w:overflowPunct/>
        <w:topLinePunct w:val="0"/>
        <w:bidi w:val="0"/>
        <w:spacing w:line="240" w:lineRule="auto"/>
        <w:textAlignment w:val="auto"/>
        <w:rPr>
          <w:rFonts w:hint="default" w:ascii="Times New Roman" w:hAnsi="Times New Roman" w:cs="Times New Roman"/>
          <w:lang w:val="en-US" w:eastAsia="zh-CN"/>
        </w:rPr>
      </w:pP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82" w:name="_Toc15377212"/>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p>
    <w:p>
      <w:pPr>
        <w:keepNext w:val="0"/>
        <w:keepLines w:val="0"/>
        <w:pageBreakBefore w:val="0"/>
        <w:kinsoku/>
        <w:wordWrap/>
        <w:overflowPunct/>
        <w:topLinePunct w:val="0"/>
        <w:bidi w:val="0"/>
        <w:spacing w:line="240" w:lineRule="auto"/>
        <w:ind w:firstLine="643" w:firstLineChars="200"/>
        <w:textAlignment w:val="auto"/>
        <w:outlineLvl w:val="2"/>
        <w:rPr>
          <w:rFonts w:hint="default"/>
          <w:lang w:val="en-US" w:eastAsia="zh-CN"/>
        </w:rPr>
      </w:pPr>
      <w:r>
        <w:rPr>
          <w:rFonts w:hint="default" w:ascii="Times New Roman" w:hAnsi="Times New Roman" w:eastAsia="楷体_GB2312" w:cs="Times New Roman"/>
          <w:b/>
          <w:color w:val="auto"/>
          <w:sz w:val="32"/>
          <w:szCs w:val="32"/>
          <w:highlight w:val="none"/>
        </w:rPr>
        <w:t>（三）一般公共预算财政拨款支出决算具体情况</w:t>
      </w:r>
      <w:bookmarkEnd w:id="82"/>
      <w:bookmarkStart w:id="83" w:name="_Toc15377213"/>
      <w:bookmarkStart w:id="84" w:name="_Toc15378460"/>
      <w:bookmarkStart w:id="85" w:name="_Toc15377444"/>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2024年度一般公共预算财政拨款支出决算数为427.57万元，完成预算100%。其中：</w:t>
      </w:r>
      <w:bookmarkEnd w:id="83"/>
      <w:bookmarkEnd w:id="84"/>
      <w:bookmarkEnd w:id="85"/>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 教育支出（类）:支出决算数为427.57万元，其中：教育支出（类）普通教育（款）学前教育（项）:支出决算为0.61万元，完成预算100%，教育支出（类）普通教育（款）小学教育（项）:支出决算为287.72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 社会保障和就业支出（类）支出决算数为:81.83万元，社会保障和就业支出（类）行政事业单位养老支出（款）事业单位离退休（项）：支出决算为34.78万元，完成预算100%，社会保障和就业支出（类）行政事业单位养老支出（款）机关事业单位基本养老保险缴费支出（项）:支出决算为32.82万元，完成预算100%。社会保障和就业支出（类）行政事业单位养老支出（款）机关事业单位职业年金缴费支出（项）:支出决算为14.23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卫生健康支出（类）支出决算数为：29.43万元，其中：卫生健康支出（类）行政事业单位医疗（款）事业单位医疗（项）：支出决算为17.54万元，完成预算100%；卫生健康支出（类）行政事业单位医疗（款）其他行政事业单位医疗支出（项）:支出决算为11.89万元，完成预算100%。</w:t>
      </w:r>
    </w:p>
    <w:p>
      <w:pPr>
        <w:keepNext w:val="0"/>
        <w:keepLines w:val="0"/>
        <w:pageBreakBefore w:val="0"/>
        <w:kinsoku/>
        <w:wordWrap/>
        <w:overflowPunct/>
        <w:topLinePunct w:val="0"/>
        <w:bidi w:val="0"/>
        <w:spacing w:line="240" w:lineRule="auto"/>
        <w:ind w:firstLine="640"/>
        <w:textAlignment w:val="auto"/>
        <w:rPr>
          <w:rStyle w:val="18"/>
          <w:rFonts w:hint="default" w:ascii="Times New Roman" w:hAnsi="Times New Roman" w:eastAsia="仿宋_GB2312" w:cs="Times New Roman"/>
          <w:b w:val="0"/>
          <w:sz w:val="32"/>
          <w:szCs w:val="32"/>
        </w:rPr>
      </w:pPr>
      <w:r>
        <w:rPr>
          <w:rFonts w:hint="default" w:ascii="Times New Roman" w:hAnsi="Times New Roman" w:eastAsia="方正仿宋_GBK" w:cs="Times New Roman"/>
          <w:color w:val="auto"/>
          <w:kern w:val="2"/>
          <w:sz w:val="32"/>
          <w:szCs w:val="32"/>
          <w:highlight w:val="none"/>
          <w:lang w:val="en-US" w:eastAsia="zh-CN" w:bidi="ar-SA"/>
        </w:rPr>
        <w:t>4.住房保障支出（类）住房改革支出（款）住房公积金（项）:支出决算为27.98万元，完成预算100%。</w:t>
      </w:r>
    </w:p>
    <w:p>
      <w:pPr>
        <w:keepNext w:val="0"/>
        <w:keepLines w:val="0"/>
        <w:pageBreakBefore w:val="0"/>
        <w:tabs>
          <w:tab w:val="right" w:pos="8306"/>
        </w:tabs>
        <w:kinsoku/>
        <w:wordWrap/>
        <w:overflowPunct/>
        <w:topLinePunct w:val="0"/>
        <w:bidi w:val="0"/>
        <w:spacing w:line="240" w:lineRule="auto"/>
        <w:ind w:firstLine="640"/>
        <w:textAlignment w:val="auto"/>
        <w:outlineLvl w:val="1"/>
        <w:rPr>
          <w:rStyle w:val="30"/>
          <w:rFonts w:hint="default" w:ascii="Times New Roman" w:hAnsi="Times New Roman" w:cs="Times New Roman"/>
          <w:color w:val="auto"/>
          <w:highlight w:val="none"/>
        </w:rPr>
      </w:pPr>
      <w:bookmarkStart w:id="86" w:name="_Toc21692_WPSOffice_Level2"/>
      <w:bookmarkStart w:id="87" w:name="_Toc15377214"/>
      <w:bookmarkStart w:id="88" w:name="_Toc15396608"/>
      <w:bookmarkStart w:id="89" w:name="_Toc26371"/>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0"/>
          <w:rFonts w:hint="default" w:ascii="Times New Roman" w:hAnsi="Times New Roman" w:eastAsia="黑体" w:cs="Times New Roman"/>
          <w:b w:val="0"/>
          <w:color w:val="auto"/>
          <w:highlight w:val="none"/>
        </w:rPr>
        <w:t>般公共预算财政拨款基本支出决算情况说明</w:t>
      </w:r>
      <w:bookmarkEnd w:id="86"/>
      <w:bookmarkEnd w:id="87"/>
      <w:bookmarkEnd w:id="88"/>
      <w:bookmarkEnd w:id="89"/>
      <w:r>
        <w:rPr>
          <w:rStyle w:val="30"/>
          <w:rFonts w:hint="default" w:ascii="Times New Roman" w:hAnsi="Times New Roman" w:eastAsia="黑体" w:cs="Times New Roman"/>
          <w:b w:val="0"/>
          <w:color w:val="auto"/>
          <w:highlight w:val="none"/>
        </w:rPr>
        <w:tab/>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2024年度一般公共预算财政拨款基本支出427.44万元，其中：</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408.75万元，主要包括：基本工资、津贴补贴、绩效工资、机关事业单位基本养老保险缴费、职业年金缴费、其他社会保障缴费、其他工资福利支出、职工基本医疗保险缴费、医疗费、住房公积金、生活补助、医疗费补助。</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公用经费18.69万元，主要包括：办公费、印刷费、电费、邮电费、差旅费、维修（护）费、培训费、劳务费、委托业务费、工会经费、福利费、其他交通费、其他商品和服务支出。</w:t>
      </w:r>
    </w:p>
    <w:p>
      <w:pPr>
        <w:keepNext w:val="0"/>
        <w:keepLines w:val="0"/>
        <w:pageBreakBefore w:val="0"/>
        <w:kinsoku/>
        <w:wordWrap/>
        <w:overflowPunct/>
        <w:topLinePunct w:val="0"/>
        <w:bidi w:val="0"/>
        <w:spacing w:line="240" w:lineRule="auto"/>
        <w:ind w:firstLine="640"/>
        <w:textAlignment w:val="auto"/>
        <w:outlineLvl w:val="1"/>
        <w:rPr>
          <w:rStyle w:val="30"/>
          <w:rFonts w:hint="default" w:ascii="Times New Roman" w:hAnsi="Times New Roman" w:eastAsia="黑体" w:cs="Times New Roman"/>
          <w:b w:val="0"/>
          <w:color w:val="auto"/>
          <w:highlight w:val="none"/>
        </w:rPr>
      </w:pPr>
      <w:bookmarkStart w:id="90" w:name="_Toc15396609"/>
      <w:bookmarkStart w:id="91" w:name="_Toc27057_WPSOffice_Level2"/>
      <w:bookmarkStart w:id="92" w:name="_Toc27614"/>
      <w:bookmarkStart w:id="93" w:name="_Toc15377215"/>
      <w:r>
        <w:rPr>
          <w:rFonts w:hint="default" w:ascii="Times New Roman" w:hAnsi="Times New Roman" w:eastAsia="黑体" w:cs="Times New Roman"/>
          <w:color w:val="auto"/>
          <w:sz w:val="32"/>
          <w:szCs w:val="32"/>
          <w:highlight w:val="none"/>
        </w:rPr>
        <w:t>七、</w:t>
      </w:r>
      <w:r>
        <w:rPr>
          <w:rStyle w:val="30"/>
          <w:rFonts w:hint="default" w:ascii="Times New Roman" w:hAnsi="Times New Roman" w:eastAsia="黑体" w:cs="Times New Roman"/>
          <w:b w:val="0"/>
          <w:color w:val="auto"/>
          <w:highlight w:val="none"/>
        </w:rPr>
        <w:t>财政拨款</w:t>
      </w:r>
      <w:r>
        <w:rPr>
          <w:rStyle w:val="30"/>
          <w:rFonts w:hint="default" w:ascii="Times New Roman" w:hAnsi="Times New Roman" w:eastAsia="黑体" w:cs="Times New Roman"/>
          <w:color w:val="auto"/>
          <w:highlight w:val="none"/>
        </w:rPr>
        <w:t>“</w:t>
      </w:r>
      <w:r>
        <w:rPr>
          <w:rStyle w:val="30"/>
          <w:rFonts w:hint="default" w:ascii="Times New Roman" w:hAnsi="Times New Roman" w:eastAsia="黑体" w:cs="Times New Roman"/>
          <w:b w:val="0"/>
          <w:color w:val="auto"/>
          <w:highlight w:val="none"/>
        </w:rPr>
        <w:t>三公”经费支出决算情况说明</w:t>
      </w:r>
      <w:bookmarkEnd w:id="90"/>
      <w:bookmarkEnd w:id="91"/>
      <w:bookmarkEnd w:id="92"/>
      <w:bookmarkEnd w:id="93"/>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94"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94"/>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2024年度“三公”经费财政拨款支出决算为0万元，完成预算0%。决算数与预算数持平。</w:t>
      </w: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95"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95"/>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2024年度“三公”经费财政拨款支出决算中，因公出国（境）费支出决算0万元，占0%；公务用车购置及运行维护费支出决算0万元，占0%；公务接待费支出决算0万元，占0%。具体情况如下：</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全年安排因公出国（境）团组0次，出国（境）0人。因公出国（境）支出决算与2023年持平。</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2.公务用车购置及运行维护费支出0万元，完成预算0%。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公务用车购置及运行维护费支出决算与2023年持平。</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0。截至2024年12月31日，单位共有公务用车0辆，其中：轿车0辆、越野车0辆、载客汽车0辆。</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公务用车运行维护费支出0万元。</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3.公务接待费支出0万元，完成预算0%。</w:t>
      </w:r>
      <w:r>
        <w:rPr>
          <w:rFonts w:hint="default" w:ascii="Times New Roman" w:hAnsi="Times New Roman" w:eastAsia="方正仿宋_GBK" w:cs="Times New Roman"/>
          <w:color w:val="auto"/>
          <w:kern w:val="2"/>
          <w:sz w:val="32"/>
          <w:szCs w:val="32"/>
          <w:highlight w:val="none"/>
          <w:lang w:val="en-US" w:eastAsia="zh-CN" w:bidi="ar-SA"/>
        </w:rPr>
        <w:t>公务接待费支出决算与2023年持平。</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国内公务接待支出0万元。国内公务接待0批次，0人次（不包括陪同人员），共计支出0万元。</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外事接待支出0万元。外事接待0批次，0人次（不包括陪同人员），共计支出0万元。</w:t>
      </w:r>
      <w:bookmarkStart w:id="96" w:name="_Toc15396610"/>
      <w:bookmarkStart w:id="97" w:name="_Toc15377218"/>
    </w:p>
    <w:p>
      <w:pPr>
        <w:keepNext w:val="0"/>
        <w:keepLines w:val="0"/>
        <w:pageBreakBefore w:val="0"/>
        <w:kinsoku/>
        <w:wordWrap/>
        <w:overflowPunct/>
        <w:topLinePunct w:val="0"/>
        <w:bidi w:val="0"/>
        <w:spacing w:line="240" w:lineRule="auto"/>
        <w:ind w:firstLine="640"/>
        <w:textAlignment w:val="auto"/>
        <w:outlineLvl w:val="1"/>
        <w:rPr>
          <w:rStyle w:val="30"/>
          <w:rFonts w:hint="default" w:ascii="Times New Roman" w:hAnsi="Times New Roman" w:eastAsia="黑体" w:cs="Times New Roman"/>
          <w:color w:val="auto"/>
          <w:highlight w:val="none"/>
        </w:rPr>
      </w:pPr>
      <w:bookmarkStart w:id="98" w:name="_Toc31558_WPSOffice_Level2"/>
      <w:bookmarkStart w:id="99" w:name="_Toc8190"/>
      <w:r>
        <w:rPr>
          <w:rFonts w:hint="default" w:ascii="Times New Roman" w:hAnsi="Times New Roman" w:eastAsia="黑体" w:cs="Times New Roman"/>
          <w:color w:val="auto"/>
          <w:sz w:val="32"/>
          <w:szCs w:val="32"/>
          <w:highlight w:val="none"/>
        </w:rPr>
        <w:t>八、</w:t>
      </w:r>
      <w:r>
        <w:rPr>
          <w:rStyle w:val="30"/>
          <w:rFonts w:hint="default" w:ascii="Times New Roman" w:hAnsi="Times New Roman" w:eastAsia="黑体" w:cs="Times New Roman"/>
          <w:b w:val="0"/>
          <w:color w:val="auto"/>
          <w:highlight w:val="none"/>
        </w:rPr>
        <w:t>政府性基金预算支出决算情况说明</w:t>
      </w:r>
      <w:bookmarkEnd w:id="96"/>
      <w:bookmarkEnd w:id="97"/>
      <w:bookmarkEnd w:id="98"/>
      <w:bookmarkEnd w:id="99"/>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%。与2023年度决算数持平。</w:t>
      </w:r>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Fonts w:hint="default" w:ascii="Times New Roman" w:hAnsi="Times New Roman" w:eastAsia="方正仿宋_GBK" w:cs="Times New Roman"/>
          <w:color w:val="auto"/>
          <w:kern w:val="0"/>
          <w:sz w:val="32"/>
          <w:szCs w:val="32"/>
          <w:lang w:val="en-US" w:eastAsia="zh-CN" w:bidi="ar-SA"/>
        </w:rPr>
      </w:pPr>
      <w:bookmarkStart w:id="100" w:name="_Toc15377219"/>
      <w:bookmarkStart w:id="101" w:name="_Toc31580_WPSOffice_Level2"/>
      <w:bookmarkStart w:id="102" w:name="_Toc2232"/>
      <w:bookmarkStart w:id="103" w:name="_Toc15396611"/>
      <w:r>
        <w:rPr>
          <w:rStyle w:val="30"/>
          <w:rFonts w:hint="default" w:ascii="Times New Roman" w:hAnsi="Times New Roman" w:eastAsia="黑体" w:cs="Times New Roman"/>
          <w:b w:val="0"/>
          <w:color w:val="auto"/>
          <w:highlight w:val="none"/>
          <w:lang w:eastAsia="zh-CN"/>
        </w:rPr>
        <w:t>九、</w:t>
      </w:r>
      <w:r>
        <w:rPr>
          <w:rStyle w:val="30"/>
          <w:rFonts w:hint="default" w:ascii="Times New Roman" w:hAnsi="Times New Roman" w:eastAsia="黑体" w:cs="Times New Roman"/>
          <w:b w:val="0"/>
          <w:color w:val="auto"/>
          <w:highlight w:val="none"/>
        </w:rPr>
        <w:t>国有资本经营预算支出决算情况说明</w:t>
      </w:r>
      <w:bookmarkEnd w:id="100"/>
      <w:bookmarkEnd w:id="101"/>
      <w:bookmarkEnd w:id="102"/>
      <w:bookmarkEnd w:id="103"/>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0"/>
          <w:sz w:val="32"/>
          <w:szCs w:val="32"/>
          <w:lang w:val="en-US" w:eastAsia="zh-CN" w:bidi="ar-SA"/>
        </w:rPr>
        <w:t>2024年度国有资本经营预算财政拨款支出0万元，占本年支出合计的0%。与2023年度决算数持平</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30"/>
          <w:rFonts w:hint="default" w:ascii="Times New Roman" w:hAnsi="Times New Roman" w:eastAsia="黑体" w:cs="Times New Roman"/>
          <w:b w:val="0"/>
          <w:color w:val="auto"/>
          <w:highlight w:val="none"/>
        </w:rPr>
      </w:pPr>
      <w:bookmarkStart w:id="104" w:name="_Toc6056"/>
      <w:bookmarkStart w:id="105" w:name="_Toc15396612"/>
      <w:bookmarkStart w:id="106" w:name="_Toc15377221"/>
      <w:bookmarkStart w:id="107" w:name="_Toc10762_WPSOffice_Level2"/>
      <w:r>
        <w:rPr>
          <w:rStyle w:val="30"/>
          <w:rFonts w:hint="default" w:ascii="Times New Roman" w:hAnsi="Times New Roman" w:eastAsia="黑体" w:cs="Times New Roman"/>
          <w:b w:val="0"/>
          <w:color w:val="auto"/>
          <w:highlight w:val="none"/>
          <w:lang w:eastAsia="zh-CN"/>
        </w:rPr>
        <w:t>十、</w:t>
      </w:r>
      <w:r>
        <w:rPr>
          <w:rStyle w:val="30"/>
          <w:rFonts w:hint="default" w:ascii="Times New Roman" w:hAnsi="Times New Roman" w:eastAsia="黑体" w:cs="Times New Roman"/>
          <w:b w:val="0"/>
          <w:color w:val="auto"/>
          <w:highlight w:val="none"/>
        </w:rPr>
        <w:t>其他重要事项的情况说明</w:t>
      </w:r>
      <w:bookmarkEnd w:id="104"/>
      <w:bookmarkEnd w:id="105"/>
      <w:bookmarkEnd w:id="106"/>
      <w:bookmarkEnd w:id="107"/>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108" w:name="_Toc15377222"/>
      <w:r>
        <w:rPr>
          <w:rFonts w:hint="default" w:ascii="Times New Roman" w:hAnsi="Times New Roman" w:eastAsia="楷体_GB2312" w:cs="Times New Roman"/>
          <w:b/>
          <w:color w:val="auto"/>
          <w:sz w:val="32"/>
          <w:szCs w:val="32"/>
          <w:highlight w:val="none"/>
        </w:rPr>
        <w:t>（一）机关运行经费支出情况</w:t>
      </w:r>
      <w:bookmarkEnd w:id="108"/>
    </w:p>
    <w:p>
      <w:pPr>
        <w:pStyle w:val="27"/>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2024年度，盐边县格萨拉彝族乡中心学校机关运行经费支出0万元，与2023年度决算数持平。</w:t>
      </w: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109" w:name="_Toc15377223"/>
      <w:r>
        <w:rPr>
          <w:rFonts w:hint="default" w:ascii="Times New Roman" w:hAnsi="Times New Roman" w:eastAsia="楷体_GB2312" w:cs="Times New Roman"/>
          <w:b/>
          <w:color w:val="auto"/>
          <w:sz w:val="32"/>
          <w:szCs w:val="32"/>
          <w:highlight w:val="none"/>
        </w:rPr>
        <w:t>（二）政府采购支出情况</w:t>
      </w:r>
      <w:bookmarkEnd w:id="109"/>
    </w:p>
    <w:p>
      <w:pPr>
        <w:pStyle w:val="27"/>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度，盐边县格萨拉彝族乡中心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110" w:name="_Toc15377224"/>
      <w:r>
        <w:rPr>
          <w:rFonts w:hint="default" w:ascii="Times New Roman" w:hAnsi="Times New Roman" w:eastAsia="楷体_GB2312" w:cs="Times New Roman"/>
          <w:b/>
          <w:color w:val="auto"/>
          <w:sz w:val="32"/>
          <w:szCs w:val="32"/>
          <w:highlight w:val="none"/>
        </w:rPr>
        <w:t>（三）国有资产占有使用情况</w:t>
      </w:r>
      <w:bookmarkEnd w:id="110"/>
    </w:p>
    <w:p>
      <w:pPr>
        <w:pStyle w:val="27"/>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截至2024年12月31日，盐边县格萨拉彝族乡中心学校共有车辆0辆，其中：主要负责人用车0辆、机要通信用车0辆、应急保障用车0辆、其他用车0辆。单价100万元（含）以上设备（不含车辆）0台（套）。</w:t>
      </w:r>
    </w:p>
    <w:p>
      <w:pPr>
        <w:keepNext w:val="0"/>
        <w:keepLines w:val="0"/>
        <w:pageBreakBefore w:val="0"/>
        <w:kinsoku/>
        <w:wordWrap/>
        <w:overflowPunct/>
        <w:topLinePunct w:val="0"/>
        <w:bidi w:val="0"/>
        <w:spacing w:line="240" w:lineRule="auto"/>
        <w:ind w:firstLine="643" w:firstLineChars="200"/>
        <w:textAlignment w:val="auto"/>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pPr>
        <w:pStyle w:val="27"/>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根据预算绩效管理要求，本单位在2024年度预算编制阶段，组织对</w:t>
      </w:r>
      <w:r>
        <w:rPr>
          <w:rFonts w:hint="default" w:ascii="Times New Roman" w:hAnsi="Times New Roman" w:eastAsia="方正仿宋_GBK" w:cs="Times New Roman"/>
          <w:color w:val="auto"/>
          <w:sz w:val="32"/>
          <w:szCs w:val="32"/>
        </w:rPr>
        <w:t>对</w:t>
      </w:r>
      <w:r>
        <w:rPr>
          <w:rFonts w:hint="default" w:ascii="Times New Roman" w:hAnsi="Times New Roman" w:eastAsia="方正仿宋_GBK" w:cs="Times New Roman"/>
          <w:color w:val="auto"/>
          <w:sz w:val="32"/>
          <w:szCs w:val="32"/>
          <w:lang w:val="en-US" w:eastAsia="zh-CN"/>
        </w:rPr>
        <w:t>办公费、印刷费</w:t>
      </w:r>
      <w:r>
        <w:rPr>
          <w:rFonts w:hint="default" w:ascii="Times New Roman" w:hAnsi="Times New Roman" w:eastAsia="方正仿宋_GBK" w:cs="Times New Roman"/>
          <w:color w:val="auto"/>
          <w:sz w:val="32"/>
          <w:szCs w:val="32"/>
        </w:rPr>
        <w:t>项目</w:t>
      </w:r>
      <w:r>
        <w:rPr>
          <w:rFonts w:hint="default" w:ascii="Times New Roman" w:hAnsi="Times New Roman" w:eastAsia="方正仿宋_GBK" w:cs="Times New Roman"/>
          <w:color w:val="auto"/>
          <w:sz w:val="32"/>
          <w:szCs w:val="32"/>
          <w:lang w:val="en-US" w:eastAsia="zh-CN"/>
        </w:rPr>
        <w:t>等23个项目开展了预算事前绩效评估，对23个项目编制了绩效目标，预算执行过程中，选取5个项目开展绩效监控。</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仿宋_GB2312" w:cs="Times New Roman"/>
          <w:b/>
          <w:bCs/>
          <w:color w:val="0000FF"/>
          <w:kern w:val="2"/>
          <w:sz w:val="32"/>
          <w:szCs w:val="32"/>
          <w:highlight w:val="none"/>
          <w:lang w:val="en-US" w:eastAsia="zh-CN" w:bidi="ar-SA"/>
        </w:rPr>
      </w:pPr>
    </w:p>
    <w:p>
      <w:pPr>
        <w:keepNext w:val="0"/>
        <w:keepLines w:val="0"/>
        <w:pageBreakBefore w:val="0"/>
        <w:kinsoku/>
        <w:wordWrap/>
        <w:overflowPunct/>
        <w:topLinePunct w:val="0"/>
        <w:bidi w:val="0"/>
        <w:spacing w:line="240" w:lineRule="auto"/>
        <w:textAlignment w:val="auto"/>
        <w:rPr>
          <w:rFonts w:hint="default" w:ascii="Times New Roman" w:hAnsi="Times New Roman" w:eastAsia="仿宋_GB2312" w:cs="Times New Roman"/>
          <w:color w:val="auto"/>
          <w:kern w:val="2"/>
          <w:sz w:val="32"/>
          <w:szCs w:val="32"/>
          <w:highlight w:val="none"/>
          <w:lang w:val="en-US" w:eastAsia="zh-CN" w:bidi="ar-SA"/>
        </w:rPr>
      </w:pPr>
    </w:p>
    <w:p>
      <w:pPr>
        <w:pStyle w:val="2"/>
        <w:rPr>
          <w:rFonts w:hint="default"/>
          <w:lang w:val="en-US" w:eastAsia="zh-CN"/>
        </w:rPr>
      </w:pPr>
      <w:r>
        <w:rPr>
          <w:rFonts w:hint="eastAsia" w:ascii="Times New Roman" w:cs="Times New Roman"/>
          <w:color w:val="auto"/>
          <w:kern w:val="2"/>
          <w:sz w:val="32"/>
          <w:szCs w:val="32"/>
          <w:highlight w:val="none"/>
          <w:lang w:val="en-US" w:eastAsia="zh-CN" w:bidi="ar-SA"/>
        </w:rPr>
        <w:t>、</w:t>
      </w:r>
    </w:p>
    <w:p>
      <w:pPr>
        <w:keepNext w:val="0"/>
        <w:keepLines w:val="0"/>
        <w:pageBreakBefore w:val="0"/>
        <w:numPr>
          <w:ilvl w:val="0"/>
          <w:numId w:val="0"/>
        </w:numPr>
        <w:kinsoku/>
        <w:wordWrap/>
        <w:overflowPunct/>
        <w:topLinePunct w:val="0"/>
        <w:bidi w:val="0"/>
        <w:spacing w:line="240" w:lineRule="auto"/>
        <w:jc w:val="center"/>
        <w:textAlignment w:val="auto"/>
        <w:outlineLvl w:val="0"/>
        <w:rPr>
          <w:rFonts w:hint="default" w:ascii="Times New Roman" w:hAnsi="Times New Roman" w:eastAsia="黑体" w:cs="Times New Roman"/>
          <w:color w:val="auto"/>
          <w:sz w:val="44"/>
          <w:szCs w:val="44"/>
          <w:highlight w:val="none"/>
        </w:rPr>
      </w:pPr>
      <w:bookmarkStart w:id="111" w:name="_Toc15377225"/>
      <w:bookmarkStart w:id="112" w:name="_Toc15396613"/>
      <w:bookmarkStart w:id="113" w:name="_Toc17966"/>
      <w:bookmarkStart w:id="114" w:name="_Toc15021_WPSOffice_Level1"/>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111"/>
      <w:bookmarkEnd w:id="112"/>
      <w:bookmarkEnd w:id="113"/>
      <w:bookmarkEnd w:id="114"/>
    </w:p>
    <w:p>
      <w:pPr>
        <w:keepNext w:val="0"/>
        <w:keepLines w:val="0"/>
        <w:pageBreakBefore w:val="0"/>
        <w:kinsoku/>
        <w:wordWrap/>
        <w:overflowPunct/>
        <w:topLinePunct w:val="0"/>
        <w:bidi w:val="0"/>
        <w:spacing w:line="240" w:lineRule="auto"/>
        <w:jc w:val="left"/>
        <w:textAlignment w:val="auto"/>
        <w:rPr>
          <w:rFonts w:hint="default" w:ascii="Times New Roman" w:hAnsi="Times New Roman" w:cs="Times New Roman"/>
          <w:b/>
          <w:color w:val="auto"/>
          <w:sz w:val="44"/>
          <w:szCs w:val="44"/>
          <w:highlight w:val="none"/>
        </w:rPr>
      </w:pPr>
    </w:p>
    <w:p>
      <w:pPr>
        <w:pStyle w:val="27"/>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bookmarkStart w:id="115" w:name="_Toc15377226"/>
      <w:r>
        <w:rPr>
          <w:rFonts w:hint="default" w:ascii="Times New Roman" w:hAnsi="Times New Roman" w:eastAsia="方正仿宋_GBK" w:cs="Times New Roman"/>
          <w:color w:val="auto"/>
          <w:sz w:val="32"/>
          <w:szCs w:val="32"/>
        </w:rPr>
        <w:t>1.财政拨款收入：指单位从同级财政部门取得的财政预算资金。</w:t>
      </w:r>
    </w:p>
    <w:p>
      <w:pPr>
        <w:pStyle w:val="27"/>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2.事业收入：指事业单位开展专业业务活动及辅助活动取得的收入。</w:t>
      </w:r>
    </w:p>
    <w:p>
      <w:pPr>
        <w:pStyle w:val="27"/>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3.经营收入：指事业单位在专业业务活动及其辅助活动之外开展非独立核算经营活动取得的收入。</w:t>
      </w:r>
    </w:p>
    <w:p>
      <w:pPr>
        <w:pStyle w:val="27"/>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4.其他收入：指单位取得的除上述收入以外的各项收入。</w:t>
      </w:r>
    </w:p>
    <w:p>
      <w:pPr>
        <w:pStyle w:val="27"/>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5.使用非财政拨款结余：指事业单位使用以前年度积累的非财政拨款结余弥补当年收支差额的金额。</w:t>
      </w:r>
    </w:p>
    <w:p>
      <w:pPr>
        <w:pStyle w:val="27"/>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6.年初结转和结余：指以前年度尚未完成、结转到本年按有关规定继续使用的资金。</w:t>
      </w:r>
    </w:p>
    <w:p>
      <w:pPr>
        <w:pStyle w:val="27"/>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7.结余分配：指事业单位按照会计制度规定缴纳的所得税、提取的专用结余以及转入非财政拨款结余的金额等。</w:t>
      </w:r>
    </w:p>
    <w:p>
      <w:pPr>
        <w:pStyle w:val="27"/>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8.年末结转和结余：指单位按有关规定结转到下年或以后年度继续使用的资金。</w:t>
      </w:r>
    </w:p>
    <w:p>
      <w:pPr>
        <w:pStyle w:val="27"/>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auto"/>
          <w:sz w:val="32"/>
          <w:szCs w:val="32"/>
        </w:rPr>
        <w:t>9.</w:t>
      </w:r>
      <w:r>
        <w:rPr>
          <w:rFonts w:hint="default" w:ascii="Times New Roman" w:hAnsi="Times New Roman" w:eastAsia="方正仿宋_GBK" w:cs="Times New Roman"/>
          <w:color w:val="auto"/>
          <w:sz w:val="32"/>
          <w:szCs w:val="32"/>
          <w:lang w:val="zh-CN"/>
        </w:rPr>
        <w:t xml:space="preserve"> </w:t>
      </w:r>
      <w:r>
        <w:rPr>
          <w:rFonts w:hint="default" w:ascii="Times New Roman" w:hAnsi="Times New Roman" w:eastAsia="方正仿宋_GBK" w:cs="Times New Roman"/>
          <w:color w:val="auto"/>
          <w:sz w:val="32"/>
          <w:szCs w:val="32"/>
          <w:lang w:val="en-US" w:eastAsia="zh-CN"/>
        </w:rPr>
        <w:t>教育205（类）普通教育02（款）学前教育01（项）：指反映各部门举办的学前教育支出。政府各部门对社会组织等举办的幼儿园的资助，如捐赠、补贴等，也在本科目中反映。</w:t>
      </w:r>
    </w:p>
    <w:p>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color w:val="000000"/>
          <w:kern w:val="0"/>
          <w:sz w:val="32"/>
          <w:szCs w:val="32"/>
          <w:lang w:val="zh-CN"/>
        </w:rPr>
      </w:pPr>
      <w:r>
        <w:rPr>
          <w:rFonts w:hint="default" w:ascii="Times New Roman" w:hAnsi="Times New Roman" w:eastAsia="方正仿宋_GBK" w:cs="Times New Roman"/>
          <w:sz w:val="32"/>
          <w:szCs w:val="32"/>
        </w:rPr>
        <w:t>10.</w:t>
      </w:r>
      <w:r>
        <w:rPr>
          <w:rFonts w:hint="default" w:ascii="Times New Roman" w:hAnsi="Times New Roman" w:eastAsia="方正仿宋_GBK" w:cs="Times New Roman"/>
          <w:color w:val="000000"/>
          <w:sz w:val="32"/>
          <w:szCs w:val="32"/>
          <w:lang w:val="zh-CN"/>
        </w:rPr>
        <w:t xml:space="preserve"> </w:t>
      </w:r>
      <w:r>
        <w:rPr>
          <w:rFonts w:hint="default" w:ascii="Times New Roman" w:hAnsi="Times New Roman" w:eastAsia="方正仿宋_GBK" w:cs="Times New Roman"/>
          <w:color w:val="auto"/>
          <w:kern w:val="0"/>
          <w:sz w:val="32"/>
          <w:szCs w:val="32"/>
          <w:lang w:val="en-US" w:eastAsia="zh-CN" w:bidi="ar-SA"/>
        </w:rPr>
        <w:t>教育205（类）普通教育02（款）小学教育02（项）：指反映各部门举办的小学教育支出。政府各部门对社会组织等举办的小学的资助，如捐赠、补贴等，也在本科目中反映。</w:t>
      </w:r>
    </w:p>
    <w:p>
      <w:pPr>
        <w:keepNext w:val="0"/>
        <w:keepLines w:val="0"/>
        <w:pageBreakBefore w:val="0"/>
        <w:kinsoku/>
        <w:wordWrap/>
        <w:overflowPunct/>
        <w:topLinePunct w:val="0"/>
        <w:bidi w:val="0"/>
        <w:spacing w:line="240" w:lineRule="auto"/>
        <w:ind w:firstLine="627" w:firstLineChars="196"/>
        <w:textAlignment w:val="auto"/>
        <w:rPr>
          <w:rFonts w:hint="default" w:ascii="Times New Roman" w:hAnsi="Times New Roman" w:eastAsia="方正仿宋_GBK" w:cs="Times New Roman"/>
          <w:color w:val="000000"/>
          <w:sz w:val="32"/>
          <w:szCs w:val="32"/>
          <w:lang w:val="zh-CN"/>
        </w:rPr>
      </w:pPr>
      <w:r>
        <w:rPr>
          <w:rFonts w:hint="default" w:ascii="Times New Roman" w:hAnsi="Times New Roman" w:eastAsia="方正仿宋_GBK" w:cs="Times New Roman"/>
          <w:color w:val="000000"/>
          <w:sz w:val="32"/>
          <w:szCs w:val="32"/>
          <w:lang w:val="zh-CN"/>
        </w:rPr>
        <w:t>11.</w:t>
      </w:r>
      <w:r>
        <w:rPr>
          <w:rStyle w:val="18"/>
          <w:rFonts w:hint="default" w:ascii="Times New Roman" w:hAnsi="Times New Roman" w:eastAsia="方正仿宋_GBK" w:cs="Times New Roman"/>
          <w:b w:val="0"/>
          <w:sz w:val="32"/>
          <w:szCs w:val="32"/>
        </w:rPr>
        <w:t xml:space="preserve"> </w:t>
      </w:r>
      <w:r>
        <w:rPr>
          <w:rFonts w:hint="default" w:ascii="Times New Roman" w:hAnsi="Times New Roman" w:eastAsia="方正仿宋_GBK" w:cs="Times New Roman"/>
          <w:color w:val="auto"/>
          <w:kern w:val="0"/>
          <w:sz w:val="32"/>
          <w:szCs w:val="32"/>
          <w:lang w:val="en-US" w:eastAsia="zh-CN" w:bidi="ar-SA"/>
        </w:rPr>
        <w:t>社会保障和就业208（类）行政事业单位养老05（款）事业单位离退休02（项）：指反映事业单位开支的离退休经费。</w:t>
      </w:r>
    </w:p>
    <w:p>
      <w:pPr>
        <w:keepNext w:val="0"/>
        <w:keepLines w:val="0"/>
        <w:pageBreakBefore w:val="0"/>
        <w:kinsoku/>
        <w:wordWrap/>
        <w:overflowPunct/>
        <w:topLinePunct w:val="0"/>
        <w:bidi w:val="0"/>
        <w:spacing w:line="240" w:lineRule="auto"/>
        <w:ind w:firstLine="627" w:firstLineChars="196"/>
        <w:textAlignment w:val="auto"/>
        <w:rPr>
          <w:rFonts w:hint="default" w:ascii="Times New Roman" w:hAnsi="Times New Roman" w:eastAsia="方正仿宋_GBK" w:cs="Times New Roman"/>
          <w:color w:val="auto"/>
          <w:kern w:val="0"/>
          <w:sz w:val="32"/>
          <w:szCs w:val="32"/>
          <w:lang w:val="zh-CN" w:eastAsia="zh-CN" w:bidi="ar-SA"/>
        </w:rPr>
      </w:pPr>
      <w:r>
        <w:rPr>
          <w:rFonts w:hint="default" w:ascii="Times New Roman" w:hAnsi="Times New Roman" w:eastAsia="方正仿宋_GBK" w:cs="Times New Roman"/>
          <w:color w:val="auto"/>
          <w:kern w:val="0"/>
          <w:sz w:val="32"/>
          <w:szCs w:val="32"/>
          <w:lang w:val="zh-CN" w:eastAsia="zh-CN" w:bidi="ar-SA"/>
        </w:rPr>
        <w:t>1</w:t>
      </w:r>
      <w:r>
        <w:rPr>
          <w:rFonts w:hint="default" w:ascii="Times New Roman" w:hAnsi="Times New Roman" w:eastAsia="方正仿宋_GBK" w:cs="Times New Roman"/>
          <w:color w:val="auto"/>
          <w:kern w:val="0"/>
          <w:sz w:val="32"/>
          <w:szCs w:val="32"/>
          <w:lang w:val="en-US" w:eastAsia="zh-CN" w:bidi="ar-SA"/>
        </w:rPr>
        <w:t>2</w:t>
      </w:r>
      <w:r>
        <w:rPr>
          <w:rFonts w:hint="default" w:ascii="Times New Roman" w:hAnsi="Times New Roman" w:eastAsia="方正仿宋_GBK" w:cs="Times New Roman"/>
          <w:color w:val="auto"/>
          <w:kern w:val="0"/>
          <w:sz w:val="32"/>
          <w:szCs w:val="32"/>
          <w:lang w:val="zh-CN" w:eastAsia="zh-CN" w:bidi="ar-SA"/>
        </w:rPr>
        <w:t>.</w:t>
      </w:r>
      <w:r>
        <w:rPr>
          <w:rFonts w:hint="default" w:ascii="Times New Roman" w:hAnsi="Times New Roman" w:eastAsia="方正仿宋_GBK" w:cs="Times New Roman"/>
          <w:color w:val="auto"/>
          <w:kern w:val="0"/>
          <w:sz w:val="32"/>
          <w:szCs w:val="32"/>
          <w:lang w:val="en-US" w:eastAsia="zh-CN" w:bidi="ar-SA"/>
        </w:rPr>
        <w:t>社会保障和就业208（类）行政事业单位养老05（款）机关事业单位基本养老保险缴费05（项）：指反映机关事业单位实施养老保险制度由单位缴纳的基本养老保险费支出。</w:t>
      </w:r>
    </w:p>
    <w:p>
      <w:pPr>
        <w:keepNext w:val="0"/>
        <w:keepLines w:val="0"/>
        <w:pageBreakBefore w:val="0"/>
        <w:kinsoku/>
        <w:wordWrap/>
        <w:overflowPunct/>
        <w:topLinePunct w:val="0"/>
        <w:bidi w:val="0"/>
        <w:spacing w:line="240" w:lineRule="auto"/>
        <w:ind w:firstLine="627" w:firstLineChars="196"/>
        <w:textAlignment w:val="auto"/>
        <w:rPr>
          <w:rStyle w:val="18"/>
          <w:rFonts w:hint="default" w:ascii="Times New Roman" w:hAnsi="Times New Roman" w:eastAsia="方正仿宋_GBK" w:cs="Times New Roman"/>
          <w:b w:val="0"/>
          <w:sz w:val="32"/>
        </w:rPr>
      </w:pPr>
      <w:r>
        <w:rPr>
          <w:rFonts w:hint="default" w:ascii="Times New Roman" w:hAnsi="Times New Roman" w:eastAsia="方正仿宋_GBK" w:cs="Times New Roman"/>
          <w:color w:val="auto"/>
          <w:kern w:val="0"/>
          <w:sz w:val="32"/>
          <w:szCs w:val="32"/>
          <w:lang w:val="zh-CN" w:eastAsia="zh-CN" w:bidi="ar-SA"/>
        </w:rPr>
        <w:t>1</w:t>
      </w:r>
      <w:r>
        <w:rPr>
          <w:rFonts w:hint="default" w:ascii="Times New Roman" w:hAnsi="Times New Roman" w:eastAsia="方正仿宋_GBK" w:cs="Times New Roman"/>
          <w:color w:val="auto"/>
          <w:kern w:val="0"/>
          <w:sz w:val="32"/>
          <w:szCs w:val="32"/>
          <w:lang w:val="en-US" w:eastAsia="zh-CN" w:bidi="ar-SA"/>
        </w:rPr>
        <w:t>3.社会保障和就业208（类）行政事业单位养老05（款）机关事业单位职业年金缴费06（项）：指反映机关事业单位实施养老保险制度由单位实际缴纳的职业年金支出（含职业年金补记支出）。</w:t>
      </w:r>
    </w:p>
    <w:p>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000000"/>
          <w:sz w:val="32"/>
          <w:szCs w:val="32"/>
          <w:lang w:val="zh-CN"/>
        </w:rPr>
        <w:t>1</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zh-CN"/>
        </w:rPr>
        <w:t>.</w:t>
      </w:r>
      <w:r>
        <w:rPr>
          <w:rFonts w:hint="default" w:ascii="Times New Roman" w:hAnsi="Times New Roman" w:eastAsia="方正仿宋_GBK" w:cs="Times New Roman"/>
          <w:color w:val="auto"/>
          <w:kern w:val="0"/>
          <w:sz w:val="32"/>
          <w:szCs w:val="32"/>
          <w:lang w:val="en-US" w:eastAsia="zh-CN" w:bidi="ar-SA"/>
        </w:rPr>
        <w:t>卫生健康210（类）行政事业单位医疗11（款）事业单位医疗02（项）：指反映财政部门安排的事业单位基本医疗保险缴费经费，未参加医疗保险的事业单位的公费医疗经费，按国家规定享受离休人员待遇的医疗经费。</w:t>
      </w:r>
    </w:p>
    <w:p>
      <w:pPr>
        <w:pStyle w:val="2"/>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sz w:val="32"/>
          <w:szCs w:val="32"/>
          <w:lang w:val="zh-CN"/>
        </w:rPr>
        <w:t>1</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zh-CN"/>
        </w:rPr>
        <w:t>.</w:t>
      </w:r>
      <w:r>
        <w:rPr>
          <w:rFonts w:hint="default" w:ascii="Times New Roman" w:hAnsi="Times New Roman" w:eastAsia="方正仿宋_GBK" w:cs="Times New Roman"/>
          <w:color w:val="auto"/>
          <w:kern w:val="0"/>
          <w:sz w:val="32"/>
          <w:szCs w:val="32"/>
          <w:lang w:val="en-US" w:eastAsia="zh-CN" w:bidi="ar-SA"/>
        </w:rPr>
        <w:t>住房保障221（类）住房改革02（款）住房公积金01（项）：指反映行政事业单位按人力资源和社会保障部、财政部规定的基本工资和津贴补贴以及规定比例为职工缴纳的住房公积金。</w:t>
      </w:r>
    </w:p>
    <w:p>
      <w:pPr>
        <w:keepNext w:val="0"/>
        <w:keepLines w:val="0"/>
        <w:pageBreakBefore w:val="0"/>
        <w:kinsoku/>
        <w:wordWrap/>
        <w:overflowPunct/>
        <w:topLinePunct w:val="0"/>
        <w:autoSpaceDE w:val="0"/>
        <w:autoSpaceDN w:val="0"/>
        <w:bidi w:val="0"/>
        <w:adjustRightInd w:val="0"/>
        <w:spacing w:line="240" w:lineRule="auto"/>
        <w:ind w:firstLine="627" w:firstLineChars="196"/>
        <w:jc w:val="left"/>
        <w:textAlignment w:val="auto"/>
        <w:rPr>
          <w:rFonts w:hint="default" w:ascii="Times New Roman" w:hAnsi="Times New Roman" w:eastAsia="方正仿宋_GBK" w:cs="Times New Roman"/>
          <w:color w:val="000000"/>
          <w:kern w:val="0"/>
          <w:sz w:val="32"/>
          <w:szCs w:val="32"/>
          <w:lang w:val="zh-CN"/>
        </w:rPr>
      </w:pPr>
      <w:r>
        <w:rPr>
          <w:rFonts w:hint="default" w:ascii="Times New Roman" w:hAnsi="Times New Roman" w:eastAsia="方正仿宋_GBK" w:cs="Times New Roman"/>
          <w:color w:val="000000"/>
          <w:kern w:val="0"/>
          <w:sz w:val="32"/>
          <w:szCs w:val="32"/>
          <w:lang w:val="zh-CN"/>
        </w:rPr>
        <w:t>1</w:t>
      </w:r>
      <w:r>
        <w:rPr>
          <w:rFonts w:hint="default"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lang w:val="zh-CN"/>
        </w:rPr>
        <w:t>.基本支出：指为保障机构正常运转、完成日常工作任务而发生的人员支出和公用支出。</w:t>
      </w:r>
    </w:p>
    <w:p>
      <w:pPr>
        <w:keepNext w:val="0"/>
        <w:keepLines w:val="0"/>
        <w:pageBreakBefore w:val="0"/>
        <w:kinsoku/>
        <w:wordWrap/>
        <w:overflowPunct/>
        <w:topLinePunct w:val="0"/>
        <w:autoSpaceDE w:val="0"/>
        <w:autoSpaceDN w:val="0"/>
        <w:bidi w:val="0"/>
        <w:adjustRightInd w:val="0"/>
        <w:spacing w:line="240" w:lineRule="auto"/>
        <w:ind w:firstLine="627" w:firstLineChars="196"/>
        <w:jc w:val="left"/>
        <w:textAlignment w:val="auto"/>
        <w:rPr>
          <w:rFonts w:hint="default" w:ascii="Times New Roman" w:hAnsi="Times New Roman" w:eastAsia="方正仿宋_GBK" w:cs="Times New Roman"/>
          <w:color w:val="000000"/>
          <w:kern w:val="0"/>
          <w:sz w:val="32"/>
          <w:szCs w:val="32"/>
          <w:lang w:val="zh-CN"/>
        </w:rPr>
      </w:pPr>
      <w:r>
        <w:rPr>
          <w:rFonts w:hint="default" w:ascii="Times New Roman" w:hAnsi="Times New Roman" w:eastAsia="方正仿宋_GBK" w:cs="Times New Roman"/>
          <w:color w:val="000000"/>
          <w:kern w:val="0"/>
          <w:sz w:val="32"/>
          <w:szCs w:val="32"/>
          <w:lang w:val="zh-CN"/>
        </w:rPr>
        <w:t>1</w:t>
      </w:r>
      <w:r>
        <w:rPr>
          <w:rFonts w:hint="default"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000000"/>
          <w:kern w:val="0"/>
          <w:sz w:val="32"/>
          <w:szCs w:val="32"/>
          <w:lang w:val="zh-CN"/>
        </w:rPr>
        <w:t>.项目支出：指在基本支出之外为完成特定行政任务和事业发展目标所发生的支出。</w:t>
      </w:r>
    </w:p>
    <w:p>
      <w:pPr>
        <w:keepNext w:val="0"/>
        <w:keepLines w:val="0"/>
        <w:pageBreakBefore w:val="0"/>
        <w:kinsoku/>
        <w:wordWrap/>
        <w:overflowPunct/>
        <w:topLinePunct w:val="0"/>
        <w:autoSpaceDE w:val="0"/>
        <w:autoSpaceDN w:val="0"/>
        <w:bidi w:val="0"/>
        <w:adjustRightInd w:val="0"/>
        <w:spacing w:line="240" w:lineRule="auto"/>
        <w:ind w:firstLine="627" w:firstLineChars="196"/>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rPr>
        <w:t>19</w:t>
      </w:r>
      <w:r>
        <w:rPr>
          <w:rFonts w:hint="default" w:ascii="Times New Roman" w:hAnsi="Times New Roman" w:eastAsia="方正仿宋_GBK" w:cs="Times New Roman"/>
          <w:color w:val="000000"/>
          <w:kern w:val="0"/>
          <w:sz w:val="32"/>
          <w:szCs w:val="32"/>
          <w:lang w:val="zh-CN"/>
        </w:rPr>
        <w:t>.经营支出：指事业单位在专业业务活动及其辅助活动之外开展非独立核算经营活动发生的支出。</w:t>
      </w:r>
    </w:p>
    <w:p>
      <w:pPr>
        <w:pStyle w:val="27"/>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rPr>
        <w:t>“三公”经费：指单位用财政拨款安排的因公出国（境）费、公务用车购置及运行维护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桥过路费、保险费、安全奖励费用等支出；公务接待费反映单位按规定开支的各类公务接待（含外宾接待）费用。</w:t>
      </w:r>
    </w:p>
    <w:p>
      <w:pPr>
        <w:keepNext w:val="0"/>
        <w:keepLines w:val="0"/>
        <w:pageBreakBefore w:val="0"/>
        <w:kinsoku/>
        <w:wordWrap/>
        <w:overflowPunct/>
        <w:topLinePunct w:val="0"/>
        <w:bidi w:val="0"/>
        <w:spacing w:line="240" w:lineRule="auto"/>
        <w:ind w:left="0" w:leftChars="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机关运行经费：</w:t>
      </w:r>
      <w:r>
        <w:rPr>
          <w:rFonts w:hint="default" w:ascii="Times New Roman" w:hAnsi="Times New Roman" w:eastAsia="方正仿宋_GBK" w:cs="Times New Roman"/>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spacing w:line="240" w:lineRule="auto"/>
        <w:jc w:val="center"/>
        <w:textAlignment w:val="auto"/>
        <w:rPr>
          <w:rStyle w:val="29"/>
          <w:rFonts w:hint="default" w:ascii="Times New Roman" w:hAnsi="Times New Roman" w:eastAsia="黑体" w:cs="Times New Roman"/>
          <w:b w:val="0"/>
          <w:color w:val="auto"/>
          <w:highlight w:val="none"/>
        </w:rPr>
      </w:pPr>
      <w:r>
        <w:rPr>
          <w:rFonts w:hint="default" w:ascii="Times New Roman" w:hAnsi="Times New Roman" w:eastAsia="仿宋_GB2312" w:cs="Times New Roman"/>
          <w:color w:val="auto"/>
          <w:kern w:val="2"/>
          <w:sz w:val="32"/>
          <w:szCs w:val="32"/>
          <w:highlight w:val="none"/>
          <w:lang w:val="en-US" w:eastAsia="zh-CN" w:bidi="ar-SA"/>
        </w:rPr>
        <w:br w:type="page"/>
      </w:r>
      <w:bookmarkStart w:id="116" w:name="_Toc14787_WPSOffice_Level1"/>
      <w:bookmarkStart w:id="117" w:name="_Toc15396614"/>
      <w:bookmarkStart w:id="118" w:name="_Toc17545"/>
      <w:bookmarkStart w:id="119" w:name="_Toc15396618"/>
      <w:r>
        <w:rPr>
          <w:rStyle w:val="29"/>
          <w:rFonts w:hint="default" w:ascii="Times New Roman" w:hAnsi="Times New Roman" w:eastAsia="黑体" w:cs="Times New Roman"/>
          <w:b w:val="0"/>
          <w:color w:val="auto"/>
          <w:highlight w:val="none"/>
        </w:rPr>
        <w:t>第四部分  附件</w:t>
      </w:r>
      <w:bookmarkEnd w:id="116"/>
      <w:bookmarkEnd w:id="117"/>
    </w:p>
    <w:bookmarkEnd w:id="118"/>
    <w:p>
      <w:pPr>
        <w:keepNext w:val="0"/>
        <w:keepLines w:val="0"/>
        <w:pageBreakBefore w:val="0"/>
        <w:widowControl/>
        <w:kinsoku/>
        <w:wordWrap/>
        <w:overflowPunct/>
        <w:topLinePunct w:val="0"/>
        <w:bidi w:val="0"/>
        <w:spacing w:line="240" w:lineRule="auto"/>
        <w:jc w:val="center"/>
        <w:textAlignment w:val="auto"/>
        <w:rPr>
          <w:rStyle w:val="29"/>
          <w:rFonts w:hint="default" w:ascii="Times New Roman" w:hAnsi="Times New Roman" w:eastAsia="黑体" w:cs="Times New Roman"/>
          <w:b w:val="0"/>
          <w:color w:val="auto"/>
          <w:highlight w:val="none"/>
        </w:rPr>
      </w:pPr>
    </w:p>
    <w:p>
      <w:pPr>
        <w:pageBreakBefore w:val="0"/>
        <w:widowControl w:val="0"/>
        <w:kinsoku/>
        <w:wordWrap/>
        <w:overflowPunct/>
        <w:topLinePunct w:val="0"/>
        <w:bidi w:val="0"/>
        <w:snapToGrid/>
        <w:spacing w:line="560" w:lineRule="exact"/>
        <w:jc w:val="center"/>
        <w:textAlignment w:val="auto"/>
        <w:outlineLvl w:val="1"/>
        <w:rPr>
          <w:rFonts w:hint="default" w:ascii="Times New Roman" w:hAnsi="Times New Roman" w:eastAsia="仿宋_GB2312" w:cs="Times New Roman"/>
          <w:sz w:val="32"/>
          <w:szCs w:val="32"/>
        </w:rPr>
      </w:pPr>
      <w:bookmarkStart w:id="164" w:name="_GoBack"/>
      <w:bookmarkStart w:id="120" w:name="_Toc26843_WPSOffice_Level2"/>
      <w:bookmarkStart w:id="121" w:name="_Toc6113"/>
      <w:bookmarkStart w:id="122" w:name="_Toc27925"/>
      <w:r>
        <w:rPr>
          <w:rFonts w:hint="default" w:ascii="Times New Roman" w:hAnsi="Times New Roman" w:eastAsia="仿宋_GB2312" w:cs="Times New Roman"/>
          <w:sz w:val="32"/>
          <w:szCs w:val="32"/>
        </w:rPr>
        <w:t>部门预算项目支出绩效评价表（2024年度）</w:t>
      </w:r>
      <w:bookmarkEnd w:id="120"/>
      <w:bookmarkEnd w:id="121"/>
      <w:bookmarkEnd w:id="122"/>
    </w:p>
    <w:bookmarkEnd w:id="164"/>
    <w:p>
      <w:pPr>
        <w:pStyle w:val="8"/>
        <w:keepNext w:val="0"/>
        <w:keepLines w:val="0"/>
        <w:pageBreakBefore w:val="0"/>
        <w:kinsoku/>
        <w:wordWrap/>
        <w:overflowPunct/>
        <w:topLinePunct w:val="0"/>
        <w:bidi w:val="0"/>
        <w:spacing w:line="240" w:lineRule="auto"/>
        <w:ind w:left="0" w:leftChars="0" w:firstLine="640"/>
        <w:textAlignment w:val="auto"/>
        <w:rPr>
          <w:rFonts w:hint="default" w:ascii="Times New Roman" w:hAnsi="Times New Roman" w:eastAsia="仿宋_GB2312" w:cs="Times New Roman"/>
          <w:color w:val="0000FF"/>
          <w:kern w:val="0"/>
          <w:sz w:val="32"/>
        </w:rPr>
      </w:pP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仿宋_GB2312" w:cs="Times New Roman"/>
          <w:color w:val="0000FF"/>
          <w:kern w:val="0"/>
          <w:sz w:val="32"/>
          <w:szCs w:val="32"/>
        </w:rPr>
      </w:pPr>
      <w:r>
        <w:rPr>
          <w:rFonts w:hint="default" w:ascii="Times New Roman" w:hAnsi="Times New Roman" w:eastAsia="仿宋_GB2312" w:cs="Times New Roman"/>
          <w:color w:val="0000FF"/>
          <w:kern w:val="0"/>
          <w:sz w:val="32"/>
          <w:szCs w:val="32"/>
        </w:rPr>
        <w:br w:type="page"/>
      </w:r>
    </w:p>
    <w:p>
      <w:pPr>
        <w:keepNext w:val="0"/>
        <w:keepLines w:val="0"/>
        <w:pageBreakBefore w:val="0"/>
        <w:widowControl w:val="0"/>
        <w:kinsoku/>
        <w:wordWrap/>
        <w:overflowPunct/>
        <w:topLinePunct w:val="0"/>
        <w:autoSpaceDE/>
        <w:autoSpaceDN/>
        <w:bidi w:val="0"/>
        <w:spacing w:line="240" w:lineRule="auto"/>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pPr>
        <w:keepNext w:val="0"/>
        <w:keepLines w:val="0"/>
        <w:pageBreakBefore w:val="0"/>
        <w:widowControl/>
        <w:kinsoku/>
        <w:wordWrap/>
        <w:overflowPunct/>
        <w:topLinePunct w:val="0"/>
        <w:bidi w:val="0"/>
        <w:spacing w:line="240" w:lineRule="auto"/>
        <w:jc w:val="center"/>
        <w:textAlignment w:val="auto"/>
        <w:rPr>
          <w:rStyle w:val="29"/>
          <w:rFonts w:hint="default" w:ascii="Times New Roman" w:hAnsi="Times New Roman" w:eastAsia="黑体" w:cs="Times New Roman"/>
          <w:b w:val="0"/>
          <w:color w:val="auto"/>
          <w:highlight w:val="none"/>
        </w:rPr>
      </w:pPr>
      <w:bookmarkStart w:id="123" w:name="_Toc2173_WPSOffice_Level1"/>
      <w:bookmarkStart w:id="124" w:name="_Toc11794"/>
      <w:r>
        <w:rPr>
          <w:rStyle w:val="29"/>
          <w:rFonts w:hint="default" w:ascii="Times New Roman" w:hAnsi="Times New Roman" w:eastAsia="黑体" w:cs="Times New Roman"/>
          <w:b w:val="0"/>
          <w:color w:val="auto"/>
          <w:highlight w:val="none"/>
        </w:rPr>
        <w:t>第五部分 附表</w:t>
      </w:r>
      <w:bookmarkEnd w:id="115"/>
      <w:bookmarkEnd w:id="119"/>
      <w:bookmarkEnd w:id="123"/>
      <w:bookmarkStart w:id="125" w:name="_Toc15396619"/>
    </w:p>
    <w:bookmarkEnd w:id="124"/>
    <w:p>
      <w:pPr>
        <w:pStyle w:val="15"/>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30"/>
          <w:rFonts w:hint="eastAsia" w:ascii="Times New Roman" w:hAnsi="Times New Roman" w:eastAsia="黑体" w:cs="Times New Roman"/>
          <w:b w:val="0"/>
          <w:color w:val="auto"/>
          <w:highlight w:val="none"/>
          <w:lang w:eastAsia="zh-CN"/>
        </w:rPr>
      </w:pPr>
      <w:bookmarkStart w:id="126" w:name="_Toc2183"/>
      <w:bookmarkStart w:id="127" w:name="_Toc1228_WPSOffice_Level2"/>
      <w:r>
        <w:rPr>
          <w:rStyle w:val="30"/>
          <w:rFonts w:hint="eastAsia" w:ascii="Times New Roman" w:hAnsi="Times New Roman" w:eastAsia="黑体" w:cs="Times New Roman"/>
          <w:b w:val="0"/>
          <w:color w:val="auto"/>
          <w:highlight w:val="none"/>
          <w:lang w:eastAsia="zh-CN"/>
        </w:rPr>
        <w:t>一、收入支出决算总表</w:t>
      </w:r>
      <w:bookmarkEnd w:id="125"/>
      <w:bookmarkEnd w:id="126"/>
      <w:bookmarkEnd w:id="127"/>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30"/>
          <w:rFonts w:hint="default" w:ascii="Times New Roman" w:hAnsi="Times New Roman" w:eastAsia="黑体" w:cs="Times New Roman"/>
          <w:b w:val="0"/>
          <w:color w:val="auto"/>
          <w:highlight w:val="none"/>
          <w:lang w:eastAsia="zh-CN"/>
        </w:rPr>
      </w:pPr>
      <w:bookmarkStart w:id="128" w:name="_Toc15614_WPSOffice_Level2"/>
      <w:bookmarkStart w:id="129" w:name="_Toc30973"/>
      <w:bookmarkStart w:id="130" w:name="_Toc15396620"/>
      <w:r>
        <w:rPr>
          <w:rStyle w:val="30"/>
          <w:rFonts w:hint="default" w:ascii="Times New Roman" w:hAnsi="Times New Roman" w:eastAsia="黑体" w:cs="Times New Roman"/>
          <w:b w:val="0"/>
          <w:color w:val="auto"/>
          <w:highlight w:val="none"/>
          <w:lang w:eastAsia="zh-CN"/>
        </w:rPr>
        <w:t>二、收入决算表</w:t>
      </w:r>
      <w:bookmarkEnd w:id="128"/>
      <w:bookmarkEnd w:id="129"/>
      <w:bookmarkEnd w:id="13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30"/>
          <w:rFonts w:hint="default" w:ascii="Times New Roman" w:hAnsi="Times New Roman" w:eastAsia="黑体" w:cs="Times New Roman"/>
          <w:b w:val="0"/>
          <w:color w:val="auto"/>
          <w:highlight w:val="none"/>
          <w:lang w:eastAsia="zh-CN"/>
        </w:rPr>
      </w:pPr>
      <w:bookmarkStart w:id="131" w:name="_Toc15396621"/>
      <w:bookmarkStart w:id="132" w:name="_Toc25419"/>
      <w:bookmarkStart w:id="133" w:name="_Toc28872_WPSOffice_Level2"/>
      <w:r>
        <w:rPr>
          <w:rStyle w:val="30"/>
          <w:rFonts w:hint="default" w:ascii="Times New Roman" w:hAnsi="Times New Roman" w:eastAsia="黑体" w:cs="Times New Roman"/>
          <w:b w:val="0"/>
          <w:color w:val="auto"/>
          <w:highlight w:val="none"/>
          <w:lang w:eastAsia="zh-CN"/>
        </w:rPr>
        <w:t>三、支出决算表</w:t>
      </w:r>
      <w:bookmarkEnd w:id="131"/>
      <w:bookmarkEnd w:id="132"/>
      <w:bookmarkEnd w:id="133"/>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30"/>
          <w:rFonts w:hint="default" w:ascii="Times New Roman" w:hAnsi="Times New Roman" w:eastAsia="黑体" w:cs="Times New Roman"/>
          <w:b w:val="0"/>
          <w:color w:val="auto"/>
          <w:highlight w:val="none"/>
          <w:lang w:eastAsia="zh-CN"/>
        </w:rPr>
      </w:pPr>
      <w:bookmarkStart w:id="134" w:name="_Toc15396622"/>
      <w:bookmarkStart w:id="135" w:name="_Toc32701"/>
      <w:bookmarkStart w:id="136" w:name="_Toc32505_WPSOffice_Level2"/>
      <w:r>
        <w:rPr>
          <w:rStyle w:val="30"/>
          <w:rFonts w:hint="default" w:ascii="Times New Roman" w:hAnsi="Times New Roman" w:eastAsia="黑体" w:cs="Times New Roman"/>
          <w:b w:val="0"/>
          <w:color w:val="auto"/>
          <w:highlight w:val="none"/>
          <w:lang w:eastAsia="zh-CN"/>
        </w:rPr>
        <w:t>四、财政拨款收入支出决算总表</w:t>
      </w:r>
      <w:bookmarkEnd w:id="134"/>
      <w:bookmarkEnd w:id="135"/>
      <w:bookmarkEnd w:id="136"/>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30"/>
          <w:rFonts w:hint="default" w:ascii="Times New Roman" w:hAnsi="Times New Roman" w:eastAsia="黑体" w:cs="Times New Roman"/>
          <w:b w:val="0"/>
          <w:color w:val="auto"/>
          <w:highlight w:val="none"/>
          <w:lang w:eastAsia="zh-CN"/>
        </w:rPr>
      </w:pPr>
      <w:bookmarkStart w:id="137" w:name="_Toc15396623"/>
      <w:bookmarkStart w:id="138" w:name="_Toc23461_WPSOffice_Level2"/>
      <w:bookmarkStart w:id="139" w:name="_Toc11519"/>
      <w:r>
        <w:rPr>
          <w:rStyle w:val="30"/>
          <w:rFonts w:hint="default" w:ascii="Times New Roman" w:hAnsi="Times New Roman" w:eastAsia="黑体" w:cs="Times New Roman"/>
          <w:b w:val="0"/>
          <w:color w:val="auto"/>
          <w:highlight w:val="none"/>
          <w:lang w:eastAsia="zh-CN"/>
        </w:rPr>
        <w:t>五、财政拨款支出决算明细表</w:t>
      </w:r>
      <w:bookmarkEnd w:id="137"/>
      <w:bookmarkEnd w:id="138"/>
      <w:bookmarkEnd w:id="139"/>
      <w:bookmarkStart w:id="140" w:name="_Toc1539662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30"/>
          <w:rFonts w:hint="default" w:ascii="Times New Roman" w:hAnsi="Times New Roman" w:eastAsia="黑体" w:cs="Times New Roman"/>
          <w:b w:val="0"/>
          <w:color w:val="auto"/>
          <w:highlight w:val="none"/>
          <w:lang w:eastAsia="zh-CN"/>
        </w:rPr>
      </w:pPr>
      <w:bookmarkStart w:id="141" w:name="_Toc25621_WPSOffice_Level2"/>
      <w:bookmarkStart w:id="142" w:name="_Toc8034"/>
      <w:r>
        <w:rPr>
          <w:rStyle w:val="30"/>
          <w:rFonts w:hint="default" w:ascii="Times New Roman" w:hAnsi="Times New Roman" w:eastAsia="黑体" w:cs="Times New Roman"/>
          <w:b w:val="0"/>
          <w:color w:val="auto"/>
          <w:highlight w:val="none"/>
          <w:lang w:eastAsia="zh-CN"/>
        </w:rPr>
        <w:t>六、一般公共预算财政拨款支出决算表</w:t>
      </w:r>
      <w:bookmarkEnd w:id="140"/>
      <w:bookmarkEnd w:id="141"/>
      <w:bookmarkEnd w:id="142"/>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30"/>
          <w:rFonts w:hint="default" w:ascii="Times New Roman" w:hAnsi="Times New Roman" w:eastAsia="黑体" w:cs="Times New Roman"/>
          <w:b w:val="0"/>
          <w:color w:val="auto"/>
          <w:highlight w:val="none"/>
          <w:lang w:eastAsia="zh-CN"/>
        </w:rPr>
      </w:pPr>
      <w:bookmarkStart w:id="143" w:name="_Toc15396625"/>
      <w:bookmarkStart w:id="144" w:name="_Toc4831_WPSOffice_Level2"/>
      <w:bookmarkStart w:id="145" w:name="_Toc5103"/>
      <w:r>
        <w:rPr>
          <w:rStyle w:val="30"/>
          <w:rFonts w:hint="default" w:ascii="Times New Roman" w:hAnsi="Times New Roman" w:eastAsia="黑体" w:cs="Times New Roman"/>
          <w:b w:val="0"/>
          <w:color w:val="auto"/>
          <w:highlight w:val="none"/>
          <w:lang w:eastAsia="zh-CN"/>
        </w:rPr>
        <w:t>七、一般公共预算财政拨款支出决算明细表</w:t>
      </w:r>
      <w:bookmarkEnd w:id="143"/>
      <w:bookmarkEnd w:id="144"/>
      <w:bookmarkEnd w:id="145"/>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30"/>
          <w:rFonts w:hint="default" w:ascii="Times New Roman" w:hAnsi="Times New Roman" w:eastAsia="黑体" w:cs="Times New Roman"/>
          <w:b w:val="0"/>
          <w:color w:val="auto"/>
          <w:highlight w:val="none"/>
          <w:lang w:eastAsia="zh-CN"/>
        </w:rPr>
      </w:pPr>
      <w:bookmarkStart w:id="146" w:name="_Toc997_WPSOffice_Level2"/>
      <w:bookmarkStart w:id="147" w:name="_Toc15396626"/>
      <w:bookmarkStart w:id="148" w:name="_Toc25751"/>
      <w:r>
        <w:rPr>
          <w:rStyle w:val="30"/>
          <w:rFonts w:hint="default" w:ascii="Times New Roman" w:hAnsi="Times New Roman" w:eastAsia="黑体" w:cs="Times New Roman"/>
          <w:b w:val="0"/>
          <w:color w:val="auto"/>
          <w:highlight w:val="none"/>
          <w:lang w:eastAsia="zh-CN"/>
        </w:rPr>
        <w:t>八、一般公共预算财政拨款基本支出决算表</w:t>
      </w:r>
      <w:bookmarkEnd w:id="146"/>
      <w:bookmarkEnd w:id="147"/>
      <w:bookmarkEnd w:id="148"/>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30"/>
          <w:rFonts w:hint="default" w:ascii="Times New Roman" w:hAnsi="Times New Roman" w:eastAsia="黑体" w:cs="Times New Roman"/>
          <w:b w:val="0"/>
          <w:color w:val="auto"/>
          <w:highlight w:val="none"/>
          <w:lang w:eastAsia="zh-CN"/>
        </w:rPr>
      </w:pPr>
      <w:bookmarkStart w:id="149" w:name="_Toc29538"/>
      <w:bookmarkStart w:id="150" w:name="_Toc30617_WPSOffice_Level2"/>
      <w:bookmarkStart w:id="151" w:name="_Toc15396627"/>
      <w:r>
        <w:rPr>
          <w:rStyle w:val="30"/>
          <w:rFonts w:hint="default" w:ascii="Times New Roman" w:hAnsi="Times New Roman" w:eastAsia="黑体" w:cs="Times New Roman"/>
          <w:b w:val="0"/>
          <w:color w:val="auto"/>
          <w:highlight w:val="none"/>
          <w:lang w:eastAsia="zh-CN"/>
        </w:rPr>
        <w:t>九、一般公共预算财政拨款项目支出决算表</w:t>
      </w:r>
      <w:bookmarkEnd w:id="149"/>
      <w:bookmarkEnd w:id="150"/>
      <w:bookmarkEnd w:id="151"/>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30"/>
          <w:rFonts w:hint="default" w:ascii="Times New Roman" w:hAnsi="Times New Roman" w:eastAsia="黑体" w:cs="Times New Roman"/>
          <w:b w:val="0"/>
          <w:color w:val="auto"/>
          <w:highlight w:val="none"/>
          <w:lang w:eastAsia="zh-CN"/>
        </w:rPr>
      </w:pPr>
      <w:bookmarkStart w:id="152" w:name="_Toc15396628"/>
      <w:bookmarkStart w:id="153" w:name="_Toc25003"/>
      <w:bookmarkStart w:id="154" w:name="_Toc19286_WPSOffice_Level2"/>
      <w:r>
        <w:rPr>
          <w:rStyle w:val="30"/>
          <w:rFonts w:hint="default" w:ascii="Times New Roman" w:hAnsi="Times New Roman" w:eastAsia="黑体" w:cs="Times New Roman"/>
          <w:b w:val="0"/>
          <w:color w:val="auto"/>
          <w:highlight w:val="none"/>
          <w:lang w:eastAsia="zh-CN"/>
        </w:rPr>
        <w:t>十、</w:t>
      </w:r>
      <w:bookmarkEnd w:id="152"/>
      <w:r>
        <w:rPr>
          <w:rStyle w:val="30"/>
          <w:rFonts w:hint="default" w:ascii="Times New Roman" w:hAnsi="Times New Roman" w:eastAsia="黑体" w:cs="Times New Roman"/>
          <w:b w:val="0"/>
          <w:color w:val="auto"/>
          <w:highlight w:val="none"/>
          <w:lang w:eastAsia="zh-CN"/>
        </w:rPr>
        <w:t>政府性基金预算财政拨款收入支出决算表</w:t>
      </w:r>
      <w:bookmarkEnd w:id="153"/>
      <w:bookmarkEnd w:id="15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30"/>
          <w:rFonts w:hint="default" w:ascii="Times New Roman" w:hAnsi="Times New Roman" w:eastAsia="黑体" w:cs="Times New Roman"/>
          <w:b w:val="0"/>
          <w:color w:val="auto"/>
          <w:highlight w:val="none"/>
          <w:lang w:eastAsia="zh-CN"/>
        </w:rPr>
      </w:pPr>
      <w:bookmarkStart w:id="155" w:name="_Toc15396629"/>
      <w:bookmarkStart w:id="156" w:name="_Toc12295"/>
      <w:bookmarkStart w:id="157" w:name="_Toc31232_WPSOffice_Level2"/>
      <w:r>
        <w:rPr>
          <w:rStyle w:val="30"/>
          <w:rFonts w:hint="default" w:ascii="Times New Roman" w:hAnsi="Times New Roman" w:eastAsia="黑体" w:cs="Times New Roman"/>
          <w:b w:val="0"/>
          <w:color w:val="auto"/>
          <w:highlight w:val="none"/>
          <w:lang w:eastAsia="zh-CN"/>
        </w:rPr>
        <w:t>十一、</w:t>
      </w:r>
      <w:bookmarkEnd w:id="155"/>
      <w:r>
        <w:rPr>
          <w:rStyle w:val="30"/>
          <w:rFonts w:hint="default" w:ascii="Times New Roman" w:hAnsi="Times New Roman" w:eastAsia="黑体" w:cs="Times New Roman"/>
          <w:b w:val="0"/>
          <w:color w:val="auto"/>
          <w:highlight w:val="none"/>
          <w:lang w:eastAsia="zh-CN"/>
        </w:rPr>
        <w:t>国有资本经营预算财政拨款收入支出决算表</w:t>
      </w:r>
      <w:bookmarkEnd w:id="156"/>
      <w:bookmarkEnd w:id="157"/>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30"/>
          <w:rFonts w:hint="default" w:ascii="Times New Roman" w:hAnsi="Times New Roman" w:eastAsia="黑体" w:cs="Times New Roman"/>
          <w:b w:val="0"/>
          <w:color w:val="auto"/>
          <w:highlight w:val="none"/>
          <w:lang w:eastAsia="zh-CN"/>
        </w:rPr>
      </w:pPr>
      <w:bookmarkStart w:id="158" w:name="_Toc15396630"/>
      <w:bookmarkStart w:id="159" w:name="_Toc32191"/>
      <w:bookmarkStart w:id="160" w:name="_Toc3346_WPSOffice_Level2"/>
      <w:r>
        <w:rPr>
          <w:rStyle w:val="30"/>
          <w:rFonts w:hint="default" w:ascii="Times New Roman" w:hAnsi="Times New Roman" w:eastAsia="黑体" w:cs="Times New Roman"/>
          <w:b w:val="0"/>
          <w:color w:val="auto"/>
          <w:highlight w:val="none"/>
          <w:lang w:eastAsia="zh-CN"/>
        </w:rPr>
        <w:t>十二、</w:t>
      </w:r>
      <w:bookmarkEnd w:id="158"/>
      <w:r>
        <w:rPr>
          <w:rStyle w:val="30"/>
          <w:rFonts w:hint="default" w:ascii="Times New Roman" w:hAnsi="Times New Roman" w:eastAsia="黑体" w:cs="Times New Roman"/>
          <w:b w:val="0"/>
          <w:color w:val="auto"/>
          <w:highlight w:val="none"/>
          <w:lang w:eastAsia="zh-CN"/>
        </w:rPr>
        <w:t>国有资本经营预算财政拨款支出决算表</w:t>
      </w:r>
      <w:bookmarkEnd w:id="159"/>
      <w:bookmarkEnd w:id="16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30"/>
          <w:rFonts w:hint="default" w:ascii="Times New Roman" w:hAnsi="Times New Roman" w:eastAsia="黑体" w:cs="Times New Roman"/>
          <w:b w:val="0"/>
          <w:color w:val="auto"/>
          <w:highlight w:val="none"/>
          <w:lang w:eastAsia="zh-CN"/>
        </w:rPr>
      </w:pPr>
      <w:bookmarkStart w:id="161" w:name="_Toc15396631"/>
      <w:bookmarkStart w:id="162" w:name="_Toc24728_WPSOffice_Level2"/>
      <w:bookmarkStart w:id="163" w:name="_Toc7391"/>
      <w:r>
        <w:rPr>
          <w:rStyle w:val="30"/>
          <w:rFonts w:hint="default" w:ascii="Times New Roman" w:hAnsi="Times New Roman" w:eastAsia="黑体" w:cs="Times New Roman"/>
          <w:b w:val="0"/>
          <w:color w:val="auto"/>
          <w:highlight w:val="none"/>
          <w:lang w:eastAsia="zh-CN"/>
        </w:rPr>
        <w:t>十三、</w:t>
      </w:r>
      <w:bookmarkEnd w:id="161"/>
      <w:r>
        <w:rPr>
          <w:rStyle w:val="30"/>
          <w:rFonts w:hint="default" w:ascii="Times New Roman" w:hAnsi="Times New Roman" w:eastAsia="黑体" w:cs="Times New Roman"/>
          <w:b w:val="0"/>
          <w:color w:val="auto"/>
          <w:highlight w:val="none"/>
          <w:lang w:eastAsia="zh-CN"/>
        </w:rPr>
        <w:t>财政拨款“三公”经费支出决算表</w:t>
      </w:r>
      <w:bookmarkEnd w:id="162"/>
      <w:bookmarkEnd w:id="163"/>
    </w:p>
    <w:p>
      <w:pPr>
        <w:rPr>
          <w:rFonts w:hint="default" w:ascii="Times New Roman" w:hAnsi="Times New Roman" w:cs="Times New Roman"/>
          <w:lang w:eastAsia="zh-CN"/>
        </w:rPr>
      </w:pPr>
    </w:p>
    <w:sectPr>
      <w:headerReference r:id="rId8" w:type="first"/>
      <w:footerReference r:id="rId10" w:type="first"/>
      <w:headerReference r:id="rId7" w:type="default"/>
      <w:footerReference r:id="rId9"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val="en-US" w:eastAsia="zh-CN"/>
                            </w:rPr>
                          </w:pPr>
                          <w:r>
                            <w:rPr>
                              <w:rFonts w:hint="eastAsia"/>
                              <w:lang w:val="en-US" w:eastAsia="zh-CN"/>
                            </w:rPr>
                            <w:t>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1"/>
                      <w:rPr>
                        <w:rFonts w:hint="eastAsia" w:eastAsia="宋体"/>
                        <w:lang w:val="en-US" w:eastAsia="zh-CN"/>
                      </w:rPr>
                    </w:pPr>
                    <w:r>
                      <w:rPr>
                        <w:rFonts w:hint="eastAsia"/>
                        <w:lang w:val="en-US" w:eastAsia="zh-CN"/>
                      </w:rPr>
                      <w:t>2</w:t>
                    </w:r>
                  </w:p>
                </w:txbxContent>
              </v:textbox>
            </v:shape>
          </w:pict>
        </mc:Fallback>
      </mc:AlternateContent>
    </w:r>
    <w:r>
      <w:rPr>
        <w:rFonts w:hint="eastAsia"/>
        <w:lang w:val="en-US" w:eastAsia="zh-CN"/>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81798"/>
    <w:multiLevelType w:val="singleLevel"/>
    <w:tmpl w:val="915817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2D2227"/>
    <w:rsid w:val="015975B8"/>
    <w:rsid w:val="01D6466C"/>
    <w:rsid w:val="0216715F"/>
    <w:rsid w:val="02FEBE30"/>
    <w:rsid w:val="04916F1E"/>
    <w:rsid w:val="04C66925"/>
    <w:rsid w:val="061E35DE"/>
    <w:rsid w:val="06221162"/>
    <w:rsid w:val="066E0107"/>
    <w:rsid w:val="069D39AB"/>
    <w:rsid w:val="07996F6E"/>
    <w:rsid w:val="07DFD8BA"/>
    <w:rsid w:val="09056063"/>
    <w:rsid w:val="09867E8F"/>
    <w:rsid w:val="0A2032A3"/>
    <w:rsid w:val="0B3678FC"/>
    <w:rsid w:val="0CA8290A"/>
    <w:rsid w:val="0D35B1ED"/>
    <w:rsid w:val="0E254B6B"/>
    <w:rsid w:val="0F254E16"/>
    <w:rsid w:val="0F98263C"/>
    <w:rsid w:val="0FD44074"/>
    <w:rsid w:val="101860EC"/>
    <w:rsid w:val="101F47CC"/>
    <w:rsid w:val="10C055FF"/>
    <w:rsid w:val="11694EBD"/>
    <w:rsid w:val="11772AA4"/>
    <w:rsid w:val="118107EC"/>
    <w:rsid w:val="12E24EE2"/>
    <w:rsid w:val="13A22600"/>
    <w:rsid w:val="13D50BC4"/>
    <w:rsid w:val="14B17F78"/>
    <w:rsid w:val="165E0673"/>
    <w:rsid w:val="16B831D5"/>
    <w:rsid w:val="16BB723D"/>
    <w:rsid w:val="17CC5E7A"/>
    <w:rsid w:val="17E50567"/>
    <w:rsid w:val="186504BB"/>
    <w:rsid w:val="19662123"/>
    <w:rsid w:val="19A445FC"/>
    <w:rsid w:val="1BE8440E"/>
    <w:rsid w:val="1CED6E90"/>
    <w:rsid w:val="1D155CEE"/>
    <w:rsid w:val="1D1638FE"/>
    <w:rsid w:val="1E312DEB"/>
    <w:rsid w:val="1E740ACF"/>
    <w:rsid w:val="1FF35744"/>
    <w:rsid w:val="1FF6BC77"/>
    <w:rsid w:val="2186353C"/>
    <w:rsid w:val="23860B96"/>
    <w:rsid w:val="240371BF"/>
    <w:rsid w:val="244F3473"/>
    <w:rsid w:val="24C97D99"/>
    <w:rsid w:val="24EA1A8D"/>
    <w:rsid w:val="25A718F0"/>
    <w:rsid w:val="25BB59F6"/>
    <w:rsid w:val="260F557C"/>
    <w:rsid w:val="26241A4E"/>
    <w:rsid w:val="26970054"/>
    <w:rsid w:val="281408E2"/>
    <w:rsid w:val="29FD04D3"/>
    <w:rsid w:val="2A4C2588"/>
    <w:rsid w:val="2BFF7BC6"/>
    <w:rsid w:val="2C8A61B5"/>
    <w:rsid w:val="2CB460A4"/>
    <w:rsid w:val="2DF04E50"/>
    <w:rsid w:val="2E586DFA"/>
    <w:rsid w:val="2F040D46"/>
    <w:rsid w:val="2F6B035B"/>
    <w:rsid w:val="2F971030"/>
    <w:rsid w:val="2FA554FB"/>
    <w:rsid w:val="2FAE5751"/>
    <w:rsid w:val="2FB1A395"/>
    <w:rsid w:val="2FD9A7D8"/>
    <w:rsid w:val="2FDBF714"/>
    <w:rsid w:val="30AB6865"/>
    <w:rsid w:val="319F7F4E"/>
    <w:rsid w:val="32BD1EF1"/>
    <w:rsid w:val="3304709D"/>
    <w:rsid w:val="33A773CB"/>
    <w:rsid w:val="341B222F"/>
    <w:rsid w:val="349D6851"/>
    <w:rsid w:val="361330DB"/>
    <w:rsid w:val="36AA5135"/>
    <w:rsid w:val="36BE0DA7"/>
    <w:rsid w:val="37093207"/>
    <w:rsid w:val="376B6AA6"/>
    <w:rsid w:val="376D39B2"/>
    <w:rsid w:val="37E16F03"/>
    <w:rsid w:val="37F53A3B"/>
    <w:rsid w:val="389B6C89"/>
    <w:rsid w:val="38D469F0"/>
    <w:rsid w:val="39627CCD"/>
    <w:rsid w:val="397BAF1F"/>
    <w:rsid w:val="3AB79AF3"/>
    <w:rsid w:val="3ADD3A25"/>
    <w:rsid w:val="3AE834C0"/>
    <w:rsid w:val="3B7EF35A"/>
    <w:rsid w:val="3B9FDB6C"/>
    <w:rsid w:val="3BF5BC2F"/>
    <w:rsid w:val="3CEBA265"/>
    <w:rsid w:val="3D98207C"/>
    <w:rsid w:val="3DEE7CF3"/>
    <w:rsid w:val="3E483C21"/>
    <w:rsid w:val="3E740A63"/>
    <w:rsid w:val="3E78745D"/>
    <w:rsid w:val="3EE17838"/>
    <w:rsid w:val="3F55381A"/>
    <w:rsid w:val="3F7F7599"/>
    <w:rsid w:val="3FF4CAE0"/>
    <w:rsid w:val="3FF7B227"/>
    <w:rsid w:val="40714F85"/>
    <w:rsid w:val="44E268DA"/>
    <w:rsid w:val="450D13D7"/>
    <w:rsid w:val="45506656"/>
    <w:rsid w:val="459F07BD"/>
    <w:rsid w:val="486A6C7A"/>
    <w:rsid w:val="492E6109"/>
    <w:rsid w:val="49C8030C"/>
    <w:rsid w:val="4A627F82"/>
    <w:rsid w:val="4B0E749A"/>
    <w:rsid w:val="4B1F59C3"/>
    <w:rsid w:val="4B2477C4"/>
    <w:rsid w:val="4B4F25DA"/>
    <w:rsid w:val="4B600D35"/>
    <w:rsid w:val="4BE068DB"/>
    <w:rsid w:val="4C1F3C47"/>
    <w:rsid w:val="4D577224"/>
    <w:rsid w:val="4DB72B71"/>
    <w:rsid w:val="4DBF1CEB"/>
    <w:rsid w:val="4DF0007C"/>
    <w:rsid w:val="4E807407"/>
    <w:rsid w:val="4EAB630A"/>
    <w:rsid w:val="4ECE2238"/>
    <w:rsid w:val="4F833267"/>
    <w:rsid w:val="4FC43323"/>
    <w:rsid w:val="4FE9BD67"/>
    <w:rsid w:val="4FFB052F"/>
    <w:rsid w:val="5001388B"/>
    <w:rsid w:val="50A07B87"/>
    <w:rsid w:val="537E6D0A"/>
    <w:rsid w:val="53F74C96"/>
    <w:rsid w:val="54283340"/>
    <w:rsid w:val="54A61249"/>
    <w:rsid w:val="55170BA8"/>
    <w:rsid w:val="553218C9"/>
    <w:rsid w:val="567E1AA5"/>
    <w:rsid w:val="56E47B74"/>
    <w:rsid w:val="57175D52"/>
    <w:rsid w:val="57740069"/>
    <w:rsid w:val="57BD3DD4"/>
    <w:rsid w:val="57FD5624"/>
    <w:rsid w:val="5AF92295"/>
    <w:rsid w:val="5B0B7218"/>
    <w:rsid w:val="5B250254"/>
    <w:rsid w:val="5BDD79E6"/>
    <w:rsid w:val="5BF561CA"/>
    <w:rsid w:val="5BFF5DFC"/>
    <w:rsid w:val="5CD71FC4"/>
    <w:rsid w:val="5D1F11B5"/>
    <w:rsid w:val="5D695134"/>
    <w:rsid w:val="5DAE1B18"/>
    <w:rsid w:val="5DE7D9E5"/>
    <w:rsid w:val="5ECEC941"/>
    <w:rsid w:val="5FBF9FF3"/>
    <w:rsid w:val="5FCD4E2C"/>
    <w:rsid w:val="5FEF394A"/>
    <w:rsid w:val="5FF67715"/>
    <w:rsid w:val="606D006A"/>
    <w:rsid w:val="62BF3928"/>
    <w:rsid w:val="63B3701E"/>
    <w:rsid w:val="647F5392"/>
    <w:rsid w:val="657F3B1C"/>
    <w:rsid w:val="65E66580"/>
    <w:rsid w:val="66416C63"/>
    <w:rsid w:val="664B1D71"/>
    <w:rsid w:val="664B4E8E"/>
    <w:rsid w:val="66D47E98"/>
    <w:rsid w:val="67277B67"/>
    <w:rsid w:val="67277FC8"/>
    <w:rsid w:val="67AA3209"/>
    <w:rsid w:val="698D0931"/>
    <w:rsid w:val="6A7FE5F3"/>
    <w:rsid w:val="6B053271"/>
    <w:rsid w:val="6BDD78B3"/>
    <w:rsid w:val="6C247F7B"/>
    <w:rsid w:val="6C4A05C8"/>
    <w:rsid w:val="6C5D13C7"/>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CC1BE0"/>
    <w:rsid w:val="71143AB2"/>
    <w:rsid w:val="712A28F1"/>
    <w:rsid w:val="715C0E4B"/>
    <w:rsid w:val="71992E7C"/>
    <w:rsid w:val="72233669"/>
    <w:rsid w:val="724A7260"/>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BA0604"/>
    <w:rsid w:val="79D7FD79"/>
    <w:rsid w:val="79EE5BA4"/>
    <w:rsid w:val="7A894339"/>
    <w:rsid w:val="7AD284E8"/>
    <w:rsid w:val="7AFF7572"/>
    <w:rsid w:val="7B6C7DFB"/>
    <w:rsid w:val="7BBFBED0"/>
    <w:rsid w:val="7BC3E394"/>
    <w:rsid w:val="7C1F3737"/>
    <w:rsid w:val="7CBFC87B"/>
    <w:rsid w:val="7CD2057E"/>
    <w:rsid w:val="7CE10508"/>
    <w:rsid w:val="7CFE0F48"/>
    <w:rsid w:val="7D272ABC"/>
    <w:rsid w:val="7D7EC23E"/>
    <w:rsid w:val="7E4922A8"/>
    <w:rsid w:val="7E8ADEBF"/>
    <w:rsid w:val="7EEF11D3"/>
    <w:rsid w:val="7EEF3669"/>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Salutation"/>
    <w:basedOn w:val="1"/>
    <w:next w:val="1"/>
    <w:qFormat/>
    <w:uiPriority w:val="99"/>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uiPriority w:val="0"/>
    <w:pPr>
      <w:ind w:leftChars="0"/>
    </w:pPr>
    <w:rPr>
      <w:rFonts w:asciiTheme="minorHAnsi" w:hAnsiTheme="minorHAnsi" w:eastAsiaTheme="minorEastAsia" w:cstheme="minorBidi"/>
      <w:sz w:val="20"/>
      <w:szCs w:val="20"/>
    </w:rPr>
  </w:style>
  <w:style w:type="paragraph" w:customStyle="1" w:styleId="37">
    <w:name w:val="WPSOffice手动目录 2"/>
    <w:uiPriority w:val="0"/>
    <w:pPr>
      <w:ind w:leftChars="200"/>
    </w:pPr>
    <w:rPr>
      <w:rFonts w:asciiTheme="minorHAnsi" w:hAnsiTheme="minorHAnsi" w:eastAsiaTheme="minorEastAsia" w:cstheme="minorBidi"/>
      <w:sz w:val="20"/>
      <w:szCs w:val="20"/>
    </w:rPr>
  </w:style>
  <w:style w:type="paragraph" w:customStyle="1" w:styleId="38">
    <w:name w:val="WPSOffice手动目录 3"/>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PC\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PC\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PC\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PC\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C\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C\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000"/>
              <a:t>收入、支出决算总计变动情况图（单位：万元）</a:t>
            </a:r>
            <a:endParaRPr sz="1000"/>
          </a:p>
        </c:rich>
      </c:tx>
      <c:layout/>
      <c:overlay val="0"/>
      <c:spPr>
        <a:noFill/>
        <a:ln>
          <a:noFill/>
        </a:ln>
        <a:effectLst/>
      </c:spPr>
    </c:title>
    <c:autoTitleDeleted val="0"/>
    <c:plotArea>
      <c:layout/>
      <c:barChart>
        <c:barDir val="col"/>
        <c:grouping val="clustered"/>
        <c:varyColors val="0"/>
        <c:ser>
          <c:idx val="0"/>
          <c:order val="0"/>
          <c:tx>
            <c:strRef>
              <c:f>[图表.xlsx]Sheet1!$B$19</c:f>
              <c:strCache>
                <c:ptCount val="1"/>
                <c:pt idx="0">
                  <c:v>2023年</c:v>
                </c:pt>
              </c:strCache>
            </c:strRef>
          </c:tx>
          <c:spPr>
            <a:solidFill>
              <a:schemeClr val="accent1"/>
            </a:solidFill>
            <a:ln>
              <a:noFill/>
            </a:ln>
            <a:effectLst/>
          </c:spPr>
          <c:invertIfNegative val="0"/>
          <c:dLbls>
            <c:dLbl>
              <c:idx val="0"/>
              <c:layout>
                <c:manualLayout>
                  <c:x val="0.00261734426801605"/>
                  <c:y val="0.0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41668120746816"/>
                      <c:h val="0.111555555555556"/>
                    </c:manualLayout>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manualLayout>
                      <c:w val="0.243761996161228"/>
                      <c:h val="0.0693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[图表.xlsx]Sheet1!$C$19:$D$19</c:f>
              <c:numCache>
                <c:formatCode>General</c:formatCode>
                <c:ptCount val="2"/>
                <c:pt idx="0">
                  <c:v>763.78</c:v>
                </c:pt>
                <c:pt idx="1">
                  <c:v>763.78</c:v>
                </c:pt>
              </c:numCache>
            </c:numRef>
          </c:val>
        </c:ser>
        <c:ser>
          <c:idx val="1"/>
          <c:order val="1"/>
          <c:tx>
            <c:strRef>
              <c:f>[图表.xlsx]Sheet1!$B$20</c:f>
              <c:strCache>
                <c:ptCount val="1"/>
                <c:pt idx="0">
                  <c:v>2024年</c:v>
                </c:pt>
              </c:strCache>
            </c:strRef>
          </c:tx>
          <c:spPr>
            <a:solidFill>
              <a:schemeClr val="accent2"/>
            </a:solidFill>
            <a:ln>
              <a:noFill/>
            </a:ln>
            <a:effectLst/>
          </c:spPr>
          <c:invertIfNegative val="0"/>
          <c:dLbls>
            <c:dLbl>
              <c:idx val="0"/>
              <c:layout>
                <c:manualLayout>
                  <c:x val="0.0157040656080963"/>
                  <c:y val="0.0533333333333333"/>
                </c:manualLayout>
              </c:layout>
              <c:numFmt formatCode="#,##0.00_);\(#,##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manualLayout>
                      <c:w val="0.216192636538126"/>
                      <c:h val="0.117111111111111"/>
                    </c:manualLayout>
                  </c15:layout>
                </c:ext>
              </c:extLst>
            </c:dLbl>
            <c:dLbl>
              <c:idx val="1"/>
              <c:layout>
                <c:manualLayout>
                  <c:x val="0.0104693770720642"/>
                  <c:y val="0.046666666666666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1514569883092"/>
                      <c:h val="0.105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[图表.xlsx]Sheet1!$C$20:$D$20</c:f>
              <c:numCache>
                <c:formatCode>General</c:formatCode>
                <c:ptCount val="2"/>
                <c:pt idx="0">
                  <c:v>427.57</c:v>
                </c:pt>
                <c:pt idx="1">
                  <c:v>427.57</c:v>
                </c:pt>
              </c:numCache>
            </c:numRef>
          </c:val>
        </c:ser>
        <c:dLbls>
          <c:showLegendKey val="0"/>
          <c:showVal val="1"/>
          <c:showCatName val="0"/>
          <c:showSerName val="0"/>
          <c:showPercent val="0"/>
          <c:showBubbleSize val="0"/>
        </c:dLbls>
        <c:gapWidth val="219"/>
        <c:overlap val="-27"/>
        <c:axId val="283535560"/>
        <c:axId val="976689542"/>
      </c:barChart>
      <c:catAx>
        <c:axId val="2835355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689542"/>
        <c:crosses val="autoZero"/>
        <c:auto val="1"/>
        <c:lblAlgn val="ctr"/>
        <c:lblOffset val="100"/>
        <c:noMultiLvlLbl val="0"/>
      </c:catAx>
      <c:valAx>
        <c:axId val="9766895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5355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收入决算结构图（单位：万元）</a:t>
            </a:r>
            <a:endParaRPr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[图表.xlsx]Sheet1!$B$25:$B$32</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[图表.xlsx]Sheet1!$C$25:$C$32</c:f>
              <c:numCache>
                <c:formatCode>General</c:formatCode>
                <c:ptCount val="8"/>
                <c:pt idx="0">
                  <c:v>427.57</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支出决算结构图（单位：万元）</a:t>
            </a:r>
          </a:p>
        </c:rich>
      </c:tx>
      <c:layout>
        <c:manualLayout>
          <c:xMode val="edge"/>
          <c:yMode val="edge"/>
          <c:x val="0.304027777777778"/>
          <c:y val="0.0138888888888889"/>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[图表.xlsx]Sheet1!$B$50:$B$51</c:f>
              <c:strCache>
                <c:ptCount val="2"/>
                <c:pt idx="0">
                  <c:v>基本支出</c:v>
                </c:pt>
                <c:pt idx="1">
                  <c:v>项目支出</c:v>
                </c:pt>
              </c:strCache>
            </c:strRef>
          </c:cat>
          <c:val>
            <c:numRef>
              <c:f>[图表.xlsx]Sheet1!$C$50:$C$51</c:f>
              <c:numCache>
                <c:formatCode>General</c:formatCode>
                <c:ptCount val="2"/>
                <c:pt idx="0">
                  <c:v>427.44</c:v>
                </c:pt>
                <c:pt idx="1">
                  <c:v>0.14</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财政拨款收、支决算总计变动情况（单位：万元）</a:t>
            </a:r>
            <a:endParaRPr sz="1200"/>
          </a:p>
        </c:rich>
      </c:tx>
      <c:layout>
        <c:manualLayout>
          <c:xMode val="edge"/>
          <c:yMode val="edge"/>
          <c:x val="0.125319865319865"/>
          <c:y val="0.00586264656616415"/>
        </c:manualLayout>
      </c:layout>
      <c:overlay val="0"/>
      <c:spPr>
        <a:noFill/>
        <a:ln>
          <a:noFill/>
        </a:ln>
        <a:effectLst/>
      </c:spPr>
    </c:title>
    <c:autoTitleDeleted val="0"/>
    <c:plotArea>
      <c:layout/>
      <c:barChart>
        <c:barDir val="col"/>
        <c:grouping val="clustered"/>
        <c:varyColors val="0"/>
        <c:ser>
          <c:idx val="0"/>
          <c:order val="0"/>
          <c:tx>
            <c:strRef>
              <c:f>[图表.xlsx]Sheet1!$B$3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[图表.xlsx]Sheet1!$C$3:$D$3</c:f>
              <c:numCache>
                <c:formatCode>General</c:formatCode>
                <c:ptCount val="2"/>
                <c:pt idx="0">
                  <c:v>763.78</c:v>
                </c:pt>
                <c:pt idx="1">
                  <c:v>763.78</c:v>
                </c:pt>
              </c:numCache>
            </c:numRef>
          </c:val>
        </c:ser>
        <c:ser>
          <c:idx val="1"/>
          <c:order val="1"/>
          <c:tx>
            <c:strRef>
              <c:f>[图表.xlsx]Sheet1!$B$4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[图表.xlsx]Sheet1!$C$4:$D$4</c:f>
              <c:numCache>
                <c:formatCode>General</c:formatCode>
                <c:ptCount val="2"/>
                <c:pt idx="0">
                  <c:v>427.57</c:v>
                </c:pt>
                <c:pt idx="1">
                  <c:v>427.57</c:v>
                </c:pt>
              </c:numCache>
            </c:numRef>
          </c:val>
        </c:ser>
        <c:dLbls>
          <c:showLegendKey val="0"/>
          <c:showVal val="1"/>
          <c:showCatName val="0"/>
          <c:showSerName val="0"/>
          <c:showPercent val="0"/>
          <c:showBubbleSize val="0"/>
        </c:dLbls>
        <c:gapWidth val="219"/>
        <c:overlap val="-27"/>
        <c:axId val="811510952"/>
        <c:axId val="935866826"/>
      </c:barChart>
      <c:catAx>
        <c:axId val="81151095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866826"/>
        <c:crosses val="autoZero"/>
        <c:auto val="1"/>
        <c:lblAlgn val="ctr"/>
        <c:lblOffset val="100"/>
        <c:noMultiLvlLbl val="0"/>
      </c:catAx>
      <c:valAx>
        <c:axId val="9358668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510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stacked"/>
        <c:varyColors val="0"/>
        <c:ser>
          <c:idx val="0"/>
          <c:order val="0"/>
          <c:tx>
            <c:strRef>
              <c:f>[图表.xlsx]Sheet1!$C$74</c:f>
              <c:strCache>
                <c:ptCount val="1"/>
                <c:pt idx="0">
                  <c:v>一般公共预算财政拨款支出决算总体情况（单位：万元）</c:v>
                </c:pt>
              </c:strCache>
            </c:strRef>
          </c:tx>
          <c:spPr>
            <a:solidFill>
              <a:schemeClr val="accent1"/>
            </a:solidFill>
            <a:ln>
              <a:noFill/>
            </a:ln>
            <a:effectLst/>
          </c:spPr>
          <c:invertIfNegative val="0"/>
          <c:dLbls>
            <c:dLbl>
              <c:idx val="0"/>
              <c:layout>
                <c:manualLayout>
                  <c:x val="0.00625000000000001"/>
                  <c:y val="-0.37231380229584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89230734706702"/>
                  <c:y val="-0.22646120087771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[图表.xlsx]Sheet1!$B$75:$B$76</c:f>
              <c:strCache>
                <c:ptCount val="2"/>
                <c:pt idx="0">
                  <c:v>2023年</c:v>
                </c:pt>
                <c:pt idx="1">
                  <c:v>2024年</c:v>
                </c:pt>
              </c:strCache>
            </c:strRef>
          </c:cat>
          <c:val>
            <c:numRef>
              <c:f>[图表.xlsx]Sheet1!$C$75:$C$76</c:f>
              <c:numCache>
                <c:formatCode>General</c:formatCode>
                <c:ptCount val="2"/>
                <c:pt idx="0">
                  <c:v>763.78</c:v>
                </c:pt>
                <c:pt idx="1">
                  <c:v>427.57</c:v>
                </c:pt>
              </c:numCache>
            </c:numRef>
          </c:val>
        </c:ser>
        <c:dLbls>
          <c:showLegendKey val="0"/>
          <c:showVal val="1"/>
          <c:showCatName val="0"/>
          <c:showSerName val="0"/>
          <c:showPercent val="0"/>
          <c:showBubbleSize val="0"/>
        </c:dLbls>
        <c:gapWidth val="150"/>
        <c:overlap val="100"/>
        <c:axId val="556116136"/>
        <c:axId val="986431536"/>
      </c:barChart>
      <c:catAx>
        <c:axId val="5561161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431536"/>
        <c:crosses val="autoZero"/>
        <c:auto val="1"/>
        <c:lblAlgn val="ctr"/>
        <c:lblOffset val="100"/>
        <c:noMultiLvlLbl val="0"/>
      </c:catAx>
      <c:valAx>
        <c:axId val="98643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116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一般公共预算财政拨款支出决算结构（单位：万元）</a:t>
            </a:r>
            <a:endParaRPr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288.33, 67.4</a:t>
                    </a:r>
                    <a:r>
                      <a:rPr lang="en-US" altLang="zh-CN"/>
                      <a:t>4</a:t>
                    </a:r>
                    <a:r>
                      <a:t>%</a:t>
                    </a:r>
                  </a:p>
                </c:rich>
              </c:tx>
              <c:dLblPos val="bestFit"/>
              <c:showLegendKey val="1"/>
              <c:showVal val="1"/>
              <c:showCatName val="0"/>
              <c:showSerName val="0"/>
              <c:showPercent val="1"/>
              <c:showBubbleSize val="0"/>
              <c:extLst>
                <c:ext xmlns:c15="http://schemas.microsoft.com/office/drawing/2012/chart" uri="{CE6537A1-D6FC-4f65-9D91-7224C49458BB}"/>
              </c:extLst>
            </c:dLbl>
            <c:dLbl>
              <c:idx val="2"/>
              <c:layout>
                <c:manualLayout>
                  <c:x val="-0.00939429839624547"/>
                  <c:y val="0.0293405482620078"/>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[图表.xlsx]Sheet1!$B$174:$B$177</c:f>
              <c:strCache>
                <c:ptCount val="4"/>
                <c:pt idx="0">
                  <c:v>教育支出</c:v>
                </c:pt>
                <c:pt idx="1">
                  <c:v>社会保障和就业支出</c:v>
                </c:pt>
                <c:pt idx="2">
                  <c:v>卫生健康支出</c:v>
                </c:pt>
                <c:pt idx="3">
                  <c:v>住房保障支出</c:v>
                </c:pt>
              </c:strCache>
            </c:strRef>
          </c:cat>
          <c:val>
            <c:numRef>
              <c:f>[图表.xlsx]Sheet1!$C$174:$C$177</c:f>
              <c:numCache>
                <c:formatCode>General</c:formatCode>
                <c:ptCount val="4"/>
                <c:pt idx="0">
                  <c:v>288.33</c:v>
                </c:pt>
                <c:pt idx="1">
                  <c:v>81.83</c:v>
                </c:pt>
                <c:pt idx="2">
                  <c:v>29.43</c:v>
                </c:pt>
                <c:pt idx="3">
                  <c:v>27.98</c:v>
                </c:pt>
              </c:numCache>
            </c:numRef>
          </c:val>
        </c:ser>
        <c:dLbls>
          <c:showLegendKey val="1"/>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6d5a57-e3d7-4b70-a7d7-18f2034ac571}"/>
        <w:style w:val=""/>
        <w:category>
          <w:name w:val="常规"/>
          <w:gallery w:val="placeholder"/>
        </w:category>
        <w:types>
          <w:type w:val="bbPlcHdr"/>
        </w:types>
        <w:behaviors>
          <w:behavior w:val="content"/>
        </w:behaviors>
        <w:description w:val=""/>
        <w:guid w:val="{3e6d5a57-e3d7-4b70-a7d7-18f2034ac571}"/>
      </w:docPartPr>
      <w:docPartBody>
        <w:p>
          <w:r>
            <w:rPr>
              <w:color w:val="808080"/>
            </w:rPr>
            <w:t>单击此处输入文字。</w:t>
          </w:r>
        </w:p>
      </w:docPartBody>
    </w:docPart>
    <w:docPart>
      <w:docPartPr>
        <w:name w:val="{b285c584-c801-41a8-8bf9-782de80ab436}"/>
        <w:style w:val=""/>
        <w:category>
          <w:name w:val="常规"/>
          <w:gallery w:val="placeholder"/>
        </w:category>
        <w:types>
          <w:type w:val="bbPlcHdr"/>
        </w:types>
        <w:behaviors>
          <w:behavior w:val="content"/>
        </w:behaviors>
        <w:description w:val=""/>
        <w:guid w:val="{b285c584-c801-41a8-8bf9-782de80ab436}"/>
      </w:docPartPr>
      <w:docPartBody>
        <w:p>
          <w:r>
            <w:rPr>
              <w:color w:val="808080"/>
            </w:rPr>
            <w:t>单击此处输入文字。</w:t>
          </w:r>
        </w:p>
      </w:docPartBody>
    </w:docPart>
    <w:docPart>
      <w:docPartPr>
        <w:name w:val="{68313590-3cff-43e9-acff-6997ae4b112e}"/>
        <w:style w:val=""/>
        <w:category>
          <w:name w:val="常规"/>
          <w:gallery w:val="placeholder"/>
        </w:category>
        <w:types>
          <w:type w:val="bbPlcHdr"/>
        </w:types>
        <w:behaviors>
          <w:behavior w:val="content"/>
        </w:behaviors>
        <w:description w:val=""/>
        <w:guid w:val="{68313590-3cff-43e9-acff-6997ae4b112e}"/>
      </w:docPartPr>
      <w:docPartBody>
        <w:p>
          <w:r>
            <w:rPr>
              <w:color w:val="808080"/>
            </w:rPr>
            <w:t>单击此处输入文字。</w:t>
          </w:r>
        </w:p>
      </w:docPartBody>
    </w:docPart>
    <w:docPart>
      <w:docPartPr>
        <w:name w:val="{5313fefc-3ea6-463f-b526-f4fbefd05188}"/>
        <w:style w:val=""/>
        <w:category>
          <w:name w:val="常规"/>
          <w:gallery w:val="placeholder"/>
        </w:category>
        <w:types>
          <w:type w:val="bbPlcHdr"/>
        </w:types>
        <w:behaviors>
          <w:behavior w:val="content"/>
        </w:behaviors>
        <w:description w:val=""/>
        <w:guid w:val="{5313fefc-3ea6-463f-b526-f4fbefd05188}"/>
      </w:docPartPr>
      <w:docPartBody>
        <w:p>
          <w:r>
            <w:rPr>
              <w:color w:val="808080"/>
            </w:rPr>
            <w:t>单击此处输入文字。</w:t>
          </w:r>
        </w:p>
      </w:docPartBody>
    </w:docPart>
    <w:docPart>
      <w:docPartPr>
        <w:name w:val="{34542c34-f366-45ad-b5f1-442b18397030}"/>
        <w:style w:val=""/>
        <w:category>
          <w:name w:val="常规"/>
          <w:gallery w:val="placeholder"/>
        </w:category>
        <w:types>
          <w:type w:val="bbPlcHdr"/>
        </w:types>
        <w:behaviors>
          <w:behavior w:val="content"/>
        </w:behaviors>
        <w:description w:val=""/>
        <w:guid w:val="{34542c34-f366-45ad-b5f1-442b18397030}"/>
      </w:docPartPr>
      <w:docPartBody>
        <w:p>
          <w:r>
            <w:rPr>
              <w:color w:val="808080"/>
            </w:rPr>
            <w:t>单击此处输入文字。</w:t>
          </w:r>
        </w:p>
      </w:docPartBody>
    </w:docPart>
    <w:docPart>
      <w:docPartPr>
        <w:name w:val="{bf21b4be-e4f0-4d09-a186-813592514f67}"/>
        <w:style w:val=""/>
        <w:category>
          <w:name w:val="常规"/>
          <w:gallery w:val="placeholder"/>
        </w:category>
        <w:types>
          <w:type w:val="bbPlcHdr"/>
        </w:types>
        <w:behaviors>
          <w:behavior w:val="content"/>
        </w:behaviors>
        <w:description w:val=""/>
        <w:guid w:val="{bf21b4be-e4f0-4d09-a186-813592514f67}"/>
      </w:docPartPr>
      <w:docPartBody>
        <w:p>
          <w:r>
            <w:rPr>
              <w:color w:val="808080"/>
            </w:rPr>
            <w:t>单击此处输入文字。</w:t>
          </w:r>
        </w:p>
      </w:docPartBody>
    </w:docPart>
    <w:docPart>
      <w:docPartPr>
        <w:name w:val="{ddce6201-2f4e-4688-96ee-9aaa588724b6}"/>
        <w:style w:val=""/>
        <w:category>
          <w:name w:val="常规"/>
          <w:gallery w:val="placeholder"/>
        </w:category>
        <w:types>
          <w:type w:val="bbPlcHdr"/>
        </w:types>
        <w:behaviors>
          <w:behavior w:val="content"/>
        </w:behaviors>
        <w:description w:val=""/>
        <w:guid w:val="{ddce6201-2f4e-4688-96ee-9aaa588724b6}"/>
      </w:docPartPr>
      <w:docPartBody>
        <w:p>
          <w:r>
            <w:rPr>
              <w:color w:val="808080"/>
            </w:rPr>
            <w:t>单击此处输入文字。</w:t>
          </w:r>
        </w:p>
      </w:docPartBody>
    </w:docPart>
    <w:docPart>
      <w:docPartPr>
        <w:name w:val="{4f9d4481-7977-401f-8309-6f8666821cda}"/>
        <w:style w:val=""/>
        <w:category>
          <w:name w:val="常规"/>
          <w:gallery w:val="placeholder"/>
        </w:category>
        <w:types>
          <w:type w:val="bbPlcHdr"/>
        </w:types>
        <w:behaviors>
          <w:behavior w:val="content"/>
        </w:behaviors>
        <w:description w:val=""/>
        <w:guid w:val="{4f9d4481-7977-401f-8309-6f8666821cda}"/>
      </w:docPartPr>
      <w:docPartBody>
        <w:p>
          <w:r>
            <w:rPr>
              <w:color w:val="808080"/>
            </w:rPr>
            <w:t>单击此处输入文字。</w:t>
          </w:r>
        </w:p>
      </w:docPartBody>
    </w:docPart>
    <w:docPart>
      <w:docPartPr>
        <w:name w:val="{f8cb77bf-ae64-4f1c-b948-4d5740c85322}"/>
        <w:style w:val=""/>
        <w:category>
          <w:name w:val="常规"/>
          <w:gallery w:val="placeholder"/>
        </w:category>
        <w:types>
          <w:type w:val="bbPlcHdr"/>
        </w:types>
        <w:behaviors>
          <w:behavior w:val="content"/>
        </w:behaviors>
        <w:description w:val=""/>
        <w:guid w:val="{f8cb77bf-ae64-4f1c-b948-4d5740c85322}"/>
      </w:docPartPr>
      <w:docPartBody>
        <w:p>
          <w:r>
            <w:rPr>
              <w:color w:val="808080"/>
            </w:rPr>
            <w:t>单击此处输入文字。</w:t>
          </w:r>
        </w:p>
      </w:docPartBody>
    </w:docPart>
    <w:docPart>
      <w:docPartPr>
        <w:name w:val="{2eee38ab-1ae0-4ee9-a1af-9a1e1636e0cd}"/>
        <w:style w:val=""/>
        <w:category>
          <w:name w:val="常规"/>
          <w:gallery w:val="placeholder"/>
        </w:category>
        <w:types>
          <w:type w:val="bbPlcHdr"/>
        </w:types>
        <w:behaviors>
          <w:behavior w:val="content"/>
        </w:behaviors>
        <w:description w:val=""/>
        <w:guid w:val="{2eee38ab-1ae0-4ee9-a1af-9a1e1636e0cd}"/>
      </w:docPartPr>
      <w:docPartBody>
        <w:p>
          <w:r>
            <w:rPr>
              <w:color w:val="808080"/>
            </w:rPr>
            <w:t>单击此处输入文字。</w:t>
          </w:r>
        </w:p>
      </w:docPartBody>
    </w:docPart>
    <w:docPart>
      <w:docPartPr>
        <w:name w:val="{8a1aabf9-6b30-48ad-8bb2-7b3350eeb52b}"/>
        <w:style w:val=""/>
        <w:category>
          <w:name w:val="常规"/>
          <w:gallery w:val="placeholder"/>
        </w:category>
        <w:types>
          <w:type w:val="bbPlcHdr"/>
        </w:types>
        <w:behaviors>
          <w:behavior w:val="content"/>
        </w:behaviors>
        <w:description w:val=""/>
        <w:guid w:val="{8a1aabf9-6b30-48ad-8bb2-7b3350eeb52b}"/>
      </w:docPartPr>
      <w:docPartBody>
        <w:p>
          <w:r>
            <w:rPr>
              <w:color w:val="808080"/>
            </w:rPr>
            <w:t>单击此处输入文字。</w:t>
          </w:r>
        </w:p>
      </w:docPartBody>
    </w:docPart>
    <w:docPart>
      <w:docPartPr>
        <w:name w:val="{5193266c-ef59-4703-92d1-b7eaa801e6d7}"/>
        <w:style w:val=""/>
        <w:category>
          <w:name w:val="常规"/>
          <w:gallery w:val="placeholder"/>
        </w:category>
        <w:types>
          <w:type w:val="bbPlcHdr"/>
        </w:types>
        <w:behaviors>
          <w:behavior w:val="content"/>
        </w:behaviors>
        <w:description w:val=""/>
        <w:guid w:val="{5193266c-ef59-4703-92d1-b7eaa801e6d7}"/>
      </w:docPartPr>
      <w:docPartBody>
        <w:p>
          <w:r>
            <w:rPr>
              <w:color w:val="808080"/>
            </w:rPr>
            <w:t>单击此处输入文字。</w:t>
          </w:r>
        </w:p>
      </w:docPartBody>
    </w:docPart>
    <w:docPart>
      <w:docPartPr>
        <w:name w:val="{1694b039-9c00-4599-bd7a-06e4017ff194}"/>
        <w:style w:val=""/>
        <w:category>
          <w:name w:val="常规"/>
          <w:gallery w:val="placeholder"/>
        </w:category>
        <w:types>
          <w:type w:val="bbPlcHdr"/>
        </w:types>
        <w:behaviors>
          <w:behavior w:val="content"/>
        </w:behaviors>
        <w:description w:val=""/>
        <w:guid w:val="{1694b039-9c00-4599-bd7a-06e4017ff194}"/>
      </w:docPartPr>
      <w:docPartBody>
        <w:p>
          <w:r>
            <w:rPr>
              <w:color w:val="808080"/>
            </w:rPr>
            <w:t>单击此处输入文字。</w:t>
          </w:r>
        </w:p>
      </w:docPartBody>
    </w:docPart>
    <w:docPart>
      <w:docPartPr>
        <w:name w:val="{43de332d-bd85-4271-8f4d-8cc8232760f7}"/>
        <w:style w:val=""/>
        <w:category>
          <w:name w:val="常规"/>
          <w:gallery w:val="placeholder"/>
        </w:category>
        <w:types>
          <w:type w:val="bbPlcHdr"/>
        </w:types>
        <w:behaviors>
          <w:behavior w:val="content"/>
        </w:behaviors>
        <w:description w:val=""/>
        <w:guid w:val="{43de332d-bd85-4271-8f4d-8cc8232760f7}"/>
      </w:docPartPr>
      <w:docPartBody>
        <w:p>
          <w:r>
            <w:rPr>
              <w:color w:val="808080"/>
            </w:rPr>
            <w:t>单击此处输入文字。</w:t>
          </w:r>
        </w:p>
      </w:docPartBody>
    </w:docPart>
    <w:docPart>
      <w:docPartPr>
        <w:name w:val="{dcb40bbb-92ce-4f13-96bc-c5b3f6e43c18}"/>
        <w:style w:val=""/>
        <w:category>
          <w:name w:val="常规"/>
          <w:gallery w:val="placeholder"/>
        </w:category>
        <w:types>
          <w:type w:val="bbPlcHdr"/>
        </w:types>
        <w:behaviors>
          <w:behavior w:val="content"/>
        </w:behaviors>
        <w:description w:val=""/>
        <w:guid w:val="{dcb40bbb-92ce-4f13-96bc-c5b3f6e43c18}"/>
      </w:docPartPr>
      <w:docPartBody>
        <w:p>
          <w:r>
            <w:rPr>
              <w:color w:val="808080"/>
            </w:rPr>
            <w:t>单击此处输入文字。</w:t>
          </w:r>
        </w:p>
      </w:docPartBody>
    </w:docPart>
    <w:docPart>
      <w:docPartPr>
        <w:name w:val="{655807f7-4f03-4275-87ca-990bb0a74d28}"/>
        <w:style w:val=""/>
        <w:category>
          <w:name w:val="常规"/>
          <w:gallery w:val="placeholder"/>
        </w:category>
        <w:types>
          <w:type w:val="bbPlcHdr"/>
        </w:types>
        <w:behaviors>
          <w:behavior w:val="content"/>
        </w:behaviors>
        <w:description w:val=""/>
        <w:guid w:val="{655807f7-4f03-4275-87ca-990bb0a74d28}"/>
      </w:docPartPr>
      <w:docPartBody>
        <w:p>
          <w:r>
            <w:rPr>
              <w:color w:val="808080"/>
            </w:rPr>
            <w:t>单击此处输入文字。</w:t>
          </w:r>
        </w:p>
      </w:docPartBody>
    </w:docPart>
    <w:docPart>
      <w:docPartPr>
        <w:name w:val="{79bc242a-e677-4be8-90b4-489f5e138b7c}"/>
        <w:style w:val=""/>
        <w:category>
          <w:name w:val="常规"/>
          <w:gallery w:val="placeholder"/>
        </w:category>
        <w:types>
          <w:type w:val="bbPlcHdr"/>
        </w:types>
        <w:behaviors>
          <w:behavior w:val="content"/>
        </w:behaviors>
        <w:description w:val=""/>
        <w:guid w:val="{79bc242a-e677-4be8-90b4-489f5e138b7c}"/>
      </w:docPartPr>
      <w:docPartBody>
        <w:p>
          <w:r>
            <w:rPr>
              <w:color w:val="808080"/>
            </w:rPr>
            <w:t>单击此处输入文字。</w:t>
          </w:r>
        </w:p>
      </w:docPartBody>
    </w:docPart>
    <w:docPart>
      <w:docPartPr>
        <w:name w:val="{12140df4-7114-42d6-a3be-fc1dfe836713}"/>
        <w:style w:val=""/>
        <w:category>
          <w:name w:val="常规"/>
          <w:gallery w:val="placeholder"/>
        </w:category>
        <w:types>
          <w:type w:val="bbPlcHdr"/>
        </w:types>
        <w:behaviors>
          <w:behavior w:val="content"/>
        </w:behaviors>
        <w:description w:val=""/>
        <w:guid w:val="{12140df4-7114-42d6-a3be-fc1dfe836713}"/>
      </w:docPartPr>
      <w:docPartBody>
        <w:p>
          <w:r>
            <w:rPr>
              <w:color w:val="808080"/>
            </w:rPr>
            <w:t>单击此处输入文字。</w:t>
          </w:r>
        </w:p>
      </w:docPartBody>
    </w:docPart>
    <w:docPart>
      <w:docPartPr>
        <w:name w:val="{668c81e0-9165-4b35-a8da-bce30f91b36b}"/>
        <w:style w:val=""/>
        <w:category>
          <w:name w:val="常规"/>
          <w:gallery w:val="placeholder"/>
        </w:category>
        <w:types>
          <w:type w:val="bbPlcHdr"/>
        </w:types>
        <w:behaviors>
          <w:behavior w:val="content"/>
        </w:behaviors>
        <w:description w:val=""/>
        <w:guid w:val="{668c81e0-9165-4b35-a8da-bce30f91b36b}"/>
      </w:docPartPr>
      <w:docPartBody>
        <w:p>
          <w:r>
            <w:rPr>
              <w:color w:val="808080"/>
            </w:rPr>
            <w:t>单击此处输入文字。</w:t>
          </w:r>
        </w:p>
      </w:docPartBody>
    </w:docPart>
    <w:docPart>
      <w:docPartPr>
        <w:name w:val="{d5468189-0f5c-4f4c-98a8-d943a432b215}"/>
        <w:style w:val=""/>
        <w:category>
          <w:name w:val="常规"/>
          <w:gallery w:val="placeholder"/>
        </w:category>
        <w:types>
          <w:type w:val="bbPlcHdr"/>
        </w:types>
        <w:behaviors>
          <w:behavior w:val="content"/>
        </w:behaviors>
        <w:description w:val=""/>
        <w:guid w:val="{d5468189-0f5c-4f4c-98a8-d943a432b215}"/>
      </w:docPartPr>
      <w:docPartBody>
        <w:p>
          <w:r>
            <w:rPr>
              <w:color w:val="808080"/>
            </w:rPr>
            <w:t>单击此处输入文字。</w:t>
          </w:r>
        </w:p>
      </w:docPartBody>
    </w:docPart>
    <w:docPart>
      <w:docPartPr>
        <w:name w:val="{904f9a12-e4a2-4ac5-95ab-61861267d1af}"/>
        <w:style w:val=""/>
        <w:category>
          <w:name w:val="常规"/>
          <w:gallery w:val="placeholder"/>
        </w:category>
        <w:types>
          <w:type w:val="bbPlcHdr"/>
        </w:types>
        <w:behaviors>
          <w:behavior w:val="content"/>
        </w:behaviors>
        <w:description w:val=""/>
        <w:guid w:val="{904f9a12-e4a2-4ac5-95ab-61861267d1af}"/>
      </w:docPartPr>
      <w:docPartBody>
        <w:p>
          <w:r>
            <w:rPr>
              <w:color w:val="808080"/>
            </w:rPr>
            <w:t>单击此处输入文字。</w:t>
          </w:r>
        </w:p>
      </w:docPartBody>
    </w:docPart>
    <w:docPart>
      <w:docPartPr>
        <w:name w:val="{279b4695-8f5e-4885-822c-0b3a527694c0}"/>
        <w:style w:val=""/>
        <w:category>
          <w:name w:val="常规"/>
          <w:gallery w:val="placeholder"/>
        </w:category>
        <w:types>
          <w:type w:val="bbPlcHdr"/>
        </w:types>
        <w:behaviors>
          <w:behavior w:val="content"/>
        </w:behaviors>
        <w:description w:val=""/>
        <w:guid w:val="{279b4695-8f5e-4885-822c-0b3a527694c0}"/>
      </w:docPartPr>
      <w:docPartBody>
        <w:p>
          <w:r>
            <w:rPr>
              <w:color w:val="808080"/>
            </w:rPr>
            <w:t>单击此处输入文字。</w:t>
          </w:r>
        </w:p>
      </w:docPartBody>
    </w:docPart>
    <w:docPart>
      <w:docPartPr>
        <w:name w:val="{abbfcdcf-4453-475f-a3e8-1239c200d55a}"/>
        <w:style w:val=""/>
        <w:category>
          <w:name w:val="常规"/>
          <w:gallery w:val="placeholder"/>
        </w:category>
        <w:types>
          <w:type w:val="bbPlcHdr"/>
        </w:types>
        <w:behaviors>
          <w:behavior w:val="content"/>
        </w:behaviors>
        <w:description w:val=""/>
        <w:guid w:val="{abbfcdcf-4453-475f-a3e8-1239c200d55a}"/>
      </w:docPartPr>
      <w:docPartBody>
        <w:p>
          <w:r>
            <w:rPr>
              <w:color w:val="808080"/>
            </w:rPr>
            <w:t>单击此处输入文字。</w:t>
          </w:r>
        </w:p>
      </w:docPartBody>
    </w:docPart>
    <w:docPart>
      <w:docPartPr>
        <w:name w:val="{00d6cf8e-b56c-4ebf-b7c4-e65884032c65}"/>
        <w:style w:val=""/>
        <w:category>
          <w:name w:val="常规"/>
          <w:gallery w:val="placeholder"/>
        </w:category>
        <w:types>
          <w:type w:val="bbPlcHdr"/>
        </w:types>
        <w:behaviors>
          <w:behavior w:val="content"/>
        </w:behaviors>
        <w:description w:val=""/>
        <w:guid w:val="{00d6cf8e-b56c-4ebf-b7c4-e65884032c65}"/>
      </w:docPartPr>
      <w:docPartBody>
        <w:p>
          <w:r>
            <w:rPr>
              <w:color w:val="808080"/>
            </w:rPr>
            <w:t>单击此处输入文字。</w:t>
          </w:r>
        </w:p>
      </w:docPartBody>
    </w:docPart>
    <w:docPart>
      <w:docPartPr>
        <w:name w:val="{122bf64c-ea79-472b-92dc-3e7c73da0a8f}"/>
        <w:style w:val=""/>
        <w:category>
          <w:name w:val="常规"/>
          <w:gallery w:val="placeholder"/>
        </w:category>
        <w:types>
          <w:type w:val="bbPlcHdr"/>
        </w:types>
        <w:behaviors>
          <w:behavior w:val="content"/>
        </w:behaviors>
        <w:description w:val=""/>
        <w:guid w:val="{122bf64c-ea79-472b-92dc-3e7c73da0a8f}"/>
      </w:docPartPr>
      <w:docPartBody>
        <w:p>
          <w:r>
            <w:rPr>
              <w:color w:val="808080"/>
            </w:rPr>
            <w:t>单击此处输入文字。</w:t>
          </w:r>
        </w:p>
      </w:docPartBody>
    </w:docPart>
    <w:docPart>
      <w:docPartPr>
        <w:name w:val="{f236033e-e58c-40f6-beeb-64bbc907bdde}"/>
        <w:style w:val=""/>
        <w:category>
          <w:name w:val="常规"/>
          <w:gallery w:val="placeholder"/>
        </w:category>
        <w:types>
          <w:type w:val="bbPlcHdr"/>
        </w:types>
        <w:behaviors>
          <w:behavior w:val="content"/>
        </w:behaviors>
        <w:description w:val=""/>
        <w:guid w:val="{f236033e-e58c-40f6-beeb-64bbc907bdde}"/>
      </w:docPartPr>
      <w:docPartBody>
        <w:p>
          <w:r>
            <w:rPr>
              <w:color w:val="808080"/>
            </w:rPr>
            <w:t>单击此处输入文字。</w:t>
          </w:r>
        </w:p>
      </w:docPartBody>
    </w:docPart>
    <w:docPart>
      <w:docPartPr>
        <w:name w:val="{69c95599-91cd-43f6-a64e-65bd46f83327}"/>
        <w:style w:val=""/>
        <w:category>
          <w:name w:val="常规"/>
          <w:gallery w:val="placeholder"/>
        </w:category>
        <w:types>
          <w:type w:val="bbPlcHdr"/>
        </w:types>
        <w:behaviors>
          <w:behavior w:val="content"/>
        </w:behaviors>
        <w:description w:val=""/>
        <w:guid w:val="{69c95599-91cd-43f6-a64e-65bd46f83327}"/>
      </w:docPartPr>
      <w:docPartBody>
        <w:p>
          <w:r>
            <w:rPr>
              <w:color w:val="808080"/>
            </w:rPr>
            <w:t>单击此处输入文字。</w:t>
          </w:r>
        </w:p>
      </w:docPartBody>
    </w:docPart>
    <w:docPart>
      <w:docPartPr>
        <w:name w:val="{957f3399-7aa8-466a-aec3-41acf545e5c0}"/>
        <w:style w:val=""/>
        <w:category>
          <w:name w:val="常规"/>
          <w:gallery w:val="placeholder"/>
        </w:category>
        <w:types>
          <w:type w:val="bbPlcHdr"/>
        </w:types>
        <w:behaviors>
          <w:behavior w:val="content"/>
        </w:behaviors>
        <w:description w:val=""/>
        <w:guid w:val="{957f3399-7aa8-466a-aec3-41acf545e5c0}"/>
      </w:docPartPr>
      <w:docPartBody>
        <w:p>
          <w:r>
            <w:rPr>
              <w:color w:val="808080"/>
            </w:rPr>
            <w:t>单击此处输入文字。</w:t>
          </w:r>
        </w:p>
      </w:docPartBody>
    </w:docPart>
    <w:docPart>
      <w:docPartPr>
        <w:name w:val="{15b0297f-1d41-488b-98a8-d63e1c171e63}"/>
        <w:style w:val=""/>
        <w:category>
          <w:name w:val="常规"/>
          <w:gallery w:val="placeholder"/>
        </w:category>
        <w:types>
          <w:type w:val="bbPlcHdr"/>
        </w:types>
        <w:behaviors>
          <w:behavior w:val="content"/>
        </w:behaviors>
        <w:description w:val=""/>
        <w:guid w:val="{15b0297f-1d41-488b-98a8-d63e1c171e63}"/>
      </w:docPartPr>
      <w:docPartBody>
        <w:p>
          <w:r>
            <w:rPr>
              <w:color w:val="808080"/>
            </w:rPr>
            <w:t>单击此处输入文字。</w:t>
          </w:r>
        </w:p>
      </w:docPartBody>
    </w:docPart>
    <w:docPart>
      <w:docPartPr>
        <w:name w:val="{833e3f5c-b285-4fc1-a5f0-1bd46fe2610a}"/>
        <w:style w:val=""/>
        <w:category>
          <w:name w:val="常规"/>
          <w:gallery w:val="placeholder"/>
        </w:category>
        <w:types>
          <w:type w:val="bbPlcHdr"/>
        </w:types>
        <w:behaviors>
          <w:behavior w:val="content"/>
        </w:behaviors>
        <w:description w:val=""/>
        <w:guid w:val="{833e3f5c-b285-4fc1-a5f0-1bd46fe2610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4548</Words>
  <Characters>4984</Characters>
  <Lines>61</Lines>
  <Paragraphs>17</Paragraphs>
  <TotalTime>1</TotalTime>
  <ScaleCrop>false</ScaleCrop>
  <LinksUpToDate>false</LinksUpToDate>
  <CharactersWithSpaces>5058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池鱼</cp:lastModifiedBy>
  <cp:lastPrinted>2025-10-21T01:13:00Z</cp:lastPrinted>
  <dcterms:modified xsi:type="dcterms:W3CDTF">2025-10-28T02:00:43Z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C76F20E07C764C06BCF427E6D2E2F30B_13</vt:lpwstr>
  </property>
  <property fmtid="{D5CDD505-2E9C-101B-9397-08002B2CF9AE}" pid="4" name="KSOTemplateDocerSaveRecord">
    <vt:lpwstr>eyJoZGlkIjoiOGI1MTY4OTk2MzU4ZjdhYmQwMDg0OWY0ZTk2N2ZkOTAiLCJ1c2VySWQiOiI2NjE3NzA3MDEifQ==</vt:lpwstr>
  </property>
</Properties>
</file>