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Times New Roman" w:hAnsi="Times New Roman" w:eastAsia="方正小标宋简体" w:cs="Times New Roman"/>
          <w:color w:val="auto"/>
          <w:kern w:val="2"/>
          <w:sz w:val="72"/>
          <w:szCs w:val="72"/>
          <w:highlight w:val="none"/>
          <w:lang w:val="en-US" w:eastAsia="zh-CN" w:bidi="ar-SA"/>
        </w:rPr>
      </w:pPr>
      <w:bookmarkStart w:id="0" w:name="_Toc15377193"/>
      <w:bookmarkStart w:id="1" w:name="_Toc15306267"/>
      <w:bookmarkStart w:id="2" w:name="_Toc15378441"/>
      <w:bookmarkStart w:id="3" w:name="_Toc15396597"/>
      <w:bookmarkStart w:id="4" w:name="_Toc15396475"/>
      <w:bookmarkStart w:id="5" w:name="_Toc15377425"/>
      <w:bookmarkStart w:id="6" w:name="_Toc15396602"/>
      <w:bookmarkStart w:id="7" w:name="_Toc15377204"/>
    </w:p>
    <w:p>
      <w:pPr>
        <w:pStyle w:val="2"/>
        <w:rPr>
          <w:rFonts w:hint="eastAsia" w:ascii="Times New Roman" w:hAnsi="Times New Roman" w:eastAsia="方正小标宋简体" w:cs="Times New Roman"/>
          <w:color w:val="auto"/>
          <w:kern w:val="2"/>
          <w:sz w:val="72"/>
          <w:szCs w:val="72"/>
          <w:highlight w:val="none"/>
          <w:lang w:val="en-US" w:eastAsia="zh-CN" w:bidi="ar-SA"/>
        </w:rPr>
      </w:pPr>
    </w:p>
    <w:p>
      <w:pPr>
        <w:pStyle w:val="2"/>
        <w:rPr>
          <w:rFonts w:hint="eastAsia" w:ascii="Times New Roman" w:hAnsi="Times New Roman" w:eastAsia="方正小标宋简体" w:cs="Times New Roman"/>
          <w:color w:val="auto"/>
          <w:kern w:val="2"/>
          <w:sz w:val="72"/>
          <w:szCs w:val="72"/>
          <w:highlight w:val="none"/>
          <w:lang w:val="en-US" w:eastAsia="zh-CN" w:bidi="ar-SA"/>
        </w:rPr>
      </w:pPr>
    </w:p>
    <w:p>
      <w:pPr>
        <w:pStyle w:val="2"/>
        <w:spacing w:before="93"/>
        <w:rPr>
          <w:rFonts w:ascii="Times New Roman" w:eastAsia="方正小标宋简体"/>
          <w:kern w:val="2"/>
          <w:sz w:val="72"/>
          <w:szCs w:val="72"/>
        </w:rPr>
      </w:pPr>
    </w:p>
    <w:p>
      <w:pPr>
        <w:pStyle w:val="2"/>
        <w:spacing w:before="93"/>
        <w:jc w:val="center"/>
        <w:rPr>
          <w:rFonts w:ascii="Times New Roman" w:eastAsia="方正小标宋简体"/>
          <w:kern w:val="2"/>
          <w:sz w:val="72"/>
          <w:szCs w:val="72"/>
        </w:rPr>
      </w:pPr>
      <w:r>
        <w:rPr>
          <w:rFonts w:hint="eastAsia" w:ascii="Times New Roman" w:eastAsia="方正小标宋简体"/>
          <w:kern w:val="2"/>
          <w:sz w:val="72"/>
          <w:szCs w:val="72"/>
        </w:rPr>
        <w:t>2024年度</w:t>
      </w:r>
    </w:p>
    <w:p>
      <w:pPr>
        <w:pStyle w:val="2"/>
        <w:spacing w:before="93"/>
        <w:jc w:val="center"/>
        <w:rPr>
          <w:rFonts w:hint="eastAsia" w:ascii="Times New Roman" w:eastAsia="方正小标宋简体"/>
          <w:kern w:val="2"/>
          <w:sz w:val="72"/>
          <w:szCs w:val="72"/>
          <w:lang w:val="en-US" w:eastAsia="zh-CN"/>
        </w:rPr>
      </w:pPr>
      <w:r>
        <w:rPr>
          <w:rFonts w:hint="eastAsia" w:ascii="Times New Roman" w:eastAsia="方正小标宋简体"/>
          <w:kern w:val="2"/>
          <w:sz w:val="72"/>
          <w:szCs w:val="72"/>
        </w:rPr>
        <w:t>盐边县</w:t>
      </w:r>
      <w:r>
        <w:rPr>
          <w:rFonts w:hint="eastAsia" w:ascii="Times New Roman" w:eastAsia="方正小标宋简体"/>
          <w:kern w:val="2"/>
          <w:sz w:val="72"/>
          <w:szCs w:val="72"/>
          <w:lang w:eastAsia="zh-CN"/>
        </w:rPr>
        <w:t>渔门镇</w:t>
      </w:r>
      <w:r>
        <w:rPr>
          <w:rFonts w:hint="eastAsia" w:ascii="Times New Roman" w:eastAsia="方正小标宋简体"/>
          <w:kern w:val="2"/>
          <w:sz w:val="72"/>
          <w:szCs w:val="72"/>
          <w:lang w:val="en-US" w:eastAsia="zh-CN"/>
        </w:rPr>
        <w:t>中心</w:t>
      </w:r>
    </w:p>
    <w:p>
      <w:pPr>
        <w:pStyle w:val="2"/>
        <w:spacing w:before="93"/>
        <w:jc w:val="center"/>
        <w:rPr>
          <w:rFonts w:ascii="Times New Roman" w:eastAsia="方正小标宋简体"/>
          <w:kern w:val="2"/>
          <w:sz w:val="72"/>
          <w:szCs w:val="72"/>
        </w:rPr>
      </w:pPr>
      <w:r>
        <w:rPr>
          <w:rFonts w:hint="eastAsia" w:ascii="Times New Roman" w:eastAsia="方正小标宋简体"/>
          <w:kern w:val="2"/>
          <w:sz w:val="72"/>
          <w:szCs w:val="72"/>
          <w:lang w:val="en-US" w:eastAsia="zh-CN"/>
        </w:rPr>
        <w:t>学校</w:t>
      </w:r>
      <w:r>
        <w:rPr>
          <w:rFonts w:hint="eastAsia" w:ascii="Times New Roman" w:eastAsia="方正小标宋简体"/>
          <w:kern w:val="2"/>
          <w:sz w:val="72"/>
          <w:szCs w:val="72"/>
        </w:rPr>
        <w:t>单位决算</w:t>
      </w:r>
    </w:p>
    <w:p>
      <w:pPr>
        <w:pStyle w:val="2"/>
        <w:spacing w:before="93"/>
        <w:jc w:val="center"/>
        <w:rPr>
          <w:rFonts w:ascii="Times New Roman" w:eastAsia="方正小标宋简体"/>
          <w:kern w:val="2"/>
          <w:sz w:val="72"/>
          <w:szCs w:val="72"/>
        </w:rPr>
      </w:pPr>
      <w:r>
        <w:rPr>
          <w:rFonts w:hint="eastAsia" w:ascii="Times New Roman" w:eastAsia="方正小标宋简体"/>
          <w:kern w:val="2"/>
          <w:sz w:val="72"/>
          <w:szCs w:val="72"/>
        </w:rPr>
        <w:t>公开</w:t>
      </w:r>
    </w:p>
    <w:p>
      <w:pPr>
        <w:spacing w:line="600" w:lineRule="exact"/>
        <w:jc w:val="center"/>
        <w:outlineLvl w:val="0"/>
        <w:rPr>
          <w:rFonts w:eastAsia="方正小标宋简体"/>
          <w:sz w:val="72"/>
          <w:szCs w:val="72"/>
        </w:rPr>
      </w:pPr>
    </w:p>
    <w:p>
      <w:pPr>
        <w:pStyle w:val="19"/>
        <w:rPr>
          <w:rFonts w:ascii="Times New Roman" w:hAnsi="Times New Roman"/>
        </w:rPr>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docGrid w:type="lines" w:linePitch="312" w:charSpace="0"/>
        </w:sectPr>
      </w:pPr>
    </w:p>
    <w:p/>
    <w:p>
      <w:pPr>
        <w:widowControl/>
        <w:jc w:val="center"/>
        <w:rPr>
          <w:rFonts w:eastAsia="黑体" w:cstheme="minorBidi"/>
          <w:sz w:val="28"/>
          <w:szCs w:val="28"/>
        </w:rPr>
      </w:pPr>
      <w:r>
        <w:rPr>
          <w:rFonts w:hint="eastAsia" w:eastAsia="黑体"/>
          <w:sz w:val="48"/>
          <w:szCs w:val="48"/>
        </w:rPr>
        <w:t>目录</w:t>
      </w:r>
    </w:p>
    <w:p>
      <w:pPr>
        <w:pStyle w:val="12"/>
        <w:rPr>
          <w:sz w:val="28"/>
          <w:szCs w:val="28"/>
        </w:rPr>
      </w:pPr>
      <w:r>
        <w:rPr>
          <w:rFonts w:hint="eastAsia" w:ascii="Times New Roman" w:hAnsi="Times New Roman" w:eastAsia="仿宋_GB2312" w:cs="仿宋_GB2312"/>
        </w:rPr>
        <w:t>公开时间：2025年10月</w:t>
      </w:r>
      <w:r>
        <w:rPr>
          <w:rFonts w:hint="eastAsia" w:ascii="Times New Roman" w:hAnsi="Times New Roman" w:eastAsia="仿宋_GB2312" w:cs="仿宋_GB2312"/>
          <w:lang w:val="en-US" w:eastAsia="zh-CN"/>
        </w:rPr>
        <w:t>28</w:t>
      </w:r>
      <w:r>
        <w:rPr>
          <w:rFonts w:hint="eastAsia" w:ascii="Times New Roman" w:hAnsi="Times New Roman" w:eastAsia="仿宋_GB2312" w:cs="仿宋_GB2312"/>
        </w:rPr>
        <w:t>日</w:t>
      </w:r>
    </w:p>
    <w:sdt>
      <w:sdtPr>
        <w:rPr>
          <w:rFonts w:ascii="宋体" w:hAnsi="宋体" w:eastAsia="宋体" w:cs="Times New Roman"/>
          <w:kern w:val="2"/>
          <w:sz w:val="21"/>
          <w:szCs w:val="24"/>
          <w:lang w:val="en-US" w:eastAsia="zh-CN" w:bidi="ar-SA"/>
        </w:rPr>
        <w:id w:val="147465077"/>
        <w:docPartObj>
          <w:docPartGallery w:val="Table of Contents"/>
          <w:docPartUnique/>
        </w:docPartObj>
      </w:sdtPr>
      <w:sdtEndPr>
        <w:rPr>
          <w:sz w:val="20"/>
          <w:szCs w:val="20"/>
        </w:rPr>
      </w:sdtEndPr>
      <w:sdtContent>
        <w:p>
          <w:pPr>
            <w:spacing w:before="0" w:beforeLines="0" w:after="0" w:afterLines="0" w:line="240" w:lineRule="auto"/>
            <w:ind w:left="0" w:leftChars="0" w:right="0" w:rightChars="0" w:firstLine="0" w:firstLineChars="0"/>
            <w:jc w:val="center"/>
          </w:pPr>
          <w:bookmarkStart w:id="8" w:name="_Toc5777_WPSOffice_Type2"/>
        </w:p>
        <w:p>
          <w:pPr>
            <w:pStyle w:val="36"/>
            <w:tabs>
              <w:tab w:val="right" w:leader="dot" w:pos="8306"/>
            </w:tabs>
            <w:rPr>
              <w:rFonts w:hint="eastAsia" w:ascii="方正小标宋_GBK" w:hAnsi="方正小标宋_GBK" w:eastAsia="方正小标宋_GBK" w:cs="方正小标宋_GBK"/>
              <w:sz w:val="28"/>
              <w:szCs w:val="28"/>
            </w:rPr>
          </w:pPr>
          <w:r>
            <w:rPr>
              <w:rFonts w:hint="eastAsia" w:ascii="方正小标宋_GBK" w:hAnsi="方正小标宋_GBK" w:eastAsia="方正小标宋_GBK" w:cs="方正小标宋_GBK"/>
              <w:b/>
              <w:bCs/>
              <w:sz w:val="28"/>
              <w:szCs w:val="28"/>
            </w:rPr>
            <w:fldChar w:fldCharType="begin"/>
          </w:r>
          <w:r>
            <w:rPr>
              <w:rFonts w:hint="eastAsia" w:ascii="方正小标宋_GBK" w:hAnsi="方正小标宋_GBK" w:eastAsia="方正小标宋_GBK" w:cs="方正小标宋_GBK"/>
              <w:sz w:val="28"/>
              <w:szCs w:val="28"/>
            </w:rPr>
            <w:instrText xml:space="preserve"> HYPERLINK \l _Toc20300_WPSOffice_Level1 </w:instrText>
          </w:r>
          <w:r>
            <w:rPr>
              <w:rFonts w:hint="eastAsia" w:ascii="方正小标宋_GBK" w:hAnsi="方正小标宋_GBK" w:eastAsia="方正小标宋_GBK" w:cs="方正小标宋_GBK"/>
              <w:b/>
              <w:bCs/>
              <w:sz w:val="28"/>
              <w:szCs w:val="28"/>
            </w:rPr>
            <w:fldChar w:fldCharType="separate"/>
          </w:r>
          <w:sdt>
            <w:sdtPr>
              <w:rPr>
                <w:rFonts w:hint="eastAsia" w:ascii="方正小标宋_GBK" w:hAnsi="方正小标宋_GBK" w:eastAsia="方正小标宋_GBK" w:cs="方正小标宋_GBK"/>
                <w:b/>
                <w:bCs/>
                <w:kern w:val="2"/>
                <w:sz w:val="28"/>
                <w:szCs w:val="28"/>
                <w:lang w:val="en-US" w:eastAsia="zh-CN" w:bidi="ar-SA"/>
              </w:rPr>
              <w:id w:val="147465077"/>
              <w:placeholder>
                <w:docPart w:val="{d2b1ce7b-d4ec-4e4f-8937-c3c0e1e8fbe1}"/>
              </w:placeholder>
            </w:sdtPr>
            <w:sdtEndPr>
              <w:rPr>
                <w:rFonts w:hint="eastAsia" w:ascii="方正小标宋_GBK" w:hAnsi="方正小标宋_GBK" w:eastAsia="方正小标宋_GBK" w:cs="方正小标宋_GBK"/>
                <w:b/>
                <w:bCs/>
                <w:kern w:val="2"/>
                <w:sz w:val="28"/>
                <w:szCs w:val="28"/>
                <w:lang w:val="en-US" w:eastAsia="zh-CN" w:bidi="ar-SA"/>
              </w:rPr>
            </w:sdtEndPr>
            <w:sdtContent>
              <w:r>
                <w:rPr>
                  <w:rFonts w:hint="eastAsia" w:ascii="方正小标宋_GBK" w:hAnsi="方正小标宋_GBK" w:eastAsia="方正小标宋_GBK" w:cs="方正小标宋_GBK"/>
                  <w:b/>
                  <w:bCs/>
                  <w:sz w:val="28"/>
                  <w:szCs w:val="28"/>
                </w:rPr>
                <w:t>第一部分  单位概况</w:t>
              </w:r>
            </w:sdtContent>
          </w:sdt>
          <w:r>
            <w:rPr>
              <w:rFonts w:hint="eastAsia" w:ascii="方正小标宋_GBK" w:hAnsi="方正小标宋_GBK" w:eastAsia="方正小标宋_GBK" w:cs="方正小标宋_GBK"/>
              <w:b/>
              <w:bCs/>
              <w:sz w:val="28"/>
              <w:szCs w:val="28"/>
            </w:rPr>
            <w:tab/>
          </w:r>
          <w:bookmarkStart w:id="9" w:name="_Toc20300_WPSOffice_Level1Page"/>
          <w:r>
            <w:rPr>
              <w:rFonts w:hint="eastAsia" w:ascii="方正小标宋_GBK" w:hAnsi="方正小标宋_GBK" w:eastAsia="方正小标宋_GBK" w:cs="方正小标宋_GBK"/>
              <w:b/>
              <w:bCs/>
              <w:sz w:val="28"/>
              <w:szCs w:val="28"/>
            </w:rPr>
            <w:t>1</w:t>
          </w:r>
          <w:bookmarkEnd w:id="9"/>
          <w:r>
            <w:rPr>
              <w:rFonts w:hint="eastAsia" w:ascii="方正小标宋_GBK" w:hAnsi="方正小标宋_GBK" w:eastAsia="方正小标宋_GBK" w:cs="方正小标宋_GBK"/>
              <w:b/>
              <w:bCs/>
              <w:sz w:val="28"/>
              <w:szCs w:val="28"/>
            </w:rPr>
            <w:fldChar w:fldCharType="end"/>
          </w:r>
        </w:p>
        <w:p>
          <w:pPr>
            <w:pStyle w:val="37"/>
            <w:tabs>
              <w:tab w:val="right" w:leader="dot" w:pos="830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_Toc5777_WPSOffice_Level2 </w:instrText>
          </w:r>
          <w:r>
            <w:rPr>
              <w:rFonts w:hint="eastAsia" w:ascii="黑体" w:hAnsi="黑体" w:eastAsia="黑体" w:cs="黑体"/>
              <w:sz w:val="21"/>
              <w:szCs w:val="21"/>
            </w:rPr>
            <w:fldChar w:fldCharType="separate"/>
          </w:r>
          <w:sdt>
            <w:sdtPr>
              <w:rPr>
                <w:rFonts w:hint="eastAsia" w:ascii="黑体" w:hAnsi="黑体" w:eastAsia="黑体" w:cs="黑体"/>
                <w:kern w:val="2"/>
                <w:sz w:val="21"/>
                <w:szCs w:val="21"/>
                <w:lang w:val="en-US" w:eastAsia="zh-CN" w:bidi="ar-SA"/>
              </w:rPr>
              <w:id w:val="147465077"/>
              <w:placeholder>
                <w:docPart w:val="{0f769a4f-24c0-4a6d-9d89-c7179b57145b}"/>
              </w:placeholder>
            </w:sdtPr>
            <w:sdtEndPr>
              <w:rPr>
                <w:rFonts w:hint="eastAsia" w:ascii="黑体" w:hAnsi="黑体" w:eastAsia="黑体" w:cs="黑体"/>
                <w:kern w:val="2"/>
                <w:sz w:val="21"/>
                <w:szCs w:val="21"/>
                <w:lang w:val="en-US" w:eastAsia="zh-CN" w:bidi="ar-SA"/>
              </w:rPr>
            </w:sdtEndPr>
            <w:sdtContent>
              <w:r>
                <w:rPr>
                  <w:rFonts w:hint="eastAsia" w:ascii="黑体" w:hAnsi="黑体" w:eastAsia="黑体" w:cs="黑体"/>
                  <w:sz w:val="21"/>
                  <w:szCs w:val="21"/>
                </w:rPr>
                <w:t>一、 主要职责</w:t>
              </w:r>
            </w:sdtContent>
          </w:sdt>
          <w:r>
            <w:rPr>
              <w:rFonts w:hint="eastAsia" w:ascii="黑体" w:hAnsi="黑体" w:eastAsia="黑体" w:cs="黑体"/>
              <w:sz w:val="21"/>
              <w:szCs w:val="21"/>
            </w:rPr>
            <w:tab/>
          </w:r>
          <w:bookmarkStart w:id="10" w:name="_Toc5777_WPSOffice_Level2Page"/>
          <w:r>
            <w:rPr>
              <w:rFonts w:hint="eastAsia" w:ascii="黑体" w:hAnsi="黑体" w:eastAsia="黑体" w:cs="黑体"/>
              <w:sz w:val="21"/>
              <w:szCs w:val="21"/>
            </w:rPr>
            <w:t>1</w:t>
          </w:r>
          <w:bookmarkEnd w:id="10"/>
          <w:r>
            <w:rPr>
              <w:rFonts w:hint="eastAsia" w:ascii="黑体" w:hAnsi="黑体" w:eastAsia="黑体" w:cs="黑体"/>
              <w:sz w:val="21"/>
              <w:szCs w:val="21"/>
            </w:rPr>
            <w:fldChar w:fldCharType="end"/>
          </w:r>
        </w:p>
        <w:p>
          <w:pPr>
            <w:pStyle w:val="37"/>
            <w:tabs>
              <w:tab w:val="right" w:leader="dot" w:pos="8306"/>
            </w:tabs>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_Toc25020_WPSOffice_Level2 </w:instrText>
          </w:r>
          <w:r>
            <w:rPr>
              <w:rFonts w:hint="eastAsia" w:ascii="黑体" w:hAnsi="黑体" w:eastAsia="黑体" w:cs="黑体"/>
              <w:sz w:val="21"/>
              <w:szCs w:val="21"/>
            </w:rPr>
            <w:fldChar w:fldCharType="separate"/>
          </w:r>
          <w:sdt>
            <w:sdtPr>
              <w:rPr>
                <w:rFonts w:hint="eastAsia" w:ascii="黑体" w:hAnsi="黑体" w:eastAsia="黑体" w:cs="黑体"/>
                <w:kern w:val="2"/>
                <w:sz w:val="21"/>
                <w:szCs w:val="21"/>
                <w:lang w:val="en-US" w:eastAsia="zh-CN" w:bidi="ar-SA"/>
              </w:rPr>
              <w:id w:val="147465077"/>
              <w:placeholder>
                <w:docPart w:val="{f1d9d324-2db9-4eca-8c33-bb3aae09d885}"/>
              </w:placeholder>
            </w:sdtPr>
            <w:sdtEndPr>
              <w:rPr>
                <w:rFonts w:hint="eastAsia" w:ascii="黑体" w:hAnsi="黑体" w:eastAsia="黑体" w:cs="黑体"/>
                <w:kern w:val="2"/>
                <w:sz w:val="21"/>
                <w:szCs w:val="21"/>
                <w:lang w:val="en-US" w:eastAsia="zh-CN" w:bidi="ar-SA"/>
              </w:rPr>
            </w:sdtEndPr>
            <w:sdtContent>
              <w:r>
                <w:rPr>
                  <w:rFonts w:hint="eastAsia" w:ascii="黑体" w:hAnsi="黑体" w:eastAsia="黑体" w:cs="黑体"/>
                  <w:sz w:val="21"/>
                  <w:szCs w:val="21"/>
                </w:rPr>
                <w:t>二、 机构设置</w:t>
              </w:r>
            </w:sdtContent>
          </w:sdt>
          <w:r>
            <w:rPr>
              <w:rFonts w:hint="eastAsia" w:ascii="黑体" w:hAnsi="黑体" w:eastAsia="黑体" w:cs="黑体"/>
              <w:sz w:val="21"/>
              <w:szCs w:val="21"/>
            </w:rPr>
            <w:tab/>
          </w:r>
          <w:bookmarkStart w:id="11" w:name="_Toc25020_WPSOffice_Level2Page"/>
          <w:r>
            <w:rPr>
              <w:rFonts w:hint="eastAsia" w:ascii="黑体" w:hAnsi="黑体" w:eastAsia="黑体" w:cs="黑体"/>
              <w:sz w:val="21"/>
              <w:szCs w:val="21"/>
            </w:rPr>
            <w:t>1</w:t>
          </w:r>
          <w:bookmarkEnd w:id="11"/>
          <w:r>
            <w:rPr>
              <w:rFonts w:hint="eastAsia" w:ascii="黑体" w:hAnsi="黑体" w:eastAsia="黑体" w:cs="黑体"/>
              <w:sz w:val="21"/>
              <w:szCs w:val="21"/>
            </w:rPr>
            <w:fldChar w:fldCharType="end"/>
          </w:r>
        </w:p>
        <w:p>
          <w:pPr>
            <w:pStyle w:val="36"/>
            <w:tabs>
              <w:tab w:val="right" w:leader="dot" w:pos="8306"/>
            </w:tabs>
            <w:rPr>
              <w:rFonts w:hint="eastAsia" w:ascii="方正小标宋_GBK" w:hAnsi="方正小标宋_GBK" w:eastAsia="方正小标宋_GBK" w:cs="方正小标宋_GBK"/>
              <w:b/>
              <w:bCs/>
              <w:sz w:val="28"/>
              <w:szCs w:val="28"/>
            </w:rPr>
          </w:pPr>
          <w:r>
            <w:rPr>
              <w:rFonts w:hint="eastAsia" w:ascii="方正小标宋_GBK" w:hAnsi="方正小标宋_GBK" w:eastAsia="方正小标宋_GBK" w:cs="方正小标宋_GBK"/>
              <w:b/>
              <w:bCs/>
              <w:sz w:val="28"/>
              <w:szCs w:val="28"/>
            </w:rPr>
            <w:fldChar w:fldCharType="begin"/>
          </w:r>
          <w:r>
            <w:rPr>
              <w:rFonts w:hint="eastAsia" w:ascii="方正小标宋_GBK" w:hAnsi="方正小标宋_GBK" w:eastAsia="方正小标宋_GBK" w:cs="方正小标宋_GBK"/>
              <w:b/>
              <w:bCs/>
              <w:sz w:val="28"/>
              <w:szCs w:val="28"/>
            </w:rPr>
            <w:instrText xml:space="preserve"> HYPERLINK \l _Toc5777_WPSOffice_Level1 </w:instrText>
          </w:r>
          <w:r>
            <w:rPr>
              <w:rFonts w:hint="eastAsia" w:ascii="方正小标宋_GBK" w:hAnsi="方正小标宋_GBK" w:eastAsia="方正小标宋_GBK" w:cs="方正小标宋_GBK"/>
              <w:b/>
              <w:bCs/>
              <w:sz w:val="28"/>
              <w:szCs w:val="28"/>
            </w:rPr>
            <w:fldChar w:fldCharType="separate"/>
          </w:r>
          <w:sdt>
            <w:sdtPr>
              <w:rPr>
                <w:rFonts w:hint="eastAsia" w:ascii="方正小标宋_GBK" w:hAnsi="方正小标宋_GBK" w:eastAsia="方正小标宋_GBK" w:cs="方正小标宋_GBK"/>
                <w:b/>
                <w:bCs/>
                <w:sz w:val="28"/>
                <w:szCs w:val="28"/>
                <w:lang w:val="en-US" w:eastAsia="zh-CN"/>
              </w:rPr>
              <w:id w:val="147465077"/>
              <w:placeholder>
                <w:docPart w:val="{0b6ddfe5-83e6-41f0-a31c-78c7446a8298}"/>
              </w:placeholder>
            </w:sdtPr>
            <w:sdtEndPr>
              <w:rPr>
                <w:rFonts w:hint="eastAsia" w:ascii="方正小标宋_GBK" w:hAnsi="方正小标宋_GBK" w:eastAsia="方正小标宋_GBK" w:cs="方正小标宋_GBK"/>
                <w:b/>
                <w:bCs/>
                <w:sz w:val="28"/>
                <w:szCs w:val="28"/>
                <w:lang w:val="en-US" w:eastAsia="zh-CN"/>
              </w:rPr>
            </w:sdtEndPr>
            <w:sdtContent>
              <w:r>
                <w:rPr>
                  <w:rFonts w:hint="eastAsia" w:ascii="方正小标宋_GBK" w:hAnsi="方正小标宋_GBK" w:eastAsia="方正小标宋_GBK" w:cs="方正小标宋_GBK"/>
                  <w:b/>
                  <w:bCs/>
                  <w:sz w:val="28"/>
                  <w:szCs w:val="28"/>
                </w:rPr>
                <w:t>第二部分  2024年度部门决算情况说明</w:t>
              </w:r>
            </w:sdtContent>
          </w:sdt>
          <w:r>
            <w:rPr>
              <w:rFonts w:hint="eastAsia" w:ascii="方正小标宋_GBK" w:hAnsi="方正小标宋_GBK" w:eastAsia="方正小标宋_GBK" w:cs="方正小标宋_GBK"/>
              <w:b/>
              <w:bCs/>
              <w:sz w:val="28"/>
              <w:szCs w:val="28"/>
            </w:rPr>
            <w:tab/>
          </w:r>
          <w:bookmarkStart w:id="12" w:name="_Toc5777_WPSOffice_Level1Page"/>
          <w:r>
            <w:rPr>
              <w:rFonts w:hint="eastAsia" w:ascii="方正小标宋_GBK" w:hAnsi="方正小标宋_GBK" w:eastAsia="方正小标宋_GBK" w:cs="方正小标宋_GBK"/>
              <w:b/>
              <w:bCs/>
              <w:sz w:val="28"/>
              <w:szCs w:val="28"/>
            </w:rPr>
            <w:t>2</w:t>
          </w:r>
          <w:bookmarkEnd w:id="12"/>
          <w:r>
            <w:rPr>
              <w:rFonts w:hint="eastAsia" w:ascii="方正小标宋_GBK" w:hAnsi="方正小标宋_GBK" w:eastAsia="方正小标宋_GBK" w:cs="方正小标宋_GBK"/>
              <w:b/>
              <w:bCs/>
              <w:sz w:val="28"/>
              <w:szCs w:val="28"/>
            </w:rPr>
            <w:fldChar w:fldCharType="end"/>
          </w:r>
        </w:p>
        <w:p>
          <w:pPr>
            <w:pStyle w:val="37"/>
            <w:tabs>
              <w:tab w:val="right" w:leader="dot" w:pos="830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_Toc12008_WPSOffice_Level2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65077"/>
              <w:placeholder>
                <w:docPart w:val="{ad058976-e5d7-4b21-9eec-a9e397e81f4c}"/>
              </w:placeholder>
            </w:sdtPr>
            <w:sdtEndPr>
              <w:rPr>
                <w:rFonts w:hint="eastAsia" w:ascii="黑体" w:hAnsi="黑体" w:eastAsia="黑体" w:cs="黑体"/>
                <w:sz w:val="21"/>
                <w:szCs w:val="21"/>
                <w:lang w:val="en-US" w:eastAsia="zh-CN"/>
              </w:rPr>
            </w:sdtEndPr>
            <w:sdtContent>
              <w:r>
                <w:rPr>
                  <w:rFonts w:hint="eastAsia" w:ascii="黑体" w:hAnsi="黑体" w:eastAsia="黑体" w:cs="黑体"/>
                  <w:sz w:val="21"/>
                  <w:szCs w:val="21"/>
                </w:rPr>
                <w:t>一、收入支出决算总体情况说明</w:t>
              </w:r>
            </w:sdtContent>
          </w:sdt>
          <w:r>
            <w:rPr>
              <w:rFonts w:hint="eastAsia" w:ascii="黑体" w:hAnsi="黑体" w:eastAsia="黑体" w:cs="黑体"/>
              <w:sz w:val="21"/>
              <w:szCs w:val="21"/>
            </w:rPr>
            <w:tab/>
          </w:r>
          <w:bookmarkStart w:id="13" w:name="_Toc12008_WPSOffice_Level2Page"/>
          <w:r>
            <w:rPr>
              <w:rFonts w:hint="eastAsia" w:ascii="黑体" w:hAnsi="黑体" w:eastAsia="黑体" w:cs="黑体"/>
              <w:sz w:val="21"/>
              <w:szCs w:val="21"/>
            </w:rPr>
            <w:t>2</w:t>
          </w:r>
          <w:bookmarkEnd w:id="13"/>
          <w:r>
            <w:rPr>
              <w:rFonts w:hint="eastAsia" w:ascii="黑体" w:hAnsi="黑体" w:eastAsia="黑体" w:cs="黑体"/>
              <w:sz w:val="21"/>
              <w:szCs w:val="21"/>
            </w:rPr>
            <w:fldChar w:fldCharType="end"/>
          </w:r>
        </w:p>
        <w:p>
          <w:pPr>
            <w:pStyle w:val="37"/>
            <w:tabs>
              <w:tab w:val="right" w:leader="dot" w:pos="830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_Toc4107_WPSOffice_Level2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65077"/>
              <w:placeholder>
                <w:docPart w:val="{a0436e01-9f2d-429d-98ea-01c7c8097792}"/>
              </w:placeholder>
            </w:sdtPr>
            <w:sdtEndPr>
              <w:rPr>
                <w:rFonts w:hint="eastAsia" w:ascii="黑体" w:hAnsi="黑体" w:eastAsia="黑体" w:cs="黑体"/>
                <w:sz w:val="21"/>
                <w:szCs w:val="21"/>
                <w:lang w:val="en-US" w:eastAsia="zh-CN"/>
              </w:rPr>
            </w:sdtEndPr>
            <w:sdtContent>
              <w:r>
                <w:rPr>
                  <w:rFonts w:hint="eastAsia" w:ascii="黑体" w:hAnsi="黑体" w:eastAsia="黑体" w:cs="黑体"/>
                  <w:sz w:val="21"/>
                  <w:szCs w:val="21"/>
                </w:rPr>
                <w:t>二、收入决算情况说明</w:t>
              </w:r>
            </w:sdtContent>
          </w:sdt>
          <w:r>
            <w:rPr>
              <w:rFonts w:hint="eastAsia" w:ascii="黑体" w:hAnsi="黑体" w:eastAsia="黑体" w:cs="黑体"/>
              <w:sz w:val="21"/>
              <w:szCs w:val="21"/>
            </w:rPr>
            <w:tab/>
          </w:r>
          <w:bookmarkStart w:id="14" w:name="_Toc4107_WPSOffice_Level2Page"/>
          <w:r>
            <w:rPr>
              <w:rFonts w:hint="eastAsia" w:ascii="黑体" w:hAnsi="黑体" w:eastAsia="黑体" w:cs="黑体"/>
              <w:sz w:val="21"/>
              <w:szCs w:val="21"/>
            </w:rPr>
            <w:t>2</w:t>
          </w:r>
          <w:bookmarkEnd w:id="14"/>
          <w:r>
            <w:rPr>
              <w:rFonts w:hint="eastAsia" w:ascii="黑体" w:hAnsi="黑体" w:eastAsia="黑体" w:cs="黑体"/>
              <w:sz w:val="21"/>
              <w:szCs w:val="21"/>
            </w:rPr>
            <w:fldChar w:fldCharType="end"/>
          </w:r>
        </w:p>
        <w:p>
          <w:pPr>
            <w:pStyle w:val="37"/>
            <w:tabs>
              <w:tab w:val="right" w:leader="dot" w:pos="830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_Toc21659_WPSOffice_Level2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65077"/>
              <w:placeholder>
                <w:docPart w:val="{b786a1ee-702a-43bd-97be-57c226929645}"/>
              </w:placeholder>
            </w:sdtPr>
            <w:sdtEndPr>
              <w:rPr>
                <w:rFonts w:hint="eastAsia" w:ascii="黑体" w:hAnsi="黑体" w:eastAsia="黑体" w:cs="黑体"/>
                <w:sz w:val="21"/>
                <w:szCs w:val="21"/>
                <w:lang w:val="en-US" w:eastAsia="zh-CN"/>
              </w:rPr>
            </w:sdtEndPr>
            <w:sdtContent>
              <w:r>
                <w:rPr>
                  <w:rFonts w:hint="eastAsia" w:ascii="黑体" w:hAnsi="黑体" w:eastAsia="黑体" w:cs="黑体"/>
                  <w:sz w:val="21"/>
                  <w:szCs w:val="21"/>
                </w:rPr>
                <w:t>三、支出决算情况说明</w:t>
              </w:r>
            </w:sdtContent>
          </w:sdt>
          <w:r>
            <w:rPr>
              <w:rFonts w:hint="eastAsia" w:ascii="黑体" w:hAnsi="黑体" w:eastAsia="黑体" w:cs="黑体"/>
              <w:sz w:val="21"/>
              <w:szCs w:val="21"/>
            </w:rPr>
            <w:tab/>
          </w:r>
          <w:bookmarkStart w:id="15" w:name="_Toc21659_WPSOffice_Level2Page"/>
          <w:r>
            <w:rPr>
              <w:rFonts w:hint="eastAsia" w:ascii="黑体" w:hAnsi="黑体" w:eastAsia="黑体" w:cs="黑体"/>
              <w:sz w:val="21"/>
              <w:szCs w:val="21"/>
            </w:rPr>
            <w:t>3</w:t>
          </w:r>
          <w:bookmarkEnd w:id="15"/>
          <w:r>
            <w:rPr>
              <w:rFonts w:hint="eastAsia" w:ascii="黑体" w:hAnsi="黑体" w:eastAsia="黑体" w:cs="黑体"/>
              <w:sz w:val="21"/>
              <w:szCs w:val="21"/>
            </w:rPr>
            <w:fldChar w:fldCharType="end"/>
          </w:r>
        </w:p>
        <w:p>
          <w:pPr>
            <w:pStyle w:val="37"/>
            <w:tabs>
              <w:tab w:val="right" w:leader="dot" w:pos="830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_Toc18738_WPSOffice_Level2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65077"/>
              <w:placeholder>
                <w:docPart w:val="{50d82ac8-49d3-466a-bb26-52174cb924f4}"/>
              </w:placeholder>
            </w:sdtPr>
            <w:sdtEndPr>
              <w:rPr>
                <w:rFonts w:hint="eastAsia" w:ascii="黑体" w:hAnsi="黑体" w:eastAsia="黑体" w:cs="黑体"/>
                <w:sz w:val="21"/>
                <w:szCs w:val="21"/>
                <w:lang w:val="en-US" w:eastAsia="zh-CN"/>
              </w:rPr>
            </w:sdtEndPr>
            <w:sdtContent>
              <w:r>
                <w:rPr>
                  <w:rFonts w:hint="eastAsia" w:ascii="黑体" w:hAnsi="黑体" w:eastAsia="黑体" w:cs="黑体"/>
                  <w:sz w:val="21"/>
                  <w:szCs w:val="21"/>
                </w:rPr>
                <w:t>四、财政拨款收入支出决算总体情况说明</w:t>
              </w:r>
            </w:sdtContent>
          </w:sdt>
          <w:r>
            <w:rPr>
              <w:rFonts w:hint="eastAsia" w:ascii="黑体" w:hAnsi="黑体" w:eastAsia="黑体" w:cs="黑体"/>
              <w:sz w:val="21"/>
              <w:szCs w:val="21"/>
            </w:rPr>
            <w:tab/>
          </w:r>
          <w:bookmarkStart w:id="16" w:name="_Toc18738_WPSOffice_Level2Page"/>
          <w:r>
            <w:rPr>
              <w:rFonts w:hint="eastAsia" w:ascii="黑体" w:hAnsi="黑体" w:eastAsia="黑体" w:cs="黑体"/>
              <w:sz w:val="21"/>
              <w:szCs w:val="21"/>
            </w:rPr>
            <w:t>3</w:t>
          </w:r>
          <w:bookmarkEnd w:id="16"/>
          <w:r>
            <w:rPr>
              <w:rFonts w:hint="eastAsia" w:ascii="黑体" w:hAnsi="黑体" w:eastAsia="黑体" w:cs="黑体"/>
              <w:sz w:val="21"/>
              <w:szCs w:val="21"/>
            </w:rPr>
            <w:fldChar w:fldCharType="end"/>
          </w:r>
        </w:p>
        <w:p>
          <w:pPr>
            <w:pStyle w:val="37"/>
            <w:tabs>
              <w:tab w:val="right" w:leader="dot" w:pos="830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_Toc30218_WPSOffice_Level2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65077"/>
              <w:placeholder>
                <w:docPart w:val="{951087ec-c84c-4c5c-a697-de9e732073f7}"/>
              </w:placeholder>
            </w:sdtPr>
            <w:sdtEndPr>
              <w:rPr>
                <w:rFonts w:hint="eastAsia" w:ascii="黑体" w:hAnsi="黑体" w:eastAsia="黑体" w:cs="黑体"/>
                <w:sz w:val="21"/>
                <w:szCs w:val="21"/>
                <w:lang w:val="en-US" w:eastAsia="zh-CN"/>
              </w:rPr>
            </w:sdtEndPr>
            <w:sdtContent>
              <w:r>
                <w:rPr>
                  <w:rFonts w:hint="eastAsia" w:ascii="黑体" w:hAnsi="黑体" w:eastAsia="黑体" w:cs="黑体"/>
                  <w:sz w:val="21"/>
                  <w:szCs w:val="21"/>
                </w:rPr>
                <w:t>五、一般公共预算财政拨款支出决算情况说明</w:t>
              </w:r>
            </w:sdtContent>
          </w:sdt>
          <w:r>
            <w:rPr>
              <w:rFonts w:hint="eastAsia" w:ascii="黑体" w:hAnsi="黑体" w:eastAsia="黑体" w:cs="黑体"/>
              <w:sz w:val="21"/>
              <w:szCs w:val="21"/>
            </w:rPr>
            <w:tab/>
          </w:r>
          <w:bookmarkStart w:id="17" w:name="_Toc30218_WPSOffice_Level2Page"/>
          <w:r>
            <w:rPr>
              <w:rFonts w:hint="eastAsia" w:ascii="黑体" w:hAnsi="黑体" w:eastAsia="黑体" w:cs="黑体"/>
              <w:sz w:val="21"/>
              <w:szCs w:val="21"/>
            </w:rPr>
            <w:t>4</w:t>
          </w:r>
          <w:bookmarkEnd w:id="17"/>
          <w:r>
            <w:rPr>
              <w:rFonts w:hint="eastAsia" w:ascii="黑体" w:hAnsi="黑体" w:eastAsia="黑体" w:cs="黑体"/>
              <w:sz w:val="21"/>
              <w:szCs w:val="21"/>
            </w:rPr>
            <w:fldChar w:fldCharType="end"/>
          </w:r>
        </w:p>
        <w:p>
          <w:pPr>
            <w:pStyle w:val="37"/>
            <w:tabs>
              <w:tab w:val="right" w:leader="dot" w:pos="830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_Toc6998_WPSOffice_Level2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65077"/>
              <w:placeholder>
                <w:docPart w:val="{4881adee-ffea-41e4-bbc6-57f81b48775e}"/>
              </w:placeholder>
            </w:sdtPr>
            <w:sdtEndPr>
              <w:rPr>
                <w:rFonts w:hint="eastAsia" w:ascii="黑体" w:hAnsi="黑体" w:eastAsia="黑体" w:cs="黑体"/>
                <w:sz w:val="21"/>
                <w:szCs w:val="21"/>
                <w:lang w:val="en-US" w:eastAsia="zh-CN"/>
              </w:rPr>
            </w:sdtEndPr>
            <w:sdtContent>
              <w:r>
                <w:rPr>
                  <w:rFonts w:hint="eastAsia" w:ascii="黑体" w:hAnsi="黑体" w:eastAsia="黑体" w:cs="黑体"/>
                  <w:sz w:val="21"/>
                  <w:szCs w:val="21"/>
                </w:rPr>
                <w:t>六、一般公共预算财政拨款基本支出决算情况说明</w:t>
              </w:r>
            </w:sdtContent>
          </w:sdt>
          <w:r>
            <w:rPr>
              <w:rFonts w:hint="eastAsia" w:ascii="黑体" w:hAnsi="黑体" w:eastAsia="黑体" w:cs="黑体"/>
              <w:sz w:val="21"/>
              <w:szCs w:val="21"/>
            </w:rPr>
            <w:tab/>
          </w:r>
          <w:bookmarkStart w:id="18" w:name="_Toc6998_WPSOffice_Level2Page"/>
          <w:r>
            <w:rPr>
              <w:rFonts w:hint="eastAsia" w:ascii="黑体" w:hAnsi="黑体" w:eastAsia="黑体" w:cs="黑体"/>
              <w:sz w:val="21"/>
              <w:szCs w:val="21"/>
            </w:rPr>
            <w:t>7</w:t>
          </w:r>
          <w:bookmarkEnd w:id="18"/>
          <w:r>
            <w:rPr>
              <w:rFonts w:hint="eastAsia" w:ascii="黑体" w:hAnsi="黑体" w:eastAsia="黑体" w:cs="黑体"/>
              <w:sz w:val="21"/>
              <w:szCs w:val="21"/>
            </w:rPr>
            <w:fldChar w:fldCharType="end"/>
          </w:r>
        </w:p>
        <w:p>
          <w:pPr>
            <w:pStyle w:val="37"/>
            <w:tabs>
              <w:tab w:val="right" w:leader="dot" w:pos="830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_Toc1258_WPSOffice_Level2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65077"/>
              <w:placeholder>
                <w:docPart w:val="{f132e378-0656-4c12-aeb7-85cc09f6aab3}"/>
              </w:placeholder>
            </w:sdtPr>
            <w:sdtEndPr>
              <w:rPr>
                <w:rFonts w:hint="eastAsia" w:ascii="黑体" w:hAnsi="黑体" w:eastAsia="黑体" w:cs="黑体"/>
                <w:sz w:val="21"/>
                <w:szCs w:val="21"/>
                <w:lang w:val="en-US" w:eastAsia="zh-CN"/>
              </w:rPr>
            </w:sdtEndPr>
            <w:sdtContent>
              <w:r>
                <w:rPr>
                  <w:rFonts w:hint="eastAsia" w:ascii="黑体" w:hAnsi="黑体" w:eastAsia="黑体" w:cs="黑体"/>
                  <w:sz w:val="21"/>
                  <w:szCs w:val="21"/>
                </w:rPr>
                <w:t>七、财政拨款“三公”经费支出决算情况说明</w:t>
              </w:r>
            </w:sdtContent>
          </w:sdt>
          <w:r>
            <w:rPr>
              <w:rFonts w:hint="eastAsia" w:ascii="黑体" w:hAnsi="黑体" w:eastAsia="黑体" w:cs="黑体"/>
              <w:sz w:val="21"/>
              <w:szCs w:val="21"/>
            </w:rPr>
            <w:tab/>
          </w:r>
          <w:bookmarkStart w:id="19" w:name="_Toc1258_WPSOffice_Level2Page"/>
          <w:r>
            <w:rPr>
              <w:rFonts w:hint="eastAsia" w:ascii="黑体" w:hAnsi="黑体" w:eastAsia="黑体" w:cs="黑体"/>
              <w:sz w:val="21"/>
              <w:szCs w:val="21"/>
            </w:rPr>
            <w:t>8</w:t>
          </w:r>
          <w:bookmarkEnd w:id="19"/>
          <w:r>
            <w:rPr>
              <w:rFonts w:hint="eastAsia" w:ascii="黑体" w:hAnsi="黑体" w:eastAsia="黑体" w:cs="黑体"/>
              <w:sz w:val="21"/>
              <w:szCs w:val="21"/>
            </w:rPr>
            <w:fldChar w:fldCharType="end"/>
          </w:r>
        </w:p>
        <w:p>
          <w:pPr>
            <w:pStyle w:val="37"/>
            <w:tabs>
              <w:tab w:val="right" w:leader="dot" w:pos="830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_Toc25844_WPSOffice_Level2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65077"/>
              <w:placeholder>
                <w:docPart w:val="{90478093-de5c-48bb-ac72-902801e3f7fa}"/>
              </w:placeholder>
            </w:sdtPr>
            <w:sdtEndPr>
              <w:rPr>
                <w:rFonts w:hint="eastAsia" w:ascii="黑体" w:hAnsi="黑体" w:eastAsia="黑体" w:cs="黑体"/>
                <w:sz w:val="21"/>
                <w:szCs w:val="21"/>
                <w:lang w:val="en-US" w:eastAsia="zh-CN"/>
              </w:rPr>
            </w:sdtEndPr>
            <w:sdtContent>
              <w:r>
                <w:rPr>
                  <w:rFonts w:hint="eastAsia" w:ascii="黑体" w:hAnsi="黑体" w:eastAsia="黑体" w:cs="黑体"/>
                  <w:sz w:val="21"/>
                  <w:szCs w:val="21"/>
                </w:rPr>
                <w:t>八、政府性基金预算支出决算情况说明</w:t>
              </w:r>
            </w:sdtContent>
          </w:sdt>
          <w:r>
            <w:rPr>
              <w:rFonts w:hint="eastAsia" w:ascii="黑体" w:hAnsi="黑体" w:eastAsia="黑体" w:cs="黑体"/>
              <w:sz w:val="21"/>
              <w:szCs w:val="21"/>
            </w:rPr>
            <w:tab/>
          </w:r>
          <w:bookmarkStart w:id="20" w:name="_Toc25844_WPSOffice_Level2Page"/>
          <w:r>
            <w:rPr>
              <w:rFonts w:hint="eastAsia" w:ascii="黑体" w:hAnsi="黑体" w:eastAsia="黑体" w:cs="黑体"/>
              <w:sz w:val="21"/>
              <w:szCs w:val="21"/>
            </w:rPr>
            <w:t>9</w:t>
          </w:r>
          <w:bookmarkEnd w:id="20"/>
          <w:r>
            <w:rPr>
              <w:rFonts w:hint="eastAsia" w:ascii="黑体" w:hAnsi="黑体" w:eastAsia="黑体" w:cs="黑体"/>
              <w:sz w:val="21"/>
              <w:szCs w:val="21"/>
            </w:rPr>
            <w:fldChar w:fldCharType="end"/>
          </w:r>
        </w:p>
        <w:p>
          <w:pPr>
            <w:pStyle w:val="37"/>
            <w:tabs>
              <w:tab w:val="right" w:leader="dot" w:pos="830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_Toc13045_WPSOffice_Level2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65077"/>
              <w:placeholder>
                <w:docPart w:val="{6320a0cc-7035-4f04-99fc-9b81b9735a87}"/>
              </w:placeholder>
            </w:sdtPr>
            <w:sdtEndPr>
              <w:rPr>
                <w:rFonts w:hint="eastAsia" w:ascii="黑体" w:hAnsi="黑体" w:eastAsia="黑体" w:cs="黑体"/>
                <w:sz w:val="21"/>
                <w:szCs w:val="21"/>
                <w:lang w:val="en-US" w:eastAsia="zh-CN"/>
              </w:rPr>
            </w:sdtEndPr>
            <w:sdtContent>
              <w:r>
                <w:rPr>
                  <w:rFonts w:hint="eastAsia" w:ascii="黑体" w:hAnsi="黑体" w:eastAsia="黑体" w:cs="黑体"/>
                  <w:sz w:val="21"/>
                  <w:szCs w:val="21"/>
                </w:rPr>
                <w:t>九、国有资本经营预算支出决算情况说明</w:t>
              </w:r>
            </w:sdtContent>
          </w:sdt>
          <w:r>
            <w:rPr>
              <w:rFonts w:hint="eastAsia" w:ascii="黑体" w:hAnsi="黑体" w:eastAsia="黑体" w:cs="黑体"/>
              <w:sz w:val="21"/>
              <w:szCs w:val="21"/>
            </w:rPr>
            <w:tab/>
          </w:r>
          <w:bookmarkStart w:id="21" w:name="_Toc13045_WPSOffice_Level2Page"/>
          <w:r>
            <w:rPr>
              <w:rFonts w:hint="eastAsia" w:ascii="黑体" w:hAnsi="黑体" w:eastAsia="黑体" w:cs="黑体"/>
              <w:sz w:val="21"/>
              <w:szCs w:val="21"/>
            </w:rPr>
            <w:t>9</w:t>
          </w:r>
          <w:bookmarkEnd w:id="21"/>
          <w:r>
            <w:rPr>
              <w:rFonts w:hint="eastAsia" w:ascii="黑体" w:hAnsi="黑体" w:eastAsia="黑体" w:cs="黑体"/>
              <w:sz w:val="21"/>
              <w:szCs w:val="21"/>
            </w:rPr>
            <w:fldChar w:fldCharType="end"/>
          </w:r>
        </w:p>
        <w:p>
          <w:pPr>
            <w:pStyle w:val="37"/>
            <w:tabs>
              <w:tab w:val="right" w:leader="dot" w:pos="8306"/>
            </w:tabs>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_Toc29002_WPSOffice_Level2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65077"/>
              <w:placeholder>
                <w:docPart w:val="{33d7b730-137f-4030-978d-418d4ad2119e}"/>
              </w:placeholder>
            </w:sdtPr>
            <w:sdtEndPr>
              <w:rPr>
                <w:rFonts w:hint="eastAsia" w:ascii="黑体" w:hAnsi="黑体" w:eastAsia="黑体" w:cs="黑体"/>
                <w:sz w:val="21"/>
                <w:szCs w:val="21"/>
                <w:lang w:val="en-US" w:eastAsia="zh-CN"/>
              </w:rPr>
            </w:sdtEndPr>
            <w:sdtContent>
              <w:r>
                <w:rPr>
                  <w:rFonts w:hint="eastAsia" w:ascii="黑体" w:hAnsi="黑体" w:eastAsia="黑体" w:cs="黑体"/>
                  <w:sz w:val="21"/>
                  <w:szCs w:val="21"/>
                </w:rPr>
                <w:t>十、其他重要事项的情况说明</w:t>
              </w:r>
            </w:sdtContent>
          </w:sdt>
          <w:r>
            <w:rPr>
              <w:rFonts w:hint="eastAsia" w:ascii="黑体" w:hAnsi="黑体" w:eastAsia="黑体" w:cs="黑体"/>
              <w:sz w:val="21"/>
              <w:szCs w:val="21"/>
            </w:rPr>
            <w:tab/>
          </w:r>
          <w:bookmarkStart w:id="22" w:name="_Toc29002_WPSOffice_Level2Page"/>
          <w:r>
            <w:rPr>
              <w:rFonts w:hint="eastAsia" w:ascii="黑体" w:hAnsi="黑体" w:eastAsia="黑体" w:cs="黑体"/>
              <w:sz w:val="21"/>
              <w:szCs w:val="21"/>
            </w:rPr>
            <w:t>9</w:t>
          </w:r>
          <w:bookmarkEnd w:id="22"/>
          <w:r>
            <w:rPr>
              <w:rFonts w:hint="eastAsia" w:ascii="黑体" w:hAnsi="黑体" w:eastAsia="黑体" w:cs="黑体"/>
              <w:sz w:val="21"/>
              <w:szCs w:val="21"/>
            </w:rPr>
            <w:fldChar w:fldCharType="end"/>
          </w:r>
        </w:p>
        <w:p>
          <w:pPr>
            <w:pStyle w:val="36"/>
            <w:tabs>
              <w:tab w:val="right" w:leader="dot" w:pos="8306"/>
            </w:tabs>
            <w:rPr>
              <w:rFonts w:hint="eastAsia" w:ascii="方正小标宋_GBK" w:hAnsi="方正小标宋_GBK" w:eastAsia="方正小标宋_GBK" w:cs="方正小标宋_GBK"/>
              <w:b/>
              <w:bCs/>
              <w:sz w:val="28"/>
              <w:szCs w:val="28"/>
            </w:rPr>
          </w:pPr>
          <w:r>
            <w:rPr>
              <w:rFonts w:hint="eastAsia" w:ascii="方正小标宋_GBK" w:hAnsi="方正小标宋_GBK" w:eastAsia="方正小标宋_GBK" w:cs="方正小标宋_GBK"/>
              <w:b/>
              <w:bCs/>
              <w:sz w:val="28"/>
              <w:szCs w:val="28"/>
            </w:rPr>
            <w:fldChar w:fldCharType="begin"/>
          </w:r>
          <w:r>
            <w:rPr>
              <w:rFonts w:hint="eastAsia" w:ascii="方正小标宋_GBK" w:hAnsi="方正小标宋_GBK" w:eastAsia="方正小标宋_GBK" w:cs="方正小标宋_GBK"/>
              <w:b/>
              <w:bCs/>
              <w:sz w:val="28"/>
              <w:szCs w:val="28"/>
            </w:rPr>
            <w:instrText xml:space="preserve"> HYPERLINK \l _Toc25020_WPSOffice_Level1 </w:instrText>
          </w:r>
          <w:r>
            <w:rPr>
              <w:rFonts w:hint="eastAsia" w:ascii="方正小标宋_GBK" w:hAnsi="方正小标宋_GBK" w:eastAsia="方正小标宋_GBK" w:cs="方正小标宋_GBK"/>
              <w:b/>
              <w:bCs/>
              <w:sz w:val="28"/>
              <w:szCs w:val="28"/>
            </w:rPr>
            <w:fldChar w:fldCharType="separate"/>
          </w:r>
          <w:sdt>
            <w:sdtPr>
              <w:rPr>
                <w:rFonts w:hint="eastAsia" w:ascii="方正小标宋_GBK" w:hAnsi="方正小标宋_GBK" w:eastAsia="方正小标宋_GBK" w:cs="方正小标宋_GBK"/>
                <w:b/>
                <w:bCs/>
                <w:sz w:val="28"/>
                <w:szCs w:val="28"/>
                <w:lang w:val="en-US" w:eastAsia="zh-CN"/>
              </w:rPr>
              <w:id w:val="147465077"/>
              <w:placeholder>
                <w:docPart w:val="{ac708805-3ebb-402f-aab9-9b72f6bd8e7b}"/>
              </w:placeholder>
            </w:sdtPr>
            <w:sdtEndPr>
              <w:rPr>
                <w:rFonts w:hint="eastAsia" w:ascii="方正小标宋_GBK" w:hAnsi="方正小标宋_GBK" w:eastAsia="方正小标宋_GBK" w:cs="方正小标宋_GBK"/>
                <w:b/>
                <w:bCs/>
                <w:sz w:val="28"/>
                <w:szCs w:val="28"/>
                <w:lang w:val="en-US" w:eastAsia="zh-CN"/>
              </w:rPr>
            </w:sdtEndPr>
            <w:sdtContent>
              <w:r>
                <w:rPr>
                  <w:rFonts w:hint="eastAsia" w:ascii="方正小标宋_GBK" w:hAnsi="方正小标宋_GBK" w:eastAsia="方正小标宋_GBK" w:cs="方正小标宋_GBK"/>
                  <w:b/>
                  <w:bCs/>
                  <w:sz w:val="28"/>
                  <w:szCs w:val="28"/>
                </w:rPr>
                <w:t>第三部分  名词解释</w:t>
              </w:r>
            </w:sdtContent>
          </w:sdt>
          <w:r>
            <w:rPr>
              <w:rFonts w:hint="eastAsia" w:ascii="方正小标宋_GBK" w:hAnsi="方正小标宋_GBK" w:eastAsia="方正小标宋_GBK" w:cs="方正小标宋_GBK"/>
              <w:b/>
              <w:bCs/>
              <w:sz w:val="28"/>
              <w:szCs w:val="28"/>
            </w:rPr>
            <w:tab/>
          </w:r>
          <w:bookmarkStart w:id="23" w:name="_Toc25020_WPSOffice_Level1Page"/>
          <w:r>
            <w:rPr>
              <w:rFonts w:hint="eastAsia" w:ascii="方正小标宋_GBK" w:hAnsi="方正小标宋_GBK" w:eastAsia="方正小标宋_GBK" w:cs="方正小标宋_GBK"/>
              <w:b/>
              <w:bCs/>
              <w:sz w:val="28"/>
              <w:szCs w:val="28"/>
            </w:rPr>
            <w:t>11</w:t>
          </w:r>
          <w:bookmarkEnd w:id="23"/>
          <w:r>
            <w:rPr>
              <w:rFonts w:hint="eastAsia" w:ascii="方正小标宋_GBK" w:hAnsi="方正小标宋_GBK" w:eastAsia="方正小标宋_GBK" w:cs="方正小标宋_GBK"/>
              <w:b/>
              <w:bCs/>
              <w:sz w:val="28"/>
              <w:szCs w:val="28"/>
            </w:rPr>
            <w:fldChar w:fldCharType="end"/>
          </w:r>
        </w:p>
        <w:p>
          <w:pPr>
            <w:pStyle w:val="36"/>
            <w:tabs>
              <w:tab w:val="right" w:leader="dot" w:pos="8306"/>
            </w:tabs>
            <w:rPr>
              <w:rFonts w:hint="eastAsia" w:ascii="方正小标宋_GBK" w:hAnsi="方正小标宋_GBK" w:eastAsia="方正小标宋_GBK" w:cs="方正小标宋_GBK"/>
              <w:b/>
              <w:bCs/>
              <w:sz w:val="28"/>
              <w:szCs w:val="28"/>
            </w:rPr>
          </w:pPr>
          <w:r>
            <w:rPr>
              <w:rFonts w:hint="eastAsia" w:ascii="方正小标宋_GBK" w:hAnsi="方正小标宋_GBK" w:eastAsia="方正小标宋_GBK" w:cs="方正小标宋_GBK"/>
              <w:b/>
              <w:bCs/>
              <w:sz w:val="28"/>
              <w:szCs w:val="28"/>
            </w:rPr>
            <w:fldChar w:fldCharType="begin"/>
          </w:r>
          <w:r>
            <w:rPr>
              <w:rFonts w:hint="eastAsia" w:ascii="方正小标宋_GBK" w:hAnsi="方正小标宋_GBK" w:eastAsia="方正小标宋_GBK" w:cs="方正小标宋_GBK"/>
              <w:b/>
              <w:bCs/>
              <w:sz w:val="28"/>
              <w:szCs w:val="28"/>
            </w:rPr>
            <w:instrText xml:space="preserve"> HYPERLINK \l _Toc12008_WPSOffice_Level1 </w:instrText>
          </w:r>
          <w:r>
            <w:rPr>
              <w:rFonts w:hint="eastAsia" w:ascii="方正小标宋_GBK" w:hAnsi="方正小标宋_GBK" w:eastAsia="方正小标宋_GBK" w:cs="方正小标宋_GBK"/>
              <w:b/>
              <w:bCs/>
              <w:sz w:val="28"/>
              <w:szCs w:val="28"/>
            </w:rPr>
            <w:fldChar w:fldCharType="separate"/>
          </w:r>
          <w:sdt>
            <w:sdtPr>
              <w:rPr>
                <w:rFonts w:hint="eastAsia" w:ascii="方正小标宋_GBK" w:hAnsi="方正小标宋_GBK" w:eastAsia="方正小标宋_GBK" w:cs="方正小标宋_GBK"/>
                <w:b/>
                <w:bCs/>
                <w:sz w:val="28"/>
                <w:szCs w:val="28"/>
                <w:lang w:val="en-US" w:eastAsia="zh-CN"/>
              </w:rPr>
              <w:id w:val="147465077"/>
              <w:placeholder>
                <w:docPart w:val="{729f4a55-91b4-47a5-a989-6e3d5a06182f}"/>
              </w:placeholder>
            </w:sdtPr>
            <w:sdtEndPr>
              <w:rPr>
                <w:rFonts w:hint="eastAsia" w:ascii="方正小标宋_GBK" w:hAnsi="方正小标宋_GBK" w:eastAsia="方正小标宋_GBK" w:cs="方正小标宋_GBK"/>
                <w:b/>
                <w:bCs/>
                <w:sz w:val="28"/>
                <w:szCs w:val="28"/>
                <w:lang w:val="en-US" w:eastAsia="zh-CN"/>
              </w:rPr>
            </w:sdtEndPr>
            <w:sdtContent>
              <w:r>
                <w:rPr>
                  <w:rFonts w:hint="eastAsia" w:ascii="方正小标宋_GBK" w:hAnsi="方正小标宋_GBK" w:eastAsia="方正小标宋_GBK" w:cs="方正小标宋_GBK"/>
                  <w:b/>
                  <w:bCs/>
                  <w:sz w:val="28"/>
                  <w:szCs w:val="28"/>
                </w:rPr>
                <w:t>第四部分 附件</w:t>
              </w:r>
            </w:sdtContent>
          </w:sdt>
          <w:r>
            <w:rPr>
              <w:rFonts w:hint="eastAsia" w:ascii="方正小标宋_GBK" w:hAnsi="方正小标宋_GBK" w:eastAsia="方正小标宋_GBK" w:cs="方正小标宋_GBK"/>
              <w:b/>
              <w:bCs/>
              <w:sz w:val="28"/>
              <w:szCs w:val="28"/>
            </w:rPr>
            <w:tab/>
          </w:r>
          <w:bookmarkStart w:id="24" w:name="_Toc12008_WPSOffice_Level1Page"/>
          <w:r>
            <w:rPr>
              <w:rFonts w:hint="eastAsia" w:ascii="方正小标宋_GBK" w:hAnsi="方正小标宋_GBK" w:eastAsia="方正小标宋_GBK" w:cs="方正小标宋_GBK"/>
              <w:b/>
              <w:bCs/>
              <w:sz w:val="28"/>
              <w:szCs w:val="28"/>
            </w:rPr>
            <w:t>14</w:t>
          </w:r>
          <w:bookmarkEnd w:id="24"/>
          <w:r>
            <w:rPr>
              <w:rFonts w:hint="eastAsia" w:ascii="方正小标宋_GBK" w:hAnsi="方正小标宋_GBK" w:eastAsia="方正小标宋_GBK" w:cs="方正小标宋_GBK"/>
              <w:b/>
              <w:bCs/>
              <w:sz w:val="28"/>
              <w:szCs w:val="28"/>
            </w:rPr>
            <w:fldChar w:fldCharType="end"/>
          </w:r>
        </w:p>
        <w:p>
          <w:pPr>
            <w:pStyle w:val="36"/>
            <w:tabs>
              <w:tab w:val="right" w:leader="dot" w:pos="8306"/>
            </w:tabs>
          </w:pPr>
          <w:r>
            <w:rPr>
              <w:rFonts w:hint="eastAsia" w:ascii="方正小标宋_GBK" w:hAnsi="方正小标宋_GBK" w:eastAsia="方正小标宋_GBK" w:cs="方正小标宋_GBK"/>
              <w:b/>
              <w:bCs/>
              <w:sz w:val="28"/>
              <w:szCs w:val="28"/>
            </w:rPr>
            <w:fldChar w:fldCharType="begin"/>
          </w:r>
          <w:r>
            <w:rPr>
              <w:rFonts w:hint="eastAsia" w:ascii="方正小标宋_GBK" w:hAnsi="方正小标宋_GBK" w:eastAsia="方正小标宋_GBK" w:cs="方正小标宋_GBK"/>
              <w:b/>
              <w:bCs/>
              <w:sz w:val="28"/>
              <w:szCs w:val="28"/>
            </w:rPr>
            <w:instrText xml:space="preserve"> HYPERLINK \l _Toc4107_WPSOffice_Level1 </w:instrText>
          </w:r>
          <w:r>
            <w:rPr>
              <w:rFonts w:hint="eastAsia" w:ascii="方正小标宋_GBK" w:hAnsi="方正小标宋_GBK" w:eastAsia="方正小标宋_GBK" w:cs="方正小标宋_GBK"/>
              <w:b/>
              <w:bCs/>
              <w:sz w:val="28"/>
              <w:szCs w:val="28"/>
            </w:rPr>
            <w:fldChar w:fldCharType="separate"/>
          </w:r>
          <w:sdt>
            <w:sdtPr>
              <w:rPr>
                <w:rFonts w:hint="eastAsia" w:ascii="方正小标宋_GBK" w:hAnsi="方正小标宋_GBK" w:eastAsia="方正小标宋_GBK" w:cs="方正小标宋_GBK"/>
                <w:b/>
                <w:bCs/>
                <w:sz w:val="28"/>
                <w:szCs w:val="28"/>
                <w:lang w:val="en-US" w:eastAsia="zh-CN"/>
              </w:rPr>
              <w:id w:val="147465077"/>
              <w:placeholder>
                <w:docPart w:val="{63fe3f8f-8082-4616-9137-9fed5dc503cf}"/>
              </w:placeholder>
            </w:sdtPr>
            <w:sdtEndPr>
              <w:rPr>
                <w:rFonts w:hint="eastAsia" w:ascii="方正小标宋_GBK" w:hAnsi="方正小标宋_GBK" w:eastAsia="方正小标宋_GBK" w:cs="方正小标宋_GBK"/>
                <w:b/>
                <w:bCs/>
                <w:sz w:val="28"/>
                <w:szCs w:val="28"/>
                <w:lang w:val="en-US" w:eastAsia="zh-CN"/>
              </w:rPr>
            </w:sdtEndPr>
            <w:sdtContent>
              <w:r>
                <w:rPr>
                  <w:rFonts w:hint="eastAsia" w:ascii="方正小标宋_GBK" w:hAnsi="方正小标宋_GBK" w:eastAsia="方正小标宋_GBK" w:cs="方正小标宋_GBK"/>
                  <w:b/>
                  <w:bCs/>
                  <w:sz w:val="28"/>
                  <w:szCs w:val="28"/>
                </w:rPr>
                <w:t>第五部分 附表</w:t>
              </w:r>
            </w:sdtContent>
          </w:sdt>
          <w:r>
            <w:rPr>
              <w:rFonts w:hint="eastAsia" w:ascii="方正小标宋_GBK" w:hAnsi="方正小标宋_GBK" w:eastAsia="方正小标宋_GBK" w:cs="方正小标宋_GBK"/>
              <w:b/>
              <w:bCs/>
              <w:sz w:val="28"/>
              <w:szCs w:val="28"/>
            </w:rPr>
            <w:tab/>
          </w:r>
          <w:bookmarkStart w:id="25" w:name="_Toc4107_WPSOffice_Level1Page"/>
          <w:r>
            <w:rPr>
              <w:rFonts w:hint="eastAsia" w:ascii="方正小标宋_GBK" w:hAnsi="方正小标宋_GBK" w:eastAsia="方正小标宋_GBK" w:cs="方正小标宋_GBK"/>
              <w:b/>
              <w:bCs/>
              <w:sz w:val="28"/>
              <w:szCs w:val="28"/>
            </w:rPr>
            <w:t>15</w:t>
          </w:r>
          <w:bookmarkEnd w:id="25"/>
          <w:r>
            <w:rPr>
              <w:rFonts w:hint="eastAsia" w:ascii="方正小标宋_GBK" w:hAnsi="方正小标宋_GBK" w:eastAsia="方正小标宋_GBK" w:cs="方正小标宋_GBK"/>
              <w:b/>
              <w:bCs/>
              <w:sz w:val="28"/>
              <w:szCs w:val="28"/>
            </w:rPr>
            <w:fldChar w:fldCharType="end"/>
          </w:r>
        </w:p>
        <w:p>
          <w:pPr>
            <w:pStyle w:val="37"/>
            <w:tabs>
              <w:tab w:val="right" w:leader="dot" w:pos="830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_Toc17666_WPSOffice_Level2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65077"/>
              <w:placeholder>
                <w:docPart w:val="{f486d615-51e2-4d09-b7ba-3694a200b25c}"/>
              </w:placeholder>
            </w:sdtPr>
            <w:sdtEndPr>
              <w:rPr>
                <w:rFonts w:hint="eastAsia" w:ascii="黑体" w:hAnsi="黑体" w:eastAsia="黑体" w:cs="黑体"/>
                <w:sz w:val="21"/>
                <w:szCs w:val="21"/>
                <w:lang w:val="en-US" w:eastAsia="zh-CN"/>
              </w:rPr>
            </w:sdtEndPr>
            <w:sdtContent>
              <w:r>
                <w:rPr>
                  <w:rFonts w:hint="eastAsia" w:ascii="黑体" w:hAnsi="黑体" w:eastAsia="黑体" w:cs="黑体"/>
                  <w:sz w:val="21"/>
                  <w:szCs w:val="21"/>
                </w:rPr>
                <w:t>一、收入支出决算总表</w:t>
              </w:r>
            </w:sdtContent>
          </w:sdt>
          <w:r>
            <w:rPr>
              <w:rFonts w:hint="eastAsia" w:ascii="黑体" w:hAnsi="黑体" w:eastAsia="黑体" w:cs="黑体"/>
              <w:sz w:val="21"/>
              <w:szCs w:val="21"/>
            </w:rPr>
            <w:tab/>
          </w:r>
          <w:bookmarkStart w:id="26" w:name="_Toc17666_WPSOffice_Level2Page"/>
          <w:r>
            <w:rPr>
              <w:rFonts w:hint="eastAsia" w:ascii="黑体" w:hAnsi="黑体" w:eastAsia="黑体" w:cs="黑体"/>
              <w:sz w:val="21"/>
              <w:szCs w:val="21"/>
            </w:rPr>
            <w:t>15</w:t>
          </w:r>
          <w:bookmarkEnd w:id="26"/>
          <w:r>
            <w:rPr>
              <w:rFonts w:hint="eastAsia" w:ascii="黑体" w:hAnsi="黑体" w:eastAsia="黑体" w:cs="黑体"/>
              <w:sz w:val="21"/>
              <w:szCs w:val="21"/>
            </w:rPr>
            <w:fldChar w:fldCharType="end"/>
          </w:r>
        </w:p>
        <w:p>
          <w:pPr>
            <w:pStyle w:val="37"/>
            <w:tabs>
              <w:tab w:val="right" w:leader="dot" w:pos="830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_Toc23152_WPSOffice_Level2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65077"/>
              <w:placeholder>
                <w:docPart w:val="{abc51062-490b-4bf1-aff9-7da3aba1d9d1}"/>
              </w:placeholder>
            </w:sdtPr>
            <w:sdtEndPr>
              <w:rPr>
                <w:rFonts w:hint="eastAsia" w:ascii="黑体" w:hAnsi="黑体" w:eastAsia="黑体" w:cs="黑体"/>
                <w:sz w:val="21"/>
                <w:szCs w:val="21"/>
                <w:lang w:val="en-US" w:eastAsia="zh-CN"/>
              </w:rPr>
            </w:sdtEndPr>
            <w:sdtContent>
              <w:r>
                <w:rPr>
                  <w:rFonts w:hint="eastAsia" w:ascii="黑体" w:hAnsi="黑体" w:eastAsia="黑体" w:cs="黑体"/>
                  <w:sz w:val="21"/>
                  <w:szCs w:val="21"/>
                </w:rPr>
                <w:t>二、收入决算表</w:t>
              </w:r>
            </w:sdtContent>
          </w:sdt>
          <w:r>
            <w:rPr>
              <w:rFonts w:hint="eastAsia" w:ascii="黑体" w:hAnsi="黑体" w:eastAsia="黑体" w:cs="黑体"/>
              <w:sz w:val="21"/>
              <w:szCs w:val="21"/>
            </w:rPr>
            <w:tab/>
          </w:r>
          <w:bookmarkStart w:id="27" w:name="_Toc23152_WPSOffice_Level2Page"/>
          <w:r>
            <w:rPr>
              <w:rFonts w:hint="eastAsia" w:ascii="黑体" w:hAnsi="黑体" w:eastAsia="黑体" w:cs="黑体"/>
              <w:sz w:val="21"/>
              <w:szCs w:val="21"/>
            </w:rPr>
            <w:t>15</w:t>
          </w:r>
          <w:bookmarkEnd w:id="27"/>
          <w:r>
            <w:rPr>
              <w:rFonts w:hint="eastAsia" w:ascii="黑体" w:hAnsi="黑体" w:eastAsia="黑体" w:cs="黑体"/>
              <w:sz w:val="21"/>
              <w:szCs w:val="21"/>
            </w:rPr>
            <w:fldChar w:fldCharType="end"/>
          </w:r>
        </w:p>
        <w:p>
          <w:pPr>
            <w:pStyle w:val="37"/>
            <w:tabs>
              <w:tab w:val="right" w:leader="dot" w:pos="830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_Toc1314_WPSOffice_Level2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65077"/>
              <w:placeholder>
                <w:docPart w:val="{4ea11fec-213c-45ed-896a-c50ccd5b6623}"/>
              </w:placeholder>
            </w:sdtPr>
            <w:sdtEndPr>
              <w:rPr>
                <w:rFonts w:hint="eastAsia" w:ascii="黑体" w:hAnsi="黑体" w:eastAsia="黑体" w:cs="黑体"/>
                <w:sz w:val="21"/>
                <w:szCs w:val="21"/>
                <w:lang w:val="en-US" w:eastAsia="zh-CN"/>
              </w:rPr>
            </w:sdtEndPr>
            <w:sdtContent>
              <w:r>
                <w:rPr>
                  <w:rFonts w:hint="eastAsia" w:ascii="黑体" w:hAnsi="黑体" w:eastAsia="黑体" w:cs="黑体"/>
                  <w:sz w:val="21"/>
                  <w:szCs w:val="21"/>
                </w:rPr>
                <w:t>三、支出决算表</w:t>
              </w:r>
            </w:sdtContent>
          </w:sdt>
          <w:r>
            <w:rPr>
              <w:rFonts w:hint="eastAsia" w:ascii="黑体" w:hAnsi="黑体" w:eastAsia="黑体" w:cs="黑体"/>
              <w:sz w:val="21"/>
              <w:szCs w:val="21"/>
            </w:rPr>
            <w:tab/>
          </w:r>
          <w:bookmarkStart w:id="28" w:name="_Toc1314_WPSOffice_Level2Page"/>
          <w:r>
            <w:rPr>
              <w:rFonts w:hint="eastAsia" w:ascii="黑体" w:hAnsi="黑体" w:eastAsia="黑体" w:cs="黑体"/>
              <w:sz w:val="21"/>
              <w:szCs w:val="21"/>
            </w:rPr>
            <w:t>15</w:t>
          </w:r>
          <w:bookmarkEnd w:id="28"/>
          <w:r>
            <w:rPr>
              <w:rFonts w:hint="eastAsia" w:ascii="黑体" w:hAnsi="黑体" w:eastAsia="黑体" w:cs="黑体"/>
              <w:sz w:val="21"/>
              <w:szCs w:val="21"/>
            </w:rPr>
            <w:fldChar w:fldCharType="end"/>
          </w:r>
        </w:p>
        <w:p>
          <w:pPr>
            <w:pStyle w:val="37"/>
            <w:tabs>
              <w:tab w:val="right" w:leader="dot" w:pos="830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_Toc9994_WPSOffice_Level2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65077"/>
              <w:placeholder>
                <w:docPart w:val="{655a877a-d750-4904-90b1-52eea887b361}"/>
              </w:placeholder>
            </w:sdtPr>
            <w:sdtEndPr>
              <w:rPr>
                <w:rFonts w:hint="eastAsia" w:ascii="黑体" w:hAnsi="黑体" w:eastAsia="黑体" w:cs="黑体"/>
                <w:sz w:val="21"/>
                <w:szCs w:val="21"/>
                <w:lang w:val="en-US" w:eastAsia="zh-CN"/>
              </w:rPr>
            </w:sdtEndPr>
            <w:sdtContent>
              <w:r>
                <w:rPr>
                  <w:rFonts w:hint="eastAsia" w:ascii="黑体" w:hAnsi="黑体" w:eastAsia="黑体" w:cs="黑体"/>
                  <w:sz w:val="21"/>
                  <w:szCs w:val="21"/>
                </w:rPr>
                <w:t>四、财政拨款收入支出决算总表</w:t>
              </w:r>
            </w:sdtContent>
          </w:sdt>
          <w:r>
            <w:rPr>
              <w:rFonts w:hint="eastAsia" w:ascii="黑体" w:hAnsi="黑体" w:eastAsia="黑体" w:cs="黑体"/>
              <w:sz w:val="21"/>
              <w:szCs w:val="21"/>
            </w:rPr>
            <w:tab/>
          </w:r>
          <w:bookmarkStart w:id="29" w:name="_Toc9994_WPSOffice_Level2Page"/>
          <w:r>
            <w:rPr>
              <w:rFonts w:hint="eastAsia" w:ascii="黑体" w:hAnsi="黑体" w:eastAsia="黑体" w:cs="黑体"/>
              <w:sz w:val="21"/>
              <w:szCs w:val="21"/>
            </w:rPr>
            <w:t>15</w:t>
          </w:r>
          <w:bookmarkEnd w:id="29"/>
          <w:r>
            <w:rPr>
              <w:rFonts w:hint="eastAsia" w:ascii="黑体" w:hAnsi="黑体" w:eastAsia="黑体" w:cs="黑体"/>
              <w:sz w:val="21"/>
              <w:szCs w:val="21"/>
            </w:rPr>
            <w:fldChar w:fldCharType="end"/>
          </w:r>
        </w:p>
        <w:p>
          <w:pPr>
            <w:pStyle w:val="37"/>
            <w:tabs>
              <w:tab w:val="right" w:leader="dot" w:pos="830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_Toc29326_WPSOffice_Level2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65077"/>
              <w:placeholder>
                <w:docPart w:val="{3ae8c119-efe4-4db5-b3d9-62a64f580713}"/>
              </w:placeholder>
            </w:sdtPr>
            <w:sdtEndPr>
              <w:rPr>
                <w:rFonts w:hint="eastAsia" w:ascii="黑体" w:hAnsi="黑体" w:eastAsia="黑体" w:cs="黑体"/>
                <w:sz w:val="21"/>
                <w:szCs w:val="21"/>
                <w:lang w:val="en-US" w:eastAsia="zh-CN"/>
              </w:rPr>
            </w:sdtEndPr>
            <w:sdtContent>
              <w:r>
                <w:rPr>
                  <w:rFonts w:hint="eastAsia" w:ascii="黑体" w:hAnsi="黑体" w:eastAsia="黑体" w:cs="黑体"/>
                  <w:sz w:val="21"/>
                  <w:szCs w:val="21"/>
                </w:rPr>
                <w:t>五、财政拨款支出决算明细表</w:t>
              </w:r>
            </w:sdtContent>
          </w:sdt>
          <w:r>
            <w:rPr>
              <w:rFonts w:hint="eastAsia" w:ascii="黑体" w:hAnsi="黑体" w:eastAsia="黑体" w:cs="黑体"/>
              <w:sz w:val="21"/>
              <w:szCs w:val="21"/>
            </w:rPr>
            <w:tab/>
          </w:r>
          <w:bookmarkStart w:id="30" w:name="_Toc29326_WPSOffice_Level2Page"/>
          <w:r>
            <w:rPr>
              <w:rFonts w:hint="eastAsia" w:ascii="黑体" w:hAnsi="黑体" w:eastAsia="黑体" w:cs="黑体"/>
              <w:sz w:val="21"/>
              <w:szCs w:val="21"/>
            </w:rPr>
            <w:t>15</w:t>
          </w:r>
          <w:bookmarkEnd w:id="30"/>
          <w:r>
            <w:rPr>
              <w:rFonts w:hint="eastAsia" w:ascii="黑体" w:hAnsi="黑体" w:eastAsia="黑体" w:cs="黑体"/>
              <w:sz w:val="21"/>
              <w:szCs w:val="21"/>
            </w:rPr>
            <w:fldChar w:fldCharType="end"/>
          </w:r>
        </w:p>
        <w:p>
          <w:pPr>
            <w:pStyle w:val="37"/>
            <w:tabs>
              <w:tab w:val="right" w:leader="dot" w:pos="830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_Toc30399_WPSOffice_Level2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65077"/>
              <w:placeholder>
                <w:docPart w:val="{63cbeb1a-bef7-471e-9d1d-1b55891beb3c}"/>
              </w:placeholder>
            </w:sdtPr>
            <w:sdtEndPr>
              <w:rPr>
                <w:rFonts w:hint="eastAsia" w:ascii="黑体" w:hAnsi="黑体" w:eastAsia="黑体" w:cs="黑体"/>
                <w:sz w:val="21"/>
                <w:szCs w:val="21"/>
                <w:lang w:val="en-US" w:eastAsia="zh-CN"/>
              </w:rPr>
            </w:sdtEndPr>
            <w:sdtContent>
              <w:r>
                <w:rPr>
                  <w:rFonts w:hint="eastAsia" w:ascii="黑体" w:hAnsi="黑体" w:eastAsia="黑体" w:cs="黑体"/>
                  <w:sz w:val="21"/>
                  <w:szCs w:val="21"/>
                </w:rPr>
                <w:t>六、一般公共预算财政拨款支出决算表</w:t>
              </w:r>
            </w:sdtContent>
          </w:sdt>
          <w:r>
            <w:rPr>
              <w:rFonts w:hint="eastAsia" w:ascii="黑体" w:hAnsi="黑体" w:eastAsia="黑体" w:cs="黑体"/>
              <w:sz w:val="21"/>
              <w:szCs w:val="21"/>
            </w:rPr>
            <w:tab/>
          </w:r>
          <w:bookmarkStart w:id="31" w:name="_Toc30399_WPSOffice_Level2Page"/>
          <w:r>
            <w:rPr>
              <w:rFonts w:hint="eastAsia" w:ascii="黑体" w:hAnsi="黑体" w:eastAsia="黑体" w:cs="黑体"/>
              <w:sz w:val="21"/>
              <w:szCs w:val="21"/>
            </w:rPr>
            <w:t>15</w:t>
          </w:r>
          <w:bookmarkEnd w:id="31"/>
          <w:r>
            <w:rPr>
              <w:rFonts w:hint="eastAsia" w:ascii="黑体" w:hAnsi="黑体" w:eastAsia="黑体" w:cs="黑体"/>
              <w:sz w:val="21"/>
              <w:szCs w:val="21"/>
            </w:rPr>
            <w:fldChar w:fldCharType="end"/>
          </w:r>
        </w:p>
        <w:p>
          <w:pPr>
            <w:pStyle w:val="37"/>
            <w:tabs>
              <w:tab w:val="right" w:leader="dot" w:pos="830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_Toc1702_WPSOffice_Level2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65077"/>
              <w:placeholder>
                <w:docPart w:val="{696c4676-25c0-4018-9ce9-0aed045b23b5}"/>
              </w:placeholder>
            </w:sdtPr>
            <w:sdtEndPr>
              <w:rPr>
                <w:rFonts w:hint="eastAsia" w:ascii="黑体" w:hAnsi="黑体" w:eastAsia="黑体" w:cs="黑体"/>
                <w:sz w:val="21"/>
                <w:szCs w:val="21"/>
                <w:lang w:val="en-US" w:eastAsia="zh-CN"/>
              </w:rPr>
            </w:sdtEndPr>
            <w:sdtContent>
              <w:r>
                <w:rPr>
                  <w:rFonts w:hint="eastAsia" w:ascii="黑体" w:hAnsi="黑体" w:eastAsia="黑体" w:cs="黑体"/>
                  <w:sz w:val="21"/>
                  <w:szCs w:val="21"/>
                </w:rPr>
                <w:t>七、一般公共预算财政拨款支出决算明细表</w:t>
              </w:r>
            </w:sdtContent>
          </w:sdt>
          <w:r>
            <w:rPr>
              <w:rFonts w:hint="eastAsia" w:ascii="黑体" w:hAnsi="黑体" w:eastAsia="黑体" w:cs="黑体"/>
              <w:sz w:val="21"/>
              <w:szCs w:val="21"/>
            </w:rPr>
            <w:tab/>
          </w:r>
          <w:bookmarkStart w:id="32" w:name="_Toc1702_WPSOffice_Level2Page"/>
          <w:r>
            <w:rPr>
              <w:rFonts w:hint="eastAsia" w:ascii="黑体" w:hAnsi="黑体" w:eastAsia="黑体" w:cs="黑体"/>
              <w:sz w:val="21"/>
              <w:szCs w:val="21"/>
            </w:rPr>
            <w:t>15</w:t>
          </w:r>
          <w:bookmarkEnd w:id="32"/>
          <w:r>
            <w:rPr>
              <w:rFonts w:hint="eastAsia" w:ascii="黑体" w:hAnsi="黑体" w:eastAsia="黑体" w:cs="黑体"/>
              <w:sz w:val="21"/>
              <w:szCs w:val="21"/>
            </w:rPr>
            <w:fldChar w:fldCharType="end"/>
          </w:r>
        </w:p>
        <w:p>
          <w:pPr>
            <w:pStyle w:val="37"/>
            <w:tabs>
              <w:tab w:val="right" w:leader="dot" w:pos="830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_Toc20335_WPSOffice_Level2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65077"/>
              <w:placeholder>
                <w:docPart w:val="{08c0ee1b-d637-4855-9a36-d6c513aa110a}"/>
              </w:placeholder>
            </w:sdtPr>
            <w:sdtEndPr>
              <w:rPr>
                <w:rFonts w:hint="eastAsia" w:ascii="黑体" w:hAnsi="黑体" w:eastAsia="黑体" w:cs="黑体"/>
                <w:sz w:val="21"/>
                <w:szCs w:val="21"/>
                <w:lang w:val="en-US" w:eastAsia="zh-CN"/>
              </w:rPr>
            </w:sdtEndPr>
            <w:sdtContent>
              <w:r>
                <w:rPr>
                  <w:rFonts w:hint="eastAsia" w:ascii="黑体" w:hAnsi="黑体" w:eastAsia="黑体" w:cs="黑体"/>
                  <w:sz w:val="21"/>
                  <w:szCs w:val="21"/>
                </w:rPr>
                <w:t>八、一般公共预算财政拨款基本支出决算表</w:t>
              </w:r>
            </w:sdtContent>
          </w:sdt>
          <w:r>
            <w:rPr>
              <w:rFonts w:hint="eastAsia" w:ascii="黑体" w:hAnsi="黑体" w:eastAsia="黑体" w:cs="黑体"/>
              <w:sz w:val="21"/>
              <w:szCs w:val="21"/>
            </w:rPr>
            <w:tab/>
          </w:r>
          <w:bookmarkStart w:id="33" w:name="_Toc20335_WPSOffice_Level2Page"/>
          <w:r>
            <w:rPr>
              <w:rFonts w:hint="eastAsia" w:ascii="黑体" w:hAnsi="黑体" w:eastAsia="黑体" w:cs="黑体"/>
              <w:sz w:val="21"/>
              <w:szCs w:val="21"/>
            </w:rPr>
            <w:t>15</w:t>
          </w:r>
          <w:bookmarkEnd w:id="33"/>
          <w:r>
            <w:rPr>
              <w:rFonts w:hint="eastAsia" w:ascii="黑体" w:hAnsi="黑体" w:eastAsia="黑体" w:cs="黑体"/>
              <w:sz w:val="21"/>
              <w:szCs w:val="21"/>
            </w:rPr>
            <w:fldChar w:fldCharType="end"/>
          </w:r>
        </w:p>
        <w:p>
          <w:pPr>
            <w:pStyle w:val="37"/>
            <w:tabs>
              <w:tab w:val="right" w:leader="dot" w:pos="830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_Toc25029_WPSOffice_Level2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65077"/>
              <w:placeholder>
                <w:docPart w:val="{a24430c9-a4be-4b56-b917-56b3f8ea6a24}"/>
              </w:placeholder>
            </w:sdtPr>
            <w:sdtEndPr>
              <w:rPr>
                <w:rFonts w:hint="eastAsia" w:ascii="黑体" w:hAnsi="黑体" w:eastAsia="黑体" w:cs="黑体"/>
                <w:sz w:val="21"/>
                <w:szCs w:val="21"/>
                <w:lang w:val="en-US" w:eastAsia="zh-CN"/>
              </w:rPr>
            </w:sdtEndPr>
            <w:sdtContent>
              <w:r>
                <w:rPr>
                  <w:rFonts w:hint="eastAsia" w:ascii="黑体" w:hAnsi="黑体" w:eastAsia="黑体" w:cs="黑体"/>
                  <w:sz w:val="21"/>
                  <w:szCs w:val="21"/>
                </w:rPr>
                <w:t>九、一般公共预算财政拨款项目支出决算表</w:t>
              </w:r>
            </w:sdtContent>
          </w:sdt>
          <w:r>
            <w:rPr>
              <w:rFonts w:hint="eastAsia" w:ascii="黑体" w:hAnsi="黑体" w:eastAsia="黑体" w:cs="黑体"/>
              <w:sz w:val="21"/>
              <w:szCs w:val="21"/>
            </w:rPr>
            <w:tab/>
          </w:r>
          <w:bookmarkStart w:id="34" w:name="_Toc25029_WPSOffice_Level2Page"/>
          <w:r>
            <w:rPr>
              <w:rFonts w:hint="eastAsia" w:ascii="黑体" w:hAnsi="黑体" w:eastAsia="黑体" w:cs="黑体"/>
              <w:sz w:val="21"/>
              <w:szCs w:val="21"/>
            </w:rPr>
            <w:t>15</w:t>
          </w:r>
          <w:bookmarkEnd w:id="34"/>
          <w:r>
            <w:rPr>
              <w:rFonts w:hint="eastAsia" w:ascii="黑体" w:hAnsi="黑体" w:eastAsia="黑体" w:cs="黑体"/>
              <w:sz w:val="21"/>
              <w:szCs w:val="21"/>
            </w:rPr>
            <w:fldChar w:fldCharType="end"/>
          </w:r>
        </w:p>
        <w:p>
          <w:pPr>
            <w:pStyle w:val="37"/>
            <w:tabs>
              <w:tab w:val="right" w:leader="dot" w:pos="830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_Toc8737_WPSOffice_Level2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65077"/>
              <w:placeholder>
                <w:docPart w:val="{a84ec125-3267-4326-ad36-36bd25a394af}"/>
              </w:placeholder>
            </w:sdtPr>
            <w:sdtEndPr>
              <w:rPr>
                <w:rFonts w:hint="eastAsia" w:ascii="黑体" w:hAnsi="黑体" w:eastAsia="黑体" w:cs="黑体"/>
                <w:sz w:val="21"/>
                <w:szCs w:val="21"/>
                <w:lang w:val="en-US" w:eastAsia="zh-CN"/>
              </w:rPr>
            </w:sdtEndPr>
            <w:sdtContent>
              <w:r>
                <w:rPr>
                  <w:rFonts w:hint="eastAsia" w:ascii="黑体" w:hAnsi="黑体" w:eastAsia="黑体" w:cs="黑体"/>
                  <w:sz w:val="21"/>
                  <w:szCs w:val="21"/>
                </w:rPr>
                <w:t>十、政府性基金预算财政拨款收入支出决算表</w:t>
              </w:r>
            </w:sdtContent>
          </w:sdt>
          <w:r>
            <w:rPr>
              <w:rFonts w:hint="eastAsia" w:ascii="黑体" w:hAnsi="黑体" w:eastAsia="黑体" w:cs="黑体"/>
              <w:sz w:val="21"/>
              <w:szCs w:val="21"/>
            </w:rPr>
            <w:tab/>
          </w:r>
          <w:bookmarkStart w:id="35" w:name="_Toc8737_WPSOffice_Level2Page"/>
          <w:r>
            <w:rPr>
              <w:rFonts w:hint="eastAsia" w:ascii="黑体" w:hAnsi="黑体" w:eastAsia="黑体" w:cs="黑体"/>
              <w:sz w:val="21"/>
              <w:szCs w:val="21"/>
            </w:rPr>
            <w:t>15</w:t>
          </w:r>
          <w:bookmarkEnd w:id="35"/>
          <w:r>
            <w:rPr>
              <w:rFonts w:hint="eastAsia" w:ascii="黑体" w:hAnsi="黑体" w:eastAsia="黑体" w:cs="黑体"/>
              <w:sz w:val="21"/>
              <w:szCs w:val="21"/>
            </w:rPr>
            <w:fldChar w:fldCharType="end"/>
          </w:r>
        </w:p>
        <w:p>
          <w:pPr>
            <w:pStyle w:val="37"/>
            <w:tabs>
              <w:tab w:val="right" w:leader="dot" w:pos="830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_Toc674_WPSOffice_Level2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65077"/>
              <w:placeholder>
                <w:docPart w:val="{c2aa0cc7-a0f5-44dd-a8cc-f4dca26efa17}"/>
              </w:placeholder>
            </w:sdtPr>
            <w:sdtEndPr>
              <w:rPr>
                <w:rFonts w:hint="eastAsia" w:ascii="黑体" w:hAnsi="黑体" w:eastAsia="黑体" w:cs="黑体"/>
                <w:sz w:val="21"/>
                <w:szCs w:val="21"/>
                <w:lang w:val="en-US" w:eastAsia="zh-CN"/>
              </w:rPr>
            </w:sdtEndPr>
            <w:sdtContent>
              <w:r>
                <w:rPr>
                  <w:rFonts w:hint="eastAsia" w:ascii="黑体" w:hAnsi="黑体" w:eastAsia="黑体" w:cs="黑体"/>
                  <w:sz w:val="21"/>
                  <w:szCs w:val="21"/>
                </w:rPr>
                <w:t>十一、国有资本经营预算财政拨款收入支出决算表</w:t>
              </w:r>
            </w:sdtContent>
          </w:sdt>
          <w:r>
            <w:rPr>
              <w:rFonts w:hint="eastAsia" w:ascii="黑体" w:hAnsi="黑体" w:eastAsia="黑体" w:cs="黑体"/>
              <w:sz w:val="21"/>
              <w:szCs w:val="21"/>
            </w:rPr>
            <w:tab/>
          </w:r>
          <w:bookmarkStart w:id="36" w:name="_Toc674_WPSOffice_Level2Page"/>
          <w:r>
            <w:rPr>
              <w:rFonts w:hint="eastAsia" w:ascii="黑体" w:hAnsi="黑体" w:eastAsia="黑体" w:cs="黑体"/>
              <w:sz w:val="21"/>
              <w:szCs w:val="21"/>
            </w:rPr>
            <w:t>15</w:t>
          </w:r>
          <w:bookmarkEnd w:id="36"/>
          <w:r>
            <w:rPr>
              <w:rFonts w:hint="eastAsia" w:ascii="黑体" w:hAnsi="黑体" w:eastAsia="黑体" w:cs="黑体"/>
              <w:sz w:val="21"/>
              <w:szCs w:val="21"/>
            </w:rPr>
            <w:fldChar w:fldCharType="end"/>
          </w:r>
        </w:p>
        <w:p>
          <w:pPr>
            <w:pStyle w:val="37"/>
            <w:tabs>
              <w:tab w:val="right" w:leader="dot" w:pos="830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_Toc9550_WPSOffice_Level2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65077"/>
              <w:placeholder>
                <w:docPart w:val="{e64ef51d-2ba7-43a9-9946-1ea584248cd7}"/>
              </w:placeholder>
            </w:sdtPr>
            <w:sdtEndPr>
              <w:rPr>
                <w:rFonts w:hint="eastAsia" w:ascii="黑体" w:hAnsi="黑体" w:eastAsia="黑体" w:cs="黑体"/>
                <w:sz w:val="21"/>
                <w:szCs w:val="21"/>
                <w:lang w:val="en-US" w:eastAsia="zh-CN"/>
              </w:rPr>
            </w:sdtEndPr>
            <w:sdtContent>
              <w:r>
                <w:rPr>
                  <w:rFonts w:hint="eastAsia" w:ascii="黑体" w:hAnsi="黑体" w:eastAsia="黑体" w:cs="黑体"/>
                  <w:sz w:val="21"/>
                  <w:szCs w:val="21"/>
                </w:rPr>
                <w:t>十二、国有资本经营预算财政拨款支出决算表</w:t>
              </w:r>
            </w:sdtContent>
          </w:sdt>
          <w:r>
            <w:rPr>
              <w:rFonts w:hint="eastAsia" w:ascii="黑体" w:hAnsi="黑体" w:eastAsia="黑体" w:cs="黑体"/>
              <w:sz w:val="21"/>
              <w:szCs w:val="21"/>
            </w:rPr>
            <w:tab/>
          </w:r>
          <w:bookmarkStart w:id="37" w:name="_Toc9550_WPSOffice_Level2Page"/>
          <w:r>
            <w:rPr>
              <w:rFonts w:hint="eastAsia" w:ascii="黑体" w:hAnsi="黑体" w:eastAsia="黑体" w:cs="黑体"/>
              <w:sz w:val="21"/>
              <w:szCs w:val="21"/>
            </w:rPr>
            <w:t>15</w:t>
          </w:r>
          <w:bookmarkEnd w:id="37"/>
          <w:r>
            <w:rPr>
              <w:rFonts w:hint="eastAsia" w:ascii="黑体" w:hAnsi="黑体" w:eastAsia="黑体" w:cs="黑体"/>
              <w:sz w:val="21"/>
              <w:szCs w:val="21"/>
            </w:rPr>
            <w:fldChar w:fldCharType="end"/>
          </w:r>
        </w:p>
        <w:p>
          <w:pPr>
            <w:pStyle w:val="37"/>
            <w:tabs>
              <w:tab w:val="right" w:leader="dot" w:pos="8306"/>
            </w:tabs>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_Toc13805_WPSOffice_Level2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65077"/>
              <w:placeholder>
                <w:docPart w:val="{226863d1-a20a-461d-b9bb-259b292d1ddc}"/>
              </w:placeholder>
            </w:sdtPr>
            <w:sdtEndPr>
              <w:rPr>
                <w:rFonts w:hint="eastAsia" w:ascii="黑体" w:hAnsi="黑体" w:eastAsia="黑体" w:cs="黑体"/>
                <w:sz w:val="21"/>
                <w:szCs w:val="21"/>
                <w:lang w:val="en-US" w:eastAsia="zh-CN"/>
              </w:rPr>
            </w:sdtEndPr>
            <w:sdtContent>
              <w:r>
                <w:rPr>
                  <w:rFonts w:hint="eastAsia" w:ascii="黑体" w:hAnsi="黑体" w:eastAsia="黑体" w:cs="黑体"/>
                  <w:sz w:val="21"/>
                  <w:szCs w:val="21"/>
                </w:rPr>
                <w:t>十三、财政拨款“三公”经费支出决算表</w:t>
              </w:r>
            </w:sdtContent>
          </w:sdt>
          <w:r>
            <w:rPr>
              <w:rFonts w:hint="eastAsia" w:ascii="黑体" w:hAnsi="黑体" w:eastAsia="黑体" w:cs="黑体"/>
              <w:sz w:val="21"/>
              <w:szCs w:val="21"/>
            </w:rPr>
            <w:tab/>
          </w:r>
          <w:bookmarkStart w:id="38" w:name="_Toc13805_WPSOffice_Level2Page"/>
          <w:r>
            <w:rPr>
              <w:rFonts w:hint="eastAsia" w:ascii="黑体" w:hAnsi="黑体" w:eastAsia="黑体" w:cs="黑体"/>
              <w:sz w:val="21"/>
              <w:szCs w:val="21"/>
            </w:rPr>
            <w:t>15</w:t>
          </w:r>
          <w:bookmarkEnd w:id="38"/>
          <w:r>
            <w:rPr>
              <w:rFonts w:hint="eastAsia" w:ascii="黑体" w:hAnsi="黑体" w:eastAsia="黑体" w:cs="黑体"/>
              <w:sz w:val="21"/>
              <w:szCs w:val="21"/>
            </w:rPr>
            <w:fldChar w:fldCharType="end"/>
          </w:r>
          <w:bookmarkEnd w:id="8"/>
        </w:p>
      </w:sdtContent>
    </w:sdt>
    <w:p>
      <w:pPr>
        <w:pStyle w:val="14"/>
        <w:adjustRightInd w:val="0"/>
        <w:snapToGrid w:val="0"/>
        <w:spacing w:line="560" w:lineRule="exact"/>
        <w:ind w:left="0" w:leftChars="0" w:firstLine="562" w:firstLineChars="200"/>
        <w:jc w:val="left"/>
        <w:rPr>
          <w:rFonts w:eastAsia="仿宋_GB2312" w:cs="仿宋_GB2312"/>
          <w:b/>
          <w:bCs/>
          <w:sz w:val="28"/>
          <w:szCs w:val="28"/>
        </w:rPr>
      </w:pPr>
    </w:p>
    <w:p>
      <w:pPr>
        <w:pStyle w:val="3"/>
        <w:jc w:val="center"/>
        <w:rPr>
          <w:rFonts w:hint="eastAsia" w:eastAsia="方正小标宋简体" w:cs="方正小标宋简体"/>
          <w:b w:val="0"/>
        </w:rPr>
        <w:sectPr>
          <w:footerReference r:id="rId8" w:type="first"/>
          <w:headerReference r:id="rId6" w:type="default"/>
          <w:footerReference r:id="rId7" w:type="default"/>
          <w:pgSz w:w="11906" w:h="16838"/>
          <w:pgMar w:top="1440" w:right="1800" w:bottom="1440" w:left="1800" w:header="851" w:footer="992" w:gutter="0"/>
          <w:pgNumType w:fmt="numberInDash" w:start="1"/>
          <w:cols w:space="425" w:num="1"/>
          <w:titlePg/>
          <w:docGrid w:type="lines" w:linePitch="312" w:charSpace="0"/>
        </w:sectPr>
      </w:pPr>
    </w:p>
    <w:p>
      <w:pPr>
        <w:pStyle w:val="3"/>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小标宋简体" w:cs="Times New Roman"/>
          <w:b w:val="0"/>
        </w:rPr>
      </w:pPr>
      <w:bookmarkStart w:id="39" w:name="_Toc20300_WPSOffice_Level1"/>
      <w:r>
        <w:rPr>
          <w:rFonts w:hint="eastAsia" w:ascii="Times New Roman" w:hAnsi="Times New Roman" w:eastAsia="方正小标宋简体" w:cs="Times New Roman"/>
          <w:b w:val="0"/>
        </w:rPr>
        <w:t>第一部分  单位概况</w:t>
      </w:r>
      <w:bookmarkEnd w:id="39"/>
    </w:p>
    <w:p>
      <w:pPr>
        <w:pStyle w:val="4"/>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textAlignment w:val="auto"/>
        <w:rPr>
          <w:rStyle w:val="29"/>
          <w:rFonts w:hint="default" w:ascii="Times New Roman" w:hAnsi="Times New Roman" w:eastAsia="黑体" w:cs="Times New Roman"/>
          <w:b w:val="0"/>
          <w:bCs w:val="0"/>
        </w:rPr>
      </w:pPr>
      <w:bookmarkStart w:id="40" w:name="_Toc5777_WPSOffice_Level2"/>
      <w:r>
        <w:rPr>
          <w:rStyle w:val="29"/>
          <w:rFonts w:hint="eastAsia" w:ascii="Times New Roman" w:hAnsi="Times New Roman" w:eastAsia="黑体" w:cs="Times New Roman"/>
          <w:b w:val="0"/>
          <w:bCs w:val="0"/>
        </w:rPr>
        <w:t>主要职责</w:t>
      </w:r>
      <w:bookmarkEnd w:id="40"/>
    </w:p>
    <w:bookmarkEnd w:id="0"/>
    <w:bookmarkEnd w:id="1"/>
    <w:bookmarkEnd w:id="2"/>
    <w:bookmarkEnd w:id="3"/>
    <w:bookmarkEnd w:id="4"/>
    <w:bookmarkEnd w:id="5"/>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1"/>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职能：实施小学义务教育工作，促进基础教育发展，小学教育等相关社会服务。</w:t>
      </w:r>
    </w:p>
    <w:p>
      <w:pPr>
        <w:pStyle w:val="4"/>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textAlignment w:val="auto"/>
        <w:rPr>
          <w:rStyle w:val="29"/>
          <w:rFonts w:hint="eastAsia" w:ascii="Times New Roman" w:hAnsi="Times New Roman" w:eastAsia="黑体" w:cs="Times New Roman"/>
          <w:b w:val="0"/>
          <w:bCs w:val="0"/>
        </w:rPr>
      </w:pPr>
      <w:bookmarkStart w:id="41" w:name="_Toc25020_WPSOffice_Level2"/>
      <w:r>
        <w:rPr>
          <w:rStyle w:val="29"/>
          <w:rFonts w:hint="eastAsia" w:ascii="Times New Roman" w:hAnsi="Times New Roman" w:eastAsia="黑体" w:cs="Times New Roman"/>
          <w:b w:val="0"/>
          <w:bCs w:val="0"/>
        </w:rPr>
        <w:t>机构设置</w:t>
      </w:r>
      <w:bookmarkEnd w:id="41"/>
    </w:p>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1"/>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盐边县渔门镇中心学校是盐边县教育和体育局下属独立核算事业单位，单位性质为财政补助事业单位，属于公益一类事业单位，执行事业单位会计制度。</w:t>
      </w:r>
    </w:p>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1"/>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现学校内设教学班64个，在校生人数2394人，住校生  211人，随班就读13人。2024年末单位财政供养人数187人，其中：在职人员187人（副高35人，中级84人，助理68人），退休人员64人，遗属9人。</w:t>
      </w:r>
    </w:p>
    <w:p>
      <w:pPr>
        <w:pStyle w:val="3"/>
        <w:pageBreakBefore w:val="0"/>
        <w:widowControl w:val="0"/>
        <w:kinsoku/>
        <w:wordWrap/>
        <w:overflowPunct/>
        <w:topLinePunct w:val="0"/>
        <w:autoSpaceDE/>
        <w:autoSpaceDN/>
        <w:bidi w:val="0"/>
        <w:adjustRightInd/>
        <w:snapToGrid/>
        <w:spacing w:before="0" w:after="0"/>
        <w:jc w:val="center"/>
        <w:textAlignment w:val="auto"/>
        <w:rPr>
          <w:rFonts w:hint="eastAsia" w:ascii="Times New Roman" w:hAnsi="Times New Roman" w:eastAsia="方正小标宋简体" w:cs="方正小标宋简体"/>
          <w:b w:val="0"/>
          <w:color w:val="auto"/>
          <w:highlight w:val="none"/>
        </w:rPr>
      </w:pPr>
    </w:p>
    <w:p>
      <w:pPr>
        <w:pageBreakBefore w:val="0"/>
        <w:widowControl w:val="0"/>
        <w:kinsoku/>
        <w:wordWrap/>
        <w:overflowPunct/>
        <w:topLinePunct w:val="0"/>
        <w:autoSpaceDE/>
        <w:autoSpaceDN/>
        <w:bidi w:val="0"/>
        <w:adjustRightInd/>
        <w:snapToGrid/>
        <w:textAlignment w:val="auto"/>
        <w:rPr>
          <w:rFonts w:hint="eastAsia"/>
        </w:rPr>
      </w:pPr>
    </w:p>
    <w:p>
      <w:pPr>
        <w:pStyle w:val="3"/>
        <w:jc w:val="center"/>
        <w:rPr>
          <w:rFonts w:hint="eastAsia" w:ascii="Times New Roman" w:hAnsi="Times New Roman" w:eastAsia="方正小标宋简体" w:cs="方正小标宋简体"/>
          <w:b w:val="0"/>
          <w:color w:val="auto"/>
          <w:highlight w:val="none"/>
        </w:rPr>
      </w:pPr>
    </w:p>
    <w:p>
      <w:pPr>
        <w:pStyle w:val="3"/>
        <w:jc w:val="center"/>
        <w:rPr>
          <w:rFonts w:hint="eastAsia" w:ascii="Times New Roman" w:hAnsi="Times New Roman" w:eastAsia="方正小标宋简体" w:cs="方正小标宋简体"/>
          <w:b w:val="0"/>
          <w:color w:val="auto"/>
          <w:highlight w:val="none"/>
        </w:rPr>
      </w:pPr>
    </w:p>
    <w:p>
      <w:pPr>
        <w:rPr>
          <w:rFonts w:hint="eastAsia"/>
        </w:rPr>
      </w:pPr>
    </w:p>
    <w:p>
      <w:pPr>
        <w:pStyle w:val="3"/>
        <w:keepNext/>
        <w:keepLines/>
        <w:pageBreakBefore w:val="0"/>
        <w:widowControl w:val="0"/>
        <w:kinsoku/>
        <w:wordWrap/>
        <w:overflowPunct/>
        <w:topLinePunct w:val="0"/>
        <w:autoSpaceDE/>
        <w:autoSpaceDN/>
        <w:bidi w:val="0"/>
        <w:adjustRightInd/>
        <w:snapToGrid/>
        <w:spacing w:before="0" w:after="0" w:line="579" w:lineRule="auto"/>
        <w:jc w:val="center"/>
        <w:textAlignment w:val="auto"/>
        <w:rPr>
          <w:rFonts w:hint="eastAsia" w:ascii="Times New Roman" w:hAnsi="Times New Roman" w:eastAsia="方正小标宋简体" w:cs="方正小标宋简体"/>
          <w:b w:val="0"/>
          <w:color w:val="auto"/>
          <w:highlight w:val="none"/>
        </w:rPr>
      </w:pPr>
    </w:p>
    <w:p>
      <w:pPr>
        <w:rPr>
          <w:rFonts w:hint="eastAsia"/>
        </w:rPr>
      </w:pPr>
    </w:p>
    <w:p>
      <w:pPr>
        <w:pStyle w:val="3"/>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auto"/>
          <w:highlight w:val="none"/>
        </w:rPr>
      </w:pPr>
      <w:bookmarkStart w:id="42" w:name="_Toc5777_WPSOffice_Level1"/>
      <w:r>
        <w:rPr>
          <w:rFonts w:hint="eastAsia" w:ascii="Times New Roman" w:hAnsi="Times New Roman" w:eastAsia="方正小标宋简体" w:cs="Times New Roman"/>
          <w:b w:val="0"/>
          <w:lang w:val="en-US" w:eastAsia="zh-CN"/>
        </w:rPr>
        <w:t>第二部分  2024年度部门决算情况说明</w:t>
      </w:r>
      <w:bookmarkEnd w:id="6"/>
      <w:bookmarkEnd w:id="7"/>
      <w:bookmarkEnd w:id="42"/>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outlineLvl w:val="0"/>
        <w:rPr>
          <w:rFonts w:hint="eastAsia" w:ascii="Times New Roman" w:hAnsi="Times New Roman" w:eastAsia="黑体" w:cs="Times New Roman"/>
          <w:color w:val="auto"/>
          <w:sz w:val="32"/>
          <w:szCs w:val="32"/>
          <w:highlight w:val="none"/>
          <w:lang w:eastAsia="zh-CN"/>
        </w:rPr>
      </w:pPr>
      <w:bookmarkStart w:id="43" w:name="_Toc15396603"/>
      <w:bookmarkStart w:id="44" w:name="_Toc15377205"/>
      <w:bookmarkStart w:id="45" w:name="_Toc12008_WPSOffice_Level2"/>
      <w:r>
        <w:rPr>
          <w:rFonts w:hint="eastAsia" w:ascii="Times New Roman" w:hAnsi="Times New Roman" w:eastAsia="黑体" w:cs="Times New Roman"/>
          <w:color w:val="auto"/>
          <w:sz w:val="32"/>
          <w:szCs w:val="32"/>
          <w:highlight w:val="none"/>
          <w:lang w:eastAsia="zh-CN"/>
        </w:rPr>
        <w:t>一、收入支出决算总体情况说明</w:t>
      </w:r>
      <w:bookmarkEnd w:id="43"/>
      <w:bookmarkEnd w:id="44"/>
      <w:bookmarkEnd w:id="45"/>
    </w:p>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1"/>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eastAsia="zh-CN"/>
        </w:rPr>
        <w:t>2024年度收入、支出总计均为3963.56万元。与202</w:t>
      </w:r>
      <w:r>
        <w:rPr>
          <w:rFonts w:hint="eastAsia" w:ascii="Times New Roman" w:hAnsi="Times New Roman" w:eastAsia="方正仿宋_GBK" w:cs="Times New Roman"/>
          <w:color w:val="auto"/>
          <w:sz w:val="32"/>
          <w:szCs w:val="32"/>
          <w:highlight w:val="none"/>
          <w:lang w:val="en-US" w:eastAsia="zh-CN"/>
        </w:rPr>
        <w:t>3</w:t>
      </w:r>
      <w:r>
        <w:rPr>
          <w:rFonts w:hint="eastAsia" w:ascii="Times New Roman" w:hAnsi="Times New Roman" w:eastAsia="方正仿宋_GBK" w:cs="Times New Roman"/>
          <w:color w:val="auto"/>
          <w:sz w:val="32"/>
          <w:szCs w:val="32"/>
          <w:highlight w:val="none"/>
          <w:lang w:eastAsia="zh-CN"/>
        </w:rPr>
        <w:t>年度相比（</w:t>
      </w:r>
      <w:r>
        <w:rPr>
          <w:rFonts w:hint="eastAsia" w:ascii="Times New Roman" w:hAnsi="Times New Roman" w:eastAsia="方正仿宋_GBK" w:cs="Times New Roman"/>
          <w:color w:val="auto"/>
          <w:sz w:val="32"/>
          <w:szCs w:val="32"/>
          <w:highlight w:val="none"/>
          <w:lang w:val="en-US" w:eastAsia="zh-CN"/>
        </w:rPr>
        <w:t>2023年度4120.90万元</w:t>
      </w:r>
      <w:r>
        <w:rPr>
          <w:rFonts w:hint="eastAsia" w:ascii="Times New Roman" w:hAnsi="Times New Roman" w:eastAsia="方正仿宋_GBK" w:cs="Times New Roman"/>
          <w:color w:val="auto"/>
          <w:sz w:val="32"/>
          <w:szCs w:val="32"/>
          <w:highlight w:val="none"/>
          <w:lang w:eastAsia="zh-CN"/>
        </w:rPr>
        <w:t>），收入、支出总计各减少157.34万元，下降</w:t>
      </w:r>
      <w:r>
        <w:rPr>
          <w:rFonts w:hint="eastAsia" w:ascii="Times New Roman" w:hAnsi="Times New Roman" w:eastAsia="方正仿宋_GBK" w:cs="Times New Roman"/>
          <w:color w:val="auto"/>
          <w:sz w:val="32"/>
          <w:szCs w:val="32"/>
          <w:highlight w:val="none"/>
          <w:lang w:val="en-US" w:eastAsia="zh-CN"/>
        </w:rPr>
        <w:t>3.82</w:t>
      </w:r>
      <w:r>
        <w:rPr>
          <w:rFonts w:hint="eastAsia" w:ascii="Times New Roman" w:hAnsi="Times New Roman" w:eastAsia="方正仿宋_GBK" w:cs="Times New Roman"/>
          <w:color w:val="auto"/>
          <w:sz w:val="32"/>
          <w:szCs w:val="32"/>
          <w:highlight w:val="none"/>
          <w:lang w:eastAsia="zh-CN"/>
        </w:rPr>
        <w:t>%。主要变动原因是</w:t>
      </w:r>
      <w:r>
        <w:rPr>
          <w:rFonts w:hint="eastAsia" w:ascii="Times New Roman" w:hAnsi="Times New Roman" w:eastAsia="方正仿宋_GBK" w:cs="Times New Roman"/>
          <w:color w:val="auto"/>
          <w:sz w:val="32"/>
          <w:szCs w:val="32"/>
          <w:highlight w:val="none"/>
          <w:lang w:val="en-US" w:eastAsia="zh-CN"/>
        </w:rPr>
        <w:t>本年度新增</w:t>
      </w:r>
      <w:r>
        <w:rPr>
          <w:rFonts w:hint="eastAsia" w:ascii="Times New Roman" w:hAnsi="Times New Roman" w:eastAsia="方正仿宋_GBK" w:cs="Times New Roman"/>
          <w:color w:val="auto"/>
          <w:sz w:val="32"/>
          <w:szCs w:val="32"/>
          <w:highlight w:val="none"/>
          <w:lang w:eastAsia="zh-CN"/>
        </w:rPr>
        <w:t>退休</w:t>
      </w:r>
      <w:r>
        <w:rPr>
          <w:rFonts w:hint="eastAsia" w:ascii="Times New Roman" w:hAnsi="Times New Roman" w:eastAsia="方正仿宋_GBK" w:cs="Times New Roman"/>
          <w:color w:val="auto"/>
          <w:sz w:val="32"/>
          <w:szCs w:val="32"/>
          <w:highlight w:val="none"/>
          <w:lang w:val="en-US" w:eastAsia="zh-CN"/>
        </w:rPr>
        <w:t>人员</w:t>
      </w:r>
      <w:r>
        <w:rPr>
          <w:rFonts w:hint="eastAsia" w:ascii="Times New Roman" w:hAnsi="Times New Roman" w:eastAsia="方正仿宋_GBK" w:cs="Times New Roman"/>
          <w:color w:val="auto"/>
          <w:sz w:val="32"/>
          <w:szCs w:val="32"/>
          <w:highlight w:val="none"/>
          <w:lang w:eastAsia="zh-CN"/>
        </w:rPr>
        <w:t>4人，新进</w:t>
      </w:r>
      <w:r>
        <w:rPr>
          <w:rFonts w:hint="eastAsia" w:ascii="Times New Roman" w:hAnsi="Times New Roman" w:eastAsia="方正仿宋_GBK" w:cs="Times New Roman"/>
          <w:color w:val="auto"/>
          <w:sz w:val="32"/>
          <w:szCs w:val="32"/>
          <w:highlight w:val="none"/>
          <w:lang w:val="en-US" w:eastAsia="zh-CN"/>
        </w:rPr>
        <w:t>人员</w:t>
      </w:r>
      <w:r>
        <w:rPr>
          <w:rFonts w:hint="eastAsia" w:ascii="Times New Roman" w:hAnsi="Times New Roman" w:eastAsia="方正仿宋_GBK" w:cs="Times New Roman"/>
          <w:color w:val="auto"/>
          <w:sz w:val="32"/>
          <w:szCs w:val="32"/>
          <w:highlight w:val="none"/>
          <w:lang w:eastAsia="zh-CN"/>
        </w:rPr>
        <w:t>11人，调出</w:t>
      </w:r>
      <w:r>
        <w:rPr>
          <w:rFonts w:hint="eastAsia" w:ascii="Times New Roman" w:hAnsi="Times New Roman" w:eastAsia="方正仿宋_GBK" w:cs="Times New Roman"/>
          <w:color w:val="auto"/>
          <w:sz w:val="32"/>
          <w:szCs w:val="32"/>
          <w:highlight w:val="none"/>
          <w:lang w:val="en-US" w:eastAsia="zh-CN"/>
        </w:rPr>
        <w:t>人员</w:t>
      </w:r>
      <w:r>
        <w:rPr>
          <w:rFonts w:hint="eastAsia" w:ascii="Times New Roman" w:hAnsi="Times New Roman" w:eastAsia="方正仿宋_GBK" w:cs="Times New Roman"/>
          <w:color w:val="auto"/>
          <w:sz w:val="32"/>
          <w:szCs w:val="32"/>
          <w:highlight w:val="none"/>
          <w:lang w:eastAsia="zh-CN"/>
        </w:rPr>
        <w:t>3人，</w:t>
      </w:r>
      <w:r>
        <w:rPr>
          <w:rFonts w:hint="eastAsia" w:ascii="Times New Roman" w:hAnsi="Times New Roman" w:eastAsia="方正仿宋_GBK" w:cs="Times New Roman"/>
          <w:color w:val="auto"/>
          <w:sz w:val="32"/>
          <w:szCs w:val="32"/>
          <w:highlight w:val="none"/>
          <w:lang w:val="en-US" w:eastAsia="zh-CN"/>
        </w:rPr>
        <w:t>且</w:t>
      </w:r>
      <w:r>
        <w:rPr>
          <w:rFonts w:hint="eastAsia" w:ascii="Times New Roman" w:hAnsi="Times New Roman" w:eastAsia="方正仿宋_GBK" w:cs="Times New Roman"/>
          <w:color w:val="auto"/>
          <w:sz w:val="32"/>
          <w:szCs w:val="32"/>
          <w:highlight w:val="none"/>
          <w:lang w:eastAsia="zh-CN"/>
        </w:rPr>
        <w:t>本年</w:t>
      </w:r>
      <w:r>
        <w:rPr>
          <w:rFonts w:hint="eastAsia" w:ascii="Times New Roman" w:hAnsi="Times New Roman" w:eastAsia="方正仿宋_GBK" w:cs="Times New Roman"/>
          <w:color w:val="auto"/>
          <w:sz w:val="32"/>
          <w:szCs w:val="32"/>
          <w:highlight w:val="none"/>
          <w:lang w:val="en-US" w:eastAsia="zh-CN"/>
        </w:rPr>
        <w:t>度</w:t>
      </w:r>
      <w:r>
        <w:rPr>
          <w:rFonts w:hint="eastAsia" w:ascii="Times New Roman" w:hAnsi="Times New Roman" w:eastAsia="方正仿宋_GBK" w:cs="Times New Roman"/>
          <w:color w:val="auto"/>
          <w:sz w:val="32"/>
          <w:szCs w:val="32"/>
          <w:highlight w:val="none"/>
          <w:lang w:eastAsia="zh-CN"/>
        </w:rPr>
        <w:t>无新增工程项目。</w:t>
      </w:r>
    </w:p>
    <w:p>
      <w:pPr>
        <w:keepNext w:val="0"/>
        <w:keepLines w:val="0"/>
        <w:pageBreakBefore w:val="0"/>
        <w:kinsoku/>
        <w:wordWrap/>
        <w:overflowPunct/>
        <w:topLinePunct w:val="0"/>
        <w:bidi w:val="0"/>
        <w:spacing w:line="240" w:lineRule="auto"/>
        <w:ind w:firstLine="640"/>
        <w:jc w:val="center"/>
        <w:textAlignment w:val="auto"/>
        <w:rPr>
          <w:rFonts w:hint="eastAsia" w:ascii="Times New Roman" w:hAnsi="Times New Roman" w:eastAsia="仿宋_GB2312" w:cs="Times New Roman"/>
          <w:color w:val="auto"/>
          <w:kern w:val="2"/>
          <w:sz w:val="24"/>
          <w:szCs w:val="24"/>
          <w:highlight w:val="none"/>
          <w:lang w:val="en-US" w:eastAsia="zh-CN" w:bidi="ar-SA"/>
        </w:rPr>
      </w:pPr>
      <w:r>
        <w:rPr>
          <w:rFonts w:hint="eastAsia" w:ascii="Times New Roman" w:hAnsi="Times New Roman" w:eastAsia="仿宋_GB2312" w:cs="Times New Roman"/>
          <w:color w:val="auto"/>
          <w:kern w:val="2"/>
          <w:sz w:val="24"/>
          <w:szCs w:val="24"/>
          <w:highlight w:val="none"/>
          <w:lang w:val="en-US" w:eastAsia="zh-CN" w:bidi="ar-SA"/>
        </w:rPr>
        <w:t>（图1：收入、支出决算总计变动情况图）（柱状图）</w:t>
      </w:r>
    </w:p>
    <w:p>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eastAsia" w:ascii="Times New Roman" w:hAnsi="Times New Roman" w:eastAsia="仿宋_GB2312" w:cs="仿宋_GB2312"/>
          <w:color w:val="auto"/>
          <w:sz w:val="32"/>
          <w:szCs w:val="32"/>
          <w:highlight w:val="none"/>
        </w:rPr>
      </w:pPr>
      <w:r>
        <w:drawing>
          <wp:inline distT="0" distB="0" distL="114300" distR="114300">
            <wp:extent cx="3922395" cy="2828290"/>
            <wp:effectExtent l="4445" t="4445" r="1651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1"/>
        <w:rPr>
          <w:rFonts w:hint="eastAsia" w:ascii="Times New Roman" w:hAnsi="Times New Roman" w:eastAsia="黑体" w:cs="Times New Roman"/>
          <w:color w:val="auto"/>
          <w:sz w:val="32"/>
          <w:szCs w:val="32"/>
          <w:highlight w:val="none"/>
          <w:lang w:eastAsia="zh-CN"/>
        </w:rPr>
      </w:pPr>
      <w:bookmarkStart w:id="46" w:name="_Toc15377206"/>
      <w:bookmarkStart w:id="47" w:name="_Toc15396604"/>
      <w:bookmarkStart w:id="48" w:name="_Toc4107_WPSOffice_Level2"/>
      <w:r>
        <w:rPr>
          <w:rFonts w:hint="eastAsia" w:ascii="Times New Roman" w:hAnsi="Times New Roman" w:eastAsia="黑体" w:cs="Times New Roman"/>
          <w:color w:val="auto"/>
          <w:sz w:val="32"/>
          <w:szCs w:val="32"/>
          <w:highlight w:val="none"/>
          <w:lang w:eastAsia="zh-CN"/>
        </w:rPr>
        <w:t>二、收入决算情况说明</w:t>
      </w:r>
      <w:bookmarkEnd w:id="46"/>
      <w:bookmarkEnd w:id="47"/>
      <w:bookmarkEnd w:id="48"/>
    </w:p>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outlineLvl w:val="1"/>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2024年度本年收入合计3963.56万元，其中：一般公共预算财政拨款收入3963.56万元，占100%；政府性基金预算财政拨款收入0万元，占0%；国有资本经营预算财政拨款收入0万元，占0%；上级补助收入0万元，占0%；事业收入0万元，占0%；经营收入0万元，占0%；附属单位上缴收入0万元，占0%；其他收入0万元，占0%。</w:t>
      </w:r>
    </w:p>
    <w:p>
      <w:pPr>
        <w:keepNext w:val="0"/>
        <w:keepLines w:val="0"/>
        <w:pageBreakBefore w:val="0"/>
        <w:kinsoku/>
        <w:wordWrap/>
        <w:overflowPunct/>
        <w:topLinePunct w:val="0"/>
        <w:bidi w:val="0"/>
        <w:spacing w:line="240" w:lineRule="auto"/>
        <w:ind w:firstLine="640"/>
        <w:jc w:val="center"/>
        <w:textAlignment w:val="auto"/>
        <w:rPr>
          <w:rFonts w:hint="eastAsia" w:ascii="Times New Roman" w:hAnsi="Times New Roman" w:eastAsia="仿宋_GB2312" w:cs="Times New Roman"/>
          <w:color w:val="auto"/>
          <w:kern w:val="2"/>
          <w:sz w:val="24"/>
          <w:szCs w:val="24"/>
          <w:highlight w:val="none"/>
          <w:lang w:val="en-US" w:eastAsia="zh-CN" w:bidi="ar-SA"/>
        </w:rPr>
      </w:pPr>
      <w:r>
        <w:rPr>
          <w:rFonts w:hint="eastAsia" w:ascii="Times New Roman" w:hAnsi="Times New Roman" w:eastAsia="仿宋_GB2312" w:cs="Times New Roman"/>
          <w:color w:val="auto"/>
          <w:kern w:val="2"/>
          <w:sz w:val="24"/>
          <w:szCs w:val="24"/>
          <w:highlight w:val="none"/>
          <w:lang w:val="en-US" w:eastAsia="zh-CN" w:bidi="ar-SA"/>
        </w:rPr>
        <w:t>（图2：收入决算结构图）（饼状图）</w:t>
      </w:r>
    </w:p>
    <w:p>
      <w:pPr>
        <w:ind w:firstLine="525" w:firstLineChars="250"/>
        <w:jc w:val="center"/>
        <w:rPr>
          <w:rFonts w:hint="eastAsia" w:ascii="Times New Roman" w:hAnsi="Times New Roman" w:eastAsia="仿宋_GB2312" w:cs="仿宋_GB2312"/>
          <w:color w:val="auto"/>
          <w:sz w:val="32"/>
          <w:szCs w:val="32"/>
          <w:highlight w:val="none"/>
          <w:lang w:eastAsia="zh-CN"/>
        </w:rPr>
      </w:pPr>
      <w:r>
        <w:drawing>
          <wp:inline distT="0" distB="0" distL="114300" distR="114300">
            <wp:extent cx="4775835" cy="2371725"/>
            <wp:effectExtent l="4445" t="4445" r="20320" b="5080"/>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1"/>
        <w:rPr>
          <w:rFonts w:hint="eastAsia" w:ascii="Times New Roman" w:hAnsi="Times New Roman" w:eastAsia="黑体" w:cs="Times New Roman"/>
          <w:color w:val="auto"/>
          <w:sz w:val="32"/>
          <w:szCs w:val="32"/>
          <w:highlight w:val="none"/>
          <w:lang w:eastAsia="zh-CN"/>
        </w:rPr>
      </w:pPr>
      <w:bookmarkStart w:id="49" w:name="_Toc15396605"/>
      <w:bookmarkStart w:id="50" w:name="_Toc15377207"/>
      <w:bookmarkStart w:id="51" w:name="_Toc21659_WPSOffice_Level2"/>
      <w:r>
        <w:rPr>
          <w:rFonts w:hint="eastAsia" w:ascii="Times New Roman" w:hAnsi="Times New Roman" w:eastAsia="黑体" w:cs="Times New Roman"/>
          <w:color w:val="auto"/>
          <w:sz w:val="32"/>
          <w:szCs w:val="32"/>
          <w:highlight w:val="none"/>
          <w:lang w:eastAsia="zh-CN"/>
        </w:rPr>
        <w:t>三、支出决算情况说明</w:t>
      </w:r>
      <w:bookmarkEnd w:id="49"/>
      <w:bookmarkEnd w:id="50"/>
      <w:bookmarkEnd w:id="51"/>
    </w:p>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outlineLvl w:val="1"/>
        <w:rPr>
          <w:rFonts w:hint="eastAsia" w:ascii="Times New Roman" w:hAnsi="Times New Roman" w:eastAsia="方正仿宋_GBK" w:cs="Times New Roman"/>
          <w:color w:val="auto"/>
          <w:sz w:val="32"/>
          <w:szCs w:val="32"/>
          <w:highlight w:val="none"/>
          <w:lang w:eastAsia="zh-CN"/>
        </w:rPr>
      </w:pPr>
      <w:r>
        <w:rPr>
          <w:rFonts w:hint="eastAsia" w:ascii="Times New Roman" w:hAnsi="Times New Roman" w:eastAsia="方正仿宋_GBK" w:cs="Times New Roman"/>
          <w:color w:val="auto"/>
          <w:sz w:val="32"/>
          <w:szCs w:val="32"/>
          <w:highlight w:val="none"/>
          <w:lang w:eastAsia="zh-CN"/>
        </w:rPr>
        <w:t>2024年度本年支出合计3963.56万元，其中：基本支出3815.86万元，占96.27%；项目支出147.7万元，占3.7</w:t>
      </w:r>
      <w:r>
        <w:rPr>
          <w:rFonts w:hint="eastAsia" w:ascii="Times New Roman" w:hAnsi="Times New Roman" w:eastAsia="方正仿宋_GBK" w:cs="Times New Roman"/>
          <w:color w:val="auto"/>
          <w:sz w:val="32"/>
          <w:szCs w:val="32"/>
          <w:highlight w:val="none"/>
          <w:lang w:val="en-US" w:eastAsia="zh-CN"/>
        </w:rPr>
        <w:t>3</w:t>
      </w:r>
      <w:r>
        <w:rPr>
          <w:rFonts w:hint="eastAsia" w:ascii="Times New Roman" w:hAnsi="Times New Roman" w:eastAsia="方正仿宋_GBK" w:cs="Times New Roman"/>
          <w:color w:val="auto"/>
          <w:sz w:val="32"/>
          <w:szCs w:val="32"/>
          <w:highlight w:val="none"/>
          <w:lang w:eastAsia="zh-CN"/>
        </w:rPr>
        <w:t>%；上缴上级支出0万元，占0%；经营支出0万元，占0%；对附属单位补助支出0万元，占0%。</w:t>
      </w:r>
    </w:p>
    <w:p>
      <w:pPr>
        <w:keepNext w:val="0"/>
        <w:keepLines w:val="0"/>
        <w:pageBreakBefore w:val="0"/>
        <w:kinsoku/>
        <w:wordWrap/>
        <w:overflowPunct/>
        <w:topLinePunct w:val="0"/>
        <w:bidi w:val="0"/>
        <w:spacing w:line="240" w:lineRule="auto"/>
        <w:ind w:firstLine="640"/>
        <w:jc w:val="center"/>
        <w:textAlignment w:val="auto"/>
        <w:rPr>
          <w:rFonts w:hint="eastAsia" w:ascii="Times New Roman" w:hAnsi="Times New Roman" w:eastAsia="仿宋_GB2312" w:cs="Times New Roman"/>
          <w:color w:val="auto"/>
          <w:kern w:val="2"/>
          <w:sz w:val="24"/>
          <w:szCs w:val="24"/>
          <w:highlight w:val="none"/>
          <w:lang w:val="en-US" w:eastAsia="zh-CN" w:bidi="ar-SA"/>
        </w:rPr>
      </w:pPr>
      <w:r>
        <w:rPr>
          <w:rFonts w:hint="eastAsia" w:ascii="Times New Roman" w:hAnsi="Times New Roman" w:eastAsia="仿宋_GB2312" w:cs="Times New Roman"/>
          <w:color w:val="auto"/>
          <w:kern w:val="2"/>
          <w:sz w:val="24"/>
          <w:szCs w:val="24"/>
          <w:highlight w:val="none"/>
          <w:lang w:val="en-US" w:eastAsia="zh-CN" w:bidi="ar-SA"/>
        </w:rPr>
        <w:t>（图3：支出决算结构图）（饼状图）</w:t>
      </w:r>
    </w:p>
    <w:p>
      <w:pPr>
        <w:ind w:firstLine="525" w:firstLineChars="250"/>
        <w:jc w:val="center"/>
        <w:rPr>
          <w:rFonts w:hint="eastAsia" w:ascii="Times New Roman" w:hAnsi="Times New Roman" w:eastAsia="仿宋_GB2312" w:cs="仿宋_GB2312"/>
          <w:color w:val="auto"/>
          <w:sz w:val="32"/>
          <w:szCs w:val="32"/>
          <w:highlight w:val="none"/>
          <w:lang w:eastAsia="zh-CN"/>
        </w:rPr>
      </w:pPr>
      <w:r>
        <w:drawing>
          <wp:inline distT="0" distB="0" distL="114300" distR="114300">
            <wp:extent cx="5269230" cy="3051810"/>
            <wp:effectExtent l="4445" t="4445" r="22225" b="10795"/>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keepNext w:val="0"/>
        <w:keepLines w:val="0"/>
        <w:pageBreakBefore w:val="0"/>
        <w:kinsoku/>
        <w:wordWrap/>
        <w:overflowPunct/>
        <w:topLinePunct w:val="0"/>
        <w:bidi w:val="0"/>
        <w:spacing w:line="240" w:lineRule="auto"/>
        <w:ind w:firstLine="640" w:firstLineChars="200"/>
        <w:textAlignment w:val="auto"/>
        <w:outlineLvl w:val="1"/>
        <w:rPr>
          <w:rFonts w:hint="eastAsia" w:ascii="Times New Roman" w:hAnsi="Times New Roman" w:eastAsia="黑体" w:cs="Times New Roman"/>
          <w:color w:val="auto"/>
          <w:sz w:val="32"/>
          <w:szCs w:val="32"/>
          <w:highlight w:val="none"/>
        </w:rPr>
      </w:pPr>
      <w:bookmarkStart w:id="52" w:name="_Toc15396606"/>
      <w:bookmarkStart w:id="53" w:name="_Toc15377208"/>
      <w:bookmarkStart w:id="54" w:name="_Toc18738_WPSOffice_Level2"/>
    </w:p>
    <w:p>
      <w:pPr>
        <w:keepNext w:val="0"/>
        <w:keepLines w:val="0"/>
        <w:pageBreakBefore w:val="0"/>
        <w:kinsoku/>
        <w:wordWrap/>
        <w:overflowPunct/>
        <w:topLinePunct w:val="0"/>
        <w:bidi w:val="0"/>
        <w:spacing w:line="240" w:lineRule="auto"/>
        <w:ind w:firstLine="640" w:firstLineChars="200"/>
        <w:textAlignment w:val="auto"/>
        <w:outlineLvl w:val="1"/>
        <w:rPr>
          <w:rFonts w:hint="default" w:ascii="Times New Roman" w:hAnsi="Times New Roman" w:eastAsia="黑体" w:cs="Times New Roman"/>
          <w:color w:val="auto"/>
          <w:sz w:val="32"/>
          <w:szCs w:val="32"/>
          <w:highlight w:val="none"/>
        </w:rPr>
      </w:pPr>
      <w:r>
        <w:rPr>
          <w:rFonts w:hint="eastAsia" w:ascii="Times New Roman" w:hAnsi="Times New Roman" w:eastAsia="黑体" w:cs="Times New Roman"/>
          <w:color w:val="auto"/>
          <w:sz w:val="32"/>
          <w:szCs w:val="32"/>
          <w:highlight w:val="none"/>
        </w:rPr>
        <w:t>四、财政拨款收入支出决算总体情况说明</w:t>
      </w:r>
      <w:bookmarkEnd w:id="52"/>
      <w:bookmarkEnd w:id="53"/>
      <w:bookmarkEnd w:id="54"/>
    </w:p>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outlineLvl w:val="1"/>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2024年度财政拨款收入、支出总计均为3963.56万元。与2023年度相比（2023年度4120.90万元），财政拨款收入总计、支出总计各减少157.34万元，下降3.82%。主要变动原因是本年度新增退休人员4人，新进人员11人，调出人员3人，且本年度无新增工程项目。</w:t>
      </w:r>
    </w:p>
    <w:p>
      <w:pPr>
        <w:keepNext w:val="0"/>
        <w:keepLines w:val="0"/>
        <w:pageBreakBefore w:val="0"/>
        <w:kinsoku/>
        <w:wordWrap/>
        <w:overflowPunct/>
        <w:topLinePunct w:val="0"/>
        <w:bidi w:val="0"/>
        <w:spacing w:line="240" w:lineRule="auto"/>
        <w:ind w:firstLine="640"/>
        <w:jc w:val="center"/>
        <w:textAlignment w:val="auto"/>
      </w:pPr>
      <w:r>
        <w:rPr>
          <w:rFonts w:hint="eastAsia" w:ascii="Times New Roman" w:hAnsi="Times New Roman" w:eastAsia="仿宋_GB2312" w:cs="Times New Roman"/>
          <w:color w:val="auto"/>
          <w:kern w:val="2"/>
          <w:sz w:val="24"/>
          <w:szCs w:val="24"/>
          <w:highlight w:val="none"/>
          <w:lang w:val="en-US" w:eastAsia="zh-CN" w:bidi="ar-SA"/>
        </w:rPr>
        <w:t>（图4：财政拨款收、支决算总计变动情况）（柱状图）</w:t>
      </w:r>
    </w:p>
    <w:p>
      <w:pPr>
        <w:spacing w:line="600" w:lineRule="exact"/>
        <w:ind w:firstLine="640"/>
        <w:jc w:val="center"/>
      </w:pPr>
      <w:r>
        <w:drawing>
          <wp:anchor distT="0" distB="0" distL="114300" distR="114300" simplePos="0" relativeHeight="251659264" behindDoc="0" locked="0" layoutInCell="1" allowOverlap="1">
            <wp:simplePos x="0" y="0"/>
            <wp:positionH relativeFrom="column">
              <wp:posOffset>333375</wp:posOffset>
            </wp:positionH>
            <wp:positionV relativeFrom="paragraph">
              <wp:posOffset>200025</wp:posOffset>
            </wp:positionV>
            <wp:extent cx="4359275" cy="3000375"/>
            <wp:effectExtent l="4445" t="4445" r="17780" b="5080"/>
            <wp:wrapNone/>
            <wp:docPr id="9"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pPr>
        <w:spacing w:line="600" w:lineRule="exact"/>
        <w:ind w:firstLine="640"/>
        <w:jc w:val="center"/>
      </w:pPr>
    </w:p>
    <w:p>
      <w:pPr>
        <w:spacing w:line="600" w:lineRule="exact"/>
        <w:ind w:firstLine="640"/>
        <w:jc w:val="center"/>
      </w:pPr>
    </w:p>
    <w:p>
      <w:pPr>
        <w:spacing w:line="600" w:lineRule="exact"/>
        <w:ind w:firstLine="640"/>
        <w:jc w:val="center"/>
      </w:pPr>
    </w:p>
    <w:p>
      <w:pPr>
        <w:spacing w:line="600" w:lineRule="exact"/>
        <w:ind w:firstLine="640"/>
        <w:jc w:val="center"/>
      </w:pPr>
    </w:p>
    <w:p>
      <w:pPr>
        <w:spacing w:line="600" w:lineRule="exact"/>
        <w:ind w:firstLine="640"/>
        <w:jc w:val="center"/>
      </w:pPr>
    </w:p>
    <w:p>
      <w:pPr>
        <w:spacing w:line="600" w:lineRule="exact"/>
        <w:ind w:firstLine="640"/>
        <w:jc w:val="center"/>
      </w:pPr>
    </w:p>
    <w:p>
      <w:pPr>
        <w:spacing w:line="600" w:lineRule="exact"/>
        <w:ind w:firstLine="640"/>
        <w:jc w:val="center"/>
      </w:pPr>
    </w:p>
    <w:p>
      <w:pPr>
        <w:spacing w:line="600" w:lineRule="exact"/>
        <w:ind w:firstLine="640"/>
        <w:jc w:val="center"/>
      </w:pPr>
    </w:p>
    <w:p>
      <w:pPr>
        <w:keepNext w:val="0"/>
        <w:keepLines w:val="0"/>
        <w:pageBreakBefore w:val="0"/>
        <w:kinsoku/>
        <w:wordWrap/>
        <w:overflowPunct/>
        <w:topLinePunct w:val="0"/>
        <w:bidi w:val="0"/>
        <w:spacing w:line="240" w:lineRule="auto"/>
        <w:ind w:firstLine="640" w:firstLineChars="200"/>
        <w:textAlignment w:val="auto"/>
        <w:outlineLvl w:val="1"/>
        <w:rPr>
          <w:rFonts w:hint="default" w:ascii="Times New Roman" w:hAnsi="Times New Roman" w:eastAsia="黑体" w:cs="Times New Roman"/>
          <w:color w:val="auto"/>
          <w:sz w:val="32"/>
          <w:szCs w:val="32"/>
          <w:highlight w:val="none"/>
        </w:rPr>
      </w:pPr>
      <w:bookmarkStart w:id="55" w:name="_Toc15377209"/>
      <w:bookmarkStart w:id="56" w:name="_Toc15396607"/>
      <w:bookmarkStart w:id="57" w:name="_Toc30218_WPSOffice_Level2"/>
      <w:r>
        <w:rPr>
          <w:rFonts w:hint="eastAsia" w:ascii="Times New Roman" w:hAnsi="Times New Roman" w:eastAsia="黑体" w:cs="Times New Roman"/>
          <w:color w:val="auto"/>
          <w:sz w:val="32"/>
          <w:szCs w:val="32"/>
          <w:highlight w:val="none"/>
        </w:rPr>
        <w:t>五、一般公共预算财政拨款支出决算情况说明</w:t>
      </w:r>
      <w:bookmarkEnd w:id="55"/>
      <w:bookmarkEnd w:id="56"/>
      <w:bookmarkEnd w:id="57"/>
    </w:p>
    <w:p>
      <w:pPr>
        <w:keepNext w:val="0"/>
        <w:keepLines w:val="0"/>
        <w:pageBreakBefore w:val="0"/>
        <w:kinsoku/>
        <w:wordWrap/>
        <w:overflowPunct/>
        <w:topLinePunct w:val="0"/>
        <w:bidi w:val="0"/>
        <w:spacing w:line="240" w:lineRule="auto"/>
        <w:ind w:firstLine="643" w:firstLineChars="200"/>
        <w:textAlignment w:val="auto"/>
        <w:outlineLvl w:val="2"/>
        <w:rPr>
          <w:rFonts w:hint="eastAsia" w:ascii="Times New Roman" w:hAnsi="Times New Roman" w:eastAsia="楷体_GB2312" w:cs="Times New Roman"/>
          <w:b/>
          <w:color w:val="auto"/>
          <w:sz w:val="32"/>
          <w:szCs w:val="32"/>
          <w:highlight w:val="none"/>
        </w:rPr>
      </w:pPr>
      <w:bookmarkStart w:id="58" w:name="_Toc15377210"/>
      <w:r>
        <w:rPr>
          <w:rFonts w:hint="eastAsia" w:ascii="Times New Roman" w:hAnsi="Times New Roman" w:eastAsia="楷体_GB2312" w:cs="Times New Roman"/>
          <w:b/>
          <w:color w:val="auto"/>
          <w:sz w:val="32"/>
          <w:szCs w:val="32"/>
          <w:highlight w:val="none"/>
        </w:rPr>
        <w:t>（一）一般公共预算财政拨款支出决算总体情况</w:t>
      </w:r>
      <w:bookmarkEnd w:id="58"/>
    </w:p>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1"/>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2024年度一般公共预算财政拨款支出3963.56万元，占本年支出合计的100%。与2023年度相比（2023年度4120.90万元），一般公共预算财政拨款支出减少减少157.34万元，下降3.82%。主要变动原因是本年度新增退休人员4人，新进人员11人，调出人员3人，且本年度无新增工程项目。</w:t>
      </w:r>
    </w:p>
    <w:p>
      <w:pPr>
        <w:keepNext w:val="0"/>
        <w:keepLines w:val="0"/>
        <w:pageBreakBefore w:val="0"/>
        <w:kinsoku/>
        <w:wordWrap/>
        <w:overflowPunct/>
        <w:topLinePunct w:val="0"/>
        <w:bidi w:val="0"/>
        <w:spacing w:line="240" w:lineRule="auto"/>
        <w:ind w:firstLine="640"/>
        <w:jc w:val="center"/>
        <w:textAlignment w:val="auto"/>
        <w:rPr>
          <w:rFonts w:hint="eastAsia" w:ascii="Times New Roman" w:hAnsi="Times New Roman" w:eastAsia="仿宋_GB2312" w:cs="Times New Roman"/>
          <w:color w:val="auto"/>
          <w:kern w:val="2"/>
          <w:sz w:val="24"/>
          <w:szCs w:val="24"/>
          <w:highlight w:val="none"/>
          <w:lang w:val="en-US" w:eastAsia="zh-CN" w:bidi="ar-SA"/>
        </w:rPr>
      </w:pPr>
    </w:p>
    <w:p>
      <w:pPr>
        <w:keepNext w:val="0"/>
        <w:keepLines w:val="0"/>
        <w:pageBreakBefore w:val="0"/>
        <w:kinsoku/>
        <w:wordWrap/>
        <w:overflowPunct/>
        <w:topLinePunct w:val="0"/>
        <w:bidi w:val="0"/>
        <w:spacing w:line="240" w:lineRule="auto"/>
        <w:ind w:firstLine="640"/>
        <w:jc w:val="center"/>
        <w:textAlignment w:val="auto"/>
        <w:rPr>
          <w:rFonts w:hint="eastAsia" w:ascii="Times New Roman" w:hAnsi="Times New Roman" w:eastAsia="仿宋_GB2312" w:cs="Times New Roman"/>
          <w:color w:val="auto"/>
          <w:kern w:val="2"/>
          <w:sz w:val="24"/>
          <w:szCs w:val="24"/>
          <w:highlight w:val="none"/>
          <w:lang w:val="en-US" w:eastAsia="zh-CN" w:bidi="ar-SA"/>
        </w:rPr>
      </w:pPr>
    </w:p>
    <w:p>
      <w:pPr>
        <w:keepNext w:val="0"/>
        <w:keepLines w:val="0"/>
        <w:pageBreakBefore w:val="0"/>
        <w:kinsoku/>
        <w:wordWrap/>
        <w:overflowPunct/>
        <w:topLinePunct w:val="0"/>
        <w:bidi w:val="0"/>
        <w:spacing w:line="240" w:lineRule="auto"/>
        <w:ind w:firstLine="640"/>
        <w:jc w:val="center"/>
        <w:textAlignment w:val="auto"/>
        <w:rPr>
          <w:rFonts w:hint="eastAsia" w:ascii="Times New Roman" w:hAnsi="Times New Roman" w:eastAsia="仿宋_GB2312" w:cs="Times New Roman"/>
          <w:color w:val="auto"/>
          <w:kern w:val="2"/>
          <w:sz w:val="24"/>
          <w:szCs w:val="24"/>
          <w:highlight w:val="none"/>
          <w:lang w:val="en-US" w:eastAsia="zh-CN" w:bidi="ar-SA"/>
        </w:rPr>
      </w:pPr>
      <w:r>
        <w:rPr>
          <w:rFonts w:hint="eastAsia" w:ascii="Times New Roman" w:hAnsi="Times New Roman" w:eastAsia="仿宋_GB2312" w:cs="Times New Roman"/>
          <w:color w:val="auto"/>
          <w:kern w:val="2"/>
          <w:sz w:val="24"/>
          <w:szCs w:val="24"/>
          <w:highlight w:val="none"/>
          <w:lang w:val="en-US" w:eastAsia="zh-CN" w:bidi="ar-SA"/>
        </w:rPr>
        <w:t>（图5：一般公共预算财政拨款支出决算变动情况）（柱状图）</w:t>
      </w:r>
    </w:p>
    <w:p>
      <w:pPr>
        <w:pStyle w:val="19"/>
        <w:jc w:val="center"/>
        <w:rPr>
          <w:rFonts w:hint="eastAsia"/>
          <w:lang w:val="en-US" w:eastAsia="zh-CN"/>
        </w:rPr>
      </w:pPr>
      <w:r>
        <w:rPr>
          <w:rFonts w:hint="eastAsia" w:ascii="Times New Roman" w:hAnsi="Times New Roman" w:eastAsia="仿宋_GB2312" w:cs="仿宋_GB2312"/>
          <w:color w:val="auto"/>
          <w:kern w:val="2"/>
          <w:sz w:val="32"/>
          <w:szCs w:val="32"/>
          <w:highlight w:val="none"/>
          <w:lang w:val="en-US" w:eastAsia="zh-CN" w:bidi="ar-SA"/>
        </w:rPr>
        <w:t>、</w:t>
      </w:r>
      <w:r>
        <w:drawing>
          <wp:inline distT="0" distB="0" distL="114300" distR="114300">
            <wp:extent cx="4716145" cy="3328670"/>
            <wp:effectExtent l="5080" t="4445" r="22225" b="19685"/>
            <wp:docPr id="1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keepNext w:val="0"/>
        <w:keepLines w:val="0"/>
        <w:pageBreakBefore w:val="0"/>
        <w:kinsoku/>
        <w:wordWrap/>
        <w:overflowPunct/>
        <w:topLinePunct w:val="0"/>
        <w:bidi w:val="0"/>
        <w:spacing w:line="240" w:lineRule="auto"/>
        <w:ind w:firstLine="643" w:firstLineChars="200"/>
        <w:textAlignment w:val="auto"/>
        <w:outlineLvl w:val="2"/>
        <w:rPr>
          <w:rFonts w:hint="eastAsia" w:ascii="Times New Roman" w:hAnsi="Times New Roman" w:eastAsia="楷体_GB2312" w:cs="Times New Roman"/>
          <w:b/>
          <w:color w:val="auto"/>
          <w:sz w:val="32"/>
          <w:szCs w:val="32"/>
          <w:highlight w:val="none"/>
        </w:rPr>
      </w:pPr>
      <w:bookmarkStart w:id="59" w:name="_Toc15377211"/>
      <w:r>
        <w:rPr>
          <w:rFonts w:hint="eastAsia" w:ascii="Times New Roman" w:hAnsi="Times New Roman" w:eastAsia="楷体_GB2312" w:cs="Times New Roman"/>
          <w:b/>
          <w:color w:val="auto"/>
          <w:sz w:val="32"/>
          <w:szCs w:val="32"/>
          <w:highlight w:val="none"/>
        </w:rPr>
        <w:t>（二）一般公共预算财政拨款支出决算结构情况</w:t>
      </w:r>
      <w:bookmarkEnd w:id="59"/>
    </w:p>
    <w:p>
      <w:pPr>
        <w:keepNext w:val="0"/>
        <w:keepLines w:val="0"/>
        <w:pageBreakBefore w:val="0"/>
        <w:kinsoku/>
        <w:wordWrap/>
        <w:overflowPunct/>
        <w:topLinePunct w:val="0"/>
        <w:bidi w:val="0"/>
        <w:spacing w:line="240" w:lineRule="auto"/>
        <w:ind w:firstLine="640"/>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2024年度一般公共预算财政拨款支出3963.56万元，主要用于以下方面：教育支出2931.79万元，占73.97%；社会保障和就业支出475.95万元，占12.01%；卫生健康支出286.34万元，占7.22%；住房保障支出269.48万元，占6.8%。</w:t>
      </w:r>
    </w:p>
    <w:p>
      <w:pPr>
        <w:spacing w:line="600" w:lineRule="exact"/>
        <w:ind w:firstLine="640"/>
        <w:rPr>
          <w:rFonts w:hint="eastAsia" w:ascii="Times New Roman" w:hAnsi="Times New Roman" w:eastAsia="仿宋_GB2312" w:cs="Times New Roman"/>
          <w:color w:val="auto"/>
          <w:kern w:val="2"/>
          <w:sz w:val="24"/>
          <w:szCs w:val="24"/>
          <w:highlight w:val="none"/>
          <w:lang w:val="en-US" w:eastAsia="zh-CN" w:bidi="ar-SA"/>
        </w:rPr>
      </w:pPr>
    </w:p>
    <w:p>
      <w:pPr>
        <w:spacing w:line="600" w:lineRule="exact"/>
        <w:ind w:firstLine="640"/>
        <w:rPr>
          <w:rFonts w:hint="eastAsia" w:ascii="Times New Roman" w:hAnsi="Times New Roman" w:eastAsia="仿宋_GB2312" w:cs="Times New Roman"/>
          <w:color w:val="auto"/>
          <w:kern w:val="2"/>
          <w:sz w:val="24"/>
          <w:szCs w:val="24"/>
          <w:highlight w:val="none"/>
          <w:lang w:val="en-US" w:eastAsia="zh-CN" w:bidi="ar-SA"/>
        </w:rPr>
      </w:pPr>
    </w:p>
    <w:p>
      <w:pPr>
        <w:spacing w:line="600" w:lineRule="exact"/>
        <w:ind w:firstLine="640"/>
        <w:rPr>
          <w:rFonts w:hint="eastAsia" w:ascii="Times New Roman" w:hAnsi="Times New Roman" w:eastAsia="仿宋_GB2312" w:cs="Times New Roman"/>
          <w:color w:val="auto"/>
          <w:kern w:val="2"/>
          <w:sz w:val="24"/>
          <w:szCs w:val="24"/>
          <w:highlight w:val="none"/>
          <w:lang w:val="en-US" w:eastAsia="zh-CN" w:bidi="ar-SA"/>
        </w:rPr>
      </w:pPr>
    </w:p>
    <w:p>
      <w:pPr>
        <w:spacing w:line="600" w:lineRule="exact"/>
        <w:ind w:firstLine="640"/>
        <w:rPr>
          <w:rFonts w:hint="eastAsia" w:ascii="Times New Roman" w:hAnsi="Times New Roman" w:eastAsia="仿宋_GB2312" w:cs="Times New Roman"/>
          <w:color w:val="auto"/>
          <w:kern w:val="2"/>
          <w:sz w:val="24"/>
          <w:szCs w:val="24"/>
          <w:highlight w:val="none"/>
          <w:lang w:val="en-US" w:eastAsia="zh-CN" w:bidi="ar-SA"/>
        </w:rPr>
      </w:pPr>
    </w:p>
    <w:p>
      <w:pPr>
        <w:spacing w:line="600" w:lineRule="exact"/>
        <w:ind w:firstLine="640"/>
        <w:rPr>
          <w:rFonts w:hint="eastAsia" w:ascii="Times New Roman" w:hAnsi="Times New Roman" w:eastAsia="仿宋_GB2312" w:cs="Times New Roman"/>
          <w:color w:val="auto"/>
          <w:kern w:val="2"/>
          <w:sz w:val="24"/>
          <w:szCs w:val="24"/>
          <w:highlight w:val="none"/>
          <w:lang w:val="en-US" w:eastAsia="zh-CN" w:bidi="ar-SA"/>
        </w:rPr>
      </w:pPr>
    </w:p>
    <w:p>
      <w:pPr>
        <w:spacing w:line="600" w:lineRule="exact"/>
        <w:ind w:firstLine="640"/>
        <w:rPr>
          <w:rFonts w:hint="eastAsia" w:ascii="Times New Roman" w:hAnsi="Times New Roman" w:eastAsia="仿宋_GB2312" w:cs="Times New Roman"/>
          <w:color w:val="auto"/>
          <w:kern w:val="2"/>
          <w:sz w:val="24"/>
          <w:szCs w:val="24"/>
          <w:highlight w:val="none"/>
          <w:lang w:val="en-US" w:eastAsia="zh-CN" w:bidi="ar-SA"/>
        </w:rPr>
      </w:pPr>
    </w:p>
    <w:p>
      <w:pPr>
        <w:spacing w:line="600" w:lineRule="exact"/>
        <w:ind w:firstLine="640"/>
        <w:rPr>
          <w:rFonts w:hint="eastAsia" w:ascii="Times New Roman" w:hAnsi="Times New Roman" w:eastAsia="仿宋_GB2312" w:cs="Times New Roman"/>
          <w:color w:val="auto"/>
          <w:kern w:val="2"/>
          <w:sz w:val="24"/>
          <w:szCs w:val="24"/>
          <w:highlight w:val="none"/>
          <w:lang w:val="en-US" w:eastAsia="zh-CN" w:bidi="ar-SA"/>
        </w:rPr>
      </w:pPr>
    </w:p>
    <w:p>
      <w:pPr>
        <w:spacing w:line="600" w:lineRule="exact"/>
        <w:ind w:firstLine="640"/>
        <w:jc w:val="center"/>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Times New Roman"/>
          <w:color w:val="auto"/>
          <w:kern w:val="2"/>
          <w:sz w:val="24"/>
          <w:szCs w:val="24"/>
          <w:highlight w:val="none"/>
          <w:lang w:val="en-US" w:eastAsia="zh-CN" w:bidi="ar-SA"/>
        </w:rPr>
        <w:t>（图6：一般公共预算财政拨款支出决算结构）（饼状图）</w:t>
      </w:r>
    </w:p>
    <w:p>
      <w:pPr>
        <w:pStyle w:val="19"/>
        <w:jc w:val="center"/>
        <w:rPr>
          <w:rFonts w:hint="eastAsia" w:ascii="Times New Roman" w:hAnsi="Times New Roman" w:eastAsia="仿宋_GB2312" w:cs="仿宋_GB2312"/>
          <w:color w:val="auto"/>
          <w:kern w:val="2"/>
          <w:sz w:val="32"/>
          <w:szCs w:val="32"/>
          <w:highlight w:val="none"/>
          <w:lang w:val="en-US" w:eastAsia="zh-CN" w:bidi="ar-SA"/>
        </w:rPr>
      </w:pPr>
      <w:r>
        <w:drawing>
          <wp:inline distT="0" distB="0" distL="114300" distR="114300">
            <wp:extent cx="4572000" cy="274320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keepNext w:val="0"/>
        <w:keepLines w:val="0"/>
        <w:pageBreakBefore w:val="0"/>
        <w:kinsoku/>
        <w:wordWrap/>
        <w:overflowPunct/>
        <w:topLinePunct w:val="0"/>
        <w:bidi w:val="0"/>
        <w:spacing w:line="240" w:lineRule="auto"/>
        <w:ind w:firstLine="602" w:firstLineChars="200"/>
        <w:textAlignment w:val="auto"/>
        <w:outlineLvl w:val="2"/>
        <w:rPr>
          <w:rFonts w:hint="eastAsia" w:ascii="Times New Roman" w:hAnsi="Times New Roman" w:eastAsia="楷体_GB2312" w:cs="Times New Roman"/>
          <w:b/>
          <w:color w:val="auto"/>
          <w:sz w:val="30"/>
          <w:szCs w:val="30"/>
          <w:highlight w:val="none"/>
        </w:rPr>
      </w:pPr>
      <w:bookmarkStart w:id="60" w:name="_Toc15377212"/>
      <w:r>
        <w:rPr>
          <w:rFonts w:hint="eastAsia" w:ascii="Times New Roman" w:hAnsi="Times New Roman" w:eastAsia="楷体_GB2312" w:cs="Times New Roman"/>
          <w:b/>
          <w:color w:val="auto"/>
          <w:sz w:val="30"/>
          <w:szCs w:val="30"/>
          <w:highlight w:val="none"/>
        </w:rPr>
        <w:t>（三）一般公共预算财政拨款支出决算具体情况</w:t>
      </w:r>
      <w:bookmarkEnd w:id="60"/>
    </w:p>
    <w:p>
      <w:pPr>
        <w:keepNext w:val="0"/>
        <w:keepLines w:val="0"/>
        <w:pageBreakBefore w:val="0"/>
        <w:kinsoku/>
        <w:wordWrap/>
        <w:overflowPunct/>
        <w:topLinePunct w:val="0"/>
        <w:bidi w:val="0"/>
        <w:spacing w:line="240" w:lineRule="auto"/>
        <w:ind w:firstLine="640"/>
        <w:textAlignment w:val="auto"/>
        <w:rPr>
          <w:rFonts w:hint="eastAsia" w:ascii="Times New Roman" w:hAnsi="Times New Roman" w:eastAsia="方正仿宋_GBK" w:cs="Times New Roman"/>
          <w:color w:val="auto"/>
          <w:kern w:val="2"/>
          <w:sz w:val="32"/>
          <w:szCs w:val="32"/>
          <w:highlight w:val="none"/>
          <w:lang w:val="en-US" w:eastAsia="zh-CN" w:bidi="ar-SA"/>
        </w:rPr>
      </w:pPr>
      <w:bookmarkStart w:id="61" w:name="_Toc15378460"/>
      <w:bookmarkStart w:id="62" w:name="_Toc15377213"/>
      <w:bookmarkStart w:id="63" w:name="_Toc15377444"/>
      <w:r>
        <w:rPr>
          <w:rFonts w:hint="eastAsia" w:ascii="Times New Roman" w:hAnsi="Times New Roman" w:eastAsia="方正仿宋_GBK" w:cs="Times New Roman"/>
          <w:color w:val="auto"/>
          <w:kern w:val="2"/>
          <w:sz w:val="32"/>
          <w:szCs w:val="32"/>
          <w:highlight w:val="none"/>
          <w:lang w:val="en-US" w:eastAsia="zh-CN" w:bidi="ar-SA"/>
        </w:rPr>
        <w:t>2024年度一般公共预算财政拨款支出决算数为3963.56万元，完成预算100%。其中：</w:t>
      </w:r>
      <w:bookmarkEnd w:id="61"/>
      <w:bookmarkEnd w:id="62"/>
      <w:bookmarkEnd w:id="63"/>
    </w:p>
    <w:p>
      <w:pPr>
        <w:keepNext w:val="0"/>
        <w:keepLines w:val="0"/>
        <w:pageBreakBefore w:val="0"/>
        <w:kinsoku/>
        <w:wordWrap/>
        <w:overflowPunct/>
        <w:topLinePunct w:val="0"/>
        <w:bidi w:val="0"/>
        <w:spacing w:line="240" w:lineRule="auto"/>
        <w:ind w:firstLine="640"/>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1.教育支出（类）:支出决算数为2931.79万元，其中：教育支出（类）普通教育（款）学前教育（项）:支出决算为55.11万元，完成预算100%，教育支出（类）普通教育（款）小学教育（项）:支出决算为2860.89万元，完成预算100%；教育支出（类）教育费附加安排的支出（款） 农村中小学教学设施（项）:支出决算为15.79万元，完成预算100%。</w:t>
      </w:r>
    </w:p>
    <w:p>
      <w:pPr>
        <w:keepNext w:val="0"/>
        <w:keepLines w:val="0"/>
        <w:pageBreakBefore w:val="0"/>
        <w:kinsoku/>
        <w:wordWrap/>
        <w:overflowPunct/>
        <w:topLinePunct w:val="0"/>
        <w:bidi w:val="0"/>
        <w:spacing w:line="240" w:lineRule="auto"/>
        <w:ind w:firstLine="64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2.社会保障和就业支出（类）支出决算数为:475.95万元，其中：社会保障和就业支出（类）行政事业单位养老支出（款）事业单位离退休（项）：支出决算为104.03万元，完成预算100%，社会保障和就业支出（类）行政事业单位养老支出（款）机关事业单位基本养老保险缴费支出（项）：支出决算为330.3万元，完成预算100%，社会保障和就业支出（类）行政事业单位养老支出（款）机关事业单位职业年金缴费支出（项）:支出决算为39.52万元，完成预算100%。社会保障和就业支出（类）抚恤（款）伤残抚恤（项）:支出决算为2.1万元，完成预算100%。</w:t>
      </w:r>
    </w:p>
    <w:p>
      <w:pPr>
        <w:keepNext w:val="0"/>
        <w:keepLines w:val="0"/>
        <w:pageBreakBefore w:val="0"/>
        <w:kinsoku/>
        <w:wordWrap/>
        <w:overflowPunct/>
        <w:topLinePunct w:val="0"/>
        <w:bidi w:val="0"/>
        <w:spacing w:line="240" w:lineRule="auto"/>
        <w:ind w:firstLine="64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3.卫生健康支出（类）支出决算数为：286.34万元，其中：卫生健康支出（类）行政事业单位医疗（款）事业单位医疗（项）：支出决算为174.53万元，完成预算100%；卫生健康支出（类）行政事业单位医疗（款）其他行政事业单位医疗支出（项）:支出决算为111.81万元，完成预算100%。</w:t>
      </w:r>
    </w:p>
    <w:p>
      <w:pPr>
        <w:keepNext w:val="0"/>
        <w:keepLines w:val="0"/>
        <w:pageBreakBefore w:val="0"/>
        <w:kinsoku/>
        <w:wordWrap/>
        <w:overflowPunct/>
        <w:topLinePunct w:val="0"/>
        <w:bidi w:val="0"/>
        <w:spacing w:line="240" w:lineRule="auto"/>
        <w:ind w:firstLine="640"/>
        <w:textAlignment w:val="auto"/>
        <w:rPr>
          <w:rFonts w:hint="default" w:ascii="Times New Roman" w:hAnsi="Times New Roman" w:eastAsia="方正仿宋_GBK" w:cs="Times New Roman"/>
          <w:color w:val="auto"/>
          <w:kern w:val="2"/>
          <w:sz w:val="32"/>
          <w:szCs w:val="32"/>
          <w:highlight w:val="none"/>
          <w:lang w:val="zh-CN" w:eastAsia="zh-CN" w:bidi="ar-SA"/>
        </w:rPr>
      </w:pPr>
      <w:r>
        <w:rPr>
          <w:rFonts w:hint="eastAsia" w:ascii="Times New Roman" w:hAnsi="Times New Roman" w:eastAsia="方正仿宋_GBK" w:cs="Times New Roman"/>
          <w:color w:val="auto"/>
          <w:kern w:val="2"/>
          <w:sz w:val="32"/>
          <w:szCs w:val="32"/>
          <w:highlight w:val="none"/>
          <w:lang w:val="en-US" w:eastAsia="zh-CN" w:bidi="ar-SA"/>
        </w:rPr>
        <w:t>4. 住房保障支出（类）住房改革支出（款）住房公积金（项）:支出决算为269.48万元，完成预算100%。</w:t>
      </w:r>
    </w:p>
    <w:p>
      <w:pPr>
        <w:tabs>
          <w:tab w:val="right" w:pos="8306"/>
        </w:tabs>
        <w:spacing w:line="600" w:lineRule="exact"/>
        <w:ind w:firstLine="640"/>
        <w:outlineLvl w:val="1"/>
        <w:rPr>
          <w:rStyle w:val="29"/>
          <w:rFonts w:ascii="Times New Roman" w:hAnsi="Times New Roman"/>
          <w:color w:val="auto"/>
          <w:highlight w:val="none"/>
        </w:rPr>
      </w:pPr>
      <w:bookmarkStart w:id="64" w:name="_Toc15396608"/>
      <w:bookmarkStart w:id="65" w:name="_Toc15377214"/>
      <w:bookmarkStart w:id="66" w:name="_Toc6998_WPSOffice_Level2"/>
      <w:r>
        <w:rPr>
          <w:rFonts w:hint="eastAsia" w:ascii="Times New Roman" w:hAnsi="Times New Roman" w:eastAsia="黑体" w:cs="Times New Roman"/>
          <w:color w:val="auto"/>
          <w:sz w:val="32"/>
          <w:szCs w:val="32"/>
          <w:highlight w:val="none"/>
        </w:rPr>
        <w:t>六、一般公共预算财政拨款基本支出决算情况说明</w:t>
      </w:r>
      <w:bookmarkEnd w:id="64"/>
      <w:bookmarkEnd w:id="65"/>
      <w:bookmarkEnd w:id="66"/>
      <w:r>
        <w:rPr>
          <w:rStyle w:val="29"/>
          <w:rFonts w:ascii="Times New Roman" w:hAnsi="Times New Roman" w:eastAsia="黑体"/>
          <w:b w:val="0"/>
          <w:color w:val="auto"/>
          <w:highlight w:val="none"/>
        </w:rPr>
        <w:tab/>
      </w:r>
    </w:p>
    <w:p>
      <w:pPr>
        <w:keepNext w:val="0"/>
        <w:keepLines w:val="0"/>
        <w:pageBreakBefore w:val="0"/>
        <w:kinsoku/>
        <w:wordWrap/>
        <w:overflowPunct/>
        <w:topLinePunct w:val="0"/>
        <w:bidi w:val="0"/>
        <w:spacing w:line="240" w:lineRule="auto"/>
        <w:ind w:firstLine="640"/>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2024年度一般公共预算财政拨款基本支出3815.86万元，其中：</w:t>
      </w:r>
    </w:p>
    <w:p>
      <w:pPr>
        <w:keepNext w:val="0"/>
        <w:keepLines w:val="0"/>
        <w:pageBreakBefore w:val="0"/>
        <w:kinsoku/>
        <w:wordWrap/>
        <w:overflowPunct/>
        <w:topLinePunct w:val="0"/>
        <w:bidi w:val="0"/>
        <w:spacing w:line="240" w:lineRule="auto"/>
        <w:ind w:firstLine="640"/>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人员经费3494.4万元，主要包括：基本工资、津贴补贴、绩效工资、机关事业单位基本养老保险缴费、职业年金缴费、职工基本医疗保险缴费、医疗费、其他社会保障缴费、其他工资福利支出、住房公积金、抚恤金、生活补助、医疗费补助、奖励金。</w:t>
      </w:r>
      <w:r>
        <w:rPr>
          <w:rFonts w:hint="eastAsia" w:ascii="Times New Roman" w:hAnsi="Times New Roman" w:eastAsia="方正仿宋_GBK" w:cs="Times New Roman"/>
          <w:color w:val="auto"/>
          <w:kern w:val="2"/>
          <w:sz w:val="32"/>
          <w:szCs w:val="32"/>
          <w:highlight w:val="none"/>
          <w:lang w:val="en-US" w:eastAsia="zh-CN" w:bidi="ar-SA"/>
        </w:rPr>
        <w:br w:type="textWrapping"/>
      </w:r>
      <w:r>
        <w:rPr>
          <w:rFonts w:hint="eastAsia" w:ascii="Times New Roman" w:hAnsi="Times New Roman" w:eastAsia="方正仿宋_GBK" w:cs="Times New Roman"/>
          <w:color w:val="auto"/>
          <w:kern w:val="2"/>
          <w:sz w:val="32"/>
          <w:szCs w:val="32"/>
          <w:highlight w:val="none"/>
          <w:lang w:val="en-US" w:eastAsia="zh-CN" w:bidi="ar-SA"/>
        </w:rPr>
        <w:t>　　公用经费321.46万元，主要包括：办公费、印刷费、咨询费、水费、电费、邮电费、物业管理费、差旅费、维修（护）费、租赁费、专用材料费、培训费、劳务费、委托业务费、工会经费、福利费、其他交通费、其他商品和服务支出、办公设备购置、专用设备购置、信息网络及软件购置更新。</w:t>
      </w:r>
    </w:p>
    <w:p>
      <w:pPr>
        <w:tabs>
          <w:tab w:val="right" w:pos="8306"/>
        </w:tabs>
        <w:spacing w:line="600" w:lineRule="exact"/>
        <w:ind w:firstLine="640"/>
        <w:outlineLvl w:val="1"/>
        <w:rPr>
          <w:rFonts w:hint="eastAsia" w:ascii="Times New Roman" w:hAnsi="Times New Roman" w:eastAsia="黑体" w:cs="Times New Roman"/>
          <w:color w:val="auto"/>
          <w:sz w:val="32"/>
          <w:szCs w:val="32"/>
          <w:highlight w:val="none"/>
        </w:rPr>
      </w:pPr>
      <w:bookmarkStart w:id="67" w:name="_Toc15396609"/>
      <w:bookmarkStart w:id="68" w:name="_Toc15377215"/>
      <w:bookmarkStart w:id="69" w:name="_Toc1258_WPSOffice_Level2"/>
      <w:r>
        <w:rPr>
          <w:rFonts w:hint="eastAsia" w:ascii="Times New Roman" w:hAnsi="Times New Roman" w:eastAsia="黑体" w:cs="Times New Roman"/>
          <w:color w:val="auto"/>
          <w:sz w:val="32"/>
          <w:szCs w:val="32"/>
          <w:highlight w:val="none"/>
        </w:rPr>
        <w:t>七、财政拨款“三公”经费支出决算情况说明</w:t>
      </w:r>
      <w:bookmarkEnd w:id="67"/>
      <w:bookmarkEnd w:id="68"/>
      <w:bookmarkEnd w:id="69"/>
    </w:p>
    <w:p>
      <w:pPr>
        <w:keepNext w:val="0"/>
        <w:keepLines w:val="0"/>
        <w:pageBreakBefore w:val="0"/>
        <w:kinsoku/>
        <w:wordWrap/>
        <w:overflowPunct/>
        <w:topLinePunct w:val="0"/>
        <w:bidi w:val="0"/>
        <w:spacing w:line="240" w:lineRule="auto"/>
        <w:ind w:firstLine="643" w:firstLineChars="200"/>
        <w:textAlignment w:val="auto"/>
        <w:outlineLvl w:val="2"/>
        <w:rPr>
          <w:rFonts w:hint="eastAsia" w:ascii="Times New Roman" w:hAnsi="Times New Roman" w:eastAsia="楷体_GB2312" w:cs="Times New Roman"/>
          <w:b/>
          <w:color w:val="auto"/>
          <w:sz w:val="32"/>
          <w:szCs w:val="32"/>
          <w:highlight w:val="none"/>
        </w:rPr>
      </w:pPr>
      <w:bookmarkStart w:id="70" w:name="_Toc15377216"/>
      <w:r>
        <w:rPr>
          <w:rFonts w:hint="eastAsia" w:ascii="Times New Roman" w:hAnsi="Times New Roman" w:eastAsia="楷体_GB2312" w:cs="Times New Roman"/>
          <w:b/>
          <w:color w:val="auto"/>
          <w:sz w:val="32"/>
          <w:szCs w:val="32"/>
          <w:highlight w:val="none"/>
        </w:rPr>
        <w:t>（一）“三公”经费财政拨款支出决算总体情况说明</w:t>
      </w:r>
      <w:bookmarkEnd w:id="70"/>
    </w:p>
    <w:p>
      <w:pPr>
        <w:keepNext w:val="0"/>
        <w:keepLines w:val="0"/>
        <w:pageBreakBefore w:val="0"/>
        <w:kinsoku/>
        <w:wordWrap/>
        <w:overflowPunct/>
        <w:topLinePunct w:val="0"/>
        <w:bidi w:val="0"/>
        <w:spacing w:line="240" w:lineRule="auto"/>
        <w:ind w:firstLine="640"/>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2024年度“三公”经费财政拨款支出决算为0万元，完成预算0%，与2023年决算数持平。</w:t>
      </w:r>
    </w:p>
    <w:p>
      <w:pPr>
        <w:keepNext w:val="0"/>
        <w:keepLines w:val="0"/>
        <w:pageBreakBefore w:val="0"/>
        <w:kinsoku/>
        <w:wordWrap/>
        <w:overflowPunct/>
        <w:topLinePunct w:val="0"/>
        <w:bidi w:val="0"/>
        <w:spacing w:line="240" w:lineRule="auto"/>
        <w:ind w:firstLine="643" w:firstLineChars="200"/>
        <w:textAlignment w:val="auto"/>
        <w:outlineLvl w:val="2"/>
        <w:rPr>
          <w:rFonts w:hint="eastAsia" w:ascii="Times New Roman" w:hAnsi="Times New Roman" w:eastAsia="楷体_GB2312" w:cs="Times New Roman"/>
          <w:b/>
          <w:color w:val="auto"/>
          <w:sz w:val="32"/>
          <w:szCs w:val="32"/>
          <w:highlight w:val="none"/>
        </w:rPr>
      </w:pPr>
      <w:bookmarkStart w:id="71" w:name="_Toc15377217"/>
      <w:r>
        <w:rPr>
          <w:rFonts w:hint="eastAsia" w:ascii="Times New Roman" w:hAnsi="Times New Roman" w:eastAsia="楷体_GB2312" w:cs="Times New Roman"/>
          <w:b/>
          <w:color w:val="auto"/>
          <w:sz w:val="32"/>
          <w:szCs w:val="32"/>
          <w:highlight w:val="none"/>
        </w:rPr>
        <w:t>（二）“三公”经费财政拨款支出决算具体情况说明</w:t>
      </w:r>
      <w:bookmarkEnd w:id="71"/>
    </w:p>
    <w:p>
      <w:pPr>
        <w:keepNext w:val="0"/>
        <w:keepLines w:val="0"/>
        <w:pageBreakBefore w:val="0"/>
        <w:kinsoku/>
        <w:wordWrap/>
        <w:overflowPunct/>
        <w:topLinePunct w:val="0"/>
        <w:bidi w:val="0"/>
        <w:spacing w:line="240" w:lineRule="auto"/>
        <w:ind w:firstLine="640"/>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2024年度“三公”经费财政拨款支出决算中，因公出国（境）费支出决算0万元，占0%；公务用车购置及运行维护费支出决算0万元，占0%；公务接待费支出决算0万元，占0%。具体情况如下：</w:t>
      </w:r>
    </w:p>
    <w:p>
      <w:pPr>
        <w:spacing w:line="600" w:lineRule="exact"/>
        <w:ind w:firstLine="640"/>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1.因公出国（境）经费支出0万元，完成预算0%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方正仿宋_GBK" w:cs="Times New Roman"/>
          <w:color w:val="auto"/>
          <w:kern w:val="2"/>
          <w:sz w:val="32"/>
          <w:szCs w:val="32"/>
          <w:highlight w:val="none"/>
          <w:lang w:val="en-US" w:eastAsia="zh-CN" w:bidi="ar-SA"/>
        </w:rPr>
        <w:t>全年安排因公出国（境）团组0次，出国（境）0人。因公出国（境）支出决算与2023年决算数持平。</w:t>
      </w:r>
    </w:p>
    <w:p>
      <w:pPr>
        <w:spacing w:line="600" w:lineRule="exact"/>
        <w:ind w:firstLine="640"/>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2.公务用车购置及运行维护费支出0万元，完成预算0%。</w:t>
      </w:r>
      <w:r>
        <w:rPr>
          <w:rFonts w:hint="eastAsia" w:ascii="Times New Roman" w:hAnsi="Times New Roman" w:eastAsia="方正仿宋_GBK" w:cs="Times New Roman"/>
          <w:color w:val="auto"/>
          <w:kern w:val="2"/>
          <w:sz w:val="32"/>
          <w:szCs w:val="32"/>
          <w:highlight w:val="none"/>
          <w:lang w:val="en-US" w:eastAsia="zh-CN" w:bidi="ar-SA"/>
        </w:rPr>
        <w:t>公务用车购置及运行维护费支出决算与2023年决算数持平。</w:t>
      </w:r>
    </w:p>
    <w:p>
      <w:pPr>
        <w:spacing w:line="600" w:lineRule="exact"/>
        <w:ind w:firstLine="640"/>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其中：公务用车购置支出0万元。全年按规定更新购置公务用车0辆，其中：轿车0辆、金额0万元，越野车0辆、金额0万元，载客汽车0辆、金额0万元。截至2024年12月31日，单位共有公务用车0辆，其中：轿车0辆、越野车0辆、载客汽车0辆。</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公务用车运行维护费支出0万元。</w:t>
      </w:r>
    </w:p>
    <w:p>
      <w:pPr>
        <w:spacing w:line="600" w:lineRule="exact"/>
        <w:ind w:firstLine="640"/>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3.公务接待费支出0万元，完成预算0%。</w:t>
      </w:r>
      <w:r>
        <w:rPr>
          <w:rFonts w:hint="eastAsia" w:ascii="Times New Roman" w:hAnsi="Times New Roman" w:eastAsia="方正仿宋_GBK" w:cs="Times New Roman"/>
          <w:color w:val="auto"/>
          <w:kern w:val="2"/>
          <w:sz w:val="32"/>
          <w:szCs w:val="32"/>
          <w:highlight w:val="none"/>
          <w:lang w:val="en-US" w:eastAsia="zh-CN" w:bidi="ar-SA"/>
        </w:rPr>
        <w:t>公务接待费支出决算与2023年决算数持平。其中：</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国内公务接待支出0万元。国内公务接待0批次，0人次（不包括陪同人员），共计支出0万元外事接待支出0万元，外事接待0批次，0人次（不包括陪同人员），共计支出0万元。</w:t>
      </w:r>
      <w:bookmarkStart w:id="72" w:name="_Toc15396610"/>
      <w:bookmarkStart w:id="73" w:name="_Toc15377218"/>
    </w:p>
    <w:p>
      <w:pPr>
        <w:tabs>
          <w:tab w:val="right" w:pos="8306"/>
        </w:tabs>
        <w:spacing w:line="600" w:lineRule="exact"/>
        <w:ind w:firstLine="640"/>
        <w:outlineLvl w:val="1"/>
        <w:rPr>
          <w:rFonts w:hint="eastAsia" w:ascii="Times New Roman" w:hAnsi="Times New Roman" w:eastAsia="黑体" w:cs="Times New Roman"/>
          <w:color w:val="auto"/>
          <w:sz w:val="32"/>
          <w:szCs w:val="32"/>
          <w:highlight w:val="none"/>
        </w:rPr>
      </w:pPr>
      <w:bookmarkStart w:id="74" w:name="_Toc25844_WPSOffice_Level2"/>
      <w:r>
        <w:rPr>
          <w:rFonts w:hint="eastAsia" w:ascii="Times New Roman" w:hAnsi="Times New Roman" w:eastAsia="黑体" w:cs="Times New Roman"/>
          <w:color w:val="auto"/>
          <w:sz w:val="32"/>
          <w:szCs w:val="32"/>
          <w:highlight w:val="none"/>
        </w:rPr>
        <w:t>八、政府性基金预算支出决算情况说明</w:t>
      </w:r>
      <w:bookmarkEnd w:id="72"/>
      <w:bookmarkEnd w:id="73"/>
      <w:bookmarkEnd w:id="74"/>
    </w:p>
    <w:p>
      <w:pPr>
        <w:spacing w:line="600" w:lineRule="exact"/>
        <w:ind w:firstLine="640"/>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2024年度政府性基金预算财政拨款支出0万元，占本年支出合计的0%。与2023年决算数持平。</w:t>
      </w:r>
    </w:p>
    <w:p>
      <w:pPr>
        <w:tabs>
          <w:tab w:val="right" w:pos="8306"/>
        </w:tabs>
        <w:spacing w:line="600" w:lineRule="exact"/>
        <w:ind w:firstLine="640"/>
        <w:outlineLvl w:val="1"/>
        <w:rPr>
          <w:rFonts w:hint="eastAsia" w:ascii="Times New Roman" w:hAnsi="Times New Roman" w:eastAsia="黑体" w:cs="Times New Roman"/>
          <w:color w:val="auto"/>
          <w:sz w:val="32"/>
          <w:szCs w:val="32"/>
          <w:highlight w:val="none"/>
        </w:rPr>
      </w:pPr>
      <w:bookmarkStart w:id="75" w:name="_Toc15377219"/>
      <w:bookmarkStart w:id="76" w:name="_Toc15396611"/>
      <w:bookmarkStart w:id="77" w:name="_Toc13045_WPSOffice_Level2"/>
      <w:r>
        <w:rPr>
          <w:rFonts w:hint="eastAsia" w:ascii="Times New Roman" w:hAnsi="Times New Roman" w:eastAsia="黑体" w:cs="Times New Roman"/>
          <w:color w:val="auto"/>
          <w:sz w:val="32"/>
          <w:szCs w:val="32"/>
          <w:highlight w:val="none"/>
          <w:lang w:eastAsia="zh-CN"/>
        </w:rPr>
        <w:t>九、</w:t>
      </w:r>
      <w:r>
        <w:rPr>
          <w:rFonts w:hint="eastAsia" w:ascii="Times New Roman" w:hAnsi="Times New Roman" w:eastAsia="黑体" w:cs="Times New Roman"/>
          <w:color w:val="auto"/>
          <w:sz w:val="32"/>
          <w:szCs w:val="32"/>
          <w:highlight w:val="none"/>
        </w:rPr>
        <w:t>国有资本经营预算支出决算情况说明</w:t>
      </w:r>
      <w:bookmarkEnd w:id="75"/>
      <w:bookmarkEnd w:id="76"/>
      <w:bookmarkEnd w:id="77"/>
    </w:p>
    <w:p>
      <w:pPr>
        <w:spacing w:line="600" w:lineRule="exact"/>
        <w:ind w:firstLine="640"/>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2024年度国有资本经营预算财政拨款支出0万元，占本年支出合计的0%。与2023年决算数持平。</w:t>
      </w:r>
    </w:p>
    <w:p>
      <w:pPr>
        <w:keepNext w:val="0"/>
        <w:keepLines w:val="0"/>
        <w:pageBreakBefore w:val="0"/>
        <w:numPr>
          <w:ilvl w:val="0"/>
          <w:numId w:val="0"/>
        </w:numPr>
        <w:kinsoku/>
        <w:wordWrap/>
        <w:overflowPunct/>
        <w:topLinePunct w:val="0"/>
        <w:bidi w:val="0"/>
        <w:spacing w:line="240" w:lineRule="auto"/>
        <w:ind w:left="630" w:leftChars="0"/>
        <w:textAlignment w:val="auto"/>
        <w:outlineLvl w:val="1"/>
        <w:rPr>
          <w:rStyle w:val="29"/>
          <w:rFonts w:hint="eastAsia" w:ascii="Times New Roman" w:hAnsi="Times New Roman" w:eastAsia="黑体" w:cs="Times New Roman"/>
          <w:b w:val="0"/>
          <w:color w:val="auto"/>
          <w:highlight w:val="none"/>
          <w:lang w:eastAsia="zh-CN"/>
        </w:rPr>
      </w:pPr>
      <w:bookmarkStart w:id="78" w:name="_Toc15377221"/>
      <w:bookmarkStart w:id="79" w:name="_Toc15396612"/>
      <w:bookmarkStart w:id="80" w:name="_Toc29002_WPSOffice_Level2"/>
      <w:r>
        <w:rPr>
          <w:rStyle w:val="29"/>
          <w:rFonts w:hint="eastAsia" w:ascii="Times New Roman" w:hAnsi="Times New Roman" w:eastAsia="黑体" w:cs="Times New Roman"/>
          <w:b w:val="0"/>
          <w:color w:val="auto"/>
          <w:highlight w:val="none"/>
          <w:lang w:eastAsia="zh-CN"/>
        </w:rPr>
        <w:t>十、其他重要事项的情况说明</w:t>
      </w:r>
      <w:bookmarkEnd w:id="78"/>
      <w:bookmarkEnd w:id="79"/>
      <w:bookmarkEnd w:id="80"/>
    </w:p>
    <w:p>
      <w:pPr>
        <w:keepNext w:val="0"/>
        <w:keepLines w:val="0"/>
        <w:pageBreakBefore w:val="0"/>
        <w:kinsoku/>
        <w:wordWrap/>
        <w:overflowPunct/>
        <w:topLinePunct w:val="0"/>
        <w:bidi w:val="0"/>
        <w:spacing w:line="240" w:lineRule="auto"/>
        <w:ind w:firstLine="643" w:firstLineChars="200"/>
        <w:textAlignment w:val="auto"/>
        <w:outlineLvl w:val="2"/>
        <w:rPr>
          <w:rFonts w:hint="eastAsia" w:ascii="Times New Roman" w:hAnsi="Times New Roman" w:eastAsia="楷体_GB2312" w:cs="Times New Roman"/>
          <w:b/>
          <w:color w:val="auto"/>
          <w:sz w:val="32"/>
          <w:szCs w:val="32"/>
          <w:highlight w:val="none"/>
        </w:rPr>
      </w:pPr>
      <w:bookmarkStart w:id="81" w:name="_Toc15377222"/>
      <w:r>
        <w:rPr>
          <w:rFonts w:hint="eastAsia" w:ascii="Times New Roman" w:hAnsi="Times New Roman" w:eastAsia="楷体_GB2312" w:cs="Times New Roman"/>
          <w:b/>
          <w:color w:val="auto"/>
          <w:sz w:val="32"/>
          <w:szCs w:val="32"/>
          <w:highlight w:val="none"/>
        </w:rPr>
        <w:t>（一）机关运行经费支出情况</w:t>
      </w:r>
      <w:bookmarkEnd w:id="81"/>
    </w:p>
    <w:p>
      <w:pPr>
        <w:spacing w:line="600" w:lineRule="exact"/>
        <w:ind w:firstLine="640"/>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2024年度，盐边县渔门镇中心学校机关运行经费支出0万元，与2023年度决算数持平。</w:t>
      </w:r>
    </w:p>
    <w:p>
      <w:pPr>
        <w:keepNext w:val="0"/>
        <w:keepLines w:val="0"/>
        <w:pageBreakBefore w:val="0"/>
        <w:kinsoku/>
        <w:wordWrap/>
        <w:overflowPunct/>
        <w:topLinePunct w:val="0"/>
        <w:bidi w:val="0"/>
        <w:spacing w:line="240" w:lineRule="auto"/>
        <w:ind w:firstLine="643" w:firstLineChars="200"/>
        <w:textAlignment w:val="auto"/>
        <w:outlineLvl w:val="2"/>
        <w:rPr>
          <w:rFonts w:hint="eastAsia" w:ascii="Times New Roman" w:hAnsi="Times New Roman" w:eastAsia="楷体_GB2312" w:cs="Times New Roman"/>
          <w:b/>
          <w:color w:val="auto"/>
          <w:sz w:val="32"/>
          <w:szCs w:val="32"/>
          <w:highlight w:val="none"/>
        </w:rPr>
      </w:pPr>
      <w:bookmarkStart w:id="82" w:name="_Toc15377223"/>
      <w:r>
        <w:rPr>
          <w:rFonts w:hint="eastAsia" w:ascii="Times New Roman" w:hAnsi="Times New Roman" w:eastAsia="楷体_GB2312" w:cs="Times New Roman"/>
          <w:b/>
          <w:color w:val="auto"/>
          <w:sz w:val="32"/>
          <w:szCs w:val="32"/>
          <w:highlight w:val="none"/>
        </w:rPr>
        <w:t>（二）政府采购支出情况</w:t>
      </w:r>
      <w:bookmarkEnd w:id="82"/>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2024年度，盐边县渔门镇中心学校政府采购支出总额15.79万元，其中：政府采购货物支出15.79万元、政府采购工程支出0万元、政府采购服务支出0万元。主要用于采购办公设备购置费用。授予中小企业合同金额15.79万元，占政府采购支出总额的100%，其中：授予小微企业合同金额0万元，占政府采购支出总额的0%。</w:t>
      </w:r>
    </w:p>
    <w:p>
      <w:pPr>
        <w:keepNext w:val="0"/>
        <w:keepLines w:val="0"/>
        <w:pageBreakBefore w:val="0"/>
        <w:kinsoku/>
        <w:wordWrap/>
        <w:overflowPunct/>
        <w:topLinePunct w:val="0"/>
        <w:bidi w:val="0"/>
        <w:spacing w:line="240" w:lineRule="auto"/>
        <w:ind w:firstLine="643" w:firstLineChars="200"/>
        <w:textAlignment w:val="auto"/>
        <w:outlineLvl w:val="2"/>
        <w:rPr>
          <w:rFonts w:hint="eastAsia" w:ascii="Times New Roman" w:hAnsi="Times New Roman" w:eastAsia="楷体_GB2312" w:cs="Times New Roman"/>
          <w:b/>
          <w:color w:val="auto"/>
          <w:sz w:val="32"/>
          <w:szCs w:val="32"/>
          <w:highlight w:val="none"/>
        </w:rPr>
      </w:pPr>
      <w:bookmarkStart w:id="83" w:name="_Toc15377224"/>
      <w:r>
        <w:rPr>
          <w:rFonts w:hint="eastAsia" w:ascii="Times New Roman" w:hAnsi="Times New Roman" w:eastAsia="楷体_GB2312" w:cs="Times New Roman"/>
          <w:b/>
          <w:color w:val="auto"/>
          <w:sz w:val="32"/>
          <w:szCs w:val="32"/>
          <w:highlight w:val="none"/>
        </w:rPr>
        <w:t>（三）国有资产占有使用情况</w:t>
      </w:r>
      <w:bookmarkEnd w:id="83"/>
    </w:p>
    <w:p>
      <w:pPr>
        <w:spacing w:line="600" w:lineRule="exact"/>
        <w:ind w:firstLine="640"/>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截至2024年12月31日，盐边县渔门镇中心学校共有车辆0辆，其中：主要负责人用车0辆、机要通信用车0辆、应急保障用车0辆、其他用车0辆。单价100万元（含）以上设备（不含车辆）0台（套）。</w:t>
      </w:r>
    </w:p>
    <w:p>
      <w:pPr>
        <w:keepNext w:val="0"/>
        <w:keepLines w:val="0"/>
        <w:pageBreakBefore w:val="0"/>
        <w:kinsoku/>
        <w:wordWrap/>
        <w:overflowPunct/>
        <w:topLinePunct w:val="0"/>
        <w:bidi w:val="0"/>
        <w:spacing w:line="240" w:lineRule="auto"/>
        <w:ind w:firstLine="643" w:firstLineChars="200"/>
        <w:textAlignment w:val="auto"/>
        <w:outlineLvl w:val="2"/>
        <w:rPr>
          <w:rFonts w:hint="eastAsia" w:ascii="Times New Roman" w:hAnsi="Times New Roman" w:eastAsia="楷体_GB2312" w:cs="Times New Roman"/>
          <w:b/>
          <w:color w:val="auto"/>
          <w:sz w:val="32"/>
          <w:szCs w:val="32"/>
          <w:highlight w:val="none"/>
        </w:rPr>
      </w:pPr>
      <w:r>
        <w:rPr>
          <w:rFonts w:hint="eastAsia" w:ascii="Times New Roman" w:hAnsi="Times New Roman" w:eastAsia="楷体_GB2312" w:cs="Times New Roman"/>
          <w:b/>
          <w:color w:val="auto"/>
          <w:sz w:val="32"/>
          <w:szCs w:val="32"/>
          <w:highlight w:val="none"/>
        </w:rPr>
        <w:t>（四）预算绩效管理情况</w:t>
      </w:r>
    </w:p>
    <w:p>
      <w:pPr>
        <w:spacing w:line="600" w:lineRule="exact"/>
        <w:ind w:firstLine="640"/>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根据预算绩效管理要求，渔门镇中心学校在2024年度预算编制阶段，组织对33个（工资性支出、遗属人员经费、公用经费、幼儿保教费减免、中心幼儿园改扩建工程、学生宿舍食堂修缮工程）等相关绩效。对其中4个项目开展了预算事前绩效评估，对4个项目编制了绩效目标，预算执行过程中，选取4个项目开展绩效监控。绩效自评报告详见附件。</w:t>
      </w:r>
    </w:p>
    <w:p>
      <w:pPr>
        <w:pStyle w:val="13"/>
        <w:rPr>
          <w:rFonts w:hint="eastAsia" w:ascii="仿宋_GB2312" w:hAnsi="Calibri" w:eastAsia="仿宋_GB2312" w:cs="仿宋"/>
          <w:color w:val="auto"/>
          <w:kern w:val="0"/>
          <w:sz w:val="32"/>
          <w:szCs w:val="24"/>
          <w:lang w:val="en-US" w:eastAsia="zh-CN" w:bidi="ar-SA"/>
        </w:rPr>
      </w:pPr>
    </w:p>
    <w:p>
      <w:pPr>
        <w:pStyle w:val="7"/>
        <w:rPr>
          <w:rFonts w:hint="eastAsia" w:ascii="仿宋_GB2312" w:hAnsi="Calibri" w:eastAsia="仿宋_GB2312" w:cs="仿宋"/>
          <w:color w:val="auto"/>
          <w:kern w:val="0"/>
          <w:sz w:val="32"/>
          <w:szCs w:val="24"/>
          <w:lang w:val="en-US" w:eastAsia="zh-CN" w:bidi="ar-SA"/>
        </w:rPr>
      </w:pPr>
    </w:p>
    <w:p>
      <w:pPr>
        <w:pStyle w:val="7"/>
        <w:rPr>
          <w:rFonts w:hint="eastAsia" w:ascii="仿宋_GB2312" w:hAnsi="Calibri" w:eastAsia="仿宋_GB2312" w:cs="仿宋"/>
          <w:color w:val="auto"/>
          <w:kern w:val="0"/>
          <w:sz w:val="32"/>
          <w:szCs w:val="24"/>
          <w:lang w:val="en-US" w:eastAsia="zh-CN" w:bidi="ar-SA"/>
        </w:rPr>
      </w:pPr>
    </w:p>
    <w:p>
      <w:pPr>
        <w:pStyle w:val="13"/>
        <w:rPr>
          <w:rFonts w:hint="eastAsia" w:ascii="Times New Roman" w:hAnsi="Times New Roman" w:eastAsia="仿宋_GB2312" w:cs="仿宋_GB2312"/>
          <w:color w:val="0000FF"/>
          <w:kern w:val="2"/>
          <w:sz w:val="32"/>
          <w:szCs w:val="32"/>
          <w:highlight w:val="none"/>
          <w:lang w:val="en-US" w:eastAsia="zh-CN" w:bidi="ar-SA"/>
        </w:rPr>
      </w:pPr>
    </w:p>
    <w:p>
      <w:pPr>
        <w:pStyle w:val="7"/>
        <w:rPr>
          <w:rFonts w:hint="eastAsia" w:ascii="Times New Roman" w:hAnsi="Times New Roman" w:eastAsia="仿宋_GB2312" w:cs="仿宋_GB2312"/>
          <w:color w:val="0000FF"/>
          <w:kern w:val="2"/>
          <w:sz w:val="32"/>
          <w:szCs w:val="32"/>
          <w:highlight w:val="none"/>
          <w:lang w:val="en-US" w:eastAsia="zh-CN" w:bidi="ar-SA"/>
        </w:rPr>
      </w:pPr>
    </w:p>
    <w:p>
      <w:pPr>
        <w:pStyle w:val="7"/>
        <w:rPr>
          <w:rFonts w:hint="eastAsia" w:ascii="Times New Roman" w:hAnsi="Times New Roman" w:eastAsia="仿宋_GB2312" w:cs="仿宋_GB2312"/>
          <w:color w:val="0000FF"/>
          <w:kern w:val="2"/>
          <w:sz w:val="32"/>
          <w:szCs w:val="32"/>
          <w:highlight w:val="none"/>
          <w:lang w:val="en-US" w:eastAsia="zh-CN" w:bidi="ar-SA"/>
        </w:rPr>
      </w:pPr>
    </w:p>
    <w:p>
      <w:pPr>
        <w:pStyle w:val="7"/>
        <w:ind w:left="0" w:leftChars="0" w:firstLine="0" w:firstLineChars="0"/>
        <w:rPr>
          <w:rFonts w:hint="eastAsia" w:ascii="Times New Roman" w:hAnsi="Times New Roman" w:eastAsia="仿宋_GB2312" w:cs="仿宋_GB2312"/>
          <w:color w:val="0000FF"/>
          <w:kern w:val="2"/>
          <w:sz w:val="32"/>
          <w:szCs w:val="32"/>
          <w:highlight w:val="none"/>
          <w:lang w:val="en-US" w:eastAsia="zh-CN" w:bidi="ar-SA"/>
        </w:rPr>
      </w:pPr>
    </w:p>
    <w:p>
      <w:pPr>
        <w:keepNext w:val="0"/>
        <w:keepLines w:val="0"/>
        <w:pageBreakBefore w:val="0"/>
        <w:numPr>
          <w:ilvl w:val="0"/>
          <w:numId w:val="0"/>
        </w:numPr>
        <w:kinsoku/>
        <w:wordWrap/>
        <w:overflowPunct/>
        <w:topLinePunct w:val="0"/>
        <w:bidi w:val="0"/>
        <w:spacing w:line="240" w:lineRule="auto"/>
        <w:jc w:val="center"/>
        <w:textAlignment w:val="auto"/>
        <w:outlineLvl w:val="0"/>
        <w:rPr>
          <w:rFonts w:hint="default" w:ascii="Times New Roman" w:hAnsi="Times New Roman" w:eastAsia="黑体" w:cs="Times New Roman"/>
          <w:color w:val="auto"/>
          <w:sz w:val="44"/>
          <w:szCs w:val="44"/>
          <w:highlight w:val="none"/>
        </w:rPr>
      </w:pPr>
      <w:bookmarkStart w:id="84" w:name="_Toc25020_WPSOffice_Level1"/>
      <w:r>
        <w:rPr>
          <w:rFonts w:hint="eastAsia" w:ascii="Times New Roman" w:hAnsi="Times New Roman" w:eastAsia="黑体" w:cs="Times New Roman"/>
          <w:color w:val="auto"/>
          <w:sz w:val="44"/>
          <w:szCs w:val="44"/>
          <w:highlight w:val="none"/>
        </w:rPr>
        <w:t>第三部分  名词解释</w:t>
      </w:r>
      <w:bookmarkEnd w:id="84"/>
    </w:p>
    <w:p>
      <w:pPr>
        <w:spacing w:line="600" w:lineRule="exact"/>
        <w:ind w:firstLine="640"/>
        <w:rPr>
          <w:rFonts w:hint="eastAsia" w:ascii="Times New Roman" w:hAnsi="Times New Roman" w:eastAsia="仿宋_GB2312" w:cs="仿宋_GB2312"/>
          <w:color w:val="0000FF"/>
          <w:kern w:val="2"/>
          <w:sz w:val="32"/>
          <w:szCs w:val="32"/>
          <w:highlight w:val="none"/>
          <w:lang w:val="en-US" w:eastAsia="zh-CN" w:bidi="ar-SA"/>
        </w:rPr>
      </w:pPr>
    </w:p>
    <w:p>
      <w:pPr>
        <w:pStyle w:val="26"/>
        <w:keepNext w:val="0"/>
        <w:keepLines w:val="0"/>
        <w:pageBreakBefore w:val="0"/>
        <w:kinsoku/>
        <w:wordWrap/>
        <w:overflowPunct/>
        <w:topLinePunct w:val="0"/>
        <w:bidi w:val="0"/>
        <w:spacing w:line="240" w:lineRule="auto"/>
        <w:ind w:firstLine="640" w:firstLineChars="200"/>
        <w:textAlignment w:val="auto"/>
        <w:rPr>
          <w:rFonts w:hint="default" w:ascii="Times New Roman" w:hAnsi="Times New Roman" w:eastAsia="方正仿宋_GBK" w:cs="Times New Roman"/>
          <w:color w:val="auto"/>
          <w:sz w:val="32"/>
          <w:szCs w:val="32"/>
        </w:rPr>
      </w:pPr>
      <w:bookmarkStart w:id="85" w:name="_Toc15396614"/>
      <w:bookmarkStart w:id="86" w:name="_Toc15377226"/>
      <w:r>
        <w:rPr>
          <w:rFonts w:hint="eastAsia" w:ascii="Times New Roman" w:hAnsi="Times New Roman" w:eastAsia="方正仿宋_GBK" w:cs="Times New Roman"/>
          <w:color w:val="auto"/>
          <w:sz w:val="32"/>
          <w:szCs w:val="32"/>
        </w:rPr>
        <w:t>1.财政拨款收入：指单位从同级财政部门取得的财政预算资金。</w:t>
      </w:r>
    </w:p>
    <w:p>
      <w:pPr>
        <w:pStyle w:val="26"/>
        <w:keepNext w:val="0"/>
        <w:keepLines w:val="0"/>
        <w:pageBreakBefore w:val="0"/>
        <w:kinsoku/>
        <w:wordWrap/>
        <w:overflowPunct/>
        <w:topLinePunct w:val="0"/>
        <w:bidi w:val="0"/>
        <w:spacing w:line="240" w:lineRule="auto"/>
        <w:ind w:firstLine="640" w:firstLineChars="20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2.事业收入：指事业单位开展专业业务活动及辅助活动取得的收入。</w:t>
      </w:r>
    </w:p>
    <w:p>
      <w:pPr>
        <w:pStyle w:val="26"/>
        <w:keepNext w:val="0"/>
        <w:keepLines w:val="0"/>
        <w:pageBreakBefore w:val="0"/>
        <w:kinsoku/>
        <w:wordWrap/>
        <w:overflowPunct/>
        <w:topLinePunct w:val="0"/>
        <w:bidi w:val="0"/>
        <w:spacing w:line="240" w:lineRule="auto"/>
        <w:ind w:firstLine="640" w:firstLineChars="20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3.经营收入：指事业单位在专业业务活动及其辅助活动之外开展非独立核算经营活动取得的收入。</w:t>
      </w:r>
    </w:p>
    <w:p>
      <w:pPr>
        <w:pStyle w:val="26"/>
        <w:keepNext w:val="0"/>
        <w:keepLines w:val="0"/>
        <w:pageBreakBefore w:val="0"/>
        <w:kinsoku/>
        <w:wordWrap/>
        <w:overflowPunct/>
        <w:topLinePunct w:val="0"/>
        <w:bidi w:val="0"/>
        <w:spacing w:line="240" w:lineRule="auto"/>
        <w:ind w:firstLine="640" w:firstLineChars="20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 xml:space="preserve">4.其他收入：指单位取得的除上述收入以外的各项收入。 </w:t>
      </w:r>
    </w:p>
    <w:p>
      <w:pPr>
        <w:pStyle w:val="26"/>
        <w:keepNext w:val="0"/>
        <w:keepLines w:val="0"/>
        <w:pageBreakBefore w:val="0"/>
        <w:kinsoku/>
        <w:wordWrap/>
        <w:overflowPunct/>
        <w:topLinePunct w:val="0"/>
        <w:bidi w:val="0"/>
        <w:spacing w:line="240" w:lineRule="auto"/>
        <w:ind w:firstLine="640" w:firstLineChars="20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 xml:space="preserve">5.使用非财政拨款结余（含专用结余）：指事业单位使用以前年度积累的非财政拨款结余弥补当年收支差额的金额。 </w:t>
      </w:r>
    </w:p>
    <w:p>
      <w:pPr>
        <w:pStyle w:val="26"/>
        <w:keepNext w:val="0"/>
        <w:keepLines w:val="0"/>
        <w:pageBreakBefore w:val="0"/>
        <w:kinsoku/>
        <w:wordWrap/>
        <w:overflowPunct/>
        <w:topLinePunct w:val="0"/>
        <w:bidi w:val="0"/>
        <w:spacing w:line="240" w:lineRule="auto"/>
        <w:ind w:firstLine="640" w:firstLineChars="20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 xml:space="preserve">6.年初结转和结余：指以前年度尚未完成、结转到本年按有关规定继续使用的资金。 </w:t>
      </w:r>
    </w:p>
    <w:p>
      <w:pPr>
        <w:pStyle w:val="26"/>
        <w:keepNext w:val="0"/>
        <w:keepLines w:val="0"/>
        <w:pageBreakBefore w:val="0"/>
        <w:kinsoku/>
        <w:wordWrap/>
        <w:overflowPunct/>
        <w:topLinePunct w:val="0"/>
        <w:bidi w:val="0"/>
        <w:spacing w:line="240" w:lineRule="auto"/>
        <w:ind w:firstLine="640" w:firstLineChars="20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7.结余分配：指事业单位按照会计制度规定缴纳的所得税、提取的专用结余以及转入非财政拨款结余的金额等。</w:t>
      </w:r>
    </w:p>
    <w:p>
      <w:pPr>
        <w:pStyle w:val="26"/>
        <w:keepNext w:val="0"/>
        <w:keepLines w:val="0"/>
        <w:pageBreakBefore w:val="0"/>
        <w:kinsoku/>
        <w:wordWrap/>
        <w:overflowPunct/>
        <w:topLinePunct w:val="0"/>
        <w:bidi w:val="0"/>
        <w:spacing w:line="240" w:lineRule="auto"/>
        <w:ind w:firstLine="640" w:firstLineChars="20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8.年末结转和结余：指单位按有关规定结转到下年或以后年度继续使用的资金。</w:t>
      </w:r>
    </w:p>
    <w:p>
      <w:pPr>
        <w:pStyle w:val="26"/>
        <w:keepNext w:val="0"/>
        <w:keepLines w:val="0"/>
        <w:pageBreakBefore w:val="0"/>
        <w:kinsoku/>
        <w:wordWrap/>
        <w:overflowPunct/>
        <w:topLinePunct w:val="0"/>
        <w:bidi w:val="0"/>
        <w:spacing w:line="240" w:lineRule="auto"/>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9.教育支出（205类）普通教育（02款）</w:t>
      </w:r>
      <w:r>
        <w:rPr>
          <w:rFonts w:hint="eastAsia" w:ascii="Times New Roman" w:hAnsi="Times New Roman" w:eastAsia="方正仿宋_GBK" w:cs="Times New Roman"/>
          <w:color w:val="auto"/>
          <w:sz w:val="32"/>
          <w:szCs w:val="32"/>
        </w:rPr>
        <w:t>学前</w:t>
      </w:r>
      <w:r>
        <w:rPr>
          <w:rFonts w:hint="default" w:ascii="Times New Roman" w:hAnsi="Times New Roman" w:eastAsia="方正仿宋_GBK" w:cs="Times New Roman"/>
          <w:color w:val="auto"/>
          <w:sz w:val="32"/>
          <w:szCs w:val="32"/>
        </w:rPr>
        <w:t>教育（01项）：指反映各部门举办的学前教育支出。</w:t>
      </w:r>
    </w:p>
    <w:p>
      <w:pPr>
        <w:pStyle w:val="26"/>
        <w:keepNext w:val="0"/>
        <w:keepLines w:val="0"/>
        <w:pageBreakBefore w:val="0"/>
        <w:kinsoku/>
        <w:wordWrap/>
        <w:overflowPunct/>
        <w:topLinePunct w:val="0"/>
        <w:bidi w:val="0"/>
        <w:spacing w:line="240" w:lineRule="auto"/>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10.教育支出（205类）普通教育（02款）小学教育02（项）：指反映各部门举办的小学教育支出。</w:t>
      </w:r>
    </w:p>
    <w:p>
      <w:pPr>
        <w:pStyle w:val="26"/>
        <w:keepNext w:val="0"/>
        <w:keepLines w:val="0"/>
        <w:pageBreakBefore w:val="0"/>
        <w:kinsoku/>
        <w:wordWrap/>
        <w:overflowPunct/>
        <w:topLinePunct w:val="0"/>
        <w:bidi w:val="0"/>
        <w:spacing w:line="240" w:lineRule="auto"/>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w:t>
      </w:r>
      <w:r>
        <w:rPr>
          <w:rFonts w:hint="eastAsia" w:ascii="Times New Roman" w:hAnsi="Times New Roman" w:eastAsia="方正仿宋_GBK" w:cs="Times New Roman"/>
          <w:color w:val="auto"/>
          <w:sz w:val="32"/>
          <w:szCs w:val="32"/>
        </w:rPr>
        <w:t>1</w:t>
      </w:r>
      <w:r>
        <w:rPr>
          <w:rFonts w:hint="default" w:ascii="Times New Roman" w:hAnsi="Times New Roman" w:eastAsia="方正仿宋_GBK" w:cs="Times New Roman"/>
          <w:color w:val="auto"/>
          <w:sz w:val="32"/>
          <w:szCs w:val="32"/>
        </w:rPr>
        <w:t>.社会保障和就业支出（208类）行政事业单位养老支出（05款）事业单位离退休（02项）：指反映事业单位开支的离退休经费。</w:t>
      </w:r>
    </w:p>
    <w:p>
      <w:pPr>
        <w:pStyle w:val="26"/>
        <w:keepNext w:val="0"/>
        <w:keepLines w:val="0"/>
        <w:pageBreakBefore w:val="0"/>
        <w:kinsoku/>
        <w:wordWrap/>
        <w:overflowPunct/>
        <w:topLinePunct w:val="0"/>
        <w:bidi w:val="0"/>
        <w:spacing w:line="240" w:lineRule="auto"/>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w:t>
      </w:r>
      <w:r>
        <w:rPr>
          <w:rFonts w:hint="eastAsia" w:ascii="Times New Roman" w:hAnsi="Times New Roman" w:eastAsia="方正仿宋_GBK" w:cs="Times New Roman"/>
          <w:color w:val="auto"/>
          <w:sz w:val="32"/>
          <w:szCs w:val="32"/>
        </w:rPr>
        <w:t>2</w:t>
      </w:r>
      <w:r>
        <w:rPr>
          <w:rFonts w:hint="default" w:ascii="Times New Roman" w:hAnsi="Times New Roman" w:eastAsia="方正仿宋_GBK" w:cs="Times New Roman"/>
          <w:color w:val="auto"/>
          <w:sz w:val="32"/>
          <w:szCs w:val="32"/>
        </w:rPr>
        <w:t>.社会保障和就业支出（208类）行政事业单位养老支出（05款）机关事业单位基本养老保险缴费支出（05项）：指反映机关事业单位实施养老保险制度由单位缴纳的基本养老保险费支出。</w:t>
      </w:r>
    </w:p>
    <w:p>
      <w:pPr>
        <w:pStyle w:val="26"/>
        <w:keepNext w:val="0"/>
        <w:keepLines w:val="0"/>
        <w:pageBreakBefore w:val="0"/>
        <w:kinsoku/>
        <w:wordWrap/>
        <w:overflowPunct/>
        <w:topLinePunct w:val="0"/>
        <w:bidi w:val="0"/>
        <w:spacing w:line="240" w:lineRule="auto"/>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w:t>
      </w:r>
      <w:r>
        <w:rPr>
          <w:rFonts w:hint="eastAsia" w:ascii="Times New Roman" w:hAnsi="Times New Roman" w:eastAsia="方正仿宋_GBK" w:cs="Times New Roman"/>
          <w:color w:val="auto"/>
          <w:sz w:val="32"/>
          <w:szCs w:val="32"/>
        </w:rPr>
        <w:t>3</w:t>
      </w:r>
      <w:r>
        <w:rPr>
          <w:rFonts w:hint="default" w:ascii="Times New Roman" w:hAnsi="Times New Roman" w:eastAsia="方正仿宋_GBK" w:cs="Times New Roman"/>
          <w:color w:val="auto"/>
          <w:sz w:val="32"/>
          <w:szCs w:val="32"/>
        </w:rPr>
        <w:t>.社会保障和就业支出（208类）行政事业单位养老支出（05款）机关事业单位职业年金缴费支出（06项）：指反映机关事业单位实施养老保险制度由单位实际缴纳的职业年金支出。</w:t>
      </w:r>
    </w:p>
    <w:p>
      <w:pPr>
        <w:pStyle w:val="26"/>
        <w:keepNext w:val="0"/>
        <w:keepLines w:val="0"/>
        <w:pageBreakBefore w:val="0"/>
        <w:kinsoku/>
        <w:wordWrap/>
        <w:overflowPunct/>
        <w:topLinePunct w:val="0"/>
        <w:bidi w:val="0"/>
        <w:spacing w:line="240" w:lineRule="auto"/>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w:t>
      </w:r>
      <w:r>
        <w:rPr>
          <w:rFonts w:hint="eastAsia" w:ascii="Times New Roman" w:hAnsi="Times New Roman" w:eastAsia="方正仿宋_GBK" w:cs="Times New Roman"/>
          <w:color w:val="auto"/>
          <w:sz w:val="32"/>
          <w:szCs w:val="32"/>
        </w:rPr>
        <w:t>4</w:t>
      </w:r>
      <w:r>
        <w:rPr>
          <w:rFonts w:hint="default" w:ascii="Times New Roman" w:hAnsi="Times New Roman" w:eastAsia="方正仿宋_GBK" w:cs="Times New Roman"/>
          <w:color w:val="auto"/>
          <w:sz w:val="32"/>
          <w:szCs w:val="32"/>
        </w:rPr>
        <w:t>卫生健康支出（210类）行政事业单位医疗（11款）事业单位医疗（02项）：指反映财政部门安排的事业单位基本医疗保险缴费经费，未参加医疗保险的事业单位的公费医疗经费，按国家规定享受离休人员待遇的医疗经费。</w:t>
      </w:r>
    </w:p>
    <w:p>
      <w:pPr>
        <w:pStyle w:val="26"/>
        <w:keepNext w:val="0"/>
        <w:keepLines w:val="0"/>
        <w:pageBreakBefore w:val="0"/>
        <w:kinsoku/>
        <w:wordWrap/>
        <w:overflowPunct/>
        <w:topLinePunct w:val="0"/>
        <w:bidi w:val="0"/>
        <w:spacing w:line="240" w:lineRule="auto"/>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w:t>
      </w:r>
      <w:r>
        <w:rPr>
          <w:rFonts w:hint="eastAsia" w:ascii="Times New Roman" w:hAnsi="Times New Roman" w:eastAsia="方正仿宋_GBK" w:cs="Times New Roman"/>
          <w:color w:val="auto"/>
          <w:sz w:val="32"/>
          <w:szCs w:val="32"/>
        </w:rPr>
        <w:t>5</w:t>
      </w:r>
      <w:r>
        <w:rPr>
          <w:rFonts w:hint="default" w:ascii="Times New Roman" w:hAnsi="Times New Roman" w:eastAsia="方正仿宋_GBK" w:cs="Times New Roman"/>
          <w:color w:val="auto"/>
          <w:sz w:val="32"/>
          <w:szCs w:val="32"/>
        </w:rPr>
        <w:t>.卫生健康支出（210类）行政事业单位医疗（11款）其他行政事业单位医疗支出（99项）：指反映除上述项目以外的其他用于行政事业单位医疗方面的支出。</w:t>
      </w:r>
    </w:p>
    <w:p>
      <w:pPr>
        <w:pStyle w:val="26"/>
        <w:keepNext w:val="0"/>
        <w:keepLines w:val="0"/>
        <w:pageBreakBefore w:val="0"/>
        <w:kinsoku/>
        <w:wordWrap/>
        <w:overflowPunct/>
        <w:topLinePunct w:val="0"/>
        <w:bidi w:val="0"/>
        <w:spacing w:line="240" w:lineRule="auto"/>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w:t>
      </w:r>
      <w:r>
        <w:rPr>
          <w:rFonts w:hint="eastAsia" w:ascii="Times New Roman" w:hAnsi="Times New Roman" w:eastAsia="方正仿宋_GBK" w:cs="Times New Roman"/>
          <w:color w:val="auto"/>
          <w:sz w:val="32"/>
          <w:szCs w:val="32"/>
        </w:rPr>
        <w:t>6</w:t>
      </w:r>
      <w:r>
        <w:rPr>
          <w:rFonts w:hint="default" w:ascii="Times New Roman" w:hAnsi="Times New Roman" w:eastAsia="方正仿宋_GBK" w:cs="Times New Roman"/>
          <w:color w:val="auto"/>
          <w:sz w:val="32"/>
          <w:szCs w:val="32"/>
        </w:rPr>
        <w:t>.住房保障支出（221类）住房改革支出（02款）住房公积金（01项）：指反映行政事业单位按人力资源和社会保障部、财政部规定的基本工资和津贴补贴以及规定比例为职工缴纳的住房公积金。</w:t>
      </w:r>
    </w:p>
    <w:p>
      <w:pPr>
        <w:pStyle w:val="26"/>
        <w:keepNext w:val="0"/>
        <w:keepLines w:val="0"/>
        <w:pageBreakBefore w:val="0"/>
        <w:kinsoku/>
        <w:wordWrap/>
        <w:overflowPunct/>
        <w:topLinePunct w:val="0"/>
        <w:bidi w:val="0"/>
        <w:spacing w:line="240" w:lineRule="auto"/>
        <w:ind w:firstLine="640" w:firstLineChars="20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17</w:t>
      </w:r>
      <w:r>
        <w:rPr>
          <w:rFonts w:hint="default" w:ascii="Times New Roman" w:hAnsi="Times New Roman" w:eastAsia="方正仿宋_GBK" w:cs="Times New Roman"/>
          <w:color w:val="auto"/>
          <w:sz w:val="32"/>
          <w:szCs w:val="32"/>
        </w:rPr>
        <w:t>.基本支出：指为保障机构正常运转、完成日常工作任务而发生的人员支出和公用支出。</w:t>
      </w:r>
    </w:p>
    <w:p>
      <w:pPr>
        <w:pStyle w:val="26"/>
        <w:keepNext w:val="0"/>
        <w:keepLines w:val="0"/>
        <w:pageBreakBefore w:val="0"/>
        <w:kinsoku/>
        <w:wordWrap/>
        <w:overflowPunct/>
        <w:topLinePunct w:val="0"/>
        <w:bidi w:val="0"/>
        <w:spacing w:line="240" w:lineRule="auto"/>
        <w:ind w:firstLine="640" w:firstLineChars="20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18</w:t>
      </w:r>
      <w:r>
        <w:rPr>
          <w:rFonts w:hint="default" w:ascii="Times New Roman" w:hAnsi="Times New Roman" w:eastAsia="方正仿宋_GBK" w:cs="Times New Roman"/>
          <w:color w:val="auto"/>
          <w:sz w:val="32"/>
          <w:szCs w:val="32"/>
        </w:rPr>
        <w:t xml:space="preserve">.项目支出：指在基本支出之外为完成特定行政任务和事业发展目标所发生的支出。 </w:t>
      </w:r>
    </w:p>
    <w:p>
      <w:pPr>
        <w:pStyle w:val="26"/>
        <w:keepNext w:val="0"/>
        <w:keepLines w:val="0"/>
        <w:pageBreakBefore w:val="0"/>
        <w:kinsoku/>
        <w:wordWrap/>
        <w:overflowPunct/>
        <w:topLinePunct w:val="0"/>
        <w:bidi w:val="0"/>
        <w:spacing w:line="240" w:lineRule="auto"/>
        <w:ind w:firstLine="640" w:firstLineChars="20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19</w:t>
      </w:r>
      <w:r>
        <w:rPr>
          <w:rFonts w:hint="default" w:ascii="Times New Roman" w:hAnsi="Times New Roman" w:eastAsia="方正仿宋_GBK" w:cs="Times New Roman"/>
          <w:color w:val="auto"/>
          <w:sz w:val="32"/>
          <w:szCs w:val="32"/>
        </w:rPr>
        <w:t>.“三公”经费：</w:t>
      </w:r>
      <w:r>
        <w:rPr>
          <w:rFonts w:hint="eastAsia" w:ascii="Times New Roman" w:hAnsi="Times New Roman" w:eastAsia="方正仿宋_GBK" w:cs="Times New Roman"/>
          <w:color w:val="auto"/>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jc w:val="center"/>
        <w:rPr>
          <w:rFonts w:hint="eastAsia" w:ascii="Times New Roman" w:hAnsi="Times New Roman" w:eastAsia="黑体"/>
          <w:color w:val="auto"/>
          <w:sz w:val="44"/>
          <w:szCs w:val="44"/>
          <w:highlight w:val="none"/>
        </w:rPr>
      </w:pPr>
    </w:p>
    <w:p>
      <w:pPr>
        <w:pStyle w:val="13"/>
        <w:rPr>
          <w:rFonts w:hint="eastAsia" w:ascii="Times New Roman" w:hAnsi="Times New Roman" w:eastAsia="黑体"/>
          <w:color w:val="auto"/>
          <w:sz w:val="44"/>
          <w:szCs w:val="44"/>
          <w:highlight w:val="none"/>
        </w:rPr>
      </w:pPr>
    </w:p>
    <w:p>
      <w:pPr>
        <w:pStyle w:val="7"/>
        <w:rPr>
          <w:rFonts w:hint="eastAsia" w:ascii="Times New Roman" w:hAnsi="Times New Roman" w:eastAsia="黑体"/>
          <w:color w:val="auto"/>
          <w:sz w:val="44"/>
          <w:szCs w:val="44"/>
          <w:highlight w:val="none"/>
        </w:rPr>
      </w:pPr>
    </w:p>
    <w:p>
      <w:pPr>
        <w:pStyle w:val="7"/>
        <w:rPr>
          <w:rFonts w:hint="eastAsia" w:ascii="Times New Roman" w:hAnsi="Times New Roman" w:eastAsia="黑体"/>
          <w:color w:val="auto"/>
          <w:sz w:val="44"/>
          <w:szCs w:val="44"/>
          <w:highlight w:val="none"/>
        </w:rPr>
      </w:pPr>
    </w:p>
    <w:p>
      <w:pPr>
        <w:pStyle w:val="7"/>
        <w:rPr>
          <w:rFonts w:hint="eastAsia" w:ascii="Times New Roman" w:hAnsi="Times New Roman" w:eastAsia="黑体"/>
          <w:color w:val="auto"/>
          <w:sz w:val="44"/>
          <w:szCs w:val="44"/>
          <w:highlight w:val="none"/>
        </w:rPr>
      </w:pPr>
    </w:p>
    <w:p>
      <w:pPr>
        <w:pStyle w:val="7"/>
        <w:rPr>
          <w:rFonts w:hint="eastAsia" w:ascii="Times New Roman" w:hAnsi="Times New Roman" w:eastAsia="黑体"/>
          <w:color w:val="auto"/>
          <w:sz w:val="44"/>
          <w:szCs w:val="44"/>
          <w:highlight w:val="none"/>
        </w:rPr>
      </w:pPr>
    </w:p>
    <w:p>
      <w:pPr>
        <w:pStyle w:val="7"/>
        <w:rPr>
          <w:rFonts w:hint="eastAsia" w:ascii="Times New Roman" w:hAnsi="Times New Roman" w:eastAsia="黑体"/>
          <w:color w:val="auto"/>
          <w:sz w:val="44"/>
          <w:szCs w:val="44"/>
          <w:highlight w:val="none"/>
        </w:rPr>
      </w:pPr>
    </w:p>
    <w:p>
      <w:pPr>
        <w:spacing w:line="600" w:lineRule="exact"/>
        <w:jc w:val="both"/>
        <w:rPr>
          <w:rFonts w:hint="eastAsia" w:ascii="Times New Roman" w:hAnsi="Times New Roman" w:eastAsia="黑体"/>
          <w:color w:val="auto"/>
          <w:sz w:val="44"/>
          <w:szCs w:val="44"/>
          <w:highlight w:val="none"/>
        </w:rPr>
      </w:pPr>
    </w:p>
    <w:p>
      <w:pPr>
        <w:keepNext w:val="0"/>
        <w:keepLines w:val="0"/>
        <w:pageBreakBefore w:val="0"/>
        <w:widowControl/>
        <w:kinsoku/>
        <w:wordWrap/>
        <w:overflowPunct/>
        <w:topLinePunct w:val="0"/>
        <w:bidi w:val="0"/>
        <w:spacing w:line="240" w:lineRule="auto"/>
        <w:jc w:val="center"/>
        <w:textAlignment w:val="auto"/>
        <w:rPr>
          <w:rStyle w:val="28"/>
          <w:rFonts w:hint="eastAsia" w:ascii="Times New Roman" w:hAnsi="Times New Roman" w:eastAsia="黑体" w:cs="Times New Roman"/>
          <w:b w:val="0"/>
          <w:color w:val="auto"/>
          <w:highlight w:val="none"/>
        </w:rPr>
      </w:pPr>
    </w:p>
    <w:bookmarkEnd w:id="85"/>
    <w:p>
      <w:pPr>
        <w:keepNext w:val="0"/>
        <w:keepLines w:val="0"/>
        <w:pageBreakBefore w:val="0"/>
        <w:widowControl/>
        <w:kinsoku/>
        <w:wordWrap/>
        <w:overflowPunct/>
        <w:topLinePunct w:val="0"/>
        <w:bidi w:val="0"/>
        <w:spacing w:line="240" w:lineRule="auto"/>
        <w:jc w:val="center"/>
        <w:textAlignment w:val="auto"/>
        <w:rPr>
          <w:rStyle w:val="28"/>
          <w:rFonts w:hint="eastAsia" w:ascii="Times New Roman" w:hAnsi="Times New Roman" w:eastAsia="黑体" w:cs="Times New Roman"/>
          <w:b w:val="0"/>
          <w:color w:val="auto"/>
          <w:highlight w:val="none"/>
        </w:rPr>
      </w:pPr>
      <w:bookmarkStart w:id="87" w:name="_Toc12008_WPSOffice_Level1"/>
      <w:bookmarkStart w:id="88" w:name="_Toc15396618"/>
      <w:r>
        <w:rPr>
          <w:rStyle w:val="28"/>
          <w:rFonts w:hint="eastAsia" w:ascii="Times New Roman" w:hAnsi="Times New Roman" w:eastAsia="黑体" w:cs="Times New Roman"/>
          <w:b w:val="0"/>
          <w:color w:val="auto"/>
          <w:highlight w:val="none"/>
        </w:rPr>
        <w:t>第四部分 附件</w:t>
      </w:r>
      <w:bookmarkEnd w:id="87"/>
    </w:p>
    <w:p>
      <w:pPr>
        <w:spacing w:line="572" w:lineRule="exact"/>
        <w:jc w:val="left"/>
        <w:outlineLvl w:val="0"/>
        <w:rPr>
          <w:rFonts w:ascii="仿宋_GB2312" w:hAnsi="仿宋_GB2312" w:eastAsia="仿宋_GB2312" w:cs="仿宋_GB2312"/>
          <w:color w:val="0000FF"/>
          <w:sz w:val="32"/>
          <w:szCs w:val="32"/>
        </w:rPr>
      </w:pPr>
    </w:p>
    <w:p>
      <w:pPr>
        <w:pageBreakBefore w:val="0"/>
        <w:widowControl w:val="0"/>
        <w:kinsoku/>
        <w:wordWrap/>
        <w:overflowPunct/>
        <w:topLinePunct w:val="0"/>
        <w:bidi w:val="0"/>
        <w:snapToGrid/>
        <w:spacing w:line="560" w:lineRule="exact"/>
        <w:jc w:val="center"/>
        <w:textAlignment w:val="auto"/>
        <w:outlineLvl w:val="1"/>
        <w:rPr>
          <w:rFonts w:hint="eastAsia" w:ascii="Times New Roman" w:hAnsi="Times New Roman" w:eastAsia="仿宋_GB2312" w:cs="Times New Roman"/>
          <w:sz w:val="32"/>
          <w:szCs w:val="32"/>
          <w:lang w:val="en-US" w:eastAsia="zh-CN"/>
        </w:rPr>
      </w:pPr>
      <w:bookmarkStart w:id="89" w:name="_Toc9519_WPSOffice_Level2"/>
      <w:r>
        <w:rPr>
          <w:rFonts w:hint="eastAsia" w:ascii="Times New Roman" w:hAnsi="Times New Roman" w:eastAsia="仿宋_GB2312" w:cs="Times New Roman"/>
          <w:sz w:val="32"/>
          <w:szCs w:val="32"/>
          <w:lang w:val="en-US" w:eastAsia="zh-CN"/>
        </w:rPr>
        <w:t>部门预算项目支出绩效自评表（2024年度）</w:t>
      </w:r>
      <w:bookmarkEnd w:id="89"/>
    </w:p>
    <w:p>
      <w:pPr>
        <w:pStyle w:val="7"/>
        <w:spacing w:line="560" w:lineRule="exact"/>
        <w:ind w:left="0" w:leftChars="0" w:firstLine="640"/>
        <w:rPr>
          <w:color w:val="0000FF"/>
          <w:sz w:val="32"/>
        </w:rPr>
      </w:pP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黑体"/>
          <w:color w:val="auto"/>
          <w:sz w:val="44"/>
          <w:szCs w:val="44"/>
          <w:highlight w:val="none"/>
        </w:rPr>
      </w:pP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黑体"/>
          <w:color w:val="auto"/>
          <w:sz w:val="44"/>
          <w:szCs w:val="44"/>
          <w:highlight w:val="none"/>
        </w:rPr>
      </w:pPr>
    </w:p>
    <w:p>
      <w:pPr>
        <w:pStyle w:val="2"/>
        <w:rPr>
          <w:rFonts w:hint="eastAsia" w:ascii="Times New Roman" w:hAnsi="Times New Roman" w:eastAsia="黑体"/>
          <w:color w:val="auto"/>
          <w:sz w:val="44"/>
          <w:szCs w:val="44"/>
          <w:highlight w:val="none"/>
        </w:rPr>
      </w:pPr>
    </w:p>
    <w:p>
      <w:pPr>
        <w:pStyle w:val="2"/>
        <w:rPr>
          <w:rFonts w:hint="eastAsia" w:ascii="Times New Roman" w:hAnsi="Times New Roman" w:eastAsia="黑体"/>
          <w:color w:val="auto"/>
          <w:sz w:val="44"/>
          <w:szCs w:val="44"/>
          <w:highlight w:val="none"/>
        </w:rPr>
      </w:pPr>
    </w:p>
    <w:p>
      <w:pPr>
        <w:pStyle w:val="2"/>
        <w:rPr>
          <w:rFonts w:hint="eastAsia" w:ascii="Times New Roman" w:hAnsi="Times New Roman" w:eastAsia="黑体"/>
          <w:color w:val="auto"/>
          <w:sz w:val="44"/>
          <w:szCs w:val="44"/>
          <w:highlight w:val="none"/>
        </w:rPr>
      </w:pPr>
    </w:p>
    <w:p>
      <w:pPr>
        <w:pStyle w:val="2"/>
        <w:rPr>
          <w:rFonts w:hint="eastAsia" w:ascii="Times New Roman" w:hAnsi="Times New Roman" w:eastAsia="黑体"/>
          <w:color w:val="auto"/>
          <w:sz w:val="44"/>
          <w:szCs w:val="44"/>
          <w:highlight w:val="none"/>
        </w:rPr>
      </w:pPr>
    </w:p>
    <w:p>
      <w:pPr>
        <w:pStyle w:val="2"/>
        <w:rPr>
          <w:rFonts w:hint="eastAsia" w:ascii="Times New Roman" w:hAnsi="Times New Roman" w:eastAsia="黑体"/>
          <w:color w:val="auto"/>
          <w:sz w:val="44"/>
          <w:szCs w:val="44"/>
          <w:highlight w:val="none"/>
        </w:rPr>
      </w:pPr>
    </w:p>
    <w:p>
      <w:pPr>
        <w:pStyle w:val="2"/>
        <w:rPr>
          <w:rFonts w:hint="eastAsia" w:ascii="Times New Roman" w:hAnsi="Times New Roman" w:eastAsia="黑体"/>
          <w:color w:val="auto"/>
          <w:sz w:val="44"/>
          <w:szCs w:val="44"/>
          <w:highlight w:val="none"/>
        </w:rPr>
      </w:pPr>
    </w:p>
    <w:p>
      <w:pPr>
        <w:pStyle w:val="2"/>
        <w:rPr>
          <w:rFonts w:hint="eastAsia" w:ascii="Times New Roman" w:hAnsi="Times New Roman" w:eastAsia="黑体"/>
          <w:color w:val="auto"/>
          <w:sz w:val="44"/>
          <w:szCs w:val="44"/>
          <w:highlight w:val="none"/>
        </w:rPr>
      </w:pPr>
    </w:p>
    <w:p>
      <w:pPr>
        <w:pStyle w:val="2"/>
        <w:rPr>
          <w:rFonts w:hint="eastAsia" w:ascii="Times New Roman" w:hAnsi="Times New Roman" w:eastAsia="黑体"/>
          <w:color w:val="auto"/>
          <w:sz w:val="44"/>
          <w:szCs w:val="44"/>
          <w:highlight w:val="none"/>
        </w:rPr>
      </w:pPr>
    </w:p>
    <w:p>
      <w:pPr>
        <w:pStyle w:val="2"/>
        <w:rPr>
          <w:rFonts w:hint="eastAsia" w:ascii="Times New Roman" w:hAnsi="Times New Roman" w:eastAsia="黑体"/>
          <w:color w:val="auto"/>
          <w:sz w:val="44"/>
          <w:szCs w:val="44"/>
          <w:highlight w:val="none"/>
        </w:rPr>
      </w:pPr>
    </w:p>
    <w:p>
      <w:pPr>
        <w:pStyle w:val="2"/>
        <w:rPr>
          <w:rFonts w:hint="eastAsia" w:ascii="Times New Roman" w:hAnsi="Times New Roman" w:eastAsia="黑体"/>
          <w:color w:val="auto"/>
          <w:sz w:val="44"/>
          <w:szCs w:val="44"/>
          <w:highlight w:val="none"/>
        </w:rPr>
      </w:pPr>
    </w:p>
    <w:p>
      <w:pPr>
        <w:pStyle w:val="2"/>
        <w:rPr>
          <w:rFonts w:hint="eastAsia" w:ascii="Times New Roman" w:hAnsi="Times New Roman" w:eastAsia="黑体"/>
          <w:color w:val="auto"/>
          <w:sz w:val="44"/>
          <w:szCs w:val="44"/>
          <w:highlight w:val="none"/>
        </w:rPr>
      </w:pPr>
    </w:p>
    <w:p>
      <w:pPr>
        <w:pStyle w:val="2"/>
        <w:rPr>
          <w:rFonts w:hint="eastAsia" w:ascii="Times New Roman" w:hAnsi="Times New Roman" w:eastAsia="黑体"/>
          <w:color w:val="auto"/>
          <w:sz w:val="44"/>
          <w:szCs w:val="44"/>
          <w:highlight w:val="none"/>
        </w:rPr>
      </w:pPr>
    </w:p>
    <w:p>
      <w:pPr>
        <w:pStyle w:val="2"/>
        <w:rPr>
          <w:rFonts w:hint="eastAsia" w:ascii="Times New Roman" w:hAnsi="Times New Roman" w:eastAsia="黑体"/>
          <w:color w:val="auto"/>
          <w:sz w:val="44"/>
          <w:szCs w:val="44"/>
          <w:highlight w:val="none"/>
        </w:rPr>
      </w:pPr>
    </w:p>
    <w:p>
      <w:pPr>
        <w:keepNext w:val="0"/>
        <w:keepLines w:val="0"/>
        <w:pageBreakBefore w:val="0"/>
        <w:widowControl/>
        <w:kinsoku/>
        <w:wordWrap/>
        <w:overflowPunct/>
        <w:topLinePunct w:val="0"/>
        <w:bidi w:val="0"/>
        <w:spacing w:line="240" w:lineRule="auto"/>
        <w:jc w:val="center"/>
        <w:textAlignment w:val="auto"/>
        <w:rPr>
          <w:rStyle w:val="28"/>
          <w:rFonts w:hint="eastAsia" w:ascii="Times New Roman" w:hAnsi="Times New Roman" w:eastAsia="黑体" w:cs="Times New Roman"/>
          <w:b w:val="0"/>
          <w:color w:val="auto"/>
          <w:highlight w:val="none"/>
        </w:rPr>
      </w:pPr>
      <w:bookmarkStart w:id="90" w:name="_Toc4107_WPSOffice_Level1"/>
    </w:p>
    <w:p>
      <w:pPr>
        <w:keepNext w:val="0"/>
        <w:keepLines w:val="0"/>
        <w:pageBreakBefore w:val="0"/>
        <w:widowControl/>
        <w:kinsoku/>
        <w:wordWrap/>
        <w:overflowPunct/>
        <w:topLinePunct w:val="0"/>
        <w:bidi w:val="0"/>
        <w:spacing w:line="240" w:lineRule="auto"/>
        <w:jc w:val="center"/>
        <w:textAlignment w:val="auto"/>
        <w:rPr>
          <w:rStyle w:val="28"/>
          <w:rFonts w:hint="eastAsia" w:ascii="Times New Roman" w:hAnsi="Times New Roman" w:eastAsia="黑体" w:cs="Times New Roman"/>
          <w:b w:val="0"/>
          <w:color w:val="auto"/>
          <w:highlight w:val="none"/>
        </w:rPr>
      </w:pPr>
      <w:bookmarkStart w:id="117" w:name="_GoBack"/>
      <w:bookmarkEnd w:id="117"/>
      <w:r>
        <w:rPr>
          <w:rStyle w:val="28"/>
          <w:rFonts w:hint="eastAsia" w:ascii="Times New Roman" w:hAnsi="Times New Roman" w:eastAsia="黑体" w:cs="Times New Roman"/>
          <w:b w:val="0"/>
          <w:color w:val="auto"/>
          <w:highlight w:val="none"/>
        </w:rPr>
        <w:t>第五部分 附表</w:t>
      </w:r>
      <w:bookmarkEnd w:id="86"/>
      <w:bookmarkEnd w:id="88"/>
      <w:bookmarkEnd w:id="90"/>
      <w:bookmarkStart w:id="91" w:name="_Toc15396619"/>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pPr>
        <w:keepNext w:val="0"/>
        <w:keepLines w:val="0"/>
        <w:pageBreakBefore w:val="0"/>
        <w:numPr>
          <w:ilvl w:val="0"/>
          <w:numId w:val="0"/>
        </w:numPr>
        <w:kinsoku/>
        <w:wordWrap/>
        <w:overflowPunct/>
        <w:topLinePunct w:val="0"/>
        <w:bidi w:val="0"/>
        <w:spacing w:line="240" w:lineRule="auto"/>
        <w:ind w:left="630" w:leftChars="0"/>
        <w:textAlignment w:val="auto"/>
        <w:outlineLvl w:val="1"/>
        <w:rPr>
          <w:rStyle w:val="29"/>
          <w:rFonts w:hint="eastAsia" w:ascii="Times New Roman" w:hAnsi="Times New Roman" w:eastAsia="黑体" w:cs="Times New Roman"/>
          <w:b w:val="0"/>
          <w:color w:val="auto"/>
          <w:highlight w:val="none"/>
          <w:lang w:eastAsia="zh-CN"/>
        </w:rPr>
      </w:pPr>
      <w:bookmarkStart w:id="92" w:name="_Toc17666_WPSOffice_Level2"/>
      <w:r>
        <w:rPr>
          <w:rStyle w:val="29"/>
          <w:rFonts w:hint="eastAsia" w:ascii="Times New Roman" w:hAnsi="Times New Roman" w:eastAsia="黑体" w:cs="Times New Roman"/>
          <w:b w:val="0"/>
          <w:color w:val="auto"/>
          <w:highlight w:val="none"/>
          <w:lang w:eastAsia="zh-CN"/>
        </w:rPr>
        <w:t>一、收入支出决算总表</w:t>
      </w:r>
      <w:bookmarkEnd w:id="91"/>
      <w:bookmarkEnd w:id="92"/>
    </w:p>
    <w:p>
      <w:pPr>
        <w:keepNext w:val="0"/>
        <w:keepLines w:val="0"/>
        <w:pageBreakBefore w:val="0"/>
        <w:numPr>
          <w:ilvl w:val="0"/>
          <w:numId w:val="0"/>
        </w:numPr>
        <w:kinsoku/>
        <w:wordWrap/>
        <w:overflowPunct/>
        <w:topLinePunct w:val="0"/>
        <w:bidi w:val="0"/>
        <w:spacing w:line="240" w:lineRule="auto"/>
        <w:ind w:left="630" w:leftChars="0"/>
        <w:textAlignment w:val="auto"/>
        <w:outlineLvl w:val="1"/>
        <w:rPr>
          <w:rStyle w:val="29"/>
          <w:rFonts w:hint="eastAsia" w:ascii="Times New Roman" w:hAnsi="Times New Roman" w:eastAsia="黑体" w:cs="Times New Roman"/>
          <w:b w:val="0"/>
          <w:color w:val="auto"/>
          <w:highlight w:val="none"/>
          <w:lang w:eastAsia="zh-CN"/>
        </w:rPr>
      </w:pPr>
      <w:bookmarkStart w:id="93" w:name="_Toc15396620"/>
      <w:bookmarkStart w:id="94" w:name="_Toc23152_WPSOffice_Level2"/>
      <w:r>
        <w:rPr>
          <w:rStyle w:val="29"/>
          <w:rFonts w:hint="eastAsia" w:ascii="Times New Roman" w:hAnsi="Times New Roman" w:eastAsia="黑体" w:cs="Times New Roman"/>
          <w:b w:val="0"/>
          <w:color w:val="auto"/>
          <w:highlight w:val="none"/>
          <w:lang w:eastAsia="zh-CN"/>
        </w:rPr>
        <w:t>二、收入决算表</w:t>
      </w:r>
      <w:bookmarkEnd w:id="93"/>
      <w:bookmarkEnd w:id="94"/>
    </w:p>
    <w:p>
      <w:pPr>
        <w:keepNext w:val="0"/>
        <w:keepLines w:val="0"/>
        <w:pageBreakBefore w:val="0"/>
        <w:numPr>
          <w:ilvl w:val="0"/>
          <w:numId w:val="0"/>
        </w:numPr>
        <w:kinsoku/>
        <w:wordWrap/>
        <w:overflowPunct/>
        <w:topLinePunct w:val="0"/>
        <w:bidi w:val="0"/>
        <w:spacing w:line="240" w:lineRule="auto"/>
        <w:ind w:left="630" w:leftChars="0"/>
        <w:textAlignment w:val="auto"/>
        <w:outlineLvl w:val="1"/>
        <w:rPr>
          <w:rStyle w:val="29"/>
          <w:rFonts w:hint="eastAsia" w:ascii="Times New Roman" w:hAnsi="Times New Roman" w:eastAsia="黑体" w:cs="Times New Roman"/>
          <w:b w:val="0"/>
          <w:color w:val="auto"/>
          <w:highlight w:val="none"/>
          <w:lang w:eastAsia="zh-CN"/>
        </w:rPr>
      </w:pPr>
      <w:bookmarkStart w:id="95" w:name="_Toc15396621"/>
      <w:bookmarkStart w:id="96" w:name="_Toc1314_WPSOffice_Level2"/>
      <w:r>
        <w:rPr>
          <w:rStyle w:val="29"/>
          <w:rFonts w:hint="eastAsia" w:ascii="Times New Roman" w:hAnsi="Times New Roman" w:eastAsia="黑体" w:cs="Times New Roman"/>
          <w:b w:val="0"/>
          <w:color w:val="auto"/>
          <w:highlight w:val="none"/>
          <w:lang w:eastAsia="zh-CN"/>
        </w:rPr>
        <w:t>三、支出决算表</w:t>
      </w:r>
      <w:bookmarkEnd w:id="95"/>
      <w:bookmarkEnd w:id="96"/>
    </w:p>
    <w:p>
      <w:pPr>
        <w:keepNext w:val="0"/>
        <w:keepLines w:val="0"/>
        <w:pageBreakBefore w:val="0"/>
        <w:numPr>
          <w:ilvl w:val="0"/>
          <w:numId w:val="0"/>
        </w:numPr>
        <w:kinsoku/>
        <w:wordWrap/>
        <w:overflowPunct/>
        <w:topLinePunct w:val="0"/>
        <w:bidi w:val="0"/>
        <w:spacing w:line="240" w:lineRule="auto"/>
        <w:ind w:left="630" w:leftChars="0"/>
        <w:textAlignment w:val="auto"/>
        <w:outlineLvl w:val="1"/>
        <w:rPr>
          <w:rStyle w:val="29"/>
          <w:rFonts w:hint="eastAsia" w:ascii="Times New Roman" w:hAnsi="Times New Roman" w:eastAsia="黑体" w:cs="Times New Roman"/>
          <w:b w:val="0"/>
          <w:color w:val="auto"/>
          <w:highlight w:val="none"/>
          <w:lang w:eastAsia="zh-CN"/>
        </w:rPr>
      </w:pPr>
      <w:bookmarkStart w:id="97" w:name="_Toc15396622"/>
      <w:bookmarkStart w:id="98" w:name="_Toc9994_WPSOffice_Level2"/>
      <w:r>
        <w:rPr>
          <w:rStyle w:val="29"/>
          <w:rFonts w:hint="eastAsia" w:ascii="Times New Roman" w:hAnsi="Times New Roman" w:eastAsia="黑体" w:cs="Times New Roman"/>
          <w:b w:val="0"/>
          <w:color w:val="auto"/>
          <w:highlight w:val="none"/>
          <w:lang w:eastAsia="zh-CN"/>
        </w:rPr>
        <w:t>四、财政拨款收入支出决算总表</w:t>
      </w:r>
      <w:bookmarkEnd w:id="97"/>
      <w:bookmarkEnd w:id="98"/>
    </w:p>
    <w:p>
      <w:pPr>
        <w:keepNext w:val="0"/>
        <w:keepLines w:val="0"/>
        <w:pageBreakBefore w:val="0"/>
        <w:numPr>
          <w:ilvl w:val="0"/>
          <w:numId w:val="0"/>
        </w:numPr>
        <w:kinsoku/>
        <w:wordWrap/>
        <w:overflowPunct/>
        <w:topLinePunct w:val="0"/>
        <w:bidi w:val="0"/>
        <w:spacing w:line="240" w:lineRule="auto"/>
        <w:ind w:left="630" w:leftChars="0"/>
        <w:textAlignment w:val="auto"/>
        <w:outlineLvl w:val="1"/>
        <w:rPr>
          <w:rStyle w:val="29"/>
          <w:rFonts w:hint="eastAsia" w:ascii="Times New Roman" w:hAnsi="Times New Roman" w:eastAsia="黑体" w:cs="Times New Roman"/>
          <w:b w:val="0"/>
          <w:color w:val="auto"/>
          <w:highlight w:val="none"/>
          <w:lang w:eastAsia="zh-CN"/>
        </w:rPr>
      </w:pPr>
      <w:bookmarkStart w:id="99" w:name="_Toc15396623"/>
      <w:bookmarkStart w:id="100" w:name="_Toc29326_WPSOffice_Level2"/>
      <w:r>
        <w:rPr>
          <w:rStyle w:val="29"/>
          <w:rFonts w:hint="eastAsia" w:ascii="Times New Roman" w:hAnsi="Times New Roman" w:eastAsia="黑体" w:cs="Times New Roman"/>
          <w:b w:val="0"/>
          <w:color w:val="auto"/>
          <w:highlight w:val="none"/>
          <w:lang w:eastAsia="zh-CN"/>
        </w:rPr>
        <w:t>五、财政拨款支出决算明细表</w:t>
      </w:r>
      <w:bookmarkEnd w:id="99"/>
      <w:bookmarkEnd w:id="100"/>
      <w:bookmarkStart w:id="101" w:name="_Toc15396624"/>
    </w:p>
    <w:p>
      <w:pPr>
        <w:keepNext w:val="0"/>
        <w:keepLines w:val="0"/>
        <w:pageBreakBefore w:val="0"/>
        <w:numPr>
          <w:ilvl w:val="0"/>
          <w:numId w:val="0"/>
        </w:numPr>
        <w:kinsoku/>
        <w:wordWrap/>
        <w:overflowPunct/>
        <w:topLinePunct w:val="0"/>
        <w:bidi w:val="0"/>
        <w:spacing w:line="240" w:lineRule="auto"/>
        <w:ind w:left="630" w:leftChars="0"/>
        <w:textAlignment w:val="auto"/>
        <w:outlineLvl w:val="1"/>
        <w:rPr>
          <w:rStyle w:val="29"/>
          <w:rFonts w:hint="eastAsia" w:ascii="Times New Roman" w:hAnsi="Times New Roman" w:eastAsia="黑体" w:cs="Times New Roman"/>
          <w:b w:val="0"/>
          <w:color w:val="auto"/>
          <w:highlight w:val="none"/>
          <w:lang w:eastAsia="zh-CN"/>
        </w:rPr>
      </w:pPr>
      <w:bookmarkStart w:id="102" w:name="_Toc30399_WPSOffice_Level2"/>
      <w:r>
        <w:rPr>
          <w:rStyle w:val="29"/>
          <w:rFonts w:hint="eastAsia" w:ascii="Times New Roman" w:hAnsi="Times New Roman" w:eastAsia="黑体" w:cs="Times New Roman"/>
          <w:b w:val="0"/>
          <w:color w:val="auto"/>
          <w:highlight w:val="none"/>
          <w:lang w:eastAsia="zh-CN"/>
        </w:rPr>
        <w:t>六、一般公共预算财政拨款支出决算表</w:t>
      </w:r>
      <w:bookmarkEnd w:id="101"/>
      <w:bookmarkEnd w:id="102"/>
    </w:p>
    <w:p>
      <w:pPr>
        <w:keepNext w:val="0"/>
        <w:keepLines w:val="0"/>
        <w:pageBreakBefore w:val="0"/>
        <w:numPr>
          <w:ilvl w:val="0"/>
          <w:numId w:val="0"/>
        </w:numPr>
        <w:kinsoku/>
        <w:wordWrap/>
        <w:overflowPunct/>
        <w:topLinePunct w:val="0"/>
        <w:bidi w:val="0"/>
        <w:spacing w:line="240" w:lineRule="auto"/>
        <w:ind w:left="630" w:leftChars="0"/>
        <w:textAlignment w:val="auto"/>
        <w:outlineLvl w:val="1"/>
        <w:rPr>
          <w:rStyle w:val="29"/>
          <w:rFonts w:hint="eastAsia" w:ascii="Times New Roman" w:hAnsi="Times New Roman" w:eastAsia="黑体" w:cs="Times New Roman"/>
          <w:b w:val="0"/>
          <w:color w:val="auto"/>
          <w:highlight w:val="none"/>
          <w:lang w:eastAsia="zh-CN"/>
        </w:rPr>
      </w:pPr>
      <w:bookmarkStart w:id="103" w:name="_Toc15396625"/>
      <w:bookmarkStart w:id="104" w:name="_Toc1702_WPSOffice_Level2"/>
      <w:r>
        <w:rPr>
          <w:rStyle w:val="29"/>
          <w:rFonts w:hint="eastAsia" w:ascii="Times New Roman" w:hAnsi="Times New Roman" w:eastAsia="黑体" w:cs="Times New Roman"/>
          <w:b w:val="0"/>
          <w:color w:val="auto"/>
          <w:highlight w:val="none"/>
          <w:lang w:eastAsia="zh-CN"/>
        </w:rPr>
        <w:t>七、一般公共预算财政拨款支出决算明细表</w:t>
      </w:r>
      <w:bookmarkEnd w:id="103"/>
      <w:bookmarkEnd w:id="104"/>
    </w:p>
    <w:p>
      <w:pPr>
        <w:keepNext w:val="0"/>
        <w:keepLines w:val="0"/>
        <w:pageBreakBefore w:val="0"/>
        <w:numPr>
          <w:ilvl w:val="0"/>
          <w:numId w:val="0"/>
        </w:numPr>
        <w:kinsoku/>
        <w:wordWrap/>
        <w:overflowPunct/>
        <w:topLinePunct w:val="0"/>
        <w:bidi w:val="0"/>
        <w:spacing w:line="240" w:lineRule="auto"/>
        <w:ind w:left="630" w:leftChars="0"/>
        <w:textAlignment w:val="auto"/>
        <w:outlineLvl w:val="1"/>
        <w:rPr>
          <w:rStyle w:val="29"/>
          <w:rFonts w:hint="eastAsia" w:ascii="Times New Roman" w:hAnsi="Times New Roman" w:eastAsia="黑体" w:cs="Times New Roman"/>
          <w:b w:val="0"/>
          <w:color w:val="auto"/>
          <w:highlight w:val="none"/>
          <w:lang w:eastAsia="zh-CN"/>
        </w:rPr>
      </w:pPr>
      <w:bookmarkStart w:id="105" w:name="_Toc15396626"/>
      <w:bookmarkStart w:id="106" w:name="_Toc20335_WPSOffice_Level2"/>
      <w:r>
        <w:rPr>
          <w:rStyle w:val="29"/>
          <w:rFonts w:hint="eastAsia" w:ascii="Times New Roman" w:hAnsi="Times New Roman" w:eastAsia="黑体" w:cs="Times New Roman"/>
          <w:b w:val="0"/>
          <w:color w:val="auto"/>
          <w:highlight w:val="none"/>
          <w:lang w:eastAsia="zh-CN"/>
        </w:rPr>
        <w:t>八、一般公共预算财政拨款基本支出决算表</w:t>
      </w:r>
      <w:bookmarkEnd w:id="105"/>
      <w:bookmarkEnd w:id="106"/>
    </w:p>
    <w:p>
      <w:pPr>
        <w:keepNext w:val="0"/>
        <w:keepLines w:val="0"/>
        <w:pageBreakBefore w:val="0"/>
        <w:numPr>
          <w:ilvl w:val="0"/>
          <w:numId w:val="0"/>
        </w:numPr>
        <w:kinsoku/>
        <w:wordWrap/>
        <w:overflowPunct/>
        <w:topLinePunct w:val="0"/>
        <w:bidi w:val="0"/>
        <w:spacing w:line="240" w:lineRule="auto"/>
        <w:ind w:left="630" w:leftChars="0"/>
        <w:textAlignment w:val="auto"/>
        <w:outlineLvl w:val="1"/>
        <w:rPr>
          <w:rStyle w:val="29"/>
          <w:rFonts w:hint="eastAsia" w:ascii="Times New Roman" w:hAnsi="Times New Roman" w:eastAsia="黑体" w:cs="Times New Roman"/>
          <w:b w:val="0"/>
          <w:color w:val="auto"/>
          <w:highlight w:val="none"/>
          <w:lang w:eastAsia="zh-CN"/>
        </w:rPr>
      </w:pPr>
      <w:bookmarkStart w:id="107" w:name="_Toc15396627"/>
      <w:bookmarkStart w:id="108" w:name="_Toc25029_WPSOffice_Level2"/>
      <w:r>
        <w:rPr>
          <w:rStyle w:val="29"/>
          <w:rFonts w:hint="eastAsia" w:ascii="Times New Roman" w:hAnsi="Times New Roman" w:eastAsia="黑体" w:cs="Times New Roman"/>
          <w:b w:val="0"/>
          <w:color w:val="auto"/>
          <w:highlight w:val="none"/>
          <w:lang w:eastAsia="zh-CN"/>
        </w:rPr>
        <w:t>九、一般公共预算财政拨款项目支出决算表</w:t>
      </w:r>
      <w:bookmarkEnd w:id="107"/>
      <w:bookmarkEnd w:id="108"/>
    </w:p>
    <w:p>
      <w:pPr>
        <w:keepNext w:val="0"/>
        <w:keepLines w:val="0"/>
        <w:pageBreakBefore w:val="0"/>
        <w:numPr>
          <w:ilvl w:val="0"/>
          <w:numId w:val="0"/>
        </w:numPr>
        <w:kinsoku/>
        <w:wordWrap/>
        <w:overflowPunct/>
        <w:topLinePunct w:val="0"/>
        <w:bidi w:val="0"/>
        <w:spacing w:line="240" w:lineRule="auto"/>
        <w:ind w:left="630" w:leftChars="0"/>
        <w:textAlignment w:val="auto"/>
        <w:outlineLvl w:val="1"/>
        <w:rPr>
          <w:rStyle w:val="29"/>
          <w:rFonts w:hint="eastAsia" w:ascii="Times New Roman" w:hAnsi="Times New Roman" w:eastAsia="黑体" w:cs="Times New Roman"/>
          <w:b w:val="0"/>
          <w:color w:val="auto"/>
          <w:highlight w:val="none"/>
          <w:lang w:eastAsia="zh-CN"/>
        </w:rPr>
      </w:pPr>
      <w:bookmarkStart w:id="109" w:name="_Toc15396628"/>
      <w:bookmarkStart w:id="110" w:name="_Toc8737_WPSOffice_Level2"/>
      <w:r>
        <w:rPr>
          <w:rStyle w:val="29"/>
          <w:rFonts w:hint="eastAsia" w:ascii="Times New Roman" w:hAnsi="Times New Roman" w:eastAsia="黑体" w:cs="Times New Roman"/>
          <w:b w:val="0"/>
          <w:color w:val="auto"/>
          <w:highlight w:val="none"/>
          <w:lang w:eastAsia="zh-CN"/>
        </w:rPr>
        <w:t>十、</w:t>
      </w:r>
      <w:bookmarkEnd w:id="109"/>
      <w:r>
        <w:rPr>
          <w:rStyle w:val="29"/>
          <w:rFonts w:hint="eastAsia" w:ascii="Times New Roman" w:hAnsi="Times New Roman" w:eastAsia="黑体" w:cs="Times New Roman"/>
          <w:b w:val="0"/>
          <w:color w:val="auto"/>
          <w:highlight w:val="none"/>
          <w:lang w:eastAsia="zh-CN"/>
        </w:rPr>
        <w:t>政府性基金预算财政拨款收入支出决算表</w:t>
      </w:r>
      <w:bookmarkEnd w:id="110"/>
    </w:p>
    <w:p>
      <w:pPr>
        <w:keepNext w:val="0"/>
        <w:keepLines w:val="0"/>
        <w:pageBreakBefore w:val="0"/>
        <w:numPr>
          <w:ilvl w:val="0"/>
          <w:numId w:val="0"/>
        </w:numPr>
        <w:kinsoku/>
        <w:wordWrap/>
        <w:overflowPunct/>
        <w:topLinePunct w:val="0"/>
        <w:bidi w:val="0"/>
        <w:spacing w:line="240" w:lineRule="auto"/>
        <w:ind w:left="630" w:leftChars="0"/>
        <w:textAlignment w:val="auto"/>
        <w:outlineLvl w:val="1"/>
        <w:rPr>
          <w:rStyle w:val="29"/>
          <w:rFonts w:hint="eastAsia" w:ascii="Times New Roman" w:hAnsi="Times New Roman" w:eastAsia="黑体" w:cs="Times New Roman"/>
          <w:b w:val="0"/>
          <w:color w:val="auto"/>
          <w:highlight w:val="none"/>
          <w:lang w:eastAsia="zh-CN"/>
        </w:rPr>
      </w:pPr>
      <w:bookmarkStart w:id="111" w:name="_Toc15396629"/>
      <w:bookmarkStart w:id="112" w:name="_Toc674_WPSOffice_Level2"/>
      <w:r>
        <w:rPr>
          <w:rStyle w:val="29"/>
          <w:rFonts w:hint="eastAsia" w:ascii="Times New Roman" w:hAnsi="Times New Roman" w:eastAsia="黑体" w:cs="Times New Roman"/>
          <w:b w:val="0"/>
          <w:color w:val="auto"/>
          <w:highlight w:val="none"/>
          <w:lang w:eastAsia="zh-CN"/>
        </w:rPr>
        <w:t>十一、</w:t>
      </w:r>
      <w:bookmarkEnd w:id="111"/>
      <w:r>
        <w:rPr>
          <w:rStyle w:val="29"/>
          <w:rFonts w:hint="eastAsia" w:ascii="Times New Roman" w:hAnsi="Times New Roman" w:eastAsia="黑体" w:cs="Times New Roman"/>
          <w:b w:val="0"/>
          <w:color w:val="auto"/>
          <w:highlight w:val="none"/>
          <w:lang w:eastAsia="zh-CN"/>
        </w:rPr>
        <w:t>国有资本经营预算财政拨款收入支出决算表</w:t>
      </w:r>
      <w:bookmarkEnd w:id="112"/>
    </w:p>
    <w:p>
      <w:pPr>
        <w:keepNext w:val="0"/>
        <w:keepLines w:val="0"/>
        <w:pageBreakBefore w:val="0"/>
        <w:numPr>
          <w:ilvl w:val="0"/>
          <w:numId w:val="0"/>
        </w:numPr>
        <w:kinsoku/>
        <w:wordWrap/>
        <w:overflowPunct/>
        <w:topLinePunct w:val="0"/>
        <w:bidi w:val="0"/>
        <w:spacing w:line="240" w:lineRule="auto"/>
        <w:ind w:left="630" w:leftChars="0"/>
        <w:textAlignment w:val="auto"/>
        <w:outlineLvl w:val="1"/>
        <w:rPr>
          <w:rStyle w:val="29"/>
          <w:rFonts w:hint="eastAsia" w:ascii="Times New Roman" w:hAnsi="Times New Roman" w:eastAsia="黑体" w:cs="Times New Roman"/>
          <w:b w:val="0"/>
          <w:color w:val="auto"/>
          <w:highlight w:val="none"/>
          <w:lang w:eastAsia="zh-CN"/>
        </w:rPr>
      </w:pPr>
      <w:bookmarkStart w:id="113" w:name="_Toc15396630"/>
      <w:bookmarkStart w:id="114" w:name="_Toc9550_WPSOffice_Level2"/>
      <w:r>
        <w:rPr>
          <w:rStyle w:val="29"/>
          <w:rFonts w:hint="eastAsia" w:ascii="Times New Roman" w:hAnsi="Times New Roman" w:eastAsia="黑体" w:cs="Times New Roman"/>
          <w:b w:val="0"/>
          <w:color w:val="auto"/>
          <w:highlight w:val="none"/>
          <w:lang w:eastAsia="zh-CN"/>
        </w:rPr>
        <w:t>十二、</w:t>
      </w:r>
      <w:bookmarkEnd w:id="113"/>
      <w:r>
        <w:rPr>
          <w:rStyle w:val="29"/>
          <w:rFonts w:hint="eastAsia" w:ascii="Times New Roman" w:hAnsi="Times New Roman" w:eastAsia="黑体" w:cs="Times New Roman"/>
          <w:b w:val="0"/>
          <w:color w:val="auto"/>
          <w:highlight w:val="none"/>
          <w:lang w:eastAsia="zh-CN"/>
        </w:rPr>
        <w:t>国有资本经营预算财政拨款支出决算表</w:t>
      </w:r>
      <w:bookmarkEnd w:id="114"/>
    </w:p>
    <w:p>
      <w:pPr>
        <w:keepNext w:val="0"/>
        <w:keepLines w:val="0"/>
        <w:pageBreakBefore w:val="0"/>
        <w:numPr>
          <w:ilvl w:val="0"/>
          <w:numId w:val="0"/>
        </w:numPr>
        <w:kinsoku/>
        <w:wordWrap/>
        <w:overflowPunct/>
        <w:topLinePunct w:val="0"/>
        <w:bidi w:val="0"/>
        <w:spacing w:line="240" w:lineRule="auto"/>
        <w:ind w:left="630" w:leftChars="0"/>
        <w:textAlignment w:val="auto"/>
        <w:outlineLvl w:val="1"/>
        <w:rPr>
          <w:rStyle w:val="29"/>
          <w:rFonts w:hint="eastAsia" w:ascii="Times New Roman" w:hAnsi="Times New Roman" w:eastAsia="黑体" w:cs="Times New Roman"/>
          <w:b w:val="0"/>
          <w:color w:val="auto"/>
          <w:highlight w:val="none"/>
          <w:lang w:eastAsia="zh-CN"/>
        </w:rPr>
      </w:pPr>
      <w:bookmarkStart w:id="115" w:name="_Toc15396631"/>
      <w:bookmarkStart w:id="116" w:name="_Toc13805_WPSOffice_Level2"/>
      <w:r>
        <w:rPr>
          <w:rStyle w:val="29"/>
          <w:rFonts w:hint="eastAsia" w:ascii="Times New Roman" w:hAnsi="Times New Roman" w:eastAsia="黑体" w:cs="Times New Roman"/>
          <w:b w:val="0"/>
          <w:color w:val="auto"/>
          <w:highlight w:val="none"/>
          <w:lang w:eastAsia="zh-CN"/>
        </w:rPr>
        <w:t>十三、</w:t>
      </w:r>
      <w:bookmarkEnd w:id="115"/>
      <w:r>
        <w:rPr>
          <w:rStyle w:val="29"/>
          <w:rFonts w:hint="eastAsia" w:ascii="Times New Roman" w:hAnsi="Times New Roman" w:eastAsia="黑体" w:cs="Times New Roman"/>
          <w:b w:val="0"/>
          <w:color w:val="auto"/>
          <w:highlight w:val="none"/>
          <w:lang w:eastAsia="zh-CN"/>
        </w:rPr>
        <w:t>财政拨款“三公”经费支出决算表</w:t>
      </w:r>
      <w:bookmarkEnd w:id="116"/>
    </w:p>
    <w:p>
      <w:pPr>
        <w:rPr>
          <w:rFonts w:hint="eastAsia" w:ascii="Times New Roman" w:hAnsi="Times New Roman"/>
          <w:lang w:eastAsia="zh-CN"/>
        </w:rPr>
      </w:pPr>
    </w:p>
    <w:sectPr>
      <w:footerReference r:id="rId10" w:type="first"/>
      <w:footerReference r:id="rId9" w:type="default"/>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3010AD9E-30C9-4FF4-AF34-C79F6809DA7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C82B372-691C-4CF1-8F4B-06C2AD897E3F}"/>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93E2092F-A361-466F-ABC5-9189EB211D68}"/>
  </w:font>
  <w:font w:name="仿宋">
    <w:panose1 w:val="02010609060101010101"/>
    <w:charset w:val="86"/>
    <w:family w:val="modern"/>
    <w:pitch w:val="default"/>
    <w:sig w:usb0="800002BF" w:usb1="38CF7CFA" w:usb2="00000016" w:usb3="00000000" w:csb0="00040001" w:csb1="00000000"/>
    <w:embedRegular r:id="rId4" w:fontKey="{605B23A6-69CD-4E29-9A9D-D76D7D383CC7}"/>
  </w:font>
  <w:font w:name="??">
    <w:altName w:val="Segoe Print"/>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embedRegular r:id="rId5" w:fontKey="{CC4FA424-0138-4575-9AEE-25FE8058CE6A}"/>
  </w:font>
  <w:font w:name="楷体_GB2312">
    <w:panose1 w:val="02010609030101010101"/>
    <w:charset w:val="86"/>
    <w:family w:val="auto"/>
    <w:pitch w:val="default"/>
    <w:sig w:usb0="00000001" w:usb1="080E0000" w:usb2="00000000" w:usb3="00000000" w:csb0="00040000" w:csb1="00000000"/>
    <w:embedRegular r:id="rId6" w:fontKey="{5F3C9AE0-5DF6-4160-BF71-82D12FB85B27}"/>
  </w:font>
  <w:font w:name="方正仿宋_GBK">
    <w:panose1 w:val="03000509000000000000"/>
    <w:charset w:val="86"/>
    <w:family w:val="auto"/>
    <w:pitch w:val="default"/>
    <w:sig w:usb0="00000001" w:usb1="080E0000" w:usb2="00000000" w:usb3="00000000" w:csb0="00040000" w:csb1="00000000"/>
    <w:embedRegular r:id="rId7" w:fontKey="{1AD5685D-1796-4B99-A5F4-383061E6BF0C}"/>
  </w:font>
  <w:font w:name="Segoe Print">
    <w:panose1 w:val="02000600000000000000"/>
    <w:charset w:val="00"/>
    <w:family w:val="auto"/>
    <w:pitch w:val="default"/>
    <w:sig w:usb0="0000028F" w:usb1="00000000" w:usb2="00000000" w:usb3="00000000" w:csb0="2000009F" w:csb1="47010000"/>
  </w:font>
  <w:font w:name="方正小标宋_GBK">
    <w:panose1 w:val="03000509000000000000"/>
    <w:charset w:val="86"/>
    <w:family w:val="auto"/>
    <w:pitch w:val="default"/>
    <w:sig w:usb0="00000001" w:usb1="080E0000" w:usb2="00000000" w:usb3="00000000" w:csb0="00040000" w:csb1="00000000"/>
    <w:embedRegular r:id="rId8" w:fontKey="{39C1CB8F-5FD9-43B7-A5C9-3F04C7FBC47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tabs>
        <w:tab w:val="left" w:pos="4701"/>
        <w:tab w:val="clear" w:pos="4153"/>
      </w:tabs>
      <w:rPr>
        <w:rFonts w:hint="eastAsia" w:eastAsia="宋体"/>
        <w:lang w:eastAsia="zh-CN"/>
      </w:rPr>
    </w:pPr>
    <w:r>
      <w:rPr>
        <w:rFonts w:hint="eastAsia"/>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- 2 -</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10"/>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- 2 -</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p>
    <w:pPr>
      <w:pStyle w:val="10"/>
      <w:tabs>
        <w:tab w:val="left" w:pos="4701"/>
        <w:tab w:val="clear" w:pos="4153"/>
      </w:tabs>
      <w:rPr>
        <w:rFonts w:hint="eastAsia" w:eastAsia="宋体"/>
        <w:lang w:eastAsia="zh-CN"/>
      </w:rPr>
    </w:pPr>
    <w:r>
      <w:rPr>
        <w:rFonts w:hint="eastAsia"/>
        <w:lang w:eastAsia="zh-CN"/>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- 1 -</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10"/>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- 1 -</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581798"/>
    <w:multiLevelType w:val="singleLevel"/>
    <w:tmpl w:val="9158179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37C4B37"/>
    <w:rsid w:val="048850C9"/>
    <w:rsid w:val="04916F1E"/>
    <w:rsid w:val="061E35DE"/>
    <w:rsid w:val="066E0107"/>
    <w:rsid w:val="07996F6E"/>
    <w:rsid w:val="07DFD8BA"/>
    <w:rsid w:val="09867E8F"/>
    <w:rsid w:val="0A2032A3"/>
    <w:rsid w:val="0A9D35ED"/>
    <w:rsid w:val="0CA8290A"/>
    <w:rsid w:val="0D35B1ED"/>
    <w:rsid w:val="0E254B6B"/>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9601B0E"/>
    <w:rsid w:val="19A445FC"/>
    <w:rsid w:val="1BE8440E"/>
    <w:rsid w:val="1D155CEE"/>
    <w:rsid w:val="1D1638FE"/>
    <w:rsid w:val="1E312DEB"/>
    <w:rsid w:val="1E740ACF"/>
    <w:rsid w:val="1EC22705"/>
    <w:rsid w:val="1FF35744"/>
    <w:rsid w:val="1FF6BC77"/>
    <w:rsid w:val="2186353C"/>
    <w:rsid w:val="23860B96"/>
    <w:rsid w:val="240371BF"/>
    <w:rsid w:val="244F3473"/>
    <w:rsid w:val="24C97D99"/>
    <w:rsid w:val="25A718F0"/>
    <w:rsid w:val="25BB59F6"/>
    <w:rsid w:val="260F557C"/>
    <w:rsid w:val="26970054"/>
    <w:rsid w:val="281408E2"/>
    <w:rsid w:val="28470C14"/>
    <w:rsid w:val="29FD04D3"/>
    <w:rsid w:val="2BE905BD"/>
    <w:rsid w:val="2BFF7BC6"/>
    <w:rsid w:val="2C8A61B5"/>
    <w:rsid w:val="2D7339BD"/>
    <w:rsid w:val="2DF04E50"/>
    <w:rsid w:val="2E586DFA"/>
    <w:rsid w:val="2F040D46"/>
    <w:rsid w:val="2F6B035B"/>
    <w:rsid w:val="2FAE5751"/>
    <w:rsid w:val="2FB1A395"/>
    <w:rsid w:val="2FD9A7D8"/>
    <w:rsid w:val="2FDBF714"/>
    <w:rsid w:val="30841C37"/>
    <w:rsid w:val="30AB686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0322542"/>
    <w:rsid w:val="4033445D"/>
    <w:rsid w:val="44E268DA"/>
    <w:rsid w:val="450D13D7"/>
    <w:rsid w:val="45506656"/>
    <w:rsid w:val="463204E1"/>
    <w:rsid w:val="486A6C7A"/>
    <w:rsid w:val="4A627F82"/>
    <w:rsid w:val="4B0E749A"/>
    <w:rsid w:val="4B2477C4"/>
    <w:rsid w:val="4B4F25DA"/>
    <w:rsid w:val="4BE068DB"/>
    <w:rsid w:val="4D577224"/>
    <w:rsid w:val="4DBF1CEB"/>
    <w:rsid w:val="4DF0007C"/>
    <w:rsid w:val="4EAB630A"/>
    <w:rsid w:val="4ECE2238"/>
    <w:rsid w:val="4F833267"/>
    <w:rsid w:val="4FE9BD67"/>
    <w:rsid w:val="4FFB052F"/>
    <w:rsid w:val="504E0C5A"/>
    <w:rsid w:val="537E6D0A"/>
    <w:rsid w:val="53AA4820"/>
    <w:rsid w:val="53F74C96"/>
    <w:rsid w:val="55170BA8"/>
    <w:rsid w:val="553218C9"/>
    <w:rsid w:val="55BD3A2A"/>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47F5392"/>
    <w:rsid w:val="65E66580"/>
    <w:rsid w:val="664B1D71"/>
    <w:rsid w:val="664B4E8E"/>
    <w:rsid w:val="67277B67"/>
    <w:rsid w:val="67AA3209"/>
    <w:rsid w:val="67C2580D"/>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2A5E81"/>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11BCA"/>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25"/>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1"/>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0"/>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2"/>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3"/>
    <w:qFormat/>
    <w:uiPriority w:val="9"/>
    <w:rPr>
      <w:rFonts w:ascii="Times New Roman" w:hAnsi="Times New Roman"/>
      <w:b/>
      <w:bCs/>
      <w:kern w:val="44"/>
      <w:sz w:val="44"/>
      <w:szCs w:val="44"/>
    </w:rPr>
  </w:style>
  <w:style w:type="character" w:customStyle="1" w:styleId="29">
    <w:name w:val="标题 2 Char"/>
    <w:basedOn w:val="16"/>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9"/>
    <w:semiHidden/>
    <w:qFormat/>
    <w:uiPriority w:val="99"/>
    <w:rPr>
      <w:rFonts w:ascii="Times New Roman" w:hAnsi="Times New Roman"/>
      <w:kern w:val="2"/>
      <w:sz w:val="18"/>
      <w:szCs w:val="18"/>
    </w:rPr>
  </w:style>
  <w:style w:type="character" w:customStyle="1" w:styleId="32">
    <w:name w:val="标题 3 Char"/>
    <w:basedOn w:val="16"/>
    <w:link w:val="5"/>
    <w:qFormat/>
    <w:uiPriority w:val="9"/>
    <w:rPr>
      <w:rFonts w:ascii="Times New Roman" w:hAnsi="Times New Roman"/>
      <w:b/>
      <w:bCs/>
      <w:kern w:val="2"/>
      <w:sz w:val="32"/>
      <w:szCs w:val="32"/>
    </w:rPr>
  </w:style>
  <w:style w:type="paragraph" w:customStyle="1" w:styleId="33">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35">
    <w:name w:val="标题 1 字符"/>
    <w:basedOn w:val="16"/>
    <w:link w:val="3"/>
    <w:qFormat/>
    <w:uiPriority w:val="9"/>
    <w:rPr>
      <w:rFonts w:ascii="Times New Roman" w:hAnsi="Times New Roman"/>
      <w:b/>
      <w:bCs/>
      <w:kern w:val="44"/>
      <w:sz w:val="44"/>
      <w:szCs w:val="44"/>
    </w:rPr>
  </w:style>
  <w:style w:type="paragraph" w:customStyle="1" w:styleId="36">
    <w:name w:val="WPSOffice手动目录 1"/>
    <w:uiPriority w:val="0"/>
    <w:pPr>
      <w:ind w:leftChars="0"/>
    </w:pPr>
    <w:rPr>
      <w:sz w:val="20"/>
      <w:szCs w:val="20"/>
    </w:rPr>
  </w:style>
  <w:style w:type="paragraph" w:customStyle="1" w:styleId="37">
    <w:name w:val="WPSOffice手动目录 2"/>
    <w:uiPriority w:val="0"/>
    <w:pPr>
      <w:ind w:leftChars="200"/>
    </w:pPr>
    <w:rPr>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glossaryDocument" Target="glossary/document.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chart" Target="charts/chart6.xml"/><Relationship Id="rId16" Type="http://schemas.openxmlformats.org/officeDocument/2006/relationships/chart" Target="charts/chart5.xml"/><Relationship Id="rId15" Type="http://schemas.openxmlformats.org/officeDocument/2006/relationships/chart" Target="charts/chart4.xml"/><Relationship Id="rId14" Type="http://schemas.openxmlformats.org/officeDocument/2006/relationships/chart" Target="charts/chart3.xml"/><Relationship Id="rId13" Type="http://schemas.openxmlformats.org/officeDocument/2006/relationships/chart" Target="charts/chart2.xml"/><Relationship Id="rId12" Type="http://schemas.openxmlformats.org/officeDocument/2006/relationships/chart" Target="charts/chart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PC\Desktop\&#22270;&#3492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PC\Desktop\&#22270;&#3492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PC\Desktop\&#22270;&#3492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PC\Desktop\&#22270;&#3492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PC\Desktop\&#22270;&#3492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PC\Desktop\&#22270;&#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spc="0" baseline="0">
                <a:solidFill>
                  <a:schemeClr val="tx1">
                    <a:lumMod val="65000"/>
                    <a:lumOff val="35000"/>
                  </a:schemeClr>
                </a:solidFill>
                <a:latin typeface="+mn-lt"/>
                <a:ea typeface="+mn-ea"/>
                <a:cs typeface="+mn-cs"/>
              </a:defRPr>
            </a:pPr>
            <a:r>
              <a:rPr sz="1000"/>
              <a:t>收入、支出决算总计变动情况图（单位：万元）</a:t>
            </a:r>
            <a:endParaRPr sz="1000"/>
          </a:p>
        </c:rich>
      </c:tx>
      <c:layout/>
      <c:overlay val="0"/>
      <c:spPr>
        <a:noFill/>
        <a:ln>
          <a:noFill/>
        </a:ln>
        <a:effectLst/>
      </c:spPr>
    </c:title>
    <c:autoTitleDeleted val="0"/>
    <c:plotArea>
      <c:layout/>
      <c:barChart>
        <c:barDir val="col"/>
        <c:grouping val="clustered"/>
        <c:varyColors val="0"/>
        <c:ser>
          <c:idx val="0"/>
          <c:order val="0"/>
          <c:tx>
            <c:strRef>
              <c:f>[图表.xlsx]Sheet1!$B$19</c:f>
              <c:strCache>
                <c:ptCount val="1"/>
                <c:pt idx="0">
                  <c:v>2023年</c:v>
                </c:pt>
              </c:strCache>
            </c:strRef>
          </c:tx>
          <c:spPr>
            <a:solidFill>
              <a:schemeClr val="accent1"/>
            </a:solidFill>
            <a:ln>
              <a:noFill/>
            </a:ln>
            <a:effectLst/>
          </c:spPr>
          <c:invertIfNegative val="0"/>
          <c:dLbls>
            <c:dLbl>
              <c:idx val="0"/>
              <c:layout>
                <c:manualLayout>
                  <c:x val="0.00261734426801605"/>
                  <c:y val="0.04"/>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0.241668120746816"/>
                      <c:h val="0.111555555555556"/>
                    </c:manualLayout>
                  </c15:layout>
                </c:ext>
              </c:extLst>
            </c:dLbl>
            <c:dLbl>
              <c:idx val="1"/>
              <c:layout/>
              <c:dLblPos val="outEnd"/>
              <c:showLegendKey val="0"/>
              <c:showVal val="1"/>
              <c:showCatName val="0"/>
              <c:showSerName val="0"/>
              <c:showPercent val="0"/>
              <c:showBubbleSize val="0"/>
              <c:extLst>
                <c:ext xmlns:c15="http://schemas.microsoft.com/office/drawing/2012/chart" uri="{CE6537A1-D6FC-4f65-9D91-7224C49458BB}">
                  <c15:layout>
                    <c:manualLayout>
                      <c:w val="0.243761996161228"/>
                      <c:h val="0.0693333333333333"/>
                    </c:manualLayout>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[图表.xlsx]Sheet1!$C$18:$D$18</c:f>
              <c:strCache>
                <c:ptCount val="2"/>
                <c:pt idx="0">
                  <c:v>收入</c:v>
                </c:pt>
                <c:pt idx="1">
                  <c:v>支出</c:v>
                </c:pt>
              </c:strCache>
            </c:strRef>
          </c:cat>
          <c:val>
            <c:numRef>
              <c:f>[图表.xlsx]Sheet1!$C$19:$D$19</c:f>
              <c:numCache>
                <c:formatCode>General</c:formatCode>
                <c:ptCount val="2"/>
                <c:pt idx="0">
                  <c:v>4120.9</c:v>
                </c:pt>
                <c:pt idx="1">
                  <c:v>4120.9</c:v>
                </c:pt>
              </c:numCache>
            </c:numRef>
          </c:val>
        </c:ser>
        <c:ser>
          <c:idx val="1"/>
          <c:order val="1"/>
          <c:tx>
            <c:strRef>
              <c:f>[图表.xlsx]Sheet1!$B$20</c:f>
              <c:strCache>
                <c:ptCount val="1"/>
                <c:pt idx="0">
                  <c:v>2024年</c:v>
                </c:pt>
              </c:strCache>
            </c:strRef>
          </c:tx>
          <c:spPr>
            <a:solidFill>
              <a:schemeClr val="accent2"/>
            </a:solidFill>
            <a:ln>
              <a:noFill/>
            </a:ln>
            <a:effectLst/>
          </c:spPr>
          <c:invertIfNegative val="0"/>
          <c:dLbls>
            <c:dLbl>
              <c:idx val="0"/>
              <c:layout>
                <c:manualLayout>
                  <c:x val="0.0157040656080963"/>
                  <c:y val="0.0533333333333333"/>
                </c:manualLayout>
              </c:layout>
              <c:numFmt formatCode="#,##0.00_);\(#,##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extLst>
                <c:ext xmlns:c15="http://schemas.microsoft.com/office/drawing/2012/chart" uri="{CE6537A1-D6FC-4f65-9D91-7224C49458BB}">
                  <c15:layout>
                    <c:manualLayout>
                      <c:w val="0.216192636538126"/>
                      <c:h val="0.117111111111111"/>
                    </c:manualLayout>
                  </c15:layout>
                </c:ext>
              </c:extLst>
            </c:dLbl>
            <c:dLbl>
              <c:idx val="1"/>
              <c:layout>
                <c:manualLayout>
                  <c:x val="0.0104693770720642"/>
                  <c:y val="0.0466666666666667"/>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0.21514569883092"/>
                      <c:h val="0.105333333333333"/>
                    </c:manualLayout>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[图表.xlsx]Sheet1!$C$18:$D$18</c:f>
              <c:strCache>
                <c:ptCount val="2"/>
                <c:pt idx="0">
                  <c:v>收入</c:v>
                </c:pt>
                <c:pt idx="1">
                  <c:v>支出</c:v>
                </c:pt>
              </c:strCache>
            </c:strRef>
          </c:cat>
          <c:val>
            <c:numRef>
              <c:f>[图表.xlsx]Sheet1!$C$20:$D$20</c:f>
              <c:numCache>
                <c:formatCode>General</c:formatCode>
                <c:ptCount val="2"/>
                <c:pt idx="0">
                  <c:v>3963.56</c:v>
                </c:pt>
                <c:pt idx="1">
                  <c:v>3963.56</c:v>
                </c:pt>
              </c:numCache>
            </c:numRef>
          </c:val>
        </c:ser>
        <c:dLbls>
          <c:showLegendKey val="0"/>
          <c:showVal val="1"/>
          <c:showCatName val="0"/>
          <c:showSerName val="0"/>
          <c:showPercent val="0"/>
          <c:showBubbleSize val="0"/>
        </c:dLbls>
        <c:gapWidth val="219"/>
        <c:overlap val="-27"/>
        <c:axId val="283535560"/>
        <c:axId val="976689542"/>
      </c:barChart>
      <c:catAx>
        <c:axId val="28353556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76689542"/>
        <c:crosses val="autoZero"/>
        <c:auto val="1"/>
        <c:lblAlgn val="ctr"/>
        <c:lblOffset val="100"/>
        <c:noMultiLvlLbl val="0"/>
      </c:catAx>
      <c:valAx>
        <c:axId val="97668954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8353556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000" b="0" i="0" u="none" strike="noStrike" kern="1200" spc="0" baseline="0">
                <a:solidFill>
                  <a:schemeClr val="tx1">
                    <a:lumMod val="65000"/>
                    <a:lumOff val="35000"/>
                  </a:schemeClr>
                </a:solidFill>
                <a:latin typeface="+mn-lt"/>
                <a:ea typeface="+mn-ea"/>
                <a:cs typeface="+mn-cs"/>
              </a:defRPr>
            </a:pPr>
            <a:r>
              <a:rPr sz="1000"/>
              <a:t>收入决算结构图（单位：万元）</a:t>
            </a:r>
            <a:endParaRPr sz="1000"/>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manualLayout>
                  <c:x val="0.00797732926967517"/>
                  <c:y val="-0.29696653279712"/>
                </c:manualLayout>
              </c:layout>
              <c:dLblPos val="bestFit"/>
              <c:showLegendKey val="0"/>
              <c:showVal val="1"/>
              <c:showCatName val="0"/>
              <c:showSerName val="0"/>
              <c:showPercent val="1"/>
              <c:showBubbleSize val="0"/>
              <c:separator>
</c:separator>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[图表.xlsx]Sheet1!$B$25:$B$26</c:f>
              <c:strCache>
                <c:ptCount val="2"/>
                <c:pt idx="0">
                  <c:v>一般公共预算财政拨款收入</c:v>
                </c:pt>
              </c:strCache>
            </c:strRef>
          </c:cat>
          <c:val>
            <c:numRef>
              <c:f>[图表.xlsx]Sheet1!$C$25:$C$26</c:f>
              <c:numCache>
                <c:formatCode>General</c:formatCode>
                <c:ptCount val="2"/>
                <c:pt idx="0">
                  <c:v>3963.56</c:v>
                </c:pt>
              </c:numCache>
            </c:numRef>
          </c:val>
        </c:ser>
        <c:dLbls>
          <c:showLegendKey val="0"/>
          <c:showVal val="1"/>
          <c:showCatName val="0"/>
          <c:showSerName val="0"/>
          <c:showPercent val="1"/>
          <c:showBubbleSize val="0"/>
          <c:showLeaderLines val="1"/>
        </c:dLbls>
        <c:firstSliceAng val="0"/>
      </c:pieChart>
      <c:spPr>
        <a:noFill/>
        <a:ln>
          <a:noFill/>
        </a:ln>
        <a:effectLst/>
      </c:spPr>
    </c:plotArea>
    <c:legend>
      <c:legendPos val="b"/>
      <c:legendEntry>
        <c:idx val="1"/>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cap="none" spc="20" baseline="0">
                <a:solidFill>
                  <a:schemeClr val="tx1">
                    <a:lumMod val="50000"/>
                    <a:lumOff val="50000"/>
                  </a:schemeClr>
                </a:solidFill>
                <a:latin typeface="+mn-lt"/>
                <a:ea typeface="+mn-ea"/>
                <a:cs typeface="+mn-cs"/>
              </a:defRPr>
            </a:pPr>
            <a:r>
              <a:t>支出决算结构图（单位：万元）</a:t>
            </a:r>
          </a:p>
        </c:rich>
      </c:tx>
      <c:layout>
        <c:manualLayout>
          <c:xMode val="edge"/>
          <c:yMode val="edge"/>
          <c:x val="0.304027777777778"/>
          <c:y val="0.0138888888888889"/>
        </c:manualLayout>
      </c:layout>
      <c:overlay val="0"/>
      <c:spPr>
        <a:noFill/>
        <a:ln>
          <a:noFill/>
        </a:ln>
        <a:effectLst/>
      </c:spPr>
    </c:title>
    <c:autoTitleDeleted val="0"/>
    <c:plotArea>
      <c:layout/>
      <c:pieChart>
        <c:varyColors val="1"/>
        <c:ser>
          <c:idx val="0"/>
          <c:order val="0"/>
          <c:spPr/>
          <c:explosion val="0"/>
          <c:dPt>
            <c:idx val="0"/>
            <c:bubble3D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dPt>
          <c:dPt>
            <c:idx val="1"/>
            <c:bubble3D val="0"/>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dPt>
          <c:dLbls>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65000"/>
                        <a:lumOff val="35000"/>
                      </a:schemeClr>
                    </a:solidFill>
                    <a:latin typeface="+mn-lt"/>
                    <a:ea typeface="+mn-ea"/>
                    <a:cs typeface="+mn-cs"/>
                  </a:defRPr>
                </a:pPr>
              </a:p>
            </c:txPr>
            <c:dLblPos val="bestFit"/>
            <c:showLegendKey val="1"/>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[图表.xlsx]Sheet1!$B$44:$B$45</c:f>
              <c:strCache>
                <c:ptCount val="2"/>
                <c:pt idx="0">
                  <c:v>基本支出</c:v>
                </c:pt>
                <c:pt idx="1">
                  <c:v>项目支出</c:v>
                </c:pt>
              </c:strCache>
            </c:strRef>
          </c:cat>
          <c:val>
            <c:numRef>
              <c:f>[图表.xlsx]Sheet1!$C$44:$C$45</c:f>
              <c:numCache>
                <c:formatCode>General</c:formatCode>
                <c:ptCount val="2"/>
                <c:pt idx="0">
                  <c:v>3815.86</c:v>
                </c:pt>
                <c:pt idx="1">
                  <c:v>147.7</c:v>
                </c:pt>
              </c:numCache>
            </c:numRef>
          </c:val>
        </c:ser>
        <c:dLbls>
          <c:showLegendKey val="0"/>
          <c:showVal val="1"/>
          <c:showCatName val="1"/>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50000"/>
                  <a:lumOff val="50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spc="0" baseline="0">
                <a:solidFill>
                  <a:schemeClr val="tx1">
                    <a:lumMod val="65000"/>
                    <a:lumOff val="35000"/>
                  </a:schemeClr>
                </a:solidFill>
                <a:latin typeface="+mn-lt"/>
                <a:ea typeface="+mn-ea"/>
                <a:cs typeface="+mn-cs"/>
              </a:defRPr>
            </a:pPr>
            <a:r>
              <a:rPr sz="1200"/>
              <a:t>财政拨款收、支决算总计变动情况（单位：万元）</a:t>
            </a:r>
            <a:endParaRPr sz="1200"/>
          </a:p>
        </c:rich>
      </c:tx>
      <c:layout/>
      <c:overlay val="0"/>
      <c:spPr>
        <a:noFill/>
        <a:ln>
          <a:noFill/>
        </a:ln>
        <a:effectLst/>
      </c:spPr>
    </c:title>
    <c:autoTitleDeleted val="0"/>
    <c:plotArea>
      <c:layout/>
      <c:barChart>
        <c:barDir val="col"/>
        <c:grouping val="clustered"/>
        <c:varyColors val="0"/>
        <c:ser>
          <c:idx val="0"/>
          <c:order val="0"/>
          <c:tx>
            <c:strRef>
              <c:f>[图表.xlsx]Sheet1!$B$3</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[图表.xlsx]Sheet1!$C$2:$D$2</c:f>
              <c:strCache>
                <c:ptCount val="2"/>
                <c:pt idx="0">
                  <c:v>财政拨款收、支决算总计变动情况（单位：万元）</c:v>
                </c:pt>
              </c:strCache>
            </c:strRef>
          </c:cat>
          <c:val>
            <c:numRef>
              <c:f>[图表.xlsx]Sheet1!$C$3:$D$3</c:f>
              <c:numCache>
                <c:formatCode>General</c:formatCode>
                <c:ptCount val="2"/>
                <c:pt idx="0">
                  <c:v>4120.9</c:v>
                </c:pt>
                <c:pt idx="1">
                  <c:v>4120.9</c:v>
                </c:pt>
              </c:numCache>
            </c:numRef>
          </c:val>
        </c:ser>
        <c:ser>
          <c:idx val="1"/>
          <c:order val="1"/>
          <c:tx>
            <c:strRef>
              <c:f>[图表.xlsx]Sheet1!$B$4</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[图表.xlsx]Sheet1!$C$2:$D$2</c:f>
              <c:strCache>
                <c:ptCount val="2"/>
                <c:pt idx="0">
                  <c:v>财政拨款收、支决算总计变动情况（单位：万元）</c:v>
                </c:pt>
              </c:strCache>
            </c:strRef>
          </c:cat>
          <c:val>
            <c:numRef>
              <c:f>[图表.xlsx]Sheet1!$C$4:$D$4</c:f>
              <c:numCache>
                <c:formatCode>General</c:formatCode>
                <c:ptCount val="2"/>
                <c:pt idx="0">
                  <c:v>3963.56</c:v>
                </c:pt>
                <c:pt idx="1">
                  <c:v>3963.56</c:v>
                </c:pt>
              </c:numCache>
            </c:numRef>
          </c:val>
        </c:ser>
        <c:dLbls>
          <c:showLegendKey val="0"/>
          <c:showVal val="1"/>
          <c:showCatName val="0"/>
          <c:showSerName val="0"/>
          <c:showPercent val="0"/>
          <c:showBubbleSize val="0"/>
        </c:dLbls>
        <c:gapWidth val="219"/>
        <c:overlap val="-27"/>
        <c:axId val="811510952"/>
        <c:axId val="935866826"/>
      </c:barChart>
      <c:catAx>
        <c:axId val="811510952"/>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5866826"/>
        <c:crosses val="autoZero"/>
        <c:auto val="1"/>
        <c:lblAlgn val="ctr"/>
        <c:lblOffset val="100"/>
        <c:noMultiLvlLbl val="0"/>
      </c:catAx>
      <c:valAx>
        <c:axId val="93586682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51095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a:t>
            </a:r>
          </a:p>
          <a:p>
            <a:pPr defTabSz="914400">
              <a:defRPr lang="zh-CN" sz="1400" b="0" i="0" u="none" strike="noStrike" kern="1200" spc="0" baseline="0">
                <a:solidFill>
                  <a:schemeClr val="tx1">
                    <a:lumMod val="65000"/>
                    <a:lumOff val="35000"/>
                  </a:schemeClr>
                </a:solidFill>
                <a:latin typeface="+mn-lt"/>
                <a:ea typeface="+mn-ea"/>
                <a:cs typeface="+mn-cs"/>
              </a:defRPr>
            </a:pPr>
            <a:r>
              <a:t>（单位：万元）</a:t>
            </a:r>
          </a:p>
        </c:rich>
      </c:tx>
      <c:layout/>
      <c:overlay val="0"/>
      <c:spPr>
        <a:noFill/>
        <a:ln>
          <a:noFill/>
        </a:ln>
        <a:effectLst/>
      </c:spPr>
    </c:title>
    <c:autoTitleDeleted val="0"/>
    <c:plotArea>
      <c:layout/>
      <c:barChart>
        <c:barDir val="col"/>
        <c:grouping val="stacked"/>
        <c:varyColors val="0"/>
        <c:ser>
          <c:idx val="0"/>
          <c:order val="0"/>
          <c:tx>
            <c:strRef>
              <c:f>[图表.xlsx]Sheet1!$C$68</c:f>
              <c:strCache>
                <c:ptCount val="1"/>
                <c:pt idx="0">
                  <c:v>一般公共预算财政拨款支出决算变动情况（单位：万元）</c:v>
                </c:pt>
              </c:strCache>
            </c:strRef>
          </c:tx>
          <c:spPr>
            <a:solidFill>
              <a:schemeClr val="accent1"/>
            </a:solidFill>
            <a:ln>
              <a:noFill/>
            </a:ln>
            <a:effectLst/>
          </c:spPr>
          <c:invertIfNegative val="0"/>
          <c:dLbls>
            <c:dLbl>
              <c:idx val="0"/>
              <c:layout>
                <c:manualLayout>
                  <c:x val="0.000191025986266332"/>
                  <c:y val="-0.346941370977999"/>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593162335622281"/>
                  <c:y val="-0.166528890584594"/>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[图表.xlsx]Sheet1!$B$69:$B$70</c:f>
              <c:strCache>
                <c:ptCount val="2"/>
                <c:pt idx="0">
                  <c:v>2023年</c:v>
                </c:pt>
                <c:pt idx="1">
                  <c:v>2024年</c:v>
                </c:pt>
              </c:strCache>
            </c:strRef>
          </c:cat>
          <c:val>
            <c:numRef>
              <c:f>[图表.xlsx]Sheet1!$C$69:$C$70</c:f>
              <c:numCache>
                <c:formatCode>General</c:formatCode>
                <c:ptCount val="2"/>
                <c:pt idx="0">
                  <c:v>4120.9</c:v>
                </c:pt>
                <c:pt idx="1">
                  <c:v>3963.56</c:v>
                </c:pt>
              </c:numCache>
            </c:numRef>
          </c:val>
        </c:ser>
        <c:dLbls>
          <c:showLegendKey val="0"/>
          <c:showVal val="1"/>
          <c:showCatName val="0"/>
          <c:showSerName val="0"/>
          <c:showPercent val="0"/>
          <c:showBubbleSize val="0"/>
        </c:dLbls>
        <c:gapWidth val="150"/>
        <c:overlap val="100"/>
        <c:axId val="556116136"/>
        <c:axId val="986431536"/>
      </c:barChart>
      <c:catAx>
        <c:axId val="55611613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86431536"/>
        <c:crosses val="autoZero"/>
        <c:auto val="1"/>
        <c:lblAlgn val="ctr"/>
        <c:lblOffset val="100"/>
        <c:noMultiLvlLbl val="0"/>
      </c:catAx>
      <c:valAx>
        <c:axId val="9864315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561161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1000"/>
              <a:t>一般公共预算财政拨款支出决算结构（单位：万元）</a:t>
            </a:r>
            <a:endParaRPr sz="1000"/>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2"/>
              <c:layout>
                <c:manualLayout>
                  <c:x val="-0.00939429839624547"/>
                  <c:y val="0.0293405482620078"/>
                </c:manualLayout>
              </c:layout>
              <c:dLblPos val="bestFit"/>
              <c:showLegendKey val="1"/>
              <c:showVal val="1"/>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1"/>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[图表.xlsx]Sheet1!$B$168:$B$171</c:f>
              <c:strCache>
                <c:ptCount val="4"/>
                <c:pt idx="0">
                  <c:v>教育支出</c:v>
                </c:pt>
                <c:pt idx="1">
                  <c:v>社会保障和就业支出</c:v>
                </c:pt>
                <c:pt idx="2">
                  <c:v>卫生健康支出</c:v>
                </c:pt>
                <c:pt idx="3">
                  <c:v>住房保障支出</c:v>
                </c:pt>
              </c:strCache>
            </c:strRef>
          </c:cat>
          <c:val>
            <c:numRef>
              <c:f>[图表.xlsx]Sheet1!$C$168:$C$171</c:f>
              <c:numCache>
                <c:formatCode>General</c:formatCode>
                <c:ptCount val="4"/>
                <c:pt idx="0">
                  <c:v>2931.79</c:v>
                </c:pt>
                <c:pt idx="1">
                  <c:v>475.95</c:v>
                </c:pt>
                <c:pt idx="2">
                  <c:v>286.34</c:v>
                </c:pt>
                <c:pt idx="3">
                  <c:v>269.48</c:v>
                </c:pt>
              </c:numCache>
            </c:numRef>
          </c:val>
        </c:ser>
        <c:dLbls>
          <c:showLegendKey val="1"/>
          <c:showVal val="1"/>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4">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2b1ce7b-d4ec-4e4f-8937-c3c0e1e8fbe1}"/>
        <w:style w:val=""/>
        <w:category>
          <w:name w:val="常规"/>
          <w:gallery w:val="placeholder"/>
        </w:category>
        <w:types>
          <w:type w:val="bbPlcHdr"/>
        </w:types>
        <w:behaviors>
          <w:behavior w:val="content"/>
        </w:behaviors>
        <w:description w:val=""/>
        <w:guid w:val="{d2b1ce7b-d4ec-4e4f-8937-c3c0e1e8fbe1}"/>
      </w:docPartPr>
      <w:docPartBody>
        <w:p>
          <w:r>
            <w:rPr>
              <w:color w:val="808080"/>
            </w:rPr>
            <w:t>单击此处输入文字。</w:t>
          </w:r>
        </w:p>
      </w:docPartBody>
    </w:docPart>
    <w:docPart>
      <w:docPartPr>
        <w:name w:val="{0f769a4f-24c0-4a6d-9d89-c7179b57145b}"/>
        <w:style w:val=""/>
        <w:category>
          <w:name w:val="常规"/>
          <w:gallery w:val="placeholder"/>
        </w:category>
        <w:types>
          <w:type w:val="bbPlcHdr"/>
        </w:types>
        <w:behaviors>
          <w:behavior w:val="content"/>
        </w:behaviors>
        <w:description w:val=""/>
        <w:guid w:val="{0f769a4f-24c0-4a6d-9d89-c7179b57145b}"/>
      </w:docPartPr>
      <w:docPartBody>
        <w:p>
          <w:r>
            <w:rPr>
              <w:color w:val="808080"/>
            </w:rPr>
            <w:t>单击此处输入文字。</w:t>
          </w:r>
        </w:p>
      </w:docPartBody>
    </w:docPart>
    <w:docPart>
      <w:docPartPr>
        <w:name w:val="{f1d9d324-2db9-4eca-8c33-bb3aae09d885}"/>
        <w:style w:val=""/>
        <w:category>
          <w:name w:val="常规"/>
          <w:gallery w:val="placeholder"/>
        </w:category>
        <w:types>
          <w:type w:val="bbPlcHdr"/>
        </w:types>
        <w:behaviors>
          <w:behavior w:val="content"/>
        </w:behaviors>
        <w:description w:val=""/>
        <w:guid w:val="{f1d9d324-2db9-4eca-8c33-bb3aae09d885}"/>
      </w:docPartPr>
      <w:docPartBody>
        <w:p>
          <w:r>
            <w:rPr>
              <w:color w:val="808080"/>
            </w:rPr>
            <w:t>单击此处输入文字。</w:t>
          </w:r>
        </w:p>
      </w:docPartBody>
    </w:docPart>
    <w:docPart>
      <w:docPartPr>
        <w:name w:val="{0b6ddfe5-83e6-41f0-a31c-78c7446a8298}"/>
        <w:style w:val=""/>
        <w:category>
          <w:name w:val="常规"/>
          <w:gallery w:val="placeholder"/>
        </w:category>
        <w:types>
          <w:type w:val="bbPlcHdr"/>
        </w:types>
        <w:behaviors>
          <w:behavior w:val="content"/>
        </w:behaviors>
        <w:description w:val=""/>
        <w:guid w:val="{0b6ddfe5-83e6-41f0-a31c-78c7446a8298}"/>
      </w:docPartPr>
      <w:docPartBody>
        <w:p>
          <w:r>
            <w:rPr>
              <w:color w:val="808080"/>
            </w:rPr>
            <w:t>单击此处输入文字。</w:t>
          </w:r>
        </w:p>
      </w:docPartBody>
    </w:docPart>
    <w:docPart>
      <w:docPartPr>
        <w:name w:val="{ad058976-e5d7-4b21-9eec-a9e397e81f4c}"/>
        <w:style w:val=""/>
        <w:category>
          <w:name w:val="常规"/>
          <w:gallery w:val="placeholder"/>
        </w:category>
        <w:types>
          <w:type w:val="bbPlcHdr"/>
        </w:types>
        <w:behaviors>
          <w:behavior w:val="content"/>
        </w:behaviors>
        <w:description w:val=""/>
        <w:guid w:val="{ad058976-e5d7-4b21-9eec-a9e397e81f4c}"/>
      </w:docPartPr>
      <w:docPartBody>
        <w:p>
          <w:r>
            <w:rPr>
              <w:color w:val="808080"/>
            </w:rPr>
            <w:t>单击此处输入文字。</w:t>
          </w:r>
        </w:p>
      </w:docPartBody>
    </w:docPart>
    <w:docPart>
      <w:docPartPr>
        <w:name w:val="{a0436e01-9f2d-429d-98ea-01c7c8097792}"/>
        <w:style w:val=""/>
        <w:category>
          <w:name w:val="常规"/>
          <w:gallery w:val="placeholder"/>
        </w:category>
        <w:types>
          <w:type w:val="bbPlcHdr"/>
        </w:types>
        <w:behaviors>
          <w:behavior w:val="content"/>
        </w:behaviors>
        <w:description w:val=""/>
        <w:guid w:val="{a0436e01-9f2d-429d-98ea-01c7c8097792}"/>
      </w:docPartPr>
      <w:docPartBody>
        <w:p>
          <w:r>
            <w:rPr>
              <w:color w:val="808080"/>
            </w:rPr>
            <w:t>单击此处输入文字。</w:t>
          </w:r>
        </w:p>
      </w:docPartBody>
    </w:docPart>
    <w:docPart>
      <w:docPartPr>
        <w:name w:val="{b786a1ee-702a-43bd-97be-57c226929645}"/>
        <w:style w:val=""/>
        <w:category>
          <w:name w:val="常规"/>
          <w:gallery w:val="placeholder"/>
        </w:category>
        <w:types>
          <w:type w:val="bbPlcHdr"/>
        </w:types>
        <w:behaviors>
          <w:behavior w:val="content"/>
        </w:behaviors>
        <w:description w:val=""/>
        <w:guid w:val="{b786a1ee-702a-43bd-97be-57c226929645}"/>
      </w:docPartPr>
      <w:docPartBody>
        <w:p>
          <w:r>
            <w:rPr>
              <w:color w:val="808080"/>
            </w:rPr>
            <w:t>单击此处输入文字。</w:t>
          </w:r>
        </w:p>
      </w:docPartBody>
    </w:docPart>
    <w:docPart>
      <w:docPartPr>
        <w:name w:val="{50d82ac8-49d3-466a-bb26-52174cb924f4}"/>
        <w:style w:val=""/>
        <w:category>
          <w:name w:val="常规"/>
          <w:gallery w:val="placeholder"/>
        </w:category>
        <w:types>
          <w:type w:val="bbPlcHdr"/>
        </w:types>
        <w:behaviors>
          <w:behavior w:val="content"/>
        </w:behaviors>
        <w:description w:val=""/>
        <w:guid w:val="{50d82ac8-49d3-466a-bb26-52174cb924f4}"/>
      </w:docPartPr>
      <w:docPartBody>
        <w:p>
          <w:r>
            <w:rPr>
              <w:color w:val="808080"/>
            </w:rPr>
            <w:t>单击此处输入文字。</w:t>
          </w:r>
        </w:p>
      </w:docPartBody>
    </w:docPart>
    <w:docPart>
      <w:docPartPr>
        <w:name w:val="{951087ec-c84c-4c5c-a697-de9e732073f7}"/>
        <w:style w:val=""/>
        <w:category>
          <w:name w:val="常规"/>
          <w:gallery w:val="placeholder"/>
        </w:category>
        <w:types>
          <w:type w:val="bbPlcHdr"/>
        </w:types>
        <w:behaviors>
          <w:behavior w:val="content"/>
        </w:behaviors>
        <w:description w:val=""/>
        <w:guid w:val="{951087ec-c84c-4c5c-a697-de9e732073f7}"/>
      </w:docPartPr>
      <w:docPartBody>
        <w:p>
          <w:r>
            <w:rPr>
              <w:color w:val="808080"/>
            </w:rPr>
            <w:t>单击此处输入文字。</w:t>
          </w:r>
        </w:p>
      </w:docPartBody>
    </w:docPart>
    <w:docPart>
      <w:docPartPr>
        <w:name w:val="{4881adee-ffea-41e4-bbc6-57f81b48775e}"/>
        <w:style w:val=""/>
        <w:category>
          <w:name w:val="常规"/>
          <w:gallery w:val="placeholder"/>
        </w:category>
        <w:types>
          <w:type w:val="bbPlcHdr"/>
        </w:types>
        <w:behaviors>
          <w:behavior w:val="content"/>
        </w:behaviors>
        <w:description w:val=""/>
        <w:guid w:val="{4881adee-ffea-41e4-bbc6-57f81b48775e}"/>
      </w:docPartPr>
      <w:docPartBody>
        <w:p>
          <w:r>
            <w:rPr>
              <w:color w:val="808080"/>
            </w:rPr>
            <w:t>单击此处输入文字。</w:t>
          </w:r>
        </w:p>
      </w:docPartBody>
    </w:docPart>
    <w:docPart>
      <w:docPartPr>
        <w:name w:val="{f132e378-0656-4c12-aeb7-85cc09f6aab3}"/>
        <w:style w:val=""/>
        <w:category>
          <w:name w:val="常规"/>
          <w:gallery w:val="placeholder"/>
        </w:category>
        <w:types>
          <w:type w:val="bbPlcHdr"/>
        </w:types>
        <w:behaviors>
          <w:behavior w:val="content"/>
        </w:behaviors>
        <w:description w:val=""/>
        <w:guid w:val="{f132e378-0656-4c12-aeb7-85cc09f6aab3}"/>
      </w:docPartPr>
      <w:docPartBody>
        <w:p>
          <w:r>
            <w:rPr>
              <w:color w:val="808080"/>
            </w:rPr>
            <w:t>单击此处输入文字。</w:t>
          </w:r>
        </w:p>
      </w:docPartBody>
    </w:docPart>
    <w:docPart>
      <w:docPartPr>
        <w:name w:val="{90478093-de5c-48bb-ac72-902801e3f7fa}"/>
        <w:style w:val=""/>
        <w:category>
          <w:name w:val="常规"/>
          <w:gallery w:val="placeholder"/>
        </w:category>
        <w:types>
          <w:type w:val="bbPlcHdr"/>
        </w:types>
        <w:behaviors>
          <w:behavior w:val="content"/>
        </w:behaviors>
        <w:description w:val=""/>
        <w:guid w:val="{90478093-de5c-48bb-ac72-902801e3f7fa}"/>
      </w:docPartPr>
      <w:docPartBody>
        <w:p>
          <w:r>
            <w:rPr>
              <w:color w:val="808080"/>
            </w:rPr>
            <w:t>单击此处输入文字。</w:t>
          </w:r>
        </w:p>
      </w:docPartBody>
    </w:docPart>
    <w:docPart>
      <w:docPartPr>
        <w:name w:val="{6320a0cc-7035-4f04-99fc-9b81b9735a87}"/>
        <w:style w:val=""/>
        <w:category>
          <w:name w:val="常规"/>
          <w:gallery w:val="placeholder"/>
        </w:category>
        <w:types>
          <w:type w:val="bbPlcHdr"/>
        </w:types>
        <w:behaviors>
          <w:behavior w:val="content"/>
        </w:behaviors>
        <w:description w:val=""/>
        <w:guid w:val="{6320a0cc-7035-4f04-99fc-9b81b9735a87}"/>
      </w:docPartPr>
      <w:docPartBody>
        <w:p>
          <w:r>
            <w:rPr>
              <w:color w:val="808080"/>
            </w:rPr>
            <w:t>单击此处输入文字。</w:t>
          </w:r>
        </w:p>
      </w:docPartBody>
    </w:docPart>
    <w:docPart>
      <w:docPartPr>
        <w:name w:val="{33d7b730-137f-4030-978d-418d4ad2119e}"/>
        <w:style w:val=""/>
        <w:category>
          <w:name w:val="常规"/>
          <w:gallery w:val="placeholder"/>
        </w:category>
        <w:types>
          <w:type w:val="bbPlcHdr"/>
        </w:types>
        <w:behaviors>
          <w:behavior w:val="content"/>
        </w:behaviors>
        <w:description w:val=""/>
        <w:guid w:val="{33d7b730-137f-4030-978d-418d4ad2119e}"/>
      </w:docPartPr>
      <w:docPartBody>
        <w:p>
          <w:r>
            <w:rPr>
              <w:color w:val="808080"/>
            </w:rPr>
            <w:t>单击此处输入文字。</w:t>
          </w:r>
        </w:p>
      </w:docPartBody>
    </w:docPart>
    <w:docPart>
      <w:docPartPr>
        <w:name w:val="{ac708805-3ebb-402f-aab9-9b72f6bd8e7b}"/>
        <w:style w:val=""/>
        <w:category>
          <w:name w:val="常规"/>
          <w:gallery w:val="placeholder"/>
        </w:category>
        <w:types>
          <w:type w:val="bbPlcHdr"/>
        </w:types>
        <w:behaviors>
          <w:behavior w:val="content"/>
        </w:behaviors>
        <w:description w:val=""/>
        <w:guid w:val="{ac708805-3ebb-402f-aab9-9b72f6bd8e7b}"/>
      </w:docPartPr>
      <w:docPartBody>
        <w:p>
          <w:r>
            <w:rPr>
              <w:color w:val="808080"/>
            </w:rPr>
            <w:t>单击此处输入文字。</w:t>
          </w:r>
        </w:p>
      </w:docPartBody>
    </w:docPart>
    <w:docPart>
      <w:docPartPr>
        <w:name w:val="{729f4a55-91b4-47a5-a989-6e3d5a06182f}"/>
        <w:style w:val=""/>
        <w:category>
          <w:name w:val="常规"/>
          <w:gallery w:val="placeholder"/>
        </w:category>
        <w:types>
          <w:type w:val="bbPlcHdr"/>
        </w:types>
        <w:behaviors>
          <w:behavior w:val="content"/>
        </w:behaviors>
        <w:description w:val=""/>
        <w:guid w:val="{729f4a55-91b4-47a5-a989-6e3d5a06182f}"/>
      </w:docPartPr>
      <w:docPartBody>
        <w:p>
          <w:r>
            <w:rPr>
              <w:color w:val="808080"/>
            </w:rPr>
            <w:t>单击此处输入文字。</w:t>
          </w:r>
        </w:p>
      </w:docPartBody>
    </w:docPart>
    <w:docPart>
      <w:docPartPr>
        <w:name w:val="{63fe3f8f-8082-4616-9137-9fed5dc503cf}"/>
        <w:style w:val=""/>
        <w:category>
          <w:name w:val="常规"/>
          <w:gallery w:val="placeholder"/>
        </w:category>
        <w:types>
          <w:type w:val="bbPlcHdr"/>
        </w:types>
        <w:behaviors>
          <w:behavior w:val="content"/>
        </w:behaviors>
        <w:description w:val=""/>
        <w:guid w:val="{63fe3f8f-8082-4616-9137-9fed5dc503cf}"/>
      </w:docPartPr>
      <w:docPartBody>
        <w:p>
          <w:r>
            <w:rPr>
              <w:color w:val="808080"/>
            </w:rPr>
            <w:t>单击此处输入文字。</w:t>
          </w:r>
        </w:p>
      </w:docPartBody>
    </w:docPart>
    <w:docPart>
      <w:docPartPr>
        <w:name w:val="{f486d615-51e2-4d09-b7ba-3694a200b25c}"/>
        <w:style w:val=""/>
        <w:category>
          <w:name w:val="常规"/>
          <w:gallery w:val="placeholder"/>
        </w:category>
        <w:types>
          <w:type w:val="bbPlcHdr"/>
        </w:types>
        <w:behaviors>
          <w:behavior w:val="content"/>
        </w:behaviors>
        <w:description w:val=""/>
        <w:guid w:val="{f486d615-51e2-4d09-b7ba-3694a200b25c}"/>
      </w:docPartPr>
      <w:docPartBody>
        <w:p>
          <w:r>
            <w:rPr>
              <w:color w:val="808080"/>
            </w:rPr>
            <w:t>单击此处输入文字。</w:t>
          </w:r>
        </w:p>
      </w:docPartBody>
    </w:docPart>
    <w:docPart>
      <w:docPartPr>
        <w:name w:val="{abc51062-490b-4bf1-aff9-7da3aba1d9d1}"/>
        <w:style w:val=""/>
        <w:category>
          <w:name w:val="常规"/>
          <w:gallery w:val="placeholder"/>
        </w:category>
        <w:types>
          <w:type w:val="bbPlcHdr"/>
        </w:types>
        <w:behaviors>
          <w:behavior w:val="content"/>
        </w:behaviors>
        <w:description w:val=""/>
        <w:guid w:val="{abc51062-490b-4bf1-aff9-7da3aba1d9d1}"/>
      </w:docPartPr>
      <w:docPartBody>
        <w:p>
          <w:r>
            <w:rPr>
              <w:color w:val="808080"/>
            </w:rPr>
            <w:t>单击此处输入文字。</w:t>
          </w:r>
        </w:p>
      </w:docPartBody>
    </w:docPart>
    <w:docPart>
      <w:docPartPr>
        <w:name w:val="{4ea11fec-213c-45ed-896a-c50ccd5b6623}"/>
        <w:style w:val=""/>
        <w:category>
          <w:name w:val="常规"/>
          <w:gallery w:val="placeholder"/>
        </w:category>
        <w:types>
          <w:type w:val="bbPlcHdr"/>
        </w:types>
        <w:behaviors>
          <w:behavior w:val="content"/>
        </w:behaviors>
        <w:description w:val=""/>
        <w:guid w:val="{4ea11fec-213c-45ed-896a-c50ccd5b6623}"/>
      </w:docPartPr>
      <w:docPartBody>
        <w:p>
          <w:r>
            <w:rPr>
              <w:color w:val="808080"/>
            </w:rPr>
            <w:t>单击此处输入文字。</w:t>
          </w:r>
        </w:p>
      </w:docPartBody>
    </w:docPart>
    <w:docPart>
      <w:docPartPr>
        <w:name w:val="{655a877a-d750-4904-90b1-52eea887b361}"/>
        <w:style w:val=""/>
        <w:category>
          <w:name w:val="常规"/>
          <w:gallery w:val="placeholder"/>
        </w:category>
        <w:types>
          <w:type w:val="bbPlcHdr"/>
        </w:types>
        <w:behaviors>
          <w:behavior w:val="content"/>
        </w:behaviors>
        <w:description w:val=""/>
        <w:guid w:val="{655a877a-d750-4904-90b1-52eea887b361}"/>
      </w:docPartPr>
      <w:docPartBody>
        <w:p>
          <w:r>
            <w:rPr>
              <w:color w:val="808080"/>
            </w:rPr>
            <w:t>单击此处输入文字。</w:t>
          </w:r>
        </w:p>
      </w:docPartBody>
    </w:docPart>
    <w:docPart>
      <w:docPartPr>
        <w:name w:val="{3ae8c119-efe4-4db5-b3d9-62a64f580713}"/>
        <w:style w:val=""/>
        <w:category>
          <w:name w:val="常规"/>
          <w:gallery w:val="placeholder"/>
        </w:category>
        <w:types>
          <w:type w:val="bbPlcHdr"/>
        </w:types>
        <w:behaviors>
          <w:behavior w:val="content"/>
        </w:behaviors>
        <w:description w:val=""/>
        <w:guid w:val="{3ae8c119-efe4-4db5-b3d9-62a64f580713}"/>
      </w:docPartPr>
      <w:docPartBody>
        <w:p>
          <w:r>
            <w:rPr>
              <w:color w:val="808080"/>
            </w:rPr>
            <w:t>单击此处输入文字。</w:t>
          </w:r>
        </w:p>
      </w:docPartBody>
    </w:docPart>
    <w:docPart>
      <w:docPartPr>
        <w:name w:val="{63cbeb1a-bef7-471e-9d1d-1b55891beb3c}"/>
        <w:style w:val=""/>
        <w:category>
          <w:name w:val="常规"/>
          <w:gallery w:val="placeholder"/>
        </w:category>
        <w:types>
          <w:type w:val="bbPlcHdr"/>
        </w:types>
        <w:behaviors>
          <w:behavior w:val="content"/>
        </w:behaviors>
        <w:description w:val=""/>
        <w:guid w:val="{63cbeb1a-bef7-471e-9d1d-1b55891beb3c}"/>
      </w:docPartPr>
      <w:docPartBody>
        <w:p>
          <w:r>
            <w:rPr>
              <w:color w:val="808080"/>
            </w:rPr>
            <w:t>单击此处输入文字。</w:t>
          </w:r>
        </w:p>
      </w:docPartBody>
    </w:docPart>
    <w:docPart>
      <w:docPartPr>
        <w:name w:val="{696c4676-25c0-4018-9ce9-0aed045b23b5}"/>
        <w:style w:val=""/>
        <w:category>
          <w:name w:val="常规"/>
          <w:gallery w:val="placeholder"/>
        </w:category>
        <w:types>
          <w:type w:val="bbPlcHdr"/>
        </w:types>
        <w:behaviors>
          <w:behavior w:val="content"/>
        </w:behaviors>
        <w:description w:val=""/>
        <w:guid w:val="{696c4676-25c0-4018-9ce9-0aed045b23b5}"/>
      </w:docPartPr>
      <w:docPartBody>
        <w:p>
          <w:r>
            <w:rPr>
              <w:color w:val="808080"/>
            </w:rPr>
            <w:t>单击此处输入文字。</w:t>
          </w:r>
        </w:p>
      </w:docPartBody>
    </w:docPart>
    <w:docPart>
      <w:docPartPr>
        <w:name w:val="{08c0ee1b-d637-4855-9a36-d6c513aa110a}"/>
        <w:style w:val=""/>
        <w:category>
          <w:name w:val="常规"/>
          <w:gallery w:val="placeholder"/>
        </w:category>
        <w:types>
          <w:type w:val="bbPlcHdr"/>
        </w:types>
        <w:behaviors>
          <w:behavior w:val="content"/>
        </w:behaviors>
        <w:description w:val=""/>
        <w:guid w:val="{08c0ee1b-d637-4855-9a36-d6c513aa110a}"/>
      </w:docPartPr>
      <w:docPartBody>
        <w:p>
          <w:r>
            <w:rPr>
              <w:color w:val="808080"/>
            </w:rPr>
            <w:t>单击此处输入文字。</w:t>
          </w:r>
        </w:p>
      </w:docPartBody>
    </w:docPart>
    <w:docPart>
      <w:docPartPr>
        <w:name w:val="{a24430c9-a4be-4b56-b917-56b3f8ea6a24}"/>
        <w:style w:val=""/>
        <w:category>
          <w:name w:val="常规"/>
          <w:gallery w:val="placeholder"/>
        </w:category>
        <w:types>
          <w:type w:val="bbPlcHdr"/>
        </w:types>
        <w:behaviors>
          <w:behavior w:val="content"/>
        </w:behaviors>
        <w:description w:val=""/>
        <w:guid w:val="{a24430c9-a4be-4b56-b917-56b3f8ea6a24}"/>
      </w:docPartPr>
      <w:docPartBody>
        <w:p>
          <w:r>
            <w:rPr>
              <w:color w:val="808080"/>
            </w:rPr>
            <w:t>单击此处输入文字。</w:t>
          </w:r>
        </w:p>
      </w:docPartBody>
    </w:docPart>
    <w:docPart>
      <w:docPartPr>
        <w:name w:val="{a84ec125-3267-4326-ad36-36bd25a394af}"/>
        <w:style w:val=""/>
        <w:category>
          <w:name w:val="常规"/>
          <w:gallery w:val="placeholder"/>
        </w:category>
        <w:types>
          <w:type w:val="bbPlcHdr"/>
        </w:types>
        <w:behaviors>
          <w:behavior w:val="content"/>
        </w:behaviors>
        <w:description w:val=""/>
        <w:guid w:val="{a84ec125-3267-4326-ad36-36bd25a394af}"/>
      </w:docPartPr>
      <w:docPartBody>
        <w:p>
          <w:r>
            <w:rPr>
              <w:color w:val="808080"/>
            </w:rPr>
            <w:t>单击此处输入文字。</w:t>
          </w:r>
        </w:p>
      </w:docPartBody>
    </w:docPart>
    <w:docPart>
      <w:docPartPr>
        <w:name w:val="{c2aa0cc7-a0f5-44dd-a8cc-f4dca26efa17}"/>
        <w:style w:val=""/>
        <w:category>
          <w:name w:val="常规"/>
          <w:gallery w:val="placeholder"/>
        </w:category>
        <w:types>
          <w:type w:val="bbPlcHdr"/>
        </w:types>
        <w:behaviors>
          <w:behavior w:val="content"/>
        </w:behaviors>
        <w:description w:val=""/>
        <w:guid w:val="{c2aa0cc7-a0f5-44dd-a8cc-f4dca26efa17}"/>
      </w:docPartPr>
      <w:docPartBody>
        <w:p>
          <w:r>
            <w:rPr>
              <w:color w:val="808080"/>
            </w:rPr>
            <w:t>单击此处输入文字。</w:t>
          </w:r>
        </w:p>
      </w:docPartBody>
    </w:docPart>
    <w:docPart>
      <w:docPartPr>
        <w:name w:val="{e64ef51d-2ba7-43a9-9946-1ea584248cd7}"/>
        <w:style w:val=""/>
        <w:category>
          <w:name w:val="常规"/>
          <w:gallery w:val="placeholder"/>
        </w:category>
        <w:types>
          <w:type w:val="bbPlcHdr"/>
        </w:types>
        <w:behaviors>
          <w:behavior w:val="content"/>
        </w:behaviors>
        <w:description w:val=""/>
        <w:guid w:val="{e64ef51d-2ba7-43a9-9946-1ea584248cd7}"/>
      </w:docPartPr>
      <w:docPartBody>
        <w:p>
          <w:r>
            <w:rPr>
              <w:color w:val="808080"/>
            </w:rPr>
            <w:t>单击此处输入文字。</w:t>
          </w:r>
        </w:p>
      </w:docPartBody>
    </w:docPart>
    <w:docPart>
      <w:docPartPr>
        <w:name w:val="{226863d1-a20a-461d-b9bb-259b292d1ddc}"/>
        <w:style w:val=""/>
        <w:category>
          <w:name w:val="常规"/>
          <w:gallery w:val="placeholder"/>
        </w:category>
        <w:types>
          <w:type w:val="bbPlcHdr"/>
        </w:types>
        <w:behaviors>
          <w:behavior w:val="content"/>
        </w:behaviors>
        <w:description w:val=""/>
        <w:guid w:val="{226863d1-a20a-461d-b9bb-259b292d1ddc}"/>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18</Pages>
  <Words>4927</Words>
  <Characters>5437</Characters>
  <Lines>61</Lines>
  <Paragraphs>17</Paragraphs>
  <TotalTime>23</TotalTime>
  <ScaleCrop>false</ScaleCrop>
  <LinksUpToDate>false</LinksUpToDate>
  <CharactersWithSpaces>5513</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池鱼</cp:lastModifiedBy>
  <cp:lastPrinted>2025-08-06T17:34:00Z</cp:lastPrinted>
  <dcterms:modified xsi:type="dcterms:W3CDTF">2025-10-28T02:21:30Z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04787F2533EB45DC91BCDE4AB213247F</vt:lpwstr>
  </property>
  <property fmtid="{D5CDD505-2E9C-101B-9397-08002B2CF9AE}" pid="4" name="KSOTemplateDocerSaveRecord">
    <vt:lpwstr>eyJoZGlkIjoiMzFjZDY5YWNjZmEyYTdhMzhiYmE1MTQ2ZTQyZTQ0YTkifQ==</vt:lpwstr>
  </property>
</Properties>
</file>