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96597"/>
      <w:bookmarkStart w:id="2" w:name="_Toc15377425"/>
      <w:bookmarkStart w:id="3" w:name="_Toc15396475"/>
      <w:bookmarkStart w:id="4" w:name="_Toc15306267"/>
      <w:bookmarkStart w:id="5" w:name="_Toc15378441"/>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spacing w:before="93"/>
        <w:jc w:val="center"/>
        <w:rPr>
          <w:rFonts w:hint="eastAsia"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2024年度</w:t>
      </w:r>
    </w:p>
    <w:p>
      <w:pPr>
        <w:pStyle w:val="2"/>
        <w:spacing w:before="93"/>
        <w:jc w:val="center"/>
        <w:rPr>
          <w:rFonts w:hint="eastAsia"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盐边县永兴镇初级中学校</w:t>
      </w:r>
    </w:p>
    <w:p>
      <w:pPr>
        <w:pStyle w:val="2"/>
        <w:spacing w:before="93"/>
        <w:jc w:val="center"/>
        <w:rPr>
          <w:rFonts w:hint="eastAsia"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单位决算</w:t>
      </w:r>
    </w:p>
    <w:p>
      <w:pPr>
        <w:pStyle w:val="2"/>
        <w:spacing w:before="93"/>
        <w:jc w:val="center"/>
        <w:rPr>
          <w:rFonts w:hint="default"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公开</w:t>
      </w:r>
    </w:p>
    <w:p>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pPr>
        <w:pStyle w:val="12"/>
        <w:rPr>
          <w:rFonts w:hint="eastAsia" w:ascii="Times New Roman" w:hAnsi="Times New Roman" w:eastAsia="仿宋_GB2312" w:cs="仿宋_GB2312"/>
          <w:color w:val="auto"/>
          <w:sz w:val="32"/>
          <w:szCs w:val="32"/>
          <w:highlight w:val="none"/>
        </w:rPr>
      </w:pPr>
      <w:bookmarkStart w:id="110" w:name="_GoBack"/>
      <w:bookmarkEnd w:id="110"/>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28 </w:t>
      </w:r>
      <w:r>
        <w:rPr>
          <w:rFonts w:hint="eastAsia" w:ascii="Times New Roman" w:hAnsi="Times New Roman" w:eastAsia="仿宋_GB2312" w:cs="仿宋_GB2312"/>
          <w:color w:val="auto"/>
          <w:sz w:val="32"/>
          <w:szCs w:val="32"/>
          <w:highlight w:val="none"/>
        </w:rPr>
        <w:t>日</w:t>
      </w:r>
    </w:p>
    <w:p>
      <w:pPr>
        <w:rPr>
          <w:rFonts w:hint="eastAsia"/>
        </w:rPr>
      </w:pPr>
    </w:p>
    <w:sdt>
      <w:sdtPr>
        <w:rPr>
          <w:rFonts w:ascii="宋体" w:hAnsi="宋体" w:eastAsia="宋体" w:cs="Times New Roman"/>
          <w:kern w:val="2"/>
          <w:sz w:val="21"/>
          <w:szCs w:val="24"/>
          <w:lang w:val="en-US" w:eastAsia="zh-CN" w:bidi="ar-SA"/>
        </w:rPr>
        <w:id w:val="147459372"/>
        <w:docPartObj>
          <w:docPartGallery w:val="Table of Contents"/>
          <w:docPartUnique/>
        </w:docPartObj>
      </w:sdtPr>
      <w:sdtEndPr>
        <w:rPr>
          <w:rFonts w:hint="eastAsia" w:ascii="黑体" w:hAnsi="黑体" w:eastAsia="黑体" w:cs="黑体"/>
          <w:sz w:val="21"/>
          <w:szCs w:val="21"/>
          <w:u w:val="none"/>
        </w:rPr>
      </w:sdtEndPr>
      <w:sdtContent>
        <w:p>
          <w:pPr>
            <w:spacing w:before="0" w:beforeLines="0" w:after="0" w:afterLines="0" w:line="240" w:lineRule="auto"/>
            <w:ind w:left="0" w:leftChars="0" w:right="0" w:rightChars="0" w:firstLine="0" w:firstLineChars="0"/>
            <w:jc w:val="center"/>
          </w:pPr>
          <w:bookmarkStart w:id="6" w:name="_Toc7179_WPSOffice_Type2"/>
        </w:p>
        <w:p>
          <w:pPr>
            <w:pStyle w:val="36"/>
            <w:tabs>
              <w:tab w:val="right" w:leader="dot" w:pos="8306"/>
            </w:tabs>
          </w:pPr>
          <w:r>
            <w:rPr>
              <w:b/>
              <w:bCs/>
            </w:rPr>
            <w:fldChar w:fldCharType="begin"/>
          </w:r>
          <w:r>
            <w:instrText xml:space="preserve"> HYPERLINK \l _Toc22917_WPSOffice_Level1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59372"/>
              <w:placeholder>
                <w:docPart w:val="{e938b4d6-888a-4ab5-aca7-b9f2aec2c2b5}"/>
              </w:placeholder>
            </w:sdtPr>
            <w:sdtEndPr>
              <w:rPr>
                <w:rFonts w:hint="eastAsia" w:ascii="方正小标宋_GBK" w:hAnsi="方正小标宋_GBK" w:eastAsia="方正小标宋_GBK" w:cs="方正小标宋_GBK"/>
                <w:b/>
                <w:bCs/>
                <w:kern w:val="2"/>
                <w:sz w:val="28"/>
                <w:szCs w:val="28"/>
                <w:lang w:val="en-US" w:eastAsia="zh-CN" w:bidi="ar-SA"/>
              </w:rPr>
            </w:sdtEndPr>
            <w:sdtContent>
              <w:r>
                <w:rPr>
                  <w:rFonts w:hint="eastAsia" w:ascii="方正小标宋_GBK" w:hAnsi="方正小标宋_GBK" w:eastAsia="方正小标宋_GBK" w:cs="方正小标宋_GBK"/>
                  <w:b/>
                  <w:bCs/>
                  <w:sz w:val="28"/>
                  <w:szCs w:val="28"/>
                </w:rPr>
                <w:t>第一部分  单位概况</w:t>
              </w:r>
            </w:sdtContent>
          </w:sdt>
          <w:r>
            <w:rPr>
              <w:rFonts w:hint="eastAsia" w:ascii="方正小标宋_GBK" w:hAnsi="方正小标宋_GBK" w:eastAsia="方正小标宋_GBK" w:cs="方正小标宋_GBK"/>
              <w:b/>
              <w:bCs/>
              <w:sz w:val="28"/>
              <w:szCs w:val="28"/>
            </w:rPr>
            <w:tab/>
          </w:r>
          <w:bookmarkStart w:id="7" w:name="_Toc22917_WPSOffice_Level1Page"/>
          <w:r>
            <w:rPr>
              <w:rFonts w:hint="eastAsia" w:ascii="方正小标宋_GBK" w:hAnsi="方正小标宋_GBK" w:eastAsia="方正小标宋_GBK" w:cs="方正小标宋_GBK"/>
              <w:b/>
              <w:bCs/>
              <w:sz w:val="28"/>
              <w:szCs w:val="28"/>
            </w:rPr>
            <w:t>2</w:t>
          </w:r>
          <w:bookmarkEnd w:id="7"/>
          <w:r>
            <w:rPr>
              <w:b/>
              <w:bCs/>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_Toc7179_WPSOffice_Level2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78bb63e2-cda9-42d4-be15-3d2f7d5b0c73}"/>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一、 部门职责</w:t>
              </w:r>
            </w:sdtContent>
          </w:sdt>
          <w:r>
            <w:rPr>
              <w:rFonts w:hint="eastAsia" w:ascii="黑体" w:hAnsi="黑体" w:eastAsia="黑体" w:cs="黑体"/>
              <w:sz w:val="21"/>
              <w:szCs w:val="21"/>
              <w:u w:val="none"/>
            </w:rPr>
            <w:tab/>
          </w:r>
          <w:bookmarkStart w:id="8" w:name="_Toc7179_WPSOffice_Level2Page"/>
          <w:r>
            <w:rPr>
              <w:rFonts w:hint="eastAsia" w:ascii="黑体" w:hAnsi="黑体" w:eastAsia="黑体" w:cs="黑体"/>
              <w:sz w:val="21"/>
              <w:szCs w:val="21"/>
              <w:u w:val="none"/>
            </w:rPr>
            <w:t>2</w:t>
          </w:r>
          <w:bookmarkEnd w:id="8"/>
          <w:r>
            <w:rPr>
              <w:rFonts w:hint="eastAsia" w:ascii="黑体" w:hAnsi="黑体" w:eastAsia="黑体" w:cs="黑体"/>
              <w:sz w:val="21"/>
              <w:szCs w:val="21"/>
              <w:u w:val="none"/>
            </w:rPr>
            <w:fldChar w:fldCharType="end"/>
          </w:r>
        </w:p>
        <w:p>
          <w:pPr>
            <w:pStyle w:val="37"/>
            <w:tabs>
              <w:tab w:val="right" w:leader="dot" w:pos="8306"/>
            </w:tabs>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_Toc5823_WPSOffice_Level2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73506eff-8939-48de-9501-1b5fd419fd82}"/>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二、 机构设置</w:t>
              </w:r>
            </w:sdtContent>
          </w:sdt>
          <w:r>
            <w:rPr>
              <w:rFonts w:hint="eastAsia" w:ascii="黑体" w:hAnsi="黑体" w:eastAsia="黑体" w:cs="黑体"/>
              <w:sz w:val="21"/>
              <w:szCs w:val="21"/>
              <w:u w:val="none"/>
            </w:rPr>
            <w:tab/>
          </w:r>
          <w:bookmarkStart w:id="9" w:name="_Toc5823_WPSOffice_Level2Page"/>
          <w:r>
            <w:rPr>
              <w:rFonts w:hint="eastAsia" w:ascii="黑体" w:hAnsi="黑体" w:eastAsia="黑体" w:cs="黑体"/>
              <w:sz w:val="21"/>
              <w:szCs w:val="21"/>
              <w:u w:val="none"/>
            </w:rPr>
            <w:t>2</w:t>
          </w:r>
          <w:bookmarkEnd w:id="9"/>
          <w:r>
            <w:rPr>
              <w:rFonts w:hint="eastAsia" w:ascii="黑体" w:hAnsi="黑体" w:eastAsia="黑体" w:cs="黑体"/>
              <w:sz w:val="21"/>
              <w:szCs w:val="21"/>
              <w:u w:val="none"/>
            </w:rPr>
            <w:fldChar w:fldCharType="end"/>
          </w:r>
        </w:p>
        <w:p>
          <w:pPr>
            <w:pStyle w:val="36"/>
            <w:tabs>
              <w:tab w:val="right" w:leader="dot" w:pos="8306"/>
            </w:tabs>
            <w:rPr>
              <w:b/>
              <w:bCs/>
            </w:rPr>
          </w:pPr>
          <w:r>
            <w:rPr>
              <w:b/>
              <w:bCs/>
            </w:rPr>
            <w:fldChar w:fldCharType="begin"/>
          </w:r>
          <w:r>
            <w:rPr>
              <w:b/>
              <w:bCs/>
            </w:rPr>
            <w:instrText xml:space="preserve"> HYPERLINK \l _Toc7179_WPSOffice_Level1 </w:instrText>
          </w:r>
          <w:r>
            <w:rPr>
              <w:b/>
              <w:bCs/>
            </w:rPr>
            <w:fldChar w:fldCharType="separate"/>
          </w:r>
          <w:sdt>
            <w:sdtPr>
              <w:rPr>
                <w:b/>
                <w:bCs/>
                <w:lang w:val="en-US" w:eastAsia="zh-CN"/>
              </w:rPr>
              <w:id w:val="147459372"/>
              <w:placeholder>
                <w:docPart w:val="{183c0c1a-3e9f-4841-8022-d5d684274688}"/>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第二部分  2024年度部门决算情况说明</w:t>
              </w:r>
            </w:sdtContent>
          </w:sdt>
          <w:r>
            <w:rPr>
              <w:rFonts w:hint="eastAsia" w:ascii="方正小标宋_GBK" w:hAnsi="方正小标宋_GBK" w:eastAsia="方正小标宋_GBK" w:cs="方正小标宋_GBK"/>
              <w:b/>
              <w:bCs/>
              <w:sz w:val="28"/>
              <w:szCs w:val="28"/>
            </w:rPr>
            <w:tab/>
          </w:r>
          <w:bookmarkStart w:id="10" w:name="_Toc7179_WPSOffice_Level1Page"/>
          <w:r>
            <w:rPr>
              <w:rFonts w:hint="eastAsia" w:ascii="方正小标宋_GBK" w:hAnsi="方正小标宋_GBK" w:eastAsia="方正小标宋_GBK" w:cs="方正小标宋_GBK"/>
              <w:b/>
              <w:bCs/>
              <w:sz w:val="28"/>
              <w:szCs w:val="28"/>
            </w:rPr>
            <w:t>3</w:t>
          </w:r>
          <w:bookmarkEnd w:id="10"/>
          <w:r>
            <w:rPr>
              <w:b/>
              <w:bCs/>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_Toc9273_WPSOffice_Level2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39ff1210-d7a7-4a3d-9e86-a9839aaf69f7}"/>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一、收入支出决算总体情况说明</w:t>
              </w:r>
            </w:sdtContent>
          </w:sdt>
          <w:r>
            <w:rPr>
              <w:rFonts w:hint="eastAsia" w:ascii="黑体" w:hAnsi="黑体" w:eastAsia="黑体" w:cs="黑体"/>
              <w:sz w:val="21"/>
              <w:szCs w:val="21"/>
              <w:u w:val="none"/>
            </w:rPr>
            <w:tab/>
          </w:r>
          <w:bookmarkStart w:id="11" w:name="_Toc9273_WPSOffice_Level2Page"/>
          <w:r>
            <w:rPr>
              <w:rFonts w:hint="eastAsia" w:ascii="黑体" w:hAnsi="黑体" w:eastAsia="黑体" w:cs="黑体"/>
              <w:sz w:val="21"/>
              <w:szCs w:val="21"/>
              <w:u w:val="none"/>
            </w:rPr>
            <w:t>3</w:t>
          </w:r>
          <w:bookmarkEnd w:id="11"/>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_Toc1269_WPSOffice_Level2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d2f1ea52-92af-4fb6-b29f-f1b5221c04a1}"/>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二、收入决算情况说明</w:t>
              </w:r>
            </w:sdtContent>
          </w:sdt>
          <w:r>
            <w:rPr>
              <w:rFonts w:hint="eastAsia" w:ascii="黑体" w:hAnsi="黑体" w:eastAsia="黑体" w:cs="黑体"/>
              <w:sz w:val="21"/>
              <w:szCs w:val="21"/>
              <w:u w:val="none"/>
            </w:rPr>
            <w:tab/>
          </w:r>
          <w:bookmarkStart w:id="12" w:name="_Toc1269_WPSOffice_Level2Page"/>
          <w:r>
            <w:rPr>
              <w:rFonts w:hint="eastAsia" w:ascii="黑体" w:hAnsi="黑体" w:eastAsia="黑体" w:cs="黑体"/>
              <w:sz w:val="21"/>
              <w:szCs w:val="21"/>
              <w:u w:val="none"/>
            </w:rPr>
            <w:t>3</w:t>
          </w:r>
          <w:bookmarkEnd w:id="12"/>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_Toc376_WPSOffice_Level2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4c6c2db3-beb1-4f59-8739-5e60d0ad79c2}"/>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三、支出决算情况说明</w:t>
              </w:r>
            </w:sdtContent>
          </w:sdt>
          <w:r>
            <w:rPr>
              <w:rFonts w:hint="eastAsia" w:ascii="黑体" w:hAnsi="黑体" w:eastAsia="黑体" w:cs="黑体"/>
              <w:sz w:val="21"/>
              <w:szCs w:val="21"/>
              <w:u w:val="none"/>
            </w:rPr>
            <w:tab/>
          </w:r>
          <w:bookmarkStart w:id="13" w:name="_Toc376_WPSOffice_Level2Page"/>
          <w:r>
            <w:rPr>
              <w:rFonts w:hint="eastAsia" w:ascii="黑体" w:hAnsi="黑体" w:eastAsia="黑体" w:cs="黑体"/>
              <w:sz w:val="21"/>
              <w:szCs w:val="21"/>
              <w:u w:val="none"/>
            </w:rPr>
            <w:t>4</w:t>
          </w:r>
          <w:bookmarkEnd w:id="13"/>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_Toc16702_WPSOffice_Level2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2f7a5aa3-6df1-4590-9edb-dc48245cf9be}"/>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四、财政拨款收入支出决算总体情况说明</w:t>
              </w:r>
            </w:sdtContent>
          </w:sdt>
          <w:r>
            <w:rPr>
              <w:rFonts w:hint="eastAsia" w:ascii="黑体" w:hAnsi="黑体" w:eastAsia="黑体" w:cs="黑体"/>
              <w:sz w:val="21"/>
              <w:szCs w:val="21"/>
              <w:u w:val="none"/>
            </w:rPr>
            <w:tab/>
          </w:r>
          <w:bookmarkStart w:id="14" w:name="_Toc16702_WPSOffice_Level2Page"/>
          <w:r>
            <w:rPr>
              <w:rFonts w:hint="eastAsia" w:ascii="黑体" w:hAnsi="黑体" w:eastAsia="黑体" w:cs="黑体"/>
              <w:sz w:val="21"/>
              <w:szCs w:val="21"/>
              <w:u w:val="none"/>
            </w:rPr>
            <w:t>4</w:t>
          </w:r>
          <w:bookmarkEnd w:id="14"/>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_Toc28077_WPSOffice_Level2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8b1ab262-9a64-4f4c-9a31-5fe5a7bd7af3}"/>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五、一般公共预算财政拨款支出决算情况说明</w:t>
              </w:r>
            </w:sdtContent>
          </w:sdt>
          <w:r>
            <w:rPr>
              <w:rFonts w:hint="eastAsia" w:ascii="黑体" w:hAnsi="黑体" w:eastAsia="黑体" w:cs="黑体"/>
              <w:sz w:val="21"/>
              <w:szCs w:val="21"/>
              <w:u w:val="none"/>
            </w:rPr>
            <w:tab/>
          </w:r>
          <w:bookmarkStart w:id="15" w:name="_Toc28077_WPSOffice_Level2Page"/>
          <w:r>
            <w:rPr>
              <w:rFonts w:hint="eastAsia" w:ascii="黑体" w:hAnsi="黑体" w:eastAsia="黑体" w:cs="黑体"/>
              <w:sz w:val="21"/>
              <w:szCs w:val="21"/>
              <w:u w:val="none"/>
            </w:rPr>
            <w:t>5</w:t>
          </w:r>
          <w:bookmarkEnd w:id="15"/>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_Toc16906_WPSOffice_Level2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b3737c95-ab4e-42d6-b01c-61cbfa1cd913}"/>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六、一般公共预算财政拨款基本支出决算情况说明</w:t>
              </w:r>
            </w:sdtContent>
          </w:sdt>
          <w:r>
            <w:rPr>
              <w:rFonts w:hint="eastAsia" w:ascii="黑体" w:hAnsi="黑体" w:eastAsia="黑体" w:cs="黑体"/>
              <w:sz w:val="21"/>
              <w:szCs w:val="21"/>
              <w:u w:val="none"/>
            </w:rPr>
            <w:tab/>
          </w:r>
          <w:bookmarkStart w:id="16" w:name="_Toc16906_WPSOffice_Level2Page"/>
          <w:r>
            <w:rPr>
              <w:rFonts w:hint="eastAsia" w:ascii="黑体" w:hAnsi="黑体" w:eastAsia="黑体" w:cs="黑体"/>
              <w:sz w:val="21"/>
              <w:szCs w:val="21"/>
              <w:u w:val="none"/>
            </w:rPr>
            <w:t>9</w:t>
          </w:r>
          <w:bookmarkEnd w:id="16"/>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_Toc8488_WPSOffice_Level2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68784d65-4308-49ad-b791-19e8b2d73ea0}"/>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七、财政拨款“三公”经费支出决算情况说明</w:t>
              </w:r>
            </w:sdtContent>
          </w:sdt>
          <w:r>
            <w:rPr>
              <w:rFonts w:hint="eastAsia" w:ascii="黑体" w:hAnsi="黑体" w:eastAsia="黑体" w:cs="黑体"/>
              <w:sz w:val="21"/>
              <w:szCs w:val="21"/>
              <w:u w:val="none"/>
            </w:rPr>
            <w:tab/>
          </w:r>
          <w:bookmarkStart w:id="17" w:name="_Toc8488_WPSOffice_Level2Page"/>
          <w:r>
            <w:rPr>
              <w:rFonts w:hint="eastAsia" w:ascii="黑体" w:hAnsi="黑体" w:eastAsia="黑体" w:cs="黑体"/>
              <w:sz w:val="21"/>
              <w:szCs w:val="21"/>
              <w:u w:val="none"/>
            </w:rPr>
            <w:t>9</w:t>
          </w:r>
          <w:bookmarkEnd w:id="17"/>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_Toc29595_WPSOffice_Level2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39acf248-7b95-4916-8d7d-d90e38d4be1e}"/>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八、政府性基金预算支出决算情况说明</w:t>
              </w:r>
            </w:sdtContent>
          </w:sdt>
          <w:r>
            <w:rPr>
              <w:rFonts w:hint="eastAsia" w:ascii="黑体" w:hAnsi="黑体" w:eastAsia="黑体" w:cs="黑体"/>
              <w:sz w:val="21"/>
              <w:szCs w:val="21"/>
              <w:u w:val="none"/>
            </w:rPr>
            <w:tab/>
          </w:r>
          <w:bookmarkStart w:id="18" w:name="_Toc29595_WPSOffice_Level2Page"/>
          <w:r>
            <w:rPr>
              <w:rFonts w:hint="eastAsia" w:ascii="黑体" w:hAnsi="黑体" w:eastAsia="黑体" w:cs="黑体"/>
              <w:sz w:val="21"/>
              <w:szCs w:val="21"/>
              <w:u w:val="none"/>
            </w:rPr>
            <w:t>10</w:t>
          </w:r>
          <w:bookmarkEnd w:id="18"/>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_Toc24458_WPSOffice_Level2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e9eb180f-dd9a-4e4e-bd3a-e10112d4cac0}"/>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九、国有资本经营预算支出决算情况说明</w:t>
              </w:r>
            </w:sdtContent>
          </w:sdt>
          <w:r>
            <w:rPr>
              <w:rFonts w:hint="eastAsia" w:ascii="黑体" w:hAnsi="黑体" w:eastAsia="黑体" w:cs="黑体"/>
              <w:sz w:val="21"/>
              <w:szCs w:val="21"/>
              <w:u w:val="none"/>
            </w:rPr>
            <w:tab/>
          </w:r>
          <w:bookmarkStart w:id="19" w:name="_Toc24458_WPSOffice_Level2Page"/>
          <w:r>
            <w:rPr>
              <w:rFonts w:hint="eastAsia" w:ascii="黑体" w:hAnsi="黑体" w:eastAsia="黑体" w:cs="黑体"/>
              <w:sz w:val="21"/>
              <w:szCs w:val="21"/>
              <w:u w:val="none"/>
            </w:rPr>
            <w:t>11</w:t>
          </w:r>
          <w:bookmarkEnd w:id="19"/>
          <w:r>
            <w:rPr>
              <w:rFonts w:hint="eastAsia" w:ascii="黑体" w:hAnsi="黑体" w:eastAsia="黑体" w:cs="黑体"/>
              <w:sz w:val="21"/>
              <w:szCs w:val="21"/>
              <w:u w:val="none"/>
            </w:rPr>
            <w:fldChar w:fldCharType="end"/>
          </w:r>
        </w:p>
        <w:p>
          <w:pPr>
            <w:pStyle w:val="37"/>
            <w:tabs>
              <w:tab w:val="right" w:leader="dot" w:pos="8306"/>
            </w:tabs>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_Toc6610_WPSOffice_Level2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7af0f86c-3de1-4b45-a5be-6fc682a72a0c}"/>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十、其他重要事项的情况说明</w:t>
              </w:r>
            </w:sdtContent>
          </w:sdt>
          <w:r>
            <w:rPr>
              <w:rFonts w:hint="eastAsia" w:ascii="黑体" w:hAnsi="黑体" w:eastAsia="黑体" w:cs="黑体"/>
              <w:sz w:val="21"/>
              <w:szCs w:val="21"/>
              <w:u w:val="none"/>
            </w:rPr>
            <w:tab/>
          </w:r>
          <w:bookmarkStart w:id="20" w:name="_Toc6610_WPSOffice_Level2Page"/>
          <w:r>
            <w:rPr>
              <w:rFonts w:hint="eastAsia" w:ascii="黑体" w:hAnsi="黑体" w:eastAsia="黑体" w:cs="黑体"/>
              <w:sz w:val="21"/>
              <w:szCs w:val="21"/>
              <w:u w:val="none"/>
            </w:rPr>
            <w:t>11</w:t>
          </w:r>
          <w:bookmarkEnd w:id="20"/>
          <w:r>
            <w:rPr>
              <w:rFonts w:hint="eastAsia" w:ascii="黑体" w:hAnsi="黑体" w:eastAsia="黑体" w:cs="黑体"/>
              <w:sz w:val="21"/>
              <w:szCs w:val="21"/>
              <w:u w:val="none"/>
            </w:rPr>
            <w:fldChar w:fldCharType="end"/>
          </w:r>
        </w:p>
        <w:p>
          <w:pPr>
            <w:pStyle w:val="36"/>
            <w:tabs>
              <w:tab w:val="right" w:leader="dot" w:pos="8306"/>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_Toc5823_WPSOffice_Level1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59372"/>
              <w:placeholder>
                <w:docPart w:val="{51f616ae-ec39-48cc-b4d8-2be8c6ce24a4}"/>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第三部分  名词解释</w:t>
              </w:r>
            </w:sdtContent>
          </w:sdt>
          <w:r>
            <w:rPr>
              <w:rFonts w:hint="eastAsia" w:ascii="方正小标宋_GBK" w:hAnsi="方正小标宋_GBK" w:eastAsia="方正小标宋_GBK" w:cs="方正小标宋_GBK"/>
              <w:b/>
              <w:bCs/>
              <w:sz w:val="28"/>
              <w:szCs w:val="28"/>
            </w:rPr>
            <w:tab/>
          </w:r>
          <w:bookmarkStart w:id="21" w:name="_Toc5823_WPSOffice_Level1Page"/>
          <w:r>
            <w:rPr>
              <w:rFonts w:hint="eastAsia" w:ascii="方正小标宋_GBK" w:hAnsi="方正小标宋_GBK" w:eastAsia="方正小标宋_GBK" w:cs="方正小标宋_GBK"/>
              <w:b/>
              <w:bCs/>
              <w:sz w:val="28"/>
              <w:szCs w:val="28"/>
            </w:rPr>
            <w:t>13</w:t>
          </w:r>
          <w:bookmarkEnd w:id="21"/>
          <w:r>
            <w:rPr>
              <w:rFonts w:hint="eastAsia" w:ascii="方正小标宋_GBK" w:hAnsi="方正小标宋_GBK" w:eastAsia="方正小标宋_GBK" w:cs="方正小标宋_GBK"/>
              <w:b/>
              <w:bCs/>
              <w:sz w:val="28"/>
              <w:szCs w:val="28"/>
            </w:rPr>
            <w:fldChar w:fldCharType="end"/>
          </w:r>
        </w:p>
        <w:p>
          <w:pPr>
            <w:pStyle w:val="36"/>
            <w:tabs>
              <w:tab w:val="right" w:leader="dot" w:pos="8306"/>
            </w:tabs>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_Toc9273_WPSOffice_Level1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59372"/>
              <w:placeholder>
                <w:docPart w:val="{2133a485-eeca-4f62-ba00-632eb2211fe3}"/>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第四部分  附件</w:t>
              </w:r>
            </w:sdtContent>
          </w:sdt>
          <w:r>
            <w:rPr>
              <w:rFonts w:hint="eastAsia" w:ascii="方正小标宋_GBK" w:hAnsi="方正小标宋_GBK" w:eastAsia="方正小标宋_GBK" w:cs="方正小标宋_GBK"/>
              <w:b/>
              <w:bCs/>
              <w:sz w:val="28"/>
              <w:szCs w:val="28"/>
            </w:rPr>
            <w:tab/>
          </w:r>
          <w:bookmarkStart w:id="22" w:name="_Toc9273_WPSOffice_Level1Page"/>
          <w:r>
            <w:rPr>
              <w:rFonts w:hint="eastAsia" w:ascii="方正小标宋_GBK" w:hAnsi="方正小标宋_GBK" w:eastAsia="方正小标宋_GBK" w:cs="方正小标宋_GBK"/>
              <w:b/>
              <w:bCs/>
              <w:sz w:val="28"/>
              <w:szCs w:val="28"/>
            </w:rPr>
            <w:t>17</w:t>
          </w:r>
          <w:bookmarkEnd w:id="22"/>
          <w:r>
            <w:rPr>
              <w:rFonts w:hint="eastAsia" w:ascii="方正小标宋_GBK" w:hAnsi="方正小标宋_GBK" w:eastAsia="方正小标宋_GBK" w:cs="方正小标宋_GBK"/>
              <w:b/>
              <w:bCs/>
              <w:sz w:val="28"/>
              <w:szCs w:val="28"/>
            </w:rPr>
            <w:fldChar w:fldCharType="end"/>
          </w:r>
        </w:p>
        <w:p>
          <w:pPr>
            <w:pStyle w:val="36"/>
            <w:tabs>
              <w:tab w:val="right" w:leader="dot" w:pos="8306"/>
            </w:tabs>
          </w:pPr>
          <w:r>
            <w:rPr>
              <w:b/>
              <w:bCs/>
            </w:rPr>
            <w:fldChar w:fldCharType="begin"/>
          </w:r>
          <w:r>
            <w:instrText xml:space="preserve"> HYPERLINK \l _Toc1269_WPSOffice_Level1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59372"/>
              <w:placeholder>
                <w:docPart w:val="{350f85d5-0f17-4315-acee-843efb3b8c89}"/>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第五部分 附表</w:t>
              </w:r>
            </w:sdtContent>
          </w:sdt>
          <w:r>
            <w:rPr>
              <w:rFonts w:hint="eastAsia" w:ascii="方正小标宋_GBK" w:hAnsi="方正小标宋_GBK" w:eastAsia="方正小标宋_GBK" w:cs="方正小标宋_GBK"/>
              <w:b/>
              <w:bCs/>
              <w:sz w:val="28"/>
              <w:szCs w:val="28"/>
            </w:rPr>
            <w:tab/>
          </w:r>
          <w:bookmarkStart w:id="23" w:name="_Toc1269_WPSOffice_Level1Page"/>
          <w:r>
            <w:rPr>
              <w:rFonts w:hint="eastAsia" w:ascii="方正小标宋_GBK" w:hAnsi="方正小标宋_GBK" w:eastAsia="方正小标宋_GBK" w:cs="方正小标宋_GBK"/>
              <w:b/>
              <w:bCs/>
              <w:sz w:val="28"/>
              <w:szCs w:val="28"/>
            </w:rPr>
            <w:t>18</w:t>
          </w:r>
          <w:bookmarkEnd w:id="23"/>
          <w:r>
            <w:rPr>
              <w:b/>
              <w:bCs/>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_Toc22830_WPSOffice_Level2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89db7c7a-2558-4d22-9019-0ba8fa806187}"/>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一、收入支出决算总表</w:t>
              </w:r>
            </w:sdtContent>
          </w:sdt>
          <w:r>
            <w:rPr>
              <w:rFonts w:hint="eastAsia" w:ascii="黑体" w:hAnsi="黑体" w:eastAsia="黑体" w:cs="黑体"/>
              <w:sz w:val="21"/>
              <w:szCs w:val="21"/>
              <w:u w:val="none"/>
            </w:rPr>
            <w:tab/>
          </w:r>
          <w:bookmarkStart w:id="24" w:name="_Toc22830_WPSOffice_Level2Page"/>
          <w:r>
            <w:rPr>
              <w:rFonts w:hint="eastAsia" w:ascii="黑体" w:hAnsi="黑体" w:eastAsia="黑体" w:cs="黑体"/>
              <w:sz w:val="21"/>
              <w:szCs w:val="21"/>
              <w:u w:val="none"/>
            </w:rPr>
            <w:t>18</w:t>
          </w:r>
          <w:bookmarkEnd w:id="24"/>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_Toc2397_WPSOffice_Level2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5730f3f3-261b-4a1e-b559-ff5755de9f4b}"/>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二、收入决算表</w:t>
              </w:r>
            </w:sdtContent>
          </w:sdt>
          <w:r>
            <w:rPr>
              <w:rFonts w:hint="eastAsia" w:ascii="黑体" w:hAnsi="黑体" w:eastAsia="黑体" w:cs="黑体"/>
              <w:sz w:val="21"/>
              <w:szCs w:val="21"/>
              <w:u w:val="none"/>
            </w:rPr>
            <w:tab/>
          </w:r>
          <w:bookmarkStart w:id="25" w:name="_Toc2397_WPSOffice_Level2Page"/>
          <w:r>
            <w:rPr>
              <w:rFonts w:hint="eastAsia" w:ascii="黑体" w:hAnsi="黑体" w:eastAsia="黑体" w:cs="黑体"/>
              <w:sz w:val="21"/>
              <w:szCs w:val="21"/>
              <w:u w:val="none"/>
            </w:rPr>
            <w:t>18</w:t>
          </w:r>
          <w:bookmarkEnd w:id="25"/>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_Toc26876_WPSOffice_Level2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3b602483-e265-4ff9-9004-2f2d39e6c020}"/>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三、支出决算表</w:t>
              </w:r>
            </w:sdtContent>
          </w:sdt>
          <w:r>
            <w:rPr>
              <w:rFonts w:hint="eastAsia" w:ascii="黑体" w:hAnsi="黑体" w:eastAsia="黑体" w:cs="黑体"/>
              <w:sz w:val="21"/>
              <w:szCs w:val="21"/>
              <w:u w:val="none"/>
            </w:rPr>
            <w:tab/>
          </w:r>
          <w:bookmarkStart w:id="26" w:name="_Toc26876_WPSOffice_Level2Page"/>
          <w:r>
            <w:rPr>
              <w:rFonts w:hint="eastAsia" w:ascii="黑体" w:hAnsi="黑体" w:eastAsia="黑体" w:cs="黑体"/>
              <w:sz w:val="21"/>
              <w:szCs w:val="21"/>
              <w:u w:val="none"/>
            </w:rPr>
            <w:t>18</w:t>
          </w:r>
          <w:bookmarkEnd w:id="26"/>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_Toc20684_WPSOffice_Level2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234e1b81-4643-4d3e-8336-ff1dbd94e4de}"/>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四、财政拨款收入支出决算总表</w:t>
              </w:r>
            </w:sdtContent>
          </w:sdt>
          <w:r>
            <w:rPr>
              <w:rFonts w:hint="eastAsia" w:ascii="黑体" w:hAnsi="黑体" w:eastAsia="黑体" w:cs="黑体"/>
              <w:sz w:val="21"/>
              <w:szCs w:val="21"/>
              <w:u w:val="none"/>
            </w:rPr>
            <w:tab/>
          </w:r>
          <w:bookmarkStart w:id="27" w:name="_Toc20684_WPSOffice_Level2Page"/>
          <w:r>
            <w:rPr>
              <w:rFonts w:hint="eastAsia" w:ascii="黑体" w:hAnsi="黑体" w:eastAsia="黑体" w:cs="黑体"/>
              <w:sz w:val="21"/>
              <w:szCs w:val="21"/>
              <w:u w:val="none"/>
            </w:rPr>
            <w:t>18</w:t>
          </w:r>
          <w:bookmarkEnd w:id="27"/>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_Toc16328_WPSOffice_Level2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2206bec3-14c9-44ad-851c-85f7de4bd8e8}"/>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五、财政拨款支出决算明细表</w:t>
              </w:r>
            </w:sdtContent>
          </w:sdt>
          <w:r>
            <w:rPr>
              <w:rFonts w:hint="eastAsia" w:ascii="黑体" w:hAnsi="黑体" w:eastAsia="黑体" w:cs="黑体"/>
              <w:sz w:val="21"/>
              <w:szCs w:val="21"/>
              <w:u w:val="none"/>
            </w:rPr>
            <w:tab/>
          </w:r>
          <w:bookmarkStart w:id="28" w:name="_Toc16328_WPSOffice_Level2Page"/>
          <w:r>
            <w:rPr>
              <w:rFonts w:hint="eastAsia" w:ascii="黑体" w:hAnsi="黑体" w:eastAsia="黑体" w:cs="黑体"/>
              <w:sz w:val="21"/>
              <w:szCs w:val="21"/>
              <w:u w:val="none"/>
            </w:rPr>
            <w:t>18</w:t>
          </w:r>
          <w:bookmarkEnd w:id="28"/>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_Toc4157_WPSOffice_Level2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90c63407-ab16-4f54-aeb3-2d9905a0ae5f}"/>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六、一般公共预算财政拨款支出决算表</w:t>
              </w:r>
            </w:sdtContent>
          </w:sdt>
          <w:r>
            <w:rPr>
              <w:rFonts w:hint="eastAsia" w:ascii="黑体" w:hAnsi="黑体" w:eastAsia="黑体" w:cs="黑体"/>
              <w:sz w:val="21"/>
              <w:szCs w:val="21"/>
              <w:u w:val="none"/>
            </w:rPr>
            <w:tab/>
          </w:r>
          <w:bookmarkStart w:id="29" w:name="_Toc4157_WPSOffice_Level2Page"/>
          <w:r>
            <w:rPr>
              <w:rFonts w:hint="eastAsia" w:ascii="黑体" w:hAnsi="黑体" w:eastAsia="黑体" w:cs="黑体"/>
              <w:sz w:val="21"/>
              <w:szCs w:val="21"/>
              <w:u w:val="none"/>
            </w:rPr>
            <w:t>18</w:t>
          </w:r>
          <w:bookmarkEnd w:id="29"/>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_Toc21646_WPSOffice_Level2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bb15dc22-0199-4e08-8452-52d609e6ba20}"/>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七、一般公共预算财政拨款支出决算明细表</w:t>
              </w:r>
            </w:sdtContent>
          </w:sdt>
          <w:r>
            <w:rPr>
              <w:rFonts w:hint="eastAsia" w:ascii="黑体" w:hAnsi="黑体" w:eastAsia="黑体" w:cs="黑体"/>
              <w:sz w:val="21"/>
              <w:szCs w:val="21"/>
              <w:u w:val="none"/>
            </w:rPr>
            <w:tab/>
          </w:r>
          <w:bookmarkStart w:id="30" w:name="_Toc21646_WPSOffice_Level2Page"/>
          <w:r>
            <w:rPr>
              <w:rFonts w:hint="eastAsia" w:ascii="黑体" w:hAnsi="黑体" w:eastAsia="黑体" w:cs="黑体"/>
              <w:sz w:val="21"/>
              <w:szCs w:val="21"/>
              <w:u w:val="none"/>
            </w:rPr>
            <w:t>18</w:t>
          </w:r>
          <w:bookmarkEnd w:id="30"/>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_Toc31934_WPSOffice_Level2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c6e12da3-708b-4272-b6c4-a4a4691e477e}"/>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八、一般公共预算财政拨款基本支出决算表</w:t>
              </w:r>
            </w:sdtContent>
          </w:sdt>
          <w:r>
            <w:rPr>
              <w:rFonts w:hint="eastAsia" w:ascii="黑体" w:hAnsi="黑体" w:eastAsia="黑体" w:cs="黑体"/>
              <w:sz w:val="21"/>
              <w:szCs w:val="21"/>
              <w:u w:val="none"/>
            </w:rPr>
            <w:tab/>
          </w:r>
          <w:bookmarkStart w:id="31" w:name="_Toc31934_WPSOffice_Level2Page"/>
          <w:r>
            <w:rPr>
              <w:rFonts w:hint="eastAsia" w:ascii="黑体" w:hAnsi="黑体" w:eastAsia="黑体" w:cs="黑体"/>
              <w:sz w:val="21"/>
              <w:szCs w:val="21"/>
              <w:u w:val="none"/>
            </w:rPr>
            <w:t>18</w:t>
          </w:r>
          <w:bookmarkEnd w:id="31"/>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_Toc8764_WPSOffice_Level2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208b9c04-6d41-42ea-a558-90354e3fa5f9}"/>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九、一般公共预算财政拨款项目支出决算表</w:t>
              </w:r>
            </w:sdtContent>
          </w:sdt>
          <w:r>
            <w:rPr>
              <w:rFonts w:hint="eastAsia" w:ascii="黑体" w:hAnsi="黑体" w:eastAsia="黑体" w:cs="黑体"/>
              <w:sz w:val="21"/>
              <w:szCs w:val="21"/>
              <w:u w:val="none"/>
            </w:rPr>
            <w:tab/>
          </w:r>
          <w:bookmarkStart w:id="32" w:name="_Toc8764_WPSOffice_Level2Page"/>
          <w:r>
            <w:rPr>
              <w:rFonts w:hint="eastAsia" w:ascii="黑体" w:hAnsi="黑体" w:eastAsia="黑体" w:cs="黑体"/>
              <w:sz w:val="21"/>
              <w:szCs w:val="21"/>
              <w:u w:val="none"/>
            </w:rPr>
            <w:t>18</w:t>
          </w:r>
          <w:bookmarkEnd w:id="32"/>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_Toc8006_WPSOffice_Level2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adecbdb6-91b6-4bf0-9e84-7b47194aedce}"/>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十、政府性基金预算财政拨款收入支出决算表</w:t>
              </w:r>
            </w:sdtContent>
          </w:sdt>
          <w:r>
            <w:rPr>
              <w:rFonts w:hint="eastAsia" w:ascii="黑体" w:hAnsi="黑体" w:eastAsia="黑体" w:cs="黑体"/>
              <w:sz w:val="21"/>
              <w:szCs w:val="21"/>
              <w:u w:val="none"/>
            </w:rPr>
            <w:tab/>
          </w:r>
          <w:bookmarkStart w:id="33" w:name="_Toc8006_WPSOffice_Level2Page"/>
          <w:r>
            <w:rPr>
              <w:rFonts w:hint="eastAsia" w:ascii="黑体" w:hAnsi="黑体" w:eastAsia="黑体" w:cs="黑体"/>
              <w:sz w:val="21"/>
              <w:szCs w:val="21"/>
              <w:u w:val="none"/>
            </w:rPr>
            <w:t>18</w:t>
          </w:r>
          <w:bookmarkEnd w:id="33"/>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_Toc18566_WPSOffice_Level2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ad7fafc4-1768-4638-b9ab-3d978605897c}"/>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十一、国有资本经营预算财政拨款收入支出决算表</w:t>
              </w:r>
            </w:sdtContent>
          </w:sdt>
          <w:r>
            <w:rPr>
              <w:rFonts w:hint="eastAsia" w:ascii="黑体" w:hAnsi="黑体" w:eastAsia="黑体" w:cs="黑体"/>
              <w:sz w:val="21"/>
              <w:szCs w:val="21"/>
              <w:u w:val="none"/>
            </w:rPr>
            <w:tab/>
          </w:r>
          <w:bookmarkStart w:id="34" w:name="_Toc18566_WPSOffice_Level2Page"/>
          <w:r>
            <w:rPr>
              <w:rFonts w:hint="eastAsia" w:ascii="黑体" w:hAnsi="黑体" w:eastAsia="黑体" w:cs="黑体"/>
              <w:sz w:val="21"/>
              <w:szCs w:val="21"/>
              <w:u w:val="none"/>
            </w:rPr>
            <w:t>18</w:t>
          </w:r>
          <w:bookmarkEnd w:id="34"/>
          <w:r>
            <w:rPr>
              <w:rFonts w:hint="eastAsia" w:ascii="黑体" w:hAnsi="黑体" w:eastAsia="黑体" w:cs="黑体"/>
              <w:sz w:val="21"/>
              <w:szCs w:val="21"/>
              <w:u w:val="none"/>
            </w:rPr>
            <w:fldChar w:fldCharType="end"/>
          </w:r>
        </w:p>
        <w:p>
          <w:pPr>
            <w:pStyle w:val="37"/>
            <w:tabs>
              <w:tab w:val="right" w:leader="dot" w:pos="8306"/>
            </w:tabs>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_Toc28888_WPSOffice_Level2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d7c1d9ec-875a-4da0-9140-d156ba391993}"/>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十二、国有资本经营预算财政拨款支出决算表</w:t>
              </w:r>
            </w:sdtContent>
          </w:sdt>
          <w:r>
            <w:rPr>
              <w:rFonts w:hint="eastAsia" w:ascii="黑体" w:hAnsi="黑体" w:eastAsia="黑体" w:cs="黑体"/>
              <w:sz w:val="21"/>
              <w:szCs w:val="21"/>
              <w:u w:val="none"/>
            </w:rPr>
            <w:tab/>
          </w:r>
          <w:bookmarkStart w:id="35" w:name="_Toc28888_WPSOffice_Level2Page"/>
          <w:r>
            <w:rPr>
              <w:rFonts w:hint="eastAsia" w:ascii="黑体" w:hAnsi="黑体" w:eastAsia="黑体" w:cs="黑体"/>
              <w:sz w:val="21"/>
              <w:szCs w:val="21"/>
              <w:u w:val="none"/>
            </w:rPr>
            <w:t>18</w:t>
          </w:r>
          <w:bookmarkEnd w:id="35"/>
          <w:r>
            <w:rPr>
              <w:rFonts w:hint="eastAsia" w:ascii="黑体" w:hAnsi="黑体" w:eastAsia="黑体" w:cs="黑体"/>
              <w:sz w:val="21"/>
              <w:szCs w:val="21"/>
              <w:u w:val="none"/>
            </w:rPr>
            <w:fldChar w:fldCharType="end"/>
          </w:r>
        </w:p>
        <w:p>
          <w:pPr>
            <w:pStyle w:val="37"/>
            <w:tabs>
              <w:tab w:val="right" w:leader="dot" w:pos="8306"/>
            </w:tabs>
            <w:rPr>
              <w:rFonts w:hint="eastAsia" w:ascii="黑体" w:hAnsi="黑体" w:eastAsia="黑体" w:cs="黑体"/>
              <w:sz w:val="21"/>
              <w:szCs w:val="21"/>
              <w:u w:val="none"/>
            </w:rPr>
          </w:pPr>
          <w:r>
            <w:rPr>
              <w:rFonts w:hint="eastAsia" w:ascii="黑体" w:hAnsi="黑体" w:eastAsia="黑体" w:cs="黑体"/>
              <w:sz w:val="21"/>
              <w:szCs w:val="21"/>
              <w:u w:val="none"/>
            </w:rPr>
            <w:fldChar w:fldCharType="begin"/>
          </w:r>
          <w:r>
            <w:rPr>
              <w:rFonts w:hint="eastAsia" w:ascii="黑体" w:hAnsi="黑体" w:eastAsia="黑体" w:cs="黑体"/>
              <w:sz w:val="21"/>
              <w:szCs w:val="21"/>
              <w:u w:val="none"/>
            </w:rPr>
            <w:instrText xml:space="preserve"> HYPERLINK \l _Toc15390_WPSOffice_Level2 </w:instrText>
          </w:r>
          <w:r>
            <w:rPr>
              <w:rFonts w:hint="eastAsia" w:ascii="黑体" w:hAnsi="黑体" w:eastAsia="黑体" w:cs="黑体"/>
              <w:sz w:val="21"/>
              <w:szCs w:val="21"/>
              <w:u w:val="none"/>
            </w:rPr>
            <w:fldChar w:fldCharType="separate"/>
          </w:r>
          <w:sdt>
            <w:sdtPr>
              <w:rPr>
                <w:rFonts w:hint="eastAsia" w:ascii="黑体" w:hAnsi="黑体" w:eastAsia="黑体" w:cs="黑体"/>
                <w:sz w:val="21"/>
                <w:szCs w:val="21"/>
                <w:u w:val="none"/>
                <w:lang w:val="en-US" w:eastAsia="zh-CN"/>
              </w:rPr>
              <w:id w:val="147459372"/>
              <w:placeholder>
                <w:docPart w:val="{211a55da-a768-4e7f-b878-0b635e2bd5f4}"/>
              </w:placeholder>
            </w:sdtPr>
            <w:sdtEndPr>
              <w:rPr>
                <w:rFonts w:hint="eastAsia" w:ascii="黑体" w:hAnsi="黑体" w:eastAsia="黑体" w:cs="黑体"/>
                <w:sz w:val="21"/>
                <w:szCs w:val="21"/>
                <w:u w:val="none"/>
                <w:lang w:val="en-US" w:eastAsia="zh-CN"/>
              </w:rPr>
            </w:sdtEndPr>
            <w:sdtContent>
              <w:r>
                <w:rPr>
                  <w:rFonts w:hint="eastAsia" w:ascii="黑体" w:hAnsi="黑体" w:eastAsia="黑体" w:cs="黑体"/>
                  <w:sz w:val="21"/>
                  <w:szCs w:val="21"/>
                  <w:u w:val="none"/>
                </w:rPr>
                <w:t>十三、财政拨款“三公”经费支出决算表</w:t>
              </w:r>
            </w:sdtContent>
          </w:sdt>
          <w:r>
            <w:rPr>
              <w:rFonts w:hint="eastAsia" w:ascii="黑体" w:hAnsi="黑体" w:eastAsia="黑体" w:cs="黑体"/>
              <w:sz w:val="21"/>
              <w:szCs w:val="21"/>
              <w:u w:val="none"/>
            </w:rPr>
            <w:tab/>
          </w:r>
          <w:bookmarkStart w:id="36" w:name="_Toc15390_WPSOffice_Level2Page"/>
          <w:r>
            <w:rPr>
              <w:rFonts w:hint="eastAsia" w:ascii="黑体" w:hAnsi="黑体" w:eastAsia="黑体" w:cs="黑体"/>
              <w:sz w:val="21"/>
              <w:szCs w:val="21"/>
              <w:u w:val="none"/>
            </w:rPr>
            <w:t>18</w:t>
          </w:r>
          <w:bookmarkEnd w:id="36"/>
          <w:r>
            <w:rPr>
              <w:rFonts w:hint="eastAsia" w:ascii="黑体" w:hAnsi="黑体" w:eastAsia="黑体" w:cs="黑体"/>
              <w:sz w:val="21"/>
              <w:szCs w:val="21"/>
              <w:u w:val="none"/>
            </w:rPr>
            <w:fldChar w:fldCharType="end"/>
          </w:r>
          <w:bookmarkEnd w:id="6"/>
        </w:p>
      </w:sdtContent>
    </w:sdt>
    <w:p>
      <w:pPr>
        <w:rPr>
          <w:rFonts w:ascii="Times New Roman" w:hAnsi="Times New Roman"/>
          <w:color w:val="auto"/>
          <w:highlight w:val="none"/>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rPr>
      </w:pPr>
      <w:bookmarkStart w:id="37" w:name="_Toc15396599"/>
      <w:bookmarkStart w:id="38" w:name="_Toc15377196"/>
      <w:bookmarkStart w:id="39" w:name="_Toc22917_WPSOffice_Level1"/>
      <w:r>
        <w:rPr>
          <w:rFonts w:hint="eastAsia" w:ascii="Times New Roman" w:hAnsi="Times New Roman" w:eastAsia="方正小标宋简体" w:cs="Times New Roman"/>
          <w:b w:val="0"/>
        </w:rPr>
        <w:t>第一部分</w:t>
      </w:r>
      <w:r>
        <w:rPr>
          <w:rFonts w:hint="eastAsia" w:ascii="Times New Roman" w:hAnsi="Times New Roman" w:eastAsia="方正小标宋简体" w:cs="Times New Roman"/>
          <w:b w:val="0"/>
          <w:lang w:val="en-US" w:eastAsia="zh-CN"/>
        </w:rPr>
        <w:t xml:space="preserve"> </w:t>
      </w:r>
      <w:r>
        <w:rPr>
          <w:rFonts w:hint="eastAsia" w:ascii="Times New Roman" w:hAnsi="Times New Roman" w:eastAsia="方正小标宋简体" w:cs="Times New Roman"/>
          <w:b w:val="0"/>
        </w:rPr>
        <w:t xml:space="preserve"> </w:t>
      </w:r>
      <w:r>
        <w:rPr>
          <w:rFonts w:hint="eastAsia" w:ascii="Times New Roman" w:hAnsi="Times New Roman" w:eastAsia="方正小标宋简体" w:cs="Times New Roman"/>
          <w:b w:val="0"/>
          <w:lang w:val="en-US" w:eastAsia="zh-CN"/>
        </w:rPr>
        <w:t>单位</w:t>
      </w:r>
      <w:r>
        <w:rPr>
          <w:rFonts w:hint="eastAsia" w:ascii="Times New Roman" w:hAnsi="Times New Roman" w:eastAsia="方正小标宋简体" w:cs="Times New Roman"/>
          <w:b w:val="0"/>
        </w:rPr>
        <w:t>概况</w:t>
      </w:r>
      <w:bookmarkEnd w:id="37"/>
      <w:bookmarkEnd w:id="38"/>
      <w:bookmarkEnd w:id="39"/>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eastAsia" w:ascii="Times New Roman" w:hAnsi="Times New Roman" w:eastAsia="黑体" w:cs="Times New Roman"/>
          <w:b w:val="0"/>
          <w:bCs w:val="0"/>
          <w:lang w:eastAsia="zh-CN"/>
        </w:rPr>
      </w:pPr>
      <w:bookmarkStart w:id="40" w:name="_Toc7179_WPSOffice_Level2"/>
      <w:r>
        <w:rPr>
          <w:rStyle w:val="29"/>
          <w:rFonts w:hint="eastAsia" w:ascii="Times New Roman" w:hAnsi="Times New Roman" w:eastAsia="黑体" w:cs="Times New Roman"/>
          <w:b w:val="0"/>
          <w:bCs w:val="0"/>
          <w:lang w:eastAsia="zh-CN"/>
        </w:rPr>
        <w:t>部门职责</w:t>
      </w:r>
      <w:bookmarkEnd w:id="40"/>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2024年实施初级中学义务教育，促进基础教育发展，中学学历教育等相关社会服务。</w:t>
      </w:r>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eastAsia" w:ascii="Times New Roman" w:hAnsi="Times New Roman" w:eastAsia="黑体" w:cs="Times New Roman"/>
          <w:b w:val="0"/>
          <w:bCs w:val="0"/>
          <w:lang w:eastAsia="zh-CN"/>
        </w:rPr>
      </w:pPr>
      <w:bookmarkStart w:id="41" w:name="_Toc15377200"/>
      <w:bookmarkStart w:id="42" w:name="_Toc15396601"/>
      <w:bookmarkStart w:id="43" w:name="_Toc5823_WPSOffice_Level2"/>
      <w:r>
        <w:rPr>
          <w:rStyle w:val="29"/>
          <w:rFonts w:hint="eastAsia" w:ascii="Times New Roman" w:hAnsi="Times New Roman" w:eastAsia="黑体" w:cs="Times New Roman"/>
          <w:b w:val="0"/>
          <w:bCs w:val="0"/>
          <w:lang w:eastAsia="zh-CN"/>
        </w:rPr>
        <w:t>机构设置</w:t>
      </w:r>
      <w:bookmarkEnd w:id="41"/>
      <w:bookmarkEnd w:id="42"/>
      <w:bookmarkEnd w:id="43"/>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盐边县永兴镇</w:t>
      </w:r>
      <w:r>
        <w:rPr>
          <w:rFonts w:hint="eastAsia" w:ascii="Times New Roman" w:hAnsi="Times New Roman" w:eastAsia="方正仿宋_GBK" w:cs="Times New Roman"/>
          <w:color w:val="auto"/>
          <w:sz w:val="32"/>
          <w:szCs w:val="32"/>
          <w:highlight w:val="none"/>
          <w:lang w:val="en-US" w:eastAsia="zh-CN"/>
        </w:rPr>
        <w:t>初级中</w:t>
      </w:r>
      <w:r>
        <w:rPr>
          <w:rFonts w:hint="default" w:ascii="Times New Roman" w:hAnsi="Times New Roman" w:eastAsia="方正仿宋_GBK" w:cs="Times New Roman"/>
          <w:color w:val="auto"/>
          <w:sz w:val="32"/>
          <w:szCs w:val="32"/>
          <w:highlight w:val="none"/>
          <w:lang w:val="en-US" w:eastAsia="zh-CN"/>
        </w:rPr>
        <w:t>学校是盐边县教育和体育局下属的事业编制二级预算单位，202</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年年末单位机构数1个，预算单位数1个。机构无变动情况。</w:t>
      </w:r>
    </w:p>
    <w:p>
      <w:pPr>
        <w:ind w:firstLine="800" w:firstLineChars="250"/>
        <w:rPr>
          <w:rFonts w:hint="eastAsia" w:ascii="Times New Roman" w:hAnsi="Times New Roman" w:eastAsia="仿宋_GB2312" w:cs="仿宋_GB2312"/>
          <w:color w:val="auto"/>
          <w:sz w:val="32"/>
          <w:szCs w:val="32"/>
          <w:highlight w:val="none"/>
        </w:rPr>
      </w:pP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highlight w:val="none"/>
        </w:rPr>
      </w:pPr>
      <w:bookmarkStart w:id="44" w:name="_Toc15377204"/>
      <w:bookmarkStart w:id="45" w:name="_Toc15396602"/>
      <w:bookmarkStart w:id="46" w:name="_Toc7179_WPSOffice_Level1"/>
      <w:r>
        <w:rPr>
          <w:rFonts w:hint="eastAsia" w:ascii="Times New Roman" w:hAnsi="Times New Roman" w:eastAsia="方正小标宋简体" w:cs="Times New Roman"/>
          <w:b w:val="0"/>
          <w:lang w:val="en-US" w:eastAsia="zh-CN"/>
        </w:rPr>
        <w:t>第二部分  2024年度部门决算情况说明</w:t>
      </w:r>
      <w:bookmarkEnd w:id="44"/>
      <w:bookmarkEnd w:id="45"/>
      <w:bookmarkEnd w:id="46"/>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s="Times New Roman"/>
          <w:color w:val="auto"/>
          <w:sz w:val="32"/>
          <w:szCs w:val="32"/>
          <w:highlight w:val="none"/>
          <w:lang w:eastAsia="zh-CN"/>
        </w:rPr>
      </w:pPr>
      <w:bookmarkStart w:id="47" w:name="_Toc15377205"/>
      <w:bookmarkStart w:id="48" w:name="_Toc15396603"/>
      <w:bookmarkStart w:id="49" w:name="_Toc9273_WPSOffice_Level2"/>
      <w:r>
        <w:rPr>
          <w:rFonts w:hint="eastAsia" w:ascii="Times New Roman" w:hAnsi="Times New Roman" w:eastAsia="黑体" w:cs="Times New Roman"/>
          <w:color w:val="auto"/>
          <w:sz w:val="32"/>
          <w:szCs w:val="32"/>
          <w:highlight w:val="none"/>
          <w:lang w:eastAsia="zh-CN"/>
        </w:rPr>
        <w:t>一、收入支出决算总体情况说明</w:t>
      </w:r>
      <w:bookmarkEnd w:id="47"/>
      <w:bookmarkEnd w:id="48"/>
      <w:bookmarkEnd w:id="49"/>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2024年度收入、支出总计均为1</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eastAsia="zh-CN"/>
        </w:rPr>
        <w:t>911.67万元。与202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年度相比，收入、支出总计各减少</w:t>
      </w:r>
      <w:r>
        <w:rPr>
          <w:rFonts w:hint="eastAsia" w:ascii="Times New Roman" w:hAnsi="Times New Roman" w:eastAsia="方正仿宋_GBK" w:cs="Times New Roman"/>
          <w:color w:val="auto"/>
          <w:sz w:val="32"/>
          <w:szCs w:val="32"/>
          <w:highlight w:val="none"/>
          <w:lang w:val="en-US" w:eastAsia="zh-CN"/>
        </w:rPr>
        <w:t>436.1</w:t>
      </w:r>
      <w:r>
        <w:rPr>
          <w:rFonts w:hint="eastAsia" w:ascii="Times New Roman" w:hAnsi="Times New Roman" w:eastAsia="方正仿宋_GBK" w:cs="Times New Roman"/>
          <w:color w:val="auto"/>
          <w:sz w:val="32"/>
          <w:szCs w:val="32"/>
          <w:highlight w:val="none"/>
          <w:lang w:eastAsia="zh-CN"/>
        </w:rPr>
        <w:t>万元，下降</w:t>
      </w:r>
      <w:r>
        <w:rPr>
          <w:rFonts w:hint="eastAsia" w:ascii="Times New Roman" w:hAnsi="Times New Roman" w:eastAsia="方正仿宋_GBK" w:cs="Times New Roman"/>
          <w:color w:val="auto"/>
          <w:sz w:val="32"/>
          <w:szCs w:val="32"/>
          <w:highlight w:val="none"/>
          <w:lang w:val="en-US" w:eastAsia="zh-CN"/>
        </w:rPr>
        <w:t>18.58</w:t>
      </w:r>
      <w:r>
        <w:rPr>
          <w:rFonts w:hint="eastAsia" w:ascii="Times New Roman" w:hAnsi="Times New Roman" w:eastAsia="方正仿宋_GBK" w:cs="Times New Roman"/>
          <w:color w:val="auto"/>
          <w:sz w:val="32"/>
          <w:szCs w:val="32"/>
          <w:highlight w:val="none"/>
          <w:lang w:eastAsia="zh-CN"/>
        </w:rPr>
        <w:t>%。主要变动原因是</w:t>
      </w:r>
      <w:r>
        <w:rPr>
          <w:rFonts w:hint="eastAsia" w:ascii="Times New Roman" w:hAnsi="Times New Roman" w:eastAsia="方正仿宋_GBK" w:cs="Times New Roman"/>
          <w:color w:val="auto"/>
          <w:sz w:val="32"/>
          <w:szCs w:val="32"/>
          <w:highlight w:val="none"/>
          <w:lang w:val="en-US" w:eastAsia="zh-CN"/>
        </w:rPr>
        <w:t>基本支出（人员调出和学生人数减少）和项目经费（农村中小学校舍建设减少）。</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kern w:val="2"/>
          <w:sz w:val="24"/>
          <w:szCs w:val="24"/>
          <w:highlight w:val="none"/>
          <w:lang w:val="en-US" w:eastAsia="zh-CN" w:bidi="ar-SA"/>
        </w:rPr>
        <w:t>（图1：收入、支出决算总计变动情况图）（柱状图）</w:t>
      </w:r>
    </w:p>
    <w:p>
      <w:pPr>
        <w:pStyle w:val="13"/>
        <w:rPr>
          <w:rFonts w:hint="eastAsia"/>
        </w:rPr>
      </w:pPr>
    </w:p>
    <w:p>
      <w:pPr>
        <w:pStyle w:val="13"/>
        <w:jc w:val="center"/>
        <w:rPr>
          <w:rFonts w:hint="eastAsia" w:ascii="Times New Roman" w:hAnsi="Times New Roman" w:eastAsia="仿宋_GB2312" w:cs="仿宋_GB2312"/>
          <w:color w:val="auto"/>
          <w:sz w:val="32"/>
          <w:szCs w:val="32"/>
          <w:highlight w:val="none"/>
        </w:rPr>
      </w:pPr>
      <w:r>
        <w:drawing>
          <wp:inline distT="0" distB="0" distL="114300" distR="114300">
            <wp:extent cx="4554855" cy="2999105"/>
            <wp:effectExtent l="4445" t="5080" r="12700" b="571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eastAsia="zh-CN"/>
        </w:rPr>
      </w:pPr>
      <w:bookmarkStart w:id="50" w:name="_Toc15396604"/>
      <w:bookmarkStart w:id="51" w:name="_Toc15377206"/>
      <w:bookmarkStart w:id="52" w:name="_Toc1269_WPSOffice_Level2"/>
      <w:r>
        <w:rPr>
          <w:rFonts w:hint="eastAsia" w:ascii="Times New Roman" w:hAnsi="Times New Roman" w:eastAsia="黑体" w:cs="Times New Roman"/>
          <w:color w:val="auto"/>
          <w:sz w:val="32"/>
          <w:szCs w:val="32"/>
          <w:highlight w:val="none"/>
          <w:lang w:eastAsia="zh-CN"/>
        </w:rPr>
        <w:t>二、收入决算情况说明</w:t>
      </w:r>
      <w:bookmarkEnd w:id="50"/>
      <w:bookmarkEnd w:id="51"/>
      <w:bookmarkEnd w:id="52"/>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度本年收入合计1,911.67万元，其中：一般公共预算财政拨款收入1,911.67万元，占100%；政府性基金预算财政拨款收入0万元，占0%%；国有资本经营预算财政拨款收入0万元，占0%；上级补助收入0万元，占0%；事业收入0万元，占0%；经营收入0万元，占0%；附属单位上缴收入0万元，占0%；其他收入0万元，占0%。</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（图2：收入决算结构图）（饼状图）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5270500" cy="2473325"/>
            <wp:effectExtent l="4445" t="4445" r="20955" b="1778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eastAsia="zh-CN"/>
        </w:rPr>
      </w:pPr>
      <w:bookmarkStart w:id="53" w:name="_Toc15377207"/>
      <w:bookmarkStart w:id="54" w:name="_Toc15396605"/>
      <w:bookmarkStart w:id="55" w:name="_Toc376_WPSOffice_Level2"/>
      <w:r>
        <w:rPr>
          <w:rFonts w:hint="eastAsia" w:ascii="Times New Roman" w:hAnsi="Times New Roman" w:eastAsia="黑体" w:cs="Times New Roman"/>
          <w:color w:val="auto"/>
          <w:sz w:val="32"/>
          <w:szCs w:val="32"/>
          <w:highlight w:val="none"/>
          <w:lang w:eastAsia="zh-CN"/>
        </w:rPr>
        <w:t>三、支出决算情况说明</w:t>
      </w:r>
      <w:bookmarkEnd w:id="53"/>
      <w:bookmarkEnd w:id="54"/>
      <w:bookmarkEnd w:id="55"/>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2024年度本年支出合计1</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eastAsia="zh-CN"/>
        </w:rPr>
        <w:t>911.67万元，其中：基本支出1</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eastAsia="zh-CN"/>
        </w:rPr>
        <w:t>871.49万元，占97.89%；项目支出40.18万元，占2.1%；上缴上级支出0万元，占0%；经营支出0万元，占0%；对附属单位补助支出0万元，占</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（图3：支出决算结构图）（饼状图）</w:t>
      </w:r>
    </w:p>
    <w:p>
      <w:pPr>
        <w:pStyle w:val="13"/>
        <w:rPr>
          <w:rFonts w:hint="eastAsia"/>
          <w:lang w:eastAsia="zh-CN"/>
        </w:rPr>
      </w:pPr>
    </w:p>
    <w:p>
      <w:pPr>
        <w:pStyle w:val="7"/>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56" w:name="_Toc15396606"/>
      <w:bookmarkStart w:id="57" w:name="_Toc15377208"/>
      <w:bookmarkStart w:id="58" w:name="_Toc16702_WPSOffice_Level2"/>
      <w:r>
        <w:rPr>
          <w:rFonts w:hint="eastAsia" w:ascii="Times New Roman" w:hAnsi="Times New Roman" w:eastAsia="黑体" w:cs="Times New Roman"/>
          <w:color w:val="auto"/>
          <w:sz w:val="32"/>
          <w:szCs w:val="32"/>
          <w:highlight w:val="none"/>
        </w:rPr>
        <w:t>四、财政拨款收入支出决算总体情况说明</w:t>
      </w:r>
      <w:bookmarkEnd w:id="56"/>
      <w:bookmarkEnd w:id="57"/>
      <w:bookmarkEnd w:id="58"/>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度财政拨款收入、支出总计均为1,911.67万元。与2023年度相比，财政拨款收入总计、支出总计各减少436.11万元，下降18.58%。主要变动原因是基本支出（人员调出和学生人数减少）和项目经费（农村中小学校舍建设减少）。</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（图4：财政拨款收、支决算总计变动情况）（柱状图）</w:t>
      </w:r>
    </w:p>
    <w:p>
      <w:pPr>
        <w:pStyle w:val="13"/>
        <w:jc w:val="center"/>
        <w:rPr>
          <w:rFonts w:hint="eastAsia" w:ascii="Times New Roman" w:hAnsi="Times New Roman" w:eastAsia="黑体"/>
          <w:color w:val="auto"/>
          <w:sz w:val="32"/>
          <w:szCs w:val="32"/>
          <w:highlight w:val="none"/>
        </w:rPr>
      </w:pPr>
      <w:r>
        <w:drawing>
          <wp:inline distT="0" distB="0" distL="114300" distR="114300">
            <wp:extent cx="4778375" cy="2896235"/>
            <wp:effectExtent l="4445" t="4445" r="17780" b="13970"/>
            <wp:docPr id="27"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59" w:name="_Toc15377209"/>
      <w:bookmarkStart w:id="60" w:name="_Toc15396607"/>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61" w:name="_Toc28077_WPSOffice_Level2"/>
      <w:r>
        <w:rPr>
          <w:rFonts w:hint="eastAsia" w:ascii="Times New Roman" w:hAnsi="Times New Roman" w:eastAsia="黑体" w:cs="Times New Roman"/>
          <w:color w:val="auto"/>
          <w:sz w:val="32"/>
          <w:szCs w:val="32"/>
          <w:highlight w:val="none"/>
        </w:rPr>
        <w:t>五、一般公共预算财政拨款支出决算情况说明</w:t>
      </w:r>
      <w:bookmarkEnd w:id="59"/>
      <w:bookmarkEnd w:id="60"/>
      <w:bookmarkEnd w:id="61"/>
    </w:p>
    <w:p>
      <w:pPr>
        <w:keepNext w:val="0"/>
        <w:keepLines w:val="0"/>
        <w:pageBreakBefore w:val="0"/>
        <w:kinsoku/>
        <w:wordWrap/>
        <w:overflowPunct/>
        <w:topLinePunct w:val="0"/>
        <w:bidi w:val="0"/>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rPr>
      </w:pPr>
      <w:bookmarkStart w:id="62" w:name="_Toc15377210"/>
      <w:r>
        <w:rPr>
          <w:rFonts w:hint="eastAsia" w:ascii="Times New Roman" w:hAnsi="Times New Roman" w:eastAsia="黑体" w:cs="Times New Roman"/>
          <w:color w:val="auto"/>
          <w:sz w:val="32"/>
          <w:szCs w:val="32"/>
          <w:highlight w:val="none"/>
        </w:rPr>
        <w:t>（一）一般公共预算财政拨款支出决算总体情况</w:t>
      </w:r>
      <w:bookmarkEnd w:id="62"/>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度一般公共预算财政拨款支出1,911.67万元，占本年支出合计的100%。与2023年度相比，一般公共预算财政拨款支出减少436.11万元，下降18.58%。主要变动原因是基本支出（人员调出和学生人数减少）和项目经费（农村中小学校舍建设减少）。</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（图5：一般公共预算财政拨款支出决算变动情况）（柱状图）</w:t>
      </w:r>
    </w:p>
    <w:p>
      <w:pPr>
        <w:spacing w:line="600" w:lineRule="exact"/>
        <w:ind w:firstLine="420" w:firstLineChars="200"/>
        <w:outlineLvl w:val="2"/>
      </w:pPr>
      <w:bookmarkStart w:id="63" w:name="_Toc15377211"/>
      <w:r>
        <w:drawing>
          <wp:anchor distT="0" distB="0" distL="114300" distR="114300" simplePos="0" relativeHeight="251659264" behindDoc="1" locked="0" layoutInCell="1" allowOverlap="1">
            <wp:simplePos x="0" y="0"/>
            <wp:positionH relativeFrom="column">
              <wp:posOffset>747395</wp:posOffset>
            </wp:positionH>
            <wp:positionV relativeFrom="paragraph">
              <wp:posOffset>191135</wp:posOffset>
            </wp:positionV>
            <wp:extent cx="4572000" cy="2743200"/>
            <wp:effectExtent l="4445" t="4445" r="14605" b="14605"/>
            <wp:wrapNone/>
            <wp:docPr id="26"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13"/>
      </w:pPr>
    </w:p>
    <w:p>
      <w:pPr>
        <w:pStyle w:val="7"/>
      </w:pPr>
    </w:p>
    <w:p>
      <w:pPr>
        <w:pStyle w:val="7"/>
      </w:pPr>
    </w:p>
    <w:p>
      <w:pPr>
        <w:pStyle w:val="7"/>
      </w:pPr>
    </w:p>
    <w:p>
      <w:pPr>
        <w:pStyle w:val="7"/>
      </w:pPr>
    </w:p>
    <w:p>
      <w:pPr>
        <w:spacing w:line="600" w:lineRule="exact"/>
        <w:ind w:firstLine="420" w:firstLineChars="200"/>
        <w:outlineLvl w:val="2"/>
      </w:pPr>
    </w:p>
    <w:p>
      <w:pPr>
        <w:spacing w:line="600" w:lineRule="exact"/>
        <w:ind w:firstLine="420" w:firstLineChars="200"/>
        <w:outlineLvl w:val="2"/>
      </w:pPr>
    </w:p>
    <w:p>
      <w:pPr>
        <w:spacing w:line="600" w:lineRule="exact"/>
        <w:ind w:firstLine="420" w:firstLineChars="200"/>
        <w:outlineLvl w:val="2"/>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rPr>
        <w:t>（二）一般公共预算财政拨款支出决算结构情况</w:t>
      </w:r>
      <w:bookmarkEnd w:id="63"/>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1,911.67万元，主要用于以下方面：一般公共服务支出24.85万元，占1.30%，教育支出1,397.70万元，占73.11%；科学技术支出0万元，占0%；文化旅游体育与传媒支出0万元，占0%；社会保障和就业支出215.48万元，占11.27%；卫生健康支出140.62万元，占7.36%；住房保障支出133.02万元，占6.96%。</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（图6：一般公共预算财政拨款支出决算结构）（饼状图）</w:t>
      </w:r>
    </w:p>
    <w:p>
      <w:pPr>
        <w:pStyle w:val="7"/>
      </w:pPr>
      <w:r>
        <w:drawing>
          <wp:inline distT="0" distB="0" distL="114300" distR="114300">
            <wp:extent cx="5269230" cy="4304030"/>
            <wp:effectExtent l="4445" t="4445" r="22225" b="15875"/>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13"/>
        <w:jc w:val="center"/>
        <w:rPr>
          <w:rFonts w:hint="eastAsia"/>
          <w:lang w:val="en-US" w:eastAsia="zh-CN"/>
        </w:rPr>
      </w:pP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64" w:name="_Toc15377212"/>
      <w:r>
        <w:rPr>
          <w:rFonts w:hint="eastAsia" w:ascii="Times New Roman" w:hAnsi="Times New Roman" w:eastAsia="楷体_GB2312" w:cs="Times New Roman"/>
          <w:b/>
          <w:color w:val="auto"/>
          <w:sz w:val="32"/>
          <w:szCs w:val="32"/>
          <w:highlight w:val="none"/>
        </w:rPr>
        <w:t>（三）一般公共预算财政拨款支出决算具体情况</w:t>
      </w:r>
      <w:bookmarkEnd w:id="64"/>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bookmarkStart w:id="65" w:name="_Toc15377444"/>
      <w:bookmarkStart w:id="66" w:name="_Toc15378460"/>
      <w:bookmarkStart w:id="67" w:name="_Toc15377213"/>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2024年度一般公共预算财政拨款支出决算数为1,911.67，完成预算100%。其中：</w:t>
      </w:r>
      <w:bookmarkEnd w:id="65"/>
      <w:bookmarkEnd w:id="66"/>
      <w:bookmarkEnd w:id="67"/>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1.一般公共服务（201类）：支出决算为24.85万，完成预算100%。其中一般公共服务（201类）民族事务（23款）其他民族事务支出（99项）：支出决算为24.85万元。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2.教育支出（205类）: 支出决算为1,397.7万元，完成预算100%。其中：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①教育支出（205类）普通教育（02款）初中教育（03项）：支出决算数为1,382.37万元。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②教育支出（205类）教育费附加安排的支出（09款）农村中小学校舍建设（01项）：支出决算数为15.33万元。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3.社会保障和就业支出（208类）</w:t>
      </w:r>
      <w:r>
        <w:rPr>
          <w:rFonts w:hint="default" w:ascii="Times New Roman" w:hAnsi="Times New Roman" w:eastAsia="方正仿宋_GBK" w:cs="Times New Roman"/>
          <w:color w:val="auto"/>
          <w:kern w:val="2"/>
          <w:sz w:val="32"/>
          <w:szCs w:val="32"/>
          <w:highlight w:val="none"/>
          <w:lang w:val="en-US" w:eastAsia="zh-CN" w:bidi="ar-SA"/>
        </w:rPr>
        <w:t xml:space="preserve">: </w:t>
      </w:r>
      <w:r>
        <w:rPr>
          <w:rFonts w:hint="eastAsia" w:ascii="Times New Roman" w:hAnsi="Times New Roman" w:eastAsia="方正仿宋_GBK" w:cs="Times New Roman"/>
          <w:color w:val="auto"/>
          <w:kern w:val="2"/>
          <w:sz w:val="32"/>
          <w:szCs w:val="32"/>
          <w:highlight w:val="none"/>
          <w:lang w:val="en-US" w:eastAsia="zh-CN" w:bidi="ar-SA"/>
        </w:rPr>
        <w:t>支出决算为215.48万元，完成预算100%。其中：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①教社会保障和就业支出（208类）行政事业单位养老支出（05款）机关事业单位基本养老保险缴费支出（05项）：支出决算数为162.59万元。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②教社会保障和就业支出（208类）行政事业单位养老支出（05款）机关事业单位职业年金缴费支出（06项）：支出决算数为24.92万元。</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③教社会保障和就业支出（208类）行政事业单位养老支出（05款）事业单位离退休（02项）：支出决算数为27.97万元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卫生健康支出（210类）</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支出决算为140.62万元，完成预算100</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。其中：</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①卫生健康支出（210类）行政事业单位医疗（11款）事业单位医疗（02项）：支出决算数为85.65万元。  </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②卫生健康支出（210类）行政事业单位医疗（11款）其他行政事业单位医疗支出（99项）：支出决算数为54.97万元。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5.住房保障支出（221类）</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支出决算为133.02万元，完成预算100</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。其中：住房保障支出（221类）住房改革支出（02款）住房公积金（01项）：支出决算数为133.02万元</w:t>
      </w:r>
      <w:r>
        <w:rPr>
          <w:rFonts w:hint="eastAsia" w:ascii="仿宋_GB2312" w:eastAsia="仿宋_GB2312"/>
          <w:color w:val="auto"/>
          <w:sz w:val="32"/>
          <w:szCs w:val="32"/>
          <w:lang w:val="en-US" w:eastAsia="zh-CN"/>
        </w:rPr>
        <w:t>。</w:t>
      </w:r>
    </w:p>
    <w:p>
      <w:pPr>
        <w:tabs>
          <w:tab w:val="right" w:pos="8306"/>
        </w:tabs>
        <w:spacing w:line="600" w:lineRule="exact"/>
        <w:ind w:firstLine="640"/>
        <w:outlineLvl w:val="1"/>
        <w:rPr>
          <w:rStyle w:val="29"/>
          <w:rFonts w:ascii="Times New Roman" w:hAnsi="Times New Roman"/>
          <w:color w:val="auto"/>
          <w:highlight w:val="none"/>
        </w:rPr>
      </w:pPr>
      <w:bookmarkStart w:id="68" w:name="_Toc15396608"/>
      <w:bookmarkStart w:id="69" w:name="_Toc15377214"/>
      <w:bookmarkStart w:id="70" w:name="_Toc16906_WPSOffice_Level2"/>
      <w:r>
        <w:rPr>
          <w:rFonts w:hint="eastAsia" w:ascii="Times New Roman" w:hAnsi="Times New Roman" w:eastAsia="黑体" w:cs="Times New Roman"/>
          <w:color w:val="auto"/>
          <w:sz w:val="32"/>
          <w:szCs w:val="32"/>
          <w:highlight w:val="none"/>
        </w:rPr>
        <w:t>六、一般公共预算财政拨款基本支出决算情况说明</w:t>
      </w:r>
      <w:bookmarkEnd w:id="68"/>
      <w:bookmarkEnd w:id="69"/>
      <w:bookmarkEnd w:id="70"/>
      <w:r>
        <w:rPr>
          <w:rStyle w:val="29"/>
          <w:rFonts w:ascii="Times New Roman" w:hAnsi="Times New Roman" w:eastAsia="黑体"/>
          <w:b w:val="0"/>
          <w:color w:val="auto"/>
          <w:highlight w:val="none"/>
        </w:rPr>
        <w:tab/>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2024年度一般公共预算财政拨款基本支出1,871.49万元，其中：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人员经费1,703.32万元，主要包括：基本工资、津贴补贴、绩效工资、机关事业单位基本养老保险缴费、职业年金缴费、职工基本医疗保险缴费、其他社会保障缴费、住房公积金、医疗费、其他工资福利支出、生活补助、医疗费补助、奖励金。</w:t>
      </w:r>
      <w:r>
        <w:rPr>
          <w:rFonts w:hint="eastAsia" w:ascii="Times New Roman" w:hAnsi="Times New Roman" w:eastAsia="方正仿宋_GBK" w:cs="Times New Roman"/>
          <w:color w:val="auto"/>
          <w:kern w:val="2"/>
          <w:sz w:val="32"/>
          <w:szCs w:val="32"/>
          <w:highlight w:val="none"/>
          <w:lang w:val="en-US" w:eastAsia="zh-CN" w:bidi="ar-SA"/>
        </w:rPr>
        <w:br w:type="textWrapping"/>
      </w:r>
      <w:r>
        <w:rPr>
          <w:rFonts w:hint="eastAsia" w:ascii="Times New Roman" w:hAnsi="Times New Roman" w:eastAsia="方正仿宋_GBK" w:cs="Times New Roman"/>
          <w:color w:val="auto"/>
          <w:kern w:val="2"/>
          <w:sz w:val="32"/>
          <w:szCs w:val="32"/>
          <w:highlight w:val="none"/>
          <w:lang w:val="en-US" w:eastAsia="zh-CN" w:bidi="ar-SA"/>
        </w:rPr>
        <w:t>　　公用经费168.17万元，主要包括：办公费、印刷费、咨询费、水费、电费、差旅费、维修（护）费、培训费、劳务费、工会经费、福利费、、其他交通费、其他商品和服务支出。</w:t>
      </w:r>
    </w:p>
    <w:p>
      <w:pPr>
        <w:keepNext w:val="0"/>
        <w:keepLines w:val="0"/>
        <w:pageBreakBefore w:val="0"/>
        <w:kinsoku/>
        <w:wordWrap/>
        <w:overflowPunct/>
        <w:topLinePunct w:val="0"/>
        <w:bidi w:val="0"/>
        <w:spacing w:line="240" w:lineRule="auto"/>
        <w:ind w:firstLine="640"/>
        <w:textAlignment w:val="auto"/>
        <w:outlineLvl w:val="1"/>
        <w:rPr>
          <w:rFonts w:hint="default" w:ascii="Times New Roman" w:hAnsi="Times New Roman" w:eastAsia="黑体" w:cs="Times New Roman"/>
          <w:color w:val="auto"/>
          <w:sz w:val="32"/>
          <w:szCs w:val="32"/>
          <w:highlight w:val="none"/>
        </w:rPr>
      </w:pPr>
      <w:bookmarkStart w:id="71" w:name="_Toc15377215"/>
      <w:bookmarkStart w:id="72" w:name="_Toc15396609"/>
      <w:bookmarkStart w:id="73" w:name="_Toc8488_WPSOffice_Level2"/>
      <w:r>
        <w:rPr>
          <w:rFonts w:hint="eastAsia" w:ascii="Times New Roman" w:hAnsi="Times New Roman" w:eastAsia="黑体" w:cs="Times New Roman"/>
          <w:color w:val="auto"/>
          <w:sz w:val="32"/>
          <w:szCs w:val="32"/>
          <w:highlight w:val="none"/>
        </w:rPr>
        <w:t>七、财政拨款“三公”经费支出决算情况说明</w:t>
      </w:r>
      <w:bookmarkEnd w:id="71"/>
      <w:bookmarkEnd w:id="72"/>
      <w:bookmarkEnd w:id="73"/>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74" w:name="_Toc15377216"/>
      <w:r>
        <w:rPr>
          <w:rFonts w:hint="eastAsia" w:ascii="Times New Roman" w:hAnsi="Times New Roman" w:eastAsia="楷体_GB2312" w:cs="Times New Roman"/>
          <w:b/>
          <w:color w:val="auto"/>
          <w:sz w:val="32"/>
          <w:szCs w:val="32"/>
          <w:highlight w:val="none"/>
        </w:rPr>
        <w:t>（一）“三公”经费财政拨款支出决算总体情况说明</w:t>
      </w:r>
      <w:bookmarkEnd w:id="74"/>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2024年度“三公”经费财政拨款支出决算为0万元，完成预算0%，较上年度减少0.17万元，下降100%。</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75" w:name="_Toc15377217"/>
      <w:r>
        <w:rPr>
          <w:rFonts w:hint="eastAsia" w:ascii="Times New Roman" w:hAnsi="Times New Roman" w:eastAsia="楷体_GB2312" w:cs="Times New Roman"/>
          <w:b/>
          <w:color w:val="auto"/>
          <w:sz w:val="32"/>
          <w:szCs w:val="32"/>
          <w:highlight w:val="none"/>
        </w:rPr>
        <w:t>（二）“三公”经费财政拨款支出决算具体情况说明</w:t>
      </w:r>
      <w:bookmarkEnd w:id="75"/>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eastAsia" w:ascii="Times New Roman" w:hAnsi="Times New Roman" w:eastAsia="方正仿宋_GBK" w:cs="Times New Roman"/>
          <w:color w:val="auto"/>
          <w:kern w:val="2"/>
          <w:sz w:val="32"/>
          <w:szCs w:val="32"/>
          <w:highlight w:val="none"/>
          <w:lang w:val="en-US" w:eastAsia="zh-CN" w:bidi="ar-SA"/>
        </w:rPr>
        <w:t>全年安排因公出国（境）团组0次，出国（境）0人。因公出国（境）支出决算与2023年持平。</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公务用车购置及运行维护费支出0万元，完成预算0%。公务用车购置及运行维护费支出决算比2023年度减少0.17万元，下降100%。主要原因是公务车报废，无产生支付。其中：公务用车购置支出0万元。全年按规定更新购置公务用车0辆，其中：轿车0辆、金额0万元，越野车0辆、金额0万元，载客汽车0辆、金额0万元。截至2024年12月31日，单位共有公务用车1辆，其中：轿车1辆、越野车0辆、载客汽车0辆。</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公务用车运行维护费支出0万元。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eastAsia" w:ascii="Times New Roman" w:hAnsi="Times New Roman" w:eastAsia="方正仿宋_GBK" w:cs="Times New Roman"/>
          <w:color w:val="auto"/>
          <w:kern w:val="2"/>
          <w:sz w:val="32"/>
          <w:szCs w:val="32"/>
          <w:highlight w:val="none"/>
          <w:lang w:val="en-US" w:eastAsia="zh-CN" w:bidi="ar-SA"/>
        </w:rPr>
        <w:t>公务接待费支出决算与2023年度持平。</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国内公务接待支出0万元。国内公务接待0批次，0人次（不包括陪同人员），共计支出0万元。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外事接待支出0万元。外事接待0批次，0人次（不包括陪同人员），共计支出0万元。</w:t>
      </w:r>
      <w:bookmarkStart w:id="76" w:name="_Toc15396610"/>
      <w:bookmarkStart w:id="77" w:name="_Toc15377218"/>
    </w:p>
    <w:p>
      <w:pPr>
        <w:keepNext w:val="0"/>
        <w:keepLines w:val="0"/>
        <w:pageBreakBefore w:val="0"/>
        <w:kinsoku/>
        <w:wordWrap/>
        <w:overflowPunct/>
        <w:topLinePunct w:val="0"/>
        <w:bidi w:val="0"/>
        <w:spacing w:line="240" w:lineRule="auto"/>
        <w:ind w:firstLine="640"/>
        <w:textAlignment w:val="auto"/>
        <w:outlineLvl w:val="1"/>
        <w:rPr>
          <w:rFonts w:hint="default" w:ascii="Times New Roman" w:hAnsi="Times New Roman" w:eastAsia="黑体" w:cs="Times New Roman"/>
          <w:color w:val="auto"/>
          <w:sz w:val="32"/>
          <w:szCs w:val="32"/>
          <w:highlight w:val="none"/>
        </w:rPr>
      </w:pPr>
      <w:bookmarkStart w:id="78" w:name="_Toc29595_WPSOffice_Level2"/>
      <w:r>
        <w:rPr>
          <w:rFonts w:hint="eastAsia" w:ascii="Times New Roman" w:hAnsi="Times New Roman" w:eastAsia="黑体" w:cs="Times New Roman"/>
          <w:color w:val="auto"/>
          <w:sz w:val="32"/>
          <w:szCs w:val="32"/>
          <w:highlight w:val="none"/>
        </w:rPr>
        <w:t>八、政府性基金预算支出决算情况说明</w:t>
      </w:r>
      <w:bookmarkEnd w:id="76"/>
      <w:bookmarkEnd w:id="77"/>
      <w:bookmarkEnd w:id="78"/>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2024年度政府性基金预算财政拨款支出0万元，占本年支出合计的0%。与2023年度相比，政府性基金预算财政拨款支出持平。</w:t>
      </w:r>
    </w:p>
    <w:p>
      <w:pPr>
        <w:keepNext w:val="0"/>
        <w:keepLines w:val="0"/>
        <w:pageBreakBefore w:val="0"/>
        <w:kinsoku/>
        <w:wordWrap/>
        <w:overflowPunct/>
        <w:topLinePunct w:val="0"/>
        <w:bidi w:val="0"/>
        <w:spacing w:line="240" w:lineRule="auto"/>
        <w:ind w:firstLine="640"/>
        <w:textAlignment w:val="auto"/>
        <w:outlineLvl w:val="1"/>
        <w:rPr>
          <w:rFonts w:hint="eastAsia" w:ascii="Times New Roman" w:hAnsi="Times New Roman" w:eastAsia="黑体" w:cs="Times New Roman"/>
          <w:color w:val="auto"/>
          <w:sz w:val="32"/>
          <w:szCs w:val="32"/>
          <w:highlight w:val="none"/>
          <w:lang w:val="en-US" w:eastAsia="zh-CN"/>
        </w:rPr>
      </w:pPr>
      <w:bookmarkStart w:id="79" w:name="_Toc15396611"/>
      <w:bookmarkStart w:id="80" w:name="_Toc15377219"/>
      <w:bookmarkStart w:id="81" w:name="_Toc24458_WPSOffice_Level2"/>
      <w:r>
        <w:rPr>
          <w:rFonts w:hint="eastAsia" w:ascii="Times New Roman" w:hAnsi="Times New Roman" w:eastAsia="黑体" w:cs="Times New Roman"/>
          <w:color w:val="auto"/>
          <w:sz w:val="32"/>
          <w:szCs w:val="32"/>
          <w:highlight w:val="none"/>
          <w:lang w:val="en-US" w:eastAsia="zh-CN"/>
        </w:rPr>
        <w:t>九、国有资本经营预算支出决算情况说明</w:t>
      </w:r>
      <w:bookmarkEnd w:id="79"/>
      <w:bookmarkEnd w:id="80"/>
      <w:bookmarkEnd w:id="81"/>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2024年度国有资本经营预算财政拨款支出0万元，占本年支出合计的0%。与2023年度相比，国有资本经营预算财政拨款支出持平。</w:t>
      </w:r>
    </w:p>
    <w:p>
      <w:pPr>
        <w:keepNext w:val="0"/>
        <w:keepLines w:val="0"/>
        <w:pageBreakBefore w:val="0"/>
        <w:kinsoku/>
        <w:wordWrap/>
        <w:overflowPunct/>
        <w:topLinePunct w:val="0"/>
        <w:bidi w:val="0"/>
        <w:spacing w:line="240" w:lineRule="auto"/>
        <w:ind w:firstLine="640"/>
        <w:textAlignment w:val="auto"/>
        <w:outlineLvl w:val="1"/>
        <w:rPr>
          <w:rFonts w:hint="eastAsia" w:ascii="Times New Roman" w:hAnsi="Times New Roman" w:eastAsia="黑体" w:cs="Times New Roman"/>
          <w:color w:val="auto"/>
          <w:sz w:val="32"/>
          <w:szCs w:val="32"/>
          <w:highlight w:val="none"/>
          <w:lang w:val="en-US" w:eastAsia="zh-CN"/>
        </w:rPr>
      </w:pPr>
      <w:bookmarkStart w:id="82" w:name="_Toc15377221"/>
      <w:bookmarkStart w:id="83" w:name="_Toc15396612"/>
      <w:bookmarkStart w:id="84" w:name="_Toc6610_WPSOffice_Level2"/>
      <w:r>
        <w:rPr>
          <w:rFonts w:hint="eastAsia" w:ascii="Times New Roman" w:hAnsi="Times New Roman" w:eastAsia="黑体" w:cs="Times New Roman"/>
          <w:color w:val="auto"/>
          <w:sz w:val="32"/>
          <w:szCs w:val="32"/>
          <w:highlight w:val="none"/>
          <w:lang w:val="en-US" w:eastAsia="zh-CN"/>
        </w:rPr>
        <w:t>十、其他重要事项的情况说明</w:t>
      </w:r>
      <w:bookmarkEnd w:id="82"/>
      <w:bookmarkEnd w:id="83"/>
      <w:bookmarkEnd w:id="84"/>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85" w:name="_Toc15377222"/>
      <w:r>
        <w:rPr>
          <w:rFonts w:hint="eastAsia" w:ascii="Times New Roman" w:hAnsi="Times New Roman" w:eastAsia="楷体_GB2312" w:cs="Times New Roman"/>
          <w:b/>
          <w:color w:val="auto"/>
          <w:sz w:val="32"/>
          <w:szCs w:val="32"/>
          <w:highlight w:val="none"/>
        </w:rPr>
        <w:t>（一）机关运行经费支出情况</w:t>
      </w:r>
      <w:bookmarkEnd w:id="85"/>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2024年度，盐边县永兴镇初级中学校机关运行经费支出0万元，与2023年度持平。</w:t>
      </w:r>
      <w:bookmarkStart w:id="86" w:name="_Toc15377223"/>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rPr>
        <w:t>（二）政府采购支出情况</w:t>
      </w:r>
      <w:bookmarkEnd w:id="86"/>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盐边县永兴镇初级中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87" w:name="_Toc15377224"/>
      <w:r>
        <w:rPr>
          <w:rFonts w:hint="eastAsia" w:ascii="Times New Roman" w:hAnsi="Times New Roman" w:eastAsia="楷体_GB2312" w:cs="Times New Roman"/>
          <w:b/>
          <w:color w:val="auto"/>
          <w:sz w:val="32"/>
          <w:szCs w:val="32"/>
          <w:highlight w:val="none"/>
        </w:rPr>
        <w:t>（三）国有资产占有使用情况</w:t>
      </w:r>
      <w:bookmarkEnd w:id="87"/>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截至2024年12月31日，盐边县永兴镇初级中学校共有车辆1辆，其中：主要负责人用车0辆、机要通信用车0辆、应急保障用车0辆、其他用车1辆，其他用车主要是用于下乡检查。单价100万元（含）以上设备（不含车辆）0台（套）。</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rPr>
        <w:t>（四）预算绩效管理情况</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根据预算绩效管理要求，本单位在202</w:t>
      </w:r>
      <w:r>
        <w:rPr>
          <w:rFonts w:hint="eastAsia" w:ascii="Times New Roman" w:hAnsi="Times New Roman" w:eastAsia="方正仿宋_GBK"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en-US" w:eastAsia="zh-CN" w:bidi="ar-SA"/>
        </w:rPr>
        <w:t>年度预算编制阶段，组织对</w:t>
      </w:r>
      <w:r>
        <w:rPr>
          <w:rFonts w:hint="eastAsia"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en-US" w:eastAsia="zh-CN" w:bidi="ar-SA"/>
        </w:rPr>
        <w:t>个项目（</w:t>
      </w:r>
      <w:r>
        <w:rPr>
          <w:rFonts w:hint="eastAsia" w:ascii="Times New Roman" w:hAnsi="Times New Roman" w:eastAsia="方正仿宋_GBK" w:cs="Times New Roman"/>
          <w:color w:val="auto"/>
          <w:kern w:val="2"/>
          <w:sz w:val="32"/>
          <w:szCs w:val="32"/>
          <w:highlight w:val="none"/>
          <w:lang w:val="en-US" w:eastAsia="zh-CN" w:bidi="ar-SA"/>
        </w:rPr>
        <w:t>1</w:t>
      </w:r>
      <w:r>
        <w:rPr>
          <w:rFonts w:hint="default" w:ascii="Times New Roman" w:hAnsi="Times New Roman" w:eastAsia="方正仿宋_GBK" w:cs="Times New Roman"/>
          <w:color w:val="auto"/>
          <w:kern w:val="2"/>
          <w:sz w:val="32"/>
          <w:szCs w:val="32"/>
          <w:highlight w:val="none"/>
          <w:lang w:val="en-US" w:eastAsia="zh-CN" w:bidi="ar-SA"/>
        </w:rPr>
        <w:t>.盐边县永兴镇初级中学校教学楼、学生宿舍及学生食堂维修改造工程、</w:t>
      </w:r>
      <w:r>
        <w:rPr>
          <w:rFonts w:hint="eastAsia"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en-US" w:eastAsia="zh-CN" w:bidi="ar-SA"/>
        </w:rPr>
        <w:t>.盐边县永兴镇中学校民族团结示范建设项目、</w:t>
      </w:r>
      <w:r>
        <w:rPr>
          <w:rFonts w:hint="eastAsia"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en-US" w:eastAsia="zh-CN" w:bidi="ar-SA"/>
        </w:rPr>
        <w:t>.特殊教育学生公用经费）开展了预算事前绩效评估，编制了绩效目标，预算执行过程中，选取</w:t>
      </w:r>
      <w:r>
        <w:rPr>
          <w:rFonts w:hint="eastAsia"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en-US" w:eastAsia="zh-CN" w:bidi="ar-SA"/>
        </w:rPr>
        <w:t>个项目开展绩效监控，组织对</w:t>
      </w:r>
      <w:r>
        <w:rPr>
          <w:rFonts w:hint="eastAsia"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en-US" w:eastAsia="zh-CN" w:bidi="ar-SA"/>
        </w:rPr>
        <w:t>个项目开展绩效自评，绩效自评表详见第四部分附件。</w:t>
      </w:r>
    </w:p>
    <w:p>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numPr>
          <w:ilvl w:val="0"/>
          <w:numId w:val="0"/>
        </w:numPr>
        <w:kinsoku/>
        <w:wordWrap/>
        <w:overflowPunct/>
        <w:topLinePunct w:val="0"/>
        <w:bidi w:val="0"/>
        <w:spacing w:line="240" w:lineRule="auto"/>
        <w:jc w:val="center"/>
        <w:textAlignment w:val="auto"/>
        <w:outlineLvl w:val="0"/>
        <w:rPr>
          <w:rFonts w:hint="eastAsia" w:ascii="Times New Roman" w:hAnsi="Times New Roman" w:eastAsia="黑体" w:cs="Times New Roman"/>
          <w:color w:val="auto"/>
          <w:sz w:val="44"/>
          <w:szCs w:val="44"/>
          <w:highlight w:val="none"/>
        </w:rPr>
      </w:pPr>
      <w:bookmarkStart w:id="88" w:name="_Toc15396613"/>
      <w:bookmarkStart w:id="89" w:name="_Toc15377225"/>
      <w:bookmarkStart w:id="90" w:name="_Toc5823_WPSOffice_Level1"/>
      <w:r>
        <w:rPr>
          <w:rFonts w:hint="eastAsia" w:ascii="Times New Roman" w:hAnsi="Times New Roman" w:eastAsia="黑体" w:cs="Times New Roman"/>
          <w:color w:val="auto"/>
          <w:sz w:val="44"/>
          <w:szCs w:val="44"/>
          <w:highlight w:val="none"/>
        </w:rPr>
        <w:t>第</w:t>
      </w:r>
      <w:r>
        <w:rPr>
          <w:rFonts w:hint="eastAsia" w:ascii="Times New Roman" w:hAnsi="Times New Roman" w:eastAsia="黑体" w:cs="Times New Roman"/>
          <w:color w:val="auto"/>
          <w:sz w:val="44"/>
          <w:szCs w:val="44"/>
          <w:highlight w:val="none"/>
          <w:lang w:eastAsia="zh-CN"/>
        </w:rPr>
        <w:t>三</w:t>
      </w:r>
      <w:r>
        <w:rPr>
          <w:rFonts w:hint="eastAsia" w:ascii="Times New Roman" w:hAnsi="Times New Roman" w:eastAsia="黑体" w:cs="Times New Roman"/>
          <w:color w:val="auto"/>
          <w:sz w:val="44"/>
          <w:szCs w:val="44"/>
          <w:highlight w:val="none"/>
        </w:rPr>
        <w:t>部分</w:t>
      </w:r>
      <w:r>
        <w:rPr>
          <w:rFonts w:hint="eastAsia" w:ascii="Times New Roman" w:hAnsi="Times New Roman" w:eastAsia="黑体" w:cs="Times New Roman"/>
          <w:color w:val="auto"/>
          <w:sz w:val="44"/>
          <w:szCs w:val="44"/>
          <w:highlight w:val="none"/>
          <w:lang w:val="en-US" w:eastAsia="zh-CN"/>
        </w:rPr>
        <w:t xml:space="preserve">  </w:t>
      </w:r>
      <w:r>
        <w:rPr>
          <w:rFonts w:hint="eastAsia" w:ascii="Times New Roman" w:hAnsi="Times New Roman" w:eastAsia="黑体" w:cs="Times New Roman"/>
          <w:color w:val="auto"/>
          <w:sz w:val="44"/>
          <w:szCs w:val="44"/>
          <w:highlight w:val="none"/>
        </w:rPr>
        <w:t>名词解释</w:t>
      </w:r>
      <w:bookmarkEnd w:id="88"/>
      <w:bookmarkEnd w:id="89"/>
      <w:bookmarkEnd w:id="90"/>
    </w:p>
    <w:p>
      <w:pPr>
        <w:spacing w:line="600" w:lineRule="exact"/>
        <w:jc w:val="left"/>
        <w:rPr>
          <w:rFonts w:ascii="Times New Roman" w:hAnsi="Times New Roman"/>
          <w:b/>
          <w:color w:val="auto"/>
          <w:sz w:val="44"/>
          <w:szCs w:val="44"/>
          <w:highlight w:val="none"/>
        </w:rPr>
      </w:pP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1.财政拨款收入：指单位从同级财政部门取得的财政预算资金。</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2.事业收入：指事业单位开展专业业务活动及辅助活动取得的收入。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3.经营收入：指事业单位在专业业务活动及其辅助活动之外开展非独立核算经营活动取得的收入。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4.其他收入：指单位取得的除上述收入以外的各项收入。 </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5.使用非财政拨款结余（含专用结余）：指事业单位使用以前年度积累的非财政拨款结余弥补当年收支差额的金额。 </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6.年初结转和结余：指以前年度尚未完成、结转到本年按有关规定继续使用的资金。 </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7.结余分配：指事业单位按照会计制度规定缴纳的所得税、提取的专用结余以及转入非财政拨款结余的金额等。</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8.年末结转和结余：指单位按有关规定结转到下年或以后年度继续使用的资金。</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9.一般公共服务支出（类）</w:t>
      </w:r>
      <w:r>
        <w:rPr>
          <w:rFonts w:hint="eastAsia" w:ascii="Times New Roman" w:hAnsi="Times New Roman" w:eastAsia="方正仿宋_GBK" w:cs="Times New Roman"/>
          <w:color w:val="auto"/>
          <w:sz w:val="32"/>
          <w:szCs w:val="32"/>
          <w:lang w:val="zh-CN" w:eastAsia="zh-CN"/>
        </w:rPr>
        <w:t>民族事务</w:t>
      </w:r>
      <w:r>
        <w:rPr>
          <w:rFonts w:hint="eastAsia" w:ascii="Times New Roman" w:hAnsi="Times New Roman" w:eastAsia="方正仿宋_GBK" w:cs="Times New Roman"/>
          <w:color w:val="auto"/>
          <w:sz w:val="32"/>
          <w:szCs w:val="32"/>
          <w:lang w:val="en-US" w:eastAsia="zh-CN"/>
        </w:rPr>
        <w:t>（款）</w:t>
      </w:r>
      <w:r>
        <w:rPr>
          <w:rFonts w:hint="eastAsia" w:ascii="Times New Roman" w:hAnsi="Times New Roman" w:eastAsia="方正仿宋_GBK" w:cs="Times New Roman"/>
          <w:color w:val="auto"/>
          <w:sz w:val="32"/>
          <w:szCs w:val="32"/>
          <w:lang w:val="zh-CN" w:eastAsia="zh-CN"/>
        </w:rPr>
        <w:t>其他民族事务支出</w:t>
      </w:r>
      <w:r>
        <w:rPr>
          <w:rFonts w:hint="eastAsia" w:ascii="Times New Roman" w:hAnsi="Times New Roman" w:eastAsia="方正仿宋_GBK" w:cs="Times New Roman"/>
          <w:color w:val="auto"/>
          <w:sz w:val="32"/>
          <w:szCs w:val="32"/>
          <w:lang w:val="en-US" w:eastAsia="zh-CN"/>
        </w:rPr>
        <w:t>（项）：指反映除上述项目以外其他用于民族事务方面的支出。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lang w:val="zh-CN" w:eastAsia="zh-CN"/>
        </w:rPr>
        <w:t xml:space="preserve"> </w:t>
      </w:r>
      <w:r>
        <w:rPr>
          <w:rFonts w:hint="eastAsia" w:ascii="Times New Roman" w:hAnsi="Times New Roman" w:eastAsia="方正仿宋_GBK" w:cs="Times New Roman"/>
          <w:color w:val="auto"/>
          <w:sz w:val="32"/>
          <w:szCs w:val="32"/>
          <w:lang w:val="en-US" w:eastAsia="zh-CN"/>
        </w:rPr>
        <w:t>教育支出（类）普通教育（款）初中教育</w:t>
      </w:r>
      <w:r>
        <w:rPr>
          <w:rFonts w:hint="eastAsia" w:ascii="Times New Roman" w:hAnsi="Times New Roman" w:eastAsia="方正仿宋_GBK" w:cs="Times New Roman"/>
          <w:color w:val="auto"/>
          <w:sz w:val="32"/>
          <w:szCs w:val="32"/>
          <w:lang w:val="zh-CN" w:eastAsia="zh-CN"/>
        </w:rPr>
        <w:t>（项）：反映各部门举办的</w:t>
      </w:r>
      <w:r>
        <w:rPr>
          <w:rFonts w:hint="eastAsia" w:ascii="Times New Roman" w:hAnsi="Times New Roman" w:eastAsia="方正仿宋_GBK" w:cs="Times New Roman"/>
          <w:color w:val="auto"/>
          <w:sz w:val="32"/>
          <w:szCs w:val="32"/>
          <w:lang w:val="en-US" w:eastAsia="zh-CN"/>
        </w:rPr>
        <w:t>初中</w:t>
      </w:r>
      <w:r>
        <w:rPr>
          <w:rFonts w:hint="eastAsia" w:ascii="Times New Roman" w:hAnsi="Times New Roman" w:eastAsia="方正仿宋_GBK" w:cs="Times New Roman"/>
          <w:color w:val="auto"/>
          <w:sz w:val="32"/>
          <w:szCs w:val="32"/>
          <w:lang w:val="zh-CN" w:eastAsia="zh-CN"/>
        </w:rPr>
        <w:t>教育支出。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11.教育支出（类）教育费附加安排的支出（款）其他教育费附加安排的支出</w:t>
      </w:r>
      <w:r>
        <w:rPr>
          <w:rFonts w:hint="eastAsia" w:ascii="Times New Roman" w:hAnsi="Times New Roman" w:eastAsia="方正仿宋_GBK" w:cs="Times New Roman"/>
          <w:color w:val="auto"/>
          <w:sz w:val="32"/>
          <w:szCs w:val="32"/>
          <w:lang w:val="zh-CN" w:eastAsia="zh-CN"/>
        </w:rPr>
        <w:t>（项）农村中小学校舍建设</w:t>
      </w:r>
      <w:r>
        <w:rPr>
          <w:rFonts w:hint="eastAsia" w:ascii="Times New Roman" w:hAnsi="Times New Roman" w:eastAsia="方正仿宋_GBK" w:cs="Times New Roman"/>
          <w:color w:val="auto"/>
          <w:sz w:val="32"/>
          <w:szCs w:val="32"/>
          <w:lang w:val="en-US" w:eastAsia="zh-CN"/>
        </w:rPr>
        <w:t>：指反映教育附加安排用于农村中小学校舍新建、改建、修缮和维护的支出。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12.</w:t>
      </w:r>
      <w:bookmarkStart w:id="91" w:name="_Toc15377226"/>
      <w:bookmarkStart w:id="92" w:name="_Toc15396618"/>
      <w:r>
        <w:rPr>
          <w:rFonts w:hint="eastAsia" w:ascii="Times New Roman" w:hAnsi="Times New Roman" w:eastAsia="方正仿宋_GBK" w:cs="Times New Roman"/>
          <w:color w:val="auto"/>
          <w:sz w:val="32"/>
          <w:szCs w:val="32"/>
          <w:lang w:val="en-US" w:eastAsia="zh-CN"/>
        </w:rPr>
        <w:t>社会保障和就业支出（类）行政事业单位养老支出（款）事业单位离退休费（项）：反映事业单位开支的离退休经费。</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zh-CN" w:eastAsia="zh-CN"/>
        </w:rPr>
        <w:t>.社会保障和就业支出（类）</w:t>
      </w:r>
      <w:r>
        <w:rPr>
          <w:rFonts w:hint="eastAsia" w:ascii="Times New Roman" w:hAnsi="Times New Roman" w:eastAsia="方正仿宋_GBK" w:cs="Times New Roman"/>
          <w:color w:val="auto"/>
          <w:sz w:val="32"/>
          <w:szCs w:val="32"/>
          <w:lang w:val="en-US" w:eastAsia="zh-CN"/>
        </w:rPr>
        <w:t>行政事业单位养老支出</w:t>
      </w:r>
      <w:r>
        <w:rPr>
          <w:rFonts w:hint="eastAsia" w:ascii="Times New Roman" w:hAnsi="Times New Roman" w:eastAsia="方正仿宋_GBK" w:cs="Times New Roman"/>
          <w:color w:val="auto"/>
          <w:sz w:val="32"/>
          <w:szCs w:val="32"/>
          <w:lang w:val="zh-CN" w:eastAsia="zh-CN"/>
        </w:rPr>
        <w:t>（款）机关事业单位</w:t>
      </w:r>
      <w:r>
        <w:rPr>
          <w:rFonts w:hint="eastAsia" w:ascii="Times New Roman" w:hAnsi="Times New Roman" w:eastAsia="方正仿宋_GBK" w:cs="Times New Roman"/>
          <w:color w:val="auto"/>
          <w:sz w:val="32"/>
          <w:szCs w:val="32"/>
          <w:lang w:val="en-US" w:eastAsia="zh-CN"/>
        </w:rPr>
        <w:t>基本</w:t>
      </w:r>
      <w:r>
        <w:rPr>
          <w:rFonts w:hint="eastAsia" w:ascii="Times New Roman" w:hAnsi="Times New Roman" w:eastAsia="方正仿宋_GBK" w:cs="Times New Roman"/>
          <w:color w:val="auto"/>
          <w:sz w:val="32"/>
          <w:szCs w:val="32"/>
          <w:lang w:val="zh-CN" w:eastAsia="zh-CN"/>
        </w:rPr>
        <w:t>养老保险缴费支出（项）：反映</w:t>
      </w:r>
      <w:r>
        <w:rPr>
          <w:rFonts w:hint="eastAsia" w:ascii="Times New Roman" w:hAnsi="Times New Roman" w:eastAsia="方正仿宋_GBK" w:cs="Times New Roman"/>
          <w:color w:val="auto"/>
          <w:sz w:val="32"/>
          <w:szCs w:val="32"/>
          <w:lang w:val="en-US" w:eastAsia="zh-CN"/>
        </w:rPr>
        <w:t>机关事业单位实施养老保险制度由单位缴纳的基本养老保险费支出</w:t>
      </w:r>
      <w:r>
        <w:rPr>
          <w:rFonts w:hint="eastAsia" w:ascii="Times New Roman" w:hAnsi="Times New Roman" w:eastAsia="方正仿宋_GBK" w:cs="Times New Roman"/>
          <w:color w:val="auto"/>
          <w:sz w:val="32"/>
          <w:szCs w:val="32"/>
          <w:lang w:val="zh-CN" w:eastAsia="zh-CN"/>
        </w:rPr>
        <w:t>。</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val="zh-CN" w:eastAsia="zh-CN"/>
        </w:rPr>
        <w:t>.社会保障和就业支出（类）</w:t>
      </w:r>
      <w:r>
        <w:rPr>
          <w:rFonts w:hint="eastAsia" w:ascii="Times New Roman" w:hAnsi="Times New Roman" w:eastAsia="方正仿宋_GBK" w:cs="Times New Roman"/>
          <w:color w:val="auto"/>
          <w:sz w:val="32"/>
          <w:szCs w:val="32"/>
          <w:lang w:val="en-US" w:eastAsia="zh-CN"/>
        </w:rPr>
        <w:t>行政事业单位养老支出</w:t>
      </w:r>
      <w:r>
        <w:rPr>
          <w:rFonts w:hint="eastAsia" w:ascii="Times New Roman" w:hAnsi="Times New Roman" w:eastAsia="方正仿宋_GBK" w:cs="Times New Roman"/>
          <w:color w:val="auto"/>
          <w:sz w:val="32"/>
          <w:szCs w:val="32"/>
          <w:lang w:val="zh-CN" w:eastAsia="zh-CN"/>
        </w:rPr>
        <w:t>（款）机关事业单位职业年金经</w:t>
      </w:r>
      <w:r>
        <w:rPr>
          <w:rFonts w:hint="eastAsia" w:ascii="Times New Roman" w:hAnsi="Times New Roman" w:eastAsia="方正仿宋_GBK" w:cs="Times New Roman"/>
          <w:color w:val="auto"/>
          <w:sz w:val="32"/>
          <w:szCs w:val="32"/>
          <w:lang w:val="en-US" w:eastAsia="zh-CN"/>
        </w:rPr>
        <w:t>缴</w:t>
      </w:r>
      <w:r>
        <w:rPr>
          <w:rFonts w:hint="eastAsia" w:ascii="Times New Roman" w:hAnsi="Times New Roman" w:eastAsia="方正仿宋_GBK" w:cs="Times New Roman"/>
          <w:color w:val="auto"/>
          <w:sz w:val="32"/>
          <w:szCs w:val="32"/>
          <w:lang w:val="zh-CN" w:eastAsia="zh-CN"/>
        </w:rPr>
        <w:t>费支出（项）：反映</w:t>
      </w:r>
      <w:r>
        <w:rPr>
          <w:rFonts w:hint="eastAsia" w:ascii="Times New Roman" w:hAnsi="Times New Roman" w:eastAsia="方正仿宋_GBK" w:cs="Times New Roman"/>
          <w:color w:val="auto"/>
          <w:sz w:val="32"/>
          <w:szCs w:val="32"/>
          <w:lang w:val="en-US" w:eastAsia="zh-CN"/>
        </w:rPr>
        <w:t>机关事业单位实施养老保险制度由单位实际缴纳的职业年金支出</w:t>
      </w:r>
      <w:r>
        <w:rPr>
          <w:rFonts w:hint="eastAsia" w:ascii="Times New Roman" w:hAnsi="Times New Roman" w:eastAsia="方正仿宋_GBK" w:cs="Times New Roman"/>
          <w:color w:val="auto"/>
          <w:sz w:val="32"/>
          <w:szCs w:val="32"/>
          <w:lang w:val="zh-CN" w:eastAsia="zh-CN"/>
        </w:rPr>
        <w:t>。</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zh-CN" w:eastAsia="zh-CN"/>
        </w:rPr>
        <w:t>.卫生健康支出（类）</w:t>
      </w:r>
      <w:r>
        <w:rPr>
          <w:rFonts w:hint="eastAsia" w:ascii="Times New Roman" w:hAnsi="Times New Roman" w:eastAsia="方正仿宋_GBK" w:cs="Times New Roman"/>
          <w:color w:val="auto"/>
          <w:sz w:val="32"/>
          <w:szCs w:val="32"/>
          <w:lang w:val="en-US" w:eastAsia="zh-CN"/>
        </w:rPr>
        <w:t>行政事业单位医疗</w:t>
      </w:r>
      <w:r>
        <w:rPr>
          <w:rFonts w:hint="eastAsia" w:ascii="Times New Roman" w:hAnsi="Times New Roman" w:eastAsia="方正仿宋_GBK" w:cs="Times New Roman"/>
          <w:color w:val="auto"/>
          <w:sz w:val="32"/>
          <w:szCs w:val="32"/>
          <w:lang w:val="zh-CN" w:eastAsia="zh-CN"/>
        </w:rPr>
        <w:t>（款）</w:t>
      </w:r>
      <w:r>
        <w:rPr>
          <w:rFonts w:hint="eastAsia" w:ascii="Times New Roman" w:hAnsi="Times New Roman" w:eastAsia="方正仿宋_GBK" w:cs="Times New Roman"/>
          <w:color w:val="auto"/>
          <w:sz w:val="32"/>
          <w:szCs w:val="32"/>
          <w:lang w:val="en-US" w:eastAsia="zh-CN"/>
        </w:rPr>
        <w:t>事业单位医疗</w:t>
      </w:r>
      <w:r>
        <w:rPr>
          <w:rFonts w:hint="eastAsia" w:ascii="Times New Roman" w:hAnsi="Times New Roman" w:eastAsia="方正仿宋_GBK" w:cs="Times New Roman"/>
          <w:color w:val="auto"/>
          <w:sz w:val="32"/>
          <w:szCs w:val="32"/>
          <w:lang w:val="zh-CN" w:eastAsia="zh-CN"/>
        </w:rPr>
        <w:t>（项）：反映财政部门安排的事业单位基本医疗保险缴费经费，未参加医疗保险的事业单位的公费医疗经费，按国家规定享受离休人员待遇的医疗经费。</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val="zh-CN" w:eastAsia="zh-CN"/>
        </w:rPr>
        <w:t>.卫生健康支出（类）</w:t>
      </w:r>
      <w:r>
        <w:rPr>
          <w:rFonts w:hint="eastAsia" w:ascii="Times New Roman" w:hAnsi="Times New Roman" w:eastAsia="方正仿宋_GBK" w:cs="Times New Roman"/>
          <w:color w:val="auto"/>
          <w:sz w:val="32"/>
          <w:szCs w:val="32"/>
          <w:lang w:val="en-US" w:eastAsia="zh-CN"/>
        </w:rPr>
        <w:t>行政事业单位医疗</w:t>
      </w:r>
      <w:r>
        <w:rPr>
          <w:rFonts w:hint="eastAsia" w:ascii="Times New Roman" w:hAnsi="Times New Roman" w:eastAsia="方正仿宋_GBK" w:cs="Times New Roman"/>
          <w:color w:val="auto"/>
          <w:sz w:val="32"/>
          <w:szCs w:val="32"/>
          <w:lang w:val="zh-CN" w:eastAsia="zh-CN"/>
        </w:rPr>
        <w:t>（款）其他行政事业单位医疗支出（项）：反映除上述项目以外的其他用于行政事业单位医疗方面的支出。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val="zh-CN" w:eastAsia="zh-CN"/>
        </w:rPr>
        <w:t>. 住房保障</w:t>
      </w:r>
      <w:r>
        <w:rPr>
          <w:rFonts w:hint="eastAsia" w:ascii="Times New Roman" w:hAnsi="Times New Roman" w:eastAsia="方正仿宋_GBK" w:cs="Times New Roman"/>
          <w:color w:val="auto"/>
          <w:sz w:val="32"/>
          <w:szCs w:val="32"/>
          <w:lang w:val="en-US" w:eastAsia="zh-CN"/>
        </w:rPr>
        <w:t>支出</w:t>
      </w:r>
      <w:r>
        <w:rPr>
          <w:rFonts w:hint="eastAsia" w:ascii="Times New Roman" w:hAnsi="Times New Roman" w:eastAsia="方正仿宋_GBK" w:cs="Times New Roman"/>
          <w:color w:val="auto"/>
          <w:sz w:val="32"/>
          <w:szCs w:val="32"/>
          <w:lang w:val="zh-CN" w:eastAsia="zh-CN"/>
        </w:rPr>
        <w:t>（类）住房改革支出（款）住房公积金（项）：反映</w:t>
      </w:r>
      <w:r>
        <w:rPr>
          <w:rFonts w:hint="eastAsia" w:ascii="Times New Roman" w:hAnsi="Times New Roman" w:eastAsia="方正仿宋_GBK" w:cs="Times New Roman"/>
          <w:color w:val="auto"/>
          <w:sz w:val="32"/>
          <w:szCs w:val="32"/>
          <w:lang w:val="en-US" w:eastAsia="zh-CN"/>
        </w:rPr>
        <w:t>行政事业单位按人力资源和社会保障、财政部规定的基本工资和津贴补贴以及规定比例为职工缴纳的住房公积金。</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18</w:t>
      </w:r>
      <w:r>
        <w:rPr>
          <w:rFonts w:hint="eastAsia" w:ascii="Times New Roman" w:hAnsi="Times New Roman" w:eastAsia="方正仿宋_GBK" w:cs="Times New Roman"/>
          <w:color w:val="auto"/>
          <w:sz w:val="32"/>
          <w:szCs w:val="32"/>
          <w:lang w:val="zh-CN" w:eastAsia="zh-CN"/>
        </w:rPr>
        <w:t>.基本支出：指为保障机构正常运转、完成日常工作任务而发生的人员支出和公用支出。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19</w:t>
      </w:r>
      <w:r>
        <w:rPr>
          <w:rFonts w:hint="eastAsia" w:ascii="Times New Roman" w:hAnsi="Times New Roman" w:eastAsia="方正仿宋_GBK" w:cs="Times New Roman"/>
          <w:color w:val="auto"/>
          <w:sz w:val="32"/>
          <w:szCs w:val="32"/>
          <w:lang w:val="zh-CN" w:eastAsia="zh-CN"/>
        </w:rPr>
        <w:t>.项目支出：指在基本支出之外为完成特定行政任务和事业发展目标所发生的支出。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zh-CN" w:eastAsia="zh-CN"/>
        </w:rPr>
        <w:t>2</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zh-CN" w:eastAsia="zh-CN"/>
        </w:rPr>
        <w:t>.经营支出：指事业单位在专业业务活动及其辅助活动之外开展非独立核算经营活动发生的支出。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21.“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22.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spacing w:before="93"/>
        <w:rPr>
          <w:rFonts w:ascii="Times New Roman" w:eastAsia="方正小标宋简体"/>
          <w:kern w:val="2"/>
          <w:sz w:val="72"/>
          <w:szCs w:val="72"/>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bookmarkStart w:id="93" w:name="_Toc15396614"/>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both"/>
        <w:textAlignment w:val="auto"/>
        <w:rPr>
          <w:rStyle w:val="28"/>
          <w:rFonts w:hint="eastAsia" w:ascii="Times New Roman" w:hAnsi="Times New Roman" w:eastAsia="黑体" w:cs="Times New Roman"/>
          <w:b w:val="0"/>
          <w:color w:val="auto"/>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default" w:ascii="Times New Roman" w:hAnsi="Times New Roman" w:eastAsia="黑体" w:cs="Times New Roman"/>
          <w:b w:val="0"/>
          <w:color w:val="auto"/>
          <w:highlight w:val="none"/>
        </w:rPr>
      </w:pPr>
      <w:bookmarkStart w:id="94" w:name="_Toc9273_WPSOffice_Level1"/>
      <w:r>
        <w:rPr>
          <w:rStyle w:val="28"/>
          <w:rFonts w:hint="eastAsia" w:ascii="Times New Roman" w:hAnsi="Times New Roman" w:eastAsia="黑体" w:cs="Times New Roman"/>
          <w:b w:val="0"/>
          <w:color w:val="auto"/>
          <w:highlight w:val="none"/>
        </w:rPr>
        <w:t>第四部分  附件</w:t>
      </w:r>
      <w:bookmarkEnd w:id="93"/>
      <w:bookmarkEnd w:id="94"/>
    </w:p>
    <w:p>
      <w:pPr>
        <w:spacing w:line="572" w:lineRule="exact"/>
        <w:jc w:val="left"/>
        <w:outlineLvl w:val="0"/>
        <w:rPr>
          <w:rFonts w:eastAsia="黑体" w:cs="黑体"/>
          <w:sz w:val="32"/>
          <w:szCs w:val="32"/>
        </w:rPr>
      </w:pPr>
    </w:p>
    <w:p>
      <w:pPr>
        <w:pageBreakBefore w:val="0"/>
        <w:widowControl w:val="0"/>
        <w:kinsoku/>
        <w:wordWrap/>
        <w:overflowPunct/>
        <w:topLinePunct w:val="0"/>
        <w:bidi w:val="0"/>
        <w:snapToGrid/>
        <w:spacing w:line="560" w:lineRule="exact"/>
        <w:jc w:val="center"/>
        <w:textAlignment w:val="auto"/>
        <w:outlineLvl w:val="1"/>
        <w:rPr>
          <w:rFonts w:hint="default" w:ascii="Times New Roman" w:hAnsi="Times New Roman" w:eastAsia="仿宋_GB2312" w:cs="Times New Roman"/>
          <w:sz w:val="32"/>
          <w:szCs w:val="32"/>
        </w:rPr>
      </w:pPr>
      <w:bookmarkStart w:id="95" w:name="_Toc14575_WPSOffice_Level2"/>
      <w:r>
        <w:rPr>
          <w:rFonts w:hint="eastAsia" w:ascii="Times New Roman" w:hAnsi="Times New Roman" w:eastAsia="仿宋_GB2312" w:cs="Times New Roman"/>
          <w:sz w:val="32"/>
          <w:szCs w:val="32"/>
        </w:rPr>
        <w:t>部门预算项目支出绩效评价表（2024年度）</w:t>
      </w:r>
      <w:bookmarkEnd w:id="95"/>
    </w:p>
    <w:p>
      <w:pPr>
        <w:pStyle w:val="7"/>
        <w:spacing w:line="560" w:lineRule="exact"/>
        <w:ind w:left="0" w:leftChars="0" w:firstLine="640"/>
        <w:rPr>
          <w:rFonts w:ascii="Times New Roman" w:eastAsia="仿宋_GB2312" w:cs="仿宋_GB2312"/>
          <w:kern w:val="0"/>
          <w:sz w:val="32"/>
        </w:rPr>
      </w:pPr>
    </w:p>
    <w:p>
      <w:pPr>
        <w:spacing w:line="578" w:lineRule="exact"/>
        <w:ind w:firstLine="640"/>
        <w:rPr>
          <w:rFonts w:eastAsia="仿宋_GB2312" w:cs="仿宋_GB2312"/>
          <w:kern w:val="0"/>
          <w:sz w:val="32"/>
          <w:szCs w:val="32"/>
        </w:rPr>
      </w:pPr>
      <w:r>
        <w:rPr>
          <w:rFonts w:hint="eastAsia" w:eastAsia="仿宋_GB2312" w:cs="仿宋_GB2312"/>
          <w:kern w:val="0"/>
          <w:sz w:val="32"/>
          <w:szCs w:val="32"/>
        </w:rPr>
        <w:br w:type="page"/>
      </w:r>
    </w:p>
    <w:p>
      <w:pPr>
        <w:keepNext w:val="0"/>
        <w:keepLines w:val="0"/>
        <w:pageBreakBefore w:val="0"/>
        <w:widowControl/>
        <w:kinsoku/>
        <w:wordWrap/>
        <w:overflowPunct/>
        <w:topLinePunct w:val="0"/>
        <w:bidi w:val="0"/>
        <w:spacing w:line="240" w:lineRule="auto"/>
        <w:jc w:val="center"/>
        <w:textAlignment w:val="auto"/>
        <w:rPr>
          <w:rStyle w:val="28"/>
          <w:rFonts w:hint="default" w:ascii="Times New Roman" w:hAnsi="Times New Roman" w:eastAsia="黑体" w:cs="Times New Roman"/>
          <w:b w:val="0"/>
          <w:color w:val="auto"/>
          <w:highlight w:val="none"/>
        </w:rPr>
      </w:pPr>
      <w:bookmarkStart w:id="96" w:name="_Toc1269_WPSOffice_Level1"/>
      <w:r>
        <w:rPr>
          <w:rStyle w:val="28"/>
          <w:rFonts w:hint="eastAsia" w:ascii="Times New Roman" w:hAnsi="Times New Roman" w:eastAsia="黑体" w:cs="Times New Roman"/>
          <w:b w:val="0"/>
          <w:color w:val="auto"/>
          <w:highlight w:val="none"/>
        </w:rPr>
        <w:t>第五部分 附表</w:t>
      </w:r>
      <w:bookmarkEnd w:id="96"/>
    </w:p>
    <w:p>
      <w:pPr>
        <w:pStyle w:val="14"/>
        <w:adjustRightInd w:val="0"/>
        <w:snapToGrid w:val="0"/>
        <w:spacing w:line="560" w:lineRule="exact"/>
        <w:jc w:val="left"/>
        <w:rPr>
          <w:rFonts w:eastAsia="仿宋_GB2312" w:cs="仿宋_GB2312"/>
          <w:sz w:val="32"/>
          <w:szCs w:val="32"/>
        </w:rPr>
      </w:pPr>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97" w:name="_Toc22830_WPSOffice_Level2"/>
      <w:r>
        <w:rPr>
          <w:rStyle w:val="29"/>
          <w:rFonts w:hint="eastAsia" w:ascii="Times New Roman" w:hAnsi="Times New Roman" w:eastAsia="黑体" w:cs="Times New Roman"/>
          <w:b w:val="0"/>
          <w:color w:val="auto"/>
          <w:highlight w:val="none"/>
          <w:lang w:eastAsia="zh-CN"/>
        </w:rPr>
        <w:t>一、收入支出决算总表</w:t>
      </w:r>
      <w:bookmarkEnd w:id="97"/>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98" w:name="_Toc2397_WPSOffice_Level2"/>
      <w:r>
        <w:rPr>
          <w:rStyle w:val="29"/>
          <w:rFonts w:hint="eastAsia" w:ascii="Times New Roman" w:hAnsi="Times New Roman" w:eastAsia="黑体" w:cs="Times New Roman"/>
          <w:b w:val="0"/>
          <w:color w:val="auto"/>
          <w:highlight w:val="none"/>
          <w:lang w:eastAsia="zh-CN"/>
        </w:rPr>
        <w:t>二、收入决算表</w:t>
      </w:r>
      <w:bookmarkEnd w:id="98"/>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99" w:name="_Toc26876_WPSOffice_Level2"/>
      <w:r>
        <w:rPr>
          <w:rStyle w:val="29"/>
          <w:rFonts w:hint="eastAsia" w:ascii="Times New Roman" w:hAnsi="Times New Roman" w:eastAsia="黑体" w:cs="Times New Roman"/>
          <w:b w:val="0"/>
          <w:color w:val="auto"/>
          <w:highlight w:val="none"/>
          <w:lang w:eastAsia="zh-CN"/>
        </w:rPr>
        <w:t>三、支出决算表</w:t>
      </w:r>
      <w:bookmarkEnd w:id="99"/>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0" w:name="_Toc20684_WPSOffice_Level2"/>
      <w:r>
        <w:rPr>
          <w:rStyle w:val="29"/>
          <w:rFonts w:hint="eastAsia" w:ascii="Times New Roman" w:hAnsi="Times New Roman" w:eastAsia="黑体" w:cs="Times New Roman"/>
          <w:b w:val="0"/>
          <w:color w:val="auto"/>
          <w:highlight w:val="none"/>
          <w:lang w:eastAsia="zh-CN"/>
        </w:rPr>
        <w:t>四、财政拨款收入支出决算总表</w:t>
      </w:r>
      <w:bookmarkEnd w:id="10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1" w:name="_Toc16328_WPSOffice_Level2"/>
      <w:r>
        <w:rPr>
          <w:rStyle w:val="29"/>
          <w:rFonts w:hint="eastAsia" w:ascii="Times New Roman" w:hAnsi="Times New Roman" w:eastAsia="黑体" w:cs="Times New Roman"/>
          <w:b w:val="0"/>
          <w:color w:val="auto"/>
          <w:highlight w:val="none"/>
          <w:lang w:eastAsia="zh-CN"/>
        </w:rPr>
        <w:t>五、财政拨款支出决算明细表</w:t>
      </w:r>
      <w:bookmarkEnd w:id="101"/>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2" w:name="_Toc4157_WPSOffice_Level2"/>
      <w:r>
        <w:rPr>
          <w:rStyle w:val="29"/>
          <w:rFonts w:hint="eastAsia" w:ascii="Times New Roman" w:hAnsi="Times New Roman" w:eastAsia="黑体" w:cs="Times New Roman"/>
          <w:b w:val="0"/>
          <w:color w:val="auto"/>
          <w:highlight w:val="none"/>
          <w:lang w:eastAsia="zh-CN"/>
        </w:rPr>
        <w:t>六、一般公共预算财政拨款支出决算表</w:t>
      </w:r>
      <w:bookmarkEnd w:id="102"/>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3" w:name="_Toc21646_WPSOffice_Level2"/>
      <w:r>
        <w:rPr>
          <w:rStyle w:val="29"/>
          <w:rFonts w:hint="eastAsia" w:ascii="Times New Roman" w:hAnsi="Times New Roman" w:eastAsia="黑体" w:cs="Times New Roman"/>
          <w:b w:val="0"/>
          <w:color w:val="auto"/>
          <w:highlight w:val="none"/>
          <w:lang w:eastAsia="zh-CN"/>
        </w:rPr>
        <w:t>七、一般公共预算财政拨款支出决算明细表</w:t>
      </w:r>
      <w:bookmarkEnd w:id="103"/>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4" w:name="_Toc31934_WPSOffice_Level2"/>
      <w:r>
        <w:rPr>
          <w:rStyle w:val="29"/>
          <w:rFonts w:hint="eastAsia" w:ascii="Times New Roman" w:hAnsi="Times New Roman" w:eastAsia="黑体" w:cs="Times New Roman"/>
          <w:b w:val="0"/>
          <w:color w:val="auto"/>
          <w:highlight w:val="none"/>
          <w:lang w:eastAsia="zh-CN"/>
        </w:rPr>
        <w:t>八、一般公共预算财政拨款基本支出决算表</w:t>
      </w:r>
      <w:bookmarkEnd w:id="10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5" w:name="_Toc8764_WPSOffice_Level2"/>
      <w:r>
        <w:rPr>
          <w:rStyle w:val="29"/>
          <w:rFonts w:hint="eastAsia" w:ascii="Times New Roman" w:hAnsi="Times New Roman" w:eastAsia="黑体" w:cs="Times New Roman"/>
          <w:b w:val="0"/>
          <w:color w:val="auto"/>
          <w:highlight w:val="none"/>
          <w:lang w:eastAsia="zh-CN"/>
        </w:rPr>
        <w:t>九、一般公共预算财政拨款项目支出决算表</w:t>
      </w:r>
      <w:bookmarkEnd w:id="105"/>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6" w:name="_Toc8006_WPSOffice_Level2"/>
      <w:r>
        <w:rPr>
          <w:rStyle w:val="29"/>
          <w:rFonts w:hint="eastAsia" w:ascii="Times New Roman" w:hAnsi="Times New Roman" w:eastAsia="黑体" w:cs="Times New Roman"/>
          <w:b w:val="0"/>
          <w:color w:val="auto"/>
          <w:highlight w:val="none"/>
          <w:lang w:eastAsia="zh-CN"/>
        </w:rPr>
        <w:t>十、政府性基金预算财政拨款收入支出决算表</w:t>
      </w:r>
      <w:bookmarkEnd w:id="106"/>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7" w:name="_Toc18566_WPSOffice_Level2"/>
      <w:r>
        <w:rPr>
          <w:rStyle w:val="29"/>
          <w:rFonts w:hint="eastAsia" w:ascii="Times New Roman" w:hAnsi="Times New Roman" w:eastAsia="黑体" w:cs="Times New Roman"/>
          <w:b w:val="0"/>
          <w:color w:val="auto"/>
          <w:highlight w:val="none"/>
          <w:lang w:eastAsia="zh-CN"/>
        </w:rPr>
        <w:t>十一、国有资本经营预算财政拨款收入支出决算表</w:t>
      </w:r>
      <w:bookmarkEnd w:id="107"/>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8" w:name="_Toc28888_WPSOffice_Level2"/>
      <w:r>
        <w:rPr>
          <w:rStyle w:val="29"/>
          <w:rFonts w:hint="eastAsia" w:ascii="Times New Roman" w:hAnsi="Times New Roman" w:eastAsia="黑体" w:cs="Times New Roman"/>
          <w:b w:val="0"/>
          <w:color w:val="auto"/>
          <w:highlight w:val="none"/>
          <w:lang w:eastAsia="zh-CN"/>
        </w:rPr>
        <w:t>十二、国有资本经营预算财政拨款支出决算表</w:t>
      </w:r>
      <w:bookmarkEnd w:id="108"/>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9" w:name="_Toc15390_WPSOffice_Level2"/>
      <w:r>
        <w:rPr>
          <w:rStyle w:val="29"/>
          <w:rFonts w:hint="eastAsia" w:ascii="Times New Roman" w:hAnsi="Times New Roman" w:eastAsia="黑体" w:cs="Times New Roman"/>
          <w:b w:val="0"/>
          <w:color w:val="auto"/>
          <w:highlight w:val="none"/>
          <w:lang w:eastAsia="zh-CN"/>
        </w:rPr>
        <w:t>十三、财政拨款“三公”经费支出决算表</w:t>
      </w:r>
      <w:bookmarkEnd w:id="109"/>
    </w:p>
    <w:bookmarkEnd w:id="91"/>
    <w:bookmarkEnd w:id="92"/>
    <w:p>
      <w:pPr>
        <w:rPr>
          <w:rFonts w:hint="eastAsia"/>
          <w:lang w:eastAsia="zh-CN"/>
        </w:rPr>
      </w:pPr>
    </w:p>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81798"/>
    <w:multiLevelType w:val="singleLevel"/>
    <w:tmpl w:val="915817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49559A"/>
    <w:rsid w:val="0CA8290A"/>
    <w:rsid w:val="0D35B1ED"/>
    <w:rsid w:val="0E254B6B"/>
    <w:rsid w:val="0EEE1D4A"/>
    <w:rsid w:val="0F4F6DD7"/>
    <w:rsid w:val="0F98263C"/>
    <w:rsid w:val="101860EC"/>
    <w:rsid w:val="101F47CC"/>
    <w:rsid w:val="10C055FF"/>
    <w:rsid w:val="110251F8"/>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1E3423"/>
    <w:rsid w:val="1E312DEB"/>
    <w:rsid w:val="1E740ACF"/>
    <w:rsid w:val="1F3A7064"/>
    <w:rsid w:val="1FF35744"/>
    <w:rsid w:val="1FF6BC77"/>
    <w:rsid w:val="2186353C"/>
    <w:rsid w:val="23860B96"/>
    <w:rsid w:val="240371BF"/>
    <w:rsid w:val="244F3473"/>
    <w:rsid w:val="24C97D99"/>
    <w:rsid w:val="250807A2"/>
    <w:rsid w:val="25A718F0"/>
    <w:rsid w:val="25BB59F6"/>
    <w:rsid w:val="260F557C"/>
    <w:rsid w:val="26970054"/>
    <w:rsid w:val="281408E2"/>
    <w:rsid w:val="295306BC"/>
    <w:rsid w:val="29FD04D3"/>
    <w:rsid w:val="2BFF7BC6"/>
    <w:rsid w:val="2C8A61B5"/>
    <w:rsid w:val="2D0666C7"/>
    <w:rsid w:val="2D8D50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760A28"/>
    <w:rsid w:val="36AA5135"/>
    <w:rsid w:val="36BE0DA7"/>
    <w:rsid w:val="376B6AA6"/>
    <w:rsid w:val="376D39B2"/>
    <w:rsid w:val="37E16F03"/>
    <w:rsid w:val="37F53A3B"/>
    <w:rsid w:val="389B6C89"/>
    <w:rsid w:val="38D469F0"/>
    <w:rsid w:val="39627CCD"/>
    <w:rsid w:val="397BAF1F"/>
    <w:rsid w:val="3A792FF6"/>
    <w:rsid w:val="3AB79AF3"/>
    <w:rsid w:val="3AE834C0"/>
    <w:rsid w:val="3B7EF35A"/>
    <w:rsid w:val="3B9FDB6C"/>
    <w:rsid w:val="3BF5BC2F"/>
    <w:rsid w:val="3CEBA265"/>
    <w:rsid w:val="3D5464EC"/>
    <w:rsid w:val="3D98207C"/>
    <w:rsid w:val="3DEE7CF3"/>
    <w:rsid w:val="3E740A63"/>
    <w:rsid w:val="3E78745D"/>
    <w:rsid w:val="3EA0798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D96F4F"/>
    <w:rsid w:val="4FE9BD67"/>
    <w:rsid w:val="4FFB052F"/>
    <w:rsid w:val="52A92F84"/>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E5D3F"/>
    <w:rsid w:val="5D1F11B5"/>
    <w:rsid w:val="5D695134"/>
    <w:rsid w:val="5DAE1B18"/>
    <w:rsid w:val="5DE7D9E5"/>
    <w:rsid w:val="5ECEC941"/>
    <w:rsid w:val="5FBF9FF3"/>
    <w:rsid w:val="5FCD4E2C"/>
    <w:rsid w:val="5FEF394A"/>
    <w:rsid w:val="5FF67715"/>
    <w:rsid w:val="60F90E94"/>
    <w:rsid w:val="62BF3928"/>
    <w:rsid w:val="63B3701E"/>
    <w:rsid w:val="647F5392"/>
    <w:rsid w:val="6552214A"/>
    <w:rsid w:val="65E66580"/>
    <w:rsid w:val="664B1D71"/>
    <w:rsid w:val="664B4E8E"/>
    <w:rsid w:val="67277B67"/>
    <w:rsid w:val="67AA3209"/>
    <w:rsid w:val="698D0931"/>
    <w:rsid w:val="6A7FE5F3"/>
    <w:rsid w:val="6B053271"/>
    <w:rsid w:val="6BDD78B3"/>
    <w:rsid w:val="6C4A05C8"/>
    <w:rsid w:val="6C8742B8"/>
    <w:rsid w:val="6CA85A90"/>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6">
    <w:name w:val="WPSOffice手动目录 1"/>
    <w:uiPriority w:val="0"/>
    <w:pPr>
      <w:ind w:leftChars="0"/>
    </w:pPr>
    <w:rPr>
      <w:sz w:val="20"/>
      <w:szCs w:val="20"/>
    </w:rPr>
  </w:style>
  <w:style w:type="paragraph" w:customStyle="1" w:styleId="37">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收入、支出决算情况表（单位：万元）</a:t>
            </a:r>
            <a:endParaRPr sz="900"/>
          </a:p>
        </c:rich>
      </c:tx>
      <c:layout/>
      <c:overlay val="0"/>
      <c:spPr>
        <a:noFill/>
        <a:ln>
          <a:noFill/>
        </a:ln>
        <a:effectLst/>
      </c:spPr>
    </c:title>
    <c:autoTitleDeleted val="0"/>
    <c:plotArea>
      <c:layout/>
      <c:barChart>
        <c:barDir val="col"/>
        <c:grouping val="clustered"/>
        <c:varyColors val="0"/>
        <c:ser>
          <c:idx val="0"/>
          <c:order val="0"/>
          <c:tx>
            <c:strRef>
              <c:f>[图表.xlsx]Sheet1!$B$10</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[图表.xlsx]Sheet1!$C$10:$D$10</c:f>
              <c:numCache>
                <c:formatCode>#,##0.00</c:formatCode>
                <c:ptCount val="2"/>
                <c:pt idx="0">
                  <c:v>2347.77</c:v>
                </c:pt>
                <c:pt idx="1">
                  <c:v>2347.77</c:v>
                </c:pt>
              </c:numCache>
            </c:numRef>
          </c:val>
        </c:ser>
        <c:ser>
          <c:idx val="1"/>
          <c:order val="1"/>
          <c:tx>
            <c:strRef>
              <c:f>[图表.xlsx]Sheet1!$B$11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[图表.xlsx]Sheet1!$C$11:$D$11</c:f>
              <c:numCache>
                <c:formatCode>#,##0.00</c:formatCode>
                <c:ptCount val="2"/>
                <c:pt idx="0">
                  <c:v>1911.67</c:v>
                </c:pt>
                <c:pt idx="1">
                  <c:v>1911.67</c:v>
                </c:pt>
              </c:numCache>
            </c:numRef>
          </c:val>
        </c:ser>
        <c:dLbls>
          <c:showLegendKey val="0"/>
          <c:showVal val="1"/>
          <c:showCatName val="0"/>
          <c:showSerName val="0"/>
          <c:showPercent val="0"/>
          <c:showBubbleSize val="0"/>
        </c:dLbls>
        <c:gapWidth val="219"/>
        <c:overlap val="-27"/>
        <c:axId val="927626806"/>
        <c:axId val="635985398"/>
      </c:barChart>
      <c:catAx>
        <c:axId val="9276268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985398"/>
        <c:crosses val="autoZero"/>
        <c:auto val="1"/>
        <c:lblAlgn val="ctr"/>
        <c:lblOffset val="100"/>
        <c:noMultiLvlLbl val="0"/>
      </c:catAx>
      <c:valAx>
        <c:axId val="63598539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6268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收入结构表（单位：万元）</a:t>
            </a:r>
            <a:endParaRPr sz="900"/>
          </a:p>
        </c:rich>
      </c:tx>
      <c:layout>
        <c:manualLayout>
          <c:xMode val="edge"/>
          <c:yMode val="edge"/>
          <c:x val="0.290833333333333"/>
          <c:y val="0.0069444444444444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0"/>
              <c:layout>
                <c:manualLayout>
                  <c:x val="0.206041585904006"/>
                  <c:y val="-0.17035326076382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7"/>
              <c:layout>
                <c:manualLayout>
                  <c:x val="0.098180449676538"/>
                  <c:y val="0.0400407607665038"/>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[图表.xlsx]Sheet1!$B$63:$B$70</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[图表.xlsx]Sheet1!$C$63:$C$70</c:f>
              <c:numCache>
                <c:formatCode>General</c:formatCode>
                <c:ptCount val="8"/>
                <c:pt idx="0">
                  <c:v>1911.67</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7"/>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支出决算结构图（单位：万元）</a:t>
            </a:r>
            <a:endParaRPr sz="900"/>
          </a:p>
        </c:rich>
      </c:tx>
      <c:layout>
        <c:manualLayout>
          <c:xMode val="edge"/>
          <c:yMode val="edge"/>
          <c:x val="0.304027777777778"/>
          <c:y val="0.016203703703703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254861111111111"/>
                  <c:y val="-0.293981481481481"/>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74305555555556"/>
                  <c:y val="0.078703703703703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[图表.xlsx]Sheet1!$B$94:$B$98</c:f>
              <c:strCache>
                <c:ptCount val="5"/>
                <c:pt idx="0">
                  <c:v>基本支出</c:v>
                </c:pt>
                <c:pt idx="1">
                  <c:v>项目支出</c:v>
                </c:pt>
                <c:pt idx="2">
                  <c:v>上缴上级支出</c:v>
                </c:pt>
                <c:pt idx="3">
                  <c:v>经营支出</c:v>
                </c:pt>
                <c:pt idx="4">
                  <c:v>对附属单位补助支出</c:v>
                </c:pt>
              </c:strCache>
            </c:strRef>
          </c:cat>
          <c:val>
            <c:numRef>
              <c:f>[图表.xlsx]Sheet1!$C$94:$C$98</c:f>
              <c:numCache>
                <c:formatCode>#,##0.00</c:formatCode>
                <c:ptCount val="5"/>
                <c:pt idx="0">
                  <c:v>1871.49</c:v>
                </c:pt>
                <c:pt idx="1" c:formatCode="General">
                  <c:v>40.18</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manualLayout>
          <c:xMode val="edge"/>
          <c:yMode val="edge"/>
          <c:x val="0.145555555555556"/>
          <c:y val="0.915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财政拨款收入、支出决算情况表（单位：万元）</a:t>
            </a:r>
            <a:endParaRPr sz="900"/>
          </a:p>
        </c:rich>
      </c:tx>
      <c:layout>
        <c:manualLayout>
          <c:xMode val="edge"/>
          <c:yMode val="edge"/>
          <c:x val="0.181454979129398"/>
          <c:y val="0.0277777777777778"/>
        </c:manualLayout>
      </c:layout>
      <c:overlay val="0"/>
      <c:spPr>
        <a:noFill/>
        <a:ln>
          <a:noFill/>
        </a:ln>
        <a:effectLst/>
      </c:spPr>
    </c:title>
    <c:autoTitleDeleted val="0"/>
    <c:plotArea>
      <c:layout/>
      <c:barChart>
        <c:barDir val="col"/>
        <c:grouping val="clustered"/>
        <c:varyColors val="0"/>
        <c:ser>
          <c:idx val="0"/>
          <c:order val="0"/>
          <c:tx>
            <c:strRef>
              <c:f>[图表.xlsx]Sheet1!$B$119</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[图表.xlsx]Sheet1!$C$119:$D$119</c:f>
              <c:numCache>
                <c:formatCode>#,##0.00</c:formatCode>
                <c:ptCount val="2"/>
                <c:pt idx="0">
                  <c:v>2347.77</c:v>
                </c:pt>
                <c:pt idx="1">
                  <c:v>2347.77</c:v>
                </c:pt>
              </c:numCache>
            </c:numRef>
          </c:val>
        </c:ser>
        <c:ser>
          <c:idx val="1"/>
          <c:order val="1"/>
          <c:tx>
            <c:strRef>
              <c:f>[图表.xlsx]Sheet1!$B$120</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[图表.xlsx]Sheet1!$C$120:$D$120</c:f>
              <c:numCache>
                <c:formatCode>#,##0.00</c:formatCode>
                <c:ptCount val="2"/>
                <c:pt idx="0">
                  <c:v>1911.67</c:v>
                </c:pt>
                <c:pt idx="1">
                  <c:v>1911.67</c:v>
                </c:pt>
              </c:numCache>
            </c:numRef>
          </c:val>
        </c:ser>
        <c:dLbls>
          <c:showLegendKey val="0"/>
          <c:showVal val="1"/>
          <c:showCatName val="0"/>
          <c:showSerName val="0"/>
          <c:showPercent val="0"/>
          <c:showBubbleSize val="0"/>
        </c:dLbls>
        <c:gapWidth val="219"/>
        <c:overlap val="-27"/>
        <c:axId val="806790413"/>
        <c:axId val="42444325"/>
      </c:barChart>
      <c:catAx>
        <c:axId val="8067904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444325"/>
        <c:crosses val="autoZero"/>
        <c:auto val="1"/>
        <c:lblAlgn val="ctr"/>
        <c:lblOffset val="100"/>
        <c:noMultiLvlLbl val="0"/>
      </c:catAx>
      <c:valAx>
        <c:axId val="4244432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904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一般公共预算财政拨款支出决算情况表（单位：万元）</a:t>
            </a:r>
            <a:endParaRPr sz="900"/>
          </a:p>
        </c:rich>
      </c:tx>
      <c:layout>
        <c:manualLayout>
          <c:xMode val="edge"/>
          <c:yMode val="edge"/>
          <c:x val="0.164444444444444"/>
          <c:y val="0.0231481481481481"/>
        </c:manualLayout>
      </c:layout>
      <c:overlay val="0"/>
      <c:spPr>
        <a:noFill/>
        <a:ln>
          <a:noFill/>
        </a:ln>
        <a:effectLst/>
      </c:spPr>
    </c:title>
    <c:autoTitleDeleted val="0"/>
    <c:plotArea>
      <c:layout>
        <c:manualLayout>
          <c:layoutTarget val="inner"/>
          <c:xMode val="edge"/>
          <c:yMode val="edge"/>
          <c:x val="0.126611111111111"/>
          <c:y val="0.156481481481481"/>
          <c:w val="0.844222222222222"/>
          <c:h val="0.629027777777778"/>
        </c:manualLayout>
      </c:layout>
      <c:barChart>
        <c:barDir val="col"/>
        <c:grouping val="clustered"/>
        <c:varyColors val="0"/>
        <c:ser>
          <c:idx val="0"/>
          <c:order val="0"/>
          <c:tx>
            <c:strRef>
              <c:f>[图表.xlsx]Sheet1!$H$133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[图表.xlsx]Sheet1!$I$133</c:f>
              <c:numCache>
                <c:formatCode>#,##0.00</c:formatCode>
                <c:ptCount val="1"/>
                <c:pt idx="0">
                  <c:v>2347.77</c:v>
                </c:pt>
              </c:numCache>
            </c:numRef>
          </c:val>
        </c:ser>
        <c:ser>
          <c:idx val="1"/>
          <c:order val="1"/>
          <c:tx>
            <c:strRef>
              <c:f>[图表.xlsx]Sheet1!$H$134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[图表.xlsx]Sheet1!$I$134</c:f>
              <c:numCache>
                <c:formatCode>#,##0.00</c:formatCode>
                <c:ptCount val="1"/>
                <c:pt idx="0">
                  <c:v>1911.67</c:v>
                </c:pt>
              </c:numCache>
            </c:numRef>
          </c:val>
        </c:ser>
        <c:dLbls>
          <c:showLegendKey val="0"/>
          <c:showVal val="1"/>
          <c:showCatName val="0"/>
          <c:showSerName val="0"/>
          <c:showPercent val="0"/>
          <c:showBubbleSize val="0"/>
        </c:dLbls>
        <c:gapWidth val="219"/>
        <c:overlap val="-27"/>
        <c:axId val="158010221"/>
        <c:axId val="806745929"/>
      </c:barChart>
      <c:catAx>
        <c:axId val="1580102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45929"/>
        <c:crosses val="autoZero"/>
        <c:auto val="1"/>
        <c:lblAlgn val="ctr"/>
        <c:lblOffset val="100"/>
        <c:noMultiLvlLbl val="0"/>
      </c:catAx>
      <c:valAx>
        <c:axId val="80674592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80102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功能支出决算结构图（单位：万元）</a:t>
            </a:r>
            <a:endParaRPr sz="900"/>
          </a:p>
        </c:rich>
      </c:tx>
      <c:layout>
        <c:manualLayout>
          <c:xMode val="edge"/>
          <c:yMode val="edge"/>
          <c:x val="0.246156962112593"/>
          <c:y val="0.0099585062240663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242362891734226"/>
                  <c:y val="0.0532341432213279"/>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0967167251595086"/>
                  <c:y val="-0.0037839246315420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839234649948223"/>
                  <c:y val="-0.027450142369495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084303229693553"/>
                  <c:y val="0.098572039300777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4"/>
              <c:layout>
                <c:manualLayout>
                  <c:x val="-0.0365586043421732"/>
                  <c:y val="-0.0230832139945759"/>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5"/>
              <c:layout>
                <c:manualLayout>
                  <c:x val="-0.211068398478837"/>
                  <c:y val="0.036370176723318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6"/>
              <c:layout>
                <c:manualLayout>
                  <c:x val="-0.193490909692483"/>
                  <c:y val="0.0369855931371698"/>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[图表.xlsx]Sheet1!$B$250:$B$256</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[图表.xlsx]Sheet1!$C$250:$C$256</c:f>
              <c:numCache>
                <c:formatCode>General</c:formatCode>
                <c:ptCount val="7"/>
                <c:pt idx="0">
                  <c:v>24.85</c:v>
                </c:pt>
                <c:pt idx="1" c:formatCode="#,##0.00">
                  <c:v>1397.7</c:v>
                </c:pt>
                <c:pt idx="2">
                  <c:v>0</c:v>
                </c:pt>
                <c:pt idx="3">
                  <c:v>0</c:v>
                </c:pt>
                <c:pt idx="4">
                  <c:v>215.48</c:v>
                </c:pt>
                <c:pt idx="5">
                  <c:v>140.62</c:v>
                </c:pt>
                <c:pt idx="6">
                  <c:v>133.02</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938b4d6-888a-4ab5-aca7-b9f2aec2c2b5}"/>
        <w:style w:val=""/>
        <w:category>
          <w:name w:val="常规"/>
          <w:gallery w:val="placeholder"/>
        </w:category>
        <w:types>
          <w:type w:val="bbPlcHdr"/>
        </w:types>
        <w:behaviors>
          <w:behavior w:val="content"/>
        </w:behaviors>
        <w:description w:val=""/>
        <w:guid w:val="{e938b4d6-888a-4ab5-aca7-b9f2aec2c2b5}"/>
      </w:docPartPr>
      <w:docPartBody>
        <w:p>
          <w:r>
            <w:rPr>
              <w:color w:val="808080"/>
            </w:rPr>
            <w:t>单击此处输入文字。</w:t>
          </w:r>
        </w:p>
      </w:docPartBody>
    </w:docPart>
    <w:docPart>
      <w:docPartPr>
        <w:name w:val="{78bb63e2-cda9-42d4-be15-3d2f7d5b0c73}"/>
        <w:style w:val=""/>
        <w:category>
          <w:name w:val="常规"/>
          <w:gallery w:val="placeholder"/>
        </w:category>
        <w:types>
          <w:type w:val="bbPlcHdr"/>
        </w:types>
        <w:behaviors>
          <w:behavior w:val="content"/>
        </w:behaviors>
        <w:description w:val=""/>
        <w:guid w:val="{78bb63e2-cda9-42d4-be15-3d2f7d5b0c73}"/>
      </w:docPartPr>
      <w:docPartBody>
        <w:p>
          <w:r>
            <w:rPr>
              <w:color w:val="808080"/>
            </w:rPr>
            <w:t>单击此处输入文字。</w:t>
          </w:r>
        </w:p>
      </w:docPartBody>
    </w:docPart>
    <w:docPart>
      <w:docPartPr>
        <w:name w:val="{73506eff-8939-48de-9501-1b5fd419fd82}"/>
        <w:style w:val=""/>
        <w:category>
          <w:name w:val="常规"/>
          <w:gallery w:val="placeholder"/>
        </w:category>
        <w:types>
          <w:type w:val="bbPlcHdr"/>
        </w:types>
        <w:behaviors>
          <w:behavior w:val="content"/>
        </w:behaviors>
        <w:description w:val=""/>
        <w:guid w:val="{73506eff-8939-48de-9501-1b5fd419fd82}"/>
      </w:docPartPr>
      <w:docPartBody>
        <w:p>
          <w:r>
            <w:rPr>
              <w:color w:val="808080"/>
            </w:rPr>
            <w:t>单击此处输入文字。</w:t>
          </w:r>
        </w:p>
      </w:docPartBody>
    </w:docPart>
    <w:docPart>
      <w:docPartPr>
        <w:name w:val="{183c0c1a-3e9f-4841-8022-d5d684274688}"/>
        <w:style w:val=""/>
        <w:category>
          <w:name w:val="常规"/>
          <w:gallery w:val="placeholder"/>
        </w:category>
        <w:types>
          <w:type w:val="bbPlcHdr"/>
        </w:types>
        <w:behaviors>
          <w:behavior w:val="content"/>
        </w:behaviors>
        <w:description w:val=""/>
        <w:guid w:val="{183c0c1a-3e9f-4841-8022-d5d684274688}"/>
      </w:docPartPr>
      <w:docPartBody>
        <w:p>
          <w:r>
            <w:rPr>
              <w:color w:val="808080"/>
            </w:rPr>
            <w:t>单击此处输入文字。</w:t>
          </w:r>
        </w:p>
      </w:docPartBody>
    </w:docPart>
    <w:docPart>
      <w:docPartPr>
        <w:name w:val="{39ff1210-d7a7-4a3d-9e86-a9839aaf69f7}"/>
        <w:style w:val=""/>
        <w:category>
          <w:name w:val="常规"/>
          <w:gallery w:val="placeholder"/>
        </w:category>
        <w:types>
          <w:type w:val="bbPlcHdr"/>
        </w:types>
        <w:behaviors>
          <w:behavior w:val="content"/>
        </w:behaviors>
        <w:description w:val=""/>
        <w:guid w:val="{39ff1210-d7a7-4a3d-9e86-a9839aaf69f7}"/>
      </w:docPartPr>
      <w:docPartBody>
        <w:p>
          <w:r>
            <w:rPr>
              <w:color w:val="808080"/>
            </w:rPr>
            <w:t>单击此处输入文字。</w:t>
          </w:r>
        </w:p>
      </w:docPartBody>
    </w:docPart>
    <w:docPart>
      <w:docPartPr>
        <w:name w:val="{d2f1ea52-92af-4fb6-b29f-f1b5221c04a1}"/>
        <w:style w:val=""/>
        <w:category>
          <w:name w:val="常规"/>
          <w:gallery w:val="placeholder"/>
        </w:category>
        <w:types>
          <w:type w:val="bbPlcHdr"/>
        </w:types>
        <w:behaviors>
          <w:behavior w:val="content"/>
        </w:behaviors>
        <w:description w:val=""/>
        <w:guid w:val="{d2f1ea52-92af-4fb6-b29f-f1b5221c04a1}"/>
      </w:docPartPr>
      <w:docPartBody>
        <w:p>
          <w:r>
            <w:rPr>
              <w:color w:val="808080"/>
            </w:rPr>
            <w:t>单击此处输入文字。</w:t>
          </w:r>
        </w:p>
      </w:docPartBody>
    </w:docPart>
    <w:docPart>
      <w:docPartPr>
        <w:name w:val="{4c6c2db3-beb1-4f59-8739-5e60d0ad79c2}"/>
        <w:style w:val=""/>
        <w:category>
          <w:name w:val="常规"/>
          <w:gallery w:val="placeholder"/>
        </w:category>
        <w:types>
          <w:type w:val="bbPlcHdr"/>
        </w:types>
        <w:behaviors>
          <w:behavior w:val="content"/>
        </w:behaviors>
        <w:description w:val=""/>
        <w:guid w:val="{4c6c2db3-beb1-4f59-8739-5e60d0ad79c2}"/>
      </w:docPartPr>
      <w:docPartBody>
        <w:p>
          <w:r>
            <w:rPr>
              <w:color w:val="808080"/>
            </w:rPr>
            <w:t>单击此处输入文字。</w:t>
          </w:r>
        </w:p>
      </w:docPartBody>
    </w:docPart>
    <w:docPart>
      <w:docPartPr>
        <w:name w:val="{2f7a5aa3-6df1-4590-9edb-dc48245cf9be}"/>
        <w:style w:val=""/>
        <w:category>
          <w:name w:val="常规"/>
          <w:gallery w:val="placeholder"/>
        </w:category>
        <w:types>
          <w:type w:val="bbPlcHdr"/>
        </w:types>
        <w:behaviors>
          <w:behavior w:val="content"/>
        </w:behaviors>
        <w:description w:val=""/>
        <w:guid w:val="{2f7a5aa3-6df1-4590-9edb-dc48245cf9be}"/>
      </w:docPartPr>
      <w:docPartBody>
        <w:p>
          <w:r>
            <w:rPr>
              <w:color w:val="808080"/>
            </w:rPr>
            <w:t>单击此处输入文字。</w:t>
          </w:r>
        </w:p>
      </w:docPartBody>
    </w:docPart>
    <w:docPart>
      <w:docPartPr>
        <w:name w:val="{8b1ab262-9a64-4f4c-9a31-5fe5a7bd7af3}"/>
        <w:style w:val=""/>
        <w:category>
          <w:name w:val="常规"/>
          <w:gallery w:val="placeholder"/>
        </w:category>
        <w:types>
          <w:type w:val="bbPlcHdr"/>
        </w:types>
        <w:behaviors>
          <w:behavior w:val="content"/>
        </w:behaviors>
        <w:description w:val=""/>
        <w:guid w:val="{8b1ab262-9a64-4f4c-9a31-5fe5a7bd7af3}"/>
      </w:docPartPr>
      <w:docPartBody>
        <w:p>
          <w:r>
            <w:rPr>
              <w:color w:val="808080"/>
            </w:rPr>
            <w:t>单击此处输入文字。</w:t>
          </w:r>
        </w:p>
      </w:docPartBody>
    </w:docPart>
    <w:docPart>
      <w:docPartPr>
        <w:name w:val="{b3737c95-ab4e-42d6-b01c-61cbfa1cd913}"/>
        <w:style w:val=""/>
        <w:category>
          <w:name w:val="常规"/>
          <w:gallery w:val="placeholder"/>
        </w:category>
        <w:types>
          <w:type w:val="bbPlcHdr"/>
        </w:types>
        <w:behaviors>
          <w:behavior w:val="content"/>
        </w:behaviors>
        <w:description w:val=""/>
        <w:guid w:val="{b3737c95-ab4e-42d6-b01c-61cbfa1cd913}"/>
      </w:docPartPr>
      <w:docPartBody>
        <w:p>
          <w:r>
            <w:rPr>
              <w:color w:val="808080"/>
            </w:rPr>
            <w:t>单击此处输入文字。</w:t>
          </w:r>
        </w:p>
      </w:docPartBody>
    </w:docPart>
    <w:docPart>
      <w:docPartPr>
        <w:name w:val="{68784d65-4308-49ad-b791-19e8b2d73ea0}"/>
        <w:style w:val=""/>
        <w:category>
          <w:name w:val="常规"/>
          <w:gallery w:val="placeholder"/>
        </w:category>
        <w:types>
          <w:type w:val="bbPlcHdr"/>
        </w:types>
        <w:behaviors>
          <w:behavior w:val="content"/>
        </w:behaviors>
        <w:description w:val=""/>
        <w:guid w:val="{68784d65-4308-49ad-b791-19e8b2d73ea0}"/>
      </w:docPartPr>
      <w:docPartBody>
        <w:p>
          <w:r>
            <w:rPr>
              <w:color w:val="808080"/>
            </w:rPr>
            <w:t>单击此处输入文字。</w:t>
          </w:r>
        </w:p>
      </w:docPartBody>
    </w:docPart>
    <w:docPart>
      <w:docPartPr>
        <w:name w:val="{39acf248-7b95-4916-8d7d-d90e38d4be1e}"/>
        <w:style w:val=""/>
        <w:category>
          <w:name w:val="常规"/>
          <w:gallery w:val="placeholder"/>
        </w:category>
        <w:types>
          <w:type w:val="bbPlcHdr"/>
        </w:types>
        <w:behaviors>
          <w:behavior w:val="content"/>
        </w:behaviors>
        <w:description w:val=""/>
        <w:guid w:val="{39acf248-7b95-4916-8d7d-d90e38d4be1e}"/>
      </w:docPartPr>
      <w:docPartBody>
        <w:p>
          <w:r>
            <w:rPr>
              <w:color w:val="808080"/>
            </w:rPr>
            <w:t>单击此处输入文字。</w:t>
          </w:r>
        </w:p>
      </w:docPartBody>
    </w:docPart>
    <w:docPart>
      <w:docPartPr>
        <w:name w:val="{e9eb180f-dd9a-4e4e-bd3a-e10112d4cac0}"/>
        <w:style w:val=""/>
        <w:category>
          <w:name w:val="常规"/>
          <w:gallery w:val="placeholder"/>
        </w:category>
        <w:types>
          <w:type w:val="bbPlcHdr"/>
        </w:types>
        <w:behaviors>
          <w:behavior w:val="content"/>
        </w:behaviors>
        <w:description w:val=""/>
        <w:guid w:val="{e9eb180f-dd9a-4e4e-bd3a-e10112d4cac0}"/>
      </w:docPartPr>
      <w:docPartBody>
        <w:p>
          <w:r>
            <w:rPr>
              <w:color w:val="808080"/>
            </w:rPr>
            <w:t>单击此处输入文字。</w:t>
          </w:r>
        </w:p>
      </w:docPartBody>
    </w:docPart>
    <w:docPart>
      <w:docPartPr>
        <w:name w:val="{7af0f86c-3de1-4b45-a5be-6fc682a72a0c}"/>
        <w:style w:val=""/>
        <w:category>
          <w:name w:val="常规"/>
          <w:gallery w:val="placeholder"/>
        </w:category>
        <w:types>
          <w:type w:val="bbPlcHdr"/>
        </w:types>
        <w:behaviors>
          <w:behavior w:val="content"/>
        </w:behaviors>
        <w:description w:val=""/>
        <w:guid w:val="{7af0f86c-3de1-4b45-a5be-6fc682a72a0c}"/>
      </w:docPartPr>
      <w:docPartBody>
        <w:p>
          <w:r>
            <w:rPr>
              <w:color w:val="808080"/>
            </w:rPr>
            <w:t>单击此处输入文字。</w:t>
          </w:r>
        </w:p>
      </w:docPartBody>
    </w:docPart>
    <w:docPart>
      <w:docPartPr>
        <w:name w:val="{51f616ae-ec39-48cc-b4d8-2be8c6ce24a4}"/>
        <w:style w:val=""/>
        <w:category>
          <w:name w:val="常规"/>
          <w:gallery w:val="placeholder"/>
        </w:category>
        <w:types>
          <w:type w:val="bbPlcHdr"/>
        </w:types>
        <w:behaviors>
          <w:behavior w:val="content"/>
        </w:behaviors>
        <w:description w:val=""/>
        <w:guid w:val="{51f616ae-ec39-48cc-b4d8-2be8c6ce24a4}"/>
      </w:docPartPr>
      <w:docPartBody>
        <w:p>
          <w:r>
            <w:rPr>
              <w:color w:val="808080"/>
            </w:rPr>
            <w:t>单击此处输入文字。</w:t>
          </w:r>
        </w:p>
      </w:docPartBody>
    </w:docPart>
    <w:docPart>
      <w:docPartPr>
        <w:name w:val="{2133a485-eeca-4f62-ba00-632eb2211fe3}"/>
        <w:style w:val=""/>
        <w:category>
          <w:name w:val="常规"/>
          <w:gallery w:val="placeholder"/>
        </w:category>
        <w:types>
          <w:type w:val="bbPlcHdr"/>
        </w:types>
        <w:behaviors>
          <w:behavior w:val="content"/>
        </w:behaviors>
        <w:description w:val=""/>
        <w:guid w:val="{2133a485-eeca-4f62-ba00-632eb2211fe3}"/>
      </w:docPartPr>
      <w:docPartBody>
        <w:p>
          <w:r>
            <w:rPr>
              <w:color w:val="808080"/>
            </w:rPr>
            <w:t>单击此处输入文字。</w:t>
          </w:r>
        </w:p>
      </w:docPartBody>
    </w:docPart>
    <w:docPart>
      <w:docPartPr>
        <w:name w:val="{350f85d5-0f17-4315-acee-843efb3b8c89}"/>
        <w:style w:val=""/>
        <w:category>
          <w:name w:val="常规"/>
          <w:gallery w:val="placeholder"/>
        </w:category>
        <w:types>
          <w:type w:val="bbPlcHdr"/>
        </w:types>
        <w:behaviors>
          <w:behavior w:val="content"/>
        </w:behaviors>
        <w:description w:val=""/>
        <w:guid w:val="{350f85d5-0f17-4315-acee-843efb3b8c89}"/>
      </w:docPartPr>
      <w:docPartBody>
        <w:p>
          <w:r>
            <w:rPr>
              <w:color w:val="808080"/>
            </w:rPr>
            <w:t>单击此处输入文字。</w:t>
          </w:r>
        </w:p>
      </w:docPartBody>
    </w:docPart>
    <w:docPart>
      <w:docPartPr>
        <w:name w:val="{89db7c7a-2558-4d22-9019-0ba8fa806187}"/>
        <w:style w:val=""/>
        <w:category>
          <w:name w:val="常规"/>
          <w:gallery w:val="placeholder"/>
        </w:category>
        <w:types>
          <w:type w:val="bbPlcHdr"/>
        </w:types>
        <w:behaviors>
          <w:behavior w:val="content"/>
        </w:behaviors>
        <w:description w:val=""/>
        <w:guid w:val="{89db7c7a-2558-4d22-9019-0ba8fa806187}"/>
      </w:docPartPr>
      <w:docPartBody>
        <w:p>
          <w:r>
            <w:rPr>
              <w:color w:val="808080"/>
            </w:rPr>
            <w:t>单击此处输入文字。</w:t>
          </w:r>
        </w:p>
      </w:docPartBody>
    </w:docPart>
    <w:docPart>
      <w:docPartPr>
        <w:name w:val="{5730f3f3-261b-4a1e-b559-ff5755de9f4b}"/>
        <w:style w:val=""/>
        <w:category>
          <w:name w:val="常规"/>
          <w:gallery w:val="placeholder"/>
        </w:category>
        <w:types>
          <w:type w:val="bbPlcHdr"/>
        </w:types>
        <w:behaviors>
          <w:behavior w:val="content"/>
        </w:behaviors>
        <w:description w:val=""/>
        <w:guid w:val="{5730f3f3-261b-4a1e-b559-ff5755de9f4b}"/>
      </w:docPartPr>
      <w:docPartBody>
        <w:p>
          <w:r>
            <w:rPr>
              <w:color w:val="808080"/>
            </w:rPr>
            <w:t>单击此处输入文字。</w:t>
          </w:r>
        </w:p>
      </w:docPartBody>
    </w:docPart>
    <w:docPart>
      <w:docPartPr>
        <w:name w:val="{3b602483-e265-4ff9-9004-2f2d39e6c020}"/>
        <w:style w:val=""/>
        <w:category>
          <w:name w:val="常规"/>
          <w:gallery w:val="placeholder"/>
        </w:category>
        <w:types>
          <w:type w:val="bbPlcHdr"/>
        </w:types>
        <w:behaviors>
          <w:behavior w:val="content"/>
        </w:behaviors>
        <w:description w:val=""/>
        <w:guid w:val="{3b602483-e265-4ff9-9004-2f2d39e6c020}"/>
      </w:docPartPr>
      <w:docPartBody>
        <w:p>
          <w:r>
            <w:rPr>
              <w:color w:val="808080"/>
            </w:rPr>
            <w:t>单击此处输入文字。</w:t>
          </w:r>
        </w:p>
      </w:docPartBody>
    </w:docPart>
    <w:docPart>
      <w:docPartPr>
        <w:name w:val="{234e1b81-4643-4d3e-8336-ff1dbd94e4de}"/>
        <w:style w:val=""/>
        <w:category>
          <w:name w:val="常规"/>
          <w:gallery w:val="placeholder"/>
        </w:category>
        <w:types>
          <w:type w:val="bbPlcHdr"/>
        </w:types>
        <w:behaviors>
          <w:behavior w:val="content"/>
        </w:behaviors>
        <w:description w:val=""/>
        <w:guid w:val="{234e1b81-4643-4d3e-8336-ff1dbd94e4de}"/>
      </w:docPartPr>
      <w:docPartBody>
        <w:p>
          <w:r>
            <w:rPr>
              <w:color w:val="808080"/>
            </w:rPr>
            <w:t>单击此处输入文字。</w:t>
          </w:r>
        </w:p>
      </w:docPartBody>
    </w:docPart>
    <w:docPart>
      <w:docPartPr>
        <w:name w:val="{2206bec3-14c9-44ad-851c-85f7de4bd8e8}"/>
        <w:style w:val=""/>
        <w:category>
          <w:name w:val="常规"/>
          <w:gallery w:val="placeholder"/>
        </w:category>
        <w:types>
          <w:type w:val="bbPlcHdr"/>
        </w:types>
        <w:behaviors>
          <w:behavior w:val="content"/>
        </w:behaviors>
        <w:description w:val=""/>
        <w:guid w:val="{2206bec3-14c9-44ad-851c-85f7de4bd8e8}"/>
      </w:docPartPr>
      <w:docPartBody>
        <w:p>
          <w:r>
            <w:rPr>
              <w:color w:val="808080"/>
            </w:rPr>
            <w:t>单击此处输入文字。</w:t>
          </w:r>
        </w:p>
      </w:docPartBody>
    </w:docPart>
    <w:docPart>
      <w:docPartPr>
        <w:name w:val="{90c63407-ab16-4f54-aeb3-2d9905a0ae5f}"/>
        <w:style w:val=""/>
        <w:category>
          <w:name w:val="常规"/>
          <w:gallery w:val="placeholder"/>
        </w:category>
        <w:types>
          <w:type w:val="bbPlcHdr"/>
        </w:types>
        <w:behaviors>
          <w:behavior w:val="content"/>
        </w:behaviors>
        <w:description w:val=""/>
        <w:guid w:val="{90c63407-ab16-4f54-aeb3-2d9905a0ae5f}"/>
      </w:docPartPr>
      <w:docPartBody>
        <w:p>
          <w:r>
            <w:rPr>
              <w:color w:val="808080"/>
            </w:rPr>
            <w:t>单击此处输入文字。</w:t>
          </w:r>
        </w:p>
      </w:docPartBody>
    </w:docPart>
    <w:docPart>
      <w:docPartPr>
        <w:name w:val="{bb15dc22-0199-4e08-8452-52d609e6ba20}"/>
        <w:style w:val=""/>
        <w:category>
          <w:name w:val="常规"/>
          <w:gallery w:val="placeholder"/>
        </w:category>
        <w:types>
          <w:type w:val="bbPlcHdr"/>
        </w:types>
        <w:behaviors>
          <w:behavior w:val="content"/>
        </w:behaviors>
        <w:description w:val=""/>
        <w:guid w:val="{bb15dc22-0199-4e08-8452-52d609e6ba20}"/>
      </w:docPartPr>
      <w:docPartBody>
        <w:p>
          <w:r>
            <w:rPr>
              <w:color w:val="808080"/>
            </w:rPr>
            <w:t>单击此处输入文字。</w:t>
          </w:r>
        </w:p>
      </w:docPartBody>
    </w:docPart>
    <w:docPart>
      <w:docPartPr>
        <w:name w:val="{c6e12da3-708b-4272-b6c4-a4a4691e477e}"/>
        <w:style w:val=""/>
        <w:category>
          <w:name w:val="常规"/>
          <w:gallery w:val="placeholder"/>
        </w:category>
        <w:types>
          <w:type w:val="bbPlcHdr"/>
        </w:types>
        <w:behaviors>
          <w:behavior w:val="content"/>
        </w:behaviors>
        <w:description w:val=""/>
        <w:guid w:val="{c6e12da3-708b-4272-b6c4-a4a4691e477e}"/>
      </w:docPartPr>
      <w:docPartBody>
        <w:p>
          <w:r>
            <w:rPr>
              <w:color w:val="808080"/>
            </w:rPr>
            <w:t>单击此处输入文字。</w:t>
          </w:r>
        </w:p>
      </w:docPartBody>
    </w:docPart>
    <w:docPart>
      <w:docPartPr>
        <w:name w:val="{208b9c04-6d41-42ea-a558-90354e3fa5f9}"/>
        <w:style w:val=""/>
        <w:category>
          <w:name w:val="常规"/>
          <w:gallery w:val="placeholder"/>
        </w:category>
        <w:types>
          <w:type w:val="bbPlcHdr"/>
        </w:types>
        <w:behaviors>
          <w:behavior w:val="content"/>
        </w:behaviors>
        <w:description w:val=""/>
        <w:guid w:val="{208b9c04-6d41-42ea-a558-90354e3fa5f9}"/>
      </w:docPartPr>
      <w:docPartBody>
        <w:p>
          <w:r>
            <w:rPr>
              <w:color w:val="808080"/>
            </w:rPr>
            <w:t>单击此处输入文字。</w:t>
          </w:r>
        </w:p>
      </w:docPartBody>
    </w:docPart>
    <w:docPart>
      <w:docPartPr>
        <w:name w:val="{adecbdb6-91b6-4bf0-9e84-7b47194aedce}"/>
        <w:style w:val=""/>
        <w:category>
          <w:name w:val="常规"/>
          <w:gallery w:val="placeholder"/>
        </w:category>
        <w:types>
          <w:type w:val="bbPlcHdr"/>
        </w:types>
        <w:behaviors>
          <w:behavior w:val="content"/>
        </w:behaviors>
        <w:description w:val=""/>
        <w:guid w:val="{adecbdb6-91b6-4bf0-9e84-7b47194aedce}"/>
      </w:docPartPr>
      <w:docPartBody>
        <w:p>
          <w:r>
            <w:rPr>
              <w:color w:val="808080"/>
            </w:rPr>
            <w:t>单击此处输入文字。</w:t>
          </w:r>
        </w:p>
      </w:docPartBody>
    </w:docPart>
    <w:docPart>
      <w:docPartPr>
        <w:name w:val="{ad7fafc4-1768-4638-b9ab-3d978605897c}"/>
        <w:style w:val=""/>
        <w:category>
          <w:name w:val="常规"/>
          <w:gallery w:val="placeholder"/>
        </w:category>
        <w:types>
          <w:type w:val="bbPlcHdr"/>
        </w:types>
        <w:behaviors>
          <w:behavior w:val="content"/>
        </w:behaviors>
        <w:description w:val=""/>
        <w:guid w:val="{ad7fafc4-1768-4638-b9ab-3d978605897c}"/>
      </w:docPartPr>
      <w:docPartBody>
        <w:p>
          <w:r>
            <w:rPr>
              <w:color w:val="808080"/>
            </w:rPr>
            <w:t>单击此处输入文字。</w:t>
          </w:r>
        </w:p>
      </w:docPartBody>
    </w:docPart>
    <w:docPart>
      <w:docPartPr>
        <w:name w:val="{d7c1d9ec-875a-4da0-9140-d156ba391993}"/>
        <w:style w:val=""/>
        <w:category>
          <w:name w:val="常规"/>
          <w:gallery w:val="placeholder"/>
        </w:category>
        <w:types>
          <w:type w:val="bbPlcHdr"/>
        </w:types>
        <w:behaviors>
          <w:behavior w:val="content"/>
        </w:behaviors>
        <w:description w:val=""/>
        <w:guid w:val="{d7c1d9ec-875a-4da0-9140-d156ba391993}"/>
      </w:docPartPr>
      <w:docPartBody>
        <w:p>
          <w:r>
            <w:rPr>
              <w:color w:val="808080"/>
            </w:rPr>
            <w:t>单击此处输入文字。</w:t>
          </w:r>
        </w:p>
      </w:docPartBody>
    </w:docPart>
    <w:docPart>
      <w:docPartPr>
        <w:name w:val="{211a55da-a768-4e7f-b878-0b635e2bd5f4}"/>
        <w:style w:val=""/>
        <w:category>
          <w:name w:val="常规"/>
          <w:gallery w:val="placeholder"/>
        </w:category>
        <w:types>
          <w:type w:val="bbPlcHdr"/>
        </w:types>
        <w:behaviors>
          <w:behavior w:val="content"/>
        </w:behaviors>
        <w:description w:val=""/>
        <w:guid w:val="{211a55da-a768-4e7f-b878-0b635e2bd5f4}"/>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5307</Words>
  <Characters>5828</Characters>
  <Lines>61</Lines>
  <Paragraphs>17</Paragraphs>
  <TotalTime>4</TotalTime>
  <ScaleCrop>false</ScaleCrop>
  <LinksUpToDate>false</LinksUpToDate>
  <CharactersWithSpaces>5859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池鱼</cp:lastModifiedBy>
  <cp:lastPrinted>2025-08-06T17:34:00Z</cp:lastPrinted>
  <dcterms:modified xsi:type="dcterms:W3CDTF">2025-10-28T02:51:44Z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804BCCE11A594CBD8FE5F381E5DAD96A_13</vt:lpwstr>
  </property>
  <property fmtid="{D5CDD505-2E9C-101B-9397-08002B2CF9AE}" pid="4" name="KSOTemplateDocerSaveRecord">
    <vt:lpwstr>eyJoZGlkIjoiMzQwZWY4ODQ1ZDcwZGRkZDlkMDk1Mzk1YjA1Mjc2OGUiLCJ1c2VySWQiOiIxMTMwNDY2MTcxIn0=</vt:lpwstr>
  </property>
</Properties>
</file>