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Times New Roman" w:hAnsi="Times New Roman" w:eastAsia="方正小标宋简体" w:cs="Times New Roman"/>
          <w:color w:val="auto"/>
          <w:kern w:val="2"/>
          <w:sz w:val="72"/>
          <w:szCs w:val="72"/>
          <w:highlight w:val="none"/>
          <w:lang w:val="en-US" w:eastAsia="zh-CN" w:bidi="ar-SA"/>
        </w:rPr>
      </w:pPr>
      <w:bookmarkStart w:id="0" w:name="_Toc15396597"/>
      <w:bookmarkStart w:id="1" w:name="_Toc15378441"/>
      <w:bookmarkStart w:id="2" w:name="_Toc15306267"/>
      <w:bookmarkStart w:id="3" w:name="_Toc15377425"/>
      <w:bookmarkStart w:id="4" w:name="_Toc15396475"/>
      <w:bookmarkStart w:id="5" w:name="_Toc15377193"/>
    </w:p>
    <w:p>
      <w:pPr>
        <w:pStyle w:val="2"/>
        <w:rPr>
          <w:rFonts w:hint="eastAsia" w:ascii="Times New Roman" w:hAnsi="Times New Roman" w:eastAsia="方正小标宋简体" w:cs="Times New Roman"/>
          <w:color w:val="auto"/>
          <w:kern w:val="2"/>
          <w:sz w:val="72"/>
          <w:szCs w:val="72"/>
          <w:highlight w:val="none"/>
          <w:lang w:val="en-US" w:eastAsia="zh-CN" w:bidi="ar-SA"/>
        </w:rPr>
      </w:pPr>
    </w:p>
    <w:bookmarkEnd w:id="0"/>
    <w:bookmarkEnd w:id="1"/>
    <w:bookmarkEnd w:id="2"/>
    <w:bookmarkEnd w:id="3"/>
    <w:bookmarkEnd w:id="4"/>
    <w:bookmarkEnd w:id="5"/>
    <w:p>
      <w:pPr>
        <w:pStyle w:val="2"/>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2024年度</w:t>
      </w:r>
    </w:p>
    <w:p>
      <w:pPr>
        <w:pStyle w:val="2"/>
        <w:spacing w:before="93"/>
        <w:jc w:val="center"/>
        <w:rPr>
          <w:rFonts w:hint="eastAsia"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盐边县永兴镇</w:t>
      </w:r>
      <w:r>
        <w:rPr>
          <w:rFonts w:hint="eastAsia" w:ascii="Times New Roman" w:eastAsia="方正小标宋简体" w:cs="Times New Roman"/>
          <w:kern w:val="2"/>
          <w:sz w:val="72"/>
          <w:szCs w:val="72"/>
          <w:lang w:val="en-US" w:eastAsia="zh-CN"/>
        </w:rPr>
        <w:t>中心</w:t>
      </w:r>
      <w:r>
        <w:rPr>
          <w:rFonts w:hint="eastAsia" w:ascii="Times New Roman" w:hAnsi="Times New Roman" w:eastAsia="方正小标宋简体" w:cs="Times New Roman"/>
          <w:kern w:val="2"/>
          <w:sz w:val="72"/>
          <w:szCs w:val="72"/>
          <w:lang w:val="en-US" w:eastAsia="zh-CN"/>
        </w:rPr>
        <w:t>学校</w:t>
      </w:r>
    </w:p>
    <w:p>
      <w:pPr>
        <w:pStyle w:val="2"/>
        <w:spacing w:before="93"/>
        <w:jc w:val="center"/>
        <w:rPr>
          <w:rFonts w:hint="default" w:ascii="Times New Roman" w:hAnsi="Times New Roman" w:eastAsia="方正小标宋简体" w:cs="Times New Roman"/>
          <w:kern w:val="2"/>
          <w:sz w:val="72"/>
          <w:szCs w:val="72"/>
          <w:lang w:val="en-US" w:eastAsia="zh-CN"/>
        </w:rPr>
      </w:pPr>
      <w:r>
        <w:rPr>
          <w:rFonts w:hint="eastAsia" w:ascii="Times New Roman" w:hAnsi="Times New Roman" w:eastAsia="方正小标宋简体" w:cs="Times New Roman"/>
          <w:kern w:val="2"/>
          <w:sz w:val="72"/>
          <w:szCs w:val="72"/>
          <w:lang w:val="en-US" w:eastAsia="zh-CN"/>
        </w:rPr>
        <w:t>单位决算公开</w:t>
      </w:r>
    </w:p>
    <w:p>
      <w:pPr>
        <w:widowControl/>
        <w:jc w:val="center"/>
        <w:rPr>
          <w:rFonts w:hint="eastAsia" w:ascii="Times New Roman" w:hAnsi="Times New Roman" w:eastAsia="黑体"/>
          <w:color w:val="auto"/>
          <w:sz w:val="48"/>
          <w:szCs w:val="48"/>
          <w:highlight w:val="none"/>
        </w:rPr>
        <w:sectPr>
          <w:headerReference r:id="rId4" w:type="first"/>
          <w:footerReference r:id="rId6" w:type="first"/>
          <w:headerReference r:id="rId3" w:type="default"/>
          <w:footerReference r:id="rId5" w:type="default"/>
          <w:pgSz w:w="11906" w:h="16838"/>
          <w:pgMar w:top="1440" w:right="1800" w:bottom="1440" w:left="1800" w:header="851" w:footer="992" w:gutter="0"/>
          <w:pgNumType w:fmt="decimal" w:start="1"/>
          <w:cols w:space="425" w:num="1"/>
          <w:titlePg/>
          <w:docGrid w:type="lines" w:linePitch="312" w:charSpace="0"/>
        </w:sectPr>
      </w:pPr>
    </w:p>
    <w:p>
      <w:pPr>
        <w:widowControl/>
        <w:jc w:val="center"/>
        <w:rPr>
          <w:rFonts w:hint="eastAsia" w:ascii="Times New Roman" w:hAnsi="Times New Roman" w:eastAsia="黑体"/>
          <w:color w:val="auto"/>
          <w:sz w:val="48"/>
          <w:szCs w:val="48"/>
          <w:highlight w:val="none"/>
        </w:rPr>
      </w:pPr>
      <w:r>
        <w:rPr>
          <w:rFonts w:hint="eastAsia" w:ascii="Times New Roman" w:hAnsi="Times New Roman" w:eastAsia="黑体"/>
          <w:color w:val="auto"/>
          <w:sz w:val="48"/>
          <w:szCs w:val="48"/>
          <w:highlight w:val="none"/>
        </w:rPr>
        <w:t>目录</w:t>
      </w:r>
    </w:p>
    <w:p>
      <w:pPr>
        <w:pStyle w:val="12"/>
        <w:rPr>
          <w:rFonts w:hint="eastAsia" w:ascii="Times New Roman" w:hAnsi="Times New Roman" w:eastAsia="仿宋_GB2312" w:cs="仿宋_GB2312"/>
          <w:color w:val="auto"/>
          <w:sz w:val="32"/>
          <w:szCs w:val="32"/>
          <w:highlight w:val="none"/>
        </w:rPr>
      </w:pPr>
      <w:bookmarkStart w:id="126" w:name="_GoBack"/>
      <w:bookmarkEnd w:id="126"/>
      <w:r>
        <w:rPr>
          <w:rFonts w:hint="eastAsia" w:ascii="Times New Roman" w:hAnsi="Times New Roman" w:eastAsia="仿宋_GB2312" w:cs="仿宋_GB2312"/>
          <w:color w:val="auto"/>
          <w:sz w:val="32"/>
          <w:szCs w:val="32"/>
          <w:highlight w:val="none"/>
        </w:rPr>
        <w:t>公开时间：20</w:t>
      </w:r>
      <w:r>
        <w:rPr>
          <w:rFonts w:hint="eastAsia" w:ascii="Times New Roman" w:hAnsi="Times New Roman" w:eastAsia="仿宋_GB2312" w:cs="仿宋_GB2312"/>
          <w:color w:val="auto"/>
          <w:sz w:val="32"/>
          <w:szCs w:val="32"/>
          <w:highlight w:val="none"/>
          <w:lang w:val="en-US" w:eastAsia="zh-CN"/>
        </w:rPr>
        <w:t>25</w:t>
      </w:r>
      <w:r>
        <w:rPr>
          <w:rFonts w:hint="eastAsia" w:ascii="Times New Roman" w:hAnsi="Times New Roman" w:eastAsia="仿宋_GB2312" w:cs="仿宋_GB2312"/>
          <w:color w:val="auto"/>
          <w:sz w:val="32"/>
          <w:szCs w:val="32"/>
          <w:highlight w:val="none"/>
        </w:rPr>
        <w:t>年</w:t>
      </w:r>
      <w:r>
        <w:rPr>
          <w:rFonts w:hint="eastAsia" w:ascii="Times New Roman" w:hAnsi="Times New Roman" w:eastAsia="仿宋_GB2312" w:cs="仿宋_GB2312"/>
          <w:color w:val="auto"/>
          <w:sz w:val="32"/>
          <w:szCs w:val="32"/>
          <w:highlight w:val="none"/>
          <w:lang w:val="en-US" w:eastAsia="zh-CN"/>
        </w:rPr>
        <w:t xml:space="preserve"> 10</w:t>
      </w:r>
      <w:r>
        <w:rPr>
          <w:rFonts w:hint="eastAsia" w:ascii="Times New Roman" w:hAnsi="Times New Roman" w:eastAsia="仿宋_GB2312" w:cs="仿宋_GB2312"/>
          <w:color w:val="auto"/>
          <w:sz w:val="32"/>
          <w:szCs w:val="32"/>
          <w:highlight w:val="none"/>
        </w:rPr>
        <w:t>月</w:t>
      </w:r>
      <w:r>
        <w:rPr>
          <w:rFonts w:hint="eastAsia" w:ascii="Times New Roman" w:hAnsi="Times New Roman" w:eastAsia="仿宋_GB2312" w:cs="仿宋_GB2312"/>
          <w:color w:val="auto"/>
          <w:sz w:val="32"/>
          <w:szCs w:val="32"/>
          <w:highlight w:val="none"/>
          <w:lang w:val="en-US" w:eastAsia="zh-CN"/>
        </w:rPr>
        <w:t xml:space="preserve"> 28 </w:t>
      </w:r>
      <w:r>
        <w:rPr>
          <w:rFonts w:hint="eastAsia" w:ascii="Times New Roman" w:hAnsi="Times New Roman" w:eastAsia="仿宋_GB2312" w:cs="仿宋_GB2312"/>
          <w:color w:val="auto"/>
          <w:sz w:val="32"/>
          <w:szCs w:val="32"/>
          <w:highlight w:val="none"/>
        </w:rPr>
        <w:t>日</w:t>
      </w:r>
    </w:p>
    <w:sdt>
      <w:sdtPr>
        <w:rPr>
          <w:rFonts w:ascii="宋体" w:hAnsi="宋体" w:eastAsia="宋体" w:cs="Times New Roman"/>
          <w:kern w:val="2"/>
          <w:sz w:val="21"/>
          <w:szCs w:val="24"/>
          <w:lang w:val="en-US" w:eastAsia="zh-CN" w:bidi="ar-SA"/>
        </w:rPr>
        <w:id w:val="147454908"/>
        <w:docPartObj>
          <w:docPartGallery w:val="Table of Contents"/>
          <w:docPartUnique/>
        </w:docPartObj>
      </w:sdtPr>
      <w:sdtEndPr>
        <w:rPr>
          <w:rFonts w:ascii="Times New Roman" w:hAnsi="Times New Roman" w:eastAsia="宋体" w:cs="Times New Roman"/>
          <w:sz w:val="20"/>
          <w:szCs w:val="20"/>
        </w:rPr>
      </w:sdtEndPr>
      <w:sdtContent>
        <w:p>
          <w:pPr>
            <w:spacing w:before="0" w:beforeLines="0" w:after="0" w:afterLines="0" w:line="240" w:lineRule="auto"/>
            <w:ind w:left="0" w:leftChars="0" w:right="0" w:rightChars="0" w:firstLine="0" w:firstLineChars="0"/>
            <w:jc w:val="center"/>
          </w:pPr>
          <w:bookmarkStart w:id="6" w:name="_Toc20186_WPSOffice_Type2"/>
        </w:p>
        <w:p>
          <w:pPr>
            <w:pStyle w:val="36"/>
            <w:tabs>
              <w:tab w:val="right" w:leader="dot" w:pos="8306"/>
            </w:tabs>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sz w:val="28"/>
              <w:szCs w:val="28"/>
            </w:rPr>
            <w:instrText xml:space="preserve"> HYPERLINK \l _Toc2541_WPSOffice_Level1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kern w:val="2"/>
                <w:sz w:val="28"/>
                <w:szCs w:val="28"/>
                <w:lang w:val="en-US" w:eastAsia="zh-CN" w:bidi="ar-SA"/>
              </w:rPr>
              <w:id w:val="147454908"/>
              <w:placeholder>
                <w:docPart w:val="{7efaa880-1b3f-44f8-918f-1b1d95667a7f}"/>
              </w:placeholder>
            </w:sdtPr>
            <w:sdtEndPr>
              <w:rPr>
                <w:rFonts w:hint="eastAsia" w:ascii="方正小标宋_GBK" w:hAnsi="方正小标宋_GBK" w:eastAsia="方正小标宋_GBK" w:cs="方正小标宋_GBK"/>
                <w:b/>
                <w:bCs/>
                <w:kern w:val="2"/>
                <w:sz w:val="28"/>
                <w:szCs w:val="28"/>
                <w:lang w:val="en-US" w:eastAsia="zh-CN" w:bidi="ar-SA"/>
              </w:rPr>
            </w:sdtEndPr>
            <w:sdtContent>
              <w:r>
                <w:rPr>
                  <w:rFonts w:hint="eastAsia" w:ascii="方正小标宋_GBK" w:hAnsi="方正小标宋_GBK" w:eastAsia="方正小标宋_GBK" w:cs="方正小标宋_GBK"/>
                  <w:b/>
                  <w:bCs/>
                  <w:sz w:val="28"/>
                  <w:szCs w:val="28"/>
                </w:rPr>
                <w:t>第一部分  单位概况</w:t>
              </w:r>
            </w:sdtContent>
          </w:sdt>
          <w:r>
            <w:rPr>
              <w:rFonts w:hint="eastAsia" w:ascii="方正小标宋_GBK" w:hAnsi="方正小标宋_GBK" w:eastAsia="方正小标宋_GBK" w:cs="方正小标宋_GBK"/>
              <w:b/>
              <w:bCs/>
              <w:sz w:val="28"/>
              <w:szCs w:val="28"/>
            </w:rPr>
            <w:tab/>
          </w:r>
          <w:bookmarkStart w:id="7" w:name="_Toc2541_WPSOffice_Level1Page"/>
          <w:r>
            <w:rPr>
              <w:rFonts w:hint="eastAsia" w:ascii="方正小标宋_GBK" w:hAnsi="方正小标宋_GBK" w:eastAsia="方正小标宋_GBK" w:cs="方正小标宋_GBK"/>
              <w:b/>
              <w:bCs/>
              <w:sz w:val="28"/>
              <w:szCs w:val="28"/>
            </w:rPr>
            <w:t>2</w:t>
          </w:r>
          <w:bookmarkEnd w:id="7"/>
          <w:r>
            <w:rPr>
              <w:rFonts w:hint="eastAsia" w:ascii="方正小标宋_GBK" w:hAnsi="方正小标宋_GBK" w:eastAsia="方正小标宋_GBK" w:cs="方正小标宋_GBK"/>
              <w:b/>
              <w:bCs/>
              <w:sz w:val="28"/>
              <w:szCs w:val="28"/>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_Toc20186_WPSOffice_Level2 </w:instrText>
          </w:r>
          <w:r>
            <w:rPr>
              <w:rFonts w:hint="eastAsia" w:ascii="黑体" w:hAnsi="黑体" w:eastAsia="黑体" w:cs="黑体"/>
              <w:sz w:val="21"/>
              <w:szCs w:val="21"/>
            </w:rPr>
            <w:fldChar w:fldCharType="separate"/>
          </w:r>
          <w:sdt>
            <w:sdtPr>
              <w:rPr>
                <w:rFonts w:hint="eastAsia" w:ascii="黑体" w:hAnsi="黑体" w:eastAsia="黑体" w:cs="黑体"/>
                <w:kern w:val="2"/>
                <w:sz w:val="21"/>
                <w:szCs w:val="21"/>
                <w:lang w:val="en-US" w:eastAsia="zh-CN" w:bidi="ar-SA"/>
              </w:rPr>
              <w:id w:val="147454908"/>
              <w:placeholder>
                <w:docPart w:val="{a293b931-38db-465a-8b67-31a757cb08c6}"/>
              </w:placeholder>
            </w:sdtPr>
            <w:sdtEndPr>
              <w:rPr>
                <w:rFonts w:hint="eastAsia" w:ascii="黑体" w:hAnsi="黑体" w:eastAsia="黑体" w:cs="黑体"/>
                <w:kern w:val="2"/>
                <w:sz w:val="21"/>
                <w:szCs w:val="21"/>
                <w:lang w:val="en-US" w:eastAsia="zh-CN" w:bidi="ar-SA"/>
              </w:rPr>
            </w:sdtEndPr>
            <w:sdtContent>
              <w:r>
                <w:rPr>
                  <w:rFonts w:hint="eastAsia" w:ascii="黑体" w:hAnsi="黑体" w:eastAsia="黑体" w:cs="黑体"/>
                  <w:sz w:val="21"/>
                  <w:szCs w:val="21"/>
                </w:rPr>
                <w:t>一、 主要职责</w:t>
              </w:r>
            </w:sdtContent>
          </w:sdt>
          <w:r>
            <w:rPr>
              <w:rFonts w:hint="eastAsia" w:ascii="黑体" w:hAnsi="黑体" w:eastAsia="黑体" w:cs="黑体"/>
              <w:sz w:val="21"/>
              <w:szCs w:val="21"/>
            </w:rPr>
            <w:tab/>
          </w:r>
          <w:bookmarkStart w:id="8" w:name="_Toc20186_WPSOffice_Level2Page"/>
          <w:r>
            <w:rPr>
              <w:rFonts w:hint="eastAsia" w:ascii="黑体" w:hAnsi="黑体" w:eastAsia="黑体" w:cs="黑体"/>
              <w:sz w:val="21"/>
              <w:szCs w:val="21"/>
            </w:rPr>
            <w:t>2</w:t>
          </w:r>
          <w:bookmarkEnd w:id="8"/>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_Toc13986_WPSOffice_Level2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36aa84e1-f64b-4260-b333-aafd70a7b396}"/>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 机构设置</w:t>
              </w:r>
            </w:sdtContent>
          </w:sdt>
          <w:r>
            <w:rPr>
              <w:rFonts w:hint="eastAsia" w:ascii="黑体" w:hAnsi="黑体" w:eastAsia="黑体" w:cs="黑体"/>
              <w:sz w:val="21"/>
              <w:szCs w:val="21"/>
            </w:rPr>
            <w:tab/>
          </w:r>
          <w:bookmarkStart w:id="9" w:name="_Toc13986_WPSOffice_Level2Page"/>
          <w:r>
            <w:rPr>
              <w:rFonts w:hint="eastAsia" w:ascii="黑体" w:hAnsi="黑体" w:eastAsia="黑体" w:cs="黑体"/>
              <w:sz w:val="21"/>
              <w:szCs w:val="21"/>
            </w:rPr>
            <w:t>2</w:t>
          </w:r>
          <w:bookmarkEnd w:id="9"/>
          <w:r>
            <w:rPr>
              <w:rFonts w:hint="eastAsia" w:ascii="黑体" w:hAnsi="黑体" w:eastAsia="黑体" w:cs="黑体"/>
              <w:sz w:val="21"/>
              <w:szCs w:val="21"/>
            </w:rPr>
            <w:fldChar w:fldCharType="end"/>
          </w:r>
        </w:p>
        <w:p>
          <w:pPr>
            <w:pStyle w:val="36"/>
            <w:tabs>
              <w:tab w:val="right" w:leader="dot" w:pos="8306"/>
            </w:tabs>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_Toc20186_WPSOffice_Level1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54908"/>
              <w:placeholder>
                <w:docPart w:val="{42da7cbe-ae9b-4ead-b7ca-43ae18c6e0df}"/>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第二部分  2024年度部门决算情况说明</w:t>
              </w:r>
            </w:sdtContent>
          </w:sdt>
          <w:r>
            <w:rPr>
              <w:rFonts w:hint="eastAsia" w:ascii="方正小标宋_GBK" w:hAnsi="方正小标宋_GBK" w:eastAsia="方正小标宋_GBK" w:cs="方正小标宋_GBK"/>
              <w:b/>
              <w:bCs/>
              <w:sz w:val="28"/>
              <w:szCs w:val="28"/>
            </w:rPr>
            <w:tab/>
          </w:r>
          <w:bookmarkStart w:id="10" w:name="_Toc20186_WPSOffice_Level1Page"/>
          <w:r>
            <w:rPr>
              <w:rFonts w:hint="eastAsia" w:ascii="方正小标宋_GBK" w:hAnsi="方正小标宋_GBK" w:eastAsia="方正小标宋_GBK" w:cs="方正小标宋_GBK"/>
              <w:b/>
              <w:bCs/>
              <w:sz w:val="28"/>
              <w:szCs w:val="28"/>
            </w:rPr>
            <w:t>3</w:t>
          </w:r>
          <w:bookmarkEnd w:id="10"/>
          <w:r>
            <w:rPr>
              <w:rFonts w:hint="eastAsia" w:ascii="方正小标宋_GBK" w:hAnsi="方正小标宋_GBK" w:eastAsia="方正小标宋_GBK" w:cs="方正小标宋_GBK"/>
              <w:b/>
              <w:bCs/>
              <w:sz w:val="28"/>
              <w:szCs w:val="28"/>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_Toc4751_WPSOffice_Level2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b0d9969d-04a2-4eb1-8021-7814aff5e24c}"/>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一、收入支出决算总体情况说明</w:t>
              </w:r>
            </w:sdtContent>
          </w:sdt>
          <w:r>
            <w:rPr>
              <w:rFonts w:hint="eastAsia" w:ascii="黑体" w:hAnsi="黑体" w:eastAsia="黑体" w:cs="黑体"/>
              <w:sz w:val="21"/>
              <w:szCs w:val="21"/>
            </w:rPr>
            <w:tab/>
          </w:r>
          <w:bookmarkStart w:id="11" w:name="_Toc4751_WPSOffice_Level2Page"/>
          <w:r>
            <w:rPr>
              <w:rFonts w:hint="eastAsia" w:ascii="黑体" w:hAnsi="黑体" w:eastAsia="黑体" w:cs="黑体"/>
              <w:sz w:val="21"/>
              <w:szCs w:val="21"/>
            </w:rPr>
            <w:t>3</w:t>
          </w:r>
          <w:bookmarkEnd w:id="11"/>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_Toc11052_WPSOffice_Level2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adf9aa60-dfa4-44d4-a37d-9e5048a96537}"/>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二、收入决算情况说明</w:t>
              </w:r>
            </w:sdtContent>
          </w:sdt>
          <w:r>
            <w:rPr>
              <w:rFonts w:hint="eastAsia" w:ascii="黑体" w:hAnsi="黑体" w:eastAsia="黑体" w:cs="黑体"/>
              <w:sz w:val="21"/>
              <w:szCs w:val="21"/>
            </w:rPr>
            <w:tab/>
          </w:r>
          <w:bookmarkStart w:id="12" w:name="_Toc11052_WPSOffice_Level2Page"/>
          <w:r>
            <w:rPr>
              <w:rFonts w:hint="eastAsia" w:ascii="黑体" w:hAnsi="黑体" w:eastAsia="黑体" w:cs="黑体"/>
              <w:sz w:val="21"/>
              <w:szCs w:val="21"/>
            </w:rPr>
            <w:t>3</w:t>
          </w:r>
          <w:bookmarkEnd w:id="12"/>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_Toc27031_WPSOffice_Level2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b1c67965-ac79-4e2a-9348-29d9aafeb30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三、支出决算情况说明</w:t>
              </w:r>
            </w:sdtContent>
          </w:sdt>
          <w:r>
            <w:rPr>
              <w:rFonts w:hint="eastAsia" w:ascii="黑体" w:hAnsi="黑体" w:eastAsia="黑体" w:cs="黑体"/>
              <w:sz w:val="21"/>
              <w:szCs w:val="21"/>
            </w:rPr>
            <w:tab/>
          </w:r>
          <w:bookmarkStart w:id="13" w:name="_Toc27031_WPSOffice_Level2Page"/>
          <w:r>
            <w:rPr>
              <w:rFonts w:hint="eastAsia" w:ascii="黑体" w:hAnsi="黑体" w:eastAsia="黑体" w:cs="黑体"/>
              <w:sz w:val="21"/>
              <w:szCs w:val="21"/>
            </w:rPr>
            <w:t>4</w:t>
          </w:r>
          <w:bookmarkEnd w:id="13"/>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_Toc11583_WPSOffice_Level2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8bbe696d-b519-4e20-941f-a9630e2f25c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四、财政拨款收入支出决算总体情况说明</w:t>
              </w:r>
            </w:sdtContent>
          </w:sdt>
          <w:r>
            <w:rPr>
              <w:rFonts w:hint="eastAsia" w:ascii="黑体" w:hAnsi="黑体" w:eastAsia="黑体" w:cs="黑体"/>
              <w:sz w:val="21"/>
              <w:szCs w:val="21"/>
            </w:rPr>
            <w:tab/>
          </w:r>
          <w:bookmarkStart w:id="14" w:name="_Toc11583_WPSOffice_Level2Page"/>
          <w:r>
            <w:rPr>
              <w:rFonts w:hint="eastAsia" w:ascii="黑体" w:hAnsi="黑体" w:eastAsia="黑体" w:cs="黑体"/>
              <w:sz w:val="21"/>
              <w:szCs w:val="21"/>
            </w:rPr>
            <w:t>4</w:t>
          </w:r>
          <w:bookmarkEnd w:id="14"/>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_Toc24188_WPSOffice_Level2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e17ce79a-0880-47af-af34-701f0fa7fc7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五、一般公共预算财政拨款支出决算情况说明</w:t>
              </w:r>
            </w:sdtContent>
          </w:sdt>
          <w:r>
            <w:rPr>
              <w:rFonts w:hint="eastAsia" w:ascii="黑体" w:hAnsi="黑体" w:eastAsia="黑体" w:cs="黑体"/>
              <w:sz w:val="21"/>
              <w:szCs w:val="21"/>
            </w:rPr>
            <w:tab/>
          </w:r>
          <w:bookmarkStart w:id="15" w:name="_Toc24188_WPSOffice_Level2Page"/>
          <w:r>
            <w:rPr>
              <w:rFonts w:hint="eastAsia" w:ascii="黑体" w:hAnsi="黑体" w:eastAsia="黑体" w:cs="黑体"/>
              <w:sz w:val="21"/>
              <w:szCs w:val="21"/>
            </w:rPr>
            <w:t>4</w:t>
          </w:r>
          <w:bookmarkEnd w:id="1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_Toc11098_WPSOffice_Level2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fb36cc1d-e63d-45a9-8f26-8b01dff822c6}"/>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六、一般公共预算财政拨款基本支出决算情况说明</w:t>
              </w:r>
            </w:sdtContent>
          </w:sdt>
          <w:r>
            <w:rPr>
              <w:rFonts w:hint="eastAsia" w:ascii="黑体" w:hAnsi="黑体" w:eastAsia="黑体" w:cs="黑体"/>
              <w:sz w:val="21"/>
              <w:szCs w:val="21"/>
            </w:rPr>
            <w:tab/>
          </w:r>
          <w:bookmarkStart w:id="16" w:name="_Toc11098_WPSOffice_Level2Page"/>
          <w:r>
            <w:rPr>
              <w:rFonts w:hint="eastAsia" w:ascii="黑体" w:hAnsi="黑体" w:eastAsia="黑体" w:cs="黑体"/>
              <w:sz w:val="21"/>
              <w:szCs w:val="21"/>
            </w:rPr>
            <w:t>7</w:t>
          </w:r>
          <w:bookmarkEnd w:id="1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_Toc25455_WPSOffice_Level2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1bcde061-9a89-44a1-b201-9642ac0a912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七、财政拨款“三公”经费支出决算情况说明</w:t>
              </w:r>
            </w:sdtContent>
          </w:sdt>
          <w:r>
            <w:rPr>
              <w:rFonts w:hint="eastAsia" w:ascii="黑体" w:hAnsi="黑体" w:eastAsia="黑体" w:cs="黑体"/>
              <w:sz w:val="21"/>
              <w:szCs w:val="21"/>
            </w:rPr>
            <w:tab/>
          </w:r>
          <w:bookmarkStart w:id="17" w:name="_Toc25455_WPSOffice_Level2Page"/>
          <w:r>
            <w:rPr>
              <w:rFonts w:hint="eastAsia" w:ascii="黑体" w:hAnsi="黑体" w:eastAsia="黑体" w:cs="黑体"/>
              <w:sz w:val="21"/>
              <w:szCs w:val="21"/>
            </w:rPr>
            <w:t>8</w:t>
          </w:r>
          <w:bookmarkEnd w:id="1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_Toc24016_WPSOffice_Level2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322d1363-e9bf-46da-afe8-a7d814a0a9e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八、政府性基金预算支出决算情况说明</w:t>
              </w:r>
            </w:sdtContent>
          </w:sdt>
          <w:r>
            <w:rPr>
              <w:rFonts w:hint="eastAsia" w:ascii="黑体" w:hAnsi="黑体" w:eastAsia="黑体" w:cs="黑体"/>
              <w:sz w:val="21"/>
              <w:szCs w:val="21"/>
            </w:rPr>
            <w:tab/>
          </w:r>
          <w:bookmarkStart w:id="18" w:name="_Toc24016_WPSOffice_Level2Page"/>
          <w:r>
            <w:rPr>
              <w:rFonts w:hint="eastAsia" w:ascii="黑体" w:hAnsi="黑体" w:eastAsia="黑体" w:cs="黑体"/>
              <w:sz w:val="21"/>
              <w:szCs w:val="21"/>
            </w:rPr>
            <w:t>9</w:t>
          </w:r>
          <w:bookmarkEnd w:id="1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_Toc19134_WPSOffice_Level2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f699a926-5ca2-4a4d-a5dd-eef39873b2c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九、国有资本经营预算支出决算情况说明</w:t>
              </w:r>
            </w:sdtContent>
          </w:sdt>
          <w:r>
            <w:rPr>
              <w:rFonts w:hint="eastAsia" w:ascii="黑体" w:hAnsi="黑体" w:eastAsia="黑体" w:cs="黑体"/>
              <w:sz w:val="21"/>
              <w:szCs w:val="21"/>
            </w:rPr>
            <w:tab/>
          </w:r>
          <w:bookmarkStart w:id="19" w:name="_Toc19134_WPSOffice_Level2Page"/>
          <w:r>
            <w:rPr>
              <w:rFonts w:hint="eastAsia" w:ascii="黑体" w:hAnsi="黑体" w:eastAsia="黑体" w:cs="黑体"/>
              <w:sz w:val="21"/>
              <w:szCs w:val="21"/>
            </w:rPr>
            <w:t>9</w:t>
          </w:r>
          <w:bookmarkEnd w:id="19"/>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_Toc25589_WPSOffice_Level2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84621f0e-061d-4aaf-89fe-51c2553aabe2}"/>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十、其他重要事项的情况说明</w:t>
              </w:r>
            </w:sdtContent>
          </w:sdt>
          <w:r>
            <w:rPr>
              <w:rFonts w:hint="eastAsia" w:ascii="黑体" w:hAnsi="黑体" w:eastAsia="黑体" w:cs="黑体"/>
              <w:sz w:val="21"/>
              <w:szCs w:val="21"/>
            </w:rPr>
            <w:tab/>
          </w:r>
          <w:bookmarkStart w:id="20" w:name="_Toc25589_WPSOffice_Level2Page"/>
          <w:r>
            <w:rPr>
              <w:rFonts w:hint="eastAsia" w:ascii="黑体" w:hAnsi="黑体" w:eastAsia="黑体" w:cs="黑体"/>
              <w:sz w:val="21"/>
              <w:szCs w:val="21"/>
            </w:rPr>
            <w:t>9</w:t>
          </w:r>
          <w:bookmarkEnd w:id="20"/>
          <w:r>
            <w:rPr>
              <w:rFonts w:hint="eastAsia" w:ascii="黑体" w:hAnsi="黑体" w:eastAsia="黑体" w:cs="黑体"/>
              <w:sz w:val="21"/>
              <w:szCs w:val="21"/>
            </w:rPr>
            <w:fldChar w:fldCharType="end"/>
          </w:r>
        </w:p>
        <w:p>
          <w:pPr>
            <w:pStyle w:val="36"/>
            <w:tabs>
              <w:tab w:val="right" w:leader="dot" w:pos="8306"/>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_Toc13986_WPSOffice_Level1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54908"/>
              <w:placeholder>
                <w:docPart w:val="{36a8df0f-1577-434b-83e7-314f38fda77b}"/>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第三部分  名词解释</w:t>
              </w:r>
            </w:sdtContent>
          </w:sdt>
          <w:r>
            <w:rPr>
              <w:rFonts w:hint="eastAsia" w:ascii="方正小标宋_GBK" w:hAnsi="方正小标宋_GBK" w:eastAsia="方正小标宋_GBK" w:cs="方正小标宋_GBK"/>
              <w:b/>
              <w:bCs/>
              <w:sz w:val="28"/>
              <w:szCs w:val="28"/>
            </w:rPr>
            <w:tab/>
          </w:r>
          <w:bookmarkStart w:id="21" w:name="_Toc13986_WPSOffice_Level1Page"/>
          <w:r>
            <w:rPr>
              <w:rFonts w:hint="eastAsia" w:ascii="方正小标宋_GBK" w:hAnsi="方正小标宋_GBK" w:eastAsia="方正小标宋_GBK" w:cs="方正小标宋_GBK"/>
              <w:b/>
              <w:bCs/>
              <w:sz w:val="28"/>
              <w:szCs w:val="28"/>
            </w:rPr>
            <w:t>11</w:t>
          </w:r>
          <w:bookmarkEnd w:id="21"/>
          <w:r>
            <w:rPr>
              <w:rFonts w:hint="eastAsia" w:ascii="方正小标宋_GBK" w:hAnsi="方正小标宋_GBK" w:eastAsia="方正小标宋_GBK" w:cs="方正小标宋_GBK"/>
              <w:b/>
              <w:bCs/>
              <w:sz w:val="28"/>
              <w:szCs w:val="28"/>
            </w:rPr>
            <w:fldChar w:fldCharType="end"/>
          </w:r>
        </w:p>
        <w:p>
          <w:pPr>
            <w:pStyle w:val="36"/>
            <w:tabs>
              <w:tab w:val="right" w:leader="dot" w:pos="8306"/>
            </w:tabs>
            <w:rPr>
              <w:rFonts w:hint="eastAsia" w:ascii="方正小标宋_GBK" w:hAnsi="方正小标宋_GBK" w:eastAsia="方正小标宋_GBK" w:cs="方正小标宋_GBK"/>
              <w:b/>
              <w:bCs/>
              <w:sz w:val="28"/>
              <w:szCs w:val="28"/>
            </w:rPr>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_Toc4751_WPSOffice_Level1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54908"/>
              <w:placeholder>
                <w:docPart w:val="{800ded00-1cc5-4b76-8694-950a018d708c}"/>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第四部分 附件</w:t>
              </w:r>
            </w:sdtContent>
          </w:sdt>
          <w:r>
            <w:rPr>
              <w:rFonts w:hint="eastAsia" w:ascii="方正小标宋_GBK" w:hAnsi="方正小标宋_GBK" w:eastAsia="方正小标宋_GBK" w:cs="方正小标宋_GBK"/>
              <w:b/>
              <w:bCs/>
              <w:sz w:val="28"/>
              <w:szCs w:val="28"/>
            </w:rPr>
            <w:tab/>
          </w:r>
          <w:bookmarkStart w:id="22" w:name="_Toc4751_WPSOffice_Level1Page"/>
          <w:r>
            <w:rPr>
              <w:rFonts w:hint="eastAsia" w:ascii="方正小标宋_GBK" w:hAnsi="方正小标宋_GBK" w:eastAsia="方正小标宋_GBK" w:cs="方正小标宋_GBK"/>
              <w:b/>
              <w:bCs/>
              <w:sz w:val="28"/>
              <w:szCs w:val="28"/>
            </w:rPr>
            <w:t>15</w:t>
          </w:r>
          <w:bookmarkEnd w:id="22"/>
          <w:r>
            <w:rPr>
              <w:rFonts w:hint="eastAsia" w:ascii="方正小标宋_GBK" w:hAnsi="方正小标宋_GBK" w:eastAsia="方正小标宋_GBK" w:cs="方正小标宋_GBK"/>
              <w:b/>
              <w:bCs/>
              <w:sz w:val="28"/>
              <w:szCs w:val="28"/>
            </w:rPr>
            <w:fldChar w:fldCharType="end"/>
          </w:r>
        </w:p>
        <w:p>
          <w:pPr>
            <w:pStyle w:val="36"/>
            <w:tabs>
              <w:tab w:val="right" w:leader="dot" w:pos="8306"/>
            </w:tabs>
          </w:pPr>
          <w:r>
            <w:rPr>
              <w:rFonts w:hint="eastAsia" w:ascii="方正小标宋_GBK" w:hAnsi="方正小标宋_GBK" w:eastAsia="方正小标宋_GBK" w:cs="方正小标宋_GBK"/>
              <w:b/>
              <w:bCs/>
              <w:sz w:val="28"/>
              <w:szCs w:val="28"/>
            </w:rPr>
            <w:fldChar w:fldCharType="begin"/>
          </w:r>
          <w:r>
            <w:rPr>
              <w:rFonts w:hint="eastAsia" w:ascii="方正小标宋_GBK" w:hAnsi="方正小标宋_GBK" w:eastAsia="方正小标宋_GBK" w:cs="方正小标宋_GBK"/>
              <w:b/>
              <w:bCs/>
              <w:sz w:val="28"/>
              <w:szCs w:val="28"/>
            </w:rPr>
            <w:instrText xml:space="preserve"> HYPERLINK \l _Toc11052_WPSOffice_Level1 </w:instrText>
          </w:r>
          <w:r>
            <w:rPr>
              <w:rFonts w:hint="eastAsia" w:ascii="方正小标宋_GBK" w:hAnsi="方正小标宋_GBK" w:eastAsia="方正小标宋_GBK" w:cs="方正小标宋_GBK"/>
              <w:b/>
              <w:bCs/>
              <w:sz w:val="28"/>
              <w:szCs w:val="28"/>
            </w:rPr>
            <w:fldChar w:fldCharType="separate"/>
          </w:r>
          <w:sdt>
            <w:sdtPr>
              <w:rPr>
                <w:rFonts w:hint="eastAsia" w:ascii="方正小标宋_GBK" w:hAnsi="方正小标宋_GBK" w:eastAsia="方正小标宋_GBK" w:cs="方正小标宋_GBK"/>
                <w:b/>
                <w:bCs/>
                <w:sz w:val="28"/>
                <w:szCs w:val="28"/>
                <w:lang w:val="en-US" w:eastAsia="zh-CN"/>
              </w:rPr>
              <w:id w:val="147454908"/>
              <w:placeholder>
                <w:docPart w:val="{b8155677-aa85-4052-b98e-70ba00a0c25b}"/>
              </w:placeholder>
            </w:sdtPr>
            <w:sdtEndPr>
              <w:rPr>
                <w:rFonts w:hint="eastAsia" w:ascii="方正小标宋_GBK" w:hAnsi="方正小标宋_GBK" w:eastAsia="方正小标宋_GBK" w:cs="方正小标宋_GBK"/>
                <w:b/>
                <w:bCs/>
                <w:sz w:val="28"/>
                <w:szCs w:val="28"/>
                <w:lang w:val="en-US" w:eastAsia="zh-CN"/>
              </w:rPr>
            </w:sdtEndPr>
            <w:sdtContent>
              <w:r>
                <w:rPr>
                  <w:rFonts w:hint="eastAsia" w:ascii="方正小标宋_GBK" w:hAnsi="方正小标宋_GBK" w:eastAsia="方正小标宋_GBK" w:cs="方正小标宋_GBK"/>
                  <w:b/>
                  <w:bCs/>
                  <w:sz w:val="28"/>
                  <w:szCs w:val="28"/>
                </w:rPr>
                <w:t>第五部分 附表</w:t>
              </w:r>
            </w:sdtContent>
          </w:sdt>
          <w:r>
            <w:rPr>
              <w:rFonts w:hint="eastAsia" w:ascii="方正小标宋_GBK" w:hAnsi="方正小标宋_GBK" w:eastAsia="方正小标宋_GBK" w:cs="方正小标宋_GBK"/>
              <w:b/>
              <w:bCs/>
              <w:sz w:val="28"/>
              <w:szCs w:val="28"/>
            </w:rPr>
            <w:tab/>
          </w:r>
          <w:bookmarkStart w:id="23" w:name="_Toc11052_WPSOffice_Level1Page"/>
          <w:r>
            <w:rPr>
              <w:rFonts w:hint="eastAsia" w:ascii="方正小标宋_GBK" w:hAnsi="方正小标宋_GBK" w:eastAsia="方正小标宋_GBK" w:cs="方正小标宋_GBK"/>
              <w:b/>
              <w:bCs/>
              <w:sz w:val="28"/>
              <w:szCs w:val="28"/>
            </w:rPr>
            <w:t>16</w:t>
          </w:r>
          <w:bookmarkEnd w:id="23"/>
          <w:r>
            <w:rPr>
              <w:rFonts w:hint="eastAsia" w:ascii="方正小标宋_GBK" w:hAnsi="方正小标宋_GBK" w:eastAsia="方正小标宋_GBK" w:cs="方正小标宋_GBK"/>
              <w:b/>
              <w:bCs/>
              <w:sz w:val="28"/>
              <w:szCs w:val="28"/>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_Toc23483_WPSOffice_Level2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b8e8adb4-b8ee-40ff-a9e9-aa558553fb98}"/>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一、收入支出决算总表</w:t>
              </w:r>
            </w:sdtContent>
          </w:sdt>
          <w:r>
            <w:rPr>
              <w:rFonts w:hint="eastAsia" w:ascii="黑体" w:hAnsi="黑体" w:eastAsia="黑体" w:cs="黑体"/>
              <w:sz w:val="21"/>
              <w:szCs w:val="21"/>
            </w:rPr>
            <w:tab/>
          </w:r>
          <w:bookmarkStart w:id="24" w:name="_Toc23483_WPSOffice_Level2Page"/>
          <w:r>
            <w:rPr>
              <w:rFonts w:hint="eastAsia" w:ascii="黑体" w:hAnsi="黑体" w:eastAsia="黑体" w:cs="黑体"/>
              <w:sz w:val="21"/>
              <w:szCs w:val="21"/>
            </w:rPr>
            <w:t>16</w:t>
          </w:r>
          <w:bookmarkEnd w:id="24"/>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_Toc16348_WPSOffice_Level2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ccce9f2d-4653-4860-9a3c-c137baf8cea1}"/>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二、收入决算表</w:t>
              </w:r>
            </w:sdtContent>
          </w:sdt>
          <w:r>
            <w:rPr>
              <w:rFonts w:hint="eastAsia" w:ascii="黑体" w:hAnsi="黑体" w:eastAsia="黑体" w:cs="黑体"/>
              <w:sz w:val="21"/>
              <w:szCs w:val="21"/>
            </w:rPr>
            <w:tab/>
          </w:r>
          <w:bookmarkStart w:id="25" w:name="_Toc16348_WPSOffice_Level2Page"/>
          <w:r>
            <w:rPr>
              <w:rFonts w:hint="eastAsia" w:ascii="黑体" w:hAnsi="黑体" w:eastAsia="黑体" w:cs="黑体"/>
              <w:sz w:val="21"/>
              <w:szCs w:val="21"/>
            </w:rPr>
            <w:t>16</w:t>
          </w:r>
          <w:bookmarkEnd w:id="25"/>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_Toc12303_WPSOffice_Level2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f0c9b9ec-ad72-4245-bcca-733a4cf0861f}"/>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三、支出决算表</w:t>
              </w:r>
            </w:sdtContent>
          </w:sdt>
          <w:r>
            <w:rPr>
              <w:rFonts w:hint="eastAsia" w:ascii="黑体" w:hAnsi="黑体" w:eastAsia="黑体" w:cs="黑体"/>
              <w:sz w:val="21"/>
              <w:szCs w:val="21"/>
            </w:rPr>
            <w:tab/>
          </w:r>
          <w:bookmarkStart w:id="26" w:name="_Toc12303_WPSOffice_Level2Page"/>
          <w:r>
            <w:rPr>
              <w:rFonts w:hint="eastAsia" w:ascii="黑体" w:hAnsi="黑体" w:eastAsia="黑体" w:cs="黑体"/>
              <w:sz w:val="21"/>
              <w:szCs w:val="21"/>
            </w:rPr>
            <w:t>16</w:t>
          </w:r>
          <w:bookmarkEnd w:id="26"/>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_Toc19680_WPSOffice_Level2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965ac837-c370-4fea-8c1a-599484af9005}"/>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四、财政拨款收入支出决算总表</w:t>
              </w:r>
            </w:sdtContent>
          </w:sdt>
          <w:r>
            <w:rPr>
              <w:rFonts w:hint="eastAsia" w:ascii="黑体" w:hAnsi="黑体" w:eastAsia="黑体" w:cs="黑体"/>
              <w:sz w:val="21"/>
              <w:szCs w:val="21"/>
            </w:rPr>
            <w:tab/>
          </w:r>
          <w:bookmarkStart w:id="27" w:name="_Toc19680_WPSOffice_Level2Page"/>
          <w:r>
            <w:rPr>
              <w:rFonts w:hint="eastAsia" w:ascii="黑体" w:hAnsi="黑体" w:eastAsia="黑体" w:cs="黑体"/>
              <w:sz w:val="21"/>
              <w:szCs w:val="21"/>
            </w:rPr>
            <w:t>16</w:t>
          </w:r>
          <w:bookmarkEnd w:id="27"/>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_Toc9373_WPSOffice_Level2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0dd0d3c2-8f9e-45e0-9ecf-b662af2fcf33}"/>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五、财政拨款支出决算明细表</w:t>
              </w:r>
            </w:sdtContent>
          </w:sdt>
          <w:r>
            <w:rPr>
              <w:rFonts w:hint="eastAsia" w:ascii="黑体" w:hAnsi="黑体" w:eastAsia="黑体" w:cs="黑体"/>
              <w:sz w:val="21"/>
              <w:szCs w:val="21"/>
            </w:rPr>
            <w:tab/>
          </w:r>
          <w:bookmarkStart w:id="28" w:name="_Toc9373_WPSOffice_Level2Page"/>
          <w:r>
            <w:rPr>
              <w:rFonts w:hint="eastAsia" w:ascii="黑体" w:hAnsi="黑体" w:eastAsia="黑体" w:cs="黑体"/>
              <w:sz w:val="21"/>
              <w:szCs w:val="21"/>
            </w:rPr>
            <w:t>16</w:t>
          </w:r>
          <w:bookmarkEnd w:id="28"/>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_Toc28553_WPSOffice_Level2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b2720775-0eb5-4a53-be19-969bcc836c1f}"/>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六、一般公共预算财政拨款支出决算表</w:t>
              </w:r>
            </w:sdtContent>
          </w:sdt>
          <w:r>
            <w:rPr>
              <w:rFonts w:hint="eastAsia" w:ascii="黑体" w:hAnsi="黑体" w:eastAsia="黑体" w:cs="黑体"/>
              <w:sz w:val="21"/>
              <w:szCs w:val="21"/>
            </w:rPr>
            <w:tab/>
          </w:r>
          <w:bookmarkStart w:id="29" w:name="_Toc28553_WPSOffice_Level2Page"/>
          <w:r>
            <w:rPr>
              <w:rFonts w:hint="eastAsia" w:ascii="黑体" w:hAnsi="黑体" w:eastAsia="黑体" w:cs="黑体"/>
              <w:sz w:val="21"/>
              <w:szCs w:val="21"/>
            </w:rPr>
            <w:t>16</w:t>
          </w:r>
          <w:bookmarkEnd w:id="29"/>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_Toc16974_WPSOffice_Level2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b5a8563a-f3fc-4806-8ae4-a620f3f04aaa}"/>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七、一般公共预算财政拨款支出决算明细表</w:t>
              </w:r>
            </w:sdtContent>
          </w:sdt>
          <w:r>
            <w:rPr>
              <w:rFonts w:hint="eastAsia" w:ascii="黑体" w:hAnsi="黑体" w:eastAsia="黑体" w:cs="黑体"/>
              <w:sz w:val="21"/>
              <w:szCs w:val="21"/>
            </w:rPr>
            <w:tab/>
          </w:r>
          <w:bookmarkStart w:id="30" w:name="_Toc16974_WPSOffice_Level2Page"/>
          <w:r>
            <w:rPr>
              <w:rFonts w:hint="eastAsia" w:ascii="黑体" w:hAnsi="黑体" w:eastAsia="黑体" w:cs="黑体"/>
              <w:sz w:val="21"/>
              <w:szCs w:val="21"/>
            </w:rPr>
            <w:t>16</w:t>
          </w:r>
          <w:bookmarkEnd w:id="30"/>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_Toc29073_WPSOffice_Level2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4bfce03e-80c4-40e5-90dc-a86ab8455836}"/>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八、一般公共预算财政拨款基本支出决算表</w:t>
              </w:r>
            </w:sdtContent>
          </w:sdt>
          <w:r>
            <w:rPr>
              <w:rFonts w:hint="eastAsia" w:ascii="黑体" w:hAnsi="黑体" w:eastAsia="黑体" w:cs="黑体"/>
              <w:sz w:val="21"/>
              <w:szCs w:val="21"/>
            </w:rPr>
            <w:tab/>
          </w:r>
          <w:bookmarkStart w:id="31" w:name="_Toc29073_WPSOffice_Level2Page"/>
          <w:r>
            <w:rPr>
              <w:rFonts w:hint="eastAsia" w:ascii="黑体" w:hAnsi="黑体" w:eastAsia="黑体" w:cs="黑体"/>
              <w:sz w:val="21"/>
              <w:szCs w:val="21"/>
            </w:rPr>
            <w:t>16</w:t>
          </w:r>
          <w:bookmarkEnd w:id="31"/>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_Toc26248_WPSOffice_Level2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144c10b3-ad70-4f0b-816a-5bb2e1efaa4b}"/>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九、一般公共预算财政拨款项目支出决算表</w:t>
              </w:r>
            </w:sdtContent>
          </w:sdt>
          <w:r>
            <w:rPr>
              <w:rFonts w:hint="eastAsia" w:ascii="黑体" w:hAnsi="黑体" w:eastAsia="黑体" w:cs="黑体"/>
              <w:sz w:val="21"/>
              <w:szCs w:val="21"/>
            </w:rPr>
            <w:tab/>
          </w:r>
          <w:bookmarkStart w:id="32" w:name="_Toc26248_WPSOffice_Level2Page"/>
          <w:r>
            <w:rPr>
              <w:rFonts w:hint="eastAsia" w:ascii="黑体" w:hAnsi="黑体" w:eastAsia="黑体" w:cs="黑体"/>
              <w:sz w:val="21"/>
              <w:szCs w:val="21"/>
            </w:rPr>
            <w:t>16</w:t>
          </w:r>
          <w:bookmarkEnd w:id="32"/>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_Toc21264_WPSOffice_Level2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11728ae7-8101-4d76-bf56-beec909e9244}"/>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十、政府性基金预算财政拨款收入支出决算表</w:t>
              </w:r>
            </w:sdtContent>
          </w:sdt>
          <w:r>
            <w:rPr>
              <w:rFonts w:hint="eastAsia" w:ascii="黑体" w:hAnsi="黑体" w:eastAsia="黑体" w:cs="黑体"/>
              <w:sz w:val="21"/>
              <w:szCs w:val="21"/>
            </w:rPr>
            <w:tab/>
          </w:r>
          <w:bookmarkStart w:id="33" w:name="_Toc21264_WPSOffice_Level2Page"/>
          <w:r>
            <w:rPr>
              <w:rFonts w:hint="eastAsia" w:ascii="黑体" w:hAnsi="黑体" w:eastAsia="黑体" w:cs="黑体"/>
              <w:sz w:val="21"/>
              <w:szCs w:val="21"/>
            </w:rPr>
            <w:t>16</w:t>
          </w:r>
          <w:bookmarkEnd w:id="33"/>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_Toc28705_WPSOffice_Level2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257ecb54-3482-49d2-829f-0803da3fd85d}"/>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十一、国有资本经营预算财政拨款收入支出决算表</w:t>
              </w:r>
            </w:sdtContent>
          </w:sdt>
          <w:r>
            <w:rPr>
              <w:rFonts w:hint="eastAsia" w:ascii="黑体" w:hAnsi="黑体" w:eastAsia="黑体" w:cs="黑体"/>
              <w:sz w:val="21"/>
              <w:szCs w:val="21"/>
            </w:rPr>
            <w:tab/>
          </w:r>
          <w:bookmarkStart w:id="34" w:name="_Toc28705_WPSOffice_Level2Page"/>
          <w:r>
            <w:rPr>
              <w:rFonts w:hint="eastAsia" w:ascii="黑体" w:hAnsi="黑体" w:eastAsia="黑体" w:cs="黑体"/>
              <w:sz w:val="21"/>
              <w:szCs w:val="21"/>
            </w:rPr>
            <w:t>16</w:t>
          </w:r>
          <w:bookmarkEnd w:id="34"/>
          <w:r>
            <w:rPr>
              <w:rFonts w:hint="eastAsia" w:ascii="黑体" w:hAnsi="黑体" w:eastAsia="黑体" w:cs="黑体"/>
              <w:sz w:val="21"/>
              <w:szCs w:val="21"/>
            </w:rPr>
            <w:fldChar w:fldCharType="end"/>
          </w:r>
        </w:p>
        <w:p>
          <w:pPr>
            <w:pStyle w:val="37"/>
            <w:tabs>
              <w:tab w:val="right" w:leader="dot" w:pos="8306"/>
            </w:tabs>
            <w:rPr>
              <w:rFonts w:hint="eastAsia" w:ascii="黑体" w:hAnsi="黑体" w:eastAsia="黑体" w:cs="黑体"/>
              <w:sz w:val="21"/>
              <w:szCs w:val="21"/>
            </w:rPr>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_Toc25120_WPSOffice_Level2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5baa4125-ca57-4c18-83aa-497430c3d10b}"/>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十二、国有资本经营预算财政拨款支出决算表</w:t>
              </w:r>
            </w:sdtContent>
          </w:sdt>
          <w:r>
            <w:rPr>
              <w:rFonts w:hint="eastAsia" w:ascii="黑体" w:hAnsi="黑体" w:eastAsia="黑体" w:cs="黑体"/>
              <w:sz w:val="21"/>
              <w:szCs w:val="21"/>
            </w:rPr>
            <w:tab/>
          </w:r>
          <w:bookmarkStart w:id="35" w:name="_Toc25120_WPSOffice_Level2Page"/>
          <w:r>
            <w:rPr>
              <w:rFonts w:hint="eastAsia" w:ascii="黑体" w:hAnsi="黑体" w:eastAsia="黑体" w:cs="黑体"/>
              <w:sz w:val="21"/>
              <w:szCs w:val="21"/>
            </w:rPr>
            <w:t>16</w:t>
          </w:r>
          <w:bookmarkEnd w:id="35"/>
          <w:r>
            <w:rPr>
              <w:rFonts w:hint="eastAsia" w:ascii="黑体" w:hAnsi="黑体" w:eastAsia="黑体" w:cs="黑体"/>
              <w:sz w:val="21"/>
              <w:szCs w:val="21"/>
            </w:rPr>
            <w:fldChar w:fldCharType="end"/>
          </w:r>
        </w:p>
        <w:p>
          <w:pPr>
            <w:pStyle w:val="37"/>
            <w:tabs>
              <w:tab w:val="right" w:leader="dot" w:pos="8306"/>
            </w:tabs>
          </w:pPr>
          <w:r>
            <w:rPr>
              <w:rFonts w:hint="eastAsia" w:ascii="黑体" w:hAnsi="黑体" w:eastAsia="黑体" w:cs="黑体"/>
              <w:sz w:val="21"/>
              <w:szCs w:val="21"/>
            </w:rPr>
            <w:fldChar w:fldCharType="begin"/>
          </w:r>
          <w:r>
            <w:rPr>
              <w:rFonts w:hint="eastAsia" w:ascii="黑体" w:hAnsi="黑体" w:eastAsia="黑体" w:cs="黑体"/>
              <w:sz w:val="21"/>
              <w:szCs w:val="21"/>
            </w:rPr>
            <w:instrText xml:space="preserve"> HYPERLINK \l _Toc7426_WPSOffice_Level2 </w:instrText>
          </w:r>
          <w:r>
            <w:rPr>
              <w:rFonts w:hint="eastAsia" w:ascii="黑体" w:hAnsi="黑体" w:eastAsia="黑体" w:cs="黑体"/>
              <w:sz w:val="21"/>
              <w:szCs w:val="21"/>
            </w:rPr>
            <w:fldChar w:fldCharType="separate"/>
          </w:r>
          <w:sdt>
            <w:sdtPr>
              <w:rPr>
                <w:rFonts w:hint="eastAsia" w:ascii="黑体" w:hAnsi="黑体" w:eastAsia="黑体" w:cs="黑体"/>
                <w:sz w:val="21"/>
                <w:szCs w:val="21"/>
                <w:lang w:val="en-US" w:eastAsia="zh-CN"/>
              </w:rPr>
              <w:id w:val="147454908"/>
              <w:placeholder>
                <w:docPart w:val="{aed14202-9c1e-4b2a-990e-09f3a163c5f9}"/>
              </w:placeholder>
            </w:sdtPr>
            <w:sdtEndPr>
              <w:rPr>
                <w:rFonts w:hint="eastAsia" w:ascii="黑体" w:hAnsi="黑体" w:eastAsia="黑体" w:cs="黑体"/>
                <w:sz w:val="21"/>
                <w:szCs w:val="21"/>
                <w:lang w:val="en-US" w:eastAsia="zh-CN"/>
              </w:rPr>
            </w:sdtEndPr>
            <w:sdtContent>
              <w:r>
                <w:rPr>
                  <w:rFonts w:hint="eastAsia" w:ascii="黑体" w:hAnsi="黑体" w:eastAsia="黑体" w:cs="黑体"/>
                  <w:sz w:val="21"/>
                  <w:szCs w:val="21"/>
                </w:rPr>
                <w:t>十三、财政拨款“三公”经费支出决算表</w:t>
              </w:r>
            </w:sdtContent>
          </w:sdt>
          <w:r>
            <w:rPr>
              <w:rFonts w:hint="eastAsia" w:ascii="黑体" w:hAnsi="黑体" w:eastAsia="黑体" w:cs="黑体"/>
              <w:sz w:val="21"/>
              <w:szCs w:val="21"/>
            </w:rPr>
            <w:tab/>
          </w:r>
          <w:bookmarkStart w:id="36" w:name="_Toc7426_WPSOffice_Level2Page"/>
          <w:r>
            <w:rPr>
              <w:rFonts w:hint="eastAsia" w:ascii="黑体" w:hAnsi="黑体" w:eastAsia="黑体" w:cs="黑体"/>
              <w:sz w:val="21"/>
              <w:szCs w:val="21"/>
            </w:rPr>
            <w:t>16</w:t>
          </w:r>
          <w:bookmarkEnd w:id="36"/>
          <w:r>
            <w:rPr>
              <w:rFonts w:hint="eastAsia" w:ascii="黑体" w:hAnsi="黑体" w:eastAsia="黑体" w:cs="黑体"/>
              <w:sz w:val="21"/>
              <w:szCs w:val="21"/>
            </w:rPr>
            <w:fldChar w:fldCharType="end"/>
          </w:r>
          <w:bookmarkEnd w:id="6"/>
        </w:p>
      </w:sdtContent>
    </w:sdt>
    <w:p>
      <w:pPr>
        <w:rPr>
          <w:rFonts w:ascii="Times New Roman" w:hAnsi="Times New Roman"/>
          <w:color w:val="auto"/>
          <w:highlight w:val="none"/>
        </w:rPr>
      </w:pPr>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rPr>
      </w:pPr>
      <w:bookmarkStart w:id="37" w:name="_Toc15396599"/>
      <w:bookmarkStart w:id="38" w:name="_Toc15377196"/>
      <w:bookmarkStart w:id="39" w:name="_Toc2541_WPSOffice_Level1"/>
      <w:r>
        <w:rPr>
          <w:rFonts w:hint="eastAsia" w:ascii="Times New Roman" w:hAnsi="Times New Roman" w:eastAsia="方正小标宋简体" w:cs="Times New Roman"/>
          <w:b w:val="0"/>
        </w:rPr>
        <w:t>第一部分</w:t>
      </w:r>
      <w:r>
        <w:rPr>
          <w:rFonts w:hint="eastAsia" w:ascii="Times New Roman" w:hAnsi="Times New Roman" w:eastAsia="方正小标宋简体" w:cs="Times New Roman"/>
          <w:b w:val="0"/>
          <w:lang w:val="en-US" w:eastAsia="zh-CN"/>
        </w:rPr>
        <w:t xml:space="preserve"> </w:t>
      </w:r>
      <w:r>
        <w:rPr>
          <w:rFonts w:hint="eastAsia" w:ascii="Times New Roman" w:hAnsi="Times New Roman" w:eastAsia="方正小标宋简体" w:cs="Times New Roman"/>
          <w:b w:val="0"/>
        </w:rPr>
        <w:t xml:space="preserve"> </w:t>
      </w:r>
      <w:r>
        <w:rPr>
          <w:rFonts w:hint="eastAsia" w:ascii="Times New Roman" w:hAnsi="Times New Roman" w:eastAsia="方正小标宋简体" w:cs="Times New Roman"/>
          <w:b w:val="0"/>
          <w:lang w:val="en-US" w:eastAsia="zh-CN"/>
        </w:rPr>
        <w:t>单位</w:t>
      </w:r>
      <w:r>
        <w:rPr>
          <w:rFonts w:hint="eastAsia" w:ascii="Times New Roman" w:hAnsi="Times New Roman" w:eastAsia="方正小标宋简体" w:cs="Times New Roman"/>
          <w:b w:val="0"/>
        </w:rPr>
        <w:t>概况</w:t>
      </w:r>
      <w:bookmarkEnd w:id="37"/>
      <w:bookmarkEnd w:id="38"/>
      <w:bookmarkEnd w:id="39"/>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eastAsia" w:ascii="Times New Roman" w:hAnsi="Times New Roman" w:eastAsia="黑体" w:cs="Times New Roman"/>
          <w:b w:val="0"/>
          <w:bCs w:val="0"/>
          <w:lang w:eastAsia="zh-CN"/>
        </w:rPr>
      </w:pPr>
      <w:bookmarkStart w:id="40" w:name="_Toc20186_WPSOffice_Level2"/>
      <w:r>
        <w:rPr>
          <w:rStyle w:val="29"/>
          <w:rFonts w:hint="eastAsia" w:ascii="Times New Roman" w:hAnsi="Times New Roman" w:eastAsia="黑体" w:cs="Times New Roman"/>
          <w:b w:val="0"/>
          <w:bCs w:val="0"/>
          <w:lang w:val="en-US" w:eastAsia="zh-CN"/>
        </w:rPr>
        <w:t>主要</w:t>
      </w:r>
      <w:r>
        <w:rPr>
          <w:rStyle w:val="29"/>
          <w:rFonts w:hint="eastAsia" w:ascii="Times New Roman" w:hAnsi="Times New Roman" w:eastAsia="黑体" w:cs="Times New Roman"/>
          <w:b w:val="0"/>
          <w:bCs w:val="0"/>
          <w:lang w:eastAsia="zh-CN"/>
        </w:rPr>
        <w:t>职责</w:t>
      </w:r>
      <w:bookmarkEnd w:id="40"/>
    </w:p>
    <w:p>
      <w:pPr>
        <w:keepNext w:val="0"/>
        <w:keepLines w:val="0"/>
        <w:pageBreakBefore w:val="0"/>
        <w:widowControl w:val="0"/>
        <w:suppressLineNumbers w:val="0"/>
        <w:kinsoku/>
        <w:wordWrap/>
        <w:overflowPunct/>
        <w:topLinePunct w:val="0"/>
        <w:autoSpaceDE w:val="0"/>
        <w:autoSpaceDN/>
        <w:bidi w:val="0"/>
        <w:adjustRightInd w:val="0"/>
        <w:snapToGrid w:val="0"/>
        <w:spacing w:before="157" w:beforeLines="50" w:beforeAutospacing="0" w:after="157" w:afterLines="50" w:afterAutospacing="0" w:line="560" w:lineRule="exact"/>
        <w:ind w:left="0" w:right="0" w:firstLine="640" w:firstLineChars="200"/>
        <w:jc w:val="left"/>
        <w:textAlignment w:val="auto"/>
        <w:rPr>
          <w:rFonts w:hint="eastAsia"/>
          <w:lang w:eastAsia="zh-CN"/>
        </w:rPr>
      </w:pPr>
      <w:r>
        <w:rPr>
          <w:rFonts w:hint="default" w:ascii="Times New Roman" w:hAnsi="Times New Roman" w:eastAsia="方正仿宋_GBK" w:cs="Times New Roman"/>
          <w:color w:val="auto"/>
          <w:kern w:val="2"/>
          <w:sz w:val="32"/>
          <w:szCs w:val="32"/>
          <w:highlight w:val="none"/>
          <w:lang w:val="en-US" w:eastAsia="zh-CN" w:bidi="ar-SA"/>
        </w:rPr>
        <w:t>盐边县永兴镇中心学校是盐边县教育和体育局下属的一所城乡居民儿童共享的学校。实施小学义务教育，小学学历教育，是学校的主要工作职能。</w:t>
      </w:r>
    </w:p>
    <w:p>
      <w:pPr>
        <w:pStyle w:val="4"/>
        <w:pageBreakBefore w:val="0"/>
        <w:widowControl w:val="0"/>
        <w:numPr>
          <w:ilvl w:val="0"/>
          <w:numId w:val="1"/>
        </w:numPr>
        <w:kinsoku/>
        <w:wordWrap/>
        <w:overflowPunct/>
        <w:topLinePunct w:val="0"/>
        <w:autoSpaceDE/>
        <w:autoSpaceDN/>
        <w:bidi w:val="0"/>
        <w:adjustRightInd/>
        <w:snapToGrid/>
        <w:spacing w:line="240" w:lineRule="auto"/>
        <w:ind w:left="0" w:leftChars="0" w:firstLine="0" w:firstLineChars="0"/>
        <w:textAlignment w:val="auto"/>
        <w:rPr>
          <w:rStyle w:val="29"/>
          <w:rFonts w:hint="default" w:ascii="Times New Roman" w:hAnsi="Times New Roman" w:eastAsia="黑体" w:cs="Times New Roman"/>
          <w:b w:val="0"/>
          <w:bCs w:val="0"/>
          <w:lang w:val="en-US" w:eastAsia="zh-CN"/>
        </w:rPr>
      </w:pPr>
      <w:bookmarkStart w:id="41" w:name="_Toc15377200"/>
      <w:bookmarkStart w:id="42" w:name="_Toc15396601"/>
      <w:bookmarkStart w:id="43" w:name="_Toc13986_WPSOffice_Level2"/>
      <w:r>
        <w:rPr>
          <w:rStyle w:val="29"/>
          <w:rFonts w:hint="eastAsia" w:ascii="Times New Roman" w:hAnsi="Times New Roman" w:eastAsia="黑体" w:cs="Times New Roman"/>
          <w:b w:val="0"/>
          <w:bCs w:val="0"/>
          <w:lang w:val="en-US" w:eastAsia="zh-CN"/>
        </w:rPr>
        <w:t>机构设置</w:t>
      </w:r>
      <w:bookmarkEnd w:id="41"/>
      <w:bookmarkEnd w:id="42"/>
      <w:bookmarkEnd w:id="43"/>
    </w:p>
    <w:p>
      <w:pPr>
        <w:keepNext w:val="0"/>
        <w:keepLines w:val="0"/>
        <w:pageBreakBefore w:val="0"/>
        <w:widowControl w:val="0"/>
        <w:suppressLineNumbers w:val="0"/>
        <w:kinsoku/>
        <w:wordWrap/>
        <w:overflowPunct/>
        <w:topLinePunct w:val="0"/>
        <w:autoSpaceDE w:val="0"/>
        <w:autoSpaceDN/>
        <w:bidi w:val="0"/>
        <w:adjustRightInd w:val="0"/>
        <w:snapToGrid w:val="0"/>
        <w:spacing w:before="157" w:beforeLines="50" w:beforeAutospacing="0" w:after="157" w:afterLines="50" w:afterAutospacing="0" w:line="560" w:lineRule="exact"/>
        <w:ind w:left="0" w:right="0" w:firstLine="640" w:firstLineChars="200"/>
        <w:jc w:val="left"/>
        <w:textAlignment w:val="auto"/>
        <w:rPr>
          <w:rFonts w:hint="default" w:ascii="Times New Roman" w:hAnsi="Times New Roman" w:eastAsia="方正仿宋_GBK" w:cs="Times New Roman"/>
          <w:color w:val="auto"/>
          <w:kern w:val="2"/>
          <w:sz w:val="32"/>
          <w:szCs w:val="32"/>
          <w:highlight w:val="none"/>
          <w:lang w:val="en-US" w:eastAsia="zh-CN" w:bidi="ar-SA"/>
        </w:rPr>
      </w:pPr>
      <w:bookmarkStart w:id="44" w:name="_Toc15377434"/>
      <w:bookmarkStart w:id="45" w:name="_Toc15306277"/>
      <w:bookmarkStart w:id="46" w:name="_Toc15378450"/>
      <w:bookmarkStart w:id="47" w:name="_Toc15377203"/>
      <w:r>
        <w:rPr>
          <w:rFonts w:hint="default" w:ascii="Times New Roman" w:hAnsi="Times New Roman" w:eastAsia="方正仿宋_GBK" w:cs="Times New Roman"/>
          <w:color w:val="auto"/>
          <w:kern w:val="2"/>
          <w:sz w:val="32"/>
          <w:szCs w:val="32"/>
          <w:highlight w:val="none"/>
          <w:lang w:val="en-US" w:eastAsia="zh-CN" w:bidi="ar-SA"/>
        </w:rPr>
        <w:t>盐边县永兴镇中心学校是盐边县教育和体育局下属的事业编制二级预算单位，2023年年末单位机构数1个，预算单位数1个。机构无变动情况。</w:t>
      </w:r>
    </w:p>
    <w:bookmarkEnd w:id="44"/>
    <w:bookmarkEnd w:id="45"/>
    <w:bookmarkEnd w:id="46"/>
    <w:bookmarkEnd w:id="47"/>
    <w:p>
      <w:pPr>
        <w:pStyle w:val="2"/>
        <w:numPr>
          <w:ilvl w:val="0"/>
          <w:numId w:val="0"/>
        </w:numPr>
        <w:adjustRightInd w:val="0"/>
        <w:snapToGrid w:val="0"/>
        <w:spacing w:before="93" w:line="600" w:lineRule="exact"/>
        <w:outlineLvl w:val="2"/>
        <w:rPr>
          <w:rFonts w:hint="eastAsia" w:ascii="Times New Roman" w:hAnsi="Times New Roman" w:eastAsia="仿宋_GB2312" w:cs="仿宋_GB2312"/>
          <w:color w:val="auto"/>
          <w:sz w:val="32"/>
          <w:szCs w:val="32"/>
          <w:highlight w:val="none"/>
        </w:rPr>
      </w:pPr>
    </w:p>
    <w:p>
      <w:pPr>
        <w:pStyle w:val="3"/>
        <w:pageBreakBefore w:val="0"/>
        <w:kinsoku/>
        <w:wordWrap/>
        <w:overflowPunct/>
        <w:topLinePunct w:val="0"/>
        <w:bidi w:val="0"/>
        <w:spacing w:line="560" w:lineRule="exact"/>
        <w:ind w:right="440"/>
        <w:jc w:val="center"/>
        <w:textAlignment w:val="auto"/>
        <w:rPr>
          <w:rFonts w:hint="eastAsia" w:ascii="Times New Roman" w:hAnsi="Times New Roman" w:eastAsia="黑体" w:cs="Times New Roman"/>
          <w:b w:val="0"/>
          <w:sz w:val="44"/>
          <w:szCs w:val="44"/>
        </w:rPr>
        <w:sectPr>
          <w:footerReference r:id="rId9" w:type="first"/>
          <w:headerReference r:id="rId7" w:type="default"/>
          <w:footerReference r:id="rId8" w:type="default"/>
          <w:pgSz w:w="11906" w:h="16838"/>
          <w:pgMar w:top="1440" w:right="1800" w:bottom="1440" w:left="1800" w:header="851" w:footer="992" w:gutter="0"/>
          <w:pgNumType w:fmt="decimal" w:start="1"/>
          <w:cols w:space="425" w:num="1"/>
          <w:docGrid w:type="lines" w:linePitch="312" w:charSpace="0"/>
        </w:sectPr>
      </w:pPr>
      <w:bookmarkStart w:id="48" w:name="_Toc15377204"/>
      <w:bookmarkStart w:id="49" w:name="_Toc15396602"/>
    </w:p>
    <w:p>
      <w:pPr>
        <w:pStyle w:val="3"/>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eastAsia="方正小标宋简体" w:cs="Times New Roman"/>
          <w:b w:val="0"/>
          <w:lang w:val="en-US" w:eastAsia="zh-CN"/>
        </w:rPr>
      </w:pPr>
      <w:bookmarkStart w:id="50" w:name="_Toc20186_WPSOffice_Level1"/>
      <w:r>
        <w:rPr>
          <w:rFonts w:hint="eastAsia" w:ascii="Times New Roman" w:hAnsi="Times New Roman" w:eastAsia="方正小标宋简体" w:cs="Times New Roman"/>
          <w:b w:val="0"/>
          <w:lang w:val="en-US" w:eastAsia="zh-CN"/>
        </w:rPr>
        <w:t>第二部分  2024年度部门决算情况说明</w:t>
      </w:r>
      <w:bookmarkEnd w:id="48"/>
      <w:bookmarkEnd w:id="49"/>
      <w:bookmarkEnd w:id="50"/>
    </w:p>
    <w:p>
      <w:pPr>
        <w:pStyle w:val="27"/>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leftChars="0" w:firstLine="640" w:firstLineChars="200"/>
        <w:textAlignment w:val="auto"/>
        <w:outlineLvl w:val="0"/>
        <w:rPr>
          <w:rFonts w:hint="eastAsia" w:ascii="Times New Roman" w:hAnsi="Times New Roman" w:eastAsia="黑体" w:cs="Times New Roman"/>
          <w:color w:val="auto"/>
          <w:sz w:val="32"/>
          <w:szCs w:val="32"/>
          <w:highlight w:val="none"/>
          <w:lang w:val="en-US" w:eastAsia="zh-CN"/>
        </w:rPr>
      </w:pPr>
      <w:bookmarkStart w:id="51" w:name="_Toc15377205"/>
      <w:bookmarkStart w:id="52" w:name="_Toc15396603"/>
      <w:bookmarkStart w:id="53" w:name="_Toc4751_WPSOffice_Level2"/>
      <w:r>
        <w:rPr>
          <w:rFonts w:hint="eastAsia" w:ascii="Times New Roman" w:hAnsi="Times New Roman" w:eastAsia="黑体" w:cs="Times New Roman"/>
          <w:color w:val="auto"/>
          <w:sz w:val="32"/>
          <w:szCs w:val="32"/>
          <w:highlight w:val="none"/>
          <w:lang w:val="en-US" w:eastAsia="zh-CN"/>
        </w:rPr>
        <w:t>一、收入支出决算总体情况说明</w:t>
      </w:r>
      <w:bookmarkEnd w:id="51"/>
      <w:bookmarkEnd w:id="52"/>
      <w:bookmarkEnd w:id="53"/>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2024年度收入、支出总计均为2,864.75万元。与2023年度相比，收入、支出总计各减少516.51万元，下降15.28%。主要变动原因是基本支出（人员调出和学生人数减少）和目经费（学校新建综合楼项目缺口资金减少）。</w:t>
      </w:r>
    </w:p>
    <w:p>
      <w:pPr>
        <w:keepNext w:val="0"/>
        <w:keepLines w:val="0"/>
        <w:pageBreakBefore w:val="0"/>
        <w:kinsoku/>
        <w:wordWrap/>
        <w:overflowPunct/>
        <w:topLinePunct w:val="0"/>
        <w:bidi w:val="0"/>
        <w:spacing w:line="240" w:lineRule="auto"/>
        <w:ind w:firstLine="640"/>
        <w:jc w:val="center"/>
        <w:textAlignment w:val="auto"/>
        <w:rPr>
          <w:rFonts w:hint="default" w:ascii="Times New Roman" w:hAnsi="Times New Roman" w:eastAsia="方正仿宋_GBK" w:cs="Times New Roman"/>
          <w:color w:val="auto"/>
          <w:sz w:val="32"/>
          <w:szCs w:val="32"/>
          <w:highlight w:val="none"/>
          <w:lang w:val="en-US" w:eastAsia="zh-CN"/>
        </w:rPr>
      </w:pPr>
      <w:r>
        <w:rPr>
          <w:rFonts w:hint="eastAsia" w:ascii="Times New Roman" w:hAnsi="Times New Roman" w:eastAsia="仿宋_GB2312" w:cs="Times New Roman"/>
          <w:color w:val="auto"/>
          <w:kern w:val="2"/>
          <w:sz w:val="24"/>
          <w:szCs w:val="24"/>
          <w:highlight w:val="none"/>
          <w:lang w:val="en-US" w:eastAsia="zh-CN" w:bidi="ar-SA"/>
        </w:rPr>
        <w:t>（图1：收入、支出决算总计变动情况图）</w:t>
      </w:r>
    </w:p>
    <w:p>
      <w:pPr>
        <w:pStyle w:val="26"/>
        <w:pageBreakBefore w:val="0"/>
        <w:kinsoku/>
        <w:wordWrap/>
        <w:overflowPunct/>
        <w:topLinePunct w:val="0"/>
        <w:bidi w:val="0"/>
        <w:spacing w:line="560" w:lineRule="exact"/>
        <w:ind w:firstLine="480" w:firstLineChars="200"/>
        <w:jc w:val="center"/>
        <w:textAlignment w:val="auto"/>
        <w:rPr>
          <w:rFonts w:hint="eastAsia" w:ascii="Times New Roman" w:hAnsi="Times New Roman" w:eastAsia="仿宋_GB2312" w:cs="Times New Roman"/>
          <w:color w:val="auto"/>
          <w:sz w:val="32"/>
          <w:szCs w:val="32"/>
          <w:lang w:val="en-US" w:eastAsia="zh-CN"/>
        </w:rPr>
      </w:pPr>
      <w:r>
        <w:drawing>
          <wp:anchor distT="0" distB="0" distL="114300" distR="114300" simplePos="0" relativeHeight="251660288" behindDoc="1" locked="0" layoutInCell="1" allowOverlap="1">
            <wp:simplePos x="0" y="0"/>
            <wp:positionH relativeFrom="column">
              <wp:posOffset>193675</wp:posOffset>
            </wp:positionH>
            <wp:positionV relativeFrom="paragraph">
              <wp:posOffset>53340</wp:posOffset>
            </wp:positionV>
            <wp:extent cx="4643755" cy="1951990"/>
            <wp:effectExtent l="5080" t="5080" r="18415" b="5080"/>
            <wp:wrapNone/>
            <wp:docPr id="1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pPr>
        <w:pStyle w:val="26"/>
        <w:pageBreakBefore w:val="0"/>
        <w:kinsoku/>
        <w:wordWrap/>
        <w:overflowPunct/>
        <w:topLinePunct w:val="0"/>
        <w:bidi w:val="0"/>
        <w:spacing w:line="560" w:lineRule="exact"/>
        <w:ind w:firstLine="640" w:firstLineChars="200"/>
        <w:jc w:val="center"/>
        <w:textAlignment w:val="auto"/>
        <w:rPr>
          <w:rFonts w:hint="eastAsia" w:ascii="Times New Roman" w:hAnsi="Times New Roman" w:eastAsia="仿宋_GB2312" w:cs="Times New Roman"/>
          <w:color w:val="auto"/>
          <w:sz w:val="32"/>
          <w:szCs w:val="32"/>
          <w:lang w:val="en-US" w:eastAsia="zh-CN"/>
        </w:rPr>
      </w:pPr>
    </w:p>
    <w:p>
      <w:pPr>
        <w:pStyle w:val="26"/>
        <w:pageBreakBefore w:val="0"/>
        <w:kinsoku/>
        <w:wordWrap/>
        <w:overflowPunct/>
        <w:topLinePunct w:val="0"/>
        <w:bidi w:val="0"/>
        <w:spacing w:line="560" w:lineRule="exact"/>
        <w:ind w:firstLine="640" w:firstLineChars="200"/>
        <w:jc w:val="center"/>
        <w:textAlignment w:val="auto"/>
        <w:rPr>
          <w:rFonts w:hint="eastAsia" w:ascii="Times New Roman" w:hAnsi="Times New Roman" w:eastAsia="仿宋_GB2312" w:cs="Times New Roman"/>
          <w:color w:val="auto"/>
          <w:sz w:val="32"/>
          <w:szCs w:val="32"/>
          <w:lang w:val="en-US" w:eastAsia="zh-CN"/>
        </w:rPr>
      </w:pPr>
    </w:p>
    <w:p>
      <w:pPr>
        <w:pStyle w:val="26"/>
        <w:pageBreakBefore w:val="0"/>
        <w:kinsoku/>
        <w:wordWrap/>
        <w:overflowPunct/>
        <w:topLinePunct w:val="0"/>
        <w:bidi w:val="0"/>
        <w:spacing w:line="560" w:lineRule="exact"/>
        <w:ind w:firstLine="640" w:firstLineChars="200"/>
        <w:jc w:val="center"/>
        <w:textAlignment w:val="auto"/>
        <w:rPr>
          <w:rFonts w:hint="eastAsia" w:ascii="Times New Roman" w:hAnsi="Times New Roman" w:eastAsia="仿宋_GB2312" w:cs="Times New Roman"/>
          <w:color w:val="auto"/>
          <w:sz w:val="32"/>
          <w:szCs w:val="32"/>
          <w:lang w:val="en-US" w:eastAsia="zh-CN"/>
        </w:rPr>
      </w:pPr>
    </w:p>
    <w:p>
      <w:pPr>
        <w:pStyle w:val="26"/>
        <w:pageBreakBefore w:val="0"/>
        <w:kinsoku/>
        <w:wordWrap/>
        <w:overflowPunct/>
        <w:topLinePunct w:val="0"/>
        <w:bidi w:val="0"/>
        <w:spacing w:line="560" w:lineRule="exact"/>
        <w:ind w:firstLine="640" w:firstLineChars="200"/>
        <w:jc w:val="center"/>
        <w:textAlignment w:val="auto"/>
        <w:rPr>
          <w:rFonts w:hint="eastAsia" w:ascii="Times New Roman" w:hAnsi="Times New Roman" w:eastAsia="仿宋_GB2312" w:cs="Times New Roman"/>
          <w:color w:val="auto"/>
          <w:sz w:val="32"/>
          <w:szCs w:val="32"/>
          <w:lang w:val="en-US" w:eastAsia="zh-CN"/>
        </w:rPr>
      </w:pPr>
    </w:p>
    <w:p>
      <w:pPr>
        <w:pStyle w:val="26"/>
        <w:pageBreakBefore w:val="0"/>
        <w:kinsoku/>
        <w:wordWrap/>
        <w:overflowPunct/>
        <w:topLinePunct w:val="0"/>
        <w:bidi w:val="0"/>
        <w:spacing w:line="560" w:lineRule="exact"/>
        <w:jc w:val="both"/>
        <w:textAlignment w:val="auto"/>
        <w:rPr>
          <w:rFonts w:hint="eastAsia" w:ascii="Times New Roman" w:hAnsi="Times New Roman" w:eastAsia="仿宋_GB2312" w:cs="Times New Roman"/>
          <w:color w:val="auto"/>
          <w:sz w:val="32"/>
          <w:szCs w:val="32"/>
          <w:lang w:val="en-US"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val="en-US" w:eastAsia="zh-CN"/>
        </w:rPr>
      </w:pPr>
      <w:bookmarkStart w:id="54" w:name="_Toc15396604"/>
      <w:bookmarkStart w:id="55" w:name="_Toc15377206"/>
      <w:bookmarkStart w:id="56" w:name="_Toc11052_WPSOffice_Level2"/>
      <w:r>
        <w:rPr>
          <w:rFonts w:hint="eastAsia" w:ascii="Times New Roman" w:hAnsi="Times New Roman" w:eastAsia="黑体" w:cs="Times New Roman"/>
          <w:color w:val="auto"/>
          <w:sz w:val="32"/>
          <w:szCs w:val="32"/>
          <w:highlight w:val="none"/>
          <w:lang w:val="en-US" w:eastAsia="zh-CN"/>
        </w:rPr>
        <w:t>二、收入决算情况说明</w:t>
      </w:r>
      <w:bookmarkEnd w:id="54"/>
      <w:bookmarkEnd w:id="55"/>
      <w:bookmarkEnd w:id="56"/>
    </w:p>
    <w:p>
      <w:pPr>
        <w:pageBreakBefore w:val="0"/>
        <w:kinsoku/>
        <w:wordWrap/>
        <w:overflowPunct/>
        <w:topLinePunct w:val="0"/>
        <w:bidi w:val="0"/>
        <w:spacing w:line="560" w:lineRule="exact"/>
        <w:ind w:firstLine="640" w:firstLineChars="200"/>
        <w:textAlignment w:val="auto"/>
        <w:outlineLvl w:val="1"/>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2024年度本年收入合计2,864.75万元，其中：一般公共</w:t>
      </w:r>
    </w:p>
    <w:p>
      <w:pPr>
        <w:pageBreakBefore w:val="0"/>
        <w:kinsoku/>
        <w:wordWrap/>
        <w:overflowPunct/>
        <w:topLinePunct w:val="0"/>
        <w:bidi w:val="0"/>
        <w:spacing w:line="560" w:lineRule="exact"/>
        <w:ind w:firstLine="640" w:firstLineChars="200"/>
        <w:textAlignment w:val="auto"/>
        <w:outlineLvl w:val="1"/>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预算财政拨款收入2,864.75万元，占100%。</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仿宋_GB2312"/>
          <w:color w:val="auto"/>
          <w:sz w:val="32"/>
          <w:szCs w:val="32"/>
          <w:highlight w:val="none"/>
          <w:lang w:eastAsia="zh-CN"/>
        </w:rPr>
      </w:pPr>
      <w:r>
        <w:rPr>
          <w:rFonts w:hint="default" w:ascii="Times New Roman" w:hAnsi="Times New Roman" w:eastAsia="方正仿宋_GBK" w:cs="Times New Roman"/>
          <w:color w:val="auto"/>
          <w:kern w:val="2"/>
          <w:sz w:val="32"/>
          <w:szCs w:val="32"/>
          <w:highlight w:val="none"/>
          <w:lang w:val="en-US" w:eastAsia="zh-CN" w:bidi="ar-SA"/>
        </w:rPr>
        <w:drawing>
          <wp:anchor distT="0" distB="0" distL="114300" distR="114300" simplePos="0" relativeHeight="251661312" behindDoc="0" locked="0" layoutInCell="1" allowOverlap="1">
            <wp:simplePos x="0" y="0"/>
            <wp:positionH relativeFrom="column">
              <wp:posOffset>610870</wp:posOffset>
            </wp:positionH>
            <wp:positionV relativeFrom="paragraph">
              <wp:posOffset>290195</wp:posOffset>
            </wp:positionV>
            <wp:extent cx="4184650" cy="2413000"/>
            <wp:effectExtent l="4445" t="4445" r="20955" b="20955"/>
            <wp:wrapTopAndBottom/>
            <wp:docPr id="12"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r>
        <w:rPr>
          <w:rFonts w:hint="eastAsia" w:ascii="Times New Roman" w:hAnsi="Times New Roman" w:eastAsia="仿宋_GB2312" w:cs="Times New Roman"/>
          <w:color w:val="auto"/>
          <w:kern w:val="2"/>
          <w:sz w:val="24"/>
          <w:szCs w:val="24"/>
          <w:highlight w:val="none"/>
          <w:lang w:val="en-US" w:eastAsia="zh-CN" w:bidi="ar-SA"/>
        </w:rPr>
        <w:t>（图2：收入决算结构图）</w:t>
      </w:r>
    </w:p>
    <w:p>
      <w:pPr>
        <w:ind w:firstLine="525" w:firstLineChars="250"/>
        <w:jc w:val="both"/>
        <w:rPr>
          <w:rFonts w:hint="eastAsia"/>
          <w:lang w:eastAsia="zh-CN"/>
        </w:rPr>
      </w:pPr>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outlineLvl w:val="1"/>
        <w:rPr>
          <w:rFonts w:hint="eastAsia" w:ascii="Times New Roman" w:hAnsi="Times New Roman" w:eastAsia="黑体" w:cs="Times New Roman"/>
          <w:color w:val="auto"/>
          <w:sz w:val="32"/>
          <w:szCs w:val="32"/>
          <w:highlight w:val="none"/>
          <w:lang w:val="en-US" w:eastAsia="zh-CN"/>
        </w:rPr>
      </w:pPr>
      <w:bookmarkStart w:id="57" w:name="_Toc15396605"/>
      <w:bookmarkStart w:id="58" w:name="_Toc15377207"/>
      <w:bookmarkStart w:id="59" w:name="_Toc27031_WPSOffice_Level2"/>
      <w:r>
        <w:rPr>
          <w:rFonts w:hint="eastAsia" w:ascii="Times New Roman" w:hAnsi="Times New Roman" w:eastAsia="黑体" w:cs="Times New Roman"/>
          <w:color w:val="auto"/>
          <w:sz w:val="32"/>
          <w:szCs w:val="32"/>
          <w:highlight w:val="none"/>
          <w:lang w:val="en-US" w:eastAsia="zh-CN"/>
        </w:rPr>
        <w:t>三、支出决算情况说明</w:t>
      </w:r>
      <w:bookmarkEnd w:id="57"/>
      <w:bookmarkEnd w:id="58"/>
      <w:bookmarkEnd w:id="59"/>
    </w:p>
    <w:p>
      <w:pPr>
        <w:pStyle w:val="27"/>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jc w:val="left"/>
        <w:textAlignment w:val="auto"/>
        <w:outlineLvl w:val="1"/>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方正仿宋_GBK" w:cs="Times New Roman"/>
          <w:color w:val="auto"/>
          <w:sz w:val="32"/>
          <w:szCs w:val="32"/>
          <w:highlight w:val="none"/>
          <w:lang w:val="en-US" w:eastAsia="zh-CN"/>
        </w:rPr>
        <w:t>2024年度本年支出合计2,864.75万元，其中：基本支出2,844.16万元，占99.28%；项目支出20.59万元，占0.72%。</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方正仿宋_GBK" w:cs="Times New Roman"/>
          <w:color w:val="auto"/>
          <w:sz w:val="32"/>
          <w:szCs w:val="32"/>
          <w:highlight w:val="none"/>
          <w:lang w:val="en-US" w:eastAsia="zh-CN"/>
        </w:rPr>
      </w:pPr>
      <w:r>
        <w:rPr>
          <w:rFonts w:hint="eastAsia" w:ascii="Times New Roman" w:hAnsi="Times New Roman" w:eastAsia="仿宋_GB2312" w:cs="Times New Roman"/>
          <w:color w:val="auto"/>
          <w:kern w:val="2"/>
          <w:sz w:val="24"/>
          <w:szCs w:val="24"/>
          <w:highlight w:val="none"/>
          <w:lang w:val="en-US" w:eastAsia="zh-CN" w:bidi="ar-SA"/>
        </w:rPr>
        <w:t>（图3：支出决算结构图）</w:t>
      </w:r>
    </w:p>
    <w:p>
      <w:pPr>
        <w:pStyle w:val="13"/>
        <w:jc w:val="center"/>
      </w:pPr>
      <w:r>
        <w:drawing>
          <wp:anchor distT="0" distB="0" distL="114300" distR="114300" simplePos="0" relativeHeight="251662336" behindDoc="1" locked="0" layoutInCell="1" allowOverlap="1">
            <wp:simplePos x="0" y="0"/>
            <wp:positionH relativeFrom="column">
              <wp:posOffset>485775</wp:posOffset>
            </wp:positionH>
            <wp:positionV relativeFrom="paragraph">
              <wp:posOffset>3810</wp:posOffset>
            </wp:positionV>
            <wp:extent cx="4418965" cy="1847215"/>
            <wp:effectExtent l="5080" t="4445" r="14605" b="15240"/>
            <wp:wrapNone/>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kinsoku/>
        <w:wordWrap/>
        <w:overflowPunct/>
        <w:topLinePunct w:val="0"/>
        <w:bidi w:val="0"/>
        <w:spacing w:line="560" w:lineRule="exact"/>
        <w:ind w:firstLine="640"/>
        <w:jc w:val="left"/>
        <w:textAlignment w:val="auto"/>
        <w:outlineLvl w:val="1"/>
        <w:rPr>
          <w:rFonts w:hint="eastAsia" w:ascii="Times New Roman" w:hAnsi="Times New Roman" w:eastAsia="仿宋_GB2312" w:cs="Times New Roman"/>
          <w:color w:val="auto"/>
          <w:sz w:val="32"/>
          <w:szCs w:val="32"/>
          <w:lang w:val="en-US" w:eastAsia="zh-CN"/>
        </w:rPr>
      </w:pPr>
    </w:p>
    <w:p>
      <w:pPr>
        <w:pageBreakBefore w:val="0"/>
        <w:kinsoku/>
        <w:wordWrap/>
        <w:overflowPunct/>
        <w:topLinePunct w:val="0"/>
        <w:bidi w:val="0"/>
        <w:spacing w:line="560" w:lineRule="exact"/>
        <w:ind w:firstLine="640"/>
        <w:jc w:val="left"/>
        <w:textAlignment w:val="auto"/>
        <w:outlineLvl w:val="1"/>
        <w:rPr>
          <w:rFonts w:hint="eastAsia" w:ascii="Times New Roman" w:hAnsi="Times New Roman" w:eastAsia="仿宋_GB2312" w:cs="Times New Roman"/>
          <w:color w:val="auto"/>
          <w:sz w:val="32"/>
          <w:szCs w:val="32"/>
          <w:lang w:val="en-US" w:eastAsia="zh-CN"/>
        </w:rPr>
      </w:pPr>
    </w:p>
    <w:p>
      <w:pPr>
        <w:pageBreakBefore w:val="0"/>
        <w:kinsoku/>
        <w:wordWrap/>
        <w:overflowPunct/>
        <w:topLinePunct w:val="0"/>
        <w:bidi w:val="0"/>
        <w:spacing w:line="560" w:lineRule="exact"/>
        <w:ind w:firstLine="640"/>
        <w:jc w:val="left"/>
        <w:textAlignment w:val="auto"/>
        <w:outlineLvl w:val="1"/>
        <w:rPr>
          <w:rFonts w:hint="eastAsia" w:ascii="Times New Roman" w:hAnsi="Times New Roman" w:eastAsia="仿宋_GB2312" w:cs="Times New Roman"/>
          <w:color w:val="auto"/>
          <w:sz w:val="32"/>
          <w:szCs w:val="32"/>
          <w:lang w:val="en-US" w:eastAsia="zh-CN"/>
        </w:rPr>
      </w:pPr>
    </w:p>
    <w:p>
      <w:pPr>
        <w:pageBreakBefore w:val="0"/>
        <w:kinsoku/>
        <w:wordWrap/>
        <w:overflowPunct/>
        <w:topLinePunct w:val="0"/>
        <w:bidi w:val="0"/>
        <w:spacing w:line="560" w:lineRule="exact"/>
        <w:ind w:firstLine="640"/>
        <w:jc w:val="left"/>
        <w:textAlignment w:val="auto"/>
        <w:outlineLvl w:val="1"/>
        <w:rPr>
          <w:rFonts w:hint="eastAsia" w:ascii="Times New Roman" w:hAnsi="Times New Roman" w:eastAsia="仿宋_GB2312" w:cs="Times New Roman"/>
          <w:color w:val="auto"/>
          <w:sz w:val="32"/>
          <w:szCs w:val="32"/>
          <w:lang w:val="en-US" w:eastAsia="zh-CN"/>
        </w:rPr>
      </w:pPr>
    </w:p>
    <w:p>
      <w:pPr>
        <w:pageBreakBefore w:val="0"/>
        <w:kinsoku/>
        <w:wordWrap/>
        <w:overflowPunct/>
        <w:topLinePunct w:val="0"/>
        <w:bidi w:val="0"/>
        <w:spacing w:line="560" w:lineRule="exact"/>
        <w:ind w:firstLine="640"/>
        <w:jc w:val="left"/>
        <w:textAlignment w:val="auto"/>
        <w:outlineLvl w:val="1"/>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60" w:name="_Toc15377208"/>
      <w:bookmarkStart w:id="61" w:name="_Toc15396606"/>
      <w:bookmarkStart w:id="62" w:name="_Toc11583_WPSOffice_Level2"/>
      <w:r>
        <w:rPr>
          <w:rFonts w:hint="eastAsia" w:ascii="Times New Roman" w:hAnsi="Times New Roman" w:eastAsia="黑体" w:cs="Times New Roman"/>
          <w:color w:val="auto"/>
          <w:sz w:val="32"/>
          <w:szCs w:val="32"/>
          <w:highlight w:val="none"/>
        </w:rPr>
        <w:t>四、财政拨款收入支出决算总体情况说明</w:t>
      </w:r>
      <w:bookmarkEnd w:id="60"/>
      <w:bookmarkEnd w:id="61"/>
      <w:bookmarkEnd w:id="62"/>
    </w:p>
    <w:p>
      <w:pPr>
        <w:pStyle w:val="26"/>
        <w:pageBreakBefore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kern w:val="0"/>
          <w:sz w:val="32"/>
          <w:szCs w:val="32"/>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财政拨款收入、支出总计均为2,864.75万元。与2023年度相比，财政拨款收入总计、支出总计各减少516.51万元，下降15.28%。主要变动原因是基本支出（人员调出和学生人数减少）和目经费（学校新建综合楼项目缺口资金减少）。</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（图4：财政拨款收、支决算总计变动情况）</w:t>
      </w:r>
    </w:p>
    <w:p>
      <w:pPr>
        <w:spacing w:line="600" w:lineRule="exact"/>
        <w:ind w:firstLine="640"/>
      </w:pPr>
      <w:r>
        <w:rPr>
          <w:rFonts w:hint="eastAsia" w:ascii="Times New Roman" w:hAnsi="Times New Roman" w:eastAsia="方正仿宋_GBK" w:cs="Times New Roman"/>
          <w:color w:val="auto"/>
          <w:kern w:val="2"/>
          <w:sz w:val="32"/>
          <w:szCs w:val="32"/>
          <w:highlight w:val="none"/>
          <w:lang w:val="en-US" w:eastAsia="zh-CN" w:bidi="ar-SA"/>
        </w:rPr>
        <w:drawing>
          <wp:anchor distT="0" distB="0" distL="114300" distR="114300" simplePos="0" relativeHeight="251659264" behindDoc="1" locked="0" layoutInCell="1" allowOverlap="1">
            <wp:simplePos x="0" y="0"/>
            <wp:positionH relativeFrom="column">
              <wp:posOffset>534035</wp:posOffset>
            </wp:positionH>
            <wp:positionV relativeFrom="paragraph">
              <wp:posOffset>163830</wp:posOffset>
            </wp:positionV>
            <wp:extent cx="4256405" cy="2129790"/>
            <wp:effectExtent l="4445" t="4445" r="6350" b="18415"/>
            <wp:wrapNone/>
            <wp:docPr id="27" name="图表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pPr>
        <w:spacing w:line="600" w:lineRule="exact"/>
        <w:ind w:firstLine="640"/>
      </w:pPr>
    </w:p>
    <w:p>
      <w:pPr>
        <w:spacing w:line="600" w:lineRule="exact"/>
        <w:ind w:firstLine="640"/>
      </w:pPr>
    </w:p>
    <w:p>
      <w:pPr>
        <w:spacing w:line="600" w:lineRule="exact"/>
        <w:rPr>
          <w:rFonts w:hint="eastAsia" w:ascii="Times New Roman" w:hAnsi="Times New Roman" w:eastAsia="仿宋_GB2312" w:cs="Times New Roman"/>
          <w:color w:val="auto"/>
          <w:kern w:val="0"/>
          <w:sz w:val="32"/>
          <w:szCs w:val="32"/>
          <w:lang w:val="en-US" w:eastAsia="zh-CN" w:bidi="ar-SA"/>
        </w:rPr>
      </w:pPr>
    </w:p>
    <w:p>
      <w:pPr>
        <w:spacing w:line="600" w:lineRule="exact"/>
        <w:ind w:firstLine="1280" w:firstLineChars="400"/>
        <w:rPr>
          <w:rFonts w:hint="eastAsia" w:ascii="Times New Roman" w:hAnsi="Times New Roman" w:eastAsia="仿宋_GB2312" w:cs="Times New Roman"/>
          <w:color w:val="auto"/>
          <w:kern w:val="0"/>
          <w:sz w:val="32"/>
          <w:szCs w:val="32"/>
          <w:lang w:val="en-US" w:eastAsia="zh-CN" w:bidi="ar-SA"/>
        </w:rPr>
      </w:pPr>
    </w:p>
    <w:p>
      <w:pPr>
        <w:spacing w:line="600" w:lineRule="exact"/>
        <w:ind w:firstLine="1280" w:firstLineChars="400"/>
        <w:rPr>
          <w:rFonts w:hint="eastAsia" w:ascii="Times New Roman" w:hAnsi="Times New Roman" w:eastAsia="仿宋_GB2312" w:cs="Times New Roman"/>
          <w:color w:val="auto"/>
          <w:kern w:val="0"/>
          <w:sz w:val="32"/>
          <w:szCs w:val="32"/>
          <w:lang w:val="en-US" w:eastAsia="zh-CN" w:bidi="ar-SA"/>
        </w:rPr>
      </w:pPr>
    </w:p>
    <w:p>
      <w:pPr>
        <w:pageBreakBefore w:val="0"/>
        <w:kinsoku/>
        <w:wordWrap/>
        <w:overflowPunct/>
        <w:topLinePunct w:val="0"/>
        <w:bidi w:val="0"/>
        <w:spacing w:line="560" w:lineRule="exact"/>
        <w:ind w:firstLine="640" w:firstLineChars="200"/>
        <w:textAlignment w:val="auto"/>
        <w:outlineLvl w:val="1"/>
        <w:rPr>
          <w:rFonts w:hint="eastAsia" w:ascii="Times New Roman" w:hAnsi="Times New Roman" w:eastAsia="黑体" w:cs="Times New Roman"/>
          <w:b w:val="0"/>
          <w:bCs w:val="0"/>
          <w:sz w:val="32"/>
          <w:szCs w:val="32"/>
        </w:rPr>
      </w:pPr>
      <w:bookmarkStart w:id="63" w:name="_Toc15396607"/>
      <w:bookmarkStart w:id="64" w:name="_Toc15377209"/>
    </w:p>
    <w:p>
      <w:pPr>
        <w:keepNext w:val="0"/>
        <w:keepLines w:val="0"/>
        <w:pageBreakBefore w:val="0"/>
        <w:kinsoku/>
        <w:wordWrap/>
        <w:overflowPunct/>
        <w:topLinePunct w:val="0"/>
        <w:bidi w:val="0"/>
        <w:spacing w:line="240" w:lineRule="auto"/>
        <w:ind w:firstLine="640" w:firstLineChars="200"/>
        <w:textAlignment w:val="auto"/>
        <w:outlineLvl w:val="1"/>
        <w:rPr>
          <w:rFonts w:hint="default" w:ascii="Times New Roman" w:hAnsi="Times New Roman" w:eastAsia="黑体" w:cs="Times New Roman"/>
          <w:color w:val="auto"/>
          <w:sz w:val="32"/>
          <w:szCs w:val="32"/>
          <w:highlight w:val="none"/>
        </w:rPr>
      </w:pPr>
      <w:bookmarkStart w:id="65" w:name="_Toc24188_WPSOffice_Level2"/>
      <w:r>
        <w:rPr>
          <w:rFonts w:hint="eastAsia" w:ascii="Times New Roman" w:hAnsi="Times New Roman" w:eastAsia="黑体" w:cs="Times New Roman"/>
          <w:color w:val="auto"/>
          <w:sz w:val="32"/>
          <w:szCs w:val="32"/>
          <w:highlight w:val="none"/>
        </w:rPr>
        <w:t>五、一般公共预算财政拨款支出决算情况说明</w:t>
      </w:r>
      <w:bookmarkEnd w:id="63"/>
      <w:bookmarkEnd w:id="64"/>
      <w:bookmarkEnd w:id="65"/>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66" w:name="_Toc15377210"/>
      <w:r>
        <w:rPr>
          <w:rFonts w:hint="eastAsia" w:ascii="Times New Roman" w:hAnsi="Times New Roman" w:eastAsia="楷体_GB2312" w:cs="Times New Roman"/>
          <w:b/>
          <w:color w:val="auto"/>
          <w:sz w:val="32"/>
          <w:szCs w:val="32"/>
          <w:highlight w:val="none"/>
          <w:lang w:val="en-US" w:eastAsia="zh-CN"/>
        </w:rPr>
        <w:t>（一）一般公共预算财政拨款支出决算总体情况</w:t>
      </w:r>
      <w:bookmarkEnd w:id="66"/>
    </w:p>
    <w:p>
      <w:pPr>
        <w:pStyle w:val="26"/>
        <w:pageBreakBefore w:val="0"/>
        <w:kinsoku/>
        <w:wordWrap/>
        <w:overflowPunct/>
        <w:topLinePunct w:val="0"/>
        <w:bidi w:val="0"/>
        <w:spacing w:line="560" w:lineRule="exact"/>
        <w:ind w:firstLine="640" w:firstLineChars="20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2,864.75万元，占本年支出合计的100%。与2023年度相比，一般公共预算财政拨款支出减少516.51万元，下降15.28%。主要变动原因是基本支出（人员调出和学生人数减少）和项目经费（学校新建综合楼项目缺口资金减少）。</w:t>
      </w:r>
    </w:p>
    <w:p>
      <w:pPr>
        <w:keepNext w:val="0"/>
        <w:keepLines w:val="0"/>
        <w:pageBreakBefore w:val="0"/>
        <w:kinsoku/>
        <w:wordWrap/>
        <w:overflowPunct/>
        <w:topLinePunct w:val="0"/>
        <w:bidi w:val="0"/>
        <w:spacing w:line="240" w:lineRule="auto"/>
        <w:ind w:firstLine="640"/>
        <w:jc w:val="center"/>
        <w:textAlignment w:val="auto"/>
        <w:rPr>
          <w:rFonts w:hint="eastAsia" w:ascii="Times New Roman" w:hAnsi="Times New Roman" w:eastAsia="仿宋_GB2312" w:cs="Times New Roman"/>
          <w:color w:val="auto"/>
          <w:kern w:val="2"/>
          <w:sz w:val="24"/>
          <w:szCs w:val="24"/>
          <w:highlight w:val="none"/>
          <w:lang w:val="en-US" w:eastAsia="zh-CN" w:bidi="ar-SA"/>
        </w:rPr>
      </w:pPr>
      <w:r>
        <w:rPr>
          <w:rFonts w:hint="eastAsia" w:ascii="Times New Roman" w:hAnsi="Times New Roman" w:eastAsia="仿宋_GB2312" w:cs="Times New Roman"/>
          <w:color w:val="auto"/>
          <w:kern w:val="2"/>
          <w:sz w:val="24"/>
          <w:szCs w:val="24"/>
          <w:highlight w:val="none"/>
          <w:lang w:val="en-US" w:eastAsia="zh-CN" w:bidi="ar-SA"/>
        </w:rPr>
        <w:t>（图5：一般公共预算财政拨款支出决算变动情况）</w:t>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r>
        <w:drawing>
          <wp:anchor distT="0" distB="0" distL="114300" distR="114300" simplePos="0" relativeHeight="251663360" behindDoc="1" locked="0" layoutInCell="1" allowOverlap="1">
            <wp:simplePos x="0" y="0"/>
            <wp:positionH relativeFrom="column">
              <wp:posOffset>640715</wp:posOffset>
            </wp:positionH>
            <wp:positionV relativeFrom="paragraph">
              <wp:posOffset>36830</wp:posOffset>
            </wp:positionV>
            <wp:extent cx="4133850" cy="2302510"/>
            <wp:effectExtent l="4445" t="4445" r="14605" b="17145"/>
            <wp:wrapNone/>
            <wp:docPr id="26" name="图表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
        <w:rPr>
          <w:rFonts w:hint="eastAsia"/>
          <w:lang w:val="en-US" w:eastAsia="zh-CN"/>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pStyle w:val="26"/>
        <w:pageBreakBefore w:val="0"/>
        <w:kinsoku/>
        <w:wordWrap/>
        <w:overflowPunct/>
        <w:topLinePunct w:val="0"/>
        <w:bidi w:val="0"/>
        <w:spacing w:line="560" w:lineRule="exact"/>
        <w:jc w:val="both"/>
        <w:textAlignment w:val="auto"/>
        <w:rPr>
          <w:rFonts w:hint="eastAsia" w:ascii="Times New Roman" w:hAnsi="Times New Roman" w:eastAsia="仿宋_GB2312" w:cs="Times New Roman"/>
          <w:color w:val="auto"/>
          <w:sz w:val="32"/>
          <w:szCs w:val="32"/>
          <w:lang w:val="en-US" w:eastAsia="zh-CN"/>
        </w:rPr>
      </w:pP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67" w:name="_Toc15377211"/>
      <w:r>
        <w:rPr>
          <w:rFonts w:hint="eastAsia" w:ascii="Times New Roman" w:hAnsi="Times New Roman" w:eastAsia="楷体_GB2312" w:cs="Times New Roman"/>
          <w:b/>
          <w:color w:val="auto"/>
          <w:sz w:val="32"/>
          <w:szCs w:val="32"/>
          <w:highlight w:val="none"/>
          <w:lang w:val="en-US" w:eastAsia="zh-CN"/>
        </w:rPr>
        <w:t>（二）一般公共预算财政拨款支出决算结构情况</w:t>
      </w:r>
      <w:bookmarkEnd w:id="67"/>
    </w:p>
    <w:p>
      <w:pPr>
        <w:pStyle w:val="26"/>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center"/>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2024年度一般公共预算财政拨款支出2,864.75万元，主要用于以下方面：教育支出2,052.94万元，占71.66%；社会保障和就业支出405.47万元，占14.15%；卫生健康支出210.29万元，占7.34%；住房保障支出196.05万元，占6.84%。</w:t>
      </w:r>
    </w:p>
    <w:p>
      <w:pPr>
        <w:keepNext w:val="0"/>
        <w:keepLines w:val="0"/>
        <w:pageBreakBefore w:val="0"/>
        <w:kinsoku/>
        <w:wordWrap/>
        <w:overflowPunct/>
        <w:topLinePunct w:val="0"/>
        <w:bidi w:val="0"/>
        <w:spacing w:line="240" w:lineRule="auto"/>
        <w:ind w:firstLine="640"/>
        <w:jc w:val="center"/>
        <w:textAlignment w:val="auto"/>
        <w:rPr>
          <w:sz w:val="18"/>
          <w:szCs w:val="18"/>
        </w:rPr>
      </w:pPr>
      <w:r>
        <w:rPr>
          <w:rFonts w:hint="eastAsia" w:ascii="Times New Roman" w:hAnsi="Times New Roman" w:eastAsia="仿宋_GB2312" w:cs="Times New Roman"/>
          <w:color w:val="auto"/>
          <w:kern w:val="2"/>
          <w:sz w:val="24"/>
          <w:szCs w:val="24"/>
          <w:highlight w:val="none"/>
          <w:lang w:val="en-US" w:eastAsia="zh-CN" w:bidi="ar-SA"/>
        </w:rPr>
        <w:t>（图6：一般公共预算财政拨款支出决算结构）</w:t>
      </w:r>
    </w:p>
    <w:p>
      <w:pPr>
        <w:spacing w:line="600" w:lineRule="exact"/>
        <w:ind w:firstLine="640"/>
      </w:pPr>
      <w:r>
        <w:drawing>
          <wp:anchor distT="0" distB="0" distL="114300" distR="114300" simplePos="0" relativeHeight="251664384" behindDoc="1" locked="0" layoutInCell="1" allowOverlap="1">
            <wp:simplePos x="0" y="0"/>
            <wp:positionH relativeFrom="column">
              <wp:posOffset>593725</wp:posOffset>
            </wp:positionH>
            <wp:positionV relativeFrom="paragraph">
              <wp:posOffset>39370</wp:posOffset>
            </wp:positionV>
            <wp:extent cx="4406900" cy="2496820"/>
            <wp:effectExtent l="4445" t="5080" r="8255" b="12700"/>
            <wp:wrapNone/>
            <wp:docPr id="22" name="图表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pPr>
        <w:spacing w:line="600" w:lineRule="exact"/>
        <w:ind w:firstLine="640"/>
      </w:pPr>
    </w:p>
    <w:p>
      <w:pPr>
        <w:pStyle w:val="13"/>
      </w:pPr>
    </w:p>
    <w:p>
      <w:pPr>
        <w:spacing w:line="600" w:lineRule="exact"/>
      </w:pPr>
    </w:p>
    <w:p>
      <w:pPr>
        <w:spacing w:line="600" w:lineRule="exact"/>
        <w:rPr>
          <w:rFonts w:hint="eastAsia" w:ascii="Times New Roman" w:hAnsi="Times New Roman" w:eastAsia="仿宋_GB2312" w:cs="仿宋_GB2312"/>
          <w:color w:val="auto"/>
          <w:kern w:val="2"/>
          <w:sz w:val="32"/>
          <w:szCs w:val="32"/>
          <w:highlight w:val="none"/>
          <w:lang w:val="en-US" w:eastAsia="zh-CN" w:bidi="ar-SA"/>
        </w:rPr>
      </w:pPr>
    </w:p>
    <w:p>
      <w:pPr>
        <w:spacing w:line="600" w:lineRule="exact"/>
        <w:ind w:firstLine="640"/>
        <w:rPr>
          <w:rFonts w:hint="eastAsia" w:ascii="Times New Roman" w:hAnsi="Times New Roman" w:eastAsia="仿宋_GB2312" w:cs="仿宋_GB2312"/>
          <w:color w:val="auto"/>
          <w:kern w:val="2"/>
          <w:sz w:val="32"/>
          <w:szCs w:val="32"/>
          <w:highlight w:val="none"/>
          <w:lang w:val="en-US" w:eastAsia="zh-CN" w:bidi="ar-SA"/>
        </w:rPr>
      </w:pP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68" w:name="_Toc15377212"/>
      <w:r>
        <w:rPr>
          <w:rFonts w:hint="eastAsia" w:ascii="Times New Roman" w:hAnsi="Times New Roman" w:eastAsia="楷体_GB2312" w:cs="Times New Roman"/>
          <w:b/>
          <w:color w:val="auto"/>
          <w:sz w:val="32"/>
          <w:szCs w:val="32"/>
          <w:highlight w:val="none"/>
          <w:lang w:val="en-US" w:eastAsia="zh-CN"/>
        </w:rPr>
        <w:t>（三）一般公共预算财政拨款支出决算具体情况</w:t>
      </w:r>
      <w:bookmarkEnd w:id="68"/>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bookmarkStart w:id="69" w:name="_Toc15378460"/>
      <w:bookmarkStart w:id="70" w:name="_Toc15377213"/>
      <w:bookmarkStart w:id="71" w:name="_Toc15377444"/>
      <w:r>
        <w:rPr>
          <w:rFonts w:hint="eastAsia" w:ascii="Times New Roman" w:hAnsi="Times New Roman" w:eastAsia="方正仿宋_GBK" w:cs="Times New Roman"/>
          <w:color w:val="auto"/>
          <w:kern w:val="2"/>
          <w:sz w:val="32"/>
          <w:szCs w:val="32"/>
          <w:highlight w:val="none"/>
          <w:lang w:val="en-US" w:eastAsia="zh-CN" w:bidi="ar-SA"/>
        </w:rPr>
        <w:t>2024年度一般公共预算财政拨款支出决算数为2,864.75万元，完成预算100%。其中：</w:t>
      </w:r>
      <w:bookmarkEnd w:id="69"/>
      <w:bookmarkEnd w:id="70"/>
      <w:bookmarkEnd w:id="71"/>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1.教育支出（205类）：支出决算为2,052.94万元，完成预算100%。其中：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①教育支出（205类）普通教育:02款）学前教育（01项）：支出决算数为22.89万元。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②教育支出（205类）普通教育（02款）小学教育（02项）：支出决算数为2,030.05万元。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2.社会保障和就业支出（208类）</w:t>
      </w:r>
      <w:r>
        <w:rPr>
          <w:rFonts w:hint="default" w:ascii="Times New Roman" w:hAnsi="Times New Roman" w:eastAsia="方正仿宋_GBK" w:cs="Times New Roman"/>
          <w:color w:val="auto"/>
          <w:kern w:val="2"/>
          <w:sz w:val="32"/>
          <w:szCs w:val="32"/>
          <w:highlight w:val="none"/>
          <w:lang w:val="en-US" w:eastAsia="zh-CN" w:bidi="ar-SA"/>
        </w:rPr>
        <w:t xml:space="preserve">: </w:t>
      </w:r>
      <w:r>
        <w:rPr>
          <w:rFonts w:hint="eastAsia" w:ascii="Times New Roman" w:hAnsi="Times New Roman" w:eastAsia="方正仿宋_GBK" w:cs="Times New Roman"/>
          <w:color w:val="auto"/>
          <w:kern w:val="2"/>
          <w:sz w:val="32"/>
          <w:szCs w:val="32"/>
          <w:highlight w:val="none"/>
          <w:lang w:val="en-US" w:eastAsia="zh-CN" w:bidi="ar-SA"/>
        </w:rPr>
        <w:t>支出决算为405.47万元，完成预算100%。其中：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①社会保障和就业支出（208类）行政事业单位养老支出（05款）机关事业单位基本养老保险缴费支出（05项）：支出决算数为240.35万元。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②社会保障和就业支出（208类）行政事业单位养老支出（05款）机关事业单位职业年金缴费支出（06项）：支出决算数为25.71万元。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③社会保障和就业支出（208类）行政事业单位养老支出（02款）事业单位离退休（02项）：支出决算数为137.89万元。</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④社会保障和就业支出（208类）抚恤（08款）伤残抚恤（02项）：支出决算数为1.52万元。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3.卫生健康支出（210类）</w:t>
      </w:r>
      <w:r>
        <w:rPr>
          <w:rFonts w:hint="default" w:ascii="Times New Roman" w:hAnsi="Times New Roman" w:eastAsia="方正仿宋_GBK" w:cs="Times New Roman"/>
          <w:color w:val="auto"/>
          <w:kern w:val="2"/>
          <w:sz w:val="32"/>
          <w:szCs w:val="32"/>
          <w:highlight w:val="none"/>
          <w:lang w:val="en-US" w:eastAsia="zh-CN" w:bidi="ar-SA"/>
        </w:rPr>
        <w:t>:</w:t>
      </w:r>
      <w:r>
        <w:rPr>
          <w:rFonts w:hint="eastAsia" w:ascii="Times New Roman" w:hAnsi="Times New Roman" w:eastAsia="方正仿宋_GBK" w:cs="Times New Roman"/>
          <w:color w:val="auto"/>
          <w:kern w:val="2"/>
          <w:sz w:val="32"/>
          <w:szCs w:val="32"/>
          <w:highlight w:val="none"/>
          <w:lang w:val="en-US" w:eastAsia="zh-CN" w:bidi="ar-SA"/>
        </w:rPr>
        <w:t>支出决算为210.29万元，完成预算100%。其中：</w:t>
      </w:r>
    </w:p>
    <w:p>
      <w:pPr>
        <w:keepNext w:val="0"/>
        <w:keepLines w:val="0"/>
        <w:pageBreakBefore w:val="0"/>
        <w:kinsoku/>
        <w:wordWrap/>
        <w:overflowPunct/>
        <w:topLinePunct w:val="0"/>
        <w:bidi w:val="0"/>
        <w:spacing w:line="240" w:lineRule="auto"/>
        <w:ind w:firstLine="640"/>
        <w:textAlignment w:val="auto"/>
        <w:rPr>
          <w:rFonts w:hint="default"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 xml:space="preserve">①卫生健康支出（210类）行政事业单位医疗（11款）事业单位医疗（02项）：支出决算数为128.63万元。  </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②卫生健康支出（210类）行政事业单位医疗（11款）其他行政事业单位医疗支出（99项）：支出决算数为81.66万元。</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住房保障支出（221类）:支出决算为196.05万元，完成预算100%。其中：</w:t>
      </w:r>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住房保障支出（221类）住房改革支出（02款）住房公积金（01项）：支出决算数为196.05万元。</w:t>
      </w:r>
    </w:p>
    <w:p>
      <w:pPr>
        <w:keepNext w:val="0"/>
        <w:keepLines w:val="0"/>
        <w:pageBreakBefore w:val="0"/>
        <w:tabs>
          <w:tab w:val="right" w:pos="8306"/>
        </w:tabs>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72" w:name="_Toc15377214"/>
      <w:bookmarkStart w:id="73" w:name="_Toc15396608"/>
      <w:bookmarkStart w:id="74" w:name="_Toc11098_WPSOffice_Level2"/>
      <w:r>
        <w:rPr>
          <w:rFonts w:hint="eastAsia" w:ascii="Times New Roman" w:hAnsi="Times New Roman" w:eastAsia="黑体" w:cs="Times New Roman"/>
          <w:color w:val="auto"/>
          <w:sz w:val="32"/>
          <w:szCs w:val="32"/>
          <w:highlight w:val="none"/>
        </w:rPr>
        <w:t>六、一般公共预算财政拨款基本支出决算情况说明</w:t>
      </w:r>
      <w:bookmarkEnd w:id="72"/>
      <w:bookmarkEnd w:id="73"/>
      <w:bookmarkEnd w:id="74"/>
      <w:r>
        <w:rPr>
          <w:rFonts w:hint="default" w:ascii="Times New Roman" w:hAnsi="Times New Roman" w:eastAsia="黑体" w:cs="Times New Roman"/>
          <w:color w:val="auto"/>
          <w:sz w:val="32"/>
          <w:szCs w:val="32"/>
          <w:highlight w:val="none"/>
        </w:rPr>
        <w:tab/>
      </w:r>
    </w:p>
    <w:p>
      <w:pPr>
        <w:pStyle w:val="26"/>
        <w:pageBreakBefore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2024年度一般公共预算财政拨款基本支出2,844.16万元，其中：</w:t>
      </w:r>
    </w:p>
    <w:p>
      <w:pPr>
        <w:pStyle w:val="26"/>
        <w:pageBreakBefore w:val="0"/>
        <w:kinsoku/>
        <w:wordWrap/>
        <w:overflowPunct/>
        <w:topLinePunct w:val="0"/>
        <w:bidi w:val="0"/>
        <w:spacing w:line="560" w:lineRule="exact"/>
        <w:ind w:firstLine="640" w:firstLineChars="200"/>
        <w:jc w:val="both"/>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人员经费2,624万元，主要包括：基本工资、津贴补贴、绩效工资、机关事业单位基本养老保险缴费、职业年金缴费、职工基本医疗保险缴费、其他社会保障缴费、住房公积金、医疗费、其他工资福利支出、抚恤金、生活补助、医疗费补助、奖励金。</w:t>
      </w:r>
      <w:r>
        <w:rPr>
          <w:rFonts w:hint="eastAsia" w:ascii="Times New Roman" w:hAnsi="Times New Roman" w:eastAsia="仿宋_GB2312" w:cs="Times New Roman"/>
          <w:color w:val="auto"/>
          <w:sz w:val="32"/>
          <w:szCs w:val="32"/>
          <w:lang w:val="en-US" w:eastAsia="zh-CN"/>
        </w:rPr>
        <w:br w:type="textWrapping"/>
      </w:r>
      <w:r>
        <w:rPr>
          <w:rFonts w:hint="eastAsia" w:ascii="Times New Roman" w:hAnsi="Times New Roman" w:eastAsia="仿宋_GB2312" w:cs="Times New Roman"/>
          <w:color w:val="auto"/>
          <w:sz w:val="32"/>
          <w:szCs w:val="32"/>
          <w:lang w:val="en-US" w:eastAsia="zh-CN"/>
        </w:rPr>
        <w:t>　　公用经费220.16万元，主要包括：办公费、印刷费、水费、电费、邮电费、物业管理费、差旅费、维修（护）费、培训费、专用材料费、劳务费、委托业务费、工会经费、福利费、其他交通费、其他商品和服务支出、专用设备购置。</w:t>
      </w:r>
    </w:p>
    <w:p>
      <w:pPr>
        <w:pageBreakBefore w:val="0"/>
        <w:kinsoku/>
        <w:wordWrap/>
        <w:overflowPunct/>
        <w:topLinePunct w:val="0"/>
        <w:bidi w:val="0"/>
        <w:spacing w:line="560" w:lineRule="exact"/>
        <w:ind w:firstLine="640"/>
        <w:textAlignment w:val="auto"/>
        <w:outlineLvl w:val="1"/>
        <w:rPr>
          <w:rFonts w:hint="default" w:ascii="Times New Roman" w:hAnsi="Times New Roman" w:eastAsia="黑体" w:cs="Times New Roman"/>
          <w:b w:val="0"/>
          <w:bCs w:val="0"/>
          <w:sz w:val="32"/>
          <w:szCs w:val="32"/>
        </w:rPr>
      </w:pPr>
      <w:bookmarkStart w:id="75" w:name="_Toc15377215"/>
      <w:bookmarkStart w:id="76" w:name="_Toc15396609"/>
      <w:bookmarkStart w:id="77" w:name="_Toc25455_WPSOffice_Level2"/>
      <w:r>
        <w:rPr>
          <w:rFonts w:hint="eastAsia" w:ascii="Times New Roman" w:hAnsi="Times New Roman" w:eastAsia="黑体" w:cs="Times New Roman"/>
          <w:b w:val="0"/>
          <w:bCs w:val="0"/>
          <w:sz w:val="32"/>
          <w:szCs w:val="32"/>
        </w:rPr>
        <w:t>七、财政拨款“三公”经费支出决算情况说明</w:t>
      </w:r>
      <w:bookmarkEnd w:id="75"/>
      <w:bookmarkEnd w:id="76"/>
      <w:bookmarkEnd w:id="77"/>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78" w:name="_Toc15377216"/>
      <w:r>
        <w:rPr>
          <w:rFonts w:hint="eastAsia" w:ascii="Times New Roman" w:hAnsi="Times New Roman" w:eastAsia="楷体_GB2312" w:cs="Times New Roman"/>
          <w:b/>
          <w:color w:val="auto"/>
          <w:sz w:val="32"/>
          <w:szCs w:val="32"/>
          <w:highlight w:val="none"/>
          <w:lang w:val="en-US" w:eastAsia="zh-CN"/>
        </w:rPr>
        <w:t>（一）“三公”经费财政拨款支出决算总体情况说明</w:t>
      </w:r>
      <w:bookmarkEnd w:id="78"/>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2024年度“三公”经费财政拨款支出决算为0万元，完成预算0%，与上年度持。</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79" w:name="_Toc15377217"/>
      <w:r>
        <w:rPr>
          <w:rFonts w:hint="eastAsia" w:ascii="Times New Roman" w:hAnsi="Times New Roman" w:eastAsia="楷体_GB2312" w:cs="Times New Roman"/>
          <w:b/>
          <w:color w:val="auto"/>
          <w:sz w:val="32"/>
          <w:szCs w:val="32"/>
          <w:highlight w:val="none"/>
          <w:lang w:val="en-US" w:eastAsia="zh-CN"/>
        </w:rPr>
        <w:t>（二）“三公”经费财政拨款支出决算具体情况说明</w:t>
      </w:r>
      <w:bookmarkEnd w:id="79"/>
    </w:p>
    <w:p>
      <w:pPr>
        <w:keepNext w:val="0"/>
        <w:keepLines w:val="0"/>
        <w:pageBreakBefore w:val="0"/>
        <w:kinsoku/>
        <w:wordWrap/>
        <w:overflowPunct/>
        <w:topLinePunct w:val="0"/>
        <w:bidi w:val="0"/>
        <w:spacing w:line="240" w:lineRule="auto"/>
        <w:ind w:firstLine="640"/>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2024年度“三公”经费财政拨款支出决算中，因公出国（境）费支出决算0万元，占0%；公务用车购置及运行维护费支出决算0万元，占0%；公务接待费支出决算0万元，占0%。具体情况如下：</w:t>
      </w:r>
    </w:p>
    <w:p>
      <w:pPr>
        <w:pStyle w:val="26"/>
        <w:pageBreakBefore w:val="0"/>
        <w:kinsoku/>
        <w:wordWrap/>
        <w:overflowPunct/>
        <w:topLinePunct w:val="0"/>
        <w:bidi w:val="0"/>
        <w:spacing w:line="560" w:lineRule="exact"/>
        <w:ind w:firstLine="643"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1.因公出国（境）经费支出0万元，完成预算0%。</w:t>
      </w:r>
      <w:r>
        <w:rPr>
          <w:rFonts w:hint="eastAsia" w:ascii="Times New Roman" w:hAnsi="Times New Roman" w:eastAsia="方正仿宋_GBK" w:cs="Times New Roman"/>
          <w:color w:val="auto"/>
          <w:kern w:val="2"/>
          <w:sz w:val="32"/>
          <w:szCs w:val="32"/>
          <w:highlight w:val="none"/>
          <w:lang w:val="en-US" w:eastAsia="zh-CN" w:bidi="ar-SA"/>
        </w:rPr>
        <w:t>全年安排因公出国（境）团组0次，出国（境）0人。因公出国（境）支出决算与2023年持平。</w:t>
      </w:r>
    </w:p>
    <w:p>
      <w:pPr>
        <w:pStyle w:val="26"/>
        <w:pageBreakBefore w:val="0"/>
        <w:kinsoku/>
        <w:wordWrap/>
        <w:overflowPunct/>
        <w:topLinePunct w:val="0"/>
        <w:bidi w:val="0"/>
        <w:spacing w:line="560" w:lineRule="exact"/>
        <w:ind w:firstLine="643"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2.公务用车购置及运行维护费支出0万元，完成预算0%。</w:t>
      </w:r>
      <w:r>
        <w:rPr>
          <w:rFonts w:hint="eastAsia" w:ascii="Times New Roman" w:hAnsi="Times New Roman" w:eastAsia="方正仿宋_GBK" w:cs="Times New Roman"/>
          <w:color w:val="auto"/>
          <w:kern w:val="2"/>
          <w:sz w:val="32"/>
          <w:szCs w:val="32"/>
          <w:highlight w:val="none"/>
          <w:lang w:val="en-US" w:eastAsia="zh-CN" w:bidi="ar-SA"/>
        </w:rPr>
        <w:t>公务用车购置及运行维护费支出决算与2023年度持平</w:t>
      </w:r>
    </w:p>
    <w:p>
      <w:pPr>
        <w:pStyle w:val="26"/>
        <w:pageBreakBefore w:val="0"/>
        <w:kinsoku/>
        <w:wordWrap/>
        <w:overflowPunct/>
        <w:topLinePunct w:val="0"/>
        <w:bidi w:val="0"/>
        <w:spacing w:line="56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其中：公务用车购置支出0万元。全年按规定更新购置公务用车0辆，其中：轿车0辆、金额0万元，越野车0辆、金额0万元，载客汽车0辆、金额0万元。截至2024年12月31日，单位共有公务用车0辆，其中：轿车0辆、越野车0辆、载客汽车0辆。</w:t>
      </w:r>
    </w:p>
    <w:p>
      <w:pPr>
        <w:pStyle w:val="26"/>
        <w:pageBreakBefore w:val="0"/>
        <w:kinsoku/>
        <w:wordWrap/>
        <w:overflowPunct/>
        <w:topLinePunct w:val="0"/>
        <w:bidi w:val="0"/>
        <w:spacing w:line="56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公务用车运行维护费支出0万元。</w:t>
      </w:r>
    </w:p>
    <w:p>
      <w:pPr>
        <w:pStyle w:val="26"/>
        <w:pageBreakBefore w:val="0"/>
        <w:kinsoku/>
        <w:wordWrap/>
        <w:overflowPunct/>
        <w:topLinePunct w:val="0"/>
        <w:bidi w:val="0"/>
        <w:spacing w:line="560" w:lineRule="exact"/>
        <w:ind w:firstLine="643"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仿宋_GB2312" w:cs="Times New Roman"/>
          <w:b/>
          <w:bCs/>
          <w:color w:val="auto"/>
          <w:kern w:val="2"/>
          <w:sz w:val="32"/>
          <w:szCs w:val="32"/>
          <w:highlight w:val="none"/>
          <w:lang w:val="en-US" w:eastAsia="zh-CN" w:bidi="ar-SA"/>
        </w:rPr>
        <w:t>3.公务接待费支出0万元，完成预算0%。</w:t>
      </w:r>
      <w:r>
        <w:rPr>
          <w:rFonts w:hint="eastAsia" w:ascii="Times New Roman" w:hAnsi="Times New Roman" w:eastAsia="方正仿宋_GBK" w:cs="Times New Roman"/>
          <w:color w:val="auto"/>
          <w:kern w:val="2"/>
          <w:sz w:val="32"/>
          <w:szCs w:val="32"/>
          <w:highlight w:val="none"/>
          <w:lang w:val="en-US" w:eastAsia="zh-CN" w:bidi="ar-SA"/>
        </w:rPr>
        <w:t>公务接待费支出决算与2023年度持平。其中：</w:t>
      </w:r>
    </w:p>
    <w:p>
      <w:pPr>
        <w:pStyle w:val="26"/>
        <w:pageBreakBefore w:val="0"/>
        <w:kinsoku/>
        <w:wordWrap/>
        <w:overflowPunct/>
        <w:topLinePunct w:val="0"/>
        <w:bidi w:val="0"/>
        <w:spacing w:line="56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国内公务接待支出0万元。国内公务接待0批次，0人次（不包括陪同人员），共计支出0万元。</w:t>
      </w:r>
    </w:p>
    <w:p>
      <w:pPr>
        <w:pStyle w:val="26"/>
        <w:pageBreakBefore w:val="0"/>
        <w:kinsoku/>
        <w:wordWrap/>
        <w:overflowPunct/>
        <w:topLinePunct w:val="0"/>
        <w:bidi w:val="0"/>
        <w:spacing w:line="560" w:lineRule="exact"/>
        <w:ind w:firstLine="640" w:firstLineChars="200"/>
        <w:jc w:val="both"/>
        <w:textAlignment w:val="auto"/>
        <w:rPr>
          <w:rFonts w:hint="eastAsia" w:ascii="Times New Roman" w:hAnsi="Times New Roman" w:eastAsia="方正仿宋_GBK" w:cs="Times New Roman"/>
          <w:color w:val="auto"/>
          <w:kern w:val="2"/>
          <w:sz w:val="32"/>
          <w:szCs w:val="32"/>
          <w:highlight w:val="none"/>
          <w:lang w:val="en-US" w:eastAsia="zh-CN" w:bidi="ar-SA"/>
        </w:rPr>
      </w:pPr>
      <w:r>
        <w:rPr>
          <w:rFonts w:hint="eastAsia" w:ascii="Times New Roman" w:hAnsi="Times New Roman" w:eastAsia="方正仿宋_GBK" w:cs="Times New Roman"/>
          <w:color w:val="auto"/>
          <w:kern w:val="2"/>
          <w:sz w:val="32"/>
          <w:szCs w:val="32"/>
          <w:highlight w:val="none"/>
          <w:lang w:val="en-US" w:eastAsia="zh-CN" w:bidi="ar-SA"/>
        </w:rPr>
        <w:t>外事接待支出0万元。外事接待0批次，0人次（不包括陪同人员），共计支出0万元。</w:t>
      </w:r>
      <w:bookmarkStart w:id="80" w:name="_Toc15377218"/>
      <w:bookmarkStart w:id="81" w:name="_Toc15396610"/>
    </w:p>
    <w:p>
      <w:pPr>
        <w:keepNext w:val="0"/>
        <w:keepLines w:val="0"/>
        <w:pageBreakBefore w:val="0"/>
        <w:kinsoku/>
        <w:wordWrap/>
        <w:overflowPunct/>
        <w:topLinePunct w:val="0"/>
        <w:bidi w:val="0"/>
        <w:spacing w:line="240" w:lineRule="auto"/>
        <w:ind w:firstLine="640"/>
        <w:textAlignment w:val="auto"/>
        <w:outlineLvl w:val="1"/>
        <w:rPr>
          <w:rFonts w:hint="default" w:ascii="Times New Roman" w:hAnsi="Times New Roman" w:eastAsia="黑体" w:cs="Times New Roman"/>
          <w:color w:val="auto"/>
          <w:sz w:val="32"/>
          <w:szCs w:val="32"/>
          <w:highlight w:val="none"/>
        </w:rPr>
      </w:pPr>
      <w:bookmarkStart w:id="82" w:name="_Toc24016_WPSOffice_Level2"/>
      <w:r>
        <w:rPr>
          <w:rFonts w:hint="eastAsia" w:ascii="Times New Roman" w:hAnsi="Times New Roman" w:eastAsia="黑体" w:cs="Times New Roman"/>
          <w:color w:val="auto"/>
          <w:sz w:val="32"/>
          <w:szCs w:val="32"/>
          <w:highlight w:val="none"/>
        </w:rPr>
        <w:t>八、政府性基金预算支出决算情况说明</w:t>
      </w:r>
      <w:bookmarkEnd w:id="80"/>
      <w:bookmarkEnd w:id="81"/>
      <w:bookmarkEnd w:id="82"/>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2024年度政府性基金预算财政拨款支出0万元，占本年支出合计的0%。与2023年度相比，政府性基金预算财政拨款支出持平。</w:t>
      </w:r>
      <w:bookmarkStart w:id="83" w:name="_Toc15377219"/>
      <w:bookmarkStart w:id="84" w:name="_Toc15396611"/>
    </w:p>
    <w:p>
      <w:pPr>
        <w:pageBreakBefore w:val="0"/>
        <w:kinsoku/>
        <w:wordWrap/>
        <w:overflowPunct/>
        <w:topLinePunct w:val="0"/>
        <w:bidi w:val="0"/>
        <w:spacing w:line="560" w:lineRule="exact"/>
        <w:ind w:firstLine="640"/>
        <w:textAlignment w:val="auto"/>
        <w:outlineLvl w:val="1"/>
        <w:rPr>
          <w:rFonts w:hint="eastAsia" w:ascii="Times New Roman" w:hAnsi="Times New Roman" w:eastAsia="黑体" w:cs="Times New Roman"/>
          <w:b w:val="0"/>
          <w:bCs w:val="0"/>
          <w:sz w:val="32"/>
          <w:szCs w:val="32"/>
          <w:lang w:val="en-US" w:eastAsia="zh-CN"/>
        </w:rPr>
      </w:pPr>
      <w:bookmarkStart w:id="85" w:name="_Toc19134_WPSOffice_Level2"/>
      <w:r>
        <w:rPr>
          <w:rFonts w:hint="eastAsia" w:ascii="Times New Roman" w:hAnsi="Times New Roman" w:eastAsia="黑体" w:cs="Times New Roman"/>
          <w:b w:val="0"/>
          <w:bCs w:val="0"/>
          <w:sz w:val="32"/>
          <w:szCs w:val="32"/>
          <w:lang w:val="en-US" w:eastAsia="zh-CN"/>
        </w:rPr>
        <w:t>九、国有资本经营预算支出决算情况说明</w:t>
      </w:r>
      <w:bookmarkEnd w:id="83"/>
      <w:bookmarkEnd w:id="84"/>
      <w:bookmarkEnd w:id="85"/>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2024年度国有资本经营预算财政拨款支出0万元，占本年支出合计的0%。与2023年度相比，国有资本经营预算财政拨款支出</w:t>
      </w:r>
      <w:bookmarkStart w:id="86" w:name="_Toc15396612"/>
      <w:bookmarkStart w:id="87" w:name="_Toc15377221"/>
      <w:r>
        <w:rPr>
          <w:rFonts w:hint="eastAsia" w:ascii="Times New Roman" w:hAnsi="Times New Roman" w:eastAsia="方正仿宋_GBK" w:cs="Times New Roman"/>
          <w:color w:val="auto"/>
          <w:sz w:val="32"/>
          <w:szCs w:val="32"/>
          <w:lang w:val="en-US" w:eastAsia="zh-CN"/>
        </w:rPr>
        <w:t>产持平。</w:t>
      </w:r>
    </w:p>
    <w:p>
      <w:pPr>
        <w:pageBreakBefore w:val="0"/>
        <w:kinsoku/>
        <w:wordWrap/>
        <w:overflowPunct/>
        <w:topLinePunct w:val="0"/>
        <w:bidi w:val="0"/>
        <w:spacing w:line="560" w:lineRule="exact"/>
        <w:ind w:firstLine="640"/>
        <w:textAlignment w:val="auto"/>
        <w:outlineLvl w:val="1"/>
        <w:rPr>
          <w:rFonts w:hint="eastAsia" w:ascii="Times New Roman" w:hAnsi="Times New Roman" w:eastAsia="黑体" w:cs="Times New Roman"/>
          <w:b w:val="0"/>
          <w:bCs w:val="0"/>
          <w:sz w:val="32"/>
          <w:szCs w:val="32"/>
          <w:lang w:val="en-US" w:eastAsia="zh-CN"/>
        </w:rPr>
      </w:pPr>
      <w:bookmarkStart w:id="88" w:name="_Toc25589_WPSOffice_Level2"/>
      <w:r>
        <w:rPr>
          <w:rFonts w:hint="eastAsia" w:ascii="Times New Roman" w:hAnsi="Times New Roman" w:eastAsia="黑体" w:cs="Times New Roman"/>
          <w:b w:val="0"/>
          <w:bCs w:val="0"/>
          <w:sz w:val="32"/>
          <w:szCs w:val="32"/>
          <w:lang w:val="en-US" w:eastAsia="zh-CN"/>
        </w:rPr>
        <w:t>十、其他重要事项的情况说明</w:t>
      </w:r>
      <w:bookmarkEnd w:id="86"/>
      <w:bookmarkEnd w:id="87"/>
      <w:bookmarkEnd w:id="88"/>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89" w:name="_Toc15377222"/>
      <w:r>
        <w:rPr>
          <w:rFonts w:hint="eastAsia" w:ascii="Times New Roman" w:hAnsi="Times New Roman" w:eastAsia="楷体_GB2312" w:cs="Times New Roman"/>
          <w:b/>
          <w:color w:val="auto"/>
          <w:sz w:val="32"/>
          <w:szCs w:val="32"/>
          <w:highlight w:val="none"/>
          <w:lang w:val="en-US" w:eastAsia="zh-CN"/>
        </w:rPr>
        <w:t>（一）机关运行经费支出情况</w:t>
      </w:r>
      <w:bookmarkEnd w:id="89"/>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2024年度，盐边县永兴镇中心学校机关运行经费支出0万元，与2023年度持平。</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90" w:name="_Toc15377223"/>
      <w:r>
        <w:rPr>
          <w:rFonts w:hint="eastAsia" w:ascii="Times New Roman" w:hAnsi="Times New Roman" w:eastAsia="楷体_GB2312" w:cs="Times New Roman"/>
          <w:b/>
          <w:color w:val="auto"/>
          <w:sz w:val="32"/>
          <w:szCs w:val="32"/>
          <w:highlight w:val="none"/>
          <w:lang w:val="en-US" w:eastAsia="zh-CN"/>
        </w:rPr>
        <w:t>（二）政府采购支出情况</w:t>
      </w:r>
      <w:bookmarkEnd w:id="90"/>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2024年度，盐边县永兴镇中心学校政府采购支出总额334.9万元，其中：政府采购货物支出0万元、政府采购工程支出334.9万元、政府采购服务支出0万元。主要用于校园校舍修缮工程。授予中小企业合同金额334.9万元，占政府采购支出总额的100%，其中：授予小微企业合同金额334.9万元，占政府采购支出总额的100%。</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lang w:val="en-US" w:eastAsia="zh-CN"/>
        </w:rPr>
      </w:pPr>
      <w:bookmarkStart w:id="91" w:name="_Toc15377224"/>
      <w:r>
        <w:rPr>
          <w:rFonts w:hint="eastAsia" w:ascii="Times New Roman" w:hAnsi="Times New Roman" w:eastAsia="楷体_GB2312" w:cs="Times New Roman"/>
          <w:b/>
          <w:color w:val="auto"/>
          <w:sz w:val="32"/>
          <w:szCs w:val="32"/>
          <w:highlight w:val="none"/>
          <w:lang w:val="en-US" w:eastAsia="zh-CN"/>
        </w:rPr>
        <w:t>（三）国有资产占有使用情况</w:t>
      </w:r>
      <w:bookmarkEnd w:id="91"/>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截至2024年12月31日，盐边县永兴镇中心学校共有车辆0辆，其中：主要负责人用车0辆、机要通信用车0辆、应急保障用车0辆、其他用车0辆。单价100万元（含）以上设备（不含车辆）0台（套）。</w:t>
      </w:r>
    </w:p>
    <w:p>
      <w:pPr>
        <w:keepNext w:val="0"/>
        <w:keepLines w:val="0"/>
        <w:pageBreakBefore w:val="0"/>
        <w:kinsoku/>
        <w:wordWrap/>
        <w:overflowPunct/>
        <w:topLinePunct w:val="0"/>
        <w:bidi w:val="0"/>
        <w:spacing w:line="240" w:lineRule="auto"/>
        <w:ind w:firstLine="643" w:firstLineChars="200"/>
        <w:textAlignment w:val="auto"/>
        <w:outlineLvl w:val="2"/>
        <w:rPr>
          <w:rFonts w:hint="eastAsia" w:ascii="Times New Roman" w:hAnsi="Times New Roman" w:eastAsia="楷体_GB2312" w:cs="Times New Roman"/>
          <w:b/>
          <w:color w:val="auto"/>
          <w:sz w:val="32"/>
          <w:szCs w:val="32"/>
          <w:highlight w:val="none"/>
        </w:rPr>
      </w:pPr>
      <w:r>
        <w:rPr>
          <w:rFonts w:hint="eastAsia" w:ascii="Times New Roman" w:hAnsi="Times New Roman" w:eastAsia="楷体_GB2312" w:cs="Times New Roman"/>
          <w:b/>
          <w:color w:val="auto"/>
          <w:sz w:val="32"/>
          <w:szCs w:val="32"/>
          <w:highlight w:val="none"/>
        </w:rPr>
        <w:t>（四）预算绩效管理情况</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根据预算绩效管理要求，本单位在2023年度预算编制阶段，组织对</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个项目（</w:t>
      </w:r>
      <w:r>
        <w:rPr>
          <w:rFonts w:hint="eastAsia" w:ascii="Times New Roman" w:hAnsi="Times New Roman"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.幼儿园保教费减免、</w:t>
      </w:r>
      <w:r>
        <w:rPr>
          <w:rFonts w:hint="eastAsia" w:ascii="Times New Roman" w:hAnsi="Times New Roman" w:eastAsia="方正仿宋_GBK" w:cs="Times New Roman"/>
          <w:color w:val="auto"/>
          <w:sz w:val="32"/>
          <w:szCs w:val="32"/>
          <w:lang w:val="en-US" w:eastAsia="zh-CN"/>
        </w:rPr>
        <w:t>2</w:t>
      </w:r>
      <w:r>
        <w:rPr>
          <w:rFonts w:hint="default" w:ascii="Times New Roman" w:hAnsi="Times New Roman" w:eastAsia="方正仿宋_GBK" w:cs="Times New Roman"/>
          <w:color w:val="auto"/>
          <w:sz w:val="32"/>
          <w:szCs w:val="32"/>
          <w:lang w:val="en-US" w:eastAsia="zh-CN"/>
        </w:rPr>
        <w:t>.特殊教育学生公用经费、</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.盐边县永兴镇中心学校修缮工程）开展了预算事前绩效评估，编制了绩效目标，预算执行过程中，选取</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个项目开展绩效监控，组织对</w:t>
      </w:r>
      <w:r>
        <w:rPr>
          <w:rFonts w:hint="eastAsia" w:ascii="Times New Roman" w:hAnsi="Times New Roman" w:eastAsia="方正仿宋_GBK" w:cs="Times New Roman"/>
          <w:color w:val="auto"/>
          <w:sz w:val="32"/>
          <w:szCs w:val="32"/>
          <w:lang w:val="en-US" w:eastAsia="zh-CN"/>
        </w:rPr>
        <w:t>3</w:t>
      </w:r>
      <w:r>
        <w:rPr>
          <w:rFonts w:hint="default" w:ascii="Times New Roman" w:hAnsi="Times New Roman" w:eastAsia="方正仿宋_GBK" w:cs="Times New Roman"/>
          <w:color w:val="auto"/>
          <w:sz w:val="32"/>
          <w:szCs w:val="32"/>
          <w:lang w:val="en-US" w:eastAsia="zh-CN"/>
        </w:rPr>
        <w:t>个项目开展绩效自评，绩效自评表详见第四部分附件。</w:t>
      </w:r>
    </w:p>
    <w:p>
      <w:pPr>
        <w:numPr>
          <w:ilvl w:val="0"/>
          <w:numId w:val="0"/>
        </w:numPr>
        <w:spacing w:line="600" w:lineRule="exact"/>
        <w:jc w:val="center"/>
        <w:outlineLvl w:val="0"/>
        <w:rPr>
          <w:rFonts w:hint="eastAsia" w:ascii="Times New Roman" w:hAnsi="Times New Roman" w:eastAsia="黑体"/>
          <w:color w:val="auto"/>
          <w:sz w:val="44"/>
          <w:szCs w:val="44"/>
          <w:highlight w:val="none"/>
        </w:rPr>
      </w:pPr>
      <w:bookmarkStart w:id="92" w:name="_Toc15377225"/>
      <w:bookmarkStart w:id="93" w:name="_Toc15396613"/>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center"/>
        <w:outlineLvl w:val="0"/>
        <w:rPr>
          <w:rFonts w:hint="eastAsia" w:ascii="Times New Roman" w:hAnsi="Times New Roman" w:eastAsia="黑体"/>
          <w:color w:val="auto"/>
          <w:sz w:val="44"/>
          <w:szCs w:val="44"/>
          <w:highlight w:val="none"/>
        </w:rPr>
      </w:pPr>
    </w:p>
    <w:p>
      <w:pPr>
        <w:numPr>
          <w:ilvl w:val="0"/>
          <w:numId w:val="0"/>
        </w:numPr>
        <w:spacing w:line="600" w:lineRule="exact"/>
        <w:jc w:val="both"/>
        <w:outlineLvl w:val="0"/>
        <w:rPr>
          <w:rFonts w:hint="eastAsia" w:ascii="Times New Roman" w:hAnsi="Times New Roman" w:eastAsia="黑体"/>
          <w:color w:val="auto"/>
          <w:sz w:val="44"/>
          <w:szCs w:val="44"/>
          <w:highlight w:val="none"/>
        </w:rPr>
      </w:pPr>
    </w:p>
    <w:p>
      <w:pPr>
        <w:pStyle w:val="3"/>
        <w:pageBreakBefore w:val="0"/>
        <w:kinsoku/>
        <w:wordWrap/>
        <w:overflowPunct/>
        <w:topLinePunct w:val="0"/>
        <w:bidi w:val="0"/>
        <w:spacing w:line="560" w:lineRule="exact"/>
        <w:ind w:right="440"/>
        <w:jc w:val="center"/>
        <w:textAlignment w:val="auto"/>
        <w:rPr>
          <w:rFonts w:ascii="Times New Roman" w:hAnsi="Times New Roman"/>
          <w:b/>
          <w:color w:val="auto"/>
          <w:sz w:val="44"/>
          <w:szCs w:val="44"/>
          <w:highlight w:val="none"/>
        </w:rPr>
      </w:pPr>
      <w:bookmarkStart w:id="94" w:name="_Toc13986_WPSOffice_Level1"/>
      <w:r>
        <w:rPr>
          <w:rFonts w:hint="eastAsia" w:ascii="Times New Roman" w:hAnsi="Times New Roman" w:eastAsia="黑体" w:cs="Times New Roman"/>
          <w:b w:val="0"/>
          <w:sz w:val="44"/>
          <w:szCs w:val="44"/>
          <w:lang w:eastAsia="zh-CN"/>
        </w:rPr>
        <w:t>第三部分</w:t>
      </w:r>
      <w:r>
        <w:rPr>
          <w:rFonts w:hint="eastAsia" w:ascii="Times New Roman" w:hAnsi="Times New Roman" w:eastAsia="黑体" w:cs="Times New Roman"/>
          <w:b w:val="0"/>
          <w:sz w:val="44"/>
          <w:szCs w:val="44"/>
          <w:lang w:val="en-US" w:eastAsia="zh-CN"/>
        </w:rPr>
        <w:t xml:space="preserve">  </w:t>
      </w:r>
      <w:r>
        <w:rPr>
          <w:rFonts w:hint="eastAsia" w:ascii="Times New Roman" w:hAnsi="Times New Roman" w:eastAsia="黑体" w:cs="Times New Roman"/>
          <w:b w:val="0"/>
          <w:sz w:val="44"/>
          <w:szCs w:val="44"/>
          <w:lang w:eastAsia="zh-CN"/>
        </w:rPr>
        <w:t>名词解释</w:t>
      </w:r>
      <w:bookmarkEnd w:id="92"/>
      <w:bookmarkEnd w:id="93"/>
      <w:bookmarkEnd w:id="94"/>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1.财政拨款收入：指单位从同级财政部门取得的财政预算资金。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2.事业收入：指事业单位开展专业业务活动及辅助活动取得的收入。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3.经营收入：指事业单位在专业业务活动及其辅助活动之外开展非独立核算经营活动取得的收入。</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4.其他收入：指单位取得的除上述收入以外的各项收入。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5.使用非财政拨款结余（含专用结余）：指事业单位使用以前年度积累的非财政拨款结余弥补当年收支差额的金额。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 xml:space="preserve">6.年初结转和结余：指以前年度尚未完成、结转到本年按有关规定继续使用的资金。 </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7.结余分配：指事业单位按照会计制度规定缴纳的所得税、提取的专用结余以及转入非财政拨款结余的金额等。</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8.年末结转和结余：指单位按有关规定结转到下年或以后年度继续使用的资金。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9.</w:t>
      </w:r>
      <w:bookmarkStart w:id="95" w:name="_Toc15396614"/>
      <w:bookmarkStart w:id="96" w:name="_Toc15377226"/>
      <w:bookmarkStart w:id="97" w:name="_Toc15396618"/>
      <w:r>
        <w:rPr>
          <w:rFonts w:hint="eastAsia" w:ascii="Times New Roman" w:hAnsi="Times New Roman" w:eastAsia="方正仿宋_GBK" w:cs="Times New Roman"/>
          <w:color w:val="auto"/>
          <w:sz w:val="32"/>
          <w:szCs w:val="32"/>
          <w:lang w:val="en-US" w:eastAsia="zh-CN"/>
        </w:rPr>
        <w:t>教育支出（类）普通教育（款）学前教育</w:t>
      </w:r>
      <w:r>
        <w:rPr>
          <w:rFonts w:hint="eastAsia" w:ascii="Times New Roman" w:hAnsi="Times New Roman" w:eastAsia="方正仿宋_GBK" w:cs="Times New Roman"/>
          <w:color w:val="auto"/>
          <w:sz w:val="32"/>
          <w:szCs w:val="32"/>
          <w:lang w:val="zh-CN" w:eastAsia="zh-CN"/>
        </w:rPr>
        <w:t>（项）：反映各部门举办的学前教育支出。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10.</w:t>
      </w:r>
      <w:r>
        <w:rPr>
          <w:rFonts w:hint="eastAsia" w:ascii="Times New Roman" w:hAnsi="Times New Roman" w:eastAsia="方正仿宋_GBK" w:cs="Times New Roman"/>
          <w:color w:val="auto"/>
          <w:sz w:val="32"/>
          <w:szCs w:val="32"/>
          <w:lang w:val="zh-CN" w:eastAsia="zh-CN"/>
        </w:rPr>
        <w:t xml:space="preserve"> </w:t>
      </w:r>
      <w:r>
        <w:rPr>
          <w:rFonts w:hint="eastAsia" w:ascii="Times New Roman" w:hAnsi="Times New Roman" w:eastAsia="方正仿宋_GBK" w:cs="Times New Roman"/>
          <w:color w:val="auto"/>
          <w:sz w:val="32"/>
          <w:szCs w:val="32"/>
          <w:lang w:val="en-US" w:eastAsia="zh-CN"/>
        </w:rPr>
        <w:t>教育支出（类）普通教育（款）小学教育</w:t>
      </w:r>
      <w:r>
        <w:rPr>
          <w:rFonts w:hint="eastAsia" w:ascii="Times New Roman" w:hAnsi="Times New Roman" w:eastAsia="方正仿宋_GBK" w:cs="Times New Roman"/>
          <w:color w:val="auto"/>
          <w:sz w:val="32"/>
          <w:szCs w:val="32"/>
          <w:lang w:val="zh-CN" w:eastAsia="zh-CN"/>
        </w:rPr>
        <w:t>（项）：反映各部门举办的小学教育支出。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zh-CN" w:eastAsia="zh-CN"/>
        </w:rPr>
        <w:t>11</w:t>
      </w:r>
      <w:r>
        <w:rPr>
          <w:rFonts w:hint="eastAsia" w:ascii="Times New Roman" w:hAnsi="Times New Roman" w:eastAsia="方正仿宋_GBK" w:cs="Times New Roman"/>
          <w:color w:val="auto"/>
          <w:sz w:val="32"/>
          <w:szCs w:val="32"/>
          <w:lang w:val="en-US" w:eastAsia="zh-CN"/>
        </w:rPr>
        <w:t>.社会保障和就业支出（类）行政事业单位养老支出（款）事业单位离退休费（项）：反映事业单位开支的离退休经费。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2</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zh-CN" w:eastAsia="zh-CN"/>
        </w:rPr>
        <w:t>（款）机关事业单位</w:t>
      </w:r>
      <w:r>
        <w:rPr>
          <w:rFonts w:hint="eastAsia" w:ascii="Times New Roman" w:hAnsi="Times New Roman" w:eastAsia="方正仿宋_GBK" w:cs="Times New Roman"/>
          <w:color w:val="auto"/>
          <w:sz w:val="32"/>
          <w:szCs w:val="32"/>
          <w:lang w:val="en-US" w:eastAsia="zh-CN"/>
        </w:rPr>
        <w:t>基本</w:t>
      </w:r>
      <w:r>
        <w:rPr>
          <w:rFonts w:hint="eastAsia" w:ascii="Times New Roman" w:hAnsi="Times New Roman" w:eastAsia="方正仿宋_GBK" w:cs="Times New Roman"/>
          <w:color w:val="auto"/>
          <w:sz w:val="32"/>
          <w:szCs w:val="32"/>
          <w:lang w:val="zh-CN" w:eastAsia="zh-CN"/>
        </w:rPr>
        <w:t>养老保险缴费支出（项）：反映</w:t>
      </w:r>
      <w:r>
        <w:rPr>
          <w:rFonts w:hint="eastAsia" w:ascii="Times New Roman" w:hAnsi="Times New Roman" w:eastAsia="方正仿宋_GBK" w:cs="Times New Roman"/>
          <w:color w:val="auto"/>
          <w:sz w:val="32"/>
          <w:szCs w:val="32"/>
          <w:lang w:val="en-US" w:eastAsia="zh-CN"/>
        </w:rPr>
        <w:t>机关事业单位实施养老保险制度由单位缴纳的基本养老保险费支出</w:t>
      </w:r>
      <w:r>
        <w:rPr>
          <w:rFonts w:hint="eastAsia" w:ascii="Times New Roman" w:hAnsi="Times New Roman" w:eastAsia="方正仿宋_GBK" w:cs="Times New Roman"/>
          <w:color w:val="auto"/>
          <w:sz w:val="32"/>
          <w:szCs w:val="32"/>
          <w:lang w:val="zh-CN" w:eastAsia="zh-CN"/>
        </w:rPr>
        <w:t>。</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3</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行政事业单位养老支出</w:t>
      </w:r>
      <w:r>
        <w:rPr>
          <w:rFonts w:hint="eastAsia" w:ascii="Times New Roman" w:hAnsi="Times New Roman" w:eastAsia="方正仿宋_GBK" w:cs="Times New Roman"/>
          <w:color w:val="auto"/>
          <w:sz w:val="32"/>
          <w:szCs w:val="32"/>
          <w:lang w:val="zh-CN" w:eastAsia="zh-CN"/>
        </w:rPr>
        <w:t>（款）机关事业单位职业年金经</w:t>
      </w:r>
      <w:r>
        <w:rPr>
          <w:rFonts w:hint="eastAsia" w:ascii="Times New Roman" w:hAnsi="Times New Roman" w:eastAsia="方正仿宋_GBK" w:cs="Times New Roman"/>
          <w:color w:val="auto"/>
          <w:sz w:val="32"/>
          <w:szCs w:val="32"/>
          <w:lang w:val="en-US" w:eastAsia="zh-CN"/>
        </w:rPr>
        <w:t>缴</w:t>
      </w:r>
      <w:r>
        <w:rPr>
          <w:rFonts w:hint="eastAsia" w:ascii="Times New Roman" w:hAnsi="Times New Roman" w:eastAsia="方正仿宋_GBK" w:cs="Times New Roman"/>
          <w:color w:val="auto"/>
          <w:sz w:val="32"/>
          <w:szCs w:val="32"/>
          <w:lang w:val="zh-CN" w:eastAsia="zh-CN"/>
        </w:rPr>
        <w:t>费支出（项）：反映</w:t>
      </w:r>
      <w:r>
        <w:rPr>
          <w:rFonts w:hint="eastAsia" w:ascii="Times New Roman" w:hAnsi="Times New Roman" w:eastAsia="方正仿宋_GBK" w:cs="Times New Roman"/>
          <w:color w:val="auto"/>
          <w:sz w:val="32"/>
          <w:szCs w:val="32"/>
          <w:lang w:val="en-US" w:eastAsia="zh-CN"/>
        </w:rPr>
        <w:t>机关事业单位实施养老保险制度由单位实际缴纳的职业年金支出</w:t>
      </w:r>
      <w:r>
        <w:rPr>
          <w:rFonts w:hint="eastAsia" w:ascii="Times New Roman" w:hAnsi="Times New Roman" w:eastAsia="方正仿宋_GBK" w:cs="Times New Roman"/>
          <w:color w:val="auto"/>
          <w:sz w:val="32"/>
          <w:szCs w:val="32"/>
          <w:lang w:val="zh-CN" w:eastAsia="zh-CN"/>
        </w:rPr>
        <w:t>。</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4</w:t>
      </w:r>
      <w:r>
        <w:rPr>
          <w:rFonts w:hint="eastAsia" w:ascii="Times New Roman" w:hAnsi="Times New Roman" w:eastAsia="方正仿宋_GBK" w:cs="Times New Roman"/>
          <w:color w:val="auto"/>
          <w:sz w:val="32"/>
          <w:szCs w:val="32"/>
          <w:lang w:val="zh-CN" w:eastAsia="zh-CN"/>
        </w:rPr>
        <w:t>.社会保障和就业支出（类）</w:t>
      </w:r>
      <w:r>
        <w:rPr>
          <w:rFonts w:hint="eastAsia" w:ascii="Times New Roman" w:hAnsi="Times New Roman" w:eastAsia="方正仿宋_GBK" w:cs="Times New Roman"/>
          <w:color w:val="auto"/>
          <w:sz w:val="32"/>
          <w:szCs w:val="32"/>
          <w:lang w:val="en-US" w:eastAsia="zh-CN"/>
        </w:rPr>
        <w:t>抚恤</w:t>
      </w:r>
      <w:r>
        <w:rPr>
          <w:rFonts w:hint="eastAsia" w:ascii="Times New Roman" w:hAnsi="Times New Roman" w:eastAsia="方正仿宋_GBK" w:cs="Times New Roman"/>
          <w:color w:val="auto"/>
          <w:sz w:val="32"/>
          <w:szCs w:val="32"/>
          <w:lang w:val="zh-CN" w:eastAsia="zh-CN"/>
        </w:rPr>
        <w:t>（款）</w:t>
      </w:r>
      <w:r>
        <w:rPr>
          <w:rFonts w:hint="default" w:ascii="Times New Roman" w:hAnsi="Times New Roman" w:eastAsia="方正仿宋_GBK" w:cs="Times New Roman"/>
          <w:color w:val="auto"/>
          <w:sz w:val="32"/>
          <w:szCs w:val="32"/>
          <w:lang w:val="en-US" w:eastAsia="zh-CN"/>
        </w:rPr>
        <w:t>伤残抚恤</w:t>
      </w:r>
      <w:r>
        <w:rPr>
          <w:rFonts w:hint="eastAsia" w:ascii="Times New Roman" w:hAnsi="Times New Roman" w:eastAsia="方正仿宋_GBK" w:cs="Times New Roman"/>
          <w:color w:val="auto"/>
          <w:sz w:val="32"/>
          <w:szCs w:val="32"/>
          <w:lang w:val="zh-CN" w:eastAsia="zh-CN"/>
        </w:rPr>
        <w:t>（项）：反映</w:t>
      </w:r>
      <w:r>
        <w:rPr>
          <w:rFonts w:hint="eastAsia" w:ascii="Times New Roman" w:hAnsi="Times New Roman" w:eastAsia="方正仿宋_GBK" w:cs="Times New Roman"/>
          <w:color w:val="auto"/>
          <w:sz w:val="32"/>
          <w:szCs w:val="32"/>
          <w:lang w:val="en-US" w:eastAsia="zh-CN"/>
        </w:rPr>
        <w:t>按规定用于伤残人员的抚恤金和按规定开支的各种伤残补助费。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5</w:t>
      </w:r>
      <w:r>
        <w:rPr>
          <w:rFonts w:hint="eastAsia" w:ascii="Times New Roman" w:hAnsi="Times New Roman" w:eastAsia="方正仿宋_GBK" w:cs="Times New Roman"/>
          <w:color w:val="auto"/>
          <w:sz w:val="32"/>
          <w:szCs w:val="32"/>
          <w:lang w:val="zh-CN" w:eastAsia="zh-CN"/>
        </w:rPr>
        <w:t>.卫生健康支出（类）</w:t>
      </w:r>
      <w:r>
        <w:rPr>
          <w:rFonts w:hint="eastAsia"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zh-CN" w:eastAsia="zh-CN"/>
        </w:rPr>
        <w:t>（款）</w:t>
      </w:r>
      <w:r>
        <w:rPr>
          <w:rFonts w:hint="eastAsia" w:ascii="Times New Roman" w:hAnsi="Times New Roman" w:eastAsia="方正仿宋_GBK" w:cs="Times New Roman"/>
          <w:color w:val="auto"/>
          <w:sz w:val="32"/>
          <w:szCs w:val="32"/>
          <w:lang w:val="en-US" w:eastAsia="zh-CN"/>
        </w:rPr>
        <w:t>事业单位医疗</w:t>
      </w:r>
      <w:r>
        <w:rPr>
          <w:rFonts w:hint="eastAsia" w:ascii="Times New Roman" w:hAnsi="Times New Roman" w:eastAsia="方正仿宋_GBK" w:cs="Times New Roman"/>
          <w:color w:val="auto"/>
          <w:sz w:val="32"/>
          <w:szCs w:val="32"/>
          <w:lang w:val="zh-CN" w:eastAsia="zh-CN"/>
        </w:rPr>
        <w:t>（项）：反映财政部门安排的事业单位基本医疗保险缴费经费，未参加医疗保险的事业单位的公费医疗经费，按国家规定享受离休人员待遇的医疗经费。</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6</w:t>
      </w:r>
      <w:r>
        <w:rPr>
          <w:rFonts w:hint="eastAsia" w:ascii="Times New Roman" w:hAnsi="Times New Roman" w:eastAsia="方正仿宋_GBK" w:cs="Times New Roman"/>
          <w:color w:val="auto"/>
          <w:sz w:val="32"/>
          <w:szCs w:val="32"/>
          <w:lang w:val="zh-CN" w:eastAsia="zh-CN"/>
        </w:rPr>
        <w:t>.卫生健康支出（类）</w:t>
      </w:r>
      <w:r>
        <w:rPr>
          <w:rFonts w:hint="eastAsia" w:ascii="Times New Roman" w:hAnsi="Times New Roman" w:eastAsia="方正仿宋_GBK" w:cs="Times New Roman"/>
          <w:color w:val="auto"/>
          <w:sz w:val="32"/>
          <w:szCs w:val="32"/>
          <w:lang w:val="en-US" w:eastAsia="zh-CN"/>
        </w:rPr>
        <w:t>行政事业单位医疗</w:t>
      </w:r>
      <w:r>
        <w:rPr>
          <w:rFonts w:hint="eastAsia" w:ascii="Times New Roman" w:hAnsi="Times New Roman" w:eastAsia="方正仿宋_GBK" w:cs="Times New Roman"/>
          <w:color w:val="auto"/>
          <w:sz w:val="32"/>
          <w:szCs w:val="32"/>
          <w:lang w:val="zh-CN" w:eastAsia="zh-CN"/>
        </w:rPr>
        <w:t>（款）其他行政事业单位医疗支出（项）：反映除上述项目以外的其他用于行政事业单位医疗方面的支出。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zh-CN" w:eastAsia="zh-CN"/>
        </w:rPr>
        <w:t>1</w:t>
      </w:r>
      <w:r>
        <w:rPr>
          <w:rFonts w:hint="eastAsia" w:ascii="Times New Roman" w:hAnsi="Times New Roman" w:eastAsia="方正仿宋_GBK" w:cs="Times New Roman"/>
          <w:color w:val="auto"/>
          <w:sz w:val="32"/>
          <w:szCs w:val="32"/>
          <w:lang w:val="en-US" w:eastAsia="zh-CN"/>
        </w:rPr>
        <w:t>7</w:t>
      </w:r>
      <w:r>
        <w:rPr>
          <w:rFonts w:hint="eastAsia" w:ascii="Times New Roman" w:hAnsi="Times New Roman" w:eastAsia="方正仿宋_GBK" w:cs="Times New Roman"/>
          <w:color w:val="auto"/>
          <w:sz w:val="32"/>
          <w:szCs w:val="32"/>
          <w:lang w:val="zh-CN" w:eastAsia="zh-CN"/>
        </w:rPr>
        <w:t>. 住房保障</w:t>
      </w:r>
      <w:r>
        <w:rPr>
          <w:rFonts w:hint="eastAsia" w:ascii="Times New Roman" w:hAnsi="Times New Roman" w:eastAsia="方正仿宋_GBK" w:cs="Times New Roman"/>
          <w:color w:val="auto"/>
          <w:sz w:val="32"/>
          <w:szCs w:val="32"/>
          <w:lang w:val="en-US" w:eastAsia="zh-CN"/>
        </w:rPr>
        <w:t>支出</w:t>
      </w:r>
      <w:r>
        <w:rPr>
          <w:rFonts w:hint="eastAsia" w:ascii="Times New Roman" w:hAnsi="Times New Roman" w:eastAsia="方正仿宋_GBK" w:cs="Times New Roman"/>
          <w:color w:val="auto"/>
          <w:sz w:val="32"/>
          <w:szCs w:val="32"/>
          <w:lang w:val="zh-CN" w:eastAsia="zh-CN"/>
        </w:rPr>
        <w:t>（类）住房改革支出（款）住房公积金（项）：反映</w:t>
      </w:r>
      <w:r>
        <w:rPr>
          <w:rFonts w:hint="eastAsia" w:ascii="Times New Roman" w:hAnsi="Times New Roman" w:eastAsia="方正仿宋_GBK" w:cs="Times New Roman"/>
          <w:color w:val="auto"/>
          <w:sz w:val="32"/>
          <w:szCs w:val="32"/>
          <w:lang w:val="en-US" w:eastAsia="zh-CN"/>
        </w:rPr>
        <w:t>行政事业单位按人力资源和社会保障、财政部规定的基本工资和津贴补贴以及规定比例为职工缴纳的住房公积金。</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18</w:t>
      </w:r>
      <w:r>
        <w:rPr>
          <w:rFonts w:hint="eastAsia" w:ascii="Times New Roman" w:hAnsi="Times New Roman" w:eastAsia="方正仿宋_GBK" w:cs="Times New Roman"/>
          <w:color w:val="auto"/>
          <w:sz w:val="32"/>
          <w:szCs w:val="32"/>
          <w:lang w:val="zh-CN" w:eastAsia="zh-CN"/>
        </w:rPr>
        <w:t>.基本支出：指为保障机构正常运转、完成日常工作任务而发生的人员支出和公用支出。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zh-CN" w:eastAsia="zh-CN"/>
        </w:rPr>
      </w:pPr>
      <w:r>
        <w:rPr>
          <w:rFonts w:hint="eastAsia" w:ascii="Times New Roman" w:hAnsi="Times New Roman" w:eastAsia="方正仿宋_GBK" w:cs="Times New Roman"/>
          <w:color w:val="auto"/>
          <w:sz w:val="32"/>
          <w:szCs w:val="32"/>
          <w:lang w:val="en-US" w:eastAsia="zh-CN"/>
        </w:rPr>
        <w:t>19</w:t>
      </w:r>
      <w:r>
        <w:rPr>
          <w:rFonts w:hint="eastAsia" w:ascii="Times New Roman" w:hAnsi="Times New Roman" w:eastAsia="方正仿宋_GBK" w:cs="Times New Roman"/>
          <w:color w:val="auto"/>
          <w:sz w:val="32"/>
          <w:szCs w:val="32"/>
          <w:lang w:val="zh-CN" w:eastAsia="zh-CN"/>
        </w:rPr>
        <w:t>.项目支出：指在基本支出之外为完成特定行政任务和事业发展目标所发生的支出。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zh-CN" w:eastAsia="zh-CN"/>
        </w:rPr>
        <w:t>2</w:t>
      </w:r>
      <w:r>
        <w:rPr>
          <w:rFonts w:hint="eastAsia" w:ascii="Times New Roman" w:hAnsi="Times New Roman" w:eastAsia="方正仿宋_GBK" w:cs="Times New Roman"/>
          <w:color w:val="auto"/>
          <w:sz w:val="32"/>
          <w:szCs w:val="32"/>
          <w:lang w:val="en-US" w:eastAsia="zh-CN"/>
        </w:rPr>
        <w:t>0</w:t>
      </w:r>
      <w:r>
        <w:rPr>
          <w:rFonts w:hint="eastAsia" w:ascii="Times New Roman" w:hAnsi="Times New Roman" w:eastAsia="方正仿宋_GBK" w:cs="Times New Roman"/>
          <w:color w:val="auto"/>
          <w:sz w:val="32"/>
          <w:szCs w:val="32"/>
          <w:lang w:val="zh-CN" w:eastAsia="zh-CN"/>
        </w:rPr>
        <w:t>.经营支出：指事业单位在专业业务活动及其辅助活动之外开展非独立核算经营活动发生的支出。</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21.“三公”经费：指单位用财政拨款安排的因公出国（境）费、公务用车购置及运行维护费和公务接待费。其中，因公出国（境）费反映单位公务出国（境）的国际旅费、国外城市间交通费、住宿费、伙食费、培训费、公杂费等支出；公务用车购置反映单位公务用车购置支出（含车辆购置税、牌照费）；公务用车运行维护费反映单位按规定保留的公务用车燃料费、维修费、过桥过路费、保险费、安全奖励费用等支出；公务接待费反映单位按规定开支的各类公务接待（含外宾接待）费用。</w:t>
      </w:r>
    </w:p>
    <w:p>
      <w:pPr>
        <w:pStyle w:val="26"/>
        <w:keepNext w:val="0"/>
        <w:keepLines w:val="0"/>
        <w:pageBreakBefore w:val="0"/>
        <w:kinsoku/>
        <w:wordWrap/>
        <w:overflowPunct/>
        <w:topLinePunct w:val="0"/>
        <w:bidi w:val="0"/>
        <w:spacing w:line="240" w:lineRule="auto"/>
        <w:ind w:firstLine="640" w:firstLineChars="200"/>
        <w:textAlignment w:val="auto"/>
        <w:rPr>
          <w:rFonts w:hint="eastAsia" w:ascii="Times New Roman" w:hAnsi="Times New Roman" w:eastAsia="方正仿宋_GBK" w:cs="Times New Roman"/>
          <w:color w:val="auto"/>
          <w:sz w:val="32"/>
          <w:szCs w:val="32"/>
          <w:lang w:val="en-US" w:eastAsia="zh-CN"/>
        </w:rPr>
      </w:pPr>
      <w:r>
        <w:rPr>
          <w:rFonts w:hint="eastAsia" w:ascii="Times New Roman" w:hAnsi="Times New Roman" w:eastAsia="方正仿宋_GBK" w:cs="Times New Roman"/>
          <w:color w:val="auto"/>
          <w:sz w:val="32"/>
          <w:szCs w:val="32"/>
          <w:lang w:val="en-US" w:eastAsia="zh-CN"/>
        </w:rPr>
        <w:t>22. 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pageBreakBefore w:val="0"/>
        <w:kinsoku/>
        <w:wordWrap/>
        <w:overflowPunct/>
        <w:topLinePunct w:val="0"/>
        <w:autoSpaceDE w:val="0"/>
        <w:autoSpaceDN w:val="0"/>
        <w:bidi w:val="0"/>
        <w:adjustRightInd w:val="0"/>
        <w:spacing w:line="560" w:lineRule="exact"/>
        <w:jc w:val="center"/>
        <w:textAlignment w:val="auto"/>
        <w:outlineLvl w:val="0"/>
        <w:rPr>
          <w:rFonts w:hint="eastAsia" w:ascii="Times New Roman" w:hAnsi="Times New Roman" w:eastAsia="黑体" w:cs="Times New Roman"/>
          <w:b w:val="0"/>
          <w:bCs/>
          <w:kern w:val="44"/>
          <w:sz w:val="44"/>
          <w:szCs w:val="44"/>
          <w:lang w:val="en-US" w:eastAsia="zh-CN" w:bidi="ar-SA"/>
        </w:rPr>
      </w:pPr>
    </w:p>
    <w:p>
      <w:pPr>
        <w:keepNext w:val="0"/>
        <w:keepLines w:val="0"/>
        <w:pageBreakBefore w:val="0"/>
        <w:numPr>
          <w:ilvl w:val="0"/>
          <w:numId w:val="2"/>
        </w:numPr>
        <w:kinsoku/>
        <w:wordWrap/>
        <w:overflowPunct/>
        <w:topLinePunct w:val="0"/>
        <w:bidi w:val="0"/>
        <w:spacing w:line="240" w:lineRule="auto"/>
        <w:jc w:val="center"/>
        <w:textAlignment w:val="auto"/>
        <w:outlineLvl w:val="0"/>
        <w:rPr>
          <w:rFonts w:hint="eastAsia" w:ascii="Times New Roman" w:hAnsi="Times New Roman" w:eastAsia="黑体" w:cs="Times New Roman"/>
          <w:color w:val="auto"/>
          <w:sz w:val="44"/>
          <w:szCs w:val="44"/>
          <w:highlight w:val="none"/>
          <w:lang w:val="en-US" w:eastAsia="zh-CN"/>
        </w:rPr>
      </w:pPr>
      <w:r>
        <w:rPr>
          <w:rFonts w:hint="eastAsia" w:ascii="Times New Roman" w:hAnsi="Times New Roman" w:eastAsia="黑体" w:cs="Times New Roman"/>
          <w:color w:val="auto"/>
          <w:sz w:val="44"/>
          <w:szCs w:val="44"/>
          <w:highlight w:val="none"/>
          <w:lang w:val="en-US" w:eastAsia="zh-CN"/>
        </w:rPr>
        <w:t xml:space="preserve"> </w:t>
      </w:r>
      <w:bookmarkStart w:id="98" w:name="_Toc4751_WPSOffice_Level1"/>
      <w:r>
        <w:rPr>
          <w:rFonts w:hint="eastAsia" w:ascii="Times New Roman" w:hAnsi="Times New Roman" w:eastAsia="黑体" w:cs="Times New Roman"/>
          <w:color w:val="auto"/>
          <w:sz w:val="44"/>
          <w:szCs w:val="44"/>
          <w:highlight w:val="none"/>
          <w:lang w:val="en-US" w:eastAsia="zh-CN"/>
        </w:rPr>
        <w:t>附件</w:t>
      </w:r>
      <w:bookmarkEnd w:id="95"/>
      <w:bookmarkEnd w:id="98"/>
    </w:p>
    <w:p>
      <w:pPr>
        <w:pStyle w:val="2"/>
        <w:numPr>
          <w:numId w:val="0"/>
        </w:numPr>
        <w:rPr>
          <w:rFonts w:hint="default"/>
        </w:rPr>
      </w:pPr>
    </w:p>
    <w:p>
      <w:pPr>
        <w:pageBreakBefore w:val="0"/>
        <w:widowControl w:val="0"/>
        <w:kinsoku/>
        <w:wordWrap/>
        <w:overflowPunct/>
        <w:topLinePunct w:val="0"/>
        <w:bidi w:val="0"/>
        <w:snapToGrid/>
        <w:spacing w:line="560" w:lineRule="exact"/>
        <w:jc w:val="center"/>
        <w:textAlignment w:val="auto"/>
        <w:outlineLvl w:val="1"/>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rPr>
        <w:t>部门预算项目支出绩效评价表（2024年度）</w:t>
      </w:r>
    </w:p>
    <w:p>
      <w:pPr>
        <w:pStyle w:val="7"/>
        <w:spacing w:line="560" w:lineRule="exact"/>
        <w:ind w:left="0" w:leftChars="0" w:firstLine="640"/>
        <w:rPr>
          <w:rFonts w:ascii="Times New Roman" w:eastAsia="仿宋_GB2312" w:cs="仿宋_GB2312"/>
          <w:kern w:val="0"/>
          <w:sz w:val="32"/>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val="0"/>
        <w:kinsoku/>
        <w:wordWrap/>
        <w:overflowPunct/>
        <w:topLinePunct w:val="0"/>
        <w:autoSpaceDE/>
        <w:autoSpaceDN/>
        <w:bidi w:val="0"/>
        <w:spacing w:line="578" w:lineRule="exact"/>
        <w:ind w:firstLine="640"/>
        <w:textAlignment w:val="auto"/>
        <w:outlineLvl w:val="9"/>
        <w:rPr>
          <w:rFonts w:hint="eastAsia" w:ascii="Times New Roman" w:hAnsi="Times New Roman" w:eastAsia="仿宋_GB2312" w:cs="仿宋_GB2312"/>
          <w:b w:val="0"/>
          <w:bCs w:val="0"/>
          <w:kern w:val="0"/>
          <w:position w:val="0"/>
          <w:sz w:val="32"/>
          <w:szCs w:val="32"/>
          <w:highlight w:val="none"/>
          <w:lang w:val="en-US" w:eastAsia="zh-CN" w:bidi="ar-SA"/>
        </w:rPr>
      </w:pPr>
    </w:p>
    <w:p>
      <w:pPr>
        <w:keepNext w:val="0"/>
        <w:keepLines w:val="0"/>
        <w:pageBreakBefore w:val="0"/>
        <w:widowControl/>
        <w:kinsoku/>
        <w:wordWrap/>
        <w:overflowPunct/>
        <w:topLinePunct w:val="0"/>
        <w:bidi w:val="0"/>
        <w:spacing w:line="240" w:lineRule="auto"/>
        <w:jc w:val="center"/>
        <w:textAlignment w:val="auto"/>
        <w:rPr>
          <w:rStyle w:val="28"/>
          <w:rFonts w:hint="eastAsia" w:ascii="Times New Roman" w:hAnsi="Times New Roman" w:eastAsia="黑体" w:cs="Times New Roman"/>
          <w:b w:val="0"/>
          <w:color w:val="auto"/>
          <w:highlight w:val="none"/>
          <w:lang w:val="en-US" w:eastAsia="zh-CN"/>
        </w:rPr>
      </w:pPr>
      <w:bookmarkStart w:id="99" w:name="_Toc11052_WPSOffice_Level1"/>
      <w:r>
        <w:rPr>
          <w:rStyle w:val="28"/>
          <w:rFonts w:hint="eastAsia" w:ascii="Times New Roman" w:hAnsi="Times New Roman" w:eastAsia="黑体" w:cs="Times New Roman"/>
          <w:b w:val="0"/>
          <w:color w:val="auto"/>
          <w:highlight w:val="none"/>
          <w:lang w:val="en-US" w:eastAsia="zh-CN"/>
        </w:rPr>
        <w:t>第五部分 附表</w:t>
      </w:r>
      <w:bookmarkEnd w:id="96"/>
      <w:bookmarkEnd w:id="97"/>
      <w:bookmarkEnd w:id="99"/>
      <w:bookmarkStart w:id="100" w:name="_Toc15396619"/>
    </w:p>
    <w:p>
      <w:pPr>
        <w:pStyle w:val="14"/>
        <w:keepNext w:val="0"/>
        <w:keepLines w:val="0"/>
        <w:pageBreakBefore w:val="0"/>
        <w:kinsoku/>
        <w:wordWrap/>
        <w:overflowPunct/>
        <w:topLinePunct w:val="0"/>
        <w:autoSpaceDE/>
        <w:autoSpaceDN/>
        <w:bidi w:val="0"/>
        <w:adjustRightInd w:val="0"/>
        <w:snapToGrid w:val="0"/>
        <w:spacing w:line="560" w:lineRule="exact"/>
        <w:jc w:val="left"/>
        <w:textAlignment w:val="auto"/>
        <w:rPr>
          <w:rFonts w:hint="eastAsia" w:ascii="Times New Roman" w:hAnsi="Times New Roman" w:eastAsia="仿宋_GB2312" w:cs="仿宋_GB2312"/>
          <w:color w:val="auto"/>
          <w:sz w:val="32"/>
          <w:szCs w:val="32"/>
          <w:highlight w:val="none"/>
        </w:rPr>
      </w:pPr>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01" w:name="_Toc23483_WPSOffice_Level2"/>
      <w:r>
        <w:rPr>
          <w:rStyle w:val="29"/>
          <w:rFonts w:hint="eastAsia" w:ascii="Times New Roman" w:hAnsi="Times New Roman" w:eastAsia="黑体" w:cs="Times New Roman"/>
          <w:b w:val="0"/>
          <w:color w:val="auto"/>
          <w:highlight w:val="none"/>
          <w:lang w:val="en-US" w:eastAsia="zh-CN"/>
        </w:rPr>
        <w:t>一、收入支出决算总表</w:t>
      </w:r>
      <w:bookmarkEnd w:id="100"/>
      <w:bookmarkEnd w:id="101"/>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02" w:name="_Toc15396620"/>
      <w:bookmarkStart w:id="103" w:name="_Toc16348_WPSOffice_Level2"/>
      <w:r>
        <w:rPr>
          <w:rStyle w:val="29"/>
          <w:rFonts w:hint="eastAsia" w:ascii="Times New Roman" w:hAnsi="Times New Roman" w:eastAsia="黑体" w:cs="Times New Roman"/>
          <w:b w:val="0"/>
          <w:color w:val="auto"/>
          <w:highlight w:val="none"/>
          <w:lang w:val="en-US" w:eastAsia="zh-CN"/>
        </w:rPr>
        <w:t>二、收入决算表</w:t>
      </w:r>
      <w:bookmarkEnd w:id="102"/>
      <w:bookmarkEnd w:id="103"/>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04" w:name="_Toc15396621"/>
      <w:bookmarkStart w:id="105" w:name="_Toc12303_WPSOffice_Level2"/>
      <w:r>
        <w:rPr>
          <w:rStyle w:val="29"/>
          <w:rFonts w:hint="eastAsia" w:ascii="Times New Roman" w:hAnsi="Times New Roman" w:eastAsia="黑体" w:cs="Times New Roman"/>
          <w:b w:val="0"/>
          <w:color w:val="auto"/>
          <w:highlight w:val="none"/>
          <w:lang w:val="en-US" w:eastAsia="zh-CN"/>
        </w:rPr>
        <w:t>三、支出决算表</w:t>
      </w:r>
      <w:bookmarkEnd w:id="104"/>
      <w:bookmarkEnd w:id="10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06" w:name="_Toc15396622"/>
      <w:bookmarkStart w:id="107" w:name="_Toc19680_WPSOffice_Level2"/>
      <w:r>
        <w:rPr>
          <w:rStyle w:val="29"/>
          <w:rFonts w:hint="eastAsia" w:ascii="Times New Roman" w:hAnsi="Times New Roman" w:eastAsia="黑体" w:cs="Times New Roman"/>
          <w:b w:val="0"/>
          <w:color w:val="auto"/>
          <w:highlight w:val="none"/>
          <w:lang w:val="en-US" w:eastAsia="zh-CN"/>
        </w:rPr>
        <w:t>四、财政拨款收入支出决算总表</w:t>
      </w:r>
      <w:bookmarkEnd w:id="106"/>
      <w:bookmarkEnd w:id="107"/>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08" w:name="_Toc15396623"/>
      <w:bookmarkStart w:id="109" w:name="_Toc9373_WPSOffice_Level2"/>
      <w:r>
        <w:rPr>
          <w:rStyle w:val="29"/>
          <w:rFonts w:hint="eastAsia" w:ascii="Times New Roman" w:hAnsi="Times New Roman" w:eastAsia="黑体" w:cs="Times New Roman"/>
          <w:b w:val="0"/>
          <w:color w:val="auto"/>
          <w:highlight w:val="none"/>
          <w:lang w:val="en-US" w:eastAsia="zh-CN"/>
        </w:rPr>
        <w:t>五、财政拨款支出决算明细表</w:t>
      </w:r>
      <w:bookmarkEnd w:id="108"/>
      <w:bookmarkEnd w:id="109"/>
      <w:bookmarkStart w:id="110" w:name="_Toc15396624"/>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11" w:name="_Toc28553_WPSOffice_Level2"/>
      <w:r>
        <w:rPr>
          <w:rStyle w:val="29"/>
          <w:rFonts w:hint="eastAsia" w:ascii="Times New Roman" w:hAnsi="Times New Roman" w:eastAsia="黑体" w:cs="Times New Roman"/>
          <w:b w:val="0"/>
          <w:color w:val="auto"/>
          <w:highlight w:val="none"/>
          <w:lang w:val="en-US" w:eastAsia="zh-CN"/>
        </w:rPr>
        <w:t>六、一般公共预算财政拨款支出决算表</w:t>
      </w:r>
      <w:bookmarkEnd w:id="110"/>
      <w:bookmarkEnd w:id="111"/>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12" w:name="_Toc15396625"/>
      <w:bookmarkStart w:id="113" w:name="_Toc16974_WPSOffice_Level2"/>
      <w:r>
        <w:rPr>
          <w:rStyle w:val="29"/>
          <w:rFonts w:hint="eastAsia" w:ascii="Times New Roman" w:hAnsi="Times New Roman" w:eastAsia="黑体" w:cs="Times New Roman"/>
          <w:b w:val="0"/>
          <w:color w:val="auto"/>
          <w:highlight w:val="none"/>
          <w:lang w:val="en-US" w:eastAsia="zh-CN"/>
        </w:rPr>
        <w:t>七、一般公共预算财政拨款支出决算明细表</w:t>
      </w:r>
      <w:bookmarkEnd w:id="112"/>
      <w:bookmarkEnd w:id="113"/>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14" w:name="_Toc15396626"/>
      <w:bookmarkStart w:id="115" w:name="_Toc29073_WPSOffice_Level2"/>
      <w:r>
        <w:rPr>
          <w:rStyle w:val="29"/>
          <w:rFonts w:hint="eastAsia" w:ascii="Times New Roman" w:hAnsi="Times New Roman" w:eastAsia="黑体" w:cs="Times New Roman"/>
          <w:b w:val="0"/>
          <w:color w:val="auto"/>
          <w:highlight w:val="none"/>
          <w:lang w:val="en-US" w:eastAsia="zh-CN"/>
        </w:rPr>
        <w:t>八、一般公共预算财政拨款基本支出决算表</w:t>
      </w:r>
      <w:bookmarkEnd w:id="114"/>
      <w:bookmarkEnd w:id="115"/>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16" w:name="_Toc15396627"/>
      <w:bookmarkStart w:id="117" w:name="_Toc26248_WPSOffice_Level2"/>
      <w:r>
        <w:rPr>
          <w:rStyle w:val="29"/>
          <w:rFonts w:hint="eastAsia" w:ascii="Times New Roman" w:hAnsi="Times New Roman" w:eastAsia="黑体" w:cs="Times New Roman"/>
          <w:b w:val="0"/>
          <w:color w:val="auto"/>
          <w:highlight w:val="none"/>
          <w:lang w:val="en-US" w:eastAsia="zh-CN"/>
        </w:rPr>
        <w:t>九、一般公共预算财政拨款项目支出决算表</w:t>
      </w:r>
      <w:bookmarkEnd w:id="116"/>
      <w:bookmarkEnd w:id="117"/>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18" w:name="_Toc15396628"/>
      <w:bookmarkStart w:id="119" w:name="_Toc21264_WPSOffice_Level2"/>
      <w:r>
        <w:rPr>
          <w:rStyle w:val="29"/>
          <w:rFonts w:hint="eastAsia" w:ascii="Times New Roman" w:hAnsi="Times New Roman" w:eastAsia="黑体" w:cs="Times New Roman"/>
          <w:b w:val="0"/>
          <w:color w:val="auto"/>
          <w:highlight w:val="none"/>
          <w:lang w:val="en-US" w:eastAsia="zh-CN"/>
        </w:rPr>
        <w:t>十、</w:t>
      </w:r>
      <w:bookmarkEnd w:id="118"/>
      <w:r>
        <w:rPr>
          <w:rStyle w:val="29"/>
          <w:rFonts w:hint="eastAsia" w:ascii="Times New Roman" w:hAnsi="Times New Roman" w:eastAsia="黑体" w:cs="Times New Roman"/>
          <w:b w:val="0"/>
          <w:color w:val="auto"/>
          <w:highlight w:val="none"/>
          <w:lang w:val="en-US" w:eastAsia="zh-CN"/>
        </w:rPr>
        <w:t>政府性基金预算财政拨款收入支出决算表</w:t>
      </w:r>
      <w:bookmarkEnd w:id="119"/>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20" w:name="_Toc15396629"/>
      <w:bookmarkStart w:id="121" w:name="_Toc28705_WPSOffice_Level2"/>
      <w:r>
        <w:rPr>
          <w:rStyle w:val="29"/>
          <w:rFonts w:hint="eastAsia" w:ascii="Times New Roman" w:hAnsi="Times New Roman" w:eastAsia="黑体" w:cs="Times New Roman"/>
          <w:b w:val="0"/>
          <w:color w:val="auto"/>
          <w:highlight w:val="none"/>
          <w:lang w:val="en-US" w:eastAsia="zh-CN"/>
        </w:rPr>
        <w:t>十一、</w:t>
      </w:r>
      <w:bookmarkEnd w:id="120"/>
      <w:r>
        <w:rPr>
          <w:rStyle w:val="29"/>
          <w:rFonts w:hint="eastAsia" w:ascii="Times New Roman" w:hAnsi="Times New Roman" w:eastAsia="黑体" w:cs="Times New Roman"/>
          <w:b w:val="0"/>
          <w:color w:val="auto"/>
          <w:highlight w:val="none"/>
          <w:lang w:val="en-US" w:eastAsia="zh-CN"/>
        </w:rPr>
        <w:t>国有资本经营预算财政拨款收入支出决算表</w:t>
      </w:r>
      <w:bookmarkEnd w:id="121"/>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22" w:name="_Toc15396630"/>
      <w:bookmarkStart w:id="123" w:name="_Toc25120_WPSOffice_Level2"/>
      <w:r>
        <w:rPr>
          <w:rStyle w:val="29"/>
          <w:rFonts w:hint="eastAsia" w:ascii="Times New Roman" w:hAnsi="Times New Roman" w:eastAsia="黑体" w:cs="Times New Roman"/>
          <w:b w:val="0"/>
          <w:color w:val="auto"/>
          <w:highlight w:val="none"/>
          <w:lang w:val="en-US" w:eastAsia="zh-CN"/>
        </w:rPr>
        <w:t>十二、</w:t>
      </w:r>
      <w:bookmarkEnd w:id="122"/>
      <w:r>
        <w:rPr>
          <w:rStyle w:val="29"/>
          <w:rFonts w:hint="eastAsia" w:ascii="Times New Roman" w:hAnsi="Times New Roman" w:eastAsia="黑体" w:cs="Times New Roman"/>
          <w:b w:val="0"/>
          <w:color w:val="auto"/>
          <w:highlight w:val="none"/>
          <w:lang w:val="en-US" w:eastAsia="zh-CN"/>
        </w:rPr>
        <w:t>国有资本经营预算财政拨款支出决算表</w:t>
      </w:r>
      <w:bookmarkEnd w:id="123"/>
    </w:p>
    <w:p>
      <w:pPr>
        <w:keepNext w:val="0"/>
        <w:keepLines w:val="0"/>
        <w:pageBreakBefore w:val="0"/>
        <w:numPr>
          <w:ilvl w:val="0"/>
          <w:numId w:val="0"/>
        </w:numPr>
        <w:kinsoku/>
        <w:wordWrap/>
        <w:overflowPunct/>
        <w:topLinePunct w:val="0"/>
        <w:bidi w:val="0"/>
        <w:spacing w:line="240" w:lineRule="auto"/>
        <w:ind w:left="630" w:leftChars="0"/>
        <w:textAlignment w:val="auto"/>
        <w:outlineLvl w:val="1"/>
        <w:rPr>
          <w:rStyle w:val="29"/>
          <w:rFonts w:hint="eastAsia" w:ascii="Times New Roman" w:hAnsi="Times New Roman" w:eastAsia="黑体" w:cs="Times New Roman"/>
          <w:b w:val="0"/>
          <w:color w:val="auto"/>
          <w:highlight w:val="none"/>
          <w:lang w:val="en-US" w:eastAsia="zh-CN"/>
        </w:rPr>
      </w:pPr>
      <w:bookmarkStart w:id="124" w:name="_Toc15396631"/>
      <w:bookmarkStart w:id="125" w:name="_Toc7426_WPSOffice_Level2"/>
      <w:r>
        <w:rPr>
          <w:rStyle w:val="29"/>
          <w:rFonts w:hint="eastAsia" w:ascii="Times New Roman" w:hAnsi="Times New Roman" w:eastAsia="黑体" w:cs="Times New Roman"/>
          <w:b w:val="0"/>
          <w:color w:val="auto"/>
          <w:highlight w:val="none"/>
          <w:lang w:val="en-US" w:eastAsia="zh-CN"/>
        </w:rPr>
        <w:t>十三、</w:t>
      </w:r>
      <w:bookmarkEnd w:id="124"/>
      <w:r>
        <w:rPr>
          <w:rStyle w:val="29"/>
          <w:rFonts w:hint="eastAsia" w:ascii="Times New Roman" w:hAnsi="Times New Roman" w:eastAsia="黑体" w:cs="Times New Roman"/>
          <w:b w:val="0"/>
          <w:color w:val="auto"/>
          <w:highlight w:val="none"/>
          <w:lang w:val="en-US" w:eastAsia="zh-CN"/>
        </w:rPr>
        <w:t>财政拨款“三公”经费支出决算表</w:t>
      </w:r>
      <w:bookmarkEnd w:id="125"/>
    </w:p>
    <w:p>
      <w:pPr>
        <w:keepNext/>
        <w:keepLines/>
        <w:pageBreakBefore w:val="0"/>
        <w:widowControl w:val="0"/>
        <w:kinsoku/>
        <w:wordWrap/>
        <w:overflowPunct/>
        <w:topLinePunct w:val="0"/>
        <w:autoSpaceDE w:val="0"/>
        <w:autoSpaceDN w:val="0"/>
        <w:bidi w:val="0"/>
        <w:adjustRightInd w:val="0"/>
        <w:snapToGrid/>
        <w:spacing w:line="560" w:lineRule="exact"/>
        <w:jc w:val="both"/>
        <w:textAlignment w:val="auto"/>
        <w:outlineLvl w:val="1"/>
        <w:rPr>
          <w:rFonts w:hint="eastAsia" w:ascii="Times New Roman" w:hAnsi="Times New Roman" w:eastAsia="方正仿宋_GB2312" w:cs="Times New Roman"/>
          <w:kern w:val="2"/>
          <w:sz w:val="32"/>
          <w:szCs w:val="32"/>
          <w:lang w:val="en-US" w:eastAsia="zh-CN" w:bidi="ar-SA"/>
        </w:rPr>
      </w:pPr>
    </w:p>
    <w:sectPr>
      <w:headerReference r:id="rId10"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Segoe Print"/>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- 2 -</w:t>
                    </w:r>
                    <w:r>
                      <w:fldChar w:fldCharType="end"/>
                    </w:r>
                  </w:p>
                </w:txbxContent>
              </v:textbox>
            </v:shape>
          </w:pict>
        </mc:Fallback>
      </mc:AlternateContent>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single" w:color="auto" w:sz="4"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1"/>
      </w:pBdr>
      <w:jc w:val="both"/>
      <w:rPr>
        <w:u w:val="none"/>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581798"/>
    <w:multiLevelType w:val="singleLevel"/>
    <w:tmpl w:val="91581798"/>
    <w:lvl w:ilvl="0" w:tentative="0">
      <w:start w:val="1"/>
      <w:numFmt w:val="chineseCounting"/>
      <w:suff w:val="nothing"/>
      <w:lvlText w:val="%1、"/>
      <w:lvlJc w:val="left"/>
      <w:rPr>
        <w:rFonts w:hint="eastAsia"/>
      </w:rPr>
    </w:lvl>
  </w:abstractNum>
  <w:abstractNum w:abstractNumId="1">
    <w:nsid w:val="D09C45C5"/>
    <w:multiLevelType w:val="singleLevel"/>
    <w:tmpl w:val="D09C45C5"/>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361CFD"/>
    <w:rsid w:val="04916F1E"/>
    <w:rsid w:val="061E35DE"/>
    <w:rsid w:val="066E0107"/>
    <w:rsid w:val="07996F6E"/>
    <w:rsid w:val="07DFD8BA"/>
    <w:rsid w:val="07FC609C"/>
    <w:rsid w:val="08DD0483"/>
    <w:rsid w:val="08F50C7B"/>
    <w:rsid w:val="09810EB8"/>
    <w:rsid w:val="09867E8F"/>
    <w:rsid w:val="0A2032A3"/>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0B0FE4"/>
    <w:rsid w:val="19A445FC"/>
    <w:rsid w:val="1BE8440E"/>
    <w:rsid w:val="1D155CEE"/>
    <w:rsid w:val="1D1638FE"/>
    <w:rsid w:val="1E312DEB"/>
    <w:rsid w:val="1E740ACF"/>
    <w:rsid w:val="1FF35744"/>
    <w:rsid w:val="1FF6BC77"/>
    <w:rsid w:val="2186353C"/>
    <w:rsid w:val="22C750B2"/>
    <w:rsid w:val="231A1F50"/>
    <w:rsid w:val="23860B96"/>
    <w:rsid w:val="240371BF"/>
    <w:rsid w:val="244F3473"/>
    <w:rsid w:val="24C97D99"/>
    <w:rsid w:val="25A718F0"/>
    <w:rsid w:val="25BA1379"/>
    <w:rsid w:val="25BB59F6"/>
    <w:rsid w:val="260F557C"/>
    <w:rsid w:val="26970054"/>
    <w:rsid w:val="27D54B4E"/>
    <w:rsid w:val="281408E2"/>
    <w:rsid w:val="29D842BC"/>
    <w:rsid w:val="29FD04D3"/>
    <w:rsid w:val="2BFF7BC6"/>
    <w:rsid w:val="2C8A61B5"/>
    <w:rsid w:val="2DF04E50"/>
    <w:rsid w:val="2E586DFA"/>
    <w:rsid w:val="2F040D46"/>
    <w:rsid w:val="2F6B035B"/>
    <w:rsid w:val="2FAE5751"/>
    <w:rsid w:val="2FB1A395"/>
    <w:rsid w:val="2FD9A7D8"/>
    <w:rsid w:val="2FDBF714"/>
    <w:rsid w:val="30847438"/>
    <w:rsid w:val="30AB6865"/>
    <w:rsid w:val="319F7F4E"/>
    <w:rsid w:val="321720AA"/>
    <w:rsid w:val="32BD1EF1"/>
    <w:rsid w:val="3304709D"/>
    <w:rsid w:val="33A773CB"/>
    <w:rsid w:val="349D6851"/>
    <w:rsid w:val="36AA5135"/>
    <w:rsid w:val="36BE0DA7"/>
    <w:rsid w:val="376B6AA6"/>
    <w:rsid w:val="376D39B2"/>
    <w:rsid w:val="37E16F03"/>
    <w:rsid w:val="37F53A3B"/>
    <w:rsid w:val="389B6C89"/>
    <w:rsid w:val="38D469F0"/>
    <w:rsid w:val="38F240B0"/>
    <w:rsid w:val="39627CCD"/>
    <w:rsid w:val="397BAF1F"/>
    <w:rsid w:val="3AB79AF3"/>
    <w:rsid w:val="3AE834C0"/>
    <w:rsid w:val="3B7EF35A"/>
    <w:rsid w:val="3B9FDB6C"/>
    <w:rsid w:val="3BF5BC2F"/>
    <w:rsid w:val="3C9B2A18"/>
    <w:rsid w:val="3CEBA265"/>
    <w:rsid w:val="3D98207C"/>
    <w:rsid w:val="3DEE7CF3"/>
    <w:rsid w:val="3E740A63"/>
    <w:rsid w:val="3E78745D"/>
    <w:rsid w:val="3EE17838"/>
    <w:rsid w:val="3F55381A"/>
    <w:rsid w:val="3F7F7599"/>
    <w:rsid w:val="3FF4CAE0"/>
    <w:rsid w:val="3FF7B227"/>
    <w:rsid w:val="412D4F6B"/>
    <w:rsid w:val="44E268DA"/>
    <w:rsid w:val="4507636E"/>
    <w:rsid w:val="450D13D7"/>
    <w:rsid w:val="45506656"/>
    <w:rsid w:val="486A6C7A"/>
    <w:rsid w:val="4A627F82"/>
    <w:rsid w:val="4B0E749A"/>
    <w:rsid w:val="4B2477C4"/>
    <w:rsid w:val="4B4F25DA"/>
    <w:rsid w:val="4BE068DB"/>
    <w:rsid w:val="4D577224"/>
    <w:rsid w:val="4DBF1CEB"/>
    <w:rsid w:val="4DF0007C"/>
    <w:rsid w:val="4EAB630A"/>
    <w:rsid w:val="4ECE2238"/>
    <w:rsid w:val="4F833267"/>
    <w:rsid w:val="4FE9BD67"/>
    <w:rsid w:val="4FFB052F"/>
    <w:rsid w:val="50EE0526"/>
    <w:rsid w:val="5323788C"/>
    <w:rsid w:val="537E6D0A"/>
    <w:rsid w:val="53F74C96"/>
    <w:rsid w:val="55170BA8"/>
    <w:rsid w:val="553218C9"/>
    <w:rsid w:val="567E1AA5"/>
    <w:rsid w:val="56CC1247"/>
    <w:rsid w:val="56E47B74"/>
    <w:rsid w:val="57175D52"/>
    <w:rsid w:val="57BD3DD4"/>
    <w:rsid w:val="5AF92295"/>
    <w:rsid w:val="5B250254"/>
    <w:rsid w:val="5BDD79E6"/>
    <w:rsid w:val="5BF561CA"/>
    <w:rsid w:val="5BFF5DFC"/>
    <w:rsid w:val="5CD71FC4"/>
    <w:rsid w:val="5CE75243"/>
    <w:rsid w:val="5D1F11B5"/>
    <w:rsid w:val="5D695134"/>
    <w:rsid w:val="5DAE1B18"/>
    <w:rsid w:val="5DE7D9E5"/>
    <w:rsid w:val="5E4E7B82"/>
    <w:rsid w:val="5ECEC941"/>
    <w:rsid w:val="5FBF9FF3"/>
    <w:rsid w:val="5FCD4E2C"/>
    <w:rsid w:val="5FEF394A"/>
    <w:rsid w:val="5FF67715"/>
    <w:rsid w:val="61742B47"/>
    <w:rsid w:val="62BF3928"/>
    <w:rsid w:val="63B3701E"/>
    <w:rsid w:val="647F5392"/>
    <w:rsid w:val="65E66580"/>
    <w:rsid w:val="664B1D71"/>
    <w:rsid w:val="664B4E8E"/>
    <w:rsid w:val="66887191"/>
    <w:rsid w:val="67277B67"/>
    <w:rsid w:val="67AA3209"/>
    <w:rsid w:val="698D0931"/>
    <w:rsid w:val="6A7FE5F3"/>
    <w:rsid w:val="6B053271"/>
    <w:rsid w:val="6BDD78B3"/>
    <w:rsid w:val="6C4A05C8"/>
    <w:rsid w:val="6C8742B8"/>
    <w:rsid w:val="6CE44182"/>
    <w:rsid w:val="6DBF5E93"/>
    <w:rsid w:val="6DFF077E"/>
    <w:rsid w:val="6E714EF0"/>
    <w:rsid w:val="6E7E3605"/>
    <w:rsid w:val="6E7FDCC7"/>
    <w:rsid w:val="6ED6A62E"/>
    <w:rsid w:val="6EE00B15"/>
    <w:rsid w:val="6F6FB3EB"/>
    <w:rsid w:val="6F8731EA"/>
    <w:rsid w:val="6FB05A0B"/>
    <w:rsid w:val="6FCE6052"/>
    <w:rsid w:val="6FD57C00"/>
    <w:rsid w:val="6FEFFFD8"/>
    <w:rsid w:val="6FF5CC65"/>
    <w:rsid w:val="6FFB47EC"/>
    <w:rsid w:val="6FFF034A"/>
    <w:rsid w:val="70484440"/>
    <w:rsid w:val="712A28F1"/>
    <w:rsid w:val="715C0E4B"/>
    <w:rsid w:val="71992E7C"/>
    <w:rsid w:val="72233669"/>
    <w:rsid w:val="72341DC4"/>
    <w:rsid w:val="72734D90"/>
    <w:rsid w:val="73160E6D"/>
    <w:rsid w:val="7332FE48"/>
    <w:rsid w:val="73AB61DA"/>
    <w:rsid w:val="73AD73D5"/>
    <w:rsid w:val="73B6EB34"/>
    <w:rsid w:val="73FA497D"/>
    <w:rsid w:val="744731E5"/>
    <w:rsid w:val="74BBD01D"/>
    <w:rsid w:val="74C65124"/>
    <w:rsid w:val="74ED5379"/>
    <w:rsid w:val="74F216C9"/>
    <w:rsid w:val="757D50AE"/>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720827"/>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w:basedOn w:val="1"/>
    <w:link w:val="25"/>
    <w:qFormat/>
    <w:uiPriority w:val="99"/>
    <w:pPr>
      <w:spacing w:beforeLines="30"/>
    </w:pPr>
    <w:rPr>
      <w:rFonts w:ascii="仿宋_GB2312" w:eastAsia="仿宋_GB2312"/>
      <w:kern w:val="0"/>
      <w:sz w:val="30"/>
    </w:rPr>
  </w:style>
  <w:style w:type="paragraph" w:styleId="6">
    <w:name w:val="Body Text Indent"/>
    <w:basedOn w:val="1"/>
    <w:next w:val="7"/>
    <w:qFormat/>
    <w:uiPriority w:val="0"/>
    <w:pPr>
      <w:spacing w:after="120"/>
      <w:ind w:leftChars="200"/>
    </w:pPr>
    <w:rPr>
      <w:rFonts w:ascii="仿宋_GB2312"/>
      <w:szCs w:val="32"/>
    </w:rPr>
  </w:style>
  <w:style w:type="paragraph" w:styleId="7">
    <w:name w:val="Body Text First Indent 2"/>
    <w:basedOn w:val="6"/>
    <w:unhideWhenUsed/>
    <w:qFormat/>
    <w:uiPriority w:val="99"/>
    <w:pPr>
      <w:ind w:firstLine="420" w:firstLine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footnote text"/>
    <w:basedOn w:val="1"/>
    <w:next w:val="7"/>
    <w:semiHidden/>
    <w:qFormat/>
    <w:uiPriority w:val="0"/>
    <w:pPr>
      <w:snapToGrid w:val="0"/>
      <w:jc w:val="left"/>
    </w:pPr>
    <w:rPr>
      <w:sz w:val="18"/>
      <w:szCs w:val="18"/>
    </w:rPr>
  </w:style>
  <w:style w:type="paragraph" w:styleId="14">
    <w:name w:val="toc 2"/>
    <w:basedOn w:val="1"/>
    <w:next w:val="1"/>
    <w:unhideWhenUsed/>
    <w:qFormat/>
    <w:uiPriority w:val="39"/>
    <w:pPr>
      <w:tabs>
        <w:tab w:val="right" w:leader="dot" w:pos="8296"/>
      </w:tabs>
      <w:ind w:left="420" w:left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paragraph" w:customStyle="1" w:styleId="19">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3"/>
    <w:qFormat/>
    <w:uiPriority w:val="9"/>
    <w:rPr>
      <w:rFonts w:ascii="Times New Roman" w:hAnsi="Times New Roman"/>
      <w:b/>
      <w:bCs/>
      <w:kern w:val="44"/>
      <w:sz w:val="44"/>
      <w:szCs w:val="44"/>
    </w:rPr>
  </w:style>
  <w:style w:type="character" w:customStyle="1" w:styleId="29">
    <w:name w:val="标题 2 Char"/>
    <w:basedOn w:val="16"/>
    <w:link w:val="4"/>
    <w:qFormat/>
    <w:uiPriority w:val="9"/>
    <w:rPr>
      <w:rFonts w:asciiTheme="majorHAnsi" w:hAnsiTheme="majorHAnsi" w:eastAsiaTheme="majorEastAsia" w:cstheme="majorBidi"/>
      <w:b/>
      <w:bCs/>
      <w:kern w:val="2"/>
      <w:sz w:val="32"/>
      <w:szCs w:val="32"/>
    </w:rPr>
  </w:style>
  <w:style w:type="paragraph" w:customStyle="1" w:styleId="30">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5"/>
    <w:qFormat/>
    <w:uiPriority w:val="9"/>
    <w:rPr>
      <w:rFonts w:ascii="Times New Roman" w:hAnsi="Times New Roman"/>
      <w:b/>
      <w:bCs/>
      <w:kern w:val="2"/>
      <w:sz w:val="32"/>
      <w:szCs w:val="32"/>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标题 2 字符"/>
    <w:basedOn w:val="16"/>
    <w:link w:val="4"/>
    <w:qFormat/>
    <w:uiPriority w:val="9"/>
    <w:rPr>
      <w:rFonts w:asciiTheme="majorHAnsi" w:hAnsiTheme="majorHAnsi" w:eastAsiaTheme="majorEastAsia" w:cstheme="majorBidi"/>
      <w:b/>
      <w:bCs/>
      <w:kern w:val="2"/>
      <w:sz w:val="32"/>
      <w:szCs w:val="32"/>
    </w:rPr>
  </w:style>
  <w:style w:type="paragraph" w:customStyle="1" w:styleId="36">
    <w:name w:val="WPSOffice手动目录 1"/>
    <w:qFormat/>
    <w:uiPriority w:val="0"/>
    <w:pPr>
      <w:ind w:leftChars="0"/>
    </w:pPr>
    <w:rPr>
      <w:rFonts w:ascii="Times New Roman" w:hAnsi="Times New Roman" w:eastAsia="宋体" w:cs="Times New Roman"/>
      <w:sz w:val="20"/>
      <w:szCs w:val="20"/>
    </w:r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glossaryDocument" Target="glossary/document.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6.xml"/><Relationship Id="rId16" Type="http://schemas.openxmlformats.org/officeDocument/2006/relationships/chart" Target="charts/chart5.xml"/><Relationship Id="rId15" Type="http://schemas.openxmlformats.org/officeDocument/2006/relationships/chart" Target="charts/chart4.xml"/><Relationship Id="rId14" Type="http://schemas.openxmlformats.org/officeDocument/2006/relationships/chart" Target="charts/chart3.xml"/><Relationship Id="rId13" Type="http://schemas.openxmlformats.org/officeDocument/2006/relationships/chart" Target="charts/chart2.xml"/><Relationship Id="rId12" Type="http://schemas.openxmlformats.org/officeDocument/2006/relationships/chart" Target="charts/chart1.xml"/><Relationship Id="rId11" Type="http://schemas.openxmlformats.org/officeDocument/2006/relationships/theme" Target="theme/theme1.xml"/><Relationship Id="rId10" Type="http://schemas.openxmlformats.org/officeDocument/2006/relationships/header" Target="header4.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2270;&#3492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2270;&#34920;.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2270;&#3492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2270;&#3492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2270;&#34920;.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2270;&#3492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收入、支出决算情况图（单位：万元）</a:t>
            </a:r>
            <a:endParaRPr sz="900"/>
          </a:p>
        </c:rich>
      </c:tx>
      <c:layout>
        <c:manualLayout>
          <c:xMode val="edge"/>
          <c:yMode val="edge"/>
          <c:x val="0.300505963136971"/>
          <c:y val="0.0150923757481135"/>
        </c:manualLayout>
      </c:layout>
      <c:overlay val="0"/>
      <c:spPr>
        <a:noFill/>
        <a:ln>
          <a:noFill/>
        </a:ln>
        <a:effectLst/>
      </c:spPr>
    </c:title>
    <c:autoTitleDeleted val="0"/>
    <c:plotArea>
      <c:layout/>
      <c:barChart>
        <c:barDir val="col"/>
        <c:grouping val="clustered"/>
        <c:varyColors val="0"/>
        <c:ser>
          <c:idx val="0"/>
          <c:order val="0"/>
          <c:tx>
            <c:strRef>
              <c:f>[图表.xlsx]Sheet1!$B$10</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[图表.xlsx]Sheet1!$C$10:$D$10</c:f>
              <c:numCache>
                <c:formatCode>#,##0.00</c:formatCode>
                <c:ptCount val="2"/>
                <c:pt idx="0">
                  <c:v>3381.26</c:v>
                </c:pt>
                <c:pt idx="1">
                  <c:v>3381.26</c:v>
                </c:pt>
              </c:numCache>
            </c:numRef>
          </c:val>
        </c:ser>
        <c:ser>
          <c:idx val="1"/>
          <c:order val="1"/>
          <c:tx>
            <c:strRef>
              <c:f>[图表.xlsx]Sheet1!$B$11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[图表.xlsx]Sheet1!$C$9:$D$9</c:f>
              <c:strCache>
                <c:ptCount val="2"/>
                <c:pt idx="0">
                  <c:v>收入</c:v>
                </c:pt>
                <c:pt idx="1">
                  <c:v>支出</c:v>
                </c:pt>
              </c:strCache>
            </c:strRef>
          </c:cat>
          <c:val>
            <c:numRef>
              <c:f>[图表.xlsx]Sheet1!$C$11:$D$11</c:f>
              <c:numCache>
                <c:formatCode>#,##0.00</c:formatCode>
                <c:ptCount val="2"/>
                <c:pt idx="0">
                  <c:v>2864.75</c:v>
                </c:pt>
                <c:pt idx="1">
                  <c:v>2864.75</c:v>
                </c:pt>
              </c:numCache>
            </c:numRef>
          </c:val>
        </c:ser>
        <c:dLbls>
          <c:showLegendKey val="0"/>
          <c:showVal val="1"/>
          <c:showCatName val="0"/>
          <c:showSerName val="0"/>
          <c:showPercent val="0"/>
          <c:showBubbleSize val="0"/>
        </c:dLbls>
        <c:gapWidth val="219"/>
        <c:overlap val="-27"/>
        <c:axId val="927626806"/>
        <c:axId val="635985398"/>
      </c:barChart>
      <c:catAx>
        <c:axId val="92762680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35985398"/>
        <c:crosses val="autoZero"/>
        <c:auto val="1"/>
        <c:lblAlgn val="ctr"/>
        <c:lblOffset val="100"/>
        <c:noMultiLvlLbl val="0"/>
      </c:catAx>
      <c:valAx>
        <c:axId val="635985398"/>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27626806"/>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收入决算结构图（单位：万元）</a:t>
            </a:r>
            <a:endParaRPr sz="900"/>
          </a:p>
        </c:rich>
      </c:tx>
      <c:layout>
        <c:manualLayout>
          <c:xMode val="edge"/>
          <c:yMode val="edge"/>
          <c:x val="0.308641552511415"/>
          <c:y val="0.00672796591163938"/>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Lbls>
            <c:dLbl>
              <c:idx val="0"/>
              <c:layout>
                <c:manualLayout>
                  <c:x val="0.206041585904006"/>
                  <c:y val="-0.17035326076382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[图表.xlsx]Sheet1!$B$63</c:f>
              <c:strCache>
                <c:ptCount val="1"/>
                <c:pt idx="0">
                  <c:v>一般公共预算财政拨款收入</c:v>
                </c:pt>
              </c:strCache>
            </c:strRef>
          </c:cat>
          <c:val>
            <c:numRef>
              <c:f>[图表.xlsx]Sheet1!$C$63</c:f>
              <c:numCache>
                <c:formatCode>#,##0.00</c:formatCode>
                <c:ptCount val="1"/>
                <c:pt idx="0">
                  <c:v>2864.75</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333698630136986"/>
          <c:y val="0.90401435299394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支出决算结构图（单位：万元）</a:t>
            </a:r>
          </a:p>
        </c:rich>
      </c:tx>
      <c:layout>
        <c:manualLayout>
          <c:xMode val="edge"/>
          <c:yMode val="edge"/>
          <c:x val="0.230416666666667"/>
          <c:y val="0.0208333333333333"/>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210416666666667"/>
                  <c:y val="-0.131944444444444"/>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16875"/>
                  <c:y val="0.0833333333333333"/>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[图表.xlsx]Sheet1!$B$94:$B$95</c:f>
              <c:strCache>
                <c:ptCount val="2"/>
                <c:pt idx="0">
                  <c:v>基本支出</c:v>
                </c:pt>
                <c:pt idx="1">
                  <c:v>项目支出</c:v>
                </c:pt>
              </c:strCache>
            </c:strRef>
          </c:cat>
          <c:val>
            <c:numRef>
              <c:f>[图表.xlsx]Sheet1!$C$94:$C$95</c:f>
              <c:numCache>
                <c:formatCode>#,##0.00</c:formatCode>
                <c:ptCount val="2"/>
                <c:pt idx="0">
                  <c:v>2844.16</c:v>
                </c:pt>
                <c:pt idx="1" c:formatCode="General">
                  <c:v>20.59</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manualLayout>
          <c:xMode val="edge"/>
          <c:yMode val="edge"/>
          <c:x val="0.145555555555556"/>
          <c:y val="0.9159722222222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财政拨款收入、支出决算情况表（单位：万元）</a:t>
            </a:r>
            <a:endParaRPr sz="900"/>
          </a:p>
        </c:rich>
      </c:tx>
      <c:layout>
        <c:manualLayout>
          <c:xMode val="edge"/>
          <c:yMode val="edge"/>
          <c:x val="0.288378519165521"/>
          <c:y val="0.0210186173366536"/>
        </c:manualLayout>
      </c:layout>
      <c:overlay val="0"/>
      <c:spPr>
        <a:noFill/>
        <a:ln>
          <a:noFill/>
        </a:ln>
        <a:effectLst/>
      </c:spPr>
    </c:title>
    <c:autoTitleDeleted val="0"/>
    <c:plotArea>
      <c:layout/>
      <c:barChart>
        <c:barDir val="col"/>
        <c:grouping val="clustered"/>
        <c:varyColors val="0"/>
        <c:ser>
          <c:idx val="0"/>
          <c:order val="0"/>
          <c:tx>
            <c:strRef>
              <c:f>[图表.xlsx]Sheet1!$B$119</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[图表.xlsx]Sheet1!$C$119:$D$119</c:f>
              <c:numCache>
                <c:formatCode>#,##0.00</c:formatCode>
                <c:ptCount val="2"/>
                <c:pt idx="0">
                  <c:v>3381.26</c:v>
                </c:pt>
                <c:pt idx="1">
                  <c:v>3381.26</c:v>
                </c:pt>
              </c:numCache>
            </c:numRef>
          </c:val>
        </c:ser>
        <c:ser>
          <c:idx val="1"/>
          <c:order val="1"/>
          <c:tx>
            <c:strRef>
              <c:f>[图表.xlsx]Sheet1!$B$120</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[图表.xlsx]Sheet1!$C$118:$D$118</c:f>
              <c:strCache>
                <c:ptCount val="2"/>
                <c:pt idx="0">
                  <c:v>财政拨款收入</c:v>
                </c:pt>
                <c:pt idx="1">
                  <c:v>财政拨款支出</c:v>
                </c:pt>
              </c:strCache>
            </c:strRef>
          </c:cat>
          <c:val>
            <c:numRef>
              <c:f>[图表.xlsx]Sheet1!$C$120:$D$120</c:f>
              <c:numCache>
                <c:formatCode>#,##0.00</c:formatCode>
                <c:ptCount val="2"/>
                <c:pt idx="0">
                  <c:v>2864.75</c:v>
                </c:pt>
                <c:pt idx="1">
                  <c:v>2864.75</c:v>
                </c:pt>
              </c:numCache>
            </c:numRef>
          </c:val>
        </c:ser>
        <c:dLbls>
          <c:showLegendKey val="0"/>
          <c:showVal val="1"/>
          <c:showCatName val="0"/>
          <c:showSerName val="0"/>
          <c:showPercent val="0"/>
          <c:showBubbleSize val="0"/>
        </c:dLbls>
        <c:gapWidth val="219"/>
        <c:overlap val="-27"/>
        <c:axId val="806790413"/>
        <c:axId val="42444325"/>
      </c:barChart>
      <c:catAx>
        <c:axId val="80679041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2444325"/>
        <c:crosses val="autoZero"/>
        <c:auto val="1"/>
        <c:lblAlgn val="ctr"/>
        <c:lblOffset val="100"/>
        <c:noMultiLvlLbl val="0"/>
      </c:catAx>
      <c:valAx>
        <c:axId val="4244432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90413"/>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000" b="0" i="0" u="none" strike="noStrike" kern="1200" spc="0" baseline="0">
                <a:solidFill>
                  <a:schemeClr val="tx1">
                    <a:lumMod val="65000"/>
                    <a:lumOff val="35000"/>
                  </a:schemeClr>
                </a:solidFill>
                <a:latin typeface="+mn-lt"/>
                <a:ea typeface="+mn-ea"/>
                <a:cs typeface="+mn-cs"/>
              </a:defRPr>
            </a:pPr>
            <a:r>
              <a:rPr sz="1000"/>
              <a:t>一般公共预算财政拨款支出决算情况表（单位：万元）</a:t>
            </a:r>
            <a:endParaRPr sz="1000"/>
          </a:p>
        </c:rich>
      </c:tx>
      <c:layout/>
      <c:overlay val="0"/>
      <c:spPr>
        <a:noFill/>
        <a:ln>
          <a:noFill/>
        </a:ln>
        <a:effectLst/>
      </c:spPr>
    </c:title>
    <c:autoTitleDeleted val="0"/>
    <c:plotArea>
      <c:layout/>
      <c:barChart>
        <c:barDir val="col"/>
        <c:grouping val="clustered"/>
        <c:varyColors val="0"/>
        <c:ser>
          <c:idx val="0"/>
          <c:order val="0"/>
          <c:tx>
            <c:strRef>
              <c:f>[图表.xlsx]Sheet1!$H$133</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[图表.xlsx]Sheet1!$I$133</c:f>
              <c:numCache>
                <c:formatCode>#,##0.00</c:formatCode>
                <c:ptCount val="1"/>
                <c:pt idx="0">
                  <c:v>3381.26</c:v>
                </c:pt>
              </c:numCache>
            </c:numRef>
          </c:val>
        </c:ser>
        <c:ser>
          <c:idx val="1"/>
          <c:order val="1"/>
          <c:tx>
            <c:strRef>
              <c:f>[图表.xlsx]Sheet1!$H$134</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[图表.xlsx]Sheet1!$I$132</c:f>
              <c:strCache>
                <c:ptCount val="1"/>
                <c:pt idx="0">
                  <c:v>一般公共预算财政拨款支出</c:v>
                </c:pt>
              </c:strCache>
            </c:strRef>
          </c:cat>
          <c:val>
            <c:numRef>
              <c:f>[图表.xlsx]Sheet1!$I$134</c:f>
              <c:numCache>
                <c:formatCode>#,##0.00</c:formatCode>
                <c:ptCount val="1"/>
                <c:pt idx="0">
                  <c:v>2864.75</c:v>
                </c:pt>
              </c:numCache>
            </c:numRef>
          </c:val>
        </c:ser>
        <c:dLbls>
          <c:showLegendKey val="0"/>
          <c:showVal val="1"/>
          <c:showCatName val="0"/>
          <c:showSerName val="0"/>
          <c:showPercent val="0"/>
          <c:showBubbleSize val="0"/>
        </c:dLbls>
        <c:gapWidth val="219"/>
        <c:overlap val="-27"/>
        <c:axId val="158010221"/>
        <c:axId val="806745929"/>
      </c:barChart>
      <c:catAx>
        <c:axId val="15801022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06745929"/>
        <c:crosses val="autoZero"/>
        <c:auto val="1"/>
        <c:lblAlgn val="ctr"/>
        <c:lblOffset val="100"/>
        <c:noMultiLvlLbl val="0"/>
      </c:catAx>
      <c:valAx>
        <c:axId val="80674592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5801022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900" b="0" i="0" u="none" strike="noStrike" kern="1200" spc="0" baseline="0">
                <a:solidFill>
                  <a:schemeClr val="tx1">
                    <a:lumMod val="65000"/>
                    <a:lumOff val="35000"/>
                  </a:schemeClr>
                </a:solidFill>
                <a:latin typeface="+mn-lt"/>
                <a:ea typeface="+mn-ea"/>
                <a:cs typeface="+mn-cs"/>
              </a:defRPr>
            </a:pPr>
            <a:r>
              <a:rPr sz="900"/>
              <a:t>功能支出决算结构图（单位：万元）</a:t>
            </a:r>
            <a:endParaRPr sz="900"/>
          </a:p>
        </c:rich>
      </c:tx>
      <c:layout>
        <c:manualLayout>
          <c:xMode val="edge"/>
          <c:yMode val="edge"/>
          <c:x val="0.246156962112593"/>
          <c:y val="0.00995850622406639"/>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0"/>
              <c:layout>
                <c:manualLayout>
                  <c:x val="0.0768338814953181"/>
                  <c:y val="-0.23195781290298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1"/>
              <c:layout>
                <c:manualLayout>
                  <c:x val="-0.0346825922466347"/>
                  <c:y val="0.130585362388568"/>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manualLayout>
                      <c:w val="0.153128555176337"/>
                      <c:h val="0.197257769652651"/>
                    </c:manualLayout>
                  </c15:layout>
                </c:ext>
              </c:extLst>
            </c:dLbl>
            <c:dLbl>
              <c:idx val="2"/>
              <c:layout>
                <c:manualLayout>
                  <c:x val="-0.138530973527245"/>
                  <c:y val="0.134341448124106"/>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dLbl>
              <c:idx val="3"/>
              <c:layout>
                <c:manualLayout>
                  <c:x val="0.0255345119711355"/>
                  <c:y val="0.0588496689065827"/>
                </c:manualLayout>
              </c:layout>
              <c:dLblPos val="bestFit"/>
              <c:showLegendKey val="0"/>
              <c:showVal val="1"/>
              <c:showCatName val="1"/>
              <c:showSerName val="0"/>
              <c:showPercent val="1"/>
              <c:showBubbleSize val="0"/>
              <c:separator>
</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1"/>
            <c:showSerName val="0"/>
            <c:showPercent val="1"/>
            <c:showBubbleSize val="0"/>
            <c:separator>
</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[图表.xlsx]Sheet1!$B$250:$B$253</c:f>
              <c:strCache>
                <c:ptCount val="4"/>
                <c:pt idx="0">
                  <c:v>教育支出</c:v>
                </c:pt>
                <c:pt idx="1">
                  <c:v>社会保障和就业支出</c:v>
                </c:pt>
                <c:pt idx="2">
                  <c:v>卫生健康支出</c:v>
                </c:pt>
                <c:pt idx="3">
                  <c:v>住房保障支出</c:v>
                </c:pt>
              </c:strCache>
            </c:strRef>
          </c:cat>
          <c:val>
            <c:numRef>
              <c:f>[图表.xlsx]Sheet1!$C$250:$C$253</c:f>
              <c:numCache>
                <c:formatCode>#,##0.00</c:formatCode>
                <c:ptCount val="4"/>
                <c:pt idx="0">
                  <c:v>2052.94</c:v>
                </c:pt>
                <c:pt idx="1" c:formatCode="General">
                  <c:v>405.47</c:v>
                </c:pt>
                <c:pt idx="2" c:formatCode="General">
                  <c:v>210.29</c:v>
                </c:pt>
                <c:pt idx="3" c:formatCode="General">
                  <c:v>196.05</c:v>
                </c:pt>
              </c:numCache>
            </c:numRef>
          </c:val>
        </c:ser>
        <c:dLbls>
          <c:showLegendKey val="0"/>
          <c:showVal val="1"/>
          <c:showCatName val="1"/>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7efaa880-1b3f-44f8-918f-1b1d95667a7f}"/>
        <w:style w:val=""/>
        <w:category>
          <w:name w:val="常规"/>
          <w:gallery w:val="placeholder"/>
        </w:category>
        <w:types>
          <w:type w:val="bbPlcHdr"/>
        </w:types>
        <w:behaviors>
          <w:behavior w:val="content"/>
        </w:behaviors>
        <w:description w:val=""/>
        <w:guid w:val="{7efaa880-1b3f-44f8-918f-1b1d95667a7f}"/>
      </w:docPartPr>
      <w:docPartBody>
        <w:p>
          <w:r>
            <w:rPr>
              <w:color w:val="808080"/>
            </w:rPr>
            <w:t>单击此处输入文字。</w:t>
          </w:r>
        </w:p>
      </w:docPartBody>
    </w:docPart>
    <w:docPart>
      <w:docPartPr>
        <w:name w:val="{a293b931-38db-465a-8b67-31a757cb08c6}"/>
        <w:style w:val=""/>
        <w:category>
          <w:name w:val="常规"/>
          <w:gallery w:val="placeholder"/>
        </w:category>
        <w:types>
          <w:type w:val="bbPlcHdr"/>
        </w:types>
        <w:behaviors>
          <w:behavior w:val="content"/>
        </w:behaviors>
        <w:description w:val=""/>
        <w:guid w:val="{a293b931-38db-465a-8b67-31a757cb08c6}"/>
      </w:docPartPr>
      <w:docPartBody>
        <w:p>
          <w:r>
            <w:rPr>
              <w:color w:val="808080"/>
            </w:rPr>
            <w:t>单击此处输入文字。</w:t>
          </w:r>
        </w:p>
      </w:docPartBody>
    </w:docPart>
    <w:docPart>
      <w:docPartPr>
        <w:name w:val="{36aa84e1-f64b-4260-b333-aafd70a7b396}"/>
        <w:style w:val=""/>
        <w:category>
          <w:name w:val="常规"/>
          <w:gallery w:val="placeholder"/>
        </w:category>
        <w:types>
          <w:type w:val="bbPlcHdr"/>
        </w:types>
        <w:behaviors>
          <w:behavior w:val="content"/>
        </w:behaviors>
        <w:description w:val=""/>
        <w:guid w:val="{36aa84e1-f64b-4260-b333-aafd70a7b396}"/>
      </w:docPartPr>
      <w:docPartBody>
        <w:p>
          <w:r>
            <w:rPr>
              <w:color w:val="808080"/>
            </w:rPr>
            <w:t>单击此处输入文字。</w:t>
          </w:r>
        </w:p>
      </w:docPartBody>
    </w:docPart>
    <w:docPart>
      <w:docPartPr>
        <w:name w:val="{42da7cbe-ae9b-4ead-b7ca-43ae18c6e0df}"/>
        <w:style w:val=""/>
        <w:category>
          <w:name w:val="常规"/>
          <w:gallery w:val="placeholder"/>
        </w:category>
        <w:types>
          <w:type w:val="bbPlcHdr"/>
        </w:types>
        <w:behaviors>
          <w:behavior w:val="content"/>
        </w:behaviors>
        <w:description w:val=""/>
        <w:guid w:val="{42da7cbe-ae9b-4ead-b7ca-43ae18c6e0df}"/>
      </w:docPartPr>
      <w:docPartBody>
        <w:p>
          <w:r>
            <w:rPr>
              <w:color w:val="808080"/>
            </w:rPr>
            <w:t>单击此处输入文字。</w:t>
          </w:r>
        </w:p>
      </w:docPartBody>
    </w:docPart>
    <w:docPart>
      <w:docPartPr>
        <w:name w:val="{b0d9969d-04a2-4eb1-8021-7814aff5e24c}"/>
        <w:style w:val=""/>
        <w:category>
          <w:name w:val="常规"/>
          <w:gallery w:val="placeholder"/>
        </w:category>
        <w:types>
          <w:type w:val="bbPlcHdr"/>
        </w:types>
        <w:behaviors>
          <w:behavior w:val="content"/>
        </w:behaviors>
        <w:description w:val=""/>
        <w:guid w:val="{b0d9969d-04a2-4eb1-8021-7814aff5e24c}"/>
      </w:docPartPr>
      <w:docPartBody>
        <w:p>
          <w:r>
            <w:rPr>
              <w:color w:val="808080"/>
            </w:rPr>
            <w:t>单击此处输入文字。</w:t>
          </w:r>
        </w:p>
      </w:docPartBody>
    </w:docPart>
    <w:docPart>
      <w:docPartPr>
        <w:name w:val="{adf9aa60-dfa4-44d4-a37d-9e5048a96537}"/>
        <w:style w:val=""/>
        <w:category>
          <w:name w:val="常规"/>
          <w:gallery w:val="placeholder"/>
        </w:category>
        <w:types>
          <w:type w:val="bbPlcHdr"/>
        </w:types>
        <w:behaviors>
          <w:behavior w:val="content"/>
        </w:behaviors>
        <w:description w:val=""/>
        <w:guid w:val="{adf9aa60-dfa4-44d4-a37d-9e5048a96537}"/>
      </w:docPartPr>
      <w:docPartBody>
        <w:p>
          <w:r>
            <w:rPr>
              <w:color w:val="808080"/>
            </w:rPr>
            <w:t>单击此处输入文字。</w:t>
          </w:r>
        </w:p>
      </w:docPartBody>
    </w:docPart>
    <w:docPart>
      <w:docPartPr>
        <w:name w:val="{b1c67965-ac79-4e2a-9348-29d9aafeb301}"/>
        <w:style w:val=""/>
        <w:category>
          <w:name w:val="常规"/>
          <w:gallery w:val="placeholder"/>
        </w:category>
        <w:types>
          <w:type w:val="bbPlcHdr"/>
        </w:types>
        <w:behaviors>
          <w:behavior w:val="content"/>
        </w:behaviors>
        <w:description w:val=""/>
        <w:guid w:val="{b1c67965-ac79-4e2a-9348-29d9aafeb301}"/>
      </w:docPartPr>
      <w:docPartBody>
        <w:p>
          <w:r>
            <w:rPr>
              <w:color w:val="808080"/>
            </w:rPr>
            <w:t>单击此处输入文字。</w:t>
          </w:r>
        </w:p>
      </w:docPartBody>
    </w:docPart>
    <w:docPart>
      <w:docPartPr>
        <w:name w:val="{8bbe696d-b519-4e20-941f-a9630e2f25c9}"/>
        <w:style w:val=""/>
        <w:category>
          <w:name w:val="常规"/>
          <w:gallery w:val="placeholder"/>
        </w:category>
        <w:types>
          <w:type w:val="bbPlcHdr"/>
        </w:types>
        <w:behaviors>
          <w:behavior w:val="content"/>
        </w:behaviors>
        <w:description w:val=""/>
        <w:guid w:val="{8bbe696d-b519-4e20-941f-a9630e2f25c9}"/>
      </w:docPartPr>
      <w:docPartBody>
        <w:p>
          <w:r>
            <w:rPr>
              <w:color w:val="808080"/>
            </w:rPr>
            <w:t>单击此处输入文字。</w:t>
          </w:r>
        </w:p>
      </w:docPartBody>
    </w:docPart>
    <w:docPart>
      <w:docPartPr>
        <w:name w:val="{e17ce79a-0880-47af-af34-701f0fa7fc79}"/>
        <w:style w:val=""/>
        <w:category>
          <w:name w:val="常规"/>
          <w:gallery w:val="placeholder"/>
        </w:category>
        <w:types>
          <w:type w:val="bbPlcHdr"/>
        </w:types>
        <w:behaviors>
          <w:behavior w:val="content"/>
        </w:behaviors>
        <w:description w:val=""/>
        <w:guid w:val="{e17ce79a-0880-47af-af34-701f0fa7fc79}"/>
      </w:docPartPr>
      <w:docPartBody>
        <w:p>
          <w:r>
            <w:rPr>
              <w:color w:val="808080"/>
            </w:rPr>
            <w:t>单击此处输入文字。</w:t>
          </w:r>
        </w:p>
      </w:docPartBody>
    </w:docPart>
    <w:docPart>
      <w:docPartPr>
        <w:name w:val="{fb36cc1d-e63d-45a9-8f26-8b01dff822c6}"/>
        <w:style w:val=""/>
        <w:category>
          <w:name w:val="常规"/>
          <w:gallery w:val="placeholder"/>
        </w:category>
        <w:types>
          <w:type w:val="bbPlcHdr"/>
        </w:types>
        <w:behaviors>
          <w:behavior w:val="content"/>
        </w:behaviors>
        <w:description w:val=""/>
        <w:guid w:val="{fb36cc1d-e63d-45a9-8f26-8b01dff822c6}"/>
      </w:docPartPr>
      <w:docPartBody>
        <w:p>
          <w:r>
            <w:rPr>
              <w:color w:val="808080"/>
            </w:rPr>
            <w:t>单击此处输入文字。</w:t>
          </w:r>
        </w:p>
      </w:docPartBody>
    </w:docPart>
    <w:docPart>
      <w:docPartPr>
        <w:name w:val="{1bcde061-9a89-44a1-b201-9642ac0a9129}"/>
        <w:style w:val=""/>
        <w:category>
          <w:name w:val="常规"/>
          <w:gallery w:val="placeholder"/>
        </w:category>
        <w:types>
          <w:type w:val="bbPlcHdr"/>
        </w:types>
        <w:behaviors>
          <w:behavior w:val="content"/>
        </w:behaviors>
        <w:description w:val=""/>
        <w:guid w:val="{1bcde061-9a89-44a1-b201-9642ac0a9129}"/>
      </w:docPartPr>
      <w:docPartBody>
        <w:p>
          <w:r>
            <w:rPr>
              <w:color w:val="808080"/>
            </w:rPr>
            <w:t>单击此处输入文字。</w:t>
          </w:r>
        </w:p>
      </w:docPartBody>
    </w:docPart>
    <w:docPart>
      <w:docPartPr>
        <w:name w:val="{322d1363-e9bf-46da-afe8-a7d814a0a9e3}"/>
        <w:style w:val=""/>
        <w:category>
          <w:name w:val="常规"/>
          <w:gallery w:val="placeholder"/>
        </w:category>
        <w:types>
          <w:type w:val="bbPlcHdr"/>
        </w:types>
        <w:behaviors>
          <w:behavior w:val="content"/>
        </w:behaviors>
        <w:description w:val=""/>
        <w:guid w:val="{322d1363-e9bf-46da-afe8-a7d814a0a9e3}"/>
      </w:docPartPr>
      <w:docPartBody>
        <w:p>
          <w:r>
            <w:rPr>
              <w:color w:val="808080"/>
            </w:rPr>
            <w:t>单击此处输入文字。</w:t>
          </w:r>
        </w:p>
      </w:docPartBody>
    </w:docPart>
    <w:docPart>
      <w:docPartPr>
        <w:name w:val="{f699a926-5ca2-4a4d-a5dd-eef39873b2c3}"/>
        <w:style w:val=""/>
        <w:category>
          <w:name w:val="常规"/>
          <w:gallery w:val="placeholder"/>
        </w:category>
        <w:types>
          <w:type w:val="bbPlcHdr"/>
        </w:types>
        <w:behaviors>
          <w:behavior w:val="content"/>
        </w:behaviors>
        <w:description w:val=""/>
        <w:guid w:val="{f699a926-5ca2-4a4d-a5dd-eef39873b2c3}"/>
      </w:docPartPr>
      <w:docPartBody>
        <w:p>
          <w:r>
            <w:rPr>
              <w:color w:val="808080"/>
            </w:rPr>
            <w:t>单击此处输入文字。</w:t>
          </w:r>
        </w:p>
      </w:docPartBody>
    </w:docPart>
    <w:docPart>
      <w:docPartPr>
        <w:name w:val="{84621f0e-061d-4aaf-89fe-51c2553aabe2}"/>
        <w:style w:val=""/>
        <w:category>
          <w:name w:val="常规"/>
          <w:gallery w:val="placeholder"/>
        </w:category>
        <w:types>
          <w:type w:val="bbPlcHdr"/>
        </w:types>
        <w:behaviors>
          <w:behavior w:val="content"/>
        </w:behaviors>
        <w:description w:val=""/>
        <w:guid w:val="{84621f0e-061d-4aaf-89fe-51c2553aabe2}"/>
      </w:docPartPr>
      <w:docPartBody>
        <w:p>
          <w:r>
            <w:rPr>
              <w:color w:val="808080"/>
            </w:rPr>
            <w:t>单击此处输入文字。</w:t>
          </w:r>
        </w:p>
      </w:docPartBody>
    </w:docPart>
    <w:docPart>
      <w:docPartPr>
        <w:name w:val="{36a8df0f-1577-434b-83e7-314f38fda77b}"/>
        <w:style w:val=""/>
        <w:category>
          <w:name w:val="常规"/>
          <w:gallery w:val="placeholder"/>
        </w:category>
        <w:types>
          <w:type w:val="bbPlcHdr"/>
        </w:types>
        <w:behaviors>
          <w:behavior w:val="content"/>
        </w:behaviors>
        <w:description w:val=""/>
        <w:guid w:val="{36a8df0f-1577-434b-83e7-314f38fda77b}"/>
      </w:docPartPr>
      <w:docPartBody>
        <w:p>
          <w:r>
            <w:rPr>
              <w:color w:val="808080"/>
            </w:rPr>
            <w:t>单击此处输入文字。</w:t>
          </w:r>
        </w:p>
      </w:docPartBody>
    </w:docPart>
    <w:docPart>
      <w:docPartPr>
        <w:name w:val="{800ded00-1cc5-4b76-8694-950a018d708c}"/>
        <w:style w:val=""/>
        <w:category>
          <w:name w:val="常规"/>
          <w:gallery w:val="placeholder"/>
        </w:category>
        <w:types>
          <w:type w:val="bbPlcHdr"/>
        </w:types>
        <w:behaviors>
          <w:behavior w:val="content"/>
        </w:behaviors>
        <w:description w:val=""/>
        <w:guid w:val="{800ded00-1cc5-4b76-8694-950a018d708c}"/>
      </w:docPartPr>
      <w:docPartBody>
        <w:p>
          <w:r>
            <w:rPr>
              <w:color w:val="808080"/>
            </w:rPr>
            <w:t>单击此处输入文字。</w:t>
          </w:r>
        </w:p>
      </w:docPartBody>
    </w:docPart>
    <w:docPart>
      <w:docPartPr>
        <w:name w:val="{b8155677-aa85-4052-b98e-70ba00a0c25b}"/>
        <w:style w:val=""/>
        <w:category>
          <w:name w:val="常规"/>
          <w:gallery w:val="placeholder"/>
        </w:category>
        <w:types>
          <w:type w:val="bbPlcHdr"/>
        </w:types>
        <w:behaviors>
          <w:behavior w:val="content"/>
        </w:behaviors>
        <w:description w:val=""/>
        <w:guid w:val="{b8155677-aa85-4052-b98e-70ba00a0c25b}"/>
      </w:docPartPr>
      <w:docPartBody>
        <w:p>
          <w:r>
            <w:rPr>
              <w:color w:val="808080"/>
            </w:rPr>
            <w:t>单击此处输入文字。</w:t>
          </w:r>
        </w:p>
      </w:docPartBody>
    </w:docPart>
    <w:docPart>
      <w:docPartPr>
        <w:name w:val="{b8e8adb4-b8ee-40ff-a9e9-aa558553fb98}"/>
        <w:style w:val=""/>
        <w:category>
          <w:name w:val="常规"/>
          <w:gallery w:val="placeholder"/>
        </w:category>
        <w:types>
          <w:type w:val="bbPlcHdr"/>
        </w:types>
        <w:behaviors>
          <w:behavior w:val="content"/>
        </w:behaviors>
        <w:description w:val=""/>
        <w:guid w:val="{b8e8adb4-b8ee-40ff-a9e9-aa558553fb98}"/>
      </w:docPartPr>
      <w:docPartBody>
        <w:p>
          <w:r>
            <w:rPr>
              <w:color w:val="808080"/>
            </w:rPr>
            <w:t>单击此处输入文字。</w:t>
          </w:r>
        </w:p>
      </w:docPartBody>
    </w:docPart>
    <w:docPart>
      <w:docPartPr>
        <w:name w:val="{ccce9f2d-4653-4860-9a3c-c137baf8cea1}"/>
        <w:style w:val=""/>
        <w:category>
          <w:name w:val="常规"/>
          <w:gallery w:val="placeholder"/>
        </w:category>
        <w:types>
          <w:type w:val="bbPlcHdr"/>
        </w:types>
        <w:behaviors>
          <w:behavior w:val="content"/>
        </w:behaviors>
        <w:description w:val=""/>
        <w:guid w:val="{ccce9f2d-4653-4860-9a3c-c137baf8cea1}"/>
      </w:docPartPr>
      <w:docPartBody>
        <w:p>
          <w:r>
            <w:rPr>
              <w:color w:val="808080"/>
            </w:rPr>
            <w:t>单击此处输入文字。</w:t>
          </w:r>
        </w:p>
      </w:docPartBody>
    </w:docPart>
    <w:docPart>
      <w:docPartPr>
        <w:name w:val="{f0c9b9ec-ad72-4245-bcca-733a4cf0861f}"/>
        <w:style w:val=""/>
        <w:category>
          <w:name w:val="常规"/>
          <w:gallery w:val="placeholder"/>
        </w:category>
        <w:types>
          <w:type w:val="bbPlcHdr"/>
        </w:types>
        <w:behaviors>
          <w:behavior w:val="content"/>
        </w:behaviors>
        <w:description w:val=""/>
        <w:guid w:val="{f0c9b9ec-ad72-4245-bcca-733a4cf0861f}"/>
      </w:docPartPr>
      <w:docPartBody>
        <w:p>
          <w:r>
            <w:rPr>
              <w:color w:val="808080"/>
            </w:rPr>
            <w:t>单击此处输入文字。</w:t>
          </w:r>
        </w:p>
      </w:docPartBody>
    </w:docPart>
    <w:docPart>
      <w:docPartPr>
        <w:name w:val="{965ac837-c370-4fea-8c1a-599484af9005}"/>
        <w:style w:val=""/>
        <w:category>
          <w:name w:val="常规"/>
          <w:gallery w:val="placeholder"/>
        </w:category>
        <w:types>
          <w:type w:val="bbPlcHdr"/>
        </w:types>
        <w:behaviors>
          <w:behavior w:val="content"/>
        </w:behaviors>
        <w:description w:val=""/>
        <w:guid w:val="{965ac837-c370-4fea-8c1a-599484af9005}"/>
      </w:docPartPr>
      <w:docPartBody>
        <w:p>
          <w:r>
            <w:rPr>
              <w:color w:val="808080"/>
            </w:rPr>
            <w:t>单击此处输入文字。</w:t>
          </w:r>
        </w:p>
      </w:docPartBody>
    </w:docPart>
    <w:docPart>
      <w:docPartPr>
        <w:name w:val="{0dd0d3c2-8f9e-45e0-9ecf-b662af2fcf33}"/>
        <w:style w:val=""/>
        <w:category>
          <w:name w:val="常规"/>
          <w:gallery w:val="placeholder"/>
        </w:category>
        <w:types>
          <w:type w:val="bbPlcHdr"/>
        </w:types>
        <w:behaviors>
          <w:behavior w:val="content"/>
        </w:behaviors>
        <w:description w:val=""/>
        <w:guid w:val="{0dd0d3c2-8f9e-45e0-9ecf-b662af2fcf33}"/>
      </w:docPartPr>
      <w:docPartBody>
        <w:p>
          <w:r>
            <w:rPr>
              <w:color w:val="808080"/>
            </w:rPr>
            <w:t>单击此处输入文字。</w:t>
          </w:r>
        </w:p>
      </w:docPartBody>
    </w:docPart>
    <w:docPart>
      <w:docPartPr>
        <w:name w:val="{b2720775-0eb5-4a53-be19-969bcc836c1f}"/>
        <w:style w:val=""/>
        <w:category>
          <w:name w:val="常规"/>
          <w:gallery w:val="placeholder"/>
        </w:category>
        <w:types>
          <w:type w:val="bbPlcHdr"/>
        </w:types>
        <w:behaviors>
          <w:behavior w:val="content"/>
        </w:behaviors>
        <w:description w:val=""/>
        <w:guid w:val="{b2720775-0eb5-4a53-be19-969bcc836c1f}"/>
      </w:docPartPr>
      <w:docPartBody>
        <w:p>
          <w:r>
            <w:rPr>
              <w:color w:val="808080"/>
            </w:rPr>
            <w:t>单击此处输入文字。</w:t>
          </w:r>
        </w:p>
      </w:docPartBody>
    </w:docPart>
    <w:docPart>
      <w:docPartPr>
        <w:name w:val="{b5a8563a-f3fc-4806-8ae4-a620f3f04aaa}"/>
        <w:style w:val=""/>
        <w:category>
          <w:name w:val="常规"/>
          <w:gallery w:val="placeholder"/>
        </w:category>
        <w:types>
          <w:type w:val="bbPlcHdr"/>
        </w:types>
        <w:behaviors>
          <w:behavior w:val="content"/>
        </w:behaviors>
        <w:description w:val=""/>
        <w:guid w:val="{b5a8563a-f3fc-4806-8ae4-a620f3f04aaa}"/>
      </w:docPartPr>
      <w:docPartBody>
        <w:p>
          <w:r>
            <w:rPr>
              <w:color w:val="808080"/>
            </w:rPr>
            <w:t>单击此处输入文字。</w:t>
          </w:r>
        </w:p>
      </w:docPartBody>
    </w:docPart>
    <w:docPart>
      <w:docPartPr>
        <w:name w:val="{4bfce03e-80c4-40e5-90dc-a86ab8455836}"/>
        <w:style w:val=""/>
        <w:category>
          <w:name w:val="常规"/>
          <w:gallery w:val="placeholder"/>
        </w:category>
        <w:types>
          <w:type w:val="bbPlcHdr"/>
        </w:types>
        <w:behaviors>
          <w:behavior w:val="content"/>
        </w:behaviors>
        <w:description w:val=""/>
        <w:guid w:val="{4bfce03e-80c4-40e5-90dc-a86ab8455836}"/>
      </w:docPartPr>
      <w:docPartBody>
        <w:p>
          <w:r>
            <w:rPr>
              <w:color w:val="808080"/>
            </w:rPr>
            <w:t>单击此处输入文字。</w:t>
          </w:r>
        </w:p>
      </w:docPartBody>
    </w:docPart>
    <w:docPart>
      <w:docPartPr>
        <w:name w:val="{144c10b3-ad70-4f0b-816a-5bb2e1efaa4b}"/>
        <w:style w:val=""/>
        <w:category>
          <w:name w:val="常规"/>
          <w:gallery w:val="placeholder"/>
        </w:category>
        <w:types>
          <w:type w:val="bbPlcHdr"/>
        </w:types>
        <w:behaviors>
          <w:behavior w:val="content"/>
        </w:behaviors>
        <w:description w:val=""/>
        <w:guid w:val="{144c10b3-ad70-4f0b-816a-5bb2e1efaa4b}"/>
      </w:docPartPr>
      <w:docPartBody>
        <w:p>
          <w:r>
            <w:rPr>
              <w:color w:val="808080"/>
            </w:rPr>
            <w:t>单击此处输入文字。</w:t>
          </w:r>
        </w:p>
      </w:docPartBody>
    </w:docPart>
    <w:docPart>
      <w:docPartPr>
        <w:name w:val="{11728ae7-8101-4d76-bf56-beec909e9244}"/>
        <w:style w:val=""/>
        <w:category>
          <w:name w:val="常规"/>
          <w:gallery w:val="placeholder"/>
        </w:category>
        <w:types>
          <w:type w:val="bbPlcHdr"/>
        </w:types>
        <w:behaviors>
          <w:behavior w:val="content"/>
        </w:behaviors>
        <w:description w:val=""/>
        <w:guid w:val="{11728ae7-8101-4d76-bf56-beec909e9244}"/>
      </w:docPartPr>
      <w:docPartBody>
        <w:p>
          <w:r>
            <w:rPr>
              <w:color w:val="808080"/>
            </w:rPr>
            <w:t>单击此处输入文字。</w:t>
          </w:r>
        </w:p>
      </w:docPartBody>
    </w:docPart>
    <w:docPart>
      <w:docPartPr>
        <w:name w:val="{257ecb54-3482-49d2-829f-0803da3fd85d}"/>
        <w:style w:val=""/>
        <w:category>
          <w:name w:val="常规"/>
          <w:gallery w:val="placeholder"/>
        </w:category>
        <w:types>
          <w:type w:val="bbPlcHdr"/>
        </w:types>
        <w:behaviors>
          <w:behavior w:val="content"/>
        </w:behaviors>
        <w:description w:val=""/>
        <w:guid w:val="{257ecb54-3482-49d2-829f-0803da3fd85d}"/>
      </w:docPartPr>
      <w:docPartBody>
        <w:p>
          <w:r>
            <w:rPr>
              <w:color w:val="808080"/>
            </w:rPr>
            <w:t>单击此处输入文字。</w:t>
          </w:r>
        </w:p>
      </w:docPartBody>
    </w:docPart>
    <w:docPart>
      <w:docPartPr>
        <w:name w:val="{5baa4125-ca57-4c18-83aa-497430c3d10b}"/>
        <w:style w:val=""/>
        <w:category>
          <w:name w:val="常规"/>
          <w:gallery w:val="placeholder"/>
        </w:category>
        <w:types>
          <w:type w:val="bbPlcHdr"/>
        </w:types>
        <w:behaviors>
          <w:behavior w:val="content"/>
        </w:behaviors>
        <w:description w:val=""/>
        <w:guid w:val="{5baa4125-ca57-4c18-83aa-497430c3d10b}"/>
      </w:docPartPr>
      <w:docPartBody>
        <w:p>
          <w:r>
            <w:rPr>
              <w:color w:val="808080"/>
            </w:rPr>
            <w:t>单击此处输入文字。</w:t>
          </w:r>
        </w:p>
      </w:docPartBody>
    </w:docPart>
    <w:docPart>
      <w:docPartPr>
        <w:name w:val="{aed14202-9c1e-4b2a-990e-09f3a163c5f9}"/>
        <w:style w:val=""/>
        <w:category>
          <w:name w:val="常规"/>
          <w:gallery w:val="placeholder"/>
        </w:category>
        <w:types>
          <w:type w:val="bbPlcHdr"/>
        </w:types>
        <w:behaviors>
          <w:behavior w:val="content"/>
        </w:behaviors>
        <w:description w:val=""/>
        <w:guid w:val="{aed14202-9c1e-4b2a-990e-09f3a163c5f9}"/>
      </w:docPartPr>
      <w:docPartBody>
        <w:p>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styl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17</Pages>
  <Words>4878</Words>
  <Characters>5365</Characters>
  <Lines>61</Lines>
  <Paragraphs>17</Paragraphs>
  <TotalTime>4</TotalTime>
  <ScaleCrop>false</ScaleCrop>
  <LinksUpToDate>false</LinksUpToDate>
  <CharactersWithSpaces>5425</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池鱼</cp:lastModifiedBy>
  <cp:lastPrinted>2025-10-16T02:19:00Z</cp:lastPrinted>
  <dcterms:modified xsi:type="dcterms:W3CDTF">2025-10-28T03:12:36Z</dcterms:modified>
  <dc:title>四川省***</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04787F2533EB45DC91BCDE4AB213247F</vt:lpwstr>
  </property>
  <property fmtid="{D5CDD505-2E9C-101B-9397-08002B2CF9AE}" pid="4" name="KSOTemplateDocerSaveRecord">
    <vt:lpwstr>eyJoZGlkIjoiNmE1NjhkOGM0YjExY2UxM2FjZDQwNGExOTE0MzU3NmMiLCJ1c2VySWQiOiIzMzgxOTE4MTMifQ==</vt:lpwstr>
  </property>
</Properties>
</file>