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1B28D">
      <w:pPr>
        <w:pStyle w:val="8"/>
        <w:spacing w:before="93"/>
        <w:rPr>
          <w:rFonts w:hint="default" w:ascii="Times New Roman" w:hAnsi="Times New Roman" w:eastAsia="方正小标宋简体" w:cs="Times New Roman"/>
          <w:kern w:val="2"/>
          <w:sz w:val="72"/>
          <w:szCs w:val="72"/>
        </w:rPr>
      </w:pPr>
      <w:bookmarkStart w:id="0" w:name="_Toc15377193"/>
      <w:bookmarkStart w:id="1" w:name="_Toc15396597"/>
      <w:bookmarkStart w:id="2" w:name="_Toc15378441"/>
      <w:bookmarkStart w:id="3" w:name="_Toc15377425"/>
      <w:bookmarkStart w:id="4" w:name="_Toc15396475"/>
      <w:bookmarkStart w:id="5" w:name="_Toc15306267"/>
    </w:p>
    <w:p w14:paraId="7E053F76">
      <w:pPr>
        <w:pStyle w:val="8"/>
        <w:spacing w:before="93"/>
        <w:rPr>
          <w:rFonts w:hint="default" w:ascii="Times New Roman" w:hAnsi="Times New Roman" w:eastAsia="方正小标宋简体" w:cs="Times New Roman"/>
          <w:kern w:val="2"/>
          <w:sz w:val="72"/>
          <w:szCs w:val="72"/>
        </w:rPr>
      </w:pPr>
    </w:p>
    <w:p w14:paraId="650D6387">
      <w:pPr>
        <w:pStyle w:val="8"/>
        <w:spacing w:before="93"/>
        <w:rPr>
          <w:rFonts w:hint="default" w:ascii="Times New Roman" w:hAnsi="Times New Roman" w:eastAsia="方正小标宋简体" w:cs="Times New Roman"/>
          <w:kern w:val="2"/>
          <w:sz w:val="72"/>
          <w:szCs w:val="72"/>
        </w:rPr>
      </w:pPr>
    </w:p>
    <w:p w14:paraId="3DD55EE8">
      <w:pPr>
        <w:pStyle w:val="8"/>
        <w:spacing w:before="93"/>
        <w:jc w:val="center"/>
        <w:rPr>
          <w:rFonts w:hint="default" w:ascii="Times New Roman" w:hAnsi="Times New Roman" w:eastAsia="方正小标宋简体" w:cs="Times New Roman"/>
          <w:kern w:val="2"/>
          <w:sz w:val="72"/>
          <w:szCs w:val="72"/>
        </w:rPr>
      </w:pPr>
      <w:r>
        <w:rPr>
          <w:rFonts w:hint="default" w:ascii="Times New Roman" w:hAnsi="Times New Roman" w:eastAsia="方正小标宋简体" w:cs="Times New Roman"/>
          <w:kern w:val="2"/>
          <w:sz w:val="72"/>
          <w:szCs w:val="72"/>
        </w:rPr>
        <w:t>2024年度</w:t>
      </w:r>
    </w:p>
    <w:p w14:paraId="03BFBC0D">
      <w:pPr>
        <w:pStyle w:val="8"/>
        <w:spacing w:before="93"/>
        <w:jc w:val="center"/>
        <w:rPr>
          <w:rFonts w:hint="default" w:ascii="Times New Roman" w:hAnsi="Times New Roman" w:eastAsia="方正小标宋简体" w:cs="Times New Roman"/>
          <w:kern w:val="2"/>
          <w:sz w:val="72"/>
          <w:szCs w:val="7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72"/>
          <w:szCs w:val="72"/>
        </w:rPr>
        <w:t>盐边县</w:t>
      </w:r>
      <w:r>
        <w:rPr>
          <w:rFonts w:hint="default" w:ascii="Times New Roman" w:hAnsi="Times New Roman" w:eastAsia="方正小标宋简体" w:cs="Times New Roman"/>
          <w:kern w:val="2"/>
          <w:sz w:val="72"/>
          <w:szCs w:val="72"/>
          <w:lang w:val="en-US" w:eastAsia="zh-CN"/>
        </w:rPr>
        <w:t>职业中学校</w:t>
      </w:r>
    </w:p>
    <w:p w14:paraId="088154ED">
      <w:pPr>
        <w:pStyle w:val="8"/>
        <w:spacing w:before="93"/>
        <w:jc w:val="center"/>
        <w:rPr>
          <w:rFonts w:hint="default" w:ascii="Times New Roman" w:hAnsi="Times New Roman" w:eastAsia="方正小标宋简体" w:cs="Times New Roman"/>
          <w:kern w:val="2"/>
          <w:sz w:val="72"/>
          <w:szCs w:val="72"/>
        </w:rPr>
      </w:pPr>
      <w:r>
        <w:rPr>
          <w:rFonts w:hint="default" w:ascii="Times New Roman" w:hAnsi="Times New Roman" w:eastAsia="方正小标宋简体" w:cs="Times New Roman"/>
          <w:kern w:val="2"/>
          <w:sz w:val="72"/>
          <w:szCs w:val="72"/>
        </w:rPr>
        <w:t>决算公开</w:t>
      </w:r>
    </w:p>
    <w:p w14:paraId="02752321">
      <w:pPr>
        <w:spacing w:line="600" w:lineRule="exact"/>
        <w:jc w:val="center"/>
        <w:outlineLvl w:val="0"/>
        <w:rPr>
          <w:rFonts w:hint="default" w:ascii="Times New Roman" w:hAnsi="Times New Roman" w:eastAsia="方正小标宋简体" w:cs="Times New Roman"/>
          <w:sz w:val="72"/>
          <w:szCs w:val="72"/>
        </w:rPr>
      </w:pPr>
    </w:p>
    <w:p w14:paraId="5E560AB9">
      <w:pPr>
        <w:pStyle w:val="19"/>
        <w:rPr>
          <w:rFonts w:hint="default" w:ascii="Times New Roman" w:hAnsi="Times New Roman" w:cs="Times New Roma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titlePg/>
          <w:docGrid w:type="lines" w:linePitch="312" w:charSpace="0"/>
        </w:sectPr>
      </w:pPr>
    </w:p>
    <w:p w14:paraId="413D7F66">
      <w:pPr>
        <w:rPr>
          <w:rFonts w:hint="default" w:ascii="Times New Roman" w:hAnsi="Times New Roman" w:cs="Times New Roman"/>
        </w:rPr>
      </w:pPr>
    </w:p>
    <w:bookmarkEnd w:id="0"/>
    <w:bookmarkEnd w:id="1"/>
    <w:bookmarkEnd w:id="2"/>
    <w:bookmarkEnd w:id="3"/>
    <w:bookmarkEnd w:id="4"/>
    <w:bookmarkEnd w:id="5"/>
    <w:sdt>
      <w:sdtP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id w:val="147466964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cs="Times New Roman"/>
        </w:rPr>
      </w:sdtEndPr>
      <w:sdtContent>
        <w:p w14:paraId="2ED7D981">
          <w:pPr>
            <w:widowControl/>
            <w:jc w:val="center"/>
            <w:rPr>
              <w:rFonts w:hint="default" w:ascii="Times New Roman" w:hAnsi="Times New Roman" w:eastAsia="黑体" w:cs="Times New Roman"/>
              <w:sz w:val="28"/>
              <w:szCs w:val="28"/>
            </w:rPr>
          </w:pPr>
          <w:bookmarkStart w:id="6" w:name="_Toc15377196"/>
          <w:bookmarkStart w:id="7" w:name="_Toc15396599"/>
          <w:bookmarkStart w:id="91" w:name="_GoBack"/>
          <w:bookmarkEnd w:id="91"/>
          <w:r>
            <w:rPr>
              <w:rFonts w:hint="default" w:ascii="Times New Roman" w:hAnsi="Times New Roman" w:eastAsia="黑体" w:cs="Times New Roman"/>
              <w:sz w:val="48"/>
              <w:szCs w:val="48"/>
            </w:rPr>
            <w:t>目</w:t>
          </w:r>
          <w:r>
            <w:rPr>
              <w:rFonts w:hint="eastAsia" w:eastAsia="黑体" w:cs="Times New Roman"/>
              <w:sz w:val="48"/>
              <w:szCs w:val="48"/>
              <w:lang w:val="en-US" w:eastAsia="zh-CN"/>
            </w:rPr>
            <w:t xml:space="preserve"> </w:t>
          </w:r>
          <w:r>
            <w:rPr>
              <w:rFonts w:hint="default" w:ascii="Times New Roman" w:hAnsi="Times New Roman" w:eastAsia="黑体" w:cs="Times New Roman"/>
              <w:sz w:val="48"/>
              <w:szCs w:val="48"/>
            </w:rPr>
            <w:t>录</w:t>
          </w:r>
        </w:p>
        <w:p w14:paraId="04FAC500">
          <w:pPr>
            <w:pStyle w:val="13"/>
            <w:rPr>
              <w:rFonts w:hint="default" w:ascii="Times New Roman" w:hAnsi="Times New Roman" w:eastAsia="仿宋_GB2312" w:cs="Times New Roman"/>
            </w:rPr>
          </w:pPr>
          <w:r>
            <w:rPr>
              <w:rFonts w:hint="default" w:ascii="Times New Roman" w:hAnsi="Times New Roman" w:eastAsia="仿宋_GB2312" w:cs="Times New Roman"/>
            </w:rPr>
            <w:t>公开时间：2025年10月</w:t>
          </w:r>
          <w:r>
            <w:rPr>
              <w:rFonts w:hint="eastAsia" w:ascii="Times New Roman" w:hAnsi="Times New Roman" w:eastAsia="仿宋_GB2312" w:cs="Times New Roman"/>
              <w:lang w:val="en-US" w:eastAsia="zh-CN"/>
            </w:rPr>
            <w:t>28</w:t>
          </w:r>
          <w:r>
            <w:rPr>
              <w:rFonts w:hint="default" w:ascii="Times New Roman" w:hAnsi="Times New Roman" w:eastAsia="仿宋_GB2312" w:cs="Times New Roman"/>
            </w:rPr>
            <w:t>日</w:t>
          </w:r>
        </w:p>
        <w:p w14:paraId="23524FBF">
          <w:pPr>
            <w:pStyle w:val="2"/>
            <w:rPr>
              <w:rFonts w:hint="default"/>
            </w:rPr>
          </w:pPr>
        </w:p>
        <w:p w14:paraId="6DFE9D14">
          <w:pPr>
            <w:pStyle w:val="13"/>
            <w:tabs>
              <w:tab w:val="right" w:leader="dot" w:pos="8306"/>
              <w:tab w:val="clear" w:pos="8296"/>
            </w:tabs>
            <w:rPr>
              <w:rFonts w:hint="eastAsia" w:ascii="方正仿宋_GBK" w:hAnsi="方正仿宋_GBK" w:eastAsia="方正仿宋_GBK" w:cs="方正仿宋_GBK"/>
              <w:sz w:val="32"/>
              <w:szCs w:val="32"/>
            </w:rPr>
          </w:pP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TOC \o "1-2" \h \u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HYPERLINK \l _Toc22662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bCs w:val="0"/>
              <w:sz w:val="32"/>
              <w:szCs w:val="32"/>
            </w:rPr>
            <w:t>第一部分  单位概况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ab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PAGEREF _Toc22662 \h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>- 3 -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</w:p>
        <w:p w14:paraId="19B9B10F">
          <w:pPr>
            <w:pStyle w:val="14"/>
            <w:tabs>
              <w:tab w:val="right" w:leader="dot" w:pos="8306"/>
              <w:tab w:val="clear" w:pos="8296"/>
            </w:tabs>
            <w:rPr>
              <w:rFonts w:hint="eastAsia" w:ascii="方正仿宋_GBK" w:hAnsi="方正仿宋_GBK" w:eastAsia="方正仿宋_GBK" w:cs="方正仿宋_GBK"/>
              <w:sz w:val="32"/>
              <w:szCs w:val="32"/>
            </w:rPr>
          </w:pP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HYPERLINK \l _Toc19551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bCs/>
              <w:kern w:val="2"/>
              <w:sz w:val="32"/>
              <w:szCs w:val="32"/>
              <w:lang w:val="en-US" w:eastAsia="zh-CN" w:bidi="ar-SA"/>
            </w:rPr>
            <w:t>一、</w:t>
          </w:r>
          <w:r>
            <w:rPr>
              <w:rFonts w:hint="eastAsia" w:ascii="方正仿宋_GBK" w:hAnsi="方正仿宋_GBK" w:eastAsia="方正仿宋_GBK" w:cs="方正仿宋_GBK"/>
              <w:bCs/>
              <w:sz w:val="32"/>
              <w:szCs w:val="32"/>
            </w:rPr>
            <w:t>主要职责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ab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PAGEREF _Toc19551 \h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>- 3 -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</w:p>
        <w:p w14:paraId="78886799">
          <w:pPr>
            <w:pStyle w:val="14"/>
            <w:tabs>
              <w:tab w:val="right" w:leader="dot" w:pos="8306"/>
              <w:tab w:val="clear" w:pos="8296"/>
            </w:tabs>
            <w:rPr>
              <w:rFonts w:hint="eastAsia" w:ascii="方正仿宋_GBK" w:hAnsi="方正仿宋_GBK" w:eastAsia="方正仿宋_GBK" w:cs="方正仿宋_GBK"/>
              <w:sz w:val="32"/>
              <w:szCs w:val="32"/>
            </w:rPr>
          </w:pP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HYPERLINK \l _Toc13971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bCs/>
              <w:kern w:val="2"/>
              <w:sz w:val="32"/>
              <w:szCs w:val="32"/>
              <w:lang w:val="en-US" w:eastAsia="zh-CN" w:bidi="ar-SA"/>
            </w:rPr>
            <w:t>二、</w:t>
          </w:r>
          <w:r>
            <w:rPr>
              <w:rFonts w:hint="eastAsia" w:ascii="方正仿宋_GBK" w:hAnsi="方正仿宋_GBK" w:eastAsia="方正仿宋_GBK" w:cs="方正仿宋_GBK"/>
              <w:bCs/>
              <w:sz w:val="32"/>
              <w:szCs w:val="32"/>
            </w:rPr>
            <w:t>机构设置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ab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PAGEREF _Toc13971 \h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>- 3 -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</w:p>
        <w:p w14:paraId="0AE9C111">
          <w:pPr>
            <w:pStyle w:val="13"/>
            <w:tabs>
              <w:tab w:val="right" w:leader="dot" w:pos="8306"/>
              <w:tab w:val="clear" w:pos="8296"/>
            </w:tabs>
            <w:rPr>
              <w:rFonts w:hint="eastAsia" w:ascii="方正仿宋_GBK" w:hAnsi="方正仿宋_GBK" w:eastAsia="方正仿宋_GBK" w:cs="方正仿宋_GBK"/>
              <w:sz w:val="32"/>
              <w:szCs w:val="32"/>
            </w:rPr>
          </w:pP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HYPERLINK \l _Toc5869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bCs w:val="0"/>
              <w:sz w:val="32"/>
              <w:szCs w:val="32"/>
            </w:rPr>
            <w:t>第二部分  2024年度部门决算情况说明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ab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PAGEREF _Toc5869 \h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>- 4 -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</w:p>
        <w:p w14:paraId="6664E1AC">
          <w:pPr>
            <w:pStyle w:val="14"/>
            <w:tabs>
              <w:tab w:val="right" w:leader="dot" w:pos="8306"/>
              <w:tab w:val="clear" w:pos="8296"/>
            </w:tabs>
            <w:rPr>
              <w:rFonts w:hint="eastAsia" w:ascii="方正仿宋_GBK" w:hAnsi="方正仿宋_GBK" w:eastAsia="方正仿宋_GBK" w:cs="方正仿宋_GBK"/>
              <w:sz w:val="32"/>
              <w:szCs w:val="32"/>
            </w:rPr>
          </w:pP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HYPERLINK \l _Toc2159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bCs/>
              <w:sz w:val="32"/>
              <w:szCs w:val="32"/>
            </w:rPr>
            <w:t>一、收入支出决算总体情况说明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ab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PAGEREF _Toc2159 \h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>- 4 -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</w:p>
        <w:p w14:paraId="22DC73F5">
          <w:pPr>
            <w:pStyle w:val="14"/>
            <w:tabs>
              <w:tab w:val="right" w:leader="dot" w:pos="8306"/>
              <w:tab w:val="clear" w:pos="8296"/>
            </w:tabs>
            <w:rPr>
              <w:rFonts w:hint="eastAsia" w:ascii="方正仿宋_GBK" w:hAnsi="方正仿宋_GBK" w:eastAsia="方正仿宋_GBK" w:cs="方正仿宋_GBK"/>
              <w:sz w:val="32"/>
              <w:szCs w:val="32"/>
            </w:rPr>
          </w:pP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HYPERLINK \l _Toc28135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bCs/>
              <w:sz w:val="32"/>
              <w:szCs w:val="32"/>
            </w:rPr>
            <w:t>二、收入决算情况说明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ab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PAGEREF _Toc28135 \h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>- 4 -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</w:p>
        <w:p w14:paraId="079CFEF0">
          <w:pPr>
            <w:pStyle w:val="14"/>
            <w:tabs>
              <w:tab w:val="right" w:leader="dot" w:pos="8306"/>
              <w:tab w:val="clear" w:pos="8296"/>
            </w:tabs>
            <w:rPr>
              <w:rFonts w:hint="eastAsia" w:ascii="方正仿宋_GBK" w:hAnsi="方正仿宋_GBK" w:eastAsia="方正仿宋_GBK" w:cs="方正仿宋_GBK"/>
              <w:sz w:val="32"/>
              <w:szCs w:val="32"/>
            </w:rPr>
          </w:pP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HYPERLINK \l _Toc31350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bCs/>
              <w:sz w:val="32"/>
              <w:szCs w:val="32"/>
            </w:rPr>
            <w:t>三、支出决算情况说明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ab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PAGEREF _Toc31350 \h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>- 5 -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</w:p>
        <w:p w14:paraId="46D7AEFD">
          <w:pPr>
            <w:pStyle w:val="14"/>
            <w:tabs>
              <w:tab w:val="right" w:leader="dot" w:pos="8306"/>
              <w:tab w:val="clear" w:pos="8296"/>
            </w:tabs>
            <w:rPr>
              <w:rFonts w:hint="eastAsia" w:ascii="方正仿宋_GBK" w:hAnsi="方正仿宋_GBK" w:eastAsia="方正仿宋_GBK" w:cs="方正仿宋_GBK"/>
              <w:sz w:val="32"/>
              <w:szCs w:val="32"/>
            </w:rPr>
          </w:pP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HYPERLINK \l _Toc7448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bCs/>
              <w:sz w:val="32"/>
              <w:szCs w:val="32"/>
            </w:rPr>
            <w:t>四、财政拨款收入支出决算总体情况说明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ab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PAGEREF _Toc7448 \h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>- 6 -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</w:p>
        <w:p w14:paraId="69ED11A8">
          <w:pPr>
            <w:pStyle w:val="14"/>
            <w:tabs>
              <w:tab w:val="right" w:leader="dot" w:pos="8306"/>
              <w:tab w:val="clear" w:pos="8296"/>
            </w:tabs>
            <w:rPr>
              <w:rFonts w:hint="eastAsia" w:ascii="方正仿宋_GBK" w:hAnsi="方正仿宋_GBK" w:eastAsia="方正仿宋_GBK" w:cs="方正仿宋_GBK"/>
              <w:sz w:val="32"/>
              <w:szCs w:val="32"/>
            </w:rPr>
          </w:pP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HYPERLINK \l _Toc7864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bCs/>
              <w:sz w:val="32"/>
              <w:szCs w:val="32"/>
            </w:rPr>
            <w:t>五、一般公共预算财政拨款支出决算情况说明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ab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PAGEREF _Toc7864 \h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>- 6 -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</w:p>
        <w:p w14:paraId="7347FF2C">
          <w:pPr>
            <w:pStyle w:val="14"/>
            <w:tabs>
              <w:tab w:val="right" w:leader="dot" w:pos="8306"/>
              <w:tab w:val="clear" w:pos="8296"/>
            </w:tabs>
            <w:rPr>
              <w:rFonts w:hint="eastAsia" w:ascii="方正仿宋_GBK" w:hAnsi="方正仿宋_GBK" w:eastAsia="方正仿宋_GBK" w:cs="方正仿宋_GBK"/>
              <w:sz w:val="32"/>
              <w:szCs w:val="32"/>
            </w:rPr>
          </w:pP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HYPERLINK \l _Toc22003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bCs/>
              <w:sz w:val="32"/>
              <w:szCs w:val="32"/>
              <w:lang w:val="en-US" w:eastAsia="zh-CN"/>
            </w:rPr>
            <w:t>六、一般公共预算财政拨款基本支出决算情况说明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ab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PAGEREF _Toc22003 \h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>- 9 -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</w:p>
        <w:p w14:paraId="73992F3A">
          <w:pPr>
            <w:pStyle w:val="14"/>
            <w:tabs>
              <w:tab w:val="right" w:leader="dot" w:pos="8306"/>
              <w:tab w:val="clear" w:pos="8296"/>
            </w:tabs>
            <w:rPr>
              <w:rFonts w:hint="eastAsia" w:ascii="方正仿宋_GBK" w:hAnsi="方正仿宋_GBK" w:eastAsia="方正仿宋_GBK" w:cs="方正仿宋_GBK"/>
              <w:sz w:val="32"/>
              <w:szCs w:val="32"/>
            </w:rPr>
          </w:pP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HYPERLINK \l _Toc20956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kern w:val="2"/>
              <w:sz w:val="32"/>
              <w:szCs w:val="32"/>
              <w:lang w:val="en-US" w:eastAsia="zh-CN" w:bidi="ar-SA"/>
            </w:rPr>
            <w:t>七、财政拨款“三公”经费支出决算情况说明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ab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PAGEREF _Toc20956 \h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>- 9 -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</w:p>
        <w:p w14:paraId="2213313A">
          <w:pPr>
            <w:pStyle w:val="14"/>
            <w:tabs>
              <w:tab w:val="right" w:leader="dot" w:pos="8306"/>
              <w:tab w:val="clear" w:pos="8296"/>
            </w:tabs>
            <w:rPr>
              <w:rFonts w:hint="eastAsia" w:ascii="方正仿宋_GBK" w:hAnsi="方正仿宋_GBK" w:eastAsia="方正仿宋_GBK" w:cs="方正仿宋_GBK"/>
              <w:sz w:val="32"/>
              <w:szCs w:val="32"/>
            </w:rPr>
          </w:pP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HYPERLINK \l _Toc14213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bCs/>
              <w:kern w:val="2"/>
              <w:sz w:val="32"/>
              <w:szCs w:val="32"/>
              <w:lang w:val="en-US" w:eastAsia="zh-CN" w:bidi="ar-SA"/>
            </w:rPr>
            <w:t>八、政府性基金预算支出决算情况说明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ab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PAGEREF _Toc14213 \h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>- 10 -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</w:p>
        <w:p w14:paraId="05241379">
          <w:pPr>
            <w:pStyle w:val="14"/>
            <w:tabs>
              <w:tab w:val="right" w:leader="dot" w:pos="8306"/>
              <w:tab w:val="clear" w:pos="8296"/>
            </w:tabs>
            <w:rPr>
              <w:rFonts w:hint="eastAsia" w:ascii="方正仿宋_GBK" w:hAnsi="方正仿宋_GBK" w:eastAsia="方正仿宋_GBK" w:cs="方正仿宋_GBK"/>
              <w:sz w:val="32"/>
              <w:szCs w:val="32"/>
            </w:rPr>
          </w:pP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HYPERLINK \l _Toc32721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bCs/>
              <w:kern w:val="2"/>
              <w:sz w:val="32"/>
              <w:szCs w:val="32"/>
              <w:lang w:val="en-US" w:eastAsia="zh-CN" w:bidi="ar-SA"/>
            </w:rPr>
            <w:t>九、国有资本经营预算支出决算情况说明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ab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PAGEREF _Toc32721 \h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>- 10 -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</w:p>
        <w:p w14:paraId="26016715">
          <w:pPr>
            <w:pStyle w:val="14"/>
            <w:tabs>
              <w:tab w:val="right" w:leader="dot" w:pos="8306"/>
              <w:tab w:val="clear" w:pos="8296"/>
            </w:tabs>
            <w:rPr>
              <w:rFonts w:hint="eastAsia" w:ascii="方正仿宋_GBK" w:hAnsi="方正仿宋_GBK" w:eastAsia="方正仿宋_GBK" w:cs="方正仿宋_GBK"/>
              <w:sz w:val="32"/>
              <w:szCs w:val="32"/>
            </w:rPr>
          </w:pP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HYPERLINK \l _Toc27333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bCs/>
              <w:kern w:val="2"/>
              <w:sz w:val="32"/>
              <w:szCs w:val="32"/>
              <w:lang w:val="en-US" w:eastAsia="zh-CN" w:bidi="ar-SA"/>
            </w:rPr>
            <w:t>十、其他重要事项的情况说明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ab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PAGEREF _Toc27333 \h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>- 10 -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</w:p>
        <w:p w14:paraId="54C10440">
          <w:pPr>
            <w:pStyle w:val="13"/>
            <w:tabs>
              <w:tab w:val="right" w:leader="dot" w:pos="8306"/>
              <w:tab w:val="clear" w:pos="8296"/>
            </w:tabs>
            <w:rPr>
              <w:rFonts w:hint="eastAsia" w:ascii="方正仿宋_GBK" w:hAnsi="方正仿宋_GBK" w:eastAsia="方正仿宋_GBK" w:cs="方正仿宋_GBK"/>
              <w:sz w:val="32"/>
              <w:szCs w:val="32"/>
            </w:rPr>
          </w:pP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HYPERLINK \l _Toc3922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bCs w:val="0"/>
              <w:sz w:val="32"/>
              <w:szCs w:val="32"/>
              <w:lang w:eastAsia="zh-CN"/>
            </w:rPr>
            <w:t>第三部分</w:t>
          </w:r>
          <w:r>
            <w:rPr>
              <w:rFonts w:hint="eastAsia" w:ascii="方正仿宋_GBK" w:hAnsi="方正仿宋_GBK" w:eastAsia="方正仿宋_GBK" w:cs="方正仿宋_GBK"/>
              <w:bCs w:val="0"/>
              <w:sz w:val="32"/>
              <w:szCs w:val="32"/>
            </w:rPr>
            <w:t xml:space="preserve"> 名词解释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ab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PAGEREF _Toc3922 \h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>- 12 -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</w:p>
        <w:p w14:paraId="7B05E893">
          <w:pPr>
            <w:pStyle w:val="13"/>
            <w:tabs>
              <w:tab w:val="right" w:leader="dot" w:pos="8306"/>
              <w:tab w:val="clear" w:pos="8296"/>
            </w:tabs>
            <w:rPr>
              <w:rFonts w:hint="eastAsia" w:ascii="方正仿宋_GBK" w:hAnsi="方正仿宋_GBK" w:eastAsia="方正仿宋_GBK" w:cs="方正仿宋_GBK"/>
              <w:sz w:val="32"/>
              <w:szCs w:val="32"/>
            </w:rPr>
          </w:pP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HYPERLINK \l _Toc7839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bCs w:val="0"/>
              <w:sz w:val="32"/>
              <w:szCs w:val="32"/>
            </w:rPr>
            <w:t>第四部分  附件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ab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PAGEREF _Toc7839 \h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>- 13 -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</w:p>
        <w:p w14:paraId="4C47A7EE">
          <w:pPr>
            <w:pStyle w:val="13"/>
            <w:tabs>
              <w:tab w:val="right" w:leader="dot" w:pos="8306"/>
              <w:tab w:val="clear" w:pos="8296"/>
            </w:tabs>
            <w:rPr>
              <w:rFonts w:hint="eastAsia" w:ascii="方正仿宋_GBK" w:hAnsi="方正仿宋_GBK" w:eastAsia="方正仿宋_GBK" w:cs="方正仿宋_GBK"/>
              <w:sz w:val="32"/>
              <w:szCs w:val="32"/>
            </w:rPr>
          </w:pP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HYPERLINK \l _Toc12876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bCs w:val="0"/>
              <w:sz w:val="32"/>
              <w:szCs w:val="32"/>
              <w:lang w:val="en-US" w:eastAsia="zh-CN"/>
            </w:rPr>
            <w:t xml:space="preserve">第五部分 </w:t>
          </w:r>
          <w:r>
            <w:rPr>
              <w:rFonts w:hint="eastAsia" w:ascii="方正仿宋_GBK" w:hAnsi="方正仿宋_GBK" w:eastAsia="方正仿宋_GBK" w:cs="方正仿宋_GBK"/>
              <w:bCs w:val="0"/>
              <w:sz w:val="32"/>
              <w:szCs w:val="32"/>
            </w:rPr>
            <w:t>附表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ab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PAGEREF _Toc12876 \h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>- 14 -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</w:p>
        <w:p w14:paraId="3DB1E704">
          <w:pPr>
            <w:pStyle w:val="14"/>
            <w:tabs>
              <w:tab w:val="right" w:leader="dot" w:pos="8306"/>
              <w:tab w:val="clear" w:pos="8296"/>
            </w:tabs>
            <w:rPr>
              <w:rFonts w:hint="eastAsia" w:ascii="方正仿宋_GBK" w:hAnsi="方正仿宋_GBK" w:eastAsia="方正仿宋_GBK" w:cs="方正仿宋_GBK"/>
              <w:sz w:val="32"/>
              <w:szCs w:val="32"/>
            </w:rPr>
          </w:pP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HYPERLINK \l _Toc18740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bCs/>
              <w:sz w:val="32"/>
              <w:szCs w:val="32"/>
              <w:lang w:val="en-US" w:eastAsia="zh-CN"/>
            </w:rPr>
            <w:t>一、收入支出决算总表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ab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PAGEREF _Toc18740 \h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>- 14 -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</w:p>
        <w:p w14:paraId="0074F42B">
          <w:pPr>
            <w:pStyle w:val="14"/>
            <w:tabs>
              <w:tab w:val="right" w:leader="dot" w:pos="8306"/>
              <w:tab w:val="clear" w:pos="8296"/>
            </w:tabs>
            <w:rPr>
              <w:rFonts w:hint="eastAsia" w:ascii="方正仿宋_GBK" w:hAnsi="方正仿宋_GBK" w:eastAsia="方正仿宋_GBK" w:cs="方正仿宋_GBK"/>
              <w:sz w:val="32"/>
              <w:szCs w:val="32"/>
            </w:rPr>
          </w:pP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HYPERLINK \l _Toc2722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bCs/>
              <w:sz w:val="32"/>
              <w:szCs w:val="32"/>
              <w:lang w:val="en-US" w:eastAsia="zh-CN"/>
            </w:rPr>
            <w:t>二、收入决算表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ab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PAGEREF _Toc2722 \h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>- 14 -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</w:p>
        <w:p w14:paraId="7EAC2E14">
          <w:pPr>
            <w:pStyle w:val="14"/>
            <w:tabs>
              <w:tab w:val="right" w:leader="dot" w:pos="8306"/>
              <w:tab w:val="clear" w:pos="8296"/>
            </w:tabs>
            <w:rPr>
              <w:rFonts w:hint="eastAsia" w:ascii="方正仿宋_GBK" w:hAnsi="方正仿宋_GBK" w:eastAsia="方正仿宋_GBK" w:cs="方正仿宋_GBK"/>
              <w:sz w:val="32"/>
              <w:szCs w:val="32"/>
            </w:rPr>
          </w:pP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HYPERLINK \l _Toc24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bCs/>
              <w:sz w:val="32"/>
              <w:szCs w:val="32"/>
              <w:lang w:val="en-US" w:eastAsia="zh-CN"/>
            </w:rPr>
            <w:t>三、支出决算表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ab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PAGEREF _Toc24 \h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>- 14 -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</w:p>
        <w:p w14:paraId="56D47CD1">
          <w:pPr>
            <w:pStyle w:val="14"/>
            <w:tabs>
              <w:tab w:val="right" w:leader="dot" w:pos="8306"/>
              <w:tab w:val="clear" w:pos="8296"/>
            </w:tabs>
            <w:rPr>
              <w:rFonts w:hint="eastAsia" w:ascii="方正仿宋_GBK" w:hAnsi="方正仿宋_GBK" w:eastAsia="方正仿宋_GBK" w:cs="方正仿宋_GBK"/>
              <w:sz w:val="32"/>
              <w:szCs w:val="32"/>
            </w:rPr>
          </w:pP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HYPERLINK \l _Toc19940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bCs/>
              <w:sz w:val="32"/>
              <w:szCs w:val="32"/>
              <w:lang w:val="en-US" w:eastAsia="zh-CN"/>
            </w:rPr>
            <w:t>四、财政拨款收入支出决算总表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ab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PAGEREF _Toc19940 \h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>- 14 -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</w:p>
        <w:p w14:paraId="21BA15E0">
          <w:pPr>
            <w:pStyle w:val="14"/>
            <w:tabs>
              <w:tab w:val="right" w:leader="dot" w:pos="8306"/>
              <w:tab w:val="clear" w:pos="8296"/>
            </w:tabs>
            <w:rPr>
              <w:rFonts w:hint="eastAsia" w:ascii="方正仿宋_GBK" w:hAnsi="方正仿宋_GBK" w:eastAsia="方正仿宋_GBK" w:cs="方正仿宋_GBK"/>
              <w:sz w:val="32"/>
              <w:szCs w:val="32"/>
            </w:rPr>
          </w:pP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HYPERLINK \l _Toc1953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bCs/>
              <w:sz w:val="32"/>
              <w:szCs w:val="32"/>
              <w:lang w:val="en-US" w:eastAsia="zh-CN"/>
            </w:rPr>
            <w:t>五、财政拨款支出决算明细表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ab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PAGEREF _Toc1953 \h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>- 14 -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</w:p>
        <w:p w14:paraId="40BA7C5C">
          <w:pPr>
            <w:pStyle w:val="14"/>
            <w:tabs>
              <w:tab w:val="right" w:leader="dot" w:pos="8306"/>
              <w:tab w:val="clear" w:pos="8296"/>
            </w:tabs>
            <w:rPr>
              <w:rFonts w:hint="eastAsia" w:ascii="方正仿宋_GBK" w:hAnsi="方正仿宋_GBK" w:eastAsia="方正仿宋_GBK" w:cs="方正仿宋_GBK"/>
              <w:sz w:val="32"/>
              <w:szCs w:val="32"/>
            </w:rPr>
          </w:pP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HYPERLINK \l _Toc10231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bCs/>
              <w:sz w:val="32"/>
              <w:szCs w:val="32"/>
              <w:lang w:val="en-US" w:eastAsia="zh-CN"/>
            </w:rPr>
            <w:t>六、一般公共预算财政拨款支出决算表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ab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PAGEREF _Toc10231 \h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>- 14 -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</w:p>
        <w:p w14:paraId="6051B50C">
          <w:pPr>
            <w:pStyle w:val="14"/>
            <w:tabs>
              <w:tab w:val="right" w:leader="dot" w:pos="8306"/>
              <w:tab w:val="clear" w:pos="8296"/>
            </w:tabs>
            <w:rPr>
              <w:rFonts w:hint="eastAsia" w:ascii="方正仿宋_GBK" w:hAnsi="方正仿宋_GBK" w:eastAsia="方正仿宋_GBK" w:cs="方正仿宋_GBK"/>
              <w:sz w:val="32"/>
              <w:szCs w:val="32"/>
            </w:rPr>
          </w:pP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HYPERLINK \l _Toc31102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bCs/>
              <w:sz w:val="32"/>
              <w:szCs w:val="32"/>
              <w:lang w:val="en-US" w:eastAsia="zh-CN"/>
            </w:rPr>
            <w:t>七、一般公共预算财政拨款支出决算明细表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ab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PAGEREF _Toc31102 \h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>- 14 -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</w:p>
        <w:p w14:paraId="5C007132">
          <w:pPr>
            <w:pStyle w:val="14"/>
            <w:tabs>
              <w:tab w:val="right" w:leader="dot" w:pos="8306"/>
              <w:tab w:val="clear" w:pos="8296"/>
            </w:tabs>
            <w:rPr>
              <w:rFonts w:hint="eastAsia" w:ascii="方正仿宋_GBK" w:hAnsi="方正仿宋_GBK" w:eastAsia="方正仿宋_GBK" w:cs="方正仿宋_GBK"/>
              <w:sz w:val="32"/>
              <w:szCs w:val="32"/>
            </w:rPr>
          </w:pP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HYPERLINK \l _Toc23487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bCs/>
              <w:sz w:val="32"/>
              <w:szCs w:val="32"/>
              <w:lang w:val="en-US" w:eastAsia="zh-CN"/>
            </w:rPr>
            <w:t>八、一般公共预算财政拨款基本支出决算表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ab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PAGEREF _Toc23487 \h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>- 14 -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</w:p>
        <w:p w14:paraId="3101C327">
          <w:pPr>
            <w:pStyle w:val="14"/>
            <w:tabs>
              <w:tab w:val="right" w:leader="dot" w:pos="8306"/>
              <w:tab w:val="clear" w:pos="8296"/>
            </w:tabs>
            <w:rPr>
              <w:rFonts w:hint="eastAsia" w:ascii="方正仿宋_GBK" w:hAnsi="方正仿宋_GBK" w:eastAsia="方正仿宋_GBK" w:cs="方正仿宋_GBK"/>
              <w:sz w:val="32"/>
              <w:szCs w:val="32"/>
            </w:rPr>
          </w:pP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HYPERLINK \l _Toc9517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bCs/>
              <w:sz w:val="32"/>
              <w:szCs w:val="32"/>
              <w:lang w:val="en-US" w:eastAsia="zh-CN"/>
            </w:rPr>
            <w:t>九、一般公共预算财政拨款项目支出决算表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ab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PAGEREF _Toc9517 \h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>- 14 -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</w:p>
        <w:p w14:paraId="2496FD8E">
          <w:pPr>
            <w:pStyle w:val="14"/>
            <w:tabs>
              <w:tab w:val="right" w:leader="dot" w:pos="8306"/>
              <w:tab w:val="clear" w:pos="8296"/>
            </w:tabs>
            <w:rPr>
              <w:rFonts w:hint="eastAsia" w:ascii="方正仿宋_GBK" w:hAnsi="方正仿宋_GBK" w:eastAsia="方正仿宋_GBK" w:cs="方正仿宋_GBK"/>
              <w:sz w:val="32"/>
              <w:szCs w:val="32"/>
            </w:rPr>
          </w:pP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HYPERLINK \l _Toc23107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bCs/>
              <w:sz w:val="32"/>
              <w:szCs w:val="32"/>
              <w:lang w:val="en-US" w:eastAsia="zh-CN"/>
            </w:rPr>
            <w:t>十、政府性基金预算财政拨款收入支出决算表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ab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PAGEREF _Toc23107 \h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>- 14 -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</w:p>
        <w:p w14:paraId="70C7A44C">
          <w:pPr>
            <w:pStyle w:val="14"/>
            <w:tabs>
              <w:tab w:val="right" w:leader="dot" w:pos="8306"/>
              <w:tab w:val="clear" w:pos="8296"/>
            </w:tabs>
            <w:rPr>
              <w:rFonts w:hint="eastAsia" w:ascii="方正仿宋_GBK" w:hAnsi="方正仿宋_GBK" w:eastAsia="方正仿宋_GBK" w:cs="方正仿宋_GBK"/>
              <w:sz w:val="32"/>
              <w:szCs w:val="32"/>
            </w:rPr>
          </w:pP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HYPERLINK \l _Toc8464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bCs/>
              <w:sz w:val="32"/>
              <w:szCs w:val="32"/>
              <w:lang w:val="en-US" w:eastAsia="zh-CN"/>
            </w:rPr>
            <w:t>十一、国有资本经营预算财政拨款收入支出决算表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ab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PAGEREF _Toc8464 \h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>- 14 -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</w:p>
        <w:p w14:paraId="0F210975">
          <w:pPr>
            <w:pStyle w:val="14"/>
            <w:tabs>
              <w:tab w:val="right" w:leader="dot" w:pos="8306"/>
              <w:tab w:val="clear" w:pos="8296"/>
            </w:tabs>
            <w:rPr>
              <w:rFonts w:hint="eastAsia" w:ascii="方正仿宋_GBK" w:hAnsi="方正仿宋_GBK" w:eastAsia="方正仿宋_GBK" w:cs="方正仿宋_GBK"/>
              <w:sz w:val="32"/>
              <w:szCs w:val="32"/>
            </w:rPr>
          </w:pP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HYPERLINK \l _Toc3056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bCs/>
              <w:sz w:val="32"/>
              <w:szCs w:val="32"/>
              <w:lang w:val="en-US" w:eastAsia="zh-CN"/>
            </w:rPr>
            <w:t>十二、国有资本经营预算财政拨款支出决算表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ab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PAGEREF _Toc3056 \h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>- 14 -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</w:p>
        <w:p w14:paraId="3B1C8FF3">
          <w:pPr>
            <w:pStyle w:val="14"/>
            <w:tabs>
              <w:tab w:val="right" w:leader="dot" w:pos="8306"/>
              <w:tab w:val="clear" w:pos="8296"/>
            </w:tabs>
            <w:rPr>
              <w:rFonts w:hint="eastAsia" w:ascii="方正仿宋_GBK" w:hAnsi="方正仿宋_GBK" w:eastAsia="方正仿宋_GBK" w:cs="方正仿宋_GBK"/>
              <w:sz w:val="32"/>
              <w:szCs w:val="32"/>
            </w:rPr>
          </w:pP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HYPERLINK \l _Toc31017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bCs/>
              <w:sz w:val="32"/>
              <w:szCs w:val="32"/>
              <w:lang w:val="en-US" w:eastAsia="zh-CN"/>
            </w:rPr>
            <w:t>十三、财政拨款“三公”经费支出决算表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ab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begin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instrText xml:space="preserve"> PAGEREF _Toc31017 \h </w:instrTex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separate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t>- 14 -</w:t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</w:p>
        <w:p w14:paraId="53AD13F8">
          <w:pPr>
            <w:rPr>
              <w:rFonts w:hint="default" w:ascii="Times New Roman" w:hAnsi="Times New Roman" w:cs="Times New Roman"/>
            </w:rPr>
          </w:pPr>
          <w:r>
            <w:rPr>
              <w:rFonts w:hint="eastAsia" w:ascii="方正仿宋_GBK" w:hAnsi="方正仿宋_GBK" w:eastAsia="方正仿宋_GBK" w:cs="方正仿宋_GBK"/>
              <w:sz w:val="32"/>
              <w:szCs w:val="32"/>
            </w:rPr>
            <w:fldChar w:fldCharType="end"/>
          </w:r>
        </w:p>
      </w:sdtContent>
    </w:sdt>
    <w:p w14:paraId="5CB2B44D">
      <w:pPr>
        <w:rPr>
          <w:rFonts w:hint="default" w:ascii="Times New Roman" w:hAnsi="Times New Roman" w:cs="Times New Roman"/>
        </w:rPr>
      </w:pPr>
    </w:p>
    <w:p w14:paraId="7906B29F">
      <w:pPr>
        <w:widowControl/>
        <w:spacing w:line="560" w:lineRule="exact"/>
        <w:jc w:val="left"/>
        <w:rPr>
          <w:rFonts w:hint="default" w:ascii="Times New Roman" w:hAnsi="Times New Roman" w:eastAsia="仿宋_GB2312" w:cs="Times New Roman"/>
          <w:bCs/>
          <w:kern w:val="44"/>
          <w:sz w:val="24"/>
        </w:rPr>
      </w:pPr>
      <w:r>
        <w:rPr>
          <w:rFonts w:hint="default" w:ascii="Times New Roman" w:hAnsi="Times New Roman" w:eastAsia="仿宋_GB2312" w:cs="Times New Roman"/>
          <w:b/>
          <w:sz w:val="24"/>
        </w:rPr>
        <w:br w:type="page"/>
      </w:r>
    </w:p>
    <w:p w14:paraId="1A7A221B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</w:rPr>
      </w:pPr>
      <w:bookmarkStart w:id="8" w:name="_Toc22662"/>
      <w:r>
        <w:rPr>
          <w:rFonts w:hint="default" w:ascii="Times New Roman" w:hAnsi="Times New Roman" w:eastAsia="方正小标宋_GBK" w:cs="Times New Roman"/>
          <w:b/>
          <w:bCs w:val="0"/>
        </w:rPr>
        <w:t>第一部分  单位概况</w:t>
      </w:r>
      <w:bookmarkEnd w:id="6"/>
      <w:bookmarkEnd w:id="7"/>
      <w:bookmarkEnd w:id="8"/>
    </w:p>
    <w:p w14:paraId="2063EC61">
      <w:pPr>
        <w:pStyle w:val="6"/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方正黑体_GBK" w:cs="Times New Roman"/>
          <w:b w:val="0"/>
          <w:bCs/>
        </w:rPr>
      </w:pPr>
      <w:bookmarkStart w:id="9" w:name="_Toc19551"/>
      <w:r>
        <w:rPr>
          <w:rFonts w:hint="default" w:ascii="Times New Roman" w:hAnsi="Times New Roman" w:eastAsia="方正黑体_GBK" w:cs="Times New Roman"/>
          <w:b w:val="0"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方正黑体_GBK" w:cs="Times New Roman"/>
          <w:b w:val="0"/>
          <w:bCs/>
        </w:rPr>
        <w:t>主要职责</w:t>
      </w:r>
      <w:bookmarkEnd w:id="9"/>
    </w:p>
    <w:p w14:paraId="5C601731"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机电、水电、栽培技术等。</w:t>
      </w:r>
    </w:p>
    <w:p w14:paraId="4ABEF552">
      <w:pPr>
        <w:pStyle w:val="6"/>
        <w:numPr>
          <w:ilvl w:val="0"/>
          <w:numId w:val="0"/>
        </w:numPr>
        <w:ind w:left="0" w:leftChars="0" w:firstLine="0" w:firstLineChars="0"/>
        <w:rPr>
          <w:rFonts w:hint="default" w:ascii="Times New Roman" w:hAnsi="Times New Roman" w:eastAsia="方正黑体_GBK" w:cs="Times New Roman"/>
          <w:b w:val="0"/>
          <w:bCs/>
        </w:rPr>
      </w:pPr>
      <w:bookmarkStart w:id="10" w:name="_Toc15396601"/>
      <w:bookmarkStart w:id="11" w:name="_Toc15377200"/>
      <w:bookmarkStart w:id="12" w:name="_Toc13971"/>
      <w:r>
        <w:rPr>
          <w:rFonts w:hint="default" w:ascii="Times New Roman" w:hAnsi="Times New Roman" w:eastAsia="方正黑体_GBK" w:cs="Times New Roman"/>
          <w:b w:val="0"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方正黑体_GBK" w:cs="Times New Roman"/>
          <w:b w:val="0"/>
          <w:bCs/>
        </w:rPr>
        <w:t>机构设置</w:t>
      </w:r>
      <w:bookmarkEnd w:id="10"/>
      <w:bookmarkEnd w:id="11"/>
      <w:bookmarkEnd w:id="12"/>
    </w:p>
    <w:p w14:paraId="59AC3B6D"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盐边县职业中学下属二级预算单位1个，其中行政单位0个，参照公务员法管理的事业单位0个，其他事业单位0个。</w:t>
      </w:r>
    </w:p>
    <w:p w14:paraId="1B11E559">
      <w:pPr>
        <w:rPr>
          <w:rFonts w:hint="default" w:ascii="Times New Roman" w:hAnsi="Times New Roman" w:eastAsia="黑体" w:cs="Times New Roman"/>
        </w:rPr>
      </w:pPr>
    </w:p>
    <w:p w14:paraId="7E88451B">
      <w:pPr>
        <w:ind w:firstLine="800" w:firstLineChars="25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5681F1E">
      <w:pPr>
        <w:pStyle w:val="2"/>
        <w:rPr>
          <w:rFonts w:hint="default" w:ascii="Times New Roman" w:hAnsi="Times New Roman" w:cs="Times New Roman"/>
        </w:rPr>
      </w:pPr>
    </w:p>
    <w:p w14:paraId="3E2213D2">
      <w:pPr>
        <w:pStyle w:val="3"/>
        <w:ind w:left="420"/>
        <w:rPr>
          <w:rFonts w:hint="default" w:ascii="Times New Roman" w:hAnsi="Times New Roman" w:cs="Times New Roman"/>
        </w:rPr>
      </w:pPr>
    </w:p>
    <w:p w14:paraId="63668FD0">
      <w:pPr>
        <w:pStyle w:val="3"/>
        <w:ind w:left="420"/>
        <w:rPr>
          <w:rFonts w:hint="default" w:ascii="Times New Roman" w:hAnsi="Times New Roman" w:cs="Times New Roman"/>
        </w:rPr>
      </w:pPr>
    </w:p>
    <w:p w14:paraId="0404FF56">
      <w:pPr>
        <w:pStyle w:val="3"/>
        <w:ind w:left="420"/>
        <w:rPr>
          <w:rFonts w:hint="default" w:ascii="Times New Roman" w:hAnsi="Times New Roman" w:cs="Times New Roman"/>
        </w:rPr>
      </w:pPr>
    </w:p>
    <w:p w14:paraId="0177EFB2">
      <w:pPr>
        <w:pStyle w:val="3"/>
        <w:ind w:left="420"/>
        <w:rPr>
          <w:rFonts w:hint="default" w:ascii="Times New Roman" w:hAnsi="Times New Roman" w:cs="Times New Roman"/>
        </w:rPr>
      </w:pPr>
    </w:p>
    <w:p w14:paraId="75BD20B8">
      <w:pPr>
        <w:pStyle w:val="3"/>
        <w:ind w:left="420"/>
        <w:rPr>
          <w:rFonts w:hint="default" w:ascii="Times New Roman" w:hAnsi="Times New Roman" w:cs="Times New Roman"/>
        </w:rPr>
      </w:pPr>
    </w:p>
    <w:p w14:paraId="708098D3">
      <w:pPr>
        <w:pStyle w:val="3"/>
        <w:ind w:left="420"/>
        <w:rPr>
          <w:rFonts w:hint="default" w:ascii="Times New Roman" w:hAnsi="Times New Roman" w:cs="Times New Roman"/>
        </w:rPr>
      </w:pPr>
    </w:p>
    <w:p w14:paraId="5AC4292A">
      <w:pPr>
        <w:pStyle w:val="3"/>
        <w:ind w:left="420"/>
        <w:rPr>
          <w:rFonts w:hint="default" w:ascii="Times New Roman" w:hAnsi="Times New Roman" w:cs="Times New Roman"/>
        </w:rPr>
      </w:pPr>
    </w:p>
    <w:p w14:paraId="73FAE747">
      <w:pPr>
        <w:pStyle w:val="3"/>
        <w:ind w:left="420"/>
        <w:rPr>
          <w:rFonts w:hint="default" w:ascii="Times New Roman" w:hAnsi="Times New Roman" w:cs="Times New Roman"/>
        </w:rPr>
      </w:pPr>
    </w:p>
    <w:p w14:paraId="01EF938A">
      <w:pPr>
        <w:pStyle w:val="3"/>
        <w:ind w:left="420"/>
        <w:rPr>
          <w:rFonts w:hint="default" w:ascii="Times New Roman" w:hAnsi="Times New Roman" w:cs="Times New Roman"/>
        </w:rPr>
      </w:pPr>
    </w:p>
    <w:p w14:paraId="33C94712">
      <w:pPr>
        <w:pStyle w:val="3"/>
        <w:ind w:left="420"/>
        <w:rPr>
          <w:rFonts w:hint="default" w:ascii="Times New Roman" w:hAnsi="Times New Roman" w:cs="Times New Roman"/>
        </w:rPr>
      </w:pPr>
    </w:p>
    <w:p w14:paraId="4D30BC60">
      <w:pPr>
        <w:pStyle w:val="3"/>
        <w:ind w:left="420"/>
        <w:rPr>
          <w:rFonts w:hint="default" w:ascii="Times New Roman" w:hAnsi="Times New Roman" w:cs="Times New Roman"/>
        </w:rPr>
      </w:pPr>
    </w:p>
    <w:p w14:paraId="471BD8C9">
      <w:pPr>
        <w:pStyle w:val="3"/>
        <w:ind w:left="420"/>
        <w:rPr>
          <w:rFonts w:hint="default" w:ascii="Times New Roman" w:hAnsi="Times New Roman" w:cs="Times New Roman"/>
        </w:rPr>
      </w:pPr>
    </w:p>
    <w:p w14:paraId="7ECFF3C9">
      <w:pPr>
        <w:pStyle w:val="3"/>
        <w:ind w:left="0" w:leftChars="0" w:firstLine="0" w:firstLineChars="0"/>
        <w:rPr>
          <w:rFonts w:hint="default" w:ascii="Times New Roman" w:hAnsi="Times New Roman" w:cs="Times New Roman"/>
        </w:rPr>
      </w:pPr>
    </w:p>
    <w:p w14:paraId="39AE65A5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</w:rPr>
      </w:pPr>
      <w:bookmarkStart w:id="13" w:name="_Toc15396602"/>
      <w:bookmarkStart w:id="14" w:name="_Toc15377204"/>
      <w:bookmarkStart w:id="15" w:name="_Toc5869"/>
      <w:r>
        <w:rPr>
          <w:rFonts w:hint="default" w:ascii="Times New Roman" w:hAnsi="Times New Roman" w:eastAsia="方正小标宋_GBK" w:cs="Times New Roman"/>
          <w:b/>
          <w:bCs w:val="0"/>
        </w:rPr>
        <w:t>第二部分  2024年度部门决算情况说明</w:t>
      </w:r>
      <w:bookmarkEnd w:id="13"/>
      <w:bookmarkEnd w:id="14"/>
      <w:bookmarkEnd w:id="15"/>
    </w:p>
    <w:p w14:paraId="17763930">
      <w:pPr>
        <w:pStyle w:val="6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auto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</w:rPr>
      </w:pPr>
      <w:bookmarkStart w:id="16" w:name="_Toc15377205"/>
      <w:bookmarkStart w:id="17" w:name="_Toc15396603"/>
      <w:bookmarkStart w:id="18" w:name="_Toc2159"/>
      <w:r>
        <w:rPr>
          <w:rFonts w:hint="default" w:ascii="Times New Roman" w:hAnsi="Times New Roman" w:eastAsia="方正黑体_GBK" w:cs="Times New Roman"/>
          <w:b w:val="0"/>
          <w:bCs/>
        </w:rPr>
        <w:t>一、收入支出决算总体情况说明</w:t>
      </w:r>
      <w:bookmarkEnd w:id="16"/>
      <w:bookmarkEnd w:id="17"/>
      <w:bookmarkEnd w:id="18"/>
    </w:p>
    <w:p w14:paraId="245DEC1F"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2024年度收入、支出总计均为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5.69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万元。与2023年度相比，收入、支出总计各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减少14.74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减少72.15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%。主要变动原因是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单位职工较少，经费开支较小，支出经费较少。</w:t>
      </w:r>
    </w:p>
    <w:p w14:paraId="02B71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5254625" cy="4315460"/>
            <wp:effectExtent l="4445" t="4445" r="17780" b="2349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D66B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（图1：收入、支出决算总计变动情况图）</w:t>
      </w:r>
    </w:p>
    <w:p w14:paraId="15CD376E">
      <w:pPr>
        <w:pStyle w:val="6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auto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</w:rPr>
      </w:pPr>
      <w:bookmarkStart w:id="19" w:name="_Toc15377206"/>
      <w:bookmarkStart w:id="20" w:name="_Toc15396604"/>
      <w:bookmarkStart w:id="21" w:name="_Toc28135"/>
      <w:r>
        <w:rPr>
          <w:rFonts w:hint="default" w:ascii="Times New Roman" w:hAnsi="Times New Roman" w:eastAsia="方正黑体_GBK" w:cs="Times New Roman"/>
          <w:b w:val="0"/>
          <w:bCs/>
        </w:rPr>
        <w:t>二、收入决算情况说明</w:t>
      </w:r>
      <w:bookmarkEnd w:id="19"/>
      <w:bookmarkEnd w:id="20"/>
      <w:bookmarkEnd w:id="21"/>
    </w:p>
    <w:p w14:paraId="607FF3F0"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2024年度本年收入合计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5.69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万元，其中：一般公共预算财政拨款收入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5.69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0EFA6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5089525" cy="3119755"/>
            <wp:effectExtent l="4445" t="4445" r="11430" b="1905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4A8B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（图2：收入决算结构图）</w:t>
      </w:r>
    </w:p>
    <w:p w14:paraId="69283B3A">
      <w:pPr>
        <w:pStyle w:val="6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auto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</w:rPr>
      </w:pPr>
      <w:bookmarkStart w:id="22" w:name="_Toc15396605"/>
      <w:bookmarkStart w:id="23" w:name="_Toc15377207"/>
      <w:bookmarkStart w:id="24" w:name="_Toc31350"/>
      <w:r>
        <w:rPr>
          <w:rFonts w:hint="default" w:ascii="Times New Roman" w:hAnsi="Times New Roman" w:eastAsia="方正黑体_GBK" w:cs="Times New Roman"/>
          <w:b w:val="0"/>
          <w:bCs/>
        </w:rPr>
        <w:t>三、支出决算情况说明</w:t>
      </w:r>
      <w:bookmarkEnd w:id="22"/>
      <w:bookmarkEnd w:id="23"/>
      <w:bookmarkEnd w:id="24"/>
    </w:p>
    <w:p w14:paraId="73547E55"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2024年度本年支出合计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5.69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万元，其中：基本支出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5.69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23B6A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5200650" cy="3275965"/>
            <wp:effectExtent l="4445" t="4445" r="14605" b="1524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E752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（图3：支出决算结构图）</w:t>
      </w:r>
    </w:p>
    <w:p w14:paraId="6A9E4678">
      <w:pPr>
        <w:pStyle w:val="6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auto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</w:rPr>
      </w:pPr>
      <w:bookmarkStart w:id="25" w:name="_Toc15396606"/>
      <w:bookmarkStart w:id="26" w:name="_Toc15377208"/>
      <w:bookmarkStart w:id="27" w:name="_Toc7448"/>
      <w:r>
        <w:rPr>
          <w:rFonts w:hint="default" w:ascii="Times New Roman" w:hAnsi="Times New Roman" w:eastAsia="方正黑体_GBK" w:cs="Times New Roman"/>
          <w:b w:val="0"/>
          <w:bCs/>
        </w:rPr>
        <w:t>四、财政拨款收入支出决算总体情况说明</w:t>
      </w:r>
      <w:bookmarkEnd w:id="25"/>
      <w:bookmarkEnd w:id="26"/>
      <w:bookmarkEnd w:id="27"/>
    </w:p>
    <w:p w14:paraId="29141250"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1261745</wp:posOffset>
            </wp:positionV>
            <wp:extent cx="5218430" cy="4200525"/>
            <wp:effectExtent l="4445" t="4445" r="15875" b="5080"/>
            <wp:wrapSquare wrapText="bothSides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2024年度财政拨款收入、支出总计均为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5.69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万元。与2023年度相比，财政拨款收入总计、支出总计各减少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14.74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万元，下降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72.15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%。主要变动原因是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人员减少，经费减少。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（图4：财政拨款收、支决算总计变动情况）</w:t>
      </w:r>
    </w:p>
    <w:p w14:paraId="06CED9E4">
      <w:pPr>
        <w:pStyle w:val="6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auto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</w:rPr>
      </w:pPr>
      <w:bookmarkStart w:id="28" w:name="_Toc15396607"/>
      <w:bookmarkStart w:id="29" w:name="_Toc15377209"/>
      <w:bookmarkStart w:id="30" w:name="_Toc7864"/>
      <w:r>
        <w:rPr>
          <w:rFonts w:hint="default" w:ascii="Times New Roman" w:hAnsi="Times New Roman" w:eastAsia="方正黑体_GBK" w:cs="Times New Roman"/>
          <w:b w:val="0"/>
          <w:bCs/>
        </w:rPr>
        <w:t>五、一般公共预算财政拨款支出决算情况说明</w:t>
      </w:r>
      <w:bookmarkEnd w:id="28"/>
      <w:bookmarkEnd w:id="29"/>
      <w:bookmarkEnd w:id="30"/>
    </w:p>
    <w:p w14:paraId="10837A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3" w:firstLineChars="200"/>
        <w:textAlignment w:val="auto"/>
        <w:outlineLvl w:val="2"/>
        <w:rPr>
          <w:rFonts w:hint="default" w:ascii="Times New Roman" w:hAnsi="Times New Roman" w:eastAsia="方正楷体_GBK" w:cs="Times New Roman"/>
          <w:b/>
          <w:bCs w:val="0"/>
          <w:sz w:val="32"/>
          <w:szCs w:val="32"/>
        </w:rPr>
      </w:pPr>
      <w:bookmarkStart w:id="31" w:name="_Toc15377210"/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</w:rPr>
        <w:t>（一）一般公共预算财政拨款支出决算总体情况</w:t>
      </w:r>
      <w:bookmarkEnd w:id="31"/>
    </w:p>
    <w:p w14:paraId="20DAD578"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2024年度一般公共预算财政拨款支出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5.69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万元，占本年支出合计的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%。与2023年度相比，一般公共预算财政拨款支出减少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14.74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万元，下降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72.15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%。主要变动原因是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退休人员生活补助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减少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790651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0"/>
        </w:rPr>
        <w:drawing>
          <wp:inline distT="0" distB="0" distL="0" distR="0">
            <wp:extent cx="5160010" cy="3138170"/>
            <wp:effectExtent l="4445" t="4445" r="17145" b="19685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37A60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（图5：一般公共预算财政拨款支出决算情况）</w:t>
      </w:r>
    </w:p>
    <w:p w14:paraId="0034D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5256530" cy="4238625"/>
            <wp:effectExtent l="5080" t="4445" r="15240" b="508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8894D2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（图6：一般公共预算财政拨款支出决算变动情况）</w:t>
      </w:r>
    </w:p>
    <w:p w14:paraId="498B65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3" w:firstLineChars="200"/>
        <w:textAlignment w:val="auto"/>
        <w:outlineLvl w:val="2"/>
        <w:rPr>
          <w:rFonts w:hint="default" w:ascii="Times New Roman" w:hAnsi="Times New Roman" w:eastAsia="方正楷体_GBK" w:cs="Times New Roman"/>
          <w:b/>
          <w:bCs w:val="0"/>
          <w:sz w:val="32"/>
          <w:szCs w:val="32"/>
        </w:rPr>
      </w:pPr>
      <w:bookmarkStart w:id="32" w:name="_Toc15377211"/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</w:rPr>
        <w:t>（二）一般公共预算财政拨款支出决算结构情况</w:t>
      </w:r>
      <w:bookmarkEnd w:id="32"/>
    </w:p>
    <w:p w14:paraId="7C92F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2024年度一般公共预算财政拨款支出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5.69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万元，主要用于以下方面：教育支出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0.20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3.51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%；住房保障支出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5.49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96.49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48B3B60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284470" cy="3841750"/>
            <wp:effectExtent l="5080" t="4445" r="6350" b="20955"/>
            <wp:docPr id="9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B0E34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：一般公共预算财政拨款支出决算结构）</w:t>
      </w:r>
    </w:p>
    <w:p w14:paraId="677BC3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3" w:firstLineChars="200"/>
        <w:textAlignment w:val="auto"/>
        <w:outlineLvl w:val="2"/>
        <w:rPr>
          <w:rFonts w:hint="default" w:ascii="Times New Roman" w:hAnsi="Times New Roman" w:eastAsia="方正楷体_GBK" w:cs="Times New Roman"/>
          <w:b/>
          <w:bCs w:val="0"/>
          <w:sz w:val="32"/>
          <w:szCs w:val="32"/>
        </w:rPr>
      </w:pPr>
      <w:bookmarkStart w:id="33" w:name="_Toc15377212"/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</w:rPr>
        <w:t>（三）一般公共预算财政拨款支出决算具体情况</w:t>
      </w:r>
      <w:bookmarkEnd w:id="33"/>
    </w:p>
    <w:p w14:paraId="24DC13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34" w:name="_Toc15377444"/>
      <w:bookmarkStart w:id="35" w:name="_Toc15378460"/>
      <w:bookmarkStart w:id="36" w:name="_Toc15377213"/>
      <w:r>
        <w:rPr>
          <w:rFonts w:hint="default" w:ascii="Times New Roman" w:hAnsi="Times New Roman" w:eastAsia="方正仿宋_GBK" w:cs="Times New Roman"/>
          <w:sz w:val="32"/>
          <w:szCs w:val="32"/>
        </w:rPr>
        <w:t>2024年度一般公共预算财政拨款支出决算数为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5.69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万元，完成预算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%。其中：</w:t>
      </w:r>
      <w:bookmarkEnd w:id="34"/>
      <w:bookmarkEnd w:id="35"/>
      <w:bookmarkEnd w:id="36"/>
    </w:p>
    <w:p w14:paraId="0B3928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教育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（类）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职业教育03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（款）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其他职业教育99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（项）: 支出决算为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0.20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万元，完成预算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5EB878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社会保障和就业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（类）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行政事业单位养老05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（款）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事业单位退休02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（项）：支出决算为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5.49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万元，完成预算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2A01BC42">
      <w:pPr>
        <w:pStyle w:val="6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auto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</w:rPr>
      </w:pPr>
      <w:bookmarkStart w:id="37" w:name="_Toc15396608"/>
      <w:bookmarkStart w:id="38" w:name="_Toc15377214"/>
      <w:bookmarkStart w:id="39" w:name="_Toc22003"/>
      <w:r>
        <w:rPr>
          <w:rFonts w:hint="default" w:ascii="Times New Roman" w:hAnsi="Times New Roman" w:eastAsia="方正黑体_GBK" w:cs="Times New Roman"/>
          <w:b w:val="0"/>
          <w:bCs/>
          <w:lang w:val="en-US" w:eastAsia="zh-CN"/>
        </w:rPr>
        <w:t>六、一般公共预算财政拨款基本支出决算情况说明</w:t>
      </w:r>
      <w:bookmarkEnd w:id="37"/>
      <w:bookmarkEnd w:id="38"/>
      <w:bookmarkEnd w:id="39"/>
      <w:r>
        <w:rPr>
          <w:rFonts w:hint="default" w:ascii="Times New Roman" w:hAnsi="Times New Roman" w:eastAsia="方正黑体_GBK" w:cs="Times New Roman"/>
          <w:b w:val="0"/>
          <w:bCs/>
        </w:rPr>
        <w:tab/>
      </w:r>
    </w:p>
    <w:p w14:paraId="43CF54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2024年度一般公共预算财政拨款基本支出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5.69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万元，其中：</w:t>
      </w:r>
    </w:p>
    <w:p w14:paraId="60BCE1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人员经费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5.69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万元，主要包括：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生活补助、医疗费补助。</w:t>
      </w:r>
    </w:p>
    <w:p w14:paraId="0908FCF2"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/>
        <w:textAlignment w:val="auto"/>
        <w:outlineLvl w:val="1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bookmarkStart w:id="40" w:name="_Toc15377215"/>
      <w:bookmarkStart w:id="41" w:name="_Toc15396609"/>
      <w:bookmarkStart w:id="42" w:name="_Toc20956"/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七、财政拨款“三公”经费支出决算情况说明</w:t>
      </w:r>
      <w:bookmarkEnd w:id="40"/>
      <w:bookmarkEnd w:id="41"/>
      <w:bookmarkEnd w:id="42"/>
    </w:p>
    <w:p w14:paraId="799A0B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3" w:firstLineChars="200"/>
        <w:textAlignment w:val="auto"/>
        <w:outlineLvl w:val="2"/>
        <w:rPr>
          <w:rFonts w:hint="default" w:ascii="Times New Roman" w:hAnsi="Times New Roman" w:eastAsia="方正楷体_GBK" w:cs="Times New Roman"/>
          <w:b/>
          <w:bCs w:val="0"/>
          <w:sz w:val="32"/>
          <w:szCs w:val="32"/>
        </w:rPr>
      </w:pPr>
      <w:bookmarkStart w:id="43" w:name="_Toc15377216"/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</w:rPr>
        <w:t>（一）“三公”经费财政拨款支出决算总体情况说明</w:t>
      </w:r>
      <w:bookmarkEnd w:id="43"/>
    </w:p>
    <w:p w14:paraId="2754CA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2024年度“三公”经费财政拨款支出决算为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万元，完成预算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%，与2023年度相比，“三公”经费财政拨款支出与上年持平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2E82E0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3" w:firstLineChars="200"/>
        <w:textAlignment w:val="auto"/>
        <w:outlineLvl w:val="2"/>
        <w:rPr>
          <w:rFonts w:hint="default" w:ascii="Times New Roman" w:hAnsi="Times New Roman" w:eastAsia="方正楷体_GBK" w:cs="Times New Roman"/>
          <w:b/>
          <w:bCs w:val="0"/>
          <w:sz w:val="32"/>
          <w:szCs w:val="32"/>
        </w:rPr>
      </w:pPr>
      <w:bookmarkStart w:id="44" w:name="_Toc15377217"/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</w:rPr>
        <w:t>（二）“三公”经费财政拨款支出决算具体情况说明</w:t>
      </w:r>
      <w:bookmarkEnd w:id="44"/>
    </w:p>
    <w:p w14:paraId="702107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2024年度“三公”经费财政拨款支出决算中，因公出国（境）费支出决算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万元，占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%；公务用车购置及运行维护费支出决算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万元，占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%；公务接待费支出决算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万元，占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%。具体情况如下：</w:t>
      </w:r>
    </w:p>
    <w:p w14:paraId="643DA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1.因公出国（境）经费支出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万元，完成预算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%。全年安排因公出国（境）团组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次，出国（境）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人。与2023年度相比，因公出国（境）支出决算与上年持平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。</w:t>
      </w:r>
    </w:p>
    <w:p w14:paraId="08802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2.公务用车购置及运行维护费支出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万元，完成预算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%。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2023年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持平。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与2023年度相比，公务用车购置及运行维护费支出决算与上年持平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。</w:t>
      </w:r>
    </w:p>
    <w:p w14:paraId="40FA4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其中：公务用车购置支出0万元。全年按规定更新购置公务用车0辆，其中：轿车0辆、金额0万元，越野车0辆、金额0万元，载客汽车0辆。截至2024年12月31日，单位共有公务用车0辆，其中：轿车0辆、越野车0辆、载客汽车0辆。</w:t>
      </w:r>
    </w:p>
    <w:p w14:paraId="22553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公务用车运行维护费支出0万元。</w:t>
      </w:r>
    </w:p>
    <w:p w14:paraId="0AC26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公务接待费支出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万元，完成预算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%。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与2023年度相比，公务接待费支出决算与上年持平。</w:t>
      </w:r>
    </w:p>
    <w:p w14:paraId="322E2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国内公务接待支出0万元。国内公务接待0批次，0人次（不包括陪同人员），共计支出0万元。</w:t>
      </w:r>
    </w:p>
    <w:p w14:paraId="72210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外事接待支出0万元</w:t>
      </w:r>
      <w:bookmarkStart w:id="45" w:name="_Toc15396610"/>
      <w:bookmarkStart w:id="46" w:name="_Toc15377218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3F6C050E"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/>
        <w:textAlignment w:val="auto"/>
        <w:outlineLvl w:val="1"/>
        <w:rPr>
          <w:rFonts w:hint="default" w:ascii="Times New Roman" w:hAnsi="Times New Roman" w:eastAsia="方正黑体_GBK" w:cs="Times New Roman"/>
          <w:b w:val="0"/>
          <w:bCs/>
          <w:kern w:val="2"/>
          <w:sz w:val="32"/>
          <w:szCs w:val="32"/>
          <w:lang w:val="en-US" w:eastAsia="zh-CN" w:bidi="ar-SA"/>
        </w:rPr>
      </w:pPr>
      <w:bookmarkStart w:id="47" w:name="_Toc14213"/>
      <w:r>
        <w:rPr>
          <w:rFonts w:hint="default" w:ascii="Times New Roman" w:hAnsi="Times New Roman" w:eastAsia="方正黑体_GBK" w:cs="Times New Roman"/>
          <w:b w:val="0"/>
          <w:bCs/>
          <w:kern w:val="2"/>
          <w:sz w:val="32"/>
          <w:szCs w:val="32"/>
          <w:lang w:val="en-US" w:eastAsia="zh-CN" w:bidi="ar-SA"/>
        </w:rPr>
        <w:t>八、政府性基金预算支出决算情况说明</w:t>
      </w:r>
      <w:bookmarkEnd w:id="45"/>
      <w:bookmarkEnd w:id="46"/>
      <w:bookmarkEnd w:id="47"/>
    </w:p>
    <w:p w14:paraId="465529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2024年度政府性基金预算财政拨款支出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万元，占本年支出合计的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%。与2023年度相比，政府性基金预算财政拨款支出与上年持平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6904CF12"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/>
        <w:textAlignment w:val="auto"/>
        <w:outlineLvl w:val="1"/>
        <w:rPr>
          <w:rFonts w:hint="default" w:ascii="Times New Roman" w:hAnsi="Times New Roman" w:eastAsia="方正黑体_GBK" w:cs="Times New Roman"/>
          <w:b w:val="0"/>
          <w:bCs/>
          <w:kern w:val="2"/>
          <w:sz w:val="32"/>
          <w:szCs w:val="32"/>
          <w:lang w:val="en-US" w:eastAsia="zh-CN" w:bidi="ar-SA"/>
        </w:rPr>
      </w:pPr>
      <w:bookmarkStart w:id="48" w:name="_Toc15396611"/>
      <w:bookmarkStart w:id="49" w:name="_Toc15377219"/>
      <w:bookmarkStart w:id="50" w:name="_Toc32721"/>
      <w:r>
        <w:rPr>
          <w:rFonts w:hint="default" w:ascii="Times New Roman" w:hAnsi="Times New Roman" w:eastAsia="方正黑体_GBK" w:cs="Times New Roman"/>
          <w:b w:val="0"/>
          <w:bCs/>
          <w:kern w:val="2"/>
          <w:sz w:val="32"/>
          <w:szCs w:val="32"/>
          <w:lang w:val="en-US" w:eastAsia="zh-CN" w:bidi="ar-SA"/>
        </w:rPr>
        <w:t>九、国有资本经营预算支出决算情况说明</w:t>
      </w:r>
      <w:bookmarkEnd w:id="48"/>
      <w:bookmarkEnd w:id="49"/>
      <w:bookmarkEnd w:id="50"/>
    </w:p>
    <w:p w14:paraId="06A129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2024年度国有资本经营预算财政拨款支出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万元，占本年支出合计的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%。与2023年度相比，国有资本经营预算财政拨款支出与上年持平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48C9274F"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/>
        <w:textAlignment w:val="auto"/>
        <w:outlineLvl w:val="1"/>
        <w:rPr>
          <w:rFonts w:hint="default" w:ascii="Times New Roman" w:hAnsi="Times New Roman" w:eastAsia="方正黑体_GBK" w:cs="Times New Roman"/>
          <w:b w:val="0"/>
          <w:bCs/>
          <w:kern w:val="2"/>
          <w:sz w:val="32"/>
          <w:szCs w:val="32"/>
          <w:lang w:val="en-US" w:eastAsia="zh-CN" w:bidi="ar-SA"/>
        </w:rPr>
      </w:pPr>
      <w:bookmarkStart w:id="51" w:name="_Toc15377221"/>
      <w:bookmarkStart w:id="52" w:name="_Toc15396612"/>
      <w:bookmarkStart w:id="53" w:name="_Toc27333"/>
      <w:r>
        <w:rPr>
          <w:rFonts w:hint="default" w:ascii="Times New Roman" w:hAnsi="Times New Roman" w:eastAsia="方正黑体_GBK" w:cs="Times New Roman"/>
          <w:b w:val="0"/>
          <w:bCs/>
          <w:kern w:val="2"/>
          <w:sz w:val="32"/>
          <w:szCs w:val="32"/>
          <w:lang w:val="en-US" w:eastAsia="zh-CN" w:bidi="ar-SA"/>
        </w:rPr>
        <w:t>十、其他重要事项的情况说明</w:t>
      </w:r>
      <w:bookmarkEnd w:id="51"/>
      <w:bookmarkEnd w:id="52"/>
      <w:bookmarkEnd w:id="53"/>
    </w:p>
    <w:p w14:paraId="15A6E9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3" w:firstLineChars="200"/>
        <w:textAlignment w:val="auto"/>
        <w:outlineLvl w:val="2"/>
        <w:rPr>
          <w:rFonts w:hint="default" w:ascii="Times New Roman" w:hAnsi="Times New Roman" w:eastAsia="方正楷体_GBK" w:cs="Times New Roman"/>
          <w:b/>
          <w:bCs w:val="0"/>
          <w:sz w:val="32"/>
          <w:szCs w:val="32"/>
        </w:rPr>
      </w:pPr>
      <w:bookmarkStart w:id="54" w:name="_Toc15377222"/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</w:rPr>
        <w:t>（一）机关运行经费支出情况</w:t>
      </w:r>
      <w:bookmarkEnd w:id="54"/>
    </w:p>
    <w:p w14:paraId="366D6A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2024年度，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盐边县职业中学校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运行经费支出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万元，与2023年度相比，运行经费支出与上年持平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2A47AE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3" w:firstLineChars="200"/>
        <w:textAlignment w:val="auto"/>
        <w:outlineLvl w:val="2"/>
        <w:rPr>
          <w:rFonts w:hint="default" w:ascii="Times New Roman" w:hAnsi="Times New Roman" w:eastAsia="方正楷体_GBK" w:cs="Times New Roman"/>
          <w:b/>
          <w:bCs w:val="0"/>
          <w:sz w:val="32"/>
          <w:szCs w:val="32"/>
        </w:rPr>
      </w:pPr>
      <w:bookmarkStart w:id="55" w:name="_Toc15377223"/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</w:rPr>
        <w:t>（二）政府采购支出情况</w:t>
      </w:r>
      <w:bookmarkEnd w:id="55"/>
    </w:p>
    <w:p w14:paraId="7BF36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024年度，中国共产党资中县委员会办公室政府采购支出总额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万元，其中：政府采购货物支出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万元、政府采购工程支出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万元、政府采购服务支出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万元。授予中小企业合同金额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万元，占政府采购支出总额的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%，其中：授予小微企业合同金额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万元，占政府采购支出总额的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%。</w:t>
      </w:r>
    </w:p>
    <w:p w14:paraId="0F285D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3" w:firstLineChars="200"/>
        <w:textAlignment w:val="auto"/>
        <w:outlineLvl w:val="2"/>
        <w:rPr>
          <w:rFonts w:hint="default" w:ascii="Times New Roman" w:hAnsi="Times New Roman" w:eastAsia="方正楷体_GBK" w:cs="Times New Roman"/>
          <w:b/>
          <w:bCs w:val="0"/>
          <w:sz w:val="32"/>
          <w:szCs w:val="32"/>
        </w:rPr>
      </w:pPr>
      <w:bookmarkStart w:id="56" w:name="_Toc15377224"/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</w:rPr>
        <w:t>（三）国有资产占有使用情况</w:t>
      </w:r>
      <w:bookmarkEnd w:id="56"/>
    </w:p>
    <w:p w14:paraId="486E6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截至2024年12月31日，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盐边县职业中学校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共有车辆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辆，其中：主要负责人用车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辆、机要通信用车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辆、应急保障用车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辆、其他用车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辆。单价100万元（含）以上设备（不含车辆）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台（套）。</w:t>
      </w:r>
    </w:p>
    <w:p w14:paraId="3DFD1C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3" w:firstLineChars="200"/>
        <w:textAlignment w:val="auto"/>
        <w:outlineLvl w:val="2"/>
        <w:rPr>
          <w:rFonts w:hint="default" w:ascii="Times New Roman" w:hAnsi="Times New Roman" w:eastAsia="方正楷体_GBK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/>
          <w:bCs w:val="0"/>
          <w:sz w:val="32"/>
          <w:szCs w:val="32"/>
        </w:rPr>
        <w:t>（四）预算绩效管理情况</w:t>
      </w:r>
    </w:p>
    <w:p w14:paraId="4431D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57" w:name="_Toc15377225"/>
      <w:bookmarkStart w:id="58" w:name="_Toc15396613"/>
      <w:r>
        <w:rPr>
          <w:rFonts w:hint="default" w:ascii="Times New Roman" w:hAnsi="Times New Roman" w:eastAsia="方正仿宋_GBK" w:cs="Times New Roman"/>
          <w:sz w:val="32"/>
          <w:szCs w:val="32"/>
        </w:rPr>
        <w:t>根据预算绩效管理要求，本部门在2023年度预算编制阶段，组织对0项目（项目名称）等0个项目开展了预算事前绩效评估，对0个项目编制了绩效目标，预算执行过程中，选取0个项目开展绩效监控。</w:t>
      </w:r>
    </w:p>
    <w:p w14:paraId="61092FEC">
      <w:pPr>
        <w:spacing w:line="600" w:lineRule="exact"/>
        <w:jc w:val="center"/>
        <w:outlineLvl w:val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04225B52">
      <w:pPr>
        <w:spacing w:line="600" w:lineRule="exact"/>
        <w:jc w:val="center"/>
        <w:outlineLvl w:val="0"/>
        <w:rPr>
          <w:rFonts w:hint="default" w:ascii="Times New Roman" w:hAnsi="Times New Roman" w:eastAsia="黑体" w:cs="Times New Roman"/>
          <w:sz w:val="44"/>
          <w:szCs w:val="44"/>
        </w:rPr>
      </w:pPr>
    </w:p>
    <w:p w14:paraId="3F87BE49">
      <w:pPr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br w:type="page"/>
      </w:r>
    </w:p>
    <w:p w14:paraId="487765B8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</w:rPr>
      </w:pPr>
      <w:bookmarkStart w:id="59" w:name="_Toc3922"/>
      <w:r>
        <w:rPr>
          <w:rFonts w:hint="default" w:ascii="Times New Roman" w:hAnsi="Times New Roman" w:eastAsia="方正小标宋_GBK" w:cs="Times New Roman"/>
          <w:b/>
          <w:bCs w:val="0"/>
          <w:lang w:eastAsia="zh-CN"/>
        </w:rPr>
        <w:t>第三部分</w:t>
      </w:r>
      <w:r>
        <w:rPr>
          <w:rFonts w:hint="default" w:ascii="Times New Roman" w:hAnsi="Times New Roman" w:eastAsia="方正小标宋_GBK" w:cs="Times New Roman"/>
          <w:b/>
          <w:bCs w:val="0"/>
        </w:rPr>
        <w:t xml:space="preserve"> 名词解释</w:t>
      </w:r>
      <w:bookmarkEnd w:id="57"/>
      <w:bookmarkEnd w:id="58"/>
      <w:bookmarkEnd w:id="59"/>
    </w:p>
    <w:p w14:paraId="082090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1.财政拨款收入：指单位从同级财政部门取得的财政预算资金。</w:t>
      </w:r>
    </w:p>
    <w:p w14:paraId="74F0C9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2.教育205（类）职业教育03（款）其他职业教育99（项）：指反映除上述项目以外其他用于职业教育方面的支出。</w:t>
      </w:r>
    </w:p>
    <w:p w14:paraId="2365DB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3.社会保障和就业208（类）行政事业单位养老05（款）事业单位离退休02（项）：指反映事业单位开支的离退休经费。</w:t>
      </w:r>
    </w:p>
    <w:p w14:paraId="178C97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.基本支出：指为保障机构正常运转、完成日常工作任务而发生的人员支出和公用支出。</w:t>
      </w:r>
    </w:p>
    <w:p w14:paraId="19C021EA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</w:rPr>
      </w:pPr>
      <w:bookmarkStart w:id="60" w:name="_Toc15377226"/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bookmarkStart w:id="61" w:name="_Toc15396614"/>
      <w:bookmarkStart w:id="62" w:name="_Toc7839"/>
      <w:r>
        <w:rPr>
          <w:rFonts w:hint="default" w:ascii="Times New Roman" w:hAnsi="Times New Roman" w:eastAsia="方正小标宋_GBK" w:cs="Times New Roman"/>
          <w:b/>
          <w:bCs w:val="0"/>
        </w:rPr>
        <w:t>第四部分  附件</w:t>
      </w:r>
      <w:bookmarkEnd w:id="61"/>
      <w:bookmarkEnd w:id="62"/>
    </w:p>
    <w:p w14:paraId="0E473AF1">
      <w:pPr>
        <w:widowControl/>
        <w:spacing w:line="578" w:lineRule="exact"/>
        <w:contextualSpacing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部门预算项目支出绩效评价表（2024年度）</w:t>
      </w:r>
      <w:bookmarkStart w:id="63" w:name="_Toc15396618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br w:type="page"/>
      </w:r>
    </w:p>
    <w:p w14:paraId="728FD638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</w:rPr>
      </w:pPr>
      <w:bookmarkStart w:id="64" w:name="_Toc12876"/>
      <w:r>
        <w:rPr>
          <w:rFonts w:hint="default" w:ascii="Times New Roman" w:hAnsi="Times New Roman" w:eastAsia="方正小标宋_GBK" w:cs="Times New Roman"/>
          <w:b/>
          <w:bCs w:val="0"/>
          <w:lang w:val="en-US" w:eastAsia="zh-CN"/>
        </w:rPr>
        <w:t xml:space="preserve">第五部分 </w:t>
      </w:r>
      <w:r>
        <w:rPr>
          <w:rFonts w:hint="default" w:ascii="Times New Roman" w:hAnsi="Times New Roman" w:eastAsia="方正小标宋_GBK" w:cs="Times New Roman"/>
          <w:b/>
          <w:bCs w:val="0"/>
        </w:rPr>
        <w:t>附表</w:t>
      </w:r>
      <w:bookmarkEnd w:id="60"/>
      <w:bookmarkEnd w:id="63"/>
      <w:bookmarkEnd w:id="64"/>
      <w:bookmarkStart w:id="65" w:name="_Toc15396619"/>
    </w:p>
    <w:p w14:paraId="58085CAD"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</w:rPr>
      </w:pPr>
    </w:p>
    <w:p w14:paraId="62613B0D">
      <w:pPr>
        <w:pStyle w:val="6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lang w:val="en-US" w:eastAsia="zh-CN"/>
        </w:rPr>
      </w:pPr>
      <w:bookmarkStart w:id="66" w:name="_Toc18740"/>
      <w:r>
        <w:rPr>
          <w:rFonts w:hint="default" w:ascii="Times New Roman" w:hAnsi="Times New Roman" w:eastAsia="方正黑体_GBK" w:cs="Times New Roman"/>
          <w:b w:val="0"/>
          <w:bCs/>
          <w:lang w:val="en-US" w:eastAsia="zh-CN"/>
        </w:rPr>
        <w:t>一、收入支出决算总表</w:t>
      </w:r>
      <w:bookmarkEnd w:id="65"/>
      <w:bookmarkEnd w:id="66"/>
    </w:p>
    <w:p w14:paraId="1FF060A8">
      <w:pPr>
        <w:pStyle w:val="6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lang w:val="en-US" w:eastAsia="zh-CN"/>
        </w:rPr>
      </w:pPr>
      <w:bookmarkStart w:id="67" w:name="_Toc15396620"/>
      <w:bookmarkStart w:id="68" w:name="_Toc2722"/>
      <w:r>
        <w:rPr>
          <w:rFonts w:hint="default" w:ascii="Times New Roman" w:hAnsi="Times New Roman" w:eastAsia="方正黑体_GBK" w:cs="Times New Roman"/>
          <w:b w:val="0"/>
          <w:bCs/>
          <w:lang w:val="en-US" w:eastAsia="zh-CN"/>
        </w:rPr>
        <w:t>二、收入决算表</w:t>
      </w:r>
      <w:bookmarkEnd w:id="67"/>
      <w:bookmarkEnd w:id="68"/>
    </w:p>
    <w:p w14:paraId="49077EB5">
      <w:pPr>
        <w:pStyle w:val="6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lang w:val="en-US" w:eastAsia="zh-CN"/>
        </w:rPr>
      </w:pPr>
      <w:bookmarkStart w:id="69" w:name="_Toc15396621"/>
      <w:bookmarkStart w:id="70" w:name="_Toc24"/>
      <w:r>
        <w:rPr>
          <w:rFonts w:hint="default" w:ascii="Times New Roman" w:hAnsi="Times New Roman" w:eastAsia="方正黑体_GBK" w:cs="Times New Roman"/>
          <w:b w:val="0"/>
          <w:bCs/>
          <w:lang w:val="en-US" w:eastAsia="zh-CN"/>
        </w:rPr>
        <w:t>三、支出决算表</w:t>
      </w:r>
      <w:bookmarkEnd w:id="69"/>
      <w:bookmarkEnd w:id="70"/>
    </w:p>
    <w:p w14:paraId="1886F675">
      <w:pPr>
        <w:pStyle w:val="6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lang w:val="en-US" w:eastAsia="zh-CN"/>
        </w:rPr>
      </w:pPr>
      <w:bookmarkStart w:id="71" w:name="_Toc15396622"/>
      <w:bookmarkStart w:id="72" w:name="_Toc19940"/>
      <w:r>
        <w:rPr>
          <w:rFonts w:hint="default" w:ascii="Times New Roman" w:hAnsi="Times New Roman" w:eastAsia="方正黑体_GBK" w:cs="Times New Roman"/>
          <w:b w:val="0"/>
          <w:bCs/>
          <w:lang w:val="en-US" w:eastAsia="zh-CN"/>
        </w:rPr>
        <w:t>四、财政拨款收入支出决算总表</w:t>
      </w:r>
      <w:bookmarkEnd w:id="71"/>
      <w:bookmarkEnd w:id="72"/>
    </w:p>
    <w:p w14:paraId="5B361E23">
      <w:pPr>
        <w:pStyle w:val="6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lang w:val="en-US" w:eastAsia="zh-CN"/>
        </w:rPr>
      </w:pPr>
      <w:bookmarkStart w:id="73" w:name="_Toc15396623"/>
      <w:bookmarkStart w:id="74" w:name="_Toc1953"/>
      <w:r>
        <w:rPr>
          <w:rFonts w:hint="default" w:ascii="Times New Roman" w:hAnsi="Times New Roman" w:eastAsia="方正黑体_GBK" w:cs="Times New Roman"/>
          <w:b w:val="0"/>
          <w:bCs/>
          <w:lang w:val="en-US" w:eastAsia="zh-CN"/>
        </w:rPr>
        <w:t>五、财政拨款支出决算明细表</w:t>
      </w:r>
      <w:bookmarkEnd w:id="73"/>
      <w:bookmarkEnd w:id="74"/>
      <w:bookmarkStart w:id="75" w:name="_Toc15396624"/>
    </w:p>
    <w:p w14:paraId="78BB3356">
      <w:pPr>
        <w:pStyle w:val="6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lang w:val="en-US" w:eastAsia="zh-CN"/>
        </w:rPr>
      </w:pPr>
      <w:bookmarkStart w:id="76" w:name="_Toc10231"/>
      <w:r>
        <w:rPr>
          <w:rFonts w:hint="default" w:ascii="Times New Roman" w:hAnsi="Times New Roman" w:eastAsia="方正黑体_GBK" w:cs="Times New Roman"/>
          <w:b w:val="0"/>
          <w:bCs/>
          <w:lang w:val="en-US" w:eastAsia="zh-CN"/>
        </w:rPr>
        <w:t>六、一般公共预算财政拨款支出决算表</w:t>
      </w:r>
      <w:bookmarkEnd w:id="75"/>
      <w:bookmarkEnd w:id="76"/>
    </w:p>
    <w:p w14:paraId="147018C5">
      <w:pPr>
        <w:pStyle w:val="6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lang w:val="en-US" w:eastAsia="zh-CN"/>
        </w:rPr>
      </w:pPr>
      <w:bookmarkStart w:id="77" w:name="_Toc15396625"/>
      <w:bookmarkStart w:id="78" w:name="_Toc31102"/>
      <w:r>
        <w:rPr>
          <w:rFonts w:hint="default" w:ascii="Times New Roman" w:hAnsi="Times New Roman" w:eastAsia="方正黑体_GBK" w:cs="Times New Roman"/>
          <w:b w:val="0"/>
          <w:bCs/>
          <w:lang w:val="en-US" w:eastAsia="zh-CN"/>
        </w:rPr>
        <w:t>七、一般公共预算财政拨款支出决算明细表</w:t>
      </w:r>
      <w:bookmarkEnd w:id="77"/>
      <w:bookmarkEnd w:id="78"/>
    </w:p>
    <w:p w14:paraId="503BA076">
      <w:pPr>
        <w:pStyle w:val="6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lang w:val="en-US" w:eastAsia="zh-CN"/>
        </w:rPr>
      </w:pPr>
      <w:bookmarkStart w:id="79" w:name="_Toc15396626"/>
      <w:bookmarkStart w:id="80" w:name="_Toc23487"/>
      <w:r>
        <w:rPr>
          <w:rFonts w:hint="default" w:ascii="Times New Roman" w:hAnsi="Times New Roman" w:eastAsia="方正黑体_GBK" w:cs="Times New Roman"/>
          <w:b w:val="0"/>
          <w:bCs/>
          <w:lang w:val="en-US" w:eastAsia="zh-CN"/>
        </w:rPr>
        <w:t>八、一般公共预算财政拨款基本支出决算表</w:t>
      </w:r>
      <w:bookmarkEnd w:id="79"/>
      <w:bookmarkEnd w:id="80"/>
    </w:p>
    <w:p w14:paraId="4BF7CB56">
      <w:pPr>
        <w:pStyle w:val="6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lang w:val="en-US" w:eastAsia="zh-CN"/>
        </w:rPr>
      </w:pPr>
      <w:bookmarkStart w:id="81" w:name="_Toc15396627"/>
      <w:bookmarkStart w:id="82" w:name="_Toc9517"/>
      <w:r>
        <w:rPr>
          <w:rFonts w:hint="default" w:ascii="Times New Roman" w:hAnsi="Times New Roman" w:eastAsia="方正黑体_GBK" w:cs="Times New Roman"/>
          <w:b w:val="0"/>
          <w:bCs/>
          <w:lang w:val="en-US" w:eastAsia="zh-CN"/>
        </w:rPr>
        <w:t>九、一般公共预算财政拨款项目支出决算表</w:t>
      </w:r>
      <w:bookmarkEnd w:id="81"/>
      <w:bookmarkEnd w:id="82"/>
    </w:p>
    <w:p w14:paraId="00C035A8">
      <w:pPr>
        <w:pStyle w:val="6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lang w:val="en-US" w:eastAsia="zh-CN"/>
        </w:rPr>
      </w:pPr>
      <w:bookmarkStart w:id="83" w:name="_Toc15396628"/>
      <w:bookmarkStart w:id="84" w:name="_Toc23107"/>
      <w:r>
        <w:rPr>
          <w:rFonts w:hint="default" w:ascii="Times New Roman" w:hAnsi="Times New Roman" w:eastAsia="方正黑体_GBK" w:cs="Times New Roman"/>
          <w:b w:val="0"/>
          <w:bCs/>
          <w:lang w:val="en-US" w:eastAsia="zh-CN"/>
        </w:rPr>
        <w:t>十、</w:t>
      </w:r>
      <w:bookmarkEnd w:id="83"/>
      <w:r>
        <w:rPr>
          <w:rFonts w:hint="default" w:ascii="Times New Roman" w:hAnsi="Times New Roman" w:eastAsia="方正黑体_GBK" w:cs="Times New Roman"/>
          <w:b w:val="0"/>
          <w:bCs/>
          <w:lang w:val="en-US" w:eastAsia="zh-CN"/>
        </w:rPr>
        <w:t>政府性基金预算财政拨款收入支出决算表</w:t>
      </w:r>
      <w:bookmarkEnd w:id="84"/>
    </w:p>
    <w:p w14:paraId="20EF500D">
      <w:pPr>
        <w:pStyle w:val="6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lang w:val="en-US" w:eastAsia="zh-CN"/>
        </w:rPr>
      </w:pPr>
      <w:bookmarkStart w:id="85" w:name="_Toc15396629"/>
      <w:bookmarkStart w:id="86" w:name="_Toc8464"/>
      <w:r>
        <w:rPr>
          <w:rFonts w:hint="default" w:ascii="Times New Roman" w:hAnsi="Times New Roman" w:eastAsia="方正黑体_GBK" w:cs="Times New Roman"/>
          <w:b w:val="0"/>
          <w:bCs/>
          <w:lang w:val="en-US" w:eastAsia="zh-CN"/>
        </w:rPr>
        <w:t>十一、</w:t>
      </w:r>
      <w:bookmarkEnd w:id="85"/>
      <w:r>
        <w:rPr>
          <w:rFonts w:hint="default" w:ascii="Times New Roman" w:hAnsi="Times New Roman" w:eastAsia="方正黑体_GBK" w:cs="Times New Roman"/>
          <w:b w:val="0"/>
          <w:bCs/>
          <w:lang w:val="en-US" w:eastAsia="zh-CN"/>
        </w:rPr>
        <w:t>国有资本经营预算财政拨款收入支出决算表</w:t>
      </w:r>
      <w:bookmarkEnd w:id="86"/>
    </w:p>
    <w:p w14:paraId="54EC66CB">
      <w:pPr>
        <w:pStyle w:val="6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lang w:val="en-US" w:eastAsia="zh-CN"/>
        </w:rPr>
      </w:pPr>
      <w:bookmarkStart w:id="87" w:name="_Toc15396630"/>
      <w:bookmarkStart w:id="88" w:name="_Toc3056"/>
      <w:r>
        <w:rPr>
          <w:rFonts w:hint="default" w:ascii="Times New Roman" w:hAnsi="Times New Roman" w:eastAsia="方正黑体_GBK" w:cs="Times New Roman"/>
          <w:b w:val="0"/>
          <w:bCs/>
          <w:lang w:val="en-US" w:eastAsia="zh-CN"/>
        </w:rPr>
        <w:t>十二、</w:t>
      </w:r>
      <w:bookmarkEnd w:id="87"/>
      <w:r>
        <w:rPr>
          <w:rFonts w:hint="default" w:ascii="Times New Roman" w:hAnsi="Times New Roman" w:eastAsia="方正黑体_GBK" w:cs="Times New Roman"/>
          <w:b w:val="0"/>
          <w:bCs/>
          <w:lang w:val="en-US" w:eastAsia="zh-CN"/>
        </w:rPr>
        <w:t>国有资本经营预算财政拨款支出决算表</w:t>
      </w:r>
      <w:bookmarkEnd w:id="88"/>
    </w:p>
    <w:p w14:paraId="4D532F54">
      <w:pPr>
        <w:pStyle w:val="6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lang w:val="en-US" w:eastAsia="zh-CN"/>
        </w:rPr>
      </w:pPr>
      <w:bookmarkStart w:id="89" w:name="_Toc15396631"/>
      <w:bookmarkStart w:id="90" w:name="_Toc31017"/>
      <w:r>
        <w:rPr>
          <w:rFonts w:hint="default" w:ascii="Times New Roman" w:hAnsi="Times New Roman" w:eastAsia="方正黑体_GBK" w:cs="Times New Roman"/>
          <w:b w:val="0"/>
          <w:bCs/>
          <w:lang w:val="en-US" w:eastAsia="zh-CN"/>
        </w:rPr>
        <w:t>十三、</w:t>
      </w:r>
      <w:bookmarkEnd w:id="89"/>
      <w:r>
        <w:rPr>
          <w:rFonts w:hint="default" w:ascii="Times New Roman" w:hAnsi="Times New Roman" w:eastAsia="方正黑体_GBK" w:cs="Times New Roman"/>
          <w:b w:val="0"/>
          <w:bCs/>
          <w:lang w:val="en-US" w:eastAsia="zh-CN"/>
        </w:rPr>
        <w:t>财政拨款“三公”经费支出决算表</w:t>
      </w:r>
      <w:bookmarkEnd w:id="90"/>
    </w:p>
    <w:p w14:paraId="436EF4C4">
      <w:pPr>
        <w:rPr>
          <w:rFonts w:hint="default" w:ascii="Times New Roman" w:hAnsi="Times New Roman" w:cs="Times New Roman"/>
        </w:rPr>
      </w:pPr>
    </w:p>
    <w:sectPr>
      <w:footerReference r:id="rId6" w:type="first"/>
      <w:footerReference r:id="rId5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F2376">
    <w:pPr>
      <w:pStyle w:val="11"/>
      <w:jc w:val="center"/>
    </w:pPr>
  </w:p>
  <w:p w14:paraId="6D5C7A84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2AE88">
    <w:pPr>
      <w:pStyle w:val="11"/>
      <w:jc w:val="center"/>
    </w:pPr>
  </w:p>
  <w:p w14:paraId="36A38691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30135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31100"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61C"/>
    <w:rsid w:val="000222C6"/>
    <w:rsid w:val="0002549F"/>
    <w:rsid w:val="000468DB"/>
    <w:rsid w:val="0006487A"/>
    <w:rsid w:val="00065F8F"/>
    <w:rsid w:val="00070A43"/>
    <w:rsid w:val="000768F2"/>
    <w:rsid w:val="0009184B"/>
    <w:rsid w:val="00094236"/>
    <w:rsid w:val="0009593C"/>
    <w:rsid w:val="00097322"/>
    <w:rsid w:val="000A6A92"/>
    <w:rsid w:val="000B047F"/>
    <w:rsid w:val="000B5923"/>
    <w:rsid w:val="000B5A48"/>
    <w:rsid w:val="000B6FF3"/>
    <w:rsid w:val="000C3467"/>
    <w:rsid w:val="000C3CA6"/>
    <w:rsid w:val="000D1267"/>
    <w:rsid w:val="000D1D50"/>
    <w:rsid w:val="000D5782"/>
    <w:rsid w:val="000E441E"/>
    <w:rsid w:val="000E6613"/>
    <w:rsid w:val="000E7119"/>
    <w:rsid w:val="00114E9B"/>
    <w:rsid w:val="00142216"/>
    <w:rsid w:val="00144D6A"/>
    <w:rsid w:val="0014729F"/>
    <w:rsid w:val="00157BAB"/>
    <w:rsid w:val="001654D1"/>
    <w:rsid w:val="00174518"/>
    <w:rsid w:val="0018106D"/>
    <w:rsid w:val="001877A7"/>
    <w:rsid w:val="00191536"/>
    <w:rsid w:val="00196687"/>
    <w:rsid w:val="001A43E3"/>
    <w:rsid w:val="001C0962"/>
    <w:rsid w:val="001D7531"/>
    <w:rsid w:val="001E737D"/>
    <w:rsid w:val="001F0592"/>
    <w:rsid w:val="001F7506"/>
    <w:rsid w:val="002006CD"/>
    <w:rsid w:val="00202B36"/>
    <w:rsid w:val="00204B7A"/>
    <w:rsid w:val="00204CDE"/>
    <w:rsid w:val="0021101A"/>
    <w:rsid w:val="00220536"/>
    <w:rsid w:val="00235629"/>
    <w:rsid w:val="00260C38"/>
    <w:rsid w:val="002616C0"/>
    <w:rsid w:val="00265372"/>
    <w:rsid w:val="002662AA"/>
    <w:rsid w:val="00280496"/>
    <w:rsid w:val="00294DC9"/>
    <w:rsid w:val="00295495"/>
    <w:rsid w:val="002A31DE"/>
    <w:rsid w:val="002A77D0"/>
    <w:rsid w:val="002B2613"/>
    <w:rsid w:val="002D6D05"/>
    <w:rsid w:val="002F1818"/>
    <w:rsid w:val="002F567B"/>
    <w:rsid w:val="003216A9"/>
    <w:rsid w:val="00335A74"/>
    <w:rsid w:val="0036561B"/>
    <w:rsid w:val="0037013F"/>
    <w:rsid w:val="0037413C"/>
    <w:rsid w:val="00380C92"/>
    <w:rsid w:val="003A484F"/>
    <w:rsid w:val="003A4883"/>
    <w:rsid w:val="003B0BE0"/>
    <w:rsid w:val="003B0C1B"/>
    <w:rsid w:val="003B688C"/>
    <w:rsid w:val="003C0291"/>
    <w:rsid w:val="003C39AE"/>
    <w:rsid w:val="003C7B60"/>
    <w:rsid w:val="003D0C0F"/>
    <w:rsid w:val="003D1FB2"/>
    <w:rsid w:val="003D66DA"/>
    <w:rsid w:val="003E1310"/>
    <w:rsid w:val="003E6F55"/>
    <w:rsid w:val="00406254"/>
    <w:rsid w:val="004223DE"/>
    <w:rsid w:val="00434489"/>
    <w:rsid w:val="00437085"/>
    <w:rsid w:val="00443880"/>
    <w:rsid w:val="004464F4"/>
    <w:rsid w:val="00471401"/>
    <w:rsid w:val="00473F31"/>
    <w:rsid w:val="0048263A"/>
    <w:rsid w:val="00487E5D"/>
    <w:rsid w:val="0049374F"/>
    <w:rsid w:val="004A711F"/>
    <w:rsid w:val="004B199D"/>
    <w:rsid w:val="004B4690"/>
    <w:rsid w:val="004E0A2D"/>
    <w:rsid w:val="004E206B"/>
    <w:rsid w:val="004E383C"/>
    <w:rsid w:val="004E6DF7"/>
    <w:rsid w:val="004F0FBD"/>
    <w:rsid w:val="00505A47"/>
    <w:rsid w:val="00512FDA"/>
    <w:rsid w:val="00520DA0"/>
    <w:rsid w:val="005664BB"/>
    <w:rsid w:val="00566FFA"/>
    <w:rsid w:val="0057481D"/>
    <w:rsid w:val="005817F3"/>
    <w:rsid w:val="0058486E"/>
    <w:rsid w:val="00585B33"/>
    <w:rsid w:val="0059014D"/>
    <w:rsid w:val="005B5C64"/>
    <w:rsid w:val="005C5337"/>
    <w:rsid w:val="005C6BD0"/>
    <w:rsid w:val="005D1C8B"/>
    <w:rsid w:val="005D468D"/>
    <w:rsid w:val="005D5CED"/>
    <w:rsid w:val="005F1A4C"/>
    <w:rsid w:val="00605688"/>
    <w:rsid w:val="006070AF"/>
    <w:rsid w:val="00607712"/>
    <w:rsid w:val="00607E6C"/>
    <w:rsid w:val="006101B1"/>
    <w:rsid w:val="00614E44"/>
    <w:rsid w:val="0062270A"/>
    <w:rsid w:val="00622830"/>
    <w:rsid w:val="00623DA0"/>
    <w:rsid w:val="00630AEF"/>
    <w:rsid w:val="006325F8"/>
    <w:rsid w:val="00633463"/>
    <w:rsid w:val="00634C9A"/>
    <w:rsid w:val="006440E4"/>
    <w:rsid w:val="0066343B"/>
    <w:rsid w:val="00664777"/>
    <w:rsid w:val="00672AB7"/>
    <w:rsid w:val="006748A4"/>
    <w:rsid w:val="00681A31"/>
    <w:rsid w:val="00683E73"/>
    <w:rsid w:val="006A0156"/>
    <w:rsid w:val="006A3141"/>
    <w:rsid w:val="006A5E34"/>
    <w:rsid w:val="006B2422"/>
    <w:rsid w:val="006B2B9A"/>
    <w:rsid w:val="006C1937"/>
    <w:rsid w:val="006F020C"/>
    <w:rsid w:val="007127B7"/>
    <w:rsid w:val="0071798E"/>
    <w:rsid w:val="007416B6"/>
    <w:rsid w:val="00746F48"/>
    <w:rsid w:val="0075404D"/>
    <w:rsid w:val="0076182A"/>
    <w:rsid w:val="00767B7E"/>
    <w:rsid w:val="007770C3"/>
    <w:rsid w:val="00784D24"/>
    <w:rsid w:val="00785FBA"/>
    <w:rsid w:val="00786E4A"/>
    <w:rsid w:val="007875EB"/>
    <w:rsid w:val="0079426B"/>
    <w:rsid w:val="007D1682"/>
    <w:rsid w:val="007D312A"/>
    <w:rsid w:val="007D3F19"/>
    <w:rsid w:val="007E23B0"/>
    <w:rsid w:val="007E23E5"/>
    <w:rsid w:val="007F1991"/>
    <w:rsid w:val="007F2C2F"/>
    <w:rsid w:val="007F55FC"/>
    <w:rsid w:val="007F5665"/>
    <w:rsid w:val="00800112"/>
    <w:rsid w:val="00813348"/>
    <w:rsid w:val="008253BB"/>
    <w:rsid w:val="0083706E"/>
    <w:rsid w:val="008408F6"/>
    <w:rsid w:val="008423A5"/>
    <w:rsid w:val="00850625"/>
    <w:rsid w:val="00853718"/>
    <w:rsid w:val="00855221"/>
    <w:rsid w:val="00860645"/>
    <w:rsid w:val="008665E4"/>
    <w:rsid w:val="00871F71"/>
    <w:rsid w:val="00872FD8"/>
    <w:rsid w:val="00885AF4"/>
    <w:rsid w:val="008939CD"/>
    <w:rsid w:val="008B768C"/>
    <w:rsid w:val="008C4DB1"/>
    <w:rsid w:val="008C4EAF"/>
    <w:rsid w:val="008C5176"/>
    <w:rsid w:val="008C7FD0"/>
    <w:rsid w:val="008E1DE7"/>
    <w:rsid w:val="008E707C"/>
    <w:rsid w:val="008F7702"/>
    <w:rsid w:val="00900B08"/>
    <w:rsid w:val="00902155"/>
    <w:rsid w:val="00902FA3"/>
    <w:rsid w:val="00923564"/>
    <w:rsid w:val="0092392E"/>
    <w:rsid w:val="009315F9"/>
    <w:rsid w:val="00933499"/>
    <w:rsid w:val="00935C98"/>
    <w:rsid w:val="00946945"/>
    <w:rsid w:val="00951248"/>
    <w:rsid w:val="0095152F"/>
    <w:rsid w:val="00954C49"/>
    <w:rsid w:val="00955E37"/>
    <w:rsid w:val="0097099F"/>
    <w:rsid w:val="00971997"/>
    <w:rsid w:val="00971FFC"/>
    <w:rsid w:val="0098660A"/>
    <w:rsid w:val="009931C3"/>
    <w:rsid w:val="009B2C43"/>
    <w:rsid w:val="009B4EAE"/>
    <w:rsid w:val="009B7573"/>
    <w:rsid w:val="009C22F4"/>
    <w:rsid w:val="009C2A4B"/>
    <w:rsid w:val="009C2E98"/>
    <w:rsid w:val="009D3447"/>
    <w:rsid w:val="009D4711"/>
    <w:rsid w:val="009F1185"/>
    <w:rsid w:val="009F18CD"/>
    <w:rsid w:val="009F2A13"/>
    <w:rsid w:val="009F7527"/>
    <w:rsid w:val="00A04EB0"/>
    <w:rsid w:val="00A13CC1"/>
    <w:rsid w:val="00A16847"/>
    <w:rsid w:val="00A237D8"/>
    <w:rsid w:val="00A268C4"/>
    <w:rsid w:val="00A307CD"/>
    <w:rsid w:val="00A331C8"/>
    <w:rsid w:val="00A40A00"/>
    <w:rsid w:val="00A4142F"/>
    <w:rsid w:val="00A422EB"/>
    <w:rsid w:val="00A45BB7"/>
    <w:rsid w:val="00A56DF2"/>
    <w:rsid w:val="00A56E6E"/>
    <w:rsid w:val="00A67AB5"/>
    <w:rsid w:val="00A733B2"/>
    <w:rsid w:val="00A741C2"/>
    <w:rsid w:val="00A8103C"/>
    <w:rsid w:val="00A91760"/>
    <w:rsid w:val="00A93B00"/>
    <w:rsid w:val="00A93C21"/>
    <w:rsid w:val="00AB64C9"/>
    <w:rsid w:val="00AC3C6A"/>
    <w:rsid w:val="00AD5620"/>
    <w:rsid w:val="00AD656B"/>
    <w:rsid w:val="00AD7C1B"/>
    <w:rsid w:val="00AE16BA"/>
    <w:rsid w:val="00AE1EBE"/>
    <w:rsid w:val="00B03C9D"/>
    <w:rsid w:val="00B060AE"/>
    <w:rsid w:val="00B10517"/>
    <w:rsid w:val="00B130BB"/>
    <w:rsid w:val="00B14E76"/>
    <w:rsid w:val="00B161B8"/>
    <w:rsid w:val="00B2048C"/>
    <w:rsid w:val="00B310B9"/>
    <w:rsid w:val="00B35F3F"/>
    <w:rsid w:val="00B36CBB"/>
    <w:rsid w:val="00B425E0"/>
    <w:rsid w:val="00B440AA"/>
    <w:rsid w:val="00B44B70"/>
    <w:rsid w:val="00B53C56"/>
    <w:rsid w:val="00B57DAF"/>
    <w:rsid w:val="00B77EA6"/>
    <w:rsid w:val="00B81598"/>
    <w:rsid w:val="00B841F1"/>
    <w:rsid w:val="00B944D6"/>
    <w:rsid w:val="00BB4DF0"/>
    <w:rsid w:val="00BC289F"/>
    <w:rsid w:val="00BC2D50"/>
    <w:rsid w:val="00BC5361"/>
    <w:rsid w:val="00BC5460"/>
    <w:rsid w:val="00BC6B50"/>
    <w:rsid w:val="00BD0E25"/>
    <w:rsid w:val="00BF5BD6"/>
    <w:rsid w:val="00C03E31"/>
    <w:rsid w:val="00C33E72"/>
    <w:rsid w:val="00C354B2"/>
    <w:rsid w:val="00C35554"/>
    <w:rsid w:val="00C42709"/>
    <w:rsid w:val="00C533CC"/>
    <w:rsid w:val="00C5751C"/>
    <w:rsid w:val="00C61BFC"/>
    <w:rsid w:val="00C62B85"/>
    <w:rsid w:val="00C65438"/>
    <w:rsid w:val="00C87FD8"/>
    <w:rsid w:val="00C91381"/>
    <w:rsid w:val="00C91CBB"/>
    <w:rsid w:val="00CB4E70"/>
    <w:rsid w:val="00CC09B6"/>
    <w:rsid w:val="00CC666F"/>
    <w:rsid w:val="00CD1E3F"/>
    <w:rsid w:val="00CE44F6"/>
    <w:rsid w:val="00CE49DA"/>
    <w:rsid w:val="00CE7B61"/>
    <w:rsid w:val="00D00095"/>
    <w:rsid w:val="00D114F0"/>
    <w:rsid w:val="00D20620"/>
    <w:rsid w:val="00D254F7"/>
    <w:rsid w:val="00D26091"/>
    <w:rsid w:val="00D2685C"/>
    <w:rsid w:val="00D34E7C"/>
    <w:rsid w:val="00D35489"/>
    <w:rsid w:val="00D36AFE"/>
    <w:rsid w:val="00D51276"/>
    <w:rsid w:val="00D7035F"/>
    <w:rsid w:val="00D929DB"/>
    <w:rsid w:val="00DA634F"/>
    <w:rsid w:val="00DA65AC"/>
    <w:rsid w:val="00DB1913"/>
    <w:rsid w:val="00DC410D"/>
    <w:rsid w:val="00DC5A81"/>
    <w:rsid w:val="00DC68CA"/>
    <w:rsid w:val="00DC7CBA"/>
    <w:rsid w:val="00DD73B7"/>
    <w:rsid w:val="00DF28BC"/>
    <w:rsid w:val="00DF34B9"/>
    <w:rsid w:val="00E01053"/>
    <w:rsid w:val="00E07ACF"/>
    <w:rsid w:val="00E331A1"/>
    <w:rsid w:val="00E33202"/>
    <w:rsid w:val="00E336A9"/>
    <w:rsid w:val="00E472B1"/>
    <w:rsid w:val="00E50624"/>
    <w:rsid w:val="00E54633"/>
    <w:rsid w:val="00E568DF"/>
    <w:rsid w:val="00E64269"/>
    <w:rsid w:val="00E82267"/>
    <w:rsid w:val="00E853CE"/>
    <w:rsid w:val="00E867B6"/>
    <w:rsid w:val="00EA010F"/>
    <w:rsid w:val="00ED1B63"/>
    <w:rsid w:val="00ED3C1F"/>
    <w:rsid w:val="00ED4085"/>
    <w:rsid w:val="00ED420E"/>
    <w:rsid w:val="00ED6FBE"/>
    <w:rsid w:val="00EE2F57"/>
    <w:rsid w:val="00EF4C34"/>
    <w:rsid w:val="00EF77C6"/>
    <w:rsid w:val="00F05438"/>
    <w:rsid w:val="00F1361C"/>
    <w:rsid w:val="00F156F0"/>
    <w:rsid w:val="00F160C7"/>
    <w:rsid w:val="00F2408F"/>
    <w:rsid w:val="00F240E9"/>
    <w:rsid w:val="00F36D8F"/>
    <w:rsid w:val="00F417B1"/>
    <w:rsid w:val="00F45853"/>
    <w:rsid w:val="00F602DF"/>
    <w:rsid w:val="00F754A1"/>
    <w:rsid w:val="00F81FD9"/>
    <w:rsid w:val="00F841AA"/>
    <w:rsid w:val="00F84A94"/>
    <w:rsid w:val="00F87E96"/>
    <w:rsid w:val="00FA23E8"/>
    <w:rsid w:val="00FD3CC1"/>
    <w:rsid w:val="00FF1E02"/>
    <w:rsid w:val="00FF30B4"/>
    <w:rsid w:val="012A5EC2"/>
    <w:rsid w:val="015975B8"/>
    <w:rsid w:val="02FEBE30"/>
    <w:rsid w:val="04916F1E"/>
    <w:rsid w:val="04A46CA4"/>
    <w:rsid w:val="05D37841"/>
    <w:rsid w:val="061E35DE"/>
    <w:rsid w:val="066E0107"/>
    <w:rsid w:val="07996F6E"/>
    <w:rsid w:val="07DFD8BA"/>
    <w:rsid w:val="084C38DA"/>
    <w:rsid w:val="09867E8F"/>
    <w:rsid w:val="0A2032A3"/>
    <w:rsid w:val="0CA8290A"/>
    <w:rsid w:val="0D35B1ED"/>
    <w:rsid w:val="0E254B6B"/>
    <w:rsid w:val="0F98263C"/>
    <w:rsid w:val="101860EC"/>
    <w:rsid w:val="101F47CC"/>
    <w:rsid w:val="10C055FF"/>
    <w:rsid w:val="11694EBD"/>
    <w:rsid w:val="11772AA4"/>
    <w:rsid w:val="118107EC"/>
    <w:rsid w:val="12E24EE2"/>
    <w:rsid w:val="13D50BC4"/>
    <w:rsid w:val="14B17F78"/>
    <w:rsid w:val="165E0673"/>
    <w:rsid w:val="16B831D5"/>
    <w:rsid w:val="16BB723D"/>
    <w:rsid w:val="17E50567"/>
    <w:rsid w:val="18532FFB"/>
    <w:rsid w:val="186504BB"/>
    <w:rsid w:val="198B3B37"/>
    <w:rsid w:val="19A445FC"/>
    <w:rsid w:val="1BE8440E"/>
    <w:rsid w:val="1C2A3ADB"/>
    <w:rsid w:val="1CC6347C"/>
    <w:rsid w:val="1D155CEE"/>
    <w:rsid w:val="1D1638FE"/>
    <w:rsid w:val="1DB25B36"/>
    <w:rsid w:val="1E312DEB"/>
    <w:rsid w:val="1E740ACF"/>
    <w:rsid w:val="1FF35744"/>
    <w:rsid w:val="1FF6BC77"/>
    <w:rsid w:val="2186353C"/>
    <w:rsid w:val="227E692E"/>
    <w:rsid w:val="22A1482E"/>
    <w:rsid w:val="234B6811"/>
    <w:rsid w:val="23860B96"/>
    <w:rsid w:val="23A11215"/>
    <w:rsid w:val="23BC7CED"/>
    <w:rsid w:val="240371BF"/>
    <w:rsid w:val="244F3473"/>
    <w:rsid w:val="24C97D99"/>
    <w:rsid w:val="25A718F0"/>
    <w:rsid w:val="25BB59F6"/>
    <w:rsid w:val="260F557C"/>
    <w:rsid w:val="26970054"/>
    <w:rsid w:val="281408E2"/>
    <w:rsid w:val="28273093"/>
    <w:rsid w:val="29FD04D3"/>
    <w:rsid w:val="2A7A5C2D"/>
    <w:rsid w:val="2BE47802"/>
    <w:rsid w:val="2BFF7BC6"/>
    <w:rsid w:val="2C8A61B5"/>
    <w:rsid w:val="2D5262DB"/>
    <w:rsid w:val="2DE25E5D"/>
    <w:rsid w:val="2DF04E50"/>
    <w:rsid w:val="2E586DFA"/>
    <w:rsid w:val="2F040D46"/>
    <w:rsid w:val="2F6B035B"/>
    <w:rsid w:val="2FAE5751"/>
    <w:rsid w:val="2FB1A395"/>
    <w:rsid w:val="2FD9A7D8"/>
    <w:rsid w:val="2FDBF714"/>
    <w:rsid w:val="30AB6865"/>
    <w:rsid w:val="319F7F4E"/>
    <w:rsid w:val="32BD1EF1"/>
    <w:rsid w:val="3304709D"/>
    <w:rsid w:val="33A773CB"/>
    <w:rsid w:val="341449FD"/>
    <w:rsid w:val="349D6851"/>
    <w:rsid w:val="36625BB4"/>
    <w:rsid w:val="36AA5135"/>
    <w:rsid w:val="36BE0DA7"/>
    <w:rsid w:val="376B6AA6"/>
    <w:rsid w:val="376D39B2"/>
    <w:rsid w:val="37E16F03"/>
    <w:rsid w:val="37F53A3B"/>
    <w:rsid w:val="380B41F4"/>
    <w:rsid w:val="389B6C89"/>
    <w:rsid w:val="38D469F0"/>
    <w:rsid w:val="39627CCD"/>
    <w:rsid w:val="397BAF1F"/>
    <w:rsid w:val="3A5C0EAC"/>
    <w:rsid w:val="3AB79AF3"/>
    <w:rsid w:val="3AE834C0"/>
    <w:rsid w:val="3B7EF35A"/>
    <w:rsid w:val="3B9FDB6C"/>
    <w:rsid w:val="3BF5BC2F"/>
    <w:rsid w:val="3CEBA265"/>
    <w:rsid w:val="3D98207C"/>
    <w:rsid w:val="3DEE7CF3"/>
    <w:rsid w:val="3E740A63"/>
    <w:rsid w:val="3E78745D"/>
    <w:rsid w:val="3EE17838"/>
    <w:rsid w:val="3F2F6B8F"/>
    <w:rsid w:val="3F55381A"/>
    <w:rsid w:val="3F7F7599"/>
    <w:rsid w:val="3FF4CAE0"/>
    <w:rsid w:val="3FF7B227"/>
    <w:rsid w:val="424A3B7F"/>
    <w:rsid w:val="43B6787E"/>
    <w:rsid w:val="43E539D6"/>
    <w:rsid w:val="44E268DA"/>
    <w:rsid w:val="450D13D7"/>
    <w:rsid w:val="45506656"/>
    <w:rsid w:val="46F129FD"/>
    <w:rsid w:val="47CF38C5"/>
    <w:rsid w:val="486A6C7A"/>
    <w:rsid w:val="4A253068"/>
    <w:rsid w:val="4A627F82"/>
    <w:rsid w:val="4B0E749A"/>
    <w:rsid w:val="4B2477C4"/>
    <w:rsid w:val="4B4F25DA"/>
    <w:rsid w:val="4BE068DB"/>
    <w:rsid w:val="4BE34F89"/>
    <w:rsid w:val="4D577224"/>
    <w:rsid w:val="4DBF1CEB"/>
    <w:rsid w:val="4DF0007C"/>
    <w:rsid w:val="4EAB630A"/>
    <w:rsid w:val="4ECE2238"/>
    <w:rsid w:val="4F833267"/>
    <w:rsid w:val="4FE9BD67"/>
    <w:rsid w:val="4FFB052F"/>
    <w:rsid w:val="50265D8C"/>
    <w:rsid w:val="50D13F4A"/>
    <w:rsid w:val="51303F7A"/>
    <w:rsid w:val="537E6D0A"/>
    <w:rsid w:val="53F74C96"/>
    <w:rsid w:val="55170BA8"/>
    <w:rsid w:val="553218C9"/>
    <w:rsid w:val="55F67FAE"/>
    <w:rsid w:val="567E1AA5"/>
    <w:rsid w:val="56E47B74"/>
    <w:rsid w:val="57175D52"/>
    <w:rsid w:val="57BD3DD4"/>
    <w:rsid w:val="59D71626"/>
    <w:rsid w:val="59E146C5"/>
    <w:rsid w:val="5AF92295"/>
    <w:rsid w:val="5B250254"/>
    <w:rsid w:val="5BDD79E6"/>
    <w:rsid w:val="5BEC60DC"/>
    <w:rsid w:val="5BF561CA"/>
    <w:rsid w:val="5BFF5DFC"/>
    <w:rsid w:val="5CD71FC4"/>
    <w:rsid w:val="5D1F11B5"/>
    <w:rsid w:val="5D695134"/>
    <w:rsid w:val="5DAE1B18"/>
    <w:rsid w:val="5DE7D9E5"/>
    <w:rsid w:val="5ECEC941"/>
    <w:rsid w:val="5FBF9FF3"/>
    <w:rsid w:val="5FCD4E2C"/>
    <w:rsid w:val="5FEF394A"/>
    <w:rsid w:val="5FF67715"/>
    <w:rsid w:val="601D606A"/>
    <w:rsid w:val="60B847DE"/>
    <w:rsid w:val="62BF3928"/>
    <w:rsid w:val="63B3701E"/>
    <w:rsid w:val="647F5392"/>
    <w:rsid w:val="65E66580"/>
    <w:rsid w:val="664B1D71"/>
    <w:rsid w:val="664B4E8E"/>
    <w:rsid w:val="67277B67"/>
    <w:rsid w:val="67AA3209"/>
    <w:rsid w:val="698D0931"/>
    <w:rsid w:val="6A1B7B8C"/>
    <w:rsid w:val="6A7FE5F3"/>
    <w:rsid w:val="6B053271"/>
    <w:rsid w:val="6BDD78B3"/>
    <w:rsid w:val="6C4A05C8"/>
    <w:rsid w:val="6C5648C6"/>
    <w:rsid w:val="6C603B35"/>
    <w:rsid w:val="6C8742B8"/>
    <w:rsid w:val="6CE131BE"/>
    <w:rsid w:val="6DBF5E93"/>
    <w:rsid w:val="6DFF077E"/>
    <w:rsid w:val="6E714EF0"/>
    <w:rsid w:val="6E7E3605"/>
    <w:rsid w:val="6E7FDCC7"/>
    <w:rsid w:val="6ED6A62E"/>
    <w:rsid w:val="6EE00B15"/>
    <w:rsid w:val="6F6FB3EB"/>
    <w:rsid w:val="6F8731EA"/>
    <w:rsid w:val="6FCE6052"/>
    <w:rsid w:val="6FD57C00"/>
    <w:rsid w:val="6FEFFFD8"/>
    <w:rsid w:val="6FF5CC65"/>
    <w:rsid w:val="6FFB47EC"/>
    <w:rsid w:val="6FFF034A"/>
    <w:rsid w:val="70484440"/>
    <w:rsid w:val="712A28F1"/>
    <w:rsid w:val="715C0E4B"/>
    <w:rsid w:val="71992E7C"/>
    <w:rsid w:val="720B7A21"/>
    <w:rsid w:val="72233669"/>
    <w:rsid w:val="72734D90"/>
    <w:rsid w:val="73160E6D"/>
    <w:rsid w:val="7332FE48"/>
    <w:rsid w:val="73AB61DA"/>
    <w:rsid w:val="73AD73D5"/>
    <w:rsid w:val="73B6EB34"/>
    <w:rsid w:val="73FA497D"/>
    <w:rsid w:val="744731E5"/>
    <w:rsid w:val="74BBD01D"/>
    <w:rsid w:val="74ED5379"/>
    <w:rsid w:val="75483F70"/>
    <w:rsid w:val="75DEEEC2"/>
    <w:rsid w:val="75E32345"/>
    <w:rsid w:val="76E3355F"/>
    <w:rsid w:val="76E47C83"/>
    <w:rsid w:val="76FF5125"/>
    <w:rsid w:val="776F6FFA"/>
    <w:rsid w:val="778769C8"/>
    <w:rsid w:val="77A75DCA"/>
    <w:rsid w:val="77DC22F5"/>
    <w:rsid w:val="783E271A"/>
    <w:rsid w:val="78616DE9"/>
    <w:rsid w:val="78E875D7"/>
    <w:rsid w:val="79086DAD"/>
    <w:rsid w:val="79731F5E"/>
    <w:rsid w:val="79D7FD79"/>
    <w:rsid w:val="79EE5BA4"/>
    <w:rsid w:val="79FE72AE"/>
    <w:rsid w:val="7A415409"/>
    <w:rsid w:val="7A894339"/>
    <w:rsid w:val="7AD284E8"/>
    <w:rsid w:val="7AFF7572"/>
    <w:rsid w:val="7B6C7DFB"/>
    <w:rsid w:val="7BBFBED0"/>
    <w:rsid w:val="7BC3E394"/>
    <w:rsid w:val="7C1F3737"/>
    <w:rsid w:val="7CBFC87B"/>
    <w:rsid w:val="7CFE0F48"/>
    <w:rsid w:val="7D272ABC"/>
    <w:rsid w:val="7D7EC23E"/>
    <w:rsid w:val="7DD413E6"/>
    <w:rsid w:val="7E8ADEBF"/>
    <w:rsid w:val="7EEF11D3"/>
    <w:rsid w:val="7EFE4840"/>
    <w:rsid w:val="7F0971A6"/>
    <w:rsid w:val="7F1D62E7"/>
    <w:rsid w:val="7F3F679B"/>
    <w:rsid w:val="7F4FC4EF"/>
    <w:rsid w:val="7F5E4D54"/>
    <w:rsid w:val="7F6E0135"/>
    <w:rsid w:val="7F79F205"/>
    <w:rsid w:val="7FA30C79"/>
    <w:rsid w:val="7FA79C44"/>
    <w:rsid w:val="7FAF8ABF"/>
    <w:rsid w:val="7FB7269E"/>
    <w:rsid w:val="7FC96657"/>
    <w:rsid w:val="7FDA9588"/>
    <w:rsid w:val="7FDF220F"/>
    <w:rsid w:val="7FEDC5F7"/>
    <w:rsid w:val="7FEDD9DE"/>
    <w:rsid w:val="7FF5890D"/>
    <w:rsid w:val="7FF93490"/>
    <w:rsid w:val="99FF2014"/>
    <w:rsid w:val="A6DD0D7F"/>
    <w:rsid w:val="ACFF4FBB"/>
    <w:rsid w:val="ADC6F725"/>
    <w:rsid w:val="B7CF06AB"/>
    <w:rsid w:val="B7CFA926"/>
    <w:rsid w:val="B7F8786B"/>
    <w:rsid w:val="BABB6AA1"/>
    <w:rsid w:val="BB2F4199"/>
    <w:rsid w:val="BCFFB442"/>
    <w:rsid w:val="BD079C78"/>
    <w:rsid w:val="BD733540"/>
    <w:rsid w:val="BF3735D5"/>
    <w:rsid w:val="BF7F09AC"/>
    <w:rsid w:val="BFD475C3"/>
    <w:rsid w:val="BFDE5EA6"/>
    <w:rsid w:val="CF6FC6F3"/>
    <w:rsid w:val="CFD3D3D7"/>
    <w:rsid w:val="CFDF1009"/>
    <w:rsid w:val="D7D7B16A"/>
    <w:rsid w:val="D8D6DB89"/>
    <w:rsid w:val="DB6F4CAB"/>
    <w:rsid w:val="DB777682"/>
    <w:rsid w:val="DD1FB521"/>
    <w:rsid w:val="DEFBFEAE"/>
    <w:rsid w:val="DF1F3B80"/>
    <w:rsid w:val="DF6F9789"/>
    <w:rsid w:val="DFE9BE81"/>
    <w:rsid w:val="DFFFA9E8"/>
    <w:rsid w:val="E5F4E9DC"/>
    <w:rsid w:val="E70FE695"/>
    <w:rsid w:val="EB2E368B"/>
    <w:rsid w:val="ECFED1BC"/>
    <w:rsid w:val="ED1D69BB"/>
    <w:rsid w:val="ED7FD312"/>
    <w:rsid w:val="EF2E1AC6"/>
    <w:rsid w:val="EF53993F"/>
    <w:rsid w:val="EF6FD633"/>
    <w:rsid w:val="EFBFB2F4"/>
    <w:rsid w:val="EFBFFA21"/>
    <w:rsid w:val="F2BEBCB8"/>
    <w:rsid w:val="F36FB518"/>
    <w:rsid w:val="F3DE1A04"/>
    <w:rsid w:val="F3F722E5"/>
    <w:rsid w:val="F4FBCD07"/>
    <w:rsid w:val="FA5F1E70"/>
    <w:rsid w:val="FA5FDB97"/>
    <w:rsid w:val="FB7F486A"/>
    <w:rsid w:val="FBFF5B2E"/>
    <w:rsid w:val="FD7FFE2B"/>
    <w:rsid w:val="FDEE196B"/>
    <w:rsid w:val="FDFE6575"/>
    <w:rsid w:val="FEDFDDC2"/>
    <w:rsid w:val="FEED32F6"/>
    <w:rsid w:val="FEF781DD"/>
    <w:rsid w:val="FF3F7E3F"/>
    <w:rsid w:val="FFBA12D7"/>
    <w:rsid w:val="FFCBD314"/>
    <w:rsid w:val="FFDFF91C"/>
    <w:rsid w:val="FFDFFAEE"/>
    <w:rsid w:val="FFEF6777"/>
    <w:rsid w:val="FFF9B57B"/>
    <w:rsid w:val="FFFD61D9"/>
    <w:rsid w:val="FFFD8F59"/>
    <w:rsid w:val="FFFF2BB1"/>
    <w:rsid w:val="FFFFB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link w:val="2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7">
    <w:name w:val="heading 3"/>
    <w:basedOn w:val="1"/>
    <w:next w:val="1"/>
    <w:link w:val="3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3"/>
    <w:qFormat/>
    <w:uiPriority w:val="0"/>
    <w:pPr>
      <w:spacing w:after="120"/>
      <w:ind w:left="200" w:leftChars="200"/>
    </w:pPr>
    <w:rPr>
      <w:rFonts w:ascii="仿宋_GB2312"/>
      <w:szCs w:val="32"/>
    </w:rPr>
  </w:style>
  <w:style w:type="paragraph" w:styleId="8">
    <w:name w:val="Body Text"/>
    <w:basedOn w:val="1"/>
    <w:link w:val="25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styleId="9">
    <w:name w:val="toc 3"/>
    <w:basedOn w:val="1"/>
    <w:next w:val="1"/>
    <w:unhideWhenUsed/>
    <w:qFormat/>
    <w:uiPriority w:val="39"/>
    <w:pPr>
      <w:tabs>
        <w:tab w:val="right" w:leader="dot" w:pos="8296"/>
      </w:tabs>
      <w:ind w:left="840" w:leftChars="400"/>
    </w:pPr>
  </w:style>
  <w:style w:type="paragraph" w:styleId="10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12">
    <w:name w:val="header"/>
    <w:basedOn w:val="1"/>
    <w:link w:val="2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93"/>
      <w:jc w:val="center"/>
    </w:pPr>
    <w:rPr>
      <w:rFonts w:ascii="仿宋" w:hAnsi="仿宋" w:eastAsia="仿宋"/>
      <w:sz w:val="28"/>
      <w:szCs w:val="28"/>
    </w:rPr>
  </w:style>
  <w:style w:type="paragraph" w:styleId="14">
    <w:name w:val="toc 2"/>
    <w:basedOn w:val="1"/>
    <w:next w:val="1"/>
    <w:unhideWhenUsed/>
    <w:qFormat/>
    <w:uiPriority w:val="39"/>
    <w:pPr>
      <w:tabs>
        <w:tab w:val="right" w:leader="dot" w:pos="8296"/>
      </w:tabs>
      <w:ind w:left="420" w:leftChars="200"/>
    </w:pPr>
  </w:style>
  <w:style w:type="character" w:styleId="17">
    <w:name w:val="Strong"/>
    <w:basedOn w:val="16"/>
    <w:qFormat/>
    <w:uiPriority w:val="99"/>
    <w:rPr>
      <w:b/>
    </w:rPr>
  </w:style>
  <w:style w:type="character" w:styleId="18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9">
    <w:name w:val="标题 5（有编号）（绿盟科技）"/>
    <w:next w:val="1"/>
    <w:qFormat/>
    <w:uiPriority w:val="99"/>
    <w:pPr>
      <w:keepNext/>
      <w:keepLines/>
      <w:widowControl w:val="0"/>
      <w:spacing w:before="280" w:after="156" w:line="377" w:lineRule="auto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  <w:style w:type="character" w:customStyle="1" w:styleId="20">
    <w:name w:val="Header Char"/>
    <w:basedOn w:val="16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1">
    <w:name w:val="页眉 Char"/>
    <w:link w:val="12"/>
    <w:semiHidden/>
    <w:qFormat/>
    <w:locked/>
    <w:uiPriority w:val="99"/>
    <w:rPr>
      <w:sz w:val="18"/>
    </w:rPr>
  </w:style>
  <w:style w:type="character" w:customStyle="1" w:styleId="22">
    <w:name w:val="Footer Char"/>
    <w:basedOn w:val="16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3">
    <w:name w:val="页脚 Char"/>
    <w:link w:val="11"/>
    <w:qFormat/>
    <w:locked/>
    <w:uiPriority w:val="99"/>
    <w:rPr>
      <w:sz w:val="18"/>
    </w:rPr>
  </w:style>
  <w:style w:type="character" w:customStyle="1" w:styleId="24">
    <w:name w:val="Body Text Char"/>
    <w:basedOn w:val="16"/>
    <w:semiHidden/>
    <w:qFormat/>
    <w:uiPriority w:val="99"/>
    <w:rPr>
      <w:rFonts w:ascii="Times New Roman" w:hAnsi="Times New Roman"/>
      <w:szCs w:val="24"/>
    </w:rPr>
  </w:style>
  <w:style w:type="character" w:customStyle="1" w:styleId="25">
    <w:name w:val="正文文本 Char"/>
    <w:link w:val="8"/>
    <w:qFormat/>
    <w:locked/>
    <w:uiPriority w:val="99"/>
    <w:rPr>
      <w:rFonts w:ascii="仿宋_GB2312" w:hAnsi="Times New Roman" w:eastAsia="仿宋_GB2312"/>
      <w:sz w:val="24"/>
    </w:rPr>
  </w:style>
  <w:style w:type="paragraph" w:customStyle="1" w:styleId="2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标题 1 Char"/>
    <w:basedOn w:val="16"/>
    <w:link w:val="5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29">
    <w:name w:val="标题 2 Char"/>
    <w:basedOn w:val="16"/>
    <w:link w:val="6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30">
    <w:name w:val="TOC 标题1"/>
    <w:basedOn w:val="5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1">
    <w:name w:val="批注框文本 Char"/>
    <w:basedOn w:val="16"/>
    <w:link w:val="10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2">
    <w:name w:val="标题 3 Char"/>
    <w:basedOn w:val="16"/>
    <w:link w:val="7"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paragraph" w:customStyle="1" w:styleId="33">
    <w:name w:val="TOC 标题2"/>
    <w:basedOn w:val="5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34">
    <w:name w:val="四号正文"/>
    <w:basedOn w:val="1"/>
    <w:qFormat/>
    <w:uiPriority w:val="0"/>
    <w:pPr>
      <w:spacing w:line="360" w:lineRule="auto"/>
    </w:pPr>
    <w:rPr>
      <w:rFonts w:ascii="??" w:hAnsi="??"/>
      <w:color w:val="000000"/>
      <w:kern w:val="0"/>
      <w:sz w:val="28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2.xml"/><Relationship Id="rId8" Type="http://schemas.openxmlformats.org/officeDocument/2006/relationships/chart" Target="charts/chart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hart" Target="charts/chart7.xml"/><Relationship Id="rId13" Type="http://schemas.openxmlformats.org/officeDocument/2006/relationships/chart" Target="charts/chart6.xml"/><Relationship Id="rId12" Type="http://schemas.openxmlformats.org/officeDocument/2006/relationships/chart" Target="charts/chart5.xml"/><Relationship Id="rId11" Type="http://schemas.openxmlformats.org/officeDocument/2006/relationships/chart" Target="charts/chart4.xml"/><Relationship Id="rId10" Type="http://schemas.openxmlformats.org/officeDocument/2006/relationships/chart" Target="charts/chart3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5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package" Target="../embeddings/Workbook6.xlsx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package" Target="../embeddings/Workbook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32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320"/>
              <a:t>单位（万元）</a:t>
            </a:r>
            <a:endParaRPr sz="1320"/>
          </a:p>
        </c:rich>
      </c:tx>
      <c:layout>
        <c:manualLayout>
          <c:xMode val="edge"/>
          <c:yMode val="edge"/>
          <c:x val="0.766972698719497"/>
          <c:y val="0.0282617934551636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收入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2024年度</c:v>
                </c:pt>
                <c:pt idx="1">
                  <c:v>2023年度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5.69</c:v>
                </c:pt>
                <c:pt idx="1">
                  <c:v>20.43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支出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2024年度</c:v>
                </c:pt>
                <c:pt idx="1">
                  <c:v>2023年度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5.69</c:v>
                </c:pt>
                <c:pt idx="1">
                  <c:v>20.43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447119775"/>
        <c:axId val="504333757"/>
      </c:barChart>
      <c:catAx>
        <c:axId val="447119775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4333757"/>
        <c:crosses val="autoZero"/>
        <c:auto val="1"/>
        <c:lblAlgn val="ctr"/>
        <c:lblOffset val="100"/>
        <c:noMultiLvlLbl val="0"/>
      </c:catAx>
      <c:valAx>
        <c:axId val="504333757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471197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5a52a9d-75cf-410f-9dfe-0ee476c0c3b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100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32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2024年度收入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一般公共预算财政拨款收入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5.69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1f03116-69f4-4d16-b37b-37d08ee0480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100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2024年度支出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</c:f>
              <c:strCache>
                <c:ptCount val="1"/>
                <c:pt idx="0">
                  <c:v>基本支出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5.69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40b1660-8ddf-4249-99cc-7de435e284d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32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320"/>
              <a:t>单位（万元）</a:t>
            </a:r>
            <a:endParaRPr sz="1320"/>
          </a:p>
        </c:rich>
      </c:tx>
      <c:layout>
        <c:manualLayout>
          <c:xMode val="edge"/>
          <c:yMode val="edge"/>
          <c:x val="0.795119594104856"/>
          <c:y val="0.051848703782405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财政拨款收入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2024年</c:v>
                </c:pt>
                <c:pt idx="1">
                  <c:v>2023年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5.69</c:v>
                </c:pt>
                <c:pt idx="1">
                  <c:v>20.43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财政拨款支出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2024年</c:v>
                </c:pt>
                <c:pt idx="1">
                  <c:v>2023年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5.69</c:v>
                </c:pt>
                <c:pt idx="1">
                  <c:v>20.43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952333700"/>
        <c:axId val="88547367"/>
      </c:barChart>
      <c:catAx>
        <c:axId val="95233370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8547367"/>
        <c:crosses val="autoZero"/>
        <c:auto val="1"/>
        <c:lblAlgn val="ctr"/>
        <c:lblOffset val="100"/>
        <c:noMultiLvlLbl val="0"/>
      </c:catAx>
      <c:valAx>
        <c:axId val="88547367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523337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7c47f6a-49c0-4f31-8664-563e09f6a8b1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100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752468594966092"/>
          <c:y val="0.0123839009287926"/>
        </c:manualLayout>
      </c:layout>
      <c:overlay val="0"/>
      <c:txPr>
        <a:bodyPr rot="0" spcFirstLastPara="0" vertOverflow="ellipsis" vert="horz" wrap="square" anchor="ctr" anchorCtr="1"/>
        <a:lstStyle/>
        <a:p>
          <a:pPr algn="r">
            <a:defRPr lang="zh-CN" sz="10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单位：万元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Sheet1!$A$2:$A$3</c:f>
              <c:strCache>
                <c:ptCount val="2"/>
                <c:pt idx="0">
                  <c:v>2023年</c:v>
                </c:pt>
                <c:pt idx="1">
                  <c:v>2022年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20.43</c:v>
                </c:pt>
                <c:pt idx="1">
                  <c:v>10.53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7797760"/>
        <c:axId val="178012544"/>
      </c:barChart>
      <c:catAx>
        <c:axId val="17779776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78012544"/>
        <c:crosses val="autoZero"/>
        <c:auto val="1"/>
        <c:lblAlgn val="ctr"/>
        <c:lblOffset val="100"/>
        <c:noMultiLvlLbl val="0"/>
      </c:catAx>
      <c:valAx>
        <c:axId val="1780125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77797760"/>
        <c:crosses val="autoZero"/>
        <c:crossBetween val="between"/>
      </c:valAx>
    </c:plotArea>
    <c:plotVisOnly val="1"/>
    <c:dispBlanksAs val="gap"/>
    <c:showDLblsOverMax val="0"/>
    <c:extLst>
      <c:ext uri="{0b15fc19-7d7d-44ad-8c2d-2c3a37ce22c3}">
        <chartProps xmlns="https://web.wps.cn/et/2018/main" chartId="{fa740e97-4965-4a2c-846f-f856ddf68252}"/>
      </c:ext>
    </c:extLst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32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320"/>
              <a:t>单位（万元）</a:t>
            </a:r>
            <a:endParaRPr sz="1320"/>
          </a:p>
        </c:rich>
      </c:tx>
      <c:layout>
        <c:manualLayout>
          <c:xMode val="edge"/>
          <c:yMode val="edge"/>
          <c:x val="0.760932592413626"/>
          <c:y val="0.0227369315767106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一般公共预算财政拨款支出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2024年</c:v>
                </c:pt>
                <c:pt idx="1">
                  <c:v>2023年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5.69</c:v>
                </c:pt>
                <c:pt idx="1">
                  <c:v>20.43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一般公共预算财政拨款支出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2024年</c:v>
                </c:pt>
                <c:pt idx="1">
                  <c:v>2023年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5.69</c:v>
                </c:pt>
                <c:pt idx="1">
                  <c:v>20.43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872150659"/>
        <c:axId val="285368251"/>
      </c:barChart>
      <c:catAx>
        <c:axId val="87215065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5368251"/>
        <c:crosses val="autoZero"/>
        <c:auto val="1"/>
        <c:lblAlgn val="ctr"/>
        <c:lblOffset val="100"/>
        <c:noMultiLvlLbl val="0"/>
      </c:catAx>
      <c:valAx>
        <c:axId val="285368251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721506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26dd9449-1a44-4a4b-9808-02a7586e32d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100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一般公共预算财政拨款支出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教育支出</c:v>
                </c:pt>
                <c:pt idx="1">
                  <c:v>住房保障支出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0.2</c:v>
                </c:pt>
                <c:pt idx="1">
                  <c:v>5.49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6d5b30c-8b72-4f12-8f68-6ea436ed44b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四川省财政厅</Company>
  <Pages>15</Pages>
  <Words>2834</Words>
  <Characters>3076</Characters>
  <Lines>44</Lines>
  <Paragraphs>12</Paragraphs>
  <TotalTime>1</TotalTime>
  <ScaleCrop>false</ScaleCrop>
  <LinksUpToDate>false</LinksUpToDate>
  <CharactersWithSpaces>3090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2020-08-09T09:49:00Z</dcterms:created>
  <dc:creator>曹颖</dc:creator>
  <cp:lastModifiedBy>阿淇</cp:lastModifiedBy>
  <cp:lastPrinted>2025-10-10T03:06:00Z</cp:lastPrinted>
  <dcterms:modified xsi:type="dcterms:W3CDTF">2025-10-28T07:46:20Z</dcterms:modified>
  <dc:title>四川省***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2BC485B145EC4C89AC3B6C4AEDEAA27D_13</vt:lpwstr>
  </property>
  <property fmtid="{D5CDD505-2E9C-101B-9397-08002B2CF9AE}" pid="4" name="KSOTemplateDocerSaveRecord">
    <vt:lpwstr>eyJoZGlkIjoiOGI1MTY4OTk2MzU4ZjdhYmQwMDg0OWY0ZTk2N2ZkOTAiLCJ1c2VySWQiOiI2NjE3NzA3MDEifQ==</vt:lpwstr>
  </property>
</Properties>
</file>