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06267"/>
      <w:bookmarkStart w:id="1" w:name="_Toc15377425"/>
      <w:bookmarkStart w:id="2" w:name="_Toc15378441"/>
      <w:bookmarkStart w:id="3" w:name="_Toc15396597"/>
      <w:bookmarkStart w:id="4" w:name="_Toc15396475"/>
      <w:bookmarkStart w:id="5" w:name="_Toc15377193"/>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ascii="Times New Roman" w:eastAsia="方正小标宋简体"/>
          <w:kern w:val="2"/>
          <w:sz w:val="48"/>
          <w:szCs w:val="48"/>
        </w:rPr>
      </w:pPr>
      <w:r>
        <w:rPr>
          <w:rFonts w:ascii="Times New Roman" w:eastAsia="方正小标宋简体"/>
          <w:kern w:val="2"/>
          <w:sz w:val="48"/>
          <w:szCs w:val="48"/>
        </w:rPr>
        <w:t>2024年度</w:t>
      </w:r>
    </w:p>
    <w:p>
      <w:pPr>
        <w:pStyle w:val="2"/>
        <w:spacing w:before="93"/>
        <w:jc w:val="center"/>
        <w:rPr>
          <w:rFonts w:ascii="Times New Roman" w:eastAsia="方正小标宋简体"/>
          <w:kern w:val="2"/>
          <w:sz w:val="48"/>
          <w:szCs w:val="48"/>
        </w:rPr>
      </w:pPr>
      <w:r>
        <w:rPr>
          <w:rFonts w:ascii="Times New Roman" w:eastAsia="方正小标宋简体"/>
          <w:kern w:val="2"/>
          <w:sz w:val="48"/>
          <w:szCs w:val="48"/>
        </w:rPr>
        <w:t>盐边县温泉彝族乡中心学校单位决算</w:t>
      </w:r>
    </w:p>
    <w:p>
      <w:pPr>
        <w:pStyle w:val="2"/>
        <w:spacing w:before="93"/>
        <w:jc w:val="center"/>
        <w:rPr>
          <w:rFonts w:ascii="Times New Roman" w:eastAsia="方正小标宋简体"/>
          <w:kern w:val="2"/>
          <w:sz w:val="48"/>
          <w:szCs w:val="48"/>
        </w:rPr>
      </w:pPr>
      <w:r>
        <w:rPr>
          <w:rFonts w:ascii="Times New Roman" w:eastAsia="方正小标宋简体"/>
          <w:kern w:val="2"/>
          <w:sz w:val="48"/>
          <w:szCs w:val="48"/>
        </w:rPr>
        <w:t>公开</w:t>
      </w:r>
    </w:p>
    <w:p>
      <w:pPr>
        <w:spacing w:line="600" w:lineRule="exact"/>
        <w:jc w:val="center"/>
        <w:outlineLvl w:val="0"/>
        <w:rPr>
          <w:rFonts w:eastAsia="方正小标宋简体"/>
          <w:sz w:val="72"/>
          <w:szCs w:val="72"/>
        </w:rPr>
      </w:pPr>
    </w:p>
    <w:p/>
    <w:p>
      <w:p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eastAsia="黑体"/>
          <w:sz w:val="28"/>
          <w:szCs w:val="28"/>
        </w:rPr>
      </w:pPr>
      <w:r>
        <w:rPr>
          <w:rFonts w:eastAsia="黑体"/>
          <w:sz w:val="48"/>
          <w:szCs w:val="48"/>
        </w:rPr>
        <w:t>目录</w:t>
      </w:r>
    </w:p>
    <w:p>
      <w:pPr>
        <w:pStyle w:val="12"/>
        <w:rPr>
          <w:rFonts w:ascii="Times New Roman" w:hAnsi="Times New Roman" w:eastAsia="仿宋_GB2312"/>
        </w:rPr>
      </w:pPr>
      <w:r>
        <w:rPr>
          <w:rFonts w:ascii="Times New Roman" w:hAnsi="Times New Roman" w:eastAsia="仿宋_GB2312"/>
        </w:rPr>
        <w:t>公开时间：2024年10月28日</w:t>
      </w:r>
    </w:p>
    <w:sdt>
      <w:sdtPr>
        <w:rPr>
          <w:rFonts w:ascii="宋体" w:hAnsi="宋体" w:eastAsia="宋体" w:cs="Times New Roman"/>
          <w:kern w:val="2"/>
          <w:sz w:val="21"/>
          <w:szCs w:val="24"/>
          <w:lang w:val="en-US" w:eastAsia="zh-CN" w:bidi="ar-SA"/>
        </w:rPr>
        <w:id w:val="147470377"/>
        <w:docPartObj>
          <w:docPartGallery w:val="Table of Contents"/>
          <w:docPartUnique/>
        </w:docPartObj>
      </w:sdtPr>
      <w:sdtEndPr>
        <w:rPr>
          <w:rFonts w:hint="eastAsia" w:ascii="黑体" w:hAnsi="黑体" w:eastAsia="黑体" w:cs="黑体"/>
          <w:sz w:val="21"/>
          <w:szCs w:val="21"/>
        </w:rPr>
      </w:sdtEndPr>
      <w:sdtContent>
        <w:p>
          <w:pPr>
            <w:spacing w:before="0" w:beforeLines="0" w:after="0" w:afterLines="0" w:line="240" w:lineRule="auto"/>
            <w:ind w:left="0" w:leftChars="0" w:right="0" w:rightChars="0" w:firstLine="0" w:firstLineChars="0"/>
            <w:jc w:val="center"/>
          </w:pPr>
          <w:bookmarkStart w:id="6" w:name="_Toc25429"/>
          <w:bookmarkStart w:id="209" w:name="_GoBack"/>
          <w:bookmarkEnd w:id="209"/>
          <w:bookmarkStart w:id="7" w:name="_Toc24481_WPSOffice_Type2"/>
        </w:p>
        <w:p>
          <w:pPr>
            <w:pStyle w:val="35"/>
            <w:tabs>
              <w:tab w:val="right" w:leader="dot" w:pos="8844"/>
            </w:tabs>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sz w:val="28"/>
              <w:szCs w:val="28"/>
            </w:rPr>
            <w:instrText xml:space="preserve"> HYPERLINK \l _Toc19085_WPSOffice_Level1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kern w:val="2"/>
                <w:sz w:val="28"/>
                <w:szCs w:val="28"/>
                <w:lang w:val="en-US" w:eastAsia="zh-CN" w:bidi="ar-SA"/>
              </w:rPr>
              <w:id w:val="147470377"/>
              <w:placeholder>
                <w:docPart w:val="{dc09258f-efc1-49b5-a1e8-95773a6b6cf3}"/>
              </w:placeholder>
            </w:sdtPr>
            <w:sdtEndPr>
              <w:rPr>
                <w:rFonts w:hint="eastAsia" w:ascii="方正小标宋_GBK" w:hAnsi="方正小标宋_GBK" w:eastAsia="方正小标宋_GBK" w:cs="方正小标宋_GBK"/>
                <w:b/>
                <w:bCs/>
                <w:kern w:val="2"/>
                <w:sz w:val="28"/>
                <w:szCs w:val="28"/>
                <w:lang w:val="en-US" w:eastAsia="zh-CN" w:bidi="ar-SA"/>
              </w:rPr>
            </w:sdtEndPr>
            <w:sdtContent>
              <w:r>
                <w:rPr>
                  <w:rFonts w:hint="eastAsia" w:ascii="方正小标宋_GBK" w:hAnsi="方正小标宋_GBK" w:eastAsia="方正小标宋_GBK" w:cs="方正小标宋_GBK"/>
                  <w:b/>
                  <w:bCs/>
                  <w:sz w:val="28"/>
                  <w:szCs w:val="28"/>
                </w:rPr>
                <w:t>第一部分  单位概况</w:t>
              </w:r>
            </w:sdtContent>
          </w:sdt>
          <w:r>
            <w:rPr>
              <w:rFonts w:hint="eastAsia" w:ascii="方正小标宋_GBK" w:hAnsi="方正小标宋_GBK" w:eastAsia="方正小标宋_GBK" w:cs="方正小标宋_GBK"/>
              <w:b/>
              <w:bCs/>
              <w:sz w:val="28"/>
              <w:szCs w:val="28"/>
            </w:rPr>
            <w:tab/>
          </w:r>
          <w:bookmarkStart w:id="8" w:name="_Toc19085_WPSOffice_Level1Page"/>
          <w:r>
            <w:rPr>
              <w:rFonts w:hint="eastAsia" w:ascii="方正小标宋_GBK" w:hAnsi="方正小标宋_GBK" w:eastAsia="方正小标宋_GBK" w:cs="方正小标宋_GBK"/>
              <w:b/>
              <w:bCs/>
              <w:sz w:val="28"/>
              <w:szCs w:val="28"/>
            </w:rPr>
            <w:t>1</w:t>
          </w:r>
          <w:bookmarkEnd w:id="8"/>
          <w:r>
            <w:rPr>
              <w:rFonts w:hint="eastAsia" w:ascii="方正小标宋_GBK" w:hAnsi="方正小标宋_GBK" w:eastAsia="方正小标宋_GBK" w:cs="方正小标宋_GBK"/>
              <w:b/>
              <w:bCs/>
              <w:sz w:val="28"/>
              <w:szCs w:val="28"/>
            </w:rPr>
            <w:fldChar w:fldCharType="end"/>
          </w:r>
        </w:p>
        <w:p>
          <w:pPr>
            <w:pStyle w:val="36"/>
            <w:tabs>
              <w:tab w:val="right" w:leader="dot" w:pos="8844"/>
            </w:tabs>
          </w:pPr>
          <w:r>
            <w:rPr>
              <w:sz w:val="21"/>
              <w:szCs w:val="21"/>
            </w:rPr>
            <w:fldChar w:fldCharType="begin"/>
          </w:r>
          <w:r>
            <w:rPr>
              <w:sz w:val="21"/>
              <w:szCs w:val="21"/>
            </w:rPr>
            <w:instrText xml:space="preserve"> HYPERLINK \l _Toc24481_WPSOffice_Level2 </w:instrText>
          </w:r>
          <w:r>
            <w:rPr>
              <w:sz w:val="21"/>
              <w:szCs w:val="21"/>
            </w:rPr>
            <w:fldChar w:fldCharType="separate"/>
          </w:r>
          <w:sdt>
            <w:sdtPr>
              <w:rPr>
                <w:rFonts w:ascii="仿宋" w:hAnsi="仿宋" w:eastAsia="仿宋" w:cs="Times New Roman"/>
                <w:kern w:val="2"/>
                <w:sz w:val="21"/>
                <w:szCs w:val="21"/>
                <w:lang w:val="en-US" w:eastAsia="zh-CN" w:bidi="ar-SA"/>
              </w:rPr>
              <w:id w:val="147470377"/>
              <w:placeholder>
                <w:docPart w:val="{1228542d-efa4-4064-b71d-eeffc5811012}"/>
              </w:placeholder>
            </w:sdtPr>
            <w:sdtEndPr>
              <w:rPr>
                <w:rFonts w:hint="eastAsia" w:ascii="黑体" w:hAnsi="黑体" w:eastAsia="黑体" w:cs="黑体"/>
                <w:kern w:val="2"/>
                <w:sz w:val="21"/>
                <w:szCs w:val="21"/>
                <w:lang w:val="en-US" w:eastAsia="zh-CN" w:bidi="ar-SA"/>
              </w:rPr>
            </w:sdtEndPr>
            <w:sdtContent>
              <w:r>
                <w:rPr>
                  <w:rFonts w:hint="eastAsia" w:ascii="黑体" w:hAnsi="黑体" w:eastAsia="黑体" w:cs="黑体"/>
                  <w:sz w:val="21"/>
                  <w:szCs w:val="21"/>
                </w:rPr>
                <w:t>一、 主要职责</w:t>
              </w:r>
            </w:sdtContent>
          </w:sdt>
          <w:r>
            <w:rPr>
              <w:rFonts w:hint="eastAsia" w:ascii="黑体" w:hAnsi="黑体" w:eastAsia="黑体" w:cs="黑体"/>
              <w:sz w:val="21"/>
              <w:szCs w:val="21"/>
            </w:rPr>
            <w:tab/>
          </w:r>
          <w:bookmarkStart w:id="9" w:name="_Toc24481_WPSOffice_Level2Page"/>
          <w:r>
            <w:rPr>
              <w:rFonts w:hint="eastAsia" w:ascii="黑体" w:hAnsi="黑体" w:eastAsia="黑体" w:cs="黑体"/>
              <w:sz w:val="21"/>
              <w:szCs w:val="21"/>
            </w:rPr>
            <w:t>1</w:t>
          </w:r>
          <w:bookmarkEnd w:id="9"/>
          <w:r>
            <w:rPr>
              <w:sz w:val="21"/>
              <w:szCs w:val="21"/>
            </w:rPr>
            <w:fldChar w:fldCharType="end"/>
          </w:r>
        </w:p>
        <w:p>
          <w:pPr>
            <w:pStyle w:val="36"/>
            <w:tabs>
              <w:tab w:val="right" w:leader="dot" w:pos="8844"/>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_Toc32519_WPSOffice_Level2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2c027a03-4cac-499a-9c16-a4fdd3258358}"/>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 机构设置</w:t>
              </w:r>
            </w:sdtContent>
          </w:sdt>
          <w:r>
            <w:rPr>
              <w:rFonts w:hint="eastAsia" w:ascii="黑体" w:hAnsi="黑体" w:eastAsia="黑体" w:cs="黑体"/>
              <w:sz w:val="21"/>
              <w:szCs w:val="21"/>
            </w:rPr>
            <w:tab/>
          </w:r>
          <w:bookmarkStart w:id="10" w:name="_Toc32519_WPSOffice_Level2Page"/>
          <w:r>
            <w:rPr>
              <w:rFonts w:hint="eastAsia" w:ascii="黑体" w:hAnsi="黑体" w:eastAsia="黑体" w:cs="黑体"/>
              <w:sz w:val="21"/>
              <w:szCs w:val="21"/>
            </w:rPr>
            <w:t>1</w:t>
          </w:r>
          <w:bookmarkEnd w:id="10"/>
          <w:r>
            <w:rPr>
              <w:rFonts w:hint="eastAsia" w:ascii="黑体" w:hAnsi="黑体" w:eastAsia="黑体" w:cs="黑体"/>
              <w:sz w:val="21"/>
              <w:szCs w:val="21"/>
            </w:rPr>
            <w:fldChar w:fldCharType="end"/>
          </w:r>
        </w:p>
        <w:p>
          <w:pPr>
            <w:pStyle w:val="35"/>
            <w:tabs>
              <w:tab w:val="right" w:leader="dot" w:pos="8844"/>
            </w:tabs>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_Toc24481_WPSOffice_Level1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70377"/>
              <w:placeholder>
                <w:docPart w:val="{943c46fd-8d0a-45b2-9c86-a86eea079622}"/>
              </w:placeholder>
            </w:sdtPr>
            <w:sdtEndPr>
              <w:rPr>
                <w:rFonts w:hint="eastAsia"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第二部分  2024年度单位决算情况说明</w:t>
              </w:r>
            </w:sdtContent>
          </w:sdt>
          <w:r>
            <w:rPr>
              <w:rFonts w:hint="eastAsia" w:ascii="方正小标宋_GBK" w:hAnsi="方正小标宋_GBK" w:eastAsia="方正小标宋_GBK" w:cs="方正小标宋_GBK"/>
              <w:b/>
              <w:bCs/>
              <w:sz w:val="28"/>
              <w:szCs w:val="28"/>
            </w:rPr>
            <w:tab/>
          </w:r>
          <w:bookmarkStart w:id="11" w:name="_Toc24481_WPSOffice_Level1Page"/>
          <w:r>
            <w:rPr>
              <w:rFonts w:hint="eastAsia" w:ascii="方正小标宋_GBK" w:hAnsi="方正小标宋_GBK" w:eastAsia="方正小标宋_GBK" w:cs="方正小标宋_GBK"/>
              <w:b/>
              <w:bCs/>
              <w:sz w:val="28"/>
              <w:szCs w:val="28"/>
            </w:rPr>
            <w:t>2</w:t>
          </w:r>
          <w:bookmarkEnd w:id="11"/>
          <w:r>
            <w:rPr>
              <w:rFonts w:hint="eastAsia" w:ascii="方正小标宋_GBK" w:hAnsi="方正小标宋_GBK" w:eastAsia="方正小标宋_GBK" w:cs="方正小标宋_GBK"/>
              <w:b/>
              <w:bCs/>
              <w:sz w:val="28"/>
              <w:szCs w:val="28"/>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_Toc8565_WPSOffice_Level2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71a7c88f-7a66-40d1-8998-ba7347a74608}"/>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一、收入支出决算总体情况说明</w:t>
              </w:r>
            </w:sdtContent>
          </w:sdt>
          <w:r>
            <w:rPr>
              <w:rFonts w:hint="eastAsia" w:ascii="黑体" w:hAnsi="黑体" w:eastAsia="黑体" w:cs="黑体"/>
              <w:sz w:val="21"/>
              <w:szCs w:val="21"/>
            </w:rPr>
            <w:tab/>
          </w:r>
          <w:bookmarkStart w:id="12" w:name="_Toc8565_WPSOffice_Level2Page"/>
          <w:r>
            <w:rPr>
              <w:rFonts w:hint="eastAsia" w:ascii="黑体" w:hAnsi="黑体" w:eastAsia="黑体" w:cs="黑体"/>
              <w:sz w:val="21"/>
              <w:szCs w:val="21"/>
            </w:rPr>
            <w:t>2</w:t>
          </w:r>
          <w:bookmarkEnd w:id="12"/>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_Toc15739_WPSOffice_Level2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662c1652-414f-494b-849c-81506a5ec9e4}"/>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二、收入决算情况说明</w:t>
              </w:r>
            </w:sdtContent>
          </w:sdt>
          <w:r>
            <w:rPr>
              <w:rFonts w:hint="eastAsia" w:ascii="黑体" w:hAnsi="黑体" w:eastAsia="黑体" w:cs="黑体"/>
              <w:sz w:val="21"/>
              <w:szCs w:val="21"/>
            </w:rPr>
            <w:tab/>
          </w:r>
          <w:bookmarkStart w:id="13" w:name="_Toc15739_WPSOffice_Level2Page"/>
          <w:r>
            <w:rPr>
              <w:rFonts w:hint="eastAsia" w:ascii="黑体" w:hAnsi="黑体" w:eastAsia="黑体" w:cs="黑体"/>
              <w:sz w:val="21"/>
              <w:szCs w:val="21"/>
            </w:rPr>
            <w:t>2</w:t>
          </w:r>
          <w:bookmarkEnd w:id="13"/>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_Toc4070_WPSOffice_Level2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5818e1ac-21b3-4d79-b9e3-2f791604d768}"/>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三、支出决算情况说明</w:t>
              </w:r>
            </w:sdtContent>
          </w:sdt>
          <w:r>
            <w:rPr>
              <w:rFonts w:hint="eastAsia" w:ascii="黑体" w:hAnsi="黑体" w:eastAsia="黑体" w:cs="黑体"/>
              <w:sz w:val="21"/>
              <w:szCs w:val="21"/>
            </w:rPr>
            <w:tab/>
          </w:r>
          <w:bookmarkStart w:id="14" w:name="_Toc4070_WPSOffice_Level2Page"/>
          <w:r>
            <w:rPr>
              <w:rFonts w:hint="eastAsia" w:ascii="黑体" w:hAnsi="黑体" w:eastAsia="黑体" w:cs="黑体"/>
              <w:sz w:val="21"/>
              <w:szCs w:val="21"/>
            </w:rPr>
            <w:t>3</w:t>
          </w:r>
          <w:bookmarkEnd w:id="14"/>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_Toc21474_WPSOffice_Level2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dd79d482-8a95-4c08-802b-193cefe14af5}"/>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四、财政拨款收入支出决算总体情况说明</w:t>
              </w:r>
            </w:sdtContent>
          </w:sdt>
          <w:r>
            <w:rPr>
              <w:rFonts w:hint="eastAsia" w:ascii="黑体" w:hAnsi="黑体" w:eastAsia="黑体" w:cs="黑体"/>
              <w:sz w:val="21"/>
              <w:szCs w:val="21"/>
            </w:rPr>
            <w:tab/>
          </w:r>
          <w:bookmarkStart w:id="15" w:name="_Toc21474_WPSOffice_Level2Page"/>
          <w:r>
            <w:rPr>
              <w:rFonts w:hint="eastAsia" w:ascii="黑体" w:hAnsi="黑体" w:eastAsia="黑体" w:cs="黑体"/>
              <w:sz w:val="21"/>
              <w:szCs w:val="21"/>
            </w:rPr>
            <w:t>3</w:t>
          </w:r>
          <w:bookmarkEnd w:id="15"/>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_Toc2601_WPSOffice_Level2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01b8fb6d-58e5-43be-aafd-365f0705e2ea}"/>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五、一般公共预算财政拨款支出决算情况说明</w:t>
              </w:r>
            </w:sdtContent>
          </w:sdt>
          <w:r>
            <w:rPr>
              <w:rFonts w:hint="eastAsia" w:ascii="黑体" w:hAnsi="黑体" w:eastAsia="黑体" w:cs="黑体"/>
              <w:sz w:val="21"/>
              <w:szCs w:val="21"/>
            </w:rPr>
            <w:tab/>
          </w:r>
          <w:bookmarkStart w:id="16" w:name="_Toc2601_WPSOffice_Level2Page"/>
          <w:r>
            <w:rPr>
              <w:rFonts w:hint="eastAsia" w:ascii="黑体" w:hAnsi="黑体" w:eastAsia="黑体" w:cs="黑体"/>
              <w:sz w:val="21"/>
              <w:szCs w:val="21"/>
            </w:rPr>
            <w:t>4</w:t>
          </w:r>
          <w:bookmarkEnd w:id="16"/>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_Toc1232_WPSOffice_Level2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a708a59a-6a87-42a2-a31b-58e86c819fcb}"/>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六、一般公共预算财政拨款基本支出决算情况说明</w:t>
              </w:r>
            </w:sdtContent>
          </w:sdt>
          <w:r>
            <w:rPr>
              <w:rFonts w:hint="eastAsia" w:ascii="黑体" w:hAnsi="黑体" w:eastAsia="黑体" w:cs="黑体"/>
              <w:sz w:val="21"/>
              <w:szCs w:val="21"/>
            </w:rPr>
            <w:tab/>
          </w:r>
          <w:bookmarkStart w:id="17" w:name="_Toc1232_WPSOffice_Level2Page"/>
          <w:r>
            <w:rPr>
              <w:rFonts w:hint="eastAsia" w:ascii="黑体" w:hAnsi="黑体" w:eastAsia="黑体" w:cs="黑体"/>
              <w:sz w:val="21"/>
              <w:szCs w:val="21"/>
            </w:rPr>
            <w:t>7</w:t>
          </w:r>
          <w:bookmarkEnd w:id="17"/>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_Toc4049_WPSOffice_Level2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acd25477-3437-4087-914b-bce55c98eca0}"/>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七、财政拨款“三公”经费支出决算情况说明</w:t>
              </w:r>
            </w:sdtContent>
          </w:sdt>
          <w:r>
            <w:rPr>
              <w:rFonts w:hint="eastAsia" w:ascii="黑体" w:hAnsi="黑体" w:eastAsia="黑体" w:cs="黑体"/>
              <w:sz w:val="21"/>
              <w:szCs w:val="21"/>
            </w:rPr>
            <w:tab/>
          </w:r>
          <w:bookmarkStart w:id="18" w:name="_Toc4049_WPSOffice_Level2Page"/>
          <w:r>
            <w:rPr>
              <w:rFonts w:hint="eastAsia" w:ascii="黑体" w:hAnsi="黑体" w:eastAsia="黑体" w:cs="黑体"/>
              <w:sz w:val="21"/>
              <w:szCs w:val="21"/>
            </w:rPr>
            <w:t>7</w:t>
          </w:r>
          <w:bookmarkEnd w:id="18"/>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_Toc17310_WPSOffice_Level2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b9c9df2b-8d99-4fa2-ad52-a5adbab0b9eb}"/>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八、政府性基金预算支出决算情况说明</w:t>
              </w:r>
            </w:sdtContent>
          </w:sdt>
          <w:r>
            <w:rPr>
              <w:rFonts w:hint="eastAsia" w:ascii="黑体" w:hAnsi="黑体" w:eastAsia="黑体" w:cs="黑体"/>
              <w:sz w:val="21"/>
              <w:szCs w:val="21"/>
            </w:rPr>
            <w:tab/>
          </w:r>
          <w:bookmarkStart w:id="19" w:name="_Toc17310_WPSOffice_Level2Page"/>
          <w:r>
            <w:rPr>
              <w:rFonts w:hint="eastAsia" w:ascii="黑体" w:hAnsi="黑体" w:eastAsia="黑体" w:cs="黑体"/>
              <w:sz w:val="21"/>
              <w:szCs w:val="21"/>
            </w:rPr>
            <w:t>8</w:t>
          </w:r>
          <w:bookmarkEnd w:id="19"/>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_Toc6329_WPSOffice_Level2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966d30ec-fc26-4a75-8849-3a5f413f9edc}"/>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九、国有资本经营预算支出决算情况说明</w:t>
              </w:r>
            </w:sdtContent>
          </w:sdt>
          <w:r>
            <w:rPr>
              <w:rFonts w:hint="eastAsia" w:ascii="黑体" w:hAnsi="黑体" w:eastAsia="黑体" w:cs="黑体"/>
              <w:sz w:val="21"/>
              <w:szCs w:val="21"/>
            </w:rPr>
            <w:tab/>
          </w:r>
          <w:bookmarkStart w:id="20" w:name="_Toc6329_WPSOffice_Level2Page"/>
          <w:r>
            <w:rPr>
              <w:rFonts w:hint="eastAsia" w:ascii="黑体" w:hAnsi="黑体" w:eastAsia="黑体" w:cs="黑体"/>
              <w:sz w:val="21"/>
              <w:szCs w:val="21"/>
            </w:rPr>
            <w:t>8</w:t>
          </w:r>
          <w:bookmarkEnd w:id="20"/>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_Toc15119_WPSOffice_Level2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fc2c9f9d-b565-48bd-8fb3-817f440a095f}"/>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十、其他重要事项的情况说明</w:t>
              </w:r>
            </w:sdtContent>
          </w:sdt>
          <w:r>
            <w:rPr>
              <w:rFonts w:hint="eastAsia" w:ascii="黑体" w:hAnsi="黑体" w:eastAsia="黑体" w:cs="黑体"/>
              <w:sz w:val="21"/>
              <w:szCs w:val="21"/>
            </w:rPr>
            <w:tab/>
          </w:r>
          <w:bookmarkStart w:id="21" w:name="_Toc15119_WPSOffice_Level2Page"/>
          <w:r>
            <w:rPr>
              <w:rFonts w:hint="eastAsia" w:ascii="黑体" w:hAnsi="黑体" w:eastAsia="黑体" w:cs="黑体"/>
              <w:sz w:val="21"/>
              <w:szCs w:val="21"/>
            </w:rPr>
            <w:t>8</w:t>
          </w:r>
          <w:bookmarkEnd w:id="21"/>
          <w:r>
            <w:rPr>
              <w:rFonts w:hint="eastAsia" w:ascii="黑体" w:hAnsi="黑体" w:eastAsia="黑体" w:cs="黑体"/>
              <w:sz w:val="21"/>
              <w:szCs w:val="21"/>
            </w:rPr>
            <w:fldChar w:fldCharType="end"/>
          </w:r>
        </w:p>
        <w:p>
          <w:pPr>
            <w:pStyle w:val="35"/>
            <w:tabs>
              <w:tab w:val="right" w:leader="dot" w:pos="8844"/>
            </w:tabs>
          </w:pPr>
          <w:r>
            <w:rPr>
              <w:b/>
              <w:bCs/>
            </w:rPr>
            <w:fldChar w:fldCharType="begin"/>
          </w:r>
          <w:r>
            <w:instrText xml:space="preserve"> HYPERLINK \l _Toc32519_WPSOffice_Level1 </w:instrText>
          </w:r>
          <w:r>
            <w:rPr>
              <w:b/>
              <w:bCs/>
            </w:rPr>
            <w:fldChar w:fldCharType="separate"/>
          </w:r>
          <w:sdt>
            <w:sdtPr>
              <w:rPr>
                <w:rFonts w:ascii="仿宋" w:hAnsi="仿宋" w:eastAsia="仿宋" w:cs="Times New Roman"/>
                <w:b/>
                <w:bCs/>
                <w:kern w:val="2"/>
                <w:sz w:val="28"/>
                <w:szCs w:val="28"/>
                <w:lang w:val="en-US" w:eastAsia="zh-CN" w:bidi="ar-SA"/>
              </w:rPr>
              <w:id w:val="147470377"/>
              <w:placeholder>
                <w:docPart w:val="{114c598b-9060-4b7c-960c-c957e0789ed4}"/>
              </w:placeholder>
            </w:sdtPr>
            <w:sdtEndPr>
              <w:rPr>
                <w:rFonts w:hint="default"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第三部分  名词解释</w:t>
              </w:r>
            </w:sdtContent>
          </w:sdt>
          <w:r>
            <w:rPr>
              <w:rFonts w:hint="default" w:ascii="方正小标宋_GBK" w:hAnsi="方正小标宋_GBK" w:eastAsia="方正小标宋_GBK" w:cs="方正小标宋_GBK"/>
              <w:b/>
              <w:bCs/>
              <w:sz w:val="28"/>
              <w:szCs w:val="28"/>
            </w:rPr>
            <w:tab/>
          </w:r>
          <w:bookmarkStart w:id="22" w:name="_Toc32519_WPSOffice_Level1Page"/>
          <w:r>
            <w:rPr>
              <w:rFonts w:hint="default" w:ascii="方正小标宋_GBK" w:hAnsi="方正小标宋_GBK" w:eastAsia="方正小标宋_GBK" w:cs="方正小标宋_GBK"/>
              <w:b/>
              <w:bCs/>
              <w:sz w:val="28"/>
              <w:szCs w:val="28"/>
            </w:rPr>
            <w:t>10</w:t>
          </w:r>
          <w:bookmarkEnd w:id="22"/>
          <w:r>
            <w:rPr>
              <w:b/>
              <w:bCs/>
            </w:rPr>
            <w:fldChar w:fldCharType="end"/>
          </w:r>
        </w:p>
        <w:p>
          <w:pPr>
            <w:pStyle w:val="35"/>
            <w:tabs>
              <w:tab w:val="right" w:leader="dot" w:pos="8844"/>
            </w:tabs>
          </w:pPr>
          <w:r>
            <w:rPr>
              <w:rFonts w:hint="default" w:ascii="方正小标宋_GBK" w:hAnsi="方正小标宋_GBK" w:eastAsia="方正小标宋_GBK" w:cs="方正小标宋_GBK"/>
              <w:b/>
              <w:bCs/>
              <w:sz w:val="28"/>
              <w:szCs w:val="28"/>
            </w:rPr>
            <w:fldChar w:fldCharType="begin"/>
          </w:r>
          <w:r>
            <w:rPr>
              <w:rFonts w:hint="default" w:ascii="方正小标宋_GBK" w:hAnsi="方正小标宋_GBK" w:eastAsia="方正小标宋_GBK" w:cs="方正小标宋_GBK"/>
              <w:b/>
              <w:bCs/>
              <w:sz w:val="28"/>
              <w:szCs w:val="28"/>
            </w:rPr>
            <w:instrText xml:space="preserve"> HYPERLINK \l _Toc8565_WPSOffice_Level1 </w:instrText>
          </w:r>
          <w:r>
            <w:rPr>
              <w:rFonts w:hint="default" w:ascii="方正小标宋_GBK" w:hAnsi="方正小标宋_GBK" w:eastAsia="方正小标宋_GBK" w:cs="方正小标宋_GBK"/>
              <w:b/>
              <w:bCs/>
              <w:sz w:val="28"/>
              <w:szCs w:val="28"/>
            </w:rPr>
            <w:fldChar w:fldCharType="separate"/>
          </w:r>
          <w:sdt>
            <w:sdtPr>
              <w:rPr>
                <w:rFonts w:hint="default" w:ascii="方正小标宋_GBK" w:hAnsi="方正小标宋_GBK" w:eastAsia="方正小标宋_GBK" w:cs="方正小标宋_GBK"/>
                <w:b/>
                <w:bCs/>
                <w:sz w:val="28"/>
                <w:szCs w:val="28"/>
                <w:lang w:val="en-US" w:eastAsia="zh-CN"/>
              </w:rPr>
              <w:id w:val="147470377"/>
              <w:placeholder>
                <w:docPart w:val="{954e32e8-0c93-442e-8d71-90be16c5c9bc}"/>
              </w:placeholder>
            </w:sdtPr>
            <w:sdtEndPr>
              <w:rPr>
                <w:rFonts w:hint="default"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第四部分  附件</w:t>
              </w:r>
            </w:sdtContent>
          </w:sdt>
          <w:r>
            <w:rPr>
              <w:rFonts w:hint="default" w:ascii="方正小标宋_GBK" w:hAnsi="方正小标宋_GBK" w:eastAsia="方正小标宋_GBK" w:cs="方正小标宋_GBK"/>
              <w:b/>
              <w:bCs/>
              <w:sz w:val="28"/>
              <w:szCs w:val="28"/>
            </w:rPr>
            <w:tab/>
          </w:r>
          <w:bookmarkStart w:id="23" w:name="_Toc8565_WPSOffice_Level1Page"/>
          <w:r>
            <w:rPr>
              <w:rFonts w:hint="default" w:ascii="方正小标宋_GBK" w:hAnsi="方正小标宋_GBK" w:eastAsia="方正小标宋_GBK" w:cs="方正小标宋_GBK"/>
              <w:b/>
              <w:bCs/>
              <w:sz w:val="28"/>
              <w:szCs w:val="28"/>
            </w:rPr>
            <w:t>13</w:t>
          </w:r>
          <w:bookmarkEnd w:id="23"/>
          <w:r>
            <w:rPr>
              <w:rFonts w:hint="default" w:ascii="方正小标宋_GBK" w:hAnsi="方正小标宋_GBK" w:eastAsia="方正小标宋_GBK" w:cs="方正小标宋_GBK"/>
              <w:b/>
              <w:bCs/>
              <w:sz w:val="28"/>
              <w:szCs w:val="28"/>
            </w:rPr>
            <w:fldChar w:fldCharType="end"/>
          </w:r>
        </w:p>
        <w:p>
          <w:pPr>
            <w:pStyle w:val="35"/>
            <w:tabs>
              <w:tab w:val="right" w:leader="dot" w:pos="8844"/>
            </w:tabs>
          </w:pPr>
          <w:r>
            <w:rPr>
              <w:b/>
              <w:bCs/>
            </w:rPr>
            <w:fldChar w:fldCharType="begin"/>
          </w:r>
          <w:r>
            <w:instrText xml:space="preserve"> HYPERLINK \l _Toc15739_WPSOffice_Level1 </w:instrText>
          </w:r>
          <w:r>
            <w:rPr>
              <w:b/>
              <w:bCs/>
            </w:rPr>
            <w:fldChar w:fldCharType="separate"/>
          </w:r>
          <w:sdt>
            <w:sdtPr>
              <w:rPr>
                <w:rFonts w:ascii="仿宋" w:hAnsi="仿宋" w:eastAsia="仿宋" w:cs="Times New Roman"/>
                <w:b/>
                <w:bCs/>
                <w:kern w:val="2"/>
                <w:sz w:val="28"/>
                <w:szCs w:val="28"/>
                <w:lang w:val="en-US" w:eastAsia="zh-CN" w:bidi="ar-SA"/>
              </w:rPr>
              <w:id w:val="147470377"/>
              <w:placeholder>
                <w:docPart w:val="{821fe2c0-a471-4d77-8099-f675b15bcc34}"/>
              </w:placeholder>
            </w:sdtPr>
            <w:sdtEndPr>
              <w:rPr>
                <w:rFonts w:hint="default"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第五部分 附表</w:t>
              </w:r>
            </w:sdtContent>
          </w:sdt>
          <w:r>
            <w:rPr>
              <w:rFonts w:hint="default" w:ascii="方正小标宋_GBK" w:hAnsi="方正小标宋_GBK" w:eastAsia="方正小标宋_GBK" w:cs="方正小标宋_GBK"/>
              <w:b/>
              <w:bCs/>
              <w:sz w:val="28"/>
              <w:szCs w:val="28"/>
            </w:rPr>
            <w:tab/>
          </w:r>
          <w:bookmarkStart w:id="24" w:name="_Toc15739_WPSOffice_Level1Page"/>
          <w:r>
            <w:rPr>
              <w:rFonts w:hint="default" w:ascii="方正小标宋_GBK" w:hAnsi="方正小标宋_GBK" w:eastAsia="方正小标宋_GBK" w:cs="方正小标宋_GBK"/>
              <w:b/>
              <w:bCs/>
              <w:sz w:val="28"/>
              <w:szCs w:val="28"/>
            </w:rPr>
            <w:t>14</w:t>
          </w:r>
          <w:bookmarkEnd w:id="24"/>
          <w:r>
            <w:rPr>
              <w:b/>
              <w:bCs/>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_Toc3670_WPSOffice_Level2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06c21384-f6ee-45d3-aca0-e7256ca75dd8}"/>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一、收入支出决算总表</w:t>
              </w:r>
            </w:sdtContent>
          </w:sdt>
          <w:r>
            <w:rPr>
              <w:rFonts w:hint="eastAsia" w:ascii="黑体" w:hAnsi="黑体" w:eastAsia="黑体" w:cs="黑体"/>
              <w:sz w:val="21"/>
              <w:szCs w:val="21"/>
            </w:rPr>
            <w:tab/>
          </w:r>
          <w:bookmarkStart w:id="25" w:name="_Toc3670_WPSOffice_Level2Page"/>
          <w:r>
            <w:rPr>
              <w:rFonts w:hint="eastAsia" w:ascii="黑体" w:hAnsi="黑体" w:eastAsia="黑体" w:cs="黑体"/>
              <w:sz w:val="21"/>
              <w:szCs w:val="21"/>
            </w:rPr>
            <w:t>14</w:t>
          </w:r>
          <w:bookmarkEnd w:id="25"/>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_Toc25896_WPSOffice_Level2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11a396b3-7dcb-453d-868d-77e31bced4f6}"/>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二、收入决算表</w:t>
              </w:r>
            </w:sdtContent>
          </w:sdt>
          <w:r>
            <w:rPr>
              <w:rFonts w:hint="eastAsia" w:ascii="黑体" w:hAnsi="黑体" w:eastAsia="黑体" w:cs="黑体"/>
              <w:sz w:val="21"/>
              <w:szCs w:val="21"/>
            </w:rPr>
            <w:tab/>
          </w:r>
          <w:bookmarkStart w:id="26" w:name="_Toc25896_WPSOffice_Level2Page"/>
          <w:r>
            <w:rPr>
              <w:rFonts w:hint="eastAsia" w:ascii="黑体" w:hAnsi="黑体" w:eastAsia="黑体" w:cs="黑体"/>
              <w:sz w:val="21"/>
              <w:szCs w:val="21"/>
            </w:rPr>
            <w:t>14</w:t>
          </w:r>
          <w:bookmarkEnd w:id="26"/>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_Toc20287_WPSOffice_Level2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9ae262ed-0844-40ad-8369-2a52b0a7ce92}"/>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三、支出决算表</w:t>
              </w:r>
            </w:sdtContent>
          </w:sdt>
          <w:r>
            <w:rPr>
              <w:rFonts w:hint="eastAsia" w:ascii="黑体" w:hAnsi="黑体" w:eastAsia="黑体" w:cs="黑体"/>
              <w:sz w:val="21"/>
              <w:szCs w:val="21"/>
            </w:rPr>
            <w:tab/>
          </w:r>
          <w:bookmarkStart w:id="27" w:name="_Toc20287_WPSOffice_Level2Page"/>
          <w:r>
            <w:rPr>
              <w:rFonts w:hint="eastAsia" w:ascii="黑体" w:hAnsi="黑体" w:eastAsia="黑体" w:cs="黑体"/>
              <w:sz w:val="21"/>
              <w:szCs w:val="21"/>
            </w:rPr>
            <w:t>14</w:t>
          </w:r>
          <w:bookmarkEnd w:id="27"/>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_Toc11975_WPSOffice_Level2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17542c9e-ca86-40a0-96cc-6e082ef17b1f}"/>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四、财政拨款收入支出决算总表</w:t>
              </w:r>
            </w:sdtContent>
          </w:sdt>
          <w:r>
            <w:rPr>
              <w:rFonts w:hint="eastAsia" w:ascii="黑体" w:hAnsi="黑体" w:eastAsia="黑体" w:cs="黑体"/>
              <w:sz w:val="21"/>
              <w:szCs w:val="21"/>
            </w:rPr>
            <w:tab/>
          </w:r>
          <w:bookmarkStart w:id="28" w:name="_Toc11975_WPSOffice_Level2Page"/>
          <w:r>
            <w:rPr>
              <w:rFonts w:hint="eastAsia" w:ascii="黑体" w:hAnsi="黑体" w:eastAsia="黑体" w:cs="黑体"/>
              <w:sz w:val="21"/>
              <w:szCs w:val="21"/>
            </w:rPr>
            <w:t>14</w:t>
          </w:r>
          <w:bookmarkEnd w:id="28"/>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_Toc14966_WPSOffice_Level2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0371dbb3-de33-43e3-aa8c-06172b56bdc1}"/>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五、财政拨款支出决算明细表</w:t>
              </w:r>
            </w:sdtContent>
          </w:sdt>
          <w:r>
            <w:rPr>
              <w:rFonts w:hint="eastAsia" w:ascii="黑体" w:hAnsi="黑体" w:eastAsia="黑体" w:cs="黑体"/>
              <w:sz w:val="21"/>
              <w:szCs w:val="21"/>
            </w:rPr>
            <w:tab/>
          </w:r>
          <w:bookmarkStart w:id="29" w:name="_Toc14966_WPSOffice_Level2Page"/>
          <w:r>
            <w:rPr>
              <w:rFonts w:hint="eastAsia" w:ascii="黑体" w:hAnsi="黑体" w:eastAsia="黑体" w:cs="黑体"/>
              <w:sz w:val="21"/>
              <w:szCs w:val="21"/>
            </w:rPr>
            <w:t>14</w:t>
          </w:r>
          <w:bookmarkEnd w:id="29"/>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_Toc19841_WPSOffice_Level2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31967e68-62f6-44ee-9c2e-8e568282789e}"/>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六、一般公共预算财政拨款支出决算表</w:t>
              </w:r>
            </w:sdtContent>
          </w:sdt>
          <w:r>
            <w:rPr>
              <w:rFonts w:hint="eastAsia" w:ascii="黑体" w:hAnsi="黑体" w:eastAsia="黑体" w:cs="黑体"/>
              <w:sz w:val="21"/>
              <w:szCs w:val="21"/>
            </w:rPr>
            <w:tab/>
          </w:r>
          <w:bookmarkStart w:id="30" w:name="_Toc19841_WPSOffice_Level2Page"/>
          <w:r>
            <w:rPr>
              <w:rFonts w:hint="eastAsia" w:ascii="黑体" w:hAnsi="黑体" w:eastAsia="黑体" w:cs="黑体"/>
              <w:sz w:val="21"/>
              <w:szCs w:val="21"/>
            </w:rPr>
            <w:t>14</w:t>
          </w:r>
          <w:bookmarkEnd w:id="30"/>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_Toc4941_WPSOffice_Level2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05dcb755-9cee-4b99-a5f9-64a87104d098}"/>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七、一般公共预算财政拨款支出决算明细表</w:t>
              </w:r>
            </w:sdtContent>
          </w:sdt>
          <w:r>
            <w:rPr>
              <w:rFonts w:hint="eastAsia" w:ascii="黑体" w:hAnsi="黑体" w:eastAsia="黑体" w:cs="黑体"/>
              <w:sz w:val="21"/>
              <w:szCs w:val="21"/>
            </w:rPr>
            <w:tab/>
          </w:r>
          <w:bookmarkStart w:id="31" w:name="_Toc4941_WPSOffice_Level2Page"/>
          <w:r>
            <w:rPr>
              <w:rFonts w:hint="eastAsia" w:ascii="黑体" w:hAnsi="黑体" w:eastAsia="黑体" w:cs="黑体"/>
              <w:sz w:val="21"/>
              <w:szCs w:val="21"/>
            </w:rPr>
            <w:t>14</w:t>
          </w:r>
          <w:bookmarkEnd w:id="31"/>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_Toc8595_WPSOffice_Level2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330d06a0-9a6e-48a8-bd04-355de07dc423}"/>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八、一般公共预算财政拨款基本支出决算表</w:t>
              </w:r>
            </w:sdtContent>
          </w:sdt>
          <w:r>
            <w:rPr>
              <w:rFonts w:hint="eastAsia" w:ascii="黑体" w:hAnsi="黑体" w:eastAsia="黑体" w:cs="黑体"/>
              <w:sz w:val="21"/>
              <w:szCs w:val="21"/>
            </w:rPr>
            <w:tab/>
          </w:r>
          <w:bookmarkStart w:id="32" w:name="_Toc8595_WPSOffice_Level2Page"/>
          <w:r>
            <w:rPr>
              <w:rFonts w:hint="eastAsia" w:ascii="黑体" w:hAnsi="黑体" w:eastAsia="黑体" w:cs="黑体"/>
              <w:sz w:val="21"/>
              <w:szCs w:val="21"/>
            </w:rPr>
            <w:t>14</w:t>
          </w:r>
          <w:bookmarkEnd w:id="32"/>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_Toc624_WPSOffice_Level2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901cc60f-c282-4864-a7f6-0ae2443fdc76}"/>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九、一般公共预算财政拨款项目支出决算表</w:t>
              </w:r>
            </w:sdtContent>
          </w:sdt>
          <w:r>
            <w:rPr>
              <w:rFonts w:hint="eastAsia" w:ascii="黑体" w:hAnsi="黑体" w:eastAsia="黑体" w:cs="黑体"/>
              <w:sz w:val="21"/>
              <w:szCs w:val="21"/>
            </w:rPr>
            <w:tab/>
          </w:r>
          <w:bookmarkStart w:id="33" w:name="_Toc624_WPSOffice_Level2Page"/>
          <w:r>
            <w:rPr>
              <w:rFonts w:hint="eastAsia" w:ascii="黑体" w:hAnsi="黑体" w:eastAsia="黑体" w:cs="黑体"/>
              <w:sz w:val="21"/>
              <w:szCs w:val="21"/>
            </w:rPr>
            <w:t>14</w:t>
          </w:r>
          <w:bookmarkEnd w:id="33"/>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_Toc31933_WPSOffice_Level2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65a64831-3c3a-4f7f-bc61-5fa79ad2226a}"/>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十、政府性基金预算财政拨款收入支出决算表</w:t>
              </w:r>
            </w:sdtContent>
          </w:sdt>
          <w:r>
            <w:rPr>
              <w:rFonts w:hint="eastAsia" w:ascii="黑体" w:hAnsi="黑体" w:eastAsia="黑体" w:cs="黑体"/>
              <w:sz w:val="21"/>
              <w:szCs w:val="21"/>
            </w:rPr>
            <w:tab/>
          </w:r>
          <w:bookmarkStart w:id="34" w:name="_Toc31933_WPSOffice_Level2Page"/>
          <w:r>
            <w:rPr>
              <w:rFonts w:hint="eastAsia" w:ascii="黑体" w:hAnsi="黑体" w:eastAsia="黑体" w:cs="黑体"/>
              <w:sz w:val="21"/>
              <w:szCs w:val="21"/>
            </w:rPr>
            <w:t>14</w:t>
          </w:r>
          <w:bookmarkEnd w:id="34"/>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_Toc14174_WPSOffice_Level2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a2b9e573-67eb-4aef-98cf-3cebcf82dd7f}"/>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十一、国有资本经营预算财政拨款收入支出决算表</w:t>
              </w:r>
            </w:sdtContent>
          </w:sdt>
          <w:r>
            <w:rPr>
              <w:rFonts w:hint="eastAsia" w:ascii="黑体" w:hAnsi="黑体" w:eastAsia="黑体" w:cs="黑体"/>
              <w:sz w:val="21"/>
              <w:szCs w:val="21"/>
            </w:rPr>
            <w:tab/>
          </w:r>
          <w:bookmarkStart w:id="35" w:name="_Toc14174_WPSOffice_Level2Page"/>
          <w:r>
            <w:rPr>
              <w:rFonts w:hint="eastAsia" w:ascii="黑体" w:hAnsi="黑体" w:eastAsia="黑体" w:cs="黑体"/>
              <w:sz w:val="21"/>
              <w:szCs w:val="21"/>
            </w:rPr>
            <w:t>14</w:t>
          </w:r>
          <w:bookmarkEnd w:id="35"/>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_Toc19023_WPSOffice_Level2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c80113af-0ce3-4cf4-8b38-c39a6671be51}"/>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十二、国有资本经营预算财政拨款支出决算表</w:t>
              </w:r>
            </w:sdtContent>
          </w:sdt>
          <w:r>
            <w:rPr>
              <w:rFonts w:hint="eastAsia" w:ascii="黑体" w:hAnsi="黑体" w:eastAsia="黑体" w:cs="黑体"/>
              <w:sz w:val="21"/>
              <w:szCs w:val="21"/>
            </w:rPr>
            <w:tab/>
          </w:r>
          <w:bookmarkStart w:id="36" w:name="_Toc19023_WPSOffice_Level2Page"/>
          <w:r>
            <w:rPr>
              <w:rFonts w:hint="eastAsia" w:ascii="黑体" w:hAnsi="黑体" w:eastAsia="黑体" w:cs="黑体"/>
              <w:sz w:val="21"/>
              <w:szCs w:val="21"/>
            </w:rPr>
            <w:t>14</w:t>
          </w:r>
          <w:bookmarkEnd w:id="36"/>
          <w:r>
            <w:rPr>
              <w:rFonts w:hint="eastAsia" w:ascii="黑体" w:hAnsi="黑体" w:eastAsia="黑体" w:cs="黑体"/>
              <w:sz w:val="21"/>
              <w:szCs w:val="21"/>
            </w:rPr>
            <w:fldChar w:fldCharType="end"/>
          </w:r>
        </w:p>
        <w:p>
          <w:pPr>
            <w:pStyle w:val="36"/>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_Toc19120_WPSOffice_Level2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377"/>
              <w:placeholder>
                <w:docPart w:val="{d786fba4-44b1-4280-962a-30ecff68c494}"/>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十三、财政拨款“三公”经费支出决算表</w:t>
              </w:r>
            </w:sdtContent>
          </w:sdt>
          <w:r>
            <w:rPr>
              <w:rFonts w:hint="eastAsia" w:ascii="黑体" w:hAnsi="黑体" w:eastAsia="黑体" w:cs="黑体"/>
              <w:sz w:val="21"/>
              <w:szCs w:val="21"/>
            </w:rPr>
            <w:tab/>
          </w:r>
          <w:bookmarkStart w:id="37" w:name="_Toc19120_WPSOffice_Level2Page"/>
          <w:r>
            <w:rPr>
              <w:rFonts w:hint="eastAsia" w:ascii="黑体" w:hAnsi="黑体" w:eastAsia="黑体" w:cs="黑体"/>
              <w:sz w:val="21"/>
              <w:szCs w:val="21"/>
            </w:rPr>
            <w:t>14</w:t>
          </w:r>
          <w:bookmarkEnd w:id="37"/>
          <w:r>
            <w:rPr>
              <w:rFonts w:hint="eastAsia" w:ascii="黑体" w:hAnsi="黑体" w:eastAsia="黑体" w:cs="黑体"/>
              <w:sz w:val="21"/>
              <w:szCs w:val="21"/>
            </w:rPr>
            <w:fldChar w:fldCharType="end"/>
          </w:r>
          <w:bookmarkEnd w:id="7"/>
        </w:p>
      </w:sdtContent>
    </w:sdt>
    <w:p>
      <w:pPr>
        <w:pStyle w:val="12"/>
        <w:adjustRightInd w:val="0"/>
        <w:snapToGrid w:val="0"/>
        <w:spacing w:before="0" w:line="560" w:lineRule="exact"/>
        <w:jc w:val="left"/>
        <w:rPr>
          <w:rFonts w:ascii="Times New Roman" w:hAnsi="Times New Roman"/>
        </w:rPr>
      </w:pPr>
    </w:p>
    <w:p>
      <w:pPr>
        <w:rPr>
          <w:rFonts w:eastAsia="方正小标宋简体"/>
        </w:rPr>
      </w:pPr>
    </w:p>
    <w:p>
      <w:pPr>
        <w:rPr>
          <w:rFonts w:eastAsia="方正小标宋简体"/>
        </w:rPr>
      </w:pPr>
    </w:p>
    <w:p>
      <w:pPr>
        <w:pStyle w:val="3"/>
        <w:jc w:val="center"/>
        <w:rPr>
          <w:rFonts w:eastAsia="方正小标宋简体"/>
          <w:b w:val="0"/>
        </w:rPr>
        <w:sectPr>
          <w:footerReference r:id="rId6" w:type="first"/>
          <w:footerReference r:id="rId5" w:type="default"/>
          <w:pgSz w:w="11906" w:h="16838"/>
          <w:pgMar w:top="2098" w:right="1474" w:bottom="1985" w:left="1588" w:header="851" w:footer="992" w:gutter="0"/>
          <w:pgNumType w:start="1"/>
          <w:cols w:space="425" w:num="1"/>
          <w:titlePg/>
          <w:docGrid w:type="lines" w:linePitch="312" w:charSpace="0"/>
        </w:sect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rPr>
      </w:pPr>
      <w:bookmarkStart w:id="38" w:name="_Toc3283"/>
      <w:bookmarkStart w:id="39" w:name="_Toc19085_WPSOffice_Level1"/>
      <w:r>
        <w:rPr>
          <w:rFonts w:hint="default" w:ascii="Times New Roman" w:hAnsi="Times New Roman" w:eastAsia="方正小标宋简体" w:cs="Times New Roman"/>
          <w:b w:val="0"/>
        </w:rPr>
        <w:t>第一部分  单位概况</w:t>
      </w:r>
      <w:bookmarkEnd w:id="6"/>
      <w:bookmarkEnd w:id="38"/>
      <w:bookmarkEnd w:id="39"/>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default" w:ascii="Times New Roman" w:hAnsi="Times New Roman" w:eastAsia="黑体" w:cs="Times New Roman"/>
          <w:b w:val="0"/>
          <w:bCs w:val="0"/>
        </w:rPr>
      </w:pPr>
      <w:bookmarkStart w:id="40" w:name="_Toc11260"/>
      <w:bookmarkStart w:id="41" w:name="_Toc14418"/>
      <w:bookmarkStart w:id="42" w:name="_Toc24481_WPSOffice_Level2"/>
      <w:bookmarkStart w:id="43" w:name="_Toc19016"/>
      <w:bookmarkStart w:id="44" w:name="_Toc22098"/>
      <w:r>
        <w:rPr>
          <w:rStyle w:val="29"/>
          <w:rFonts w:hint="default" w:ascii="Times New Roman" w:hAnsi="Times New Roman" w:eastAsia="黑体" w:cs="Times New Roman"/>
          <w:b w:val="0"/>
          <w:bCs w:val="0"/>
        </w:rPr>
        <w:t>主要职责</w:t>
      </w:r>
      <w:bookmarkEnd w:id="40"/>
      <w:bookmarkEnd w:id="41"/>
      <w:bookmarkEnd w:id="42"/>
    </w:p>
    <w:bookmarkEnd w:id="43"/>
    <w:bookmarkEnd w:id="44"/>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bookmarkStart w:id="45" w:name="_Toc3013"/>
      <w:bookmarkStart w:id="46" w:name="_Toc15575"/>
      <w:bookmarkStart w:id="47" w:name="_Toc15396601"/>
      <w:bookmarkStart w:id="48" w:name="_Toc15377200"/>
      <w:r>
        <w:rPr>
          <w:rFonts w:hint="default" w:ascii="Times New Roman" w:hAnsi="Times New Roman" w:eastAsia="方正仿宋_GBK" w:cs="Times New Roman"/>
          <w:color w:val="auto"/>
          <w:sz w:val="32"/>
          <w:szCs w:val="32"/>
          <w:highlight w:val="none"/>
          <w:lang w:val="en-US" w:eastAsia="zh-CN"/>
        </w:rPr>
        <w:t>实施小学义务教育工作，促进基础教育发展，小学教育等相关社会服务。</w:t>
      </w:r>
      <w:bookmarkEnd w:id="45"/>
      <w:bookmarkEnd w:id="46"/>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default" w:ascii="Times New Roman" w:hAnsi="Times New Roman" w:eastAsia="黑体" w:cs="Times New Roman"/>
          <w:b w:val="0"/>
          <w:bCs w:val="0"/>
        </w:rPr>
      </w:pPr>
      <w:bookmarkStart w:id="49" w:name="_Toc29068"/>
      <w:bookmarkStart w:id="50" w:name="_Toc25924"/>
      <w:bookmarkStart w:id="51" w:name="_Toc32519_WPSOffice_Level2"/>
      <w:r>
        <w:rPr>
          <w:rStyle w:val="29"/>
          <w:rFonts w:hint="default" w:ascii="Times New Roman" w:hAnsi="Times New Roman" w:eastAsia="黑体" w:cs="Times New Roman"/>
          <w:b w:val="0"/>
          <w:bCs w:val="0"/>
        </w:rPr>
        <w:t>机构设置</w:t>
      </w:r>
      <w:bookmarkEnd w:id="47"/>
      <w:bookmarkEnd w:id="48"/>
      <w:bookmarkEnd w:id="49"/>
      <w:bookmarkEnd w:id="50"/>
      <w:bookmarkEnd w:id="51"/>
    </w:p>
    <w:p>
      <w:pPr>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盐边县温泉彝族乡中心学校是盐边县教育和体育局下属独立核算单位。单位性质属公益一类二级预算单位，执行政府会计准则制度。</w:t>
      </w:r>
    </w:p>
    <w:p>
      <w:pPr>
        <w:pStyle w:val="2"/>
        <w:adjustRightInd w:val="0"/>
        <w:spacing w:beforeLines="0"/>
        <w:ind w:firstLine="672" w:firstLineChars="21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现学校内设教学班7个，在校学生179人，住校生82人，随班就读5人，送教上门0个。2024年末财政供养人数为：在职人员28人，副高8人，中级13人，助理6人，员级1人，退休人员7人.遗属人员5人。本科学历22人，大专学历6人。省级骨干教师0人，市级学科带头0人、市级骨干教师1人，县级学科带头0人、县级骨干教师2人。</w:t>
      </w:r>
    </w:p>
    <w:p>
      <w:pPr>
        <w:widowControl/>
        <w:jc w:val="left"/>
        <w:rPr>
          <w:rFonts w:eastAsia="仿宋"/>
          <w:kern w:val="0"/>
          <w:sz w:val="32"/>
          <w:szCs w:val="32"/>
        </w:rPr>
      </w:pPr>
      <w:r>
        <w:rPr>
          <w:rFonts w:eastAsia="仿宋"/>
          <w:sz w:val="32"/>
          <w:szCs w:val="32"/>
        </w:rPr>
        <w:br w:type="page"/>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32"/>
          <w:szCs w:val="32"/>
          <w:highlight w:val="none"/>
          <w:lang w:eastAsia="zh-CN"/>
        </w:rPr>
      </w:pPr>
      <w:bookmarkStart w:id="52" w:name="_Toc15377204"/>
      <w:bookmarkStart w:id="53" w:name="_Toc14851"/>
      <w:bookmarkStart w:id="54" w:name="_Toc15396602"/>
      <w:bookmarkStart w:id="55" w:name="_Toc18606"/>
      <w:bookmarkStart w:id="56" w:name="_Toc24481_WPSOffice_Level1"/>
      <w:r>
        <w:rPr>
          <w:rFonts w:hint="default" w:ascii="Times New Roman" w:hAnsi="Times New Roman" w:eastAsia="方正小标宋简体" w:cs="Times New Roman"/>
          <w:b w:val="0"/>
          <w:lang w:val="en-US" w:eastAsia="zh-CN"/>
        </w:rPr>
        <w:t>第二部分  2024年度单位决算情况说明</w:t>
      </w:r>
      <w:bookmarkEnd w:id="52"/>
      <w:bookmarkEnd w:id="53"/>
      <w:bookmarkEnd w:id="54"/>
      <w:bookmarkEnd w:id="55"/>
      <w:bookmarkEnd w:id="56"/>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auto"/>
          <w:sz w:val="32"/>
          <w:szCs w:val="32"/>
          <w:highlight w:val="none"/>
          <w:lang w:eastAsia="zh-CN"/>
        </w:rPr>
      </w:pPr>
      <w:bookmarkStart w:id="57" w:name="_Toc15396603"/>
      <w:bookmarkStart w:id="58" w:name="_Toc15377205"/>
      <w:bookmarkStart w:id="59" w:name="_Toc25765"/>
      <w:bookmarkStart w:id="60" w:name="_Toc32590"/>
      <w:bookmarkStart w:id="61" w:name="_Toc8565_WPSOffice_Level2"/>
      <w:r>
        <w:rPr>
          <w:rFonts w:hint="default" w:ascii="Times New Roman" w:hAnsi="Times New Roman" w:eastAsia="黑体" w:cs="Times New Roman"/>
          <w:color w:val="auto"/>
          <w:sz w:val="32"/>
          <w:szCs w:val="32"/>
          <w:highlight w:val="none"/>
          <w:lang w:eastAsia="zh-CN"/>
        </w:rPr>
        <w:t>一、收入支出决算总体情况说明</w:t>
      </w:r>
      <w:bookmarkEnd w:id="57"/>
      <w:bookmarkEnd w:id="58"/>
      <w:bookmarkEnd w:id="59"/>
      <w:bookmarkEnd w:id="60"/>
      <w:bookmarkEnd w:id="61"/>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2024年度收入、支出总计均为591.13万元。与2023年度相比，收入、支出总计各减少86.32万元，下降12.74%。主要变动原因是：编制内实有人员减少，工资性支出减少；学生人数减少，公用经费减少；项目支出减少。</w:t>
      </w:r>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图1：收入、支出决算总计变动情况图</w:t>
      </w:r>
    </w:p>
    <w:p>
      <w:pPr>
        <w:pStyle w:val="2"/>
        <w:spacing w:before="93"/>
        <w:jc w:val="center"/>
        <w:rPr>
          <w:rFonts w:ascii="Times New Roman"/>
        </w:rPr>
      </w:pPr>
      <w:r>
        <w:rPr>
          <w:rFonts w:ascii="Times New Roman"/>
        </w:rPr>
        <w:drawing>
          <wp:inline distT="0" distB="0" distL="0" distR="0">
            <wp:extent cx="4770120" cy="2887980"/>
            <wp:effectExtent l="0" t="0" r="11430" b="266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62" w:name="_Toc5126"/>
      <w:bookmarkStart w:id="63" w:name="_Toc15396604"/>
      <w:bookmarkStart w:id="64" w:name="_Toc17498"/>
      <w:bookmarkStart w:id="65" w:name="_Toc15377206"/>
      <w:bookmarkStart w:id="66" w:name="_Toc15739_WPSOffice_Level2"/>
      <w:r>
        <w:rPr>
          <w:rFonts w:hint="default" w:ascii="Times New Roman" w:hAnsi="Times New Roman" w:eastAsia="黑体" w:cs="Times New Roman"/>
          <w:color w:val="auto"/>
          <w:sz w:val="32"/>
          <w:szCs w:val="32"/>
          <w:highlight w:val="none"/>
          <w:lang w:eastAsia="zh-CN"/>
        </w:rPr>
        <w:t>二、收入决算情况说明</w:t>
      </w:r>
      <w:bookmarkEnd w:id="62"/>
      <w:bookmarkEnd w:id="63"/>
      <w:bookmarkEnd w:id="64"/>
      <w:bookmarkEnd w:id="65"/>
      <w:bookmarkEnd w:id="66"/>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bookmarkStart w:id="67" w:name="_Toc23171"/>
      <w:bookmarkStart w:id="68" w:name="_Toc860"/>
      <w:r>
        <w:rPr>
          <w:rFonts w:hint="default" w:ascii="Times New Roman" w:hAnsi="Times New Roman" w:eastAsia="方正仿宋_GBK" w:cs="Times New Roman"/>
          <w:color w:val="auto"/>
          <w:sz w:val="32"/>
          <w:szCs w:val="32"/>
          <w:highlight w:val="none"/>
          <w:lang w:eastAsia="zh-CN"/>
        </w:rPr>
        <w:t>2024年度本年收入合计591.13万元，其中：一般公共预算财政拨款收入591.13万元，占100%；政府性基金预算财政拨款收入0万元，占0%。</w:t>
      </w:r>
      <w:bookmarkEnd w:id="67"/>
      <w:bookmarkEnd w:id="68"/>
    </w:p>
    <w:p>
      <w:pPr>
        <w:pStyle w:val="2"/>
        <w:spacing w:before="93"/>
        <w:jc w:val="center"/>
        <w:rPr>
          <w:rFonts w:ascii="Times New Roman"/>
        </w:rPr>
      </w:pPr>
    </w:p>
    <w:p>
      <w:pPr>
        <w:keepNext w:val="0"/>
        <w:keepLines w:val="0"/>
        <w:pageBreakBefore w:val="0"/>
        <w:kinsoku/>
        <w:wordWrap/>
        <w:overflowPunct/>
        <w:topLinePunct w:val="0"/>
        <w:bidi w:val="0"/>
        <w:spacing w:line="240" w:lineRule="auto"/>
        <w:ind w:firstLine="640"/>
        <w:jc w:val="center"/>
        <w:textAlignment w:val="auto"/>
        <w:rPr>
          <w:rFonts w:ascii="Times New Roman"/>
        </w:rPr>
      </w:pPr>
      <w:bookmarkStart w:id="69" w:name="_Toc29990"/>
      <w:bookmarkStart w:id="70" w:name="_Toc11724"/>
      <w:r>
        <w:rPr>
          <w:rFonts w:hint="default" w:ascii="Times New Roman" w:hAnsi="Times New Roman" w:eastAsia="仿宋_GB2312" w:cs="Times New Roman"/>
          <w:color w:val="auto"/>
          <w:kern w:val="2"/>
          <w:sz w:val="24"/>
          <w:szCs w:val="24"/>
          <w:highlight w:val="none"/>
          <w:lang w:val="en-US" w:eastAsia="zh-CN" w:bidi="ar-SA"/>
        </w:rPr>
        <w:t>图2：收入决算结构图</w:t>
      </w:r>
      <w:bookmarkEnd w:id="69"/>
      <w:bookmarkEnd w:id="70"/>
    </w:p>
    <w:p>
      <w:pPr>
        <w:pStyle w:val="2"/>
        <w:spacing w:before="93"/>
        <w:jc w:val="center"/>
        <w:rPr>
          <w:rFonts w:ascii="Times New Roman"/>
        </w:rPr>
      </w:pPr>
      <w:r>
        <w:rPr>
          <w:rFonts w:ascii="Times New Roman"/>
        </w:rPr>
        <w:drawing>
          <wp:inline distT="0" distB="0" distL="0" distR="0">
            <wp:extent cx="4823460" cy="2735580"/>
            <wp:effectExtent l="0" t="0" r="15240" b="266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71" w:name="_Toc15396605"/>
      <w:bookmarkStart w:id="72" w:name="_Toc15377207"/>
      <w:bookmarkStart w:id="73" w:name="_Toc24993"/>
      <w:bookmarkStart w:id="74" w:name="_Toc30667"/>
      <w:bookmarkStart w:id="75" w:name="_Toc4070_WPSOffice_Level2"/>
      <w:r>
        <w:rPr>
          <w:rFonts w:hint="default" w:ascii="Times New Roman" w:hAnsi="Times New Roman" w:eastAsia="黑体" w:cs="Times New Roman"/>
          <w:color w:val="auto"/>
          <w:sz w:val="32"/>
          <w:szCs w:val="32"/>
          <w:highlight w:val="none"/>
          <w:lang w:eastAsia="zh-CN"/>
        </w:rPr>
        <w:t>三、支出决算情况说明</w:t>
      </w:r>
      <w:bookmarkEnd w:id="71"/>
      <w:bookmarkEnd w:id="72"/>
      <w:bookmarkEnd w:id="73"/>
      <w:bookmarkEnd w:id="74"/>
      <w:bookmarkEnd w:id="75"/>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bookmarkStart w:id="76" w:name="_Toc5952"/>
      <w:bookmarkStart w:id="77" w:name="_Toc31357"/>
      <w:r>
        <w:rPr>
          <w:rFonts w:hint="default" w:ascii="Times New Roman" w:hAnsi="Times New Roman" w:eastAsia="方正仿宋_GBK" w:cs="Times New Roman"/>
          <w:color w:val="auto"/>
          <w:sz w:val="32"/>
          <w:szCs w:val="32"/>
          <w:highlight w:val="none"/>
          <w:lang w:eastAsia="zh-CN"/>
        </w:rPr>
        <w:t>2024年度本年支出合计591.13万元，其中：基本支出589.49万元，占99.72%；项目支出1.64万元，占0.28%。</w:t>
      </w:r>
      <w:bookmarkEnd w:id="76"/>
      <w:bookmarkEnd w:id="77"/>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仿宋_GB2312" w:cs="Times New Roman"/>
          <w:color w:val="auto"/>
          <w:kern w:val="2"/>
          <w:sz w:val="24"/>
          <w:szCs w:val="24"/>
          <w:highlight w:val="none"/>
          <w:lang w:val="en-US" w:eastAsia="zh-CN" w:bidi="ar-SA"/>
        </w:rPr>
        <w:t>图3：支出决算结构图</w:t>
      </w:r>
    </w:p>
    <w:p>
      <w:pPr>
        <w:pStyle w:val="2"/>
        <w:spacing w:before="93"/>
        <w:jc w:val="center"/>
        <w:rPr>
          <w:rFonts w:ascii="Times New Roman"/>
        </w:rPr>
      </w:pPr>
      <w:r>
        <w:rPr>
          <w:rFonts w:ascii="Times New Roman"/>
        </w:rPr>
        <w:drawing>
          <wp:inline distT="0" distB="0" distL="0" distR="0">
            <wp:extent cx="4819650" cy="2851150"/>
            <wp:effectExtent l="0" t="0" r="19050" b="254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78" w:name="_Toc15396606"/>
      <w:bookmarkStart w:id="79" w:name="_Toc23157"/>
      <w:bookmarkStart w:id="80" w:name="_Toc13436"/>
      <w:bookmarkStart w:id="81" w:name="_Toc15377208"/>
      <w:bookmarkStart w:id="82" w:name="_Toc21474_WPSOffice_Level2"/>
      <w:r>
        <w:rPr>
          <w:rFonts w:hint="default" w:ascii="Times New Roman" w:hAnsi="Times New Roman" w:eastAsia="黑体" w:cs="Times New Roman"/>
          <w:color w:val="auto"/>
          <w:sz w:val="32"/>
          <w:szCs w:val="32"/>
          <w:highlight w:val="none"/>
        </w:rPr>
        <w:t>四、财政拨款收入支出决算总体情况说明</w:t>
      </w:r>
      <w:bookmarkEnd w:id="78"/>
      <w:bookmarkEnd w:id="79"/>
      <w:bookmarkEnd w:id="80"/>
      <w:bookmarkEnd w:id="81"/>
      <w:bookmarkEnd w:id="82"/>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财政拨款收入、支出总计均为591.13万元。与2023年度相比，财政拨款收入总计、支出总计各减少86.32万元，下降12.74%。主要变动原因是：编制内实有人员减少，工资性支出减少；学生人数减少，公用经费减少；项目支出减少。</w:t>
      </w:r>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仿宋_GB2312" w:cs="Times New Roman"/>
          <w:color w:val="auto"/>
          <w:kern w:val="2"/>
          <w:sz w:val="24"/>
          <w:szCs w:val="24"/>
          <w:highlight w:val="none"/>
          <w:lang w:val="en-US" w:eastAsia="zh-CN" w:bidi="ar-SA"/>
        </w:rPr>
        <w:t>图4：财政拨款收、支决算总计变动情况</w:t>
      </w:r>
    </w:p>
    <w:p>
      <w:pPr>
        <w:pStyle w:val="2"/>
        <w:spacing w:before="93"/>
        <w:jc w:val="center"/>
        <w:rPr>
          <w:rFonts w:ascii="Times New Roman"/>
        </w:rPr>
      </w:pPr>
      <w:r>
        <w:rPr>
          <w:rFonts w:ascii="Times New Roman"/>
        </w:rPr>
        <w:drawing>
          <wp:inline distT="0" distB="0" distL="0" distR="0">
            <wp:extent cx="5041900" cy="2705100"/>
            <wp:effectExtent l="0" t="0" r="2540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83" w:name="_Toc15396607"/>
      <w:bookmarkStart w:id="84" w:name="_Toc15377209"/>
      <w:bookmarkStart w:id="85" w:name="_Toc20018"/>
      <w:bookmarkStart w:id="86" w:name="_Toc10902"/>
      <w:bookmarkStart w:id="87" w:name="_Toc2601_WPSOffice_Level2"/>
      <w:r>
        <w:rPr>
          <w:rFonts w:hint="default" w:ascii="Times New Roman" w:hAnsi="Times New Roman" w:eastAsia="黑体" w:cs="Times New Roman"/>
          <w:color w:val="auto"/>
          <w:sz w:val="32"/>
          <w:szCs w:val="32"/>
          <w:highlight w:val="none"/>
        </w:rPr>
        <w:t>五、一般公共预算财政拨款支出决算情况说明</w:t>
      </w:r>
      <w:bookmarkEnd w:id="83"/>
      <w:bookmarkEnd w:id="84"/>
      <w:bookmarkEnd w:id="85"/>
      <w:bookmarkEnd w:id="86"/>
      <w:bookmarkEnd w:id="87"/>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88" w:name="_Toc15377210"/>
      <w:bookmarkStart w:id="89" w:name="_Toc12676"/>
      <w:bookmarkStart w:id="90" w:name="_Toc27071"/>
      <w:r>
        <w:rPr>
          <w:rFonts w:hint="default" w:ascii="Times New Roman" w:hAnsi="Times New Roman" w:eastAsia="楷体_GB2312" w:cs="Times New Roman"/>
          <w:b/>
          <w:color w:val="auto"/>
          <w:sz w:val="32"/>
          <w:szCs w:val="32"/>
          <w:highlight w:val="none"/>
        </w:rPr>
        <w:t>（一）一般公共预算财政拨款支出决算总体情况</w:t>
      </w:r>
      <w:bookmarkEnd w:id="88"/>
      <w:bookmarkEnd w:id="89"/>
      <w:bookmarkEnd w:id="90"/>
    </w:p>
    <w:p>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591.13万元，占本年支出合计的100%。与2023年度相比，一般公共预算财政拨款支出减少86.32万元，下降12.74%。主要变动原因是：编制内实有人员减少，工资性支出减少；学生人数减少，公用经费减少；项目支出减少。</w:t>
      </w:r>
    </w:p>
    <w:p>
      <w:pPr>
        <w:pStyle w:val="2"/>
        <w:rPr>
          <w:rFonts w:hint="default" w:ascii="Times New Roman" w:hAnsi="Times New Roman" w:eastAsia="方正仿宋_GBK" w:cs="Times New Roman"/>
          <w:color w:val="auto"/>
          <w:kern w:val="2"/>
          <w:sz w:val="32"/>
          <w:szCs w:val="32"/>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图5：一般公共预算财政拨款支出决算变动情况</w:t>
      </w:r>
    </w:p>
    <w:p>
      <w:pPr>
        <w:pStyle w:val="2"/>
        <w:spacing w:before="93"/>
        <w:jc w:val="center"/>
        <w:rPr>
          <w:rFonts w:ascii="Times New Roman"/>
        </w:rPr>
      </w:pPr>
      <w:r>
        <w:rPr>
          <w:rFonts w:ascii="Times New Roman"/>
        </w:rPr>
        <w:drawing>
          <wp:inline distT="0" distB="0" distL="0" distR="0">
            <wp:extent cx="4940300" cy="2381250"/>
            <wp:effectExtent l="0" t="0" r="1270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91" w:name="_Toc26166"/>
      <w:bookmarkStart w:id="92" w:name="_Toc15377211"/>
      <w:bookmarkStart w:id="93" w:name="_Toc8318"/>
      <w:r>
        <w:rPr>
          <w:rFonts w:hint="default" w:ascii="Times New Roman" w:hAnsi="Times New Roman" w:eastAsia="楷体_GB2312" w:cs="Times New Roman"/>
          <w:b/>
          <w:color w:val="auto"/>
          <w:sz w:val="32"/>
          <w:szCs w:val="32"/>
          <w:highlight w:val="none"/>
        </w:rPr>
        <w:t>（二）一般公共预算财政拨款支出决算结构情况</w:t>
      </w:r>
      <w:bookmarkEnd w:id="91"/>
      <w:bookmarkEnd w:id="92"/>
      <w:bookmarkEnd w:id="93"/>
    </w:p>
    <w:p>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2024年度一般公共预算财政拨款支出591.13万元，主要用于以下方面：教育支出440.13万元，占74.46%；社会保障和就业支出65.5万元，占11.08%；卫生健康支出43.76万元，占7.4%；住房保障支出41.74万元，占7.06%。</w:t>
      </w:r>
    </w:p>
    <w:p>
      <w:pPr>
        <w:keepNext w:val="0"/>
        <w:keepLines w:val="0"/>
        <w:pageBreakBefore w:val="0"/>
        <w:kinsoku/>
        <w:wordWrap/>
        <w:overflowPunct/>
        <w:topLinePunct w:val="0"/>
        <w:bidi w:val="0"/>
        <w:spacing w:line="240" w:lineRule="auto"/>
        <w:ind w:firstLine="640"/>
        <w:jc w:val="center"/>
        <w:textAlignment w:val="auto"/>
        <w:rPr>
          <w:rFonts w:hint="default"/>
          <w:lang w:val="en-US" w:eastAsia="zh-CN"/>
        </w:rPr>
      </w:pPr>
      <w:r>
        <w:rPr>
          <w:rFonts w:hint="default" w:ascii="Times New Roman" w:hAnsi="Times New Roman" w:eastAsia="仿宋_GB2312" w:cs="Times New Roman"/>
          <w:color w:val="auto"/>
          <w:kern w:val="2"/>
          <w:sz w:val="24"/>
          <w:szCs w:val="24"/>
          <w:highlight w:val="none"/>
          <w:lang w:val="en-US" w:eastAsia="zh-CN" w:bidi="ar-SA"/>
        </w:rPr>
        <w:t>图6：一般公共预算财政拨款支出决算结构</w:t>
      </w:r>
    </w:p>
    <w:p>
      <w:pPr>
        <w:pStyle w:val="2"/>
        <w:spacing w:before="93"/>
        <w:rPr>
          <w:rFonts w:ascii="Times New Roman"/>
        </w:rPr>
      </w:pPr>
      <w:r>
        <w:rPr>
          <w:rFonts w:ascii="Times New Roman"/>
        </w:rPr>
        <w:drawing>
          <wp:inline distT="0" distB="0" distL="0" distR="0">
            <wp:extent cx="5092700" cy="2451100"/>
            <wp:effectExtent l="0" t="0" r="12700" b="2540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lang w:val="en-US" w:eastAsia="zh-CN"/>
        </w:rPr>
      </w:pPr>
      <w:bookmarkStart w:id="94" w:name="_Toc15377212"/>
      <w:bookmarkStart w:id="95" w:name="_Toc10214"/>
      <w:bookmarkStart w:id="96" w:name="_Toc19250"/>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（三）一般公共预算财政拨款支出决算具体情况</w:t>
      </w:r>
      <w:bookmarkEnd w:id="94"/>
      <w:bookmarkEnd w:id="95"/>
      <w:bookmarkEnd w:id="96"/>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bookmarkStart w:id="97" w:name="_Toc15377213"/>
      <w:bookmarkStart w:id="98" w:name="_Toc15377444"/>
      <w:bookmarkStart w:id="99" w:name="_Toc15378460"/>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2024年度一般公共预算财政拨款支出决算数为591.13万元，完成预算100%。其中：</w:t>
      </w:r>
      <w:bookmarkEnd w:id="97"/>
      <w:bookmarkEnd w:id="98"/>
      <w:bookmarkEnd w:id="99"/>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1.教育支出（205类）: 支出决算为440.13万元，完成预算100%。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w:t>
      </w:r>
      <w:r>
        <w:rPr>
          <w:rFonts w:hint="default" w:ascii="Times New Roman" w:hAnsi="Times New Roman" w:eastAsia="方正仿宋_GBK" w:cs="Times New Roman"/>
          <w:color w:val="auto"/>
          <w:kern w:val="2"/>
          <w:sz w:val="32"/>
          <w:szCs w:val="32"/>
          <w:highlight w:val="none"/>
          <w:lang w:val="en-US" w:eastAsia="zh-CN" w:bidi="ar-SA"/>
        </w:rPr>
        <w:t>教育支出（205类）普通教育（02款）学前教育（01项）: 支出决算为3万元，完成预算100%。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w:t>
      </w:r>
      <w:r>
        <w:rPr>
          <w:rFonts w:hint="default" w:ascii="Times New Roman" w:hAnsi="Times New Roman" w:eastAsia="方正仿宋_GBK" w:cs="Times New Roman"/>
          <w:color w:val="auto"/>
          <w:kern w:val="2"/>
          <w:sz w:val="32"/>
          <w:szCs w:val="32"/>
          <w:highlight w:val="none"/>
          <w:lang w:val="en-US" w:eastAsia="zh-CN" w:bidi="ar-SA"/>
        </w:rPr>
        <w:t>教育支出（205类）普通教育（02款）小学教育（02项）: 支出决算为437.13万元，完成预算100%。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2.社会保障和就业支出（208类）：支出决算为65.5万元，完成预算100%。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w:t>
      </w:r>
      <w:r>
        <w:rPr>
          <w:rFonts w:hint="default" w:ascii="Times New Roman" w:hAnsi="Times New Roman" w:eastAsia="方正仿宋_GBK" w:cs="Times New Roman"/>
          <w:color w:val="auto"/>
          <w:kern w:val="2"/>
          <w:sz w:val="32"/>
          <w:szCs w:val="32"/>
          <w:highlight w:val="none"/>
          <w:lang w:val="en-US" w:eastAsia="zh-CN" w:bidi="ar-SA"/>
        </w:rPr>
        <w:t>社会保障和就业支出（208类）行政事业单位养老支出（05款）事业单位离退休（02项）: 支出决算为15.76万元，完成预算100%。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w:t>
      </w:r>
      <w:r>
        <w:rPr>
          <w:rFonts w:hint="default" w:ascii="Times New Roman" w:hAnsi="Times New Roman" w:eastAsia="方正仿宋_GBK" w:cs="Times New Roman"/>
          <w:color w:val="auto"/>
          <w:kern w:val="2"/>
          <w:sz w:val="32"/>
          <w:szCs w:val="32"/>
          <w:highlight w:val="none"/>
          <w:lang w:val="en-US" w:eastAsia="zh-CN" w:bidi="ar-SA"/>
        </w:rPr>
        <w:t>社会保障和就业支出（208类）行政事业单位养老支出（05款）机关事业单位基本养老保险缴费支出（05项）: 支出决算为49.74万元，完成预算100%。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3.卫生健康支出（210类）：支出决算为43.76万元，完成预算100%。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w:t>
      </w:r>
      <w:r>
        <w:rPr>
          <w:rFonts w:hint="default" w:ascii="Times New Roman" w:hAnsi="Times New Roman" w:eastAsia="方正仿宋_GBK" w:cs="Times New Roman"/>
          <w:color w:val="auto"/>
          <w:kern w:val="2"/>
          <w:sz w:val="32"/>
          <w:szCs w:val="32"/>
          <w:highlight w:val="none"/>
          <w:lang w:val="en-US" w:eastAsia="zh-CN" w:bidi="ar-SA"/>
        </w:rPr>
        <w:t>卫生健康支出（210类）行政事业单位医疗（11款）事业单位医疗（02项）:支出决算为26.71万元，完成预算100%。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w:t>
      </w:r>
      <w:r>
        <w:rPr>
          <w:rFonts w:hint="default" w:ascii="Times New Roman" w:hAnsi="Times New Roman" w:eastAsia="方正仿宋_GBK" w:cs="Times New Roman"/>
          <w:color w:val="auto"/>
          <w:kern w:val="2"/>
          <w:sz w:val="32"/>
          <w:szCs w:val="32"/>
          <w:highlight w:val="none"/>
          <w:lang w:val="en-US" w:eastAsia="zh-CN" w:bidi="ar-SA"/>
        </w:rPr>
        <w:t>卫生健康支出（210类）行政事业单位医疗（11款）其他行政事业单位医疗支出（99项）:支出决算为17.05万元，完成预算100%。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4.住房保障支出（221类）住房改革支出（02款）住房公积金（01项）:支出决算为41.74万元，完成预算100%。</w:t>
      </w:r>
    </w:p>
    <w:p>
      <w:pPr>
        <w:pStyle w:val="27"/>
        <w:spacing w:line="600" w:lineRule="exact"/>
        <w:ind w:firstLine="640"/>
        <w:outlineLvl w:val="1"/>
        <w:rPr>
          <w:rFonts w:hint="default" w:ascii="Times New Roman" w:hAnsi="Times New Roman" w:eastAsia="黑体" w:cs="Times New Roman"/>
          <w:color w:val="auto"/>
          <w:kern w:val="2"/>
          <w:sz w:val="32"/>
          <w:szCs w:val="32"/>
          <w:highlight w:val="none"/>
          <w:lang w:val="en-US" w:eastAsia="zh-CN" w:bidi="ar-SA"/>
        </w:rPr>
      </w:pPr>
      <w:bookmarkStart w:id="100" w:name="_Toc15377214"/>
      <w:bookmarkStart w:id="101" w:name="_Toc15396608"/>
      <w:bookmarkStart w:id="102" w:name="_Toc7002"/>
      <w:bookmarkStart w:id="103" w:name="_Toc4168"/>
      <w:bookmarkStart w:id="104" w:name="_Toc1232_WPSOffice_Level2"/>
      <w:r>
        <w:rPr>
          <w:rFonts w:hint="default" w:ascii="Times New Roman" w:hAnsi="Times New Roman" w:eastAsia="黑体" w:cs="Times New Roman"/>
          <w:color w:val="auto"/>
          <w:kern w:val="2"/>
          <w:sz w:val="32"/>
          <w:szCs w:val="32"/>
          <w:highlight w:val="none"/>
          <w:lang w:val="en-US" w:eastAsia="zh-CN" w:bidi="ar-SA"/>
        </w:rPr>
        <w:t>六、一般公共预算财政拨款基本支出决算情况说明</w:t>
      </w:r>
      <w:bookmarkEnd w:id="100"/>
      <w:bookmarkEnd w:id="101"/>
      <w:bookmarkEnd w:id="102"/>
      <w:bookmarkEnd w:id="103"/>
      <w:bookmarkEnd w:id="104"/>
      <w:r>
        <w:rPr>
          <w:rFonts w:hint="default" w:ascii="Times New Roman" w:hAnsi="Times New Roman" w:eastAsia="黑体" w:cs="Times New Roman"/>
          <w:color w:val="auto"/>
          <w:kern w:val="2"/>
          <w:sz w:val="32"/>
          <w:szCs w:val="32"/>
          <w:highlight w:val="none"/>
          <w:lang w:val="en-US" w:eastAsia="zh-CN" w:bidi="ar-SA"/>
        </w:rPr>
        <w:tab/>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2024年度一般公共预算财政拨款基本支出589.49万元，其中：</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549.4万元，主要包括：基本工资、津贴补贴、绩效工资、机关事业单位基本养老保险缴费、职业年金缴费、职工基本医疗保险缴费、其他社会保障缴费、住房公积金、医疗费、其他工资福利支出、生活补助、医疗费补助、奖励金等。</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公用经费40.1万元，主要包括：办公费、印刷费、咨询费、电费、邮电费、物业管理费、差旅费、维修（护）费、培训费、劳务费、工会经费、福利费、其他商品和服务支出等。</w:t>
      </w:r>
    </w:p>
    <w:p>
      <w:pPr>
        <w:pStyle w:val="27"/>
        <w:spacing w:line="600" w:lineRule="exact"/>
        <w:ind w:firstLine="640"/>
        <w:outlineLvl w:val="1"/>
        <w:rPr>
          <w:rFonts w:hint="default" w:ascii="Times New Roman" w:hAnsi="Times New Roman" w:eastAsia="黑体" w:cs="Times New Roman"/>
          <w:color w:val="auto"/>
          <w:kern w:val="2"/>
          <w:sz w:val="32"/>
          <w:szCs w:val="32"/>
          <w:highlight w:val="none"/>
          <w:lang w:val="en-US" w:eastAsia="zh-CN" w:bidi="ar-SA"/>
        </w:rPr>
      </w:pPr>
      <w:bookmarkStart w:id="105" w:name="_Toc5823"/>
      <w:bookmarkStart w:id="106" w:name="_Toc15396609"/>
      <w:bookmarkStart w:id="107" w:name="_Toc15377215"/>
      <w:bookmarkStart w:id="108" w:name="_Toc21640"/>
      <w:bookmarkStart w:id="109" w:name="_Toc4049_WPSOffice_Level2"/>
      <w:r>
        <w:rPr>
          <w:rFonts w:hint="default" w:ascii="Times New Roman" w:hAnsi="Times New Roman" w:eastAsia="黑体" w:cs="Times New Roman"/>
          <w:color w:val="auto"/>
          <w:kern w:val="2"/>
          <w:sz w:val="32"/>
          <w:szCs w:val="32"/>
          <w:highlight w:val="none"/>
          <w:lang w:val="en-US" w:eastAsia="zh-CN" w:bidi="ar-SA"/>
        </w:rPr>
        <w:t>七、财政拨款“三公”经费支出决算情况说明</w:t>
      </w:r>
      <w:bookmarkEnd w:id="105"/>
      <w:bookmarkEnd w:id="106"/>
      <w:bookmarkEnd w:id="107"/>
      <w:bookmarkEnd w:id="108"/>
      <w:bookmarkEnd w:id="109"/>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10" w:name="_Toc7360"/>
      <w:bookmarkStart w:id="111" w:name="_Toc15377216"/>
      <w:bookmarkStart w:id="112" w:name="_Toc11445"/>
      <w:r>
        <w:rPr>
          <w:rFonts w:hint="default" w:ascii="Times New Roman" w:hAnsi="Times New Roman" w:eastAsia="楷体_GB2312" w:cs="Times New Roman"/>
          <w:b/>
          <w:color w:val="auto"/>
          <w:sz w:val="32"/>
          <w:szCs w:val="32"/>
          <w:highlight w:val="none"/>
        </w:rPr>
        <w:t>（一）“三公”经费财政拨款支出决算总体情况说明</w:t>
      </w:r>
      <w:bookmarkEnd w:id="110"/>
      <w:bookmarkEnd w:id="111"/>
      <w:bookmarkEnd w:id="112"/>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2024年度“三公”经费财政拨款支出决算为0万元，完成预算0%。</w:t>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13" w:name="_Toc15377217"/>
      <w:bookmarkStart w:id="114" w:name="_Toc22208"/>
      <w:bookmarkStart w:id="115" w:name="_Toc30258"/>
      <w:r>
        <w:rPr>
          <w:rFonts w:hint="default" w:ascii="Times New Roman" w:hAnsi="Times New Roman" w:eastAsia="楷体_GB2312" w:cs="Times New Roman"/>
          <w:b/>
          <w:color w:val="auto"/>
          <w:sz w:val="32"/>
          <w:szCs w:val="32"/>
          <w:highlight w:val="none"/>
        </w:rPr>
        <w:t>（二）“三公”经费财政拨款支出决算具体情况说明</w:t>
      </w:r>
      <w:bookmarkEnd w:id="113"/>
      <w:bookmarkEnd w:id="114"/>
      <w:bookmarkEnd w:id="115"/>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1.因公出国（境）经费支出0万元，完成预算0%。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2.公务用车购置及运行维护费支出0万元，完成预算0%。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3.公务接待费支出0万元，完成预算0%。</w:t>
      </w:r>
      <w:bookmarkStart w:id="116" w:name="_Toc15396610"/>
      <w:bookmarkStart w:id="117" w:name="_Toc15377218"/>
    </w:p>
    <w:p>
      <w:pPr>
        <w:pStyle w:val="27"/>
        <w:spacing w:line="600" w:lineRule="exact"/>
        <w:ind w:firstLine="640"/>
        <w:outlineLvl w:val="1"/>
        <w:rPr>
          <w:rFonts w:hint="default" w:ascii="Times New Roman" w:hAnsi="Times New Roman" w:eastAsia="黑体" w:cs="Times New Roman"/>
          <w:color w:val="auto"/>
          <w:kern w:val="2"/>
          <w:sz w:val="32"/>
          <w:szCs w:val="32"/>
          <w:highlight w:val="none"/>
          <w:lang w:val="en-US" w:eastAsia="zh-CN" w:bidi="ar-SA"/>
        </w:rPr>
      </w:pPr>
      <w:bookmarkStart w:id="118" w:name="_Toc8528"/>
      <w:bookmarkStart w:id="119" w:name="_Toc26361"/>
      <w:bookmarkStart w:id="120" w:name="_Toc17310_WPSOffice_Level2"/>
      <w:r>
        <w:rPr>
          <w:rFonts w:hint="default" w:ascii="Times New Roman" w:hAnsi="Times New Roman" w:eastAsia="黑体" w:cs="Times New Roman"/>
          <w:color w:val="auto"/>
          <w:kern w:val="2"/>
          <w:sz w:val="32"/>
          <w:szCs w:val="32"/>
          <w:highlight w:val="none"/>
          <w:lang w:val="en-US" w:eastAsia="zh-CN" w:bidi="ar-SA"/>
        </w:rPr>
        <w:t>八、政府性基金预算支出决算情况说明</w:t>
      </w:r>
      <w:bookmarkEnd w:id="116"/>
      <w:bookmarkEnd w:id="117"/>
      <w:bookmarkEnd w:id="118"/>
      <w:bookmarkEnd w:id="119"/>
      <w:bookmarkEnd w:id="120"/>
    </w:p>
    <w:p>
      <w:pPr>
        <w:pStyle w:val="27"/>
        <w:spacing w:line="600" w:lineRule="exact"/>
        <w:ind w:firstLine="640"/>
        <w:outlineLvl w:val="1"/>
        <w:rPr>
          <w:rFonts w:eastAsia="仿宋_GB2312"/>
          <w:sz w:val="32"/>
          <w:szCs w:val="32"/>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2024年度政府性基金预算财政拨款支出0万元。</w:t>
      </w:r>
    </w:p>
    <w:p>
      <w:pPr>
        <w:pStyle w:val="27"/>
        <w:spacing w:line="600" w:lineRule="exact"/>
        <w:ind w:firstLine="640"/>
        <w:outlineLvl w:val="1"/>
        <w:rPr>
          <w:rFonts w:hint="default" w:ascii="Times New Roman" w:hAnsi="Times New Roman" w:eastAsia="黑体" w:cs="Times New Roman"/>
          <w:color w:val="auto"/>
          <w:kern w:val="2"/>
          <w:sz w:val="32"/>
          <w:szCs w:val="32"/>
          <w:highlight w:val="none"/>
          <w:lang w:val="en-US" w:eastAsia="zh-CN" w:bidi="ar-SA"/>
        </w:rPr>
      </w:pPr>
      <w:bookmarkStart w:id="121" w:name="_Toc19497"/>
      <w:bookmarkStart w:id="122" w:name="_Toc15396611"/>
      <w:bookmarkStart w:id="123" w:name="_Toc15377219"/>
      <w:bookmarkStart w:id="124" w:name="_Toc22802"/>
      <w:bookmarkStart w:id="125" w:name="_Toc6329_WPSOffice_Level2"/>
      <w:r>
        <w:rPr>
          <w:rFonts w:hint="default" w:ascii="Times New Roman" w:hAnsi="Times New Roman" w:eastAsia="黑体" w:cs="Times New Roman"/>
          <w:color w:val="auto"/>
          <w:kern w:val="2"/>
          <w:sz w:val="32"/>
          <w:szCs w:val="32"/>
          <w:highlight w:val="none"/>
          <w:lang w:val="en-US" w:eastAsia="zh-CN" w:bidi="ar-SA"/>
        </w:rPr>
        <w:t>九、国有资本经营预算支出决算情况说明</w:t>
      </w:r>
      <w:bookmarkEnd w:id="121"/>
      <w:bookmarkEnd w:id="122"/>
      <w:bookmarkEnd w:id="123"/>
      <w:bookmarkEnd w:id="124"/>
      <w:bookmarkEnd w:id="125"/>
    </w:p>
    <w:p>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2024年度国有资本经营预算财政拨款支出0万元。</w:t>
      </w:r>
    </w:p>
    <w:p>
      <w:pPr>
        <w:pStyle w:val="27"/>
        <w:spacing w:line="600" w:lineRule="exact"/>
        <w:ind w:firstLine="640"/>
        <w:outlineLvl w:val="1"/>
        <w:rPr>
          <w:rFonts w:hint="default" w:ascii="Times New Roman" w:hAnsi="Times New Roman" w:eastAsia="黑体" w:cs="Times New Roman"/>
          <w:color w:val="auto"/>
          <w:kern w:val="2"/>
          <w:sz w:val="32"/>
          <w:szCs w:val="32"/>
          <w:highlight w:val="none"/>
          <w:lang w:val="en-US" w:eastAsia="zh-CN" w:bidi="ar-SA"/>
        </w:rPr>
      </w:pPr>
      <w:bookmarkStart w:id="126" w:name="_Toc15923"/>
      <w:bookmarkStart w:id="127" w:name="_Toc16933"/>
      <w:bookmarkStart w:id="128" w:name="_Toc15396612"/>
      <w:bookmarkStart w:id="129" w:name="_Toc15377221"/>
      <w:bookmarkStart w:id="130" w:name="_Toc15119_WPSOffice_Level2"/>
      <w:r>
        <w:rPr>
          <w:rFonts w:hint="default" w:ascii="Times New Roman" w:hAnsi="Times New Roman" w:eastAsia="黑体" w:cs="Times New Roman"/>
          <w:color w:val="auto"/>
          <w:kern w:val="2"/>
          <w:sz w:val="32"/>
          <w:szCs w:val="32"/>
          <w:highlight w:val="none"/>
          <w:lang w:val="en-US" w:eastAsia="zh-CN" w:bidi="ar-SA"/>
        </w:rPr>
        <w:t>十、其他重要事项的情况说明</w:t>
      </w:r>
      <w:bookmarkEnd w:id="126"/>
      <w:bookmarkEnd w:id="127"/>
      <w:bookmarkEnd w:id="128"/>
      <w:bookmarkEnd w:id="129"/>
      <w:bookmarkEnd w:id="130"/>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31" w:name="_Toc4548"/>
      <w:bookmarkStart w:id="132" w:name="_Toc15377222"/>
      <w:bookmarkStart w:id="133" w:name="_Toc27336"/>
      <w:r>
        <w:rPr>
          <w:rFonts w:hint="default" w:ascii="Times New Roman" w:hAnsi="Times New Roman" w:eastAsia="楷体_GB2312" w:cs="Times New Roman"/>
          <w:b/>
          <w:color w:val="auto"/>
          <w:sz w:val="32"/>
          <w:szCs w:val="32"/>
          <w:highlight w:val="none"/>
        </w:rPr>
        <w:t>（一）机关运行经费支出情况</w:t>
      </w:r>
      <w:bookmarkEnd w:id="131"/>
      <w:bookmarkEnd w:id="132"/>
      <w:bookmarkEnd w:id="133"/>
    </w:p>
    <w:p>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2024年度，盐边县温泉彝族乡中心小学校机关运行经费支出0万元。</w:t>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34" w:name="_Toc15377223"/>
      <w:bookmarkStart w:id="135" w:name="_Toc3483"/>
      <w:bookmarkStart w:id="136" w:name="_Toc26512"/>
      <w:r>
        <w:rPr>
          <w:rFonts w:hint="default" w:ascii="Times New Roman" w:hAnsi="Times New Roman" w:eastAsia="楷体_GB2312" w:cs="Times New Roman"/>
          <w:b/>
          <w:color w:val="auto"/>
          <w:sz w:val="32"/>
          <w:szCs w:val="32"/>
          <w:highlight w:val="none"/>
        </w:rPr>
        <w:t>（二）政府采购支出情况</w:t>
      </w:r>
      <w:bookmarkEnd w:id="134"/>
      <w:bookmarkEnd w:id="135"/>
      <w:bookmarkEnd w:id="136"/>
    </w:p>
    <w:p>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盐边县温泉彝族乡中心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keepNext w:val="0"/>
        <w:keepLines w:val="0"/>
        <w:pageBreakBefore w:val="0"/>
        <w:kinsoku/>
        <w:wordWrap/>
        <w:overflowPunct/>
        <w:topLinePunct w:val="0"/>
        <w:bidi w:val="0"/>
        <w:spacing w:line="240" w:lineRule="auto"/>
        <w:ind w:firstLine="723" w:firstLineChars="200"/>
        <w:textAlignment w:val="auto"/>
        <w:outlineLvl w:val="2"/>
        <w:rPr>
          <w:rFonts w:hint="default" w:ascii="Times New Roman" w:hAnsi="Times New Roman" w:eastAsia="楷体_GB2312" w:cs="Times New Roman"/>
          <w:b/>
          <w:color w:val="auto"/>
          <w:sz w:val="36"/>
          <w:szCs w:val="36"/>
          <w:highlight w:val="none"/>
        </w:rPr>
      </w:pPr>
      <w:bookmarkStart w:id="137" w:name="_Toc10399"/>
      <w:bookmarkStart w:id="138" w:name="_Toc22874"/>
      <w:bookmarkStart w:id="139" w:name="_Toc15377224"/>
      <w:r>
        <w:rPr>
          <w:rFonts w:hint="default" w:ascii="Times New Roman" w:hAnsi="Times New Roman" w:eastAsia="楷体_GB2312" w:cs="Times New Roman"/>
          <w:b/>
          <w:color w:val="auto"/>
          <w:sz w:val="36"/>
          <w:szCs w:val="36"/>
          <w:highlight w:val="none"/>
        </w:rPr>
        <w:t>（三）国有资产占有使用情况</w:t>
      </w:r>
      <w:bookmarkEnd w:id="137"/>
      <w:bookmarkEnd w:id="138"/>
      <w:bookmarkEnd w:id="139"/>
    </w:p>
    <w:p>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截至2024年12月31日，盐边县温泉彝族乡中心小学校共有车辆0辆。单价100万元（含）以上设备（不含车辆）0台（套）。</w:t>
      </w:r>
    </w:p>
    <w:p>
      <w:pPr>
        <w:keepNext w:val="0"/>
        <w:keepLines w:val="0"/>
        <w:pageBreakBefore w:val="0"/>
        <w:kinsoku/>
        <w:wordWrap/>
        <w:overflowPunct/>
        <w:topLinePunct w:val="0"/>
        <w:bidi w:val="0"/>
        <w:spacing w:line="240" w:lineRule="auto"/>
        <w:ind w:firstLine="723" w:firstLineChars="200"/>
        <w:textAlignment w:val="auto"/>
        <w:outlineLvl w:val="2"/>
        <w:rPr>
          <w:rFonts w:hint="default" w:ascii="Times New Roman" w:hAnsi="Times New Roman" w:eastAsia="楷体_GB2312" w:cs="Times New Roman"/>
          <w:b/>
          <w:color w:val="auto"/>
          <w:sz w:val="36"/>
          <w:szCs w:val="36"/>
          <w:highlight w:val="none"/>
        </w:rPr>
      </w:pPr>
      <w:bookmarkStart w:id="140" w:name="_Toc11463"/>
      <w:bookmarkStart w:id="141" w:name="_Toc4008"/>
      <w:r>
        <w:rPr>
          <w:rFonts w:hint="default" w:ascii="Times New Roman" w:hAnsi="Times New Roman" w:eastAsia="楷体_GB2312" w:cs="Times New Roman"/>
          <w:b/>
          <w:color w:val="auto"/>
          <w:sz w:val="36"/>
          <w:szCs w:val="36"/>
          <w:highlight w:val="none"/>
        </w:rPr>
        <w:t>（四）预算绩效管理情况</w:t>
      </w:r>
      <w:bookmarkEnd w:id="140"/>
      <w:bookmarkEnd w:id="141"/>
    </w:p>
    <w:p>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盐边县温泉彝族乡中心学校在2024年度预算编制阶段，组织对盐边县温泉彝族乡中心学校幼儿园保教费减免项目等1个项目开展了预算事前绩效评估，对这1个项目编制了绩效目标，预算执行过程中，选取1个项目开展绩效监控。</w:t>
      </w:r>
    </w:p>
    <w:p>
      <w:pPr>
        <w:spacing w:line="600" w:lineRule="exact"/>
        <w:ind w:firstLine="640"/>
        <w:rPr>
          <w:rFonts w:eastAsia="仿宋_GB2312"/>
          <w:b/>
          <w:bCs/>
          <w:color w:val="FF0000"/>
          <w:sz w:val="32"/>
          <w:szCs w:val="32"/>
        </w:rPr>
      </w:pPr>
    </w:p>
    <w:p>
      <w:pPr>
        <w:spacing w:line="600" w:lineRule="exact"/>
        <w:ind w:firstLine="640"/>
        <w:rPr>
          <w:rFonts w:eastAsia="仿宋_GB2312"/>
          <w:b/>
          <w:bCs/>
          <w:color w:val="FF0000"/>
          <w:sz w:val="32"/>
          <w:szCs w:val="32"/>
        </w:rPr>
      </w:pPr>
    </w:p>
    <w:p>
      <w:pPr>
        <w:spacing w:line="600" w:lineRule="exact"/>
        <w:ind w:firstLine="640"/>
        <w:rPr>
          <w:rFonts w:eastAsia="仿宋_GB2312"/>
          <w:b/>
          <w:bCs/>
          <w:color w:val="FF0000"/>
          <w:sz w:val="32"/>
          <w:szCs w:val="32"/>
        </w:rPr>
      </w:pPr>
    </w:p>
    <w:p>
      <w:pPr>
        <w:spacing w:line="600" w:lineRule="exact"/>
        <w:ind w:firstLine="640"/>
        <w:rPr>
          <w:rFonts w:eastAsia="仿宋_GB2312"/>
          <w:b/>
          <w:bCs/>
          <w:color w:val="FF0000"/>
          <w:sz w:val="32"/>
          <w:szCs w:val="32"/>
        </w:rPr>
      </w:pPr>
    </w:p>
    <w:p>
      <w:pPr>
        <w:spacing w:line="600" w:lineRule="exact"/>
        <w:ind w:firstLine="640"/>
        <w:rPr>
          <w:rFonts w:eastAsia="仿宋_GB2312"/>
          <w:b/>
          <w:bCs/>
          <w:color w:val="FF0000"/>
          <w:sz w:val="32"/>
          <w:szCs w:val="32"/>
        </w:rPr>
      </w:pPr>
    </w:p>
    <w:p>
      <w:pPr>
        <w:spacing w:line="600" w:lineRule="exact"/>
        <w:ind w:firstLine="640"/>
        <w:rPr>
          <w:rFonts w:eastAsia="仿宋_GB2312"/>
          <w:b/>
          <w:bCs/>
          <w:color w:val="FF0000"/>
          <w:sz w:val="32"/>
          <w:szCs w:val="32"/>
        </w:rPr>
      </w:pPr>
    </w:p>
    <w:p>
      <w:pPr>
        <w:spacing w:line="600" w:lineRule="exact"/>
        <w:ind w:firstLine="640"/>
        <w:rPr>
          <w:rFonts w:eastAsia="仿宋_GB2312"/>
          <w:b/>
          <w:bCs/>
          <w:color w:val="FF0000"/>
          <w:sz w:val="32"/>
          <w:szCs w:val="32"/>
        </w:rPr>
      </w:pPr>
    </w:p>
    <w:p>
      <w:pPr>
        <w:spacing w:line="600" w:lineRule="exact"/>
        <w:ind w:firstLine="640"/>
        <w:rPr>
          <w:rFonts w:eastAsia="仿宋_GB2312"/>
          <w:b/>
          <w:bCs/>
          <w:color w:val="FF0000"/>
          <w:sz w:val="32"/>
          <w:szCs w:val="32"/>
        </w:rPr>
      </w:pPr>
    </w:p>
    <w:p>
      <w:pPr>
        <w:spacing w:line="600" w:lineRule="exact"/>
        <w:ind w:firstLine="640"/>
        <w:rPr>
          <w:rFonts w:eastAsia="仿宋_GB2312"/>
          <w:b/>
          <w:bCs/>
          <w:color w:val="FF0000"/>
          <w:sz w:val="32"/>
          <w:szCs w:val="32"/>
        </w:rPr>
      </w:pPr>
    </w:p>
    <w:p>
      <w:pPr>
        <w:spacing w:line="600" w:lineRule="exact"/>
        <w:ind w:firstLine="640"/>
        <w:rPr>
          <w:rFonts w:eastAsia="仿宋_GB2312"/>
          <w:sz w:val="32"/>
          <w:szCs w:val="32"/>
        </w:rPr>
      </w:pPr>
    </w:p>
    <w:p>
      <w:pPr>
        <w:pStyle w:val="7"/>
        <w:ind w:left="0" w:leftChars="0" w:firstLine="0" w:firstLineChars="0"/>
        <w:rPr>
          <w:rFonts w:ascii="Times New Roman"/>
        </w:rPr>
      </w:pPr>
    </w:p>
    <w:p>
      <w:pPr>
        <w:pStyle w:val="7"/>
        <w:ind w:left="0" w:leftChars="0" w:firstLine="0" w:firstLineChars="0"/>
        <w:rPr>
          <w:rFonts w:ascii="Times New Roman"/>
        </w:rPr>
      </w:pPr>
    </w:p>
    <w:p>
      <w:pPr>
        <w:keepNext w:val="0"/>
        <w:keepLines w:val="0"/>
        <w:pageBreakBefore w:val="0"/>
        <w:numPr>
          <w:ilvl w:val="0"/>
          <w:numId w:val="0"/>
        </w:numPr>
        <w:kinsoku/>
        <w:wordWrap/>
        <w:overflowPunct/>
        <w:topLinePunct w:val="0"/>
        <w:bidi w:val="0"/>
        <w:spacing w:line="240" w:lineRule="auto"/>
        <w:jc w:val="center"/>
        <w:textAlignment w:val="auto"/>
        <w:outlineLvl w:val="0"/>
        <w:rPr>
          <w:rFonts w:hint="default" w:ascii="Times New Roman" w:hAnsi="Times New Roman" w:eastAsia="黑体" w:cs="Times New Roman"/>
          <w:color w:val="auto"/>
          <w:sz w:val="44"/>
          <w:szCs w:val="44"/>
          <w:highlight w:val="none"/>
        </w:rPr>
      </w:pPr>
      <w:bookmarkStart w:id="142" w:name="_Toc15377225"/>
      <w:bookmarkStart w:id="143" w:name="_Toc15396613"/>
      <w:bookmarkStart w:id="144" w:name="_Toc15764"/>
      <w:bookmarkStart w:id="145" w:name="_Toc24132"/>
      <w:bookmarkStart w:id="146" w:name="_Toc32519_WPSOffice_Level1"/>
      <w:r>
        <w:rPr>
          <w:rFonts w:hint="default" w:ascii="Times New Roman" w:hAnsi="Times New Roman" w:eastAsia="黑体" w:cs="Times New Roman"/>
          <w:color w:val="auto"/>
          <w:sz w:val="44"/>
          <w:szCs w:val="44"/>
          <w:highlight w:val="none"/>
        </w:rPr>
        <w:t>第三部分  名词解释</w:t>
      </w:r>
      <w:bookmarkEnd w:id="142"/>
      <w:bookmarkEnd w:id="143"/>
      <w:bookmarkEnd w:id="144"/>
      <w:bookmarkEnd w:id="145"/>
      <w:bookmarkEnd w:id="146"/>
    </w:p>
    <w:p>
      <w:pPr>
        <w:spacing w:line="600" w:lineRule="exact"/>
        <w:jc w:val="left"/>
        <w:rPr>
          <w:b/>
          <w:sz w:val="44"/>
          <w:szCs w:val="44"/>
        </w:rPr>
      </w:pP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1.财政拨款收入：指单位从同级财政部门取得的财政预算资金。</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4.其他收入：指单位取得的除上述收入以外的各项收入。</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5.使用非财政拨款结余（含专用结余）：指事业单位使用以前年度积累的非财政拨款结余弥补当年收支差额的金额。 </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6.年初结转和结余：指以前年度尚未完成、结转到本年按有关规定继续使用的资金。 </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8.年末结转和结余：指单位按有关规定结转到下年或以后年度继续使用的资金。</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9.教育支出（205类）普通教育（02款）学前教育（01项）：指反映各部门举办的学前教育支出。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10.教育支出（205类）普通教育（02款）小学教育02（项）：指反映各部门举办的小学教育支出。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11.社会保障和就业支出（208类）行政事业单位养老支出（05款）事业单位离退休（02项）：指反映事业单位开支的离退休经费。</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12.社会保障和就业支出（208类）行政事业单位养老支出（05款）机关事业单位基本养老保险缴费支出（05项）：指反映机关事业单位实施养老保险制度由单位缴纳的基本养老保险费支出。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卫生健康支出（210类）行政事业单位医疗（11款）事业单位医疗（02项）：指反映财政部门安排的事业单位基本医疗保险缴费经费，未参加医疗保险的事业单位的公费医疗经费，按国家规定享受离休人员待遇的医疗经费。</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14.卫生健康支出（210类）行政事业单位医疗（11款）其他行政事业单位医疗支出（99项）：指反映除上述项目以外的其他用于行政事业单位医疗方面的支出。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15.住房保障支出（221类）住房改革支出（02款）住房公积金（01项）：指反映行政事业单位按人力资源和社会保障部、财政部规定的基本工资和津贴补贴以及规定比例为职工缴纳的住房公积金。</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16.基本支出：指为保障机构正常运转、完成日常工作任务而发生的人员支出和公用支出。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17.项目支出：指在基本支出之外为完成特定行政任务和事业发展目标所发生的支出。 </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8"/>
          <w:rFonts w:eastAsia="黑体"/>
          <w:bCs w:val="0"/>
          <w:color w:val="FF0000"/>
        </w:rPr>
      </w:pPr>
      <w:bookmarkStart w:id="147" w:name="_Toc15377226"/>
      <w:r>
        <w:rPr>
          <w:rFonts w:eastAsia="仿宋_GB2312"/>
          <w:sz w:val="32"/>
          <w:szCs w:val="32"/>
        </w:rPr>
        <w:br w:type="page"/>
      </w:r>
      <w:bookmarkStart w:id="148" w:name="_Toc10493"/>
      <w:bookmarkStart w:id="149" w:name="_Toc15396614"/>
      <w:bookmarkStart w:id="150" w:name="_Toc5155"/>
      <w:bookmarkStart w:id="151" w:name="_Toc8565_WPSOffice_Level1"/>
      <w:r>
        <w:rPr>
          <w:rStyle w:val="28"/>
          <w:rFonts w:hint="default" w:ascii="Times New Roman" w:hAnsi="Times New Roman" w:eastAsia="黑体" w:cs="Times New Roman"/>
          <w:b w:val="0"/>
          <w:color w:val="auto"/>
          <w:highlight w:val="none"/>
        </w:rPr>
        <w:t>第四部分  附件</w:t>
      </w:r>
      <w:bookmarkEnd w:id="148"/>
      <w:bookmarkEnd w:id="149"/>
      <w:bookmarkEnd w:id="150"/>
      <w:bookmarkEnd w:id="151"/>
    </w:p>
    <w:p>
      <w:pPr>
        <w:widowControl/>
        <w:spacing w:line="578" w:lineRule="exact"/>
        <w:contextualSpacing/>
        <w:jc w:val="center"/>
        <w:rPr>
          <w:rFonts w:eastAsia="黑体"/>
          <w:sz w:val="32"/>
          <w:szCs w:val="32"/>
        </w:rPr>
      </w:pPr>
    </w:p>
    <w:p>
      <w:pPr>
        <w:pageBreakBefore w:val="0"/>
        <w:widowControl w:val="0"/>
        <w:kinsoku/>
        <w:wordWrap/>
        <w:overflowPunct/>
        <w:topLinePunct w:val="0"/>
        <w:bidi w:val="0"/>
        <w:snapToGrid/>
        <w:spacing w:line="560" w:lineRule="exact"/>
        <w:jc w:val="center"/>
        <w:textAlignment w:val="auto"/>
        <w:outlineLvl w:val="1"/>
        <w:rPr>
          <w:rFonts w:hint="default" w:ascii="Times New Roman" w:hAnsi="Times New Roman" w:eastAsia="仿宋_GB2312" w:cs="Times New Roman"/>
          <w:sz w:val="32"/>
          <w:szCs w:val="32"/>
        </w:rPr>
      </w:pPr>
      <w:bookmarkStart w:id="152" w:name="_Toc21898_WPSOffice_Level2"/>
      <w:r>
        <w:rPr>
          <w:rFonts w:hint="default" w:ascii="Times New Roman" w:hAnsi="Times New Roman" w:eastAsia="仿宋_GB2312" w:cs="Times New Roman"/>
          <w:sz w:val="32"/>
          <w:szCs w:val="32"/>
        </w:rPr>
        <w:t>部门预算项目支出绩效自评表（2024年度）</w:t>
      </w:r>
      <w:bookmarkEnd w:id="152"/>
    </w:p>
    <w:p>
      <w:pPr>
        <w:pStyle w:val="2"/>
        <w:spacing w:before="93"/>
        <w:rPr>
          <w:rFonts w:ascii="Times New Roman"/>
          <w:color w:val="FF0000"/>
          <w:sz w:val="32"/>
          <w:szCs w:val="32"/>
          <w:highlight w:val="yellow"/>
          <w:shd w:val="clear" w:color="auto" w:fill="FFFFFF"/>
          <w:lang w:val="zh-CN"/>
        </w:rPr>
      </w:pPr>
    </w:p>
    <w:p>
      <w:pPr>
        <w:rPr>
          <w:rFonts w:eastAsia="黑体"/>
          <w:kern w:val="0"/>
          <w:sz w:val="32"/>
          <w:szCs w:val="32"/>
          <w:shd w:val="clear" w:color="auto" w:fill="FFFFFF"/>
          <w:lang w:val="zh-CN"/>
        </w:rPr>
      </w:pPr>
      <w:r>
        <w:rPr>
          <w:rFonts w:eastAsia="黑体"/>
          <w:kern w:val="0"/>
          <w:sz w:val="32"/>
          <w:szCs w:val="32"/>
          <w:shd w:val="clear" w:color="auto" w:fill="FFFFFF"/>
          <w:lang w:val="zh-CN"/>
        </w:rPr>
        <w:br w:type="page"/>
      </w:r>
    </w:p>
    <w:p>
      <w:pPr>
        <w:keepNext w:val="0"/>
        <w:keepLines w:val="0"/>
        <w:pageBreakBefore w:val="0"/>
        <w:widowControl/>
        <w:kinsoku/>
        <w:wordWrap/>
        <w:overflowPunct/>
        <w:topLinePunct w:val="0"/>
        <w:bidi w:val="0"/>
        <w:spacing w:line="240" w:lineRule="auto"/>
        <w:jc w:val="center"/>
        <w:textAlignment w:val="auto"/>
        <w:rPr>
          <w:rStyle w:val="28"/>
          <w:rFonts w:hint="default" w:ascii="Times New Roman" w:hAnsi="Times New Roman" w:eastAsia="黑体" w:cs="Times New Roman"/>
          <w:b w:val="0"/>
          <w:color w:val="auto"/>
          <w:highlight w:val="none"/>
        </w:rPr>
      </w:pPr>
      <w:bookmarkStart w:id="153" w:name="_Toc18163"/>
      <w:bookmarkStart w:id="154" w:name="_Toc15396618"/>
      <w:bookmarkStart w:id="155" w:name="_Toc4137"/>
      <w:bookmarkStart w:id="156" w:name="_Toc15739_WPSOffice_Level1"/>
      <w:r>
        <w:rPr>
          <w:rStyle w:val="28"/>
          <w:rFonts w:hint="default" w:ascii="Times New Roman" w:hAnsi="Times New Roman" w:eastAsia="黑体" w:cs="Times New Roman"/>
          <w:b w:val="0"/>
          <w:color w:val="auto"/>
          <w:highlight w:val="none"/>
        </w:rPr>
        <w:t>第五部分 附表</w:t>
      </w:r>
      <w:bookmarkEnd w:id="147"/>
      <w:bookmarkEnd w:id="153"/>
      <w:bookmarkEnd w:id="154"/>
      <w:bookmarkEnd w:id="155"/>
      <w:bookmarkEnd w:id="156"/>
      <w:bookmarkStart w:id="157" w:name="_Toc15396619"/>
    </w:p>
    <w:p>
      <w:pPr>
        <w:pStyle w:val="14"/>
        <w:adjustRightInd w:val="0"/>
        <w:snapToGrid w:val="0"/>
        <w:spacing w:line="560" w:lineRule="exact"/>
        <w:jc w:val="left"/>
        <w:rPr>
          <w:rFonts w:eastAsia="仿宋_GB2312"/>
          <w:sz w:val="32"/>
          <w:szCs w:val="32"/>
        </w:rPr>
      </w:pPr>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58" w:name="_Toc22249"/>
      <w:bookmarkStart w:id="159" w:name="_Toc927"/>
      <w:bookmarkStart w:id="160" w:name="_Toc3670_WPSOffice_Level2"/>
      <w:r>
        <w:rPr>
          <w:rStyle w:val="29"/>
          <w:rFonts w:hint="eastAsia" w:ascii="Times New Roman" w:hAnsi="Times New Roman" w:eastAsia="黑体" w:cs="Times New Roman"/>
          <w:b w:val="0"/>
          <w:color w:val="auto"/>
          <w:highlight w:val="none"/>
          <w:lang w:eastAsia="zh-CN"/>
        </w:rPr>
        <w:t>一、收入支出决算总表</w:t>
      </w:r>
      <w:bookmarkEnd w:id="157"/>
      <w:bookmarkEnd w:id="158"/>
      <w:bookmarkEnd w:id="159"/>
      <w:bookmarkEnd w:id="16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61" w:name="_Toc15396620"/>
      <w:bookmarkStart w:id="162" w:name="_Toc32449"/>
      <w:bookmarkStart w:id="163" w:name="_Toc31940"/>
      <w:bookmarkStart w:id="164" w:name="_Toc25896_WPSOffice_Level2"/>
      <w:r>
        <w:rPr>
          <w:rStyle w:val="29"/>
          <w:rFonts w:hint="eastAsia" w:ascii="Times New Roman" w:hAnsi="Times New Roman" w:eastAsia="黑体" w:cs="Times New Roman"/>
          <w:b w:val="0"/>
          <w:color w:val="auto"/>
          <w:highlight w:val="none"/>
          <w:lang w:eastAsia="zh-CN"/>
        </w:rPr>
        <w:t>二、收入决算表</w:t>
      </w:r>
      <w:bookmarkEnd w:id="161"/>
      <w:bookmarkEnd w:id="162"/>
      <w:bookmarkEnd w:id="163"/>
      <w:bookmarkEnd w:id="16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65" w:name="_Toc23422"/>
      <w:bookmarkStart w:id="166" w:name="_Toc15396621"/>
      <w:bookmarkStart w:id="167" w:name="_Toc23857"/>
      <w:bookmarkStart w:id="168" w:name="_Toc20287_WPSOffice_Level2"/>
      <w:r>
        <w:rPr>
          <w:rStyle w:val="29"/>
          <w:rFonts w:hint="eastAsia" w:ascii="Times New Roman" w:hAnsi="Times New Roman" w:eastAsia="黑体" w:cs="Times New Roman"/>
          <w:b w:val="0"/>
          <w:color w:val="auto"/>
          <w:highlight w:val="none"/>
          <w:lang w:eastAsia="zh-CN"/>
        </w:rPr>
        <w:t>三、支出决算表</w:t>
      </w:r>
      <w:bookmarkEnd w:id="165"/>
      <w:bookmarkEnd w:id="166"/>
      <w:bookmarkEnd w:id="167"/>
      <w:bookmarkEnd w:id="168"/>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69" w:name="_Toc3166"/>
      <w:bookmarkStart w:id="170" w:name="_Toc15396622"/>
      <w:bookmarkStart w:id="171" w:name="_Toc11978"/>
      <w:bookmarkStart w:id="172" w:name="_Toc11975_WPSOffice_Level2"/>
      <w:r>
        <w:rPr>
          <w:rStyle w:val="29"/>
          <w:rFonts w:hint="eastAsia" w:ascii="Times New Roman" w:hAnsi="Times New Roman" w:eastAsia="黑体" w:cs="Times New Roman"/>
          <w:b w:val="0"/>
          <w:color w:val="auto"/>
          <w:highlight w:val="none"/>
          <w:lang w:eastAsia="zh-CN"/>
        </w:rPr>
        <w:t>四、财政拨款收入支出决算总表</w:t>
      </w:r>
      <w:bookmarkEnd w:id="169"/>
      <w:bookmarkEnd w:id="170"/>
      <w:bookmarkEnd w:id="171"/>
      <w:bookmarkEnd w:id="172"/>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73" w:name="_Toc15500"/>
      <w:bookmarkStart w:id="174" w:name="_Toc31277"/>
      <w:bookmarkStart w:id="175" w:name="_Toc15396623"/>
      <w:bookmarkStart w:id="176" w:name="_Toc14966_WPSOffice_Level2"/>
      <w:r>
        <w:rPr>
          <w:rStyle w:val="29"/>
          <w:rFonts w:hint="eastAsia" w:ascii="Times New Roman" w:hAnsi="Times New Roman" w:eastAsia="黑体" w:cs="Times New Roman"/>
          <w:b w:val="0"/>
          <w:color w:val="auto"/>
          <w:highlight w:val="none"/>
          <w:lang w:eastAsia="zh-CN"/>
        </w:rPr>
        <w:t>五、财政拨款支出决算明细表</w:t>
      </w:r>
      <w:bookmarkEnd w:id="173"/>
      <w:bookmarkEnd w:id="174"/>
      <w:bookmarkEnd w:id="175"/>
      <w:bookmarkEnd w:id="176"/>
      <w:bookmarkStart w:id="177" w:name="_Toc1539662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78" w:name="_Toc14511"/>
      <w:bookmarkStart w:id="179" w:name="_Toc28612"/>
      <w:bookmarkStart w:id="180" w:name="_Toc19841_WPSOffice_Level2"/>
      <w:r>
        <w:rPr>
          <w:rStyle w:val="29"/>
          <w:rFonts w:hint="eastAsia" w:ascii="Times New Roman" w:hAnsi="Times New Roman" w:eastAsia="黑体" w:cs="Times New Roman"/>
          <w:b w:val="0"/>
          <w:color w:val="auto"/>
          <w:highlight w:val="none"/>
          <w:lang w:eastAsia="zh-CN"/>
        </w:rPr>
        <w:t>六、一般公共预算财政拨款支出决算表</w:t>
      </w:r>
      <w:bookmarkEnd w:id="177"/>
      <w:bookmarkEnd w:id="178"/>
      <w:bookmarkEnd w:id="179"/>
      <w:bookmarkEnd w:id="18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81" w:name="_Toc14219"/>
      <w:bookmarkStart w:id="182" w:name="_Toc15396625"/>
      <w:bookmarkStart w:id="183" w:name="_Toc9810"/>
      <w:bookmarkStart w:id="184" w:name="_Toc4941_WPSOffice_Level2"/>
      <w:r>
        <w:rPr>
          <w:rStyle w:val="29"/>
          <w:rFonts w:hint="eastAsia" w:ascii="Times New Roman" w:hAnsi="Times New Roman" w:eastAsia="黑体" w:cs="Times New Roman"/>
          <w:b w:val="0"/>
          <w:color w:val="auto"/>
          <w:highlight w:val="none"/>
          <w:lang w:eastAsia="zh-CN"/>
        </w:rPr>
        <w:t>七、一般公共预算财政拨款支出决算明细表</w:t>
      </w:r>
      <w:bookmarkEnd w:id="181"/>
      <w:bookmarkEnd w:id="182"/>
      <w:bookmarkEnd w:id="183"/>
      <w:bookmarkEnd w:id="18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85" w:name="_Toc21821"/>
      <w:bookmarkStart w:id="186" w:name="_Toc15396626"/>
      <w:bookmarkStart w:id="187" w:name="_Toc8435"/>
      <w:bookmarkStart w:id="188" w:name="_Toc8595_WPSOffice_Level2"/>
      <w:r>
        <w:rPr>
          <w:rStyle w:val="29"/>
          <w:rFonts w:hint="eastAsia" w:ascii="Times New Roman" w:hAnsi="Times New Roman" w:eastAsia="黑体" w:cs="Times New Roman"/>
          <w:b w:val="0"/>
          <w:color w:val="auto"/>
          <w:highlight w:val="none"/>
          <w:lang w:eastAsia="zh-CN"/>
        </w:rPr>
        <w:t>八、一般公共预算财政拨款基本支出决算表</w:t>
      </w:r>
      <w:bookmarkEnd w:id="185"/>
      <w:bookmarkEnd w:id="186"/>
      <w:bookmarkEnd w:id="187"/>
      <w:bookmarkEnd w:id="188"/>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89" w:name="_Toc15396627"/>
      <w:bookmarkStart w:id="190" w:name="_Toc4359"/>
      <w:bookmarkStart w:id="191" w:name="_Toc26976"/>
      <w:bookmarkStart w:id="192" w:name="_Toc624_WPSOffice_Level2"/>
      <w:r>
        <w:rPr>
          <w:rStyle w:val="29"/>
          <w:rFonts w:hint="eastAsia" w:ascii="Times New Roman" w:hAnsi="Times New Roman" w:eastAsia="黑体" w:cs="Times New Roman"/>
          <w:b w:val="0"/>
          <w:color w:val="auto"/>
          <w:highlight w:val="none"/>
          <w:lang w:eastAsia="zh-CN"/>
        </w:rPr>
        <w:t>九、一般公共预算财政拨款项目支出决算表</w:t>
      </w:r>
      <w:bookmarkEnd w:id="189"/>
      <w:bookmarkEnd w:id="190"/>
      <w:bookmarkEnd w:id="191"/>
      <w:bookmarkEnd w:id="192"/>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93" w:name="_Toc15396628"/>
      <w:bookmarkStart w:id="194" w:name="_Toc28061"/>
      <w:bookmarkStart w:id="195" w:name="_Toc13305"/>
      <w:bookmarkStart w:id="196" w:name="_Toc31933_WPSOffice_Level2"/>
      <w:r>
        <w:rPr>
          <w:rStyle w:val="29"/>
          <w:rFonts w:hint="eastAsia" w:ascii="Times New Roman" w:hAnsi="Times New Roman" w:eastAsia="黑体" w:cs="Times New Roman"/>
          <w:b w:val="0"/>
          <w:color w:val="auto"/>
          <w:highlight w:val="none"/>
          <w:lang w:eastAsia="zh-CN"/>
        </w:rPr>
        <w:t>十、</w:t>
      </w:r>
      <w:bookmarkEnd w:id="193"/>
      <w:r>
        <w:rPr>
          <w:rStyle w:val="29"/>
          <w:rFonts w:hint="eastAsia" w:ascii="Times New Roman" w:hAnsi="Times New Roman" w:eastAsia="黑体" w:cs="Times New Roman"/>
          <w:b w:val="0"/>
          <w:color w:val="auto"/>
          <w:highlight w:val="none"/>
          <w:lang w:eastAsia="zh-CN"/>
        </w:rPr>
        <w:t>政府性基金预算财政拨款收入支出决算表</w:t>
      </w:r>
      <w:bookmarkEnd w:id="194"/>
      <w:bookmarkEnd w:id="195"/>
      <w:bookmarkEnd w:id="196"/>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97" w:name="_Toc15396629"/>
      <w:bookmarkStart w:id="198" w:name="_Toc18790"/>
      <w:bookmarkStart w:id="199" w:name="_Toc29964"/>
      <w:bookmarkStart w:id="200" w:name="_Toc14174_WPSOffice_Level2"/>
      <w:r>
        <w:rPr>
          <w:rStyle w:val="29"/>
          <w:rFonts w:hint="eastAsia" w:ascii="Times New Roman" w:hAnsi="Times New Roman" w:eastAsia="黑体" w:cs="Times New Roman"/>
          <w:b w:val="0"/>
          <w:color w:val="auto"/>
          <w:highlight w:val="none"/>
          <w:lang w:eastAsia="zh-CN"/>
        </w:rPr>
        <w:t>十一、</w:t>
      </w:r>
      <w:bookmarkEnd w:id="197"/>
      <w:r>
        <w:rPr>
          <w:rStyle w:val="29"/>
          <w:rFonts w:hint="eastAsia" w:ascii="Times New Roman" w:hAnsi="Times New Roman" w:eastAsia="黑体" w:cs="Times New Roman"/>
          <w:b w:val="0"/>
          <w:color w:val="auto"/>
          <w:highlight w:val="none"/>
          <w:lang w:eastAsia="zh-CN"/>
        </w:rPr>
        <w:t>国有资本经营预算财政拨款收入支出决算表</w:t>
      </w:r>
      <w:bookmarkEnd w:id="198"/>
      <w:bookmarkEnd w:id="199"/>
      <w:bookmarkEnd w:id="20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01" w:name="_Toc15396630"/>
      <w:bookmarkStart w:id="202" w:name="_Toc23614"/>
      <w:bookmarkStart w:id="203" w:name="_Toc19139"/>
      <w:bookmarkStart w:id="204" w:name="_Toc19023_WPSOffice_Level2"/>
      <w:r>
        <w:rPr>
          <w:rStyle w:val="29"/>
          <w:rFonts w:hint="eastAsia" w:ascii="Times New Roman" w:hAnsi="Times New Roman" w:eastAsia="黑体" w:cs="Times New Roman"/>
          <w:b w:val="0"/>
          <w:color w:val="auto"/>
          <w:highlight w:val="none"/>
          <w:lang w:eastAsia="zh-CN"/>
        </w:rPr>
        <w:t>十二、</w:t>
      </w:r>
      <w:bookmarkEnd w:id="201"/>
      <w:r>
        <w:rPr>
          <w:rStyle w:val="29"/>
          <w:rFonts w:hint="eastAsia" w:ascii="Times New Roman" w:hAnsi="Times New Roman" w:eastAsia="黑体" w:cs="Times New Roman"/>
          <w:b w:val="0"/>
          <w:color w:val="auto"/>
          <w:highlight w:val="none"/>
          <w:lang w:eastAsia="zh-CN"/>
        </w:rPr>
        <w:t>国有资本经营预算财政拨款支出决算表</w:t>
      </w:r>
      <w:bookmarkEnd w:id="202"/>
      <w:bookmarkEnd w:id="203"/>
      <w:bookmarkEnd w:id="20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05" w:name="_Toc15396631"/>
      <w:bookmarkStart w:id="206" w:name="_Toc16475"/>
      <w:bookmarkStart w:id="207" w:name="_Toc3185"/>
      <w:bookmarkStart w:id="208" w:name="_Toc19120_WPSOffice_Level2"/>
      <w:r>
        <w:rPr>
          <w:rStyle w:val="29"/>
          <w:rFonts w:hint="eastAsia" w:ascii="Times New Roman" w:hAnsi="Times New Roman" w:eastAsia="黑体" w:cs="Times New Roman"/>
          <w:b w:val="0"/>
          <w:color w:val="auto"/>
          <w:highlight w:val="none"/>
          <w:lang w:eastAsia="zh-CN"/>
        </w:rPr>
        <w:t>十三、</w:t>
      </w:r>
      <w:bookmarkEnd w:id="205"/>
      <w:r>
        <w:rPr>
          <w:rStyle w:val="29"/>
          <w:rFonts w:hint="eastAsia" w:ascii="Times New Roman" w:hAnsi="Times New Roman" w:eastAsia="黑体" w:cs="Times New Roman"/>
          <w:b w:val="0"/>
          <w:color w:val="auto"/>
          <w:highlight w:val="none"/>
          <w:lang w:eastAsia="zh-CN"/>
        </w:rPr>
        <w:t>财政拨款“三公”经费支出决算表</w:t>
      </w:r>
      <w:bookmarkEnd w:id="206"/>
      <w:bookmarkEnd w:id="207"/>
      <w:bookmarkEnd w:id="208"/>
    </w:p>
    <w:p>
      <w:pPr>
        <w:pStyle w:val="14"/>
        <w:adjustRightInd w:val="0"/>
        <w:snapToGrid w:val="0"/>
        <w:spacing w:line="560" w:lineRule="exact"/>
        <w:jc w:val="left"/>
        <w:rPr>
          <w:rFonts w:eastAsia="仿宋_GB2312"/>
          <w:sz w:val="32"/>
          <w:szCs w:val="32"/>
        </w:rPr>
      </w:pPr>
    </w:p>
    <w:sectPr>
      <w:footerReference r:id="rId8" w:type="first"/>
      <w:footerReference r:id="rId7" w:type="default"/>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81798"/>
    <w:multiLevelType w:val="singleLevel"/>
    <w:tmpl w:val="915817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C2529"/>
    <w:rsid w:val="001D0CD5"/>
    <w:rsid w:val="001D7531"/>
    <w:rsid w:val="001E737D"/>
    <w:rsid w:val="001F0592"/>
    <w:rsid w:val="001F7506"/>
    <w:rsid w:val="002006CD"/>
    <w:rsid w:val="00202B36"/>
    <w:rsid w:val="00204B7A"/>
    <w:rsid w:val="00204CDE"/>
    <w:rsid w:val="0021101A"/>
    <w:rsid w:val="00220536"/>
    <w:rsid w:val="00235629"/>
    <w:rsid w:val="00251390"/>
    <w:rsid w:val="00260C38"/>
    <w:rsid w:val="002616C0"/>
    <w:rsid w:val="00265372"/>
    <w:rsid w:val="002662AA"/>
    <w:rsid w:val="00280496"/>
    <w:rsid w:val="00294DC9"/>
    <w:rsid w:val="00295495"/>
    <w:rsid w:val="002A09B6"/>
    <w:rsid w:val="002A31DE"/>
    <w:rsid w:val="002A668A"/>
    <w:rsid w:val="002B2613"/>
    <w:rsid w:val="002D6D05"/>
    <w:rsid w:val="002F1818"/>
    <w:rsid w:val="002F567B"/>
    <w:rsid w:val="0031657E"/>
    <w:rsid w:val="003216A9"/>
    <w:rsid w:val="00335A74"/>
    <w:rsid w:val="00355B1D"/>
    <w:rsid w:val="00362D4D"/>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1BEB"/>
    <w:rsid w:val="00434489"/>
    <w:rsid w:val="00437085"/>
    <w:rsid w:val="00443880"/>
    <w:rsid w:val="004464F4"/>
    <w:rsid w:val="00471401"/>
    <w:rsid w:val="00473F31"/>
    <w:rsid w:val="0048263A"/>
    <w:rsid w:val="00487AF3"/>
    <w:rsid w:val="00487E5D"/>
    <w:rsid w:val="004A711F"/>
    <w:rsid w:val="004B199D"/>
    <w:rsid w:val="004B4690"/>
    <w:rsid w:val="004E0A2D"/>
    <w:rsid w:val="004E206B"/>
    <w:rsid w:val="004E6DF7"/>
    <w:rsid w:val="004F0FBD"/>
    <w:rsid w:val="00505A47"/>
    <w:rsid w:val="00512FDA"/>
    <w:rsid w:val="00520DA0"/>
    <w:rsid w:val="005269CF"/>
    <w:rsid w:val="005664BB"/>
    <w:rsid w:val="00566FFA"/>
    <w:rsid w:val="005679AA"/>
    <w:rsid w:val="0057481D"/>
    <w:rsid w:val="0058429D"/>
    <w:rsid w:val="0058486E"/>
    <w:rsid w:val="00584CC8"/>
    <w:rsid w:val="00585B33"/>
    <w:rsid w:val="0059014D"/>
    <w:rsid w:val="005A54AD"/>
    <w:rsid w:val="005B5C64"/>
    <w:rsid w:val="005C5337"/>
    <w:rsid w:val="005C6BD0"/>
    <w:rsid w:val="005D1C8B"/>
    <w:rsid w:val="005D468D"/>
    <w:rsid w:val="005D5CED"/>
    <w:rsid w:val="005F1A4C"/>
    <w:rsid w:val="005F2F4F"/>
    <w:rsid w:val="005F63DE"/>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1A22"/>
    <w:rsid w:val="006748A4"/>
    <w:rsid w:val="00681A31"/>
    <w:rsid w:val="00683E73"/>
    <w:rsid w:val="006906F4"/>
    <w:rsid w:val="006A3141"/>
    <w:rsid w:val="006A5E34"/>
    <w:rsid w:val="006B2422"/>
    <w:rsid w:val="006B2B9A"/>
    <w:rsid w:val="006C1937"/>
    <w:rsid w:val="006F020C"/>
    <w:rsid w:val="006F437E"/>
    <w:rsid w:val="007127B7"/>
    <w:rsid w:val="00715E54"/>
    <w:rsid w:val="0071798E"/>
    <w:rsid w:val="00720BB9"/>
    <w:rsid w:val="007416B6"/>
    <w:rsid w:val="00746F48"/>
    <w:rsid w:val="0075404D"/>
    <w:rsid w:val="0076182A"/>
    <w:rsid w:val="00767B7E"/>
    <w:rsid w:val="007770C3"/>
    <w:rsid w:val="00784D24"/>
    <w:rsid w:val="00785841"/>
    <w:rsid w:val="00785FBA"/>
    <w:rsid w:val="00786E4A"/>
    <w:rsid w:val="007875EB"/>
    <w:rsid w:val="0079426B"/>
    <w:rsid w:val="007A417F"/>
    <w:rsid w:val="007D1682"/>
    <w:rsid w:val="007D312A"/>
    <w:rsid w:val="007D3F19"/>
    <w:rsid w:val="007D5C65"/>
    <w:rsid w:val="007E23B0"/>
    <w:rsid w:val="007E23E5"/>
    <w:rsid w:val="007F1991"/>
    <w:rsid w:val="007F1F20"/>
    <w:rsid w:val="007F2C2F"/>
    <w:rsid w:val="007F55FC"/>
    <w:rsid w:val="007F5665"/>
    <w:rsid w:val="00800112"/>
    <w:rsid w:val="00813348"/>
    <w:rsid w:val="008253BB"/>
    <w:rsid w:val="0083706E"/>
    <w:rsid w:val="008408F6"/>
    <w:rsid w:val="008423A5"/>
    <w:rsid w:val="00850625"/>
    <w:rsid w:val="00853718"/>
    <w:rsid w:val="00855221"/>
    <w:rsid w:val="00860645"/>
    <w:rsid w:val="00867941"/>
    <w:rsid w:val="00871F71"/>
    <w:rsid w:val="00872FD8"/>
    <w:rsid w:val="00885AF4"/>
    <w:rsid w:val="008939CD"/>
    <w:rsid w:val="008953E9"/>
    <w:rsid w:val="008B768C"/>
    <w:rsid w:val="008C4DB1"/>
    <w:rsid w:val="008C4EAF"/>
    <w:rsid w:val="008C5176"/>
    <w:rsid w:val="008C7FD0"/>
    <w:rsid w:val="008E1DE7"/>
    <w:rsid w:val="008E707C"/>
    <w:rsid w:val="008F4C2C"/>
    <w:rsid w:val="00900B08"/>
    <w:rsid w:val="009011DC"/>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655A"/>
    <w:rsid w:val="009B1AD4"/>
    <w:rsid w:val="009B2C43"/>
    <w:rsid w:val="009B4EAE"/>
    <w:rsid w:val="009B7573"/>
    <w:rsid w:val="009C22F4"/>
    <w:rsid w:val="009C2A4B"/>
    <w:rsid w:val="009C2E98"/>
    <w:rsid w:val="009D3447"/>
    <w:rsid w:val="009D4711"/>
    <w:rsid w:val="009F1100"/>
    <w:rsid w:val="009F1185"/>
    <w:rsid w:val="009F18CD"/>
    <w:rsid w:val="009F2A13"/>
    <w:rsid w:val="009F7527"/>
    <w:rsid w:val="00A04EB0"/>
    <w:rsid w:val="00A13CC1"/>
    <w:rsid w:val="00A16847"/>
    <w:rsid w:val="00A16CA3"/>
    <w:rsid w:val="00A237D8"/>
    <w:rsid w:val="00A268C4"/>
    <w:rsid w:val="00A307CD"/>
    <w:rsid w:val="00A331C8"/>
    <w:rsid w:val="00A40A00"/>
    <w:rsid w:val="00A4142F"/>
    <w:rsid w:val="00A422EB"/>
    <w:rsid w:val="00A43125"/>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705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88F"/>
    <w:rsid w:val="00B944D6"/>
    <w:rsid w:val="00BA2EA5"/>
    <w:rsid w:val="00BA750E"/>
    <w:rsid w:val="00BB4DF0"/>
    <w:rsid w:val="00BC289F"/>
    <w:rsid w:val="00BC2D50"/>
    <w:rsid w:val="00BC5361"/>
    <w:rsid w:val="00BC5460"/>
    <w:rsid w:val="00BC6B50"/>
    <w:rsid w:val="00BD0E25"/>
    <w:rsid w:val="00BF5BD6"/>
    <w:rsid w:val="00C02E75"/>
    <w:rsid w:val="00C03E31"/>
    <w:rsid w:val="00C07B73"/>
    <w:rsid w:val="00C33E72"/>
    <w:rsid w:val="00C354B2"/>
    <w:rsid w:val="00C35554"/>
    <w:rsid w:val="00C42709"/>
    <w:rsid w:val="00C533CC"/>
    <w:rsid w:val="00C5751C"/>
    <w:rsid w:val="00C61BFC"/>
    <w:rsid w:val="00C62B85"/>
    <w:rsid w:val="00C65438"/>
    <w:rsid w:val="00C87FD8"/>
    <w:rsid w:val="00C91381"/>
    <w:rsid w:val="00C91CBB"/>
    <w:rsid w:val="00CB2C4C"/>
    <w:rsid w:val="00CB4E70"/>
    <w:rsid w:val="00CC09B6"/>
    <w:rsid w:val="00CC666F"/>
    <w:rsid w:val="00CD1E3F"/>
    <w:rsid w:val="00CD3288"/>
    <w:rsid w:val="00CE44F6"/>
    <w:rsid w:val="00CE49DA"/>
    <w:rsid w:val="00CE7B61"/>
    <w:rsid w:val="00CF638C"/>
    <w:rsid w:val="00D00095"/>
    <w:rsid w:val="00D114F0"/>
    <w:rsid w:val="00D20620"/>
    <w:rsid w:val="00D254F7"/>
    <w:rsid w:val="00D26091"/>
    <w:rsid w:val="00D2685C"/>
    <w:rsid w:val="00D34E7C"/>
    <w:rsid w:val="00D35489"/>
    <w:rsid w:val="00D36AFE"/>
    <w:rsid w:val="00D41D9F"/>
    <w:rsid w:val="00D51276"/>
    <w:rsid w:val="00D7035F"/>
    <w:rsid w:val="00D75A9D"/>
    <w:rsid w:val="00DA5C1D"/>
    <w:rsid w:val="00DA634F"/>
    <w:rsid w:val="00DA65AC"/>
    <w:rsid w:val="00DB1913"/>
    <w:rsid w:val="00DC2384"/>
    <w:rsid w:val="00DC410D"/>
    <w:rsid w:val="00DC5A81"/>
    <w:rsid w:val="00DC68CA"/>
    <w:rsid w:val="00DC7CBA"/>
    <w:rsid w:val="00DD67B9"/>
    <w:rsid w:val="00DD73B7"/>
    <w:rsid w:val="00DF28BC"/>
    <w:rsid w:val="00DF34B9"/>
    <w:rsid w:val="00E01053"/>
    <w:rsid w:val="00E01FA4"/>
    <w:rsid w:val="00E07ACF"/>
    <w:rsid w:val="00E11DE7"/>
    <w:rsid w:val="00E32DC7"/>
    <w:rsid w:val="00E331A1"/>
    <w:rsid w:val="00E33202"/>
    <w:rsid w:val="00E336A9"/>
    <w:rsid w:val="00E472B1"/>
    <w:rsid w:val="00E50624"/>
    <w:rsid w:val="00E54633"/>
    <w:rsid w:val="00E568DF"/>
    <w:rsid w:val="00E64269"/>
    <w:rsid w:val="00E82267"/>
    <w:rsid w:val="00E853CE"/>
    <w:rsid w:val="00E867B6"/>
    <w:rsid w:val="00E948FB"/>
    <w:rsid w:val="00EA010F"/>
    <w:rsid w:val="00EB17A1"/>
    <w:rsid w:val="00ED1B63"/>
    <w:rsid w:val="00ED3C1F"/>
    <w:rsid w:val="00ED4085"/>
    <w:rsid w:val="00ED420E"/>
    <w:rsid w:val="00ED4620"/>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67CE"/>
    <w:rsid w:val="00F87E96"/>
    <w:rsid w:val="00FA23E8"/>
    <w:rsid w:val="00FD3CC1"/>
    <w:rsid w:val="00FD69D3"/>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657B0D"/>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5835DE"/>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4A447A"/>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0459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WPSOffice手动目录 1"/>
    <w:uiPriority w:val="0"/>
    <w:pPr>
      <w:ind w:leftChars="0"/>
    </w:pPr>
    <w:rPr>
      <w:sz w:val="20"/>
      <w:szCs w:val="20"/>
    </w:rPr>
  </w:style>
  <w:style w:type="paragraph" w:customStyle="1" w:styleId="36">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89680061544031"/>
          <c:y val="0.0466982952052129"/>
          <c:w val="0.763145533532446"/>
          <c:h val="0.84458829081696"/>
        </c:manualLayout>
      </c:layout>
      <c:barChart>
        <c:barDir val="col"/>
        <c:grouping val="clustered"/>
        <c:varyColors val="0"/>
        <c:ser>
          <c:idx val="0"/>
          <c:order val="0"/>
          <c:tx>
            <c:strRef>
              <c:f>Sheet1!$B$1</c:f>
              <c:strCache>
                <c:ptCount val="1"/>
                <c:pt idx="0">
                  <c:v>收入</c:v>
                </c:pt>
              </c:strCache>
            </c:strRef>
          </c:tx>
          <c:invertIfNegative val="0"/>
          <c:dLbls>
            <c:dLbl>
              <c:idx val="0"/>
              <c:layout>
                <c:manualLayout>
                  <c:x val="-0.0099009900990099"/>
                  <c:y val="0.0040404040404039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900990099009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3"/>
                <c:pt idx="0">
                  <c:v>2024年</c:v>
                </c:pt>
                <c:pt idx="1">
                  <c:v>2023年</c:v>
                </c:pt>
                <c:pt idx="2">
                  <c:v>              单位：万元</c:v>
                </c:pt>
              </c:strCache>
            </c:strRef>
          </c:cat>
          <c:val>
            <c:numRef>
              <c:f>Sheet1!$B$2:$B$5</c:f>
              <c:numCache>
                <c:formatCode>General</c:formatCode>
                <c:ptCount val="4"/>
                <c:pt idx="0">
                  <c:v>591.13</c:v>
                </c:pt>
                <c:pt idx="1">
                  <c:v>677.45</c:v>
                </c:pt>
              </c:numCache>
            </c:numRef>
          </c:val>
        </c:ser>
        <c:ser>
          <c:idx val="1"/>
          <c:order val="1"/>
          <c:tx>
            <c:strRef>
              <c:f>Sheet1!$C$1</c:f>
              <c:strCache>
                <c:ptCount val="1"/>
                <c:pt idx="0">
                  <c:v>支出</c:v>
                </c:pt>
              </c:strCache>
            </c:strRef>
          </c:tx>
          <c:invertIfNegative val="0"/>
          <c:dLbls>
            <c:dLbl>
              <c:idx val="0"/>
              <c:layout>
                <c:manualLayout>
                  <c:x val="0.0247401964605909"/>
                  <c:y val="-3.18142050499588e-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4721878862793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3"/>
                <c:pt idx="0">
                  <c:v>2024年</c:v>
                </c:pt>
                <c:pt idx="1">
                  <c:v>2023年</c:v>
                </c:pt>
                <c:pt idx="2">
                  <c:v>              单位：万元</c:v>
                </c:pt>
              </c:strCache>
            </c:strRef>
          </c:cat>
          <c:val>
            <c:numRef>
              <c:f>Sheet1!$C$2:$C$5</c:f>
              <c:numCache>
                <c:formatCode>General</c:formatCode>
                <c:ptCount val="4"/>
                <c:pt idx="0">
                  <c:v>591.13</c:v>
                </c:pt>
                <c:pt idx="1">
                  <c:v>677.45</c:v>
                </c:pt>
              </c:numCache>
            </c:numRef>
          </c:val>
        </c:ser>
        <c:dLbls>
          <c:showLegendKey val="0"/>
          <c:showVal val="0"/>
          <c:showCatName val="0"/>
          <c:showSerName val="0"/>
          <c:showPercent val="0"/>
          <c:showBubbleSize val="0"/>
        </c:dLbls>
        <c:gapWidth val="150"/>
        <c:axId val="161965184"/>
        <c:axId val="161966720"/>
      </c:barChart>
      <c:catAx>
        <c:axId val="1619651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1966720"/>
        <c:crosses val="autoZero"/>
        <c:auto val="1"/>
        <c:lblAlgn val="ctr"/>
        <c:lblOffset val="100"/>
        <c:noMultiLvlLbl val="0"/>
      </c:catAx>
      <c:valAx>
        <c:axId val="1619667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19651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04580364517372"/>
          <c:y val="0.0176991150442478"/>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一般公共预算财政拨款收入591.13万元</c:v>
                </c:pt>
                <c:pt idx="1">
                  <c:v>政府性基金预算财政拨款收入0万元</c:v>
                </c:pt>
              </c:strCache>
            </c:strRef>
          </c:cat>
          <c:val>
            <c:numRef>
              <c:f>Sheet1!$B$2:$B$3</c:f>
              <c:numCache>
                <c:formatCode>0%</c:formatCode>
                <c:ptCount val="2"/>
                <c:pt idx="0">
                  <c:v>1</c:v>
                </c:pt>
                <c:pt idx="1">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2565183915244"/>
          <c:y val="0"/>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基本支出589.49万元</c:v>
                </c:pt>
                <c:pt idx="1">
                  <c:v>项目支出1.64万元</c:v>
                </c:pt>
              </c:strCache>
            </c:strRef>
          </c:cat>
          <c:val>
            <c:numRef>
              <c:f>Sheet1!$B$2:$B$3</c:f>
              <c:numCache>
                <c:formatCode>0.00%</c:formatCode>
                <c:ptCount val="2"/>
                <c:pt idx="0">
                  <c:v>0.9972</c:v>
                </c:pt>
                <c:pt idx="1">
                  <c:v>0.0028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c:f>
              <c:strCache>
                <c:ptCount val="1"/>
                <c:pt idx="0">
                  <c:v>财政拨款收入</c:v>
                </c:pt>
              </c:strCache>
            </c:strRef>
          </c:tx>
          <c:invertIfNegative val="0"/>
          <c:dLbls>
            <c:dLbl>
              <c:idx val="0"/>
              <c:layout>
                <c:manualLayout>
                  <c:x val="-0.0096269554753309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9253910950661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Sheet1!$A$3:$A$5</c:f>
              <c:strCache>
                <c:ptCount val="3"/>
                <c:pt idx="0">
                  <c:v>2024年</c:v>
                </c:pt>
                <c:pt idx="1">
                  <c:v>2021年</c:v>
                </c:pt>
                <c:pt idx="2">
                  <c:v>         单位：万元</c:v>
                </c:pt>
              </c:strCache>
            </c:strRef>
          </c:cat>
          <c:val>
            <c:numRef>
              <c:f>Sheet1!$B$3:$B$5</c:f>
              <c:numCache>
                <c:formatCode>General</c:formatCode>
                <c:ptCount val="3"/>
                <c:pt idx="0">
                  <c:v>591.13</c:v>
                </c:pt>
                <c:pt idx="1">
                  <c:v>677.45</c:v>
                </c:pt>
              </c:numCache>
            </c:numRef>
          </c:val>
        </c:ser>
        <c:ser>
          <c:idx val="1"/>
          <c:order val="1"/>
          <c:tx>
            <c:strRef>
              <c:f>Sheet1!$C$2</c:f>
              <c:strCache>
                <c:ptCount val="1"/>
                <c:pt idx="0">
                  <c:v>财政拨款支出</c:v>
                </c:pt>
              </c:strCache>
            </c:strRef>
          </c:tx>
          <c:invertIfNegative val="0"/>
          <c:dLbls>
            <c:dLbl>
              <c:idx val="0"/>
              <c:layout>
                <c:manualLayout>
                  <c:x val="0.0337105706718035"/>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9253910950661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Sheet1!$A$3:$A$5</c:f>
              <c:strCache>
                <c:ptCount val="3"/>
                <c:pt idx="0">
                  <c:v>2024年</c:v>
                </c:pt>
                <c:pt idx="1">
                  <c:v>2021年</c:v>
                </c:pt>
                <c:pt idx="2">
                  <c:v>         单位：万元</c:v>
                </c:pt>
              </c:strCache>
            </c:strRef>
          </c:cat>
          <c:val>
            <c:numRef>
              <c:f>Sheet1!$C$3:$C$5</c:f>
              <c:numCache>
                <c:formatCode>General</c:formatCode>
                <c:ptCount val="3"/>
                <c:pt idx="0">
                  <c:v>591.13</c:v>
                </c:pt>
                <c:pt idx="1">
                  <c:v>677.45</c:v>
                </c:pt>
              </c:numCache>
            </c:numRef>
          </c:val>
        </c:ser>
        <c:dLbls>
          <c:showLegendKey val="0"/>
          <c:showVal val="0"/>
          <c:showCatName val="0"/>
          <c:showSerName val="0"/>
          <c:showPercent val="0"/>
          <c:showBubbleSize val="0"/>
        </c:dLbls>
        <c:gapWidth val="150"/>
        <c:axId val="245938432"/>
        <c:axId val="245948416"/>
      </c:barChart>
      <c:catAx>
        <c:axId val="2459384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5948416"/>
        <c:crosses val="autoZero"/>
        <c:auto val="1"/>
        <c:lblAlgn val="ctr"/>
        <c:lblOffset val="100"/>
        <c:noMultiLvlLbl val="0"/>
      </c:catAx>
      <c:valAx>
        <c:axId val="2459484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59384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39242668709272"/>
          <c:y val="0"/>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2024年</c:v>
                </c:pt>
                <c:pt idx="1">
                  <c:v>2023年</c:v>
                </c:pt>
              </c:strCache>
            </c:strRef>
          </c:cat>
          <c:val>
            <c:numRef>
              <c:f>Sheet1!$B$2:$B$3</c:f>
              <c:numCache>
                <c:formatCode>General</c:formatCode>
                <c:ptCount val="2"/>
                <c:pt idx="0">
                  <c:v>591.13</c:v>
                </c:pt>
                <c:pt idx="1">
                  <c:v>677.45</c:v>
                </c:pt>
              </c:numCache>
            </c:numRef>
          </c:val>
        </c:ser>
        <c:dLbls>
          <c:showLegendKey val="0"/>
          <c:showVal val="0"/>
          <c:showCatName val="0"/>
          <c:showSerName val="0"/>
          <c:showPercent val="0"/>
          <c:showBubbleSize val="0"/>
        </c:dLbls>
        <c:gapWidth val="150"/>
        <c:axId val="162062720"/>
        <c:axId val="162064256"/>
      </c:barChart>
      <c:catAx>
        <c:axId val="1620627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2064256"/>
        <c:crosses val="autoZero"/>
        <c:auto val="1"/>
        <c:lblAlgn val="ctr"/>
        <c:lblOffset val="100"/>
        <c:noMultiLvlLbl val="0"/>
      </c:catAx>
      <c:valAx>
        <c:axId val="1620642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206272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39242668709272"/>
          <c:y val="0"/>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教育支出440.13万元</c:v>
                </c:pt>
                <c:pt idx="1">
                  <c:v>社会保障和就业支出65.5万元</c:v>
                </c:pt>
                <c:pt idx="2">
                  <c:v>卫生健康支出43.76万元</c:v>
                </c:pt>
                <c:pt idx="3">
                  <c:v>住房保障支出41.74万元</c:v>
                </c:pt>
              </c:strCache>
            </c:strRef>
          </c:cat>
          <c:val>
            <c:numRef>
              <c:f>Sheet1!$B$2:$B$5</c:f>
              <c:numCache>
                <c:formatCode>0.00%</c:formatCode>
                <c:ptCount val="4"/>
                <c:pt idx="0">
                  <c:v>0.7446</c:v>
                </c:pt>
                <c:pt idx="1">
                  <c:v>0.1108</c:v>
                </c:pt>
                <c:pt idx="2">
                  <c:v>0.074</c:v>
                </c:pt>
                <c:pt idx="3">
                  <c:v>0.0706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c09258f-efc1-49b5-a1e8-95773a6b6cf3}"/>
        <w:style w:val=""/>
        <w:category>
          <w:name w:val="常规"/>
          <w:gallery w:val="placeholder"/>
        </w:category>
        <w:types>
          <w:type w:val="bbPlcHdr"/>
        </w:types>
        <w:behaviors>
          <w:behavior w:val="content"/>
        </w:behaviors>
        <w:description w:val=""/>
        <w:guid w:val="{dc09258f-efc1-49b5-a1e8-95773a6b6cf3}"/>
      </w:docPartPr>
      <w:docPartBody>
        <w:p>
          <w:r>
            <w:rPr>
              <w:color w:val="808080"/>
            </w:rPr>
            <w:t>单击此处输入文字。</w:t>
          </w:r>
        </w:p>
      </w:docPartBody>
    </w:docPart>
    <w:docPart>
      <w:docPartPr>
        <w:name w:val="{1228542d-efa4-4064-b71d-eeffc5811012}"/>
        <w:style w:val=""/>
        <w:category>
          <w:name w:val="常规"/>
          <w:gallery w:val="placeholder"/>
        </w:category>
        <w:types>
          <w:type w:val="bbPlcHdr"/>
        </w:types>
        <w:behaviors>
          <w:behavior w:val="content"/>
        </w:behaviors>
        <w:description w:val=""/>
        <w:guid w:val="{1228542d-efa4-4064-b71d-eeffc5811012}"/>
      </w:docPartPr>
      <w:docPartBody>
        <w:p>
          <w:r>
            <w:rPr>
              <w:color w:val="808080"/>
            </w:rPr>
            <w:t>单击此处输入文字。</w:t>
          </w:r>
        </w:p>
      </w:docPartBody>
    </w:docPart>
    <w:docPart>
      <w:docPartPr>
        <w:name w:val="{2c027a03-4cac-499a-9c16-a4fdd3258358}"/>
        <w:style w:val=""/>
        <w:category>
          <w:name w:val="常规"/>
          <w:gallery w:val="placeholder"/>
        </w:category>
        <w:types>
          <w:type w:val="bbPlcHdr"/>
        </w:types>
        <w:behaviors>
          <w:behavior w:val="content"/>
        </w:behaviors>
        <w:description w:val=""/>
        <w:guid w:val="{2c027a03-4cac-499a-9c16-a4fdd3258358}"/>
      </w:docPartPr>
      <w:docPartBody>
        <w:p>
          <w:r>
            <w:rPr>
              <w:color w:val="808080"/>
            </w:rPr>
            <w:t>单击此处输入文字。</w:t>
          </w:r>
        </w:p>
      </w:docPartBody>
    </w:docPart>
    <w:docPart>
      <w:docPartPr>
        <w:name w:val="{943c46fd-8d0a-45b2-9c86-a86eea079622}"/>
        <w:style w:val=""/>
        <w:category>
          <w:name w:val="常规"/>
          <w:gallery w:val="placeholder"/>
        </w:category>
        <w:types>
          <w:type w:val="bbPlcHdr"/>
        </w:types>
        <w:behaviors>
          <w:behavior w:val="content"/>
        </w:behaviors>
        <w:description w:val=""/>
        <w:guid w:val="{943c46fd-8d0a-45b2-9c86-a86eea079622}"/>
      </w:docPartPr>
      <w:docPartBody>
        <w:p>
          <w:r>
            <w:rPr>
              <w:color w:val="808080"/>
            </w:rPr>
            <w:t>单击此处输入文字。</w:t>
          </w:r>
        </w:p>
      </w:docPartBody>
    </w:docPart>
    <w:docPart>
      <w:docPartPr>
        <w:name w:val="{71a7c88f-7a66-40d1-8998-ba7347a74608}"/>
        <w:style w:val=""/>
        <w:category>
          <w:name w:val="常规"/>
          <w:gallery w:val="placeholder"/>
        </w:category>
        <w:types>
          <w:type w:val="bbPlcHdr"/>
        </w:types>
        <w:behaviors>
          <w:behavior w:val="content"/>
        </w:behaviors>
        <w:description w:val=""/>
        <w:guid w:val="{71a7c88f-7a66-40d1-8998-ba7347a74608}"/>
      </w:docPartPr>
      <w:docPartBody>
        <w:p>
          <w:r>
            <w:rPr>
              <w:color w:val="808080"/>
            </w:rPr>
            <w:t>单击此处输入文字。</w:t>
          </w:r>
        </w:p>
      </w:docPartBody>
    </w:docPart>
    <w:docPart>
      <w:docPartPr>
        <w:name w:val="{662c1652-414f-494b-849c-81506a5ec9e4}"/>
        <w:style w:val=""/>
        <w:category>
          <w:name w:val="常规"/>
          <w:gallery w:val="placeholder"/>
        </w:category>
        <w:types>
          <w:type w:val="bbPlcHdr"/>
        </w:types>
        <w:behaviors>
          <w:behavior w:val="content"/>
        </w:behaviors>
        <w:description w:val=""/>
        <w:guid w:val="{662c1652-414f-494b-849c-81506a5ec9e4}"/>
      </w:docPartPr>
      <w:docPartBody>
        <w:p>
          <w:r>
            <w:rPr>
              <w:color w:val="808080"/>
            </w:rPr>
            <w:t>单击此处输入文字。</w:t>
          </w:r>
        </w:p>
      </w:docPartBody>
    </w:docPart>
    <w:docPart>
      <w:docPartPr>
        <w:name w:val="{5818e1ac-21b3-4d79-b9e3-2f791604d768}"/>
        <w:style w:val=""/>
        <w:category>
          <w:name w:val="常规"/>
          <w:gallery w:val="placeholder"/>
        </w:category>
        <w:types>
          <w:type w:val="bbPlcHdr"/>
        </w:types>
        <w:behaviors>
          <w:behavior w:val="content"/>
        </w:behaviors>
        <w:description w:val=""/>
        <w:guid w:val="{5818e1ac-21b3-4d79-b9e3-2f791604d768}"/>
      </w:docPartPr>
      <w:docPartBody>
        <w:p>
          <w:r>
            <w:rPr>
              <w:color w:val="808080"/>
            </w:rPr>
            <w:t>单击此处输入文字。</w:t>
          </w:r>
        </w:p>
      </w:docPartBody>
    </w:docPart>
    <w:docPart>
      <w:docPartPr>
        <w:name w:val="{dd79d482-8a95-4c08-802b-193cefe14af5}"/>
        <w:style w:val=""/>
        <w:category>
          <w:name w:val="常规"/>
          <w:gallery w:val="placeholder"/>
        </w:category>
        <w:types>
          <w:type w:val="bbPlcHdr"/>
        </w:types>
        <w:behaviors>
          <w:behavior w:val="content"/>
        </w:behaviors>
        <w:description w:val=""/>
        <w:guid w:val="{dd79d482-8a95-4c08-802b-193cefe14af5}"/>
      </w:docPartPr>
      <w:docPartBody>
        <w:p>
          <w:r>
            <w:rPr>
              <w:color w:val="808080"/>
            </w:rPr>
            <w:t>单击此处输入文字。</w:t>
          </w:r>
        </w:p>
      </w:docPartBody>
    </w:docPart>
    <w:docPart>
      <w:docPartPr>
        <w:name w:val="{01b8fb6d-58e5-43be-aafd-365f0705e2ea}"/>
        <w:style w:val=""/>
        <w:category>
          <w:name w:val="常规"/>
          <w:gallery w:val="placeholder"/>
        </w:category>
        <w:types>
          <w:type w:val="bbPlcHdr"/>
        </w:types>
        <w:behaviors>
          <w:behavior w:val="content"/>
        </w:behaviors>
        <w:description w:val=""/>
        <w:guid w:val="{01b8fb6d-58e5-43be-aafd-365f0705e2ea}"/>
      </w:docPartPr>
      <w:docPartBody>
        <w:p>
          <w:r>
            <w:rPr>
              <w:color w:val="808080"/>
            </w:rPr>
            <w:t>单击此处输入文字。</w:t>
          </w:r>
        </w:p>
      </w:docPartBody>
    </w:docPart>
    <w:docPart>
      <w:docPartPr>
        <w:name w:val="{a708a59a-6a87-42a2-a31b-58e86c819fcb}"/>
        <w:style w:val=""/>
        <w:category>
          <w:name w:val="常规"/>
          <w:gallery w:val="placeholder"/>
        </w:category>
        <w:types>
          <w:type w:val="bbPlcHdr"/>
        </w:types>
        <w:behaviors>
          <w:behavior w:val="content"/>
        </w:behaviors>
        <w:description w:val=""/>
        <w:guid w:val="{a708a59a-6a87-42a2-a31b-58e86c819fcb}"/>
      </w:docPartPr>
      <w:docPartBody>
        <w:p>
          <w:r>
            <w:rPr>
              <w:color w:val="808080"/>
            </w:rPr>
            <w:t>单击此处输入文字。</w:t>
          </w:r>
        </w:p>
      </w:docPartBody>
    </w:docPart>
    <w:docPart>
      <w:docPartPr>
        <w:name w:val="{acd25477-3437-4087-914b-bce55c98eca0}"/>
        <w:style w:val=""/>
        <w:category>
          <w:name w:val="常规"/>
          <w:gallery w:val="placeholder"/>
        </w:category>
        <w:types>
          <w:type w:val="bbPlcHdr"/>
        </w:types>
        <w:behaviors>
          <w:behavior w:val="content"/>
        </w:behaviors>
        <w:description w:val=""/>
        <w:guid w:val="{acd25477-3437-4087-914b-bce55c98eca0}"/>
      </w:docPartPr>
      <w:docPartBody>
        <w:p>
          <w:r>
            <w:rPr>
              <w:color w:val="808080"/>
            </w:rPr>
            <w:t>单击此处输入文字。</w:t>
          </w:r>
        </w:p>
      </w:docPartBody>
    </w:docPart>
    <w:docPart>
      <w:docPartPr>
        <w:name w:val="{b9c9df2b-8d99-4fa2-ad52-a5adbab0b9eb}"/>
        <w:style w:val=""/>
        <w:category>
          <w:name w:val="常规"/>
          <w:gallery w:val="placeholder"/>
        </w:category>
        <w:types>
          <w:type w:val="bbPlcHdr"/>
        </w:types>
        <w:behaviors>
          <w:behavior w:val="content"/>
        </w:behaviors>
        <w:description w:val=""/>
        <w:guid w:val="{b9c9df2b-8d99-4fa2-ad52-a5adbab0b9eb}"/>
      </w:docPartPr>
      <w:docPartBody>
        <w:p>
          <w:r>
            <w:rPr>
              <w:color w:val="808080"/>
            </w:rPr>
            <w:t>单击此处输入文字。</w:t>
          </w:r>
        </w:p>
      </w:docPartBody>
    </w:docPart>
    <w:docPart>
      <w:docPartPr>
        <w:name w:val="{966d30ec-fc26-4a75-8849-3a5f413f9edc}"/>
        <w:style w:val=""/>
        <w:category>
          <w:name w:val="常规"/>
          <w:gallery w:val="placeholder"/>
        </w:category>
        <w:types>
          <w:type w:val="bbPlcHdr"/>
        </w:types>
        <w:behaviors>
          <w:behavior w:val="content"/>
        </w:behaviors>
        <w:description w:val=""/>
        <w:guid w:val="{966d30ec-fc26-4a75-8849-3a5f413f9edc}"/>
      </w:docPartPr>
      <w:docPartBody>
        <w:p>
          <w:r>
            <w:rPr>
              <w:color w:val="808080"/>
            </w:rPr>
            <w:t>单击此处输入文字。</w:t>
          </w:r>
        </w:p>
      </w:docPartBody>
    </w:docPart>
    <w:docPart>
      <w:docPartPr>
        <w:name w:val="{fc2c9f9d-b565-48bd-8fb3-817f440a095f}"/>
        <w:style w:val=""/>
        <w:category>
          <w:name w:val="常规"/>
          <w:gallery w:val="placeholder"/>
        </w:category>
        <w:types>
          <w:type w:val="bbPlcHdr"/>
        </w:types>
        <w:behaviors>
          <w:behavior w:val="content"/>
        </w:behaviors>
        <w:description w:val=""/>
        <w:guid w:val="{fc2c9f9d-b565-48bd-8fb3-817f440a095f}"/>
      </w:docPartPr>
      <w:docPartBody>
        <w:p>
          <w:r>
            <w:rPr>
              <w:color w:val="808080"/>
            </w:rPr>
            <w:t>单击此处输入文字。</w:t>
          </w:r>
        </w:p>
      </w:docPartBody>
    </w:docPart>
    <w:docPart>
      <w:docPartPr>
        <w:name w:val="{114c598b-9060-4b7c-960c-c957e0789ed4}"/>
        <w:style w:val=""/>
        <w:category>
          <w:name w:val="常规"/>
          <w:gallery w:val="placeholder"/>
        </w:category>
        <w:types>
          <w:type w:val="bbPlcHdr"/>
        </w:types>
        <w:behaviors>
          <w:behavior w:val="content"/>
        </w:behaviors>
        <w:description w:val=""/>
        <w:guid w:val="{114c598b-9060-4b7c-960c-c957e0789ed4}"/>
      </w:docPartPr>
      <w:docPartBody>
        <w:p>
          <w:r>
            <w:rPr>
              <w:color w:val="808080"/>
            </w:rPr>
            <w:t>单击此处输入文字。</w:t>
          </w:r>
        </w:p>
      </w:docPartBody>
    </w:docPart>
    <w:docPart>
      <w:docPartPr>
        <w:name w:val="{954e32e8-0c93-442e-8d71-90be16c5c9bc}"/>
        <w:style w:val=""/>
        <w:category>
          <w:name w:val="常规"/>
          <w:gallery w:val="placeholder"/>
        </w:category>
        <w:types>
          <w:type w:val="bbPlcHdr"/>
        </w:types>
        <w:behaviors>
          <w:behavior w:val="content"/>
        </w:behaviors>
        <w:description w:val=""/>
        <w:guid w:val="{954e32e8-0c93-442e-8d71-90be16c5c9bc}"/>
      </w:docPartPr>
      <w:docPartBody>
        <w:p>
          <w:r>
            <w:rPr>
              <w:color w:val="808080"/>
            </w:rPr>
            <w:t>单击此处输入文字。</w:t>
          </w:r>
        </w:p>
      </w:docPartBody>
    </w:docPart>
    <w:docPart>
      <w:docPartPr>
        <w:name w:val="{821fe2c0-a471-4d77-8099-f675b15bcc34}"/>
        <w:style w:val=""/>
        <w:category>
          <w:name w:val="常规"/>
          <w:gallery w:val="placeholder"/>
        </w:category>
        <w:types>
          <w:type w:val="bbPlcHdr"/>
        </w:types>
        <w:behaviors>
          <w:behavior w:val="content"/>
        </w:behaviors>
        <w:description w:val=""/>
        <w:guid w:val="{821fe2c0-a471-4d77-8099-f675b15bcc34}"/>
      </w:docPartPr>
      <w:docPartBody>
        <w:p>
          <w:r>
            <w:rPr>
              <w:color w:val="808080"/>
            </w:rPr>
            <w:t>单击此处输入文字。</w:t>
          </w:r>
        </w:p>
      </w:docPartBody>
    </w:docPart>
    <w:docPart>
      <w:docPartPr>
        <w:name w:val="{06c21384-f6ee-45d3-aca0-e7256ca75dd8}"/>
        <w:style w:val=""/>
        <w:category>
          <w:name w:val="常规"/>
          <w:gallery w:val="placeholder"/>
        </w:category>
        <w:types>
          <w:type w:val="bbPlcHdr"/>
        </w:types>
        <w:behaviors>
          <w:behavior w:val="content"/>
        </w:behaviors>
        <w:description w:val=""/>
        <w:guid w:val="{06c21384-f6ee-45d3-aca0-e7256ca75dd8}"/>
      </w:docPartPr>
      <w:docPartBody>
        <w:p>
          <w:r>
            <w:rPr>
              <w:color w:val="808080"/>
            </w:rPr>
            <w:t>单击此处输入文字。</w:t>
          </w:r>
        </w:p>
      </w:docPartBody>
    </w:docPart>
    <w:docPart>
      <w:docPartPr>
        <w:name w:val="{11a396b3-7dcb-453d-868d-77e31bced4f6}"/>
        <w:style w:val=""/>
        <w:category>
          <w:name w:val="常规"/>
          <w:gallery w:val="placeholder"/>
        </w:category>
        <w:types>
          <w:type w:val="bbPlcHdr"/>
        </w:types>
        <w:behaviors>
          <w:behavior w:val="content"/>
        </w:behaviors>
        <w:description w:val=""/>
        <w:guid w:val="{11a396b3-7dcb-453d-868d-77e31bced4f6}"/>
      </w:docPartPr>
      <w:docPartBody>
        <w:p>
          <w:r>
            <w:rPr>
              <w:color w:val="808080"/>
            </w:rPr>
            <w:t>单击此处输入文字。</w:t>
          </w:r>
        </w:p>
      </w:docPartBody>
    </w:docPart>
    <w:docPart>
      <w:docPartPr>
        <w:name w:val="{9ae262ed-0844-40ad-8369-2a52b0a7ce92}"/>
        <w:style w:val=""/>
        <w:category>
          <w:name w:val="常规"/>
          <w:gallery w:val="placeholder"/>
        </w:category>
        <w:types>
          <w:type w:val="bbPlcHdr"/>
        </w:types>
        <w:behaviors>
          <w:behavior w:val="content"/>
        </w:behaviors>
        <w:description w:val=""/>
        <w:guid w:val="{9ae262ed-0844-40ad-8369-2a52b0a7ce92}"/>
      </w:docPartPr>
      <w:docPartBody>
        <w:p>
          <w:r>
            <w:rPr>
              <w:color w:val="808080"/>
            </w:rPr>
            <w:t>单击此处输入文字。</w:t>
          </w:r>
        </w:p>
      </w:docPartBody>
    </w:docPart>
    <w:docPart>
      <w:docPartPr>
        <w:name w:val="{17542c9e-ca86-40a0-96cc-6e082ef17b1f}"/>
        <w:style w:val=""/>
        <w:category>
          <w:name w:val="常规"/>
          <w:gallery w:val="placeholder"/>
        </w:category>
        <w:types>
          <w:type w:val="bbPlcHdr"/>
        </w:types>
        <w:behaviors>
          <w:behavior w:val="content"/>
        </w:behaviors>
        <w:description w:val=""/>
        <w:guid w:val="{17542c9e-ca86-40a0-96cc-6e082ef17b1f}"/>
      </w:docPartPr>
      <w:docPartBody>
        <w:p>
          <w:r>
            <w:rPr>
              <w:color w:val="808080"/>
            </w:rPr>
            <w:t>单击此处输入文字。</w:t>
          </w:r>
        </w:p>
      </w:docPartBody>
    </w:docPart>
    <w:docPart>
      <w:docPartPr>
        <w:name w:val="{0371dbb3-de33-43e3-aa8c-06172b56bdc1}"/>
        <w:style w:val=""/>
        <w:category>
          <w:name w:val="常规"/>
          <w:gallery w:val="placeholder"/>
        </w:category>
        <w:types>
          <w:type w:val="bbPlcHdr"/>
        </w:types>
        <w:behaviors>
          <w:behavior w:val="content"/>
        </w:behaviors>
        <w:description w:val=""/>
        <w:guid w:val="{0371dbb3-de33-43e3-aa8c-06172b56bdc1}"/>
      </w:docPartPr>
      <w:docPartBody>
        <w:p>
          <w:r>
            <w:rPr>
              <w:color w:val="808080"/>
            </w:rPr>
            <w:t>单击此处输入文字。</w:t>
          </w:r>
        </w:p>
      </w:docPartBody>
    </w:docPart>
    <w:docPart>
      <w:docPartPr>
        <w:name w:val="{31967e68-62f6-44ee-9c2e-8e568282789e}"/>
        <w:style w:val=""/>
        <w:category>
          <w:name w:val="常规"/>
          <w:gallery w:val="placeholder"/>
        </w:category>
        <w:types>
          <w:type w:val="bbPlcHdr"/>
        </w:types>
        <w:behaviors>
          <w:behavior w:val="content"/>
        </w:behaviors>
        <w:description w:val=""/>
        <w:guid w:val="{31967e68-62f6-44ee-9c2e-8e568282789e}"/>
      </w:docPartPr>
      <w:docPartBody>
        <w:p>
          <w:r>
            <w:rPr>
              <w:color w:val="808080"/>
            </w:rPr>
            <w:t>单击此处输入文字。</w:t>
          </w:r>
        </w:p>
      </w:docPartBody>
    </w:docPart>
    <w:docPart>
      <w:docPartPr>
        <w:name w:val="{05dcb755-9cee-4b99-a5f9-64a87104d098}"/>
        <w:style w:val=""/>
        <w:category>
          <w:name w:val="常规"/>
          <w:gallery w:val="placeholder"/>
        </w:category>
        <w:types>
          <w:type w:val="bbPlcHdr"/>
        </w:types>
        <w:behaviors>
          <w:behavior w:val="content"/>
        </w:behaviors>
        <w:description w:val=""/>
        <w:guid w:val="{05dcb755-9cee-4b99-a5f9-64a87104d098}"/>
      </w:docPartPr>
      <w:docPartBody>
        <w:p>
          <w:r>
            <w:rPr>
              <w:color w:val="808080"/>
            </w:rPr>
            <w:t>单击此处输入文字。</w:t>
          </w:r>
        </w:p>
      </w:docPartBody>
    </w:docPart>
    <w:docPart>
      <w:docPartPr>
        <w:name w:val="{330d06a0-9a6e-48a8-bd04-355de07dc423}"/>
        <w:style w:val=""/>
        <w:category>
          <w:name w:val="常规"/>
          <w:gallery w:val="placeholder"/>
        </w:category>
        <w:types>
          <w:type w:val="bbPlcHdr"/>
        </w:types>
        <w:behaviors>
          <w:behavior w:val="content"/>
        </w:behaviors>
        <w:description w:val=""/>
        <w:guid w:val="{330d06a0-9a6e-48a8-bd04-355de07dc423}"/>
      </w:docPartPr>
      <w:docPartBody>
        <w:p>
          <w:r>
            <w:rPr>
              <w:color w:val="808080"/>
            </w:rPr>
            <w:t>单击此处输入文字。</w:t>
          </w:r>
        </w:p>
      </w:docPartBody>
    </w:docPart>
    <w:docPart>
      <w:docPartPr>
        <w:name w:val="{901cc60f-c282-4864-a7f6-0ae2443fdc76}"/>
        <w:style w:val=""/>
        <w:category>
          <w:name w:val="常规"/>
          <w:gallery w:val="placeholder"/>
        </w:category>
        <w:types>
          <w:type w:val="bbPlcHdr"/>
        </w:types>
        <w:behaviors>
          <w:behavior w:val="content"/>
        </w:behaviors>
        <w:description w:val=""/>
        <w:guid w:val="{901cc60f-c282-4864-a7f6-0ae2443fdc76}"/>
      </w:docPartPr>
      <w:docPartBody>
        <w:p>
          <w:r>
            <w:rPr>
              <w:color w:val="808080"/>
            </w:rPr>
            <w:t>单击此处输入文字。</w:t>
          </w:r>
        </w:p>
      </w:docPartBody>
    </w:docPart>
    <w:docPart>
      <w:docPartPr>
        <w:name w:val="{65a64831-3c3a-4f7f-bc61-5fa79ad2226a}"/>
        <w:style w:val=""/>
        <w:category>
          <w:name w:val="常规"/>
          <w:gallery w:val="placeholder"/>
        </w:category>
        <w:types>
          <w:type w:val="bbPlcHdr"/>
        </w:types>
        <w:behaviors>
          <w:behavior w:val="content"/>
        </w:behaviors>
        <w:description w:val=""/>
        <w:guid w:val="{65a64831-3c3a-4f7f-bc61-5fa79ad2226a}"/>
      </w:docPartPr>
      <w:docPartBody>
        <w:p>
          <w:r>
            <w:rPr>
              <w:color w:val="808080"/>
            </w:rPr>
            <w:t>单击此处输入文字。</w:t>
          </w:r>
        </w:p>
      </w:docPartBody>
    </w:docPart>
    <w:docPart>
      <w:docPartPr>
        <w:name w:val="{a2b9e573-67eb-4aef-98cf-3cebcf82dd7f}"/>
        <w:style w:val=""/>
        <w:category>
          <w:name w:val="常规"/>
          <w:gallery w:val="placeholder"/>
        </w:category>
        <w:types>
          <w:type w:val="bbPlcHdr"/>
        </w:types>
        <w:behaviors>
          <w:behavior w:val="content"/>
        </w:behaviors>
        <w:description w:val=""/>
        <w:guid w:val="{a2b9e573-67eb-4aef-98cf-3cebcf82dd7f}"/>
      </w:docPartPr>
      <w:docPartBody>
        <w:p>
          <w:r>
            <w:rPr>
              <w:color w:val="808080"/>
            </w:rPr>
            <w:t>单击此处输入文字。</w:t>
          </w:r>
        </w:p>
      </w:docPartBody>
    </w:docPart>
    <w:docPart>
      <w:docPartPr>
        <w:name w:val="{c80113af-0ce3-4cf4-8b38-c39a6671be51}"/>
        <w:style w:val=""/>
        <w:category>
          <w:name w:val="常规"/>
          <w:gallery w:val="placeholder"/>
        </w:category>
        <w:types>
          <w:type w:val="bbPlcHdr"/>
        </w:types>
        <w:behaviors>
          <w:behavior w:val="content"/>
        </w:behaviors>
        <w:description w:val=""/>
        <w:guid w:val="{c80113af-0ce3-4cf4-8b38-c39a6671be51}"/>
      </w:docPartPr>
      <w:docPartBody>
        <w:p>
          <w:r>
            <w:rPr>
              <w:color w:val="808080"/>
            </w:rPr>
            <w:t>单击此处输入文字。</w:t>
          </w:r>
        </w:p>
      </w:docPartBody>
    </w:docPart>
    <w:docPart>
      <w:docPartPr>
        <w:name w:val="{d786fba4-44b1-4280-962a-30ecff68c494}"/>
        <w:style w:val=""/>
        <w:category>
          <w:name w:val="常规"/>
          <w:gallery w:val="placeholder"/>
        </w:category>
        <w:types>
          <w:type w:val="bbPlcHdr"/>
        </w:types>
        <w:behaviors>
          <w:behavior w:val="content"/>
        </w:behaviors>
        <w:description w:val=""/>
        <w:guid w:val="{d786fba4-44b1-4280-962a-30ecff68c494}"/>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831</Words>
  <Characters>4740</Characters>
  <Lines>39</Lines>
  <Paragraphs>11</Paragraphs>
  <TotalTime>12</TotalTime>
  <ScaleCrop>false</ScaleCrop>
  <LinksUpToDate>false</LinksUpToDate>
  <CharactersWithSpaces>5560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2025-10-15T06:53:00Z</dcterms:created>
  <dc:creator>曹颖</dc:creator>
  <cp:lastModifiedBy>池鱼</cp:lastModifiedBy>
  <cp:lastPrinted>2025-08-06T17:34:00Z</cp:lastPrinted>
  <dcterms:modified xsi:type="dcterms:W3CDTF">2025-10-28T07:30:19Z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y fmtid="{D5CDD505-2E9C-101B-9397-08002B2CF9AE}" pid="4" name="KSOTemplateDocerSaveRecord">
    <vt:lpwstr>eyJoZGlkIjoiOTIzZjJiOTY5MjQwZTM0NmE4MGJlZDM3OTA0MzFjMTgiLCJ1c2VySWQiOiI4MzMwMTI2MjIifQ==</vt:lpwstr>
  </property>
</Properties>
</file>