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405F">
      <w:pPr>
        <w:pStyle w:val="2"/>
        <w:spacing w:before="93"/>
        <w:rPr>
          <w:rFonts w:ascii="Times New Roman" w:eastAsia="方正小标宋简体"/>
          <w:kern w:val="2"/>
          <w:sz w:val="72"/>
          <w:szCs w:val="72"/>
        </w:rPr>
      </w:pPr>
      <w:bookmarkStart w:id="0" w:name="_Toc15377193"/>
      <w:bookmarkStart w:id="1" w:name="_Toc15378441"/>
      <w:bookmarkStart w:id="2" w:name="_Toc15396475"/>
      <w:bookmarkStart w:id="3" w:name="_Toc15396597"/>
      <w:bookmarkStart w:id="4" w:name="_Toc15377425"/>
      <w:bookmarkStart w:id="5" w:name="_Toc15306267"/>
    </w:p>
    <w:p w14:paraId="2B68562F">
      <w:pPr>
        <w:pStyle w:val="2"/>
        <w:spacing w:before="93"/>
        <w:rPr>
          <w:rFonts w:ascii="Times New Roman" w:eastAsia="方正小标宋简体"/>
          <w:kern w:val="2"/>
          <w:sz w:val="72"/>
          <w:szCs w:val="72"/>
        </w:rPr>
      </w:pPr>
    </w:p>
    <w:p w14:paraId="53BD012E">
      <w:pPr>
        <w:pStyle w:val="2"/>
        <w:spacing w:before="93"/>
        <w:rPr>
          <w:rFonts w:ascii="Times New Roman" w:eastAsia="方正小标宋简体"/>
          <w:kern w:val="2"/>
          <w:sz w:val="72"/>
          <w:szCs w:val="72"/>
        </w:rPr>
      </w:pPr>
    </w:p>
    <w:p w14:paraId="017C301E">
      <w:pPr>
        <w:pStyle w:val="2"/>
        <w:spacing w:before="93"/>
        <w:jc w:val="center"/>
        <w:rPr>
          <w:rFonts w:ascii="Times New Roman" w:eastAsia="方正小标宋简体"/>
          <w:kern w:val="2"/>
          <w:sz w:val="52"/>
          <w:szCs w:val="52"/>
        </w:rPr>
      </w:pPr>
      <w:r>
        <w:rPr>
          <w:rFonts w:ascii="Times New Roman" w:eastAsia="方正小标宋简体"/>
          <w:kern w:val="2"/>
          <w:sz w:val="52"/>
          <w:szCs w:val="52"/>
        </w:rPr>
        <w:t>2024年度</w:t>
      </w:r>
    </w:p>
    <w:p w14:paraId="7E3D80BA">
      <w:pPr>
        <w:pStyle w:val="2"/>
        <w:spacing w:before="93"/>
        <w:jc w:val="center"/>
        <w:rPr>
          <w:rFonts w:ascii="Times New Roman" w:eastAsia="方正小标宋简体"/>
          <w:kern w:val="2"/>
          <w:sz w:val="52"/>
          <w:szCs w:val="52"/>
        </w:rPr>
      </w:pPr>
      <w:r>
        <w:rPr>
          <w:rFonts w:ascii="Times New Roman" w:eastAsia="方正小标宋简体"/>
          <w:kern w:val="2"/>
          <w:sz w:val="52"/>
          <w:szCs w:val="52"/>
        </w:rPr>
        <w:t>盐边县惠民镇中心学校</w:t>
      </w:r>
    </w:p>
    <w:p w14:paraId="66DABF52">
      <w:pPr>
        <w:pStyle w:val="2"/>
        <w:spacing w:before="93"/>
        <w:jc w:val="center"/>
        <w:rPr>
          <w:rFonts w:ascii="Times New Roman" w:eastAsia="方正小标宋简体"/>
          <w:kern w:val="2"/>
          <w:sz w:val="52"/>
          <w:szCs w:val="52"/>
        </w:rPr>
      </w:pPr>
      <w:r>
        <w:rPr>
          <w:rFonts w:ascii="Times New Roman" w:eastAsia="方正小标宋简体"/>
          <w:kern w:val="2"/>
          <w:sz w:val="52"/>
          <w:szCs w:val="52"/>
        </w:rPr>
        <w:t>单位决算公开</w:t>
      </w:r>
    </w:p>
    <w:p w14:paraId="522056B7">
      <w:pPr>
        <w:spacing w:line="600" w:lineRule="exact"/>
        <w:jc w:val="center"/>
        <w:outlineLvl w:val="0"/>
        <w:rPr>
          <w:rFonts w:eastAsia="方正小标宋简体"/>
          <w:sz w:val="72"/>
          <w:szCs w:val="72"/>
        </w:rPr>
      </w:pPr>
    </w:p>
    <w:p w14:paraId="18BB20FE">
      <w:pPr>
        <w:pStyle w:val="19"/>
        <w:rPr>
          <w:rFonts w:ascii="Times New Roman" w:hAnsi="Times New Roman"/>
        </w:rPr>
        <w:sectPr>
          <w:headerReference r:id="rId3" w:type="default"/>
          <w:footerReference r:id="rId4" w:type="default"/>
          <w:pgSz w:w="11906" w:h="16838"/>
          <w:pgMar w:top="2098" w:right="1474" w:bottom="1985" w:left="1588" w:header="851" w:footer="992" w:gutter="0"/>
          <w:pgNumType w:fmt="numberInDash" w:start="1"/>
          <w:cols w:space="425" w:num="1"/>
          <w:titlePg/>
          <w:docGrid w:type="lines" w:linePitch="312" w:charSpace="0"/>
        </w:sectPr>
      </w:pPr>
    </w:p>
    <w:p w14:paraId="7CF26FF6"/>
    <w:bookmarkEnd w:id="0"/>
    <w:bookmarkEnd w:id="1"/>
    <w:bookmarkEnd w:id="2"/>
    <w:bookmarkEnd w:id="3"/>
    <w:bookmarkEnd w:id="4"/>
    <w:bookmarkEnd w:id="5"/>
    <w:p w14:paraId="2F0B6265">
      <w:pPr>
        <w:widowControl/>
        <w:jc w:val="center"/>
        <w:rPr>
          <w:rFonts w:eastAsia="黑体"/>
          <w:sz w:val="28"/>
          <w:szCs w:val="28"/>
        </w:rPr>
      </w:pPr>
      <w:r>
        <w:rPr>
          <w:rFonts w:eastAsia="黑体"/>
          <w:sz w:val="48"/>
          <w:szCs w:val="48"/>
        </w:rPr>
        <w:t>目录</w:t>
      </w:r>
    </w:p>
    <w:p w14:paraId="0574FCF9">
      <w:pPr>
        <w:pStyle w:val="12"/>
        <w:rPr>
          <w:sz w:val="28"/>
          <w:szCs w:val="28"/>
        </w:rPr>
      </w:pPr>
      <w:r>
        <w:rPr>
          <w:rFonts w:ascii="Times New Roman" w:hAnsi="Times New Roman" w:eastAsia="仿宋_GB2312"/>
        </w:rPr>
        <w:t>公开时间：2025年10月28日</w:t>
      </w:r>
    </w:p>
    <w:p w14:paraId="313A5F10">
      <w:pPr>
        <w:pStyle w:val="12"/>
        <w:adjustRightInd w:val="0"/>
        <w:snapToGrid w:val="0"/>
        <w:spacing w:before="0" w:line="560" w:lineRule="exact"/>
        <w:jc w:val="left"/>
        <w:rPr>
          <w:rFonts w:ascii="Times New Roman" w:hAnsi="Times New Roman" w:eastAsia="仿宋_GB2312"/>
        </w:rPr>
      </w:pPr>
      <w:bookmarkStart w:id="6" w:name="_Toc15377196"/>
      <w:bookmarkStart w:id="7" w:name="_Toc15396599"/>
      <w:r>
        <w:rPr>
          <w:rFonts w:ascii="Times New Roman" w:hAnsi="Times New Roman" w:eastAsia="仿宋_GB2312"/>
        </w:rPr>
        <w:fldChar w:fldCharType="begin"/>
      </w:r>
      <w:r>
        <w:rPr>
          <w:rFonts w:ascii="Times New Roman" w:hAnsi="Times New Roman" w:eastAsia="仿宋_GB2312"/>
        </w:rPr>
        <w:instrText xml:space="preserve">TOC \o "1-3" \u </w:instrText>
      </w:r>
      <w:r>
        <w:rPr>
          <w:rFonts w:ascii="Times New Roman" w:hAnsi="Times New Roman" w:eastAsia="仿宋_GB2312"/>
        </w:rPr>
        <w:fldChar w:fldCharType="separate"/>
      </w:r>
      <w:r>
        <w:rPr>
          <w:rFonts w:ascii="Times New Roman" w:hAnsi="Times New Roman" w:eastAsia="黑体"/>
        </w:rPr>
        <w:t>第一部分  单位概况</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_Toc5539 \h </w:instrText>
      </w:r>
      <w:r>
        <w:rPr>
          <w:rFonts w:ascii="Times New Roman" w:hAnsi="Times New Roman" w:eastAsia="仿宋_GB2312"/>
        </w:rPr>
        <w:fldChar w:fldCharType="separate"/>
      </w:r>
      <w:r>
        <w:rPr>
          <w:rFonts w:ascii="Times New Roman" w:hAnsi="Times New Roman" w:eastAsia="仿宋_GB2312"/>
        </w:rPr>
        <w:t>1</w:t>
      </w:r>
      <w:r>
        <w:rPr>
          <w:rFonts w:ascii="Times New Roman" w:hAnsi="Times New Roman" w:eastAsia="仿宋_GB2312"/>
        </w:rPr>
        <w:fldChar w:fldCharType="end"/>
      </w:r>
    </w:p>
    <w:p w14:paraId="45473E28">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一、主要职责</w:t>
      </w:r>
      <w:bookmarkStart w:id="102" w:name="_GoBack"/>
      <w:bookmarkEnd w:id="102"/>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_Toc25054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p w14:paraId="385A88F5">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二、机构设置</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_Toc23108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p w14:paraId="1E1EA89C">
      <w:pPr>
        <w:pStyle w:val="14"/>
        <w:adjustRightInd w:val="0"/>
        <w:snapToGrid w:val="0"/>
        <w:spacing w:line="560" w:lineRule="exact"/>
        <w:ind w:left="0" w:leftChars="0"/>
        <w:jc w:val="left"/>
        <w:rPr>
          <w:rFonts w:eastAsia="仿宋_GB2312"/>
          <w:sz w:val="28"/>
          <w:szCs w:val="28"/>
        </w:rPr>
      </w:pPr>
      <w:r>
        <w:rPr>
          <w:rFonts w:eastAsia="黑体"/>
          <w:sz w:val="28"/>
          <w:szCs w:val="28"/>
        </w:rPr>
        <w:t>第二部分  2024年度单位决算情况说明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_Toc682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p>
    <w:p w14:paraId="51941411">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一、收入支出决算总体情况说明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_Toc2559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p>
    <w:p w14:paraId="6F103C65">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二、收入决算情况说明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_Toc26526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p>
    <w:p w14:paraId="7D13FBA6">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三、支出决算情况说明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_Toc15409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p>
    <w:p w14:paraId="2453028B">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四、财政拨款收入支出决算总体情况说明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_Toc16741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p>
    <w:p w14:paraId="576FDCA4">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五、一般公共预算财政拨款支出决算情况说明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_Toc27544 \h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p>
    <w:p w14:paraId="338B372E">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六、一般公共预算财政拨款基本支出决算情况说明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_Toc20830 \h </w:instrText>
      </w:r>
      <w:r>
        <w:rPr>
          <w:rFonts w:eastAsia="仿宋_GB2312"/>
          <w:sz w:val="28"/>
          <w:szCs w:val="28"/>
        </w:rPr>
        <w:fldChar w:fldCharType="separate"/>
      </w:r>
      <w:r>
        <w:rPr>
          <w:rFonts w:eastAsia="仿宋_GB2312"/>
          <w:sz w:val="28"/>
          <w:szCs w:val="28"/>
        </w:rPr>
        <w:t>6</w:t>
      </w:r>
      <w:r>
        <w:rPr>
          <w:rFonts w:eastAsia="仿宋_GB2312"/>
          <w:sz w:val="28"/>
          <w:szCs w:val="28"/>
        </w:rPr>
        <w:fldChar w:fldCharType="end"/>
      </w:r>
    </w:p>
    <w:p w14:paraId="4FE3777E">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七、财政拨款“三公”经费支出决算情况说明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_Toc4292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p>
    <w:p w14:paraId="0B250084">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八、政府性基金预算支出决算情况说明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_Toc15254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p>
    <w:p w14:paraId="54DBBD12">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九、国有资本经营预算支出决算情况说明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_Toc10443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p>
    <w:p w14:paraId="27885045">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十、其他重要事项的情况说明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_Toc12169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p>
    <w:p w14:paraId="61B65DEC">
      <w:pPr>
        <w:pStyle w:val="14"/>
        <w:adjustRightInd w:val="0"/>
        <w:snapToGrid w:val="0"/>
        <w:spacing w:line="560" w:lineRule="exact"/>
        <w:ind w:left="0" w:leftChars="0"/>
        <w:jc w:val="left"/>
        <w:rPr>
          <w:rFonts w:eastAsia="仿宋_GB2312"/>
          <w:sz w:val="28"/>
          <w:szCs w:val="28"/>
        </w:rPr>
      </w:pPr>
      <w:r>
        <w:rPr>
          <w:rFonts w:eastAsia="黑体"/>
          <w:sz w:val="28"/>
          <w:szCs w:val="28"/>
        </w:rPr>
        <w:t>第三部分  名词解释</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_Toc15789 \h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p>
    <w:p w14:paraId="28EF97BE">
      <w:pPr>
        <w:pStyle w:val="14"/>
        <w:adjustRightInd w:val="0"/>
        <w:snapToGrid w:val="0"/>
        <w:spacing w:line="560" w:lineRule="exact"/>
        <w:ind w:left="0" w:leftChars="0"/>
        <w:jc w:val="left"/>
        <w:rPr>
          <w:rFonts w:eastAsia="仿宋_GB2312"/>
          <w:sz w:val="28"/>
          <w:szCs w:val="28"/>
        </w:rPr>
      </w:pPr>
      <w:r>
        <w:rPr>
          <w:rFonts w:eastAsia="黑体"/>
          <w:sz w:val="28"/>
          <w:szCs w:val="28"/>
        </w:rPr>
        <w:t>第四部分 附件</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_Toc15565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p>
    <w:p w14:paraId="7DFBEC03">
      <w:pPr>
        <w:pStyle w:val="14"/>
        <w:adjustRightInd w:val="0"/>
        <w:snapToGrid w:val="0"/>
        <w:spacing w:line="560" w:lineRule="exact"/>
        <w:ind w:left="0" w:leftChars="0"/>
        <w:jc w:val="left"/>
        <w:rPr>
          <w:rFonts w:eastAsia="仿宋_GB2312"/>
          <w:sz w:val="28"/>
          <w:szCs w:val="28"/>
        </w:rPr>
      </w:pPr>
      <w:r>
        <w:rPr>
          <w:rFonts w:eastAsia="黑体"/>
          <w:sz w:val="28"/>
          <w:szCs w:val="28"/>
        </w:rPr>
        <w:t>第五部分 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_Toc24199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36948FED">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一、收入支出决算总表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_Toc10422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23E6CE27">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二、收入决算表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_Toc22017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30BB2C9E">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三、支出决算表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_Toc7371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75EF7B43">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四、财政拨款收入支出决算总表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_Toc17882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131121E4">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五、财政拨款支出决算明细表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_Toc22039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6F564E5F">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六、一般公共预算财政拨款支出决算表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_Toc14358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1EEE4CD8">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七、一般公共预算财政拨款支出决算明细表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_Toc31526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7C8AC3DE">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八、一般公共预算财政拨款基本支出决算表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_Toc21312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13556F96">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九、一般公共预算财政拨款项目支出决算表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_Toc4544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713855E6">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十、政府性基金预算财政拨款收入支出决算表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_Toc16836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04D12807">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十一、国有资本经营预算财政拨款收入支出决算表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_Toc28514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146609AA">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十二、国有资本经营预算财政拨款支出决算表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_Toc27901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11BA23E2">
      <w:pPr>
        <w:pStyle w:val="14"/>
        <w:tabs>
          <w:tab w:val="right" w:leader="dot" w:pos="8306"/>
          <w:tab w:val="clear" w:pos="8296"/>
        </w:tabs>
        <w:adjustRightInd w:val="0"/>
        <w:snapToGrid w:val="0"/>
        <w:spacing w:line="560" w:lineRule="exact"/>
        <w:ind w:left="0" w:leftChars="0" w:firstLine="560" w:firstLineChars="200"/>
        <w:jc w:val="left"/>
        <w:rPr>
          <w:rFonts w:eastAsia="仿宋_GB2312"/>
          <w:sz w:val="28"/>
          <w:szCs w:val="28"/>
        </w:rPr>
      </w:pPr>
      <w:r>
        <w:rPr>
          <w:rFonts w:eastAsia="仿宋_GB2312"/>
          <w:sz w:val="28"/>
          <w:szCs w:val="28"/>
        </w:rPr>
        <w:t>十三、财政拨款“三公”经费支出决算表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_Toc25213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p>
    <w:p w14:paraId="6D5C2367">
      <w:pPr>
        <w:pStyle w:val="14"/>
        <w:adjustRightInd w:val="0"/>
        <w:snapToGrid w:val="0"/>
        <w:spacing w:line="560" w:lineRule="exact"/>
        <w:ind w:left="0" w:leftChars="0" w:firstLine="560" w:firstLineChars="200"/>
        <w:jc w:val="left"/>
      </w:pPr>
      <w:r>
        <w:rPr>
          <w:rFonts w:eastAsia="仿宋_GB2312"/>
          <w:sz w:val="28"/>
          <w:szCs w:val="28"/>
        </w:rPr>
        <w:fldChar w:fldCharType="end"/>
      </w:r>
    </w:p>
    <w:p w14:paraId="647747B7">
      <w:pPr>
        <w:widowControl/>
        <w:spacing w:line="560" w:lineRule="exact"/>
        <w:jc w:val="left"/>
        <w:rPr>
          <w:rFonts w:eastAsia="仿宋_GB2312"/>
          <w:bCs/>
          <w:kern w:val="44"/>
          <w:sz w:val="24"/>
        </w:rPr>
      </w:pPr>
      <w:r>
        <w:rPr>
          <w:rFonts w:eastAsia="仿宋_GB2312"/>
          <w:b/>
          <w:sz w:val="24"/>
        </w:rPr>
        <w:br w:type="page"/>
      </w:r>
    </w:p>
    <w:p w14:paraId="509C0B52">
      <w:pPr>
        <w:pStyle w:val="3"/>
        <w:jc w:val="center"/>
        <w:rPr>
          <w:rFonts w:eastAsia="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7844A88D">
      <w:pPr>
        <w:pStyle w:val="3"/>
        <w:spacing w:line="240" w:lineRule="auto"/>
        <w:jc w:val="center"/>
        <w:rPr>
          <w:rFonts w:hint="default" w:ascii="Times New Roman" w:hAnsi="Times New Roman" w:eastAsia="方正小标宋_GBK" w:cs="Times New Roman"/>
          <w:b w:val="0"/>
          <w:sz w:val="44"/>
          <w:szCs w:val="44"/>
        </w:rPr>
      </w:pPr>
      <w:bookmarkStart w:id="8" w:name="_Toc5539"/>
      <w:bookmarkStart w:id="9" w:name="_Toc24938"/>
      <w:r>
        <w:rPr>
          <w:rFonts w:hint="default" w:ascii="Times New Roman" w:hAnsi="Times New Roman" w:eastAsia="方正小标宋_GBK" w:cs="Times New Roman"/>
          <w:b w:val="0"/>
          <w:sz w:val="44"/>
          <w:szCs w:val="44"/>
        </w:rPr>
        <w:t>第一部分  单位概况</w:t>
      </w:r>
      <w:bookmarkEnd w:id="6"/>
      <w:bookmarkEnd w:id="7"/>
      <w:bookmarkEnd w:id="8"/>
      <w:bookmarkEnd w:id="9"/>
    </w:p>
    <w:p w14:paraId="7B04F5CA">
      <w:pPr>
        <w:pStyle w:val="4"/>
        <w:spacing w:before="0" w:after="0" w:line="240" w:lineRule="auto"/>
        <w:rPr>
          <w:rFonts w:hint="default" w:ascii="Times New Roman" w:hAnsi="Times New Roman" w:eastAsia="方正黑体_GBK" w:cs="Times New Roman"/>
          <w:b w:val="0"/>
        </w:rPr>
      </w:pPr>
      <w:bookmarkStart w:id="10" w:name="_Toc25054"/>
      <w:bookmarkStart w:id="11" w:name="_Toc22951"/>
      <w:bookmarkStart w:id="12" w:name="_Toc15396600"/>
      <w:bookmarkStart w:id="13" w:name="_Toc15377197"/>
      <w:r>
        <w:rPr>
          <w:rFonts w:hint="default" w:ascii="Times New Roman" w:hAnsi="Times New Roman" w:eastAsia="方正黑体_GBK" w:cs="Times New Roman"/>
          <w:b w:val="0"/>
        </w:rPr>
        <w:t>一、主要职责</w:t>
      </w:r>
      <w:bookmarkEnd w:id="10"/>
      <w:bookmarkEnd w:id="11"/>
    </w:p>
    <w:p w14:paraId="06B3E812">
      <w:pPr>
        <w:pStyle w:val="27"/>
        <w:spacing w:line="240" w:lineRule="auto"/>
        <w:ind w:firstLine="640"/>
        <w:outlineLvl w:val="1"/>
        <w:rPr>
          <w:rFonts w:hint="eastAsia" w:ascii="方正仿宋_GBK" w:hAnsi="方正仿宋_GBK" w:eastAsia="方正仿宋_GBK" w:cs="方正仿宋_GBK"/>
          <w:sz w:val="32"/>
          <w:szCs w:val="32"/>
        </w:rPr>
      </w:pPr>
      <w:bookmarkStart w:id="14" w:name="_Toc4229"/>
      <w:bookmarkStart w:id="15" w:name="_Toc30531"/>
      <w:r>
        <w:rPr>
          <w:rFonts w:hint="eastAsia" w:ascii="方正仿宋_GBK" w:hAnsi="方正仿宋_GBK" w:eastAsia="方正仿宋_GBK" w:cs="方正仿宋_GBK"/>
          <w:sz w:val="32"/>
          <w:szCs w:val="32"/>
        </w:rPr>
        <w:t>职能：实施小学义务教育工作，促进基础教育发展，小学教育等相关社会服务。</w:t>
      </w:r>
      <w:bookmarkEnd w:id="14"/>
      <w:bookmarkEnd w:id="15"/>
    </w:p>
    <w:p w14:paraId="3AD57F29">
      <w:pPr>
        <w:pStyle w:val="4"/>
        <w:spacing w:before="0" w:after="0" w:line="240" w:lineRule="auto"/>
        <w:rPr>
          <w:rFonts w:hint="default" w:ascii="Times New Roman" w:hAnsi="Times New Roman" w:eastAsia="方正黑体_GBK" w:cs="Times New Roman"/>
          <w:b w:val="0"/>
        </w:rPr>
      </w:pPr>
      <w:bookmarkStart w:id="16" w:name="_Toc23108"/>
      <w:bookmarkStart w:id="17" w:name="_Toc5848"/>
      <w:r>
        <w:rPr>
          <w:rFonts w:hint="default" w:ascii="Times New Roman" w:hAnsi="Times New Roman" w:eastAsia="方正黑体_GBK" w:cs="Times New Roman"/>
          <w:b w:val="0"/>
        </w:rPr>
        <w:t>二、机构设置</w:t>
      </w:r>
      <w:bookmarkEnd w:id="16"/>
      <w:bookmarkEnd w:id="17"/>
    </w:p>
    <w:p w14:paraId="4F4E8D83">
      <w:pPr>
        <w:pStyle w:val="27"/>
        <w:spacing w:line="240" w:lineRule="auto"/>
        <w:ind w:firstLine="640"/>
        <w:outlineLvl w:val="1"/>
        <w:rPr>
          <w:rFonts w:hint="eastAsia" w:ascii="方正仿宋_GBK" w:hAnsi="方正仿宋_GBK" w:eastAsia="方正仿宋_GBK" w:cs="方正仿宋_GBK"/>
          <w:sz w:val="32"/>
          <w:szCs w:val="32"/>
        </w:rPr>
      </w:pPr>
      <w:bookmarkStart w:id="18" w:name="_Toc9738"/>
      <w:bookmarkStart w:id="19" w:name="_Toc21348"/>
      <w:r>
        <w:rPr>
          <w:rFonts w:hint="eastAsia" w:ascii="方正仿宋_GBK" w:hAnsi="方正仿宋_GBK" w:eastAsia="方正仿宋_GBK" w:cs="方正仿宋_GBK"/>
          <w:sz w:val="32"/>
          <w:szCs w:val="32"/>
        </w:rPr>
        <w:t>盐边县惠民镇中心学校是盐边县教育和体育局下属独立核算事业单位，单位性质为财政补助事业单位，属于公益一类事业单位，执行政府会计准则制度。</w:t>
      </w:r>
      <w:bookmarkEnd w:id="18"/>
      <w:bookmarkEnd w:id="19"/>
    </w:p>
    <w:p w14:paraId="2F2F0545">
      <w:pPr>
        <w:pStyle w:val="27"/>
        <w:spacing w:line="240" w:lineRule="auto"/>
        <w:ind w:firstLine="640"/>
        <w:outlineLvl w:val="1"/>
        <w:rPr>
          <w:rFonts w:ascii="Times New Roman"/>
        </w:rPr>
      </w:pPr>
      <w:bookmarkStart w:id="20" w:name="_Toc26914"/>
      <w:bookmarkStart w:id="21" w:name="_Toc7820"/>
      <w:r>
        <w:rPr>
          <w:rFonts w:hint="eastAsia" w:ascii="方正仿宋_GBK" w:hAnsi="方正仿宋_GBK" w:eastAsia="方正仿宋_GBK" w:cs="方正仿宋_GBK"/>
          <w:sz w:val="32"/>
          <w:szCs w:val="32"/>
        </w:rPr>
        <w:t>现学校内设教学班13个，在校生人数 461人，住校生243人，随班就读10人。2024年末单位财政供养人数109人，其中：在职人员50人（副高16人，中级20人，助理14人），退休人员59人，遗属3人。</w:t>
      </w:r>
      <w:bookmarkEnd w:id="12"/>
      <w:bookmarkEnd w:id="13"/>
      <w:bookmarkEnd w:id="20"/>
      <w:bookmarkEnd w:id="21"/>
    </w:p>
    <w:p w14:paraId="2202ABB3">
      <w:pPr>
        <w:pStyle w:val="7"/>
        <w:spacing w:after="0" w:line="240" w:lineRule="auto"/>
        <w:ind w:left="420"/>
        <w:rPr>
          <w:rFonts w:ascii="Times New Roman"/>
        </w:rPr>
      </w:pPr>
    </w:p>
    <w:p w14:paraId="5CD598D8">
      <w:pPr>
        <w:pStyle w:val="7"/>
        <w:ind w:left="420"/>
        <w:rPr>
          <w:rFonts w:ascii="Times New Roman"/>
        </w:rPr>
      </w:pPr>
    </w:p>
    <w:p w14:paraId="22CEF42E">
      <w:pPr>
        <w:pStyle w:val="7"/>
        <w:ind w:left="420"/>
        <w:rPr>
          <w:rFonts w:ascii="Times New Roman"/>
        </w:rPr>
      </w:pPr>
    </w:p>
    <w:p w14:paraId="50F2E13E">
      <w:pPr>
        <w:pStyle w:val="7"/>
        <w:ind w:left="420"/>
        <w:rPr>
          <w:rFonts w:ascii="Times New Roman"/>
        </w:rPr>
      </w:pPr>
    </w:p>
    <w:p w14:paraId="2025D2DF">
      <w:pPr>
        <w:pStyle w:val="7"/>
        <w:ind w:left="420"/>
        <w:rPr>
          <w:rFonts w:ascii="Times New Roman"/>
        </w:rPr>
      </w:pPr>
    </w:p>
    <w:p w14:paraId="4E9FF922">
      <w:pPr>
        <w:pStyle w:val="7"/>
        <w:ind w:left="420"/>
        <w:rPr>
          <w:rFonts w:ascii="Times New Roman"/>
        </w:rPr>
      </w:pPr>
    </w:p>
    <w:p w14:paraId="251A414D">
      <w:pPr>
        <w:pStyle w:val="7"/>
        <w:ind w:left="420"/>
        <w:rPr>
          <w:rFonts w:ascii="Times New Roman"/>
        </w:rPr>
      </w:pPr>
    </w:p>
    <w:p w14:paraId="7B35C33E">
      <w:pPr>
        <w:pStyle w:val="7"/>
        <w:ind w:left="420"/>
        <w:rPr>
          <w:rFonts w:ascii="Times New Roman"/>
        </w:rPr>
      </w:pPr>
    </w:p>
    <w:p w14:paraId="61F8B540">
      <w:pPr>
        <w:pStyle w:val="7"/>
        <w:ind w:left="420"/>
        <w:rPr>
          <w:rFonts w:ascii="Times New Roman"/>
        </w:rPr>
      </w:pPr>
    </w:p>
    <w:p w14:paraId="36997FF1">
      <w:pPr>
        <w:pStyle w:val="7"/>
        <w:ind w:left="420"/>
        <w:rPr>
          <w:rFonts w:ascii="Times New Roman"/>
        </w:rPr>
      </w:pPr>
    </w:p>
    <w:p w14:paraId="765BD155">
      <w:pPr>
        <w:pStyle w:val="7"/>
        <w:ind w:left="420"/>
        <w:rPr>
          <w:rFonts w:ascii="Times New Roman"/>
        </w:rPr>
      </w:pPr>
    </w:p>
    <w:p w14:paraId="07E122EC">
      <w:pPr>
        <w:pStyle w:val="7"/>
        <w:ind w:left="0" w:leftChars="0" w:firstLine="0" w:firstLineChars="0"/>
        <w:rPr>
          <w:rFonts w:ascii="Times New Roman"/>
        </w:rPr>
      </w:pPr>
    </w:p>
    <w:p w14:paraId="797A64AF">
      <w:pPr>
        <w:pStyle w:val="3"/>
        <w:spacing w:line="240" w:lineRule="auto"/>
        <w:jc w:val="center"/>
      </w:pPr>
      <w:bookmarkStart w:id="22" w:name="_Toc682"/>
      <w:bookmarkStart w:id="23" w:name="_Toc2117"/>
      <w:r>
        <w:rPr>
          <w:rFonts w:hint="default" w:ascii="Times New Roman" w:hAnsi="Times New Roman" w:eastAsia="方正小标宋_GBK" w:cs="Times New Roman"/>
          <w:b w:val="0"/>
          <w:sz w:val="44"/>
          <w:szCs w:val="44"/>
        </w:rPr>
        <w:t>第二部分  2024年度单位决算情况说明</w:t>
      </w:r>
      <w:bookmarkEnd w:id="22"/>
      <w:bookmarkEnd w:id="23"/>
    </w:p>
    <w:p w14:paraId="4AF03242">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24" w:name="_Toc15377205"/>
      <w:bookmarkStart w:id="25" w:name="_Toc583"/>
      <w:bookmarkStart w:id="26" w:name="_Toc2559"/>
      <w:bookmarkStart w:id="27" w:name="_Toc15396603"/>
      <w:r>
        <w:rPr>
          <w:rFonts w:hint="default" w:ascii="Times New Roman" w:hAnsi="Times New Roman" w:eastAsia="方正黑体_GBK" w:cs="Times New Roman"/>
          <w:b w:val="0"/>
        </w:rPr>
        <w:t>一、收入支出决算总体情况说明</w:t>
      </w:r>
      <w:bookmarkEnd w:id="24"/>
      <w:bookmarkEnd w:id="25"/>
      <w:bookmarkEnd w:id="26"/>
      <w:bookmarkEnd w:id="27"/>
    </w:p>
    <w:p w14:paraId="7689BE7B">
      <w:pPr>
        <w:pStyle w:val="27"/>
        <w:spacing w:line="600" w:lineRule="exact"/>
        <w:ind w:firstLine="640"/>
        <w:outlineLvl w:val="1"/>
        <w:rPr>
          <w:rFonts w:hint="eastAsia" w:ascii="方正仿宋_GBK" w:hAnsi="方正仿宋_GBK" w:eastAsia="方正仿宋_GBK" w:cs="方正仿宋_GBK"/>
          <w:sz w:val="32"/>
          <w:szCs w:val="32"/>
        </w:rPr>
      </w:pPr>
      <w:bookmarkStart w:id="28" w:name="_Toc2985"/>
      <w:bookmarkStart w:id="29" w:name="_Toc7153"/>
      <w:r>
        <w:rPr>
          <w:rFonts w:hint="eastAsia" w:ascii="方正仿宋_GBK" w:hAnsi="方正仿宋_GBK" w:eastAsia="方正仿宋_GBK" w:cs="方正仿宋_GBK"/>
          <w:sz w:val="32"/>
          <w:szCs w:val="32"/>
        </w:rPr>
        <w:t>2024年度收入、支出总计均为1100万元。与2023年度相比，收入、支出总计各减少215.35万元，下降16.37%。主要变动原因是：编制内实有人员减少，工资性支出减少；学生人数减少，公用经费减少；项目支出减少。</w:t>
      </w:r>
      <w:bookmarkEnd w:id="28"/>
      <w:bookmarkEnd w:id="29"/>
    </w:p>
    <w:p w14:paraId="45F66CEC">
      <w:pPr>
        <w:pStyle w:val="2"/>
        <w:spacing w:before="93"/>
        <w:jc w:val="center"/>
        <w:rPr>
          <w:rFonts w:ascii="Times New Roman"/>
        </w:rPr>
      </w:pPr>
      <w:r>
        <w:rPr>
          <w:rFonts w:ascii="Times New Roman"/>
        </w:rPr>
        <w:drawing>
          <wp:inline distT="0" distB="0" distL="0" distR="0">
            <wp:extent cx="4961255" cy="2952750"/>
            <wp:effectExtent l="4445" t="4445" r="635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41ED3D">
      <w:pPr>
        <w:ind w:firstLine="640" w:firstLineChars="200"/>
        <w:jc w:val="center"/>
        <w:rPr>
          <w:rFonts w:eastAsia="仿宋_GB2312"/>
          <w:sz w:val="32"/>
          <w:szCs w:val="32"/>
        </w:rPr>
      </w:pPr>
      <w:r>
        <w:rPr>
          <w:rFonts w:eastAsia="仿宋_GB2312"/>
          <w:sz w:val="32"/>
          <w:szCs w:val="32"/>
        </w:rPr>
        <w:t>图1：收入、支出决算总计变动情况图</w:t>
      </w:r>
    </w:p>
    <w:p w14:paraId="688E2CA4">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30" w:name="_Toc26526"/>
      <w:bookmarkStart w:id="31" w:name="_Toc19986"/>
      <w:r>
        <w:rPr>
          <w:rFonts w:hint="default" w:ascii="Times New Roman" w:hAnsi="Times New Roman" w:eastAsia="方正黑体_GBK" w:cs="Times New Roman"/>
          <w:b w:val="0"/>
        </w:rPr>
        <w:t>二、收入决算情况说明</w:t>
      </w:r>
      <w:bookmarkEnd w:id="30"/>
      <w:bookmarkEnd w:id="31"/>
    </w:p>
    <w:p w14:paraId="044522DA">
      <w:pPr>
        <w:pStyle w:val="27"/>
        <w:spacing w:line="600" w:lineRule="exact"/>
        <w:ind w:firstLine="640"/>
        <w:jc w:val="left"/>
        <w:outlineLvl w:val="1"/>
        <w:rPr>
          <w:rFonts w:hint="eastAsia" w:ascii="方正仿宋_GBK" w:hAnsi="方正仿宋_GBK" w:eastAsia="方正仿宋_GBK" w:cs="方正仿宋_GBK"/>
          <w:sz w:val="32"/>
          <w:szCs w:val="32"/>
        </w:rPr>
      </w:pPr>
      <w:bookmarkStart w:id="32" w:name="_Toc14271"/>
      <w:bookmarkStart w:id="33" w:name="_Toc30993"/>
      <w:r>
        <w:rPr>
          <w:rFonts w:hint="eastAsia" w:ascii="方正仿宋_GBK" w:hAnsi="方正仿宋_GBK" w:eastAsia="方正仿宋_GBK" w:cs="方正仿宋_GBK"/>
          <w:sz w:val="32"/>
          <w:szCs w:val="32"/>
        </w:rPr>
        <w:t>2024年度本年收入合计1100万元，其中：一般公共预算财政拨款收入1100万元，占100%；政府性基金预算财政拨款收入0万元，占0%；国有资本经营预算财政拨款收入0万元，占0%；上级补助收入0万元，占0%；事业收入0万元，占0%；经营收入0万元，占0%；附属单位上缴收入0万元，占0%；其他收入0万元，占0%。</w:t>
      </w:r>
      <w:bookmarkEnd w:id="32"/>
      <w:bookmarkEnd w:id="33"/>
    </w:p>
    <w:p w14:paraId="4ABEA0F6">
      <w:pPr>
        <w:pStyle w:val="2"/>
        <w:spacing w:before="93"/>
        <w:jc w:val="center"/>
        <w:rPr>
          <w:rFonts w:ascii="Times New Roman"/>
        </w:rPr>
      </w:pPr>
      <w:r>
        <w:rPr>
          <w:rFonts w:ascii="Times New Roman"/>
        </w:rPr>
        <w:drawing>
          <wp:inline distT="0" distB="0" distL="0" distR="0">
            <wp:extent cx="4514215" cy="2428875"/>
            <wp:effectExtent l="4445" t="4445" r="1524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095B7E">
      <w:pPr>
        <w:jc w:val="center"/>
        <w:rPr>
          <w:rFonts w:eastAsia="仿宋_GB2312"/>
          <w:sz w:val="32"/>
          <w:szCs w:val="32"/>
        </w:rPr>
      </w:pPr>
      <w:r>
        <w:rPr>
          <w:rFonts w:eastAsia="仿宋_GB2312"/>
          <w:sz w:val="32"/>
          <w:szCs w:val="32"/>
        </w:rPr>
        <w:t>图2：收入决算结构图</w:t>
      </w:r>
    </w:p>
    <w:p w14:paraId="01E53FBD">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34" w:name="_Toc16958"/>
      <w:bookmarkStart w:id="35" w:name="_Toc15409"/>
      <w:r>
        <w:rPr>
          <w:rFonts w:hint="default" w:ascii="Times New Roman" w:hAnsi="Times New Roman" w:eastAsia="方正黑体_GBK" w:cs="Times New Roman"/>
          <w:b w:val="0"/>
        </w:rPr>
        <w:t>三、支出决算情况说明</w:t>
      </w:r>
      <w:bookmarkEnd w:id="34"/>
      <w:bookmarkEnd w:id="35"/>
    </w:p>
    <w:p w14:paraId="40227ACD">
      <w:pPr>
        <w:pStyle w:val="27"/>
        <w:spacing w:line="600" w:lineRule="exact"/>
        <w:ind w:firstLine="640"/>
        <w:jc w:val="left"/>
        <w:outlineLvl w:val="1"/>
        <w:rPr>
          <w:rFonts w:eastAsia="仿宋_GB2312"/>
          <w:sz w:val="32"/>
          <w:szCs w:val="32"/>
        </w:rPr>
      </w:pPr>
      <w:bookmarkStart w:id="36" w:name="_Toc5661"/>
      <w:bookmarkStart w:id="37" w:name="_Toc13600"/>
      <w:r>
        <w:rPr>
          <w:rFonts w:hint="eastAsia" w:ascii="方正仿宋_GBK" w:hAnsi="方正仿宋_GBK" w:eastAsia="方正仿宋_GBK" w:cs="方正仿宋_GBK"/>
          <w:sz w:val="32"/>
          <w:szCs w:val="32"/>
        </w:rPr>
        <w:t>2024年度本年支出合计1100万元，其中：基本支出1097.37万元，占99.76%；项目支出2.63万元，占0.24%。</w:t>
      </w:r>
      <w:bookmarkEnd w:id="36"/>
      <w:bookmarkEnd w:id="37"/>
    </w:p>
    <w:p w14:paraId="71E5203E">
      <w:pPr>
        <w:pStyle w:val="2"/>
        <w:spacing w:before="93"/>
        <w:jc w:val="center"/>
        <w:rPr>
          <w:rFonts w:ascii="Times New Roman"/>
        </w:rPr>
      </w:pPr>
      <w:r>
        <w:rPr>
          <w:rFonts w:ascii="Times New Roman"/>
        </w:rPr>
        <w:drawing>
          <wp:inline distT="0" distB="0" distL="0" distR="0">
            <wp:extent cx="4208780" cy="2180590"/>
            <wp:effectExtent l="4445" t="4445" r="1587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C253D">
      <w:pPr>
        <w:jc w:val="center"/>
        <w:rPr>
          <w:rFonts w:eastAsia="仿宋_GB2312"/>
          <w:sz w:val="32"/>
          <w:szCs w:val="32"/>
        </w:rPr>
      </w:pPr>
      <w:r>
        <w:rPr>
          <w:rFonts w:eastAsia="仿宋_GB2312"/>
          <w:sz w:val="32"/>
          <w:szCs w:val="32"/>
        </w:rPr>
        <w:t>图3：支出决算结构图</w:t>
      </w:r>
    </w:p>
    <w:p w14:paraId="1D027426">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38" w:name="_Toc10891"/>
      <w:bookmarkStart w:id="39" w:name="_Toc16741"/>
      <w:r>
        <w:rPr>
          <w:rFonts w:hint="default" w:ascii="Times New Roman" w:hAnsi="Times New Roman" w:eastAsia="方正黑体_GBK" w:cs="Times New Roman"/>
          <w:b w:val="0"/>
        </w:rPr>
        <w:t>四、财政拨款收入支出决算总体情况说明</w:t>
      </w:r>
      <w:bookmarkEnd w:id="38"/>
      <w:bookmarkEnd w:id="39"/>
    </w:p>
    <w:p w14:paraId="320FCBAD">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入、支出总计均为1100万元。与2023年度相比，财政拨款收入总计、支出总计各减少215.35万元，下降16.37%。主要变动原因是：编制内实有人员减少，工资性支出减少；学生人数减少，公用经费减少；项目支出减少。</w:t>
      </w:r>
    </w:p>
    <w:p w14:paraId="1F47DA1A">
      <w:pPr>
        <w:pStyle w:val="2"/>
        <w:spacing w:before="93"/>
        <w:jc w:val="both"/>
        <w:rPr>
          <w:rFonts w:ascii="Times New Roman"/>
        </w:rPr>
      </w:pPr>
      <w:r>
        <w:rPr>
          <w:rFonts w:ascii="Times New Roman"/>
        </w:rPr>
        <w:drawing>
          <wp:inline distT="0" distB="0" distL="0" distR="0">
            <wp:extent cx="5299710" cy="2226945"/>
            <wp:effectExtent l="4445" t="4445" r="10795"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D11957">
      <w:pPr>
        <w:spacing w:line="600" w:lineRule="exact"/>
        <w:jc w:val="center"/>
        <w:rPr>
          <w:rFonts w:eastAsia="仿宋_GB2312"/>
          <w:sz w:val="32"/>
          <w:szCs w:val="32"/>
        </w:rPr>
      </w:pPr>
      <w:r>
        <w:rPr>
          <w:rFonts w:eastAsia="仿宋_GB2312"/>
          <w:sz w:val="32"/>
          <w:szCs w:val="32"/>
        </w:rPr>
        <w:t>图4：财政拨款收、支决算总计变动情况</w:t>
      </w:r>
    </w:p>
    <w:p w14:paraId="041A5441">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40" w:name="_Toc27544"/>
      <w:bookmarkStart w:id="41" w:name="_Toc4231"/>
      <w:r>
        <w:rPr>
          <w:rFonts w:hint="default" w:ascii="Times New Roman" w:hAnsi="Times New Roman" w:eastAsia="方正黑体_GBK" w:cs="Times New Roman"/>
          <w:b w:val="0"/>
        </w:rPr>
        <w:t>五、一般公共预算财政拨款支出决算情况说明</w:t>
      </w:r>
      <w:bookmarkEnd w:id="40"/>
      <w:bookmarkEnd w:id="41"/>
    </w:p>
    <w:p w14:paraId="00A338D7">
      <w:pPr>
        <w:spacing w:line="600" w:lineRule="exact"/>
        <w:ind w:firstLine="643" w:firstLineChars="200"/>
        <w:outlineLvl w:val="2"/>
        <w:rPr>
          <w:rFonts w:hint="eastAsia" w:ascii="方正楷体_GBK" w:hAnsi="方正楷体_GBK" w:eastAsia="方正楷体_GBK" w:cs="方正楷体_GBK"/>
          <w:b/>
          <w:sz w:val="32"/>
          <w:szCs w:val="32"/>
        </w:rPr>
      </w:pPr>
      <w:bookmarkStart w:id="42" w:name="_Toc9037"/>
      <w:bookmarkStart w:id="43" w:name="_Toc14991"/>
      <w:r>
        <w:rPr>
          <w:rFonts w:hint="eastAsia" w:ascii="方正楷体_GBK" w:hAnsi="方正楷体_GBK" w:eastAsia="方正楷体_GBK" w:cs="方正楷体_GBK"/>
          <w:b/>
          <w:sz w:val="32"/>
          <w:szCs w:val="32"/>
        </w:rPr>
        <w:t>（一）一般公共预算财政拨款支出决算总体情况</w:t>
      </w:r>
      <w:bookmarkEnd w:id="42"/>
      <w:bookmarkEnd w:id="43"/>
    </w:p>
    <w:p w14:paraId="4FEAD28D">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支出1100万元，占本年支出合计的100%。与2023年度相比，一般公共预算财政拨款支出减少215.35万元，下降16.37%。主要变动原因是：编制内实有人员减少，工资性支出减少；学生人数减少，公用经费减少；项目支出减少。</w:t>
      </w:r>
    </w:p>
    <w:p w14:paraId="3CC640DE">
      <w:pPr>
        <w:pStyle w:val="2"/>
        <w:spacing w:before="93"/>
        <w:jc w:val="center"/>
        <w:rPr>
          <w:rFonts w:ascii="Times New Roman"/>
        </w:rPr>
      </w:pPr>
      <w:r>
        <w:rPr>
          <w:rFonts w:ascii="Times New Roman"/>
        </w:rPr>
        <w:drawing>
          <wp:inline distT="0" distB="0" distL="0" distR="0">
            <wp:extent cx="4961255" cy="1921510"/>
            <wp:effectExtent l="4445" t="4445" r="635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A0F6EF">
      <w:pPr>
        <w:pStyle w:val="2"/>
        <w:spacing w:before="93"/>
        <w:jc w:val="center"/>
        <w:rPr>
          <w:rFonts w:eastAsia="仿宋_GB2312"/>
          <w:sz w:val="32"/>
          <w:szCs w:val="32"/>
        </w:rPr>
      </w:pPr>
      <w:r>
        <w:rPr>
          <w:rFonts w:eastAsia="仿宋_GB2312"/>
          <w:sz w:val="32"/>
          <w:szCs w:val="32"/>
        </w:rPr>
        <w:t>图5：一般公共预算财政拨款支出决算变动情况</w:t>
      </w:r>
    </w:p>
    <w:p w14:paraId="3C62DDE7">
      <w:pPr>
        <w:spacing w:line="600" w:lineRule="exact"/>
        <w:ind w:firstLine="643" w:firstLineChars="200"/>
        <w:outlineLvl w:val="2"/>
        <w:rPr>
          <w:rFonts w:eastAsia="楷体_GB2312"/>
          <w:b/>
          <w:sz w:val="32"/>
          <w:szCs w:val="32"/>
        </w:rPr>
      </w:pPr>
      <w:bookmarkStart w:id="44" w:name="_Toc27128"/>
      <w:bookmarkStart w:id="45" w:name="_Toc23665"/>
      <w:r>
        <w:rPr>
          <w:rFonts w:hint="eastAsia" w:ascii="方正楷体_GBK" w:hAnsi="方正楷体_GBK" w:eastAsia="方正楷体_GBK" w:cs="方正楷体_GBK"/>
          <w:b/>
          <w:sz w:val="32"/>
          <w:szCs w:val="32"/>
        </w:rPr>
        <w:t>（二）一般公共预算财政拨款支出决算结构情况</w:t>
      </w:r>
      <w:bookmarkEnd w:id="44"/>
      <w:bookmarkEnd w:id="45"/>
    </w:p>
    <w:p w14:paraId="0BC0FD6A">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2024年度一般公共预算财政拨款支出1100万元，主要用于以下方面：教育支出755.54万元，占68.69%；社会保障和就业支出192.77万元，占17.52%；卫生健康支出77.89万元，占7.08%；住房保障支出73.8万元，占6.71%。</w:t>
      </w:r>
    </w:p>
    <w:p w14:paraId="0320C126">
      <w:pPr>
        <w:pStyle w:val="2"/>
        <w:spacing w:before="93"/>
        <w:jc w:val="center"/>
        <w:rPr>
          <w:rFonts w:ascii="Times New Roman"/>
        </w:rPr>
      </w:pPr>
      <w:r>
        <w:rPr>
          <w:rFonts w:ascii="Times New Roman"/>
        </w:rPr>
        <w:drawing>
          <wp:inline distT="0" distB="0" distL="0" distR="0">
            <wp:extent cx="5182870" cy="3104515"/>
            <wp:effectExtent l="5080" t="4445" r="12700" b="152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23229">
      <w:pPr>
        <w:spacing w:line="600" w:lineRule="exact"/>
        <w:ind w:firstLine="6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图6：一般公共预算财政拨款支出决算结构</w:t>
      </w:r>
    </w:p>
    <w:p w14:paraId="484B32B8">
      <w:pPr>
        <w:spacing w:line="600" w:lineRule="exact"/>
        <w:ind w:firstLine="643" w:firstLineChars="200"/>
        <w:outlineLvl w:val="2"/>
        <w:rPr>
          <w:rFonts w:hint="eastAsia" w:ascii="方正楷体_GBK" w:hAnsi="方正楷体_GBK" w:eastAsia="方正楷体_GBK" w:cs="方正楷体_GBK"/>
          <w:b/>
          <w:sz w:val="32"/>
          <w:szCs w:val="32"/>
        </w:rPr>
      </w:pPr>
      <w:bookmarkStart w:id="46" w:name="_Toc23174"/>
      <w:bookmarkStart w:id="47" w:name="_Toc15112"/>
      <w:r>
        <w:rPr>
          <w:rFonts w:hint="eastAsia" w:ascii="方正楷体_GBK" w:hAnsi="方正楷体_GBK" w:eastAsia="方正楷体_GBK" w:cs="方正楷体_GBK"/>
          <w:b/>
          <w:sz w:val="32"/>
          <w:szCs w:val="32"/>
        </w:rPr>
        <w:t>（三）一般公共预算财政拨款支出决算具体情况</w:t>
      </w:r>
      <w:bookmarkEnd w:id="46"/>
      <w:bookmarkEnd w:id="47"/>
    </w:p>
    <w:p w14:paraId="54BC95D7">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2024年度一般公共预算财政拨款支出决算数为1100万元，完成预算100%。其中：</w:t>
      </w:r>
    </w:p>
    <w:p w14:paraId="6507CE3F">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1.教育支出（205类）：支出决算为755.54万元，完成预算100%。</w:t>
      </w:r>
    </w:p>
    <w:p w14:paraId="6D717E9F">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（1）教育支出（205）普通教育（02）学前教育（01）: 支出决算为6.54万元，完成预算100%。</w:t>
      </w:r>
    </w:p>
    <w:p w14:paraId="0FB9F0CB">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（2）教育支出（205）普通教育（02）小学教育（02）: 支出决算为749.00万元，完成预算100%。</w:t>
      </w:r>
    </w:p>
    <w:p w14:paraId="0FF5E3A2">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2.社会保障和就业支出（208）: 支出决算为192.77万元，完成预算100%。</w:t>
      </w:r>
    </w:p>
    <w:p w14:paraId="6150EA33">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（1）社会保障和就业支出（208）行政事业单位养老支出（05）事业单位离退休（02）: 支出决算为102.44万元，完成预算100%。</w:t>
      </w:r>
    </w:p>
    <w:p w14:paraId="0690A66F">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（2）社会保障和就业支出（208）行政事业单位养老支出（05）机关事业单位基本养老保险缴费支出（05）: 支出决算为90.22万元，完成预算100%。</w:t>
      </w:r>
    </w:p>
    <w:p w14:paraId="0C0E01FC">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（3）社会保障和就业支出（208）行政事业单位养老支出（05）机关事业单位职业年金缴费支出（06）: 支出决算为0.11万元，完成预算100%。</w:t>
      </w:r>
    </w:p>
    <w:p w14:paraId="2A0FD039">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3.卫生健康支出（210）:支出决算为77.89万元，完成预算100%。</w:t>
      </w:r>
    </w:p>
    <w:p w14:paraId="394E01D9">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（1）卫生健康支出（210）行政事业单位医疗（11）事业单位医疗（02）:支出决算为47.53万元，完成预算100%。</w:t>
      </w:r>
    </w:p>
    <w:p w14:paraId="50FFED4B">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（2）卫生健康支出（210）行政事业单位医疗（11）其他行政事业单位医疗支出（99）:支出决算为30.36万元，完成预算100%。</w:t>
      </w:r>
    </w:p>
    <w:p w14:paraId="1DD10E9A">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4.住房保障支出（221）住房改革支出（02）住房公积金（01）:支出决算为73.8万元，完成预算100%。</w:t>
      </w:r>
    </w:p>
    <w:p w14:paraId="59AD419C">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48" w:name="_Toc20830"/>
      <w:bookmarkStart w:id="49" w:name="_Toc9721"/>
      <w:r>
        <w:rPr>
          <w:rFonts w:hint="default" w:ascii="Times New Roman" w:hAnsi="Times New Roman" w:eastAsia="方正黑体_GBK" w:cs="Times New Roman"/>
          <w:b w:val="0"/>
        </w:rPr>
        <w:t>六、一般公共预算财政拨款基本支出决算情况说明</w:t>
      </w:r>
      <w:bookmarkEnd w:id="48"/>
      <w:bookmarkEnd w:id="49"/>
      <w:r>
        <w:rPr>
          <w:rFonts w:hint="default" w:ascii="Times New Roman" w:hAnsi="Times New Roman" w:eastAsia="方正黑体_GBK" w:cs="Times New Roman"/>
          <w:b w:val="0"/>
        </w:rPr>
        <w:tab/>
      </w:r>
    </w:p>
    <w:p w14:paraId="5EAF975D">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2024年度一般公共预算财政拨款基本支出1097.37万元，其中：</w:t>
      </w:r>
    </w:p>
    <w:p w14:paraId="30D473D3">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1022.77万元，主要包括：基本工资、津贴补贴、绩效工资、机关事业单位基本养老保险缴费、职业年金缴费、职工基本医疗保险缴费、其他社会保障缴费、住房公积金、医疗费、其他工资福利支出、生活补助、医疗费补助、奖励金等。</w:t>
      </w:r>
    </w:p>
    <w:p w14:paraId="0C83B016">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74.6万元，主要包括：办公费、印刷费、水费、电费、邮电费、物业管理费、差旅费、维修（护）费、培训费、劳务费、委托业务费、工会经费、福利费、其他交通费、其他商品和服务支出、办公设备购置等。</w:t>
      </w:r>
    </w:p>
    <w:p w14:paraId="007322EA">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50" w:name="_Toc5814"/>
      <w:bookmarkStart w:id="51" w:name="_Toc4292"/>
      <w:r>
        <w:rPr>
          <w:rFonts w:hint="default" w:ascii="Times New Roman" w:hAnsi="Times New Roman" w:eastAsia="方正黑体_GBK" w:cs="Times New Roman"/>
          <w:b w:val="0"/>
        </w:rPr>
        <w:t>七、财政拨款“三公”经费支出决算情况说明</w:t>
      </w:r>
      <w:bookmarkEnd w:id="50"/>
      <w:bookmarkEnd w:id="51"/>
    </w:p>
    <w:p w14:paraId="2D53FB78">
      <w:pPr>
        <w:spacing w:line="600" w:lineRule="exact"/>
        <w:ind w:firstLine="643" w:firstLineChars="200"/>
        <w:outlineLvl w:val="2"/>
        <w:rPr>
          <w:rFonts w:hint="eastAsia" w:ascii="方正楷体_GBK" w:hAnsi="方正楷体_GBK" w:eastAsia="方正楷体_GBK" w:cs="方正楷体_GBK"/>
          <w:b/>
          <w:sz w:val="32"/>
          <w:szCs w:val="32"/>
        </w:rPr>
      </w:pPr>
      <w:bookmarkStart w:id="52" w:name="_Toc7875"/>
      <w:bookmarkStart w:id="53" w:name="_Toc11894"/>
      <w:r>
        <w:rPr>
          <w:rFonts w:hint="eastAsia" w:ascii="方正楷体_GBK" w:hAnsi="方正楷体_GBK" w:eastAsia="方正楷体_GBK" w:cs="方正楷体_GBK"/>
          <w:b/>
          <w:sz w:val="32"/>
          <w:szCs w:val="32"/>
        </w:rPr>
        <w:t>（一）“三公”经费财政拨款支出决算总体情况说明</w:t>
      </w:r>
      <w:bookmarkEnd w:id="52"/>
      <w:bookmarkEnd w:id="53"/>
    </w:p>
    <w:p w14:paraId="36980E95">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2024年度“三公”经费财政拨款支出决算为0万元，完成预算0%。</w:t>
      </w:r>
    </w:p>
    <w:p w14:paraId="30092806">
      <w:pPr>
        <w:spacing w:line="600" w:lineRule="exact"/>
        <w:ind w:firstLine="643" w:firstLineChars="200"/>
        <w:outlineLvl w:val="2"/>
        <w:rPr>
          <w:rFonts w:hint="eastAsia" w:ascii="方正楷体_GBK" w:hAnsi="方正楷体_GBK" w:eastAsia="方正楷体_GBK" w:cs="方正楷体_GBK"/>
          <w:b/>
          <w:sz w:val="32"/>
          <w:szCs w:val="32"/>
        </w:rPr>
      </w:pPr>
      <w:bookmarkStart w:id="54" w:name="_Toc27395"/>
      <w:bookmarkStart w:id="55" w:name="_Toc10911"/>
      <w:r>
        <w:rPr>
          <w:rFonts w:hint="eastAsia" w:ascii="方正楷体_GBK" w:hAnsi="方正楷体_GBK" w:eastAsia="方正楷体_GBK" w:cs="方正楷体_GBK"/>
          <w:b/>
          <w:sz w:val="32"/>
          <w:szCs w:val="32"/>
        </w:rPr>
        <w:t>（二）“三公”经费财政拨款支出决算具体情况说明</w:t>
      </w:r>
      <w:bookmarkEnd w:id="54"/>
      <w:bookmarkEnd w:id="55"/>
    </w:p>
    <w:p w14:paraId="52EBE2C0">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2024年度“三公”经费财政拨款支出决算中，因公出国（境）费支出决算0万元，占0%；公务用车购置及运行维护费支出决算0万元，占0%；公务接待费支出决算0万元，占0%。</w:t>
      </w:r>
    </w:p>
    <w:p w14:paraId="2AB60059">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1.因公出国（境）经费支出0万元，完成预算0%。全年安排因公出国（境）团组0次，出国（境）0人。</w:t>
      </w:r>
    </w:p>
    <w:p w14:paraId="76E38995">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2.公务用车购置及运行维护费支出0万元，完成预算0%。</w:t>
      </w:r>
    </w:p>
    <w:p w14:paraId="76919333">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其中：公务用车购置支出0万元。</w:t>
      </w:r>
    </w:p>
    <w:p w14:paraId="5156FEC9">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公务用车运行维护费支出0万元。</w:t>
      </w:r>
    </w:p>
    <w:p w14:paraId="274CA143">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3.公务接待费支出0万元，完成预算0%。</w:t>
      </w:r>
    </w:p>
    <w:p w14:paraId="1EBACB07">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国内公务接待支出0万元。</w:t>
      </w:r>
    </w:p>
    <w:p w14:paraId="643E500A">
      <w:pPr>
        <w:spacing w:line="600" w:lineRule="exact"/>
        <w:ind w:firstLine="64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外事接待支出0万元。</w:t>
      </w:r>
    </w:p>
    <w:p w14:paraId="58827BA1">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56" w:name="_Toc16253"/>
      <w:bookmarkStart w:id="57" w:name="_Toc15254"/>
      <w:r>
        <w:rPr>
          <w:rFonts w:hint="default" w:ascii="Times New Roman" w:hAnsi="Times New Roman" w:eastAsia="方正黑体_GBK" w:cs="Times New Roman"/>
          <w:b w:val="0"/>
        </w:rPr>
        <w:t>八、政府性基金预算支出决算情况说明</w:t>
      </w:r>
      <w:bookmarkEnd w:id="56"/>
      <w:bookmarkEnd w:id="57"/>
    </w:p>
    <w:p w14:paraId="4710BB6B">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2024年度政府性基金预算财政拨款支出0万元，占本年支出合计的0%。</w:t>
      </w:r>
    </w:p>
    <w:p w14:paraId="0051A293">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58" w:name="_Toc8972"/>
      <w:bookmarkStart w:id="59" w:name="_Toc10443"/>
      <w:r>
        <w:rPr>
          <w:rFonts w:hint="default" w:ascii="Times New Roman" w:hAnsi="Times New Roman" w:eastAsia="方正黑体_GBK" w:cs="Times New Roman"/>
          <w:b w:val="0"/>
        </w:rPr>
        <w:t>九、国有资本经营预算支出决算情况说明</w:t>
      </w:r>
      <w:bookmarkEnd w:id="58"/>
      <w:bookmarkEnd w:id="59"/>
    </w:p>
    <w:p w14:paraId="5EF29FF6">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2024年度国有资本经营预算财政拨款支出0万元，占本年支出合计的0%。</w:t>
      </w:r>
    </w:p>
    <w:p w14:paraId="1461A68F">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60" w:name="_Toc28502"/>
      <w:bookmarkStart w:id="61" w:name="_Toc12169"/>
      <w:r>
        <w:rPr>
          <w:rFonts w:hint="default" w:ascii="Times New Roman" w:hAnsi="Times New Roman" w:eastAsia="方正黑体_GBK" w:cs="Times New Roman"/>
          <w:b w:val="0"/>
        </w:rPr>
        <w:t>十、其他重要事项的情况说明</w:t>
      </w:r>
      <w:bookmarkEnd w:id="60"/>
      <w:bookmarkEnd w:id="61"/>
    </w:p>
    <w:p w14:paraId="25953A53">
      <w:pPr>
        <w:spacing w:line="600" w:lineRule="exact"/>
        <w:ind w:firstLine="643" w:firstLineChars="200"/>
        <w:outlineLvl w:val="2"/>
        <w:rPr>
          <w:rFonts w:hint="default" w:ascii="方正楷体_GBK" w:hAnsi="方正楷体_GBK" w:eastAsia="方正楷体_GBK" w:cs="方正楷体_GBK"/>
          <w:b/>
          <w:sz w:val="32"/>
          <w:szCs w:val="32"/>
        </w:rPr>
      </w:pPr>
      <w:bookmarkStart w:id="62" w:name="_Toc6083"/>
      <w:bookmarkStart w:id="63" w:name="_Toc25645"/>
      <w:r>
        <w:rPr>
          <w:rFonts w:hint="default" w:ascii="方正楷体_GBK" w:hAnsi="方正楷体_GBK" w:eastAsia="方正楷体_GBK" w:cs="方正楷体_GBK"/>
          <w:b/>
          <w:sz w:val="32"/>
          <w:szCs w:val="32"/>
        </w:rPr>
        <w:t>（一）机关运行经费支出情况</w:t>
      </w:r>
      <w:bookmarkEnd w:id="62"/>
      <w:bookmarkEnd w:id="63"/>
    </w:p>
    <w:p w14:paraId="0113D138">
      <w:pPr>
        <w:spacing w:line="600" w:lineRule="exact"/>
        <w:ind w:firstLine="640"/>
        <w:rPr>
          <w:rFonts w:eastAsia="仿宋_GB2312"/>
          <w:sz w:val="32"/>
          <w:szCs w:val="32"/>
        </w:rPr>
      </w:pPr>
      <w:r>
        <w:rPr>
          <w:rFonts w:eastAsia="仿宋_GB2312"/>
          <w:sz w:val="32"/>
          <w:szCs w:val="32"/>
        </w:rPr>
        <w:t>2024年度，盐边县惠民镇中心学校机关运行经费支出0万元。</w:t>
      </w:r>
    </w:p>
    <w:p w14:paraId="273C132F">
      <w:pPr>
        <w:spacing w:line="600" w:lineRule="exact"/>
        <w:ind w:firstLine="643" w:firstLineChars="200"/>
        <w:outlineLvl w:val="2"/>
        <w:rPr>
          <w:rFonts w:hint="default" w:ascii="方正楷体_GBK" w:hAnsi="方正楷体_GBK" w:eastAsia="方正楷体_GBK" w:cs="方正楷体_GBK"/>
          <w:b/>
          <w:sz w:val="32"/>
          <w:szCs w:val="32"/>
        </w:rPr>
      </w:pPr>
      <w:bookmarkStart w:id="64" w:name="_Toc24586"/>
      <w:bookmarkStart w:id="65" w:name="_Toc4062"/>
      <w:r>
        <w:rPr>
          <w:rFonts w:hint="default" w:ascii="方正楷体_GBK" w:hAnsi="方正楷体_GBK" w:eastAsia="方正楷体_GBK" w:cs="方正楷体_GBK"/>
          <w:b/>
          <w:sz w:val="32"/>
          <w:szCs w:val="32"/>
        </w:rPr>
        <w:t>（二）政府采购支出情况</w:t>
      </w:r>
      <w:bookmarkEnd w:id="64"/>
      <w:bookmarkEnd w:id="65"/>
    </w:p>
    <w:p w14:paraId="0FC96B44">
      <w:pPr>
        <w:spacing w:line="600" w:lineRule="exact"/>
        <w:ind w:firstLine="640"/>
        <w:rPr>
          <w:rFonts w:eastAsia="仿宋_GB2312"/>
          <w:sz w:val="32"/>
          <w:szCs w:val="32"/>
        </w:rPr>
      </w:pPr>
      <w:r>
        <w:rPr>
          <w:rFonts w:eastAsia="仿宋_GB2312"/>
          <w:sz w:val="32"/>
          <w:szCs w:val="32"/>
        </w:rPr>
        <w:t>2024年度，盐边县惠民镇中心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BA3C526">
      <w:pPr>
        <w:spacing w:line="600" w:lineRule="exact"/>
        <w:ind w:firstLine="643" w:firstLineChars="200"/>
        <w:outlineLvl w:val="2"/>
        <w:rPr>
          <w:rFonts w:hint="default" w:ascii="方正楷体_GBK" w:hAnsi="方正楷体_GBK" w:eastAsia="方正楷体_GBK" w:cs="方正楷体_GBK"/>
          <w:b/>
          <w:sz w:val="32"/>
          <w:szCs w:val="32"/>
        </w:rPr>
      </w:pPr>
      <w:bookmarkStart w:id="66" w:name="_Toc17982"/>
      <w:bookmarkStart w:id="67" w:name="_Toc864"/>
      <w:r>
        <w:rPr>
          <w:rFonts w:hint="default" w:ascii="方正楷体_GBK" w:hAnsi="方正楷体_GBK" w:eastAsia="方正楷体_GBK" w:cs="方正楷体_GBK"/>
          <w:b/>
          <w:sz w:val="32"/>
          <w:szCs w:val="32"/>
        </w:rPr>
        <w:t>（三）国有资产占有使用情况</w:t>
      </w:r>
      <w:bookmarkEnd w:id="66"/>
      <w:bookmarkEnd w:id="67"/>
    </w:p>
    <w:p w14:paraId="077F3726">
      <w:pPr>
        <w:spacing w:line="600" w:lineRule="exact"/>
        <w:ind w:firstLine="640"/>
        <w:rPr>
          <w:rFonts w:eastAsia="仿宋_GB2312"/>
          <w:sz w:val="32"/>
          <w:szCs w:val="32"/>
        </w:rPr>
      </w:pPr>
      <w:r>
        <w:rPr>
          <w:rFonts w:eastAsia="仿宋_GB2312"/>
          <w:sz w:val="32"/>
          <w:szCs w:val="32"/>
        </w:rPr>
        <w:t>截至2024年12月31日，盐边县惠民镇中心学校共有车辆0辆，其中：主要负责人用车0辆、机要通信用车0辆、应急保障用车0辆、其他用车0辆。单价100万元（含）以上设备（不含车辆）0台（套）。</w:t>
      </w:r>
    </w:p>
    <w:p w14:paraId="5DFFAE30">
      <w:pPr>
        <w:spacing w:line="600" w:lineRule="exact"/>
        <w:ind w:firstLine="643" w:firstLineChars="200"/>
        <w:outlineLvl w:val="2"/>
        <w:rPr>
          <w:rFonts w:hint="default" w:ascii="方正楷体_GBK" w:hAnsi="方正楷体_GBK" w:eastAsia="方正楷体_GBK" w:cs="方正楷体_GBK"/>
          <w:b/>
          <w:sz w:val="32"/>
          <w:szCs w:val="32"/>
        </w:rPr>
      </w:pPr>
      <w:bookmarkStart w:id="68" w:name="_Toc2936"/>
      <w:bookmarkStart w:id="69" w:name="_Toc2762"/>
      <w:r>
        <w:rPr>
          <w:rFonts w:hint="default" w:ascii="方正楷体_GBK" w:hAnsi="方正楷体_GBK" w:eastAsia="方正楷体_GBK" w:cs="方正楷体_GBK"/>
          <w:b/>
          <w:sz w:val="32"/>
          <w:szCs w:val="32"/>
        </w:rPr>
        <w:t>（四）预算绩效管理情况</w:t>
      </w:r>
      <w:bookmarkEnd w:id="68"/>
      <w:bookmarkEnd w:id="69"/>
    </w:p>
    <w:p w14:paraId="39C7D6BA">
      <w:pPr>
        <w:spacing w:line="600" w:lineRule="exact"/>
        <w:ind w:firstLine="640"/>
        <w:rPr>
          <w:rFonts w:eastAsia="仿宋_GB2312"/>
          <w:sz w:val="32"/>
          <w:szCs w:val="32"/>
        </w:rPr>
      </w:pPr>
      <w:r>
        <w:rPr>
          <w:rFonts w:hint="eastAsia" w:ascii="方正仿宋_GBK" w:hAnsi="方正仿宋_GBK" w:eastAsia="方正仿宋_GBK" w:cs="方正仿宋_GBK"/>
          <w:sz w:val="32"/>
          <w:szCs w:val="32"/>
        </w:rPr>
        <w:t>加强预算绩效全过程管理，开展了绩效监控与自评。评价结果与预算安排、政策调整挂钩，有效提升财政资源配置效率和公共服务质量。</w:t>
      </w:r>
    </w:p>
    <w:p w14:paraId="04532D00">
      <w:pPr>
        <w:spacing w:line="600" w:lineRule="exact"/>
        <w:ind w:firstLine="1320" w:firstLineChars="300"/>
        <w:outlineLvl w:val="0"/>
        <w:rPr>
          <w:rFonts w:eastAsia="黑体"/>
          <w:sz w:val="44"/>
          <w:szCs w:val="44"/>
        </w:rPr>
      </w:pPr>
    </w:p>
    <w:p w14:paraId="7BFBF63E">
      <w:pPr>
        <w:tabs>
          <w:tab w:val="left" w:pos="1255"/>
        </w:tabs>
        <w:spacing w:line="600" w:lineRule="exact"/>
        <w:ind w:firstLine="1320" w:firstLineChars="300"/>
        <w:outlineLvl w:val="0"/>
        <w:rPr>
          <w:rFonts w:eastAsia="黑体"/>
          <w:sz w:val="44"/>
          <w:szCs w:val="44"/>
        </w:rPr>
      </w:pPr>
      <w:r>
        <w:rPr>
          <w:rFonts w:eastAsia="黑体"/>
          <w:sz w:val="44"/>
          <w:szCs w:val="44"/>
        </w:rPr>
        <w:tab/>
      </w:r>
    </w:p>
    <w:p w14:paraId="5E8C50D7">
      <w:pPr>
        <w:rPr>
          <w:rFonts w:hint="default" w:ascii="Times New Roman" w:hAnsi="Times New Roman" w:eastAsia="方正小标宋_GBK" w:cs="Times New Roman"/>
          <w:b w:val="0"/>
          <w:sz w:val="44"/>
          <w:szCs w:val="44"/>
        </w:rPr>
      </w:pPr>
      <w:bookmarkStart w:id="70" w:name="_Toc15789"/>
      <w:bookmarkStart w:id="71" w:name="_Toc30070"/>
      <w:r>
        <w:rPr>
          <w:rFonts w:hint="default" w:ascii="Times New Roman" w:hAnsi="Times New Roman" w:eastAsia="方正小标宋_GBK" w:cs="Times New Roman"/>
          <w:b w:val="0"/>
          <w:sz w:val="44"/>
          <w:szCs w:val="44"/>
        </w:rPr>
        <w:br w:type="page"/>
      </w:r>
    </w:p>
    <w:p w14:paraId="55C53424">
      <w:pPr>
        <w:jc w:val="center"/>
        <w:rPr>
          <w:b/>
          <w:sz w:val="44"/>
          <w:szCs w:val="44"/>
        </w:rPr>
      </w:pPr>
      <w:r>
        <w:rPr>
          <w:rFonts w:hint="default" w:ascii="Times New Roman" w:hAnsi="Times New Roman" w:eastAsia="方正小标宋_GBK" w:cs="Times New Roman"/>
          <w:b w:val="0"/>
          <w:sz w:val="44"/>
          <w:szCs w:val="44"/>
        </w:rPr>
        <w:t>第三部分  名词解释</w:t>
      </w:r>
      <w:bookmarkEnd w:id="70"/>
      <w:bookmarkEnd w:id="71"/>
    </w:p>
    <w:p w14:paraId="006272EF">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1.财政拨款收入：指单位从同级财政部门取得的财政预算资金。</w:t>
      </w:r>
    </w:p>
    <w:p w14:paraId="0E77926B">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2.事业收入：指事业单位开展专业业务活动及辅助活动取得的收入。</w:t>
      </w:r>
    </w:p>
    <w:p w14:paraId="004E47DF">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3.经营收入：指事业单位在专业业务活动及其辅助活动之外开展非独立核算经营活动取得的收入。</w:t>
      </w:r>
    </w:p>
    <w:p w14:paraId="42B44437">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 xml:space="preserve">4.其他收入：指单位取得的除上述收入以外的各项收入。 </w:t>
      </w:r>
    </w:p>
    <w:p w14:paraId="34FE9146">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 xml:space="preserve">5.使用非财政拨款结余（含专用结余）：指事业单位使用以前年度积累的非财政拨款结余弥补当年收支差额的金额。 </w:t>
      </w:r>
    </w:p>
    <w:p w14:paraId="373BEB86">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 xml:space="preserve">6.年初结转和结余：指以前年度尚未完成、结转到本年按有关规定继续使用的资金。 </w:t>
      </w:r>
    </w:p>
    <w:p w14:paraId="28D25FC6">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7.结余分配：指事业单位按照会计制度规定缴纳的所得税、提取的专用结余以及转入非财政拨款结余的金额等。</w:t>
      </w:r>
    </w:p>
    <w:p w14:paraId="2B761072">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8.年末结转和结余：指单位按有关规定结转到下年或以后年度继续使用的资金。</w:t>
      </w:r>
    </w:p>
    <w:p w14:paraId="58E3AF86">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9.教育支出（205类）普通教育（02款）学前教育（01项）：指反映各部门举办的学前教育支出。</w:t>
      </w:r>
    </w:p>
    <w:p w14:paraId="0171969F">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10.教育支出（205类）普通教育（02款）小学教育02（项）：指反映各部门举办的小学教育支出。</w:t>
      </w:r>
    </w:p>
    <w:p w14:paraId="4374922A">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11.社会保障和就业支出（208类）行政事业单位养老支出（05款）事业单位离退休（02项）：指反映事业单位开支的离退休经费。</w:t>
      </w:r>
    </w:p>
    <w:p w14:paraId="1F408345">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12.社会保障和就业支出（208类）行政事业单位养老支出（05款）机关事业单位基本养老保险缴费支出（05项）：指反映机关事业单位实施养老保险制度由单位缴纳的基本养老保险费支出。</w:t>
      </w:r>
    </w:p>
    <w:p w14:paraId="1309029A">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13.社会保障和就业支出（208类）行政事业单位养老支出（05款）机关事业单位职业年金缴费支出（06项）：指反映机关事业单位实施养老保险制度由单位实际缴纳的职业年金支出。</w:t>
      </w:r>
    </w:p>
    <w:p w14:paraId="1D71D3E2">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14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5F1FC743">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15.卫生健康支出（210类）行政事业单位医疗（11款）其他行政事业单位医疗支出（99项）：指反映除上述项目以外的其他用于行政事业单位医疗方面的支出。</w:t>
      </w:r>
    </w:p>
    <w:p w14:paraId="2402F2F0">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16.住房保障支出（221类）住房改革支出（02款）住房公积金（01项）：指反映行政事业单位按人力资源和社会保障部、财政部规定的基本工资和津贴补贴以及规定比例为职工缴纳的住房公积金。</w:t>
      </w:r>
    </w:p>
    <w:p w14:paraId="5B5CC71D">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17.基本支出：指为保障机构正常运转、完成日常工作任务而发生的人员支出和公用支出。</w:t>
      </w:r>
    </w:p>
    <w:p w14:paraId="6607D20D">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 xml:space="preserve">18.项目支出：指在基本支出之外为完成特定行政任务和事业发展目标所发生的支出。 </w:t>
      </w:r>
    </w:p>
    <w:p w14:paraId="3212365C">
      <w:pPr>
        <w:pStyle w:val="26"/>
        <w:spacing w:beforeLines="0" w:afterLines="0" w:line="240" w:lineRule="auto"/>
        <w:ind w:firstLine="720" w:firstLineChars="200"/>
        <w:rPr>
          <w:rFonts w:hint="default" w:ascii="Times New Roman" w:hAnsi="Times New Roman" w:eastAsia="方正仿宋_GBK" w:cs="Times New Roman"/>
          <w:color w:val="auto"/>
          <w:kern w:val="2"/>
          <w:sz w:val="36"/>
          <w:szCs w:val="36"/>
          <w:highlight w:val="none"/>
          <w:lang w:val="en-US" w:eastAsia="zh-CN" w:bidi="ar-SA"/>
        </w:rPr>
      </w:pPr>
      <w:r>
        <w:rPr>
          <w:rFonts w:hint="default" w:ascii="Times New Roman" w:hAnsi="Times New Roman" w:eastAsia="方正仿宋_GBK" w:cs="Times New Roman"/>
          <w:color w:val="auto"/>
          <w:kern w:val="2"/>
          <w:sz w:val="36"/>
          <w:szCs w:val="36"/>
          <w:highlight w:val="none"/>
          <w:lang w:val="en-US" w:eastAsia="zh-CN" w:bidi="ar-SA"/>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4DDC00"/>
    <w:p w14:paraId="02546C42">
      <w:pPr>
        <w:pStyle w:val="13"/>
      </w:pPr>
    </w:p>
    <w:p w14:paraId="446C9165">
      <w:pPr>
        <w:pStyle w:val="7"/>
        <w:ind w:left="420"/>
        <w:rPr>
          <w:rFonts w:ascii="Times New Roman"/>
        </w:rPr>
      </w:pPr>
    </w:p>
    <w:p w14:paraId="501E0A44">
      <w:pPr>
        <w:pStyle w:val="7"/>
        <w:ind w:left="420"/>
        <w:rPr>
          <w:rFonts w:ascii="Times New Roman"/>
        </w:rPr>
      </w:pPr>
    </w:p>
    <w:p w14:paraId="74C16407">
      <w:pPr>
        <w:pStyle w:val="7"/>
        <w:ind w:left="420"/>
        <w:rPr>
          <w:rFonts w:ascii="Times New Roman"/>
        </w:rPr>
      </w:pPr>
    </w:p>
    <w:p w14:paraId="61B74718">
      <w:pPr>
        <w:pStyle w:val="7"/>
        <w:ind w:left="420"/>
        <w:rPr>
          <w:rFonts w:ascii="Times New Roman"/>
        </w:rPr>
      </w:pPr>
    </w:p>
    <w:p w14:paraId="41761E9D">
      <w:pPr>
        <w:pStyle w:val="7"/>
        <w:ind w:left="420"/>
        <w:rPr>
          <w:rFonts w:ascii="Times New Roman"/>
        </w:rPr>
      </w:pPr>
    </w:p>
    <w:p w14:paraId="4833CB56">
      <w:pPr>
        <w:pStyle w:val="7"/>
        <w:ind w:left="420"/>
        <w:rPr>
          <w:rFonts w:ascii="Times New Roman"/>
        </w:rPr>
      </w:pPr>
    </w:p>
    <w:p w14:paraId="309060C5">
      <w:pPr>
        <w:pStyle w:val="7"/>
        <w:ind w:left="420"/>
        <w:rPr>
          <w:rFonts w:ascii="Times New Roman"/>
        </w:rPr>
      </w:pPr>
    </w:p>
    <w:p w14:paraId="7C434A4D">
      <w:pPr>
        <w:pStyle w:val="7"/>
        <w:ind w:left="420"/>
        <w:rPr>
          <w:rFonts w:ascii="Times New Roman"/>
        </w:rPr>
      </w:pPr>
    </w:p>
    <w:p w14:paraId="46D3B90D">
      <w:pPr>
        <w:rPr>
          <w:rFonts w:hint="default" w:ascii="Times New Roman" w:hAnsi="Times New Roman" w:eastAsia="方正小标宋_GBK" w:cs="Times New Roman"/>
          <w:b w:val="0"/>
          <w:sz w:val="44"/>
          <w:szCs w:val="44"/>
        </w:rPr>
      </w:pPr>
      <w:bookmarkStart w:id="72" w:name="_Toc26345"/>
      <w:bookmarkStart w:id="73" w:name="_Toc15565"/>
      <w:r>
        <w:rPr>
          <w:rFonts w:hint="default" w:ascii="Times New Roman" w:hAnsi="Times New Roman" w:eastAsia="方正小标宋_GBK" w:cs="Times New Roman"/>
          <w:b w:val="0"/>
          <w:sz w:val="44"/>
          <w:szCs w:val="44"/>
        </w:rPr>
        <w:br w:type="page"/>
      </w:r>
    </w:p>
    <w:p w14:paraId="2705B42D">
      <w:pPr>
        <w:pStyle w:val="3"/>
        <w:spacing w:line="240" w:lineRule="auto"/>
        <w:jc w:val="center"/>
        <w:rPr>
          <w:rFonts w:eastAsia="黑体"/>
          <w:sz w:val="44"/>
          <w:szCs w:val="44"/>
        </w:rPr>
      </w:pPr>
      <w:r>
        <w:rPr>
          <w:rFonts w:hint="default" w:ascii="Times New Roman" w:hAnsi="Times New Roman" w:eastAsia="方正小标宋_GBK" w:cs="Times New Roman"/>
          <w:b w:val="0"/>
          <w:sz w:val="44"/>
          <w:szCs w:val="44"/>
        </w:rPr>
        <w:t>第四部分 附件</w:t>
      </w:r>
      <w:bookmarkEnd w:id="72"/>
      <w:bookmarkEnd w:id="73"/>
    </w:p>
    <w:p w14:paraId="73F0CD99">
      <w:pPr>
        <w:widowControl/>
        <w:spacing w:line="240" w:lineRule="auto"/>
        <w:contextualSpacing/>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部门预算项目支出绩效评价表（2024年度）</w:t>
      </w:r>
    </w:p>
    <w:p w14:paraId="0EF9A05D">
      <w:pPr>
        <w:pStyle w:val="7"/>
        <w:ind w:left="420" w:firstLine="640"/>
        <w:rPr>
          <w:rFonts w:ascii="Times New Roman" w:eastAsia="仿宋_GB2312"/>
          <w:sz w:val="32"/>
        </w:rPr>
      </w:pPr>
    </w:p>
    <w:p w14:paraId="4C9230A5">
      <w:pPr>
        <w:widowControl/>
        <w:jc w:val="center"/>
        <w:rPr>
          <w:rFonts w:eastAsia="黑体"/>
          <w:sz w:val="44"/>
          <w:szCs w:val="44"/>
        </w:rPr>
      </w:pPr>
    </w:p>
    <w:p w14:paraId="34CC7616">
      <w:pPr>
        <w:pStyle w:val="13"/>
        <w:rPr>
          <w:rFonts w:eastAsia="黑体"/>
          <w:sz w:val="44"/>
          <w:szCs w:val="44"/>
        </w:rPr>
      </w:pPr>
    </w:p>
    <w:p w14:paraId="5ED0E918">
      <w:pPr>
        <w:pStyle w:val="7"/>
        <w:ind w:left="420" w:firstLine="880"/>
        <w:rPr>
          <w:rFonts w:ascii="Times New Roman" w:eastAsia="黑体"/>
          <w:sz w:val="44"/>
          <w:szCs w:val="44"/>
        </w:rPr>
      </w:pPr>
    </w:p>
    <w:p w14:paraId="0983A73B">
      <w:pPr>
        <w:pStyle w:val="7"/>
        <w:ind w:left="420" w:firstLine="880"/>
        <w:rPr>
          <w:rFonts w:ascii="Times New Roman" w:eastAsia="黑体"/>
          <w:sz w:val="44"/>
          <w:szCs w:val="44"/>
        </w:rPr>
      </w:pPr>
    </w:p>
    <w:p w14:paraId="0073CFD0">
      <w:pPr>
        <w:pStyle w:val="7"/>
        <w:ind w:left="420" w:firstLine="880"/>
        <w:rPr>
          <w:rFonts w:ascii="Times New Roman" w:eastAsia="黑体"/>
          <w:sz w:val="44"/>
          <w:szCs w:val="44"/>
        </w:rPr>
      </w:pPr>
    </w:p>
    <w:p w14:paraId="53CB0B33">
      <w:pPr>
        <w:pStyle w:val="7"/>
        <w:ind w:left="420" w:firstLine="880"/>
        <w:rPr>
          <w:rFonts w:ascii="Times New Roman" w:eastAsia="黑体"/>
          <w:sz w:val="44"/>
          <w:szCs w:val="44"/>
        </w:rPr>
      </w:pPr>
    </w:p>
    <w:p w14:paraId="12087E37">
      <w:pPr>
        <w:pStyle w:val="7"/>
        <w:ind w:left="420" w:firstLine="880"/>
        <w:rPr>
          <w:rFonts w:ascii="Times New Roman" w:eastAsia="黑体"/>
          <w:sz w:val="44"/>
          <w:szCs w:val="44"/>
        </w:rPr>
      </w:pPr>
    </w:p>
    <w:p w14:paraId="3EF34746">
      <w:pPr>
        <w:pStyle w:val="7"/>
        <w:ind w:left="420" w:firstLine="880"/>
        <w:rPr>
          <w:rFonts w:ascii="Times New Roman" w:eastAsia="黑体"/>
          <w:sz w:val="44"/>
          <w:szCs w:val="44"/>
        </w:rPr>
      </w:pPr>
    </w:p>
    <w:p w14:paraId="20677B14">
      <w:pPr>
        <w:pStyle w:val="7"/>
        <w:ind w:left="420" w:firstLine="880"/>
        <w:rPr>
          <w:rFonts w:ascii="Times New Roman" w:eastAsia="黑体"/>
          <w:sz w:val="44"/>
          <w:szCs w:val="44"/>
        </w:rPr>
      </w:pPr>
    </w:p>
    <w:p w14:paraId="54E7E642">
      <w:pPr>
        <w:pStyle w:val="7"/>
        <w:ind w:left="420" w:firstLine="880"/>
        <w:rPr>
          <w:rFonts w:ascii="Times New Roman" w:eastAsia="黑体"/>
          <w:sz w:val="44"/>
          <w:szCs w:val="44"/>
        </w:rPr>
      </w:pPr>
    </w:p>
    <w:p w14:paraId="6849AF3C">
      <w:pPr>
        <w:pStyle w:val="7"/>
        <w:ind w:left="420" w:firstLine="880"/>
        <w:rPr>
          <w:rFonts w:ascii="Times New Roman" w:eastAsia="黑体"/>
          <w:sz w:val="44"/>
          <w:szCs w:val="44"/>
        </w:rPr>
      </w:pPr>
    </w:p>
    <w:p w14:paraId="0ACB480F">
      <w:pPr>
        <w:pStyle w:val="7"/>
        <w:ind w:left="420" w:firstLine="880"/>
        <w:rPr>
          <w:rFonts w:ascii="Times New Roman" w:eastAsia="黑体"/>
          <w:sz w:val="44"/>
          <w:szCs w:val="44"/>
        </w:rPr>
      </w:pPr>
    </w:p>
    <w:p w14:paraId="0A92C99A">
      <w:pPr>
        <w:pStyle w:val="7"/>
        <w:ind w:left="420" w:firstLine="880"/>
        <w:rPr>
          <w:rFonts w:ascii="Times New Roman" w:eastAsia="黑体"/>
          <w:sz w:val="44"/>
          <w:szCs w:val="44"/>
        </w:rPr>
      </w:pPr>
    </w:p>
    <w:p w14:paraId="4A950DEF">
      <w:pPr>
        <w:pStyle w:val="7"/>
        <w:ind w:left="420" w:firstLine="880"/>
        <w:rPr>
          <w:rFonts w:ascii="Times New Roman" w:eastAsia="黑体"/>
          <w:sz w:val="44"/>
          <w:szCs w:val="44"/>
        </w:rPr>
      </w:pPr>
    </w:p>
    <w:p w14:paraId="0820A018">
      <w:pPr>
        <w:pStyle w:val="7"/>
        <w:ind w:left="0" w:leftChars="0" w:firstLine="0" w:firstLineChars="0"/>
        <w:rPr>
          <w:rFonts w:ascii="Times New Roman" w:eastAsia="黑体"/>
          <w:sz w:val="44"/>
          <w:szCs w:val="44"/>
        </w:rPr>
      </w:pPr>
    </w:p>
    <w:p w14:paraId="632382EF">
      <w:pPr>
        <w:rPr>
          <w:rFonts w:hint="default" w:ascii="Times New Roman" w:hAnsi="Times New Roman" w:eastAsia="方正小标宋_GBK" w:cs="Times New Roman"/>
          <w:b w:val="0"/>
          <w:sz w:val="44"/>
          <w:szCs w:val="44"/>
        </w:rPr>
      </w:pPr>
      <w:bookmarkStart w:id="74" w:name="_Toc12030"/>
      <w:bookmarkStart w:id="75" w:name="_Toc24199"/>
      <w:r>
        <w:rPr>
          <w:rFonts w:hint="default" w:ascii="Times New Roman" w:hAnsi="Times New Roman" w:eastAsia="方正小标宋_GBK" w:cs="Times New Roman"/>
          <w:b w:val="0"/>
          <w:sz w:val="44"/>
          <w:szCs w:val="44"/>
        </w:rPr>
        <w:br w:type="page"/>
      </w:r>
    </w:p>
    <w:p w14:paraId="7B790F86">
      <w:pPr>
        <w:pStyle w:val="3"/>
        <w:spacing w:line="240" w:lineRule="auto"/>
        <w:jc w:val="center"/>
        <w:rPr>
          <w:rFonts w:eastAsia="仿宋_GB2312"/>
          <w:sz w:val="32"/>
          <w:szCs w:val="32"/>
        </w:rPr>
      </w:pPr>
      <w:r>
        <w:rPr>
          <w:rFonts w:hint="default" w:ascii="Times New Roman" w:hAnsi="Times New Roman" w:eastAsia="方正小标宋_GBK" w:cs="Times New Roman"/>
          <w:b w:val="0"/>
          <w:sz w:val="44"/>
          <w:szCs w:val="44"/>
        </w:rPr>
        <w:t>第五部分 附表</w:t>
      </w:r>
      <w:bookmarkEnd w:id="74"/>
      <w:bookmarkEnd w:id="75"/>
      <w:bookmarkStart w:id="76" w:name="_Toc15396619"/>
    </w:p>
    <w:p w14:paraId="37AC7EE4">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77" w:name="_Toc10422"/>
      <w:r>
        <w:rPr>
          <w:rFonts w:hint="default" w:ascii="Times New Roman" w:hAnsi="Times New Roman" w:eastAsia="方正黑体_GBK" w:cs="Times New Roman"/>
          <w:b w:val="0"/>
          <w:bCs/>
          <w:kern w:val="2"/>
          <w:sz w:val="32"/>
          <w:szCs w:val="32"/>
          <w:lang w:val="en-US" w:eastAsia="zh-CN" w:bidi="ar-SA"/>
        </w:rPr>
        <w:t>一、收入支出决算总表</w:t>
      </w:r>
      <w:bookmarkEnd w:id="76"/>
      <w:bookmarkEnd w:id="77"/>
    </w:p>
    <w:p w14:paraId="5316E6F4">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78" w:name="_Toc15396620"/>
      <w:bookmarkStart w:id="79" w:name="_Toc22017"/>
      <w:r>
        <w:rPr>
          <w:rFonts w:hint="default" w:ascii="Times New Roman" w:hAnsi="Times New Roman" w:eastAsia="方正黑体_GBK" w:cs="Times New Roman"/>
          <w:b w:val="0"/>
          <w:bCs/>
          <w:kern w:val="2"/>
          <w:sz w:val="32"/>
          <w:szCs w:val="32"/>
          <w:lang w:val="en-US" w:eastAsia="zh-CN" w:bidi="ar-SA"/>
        </w:rPr>
        <w:t>二、收入决算表</w:t>
      </w:r>
      <w:bookmarkEnd w:id="78"/>
      <w:bookmarkEnd w:id="79"/>
    </w:p>
    <w:p w14:paraId="4F0A19BC">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0" w:name="_Toc15396621"/>
      <w:bookmarkStart w:id="81" w:name="_Toc7371"/>
      <w:r>
        <w:rPr>
          <w:rFonts w:hint="default" w:ascii="Times New Roman" w:hAnsi="Times New Roman" w:eastAsia="方正黑体_GBK" w:cs="Times New Roman"/>
          <w:b w:val="0"/>
          <w:bCs/>
          <w:kern w:val="2"/>
          <w:sz w:val="32"/>
          <w:szCs w:val="32"/>
          <w:lang w:val="en-US" w:eastAsia="zh-CN" w:bidi="ar-SA"/>
        </w:rPr>
        <w:t>三、支出决算表</w:t>
      </w:r>
      <w:bookmarkEnd w:id="80"/>
      <w:bookmarkEnd w:id="81"/>
    </w:p>
    <w:p w14:paraId="0BE0314A">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2" w:name="_Toc15396622"/>
      <w:bookmarkStart w:id="83" w:name="_Toc17882"/>
      <w:r>
        <w:rPr>
          <w:rFonts w:hint="default" w:ascii="Times New Roman" w:hAnsi="Times New Roman" w:eastAsia="方正黑体_GBK" w:cs="Times New Roman"/>
          <w:b w:val="0"/>
          <w:bCs/>
          <w:kern w:val="2"/>
          <w:sz w:val="32"/>
          <w:szCs w:val="32"/>
          <w:lang w:val="en-US" w:eastAsia="zh-CN" w:bidi="ar-SA"/>
        </w:rPr>
        <w:t>四、财政拨款收入支出决算总表</w:t>
      </w:r>
      <w:bookmarkEnd w:id="82"/>
      <w:bookmarkEnd w:id="83"/>
    </w:p>
    <w:p w14:paraId="6A4E777F">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4" w:name="_Toc22039"/>
      <w:bookmarkStart w:id="85" w:name="_Toc15396623"/>
      <w:r>
        <w:rPr>
          <w:rFonts w:hint="default" w:ascii="Times New Roman" w:hAnsi="Times New Roman" w:eastAsia="方正黑体_GBK" w:cs="Times New Roman"/>
          <w:b w:val="0"/>
          <w:bCs/>
          <w:kern w:val="2"/>
          <w:sz w:val="32"/>
          <w:szCs w:val="32"/>
          <w:lang w:val="en-US" w:eastAsia="zh-CN" w:bidi="ar-SA"/>
        </w:rPr>
        <w:t>五、财政拨款支出决算明细表</w:t>
      </w:r>
      <w:bookmarkEnd w:id="84"/>
      <w:bookmarkEnd w:id="85"/>
      <w:bookmarkStart w:id="86" w:name="_Toc15396624"/>
    </w:p>
    <w:p w14:paraId="22B43902">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7" w:name="_Toc14358"/>
      <w:r>
        <w:rPr>
          <w:rFonts w:hint="default" w:ascii="Times New Roman" w:hAnsi="Times New Roman" w:eastAsia="方正黑体_GBK" w:cs="Times New Roman"/>
          <w:b w:val="0"/>
          <w:bCs/>
          <w:kern w:val="2"/>
          <w:sz w:val="32"/>
          <w:szCs w:val="32"/>
          <w:lang w:val="en-US" w:eastAsia="zh-CN" w:bidi="ar-SA"/>
        </w:rPr>
        <w:t>六、一般公共预算财政拨款支出决算表</w:t>
      </w:r>
      <w:bookmarkEnd w:id="86"/>
      <w:bookmarkEnd w:id="87"/>
    </w:p>
    <w:p w14:paraId="1C24A692">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8" w:name="_Toc15396625"/>
      <w:bookmarkStart w:id="89" w:name="_Toc31526"/>
      <w:r>
        <w:rPr>
          <w:rFonts w:hint="default" w:ascii="Times New Roman" w:hAnsi="Times New Roman" w:eastAsia="方正黑体_GBK" w:cs="Times New Roman"/>
          <w:b w:val="0"/>
          <w:bCs/>
          <w:kern w:val="2"/>
          <w:sz w:val="32"/>
          <w:szCs w:val="32"/>
          <w:lang w:val="en-US" w:eastAsia="zh-CN" w:bidi="ar-SA"/>
        </w:rPr>
        <w:t>七、一般公共预算财政拨款支出决算明细表</w:t>
      </w:r>
      <w:bookmarkEnd w:id="88"/>
      <w:bookmarkEnd w:id="89"/>
    </w:p>
    <w:p w14:paraId="416E6B49">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0" w:name="_Toc15396626"/>
      <w:bookmarkStart w:id="91" w:name="_Toc21312"/>
      <w:r>
        <w:rPr>
          <w:rFonts w:hint="default" w:ascii="Times New Roman" w:hAnsi="Times New Roman" w:eastAsia="方正黑体_GBK" w:cs="Times New Roman"/>
          <w:b w:val="0"/>
          <w:bCs/>
          <w:kern w:val="2"/>
          <w:sz w:val="32"/>
          <w:szCs w:val="32"/>
          <w:lang w:val="en-US" w:eastAsia="zh-CN" w:bidi="ar-SA"/>
        </w:rPr>
        <w:t>八、一般公共预算财政拨款基本支出决算表</w:t>
      </w:r>
      <w:bookmarkEnd w:id="90"/>
      <w:bookmarkEnd w:id="91"/>
    </w:p>
    <w:p w14:paraId="0B86E320">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2" w:name="_Toc15396627"/>
      <w:bookmarkStart w:id="93" w:name="_Toc4544"/>
      <w:r>
        <w:rPr>
          <w:rFonts w:hint="default" w:ascii="Times New Roman" w:hAnsi="Times New Roman" w:eastAsia="方正黑体_GBK" w:cs="Times New Roman"/>
          <w:b w:val="0"/>
          <w:bCs/>
          <w:kern w:val="2"/>
          <w:sz w:val="32"/>
          <w:szCs w:val="32"/>
          <w:lang w:val="en-US" w:eastAsia="zh-CN" w:bidi="ar-SA"/>
        </w:rPr>
        <w:t>九、一般公共预算财政拨款项目支出决算表</w:t>
      </w:r>
      <w:bookmarkEnd w:id="92"/>
      <w:bookmarkEnd w:id="93"/>
    </w:p>
    <w:p w14:paraId="3789EC30">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4" w:name="_Toc15396628"/>
      <w:bookmarkStart w:id="95" w:name="_Toc16836"/>
      <w:r>
        <w:rPr>
          <w:rFonts w:hint="default" w:ascii="Times New Roman" w:hAnsi="Times New Roman" w:eastAsia="方正黑体_GBK" w:cs="Times New Roman"/>
          <w:b w:val="0"/>
          <w:bCs/>
          <w:kern w:val="2"/>
          <w:sz w:val="32"/>
          <w:szCs w:val="32"/>
          <w:lang w:val="en-US" w:eastAsia="zh-CN" w:bidi="ar-SA"/>
        </w:rPr>
        <w:t>十、</w:t>
      </w:r>
      <w:bookmarkEnd w:id="94"/>
      <w:r>
        <w:rPr>
          <w:rFonts w:hint="default" w:ascii="Times New Roman" w:hAnsi="Times New Roman" w:eastAsia="方正黑体_GBK" w:cs="Times New Roman"/>
          <w:b w:val="0"/>
          <w:bCs/>
          <w:kern w:val="2"/>
          <w:sz w:val="32"/>
          <w:szCs w:val="32"/>
          <w:lang w:val="en-US" w:eastAsia="zh-CN" w:bidi="ar-SA"/>
        </w:rPr>
        <w:t>政府性基金预算财政拨款收入支出决算表</w:t>
      </w:r>
      <w:bookmarkEnd w:id="95"/>
    </w:p>
    <w:p w14:paraId="5BDA0D74">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6" w:name="_Toc15396629"/>
      <w:bookmarkStart w:id="97" w:name="_Toc28514"/>
      <w:r>
        <w:rPr>
          <w:rFonts w:hint="default" w:ascii="Times New Roman" w:hAnsi="Times New Roman" w:eastAsia="方正黑体_GBK" w:cs="Times New Roman"/>
          <w:b w:val="0"/>
          <w:bCs/>
          <w:kern w:val="2"/>
          <w:sz w:val="32"/>
          <w:szCs w:val="32"/>
          <w:lang w:val="en-US" w:eastAsia="zh-CN" w:bidi="ar-SA"/>
        </w:rPr>
        <w:t>十一、</w:t>
      </w:r>
      <w:bookmarkEnd w:id="96"/>
      <w:r>
        <w:rPr>
          <w:rFonts w:hint="default" w:ascii="Times New Roman" w:hAnsi="Times New Roman" w:eastAsia="方正黑体_GBK" w:cs="Times New Roman"/>
          <w:b w:val="0"/>
          <w:bCs/>
          <w:kern w:val="2"/>
          <w:sz w:val="32"/>
          <w:szCs w:val="32"/>
          <w:lang w:val="en-US" w:eastAsia="zh-CN" w:bidi="ar-SA"/>
        </w:rPr>
        <w:t>国有资本经营预算财政拨款收入支出决算表</w:t>
      </w:r>
      <w:bookmarkEnd w:id="97"/>
    </w:p>
    <w:p w14:paraId="070F81DE">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8" w:name="_Toc15396630"/>
      <w:bookmarkStart w:id="99" w:name="_Toc27901"/>
      <w:r>
        <w:rPr>
          <w:rFonts w:hint="default" w:ascii="Times New Roman" w:hAnsi="Times New Roman" w:eastAsia="方正黑体_GBK" w:cs="Times New Roman"/>
          <w:b w:val="0"/>
          <w:bCs/>
          <w:kern w:val="2"/>
          <w:sz w:val="32"/>
          <w:szCs w:val="32"/>
          <w:lang w:val="en-US" w:eastAsia="zh-CN" w:bidi="ar-SA"/>
        </w:rPr>
        <w:t>十二、</w:t>
      </w:r>
      <w:bookmarkEnd w:id="98"/>
      <w:r>
        <w:rPr>
          <w:rFonts w:hint="default" w:ascii="Times New Roman" w:hAnsi="Times New Roman" w:eastAsia="方正黑体_GBK" w:cs="Times New Roman"/>
          <w:b w:val="0"/>
          <w:bCs/>
          <w:kern w:val="2"/>
          <w:sz w:val="32"/>
          <w:szCs w:val="32"/>
          <w:lang w:val="en-US" w:eastAsia="zh-CN" w:bidi="ar-SA"/>
        </w:rPr>
        <w:t>国有资本经营预算财政拨款支出决算表</w:t>
      </w:r>
      <w:bookmarkEnd w:id="99"/>
    </w:p>
    <w:p w14:paraId="1EF1AD5D">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0" w:name="_Toc15396631"/>
      <w:bookmarkStart w:id="101" w:name="_Toc25213"/>
      <w:r>
        <w:rPr>
          <w:rFonts w:hint="default" w:ascii="Times New Roman" w:hAnsi="Times New Roman" w:eastAsia="方正黑体_GBK" w:cs="Times New Roman"/>
          <w:b w:val="0"/>
          <w:bCs/>
          <w:kern w:val="2"/>
          <w:sz w:val="32"/>
          <w:szCs w:val="32"/>
          <w:lang w:val="en-US" w:eastAsia="zh-CN" w:bidi="ar-SA"/>
        </w:rPr>
        <w:t>十三、</w:t>
      </w:r>
      <w:bookmarkEnd w:id="100"/>
      <w:r>
        <w:rPr>
          <w:rFonts w:hint="default" w:ascii="Times New Roman" w:hAnsi="Times New Roman" w:eastAsia="方正黑体_GBK" w:cs="Times New Roman"/>
          <w:b w:val="0"/>
          <w:bCs/>
          <w:kern w:val="2"/>
          <w:sz w:val="32"/>
          <w:szCs w:val="32"/>
          <w:lang w:val="en-US" w:eastAsia="zh-CN" w:bidi="ar-SA"/>
        </w:rPr>
        <w:t>财政拨款“三公”经费支出决算表</w:t>
      </w:r>
      <w:bookmarkEnd w:id="101"/>
    </w:p>
    <w:p w14:paraId="065EE553">
      <w:pPr>
        <w:pStyle w:val="14"/>
        <w:adjustRightInd w:val="0"/>
        <w:snapToGrid w:val="0"/>
        <w:spacing w:line="560" w:lineRule="exact"/>
        <w:jc w:val="left"/>
        <w:rPr>
          <w:rFonts w:eastAsia="仿宋_GB2312"/>
          <w:sz w:val="32"/>
          <w:szCs w:val="32"/>
        </w:rPr>
      </w:pPr>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5FD29511-AB3F-4274-9038-E20F1C1AD7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C71C57E-318D-4D48-88D4-C37F7B96DDD2}"/>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53BA734-EAC2-4E01-BCC1-AEA5A5E85D07}"/>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8FD3E437-4C67-46F6-A7AE-F2E6DB2DA508}"/>
  </w:font>
  <w:font w:name="方正小标宋_GBK">
    <w:panose1 w:val="03000509000000000000"/>
    <w:charset w:val="86"/>
    <w:family w:val="auto"/>
    <w:pitch w:val="default"/>
    <w:sig w:usb0="00000001" w:usb1="080E0000" w:usb2="00000000" w:usb3="00000000" w:csb0="00040000" w:csb1="00000000"/>
    <w:embedRegular r:id="rId5" w:fontKey="{B6AD9ADC-849B-429E-B0BA-224ECD96AB3A}"/>
  </w:font>
  <w:font w:name="方正黑体_GBK">
    <w:panose1 w:val="03000509000000000000"/>
    <w:charset w:val="86"/>
    <w:family w:val="auto"/>
    <w:pitch w:val="default"/>
    <w:sig w:usb0="00000001" w:usb1="080E0000" w:usb2="00000000" w:usb3="00000000" w:csb0="00040000" w:csb1="00000000"/>
    <w:embedRegular r:id="rId6" w:fontKey="{2310A0A0-B014-4C7A-9B73-D157F47BCE86}"/>
  </w:font>
  <w:font w:name="方正仿宋_GBK">
    <w:panose1 w:val="03000509000000000000"/>
    <w:charset w:val="86"/>
    <w:family w:val="auto"/>
    <w:pitch w:val="default"/>
    <w:sig w:usb0="00000001" w:usb1="080E0000" w:usb2="00000000" w:usb3="00000000" w:csb0="00040000" w:csb1="00000000"/>
    <w:embedRegular r:id="rId7" w:fontKey="{D1B8C615-318B-47F2-A0B3-869491DB6BD1}"/>
  </w:font>
  <w:font w:name="方正楷体_GBK">
    <w:panose1 w:val="03000509000000000000"/>
    <w:charset w:val="86"/>
    <w:family w:val="auto"/>
    <w:pitch w:val="default"/>
    <w:sig w:usb0="00000001" w:usb1="080E0000" w:usb2="00000000" w:usb3="00000000" w:csb0="00040000" w:csb1="00000000"/>
    <w:embedRegular r:id="rId8" w:fontKey="{333B97D7-C92D-4E7F-AEA3-25231D4F69D9}"/>
  </w:font>
  <w:font w:name="楷体_GB2312">
    <w:panose1 w:val="02010609030101010101"/>
    <w:charset w:val="86"/>
    <w:family w:val="modern"/>
    <w:pitch w:val="default"/>
    <w:sig w:usb0="00000001" w:usb1="080E0000" w:usb2="00000000" w:usb3="00000000" w:csb0="00040000" w:csb1="00000000"/>
    <w:embedRegular r:id="rId9" w:fontKey="{B566318E-61BC-4654-891C-6FC7A554F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9125">
    <w:pPr>
      <w:pStyle w:val="10"/>
      <w:jc w:val="center"/>
    </w:pPr>
  </w:p>
  <w:p w14:paraId="16B97E7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EE84">
    <w:pPr>
      <w:pStyle w:val="10"/>
      <w:jc w:val="center"/>
    </w:pPr>
  </w:p>
  <w:p w14:paraId="5716F11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AA0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1AB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F8975">
                          <w:pPr>
                            <w:pStyle w:val="10"/>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4CF8975">
                    <w:pPr>
                      <w:pStyle w:val="10"/>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p w14:paraId="23F035C4">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E233">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09372">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D09372">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8698">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2E9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881"/>
    <w:rsid w:val="000C3467"/>
    <w:rsid w:val="000C3CA6"/>
    <w:rsid w:val="000D1267"/>
    <w:rsid w:val="000D1D50"/>
    <w:rsid w:val="000D5782"/>
    <w:rsid w:val="000E441E"/>
    <w:rsid w:val="000E6613"/>
    <w:rsid w:val="000E7119"/>
    <w:rsid w:val="00110F92"/>
    <w:rsid w:val="00114E9B"/>
    <w:rsid w:val="001179DC"/>
    <w:rsid w:val="0012023E"/>
    <w:rsid w:val="00142216"/>
    <w:rsid w:val="00143670"/>
    <w:rsid w:val="00144D6A"/>
    <w:rsid w:val="0014729F"/>
    <w:rsid w:val="00157BAB"/>
    <w:rsid w:val="001654D1"/>
    <w:rsid w:val="001730CA"/>
    <w:rsid w:val="00174518"/>
    <w:rsid w:val="0018106D"/>
    <w:rsid w:val="00184209"/>
    <w:rsid w:val="001877A7"/>
    <w:rsid w:val="0018792B"/>
    <w:rsid w:val="00191536"/>
    <w:rsid w:val="001949D4"/>
    <w:rsid w:val="00196687"/>
    <w:rsid w:val="001A43E3"/>
    <w:rsid w:val="001C0962"/>
    <w:rsid w:val="001D7531"/>
    <w:rsid w:val="001E737D"/>
    <w:rsid w:val="001F0592"/>
    <w:rsid w:val="001F7506"/>
    <w:rsid w:val="002006CD"/>
    <w:rsid w:val="00202B36"/>
    <w:rsid w:val="00204B7A"/>
    <w:rsid w:val="00204CDE"/>
    <w:rsid w:val="0021101A"/>
    <w:rsid w:val="00220536"/>
    <w:rsid w:val="002258CA"/>
    <w:rsid w:val="00231D60"/>
    <w:rsid w:val="00235629"/>
    <w:rsid w:val="00260C38"/>
    <w:rsid w:val="002616C0"/>
    <w:rsid w:val="00265372"/>
    <w:rsid w:val="002662AA"/>
    <w:rsid w:val="00280496"/>
    <w:rsid w:val="00294DC9"/>
    <w:rsid w:val="00295495"/>
    <w:rsid w:val="002A31DE"/>
    <w:rsid w:val="002A77D0"/>
    <w:rsid w:val="002B2613"/>
    <w:rsid w:val="002C4D92"/>
    <w:rsid w:val="002C648F"/>
    <w:rsid w:val="002D6D05"/>
    <w:rsid w:val="002E4DB1"/>
    <w:rsid w:val="002F1818"/>
    <w:rsid w:val="002F567B"/>
    <w:rsid w:val="00300ADB"/>
    <w:rsid w:val="003216A9"/>
    <w:rsid w:val="00335838"/>
    <w:rsid w:val="00335A74"/>
    <w:rsid w:val="00355CB4"/>
    <w:rsid w:val="0036561B"/>
    <w:rsid w:val="0037013F"/>
    <w:rsid w:val="0037413C"/>
    <w:rsid w:val="00380C92"/>
    <w:rsid w:val="00381D9C"/>
    <w:rsid w:val="00393271"/>
    <w:rsid w:val="003A389D"/>
    <w:rsid w:val="003A484F"/>
    <w:rsid w:val="003A4883"/>
    <w:rsid w:val="003B0BE0"/>
    <w:rsid w:val="003B0C1B"/>
    <w:rsid w:val="003B688C"/>
    <w:rsid w:val="003C0291"/>
    <w:rsid w:val="003C39AE"/>
    <w:rsid w:val="003C75C4"/>
    <w:rsid w:val="003C7B60"/>
    <w:rsid w:val="003D0C0F"/>
    <w:rsid w:val="003D1FB2"/>
    <w:rsid w:val="003D3E40"/>
    <w:rsid w:val="003D66DA"/>
    <w:rsid w:val="003E1310"/>
    <w:rsid w:val="003E57A2"/>
    <w:rsid w:val="003E6F55"/>
    <w:rsid w:val="00405769"/>
    <w:rsid w:val="00406254"/>
    <w:rsid w:val="004223DE"/>
    <w:rsid w:val="00434489"/>
    <w:rsid w:val="00437085"/>
    <w:rsid w:val="00443880"/>
    <w:rsid w:val="004464F4"/>
    <w:rsid w:val="00471401"/>
    <w:rsid w:val="00473F31"/>
    <w:rsid w:val="0048263A"/>
    <w:rsid w:val="00487E5D"/>
    <w:rsid w:val="00492065"/>
    <w:rsid w:val="0049374F"/>
    <w:rsid w:val="004A656B"/>
    <w:rsid w:val="004A711F"/>
    <w:rsid w:val="004B199D"/>
    <w:rsid w:val="004B4690"/>
    <w:rsid w:val="004C7B09"/>
    <w:rsid w:val="004E0A2D"/>
    <w:rsid w:val="004E206B"/>
    <w:rsid w:val="004E383C"/>
    <w:rsid w:val="004E6DF7"/>
    <w:rsid w:val="004F0FBD"/>
    <w:rsid w:val="00505A47"/>
    <w:rsid w:val="00512FDA"/>
    <w:rsid w:val="00520DA0"/>
    <w:rsid w:val="00542736"/>
    <w:rsid w:val="005664BB"/>
    <w:rsid w:val="00566FFA"/>
    <w:rsid w:val="0057481D"/>
    <w:rsid w:val="005817F3"/>
    <w:rsid w:val="0058486E"/>
    <w:rsid w:val="00585B33"/>
    <w:rsid w:val="0059014D"/>
    <w:rsid w:val="00594EBC"/>
    <w:rsid w:val="005B5C64"/>
    <w:rsid w:val="005C5337"/>
    <w:rsid w:val="005C6BD0"/>
    <w:rsid w:val="005D1C8B"/>
    <w:rsid w:val="005D1DE8"/>
    <w:rsid w:val="005D468D"/>
    <w:rsid w:val="005D5CED"/>
    <w:rsid w:val="005F1A4C"/>
    <w:rsid w:val="00605688"/>
    <w:rsid w:val="006070AF"/>
    <w:rsid w:val="00607712"/>
    <w:rsid w:val="00607E6C"/>
    <w:rsid w:val="006101B1"/>
    <w:rsid w:val="00612BF4"/>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25F06"/>
    <w:rsid w:val="007313A2"/>
    <w:rsid w:val="007416B6"/>
    <w:rsid w:val="00746F48"/>
    <w:rsid w:val="0075404D"/>
    <w:rsid w:val="007609F6"/>
    <w:rsid w:val="0076182A"/>
    <w:rsid w:val="00767B7E"/>
    <w:rsid w:val="007770C3"/>
    <w:rsid w:val="00780276"/>
    <w:rsid w:val="00784D24"/>
    <w:rsid w:val="00785FBA"/>
    <w:rsid w:val="00786E4A"/>
    <w:rsid w:val="007875EB"/>
    <w:rsid w:val="0079426B"/>
    <w:rsid w:val="007A798C"/>
    <w:rsid w:val="007C704F"/>
    <w:rsid w:val="007D1682"/>
    <w:rsid w:val="007D312A"/>
    <w:rsid w:val="007D3F19"/>
    <w:rsid w:val="007E23B0"/>
    <w:rsid w:val="007E23E5"/>
    <w:rsid w:val="007E7C70"/>
    <w:rsid w:val="007F1991"/>
    <w:rsid w:val="007F2C2F"/>
    <w:rsid w:val="007F55FC"/>
    <w:rsid w:val="007F5665"/>
    <w:rsid w:val="00800112"/>
    <w:rsid w:val="008121A3"/>
    <w:rsid w:val="00813348"/>
    <w:rsid w:val="008253BB"/>
    <w:rsid w:val="00832271"/>
    <w:rsid w:val="0083706E"/>
    <w:rsid w:val="008408F6"/>
    <w:rsid w:val="008423A5"/>
    <w:rsid w:val="0084448B"/>
    <w:rsid w:val="00850625"/>
    <w:rsid w:val="00853718"/>
    <w:rsid w:val="00855221"/>
    <w:rsid w:val="00860645"/>
    <w:rsid w:val="008665E4"/>
    <w:rsid w:val="00871F71"/>
    <w:rsid w:val="00872FD8"/>
    <w:rsid w:val="00885AF4"/>
    <w:rsid w:val="008939CD"/>
    <w:rsid w:val="00896B77"/>
    <w:rsid w:val="008B768C"/>
    <w:rsid w:val="008C4DB1"/>
    <w:rsid w:val="008C4EAF"/>
    <w:rsid w:val="008C5176"/>
    <w:rsid w:val="008C7FD0"/>
    <w:rsid w:val="008E1DE7"/>
    <w:rsid w:val="008E4C8E"/>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48DA"/>
    <w:rsid w:val="0098660A"/>
    <w:rsid w:val="009931C3"/>
    <w:rsid w:val="0099503A"/>
    <w:rsid w:val="009B2790"/>
    <w:rsid w:val="009B2C43"/>
    <w:rsid w:val="009B4EAE"/>
    <w:rsid w:val="009B7573"/>
    <w:rsid w:val="009C22F4"/>
    <w:rsid w:val="009C2A4B"/>
    <w:rsid w:val="009C2E98"/>
    <w:rsid w:val="009D3447"/>
    <w:rsid w:val="009D3C6A"/>
    <w:rsid w:val="009D4711"/>
    <w:rsid w:val="009D7E1A"/>
    <w:rsid w:val="009E618D"/>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476"/>
    <w:rsid w:val="00A67AB5"/>
    <w:rsid w:val="00A733B2"/>
    <w:rsid w:val="00A741C2"/>
    <w:rsid w:val="00A8103C"/>
    <w:rsid w:val="00A91760"/>
    <w:rsid w:val="00A93B00"/>
    <w:rsid w:val="00A93C21"/>
    <w:rsid w:val="00A96AB6"/>
    <w:rsid w:val="00AA63B6"/>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7622"/>
    <w:rsid w:val="00BA77F1"/>
    <w:rsid w:val="00BB4DF0"/>
    <w:rsid w:val="00BC289F"/>
    <w:rsid w:val="00BC2D50"/>
    <w:rsid w:val="00BC5361"/>
    <w:rsid w:val="00BC5460"/>
    <w:rsid w:val="00BC6B50"/>
    <w:rsid w:val="00BD0E25"/>
    <w:rsid w:val="00BF5BD6"/>
    <w:rsid w:val="00C03E31"/>
    <w:rsid w:val="00C0513E"/>
    <w:rsid w:val="00C33E72"/>
    <w:rsid w:val="00C354B2"/>
    <w:rsid w:val="00C35554"/>
    <w:rsid w:val="00C42709"/>
    <w:rsid w:val="00C533CC"/>
    <w:rsid w:val="00C5751C"/>
    <w:rsid w:val="00C61BFC"/>
    <w:rsid w:val="00C62B85"/>
    <w:rsid w:val="00C65438"/>
    <w:rsid w:val="00C850BA"/>
    <w:rsid w:val="00C878EB"/>
    <w:rsid w:val="00C87FD8"/>
    <w:rsid w:val="00C91381"/>
    <w:rsid w:val="00C91CBB"/>
    <w:rsid w:val="00CB4E70"/>
    <w:rsid w:val="00CC09B6"/>
    <w:rsid w:val="00CC666F"/>
    <w:rsid w:val="00CC73E9"/>
    <w:rsid w:val="00CD1E3F"/>
    <w:rsid w:val="00CE44F6"/>
    <w:rsid w:val="00CE49DA"/>
    <w:rsid w:val="00CE7B61"/>
    <w:rsid w:val="00D00095"/>
    <w:rsid w:val="00D114F0"/>
    <w:rsid w:val="00D20620"/>
    <w:rsid w:val="00D254F7"/>
    <w:rsid w:val="00D26091"/>
    <w:rsid w:val="00D2685C"/>
    <w:rsid w:val="00D34E7C"/>
    <w:rsid w:val="00D35489"/>
    <w:rsid w:val="00D36AFE"/>
    <w:rsid w:val="00D475D3"/>
    <w:rsid w:val="00D51276"/>
    <w:rsid w:val="00D7035F"/>
    <w:rsid w:val="00D74FCB"/>
    <w:rsid w:val="00D929DB"/>
    <w:rsid w:val="00DA2821"/>
    <w:rsid w:val="00DA634F"/>
    <w:rsid w:val="00DA65AC"/>
    <w:rsid w:val="00DB1913"/>
    <w:rsid w:val="00DC410D"/>
    <w:rsid w:val="00DC5A81"/>
    <w:rsid w:val="00DC68CA"/>
    <w:rsid w:val="00DC7CBA"/>
    <w:rsid w:val="00DD3E68"/>
    <w:rsid w:val="00DD73B7"/>
    <w:rsid w:val="00DF28BC"/>
    <w:rsid w:val="00DF34B9"/>
    <w:rsid w:val="00E01053"/>
    <w:rsid w:val="00E03EF2"/>
    <w:rsid w:val="00E07ACF"/>
    <w:rsid w:val="00E331A1"/>
    <w:rsid w:val="00E33202"/>
    <w:rsid w:val="00E336A9"/>
    <w:rsid w:val="00E472B1"/>
    <w:rsid w:val="00E50624"/>
    <w:rsid w:val="00E54633"/>
    <w:rsid w:val="00E568DF"/>
    <w:rsid w:val="00E64269"/>
    <w:rsid w:val="00E82267"/>
    <w:rsid w:val="00E853CE"/>
    <w:rsid w:val="00E867B6"/>
    <w:rsid w:val="00EA010F"/>
    <w:rsid w:val="00EA5D60"/>
    <w:rsid w:val="00EB3808"/>
    <w:rsid w:val="00EC6BC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31B9"/>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222440"/>
    <w:rsid w:val="0D35B1ED"/>
    <w:rsid w:val="0DA90E87"/>
    <w:rsid w:val="0E254B6B"/>
    <w:rsid w:val="0E6574A4"/>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DA75452"/>
    <w:rsid w:val="1E312DEB"/>
    <w:rsid w:val="1E740ACF"/>
    <w:rsid w:val="1FF35744"/>
    <w:rsid w:val="1FF6BC77"/>
    <w:rsid w:val="2186353C"/>
    <w:rsid w:val="237B028C"/>
    <w:rsid w:val="23860B96"/>
    <w:rsid w:val="240371BF"/>
    <w:rsid w:val="244F3473"/>
    <w:rsid w:val="249661B1"/>
    <w:rsid w:val="24C97D99"/>
    <w:rsid w:val="25A718F0"/>
    <w:rsid w:val="25BB59F6"/>
    <w:rsid w:val="260F557C"/>
    <w:rsid w:val="26970054"/>
    <w:rsid w:val="281408E2"/>
    <w:rsid w:val="29BB2216"/>
    <w:rsid w:val="29FD04D3"/>
    <w:rsid w:val="2B381D70"/>
    <w:rsid w:val="2BFF7BC6"/>
    <w:rsid w:val="2C8A61B5"/>
    <w:rsid w:val="2DF04E50"/>
    <w:rsid w:val="2E586DFA"/>
    <w:rsid w:val="2F040D46"/>
    <w:rsid w:val="2F6B035B"/>
    <w:rsid w:val="2FAE5751"/>
    <w:rsid w:val="2FB1A395"/>
    <w:rsid w:val="2FC35981"/>
    <w:rsid w:val="2FD9A7D8"/>
    <w:rsid w:val="2FDBF714"/>
    <w:rsid w:val="300E4CAA"/>
    <w:rsid w:val="30AB6865"/>
    <w:rsid w:val="319F7F4E"/>
    <w:rsid w:val="32BD1EF1"/>
    <w:rsid w:val="3304709D"/>
    <w:rsid w:val="33A773CB"/>
    <w:rsid w:val="349D6851"/>
    <w:rsid w:val="36AA5135"/>
    <w:rsid w:val="36BE0DA7"/>
    <w:rsid w:val="376B6AA6"/>
    <w:rsid w:val="376D39B2"/>
    <w:rsid w:val="37E16F03"/>
    <w:rsid w:val="37F53A3B"/>
    <w:rsid w:val="389B6C89"/>
    <w:rsid w:val="38D469F0"/>
    <w:rsid w:val="390E4110"/>
    <w:rsid w:val="39627CCD"/>
    <w:rsid w:val="397BAF1F"/>
    <w:rsid w:val="3AB79AF3"/>
    <w:rsid w:val="3AE834C0"/>
    <w:rsid w:val="3B7EF35A"/>
    <w:rsid w:val="3B9FDB6C"/>
    <w:rsid w:val="3BF5BC2F"/>
    <w:rsid w:val="3CEBA265"/>
    <w:rsid w:val="3D98207C"/>
    <w:rsid w:val="3DEE7CF3"/>
    <w:rsid w:val="3E265A58"/>
    <w:rsid w:val="3E740A63"/>
    <w:rsid w:val="3E78745D"/>
    <w:rsid w:val="3EE17838"/>
    <w:rsid w:val="3F204B9E"/>
    <w:rsid w:val="3F55381A"/>
    <w:rsid w:val="3F7F7599"/>
    <w:rsid w:val="3FF4CAE0"/>
    <w:rsid w:val="3FF7B227"/>
    <w:rsid w:val="40204729"/>
    <w:rsid w:val="44E268DA"/>
    <w:rsid w:val="450D13D7"/>
    <w:rsid w:val="45506656"/>
    <w:rsid w:val="486A6C7A"/>
    <w:rsid w:val="49521DF7"/>
    <w:rsid w:val="4A627F82"/>
    <w:rsid w:val="4B0E749A"/>
    <w:rsid w:val="4B2477C4"/>
    <w:rsid w:val="4B4F25DA"/>
    <w:rsid w:val="4BE068DB"/>
    <w:rsid w:val="4D577224"/>
    <w:rsid w:val="4DBF1CEB"/>
    <w:rsid w:val="4DDB6150"/>
    <w:rsid w:val="4DF0007C"/>
    <w:rsid w:val="4EAB630A"/>
    <w:rsid w:val="4ECE2238"/>
    <w:rsid w:val="4F833267"/>
    <w:rsid w:val="4FE9BD67"/>
    <w:rsid w:val="4FFB052F"/>
    <w:rsid w:val="537E6D0A"/>
    <w:rsid w:val="53F74C96"/>
    <w:rsid w:val="55170BA8"/>
    <w:rsid w:val="553218C9"/>
    <w:rsid w:val="553D59AE"/>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B732B6"/>
    <w:rsid w:val="65E66580"/>
    <w:rsid w:val="664B1D71"/>
    <w:rsid w:val="664B4E8E"/>
    <w:rsid w:val="67277B67"/>
    <w:rsid w:val="67AA3209"/>
    <w:rsid w:val="698D0931"/>
    <w:rsid w:val="6A7FE5F3"/>
    <w:rsid w:val="6B053271"/>
    <w:rsid w:val="6B5D6D80"/>
    <w:rsid w:val="6BDD78B3"/>
    <w:rsid w:val="6C4A05C8"/>
    <w:rsid w:val="6C5648C6"/>
    <w:rsid w:val="6C8639E2"/>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BE4504"/>
    <w:rsid w:val="78D12489"/>
    <w:rsid w:val="78E875D7"/>
    <w:rsid w:val="79086DAD"/>
    <w:rsid w:val="79731F5E"/>
    <w:rsid w:val="79D7FD79"/>
    <w:rsid w:val="79EE5BA4"/>
    <w:rsid w:val="7A415409"/>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Sheet1!$B$2:$B$5</c:f>
              <c:numCache>
                <c:formatCode>General</c:formatCode>
                <c:ptCount val="4"/>
                <c:pt idx="0">
                  <c:v>1100</c:v>
                </c:pt>
                <c:pt idx="1">
                  <c:v>1315.35</c:v>
                </c:pt>
              </c:numCache>
            </c:numRef>
          </c:val>
        </c:ser>
        <c:ser>
          <c:idx val="1"/>
          <c:order val="1"/>
          <c:tx>
            <c:strRef>
              <c:f>Sheet1!$C$1</c:f>
              <c:strCache>
                <c:ptCount val="1"/>
                <c:pt idx="0">
                  <c:v>支出</c:v>
                </c:pt>
              </c:strCache>
            </c:strRef>
          </c:tx>
          <c:invertIfNegative val="0"/>
          <c:dLbls>
            <c:dLbl>
              <c:idx val="1"/>
              <c:layout>
                <c:manualLayout>
                  <c:x val="0.0371120114534876"/>
                  <c:y val="0.004038178914855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Sheet1!$C$2:$C$5</c:f>
              <c:numCache>
                <c:formatCode>General</c:formatCode>
                <c:ptCount val="4"/>
                <c:pt idx="0">
                  <c:v>1100</c:v>
                </c:pt>
                <c:pt idx="1">
                  <c:v>1315.35</c:v>
                </c:pt>
              </c:numCache>
            </c:numRef>
          </c:val>
        </c:ser>
        <c:dLbls>
          <c:showLegendKey val="0"/>
          <c:showVal val="0"/>
          <c:showCatName val="0"/>
          <c:showSerName val="0"/>
          <c:showPercent val="0"/>
          <c:showBubbleSize val="0"/>
        </c:dLbls>
        <c:gapWidth val="150"/>
        <c:axId val="213956864"/>
        <c:axId val="214106112"/>
      </c:barChart>
      <c:catAx>
        <c:axId val="213956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4106112"/>
        <c:crosses val="autoZero"/>
        <c:auto val="1"/>
        <c:lblAlgn val="ctr"/>
        <c:lblOffset val="100"/>
        <c:noMultiLvlLbl val="0"/>
      </c:catAx>
      <c:valAx>
        <c:axId val="2141061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3956864"/>
        <c:crosses val="autoZero"/>
        <c:crossBetween val="between"/>
      </c:valAx>
    </c:plotArea>
    <c:legend>
      <c:legendPos val="r"/>
      <c:layout>
        <c:manualLayout>
          <c:xMode val="edge"/>
          <c:yMode val="edge"/>
          <c:x val="0.888061228674541"/>
          <c:y val="0.414656720541511"/>
          <c:w val="0.0963137713254593"/>
          <c:h val="0.18766674567686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3ca3c74-baeb-479c-b233-55d9f01c154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单位：万元</a:t>
            </a:r>
            <a:endParaRPr lang="zh-CN" altLang="en-US" sz="1200"/>
          </a:p>
        </c:rich>
      </c:tx>
      <c:layout>
        <c:manualLayout>
          <c:xMode val="edge"/>
          <c:yMode val="edge"/>
          <c:x val="0.817119534954676"/>
          <c:y val="0"/>
        </c:manualLayout>
      </c:layout>
      <c:overlay val="0"/>
    </c:title>
    <c:autoTitleDeleted val="0"/>
    <c:plotArea>
      <c:layout/>
      <c:pieChart>
        <c:varyColors val="1"/>
        <c:ser>
          <c:idx val="0"/>
          <c:order val="0"/>
          <c:tx>
            <c:strRef>
              <c:f>Sheet1!$B$1</c:f>
              <c:strCache>
                <c:ptCount val="1"/>
                <c:pt idx="0">
                  <c:v>单位：万元</c:v>
                </c:pt>
              </c:strCache>
            </c:strRef>
          </c:tx>
          <c:explosion val="2"/>
          <c:dPt>
            <c:idx val="0"/>
            <c:bubble3D val="0"/>
          </c:dPt>
          <c:dPt>
            <c:idx val="1"/>
            <c:bubble3D val="0"/>
          </c:dPt>
          <c:dPt>
            <c:idx val="2"/>
            <c:bubble3D val="0"/>
          </c:dPt>
          <c:dPt>
            <c:idx val="3"/>
            <c:bubble3D val="0"/>
          </c:dPt>
          <c:dPt>
            <c:idx val="4"/>
            <c:bubble3D val="0"/>
          </c:dPt>
          <c:dLbls>
            <c:dLbl>
              <c:idx val="1"/>
              <c:layout>
                <c:manualLayout>
                  <c:x val="-0.185264104300084"/>
                  <c:y val="0.0674272666456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87524034355105"/>
                  <c:y val="0.009837625245926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1544486757997"/>
                  <c:y val="0.00107570274271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22465911100036"/>
                  <c:y val="0.0201517315741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一般公共预算财政拨款收入（1100万元）</c:v>
                </c:pt>
                <c:pt idx="1">
                  <c:v>政府性基金预算财政拨款收入（0万元）</c:v>
                </c:pt>
                <c:pt idx="2">
                  <c:v>上级补助收入（0万元）</c:v>
                </c:pt>
                <c:pt idx="3">
                  <c:v>事业收入（0万元）</c:v>
                </c:pt>
                <c:pt idx="4">
                  <c:v>其他收入（0万元）</c:v>
                </c:pt>
              </c:strCache>
            </c:strRef>
          </c:cat>
          <c:val>
            <c:numRef>
              <c:f>Sheet1!$B$2:$B$6</c:f>
              <c:numCache>
                <c:formatCode>0%</c:formatCode>
                <c:ptCount val="5"/>
                <c:pt idx="0">
                  <c:v>1</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e9336e7-7d29-4be3-b6a8-2a8012384b8d}"/>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10837503252081"/>
          <c:y val="0.0212596332713261"/>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dLbl>
              <c:idx val="0"/>
              <c:layout>
                <c:manualLayout>
                  <c:x val="0.00159650498425878"/>
                  <c:y val="-0.1776469513971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基本支出（1097.37万元）</c:v>
                </c:pt>
                <c:pt idx="1">
                  <c:v>项目支出（2.63万元）</c:v>
                </c:pt>
              </c:strCache>
            </c:strRef>
          </c:cat>
          <c:val>
            <c:numRef>
              <c:f>Sheet1!$B$2:$B$3</c:f>
              <c:numCache>
                <c:formatCode>0.00%</c:formatCode>
                <c:ptCount val="2"/>
                <c:pt idx="0">
                  <c:v>0.9976</c:v>
                </c:pt>
                <c:pt idx="1">
                  <c:v>0.0024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3fcd80b-560c-4176-8a9d-70353da0a371}"/>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1100</c:v>
                </c:pt>
                <c:pt idx="1">
                  <c:v>1315.35</c:v>
                </c:pt>
              </c:numCache>
            </c:numRef>
          </c:val>
        </c:ser>
        <c:ser>
          <c:idx val="1"/>
          <c:order val="1"/>
          <c:tx>
            <c:strRef>
              <c:f>Sheet1!$C$1</c:f>
              <c:strCache>
                <c:ptCount val="1"/>
                <c:pt idx="0">
                  <c:v>财政拨款支出</c:v>
                </c:pt>
              </c:strCache>
            </c:strRef>
          </c:tx>
          <c:invertIfNegative val="0"/>
          <c:dLbls>
            <c:dLbl>
              <c:idx val="1"/>
              <c:layout>
                <c:manualLayout>
                  <c:x val="0.0908980729608532"/>
                  <c:y val="0.1524296675191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Sheet1!$C$2:$C$4</c:f>
              <c:numCache>
                <c:formatCode>General</c:formatCode>
                <c:ptCount val="3"/>
                <c:pt idx="0">
                  <c:v>1100</c:v>
                </c:pt>
                <c:pt idx="1">
                  <c:v>1315.35</c:v>
                </c:pt>
              </c:numCache>
            </c:numRef>
          </c:val>
        </c:ser>
        <c:dLbls>
          <c:showLegendKey val="0"/>
          <c:showVal val="0"/>
          <c:showCatName val="0"/>
          <c:showSerName val="0"/>
          <c:showPercent val="0"/>
          <c:showBubbleSize val="0"/>
        </c:dLbls>
        <c:gapWidth val="150"/>
        <c:axId val="215957888"/>
        <c:axId val="215959424"/>
      </c:barChart>
      <c:catAx>
        <c:axId val="215957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959424"/>
        <c:crosses val="autoZero"/>
        <c:auto val="1"/>
        <c:lblAlgn val="ctr"/>
        <c:lblOffset val="100"/>
        <c:noMultiLvlLbl val="0"/>
      </c:catAx>
      <c:valAx>
        <c:axId val="21595942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9578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5aab03c-04ba-472e-a545-9dd9a02f6c6f}"/>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1100</c:v>
                </c:pt>
                <c:pt idx="1">
                  <c:v>1315.35</c:v>
                </c:pt>
              </c:numCache>
            </c:numRef>
          </c:val>
        </c:ser>
        <c:dLbls>
          <c:showLegendKey val="0"/>
          <c:showVal val="0"/>
          <c:showCatName val="0"/>
          <c:showSerName val="0"/>
          <c:showPercent val="0"/>
          <c:showBubbleSize val="0"/>
        </c:dLbls>
        <c:gapWidth val="150"/>
        <c:axId val="215734144"/>
        <c:axId val="215735680"/>
      </c:barChart>
      <c:catAx>
        <c:axId val="215734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735680"/>
        <c:crosses val="autoZero"/>
        <c:auto val="1"/>
        <c:lblAlgn val="ctr"/>
        <c:lblOffset val="100"/>
        <c:noMultiLvlLbl val="0"/>
      </c:catAx>
      <c:valAx>
        <c:axId val="21573568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734144"/>
        <c:crosses val="autoZero"/>
        <c:crossBetween val="between"/>
      </c:valAx>
    </c:plotArea>
    <c:plotVisOnly val="1"/>
    <c:dispBlanksAs val="gap"/>
    <c:showDLblsOverMax val="0"/>
    <c:extLst>
      <c:ext uri="{0b15fc19-7d7d-44ad-8c2d-2c3a37ce22c3}">
        <chartProps xmlns="https://web.wps.cn/et/2018/main" chartId="{b99cc1a6-f132-4c42-ae74-cc43351d405f}"/>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4835938334564"/>
          <c:y val="0.0141043723554302"/>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教育支出（755.54万元）</c:v>
                </c:pt>
                <c:pt idx="1">
                  <c:v>社会保障和就业支出（192.77万元）</c:v>
                </c:pt>
                <c:pt idx="2">
                  <c:v>卫生健康支出（77.89万元）</c:v>
                </c:pt>
                <c:pt idx="3">
                  <c:v>住房保障支出（73.8万元）</c:v>
                </c:pt>
              </c:strCache>
            </c:strRef>
          </c:cat>
          <c:val>
            <c:numRef>
              <c:f>Sheet1!$B$2:$B$5</c:f>
              <c:numCache>
                <c:formatCode>0.00%</c:formatCode>
                <c:ptCount val="4"/>
                <c:pt idx="0">
                  <c:v>0.6869</c:v>
                </c:pt>
                <c:pt idx="1">
                  <c:v>0.1752</c:v>
                </c:pt>
                <c:pt idx="2">
                  <c:v>0.0708</c:v>
                </c:pt>
                <c:pt idx="3">
                  <c:v>0.0671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ddca9e-2a37-4456-974f-e337a24038ce}"/>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0A99E-8D11-4676-869F-9407FD8AA6B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4365</Words>
  <Characters>4805</Characters>
  <Lines>12</Lines>
  <Paragraphs>11</Paragraphs>
  <TotalTime>7</TotalTime>
  <ScaleCrop>false</ScaleCrop>
  <LinksUpToDate>false</LinksUpToDate>
  <CharactersWithSpaces>4864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2025-10-14T01:34:00Z</dcterms:created>
  <dc:creator>曹颖</dc:creator>
  <cp:lastModifiedBy>阿淇</cp:lastModifiedBy>
  <cp:lastPrinted>2025-10-10T03:06:00Z</cp:lastPrinted>
  <dcterms:modified xsi:type="dcterms:W3CDTF">2025-10-28T02:56:22Z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2BC485B145EC4C89AC3B6C4AEDEAA27D_13</vt:lpwstr>
  </property>
  <property fmtid="{D5CDD505-2E9C-101B-9397-08002B2CF9AE}" pid="4" name="KSOTemplateDocerSaveRecord">
    <vt:lpwstr>eyJoZGlkIjoiOGI1MTY4OTk2MzU4ZjdhYmQwMDg0OWY0ZTk2N2ZkOTAiLCJ1c2VySWQiOiI2NjE3NzA3MDEifQ==</vt:lpwstr>
  </property>
</Properties>
</file>