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06267"/>
      <w:bookmarkStart w:id="3" w:name="_Toc15396475"/>
      <w:bookmarkStart w:id="4" w:name="_Toc15377425"/>
      <w:bookmarkStart w:id="5" w:name="_Toc15377193"/>
      <w:bookmarkStart w:id="6" w:name="_Toc15377204"/>
      <w:bookmarkStart w:id="7" w:name="_Toc15396602"/>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spacing w:before="93"/>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黑体_GBK" w:cs="Times New Roman"/>
          <w:kern w:val="2"/>
          <w:sz w:val="72"/>
          <w:szCs w:val="72"/>
        </w:rPr>
      </w:pPr>
      <w:r>
        <w:rPr>
          <w:rFonts w:hint="default" w:ascii="Times New Roman" w:hAnsi="Times New Roman" w:eastAsia="方正黑体_GBK" w:cs="Times New Roman"/>
          <w:kern w:val="2"/>
          <w:sz w:val="72"/>
          <w:szCs w:val="72"/>
        </w:rPr>
        <w:t>2024年度</w:t>
      </w:r>
    </w:p>
    <w:p>
      <w:pPr>
        <w:pStyle w:val="2"/>
        <w:spacing w:before="93"/>
        <w:jc w:val="center"/>
        <w:rPr>
          <w:rFonts w:hint="default" w:ascii="Times New Roman" w:hAnsi="Times New Roman" w:eastAsia="方正黑体_GBK" w:cs="Times New Roman"/>
          <w:kern w:val="2"/>
          <w:sz w:val="72"/>
          <w:szCs w:val="72"/>
          <w:lang w:val="en-US" w:eastAsia="zh-CN"/>
        </w:rPr>
      </w:pPr>
      <w:r>
        <w:rPr>
          <w:rFonts w:hint="default" w:ascii="Times New Roman" w:hAnsi="Times New Roman" w:eastAsia="方正黑体_GBK" w:cs="Times New Roman"/>
          <w:kern w:val="2"/>
          <w:sz w:val="72"/>
          <w:szCs w:val="72"/>
        </w:rPr>
        <w:t>盐边县</w:t>
      </w:r>
      <w:r>
        <w:rPr>
          <w:rFonts w:hint="default" w:ascii="Times New Roman" w:hAnsi="Times New Roman" w:eastAsia="方正黑体_GBK" w:cs="Times New Roman"/>
          <w:kern w:val="2"/>
          <w:sz w:val="72"/>
          <w:szCs w:val="72"/>
          <w:lang w:val="en-US" w:eastAsia="zh-CN"/>
        </w:rPr>
        <w:t>红果彝族乡中心</w:t>
      </w:r>
    </w:p>
    <w:p>
      <w:pPr>
        <w:pStyle w:val="2"/>
        <w:spacing w:before="93"/>
        <w:jc w:val="center"/>
        <w:rPr>
          <w:rFonts w:hint="eastAsia" w:ascii="Times New Roman" w:hAnsi="Times New Roman" w:eastAsia="方正黑体_GBK" w:cs="Times New Roman"/>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方正黑体_GBK" w:cs="Times New Roman"/>
          <w:kern w:val="2"/>
          <w:sz w:val="72"/>
          <w:szCs w:val="72"/>
          <w:lang w:val="en-US" w:eastAsia="zh-CN"/>
        </w:rPr>
        <w:t>学校</w:t>
      </w:r>
      <w:r>
        <w:rPr>
          <w:rFonts w:hint="default" w:ascii="Times New Roman" w:hAnsi="Times New Roman" w:eastAsia="方正黑体_GBK" w:cs="Times New Roman"/>
          <w:kern w:val="2"/>
          <w:sz w:val="72"/>
          <w:szCs w:val="72"/>
        </w:rPr>
        <w:t>单位决算公</w:t>
      </w:r>
      <w:r>
        <w:rPr>
          <w:rFonts w:hint="eastAsia" w:ascii="Times New Roman" w:eastAsia="方正黑体_GBK" w:cs="Times New Roman"/>
          <w:kern w:val="2"/>
          <w:sz w:val="72"/>
          <w:szCs w:val="72"/>
          <w:lang w:val="en-US" w:eastAsia="zh-CN"/>
        </w:rPr>
        <w:t>开</w:t>
      </w:r>
      <w:bookmarkStart w:id="110" w:name="_GoBack"/>
      <w:bookmarkEnd w:id="110"/>
    </w:p>
    <w:sdt>
      <w:sdtPr>
        <w:rPr>
          <w:rFonts w:ascii="宋体" w:hAnsi="宋体" w:eastAsia="宋体" w:cs="Times New Roman"/>
          <w:kern w:val="2"/>
          <w:sz w:val="21"/>
          <w:szCs w:val="24"/>
          <w:lang w:val="en-US" w:eastAsia="zh-CN" w:bidi="ar-SA"/>
        </w:rPr>
        <w:id w:val="147461684"/>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widowControl/>
            <w:jc w:val="center"/>
            <w:rPr>
              <w:rFonts w:ascii="宋体" w:hAnsi="宋体" w:eastAsia="宋体"/>
              <w:sz w:val="21"/>
            </w:rPr>
          </w:pPr>
          <w:r>
            <w:rPr>
              <w:rFonts w:hint="default" w:ascii="Times New Roman" w:hAnsi="Times New Roman" w:eastAsia="黑体" w:cs="Times New Roman"/>
              <w:sz w:val="48"/>
              <w:szCs w:val="48"/>
            </w:rPr>
            <w:t>目</w:t>
          </w:r>
          <w:r>
            <w:rPr>
              <w:rFonts w:hint="eastAsia" w:eastAsia="黑体" w:cs="Times New Roman"/>
              <w:sz w:val="48"/>
              <w:szCs w:val="48"/>
              <w:lang w:val="en-US" w:eastAsia="zh-CN"/>
            </w:rPr>
            <w:t xml:space="preserve"> </w:t>
          </w:r>
          <w:r>
            <w:rPr>
              <w:rFonts w:hint="default" w:ascii="Times New Roman" w:hAnsi="Times New Roman" w:eastAsia="黑体" w:cs="Times New Roman"/>
              <w:sz w:val="48"/>
              <w:szCs w:val="48"/>
            </w:rPr>
            <w:t>录</w:t>
          </w:r>
        </w:p>
        <w:p>
          <w:pPr>
            <w:pStyle w:val="12"/>
          </w:pPr>
          <w:r>
            <w:rPr>
              <w:rFonts w:hint="default" w:ascii="Times New Roman" w:hAnsi="Times New Roman" w:eastAsia="仿宋_GB2312" w:cs="Times New Roman"/>
            </w:rPr>
            <w:t>公开时间：2025年10月</w:t>
          </w:r>
          <w:r>
            <w:rPr>
              <w:rFonts w:hint="default" w:ascii="Times New Roman" w:hAnsi="Times New Roman" w:eastAsia="仿宋_GB2312" w:cs="Times New Roman"/>
              <w:lang w:val="en-US" w:eastAsia="zh-CN"/>
            </w:rPr>
            <w:t>28</w:t>
          </w:r>
          <w:r>
            <w:rPr>
              <w:rFonts w:hint="default" w:ascii="Times New Roman" w:hAnsi="Times New Roman" w:eastAsia="仿宋_GB2312" w:cs="Times New Roman"/>
            </w:rPr>
            <w:t>日</w:t>
          </w:r>
        </w:p>
        <w:p>
          <w:pPr>
            <w:pStyle w:val="12"/>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TOC \o "1-2" \h \u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_Toc28715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xml:space="preserve">第一部分  </w:t>
          </w:r>
          <w:r>
            <w:rPr>
              <w:rFonts w:hint="eastAsia" w:ascii="方正仿宋_GBK" w:hAnsi="方正仿宋_GBK" w:eastAsia="方正仿宋_GBK" w:cs="方正仿宋_GBK"/>
              <w:bCs w:val="0"/>
              <w:sz w:val="30"/>
              <w:szCs w:val="30"/>
            </w:rPr>
            <w:t>单位概况</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_Toc28715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_Toc27074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一、主要职责</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_Toc27074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_Toc21167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二、机构设置</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_Toc21167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2"/>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_Toc9389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第二部分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2024年度</w:t>
          </w:r>
          <w:r>
            <w:rPr>
              <w:rFonts w:hint="eastAsia" w:ascii="方正仿宋_GBK" w:hAnsi="方正仿宋_GBK" w:eastAsia="方正仿宋_GBK" w:cs="方正仿宋_GBK"/>
              <w:sz w:val="30"/>
              <w:szCs w:val="30"/>
            </w:rPr>
            <w:t>部门决算情况说明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_Toc9389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_Toc5755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lang w:eastAsia="zh-CN"/>
            </w:rPr>
            <w:t>一、</w:t>
          </w:r>
          <w:r>
            <w:rPr>
              <w:rFonts w:hint="eastAsia" w:ascii="方正仿宋_GBK" w:hAnsi="方正仿宋_GBK" w:eastAsia="方正仿宋_GBK" w:cs="方正仿宋_GBK"/>
              <w:sz w:val="30"/>
              <w:szCs w:val="30"/>
            </w:rPr>
            <w:t>收入支出决算总体情况说明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_Toc5755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_Toc12245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lang w:eastAsia="zh-CN"/>
            </w:rPr>
            <w:t>二、收入决算情况说明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_Toc12245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_Toc22600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lang w:eastAsia="zh-CN"/>
            </w:rPr>
            <w:t>三、支出决算情况说明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_Toc22600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3</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_Toc31740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lang w:eastAsia="zh-CN"/>
            </w:rPr>
            <w:t>四、财政拨款收入支出决算总体情况说明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_Toc31740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_Toc2940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lang w:eastAsia="zh-CN"/>
            </w:rPr>
            <w:t>五、一般公共预算财政拨款支出决算情况说明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_Toc2940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_Toc6260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六、一般公共预算财政拨款基本支出决算情况说明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_Toc6260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7</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_Toc510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七、财政拨款“三公”经费支出决算情况说明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_Toc510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7</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_Toc15825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八、政府性基金预算支出决算情况说明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_Toc15825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_Toc22505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九、国有资本经营预算支出决算情况说明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_Toc22505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9</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_Toc17179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十、其他重要事项的情况说明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_Toc17179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9</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2"/>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_Toc16325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第</w:t>
          </w:r>
          <w:r>
            <w:rPr>
              <w:rFonts w:hint="eastAsia" w:ascii="方正仿宋_GBK" w:hAnsi="方正仿宋_GBK" w:eastAsia="方正仿宋_GBK" w:cs="方正仿宋_GBK"/>
              <w:sz w:val="30"/>
              <w:szCs w:val="30"/>
              <w:lang w:eastAsia="zh-CN"/>
            </w:rPr>
            <w:t>三</w:t>
          </w:r>
          <w:r>
            <w:rPr>
              <w:rFonts w:hint="eastAsia" w:ascii="方正仿宋_GBK" w:hAnsi="方正仿宋_GBK" w:eastAsia="方正仿宋_GBK" w:cs="方正仿宋_GBK"/>
              <w:sz w:val="30"/>
              <w:szCs w:val="30"/>
            </w:rPr>
            <w:t>部分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名词解释</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_Toc16325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2"/>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_Toc3833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第四部分  附件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_Toc3833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2"/>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_Toc4599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第五部分 附表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_Toc4599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_Toc13986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一、收入支出决算总表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_Toc13986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_Toc355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二、收入决算表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_Toc355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_Toc29129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三、支出决算表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_Toc29129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_Toc32199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四、财政拨款收入支出决算总表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_Toc32199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_Toc5287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五、财政拨款支出决算明细表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_Toc5287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_Toc26665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六、一般公共预算财政拨款支出决算表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_Toc26665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_Toc2866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七、一般公共预算财政拨款支出决算明细表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_Toc2866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_Toc22429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八、一般公共预算财政拨款基本支出决算表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_Toc22429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_Toc26423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九、一般公共预算财政拨款项目支出决算表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_Toc26423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_Toc22916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十、政府性基金预算财政拨款收入支出决算表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_Toc22916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_Toc24635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十一、国有资本经营预算财政拨款收入支出决算表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_Toc24635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_Toc12397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十二、国有资本经营预算财政拨款支出决算表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_Toc12397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4"/>
            <w:tabs>
              <w:tab w:val="right" w:leader="dot" w:pos="8306"/>
              <w:tab w:val="clear" w:pos="8296"/>
            </w:tabs>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\l _Toc23361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bCs/>
              <w:kern w:val="2"/>
              <w:sz w:val="30"/>
              <w:szCs w:val="30"/>
              <w:lang w:val="en-US" w:eastAsia="zh-CN" w:bidi="ar-SA"/>
            </w:rPr>
            <w:t>十三、财政拨款“三公”经费支出决算表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_Toc23361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rPr>
              <w:rFonts w:hint="default" w:ascii="Times New Roman" w:hAnsi="Times New Roman" w:eastAsia="宋体" w:cs="Times New Roman"/>
              <w:kern w:val="2"/>
              <w:sz w:val="21"/>
              <w:szCs w:val="24"/>
              <w:lang w:val="en-US" w:eastAsia="zh-CN" w:bidi="ar-SA"/>
            </w:rPr>
          </w:pPr>
          <w:r>
            <w:rPr>
              <w:rFonts w:hint="eastAsia" w:ascii="方正仿宋_GBK" w:hAnsi="方正仿宋_GBK" w:eastAsia="方正仿宋_GBK" w:cs="方正仿宋_GBK"/>
              <w:sz w:val="30"/>
              <w:szCs w:val="30"/>
            </w:rPr>
            <w:fldChar w:fldCharType="end"/>
          </w:r>
        </w:p>
      </w:sdtContent>
    </w:sdt>
    <w:p>
      <w:pPr>
        <w:pStyle w:val="2"/>
        <w:rPr>
          <w:rFonts w:hint="default"/>
        </w:rPr>
      </w:pPr>
    </w:p>
    <w:p>
      <w:pPr>
        <w:pStyle w:val="14"/>
        <w:adjustRightInd w:val="0"/>
        <w:snapToGrid w:val="0"/>
        <w:spacing w:line="560" w:lineRule="exact"/>
        <w:ind w:left="0" w:leftChars="0" w:firstLine="562" w:firstLineChars="200"/>
        <w:jc w:val="left"/>
        <w:rPr>
          <w:rFonts w:hint="default" w:ascii="Times New Roman" w:hAnsi="Times New Roman" w:eastAsia="仿宋_GB2312" w:cs="Times New Roman"/>
          <w:b/>
          <w:bCs/>
          <w:sz w:val="28"/>
          <w:szCs w:val="28"/>
        </w:rPr>
      </w:pPr>
    </w:p>
    <w:p>
      <w:pPr>
        <w:pStyle w:val="3"/>
        <w:jc w:val="center"/>
        <w:rPr>
          <w:rFonts w:hint="default" w:ascii="Times New Roman" w:hAnsi="Times New Roman" w:eastAsia="方正小标宋简体" w:cs="Times New Roman"/>
          <w:b w:val="0"/>
        </w:rPr>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p>
    <w:p>
      <w:pPr>
        <w:pStyle w:val="3"/>
        <w:spacing w:line="240" w:lineRule="auto"/>
        <w:jc w:val="center"/>
        <w:rPr>
          <w:rStyle w:val="28"/>
          <w:rFonts w:hint="default" w:ascii="Times New Roman" w:hAnsi="Times New Roman" w:eastAsia="方正小标宋_GBK" w:cs="Times New Roman"/>
          <w:b/>
          <w:bCs w:val="0"/>
          <w:sz w:val="44"/>
          <w:szCs w:val="44"/>
        </w:rPr>
      </w:pPr>
      <w:bookmarkStart w:id="8" w:name="_Toc28715"/>
      <w:r>
        <w:rPr>
          <w:rFonts w:hint="default" w:ascii="Times New Roman" w:hAnsi="Times New Roman" w:eastAsia="方正小标宋_GBK" w:cs="Times New Roman"/>
          <w:b w:val="0"/>
          <w:sz w:val="44"/>
          <w:szCs w:val="44"/>
        </w:rPr>
        <w:t xml:space="preserve">第一部分  </w:t>
      </w:r>
      <w:r>
        <w:rPr>
          <w:rStyle w:val="28"/>
          <w:rFonts w:hint="default" w:ascii="Times New Roman" w:hAnsi="Times New Roman" w:eastAsia="方正小标宋_GBK" w:cs="Times New Roman"/>
          <w:b w:val="0"/>
          <w:bCs w:val="0"/>
          <w:sz w:val="44"/>
          <w:szCs w:val="44"/>
        </w:rPr>
        <w:t>单位概况</w:t>
      </w:r>
      <w:bookmarkEnd w:id="8"/>
    </w:p>
    <w:bookmarkEnd w:id="0"/>
    <w:bookmarkEnd w:id="1"/>
    <w:bookmarkEnd w:id="2"/>
    <w:bookmarkEnd w:id="3"/>
    <w:bookmarkEnd w:id="4"/>
    <w:bookmarkEnd w:id="5"/>
    <w:p>
      <w:pPr>
        <w:pStyle w:val="4"/>
        <w:spacing w:before="0" w:after="0" w:line="240" w:lineRule="auto"/>
        <w:rPr>
          <w:rFonts w:hint="default" w:ascii="Times New Roman" w:hAnsi="Times New Roman" w:eastAsia="方正黑体_GBK" w:cs="Times New Roman"/>
          <w:b w:val="0"/>
        </w:rPr>
      </w:pPr>
      <w:bookmarkStart w:id="9" w:name="_Toc27074"/>
      <w:bookmarkStart w:id="10" w:name="_Toc15396600"/>
      <w:bookmarkStart w:id="11" w:name="_Toc15377197"/>
      <w:r>
        <w:rPr>
          <w:rFonts w:hint="default" w:ascii="Times New Roman" w:hAnsi="Times New Roman" w:eastAsia="方正黑体_GBK" w:cs="Times New Roman"/>
          <w:b w:val="0"/>
        </w:rPr>
        <w:t>一、主要职责</w:t>
      </w:r>
      <w:bookmarkEnd w:id="9"/>
    </w:p>
    <w:p>
      <w:pPr>
        <w:pStyle w:val="27"/>
        <w:spacing w:line="240" w:lineRule="auto"/>
        <w:ind w:firstLine="640"/>
        <w:outlineLvl w:val="1"/>
        <w:rPr>
          <w:rFonts w:hint="default" w:ascii="Times New Roman" w:hAnsi="Times New Roman" w:eastAsia="方正仿宋_GBK" w:cs="Times New Roman"/>
          <w:sz w:val="32"/>
          <w:szCs w:val="32"/>
        </w:rPr>
      </w:pPr>
      <w:bookmarkStart w:id="12" w:name="_Toc4312"/>
      <w:r>
        <w:rPr>
          <w:rFonts w:hint="default" w:ascii="Times New Roman" w:hAnsi="Times New Roman" w:eastAsia="方正仿宋_GBK" w:cs="Times New Roman"/>
          <w:sz w:val="32"/>
          <w:szCs w:val="32"/>
        </w:rPr>
        <w:t>职能：实施小学义务教育工作，促进基础教育发展，小学教育等相关社会服务。</w:t>
      </w:r>
      <w:bookmarkEnd w:id="12"/>
    </w:p>
    <w:p>
      <w:pPr>
        <w:pStyle w:val="4"/>
        <w:spacing w:before="0" w:after="0" w:line="240" w:lineRule="auto"/>
        <w:rPr>
          <w:rFonts w:hint="default" w:ascii="Times New Roman" w:hAnsi="Times New Roman" w:eastAsia="方正黑体_GBK" w:cs="Times New Roman"/>
          <w:b w:val="0"/>
        </w:rPr>
      </w:pPr>
      <w:bookmarkStart w:id="13" w:name="_Toc21167"/>
      <w:r>
        <w:rPr>
          <w:rFonts w:hint="default" w:ascii="Times New Roman" w:hAnsi="Times New Roman" w:eastAsia="方正黑体_GBK" w:cs="Times New Roman"/>
          <w:b w:val="0"/>
        </w:rPr>
        <w:t>二、机构设置</w:t>
      </w:r>
      <w:bookmarkEnd w:id="13"/>
    </w:p>
    <w:p>
      <w:pPr>
        <w:pStyle w:val="27"/>
        <w:spacing w:line="240" w:lineRule="auto"/>
        <w:ind w:firstLine="640"/>
        <w:outlineLvl w:val="1"/>
        <w:rPr>
          <w:rFonts w:hint="default" w:ascii="Times New Roman" w:hAnsi="Times New Roman" w:eastAsia="方正仿宋_GBK" w:cs="Times New Roman"/>
          <w:sz w:val="32"/>
          <w:szCs w:val="32"/>
        </w:rPr>
      </w:pPr>
      <w:bookmarkStart w:id="14" w:name="_Toc20431"/>
      <w:r>
        <w:rPr>
          <w:rFonts w:hint="default" w:ascii="Times New Roman" w:hAnsi="Times New Roman" w:eastAsia="方正仿宋_GBK" w:cs="Times New Roman"/>
          <w:sz w:val="32"/>
          <w:szCs w:val="32"/>
        </w:rPr>
        <w:t>盐边县</w:t>
      </w:r>
      <w:r>
        <w:rPr>
          <w:rFonts w:hint="default" w:ascii="Times New Roman" w:hAnsi="Times New Roman" w:eastAsia="方正仿宋_GBK" w:cs="Times New Roman"/>
          <w:sz w:val="32"/>
          <w:szCs w:val="32"/>
          <w:lang w:val="en-US" w:eastAsia="zh-CN"/>
        </w:rPr>
        <w:t>红果彝族乡</w:t>
      </w:r>
      <w:r>
        <w:rPr>
          <w:rFonts w:hint="default" w:ascii="Times New Roman" w:hAnsi="Times New Roman" w:eastAsia="方正仿宋_GBK" w:cs="Times New Roman"/>
          <w:sz w:val="32"/>
          <w:szCs w:val="32"/>
        </w:rPr>
        <w:t>中心学校是盐边县教育和体育局下属独立核算事业单位，单位性质为财政补助事业单位，属于公益一类事业单位，执行事业单位会计制度。</w:t>
      </w:r>
      <w:bookmarkEnd w:id="14"/>
    </w:p>
    <w:p>
      <w:pPr>
        <w:pStyle w:val="27"/>
        <w:spacing w:line="240" w:lineRule="auto"/>
        <w:ind w:firstLine="640"/>
        <w:outlineLvl w:val="1"/>
        <w:rPr>
          <w:rFonts w:hint="default" w:ascii="Times New Roman" w:hAnsi="Times New Roman" w:eastAsia="方正仿宋_GBK" w:cs="Times New Roman"/>
          <w:sz w:val="32"/>
          <w:szCs w:val="32"/>
        </w:rPr>
      </w:pPr>
      <w:bookmarkStart w:id="15" w:name="_Toc6323"/>
      <w:r>
        <w:rPr>
          <w:rFonts w:hint="default" w:ascii="Times New Roman" w:hAnsi="Times New Roman" w:eastAsia="方正仿宋_GBK" w:cs="Times New Roman"/>
          <w:sz w:val="32"/>
          <w:szCs w:val="32"/>
        </w:rPr>
        <w:t>现学校内设教学班</w:t>
      </w:r>
      <w:r>
        <w:rPr>
          <w:rFonts w:hint="default" w:ascii="Times New Roman" w:hAnsi="Times New Roman" w:eastAsia="方正仿宋_GBK" w:cs="Times New Roman"/>
          <w:sz w:val="32"/>
          <w:szCs w:val="32"/>
          <w:lang w:val="en-US" w:eastAsia="zh-CN"/>
        </w:rPr>
        <w:t xml:space="preserve"> 8</w:t>
      </w:r>
      <w:r>
        <w:rPr>
          <w:rFonts w:hint="default" w:ascii="Times New Roman" w:hAnsi="Times New Roman" w:eastAsia="方正仿宋_GBK" w:cs="Times New Roman"/>
          <w:sz w:val="32"/>
          <w:szCs w:val="32"/>
        </w:rPr>
        <w:t>个，在校生人数</w:t>
      </w:r>
      <w:r>
        <w:rPr>
          <w:rFonts w:hint="default" w:ascii="Times New Roman" w:hAnsi="Times New Roman" w:eastAsia="方正仿宋_GBK" w:cs="Times New Roman"/>
          <w:sz w:val="32"/>
          <w:szCs w:val="32"/>
          <w:lang w:val="en-US" w:eastAsia="zh-CN"/>
        </w:rPr>
        <w:t>229</w:t>
      </w:r>
      <w:r>
        <w:rPr>
          <w:rFonts w:hint="default" w:ascii="Times New Roman" w:hAnsi="Times New Roman" w:eastAsia="方正仿宋_GBK" w:cs="Times New Roman"/>
          <w:sz w:val="32"/>
          <w:szCs w:val="32"/>
        </w:rPr>
        <w:t>人，住校生</w:t>
      </w:r>
      <w:r>
        <w:rPr>
          <w:rFonts w:hint="default" w:ascii="Times New Roman" w:hAnsi="Times New Roman" w:eastAsia="方正仿宋_GBK" w:cs="Times New Roman"/>
          <w:sz w:val="32"/>
          <w:szCs w:val="32"/>
          <w:lang w:val="en-US" w:eastAsia="zh-CN"/>
        </w:rPr>
        <w:t>145</w:t>
      </w:r>
      <w:r>
        <w:rPr>
          <w:rFonts w:hint="default" w:ascii="Times New Roman" w:hAnsi="Times New Roman" w:eastAsia="方正仿宋_GBK" w:cs="Times New Roman"/>
          <w:sz w:val="32"/>
          <w:szCs w:val="32"/>
        </w:rPr>
        <w:t>人，随班就读</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人。2024年末单位财政供养人数</w:t>
      </w:r>
      <w:r>
        <w:rPr>
          <w:rFonts w:hint="default" w:ascii="Times New Roman" w:hAnsi="Times New Roman" w:eastAsia="方正仿宋_GBK" w:cs="Times New Roman"/>
          <w:sz w:val="32"/>
          <w:szCs w:val="32"/>
          <w:lang w:val="en-US" w:eastAsia="zh-CN"/>
        </w:rPr>
        <w:t>76</w:t>
      </w:r>
      <w:r>
        <w:rPr>
          <w:rFonts w:hint="default" w:ascii="Times New Roman" w:hAnsi="Times New Roman" w:eastAsia="方正仿宋_GBK" w:cs="Times New Roman"/>
          <w:sz w:val="32"/>
          <w:szCs w:val="32"/>
        </w:rPr>
        <w:t>人，其中：在职人员</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人（副高</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人，中级</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人，助理</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人），退休人员</w:t>
      </w:r>
      <w:r>
        <w:rPr>
          <w:rFonts w:hint="default"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人，遗属</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w:t>
      </w:r>
      <w:bookmarkEnd w:id="15"/>
    </w:p>
    <w:bookmarkEnd w:id="10"/>
    <w:bookmarkEnd w:id="11"/>
    <w:p>
      <w:pPr>
        <w:pStyle w:val="3"/>
        <w:jc w:val="center"/>
        <w:rPr>
          <w:rFonts w:hint="default" w:ascii="Times New Roman" w:hAnsi="Times New Roman" w:eastAsia="方正小标宋简体" w:cs="Times New Roman"/>
          <w:b w:val="0"/>
          <w:color w:val="auto"/>
          <w:highlight w:val="none"/>
        </w:rPr>
      </w:pPr>
    </w:p>
    <w:p>
      <w:pPr>
        <w:rPr>
          <w:rFonts w:hint="default" w:ascii="Times New Roman" w:hAnsi="Times New Roman" w:eastAsia="方正小标宋简体" w:cs="Times New Roman"/>
          <w:b w:val="0"/>
          <w:color w:val="auto"/>
          <w:highlight w:val="none"/>
        </w:rPr>
      </w:pPr>
    </w:p>
    <w:p>
      <w:pPr>
        <w:pStyle w:val="13"/>
        <w:rPr>
          <w:rFonts w:hint="default" w:ascii="Times New Roman" w:hAnsi="Times New Roman" w:eastAsia="方正小标宋简体" w:cs="Times New Roman"/>
          <w:b w:val="0"/>
          <w:color w:val="auto"/>
          <w:highlight w:val="none"/>
        </w:rPr>
      </w:pPr>
    </w:p>
    <w:p>
      <w:pPr>
        <w:pStyle w:val="7"/>
        <w:rPr>
          <w:rFonts w:hint="default" w:ascii="Times New Roman" w:hAnsi="Times New Roman" w:eastAsia="方正小标宋简体" w:cs="Times New Roman"/>
          <w:b w:val="0"/>
          <w:color w:val="auto"/>
          <w:highlight w:val="none"/>
        </w:rPr>
      </w:pPr>
    </w:p>
    <w:p>
      <w:pPr>
        <w:pStyle w:val="7"/>
        <w:rPr>
          <w:rFonts w:hint="default" w:ascii="Times New Roman" w:hAnsi="Times New Roman" w:eastAsia="方正小标宋简体" w:cs="Times New Roman"/>
          <w:b w:val="0"/>
          <w:color w:val="auto"/>
          <w:highlight w:val="none"/>
        </w:rPr>
      </w:pPr>
    </w:p>
    <w:p>
      <w:pPr>
        <w:pStyle w:val="3"/>
        <w:jc w:val="both"/>
        <w:rPr>
          <w:rFonts w:hint="default" w:ascii="Times New Roman" w:hAnsi="Times New Roman" w:eastAsia="方正小标宋简体" w:cs="Times New Roman"/>
          <w:b w:val="0"/>
          <w:color w:val="auto"/>
          <w:highlight w:val="none"/>
        </w:rPr>
      </w:pPr>
    </w:p>
    <w:p>
      <w:pPr>
        <w:rPr>
          <w:rFonts w:hint="default" w:ascii="Times New Roman" w:hAnsi="Times New Roman" w:cs="Times New Roman"/>
        </w:rPr>
      </w:pPr>
    </w:p>
    <w:p>
      <w:pPr>
        <w:pStyle w:val="3"/>
        <w:spacing w:line="240" w:lineRule="auto"/>
        <w:jc w:val="center"/>
        <w:rPr>
          <w:rFonts w:hint="default" w:ascii="Times New Roman" w:hAnsi="Times New Roman" w:cs="Times New Roman"/>
          <w:color w:val="auto"/>
          <w:highlight w:val="none"/>
        </w:rPr>
      </w:pPr>
      <w:bookmarkStart w:id="16" w:name="_Toc9389"/>
      <w:r>
        <w:rPr>
          <w:rFonts w:hint="default" w:ascii="Times New Roman" w:hAnsi="Times New Roman" w:eastAsia="方正小标宋_GBK" w:cs="Times New Roman"/>
          <w:b w:val="0"/>
          <w:sz w:val="44"/>
          <w:szCs w:val="44"/>
        </w:rPr>
        <w:t>第二部分</w:t>
      </w:r>
      <w:r>
        <w:rPr>
          <w:rFonts w:hint="default" w:ascii="Times New Roman" w:hAnsi="Times New Roman" w:eastAsia="方正小标宋_GBK" w:cs="Times New Roman"/>
          <w:b w:val="0"/>
          <w:sz w:val="44"/>
          <w:szCs w:val="44"/>
          <w:lang w:val="en-US" w:eastAsia="zh-CN"/>
        </w:rPr>
        <w:t xml:space="preserve"> </w:t>
      </w:r>
      <w:r>
        <w:rPr>
          <w:rFonts w:hint="default" w:ascii="Times New Roman" w:hAnsi="Times New Roman" w:eastAsia="方正小标宋_GBK" w:cs="Times New Roman"/>
          <w:b w:val="0"/>
          <w:sz w:val="44"/>
          <w:szCs w:val="44"/>
        </w:rPr>
        <w:t xml:space="preserve"> </w:t>
      </w:r>
      <w:r>
        <w:rPr>
          <w:rFonts w:hint="default" w:ascii="Times New Roman" w:hAnsi="Times New Roman" w:eastAsia="方正小标宋_GBK" w:cs="Times New Roman"/>
          <w:b w:val="0"/>
          <w:sz w:val="44"/>
          <w:szCs w:val="44"/>
          <w:lang w:val="en-US" w:eastAsia="zh-CN"/>
        </w:rPr>
        <w:t>2024年度</w:t>
      </w:r>
      <w:r>
        <w:rPr>
          <w:rFonts w:hint="default" w:ascii="Times New Roman" w:hAnsi="Times New Roman" w:eastAsia="方正小标宋_GBK" w:cs="Times New Roman"/>
          <w:b w:val="0"/>
          <w:sz w:val="44"/>
          <w:szCs w:val="44"/>
        </w:rPr>
        <w:t>部门决算情况说明</w:t>
      </w:r>
      <w:bookmarkEnd w:id="6"/>
      <w:bookmarkEnd w:id="7"/>
      <w:bookmarkEnd w:id="16"/>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17" w:name="_Toc5755"/>
      <w:bookmarkStart w:id="18" w:name="_Toc15396603"/>
      <w:bookmarkStart w:id="19" w:name="_Toc15377205"/>
      <w:r>
        <w:rPr>
          <w:rFonts w:hint="default" w:ascii="Times New Roman" w:hAnsi="Times New Roman" w:eastAsia="方正黑体_GBK" w:cs="Times New Roman"/>
          <w:b w:val="0"/>
          <w:lang w:eastAsia="zh-CN"/>
        </w:rPr>
        <w:t>一、</w:t>
      </w:r>
      <w:r>
        <w:rPr>
          <w:rFonts w:hint="default" w:ascii="Times New Roman" w:hAnsi="Times New Roman" w:eastAsia="方正黑体_GBK" w:cs="Times New Roman"/>
          <w:b w:val="0"/>
        </w:rPr>
        <w:t>收入支出决算总体情况说明</w:t>
      </w:r>
      <w:bookmarkEnd w:id="17"/>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20" w:name="_Toc25293"/>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865.14</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2023年度1173.90万元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总计各减少308.76万元，下降</w:t>
      </w:r>
      <w:r>
        <w:rPr>
          <w:rFonts w:hint="default" w:ascii="Times New Roman" w:hAnsi="Times New Roman" w:eastAsia="方正仿宋_GBK" w:cs="Times New Roman"/>
          <w:color w:val="auto"/>
          <w:sz w:val="32"/>
          <w:szCs w:val="32"/>
          <w:highlight w:val="none"/>
          <w:lang w:val="en-US" w:eastAsia="zh-CN"/>
        </w:rPr>
        <w:t>26.3</w:t>
      </w:r>
      <w:r>
        <w:rPr>
          <w:rFonts w:hint="default" w:ascii="Times New Roman" w:hAnsi="Times New Roman" w:eastAsia="方正仿宋_GBK" w:cs="Times New Roman"/>
          <w:color w:val="auto"/>
          <w:sz w:val="32"/>
          <w:szCs w:val="32"/>
          <w:highlight w:val="none"/>
        </w:rPr>
        <w:t>%。主要变动原因是本年</w:t>
      </w:r>
      <w:r>
        <w:rPr>
          <w:rFonts w:hint="default" w:ascii="Times New Roman" w:hAnsi="Times New Roman" w:eastAsia="方正仿宋_GBK" w:cs="Times New Roman"/>
          <w:color w:val="auto"/>
          <w:sz w:val="32"/>
          <w:szCs w:val="32"/>
          <w:highlight w:val="none"/>
          <w:lang w:val="en-US" w:eastAsia="zh-CN"/>
        </w:rPr>
        <w:t>度</w:t>
      </w:r>
      <w:r>
        <w:rPr>
          <w:rFonts w:hint="default" w:ascii="Times New Roman" w:hAnsi="Times New Roman" w:eastAsia="方正仿宋_GBK" w:cs="Times New Roman"/>
          <w:color w:val="auto"/>
          <w:sz w:val="32"/>
          <w:szCs w:val="32"/>
          <w:highlight w:val="none"/>
        </w:rPr>
        <w:t>调离12人，退休1人。</w:t>
      </w:r>
      <w:bookmarkEnd w:id="2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4961255" cy="3315970"/>
            <wp:effectExtent l="4445" t="4445" r="6350" b="1333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lang w:eastAsia="zh-CN"/>
        </w:rPr>
      </w:pPr>
      <w:bookmarkStart w:id="21" w:name="_Toc15396604"/>
      <w:bookmarkStart w:id="22" w:name="_Toc15377206"/>
      <w:bookmarkStart w:id="23" w:name="_Toc12245"/>
      <w:r>
        <w:rPr>
          <w:rFonts w:hint="default" w:ascii="Times New Roman" w:hAnsi="Times New Roman" w:eastAsia="方正黑体_GBK" w:cs="Times New Roman"/>
          <w:b w:val="0"/>
          <w:lang w:eastAsia="zh-CN"/>
        </w:rPr>
        <w:t>二、收入决算情况说明</w:t>
      </w:r>
      <w:bookmarkEnd w:id="21"/>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bookmarkStart w:id="24" w:name="_Toc11577"/>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865.14万元，其中：一般公共预算财政拨款收入865.14</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bookmarkEnd w:id="24"/>
    </w:p>
    <w:p>
      <w:pPr>
        <w:spacing w:line="240" w:lineRule="auto"/>
        <w:ind w:firstLine="800" w:firstLineChars="250"/>
        <w:jc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w:t>
      </w:r>
    </w:p>
    <w:p>
      <w:pPr>
        <w:spacing w:line="240" w:lineRule="auto"/>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5238115" cy="2615565"/>
            <wp:effectExtent l="4445" t="4445" r="15240" b="889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Style w:val="29"/>
          <w:rFonts w:hint="default" w:ascii="Times New Roman" w:hAnsi="Times New Roman" w:eastAsia="黑体" w:cs="Times New Roman"/>
          <w:b w:val="0"/>
          <w:bCs/>
          <w:color w:val="auto"/>
          <w:highlight w:val="none"/>
        </w:rPr>
      </w:pPr>
      <w:bookmarkStart w:id="25" w:name="_Toc15396605"/>
      <w:bookmarkStart w:id="26" w:name="_Toc15377207"/>
      <w:bookmarkStart w:id="27" w:name="_Toc22600"/>
      <w:r>
        <w:rPr>
          <w:rFonts w:hint="default" w:ascii="Times New Roman" w:hAnsi="Times New Roman" w:eastAsia="方正黑体_GBK" w:cs="Times New Roman"/>
          <w:b w:val="0"/>
          <w:lang w:eastAsia="zh-CN"/>
        </w:rPr>
        <w:t>三、支出决算情况说明</w:t>
      </w:r>
      <w:bookmarkEnd w:id="25"/>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28" w:name="_Toc15193"/>
      <w:r>
        <w:rPr>
          <w:rFonts w:hint="default" w:ascii="Times New Roman" w:hAnsi="Times New Roman" w:eastAsia="方正仿宋_GBK" w:cs="Times New Roman"/>
          <w:color w:val="auto"/>
          <w:sz w:val="32"/>
          <w:szCs w:val="32"/>
          <w:highlight w:val="none"/>
          <w:lang w:eastAsia="zh-CN"/>
        </w:rPr>
        <w:t>2024年度本年支出合计865.14万元，其中：基本支出820.97万元，占94.89%；项目支出44.17万元，占5.1</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%；上缴上级支出0万元，占0%；经营支出0万元，占0%；对附属单位补助支出0万元，占0%。</w:t>
      </w:r>
      <w:bookmarkEnd w:id="2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outlineLvl w:val="1"/>
        <w:rPr>
          <w:rFonts w:hint="default" w:ascii="Times New Roman" w:hAnsi="Times New Roman" w:eastAsia="方正仿宋_GBK" w:cs="Times New Roman"/>
          <w:color w:val="auto"/>
          <w:sz w:val="32"/>
          <w:szCs w:val="32"/>
          <w:highlight w:val="none"/>
          <w:lang w:eastAsia="zh-CN"/>
        </w:rPr>
      </w:pPr>
      <w:bookmarkStart w:id="29" w:name="_Toc15255"/>
      <w:r>
        <w:rPr>
          <w:rFonts w:hint="default" w:ascii="Times New Roman" w:hAnsi="Times New Roman" w:eastAsia="方正仿宋_GBK" w:cs="Times New Roman"/>
          <w:color w:val="auto"/>
          <w:sz w:val="32"/>
          <w:szCs w:val="32"/>
          <w:highlight w:val="none"/>
          <w:lang w:eastAsia="zh-CN"/>
        </w:rPr>
        <w:t>（图3：支出决算结构图）</w:t>
      </w:r>
      <w:bookmarkEnd w:id="29"/>
    </w:p>
    <w:p>
      <w:pPr>
        <w:spacing w:line="240" w:lineRule="auto"/>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5257165" cy="2404745"/>
            <wp:effectExtent l="4445" t="4445" r="15240"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lang w:eastAsia="zh-CN"/>
        </w:rPr>
      </w:pPr>
      <w:bookmarkStart w:id="30" w:name="_Toc15377208"/>
      <w:bookmarkStart w:id="31" w:name="_Toc31740"/>
      <w:bookmarkStart w:id="32" w:name="_Toc15396606"/>
      <w:r>
        <w:rPr>
          <w:rFonts w:hint="default" w:ascii="Times New Roman" w:hAnsi="Times New Roman" w:eastAsia="方正黑体_GBK" w:cs="Times New Roman"/>
          <w:b w:val="0"/>
          <w:lang w:eastAsia="zh-CN"/>
        </w:rPr>
        <w:t>四、财政拨款收入支出决算总体情况说明</w:t>
      </w:r>
      <w:bookmarkEnd w:id="30"/>
      <w:bookmarkEnd w:id="31"/>
      <w:bookmarkEnd w:id="3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33" w:name="_Toc32545"/>
      <w:r>
        <w:rPr>
          <w:rFonts w:hint="default" w:ascii="Times New Roman" w:hAnsi="Times New Roman" w:eastAsia="方正仿宋_GBK" w:cs="Times New Roman"/>
          <w:color w:val="auto"/>
          <w:sz w:val="32"/>
          <w:szCs w:val="32"/>
          <w:highlight w:val="none"/>
          <w:lang w:val="en-US" w:eastAsia="zh-CN"/>
        </w:rPr>
        <w:t>2024年度财政拨款收入、支出总计均为</w:t>
      </w:r>
      <w:r>
        <w:rPr>
          <w:rFonts w:hint="default" w:ascii="Times New Roman" w:hAnsi="Times New Roman" w:eastAsia="方正仿宋_GBK" w:cs="Times New Roman"/>
          <w:color w:val="auto"/>
          <w:sz w:val="32"/>
          <w:szCs w:val="32"/>
          <w:highlight w:val="none"/>
          <w:lang w:eastAsia="zh-CN"/>
        </w:rPr>
        <w:t>865.14</w:t>
      </w:r>
      <w:r>
        <w:rPr>
          <w:rFonts w:hint="default" w:ascii="Times New Roman" w:hAnsi="Times New Roman" w:eastAsia="方正仿宋_GBK" w:cs="Times New Roman"/>
          <w:color w:val="auto"/>
          <w:sz w:val="32"/>
          <w:szCs w:val="32"/>
          <w:highlight w:val="none"/>
          <w:lang w:val="en-US" w:eastAsia="zh-CN"/>
        </w:rPr>
        <w:t>万元。与2023年度相比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2023年度1173.90万元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，财政拨款收入总计、支出总计各</w:t>
      </w:r>
      <w:r>
        <w:rPr>
          <w:rFonts w:hint="default" w:ascii="Times New Roman" w:hAnsi="Times New Roman" w:eastAsia="方正仿宋_GBK" w:cs="Times New Roman"/>
          <w:color w:val="auto"/>
          <w:sz w:val="32"/>
          <w:szCs w:val="32"/>
          <w:highlight w:val="none"/>
          <w:lang w:eastAsia="zh-CN"/>
        </w:rPr>
        <w:t>308.76万元，下降</w:t>
      </w:r>
      <w:r>
        <w:rPr>
          <w:rFonts w:hint="default" w:ascii="Times New Roman" w:hAnsi="Times New Roman" w:eastAsia="方正仿宋_GBK" w:cs="Times New Roman"/>
          <w:color w:val="auto"/>
          <w:sz w:val="32"/>
          <w:szCs w:val="32"/>
          <w:highlight w:val="none"/>
          <w:lang w:val="en-US" w:eastAsia="zh-CN"/>
        </w:rPr>
        <w:t>26.3</w:t>
      </w:r>
      <w:r>
        <w:rPr>
          <w:rFonts w:hint="default" w:ascii="Times New Roman" w:hAnsi="Times New Roman" w:eastAsia="方正仿宋_GBK" w:cs="Times New Roman"/>
          <w:color w:val="auto"/>
          <w:sz w:val="32"/>
          <w:szCs w:val="32"/>
          <w:highlight w:val="none"/>
          <w:lang w:eastAsia="zh-CN"/>
        </w:rPr>
        <w:t>%。主要变动原因是本年</w:t>
      </w:r>
      <w:r>
        <w:rPr>
          <w:rFonts w:hint="default" w:ascii="Times New Roman" w:hAnsi="Times New Roman" w:eastAsia="方正仿宋_GBK" w:cs="Times New Roman"/>
          <w:color w:val="auto"/>
          <w:sz w:val="32"/>
          <w:szCs w:val="32"/>
          <w:highlight w:val="none"/>
          <w:lang w:val="en-US" w:eastAsia="zh-CN"/>
        </w:rPr>
        <w:t>度</w:t>
      </w:r>
      <w:r>
        <w:rPr>
          <w:rFonts w:hint="default" w:ascii="Times New Roman" w:hAnsi="Times New Roman" w:eastAsia="方正仿宋_GBK" w:cs="Times New Roman"/>
          <w:color w:val="auto"/>
          <w:sz w:val="32"/>
          <w:szCs w:val="32"/>
          <w:highlight w:val="none"/>
          <w:lang w:eastAsia="zh-CN"/>
        </w:rPr>
        <w:t>调离12人，退休1人。</w:t>
      </w:r>
      <w:bookmarkEnd w:id="3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center"/>
        <w:textAlignment w:val="auto"/>
        <w:outlineLvl w:val="1"/>
        <w:rPr>
          <w:rFonts w:hint="default" w:ascii="Times New Roman" w:hAnsi="Times New Roman" w:eastAsia="方正仿宋_GBK" w:cs="Times New Roman"/>
          <w:color w:val="auto"/>
          <w:sz w:val="32"/>
          <w:szCs w:val="32"/>
          <w:highlight w:val="none"/>
          <w:lang w:val="en-US" w:eastAsia="zh-CN"/>
        </w:rPr>
      </w:pPr>
      <w:bookmarkStart w:id="34" w:name="_Toc20899"/>
      <w:r>
        <w:rPr>
          <w:rFonts w:hint="default" w:ascii="Times New Roman" w:hAnsi="Times New Roman" w:eastAsia="方正仿宋_GBK" w:cs="Times New Roman"/>
          <w:color w:val="auto"/>
          <w:sz w:val="32"/>
          <w:szCs w:val="32"/>
          <w:highlight w:val="none"/>
          <w:lang w:val="en-US" w:eastAsia="zh-CN"/>
        </w:rPr>
        <w:t>（图4：财政拨款收、支决算总计变动情况）</w:t>
      </w:r>
      <w:bookmarkEnd w:id="34"/>
    </w:p>
    <w:p>
      <w:pPr>
        <w:pStyle w:val="19"/>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黑体" w:cs="Times New Roman"/>
          <w:color w:val="auto"/>
          <w:sz w:val="32"/>
          <w:szCs w:val="32"/>
          <w:highlight w:val="none"/>
        </w:rPr>
      </w:pPr>
      <w:bookmarkStart w:id="35" w:name="_Toc15396607"/>
      <w:bookmarkStart w:id="36" w:name="_Toc15377209"/>
      <w:r>
        <w:rPr>
          <w:rFonts w:hint="default" w:ascii="Times New Roman" w:hAnsi="Times New Roman" w:cs="Times New Roman"/>
        </w:rPr>
        <w:drawing>
          <wp:inline distT="0" distB="0" distL="114300" distR="114300">
            <wp:extent cx="5264150" cy="3383915"/>
            <wp:effectExtent l="4445" t="4445" r="8255" b="2159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lang w:eastAsia="zh-CN"/>
        </w:rPr>
      </w:pPr>
      <w:bookmarkStart w:id="37" w:name="_Toc2940"/>
      <w:r>
        <w:rPr>
          <w:rFonts w:hint="default" w:ascii="Times New Roman" w:hAnsi="Times New Roman" w:eastAsia="方正黑体_GBK" w:cs="Times New Roman"/>
          <w:b w:val="0"/>
          <w:lang w:eastAsia="zh-CN"/>
        </w:rPr>
        <w:t>五、一般公共预算财政拨款支出决算情况说明</w:t>
      </w:r>
      <w:bookmarkEnd w:id="35"/>
      <w:bookmarkEnd w:id="36"/>
      <w:bookmarkEnd w:id="37"/>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38" w:name="_Toc15377210"/>
      <w:r>
        <w:rPr>
          <w:rFonts w:hint="default" w:ascii="Times New Roman" w:hAnsi="Times New Roman" w:eastAsia="方正楷体_GBK" w:cs="Times New Roman"/>
          <w:b/>
          <w:color w:val="auto"/>
          <w:sz w:val="32"/>
          <w:szCs w:val="32"/>
          <w:highlight w:val="none"/>
        </w:rPr>
        <w:t>（一）一般公共预算财政拨款支出决算总体情况</w:t>
      </w:r>
      <w:bookmarkEnd w:id="3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39" w:name="_Toc14910"/>
      <w:r>
        <w:rPr>
          <w:rFonts w:hint="default" w:ascii="Times New Roman" w:hAnsi="Times New Roman" w:eastAsia="方正仿宋_GBK" w:cs="Times New Roman"/>
          <w:color w:val="auto"/>
          <w:sz w:val="32"/>
          <w:szCs w:val="32"/>
          <w:highlight w:val="none"/>
          <w:lang w:val="en-US" w:eastAsia="zh-CN"/>
        </w:rPr>
        <w:t>2024年度一般公共预算财政拨款支出865.14万元，占本年支出合计的100%。与2023年度相比（2023年度1173.90万元），一般公共预算财政拨款支出减少308.76万元，下降26.3%。主要变动原因是本年度调离12人，退休1人。</w:t>
      </w:r>
      <w:bookmarkEnd w:id="39"/>
    </w:p>
    <w:p>
      <w:pPr>
        <w:spacing w:line="240" w:lineRule="auto"/>
        <w:ind w:firstLine="64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273050</wp:posOffset>
            </wp:positionH>
            <wp:positionV relativeFrom="paragraph">
              <wp:posOffset>389890</wp:posOffset>
            </wp:positionV>
            <wp:extent cx="4788535" cy="3170555"/>
            <wp:effectExtent l="4445" t="4445" r="7620" b="635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pPr>
        <w:spacing w:line="240" w:lineRule="auto"/>
        <w:ind w:firstLine="640"/>
        <w:jc w:val="center"/>
        <w:rPr>
          <w:rFonts w:hint="default" w:ascii="Times New Roman" w:hAnsi="Times New Roman" w:eastAsia="仿宋_GB2312" w:cs="Times New Roman"/>
          <w:color w:val="auto"/>
          <w:kern w:val="2"/>
          <w:sz w:val="32"/>
          <w:szCs w:val="32"/>
          <w:highlight w:val="none"/>
          <w:lang w:val="en-US" w:eastAsia="zh-CN" w:bidi="ar-SA"/>
        </w:rPr>
      </w:pPr>
    </w:p>
    <w:p>
      <w:pPr>
        <w:pStyle w:val="19"/>
        <w:spacing w:line="240" w:lineRule="auto"/>
        <w:rPr>
          <w:rFonts w:hint="default" w:ascii="Times New Roman" w:hAnsi="Times New Roman" w:eastAsia="仿宋_GB2312" w:cs="Times New Roman"/>
          <w:color w:val="auto"/>
          <w:kern w:val="2"/>
          <w:sz w:val="32"/>
          <w:szCs w:val="32"/>
          <w:highlight w:val="none"/>
          <w:lang w:val="en-US" w:eastAsia="zh-CN" w:bidi="ar-SA"/>
        </w:rPr>
      </w:pPr>
    </w:p>
    <w:p>
      <w:pPr>
        <w:spacing w:line="240" w:lineRule="auto"/>
        <w:rPr>
          <w:rFonts w:hint="default" w:ascii="Times New Roman" w:hAnsi="Times New Roman" w:eastAsia="仿宋_GB2312" w:cs="Times New Roman"/>
          <w:color w:val="auto"/>
          <w:kern w:val="2"/>
          <w:sz w:val="32"/>
          <w:szCs w:val="32"/>
          <w:highlight w:val="none"/>
          <w:lang w:val="en-US" w:eastAsia="zh-CN" w:bidi="ar-SA"/>
        </w:rPr>
      </w:pPr>
    </w:p>
    <w:p>
      <w:pPr>
        <w:pStyle w:val="19"/>
        <w:spacing w:line="240" w:lineRule="auto"/>
        <w:rPr>
          <w:rFonts w:hint="default" w:ascii="Times New Roman" w:hAnsi="Times New Roman" w:eastAsia="仿宋_GB2312" w:cs="Times New Roman"/>
          <w:color w:val="auto"/>
          <w:kern w:val="2"/>
          <w:sz w:val="32"/>
          <w:szCs w:val="32"/>
          <w:highlight w:val="none"/>
          <w:lang w:val="en-US" w:eastAsia="zh-CN" w:bidi="ar-SA"/>
        </w:rPr>
      </w:pPr>
    </w:p>
    <w:p>
      <w:pPr>
        <w:spacing w:line="240" w:lineRule="auto"/>
        <w:rPr>
          <w:rFonts w:hint="default" w:ascii="Times New Roman" w:hAnsi="Times New Roman" w:eastAsia="仿宋_GB2312" w:cs="Times New Roman"/>
          <w:color w:val="auto"/>
          <w:kern w:val="2"/>
          <w:sz w:val="32"/>
          <w:szCs w:val="32"/>
          <w:highlight w:val="none"/>
          <w:lang w:val="en-US" w:eastAsia="zh-CN" w:bidi="ar-SA"/>
        </w:rPr>
      </w:pPr>
    </w:p>
    <w:p>
      <w:pPr>
        <w:pStyle w:val="19"/>
        <w:spacing w:line="240" w:lineRule="auto"/>
        <w:rPr>
          <w:rFonts w:hint="default" w:ascii="Times New Roman" w:hAnsi="Times New Roman" w:cs="Times New Roman"/>
          <w:lang w:val="en-US" w:eastAsia="zh-CN"/>
        </w:rPr>
      </w:pPr>
    </w:p>
    <w:p>
      <w:pPr>
        <w:spacing w:line="240" w:lineRule="auto"/>
        <w:rPr>
          <w:rFonts w:hint="default" w:ascii="Times New Roman" w:hAnsi="Times New Roman" w:cs="Times New Roman"/>
          <w:lang w:val="en-US" w:eastAsia="zh-CN"/>
        </w:rPr>
      </w:pPr>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40" w:name="_Toc15377211"/>
      <w:r>
        <w:rPr>
          <w:rFonts w:hint="default" w:ascii="Times New Roman" w:hAnsi="Times New Roman" w:eastAsia="方正楷体_GBK" w:cs="Times New Roman"/>
          <w:b/>
          <w:color w:val="auto"/>
          <w:sz w:val="32"/>
          <w:szCs w:val="32"/>
          <w:highlight w:val="none"/>
        </w:rPr>
        <w:t>（二）一般公共预算财政拨款支出决算结构情况</w:t>
      </w:r>
      <w:bookmarkEnd w:id="4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1" w:name="_Toc1990"/>
      <w:r>
        <w:rPr>
          <w:rFonts w:hint="default" w:ascii="Times New Roman" w:hAnsi="Times New Roman" w:eastAsia="方正仿宋_GBK" w:cs="Times New Roman"/>
          <w:color w:val="auto"/>
          <w:sz w:val="32"/>
          <w:szCs w:val="32"/>
          <w:highlight w:val="none"/>
          <w:lang w:val="en-US" w:eastAsia="zh-CN"/>
        </w:rPr>
        <w:t>2024年度一般公共预算财政拨款支出865.14万元，主要用于以下方面：教育支出613.92万元，占70.96%；社会保障和就业支出136.59万元，占15.79%；卫生健康支出58.84万元，占6.8%；住房保障支出55.79万元，占6.45%。</w:t>
      </w:r>
      <w:bookmarkEnd w:id="41"/>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color w:val="auto"/>
          <w:sz w:val="32"/>
          <w:szCs w:val="32"/>
          <w:highlight w:val="none"/>
          <w:lang w:val="en-US" w:eastAsia="zh-CN"/>
        </w:rPr>
      </w:pPr>
      <w:bookmarkStart w:id="42" w:name="_Toc1463"/>
      <w:r>
        <w:rPr>
          <w:rFonts w:hint="default" w:ascii="Times New Roman" w:hAnsi="Times New Roman" w:eastAsia="方正仿宋_GBK" w:cs="Times New Roman"/>
          <w:color w:val="auto"/>
          <w:sz w:val="32"/>
          <w:szCs w:val="32"/>
          <w:highlight w:val="none"/>
          <w:lang w:val="en-US" w:eastAsia="zh-CN"/>
        </w:rPr>
        <w:t>（图6：一般公共预算财政拨款支出决算结构）</w:t>
      </w:r>
      <w:bookmarkEnd w:id="42"/>
    </w:p>
    <w:p>
      <w:pPr>
        <w:spacing w:line="24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115570</wp:posOffset>
            </wp:positionH>
            <wp:positionV relativeFrom="paragraph">
              <wp:posOffset>85725</wp:posOffset>
            </wp:positionV>
            <wp:extent cx="4974590" cy="2759710"/>
            <wp:effectExtent l="4445" t="4445" r="12065" b="1714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19"/>
        <w:spacing w:line="240" w:lineRule="auto"/>
        <w:jc w:val="center"/>
        <w:rPr>
          <w:rFonts w:hint="default" w:ascii="Times New Roman" w:hAnsi="Times New Roman" w:eastAsia="仿宋_GB2312" w:cs="Times New Roman"/>
          <w:color w:val="auto"/>
          <w:kern w:val="2"/>
          <w:sz w:val="32"/>
          <w:szCs w:val="32"/>
          <w:highlight w:val="none"/>
          <w:lang w:val="en-US" w:eastAsia="zh-CN" w:bidi="ar-SA"/>
        </w:rPr>
      </w:pPr>
    </w:p>
    <w:p>
      <w:pPr>
        <w:spacing w:line="240" w:lineRule="auto"/>
        <w:rPr>
          <w:rFonts w:hint="default" w:ascii="Times New Roman" w:hAnsi="Times New Roman" w:cs="Times New Roman"/>
          <w:lang w:val="en-US" w:eastAsia="zh-CN"/>
        </w:rPr>
      </w:pPr>
    </w:p>
    <w:p>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43" w:name="_Toc15377212"/>
    </w:p>
    <w:p>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p>
    <w:p>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p>
    <w:p>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（三）一般公共预算财政拨款支出决算具体情况</w:t>
      </w:r>
      <w:bookmarkEnd w:id="4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4" w:name="_Toc15474"/>
      <w:bookmarkStart w:id="45" w:name="_Toc15378460"/>
      <w:bookmarkStart w:id="46" w:name="_Toc15377444"/>
      <w:bookmarkStart w:id="47" w:name="_Toc15377213"/>
      <w:r>
        <w:rPr>
          <w:rFonts w:hint="default" w:ascii="Times New Roman" w:hAnsi="Times New Roman" w:eastAsia="方正仿宋_GBK" w:cs="Times New Roman"/>
          <w:color w:val="auto"/>
          <w:sz w:val="32"/>
          <w:szCs w:val="32"/>
          <w:highlight w:val="none"/>
          <w:lang w:val="en-US" w:eastAsia="zh-CN"/>
        </w:rPr>
        <w:t>2024年度一般公共预算财政拨款支出决算数为865.14万元，完成预算100%。其中：</w:t>
      </w:r>
      <w:bookmarkEnd w:id="44"/>
      <w:bookmarkEnd w:id="45"/>
      <w:bookmarkEnd w:id="46"/>
      <w:bookmarkEnd w:id="47"/>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8" w:name="_Toc6664"/>
      <w:r>
        <w:rPr>
          <w:rFonts w:hint="default" w:ascii="Times New Roman" w:hAnsi="Times New Roman" w:eastAsia="方正仿宋_GBK" w:cs="Times New Roman"/>
          <w:color w:val="auto"/>
          <w:sz w:val="32"/>
          <w:szCs w:val="32"/>
          <w:highlight w:val="none"/>
          <w:lang w:val="en-US" w:eastAsia="zh-CN"/>
        </w:rPr>
        <w:t>1.教育支出（类）:支出决算数为613.92万元，其中：教育支出（类）普通教育（款）学前教育（项）:支出决算为4.93万元，完成预算100%，教育支出（类）普通教育（款）小学教育（项）:支出决算为598.17万元，完成预算100%；教育支出（类）教育费附加安排的支出（款） 农村中小学教学设施（项）:支出决算为10.82万元，完成预算100%。</w:t>
      </w:r>
      <w:bookmarkEnd w:id="4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9" w:name="_Toc421"/>
      <w:r>
        <w:rPr>
          <w:rFonts w:hint="default" w:ascii="Times New Roman" w:hAnsi="Times New Roman" w:eastAsia="方正仿宋_GBK" w:cs="Times New Roman"/>
          <w:color w:val="auto"/>
          <w:sz w:val="32"/>
          <w:szCs w:val="32"/>
          <w:highlight w:val="none"/>
          <w:lang w:val="en-US" w:eastAsia="zh-CN"/>
        </w:rPr>
        <w:t>2.社会保障和就业支出（类）支出决算数为:136.59万元，其中：社会保障和就业支出（类）行政事业单位养老支出（款）事业单位离退休（项）：支出决算为59.47万元，完成预算100%，社会保障和就业支出（类）行政事业单位养老支出（款）机关事业单位基本养老保险缴费支出（项）：支出决算为68.84万元，完成预算100%，社会保障和就业支出（类）行政事业单位养老支出（款）机关事业单位职业年金缴费支出（项）:支出决算为8.28万元，完成预算100%。</w:t>
      </w:r>
      <w:bookmarkEnd w:id="4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50" w:name="_Toc30882"/>
      <w:r>
        <w:rPr>
          <w:rFonts w:hint="default" w:ascii="Times New Roman" w:hAnsi="Times New Roman" w:eastAsia="方正仿宋_GBK" w:cs="Times New Roman"/>
          <w:color w:val="auto"/>
          <w:sz w:val="32"/>
          <w:szCs w:val="32"/>
          <w:highlight w:val="none"/>
          <w:lang w:val="en-US" w:eastAsia="zh-CN"/>
        </w:rPr>
        <w:t>3.卫生健康支出（类）支出决算数为：58.84万元，其中：卫生健康支出（类）行政事业单位医疗（款）事业单位医疗（项）：支出决算为35.61万元，完成预算100%；卫生健康支出（类）行政事业单位医疗（款）其他行政事业单位医疗支出（项）:支出决算为23.23万元，完成预算100%。</w:t>
      </w:r>
      <w:bookmarkEnd w:id="5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51" w:name="_Toc15712"/>
      <w:r>
        <w:rPr>
          <w:rFonts w:hint="default" w:ascii="Times New Roman" w:hAnsi="Times New Roman" w:eastAsia="方正仿宋_GBK" w:cs="Times New Roman"/>
          <w:color w:val="auto"/>
          <w:sz w:val="32"/>
          <w:szCs w:val="32"/>
          <w:highlight w:val="none"/>
          <w:lang w:val="en-US" w:eastAsia="zh-CN"/>
        </w:rPr>
        <w:t>4. 住房保障支出（类）住房改革支出（款）住房公积金（项）:支出决算为55.79万元，完成预算100%。</w:t>
      </w:r>
      <w:bookmarkEnd w:id="51"/>
    </w:p>
    <w:p>
      <w:pPr>
        <w:tabs>
          <w:tab w:val="right" w:pos="8306"/>
        </w:tabs>
        <w:spacing w:line="240" w:lineRule="auto"/>
        <w:ind w:firstLine="640"/>
        <w:outlineLvl w:val="1"/>
        <w:rPr>
          <w:rStyle w:val="29"/>
          <w:rFonts w:hint="default" w:ascii="Times New Roman" w:hAnsi="Times New Roman" w:cs="Times New Roman"/>
          <w:color w:val="auto"/>
          <w:highlight w:val="none"/>
        </w:rPr>
      </w:pPr>
      <w:bookmarkStart w:id="52" w:name="_Toc15377214"/>
      <w:bookmarkStart w:id="53" w:name="_Toc15396608"/>
      <w:bookmarkStart w:id="54" w:name="_Toc6260"/>
      <w:r>
        <w:rPr>
          <w:rFonts w:hint="default" w:ascii="Times New Roman" w:hAnsi="Times New Roman" w:eastAsia="方正黑体_GBK" w:cs="Times New Roman"/>
          <w:b w:val="0"/>
          <w:bCs/>
          <w:kern w:val="2"/>
          <w:sz w:val="32"/>
          <w:szCs w:val="32"/>
          <w:lang w:val="en-US" w:eastAsia="zh-CN" w:bidi="ar-SA"/>
        </w:rPr>
        <w:t>六、一般公共预算财政拨款基本支出决算情况说明</w:t>
      </w:r>
      <w:bookmarkEnd w:id="52"/>
      <w:bookmarkEnd w:id="53"/>
      <w:bookmarkEnd w:id="54"/>
      <w:r>
        <w:rPr>
          <w:rStyle w:val="29"/>
          <w:rFonts w:hint="default" w:ascii="Times New Roman" w:hAnsi="Times New Roman" w:eastAsia="黑体" w:cs="Times New Roman"/>
          <w:b w:val="0"/>
          <w:color w:val="auto"/>
          <w:highlight w:val="none"/>
        </w:rPr>
        <w:tab/>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55" w:name="_Toc22533"/>
      <w:r>
        <w:rPr>
          <w:rFonts w:hint="default" w:ascii="Times New Roman" w:hAnsi="Times New Roman" w:eastAsia="方正仿宋_GBK" w:cs="Times New Roman"/>
          <w:color w:val="auto"/>
          <w:sz w:val="32"/>
          <w:szCs w:val="32"/>
          <w:highlight w:val="none"/>
          <w:lang w:val="en-US" w:eastAsia="zh-CN"/>
        </w:rPr>
        <w:t>2024年度一般公共预算财政拨款基本支出820.97万元，其中：</w:t>
      </w:r>
      <w:bookmarkEnd w:id="55"/>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56" w:name="_Toc215"/>
      <w:r>
        <w:rPr>
          <w:rFonts w:hint="default" w:ascii="Times New Roman" w:hAnsi="Times New Roman" w:eastAsia="方正仿宋_GBK" w:cs="Times New Roman"/>
          <w:color w:val="auto"/>
          <w:sz w:val="32"/>
          <w:szCs w:val="32"/>
          <w:highlight w:val="none"/>
          <w:lang w:val="en-US" w:eastAsia="zh-CN"/>
        </w:rPr>
        <w:t>人员经费763万元，主要包括：基本工资、津贴补贴、绩效工资、机关事业单位基本养老保险缴费、职业年金缴费、其他社会保障缴费、职工基本医疗保险缴费、医疗费、住房公积金、其他工资福利支出、生活补助、医疗费补助、奖励金。</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公用经费57.97万元，主要包括：办公费、印刷费、水费、电费、邮电费、物业管理费、差旅费、维修（护）费、租赁费、培训费、专用材料费、劳务费、委托业务费、工会经费、福利费、其他交通费、其他商品和服务支出、办公设备购置。</w:t>
      </w:r>
      <w:bookmarkEnd w:id="56"/>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57" w:name="_Toc510"/>
      <w:bookmarkStart w:id="58" w:name="_Toc15377215"/>
      <w:bookmarkStart w:id="59" w:name="_Toc15396609"/>
      <w:r>
        <w:rPr>
          <w:rFonts w:hint="default" w:ascii="Times New Roman" w:hAnsi="Times New Roman" w:eastAsia="方正黑体_GBK" w:cs="Times New Roman"/>
          <w:b w:val="0"/>
          <w:bCs/>
          <w:kern w:val="2"/>
          <w:sz w:val="32"/>
          <w:szCs w:val="32"/>
          <w:lang w:val="en-US" w:eastAsia="zh-CN" w:bidi="ar-SA"/>
        </w:rPr>
        <w:t>七、财政拨款“三公”经费支出决算情况说明</w:t>
      </w:r>
      <w:bookmarkEnd w:id="57"/>
      <w:bookmarkEnd w:id="58"/>
      <w:bookmarkEnd w:id="59"/>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60"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6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61" w:name="_Toc13606"/>
      <w:r>
        <w:rPr>
          <w:rFonts w:hint="default" w:ascii="Times New Roman" w:hAnsi="Times New Roman" w:eastAsia="方正仿宋_GBK" w:cs="Times New Roman"/>
          <w:color w:val="auto"/>
          <w:sz w:val="32"/>
          <w:szCs w:val="32"/>
          <w:highlight w:val="none"/>
          <w:lang w:val="en-US" w:eastAsia="zh-CN"/>
        </w:rPr>
        <w:t>2024年度“三公”经费财政拨款支出决算为0万元，完成预算0%，与2023年决算数持平。</w:t>
      </w:r>
      <w:bookmarkEnd w:id="61"/>
    </w:p>
    <w:p>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62"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6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63" w:name="_Toc15237"/>
      <w:r>
        <w:rPr>
          <w:rFonts w:hint="default" w:ascii="Times New Roman" w:hAnsi="Times New Roman" w:eastAsia="方正仿宋_GBK" w:cs="Times New Roman"/>
          <w:color w:val="auto"/>
          <w:sz w:val="32"/>
          <w:szCs w:val="32"/>
          <w:highlight w:val="none"/>
          <w:lang w:val="en-US" w:eastAsia="zh-CN"/>
        </w:rPr>
        <w:t>2024年度“三公”经费财政拨款支出决算中，因公出国（境）费支出决算0万元，占0%；公务用车购置及运行维护费支出决算0万元，占0%；公务接待费支出决算0万元，占0%。具体情况如下：</w:t>
      </w:r>
      <w:bookmarkEnd w:id="63"/>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全年安排因公出国（境）团组0次，出国（境）0人。因公出国（境）支出决算与2023年决算数持平。</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公务用车购置及运行维护费支出决算与2023年决算数持平。</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公务用车运行维护费支出0万元。</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公务接待费支出决算与2023年决算数持平。其中：</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外事接待支出0万元，共计支出0万元。</w:t>
      </w:r>
      <w:bookmarkStart w:id="64" w:name="_Toc15396610"/>
      <w:bookmarkStart w:id="65" w:name="_Toc15377218"/>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66" w:name="_Toc15825"/>
      <w:r>
        <w:rPr>
          <w:rFonts w:hint="default" w:ascii="Times New Roman" w:hAnsi="Times New Roman" w:eastAsia="方正黑体_GBK" w:cs="Times New Roman"/>
          <w:b w:val="0"/>
          <w:bCs/>
          <w:kern w:val="2"/>
          <w:sz w:val="32"/>
          <w:szCs w:val="32"/>
          <w:lang w:val="en-US" w:eastAsia="zh-CN" w:bidi="ar-SA"/>
        </w:rPr>
        <w:t>八、政府性基金预算支出决算情况说明</w:t>
      </w:r>
      <w:bookmarkEnd w:id="64"/>
      <w:bookmarkEnd w:id="65"/>
      <w:bookmarkEnd w:id="66"/>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2024年度政府性基金预算财政拨款支出0万元，占本年支出合计的0%。与2023年决算数持平。</w:t>
      </w:r>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67" w:name="_Toc15396611"/>
      <w:bookmarkStart w:id="68" w:name="_Toc15377219"/>
      <w:bookmarkStart w:id="69" w:name="_Toc22505"/>
      <w:r>
        <w:rPr>
          <w:rFonts w:hint="default" w:ascii="Times New Roman" w:hAnsi="Times New Roman" w:eastAsia="方正黑体_GBK" w:cs="Times New Roman"/>
          <w:b w:val="0"/>
          <w:bCs/>
          <w:kern w:val="2"/>
          <w:sz w:val="32"/>
          <w:szCs w:val="32"/>
          <w:lang w:val="en-US" w:eastAsia="zh-CN" w:bidi="ar-SA"/>
        </w:rPr>
        <w:t>九、国有资本经营预算支出决算情况说明</w:t>
      </w:r>
      <w:bookmarkEnd w:id="67"/>
      <w:bookmarkEnd w:id="68"/>
      <w:bookmarkEnd w:id="69"/>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2024年度国有资本经营预算财政拨款支出0万元，占本年支出合计的0%。与2023年决算数持平。</w:t>
      </w:r>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70" w:name="_Toc15396612"/>
      <w:bookmarkStart w:id="71" w:name="_Toc15377221"/>
      <w:bookmarkStart w:id="72" w:name="_Toc17179"/>
      <w:r>
        <w:rPr>
          <w:rFonts w:hint="default" w:ascii="Times New Roman" w:hAnsi="Times New Roman" w:eastAsia="方正黑体_GBK" w:cs="Times New Roman"/>
          <w:b w:val="0"/>
          <w:bCs/>
          <w:kern w:val="2"/>
          <w:sz w:val="32"/>
          <w:szCs w:val="32"/>
          <w:lang w:val="en-US" w:eastAsia="zh-CN" w:bidi="ar-SA"/>
        </w:rPr>
        <w:t>十、其他重要事项的情况说明</w:t>
      </w:r>
      <w:bookmarkEnd w:id="70"/>
      <w:bookmarkEnd w:id="71"/>
      <w:bookmarkEnd w:id="72"/>
    </w:p>
    <w:p>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73" w:name="_Toc15377222"/>
      <w:r>
        <w:rPr>
          <w:rFonts w:hint="default" w:ascii="Times New Roman" w:hAnsi="Times New Roman" w:eastAsia="方正楷体_GBK" w:cs="Times New Roman"/>
          <w:b/>
          <w:color w:val="auto"/>
          <w:sz w:val="32"/>
          <w:szCs w:val="32"/>
          <w:highlight w:val="none"/>
        </w:rPr>
        <w:t>（一）机关运行经费支出情况</w:t>
      </w:r>
      <w:bookmarkEnd w:id="73"/>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2024年度，盐边县红果彝族乡中心学校机关运行经费支出0万元，与2023年决算数持平。</w:t>
      </w:r>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74" w:name="_Toc15377223"/>
      <w:r>
        <w:rPr>
          <w:rFonts w:hint="default" w:ascii="Times New Roman" w:hAnsi="Times New Roman" w:eastAsia="方正楷体_GBK" w:cs="Times New Roman"/>
          <w:b/>
          <w:color w:val="auto"/>
          <w:sz w:val="32"/>
          <w:szCs w:val="32"/>
          <w:highlight w:val="none"/>
        </w:rPr>
        <w:t>（二）政府采购支出情况</w:t>
      </w:r>
      <w:bookmarkEnd w:id="74"/>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红果彝族乡中心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75" w:name="_Toc15377224"/>
      <w:r>
        <w:rPr>
          <w:rFonts w:hint="default" w:ascii="Times New Roman" w:hAnsi="Times New Roman" w:eastAsia="方正楷体_GBK" w:cs="Times New Roman"/>
          <w:b/>
          <w:color w:val="auto"/>
          <w:sz w:val="32"/>
          <w:szCs w:val="32"/>
          <w:highlight w:val="none"/>
        </w:rPr>
        <w:t>（三）国有资产占有使用情况</w:t>
      </w:r>
      <w:bookmarkEnd w:id="75"/>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截至2024年12月31日，盐边县红果彝族乡中心学校共有车辆0辆，其中：主要负责人用车0辆、机要通信用车0辆、应急保障用车0辆、其他用车0辆。单价100万元（含）以上设备（不含车辆）0台（套）。</w:t>
      </w:r>
    </w:p>
    <w:p>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（四）预算绩效管理情况</w:t>
      </w:r>
    </w:p>
    <w:p>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对28项目（公用经费-小学校、遗属人员经费、工资性支出、红果学校厕所改造工程、艰苦边远地区津贴、特殊教育学生公用经费）等28个项目开展了预算事前绩效评估，对28个项目编制了绩效目标，预算执行过程中，选取25个项目开展绩效监控，组织对25个项目开展绩效自评。</w:t>
      </w:r>
    </w:p>
    <w:p>
      <w:pPr>
        <w:pStyle w:val="7"/>
        <w:spacing w:line="240" w:lineRule="auto"/>
        <w:ind w:left="0" w:leftChars="0" w:firstLine="0" w:firstLineChars="0"/>
        <w:rPr>
          <w:rFonts w:hint="default" w:ascii="Times New Roman" w:hAnsi="Times New Roman" w:eastAsia="黑体" w:cs="Times New Roman"/>
          <w:color w:val="auto"/>
          <w:sz w:val="44"/>
          <w:szCs w:val="44"/>
          <w:highlight w:val="none"/>
        </w:rPr>
      </w:pPr>
      <w:bookmarkStart w:id="76" w:name="_Toc15396613"/>
      <w:bookmarkStart w:id="77" w:name="_Toc15377225"/>
    </w:p>
    <w:p>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p>
      <w:pPr>
        <w:pStyle w:val="3"/>
        <w:spacing w:line="240" w:lineRule="auto"/>
        <w:jc w:val="center"/>
        <w:rPr>
          <w:rFonts w:hint="default" w:ascii="Times New Roman" w:hAnsi="Times New Roman" w:cs="Times New Roman"/>
          <w:b/>
          <w:color w:val="auto"/>
          <w:sz w:val="44"/>
          <w:szCs w:val="44"/>
          <w:highlight w:val="none"/>
        </w:rPr>
      </w:pPr>
      <w:bookmarkStart w:id="78" w:name="_Toc16325"/>
      <w:r>
        <w:rPr>
          <w:rFonts w:hint="default" w:ascii="Times New Roman" w:hAnsi="Times New Roman" w:eastAsia="方正小标宋_GBK" w:cs="Times New Roman"/>
          <w:b w:val="0"/>
          <w:sz w:val="44"/>
          <w:szCs w:val="44"/>
        </w:rPr>
        <w:t>第</w:t>
      </w:r>
      <w:r>
        <w:rPr>
          <w:rFonts w:hint="default" w:ascii="Times New Roman" w:hAnsi="Times New Roman" w:eastAsia="方正小标宋_GBK" w:cs="Times New Roman"/>
          <w:b w:val="0"/>
          <w:sz w:val="44"/>
          <w:szCs w:val="44"/>
          <w:lang w:eastAsia="zh-CN"/>
        </w:rPr>
        <w:t>三</w:t>
      </w:r>
      <w:r>
        <w:rPr>
          <w:rFonts w:hint="default" w:ascii="Times New Roman" w:hAnsi="Times New Roman" w:eastAsia="方正小标宋_GBK" w:cs="Times New Roman"/>
          <w:b w:val="0"/>
          <w:sz w:val="44"/>
          <w:szCs w:val="44"/>
        </w:rPr>
        <w:t>部分</w:t>
      </w:r>
      <w:r>
        <w:rPr>
          <w:rFonts w:hint="default" w:ascii="Times New Roman" w:hAnsi="Times New Roman" w:eastAsia="方正小标宋_GBK" w:cs="Times New Roman"/>
          <w:b w:val="0"/>
          <w:sz w:val="44"/>
          <w:szCs w:val="44"/>
          <w:lang w:val="en-US" w:eastAsia="zh-CN"/>
        </w:rPr>
        <w:t xml:space="preserve">  </w:t>
      </w:r>
      <w:r>
        <w:rPr>
          <w:rFonts w:hint="default" w:ascii="Times New Roman" w:hAnsi="Times New Roman" w:eastAsia="方正小标宋_GBK" w:cs="Times New Roman"/>
          <w:b w:val="0"/>
          <w:sz w:val="44"/>
          <w:szCs w:val="44"/>
        </w:rPr>
        <w:t>名词解释</w:t>
      </w:r>
      <w:bookmarkEnd w:id="76"/>
      <w:bookmarkEnd w:id="77"/>
      <w:bookmarkEnd w:id="78"/>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bookmarkStart w:id="79" w:name="_Toc15377226"/>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4.其他收入：指单位取得的除上述收入以外的各项收入。</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5.使用非财政拨款结余：指事业单位使用以前年度积累的非财政拨款结余弥补当年收支差额的金额。</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6.年初结转和结余：指以前年度尚未完成、结转到本年按有关规定继续使用的资金。</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 xml:space="preserve">9. </w:t>
      </w:r>
      <w:r>
        <w:rPr>
          <w:rFonts w:hint="default" w:ascii="Times New Roman" w:hAnsi="Times New Roman" w:eastAsia="方正仿宋_GBK" w:cs="Times New Roman"/>
          <w:color w:val="auto"/>
          <w:kern w:val="2"/>
          <w:sz w:val="32"/>
          <w:szCs w:val="32"/>
          <w:highlight w:val="none"/>
          <w:lang w:val="en-US" w:eastAsia="zh-CN" w:bidi="ar-SA"/>
        </w:rPr>
        <w:t>教育205（类）普通教育02（款）学前教育01（项）：指反映各部门举办的学前教育支出。政府各部门对社会组织等举办的幼儿园的资助，如捐赠、补贴等，也在本科目中反映。</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 xml:space="preserve">10. </w:t>
      </w:r>
      <w:r>
        <w:rPr>
          <w:rFonts w:hint="default" w:ascii="Times New Roman" w:hAnsi="Times New Roman" w:eastAsia="方正仿宋_GBK" w:cs="Times New Roman"/>
          <w:color w:val="auto"/>
          <w:kern w:val="2"/>
          <w:sz w:val="32"/>
          <w:szCs w:val="32"/>
          <w:highlight w:val="none"/>
          <w:lang w:val="en-US" w:eastAsia="zh-CN" w:bidi="ar-SA"/>
        </w:rPr>
        <w:t>教育205（类）普通教育02（款）小学教育02（项）：指反映各部门举办的小学教育支出。政府各部门对社会组织等举办的小学的资助，如捐赠、补贴等，也在本科目中反映。</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 xml:space="preserve">11. </w:t>
      </w:r>
      <w:r>
        <w:rPr>
          <w:rFonts w:hint="default" w:ascii="Times New Roman" w:hAnsi="Times New Roman" w:eastAsia="方正仿宋_GBK" w:cs="Times New Roman"/>
          <w:color w:val="auto"/>
          <w:kern w:val="2"/>
          <w:sz w:val="32"/>
          <w:szCs w:val="32"/>
          <w:highlight w:val="none"/>
          <w:lang w:val="en-US" w:eastAsia="zh-CN" w:bidi="ar-SA"/>
        </w:rPr>
        <w:t>教育205（类）教育费附加安排09（款）农村中小教学设施02（项）：指反映教育费附加安排用于改善农村中小学教学设施和办学条件的支出。</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12.社会保障和就业208（类）行政事业单位养老05（款）事业单位离退休02（项）：指反映事业单位开支的离退休经费。</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社会保障和就业208（类）行政事业单位养老05（款）机关事业单位基本养老保险缴费05（项）：指反映机关事业单位实施养老保险制度由单位缴纳的基本养老保险费支出。</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14</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社会保障和就业208（类）行政事业单位养老05（款）机关事业单位职业年金缴费06（项）：指反映机关事业单位实施养老保险制度由单位实际缴纳的职业年金支出（含职业年金补记支出）。</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社会保障和就业208（类）抚恤08（款）伤残抚恤02（项）：指反映按规定用于伤残人员的抚恤金和按规定开支的各种伤残补助费。</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卫生健康210（类）行政事业单位医疗11（款）事业单位医疗02（项）：指反映财政部门安排的事业单位基本医疗保险缴费经费，未参加医疗保险的事业单位的公费医疗经费，按国家规定享受离休人员待遇的医疗经费。</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卫生健康210（类）行政事业单位医疗11（款）其他行政事业单位医疗99（项）：指反映除上述项目以外的其他用于行政事业单位医疗方面的支出。</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color w:val="auto"/>
          <w:kern w:val="2"/>
          <w:sz w:val="32"/>
          <w:szCs w:val="32"/>
          <w:highlight w:val="none"/>
          <w:lang w:val="zh-CN"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住房保障221（类）住房改革02（款）住房公积金01（项）：指反映行政事业单位按人力资源和社会保障部、财政部规定的基本工资和津贴补贴以及规定比例为职工缴纳的住房公积金。</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19</w:t>
      </w:r>
      <w:r>
        <w:rPr>
          <w:rFonts w:hint="default" w:ascii="Times New Roman" w:hAnsi="Times New Roman" w:eastAsia="方正仿宋_GBK" w:cs="Times New Roman"/>
          <w:color w:val="auto"/>
          <w:kern w:val="2"/>
          <w:sz w:val="32"/>
          <w:szCs w:val="32"/>
          <w:highlight w:val="none"/>
          <w:lang w:val="zh-CN" w:eastAsia="zh-CN" w:bidi="ar-SA"/>
        </w:rPr>
        <w:t>.基本支出：指为保障机构正常运转、完成日常工作任务而发生的人员支出和公用支出。</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20</w:t>
      </w:r>
      <w:r>
        <w:rPr>
          <w:rFonts w:hint="default" w:ascii="Times New Roman" w:hAnsi="Times New Roman" w:eastAsia="方正仿宋_GBK" w:cs="Times New Roman"/>
          <w:color w:val="auto"/>
          <w:kern w:val="2"/>
          <w:sz w:val="32"/>
          <w:szCs w:val="32"/>
          <w:highlight w:val="none"/>
          <w:lang w:val="zh-CN" w:eastAsia="zh-CN" w:bidi="ar-SA"/>
        </w:rPr>
        <w:t>.项目支出：指在基本支出之外为完成特定行政任务和事业发展目标所发生的支出。</w:t>
      </w:r>
    </w:p>
    <w:p>
      <w:pPr>
        <w:spacing w:beforeLines="0" w:afterLines="0" w:line="240" w:lineRule="auto"/>
        <w:ind w:firstLine="627" w:firstLineChars="196"/>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w:t>
      </w:r>
      <w:r>
        <w:rPr>
          <w:rFonts w:hint="default" w:ascii="Times New Roman" w:hAnsi="Times New Roman" w:eastAsia="方正仿宋_GBK" w:cs="Times New Roman"/>
          <w:color w:val="auto"/>
          <w:kern w:val="2"/>
          <w:sz w:val="32"/>
          <w:szCs w:val="32"/>
          <w:highlight w:val="none"/>
          <w:lang w:val="zh-CN" w:eastAsia="zh-CN" w:bidi="ar-SA"/>
        </w:rPr>
        <w:t>.经营支出：指事业单位在专业业务活动及其辅助活动之外开展非独立核算经营活动发生的支出。</w:t>
      </w:r>
    </w:p>
    <w:p>
      <w:pPr>
        <w:pStyle w:val="26"/>
        <w:spacing w:beforeLines="0" w:afterLines="0"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spacing w:beforeLines="0" w:afterLines="0" w:line="240" w:lineRule="auto"/>
        <w:ind w:firstLine="640"/>
        <w:rPr>
          <w:rFonts w:hint="default" w:ascii="Times New Roman" w:hAnsi="Times New Roman" w:eastAsia="仿宋_GB2312" w:cs="Times New Roman"/>
          <w:sz w:val="32"/>
        </w:rPr>
      </w:pPr>
      <w:r>
        <w:rPr>
          <w:rFonts w:hint="default" w:ascii="Times New Roman" w:hAnsi="Times New Roman" w:eastAsia="方正仿宋_GBK" w:cs="Times New Roman"/>
          <w:color w:val="auto"/>
          <w:kern w:val="2"/>
          <w:sz w:val="32"/>
          <w:szCs w:val="32"/>
          <w:highlight w:val="none"/>
          <w:lang w:val="en-US" w:eastAsia="zh-CN" w:bidi="ar-SA"/>
        </w:rPr>
        <w:t>23.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spacing w:line="240" w:lineRule="auto"/>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br w:type="page"/>
      </w:r>
      <w:bookmarkStart w:id="80" w:name="_Toc15396614"/>
      <w:bookmarkStart w:id="81" w:name="_Toc3833"/>
      <w:r>
        <w:rPr>
          <w:rFonts w:hint="default" w:ascii="Times New Roman" w:hAnsi="Times New Roman" w:eastAsia="方正小标宋_GBK" w:cs="Times New Roman"/>
          <w:b w:val="0"/>
          <w:sz w:val="44"/>
          <w:szCs w:val="44"/>
        </w:rPr>
        <w:t>第四部分  附件</w:t>
      </w:r>
      <w:bookmarkEnd w:id="80"/>
      <w:bookmarkEnd w:id="81"/>
    </w:p>
    <w:p>
      <w:pPr>
        <w:widowControl/>
        <w:spacing w:line="240" w:lineRule="auto"/>
        <w:contextualSpacing/>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部门预算项目支出绩效评价表（2024年度）</w:t>
      </w:r>
    </w:p>
    <w:p>
      <w:pPr>
        <w:pStyle w:val="7"/>
        <w:spacing w:line="240" w:lineRule="auto"/>
        <w:ind w:left="0" w:leftChars="0" w:firstLine="640"/>
        <w:rPr>
          <w:rFonts w:hint="default" w:ascii="Times New Roman" w:hAnsi="Times New Roman" w:eastAsia="仿宋_GB2312" w:cs="Times New Roman"/>
          <w:color w:val="0000FF"/>
          <w:kern w:val="0"/>
          <w:sz w:val="32"/>
        </w:rPr>
      </w:pPr>
    </w:p>
    <w:p>
      <w:pPr>
        <w:spacing w:line="240" w:lineRule="auto"/>
        <w:jc w:val="center"/>
        <w:rPr>
          <w:rStyle w:val="28"/>
          <w:rFonts w:hint="default" w:ascii="Times New Roman" w:hAnsi="Times New Roman" w:eastAsia="黑体" w:cs="Times New Roman"/>
          <w:b w:val="0"/>
          <w:color w:val="auto"/>
          <w:highlight w:val="none"/>
          <w:lang w:eastAsia="zh-CN"/>
        </w:rPr>
      </w:pPr>
    </w:p>
    <w:p>
      <w:pPr>
        <w:keepNext w:val="0"/>
        <w:keepLines w:val="0"/>
        <w:pageBreakBefore w:val="0"/>
        <w:kinsoku/>
        <w:wordWrap/>
        <w:overflowPunct/>
        <w:topLinePunct w:val="0"/>
        <w:autoSpaceDE/>
        <w:autoSpaceDN/>
        <w:bidi w:val="0"/>
        <w:spacing w:line="240" w:lineRule="auto"/>
        <w:jc w:val="left"/>
        <w:textAlignment w:val="auto"/>
        <w:outlineLvl w:val="0"/>
        <w:rPr>
          <w:rFonts w:hint="default" w:ascii="Times New Roman" w:hAnsi="Times New Roman" w:eastAsia="黑体" w:cs="Times New Roman"/>
          <w:color w:val="FF0000"/>
          <w:sz w:val="32"/>
          <w:szCs w:val="32"/>
          <w:highlight w:val="none"/>
        </w:rPr>
      </w:pPr>
    </w:p>
    <w:p>
      <w:pPr>
        <w:pStyle w:val="19"/>
        <w:spacing w:line="240" w:lineRule="auto"/>
        <w:rPr>
          <w:rFonts w:hint="default" w:ascii="Times New Roman" w:hAnsi="Times New Roman" w:eastAsia="黑体" w:cs="Times New Roman"/>
          <w:color w:val="FF0000"/>
          <w:sz w:val="32"/>
          <w:szCs w:val="32"/>
          <w:highlight w:val="none"/>
        </w:rPr>
      </w:pPr>
    </w:p>
    <w:p>
      <w:pPr>
        <w:spacing w:line="240" w:lineRule="auto"/>
        <w:rPr>
          <w:rFonts w:hint="default" w:ascii="Times New Roman" w:hAnsi="Times New Roman" w:eastAsia="黑体" w:cs="Times New Roman"/>
          <w:color w:val="FF0000"/>
          <w:sz w:val="32"/>
          <w:szCs w:val="32"/>
          <w:highlight w:val="none"/>
        </w:rPr>
      </w:pPr>
    </w:p>
    <w:p>
      <w:pPr>
        <w:pStyle w:val="19"/>
        <w:spacing w:line="240" w:lineRule="auto"/>
        <w:rPr>
          <w:rFonts w:hint="default" w:ascii="Times New Roman" w:hAnsi="Times New Roman" w:eastAsia="黑体" w:cs="Times New Roman"/>
          <w:color w:val="FF0000"/>
          <w:sz w:val="32"/>
          <w:szCs w:val="32"/>
          <w:highlight w:val="none"/>
        </w:rPr>
      </w:pPr>
    </w:p>
    <w:p>
      <w:pPr>
        <w:spacing w:line="240" w:lineRule="auto"/>
        <w:rPr>
          <w:rFonts w:hint="default" w:ascii="Times New Roman" w:hAnsi="Times New Roman" w:eastAsia="黑体" w:cs="Times New Roman"/>
          <w:color w:val="FF0000"/>
          <w:sz w:val="32"/>
          <w:szCs w:val="32"/>
          <w:highlight w:val="none"/>
        </w:rPr>
      </w:pPr>
    </w:p>
    <w:p>
      <w:pPr>
        <w:pStyle w:val="19"/>
        <w:spacing w:line="240" w:lineRule="auto"/>
        <w:rPr>
          <w:rFonts w:hint="default" w:ascii="Times New Roman" w:hAnsi="Times New Roman" w:eastAsia="黑体" w:cs="Times New Roman"/>
          <w:color w:val="FF0000"/>
          <w:sz w:val="32"/>
          <w:szCs w:val="32"/>
          <w:highlight w:val="none"/>
        </w:rPr>
      </w:pPr>
    </w:p>
    <w:p>
      <w:pPr>
        <w:spacing w:line="240" w:lineRule="auto"/>
        <w:rPr>
          <w:rFonts w:hint="default" w:ascii="Times New Roman" w:hAnsi="Times New Roman" w:eastAsia="黑体" w:cs="Times New Roman"/>
          <w:color w:val="FF0000"/>
          <w:sz w:val="32"/>
          <w:szCs w:val="32"/>
          <w:highlight w:val="none"/>
        </w:rPr>
      </w:pPr>
    </w:p>
    <w:p>
      <w:pPr>
        <w:pStyle w:val="19"/>
        <w:spacing w:line="240" w:lineRule="auto"/>
        <w:rPr>
          <w:rFonts w:hint="default" w:ascii="Times New Roman" w:hAnsi="Times New Roman" w:eastAsia="黑体" w:cs="Times New Roman"/>
          <w:color w:val="FF0000"/>
          <w:sz w:val="32"/>
          <w:szCs w:val="32"/>
          <w:highlight w:val="none"/>
        </w:rPr>
      </w:pPr>
    </w:p>
    <w:p>
      <w:pPr>
        <w:spacing w:line="240" w:lineRule="auto"/>
        <w:rPr>
          <w:rFonts w:hint="default" w:ascii="Times New Roman" w:hAnsi="Times New Roman" w:eastAsia="黑体" w:cs="Times New Roman"/>
          <w:color w:val="FF0000"/>
          <w:sz w:val="32"/>
          <w:szCs w:val="32"/>
          <w:highlight w:val="none"/>
        </w:rPr>
      </w:pPr>
    </w:p>
    <w:p>
      <w:pPr>
        <w:pStyle w:val="19"/>
        <w:spacing w:line="240" w:lineRule="auto"/>
        <w:rPr>
          <w:rFonts w:hint="default" w:ascii="Times New Roman" w:hAnsi="Times New Roman" w:eastAsia="黑体" w:cs="Times New Roman"/>
          <w:color w:val="FF0000"/>
          <w:sz w:val="32"/>
          <w:szCs w:val="32"/>
          <w:highlight w:val="none"/>
        </w:rPr>
      </w:pPr>
    </w:p>
    <w:p>
      <w:pPr>
        <w:spacing w:line="240" w:lineRule="auto"/>
        <w:rPr>
          <w:rFonts w:hint="default" w:ascii="Times New Roman" w:hAnsi="Times New Roman" w:eastAsia="黑体" w:cs="Times New Roman"/>
          <w:color w:val="FF0000"/>
          <w:sz w:val="32"/>
          <w:szCs w:val="32"/>
          <w:highlight w:val="none"/>
        </w:rPr>
      </w:pPr>
    </w:p>
    <w:p>
      <w:pPr>
        <w:pStyle w:val="19"/>
        <w:spacing w:line="240" w:lineRule="auto"/>
        <w:rPr>
          <w:rFonts w:hint="default" w:ascii="Times New Roman" w:hAnsi="Times New Roman" w:cs="Times New Roman"/>
        </w:rPr>
      </w:pPr>
    </w:p>
    <w:p>
      <w:pPr>
        <w:spacing w:line="240" w:lineRule="auto"/>
        <w:rPr>
          <w:rFonts w:hint="default" w:ascii="Times New Roman" w:hAnsi="Times New Roman" w:cs="Times New Roman"/>
        </w:rPr>
      </w:pPr>
    </w:p>
    <w:p>
      <w:pPr>
        <w:pStyle w:val="2"/>
        <w:spacing w:line="240" w:lineRule="auto"/>
        <w:rPr>
          <w:rFonts w:hint="default" w:ascii="Times New Roman" w:hAnsi="Times New Roman" w:cs="Times New Roman"/>
        </w:rPr>
      </w:pPr>
    </w:p>
    <w:p>
      <w:pPr>
        <w:pStyle w:val="3"/>
        <w:spacing w:line="240" w:lineRule="auto"/>
        <w:jc w:val="center"/>
        <w:rPr>
          <w:rFonts w:hint="default" w:ascii="Times New Roman" w:hAnsi="Times New Roman" w:eastAsia="仿宋_GB2312" w:cs="Times New Roman"/>
          <w:color w:val="auto"/>
          <w:sz w:val="32"/>
          <w:szCs w:val="32"/>
          <w:highlight w:val="none"/>
        </w:rPr>
      </w:pPr>
      <w:bookmarkStart w:id="82" w:name="_Toc15396618"/>
      <w:bookmarkStart w:id="83" w:name="_Toc4599"/>
      <w:r>
        <w:rPr>
          <w:rFonts w:hint="default" w:ascii="Times New Roman" w:hAnsi="Times New Roman" w:eastAsia="方正小标宋_GBK" w:cs="Times New Roman"/>
          <w:b w:val="0"/>
          <w:sz w:val="44"/>
          <w:szCs w:val="44"/>
        </w:rPr>
        <w:t>第五部分 附表</w:t>
      </w:r>
      <w:bookmarkEnd w:id="79"/>
      <w:bookmarkEnd w:id="82"/>
      <w:bookmarkEnd w:id="83"/>
      <w:bookmarkStart w:id="84" w:name="_Toc15396619"/>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5" w:name="_Toc13986"/>
      <w:r>
        <w:rPr>
          <w:rFonts w:hint="default" w:ascii="Times New Roman" w:hAnsi="Times New Roman" w:eastAsia="方正黑体_GBK" w:cs="Times New Roman"/>
          <w:b w:val="0"/>
          <w:bCs/>
          <w:kern w:val="2"/>
          <w:sz w:val="32"/>
          <w:szCs w:val="32"/>
          <w:lang w:val="en-US" w:eastAsia="zh-CN" w:bidi="ar-SA"/>
        </w:rPr>
        <w:t>一、收入支出决算总表</w:t>
      </w:r>
      <w:bookmarkEnd w:id="84"/>
      <w:bookmarkEnd w:id="85"/>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6" w:name="_Toc355"/>
      <w:bookmarkStart w:id="87" w:name="_Toc15396620"/>
      <w:r>
        <w:rPr>
          <w:rFonts w:hint="default" w:ascii="Times New Roman" w:hAnsi="Times New Roman" w:eastAsia="方正黑体_GBK" w:cs="Times New Roman"/>
          <w:b w:val="0"/>
          <w:bCs/>
          <w:kern w:val="2"/>
          <w:sz w:val="32"/>
          <w:szCs w:val="32"/>
          <w:lang w:val="en-US" w:eastAsia="zh-CN" w:bidi="ar-SA"/>
        </w:rPr>
        <w:t>二、收入决算表</w:t>
      </w:r>
      <w:bookmarkEnd w:id="86"/>
      <w:bookmarkEnd w:id="87"/>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8" w:name="_Toc15396621"/>
      <w:bookmarkStart w:id="89" w:name="_Toc29129"/>
      <w:r>
        <w:rPr>
          <w:rFonts w:hint="default" w:ascii="Times New Roman" w:hAnsi="Times New Roman" w:eastAsia="方正黑体_GBK" w:cs="Times New Roman"/>
          <w:b w:val="0"/>
          <w:bCs/>
          <w:kern w:val="2"/>
          <w:sz w:val="32"/>
          <w:szCs w:val="32"/>
          <w:lang w:val="en-US" w:eastAsia="zh-CN" w:bidi="ar-SA"/>
        </w:rPr>
        <w:t>三、支出决算表</w:t>
      </w:r>
      <w:bookmarkEnd w:id="88"/>
      <w:bookmarkEnd w:id="89"/>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0" w:name="_Toc15396622"/>
      <w:bookmarkStart w:id="91" w:name="_Toc32199"/>
      <w:r>
        <w:rPr>
          <w:rFonts w:hint="default" w:ascii="Times New Roman" w:hAnsi="Times New Roman" w:eastAsia="方正黑体_GBK" w:cs="Times New Roman"/>
          <w:b w:val="0"/>
          <w:bCs/>
          <w:kern w:val="2"/>
          <w:sz w:val="32"/>
          <w:szCs w:val="32"/>
          <w:lang w:val="en-US" w:eastAsia="zh-CN" w:bidi="ar-SA"/>
        </w:rPr>
        <w:t>四、财政拨款收入支出决算总表</w:t>
      </w:r>
      <w:bookmarkEnd w:id="90"/>
      <w:bookmarkEnd w:id="91"/>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2" w:name="_Toc15396623"/>
      <w:bookmarkStart w:id="93" w:name="_Toc5287"/>
      <w:r>
        <w:rPr>
          <w:rFonts w:hint="default" w:ascii="Times New Roman" w:hAnsi="Times New Roman" w:eastAsia="方正黑体_GBK" w:cs="Times New Roman"/>
          <w:b w:val="0"/>
          <w:bCs/>
          <w:kern w:val="2"/>
          <w:sz w:val="32"/>
          <w:szCs w:val="32"/>
          <w:lang w:val="en-US" w:eastAsia="zh-CN" w:bidi="ar-SA"/>
        </w:rPr>
        <w:t>五、财政拨款支出决算明细表</w:t>
      </w:r>
      <w:bookmarkEnd w:id="92"/>
      <w:bookmarkEnd w:id="93"/>
      <w:bookmarkStart w:id="94" w:name="_Toc15396624"/>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5" w:name="_Toc26665"/>
      <w:r>
        <w:rPr>
          <w:rFonts w:hint="default" w:ascii="Times New Roman" w:hAnsi="Times New Roman" w:eastAsia="方正黑体_GBK" w:cs="Times New Roman"/>
          <w:b w:val="0"/>
          <w:bCs/>
          <w:kern w:val="2"/>
          <w:sz w:val="32"/>
          <w:szCs w:val="32"/>
          <w:lang w:val="en-US" w:eastAsia="zh-CN" w:bidi="ar-SA"/>
        </w:rPr>
        <w:t>六、一般公共预算财政拨款支出决算表</w:t>
      </w:r>
      <w:bookmarkEnd w:id="94"/>
      <w:bookmarkEnd w:id="95"/>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6" w:name="_Toc2866"/>
      <w:bookmarkStart w:id="97" w:name="_Toc15396625"/>
      <w:r>
        <w:rPr>
          <w:rFonts w:hint="default" w:ascii="Times New Roman" w:hAnsi="Times New Roman" w:eastAsia="方正黑体_GBK" w:cs="Times New Roman"/>
          <w:b w:val="0"/>
          <w:bCs/>
          <w:kern w:val="2"/>
          <w:sz w:val="32"/>
          <w:szCs w:val="32"/>
          <w:lang w:val="en-US" w:eastAsia="zh-CN" w:bidi="ar-SA"/>
        </w:rPr>
        <w:t>七、一般公共预算财政拨款支出决算明细表</w:t>
      </w:r>
      <w:bookmarkEnd w:id="96"/>
      <w:bookmarkEnd w:id="97"/>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8" w:name="_Toc15396626"/>
      <w:bookmarkStart w:id="99" w:name="_Toc22429"/>
      <w:r>
        <w:rPr>
          <w:rFonts w:hint="default" w:ascii="Times New Roman" w:hAnsi="Times New Roman" w:eastAsia="方正黑体_GBK" w:cs="Times New Roman"/>
          <w:b w:val="0"/>
          <w:bCs/>
          <w:kern w:val="2"/>
          <w:sz w:val="32"/>
          <w:szCs w:val="32"/>
          <w:lang w:val="en-US" w:eastAsia="zh-CN" w:bidi="ar-SA"/>
        </w:rPr>
        <w:t>八、一般公共预算财政拨款基本支出决算表</w:t>
      </w:r>
      <w:bookmarkEnd w:id="98"/>
      <w:bookmarkEnd w:id="99"/>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0" w:name="_Toc26423"/>
      <w:bookmarkStart w:id="101" w:name="_Toc15396627"/>
      <w:r>
        <w:rPr>
          <w:rFonts w:hint="default" w:ascii="Times New Roman" w:hAnsi="Times New Roman" w:eastAsia="方正黑体_GBK" w:cs="Times New Roman"/>
          <w:b w:val="0"/>
          <w:bCs/>
          <w:kern w:val="2"/>
          <w:sz w:val="32"/>
          <w:szCs w:val="32"/>
          <w:lang w:val="en-US" w:eastAsia="zh-CN" w:bidi="ar-SA"/>
        </w:rPr>
        <w:t>九、一般公共预算财政拨款项目支出决算表</w:t>
      </w:r>
      <w:bookmarkEnd w:id="100"/>
      <w:bookmarkEnd w:id="101"/>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2" w:name="_Toc15396628"/>
      <w:bookmarkStart w:id="103" w:name="_Toc22916"/>
      <w:r>
        <w:rPr>
          <w:rFonts w:hint="default" w:ascii="Times New Roman" w:hAnsi="Times New Roman" w:eastAsia="方正黑体_GBK" w:cs="Times New Roman"/>
          <w:b w:val="0"/>
          <w:bCs/>
          <w:kern w:val="2"/>
          <w:sz w:val="32"/>
          <w:szCs w:val="32"/>
          <w:lang w:val="en-US" w:eastAsia="zh-CN" w:bidi="ar-SA"/>
        </w:rPr>
        <w:t>十、</w:t>
      </w:r>
      <w:bookmarkEnd w:id="102"/>
      <w:r>
        <w:rPr>
          <w:rFonts w:hint="default" w:ascii="Times New Roman" w:hAnsi="Times New Roman" w:eastAsia="方正黑体_GBK" w:cs="Times New Roman"/>
          <w:b w:val="0"/>
          <w:bCs/>
          <w:kern w:val="2"/>
          <w:sz w:val="32"/>
          <w:szCs w:val="32"/>
          <w:lang w:val="en-US" w:eastAsia="zh-CN" w:bidi="ar-SA"/>
        </w:rPr>
        <w:t>政府性基金预算财政拨款收入支出决算表</w:t>
      </w:r>
      <w:bookmarkEnd w:id="103"/>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4" w:name="_Toc15396629"/>
      <w:bookmarkStart w:id="105" w:name="_Toc24635"/>
      <w:r>
        <w:rPr>
          <w:rFonts w:hint="default" w:ascii="Times New Roman" w:hAnsi="Times New Roman" w:eastAsia="方正黑体_GBK" w:cs="Times New Roman"/>
          <w:b w:val="0"/>
          <w:bCs/>
          <w:kern w:val="2"/>
          <w:sz w:val="32"/>
          <w:szCs w:val="32"/>
          <w:lang w:val="en-US" w:eastAsia="zh-CN" w:bidi="ar-SA"/>
        </w:rPr>
        <w:t>十一、</w:t>
      </w:r>
      <w:bookmarkEnd w:id="104"/>
      <w:r>
        <w:rPr>
          <w:rFonts w:hint="default" w:ascii="Times New Roman" w:hAnsi="Times New Roman" w:eastAsia="方正黑体_GBK" w:cs="Times New Roman"/>
          <w:b w:val="0"/>
          <w:bCs/>
          <w:kern w:val="2"/>
          <w:sz w:val="32"/>
          <w:szCs w:val="32"/>
          <w:lang w:val="en-US" w:eastAsia="zh-CN" w:bidi="ar-SA"/>
        </w:rPr>
        <w:t>国有资本经营预算财政拨款收入支出决算表</w:t>
      </w:r>
      <w:bookmarkEnd w:id="105"/>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6" w:name="_Toc15396630"/>
      <w:bookmarkStart w:id="107" w:name="_Toc12397"/>
      <w:r>
        <w:rPr>
          <w:rFonts w:hint="default" w:ascii="Times New Roman" w:hAnsi="Times New Roman" w:eastAsia="方正黑体_GBK" w:cs="Times New Roman"/>
          <w:b w:val="0"/>
          <w:bCs/>
          <w:kern w:val="2"/>
          <w:sz w:val="32"/>
          <w:szCs w:val="32"/>
          <w:lang w:val="en-US" w:eastAsia="zh-CN" w:bidi="ar-SA"/>
        </w:rPr>
        <w:t>十二、</w:t>
      </w:r>
      <w:bookmarkEnd w:id="106"/>
      <w:r>
        <w:rPr>
          <w:rFonts w:hint="default" w:ascii="Times New Roman" w:hAnsi="Times New Roman" w:eastAsia="方正黑体_GBK" w:cs="Times New Roman"/>
          <w:b w:val="0"/>
          <w:bCs/>
          <w:kern w:val="2"/>
          <w:sz w:val="32"/>
          <w:szCs w:val="32"/>
          <w:lang w:val="en-US" w:eastAsia="zh-CN" w:bidi="ar-SA"/>
        </w:rPr>
        <w:t>国有资本经营预算财政拨款支出决算表</w:t>
      </w:r>
      <w:bookmarkEnd w:id="107"/>
    </w:p>
    <w:p>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8" w:name="_Toc15396631"/>
      <w:bookmarkStart w:id="109" w:name="_Toc23361"/>
      <w:r>
        <w:rPr>
          <w:rFonts w:hint="default" w:ascii="Times New Roman" w:hAnsi="Times New Roman" w:eastAsia="方正黑体_GBK" w:cs="Times New Roman"/>
          <w:b w:val="0"/>
          <w:bCs/>
          <w:kern w:val="2"/>
          <w:sz w:val="32"/>
          <w:szCs w:val="32"/>
          <w:lang w:val="en-US" w:eastAsia="zh-CN" w:bidi="ar-SA"/>
        </w:rPr>
        <w:t>十三、</w:t>
      </w:r>
      <w:bookmarkEnd w:id="108"/>
      <w:r>
        <w:rPr>
          <w:rFonts w:hint="default" w:ascii="Times New Roman" w:hAnsi="Times New Roman" w:eastAsia="方正黑体_GBK" w:cs="Times New Roman"/>
          <w:b w:val="0"/>
          <w:bCs/>
          <w:kern w:val="2"/>
          <w:sz w:val="32"/>
          <w:szCs w:val="32"/>
          <w:lang w:val="en-US" w:eastAsia="zh-CN" w:bidi="ar-SA"/>
        </w:rPr>
        <w:t>财政拨款“三公”经费支出决算表</w:t>
      </w:r>
      <w:bookmarkEnd w:id="109"/>
    </w:p>
    <w:p>
      <w:pPr>
        <w:rPr>
          <w:rFonts w:hint="default" w:ascii="Times New Roman" w:hAnsi="Times New Roman" w:cs="Times New Roman"/>
          <w:lang w:eastAsia="zh-CN"/>
        </w:rPr>
      </w:pPr>
    </w:p>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F20E958-B494-4A2D-9D7C-4FCC73C589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5ED4410-EBEE-4BB9-807F-DD2E59A3D26D}"/>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3" w:fontKey="{E6AA394F-B6CB-4510-BA04-F78E2000E4B8}"/>
  </w:font>
  <w:font w:name="方正黑体_GBK">
    <w:panose1 w:val="03000509000000000000"/>
    <w:charset w:val="86"/>
    <w:family w:val="auto"/>
    <w:pitch w:val="default"/>
    <w:sig w:usb0="00000001" w:usb1="080E0000" w:usb2="00000000" w:usb3="00000000" w:csb0="00040000" w:csb1="00000000"/>
    <w:embedRegular r:id="rId4" w:fontKey="{17B55206-07D8-4950-860E-873A3BA67731}"/>
  </w:font>
  <w:font w:name="方正仿宋_GBK">
    <w:panose1 w:val="03000509000000000000"/>
    <w:charset w:val="86"/>
    <w:family w:val="auto"/>
    <w:pitch w:val="default"/>
    <w:sig w:usb0="00000001" w:usb1="080E0000" w:usb2="00000000" w:usb3="00000000" w:csb0="00040000" w:csb1="00000000"/>
    <w:embedRegular r:id="rId5" w:fontKey="{F3B7991B-C126-4437-B9F2-FFD1D720F83F}"/>
  </w:font>
  <w:font w:name="方正小标宋_GBK">
    <w:panose1 w:val="03000509000000000000"/>
    <w:charset w:val="86"/>
    <w:family w:val="auto"/>
    <w:pitch w:val="default"/>
    <w:sig w:usb0="00000001" w:usb1="080E0000" w:usb2="00000000" w:usb3="00000000" w:csb0="00040000" w:csb1="00000000"/>
    <w:embedRegular r:id="rId6" w:fontKey="{1A073C78-9C4F-4BCD-80E9-602F6D84D12F}"/>
  </w:font>
  <w:font w:name="方正楷体_GBK">
    <w:panose1 w:val="03000509000000000000"/>
    <w:charset w:val="86"/>
    <w:family w:val="auto"/>
    <w:pitch w:val="default"/>
    <w:sig w:usb0="00000001" w:usb1="080E0000" w:usb2="00000000" w:usb3="00000000" w:csb0="00040000" w:csb1="00000000"/>
    <w:embedRegular r:id="rId7" w:fontKey="{FEBAEF65-AD28-4EF3-BB44-D6DE564A0C6A}"/>
  </w:font>
  <w:font w:name="楷体_GB2312">
    <w:panose1 w:val="02010609030101010101"/>
    <w:charset w:val="86"/>
    <w:family w:val="auto"/>
    <w:pitch w:val="default"/>
    <w:sig w:usb0="00000001" w:usb1="080E0000" w:usb2="00000000" w:usb3="00000000" w:csb0="00040000" w:csb1="00000000"/>
    <w:embedRegular r:id="rId8" w:fontKey="{80E7D19C-888F-40EE-A9B5-5DC2A88BEF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C46D5A"/>
    <w:rsid w:val="061E35DE"/>
    <w:rsid w:val="066E0107"/>
    <w:rsid w:val="069468A4"/>
    <w:rsid w:val="07996F6E"/>
    <w:rsid w:val="07DFD8BA"/>
    <w:rsid w:val="09867E8F"/>
    <w:rsid w:val="0A2032A3"/>
    <w:rsid w:val="0CA8290A"/>
    <w:rsid w:val="0CBE467B"/>
    <w:rsid w:val="0D35B1ED"/>
    <w:rsid w:val="0E254B6B"/>
    <w:rsid w:val="0E2D5254"/>
    <w:rsid w:val="0F98263C"/>
    <w:rsid w:val="101860EC"/>
    <w:rsid w:val="101F47CC"/>
    <w:rsid w:val="10C055FF"/>
    <w:rsid w:val="11694EBD"/>
    <w:rsid w:val="11772AA4"/>
    <w:rsid w:val="118107EC"/>
    <w:rsid w:val="12E24EE2"/>
    <w:rsid w:val="13D50BC4"/>
    <w:rsid w:val="14B17F78"/>
    <w:rsid w:val="165E0673"/>
    <w:rsid w:val="16B831D5"/>
    <w:rsid w:val="16BB723D"/>
    <w:rsid w:val="17E50567"/>
    <w:rsid w:val="17F567A2"/>
    <w:rsid w:val="186504BB"/>
    <w:rsid w:val="19A445FC"/>
    <w:rsid w:val="1AA127CB"/>
    <w:rsid w:val="1BE8440E"/>
    <w:rsid w:val="1D155CEE"/>
    <w:rsid w:val="1D1638FE"/>
    <w:rsid w:val="1E312DEB"/>
    <w:rsid w:val="1E740ACF"/>
    <w:rsid w:val="1FF35744"/>
    <w:rsid w:val="1FF6BC77"/>
    <w:rsid w:val="1FFC1422"/>
    <w:rsid w:val="2186353C"/>
    <w:rsid w:val="23860B96"/>
    <w:rsid w:val="240371BF"/>
    <w:rsid w:val="244F3473"/>
    <w:rsid w:val="24BC556E"/>
    <w:rsid w:val="24C97D99"/>
    <w:rsid w:val="25A718F0"/>
    <w:rsid w:val="25BB59F6"/>
    <w:rsid w:val="260F557C"/>
    <w:rsid w:val="26970054"/>
    <w:rsid w:val="279A48E3"/>
    <w:rsid w:val="281408E2"/>
    <w:rsid w:val="29D3568D"/>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623C01"/>
    <w:rsid w:val="349D6851"/>
    <w:rsid w:val="36AA5135"/>
    <w:rsid w:val="36BE0DA7"/>
    <w:rsid w:val="376B6AA6"/>
    <w:rsid w:val="376D39B2"/>
    <w:rsid w:val="37E16F03"/>
    <w:rsid w:val="37F53A3B"/>
    <w:rsid w:val="389B6C89"/>
    <w:rsid w:val="38A64241"/>
    <w:rsid w:val="38D469F0"/>
    <w:rsid w:val="39627CCD"/>
    <w:rsid w:val="397BAF1F"/>
    <w:rsid w:val="3AB79AF3"/>
    <w:rsid w:val="3AE834C0"/>
    <w:rsid w:val="3B7EF35A"/>
    <w:rsid w:val="3B9FDB6C"/>
    <w:rsid w:val="3BF5BC2F"/>
    <w:rsid w:val="3CEBA265"/>
    <w:rsid w:val="3D6C1E8B"/>
    <w:rsid w:val="3D98207C"/>
    <w:rsid w:val="3DEE7CF3"/>
    <w:rsid w:val="3E740A63"/>
    <w:rsid w:val="3E78745D"/>
    <w:rsid w:val="3EE17838"/>
    <w:rsid w:val="3F55381A"/>
    <w:rsid w:val="3F7F7599"/>
    <w:rsid w:val="3FF4CAE0"/>
    <w:rsid w:val="3FF7B227"/>
    <w:rsid w:val="44E268DA"/>
    <w:rsid w:val="44F41907"/>
    <w:rsid w:val="450D13D7"/>
    <w:rsid w:val="45506656"/>
    <w:rsid w:val="486A6C7A"/>
    <w:rsid w:val="498C6CF8"/>
    <w:rsid w:val="4A627F82"/>
    <w:rsid w:val="4B030437"/>
    <w:rsid w:val="4B0E749A"/>
    <w:rsid w:val="4B2477C4"/>
    <w:rsid w:val="4B4F25DA"/>
    <w:rsid w:val="4BE068DB"/>
    <w:rsid w:val="4D577224"/>
    <w:rsid w:val="4DBF1CEB"/>
    <w:rsid w:val="4DF0007C"/>
    <w:rsid w:val="4EAB630A"/>
    <w:rsid w:val="4ECE2238"/>
    <w:rsid w:val="4F3D2C02"/>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055CE"/>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F50214"/>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9964C0"/>
    <w:rsid w:val="77A75DCA"/>
    <w:rsid w:val="77DC22F5"/>
    <w:rsid w:val="783E271A"/>
    <w:rsid w:val="78616DE9"/>
    <w:rsid w:val="78E875D7"/>
    <w:rsid w:val="79086DAD"/>
    <w:rsid w:val="79702BE3"/>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0.00_);\(0.00\)</c:formatCode>
                <c:ptCount val="2"/>
                <c:pt idx="0">
                  <c:v>1173.9</c:v>
                </c:pt>
                <c:pt idx="1">
                  <c:v>1173.9</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865.14</c:v>
                </c:pt>
                <c:pt idx="1">
                  <c:v>865.14</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[图表.xlsx]Sheet1!$B$25:$B$26</c:f>
              <c:strCache>
                <c:ptCount val="2"/>
                <c:pt idx="0">
                  <c:v>一般公共预算财政拨款收入</c:v>
                </c:pt>
              </c:strCache>
            </c:strRef>
          </c:cat>
          <c:val>
            <c:numRef>
              <c:f>[图表.xlsx]Sheet1!$C$25:$C$26</c:f>
              <c:numCache>
                <c:formatCode>General</c:formatCode>
                <c:ptCount val="2"/>
                <c:pt idx="0">
                  <c:v>865.14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支出决算结构图（单位：万元）</a:t>
            </a:r>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[图表.xlsx]Sheet1!$B$44:$B$45</c:f>
              <c:strCache>
                <c:ptCount val="2"/>
                <c:pt idx="0">
                  <c:v>基本支出</c:v>
                </c:pt>
                <c:pt idx="1">
                  <c:v>项目支出</c:v>
                </c:pt>
              </c:strCache>
            </c:strRef>
          </c:cat>
          <c:val>
            <c:numRef>
              <c:f>[图表.xlsx]Sheet1!$C$44:$C$45</c:f>
              <c:numCache>
                <c:formatCode>General</c:formatCode>
                <c:ptCount val="2"/>
                <c:pt idx="0">
                  <c:v>820.97</c:v>
                </c:pt>
                <c:pt idx="1">
                  <c:v>44.17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0.00_);\(0.00\)</c:formatCode>
                <c:ptCount val="2"/>
                <c:pt idx="0">
                  <c:v>1173.9</c:v>
                </c:pt>
                <c:pt idx="1">
                  <c:v>1173.9</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865.14</c:v>
                </c:pt>
                <c:pt idx="1">
                  <c:v>865.14</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sz="1200"/>
          </a:p>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overlay val="0"/>
      <c:spPr>
        <a:noFill/>
        <a:ln>
          <a:noFill/>
        </a:ln>
        <a:effectLst/>
      </c:spPr>
    </c:title>
    <c:autoTitleDeleted val="0"/>
    <c:plotArea>
      <c:layout/>
      <c:barChart>
        <c:barDir val="col"/>
        <c:grouping val="stacked"/>
        <c:varyColors val="0"/>
        <c:ser>
          <c:idx val="0"/>
          <c:order val="0"/>
          <c:tx>
            <c:strRef>
              <c:f>[图表.xlsx]Sheet1!$C$68</c:f>
              <c:strCache>
                <c:ptCount val="1"/>
                <c:pt idx="0">
                  <c:v>一般公共预算财政拨款支出决算总体情况（单位：万元）</c:v>
                </c:pt>
              </c:strCache>
            </c:strRef>
          </c:tx>
          <c:spPr>
            <a:solidFill>
              <a:schemeClr val="accent1"/>
            </a:solidFill>
            <a:ln>
              <a:noFill/>
            </a:ln>
            <a:effectLst/>
          </c:spPr>
          <c:invertIfNegative val="0"/>
          <c:dLbls>
            <c:dLbl>
              <c:idx val="0"/>
              <c:layout>
                <c:manualLayout>
                  <c:x val="0.00221068399084422"/>
                  <c:y val="-0.39189924378434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4700866208876"/>
                  <c:y val="-0.29745842627350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[图表.xlsx]Sheet1!$B$69:$B$70</c:f>
              <c:strCache>
                <c:ptCount val="2"/>
                <c:pt idx="0">
                  <c:v>2023年</c:v>
                </c:pt>
                <c:pt idx="1">
                  <c:v>2024年</c:v>
                </c:pt>
              </c:strCache>
            </c:strRef>
          </c:cat>
          <c:val>
            <c:numRef>
              <c:f>[图表.xlsx]Sheet1!$C$69:$C$70</c:f>
              <c:numCache>
                <c:formatCode>0.00_);\(0.00\)</c:formatCode>
                <c:ptCount val="2"/>
                <c:pt idx="0">
                  <c:v>1173.9</c:v>
                </c:pt>
                <c:pt idx="1" c:formatCode="General">
                  <c:v>865.14</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一般公共预算财政拨款支出决算结构（单位：万元）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0939429839624547"/>
                  <c:y val="0.02934054826200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[图表.xlsx]Sheet1!$B$168:$B$171</c:f>
              <c:strCache>
                <c:ptCount val="4"/>
                <c:pt idx="0">
                  <c:v>教育支出</c:v>
                </c:pt>
                <c:pt idx="1">
                  <c:v>社会保障和就业支出</c:v>
                </c:pt>
                <c:pt idx="2">
                  <c:v>卫生健康支出</c:v>
                </c:pt>
                <c:pt idx="3">
                  <c:v>住房保障支出</c:v>
                </c:pt>
              </c:strCache>
            </c:strRef>
          </c:cat>
          <c:val>
            <c:numRef>
              <c:f>[图表.xlsx]Sheet1!$C$168:$C$171</c:f>
              <c:numCache>
                <c:formatCode>General</c:formatCode>
                <c:ptCount val="4"/>
                <c:pt idx="0">
                  <c:v>613.92</c:v>
                </c:pt>
                <c:pt idx="1">
                  <c:v>136.59</c:v>
                </c:pt>
                <c:pt idx="2">
                  <c:v>58.84</c:v>
                </c:pt>
                <c:pt idx="3">
                  <c:v>55.79</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5108</Words>
  <Characters>5599</Characters>
  <Lines>61</Lines>
  <Paragraphs>17</Paragraphs>
  <TotalTime>27</TotalTime>
  <ScaleCrop>false</ScaleCrop>
  <LinksUpToDate>false</LinksUpToDate>
  <CharactersWithSpaces>5655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2025-10-22T03:05:00Z</cp:lastPrinted>
  <dcterms:modified xsi:type="dcterms:W3CDTF">2025-10-28T02:58:22Z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88F6E6D00CAB499486575E5B0A519D46_13</vt:lpwstr>
  </property>
  <property fmtid="{D5CDD505-2E9C-101B-9397-08002B2CF9AE}" pid="4" name="KSOTemplateDocerSaveRecord">
    <vt:lpwstr>eyJoZGlkIjoiOGI1MTY4OTk2MzU4ZjdhYmQwMDg0OWY0ZTk2N2ZkOTAiLCJ1c2VySWQiOiI2NjE3NzA3MDEifQ==</vt:lpwstr>
  </property>
</Properties>
</file>