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35115">
      <w:pPr>
        <w:pStyle w:val="6"/>
        <w:spacing w:before="93"/>
        <w:rPr>
          <w:rFonts w:hint="eastAsia" w:ascii="Times New Roman" w:eastAsia="方正小标宋简体"/>
          <w:kern w:val="2"/>
          <w:sz w:val="72"/>
          <w:szCs w:val="72"/>
        </w:rPr>
      </w:pPr>
      <w:bookmarkStart w:id="0" w:name="_Toc15377425"/>
      <w:bookmarkStart w:id="1" w:name="_Toc15378441"/>
      <w:bookmarkStart w:id="2" w:name="_Toc15306267"/>
      <w:bookmarkStart w:id="3" w:name="_Toc15377193"/>
      <w:bookmarkStart w:id="4" w:name="_Toc15396475"/>
      <w:bookmarkStart w:id="5" w:name="_Toc15396597"/>
    </w:p>
    <w:p w14:paraId="55AAF265">
      <w:pPr>
        <w:pStyle w:val="6"/>
        <w:spacing w:before="93"/>
        <w:rPr>
          <w:rFonts w:ascii="Times New Roman" w:eastAsia="方正小标宋简体"/>
          <w:kern w:val="2"/>
          <w:sz w:val="72"/>
          <w:szCs w:val="72"/>
        </w:rPr>
      </w:pPr>
    </w:p>
    <w:p w14:paraId="0D3C7BC7">
      <w:pPr>
        <w:pStyle w:val="6"/>
        <w:spacing w:before="93"/>
        <w:rPr>
          <w:rFonts w:ascii="Times New Roman" w:eastAsia="方正小标宋简体"/>
          <w:kern w:val="2"/>
          <w:sz w:val="72"/>
          <w:szCs w:val="72"/>
        </w:rPr>
      </w:pPr>
    </w:p>
    <w:p w14:paraId="04BB4CEC">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78AB7496">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盐边县人民政府办公室</w:t>
      </w:r>
    </w:p>
    <w:p w14:paraId="4AC21488">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单位决算公开编制说明</w:t>
      </w:r>
    </w:p>
    <w:p w14:paraId="1CE6089F">
      <w:pPr>
        <w:spacing w:line="600" w:lineRule="exact"/>
        <w:jc w:val="center"/>
        <w:outlineLvl w:val="0"/>
        <w:rPr>
          <w:rFonts w:eastAsia="方正小标宋简体"/>
          <w:sz w:val="72"/>
          <w:szCs w:val="72"/>
        </w:rPr>
      </w:pPr>
    </w:p>
    <w:p w14:paraId="1D26D4A4">
      <w:pPr>
        <w:pStyle w:val="20"/>
        <w:rPr>
          <w:rFonts w:ascii="Times New Roman" w:hAnsi="Times New Roman"/>
        </w:rPr>
        <w:sectPr>
          <w:headerReference r:id="rId3" w:type="default"/>
          <w:footerReference r:id="rId4" w:type="default"/>
          <w:pgSz w:w="11906" w:h="16838"/>
          <w:pgMar w:top="2098" w:right="1474" w:bottom="1984" w:left="1587" w:header="907" w:footer="1644" w:gutter="0"/>
          <w:pgNumType w:start="1"/>
          <w:cols w:space="0" w:num="1"/>
          <w:titlePg/>
          <w:docGrid w:type="lines" w:linePitch="312" w:charSpace="0"/>
        </w:sectPr>
      </w:pPr>
    </w:p>
    <w:bookmarkEnd w:id="0"/>
    <w:bookmarkEnd w:id="1"/>
    <w:bookmarkEnd w:id="2"/>
    <w:bookmarkEnd w:id="3"/>
    <w:bookmarkEnd w:id="4"/>
    <w:bookmarkEnd w:id="5"/>
    <w:p w14:paraId="7F1078DC">
      <w:pPr>
        <w:widowControl/>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目   录</w:t>
      </w:r>
    </w:p>
    <w:p w14:paraId="7B0EAAD9">
      <w:pPr>
        <w:widowControl/>
        <w:jc w:val="center"/>
        <w:rPr>
          <w:rFonts w:eastAsia="黑体" w:cstheme="minorBidi"/>
          <w:sz w:val="28"/>
          <w:szCs w:val="28"/>
        </w:rPr>
      </w:pPr>
    </w:p>
    <w:p w14:paraId="17AE1E8B">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公开时间：2025年10月28日</w:t>
      </w:r>
    </w:p>
    <w:p w14:paraId="009DC5F5">
      <w:pPr>
        <w:rPr>
          <w:sz w:val="28"/>
          <w:szCs w:val="28"/>
        </w:rPr>
      </w:pPr>
    </w:p>
    <w:p w14:paraId="39182A0E">
      <w:pPr>
        <w:pStyle w:val="13"/>
        <w:adjustRightInd w:val="0"/>
        <w:snapToGrid w:val="0"/>
        <w:spacing w:before="0" w:line="560" w:lineRule="exact"/>
        <w:jc w:val="right"/>
        <w:rPr>
          <w:rFonts w:ascii="Times New Roman" w:hAnsi="Times New Roman" w:eastAsia="方正仿宋_GBK"/>
          <w:sz w:val="32"/>
          <w:szCs w:val="32"/>
        </w:rPr>
      </w:pPr>
      <w:r>
        <w:rPr>
          <w:rFonts w:ascii="Times New Roman" w:hAnsi="Times New Roman" w:eastAsia="方正仿宋_GBK"/>
          <w:b/>
          <w:bCs/>
          <w:sz w:val="32"/>
          <w:szCs w:val="32"/>
        </w:rPr>
        <w:t>第一部分 单位概况</w:t>
      </w:r>
      <w:r>
        <w:rPr>
          <w:rFonts w:hint="eastAsia" w:ascii="Times New Roman" w:hAnsi="Times New Roman" w:eastAsia="方正仿宋_GBK"/>
          <w:sz w:val="32"/>
          <w:szCs w:val="32"/>
        </w:rPr>
        <w:t>……………………………………………</w:t>
      </w:r>
      <w:r>
        <w:rPr>
          <w:rFonts w:ascii="Times New Roman" w:hAnsi="Times New Roman" w:eastAsia="方正仿宋_GBK"/>
          <w:sz w:val="32"/>
          <w:szCs w:val="32"/>
        </w:rPr>
        <w:t>（1）</w:t>
      </w:r>
    </w:p>
    <w:p w14:paraId="490E8113">
      <w:pPr>
        <w:pStyle w:val="15"/>
        <w:adjustRightInd w:val="0"/>
        <w:snapToGrid w:val="0"/>
        <w:spacing w:line="560" w:lineRule="exact"/>
        <w:ind w:left="0" w:leftChars="0" w:firstLine="640" w:firstLineChars="200"/>
        <w:jc w:val="right"/>
        <w:rPr>
          <w:rFonts w:eastAsia="方正仿宋_GBK"/>
          <w:sz w:val="32"/>
          <w:szCs w:val="32"/>
        </w:rPr>
      </w:pPr>
      <w:r>
        <w:rPr>
          <w:rFonts w:eastAsia="方正仿宋_GBK"/>
          <w:sz w:val="32"/>
          <w:szCs w:val="32"/>
        </w:rPr>
        <w:t>一、主要职责</w:t>
      </w:r>
      <w:r>
        <w:rPr>
          <w:rFonts w:hint="eastAsia" w:eastAsia="方正仿宋_GBK"/>
          <w:sz w:val="32"/>
          <w:szCs w:val="32"/>
        </w:rPr>
        <w:t>………………………………………………</w:t>
      </w:r>
      <w:r>
        <w:rPr>
          <w:rFonts w:eastAsia="方正仿宋_GBK"/>
          <w:sz w:val="32"/>
          <w:szCs w:val="32"/>
        </w:rPr>
        <w:t>（1）</w:t>
      </w:r>
    </w:p>
    <w:p w14:paraId="7375207C">
      <w:pPr>
        <w:pStyle w:val="15"/>
        <w:adjustRightInd w:val="0"/>
        <w:snapToGrid w:val="0"/>
        <w:spacing w:line="560" w:lineRule="exact"/>
        <w:ind w:left="0" w:leftChars="0" w:firstLine="640" w:firstLineChars="200"/>
        <w:jc w:val="right"/>
        <w:rPr>
          <w:rFonts w:eastAsia="方正仿宋_GBK"/>
          <w:sz w:val="32"/>
          <w:szCs w:val="32"/>
        </w:rPr>
      </w:pPr>
      <w:r>
        <w:rPr>
          <w:rFonts w:eastAsia="方正仿宋_GBK"/>
          <w:sz w:val="32"/>
          <w:szCs w:val="32"/>
        </w:rPr>
        <w:t>二、机构设置</w:t>
      </w:r>
      <w:r>
        <w:rPr>
          <w:rFonts w:hint="eastAsia" w:eastAsia="方正仿宋_GBK"/>
          <w:sz w:val="32"/>
          <w:szCs w:val="32"/>
        </w:rPr>
        <w:t>………………………………………………</w:t>
      </w:r>
      <w:r>
        <w:rPr>
          <w:rFonts w:eastAsia="方正仿宋_GBK"/>
          <w:sz w:val="32"/>
          <w:szCs w:val="32"/>
        </w:rPr>
        <w:t>（3）</w:t>
      </w:r>
    </w:p>
    <w:p w14:paraId="5BD1FB49">
      <w:pPr>
        <w:pStyle w:val="13"/>
        <w:adjustRightInd w:val="0"/>
        <w:snapToGrid w:val="0"/>
        <w:spacing w:before="0" w:line="560" w:lineRule="exact"/>
        <w:jc w:val="right"/>
        <w:rPr>
          <w:rFonts w:ascii="Times New Roman" w:hAnsi="Times New Roman" w:eastAsia="方正仿宋_GBK"/>
          <w:sz w:val="32"/>
          <w:szCs w:val="32"/>
        </w:rPr>
      </w:pPr>
      <w:r>
        <w:rPr>
          <w:rFonts w:ascii="Times New Roman" w:hAnsi="Times New Roman" w:eastAsia="方正仿宋_GBK"/>
          <w:b/>
          <w:bCs/>
          <w:sz w:val="32"/>
          <w:szCs w:val="32"/>
        </w:rPr>
        <w:t>第二部分 2024年度部门决算情况说明</w:t>
      </w:r>
      <w:r>
        <w:rPr>
          <w:rFonts w:hint="eastAsia" w:ascii="Times New Roman" w:hAnsi="Times New Roman" w:eastAsia="方正仿宋_GBK"/>
          <w:sz w:val="32"/>
          <w:szCs w:val="32"/>
        </w:rPr>
        <w:t>………………………</w:t>
      </w:r>
      <w:r>
        <w:rPr>
          <w:rFonts w:ascii="Times New Roman" w:hAnsi="Times New Roman" w:eastAsia="方正仿宋_GBK"/>
          <w:sz w:val="32"/>
          <w:szCs w:val="32"/>
        </w:rPr>
        <w:t>（4）</w:t>
      </w:r>
    </w:p>
    <w:p w14:paraId="16711206">
      <w:pPr>
        <w:pStyle w:val="15"/>
        <w:adjustRightInd w:val="0"/>
        <w:snapToGrid w:val="0"/>
        <w:spacing w:line="560" w:lineRule="exact"/>
        <w:ind w:left="0" w:leftChars="0" w:firstLine="640" w:firstLineChars="200"/>
        <w:jc w:val="right"/>
        <w:rPr>
          <w:rFonts w:eastAsia="方正仿宋_GBK"/>
          <w:sz w:val="32"/>
          <w:szCs w:val="32"/>
        </w:rPr>
      </w:pPr>
      <w:r>
        <w:rPr>
          <w:rFonts w:eastAsia="方正仿宋_GBK"/>
          <w:sz w:val="32"/>
          <w:szCs w:val="32"/>
        </w:rPr>
        <w:t>一、收入支出决算总体情况说明</w:t>
      </w:r>
      <w:r>
        <w:rPr>
          <w:rFonts w:hint="eastAsia" w:eastAsia="方正仿宋_GBK"/>
          <w:sz w:val="32"/>
          <w:szCs w:val="32"/>
        </w:rPr>
        <w:t>…………………………</w:t>
      </w:r>
      <w:r>
        <w:rPr>
          <w:rFonts w:eastAsia="方正仿宋_GBK"/>
          <w:sz w:val="32"/>
          <w:szCs w:val="32"/>
        </w:rPr>
        <w:t>（4）</w:t>
      </w:r>
    </w:p>
    <w:p w14:paraId="0C4094AA">
      <w:pPr>
        <w:pStyle w:val="15"/>
        <w:adjustRightInd w:val="0"/>
        <w:snapToGrid w:val="0"/>
        <w:spacing w:line="560" w:lineRule="exact"/>
        <w:ind w:left="0" w:leftChars="0" w:firstLine="640" w:firstLineChars="200"/>
        <w:jc w:val="right"/>
        <w:rPr>
          <w:rFonts w:eastAsia="方正仿宋_GBK"/>
          <w:sz w:val="32"/>
          <w:szCs w:val="32"/>
        </w:rPr>
      </w:pPr>
      <w:r>
        <w:rPr>
          <w:rFonts w:eastAsia="方正仿宋_GBK"/>
          <w:sz w:val="32"/>
          <w:szCs w:val="32"/>
        </w:rPr>
        <w:t>二、收入决算情况说明</w:t>
      </w:r>
      <w:r>
        <w:rPr>
          <w:rFonts w:hint="eastAsia" w:eastAsia="方正仿宋_GBK"/>
          <w:sz w:val="32"/>
          <w:szCs w:val="32"/>
        </w:rPr>
        <w:t>……………………………………</w:t>
      </w:r>
      <w:r>
        <w:rPr>
          <w:rFonts w:eastAsia="方正仿宋_GBK"/>
          <w:sz w:val="32"/>
          <w:szCs w:val="32"/>
        </w:rPr>
        <w:t>（4）</w:t>
      </w:r>
    </w:p>
    <w:p w14:paraId="2F5FEDDA">
      <w:pPr>
        <w:pStyle w:val="15"/>
        <w:adjustRightInd w:val="0"/>
        <w:snapToGrid w:val="0"/>
        <w:spacing w:line="560" w:lineRule="exact"/>
        <w:ind w:left="0" w:leftChars="0" w:firstLine="640" w:firstLineChars="200"/>
        <w:jc w:val="right"/>
        <w:rPr>
          <w:rFonts w:eastAsia="方正仿宋_GBK"/>
          <w:sz w:val="32"/>
          <w:szCs w:val="32"/>
        </w:rPr>
      </w:pPr>
      <w:r>
        <w:rPr>
          <w:rFonts w:eastAsia="方正仿宋_GBK"/>
          <w:sz w:val="32"/>
          <w:szCs w:val="32"/>
        </w:rPr>
        <w:t>三、支出决算情况说明</w:t>
      </w:r>
      <w:r>
        <w:rPr>
          <w:rFonts w:hint="eastAsia" w:eastAsia="方正仿宋_GBK"/>
          <w:sz w:val="32"/>
          <w:szCs w:val="32"/>
        </w:rPr>
        <w:t>……………………………………（</w:t>
      </w:r>
      <w:r>
        <w:rPr>
          <w:rFonts w:eastAsia="方正仿宋_GBK"/>
          <w:sz w:val="32"/>
          <w:szCs w:val="32"/>
        </w:rPr>
        <w:t>5</w:t>
      </w:r>
      <w:r>
        <w:rPr>
          <w:rFonts w:hint="eastAsia" w:eastAsia="方正仿宋_GBK"/>
          <w:sz w:val="32"/>
          <w:szCs w:val="32"/>
        </w:rPr>
        <w:t>）</w:t>
      </w:r>
    </w:p>
    <w:p w14:paraId="4BD43D18">
      <w:pPr>
        <w:pStyle w:val="15"/>
        <w:adjustRightInd w:val="0"/>
        <w:snapToGrid w:val="0"/>
        <w:spacing w:line="560" w:lineRule="exact"/>
        <w:ind w:left="0" w:leftChars="0" w:firstLine="640" w:firstLineChars="200"/>
        <w:jc w:val="right"/>
        <w:rPr>
          <w:rFonts w:eastAsia="方正仿宋_GBK"/>
          <w:sz w:val="32"/>
          <w:szCs w:val="32"/>
        </w:rPr>
      </w:pPr>
      <w:r>
        <w:rPr>
          <w:rFonts w:eastAsia="方正仿宋_GBK"/>
          <w:sz w:val="32"/>
          <w:szCs w:val="32"/>
        </w:rPr>
        <w:t>四、财政拨款收入支出决算总体情况说明</w:t>
      </w:r>
      <w:r>
        <w:rPr>
          <w:rFonts w:hint="eastAsia" w:eastAsia="方正仿宋_GBK"/>
          <w:sz w:val="32"/>
          <w:szCs w:val="32"/>
        </w:rPr>
        <w:t>………………（</w:t>
      </w:r>
      <w:r>
        <w:rPr>
          <w:rFonts w:eastAsia="方正仿宋_GBK"/>
          <w:sz w:val="32"/>
          <w:szCs w:val="32"/>
        </w:rPr>
        <w:t>6</w:t>
      </w:r>
      <w:r>
        <w:rPr>
          <w:rFonts w:hint="eastAsia" w:eastAsia="方正仿宋_GBK"/>
          <w:sz w:val="32"/>
          <w:szCs w:val="32"/>
        </w:rPr>
        <w:t>）</w:t>
      </w:r>
    </w:p>
    <w:p w14:paraId="5B6B10AE">
      <w:pPr>
        <w:pStyle w:val="15"/>
        <w:adjustRightInd w:val="0"/>
        <w:snapToGrid w:val="0"/>
        <w:spacing w:line="560" w:lineRule="exact"/>
        <w:ind w:left="0" w:leftChars="0" w:firstLine="640" w:firstLineChars="200"/>
        <w:jc w:val="both"/>
        <w:rPr>
          <w:rFonts w:eastAsia="方正仿宋_GBK"/>
          <w:sz w:val="32"/>
          <w:szCs w:val="32"/>
        </w:rPr>
      </w:pPr>
      <w:r>
        <w:rPr>
          <w:rFonts w:eastAsia="方正仿宋_GBK"/>
          <w:sz w:val="32"/>
          <w:szCs w:val="32"/>
        </w:rPr>
        <w:t>五、一般公共预算财政拨款支出决算情况说明</w:t>
      </w:r>
      <w:r>
        <w:rPr>
          <w:rFonts w:hint="eastAsia" w:eastAsia="方正仿宋_GBK"/>
          <w:sz w:val="32"/>
          <w:szCs w:val="32"/>
          <w:lang w:eastAsia="zh-CN"/>
        </w:rPr>
        <w:t>…</w:t>
      </w:r>
      <w:r>
        <w:rPr>
          <w:rFonts w:hint="eastAsia" w:eastAsia="方正仿宋_GBK"/>
          <w:sz w:val="32"/>
          <w:szCs w:val="32"/>
        </w:rPr>
        <w:t>………</w:t>
      </w:r>
      <w:r>
        <w:rPr>
          <w:rFonts w:eastAsia="方正仿宋_GBK"/>
          <w:sz w:val="32"/>
          <w:szCs w:val="32"/>
        </w:rPr>
        <w:t>（6）</w:t>
      </w:r>
      <w:bookmarkStart w:id="63" w:name="_GoBack"/>
      <w:bookmarkEnd w:id="63"/>
    </w:p>
    <w:p w14:paraId="703E9ED8">
      <w:pPr>
        <w:pStyle w:val="15"/>
        <w:adjustRightInd w:val="0"/>
        <w:snapToGrid w:val="0"/>
        <w:spacing w:line="560" w:lineRule="exact"/>
        <w:ind w:left="0" w:leftChars="0" w:firstLine="640" w:firstLineChars="200"/>
        <w:jc w:val="right"/>
        <w:rPr>
          <w:rFonts w:eastAsia="方正仿宋_GBK"/>
          <w:sz w:val="32"/>
          <w:szCs w:val="32"/>
        </w:rPr>
      </w:pPr>
      <w:r>
        <w:rPr>
          <w:rFonts w:eastAsia="方正仿宋_GBK"/>
          <w:sz w:val="32"/>
          <w:szCs w:val="32"/>
        </w:rPr>
        <w:t>六、一般公共预算财政拨款基本支出决算情况说明</w:t>
      </w:r>
      <w:r>
        <w:rPr>
          <w:rFonts w:hint="eastAsia" w:eastAsia="方正仿宋_GBK"/>
          <w:sz w:val="32"/>
          <w:szCs w:val="32"/>
        </w:rPr>
        <w:t>……</w:t>
      </w:r>
      <w:r>
        <w:rPr>
          <w:rFonts w:eastAsia="方正仿宋_GBK"/>
          <w:sz w:val="32"/>
          <w:szCs w:val="32"/>
        </w:rPr>
        <w:t>（10）</w:t>
      </w:r>
    </w:p>
    <w:p w14:paraId="22BFA3D9">
      <w:pPr>
        <w:pStyle w:val="15"/>
        <w:adjustRightInd w:val="0"/>
        <w:snapToGrid w:val="0"/>
        <w:spacing w:line="560" w:lineRule="exact"/>
        <w:ind w:left="0" w:leftChars="0" w:firstLine="640" w:firstLineChars="200"/>
        <w:jc w:val="right"/>
        <w:rPr>
          <w:rFonts w:eastAsia="方正仿宋_GBK"/>
          <w:sz w:val="32"/>
          <w:szCs w:val="32"/>
        </w:rPr>
      </w:pPr>
      <w:r>
        <w:rPr>
          <w:rFonts w:eastAsia="方正仿宋_GBK"/>
          <w:sz w:val="32"/>
          <w:szCs w:val="32"/>
        </w:rPr>
        <w:t>七、财政拨款“三公”经费支出决算情况说明</w:t>
      </w:r>
      <w:r>
        <w:rPr>
          <w:rFonts w:hint="eastAsia" w:eastAsia="方正仿宋_GBK"/>
          <w:sz w:val="32"/>
          <w:szCs w:val="32"/>
        </w:rPr>
        <w:t>……………</w:t>
      </w:r>
      <w:r>
        <w:rPr>
          <w:rFonts w:eastAsia="方正仿宋_GBK"/>
          <w:sz w:val="32"/>
          <w:szCs w:val="32"/>
        </w:rPr>
        <w:t>（</w:t>
      </w:r>
      <w:r>
        <w:rPr>
          <w:rFonts w:hint="eastAsia" w:eastAsia="方正仿宋_GBK"/>
          <w:sz w:val="32"/>
          <w:szCs w:val="32"/>
        </w:rPr>
        <w:t>11</w:t>
      </w:r>
      <w:r>
        <w:rPr>
          <w:rFonts w:eastAsia="方正仿宋_GBK"/>
          <w:sz w:val="32"/>
          <w:szCs w:val="32"/>
        </w:rPr>
        <w:t>）</w:t>
      </w:r>
    </w:p>
    <w:p w14:paraId="48AAD997">
      <w:pPr>
        <w:pStyle w:val="15"/>
        <w:adjustRightInd w:val="0"/>
        <w:snapToGrid w:val="0"/>
        <w:spacing w:line="560" w:lineRule="exact"/>
        <w:ind w:left="0" w:leftChars="0" w:firstLine="640" w:firstLineChars="200"/>
        <w:jc w:val="right"/>
        <w:rPr>
          <w:rFonts w:eastAsia="方正仿宋_GBK"/>
          <w:sz w:val="32"/>
          <w:szCs w:val="32"/>
        </w:rPr>
      </w:pPr>
      <w:r>
        <w:rPr>
          <w:rFonts w:eastAsia="方正仿宋_GBK"/>
          <w:sz w:val="32"/>
          <w:szCs w:val="32"/>
        </w:rPr>
        <w:t>八、政府性基金预算支出决算情况说明</w:t>
      </w:r>
      <w:r>
        <w:rPr>
          <w:rFonts w:hint="eastAsia" w:eastAsia="方正仿宋_GBK"/>
          <w:sz w:val="32"/>
          <w:szCs w:val="32"/>
        </w:rPr>
        <w:t>…………………</w:t>
      </w:r>
      <w:r>
        <w:rPr>
          <w:rFonts w:eastAsia="方正仿宋_GBK"/>
          <w:sz w:val="32"/>
          <w:szCs w:val="32"/>
        </w:rPr>
        <w:t>（</w:t>
      </w:r>
      <w:r>
        <w:rPr>
          <w:rFonts w:hint="eastAsia" w:eastAsia="方正仿宋_GBK"/>
          <w:sz w:val="32"/>
          <w:szCs w:val="32"/>
        </w:rPr>
        <w:t>13</w:t>
      </w:r>
      <w:r>
        <w:rPr>
          <w:rFonts w:eastAsia="方正仿宋_GBK"/>
          <w:sz w:val="32"/>
          <w:szCs w:val="32"/>
        </w:rPr>
        <w:t>）</w:t>
      </w:r>
    </w:p>
    <w:p w14:paraId="304ED383">
      <w:pPr>
        <w:pStyle w:val="15"/>
        <w:adjustRightInd w:val="0"/>
        <w:snapToGrid w:val="0"/>
        <w:spacing w:line="560" w:lineRule="exact"/>
        <w:ind w:left="0" w:leftChars="0" w:firstLine="640" w:firstLineChars="200"/>
        <w:jc w:val="right"/>
        <w:rPr>
          <w:rFonts w:eastAsia="方正仿宋_GBK"/>
          <w:sz w:val="32"/>
          <w:szCs w:val="32"/>
        </w:rPr>
      </w:pPr>
      <w:r>
        <w:rPr>
          <w:rFonts w:eastAsia="方正仿宋_GBK"/>
          <w:sz w:val="32"/>
          <w:szCs w:val="32"/>
        </w:rPr>
        <w:t>九、国有资本经营预算支出决算情况说明</w:t>
      </w:r>
      <w:r>
        <w:rPr>
          <w:rFonts w:hint="eastAsia" w:eastAsia="方正仿宋_GBK"/>
          <w:sz w:val="32"/>
          <w:szCs w:val="32"/>
        </w:rPr>
        <w:t>………………</w:t>
      </w:r>
      <w:r>
        <w:rPr>
          <w:rFonts w:eastAsia="方正仿宋_GBK"/>
          <w:sz w:val="32"/>
          <w:szCs w:val="32"/>
        </w:rPr>
        <w:t>（</w:t>
      </w:r>
      <w:r>
        <w:rPr>
          <w:rFonts w:hint="eastAsia" w:eastAsia="方正仿宋_GBK"/>
          <w:sz w:val="32"/>
          <w:szCs w:val="32"/>
        </w:rPr>
        <w:t>13</w:t>
      </w:r>
      <w:r>
        <w:rPr>
          <w:rFonts w:eastAsia="方正仿宋_GBK"/>
          <w:sz w:val="32"/>
          <w:szCs w:val="32"/>
        </w:rPr>
        <w:t>）</w:t>
      </w:r>
    </w:p>
    <w:p w14:paraId="30B83CA1">
      <w:pPr>
        <w:pStyle w:val="15"/>
        <w:adjustRightInd w:val="0"/>
        <w:snapToGrid w:val="0"/>
        <w:spacing w:line="560" w:lineRule="exact"/>
        <w:ind w:left="0" w:leftChars="0" w:firstLine="640" w:firstLineChars="200"/>
        <w:jc w:val="right"/>
        <w:rPr>
          <w:rFonts w:eastAsia="方正仿宋_GBK"/>
          <w:sz w:val="32"/>
          <w:szCs w:val="32"/>
        </w:rPr>
      </w:pPr>
      <w:r>
        <w:rPr>
          <w:rFonts w:eastAsia="方正仿宋_GBK"/>
          <w:sz w:val="32"/>
          <w:szCs w:val="32"/>
        </w:rPr>
        <w:t>十、其他重要事项的情况说明</w:t>
      </w:r>
      <w:r>
        <w:rPr>
          <w:rFonts w:hint="eastAsia" w:eastAsia="方正仿宋_GBK"/>
          <w:sz w:val="32"/>
          <w:szCs w:val="32"/>
        </w:rPr>
        <w:t>…………………………</w:t>
      </w:r>
      <w:r>
        <w:rPr>
          <w:rFonts w:eastAsia="方正仿宋_GBK"/>
          <w:sz w:val="32"/>
          <w:szCs w:val="32"/>
        </w:rPr>
        <w:t>（</w:t>
      </w:r>
      <w:r>
        <w:rPr>
          <w:rFonts w:hint="eastAsia" w:eastAsia="方正仿宋_GBK"/>
          <w:sz w:val="32"/>
          <w:szCs w:val="32"/>
        </w:rPr>
        <w:t>13</w:t>
      </w:r>
      <w:r>
        <w:rPr>
          <w:rFonts w:eastAsia="方正仿宋_GBK"/>
          <w:sz w:val="32"/>
          <w:szCs w:val="32"/>
        </w:rPr>
        <w:t>）</w:t>
      </w:r>
    </w:p>
    <w:p w14:paraId="6274A53F">
      <w:pPr>
        <w:pStyle w:val="13"/>
        <w:adjustRightInd w:val="0"/>
        <w:snapToGrid w:val="0"/>
        <w:spacing w:before="0" w:line="560" w:lineRule="exact"/>
        <w:jc w:val="right"/>
        <w:rPr>
          <w:rFonts w:ascii="Times New Roman" w:hAnsi="Times New Roman" w:eastAsia="方正仿宋_GBK"/>
          <w:sz w:val="32"/>
          <w:szCs w:val="32"/>
        </w:rPr>
      </w:pPr>
      <w:r>
        <w:rPr>
          <w:rFonts w:ascii="Times New Roman" w:hAnsi="Times New Roman" w:eastAsia="方正仿宋_GBK"/>
          <w:b/>
          <w:bCs/>
          <w:sz w:val="32"/>
          <w:szCs w:val="32"/>
        </w:rPr>
        <w:t>第三部分 名词解释</w:t>
      </w:r>
      <w:r>
        <w:rPr>
          <w:rFonts w:hint="eastAsia" w:ascii="Times New Roman" w:hAnsi="Times New Roman" w:eastAsia="方正仿宋_GBK"/>
          <w:sz w:val="32"/>
          <w:szCs w:val="32"/>
        </w:rPr>
        <w:t>……………………………………………</w:t>
      </w:r>
      <w:r>
        <w:rPr>
          <w:rFonts w:ascii="Times New Roman" w:hAnsi="Times New Roman" w:eastAsia="方正仿宋_GBK"/>
          <w:sz w:val="32"/>
          <w:szCs w:val="32"/>
        </w:rPr>
        <w:t>（</w:t>
      </w:r>
      <w:r>
        <w:rPr>
          <w:rFonts w:hint="eastAsia" w:ascii="Times New Roman" w:hAnsi="Times New Roman" w:eastAsia="方正仿宋_GBK"/>
          <w:sz w:val="32"/>
          <w:szCs w:val="32"/>
        </w:rPr>
        <w:t>15</w:t>
      </w:r>
      <w:r>
        <w:rPr>
          <w:rFonts w:ascii="Times New Roman" w:hAnsi="Times New Roman" w:eastAsia="方正仿宋_GBK"/>
          <w:sz w:val="32"/>
          <w:szCs w:val="32"/>
        </w:rPr>
        <w:t>）</w:t>
      </w:r>
    </w:p>
    <w:p w14:paraId="607D52C1">
      <w:pPr>
        <w:pStyle w:val="13"/>
        <w:adjustRightInd w:val="0"/>
        <w:snapToGrid w:val="0"/>
        <w:spacing w:before="0" w:line="560" w:lineRule="exact"/>
        <w:jc w:val="right"/>
        <w:rPr>
          <w:rFonts w:ascii="Times New Roman" w:hAnsi="Times New Roman" w:eastAsia="方正仿宋_GBK"/>
          <w:sz w:val="32"/>
          <w:szCs w:val="32"/>
        </w:rPr>
      </w:pPr>
      <w:r>
        <w:rPr>
          <w:rFonts w:ascii="Times New Roman" w:hAnsi="Times New Roman" w:eastAsia="方正仿宋_GBK"/>
          <w:b/>
          <w:bCs/>
          <w:sz w:val="32"/>
          <w:szCs w:val="32"/>
        </w:rPr>
        <w:t>第四部分 附件</w:t>
      </w:r>
      <w:r>
        <w:rPr>
          <w:rFonts w:hint="eastAsia" w:ascii="Times New Roman" w:hAnsi="Times New Roman" w:eastAsia="方正仿宋_GBK"/>
          <w:sz w:val="32"/>
          <w:szCs w:val="32"/>
        </w:rPr>
        <w:t>…………………………………………………</w:t>
      </w:r>
      <w:r>
        <w:rPr>
          <w:rFonts w:ascii="Times New Roman" w:hAnsi="Times New Roman" w:eastAsia="方正仿宋_GBK"/>
          <w:sz w:val="32"/>
          <w:szCs w:val="32"/>
        </w:rPr>
        <w:t>（</w:t>
      </w:r>
      <w:r>
        <w:rPr>
          <w:rFonts w:hint="eastAsia" w:ascii="Times New Roman" w:hAnsi="Times New Roman" w:eastAsia="方正仿宋_GBK"/>
          <w:sz w:val="32"/>
          <w:szCs w:val="32"/>
        </w:rPr>
        <w:t>20</w:t>
      </w:r>
      <w:r>
        <w:rPr>
          <w:rFonts w:ascii="Times New Roman" w:hAnsi="Times New Roman" w:eastAsia="方正仿宋_GBK"/>
          <w:sz w:val="32"/>
          <w:szCs w:val="32"/>
        </w:rPr>
        <w:t>）</w:t>
      </w:r>
    </w:p>
    <w:p w14:paraId="4A6EDC79">
      <w:pPr>
        <w:pStyle w:val="13"/>
        <w:adjustRightInd w:val="0"/>
        <w:snapToGrid w:val="0"/>
        <w:spacing w:before="0" w:line="560" w:lineRule="exact"/>
        <w:jc w:val="right"/>
        <w:rPr>
          <w:rFonts w:ascii="Times New Roman" w:hAnsi="Times New Roman" w:eastAsia="方正仿宋_GBK"/>
          <w:sz w:val="32"/>
          <w:szCs w:val="32"/>
        </w:rPr>
      </w:pPr>
      <w:r>
        <w:rPr>
          <w:rFonts w:ascii="Times New Roman" w:hAnsi="Times New Roman" w:eastAsia="方正仿宋_GBK"/>
          <w:b/>
          <w:bCs/>
          <w:sz w:val="32"/>
          <w:szCs w:val="32"/>
        </w:rPr>
        <w:t>第五部分 附表</w:t>
      </w:r>
      <w:r>
        <w:rPr>
          <w:rFonts w:hint="eastAsia" w:ascii="Times New Roman" w:hAnsi="Times New Roman" w:eastAsia="方正仿宋_GBK"/>
          <w:sz w:val="32"/>
          <w:szCs w:val="32"/>
        </w:rPr>
        <w:t>…………………………………………………</w:t>
      </w:r>
      <w:r>
        <w:rPr>
          <w:rFonts w:ascii="Times New Roman" w:hAnsi="Times New Roman" w:eastAsia="方正仿宋_GBK"/>
          <w:sz w:val="32"/>
          <w:szCs w:val="32"/>
        </w:rPr>
        <w:t>（</w:t>
      </w:r>
      <w:r>
        <w:rPr>
          <w:rFonts w:hint="eastAsia" w:ascii="Times New Roman" w:hAnsi="Times New Roman" w:eastAsia="方正仿宋_GBK"/>
          <w:sz w:val="32"/>
          <w:szCs w:val="32"/>
        </w:rPr>
        <w:t>21</w:t>
      </w:r>
      <w:r>
        <w:rPr>
          <w:rFonts w:ascii="Times New Roman" w:hAnsi="Times New Roman" w:eastAsia="方正仿宋_GBK"/>
          <w:sz w:val="32"/>
          <w:szCs w:val="32"/>
        </w:rPr>
        <w:t>）</w:t>
      </w:r>
    </w:p>
    <w:p w14:paraId="5D490C67">
      <w:pPr>
        <w:pStyle w:val="13"/>
        <w:adjustRightInd w:val="0"/>
        <w:snapToGrid w:val="0"/>
        <w:spacing w:before="0" w:line="560" w:lineRule="exact"/>
        <w:ind w:firstLine="640" w:firstLineChars="200"/>
        <w:jc w:val="right"/>
        <w:rPr>
          <w:rFonts w:ascii="Times New Roman" w:hAnsi="Times New Roman" w:eastAsia="方正仿宋_GBK"/>
          <w:sz w:val="32"/>
          <w:szCs w:val="32"/>
        </w:rPr>
      </w:pPr>
      <w:r>
        <w:rPr>
          <w:rFonts w:ascii="Times New Roman" w:hAnsi="Times New Roman" w:eastAsia="方正仿宋_GBK"/>
          <w:sz w:val="32"/>
          <w:szCs w:val="32"/>
        </w:rPr>
        <w:t>一、收入支出决算总表</w:t>
      </w:r>
      <w:r>
        <w:rPr>
          <w:rFonts w:hint="eastAsia" w:ascii="Times New Roman" w:hAnsi="Times New Roman" w:eastAsia="方正仿宋_GBK"/>
          <w:sz w:val="32"/>
          <w:szCs w:val="32"/>
        </w:rPr>
        <w:t>……………………………………</w:t>
      </w:r>
      <w:r>
        <w:rPr>
          <w:rFonts w:ascii="Times New Roman" w:hAnsi="Times New Roman" w:eastAsia="方正仿宋_GBK"/>
          <w:sz w:val="32"/>
          <w:szCs w:val="32"/>
        </w:rPr>
        <w:t>（</w:t>
      </w:r>
      <w:r>
        <w:rPr>
          <w:rFonts w:hint="eastAsia" w:ascii="Times New Roman" w:hAnsi="Times New Roman" w:eastAsia="方正仿宋_GBK"/>
          <w:sz w:val="32"/>
          <w:szCs w:val="32"/>
        </w:rPr>
        <w:t>21</w:t>
      </w:r>
      <w:r>
        <w:rPr>
          <w:rFonts w:ascii="Times New Roman" w:hAnsi="Times New Roman" w:eastAsia="方正仿宋_GBK"/>
          <w:sz w:val="32"/>
          <w:szCs w:val="32"/>
        </w:rPr>
        <w:t>）</w:t>
      </w:r>
    </w:p>
    <w:p w14:paraId="192DB4FA">
      <w:pPr>
        <w:pStyle w:val="13"/>
        <w:adjustRightInd w:val="0"/>
        <w:snapToGrid w:val="0"/>
        <w:spacing w:before="0" w:line="560" w:lineRule="exact"/>
        <w:ind w:firstLine="640" w:firstLineChars="200"/>
        <w:jc w:val="right"/>
        <w:rPr>
          <w:rFonts w:ascii="Times New Roman" w:hAnsi="Times New Roman" w:eastAsia="方正仿宋_GBK"/>
          <w:sz w:val="32"/>
          <w:szCs w:val="32"/>
        </w:rPr>
      </w:pPr>
      <w:r>
        <w:rPr>
          <w:rFonts w:ascii="Times New Roman" w:hAnsi="Times New Roman" w:eastAsia="方正仿宋_GBK"/>
          <w:sz w:val="32"/>
          <w:szCs w:val="32"/>
        </w:rPr>
        <w:t>二、收入决算表</w:t>
      </w:r>
      <w:r>
        <w:rPr>
          <w:rFonts w:hint="eastAsia" w:ascii="Times New Roman" w:hAnsi="Times New Roman" w:eastAsia="方正仿宋_GBK"/>
          <w:sz w:val="32"/>
          <w:szCs w:val="32"/>
        </w:rPr>
        <w:t>…………………………………………</w:t>
      </w:r>
      <w:r>
        <w:rPr>
          <w:rFonts w:ascii="Times New Roman" w:hAnsi="Times New Roman" w:eastAsia="方正仿宋_GBK"/>
          <w:sz w:val="32"/>
          <w:szCs w:val="32"/>
        </w:rPr>
        <w:t>（</w:t>
      </w:r>
      <w:r>
        <w:rPr>
          <w:rFonts w:hint="eastAsia" w:ascii="Times New Roman" w:hAnsi="Times New Roman" w:eastAsia="方正仿宋_GBK"/>
          <w:sz w:val="32"/>
          <w:szCs w:val="32"/>
        </w:rPr>
        <w:t>21</w:t>
      </w:r>
      <w:r>
        <w:rPr>
          <w:rFonts w:ascii="Times New Roman" w:hAnsi="Times New Roman" w:eastAsia="方正仿宋_GBK"/>
          <w:sz w:val="32"/>
          <w:szCs w:val="32"/>
        </w:rPr>
        <w:t>）</w:t>
      </w:r>
    </w:p>
    <w:p w14:paraId="4CCCE776">
      <w:pPr>
        <w:pStyle w:val="15"/>
        <w:adjustRightInd w:val="0"/>
        <w:snapToGrid w:val="0"/>
        <w:spacing w:line="560" w:lineRule="exact"/>
        <w:ind w:left="0" w:leftChars="0" w:firstLine="640" w:firstLineChars="200"/>
        <w:jc w:val="right"/>
        <w:rPr>
          <w:rFonts w:eastAsia="方正仿宋_GBK"/>
          <w:sz w:val="32"/>
          <w:szCs w:val="32"/>
        </w:rPr>
      </w:pPr>
      <w:r>
        <w:rPr>
          <w:rFonts w:eastAsia="方正仿宋_GBK"/>
          <w:sz w:val="32"/>
          <w:szCs w:val="32"/>
        </w:rPr>
        <w:t>三、支出决算表</w:t>
      </w:r>
      <w:r>
        <w:rPr>
          <w:rFonts w:hint="eastAsia" w:eastAsia="方正仿宋_GBK"/>
          <w:sz w:val="32"/>
          <w:szCs w:val="32"/>
        </w:rPr>
        <w:t>……………………………………………</w:t>
      </w:r>
      <w:r>
        <w:rPr>
          <w:rFonts w:eastAsia="方正仿宋_GBK"/>
          <w:sz w:val="32"/>
          <w:szCs w:val="32"/>
        </w:rPr>
        <w:t>（</w:t>
      </w:r>
      <w:r>
        <w:rPr>
          <w:rFonts w:hint="eastAsia" w:eastAsia="方正仿宋_GBK"/>
          <w:sz w:val="32"/>
          <w:szCs w:val="32"/>
        </w:rPr>
        <w:t>21</w:t>
      </w:r>
      <w:r>
        <w:rPr>
          <w:rFonts w:eastAsia="方正仿宋_GBK"/>
          <w:sz w:val="32"/>
          <w:szCs w:val="32"/>
        </w:rPr>
        <w:t>）</w:t>
      </w:r>
    </w:p>
    <w:p w14:paraId="3989C4C7">
      <w:pPr>
        <w:pStyle w:val="15"/>
        <w:adjustRightInd w:val="0"/>
        <w:snapToGrid w:val="0"/>
        <w:spacing w:line="560" w:lineRule="exact"/>
        <w:ind w:left="0" w:leftChars="0" w:firstLine="640" w:firstLineChars="200"/>
        <w:jc w:val="right"/>
        <w:rPr>
          <w:rFonts w:eastAsia="方正仿宋_GBK"/>
          <w:sz w:val="32"/>
          <w:szCs w:val="32"/>
        </w:rPr>
      </w:pPr>
      <w:r>
        <w:rPr>
          <w:rFonts w:eastAsia="方正仿宋_GBK"/>
          <w:sz w:val="32"/>
          <w:szCs w:val="32"/>
        </w:rPr>
        <w:t>四、财政拨款收入支出决算总表</w:t>
      </w:r>
      <w:r>
        <w:rPr>
          <w:rFonts w:hint="eastAsia" w:eastAsia="方正仿宋_GBK"/>
          <w:sz w:val="32"/>
          <w:szCs w:val="32"/>
        </w:rPr>
        <w:t>…………………………</w:t>
      </w:r>
      <w:r>
        <w:rPr>
          <w:rFonts w:eastAsia="方正仿宋_GBK"/>
          <w:sz w:val="32"/>
          <w:szCs w:val="32"/>
        </w:rPr>
        <w:t>（</w:t>
      </w:r>
      <w:r>
        <w:rPr>
          <w:rFonts w:hint="eastAsia" w:eastAsia="方正仿宋_GBK"/>
          <w:sz w:val="32"/>
          <w:szCs w:val="32"/>
        </w:rPr>
        <w:t>21</w:t>
      </w:r>
      <w:r>
        <w:rPr>
          <w:rFonts w:eastAsia="方正仿宋_GBK"/>
          <w:sz w:val="32"/>
          <w:szCs w:val="32"/>
        </w:rPr>
        <w:t>）</w:t>
      </w:r>
    </w:p>
    <w:p w14:paraId="014B0458">
      <w:pPr>
        <w:pStyle w:val="15"/>
        <w:adjustRightInd w:val="0"/>
        <w:snapToGrid w:val="0"/>
        <w:spacing w:line="560" w:lineRule="exact"/>
        <w:ind w:left="0" w:leftChars="0" w:firstLine="640" w:firstLineChars="200"/>
        <w:jc w:val="right"/>
        <w:rPr>
          <w:rFonts w:eastAsia="方正仿宋_GBK"/>
          <w:sz w:val="32"/>
          <w:szCs w:val="32"/>
        </w:rPr>
      </w:pPr>
      <w:r>
        <w:rPr>
          <w:rFonts w:eastAsia="方正仿宋_GBK"/>
          <w:sz w:val="32"/>
          <w:szCs w:val="32"/>
        </w:rPr>
        <w:t>五、财政拨款支出决算明细表</w:t>
      </w:r>
      <w:r>
        <w:rPr>
          <w:rFonts w:hint="eastAsia" w:eastAsia="方正仿宋_GBK"/>
          <w:sz w:val="32"/>
          <w:szCs w:val="32"/>
        </w:rPr>
        <w:t>…………………………</w:t>
      </w:r>
      <w:r>
        <w:rPr>
          <w:rFonts w:eastAsia="方正仿宋_GBK"/>
          <w:sz w:val="32"/>
          <w:szCs w:val="32"/>
        </w:rPr>
        <w:t>（</w:t>
      </w:r>
      <w:r>
        <w:rPr>
          <w:rFonts w:hint="eastAsia" w:eastAsia="方正仿宋_GBK"/>
          <w:sz w:val="32"/>
          <w:szCs w:val="32"/>
        </w:rPr>
        <w:t>21</w:t>
      </w:r>
      <w:r>
        <w:rPr>
          <w:rFonts w:eastAsia="方正仿宋_GBK"/>
          <w:sz w:val="32"/>
          <w:szCs w:val="32"/>
        </w:rPr>
        <w:t>）</w:t>
      </w:r>
    </w:p>
    <w:p w14:paraId="38964AA8">
      <w:pPr>
        <w:pStyle w:val="15"/>
        <w:adjustRightInd w:val="0"/>
        <w:snapToGrid w:val="0"/>
        <w:spacing w:line="560" w:lineRule="exact"/>
        <w:ind w:left="0" w:leftChars="0" w:firstLine="640" w:firstLineChars="200"/>
        <w:jc w:val="right"/>
        <w:rPr>
          <w:rFonts w:eastAsia="方正仿宋_GBK"/>
          <w:sz w:val="32"/>
          <w:szCs w:val="32"/>
        </w:rPr>
      </w:pPr>
      <w:r>
        <w:rPr>
          <w:rFonts w:eastAsia="方正仿宋_GBK"/>
          <w:sz w:val="32"/>
          <w:szCs w:val="32"/>
        </w:rPr>
        <w:t>六、一般公共预算财政拨款支出决算表</w:t>
      </w:r>
      <w:r>
        <w:rPr>
          <w:rFonts w:hint="eastAsia" w:eastAsia="方正仿宋_GBK"/>
          <w:sz w:val="32"/>
          <w:szCs w:val="32"/>
        </w:rPr>
        <w:t>………………</w:t>
      </w:r>
      <w:r>
        <w:rPr>
          <w:rFonts w:eastAsia="方正仿宋_GBK"/>
          <w:sz w:val="32"/>
          <w:szCs w:val="32"/>
        </w:rPr>
        <w:t>（</w:t>
      </w:r>
      <w:r>
        <w:rPr>
          <w:rFonts w:hint="eastAsia" w:eastAsia="方正仿宋_GBK"/>
          <w:sz w:val="32"/>
          <w:szCs w:val="32"/>
        </w:rPr>
        <w:t>21</w:t>
      </w:r>
      <w:r>
        <w:rPr>
          <w:rFonts w:eastAsia="方正仿宋_GBK"/>
          <w:sz w:val="32"/>
          <w:szCs w:val="32"/>
        </w:rPr>
        <w:t>）</w:t>
      </w:r>
    </w:p>
    <w:p w14:paraId="0A28C3B7">
      <w:pPr>
        <w:pStyle w:val="15"/>
        <w:adjustRightInd w:val="0"/>
        <w:snapToGrid w:val="0"/>
        <w:spacing w:line="560" w:lineRule="exact"/>
        <w:ind w:left="0" w:leftChars="0" w:firstLine="640" w:firstLineChars="200"/>
        <w:jc w:val="right"/>
        <w:rPr>
          <w:rFonts w:eastAsia="方正仿宋_GBK"/>
          <w:sz w:val="32"/>
          <w:szCs w:val="32"/>
        </w:rPr>
      </w:pPr>
      <w:r>
        <w:rPr>
          <w:rFonts w:eastAsia="方正仿宋_GBK"/>
          <w:sz w:val="32"/>
          <w:szCs w:val="32"/>
        </w:rPr>
        <w:t>七、一般公共预算财政拨款支出决算明细表</w:t>
      </w:r>
      <w:r>
        <w:rPr>
          <w:rFonts w:hint="eastAsia" w:eastAsia="方正仿宋_GBK"/>
          <w:sz w:val="32"/>
          <w:szCs w:val="32"/>
          <w:lang w:eastAsia="zh-CN"/>
        </w:rPr>
        <w:t>…</w:t>
      </w:r>
      <w:r>
        <w:rPr>
          <w:rFonts w:eastAsia="方正仿宋_GBK"/>
          <w:sz w:val="32"/>
          <w:szCs w:val="32"/>
        </w:rPr>
        <w:t>（</w:t>
      </w:r>
      <w:r>
        <w:rPr>
          <w:rFonts w:hint="eastAsia" w:eastAsia="方正仿宋_GBK"/>
          <w:sz w:val="32"/>
          <w:szCs w:val="32"/>
        </w:rPr>
        <w:t>21</w:t>
      </w:r>
      <w:r>
        <w:rPr>
          <w:rFonts w:eastAsia="方正仿宋_GBK"/>
          <w:sz w:val="32"/>
          <w:szCs w:val="32"/>
        </w:rPr>
        <w:t>）</w:t>
      </w:r>
    </w:p>
    <w:p w14:paraId="769A379A">
      <w:pPr>
        <w:pStyle w:val="15"/>
        <w:adjustRightInd w:val="0"/>
        <w:snapToGrid w:val="0"/>
        <w:spacing w:line="560" w:lineRule="exact"/>
        <w:ind w:left="0" w:leftChars="0" w:firstLine="640" w:firstLineChars="200"/>
        <w:jc w:val="right"/>
        <w:rPr>
          <w:rFonts w:eastAsia="方正仿宋_GBK"/>
          <w:sz w:val="32"/>
          <w:szCs w:val="32"/>
        </w:rPr>
      </w:pPr>
      <w:r>
        <w:rPr>
          <w:rFonts w:eastAsia="方正仿宋_GBK"/>
          <w:sz w:val="32"/>
          <w:szCs w:val="32"/>
        </w:rPr>
        <w:t>八、一般公共预算财政拨款基本支出决算明细表</w:t>
      </w:r>
      <w:r>
        <w:rPr>
          <w:rFonts w:hint="eastAsia" w:eastAsia="方正仿宋_GBK"/>
          <w:sz w:val="32"/>
          <w:szCs w:val="32"/>
        </w:rPr>
        <w:t>……</w:t>
      </w:r>
      <w:r>
        <w:rPr>
          <w:rFonts w:eastAsia="方正仿宋_GBK"/>
          <w:sz w:val="32"/>
          <w:szCs w:val="32"/>
        </w:rPr>
        <w:t>（</w:t>
      </w:r>
      <w:r>
        <w:rPr>
          <w:rFonts w:hint="eastAsia" w:eastAsia="方正仿宋_GBK"/>
          <w:sz w:val="32"/>
          <w:szCs w:val="32"/>
        </w:rPr>
        <w:t>21</w:t>
      </w:r>
      <w:r>
        <w:rPr>
          <w:rFonts w:eastAsia="方正仿宋_GBK"/>
          <w:sz w:val="32"/>
          <w:szCs w:val="32"/>
        </w:rPr>
        <w:t>）</w:t>
      </w:r>
    </w:p>
    <w:p w14:paraId="48CA7946">
      <w:pPr>
        <w:pStyle w:val="15"/>
        <w:adjustRightInd w:val="0"/>
        <w:snapToGrid w:val="0"/>
        <w:spacing w:line="560" w:lineRule="exact"/>
        <w:ind w:left="0" w:leftChars="0" w:firstLine="640" w:firstLineChars="200"/>
        <w:jc w:val="right"/>
        <w:rPr>
          <w:rFonts w:eastAsia="方正仿宋_GBK"/>
          <w:sz w:val="32"/>
          <w:szCs w:val="32"/>
        </w:rPr>
      </w:pPr>
      <w:r>
        <w:rPr>
          <w:rFonts w:eastAsia="方正仿宋_GBK"/>
          <w:sz w:val="32"/>
          <w:szCs w:val="32"/>
        </w:rPr>
        <w:t>九、一般公共预算财政拨款项目支出决算表</w:t>
      </w:r>
      <w:r>
        <w:rPr>
          <w:rFonts w:hint="eastAsia" w:eastAsia="方正仿宋_GBK"/>
          <w:sz w:val="32"/>
          <w:szCs w:val="32"/>
          <w:lang w:eastAsia="zh-CN"/>
        </w:rPr>
        <w:t>…</w:t>
      </w:r>
      <w:r>
        <w:rPr>
          <w:rFonts w:eastAsia="方正仿宋_GBK"/>
          <w:sz w:val="32"/>
          <w:szCs w:val="32"/>
        </w:rPr>
        <w:t>（</w:t>
      </w:r>
      <w:r>
        <w:rPr>
          <w:rFonts w:hint="eastAsia" w:eastAsia="方正仿宋_GBK"/>
          <w:sz w:val="32"/>
          <w:szCs w:val="32"/>
        </w:rPr>
        <w:t>21</w:t>
      </w:r>
      <w:r>
        <w:rPr>
          <w:rFonts w:eastAsia="方正仿宋_GBK"/>
          <w:sz w:val="32"/>
          <w:szCs w:val="32"/>
        </w:rPr>
        <w:t>）</w:t>
      </w:r>
    </w:p>
    <w:p w14:paraId="123856C6">
      <w:pPr>
        <w:pStyle w:val="15"/>
        <w:adjustRightInd w:val="0"/>
        <w:snapToGrid w:val="0"/>
        <w:spacing w:line="560" w:lineRule="exact"/>
        <w:ind w:left="0" w:leftChars="0" w:firstLine="640" w:firstLineChars="200"/>
        <w:jc w:val="right"/>
        <w:rPr>
          <w:rFonts w:eastAsia="方正仿宋_GBK"/>
          <w:sz w:val="32"/>
          <w:szCs w:val="32"/>
        </w:rPr>
      </w:pPr>
      <w:r>
        <w:rPr>
          <w:rFonts w:eastAsia="方正仿宋_GBK"/>
          <w:sz w:val="32"/>
          <w:szCs w:val="32"/>
        </w:rPr>
        <w:t>十、政府性基金预算财政拨款收入支出决算表</w:t>
      </w:r>
      <w:r>
        <w:rPr>
          <w:rFonts w:hint="eastAsia" w:eastAsia="方正仿宋_GBK"/>
          <w:sz w:val="32"/>
          <w:szCs w:val="32"/>
          <w:lang w:eastAsia="zh-CN"/>
        </w:rPr>
        <w:t>…</w:t>
      </w:r>
      <w:r>
        <w:rPr>
          <w:rFonts w:eastAsia="方正仿宋_GBK"/>
          <w:sz w:val="32"/>
          <w:szCs w:val="32"/>
        </w:rPr>
        <w:t>（</w:t>
      </w:r>
      <w:r>
        <w:rPr>
          <w:rFonts w:hint="eastAsia" w:eastAsia="方正仿宋_GBK"/>
          <w:sz w:val="32"/>
          <w:szCs w:val="32"/>
        </w:rPr>
        <w:t>21</w:t>
      </w:r>
      <w:r>
        <w:rPr>
          <w:rFonts w:eastAsia="方正仿宋_GBK"/>
          <w:sz w:val="32"/>
          <w:szCs w:val="32"/>
        </w:rPr>
        <w:t>）</w:t>
      </w:r>
    </w:p>
    <w:p w14:paraId="11F46712">
      <w:pPr>
        <w:pStyle w:val="15"/>
        <w:adjustRightInd w:val="0"/>
        <w:snapToGrid w:val="0"/>
        <w:spacing w:line="560" w:lineRule="exact"/>
        <w:ind w:left="0" w:leftChars="0" w:firstLine="640" w:firstLineChars="200"/>
        <w:jc w:val="right"/>
        <w:rPr>
          <w:rFonts w:eastAsia="方正仿宋_GBK"/>
          <w:sz w:val="32"/>
          <w:szCs w:val="32"/>
        </w:rPr>
      </w:pPr>
      <w:r>
        <w:rPr>
          <w:rFonts w:eastAsia="方正仿宋_GBK"/>
          <w:sz w:val="32"/>
          <w:szCs w:val="32"/>
        </w:rPr>
        <w:t>十一、国有资本经营预算财政拨款收入支出决算表</w:t>
      </w:r>
      <w:r>
        <w:rPr>
          <w:rFonts w:hint="eastAsia" w:eastAsia="方正仿宋_GBK"/>
          <w:sz w:val="32"/>
          <w:szCs w:val="32"/>
        </w:rPr>
        <w:t>……</w:t>
      </w:r>
      <w:r>
        <w:rPr>
          <w:rFonts w:eastAsia="方正仿宋_GBK"/>
          <w:sz w:val="32"/>
          <w:szCs w:val="32"/>
        </w:rPr>
        <w:t>（</w:t>
      </w:r>
      <w:r>
        <w:rPr>
          <w:rFonts w:hint="eastAsia" w:eastAsia="方正仿宋_GBK"/>
          <w:sz w:val="32"/>
          <w:szCs w:val="32"/>
        </w:rPr>
        <w:t>21</w:t>
      </w:r>
      <w:r>
        <w:rPr>
          <w:rFonts w:eastAsia="方正仿宋_GBK"/>
          <w:sz w:val="32"/>
          <w:szCs w:val="32"/>
        </w:rPr>
        <w:t>）</w:t>
      </w:r>
    </w:p>
    <w:p w14:paraId="59839C38">
      <w:pPr>
        <w:pStyle w:val="15"/>
        <w:adjustRightInd w:val="0"/>
        <w:snapToGrid w:val="0"/>
        <w:spacing w:line="560" w:lineRule="exact"/>
        <w:ind w:left="0" w:leftChars="0" w:firstLine="640" w:firstLineChars="200"/>
        <w:jc w:val="right"/>
        <w:rPr>
          <w:rFonts w:eastAsia="方正仿宋_GBK"/>
          <w:sz w:val="32"/>
          <w:szCs w:val="32"/>
        </w:rPr>
      </w:pPr>
      <w:r>
        <w:rPr>
          <w:rFonts w:eastAsia="方正仿宋_GBK"/>
          <w:sz w:val="32"/>
          <w:szCs w:val="32"/>
        </w:rPr>
        <w:t>十二、国有资本经营预算财政拨款支出决算表</w:t>
      </w:r>
      <w:r>
        <w:rPr>
          <w:rFonts w:hint="eastAsia" w:eastAsia="方正仿宋_GBK"/>
          <w:sz w:val="32"/>
          <w:szCs w:val="32"/>
          <w:lang w:eastAsia="zh-CN"/>
        </w:rPr>
        <w:t>…</w:t>
      </w:r>
      <w:r>
        <w:rPr>
          <w:rFonts w:eastAsia="方正仿宋_GBK"/>
          <w:sz w:val="32"/>
          <w:szCs w:val="32"/>
        </w:rPr>
        <w:t>（</w:t>
      </w:r>
      <w:r>
        <w:rPr>
          <w:rFonts w:hint="eastAsia" w:eastAsia="方正仿宋_GBK"/>
          <w:sz w:val="32"/>
          <w:szCs w:val="32"/>
        </w:rPr>
        <w:t>21</w:t>
      </w:r>
      <w:r>
        <w:rPr>
          <w:rFonts w:eastAsia="方正仿宋_GBK"/>
          <w:sz w:val="32"/>
          <w:szCs w:val="32"/>
        </w:rPr>
        <w:t>）</w:t>
      </w:r>
    </w:p>
    <w:p w14:paraId="008E0279">
      <w:pPr>
        <w:pStyle w:val="15"/>
        <w:adjustRightInd w:val="0"/>
        <w:snapToGrid w:val="0"/>
        <w:spacing w:line="560" w:lineRule="exact"/>
        <w:ind w:left="0" w:leftChars="0" w:firstLine="640" w:firstLineChars="200"/>
        <w:jc w:val="right"/>
        <w:rPr>
          <w:rFonts w:eastAsia="方正仿宋_GBK"/>
          <w:sz w:val="32"/>
          <w:szCs w:val="32"/>
        </w:rPr>
      </w:pPr>
      <w:r>
        <w:rPr>
          <w:rFonts w:eastAsia="方正仿宋_GBK"/>
          <w:sz w:val="32"/>
          <w:szCs w:val="32"/>
        </w:rPr>
        <w:t>十三、财政拨款“三公”经费支出决算表</w:t>
      </w:r>
      <w:r>
        <w:rPr>
          <w:rFonts w:hint="eastAsia" w:eastAsia="方正仿宋_GBK"/>
          <w:sz w:val="32"/>
          <w:szCs w:val="32"/>
        </w:rPr>
        <w:t>…………………</w:t>
      </w:r>
      <w:r>
        <w:rPr>
          <w:rFonts w:eastAsia="方正仿宋_GBK"/>
          <w:sz w:val="32"/>
          <w:szCs w:val="32"/>
        </w:rPr>
        <w:t>（</w:t>
      </w:r>
      <w:r>
        <w:rPr>
          <w:rFonts w:hint="eastAsia" w:eastAsia="方正仿宋_GBK"/>
          <w:sz w:val="32"/>
          <w:szCs w:val="32"/>
        </w:rPr>
        <w:t>21</w:t>
      </w:r>
      <w:r>
        <w:rPr>
          <w:rFonts w:eastAsia="方正仿宋_GBK"/>
          <w:sz w:val="32"/>
          <w:szCs w:val="32"/>
        </w:rPr>
        <w:t>）</w:t>
      </w:r>
    </w:p>
    <w:p w14:paraId="7662418B">
      <w:pPr>
        <w:pStyle w:val="3"/>
        <w:jc w:val="right"/>
        <w:rPr>
          <w:rFonts w:eastAsia="方正仿宋_GBK"/>
          <w:b w:val="0"/>
          <w:sz w:val="32"/>
          <w:szCs w:val="32"/>
        </w:rPr>
        <w:sectPr>
          <w:footerReference r:id="rId6" w:type="first"/>
          <w:footerReference r:id="rId5" w:type="default"/>
          <w:pgSz w:w="11906" w:h="16838"/>
          <w:pgMar w:top="2098" w:right="1474" w:bottom="1984" w:left="1587" w:header="907" w:footer="1644" w:gutter="0"/>
          <w:pgNumType w:start="1"/>
          <w:cols w:space="0" w:num="1"/>
          <w:titlePg/>
          <w:docGrid w:type="lines" w:linePitch="312" w:charSpace="0"/>
        </w:sectPr>
      </w:pPr>
      <w:bookmarkStart w:id="6" w:name="_Toc15377196"/>
      <w:bookmarkStart w:id="7" w:name="_Toc15396599"/>
    </w:p>
    <w:p w14:paraId="2E68C7CE">
      <w:pPr>
        <w:pStyle w:val="3"/>
        <w:jc w:val="center"/>
        <w:rPr>
          <w:rStyle w:val="29"/>
          <w:rFonts w:ascii="方正小标宋_GBK" w:hAnsi="方正小标宋_GBK" w:eastAsia="方正小标宋_GBK" w:cs="方正小标宋_GBK"/>
          <w:b/>
          <w:bCs w:val="0"/>
        </w:rPr>
      </w:pPr>
      <w:r>
        <w:rPr>
          <w:rFonts w:hint="eastAsia" w:ascii="方正小标宋_GBK" w:hAnsi="方正小标宋_GBK" w:eastAsia="方正小标宋_GBK" w:cs="方正小标宋_GBK"/>
          <w:bCs w:val="0"/>
        </w:rPr>
        <w:t xml:space="preserve">第一部分  </w:t>
      </w:r>
      <w:r>
        <w:rPr>
          <w:rStyle w:val="29"/>
          <w:rFonts w:hint="eastAsia" w:ascii="方正小标宋_GBK" w:hAnsi="方正小标宋_GBK" w:eastAsia="方正小标宋_GBK" w:cs="方正小标宋_GBK"/>
          <w:b/>
          <w:bCs w:val="0"/>
        </w:rPr>
        <w:t>单位概况</w:t>
      </w:r>
      <w:bookmarkEnd w:id="6"/>
      <w:bookmarkEnd w:id="7"/>
    </w:p>
    <w:p w14:paraId="419D87A4">
      <w:pPr>
        <w:spacing w:line="576" w:lineRule="exact"/>
        <w:rPr>
          <w:rFonts w:eastAsia="方正仿宋_GBK"/>
          <w:sz w:val="32"/>
          <w:szCs w:val="32"/>
        </w:rPr>
      </w:pPr>
    </w:p>
    <w:p w14:paraId="209C9A23">
      <w:pPr>
        <w:pStyle w:val="4"/>
        <w:spacing w:before="0" w:after="0" w:line="576" w:lineRule="exact"/>
        <w:rPr>
          <w:rFonts w:ascii="方正黑体_GBK" w:hAnsi="方正黑体_GBK" w:eastAsia="方正黑体_GBK" w:cs="方正黑体_GBK"/>
          <w:b w:val="0"/>
        </w:rPr>
      </w:pPr>
      <w:r>
        <w:rPr>
          <w:rFonts w:hint="eastAsia" w:ascii="Times New Roman" w:hAnsi="Times New Roman" w:eastAsia="方正仿宋_GBK" w:cs="Times New Roman"/>
          <w:b w:val="0"/>
        </w:rPr>
        <w:t xml:space="preserve">  </w:t>
      </w:r>
      <w:r>
        <w:rPr>
          <w:rFonts w:hint="eastAsia" w:ascii="方正黑体_GBK" w:hAnsi="方正黑体_GBK" w:eastAsia="方正黑体_GBK" w:cs="方正黑体_GBK"/>
          <w:b w:val="0"/>
        </w:rPr>
        <w:t xml:space="preserve">  一、主要职责</w:t>
      </w:r>
    </w:p>
    <w:p w14:paraId="64E03677">
      <w:pPr>
        <w:spacing w:line="576" w:lineRule="exact"/>
        <w:ind w:firstLine="640" w:firstLineChars="200"/>
        <w:rPr>
          <w:rFonts w:eastAsia="方正仿宋_GBK"/>
          <w:sz w:val="32"/>
          <w:szCs w:val="32"/>
        </w:rPr>
      </w:pPr>
      <w:r>
        <w:rPr>
          <w:rFonts w:eastAsia="方正仿宋_GBK"/>
          <w:sz w:val="32"/>
          <w:szCs w:val="32"/>
        </w:rPr>
        <w:t>根据中共盐边县委机构编制委员会《关于印发盐边县人民政府办公室主要职责内设机构和人员编制规定的通知》（盐边编发〔2012〕5号）规定，</w:t>
      </w:r>
      <w:r>
        <w:rPr>
          <w:rFonts w:eastAsia="方正仿宋_GBK"/>
          <w:bCs/>
          <w:sz w:val="32"/>
          <w:szCs w:val="32"/>
        </w:rPr>
        <w:t>县政府办公室是协助县政府领导同志处理县政府日常工作的机构，</w:t>
      </w:r>
      <w:r>
        <w:rPr>
          <w:rFonts w:eastAsia="方正仿宋_GBK"/>
          <w:sz w:val="32"/>
          <w:szCs w:val="32"/>
        </w:rPr>
        <w:t>职能职责如下：</w:t>
      </w:r>
    </w:p>
    <w:p w14:paraId="4C303576">
      <w:pPr>
        <w:spacing w:line="576" w:lineRule="exact"/>
        <w:ind w:firstLine="640" w:firstLineChars="200"/>
        <w:rPr>
          <w:rFonts w:eastAsia="方正仿宋_GBK"/>
          <w:sz w:val="32"/>
          <w:szCs w:val="32"/>
        </w:rPr>
      </w:pPr>
      <w:r>
        <w:rPr>
          <w:rFonts w:eastAsia="方正仿宋_GBK"/>
          <w:sz w:val="32"/>
          <w:szCs w:val="32"/>
        </w:rPr>
        <w:t>（1）协助县政府领导同志组织起草或审核以县政府、县政府办公室名义发布的公文。办理省政府、省政府办公厅及省级部门和市政府、市政府办公室及市级部门发送县政府的文电。指导全县行政机关公文处理工作。</w:t>
      </w:r>
    </w:p>
    <w:p w14:paraId="3C3B7B5B">
      <w:pPr>
        <w:spacing w:line="576" w:lineRule="exact"/>
        <w:ind w:firstLine="640" w:firstLineChars="200"/>
        <w:rPr>
          <w:rFonts w:eastAsia="方正仿宋_GBK"/>
          <w:sz w:val="32"/>
          <w:szCs w:val="32"/>
        </w:rPr>
      </w:pPr>
      <w:r>
        <w:rPr>
          <w:rFonts w:eastAsia="方正仿宋_GBK"/>
          <w:sz w:val="32"/>
          <w:szCs w:val="32"/>
        </w:rPr>
        <w:t>（2）研究县政府部门和乡（镇）人民政府、县政府派出机构请示县政府的事项，提出审核意见，报县政府领导同志审批。</w:t>
      </w:r>
    </w:p>
    <w:p w14:paraId="6CA773CB">
      <w:pPr>
        <w:spacing w:line="576" w:lineRule="exact"/>
        <w:ind w:firstLine="640" w:firstLineChars="200"/>
        <w:rPr>
          <w:rFonts w:eastAsia="方正仿宋_GBK"/>
          <w:sz w:val="32"/>
          <w:szCs w:val="32"/>
        </w:rPr>
      </w:pPr>
      <w:r>
        <w:rPr>
          <w:rFonts w:eastAsia="方正仿宋_GBK"/>
          <w:sz w:val="32"/>
          <w:szCs w:val="32"/>
        </w:rPr>
        <w:t>（3）负责县政府会议的准备工作，协助县政府领导同志组织实施会议决定事项。</w:t>
      </w:r>
    </w:p>
    <w:p w14:paraId="10DC91DA">
      <w:pPr>
        <w:spacing w:line="576" w:lineRule="exact"/>
        <w:ind w:firstLine="640" w:firstLineChars="200"/>
        <w:rPr>
          <w:rFonts w:eastAsia="方正仿宋_GBK"/>
          <w:sz w:val="32"/>
          <w:szCs w:val="32"/>
        </w:rPr>
      </w:pPr>
      <w:r>
        <w:rPr>
          <w:rFonts w:eastAsia="方正仿宋_GBK"/>
          <w:sz w:val="32"/>
          <w:szCs w:val="32"/>
        </w:rPr>
        <w:t>（4）督促检查县政府部门和乡（镇）人民政府、县政府派出机构对县政府决定事项及县政府领导同志指示的贯彻落实情况，及时向县政府领导同志报告。</w:t>
      </w:r>
    </w:p>
    <w:p w14:paraId="348EBFB4">
      <w:pPr>
        <w:spacing w:line="576" w:lineRule="exact"/>
        <w:ind w:firstLine="640" w:firstLineChars="200"/>
        <w:rPr>
          <w:rFonts w:eastAsia="方正仿宋_GBK"/>
          <w:sz w:val="32"/>
          <w:szCs w:val="32"/>
        </w:rPr>
      </w:pPr>
      <w:r>
        <w:rPr>
          <w:rFonts w:eastAsia="方正仿宋_GBK"/>
          <w:sz w:val="32"/>
          <w:szCs w:val="32"/>
        </w:rPr>
        <w:t>（5）根据县政府领导同志的指示，对县政府部门间争议问题提出处理意见和建议，报县政府领导同志决定。</w:t>
      </w:r>
    </w:p>
    <w:p w14:paraId="60219474">
      <w:pPr>
        <w:spacing w:line="576" w:lineRule="exact"/>
        <w:ind w:firstLine="640" w:firstLineChars="200"/>
        <w:rPr>
          <w:rFonts w:eastAsia="方正仿宋_GBK"/>
          <w:sz w:val="32"/>
          <w:szCs w:val="32"/>
        </w:rPr>
      </w:pPr>
      <w:r>
        <w:rPr>
          <w:rFonts w:eastAsia="方正仿宋_GBK"/>
          <w:sz w:val="32"/>
          <w:szCs w:val="32"/>
        </w:rPr>
        <w:t>（6）负责县政府值班工作，指导县政府部门和乡（镇）人民政府、县政府派出机构值班工作，及时报告重要情况。</w:t>
      </w:r>
    </w:p>
    <w:p w14:paraId="45257FEE">
      <w:pPr>
        <w:spacing w:line="576" w:lineRule="exact"/>
        <w:ind w:firstLine="640" w:firstLineChars="200"/>
        <w:rPr>
          <w:rFonts w:eastAsia="方正仿宋_GBK"/>
          <w:sz w:val="32"/>
          <w:szCs w:val="32"/>
        </w:rPr>
      </w:pPr>
      <w:r>
        <w:rPr>
          <w:rFonts w:eastAsia="方正仿宋_GBK"/>
          <w:sz w:val="32"/>
          <w:szCs w:val="32"/>
        </w:rPr>
        <w:t>（7）指导、监督全县政府信息公开工作，指导、监督全县政府系统电子政务工作和政府网站建设。</w:t>
      </w:r>
    </w:p>
    <w:p w14:paraId="2DC50E35">
      <w:pPr>
        <w:spacing w:line="576" w:lineRule="exact"/>
        <w:ind w:firstLine="640" w:firstLineChars="200"/>
        <w:rPr>
          <w:rFonts w:eastAsia="方正仿宋_GBK"/>
          <w:sz w:val="32"/>
          <w:szCs w:val="32"/>
        </w:rPr>
      </w:pPr>
      <w:r>
        <w:rPr>
          <w:rFonts w:eastAsia="方正仿宋_GBK"/>
          <w:sz w:val="32"/>
          <w:szCs w:val="32"/>
        </w:rPr>
        <w:t>（8）负责县政府部门和乡（镇）人民政府、县政府派出机构目标（绩效）管理工作，牵头负责全县民生工程工作的实施和推进，组织办理涉及县政府工作的人大代表议案、批评、建议和政协委员提案、建议案。</w:t>
      </w:r>
    </w:p>
    <w:p w14:paraId="5D675A9E">
      <w:pPr>
        <w:spacing w:line="576" w:lineRule="exact"/>
        <w:ind w:firstLine="640" w:firstLineChars="200"/>
        <w:rPr>
          <w:rFonts w:eastAsia="方正仿宋_GBK"/>
          <w:sz w:val="32"/>
          <w:szCs w:val="32"/>
        </w:rPr>
      </w:pPr>
      <w:r>
        <w:rPr>
          <w:rFonts w:eastAsia="方正仿宋_GBK"/>
          <w:sz w:val="32"/>
          <w:szCs w:val="32"/>
        </w:rPr>
        <w:t>（9）指导全县应急管理工作，协助县政府领导同志做好需由县政府组织处理的突发事件的应急处置工作，指导全县抗灾救灾工作。</w:t>
      </w:r>
    </w:p>
    <w:p w14:paraId="20AB0496">
      <w:pPr>
        <w:spacing w:line="576" w:lineRule="exact"/>
        <w:ind w:firstLine="640" w:firstLineChars="200"/>
        <w:rPr>
          <w:rFonts w:eastAsia="方正仿宋_GBK"/>
          <w:sz w:val="32"/>
          <w:szCs w:val="32"/>
        </w:rPr>
      </w:pPr>
      <w:r>
        <w:rPr>
          <w:rFonts w:eastAsia="方正仿宋_GBK"/>
          <w:sz w:val="32"/>
          <w:szCs w:val="32"/>
        </w:rPr>
        <w:t>（10）围绕县政府中心工作和县政府领导同志的指示，组织专题调查研究，及时反映情况，提出政策性建议。</w:t>
      </w:r>
    </w:p>
    <w:p w14:paraId="6D7575AA">
      <w:pPr>
        <w:spacing w:line="576" w:lineRule="exact"/>
        <w:ind w:firstLine="640" w:firstLineChars="200"/>
        <w:rPr>
          <w:rFonts w:eastAsia="方正仿宋_GBK"/>
          <w:sz w:val="32"/>
          <w:szCs w:val="32"/>
        </w:rPr>
      </w:pPr>
      <w:r>
        <w:rPr>
          <w:rFonts w:eastAsia="方正仿宋_GBK"/>
          <w:sz w:val="32"/>
          <w:szCs w:val="32"/>
        </w:rPr>
        <w:t>（11）统筹管理全县外事工作，归口管理全县因公出国（境）工作，负责全县涉外管理、相关礼宾接待、国际友好城市缔结和对外友协工作，办理其他相关涉外事务。</w:t>
      </w:r>
    </w:p>
    <w:p w14:paraId="30A300AA">
      <w:pPr>
        <w:spacing w:line="576" w:lineRule="exact"/>
        <w:ind w:firstLine="640" w:firstLineChars="200"/>
        <w:rPr>
          <w:rFonts w:eastAsia="方正仿宋_GBK"/>
          <w:sz w:val="32"/>
          <w:szCs w:val="32"/>
        </w:rPr>
      </w:pPr>
      <w:r>
        <w:rPr>
          <w:rFonts w:eastAsia="方正仿宋_GBK"/>
          <w:sz w:val="32"/>
          <w:szCs w:val="32"/>
        </w:rPr>
        <w:t>（12）负责县政府法制工作，负责全县依法行政工作的组织协调和监督指导，负责县政府规范性文件的合法性审查和制定工作，依法开展行政执法监督工作，做好行政复议、行政应诉工作。</w:t>
      </w:r>
    </w:p>
    <w:p w14:paraId="48221ABE">
      <w:pPr>
        <w:spacing w:line="576" w:lineRule="exact"/>
        <w:ind w:firstLine="640" w:firstLineChars="200"/>
        <w:rPr>
          <w:rFonts w:eastAsia="方正仿宋_GBK"/>
          <w:sz w:val="32"/>
          <w:szCs w:val="32"/>
        </w:rPr>
      </w:pPr>
      <w:r>
        <w:rPr>
          <w:rFonts w:eastAsia="方正仿宋_GBK"/>
          <w:sz w:val="32"/>
          <w:szCs w:val="32"/>
        </w:rPr>
        <w:t>（13）负责县政府驻外机构的管理工作。</w:t>
      </w:r>
    </w:p>
    <w:p w14:paraId="18BAC20B">
      <w:pPr>
        <w:spacing w:line="576" w:lineRule="exact"/>
        <w:ind w:firstLine="640" w:firstLineChars="200"/>
        <w:rPr>
          <w:rFonts w:eastAsia="方正仿宋_GBK"/>
          <w:sz w:val="32"/>
          <w:szCs w:val="32"/>
        </w:rPr>
      </w:pPr>
      <w:r>
        <w:rPr>
          <w:rFonts w:eastAsia="方正仿宋_GBK"/>
          <w:sz w:val="32"/>
          <w:szCs w:val="32"/>
        </w:rPr>
        <w:t>（14）承担县政府公布的有关行政审批事项。</w:t>
      </w:r>
    </w:p>
    <w:p w14:paraId="39DD936F">
      <w:pPr>
        <w:spacing w:line="576" w:lineRule="exact"/>
        <w:ind w:firstLine="640" w:firstLineChars="200"/>
        <w:rPr>
          <w:rFonts w:eastAsia="方正仿宋_GBK"/>
          <w:sz w:val="32"/>
          <w:szCs w:val="32"/>
        </w:rPr>
      </w:pPr>
      <w:r>
        <w:rPr>
          <w:rFonts w:eastAsia="方正仿宋_GBK"/>
          <w:sz w:val="32"/>
          <w:szCs w:val="32"/>
        </w:rPr>
        <w:t>（15）负责全县机关效能建设工作。</w:t>
      </w:r>
    </w:p>
    <w:p w14:paraId="5A9233F8">
      <w:pPr>
        <w:pStyle w:val="36"/>
        <w:spacing w:line="576" w:lineRule="exact"/>
        <w:ind w:firstLine="640"/>
        <w:rPr>
          <w:rFonts w:eastAsia="方正仿宋_GBK"/>
          <w:sz w:val="32"/>
          <w:szCs w:val="32"/>
        </w:rPr>
      </w:pPr>
      <w:r>
        <w:rPr>
          <w:rFonts w:eastAsia="方正仿宋_GBK"/>
          <w:sz w:val="32"/>
          <w:szCs w:val="32"/>
        </w:rPr>
        <w:t>（16）承办县政府和县政府领导同志交办的其他事项。</w:t>
      </w:r>
    </w:p>
    <w:p w14:paraId="49FD61D7">
      <w:pPr>
        <w:pStyle w:val="4"/>
        <w:spacing w:before="0" w:after="0" w:line="576" w:lineRule="exact"/>
        <w:ind w:firstLine="640" w:firstLineChars="200"/>
        <w:rPr>
          <w:rStyle w:val="30"/>
          <w:rFonts w:ascii="方正黑体_GBK" w:hAnsi="方正黑体_GBK" w:eastAsia="方正黑体_GBK" w:cs="方正黑体_GBK"/>
          <w:b w:val="0"/>
          <w:bCs w:val="0"/>
        </w:rPr>
      </w:pPr>
      <w:bookmarkStart w:id="8" w:name="_Toc15377200"/>
      <w:bookmarkStart w:id="9" w:name="_Toc15396601"/>
      <w:r>
        <w:rPr>
          <w:rFonts w:hint="eastAsia" w:ascii="方正黑体_GBK" w:hAnsi="方正黑体_GBK" w:eastAsia="方正黑体_GBK" w:cs="方正黑体_GBK"/>
          <w:b w:val="0"/>
        </w:rPr>
        <w:t>二、机</w:t>
      </w:r>
      <w:r>
        <w:rPr>
          <w:rStyle w:val="30"/>
          <w:rFonts w:hint="eastAsia" w:ascii="方正黑体_GBK" w:hAnsi="方正黑体_GBK" w:eastAsia="方正黑体_GBK" w:cs="方正黑体_GBK"/>
          <w:b w:val="0"/>
          <w:bCs w:val="0"/>
        </w:rPr>
        <w:t>构设置</w:t>
      </w:r>
      <w:bookmarkEnd w:id="8"/>
      <w:bookmarkEnd w:id="9"/>
    </w:p>
    <w:p w14:paraId="3A4FD22B">
      <w:pPr>
        <w:pStyle w:val="4"/>
        <w:spacing w:before="0" w:after="0" w:line="576" w:lineRule="exact"/>
        <w:ind w:firstLine="640" w:firstLineChars="200"/>
        <w:rPr>
          <w:rFonts w:ascii="Times New Roman" w:hAnsi="Times New Roman" w:eastAsia="方正仿宋_GBK" w:cs="Times New Roman"/>
          <w:b w:val="0"/>
          <w:bCs w:val="0"/>
        </w:rPr>
      </w:pPr>
      <w:r>
        <w:rPr>
          <w:rFonts w:ascii="Times New Roman" w:hAnsi="Times New Roman" w:eastAsia="方正仿宋_GBK" w:cs="Times New Roman"/>
          <w:b w:val="0"/>
          <w:bCs w:val="0"/>
        </w:rPr>
        <w:t>按照决算管理有关规定，县政府办公室为独立核算行政单位，纳入预算编报范围的机构1个，内设股室8个，分别为行政股、综合一股、综合二股、文电股、政研股、信息股、国防动员股、总值班室。下属公益一类事业单位1个，为盐边县政府网站事务中心。</w:t>
      </w:r>
    </w:p>
    <w:p w14:paraId="3F86D67A">
      <w:pPr>
        <w:ind w:firstLine="800" w:firstLineChars="250"/>
        <w:rPr>
          <w:rFonts w:eastAsia="仿宋_GB2312" w:cs="仿宋_GB2312"/>
          <w:sz w:val="32"/>
          <w:szCs w:val="32"/>
        </w:rPr>
      </w:pPr>
    </w:p>
    <w:p w14:paraId="0A9774BF">
      <w:pPr>
        <w:pStyle w:val="14"/>
      </w:pPr>
    </w:p>
    <w:p w14:paraId="0726F881">
      <w:pPr>
        <w:pStyle w:val="8"/>
        <w:ind w:left="420"/>
      </w:pPr>
    </w:p>
    <w:p w14:paraId="0A6B91E0">
      <w:pPr>
        <w:pStyle w:val="8"/>
        <w:ind w:left="420"/>
      </w:pPr>
    </w:p>
    <w:p w14:paraId="102D6DF5">
      <w:pPr>
        <w:pStyle w:val="8"/>
        <w:ind w:left="420"/>
      </w:pPr>
    </w:p>
    <w:p w14:paraId="57A99493">
      <w:pPr>
        <w:pStyle w:val="8"/>
        <w:ind w:left="420"/>
      </w:pPr>
    </w:p>
    <w:p w14:paraId="055BF73B">
      <w:pPr>
        <w:pStyle w:val="8"/>
        <w:ind w:left="420"/>
      </w:pPr>
    </w:p>
    <w:p w14:paraId="290BE713">
      <w:pPr>
        <w:pStyle w:val="8"/>
        <w:ind w:left="420"/>
      </w:pPr>
    </w:p>
    <w:p w14:paraId="0A0C7102">
      <w:pPr>
        <w:pStyle w:val="8"/>
        <w:ind w:left="420"/>
      </w:pPr>
    </w:p>
    <w:p w14:paraId="049A1DE9">
      <w:pPr>
        <w:pStyle w:val="8"/>
        <w:ind w:left="420"/>
      </w:pPr>
    </w:p>
    <w:p w14:paraId="3A3AD7E5">
      <w:pPr>
        <w:pStyle w:val="8"/>
        <w:ind w:left="420"/>
      </w:pPr>
    </w:p>
    <w:p w14:paraId="05DEA11C">
      <w:pPr>
        <w:pStyle w:val="8"/>
        <w:ind w:left="420"/>
      </w:pPr>
    </w:p>
    <w:p w14:paraId="6EA23C7F">
      <w:pPr>
        <w:pStyle w:val="8"/>
        <w:ind w:left="420"/>
      </w:pPr>
    </w:p>
    <w:p w14:paraId="633C9CD0">
      <w:pPr>
        <w:pStyle w:val="8"/>
        <w:ind w:left="420"/>
      </w:pPr>
    </w:p>
    <w:p w14:paraId="66776939">
      <w:pPr>
        <w:pStyle w:val="8"/>
        <w:ind w:left="420"/>
      </w:pPr>
    </w:p>
    <w:p w14:paraId="0C922239">
      <w:pPr>
        <w:pStyle w:val="8"/>
        <w:ind w:left="420"/>
      </w:pPr>
    </w:p>
    <w:p w14:paraId="23B1581A">
      <w:pPr>
        <w:pStyle w:val="8"/>
        <w:ind w:left="420"/>
      </w:pPr>
    </w:p>
    <w:p w14:paraId="0AFCCE09">
      <w:pPr>
        <w:pStyle w:val="8"/>
        <w:ind w:left="420"/>
      </w:pPr>
    </w:p>
    <w:p w14:paraId="7C3CE0F4">
      <w:pPr>
        <w:pStyle w:val="8"/>
        <w:ind w:left="420"/>
      </w:pPr>
    </w:p>
    <w:p w14:paraId="3262BFFB">
      <w:pPr>
        <w:pStyle w:val="3"/>
        <w:jc w:val="center"/>
        <w:rPr>
          <w:rFonts w:ascii="方正小标宋_GBK" w:hAnsi="方正小标宋_GBK" w:eastAsia="方正小标宋_GBK" w:cs="方正小标宋_GBK"/>
          <w:bCs w:val="0"/>
        </w:rPr>
      </w:pPr>
      <w:bookmarkStart w:id="10" w:name="_Toc15377204"/>
      <w:bookmarkStart w:id="11" w:name="_Toc15396602"/>
      <w:r>
        <w:rPr>
          <w:rFonts w:hint="eastAsia" w:ascii="方正小标宋_GBK" w:hAnsi="方正小标宋_GBK" w:eastAsia="方正小标宋_GBK" w:cs="方正小标宋_GBK"/>
          <w:bCs w:val="0"/>
        </w:rPr>
        <w:t>第二部分  2024年度部门决算情况说明</w:t>
      </w:r>
      <w:bookmarkEnd w:id="10"/>
      <w:bookmarkEnd w:id="11"/>
    </w:p>
    <w:p w14:paraId="7F30ED75"/>
    <w:p w14:paraId="58F1EBB4">
      <w:pPr>
        <w:pStyle w:val="28"/>
        <w:spacing w:line="600" w:lineRule="exact"/>
        <w:ind w:firstLine="640"/>
        <w:outlineLvl w:val="1"/>
        <w:rPr>
          <w:rStyle w:val="30"/>
          <w:rFonts w:ascii="Times New Roman" w:hAnsi="Times New Roman" w:eastAsia="方正仿宋_GBK" w:cs="Times New Roman"/>
          <w:b w:val="0"/>
        </w:rPr>
      </w:pPr>
      <w:bookmarkStart w:id="12" w:name="_Toc15396603"/>
      <w:bookmarkStart w:id="13" w:name="_Toc15377205"/>
      <w:r>
        <w:rPr>
          <w:rFonts w:hint="eastAsia" w:ascii="方正黑体_GBK" w:hAnsi="方正黑体_GBK" w:eastAsia="方正黑体_GBK" w:cs="方正黑体_GBK"/>
          <w:sz w:val="32"/>
          <w:szCs w:val="32"/>
        </w:rPr>
        <w:t>一、收</w:t>
      </w:r>
      <w:r>
        <w:rPr>
          <w:rStyle w:val="30"/>
          <w:rFonts w:hint="eastAsia" w:ascii="方正黑体_GBK" w:hAnsi="方正黑体_GBK" w:eastAsia="方正黑体_GBK" w:cs="方正黑体_GBK"/>
          <w:b w:val="0"/>
        </w:rPr>
        <w:t>入支出决算总体情况说明</w:t>
      </w:r>
      <w:bookmarkEnd w:id="12"/>
      <w:bookmarkEnd w:id="13"/>
    </w:p>
    <w:p w14:paraId="01647943">
      <w:pPr>
        <w:overflowPunct w:val="0"/>
        <w:spacing w:line="560" w:lineRule="exact"/>
        <w:ind w:firstLine="640" w:firstLineChars="200"/>
        <w:rPr>
          <w:rFonts w:eastAsia="方正仿宋_GBK"/>
          <w:sz w:val="32"/>
          <w:szCs w:val="32"/>
        </w:rPr>
      </w:pPr>
      <w:r>
        <w:rPr>
          <w:rFonts w:eastAsia="方正仿宋_GBK"/>
          <w:sz w:val="32"/>
          <w:szCs w:val="32"/>
        </w:rPr>
        <w:t>2024年度收入、支出总计均为1040.17万元。较2023年度收、支总计各减少359.32</w:t>
      </w:r>
      <w:r>
        <w:rPr>
          <w:rFonts w:eastAsia="方正仿宋_GBK"/>
          <w:sz w:val="32"/>
          <w:szCs w:val="32"/>
          <w:lang w:val="zh-CN"/>
        </w:rPr>
        <w:t>万元</w:t>
      </w:r>
      <w:r>
        <w:rPr>
          <w:rFonts w:eastAsia="方正仿宋_GBK"/>
          <w:sz w:val="32"/>
          <w:szCs w:val="32"/>
        </w:rPr>
        <w:t>，降低25.67</w:t>
      </w:r>
      <w:r>
        <w:rPr>
          <w:rFonts w:eastAsia="方正仿宋_GBK"/>
          <w:sz w:val="32"/>
          <w:szCs w:val="32"/>
          <w:lang w:val="zh-CN"/>
        </w:rPr>
        <w:t>%</w:t>
      </w:r>
      <w:r>
        <w:rPr>
          <w:rFonts w:eastAsia="方正仿宋_GBK"/>
          <w:sz w:val="32"/>
          <w:szCs w:val="32"/>
        </w:rPr>
        <w:t>。主要变动原因是2023年化解暂付款413.69万元，本年度无暂付款化解情况。</w:t>
      </w:r>
    </w:p>
    <w:p w14:paraId="45EAED3A">
      <w:pPr>
        <w:pStyle w:val="2"/>
        <w:ind w:firstLine="640"/>
        <w:rPr>
          <w:rFonts w:eastAsia="方正仿宋_GBK"/>
          <w:sz w:val="32"/>
          <w:szCs w:val="32"/>
        </w:rPr>
      </w:pPr>
      <w:r>
        <w:rPr>
          <w:rFonts w:eastAsia="方正仿宋_GBK"/>
          <w:sz w:val="32"/>
          <w:szCs w:val="32"/>
        </w:rPr>
        <w:drawing>
          <wp:inline distT="0" distB="0" distL="114300" distR="114300">
            <wp:extent cx="4892675" cy="3158490"/>
            <wp:effectExtent l="4445" t="4445" r="17780" b="1841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3C159E8">
      <w:pPr>
        <w:ind w:firstLine="640" w:firstLineChars="200"/>
        <w:rPr>
          <w:rFonts w:eastAsia="方正仿宋_GBK"/>
          <w:sz w:val="32"/>
          <w:szCs w:val="32"/>
        </w:rPr>
      </w:pPr>
      <w:r>
        <w:rPr>
          <w:rFonts w:eastAsia="方正仿宋_GBK"/>
          <w:sz w:val="32"/>
          <w:szCs w:val="32"/>
        </w:rPr>
        <w:t>（图1：收入、支出决算总计变动情况图）（柱状图）</w:t>
      </w:r>
    </w:p>
    <w:p w14:paraId="339834AB">
      <w:pPr>
        <w:pStyle w:val="28"/>
        <w:spacing w:line="600" w:lineRule="exact"/>
        <w:ind w:firstLine="640"/>
        <w:outlineLvl w:val="1"/>
        <w:rPr>
          <w:rFonts w:eastAsia="方正仿宋_GBK"/>
          <w:sz w:val="32"/>
          <w:szCs w:val="32"/>
        </w:rPr>
      </w:pPr>
      <w:bookmarkStart w:id="14" w:name="_Toc15396604"/>
      <w:bookmarkStart w:id="15" w:name="_Toc15377206"/>
      <w:r>
        <w:rPr>
          <w:rFonts w:ascii="方正黑体_GBK" w:hAnsi="方正黑体_GBK" w:eastAsia="方正黑体_GBK" w:cs="方正黑体_GBK"/>
          <w:sz w:val="32"/>
          <w:szCs w:val="32"/>
        </w:rPr>
        <w:t>二、收入决算情况说明</w:t>
      </w:r>
      <w:bookmarkEnd w:id="14"/>
      <w:bookmarkEnd w:id="15"/>
    </w:p>
    <w:p w14:paraId="70CE997B">
      <w:pPr>
        <w:pStyle w:val="28"/>
        <w:spacing w:line="600" w:lineRule="exact"/>
        <w:ind w:firstLine="640"/>
        <w:jc w:val="left"/>
        <w:outlineLvl w:val="1"/>
        <w:rPr>
          <w:rFonts w:eastAsia="方正仿宋_GBK"/>
          <w:b/>
          <w:bCs/>
          <w:sz w:val="32"/>
          <w:szCs w:val="32"/>
        </w:rPr>
      </w:pPr>
      <w:r>
        <w:rPr>
          <w:rFonts w:eastAsia="方正仿宋_GBK"/>
          <w:sz w:val="32"/>
          <w:szCs w:val="32"/>
        </w:rPr>
        <w:t>2024年度本年收入合计1040.17万元，其中：一般公共预算财政拨款收入1040.17万元，占100%。</w:t>
      </w:r>
    </w:p>
    <w:p w14:paraId="74666030">
      <w:pPr>
        <w:pStyle w:val="2"/>
        <w:ind w:firstLine="640"/>
        <w:rPr>
          <w:rFonts w:eastAsia="方正仿宋_GBK"/>
          <w:sz w:val="32"/>
          <w:szCs w:val="32"/>
        </w:rPr>
      </w:pPr>
    </w:p>
    <w:p w14:paraId="2277EEB2">
      <w:pPr>
        <w:ind w:firstLine="800" w:firstLineChars="250"/>
        <w:rPr>
          <w:rFonts w:eastAsia="方正仿宋_GBK"/>
          <w:sz w:val="32"/>
          <w:szCs w:val="32"/>
        </w:rPr>
      </w:pPr>
      <w:r>
        <w:rPr>
          <w:rFonts w:eastAsia="方正仿宋_GBK"/>
          <w:sz w:val="32"/>
          <w:szCs w:val="32"/>
        </w:rPr>
        <w:drawing>
          <wp:anchor distT="0" distB="0" distL="114300" distR="114300" simplePos="0" relativeHeight="251659264" behindDoc="0" locked="0" layoutInCell="1" allowOverlap="1">
            <wp:simplePos x="0" y="0"/>
            <wp:positionH relativeFrom="column">
              <wp:posOffset>-5080</wp:posOffset>
            </wp:positionH>
            <wp:positionV relativeFrom="paragraph">
              <wp:posOffset>20320</wp:posOffset>
            </wp:positionV>
            <wp:extent cx="5313680" cy="3121660"/>
            <wp:effectExtent l="4445" t="4445" r="15875" b="1714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3FD0EB4F">
      <w:pPr>
        <w:pStyle w:val="2"/>
        <w:ind w:firstLine="640"/>
        <w:rPr>
          <w:rFonts w:eastAsia="方正仿宋_GBK"/>
          <w:sz w:val="32"/>
          <w:szCs w:val="32"/>
        </w:rPr>
      </w:pPr>
    </w:p>
    <w:p w14:paraId="2C2C7E6E">
      <w:pPr>
        <w:pStyle w:val="2"/>
        <w:ind w:firstLine="640"/>
        <w:rPr>
          <w:rFonts w:eastAsia="方正仿宋_GBK"/>
          <w:sz w:val="32"/>
          <w:szCs w:val="32"/>
        </w:rPr>
      </w:pPr>
    </w:p>
    <w:p w14:paraId="4BC227A8">
      <w:pPr>
        <w:pStyle w:val="2"/>
        <w:ind w:firstLine="640"/>
        <w:rPr>
          <w:rFonts w:eastAsia="方正仿宋_GBK"/>
          <w:sz w:val="32"/>
          <w:szCs w:val="32"/>
        </w:rPr>
      </w:pPr>
    </w:p>
    <w:p w14:paraId="52916A30">
      <w:pPr>
        <w:pStyle w:val="2"/>
        <w:ind w:firstLine="640"/>
        <w:rPr>
          <w:rFonts w:eastAsia="方正仿宋_GBK"/>
          <w:sz w:val="32"/>
          <w:szCs w:val="32"/>
        </w:rPr>
      </w:pPr>
    </w:p>
    <w:p w14:paraId="7F254FCC">
      <w:pPr>
        <w:pStyle w:val="2"/>
        <w:ind w:firstLine="640"/>
        <w:rPr>
          <w:rFonts w:eastAsia="方正仿宋_GBK"/>
          <w:sz w:val="32"/>
          <w:szCs w:val="32"/>
        </w:rPr>
      </w:pPr>
    </w:p>
    <w:p w14:paraId="71DA7BE1">
      <w:pPr>
        <w:pStyle w:val="2"/>
        <w:ind w:firstLine="640"/>
        <w:rPr>
          <w:rFonts w:eastAsia="方正仿宋_GBK"/>
          <w:sz w:val="32"/>
          <w:szCs w:val="32"/>
        </w:rPr>
      </w:pPr>
    </w:p>
    <w:p w14:paraId="1ACEA43E">
      <w:pPr>
        <w:rPr>
          <w:rFonts w:eastAsia="方正仿宋_GBK"/>
          <w:sz w:val="32"/>
          <w:szCs w:val="32"/>
        </w:rPr>
      </w:pPr>
    </w:p>
    <w:p w14:paraId="5DE8ACC5">
      <w:pPr>
        <w:spacing w:line="460" w:lineRule="exact"/>
        <w:jc w:val="center"/>
        <w:rPr>
          <w:rFonts w:eastAsia="方正仿宋_GBK"/>
          <w:sz w:val="32"/>
          <w:szCs w:val="32"/>
        </w:rPr>
      </w:pPr>
      <w:r>
        <w:rPr>
          <w:rFonts w:eastAsia="方正仿宋_GBK"/>
          <w:sz w:val="32"/>
          <w:szCs w:val="32"/>
        </w:rPr>
        <w:t>（图2：收入决算结构图）（饼状图）</w:t>
      </w:r>
      <w:bookmarkStart w:id="16" w:name="_Toc15377207"/>
      <w:bookmarkStart w:id="17" w:name="_Toc15396605"/>
    </w:p>
    <w:p w14:paraId="347126C9">
      <w:pPr>
        <w:pStyle w:val="28"/>
        <w:spacing w:line="460" w:lineRule="exact"/>
        <w:ind w:firstLine="640"/>
        <w:outlineLvl w:val="1"/>
        <w:rPr>
          <w:rStyle w:val="30"/>
          <w:rFonts w:ascii="Times New Roman" w:hAnsi="Times New Roman" w:eastAsia="方正仿宋_GBK" w:cs="Times New Roman"/>
          <w:b w:val="0"/>
        </w:rPr>
      </w:pPr>
      <w:r>
        <w:rPr>
          <w:rFonts w:ascii="方正黑体_GBK" w:hAnsi="方正黑体_GBK" w:eastAsia="方正黑体_GBK" w:cs="方正黑体_GBK"/>
          <w:sz w:val="32"/>
          <w:szCs w:val="32"/>
        </w:rPr>
        <w:t>三、支出决算情况说明</w:t>
      </w:r>
      <w:bookmarkEnd w:id="16"/>
      <w:bookmarkEnd w:id="17"/>
    </w:p>
    <w:p w14:paraId="7104A697">
      <w:pPr>
        <w:pStyle w:val="28"/>
        <w:spacing w:line="460" w:lineRule="exact"/>
        <w:ind w:firstLine="640"/>
        <w:jc w:val="left"/>
        <w:outlineLvl w:val="1"/>
        <w:rPr>
          <w:rFonts w:eastAsia="方正仿宋_GBK"/>
          <w:sz w:val="32"/>
          <w:szCs w:val="32"/>
        </w:rPr>
      </w:pPr>
      <w:r>
        <w:rPr>
          <w:rFonts w:eastAsia="方正仿宋_GBK"/>
          <w:sz w:val="32"/>
          <w:szCs w:val="32"/>
        </w:rPr>
        <w:t>2024年度本年支出合计1040.17万元，其中：基本支出951.56万元，占91.48%；项目支出88.61万元，占8.52%。</w:t>
      </w:r>
    </w:p>
    <w:p w14:paraId="5750DB23">
      <w:pPr>
        <w:pStyle w:val="28"/>
        <w:spacing w:line="600" w:lineRule="exact"/>
        <w:ind w:firstLine="0" w:firstLineChars="0"/>
        <w:jc w:val="left"/>
        <w:outlineLvl w:val="1"/>
        <w:rPr>
          <w:rFonts w:eastAsia="方正仿宋_GBK"/>
          <w:sz w:val="32"/>
          <w:szCs w:val="32"/>
        </w:rPr>
      </w:pPr>
      <w:r>
        <w:rPr>
          <w:rFonts w:eastAsia="方正仿宋_GBK"/>
          <w:sz w:val="32"/>
          <w:szCs w:val="32"/>
        </w:rPr>
        <w:drawing>
          <wp:anchor distT="0" distB="0" distL="114300" distR="114300" simplePos="0" relativeHeight="251660288" behindDoc="0" locked="0" layoutInCell="1" allowOverlap="1">
            <wp:simplePos x="0" y="0"/>
            <wp:positionH relativeFrom="column">
              <wp:posOffset>0</wp:posOffset>
            </wp:positionH>
            <wp:positionV relativeFrom="paragraph">
              <wp:posOffset>209550</wp:posOffset>
            </wp:positionV>
            <wp:extent cx="5268595" cy="2884805"/>
            <wp:effectExtent l="0" t="0" r="8255" b="10795"/>
            <wp:wrapNone/>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268595" cy="2884805"/>
                    </a:xfrm>
                    <a:prstGeom prst="rect">
                      <a:avLst/>
                    </a:prstGeom>
                    <a:noFill/>
                    <a:ln>
                      <a:noFill/>
                    </a:ln>
                  </pic:spPr>
                </pic:pic>
              </a:graphicData>
            </a:graphic>
          </wp:anchor>
        </w:drawing>
      </w:r>
    </w:p>
    <w:p w14:paraId="13C7A6CA">
      <w:pPr>
        <w:pStyle w:val="28"/>
        <w:spacing w:line="600" w:lineRule="exact"/>
        <w:ind w:firstLine="0" w:firstLineChars="0"/>
        <w:jc w:val="left"/>
        <w:outlineLvl w:val="1"/>
        <w:rPr>
          <w:rFonts w:eastAsia="方正仿宋_GBK"/>
          <w:sz w:val="32"/>
          <w:szCs w:val="32"/>
        </w:rPr>
      </w:pPr>
    </w:p>
    <w:p w14:paraId="2492DB08">
      <w:pPr>
        <w:pStyle w:val="28"/>
        <w:spacing w:line="600" w:lineRule="exact"/>
        <w:ind w:firstLine="0" w:firstLineChars="0"/>
        <w:jc w:val="left"/>
        <w:outlineLvl w:val="1"/>
        <w:rPr>
          <w:rFonts w:eastAsia="方正仿宋_GBK"/>
          <w:sz w:val="32"/>
          <w:szCs w:val="32"/>
        </w:rPr>
      </w:pPr>
    </w:p>
    <w:p w14:paraId="25A0CEA1">
      <w:pPr>
        <w:pStyle w:val="28"/>
        <w:spacing w:line="600" w:lineRule="exact"/>
        <w:ind w:firstLine="0" w:firstLineChars="0"/>
        <w:jc w:val="left"/>
        <w:outlineLvl w:val="1"/>
        <w:rPr>
          <w:rFonts w:eastAsia="方正仿宋_GBK"/>
          <w:sz w:val="32"/>
          <w:szCs w:val="32"/>
        </w:rPr>
      </w:pPr>
    </w:p>
    <w:p w14:paraId="76461E97">
      <w:pPr>
        <w:pStyle w:val="28"/>
        <w:spacing w:line="600" w:lineRule="exact"/>
        <w:ind w:firstLine="0" w:firstLineChars="0"/>
        <w:jc w:val="left"/>
        <w:outlineLvl w:val="1"/>
        <w:rPr>
          <w:rFonts w:eastAsia="方正仿宋_GBK"/>
          <w:sz w:val="32"/>
          <w:szCs w:val="32"/>
        </w:rPr>
      </w:pPr>
    </w:p>
    <w:p w14:paraId="07628680">
      <w:pPr>
        <w:pStyle w:val="28"/>
        <w:spacing w:line="600" w:lineRule="exact"/>
        <w:ind w:firstLine="0" w:firstLineChars="0"/>
        <w:jc w:val="left"/>
        <w:outlineLvl w:val="1"/>
        <w:rPr>
          <w:rFonts w:eastAsia="方正仿宋_GBK"/>
          <w:sz w:val="32"/>
          <w:szCs w:val="32"/>
        </w:rPr>
      </w:pPr>
    </w:p>
    <w:p w14:paraId="58C58084">
      <w:pPr>
        <w:pStyle w:val="28"/>
        <w:spacing w:line="600" w:lineRule="exact"/>
        <w:ind w:firstLine="0" w:firstLineChars="0"/>
        <w:jc w:val="left"/>
        <w:outlineLvl w:val="1"/>
        <w:rPr>
          <w:rFonts w:eastAsia="方正仿宋_GBK"/>
          <w:sz w:val="32"/>
          <w:szCs w:val="32"/>
        </w:rPr>
      </w:pPr>
    </w:p>
    <w:p w14:paraId="24962E56">
      <w:pPr>
        <w:pStyle w:val="28"/>
        <w:spacing w:line="600" w:lineRule="exact"/>
        <w:ind w:firstLine="0" w:firstLineChars="0"/>
        <w:jc w:val="left"/>
        <w:outlineLvl w:val="1"/>
        <w:rPr>
          <w:rFonts w:eastAsia="方正仿宋_GBK"/>
          <w:sz w:val="32"/>
          <w:szCs w:val="32"/>
        </w:rPr>
      </w:pPr>
    </w:p>
    <w:p w14:paraId="2A41D6F4">
      <w:pPr>
        <w:ind w:firstLine="800" w:firstLineChars="250"/>
        <w:jc w:val="center"/>
        <w:rPr>
          <w:rFonts w:eastAsia="方正仿宋_GBK"/>
          <w:sz w:val="32"/>
          <w:szCs w:val="32"/>
        </w:rPr>
      </w:pPr>
      <w:r>
        <w:rPr>
          <w:rFonts w:eastAsia="方正仿宋_GBK"/>
          <w:sz w:val="32"/>
          <w:szCs w:val="32"/>
        </w:rPr>
        <w:t>（图3：支出决算结构图）（饼状图）</w:t>
      </w:r>
    </w:p>
    <w:p w14:paraId="79CD383C">
      <w:pPr>
        <w:pStyle w:val="28"/>
        <w:spacing w:line="600" w:lineRule="exact"/>
        <w:ind w:firstLine="640"/>
        <w:outlineLvl w:val="1"/>
        <w:rPr>
          <w:rStyle w:val="30"/>
          <w:rFonts w:ascii="Times New Roman" w:hAnsi="Times New Roman" w:eastAsia="方正仿宋_GBK" w:cs="Times New Roman"/>
          <w:b w:val="0"/>
        </w:rPr>
      </w:pPr>
      <w:bookmarkStart w:id="18" w:name="_Toc15396606"/>
      <w:bookmarkStart w:id="19" w:name="_Toc15377208"/>
      <w:r>
        <w:rPr>
          <w:rFonts w:ascii="方正黑体_GBK" w:hAnsi="方正黑体_GBK" w:eastAsia="方正黑体_GBK" w:cs="方正黑体_GBK"/>
          <w:sz w:val="32"/>
          <w:szCs w:val="32"/>
        </w:rPr>
        <w:t>四、财政拨款收入支出决算总体情况说明</w:t>
      </w:r>
      <w:bookmarkEnd w:id="18"/>
      <w:bookmarkEnd w:id="19"/>
    </w:p>
    <w:p w14:paraId="56652525">
      <w:pPr>
        <w:snapToGrid w:val="0"/>
        <w:spacing w:line="560" w:lineRule="exact"/>
        <w:ind w:firstLine="640" w:firstLineChars="200"/>
        <w:rPr>
          <w:rFonts w:eastAsia="方正仿宋_GBK"/>
          <w:sz w:val="32"/>
          <w:szCs w:val="32"/>
        </w:rPr>
      </w:pPr>
      <w:r>
        <w:rPr>
          <w:rFonts w:eastAsia="方正仿宋_GBK"/>
          <w:sz w:val="32"/>
          <w:szCs w:val="32"/>
        </w:rPr>
        <w:t>2024年度财政拨款收入、支出总计均为1040.17万元。与2023年度相比，财政拨款收入总计、支出总计各减少359.35万元，主要原因为2023年化解以前年度暂付款413.69万元，本年度无暂付款化解情况。</w:t>
      </w:r>
    </w:p>
    <w:p w14:paraId="1A577DEB">
      <w:pPr>
        <w:pStyle w:val="2"/>
        <w:ind w:firstLine="304" w:firstLineChars="95"/>
        <w:rPr>
          <w:rFonts w:eastAsia="方正仿宋_GBK"/>
          <w:sz w:val="32"/>
          <w:szCs w:val="32"/>
        </w:rPr>
      </w:pPr>
      <w:r>
        <w:rPr>
          <w:rFonts w:eastAsia="方正仿宋_GBK"/>
          <w:sz w:val="32"/>
          <w:szCs w:val="32"/>
        </w:rPr>
        <w:drawing>
          <wp:inline distT="0" distB="0" distL="0" distR="0">
            <wp:extent cx="5295900" cy="2962275"/>
            <wp:effectExtent l="0" t="0" r="19050" b="95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108E04">
      <w:pPr>
        <w:spacing w:line="600" w:lineRule="exact"/>
        <w:ind w:firstLine="640" w:firstLineChars="200"/>
        <w:rPr>
          <w:rFonts w:eastAsia="方正仿宋_GBK"/>
          <w:sz w:val="32"/>
          <w:szCs w:val="32"/>
        </w:rPr>
      </w:pPr>
      <w:r>
        <w:rPr>
          <w:rFonts w:eastAsia="方正仿宋_GBK"/>
          <w:sz w:val="32"/>
          <w:szCs w:val="32"/>
        </w:rPr>
        <w:t>（图4：财政拨款收、支决算总计变动情况）（柱状图）</w:t>
      </w:r>
    </w:p>
    <w:p w14:paraId="5083C37C">
      <w:pPr>
        <w:pStyle w:val="28"/>
        <w:spacing w:line="600" w:lineRule="exact"/>
        <w:ind w:firstLine="640"/>
        <w:outlineLvl w:val="1"/>
        <w:rPr>
          <w:rStyle w:val="30"/>
          <w:rFonts w:ascii="Times New Roman" w:hAnsi="Times New Roman" w:eastAsia="方正仿宋_GBK" w:cs="Times New Roman"/>
          <w:b w:val="0"/>
        </w:rPr>
      </w:pPr>
      <w:bookmarkStart w:id="20" w:name="_Toc15396607"/>
      <w:bookmarkStart w:id="21" w:name="_Toc15377209"/>
      <w:r>
        <w:rPr>
          <w:rFonts w:ascii="方正黑体_GBK" w:hAnsi="方正黑体_GBK" w:eastAsia="方正黑体_GBK" w:cs="方正黑体_GBK"/>
          <w:sz w:val="32"/>
          <w:szCs w:val="32"/>
        </w:rPr>
        <w:t>五、一般公共预算财政拨款支出决算情况说明</w:t>
      </w:r>
      <w:bookmarkEnd w:id="20"/>
      <w:bookmarkEnd w:id="21"/>
    </w:p>
    <w:p w14:paraId="376D787D">
      <w:pPr>
        <w:spacing w:line="600" w:lineRule="exact"/>
        <w:ind w:firstLine="643" w:firstLineChars="200"/>
        <w:outlineLvl w:val="2"/>
        <w:rPr>
          <w:rFonts w:ascii="方正楷体_GBK" w:hAnsi="方正楷体_GBK" w:eastAsia="方正楷体_GBK" w:cs="方正楷体_GBK"/>
          <w:b/>
          <w:sz w:val="32"/>
          <w:szCs w:val="32"/>
        </w:rPr>
      </w:pPr>
      <w:bookmarkStart w:id="22" w:name="_Toc15377210"/>
      <w:r>
        <w:rPr>
          <w:rFonts w:ascii="方正楷体_GBK" w:hAnsi="方正楷体_GBK" w:eastAsia="方正楷体_GBK" w:cs="方正楷体_GBK"/>
          <w:b/>
          <w:sz w:val="32"/>
          <w:szCs w:val="32"/>
        </w:rPr>
        <w:t>（一）一般公共预算财政拨款支出决算总体情况</w:t>
      </w:r>
      <w:bookmarkEnd w:id="22"/>
    </w:p>
    <w:p w14:paraId="5C679454">
      <w:pPr>
        <w:snapToGrid w:val="0"/>
        <w:spacing w:line="560" w:lineRule="exact"/>
        <w:ind w:firstLine="640" w:firstLineChars="200"/>
        <w:rPr>
          <w:rFonts w:eastAsia="方正仿宋_GBK"/>
          <w:sz w:val="32"/>
          <w:szCs w:val="32"/>
        </w:rPr>
      </w:pPr>
      <w:r>
        <w:rPr>
          <w:rFonts w:eastAsia="方正仿宋_GBK"/>
          <w:sz w:val="32"/>
          <w:szCs w:val="32"/>
        </w:rPr>
        <w:t>2024年度一般公共预算财政拨款支出1040.17万元，占本年支出合计的100%。与2023年度相比，一般公共预算财政拨款支出减少359.35万元，主要原因为2023年化解以前年度暂付款413.69万元，本年度无暂付款化解情况。</w:t>
      </w:r>
    </w:p>
    <w:p w14:paraId="3BD6942A">
      <w:pPr>
        <w:pStyle w:val="2"/>
        <w:ind w:firstLine="0" w:firstLineChars="0"/>
        <w:rPr>
          <w:rFonts w:eastAsia="方正仿宋_GBK"/>
          <w:sz w:val="32"/>
          <w:szCs w:val="32"/>
        </w:rPr>
      </w:pPr>
      <w:r>
        <w:rPr>
          <w:rFonts w:eastAsia="方正仿宋_GBK"/>
          <w:sz w:val="32"/>
          <w:szCs w:val="32"/>
        </w:rPr>
        <w:drawing>
          <wp:inline distT="0" distB="0" distL="114300" distR="114300">
            <wp:extent cx="5273040" cy="3048000"/>
            <wp:effectExtent l="4445" t="4445" r="18415" b="14605"/>
            <wp:docPr id="9" name="图表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B41DA36">
      <w:pPr>
        <w:spacing w:line="600" w:lineRule="exact"/>
        <w:jc w:val="center"/>
        <w:rPr>
          <w:rFonts w:eastAsia="方正仿宋_GBK"/>
          <w:sz w:val="32"/>
          <w:szCs w:val="32"/>
        </w:rPr>
      </w:pPr>
      <w:r>
        <w:rPr>
          <w:rFonts w:eastAsia="方正仿宋_GBK"/>
          <w:sz w:val="32"/>
          <w:szCs w:val="32"/>
        </w:rPr>
        <w:t>（图5：一般公共预算财政拨款支出决算变动情况）（柱状图）</w:t>
      </w:r>
    </w:p>
    <w:p w14:paraId="7FDBCEDA">
      <w:pPr>
        <w:spacing w:line="600" w:lineRule="exact"/>
        <w:ind w:firstLine="643" w:firstLineChars="200"/>
        <w:outlineLvl w:val="2"/>
        <w:rPr>
          <w:rFonts w:ascii="方正楷体_GBK" w:hAnsi="方正楷体_GBK" w:eastAsia="方正楷体_GBK" w:cs="方正楷体_GBK"/>
          <w:b/>
          <w:sz w:val="32"/>
          <w:szCs w:val="32"/>
        </w:rPr>
      </w:pPr>
      <w:bookmarkStart w:id="23" w:name="_Toc15377211"/>
      <w:r>
        <w:rPr>
          <w:rFonts w:ascii="方正楷体_GBK" w:hAnsi="方正楷体_GBK" w:eastAsia="方正楷体_GBK" w:cs="方正楷体_GBK"/>
          <w:b/>
          <w:sz w:val="32"/>
          <w:szCs w:val="32"/>
        </w:rPr>
        <w:t>（二）一般公共预算财政拨款支出决算结构情况</w:t>
      </w:r>
      <w:bookmarkEnd w:id="23"/>
    </w:p>
    <w:p w14:paraId="744AE3BC">
      <w:pPr>
        <w:snapToGrid w:val="0"/>
        <w:spacing w:line="560" w:lineRule="exact"/>
        <w:ind w:firstLine="640" w:firstLineChars="200"/>
        <w:rPr>
          <w:rFonts w:eastAsia="方正仿宋_GBK"/>
          <w:sz w:val="32"/>
          <w:szCs w:val="32"/>
        </w:rPr>
      </w:pPr>
      <w:r>
        <w:rPr>
          <w:rFonts w:eastAsia="方正仿宋_GBK"/>
          <w:sz w:val="32"/>
          <w:szCs w:val="32"/>
        </w:rPr>
        <w:t>2024年度一般公共预算财政拨款支出1040.17万元，主要用于以下方面：一般公共服务支出737.06万元，占70.86%；社会保障和就业支出165.53万元，占15.91%，卫生健康支出72.65万元，占6.99%；住房保障支出64.93万元，占6.24%。</w:t>
      </w:r>
    </w:p>
    <w:p w14:paraId="09027590">
      <w:pPr>
        <w:rPr>
          <w:rFonts w:eastAsia="方正仿宋_GBK"/>
          <w:sz w:val="32"/>
          <w:szCs w:val="32"/>
        </w:rPr>
      </w:pPr>
      <w:r>
        <w:rPr>
          <w:rFonts w:eastAsia="方正仿宋_GBK"/>
          <w:sz w:val="32"/>
          <w:szCs w:val="32"/>
        </w:rPr>
        <w:br w:type="page"/>
      </w:r>
    </w:p>
    <w:p w14:paraId="729D25B1">
      <w:pPr>
        <w:spacing w:line="600" w:lineRule="exact"/>
        <w:ind w:firstLine="640"/>
        <w:rPr>
          <w:rFonts w:eastAsia="方正仿宋_GBK"/>
          <w:sz w:val="32"/>
          <w:szCs w:val="32"/>
        </w:rPr>
      </w:pPr>
      <w:r>
        <w:rPr>
          <w:rFonts w:eastAsia="方正仿宋_GBK"/>
          <w:sz w:val="32"/>
          <w:szCs w:val="32"/>
        </w:rPr>
        <w:drawing>
          <wp:anchor distT="0" distB="0" distL="114300" distR="114300" simplePos="0" relativeHeight="251661312" behindDoc="0" locked="0" layoutInCell="1" allowOverlap="1">
            <wp:simplePos x="0" y="0"/>
            <wp:positionH relativeFrom="column">
              <wp:posOffset>0</wp:posOffset>
            </wp:positionH>
            <wp:positionV relativeFrom="paragraph">
              <wp:posOffset>151130</wp:posOffset>
            </wp:positionV>
            <wp:extent cx="5353050" cy="3267075"/>
            <wp:effectExtent l="0" t="0" r="19050" b="9525"/>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637A5FAC">
      <w:pPr>
        <w:pStyle w:val="2"/>
        <w:ind w:firstLine="640"/>
        <w:rPr>
          <w:rFonts w:eastAsia="方正仿宋_GBK"/>
          <w:sz w:val="32"/>
          <w:szCs w:val="32"/>
        </w:rPr>
      </w:pPr>
    </w:p>
    <w:p w14:paraId="38281560">
      <w:pPr>
        <w:pStyle w:val="2"/>
        <w:ind w:firstLine="640"/>
        <w:rPr>
          <w:rFonts w:eastAsia="方正仿宋_GBK"/>
          <w:sz w:val="32"/>
          <w:szCs w:val="32"/>
        </w:rPr>
      </w:pPr>
    </w:p>
    <w:p w14:paraId="6327BF90">
      <w:pPr>
        <w:spacing w:line="600" w:lineRule="exact"/>
        <w:ind w:firstLine="640"/>
        <w:rPr>
          <w:rFonts w:eastAsia="方正仿宋_GBK"/>
          <w:sz w:val="32"/>
          <w:szCs w:val="32"/>
        </w:rPr>
      </w:pPr>
    </w:p>
    <w:p w14:paraId="5D7F818D">
      <w:pPr>
        <w:spacing w:line="600" w:lineRule="exact"/>
        <w:ind w:firstLine="640"/>
        <w:rPr>
          <w:rFonts w:eastAsia="方正仿宋_GBK"/>
          <w:sz w:val="32"/>
          <w:szCs w:val="32"/>
        </w:rPr>
      </w:pPr>
    </w:p>
    <w:p w14:paraId="19834A7A">
      <w:pPr>
        <w:spacing w:line="600" w:lineRule="exact"/>
        <w:ind w:firstLine="640"/>
        <w:rPr>
          <w:rFonts w:eastAsia="方正仿宋_GBK"/>
          <w:sz w:val="32"/>
          <w:szCs w:val="32"/>
        </w:rPr>
      </w:pPr>
    </w:p>
    <w:p w14:paraId="39AB56F8">
      <w:pPr>
        <w:spacing w:line="600" w:lineRule="exact"/>
        <w:ind w:firstLine="640"/>
        <w:rPr>
          <w:rFonts w:eastAsia="方正仿宋_GBK"/>
          <w:sz w:val="32"/>
          <w:szCs w:val="32"/>
        </w:rPr>
      </w:pPr>
    </w:p>
    <w:p w14:paraId="0EDEBD7E">
      <w:pPr>
        <w:spacing w:line="600" w:lineRule="exact"/>
        <w:ind w:firstLine="640"/>
        <w:rPr>
          <w:rFonts w:eastAsia="方正仿宋_GBK"/>
          <w:sz w:val="32"/>
          <w:szCs w:val="32"/>
        </w:rPr>
      </w:pPr>
    </w:p>
    <w:p w14:paraId="6F5A6EF9">
      <w:pPr>
        <w:spacing w:line="600" w:lineRule="exact"/>
        <w:ind w:firstLine="640"/>
        <w:rPr>
          <w:rFonts w:eastAsia="方正仿宋_GBK"/>
          <w:sz w:val="32"/>
          <w:szCs w:val="32"/>
        </w:rPr>
      </w:pPr>
    </w:p>
    <w:p w14:paraId="1DD855AC">
      <w:pPr>
        <w:spacing w:line="600" w:lineRule="exact"/>
        <w:ind w:firstLine="640"/>
        <w:rPr>
          <w:rFonts w:eastAsia="方正仿宋_GBK"/>
          <w:sz w:val="32"/>
          <w:szCs w:val="32"/>
        </w:rPr>
      </w:pPr>
      <w:r>
        <w:rPr>
          <w:rFonts w:eastAsia="方正仿宋_GBK"/>
          <w:sz w:val="32"/>
          <w:szCs w:val="32"/>
        </w:rPr>
        <w:t>（图6：一般公共预算财政拨款支出决算结构）（饼状图）</w:t>
      </w:r>
    </w:p>
    <w:p w14:paraId="1380CF62">
      <w:pPr>
        <w:spacing w:line="600" w:lineRule="exact"/>
        <w:ind w:firstLine="643" w:firstLineChars="200"/>
        <w:outlineLvl w:val="2"/>
        <w:rPr>
          <w:rFonts w:eastAsia="方正仿宋_GBK"/>
          <w:b/>
          <w:sz w:val="32"/>
          <w:szCs w:val="32"/>
        </w:rPr>
      </w:pPr>
      <w:bookmarkStart w:id="24" w:name="_Toc15377212"/>
      <w:r>
        <w:rPr>
          <w:rFonts w:hint="eastAsia" w:ascii="方正楷体_GBK" w:hAnsi="方正楷体_GBK" w:eastAsia="方正楷体_GBK" w:cs="方正楷体_GBK"/>
          <w:b/>
          <w:sz w:val="32"/>
          <w:szCs w:val="32"/>
        </w:rPr>
        <w:t>（三）一般公共预算财政拨款支出决算具体情况</w:t>
      </w:r>
      <w:bookmarkEnd w:id="24"/>
    </w:p>
    <w:p w14:paraId="4C64AD24">
      <w:pPr>
        <w:spacing w:line="600" w:lineRule="exact"/>
        <w:ind w:firstLine="640"/>
        <w:rPr>
          <w:rFonts w:eastAsia="方正仿宋_GBK"/>
          <w:sz w:val="32"/>
          <w:szCs w:val="32"/>
        </w:rPr>
      </w:pPr>
      <w:bookmarkStart w:id="25" w:name="_Toc15377444"/>
      <w:bookmarkStart w:id="26" w:name="_Toc15378460"/>
      <w:bookmarkStart w:id="27" w:name="_Toc15377213"/>
      <w:r>
        <w:rPr>
          <w:rFonts w:eastAsia="方正仿宋_GBK"/>
          <w:sz w:val="32"/>
          <w:szCs w:val="32"/>
        </w:rPr>
        <w:t>2024年度一般公共预算财政拨款支出决算数为1040.17万元，完成预算100%。其中：</w:t>
      </w:r>
      <w:bookmarkEnd w:id="25"/>
      <w:bookmarkEnd w:id="26"/>
      <w:bookmarkEnd w:id="27"/>
    </w:p>
    <w:p w14:paraId="4723F2C2">
      <w:pPr>
        <w:spacing w:line="600" w:lineRule="exact"/>
        <w:ind w:firstLine="640"/>
        <w:rPr>
          <w:rFonts w:eastAsia="方正仿宋_GBK"/>
          <w:sz w:val="32"/>
          <w:szCs w:val="32"/>
        </w:rPr>
      </w:pPr>
      <w:r>
        <w:rPr>
          <w:rFonts w:eastAsia="方正仿宋_GBK"/>
          <w:sz w:val="32"/>
          <w:szCs w:val="32"/>
        </w:rPr>
        <w:t>1.一般公共服务（201类</w:t>
      </w:r>
      <w:r>
        <w:rPr>
          <w:rFonts w:eastAsia="方正仿宋_GBK"/>
          <w:sz w:val="32"/>
          <w:szCs w:val="32"/>
          <w:lang w:val="zh-CN"/>
        </w:rPr>
        <w:t>）</w:t>
      </w:r>
      <w:r>
        <w:rPr>
          <w:rFonts w:eastAsia="方正仿宋_GBK"/>
          <w:sz w:val="32"/>
          <w:szCs w:val="32"/>
        </w:rPr>
        <w:t>政府办公厅（室）及相关机构事务</w:t>
      </w:r>
      <w:r>
        <w:rPr>
          <w:rFonts w:eastAsia="方正仿宋_GBK"/>
          <w:sz w:val="32"/>
          <w:szCs w:val="32"/>
          <w:lang w:val="zh-CN"/>
        </w:rPr>
        <w:t>（</w:t>
      </w:r>
      <w:r>
        <w:rPr>
          <w:rFonts w:eastAsia="方正仿宋_GBK"/>
          <w:sz w:val="32"/>
          <w:szCs w:val="32"/>
        </w:rPr>
        <w:t>03</w:t>
      </w:r>
      <w:r>
        <w:rPr>
          <w:rFonts w:eastAsia="方正仿宋_GBK"/>
          <w:sz w:val="32"/>
          <w:szCs w:val="32"/>
          <w:lang w:val="zh-CN"/>
        </w:rPr>
        <w:t>款）</w:t>
      </w:r>
      <w:r>
        <w:rPr>
          <w:rFonts w:eastAsia="方正仿宋_GBK"/>
          <w:sz w:val="32"/>
          <w:szCs w:val="32"/>
        </w:rPr>
        <w:t>行政运行</w:t>
      </w:r>
      <w:r>
        <w:rPr>
          <w:rFonts w:eastAsia="方正仿宋_GBK"/>
          <w:sz w:val="32"/>
          <w:szCs w:val="32"/>
          <w:lang w:val="zh-CN"/>
        </w:rPr>
        <w:t>（</w:t>
      </w:r>
      <w:r>
        <w:rPr>
          <w:rFonts w:eastAsia="方正仿宋_GBK"/>
          <w:sz w:val="32"/>
          <w:szCs w:val="32"/>
        </w:rPr>
        <w:t>01</w:t>
      </w:r>
      <w:r>
        <w:rPr>
          <w:rFonts w:eastAsia="方正仿宋_GBK"/>
          <w:sz w:val="32"/>
          <w:szCs w:val="32"/>
          <w:lang w:val="zh-CN"/>
        </w:rPr>
        <w:t>项）</w:t>
      </w:r>
      <w:r>
        <w:rPr>
          <w:rFonts w:hint="eastAsia" w:eastAsia="方正仿宋_GBK"/>
          <w:sz w:val="32"/>
          <w:szCs w:val="32"/>
          <w:lang w:val="zh-CN"/>
        </w:rPr>
        <w:t>：</w:t>
      </w:r>
      <w:r>
        <w:rPr>
          <w:rFonts w:eastAsia="方正仿宋_GBK"/>
          <w:sz w:val="32"/>
          <w:szCs w:val="32"/>
        </w:rPr>
        <w:t xml:space="preserve"> 支出决算为478.94万元，完成预算100%，决算数等于预算数。</w:t>
      </w:r>
    </w:p>
    <w:p w14:paraId="5D91F012">
      <w:pPr>
        <w:spacing w:line="600" w:lineRule="exact"/>
        <w:ind w:firstLine="640"/>
        <w:rPr>
          <w:rFonts w:eastAsia="方正仿宋_GBK"/>
          <w:sz w:val="32"/>
          <w:szCs w:val="32"/>
        </w:rPr>
      </w:pPr>
      <w:r>
        <w:rPr>
          <w:rFonts w:eastAsia="方正仿宋_GBK"/>
          <w:sz w:val="32"/>
          <w:szCs w:val="32"/>
        </w:rPr>
        <w:t>2.</w:t>
      </w:r>
      <w:r>
        <w:rPr>
          <w:rFonts w:eastAsia="方正仿宋_GBK"/>
          <w:sz w:val="32"/>
          <w:szCs w:val="32"/>
          <w:lang w:val="zh-CN"/>
        </w:rPr>
        <w:t>一般公共服务</w:t>
      </w:r>
      <w:r>
        <w:rPr>
          <w:rFonts w:eastAsia="方正仿宋_GBK"/>
          <w:sz w:val="32"/>
          <w:szCs w:val="32"/>
        </w:rPr>
        <w:t>支出</w:t>
      </w:r>
      <w:r>
        <w:rPr>
          <w:rFonts w:eastAsia="方正仿宋_GBK"/>
          <w:sz w:val="32"/>
          <w:szCs w:val="32"/>
          <w:lang w:val="zh-CN"/>
        </w:rPr>
        <w:t>（</w:t>
      </w:r>
      <w:r>
        <w:rPr>
          <w:rFonts w:eastAsia="方正仿宋_GBK"/>
          <w:sz w:val="32"/>
          <w:szCs w:val="32"/>
        </w:rPr>
        <w:t>201</w:t>
      </w:r>
      <w:r>
        <w:rPr>
          <w:rFonts w:eastAsia="方正仿宋_GBK"/>
          <w:sz w:val="32"/>
          <w:szCs w:val="32"/>
          <w:lang w:val="zh-CN"/>
        </w:rPr>
        <w:t>类）</w:t>
      </w:r>
      <w:r>
        <w:rPr>
          <w:rFonts w:eastAsia="方正仿宋_GBK"/>
          <w:sz w:val="32"/>
          <w:szCs w:val="32"/>
        </w:rPr>
        <w:t>政府办公厅（室）及相关机构事务</w:t>
      </w:r>
      <w:r>
        <w:rPr>
          <w:rFonts w:eastAsia="方正仿宋_GBK"/>
          <w:sz w:val="32"/>
          <w:szCs w:val="32"/>
          <w:lang w:val="zh-CN"/>
        </w:rPr>
        <w:t>（</w:t>
      </w:r>
      <w:r>
        <w:rPr>
          <w:rFonts w:eastAsia="方正仿宋_GBK"/>
          <w:sz w:val="32"/>
          <w:szCs w:val="32"/>
        </w:rPr>
        <w:t>03</w:t>
      </w:r>
      <w:r>
        <w:rPr>
          <w:rFonts w:eastAsia="方正仿宋_GBK"/>
          <w:sz w:val="32"/>
          <w:szCs w:val="32"/>
          <w:lang w:val="zh-CN"/>
        </w:rPr>
        <w:t>款）</w:t>
      </w:r>
      <w:r>
        <w:rPr>
          <w:rFonts w:eastAsia="方正仿宋_GBK"/>
          <w:sz w:val="32"/>
          <w:szCs w:val="32"/>
        </w:rPr>
        <w:t>一般行政管理事务（02项）：</w:t>
      </w:r>
      <w:r>
        <w:rPr>
          <w:rFonts w:eastAsia="方正仿宋_GBK"/>
          <w:sz w:val="32"/>
          <w:szCs w:val="32"/>
          <w:lang w:val="zh-CN"/>
        </w:rPr>
        <w:t>支出决算为</w:t>
      </w:r>
      <w:r>
        <w:rPr>
          <w:rFonts w:eastAsia="方正仿宋_GBK"/>
          <w:sz w:val="32"/>
          <w:szCs w:val="32"/>
        </w:rPr>
        <w:t>79.99万元，完成预算100%，决算数等于预算数。</w:t>
      </w:r>
    </w:p>
    <w:p w14:paraId="39ADCE3D">
      <w:pPr>
        <w:spacing w:line="600" w:lineRule="exact"/>
        <w:ind w:firstLine="640"/>
        <w:rPr>
          <w:rFonts w:eastAsia="方正仿宋_GBK"/>
          <w:sz w:val="32"/>
          <w:szCs w:val="32"/>
        </w:rPr>
      </w:pPr>
      <w:r>
        <w:rPr>
          <w:rFonts w:eastAsia="方正仿宋_GBK"/>
          <w:sz w:val="32"/>
          <w:szCs w:val="32"/>
        </w:rPr>
        <w:t>3.</w:t>
      </w:r>
      <w:r>
        <w:rPr>
          <w:rFonts w:eastAsia="方正仿宋_GBK"/>
          <w:sz w:val="32"/>
          <w:szCs w:val="32"/>
          <w:lang w:val="zh-CN"/>
        </w:rPr>
        <w:t>一般公共服务</w:t>
      </w:r>
      <w:r>
        <w:rPr>
          <w:rFonts w:eastAsia="方正仿宋_GBK"/>
          <w:sz w:val="32"/>
          <w:szCs w:val="32"/>
        </w:rPr>
        <w:t>支出</w:t>
      </w:r>
      <w:r>
        <w:rPr>
          <w:rFonts w:eastAsia="方正仿宋_GBK"/>
          <w:sz w:val="32"/>
          <w:szCs w:val="32"/>
          <w:lang w:val="zh-CN"/>
        </w:rPr>
        <w:t>（</w:t>
      </w:r>
      <w:r>
        <w:rPr>
          <w:rFonts w:eastAsia="方正仿宋_GBK"/>
          <w:sz w:val="32"/>
          <w:szCs w:val="32"/>
        </w:rPr>
        <w:t>201</w:t>
      </w:r>
      <w:r>
        <w:rPr>
          <w:rFonts w:eastAsia="方正仿宋_GBK"/>
          <w:sz w:val="32"/>
          <w:szCs w:val="32"/>
          <w:lang w:val="zh-CN"/>
        </w:rPr>
        <w:t>类）</w:t>
      </w:r>
      <w:r>
        <w:rPr>
          <w:rFonts w:eastAsia="方正仿宋_GBK"/>
          <w:sz w:val="32"/>
          <w:szCs w:val="32"/>
        </w:rPr>
        <w:t>政府办公厅（室）及相关机构事务</w:t>
      </w:r>
      <w:r>
        <w:rPr>
          <w:rFonts w:eastAsia="方正仿宋_GBK"/>
          <w:sz w:val="32"/>
          <w:szCs w:val="32"/>
          <w:lang w:val="zh-CN"/>
        </w:rPr>
        <w:t>（</w:t>
      </w:r>
      <w:r>
        <w:rPr>
          <w:rFonts w:eastAsia="方正仿宋_GBK"/>
          <w:sz w:val="32"/>
          <w:szCs w:val="32"/>
        </w:rPr>
        <w:t>03</w:t>
      </w:r>
      <w:r>
        <w:rPr>
          <w:rFonts w:eastAsia="方正仿宋_GBK"/>
          <w:sz w:val="32"/>
          <w:szCs w:val="32"/>
          <w:lang w:val="zh-CN"/>
        </w:rPr>
        <w:t>款）</w:t>
      </w:r>
      <w:r>
        <w:rPr>
          <w:rFonts w:eastAsia="方正仿宋_GBK"/>
          <w:sz w:val="32"/>
          <w:szCs w:val="32"/>
        </w:rPr>
        <w:t>事业运行（50项）：</w:t>
      </w:r>
      <w:r>
        <w:rPr>
          <w:rFonts w:eastAsia="方正仿宋_GBK"/>
          <w:sz w:val="32"/>
          <w:szCs w:val="32"/>
          <w:lang w:val="zh-CN"/>
        </w:rPr>
        <w:t>支出决算为</w:t>
      </w:r>
      <w:r>
        <w:rPr>
          <w:rFonts w:eastAsia="方正仿宋_GBK"/>
          <w:sz w:val="32"/>
          <w:szCs w:val="32"/>
        </w:rPr>
        <w:t>169.52万元，完成预算100%，决算数等于预算数。</w:t>
      </w:r>
    </w:p>
    <w:p w14:paraId="6727CD51">
      <w:pPr>
        <w:spacing w:line="600" w:lineRule="exact"/>
        <w:ind w:firstLine="640"/>
        <w:rPr>
          <w:rFonts w:eastAsia="方正仿宋_GBK"/>
          <w:sz w:val="32"/>
          <w:szCs w:val="32"/>
          <w:lang w:val="zh-CN"/>
        </w:rPr>
      </w:pPr>
      <w:r>
        <w:rPr>
          <w:rFonts w:eastAsia="方正仿宋_GBK"/>
          <w:sz w:val="32"/>
          <w:szCs w:val="32"/>
        </w:rPr>
        <w:t>4.</w:t>
      </w:r>
      <w:r>
        <w:rPr>
          <w:rFonts w:eastAsia="方正仿宋_GBK"/>
          <w:sz w:val="32"/>
          <w:szCs w:val="32"/>
          <w:lang w:val="zh-CN"/>
        </w:rPr>
        <w:t>一般公共服务</w:t>
      </w:r>
      <w:r>
        <w:rPr>
          <w:rFonts w:eastAsia="方正仿宋_GBK"/>
          <w:sz w:val="32"/>
          <w:szCs w:val="32"/>
        </w:rPr>
        <w:t>支出</w:t>
      </w:r>
      <w:r>
        <w:rPr>
          <w:rFonts w:eastAsia="方正仿宋_GBK"/>
          <w:sz w:val="32"/>
          <w:szCs w:val="32"/>
          <w:lang w:val="zh-CN"/>
        </w:rPr>
        <w:t>（</w:t>
      </w:r>
      <w:r>
        <w:rPr>
          <w:rFonts w:eastAsia="方正仿宋_GBK"/>
          <w:sz w:val="32"/>
          <w:szCs w:val="32"/>
        </w:rPr>
        <w:t>201</w:t>
      </w:r>
      <w:r>
        <w:rPr>
          <w:rFonts w:eastAsia="方正仿宋_GBK"/>
          <w:sz w:val="32"/>
          <w:szCs w:val="32"/>
          <w:lang w:val="zh-CN"/>
        </w:rPr>
        <w:t>类）</w:t>
      </w:r>
      <w:r>
        <w:rPr>
          <w:rFonts w:eastAsia="方正仿宋_GBK"/>
          <w:sz w:val="32"/>
          <w:szCs w:val="32"/>
        </w:rPr>
        <w:t>政府办公厅（室）及相关机构事务</w:t>
      </w:r>
      <w:r>
        <w:rPr>
          <w:rFonts w:eastAsia="方正仿宋_GBK"/>
          <w:sz w:val="32"/>
          <w:szCs w:val="32"/>
          <w:lang w:val="zh-CN"/>
        </w:rPr>
        <w:t>（</w:t>
      </w:r>
      <w:r>
        <w:rPr>
          <w:rFonts w:eastAsia="方正仿宋_GBK"/>
          <w:sz w:val="32"/>
          <w:szCs w:val="32"/>
        </w:rPr>
        <w:t>03</w:t>
      </w:r>
      <w:r>
        <w:rPr>
          <w:rFonts w:eastAsia="方正仿宋_GBK"/>
          <w:sz w:val="32"/>
          <w:szCs w:val="32"/>
          <w:lang w:val="zh-CN"/>
        </w:rPr>
        <w:t>款）</w:t>
      </w:r>
      <w:r>
        <w:rPr>
          <w:rFonts w:eastAsia="方正仿宋_GBK"/>
          <w:sz w:val="32"/>
          <w:szCs w:val="32"/>
        </w:rPr>
        <w:t>其他政府办公厅（室）及相关机构事务支出（99项）：</w:t>
      </w:r>
      <w:r>
        <w:rPr>
          <w:rFonts w:eastAsia="方正仿宋_GBK"/>
          <w:sz w:val="32"/>
          <w:szCs w:val="32"/>
          <w:lang w:val="zh-CN"/>
        </w:rPr>
        <w:t>支出决算为</w:t>
      </w:r>
      <w:r>
        <w:rPr>
          <w:rFonts w:eastAsia="方正仿宋_GBK"/>
          <w:sz w:val="32"/>
          <w:szCs w:val="32"/>
        </w:rPr>
        <w:t>8.62万元，完成预算100%，决算数等于预算数。</w:t>
      </w:r>
    </w:p>
    <w:p w14:paraId="65BA59E9">
      <w:pPr>
        <w:spacing w:line="600" w:lineRule="exact"/>
        <w:ind w:firstLine="640"/>
        <w:rPr>
          <w:rFonts w:eastAsia="方正仿宋_GBK"/>
          <w:sz w:val="32"/>
          <w:szCs w:val="32"/>
          <w:lang w:val="zh-CN"/>
        </w:rPr>
      </w:pPr>
      <w:r>
        <w:rPr>
          <w:rFonts w:eastAsia="方正仿宋_GBK"/>
          <w:sz w:val="32"/>
          <w:szCs w:val="32"/>
        </w:rPr>
        <w:t>5.</w:t>
      </w:r>
      <w:r>
        <w:rPr>
          <w:rFonts w:eastAsia="方正仿宋_GBK"/>
          <w:sz w:val="32"/>
          <w:szCs w:val="32"/>
          <w:lang w:val="zh-CN"/>
        </w:rPr>
        <w:t>社会保障和就业</w:t>
      </w:r>
      <w:r>
        <w:rPr>
          <w:rFonts w:eastAsia="方正仿宋_GBK"/>
          <w:sz w:val="32"/>
          <w:szCs w:val="32"/>
        </w:rPr>
        <w:t>支出</w:t>
      </w:r>
      <w:r>
        <w:rPr>
          <w:rFonts w:eastAsia="方正仿宋_GBK"/>
          <w:sz w:val="32"/>
          <w:szCs w:val="32"/>
          <w:lang w:val="zh-CN"/>
        </w:rPr>
        <w:t>（</w:t>
      </w:r>
      <w:r>
        <w:rPr>
          <w:rFonts w:eastAsia="方正仿宋_GBK"/>
          <w:sz w:val="32"/>
          <w:szCs w:val="32"/>
        </w:rPr>
        <w:t>208</w:t>
      </w:r>
      <w:r>
        <w:rPr>
          <w:rFonts w:eastAsia="方正仿宋_GBK"/>
          <w:sz w:val="32"/>
          <w:szCs w:val="32"/>
          <w:lang w:val="zh-CN"/>
        </w:rPr>
        <w:t>类）</w:t>
      </w:r>
      <w:r>
        <w:rPr>
          <w:rFonts w:eastAsia="方正仿宋_GBK"/>
          <w:sz w:val="32"/>
          <w:szCs w:val="32"/>
        </w:rPr>
        <w:t>行政事业单位养老支出</w:t>
      </w:r>
      <w:r>
        <w:rPr>
          <w:rFonts w:eastAsia="方正仿宋_GBK"/>
          <w:sz w:val="32"/>
          <w:szCs w:val="32"/>
          <w:lang w:val="zh-CN"/>
        </w:rPr>
        <w:t>（</w:t>
      </w:r>
      <w:r>
        <w:rPr>
          <w:rFonts w:eastAsia="方正仿宋_GBK"/>
          <w:sz w:val="32"/>
          <w:szCs w:val="32"/>
        </w:rPr>
        <w:t>05</w:t>
      </w:r>
      <w:r>
        <w:rPr>
          <w:rFonts w:eastAsia="方正仿宋_GBK"/>
          <w:sz w:val="32"/>
          <w:szCs w:val="32"/>
          <w:lang w:val="zh-CN"/>
        </w:rPr>
        <w:t>款）</w:t>
      </w:r>
      <w:r>
        <w:rPr>
          <w:rFonts w:eastAsia="方正仿宋_GBK"/>
          <w:sz w:val="32"/>
          <w:szCs w:val="32"/>
        </w:rPr>
        <w:t>行政单位离退休</w:t>
      </w:r>
      <w:r>
        <w:rPr>
          <w:rFonts w:eastAsia="方正仿宋_GBK"/>
          <w:sz w:val="32"/>
          <w:szCs w:val="32"/>
          <w:lang w:val="zh-CN"/>
        </w:rPr>
        <w:t>（</w:t>
      </w:r>
      <w:r>
        <w:rPr>
          <w:rFonts w:eastAsia="方正仿宋_GBK"/>
          <w:sz w:val="32"/>
          <w:szCs w:val="32"/>
        </w:rPr>
        <w:t>01</w:t>
      </w:r>
      <w:r>
        <w:rPr>
          <w:rFonts w:eastAsia="方正仿宋_GBK"/>
          <w:sz w:val="32"/>
          <w:szCs w:val="32"/>
          <w:lang w:val="zh-CN"/>
        </w:rPr>
        <w:t>项）</w:t>
      </w:r>
      <w:r>
        <w:rPr>
          <w:rFonts w:hint="eastAsia" w:eastAsia="方正仿宋_GBK"/>
          <w:sz w:val="32"/>
          <w:szCs w:val="32"/>
          <w:lang w:val="zh-CN"/>
        </w:rPr>
        <w:t>：</w:t>
      </w:r>
      <w:r>
        <w:rPr>
          <w:rFonts w:eastAsia="方正仿宋_GBK"/>
          <w:sz w:val="32"/>
          <w:szCs w:val="32"/>
          <w:lang w:val="zh-CN"/>
        </w:rPr>
        <w:t>支出决算为</w:t>
      </w:r>
      <w:r>
        <w:rPr>
          <w:rFonts w:eastAsia="方正仿宋_GBK"/>
          <w:sz w:val="32"/>
          <w:szCs w:val="32"/>
        </w:rPr>
        <w:t>31.16</w:t>
      </w:r>
      <w:r>
        <w:rPr>
          <w:rFonts w:eastAsia="方正仿宋_GBK"/>
          <w:sz w:val="32"/>
          <w:szCs w:val="32"/>
          <w:lang w:val="zh-CN"/>
        </w:rPr>
        <w:t>万元，完成预算</w:t>
      </w:r>
      <w:r>
        <w:rPr>
          <w:rFonts w:eastAsia="方正仿宋_GBK"/>
          <w:sz w:val="32"/>
          <w:szCs w:val="32"/>
        </w:rPr>
        <w:t>100</w:t>
      </w:r>
      <w:r>
        <w:rPr>
          <w:rFonts w:eastAsia="方正仿宋_GBK"/>
          <w:sz w:val="32"/>
          <w:szCs w:val="32"/>
          <w:lang w:val="zh-CN"/>
        </w:rPr>
        <w:t>%</w:t>
      </w:r>
      <w:r>
        <w:rPr>
          <w:rFonts w:eastAsia="方正仿宋_GBK"/>
          <w:sz w:val="32"/>
          <w:szCs w:val="32"/>
        </w:rPr>
        <w:t>，决算数等于预算数。</w:t>
      </w:r>
    </w:p>
    <w:p w14:paraId="507A3785">
      <w:pPr>
        <w:spacing w:line="600" w:lineRule="exact"/>
        <w:ind w:firstLine="640"/>
        <w:rPr>
          <w:rFonts w:eastAsia="方正仿宋_GBK"/>
          <w:sz w:val="32"/>
          <w:szCs w:val="32"/>
        </w:rPr>
      </w:pPr>
      <w:r>
        <w:rPr>
          <w:rFonts w:eastAsia="方正仿宋_GBK"/>
          <w:sz w:val="32"/>
          <w:szCs w:val="32"/>
        </w:rPr>
        <w:t>6.</w:t>
      </w:r>
      <w:r>
        <w:rPr>
          <w:rFonts w:eastAsia="方正仿宋_GBK"/>
          <w:sz w:val="32"/>
          <w:szCs w:val="32"/>
          <w:lang w:val="zh-CN"/>
        </w:rPr>
        <w:t>社会保障和就业</w:t>
      </w:r>
      <w:r>
        <w:rPr>
          <w:rFonts w:eastAsia="方正仿宋_GBK"/>
          <w:sz w:val="32"/>
          <w:szCs w:val="32"/>
        </w:rPr>
        <w:t>支出</w:t>
      </w:r>
      <w:r>
        <w:rPr>
          <w:rFonts w:eastAsia="方正仿宋_GBK"/>
          <w:sz w:val="32"/>
          <w:szCs w:val="32"/>
          <w:lang w:val="zh-CN"/>
        </w:rPr>
        <w:t>（</w:t>
      </w:r>
      <w:r>
        <w:rPr>
          <w:rFonts w:eastAsia="方正仿宋_GBK"/>
          <w:sz w:val="32"/>
          <w:szCs w:val="32"/>
        </w:rPr>
        <w:t>208</w:t>
      </w:r>
      <w:r>
        <w:rPr>
          <w:rFonts w:eastAsia="方正仿宋_GBK"/>
          <w:sz w:val="32"/>
          <w:szCs w:val="32"/>
          <w:lang w:val="zh-CN"/>
        </w:rPr>
        <w:t>类）</w:t>
      </w:r>
      <w:r>
        <w:rPr>
          <w:rFonts w:eastAsia="方正仿宋_GBK"/>
          <w:sz w:val="32"/>
          <w:szCs w:val="32"/>
        </w:rPr>
        <w:t>行政事业单位养老支出</w:t>
      </w:r>
      <w:r>
        <w:rPr>
          <w:rFonts w:eastAsia="方正仿宋_GBK"/>
          <w:sz w:val="32"/>
          <w:szCs w:val="32"/>
          <w:lang w:val="zh-CN"/>
        </w:rPr>
        <w:t>（</w:t>
      </w:r>
      <w:r>
        <w:rPr>
          <w:rFonts w:eastAsia="方正仿宋_GBK"/>
          <w:sz w:val="32"/>
          <w:szCs w:val="32"/>
        </w:rPr>
        <w:t>05</w:t>
      </w:r>
      <w:r>
        <w:rPr>
          <w:rFonts w:eastAsia="方正仿宋_GBK"/>
          <w:sz w:val="32"/>
          <w:szCs w:val="32"/>
          <w:lang w:val="zh-CN"/>
        </w:rPr>
        <w:t>款）</w:t>
      </w:r>
      <w:r>
        <w:rPr>
          <w:rFonts w:eastAsia="方正仿宋_GBK"/>
          <w:sz w:val="32"/>
          <w:szCs w:val="32"/>
        </w:rPr>
        <w:t>事业单位离退休</w:t>
      </w:r>
      <w:r>
        <w:rPr>
          <w:rFonts w:eastAsia="方正仿宋_GBK"/>
          <w:sz w:val="32"/>
          <w:szCs w:val="32"/>
          <w:lang w:val="zh-CN"/>
        </w:rPr>
        <w:t>（</w:t>
      </w:r>
      <w:r>
        <w:rPr>
          <w:rFonts w:eastAsia="方正仿宋_GBK"/>
          <w:sz w:val="32"/>
          <w:szCs w:val="32"/>
        </w:rPr>
        <w:t>02</w:t>
      </w:r>
      <w:r>
        <w:rPr>
          <w:rFonts w:eastAsia="方正仿宋_GBK"/>
          <w:sz w:val="32"/>
          <w:szCs w:val="32"/>
          <w:lang w:val="zh-CN"/>
        </w:rPr>
        <w:t>项）</w:t>
      </w:r>
      <w:r>
        <w:rPr>
          <w:rFonts w:hint="eastAsia" w:eastAsia="方正仿宋_GBK"/>
          <w:sz w:val="32"/>
          <w:szCs w:val="32"/>
          <w:lang w:val="zh-CN"/>
        </w:rPr>
        <w:t>：</w:t>
      </w:r>
      <w:r>
        <w:rPr>
          <w:rFonts w:eastAsia="方正仿宋_GBK"/>
          <w:sz w:val="32"/>
          <w:szCs w:val="32"/>
          <w:lang w:val="zh-CN"/>
        </w:rPr>
        <w:t>支出决算为</w:t>
      </w:r>
      <w:r>
        <w:rPr>
          <w:rFonts w:eastAsia="方正仿宋_GBK"/>
          <w:sz w:val="32"/>
          <w:szCs w:val="32"/>
        </w:rPr>
        <w:t>1.86</w:t>
      </w:r>
      <w:r>
        <w:rPr>
          <w:rFonts w:eastAsia="方正仿宋_GBK"/>
          <w:sz w:val="32"/>
          <w:szCs w:val="32"/>
          <w:lang w:val="zh-CN"/>
        </w:rPr>
        <w:t>万元，完成预算</w:t>
      </w:r>
      <w:r>
        <w:rPr>
          <w:rFonts w:eastAsia="方正仿宋_GBK"/>
          <w:sz w:val="32"/>
          <w:szCs w:val="32"/>
        </w:rPr>
        <w:t>100</w:t>
      </w:r>
      <w:r>
        <w:rPr>
          <w:rFonts w:eastAsia="方正仿宋_GBK"/>
          <w:sz w:val="32"/>
          <w:szCs w:val="32"/>
          <w:lang w:val="zh-CN"/>
        </w:rPr>
        <w:t>%</w:t>
      </w:r>
      <w:r>
        <w:rPr>
          <w:rFonts w:eastAsia="方正仿宋_GBK"/>
          <w:sz w:val="32"/>
          <w:szCs w:val="32"/>
        </w:rPr>
        <w:t>，决算数等于预算数。</w:t>
      </w:r>
    </w:p>
    <w:p w14:paraId="630A7E75">
      <w:pPr>
        <w:spacing w:line="600" w:lineRule="exact"/>
        <w:ind w:firstLine="640"/>
        <w:rPr>
          <w:rFonts w:eastAsia="方正仿宋_GBK"/>
          <w:sz w:val="32"/>
          <w:szCs w:val="32"/>
        </w:rPr>
      </w:pPr>
      <w:r>
        <w:rPr>
          <w:rFonts w:eastAsia="方正仿宋_GBK"/>
          <w:sz w:val="32"/>
          <w:szCs w:val="32"/>
        </w:rPr>
        <w:t>7.</w:t>
      </w:r>
      <w:r>
        <w:rPr>
          <w:rFonts w:eastAsia="方正仿宋_GBK"/>
          <w:sz w:val="32"/>
          <w:szCs w:val="32"/>
          <w:lang w:val="zh-CN"/>
        </w:rPr>
        <w:t>社会保障和就业</w:t>
      </w:r>
      <w:r>
        <w:rPr>
          <w:rFonts w:eastAsia="方正仿宋_GBK"/>
          <w:sz w:val="32"/>
          <w:szCs w:val="32"/>
        </w:rPr>
        <w:t>支出</w:t>
      </w:r>
      <w:r>
        <w:rPr>
          <w:rFonts w:eastAsia="方正仿宋_GBK"/>
          <w:sz w:val="32"/>
          <w:szCs w:val="32"/>
          <w:lang w:val="zh-CN"/>
        </w:rPr>
        <w:t>（</w:t>
      </w:r>
      <w:r>
        <w:rPr>
          <w:rFonts w:eastAsia="方正仿宋_GBK"/>
          <w:sz w:val="32"/>
          <w:szCs w:val="32"/>
        </w:rPr>
        <w:t>208</w:t>
      </w:r>
      <w:r>
        <w:rPr>
          <w:rFonts w:eastAsia="方正仿宋_GBK"/>
          <w:sz w:val="32"/>
          <w:szCs w:val="32"/>
          <w:lang w:val="zh-CN"/>
        </w:rPr>
        <w:t>类）</w:t>
      </w:r>
      <w:r>
        <w:rPr>
          <w:rFonts w:eastAsia="方正仿宋_GBK"/>
          <w:sz w:val="32"/>
          <w:szCs w:val="32"/>
        </w:rPr>
        <w:t>行政事业单位养老支出</w:t>
      </w:r>
      <w:r>
        <w:rPr>
          <w:rFonts w:eastAsia="方正仿宋_GBK"/>
          <w:sz w:val="32"/>
          <w:szCs w:val="32"/>
          <w:lang w:val="zh-CN"/>
        </w:rPr>
        <w:t>（</w:t>
      </w:r>
      <w:r>
        <w:rPr>
          <w:rFonts w:eastAsia="方正仿宋_GBK"/>
          <w:sz w:val="32"/>
          <w:szCs w:val="32"/>
        </w:rPr>
        <w:t>05</w:t>
      </w:r>
      <w:r>
        <w:rPr>
          <w:rFonts w:eastAsia="方正仿宋_GBK"/>
          <w:sz w:val="32"/>
          <w:szCs w:val="32"/>
          <w:lang w:val="zh-CN"/>
        </w:rPr>
        <w:t>款）</w:t>
      </w:r>
      <w:r>
        <w:rPr>
          <w:rFonts w:eastAsia="方正仿宋_GBK"/>
          <w:sz w:val="32"/>
          <w:szCs w:val="32"/>
        </w:rPr>
        <w:t>机关事业单位基本养老保险缴费支出</w:t>
      </w:r>
      <w:r>
        <w:rPr>
          <w:rFonts w:eastAsia="方正仿宋_GBK"/>
          <w:sz w:val="32"/>
          <w:szCs w:val="32"/>
          <w:lang w:val="zh-CN"/>
        </w:rPr>
        <w:t>（</w:t>
      </w:r>
      <w:r>
        <w:rPr>
          <w:rFonts w:eastAsia="方正仿宋_GBK"/>
          <w:sz w:val="32"/>
          <w:szCs w:val="32"/>
        </w:rPr>
        <w:t>05</w:t>
      </w:r>
      <w:r>
        <w:rPr>
          <w:rFonts w:eastAsia="方正仿宋_GBK"/>
          <w:sz w:val="32"/>
          <w:szCs w:val="32"/>
          <w:lang w:val="zh-CN"/>
        </w:rPr>
        <w:t>项）</w:t>
      </w:r>
      <w:r>
        <w:rPr>
          <w:rFonts w:hint="eastAsia" w:eastAsia="方正仿宋_GBK"/>
          <w:sz w:val="32"/>
          <w:szCs w:val="32"/>
          <w:lang w:val="zh-CN"/>
        </w:rPr>
        <w:t>：</w:t>
      </w:r>
      <w:r>
        <w:rPr>
          <w:rFonts w:eastAsia="方正仿宋_GBK"/>
          <w:sz w:val="32"/>
          <w:szCs w:val="32"/>
          <w:lang w:val="zh-CN"/>
        </w:rPr>
        <w:t>支出决算为</w:t>
      </w:r>
      <w:r>
        <w:rPr>
          <w:rFonts w:eastAsia="方正仿宋_GBK"/>
          <w:sz w:val="32"/>
          <w:szCs w:val="32"/>
        </w:rPr>
        <w:t>76.63</w:t>
      </w:r>
      <w:r>
        <w:rPr>
          <w:rFonts w:eastAsia="方正仿宋_GBK"/>
          <w:sz w:val="32"/>
          <w:szCs w:val="32"/>
          <w:lang w:val="zh-CN"/>
        </w:rPr>
        <w:t>万元，完成预算</w:t>
      </w:r>
      <w:r>
        <w:rPr>
          <w:rFonts w:eastAsia="方正仿宋_GBK"/>
          <w:sz w:val="32"/>
          <w:szCs w:val="32"/>
        </w:rPr>
        <w:t>100</w:t>
      </w:r>
      <w:r>
        <w:rPr>
          <w:rFonts w:eastAsia="方正仿宋_GBK"/>
          <w:sz w:val="32"/>
          <w:szCs w:val="32"/>
          <w:lang w:val="zh-CN"/>
        </w:rPr>
        <w:t>%</w:t>
      </w:r>
      <w:r>
        <w:rPr>
          <w:rFonts w:eastAsia="方正仿宋_GBK"/>
          <w:sz w:val="32"/>
          <w:szCs w:val="32"/>
        </w:rPr>
        <w:t>，决算数等于预算数。</w:t>
      </w:r>
    </w:p>
    <w:p w14:paraId="6C965A44">
      <w:pPr>
        <w:spacing w:line="600" w:lineRule="exact"/>
        <w:ind w:firstLine="640"/>
        <w:rPr>
          <w:rFonts w:eastAsia="方正仿宋_GBK"/>
          <w:sz w:val="32"/>
          <w:szCs w:val="32"/>
          <w:lang w:val="zh-CN"/>
        </w:rPr>
      </w:pPr>
      <w:r>
        <w:rPr>
          <w:rFonts w:eastAsia="方正仿宋_GBK"/>
          <w:sz w:val="32"/>
          <w:szCs w:val="32"/>
        </w:rPr>
        <w:t>8.</w:t>
      </w:r>
      <w:r>
        <w:rPr>
          <w:rFonts w:eastAsia="方正仿宋_GBK"/>
          <w:sz w:val="32"/>
          <w:szCs w:val="32"/>
          <w:lang w:val="zh-CN"/>
        </w:rPr>
        <w:t>社会保障和就业</w:t>
      </w:r>
      <w:r>
        <w:rPr>
          <w:rFonts w:eastAsia="方正仿宋_GBK"/>
          <w:sz w:val="32"/>
          <w:szCs w:val="32"/>
        </w:rPr>
        <w:t>支出</w:t>
      </w:r>
      <w:r>
        <w:rPr>
          <w:rFonts w:eastAsia="方正仿宋_GBK"/>
          <w:sz w:val="32"/>
          <w:szCs w:val="32"/>
          <w:lang w:val="zh-CN"/>
        </w:rPr>
        <w:t>（</w:t>
      </w:r>
      <w:r>
        <w:rPr>
          <w:rFonts w:eastAsia="方正仿宋_GBK"/>
          <w:sz w:val="32"/>
          <w:szCs w:val="32"/>
        </w:rPr>
        <w:t>208</w:t>
      </w:r>
      <w:r>
        <w:rPr>
          <w:rFonts w:eastAsia="方正仿宋_GBK"/>
          <w:sz w:val="32"/>
          <w:szCs w:val="32"/>
          <w:lang w:val="zh-CN"/>
        </w:rPr>
        <w:t>类）</w:t>
      </w:r>
      <w:r>
        <w:rPr>
          <w:rFonts w:eastAsia="方正仿宋_GBK"/>
          <w:sz w:val="32"/>
          <w:szCs w:val="32"/>
        </w:rPr>
        <w:t>行政事业单位养老支出</w:t>
      </w:r>
      <w:r>
        <w:rPr>
          <w:rFonts w:eastAsia="方正仿宋_GBK"/>
          <w:sz w:val="32"/>
          <w:szCs w:val="32"/>
          <w:lang w:val="zh-CN"/>
        </w:rPr>
        <w:t>（</w:t>
      </w:r>
      <w:r>
        <w:rPr>
          <w:rFonts w:eastAsia="方正仿宋_GBK"/>
          <w:sz w:val="32"/>
          <w:szCs w:val="32"/>
        </w:rPr>
        <w:t>05</w:t>
      </w:r>
      <w:r>
        <w:rPr>
          <w:rFonts w:eastAsia="方正仿宋_GBK"/>
          <w:sz w:val="32"/>
          <w:szCs w:val="32"/>
          <w:lang w:val="zh-CN"/>
        </w:rPr>
        <w:t>款）</w:t>
      </w:r>
      <w:r>
        <w:rPr>
          <w:rFonts w:eastAsia="方正仿宋_GBK"/>
          <w:sz w:val="32"/>
          <w:szCs w:val="32"/>
        </w:rPr>
        <w:t>机关事业单位职业年金缴费支出</w:t>
      </w:r>
      <w:r>
        <w:rPr>
          <w:rFonts w:eastAsia="方正仿宋_GBK"/>
          <w:sz w:val="32"/>
          <w:szCs w:val="32"/>
          <w:lang w:val="zh-CN"/>
        </w:rPr>
        <w:t>（</w:t>
      </w:r>
      <w:r>
        <w:rPr>
          <w:rFonts w:eastAsia="方正仿宋_GBK"/>
          <w:sz w:val="32"/>
          <w:szCs w:val="32"/>
        </w:rPr>
        <w:t>06</w:t>
      </w:r>
      <w:r>
        <w:rPr>
          <w:rFonts w:eastAsia="方正仿宋_GBK"/>
          <w:sz w:val="32"/>
          <w:szCs w:val="32"/>
          <w:lang w:val="zh-CN"/>
        </w:rPr>
        <w:t>项）</w:t>
      </w:r>
      <w:r>
        <w:rPr>
          <w:rFonts w:hint="eastAsia" w:eastAsia="方正仿宋_GBK"/>
          <w:sz w:val="32"/>
          <w:szCs w:val="32"/>
          <w:lang w:val="zh-CN"/>
        </w:rPr>
        <w:t>：</w:t>
      </w:r>
      <w:r>
        <w:rPr>
          <w:rFonts w:eastAsia="方正仿宋_GBK"/>
          <w:sz w:val="32"/>
          <w:szCs w:val="32"/>
          <w:lang w:val="zh-CN"/>
        </w:rPr>
        <w:t>支出决算为</w:t>
      </w:r>
      <w:r>
        <w:rPr>
          <w:rFonts w:eastAsia="方正仿宋_GBK"/>
          <w:sz w:val="32"/>
          <w:szCs w:val="32"/>
        </w:rPr>
        <w:t>29.16</w:t>
      </w:r>
      <w:r>
        <w:rPr>
          <w:rFonts w:eastAsia="方正仿宋_GBK"/>
          <w:sz w:val="32"/>
          <w:szCs w:val="32"/>
          <w:lang w:val="zh-CN"/>
        </w:rPr>
        <w:t>万元，完成预算</w:t>
      </w:r>
      <w:r>
        <w:rPr>
          <w:rFonts w:eastAsia="方正仿宋_GBK"/>
          <w:sz w:val="32"/>
          <w:szCs w:val="32"/>
        </w:rPr>
        <w:t>100</w:t>
      </w:r>
      <w:r>
        <w:rPr>
          <w:rFonts w:eastAsia="方正仿宋_GBK"/>
          <w:sz w:val="32"/>
          <w:szCs w:val="32"/>
          <w:lang w:val="zh-CN"/>
        </w:rPr>
        <w:t>%</w:t>
      </w:r>
      <w:r>
        <w:rPr>
          <w:rFonts w:eastAsia="方正仿宋_GBK"/>
          <w:sz w:val="32"/>
          <w:szCs w:val="32"/>
        </w:rPr>
        <w:t>，决算数等于预算数。</w:t>
      </w:r>
    </w:p>
    <w:p w14:paraId="55B6335D">
      <w:pPr>
        <w:spacing w:line="600" w:lineRule="exact"/>
        <w:ind w:firstLine="640"/>
        <w:rPr>
          <w:rFonts w:eastAsia="方正仿宋_GBK"/>
          <w:sz w:val="32"/>
          <w:szCs w:val="32"/>
          <w:lang w:val="zh-CN"/>
        </w:rPr>
      </w:pPr>
      <w:r>
        <w:rPr>
          <w:rFonts w:eastAsia="方正仿宋_GBK"/>
          <w:sz w:val="32"/>
          <w:szCs w:val="32"/>
        </w:rPr>
        <w:t>9.</w:t>
      </w:r>
      <w:r>
        <w:rPr>
          <w:rFonts w:eastAsia="方正仿宋_GBK"/>
          <w:sz w:val="32"/>
          <w:szCs w:val="32"/>
          <w:lang w:val="zh-CN"/>
        </w:rPr>
        <w:t>社会保障和就业</w:t>
      </w:r>
      <w:r>
        <w:rPr>
          <w:rFonts w:eastAsia="方正仿宋_GBK"/>
          <w:sz w:val="32"/>
          <w:szCs w:val="32"/>
        </w:rPr>
        <w:t>支出</w:t>
      </w:r>
      <w:r>
        <w:rPr>
          <w:rFonts w:eastAsia="方正仿宋_GBK"/>
          <w:sz w:val="32"/>
          <w:szCs w:val="32"/>
          <w:lang w:val="zh-CN"/>
        </w:rPr>
        <w:t>（</w:t>
      </w:r>
      <w:r>
        <w:rPr>
          <w:rFonts w:eastAsia="方正仿宋_GBK"/>
          <w:sz w:val="32"/>
          <w:szCs w:val="32"/>
        </w:rPr>
        <w:t>208</w:t>
      </w:r>
      <w:r>
        <w:rPr>
          <w:rFonts w:eastAsia="方正仿宋_GBK"/>
          <w:sz w:val="32"/>
          <w:szCs w:val="32"/>
          <w:lang w:val="zh-CN"/>
        </w:rPr>
        <w:t>类）</w:t>
      </w:r>
      <w:r>
        <w:rPr>
          <w:rFonts w:eastAsia="方正仿宋_GBK"/>
          <w:sz w:val="32"/>
          <w:szCs w:val="32"/>
        </w:rPr>
        <w:t>抚恤</w:t>
      </w:r>
      <w:r>
        <w:rPr>
          <w:rFonts w:eastAsia="方正仿宋_GBK"/>
          <w:sz w:val="32"/>
          <w:szCs w:val="32"/>
          <w:lang w:val="zh-CN"/>
        </w:rPr>
        <w:t>（</w:t>
      </w:r>
      <w:r>
        <w:rPr>
          <w:rFonts w:eastAsia="方正仿宋_GBK"/>
          <w:sz w:val="32"/>
          <w:szCs w:val="32"/>
        </w:rPr>
        <w:t>08</w:t>
      </w:r>
      <w:r>
        <w:rPr>
          <w:rFonts w:eastAsia="方正仿宋_GBK"/>
          <w:sz w:val="32"/>
          <w:szCs w:val="32"/>
          <w:lang w:val="zh-CN"/>
        </w:rPr>
        <w:t>款）</w:t>
      </w:r>
      <w:r>
        <w:rPr>
          <w:rFonts w:eastAsia="方正仿宋_GBK"/>
          <w:sz w:val="32"/>
          <w:szCs w:val="32"/>
        </w:rPr>
        <w:t>死亡抚恤</w:t>
      </w:r>
      <w:r>
        <w:rPr>
          <w:rFonts w:eastAsia="方正仿宋_GBK"/>
          <w:sz w:val="32"/>
          <w:szCs w:val="32"/>
          <w:lang w:val="zh-CN"/>
        </w:rPr>
        <w:t>（</w:t>
      </w:r>
      <w:r>
        <w:rPr>
          <w:rFonts w:eastAsia="方正仿宋_GBK"/>
          <w:sz w:val="32"/>
          <w:szCs w:val="32"/>
        </w:rPr>
        <w:t>01</w:t>
      </w:r>
      <w:r>
        <w:rPr>
          <w:rFonts w:eastAsia="方正仿宋_GBK"/>
          <w:sz w:val="32"/>
          <w:szCs w:val="32"/>
          <w:lang w:val="zh-CN"/>
        </w:rPr>
        <w:t>项）</w:t>
      </w:r>
      <w:r>
        <w:rPr>
          <w:rFonts w:hint="eastAsia" w:eastAsia="方正仿宋_GBK"/>
          <w:sz w:val="32"/>
          <w:szCs w:val="32"/>
          <w:lang w:val="zh-CN"/>
        </w:rPr>
        <w:t>：</w:t>
      </w:r>
      <w:r>
        <w:rPr>
          <w:rFonts w:eastAsia="方正仿宋_GBK"/>
          <w:sz w:val="32"/>
          <w:szCs w:val="32"/>
          <w:lang w:val="zh-CN"/>
        </w:rPr>
        <w:t>支出决算为</w:t>
      </w:r>
      <w:r>
        <w:rPr>
          <w:rFonts w:eastAsia="方正仿宋_GBK"/>
          <w:sz w:val="32"/>
          <w:szCs w:val="32"/>
        </w:rPr>
        <w:t>23.68</w:t>
      </w:r>
      <w:r>
        <w:rPr>
          <w:rFonts w:eastAsia="方正仿宋_GBK"/>
          <w:sz w:val="32"/>
          <w:szCs w:val="32"/>
          <w:lang w:val="zh-CN"/>
        </w:rPr>
        <w:t>万元，完成预算</w:t>
      </w:r>
      <w:r>
        <w:rPr>
          <w:rFonts w:eastAsia="方正仿宋_GBK"/>
          <w:sz w:val="32"/>
          <w:szCs w:val="32"/>
        </w:rPr>
        <w:t>100</w:t>
      </w:r>
      <w:r>
        <w:rPr>
          <w:rFonts w:eastAsia="方正仿宋_GBK"/>
          <w:sz w:val="32"/>
          <w:szCs w:val="32"/>
          <w:lang w:val="zh-CN"/>
        </w:rPr>
        <w:t>%</w:t>
      </w:r>
      <w:r>
        <w:rPr>
          <w:rFonts w:eastAsia="方正仿宋_GBK"/>
          <w:sz w:val="32"/>
          <w:szCs w:val="32"/>
        </w:rPr>
        <w:t>，决算数等于预算数。</w:t>
      </w:r>
    </w:p>
    <w:p w14:paraId="7743B709">
      <w:pPr>
        <w:spacing w:line="600" w:lineRule="exact"/>
        <w:ind w:firstLine="640"/>
        <w:rPr>
          <w:rFonts w:eastAsia="方正仿宋_GBK"/>
          <w:sz w:val="32"/>
          <w:szCs w:val="32"/>
        </w:rPr>
      </w:pPr>
      <w:r>
        <w:rPr>
          <w:rFonts w:eastAsia="方正仿宋_GBK"/>
          <w:sz w:val="32"/>
          <w:szCs w:val="32"/>
        </w:rPr>
        <w:t>10.</w:t>
      </w:r>
      <w:r>
        <w:rPr>
          <w:rFonts w:eastAsia="方正仿宋_GBK"/>
          <w:sz w:val="32"/>
          <w:szCs w:val="32"/>
          <w:lang w:val="zh-CN"/>
        </w:rPr>
        <w:t>社会保障和就业</w:t>
      </w:r>
      <w:r>
        <w:rPr>
          <w:rFonts w:eastAsia="方正仿宋_GBK"/>
          <w:sz w:val="32"/>
          <w:szCs w:val="32"/>
        </w:rPr>
        <w:t>支出</w:t>
      </w:r>
      <w:r>
        <w:rPr>
          <w:rFonts w:eastAsia="方正仿宋_GBK"/>
          <w:sz w:val="32"/>
          <w:szCs w:val="32"/>
          <w:lang w:val="zh-CN"/>
        </w:rPr>
        <w:t>（</w:t>
      </w:r>
      <w:r>
        <w:rPr>
          <w:rFonts w:eastAsia="方正仿宋_GBK"/>
          <w:sz w:val="32"/>
          <w:szCs w:val="32"/>
        </w:rPr>
        <w:t>208</w:t>
      </w:r>
      <w:r>
        <w:rPr>
          <w:rFonts w:eastAsia="方正仿宋_GBK"/>
          <w:sz w:val="32"/>
          <w:szCs w:val="32"/>
          <w:lang w:val="zh-CN"/>
        </w:rPr>
        <w:t>类）</w:t>
      </w:r>
      <w:r>
        <w:rPr>
          <w:rFonts w:eastAsia="方正仿宋_GBK"/>
          <w:sz w:val="32"/>
          <w:szCs w:val="32"/>
        </w:rPr>
        <w:t>抚恤</w:t>
      </w:r>
      <w:r>
        <w:rPr>
          <w:rFonts w:eastAsia="方正仿宋_GBK"/>
          <w:sz w:val="32"/>
          <w:szCs w:val="32"/>
          <w:lang w:val="zh-CN"/>
        </w:rPr>
        <w:t>（</w:t>
      </w:r>
      <w:r>
        <w:rPr>
          <w:rFonts w:eastAsia="方正仿宋_GBK"/>
          <w:sz w:val="32"/>
          <w:szCs w:val="32"/>
        </w:rPr>
        <w:t>08</w:t>
      </w:r>
      <w:r>
        <w:rPr>
          <w:rFonts w:eastAsia="方正仿宋_GBK"/>
          <w:sz w:val="32"/>
          <w:szCs w:val="32"/>
          <w:lang w:val="zh-CN"/>
        </w:rPr>
        <w:t>款）</w:t>
      </w:r>
      <w:r>
        <w:rPr>
          <w:rFonts w:eastAsia="方正仿宋_GBK"/>
          <w:sz w:val="32"/>
          <w:szCs w:val="32"/>
        </w:rPr>
        <w:t>伤残抚恤</w:t>
      </w:r>
      <w:r>
        <w:rPr>
          <w:rFonts w:eastAsia="方正仿宋_GBK"/>
          <w:sz w:val="32"/>
          <w:szCs w:val="32"/>
          <w:lang w:val="zh-CN"/>
        </w:rPr>
        <w:t>（</w:t>
      </w:r>
      <w:r>
        <w:rPr>
          <w:rFonts w:eastAsia="方正仿宋_GBK"/>
          <w:sz w:val="32"/>
          <w:szCs w:val="32"/>
        </w:rPr>
        <w:t>02</w:t>
      </w:r>
      <w:r>
        <w:rPr>
          <w:rFonts w:eastAsia="方正仿宋_GBK"/>
          <w:sz w:val="32"/>
          <w:szCs w:val="32"/>
          <w:lang w:val="zh-CN"/>
        </w:rPr>
        <w:t>项）</w:t>
      </w:r>
      <w:r>
        <w:rPr>
          <w:rFonts w:hint="eastAsia" w:eastAsia="方正仿宋_GBK"/>
          <w:sz w:val="32"/>
          <w:szCs w:val="32"/>
          <w:lang w:val="zh-CN"/>
        </w:rPr>
        <w:t>：</w:t>
      </w:r>
      <w:r>
        <w:rPr>
          <w:rFonts w:eastAsia="方正仿宋_GBK"/>
          <w:sz w:val="32"/>
          <w:szCs w:val="32"/>
          <w:lang w:val="zh-CN"/>
        </w:rPr>
        <w:t>支出决算为</w:t>
      </w:r>
      <w:r>
        <w:rPr>
          <w:rFonts w:eastAsia="方正仿宋_GBK"/>
          <w:sz w:val="32"/>
          <w:szCs w:val="32"/>
        </w:rPr>
        <w:t>3.04</w:t>
      </w:r>
      <w:r>
        <w:rPr>
          <w:rFonts w:eastAsia="方正仿宋_GBK"/>
          <w:sz w:val="32"/>
          <w:szCs w:val="32"/>
          <w:lang w:val="zh-CN"/>
        </w:rPr>
        <w:t>万元，完成预算</w:t>
      </w:r>
      <w:r>
        <w:rPr>
          <w:rFonts w:eastAsia="方正仿宋_GBK"/>
          <w:sz w:val="32"/>
          <w:szCs w:val="32"/>
        </w:rPr>
        <w:t>100</w:t>
      </w:r>
      <w:r>
        <w:rPr>
          <w:rFonts w:eastAsia="方正仿宋_GBK"/>
          <w:sz w:val="32"/>
          <w:szCs w:val="32"/>
          <w:lang w:val="zh-CN"/>
        </w:rPr>
        <w:t>%</w:t>
      </w:r>
      <w:r>
        <w:rPr>
          <w:rFonts w:eastAsia="方正仿宋_GBK"/>
          <w:sz w:val="32"/>
          <w:szCs w:val="32"/>
        </w:rPr>
        <w:t>，决算数等于预算数。</w:t>
      </w:r>
    </w:p>
    <w:p w14:paraId="68F2BB5D">
      <w:pPr>
        <w:spacing w:line="600" w:lineRule="exact"/>
        <w:ind w:firstLine="640"/>
        <w:rPr>
          <w:rFonts w:eastAsia="方正仿宋_GBK"/>
          <w:sz w:val="32"/>
          <w:szCs w:val="32"/>
        </w:rPr>
      </w:pPr>
      <w:r>
        <w:rPr>
          <w:rFonts w:eastAsia="方正仿宋_GBK"/>
          <w:sz w:val="32"/>
          <w:szCs w:val="32"/>
        </w:rPr>
        <w:t>11.</w:t>
      </w:r>
      <w:r>
        <w:rPr>
          <w:rFonts w:eastAsia="方正仿宋_GBK"/>
          <w:sz w:val="32"/>
          <w:szCs w:val="32"/>
          <w:lang w:val="zh-CN"/>
        </w:rPr>
        <w:t>卫生健康</w:t>
      </w:r>
      <w:r>
        <w:rPr>
          <w:rFonts w:eastAsia="方正仿宋_GBK"/>
          <w:sz w:val="32"/>
          <w:szCs w:val="32"/>
        </w:rPr>
        <w:t>支出</w:t>
      </w:r>
      <w:r>
        <w:rPr>
          <w:rFonts w:eastAsia="方正仿宋_GBK"/>
          <w:sz w:val="32"/>
          <w:szCs w:val="32"/>
          <w:lang w:val="zh-CN"/>
        </w:rPr>
        <w:t>（</w:t>
      </w:r>
      <w:r>
        <w:rPr>
          <w:rFonts w:eastAsia="方正仿宋_GBK"/>
          <w:sz w:val="32"/>
          <w:szCs w:val="32"/>
        </w:rPr>
        <w:t>210</w:t>
      </w:r>
      <w:r>
        <w:rPr>
          <w:rFonts w:eastAsia="方正仿宋_GBK"/>
          <w:sz w:val="32"/>
          <w:szCs w:val="32"/>
          <w:lang w:val="zh-CN"/>
        </w:rPr>
        <w:t>类）</w:t>
      </w:r>
      <w:r>
        <w:rPr>
          <w:rFonts w:eastAsia="方正仿宋_GBK"/>
          <w:sz w:val="32"/>
          <w:szCs w:val="32"/>
        </w:rPr>
        <w:t>行政事业单位医疗</w:t>
      </w:r>
      <w:r>
        <w:rPr>
          <w:rFonts w:eastAsia="方正仿宋_GBK"/>
          <w:sz w:val="32"/>
          <w:szCs w:val="32"/>
          <w:lang w:val="zh-CN"/>
        </w:rPr>
        <w:t>（</w:t>
      </w:r>
      <w:r>
        <w:rPr>
          <w:rFonts w:eastAsia="方正仿宋_GBK"/>
          <w:sz w:val="32"/>
          <w:szCs w:val="32"/>
        </w:rPr>
        <w:t>11</w:t>
      </w:r>
      <w:r>
        <w:rPr>
          <w:rFonts w:eastAsia="方正仿宋_GBK"/>
          <w:sz w:val="32"/>
          <w:szCs w:val="32"/>
          <w:lang w:val="zh-CN"/>
        </w:rPr>
        <w:t>款）</w:t>
      </w:r>
      <w:r>
        <w:rPr>
          <w:rFonts w:eastAsia="方正仿宋_GBK"/>
          <w:sz w:val="32"/>
          <w:szCs w:val="32"/>
        </w:rPr>
        <w:t>行政单位医疗</w:t>
      </w:r>
      <w:r>
        <w:rPr>
          <w:rFonts w:eastAsia="方正仿宋_GBK"/>
          <w:sz w:val="32"/>
          <w:szCs w:val="32"/>
          <w:lang w:val="zh-CN"/>
        </w:rPr>
        <w:t>（</w:t>
      </w:r>
      <w:r>
        <w:rPr>
          <w:rFonts w:eastAsia="方正仿宋_GBK"/>
          <w:sz w:val="32"/>
          <w:szCs w:val="32"/>
        </w:rPr>
        <w:t>01</w:t>
      </w:r>
      <w:r>
        <w:rPr>
          <w:rFonts w:eastAsia="方正仿宋_GBK"/>
          <w:sz w:val="32"/>
          <w:szCs w:val="32"/>
          <w:lang w:val="zh-CN"/>
        </w:rPr>
        <w:t>项）</w:t>
      </w:r>
      <w:r>
        <w:rPr>
          <w:rFonts w:hint="eastAsia" w:eastAsia="方正仿宋_GBK"/>
          <w:sz w:val="32"/>
          <w:szCs w:val="32"/>
          <w:lang w:val="zh-CN"/>
        </w:rPr>
        <w:t>：</w:t>
      </w:r>
      <w:r>
        <w:rPr>
          <w:rFonts w:eastAsia="方正仿宋_GBK"/>
          <w:sz w:val="32"/>
          <w:szCs w:val="32"/>
          <w:lang w:val="zh-CN"/>
        </w:rPr>
        <w:t>支出决算为</w:t>
      </w:r>
      <w:r>
        <w:rPr>
          <w:rFonts w:eastAsia="方正仿宋_GBK"/>
          <w:sz w:val="32"/>
          <w:szCs w:val="32"/>
        </w:rPr>
        <w:t>32.77</w:t>
      </w:r>
      <w:r>
        <w:rPr>
          <w:rFonts w:eastAsia="方正仿宋_GBK"/>
          <w:sz w:val="32"/>
          <w:szCs w:val="32"/>
          <w:lang w:val="zh-CN"/>
        </w:rPr>
        <w:t>万元，完成预算</w:t>
      </w:r>
      <w:r>
        <w:rPr>
          <w:rFonts w:eastAsia="方正仿宋_GBK"/>
          <w:sz w:val="32"/>
          <w:szCs w:val="32"/>
        </w:rPr>
        <w:t>100</w:t>
      </w:r>
      <w:r>
        <w:rPr>
          <w:rFonts w:eastAsia="方正仿宋_GBK"/>
          <w:sz w:val="32"/>
          <w:szCs w:val="32"/>
          <w:lang w:val="zh-CN"/>
        </w:rPr>
        <w:t>%</w:t>
      </w:r>
      <w:r>
        <w:rPr>
          <w:rFonts w:eastAsia="方正仿宋_GBK"/>
          <w:sz w:val="32"/>
          <w:szCs w:val="32"/>
        </w:rPr>
        <w:t>，决算数等于预算数。</w:t>
      </w:r>
    </w:p>
    <w:p w14:paraId="66F2538E">
      <w:pPr>
        <w:spacing w:line="600" w:lineRule="exact"/>
        <w:ind w:firstLine="640"/>
        <w:rPr>
          <w:rFonts w:eastAsia="方正仿宋_GBK"/>
          <w:sz w:val="32"/>
          <w:szCs w:val="32"/>
        </w:rPr>
      </w:pPr>
      <w:r>
        <w:rPr>
          <w:rFonts w:eastAsia="方正仿宋_GBK"/>
          <w:sz w:val="32"/>
          <w:szCs w:val="32"/>
        </w:rPr>
        <w:t>12.</w:t>
      </w:r>
      <w:r>
        <w:rPr>
          <w:rFonts w:eastAsia="方正仿宋_GBK"/>
          <w:sz w:val="32"/>
          <w:szCs w:val="32"/>
          <w:lang w:val="zh-CN"/>
        </w:rPr>
        <w:t>卫生健康</w:t>
      </w:r>
      <w:r>
        <w:rPr>
          <w:rFonts w:eastAsia="方正仿宋_GBK"/>
          <w:sz w:val="32"/>
          <w:szCs w:val="32"/>
        </w:rPr>
        <w:t>支出</w:t>
      </w:r>
      <w:r>
        <w:rPr>
          <w:rFonts w:eastAsia="方正仿宋_GBK"/>
          <w:sz w:val="32"/>
          <w:szCs w:val="32"/>
          <w:lang w:val="zh-CN"/>
        </w:rPr>
        <w:t>（</w:t>
      </w:r>
      <w:r>
        <w:rPr>
          <w:rFonts w:eastAsia="方正仿宋_GBK"/>
          <w:sz w:val="32"/>
          <w:szCs w:val="32"/>
        </w:rPr>
        <w:t>210</w:t>
      </w:r>
      <w:r>
        <w:rPr>
          <w:rFonts w:eastAsia="方正仿宋_GBK"/>
          <w:sz w:val="32"/>
          <w:szCs w:val="32"/>
          <w:lang w:val="zh-CN"/>
        </w:rPr>
        <w:t>类）</w:t>
      </w:r>
      <w:r>
        <w:rPr>
          <w:rFonts w:eastAsia="方正仿宋_GBK"/>
          <w:sz w:val="32"/>
          <w:szCs w:val="32"/>
        </w:rPr>
        <w:t>行政事业单位医疗</w:t>
      </w:r>
      <w:r>
        <w:rPr>
          <w:rFonts w:eastAsia="方正仿宋_GBK"/>
          <w:sz w:val="32"/>
          <w:szCs w:val="32"/>
          <w:lang w:val="zh-CN"/>
        </w:rPr>
        <w:t>（</w:t>
      </w:r>
      <w:r>
        <w:rPr>
          <w:rFonts w:eastAsia="方正仿宋_GBK"/>
          <w:sz w:val="32"/>
          <w:szCs w:val="32"/>
        </w:rPr>
        <w:t>11</w:t>
      </w:r>
      <w:r>
        <w:rPr>
          <w:rFonts w:eastAsia="方正仿宋_GBK"/>
          <w:sz w:val="32"/>
          <w:szCs w:val="32"/>
          <w:lang w:val="zh-CN"/>
        </w:rPr>
        <w:t>款）</w:t>
      </w:r>
      <w:r>
        <w:rPr>
          <w:rFonts w:eastAsia="方正仿宋_GBK"/>
          <w:sz w:val="32"/>
          <w:szCs w:val="32"/>
        </w:rPr>
        <w:t>事业单位医疗</w:t>
      </w:r>
      <w:r>
        <w:rPr>
          <w:rFonts w:eastAsia="方正仿宋_GBK"/>
          <w:sz w:val="32"/>
          <w:szCs w:val="32"/>
          <w:lang w:val="zh-CN"/>
        </w:rPr>
        <w:t>（</w:t>
      </w:r>
      <w:r>
        <w:rPr>
          <w:rFonts w:eastAsia="方正仿宋_GBK"/>
          <w:sz w:val="32"/>
          <w:szCs w:val="32"/>
        </w:rPr>
        <w:t>02</w:t>
      </w:r>
      <w:r>
        <w:rPr>
          <w:rFonts w:eastAsia="方正仿宋_GBK"/>
          <w:sz w:val="32"/>
          <w:szCs w:val="32"/>
          <w:lang w:val="zh-CN"/>
        </w:rPr>
        <w:t>项）</w:t>
      </w:r>
      <w:r>
        <w:rPr>
          <w:rFonts w:hint="eastAsia" w:eastAsia="方正仿宋_GBK"/>
          <w:sz w:val="32"/>
          <w:szCs w:val="32"/>
          <w:lang w:val="zh-CN"/>
        </w:rPr>
        <w:t>：</w:t>
      </w:r>
      <w:r>
        <w:rPr>
          <w:rFonts w:eastAsia="方正仿宋_GBK"/>
          <w:sz w:val="32"/>
          <w:szCs w:val="32"/>
          <w:lang w:val="zh-CN"/>
        </w:rPr>
        <w:t>支出决算为</w:t>
      </w:r>
      <w:r>
        <w:rPr>
          <w:rFonts w:eastAsia="方正仿宋_GBK"/>
          <w:sz w:val="32"/>
          <w:szCs w:val="32"/>
        </w:rPr>
        <w:t>11.74</w:t>
      </w:r>
      <w:r>
        <w:rPr>
          <w:rFonts w:eastAsia="方正仿宋_GBK"/>
          <w:sz w:val="32"/>
          <w:szCs w:val="32"/>
          <w:lang w:val="zh-CN"/>
        </w:rPr>
        <w:t>万元，完成预算</w:t>
      </w:r>
      <w:r>
        <w:rPr>
          <w:rFonts w:eastAsia="方正仿宋_GBK"/>
          <w:sz w:val="32"/>
          <w:szCs w:val="32"/>
        </w:rPr>
        <w:t>100</w:t>
      </w:r>
      <w:r>
        <w:rPr>
          <w:rFonts w:eastAsia="方正仿宋_GBK"/>
          <w:sz w:val="32"/>
          <w:szCs w:val="32"/>
          <w:lang w:val="zh-CN"/>
        </w:rPr>
        <w:t>%</w:t>
      </w:r>
      <w:r>
        <w:rPr>
          <w:rFonts w:eastAsia="方正仿宋_GBK"/>
          <w:sz w:val="32"/>
          <w:szCs w:val="32"/>
        </w:rPr>
        <w:t>，决算数等于预算数。</w:t>
      </w:r>
    </w:p>
    <w:p w14:paraId="4F1C10A4">
      <w:pPr>
        <w:spacing w:line="600" w:lineRule="exact"/>
        <w:ind w:firstLine="640"/>
        <w:rPr>
          <w:rFonts w:eastAsia="方正仿宋_GBK"/>
          <w:sz w:val="32"/>
          <w:szCs w:val="32"/>
        </w:rPr>
      </w:pPr>
      <w:r>
        <w:rPr>
          <w:rFonts w:eastAsia="方正仿宋_GBK"/>
          <w:sz w:val="32"/>
          <w:szCs w:val="32"/>
        </w:rPr>
        <w:t>13.</w:t>
      </w:r>
      <w:r>
        <w:rPr>
          <w:rFonts w:eastAsia="方正仿宋_GBK"/>
          <w:sz w:val="32"/>
          <w:szCs w:val="32"/>
          <w:lang w:val="zh-CN"/>
        </w:rPr>
        <w:t>卫生健康</w:t>
      </w:r>
      <w:r>
        <w:rPr>
          <w:rFonts w:eastAsia="方正仿宋_GBK"/>
          <w:sz w:val="32"/>
          <w:szCs w:val="32"/>
        </w:rPr>
        <w:t>支出</w:t>
      </w:r>
      <w:r>
        <w:rPr>
          <w:rFonts w:eastAsia="方正仿宋_GBK"/>
          <w:sz w:val="32"/>
          <w:szCs w:val="32"/>
          <w:lang w:val="zh-CN"/>
        </w:rPr>
        <w:t>（</w:t>
      </w:r>
      <w:r>
        <w:rPr>
          <w:rFonts w:eastAsia="方正仿宋_GBK"/>
          <w:sz w:val="32"/>
          <w:szCs w:val="32"/>
        </w:rPr>
        <w:t>210</w:t>
      </w:r>
      <w:r>
        <w:rPr>
          <w:rFonts w:eastAsia="方正仿宋_GBK"/>
          <w:sz w:val="32"/>
          <w:szCs w:val="32"/>
          <w:lang w:val="zh-CN"/>
        </w:rPr>
        <w:t>类）</w:t>
      </w:r>
      <w:r>
        <w:rPr>
          <w:rFonts w:eastAsia="方正仿宋_GBK"/>
          <w:sz w:val="32"/>
          <w:szCs w:val="32"/>
        </w:rPr>
        <w:t>行政事业单位医疗</w:t>
      </w:r>
      <w:r>
        <w:rPr>
          <w:rFonts w:eastAsia="方正仿宋_GBK"/>
          <w:sz w:val="32"/>
          <w:szCs w:val="32"/>
          <w:lang w:val="zh-CN"/>
        </w:rPr>
        <w:t>（</w:t>
      </w:r>
      <w:r>
        <w:rPr>
          <w:rFonts w:eastAsia="方正仿宋_GBK"/>
          <w:sz w:val="32"/>
          <w:szCs w:val="32"/>
        </w:rPr>
        <w:t>11</w:t>
      </w:r>
      <w:r>
        <w:rPr>
          <w:rFonts w:eastAsia="方正仿宋_GBK"/>
          <w:sz w:val="32"/>
          <w:szCs w:val="32"/>
          <w:lang w:val="zh-CN"/>
        </w:rPr>
        <w:t>款）</w:t>
      </w:r>
      <w:r>
        <w:rPr>
          <w:rFonts w:eastAsia="方正仿宋_GBK"/>
          <w:sz w:val="32"/>
          <w:szCs w:val="32"/>
        </w:rPr>
        <w:t>公务员医疗补助</w:t>
      </w:r>
      <w:r>
        <w:rPr>
          <w:rFonts w:eastAsia="方正仿宋_GBK"/>
          <w:sz w:val="32"/>
          <w:szCs w:val="32"/>
          <w:lang w:val="zh-CN"/>
        </w:rPr>
        <w:t>（</w:t>
      </w:r>
      <w:r>
        <w:rPr>
          <w:rFonts w:eastAsia="方正仿宋_GBK"/>
          <w:sz w:val="32"/>
          <w:szCs w:val="32"/>
        </w:rPr>
        <w:t>03</w:t>
      </w:r>
      <w:r>
        <w:rPr>
          <w:rFonts w:eastAsia="方正仿宋_GBK"/>
          <w:sz w:val="32"/>
          <w:szCs w:val="32"/>
          <w:lang w:val="zh-CN"/>
        </w:rPr>
        <w:t>项）</w:t>
      </w:r>
      <w:r>
        <w:rPr>
          <w:rFonts w:hint="eastAsia" w:eastAsia="方正仿宋_GBK"/>
          <w:sz w:val="32"/>
          <w:szCs w:val="32"/>
          <w:lang w:val="zh-CN"/>
        </w:rPr>
        <w:t>：</w:t>
      </w:r>
      <w:r>
        <w:rPr>
          <w:rFonts w:eastAsia="方正仿宋_GBK"/>
          <w:sz w:val="32"/>
          <w:szCs w:val="32"/>
          <w:lang w:val="zh-CN"/>
        </w:rPr>
        <w:t>支出决算为</w:t>
      </w:r>
      <w:r>
        <w:rPr>
          <w:rFonts w:eastAsia="方正仿宋_GBK"/>
          <w:sz w:val="32"/>
          <w:szCs w:val="32"/>
        </w:rPr>
        <w:t>3.10</w:t>
      </w:r>
      <w:r>
        <w:rPr>
          <w:rFonts w:eastAsia="方正仿宋_GBK"/>
          <w:sz w:val="32"/>
          <w:szCs w:val="32"/>
          <w:lang w:val="zh-CN"/>
        </w:rPr>
        <w:t>万元，完成预算</w:t>
      </w:r>
      <w:r>
        <w:rPr>
          <w:rFonts w:eastAsia="方正仿宋_GBK"/>
          <w:sz w:val="32"/>
          <w:szCs w:val="32"/>
        </w:rPr>
        <w:t>100</w:t>
      </w:r>
      <w:r>
        <w:rPr>
          <w:rFonts w:eastAsia="方正仿宋_GBK"/>
          <w:sz w:val="32"/>
          <w:szCs w:val="32"/>
          <w:lang w:val="zh-CN"/>
        </w:rPr>
        <w:t>%</w:t>
      </w:r>
      <w:r>
        <w:rPr>
          <w:rFonts w:eastAsia="方正仿宋_GBK"/>
          <w:sz w:val="32"/>
          <w:szCs w:val="32"/>
        </w:rPr>
        <w:t>，决算数等于预算数。</w:t>
      </w:r>
    </w:p>
    <w:p w14:paraId="6173E4C6">
      <w:pPr>
        <w:spacing w:line="600" w:lineRule="exact"/>
        <w:ind w:firstLine="640"/>
        <w:rPr>
          <w:rFonts w:eastAsia="方正仿宋_GBK"/>
          <w:sz w:val="32"/>
          <w:szCs w:val="32"/>
        </w:rPr>
      </w:pPr>
      <w:r>
        <w:rPr>
          <w:rFonts w:eastAsia="方正仿宋_GBK"/>
          <w:sz w:val="32"/>
          <w:szCs w:val="32"/>
        </w:rPr>
        <w:t>14.</w:t>
      </w:r>
      <w:r>
        <w:rPr>
          <w:rFonts w:eastAsia="方正仿宋_GBK"/>
          <w:sz w:val="32"/>
          <w:szCs w:val="32"/>
          <w:lang w:val="zh-CN"/>
        </w:rPr>
        <w:t>卫生健康</w:t>
      </w:r>
      <w:r>
        <w:rPr>
          <w:rFonts w:eastAsia="方正仿宋_GBK"/>
          <w:sz w:val="32"/>
          <w:szCs w:val="32"/>
        </w:rPr>
        <w:t>支出</w:t>
      </w:r>
      <w:r>
        <w:rPr>
          <w:rFonts w:eastAsia="方正仿宋_GBK"/>
          <w:sz w:val="32"/>
          <w:szCs w:val="32"/>
          <w:lang w:val="zh-CN"/>
        </w:rPr>
        <w:t>（</w:t>
      </w:r>
      <w:r>
        <w:rPr>
          <w:rFonts w:eastAsia="方正仿宋_GBK"/>
          <w:sz w:val="32"/>
          <w:szCs w:val="32"/>
        </w:rPr>
        <w:t>210</w:t>
      </w:r>
      <w:r>
        <w:rPr>
          <w:rFonts w:eastAsia="方正仿宋_GBK"/>
          <w:sz w:val="32"/>
          <w:szCs w:val="32"/>
          <w:lang w:val="zh-CN"/>
        </w:rPr>
        <w:t>类）</w:t>
      </w:r>
      <w:r>
        <w:rPr>
          <w:rFonts w:eastAsia="方正仿宋_GBK"/>
          <w:sz w:val="32"/>
          <w:szCs w:val="32"/>
        </w:rPr>
        <w:t>行政事业单位医疗</w:t>
      </w:r>
      <w:r>
        <w:rPr>
          <w:rFonts w:eastAsia="方正仿宋_GBK"/>
          <w:sz w:val="32"/>
          <w:szCs w:val="32"/>
          <w:lang w:val="zh-CN"/>
        </w:rPr>
        <w:t>（</w:t>
      </w:r>
      <w:r>
        <w:rPr>
          <w:rFonts w:eastAsia="方正仿宋_GBK"/>
          <w:sz w:val="32"/>
          <w:szCs w:val="32"/>
        </w:rPr>
        <w:t>11</w:t>
      </w:r>
      <w:r>
        <w:rPr>
          <w:rFonts w:eastAsia="方正仿宋_GBK"/>
          <w:sz w:val="32"/>
          <w:szCs w:val="32"/>
          <w:lang w:val="zh-CN"/>
        </w:rPr>
        <w:t>款）</w:t>
      </w:r>
      <w:r>
        <w:rPr>
          <w:rFonts w:eastAsia="方正仿宋_GBK"/>
          <w:sz w:val="32"/>
          <w:szCs w:val="32"/>
        </w:rPr>
        <w:t>其他行政事业单位医疗支出</w:t>
      </w:r>
      <w:r>
        <w:rPr>
          <w:rFonts w:eastAsia="方正仿宋_GBK"/>
          <w:sz w:val="32"/>
          <w:szCs w:val="32"/>
          <w:lang w:val="zh-CN"/>
        </w:rPr>
        <w:t>（</w:t>
      </w:r>
      <w:r>
        <w:rPr>
          <w:rFonts w:eastAsia="方正仿宋_GBK"/>
          <w:sz w:val="32"/>
          <w:szCs w:val="32"/>
        </w:rPr>
        <w:t>99</w:t>
      </w:r>
      <w:r>
        <w:rPr>
          <w:rFonts w:eastAsia="方正仿宋_GBK"/>
          <w:sz w:val="32"/>
          <w:szCs w:val="32"/>
          <w:lang w:val="zh-CN"/>
        </w:rPr>
        <w:t>项）</w:t>
      </w:r>
      <w:r>
        <w:rPr>
          <w:rFonts w:hint="eastAsia" w:eastAsia="方正仿宋_GBK"/>
          <w:sz w:val="32"/>
          <w:szCs w:val="32"/>
          <w:lang w:val="zh-CN"/>
        </w:rPr>
        <w:t>：</w:t>
      </w:r>
      <w:r>
        <w:rPr>
          <w:rFonts w:eastAsia="方正仿宋_GBK"/>
          <w:sz w:val="32"/>
          <w:szCs w:val="32"/>
          <w:lang w:val="zh-CN"/>
        </w:rPr>
        <w:t>支出决算为</w:t>
      </w:r>
      <w:r>
        <w:rPr>
          <w:rFonts w:eastAsia="方正仿宋_GBK"/>
          <w:sz w:val="32"/>
          <w:szCs w:val="32"/>
        </w:rPr>
        <w:t>25.05</w:t>
      </w:r>
      <w:r>
        <w:rPr>
          <w:rFonts w:eastAsia="方正仿宋_GBK"/>
          <w:sz w:val="32"/>
          <w:szCs w:val="32"/>
          <w:lang w:val="zh-CN"/>
        </w:rPr>
        <w:t>万元，完成预算</w:t>
      </w:r>
      <w:r>
        <w:rPr>
          <w:rFonts w:eastAsia="方正仿宋_GBK"/>
          <w:sz w:val="32"/>
          <w:szCs w:val="32"/>
        </w:rPr>
        <w:t>100</w:t>
      </w:r>
      <w:r>
        <w:rPr>
          <w:rFonts w:eastAsia="方正仿宋_GBK"/>
          <w:sz w:val="32"/>
          <w:szCs w:val="32"/>
          <w:lang w:val="zh-CN"/>
        </w:rPr>
        <w:t>%</w:t>
      </w:r>
      <w:r>
        <w:rPr>
          <w:rFonts w:eastAsia="方正仿宋_GBK"/>
          <w:sz w:val="32"/>
          <w:szCs w:val="32"/>
        </w:rPr>
        <w:t>，决算数等于预算数。</w:t>
      </w:r>
    </w:p>
    <w:p w14:paraId="362E6C4A">
      <w:pPr>
        <w:spacing w:line="600" w:lineRule="exact"/>
        <w:ind w:firstLine="640"/>
        <w:rPr>
          <w:rFonts w:eastAsia="方正仿宋_GBK"/>
          <w:sz w:val="32"/>
          <w:szCs w:val="32"/>
        </w:rPr>
      </w:pPr>
      <w:r>
        <w:rPr>
          <w:rFonts w:eastAsia="方正仿宋_GBK"/>
          <w:sz w:val="32"/>
          <w:szCs w:val="32"/>
        </w:rPr>
        <w:t>15.住房保障支出</w:t>
      </w:r>
      <w:r>
        <w:rPr>
          <w:rFonts w:eastAsia="方正仿宋_GBK"/>
          <w:sz w:val="32"/>
          <w:szCs w:val="32"/>
          <w:lang w:val="zh-CN"/>
        </w:rPr>
        <w:t>（类）</w:t>
      </w:r>
      <w:r>
        <w:rPr>
          <w:rFonts w:eastAsia="方正仿宋_GBK"/>
          <w:sz w:val="32"/>
          <w:szCs w:val="32"/>
        </w:rPr>
        <w:t>住房改革支出</w:t>
      </w:r>
      <w:r>
        <w:rPr>
          <w:rFonts w:eastAsia="方正仿宋_GBK"/>
          <w:sz w:val="32"/>
          <w:szCs w:val="32"/>
          <w:lang w:val="zh-CN"/>
        </w:rPr>
        <w:t>（款）</w:t>
      </w:r>
      <w:r>
        <w:rPr>
          <w:rFonts w:eastAsia="方正仿宋_GBK"/>
          <w:sz w:val="32"/>
          <w:szCs w:val="32"/>
        </w:rPr>
        <w:t>住房公积金</w:t>
      </w:r>
      <w:r>
        <w:rPr>
          <w:rFonts w:eastAsia="方正仿宋_GBK"/>
          <w:sz w:val="32"/>
          <w:szCs w:val="32"/>
          <w:lang w:val="zh-CN"/>
        </w:rPr>
        <w:t>（项）</w:t>
      </w:r>
      <w:r>
        <w:rPr>
          <w:rFonts w:hint="eastAsia" w:eastAsia="方正仿宋_GBK"/>
          <w:sz w:val="32"/>
          <w:szCs w:val="32"/>
          <w:lang w:val="zh-CN"/>
        </w:rPr>
        <w:t>：</w:t>
      </w:r>
      <w:r>
        <w:rPr>
          <w:rFonts w:eastAsia="方正仿宋_GBK"/>
          <w:sz w:val="32"/>
          <w:szCs w:val="32"/>
          <w:lang w:val="zh-CN"/>
        </w:rPr>
        <w:t>支出决算为</w:t>
      </w:r>
      <w:r>
        <w:rPr>
          <w:rFonts w:eastAsia="方正仿宋_GBK"/>
          <w:sz w:val="32"/>
          <w:szCs w:val="32"/>
        </w:rPr>
        <w:t>64.93</w:t>
      </w:r>
      <w:r>
        <w:rPr>
          <w:rFonts w:eastAsia="方正仿宋_GBK"/>
          <w:sz w:val="32"/>
          <w:szCs w:val="32"/>
          <w:lang w:val="zh-CN"/>
        </w:rPr>
        <w:t>万元，完成预算</w:t>
      </w:r>
      <w:r>
        <w:rPr>
          <w:rFonts w:eastAsia="方正仿宋_GBK"/>
          <w:sz w:val="32"/>
          <w:szCs w:val="32"/>
        </w:rPr>
        <w:t>100</w:t>
      </w:r>
      <w:r>
        <w:rPr>
          <w:rFonts w:eastAsia="方正仿宋_GBK"/>
          <w:sz w:val="32"/>
          <w:szCs w:val="32"/>
          <w:lang w:val="zh-CN"/>
        </w:rPr>
        <w:t>%</w:t>
      </w:r>
      <w:r>
        <w:rPr>
          <w:rFonts w:eastAsia="方正仿宋_GBK"/>
          <w:sz w:val="32"/>
          <w:szCs w:val="32"/>
        </w:rPr>
        <w:t>，决算数等于预算数。</w:t>
      </w:r>
    </w:p>
    <w:p w14:paraId="23F1A0D2">
      <w:pPr>
        <w:tabs>
          <w:tab w:val="right" w:pos="8306"/>
        </w:tabs>
        <w:spacing w:line="600" w:lineRule="exact"/>
        <w:ind w:firstLine="640"/>
        <w:outlineLvl w:val="1"/>
        <w:rPr>
          <w:rStyle w:val="30"/>
          <w:rFonts w:ascii="Times New Roman" w:hAnsi="Times New Roman" w:eastAsia="方正仿宋_GBK" w:cs="Times New Roman"/>
        </w:rPr>
      </w:pPr>
      <w:bookmarkStart w:id="28" w:name="_Toc15396608"/>
      <w:bookmarkStart w:id="29" w:name="_Toc15377214"/>
      <w:r>
        <w:rPr>
          <w:rFonts w:ascii="方正黑体_GBK" w:hAnsi="方正黑体_GBK" w:eastAsia="方正黑体_GBK" w:cs="方正黑体_GBK"/>
          <w:sz w:val="32"/>
          <w:szCs w:val="32"/>
        </w:rPr>
        <w:t>六、一般公共预算财政拨款基本支出决算情况说明</w:t>
      </w:r>
      <w:bookmarkEnd w:id="28"/>
      <w:bookmarkEnd w:id="29"/>
      <w:r>
        <w:rPr>
          <w:rStyle w:val="30"/>
          <w:rFonts w:ascii="Times New Roman" w:hAnsi="Times New Roman" w:eastAsia="方正仿宋_GBK" w:cs="Times New Roman"/>
          <w:b w:val="0"/>
        </w:rPr>
        <w:tab/>
      </w:r>
    </w:p>
    <w:p w14:paraId="3E6AFA26">
      <w:pPr>
        <w:spacing w:line="600" w:lineRule="exact"/>
        <w:ind w:firstLine="640"/>
        <w:rPr>
          <w:rFonts w:eastAsia="方正仿宋_GBK"/>
          <w:sz w:val="32"/>
          <w:szCs w:val="32"/>
        </w:rPr>
      </w:pPr>
      <w:r>
        <w:rPr>
          <w:rFonts w:eastAsia="方正仿宋_GBK"/>
          <w:sz w:val="32"/>
          <w:szCs w:val="32"/>
        </w:rPr>
        <w:t>2024年度一般公共预算财政拨款基本支出951.56万元，其中：</w:t>
      </w:r>
    </w:p>
    <w:p w14:paraId="47950AEB">
      <w:pPr>
        <w:spacing w:line="600" w:lineRule="exact"/>
        <w:ind w:firstLine="640"/>
        <w:rPr>
          <w:rFonts w:eastAsia="方正仿宋_GBK"/>
          <w:sz w:val="32"/>
          <w:szCs w:val="32"/>
        </w:rPr>
      </w:pPr>
      <w:r>
        <w:rPr>
          <w:rFonts w:eastAsia="方正仿宋_GBK"/>
          <w:sz w:val="32"/>
          <w:szCs w:val="32"/>
        </w:rPr>
        <w:t>人员经费818.74万元，主要包括：基本工资、津贴补贴、奖金、绩效工资、机关事业单位基本养老保险缴费、职业年金缴费、其他社会保障缴费、其他工资福利支出、抚恤金、生活补助、医疗费补助、住房公积金等。</w:t>
      </w:r>
      <w:r>
        <w:rPr>
          <w:rFonts w:eastAsia="方正仿宋_GBK"/>
          <w:sz w:val="32"/>
          <w:szCs w:val="32"/>
        </w:rPr>
        <w:br w:type="textWrapping"/>
      </w:r>
      <w:r>
        <w:rPr>
          <w:rFonts w:eastAsia="方正仿宋_GBK"/>
          <w:sz w:val="32"/>
          <w:szCs w:val="32"/>
        </w:rPr>
        <w:t>　　公用经费71.31万元，主要包括：办公费、邮电费、取暖费、差旅费、会议费、培训费、劳务费、委托业务费、工会经费、福利费、其他交通费、其他商品和服务支出等。</w:t>
      </w:r>
    </w:p>
    <w:p w14:paraId="7E8ACE2C">
      <w:pPr>
        <w:pStyle w:val="28"/>
        <w:spacing w:line="600" w:lineRule="exact"/>
        <w:ind w:firstLine="640"/>
        <w:outlineLvl w:val="1"/>
        <w:rPr>
          <w:rStyle w:val="30"/>
          <w:rFonts w:ascii="Times New Roman" w:hAnsi="Times New Roman" w:eastAsia="方正仿宋_GBK" w:cs="Times New Roman"/>
          <w:b w:val="0"/>
        </w:rPr>
      </w:pPr>
      <w:bookmarkStart w:id="30" w:name="_Toc15396609"/>
      <w:bookmarkStart w:id="31" w:name="_Toc15377215"/>
      <w:r>
        <w:rPr>
          <w:rFonts w:ascii="方正黑体_GBK" w:hAnsi="方正黑体_GBK" w:eastAsia="方正黑体_GBK" w:cs="方正黑体_GBK"/>
          <w:sz w:val="32"/>
          <w:szCs w:val="32"/>
        </w:rPr>
        <w:t>七、财政拨款“三公”经费支出决算情况说明</w:t>
      </w:r>
      <w:bookmarkEnd w:id="30"/>
      <w:bookmarkEnd w:id="31"/>
    </w:p>
    <w:p w14:paraId="6239A718">
      <w:pPr>
        <w:spacing w:line="600" w:lineRule="exact"/>
        <w:ind w:firstLine="643" w:firstLineChars="200"/>
        <w:outlineLvl w:val="2"/>
        <w:rPr>
          <w:rFonts w:eastAsia="方正仿宋_GBK"/>
          <w:b/>
          <w:sz w:val="32"/>
          <w:szCs w:val="32"/>
        </w:rPr>
      </w:pPr>
      <w:bookmarkStart w:id="32" w:name="_Toc15377216"/>
      <w:r>
        <w:rPr>
          <w:rFonts w:hint="eastAsia" w:ascii="方正楷体_GBK" w:hAnsi="方正楷体_GBK" w:eastAsia="方正楷体_GBK" w:cs="方正楷体_GBK"/>
          <w:b/>
          <w:sz w:val="32"/>
          <w:szCs w:val="32"/>
        </w:rPr>
        <w:t>（一）“三公”经费财政拨款支出决算总体情况说明</w:t>
      </w:r>
      <w:bookmarkEnd w:id="32"/>
    </w:p>
    <w:p w14:paraId="6AB92E19">
      <w:pPr>
        <w:spacing w:line="600" w:lineRule="exact"/>
        <w:ind w:firstLine="640"/>
        <w:rPr>
          <w:rFonts w:eastAsia="方正仿宋_GBK"/>
          <w:sz w:val="32"/>
          <w:szCs w:val="32"/>
        </w:rPr>
      </w:pPr>
      <w:r>
        <w:rPr>
          <w:rFonts w:eastAsia="方正仿宋_GBK"/>
          <w:sz w:val="32"/>
          <w:szCs w:val="32"/>
        </w:rPr>
        <w:t>2024年度“三公”经费财政拨款支出决算为2.4万元，完成预算100%，较上年度增加2.4万元，增长100%。决算与预算数持平</w:t>
      </w:r>
      <w:r>
        <w:rPr>
          <w:rFonts w:hint="eastAsia" w:eastAsia="方正仿宋_GBK"/>
          <w:sz w:val="32"/>
          <w:szCs w:val="32"/>
          <w:lang w:eastAsia="zh-CN"/>
        </w:rPr>
        <w:t>，</w:t>
      </w:r>
      <w:bookmarkStart w:id="33" w:name="OLE_LINK2"/>
      <w:bookmarkStart w:id="34" w:name="OLE_LINK1"/>
      <w:r>
        <w:rPr>
          <w:rFonts w:eastAsia="方正仿宋_GBK"/>
          <w:sz w:val="32"/>
          <w:szCs w:val="32"/>
        </w:rPr>
        <w:t>增长主要原因是政府领导按照上级文件要求出国考察学习。</w:t>
      </w:r>
    </w:p>
    <w:bookmarkEnd w:id="33"/>
    <w:bookmarkEnd w:id="34"/>
    <w:p w14:paraId="03D4111C">
      <w:pPr>
        <w:spacing w:line="600" w:lineRule="exact"/>
        <w:ind w:firstLine="643" w:firstLineChars="200"/>
        <w:outlineLvl w:val="2"/>
        <w:rPr>
          <w:rFonts w:ascii="方正楷体_GBK" w:hAnsi="方正楷体_GBK" w:eastAsia="方正楷体_GBK" w:cs="方正楷体_GBK"/>
          <w:b/>
          <w:sz w:val="32"/>
          <w:szCs w:val="32"/>
        </w:rPr>
      </w:pPr>
      <w:bookmarkStart w:id="35" w:name="_Toc15377217"/>
      <w:r>
        <w:rPr>
          <w:rFonts w:ascii="方正楷体_GBK" w:hAnsi="方正楷体_GBK" w:eastAsia="方正楷体_GBK" w:cs="方正楷体_GBK"/>
          <w:b/>
          <w:sz w:val="32"/>
          <w:szCs w:val="32"/>
        </w:rPr>
        <w:t>（二）“三公”经费财政拨款支出决算具体情况说明</w:t>
      </w:r>
      <w:bookmarkEnd w:id="35"/>
    </w:p>
    <w:p w14:paraId="46B4558A">
      <w:pPr>
        <w:spacing w:line="600" w:lineRule="exact"/>
        <w:ind w:firstLine="640"/>
        <w:rPr>
          <w:rFonts w:eastAsia="方正仿宋_GBK"/>
          <w:sz w:val="32"/>
          <w:szCs w:val="32"/>
        </w:rPr>
      </w:pPr>
      <w:r>
        <w:rPr>
          <w:rFonts w:eastAsia="方正仿宋_GBK"/>
          <w:sz w:val="32"/>
          <w:szCs w:val="32"/>
        </w:rPr>
        <w:t>2024年度“三公”经费财政拨款支出决算中，因公出国（境）费支出决算2.4万元，占100%；公务用车购置及运行维护费支出决算0万元，占0%；公务接待费支出决算0万元，占0%。具体情况如下：</w:t>
      </w:r>
    </w:p>
    <w:p w14:paraId="09B04E0E">
      <w:pPr>
        <w:pStyle w:val="2"/>
        <w:ind w:firstLine="304" w:firstLineChars="95"/>
        <w:rPr>
          <w:rFonts w:eastAsia="方正仿宋_GBK"/>
          <w:sz w:val="32"/>
          <w:szCs w:val="32"/>
        </w:rPr>
      </w:pPr>
      <w:r>
        <w:rPr>
          <w:rFonts w:eastAsia="方正仿宋_GBK"/>
          <w:sz w:val="32"/>
          <w:szCs w:val="32"/>
        </w:rPr>
        <w:drawing>
          <wp:inline distT="0" distB="0" distL="0" distR="0">
            <wp:extent cx="5276850" cy="2990850"/>
            <wp:effectExtent l="0" t="0" r="19050" b="190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F8F8127">
      <w:pPr>
        <w:spacing w:line="600" w:lineRule="exact"/>
        <w:ind w:firstLine="640"/>
        <w:rPr>
          <w:rFonts w:eastAsia="方正仿宋_GBK"/>
          <w:sz w:val="32"/>
          <w:szCs w:val="32"/>
        </w:rPr>
      </w:pPr>
      <w:r>
        <w:rPr>
          <w:rFonts w:eastAsia="方正仿宋_GBK"/>
          <w:sz w:val="32"/>
          <w:szCs w:val="32"/>
        </w:rPr>
        <w:t>（图7：“三公”经费财政拨款支出结构）（饼状图）</w:t>
      </w:r>
    </w:p>
    <w:p w14:paraId="77033517">
      <w:pPr>
        <w:spacing w:line="600" w:lineRule="exact"/>
        <w:ind w:firstLine="640"/>
        <w:rPr>
          <w:rFonts w:eastAsia="方正仿宋_GBK"/>
          <w:color w:val="000000" w:themeColor="text1"/>
          <w:sz w:val="32"/>
          <w:szCs w:val="32"/>
          <w14:textFill>
            <w14:solidFill>
              <w14:schemeClr w14:val="tx1"/>
            </w14:solidFill>
          </w14:textFill>
        </w:rPr>
      </w:pPr>
      <w:r>
        <w:rPr>
          <w:rFonts w:eastAsia="方正仿宋_GBK"/>
          <w:b/>
          <w:bCs/>
          <w:sz w:val="32"/>
          <w:szCs w:val="32"/>
        </w:rPr>
        <w:t>1.因公出国（境）经费支出2.4万元，完成预算100%。</w:t>
      </w:r>
      <w:r>
        <w:rPr>
          <w:rFonts w:eastAsia="方正仿宋_GBK"/>
          <w:sz w:val="32"/>
          <w:szCs w:val="32"/>
        </w:rPr>
        <w:t>全年安排因公出国（境）团组1次，出国（境）1人。因公出国（境）支出决算比2023年增加2.4万元，增长100%。</w:t>
      </w:r>
    </w:p>
    <w:p w14:paraId="29603574">
      <w:pPr>
        <w:spacing w:line="600" w:lineRule="exact"/>
        <w:rPr>
          <w:rFonts w:eastAsia="方正仿宋_GBK"/>
          <w:sz w:val="32"/>
          <w:szCs w:val="32"/>
        </w:rPr>
      </w:pPr>
      <w:r>
        <w:rPr>
          <w:rFonts w:eastAsia="方正仿宋_GBK"/>
          <w:color w:val="000000" w:themeColor="text1"/>
          <w:sz w:val="32"/>
          <w:szCs w:val="32"/>
          <w14:textFill>
            <w14:solidFill>
              <w14:schemeClr w14:val="tx1"/>
            </w14:solidFill>
          </w14:textFill>
        </w:rPr>
        <w:t xml:space="preserve">  </w:t>
      </w:r>
      <w:r>
        <w:rPr>
          <w:rFonts w:hint="eastAsia" w:eastAsia="方正仿宋_GBK"/>
          <w:color w:val="000000" w:themeColor="text1"/>
          <w:sz w:val="32"/>
          <w:szCs w:val="32"/>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 xml:space="preserve"> 2.</w:t>
      </w:r>
      <w:r>
        <w:rPr>
          <w:rFonts w:eastAsia="方正仿宋_GBK"/>
          <w:b/>
          <w:bCs/>
          <w:sz w:val="32"/>
          <w:szCs w:val="32"/>
        </w:rPr>
        <w:t>公务用车购置及运行维护费支出0万元，完成预算0%。</w:t>
      </w:r>
      <w:r>
        <w:rPr>
          <w:rFonts w:eastAsia="方正仿宋_GBK"/>
          <w:sz w:val="32"/>
          <w:szCs w:val="32"/>
        </w:rPr>
        <w:t>公务用车购置及运行维护费支出决算与2023年度持平。</w:t>
      </w:r>
    </w:p>
    <w:p w14:paraId="3B67B515">
      <w:pPr>
        <w:spacing w:line="600" w:lineRule="exact"/>
        <w:ind w:firstLine="640" w:firstLineChars="200"/>
        <w:rPr>
          <w:rFonts w:eastAsia="方正仿宋_GBK"/>
          <w:sz w:val="32"/>
          <w:szCs w:val="32"/>
        </w:rPr>
      </w:pPr>
      <w:r>
        <w:rPr>
          <w:rFonts w:eastAsia="方正仿宋_GBK"/>
          <w:sz w:val="32"/>
          <w:szCs w:val="32"/>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692E96B4">
      <w:pPr>
        <w:spacing w:line="600" w:lineRule="exact"/>
        <w:ind w:firstLine="640"/>
        <w:rPr>
          <w:rFonts w:eastAsia="方正仿宋_GBK"/>
          <w:sz w:val="32"/>
          <w:szCs w:val="32"/>
        </w:rPr>
      </w:pPr>
      <w:r>
        <w:rPr>
          <w:rFonts w:eastAsia="方正仿宋_GBK"/>
          <w:sz w:val="32"/>
          <w:szCs w:val="32"/>
        </w:rPr>
        <w:t>公务用车运行维护费支出0万元。</w:t>
      </w:r>
    </w:p>
    <w:p w14:paraId="0A861C7C">
      <w:pPr>
        <w:spacing w:line="600" w:lineRule="exact"/>
        <w:ind w:firstLine="640"/>
        <w:rPr>
          <w:rFonts w:eastAsia="方正仿宋_GBK"/>
          <w:sz w:val="32"/>
          <w:szCs w:val="32"/>
        </w:rPr>
      </w:pPr>
      <w:r>
        <w:rPr>
          <w:rFonts w:eastAsia="方正仿宋_GBK"/>
          <w:b/>
          <w:bCs/>
          <w:sz w:val="32"/>
          <w:szCs w:val="32"/>
        </w:rPr>
        <w:t>3.公务接待费支出0万元，完成预算0%。</w:t>
      </w:r>
      <w:r>
        <w:rPr>
          <w:rFonts w:eastAsia="方正仿宋_GBK"/>
          <w:sz w:val="32"/>
          <w:szCs w:val="32"/>
        </w:rPr>
        <w:t>公务接待费支出决算与202</w:t>
      </w:r>
      <w:r>
        <w:rPr>
          <w:rFonts w:eastAsia="方正仿宋_GBK"/>
          <w:i/>
          <w:sz w:val="32"/>
          <w:szCs w:val="32"/>
        </w:rPr>
        <w:t>3</w:t>
      </w:r>
      <w:r>
        <w:rPr>
          <w:rFonts w:eastAsia="方正仿宋_GBK"/>
          <w:sz w:val="32"/>
          <w:szCs w:val="32"/>
        </w:rPr>
        <w:t>年度持平。其中：</w:t>
      </w:r>
    </w:p>
    <w:p w14:paraId="54FA9478">
      <w:pPr>
        <w:spacing w:line="600" w:lineRule="exact"/>
        <w:ind w:firstLine="640"/>
        <w:rPr>
          <w:rFonts w:eastAsia="方正仿宋_GBK"/>
          <w:sz w:val="32"/>
          <w:szCs w:val="32"/>
        </w:rPr>
      </w:pPr>
      <w:r>
        <w:rPr>
          <w:rFonts w:eastAsia="方正仿宋_GBK"/>
          <w:sz w:val="32"/>
          <w:szCs w:val="32"/>
        </w:rPr>
        <w:t>国内公务接待支出0万元。国内公务接待0批次，0人次（不包括陪同人员）。</w:t>
      </w:r>
    </w:p>
    <w:p w14:paraId="612BC1C2">
      <w:pPr>
        <w:spacing w:line="600" w:lineRule="exact"/>
        <w:ind w:firstLine="640"/>
        <w:rPr>
          <w:rFonts w:eastAsia="方正仿宋_GBK"/>
          <w:sz w:val="32"/>
          <w:szCs w:val="32"/>
        </w:rPr>
      </w:pPr>
      <w:r>
        <w:rPr>
          <w:rFonts w:eastAsia="方正仿宋_GBK"/>
          <w:sz w:val="32"/>
          <w:szCs w:val="32"/>
        </w:rPr>
        <w:t>外事接待支出0万元。</w:t>
      </w:r>
      <w:bookmarkStart w:id="36" w:name="_Toc15377218"/>
      <w:bookmarkStart w:id="37" w:name="_Toc15396610"/>
    </w:p>
    <w:p w14:paraId="7089CF9C">
      <w:pPr>
        <w:pStyle w:val="28"/>
        <w:spacing w:line="600" w:lineRule="exact"/>
        <w:ind w:firstLine="640"/>
        <w:outlineLvl w:val="1"/>
        <w:rPr>
          <w:rStyle w:val="30"/>
          <w:rFonts w:ascii="Times New Roman" w:hAnsi="Times New Roman" w:eastAsia="方正仿宋_GBK" w:cs="Times New Roman"/>
        </w:rPr>
      </w:pPr>
      <w:r>
        <w:rPr>
          <w:rFonts w:ascii="方正黑体_GBK" w:hAnsi="方正黑体_GBK" w:eastAsia="方正黑体_GBK" w:cs="方正黑体_GBK"/>
          <w:sz w:val="32"/>
          <w:szCs w:val="32"/>
        </w:rPr>
        <w:t>八、政府性基金预算支出决算情况说明</w:t>
      </w:r>
      <w:bookmarkEnd w:id="36"/>
      <w:bookmarkEnd w:id="37"/>
    </w:p>
    <w:p w14:paraId="6D8D49CC">
      <w:pPr>
        <w:spacing w:line="600" w:lineRule="exact"/>
        <w:ind w:firstLine="640"/>
        <w:rPr>
          <w:rFonts w:eastAsia="方正仿宋_GBK"/>
          <w:sz w:val="32"/>
          <w:szCs w:val="32"/>
        </w:rPr>
      </w:pPr>
      <w:r>
        <w:rPr>
          <w:rFonts w:eastAsia="方正仿宋_GBK"/>
          <w:sz w:val="32"/>
          <w:szCs w:val="32"/>
        </w:rPr>
        <w:t>2024年度政府性基金预算财政拨款支出0万元，占本年支出合计的0%。与2023年度持平。</w:t>
      </w:r>
    </w:p>
    <w:p w14:paraId="6E7B324E">
      <w:pPr>
        <w:pStyle w:val="28"/>
        <w:spacing w:line="600" w:lineRule="exact"/>
        <w:ind w:firstLine="640"/>
        <w:outlineLvl w:val="1"/>
        <w:rPr>
          <w:rStyle w:val="30"/>
          <w:rFonts w:ascii="Times New Roman" w:hAnsi="Times New Roman" w:eastAsia="方正仿宋_GBK" w:cs="Times New Roman"/>
          <w:b w:val="0"/>
        </w:rPr>
      </w:pPr>
      <w:bookmarkStart w:id="38" w:name="_Toc15396611"/>
      <w:bookmarkStart w:id="39" w:name="_Toc15377219"/>
      <w:r>
        <w:rPr>
          <w:rFonts w:ascii="方正黑体_GBK" w:hAnsi="方正黑体_GBK" w:eastAsia="方正黑体_GBK" w:cs="方正黑体_GBK"/>
          <w:sz w:val="32"/>
          <w:szCs w:val="32"/>
        </w:rPr>
        <w:t>九、国有资本经营预算支出决算情况说明</w:t>
      </w:r>
      <w:bookmarkEnd w:id="38"/>
      <w:bookmarkEnd w:id="39"/>
    </w:p>
    <w:p w14:paraId="7A700997">
      <w:pPr>
        <w:spacing w:line="600" w:lineRule="exact"/>
        <w:ind w:firstLine="640"/>
        <w:rPr>
          <w:rFonts w:eastAsia="方正仿宋_GBK"/>
          <w:sz w:val="32"/>
          <w:szCs w:val="32"/>
        </w:rPr>
      </w:pPr>
      <w:r>
        <w:rPr>
          <w:rFonts w:eastAsia="方正仿宋_GBK"/>
          <w:sz w:val="32"/>
          <w:szCs w:val="32"/>
        </w:rPr>
        <w:t>2024年度国有资本经营预算财政拨款支出0万元，占本年支出合计的0%。与2023年度持平。</w:t>
      </w:r>
    </w:p>
    <w:p w14:paraId="325D414A">
      <w:pPr>
        <w:spacing w:line="600" w:lineRule="exact"/>
        <w:ind w:left="630"/>
        <w:outlineLvl w:val="1"/>
        <w:rPr>
          <w:rStyle w:val="30"/>
          <w:rFonts w:ascii="Times New Roman" w:hAnsi="Times New Roman" w:eastAsia="方正仿宋_GBK" w:cs="Times New Roman"/>
          <w:b w:val="0"/>
        </w:rPr>
      </w:pPr>
      <w:bookmarkStart w:id="40" w:name="_Toc15377221"/>
      <w:bookmarkStart w:id="41" w:name="_Toc15396612"/>
      <w:r>
        <w:rPr>
          <w:rStyle w:val="30"/>
          <w:rFonts w:hint="eastAsia" w:ascii="方正黑体_GBK" w:hAnsi="方正黑体_GBK" w:eastAsia="方正黑体_GBK" w:cs="方正黑体_GBK"/>
          <w:b w:val="0"/>
        </w:rPr>
        <w:t>十、其他重要事项的情况说明</w:t>
      </w:r>
      <w:bookmarkEnd w:id="40"/>
      <w:bookmarkEnd w:id="41"/>
    </w:p>
    <w:p w14:paraId="009A690B">
      <w:pPr>
        <w:spacing w:line="600" w:lineRule="exact"/>
        <w:ind w:firstLine="643" w:firstLineChars="200"/>
        <w:outlineLvl w:val="2"/>
        <w:rPr>
          <w:rFonts w:eastAsia="方正仿宋_GBK"/>
          <w:b/>
          <w:sz w:val="32"/>
          <w:szCs w:val="32"/>
        </w:rPr>
      </w:pPr>
      <w:bookmarkStart w:id="42" w:name="_Toc15377222"/>
      <w:r>
        <w:rPr>
          <w:rFonts w:hint="eastAsia" w:ascii="方正楷体_GBK" w:hAnsi="方正楷体_GBK" w:eastAsia="方正楷体_GBK" w:cs="方正楷体_GBK"/>
          <w:b/>
          <w:sz w:val="32"/>
          <w:szCs w:val="32"/>
        </w:rPr>
        <w:t>（一）机关运行经费支出情况</w:t>
      </w:r>
      <w:bookmarkEnd w:id="42"/>
    </w:p>
    <w:p w14:paraId="2877F1C2">
      <w:pPr>
        <w:spacing w:line="600" w:lineRule="exact"/>
        <w:ind w:firstLine="640"/>
        <w:rPr>
          <w:rFonts w:eastAsia="方正仿宋_GBK"/>
          <w:sz w:val="32"/>
          <w:szCs w:val="32"/>
        </w:rPr>
      </w:pPr>
      <w:r>
        <w:rPr>
          <w:rFonts w:eastAsia="方正仿宋_GBK"/>
          <w:sz w:val="32"/>
          <w:szCs w:val="32"/>
        </w:rPr>
        <w:t>2024年度，盐边县人民政府办公室机关运行经费支出71.31万元，比2023年度增加1.83万元，增长2.63%。主要原因是人员增减，正常增长。</w:t>
      </w:r>
    </w:p>
    <w:p w14:paraId="501644B4">
      <w:pPr>
        <w:spacing w:line="600" w:lineRule="exact"/>
        <w:ind w:firstLine="643" w:firstLineChars="200"/>
        <w:outlineLvl w:val="2"/>
        <w:rPr>
          <w:rFonts w:ascii="方正楷体_GBK" w:hAnsi="方正楷体_GBK" w:eastAsia="方正楷体_GBK" w:cs="方正楷体_GBK"/>
          <w:b/>
          <w:sz w:val="32"/>
          <w:szCs w:val="32"/>
        </w:rPr>
      </w:pPr>
      <w:bookmarkStart w:id="43" w:name="_Toc15377223"/>
      <w:r>
        <w:rPr>
          <w:rFonts w:ascii="方正楷体_GBK" w:hAnsi="方正楷体_GBK" w:eastAsia="方正楷体_GBK" w:cs="方正楷体_GBK"/>
          <w:b/>
          <w:sz w:val="32"/>
          <w:szCs w:val="32"/>
        </w:rPr>
        <w:t>（二）政府采购支出情况</w:t>
      </w:r>
      <w:bookmarkEnd w:id="43"/>
    </w:p>
    <w:p w14:paraId="55B09928">
      <w:pPr>
        <w:spacing w:line="600" w:lineRule="exact"/>
        <w:ind w:firstLine="640"/>
        <w:rPr>
          <w:rFonts w:eastAsia="方正仿宋_GBK"/>
          <w:sz w:val="32"/>
          <w:szCs w:val="32"/>
        </w:rPr>
      </w:pPr>
      <w:r>
        <w:rPr>
          <w:rFonts w:eastAsia="方正仿宋_GBK"/>
          <w:sz w:val="32"/>
          <w:szCs w:val="32"/>
        </w:rPr>
        <w:t>2024年度，盐边县人民政府办公室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1E1463AB">
      <w:pPr>
        <w:spacing w:line="600" w:lineRule="exact"/>
        <w:ind w:firstLine="643" w:firstLineChars="200"/>
        <w:outlineLvl w:val="2"/>
        <w:rPr>
          <w:rFonts w:ascii="方正楷体_GBK" w:hAnsi="方正楷体_GBK" w:eastAsia="方正楷体_GBK" w:cs="方正楷体_GBK"/>
          <w:b/>
          <w:sz w:val="32"/>
          <w:szCs w:val="32"/>
        </w:rPr>
      </w:pPr>
      <w:bookmarkStart w:id="44" w:name="_Toc15377224"/>
      <w:r>
        <w:rPr>
          <w:rFonts w:ascii="方正楷体_GBK" w:hAnsi="方正楷体_GBK" w:eastAsia="方正楷体_GBK" w:cs="方正楷体_GBK"/>
          <w:b/>
          <w:sz w:val="32"/>
          <w:szCs w:val="32"/>
        </w:rPr>
        <w:t>（三）国有资产占有使用情况</w:t>
      </w:r>
      <w:bookmarkEnd w:id="44"/>
    </w:p>
    <w:p w14:paraId="55C779A0">
      <w:pPr>
        <w:spacing w:line="600" w:lineRule="exact"/>
        <w:ind w:firstLine="640"/>
        <w:rPr>
          <w:rFonts w:eastAsia="方正仿宋_GBK"/>
          <w:sz w:val="32"/>
          <w:szCs w:val="32"/>
        </w:rPr>
      </w:pPr>
      <w:r>
        <w:rPr>
          <w:rFonts w:eastAsia="方正仿宋_GBK"/>
          <w:sz w:val="32"/>
          <w:szCs w:val="32"/>
        </w:rPr>
        <w:t>截至2024年12月31日，盐边县人民政府办公室共有车辆0辆，其中：主要负责人用车0辆、机要通信用车0辆、应急保障用车0辆、其他用车0辆。单价100万元（含）以上设备（不含车辆）0台（套）。</w:t>
      </w:r>
    </w:p>
    <w:p w14:paraId="69F2F7C2">
      <w:pPr>
        <w:spacing w:line="600" w:lineRule="exact"/>
        <w:ind w:firstLine="643" w:firstLineChars="200"/>
        <w:outlineLvl w:val="2"/>
        <w:rPr>
          <w:rFonts w:ascii="方正楷体_GBK" w:hAnsi="方正楷体_GBK" w:eastAsia="方正楷体_GBK" w:cs="方正楷体_GBK"/>
          <w:b/>
          <w:sz w:val="32"/>
          <w:szCs w:val="32"/>
        </w:rPr>
      </w:pPr>
      <w:r>
        <w:rPr>
          <w:rFonts w:ascii="方正楷体_GBK" w:hAnsi="方正楷体_GBK" w:eastAsia="方正楷体_GBK" w:cs="方正楷体_GBK"/>
          <w:b/>
          <w:sz w:val="32"/>
          <w:szCs w:val="32"/>
        </w:rPr>
        <w:t>（四）预算绩效管理情况</w:t>
      </w:r>
    </w:p>
    <w:p w14:paraId="529E89AD">
      <w:pPr>
        <w:spacing w:line="600" w:lineRule="exact"/>
        <w:ind w:firstLine="640"/>
        <w:rPr>
          <w:rFonts w:eastAsia="方正仿宋_GBK"/>
          <w:sz w:val="32"/>
          <w:szCs w:val="32"/>
        </w:rPr>
      </w:pPr>
      <w:r>
        <w:rPr>
          <w:rFonts w:eastAsia="方正仿宋_GBK"/>
          <w:sz w:val="32"/>
          <w:szCs w:val="32"/>
        </w:rPr>
        <w:t>根据预算绩效管理要求，盐边县人民政府办公室在2024年度预算编制阶段，组织对县政府网站建设运维经费等1个项目开展了预算事前绩效评估，对县政府网站建设运维经费个项目编制了绩效目标，预算执行过程中，选取2个项目开展绩效监控。</w:t>
      </w:r>
    </w:p>
    <w:p w14:paraId="47762C63">
      <w:pPr>
        <w:snapToGrid w:val="0"/>
        <w:spacing w:line="560" w:lineRule="exact"/>
        <w:ind w:firstLine="640"/>
        <w:rPr>
          <w:rFonts w:eastAsia="方正仿宋_GBK"/>
          <w:sz w:val="32"/>
          <w:szCs w:val="32"/>
        </w:rPr>
      </w:pPr>
      <w:r>
        <w:rPr>
          <w:rFonts w:eastAsia="方正仿宋_GBK"/>
          <w:sz w:val="32"/>
          <w:szCs w:val="32"/>
        </w:rPr>
        <w:t>组织对2024年度一般公共预算、政府性基金预算、国有资本经营预算、社会保险基金预算以及资本资产、债券资金等全面开展绩效自评，形成县政府办公室部门整体（含部门预算项目）绩效自评报告、县政府办公经费项目绩效自评报告。部门整体（含部门预算项目）绩效自评得分为98分，绩效自评综述：县政府办公室</w:t>
      </w:r>
      <w:r>
        <w:rPr>
          <w:rFonts w:hint="eastAsia" w:eastAsia="方正仿宋_GBK"/>
          <w:sz w:val="32"/>
          <w:szCs w:val="32"/>
          <w:lang w:eastAsia="zh-CN"/>
        </w:rPr>
        <w:t>预算</w:t>
      </w:r>
      <w:r>
        <w:rPr>
          <w:rFonts w:eastAsia="方正仿宋_GBK"/>
          <w:sz w:val="32"/>
          <w:szCs w:val="32"/>
        </w:rPr>
        <w:t>、决算编制合理、支出高效规范，财政支出既确保了机关正常运转，又保证了重点项目实施，财政支出绩效良好。</w:t>
      </w:r>
    </w:p>
    <w:p w14:paraId="300EF072">
      <w:pPr>
        <w:spacing w:line="600" w:lineRule="exact"/>
        <w:ind w:firstLine="640"/>
        <w:rPr>
          <w:rFonts w:eastAsia="方正仿宋_GBK"/>
          <w:sz w:val="32"/>
          <w:szCs w:val="32"/>
        </w:rPr>
      </w:pPr>
    </w:p>
    <w:p w14:paraId="2075E51E">
      <w:pPr>
        <w:rPr>
          <w:rFonts w:eastAsia="方正仿宋_GBK"/>
          <w:sz w:val="32"/>
          <w:szCs w:val="32"/>
        </w:rPr>
      </w:pPr>
      <w:r>
        <w:rPr>
          <w:rFonts w:eastAsia="方正仿宋_GBK"/>
          <w:sz w:val="32"/>
          <w:szCs w:val="32"/>
        </w:rPr>
        <w:br w:type="page"/>
      </w:r>
    </w:p>
    <w:p w14:paraId="09E8AF9F">
      <w:pPr>
        <w:spacing w:line="600" w:lineRule="exact"/>
        <w:jc w:val="center"/>
        <w:outlineLvl w:val="0"/>
        <w:rPr>
          <w:rFonts w:ascii="方正小标宋_GBK" w:hAnsi="方正小标宋_GBK" w:eastAsia="方正小标宋_GBK" w:cs="方正小标宋_GBK"/>
          <w:b/>
          <w:bCs/>
          <w:sz w:val="44"/>
          <w:szCs w:val="44"/>
        </w:rPr>
      </w:pPr>
      <w:bookmarkStart w:id="45" w:name="_Toc15377225"/>
      <w:bookmarkStart w:id="46" w:name="_Toc15396613"/>
      <w:r>
        <w:rPr>
          <w:rFonts w:hint="eastAsia" w:ascii="方正小标宋_GBK" w:hAnsi="方正小标宋_GBK" w:eastAsia="方正小标宋_GBK" w:cs="方正小标宋_GBK"/>
          <w:b/>
          <w:bCs/>
          <w:sz w:val="44"/>
          <w:szCs w:val="44"/>
        </w:rPr>
        <w:t>第三部分  名词解释</w:t>
      </w:r>
      <w:bookmarkEnd w:id="45"/>
      <w:bookmarkEnd w:id="46"/>
    </w:p>
    <w:p w14:paraId="1559B02C">
      <w:pPr>
        <w:spacing w:line="600" w:lineRule="exact"/>
        <w:jc w:val="left"/>
        <w:rPr>
          <w:rFonts w:eastAsia="方正仿宋_GBK"/>
          <w:b/>
          <w:sz w:val="32"/>
          <w:szCs w:val="32"/>
        </w:rPr>
      </w:pPr>
    </w:p>
    <w:p w14:paraId="2A97686D">
      <w:pPr>
        <w:spacing w:line="600" w:lineRule="exact"/>
        <w:ind w:firstLine="640"/>
        <w:rPr>
          <w:rFonts w:eastAsia="方正仿宋_GBK"/>
          <w:sz w:val="32"/>
          <w:szCs w:val="32"/>
        </w:rPr>
      </w:pPr>
      <w:r>
        <w:rPr>
          <w:rFonts w:eastAsia="方正仿宋_GBK"/>
          <w:sz w:val="32"/>
          <w:szCs w:val="32"/>
        </w:rPr>
        <w:t>1.财政拨款收入：指单位从同级财政部门取得的财政预算资金。</w:t>
      </w:r>
    </w:p>
    <w:p w14:paraId="77283363">
      <w:pPr>
        <w:spacing w:line="600" w:lineRule="exact"/>
        <w:ind w:firstLine="640"/>
        <w:rPr>
          <w:rFonts w:eastAsia="方正仿宋_GBK"/>
          <w:sz w:val="32"/>
          <w:szCs w:val="32"/>
        </w:rPr>
      </w:pPr>
      <w:r>
        <w:rPr>
          <w:rFonts w:eastAsia="方正仿宋_GBK"/>
          <w:sz w:val="32"/>
          <w:szCs w:val="32"/>
        </w:rPr>
        <w:t>2.事业收入：指事业单位开展专业业务活动及辅助活动取得的收入。</w:t>
      </w:r>
    </w:p>
    <w:p w14:paraId="5F0905E2">
      <w:pPr>
        <w:spacing w:line="600" w:lineRule="exact"/>
        <w:ind w:firstLine="640"/>
        <w:rPr>
          <w:rFonts w:eastAsia="方正仿宋_GBK"/>
          <w:sz w:val="32"/>
          <w:szCs w:val="32"/>
        </w:rPr>
      </w:pPr>
      <w:r>
        <w:rPr>
          <w:rFonts w:eastAsia="方正仿宋_GBK"/>
          <w:sz w:val="32"/>
          <w:szCs w:val="32"/>
        </w:rPr>
        <w:t>3.经营收入：指事业单位在专业业务活动及其辅助活动之外开展非独立核算经营活动取得的收入。</w:t>
      </w:r>
    </w:p>
    <w:p w14:paraId="74C74DD6">
      <w:pPr>
        <w:spacing w:line="600" w:lineRule="exact"/>
        <w:ind w:firstLine="640"/>
        <w:rPr>
          <w:rFonts w:eastAsia="方正仿宋_GBK"/>
          <w:sz w:val="32"/>
          <w:szCs w:val="32"/>
        </w:rPr>
      </w:pPr>
      <w:r>
        <w:rPr>
          <w:rFonts w:eastAsia="方正仿宋_GBK"/>
          <w:sz w:val="32"/>
          <w:szCs w:val="32"/>
        </w:rPr>
        <w:t xml:space="preserve">4.其他收入：指单位取得的除上述收入以外的各项收入。5.使用非财政拨款结余（含专用结余）：指事业单位使用以前年度积累的非财政拨款结余弥补当年收支差额的金额。 </w:t>
      </w:r>
    </w:p>
    <w:p w14:paraId="60CAACA5">
      <w:pPr>
        <w:spacing w:line="600" w:lineRule="exact"/>
        <w:ind w:firstLine="640"/>
        <w:rPr>
          <w:rFonts w:eastAsia="方正仿宋_GBK"/>
          <w:sz w:val="32"/>
          <w:szCs w:val="32"/>
        </w:rPr>
      </w:pPr>
      <w:r>
        <w:rPr>
          <w:rFonts w:eastAsia="方正仿宋_GBK"/>
          <w:sz w:val="32"/>
          <w:szCs w:val="32"/>
        </w:rPr>
        <w:t xml:space="preserve">6.年初结转和结余：指以前年度尚未完成、结转到本年按有关规定继续使用的资金。 </w:t>
      </w:r>
    </w:p>
    <w:p w14:paraId="27D961D5">
      <w:pPr>
        <w:spacing w:line="600" w:lineRule="exact"/>
        <w:ind w:firstLine="640"/>
        <w:rPr>
          <w:rFonts w:eastAsia="方正仿宋_GBK"/>
          <w:sz w:val="32"/>
          <w:szCs w:val="32"/>
        </w:rPr>
      </w:pPr>
      <w:r>
        <w:rPr>
          <w:rFonts w:eastAsia="方正仿宋_GBK"/>
          <w:sz w:val="32"/>
          <w:szCs w:val="32"/>
        </w:rPr>
        <w:t>7.结余分配：指事业单位按照会计制度规定缴纳的所得税、提取的专用结余以及转入非财政拨款结余的金额等。</w:t>
      </w:r>
    </w:p>
    <w:p w14:paraId="36B9FF09">
      <w:pPr>
        <w:spacing w:line="600" w:lineRule="exact"/>
        <w:ind w:firstLine="640"/>
        <w:rPr>
          <w:rFonts w:eastAsia="方正仿宋_GBK"/>
          <w:sz w:val="32"/>
          <w:szCs w:val="32"/>
        </w:rPr>
      </w:pPr>
      <w:r>
        <w:rPr>
          <w:rFonts w:eastAsia="方正仿宋_GBK"/>
          <w:sz w:val="32"/>
          <w:szCs w:val="32"/>
        </w:rPr>
        <w:t>8.年末结转和结余：指单位按有关规定结转到下年或以后年度继续使用的资金。</w:t>
      </w:r>
    </w:p>
    <w:p w14:paraId="7A4C73A8">
      <w:pPr>
        <w:spacing w:line="600" w:lineRule="exact"/>
        <w:ind w:firstLine="640"/>
        <w:rPr>
          <w:rFonts w:eastAsia="方正仿宋_GBK"/>
          <w:sz w:val="32"/>
          <w:szCs w:val="32"/>
          <w:lang w:val="zh-CN"/>
        </w:rPr>
      </w:pPr>
      <w:r>
        <w:rPr>
          <w:rFonts w:eastAsia="方正仿宋_GBK"/>
          <w:sz w:val="32"/>
          <w:szCs w:val="32"/>
          <w:lang w:val="zh-CN"/>
        </w:rPr>
        <w:t>9</w:t>
      </w:r>
      <w:r>
        <w:rPr>
          <w:rFonts w:eastAsia="方正仿宋_GBK"/>
          <w:sz w:val="32"/>
          <w:szCs w:val="32"/>
        </w:rPr>
        <w:t>.</w:t>
      </w:r>
      <w:r>
        <w:rPr>
          <w:rFonts w:eastAsia="方正仿宋_GBK"/>
          <w:sz w:val="32"/>
          <w:szCs w:val="32"/>
          <w:lang w:val="zh-CN"/>
        </w:rPr>
        <w:t>一般公共服务（</w:t>
      </w:r>
      <w:r>
        <w:rPr>
          <w:rFonts w:eastAsia="方正仿宋_GBK"/>
          <w:sz w:val="32"/>
          <w:szCs w:val="32"/>
        </w:rPr>
        <w:t>201</w:t>
      </w:r>
      <w:r>
        <w:rPr>
          <w:rFonts w:eastAsia="方正仿宋_GBK"/>
          <w:sz w:val="32"/>
          <w:szCs w:val="32"/>
          <w:lang w:val="zh-CN"/>
        </w:rPr>
        <w:t>类）</w:t>
      </w:r>
      <w:r>
        <w:rPr>
          <w:rFonts w:eastAsia="方正仿宋_GBK"/>
          <w:sz w:val="32"/>
          <w:szCs w:val="32"/>
        </w:rPr>
        <w:t>政府办公厅（室）及相关机构事务</w:t>
      </w:r>
      <w:r>
        <w:rPr>
          <w:rFonts w:eastAsia="方正仿宋_GBK"/>
          <w:sz w:val="32"/>
          <w:szCs w:val="32"/>
          <w:lang w:val="zh-CN"/>
        </w:rPr>
        <w:t>（</w:t>
      </w:r>
      <w:r>
        <w:rPr>
          <w:rFonts w:eastAsia="方正仿宋_GBK"/>
          <w:sz w:val="32"/>
          <w:szCs w:val="32"/>
        </w:rPr>
        <w:t>03</w:t>
      </w:r>
      <w:r>
        <w:rPr>
          <w:rFonts w:eastAsia="方正仿宋_GBK"/>
          <w:sz w:val="32"/>
          <w:szCs w:val="32"/>
          <w:lang w:val="zh-CN"/>
        </w:rPr>
        <w:t>款）</w:t>
      </w:r>
      <w:r>
        <w:rPr>
          <w:rFonts w:eastAsia="方正仿宋_GBK"/>
          <w:sz w:val="32"/>
          <w:szCs w:val="32"/>
        </w:rPr>
        <w:t>行政运行</w:t>
      </w:r>
      <w:r>
        <w:rPr>
          <w:rFonts w:eastAsia="方正仿宋_GBK"/>
          <w:sz w:val="32"/>
          <w:szCs w:val="32"/>
          <w:lang w:val="zh-CN"/>
        </w:rPr>
        <w:t>（</w:t>
      </w:r>
      <w:r>
        <w:rPr>
          <w:rFonts w:eastAsia="方正仿宋_GBK"/>
          <w:sz w:val="32"/>
          <w:szCs w:val="32"/>
        </w:rPr>
        <w:t>01</w:t>
      </w:r>
      <w:r>
        <w:rPr>
          <w:rFonts w:eastAsia="方正仿宋_GBK"/>
          <w:sz w:val="32"/>
          <w:szCs w:val="32"/>
          <w:lang w:val="zh-CN"/>
        </w:rPr>
        <w:t>项）：指反映行政单位（包括实行公务员管理的事业单位）的基本支出。</w:t>
      </w:r>
    </w:p>
    <w:p w14:paraId="20E77045">
      <w:pPr>
        <w:spacing w:line="600" w:lineRule="exact"/>
        <w:ind w:firstLine="640"/>
        <w:rPr>
          <w:rFonts w:eastAsia="方正仿宋_GBK"/>
          <w:sz w:val="32"/>
          <w:szCs w:val="32"/>
        </w:rPr>
      </w:pPr>
      <w:r>
        <w:rPr>
          <w:rFonts w:eastAsia="方正仿宋_GBK"/>
          <w:sz w:val="32"/>
          <w:szCs w:val="32"/>
        </w:rPr>
        <w:t>10.</w:t>
      </w:r>
      <w:r>
        <w:rPr>
          <w:rFonts w:eastAsia="方正仿宋_GBK"/>
          <w:sz w:val="32"/>
          <w:szCs w:val="32"/>
          <w:lang w:val="zh-CN"/>
        </w:rPr>
        <w:t>一般公共服务（</w:t>
      </w:r>
      <w:r>
        <w:rPr>
          <w:rFonts w:eastAsia="方正仿宋_GBK"/>
          <w:sz w:val="32"/>
          <w:szCs w:val="32"/>
        </w:rPr>
        <w:t>201</w:t>
      </w:r>
      <w:r>
        <w:rPr>
          <w:rFonts w:eastAsia="方正仿宋_GBK"/>
          <w:sz w:val="32"/>
          <w:szCs w:val="32"/>
          <w:lang w:val="zh-CN"/>
        </w:rPr>
        <w:t>类）</w:t>
      </w:r>
      <w:r>
        <w:rPr>
          <w:rFonts w:eastAsia="方正仿宋_GBK"/>
          <w:sz w:val="32"/>
          <w:szCs w:val="32"/>
        </w:rPr>
        <w:t>政府办公厅（室）及相关机构事务</w:t>
      </w:r>
      <w:r>
        <w:rPr>
          <w:rFonts w:eastAsia="方正仿宋_GBK"/>
          <w:sz w:val="32"/>
          <w:szCs w:val="32"/>
          <w:lang w:val="zh-CN"/>
        </w:rPr>
        <w:t>（</w:t>
      </w:r>
      <w:r>
        <w:rPr>
          <w:rFonts w:eastAsia="方正仿宋_GBK"/>
          <w:sz w:val="32"/>
          <w:szCs w:val="32"/>
        </w:rPr>
        <w:t>03</w:t>
      </w:r>
      <w:r>
        <w:rPr>
          <w:rFonts w:eastAsia="方正仿宋_GBK"/>
          <w:sz w:val="32"/>
          <w:szCs w:val="32"/>
          <w:lang w:val="zh-CN"/>
        </w:rPr>
        <w:t>款）</w:t>
      </w:r>
      <w:r>
        <w:rPr>
          <w:rFonts w:eastAsia="方正仿宋_GBK"/>
          <w:sz w:val="32"/>
          <w:szCs w:val="32"/>
        </w:rPr>
        <w:t>一般行政管理事务</w:t>
      </w:r>
      <w:r>
        <w:rPr>
          <w:rFonts w:eastAsia="方正仿宋_GBK"/>
          <w:sz w:val="32"/>
          <w:szCs w:val="32"/>
          <w:lang w:val="zh-CN"/>
        </w:rPr>
        <w:t>（</w:t>
      </w:r>
      <w:r>
        <w:rPr>
          <w:rFonts w:eastAsia="方正仿宋_GBK"/>
          <w:sz w:val="32"/>
          <w:szCs w:val="32"/>
        </w:rPr>
        <w:t>02</w:t>
      </w:r>
      <w:r>
        <w:rPr>
          <w:rFonts w:eastAsia="方正仿宋_GBK"/>
          <w:sz w:val="32"/>
          <w:szCs w:val="32"/>
          <w:lang w:val="zh-CN"/>
        </w:rPr>
        <w:t>项）：指反映行政单位（包括实行公务员管理的事业单位）</w:t>
      </w:r>
      <w:r>
        <w:rPr>
          <w:rFonts w:eastAsia="方正仿宋_GBK"/>
          <w:sz w:val="32"/>
          <w:szCs w:val="32"/>
        </w:rPr>
        <w:t>未单独设置项级科目的其他项目支出。</w:t>
      </w:r>
    </w:p>
    <w:p w14:paraId="317A5DB0">
      <w:pPr>
        <w:spacing w:line="600" w:lineRule="exact"/>
        <w:ind w:firstLine="640"/>
        <w:rPr>
          <w:rFonts w:eastAsia="方正仿宋_GBK"/>
          <w:sz w:val="32"/>
          <w:szCs w:val="32"/>
        </w:rPr>
      </w:pPr>
      <w:r>
        <w:rPr>
          <w:rFonts w:eastAsia="方正仿宋_GBK"/>
          <w:sz w:val="32"/>
          <w:szCs w:val="32"/>
        </w:rPr>
        <w:t>11.</w:t>
      </w:r>
      <w:r>
        <w:rPr>
          <w:rFonts w:eastAsia="方正仿宋_GBK"/>
          <w:sz w:val="32"/>
          <w:szCs w:val="32"/>
          <w:lang w:val="zh-CN"/>
        </w:rPr>
        <w:t>一般公共服务（</w:t>
      </w:r>
      <w:r>
        <w:rPr>
          <w:rFonts w:eastAsia="方正仿宋_GBK"/>
          <w:sz w:val="32"/>
          <w:szCs w:val="32"/>
        </w:rPr>
        <w:t>201</w:t>
      </w:r>
      <w:r>
        <w:rPr>
          <w:rFonts w:eastAsia="方正仿宋_GBK"/>
          <w:sz w:val="32"/>
          <w:szCs w:val="32"/>
          <w:lang w:val="zh-CN"/>
        </w:rPr>
        <w:t>类）</w:t>
      </w:r>
      <w:r>
        <w:rPr>
          <w:rFonts w:eastAsia="方正仿宋_GBK"/>
          <w:sz w:val="32"/>
          <w:szCs w:val="32"/>
        </w:rPr>
        <w:t>政府办公厅（室）及相关机构事务</w:t>
      </w:r>
      <w:r>
        <w:rPr>
          <w:rFonts w:eastAsia="方正仿宋_GBK"/>
          <w:sz w:val="32"/>
          <w:szCs w:val="32"/>
          <w:lang w:val="zh-CN"/>
        </w:rPr>
        <w:t>（</w:t>
      </w:r>
      <w:r>
        <w:rPr>
          <w:rFonts w:eastAsia="方正仿宋_GBK"/>
          <w:sz w:val="32"/>
          <w:szCs w:val="32"/>
        </w:rPr>
        <w:t>03</w:t>
      </w:r>
      <w:r>
        <w:rPr>
          <w:rFonts w:eastAsia="方正仿宋_GBK"/>
          <w:sz w:val="32"/>
          <w:szCs w:val="32"/>
          <w:lang w:val="zh-CN"/>
        </w:rPr>
        <w:t>款）</w:t>
      </w:r>
      <w:r>
        <w:rPr>
          <w:rFonts w:eastAsia="方正仿宋_GBK"/>
          <w:sz w:val="32"/>
          <w:szCs w:val="32"/>
        </w:rPr>
        <w:t>事业运行</w:t>
      </w:r>
      <w:r>
        <w:rPr>
          <w:rFonts w:eastAsia="方正仿宋_GBK"/>
          <w:sz w:val="32"/>
          <w:szCs w:val="32"/>
          <w:lang w:val="zh-CN"/>
        </w:rPr>
        <w:t>（</w:t>
      </w:r>
      <w:r>
        <w:rPr>
          <w:rFonts w:eastAsia="方正仿宋_GBK"/>
          <w:sz w:val="32"/>
          <w:szCs w:val="32"/>
        </w:rPr>
        <w:t>50</w:t>
      </w:r>
      <w:r>
        <w:rPr>
          <w:rFonts w:eastAsia="方正仿宋_GBK"/>
          <w:sz w:val="32"/>
          <w:szCs w:val="32"/>
          <w:lang w:val="zh-CN"/>
        </w:rPr>
        <w:t>项）：</w:t>
      </w:r>
      <w:r>
        <w:rPr>
          <w:rFonts w:eastAsia="方正仿宋_GBK"/>
          <w:sz w:val="32"/>
          <w:szCs w:val="32"/>
        </w:rPr>
        <w:t>指反映事业单位的基本支出，不包括</w:t>
      </w:r>
      <w:r>
        <w:rPr>
          <w:rFonts w:eastAsia="方正仿宋_GBK"/>
          <w:sz w:val="32"/>
          <w:szCs w:val="32"/>
          <w:lang w:val="zh-CN"/>
        </w:rPr>
        <w:t>行政单位（包括实行公务员管理的事业单位）</w:t>
      </w:r>
      <w:r>
        <w:rPr>
          <w:rFonts w:eastAsia="方正仿宋_GBK"/>
          <w:sz w:val="32"/>
          <w:szCs w:val="32"/>
        </w:rPr>
        <w:t>后勤服务中心、医务室等附属事业单位。</w:t>
      </w:r>
    </w:p>
    <w:p w14:paraId="098F2D29">
      <w:pPr>
        <w:spacing w:line="600" w:lineRule="exact"/>
        <w:ind w:firstLine="640"/>
        <w:rPr>
          <w:rFonts w:eastAsia="方正仿宋_GBK"/>
          <w:sz w:val="32"/>
          <w:szCs w:val="32"/>
        </w:rPr>
      </w:pPr>
      <w:r>
        <w:rPr>
          <w:rFonts w:eastAsia="方正仿宋_GBK"/>
          <w:sz w:val="32"/>
          <w:szCs w:val="32"/>
        </w:rPr>
        <w:t>12.</w:t>
      </w:r>
      <w:r>
        <w:rPr>
          <w:rFonts w:eastAsia="方正仿宋_GBK"/>
          <w:sz w:val="32"/>
          <w:szCs w:val="32"/>
          <w:lang w:val="zh-CN"/>
        </w:rPr>
        <w:t>一般公共服务（</w:t>
      </w:r>
      <w:r>
        <w:rPr>
          <w:rFonts w:eastAsia="方正仿宋_GBK"/>
          <w:sz w:val="32"/>
          <w:szCs w:val="32"/>
        </w:rPr>
        <w:t>201</w:t>
      </w:r>
      <w:r>
        <w:rPr>
          <w:rFonts w:eastAsia="方正仿宋_GBK"/>
          <w:sz w:val="32"/>
          <w:szCs w:val="32"/>
          <w:lang w:val="zh-CN"/>
        </w:rPr>
        <w:t>类）</w:t>
      </w:r>
      <w:r>
        <w:rPr>
          <w:rFonts w:eastAsia="方正仿宋_GBK"/>
          <w:sz w:val="32"/>
          <w:szCs w:val="32"/>
        </w:rPr>
        <w:t>政府办公厅（室）及相关机构事务</w:t>
      </w:r>
      <w:r>
        <w:rPr>
          <w:rFonts w:eastAsia="方正仿宋_GBK"/>
          <w:sz w:val="32"/>
          <w:szCs w:val="32"/>
          <w:lang w:val="zh-CN"/>
        </w:rPr>
        <w:t>（</w:t>
      </w:r>
      <w:r>
        <w:rPr>
          <w:rFonts w:eastAsia="方正仿宋_GBK"/>
          <w:sz w:val="32"/>
          <w:szCs w:val="32"/>
        </w:rPr>
        <w:t>03</w:t>
      </w:r>
      <w:r>
        <w:rPr>
          <w:rFonts w:eastAsia="方正仿宋_GBK"/>
          <w:sz w:val="32"/>
          <w:szCs w:val="32"/>
          <w:lang w:val="zh-CN"/>
        </w:rPr>
        <w:t>款）</w:t>
      </w:r>
      <w:r>
        <w:rPr>
          <w:rFonts w:eastAsia="方正仿宋_GBK"/>
          <w:sz w:val="32"/>
          <w:szCs w:val="32"/>
        </w:rPr>
        <w:t>其他政府办公厅（室）及相关机构事务支出</w:t>
      </w:r>
      <w:r>
        <w:rPr>
          <w:rFonts w:eastAsia="方正仿宋_GBK"/>
          <w:sz w:val="32"/>
          <w:szCs w:val="32"/>
          <w:lang w:val="zh-CN"/>
        </w:rPr>
        <w:t>（</w:t>
      </w:r>
      <w:r>
        <w:rPr>
          <w:rFonts w:eastAsia="方正仿宋_GBK"/>
          <w:sz w:val="32"/>
          <w:szCs w:val="32"/>
        </w:rPr>
        <w:t>99</w:t>
      </w:r>
      <w:r>
        <w:rPr>
          <w:rFonts w:eastAsia="方正仿宋_GBK"/>
          <w:sz w:val="32"/>
          <w:szCs w:val="32"/>
          <w:lang w:val="zh-CN"/>
        </w:rPr>
        <w:t>项）：</w:t>
      </w:r>
      <w:r>
        <w:rPr>
          <w:rFonts w:eastAsia="方正仿宋_GBK"/>
          <w:sz w:val="32"/>
          <w:szCs w:val="32"/>
        </w:rPr>
        <w:t>指反映除上述项目以外的其他政府办公厅（室）及相关机构事务支出。</w:t>
      </w:r>
    </w:p>
    <w:p w14:paraId="5684226B">
      <w:pPr>
        <w:spacing w:line="600" w:lineRule="exact"/>
        <w:ind w:firstLine="640"/>
        <w:rPr>
          <w:rFonts w:eastAsia="方正仿宋_GBK"/>
          <w:sz w:val="32"/>
          <w:szCs w:val="32"/>
          <w:lang w:val="zh-CN"/>
        </w:rPr>
      </w:pPr>
      <w:r>
        <w:rPr>
          <w:rFonts w:eastAsia="方正仿宋_GBK"/>
          <w:sz w:val="32"/>
          <w:szCs w:val="32"/>
        </w:rPr>
        <w:t>13.</w:t>
      </w:r>
      <w:r>
        <w:rPr>
          <w:rFonts w:eastAsia="方正仿宋_GBK"/>
          <w:sz w:val="32"/>
          <w:szCs w:val="32"/>
          <w:lang w:val="zh-CN"/>
        </w:rPr>
        <w:t>社会保障和就业支出（</w:t>
      </w:r>
      <w:r>
        <w:rPr>
          <w:rFonts w:eastAsia="方正仿宋_GBK"/>
          <w:sz w:val="32"/>
          <w:szCs w:val="32"/>
        </w:rPr>
        <w:t>208</w:t>
      </w:r>
      <w:r>
        <w:rPr>
          <w:rFonts w:eastAsia="方正仿宋_GBK"/>
          <w:sz w:val="32"/>
          <w:szCs w:val="32"/>
          <w:lang w:val="zh-CN"/>
        </w:rPr>
        <w:t>类）行政事业单位</w:t>
      </w:r>
      <w:r>
        <w:rPr>
          <w:rFonts w:eastAsia="方正仿宋_GBK"/>
          <w:sz w:val="32"/>
          <w:szCs w:val="32"/>
        </w:rPr>
        <w:t>养老支出</w:t>
      </w:r>
      <w:r>
        <w:rPr>
          <w:rFonts w:eastAsia="方正仿宋_GBK"/>
          <w:sz w:val="32"/>
          <w:szCs w:val="32"/>
          <w:lang w:val="zh-CN"/>
        </w:rPr>
        <w:t>（</w:t>
      </w:r>
      <w:r>
        <w:rPr>
          <w:rFonts w:eastAsia="方正仿宋_GBK"/>
          <w:sz w:val="32"/>
          <w:szCs w:val="32"/>
        </w:rPr>
        <w:t>05</w:t>
      </w:r>
      <w:r>
        <w:rPr>
          <w:rFonts w:eastAsia="方正仿宋_GBK"/>
          <w:sz w:val="32"/>
          <w:szCs w:val="32"/>
          <w:lang w:val="zh-CN"/>
        </w:rPr>
        <w:t>款）行政单位离退休（</w:t>
      </w:r>
      <w:r>
        <w:rPr>
          <w:rFonts w:eastAsia="方正仿宋_GBK"/>
          <w:sz w:val="32"/>
          <w:szCs w:val="32"/>
        </w:rPr>
        <w:t>01</w:t>
      </w:r>
      <w:r>
        <w:rPr>
          <w:rFonts w:eastAsia="方正仿宋_GBK"/>
          <w:sz w:val="32"/>
          <w:szCs w:val="32"/>
          <w:lang w:val="zh-CN"/>
        </w:rPr>
        <w:t>项）：</w:t>
      </w:r>
      <w:r>
        <w:rPr>
          <w:rFonts w:eastAsia="方正仿宋_GBK"/>
          <w:sz w:val="32"/>
          <w:szCs w:val="32"/>
        </w:rPr>
        <w:t>指</w:t>
      </w:r>
      <w:r>
        <w:rPr>
          <w:rFonts w:eastAsia="方正仿宋_GBK"/>
          <w:sz w:val="32"/>
          <w:szCs w:val="32"/>
          <w:lang w:val="zh-CN"/>
        </w:rPr>
        <w:t>反映行政单位（包括实行公务员管理的事业单位）开支的离退休</w:t>
      </w:r>
      <w:r>
        <w:rPr>
          <w:rFonts w:eastAsia="方正仿宋_GBK"/>
          <w:sz w:val="32"/>
          <w:szCs w:val="32"/>
        </w:rPr>
        <w:t>经费</w:t>
      </w:r>
      <w:r>
        <w:rPr>
          <w:rFonts w:eastAsia="方正仿宋_GBK"/>
          <w:sz w:val="32"/>
          <w:szCs w:val="32"/>
          <w:lang w:val="zh-CN"/>
        </w:rPr>
        <w:t>。</w:t>
      </w:r>
    </w:p>
    <w:p w14:paraId="08189F19">
      <w:pPr>
        <w:spacing w:line="600" w:lineRule="exact"/>
        <w:ind w:firstLine="640"/>
        <w:rPr>
          <w:rFonts w:eastAsia="方正仿宋_GBK"/>
          <w:sz w:val="32"/>
          <w:szCs w:val="32"/>
          <w:lang w:val="zh-CN"/>
        </w:rPr>
      </w:pPr>
      <w:r>
        <w:rPr>
          <w:rFonts w:eastAsia="方正仿宋_GBK"/>
          <w:sz w:val="32"/>
          <w:szCs w:val="32"/>
        </w:rPr>
        <w:t>14.</w:t>
      </w:r>
      <w:r>
        <w:rPr>
          <w:rFonts w:eastAsia="方正仿宋_GBK"/>
          <w:sz w:val="32"/>
          <w:szCs w:val="32"/>
          <w:lang w:val="zh-CN"/>
        </w:rPr>
        <w:t>社会保障和就业支出（</w:t>
      </w:r>
      <w:r>
        <w:rPr>
          <w:rFonts w:eastAsia="方正仿宋_GBK"/>
          <w:sz w:val="32"/>
          <w:szCs w:val="32"/>
        </w:rPr>
        <w:t>208</w:t>
      </w:r>
      <w:r>
        <w:rPr>
          <w:rFonts w:eastAsia="方正仿宋_GBK"/>
          <w:sz w:val="32"/>
          <w:szCs w:val="32"/>
          <w:lang w:val="zh-CN"/>
        </w:rPr>
        <w:t>类）行政事业单位</w:t>
      </w:r>
      <w:r>
        <w:rPr>
          <w:rFonts w:eastAsia="方正仿宋_GBK"/>
          <w:sz w:val="32"/>
          <w:szCs w:val="32"/>
        </w:rPr>
        <w:t>养老支出</w:t>
      </w:r>
      <w:r>
        <w:rPr>
          <w:rFonts w:eastAsia="方正仿宋_GBK"/>
          <w:sz w:val="32"/>
          <w:szCs w:val="32"/>
          <w:lang w:val="zh-CN"/>
        </w:rPr>
        <w:t>（</w:t>
      </w:r>
      <w:r>
        <w:rPr>
          <w:rFonts w:eastAsia="方正仿宋_GBK"/>
          <w:sz w:val="32"/>
          <w:szCs w:val="32"/>
        </w:rPr>
        <w:t>05</w:t>
      </w:r>
      <w:r>
        <w:rPr>
          <w:rFonts w:eastAsia="方正仿宋_GBK"/>
          <w:sz w:val="32"/>
          <w:szCs w:val="32"/>
          <w:lang w:val="zh-CN"/>
        </w:rPr>
        <w:t>款）</w:t>
      </w:r>
      <w:r>
        <w:rPr>
          <w:rFonts w:eastAsia="方正仿宋_GBK"/>
          <w:sz w:val="32"/>
          <w:szCs w:val="32"/>
        </w:rPr>
        <w:t>事业</w:t>
      </w:r>
      <w:r>
        <w:rPr>
          <w:rFonts w:eastAsia="方正仿宋_GBK"/>
          <w:sz w:val="32"/>
          <w:szCs w:val="32"/>
          <w:lang w:val="zh-CN"/>
        </w:rPr>
        <w:t>单位离退休（</w:t>
      </w:r>
      <w:r>
        <w:rPr>
          <w:rFonts w:eastAsia="方正仿宋_GBK"/>
          <w:sz w:val="32"/>
          <w:szCs w:val="32"/>
        </w:rPr>
        <w:t>02</w:t>
      </w:r>
      <w:r>
        <w:rPr>
          <w:rFonts w:eastAsia="方正仿宋_GBK"/>
          <w:sz w:val="32"/>
          <w:szCs w:val="32"/>
          <w:lang w:val="zh-CN"/>
        </w:rPr>
        <w:t>项）：</w:t>
      </w:r>
      <w:r>
        <w:rPr>
          <w:rFonts w:eastAsia="方正仿宋_GBK"/>
          <w:sz w:val="32"/>
          <w:szCs w:val="32"/>
        </w:rPr>
        <w:t>指</w:t>
      </w:r>
      <w:r>
        <w:rPr>
          <w:rFonts w:eastAsia="方正仿宋_GBK"/>
          <w:sz w:val="32"/>
          <w:szCs w:val="32"/>
          <w:lang w:val="zh-CN"/>
        </w:rPr>
        <w:t>反映</w:t>
      </w:r>
      <w:r>
        <w:rPr>
          <w:rFonts w:eastAsia="方正仿宋_GBK"/>
          <w:sz w:val="32"/>
          <w:szCs w:val="32"/>
        </w:rPr>
        <w:t>事业单位</w:t>
      </w:r>
      <w:r>
        <w:rPr>
          <w:rFonts w:eastAsia="方正仿宋_GBK"/>
          <w:sz w:val="32"/>
          <w:szCs w:val="32"/>
          <w:lang w:val="zh-CN"/>
        </w:rPr>
        <w:t>开支的离退休</w:t>
      </w:r>
      <w:r>
        <w:rPr>
          <w:rFonts w:eastAsia="方正仿宋_GBK"/>
          <w:sz w:val="32"/>
          <w:szCs w:val="32"/>
        </w:rPr>
        <w:t>经费</w:t>
      </w:r>
      <w:r>
        <w:rPr>
          <w:rFonts w:eastAsia="方正仿宋_GBK"/>
          <w:sz w:val="32"/>
          <w:szCs w:val="32"/>
          <w:lang w:val="zh-CN"/>
        </w:rPr>
        <w:t>。</w:t>
      </w:r>
    </w:p>
    <w:p w14:paraId="7E9FD6F4">
      <w:pPr>
        <w:spacing w:line="600" w:lineRule="exact"/>
        <w:ind w:firstLine="640"/>
        <w:rPr>
          <w:rFonts w:eastAsia="方正仿宋_GBK"/>
          <w:sz w:val="32"/>
          <w:szCs w:val="32"/>
          <w:lang w:val="zh-CN"/>
        </w:rPr>
      </w:pPr>
      <w:r>
        <w:rPr>
          <w:rFonts w:eastAsia="方正仿宋_GBK"/>
          <w:sz w:val="32"/>
          <w:szCs w:val="32"/>
        </w:rPr>
        <w:t>15.</w:t>
      </w:r>
      <w:r>
        <w:rPr>
          <w:rFonts w:eastAsia="方正仿宋_GBK"/>
          <w:sz w:val="32"/>
          <w:szCs w:val="32"/>
          <w:lang w:val="zh-CN"/>
        </w:rPr>
        <w:t>社会保障和就业支出（</w:t>
      </w:r>
      <w:r>
        <w:rPr>
          <w:rFonts w:eastAsia="方正仿宋_GBK"/>
          <w:sz w:val="32"/>
          <w:szCs w:val="32"/>
        </w:rPr>
        <w:t>208</w:t>
      </w:r>
      <w:r>
        <w:rPr>
          <w:rFonts w:eastAsia="方正仿宋_GBK"/>
          <w:sz w:val="32"/>
          <w:szCs w:val="32"/>
          <w:lang w:val="zh-CN"/>
        </w:rPr>
        <w:t>类）行政事业单位</w:t>
      </w:r>
      <w:r>
        <w:rPr>
          <w:rFonts w:eastAsia="方正仿宋_GBK"/>
          <w:sz w:val="32"/>
          <w:szCs w:val="32"/>
        </w:rPr>
        <w:t>养老支出</w:t>
      </w:r>
      <w:r>
        <w:rPr>
          <w:rFonts w:eastAsia="方正仿宋_GBK"/>
          <w:sz w:val="32"/>
          <w:szCs w:val="32"/>
          <w:lang w:val="zh-CN"/>
        </w:rPr>
        <w:t>（</w:t>
      </w:r>
      <w:r>
        <w:rPr>
          <w:rFonts w:eastAsia="方正仿宋_GBK"/>
          <w:sz w:val="32"/>
          <w:szCs w:val="32"/>
        </w:rPr>
        <w:t>05</w:t>
      </w:r>
      <w:r>
        <w:rPr>
          <w:rFonts w:eastAsia="方正仿宋_GBK"/>
          <w:sz w:val="32"/>
          <w:szCs w:val="32"/>
          <w:lang w:val="zh-CN"/>
        </w:rPr>
        <w:t>款）</w:t>
      </w:r>
      <w:r>
        <w:rPr>
          <w:rFonts w:eastAsia="方正仿宋_GBK"/>
          <w:sz w:val="32"/>
          <w:szCs w:val="32"/>
        </w:rPr>
        <w:t>机关事业单位基本养老保险缴费支出</w:t>
      </w:r>
      <w:r>
        <w:rPr>
          <w:rFonts w:eastAsia="方正仿宋_GBK"/>
          <w:sz w:val="32"/>
          <w:szCs w:val="32"/>
          <w:lang w:val="zh-CN"/>
        </w:rPr>
        <w:t>（</w:t>
      </w:r>
      <w:r>
        <w:rPr>
          <w:rFonts w:eastAsia="方正仿宋_GBK"/>
          <w:sz w:val="32"/>
          <w:szCs w:val="32"/>
        </w:rPr>
        <w:t>05</w:t>
      </w:r>
      <w:r>
        <w:rPr>
          <w:rFonts w:eastAsia="方正仿宋_GBK"/>
          <w:sz w:val="32"/>
          <w:szCs w:val="32"/>
          <w:lang w:val="zh-CN"/>
        </w:rPr>
        <w:t>项）：</w:t>
      </w:r>
      <w:r>
        <w:rPr>
          <w:rFonts w:eastAsia="方正仿宋_GBK"/>
          <w:sz w:val="32"/>
          <w:szCs w:val="32"/>
        </w:rPr>
        <w:t>指</w:t>
      </w:r>
      <w:r>
        <w:rPr>
          <w:rFonts w:eastAsia="方正仿宋_GBK"/>
          <w:sz w:val="32"/>
          <w:szCs w:val="32"/>
          <w:lang w:val="zh-CN"/>
        </w:rPr>
        <w:t>反映</w:t>
      </w:r>
      <w:r>
        <w:rPr>
          <w:rFonts w:eastAsia="方正仿宋_GBK"/>
          <w:sz w:val="32"/>
          <w:szCs w:val="32"/>
        </w:rPr>
        <w:t>机关事业单位实施养老保险制度由单位缴纳的基本养老保险费支出</w:t>
      </w:r>
      <w:r>
        <w:rPr>
          <w:rFonts w:eastAsia="方正仿宋_GBK"/>
          <w:sz w:val="32"/>
          <w:szCs w:val="32"/>
          <w:lang w:val="zh-CN"/>
        </w:rPr>
        <w:t>。</w:t>
      </w:r>
    </w:p>
    <w:p w14:paraId="76AD1FE3">
      <w:pPr>
        <w:spacing w:line="600" w:lineRule="exact"/>
        <w:ind w:firstLine="640"/>
        <w:rPr>
          <w:rFonts w:eastAsia="方正仿宋_GBK"/>
          <w:sz w:val="32"/>
          <w:szCs w:val="32"/>
          <w:lang w:val="zh-CN"/>
        </w:rPr>
      </w:pPr>
      <w:r>
        <w:rPr>
          <w:rFonts w:eastAsia="方正仿宋_GBK"/>
          <w:sz w:val="32"/>
          <w:szCs w:val="32"/>
        </w:rPr>
        <w:t>16.</w:t>
      </w:r>
      <w:r>
        <w:rPr>
          <w:rFonts w:eastAsia="方正仿宋_GBK"/>
          <w:sz w:val="32"/>
          <w:szCs w:val="32"/>
          <w:lang w:val="zh-CN"/>
        </w:rPr>
        <w:t>社会保障和就业支出（</w:t>
      </w:r>
      <w:r>
        <w:rPr>
          <w:rFonts w:eastAsia="方正仿宋_GBK"/>
          <w:sz w:val="32"/>
          <w:szCs w:val="32"/>
        </w:rPr>
        <w:t>208</w:t>
      </w:r>
      <w:r>
        <w:rPr>
          <w:rFonts w:eastAsia="方正仿宋_GBK"/>
          <w:sz w:val="32"/>
          <w:szCs w:val="32"/>
          <w:lang w:val="zh-CN"/>
        </w:rPr>
        <w:t>类）行政事业单位</w:t>
      </w:r>
      <w:r>
        <w:rPr>
          <w:rFonts w:eastAsia="方正仿宋_GBK"/>
          <w:sz w:val="32"/>
          <w:szCs w:val="32"/>
        </w:rPr>
        <w:t>养老支出</w:t>
      </w:r>
      <w:r>
        <w:rPr>
          <w:rFonts w:eastAsia="方正仿宋_GBK"/>
          <w:sz w:val="32"/>
          <w:szCs w:val="32"/>
          <w:lang w:val="zh-CN"/>
        </w:rPr>
        <w:t>（</w:t>
      </w:r>
      <w:r>
        <w:rPr>
          <w:rFonts w:eastAsia="方正仿宋_GBK"/>
          <w:sz w:val="32"/>
          <w:szCs w:val="32"/>
        </w:rPr>
        <w:t>05</w:t>
      </w:r>
      <w:r>
        <w:rPr>
          <w:rFonts w:eastAsia="方正仿宋_GBK"/>
          <w:sz w:val="32"/>
          <w:szCs w:val="32"/>
          <w:lang w:val="zh-CN"/>
        </w:rPr>
        <w:t>款）</w:t>
      </w:r>
      <w:r>
        <w:rPr>
          <w:rFonts w:eastAsia="方正仿宋_GBK"/>
          <w:sz w:val="32"/>
          <w:szCs w:val="32"/>
        </w:rPr>
        <w:t>机关事业单位职业年金缴费支出</w:t>
      </w:r>
      <w:r>
        <w:rPr>
          <w:rFonts w:eastAsia="方正仿宋_GBK"/>
          <w:sz w:val="32"/>
          <w:szCs w:val="32"/>
          <w:lang w:val="zh-CN"/>
        </w:rPr>
        <w:t>（</w:t>
      </w:r>
      <w:r>
        <w:rPr>
          <w:rFonts w:eastAsia="方正仿宋_GBK"/>
          <w:sz w:val="32"/>
          <w:szCs w:val="32"/>
        </w:rPr>
        <w:t>06</w:t>
      </w:r>
      <w:r>
        <w:rPr>
          <w:rFonts w:eastAsia="方正仿宋_GBK"/>
          <w:sz w:val="32"/>
          <w:szCs w:val="32"/>
          <w:lang w:val="zh-CN"/>
        </w:rPr>
        <w:t>项）：</w:t>
      </w:r>
      <w:r>
        <w:rPr>
          <w:rFonts w:eastAsia="方正仿宋_GBK"/>
          <w:sz w:val="32"/>
          <w:szCs w:val="32"/>
        </w:rPr>
        <w:t>指</w:t>
      </w:r>
      <w:r>
        <w:rPr>
          <w:rFonts w:eastAsia="方正仿宋_GBK"/>
          <w:sz w:val="32"/>
          <w:szCs w:val="32"/>
          <w:lang w:val="zh-CN"/>
        </w:rPr>
        <w:t>反映</w:t>
      </w:r>
      <w:r>
        <w:rPr>
          <w:rFonts w:eastAsia="方正仿宋_GBK"/>
          <w:sz w:val="32"/>
          <w:szCs w:val="32"/>
        </w:rPr>
        <w:t>机关事业单位实施养老保险制度由单位实际缴纳的职业年金支出</w:t>
      </w:r>
      <w:r>
        <w:rPr>
          <w:rFonts w:eastAsia="方正仿宋_GBK"/>
          <w:sz w:val="32"/>
          <w:szCs w:val="32"/>
          <w:lang w:val="zh-CN"/>
        </w:rPr>
        <w:t>。</w:t>
      </w:r>
    </w:p>
    <w:p w14:paraId="50C1DA68">
      <w:pPr>
        <w:spacing w:line="600" w:lineRule="exact"/>
        <w:ind w:firstLine="640"/>
        <w:rPr>
          <w:rFonts w:eastAsia="方正仿宋_GBK"/>
          <w:sz w:val="32"/>
          <w:szCs w:val="32"/>
        </w:rPr>
      </w:pPr>
      <w:r>
        <w:rPr>
          <w:rFonts w:eastAsia="方正仿宋_GBK"/>
          <w:color w:val="000000"/>
          <w:sz w:val="32"/>
          <w:szCs w:val="32"/>
        </w:rPr>
        <w:t>17.社会保障和就业支出（208类）抚恤（08款）死亡抚恤（01项）</w:t>
      </w:r>
      <w:r>
        <w:rPr>
          <w:rFonts w:hint="eastAsia" w:eastAsia="方正仿宋_GBK"/>
          <w:color w:val="000000"/>
          <w:sz w:val="32"/>
          <w:szCs w:val="32"/>
          <w:lang w:eastAsia="zh-CN"/>
        </w:rPr>
        <w:t>：</w:t>
      </w:r>
      <w:r>
        <w:rPr>
          <w:rFonts w:eastAsia="方正仿宋_GBK"/>
          <w:color w:val="000000"/>
          <w:sz w:val="32"/>
          <w:szCs w:val="32"/>
        </w:rPr>
        <w:t>指按规定用于烈士和牺牲、病故人员家属的一次性和定期抚恤金、丧葬补助费以及烈士褒扬金。</w:t>
      </w:r>
    </w:p>
    <w:p w14:paraId="79B6D698">
      <w:pPr>
        <w:spacing w:line="600" w:lineRule="exact"/>
        <w:ind w:firstLine="640"/>
        <w:rPr>
          <w:rFonts w:eastAsia="方正仿宋_GBK"/>
          <w:sz w:val="32"/>
          <w:szCs w:val="32"/>
          <w:lang w:val="zh-CN"/>
        </w:rPr>
      </w:pPr>
      <w:r>
        <w:rPr>
          <w:rFonts w:eastAsia="方正仿宋_GBK"/>
          <w:sz w:val="32"/>
          <w:szCs w:val="32"/>
        </w:rPr>
        <w:t>18.</w:t>
      </w:r>
      <w:r>
        <w:rPr>
          <w:rFonts w:eastAsia="方正仿宋_GBK"/>
          <w:sz w:val="32"/>
          <w:szCs w:val="32"/>
          <w:lang w:val="zh-CN"/>
        </w:rPr>
        <w:t>社会保障和就业支出（</w:t>
      </w:r>
      <w:r>
        <w:rPr>
          <w:rFonts w:eastAsia="方正仿宋_GBK"/>
          <w:sz w:val="32"/>
          <w:szCs w:val="32"/>
        </w:rPr>
        <w:t>208</w:t>
      </w:r>
      <w:r>
        <w:rPr>
          <w:rFonts w:eastAsia="方正仿宋_GBK"/>
          <w:sz w:val="32"/>
          <w:szCs w:val="32"/>
          <w:lang w:val="zh-CN"/>
        </w:rPr>
        <w:t>类）抚恤（</w:t>
      </w:r>
      <w:r>
        <w:rPr>
          <w:rFonts w:eastAsia="方正仿宋_GBK"/>
          <w:sz w:val="32"/>
          <w:szCs w:val="32"/>
        </w:rPr>
        <w:t>08</w:t>
      </w:r>
      <w:r>
        <w:rPr>
          <w:rFonts w:eastAsia="方正仿宋_GBK"/>
          <w:sz w:val="32"/>
          <w:szCs w:val="32"/>
          <w:lang w:val="zh-CN"/>
        </w:rPr>
        <w:t>款）</w:t>
      </w:r>
      <w:r>
        <w:rPr>
          <w:rFonts w:eastAsia="方正仿宋_GBK"/>
          <w:sz w:val="32"/>
          <w:szCs w:val="32"/>
        </w:rPr>
        <w:t>伤残</w:t>
      </w:r>
      <w:r>
        <w:rPr>
          <w:rFonts w:eastAsia="方正仿宋_GBK"/>
          <w:sz w:val="32"/>
          <w:szCs w:val="32"/>
          <w:lang w:val="zh-CN"/>
        </w:rPr>
        <w:t>抚恤（</w:t>
      </w:r>
      <w:r>
        <w:rPr>
          <w:rFonts w:eastAsia="方正仿宋_GBK"/>
          <w:sz w:val="32"/>
          <w:szCs w:val="32"/>
        </w:rPr>
        <w:t>02</w:t>
      </w:r>
      <w:r>
        <w:rPr>
          <w:rFonts w:eastAsia="方正仿宋_GBK"/>
          <w:sz w:val="32"/>
          <w:szCs w:val="32"/>
          <w:lang w:val="zh-CN"/>
        </w:rPr>
        <w:t>项）：</w:t>
      </w:r>
      <w:r>
        <w:rPr>
          <w:rFonts w:eastAsia="方正仿宋_GBK"/>
          <w:sz w:val="32"/>
          <w:szCs w:val="32"/>
        </w:rPr>
        <w:t>指</w:t>
      </w:r>
      <w:r>
        <w:rPr>
          <w:rFonts w:eastAsia="方正仿宋_GBK"/>
          <w:sz w:val="32"/>
          <w:szCs w:val="32"/>
          <w:lang w:val="zh-CN"/>
        </w:rPr>
        <w:t>反映按规定用于</w:t>
      </w:r>
      <w:r>
        <w:rPr>
          <w:rFonts w:eastAsia="方正仿宋_GBK"/>
          <w:sz w:val="32"/>
          <w:szCs w:val="32"/>
        </w:rPr>
        <w:t>伤残人员的抚恤金和按规定开支的各种伤残补助费</w:t>
      </w:r>
      <w:r>
        <w:rPr>
          <w:rFonts w:eastAsia="方正仿宋_GBK"/>
          <w:sz w:val="32"/>
          <w:szCs w:val="32"/>
          <w:lang w:val="zh-CN"/>
        </w:rPr>
        <w:t>。</w:t>
      </w:r>
    </w:p>
    <w:p w14:paraId="0AE29185">
      <w:pPr>
        <w:spacing w:line="600" w:lineRule="exact"/>
        <w:ind w:firstLine="640"/>
        <w:rPr>
          <w:rFonts w:eastAsia="方正仿宋_GBK"/>
          <w:sz w:val="32"/>
          <w:szCs w:val="32"/>
        </w:rPr>
      </w:pPr>
      <w:r>
        <w:rPr>
          <w:rFonts w:eastAsia="方正仿宋_GBK"/>
          <w:sz w:val="32"/>
          <w:szCs w:val="32"/>
        </w:rPr>
        <w:t>19.卫生健康支出</w:t>
      </w:r>
      <w:r>
        <w:rPr>
          <w:rFonts w:eastAsia="方正仿宋_GBK"/>
          <w:sz w:val="32"/>
          <w:szCs w:val="32"/>
          <w:lang w:val="zh-CN"/>
        </w:rPr>
        <w:t>（</w:t>
      </w:r>
      <w:r>
        <w:rPr>
          <w:rFonts w:eastAsia="方正仿宋_GBK"/>
          <w:sz w:val="32"/>
          <w:szCs w:val="32"/>
        </w:rPr>
        <w:t>210</w:t>
      </w:r>
      <w:r>
        <w:rPr>
          <w:rFonts w:eastAsia="方正仿宋_GBK"/>
          <w:sz w:val="32"/>
          <w:szCs w:val="32"/>
          <w:lang w:val="zh-CN"/>
        </w:rPr>
        <w:t>类）</w:t>
      </w:r>
      <w:r>
        <w:rPr>
          <w:rFonts w:eastAsia="方正仿宋_GBK"/>
          <w:sz w:val="32"/>
          <w:szCs w:val="32"/>
        </w:rPr>
        <w:t>行政事业单位医疗</w:t>
      </w:r>
      <w:r>
        <w:rPr>
          <w:rFonts w:eastAsia="方正仿宋_GBK"/>
          <w:sz w:val="32"/>
          <w:szCs w:val="32"/>
          <w:lang w:val="zh-CN"/>
        </w:rPr>
        <w:t>（</w:t>
      </w:r>
      <w:r>
        <w:rPr>
          <w:rFonts w:eastAsia="方正仿宋_GBK"/>
          <w:sz w:val="32"/>
          <w:szCs w:val="32"/>
        </w:rPr>
        <w:t>11</w:t>
      </w:r>
      <w:r>
        <w:rPr>
          <w:rFonts w:eastAsia="方正仿宋_GBK"/>
          <w:sz w:val="32"/>
          <w:szCs w:val="32"/>
          <w:lang w:val="zh-CN"/>
        </w:rPr>
        <w:t>款）</w:t>
      </w:r>
      <w:r>
        <w:rPr>
          <w:rFonts w:eastAsia="方正仿宋_GBK"/>
          <w:sz w:val="32"/>
          <w:szCs w:val="32"/>
        </w:rPr>
        <w:t>行政单位医疗</w:t>
      </w:r>
      <w:r>
        <w:rPr>
          <w:rFonts w:eastAsia="方正仿宋_GBK"/>
          <w:sz w:val="32"/>
          <w:szCs w:val="32"/>
          <w:lang w:val="zh-CN"/>
        </w:rPr>
        <w:t>（</w:t>
      </w:r>
      <w:r>
        <w:rPr>
          <w:rFonts w:eastAsia="方正仿宋_GBK"/>
          <w:sz w:val="32"/>
          <w:szCs w:val="32"/>
        </w:rPr>
        <w:t>01</w:t>
      </w:r>
      <w:r>
        <w:rPr>
          <w:rFonts w:eastAsia="方正仿宋_GBK"/>
          <w:sz w:val="32"/>
          <w:szCs w:val="32"/>
          <w:lang w:val="zh-CN"/>
        </w:rPr>
        <w:t>项）：</w:t>
      </w:r>
      <w:r>
        <w:rPr>
          <w:rFonts w:eastAsia="方正仿宋_GBK"/>
          <w:sz w:val="32"/>
          <w:szCs w:val="32"/>
        </w:rPr>
        <w:t>指反映财政部门安排的</w:t>
      </w:r>
      <w:r>
        <w:rPr>
          <w:rFonts w:eastAsia="方正仿宋_GBK"/>
          <w:sz w:val="32"/>
          <w:szCs w:val="32"/>
          <w:lang w:val="zh-CN"/>
        </w:rPr>
        <w:t>行政单位（包括实行公务员管理的事业单位，</w:t>
      </w:r>
      <w:r>
        <w:rPr>
          <w:rFonts w:eastAsia="方正仿宋_GBK"/>
          <w:sz w:val="32"/>
          <w:szCs w:val="32"/>
        </w:rPr>
        <w:t>下同</w:t>
      </w:r>
      <w:r>
        <w:rPr>
          <w:rFonts w:eastAsia="方正仿宋_GBK"/>
          <w:sz w:val="32"/>
          <w:szCs w:val="32"/>
          <w:lang w:val="zh-CN"/>
        </w:rPr>
        <w:t>）</w:t>
      </w:r>
      <w:r>
        <w:rPr>
          <w:rFonts w:eastAsia="方正仿宋_GBK"/>
          <w:sz w:val="32"/>
          <w:szCs w:val="32"/>
        </w:rPr>
        <w:t>基本医疗保险缴费经费，未参加医疗保险的行政单位的公费医疗经费，按国家规定享受离休人员、红军老战士待遇人员的医疗经费。</w:t>
      </w:r>
    </w:p>
    <w:p w14:paraId="0B161C28">
      <w:pPr>
        <w:spacing w:line="600" w:lineRule="exact"/>
        <w:ind w:firstLine="640"/>
        <w:rPr>
          <w:rFonts w:eastAsia="方正仿宋_GBK"/>
          <w:sz w:val="32"/>
          <w:szCs w:val="32"/>
        </w:rPr>
      </w:pPr>
      <w:r>
        <w:rPr>
          <w:rFonts w:eastAsia="方正仿宋_GBK"/>
          <w:sz w:val="32"/>
          <w:szCs w:val="32"/>
        </w:rPr>
        <w:t>20.卫生健康支出</w:t>
      </w:r>
      <w:r>
        <w:rPr>
          <w:rFonts w:eastAsia="方正仿宋_GBK"/>
          <w:sz w:val="32"/>
          <w:szCs w:val="32"/>
          <w:lang w:val="zh-CN"/>
        </w:rPr>
        <w:t>（</w:t>
      </w:r>
      <w:r>
        <w:rPr>
          <w:rFonts w:eastAsia="方正仿宋_GBK"/>
          <w:sz w:val="32"/>
          <w:szCs w:val="32"/>
        </w:rPr>
        <w:t>210</w:t>
      </w:r>
      <w:r>
        <w:rPr>
          <w:rFonts w:eastAsia="方正仿宋_GBK"/>
          <w:sz w:val="32"/>
          <w:szCs w:val="32"/>
          <w:lang w:val="zh-CN"/>
        </w:rPr>
        <w:t>类）</w:t>
      </w:r>
      <w:r>
        <w:rPr>
          <w:rFonts w:eastAsia="方正仿宋_GBK"/>
          <w:sz w:val="32"/>
          <w:szCs w:val="32"/>
        </w:rPr>
        <w:t>行政事业单位医疗</w:t>
      </w:r>
      <w:r>
        <w:rPr>
          <w:rFonts w:eastAsia="方正仿宋_GBK"/>
          <w:sz w:val="32"/>
          <w:szCs w:val="32"/>
          <w:lang w:val="zh-CN"/>
        </w:rPr>
        <w:t>（</w:t>
      </w:r>
      <w:r>
        <w:rPr>
          <w:rFonts w:eastAsia="方正仿宋_GBK"/>
          <w:sz w:val="32"/>
          <w:szCs w:val="32"/>
        </w:rPr>
        <w:t>11</w:t>
      </w:r>
      <w:r>
        <w:rPr>
          <w:rFonts w:eastAsia="方正仿宋_GBK"/>
          <w:sz w:val="32"/>
          <w:szCs w:val="32"/>
          <w:lang w:val="zh-CN"/>
        </w:rPr>
        <w:t>款）</w:t>
      </w:r>
      <w:r>
        <w:rPr>
          <w:rFonts w:eastAsia="方正仿宋_GBK"/>
          <w:sz w:val="32"/>
          <w:szCs w:val="32"/>
        </w:rPr>
        <w:t>事业单位医疗</w:t>
      </w:r>
      <w:r>
        <w:rPr>
          <w:rFonts w:eastAsia="方正仿宋_GBK"/>
          <w:sz w:val="32"/>
          <w:szCs w:val="32"/>
          <w:lang w:val="zh-CN"/>
        </w:rPr>
        <w:t>（</w:t>
      </w:r>
      <w:r>
        <w:rPr>
          <w:rFonts w:eastAsia="方正仿宋_GBK"/>
          <w:sz w:val="32"/>
          <w:szCs w:val="32"/>
        </w:rPr>
        <w:t>02</w:t>
      </w:r>
      <w:r>
        <w:rPr>
          <w:rFonts w:eastAsia="方正仿宋_GBK"/>
          <w:sz w:val="32"/>
          <w:szCs w:val="32"/>
          <w:lang w:val="zh-CN"/>
        </w:rPr>
        <w:t>项）：</w:t>
      </w:r>
      <w:r>
        <w:rPr>
          <w:rFonts w:eastAsia="方正仿宋_GBK"/>
          <w:sz w:val="32"/>
          <w:szCs w:val="32"/>
        </w:rPr>
        <w:t>指反映财政部门安排的事业单位基本医疗保险缴费经费，未参加医疗保险的事业单位的公费医疗经费，按国家规定享受离休人员待遇的医疗经费。</w:t>
      </w:r>
    </w:p>
    <w:p w14:paraId="7ACECD31">
      <w:pPr>
        <w:spacing w:line="600" w:lineRule="exact"/>
        <w:ind w:firstLine="640"/>
        <w:rPr>
          <w:rFonts w:eastAsia="方正仿宋_GBK"/>
          <w:sz w:val="32"/>
          <w:szCs w:val="32"/>
        </w:rPr>
      </w:pPr>
      <w:r>
        <w:rPr>
          <w:rFonts w:eastAsia="方正仿宋_GBK"/>
          <w:sz w:val="32"/>
          <w:szCs w:val="32"/>
        </w:rPr>
        <w:t>21.卫生健康支出</w:t>
      </w:r>
      <w:r>
        <w:rPr>
          <w:rFonts w:eastAsia="方正仿宋_GBK"/>
          <w:sz w:val="32"/>
          <w:szCs w:val="32"/>
          <w:lang w:val="zh-CN"/>
        </w:rPr>
        <w:t>（</w:t>
      </w:r>
      <w:r>
        <w:rPr>
          <w:rFonts w:eastAsia="方正仿宋_GBK"/>
          <w:sz w:val="32"/>
          <w:szCs w:val="32"/>
        </w:rPr>
        <w:t>210</w:t>
      </w:r>
      <w:r>
        <w:rPr>
          <w:rFonts w:eastAsia="方正仿宋_GBK"/>
          <w:sz w:val="32"/>
          <w:szCs w:val="32"/>
          <w:lang w:val="zh-CN"/>
        </w:rPr>
        <w:t>类）</w:t>
      </w:r>
      <w:r>
        <w:rPr>
          <w:rFonts w:eastAsia="方正仿宋_GBK"/>
          <w:sz w:val="32"/>
          <w:szCs w:val="32"/>
        </w:rPr>
        <w:t>行政事业单位医疗</w:t>
      </w:r>
      <w:r>
        <w:rPr>
          <w:rFonts w:eastAsia="方正仿宋_GBK"/>
          <w:sz w:val="32"/>
          <w:szCs w:val="32"/>
          <w:lang w:val="zh-CN"/>
        </w:rPr>
        <w:t>（</w:t>
      </w:r>
      <w:r>
        <w:rPr>
          <w:rFonts w:eastAsia="方正仿宋_GBK"/>
          <w:sz w:val="32"/>
          <w:szCs w:val="32"/>
        </w:rPr>
        <w:t>11</w:t>
      </w:r>
      <w:r>
        <w:rPr>
          <w:rFonts w:eastAsia="方正仿宋_GBK"/>
          <w:sz w:val="32"/>
          <w:szCs w:val="32"/>
          <w:lang w:val="zh-CN"/>
        </w:rPr>
        <w:t>款）</w:t>
      </w:r>
      <w:r>
        <w:rPr>
          <w:rFonts w:eastAsia="方正仿宋_GBK"/>
          <w:sz w:val="32"/>
          <w:szCs w:val="32"/>
        </w:rPr>
        <w:t>公务员医疗补助</w:t>
      </w:r>
      <w:r>
        <w:rPr>
          <w:rFonts w:eastAsia="方正仿宋_GBK"/>
          <w:sz w:val="32"/>
          <w:szCs w:val="32"/>
          <w:lang w:val="zh-CN"/>
        </w:rPr>
        <w:t>（</w:t>
      </w:r>
      <w:r>
        <w:rPr>
          <w:rFonts w:eastAsia="方正仿宋_GBK"/>
          <w:sz w:val="32"/>
          <w:szCs w:val="32"/>
        </w:rPr>
        <w:t>03</w:t>
      </w:r>
      <w:r>
        <w:rPr>
          <w:rFonts w:eastAsia="方正仿宋_GBK"/>
          <w:sz w:val="32"/>
          <w:szCs w:val="32"/>
          <w:lang w:val="zh-CN"/>
        </w:rPr>
        <w:t>项）：</w:t>
      </w:r>
      <w:r>
        <w:rPr>
          <w:rFonts w:eastAsia="方正仿宋_GBK"/>
          <w:sz w:val="32"/>
          <w:szCs w:val="32"/>
        </w:rPr>
        <w:t>指反映财政部门安排的公务员医疗补助经费。</w:t>
      </w:r>
    </w:p>
    <w:p w14:paraId="23B6B45D">
      <w:pPr>
        <w:spacing w:line="600" w:lineRule="exact"/>
        <w:ind w:firstLine="640"/>
        <w:rPr>
          <w:rFonts w:eastAsia="方正仿宋_GBK"/>
          <w:sz w:val="32"/>
          <w:szCs w:val="32"/>
        </w:rPr>
      </w:pPr>
      <w:r>
        <w:rPr>
          <w:rFonts w:eastAsia="方正仿宋_GBK"/>
          <w:sz w:val="32"/>
          <w:szCs w:val="32"/>
        </w:rPr>
        <w:t>22.卫生健康支出</w:t>
      </w:r>
      <w:r>
        <w:rPr>
          <w:rFonts w:eastAsia="方正仿宋_GBK"/>
          <w:sz w:val="32"/>
          <w:szCs w:val="32"/>
          <w:lang w:val="zh-CN"/>
        </w:rPr>
        <w:t>（</w:t>
      </w:r>
      <w:r>
        <w:rPr>
          <w:rFonts w:eastAsia="方正仿宋_GBK"/>
          <w:sz w:val="32"/>
          <w:szCs w:val="32"/>
        </w:rPr>
        <w:t>210</w:t>
      </w:r>
      <w:r>
        <w:rPr>
          <w:rFonts w:eastAsia="方正仿宋_GBK"/>
          <w:sz w:val="32"/>
          <w:szCs w:val="32"/>
          <w:lang w:val="zh-CN"/>
        </w:rPr>
        <w:t>类）</w:t>
      </w:r>
      <w:r>
        <w:rPr>
          <w:rFonts w:eastAsia="方正仿宋_GBK"/>
          <w:sz w:val="32"/>
          <w:szCs w:val="32"/>
        </w:rPr>
        <w:t>行政事业单位医疗</w:t>
      </w:r>
      <w:r>
        <w:rPr>
          <w:rFonts w:eastAsia="方正仿宋_GBK"/>
          <w:sz w:val="32"/>
          <w:szCs w:val="32"/>
          <w:lang w:val="zh-CN"/>
        </w:rPr>
        <w:t>（</w:t>
      </w:r>
      <w:r>
        <w:rPr>
          <w:rFonts w:eastAsia="方正仿宋_GBK"/>
          <w:sz w:val="32"/>
          <w:szCs w:val="32"/>
        </w:rPr>
        <w:t>11</w:t>
      </w:r>
      <w:r>
        <w:rPr>
          <w:rFonts w:eastAsia="方正仿宋_GBK"/>
          <w:sz w:val="32"/>
          <w:szCs w:val="32"/>
          <w:lang w:val="zh-CN"/>
        </w:rPr>
        <w:t>款）</w:t>
      </w:r>
      <w:r>
        <w:rPr>
          <w:rFonts w:eastAsia="方正仿宋_GBK"/>
          <w:sz w:val="32"/>
          <w:szCs w:val="32"/>
        </w:rPr>
        <w:t>其他行政事业单位医疗支出</w:t>
      </w:r>
      <w:r>
        <w:rPr>
          <w:rFonts w:eastAsia="方正仿宋_GBK"/>
          <w:sz w:val="32"/>
          <w:szCs w:val="32"/>
          <w:lang w:val="zh-CN"/>
        </w:rPr>
        <w:t>（</w:t>
      </w:r>
      <w:r>
        <w:rPr>
          <w:rFonts w:eastAsia="方正仿宋_GBK"/>
          <w:sz w:val="32"/>
          <w:szCs w:val="32"/>
        </w:rPr>
        <w:t>99</w:t>
      </w:r>
      <w:r>
        <w:rPr>
          <w:rFonts w:eastAsia="方正仿宋_GBK"/>
          <w:sz w:val="32"/>
          <w:szCs w:val="32"/>
          <w:lang w:val="zh-CN"/>
        </w:rPr>
        <w:t>项）：</w:t>
      </w:r>
      <w:r>
        <w:rPr>
          <w:rFonts w:eastAsia="方正仿宋_GBK"/>
          <w:sz w:val="32"/>
          <w:szCs w:val="32"/>
        </w:rPr>
        <w:t>指反映除上述项目以外的其他用于行政事业单位医疗方面的支出。</w:t>
      </w:r>
    </w:p>
    <w:p w14:paraId="20AA6E78">
      <w:pPr>
        <w:spacing w:line="600" w:lineRule="exact"/>
        <w:ind w:firstLine="640"/>
        <w:rPr>
          <w:rFonts w:eastAsia="方正仿宋_GBK"/>
          <w:sz w:val="32"/>
          <w:szCs w:val="32"/>
          <w:lang w:val="zh-CN"/>
        </w:rPr>
      </w:pPr>
      <w:r>
        <w:rPr>
          <w:rFonts w:eastAsia="方正仿宋_GBK"/>
          <w:sz w:val="32"/>
          <w:szCs w:val="32"/>
        </w:rPr>
        <w:t>23.</w:t>
      </w:r>
      <w:r>
        <w:rPr>
          <w:rFonts w:eastAsia="方正仿宋_GBK"/>
          <w:sz w:val="32"/>
          <w:szCs w:val="32"/>
          <w:lang w:val="zh-CN"/>
        </w:rPr>
        <w:t>住房保障支出（</w:t>
      </w:r>
      <w:r>
        <w:rPr>
          <w:rFonts w:eastAsia="方正仿宋_GBK"/>
          <w:sz w:val="32"/>
          <w:szCs w:val="32"/>
        </w:rPr>
        <w:t>221</w:t>
      </w:r>
      <w:r>
        <w:rPr>
          <w:rFonts w:eastAsia="方正仿宋_GBK"/>
          <w:sz w:val="32"/>
          <w:szCs w:val="32"/>
          <w:lang w:val="zh-CN"/>
        </w:rPr>
        <w:t>类）住房改革支出（</w:t>
      </w:r>
      <w:r>
        <w:rPr>
          <w:rFonts w:eastAsia="方正仿宋_GBK"/>
          <w:sz w:val="32"/>
          <w:szCs w:val="32"/>
        </w:rPr>
        <w:t>02</w:t>
      </w:r>
      <w:r>
        <w:rPr>
          <w:rFonts w:eastAsia="方正仿宋_GBK"/>
          <w:sz w:val="32"/>
          <w:szCs w:val="32"/>
          <w:lang w:val="zh-CN"/>
        </w:rPr>
        <w:t>款）住房公积金（</w:t>
      </w:r>
      <w:r>
        <w:rPr>
          <w:rFonts w:eastAsia="方正仿宋_GBK"/>
          <w:sz w:val="32"/>
          <w:szCs w:val="32"/>
        </w:rPr>
        <w:t>01</w:t>
      </w:r>
      <w:r>
        <w:rPr>
          <w:rFonts w:eastAsia="方正仿宋_GBK"/>
          <w:sz w:val="32"/>
          <w:szCs w:val="32"/>
          <w:lang w:val="zh-CN"/>
        </w:rPr>
        <w:t>项）：反映行政事业单位按人力资源和社会保障部、财政部规定的基本工资和津贴补贴以及规定比例为职工缴纳的住房公积金。</w:t>
      </w:r>
    </w:p>
    <w:p w14:paraId="661DA18B">
      <w:pPr>
        <w:spacing w:line="600" w:lineRule="exact"/>
        <w:ind w:firstLine="640"/>
        <w:rPr>
          <w:rFonts w:eastAsia="方正仿宋_GBK"/>
          <w:sz w:val="32"/>
          <w:szCs w:val="32"/>
        </w:rPr>
      </w:pPr>
      <w:r>
        <w:rPr>
          <w:rFonts w:eastAsia="方正仿宋_GBK"/>
          <w:sz w:val="32"/>
          <w:szCs w:val="32"/>
        </w:rPr>
        <w:t>24.基本支出：指为保障机构正常运转、完成日常工作任务而发生的人员支出和公用支出。</w:t>
      </w:r>
    </w:p>
    <w:p w14:paraId="1E6E0CAB">
      <w:pPr>
        <w:spacing w:line="600" w:lineRule="exact"/>
        <w:ind w:firstLine="640"/>
        <w:rPr>
          <w:rFonts w:eastAsia="方正仿宋_GBK"/>
          <w:sz w:val="32"/>
          <w:szCs w:val="32"/>
        </w:rPr>
      </w:pPr>
      <w:r>
        <w:rPr>
          <w:rFonts w:eastAsia="方正仿宋_GBK"/>
          <w:sz w:val="32"/>
          <w:szCs w:val="32"/>
        </w:rPr>
        <w:t xml:space="preserve">25.项目支出：指在基本支出之外为完成特定行政任务和事业发展目标所发生的支出。 </w:t>
      </w:r>
    </w:p>
    <w:p w14:paraId="59839694">
      <w:pPr>
        <w:spacing w:line="600" w:lineRule="exact"/>
        <w:ind w:firstLine="640"/>
        <w:rPr>
          <w:rFonts w:eastAsia="方正仿宋_GBK"/>
          <w:sz w:val="32"/>
          <w:szCs w:val="32"/>
        </w:rPr>
      </w:pPr>
      <w:r>
        <w:rPr>
          <w:rFonts w:eastAsia="方正仿宋_GBK"/>
          <w:sz w:val="32"/>
          <w:szCs w:val="32"/>
        </w:rPr>
        <w:t>26.经营支出：指事业单位在专业业务活动及其辅助活动之外开展非独立核算经营活动发生的支出。</w:t>
      </w:r>
    </w:p>
    <w:p w14:paraId="4F49E21D">
      <w:pPr>
        <w:spacing w:line="600" w:lineRule="exact"/>
        <w:ind w:firstLine="640"/>
        <w:rPr>
          <w:rFonts w:eastAsia="方正仿宋_GBK"/>
          <w:sz w:val="32"/>
          <w:szCs w:val="32"/>
        </w:rPr>
      </w:pPr>
      <w:r>
        <w:rPr>
          <w:rFonts w:eastAsia="方正仿宋_GBK"/>
          <w:sz w:val="32"/>
          <w:szCs w:val="32"/>
        </w:rPr>
        <w:t>27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B83336A">
      <w:pPr>
        <w:spacing w:line="600" w:lineRule="exact"/>
        <w:ind w:firstLine="640"/>
        <w:rPr>
          <w:rFonts w:eastAsia="方正仿宋_GBK"/>
          <w:sz w:val="32"/>
          <w:szCs w:val="32"/>
        </w:rPr>
      </w:pPr>
      <w:r>
        <w:rPr>
          <w:rFonts w:eastAsia="方正仿宋_GBK"/>
          <w:sz w:val="32"/>
          <w:szCs w:val="32"/>
        </w:rPr>
        <w:t>28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0580C5C">
      <w:pPr>
        <w:spacing w:line="600" w:lineRule="exact"/>
        <w:jc w:val="center"/>
        <w:rPr>
          <w:rStyle w:val="29"/>
          <w:rFonts w:ascii="方正小标宋_GBK" w:hAnsi="方正小标宋_GBK" w:eastAsia="方正小标宋_GBK" w:cs="方正小标宋_GBK"/>
        </w:rPr>
      </w:pPr>
      <w:bookmarkStart w:id="47" w:name="_Toc15377226"/>
      <w:r>
        <w:rPr>
          <w:rFonts w:eastAsia="方正仿宋_GBK"/>
          <w:sz w:val="32"/>
          <w:szCs w:val="32"/>
        </w:rPr>
        <w:br w:type="page"/>
      </w:r>
      <w:bookmarkStart w:id="48" w:name="_Toc15396614"/>
      <w:r>
        <w:rPr>
          <w:rFonts w:hint="eastAsia" w:ascii="方正小标宋_GBK" w:hAnsi="方正小标宋_GBK" w:eastAsia="方正小标宋_GBK" w:cs="方正小标宋_GBK"/>
          <w:b/>
          <w:bCs/>
          <w:sz w:val="44"/>
          <w:szCs w:val="44"/>
        </w:rPr>
        <w:t>第四部分  附件</w:t>
      </w:r>
      <w:bookmarkEnd w:id="48"/>
    </w:p>
    <w:p w14:paraId="7FF43A09">
      <w:pPr>
        <w:spacing w:line="572" w:lineRule="exact"/>
        <w:jc w:val="left"/>
        <w:outlineLvl w:val="0"/>
        <w:rPr>
          <w:rFonts w:eastAsia="方正仿宋_GBK"/>
          <w:sz w:val="32"/>
          <w:szCs w:val="32"/>
        </w:rPr>
      </w:pPr>
    </w:p>
    <w:p w14:paraId="4AA2875D">
      <w:pPr>
        <w:widowControl/>
        <w:spacing w:line="578" w:lineRule="exact"/>
        <w:contextualSpacing/>
        <w:jc w:val="center"/>
        <w:rPr>
          <w:rFonts w:eastAsia="方正仿宋_GBK"/>
          <w:sz w:val="32"/>
          <w:szCs w:val="32"/>
        </w:rPr>
      </w:pPr>
      <w:r>
        <w:rPr>
          <w:rFonts w:eastAsia="方正仿宋_GBK"/>
          <w:sz w:val="32"/>
          <w:szCs w:val="32"/>
        </w:rPr>
        <w:t>部门预算项目支出绩效评价表（2024年度）</w:t>
      </w:r>
    </w:p>
    <w:p w14:paraId="611E0E37">
      <w:pPr>
        <w:pStyle w:val="8"/>
        <w:spacing w:line="560" w:lineRule="exact"/>
        <w:ind w:left="0" w:leftChars="0" w:firstLine="640"/>
        <w:rPr>
          <w:rFonts w:ascii="Times New Roman" w:eastAsia="方正仿宋_GBK"/>
          <w:kern w:val="0"/>
          <w:sz w:val="32"/>
        </w:rPr>
      </w:pPr>
    </w:p>
    <w:p w14:paraId="0F520B9E">
      <w:pPr>
        <w:spacing w:line="578" w:lineRule="exact"/>
        <w:ind w:firstLine="640"/>
        <w:rPr>
          <w:rFonts w:eastAsia="方正仿宋_GBK"/>
          <w:kern w:val="0"/>
          <w:sz w:val="32"/>
          <w:szCs w:val="32"/>
        </w:rPr>
      </w:pPr>
      <w:bookmarkStart w:id="49" w:name="_Toc15396618"/>
      <w:r>
        <w:rPr>
          <w:rFonts w:eastAsia="方正仿宋_GBK"/>
          <w:kern w:val="0"/>
          <w:sz w:val="32"/>
          <w:szCs w:val="32"/>
        </w:rPr>
        <w:br w:type="page"/>
      </w:r>
    </w:p>
    <w:p w14:paraId="5FE51371">
      <w:pPr>
        <w:widowControl/>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第</w:t>
      </w:r>
      <w:r>
        <w:rPr>
          <w:rStyle w:val="29"/>
          <w:rFonts w:hint="eastAsia" w:ascii="方正小标宋_GBK" w:hAnsi="方正小标宋_GBK" w:eastAsia="方正小标宋_GBK" w:cs="方正小标宋_GBK"/>
        </w:rPr>
        <w:t>五部分  附表</w:t>
      </w:r>
      <w:bookmarkEnd w:id="47"/>
      <w:bookmarkEnd w:id="49"/>
      <w:bookmarkStart w:id="50" w:name="_Toc15396619"/>
    </w:p>
    <w:p w14:paraId="11FE86BA">
      <w:pPr>
        <w:pStyle w:val="15"/>
        <w:adjustRightInd w:val="0"/>
        <w:snapToGrid w:val="0"/>
        <w:spacing w:line="560" w:lineRule="exact"/>
        <w:jc w:val="left"/>
        <w:rPr>
          <w:rFonts w:eastAsia="方正仿宋_GBK"/>
          <w:sz w:val="32"/>
          <w:szCs w:val="32"/>
        </w:rPr>
      </w:pPr>
    </w:p>
    <w:p w14:paraId="6A5E7506">
      <w:pPr>
        <w:pStyle w:val="15"/>
        <w:adjustRightInd w:val="0"/>
        <w:snapToGrid w:val="0"/>
        <w:spacing w:line="560" w:lineRule="exact"/>
        <w:jc w:val="left"/>
        <w:rPr>
          <w:rFonts w:eastAsia="方正仿宋_GBK"/>
          <w:sz w:val="32"/>
          <w:szCs w:val="32"/>
        </w:rPr>
      </w:pPr>
      <w:r>
        <w:rPr>
          <w:rFonts w:eastAsia="方正仿宋_GBK"/>
          <w:sz w:val="32"/>
          <w:szCs w:val="32"/>
        </w:rPr>
        <w:t>一、收入支出决算总表</w:t>
      </w:r>
      <w:bookmarkEnd w:id="50"/>
    </w:p>
    <w:p w14:paraId="05ACDCBE">
      <w:pPr>
        <w:pStyle w:val="15"/>
        <w:adjustRightInd w:val="0"/>
        <w:snapToGrid w:val="0"/>
        <w:spacing w:line="560" w:lineRule="exact"/>
        <w:jc w:val="left"/>
        <w:rPr>
          <w:rFonts w:eastAsia="方正仿宋_GBK"/>
          <w:sz w:val="32"/>
          <w:szCs w:val="32"/>
        </w:rPr>
      </w:pPr>
      <w:bookmarkStart w:id="51" w:name="_Toc15396620"/>
      <w:r>
        <w:rPr>
          <w:rFonts w:eastAsia="方正仿宋_GBK"/>
          <w:sz w:val="32"/>
          <w:szCs w:val="32"/>
        </w:rPr>
        <w:t>二、收入决算表</w:t>
      </w:r>
      <w:bookmarkEnd w:id="51"/>
    </w:p>
    <w:p w14:paraId="300F4A33">
      <w:pPr>
        <w:pStyle w:val="15"/>
        <w:adjustRightInd w:val="0"/>
        <w:snapToGrid w:val="0"/>
        <w:spacing w:line="560" w:lineRule="exact"/>
        <w:jc w:val="left"/>
        <w:rPr>
          <w:rFonts w:eastAsia="方正仿宋_GBK"/>
          <w:sz w:val="32"/>
          <w:szCs w:val="32"/>
        </w:rPr>
      </w:pPr>
      <w:bookmarkStart w:id="52" w:name="_Toc15396621"/>
      <w:r>
        <w:rPr>
          <w:rFonts w:eastAsia="方正仿宋_GBK"/>
          <w:sz w:val="32"/>
          <w:szCs w:val="32"/>
        </w:rPr>
        <w:t>三、支出决算表</w:t>
      </w:r>
      <w:bookmarkEnd w:id="52"/>
    </w:p>
    <w:p w14:paraId="2F1D6DBA">
      <w:pPr>
        <w:pStyle w:val="15"/>
        <w:adjustRightInd w:val="0"/>
        <w:snapToGrid w:val="0"/>
        <w:spacing w:line="560" w:lineRule="exact"/>
        <w:jc w:val="left"/>
        <w:rPr>
          <w:rFonts w:eastAsia="方正仿宋_GBK"/>
          <w:sz w:val="32"/>
          <w:szCs w:val="32"/>
        </w:rPr>
      </w:pPr>
      <w:bookmarkStart w:id="53" w:name="_Toc15396622"/>
      <w:r>
        <w:rPr>
          <w:rFonts w:eastAsia="方正仿宋_GBK"/>
          <w:sz w:val="32"/>
          <w:szCs w:val="32"/>
        </w:rPr>
        <w:t>四、财政拨款收入支出决算总表</w:t>
      </w:r>
      <w:bookmarkEnd w:id="53"/>
    </w:p>
    <w:p w14:paraId="541770E2">
      <w:pPr>
        <w:pStyle w:val="15"/>
        <w:adjustRightInd w:val="0"/>
        <w:snapToGrid w:val="0"/>
        <w:spacing w:line="560" w:lineRule="exact"/>
        <w:jc w:val="left"/>
        <w:rPr>
          <w:rFonts w:eastAsia="方正仿宋_GBK"/>
          <w:sz w:val="32"/>
          <w:szCs w:val="32"/>
        </w:rPr>
      </w:pPr>
      <w:bookmarkStart w:id="54" w:name="_Toc15396623"/>
      <w:r>
        <w:rPr>
          <w:rFonts w:eastAsia="方正仿宋_GBK"/>
          <w:sz w:val="32"/>
          <w:szCs w:val="32"/>
        </w:rPr>
        <w:t>五、财政拨款支出决算明细表</w:t>
      </w:r>
      <w:bookmarkEnd w:id="54"/>
      <w:bookmarkStart w:id="55" w:name="_Toc15396624"/>
    </w:p>
    <w:p w14:paraId="73C9502E">
      <w:pPr>
        <w:pStyle w:val="15"/>
        <w:adjustRightInd w:val="0"/>
        <w:snapToGrid w:val="0"/>
        <w:spacing w:line="560" w:lineRule="exact"/>
        <w:jc w:val="left"/>
        <w:rPr>
          <w:rFonts w:eastAsia="方正仿宋_GBK"/>
          <w:sz w:val="32"/>
          <w:szCs w:val="32"/>
        </w:rPr>
      </w:pPr>
      <w:r>
        <w:rPr>
          <w:rFonts w:eastAsia="方正仿宋_GBK"/>
          <w:sz w:val="32"/>
          <w:szCs w:val="32"/>
        </w:rPr>
        <w:t>六、一般公共预算财政拨款支出决算表</w:t>
      </w:r>
      <w:bookmarkEnd w:id="55"/>
    </w:p>
    <w:p w14:paraId="1520953D">
      <w:pPr>
        <w:pStyle w:val="15"/>
        <w:adjustRightInd w:val="0"/>
        <w:snapToGrid w:val="0"/>
        <w:spacing w:line="560" w:lineRule="exact"/>
        <w:jc w:val="left"/>
        <w:rPr>
          <w:rFonts w:eastAsia="方正仿宋_GBK"/>
          <w:sz w:val="32"/>
          <w:szCs w:val="32"/>
        </w:rPr>
      </w:pPr>
      <w:bookmarkStart w:id="56" w:name="_Toc15396625"/>
      <w:r>
        <w:rPr>
          <w:rFonts w:eastAsia="方正仿宋_GBK"/>
          <w:sz w:val="32"/>
          <w:szCs w:val="32"/>
        </w:rPr>
        <w:t>七、一般公共预算财政拨款支出决算明细表</w:t>
      </w:r>
      <w:bookmarkEnd w:id="56"/>
    </w:p>
    <w:p w14:paraId="53E45847">
      <w:pPr>
        <w:pStyle w:val="15"/>
        <w:adjustRightInd w:val="0"/>
        <w:snapToGrid w:val="0"/>
        <w:spacing w:line="560" w:lineRule="exact"/>
        <w:jc w:val="left"/>
        <w:rPr>
          <w:rFonts w:eastAsia="方正仿宋_GBK"/>
          <w:sz w:val="32"/>
          <w:szCs w:val="32"/>
        </w:rPr>
      </w:pPr>
      <w:bookmarkStart w:id="57" w:name="_Toc15396626"/>
      <w:r>
        <w:rPr>
          <w:rFonts w:eastAsia="方正仿宋_GBK"/>
          <w:sz w:val="32"/>
          <w:szCs w:val="32"/>
        </w:rPr>
        <w:t>八、一般公共预算财政拨款基本支出决算表</w:t>
      </w:r>
      <w:bookmarkEnd w:id="57"/>
    </w:p>
    <w:p w14:paraId="1AD121A7">
      <w:pPr>
        <w:pStyle w:val="15"/>
        <w:adjustRightInd w:val="0"/>
        <w:snapToGrid w:val="0"/>
        <w:spacing w:line="560" w:lineRule="exact"/>
        <w:jc w:val="left"/>
        <w:rPr>
          <w:rFonts w:eastAsia="方正仿宋_GBK"/>
          <w:sz w:val="32"/>
          <w:szCs w:val="32"/>
        </w:rPr>
      </w:pPr>
      <w:bookmarkStart w:id="58" w:name="_Toc15396627"/>
      <w:r>
        <w:rPr>
          <w:rFonts w:eastAsia="方正仿宋_GBK"/>
          <w:sz w:val="32"/>
          <w:szCs w:val="32"/>
        </w:rPr>
        <w:t>九、一般公共预算财政拨款项目支出决算表</w:t>
      </w:r>
      <w:bookmarkEnd w:id="58"/>
    </w:p>
    <w:p w14:paraId="4632B3F8">
      <w:pPr>
        <w:pStyle w:val="15"/>
        <w:adjustRightInd w:val="0"/>
        <w:snapToGrid w:val="0"/>
        <w:spacing w:line="560" w:lineRule="exact"/>
        <w:jc w:val="left"/>
        <w:rPr>
          <w:rFonts w:eastAsia="方正仿宋_GBK"/>
          <w:sz w:val="32"/>
          <w:szCs w:val="32"/>
        </w:rPr>
      </w:pPr>
      <w:bookmarkStart w:id="59" w:name="_Toc15396628"/>
      <w:r>
        <w:rPr>
          <w:rFonts w:eastAsia="方正仿宋_GBK"/>
          <w:sz w:val="32"/>
          <w:szCs w:val="32"/>
        </w:rPr>
        <w:t>十、</w:t>
      </w:r>
      <w:bookmarkEnd w:id="59"/>
      <w:r>
        <w:rPr>
          <w:rFonts w:eastAsia="方正仿宋_GBK"/>
          <w:sz w:val="32"/>
          <w:szCs w:val="32"/>
        </w:rPr>
        <w:t>政府性基金预算财政拨款收入支出决算表</w:t>
      </w:r>
    </w:p>
    <w:p w14:paraId="5419BF82">
      <w:pPr>
        <w:pStyle w:val="15"/>
        <w:adjustRightInd w:val="0"/>
        <w:snapToGrid w:val="0"/>
        <w:spacing w:line="560" w:lineRule="exact"/>
        <w:jc w:val="left"/>
        <w:rPr>
          <w:rFonts w:eastAsia="方正仿宋_GBK"/>
          <w:sz w:val="32"/>
          <w:szCs w:val="32"/>
        </w:rPr>
      </w:pPr>
      <w:bookmarkStart w:id="60" w:name="_Toc15396629"/>
      <w:r>
        <w:rPr>
          <w:rFonts w:eastAsia="方正仿宋_GBK"/>
          <w:sz w:val="32"/>
          <w:szCs w:val="32"/>
        </w:rPr>
        <w:t>十一、</w:t>
      </w:r>
      <w:bookmarkEnd w:id="60"/>
      <w:r>
        <w:rPr>
          <w:rFonts w:eastAsia="方正仿宋_GBK"/>
          <w:sz w:val="32"/>
          <w:szCs w:val="32"/>
        </w:rPr>
        <w:t>国有资本经营预算财政拨款收入支出决算表</w:t>
      </w:r>
    </w:p>
    <w:p w14:paraId="36821491">
      <w:pPr>
        <w:pStyle w:val="15"/>
        <w:adjustRightInd w:val="0"/>
        <w:snapToGrid w:val="0"/>
        <w:spacing w:line="560" w:lineRule="exact"/>
        <w:jc w:val="left"/>
        <w:rPr>
          <w:rFonts w:eastAsia="方正仿宋_GBK"/>
          <w:sz w:val="32"/>
          <w:szCs w:val="32"/>
        </w:rPr>
      </w:pPr>
      <w:bookmarkStart w:id="61" w:name="_Toc15396630"/>
      <w:r>
        <w:rPr>
          <w:rFonts w:eastAsia="方正仿宋_GBK"/>
          <w:sz w:val="32"/>
          <w:szCs w:val="32"/>
        </w:rPr>
        <w:t>十二、</w:t>
      </w:r>
      <w:bookmarkEnd w:id="61"/>
      <w:r>
        <w:rPr>
          <w:rFonts w:eastAsia="方正仿宋_GBK"/>
          <w:sz w:val="32"/>
          <w:szCs w:val="32"/>
        </w:rPr>
        <w:t>国有资本经营预算财政拨款支出决算表</w:t>
      </w:r>
    </w:p>
    <w:p w14:paraId="6AB3EDB7">
      <w:pPr>
        <w:pStyle w:val="15"/>
        <w:adjustRightInd w:val="0"/>
        <w:snapToGrid w:val="0"/>
        <w:spacing w:line="560" w:lineRule="exact"/>
        <w:jc w:val="left"/>
        <w:rPr>
          <w:rFonts w:eastAsia="方正仿宋_GBK"/>
          <w:sz w:val="32"/>
          <w:szCs w:val="32"/>
        </w:rPr>
      </w:pPr>
      <w:bookmarkStart w:id="62" w:name="_Toc15396631"/>
      <w:r>
        <w:rPr>
          <w:rFonts w:eastAsia="方正仿宋_GBK"/>
          <w:sz w:val="32"/>
          <w:szCs w:val="32"/>
        </w:rPr>
        <w:t>十三、</w:t>
      </w:r>
      <w:bookmarkEnd w:id="62"/>
      <w:r>
        <w:rPr>
          <w:rFonts w:eastAsia="方正仿宋_GBK"/>
          <w:sz w:val="32"/>
          <w:szCs w:val="32"/>
        </w:rPr>
        <w:t>财政拨款“三公”经费支出决算表</w:t>
      </w:r>
    </w:p>
    <w:p w14:paraId="7888E86F">
      <w:pPr>
        <w:rPr>
          <w:rFonts w:eastAsia="方正仿宋_GBK"/>
          <w:sz w:val="32"/>
          <w:szCs w:val="32"/>
        </w:rPr>
      </w:pPr>
    </w:p>
    <w:sectPr>
      <w:footerReference r:id="rId8" w:type="first"/>
      <w:footerReference r:id="rId7" w:type="default"/>
      <w:pgSz w:w="11906" w:h="16838"/>
      <w:pgMar w:top="2098" w:right="1474" w:bottom="1984" w:left="1587" w:header="907" w:footer="1644" w:gutter="0"/>
      <w:pgNumType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17BF5">
    <w:pPr>
      <w:pStyle w:val="11"/>
      <w:jc w:val="center"/>
    </w:pPr>
  </w:p>
  <w:p w14:paraId="431D7F7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319A4">
    <w:pPr>
      <w:pStyle w:val="11"/>
      <w:jc w:val="center"/>
    </w:pPr>
  </w:p>
  <w:p w14:paraId="558525DF">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3B67">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F50AE">
    <w:pPr>
      <w:pStyle w:val="11"/>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563BB">
                          <w:pPr>
                            <w:pStyle w:val="1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5DC563BB">
                    <w:pPr>
                      <w:pStyle w:val="1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37456018">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E3E54">
    <w:pPr>
      <w:pStyle w:val="11"/>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387CD">
                          <w:pPr>
                            <w:pStyle w:val="1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D2387CD">
                    <w:pPr>
                      <w:pStyle w:val="1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40F48">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ZDVmMTI1ZWI2YWFjMjQ1MzJhMzY5MTg2YjQ2OTQifQ=="/>
  </w:docVars>
  <w:rsids>
    <w:rsidRoot w:val="00F1361C"/>
    <w:rsid w:val="000222C6"/>
    <w:rsid w:val="0002549F"/>
    <w:rsid w:val="000376E4"/>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47F12"/>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7D0"/>
    <w:rsid w:val="002B2613"/>
    <w:rsid w:val="002B51F8"/>
    <w:rsid w:val="002D6D05"/>
    <w:rsid w:val="002F1818"/>
    <w:rsid w:val="002F567B"/>
    <w:rsid w:val="003216A9"/>
    <w:rsid w:val="00335A74"/>
    <w:rsid w:val="0036561B"/>
    <w:rsid w:val="0037013F"/>
    <w:rsid w:val="0037413C"/>
    <w:rsid w:val="003761E7"/>
    <w:rsid w:val="00380C92"/>
    <w:rsid w:val="003A484F"/>
    <w:rsid w:val="003A4883"/>
    <w:rsid w:val="003B0BE0"/>
    <w:rsid w:val="003B0C1B"/>
    <w:rsid w:val="003B688C"/>
    <w:rsid w:val="003C0291"/>
    <w:rsid w:val="003C39AE"/>
    <w:rsid w:val="003C7B60"/>
    <w:rsid w:val="003D0C0F"/>
    <w:rsid w:val="003D1FB2"/>
    <w:rsid w:val="003D25C0"/>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664BB"/>
    <w:rsid w:val="00566FFA"/>
    <w:rsid w:val="0057481D"/>
    <w:rsid w:val="005817F3"/>
    <w:rsid w:val="0058486E"/>
    <w:rsid w:val="00585B33"/>
    <w:rsid w:val="0059014D"/>
    <w:rsid w:val="005B5C64"/>
    <w:rsid w:val="005C5337"/>
    <w:rsid w:val="005C6BD0"/>
    <w:rsid w:val="005D0FAD"/>
    <w:rsid w:val="005D1C8B"/>
    <w:rsid w:val="005D468D"/>
    <w:rsid w:val="005D5CED"/>
    <w:rsid w:val="005F1A4C"/>
    <w:rsid w:val="00605688"/>
    <w:rsid w:val="006070AF"/>
    <w:rsid w:val="00607712"/>
    <w:rsid w:val="00607E6C"/>
    <w:rsid w:val="006101B1"/>
    <w:rsid w:val="00614E44"/>
    <w:rsid w:val="006209B7"/>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261E1"/>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23F12"/>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17B8F"/>
    <w:rsid w:val="00A237D8"/>
    <w:rsid w:val="00A268C4"/>
    <w:rsid w:val="00A307CD"/>
    <w:rsid w:val="00A30CD2"/>
    <w:rsid w:val="00A331C8"/>
    <w:rsid w:val="00A40A00"/>
    <w:rsid w:val="00A4142F"/>
    <w:rsid w:val="00A422EB"/>
    <w:rsid w:val="00A45BB7"/>
    <w:rsid w:val="00A56DF2"/>
    <w:rsid w:val="00A56E6E"/>
    <w:rsid w:val="00A67AB5"/>
    <w:rsid w:val="00A733B2"/>
    <w:rsid w:val="00A741C2"/>
    <w:rsid w:val="00A8103C"/>
    <w:rsid w:val="00A91760"/>
    <w:rsid w:val="00A92DD8"/>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924E3"/>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0960"/>
    <w:rsid w:val="00DA634F"/>
    <w:rsid w:val="00DA65AC"/>
    <w:rsid w:val="00DB1913"/>
    <w:rsid w:val="00DC410D"/>
    <w:rsid w:val="00DC5A81"/>
    <w:rsid w:val="00DC68CA"/>
    <w:rsid w:val="00DC7CBA"/>
    <w:rsid w:val="00DD549B"/>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2FAA"/>
    <w:rsid w:val="00F754A1"/>
    <w:rsid w:val="00F81FD9"/>
    <w:rsid w:val="00F841AA"/>
    <w:rsid w:val="00F84A94"/>
    <w:rsid w:val="00F87E96"/>
    <w:rsid w:val="00FA23E8"/>
    <w:rsid w:val="00FD3CC1"/>
    <w:rsid w:val="00FE6FE8"/>
    <w:rsid w:val="00FF1E02"/>
    <w:rsid w:val="00FF30B4"/>
    <w:rsid w:val="012A5EC2"/>
    <w:rsid w:val="015975B8"/>
    <w:rsid w:val="02FEBE30"/>
    <w:rsid w:val="04916F1E"/>
    <w:rsid w:val="061E35DE"/>
    <w:rsid w:val="066E0107"/>
    <w:rsid w:val="07996F6E"/>
    <w:rsid w:val="07DFD8BA"/>
    <w:rsid w:val="09867E8F"/>
    <w:rsid w:val="0A2032A3"/>
    <w:rsid w:val="0A9D21CB"/>
    <w:rsid w:val="0CA8290A"/>
    <w:rsid w:val="0D35B1ED"/>
    <w:rsid w:val="0E254B6B"/>
    <w:rsid w:val="0F98263C"/>
    <w:rsid w:val="101860EC"/>
    <w:rsid w:val="101F47CC"/>
    <w:rsid w:val="10C055FF"/>
    <w:rsid w:val="11694EBD"/>
    <w:rsid w:val="11772AA4"/>
    <w:rsid w:val="118107EC"/>
    <w:rsid w:val="11C35C2D"/>
    <w:rsid w:val="12E24EE2"/>
    <w:rsid w:val="136C30F6"/>
    <w:rsid w:val="13D50BC4"/>
    <w:rsid w:val="14B17F78"/>
    <w:rsid w:val="165E0673"/>
    <w:rsid w:val="16B831D5"/>
    <w:rsid w:val="16BB723D"/>
    <w:rsid w:val="17E50567"/>
    <w:rsid w:val="183E63AD"/>
    <w:rsid w:val="186504BB"/>
    <w:rsid w:val="19A445FC"/>
    <w:rsid w:val="1BE8440E"/>
    <w:rsid w:val="1CC6347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A807B0"/>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32C6FCD"/>
    <w:rsid w:val="44E268DA"/>
    <w:rsid w:val="450D13D7"/>
    <w:rsid w:val="45506656"/>
    <w:rsid w:val="486A6C7A"/>
    <w:rsid w:val="4A627F82"/>
    <w:rsid w:val="4B0E749A"/>
    <w:rsid w:val="4B2477C4"/>
    <w:rsid w:val="4B4F25DA"/>
    <w:rsid w:val="4BE068DB"/>
    <w:rsid w:val="4C765FE7"/>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735481"/>
    <w:rsid w:val="6BDD78B3"/>
    <w:rsid w:val="6C4A05C8"/>
    <w:rsid w:val="6C5648C6"/>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731F5E"/>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65CA4"/>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Normal Indent1"/>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正文-公1"/>
    <w:basedOn w:val="37"/>
    <w:next w:val="1"/>
    <w:qFormat/>
    <w:uiPriority w:val="0"/>
    <w:pPr>
      <w:ind w:firstLine="200" w:firstLineChars="200"/>
    </w:pPr>
  </w:style>
  <w:style w:type="paragraph" w:customStyle="1" w:styleId="3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6"/>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image" Target="media/image1.png"/><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6700;&#38754;-D\2024&#24180;&#20915;&#31639;&#36164;&#26009;-2025&#24180;1&#26376;13&#26085;\&#25919;&#24220;&#21150;2024&#24180;&#20915;&#31639;&#25253;&#21578;&#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6700;&#38754;-D\2024&#24180;&#20915;&#31639;&#36164;&#26009;-2025&#24180;1&#26376;13&#26085;\&#25919;&#24220;&#21150;2024&#24180;&#20915;&#31639;&#25253;&#21578;&#22270;&#34920;.xls" TargetMode="External"/></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oleObject" Target="file:///D:\&#26700;&#38754;-D\2024&#24180;&#20915;&#31639;&#36164;&#26009;-2025&#24180;1&#26376;13&#26085;\&#25919;&#24220;&#21150;2024&#24180;&#20915;&#31639;&#25253;&#21578;&#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6700;&#38754;-D\2024&#24180;&#20915;&#31639;&#36164;&#26009;-2025&#24180;1&#26376;13&#26085;\&#25919;&#24220;&#21150;2024&#24180;&#20915;&#31639;&#25253;&#21578;&#22270;&#34920;.xls" TargetMode="External"/></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zh-CN" altLang="en-US" sz="1200" b="0" i="0" u="none" strike="noStrike" baseline="0">
                <a:solidFill>
                  <a:srgbClr val="333333"/>
                </a:solidFill>
                <a:latin typeface="宋体" panose="02010600030101010101" charset="-122"/>
                <a:ea typeface="宋体" panose="02010600030101010101" charset="-122"/>
                <a:cs typeface="宋体" panose="02010600030101010101" charset="-122"/>
              </a:rPr>
              <a:t>图</a:t>
            </a:r>
            <a:r>
              <a:rPr lang="en-US" altLang="zh-CN" sz="12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1     </a:t>
            </a:r>
            <a:r>
              <a:rPr lang="zh-CN" altLang="en-US" sz="1200" b="0" i="0" u="none" strike="noStrike" baseline="0">
                <a:solidFill>
                  <a:srgbClr val="333333"/>
                </a:solidFill>
                <a:latin typeface="宋体" panose="02010600030101010101" charset="-122"/>
                <a:ea typeface="宋体" panose="02010600030101010101" charset="-122"/>
                <a:cs typeface="宋体" panose="02010600030101010101" charset="-122"/>
              </a:rPr>
              <a:t>收、支决算总计变动情况表    单位：万元</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47708333333333"/>
          <c:y val="0.0222222222222222"/>
        </c:manualLayout>
      </c:layout>
      <c:overlay val="0"/>
      <c:spPr>
        <a:noFill/>
        <a:ln>
          <a:noFill/>
        </a:ln>
        <a:effectLst/>
      </c:spPr>
    </c:title>
    <c:autoTitleDeleted val="0"/>
    <c:plotArea>
      <c:layout/>
      <c:barChart>
        <c:barDir val="col"/>
        <c:grouping val="clustered"/>
        <c:varyColors val="0"/>
        <c:ser>
          <c:idx val="0"/>
          <c:order val="0"/>
          <c:tx>
            <c:strRef>
              <c:f>[政府办2024年决算报告图表.xls]Sheet1!$A$4</c:f>
              <c:strCache>
                <c:ptCount val="1"/>
                <c:pt idx="0">
                  <c:v>2023</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[政府办2024年决算报告图表.xls]Sheet1!$B$3:$C$3</c:f>
              <c:strCache>
                <c:ptCount val="2"/>
                <c:pt idx="0">
                  <c:v>收入决算总计</c:v>
                </c:pt>
                <c:pt idx="1">
                  <c:v>支出决算总计</c:v>
                </c:pt>
              </c:strCache>
            </c:strRef>
          </c:cat>
          <c:val>
            <c:numRef>
              <c:f>[政府办2024年决算报告图表.xls]Sheet1!$B$4:$C$4</c:f>
              <c:numCache>
                <c:formatCode>General</c:formatCode>
                <c:ptCount val="2"/>
                <c:pt idx="0">
                  <c:v>1399.52</c:v>
                </c:pt>
                <c:pt idx="1">
                  <c:v>1399.52</c:v>
                </c:pt>
              </c:numCache>
            </c:numRef>
          </c:val>
        </c:ser>
        <c:ser>
          <c:idx val="1"/>
          <c:order val="1"/>
          <c:tx>
            <c:strRef>
              <c:f>[政府办2024年决算报告图表.xls]Sheet1!$A$5</c:f>
              <c:strCache>
                <c:ptCount val="1"/>
                <c:pt idx="0">
                  <c:v>2024</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[政府办2024年决算报告图表.xls]Sheet1!$B$3:$C$3</c:f>
              <c:strCache>
                <c:ptCount val="2"/>
                <c:pt idx="0">
                  <c:v>收入决算总计</c:v>
                </c:pt>
                <c:pt idx="1">
                  <c:v>支出决算总计</c:v>
                </c:pt>
              </c:strCache>
            </c:strRef>
          </c:cat>
          <c:val>
            <c:numRef>
              <c:f>[政府办2024年决算报告图表.xls]Sheet1!$B$5:$C$5</c:f>
              <c:numCache>
                <c:formatCode>General</c:formatCode>
                <c:ptCount val="2"/>
                <c:pt idx="0">
                  <c:v>1040.17</c:v>
                </c:pt>
                <c:pt idx="1">
                  <c:v>1040.17</c:v>
                </c:pt>
              </c:numCache>
            </c:numRef>
          </c:val>
        </c:ser>
        <c:dLbls>
          <c:showLegendKey val="0"/>
          <c:showVal val="0"/>
          <c:showCatName val="0"/>
          <c:showSerName val="0"/>
          <c:showPercent val="0"/>
          <c:showBubbleSize val="0"/>
        </c:dLbls>
        <c:gapWidth val="219"/>
        <c:overlap val="-27"/>
        <c:axId val="335288192"/>
        <c:axId val="429896832"/>
      </c:barChart>
      <c:catAx>
        <c:axId val="335288192"/>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29896832"/>
        <c:crosses val="autoZero"/>
        <c:auto val="1"/>
        <c:lblAlgn val="ctr"/>
        <c:lblOffset val="100"/>
        <c:noMultiLvlLbl val="0"/>
      </c:catAx>
      <c:valAx>
        <c:axId val="429896832"/>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352881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28c24c5d-ce3c-46ae-b5d4-93fb71483fb1}"/>
      </c:ext>
    </c:extLst>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57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000000"/>
                </a:solidFill>
                <a:latin typeface="宋体" panose="02010600030101010101" charset="-122"/>
                <a:ea typeface="宋体" panose="02010600030101010101" charset="-122"/>
                <a:cs typeface="宋体" panose="02010600030101010101" charset="-122"/>
              </a:rPr>
              <a:t>2    </a:t>
            </a:r>
            <a:r>
              <a:rPr lang="zh-CN" altLang="en-US" sz="1400" b="0" i="0" u="none" strike="noStrike" baseline="0">
                <a:solidFill>
                  <a:srgbClr val="000000"/>
                </a:solidFill>
                <a:latin typeface="宋体" panose="02010600030101010101" charset="-122"/>
                <a:ea typeface="宋体" panose="02010600030101010101" charset="-122"/>
                <a:cs typeface="宋体" panose="02010600030101010101" charset="-122"/>
              </a:rPr>
              <a:t>收入决算结构图    </a:t>
            </a:r>
            <a:r>
              <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rPr>
              <a:t>单位：万元</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337602320955515"/>
          <c:y val="0.034412955465587"/>
        </c:manualLayout>
      </c:layout>
      <c:overlay val="0"/>
    </c:title>
    <c:autoTitleDeleted val="0"/>
    <c:plotArea>
      <c:layout>
        <c:manualLayout>
          <c:layoutTarget val="inner"/>
          <c:xMode val="edge"/>
          <c:yMode val="edge"/>
          <c:x val="0.216531157532317"/>
          <c:y val="0.350202429149798"/>
          <c:w val="0.244470661730036"/>
          <c:h val="0.425101214574899"/>
        </c:manualLayout>
      </c:layout>
      <c:pieChart>
        <c:varyColors val="1"/>
        <c:ser>
          <c:idx val="0"/>
          <c:order val="0"/>
          <c:spPr>
            <a:solidFill>
              <a:srgbClr val="9999FF">
                <a:alpha val="100000"/>
              </a:srgbClr>
            </a:solidFill>
            <a:ln w="12700">
              <a:solidFill>
                <a:srgbClr val="000000">
                  <a:alpha val="100000"/>
                </a:srgbClr>
              </a:solidFill>
              <a:prstDash val="solid"/>
            </a:ln>
          </c:spPr>
          <c:explosion val="0"/>
          <c:dPt>
            <c:idx val="0"/>
            <c:bubble3D val="0"/>
            <c:spPr>
              <a:solidFill>
                <a:srgbClr val="9999FF">
                  <a:alpha val="100000"/>
                </a:srgbClr>
              </a:solidFill>
              <a:ln w="12700">
                <a:solidFill>
                  <a:srgbClr val="000000">
                    <a:alpha val="100000"/>
                  </a:srgbClr>
                </a:solidFill>
                <a:prstDash val="solid"/>
              </a:ln>
            </c:spPr>
          </c:dPt>
          <c:dPt>
            <c:idx val="1"/>
            <c:bubble3D val="0"/>
            <c:spPr>
              <a:solidFill>
                <a:srgbClr val="993366">
                  <a:alpha val="100000"/>
                </a:srgbClr>
              </a:solidFill>
              <a:ln w="12700">
                <a:solidFill>
                  <a:srgbClr val="000000">
                    <a:alpha val="100000"/>
                  </a:srgbClr>
                </a:solidFill>
                <a:prstDash val="solid"/>
              </a:ln>
            </c:spPr>
          </c:dPt>
          <c:dPt>
            <c:idx val="2"/>
            <c:bubble3D val="0"/>
            <c:spPr>
              <a:solidFill>
                <a:srgbClr val="FFFFCC">
                  <a:alpha val="100000"/>
                </a:srgbClr>
              </a:solidFill>
              <a:ln w="12700">
                <a:solidFill>
                  <a:srgbClr val="000000">
                    <a:alpha val="100000"/>
                  </a:srgbClr>
                </a:solidFill>
                <a:prstDash val="solid"/>
              </a:ln>
            </c:spPr>
          </c:dPt>
          <c:dPt>
            <c:idx val="3"/>
            <c:bubble3D val="0"/>
            <c:spPr>
              <a:solidFill>
                <a:srgbClr val="CCFFFF">
                  <a:alpha val="100000"/>
                </a:srgbClr>
              </a:solidFill>
              <a:ln w="12700">
                <a:solidFill>
                  <a:srgbClr val="000000">
                    <a:alpha val="100000"/>
                  </a:srgbClr>
                </a:solidFill>
                <a:prstDash val="solid"/>
              </a:ln>
            </c:spPr>
          </c:dPt>
          <c:dPt>
            <c:idx val="4"/>
            <c:bubble3D val="0"/>
            <c:spPr>
              <a:solidFill>
                <a:srgbClr val="660066">
                  <a:alpha val="100000"/>
                </a:srgbClr>
              </a:solidFill>
              <a:ln w="12700">
                <a:solidFill>
                  <a:srgbClr val="000000">
                    <a:alpha val="100000"/>
                  </a:srgbClr>
                </a:solidFill>
                <a:prstDash val="solid"/>
              </a:ln>
            </c:spPr>
          </c:dPt>
          <c:dPt>
            <c:idx val="5"/>
            <c:bubble3D val="0"/>
            <c:spPr>
              <a:solidFill>
                <a:srgbClr val="FF8080">
                  <a:alpha val="100000"/>
                </a:srgbClr>
              </a:solidFill>
              <a:ln w="12700">
                <a:solidFill>
                  <a:srgbClr val="000000">
                    <a:alpha val="100000"/>
                  </a:srgbClr>
                </a:solidFill>
                <a:prstDash val="solid"/>
              </a:ln>
            </c:spPr>
          </c:dPt>
          <c:dLbls>
            <c:numFmt formatCode="0%" sourceLinked="0"/>
            <c:spPr>
              <a:noFill/>
              <a:ln w="3175">
                <a:noFill/>
              </a:ln>
              <a:effectLst/>
            </c:spPr>
            <c:txPr>
              <a:bodyPr rot="0" spcFirstLastPara="0" vertOverflow="ellipsis" vert="horz" wrap="square" lIns="38100" tIns="19050" rIns="38100" bIns="19050" anchor="ctr" anchorCtr="1"/>
              <a:lstStyle/>
              <a:p>
                <a:pPr>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[政府办2024年决算报告图表.xls]Sheet1!$B$20:$B$25</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年初财政拨款结转和结余</c:v>
                </c:pt>
              </c:strCache>
            </c:strRef>
          </c:cat>
          <c:val>
            <c:numRef>
              <c:f>[政府办2024年决算报告图表.xls]Sheet1!$C$20:$C$25</c:f>
              <c:numCache>
                <c:formatCode>General</c:formatCode>
                <c:ptCount val="6"/>
                <c:pt idx="0">
                  <c:v>1040.17</c:v>
                </c:pt>
                <c:pt idx="1">
                  <c:v>0</c:v>
                </c:pt>
                <c:pt idx="2">
                  <c:v>0</c:v>
                </c:pt>
                <c:pt idx="3">
                  <c:v>0</c:v>
                </c:pt>
                <c:pt idx="4">
                  <c:v>0</c:v>
                </c:pt>
                <c:pt idx="5">
                  <c:v>0</c:v>
                </c:pt>
              </c:numCache>
            </c:numRef>
          </c:val>
        </c:ser>
        <c:ser>
          <c:idx val="1"/>
          <c:order val="1"/>
          <c:spPr>
            <a:solidFill>
              <a:srgbClr val="993366">
                <a:alpha val="100000"/>
              </a:srgbClr>
            </a:solidFill>
            <a:ln w="12700">
              <a:solidFill>
                <a:srgbClr val="000000">
                  <a:alpha val="100000"/>
                </a:srgbClr>
              </a:solidFill>
              <a:prstDash val="solid"/>
            </a:ln>
          </c:spPr>
          <c:explosion val="0"/>
          <c:dPt>
            <c:idx val="0"/>
            <c:bubble3D val="0"/>
            <c:spPr>
              <a:solidFill>
                <a:srgbClr val="9999FF">
                  <a:alpha val="100000"/>
                </a:srgbClr>
              </a:solidFill>
              <a:ln w="12700">
                <a:solidFill>
                  <a:srgbClr val="000000">
                    <a:alpha val="100000"/>
                  </a:srgbClr>
                </a:solidFill>
                <a:prstDash val="solid"/>
              </a:ln>
            </c:spPr>
          </c:dPt>
          <c:dPt>
            <c:idx val="1"/>
            <c:bubble3D val="0"/>
            <c:spPr>
              <a:solidFill>
                <a:srgbClr val="993366">
                  <a:alpha val="100000"/>
                </a:srgbClr>
              </a:solidFill>
              <a:ln w="12700">
                <a:solidFill>
                  <a:srgbClr val="000000">
                    <a:alpha val="100000"/>
                  </a:srgbClr>
                </a:solidFill>
                <a:prstDash val="solid"/>
              </a:ln>
            </c:spPr>
          </c:dPt>
          <c:dPt>
            <c:idx val="2"/>
            <c:bubble3D val="0"/>
            <c:spPr>
              <a:solidFill>
                <a:srgbClr val="FFFFCC">
                  <a:alpha val="100000"/>
                </a:srgbClr>
              </a:solidFill>
              <a:ln w="12700">
                <a:solidFill>
                  <a:srgbClr val="000000">
                    <a:alpha val="100000"/>
                  </a:srgbClr>
                </a:solidFill>
                <a:prstDash val="solid"/>
              </a:ln>
            </c:spPr>
          </c:dPt>
          <c:dPt>
            <c:idx val="3"/>
            <c:bubble3D val="0"/>
            <c:spPr>
              <a:solidFill>
                <a:srgbClr val="CCFFFF">
                  <a:alpha val="100000"/>
                </a:srgbClr>
              </a:solidFill>
              <a:ln w="12700">
                <a:solidFill>
                  <a:srgbClr val="000000">
                    <a:alpha val="100000"/>
                  </a:srgbClr>
                </a:solidFill>
                <a:prstDash val="solid"/>
              </a:ln>
            </c:spPr>
          </c:dPt>
          <c:dPt>
            <c:idx val="4"/>
            <c:bubble3D val="0"/>
            <c:spPr>
              <a:solidFill>
                <a:srgbClr val="660066">
                  <a:alpha val="100000"/>
                </a:srgbClr>
              </a:solidFill>
              <a:ln w="12700">
                <a:solidFill>
                  <a:srgbClr val="000000">
                    <a:alpha val="100000"/>
                  </a:srgbClr>
                </a:solidFill>
                <a:prstDash val="solid"/>
              </a:ln>
            </c:spPr>
          </c:dPt>
          <c:dPt>
            <c:idx val="5"/>
            <c:bubble3D val="0"/>
            <c:spPr>
              <a:solidFill>
                <a:srgbClr val="FF8080">
                  <a:alpha val="100000"/>
                </a:srgbClr>
              </a:solidFill>
              <a:ln w="12700">
                <a:solidFill>
                  <a:srgbClr val="000000">
                    <a:alpha val="100000"/>
                  </a:srgbClr>
                </a:solidFill>
                <a:prstDash val="solid"/>
              </a:ln>
            </c:spPr>
          </c:dPt>
          <c:dLbls>
            <c:delete val="1"/>
          </c:dLbls>
          <c:cat>
            <c:strRef>
              <c:f>[政府办2024年决算报告图表.xls]Sheet1!$B$20:$B$25</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年初财政拨款结转和结余</c:v>
                </c:pt>
              </c:strCache>
            </c:strRef>
          </c:cat>
          <c:val>
            <c:numRef>
              <c:f>[政府办2024年决算报告图表.xls]Sheet1!$D$20:$D$25</c:f>
              <c:numCache>
                <c:formatCode>0%</c:formatCode>
                <c:ptCount val="6"/>
                <c:pt idx="0">
                  <c:v>1</c:v>
                </c:pt>
                <c:pt idx="1">
                  <c:v>0</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7171220884933"/>
          <c:y val="0.240890688259109"/>
          <c:w val="0.3215"/>
          <c:h val="0.661"/>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8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c00f7213-895d-4b52-aa18-17b8c7da9bb0}"/>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17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rPr>
              <a:t>图</a:t>
            </a:r>
            <a:r>
              <a:rPr lang="en-US" altLang="zh-CN" sz="1400" b="0" i="0" u="none" strike="noStrike" baseline="0">
                <a:solidFill>
                  <a:srgbClr val="000000"/>
                </a:solidFill>
                <a:latin typeface="宋体" panose="02010600030101010101" charset="-122"/>
                <a:ea typeface="宋体" panose="02010600030101010101" charset="-122"/>
              </a:rPr>
              <a:t>4    </a:t>
            </a:r>
            <a:r>
              <a:rPr lang="zh-CN" altLang="en-US" sz="1400" b="0" i="0" u="none" strike="noStrike" baseline="0">
                <a:solidFill>
                  <a:srgbClr val="000000"/>
                </a:solidFill>
                <a:latin typeface="宋体" panose="02010600030101010101" charset="-122"/>
                <a:ea typeface="宋体" panose="02010600030101010101" charset="-122"/>
              </a:rPr>
              <a:t>财政拨款收、支总计决算变动情况</a:t>
            </a:r>
            <a:endParaRPr lang="zh-CN" altLang="en-US" sz="1400" b="0" i="0" u="none" strike="noStrike" baseline="0">
              <a:solidFill>
                <a:srgbClr val="000000"/>
              </a:solidFill>
              <a:latin typeface="宋体" panose="02010600030101010101" charset="-122"/>
              <a:ea typeface="宋体" panose="02010600030101010101" charset="-122"/>
            </a:endParaRPr>
          </a:p>
        </c:rich>
      </c:tx>
      <c:layout/>
      <c:overlay val="0"/>
      <c:spPr>
        <a:noFill/>
        <a:ln w="25400">
          <a:noFill/>
        </a:ln>
      </c:spPr>
    </c:title>
    <c:autoTitleDeleted val="0"/>
    <c:plotArea>
      <c:layout/>
      <c:barChart>
        <c:barDir val="col"/>
        <c:grouping val="clustered"/>
        <c:varyColors val="0"/>
        <c:ser>
          <c:idx val="0"/>
          <c:order val="0"/>
          <c:tx>
            <c:strRef>
              <c:f>Sheet1!$A$168</c:f>
              <c:strCache>
                <c:ptCount val="1"/>
                <c:pt idx="0">
                  <c:v>财政拨款收入、支出总计</c:v>
                </c:pt>
              </c:strCache>
            </c:strRef>
          </c:tx>
          <c:spPr>
            <a:solidFill>
              <a:srgbClr val="9999FF"/>
            </a:solidFill>
            <a:ln w="12700">
              <a:solidFill>
                <a:srgbClr val="000000">
                  <a:alpha val="100000"/>
                </a:srgbClr>
              </a:solidFill>
              <a:prstDash val="solid"/>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Sheet1!$B$164:$C$164</c:f>
              <c:strCache>
                <c:ptCount val="2"/>
                <c:pt idx="0">
                  <c:v>2023年</c:v>
                </c:pt>
                <c:pt idx="1">
                  <c:v>2024年</c:v>
                </c:pt>
              </c:strCache>
            </c:strRef>
          </c:cat>
          <c:val>
            <c:numRef>
              <c:f>Sheet1!$B$165:$C$165</c:f>
              <c:numCache>
                <c:formatCode>General</c:formatCode>
                <c:ptCount val="2"/>
                <c:pt idx="0">
                  <c:v>1399.52</c:v>
                </c:pt>
                <c:pt idx="1">
                  <c:v>1040.17</c:v>
                </c:pt>
              </c:numCache>
            </c:numRef>
          </c:val>
        </c:ser>
        <c:dLbls>
          <c:showLegendKey val="0"/>
          <c:showVal val="0"/>
          <c:showCatName val="0"/>
          <c:showSerName val="0"/>
          <c:showPercent val="0"/>
          <c:showBubbleSize val="0"/>
        </c:dLbls>
        <c:gapWidth val="150"/>
        <c:axId val="335304192"/>
        <c:axId val="335305728"/>
      </c:barChart>
      <c:catAx>
        <c:axId val="335304192"/>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35305728"/>
        <c:crosses val="autoZero"/>
        <c:auto val="1"/>
        <c:lblAlgn val="ctr"/>
        <c:lblOffset val="100"/>
        <c:noMultiLvlLbl val="0"/>
      </c:catAx>
      <c:valAx>
        <c:axId val="335305728"/>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35304192"/>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702499971676202"/>
          <c:y val="0.504249938370963"/>
          <c:w val="0.291000056647595"/>
          <c:h val="0.140957541079069"/>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fa8acdc3-388f-40ff-b0fc-c51f35237938}"/>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en-US" sz="1375" b="0" i="0" u="none" strike="noStrike" baseline="0">
                <a:solidFill>
                  <a:srgbClr val="000000"/>
                </a:solidFill>
                <a:latin typeface="宋体" panose="02010600030101010101" charset="-122"/>
                <a:ea typeface="宋体" panose="02010600030101010101" charset="-122"/>
                <a:cs typeface="宋体" panose="02010600030101010101" charset="-122"/>
              </a:rPr>
              <a:t>图</a:t>
            </a:r>
            <a:r>
              <a:rPr lang="en-US" altLang="zh-CN" sz="1375" b="0" i="0" u="none" strike="noStrike" baseline="0">
                <a:solidFill>
                  <a:srgbClr val="000000"/>
                </a:solidFill>
                <a:latin typeface="宋体" panose="02010600030101010101" charset="-122"/>
                <a:ea typeface="宋体" panose="02010600030101010101" charset="-122"/>
                <a:cs typeface="宋体" panose="02010600030101010101" charset="-122"/>
              </a:rPr>
              <a:t>5</a:t>
            </a:r>
            <a:r>
              <a:rPr lang="zh-CN" altLang="en-US" sz="1375" b="0" i="0" u="none" strike="noStrike" baseline="0">
                <a:solidFill>
                  <a:srgbClr val="000000"/>
                </a:solidFill>
                <a:latin typeface="宋体" panose="02010600030101010101" charset="-122"/>
                <a:ea typeface="宋体" panose="02010600030101010101" charset="-122"/>
                <a:cs typeface="宋体" panose="02010600030101010101" charset="-122"/>
              </a:rPr>
              <a:t>   一般公共预算财政拨款收入、支出决算变动情况图         </a:t>
            </a:r>
            <a:r>
              <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rPr>
              <a:t>单位：万元</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90588389686583"/>
          <c:y val="0.0346233090032103"/>
        </c:manualLayout>
      </c:layout>
      <c:overlay val="0"/>
      <c:spPr>
        <a:noFill/>
        <a:ln w="3175">
          <a:noFill/>
        </a:ln>
      </c:spPr>
    </c:title>
    <c:autoTitleDeleted val="0"/>
    <c:plotArea>
      <c:layout>
        <c:manualLayout>
          <c:layoutTarget val="inner"/>
          <c:xMode val="edge"/>
          <c:yMode val="edge"/>
          <c:x val="0.257438388295965"/>
          <c:y val="0.17718982406664"/>
          <c:w val="0.572941752440296"/>
          <c:h val="0.682282585698648"/>
        </c:manualLayout>
      </c:layout>
      <c:barChart>
        <c:barDir val="col"/>
        <c:grouping val="clustered"/>
        <c:varyColors val="0"/>
        <c:ser>
          <c:idx val="0"/>
          <c:order val="0"/>
          <c:tx>
            <c:strRef>
              <c:f>[政府办2024年决算报告图表.xls]Sheet1!#REF!</c:f>
              <c:strCache>
                <c:ptCount val="1"/>
                <c:pt idx="0">
                  <c:v/>
                </c:pt>
              </c:strCache>
            </c:strRef>
          </c:tx>
          <c:spPr>
            <a:solidFill>
              <a:srgbClr val="9999FF">
                <a:alpha val="100000"/>
              </a:srgbClr>
            </a:solidFill>
            <a:ln w="12700">
              <a:solidFill>
                <a:srgbClr val="000000">
                  <a:alpha val="100000"/>
                </a:srgbClr>
              </a:solidFill>
              <a:prstDash val="solid"/>
            </a:ln>
          </c:spPr>
          <c:invertIfNegative val="0"/>
          <c:dLbls>
            <c:spPr>
              <a:noFill/>
              <a:ln w="3175">
                <a:noFill/>
              </a:ln>
              <a:effectLst/>
            </c:spPr>
            <c:txPr>
              <a:bodyPr rot="0" spcFirstLastPara="0" vertOverflow="ellipsis" vert="horz" wrap="square" lIns="38100" tIns="19050" rIns="38100" bIns="19050" anchor="ctr" anchorCtr="1"/>
              <a:lstStyle/>
              <a:p>
                <a:pPr>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[政府办2024年决算报告图表.xls]Sheet1!$B$101:$C$101</c:f>
              <c:strCache>
                <c:ptCount val="2"/>
                <c:pt idx="0">
                  <c:v>2023年</c:v>
                </c:pt>
                <c:pt idx="1">
                  <c:v>2024年</c:v>
                </c:pt>
              </c:strCache>
            </c:strRef>
          </c:cat>
          <c:val>
            <c:numRef>
              <c:f>[政府办2024年决算报告图表.xls]Sheet1!$B$102:$C$102</c:f>
              <c:numCache>
                <c:formatCode>General</c:formatCode>
                <c:ptCount val="2"/>
                <c:pt idx="0">
                  <c:v>1399.52</c:v>
                </c:pt>
                <c:pt idx="1">
                  <c:v>1040.17</c:v>
                </c:pt>
              </c:numCache>
            </c:numRef>
          </c:val>
        </c:ser>
        <c:dLbls>
          <c:showLegendKey val="0"/>
          <c:showVal val="0"/>
          <c:showCatName val="0"/>
          <c:showSerName val="0"/>
          <c:showPercent val="0"/>
          <c:showBubbleSize val="0"/>
        </c:dLbls>
        <c:gapWidth val="150"/>
        <c:axId val="428728320"/>
        <c:axId val="428729856"/>
      </c:barChart>
      <c:catAx>
        <c:axId val="428728320"/>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428729856"/>
        <c:crosses val="autoZero"/>
        <c:auto val="1"/>
        <c:lblAlgn val="ctr"/>
        <c:lblOffset val="100"/>
        <c:tickLblSkip val="1"/>
        <c:noMultiLvlLbl val="0"/>
      </c:catAx>
      <c:valAx>
        <c:axId val="428729856"/>
        <c:scaling>
          <c:orientation val="minMax"/>
        </c:scaling>
        <c:delete val="0"/>
        <c:axPos val="l"/>
        <c:majorGridlines>
          <c:spPr>
            <a:ln w="3175" cap="flat" cmpd="sng" algn="ctr">
              <a:solidFill>
                <a:srgbClr val="000000">
                  <a:alpha val="100000"/>
                </a:srgbClr>
              </a:solidFill>
              <a:prstDash val="solid"/>
              <a:round/>
            </a:ln>
          </c:spPr>
        </c:majorGridlines>
        <c:numFmt formatCode="General"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428728320"/>
        <c:crosses val="autoZero"/>
        <c:crossBetween val="between"/>
      </c:valAx>
      <c:spPr>
        <a:solidFill>
          <a:srgbClr val="C0C0C0">
            <a:alpha val="100000"/>
          </a:srgbClr>
        </a:solidFill>
        <a:ln w="12700">
          <a:solidFill>
            <a:srgbClr val="808080">
              <a:alpha val="100000"/>
            </a:srgbClr>
          </a:solidFill>
          <a:prstDash val="solid"/>
        </a:ln>
      </c:spPr>
    </c:plotArea>
    <c:plotVisOnly val="1"/>
    <c:dispBlanksAs val="gap"/>
    <c:showDLblsOverMax val="0"/>
    <c:extLst>
      <c:ext uri="{0b15fc19-7d7d-44ad-8c2d-2c3a37ce22c3}">
        <chartProps xmlns="https://web.wps.cn/et/2018/main" chartId="{c070d6de-c233-4031-bbf8-b00137d8dbe5}"/>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17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000000"/>
                </a:solidFill>
                <a:latin typeface="宋体" panose="02010600030101010101" charset="-122"/>
                <a:ea typeface="宋体" panose="02010600030101010101" charset="-122"/>
                <a:cs typeface="宋体" panose="02010600030101010101" charset="-122"/>
              </a:rPr>
              <a:t>4</a:t>
            </a:r>
            <a:r>
              <a:rPr lang="zh-CN" altLang="en-US" sz="1400" b="0" i="0" u="none" strike="noStrike" baseline="0">
                <a:solidFill>
                  <a:srgbClr val="000000"/>
                </a:solidFill>
                <a:latin typeface="宋体" panose="02010600030101010101" charset="-122"/>
                <a:ea typeface="宋体" panose="02010600030101010101" charset="-122"/>
                <a:cs typeface="宋体" panose="02010600030101010101" charset="-122"/>
              </a:rPr>
              <a:t>一般公共预算财政拨款支出决算结构图      </a:t>
            </a:r>
            <a:r>
              <a:rPr lang="zh-CN" altLang="en-US" b="0" i="0" u="none" strike="noStrike" baseline="0">
                <a:solidFill>
                  <a:srgbClr val="000000"/>
                </a:solidFill>
                <a:latin typeface="宋体" panose="02010600030101010101" charset="-122"/>
                <a:ea typeface="宋体" panose="02010600030101010101" charset="-122"/>
                <a:cs typeface="宋体" panose="02010600030101010101" charset="-122"/>
              </a:rPr>
              <a:t>单位：万元</a:t>
            </a:r>
            <a:endParaRPr lang="zh-CN" altLang="en-US"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76887567572524"/>
          <c:y val="0.0205028646945826"/>
        </c:manualLayout>
      </c:layout>
      <c:overlay val="0"/>
      <c:spPr>
        <a:noFill/>
        <a:ln w="3175">
          <a:noFill/>
        </a:ln>
      </c:spPr>
    </c:title>
    <c:autoTitleDeleted val="0"/>
    <c:plotArea>
      <c:layout>
        <c:manualLayout>
          <c:layoutTarget val="inner"/>
          <c:xMode val="edge"/>
          <c:yMode val="edge"/>
          <c:x val="0.252293789891618"/>
          <c:y val="0.385779407517173"/>
          <c:w val="0.245413050167301"/>
          <c:h val="0.323752130230098"/>
        </c:manualLayout>
      </c:layout>
      <c:pieChart>
        <c:varyColors val="1"/>
        <c:ser>
          <c:idx val="0"/>
          <c:order val="0"/>
          <c:tx>
            <c:strRef>
              <c:f>"一般公共服务（类）支出"</c:f>
              <c:strCache>
                <c:ptCount val="1"/>
                <c:pt idx="0">
                  <c:v>一般公共服务（类）支出</c:v>
                </c:pt>
              </c:strCache>
            </c:strRef>
          </c:tx>
          <c:spPr>
            <a:solidFill>
              <a:srgbClr val="9999FF">
                <a:alpha val="100000"/>
              </a:srgbClr>
            </a:solidFill>
            <a:ln w="12700">
              <a:solidFill>
                <a:srgbClr val="000000">
                  <a:alpha val="100000"/>
                </a:srgbClr>
              </a:solidFill>
              <a:prstDash val="solid"/>
            </a:ln>
          </c:spPr>
          <c:explosion val="0"/>
          <c:dPt>
            <c:idx val="0"/>
            <c:bubble3D val="0"/>
            <c:spPr>
              <a:solidFill>
                <a:srgbClr val="9999FF">
                  <a:alpha val="100000"/>
                </a:srgbClr>
              </a:solidFill>
              <a:ln w="12700">
                <a:solidFill>
                  <a:srgbClr val="000000">
                    <a:alpha val="100000"/>
                  </a:srgbClr>
                </a:solidFill>
                <a:prstDash val="solid"/>
              </a:ln>
            </c:spPr>
          </c:dPt>
          <c:dPt>
            <c:idx val="1"/>
            <c:bubble3D val="0"/>
            <c:spPr>
              <a:solidFill>
                <a:srgbClr val="993366">
                  <a:alpha val="100000"/>
                </a:srgbClr>
              </a:solidFill>
              <a:ln w="12700">
                <a:solidFill>
                  <a:srgbClr val="000000">
                    <a:alpha val="100000"/>
                  </a:srgbClr>
                </a:solidFill>
                <a:prstDash val="solid"/>
              </a:ln>
            </c:spPr>
          </c:dPt>
          <c:dPt>
            <c:idx val="2"/>
            <c:bubble3D val="0"/>
            <c:spPr>
              <a:solidFill>
                <a:srgbClr val="FFFFCC">
                  <a:alpha val="100000"/>
                </a:srgbClr>
              </a:solidFill>
              <a:ln w="12700">
                <a:solidFill>
                  <a:srgbClr val="000000">
                    <a:alpha val="100000"/>
                  </a:srgbClr>
                </a:solidFill>
                <a:prstDash val="solid"/>
              </a:ln>
            </c:spPr>
          </c:dPt>
          <c:dPt>
            <c:idx val="3"/>
            <c:bubble3D val="0"/>
            <c:spPr>
              <a:solidFill>
                <a:srgbClr val="CCFFFF">
                  <a:alpha val="100000"/>
                </a:srgbClr>
              </a:solidFill>
              <a:ln w="12700">
                <a:solidFill>
                  <a:srgbClr val="000000">
                    <a:alpha val="100000"/>
                  </a:srgbClr>
                </a:solidFill>
                <a:prstDash val="solid"/>
              </a:ln>
            </c:spPr>
          </c:dPt>
          <c:dLbls>
            <c:dLbl>
              <c:idx val="0"/>
              <c:layout>
                <c:manualLayout>
                  <c:x val="-0.116332783085975"/>
                  <c:y val="0.140721041061078"/>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136670125198593"/>
                  <c:y val="-0.0517404594242946"/>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0344590590276288"/>
                  <c:y val="-0.0909959268106447"/>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rPr>
                      <a:t>卫生健康支出</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 36.86, 3.17%</a:t>
                    </a:r>
                    <a:endParaRPr lang="zh-CN" altLang="en-US" sz="1200" b="0" i="0" u="none" strike="noStrike" kern="1200" baseline="0">
                      <a:solidFill>
                        <a:srgbClr val="000000"/>
                      </a:solidFill>
                      <a:latin typeface="宋体" panose="02010600030101010101" charset="-122"/>
                      <a:ea typeface="宋体" panose="02010600030101010101" charset="-122"/>
                      <a:cs typeface="宋体" panose="02010600030101010101" charset="-122"/>
                    </a:endParaRPr>
                  </a:p>
                </c:rich>
              </c:tx>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3"/>
              <c:layout>
                <c:manualLayout>
                  <c:x val="0.22284387699621"/>
                  <c:y val="0.00573489215549927"/>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[政府办2024年决算报告图表.xls]Sheet1!$A$127:$A$130</c:f>
              <c:strCache>
                <c:ptCount val="4"/>
                <c:pt idx="0">
                  <c:v>一般公共服务（类）支出</c:v>
                </c:pt>
                <c:pt idx="1">
                  <c:v>社会保障和就业（类）支出</c:v>
                </c:pt>
                <c:pt idx="2">
                  <c:v>卫生健康支出</c:v>
                </c:pt>
                <c:pt idx="3">
                  <c:v>住房保障支出</c:v>
                </c:pt>
              </c:strCache>
            </c:strRef>
          </c:cat>
          <c:val>
            <c:numRef>
              <c:f>[政府办2024年决算报告图表.xls]Sheet1!$B$127:$B$130</c:f>
              <c:numCache>
                <c:formatCode>General</c:formatCode>
                <c:ptCount val="4"/>
                <c:pt idx="0">
                  <c:v>737.06</c:v>
                </c:pt>
                <c:pt idx="1">
                  <c:v>165.53</c:v>
                </c:pt>
                <c:pt idx="2">
                  <c:v>72.65</c:v>
                </c:pt>
                <c:pt idx="3">
                  <c:v>64.93</c:v>
                </c:pt>
              </c:numCache>
            </c:numRef>
          </c:val>
        </c:ser>
        <c:ser>
          <c:idx val="1"/>
          <c:order val="1"/>
          <c:tx>
            <c:strRef>
              <c:f>"社会保障和就业（类）支出"</c:f>
              <c:strCache>
                <c:ptCount val="1"/>
                <c:pt idx="0">
                  <c:v>社会保障和就业（类）支出</c:v>
                </c:pt>
              </c:strCache>
            </c:strRef>
          </c:tx>
          <c:spPr>
            <a:solidFill>
              <a:srgbClr val="993366">
                <a:alpha val="100000"/>
              </a:srgbClr>
            </a:solidFill>
            <a:ln w="12700">
              <a:solidFill>
                <a:srgbClr val="000000">
                  <a:alpha val="100000"/>
                </a:srgbClr>
              </a:solidFill>
              <a:prstDash val="solid"/>
            </a:ln>
          </c:spPr>
          <c:explosion val="0"/>
          <c:dPt>
            <c:idx val="0"/>
            <c:bubble3D val="0"/>
            <c:spPr>
              <a:solidFill>
                <a:srgbClr val="9999FF">
                  <a:alpha val="100000"/>
                </a:srgbClr>
              </a:solidFill>
              <a:ln w="12700">
                <a:solidFill>
                  <a:srgbClr val="000000">
                    <a:alpha val="100000"/>
                  </a:srgbClr>
                </a:solidFill>
                <a:prstDash val="solid"/>
              </a:ln>
            </c:spPr>
          </c:dPt>
          <c:dPt>
            <c:idx val="1"/>
            <c:bubble3D val="0"/>
            <c:spPr>
              <a:solidFill>
                <a:srgbClr val="993366">
                  <a:alpha val="100000"/>
                </a:srgbClr>
              </a:solidFill>
              <a:ln w="12700">
                <a:solidFill>
                  <a:srgbClr val="000000">
                    <a:alpha val="100000"/>
                  </a:srgbClr>
                </a:solidFill>
                <a:prstDash val="solid"/>
              </a:ln>
            </c:spPr>
          </c:dPt>
          <c:dPt>
            <c:idx val="2"/>
            <c:bubble3D val="0"/>
            <c:spPr>
              <a:solidFill>
                <a:srgbClr val="FFFFCC">
                  <a:alpha val="100000"/>
                </a:srgbClr>
              </a:solidFill>
              <a:ln w="12700">
                <a:solidFill>
                  <a:srgbClr val="000000">
                    <a:alpha val="100000"/>
                  </a:srgbClr>
                </a:solidFill>
                <a:prstDash val="solid"/>
              </a:ln>
            </c:spPr>
          </c:dPt>
          <c:dPt>
            <c:idx val="3"/>
            <c:bubble3D val="0"/>
            <c:spPr>
              <a:solidFill>
                <a:srgbClr val="CCFFFF">
                  <a:alpha val="100000"/>
                </a:srgbClr>
              </a:solidFill>
              <a:ln w="12700">
                <a:solidFill>
                  <a:srgbClr val="000000">
                    <a:alpha val="100000"/>
                  </a:srgbClr>
                </a:solidFill>
                <a:prstDash val="solid"/>
              </a:ln>
            </c:spPr>
          </c:dPt>
          <c:dLbls>
            <c:delete val="1"/>
          </c:dLbls>
          <c:cat>
            <c:strRef>
              <c:f>[政府办2024年决算报告图表.xls]Sheet1!$A$127:$A$130</c:f>
              <c:strCache>
                <c:ptCount val="4"/>
                <c:pt idx="0">
                  <c:v>一般公共服务（类）支出</c:v>
                </c:pt>
                <c:pt idx="1">
                  <c:v>社会保障和就业（类）支出</c:v>
                </c:pt>
                <c:pt idx="2">
                  <c:v>卫生健康支出</c:v>
                </c:pt>
                <c:pt idx="3">
                  <c:v>住房保障支出</c:v>
                </c:pt>
              </c:strCache>
            </c:strRef>
          </c:cat>
          <c:val>
            <c:numRef>
              <c:f>[政府办2024年决算报告图表.xls]Sheet1!$C$127:$C$130</c:f>
              <c:numCache>
                <c:formatCode>0.00%</c:formatCode>
                <c:ptCount val="4"/>
                <c:pt idx="0">
                  <c:v>0.7086</c:v>
                </c:pt>
                <c:pt idx="1">
                  <c:v>0.1591</c:v>
                </c:pt>
                <c:pt idx="2">
                  <c:v>0.0699</c:v>
                </c:pt>
                <c:pt idx="3">
                  <c:v>0.0624</c:v>
                </c:pt>
              </c:numCache>
            </c:numRef>
          </c:val>
        </c:ser>
        <c:ser>
          <c:idx val="2"/>
          <c:order val="2"/>
          <c:tx>
            <c:strRef>
              <c:f>"卫生健康支出"</c:f>
              <c:strCache>
                <c:ptCount val="1"/>
                <c:pt idx="0">
                  <c:v>卫生健康支出</c:v>
                </c:pt>
              </c:strCache>
            </c:strRef>
          </c:tx>
          <c:explosion val="0"/>
          <c:dPt>
            <c:idx val="0"/>
            <c:bubble3D val="0"/>
          </c:dPt>
          <c:dLbls>
            <c:delete val="1"/>
          </c:dLbls>
          <c:cat>
            <c:strRef>
              <c:f>[政府办2024年决算报告图表.xls]Sheet1!$A$127:$A$130</c:f>
              <c:strCache>
                <c:ptCount val="4"/>
                <c:pt idx="0">
                  <c:v>一般公共服务（类）支出</c:v>
                </c:pt>
                <c:pt idx="1">
                  <c:v>社会保障和就业（类）支出</c:v>
                </c:pt>
                <c:pt idx="2">
                  <c:v>卫生健康支出</c:v>
                </c:pt>
                <c:pt idx="3">
                  <c:v>住房保障支出</c:v>
                </c:pt>
              </c:strCache>
            </c:strRef>
          </c:cat>
          <c:val>
            <c:numRef>
              <c:f>{1}</c:f>
              <c:numCache>
                <c:formatCode>General</c:formatCode>
                <c:ptCount val="1"/>
                <c:pt idx="0">
                  <c:v>1</c:v>
                </c:pt>
              </c:numCache>
            </c:numRef>
          </c:val>
        </c:ser>
        <c:ser>
          <c:idx val="3"/>
          <c:order val="3"/>
          <c:tx>
            <c:strRef>
              <c:f>"住房保障支出"</c:f>
              <c:strCache>
                <c:ptCount val="1"/>
                <c:pt idx="0">
                  <c:v>住房保障支出</c:v>
                </c:pt>
              </c:strCache>
            </c:strRef>
          </c:tx>
          <c:explosion val="0"/>
          <c:dPt>
            <c:idx val="0"/>
            <c:bubble3D val="0"/>
          </c:dPt>
          <c:dLbls>
            <c:delete val="1"/>
          </c:dLbls>
          <c:cat>
            <c:strRef>
              <c:f>[政府办2024年决算报告图表.xls]Sheet1!$A$127:$A$130</c:f>
              <c:strCache>
                <c:ptCount val="4"/>
                <c:pt idx="0">
                  <c:v>一般公共服务（类）支出</c:v>
                </c:pt>
                <c:pt idx="1">
                  <c:v>社会保障和就业（类）支出</c:v>
                </c:pt>
                <c:pt idx="2">
                  <c:v>卫生健康支出</c:v>
                </c:pt>
                <c:pt idx="3">
                  <c:v>住房保障支出</c:v>
                </c:pt>
              </c:strCache>
            </c:strRef>
          </c:cat>
          <c:val>
            <c:numRef>
              <c:f>{1}</c:f>
              <c:numCache>
                <c:formatCode>General</c:formatCode>
                <c:ptCount val="1"/>
                <c:pt idx="0">
                  <c:v>1</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17517664311425"/>
          <c:y val="0.433448486080065"/>
          <c:w val="0.37825"/>
          <c:h val="0.5505"/>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7ad63f8b-360d-416f-ae2a-9fda28eebd3d}"/>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rPr>
              <a:t>图</a:t>
            </a:r>
            <a:r>
              <a:rPr lang="en-US" altLang="zh-CN" sz="1400" b="0" i="0" u="none" strike="noStrike" baseline="0">
                <a:solidFill>
                  <a:srgbClr val="333333"/>
                </a:solidFill>
                <a:latin typeface="Arial" panose="020B0604020202020204" pitchFamily="2"/>
                <a:cs typeface="Arial" panose="020B0604020202020204" pitchFamily="2"/>
              </a:rPr>
              <a:t>7</a:t>
            </a:r>
            <a:r>
              <a:rPr lang="en-US" altLang="zh-CN" sz="1400" b="0" i="0" u="none" strike="noStrike" baseline="0">
                <a:solidFill>
                  <a:srgbClr val="000000"/>
                </a:solidFill>
                <a:latin typeface="宋体" panose="02010600030101010101" charset="-122"/>
                <a:ea typeface="宋体" panose="02010600030101010101" charset="-122"/>
              </a:rPr>
              <a:t>  “</a:t>
            </a:r>
            <a:r>
              <a:rPr lang="zh-CN" altLang="en-US" sz="1400" b="0" i="0" u="none" strike="noStrike" baseline="0">
                <a:solidFill>
                  <a:srgbClr val="000000"/>
                </a:solidFill>
                <a:latin typeface="宋体" panose="02010600030101010101" charset="-122"/>
                <a:ea typeface="宋体" panose="02010600030101010101" charset="-122"/>
              </a:rPr>
              <a:t>三公”经费财政拨款支出结构</a:t>
            </a:r>
            <a:endParaRPr lang="zh-CN" altLang="en-US" sz="1400" b="0" i="0" u="none" strike="noStrike" baseline="0">
              <a:solidFill>
                <a:srgbClr val="000000"/>
              </a:solidFill>
              <a:latin typeface="宋体" panose="02010600030101010101" charset="-122"/>
              <a:ea typeface="宋体" panose="02010600030101010101" charset="-122"/>
            </a:endParaRPr>
          </a:p>
        </c:rich>
      </c:tx>
      <c:layout>
        <c:manualLayout>
          <c:xMode val="edge"/>
          <c:yMode val="edge"/>
          <c:x val="0.267368596216539"/>
          <c:y val="0.0221606648199446"/>
        </c:manualLayout>
      </c:layout>
      <c:overlay val="0"/>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Pt>
            <c:idx val="2"/>
            <c:bubble3D val="0"/>
            <c:spPr>
              <a:solidFill>
                <a:srgbClr val="FFFFCC"/>
              </a:solidFill>
              <a:ln w="12700">
                <a:solidFill>
                  <a:srgbClr val="000000">
                    <a:alpha val="100000"/>
                  </a:srgbClr>
                </a:solidFill>
                <a:prstDash val="solid"/>
              </a:ln>
              <a:effectLst/>
            </c:spPr>
          </c:dPt>
          <c:dLbls>
            <c:dLbl>
              <c:idx val="0"/>
              <c:layout>
                <c:manualLayout>
                  <c:x val="-0.0432276657060519"/>
                  <c:y val="-0.184672206832872"/>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220797991029219"/>
                  <c:y val="0.115420129270545"/>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267194324052433"/>
                  <c:y val="0.0844332962534808"/>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Sheet1!$B$135:$B$137</c:f>
              <c:strCache>
                <c:ptCount val="3"/>
                <c:pt idx="0">
                  <c:v>因公出国（境）费支出</c:v>
                </c:pt>
                <c:pt idx="1">
                  <c:v>公务用车购置及运行维护费支出</c:v>
                </c:pt>
                <c:pt idx="2">
                  <c:v>公务接待费支出</c:v>
                </c:pt>
              </c:strCache>
            </c:strRef>
          </c:cat>
          <c:val>
            <c:numRef>
              <c:f>Sheet1!$C$135:$C$137</c:f>
              <c:numCache>
                <c:formatCode>General</c:formatCode>
                <c:ptCount val="3"/>
                <c:pt idx="0">
                  <c:v>2.4</c:v>
                </c:pt>
                <c:pt idx="1">
                  <c:v>0</c:v>
                </c:pt>
                <c:pt idx="2">
                  <c:v>0</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Lbls>
            <c:delete val="1"/>
          </c:dLbls>
          <c:cat>
            <c:strRef>
              <c:f>Sheet1!$B$135:$B$137</c:f>
              <c:strCache>
                <c:ptCount val="3"/>
                <c:pt idx="0">
                  <c:v>因公出国（境）费支出</c:v>
                </c:pt>
                <c:pt idx="1">
                  <c:v>公务用车购置及运行维护费支出</c:v>
                </c:pt>
                <c:pt idx="2">
                  <c:v>公务接待费支出</c:v>
                </c:pt>
              </c:strCache>
            </c:strRef>
          </c:cat>
          <c:val>
            <c:numRef>
              <c:f>Sheet1!$D$135:$D$137</c:f>
              <c:numCache>
                <c:formatCode>General</c:formatCode>
                <c:ptCount val="3"/>
                <c:pt idx="0">
                  <c:v>1</c:v>
                </c:pt>
                <c:pt idx="1" c:formatCode="0%">
                  <c:v>0</c:v>
                </c:pt>
                <c:pt idx="2" c:formatCode="0%">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55499935706884"/>
          <c:y val="0.400499923659127"/>
          <c:w val="0.338499928142988"/>
          <c:h val="0.332500127234788"/>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37778168-9664-42c1-acff-2ef927072d53}"/>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7093</Words>
  <Characters>7733</Characters>
  <Lines>57</Lines>
  <Paragraphs>16</Paragraphs>
  <TotalTime>0</TotalTime>
  <ScaleCrop>false</ScaleCrop>
  <LinksUpToDate>false</LinksUpToDate>
  <CharactersWithSpaces>7766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Just Do It</cp:lastModifiedBy>
  <cp:lastPrinted>2025-10-10T03:06:00Z</cp:lastPrinted>
  <dcterms:modified xsi:type="dcterms:W3CDTF">2025-10-28T09:42:31Z</dcterms:modified>
  <dc:title>四川省***</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DA4E95510BD5466CA78B144FD9E8C7C8_13</vt:lpwstr>
  </property>
  <property fmtid="{D5CDD505-2E9C-101B-9397-08002B2CF9AE}" pid="4" name="KSOTemplateDocerSaveRecord">
    <vt:lpwstr>eyJoZGlkIjoiNjc5OGE1YWY1YjYyNjE0NGU0N2QwNmMxNDVlY2E4YmEiLCJ1c2VySWQiOiIyNTI2NDUyNjUifQ==</vt:lpwstr>
  </property>
</Properties>
</file>