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1E92E">
      <w:pPr>
        <w:pStyle w:val="2"/>
        <w:spacing w:before="93"/>
        <w:rPr>
          <w:rFonts w:ascii="Times New Roman" w:eastAsia="方正小标宋简体"/>
          <w:kern w:val="2"/>
          <w:sz w:val="72"/>
          <w:szCs w:val="72"/>
        </w:rPr>
      </w:pPr>
      <w:bookmarkStart w:id="0" w:name="_Toc15306267"/>
      <w:bookmarkStart w:id="1" w:name="_Toc15396475"/>
      <w:bookmarkStart w:id="2" w:name="_Toc15377425"/>
      <w:bookmarkStart w:id="3" w:name="_Toc15378441"/>
      <w:bookmarkStart w:id="4" w:name="_Toc15377193"/>
      <w:bookmarkStart w:id="5" w:name="_Toc15396597"/>
    </w:p>
    <w:p w14:paraId="478C23C9">
      <w:pPr>
        <w:pStyle w:val="2"/>
        <w:spacing w:before="93"/>
        <w:rPr>
          <w:rFonts w:ascii="Times New Roman" w:eastAsia="方正小标宋简体"/>
          <w:kern w:val="2"/>
          <w:sz w:val="72"/>
          <w:szCs w:val="72"/>
        </w:rPr>
      </w:pPr>
    </w:p>
    <w:p w14:paraId="567A785E">
      <w:pPr>
        <w:pStyle w:val="2"/>
        <w:spacing w:before="93"/>
        <w:rPr>
          <w:rFonts w:ascii="Times New Roman" w:eastAsia="方正小标宋简体"/>
          <w:kern w:val="2"/>
          <w:sz w:val="72"/>
          <w:szCs w:val="72"/>
        </w:rPr>
      </w:pPr>
    </w:p>
    <w:p w14:paraId="63EA5C25">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25959187">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23191"/>
      <w:bookmarkStart w:id="7" w:name="_Toc15261"/>
      <w:r>
        <w:rPr>
          <w:rFonts w:hint="eastAsia" w:ascii="方正小标宋简体" w:hAnsi="方正小标宋简体" w:eastAsia="方正小标宋简体" w:cs="方正小标宋简体"/>
          <w:sz w:val="72"/>
          <w:szCs w:val="72"/>
        </w:rPr>
        <w:t>中共</w:t>
      </w:r>
      <w:r>
        <w:rPr>
          <w:rFonts w:hint="eastAsia" w:ascii="方正小标宋简体" w:hAnsi="方正小标宋简体" w:eastAsia="方正小标宋简体" w:cs="方正小标宋简体"/>
          <w:sz w:val="72"/>
          <w:szCs w:val="72"/>
          <w:lang w:val="en-US" w:eastAsia="zh-CN"/>
        </w:rPr>
        <w:t>盐边县</w:t>
      </w:r>
      <w:r>
        <w:rPr>
          <w:rFonts w:hint="eastAsia" w:ascii="方正小标宋简体" w:hAnsi="方正小标宋简体" w:eastAsia="方正小标宋简体" w:cs="方正小标宋简体"/>
          <w:sz w:val="72"/>
          <w:szCs w:val="72"/>
        </w:rPr>
        <w:t>委组织部</w:t>
      </w:r>
      <w:bookmarkEnd w:id="6"/>
      <w:bookmarkEnd w:id="7"/>
    </w:p>
    <w:p w14:paraId="0388AE9E">
      <w:pPr>
        <w:adjustRightInd w:val="0"/>
        <w:snapToGrid w:val="0"/>
        <w:spacing w:line="360" w:lineRule="auto"/>
        <w:jc w:val="center"/>
        <w:outlineLvl w:val="0"/>
        <w:rPr>
          <w:rFonts w:ascii="Times New Roman" w:eastAsia="方正小标宋简体"/>
          <w:kern w:val="2"/>
          <w:sz w:val="72"/>
          <w:szCs w:val="72"/>
        </w:rPr>
      </w:pPr>
      <w:r>
        <w:rPr>
          <w:rFonts w:hint="eastAsia" w:eastAsia="方正小标宋简体"/>
          <w:kern w:val="2"/>
          <w:sz w:val="72"/>
          <w:szCs w:val="72"/>
          <w:lang w:eastAsia="zh-CN"/>
        </w:rPr>
        <w:t>部门</w:t>
      </w:r>
      <w:bookmarkStart w:id="142" w:name="_GoBack"/>
      <w:bookmarkEnd w:id="142"/>
      <w:r>
        <w:rPr>
          <w:rFonts w:hint="eastAsia" w:ascii="Times New Roman" w:eastAsia="方正小标宋简体"/>
          <w:kern w:val="2"/>
          <w:sz w:val="72"/>
          <w:szCs w:val="72"/>
        </w:rPr>
        <w:t>决算公开编制说明</w:t>
      </w:r>
    </w:p>
    <w:p w14:paraId="189EAC58">
      <w:pPr>
        <w:spacing w:line="600" w:lineRule="exact"/>
        <w:jc w:val="center"/>
        <w:outlineLvl w:val="0"/>
        <w:rPr>
          <w:rFonts w:eastAsia="方正小标宋简体"/>
          <w:sz w:val="72"/>
          <w:szCs w:val="72"/>
        </w:rPr>
      </w:pPr>
    </w:p>
    <w:p w14:paraId="138A16BD">
      <w:pPr>
        <w:pStyle w:val="21"/>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p>
    <w:p w14:paraId="6E69A090"/>
    <w:bookmarkEnd w:id="0"/>
    <w:bookmarkEnd w:id="1"/>
    <w:bookmarkEnd w:id="2"/>
    <w:bookmarkEnd w:id="3"/>
    <w:bookmarkEnd w:id="4"/>
    <w:bookmarkEnd w:id="5"/>
    <w:p w14:paraId="4348CECF">
      <w:pPr>
        <w:widowControl/>
        <w:jc w:val="center"/>
        <w:rPr>
          <w:rFonts w:hint="eastAsia" w:ascii="黑体" w:hAnsi="黑体" w:eastAsia="黑体" w:cs="黑体"/>
          <w:sz w:val="20"/>
          <w:szCs w:val="20"/>
        </w:rPr>
      </w:pPr>
      <w:r>
        <w:rPr>
          <w:rFonts w:hint="eastAsia" w:ascii="黑体" w:hAnsi="黑体" w:eastAsia="黑体" w:cs="黑体"/>
          <w:sz w:val="20"/>
          <w:szCs w:val="20"/>
        </w:rPr>
        <w:t>目录</w:t>
      </w:r>
    </w:p>
    <w:p w14:paraId="0A32D467">
      <w:pPr>
        <w:widowControl/>
        <w:jc w:val="center"/>
        <w:rPr>
          <w:rFonts w:hint="eastAsia" w:ascii="黑体" w:hAnsi="黑体" w:eastAsia="黑体" w:cs="黑体"/>
          <w:sz w:val="20"/>
          <w:szCs w:val="20"/>
        </w:rPr>
      </w:pPr>
    </w:p>
    <w:p w14:paraId="78E3D3E6">
      <w:pPr>
        <w:pStyle w:val="12"/>
        <w:rPr>
          <w:rFonts w:hint="eastAsia" w:ascii="黑体" w:hAnsi="黑体" w:eastAsia="黑体" w:cs="黑体"/>
          <w:sz w:val="20"/>
          <w:szCs w:val="20"/>
        </w:rPr>
      </w:pPr>
      <w:r>
        <w:rPr>
          <w:rFonts w:hint="eastAsia" w:ascii="黑体" w:hAnsi="黑体" w:eastAsia="黑体" w:cs="黑体"/>
          <w:sz w:val="20"/>
          <w:szCs w:val="20"/>
        </w:rPr>
        <w:t xml:space="preserve">公开时间：2025年 </w:t>
      </w:r>
      <w:r>
        <w:rPr>
          <w:rFonts w:hint="eastAsia" w:ascii="黑体" w:hAnsi="黑体" w:eastAsia="黑体" w:cs="黑体"/>
          <w:sz w:val="20"/>
          <w:szCs w:val="20"/>
          <w:lang w:val="en-US" w:eastAsia="zh-CN"/>
        </w:rPr>
        <w:t>10</w:t>
      </w:r>
      <w:r>
        <w:rPr>
          <w:rFonts w:hint="eastAsia" w:ascii="黑体" w:hAnsi="黑体" w:eastAsia="黑体" w:cs="黑体"/>
          <w:sz w:val="20"/>
          <w:szCs w:val="20"/>
        </w:rPr>
        <w:t xml:space="preserve"> 月</w:t>
      </w:r>
      <w:r>
        <w:rPr>
          <w:rFonts w:hint="eastAsia" w:ascii="黑体" w:hAnsi="黑体" w:eastAsia="黑体" w:cs="黑体"/>
          <w:sz w:val="20"/>
          <w:szCs w:val="20"/>
          <w:lang w:val="en-US" w:eastAsia="zh-CN"/>
        </w:rPr>
        <w:t>28</w:t>
      </w:r>
      <w:r>
        <w:rPr>
          <w:rFonts w:hint="eastAsia" w:ascii="黑体" w:hAnsi="黑体" w:eastAsia="黑体" w:cs="黑体"/>
          <w:sz w:val="20"/>
          <w:szCs w:val="20"/>
        </w:rPr>
        <w:t>日</w:t>
      </w:r>
    </w:p>
    <w:p w14:paraId="09906F63">
      <w:pPr>
        <w:rPr>
          <w:rFonts w:hint="eastAsia" w:ascii="黑体" w:hAnsi="黑体" w:eastAsia="黑体" w:cs="黑体"/>
          <w:sz w:val="20"/>
          <w:szCs w:val="20"/>
        </w:rPr>
      </w:pPr>
    </w:p>
    <w:sdt>
      <w:sdtPr>
        <w:rPr>
          <w:rFonts w:hint="eastAsia" w:ascii="黑体" w:hAnsi="黑体" w:eastAsia="黑体" w:cs="黑体"/>
          <w:kern w:val="2"/>
          <w:sz w:val="20"/>
          <w:szCs w:val="20"/>
          <w:lang w:val="en-US" w:eastAsia="zh-CN" w:bidi="ar-SA"/>
        </w:rPr>
        <w:id w:val="147480453"/>
        <w:docPartObj>
          <w:docPartGallery w:val="Table of Contents"/>
          <w:docPartUnique/>
        </w:docPartObj>
      </w:sdtPr>
      <w:sdtEndPr>
        <w:rPr>
          <w:rFonts w:hint="eastAsia" w:ascii="黑体" w:hAnsi="黑体" w:eastAsia="黑体" w:cs="黑体"/>
          <w:kern w:val="2"/>
          <w:sz w:val="20"/>
          <w:szCs w:val="20"/>
          <w:lang w:val="en-US" w:eastAsia="zh-CN" w:bidi="ar-SA"/>
        </w:rPr>
      </w:sdtEndPr>
      <w:sdtContent>
        <w:p w14:paraId="0683B143">
          <w:pPr>
            <w:spacing w:before="0" w:beforeLines="0" w:after="0" w:afterLines="0" w:line="240" w:lineRule="auto"/>
            <w:ind w:left="0" w:leftChars="0" w:right="0" w:rightChars="0" w:firstLine="0" w:firstLineChars="0"/>
            <w:jc w:val="center"/>
            <w:rPr>
              <w:rFonts w:hint="eastAsia" w:ascii="黑体" w:hAnsi="黑体" w:eastAsia="黑体" w:cs="黑体"/>
              <w:sz w:val="20"/>
              <w:szCs w:val="20"/>
            </w:rPr>
          </w:pPr>
          <w:bookmarkStart w:id="8" w:name="_Toc11858_WPSOffice_Type2"/>
          <w:bookmarkStart w:id="9" w:name="_Toc15396599"/>
          <w:bookmarkStart w:id="10" w:name="_Toc15377196"/>
        </w:p>
        <w:p w14:paraId="72A231B8">
          <w:pPr>
            <w:pStyle w:val="37"/>
            <w:tabs>
              <w:tab w:val="right" w:leader="dot" w:pos="8306"/>
            </w:tabs>
            <w:rPr>
              <w:rFonts w:hint="eastAsia" w:ascii="黑体" w:hAnsi="黑体" w:eastAsia="黑体" w:cs="黑体"/>
              <w:sz w:val="20"/>
              <w:szCs w:val="20"/>
            </w:rPr>
          </w:pPr>
          <w:r>
            <w:rPr>
              <w:rFonts w:hint="eastAsia" w:ascii="黑体" w:hAnsi="黑体" w:eastAsia="黑体" w:cs="黑体"/>
              <w:b/>
              <w:bCs/>
              <w:sz w:val="20"/>
              <w:szCs w:val="20"/>
            </w:rPr>
            <w:fldChar w:fldCharType="begin"/>
          </w:r>
          <w:r>
            <w:rPr>
              <w:rFonts w:hint="eastAsia" w:ascii="黑体" w:hAnsi="黑体" w:eastAsia="黑体" w:cs="黑体"/>
              <w:sz w:val="20"/>
              <w:szCs w:val="20"/>
            </w:rPr>
            <w:instrText xml:space="preserve"> HYPERLINK \l _Toc31373_WPSOffice_Level1 </w:instrText>
          </w:r>
          <w:r>
            <w:rPr>
              <w:rFonts w:hint="eastAsia" w:ascii="黑体" w:hAnsi="黑体" w:eastAsia="黑体" w:cs="黑体"/>
              <w:b/>
              <w:bCs/>
              <w:sz w:val="20"/>
              <w:szCs w:val="20"/>
            </w:rPr>
            <w:fldChar w:fldCharType="separate"/>
          </w:r>
          <w:sdt>
            <w:sdtPr>
              <w:rPr>
                <w:rFonts w:hint="eastAsia" w:ascii="黑体" w:hAnsi="黑体" w:eastAsia="黑体" w:cs="黑体"/>
                <w:b/>
                <w:bCs/>
                <w:kern w:val="2"/>
                <w:sz w:val="20"/>
                <w:szCs w:val="20"/>
                <w:lang w:val="en-US" w:eastAsia="zh-CN" w:bidi="ar-SA"/>
              </w:rPr>
              <w:id w:val="147471061"/>
              <w:placeholder>
                <w:docPart w:val="{d586b51d-a90a-456a-a275-7b30c40ed90f}"/>
              </w:placeholder>
            </w:sdtPr>
            <w:sdtEndPr>
              <w:rPr>
                <w:rFonts w:hint="eastAsia" w:ascii="黑体" w:hAnsi="黑体" w:eastAsia="黑体" w:cs="黑体"/>
                <w:b/>
                <w:bCs/>
                <w:kern w:val="2"/>
                <w:sz w:val="20"/>
                <w:szCs w:val="20"/>
                <w:lang w:val="en-US" w:eastAsia="zh-CN" w:bidi="ar-SA"/>
              </w:rPr>
            </w:sdtEndPr>
            <w:sdtContent>
              <w:r>
                <w:rPr>
                  <w:rFonts w:hint="eastAsia" w:ascii="黑体" w:hAnsi="黑体" w:eastAsia="黑体" w:cs="黑体"/>
                  <w:b/>
                  <w:bCs/>
                  <w:sz w:val="20"/>
                  <w:szCs w:val="20"/>
                </w:rPr>
                <w:t>第一部分  部门概况</w:t>
              </w:r>
            </w:sdtContent>
          </w:sdt>
          <w:r>
            <w:rPr>
              <w:rFonts w:hint="eastAsia" w:ascii="黑体" w:hAnsi="黑体" w:eastAsia="黑体" w:cs="黑体"/>
              <w:b/>
              <w:bCs/>
              <w:sz w:val="20"/>
              <w:szCs w:val="20"/>
            </w:rPr>
            <w:tab/>
          </w:r>
          <w:bookmarkStart w:id="11" w:name="_Toc31373_WPSOffice_Level1Page"/>
          <w:r>
            <w:rPr>
              <w:rFonts w:hint="eastAsia" w:ascii="黑体" w:hAnsi="黑体" w:eastAsia="黑体" w:cs="黑体"/>
              <w:b/>
              <w:bCs/>
              <w:sz w:val="20"/>
              <w:szCs w:val="20"/>
            </w:rPr>
            <w:t>3</w:t>
          </w:r>
          <w:bookmarkEnd w:id="11"/>
          <w:r>
            <w:rPr>
              <w:rFonts w:hint="eastAsia" w:ascii="黑体" w:hAnsi="黑体" w:eastAsia="黑体" w:cs="黑体"/>
              <w:b/>
              <w:bCs/>
              <w:sz w:val="20"/>
              <w:szCs w:val="20"/>
            </w:rPr>
            <w:fldChar w:fldCharType="end"/>
          </w:r>
        </w:p>
        <w:p w14:paraId="0E9A67CC">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_Toc11858_WPSOffice_Level2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79186"/>
              <w:placeholder>
                <w:docPart w:val="{2da4d0b9-7d8c-4476-9ab1-47b039a946f0}"/>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一、 部门职责</w:t>
              </w:r>
            </w:sdtContent>
          </w:sdt>
          <w:r>
            <w:rPr>
              <w:rFonts w:hint="eastAsia" w:ascii="黑体" w:hAnsi="黑体" w:eastAsia="黑体" w:cs="黑体"/>
              <w:sz w:val="20"/>
              <w:szCs w:val="20"/>
            </w:rPr>
            <w:tab/>
          </w:r>
          <w:bookmarkStart w:id="12" w:name="_Toc11858_WPSOffice_Level2Page"/>
          <w:r>
            <w:rPr>
              <w:rFonts w:hint="eastAsia" w:ascii="黑体" w:hAnsi="黑体" w:eastAsia="黑体" w:cs="黑体"/>
              <w:sz w:val="20"/>
              <w:szCs w:val="20"/>
            </w:rPr>
            <w:t>3</w:t>
          </w:r>
          <w:bookmarkEnd w:id="12"/>
          <w:r>
            <w:rPr>
              <w:rFonts w:hint="eastAsia" w:ascii="黑体" w:hAnsi="黑体" w:eastAsia="黑体" w:cs="黑体"/>
              <w:sz w:val="20"/>
              <w:szCs w:val="20"/>
            </w:rPr>
            <w:fldChar w:fldCharType="end"/>
          </w:r>
        </w:p>
        <w:p w14:paraId="42423FC9">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_Toc976_WPSOffice_Level2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68708"/>
              <w:placeholder>
                <w:docPart w:val="{0f9712d2-5ac9-4c60-95fa-63e6530900f4}"/>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二、机构设置</w:t>
              </w:r>
            </w:sdtContent>
          </w:sdt>
          <w:r>
            <w:rPr>
              <w:rFonts w:hint="eastAsia" w:ascii="黑体" w:hAnsi="黑体" w:eastAsia="黑体" w:cs="黑体"/>
              <w:sz w:val="20"/>
              <w:szCs w:val="20"/>
            </w:rPr>
            <w:tab/>
          </w:r>
          <w:bookmarkStart w:id="13" w:name="_Toc976_WPSOffice_Level2Page"/>
          <w:r>
            <w:rPr>
              <w:rFonts w:hint="eastAsia" w:ascii="黑体" w:hAnsi="黑体" w:eastAsia="黑体" w:cs="黑体"/>
              <w:sz w:val="20"/>
              <w:szCs w:val="20"/>
            </w:rPr>
            <w:t>4</w:t>
          </w:r>
          <w:bookmarkEnd w:id="13"/>
          <w:r>
            <w:rPr>
              <w:rFonts w:hint="eastAsia" w:ascii="黑体" w:hAnsi="黑体" w:eastAsia="黑体" w:cs="黑体"/>
              <w:sz w:val="20"/>
              <w:szCs w:val="20"/>
            </w:rPr>
            <w:fldChar w:fldCharType="end"/>
          </w:r>
        </w:p>
        <w:p w14:paraId="33F3C2C6">
          <w:pPr>
            <w:pStyle w:val="37"/>
            <w:tabs>
              <w:tab w:val="right" w:leader="dot" w:pos="8306"/>
            </w:tabs>
            <w:rPr>
              <w:rFonts w:hint="eastAsia" w:ascii="黑体" w:hAnsi="黑体" w:eastAsia="黑体" w:cs="黑体"/>
              <w:sz w:val="20"/>
              <w:szCs w:val="20"/>
            </w:rPr>
          </w:pPr>
          <w:r>
            <w:rPr>
              <w:rFonts w:hint="eastAsia" w:ascii="黑体" w:hAnsi="黑体" w:eastAsia="黑体" w:cs="黑体"/>
              <w:b/>
              <w:bCs/>
              <w:sz w:val="20"/>
              <w:szCs w:val="20"/>
            </w:rPr>
            <w:fldChar w:fldCharType="begin"/>
          </w:r>
          <w:r>
            <w:rPr>
              <w:rFonts w:hint="eastAsia" w:ascii="黑体" w:hAnsi="黑体" w:eastAsia="黑体" w:cs="黑体"/>
              <w:sz w:val="20"/>
              <w:szCs w:val="20"/>
            </w:rPr>
            <w:instrText xml:space="preserve"> HYPERLINK \l _Toc11858_WPSOffice_Level1 </w:instrText>
          </w:r>
          <w:r>
            <w:rPr>
              <w:rFonts w:hint="eastAsia" w:ascii="黑体" w:hAnsi="黑体" w:eastAsia="黑体" w:cs="黑体"/>
              <w:b/>
              <w:bCs/>
              <w:sz w:val="20"/>
              <w:szCs w:val="20"/>
            </w:rPr>
            <w:fldChar w:fldCharType="separate"/>
          </w:r>
          <w:sdt>
            <w:sdtPr>
              <w:rPr>
                <w:rFonts w:hint="eastAsia" w:ascii="黑体" w:hAnsi="黑体" w:eastAsia="黑体" w:cs="黑体"/>
                <w:b/>
                <w:bCs/>
                <w:kern w:val="2"/>
                <w:sz w:val="20"/>
                <w:szCs w:val="20"/>
                <w:lang w:val="en-US" w:eastAsia="zh-CN" w:bidi="ar-SA"/>
              </w:rPr>
              <w:id w:val="147455071"/>
              <w:placeholder>
                <w:docPart w:val="{d78c1274-46cf-4051-8e50-a3b9bb159347}"/>
              </w:placeholder>
            </w:sdtPr>
            <w:sdtEndPr>
              <w:rPr>
                <w:rFonts w:hint="eastAsia" w:ascii="黑体" w:hAnsi="黑体" w:eastAsia="黑体" w:cs="黑体"/>
                <w:b/>
                <w:bCs/>
                <w:kern w:val="2"/>
                <w:sz w:val="20"/>
                <w:szCs w:val="20"/>
                <w:lang w:val="en-US" w:eastAsia="zh-CN" w:bidi="ar-SA"/>
              </w:rPr>
            </w:sdtEndPr>
            <w:sdtContent>
              <w:r>
                <w:rPr>
                  <w:rFonts w:hint="eastAsia" w:ascii="黑体" w:hAnsi="黑体" w:eastAsia="黑体" w:cs="黑体"/>
                  <w:b/>
                  <w:bCs/>
                  <w:sz w:val="20"/>
                  <w:szCs w:val="20"/>
                </w:rPr>
                <w:t>第二部分  2024年度部门决算情况说明</w:t>
              </w:r>
            </w:sdtContent>
          </w:sdt>
          <w:r>
            <w:rPr>
              <w:rFonts w:hint="eastAsia" w:ascii="黑体" w:hAnsi="黑体" w:eastAsia="黑体" w:cs="黑体"/>
              <w:b/>
              <w:bCs/>
              <w:sz w:val="20"/>
              <w:szCs w:val="20"/>
            </w:rPr>
            <w:tab/>
          </w:r>
          <w:bookmarkStart w:id="14" w:name="_Toc11858_WPSOffice_Level1Page"/>
          <w:r>
            <w:rPr>
              <w:rFonts w:hint="eastAsia" w:ascii="黑体" w:hAnsi="黑体" w:eastAsia="黑体" w:cs="黑体"/>
              <w:b/>
              <w:bCs/>
              <w:sz w:val="20"/>
              <w:szCs w:val="20"/>
            </w:rPr>
            <w:t>5</w:t>
          </w:r>
          <w:bookmarkEnd w:id="14"/>
          <w:r>
            <w:rPr>
              <w:rFonts w:hint="eastAsia" w:ascii="黑体" w:hAnsi="黑体" w:eastAsia="黑体" w:cs="黑体"/>
              <w:b/>
              <w:bCs/>
              <w:sz w:val="20"/>
              <w:szCs w:val="20"/>
            </w:rPr>
            <w:fldChar w:fldCharType="end"/>
          </w:r>
        </w:p>
        <w:p w14:paraId="3376D07D">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_Toc29154_WPSOffice_Level2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68392"/>
              <w:placeholder>
                <w:docPart w:val="{43d98b87-09b3-46e2-a5e2-461626351e35}"/>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一、收入支出决算总体情况说明</w:t>
              </w:r>
            </w:sdtContent>
          </w:sdt>
          <w:r>
            <w:rPr>
              <w:rFonts w:hint="eastAsia" w:ascii="黑体" w:hAnsi="黑体" w:eastAsia="黑体" w:cs="黑体"/>
              <w:sz w:val="20"/>
              <w:szCs w:val="20"/>
            </w:rPr>
            <w:tab/>
          </w:r>
          <w:bookmarkStart w:id="15" w:name="_Toc29154_WPSOffice_Level2Page"/>
          <w:r>
            <w:rPr>
              <w:rFonts w:hint="eastAsia" w:ascii="黑体" w:hAnsi="黑体" w:eastAsia="黑体" w:cs="黑体"/>
              <w:sz w:val="20"/>
              <w:szCs w:val="20"/>
            </w:rPr>
            <w:t>5</w:t>
          </w:r>
          <w:bookmarkEnd w:id="15"/>
          <w:r>
            <w:rPr>
              <w:rFonts w:hint="eastAsia" w:ascii="黑体" w:hAnsi="黑体" w:eastAsia="黑体" w:cs="黑体"/>
              <w:sz w:val="20"/>
              <w:szCs w:val="20"/>
            </w:rPr>
            <w:fldChar w:fldCharType="end"/>
          </w:r>
        </w:p>
        <w:p w14:paraId="6E5DD8B2">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_Toc7095_WPSOffice_Level2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58925"/>
              <w:placeholder>
                <w:docPart w:val="{a47dab14-9a6f-49e4-bcf4-39ead71511c5}"/>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二、收入决算情况说明</w:t>
              </w:r>
            </w:sdtContent>
          </w:sdt>
          <w:r>
            <w:rPr>
              <w:rFonts w:hint="eastAsia" w:ascii="黑体" w:hAnsi="黑体" w:eastAsia="黑体" w:cs="黑体"/>
              <w:sz w:val="20"/>
              <w:szCs w:val="20"/>
            </w:rPr>
            <w:tab/>
          </w:r>
          <w:bookmarkStart w:id="16" w:name="_Toc7095_WPSOffice_Level2Page"/>
          <w:r>
            <w:rPr>
              <w:rFonts w:hint="eastAsia" w:ascii="黑体" w:hAnsi="黑体" w:eastAsia="黑体" w:cs="黑体"/>
              <w:sz w:val="20"/>
              <w:szCs w:val="20"/>
            </w:rPr>
            <w:t>5</w:t>
          </w:r>
          <w:bookmarkEnd w:id="16"/>
          <w:r>
            <w:rPr>
              <w:rFonts w:hint="eastAsia" w:ascii="黑体" w:hAnsi="黑体" w:eastAsia="黑体" w:cs="黑体"/>
              <w:sz w:val="20"/>
              <w:szCs w:val="20"/>
            </w:rPr>
            <w:fldChar w:fldCharType="end"/>
          </w:r>
        </w:p>
        <w:p w14:paraId="5D35156A">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_Toc17158_WPSOffice_Level2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70734"/>
              <w:placeholder>
                <w:docPart w:val="{0ce7b884-f0c2-4010-be73-e130a59e6cb5}"/>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三、支出决算情况说明</w:t>
              </w:r>
            </w:sdtContent>
          </w:sdt>
          <w:r>
            <w:rPr>
              <w:rFonts w:hint="eastAsia" w:ascii="黑体" w:hAnsi="黑体" w:eastAsia="黑体" w:cs="黑体"/>
              <w:sz w:val="20"/>
              <w:szCs w:val="20"/>
            </w:rPr>
            <w:tab/>
          </w:r>
          <w:bookmarkStart w:id="17" w:name="_Toc17158_WPSOffice_Level2Page"/>
          <w:r>
            <w:rPr>
              <w:rFonts w:hint="eastAsia" w:ascii="黑体" w:hAnsi="黑体" w:eastAsia="黑体" w:cs="黑体"/>
              <w:sz w:val="20"/>
              <w:szCs w:val="20"/>
            </w:rPr>
            <w:t>6</w:t>
          </w:r>
          <w:bookmarkEnd w:id="17"/>
          <w:r>
            <w:rPr>
              <w:rFonts w:hint="eastAsia" w:ascii="黑体" w:hAnsi="黑体" w:eastAsia="黑体" w:cs="黑体"/>
              <w:sz w:val="20"/>
              <w:szCs w:val="20"/>
            </w:rPr>
            <w:fldChar w:fldCharType="end"/>
          </w:r>
        </w:p>
        <w:p w14:paraId="7D37D657">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_Toc7137_WPSOffice_Level2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73388"/>
              <w:placeholder>
                <w:docPart w:val="{d37fc917-0910-4e88-9f3d-0758a4bf0308}"/>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四、财政拨款收入支出决算总体情况说明</w:t>
              </w:r>
            </w:sdtContent>
          </w:sdt>
          <w:r>
            <w:rPr>
              <w:rFonts w:hint="eastAsia" w:ascii="黑体" w:hAnsi="黑体" w:eastAsia="黑体" w:cs="黑体"/>
              <w:sz w:val="20"/>
              <w:szCs w:val="20"/>
            </w:rPr>
            <w:tab/>
          </w:r>
          <w:bookmarkStart w:id="18" w:name="_Toc7137_WPSOffice_Level2Page"/>
          <w:r>
            <w:rPr>
              <w:rFonts w:hint="eastAsia" w:ascii="黑体" w:hAnsi="黑体" w:eastAsia="黑体" w:cs="黑体"/>
              <w:sz w:val="20"/>
              <w:szCs w:val="20"/>
            </w:rPr>
            <w:t>7</w:t>
          </w:r>
          <w:bookmarkEnd w:id="18"/>
          <w:r>
            <w:rPr>
              <w:rFonts w:hint="eastAsia" w:ascii="黑体" w:hAnsi="黑体" w:eastAsia="黑体" w:cs="黑体"/>
              <w:sz w:val="20"/>
              <w:szCs w:val="20"/>
            </w:rPr>
            <w:fldChar w:fldCharType="end"/>
          </w:r>
        </w:p>
        <w:p w14:paraId="0163BBE3">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_Toc11627_WPSOffice_Level2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68198"/>
              <w:placeholder>
                <w:docPart w:val="{d720ed7e-950d-4274-9220-033ea2cf3188}"/>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五、一般公共预算财政拨款支出决算情况说明</w:t>
              </w:r>
            </w:sdtContent>
          </w:sdt>
          <w:r>
            <w:rPr>
              <w:rFonts w:hint="eastAsia" w:ascii="黑体" w:hAnsi="黑体" w:eastAsia="黑体" w:cs="黑体"/>
              <w:sz w:val="20"/>
              <w:szCs w:val="20"/>
            </w:rPr>
            <w:tab/>
          </w:r>
          <w:bookmarkStart w:id="19" w:name="_Toc11627_WPSOffice_Level2Page"/>
          <w:r>
            <w:rPr>
              <w:rFonts w:hint="eastAsia" w:ascii="黑体" w:hAnsi="黑体" w:eastAsia="黑体" w:cs="黑体"/>
              <w:sz w:val="20"/>
              <w:szCs w:val="20"/>
            </w:rPr>
            <w:t>7</w:t>
          </w:r>
          <w:bookmarkEnd w:id="19"/>
          <w:r>
            <w:rPr>
              <w:rFonts w:hint="eastAsia" w:ascii="黑体" w:hAnsi="黑体" w:eastAsia="黑体" w:cs="黑体"/>
              <w:sz w:val="20"/>
              <w:szCs w:val="20"/>
            </w:rPr>
            <w:fldChar w:fldCharType="end"/>
          </w:r>
        </w:p>
        <w:p w14:paraId="065BD845">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_Toc19246_WPSOffice_Level2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68494"/>
              <w:placeholder>
                <w:docPart w:val="{614392d2-ac70-4cd2-ad50-77cb6c8116ac}"/>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六、一般公共预算财政拨款基本支出决算情况说明</w:t>
              </w:r>
            </w:sdtContent>
          </w:sdt>
          <w:r>
            <w:rPr>
              <w:rFonts w:hint="eastAsia" w:ascii="黑体" w:hAnsi="黑体" w:eastAsia="黑体" w:cs="黑体"/>
              <w:sz w:val="20"/>
              <w:szCs w:val="20"/>
            </w:rPr>
            <w:tab/>
          </w:r>
          <w:bookmarkStart w:id="20" w:name="_Toc19246_WPSOffice_Level2Page"/>
          <w:r>
            <w:rPr>
              <w:rFonts w:hint="eastAsia" w:ascii="黑体" w:hAnsi="黑体" w:eastAsia="黑体" w:cs="黑体"/>
              <w:sz w:val="20"/>
              <w:szCs w:val="20"/>
            </w:rPr>
            <w:t>10</w:t>
          </w:r>
          <w:bookmarkEnd w:id="20"/>
          <w:r>
            <w:rPr>
              <w:rFonts w:hint="eastAsia" w:ascii="黑体" w:hAnsi="黑体" w:eastAsia="黑体" w:cs="黑体"/>
              <w:sz w:val="20"/>
              <w:szCs w:val="20"/>
            </w:rPr>
            <w:fldChar w:fldCharType="end"/>
          </w:r>
        </w:p>
        <w:p w14:paraId="739F2280">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_Toc18094_WPSOffice_Level2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52384"/>
              <w:placeholder>
                <w:docPart w:val="{39b92f1c-20ee-42b1-bc4e-b0c818ca8ec1}"/>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七、财政拨款“三公”经费支出决算情况说明</w:t>
              </w:r>
            </w:sdtContent>
          </w:sdt>
          <w:r>
            <w:rPr>
              <w:rFonts w:hint="eastAsia" w:ascii="黑体" w:hAnsi="黑体" w:eastAsia="黑体" w:cs="黑体"/>
              <w:sz w:val="20"/>
              <w:szCs w:val="20"/>
            </w:rPr>
            <w:tab/>
          </w:r>
          <w:bookmarkStart w:id="21" w:name="_Toc18094_WPSOffice_Level2Page"/>
          <w:r>
            <w:rPr>
              <w:rFonts w:hint="eastAsia" w:ascii="黑体" w:hAnsi="黑体" w:eastAsia="黑体" w:cs="黑体"/>
              <w:sz w:val="20"/>
              <w:szCs w:val="20"/>
            </w:rPr>
            <w:t>10</w:t>
          </w:r>
          <w:bookmarkEnd w:id="21"/>
          <w:r>
            <w:rPr>
              <w:rFonts w:hint="eastAsia" w:ascii="黑体" w:hAnsi="黑体" w:eastAsia="黑体" w:cs="黑体"/>
              <w:sz w:val="20"/>
              <w:szCs w:val="20"/>
            </w:rPr>
            <w:fldChar w:fldCharType="end"/>
          </w:r>
        </w:p>
        <w:p w14:paraId="4AC73CFE">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_Toc12803_WPSOffice_Level2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50971"/>
              <w:placeholder>
                <w:docPart w:val="{97f0225b-77b7-42db-b5e0-47e972f52d5e}"/>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八、政府性基金预算支出决算情况说明</w:t>
              </w:r>
            </w:sdtContent>
          </w:sdt>
          <w:r>
            <w:rPr>
              <w:rFonts w:hint="eastAsia" w:ascii="黑体" w:hAnsi="黑体" w:eastAsia="黑体" w:cs="黑体"/>
              <w:sz w:val="20"/>
              <w:szCs w:val="20"/>
            </w:rPr>
            <w:tab/>
          </w:r>
          <w:bookmarkStart w:id="22" w:name="_Toc12803_WPSOffice_Level2Page"/>
          <w:r>
            <w:rPr>
              <w:rFonts w:hint="eastAsia" w:ascii="黑体" w:hAnsi="黑体" w:eastAsia="黑体" w:cs="黑体"/>
              <w:sz w:val="20"/>
              <w:szCs w:val="20"/>
            </w:rPr>
            <w:t>12</w:t>
          </w:r>
          <w:bookmarkEnd w:id="22"/>
          <w:r>
            <w:rPr>
              <w:rFonts w:hint="eastAsia" w:ascii="黑体" w:hAnsi="黑体" w:eastAsia="黑体" w:cs="黑体"/>
              <w:sz w:val="20"/>
              <w:szCs w:val="20"/>
            </w:rPr>
            <w:fldChar w:fldCharType="end"/>
          </w:r>
        </w:p>
        <w:p w14:paraId="70CF4057">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_Toc504_WPSOffice_Level2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81064"/>
              <w:placeholder>
                <w:docPart w:val="{19a5fa73-1951-4403-94aa-5310ffe0cdb0}"/>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九、国有资本经营预算支出决算情况说明</w:t>
              </w:r>
            </w:sdtContent>
          </w:sdt>
          <w:r>
            <w:rPr>
              <w:rFonts w:hint="eastAsia" w:ascii="黑体" w:hAnsi="黑体" w:eastAsia="黑体" w:cs="黑体"/>
              <w:sz w:val="20"/>
              <w:szCs w:val="20"/>
            </w:rPr>
            <w:tab/>
          </w:r>
          <w:bookmarkStart w:id="23" w:name="_Toc504_WPSOffice_Level2Page"/>
          <w:r>
            <w:rPr>
              <w:rFonts w:hint="eastAsia" w:ascii="黑体" w:hAnsi="黑体" w:eastAsia="黑体" w:cs="黑体"/>
              <w:sz w:val="20"/>
              <w:szCs w:val="20"/>
            </w:rPr>
            <w:t>12</w:t>
          </w:r>
          <w:bookmarkEnd w:id="23"/>
          <w:r>
            <w:rPr>
              <w:rFonts w:hint="eastAsia" w:ascii="黑体" w:hAnsi="黑体" w:eastAsia="黑体" w:cs="黑体"/>
              <w:sz w:val="20"/>
              <w:szCs w:val="20"/>
            </w:rPr>
            <w:fldChar w:fldCharType="end"/>
          </w:r>
        </w:p>
        <w:p w14:paraId="29BCADD0">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_Toc6637_WPSOffice_Level2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70357"/>
              <w:placeholder>
                <w:docPart w:val="{fc596f8b-b220-496d-aec6-0bdb6a4dea8e}"/>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十、其他重要事项的情况说明</w:t>
              </w:r>
            </w:sdtContent>
          </w:sdt>
          <w:r>
            <w:rPr>
              <w:rFonts w:hint="eastAsia" w:ascii="黑体" w:hAnsi="黑体" w:eastAsia="黑体" w:cs="黑体"/>
              <w:sz w:val="20"/>
              <w:szCs w:val="20"/>
            </w:rPr>
            <w:tab/>
          </w:r>
          <w:bookmarkStart w:id="24" w:name="_Toc6637_WPSOffice_Level2Page"/>
          <w:r>
            <w:rPr>
              <w:rFonts w:hint="eastAsia" w:ascii="黑体" w:hAnsi="黑体" w:eastAsia="黑体" w:cs="黑体"/>
              <w:sz w:val="20"/>
              <w:szCs w:val="20"/>
            </w:rPr>
            <w:t>12</w:t>
          </w:r>
          <w:bookmarkEnd w:id="24"/>
          <w:r>
            <w:rPr>
              <w:rFonts w:hint="eastAsia" w:ascii="黑体" w:hAnsi="黑体" w:eastAsia="黑体" w:cs="黑体"/>
              <w:sz w:val="20"/>
              <w:szCs w:val="20"/>
            </w:rPr>
            <w:fldChar w:fldCharType="end"/>
          </w:r>
        </w:p>
        <w:p w14:paraId="26776C92">
          <w:pPr>
            <w:pStyle w:val="37"/>
            <w:tabs>
              <w:tab w:val="right" w:leader="dot" w:pos="8306"/>
            </w:tabs>
            <w:rPr>
              <w:rFonts w:hint="eastAsia" w:ascii="黑体" w:hAnsi="黑体" w:eastAsia="黑体" w:cs="黑体"/>
              <w:sz w:val="20"/>
              <w:szCs w:val="20"/>
            </w:rPr>
          </w:pPr>
          <w:r>
            <w:rPr>
              <w:rFonts w:hint="eastAsia" w:ascii="黑体" w:hAnsi="黑体" w:eastAsia="黑体" w:cs="黑体"/>
              <w:b/>
              <w:bCs/>
              <w:sz w:val="20"/>
              <w:szCs w:val="20"/>
            </w:rPr>
            <w:fldChar w:fldCharType="begin"/>
          </w:r>
          <w:r>
            <w:rPr>
              <w:rFonts w:hint="eastAsia" w:ascii="黑体" w:hAnsi="黑体" w:eastAsia="黑体" w:cs="黑体"/>
              <w:sz w:val="20"/>
              <w:szCs w:val="20"/>
            </w:rPr>
            <w:instrText xml:space="preserve"> HYPERLINK \l _Toc976_WPSOffice_Level1 </w:instrText>
          </w:r>
          <w:r>
            <w:rPr>
              <w:rFonts w:hint="eastAsia" w:ascii="黑体" w:hAnsi="黑体" w:eastAsia="黑体" w:cs="黑体"/>
              <w:b/>
              <w:bCs/>
              <w:sz w:val="20"/>
              <w:szCs w:val="20"/>
            </w:rPr>
            <w:fldChar w:fldCharType="separate"/>
          </w:r>
          <w:sdt>
            <w:sdtPr>
              <w:rPr>
                <w:rFonts w:hint="eastAsia" w:ascii="黑体" w:hAnsi="黑体" w:eastAsia="黑体" w:cs="黑体"/>
                <w:b/>
                <w:bCs/>
                <w:kern w:val="2"/>
                <w:sz w:val="20"/>
                <w:szCs w:val="20"/>
                <w:lang w:val="en-US" w:eastAsia="zh-CN" w:bidi="ar-SA"/>
              </w:rPr>
              <w:id w:val="147464101"/>
              <w:placeholder>
                <w:docPart w:val="{c7d51202-23a5-4b64-a9de-d5ef6dcc109d}"/>
              </w:placeholder>
            </w:sdtPr>
            <w:sdtEndPr>
              <w:rPr>
                <w:rFonts w:hint="eastAsia" w:ascii="黑体" w:hAnsi="黑体" w:eastAsia="黑体" w:cs="黑体"/>
                <w:b/>
                <w:bCs/>
                <w:kern w:val="2"/>
                <w:sz w:val="20"/>
                <w:szCs w:val="20"/>
                <w:lang w:val="en-US" w:eastAsia="zh-CN" w:bidi="ar-SA"/>
              </w:rPr>
            </w:sdtEndPr>
            <w:sdtContent>
              <w:r>
                <w:rPr>
                  <w:rFonts w:hint="eastAsia" w:ascii="黑体" w:hAnsi="黑体" w:eastAsia="黑体" w:cs="黑体"/>
                  <w:b/>
                  <w:bCs/>
                  <w:sz w:val="20"/>
                  <w:szCs w:val="20"/>
                </w:rPr>
                <w:t>第三部分  名词解释</w:t>
              </w:r>
            </w:sdtContent>
          </w:sdt>
          <w:r>
            <w:rPr>
              <w:rFonts w:hint="eastAsia" w:ascii="黑体" w:hAnsi="黑体" w:eastAsia="黑体" w:cs="黑体"/>
              <w:b/>
              <w:bCs/>
              <w:sz w:val="20"/>
              <w:szCs w:val="20"/>
            </w:rPr>
            <w:tab/>
          </w:r>
          <w:bookmarkStart w:id="25" w:name="_Toc976_WPSOffice_Level1Page"/>
          <w:r>
            <w:rPr>
              <w:rFonts w:hint="eastAsia" w:ascii="黑体" w:hAnsi="黑体" w:eastAsia="黑体" w:cs="黑体"/>
              <w:b/>
              <w:bCs/>
              <w:sz w:val="20"/>
              <w:szCs w:val="20"/>
            </w:rPr>
            <w:t>15</w:t>
          </w:r>
          <w:bookmarkEnd w:id="25"/>
          <w:r>
            <w:rPr>
              <w:rFonts w:hint="eastAsia" w:ascii="黑体" w:hAnsi="黑体" w:eastAsia="黑体" w:cs="黑体"/>
              <w:b/>
              <w:bCs/>
              <w:sz w:val="20"/>
              <w:szCs w:val="20"/>
            </w:rPr>
            <w:fldChar w:fldCharType="end"/>
          </w:r>
        </w:p>
        <w:p w14:paraId="06B01D78">
          <w:pPr>
            <w:pStyle w:val="37"/>
            <w:tabs>
              <w:tab w:val="right" w:leader="dot" w:pos="8306"/>
            </w:tabs>
            <w:rPr>
              <w:rFonts w:hint="eastAsia" w:ascii="黑体" w:hAnsi="黑体" w:eastAsia="黑体" w:cs="黑体"/>
              <w:sz w:val="20"/>
              <w:szCs w:val="20"/>
            </w:rPr>
          </w:pPr>
          <w:r>
            <w:rPr>
              <w:rFonts w:hint="eastAsia" w:ascii="黑体" w:hAnsi="黑体" w:eastAsia="黑体" w:cs="黑体"/>
              <w:b/>
              <w:bCs/>
              <w:sz w:val="20"/>
              <w:szCs w:val="20"/>
            </w:rPr>
            <w:fldChar w:fldCharType="begin"/>
          </w:r>
          <w:r>
            <w:rPr>
              <w:rFonts w:hint="eastAsia" w:ascii="黑体" w:hAnsi="黑体" w:eastAsia="黑体" w:cs="黑体"/>
              <w:sz w:val="20"/>
              <w:szCs w:val="20"/>
            </w:rPr>
            <w:instrText xml:space="preserve"> HYPERLINK \l _Toc29154_WPSOffice_Level1 </w:instrText>
          </w:r>
          <w:r>
            <w:rPr>
              <w:rFonts w:hint="eastAsia" w:ascii="黑体" w:hAnsi="黑体" w:eastAsia="黑体" w:cs="黑体"/>
              <w:b/>
              <w:bCs/>
              <w:sz w:val="20"/>
              <w:szCs w:val="20"/>
            </w:rPr>
            <w:fldChar w:fldCharType="separate"/>
          </w:r>
          <w:sdt>
            <w:sdtPr>
              <w:rPr>
                <w:rFonts w:hint="eastAsia" w:ascii="黑体" w:hAnsi="黑体" w:eastAsia="黑体" w:cs="黑体"/>
                <w:b/>
                <w:bCs/>
                <w:kern w:val="2"/>
                <w:sz w:val="20"/>
                <w:szCs w:val="20"/>
                <w:lang w:val="en-US" w:eastAsia="zh-CN" w:bidi="ar-SA"/>
              </w:rPr>
              <w:id w:val="147472125"/>
              <w:placeholder>
                <w:docPart w:val="{fd70b7d7-f694-4bdc-9550-d5421ac50334}"/>
              </w:placeholder>
            </w:sdtPr>
            <w:sdtEndPr>
              <w:rPr>
                <w:rFonts w:hint="eastAsia" w:ascii="黑体" w:hAnsi="黑体" w:eastAsia="黑体" w:cs="黑体"/>
                <w:b/>
                <w:bCs/>
                <w:kern w:val="2"/>
                <w:sz w:val="20"/>
                <w:szCs w:val="20"/>
                <w:lang w:val="en-US" w:eastAsia="zh-CN" w:bidi="ar-SA"/>
              </w:rPr>
            </w:sdtEndPr>
            <w:sdtContent>
              <w:r>
                <w:rPr>
                  <w:rFonts w:hint="eastAsia" w:ascii="黑体" w:hAnsi="黑体" w:eastAsia="黑体" w:cs="黑体"/>
                  <w:b/>
                  <w:bCs/>
                  <w:sz w:val="20"/>
                  <w:szCs w:val="20"/>
                </w:rPr>
                <w:t>第四部分  附件</w:t>
              </w:r>
            </w:sdtContent>
          </w:sdt>
          <w:r>
            <w:rPr>
              <w:rFonts w:hint="eastAsia" w:ascii="黑体" w:hAnsi="黑体" w:eastAsia="黑体" w:cs="黑体"/>
              <w:b/>
              <w:bCs/>
              <w:sz w:val="20"/>
              <w:szCs w:val="20"/>
            </w:rPr>
            <w:tab/>
          </w:r>
          <w:bookmarkStart w:id="26" w:name="_Toc29154_WPSOffice_Level1Page"/>
          <w:r>
            <w:rPr>
              <w:rFonts w:hint="eastAsia" w:ascii="黑体" w:hAnsi="黑体" w:eastAsia="黑体" w:cs="黑体"/>
              <w:b/>
              <w:bCs/>
              <w:sz w:val="20"/>
              <w:szCs w:val="20"/>
            </w:rPr>
            <w:t>18</w:t>
          </w:r>
          <w:bookmarkEnd w:id="26"/>
          <w:r>
            <w:rPr>
              <w:rFonts w:hint="eastAsia" w:ascii="黑体" w:hAnsi="黑体" w:eastAsia="黑体" w:cs="黑体"/>
              <w:b/>
              <w:bCs/>
              <w:sz w:val="20"/>
              <w:szCs w:val="20"/>
            </w:rPr>
            <w:fldChar w:fldCharType="end"/>
          </w:r>
        </w:p>
        <w:p w14:paraId="45908393">
          <w:pPr>
            <w:pStyle w:val="37"/>
            <w:tabs>
              <w:tab w:val="right" w:leader="dot" w:pos="8306"/>
            </w:tabs>
            <w:rPr>
              <w:rFonts w:hint="eastAsia" w:ascii="黑体" w:hAnsi="黑体" w:eastAsia="黑体" w:cs="黑体"/>
              <w:sz w:val="20"/>
              <w:szCs w:val="20"/>
            </w:rPr>
          </w:pPr>
          <w:r>
            <w:rPr>
              <w:rFonts w:hint="eastAsia" w:ascii="黑体" w:hAnsi="黑体" w:eastAsia="黑体" w:cs="黑体"/>
              <w:b/>
              <w:bCs/>
              <w:sz w:val="20"/>
              <w:szCs w:val="20"/>
            </w:rPr>
            <w:fldChar w:fldCharType="begin"/>
          </w:r>
          <w:r>
            <w:rPr>
              <w:rFonts w:hint="eastAsia" w:ascii="黑体" w:hAnsi="黑体" w:eastAsia="黑体" w:cs="黑体"/>
              <w:sz w:val="20"/>
              <w:szCs w:val="20"/>
            </w:rPr>
            <w:instrText xml:space="preserve"> HYPERLINK \l _Toc7095_WPSOffice_Level1 </w:instrText>
          </w:r>
          <w:r>
            <w:rPr>
              <w:rFonts w:hint="eastAsia" w:ascii="黑体" w:hAnsi="黑体" w:eastAsia="黑体" w:cs="黑体"/>
              <w:b/>
              <w:bCs/>
              <w:sz w:val="20"/>
              <w:szCs w:val="20"/>
            </w:rPr>
            <w:fldChar w:fldCharType="separate"/>
          </w:r>
          <w:sdt>
            <w:sdtPr>
              <w:rPr>
                <w:rFonts w:hint="eastAsia" w:ascii="黑体" w:hAnsi="黑体" w:eastAsia="黑体" w:cs="黑体"/>
                <w:b/>
                <w:bCs/>
                <w:kern w:val="2"/>
                <w:sz w:val="20"/>
                <w:szCs w:val="20"/>
                <w:lang w:val="en-US" w:eastAsia="zh-CN" w:bidi="ar-SA"/>
              </w:rPr>
              <w:id w:val="147481076"/>
              <w:placeholder>
                <w:docPart w:val="{a6596081-c767-4923-92b7-3eebb3ca0a8f}"/>
              </w:placeholder>
            </w:sdtPr>
            <w:sdtEndPr>
              <w:rPr>
                <w:rFonts w:hint="eastAsia" w:ascii="黑体" w:hAnsi="黑体" w:eastAsia="黑体" w:cs="黑体"/>
                <w:b/>
                <w:bCs/>
                <w:kern w:val="2"/>
                <w:sz w:val="20"/>
                <w:szCs w:val="20"/>
                <w:lang w:val="en-US" w:eastAsia="zh-CN" w:bidi="ar-SA"/>
              </w:rPr>
            </w:sdtEndPr>
            <w:sdtContent>
              <w:r>
                <w:rPr>
                  <w:rFonts w:hint="eastAsia" w:ascii="黑体" w:hAnsi="黑体" w:eastAsia="黑体" w:cs="黑体"/>
                  <w:b/>
                  <w:bCs/>
                  <w:sz w:val="20"/>
                  <w:szCs w:val="20"/>
                </w:rPr>
                <w:t>第五部分 附表</w:t>
              </w:r>
            </w:sdtContent>
          </w:sdt>
          <w:r>
            <w:rPr>
              <w:rFonts w:hint="eastAsia" w:ascii="黑体" w:hAnsi="黑体" w:eastAsia="黑体" w:cs="黑体"/>
              <w:b/>
              <w:bCs/>
              <w:sz w:val="20"/>
              <w:szCs w:val="20"/>
            </w:rPr>
            <w:tab/>
          </w:r>
          <w:bookmarkStart w:id="27" w:name="_Toc7095_WPSOffice_Level1Page"/>
          <w:r>
            <w:rPr>
              <w:rFonts w:hint="eastAsia" w:ascii="黑体" w:hAnsi="黑体" w:eastAsia="黑体" w:cs="黑体"/>
              <w:b/>
              <w:bCs/>
              <w:sz w:val="20"/>
              <w:szCs w:val="20"/>
            </w:rPr>
            <w:t>28</w:t>
          </w:r>
          <w:bookmarkEnd w:id="27"/>
          <w:r>
            <w:rPr>
              <w:rFonts w:hint="eastAsia" w:ascii="黑体" w:hAnsi="黑体" w:eastAsia="黑体" w:cs="黑体"/>
              <w:b/>
              <w:bCs/>
              <w:sz w:val="20"/>
              <w:szCs w:val="20"/>
            </w:rPr>
            <w:fldChar w:fldCharType="end"/>
          </w:r>
        </w:p>
        <w:p w14:paraId="4031860C">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_Toc4001_WPSOffice_Level2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67489"/>
              <w:placeholder>
                <w:docPart w:val="{45f4e09c-f630-4551-82d9-253f4fc73ae8}"/>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一、收入支出决算总表</w:t>
              </w:r>
            </w:sdtContent>
          </w:sdt>
          <w:r>
            <w:rPr>
              <w:rFonts w:hint="eastAsia" w:ascii="黑体" w:hAnsi="黑体" w:eastAsia="黑体" w:cs="黑体"/>
              <w:sz w:val="20"/>
              <w:szCs w:val="20"/>
            </w:rPr>
            <w:tab/>
          </w:r>
          <w:bookmarkStart w:id="28" w:name="_Toc4001_WPSOffice_Level2Page"/>
          <w:r>
            <w:rPr>
              <w:rFonts w:hint="eastAsia" w:ascii="黑体" w:hAnsi="黑体" w:eastAsia="黑体" w:cs="黑体"/>
              <w:sz w:val="20"/>
              <w:szCs w:val="20"/>
            </w:rPr>
            <w:t>28</w:t>
          </w:r>
          <w:bookmarkEnd w:id="28"/>
          <w:r>
            <w:rPr>
              <w:rFonts w:hint="eastAsia" w:ascii="黑体" w:hAnsi="黑体" w:eastAsia="黑体" w:cs="黑体"/>
              <w:sz w:val="20"/>
              <w:szCs w:val="20"/>
            </w:rPr>
            <w:fldChar w:fldCharType="end"/>
          </w:r>
        </w:p>
        <w:p w14:paraId="2E2D11CB">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_Toc18372_WPSOffice_Level2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75509"/>
              <w:placeholder>
                <w:docPart w:val="{281a2918-7d4a-459a-b4f7-727ff382d05f}"/>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二、收入决算表</w:t>
              </w:r>
            </w:sdtContent>
          </w:sdt>
          <w:r>
            <w:rPr>
              <w:rFonts w:hint="eastAsia" w:ascii="黑体" w:hAnsi="黑体" w:eastAsia="黑体" w:cs="黑体"/>
              <w:sz w:val="20"/>
              <w:szCs w:val="20"/>
            </w:rPr>
            <w:tab/>
          </w:r>
          <w:bookmarkStart w:id="29" w:name="_Toc18372_WPSOffice_Level2Page"/>
          <w:r>
            <w:rPr>
              <w:rFonts w:hint="eastAsia" w:ascii="黑体" w:hAnsi="黑体" w:eastAsia="黑体" w:cs="黑体"/>
              <w:sz w:val="20"/>
              <w:szCs w:val="20"/>
            </w:rPr>
            <w:t>28</w:t>
          </w:r>
          <w:bookmarkEnd w:id="29"/>
          <w:r>
            <w:rPr>
              <w:rFonts w:hint="eastAsia" w:ascii="黑体" w:hAnsi="黑体" w:eastAsia="黑体" w:cs="黑体"/>
              <w:sz w:val="20"/>
              <w:szCs w:val="20"/>
            </w:rPr>
            <w:fldChar w:fldCharType="end"/>
          </w:r>
        </w:p>
        <w:p w14:paraId="0C28D4D6">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_Toc24893_WPSOffice_Level2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79351"/>
              <w:placeholder>
                <w:docPart w:val="{90585345-9b87-4173-95f2-6f88da51b5c8}"/>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三、支出决算表</w:t>
              </w:r>
            </w:sdtContent>
          </w:sdt>
          <w:r>
            <w:rPr>
              <w:rFonts w:hint="eastAsia" w:ascii="黑体" w:hAnsi="黑体" w:eastAsia="黑体" w:cs="黑体"/>
              <w:sz w:val="20"/>
              <w:szCs w:val="20"/>
            </w:rPr>
            <w:tab/>
          </w:r>
          <w:bookmarkStart w:id="30" w:name="_Toc24893_WPSOffice_Level2Page"/>
          <w:r>
            <w:rPr>
              <w:rFonts w:hint="eastAsia" w:ascii="黑体" w:hAnsi="黑体" w:eastAsia="黑体" w:cs="黑体"/>
              <w:sz w:val="20"/>
              <w:szCs w:val="20"/>
            </w:rPr>
            <w:t>28</w:t>
          </w:r>
          <w:bookmarkEnd w:id="30"/>
          <w:r>
            <w:rPr>
              <w:rFonts w:hint="eastAsia" w:ascii="黑体" w:hAnsi="黑体" w:eastAsia="黑体" w:cs="黑体"/>
              <w:sz w:val="20"/>
              <w:szCs w:val="20"/>
            </w:rPr>
            <w:fldChar w:fldCharType="end"/>
          </w:r>
        </w:p>
        <w:p w14:paraId="7F543684">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_Toc922_WPSOffice_Level2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80387"/>
              <w:placeholder>
                <w:docPart w:val="{31464f07-2e9b-403f-ade3-05dccf4e3992}"/>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四、财政拨款收入支出决算总表</w:t>
              </w:r>
            </w:sdtContent>
          </w:sdt>
          <w:r>
            <w:rPr>
              <w:rFonts w:hint="eastAsia" w:ascii="黑体" w:hAnsi="黑体" w:eastAsia="黑体" w:cs="黑体"/>
              <w:sz w:val="20"/>
              <w:szCs w:val="20"/>
            </w:rPr>
            <w:tab/>
          </w:r>
          <w:bookmarkStart w:id="31" w:name="_Toc922_WPSOffice_Level2Page"/>
          <w:r>
            <w:rPr>
              <w:rFonts w:hint="eastAsia" w:ascii="黑体" w:hAnsi="黑体" w:eastAsia="黑体" w:cs="黑体"/>
              <w:sz w:val="20"/>
              <w:szCs w:val="20"/>
            </w:rPr>
            <w:t>28</w:t>
          </w:r>
          <w:bookmarkEnd w:id="31"/>
          <w:r>
            <w:rPr>
              <w:rFonts w:hint="eastAsia" w:ascii="黑体" w:hAnsi="黑体" w:eastAsia="黑体" w:cs="黑体"/>
              <w:sz w:val="20"/>
              <w:szCs w:val="20"/>
            </w:rPr>
            <w:fldChar w:fldCharType="end"/>
          </w:r>
        </w:p>
        <w:p w14:paraId="32860D95">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_Toc29401_WPSOffice_Level2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62069"/>
              <w:placeholder>
                <w:docPart w:val="{9d5b16eb-c2b0-4ecb-a1dc-4901edc877e6}"/>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五、财政拨款支出决算明细表</w:t>
              </w:r>
            </w:sdtContent>
          </w:sdt>
          <w:r>
            <w:rPr>
              <w:rFonts w:hint="eastAsia" w:ascii="黑体" w:hAnsi="黑体" w:eastAsia="黑体" w:cs="黑体"/>
              <w:sz w:val="20"/>
              <w:szCs w:val="20"/>
            </w:rPr>
            <w:tab/>
          </w:r>
          <w:bookmarkStart w:id="32" w:name="_Toc29401_WPSOffice_Level2Page"/>
          <w:r>
            <w:rPr>
              <w:rFonts w:hint="eastAsia" w:ascii="黑体" w:hAnsi="黑体" w:eastAsia="黑体" w:cs="黑体"/>
              <w:sz w:val="20"/>
              <w:szCs w:val="20"/>
            </w:rPr>
            <w:t>28</w:t>
          </w:r>
          <w:bookmarkEnd w:id="32"/>
          <w:r>
            <w:rPr>
              <w:rFonts w:hint="eastAsia" w:ascii="黑体" w:hAnsi="黑体" w:eastAsia="黑体" w:cs="黑体"/>
              <w:sz w:val="20"/>
              <w:szCs w:val="20"/>
            </w:rPr>
            <w:fldChar w:fldCharType="end"/>
          </w:r>
        </w:p>
        <w:p w14:paraId="7B7F47A6">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_Toc31244_WPSOffice_Level2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78833"/>
              <w:placeholder>
                <w:docPart w:val="{f9672b06-22ce-41d0-b96c-2a6590171d19}"/>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六、一般公共预算财政拨款支出决算表</w:t>
              </w:r>
            </w:sdtContent>
          </w:sdt>
          <w:r>
            <w:rPr>
              <w:rFonts w:hint="eastAsia" w:ascii="黑体" w:hAnsi="黑体" w:eastAsia="黑体" w:cs="黑体"/>
              <w:sz w:val="20"/>
              <w:szCs w:val="20"/>
            </w:rPr>
            <w:tab/>
          </w:r>
          <w:bookmarkStart w:id="33" w:name="_Toc31244_WPSOffice_Level2Page"/>
          <w:r>
            <w:rPr>
              <w:rFonts w:hint="eastAsia" w:ascii="黑体" w:hAnsi="黑体" w:eastAsia="黑体" w:cs="黑体"/>
              <w:sz w:val="20"/>
              <w:szCs w:val="20"/>
            </w:rPr>
            <w:t>28</w:t>
          </w:r>
          <w:bookmarkEnd w:id="33"/>
          <w:r>
            <w:rPr>
              <w:rFonts w:hint="eastAsia" w:ascii="黑体" w:hAnsi="黑体" w:eastAsia="黑体" w:cs="黑体"/>
              <w:sz w:val="20"/>
              <w:szCs w:val="20"/>
            </w:rPr>
            <w:fldChar w:fldCharType="end"/>
          </w:r>
        </w:p>
        <w:p w14:paraId="0FB40532">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_Toc7633_WPSOffice_Level2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83289"/>
              <w:placeholder>
                <w:docPart w:val="{70a61d5b-a90e-4cee-a09c-48509e252044}"/>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七、一般公共预算财政拨款支出决算明细表</w:t>
              </w:r>
            </w:sdtContent>
          </w:sdt>
          <w:r>
            <w:rPr>
              <w:rFonts w:hint="eastAsia" w:ascii="黑体" w:hAnsi="黑体" w:eastAsia="黑体" w:cs="黑体"/>
              <w:sz w:val="20"/>
              <w:szCs w:val="20"/>
            </w:rPr>
            <w:tab/>
          </w:r>
          <w:bookmarkStart w:id="34" w:name="_Toc7633_WPSOffice_Level2Page"/>
          <w:r>
            <w:rPr>
              <w:rFonts w:hint="eastAsia" w:ascii="黑体" w:hAnsi="黑体" w:eastAsia="黑体" w:cs="黑体"/>
              <w:sz w:val="20"/>
              <w:szCs w:val="20"/>
            </w:rPr>
            <w:t>28</w:t>
          </w:r>
          <w:bookmarkEnd w:id="34"/>
          <w:r>
            <w:rPr>
              <w:rFonts w:hint="eastAsia" w:ascii="黑体" w:hAnsi="黑体" w:eastAsia="黑体" w:cs="黑体"/>
              <w:sz w:val="20"/>
              <w:szCs w:val="20"/>
            </w:rPr>
            <w:fldChar w:fldCharType="end"/>
          </w:r>
        </w:p>
        <w:p w14:paraId="015FF65D">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_Toc7636_WPSOffice_Level2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68766"/>
              <w:placeholder>
                <w:docPart w:val="{f5c7e7d8-e406-4d2b-868d-273e76d1c39a}"/>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八、一般公共预算财政拨款基本支出决算表</w:t>
              </w:r>
            </w:sdtContent>
          </w:sdt>
          <w:r>
            <w:rPr>
              <w:rFonts w:hint="eastAsia" w:ascii="黑体" w:hAnsi="黑体" w:eastAsia="黑体" w:cs="黑体"/>
              <w:sz w:val="20"/>
              <w:szCs w:val="20"/>
            </w:rPr>
            <w:tab/>
          </w:r>
          <w:bookmarkStart w:id="35" w:name="_Toc7636_WPSOffice_Level2Page"/>
          <w:r>
            <w:rPr>
              <w:rFonts w:hint="eastAsia" w:ascii="黑体" w:hAnsi="黑体" w:eastAsia="黑体" w:cs="黑体"/>
              <w:sz w:val="20"/>
              <w:szCs w:val="20"/>
            </w:rPr>
            <w:t>28</w:t>
          </w:r>
          <w:bookmarkEnd w:id="35"/>
          <w:r>
            <w:rPr>
              <w:rFonts w:hint="eastAsia" w:ascii="黑体" w:hAnsi="黑体" w:eastAsia="黑体" w:cs="黑体"/>
              <w:sz w:val="20"/>
              <w:szCs w:val="20"/>
            </w:rPr>
            <w:fldChar w:fldCharType="end"/>
          </w:r>
        </w:p>
        <w:p w14:paraId="0FBFDF0C">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_Toc21893_WPSOffice_Level2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68907"/>
              <w:placeholder>
                <w:docPart w:val="{dc212f19-ba5f-4d5a-b2a3-bf147c00c463}"/>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九、一般公共预算财政拨款项目支出决算表</w:t>
              </w:r>
            </w:sdtContent>
          </w:sdt>
          <w:r>
            <w:rPr>
              <w:rFonts w:hint="eastAsia" w:ascii="黑体" w:hAnsi="黑体" w:eastAsia="黑体" w:cs="黑体"/>
              <w:sz w:val="20"/>
              <w:szCs w:val="20"/>
            </w:rPr>
            <w:tab/>
          </w:r>
          <w:bookmarkStart w:id="36" w:name="_Toc21893_WPSOffice_Level2Page"/>
          <w:r>
            <w:rPr>
              <w:rFonts w:hint="eastAsia" w:ascii="黑体" w:hAnsi="黑体" w:eastAsia="黑体" w:cs="黑体"/>
              <w:sz w:val="20"/>
              <w:szCs w:val="20"/>
            </w:rPr>
            <w:t>28</w:t>
          </w:r>
          <w:bookmarkEnd w:id="36"/>
          <w:r>
            <w:rPr>
              <w:rFonts w:hint="eastAsia" w:ascii="黑体" w:hAnsi="黑体" w:eastAsia="黑体" w:cs="黑体"/>
              <w:sz w:val="20"/>
              <w:szCs w:val="20"/>
            </w:rPr>
            <w:fldChar w:fldCharType="end"/>
          </w:r>
        </w:p>
        <w:p w14:paraId="756C9784">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_Toc23097_WPSOffice_Level2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60927"/>
              <w:placeholder>
                <w:docPart w:val="{fbeb92ff-50cc-4906-bc84-2436c90ff1c0}"/>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十、政府性基金预算财政拨款收入支出决算表</w:t>
              </w:r>
            </w:sdtContent>
          </w:sdt>
          <w:r>
            <w:rPr>
              <w:rFonts w:hint="eastAsia" w:ascii="黑体" w:hAnsi="黑体" w:eastAsia="黑体" w:cs="黑体"/>
              <w:sz w:val="20"/>
              <w:szCs w:val="20"/>
            </w:rPr>
            <w:tab/>
          </w:r>
          <w:bookmarkStart w:id="37" w:name="_Toc23097_WPSOffice_Level2Page"/>
          <w:r>
            <w:rPr>
              <w:rFonts w:hint="eastAsia" w:ascii="黑体" w:hAnsi="黑体" w:eastAsia="黑体" w:cs="黑体"/>
              <w:sz w:val="20"/>
              <w:szCs w:val="20"/>
            </w:rPr>
            <w:t>28</w:t>
          </w:r>
          <w:bookmarkEnd w:id="37"/>
          <w:r>
            <w:rPr>
              <w:rFonts w:hint="eastAsia" w:ascii="黑体" w:hAnsi="黑体" w:eastAsia="黑体" w:cs="黑体"/>
              <w:sz w:val="20"/>
              <w:szCs w:val="20"/>
            </w:rPr>
            <w:fldChar w:fldCharType="end"/>
          </w:r>
        </w:p>
        <w:p w14:paraId="1BD18A4E">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_Toc4085_WPSOffice_Level2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78688"/>
              <w:placeholder>
                <w:docPart w:val="{41165e54-9df2-4059-a143-0d5b7d869f89}"/>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十一、国有资本经营预算财政拨款收入支出决算表</w:t>
              </w:r>
            </w:sdtContent>
          </w:sdt>
          <w:r>
            <w:rPr>
              <w:rFonts w:hint="eastAsia" w:ascii="黑体" w:hAnsi="黑体" w:eastAsia="黑体" w:cs="黑体"/>
              <w:sz w:val="20"/>
              <w:szCs w:val="20"/>
            </w:rPr>
            <w:tab/>
          </w:r>
          <w:bookmarkStart w:id="38" w:name="_Toc4085_WPSOffice_Level2Page"/>
          <w:r>
            <w:rPr>
              <w:rFonts w:hint="eastAsia" w:ascii="黑体" w:hAnsi="黑体" w:eastAsia="黑体" w:cs="黑体"/>
              <w:sz w:val="20"/>
              <w:szCs w:val="20"/>
            </w:rPr>
            <w:t>28</w:t>
          </w:r>
          <w:bookmarkEnd w:id="38"/>
          <w:r>
            <w:rPr>
              <w:rFonts w:hint="eastAsia" w:ascii="黑体" w:hAnsi="黑体" w:eastAsia="黑体" w:cs="黑体"/>
              <w:sz w:val="20"/>
              <w:szCs w:val="20"/>
            </w:rPr>
            <w:fldChar w:fldCharType="end"/>
          </w:r>
        </w:p>
        <w:p w14:paraId="77B3AD48">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_Toc3498_WPSOffice_Level2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81334"/>
              <w:placeholder>
                <w:docPart w:val="{58a93dda-bbce-4357-b91e-d6fab6307949}"/>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十二、国有资本经营预算财政拨款支出决算表</w:t>
              </w:r>
            </w:sdtContent>
          </w:sdt>
          <w:r>
            <w:rPr>
              <w:rFonts w:hint="eastAsia" w:ascii="黑体" w:hAnsi="黑体" w:eastAsia="黑体" w:cs="黑体"/>
              <w:sz w:val="20"/>
              <w:szCs w:val="20"/>
            </w:rPr>
            <w:tab/>
          </w:r>
          <w:bookmarkStart w:id="39" w:name="_Toc3498_WPSOffice_Level2Page"/>
          <w:r>
            <w:rPr>
              <w:rFonts w:hint="eastAsia" w:ascii="黑体" w:hAnsi="黑体" w:eastAsia="黑体" w:cs="黑体"/>
              <w:sz w:val="20"/>
              <w:szCs w:val="20"/>
            </w:rPr>
            <w:t>28</w:t>
          </w:r>
          <w:bookmarkEnd w:id="39"/>
          <w:r>
            <w:rPr>
              <w:rFonts w:hint="eastAsia" w:ascii="黑体" w:hAnsi="黑体" w:eastAsia="黑体" w:cs="黑体"/>
              <w:sz w:val="20"/>
              <w:szCs w:val="20"/>
            </w:rPr>
            <w:fldChar w:fldCharType="end"/>
          </w:r>
        </w:p>
        <w:p w14:paraId="7254CD03">
          <w:pPr>
            <w:pStyle w:val="38"/>
            <w:tabs>
              <w:tab w:val="right" w:leader="dot" w:pos="8306"/>
            </w:tabs>
            <w:rPr>
              <w:rFonts w:hint="eastAsia" w:ascii="黑体" w:hAnsi="黑体" w:eastAsia="黑体" w:cs="黑体"/>
              <w:sz w:val="20"/>
              <w:szCs w:val="20"/>
            </w:rPr>
          </w:pP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HYPERLINK \l _Toc14466_WPSOffice_Level2 </w:instrText>
          </w:r>
          <w:r>
            <w:rPr>
              <w:rFonts w:hint="eastAsia" w:ascii="黑体" w:hAnsi="黑体" w:eastAsia="黑体" w:cs="黑体"/>
              <w:sz w:val="20"/>
              <w:szCs w:val="20"/>
            </w:rPr>
            <w:fldChar w:fldCharType="separate"/>
          </w:r>
          <w:sdt>
            <w:sdtPr>
              <w:rPr>
                <w:rFonts w:hint="eastAsia" w:ascii="黑体" w:hAnsi="黑体" w:eastAsia="黑体" w:cs="黑体"/>
                <w:kern w:val="2"/>
                <w:sz w:val="20"/>
                <w:szCs w:val="20"/>
                <w:lang w:val="en-US" w:eastAsia="zh-CN" w:bidi="ar-SA"/>
              </w:rPr>
              <w:id w:val="147471963"/>
              <w:placeholder>
                <w:docPart w:val="{cf91b889-32f4-4823-9967-137a0de70a61}"/>
              </w:placeholder>
            </w:sdtPr>
            <w:sdtEndPr>
              <w:rPr>
                <w:rFonts w:hint="eastAsia" w:ascii="黑体" w:hAnsi="黑体" w:eastAsia="黑体" w:cs="黑体"/>
                <w:kern w:val="2"/>
                <w:sz w:val="20"/>
                <w:szCs w:val="20"/>
                <w:lang w:val="en-US" w:eastAsia="zh-CN" w:bidi="ar-SA"/>
              </w:rPr>
            </w:sdtEndPr>
            <w:sdtContent>
              <w:r>
                <w:rPr>
                  <w:rFonts w:hint="eastAsia" w:ascii="黑体" w:hAnsi="黑体" w:eastAsia="黑体" w:cs="黑体"/>
                  <w:sz w:val="20"/>
                  <w:szCs w:val="20"/>
                </w:rPr>
                <w:t>十三、财政拨款“三公”经费支出决算表</w:t>
              </w:r>
            </w:sdtContent>
          </w:sdt>
          <w:r>
            <w:rPr>
              <w:rFonts w:hint="eastAsia" w:ascii="黑体" w:hAnsi="黑体" w:eastAsia="黑体" w:cs="黑体"/>
              <w:sz w:val="20"/>
              <w:szCs w:val="20"/>
            </w:rPr>
            <w:tab/>
          </w:r>
          <w:bookmarkStart w:id="40" w:name="_Toc14466_WPSOffice_Level2Page"/>
          <w:r>
            <w:rPr>
              <w:rFonts w:hint="eastAsia" w:ascii="黑体" w:hAnsi="黑体" w:eastAsia="黑体" w:cs="黑体"/>
              <w:sz w:val="20"/>
              <w:szCs w:val="20"/>
            </w:rPr>
            <w:t>28</w:t>
          </w:r>
          <w:bookmarkEnd w:id="40"/>
          <w:r>
            <w:rPr>
              <w:rFonts w:hint="eastAsia" w:ascii="黑体" w:hAnsi="黑体" w:eastAsia="黑体" w:cs="黑体"/>
              <w:sz w:val="20"/>
              <w:szCs w:val="20"/>
            </w:rPr>
            <w:fldChar w:fldCharType="end"/>
          </w:r>
          <w:bookmarkEnd w:id="8"/>
        </w:p>
      </w:sdtContent>
    </w:sdt>
    <w:p w14:paraId="4987AE08">
      <w:pPr>
        <w:widowControl/>
        <w:spacing w:line="560" w:lineRule="exact"/>
        <w:jc w:val="left"/>
        <w:rPr>
          <w:rFonts w:eastAsia="仿宋_GB2312" w:cs="仿宋_GB2312"/>
          <w:bCs/>
          <w:kern w:val="44"/>
          <w:sz w:val="32"/>
          <w:szCs w:val="32"/>
        </w:rPr>
      </w:pPr>
      <w:r>
        <w:rPr>
          <w:rFonts w:hint="eastAsia" w:eastAsia="仿宋_GB2312" w:cs="仿宋_GB2312"/>
          <w:b/>
          <w:sz w:val="32"/>
          <w:szCs w:val="32"/>
        </w:rPr>
        <w:br w:type="page"/>
      </w:r>
    </w:p>
    <w:p w14:paraId="5B219E11">
      <w:pPr>
        <w:pStyle w:val="3"/>
        <w:jc w:val="center"/>
        <w:rPr>
          <w:rFonts w:eastAsia="黑体"/>
          <w:sz w:val="32"/>
          <w:szCs w:val="32"/>
        </w:rPr>
      </w:pPr>
      <w:bookmarkStart w:id="41" w:name="_Toc31373_WPSOffice_Level1"/>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9"/>
      <w:bookmarkEnd w:id="10"/>
      <w:bookmarkEnd w:id="41"/>
    </w:p>
    <w:p w14:paraId="375BF1E0">
      <w:pPr>
        <w:pStyle w:val="4"/>
        <w:numPr>
          <w:ilvl w:val="0"/>
          <w:numId w:val="1"/>
        </w:numPr>
        <w:rPr>
          <w:rFonts w:hint="eastAsia" w:ascii="Times New Roman" w:hAnsi="Times New Roman" w:eastAsia="黑体"/>
          <w:b w:val="0"/>
        </w:rPr>
      </w:pPr>
      <w:bookmarkStart w:id="42" w:name="_Toc11858_WPSOffice_Level2"/>
      <w:r>
        <w:rPr>
          <w:rFonts w:hint="eastAsia" w:ascii="Times New Roman" w:hAnsi="Times New Roman" w:eastAsia="黑体"/>
          <w:b w:val="0"/>
        </w:rPr>
        <w:t>部门职责</w:t>
      </w:r>
      <w:bookmarkEnd w:id="42"/>
    </w:p>
    <w:p w14:paraId="244F63B2">
      <w:pPr>
        <w:keepNext w:val="0"/>
        <w:keepLines w:val="0"/>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val="0"/>
          <w:bCs w:val="0"/>
          <w:color w:val="auto"/>
          <w:kern w:val="2"/>
          <w:sz w:val="32"/>
          <w:szCs w:val="32"/>
          <w:lang w:val="en-US" w:eastAsia="zh-CN" w:bidi="ar-SA"/>
        </w:rPr>
        <w:t>中共盐边县委组织部主管全县人事、党建方面的工作，负责有关组</w:t>
      </w:r>
      <w:r>
        <w:rPr>
          <w:rFonts w:hint="eastAsia" w:ascii="仿宋" w:hAnsi="仿宋" w:eastAsia="仿宋" w:cs="Times New Roman"/>
          <w:color w:val="auto"/>
          <w:sz w:val="32"/>
          <w:szCs w:val="32"/>
          <w:lang w:val="en-US" w:eastAsia="zh-CN"/>
        </w:rPr>
        <w:t>织工作、干部工作、人才工作的理论研究及重要政策的综合研究；承担省委组织部、市委组织部下达的重点调研课题，指导全县组织系统调研工作等。</w:t>
      </w:r>
    </w:p>
    <w:p w14:paraId="07243D23">
      <w:pPr>
        <w:keepNext w:val="0"/>
        <w:keepLines w:val="0"/>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主要有以下几个职能：</w:t>
      </w:r>
    </w:p>
    <w:p w14:paraId="04A74C9E">
      <w:pPr>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1.组织建设：主要负责在党的基层组织建设、党员教育管理、党员发展、党费管理、党的工作制度、党内生活制度等方面进行指导、组织、管理，提出意见建议等。</w:t>
      </w:r>
    </w:p>
    <w:p w14:paraId="7C0ED0A6">
      <w:pPr>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2.干部工作：主要负责领导班子和干部的考察考核和日常管理工作，提出领导班子调整配备和领导干部职务任免、交流、待遇及离退休的建议意见，负责审核办理干部职务任免、退休、享受待遇等工作；对全县部门干部监督工作的综合协调和宏观指导，研究完善干部监督工作机制。同时负责全县干部教育培训工作的整体规划、宏观指导和协调服务。</w:t>
      </w:r>
    </w:p>
    <w:p w14:paraId="34EF77E1">
      <w:pPr>
        <w:pageBreakBefore w:val="0"/>
        <w:widowControl w:val="0"/>
        <w:kinsoku/>
        <w:wordWrap/>
        <w:overflowPunct/>
        <w:topLinePunct w:val="0"/>
        <w:autoSpaceDE/>
        <w:autoSpaceDN/>
        <w:bidi w:val="0"/>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3.人才工作：主要负责全县人才工作和人才队伍建设宏观管理、政策法规研究实施，指导协调专项人才工作以及高层次人才引进工作，负责牵头或指导实施全县重大人才工程项目和专业技术人才援助工作；负责人才工作专项经费预算落实。</w:t>
      </w:r>
    </w:p>
    <w:p w14:paraId="33965215">
      <w:pPr>
        <w:pageBreakBefore w:val="0"/>
        <w:widowControl w:val="0"/>
        <w:kinsoku/>
        <w:wordWrap/>
        <w:overflowPunct/>
        <w:topLinePunct w:val="0"/>
        <w:autoSpaceDE/>
        <w:autoSpaceDN/>
        <w:bidi w:val="0"/>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4.老干部工作：主要负责离退休干部工作政策的研究和宏观指导，包括落实离退休干部的政治待遇和生活待遇，发挥离退休干部的作用等。</w:t>
      </w:r>
    </w:p>
    <w:p w14:paraId="670B287C">
      <w:pPr>
        <w:pageBreakBefore w:val="0"/>
        <w:widowControl w:val="0"/>
        <w:kinsoku/>
        <w:wordWrap/>
        <w:overflowPunct/>
        <w:topLinePunct w:val="0"/>
        <w:autoSpaceDE/>
        <w:autoSpaceDN/>
        <w:bidi w:val="0"/>
        <w:adjustRightInd/>
        <w:snapToGrid/>
        <w:spacing w:line="500" w:lineRule="exact"/>
        <w:ind w:firstLine="800" w:firstLineChars="250"/>
        <w:textAlignment w:val="auto"/>
      </w:pPr>
      <w:r>
        <w:rPr>
          <w:rFonts w:hint="eastAsia" w:ascii="仿宋" w:hAnsi="仿宋" w:eastAsia="仿宋" w:cs="Times New Roman"/>
          <w:color w:val="auto"/>
          <w:sz w:val="32"/>
          <w:szCs w:val="32"/>
          <w:lang w:val="en-US" w:eastAsia="zh-CN"/>
        </w:rPr>
        <w:t>5.公务员管理：统一管理公务员录用调配、考核奖惩、培训和工资福利等事务，落实公务员管理政策和法律法规，指导全县公务员队伍建设和绩效管理等。</w:t>
      </w:r>
    </w:p>
    <w:p w14:paraId="458A2297">
      <w:pPr>
        <w:pStyle w:val="4"/>
        <w:rPr>
          <w:rStyle w:val="31"/>
          <w:rFonts w:ascii="Times New Roman" w:hAnsi="Times New Roman"/>
          <w:b w:val="0"/>
          <w:bCs w:val="0"/>
        </w:rPr>
      </w:pPr>
      <w:bookmarkStart w:id="43" w:name="_Toc15377200"/>
      <w:bookmarkStart w:id="44" w:name="_Toc15396601"/>
      <w:bookmarkStart w:id="45" w:name="_Toc976_WPSOffice_Level2"/>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43"/>
      <w:bookmarkEnd w:id="44"/>
      <w:bookmarkEnd w:id="45"/>
    </w:p>
    <w:p w14:paraId="66E4931D">
      <w:pPr>
        <w:pageBreakBefore w:val="0"/>
        <w:widowControl w:val="0"/>
        <w:kinsoku/>
        <w:wordWrap/>
        <w:overflowPunct/>
        <w:topLinePunct w:val="0"/>
        <w:autoSpaceDE/>
        <w:autoSpaceDN/>
        <w:bidi w:val="0"/>
        <w:adjustRightInd/>
        <w:snapToGrid/>
        <w:spacing w:line="500" w:lineRule="exact"/>
        <w:ind w:firstLine="800" w:firstLineChars="250"/>
        <w:textAlignment w:val="auto"/>
        <w:rPr>
          <w:rFonts w:ascii="仿宋" w:hAnsi="仿宋" w:eastAsia="仿宋"/>
          <w:color w:val="auto"/>
          <w:sz w:val="32"/>
          <w:szCs w:val="32"/>
        </w:rPr>
      </w:pPr>
      <w:r>
        <w:rPr>
          <w:rFonts w:hint="eastAsia" w:ascii="仿宋" w:hAnsi="仿宋" w:eastAsia="仿宋" w:cs="Times New Roman"/>
          <w:color w:val="auto"/>
          <w:sz w:val="32"/>
          <w:szCs w:val="32"/>
          <w:lang w:val="en-US" w:eastAsia="zh-CN"/>
        </w:rPr>
        <w:t>中共盐边县委组织部下属二级单位3个，其中行政单位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个，参照公务员法管理的事业单位</w:t>
      </w:r>
      <w:r>
        <w:rPr>
          <w:rFonts w:hint="eastAsia" w:ascii="仿宋" w:hAnsi="仿宋" w:eastAsia="仿宋"/>
          <w:bCs/>
          <w:color w:val="auto"/>
          <w:sz w:val="32"/>
          <w:szCs w:val="32"/>
          <w:lang w:val="en-US" w:eastAsia="zh-CN"/>
        </w:rPr>
        <w:t>1</w:t>
      </w:r>
      <w:r>
        <w:rPr>
          <w:rFonts w:hint="eastAsia" w:ascii="仿宋" w:hAnsi="仿宋" w:eastAsia="仿宋"/>
          <w:color w:val="auto"/>
          <w:sz w:val="32"/>
          <w:szCs w:val="32"/>
        </w:rPr>
        <w:t>个，其他事业单位</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个。</w:t>
      </w:r>
    </w:p>
    <w:p w14:paraId="48D4490A">
      <w:pPr>
        <w:pStyle w:val="2"/>
        <w:keepNext w:val="0"/>
        <w:keepLines w:val="0"/>
        <w:pageBreakBefore w:val="0"/>
        <w:widowControl w:val="0"/>
        <w:kinsoku/>
        <w:wordWrap/>
        <w:overflowPunct/>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纳入中共盐边县委组织部2024年度部门决算编制范围的二级单位包括：</w:t>
      </w:r>
    </w:p>
    <w:p w14:paraId="686465AB">
      <w:pPr>
        <w:pStyle w:val="2"/>
        <w:keepNext w:val="0"/>
        <w:keepLines w:val="0"/>
        <w:pageBreakBefore w:val="0"/>
        <w:widowControl w:val="0"/>
        <w:kinsoku/>
        <w:wordWrap/>
        <w:overflowPunct/>
        <w:topLinePunct w:val="0"/>
        <w:autoSpaceDE/>
        <w:autoSpaceDN/>
        <w:bidi w:val="0"/>
        <w:adjustRightInd w:val="0"/>
        <w:snapToGrid w:val="0"/>
        <w:spacing w:before="0" w:after="0" w:line="500" w:lineRule="exact"/>
        <w:ind w:firstLine="640" w:firstLineChars="200"/>
        <w:textAlignment w:val="auto"/>
        <w:rPr>
          <w:rFonts w:hint="default" w:ascii="仿宋" w:hAnsi="仿宋" w:eastAsia="仿宋" w:cs="Times New Roman"/>
          <w:color w:val="auto"/>
          <w:kern w:val="2"/>
          <w:sz w:val="32"/>
          <w:szCs w:val="32"/>
          <w:lang w:val="en-US" w:eastAsia="zh-CN" w:bidi="ar-SA"/>
        </w:rPr>
      </w:pPr>
      <w:bookmarkStart w:id="46" w:name="_Toc15377433"/>
      <w:bookmarkStart w:id="47" w:name="_Toc15306276"/>
      <w:bookmarkStart w:id="48" w:name="_Toc15377202"/>
      <w:bookmarkStart w:id="49" w:name="_Toc15378449"/>
      <w:r>
        <w:rPr>
          <w:rFonts w:hint="eastAsia" w:ascii="仿宋" w:hAnsi="仿宋" w:eastAsia="仿宋" w:cs="Times New Roman"/>
          <w:color w:val="auto"/>
          <w:kern w:val="2"/>
          <w:sz w:val="32"/>
          <w:szCs w:val="32"/>
          <w:lang w:val="en-US" w:eastAsia="zh-CN" w:bidi="ar-SA"/>
        </w:rPr>
        <w:t>1.盐边县党员教育中心</w:t>
      </w:r>
      <w:bookmarkEnd w:id="46"/>
      <w:bookmarkEnd w:id="47"/>
      <w:bookmarkEnd w:id="48"/>
      <w:bookmarkEnd w:id="49"/>
    </w:p>
    <w:p w14:paraId="4F2B70E8">
      <w:pPr>
        <w:pStyle w:val="2"/>
        <w:keepNext w:val="0"/>
        <w:keepLines w:val="0"/>
        <w:pageBreakBefore w:val="0"/>
        <w:widowControl w:val="0"/>
        <w:kinsoku/>
        <w:wordWrap/>
        <w:overflowPunct/>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2.盐边县干部人事档案服务中心</w:t>
      </w:r>
    </w:p>
    <w:p w14:paraId="20656509">
      <w:pPr>
        <w:pStyle w:val="2"/>
        <w:keepNext w:val="0"/>
        <w:keepLines w:val="0"/>
        <w:pageBreakBefore w:val="0"/>
        <w:widowControl w:val="0"/>
        <w:kinsoku/>
        <w:wordWrap/>
        <w:overflowPunct/>
        <w:topLinePunct w:val="0"/>
        <w:autoSpaceDE/>
        <w:autoSpaceDN/>
        <w:bidi w:val="0"/>
        <w:adjustRightInd w:val="0"/>
        <w:snapToGrid w:val="0"/>
        <w:spacing w:before="0" w:after="0" w:line="500" w:lineRule="exact"/>
        <w:ind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3.盐边县老干部活动中心</w:t>
      </w:r>
    </w:p>
    <w:p w14:paraId="667CAA5B">
      <w:pPr>
        <w:widowControl/>
        <w:jc w:val="left"/>
        <w:rPr>
          <w:rFonts w:eastAsia="仿宋"/>
          <w:kern w:val="0"/>
          <w:sz w:val="32"/>
          <w:szCs w:val="32"/>
        </w:rPr>
      </w:pPr>
      <w:r>
        <w:rPr>
          <w:rFonts w:eastAsia="仿宋"/>
          <w:sz w:val="32"/>
          <w:szCs w:val="32"/>
        </w:rPr>
        <w:br w:type="page"/>
      </w:r>
    </w:p>
    <w:p w14:paraId="2936A510">
      <w:pPr>
        <w:pStyle w:val="3"/>
        <w:jc w:val="center"/>
        <w:rPr>
          <w:rFonts w:eastAsia="方正小标宋简体" w:cs="方正小标宋简体"/>
          <w:b w:val="0"/>
        </w:rPr>
      </w:pPr>
      <w:bookmarkStart w:id="50" w:name="_Toc15377204"/>
      <w:bookmarkStart w:id="51" w:name="_Toc11858_WPSOffice_Level1"/>
      <w:bookmarkStart w:id="52" w:name="_Toc15396602"/>
      <w:r>
        <w:rPr>
          <w:rFonts w:hint="eastAsia" w:eastAsia="方正小标宋简体" w:cs="方正小标宋简体"/>
          <w:b w:val="0"/>
        </w:rPr>
        <w:t>第二部分  2024年度部门决算情况说明</w:t>
      </w:r>
      <w:bookmarkEnd w:id="50"/>
      <w:bookmarkEnd w:id="51"/>
      <w:bookmarkEnd w:id="52"/>
    </w:p>
    <w:p w14:paraId="6335A150"/>
    <w:p w14:paraId="0F3394EB">
      <w:pPr>
        <w:pStyle w:val="29"/>
        <w:spacing w:line="600" w:lineRule="exact"/>
        <w:ind w:firstLine="640"/>
        <w:outlineLvl w:val="1"/>
        <w:rPr>
          <w:rStyle w:val="31"/>
          <w:rFonts w:ascii="Times New Roman" w:hAnsi="Times New Roman" w:eastAsia="黑体"/>
          <w:b w:val="0"/>
        </w:rPr>
      </w:pPr>
      <w:bookmarkStart w:id="53" w:name="_Toc15377205"/>
      <w:bookmarkStart w:id="54" w:name="_Toc29154_WPSOffice_Level2"/>
      <w:bookmarkStart w:id="55" w:name="_Toc15396603"/>
      <w:r>
        <w:rPr>
          <w:rFonts w:hint="eastAsia" w:eastAsia="黑体"/>
          <w:sz w:val="32"/>
          <w:szCs w:val="32"/>
        </w:rPr>
        <w:t>一、收</w:t>
      </w:r>
      <w:r>
        <w:rPr>
          <w:rStyle w:val="31"/>
          <w:rFonts w:hint="eastAsia" w:ascii="Times New Roman" w:hAnsi="Times New Roman" w:eastAsia="黑体"/>
          <w:b w:val="0"/>
        </w:rPr>
        <w:t>入支出决算总体情况说明</w:t>
      </w:r>
      <w:bookmarkEnd w:id="53"/>
      <w:bookmarkEnd w:id="54"/>
      <w:bookmarkEnd w:id="55"/>
    </w:p>
    <w:p w14:paraId="3719F776">
      <w:pPr>
        <w:pStyle w:val="29"/>
        <w:spacing w:line="600" w:lineRule="exact"/>
        <w:ind w:firstLine="640"/>
        <w:outlineLvl w:val="1"/>
        <w:rPr>
          <w:rFonts w:hint="default"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1597.03</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276.03</w:t>
      </w:r>
      <w:r>
        <w:rPr>
          <w:rFonts w:hint="eastAsia" w:eastAsia="仿宋_GB2312" w:cs="仿宋_GB2312"/>
          <w:sz w:val="32"/>
          <w:szCs w:val="32"/>
        </w:rPr>
        <w:t>万元，增长</w:t>
      </w:r>
      <w:r>
        <w:rPr>
          <w:rFonts w:hint="eastAsia" w:eastAsia="仿宋_GB2312" w:cs="仿宋_GB2312"/>
          <w:sz w:val="32"/>
          <w:szCs w:val="32"/>
          <w:lang w:val="en-US" w:eastAsia="zh-CN"/>
        </w:rPr>
        <w:t>20.90</w:t>
      </w:r>
      <w:r>
        <w:rPr>
          <w:rFonts w:hint="eastAsia" w:eastAsia="仿宋_GB2312" w:cs="仿宋_GB2312"/>
          <w:sz w:val="32"/>
          <w:szCs w:val="32"/>
        </w:rPr>
        <w:t>%。主要变动原因</w:t>
      </w:r>
      <w:r>
        <w:rPr>
          <w:rFonts w:hint="eastAsia" w:eastAsia="仿宋_GB2312" w:cs="仿宋_GB2312"/>
          <w:sz w:val="32"/>
          <w:szCs w:val="32"/>
          <w:lang w:val="en-US" w:eastAsia="zh-CN"/>
        </w:rPr>
        <w:t>是2024年末化解了以前年度财政暂付款，所以收入、支出总计较上年增长。</w:t>
      </w:r>
    </w:p>
    <w:p w14:paraId="1809F30B">
      <w:pPr>
        <w:ind w:firstLine="420" w:firstLineChars="200"/>
        <w:rPr>
          <w:rFonts w:eastAsia="仿宋_GB2312" w:cs="仿宋_GB2312"/>
          <w:sz w:val="32"/>
          <w:szCs w:val="32"/>
        </w:rPr>
      </w:pPr>
      <w:r>
        <w:drawing>
          <wp:inline distT="0" distB="0" distL="114300" distR="114300">
            <wp:extent cx="5270500" cy="3089910"/>
            <wp:effectExtent l="4445" t="4445" r="20955" b="10795"/>
            <wp:docPr id="234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EC3576">
      <w:pPr>
        <w:ind w:firstLine="640" w:firstLineChars="200"/>
        <w:rPr>
          <w:rFonts w:eastAsia="仿宋_GB2312" w:cs="仿宋_GB2312"/>
          <w:sz w:val="32"/>
          <w:szCs w:val="32"/>
        </w:rPr>
      </w:pPr>
    </w:p>
    <w:p w14:paraId="1FB16741">
      <w:pPr>
        <w:pStyle w:val="29"/>
        <w:spacing w:line="600" w:lineRule="exact"/>
        <w:ind w:firstLine="640"/>
        <w:outlineLvl w:val="1"/>
        <w:rPr>
          <w:rFonts w:eastAsia="黑体"/>
          <w:sz w:val="32"/>
          <w:szCs w:val="32"/>
        </w:rPr>
      </w:pPr>
      <w:bookmarkStart w:id="56" w:name="_Toc15396604"/>
      <w:bookmarkStart w:id="57" w:name="_Toc15377206"/>
      <w:bookmarkStart w:id="58" w:name="_Toc7095_WPSOffice_Level2"/>
      <w:r>
        <w:rPr>
          <w:rFonts w:hint="eastAsia" w:eastAsia="黑体"/>
          <w:sz w:val="32"/>
          <w:szCs w:val="32"/>
        </w:rPr>
        <w:t>二、收入决算情况说明</w:t>
      </w:r>
      <w:bookmarkEnd w:id="56"/>
      <w:bookmarkEnd w:id="57"/>
      <w:bookmarkEnd w:id="58"/>
    </w:p>
    <w:p w14:paraId="1CF86021">
      <w:pPr>
        <w:pStyle w:val="29"/>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1306.26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1306.26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711A8543">
      <w:pPr>
        <w:ind w:firstLine="525" w:firstLineChars="250"/>
      </w:pPr>
      <w:r>
        <w:drawing>
          <wp:inline distT="0" distB="0" distL="114300" distR="114300">
            <wp:extent cx="5273675" cy="3347720"/>
            <wp:effectExtent l="4445" t="4445" r="17780" b="19685"/>
            <wp:docPr id="234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F7A240">
      <w:pPr>
        <w:pStyle w:val="29"/>
        <w:spacing w:line="600" w:lineRule="exact"/>
        <w:ind w:firstLine="640"/>
        <w:outlineLvl w:val="1"/>
        <w:rPr>
          <w:rStyle w:val="31"/>
          <w:rFonts w:ascii="Times New Roman" w:hAnsi="Times New Roman" w:eastAsia="黑体"/>
          <w:b w:val="0"/>
        </w:rPr>
      </w:pPr>
      <w:bookmarkStart w:id="59" w:name="_Toc17158_WPSOffice_Level2"/>
      <w:bookmarkStart w:id="60" w:name="_Toc15377207"/>
      <w:bookmarkStart w:id="61" w:name="_Toc15396605"/>
      <w:r>
        <w:rPr>
          <w:rFonts w:hint="eastAsia" w:eastAsia="黑体"/>
          <w:sz w:val="32"/>
          <w:szCs w:val="32"/>
        </w:rPr>
        <w:t>三、支</w:t>
      </w:r>
      <w:r>
        <w:rPr>
          <w:rStyle w:val="31"/>
          <w:rFonts w:hint="eastAsia" w:ascii="Times New Roman" w:hAnsi="Times New Roman" w:eastAsia="黑体"/>
          <w:b w:val="0"/>
        </w:rPr>
        <w:t>出决算情况说明</w:t>
      </w:r>
      <w:bookmarkEnd w:id="59"/>
      <w:bookmarkEnd w:id="60"/>
      <w:bookmarkEnd w:id="61"/>
    </w:p>
    <w:p w14:paraId="2C5EA606">
      <w:pPr>
        <w:pStyle w:val="29"/>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1597.03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878.05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54.98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718.98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45.02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A5ACDDE">
      <w:pPr>
        <w:ind w:firstLine="525" w:firstLineChars="250"/>
        <w:rPr>
          <w:rFonts w:eastAsia="仿宋_GB2312" w:cs="仿宋_GB2312"/>
          <w:sz w:val="32"/>
          <w:szCs w:val="32"/>
        </w:rPr>
      </w:pPr>
      <w:r>
        <w:drawing>
          <wp:inline distT="0" distB="0" distL="114300" distR="114300">
            <wp:extent cx="5269230" cy="2764790"/>
            <wp:effectExtent l="5080" t="4445" r="21590" b="12065"/>
            <wp:docPr id="23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840A74">
      <w:pPr>
        <w:spacing w:line="600" w:lineRule="exact"/>
        <w:ind w:firstLine="640" w:firstLineChars="200"/>
        <w:outlineLvl w:val="1"/>
        <w:rPr>
          <w:rStyle w:val="31"/>
          <w:rFonts w:ascii="Times New Roman" w:hAnsi="Times New Roman" w:eastAsia="黑体"/>
          <w:b w:val="0"/>
        </w:rPr>
      </w:pPr>
      <w:bookmarkStart w:id="62" w:name="_Toc7137_WPSOffice_Level2"/>
      <w:bookmarkStart w:id="63" w:name="_Toc15396606"/>
      <w:bookmarkStart w:id="64" w:name="_Toc15377208"/>
      <w:r>
        <w:rPr>
          <w:rFonts w:hint="eastAsia" w:eastAsia="黑体"/>
          <w:sz w:val="32"/>
          <w:szCs w:val="32"/>
        </w:rPr>
        <w:t>四、财</w:t>
      </w:r>
      <w:r>
        <w:rPr>
          <w:rStyle w:val="31"/>
          <w:rFonts w:hint="eastAsia" w:ascii="Times New Roman" w:hAnsi="Times New Roman" w:eastAsia="黑体"/>
          <w:b w:val="0"/>
        </w:rPr>
        <w:t>政拨款收入支出决算总体情况说明</w:t>
      </w:r>
      <w:bookmarkEnd w:id="62"/>
      <w:bookmarkEnd w:id="63"/>
      <w:bookmarkEnd w:id="64"/>
    </w:p>
    <w:p w14:paraId="700B17B5">
      <w:pPr>
        <w:pStyle w:val="29"/>
        <w:spacing w:line="600" w:lineRule="exact"/>
        <w:ind w:firstLine="640"/>
        <w:outlineLvl w:val="1"/>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1597.03</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267.03</w:t>
      </w:r>
      <w:r>
        <w:rPr>
          <w:rFonts w:hint="eastAsia" w:eastAsia="仿宋_GB2312" w:cs="仿宋_GB2312"/>
          <w:sz w:val="32"/>
          <w:szCs w:val="32"/>
        </w:rPr>
        <w:t>万元，增长</w:t>
      </w:r>
      <w:r>
        <w:rPr>
          <w:rFonts w:hint="eastAsia" w:eastAsia="仿宋_GB2312" w:cs="仿宋_GB2312"/>
          <w:sz w:val="32"/>
          <w:szCs w:val="32"/>
          <w:lang w:val="en-US" w:eastAsia="zh-CN"/>
        </w:rPr>
        <w:t>20.09</w:t>
      </w:r>
      <w:r>
        <w:rPr>
          <w:rFonts w:hint="eastAsia" w:eastAsia="仿宋_GB2312" w:cs="仿宋_GB2312"/>
          <w:sz w:val="32"/>
          <w:szCs w:val="32"/>
        </w:rPr>
        <w:t>%。主要变动原因</w:t>
      </w:r>
      <w:r>
        <w:rPr>
          <w:rFonts w:hint="eastAsia" w:eastAsia="仿宋_GB2312" w:cs="仿宋_GB2312"/>
          <w:sz w:val="32"/>
          <w:szCs w:val="32"/>
          <w:lang w:val="en-US" w:eastAsia="zh-CN"/>
        </w:rPr>
        <w:t>是2024年末化解了以前年度财政暂付款，所以收入、支出总计较上年增长。</w:t>
      </w:r>
    </w:p>
    <w:p w14:paraId="77713C16">
      <w:pPr>
        <w:pStyle w:val="2"/>
      </w:pPr>
      <w:r>
        <w:drawing>
          <wp:inline distT="0" distB="0" distL="114300" distR="114300">
            <wp:extent cx="5273675" cy="3329940"/>
            <wp:effectExtent l="4445" t="4445" r="17780" b="18415"/>
            <wp:docPr id="234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79DBB6">
      <w:pPr>
        <w:spacing w:line="600" w:lineRule="exact"/>
        <w:ind w:firstLine="640" w:firstLineChars="200"/>
        <w:outlineLvl w:val="1"/>
        <w:rPr>
          <w:rStyle w:val="31"/>
          <w:rFonts w:ascii="Times New Roman" w:hAnsi="Times New Roman" w:eastAsia="黑体"/>
          <w:b w:val="0"/>
        </w:rPr>
      </w:pPr>
      <w:bookmarkStart w:id="65" w:name="_Toc11627_WPSOffice_Level2"/>
      <w:bookmarkStart w:id="66" w:name="_Toc15396607"/>
      <w:bookmarkStart w:id="67" w:name="_Toc15377209"/>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65"/>
      <w:bookmarkEnd w:id="66"/>
      <w:bookmarkEnd w:id="67"/>
    </w:p>
    <w:p w14:paraId="775E4C2B">
      <w:pPr>
        <w:spacing w:line="600" w:lineRule="exact"/>
        <w:ind w:firstLine="643" w:firstLineChars="200"/>
        <w:outlineLvl w:val="2"/>
        <w:rPr>
          <w:rFonts w:eastAsia="楷体_GB2312" w:cs="楷体_GB2312"/>
          <w:b/>
          <w:sz w:val="32"/>
          <w:szCs w:val="32"/>
        </w:rPr>
      </w:pPr>
      <w:bookmarkStart w:id="68" w:name="_Toc15377210"/>
      <w:r>
        <w:rPr>
          <w:rFonts w:hint="eastAsia" w:eastAsia="楷体_GB2312" w:cs="楷体_GB2312"/>
          <w:b/>
          <w:sz w:val="32"/>
          <w:szCs w:val="32"/>
        </w:rPr>
        <w:t>（一）一般公共预算财政拨款支出决算总体情况</w:t>
      </w:r>
      <w:bookmarkEnd w:id="68"/>
    </w:p>
    <w:p w14:paraId="6EFEC345">
      <w:pPr>
        <w:pStyle w:val="29"/>
        <w:spacing w:line="600" w:lineRule="exact"/>
        <w:ind w:firstLine="640"/>
        <w:outlineLvl w:val="1"/>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1597.03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267.03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20.09</w:t>
      </w:r>
      <w:r>
        <w:rPr>
          <w:rFonts w:hint="eastAsia" w:ascii="仿宋_GB2312" w:hAnsi="仿宋_GB2312" w:eastAsia="仿宋_GB2312" w:cs="仿宋_GB2312"/>
          <w:sz w:val="32"/>
          <w:szCs w:val="32"/>
        </w:rPr>
        <w:t>%。</w:t>
      </w:r>
      <w:r>
        <w:rPr>
          <w:rFonts w:hint="eastAsia" w:eastAsia="仿宋_GB2312" w:cs="仿宋_GB2312"/>
          <w:sz w:val="32"/>
          <w:szCs w:val="32"/>
        </w:rPr>
        <w:t>主要变动原因</w:t>
      </w:r>
      <w:r>
        <w:rPr>
          <w:rFonts w:hint="eastAsia" w:eastAsia="仿宋_GB2312" w:cs="仿宋_GB2312"/>
          <w:sz w:val="32"/>
          <w:szCs w:val="32"/>
          <w:lang w:val="en-US" w:eastAsia="zh-CN"/>
        </w:rPr>
        <w:t>是2024年末化解了以前年度财政暂付款，所以支出较上年增长。</w:t>
      </w:r>
    </w:p>
    <w:p w14:paraId="5B7752FE">
      <w:pPr>
        <w:spacing w:line="600" w:lineRule="exact"/>
        <w:ind w:firstLine="640"/>
      </w:pPr>
    </w:p>
    <w:p w14:paraId="325680F7">
      <w:pPr>
        <w:pStyle w:val="2"/>
      </w:pPr>
    </w:p>
    <w:p w14:paraId="5F831C5A">
      <w:pPr>
        <w:pStyle w:val="2"/>
      </w:pPr>
      <w:r>
        <w:drawing>
          <wp:inline distT="0" distB="0" distL="114300" distR="114300">
            <wp:extent cx="5268595" cy="3018155"/>
            <wp:effectExtent l="4445" t="4445" r="22860" b="6350"/>
            <wp:docPr id="234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5453F5">
      <w:pPr>
        <w:spacing w:line="600" w:lineRule="exact"/>
        <w:ind w:firstLine="643" w:firstLineChars="200"/>
        <w:outlineLvl w:val="2"/>
        <w:rPr>
          <w:rFonts w:eastAsia="楷体_GB2312" w:cs="楷体_GB2312"/>
          <w:b/>
          <w:sz w:val="32"/>
          <w:szCs w:val="32"/>
        </w:rPr>
      </w:pPr>
      <w:bookmarkStart w:id="69" w:name="_Toc15377211"/>
      <w:r>
        <w:rPr>
          <w:rFonts w:hint="eastAsia" w:eastAsia="楷体_GB2312" w:cs="楷体_GB2312"/>
          <w:b/>
          <w:sz w:val="32"/>
          <w:szCs w:val="32"/>
        </w:rPr>
        <w:t>（二）一般公共预算财政拨款支出决算结构情况</w:t>
      </w:r>
      <w:bookmarkEnd w:id="69"/>
    </w:p>
    <w:p w14:paraId="1389F587">
      <w:pPr>
        <w:keepNext w:val="0"/>
        <w:keepLines w:val="0"/>
        <w:pageBreakBefore w:val="0"/>
        <w:widowControl w:val="0"/>
        <w:kinsoku/>
        <w:wordWrap/>
        <w:overflowPunct/>
        <w:topLinePunct w:val="0"/>
        <w:autoSpaceDE/>
        <w:autoSpaceDN/>
        <w:bidi w:val="0"/>
        <w:adjustRightInd/>
        <w:snapToGrid/>
        <w:spacing w:line="500" w:lineRule="exact"/>
        <w:ind w:firstLine="640"/>
        <w:textAlignment w:val="auto"/>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1597.03</w:t>
      </w:r>
      <w:r>
        <w:rPr>
          <w:rFonts w:hint="eastAsia" w:ascii="仿宋_GB2312" w:hAnsi="仿宋_GB2312" w:eastAsia="仿宋_GB2312" w:cs="仿宋_GB2312"/>
          <w:sz w:val="32"/>
          <w:szCs w:val="32"/>
        </w:rPr>
        <w:t>万元</w:t>
      </w:r>
      <w:r>
        <w:rPr>
          <w:rFonts w:hint="eastAsia" w:eastAsia="仿宋_GB2312" w:cs="仿宋_GB2312"/>
          <w:sz w:val="32"/>
          <w:szCs w:val="32"/>
        </w:rPr>
        <w:t>，</w:t>
      </w:r>
      <w:r>
        <w:rPr>
          <w:rFonts w:hint="eastAsia" w:ascii="仿宋" w:hAnsi="仿宋" w:eastAsia="仿宋"/>
          <w:sz w:val="32"/>
          <w:szCs w:val="32"/>
        </w:rPr>
        <w:t>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1320.13</w:t>
      </w:r>
      <w:r>
        <w:rPr>
          <w:rFonts w:hint="eastAsia" w:ascii="仿宋" w:hAnsi="仿宋" w:eastAsia="仿宋"/>
          <w:sz w:val="32"/>
          <w:szCs w:val="32"/>
        </w:rPr>
        <w:t>万元，占</w:t>
      </w:r>
      <w:r>
        <w:rPr>
          <w:rFonts w:hint="eastAsia" w:ascii="仿宋" w:hAnsi="仿宋" w:eastAsia="仿宋"/>
          <w:sz w:val="32"/>
          <w:szCs w:val="32"/>
          <w:lang w:val="en-US" w:eastAsia="zh-CN"/>
        </w:rPr>
        <w:t>82.66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153.32</w:t>
      </w:r>
      <w:r>
        <w:rPr>
          <w:rFonts w:hint="eastAsia" w:ascii="仿宋" w:hAnsi="仿宋" w:eastAsia="仿宋"/>
          <w:sz w:val="32"/>
          <w:szCs w:val="32"/>
        </w:rPr>
        <w:t>万元，占</w:t>
      </w:r>
      <w:r>
        <w:rPr>
          <w:rFonts w:hint="eastAsia" w:ascii="仿宋" w:hAnsi="仿宋" w:eastAsia="仿宋"/>
          <w:sz w:val="32"/>
          <w:szCs w:val="32"/>
          <w:lang w:val="en-US" w:eastAsia="zh-CN"/>
        </w:rPr>
        <w:t>9.60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64.80</w:t>
      </w:r>
      <w:r>
        <w:rPr>
          <w:rFonts w:hint="eastAsia" w:ascii="仿宋" w:hAnsi="仿宋" w:eastAsia="仿宋"/>
          <w:sz w:val="32"/>
          <w:szCs w:val="32"/>
        </w:rPr>
        <w:t>万元，占</w:t>
      </w:r>
      <w:r>
        <w:rPr>
          <w:rFonts w:hint="eastAsia" w:ascii="仿宋" w:hAnsi="仿宋" w:eastAsia="仿宋"/>
          <w:sz w:val="32"/>
          <w:szCs w:val="32"/>
          <w:lang w:val="en-US" w:eastAsia="zh-CN"/>
        </w:rPr>
        <w:t>4.06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58.77</w:t>
      </w:r>
      <w:r>
        <w:rPr>
          <w:rFonts w:hint="eastAsia" w:ascii="仿宋" w:hAnsi="仿宋" w:eastAsia="仿宋"/>
          <w:sz w:val="32"/>
          <w:szCs w:val="32"/>
        </w:rPr>
        <w:t>万元，占</w:t>
      </w:r>
      <w:r>
        <w:rPr>
          <w:rFonts w:hint="eastAsia" w:ascii="仿宋" w:hAnsi="仿宋" w:eastAsia="仿宋"/>
          <w:sz w:val="32"/>
          <w:szCs w:val="32"/>
          <w:lang w:val="en-US" w:eastAsia="zh-CN"/>
        </w:rPr>
        <w:t>3.68</w:t>
      </w:r>
      <w:r>
        <w:rPr>
          <w:rFonts w:ascii="仿宋" w:hAnsi="仿宋" w:eastAsia="仿宋"/>
          <w:sz w:val="32"/>
          <w:szCs w:val="32"/>
        </w:rPr>
        <w:t>%</w:t>
      </w:r>
      <w:r>
        <w:rPr>
          <w:rFonts w:hint="eastAsia" w:ascii="仿宋" w:hAnsi="仿宋" w:eastAsia="仿宋"/>
          <w:sz w:val="32"/>
          <w:szCs w:val="32"/>
        </w:rPr>
        <w:t>。</w:t>
      </w:r>
    </w:p>
    <w:p w14:paraId="1F381607">
      <w:pPr>
        <w:pStyle w:val="2"/>
      </w:pPr>
      <w:r>
        <w:drawing>
          <wp:inline distT="0" distB="0" distL="114300" distR="114300">
            <wp:extent cx="5268595" cy="2961005"/>
            <wp:effectExtent l="4445" t="4445" r="22860" b="6350"/>
            <wp:docPr id="234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550AA3">
      <w:pPr>
        <w:pStyle w:val="2"/>
      </w:pPr>
    </w:p>
    <w:p w14:paraId="68B12715">
      <w:pPr>
        <w:pStyle w:val="2"/>
      </w:pPr>
    </w:p>
    <w:p w14:paraId="21AC88D0">
      <w:pPr>
        <w:spacing w:line="600" w:lineRule="exact"/>
        <w:ind w:firstLine="643" w:firstLineChars="200"/>
        <w:outlineLvl w:val="2"/>
        <w:rPr>
          <w:rFonts w:eastAsia="楷体_GB2312" w:cs="楷体_GB2312"/>
          <w:b/>
          <w:sz w:val="32"/>
          <w:szCs w:val="32"/>
        </w:rPr>
      </w:pPr>
      <w:bookmarkStart w:id="70" w:name="_Toc15377212"/>
      <w:r>
        <w:rPr>
          <w:rFonts w:hint="eastAsia" w:eastAsia="楷体_GB2312" w:cs="楷体_GB2312"/>
          <w:b/>
          <w:sz w:val="32"/>
          <w:szCs w:val="32"/>
        </w:rPr>
        <w:t>（三）一般公共预算财政拨款支出决算具体情况</w:t>
      </w:r>
      <w:bookmarkEnd w:id="70"/>
    </w:p>
    <w:p w14:paraId="52231AB3">
      <w:pPr>
        <w:spacing w:line="600" w:lineRule="exact"/>
        <w:ind w:firstLine="640"/>
        <w:rPr>
          <w:rFonts w:eastAsia="仿宋_GB2312" w:cs="仿宋_GB2312"/>
          <w:sz w:val="32"/>
          <w:szCs w:val="32"/>
        </w:rPr>
      </w:pPr>
      <w:bookmarkStart w:id="71" w:name="_Toc15377444"/>
      <w:bookmarkStart w:id="72" w:name="_Toc15378460"/>
      <w:bookmarkStart w:id="73"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1597.03</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71"/>
      <w:bookmarkEnd w:id="72"/>
      <w:bookmarkEnd w:id="73"/>
    </w:p>
    <w:p w14:paraId="250359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outlineLvl w:val="3"/>
        <w:rPr>
          <w:rFonts w:hint="eastAsia" w:ascii="仿宋" w:hAnsi="仿宋" w:eastAsia="仿宋" w:cs="仿宋"/>
          <w:sz w:val="32"/>
          <w:szCs w:val="32"/>
        </w:rPr>
      </w:pPr>
      <w:r>
        <w:rPr>
          <w:rStyle w:val="19"/>
          <w:rFonts w:hint="eastAsia" w:ascii="仿宋" w:hAnsi="仿宋" w:eastAsia="仿宋" w:cs="仿宋"/>
          <w:color w:val="000000"/>
          <w:sz w:val="32"/>
          <w:szCs w:val="32"/>
          <w:lang w:val="en-US" w:eastAsia="zh-CN"/>
        </w:rPr>
        <w:t>1.</w:t>
      </w:r>
      <w:r>
        <w:rPr>
          <w:rStyle w:val="19"/>
          <w:rFonts w:hint="eastAsia" w:ascii="仿宋" w:hAnsi="仿宋" w:eastAsia="仿宋" w:cs="仿宋"/>
          <w:color w:val="000000"/>
          <w:sz w:val="32"/>
          <w:szCs w:val="32"/>
        </w:rPr>
        <w:t>一般公共服务（</w:t>
      </w:r>
      <w:r>
        <w:rPr>
          <w:rStyle w:val="19"/>
          <w:rFonts w:hint="eastAsia" w:ascii="仿宋" w:hAnsi="仿宋" w:eastAsia="仿宋" w:cs="仿宋"/>
          <w:color w:val="000000"/>
          <w:sz w:val="32"/>
          <w:szCs w:val="32"/>
          <w:lang w:val="en-US" w:eastAsia="zh-CN"/>
        </w:rPr>
        <w:t>201</w:t>
      </w:r>
      <w:r>
        <w:rPr>
          <w:rStyle w:val="19"/>
          <w:rFonts w:hint="eastAsia" w:ascii="仿宋" w:hAnsi="仿宋" w:eastAsia="仿宋" w:cs="仿宋"/>
          <w:color w:val="000000"/>
          <w:sz w:val="32"/>
          <w:szCs w:val="32"/>
        </w:rPr>
        <w:t>）组织事务（</w:t>
      </w:r>
      <w:r>
        <w:rPr>
          <w:rStyle w:val="19"/>
          <w:rFonts w:hint="eastAsia" w:ascii="仿宋" w:hAnsi="仿宋" w:eastAsia="仿宋" w:cs="仿宋"/>
          <w:color w:val="000000"/>
          <w:sz w:val="32"/>
          <w:szCs w:val="32"/>
          <w:lang w:val="en-US" w:eastAsia="zh-CN"/>
        </w:rPr>
        <w:t>32</w:t>
      </w:r>
      <w:r>
        <w:rPr>
          <w:rStyle w:val="19"/>
          <w:rFonts w:hint="eastAsia" w:ascii="仿宋" w:hAnsi="仿宋" w:eastAsia="仿宋" w:cs="仿宋"/>
          <w:color w:val="000000"/>
          <w:sz w:val="32"/>
          <w:szCs w:val="32"/>
        </w:rPr>
        <w:t>）</w:t>
      </w:r>
    </w:p>
    <w:p w14:paraId="1FBF9161">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rPr>
        <w:t>①行政运行</w:t>
      </w:r>
      <w:r>
        <w:rPr>
          <w:rStyle w:val="19"/>
          <w:rFonts w:hint="eastAsia" w:ascii="仿宋" w:hAnsi="仿宋" w:eastAsia="仿宋" w:cs="仿宋"/>
          <w:color w:val="000000"/>
          <w:sz w:val="32"/>
          <w:szCs w:val="32"/>
          <w:lang w:val="en-US" w:eastAsia="zh-CN"/>
        </w:rPr>
        <w:t>2013201</w:t>
      </w:r>
      <w:r>
        <w:rPr>
          <w:rStyle w:val="19"/>
          <w:rFonts w:hint="eastAsia" w:ascii="仿宋" w:hAnsi="仿宋" w:eastAsia="仿宋" w:cs="仿宋"/>
          <w:color w:val="000000"/>
          <w:sz w:val="32"/>
          <w:szCs w:val="32"/>
          <w:lang w:eastAsia="zh-CN"/>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495.35</w:t>
      </w:r>
      <w:r>
        <w:rPr>
          <w:rStyle w:val="19"/>
          <w:rFonts w:hint="eastAsia" w:ascii="仿宋" w:hAnsi="仿宋" w:eastAsia="仿宋" w:cs="仿宋"/>
          <w:b w:val="0"/>
          <w:bCs w:val="0"/>
          <w:color w:val="000000"/>
          <w:sz w:val="32"/>
          <w:szCs w:val="32"/>
        </w:rPr>
        <w:t>万元，完成预算100%。</w:t>
      </w:r>
    </w:p>
    <w:p w14:paraId="4D563FA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rPr>
        <w:t>②</w:t>
      </w:r>
      <w:r>
        <w:rPr>
          <w:rStyle w:val="19"/>
          <w:rFonts w:hint="eastAsia" w:ascii="仿宋" w:hAnsi="仿宋" w:eastAsia="仿宋" w:cs="仿宋"/>
          <w:color w:val="000000"/>
          <w:sz w:val="32"/>
          <w:szCs w:val="32"/>
          <w:lang w:eastAsia="zh-CN"/>
        </w:rPr>
        <w:t>事业运行</w:t>
      </w:r>
      <w:r>
        <w:rPr>
          <w:rStyle w:val="19"/>
          <w:rFonts w:hint="eastAsia" w:ascii="仿宋" w:hAnsi="仿宋" w:eastAsia="仿宋" w:cs="仿宋"/>
          <w:color w:val="000000"/>
          <w:sz w:val="32"/>
          <w:szCs w:val="32"/>
          <w:lang w:val="en-US" w:eastAsia="zh-CN"/>
        </w:rPr>
        <w:t>2013250</w:t>
      </w:r>
      <w:r>
        <w:rPr>
          <w:rStyle w:val="19"/>
          <w:rFonts w:hint="eastAsia" w:ascii="仿宋" w:hAnsi="仿宋" w:eastAsia="仿宋" w:cs="仿宋"/>
          <w:color w:val="000000"/>
          <w:sz w:val="32"/>
          <w:szCs w:val="32"/>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105.80</w:t>
      </w:r>
      <w:r>
        <w:rPr>
          <w:rStyle w:val="19"/>
          <w:rFonts w:hint="eastAsia" w:ascii="仿宋" w:hAnsi="仿宋" w:eastAsia="仿宋" w:cs="仿宋"/>
          <w:b w:val="0"/>
          <w:bCs w:val="0"/>
          <w:color w:val="000000"/>
          <w:sz w:val="32"/>
          <w:szCs w:val="32"/>
        </w:rPr>
        <w:t>万元，完成预算100%。</w:t>
      </w:r>
    </w:p>
    <w:p w14:paraId="0EC0EF2C">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rPr>
        <w:t>④</w:t>
      </w:r>
      <w:r>
        <w:rPr>
          <w:rStyle w:val="19"/>
          <w:rFonts w:hint="eastAsia" w:ascii="仿宋" w:hAnsi="仿宋" w:eastAsia="仿宋" w:cs="仿宋"/>
          <w:color w:val="000000"/>
          <w:sz w:val="32"/>
          <w:szCs w:val="32"/>
          <w:lang w:eastAsia="zh-CN"/>
        </w:rPr>
        <w:t>其他组织事务支出</w:t>
      </w:r>
      <w:r>
        <w:rPr>
          <w:rStyle w:val="19"/>
          <w:rFonts w:hint="eastAsia" w:ascii="仿宋" w:hAnsi="仿宋" w:eastAsia="仿宋" w:cs="仿宋"/>
          <w:color w:val="000000"/>
          <w:sz w:val="32"/>
          <w:szCs w:val="32"/>
          <w:lang w:val="en-US" w:eastAsia="zh-CN"/>
        </w:rPr>
        <w:t>2013299</w:t>
      </w:r>
      <w:r>
        <w:rPr>
          <w:rStyle w:val="19"/>
          <w:rFonts w:hint="eastAsia" w:ascii="仿宋" w:hAnsi="仿宋" w:eastAsia="仿宋" w:cs="仿宋"/>
          <w:color w:val="000000"/>
          <w:sz w:val="32"/>
          <w:szCs w:val="32"/>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718.98</w:t>
      </w:r>
      <w:r>
        <w:rPr>
          <w:rStyle w:val="19"/>
          <w:rFonts w:hint="eastAsia" w:ascii="仿宋" w:hAnsi="仿宋" w:eastAsia="仿宋" w:cs="仿宋"/>
          <w:b w:val="0"/>
          <w:bCs w:val="0"/>
          <w:color w:val="000000"/>
          <w:sz w:val="32"/>
          <w:szCs w:val="32"/>
        </w:rPr>
        <w:t>万元，完成预算100%。</w:t>
      </w:r>
    </w:p>
    <w:p w14:paraId="2CC40AF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3"/>
        <w:rPr>
          <w:rStyle w:val="19"/>
          <w:rFonts w:hint="eastAsia" w:ascii="仿宋" w:hAnsi="仿宋" w:eastAsia="仿宋" w:cs="仿宋"/>
          <w:color w:val="000000"/>
          <w:sz w:val="32"/>
          <w:szCs w:val="32"/>
        </w:rPr>
      </w:pPr>
      <w:r>
        <w:rPr>
          <w:rStyle w:val="19"/>
          <w:rFonts w:hint="eastAsia" w:ascii="仿宋" w:hAnsi="仿宋" w:eastAsia="仿宋" w:cs="仿宋"/>
          <w:color w:val="000000"/>
          <w:sz w:val="32"/>
          <w:szCs w:val="32"/>
          <w:lang w:val="en-US" w:eastAsia="zh-CN"/>
        </w:rPr>
        <w:t>2</w:t>
      </w:r>
      <w:r>
        <w:rPr>
          <w:rStyle w:val="19"/>
          <w:rFonts w:hint="eastAsia" w:ascii="仿宋" w:hAnsi="仿宋" w:eastAsia="仿宋" w:cs="仿宋"/>
          <w:color w:val="000000"/>
          <w:sz w:val="32"/>
          <w:szCs w:val="32"/>
        </w:rPr>
        <w:t>.社会保障和就业（</w:t>
      </w:r>
      <w:r>
        <w:rPr>
          <w:rStyle w:val="19"/>
          <w:rFonts w:hint="eastAsia" w:ascii="仿宋" w:hAnsi="仿宋" w:eastAsia="仿宋" w:cs="仿宋"/>
          <w:color w:val="000000"/>
          <w:sz w:val="32"/>
          <w:szCs w:val="32"/>
          <w:lang w:val="en-US" w:eastAsia="zh-CN"/>
        </w:rPr>
        <w:t>208</w:t>
      </w:r>
      <w:r>
        <w:rPr>
          <w:rStyle w:val="19"/>
          <w:rFonts w:hint="eastAsia" w:ascii="仿宋" w:hAnsi="仿宋" w:eastAsia="仿宋" w:cs="仿宋"/>
          <w:color w:val="000000"/>
          <w:sz w:val="32"/>
          <w:szCs w:val="32"/>
        </w:rPr>
        <w:t>）行政事业单位</w:t>
      </w:r>
      <w:r>
        <w:rPr>
          <w:rStyle w:val="19"/>
          <w:rFonts w:hint="eastAsia" w:ascii="仿宋" w:hAnsi="仿宋" w:eastAsia="仿宋" w:cs="仿宋"/>
          <w:color w:val="000000"/>
          <w:sz w:val="32"/>
          <w:szCs w:val="32"/>
          <w:lang w:eastAsia="zh-CN"/>
        </w:rPr>
        <w:t>养老支出</w:t>
      </w:r>
      <w:r>
        <w:rPr>
          <w:rStyle w:val="19"/>
          <w:rFonts w:hint="eastAsia" w:ascii="仿宋" w:hAnsi="仿宋" w:eastAsia="仿宋" w:cs="仿宋"/>
          <w:color w:val="000000"/>
          <w:sz w:val="32"/>
          <w:szCs w:val="32"/>
        </w:rPr>
        <w:t>（</w:t>
      </w:r>
      <w:r>
        <w:rPr>
          <w:rStyle w:val="19"/>
          <w:rFonts w:hint="eastAsia" w:ascii="仿宋" w:hAnsi="仿宋" w:eastAsia="仿宋" w:cs="仿宋"/>
          <w:color w:val="000000"/>
          <w:sz w:val="32"/>
          <w:szCs w:val="32"/>
          <w:lang w:val="en-US" w:eastAsia="zh-CN"/>
        </w:rPr>
        <w:t>05</w:t>
      </w:r>
      <w:r>
        <w:rPr>
          <w:rStyle w:val="19"/>
          <w:rFonts w:hint="eastAsia" w:ascii="仿宋" w:hAnsi="仿宋" w:eastAsia="仿宋" w:cs="仿宋"/>
          <w:color w:val="000000"/>
          <w:sz w:val="32"/>
          <w:szCs w:val="32"/>
        </w:rPr>
        <w:t xml:space="preserve">）  </w:t>
      </w:r>
    </w:p>
    <w:p w14:paraId="6E096925">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rPr>
        <w:t>①行政单位离退休</w:t>
      </w:r>
      <w:r>
        <w:rPr>
          <w:rStyle w:val="19"/>
          <w:rFonts w:hint="eastAsia" w:ascii="仿宋" w:hAnsi="仿宋" w:eastAsia="仿宋" w:cs="仿宋"/>
          <w:color w:val="000000"/>
          <w:sz w:val="32"/>
          <w:szCs w:val="32"/>
          <w:lang w:val="en-US" w:eastAsia="zh-CN"/>
        </w:rPr>
        <w:t>2080501</w:t>
      </w:r>
      <w:r>
        <w:rPr>
          <w:rStyle w:val="19"/>
          <w:rFonts w:hint="eastAsia" w:ascii="仿宋" w:hAnsi="仿宋" w:eastAsia="仿宋" w:cs="仿宋"/>
          <w:color w:val="000000"/>
          <w:sz w:val="32"/>
          <w:szCs w:val="32"/>
          <w:lang w:eastAsia="zh-CN"/>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45.12</w:t>
      </w:r>
      <w:r>
        <w:rPr>
          <w:rStyle w:val="19"/>
          <w:rFonts w:hint="eastAsia" w:ascii="仿宋" w:hAnsi="仿宋" w:eastAsia="仿宋" w:cs="仿宋"/>
          <w:b w:val="0"/>
          <w:bCs w:val="0"/>
          <w:color w:val="000000"/>
          <w:sz w:val="32"/>
          <w:szCs w:val="32"/>
        </w:rPr>
        <w:t>万元，完成预算100%。</w:t>
      </w:r>
    </w:p>
    <w:p w14:paraId="26A08F61">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仿宋" w:hAnsi="仿宋" w:eastAsia="仿宋" w:cs="仿宋"/>
          <w:sz w:val="32"/>
          <w:szCs w:val="32"/>
          <w:lang w:val="en-US" w:eastAsia="zh-CN"/>
        </w:rPr>
      </w:pPr>
      <w:r>
        <w:rPr>
          <w:rStyle w:val="19"/>
          <w:rFonts w:hint="eastAsia" w:ascii="仿宋" w:hAnsi="仿宋" w:eastAsia="仿宋" w:cs="仿宋"/>
          <w:b/>
          <w:bCs/>
          <w:color w:val="000000"/>
          <w:sz w:val="32"/>
          <w:szCs w:val="32"/>
          <w:lang w:val="en-US" w:eastAsia="zh-CN"/>
        </w:rPr>
        <w:sym w:font="Wingdings" w:char="F082"/>
      </w:r>
      <w:r>
        <w:rPr>
          <w:rStyle w:val="19"/>
          <w:rFonts w:hint="eastAsia" w:ascii="仿宋" w:hAnsi="仿宋" w:eastAsia="仿宋" w:cs="仿宋"/>
          <w:b/>
          <w:bCs/>
          <w:color w:val="000000"/>
          <w:sz w:val="32"/>
          <w:szCs w:val="32"/>
          <w:lang w:val="en-US" w:eastAsia="zh-CN"/>
        </w:rPr>
        <w:t>事业单位离退休2080502：</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1.91</w:t>
      </w:r>
      <w:r>
        <w:rPr>
          <w:rStyle w:val="19"/>
          <w:rFonts w:hint="eastAsia" w:ascii="仿宋" w:hAnsi="仿宋" w:eastAsia="仿宋" w:cs="仿宋"/>
          <w:b w:val="0"/>
          <w:bCs w:val="0"/>
          <w:color w:val="000000"/>
          <w:sz w:val="32"/>
          <w:szCs w:val="32"/>
        </w:rPr>
        <w:t>万元，完成预算100%。</w:t>
      </w:r>
    </w:p>
    <w:p w14:paraId="7CFB933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rPr>
        <w:sym w:font="Wingdings" w:char="F083"/>
      </w:r>
      <w:r>
        <w:rPr>
          <w:rFonts w:hint="eastAsia" w:ascii="仿宋" w:hAnsi="仿宋" w:eastAsia="仿宋" w:cs="仿宋"/>
          <w:b/>
          <w:bCs/>
          <w:color w:val="000000"/>
          <w:sz w:val="32"/>
          <w:szCs w:val="32"/>
        </w:rPr>
        <w:t>机关事业单位基本养老保险缴费支出</w:t>
      </w:r>
      <w:r>
        <w:rPr>
          <w:rFonts w:hint="eastAsia" w:ascii="仿宋" w:hAnsi="仿宋" w:eastAsia="仿宋" w:cs="仿宋"/>
          <w:b/>
          <w:bCs/>
          <w:color w:val="000000"/>
          <w:sz w:val="32"/>
          <w:szCs w:val="32"/>
          <w:lang w:val="en-US" w:eastAsia="zh-CN"/>
        </w:rPr>
        <w:t>2080505</w:t>
      </w:r>
      <w:r>
        <w:rPr>
          <w:rFonts w:hint="eastAsia" w:ascii="仿宋" w:hAnsi="仿宋" w:eastAsia="仿宋" w:cs="仿宋"/>
          <w:b/>
          <w:bCs/>
          <w:color w:val="000000"/>
          <w:sz w:val="32"/>
          <w:szCs w:val="32"/>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71.21</w:t>
      </w:r>
      <w:r>
        <w:rPr>
          <w:rStyle w:val="19"/>
          <w:rFonts w:hint="eastAsia" w:ascii="仿宋" w:hAnsi="仿宋" w:eastAsia="仿宋" w:cs="仿宋"/>
          <w:b w:val="0"/>
          <w:bCs w:val="0"/>
          <w:color w:val="000000"/>
          <w:sz w:val="32"/>
          <w:szCs w:val="32"/>
        </w:rPr>
        <w:t>万元，完成预算100%。</w:t>
      </w:r>
    </w:p>
    <w:p w14:paraId="3C5734CC">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rPr>
        <w:t>④</w:t>
      </w:r>
      <w:r>
        <w:rPr>
          <w:rStyle w:val="19"/>
          <w:rFonts w:hint="eastAsia" w:ascii="仿宋" w:hAnsi="仿宋" w:eastAsia="仿宋" w:cs="仿宋"/>
          <w:color w:val="000000"/>
          <w:sz w:val="32"/>
          <w:szCs w:val="32"/>
          <w:lang w:eastAsia="zh-CN"/>
        </w:rPr>
        <w:t>机关事业单位职业年金缴费支出</w:t>
      </w:r>
      <w:r>
        <w:rPr>
          <w:rStyle w:val="19"/>
          <w:rFonts w:hint="eastAsia" w:ascii="仿宋" w:hAnsi="仿宋" w:eastAsia="仿宋" w:cs="仿宋"/>
          <w:color w:val="000000"/>
          <w:sz w:val="32"/>
          <w:szCs w:val="32"/>
          <w:lang w:val="en-US" w:eastAsia="zh-CN"/>
        </w:rPr>
        <w:t>2080506</w:t>
      </w:r>
      <w:r>
        <w:rPr>
          <w:rStyle w:val="19"/>
          <w:rFonts w:hint="eastAsia" w:ascii="仿宋" w:hAnsi="仿宋" w:eastAsia="仿宋" w:cs="仿宋"/>
          <w:color w:val="000000"/>
          <w:sz w:val="32"/>
          <w:szCs w:val="32"/>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33.56</w:t>
      </w:r>
      <w:r>
        <w:rPr>
          <w:rStyle w:val="19"/>
          <w:rFonts w:hint="eastAsia" w:ascii="仿宋" w:hAnsi="仿宋" w:eastAsia="仿宋" w:cs="仿宋"/>
          <w:b w:val="0"/>
          <w:bCs w:val="0"/>
          <w:color w:val="000000"/>
          <w:sz w:val="32"/>
          <w:szCs w:val="32"/>
        </w:rPr>
        <w:t>万元，完成预算100%。</w:t>
      </w:r>
    </w:p>
    <w:p w14:paraId="75963AD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lang w:val="en-US" w:eastAsia="zh-CN"/>
        </w:rPr>
        <w:t>3</w:t>
      </w:r>
      <w:r>
        <w:rPr>
          <w:rStyle w:val="19"/>
          <w:rFonts w:hint="eastAsia" w:ascii="仿宋" w:hAnsi="仿宋" w:eastAsia="仿宋" w:cs="仿宋"/>
          <w:color w:val="000000"/>
          <w:sz w:val="32"/>
          <w:szCs w:val="32"/>
        </w:rPr>
        <w:t>.社会保障和就业（</w:t>
      </w:r>
      <w:r>
        <w:rPr>
          <w:rStyle w:val="19"/>
          <w:rFonts w:hint="eastAsia" w:ascii="仿宋" w:hAnsi="仿宋" w:eastAsia="仿宋" w:cs="仿宋"/>
          <w:color w:val="000000"/>
          <w:sz w:val="32"/>
          <w:szCs w:val="32"/>
          <w:lang w:val="en-US" w:eastAsia="zh-CN"/>
        </w:rPr>
        <w:t>208</w:t>
      </w:r>
      <w:r>
        <w:rPr>
          <w:rStyle w:val="19"/>
          <w:rFonts w:hint="eastAsia" w:ascii="仿宋" w:hAnsi="仿宋" w:eastAsia="仿宋" w:cs="仿宋"/>
          <w:color w:val="000000"/>
          <w:sz w:val="32"/>
          <w:szCs w:val="32"/>
        </w:rPr>
        <w:t>）</w:t>
      </w:r>
      <w:r>
        <w:rPr>
          <w:rStyle w:val="19"/>
          <w:rFonts w:hint="eastAsia" w:ascii="仿宋" w:hAnsi="仿宋" w:eastAsia="仿宋" w:cs="仿宋"/>
          <w:color w:val="000000"/>
          <w:sz w:val="32"/>
          <w:szCs w:val="32"/>
          <w:lang w:eastAsia="zh-CN"/>
        </w:rPr>
        <w:t>抚恤</w:t>
      </w:r>
      <w:r>
        <w:rPr>
          <w:rStyle w:val="19"/>
          <w:rFonts w:hint="eastAsia" w:ascii="仿宋" w:hAnsi="仿宋" w:eastAsia="仿宋" w:cs="仿宋"/>
          <w:color w:val="000000"/>
          <w:sz w:val="32"/>
          <w:szCs w:val="32"/>
        </w:rPr>
        <w:t>（</w:t>
      </w:r>
      <w:r>
        <w:rPr>
          <w:rStyle w:val="19"/>
          <w:rFonts w:hint="eastAsia" w:ascii="仿宋" w:hAnsi="仿宋" w:eastAsia="仿宋" w:cs="仿宋"/>
          <w:color w:val="000000"/>
          <w:sz w:val="32"/>
          <w:szCs w:val="32"/>
          <w:lang w:val="en-US" w:eastAsia="zh-CN"/>
        </w:rPr>
        <w:t>08</w:t>
      </w:r>
      <w:r>
        <w:rPr>
          <w:rStyle w:val="19"/>
          <w:rFonts w:hint="eastAsia" w:ascii="仿宋" w:hAnsi="仿宋" w:eastAsia="仿宋" w:cs="仿宋"/>
          <w:color w:val="000000"/>
          <w:sz w:val="32"/>
          <w:szCs w:val="32"/>
        </w:rPr>
        <w:t>）</w:t>
      </w:r>
      <w:r>
        <w:rPr>
          <w:rStyle w:val="19"/>
          <w:rFonts w:hint="eastAsia" w:ascii="仿宋" w:hAnsi="仿宋" w:eastAsia="仿宋" w:cs="仿宋"/>
          <w:color w:val="000000"/>
          <w:sz w:val="32"/>
          <w:szCs w:val="32"/>
          <w:lang w:val="en-US" w:eastAsia="zh-CN"/>
        </w:rPr>
        <w:t>伤残</w:t>
      </w:r>
      <w:r>
        <w:rPr>
          <w:rStyle w:val="19"/>
          <w:rFonts w:hint="eastAsia" w:ascii="仿宋" w:hAnsi="仿宋" w:eastAsia="仿宋" w:cs="仿宋"/>
          <w:color w:val="000000"/>
          <w:sz w:val="32"/>
          <w:szCs w:val="32"/>
          <w:lang w:eastAsia="zh-CN"/>
        </w:rPr>
        <w:t>抚恤（</w:t>
      </w:r>
      <w:r>
        <w:rPr>
          <w:rStyle w:val="19"/>
          <w:rFonts w:hint="eastAsia" w:ascii="仿宋" w:hAnsi="仿宋" w:eastAsia="仿宋" w:cs="仿宋"/>
          <w:color w:val="000000"/>
          <w:sz w:val="32"/>
          <w:szCs w:val="32"/>
          <w:lang w:val="en-US" w:eastAsia="zh-CN"/>
        </w:rPr>
        <w:t>02</w:t>
      </w:r>
      <w:r>
        <w:rPr>
          <w:rStyle w:val="19"/>
          <w:rFonts w:hint="eastAsia" w:ascii="仿宋" w:hAnsi="仿宋" w:eastAsia="仿宋" w:cs="仿宋"/>
          <w:color w:val="000000"/>
          <w:sz w:val="32"/>
          <w:szCs w:val="32"/>
          <w:lang w:eastAsia="zh-CN"/>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1.52</w:t>
      </w:r>
      <w:r>
        <w:rPr>
          <w:rStyle w:val="19"/>
          <w:rFonts w:hint="eastAsia" w:ascii="仿宋" w:hAnsi="仿宋" w:eastAsia="仿宋" w:cs="仿宋"/>
          <w:b w:val="0"/>
          <w:bCs w:val="0"/>
          <w:color w:val="000000"/>
          <w:sz w:val="32"/>
          <w:szCs w:val="32"/>
        </w:rPr>
        <w:t>万元，完成预算100%。</w:t>
      </w:r>
    </w:p>
    <w:p w14:paraId="269016B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3"/>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4</w:t>
      </w:r>
      <w:r>
        <w:rPr>
          <w:rFonts w:hint="eastAsia" w:ascii="仿宋" w:hAnsi="仿宋" w:eastAsia="仿宋" w:cs="仿宋"/>
          <w:b/>
          <w:sz w:val="32"/>
          <w:szCs w:val="32"/>
        </w:rPr>
        <w:t>.卫生健康支出（</w:t>
      </w:r>
      <w:r>
        <w:rPr>
          <w:rFonts w:hint="eastAsia" w:ascii="仿宋" w:hAnsi="仿宋" w:eastAsia="仿宋" w:cs="仿宋"/>
          <w:b/>
          <w:sz w:val="32"/>
          <w:szCs w:val="32"/>
          <w:lang w:val="en-US" w:eastAsia="zh-CN"/>
        </w:rPr>
        <w:t>210</w:t>
      </w:r>
      <w:r>
        <w:rPr>
          <w:rFonts w:hint="eastAsia" w:ascii="仿宋" w:hAnsi="仿宋" w:eastAsia="仿宋" w:cs="仿宋"/>
          <w:b/>
          <w:sz w:val="32"/>
          <w:szCs w:val="32"/>
        </w:rPr>
        <w:t>）</w:t>
      </w:r>
      <w:r>
        <w:rPr>
          <w:rFonts w:hint="eastAsia" w:ascii="仿宋" w:hAnsi="仿宋" w:eastAsia="仿宋" w:cs="仿宋"/>
          <w:b/>
          <w:sz w:val="32"/>
          <w:szCs w:val="32"/>
          <w:lang w:eastAsia="zh-CN"/>
        </w:rPr>
        <w:t>行政事业单位医疗</w:t>
      </w:r>
      <w:r>
        <w:rPr>
          <w:rFonts w:hint="eastAsia" w:ascii="仿宋" w:hAnsi="仿宋" w:eastAsia="仿宋" w:cs="仿宋"/>
          <w:b/>
          <w:sz w:val="32"/>
          <w:szCs w:val="32"/>
        </w:rPr>
        <w:t>（</w:t>
      </w:r>
      <w:r>
        <w:rPr>
          <w:rFonts w:hint="eastAsia" w:ascii="仿宋" w:hAnsi="仿宋" w:eastAsia="仿宋" w:cs="仿宋"/>
          <w:b/>
          <w:sz w:val="32"/>
          <w:szCs w:val="32"/>
          <w:lang w:val="en-US" w:eastAsia="zh-CN"/>
        </w:rPr>
        <w:t>11</w:t>
      </w:r>
      <w:r>
        <w:rPr>
          <w:rFonts w:hint="eastAsia" w:ascii="仿宋" w:hAnsi="仿宋" w:eastAsia="仿宋" w:cs="仿宋"/>
          <w:b/>
          <w:sz w:val="32"/>
          <w:szCs w:val="32"/>
        </w:rPr>
        <w:t>）</w:t>
      </w:r>
      <w:r>
        <w:rPr>
          <w:rFonts w:hint="eastAsia" w:ascii="仿宋" w:hAnsi="仿宋" w:eastAsia="仿宋" w:cs="仿宋"/>
          <w:b/>
          <w:sz w:val="32"/>
          <w:szCs w:val="32"/>
          <w:lang w:eastAsia="zh-CN"/>
        </w:rPr>
        <w:t>：</w:t>
      </w:r>
    </w:p>
    <w:p w14:paraId="5A0E08D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color w:val="000000"/>
          <w:sz w:val="32"/>
          <w:szCs w:val="32"/>
          <w:lang w:eastAsia="zh-CN"/>
        </w:rPr>
        <w:sym w:font="Wingdings" w:char="F081"/>
      </w:r>
      <w:r>
        <w:rPr>
          <w:rFonts w:hint="eastAsia" w:ascii="仿宋" w:hAnsi="仿宋" w:eastAsia="仿宋" w:cs="仿宋"/>
          <w:b/>
          <w:bCs/>
          <w:color w:val="000000"/>
          <w:sz w:val="32"/>
          <w:szCs w:val="32"/>
          <w:lang w:eastAsia="zh-CN"/>
        </w:rPr>
        <w:t>行政单位医疗</w:t>
      </w:r>
      <w:r>
        <w:rPr>
          <w:rFonts w:hint="eastAsia" w:ascii="仿宋" w:hAnsi="仿宋" w:eastAsia="仿宋" w:cs="仿宋"/>
          <w:b/>
          <w:bCs/>
          <w:color w:val="000000"/>
          <w:sz w:val="32"/>
          <w:szCs w:val="32"/>
          <w:lang w:val="en-US" w:eastAsia="zh-CN"/>
        </w:rPr>
        <w:t>2101101</w:t>
      </w:r>
      <w:r>
        <w:rPr>
          <w:rFonts w:hint="eastAsia" w:ascii="仿宋" w:hAnsi="仿宋" w:eastAsia="仿宋" w:cs="仿宋"/>
          <w:sz w:val="32"/>
          <w:szCs w:val="32"/>
          <w:lang w:eastAsia="zh-CN"/>
        </w:rPr>
        <w:t>：</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31.80</w:t>
      </w:r>
      <w:r>
        <w:rPr>
          <w:rFonts w:hint="eastAsia" w:ascii="仿宋" w:hAnsi="仿宋" w:eastAsia="仿宋" w:cs="仿宋"/>
          <w:sz w:val="32"/>
          <w:szCs w:val="32"/>
        </w:rPr>
        <w:t>万元，完成预算100%，决算数等于预算数。</w:t>
      </w:r>
    </w:p>
    <w:p w14:paraId="7379025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color w:val="000000"/>
          <w:sz w:val="32"/>
          <w:szCs w:val="32"/>
          <w:lang w:val="en-US" w:eastAsia="zh-CN"/>
        </w:rPr>
        <w:sym w:font="Wingdings" w:char="F082"/>
      </w:r>
      <w:r>
        <w:rPr>
          <w:rFonts w:hint="eastAsia" w:ascii="仿宋" w:hAnsi="仿宋" w:eastAsia="仿宋" w:cs="仿宋"/>
          <w:b/>
          <w:bCs/>
          <w:color w:val="000000"/>
          <w:sz w:val="32"/>
          <w:szCs w:val="32"/>
          <w:lang w:val="en-US" w:eastAsia="zh-CN"/>
        </w:rPr>
        <w:t>事业单位医疗2101102</w:t>
      </w:r>
      <w:r>
        <w:rPr>
          <w:rFonts w:hint="eastAsia" w:ascii="仿宋" w:hAnsi="仿宋" w:eastAsia="仿宋" w:cs="仿宋"/>
          <w:sz w:val="32"/>
          <w:szCs w:val="32"/>
          <w:lang w:val="en-US" w:eastAsia="zh-CN"/>
        </w:rPr>
        <w:t>：</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7.20</w:t>
      </w:r>
      <w:r>
        <w:rPr>
          <w:rFonts w:hint="eastAsia" w:ascii="仿宋" w:hAnsi="仿宋" w:eastAsia="仿宋" w:cs="仿宋"/>
          <w:sz w:val="32"/>
          <w:szCs w:val="32"/>
        </w:rPr>
        <w:t>万元，完成预算100%，决算数等于预算数。</w:t>
      </w:r>
    </w:p>
    <w:p w14:paraId="61A24E5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color w:val="000000"/>
          <w:sz w:val="32"/>
          <w:szCs w:val="32"/>
          <w:lang w:val="en-US" w:eastAsia="zh-CN"/>
        </w:rPr>
        <w:t>③公务员医疗补助2101103</w:t>
      </w:r>
      <w:r>
        <w:rPr>
          <w:rFonts w:hint="eastAsia" w:ascii="仿宋" w:hAnsi="仿宋" w:eastAsia="仿宋" w:cs="仿宋"/>
          <w:sz w:val="32"/>
          <w:szCs w:val="32"/>
          <w:lang w:val="en-US" w:eastAsia="zh-CN"/>
        </w:rPr>
        <w:t>：</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3.54</w:t>
      </w:r>
      <w:r>
        <w:rPr>
          <w:rFonts w:hint="eastAsia" w:ascii="仿宋" w:hAnsi="仿宋" w:eastAsia="仿宋" w:cs="仿宋"/>
          <w:sz w:val="32"/>
          <w:szCs w:val="32"/>
        </w:rPr>
        <w:t>万元，完成预算100%，决算数等于预算数。</w:t>
      </w:r>
    </w:p>
    <w:p w14:paraId="3FE19AE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color w:val="000000"/>
          <w:sz w:val="32"/>
          <w:szCs w:val="32"/>
          <w:lang w:val="en-US" w:eastAsia="zh-CN"/>
        </w:rPr>
        <w:t>④其他行政事业单位医疗支出2101199</w:t>
      </w:r>
      <w:r>
        <w:rPr>
          <w:rFonts w:hint="eastAsia" w:ascii="仿宋" w:hAnsi="仿宋" w:eastAsia="仿宋" w:cs="仿宋"/>
          <w:sz w:val="32"/>
          <w:szCs w:val="32"/>
          <w:lang w:val="en-US" w:eastAsia="zh-CN"/>
        </w:rPr>
        <w:t>：</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22.26</w:t>
      </w:r>
      <w:r>
        <w:rPr>
          <w:rFonts w:hint="eastAsia" w:ascii="仿宋" w:hAnsi="仿宋" w:eastAsia="仿宋" w:cs="仿宋"/>
          <w:sz w:val="32"/>
          <w:szCs w:val="32"/>
        </w:rPr>
        <w:t>万元，完成预算100%，决算数等于预算数。</w:t>
      </w:r>
    </w:p>
    <w:p w14:paraId="2A1D9E2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eastAsia="仿宋_GB2312" w:cs="仿宋_GB2312"/>
          <w:sz w:val="32"/>
          <w:szCs w:val="32"/>
        </w:rPr>
      </w:pPr>
      <w:r>
        <w:rPr>
          <w:rStyle w:val="19"/>
          <w:rFonts w:hint="eastAsia" w:ascii="仿宋" w:hAnsi="仿宋" w:eastAsia="仿宋" w:cs="仿宋"/>
          <w:color w:val="000000"/>
          <w:sz w:val="32"/>
          <w:szCs w:val="32"/>
          <w:lang w:val="en-US" w:eastAsia="zh-CN"/>
        </w:rPr>
        <w:t>5.</w:t>
      </w:r>
      <w:r>
        <w:rPr>
          <w:rStyle w:val="19"/>
          <w:rFonts w:hint="eastAsia" w:ascii="仿宋" w:hAnsi="仿宋" w:eastAsia="仿宋" w:cs="仿宋"/>
          <w:color w:val="000000"/>
          <w:sz w:val="32"/>
          <w:szCs w:val="32"/>
        </w:rPr>
        <w:t>住房保障支出（</w:t>
      </w:r>
      <w:r>
        <w:rPr>
          <w:rStyle w:val="19"/>
          <w:rFonts w:hint="eastAsia" w:ascii="仿宋" w:hAnsi="仿宋" w:eastAsia="仿宋" w:cs="仿宋"/>
          <w:color w:val="000000"/>
          <w:sz w:val="32"/>
          <w:szCs w:val="32"/>
          <w:lang w:val="en-US" w:eastAsia="zh-CN"/>
        </w:rPr>
        <w:t>221</w:t>
      </w:r>
      <w:r>
        <w:rPr>
          <w:rStyle w:val="19"/>
          <w:rFonts w:hint="eastAsia" w:ascii="仿宋" w:hAnsi="仿宋" w:eastAsia="仿宋" w:cs="仿宋"/>
          <w:color w:val="000000"/>
          <w:sz w:val="32"/>
          <w:szCs w:val="32"/>
        </w:rPr>
        <w:t>）住房改革支出（</w:t>
      </w:r>
      <w:r>
        <w:rPr>
          <w:rStyle w:val="19"/>
          <w:rFonts w:hint="eastAsia" w:ascii="仿宋" w:hAnsi="仿宋" w:eastAsia="仿宋" w:cs="仿宋"/>
          <w:color w:val="000000"/>
          <w:sz w:val="32"/>
          <w:szCs w:val="32"/>
          <w:lang w:val="en-US" w:eastAsia="zh-CN"/>
        </w:rPr>
        <w:t>02</w:t>
      </w:r>
      <w:r>
        <w:rPr>
          <w:rStyle w:val="19"/>
          <w:rFonts w:hint="eastAsia" w:ascii="仿宋" w:hAnsi="仿宋" w:eastAsia="仿宋" w:cs="仿宋"/>
          <w:color w:val="000000"/>
          <w:sz w:val="32"/>
          <w:szCs w:val="32"/>
        </w:rPr>
        <w:t>）住房公积金（</w:t>
      </w:r>
      <w:r>
        <w:rPr>
          <w:rStyle w:val="19"/>
          <w:rFonts w:hint="eastAsia" w:ascii="仿宋" w:hAnsi="仿宋" w:eastAsia="仿宋" w:cs="仿宋"/>
          <w:color w:val="000000"/>
          <w:sz w:val="32"/>
          <w:szCs w:val="32"/>
          <w:lang w:val="en-US" w:eastAsia="zh-CN"/>
        </w:rPr>
        <w:t>01</w:t>
      </w:r>
      <w:r>
        <w:rPr>
          <w:rStyle w:val="19"/>
          <w:rFonts w:hint="eastAsia" w:ascii="仿宋" w:hAnsi="仿宋" w:eastAsia="仿宋" w:cs="仿宋"/>
          <w:color w:val="000000"/>
          <w:sz w:val="32"/>
          <w:szCs w:val="32"/>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58.77</w:t>
      </w:r>
      <w:r>
        <w:rPr>
          <w:rStyle w:val="19"/>
          <w:rFonts w:hint="eastAsia" w:ascii="仿宋" w:hAnsi="仿宋" w:eastAsia="仿宋" w:cs="仿宋"/>
          <w:b w:val="0"/>
          <w:bCs w:val="0"/>
          <w:color w:val="000000"/>
          <w:sz w:val="32"/>
          <w:szCs w:val="32"/>
        </w:rPr>
        <w:t>万元，完成预算100%。</w:t>
      </w:r>
    </w:p>
    <w:p w14:paraId="2970B66D">
      <w:pPr>
        <w:tabs>
          <w:tab w:val="right" w:pos="8306"/>
        </w:tabs>
        <w:spacing w:line="600" w:lineRule="exact"/>
        <w:ind w:firstLine="640"/>
        <w:outlineLvl w:val="1"/>
        <w:rPr>
          <w:rStyle w:val="31"/>
          <w:rFonts w:ascii="Times New Roman" w:hAnsi="Times New Roman"/>
        </w:rPr>
      </w:pPr>
      <w:bookmarkStart w:id="74" w:name="_Toc15377214"/>
      <w:bookmarkStart w:id="75" w:name="_Toc19246_WPSOffice_Level2"/>
      <w:bookmarkStart w:id="76" w:name="_Toc15396608"/>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74"/>
      <w:bookmarkEnd w:id="75"/>
      <w:bookmarkEnd w:id="76"/>
      <w:r>
        <w:rPr>
          <w:rStyle w:val="31"/>
          <w:rFonts w:ascii="Times New Roman" w:hAnsi="Times New Roman" w:eastAsia="黑体"/>
          <w:b w:val="0"/>
        </w:rPr>
        <w:tab/>
      </w:r>
    </w:p>
    <w:p w14:paraId="4E136452">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878.05</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7E84D4B9">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805.59</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元，主要包括：基本工资、津贴补贴、奖金、绩效工资、机关事业单位基本养老保险缴费、职业年金缴费、</w:t>
      </w:r>
      <w:r>
        <w:rPr>
          <w:rFonts w:hint="eastAsia" w:eastAsia="仿宋_GB2312" w:cs="仿宋_GB2312"/>
          <w:sz w:val="32"/>
          <w:szCs w:val="32"/>
          <w:lang w:val="en-US" w:eastAsia="zh-CN"/>
        </w:rPr>
        <w:t>职工基本医疗保险缴费、公务员医疗补助缴费、</w:t>
      </w:r>
      <w:r>
        <w:rPr>
          <w:rFonts w:hint="eastAsia" w:eastAsia="仿宋_GB2312" w:cs="仿宋_GB2312"/>
          <w:sz w:val="32"/>
          <w:szCs w:val="32"/>
        </w:rPr>
        <w:t>其他社会保障缴费、</w:t>
      </w:r>
      <w:r>
        <w:rPr>
          <w:rFonts w:hint="eastAsia" w:eastAsia="仿宋_GB2312" w:cs="仿宋_GB2312"/>
          <w:sz w:val="32"/>
          <w:szCs w:val="32"/>
          <w:lang w:val="en-US" w:eastAsia="zh-CN"/>
        </w:rPr>
        <w:t>医疗费、</w:t>
      </w:r>
      <w:r>
        <w:rPr>
          <w:rFonts w:hint="eastAsia" w:eastAsia="仿宋_GB2312" w:cs="仿宋_GB2312"/>
          <w:sz w:val="32"/>
          <w:szCs w:val="32"/>
        </w:rPr>
        <w:t>其他工资福利支出、离休费、抚恤金、生活补助、医疗费补助、奖励金、住房公积金、其他对个人和家庭的补助支出等。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72.46</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水费、邮电费、物业管理费、差旅费、维修（护）费、会议费、培训费、公务接待费、劳务费、委托业务费、工会经费、福利费、公务用车运行维护费、其他交通费、其他商品和服务支出、办公设备购置。</w:t>
      </w:r>
    </w:p>
    <w:p w14:paraId="355D81CD">
      <w:pPr>
        <w:spacing w:line="600" w:lineRule="exact"/>
        <w:ind w:firstLine="640"/>
        <w:outlineLvl w:val="1"/>
        <w:rPr>
          <w:rStyle w:val="31"/>
          <w:rFonts w:ascii="Times New Roman" w:hAnsi="Times New Roman" w:eastAsia="黑体"/>
          <w:b w:val="0"/>
        </w:rPr>
      </w:pPr>
      <w:bookmarkStart w:id="77" w:name="_Toc15396609"/>
      <w:bookmarkStart w:id="78" w:name="_Toc18094_WPSOffice_Level2"/>
      <w:bookmarkStart w:id="79" w:name="_Toc15377215"/>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77"/>
      <w:bookmarkEnd w:id="78"/>
      <w:bookmarkEnd w:id="79"/>
    </w:p>
    <w:p w14:paraId="591C3CE5">
      <w:pPr>
        <w:spacing w:line="600" w:lineRule="exact"/>
        <w:ind w:firstLine="643" w:firstLineChars="200"/>
        <w:outlineLvl w:val="2"/>
        <w:rPr>
          <w:rFonts w:eastAsia="楷体_GB2312" w:cs="楷体_GB2312"/>
          <w:b/>
          <w:sz w:val="32"/>
          <w:szCs w:val="32"/>
        </w:rPr>
      </w:pPr>
      <w:bookmarkStart w:id="80" w:name="_Toc15377216"/>
      <w:r>
        <w:rPr>
          <w:rFonts w:hint="eastAsia" w:eastAsia="楷体_GB2312" w:cs="楷体_GB2312"/>
          <w:b/>
          <w:sz w:val="32"/>
          <w:szCs w:val="32"/>
        </w:rPr>
        <w:t>（一）“三公”经费财政拨款支出决算总体情况说明</w:t>
      </w:r>
      <w:bookmarkEnd w:id="80"/>
    </w:p>
    <w:p w14:paraId="5889695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1.89</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w:t>
      </w:r>
      <w:r>
        <w:rPr>
          <w:rFonts w:hint="eastAsia" w:eastAsia="仿宋_GB2312" w:cs="仿宋_GB2312"/>
          <w:sz w:val="32"/>
          <w:szCs w:val="32"/>
          <w:lang w:val="en-US" w:eastAsia="zh-CN"/>
        </w:rPr>
        <w:t>0.31</w:t>
      </w:r>
      <w:r>
        <w:rPr>
          <w:rFonts w:hint="eastAsia" w:eastAsia="仿宋_GB2312" w:cs="仿宋_GB2312"/>
          <w:sz w:val="32"/>
          <w:szCs w:val="32"/>
        </w:rPr>
        <w:t>万元，下降</w:t>
      </w:r>
      <w:r>
        <w:rPr>
          <w:rFonts w:hint="eastAsia" w:eastAsia="仿宋_GB2312" w:cs="仿宋_GB2312"/>
          <w:sz w:val="32"/>
          <w:szCs w:val="32"/>
          <w:lang w:val="en-US" w:eastAsia="zh-CN"/>
        </w:rPr>
        <w:t>14.09</w:t>
      </w:r>
      <w:r>
        <w:rPr>
          <w:rFonts w:hint="eastAsia" w:eastAsia="仿宋_GB2312" w:cs="仿宋_GB2312"/>
          <w:sz w:val="32"/>
          <w:szCs w:val="32"/>
        </w:rPr>
        <w:t>%。</w:t>
      </w:r>
      <w:r>
        <w:rPr>
          <w:rFonts w:hint="eastAsia" w:ascii="仿宋" w:hAnsi="仿宋" w:eastAsia="仿宋" w:cs="仿宋"/>
          <w:sz w:val="32"/>
          <w:szCs w:val="32"/>
        </w:rPr>
        <w:t>决算数与预算数持平。</w:t>
      </w:r>
    </w:p>
    <w:p w14:paraId="3A45624E">
      <w:pPr>
        <w:spacing w:line="600" w:lineRule="exact"/>
        <w:ind w:firstLine="643" w:firstLineChars="200"/>
        <w:outlineLvl w:val="2"/>
        <w:rPr>
          <w:rFonts w:eastAsia="楷体_GB2312" w:cs="楷体_GB2312"/>
          <w:b/>
          <w:sz w:val="32"/>
          <w:szCs w:val="32"/>
        </w:rPr>
      </w:pPr>
      <w:bookmarkStart w:id="81" w:name="_Toc15377217"/>
      <w:r>
        <w:rPr>
          <w:rFonts w:hint="eastAsia" w:eastAsia="楷体_GB2312" w:cs="楷体_GB2312"/>
          <w:b/>
          <w:sz w:val="32"/>
          <w:szCs w:val="32"/>
        </w:rPr>
        <w:t>（二）“三公”经费财政拨款支出决算具体情况说明</w:t>
      </w:r>
      <w:bookmarkEnd w:id="81"/>
    </w:p>
    <w:p w14:paraId="06C70BA2">
      <w:pPr>
        <w:spacing w:line="600" w:lineRule="exact"/>
        <w:ind w:firstLine="640"/>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93.65</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6.35</w:t>
      </w:r>
      <w:r>
        <w:rPr>
          <w:rFonts w:hint="eastAsia" w:ascii="仿宋_GB2312" w:hAnsi="仿宋_GB2312" w:eastAsia="仿宋_GB2312" w:cs="仿宋_GB2312"/>
          <w:sz w:val="32"/>
          <w:szCs w:val="32"/>
        </w:rPr>
        <w:t>%。具体情况如下</w:t>
      </w:r>
    </w:p>
    <w:p w14:paraId="1EFDAFBB">
      <w:pPr>
        <w:pStyle w:val="2"/>
      </w:pPr>
      <w:r>
        <w:drawing>
          <wp:inline distT="0" distB="0" distL="114300" distR="114300">
            <wp:extent cx="5268595" cy="2740660"/>
            <wp:effectExtent l="4445" t="4445" r="22860" b="17145"/>
            <wp:docPr id="234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EB65F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w:t>
      </w:r>
      <w:r>
        <w:rPr>
          <w:rFonts w:hint="eastAsia" w:ascii="仿宋" w:hAnsi="仿宋" w:eastAsia="仿宋" w:cs="仿宋"/>
          <w:color w:val="000000"/>
          <w:sz w:val="32"/>
          <w:szCs w:val="32"/>
        </w:rPr>
        <w:t>因公出国（境）支出决算比</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年无增减变动。主要原因是我单位无因公出国（境）支出。</w:t>
      </w:r>
    </w:p>
    <w:p w14:paraId="1408590C">
      <w:pPr>
        <w:spacing w:line="600" w:lineRule="exact"/>
        <w:ind w:firstLine="640"/>
        <w:rPr>
          <w:rFonts w:ascii="Times New Roman" w:hAnsi="Times New Roman" w:eastAsia="方正仿宋_GBK"/>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1.77</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公务用车购置及运行维护费支出决算比2023年度增减少</w:t>
      </w:r>
      <w:r>
        <w:rPr>
          <w:rFonts w:hint="eastAsia" w:eastAsia="仿宋_GB2312" w:cs="仿宋_GB2312"/>
          <w:sz w:val="32"/>
          <w:szCs w:val="32"/>
          <w:lang w:val="en-US" w:eastAsia="zh-CN"/>
        </w:rPr>
        <w:t>0.12</w:t>
      </w:r>
      <w:r>
        <w:rPr>
          <w:rFonts w:hint="eastAsia" w:eastAsia="仿宋_GB2312" w:cs="仿宋_GB2312"/>
          <w:sz w:val="32"/>
          <w:szCs w:val="32"/>
        </w:rPr>
        <w:t>万元，下降</w:t>
      </w:r>
      <w:r>
        <w:rPr>
          <w:rFonts w:hint="eastAsia" w:eastAsia="仿宋_GB2312" w:cs="仿宋_GB2312"/>
          <w:sz w:val="32"/>
          <w:szCs w:val="32"/>
          <w:lang w:val="en-US" w:eastAsia="zh-CN"/>
        </w:rPr>
        <w:t>6.35</w:t>
      </w:r>
      <w:r>
        <w:rPr>
          <w:rFonts w:hint="eastAsia" w:eastAsia="仿宋_GB2312" w:cs="仿宋_GB2312"/>
          <w:sz w:val="32"/>
          <w:szCs w:val="32"/>
        </w:rPr>
        <w:t>%。主要原因是</w:t>
      </w:r>
      <w:r>
        <w:rPr>
          <w:rFonts w:ascii="Times New Roman" w:hAnsi="Times New Roman" w:eastAsia="方正仿宋_GBK"/>
          <w:sz w:val="32"/>
          <w:szCs w:val="32"/>
        </w:rPr>
        <w:t>贯彻落实过紧日子要求，节约费用</w:t>
      </w:r>
    </w:p>
    <w:p w14:paraId="40741197">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1</w:t>
      </w:r>
      <w:r>
        <w:rPr>
          <w:rFonts w:hint="eastAsia" w:eastAsia="仿宋_GB2312" w:cs="仿宋_GB2312"/>
          <w:sz w:val="32"/>
          <w:szCs w:val="32"/>
        </w:rPr>
        <w:t>辆，其中：轿车</w:t>
      </w:r>
      <w:r>
        <w:rPr>
          <w:rFonts w:hint="eastAsia" w:eastAsia="仿宋_GB2312" w:cs="仿宋_GB2312"/>
          <w:sz w:val="32"/>
          <w:szCs w:val="32"/>
          <w:lang w:val="en-US" w:eastAsia="zh-CN"/>
        </w:rPr>
        <w:t>1</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462CDFC1">
      <w:pPr>
        <w:keepNext w:val="0"/>
        <w:keepLines w:val="0"/>
        <w:pageBreakBefore w:val="0"/>
        <w:widowControl w:val="0"/>
        <w:kinsoku/>
        <w:wordWrap/>
        <w:overflowPunct/>
        <w:topLinePunct w:val="0"/>
        <w:bidi w:val="0"/>
        <w:snapToGrid/>
        <w:spacing w:line="500" w:lineRule="exact"/>
        <w:ind w:firstLine="640"/>
        <w:textAlignment w:val="auto"/>
        <w:rPr>
          <w:rFonts w:hint="eastAsia" w:ascii="仿宋" w:hAnsi="仿宋" w:eastAsia="仿宋" w:cs="仿宋"/>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1.77</w:t>
      </w:r>
      <w:r>
        <w:rPr>
          <w:rFonts w:hint="eastAsia" w:eastAsia="仿宋_GB2312" w:cs="仿宋_GB2312"/>
          <w:sz w:val="32"/>
          <w:szCs w:val="32"/>
        </w:rPr>
        <w:t>万元。</w:t>
      </w:r>
      <w:r>
        <w:rPr>
          <w:rFonts w:hint="eastAsia" w:ascii="仿宋" w:hAnsi="仿宋" w:eastAsia="仿宋" w:cs="仿宋"/>
          <w:sz w:val="32"/>
          <w:szCs w:val="32"/>
        </w:rPr>
        <w:t>主要用于</w:t>
      </w:r>
      <w:r>
        <w:rPr>
          <w:rFonts w:hint="eastAsia" w:ascii="仿宋" w:hAnsi="仿宋" w:eastAsia="仿宋" w:cs="仿宋"/>
          <w:sz w:val="32"/>
          <w:szCs w:val="32"/>
          <w:lang w:val="en-US" w:eastAsia="zh-CN"/>
        </w:rPr>
        <w:t>下乡开展相关工作</w:t>
      </w:r>
      <w:r>
        <w:rPr>
          <w:rFonts w:hint="eastAsia" w:ascii="仿宋" w:hAnsi="仿宋" w:eastAsia="仿宋" w:cs="仿宋"/>
          <w:sz w:val="32"/>
          <w:szCs w:val="32"/>
        </w:rPr>
        <w:t>所需的公务用车燃料费、维修费、过路过桥费、保险费等支出。</w:t>
      </w:r>
    </w:p>
    <w:p w14:paraId="195D22B8">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0.12</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0.19</w:t>
      </w:r>
      <w:r>
        <w:rPr>
          <w:rFonts w:hint="eastAsia" w:eastAsia="仿宋_GB2312" w:cs="仿宋_GB2312"/>
          <w:sz w:val="32"/>
          <w:szCs w:val="32"/>
        </w:rPr>
        <w:t>万元，下降</w:t>
      </w:r>
      <w:r>
        <w:rPr>
          <w:rFonts w:hint="eastAsia" w:eastAsia="仿宋_GB2312" w:cs="仿宋_GB2312"/>
          <w:sz w:val="32"/>
          <w:szCs w:val="32"/>
          <w:lang w:val="en-US" w:eastAsia="zh-CN"/>
        </w:rPr>
        <w:t>61.29</w:t>
      </w:r>
      <w:r>
        <w:rPr>
          <w:rFonts w:hint="eastAsia" w:eastAsia="仿宋_GB2312" w:cs="仿宋_GB2312"/>
          <w:sz w:val="32"/>
          <w:szCs w:val="32"/>
        </w:rPr>
        <w:t>%。主要原因是</w:t>
      </w:r>
      <w:r>
        <w:rPr>
          <w:rFonts w:ascii="Times New Roman" w:hAnsi="Times New Roman" w:eastAsia="方正仿宋_GBK"/>
          <w:sz w:val="32"/>
          <w:szCs w:val="32"/>
        </w:rPr>
        <w:t>贯彻落实过紧日子要求，简化公务接待，节约费用</w:t>
      </w:r>
      <w:r>
        <w:rPr>
          <w:rFonts w:hint="eastAsia" w:eastAsia="仿宋_GB2312" w:cs="仿宋_GB2312"/>
          <w:sz w:val="32"/>
          <w:szCs w:val="32"/>
        </w:rPr>
        <w:t>。其中：</w:t>
      </w:r>
    </w:p>
    <w:p w14:paraId="74414A6C">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hint="eastAsia" w:ascii="仿宋" w:hAnsi="仿宋" w:eastAsia="仿宋" w:cs="仿宋"/>
          <w:sz w:val="32"/>
          <w:szCs w:val="32"/>
        </w:rPr>
        <w:t>开展</w:t>
      </w:r>
      <w:r>
        <w:rPr>
          <w:rFonts w:hint="eastAsia" w:ascii="仿宋" w:hAnsi="仿宋" w:eastAsia="仿宋" w:cs="仿宋"/>
          <w:sz w:val="32"/>
          <w:szCs w:val="32"/>
          <w:lang w:val="en-US" w:eastAsia="zh-CN"/>
        </w:rPr>
        <w:t>相关</w:t>
      </w:r>
      <w:r>
        <w:rPr>
          <w:rFonts w:hint="eastAsia" w:ascii="仿宋" w:hAnsi="仿宋" w:eastAsia="仿宋" w:cs="仿宋"/>
          <w:sz w:val="32"/>
          <w:szCs w:val="32"/>
        </w:rPr>
        <w:t>业务活动开支的用餐费等</w:t>
      </w:r>
      <w:r>
        <w:rPr>
          <w:rFonts w:hint="eastAsia" w:ascii="仿宋" w:hAnsi="仿宋" w:eastAsia="仿宋" w:cs="仿宋"/>
          <w:sz w:val="32"/>
          <w:szCs w:val="32"/>
          <w:lang w:eastAsia="zh-CN"/>
        </w:rPr>
        <w:t>。</w:t>
      </w:r>
      <w:r>
        <w:rPr>
          <w:rFonts w:hint="eastAsia" w:eastAsia="仿宋_GB2312" w:cs="仿宋_GB2312"/>
          <w:sz w:val="32"/>
          <w:szCs w:val="32"/>
        </w:rPr>
        <w:t>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15</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0.12</w:t>
      </w:r>
      <w:r>
        <w:rPr>
          <w:rFonts w:hint="eastAsia" w:eastAsia="仿宋_GB2312" w:cs="仿宋_GB2312"/>
          <w:sz w:val="32"/>
          <w:szCs w:val="32"/>
        </w:rPr>
        <w:t>万元。</w:t>
      </w:r>
    </w:p>
    <w:p w14:paraId="465BFF64">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82" w:name="_Toc15396610"/>
      <w:bookmarkStart w:id="83" w:name="_Toc15377218"/>
    </w:p>
    <w:p w14:paraId="3EC590D7">
      <w:pPr>
        <w:spacing w:line="600" w:lineRule="exact"/>
        <w:ind w:firstLine="640"/>
        <w:outlineLvl w:val="1"/>
        <w:rPr>
          <w:rStyle w:val="31"/>
          <w:rFonts w:ascii="Times New Roman" w:hAnsi="Times New Roman" w:eastAsia="黑体"/>
        </w:rPr>
      </w:pPr>
      <w:bookmarkStart w:id="84" w:name="_Toc12803_WPSOffice_Level2"/>
      <w:r>
        <w:rPr>
          <w:rFonts w:hint="eastAsia" w:eastAsia="黑体"/>
          <w:sz w:val="32"/>
          <w:szCs w:val="32"/>
        </w:rPr>
        <w:t>八、</w:t>
      </w:r>
      <w:r>
        <w:rPr>
          <w:rStyle w:val="31"/>
          <w:rFonts w:hint="eastAsia" w:ascii="Times New Roman" w:hAnsi="Times New Roman" w:eastAsia="黑体"/>
          <w:b w:val="0"/>
        </w:rPr>
        <w:t>政府性基金预算支出决算情况说明</w:t>
      </w:r>
      <w:bookmarkEnd w:id="82"/>
      <w:bookmarkEnd w:id="83"/>
      <w:bookmarkEnd w:id="84"/>
    </w:p>
    <w:p w14:paraId="43987A21">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eastAsia="仿宋_GB2312" w:cs="仿宋_GB2312"/>
          <w:sz w:val="32"/>
          <w:szCs w:val="32"/>
        </w:rPr>
        <w:t>。</w:t>
      </w:r>
    </w:p>
    <w:p w14:paraId="3AF4F343">
      <w:pPr>
        <w:spacing w:line="600" w:lineRule="exact"/>
        <w:ind w:left="630"/>
        <w:outlineLvl w:val="1"/>
        <w:rPr>
          <w:rStyle w:val="31"/>
          <w:rFonts w:ascii="Times New Roman" w:hAnsi="Times New Roman" w:eastAsia="黑体"/>
          <w:b w:val="0"/>
        </w:rPr>
      </w:pPr>
      <w:bookmarkStart w:id="85" w:name="_Toc15396611"/>
      <w:bookmarkStart w:id="86" w:name="_Toc15377219"/>
      <w:bookmarkStart w:id="87" w:name="_Toc504_WPSOffice_Level2"/>
      <w:r>
        <w:rPr>
          <w:rStyle w:val="31"/>
          <w:rFonts w:hint="eastAsia" w:ascii="Times New Roman" w:hAnsi="Times New Roman" w:eastAsia="黑体"/>
          <w:b w:val="0"/>
        </w:rPr>
        <w:t>九、国有资本经营预算支出决算情况说明</w:t>
      </w:r>
      <w:bookmarkEnd w:id="85"/>
      <w:bookmarkEnd w:id="86"/>
      <w:bookmarkEnd w:id="87"/>
    </w:p>
    <w:p w14:paraId="5CDA2759">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eastAsia="仿宋_GB2312" w:cs="仿宋_GB2312"/>
          <w:sz w:val="32"/>
          <w:szCs w:val="32"/>
        </w:rPr>
        <w:t>。</w:t>
      </w:r>
    </w:p>
    <w:p w14:paraId="44FFDE3B">
      <w:pPr>
        <w:spacing w:line="600" w:lineRule="exact"/>
        <w:ind w:left="630"/>
        <w:outlineLvl w:val="1"/>
        <w:rPr>
          <w:rStyle w:val="31"/>
          <w:rFonts w:ascii="Times New Roman" w:hAnsi="Times New Roman" w:eastAsia="黑体"/>
          <w:b w:val="0"/>
        </w:rPr>
      </w:pPr>
      <w:bookmarkStart w:id="88" w:name="_Toc15377221"/>
      <w:bookmarkStart w:id="89" w:name="_Toc6637_WPSOffice_Level2"/>
      <w:bookmarkStart w:id="90" w:name="_Toc15396612"/>
      <w:r>
        <w:rPr>
          <w:rStyle w:val="31"/>
          <w:rFonts w:hint="eastAsia" w:ascii="Times New Roman" w:hAnsi="Times New Roman" w:eastAsia="黑体"/>
          <w:b w:val="0"/>
        </w:rPr>
        <w:t>十、其他重要事项的情况说明</w:t>
      </w:r>
      <w:bookmarkEnd w:id="88"/>
      <w:bookmarkEnd w:id="89"/>
      <w:bookmarkEnd w:id="90"/>
    </w:p>
    <w:p w14:paraId="5BED488F">
      <w:pPr>
        <w:spacing w:line="600" w:lineRule="exact"/>
        <w:ind w:firstLine="643" w:firstLineChars="200"/>
        <w:outlineLvl w:val="2"/>
        <w:rPr>
          <w:rFonts w:eastAsia="楷体_GB2312" w:cs="楷体_GB2312"/>
          <w:b/>
          <w:sz w:val="32"/>
          <w:szCs w:val="32"/>
        </w:rPr>
      </w:pPr>
      <w:bookmarkStart w:id="91" w:name="_Toc15377222"/>
      <w:r>
        <w:rPr>
          <w:rFonts w:hint="eastAsia" w:eastAsia="楷体_GB2312" w:cs="楷体_GB2312"/>
          <w:b/>
          <w:sz w:val="32"/>
          <w:szCs w:val="32"/>
        </w:rPr>
        <w:t>（一）机关运行经费支出情况</w:t>
      </w:r>
      <w:bookmarkEnd w:id="91"/>
    </w:p>
    <w:p w14:paraId="6AF8D635">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中共盐边县委组织部</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72.46</w:t>
      </w:r>
      <w:r>
        <w:rPr>
          <w:rFonts w:hint="eastAsia" w:ascii="仿宋_GB2312" w:hAnsi="仿宋_GB2312"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5.56</w:t>
      </w:r>
      <w:r>
        <w:rPr>
          <w:rFonts w:hint="eastAsia" w:eastAsia="仿宋_GB2312" w:cs="仿宋_GB2312"/>
          <w:sz w:val="32"/>
          <w:szCs w:val="32"/>
        </w:rPr>
        <w:t>万元，下降</w:t>
      </w:r>
      <w:r>
        <w:rPr>
          <w:rFonts w:hint="eastAsia" w:eastAsia="仿宋_GB2312" w:cs="仿宋_GB2312"/>
          <w:sz w:val="32"/>
          <w:szCs w:val="32"/>
          <w:lang w:val="en-US" w:eastAsia="zh-CN"/>
        </w:rPr>
        <w:t>7.13</w:t>
      </w:r>
      <w:r>
        <w:rPr>
          <w:rFonts w:hint="eastAsia" w:eastAsia="仿宋_GB2312" w:cs="仿宋_GB2312"/>
          <w:sz w:val="32"/>
          <w:szCs w:val="32"/>
        </w:rPr>
        <w:t>%。主要原因是</w:t>
      </w:r>
      <w:r>
        <w:rPr>
          <w:rFonts w:ascii="Times New Roman" w:hAnsi="Times New Roman" w:eastAsia="仿宋_GB2312"/>
          <w:sz w:val="32"/>
          <w:szCs w:val="32"/>
        </w:rPr>
        <w:t>严格控制“</w:t>
      </w:r>
      <w:r>
        <w:rPr>
          <w:rFonts w:hint="eastAsia" w:ascii="Times New Roman" w:hAnsi="Times New Roman" w:eastAsia="仿宋_GB2312"/>
          <w:sz w:val="32"/>
          <w:szCs w:val="32"/>
          <w:lang w:val="en-US" w:eastAsia="zh-CN"/>
        </w:rPr>
        <w:t>公用</w:t>
      </w:r>
      <w:r>
        <w:rPr>
          <w:rFonts w:ascii="Times New Roman" w:hAnsi="Times New Roman" w:eastAsia="仿宋_GB2312"/>
          <w:sz w:val="32"/>
          <w:szCs w:val="32"/>
        </w:rPr>
        <w:t>”经费的开支，采取措施过紧日子，通过压缩支出实现经费的节约</w:t>
      </w:r>
    </w:p>
    <w:p w14:paraId="7E37D539">
      <w:pPr>
        <w:spacing w:line="600" w:lineRule="exact"/>
        <w:ind w:firstLine="643" w:firstLineChars="200"/>
        <w:outlineLvl w:val="2"/>
        <w:rPr>
          <w:rFonts w:eastAsia="楷体_GB2312" w:cs="楷体_GB2312"/>
          <w:b/>
          <w:sz w:val="32"/>
          <w:szCs w:val="32"/>
        </w:rPr>
      </w:pPr>
      <w:bookmarkStart w:id="92" w:name="_Toc15377223"/>
      <w:r>
        <w:rPr>
          <w:rFonts w:hint="eastAsia" w:eastAsia="楷体_GB2312" w:cs="楷体_GB2312"/>
          <w:b/>
          <w:sz w:val="32"/>
          <w:szCs w:val="32"/>
        </w:rPr>
        <w:t>（二）政府采购支出情况</w:t>
      </w:r>
      <w:bookmarkEnd w:id="92"/>
    </w:p>
    <w:p w14:paraId="1AE502C8">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val="en-US" w:eastAsia="zh-CN"/>
        </w:rPr>
        <w:t>中共盐边县委组织部</w:t>
      </w:r>
      <w:r>
        <w:rPr>
          <w:rFonts w:hint="eastAsia" w:ascii="仿宋_GB2312" w:hAnsi="仿宋_GB2312" w:eastAsia="仿宋_GB2312" w:cs="仿宋_GB2312"/>
          <w:sz w:val="32"/>
          <w:szCs w:val="32"/>
        </w:rPr>
        <w:t>采购支出总额</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公务用车的车辆燃油费、车辆保险及维修保养费用</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0.36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25.89</w:t>
      </w:r>
      <w:r>
        <w:rPr>
          <w:rFonts w:hint="eastAsia" w:ascii="仿宋_GB2312" w:hAnsi="仿宋_GB2312" w:eastAsia="仿宋_GB2312" w:cs="仿宋_GB2312"/>
          <w:sz w:val="32"/>
          <w:szCs w:val="32"/>
        </w:rPr>
        <w:t>%。</w:t>
      </w:r>
    </w:p>
    <w:p w14:paraId="63B87AF7">
      <w:pPr>
        <w:spacing w:line="600" w:lineRule="exact"/>
        <w:ind w:firstLine="643" w:firstLineChars="200"/>
        <w:outlineLvl w:val="2"/>
        <w:rPr>
          <w:rFonts w:eastAsia="楷体_GB2312" w:cs="楷体_GB2312"/>
          <w:b/>
          <w:sz w:val="32"/>
          <w:szCs w:val="32"/>
        </w:rPr>
      </w:pPr>
      <w:bookmarkStart w:id="93" w:name="_Toc15377224"/>
      <w:r>
        <w:rPr>
          <w:rFonts w:hint="eastAsia" w:eastAsia="楷体_GB2312" w:cs="楷体_GB2312"/>
          <w:b/>
          <w:sz w:val="32"/>
          <w:szCs w:val="32"/>
        </w:rPr>
        <w:t>（三）国有资产占有使用情况</w:t>
      </w:r>
      <w:bookmarkEnd w:id="93"/>
    </w:p>
    <w:p w14:paraId="3FE42446">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rPr>
          <w:rFonts w:eastAsia="仿宋_GB2312" w:cs="仿宋_GB2312"/>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w:t>
      </w:r>
      <w:r>
        <w:rPr>
          <w:rFonts w:hint="eastAsia" w:ascii="仿宋" w:hAnsi="仿宋" w:eastAsia="仿宋" w:cs="仿宋"/>
          <w:sz w:val="32"/>
          <w:szCs w:val="32"/>
          <w:lang w:val="en-US" w:eastAsia="zh-CN"/>
        </w:rPr>
        <w:t>中共盐边县委组织部</w:t>
      </w:r>
      <w:r>
        <w:rPr>
          <w:rFonts w:hint="eastAsia" w:ascii="仿宋" w:hAnsi="仿宋" w:eastAsia="仿宋" w:cs="仿宋"/>
          <w:sz w:val="32"/>
          <w:szCs w:val="32"/>
        </w:rPr>
        <w:t>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1</w:t>
      </w:r>
      <w:r>
        <w:rPr>
          <w:rFonts w:hint="eastAsia" w:ascii="仿宋" w:hAnsi="仿宋" w:eastAsia="仿宋" w:cs="仿宋"/>
          <w:sz w:val="32"/>
          <w:szCs w:val="32"/>
        </w:rPr>
        <w:t>辆，其他用车</w:t>
      </w:r>
      <w:r>
        <w:rPr>
          <w:rFonts w:hint="eastAsia" w:ascii="仿宋" w:hAnsi="仿宋" w:eastAsia="仿宋" w:cs="仿宋"/>
          <w:sz w:val="32"/>
          <w:szCs w:val="32"/>
          <w:lang w:eastAsia="zh-CN"/>
        </w:rPr>
        <w:t>主要</w:t>
      </w:r>
      <w:r>
        <w:rPr>
          <w:rFonts w:hint="eastAsia" w:ascii="仿宋" w:hAnsi="仿宋" w:eastAsia="仿宋" w:cs="仿宋"/>
          <w:sz w:val="32"/>
          <w:szCs w:val="32"/>
        </w:rPr>
        <w:t>用于</w:t>
      </w:r>
      <w:r>
        <w:rPr>
          <w:rFonts w:hint="eastAsia" w:ascii="仿宋" w:hAnsi="仿宋" w:eastAsia="仿宋" w:cs="仿宋"/>
          <w:color w:val="000000"/>
          <w:sz w:val="32"/>
          <w:szCs w:val="32"/>
          <w:lang w:eastAsia="zh-CN"/>
        </w:rPr>
        <w:t>单位干部考察业务，下乡出差等事项</w:t>
      </w:r>
      <w:r>
        <w:rPr>
          <w:rFonts w:hint="eastAsia" w:ascii="仿宋" w:hAnsi="仿宋" w:eastAsia="仿宋" w:cs="仿宋"/>
          <w:sz w:val="32"/>
          <w:szCs w:val="32"/>
        </w:rPr>
        <w:t>。单价100万元以上设备（不含车辆）</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14:paraId="43A61E07">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60B3D219">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 w:hAnsi="仿宋" w:eastAsia="仿宋" w:cs="仿宋"/>
          <w:sz w:val="32"/>
          <w:szCs w:val="32"/>
          <w:lang w:val="en-US" w:eastAsia="zh-CN"/>
        </w:rPr>
        <w:t>中共盐边县委组织部</w:t>
      </w:r>
      <w:r>
        <w:rPr>
          <w:rFonts w:hint="eastAsia" w:eastAsia="仿宋_GB2312" w:cs="仿宋_GB2312"/>
          <w:sz w:val="32"/>
          <w:szCs w:val="32"/>
        </w:rPr>
        <w:t>在2024年度预算编制阶段，组织对</w:t>
      </w:r>
      <w:r>
        <w:rPr>
          <w:rFonts w:hint="eastAsia" w:ascii="Times New Roman" w:hAnsi="Times New Roman" w:eastAsia="仿宋_GB2312" w:cs="Times New Roman"/>
          <w:color w:val="000000"/>
          <w:kern w:val="0"/>
          <w:sz w:val="32"/>
          <w:szCs w:val="32"/>
          <w:shd w:val="clear" w:color="auto" w:fill="FFFFFF"/>
          <w:lang w:val="zh-CN" w:eastAsia="zh-CN" w:bidi="ar-SA"/>
        </w:rPr>
        <w:t>离退休老干部、特殊困难青少年走访慰问；专项培训业务的开展；关工委和老干部活动中心日常办公运转费用；选调生到村任职一次性补助、活动费；</w:t>
      </w:r>
      <w:r>
        <w:rPr>
          <w:rFonts w:hint="eastAsia" w:ascii="Times New Roman" w:hAnsi="Times New Roman" w:eastAsia="仿宋_GB2312" w:cs="Times New Roman"/>
          <w:color w:val="000000"/>
          <w:kern w:val="0"/>
          <w:sz w:val="32"/>
          <w:szCs w:val="32"/>
          <w:shd w:val="clear" w:color="auto" w:fill="FFFFFF"/>
          <w:lang w:val="en-US" w:eastAsia="zh-CN" w:bidi="ar-SA"/>
        </w:rPr>
        <w:t>以前年度暂付款化解等</w:t>
      </w:r>
      <w:r>
        <w:rPr>
          <w:rFonts w:hint="eastAsia" w:eastAsia="仿宋_GB2312" w:cs="仿宋_GB2312"/>
          <w:sz w:val="32"/>
          <w:szCs w:val="32"/>
          <w:lang w:val="en-US" w:eastAsia="zh-CN"/>
        </w:rPr>
        <w:t>15</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15</w:t>
      </w:r>
      <w:r>
        <w:rPr>
          <w:rFonts w:hint="eastAsia" w:eastAsia="仿宋_GB2312" w:cs="仿宋_GB2312"/>
          <w:sz w:val="32"/>
          <w:szCs w:val="32"/>
        </w:rPr>
        <w:t>个项目编制了绩效目标</w:t>
      </w:r>
      <w:r>
        <w:rPr>
          <w:rFonts w:hint="eastAsia" w:eastAsia="仿宋_GB2312" w:cs="仿宋_GB2312"/>
          <w:sz w:val="32"/>
          <w:szCs w:val="32"/>
          <w:lang w:eastAsia="zh-CN"/>
        </w:rPr>
        <w:t>，在</w:t>
      </w:r>
      <w:r>
        <w:rPr>
          <w:rFonts w:hint="eastAsia" w:eastAsia="仿宋_GB2312" w:cs="仿宋_GB2312"/>
          <w:sz w:val="32"/>
          <w:szCs w:val="32"/>
        </w:rPr>
        <w:t>预算执行过程中，选取</w:t>
      </w:r>
      <w:r>
        <w:rPr>
          <w:rFonts w:hint="eastAsia" w:eastAsia="仿宋_GB2312" w:cs="仿宋_GB2312"/>
          <w:sz w:val="32"/>
          <w:szCs w:val="32"/>
          <w:lang w:val="en-US" w:eastAsia="zh-CN"/>
        </w:rPr>
        <w:t>15</w:t>
      </w:r>
      <w:r>
        <w:rPr>
          <w:rFonts w:hint="eastAsia" w:eastAsia="仿宋_GB2312" w:cs="仿宋_GB2312"/>
          <w:sz w:val="32"/>
          <w:szCs w:val="32"/>
        </w:rPr>
        <w:t>个项目开展绩效监控。</w:t>
      </w:r>
    </w:p>
    <w:p w14:paraId="6C0888BC">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ascii="仿宋" w:hAnsi="仿宋" w:eastAsia="仿宋" w:cs="仿宋"/>
          <w:sz w:val="32"/>
          <w:szCs w:val="32"/>
          <w:lang w:val="en-US" w:eastAsia="zh-CN"/>
        </w:rPr>
        <w:t>中共盐边县委组织部</w:t>
      </w:r>
      <w:r>
        <w:rPr>
          <w:rFonts w:hint="eastAsia" w:eastAsia="仿宋_GB2312" w:cs="仿宋_GB2312"/>
          <w:sz w:val="32"/>
          <w:szCs w:val="32"/>
        </w:rPr>
        <w:t>部门整体（含部门预算项目）绩效自评报告，其中，</w:t>
      </w:r>
      <w:r>
        <w:rPr>
          <w:rFonts w:hint="eastAsia" w:ascii="仿宋" w:hAnsi="仿宋" w:eastAsia="仿宋" w:cs="仿宋"/>
          <w:sz w:val="32"/>
          <w:szCs w:val="32"/>
          <w:lang w:val="en-US" w:eastAsia="zh-CN"/>
        </w:rPr>
        <w:t>中共盐边县委组织部</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91.84</w:t>
      </w:r>
      <w:r>
        <w:rPr>
          <w:rFonts w:hint="eastAsia" w:eastAsia="仿宋_GB2312" w:cs="仿宋_GB2312"/>
          <w:sz w:val="32"/>
          <w:szCs w:val="32"/>
        </w:rPr>
        <w:t>分，绩效自评报告详见附件。</w:t>
      </w:r>
    </w:p>
    <w:p w14:paraId="77E62599">
      <w:pPr>
        <w:pStyle w:val="13"/>
      </w:pPr>
    </w:p>
    <w:p w14:paraId="2DA29C99">
      <w:pPr>
        <w:pStyle w:val="14"/>
        <w:ind w:left="420"/>
      </w:pPr>
    </w:p>
    <w:p w14:paraId="4C1A1334">
      <w:pPr>
        <w:pStyle w:val="14"/>
        <w:ind w:left="420"/>
      </w:pPr>
    </w:p>
    <w:p w14:paraId="4A30B27B">
      <w:pPr>
        <w:pStyle w:val="14"/>
        <w:ind w:left="420"/>
      </w:pPr>
    </w:p>
    <w:p w14:paraId="18F30031">
      <w:pPr>
        <w:pStyle w:val="14"/>
        <w:ind w:left="420"/>
      </w:pPr>
    </w:p>
    <w:p w14:paraId="380802A2">
      <w:pPr>
        <w:pStyle w:val="14"/>
        <w:ind w:left="420"/>
      </w:pPr>
    </w:p>
    <w:p w14:paraId="28A367A2">
      <w:pPr>
        <w:pStyle w:val="14"/>
        <w:ind w:left="420"/>
      </w:pPr>
    </w:p>
    <w:p w14:paraId="1CD3F767">
      <w:pPr>
        <w:pStyle w:val="14"/>
        <w:ind w:left="420"/>
      </w:pPr>
    </w:p>
    <w:p w14:paraId="5C1FEC53">
      <w:pPr>
        <w:pStyle w:val="14"/>
        <w:ind w:left="420"/>
      </w:pPr>
    </w:p>
    <w:p w14:paraId="7D27DD92">
      <w:pPr>
        <w:pStyle w:val="14"/>
        <w:ind w:left="420"/>
      </w:pPr>
    </w:p>
    <w:p w14:paraId="6343337B">
      <w:pPr>
        <w:pStyle w:val="14"/>
        <w:ind w:left="420"/>
      </w:pPr>
    </w:p>
    <w:p w14:paraId="48DEFD3D">
      <w:pPr>
        <w:pStyle w:val="14"/>
        <w:ind w:left="420"/>
      </w:pPr>
    </w:p>
    <w:p w14:paraId="7E66B5F8">
      <w:pPr>
        <w:pStyle w:val="14"/>
        <w:ind w:left="420"/>
      </w:pPr>
    </w:p>
    <w:p w14:paraId="42B64CBC">
      <w:pPr>
        <w:pStyle w:val="14"/>
        <w:ind w:left="420"/>
      </w:pPr>
    </w:p>
    <w:p w14:paraId="66E735FD">
      <w:pPr>
        <w:pStyle w:val="14"/>
        <w:ind w:left="420"/>
      </w:pPr>
    </w:p>
    <w:p w14:paraId="55A7CE6C">
      <w:pPr>
        <w:pStyle w:val="14"/>
        <w:ind w:left="420"/>
      </w:pPr>
    </w:p>
    <w:p w14:paraId="12841C5D">
      <w:pPr>
        <w:pStyle w:val="14"/>
        <w:ind w:left="420"/>
      </w:pPr>
    </w:p>
    <w:p w14:paraId="3A821728">
      <w:pPr>
        <w:pStyle w:val="14"/>
        <w:ind w:left="420"/>
      </w:pPr>
    </w:p>
    <w:p w14:paraId="36C30415">
      <w:pPr>
        <w:pStyle w:val="14"/>
        <w:ind w:left="420"/>
      </w:pPr>
    </w:p>
    <w:p w14:paraId="0DAE0886">
      <w:pPr>
        <w:pStyle w:val="14"/>
        <w:ind w:left="420"/>
      </w:pPr>
    </w:p>
    <w:p w14:paraId="5DC984CC">
      <w:pPr>
        <w:pStyle w:val="14"/>
        <w:ind w:left="420"/>
      </w:pPr>
    </w:p>
    <w:p w14:paraId="5F4EEA61">
      <w:pPr>
        <w:pStyle w:val="14"/>
        <w:ind w:left="420"/>
      </w:pPr>
    </w:p>
    <w:p w14:paraId="2F56A2E3">
      <w:pPr>
        <w:pStyle w:val="14"/>
        <w:ind w:left="420"/>
      </w:pPr>
    </w:p>
    <w:p w14:paraId="2F4D6EED">
      <w:pPr>
        <w:pStyle w:val="14"/>
        <w:ind w:left="420"/>
      </w:pPr>
    </w:p>
    <w:p w14:paraId="1376F52A"/>
    <w:p w14:paraId="262F13C0">
      <w:pPr>
        <w:pStyle w:val="2"/>
      </w:pPr>
    </w:p>
    <w:p w14:paraId="20E877FD">
      <w:pPr>
        <w:spacing w:line="600" w:lineRule="exact"/>
        <w:jc w:val="center"/>
        <w:outlineLvl w:val="0"/>
        <w:rPr>
          <w:rFonts w:eastAsia="黑体"/>
          <w:sz w:val="44"/>
          <w:szCs w:val="44"/>
        </w:rPr>
      </w:pPr>
      <w:bookmarkStart w:id="94" w:name="_Toc15396613"/>
      <w:bookmarkStart w:id="95" w:name="_Toc976_WPSOffice_Level1"/>
      <w:bookmarkStart w:id="96" w:name="_Toc15377225"/>
      <w:r>
        <w:rPr>
          <w:rFonts w:hint="eastAsia" w:eastAsia="黑体"/>
          <w:sz w:val="44"/>
          <w:szCs w:val="44"/>
        </w:rPr>
        <w:t>第三部分  名词解释</w:t>
      </w:r>
      <w:bookmarkEnd w:id="94"/>
      <w:bookmarkEnd w:id="95"/>
      <w:bookmarkEnd w:id="96"/>
    </w:p>
    <w:p w14:paraId="318585F9">
      <w:pPr>
        <w:spacing w:line="600" w:lineRule="exact"/>
        <w:jc w:val="left"/>
        <w:rPr>
          <w:b/>
          <w:sz w:val="44"/>
          <w:szCs w:val="44"/>
        </w:rPr>
      </w:pPr>
    </w:p>
    <w:p w14:paraId="7ADD9FCF">
      <w:pPr>
        <w:pStyle w:val="28"/>
        <w:keepNext w:val="0"/>
        <w:keepLines w:val="0"/>
        <w:pageBreakBefore w:val="0"/>
        <w:numPr>
          <w:ilvl w:val="0"/>
          <w:numId w:val="0"/>
        </w:numPr>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sz w:val="32"/>
          <w:szCs w:val="32"/>
        </w:rPr>
      </w:pPr>
      <w:bookmarkStart w:id="97" w:name="_Toc15396614"/>
      <w:bookmarkStart w:id="98" w:name="_Toc15377226"/>
      <w:r>
        <w:rPr>
          <w:rFonts w:hint="eastAsia" w:ascii="仿宋" w:hAnsi="仿宋" w:eastAsia="仿宋" w:cs="仿宋"/>
          <w:sz w:val="32"/>
          <w:szCs w:val="32"/>
          <w:lang w:val="en-US" w:eastAsia="zh-CN"/>
        </w:rPr>
        <w:t>1.</w:t>
      </w:r>
      <w:r>
        <w:rPr>
          <w:rFonts w:hint="eastAsia" w:ascii="仿宋" w:hAnsi="仿宋" w:eastAsia="仿宋" w:cs="仿宋"/>
          <w:sz w:val="32"/>
          <w:szCs w:val="32"/>
        </w:rPr>
        <w:t>财政拨款收入：指单位从同级财政部门取得的财政预算资金。</w:t>
      </w:r>
    </w:p>
    <w:p w14:paraId="742B7534">
      <w:pPr>
        <w:keepNext w:val="0"/>
        <w:keepLines w:val="0"/>
        <w:pageBreakBefore w:val="0"/>
        <w:widowControl/>
        <w:shd w:val="clear" w:color="auto" w:fill="FFFFFF"/>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2.一般公共服务（201）党委办公厅（室）及相关机关事务（31）事业运行（50）：</w:t>
      </w:r>
      <w:r>
        <w:rPr>
          <w:rStyle w:val="19"/>
          <w:rFonts w:hint="eastAsia" w:ascii="仿宋" w:hAnsi="仿宋" w:eastAsia="仿宋" w:cs="仿宋"/>
          <w:b w:val="0"/>
          <w:bCs w:val="0"/>
          <w:color w:val="000000"/>
          <w:sz w:val="32"/>
          <w:szCs w:val="32"/>
          <w:lang w:eastAsia="zh-CN"/>
        </w:rPr>
        <w:t>指事业单位的基本支出，不包括行政单位（包括实行公务员管理的事业单位）后勤服务中心、医务室等附属事业单位。</w:t>
      </w:r>
    </w:p>
    <w:p w14:paraId="6371354A">
      <w:pPr>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b w:val="0"/>
          <w:bCs w:val="0"/>
          <w:color w:val="000000"/>
          <w:sz w:val="32"/>
          <w:szCs w:val="32"/>
          <w:lang w:val="en-US" w:eastAsia="zh-CN"/>
        </w:rPr>
        <w:t>3</w:t>
      </w:r>
      <w:r>
        <w:rPr>
          <w:rStyle w:val="19"/>
          <w:rFonts w:hint="eastAsia" w:ascii="仿宋" w:hAnsi="仿宋" w:eastAsia="仿宋" w:cs="仿宋"/>
          <w:b w:val="0"/>
          <w:bCs w:val="0"/>
          <w:color w:val="000000"/>
          <w:sz w:val="32"/>
          <w:szCs w:val="32"/>
        </w:rPr>
        <w:t>.一般公共服务（</w:t>
      </w:r>
      <w:r>
        <w:rPr>
          <w:rStyle w:val="19"/>
          <w:rFonts w:hint="eastAsia" w:ascii="仿宋" w:hAnsi="仿宋" w:eastAsia="仿宋" w:cs="仿宋"/>
          <w:b w:val="0"/>
          <w:bCs w:val="0"/>
          <w:color w:val="000000"/>
          <w:sz w:val="32"/>
          <w:szCs w:val="32"/>
          <w:lang w:val="en-US" w:eastAsia="zh-CN"/>
        </w:rPr>
        <w:t>201</w:t>
      </w:r>
      <w:r>
        <w:rPr>
          <w:rStyle w:val="19"/>
          <w:rFonts w:hint="eastAsia" w:ascii="仿宋" w:hAnsi="仿宋" w:eastAsia="仿宋" w:cs="仿宋"/>
          <w:b w:val="0"/>
          <w:bCs w:val="0"/>
          <w:color w:val="000000"/>
          <w:sz w:val="32"/>
          <w:szCs w:val="32"/>
        </w:rPr>
        <w:t>）组织事务（</w:t>
      </w:r>
      <w:r>
        <w:rPr>
          <w:rStyle w:val="19"/>
          <w:rFonts w:hint="eastAsia" w:ascii="仿宋" w:hAnsi="仿宋" w:eastAsia="仿宋" w:cs="仿宋"/>
          <w:b w:val="0"/>
          <w:bCs w:val="0"/>
          <w:color w:val="000000"/>
          <w:sz w:val="32"/>
          <w:szCs w:val="32"/>
          <w:lang w:val="en-US" w:eastAsia="zh-CN"/>
        </w:rPr>
        <w:t>32</w:t>
      </w:r>
      <w:r>
        <w:rPr>
          <w:rStyle w:val="19"/>
          <w:rFonts w:hint="eastAsia" w:ascii="仿宋" w:hAnsi="仿宋" w:eastAsia="仿宋" w:cs="仿宋"/>
          <w:b w:val="0"/>
          <w:bCs w:val="0"/>
          <w:color w:val="000000"/>
          <w:sz w:val="32"/>
          <w:szCs w:val="32"/>
        </w:rPr>
        <w:t>）</w:t>
      </w:r>
    </w:p>
    <w:p w14:paraId="78D40E5F">
      <w:pPr>
        <w:keepNext w:val="0"/>
        <w:keepLines w:val="0"/>
        <w:pageBreakBefore w:val="0"/>
        <w:widowControl/>
        <w:shd w:val="clear" w:color="auto" w:fill="FFFFFF"/>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color w:val="333333"/>
          <w:kern w:val="0"/>
          <w:sz w:val="32"/>
          <w:szCs w:val="32"/>
        </w:rPr>
      </w:pPr>
      <w:r>
        <w:rPr>
          <w:rStyle w:val="19"/>
          <w:rFonts w:hint="eastAsia" w:ascii="仿宋" w:hAnsi="仿宋" w:eastAsia="仿宋" w:cs="仿宋"/>
          <w:b w:val="0"/>
          <w:bCs w:val="0"/>
          <w:color w:val="000000"/>
          <w:sz w:val="32"/>
          <w:szCs w:val="32"/>
        </w:rPr>
        <w:t>①行政运行</w:t>
      </w:r>
      <w:r>
        <w:rPr>
          <w:rStyle w:val="19"/>
          <w:rFonts w:hint="eastAsia" w:ascii="仿宋" w:hAnsi="仿宋" w:eastAsia="仿宋" w:cs="仿宋"/>
          <w:b w:val="0"/>
          <w:bCs w:val="0"/>
          <w:color w:val="000000"/>
          <w:sz w:val="32"/>
          <w:szCs w:val="32"/>
          <w:lang w:val="en-US" w:eastAsia="zh-CN"/>
        </w:rPr>
        <w:t>2013201</w:t>
      </w:r>
      <w:r>
        <w:rPr>
          <w:rStyle w:val="19"/>
          <w:rFonts w:hint="eastAsia" w:ascii="仿宋" w:hAnsi="仿宋" w:eastAsia="仿宋" w:cs="仿宋"/>
          <w:b w:val="0"/>
          <w:bCs w:val="0"/>
          <w:color w:val="000000"/>
          <w:sz w:val="32"/>
          <w:szCs w:val="32"/>
          <w:lang w:eastAsia="zh-CN"/>
        </w:rPr>
        <w:t>：</w:t>
      </w:r>
      <w:r>
        <w:rPr>
          <w:rFonts w:hint="eastAsia" w:ascii="仿宋" w:hAnsi="仿宋" w:eastAsia="仿宋" w:cs="仿宋"/>
          <w:color w:val="000000"/>
          <w:kern w:val="0"/>
          <w:sz w:val="32"/>
          <w:szCs w:val="32"/>
        </w:rPr>
        <w:t>指行政单位（包括实行公务员管理的事业单位）的基本支出。</w:t>
      </w:r>
    </w:p>
    <w:p w14:paraId="248A6F26">
      <w:pPr>
        <w:keepNext w:val="0"/>
        <w:keepLines w:val="0"/>
        <w:pageBreakBefore w:val="0"/>
        <w:widowControl/>
        <w:shd w:val="clear" w:color="auto" w:fill="FFFFFF"/>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lang w:eastAsia="zh-CN"/>
        </w:rPr>
      </w:pPr>
      <w:r>
        <w:rPr>
          <w:rStyle w:val="19"/>
          <w:rFonts w:hint="eastAsia" w:ascii="仿宋" w:hAnsi="仿宋" w:eastAsia="仿宋" w:cs="仿宋"/>
          <w:b w:val="0"/>
          <w:bCs w:val="0"/>
          <w:color w:val="000000"/>
          <w:sz w:val="32"/>
          <w:szCs w:val="32"/>
        </w:rPr>
        <w:t>②</w:t>
      </w:r>
      <w:r>
        <w:rPr>
          <w:rStyle w:val="19"/>
          <w:rFonts w:hint="eastAsia" w:ascii="仿宋" w:hAnsi="仿宋" w:eastAsia="仿宋" w:cs="仿宋"/>
          <w:b w:val="0"/>
          <w:bCs w:val="0"/>
          <w:color w:val="000000"/>
          <w:sz w:val="32"/>
          <w:szCs w:val="32"/>
          <w:lang w:eastAsia="zh-CN"/>
        </w:rPr>
        <w:t>事业运行</w:t>
      </w:r>
      <w:r>
        <w:rPr>
          <w:rStyle w:val="19"/>
          <w:rFonts w:hint="eastAsia" w:ascii="仿宋" w:hAnsi="仿宋" w:eastAsia="仿宋" w:cs="仿宋"/>
          <w:b w:val="0"/>
          <w:bCs w:val="0"/>
          <w:color w:val="000000"/>
          <w:sz w:val="32"/>
          <w:szCs w:val="32"/>
          <w:lang w:val="en-US" w:eastAsia="zh-CN"/>
        </w:rPr>
        <w:t>2013250</w:t>
      </w:r>
      <w:r>
        <w:rPr>
          <w:rStyle w:val="19"/>
          <w:rFonts w:hint="eastAsia"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lang w:eastAsia="zh-CN"/>
        </w:rPr>
        <w:t>指事业单位的基本支出，不包括行政单位（包括实行公务员管理的事业单位）后勤服务中心、医务室等附属事业单位。</w:t>
      </w:r>
    </w:p>
    <w:p w14:paraId="19A568E4">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sz w:val="32"/>
          <w:szCs w:val="32"/>
        </w:rPr>
      </w:pPr>
      <w:r>
        <w:rPr>
          <w:rStyle w:val="19"/>
          <w:rFonts w:hint="eastAsia" w:ascii="仿宋" w:hAnsi="仿宋" w:eastAsia="仿宋" w:cs="仿宋"/>
          <w:b w:val="0"/>
          <w:bCs w:val="0"/>
          <w:color w:val="000000"/>
          <w:sz w:val="32"/>
          <w:szCs w:val="32"/>
          <w:lang w:eastAsia="zh-CN"/>
        </w:rPr>
        <w:t>③其他组织事务支出</w:t>
      </w:r>
      <w:r>
        <w:rPr>
          <w:rStyle w:val="19"/>
          <w:rFonts w:hint="eastAsia" w:ascii="仿宋" w:hAnsi="仿宋" w:eastAsia="仿宋" w:cs="仿宋"/>
          <w:b w:val="0"/>
          <w:bCs w:val="0"/>
          <w:color w:val="000000"/>
          <w:sz w:val="32"/>
          <w:szCs w:val="32"/>
          <w:lang w:val="en-US" w:eastAsia="zh-CN"/>
        </w:rPr>
        <w:t>2013299</w:t>
      </w:r>
      <w:r>
        <w:rPr>
          <w:rStyle w:val="19"/>
          <w:rFonts w:hint="eastAsia"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lang w:eastAsia="zh-CN"/>
        </w:rPr>
        <w:t>指除上述项目以外其他用于中国共产党组织部门的事务支出。</w:t>
      </w:r>
    </w:p>
    <w:p w14:paraId="5ABE5D7B">
      <w:pPr>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rPr>
      </w:pPr>
      <w:bookmarkStart w:id="99" w:name="_Toc9900"/>
      <w:bookmarkStart w:id="100" w:name="_Toc28818"/>
      <w:r>
        <w:rPr>
          <w:rStyle w:val="19"/>
          <w:rFonts w:hint="eastAsia" w:ascii="仿宋" w:hAnsi="仿宋" w:eastAsia="仿宋" w:cs="仿宋"/>
          <w:b w:val="0"/>
          <w:bCs w:val="0"/>
          <w:color w:val="000000"/>
          <w:sz w:val="32"/>
          <w:szCs w:val="32"/>
          <w:lang w:val="en-US" w:eastAsia="zh-CN"/>
        </w:rPr>
        <w:t>4</w:t>
      </w:r>
      <w:r>
        <w:rPr>
          <w:rStyle w:val="19"/>
          <w:rFonts w:hint="eastAsia" w:ascii="仿宋" w:hAnsi="仿宋" w:eastAsia="仿宋" w:cs="仿宋"/>
          <w:b w:val="0"/>
          <w:bCs w:val="0"/>
          <w:color w:val="000000"/>
          <w:sz w:val="32"/>
          <w:szCs w:val="32"/>
        </w:rPr>
        <w:t>.社会保障和就业（</w:t>
      </w:r>
      <w:r>
        <w:rPr>
          <w:rStyle w:val="19"/>
          <w:rFonts w:hint="eastAsia" w:ascii="仿宋" w:hAnsi="仿宋" w:eastAsia="仿宋" w:cs="仿宋"/>
          <w:b w:val="0"/>
          <w:bCs w:val="0"/>
          <w:color w:val="000000"/>
          <w:sz w:val="32"/>
          <w:szCs w:val="32"/>
          <w:lang w:val="en-US" w:eastAsia="zh-CN"/>
        </w:rPr>
        <w:t>208</w:t>
      </w:r>
      <w:r>
        <w:rPr>
          <w:rStyle w:val="19"/>
          <w:rFonts w:hint="eastAsia" w:ascii="仿宋" w:hAnsi="仿宋" w:eastAsia="仿宋" w:cs="仿宋"/>
          <w:b w:val="0"/>
          <w:bCs w:val="0"/>
          <w:color w:val="000000"/>
          <w:sz w:val="32"/>
          <w:szCs w:val="32"/>
        </w:rPr>
        <w:t>）行政事业</w:t>
      </w:r>
      <w:r>
        <w:rPr>
          <w:rStyle w:val="19"/>
          <w:rFonts w:hint="eastAsia" w:ascii="仿宋" w:hAnsi="仿宋" w:eastAsia="仿宋" w:cs="仿宋"/>
          <w:b w:val="0"/>
          <w:bCs w:val="0"/>
          <w:color w:val="000000"/>
          <w:sz w:val="32"/>
          <w:szCs w:val="32"/>
          <w:lang w:eastAsia="zh-CN"/>
        </w:rPr>
        <w:t>养老支出</w:t>
      </w:r>
      <w:r>
        <w:rPr>
          <w:rStyle w:val="19"/>
          <w:rFonts w:hint="eastAsia"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lang w:val="en-US" w:eastAsia="zh-CN"/>
        </w:rPr>
        <w:t>05</w:t>
      </w:r>
      <w:r>
        <w:rPr>
          <w:rStyle w:val="19"/>
          <w:rFonts w:hint="eastAsia" w:ascii="仿宋" w:hAnsi="仿宋" w:eastAsia="仿宋" w:cs="仿宋"/>
          <w:b w:val="0"/>
          <w:bCs w:val="0"/>
          <w:color w:val="000000"/>
          <w:sz w:val="32"/>
          <w:szCs w:val="32"/>
        </w:rPr>
        <w:t>）</w:t>
      </w:r>
      <w:bookmarkEnd w:id="99"/>
      <w:bookmarkEnd w:id="100"/>
      <w:r>
        <w:rPr>
          <w:rStyle w:val="19"/>
          <w:rFonts w:hint="eastAsia" w:ascii="仿宋" w:hAnsi="仿宋" w:eastAsia="仿宋" w:cs="仿宋"/>
          <w:b w:val="0"/>
          <w:bCs w:val="0"/>
          <w:color w:val="000000"/>
          <w:sz w:val="32"/>
          <w:szCs w:val="32"/>
        </w:rPr>
        <w:t xml:space="preserve">  </w:t>
      </w:r>
    </w:p>
    <w:p w14:paraId="415AA854">
      <w:pPr>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b w:val="0"/>
          <w:bCs w:val="0"/>
          <w:color w:val="000000"/>
          <w:sz w:val="32"/>
          <w:szCs w:val="32"/>
        </w:rPr>
        <w:t>①行政单位离退休</w:t>
      </w:r>
      <w:r>
        <w:rPr>
          <w:rStyle w:val="19"/>
          <w:rFonts w:hint="eastAsia" w:ascii="仿宋" w:hAnsi="仿宋" w:eastAsia="仿宋" w:cs="仿宋"/>
          <w:b w:val="0"/>
          <w:bCs w:val="0"/>
          <w:color w:val="000000"/>
          <w:sz w:val="32"/>
          <w:szCs w:val="32"/>
          <w:lang w:val="en-US" w:eastAsia="zh-CN"/>
        </w:rPr>
        <w:t>2080501</w:t>
      </w:r>
      <w:r>
        <w:rPr>
          <w:rStyle w:val="19"/>
          <w:rFonts w:hint="eastAsia" w:ascii="仿宋" w:hAnsi="仿宋" w:eastAsia="仿宋" w:cs="仿宋"/>
          <w:b w:val="0"/>
          <w:bCs w:val="0"/>
          <w:color w:val="000000"/>
          <w:sz w:val="32"/>
          <w:szCs w:val="32"/>
          <w:lang w:eastAsia="zh-CN"/>
        </w:rPr>
        <w:t>：指</w:t>
      </w:r>
      <w:r>
        <w:rPr>
          <w:rStyle w:val="19"/>
          <w:rFonts w:hint="eastAsia" w:ascii="仿宋" w:hAnsi="仿宋" w:eastAsia="仿宋" w:cs="仿宋"/>
          <w:b w:val="0"/>
          <w:bCs w:val="0"/>
          <w:color w:val="000000"/>
          <w:sz w:val="32"/>
          <w:szCs w:val="32"/>
        </w:rPr>
        <w:t>行政单位（包括实行公务员管理的事业单位）开支的离退休支出。</w:t>
      </w:r>
    </w:p>
    <w:p w14:paraId="6B6D7B6B">
      <w:pPr>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b w:val="0"/>
          <w:bCs w:val="0"/>
          <w:color w:val="000000"/>
          <w:sz w:val="32"/>
          <w:szCs w:val="32"/>
          <w:lang w:val="en-US" w:eastAsia="zh-CN"/>
        </w:rPr>
        <w:t>②事业</w:t>
      </w:r>
      <w:r>
        <w:rPr>
          <w:rStyle w:val="19"/>
          <w:rFonts w:hint="eastAsia" w:ascii="仿宋" w:hAnsi="仿宋" w:eastAsia="仿宋" w:cs="仿宋"/>
          <w:b w:val="0"/>
          <w:bCs w:val="0"/>
          <w:color w:val="000000"/>
          <w:sz w:val="32"/>
          <w:szCs w:val="32"/>
        </w:rPr>
        <w:t>单位离退休</w:t>
      </w:r>
      <w:r>
        <w:rPr>
          <w:rStyle w:val="19"/>
          <w:rFonts w:hint="eastAsia" w:ascii="仿宋" w:hAnsi="仿宋" w:eastAsia="仿宋" w:cs="仿宋"/>
          <w:b w:val="0"/>
          <w:bCs w:val="0"/>
          <w:color w:val="000000"/>
          <w:sz w:val="32"/>
          <w:szCs w:val="32"/>
          <w:lang w:val="en-US" w:eastAsia="zh-CN"/>
        </w:rPr>
        <w:t>2080502</w:t>
      </w:r>
      <w:r>
        <w:rPr>
          <w:rStyle w:val="19"/>
          <w:rFonts w:hint="eastAsia" w:ascii="仿宋" w:hAnsi="仿宋" w:eastAsia="仿宋" w:cs="仿宋"/>
          <w:b w:val="0"/>
          <w:bCs w:val="0"/>
          <w:color w:val="000000"/>
          <w:sz w:val="32"/>
          <w:szCs w:val="32"/>
          <w:lang w:eastAsia="zh-CN"/>
        </w:rPr>
        <w:t>：指</w:t>
      </w:r>
      <w:r>
        <w:rPr>
          <w:rStyle w:val="19"/>
          <w:rFonts w:hint="eastAsia" w:ascii="仿宋" w:hAnsi="仿宋" w:eastAsia="仿宋" w:cs="仿宋"/>
          <w:b w:val="0"/>
          <w:bCs w:val="0"/>
          <w:color w:val="000000"/>
          <w:sz w:val="32"/>
          <w:szCs w:val="32"/>
        </w:rPr>
        <w:t>行政单位（包括实行公务员管理的事业单位）开支的离退休支出。</w:t>
      </w:r>
    </w:p>
    <w:p w14:paraId="207A45B1">
      <w:pPr>
        <w:pStyle w:val="2"/>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lang w:val="en-US" w:eastAsia="zh-CN"/>
        </w:rPr>
      </w:pPr>
    </w:p>
    <w:p w14:paraId="0863EC84">
      <w:pPr>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rPr>
      </w:pPr>
      <w:r>
        <w:rPr>
          <w:rFonts w:hint="eastAsia" w:ascii="仿宋" w:hAnsi="仿宋" w:eastAsia="仿宋" w:cs="仿宋"/>
          <w:color w:val="000000"/>
          <w:sz w:val="32"/>
          <w:szCs w:val="32"/>
          <w:lang w:val="en-US" w:eastAsia="zh-CN"/>
        </w:rPr>
        <w:t>③</w:t>
      </w:r>
      <w:r>
        <w:rPr>
          <w:rFonts w:hint="eastAsia" w:ascii="仿宋" w:hAnsi="仿宋" w:eastAsia="仿宋" w:cs="仿宋"/>
          <w:color w:val="000000"/>
          <w:sz w:val="32"/>
          <w:szCs w:val="32"/>
        </w:rPr>
        <w:t>机关事业单位基本养老保险缴费支出</w:t>
      </w:r>
      <w:r>
        <w:rPr>
          <w:rFonts w:hint="eastAsia" w:ascii="仿宋" w:hAnsi="仿宋" w:eastAsia="仿宋" w:cs="仿宋"/>
          <w:color w:val="000000"/>
          <w:sz w:val="32"/>
          <w:szCs w:val="32"/>
          <w:lang w:val="en-US" w:eastAsia="zh-CN"/>
        </w:rPr>
        <w:t>2080505</w:t>
      </w:r>
      <w:r>
        <w:rPr>
          <w:rFonts w:hint="eastAsia" w:ascii="仿宋" w:hAnsi="仿宋" w:eastAsia="仿宋" w:cs="仿宋"/>
          <w:color w:val="000000"/>
          <w:sz w:val="32"/>
          <w:szCs w:val="32"/>
        </w:rPr>
        <w:t>：</w:t>
      </w:r>
      <w:r>
        <w:rPr>
          <w:rStyle w:val="19"/>
          <w:rFonts w:hint="eastAsia" w:ascii="仿宋" w:hAnsi="仿宋" w:eastAsia="仿宋" w:cs="仿宋"/>
          <w:b w:val="0"/>
          <w:bCs w:val="0"/>
          <w:color w:val="000000"/>
          <w:sz w:val="32"/>
          <w:szCs w:val="32"/>
        </w:rPr>
        <w:t>指机关事业单位实施养老保险制度</w:t>
      </w:r>
      <w:r>
        <w:rPr>
          <w:rStyle w:val="19"/>
          <w:rFonts w:hint="eastAsia" w:ascii="仿宋" w:hAnsi="仿宋" w:eastAsia="仿宋" w:cs="仿宋"/>
          <w:b w:val="0"/>
          <w:bCs w:val="0"/>
          <w:color w:val="000000"/>
          <w:sz w:val="32"/>
          <w:szCs w:val="32"/>
          <w:lang w:eastAsia="zh-CN"/>
        </w:rPr>
        <w:t>有关</w:t>
      </w:r>
      <w:r>
        <w:rPr>
          <w:rStyle w:val="19"/>
          <w:rFonts w:hint="eastAsia" w:ascii="仿宋" w:hAnsi="仿宋" w:eastAsia="仿宋" w:cs="仿宋"/>
          <w:b w:val="0"/>
          <w:bCs w:val="0"/>
          <w:color w:val="000000"/>
          <w:sz w:val="32"/>
          <w:szCs w:val="32"/>
        </w:rPr>
        <w:t>单位缴纳的基本养老保险费支出。</w:t>
      </w:r>
    </w:p>
    <w:p w14:paraId="7964A0A2">
      <w:pPr>
        <w:pStyle w:val="6"/>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color w:val="000000"/>
          <w:sz w:val="32"/>
          <w:szCs w:val="32"/>
          <w:lang w:eastAsia="zh-CN"/>
        </w:rPr>
      </w:pPr>
      <w:r>
        <w:rPr>
          <w:rStyle w:val="19"/>
          <w:rFonts w:hint="eastAsia" w:ascii="仿宋" w:hAnsi="仿宋" w:eastAsia="仿宋" w:cs="仿宋"/>
          <w:b w:val="0"/>
          <w:bCs w:val="0"/>
          <w:color w:val="000000"/>
          <w:sz w:val="32"/>
          <w:szCs w:val="32"/>
          <w:lang w:val="en-US" w:eastAsia="zh-CN"/>
        </w:rPr>
        <w:t>④</w:t>
      </w:r>
      <w:r>
        <w:rPr>
          <w:rStyle w:val="19"/>
          <w:rFonts w:hint="eastAsia" w:ascii="仿宋" w:hAnsi="仿宋" w:eastAsia="仿宋" w:cs="仿宋"/>
          <w:b w:val="0"/>
          <w:bCs/>
          <w:color w:val="000000"/>
          <w:sz w:val="32"/>
          <w:szCs w:val="32"/>
          <w:lang w:eastAsia="zh-CN"/>
        </w:rPr>
        <w:t>机关事业单位职业年金缴费支出</w:t>
      </w:r>
      <w:r>
        <w:rPr>
          <w:rStyle w:val="19"/>
          <w:rFonts w:hint="eastAsia" w:ascii="仿宋" w:hAnsi="仿宋" w:eastAsia="仿宋" w:cs="仿宋"/>
          <w:b w:val="0"/>
          <w:bCs/>
          <w:color w:val="000000"/>
          <w:sz w:val="32"/>
          <w:szCs w:val="32"/>
          <w:lang w:val="en-US" w:eastAsia="zh-CN"/>
        </w:rPr>
        <w:t>2080506</w:t>
      </w:r>
      <w:r>
        <w:rPr>
          <w:rStyle w:val="19"/>
          <w:rFonts w:hint="eastAsia" w:ascii="仿宋" w:hAnsi="仿宋" w:eastAsia="仿宋" w:cs="仿宋"/>
          <w:b w:val="0"/>
          <w:bCs/>
          <w:color w:val="000000"/>
          <w:sz w:val="32"/>
          <w:szCs w:val="32"/>
          <w:lang w:eastAsia="zh-CN"/>
        </w:rPr>
        <w:t>：指财政部门对机关事业单位职业年金记账利息的补助。</w:t>
      </w:r>
    </w:p>
    <w:p w14:paraId="082580A6">
      <w:pPr>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lang w:eastAsia="zh-CN"/>
        </w:rPr>
      </w:pPr>
      <w:r>
        <w:rPr>
          <w:rStyle w:val="19"/>
          <w:rFonts w:hint="eastAsia" w:ascii="仿宋" w:hAnsi="仿宋" w:eastAsia="仿宋" w:cs="仿宋"/>
          <w:b w:val="0"/>
          <w:bCs w:val="0"/>
          <w:color w:val="000000"/>
          <w:sz w:val="32"/>
          <w:szCs w:val="32"/>
          <w:lang w:val="en-US" w:eastAsia="zh-CN"/>
        </w:rPr>
        <w:t>5.</w:t>
      </w:r>
      <w:r>
        <w:rPr>
          <w:rStyle w:val="19"/>
          <w:rFonts w:hint="eastAsia" w:ascii="仿宋" w:hAnsi="仿宋" w:eastAsia="仿宋" w:cs="仿宋"/>
          <w:b w:val="0"/>
          <w:bCs w:val="0"/>
          <w:color w:val="000000"/>
          <w:sz w:val="32"/>
          <w:szCs w:val="32"/>
        </w:rPr>
        <w:t>社会保障和就业（</w:t>
      </w:r>
      <w:r>
        <w:rPr>
          <w:rStyle w:val="19"/>
          <w:rFonts w:hint="eastAsia" w:ascii="仿宋" w:hAnsi="仿宋" w:eastAsia="仿宋" w:cs="仿宋"/>
          <w:b w:val="0"/>
          <w:bCs w:val="0"/>
          <w:color w:val="000000"/>
          <w:sz w:val="32"/>
          <w:szCs w:val="32"/>
          <w:lang w:val="en-US" w:eastAsia="zh-CN"/>
        </w:rPr>
        <w:t>208</w:t>
      </w:r>
      <w:r>
        <w:rPr>
          <w:rStyle w:val="19"/>
          <w:rFonts w:hint="eastAsia" w:ascii="仿宋" w:hAnsi="仿宋" w:eastAsia="仿宋" w:cs="仿宋"/>
          <w:b w:val="0"/>
          <w:bCs w:val="0"/>
          <w:color w:val="000000"/>
          <w:sz w:val="32"/>
          <w:szCs w:val="32"/>
        </w:rPr>
        <w:t>）抚恤（</w:t>
      </w:r>
      <w:r>
        <w:rPr>
          <w:rStyle w:val="19"/>
          <w:rFonts w:hint="eastAsia" w:ascii="仿宋" w:hAnsi="仿宋" w:eastAsia="仿宋" w:cs="仿宋"/>
          <w:b w:val="0"/>
          <w:bCs w:val="0"/>
          <w:color w:val="000000"/>
          <w:sz w:val="32"/>
          <w:szCs w:val="32"/>
          <w:lang w:val="en-US" w:eastAsia="zh-CN"/>
        </w:rPr>
        <w:t>08</w:t>
      </w:r>
      <w:r>
        <w:rPr>
          <w:rStyle w:val="19"/>
          <w:rFonts w:hint="eastAsia"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lang w:val="en-US" w:eastAsia="zh-CN"/>
        </w:rPr>
        <w:t>伤残</w:t>
      </w:r>
      <w:r>
        <w:rPr>
          <w:rStyle w:val="19"/>
          <w:rFonts w:hint="eastAsia" w:ascii="仿宋" w:hAnsi="仿宋" w:eastAsia="仿宋" w:cs="仿宋"/>
          <w:b w:val="0"/>
          <w:bCs w:val="0"/>
          <w:color w:val="000000"/>
          <w:sz w:val="32"/>
          <w:szCs w:val="32"/>
        </w:rPr>
        <w:t>抚恤（</w:t>
      </w:r>
      <w:r>
        <w:rPr>
          <w:rStyle w:val="19"/>
          <w:rFonts w:hint="eastAsia" w:ascii="仿宋" w:hAnsi="仿宋" w:eastAsia="仿宋" w:cs="仿宋"/>
          <w:b w:val="0"/>
          <w:bCs w:val="0"/>
          <w:color w:val="000000"/>
          <w:sz w:val="32"/>
          <w:szCs w:val="32"/>
          <w:lang w:val="en-US" w:eastAsia="zh-CN"/>
        </w:rPr>
        <w:t>02</w:t>
      </w:r>
      <w:r>
        <w:rPr>
          <w:rStyle w:val="19"/>
          <w:rFonts w:hint="eastAsia"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lang w:eastAsia="zh-CN"/>
        </w:rPr>
        <w:t>：</w:t>
      </w:r>
    </w:p>
    <w:p w14:paraId="396C1112">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sz w:val="32"/>
          <w:szCs w:val="32"/>
          <w:lang w:eastAsia="zh-CN"/>
        </w:rPr>
      </w:pPr>
      <w:r>
        <w:rPr>
          <w:rStyle w:val="19"/>
          <w:rFonts w:hint="eastAsia" w:ascii="仿宋" w:hAnsi="仿宋" w:eastAsia="仿宋" w:cs="仿宋"/>
          <w:b w:val="0"/>
          <w:bCs w:val="0"/>
          <w:color w:val="000000"/>
          <w:sz w:val="32"/>
          <w:szCs w:val="32"/>
        </w:rPr>
        <w:t>指</w:t>
      </w:r>
      <w:r>
        <w:rPr>
          <w:rStyle w:val="19"/>
          <w:rFonts w:hint="eastAsia" w:ascii="仿宋" w:hAnsi="仿宋" w:eastAsia="仿宋" w:cs="仿宋"/>
          <w:b w:val="0"/>
          <w:bCs w:val="0"/>
          <w:color w:val="000000"/>
          <w:sz w:val="32"/>
          <w:szCs w:val="32"/>
          <w:lang w:val="en-US" w:eastAsia="zh-CN"/>
        </w:rPr>
        <w:t>按规定用于伤残人员的抚恤金和按规定开支的各种伤残补助费。</w:t>
      </w:r>
    </w:p>
    <w:p w14:paraId="44591B28">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b w:val="0"/>
          <w:bCs/>
          <w:sz w:val="32"/>
          <w:szCs w:val="32"/>
        </w:rPr>
      </w:pPr>
      <w:bookmarkStart w:id="101" w:name="_Toc24112"/>
      <w:bookmarkStart w:id="102" w:name="_Toc31228"/>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卫生健康支出（</w:t>
      </w:r>
      <w:r>
        <w:rPr>
          <w:rFonts w:hint="eastAsia" w:ascii="仿宋" w:hAnsi="仿宋" w:eastAsia="仿宋" w:cs="仿宋"/>
          <w:b w:val="0"/>
          <w:bCs/>
          <w:sz w:val="32"/>
          <w:szCs w:val="32"/>
          <w:lang w:val="en-US" w:eastAsia="zh-CN"/>
        </w:rPr>
        <w:t>210</w:t>
      </w:r>
      <w:r>
        <w:rPr>
          <w:rFonts w:hint="eastAsia" w:ascii="仿宋" w:hAnsi="仿宋" w:eastAsia="仿宋" w:cs="仿宋"/>
          <w:b w:val="0"/>
          <w:bCs/>
          <w:sz w:val="32"/>
          <w:szCs w:val="32"/>
        </w:rPr>
        <w:t>）行政事业单位医疗（</w:t>
      </w:r>
      <w:r>
        <w:rPr>
          <w:rFonts w:hint="eastAsia" w:ascii="仿宋" w:hAnsi="仿宋" w:eastAsia="仿宋" w:cs="仿宋"/>
          <w:b w:val="0"/>
          <w:bCs/>
          <w:sz w:val="32"/>
          <w:szCs w:val="32"/>
          <w:lang w:val="en-US" w:eastAsia="zh-CN"/>
        </w:rPr>
        <w:t>11</w:t>
      </w:r>
      <w:r>
        <w:rPr>
          <w:rFonts w:hint="eastAsia" w:ascii="仿宋" w:hAnsi="仿宋" w:eastAsia="仿宋" w:cs="仿宋"/>
          <w:b w:val="0"/>
          <w:bCs/>
          <w:sz w:val="32"/>
          <w:szCs w:val="32"/>
        </w:rPr>
        <w:t>）</w:t>
      </w:r>
      <w:bookmarkEnd w:id="101"/>
      <w:bookmarkEnd w:id="102"/>
    </w:p>
    <w:p w14:paraId="5AB9E0AD">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b w:val="0"/>
          <w:bCs/>
          <w:sz w:val="32"/>
          <w:szCs w:val="32"/>
        </w:rPr>
      </w:pPr>
      <w:r>
        <w:rPr>
          <w:rStyle w:val="19"/>
          <w:rFonts w:hint="eastAsia" w:ascii="仿宋" w:hAnsi="仿宋" w:eastAsia="仿宋" w:cs="仿宋"/>
          <w:b w:val="0"/>
          <w:bCs w:val="0"/>
          <w:color w:val="000000"/>
          <w:sz w:val="32"/>
          <w:szCs w:val="32"/>
        </w:rPr>
        <w:t>①</w:t>
      </w:r>
      <w:r>
        <w:rPr>
          <w:rFonts w:hint="eastAsia" w:ascii="仿宋" w:hAnsi="仿宋" w:eastAsia="仿宋" w:cs="仿宋"/>
          <w:b w:val="0"/>
          <w:bCs/>
          <w:sz w:val="32"/>
          <w:szCs w:val="32"/>
        </w:rPr>
        <w:t>行政单位医疗</w:t>
      </w:r>
      <w:r>
        <w:rPr>
          <w:rFonts w:hint="eastAsia" w:ascii="仿宋" w:hAnsi="仿宋" w:eastAsia="仿宋" w:cs="仿宋"/>
          <w:b w:val="0"/>
          <w:bCs/>
          <w:sz w:val="32"/>
          <w:szCs w:val="32"/>
          <w:lang w:val="en-US" w:eastAsia="zh-CN"/>
        </w:rPr>
        <w:t>2101101</w:t>
      </w:r>
      <w:r>
        <w:rPr>
          <w:rFonts w:hint="eastAsia" w:ascii="仿宋" w:hAnsi="仿宋" w:eastAsia="仿宋" w:cs="仿宋"/>
          <w:b w:val="0"/>
          <w:bCs/>
          <w:sz w:val="32"/>
          <w:szCs w:val="32"/>
        </w:rPr>
        <w:t>：指财政部门安排的行政单位（包括实行公务员管理的事业单位，下同）基本医疗保险缴费经费，未参加医疗保险的行政单位的公费医疗经费，按国家规定享受离休人员、红军老战士待遇人员的医疗经费。</w:t>
      </w:r>
    </w:p>
    <w:p w14:paraId="31CF7BB7">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b w:val="0"/>
          <w:bCs/>
          <w:sz w:val="32"/>
          <w:szCs w:val="32"/>
        </w:rPr>
      </w:pPr>
      <w:r>
        <w:rPr>
          <w:rStyle w:val="19"/>
          <w:rFonts w:hint="eastAsia" w:ascii="仿宋" w:hAnsi="仿宋" w:eastAsia="仿宋" w:cs="仿宋"/>
          <w:b w:val="0"/>
          <w:bCs w:val="0"/>
          <w:color w:val="000000"/>
          <w:sz w:val="32"/>
          <w:szCs w:val="32"/>
        </w:rPr>
        <w:t>②</w:t>
      </w:r>
      <w:r>
        <w:rPr>
          <w:rFonts w:hint="eastAsia" w:ascii="仿宋" w:hAnsi="仿宋" w:eastAsia="仿宋" w:cs="仿宋"/>
          <w:b w:val="0"/>
          <w:bCs/>
          <w:sz w:val="32"/>
          <w:szCs w:val="32"/>
        </w:rPr>
        <w:t>事业单位医疗</w:t>
      </w:r>
      <w:r>
        <w:rPr>
          <w:rFonts w:hint="eastAsia" w:ascii="仿宋" w:hAnsi="仿宋" w:eastAsia="仿宋" w:cs="仿宋"/>
          <w:b w:val="0"/>
          <w:bCs/>
          <w:sz w:val="32"/>
          <w:szCs w:val="32"/>
          <w:lang w:val="en-US" w:eastAsia="zh-CN"/>
        </w:rPr>
        <w:t>2101102</w:t>
      </w:r>
      <w:r>
        <w:rPr>
          <w:rFonts w:hint="eastAsia" w:ascii="仿宋" w:hAnsi="仿宋" w:eastAsia="仿宋" w:cs="仿宋"/>
          <w:b w:val="0"/>
          <w:bCs/>
          <w:sz w:val="32"/>
          <w:szCs w:val="32"/>
        </w:rPr>
        <w:t>：指财政部门安排的事业单位基本医疗保险缴费经费，未参加医疗保险的事业单位的公费医疗经费，按国家规定享受离休人员医疗经费。</w:t>
      </w:r>
    </w:p>
    <w:p w14:paraId="2C169E3D">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b w:val="0"/>
          <w:bCs/>
          <w:sz w:val="32"/>
          <w:szCs w:val="32"/>
        </w:rPr>
      </w:pPr>
      <w:r>
        <w:rPr>
          <w:rStyle w:val="19"/>
          <w:rFonts w:hint="eastAsia" w:ascii="仿宋" w:hAnsi="仿宋" w:eastAsia="仿宋" w:cs="仿宋"/>
          <w:b w:val="0"/>
          <w:bCs w:val="0"/>
          <w:color w:val="000000"/>
          <w:sz w:val="32"/>
          <w:szCs w:val="32"/>
          <w:lang w:eastAsia="zh-CN"/>
        </w:rPr>
        <w:t>③</w:t>
      </w:r>
      <w:r>
        <w:rPr>
          <w:rFonts w:hint="eastAsia" w:ascii="仿宋" w:hAnsi="仿宋" w:eastAsia="仿宋" w:cs="仿宋"/>
          <w:b w:val="0"/>
          <w:bCs/>
          <w:sz w:val="32"/>
          <w:szCs w:val="32"/>
        </w:rPr>
        <w:t>公务员医疗补助</w:t>
      </w:r>
      <w:r>
        <w:rPr>
          <w:rFonts w:hint="eastAsia" w:ascii="仿宋" w:hAnsi="仿宋" w:eastAsia="仿宋" w:cs="仿宋"/>
          <w:b w:val="0"/>
          <w:bCs/>
          <w:sz w:val="32"/>
          <w:szCs w:val="32"/>
          <w:lang w:val="en-US" w:eastAsia="zh-CN"/>
        </w:rPr>
        <w:t>2101103</w:t>
      </w:r>
      <w:r>
        <w:rPr>
          <w:rFonts w:hint="eastAsia" w:ascii="仿宋" w:hAnsi="仿宋" w:eastAsia="仿宋" w:cs="仿宋"/>
          <w:b w:val="0"/>
          <w:bCs/>
          <w:sz w:val="32"/>
          <w:szCs w:val="32"/>
        </w:rPr>
        <w:t>：指财政部门安排的公务员医疗补助经费。</w:t>
      </w:r>
    </w:p>
    <w:p w14:paraId="1F63D2F1">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b w:val="0"/>
          <w:bCs/>
          <w:sz w:val="32"/>
          <w:szCs w:val="32"/>
        </w:rPr>
      </w:pPr>
      <w:r>
        <w:rPr>
          <w:rStyle w:val="19"/>
          <w:rFonts w:hint="eastAsia" w:ascii="仿宋" w:hAnsi="仿宋" w:eastAsia="仿宋" w:cs="仿宋"/>
          <w:b w:val="0"/>
          <w:bCs w:val="0"/>
          <w:color w:val="000000"/>
          <w:sz w:val="32"/>
          <w:szCs w:val="32"/>
        </w:rPr>
        <w:t>④</w:t>
      </w:r>
      <w:r>
        <w:rPr>
          <w:rFonts w:hint="eastAsia" w:ascii="仿宋" w:hAnsi="仿宋" w:eastAsia="仿宋" w:cs="仿宋"/>
          <w:b w:val="0"/>
          <w:bCs/>
          <w:sz w:val="32"/>
          <w:szCs w:val="32"/>
        </w:rPr>
        <w:t>其他行政事业单位医疗支出</w:t>
      </w:r>
      <w:r>
        <w:rPr>
          <w:rFonts w:hint="eastAsia" w:ascii="仿宋" w:hAnsi="仿宋" w:eastAsia="仿宋" w:cs="仿宋"/>
          <w:b w:val="0"/>
          <w:bCs/>
          <w:sz w:val="32"/>
          <w:szCs w:val="32"/>
          <w:lang w:val="en-US" w:eastAsia="zh-CN"/>
        </w:rPr>
        <w:t>2101199</w:t>
      </w:r>
      <w:r>
        <w:rPr>
          <w:rFonts w:hint="eastAsia" w:ascii="仿宋" w:hAnsi="仿宋" w:eastAsia="仿宋" w:cs="仿宋"/>
          <w:b w:val="0"/>
          <w:bCs/>
          <w:sz w:val="32"/>
          <w:szCs w:val="32"/>
        </w:rPr>
        <w:t>：指除上述项目以外的其他用于行政事业单位医疗方面的支出。</w:t>
      </w:r>
    </w:p>
    <w:p w14:paraId="72D59913">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sz w:val="32"/>
          <w:szCs w:val="32"/>
        </w:rPr>
      </w:pPr>
      <w:r>
        <w:rPr>
          <w:rStyle w:val="19"/>
          <w:rFonts w:hint="eastAsia" w:ascii="仿宋" w:hAnsi="仿宋" w:eastAsia="仿宋" w:cs="仿宋"/>
          <w:b w:val="0"/>
          <w:bCs w:val="0"/>
          <w:color w:val="000000"/>
          <w:sz w:val="32"/>
          <w:szCs w:val="32"/>
          <w:lang w:val="en-US" w:eastAsia="zh-CN"/>
        </w:rPr>
        <w:t>7.</w:t>
      </w:r>
      <w:r>
        <w:rPr>
          <w:rStyle w:val="19"/>
          <w:rFonts w:hint="eastAsia" w:ascii="仿宋" w:hAnsi="仿宋" w:eastAsia="仿宋" w:cs="仿宋"/>
          <w:b w:val="0"/>
          <w:bCs w:val="0"/>
          <w:color w:val="000000"/>
          <w:sz w:val="32"/>
          <w:szCs w:val="32"/>
        </w:rPr>
        <w:t>住房保障支出（</w:t>
      </w:r>
      <w:r>
        <w:rPr>
          <w:rStyle w:val="19"/>
          <w:rFonts w:hint="eastAsia" w:ascii="仿宋" w:hAnsi="仿宋" w:eastAsia="仿宋" w:cs="仿宋"/>
          <w:b w:val="0"/>
          <w:bCs w:val="0"/>
          <w:color w:val="000000"/>
          <w:sz w:val="32"/>
          <w:szCs w:val="32"/>
          <w:lang w:val="en-US" w:eastAsia="zh-CN"/>
        </w:rPr>
        <w:t>221</w:t>
      </w:r>
      <w:r>
        <w:rPr>
          <w:rStyle w:val="19"/>
          <w:rFonts w:hint="eastAsia" w:ascii="仿宋" w:hAnsi="仿宋" w:eastAsia="仿宋" w:cs="仿宋"/>
          <w:b w:val="0"/>
          <w:bCs w:val="0"/>
          <w:color w:val="000000"/>
          <w:sz w:val="32"/>
          <w:szCs w:val="32"/>
        </w:rPr>
        <w:t>）住房改革支出（</w:t>
      </w:r>
      <w:r>
        <w:rPr>
          <w:rStyle w:val="19"/>
          <w:rFonts w:hint="eastAsia" w:ascii="仿宋" w:hAnsi="仿宋" w:eastAsia="仿宋" w:cs="仿宋"/>
          <w:b w:val="0"/>
          <w:bCs w:val="0"/>
          <w:color w:val="000000"/>
          <w:sz w:val="32"/>
          <w:szCs w:val="32"/>
          <w:lang w:val="en-US" w:eastAsia="zh-CN"/>
        </w:rPr>
        <w:t>02</w:t>
      </w:r>
      <w:r>
        <w:rPr>
          <w:rStyle w:val="19"/>
          <w:rFonts w:hint="eastAsia" w:ascii="仿宋" w:hAnsi="仿宋" w:eastAsia="仿宋" w:cs="仿宋"/>
          <w:b w:val="0"/>
          <w:bCs w:val="0"/>
          <w:color w:val="000000"/>
          <w:sz w:val="32"/>
          <w:szCs w:val="32"/>
        </w:rPr>
        <w:t>）住房公积金（项）：指行政事业单位按人力资源和社会保障部、财政部规定的基本工资和津贴补贴以及规定比例为职工缴纳的住房公积金。</w:t>
      </w:r>
    </w:p>
    <w:p w14:paraId="0E1C2C63">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基本支出：指为保障机构正常运转、完成日常工作任务而发生的人员支出和公用支出。</w:t>
      </w:r>
    </w:p>
    <w:p w14:paraId="5F194ED4">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 xml:space="preserve">项目支出：指在基本支出之外为完成特定行政任务和事业发展目标所发生的支出。 </w:t>
      </w:r>
    </w:p>
    <w:p w14:paraId="7FDE7644">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color w:val="000000"/>
          <w:sz w:val="32"/>
          <w:szCs w:val="32"/>
        </w:rPr>
      </w:pPr>
      <w:bookmarkStart w:id="103" w:name="_Toc14517_WPSOffice_Level2"/>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“三公”经费</w:t>
      </w:r>
      <w:bookmarkEnd w:id="103"/>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color w:val="000000"/>
          <w:sz w:val="32"/>
          <w:szCs w:val="32"/>
          <w:lang w:eastAsia="zh-CN"/>
        </w:rPr>
        <w:t>、牌照费</w:t>
      </w:r>
      <w:r>
        <w:rPr>
          <w:rFonts w:hint="eastAsia" w:ascii="仿宋" w:hAnsi="仿宋" w:eastAsia="仿宋" w:cs="仿宋"/>
          <w:color w:val="000000"/>
          <w:sz w:val="32"/>
          <w:szCs w:val="32"/>
        </w:rPr>
        <w:t>）及按规定保留的公务用车燃料费、维修费、过路过桥费、保险费、安全奖励费用等支出；公务接待费反映单位按规定开支的各类公务接待（含外宾接待）支出。</w:t>
      </w:r>
    </w:p>
    <w:p w14:paraId="153D9962">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color w:val="000000"/>
          <w:sz w:val="33"/>
          <w:szCs w:val="32"/>
        </w:rPr>
      </w:pPr>
      <w:bookmarkStart w:id="104" w:name="_Toc29043_WPSOffice_Level2"/>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机关运行经费</w:t>
      </w:r>
      <w:bookmarkEnd w:id="104"/>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CDB02A">
      <w:pPr>
        <w:spacing w:line="600" w:lineRule="exact"/>
        <w:jc w:val="center"/>
        <w:rPr>
          <w:rFonts w:hint="eastAsia" w:eastAsia="黑体"/>
          <w:sz w:val="44"/>
          <w:szCs w:val="44"/>
        </w:rPr>
      </w:pPr>
    </w:p>
    <w:p w14:paraId="1E0E39B4">
      <w:pPr>
        <w:spacing w:line="600" w:lineRule="exact"/>
        <w:jc w:val="center"/>
        <w:rPr>
          <w:rFonts w:hint="eastAsia" w:eastAsia="黑体"/>
          <w:sz w:val="44"/>
          <w:szCs w:val="44"/>
        </w:rPr>
      </w:pPr>
    </w:p>
    <w:p w14:paraId="3C121BAB">
      <w:pPr>
        <w:spacing w:line="600" w:lineRule="exact"/>
        <w:jc w:val="center"/>
        <w:rPr>
          <w:rFonts w:hint="eastAsia" w:eastAsia="黑体"/>
          <w:sz w:val="44"/>
          <w:szCs w:val="44"/>
        </w:rPr>
      </w:pPr>
    </w:p>
    <w:p w14:paraId="13D3586F">
      <w:pPr>
        <w:spacing w:line="600" w:lineRule="exact"/>
        <w:jc w:val="center"/>
        <w:rPr>
          <w:rFonts w:hint="eastAsia" w:eastAsia="黑体"/>
          <w:sz w:val="44"/>
          <w:szCs w:val="44"/>
        </w:rPr>
      </w:pPr>
    </w:p>
    <w:p w14:paraId="20E094EF">
      <w:pPr>
        <w:spacing w:line="600" w:lineRule="exact"/>
        <w:jc w:val="center"/>
        <w:rPr>
          <w:rFonts w:hint="eastAsia" w:eastAsia="黑体"/>
          <w:sz w:val="44"/>
          <w:szCs w:val="44"/>
        </w:rPr>
      </w:pPr>
    </w:p>
    <w:p w14:paraId="4B8215C9">
      <w:pPr>
        <w:spacing w:line="600" w:lineRule="exact"/>
        <w:jc w:val="center"/>
        <w:rPr>
          <w:rFonts w:hint="eastAsia" w:eastAsia="黑体"/>
          <w:sz w:val="44"/>
          <w:szCs w:val="44"/>
        </w:rPr>
      </w:pPr>
    </w:p>
    <w:p w14:paraId="17CC7E90">
      <w:pPr>
        <w:spacing w:line="600" w:lineRule="exact"/>
        <w:jc w:val="center"/>
        <w:rPr>
          <w:rFonts w:hint="eastAsia" w:eastAsia="黑体"/>
          <w:sz w:val="44"/>
          <w:szCs w:val="44"/>
        </w:rPr>
      </w:pPr>
    </w:p>
    <w:p w14:paraId="1AD307C3">
      <w:pPr>
        <w:spacing w:line="600" w:lineRule="exact"/>
        <w:jc w:val="center"/>
        <w:rPr>
          <w:rFonts w:hint="eastAsia" w:eastAsia="黑体"/>
          <w:sz w:val="44"/>
          <w:szCs w:val="44"/>
        </w:rPr>
      </w:pPr>
    </w:p>
    <w:p w14:paraId="316D5323">
      <w:pPr>
        <w:spacing w:line="600" w:lineRule="exact"/>
        <w:jc w:val="center"/>
        <w:rPr>
          <w:rFonts w:hint="eastAsia" w:eastAsia="黑体"/>
          <w:sz w:val="44"/>
          <w:szCs w:val="44"/>
        </w:rPr>
      </w:pPr>
    </w:p>
    <w:p w14:paraId="4C70E41A">
      <w:pPr>
        <w:spacing w:line="600" w:lineRule="exact"/>
        <w:jc w:val="center"/>
        <w:rPr>
          <w:rFonts w:hint="eastAsia" w:eastAsia="黑体"/>
          <w:sz w:val="44"/>
          <w:szCs w:val="44"/>
        </w:rPr>
      </w:pPr>
    </w:p>
    <w:p w14:paraId="683711BD">
      <w:pPr>
        <w:spacing w:line="600" w:lineRule="exact"/>
        <w:jc w:val="center"/>
        <w:rPr>
          <w:rFonts w:hint="eastAsia" w:eastAsia="黑体"/>
          <w:sz w:val="44"/>
          <w:szCs w:val="44"/>
        </w:rPr>
      </w:pPr>
    </w:p>
    <w:p w14:paraId="16AB0742">
      <w:pPr>
        <w:spacing w:line="600" w:lineRule="exact"/>
        <w:jc w:val="center"/>
        <w:rPr>
          <w:rFonts w:hint="eastAsia" w:eastAsia="黑体"/>
          <w:sz w:val="44"/>
          <w:szCs w:val="44"/>
        </w:rPr>
      </w:pPr>
    </w:p>
    <w:p w14:paraId="1D78F0E8">
      <w:pPr>
        <w:spacing w:line="600" w:lineRule="exact"/>
        <w:jc w:val="center"/>
        <w:rPr>
          <w:rFonts w:hint="eastAsia" w:eastAsia="黑体"/>
          <w:sz w:val="44"/>
          <w:szCs w:val="44"/>
        </w:rPr>
      </w:pPr>
    </w:p>
    <w:p w14:paraId="39107FBE">
      <w:pPr>
        <w:spacing w:line="600" w:lineRule="exact"/>
        <w:jc w:val="center"/>
        <w:rPr>
          <w:rFonts w:hint="eastAsia" w:eastAsia="黑体"/>
          <w:sz w:val="44"/>
          <w:szCs w:val="44"/>
        </w:rPr>
      </w:pPr>
    </w:p>
    <w:p w14:paraId="6170F7E1">
      <w:pPr>
        <w:spacing w:line="600" w:lineRule="exact"/>
        <w:jc w:val="center"/>
        <w:rPr>
          <w:rStyle w:val="30"/>
          <w:rFonts w:eastAsia="黑体"/>
          <w:b w:val="0"/>
        </w:rPr>
      </w:pPr>
      <w:bookmarkStart w:id="105" w:name="_Toc29154_WPSOffice_Level1"/>
      <w:r>
        <w:rPr>
          <w:rFonts w:hint="eastAsia" w:eastAsia="黑体"/>
          <w:sz w:val="44"/>
          <w:szCs w:val="44"/>
        </w:rPr>
        <w:t>第四部分  附件</w:t>
      </w:r>
      <w:bookmarkEnd w:id="97"/>
      <w:bookmarkEnd w:id="105"/>
    </w:p>
    <w:p w14:paraId="5F61739D">
      <w:pPr>
        <w:spacing w:line="572" w:lineRule="exact"/>
        <w:jc w:val="left"/>
        <w:outlineLvl w:val="0"/>
        <w:rPr>
          <w:rFonts w:eastAsia="黑体" w:cs="黑体"/>
          <w:sz w:val="32"/>
          <w:szCs w:val="32"/>
        </w:rPr>
      </w:pPr>
    </w:p>
    <w:p w14:paraId="5495F4E6">
      <w:pPr>
        <w:spacing w:line="572" w:lineRule="exact"/>
        <w:jc w:val="left"/>
        <w:outlineLvl w:val="0"/>
        <w:rPr>
          <w:rFonts w:eastAsia="黑体" w:cs="方正小标宋简体"/>
          <w:sz w:val="44"/>
          <w:szCs w:val="44"/>
        </w:rPr>
      </w:pPr>
      <w:r>
        <w:rPr>
          <w:rFonts w:hint="eastAsia" w:eastAsia="黑体" w:cs="黑体"/>
          <w:sz w:val="32"/>
          <w:szCs w:val="32"/>
        </w:rPr>
        <w:t>附件1</w:t>
      </w:r>
    </w:p>
    <w:p w14:paraId="4CB77C3E">
      <w:pPr>
        <w:spacing w:line="0" w:lineRule="atLeast"/>
        <w:jc w:val="center"/>
        <w:rPr>
          <w:rFonts w:hint="eastAsia" w:ascii="Times New Roman" w:eastAsia="方正小标宋_GBK"/>
          <w:b/>
          <w:sz w:val="44"/>
          <w:szCs w:val="44"/>
          <w:lang w:val="en-US" w:eastAsia="zh-CN"/>
        </w:rPr>
      </w:pPr>
      <w:bookmarkStart w:id="106" w:name="_Toc16769_WPSOffice_Level2"/>
      <w:r>
        <w:rPr>
          <w:rFonts w:hint="eastAsia" w:ascii="Times New Roman" w:eastAsia="方正小标宋_GBK"/>
          <w:b/>
          <w:sz w:val="44"/>
          <w:szCs w:val="44"/>
          <w:lang w:val="en-US" w:eastAsia="zh-CN"/>
        </w:rPr>
        <w:t>中共盐边县委组织部</w:t>
      </w:r>
      <w:bookmarkEnd w:id="106"/>
    </w:p>
    <w:p w14:paraId="07B20770">
      <w:pPr>
        <w:spacing w:line="0" w:lineRule="atLeast"/>
        <w:jc w:val="center"/>
        <w:rPr>
          <w:rFonts w:ascii="Times New Roman" w:eastAsia="方正小标宋_GBK"/>
          <w:b/>
          <w:sz w:val="44"/>
          <w:szCs w:val="44"/>
        </w:rPr>
      </w:pPr>
      <w:bookmarkStart w:id="107" w:name="_Toc10144_WPSOffice_Level2"/>
      <w:r>
        <w:rPr>
          <w:rFonts w:ascii="Times New Roman" w:eastAsia="方正小标宋_GBK"/>
          <w:b/>
          <w:sz w:val="44"/>
          <w:szCs w:val="44"/>
        </w:rPr>
        <w:t>部门预算绩效自评报告</w:t>
      </w:r>
      <w:bookmarkEnd w:id="107"/>
    </w:p>
    <w:p w14:paraId="7E3064EF">
      <w:pPr>
        <w:pStyle w:val="2"/>
        <w:rPr>
          <w:rFonts w:hint="eastAsia" w:ascii="方正仿宋_GBK" w:eastAsia="方正仿宋_GBK"/>
          <w:sz w:val="33"/>
          <w:szCs w:val="33"/>
        </w:rPr>
      </w:pPr>
    </w:p>
    <w:p w14:paraId="028F1DE5">
      <w:pPr>
        <w:spacing w:line="550" w:lineRule="exact"/>
        <w:ind w:firstLine="640" w:firstLineChars="200"/>
        <w:rPr>
          <w:rFonts w:hint="eastAsia" w:ascii="仿宋_GB2312" w:hAnsi="仿宋_GB2312" w:eastAsia="仿宋_GB2312" w:cs="仿宋_GB2312"/>
          <w:sz w:val="32"/>
          <w:szCs w:val="32"/>
        </w:rPr>
      </w:pPr>
      <w:bookmarkStart w:id="108" w:name="_Toc7452_WPSOffice_Level2"/>
      <w:r>
        <w:rPr>
          <w:rFonts w:hint="eastAsia" w:ascii="仿宋_GB2312" w:hAnsi="仿宋_GB2312" w:eastAsia="仿宋_GB2312" w:cs="仿宋_GB2312"/>
          <w:sz w:val="32"/>
          <w:szCs w:val="32"/>
        </w:rPr>
        <w:t>一、部门（单位）基本情况</w:t>
      </w:r>
      <w:bookmarkEnd w:id="108"/>
    </w:p>
    <w:p w14:paraId="421A0029">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（一）机构组成。</w:t>
      </w:r>
      <w:r>
        <w:rPr>
          <w:rFonts w:hint="eastAsia" w:ascii="仿宋_GB2312" w:hAnsi="仿宋_GB2312" w:eastAsia="仿宋_GB2312" w:cs="仿宋_GB2312"/>
          <w:color w:val="000000"/>
          <w:kern w:val="0"/>
          <w:sz w:val="32"/>
          <w:szCs w:val="32"/>
          <w:shd w:val="clear" w:color="auto" w:fill="FFFFFF"/>
          <w:lang w:val="zh-CN"/>
        </w:rPr>
        <w:t>中共盐边县委组织部下属非独立核算单位3个，其中参照公务员法管理的事业单位1个，其他事业单位2个。主要包括：中共盐边县委组织部党员教育中心、盐边县老干部活动中心、盐边县干部人事档案服务中心。</w:t>
      </w:r>
    </w:p>
    <w:p w14:paraId="1DE6E5A6">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（二）机构职能。</w:t>
      </w:r>
    </w:p>
    <w:p w14:paraId="5620A17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1.严格执行党的干部路线、方针、政策，负责全县干部队伍建设的宏观管理，拟订或参与拟订组织、干部、人事工作的重要政策、规定、制度；负责全县党的建设制度改革工作的规划研究、部署和组织实施。</w:t>
      </w:r>
    </w:p>
    <w:p w14:paraId="2AA963B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2.负责干部队伍建设的规划和指导工作。研究拟订加强全县干部队伍建设整体规划的工作措施；负责对县委管理的领导班子进行考察了解，并向县委提出调整配备的意见和建议；负责县委管理干部的考察、任免、工资、待遇、退休审批等手续的办理；会同机构编制部门拟订副科级以上单位领导班子职数设置方案；负责规划、部署、组织实施年轻干部、妇女干部、少数民族干部、党外干部的培养、选拔、任用工作。指导乡镇和县直乡科级单位领导班子政治建设；协助管理以垂直部门管理为主的双重管理单位领导班子和领导干部，对领导班子建设和领导干部的选拔任用提出意见和建议。负责省、市、县人大代表和政协委员推荐提名工作。</w:t>
      </w:r>
    </w:p>
    <w:p w14:paraId="1275183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3.执行公务员管理政策和法律法规。负责公务员职务与职级并行制度的组织实施；负责实施公务员调任、转任、挂职政策；负责全县公务员和参照公务员法管理单位工作人员的考选、调配、交流、安置、管理工作；负责全县公务员、参照公务员法管理单位工作人员工资、福利、退休、抚恤等政策的组织实施。</w:t>
      </w:r>
    </w:p>
    <w:p w14:paraId="060ECBE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4.负责全县人才工作和人才队伍建设的宏观管理和指导。研究拟订人才工作有关政策；协调落实专项重点人才工作；协调实施高层次人才培养工程。</w:t>
      </w:r>
    </w:p>
    <w:p w14:paraId="7FE76C7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5.研究制定全县干部信息建设规划；负责全县干部信息、干部档案、干部统计工作。</w:t>
      </w:r>
    </w:p>
    <w:p w14:paraId="0669F34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6.负责干部监督工作的宏观指导。负责对党政领导干部选拔任用工作进行监督检查；对反映领导班子、领导干部和组织建设的重要问题进行调查了解和督办；对有关监督制度的落实情况进行督查；对市委管理干部的历史遗留问题进行初审，对县委管理干部的历史遗留问题进行审查；组织开展领导干部个人有关事项报告，做好干部因私出国（境）审批管理、任期经济责任审计，开展提醒、函询、诫勉工作。协助做好县委巡察工作。</w:t>
      </w:r>
    </w:p>
    <w:p w14:paraId="57EF81C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7.负责全县干部教育培训的宏观管理，制定干部教育工作规划，组织、开展主题教育培训，协调、指导乡镇和县直各单位的干部教育培训工作。</w:t>
      </w:r>
    </w:p>
    <w:p w14:paraId="7D28183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8.研究指导党组织建设工作。制定落实加强党的工作制度、党内生活制度的规定和意见；对各领域党的基层组织建设进行分类指导，对各级各类党组织设立进行指导审核；指导乡镇党委健全党代表大会制度，指导党代表大会代表选举、管理和联络服务。</w:t>
      </w:r>
    </w:p>
    <w:p w14:paraId="7BB70B4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9.研究指导党员队伍建设工作。主管党员发展和管理工作，指导全县党员教育培训；指导乡镇和县直乡科级单位党员领导干部民主生活会；负责全县党费收缴、管理和使用工作；指导开展党内表彰奖励、关怀帮扶等工作；负责全县党组织和党员队伍信息化建设及党内统计工作。</w:t>
      </w:r>
    </w:p>
    <w:p w14:paraId="49A6ABE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10.负责全县非公有制经济组织和社会组织党的建设工作。</w:t>
      </w:r>
    </w:p>
    <w:p w14:paraId="5DD539D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11.承担县委基层党建工作领导小组日常工作，综合协调有关部门统筹推进基层党建工作，健全和落实基层党建工作责任制，负责基层党建述职评议；协调有关部门指导发展壮大村级（社区）集体经济。</w:t>
      </w:r>
    </w:p>
    <w:p w14:paraId="17CADC0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eastAsia="zh-CN"/>
        </w:rPr>
        <w:t>1</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eastAsia="zh-CN"/>
        </w:rPr>
        <w:t>.贯彻执行离退休干部工作的方针、政策和决策部署，负责全县离退休干部工作的宏观管理和指导。承担县委老干部工作领导小组、县委离退休干部工作委员会和县关心下一代工作委员会的日常管理工作。</w:t>
      </w:r>
    </w:p>
    <w:p w14:paraId="2AF283B7">
      <w:pPr>
        <w:spacing w:line="55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（三）人员概况。</w:t>
      </w:r>
      <w:r>
        <w:rPr>
          <w:rFonts w:hint="eastAsia" w:ascii="仿宋_GB2312" w:hAnsi="仿宋_GB2312" w:eastAsia="仿宋_GB2312" w:cs="仿宋_GB2312"/>
          <w:sz w:val="32"/>
          <w:szCs w:val="32"/>
        </w:rPr>
        <w:t>截至2024年末，</w:t>
      </w:r>
      <w:r>
        <w:rPr>
          <w:rFonts w:hint="eastAsia" w:ascii="仿宋_GB2312" w:hAnsi="仿宋_GB2312" w:eastAsia="仿宋_GB2312" w:cs="仿宋_GB2312"/>
          <w:sz w:val="32"/>
          <w:szCs w:val="32"/>
          <w:lang w:val="zh-CN"/>
        </w:rPr>
        <w:t>在职人员</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val="zh-CN"/>
        </w:rPr>
        <w:t>人，其中行政在编人员</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zh-CN"/>
        </w:rPr>
        <w:t>人，参照公务员管理人员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人，机关工勤</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人，事业在编人员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人，离休人员3人。</w:t>
      </w:r>
    </w:p>
    <w:p w14:paraId="582A4353">
      <w:pPr>
        <w:spacing w:line="550" w:lineRule="exact"/>
        <w:ind w:firstLine="640" w:firstLineChars="200"/>
        <w:rPr>
          <w:rFonts w:hint="eastAsia" w:ascii="仿宋_GB2312" w:hAnsi="仿宋_GB2312" w:eastAsia="仿宋_GB2312" w:cs="仿宋_GB2312"/>
          <w:sz w:val="32"/>
          <w:szCs w:val="32"/>
        </w:rPr>
      </w:pPr>
      <w:bookmarkStart w:id="109" w:name="_Toc18894_WPSOffice_Level2"/>
      <w:r>
        <w:rPr>
          <w:rFonts w:hint="eastAsia" w:ascii="仿宋_GB2312" w:hAnsi="仿宋_GB2312" w:eastAsia="仿宋_GB2312" w:cs="仿宋_GB2312"/>
          <w:sz w:val="32"/>
          <w:szCs w:val="32"/>
        </w:rPr>
        <w:t>二、部门资金收支情况</w:t>
      </w:r>
      <w:bookmarkEnd w:id="109"/>
    </w:p>
    <w:p w14:paraId="439961E4">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（一）收入情况。</w:t>
      </w:r>
      <w:r>
        <w:rPr>
          <w:rFonts w:hint="eastAsia" w:ascii="仿宋_GB2312" w:hAnsi="仿宋_GB2312" w:eastAsia="仿宋_GB2312" w:cs="仿宋_GB2312"/>
          <w:sz w:val="32"/>
          <w:szCs w:val="32"/>
        </w:rPr>
        <w:t>2024年年初</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预算收入</w:t>
      </w:r>
      <w:r>
        <w:rPr>
          <w:rFonts w:hint="eastAsia" w:ascii="仿宋_GB2312" w:hAnsi="仿宋_GB2312" w:eastAsia="仿宋_GB2312" w:cs="仿宋_GB2312"/>
          <w:sz w:val="32"/>
          <w:szCs w:val="32"/>
          <w:lang w:val="en-US" w:eastAsia="zh-CN"/>
        </w:rPr>
        <w:t>1067.78万元，</w:t>
      </w:r>
      <w:r>
        <w:rPr>
          <w:rFonts w:hint="eastAsia" w:ascii="仿宋_GB2312" w:hAnsi="仿宋_GB2312" w:eastAsia="仿宋_GB2312" w:cs="仿宋_GB2312"/>
          <w:color w:val="000000"/>
          <w:kern w:val="0"/>
          <w:sz w:val="32"/>
          <w:szCs w:val="32"/>
          <w:shd w:val="clear" w:color="auto" w:fill="FFFFFF"/>
          <w:lang w:val="zh-CN"/>
        </w:rPr>
        <w:t>当年调增及调减后实际预算下达收</w:t>
      </w:r>
      <w:r>
        <w:rPr>
          <w:rFonts w:hint="eastAsia" w:ascii="仿宋_GB2312" w:hAnsi="仿宋_GB2312" w:eastAsia="仿宋_GB2312" w:cs="仿宋_GB2312"/>
          <w:sz w:val="32"/>
          <w:szCs w:val="32"/>
          <w:lang w:val="zh-CN" w:eastAsia="zh-CN"/>
        </w:rPr>
        <w:t>入</w:t>
      </w:r>
      <w:r>
        <w:rPr>
          <w:rFonts w:hint="eastAsia" w:ascii="仿宋_GB2312" w:hAnsi="仿宋_GB2312" w:eastAsia="仿宋_GB2312" w:cs="仿宋_GB2312"/>
          <w:sz w:val="32"/>
          <w:szCs w:val="32"/>
          <w:lang w:val="en-US" w:eastAsia="zh-CN"/>
        </w:rPr>
        <w:t>1597.03万元，其中基本支出收入878.05万元，项目收入718.98万元。</w:t>
      </w:r>
    </w:p>
    <w:p w14:paraId="5F7322A8">
      <w:pPr>
        <w:spacing w:line="55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（二）支出情况。</w:t>
      </w:r>
    </w:p>
    <w:p w14:paraId="4A398FB5">
      <w:pPr>
        <w:pStyle w:val="14"/>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1.部门预算基本支出情况</w:t>
      </w:r>
    </w:p>
    <w:p w14:paraId="6FFA2F2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2024</w:t>
      </w:r>
      <w:r>
        <w:rPr>
          <w:rFonts w:hint="eastAsia" w:ascii="仿宋_GB2312" w:hAnsi="仿宋_GB2312" w:eastAsia="仿宋_GB2312" w:cs="仿宋_GB2312"/>
          <w:color w:val="000000"/>
          <w:kern w:val="0"/>
          <w:sz w:val="32"/>
          <w:szCs w:val="32"/>
          <w:shd w:val="clear" w:color="auto" w:fill="FFFFFF"/>
          <w:lang w:val="zh-CN" w:eastAsia="zh-CN" w:bidi="ar-SA"/>
        </w:rPr>
        <w:t>年年初部门预算安排基本支出为</w:t>
      </w:r>
      <w:r>
        <w:rPr>
          <w:rFonts w:hint="eastAsia" w:ascii="仿宋_GB2312" w:hAnsi="仿宋_GB2312" w:eastAsia="仿宋_GB2312" w:cs="仿宋_GB2312"/>
          <w:color w:val="000000"/>
          <w:kern w:val="0"/>
          <w:sz w:val="32"/>
          <w:szCs w:val="32"/>
          <w:shd w:val="clear" w:color="auto" w:fill="FFFFFF"/>
          <w:lang w:val="en-US" w:eastAsia="zh-CN" w:bidi="ar-SA"/>
        </w:rPr>
        <w:t>823.66</w:t>
      </w:r>
      <w:r>
        <w:rPr>
          <w:rFonts w:hint="eastAsia" w:ascii="仿宋_GB2312" w:hAnsi="仿宋_GB2312" w:eastAsia="仿宋_GB2312" w:cs="仿宋_GB2312"/>
          <w:color w:val="000000"/>
          <w:kern w:val="0"/>
          <w:sz w:val="32"/>
          <w:szCs w:val="32"/>
          <w:shd w:val="clear" w:color="auto" w:fill="FFFFFF"/>
          <w:lang w:val="zh-CN" w:eastAsia="zh-CN" w:bidi="ar-SA"/>
        </w:rPr>
        <w:t>万元。其中：</w:t>
      </w:r>
      <w:r>
        <w:rPr>
          <w:rFonts w:hint="eastAsia" w:ascii="仿宋_GB2312" w:hAnsi="仿宋_GB2312" w:eastAsia="仿宋_GB2312" w:cs="仿宋_GB2312"/>
          <w:color w:val="000000"/>
          <w:kern w:val="0"/>
          <w:sz w:val="32"/>
          <w:szCs w:val="32"/>
          <w:shd w:val="clear" w:color="auto" w:fill="FFFFFF"/>
          <w:lang w:val="en-US" w:eastAsia="zh-CN" w:bidi="ar-SA"/>
        </w:rPr>
        <w:t>人员经费740.53</w:t>
      </w:r>
      <w:r>
        <w:rPr>
          <w:rFonts w:hint="eastAsia" w:ascii="仿宋_GB2312" w:hAnsi="仿宋_GB2312" w:eastAsia="仿宋_GB2312" w:cs="仿宋_GB2312"/>
          <w:color w:val="000000"/>
          <w:kern w:val="0"/>
          <w:sz w:val="32"/>
          <w:szCs w:val="32"/>
          <w:shd w:val="clear" w:color="auto" w:fill="FFFFFF"/>
          <w:lang w:val="zh-CN" w:eastAsia="zh-CN" w:bidi="ar-SA"/>
        </w:rPr>
        <w:t>万元，日常公用支出</w:t>
      </w:r>
      <w:r>
        <w:rPr>
          <w:rFonts w:hint="eastAsia" w:ascii="仿宋_GB2312" w:hAnsi="仿宋_GB2312" w:eastAsia="仿宋_GB2312" w:cs="仿宋_GB2312"/>
          <w:color w:val="000000"/>
          <w:kern w:val="0"/>
          <w:sz w:val="32"/>
          <w:szCs w:val="32"/>
          <w:shd w:val="clear" w:color="auto" w:fill="FFFFFF"/>
          <w:lang w:val="en-US" w:eastAsia="zh-CN" w:bidi="ar-SA"/>
        </w:rPr>
        <w:t>83.13</w:t>
      </w:r>
      <w:r>
        <w:rPr>
          <w:rFonts w:hint="eastAsia" w:ascii="仿宋_GB2312" w:hAnsi="仿宋_GB2312" w:eastAsia="仿宋_GB2312" w:cs="仿宋_GB2312"/>
          <w:color w:val="000000"/>
          <w:kern w:val="0"/>
          <w:sz w:val="32"/>
          <w:szCs w:val="32"/>
          <w:shd w:val="clear" w:color="auto" w:fill="FFFFFF"/>
          <w:lang w:val="zh-CN" w:eastAsia="zh-CN" w:bidi="ar-SA"/>
        </w:rPr>
        <w:t>万元。当年调增及调减后实际预算下达基本支出</w:t>
      </w:r>
      <w:r>
        <w:rPr>
          <w:rFonts w:hint="eastAsia" w:ascii="仿宋_GB2312" w:hAnsi="仿宋_GB2312" w:eastAsia="仿宋_GB2312" w:cs="仿宋_GB2312"/>
          <w:color w:val="000000"/>
          <w:kern w:val="0"/>
          <w:sz w:val="32"/>
          <w:szCs w:val="32"/>
          <w:shd w:val="clear" w:color="auto" w:fill="FFFFFF"/>
          <w:lang w:val="en-US" w:eastAsia="zh-CN" w:bidi="ar-SA"/>
        </w:rPr>
        <w:t>878.05</w:t>
      </w:r>
      <w:r>
        <w:rPr>
          <w:rFonts w:hint="eastAsia" w:ascii="仿宋_GB2312" w:hAnsi="仿宋_GB2312" w:eastAsia="仿宋_GB2312" w:cs="仿宋_GB2312"/>
          <w:color w:val="000000"/>
          <w:kern w:val="0"/>
          <w:sz w:val="32"/>
          <w:szCs w:val="32"/>
          <w:shd w:val="clear" w:color="auto" w:fill="FFFFFF"/>
          <w:lang w:val="zh-CN" w:eastAsia="zh-CN" w:bidi="ar-SA"/>
        </w:rPr>
        <w:t>万元。</w:t>
      </w:r>
      <w:r>
        <w:rPr>
          <w:rFonts w:hint="eastAsia" w:ascii="仿宋_GB2312" w:hAnsi="仿宋_GB2312" w:eastAsia="仿宋_GB2312" w:cs="仿宋_GB2312"/>
          <w:color w:val="000000"/>
          <w:kern w:val="0"/>
          <w:sz w:val="32"/>
          <w:szCs w:val="32"/>
          <w:shd w:val="clear" w:color="auto" w:fill="FFFFFF"/>
          <w:lang w:val="en-US" w:eastAsia="zh-CN" w:bidi="ar-SA"/>
        </w:rPr>
        <w:t>本年基本</w:t>
      </w:r>
      <w:r>
        <w:rPr>
          <w:rFonts w:hint="eastAsia" w:hAnsi="仿宋_GB2312" w:eastAsia="仿宋_GB2312" w:cs="仿宋_GB2312"/>
          <w:color w:val="000000"/>
          <w:kern w:val="0"/>
          <w:sz w:val="32"/>
          <w:szCs w:val="32"/>
          <w:shd w:val="clear" w:color="auto" w:fill="FFFFFF"/>
          <w:lang w:val="en-US" w:eastAsia="zh-CN" w:bidi="ar-SA"/>
        </w:rPr>
        <w:t>支出</w:t>
      </w:r>
      <w:r>
        <w:rPr>
          <w:rFonts w:hint="eastAsia" w:ascii="仿宋_GB2312" w:hAnsi="仿宋_GB2312" w:eastAsia="仿宋_GB2312" w:cs="仿宋_GB2312"/>
          <w:color w:val="000000"/>
          <w:kern w:val="0"/>
          <w:sz w:val="32"/>
          <w:szCs w:val="32"/>
          <w:shd w:val="clear" w:color="auto" w:fill="FFFFFF"/>
          <w:lang w:val="en-US" w:eastAsia="zh-CN" w:bidi="ar-SA"/>
        </w:rPr>
        <w:t>决算数878.05万元。</w:t>
      </w:r>
    </w:p>
    <w:p w14:paraId="73E9B070">
      <w:pPr>
        <w:pStyle w:val="14"/>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基本支出中的工资福利、对个人和家庭补助支出主要用于职工基本工资、绩效工资、津贴补贴、养老保险等各类保险缴费、在职及退休人员目标奖奖金、住房公积金等。日常公用支出主要用于办公费、水费、邮电费、差旅费、会议费、培训费、印刷费等方面。</w:t>
      </w:r>
    </w:p>
    <w:p w14:paraId="083E11D0">
      <w:pPr>
        <w:pStyle w:val="14"/>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2.部门预算项目安排及支出情况。</w:t>
      </w:r>
    </w:p>
    <w:p w14:paraId="020A7180">
      <w:pPr>
        <w:pStyle w:val="14"/>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en-US" w:eastAsia="zh-CN" w:bidi="ar-SA"/>
        </w:rPr>
        <w:t>2024</w:t>
      </w:r>
      <w:r>
        <w:rPr>
          <w:rFonts w:hint="eastAsia" w:ascii="仿宋_GB2312" w:hAnsi="仿宋_GB2312" w:eastAsia="仿宋_GB2312" w:cs="仿宋_GB2312"/>
          <w:color w:val="000000"/>
          <w:kern w:val="0"/>
          <w:sz w:val="32"/>
          <w:szCs w:val="32"/>
          <w:shd w:val="clear" w:color="auto" w:fill="FFFFFF"/>
          <w:lang w:val="zh-CN" w:eastAsia="zh-CN" w:bidi="ar-SA"/>
        </w:rPr>
        <w:t>年年初部门预算安排项目支出为</w:t>
      </w:r>
      <w:r>
        <w:rPr>
          <w:rFonts w:hint="eastAsia" w:ascii="仿宋_GB2312" w:hAnsi="仿宋_GB2312" w:eastAsia="仿宋_GB2312" w:cs="仿宋_GB2312"/>
          <w:color w:val="000000"/>
          <w:kern w:val="0"/>
          <w:sz w:val="32"/>
          <w:szCs w:val="32"/>
          <w:shd w:val="clear" w:color="auto" w:fill="FFFFFF"/>
          <w:lang w:val="en-US" w:eastAsia="zh-CN" w:bidi="ar-SA"/>
        </w:rPr>
        <w:t>244.11</w:t>
      </w:r>
      <w:r>
        <w:rPr>
          <w:rFonts w:hint="eastAsia" w:ascii="仿宋_GB2312" w:hAnsi="仿宋_GB2312" w:eastAsia="仿宋_GB2312" w:cs="仿宋_GB2312"/>
          <w:color w:val="000000"/>
          <w:kern w:val="0"/>
          <w:sz w:val="32"/>
          <w:szCs w:val="32"/>
          <w:shd w:val="clear" w:color="auto" w:fill="FFFFFF"/>
          <w:lang w:val="zh-CN" w:eastAsia="zh-CN" w:bidi="ar-SA"/>
        </w:rPr>
        <w:t>万元；</w:t>
      </w:r>
      <w:r>
        <w:rPr>
          <w:rFonts w:hint="eastAsia" w:ascii="仿宋_GB2312" w:hAnsi="仿宋_GB2312" w:eastAsia="仿宋_GB2312" w:cs="仿宋_GB2312"/>
          <w:color w:val="000000"/>
          <w:kern w:val="0"/>
          <w:sz w:val="32"/>
          <w:szCs w:val="32"/>
          <w:shd w:val="clear" w:color="auto" w:fill="FFFFFF"/>
          <w:lang w:val="en-US" w:eastAsia="zh-CN" w:bidi="ar-SA"/>
        </w:rPr>
        <w:t>2024</w:t>
      </w:r>
      <w:r>
        <w:rPr>
          <w:rFonts w:hint="eastAsia" w:ascii="仿宋_GB2312" w:hAnsi="仿宋_GB2312" w:eastAsia="仿宋_GB2312" w:cs="仿宋_GB2312"/>
          <w:color w:val="000000"/>
          <w:kern w:val="0"/>
          <w:sz w:val="32"/>
          <w:szCs w:val="32"/>
          <w:shd w:val="clear" w:color="auto" w:fill="FFFFFF"/>
          <w:lang w:val="zh-CN" w:eastAsia="zh-CN" w:bidi="ar-SA"/>
        </w:rPr>
        <w:t>年追加预算指标后实际项目支出</w:t>
      </w:r>
      <w:r>
        <w:rPr>
          <w:rFonts w:hint="eastAsia" w:ascii="仿宋_GB2312" w:hAnsi="仿宋_GB2312" w:eastAsia="仿宋_GB2312" w:cs="仿宋_GB2312"/>
          <w:color w:val="000000"/>
          <w:kern w:val="0"/>
          <w:sz w:val="32"/>
          <w:szCs w:val="32"/>
          <w:shd w:val="clear" w:color="auto" w:fill="FFFFFF"/>
          <w:lang w:val="en-US" w:eastAsia="zh-CN" w:bidi="ar-SA"/>
        </w:rPr>
        <w:t>718.98</w:t>
      </w:r>
      <w:r>
        <w:rPr>
          <w:rFonts w:hint="eastAsia" w:ascii="仿宋_GB2312" w:hAnsi="仿宋_GB2312" w:eastAsia="仿宋_GB2312" w:cs="仿宋_GB2312"/>
          <w:color w:val="000000"/>
          <w:kern w:val="0"/>
          <w:sz w:val="32"/>
          <w:szCs w:val="32"/>
          <w:shd w:val="clear" w:color="auto" w:fill="FFFFFF"/>
          <w:lang w:val="zh-CN" w:eastAsia="zh-CN" w:bidi="ar-SA"/>
        </w:rPr>
        <w:t>万元。项目支出主要用于离退休老干部、特殊困难青少年走访慰问；专项培训业务的开展；关工委和老干部活动中心日常办公运转费用；选调生到村任职一次性补助、活动费；</w:t>
      </w:r>
      <w:r>
        <w:rPr>
          <w:rFonts w:hint="eastAsia" w:ascii="仿宋_GB2312" w:hAnsi="仿宋_GB2312" w:eastAsia="仿宋_GB2312" w:cs="仿宋_GB2312"/>
          <w:color w:val="000000"/>
          <w:kern w:val="0"/>
          <w:sz w:val="32"/>
          <w:szCs w:val="32"/>
          <w:shd w:val="clear" w:color="auto" w:fill="FFFFFF"/>
          <w:lang w:val="en-US" w:eastAsia="zh-CN" w:bidi="ar-SA"/>
        </w:rPr>
        <w:t>以前年度暂付款化解等。</w:t>
      </w:r>
    </w:p>
    <w:p w14:paraId="61E21EA8">
      <w:pPr>
        <w:spacing w:line="55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（三）结余分配和结转结余情况。</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年末无结转结余</w:t>
      </w:r>
      <w:r>
        <w:rPr>
          <w:rFonts w:hint="eastAsia" w:ascii="仿宋_GB2312" w:hAnsi="仿宋_GB2312" w:eastAsia="仿宋_GB2312" w:cs="仿宋_GB2312"/>
          <w:sz w:val="32"/>
          <w:szCs w:val="32"/>
        </w:rPr>
        <w:t>。</w:t>
      </w:r>
    </w:p>
    <w:p w14:paraId="281CABC0">
      <w:pPr>
        <w:spacing w:line="550" w:lineRule="exact"/>
        <w:ind w:firstLine="640" w:firstLineChars="200"/>
        <w:rPr>
          <w:rFonts w:hint="eastAsia" w:ascii="仿宋_GB2312" w:hAnsi="仿宋_GB2312" w:eastAsia="仿宋_GB2312" w:cs="仿宋_GB2312"/>
          <w:sz w:val="32"/>
          <w:szCs w:val="32"/>
        </w:rPr>
      </w:pPr>
      <w:bookmarkStart w:id="110" w:name="_Toc20028_WPSOffice_Level2"/>
      <w:r>
        <w:rPr>
          <w:rFonts w:hint="eastAsia" w:ascii="仿宋_GB2312" w:hAnsi="仿宋_GB2312" w:eastAsia="仿宋_GB2312" w:cs="仿宋_GB2312"/>
          <w:sz w:val="32"/>
          <w:szCs w:val="32"/>
        </w:rPr>
        <w:t>三、部门预算绩效分析</w:t>
      </w:r>
      <w:bookmarkEnd w:id="110"/>
    </w:p>
    <w:p w14:paraId="728885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（一）部门预算总体绩效分析。</w:t>
      </w:r>
      <w:r>
        <w:rPr>
          <w:rFonts w:hint="eastAsia" w:ascii="仿宋_GB2312" w:hAnsi="仿宋_GB2312" w:eastAsia="仿宋_GB2312" w:cs="仿宋_GB2312"/>
          <w:sz w:val="32"/>
          <w:szCs w:val="32"/>
        </w:rPr>
        <w:t>根据部门预算绩效评价指标体系“总体绩效”涉及二、三级指标进行逐项绩效分析并评分，依次包括履职效能、预算管理、财务管理、资产管理、采购管理等情况。</w:t>
      </w:r>
    </w:p>
    <w:p w14:paraId="185419DE">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履职效能分析（权重</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p>
    <w:p w14:paraId="0D29F451">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干部队伍管理：考核选拔程序合规率100%，干部轮训率100%；基层组织建设质量：两新党组织建党率年度增长≥4%，党员发展对象培训合格率≥95%；人才战略实施成效：引入高层次人才、专业领域专家20名，开展各类招才引智活动10余场；离退休老干部管理：老干部看望慰问率100%，发挥老干部先锋模范带头作用。综合自评得分13.5分。</w:t>
      </w:r>
    </w:p>
    <w:p w14:paraId="517A76BF">
      <w:pPr>
        <w:pStyle w:val="14"/>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预算管理分析（权重2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14:paraId="209A0F9D">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预算编制质量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预算编制：预算编制完整率100%，采用零基预算法，项目支出细化率100%，</w:t>
      </w:r>
      <w:r>
        <w:rPr>
          <w:rFonts w:hint="eastAsia" w:ascii="仿宋_GB2312" w:hAnsi="仿宋_GB2312" w:eastAsia="仿宋_GB2312" w:cs="仿宋_GB2312"/>
          <w:sz w:val="32"/>
          <w:szCs w:val="32"/>
        </w:rPr>
        <w:t>绩效目标覆盖率</w:t>
      </w:r>
      <w:r>
        <w:rPr>
          <w:rFonts w:hint="eastAsia" w:ascii="仿宋_GB2312" w:hAnsi="仿宋_GB2312" w:eastAsia="仿宋_GB2312" w:cs="仿宋_GB2312"/>
          <w:sz w:val="32"/>
          <w:szCs w:val="32"/>
          <w:lang w:val="en-US" w:eastAsia="zh-CN"/>
        </w:rPr>
        <w:t>100%；预决算公开：年度预决算公开率100%，合格率100%；支出进度：年度资金支出进度96.8%，年终结余率3.2%；</w:t>
      </w:r>
      <w:r>
        <w:rPr>
          <w:rFonts w:hint="eastAsia" w:hAnsi="仿宋_GB2312" w:eastAsia="仿宋_GB2312" w:cs="仿宋_GB2312"/>
          <w:sz w:val="32"/>
          <w:szCs w:val="32"/>
          <w:lang w:val="en-US" w:eastAsia="zh-CN"/>
        </w:rPr>
        <w:t>“三公”经费</w:t>
      </w:r>
      <w:r>
        <w:rPr>
          <w:rFonts w:hint="eastAsia" w:ascii="仿宋_GB2312" w:hAnsi="仿宋_GB2312" w:eastAsia="仿宋_GB2312" w:cs="仿宋_GB2312"/>
          <w:sz w:val="32"/>
          <w:szCs w:val="32"/>
          <w:lang w:val="en-US" w:eastAsia="zh-CN"/>
        </w:rPr>
        <w:t>变动情况：</w:t>
      </w:r>
      <w:r>
        <w:rPr>
          <w:rFonts w:hint="eastAsia" w:hAnsi="仿宋_GB2312" w:eastAsia="仿宋_GB2312" w:cs="仿宋_GB2312"/>
          <w:sz w:val="32"/>
          <w:szCs w:val="32"/>
          <w:lang w:val="en-US" w:eastAsia="zh-CN"/>
        </w:rPr>
        <w:t>“三公”经费</w:t>
      </w:r>
      <w:r>
        <w:rPr>
          <w:rFonts w:hint="eastAsia" w:ascii="仿宋_GB2312" w:hAnsi="仿宋_GB2312" w:eastAsia="仿宋_GB2312" w:cs="仿宋_GB2312"/>
          <w:sz w:val="32"/>
          <w:szCs w:val="32"/>
          <w:lang w:val="en-US" w:eastAsia="zh-CN"/>
        </w:rPr>
        <w:t>较上年下降14.2%；严控一般性支出：“三公”经费、会议、培训、差旅、办节办展、办公设备购置、信息网络及软件购置更新、课题经费等8项一般性支出执行数较上年减少7.05万元，减少8.7%；综合自评得分25分。</w:t>
      </w:r>
    </w:p>
    <w:p w14:paraId="5547E7E8">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财务管理分析（权重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w:t>
      </w:r>
    </w:p>
    <w:p w14:paraId="34956D58">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val="en-US" w:eastAsia="zh-CN"/>
        </w:rPr>
        <w:t>建设：建立“预算</w:t>
      </w:r>
      <w:r>
        <w:rPr>
          <w:rFonts w:hint="eastAsia"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核算</w:t>
      </w:r>
      <w:r>
        <w:rPr>
          <w:rFonts w:hint="eastAsia"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决算”全流程内控制度，确保</w:t>
      </w:r>
      <w:r>
        <w:rPr>
          <w:rFonts w:hint="eastAsia" w:ascii="仿宋_GB2312" w:hAnsi="仿宋_GB2312" w:eastAsia="仿宋_GB2312" w:cs="仿宋_GB2312"/>
          <w:sz w:val="32"/>
          <w:szCs w:val="32"/>
        </w:rPr>
        <w:t>制度覆盖资金审批、核算等关键环节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岗位设置：</w:t>
      </w:r>
      <w:r>
        <w:rPr>
          <w:rFonts w:hint="eastAsia" w:ascii="仿宋_GB2312" w:hAnsi="仿宋_GB2312" w:eastAsia="仿宋_GB2312" w:cs="仿宋_GB2312"/>
          <w:sz w:val="32"/>
          <w:szCs w:val="32"/>
          <w:lang w:eastAsia="zh-CN"/>
        </w:rPr>
        <w:t>部门合理设置财务工作岗位，明确职责权限，并严格实行不相容岗位分离；</w:t>
      </w:r>
      <w:r>
        <w:rPr>
          <w:rFonts w:hint="eastAsia" w:ascii="仿宋_GB2312" w:hAnsi="仿宋_GB2312" w:eastAsia="仿宋_GB2312" w:cs="仿宋_GB2312"/>
          <w:sz w:val="32"/>
          <w:szCs w:val="32"/>
          <w:lang w:val="en-US" w:eastAsia="zh-CN"/>
        </w:rPr>
        <w:t>资金使用规范：部门资金使用符合相关财务管理制度规定，全年无重大违规支出，审计检查问题整改率100%；综合自评得分9分。</w:t>
      </w:r>
    </w:p>
    <w:p w14:paraId="51514793">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资产管理分析（权重</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341B7F11">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完整性：新增资产全部录入系统。系统覆盖率100%，账实相符97.5%；</w:t>
      </w:r>
      <w:r>
        <w:rPr>
          <w:rFonts w:hint="eastAsia" w:ascii="仿宋_GB2312" w:hAnsi="仿宋_GB2312" w:eastAsia="仿宋_GB2312" w:cs="仿宋_GB2312"/>
          <w:sz w:val="32"/>
          <w:szCs w:val="32"/>
        </w:rPr>
        <w:t>资产盘活率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本年新增闲置资产待处置1件，价值267894元，无闲置一年以上固定资产。综合自评得分6分。</w:t>
      </w:r>
    </w:p>
    <w:p w14:paraId="48651305">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采购管理分析（权重</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592306FB">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采购执行率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采购计划完成率82.9%，</w:t>
      </w:r>
      <w:r>
        <w:rPr>
          <w:rFonts w:hint="eastAsia" w:ascii="仿宋_GB2312" w:hAnsi="仿宋_GB2312" w:eastAsia="仿宋_GB2312" w:cs="仿宋_GB2312"/>
          <w:sz w:val="32"/>
          <w:szCs w:val="32"/>
        </w:rPr>
        <w:t>对适宜由中小企业提供的采购项目和采购包，预留采购份额专门面向中小企业采购，并在采购预算中单独列示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综合自评得分6分。</w:t>
      </w:r>
    </w:p>
    <w:p w14:paraId="50877596">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w:t>
      </w:r>
      <w:r>
        <w:rPr>
          <w:rFonts w:hint="eastAsia" w:ascii="仿宋_GB2312" w:hAnsi="仿宋_GB2312" w:eastAsia="仿宋_GB2312" w:cs="仿宋_GB2312"/>
          <w:sz w:val="32"/>
          <w:szCs w:val="32"/>
        </w:rPr>
        <w:t>部门预算总体绩效</w:t>
      </w:r>
      <w:r>
        <w:rPr>
          <w:rFonts w:hint="eastAsia" w:ascii="仿宋_GB2312" w:hAnsi="仿宋_GB2312" w:eastAsia="仿宋_GB2312" w:cs="仿宋_GB2312"/>
          <w:sz w:val="32"/>
          <w:szCs w:val="32"/>
          <w:lang w:val="en-US" w:eastAsia="zh-CN"/>
        </w:rPr>
        <w:t>总分65分，自评得分59.5分。</w:t>
      </w:r>
    </w:p>
    <w:p w14:paraId="7FEA49DE">
      <w:pPr>
        <w:numPr>
          <w:ilvl w:val="0"/>
          <w:numId w:val="3"/>
        </w:numPr>
        <w:spacing w:line="55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部门预算项目绩效分析。</w:t>
      </w:r>
    </w:p>
    <w:p w14:paraId="17293337">
      <w:pPr>
        <w:numPr>
          <w:ilvl w:val="0"/>
          <w:numId w:val="0"/>
        </w:num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常年项目绩效分析。该类项目总数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个，涉及预算总金额</w:t>
      </w:r>
      <w:r>
        <w:rPr>
          <w:rFonts w:hint="eastAsia" w:ascii="仿宋_GB2312" w:hAnsi="仿宋_GB2312" w:eastAsia="仿宋_GB2312" w:cs="仿宋_GB2312"/>
          <w:sz w:val="32"/>
          <w:szCs w:val="32"/>
          <w:u w:val="single"/>
          <w:lang w:val="en-US" w:eastAsia="zh-CN"/>
        </w:rPr>
        <w:t>337.18</w:t>
      </w:r>
      <w:r>
        <w:rPr>
          <w:rFonts w:hint="eastAsia" w:ascii="仿宋_GB2312" w:hAnsi="仿宋_GB2312" w:eastAsia="仿宋_GB2312" w:cs="仿宋_GB2312"/>
          <w:sz w:val="32"/>
          <w:szCs w:val="32"/>
        </w:rPr>
        <w:t>万元，1—12月预算执行总体进度为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84.46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%，其中：预算结余率大于10%的项目共计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w:t>
      </w:r>
    </w:p>
    <w:p w14:paraId="1AE42CED">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阶段（含一次性）项目绩效分析。该类项目总数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个，涉及预算总金额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434.19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万元，1—12月预算执行总体进度为</w:t>
      </w:r>
      <w:r>
        <w:rPr>
          <w:rFonts w:hint="eastAsia" w:ascii="仿宋_GB2312" w:hAnsi="仿宋_GB2312" w:eastAsia="仿宋_GB2312" w:cs="仿宋_GB2312"/>
          <w:sz w:val="32"/>
          <w:szCs w:val="32"/>
          <w:u w:val="single"/>
          <w:lang w:val="en-US" w:eastAsia="zh-CN"/>
        </w:rPr>
        <w:t>100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%，其中：预算结余率大于10%的项目共计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w:t>
      </w:r>
    </w:p>
    <w:p w14:paraId="49767DDD">
      <w:pPr>
        <w:numPr>
          <w:ilvl w:val="0"/>
          <w:numId w:val="4"/>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项目决策分析</w:t>
      </w:r>
      <w:r>
        <w:rPr>
          <w:rFonts w:hint="eastAsia" w:ascii="仿宋_GB2312" w:hAnsi="仿宋_GB2312" w:eastAsia="仿宋_GB2312" w:cs="仿宋_GB2312"/>
          <w:sz w:val="32"/>
          <w:szCs w:val="32"/>
        </w:rPr>
        <w:t>（权重</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p>
    <w:p w14:paraId="41E730E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决策程序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eastAsia="zh-CN"/>
        </w:rPr>
        <w:t>“三重一大”</w:t>
      </w:r>
      <w:r>
        <w:rPr>
          <w:rFonts w:hint="eastAsia" w:ascii="仿宋_GB2312" w:hAnsi="仿宋_GB2312" w:eastAsia="仿宋_GB2312" w:cs="仿宋_GB2312"/>
          <w:sz w:val="32"/>
          <w:szCs w:val="32"/>
        </w:rPr>
        <w:t>决策机制，项目立项经党组会审议通过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符合财政预算编制规范；</w:t>
      </w:r>
      <w:r>
        <w:rPr>
          <w:rFonts w:hint="eastAsia" w:ascii="仿宋_GB2312" w:hAnsi="仿宋_GB2312" w:eastAsia="仿宋_GB2312" w:cs="仿宋_GB2312"/>
          <w:sz w:val="32"/>
          <w:szCs w:val="32"/>
        </w:rPr>
        <w:t>目标设置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科学设置绩效目标，</w:t>
      </w:r>
      <w:r>
        <w:rPr>
          <w:rFonts w:hint="eastAsia" w:ascii="仿宋_GB2312" w:hAnsi="仿宋_GB2312" w:eastAsia="仿宋_GB2312" w:cs="仿宋_GB2312"/>
          <w:sz w:val="32"/>
          <w:szCs w:val="32"/>
        </w:rPr>
        <w:t>设置量化指标占比</w:t>
      </w:r>
      <w:r>
        <w:rPr>
          <w:rFonts w:hint="eastAsia" w:ascii="仿宋_GB2312" w:hAnsi="仿宋_GB2312" w:eastAsia="仿宋_GB2312" w:cs="仿宋_GB2312"/>
          <w:sz w:val="32"/>
          <w:szCs w:val="32"/>
          <w:lang w:val="en-US" w:eastAsia="zh-CN"/>
        </w:rPr>
        <w:t>大于</w:t>
      </w:r>
      <w:r>
        <w:rPr>
          <w:rFonts w:hint="eastAsia" w:ascii="仿宋_GB2312" w:hAnsi="仿宋_GB2312" w:eastAsia="仿宋_GB2312" w:cs="仿宋_GB2312"/>
          <w:sz w:val="32"/>
          <w:szCs w:val="32"/>
        </w:rPr>
        <w:t>80%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项目入库质</w:t>
      </w:r>
      <w:r>
        <w:rPr>
          <w:rFonts w:hint="eastAsia" w:ascii="仿宋_GB2312" w:hAnsi="仿宋_GB2312" w:eastAsia="仿宋_GB2312" w:cs="仿宋_GB2312"/>
          <w:sz w:val="32"/>
          <w:szCs w:val="32"/>
          <w:lang w:val="en-US" w:eastAsia="zh-CN"/>
        </w:rPr>
        <w:t>量，</w:t>
      </w:r>
      <w:r>
        <w:rPr>
          <w:rFonts w:hint="eastAsia" w:ascii="仿宋_GB2312" w:hAnsi="仿宋_GB2312" w:eastAsia="仿宋_GB2312" w:cs="仿宋_GB2312"/>
          <w:sz w:val="32"/>
          <w:szCs w:val="32"/>
        </w:rPr>
        <w:t>入库项目合规率100%，</w:t>
      </w:r>
      <w:r>
        <w:rPr>
          <w:rFonts w:hint="eastAsia" w:ascii="仿宋_GB2312" w:hAnsi="仿宋_GB2312" w:eastAsia="仿宋_GB2312" w:cs="仿宋_GB2312"/>
          <w:sz w:val="32"/>
          <w:szCs w:val="32"/>
          <w:lang w:val="en-US" w:eastAsia="zh-CN"/>
        </w:rPr>
        <w:t>全部完成事前绩效评估。此项综合自评得分12分。</w:t>
      </w:r>
    </w:p>
    <w:p w14:paraId="748F624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项目执行分析（权重</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p>
    <w:p w14:paraId="5D7A548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资金执行同向性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项目资金</w:t>
      </w:r>
      <w:r>
        <w:rPr>
          <w:rFonts w:hint="eastAsia" w:ascii="仿宋_GB2312" w:hAnsi="仿宋_GB2312" w:eastAsia="仿宋_GB2312" w:cs="仿宋_GB2312"/>
          <w:sz w:val="32"/>
          <w:szCs w:val="32"/>
        </w:rPr>
        <w:t>预算执行率9</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%，但存在</w:t>
      </w:r>
      <w:r>
        <w:rPr>
          <w:rFonts w:hint="eastAsia" w:ascii="仿宋_GB2312" w:hAnsi="仿宋_GB2312" w:eastAsia="仿宋_GB2312" w:cs="仿宋_GB2312"/>
          <w:sz w:val="32"/>
          <w:szCs w:val="32"/>
          <w:lang w:val="en-US" w:eastAsia="zh-CN"/>
        </w:rPr>
        <w:t>部分项目</w:t>
      </w:r>
      <w:r>
        <w:rPr>
          <w:rFonts w:hint="eastAsia" w:ascii="仿宋_GB2312" w:hAnsi="仿宋_GB2312" w:eastAsia="仿宋_GB2312" w:cs="仿宋_GB2312"/>
          <w:sz w:val="32"/>
          <w:szCs w:val="32"/>
        </w:rPr>
        <w:t>资金用途微调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项目调整合规性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建立年中评估制度，调减或变更低效项目资金预算；</w:t>
      </w:r>
      <w:r>
        <w:rPr>
          <w:rFonts w:hint="eastAsia" w:ascii="仿宋_GB2312" w:hAnsi="仿宋_GB2312" w:eastAsia="仿宋_GB2312" w:cs="仿宋_GB2312"/>
          <w:sz w:val="32"/>
          <w:szCs w:val="32"/>
        </w:rPr>
        <w:t>执行结果</w:t>
      </w:r>
      <w:r>
        <w:rPr>
          <w:rFonts w:hint="eastAsia" w:ascii="仿宋_GB2312" w:hAnsi="仿宋_GB2312" w:eastAsia="仿宋_GB2312" w:cs="仿宋_GB2312"/>
          <w:sz w:val="32"/>
          <w:szCs w:val="32"/>
          <w:lang w:val="en-US" w:eastAsia="zh-CN"/>
        </w:rPr>
        <w:t>合规性：“三公”经费压减14%，但有1个项目存在支出进度滞后的问题；年末存在两个项目结余率超10%。此项综合自评得分10.97分。</w:t>
      </w:r>
    </w:p>
    <w:p w14:paraId="123A2B4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目标实现分析（权重</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p>
    <w:p w14:paraId="2B6CA38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目标完成度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11个</w:t>
      </w:r>
      <w:r>
        <w:rPr>
          <w:rFonts w:hint="eastAsia" w:ascii="仿宋_GB2312" w:hAnsi="仿宋_GB2312" w:eastAsia="仿宋_GB2312" w:cs="仿宋_GB2312"/>
          <w:sz w:val="32"/>
          <w:szCs w:val="32"/>
          <w:lang w:eastAsia="zh-CN"/>
        </w:rPr>
        <w:t>部门预算项目，</w:t>
      </w:r>
      <w:r>
        <w:rPr>
          <w:rFonts w:hint="eastAsia" w:ascii="仿宋_GB2312" w:hAnsi="仿宋_GB2312" w:eastAsia="仿宋_GB2312" w:cs="仿宋_GB2312"/>
          <w:sz w:val="32"/>
          <w:szCs w:val="32"/>
          <w:lang w:val="en-US" w:eastAsia="zh-CN"/>
        </w:rPr>
        <w:t>有10个完成绩效目标，1个</w:t>
      </w:r>
      <w:r>
        <w:rPr>
          <w:rFonts w:hint="eastAsia" w:ascii="仿宋_GB2312" w:hAnsi="仿宋_GB2312" w:eastAsia="仿宋_GB2312" w:cs="仿宋_GB2312"/>
          <w:sz w:val="32"/>
          <w:szCs w:val="32"/>
          <w:lang w:eastAsia="zh-CN"/>
        </w:rPr>
        <w:t>绩效目标</w:t>
      </w:r>
      <w:r>
        <w:rPr>
          <w:rFonts w:hint="eastAsia" w:ascii="仿宋_GB2312" w:hAnsi="仿宋_GB2312" w:eastAsia="仿宋_GB2312" w:cs="仿宋_GB2312"/>
          <w:sz w:val="32"/>
          <w:szCs w:val="32"/>
          <w:lang w:val="en-US" w:eastAsia="zh-CN"/>
        </w:rPr>
        <w:t>完成滞后；</w:t>
      </w:r>
      <w:r>
        <w:rPr>
          <w:rFonts w:hint="eastAsia" w:ascii="仿宋_GB2312" w:hAnsi="仿宋_GB2312" w:eastAsia="仿宋_GB2312" w:cs="仿宋_GB2312"/>
          <w:sz w:val="32"/>
          <w:szCs w:val="32"/>
        </w:rPr>
        <w:t>目标偏离控制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有1个项目存在进度偏差；</w:t>
      </w:r>
      <w:r>
        <w:rPr>
          <w:rFonts w:hint="eastAsia" w:ascii="仿宋_GB2312" w:hAnsi="仿宋_GB2312" w:eastAsia="仿宋_GB2312" w:cs="仿宋_GB2312"/>
          <w:sz w:val="32"/>
          <w:szCs w:val="32"/>
        </w:rPr>
        <w:t>实现效果持续性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11个</w:t>
      </w:r>
      <w:r>
        <w:rPr>
          <w:rFonts w:hint="eastAsia" w:ascii="仿宋_GB2312" w:hAnsi="仿宋_GB2312" w:eastAsia="仿宋_GB2312" w:cs="仿宋_GB2312"/>
          <w:sz w:val="32"/>
          <w:szCs w:val="32"/>
        </w:rPr>
        <w:t>部门预算项目</w:t>
      </w:r>
      <w:r>
        <w:rPr>
          <w:rFonts w:hint="eastAsia" w:ascii="仿宋_GB2312" w:hAnsi="仿宋_GB2312" w:eastAsia="仿宋_GB2312" w:cs="仿宋_GB2312"/>
          <w:sz w:val="32"/>
          <w:szCs w:val="32"/>
          <w:lang w:val="en-US" w:eastAsia="zh-CN"/>
        </w:rPr>
        <w:t>有10个达成</w:t>
      </w:r>
      <w:r>
        <w:rPr>
          <w:rFonts w:hint="eastAsia" w:ascii="仿宋_GB2312" w:hAnsi="仿宋_GB2312" w:eastAsia="仿宋_GB2312" w:cs="仿宋_GB2312"/>
          <w:sz w:val="32"/>
          <w:szCs w:val="32"/>
        </w:rPr>
        <w:t>绩效目标效益指标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此项综合自评得分10.37分。</w:t>
      </w:r>
    </w:p>
    <w:p w14:paraId="2C2A15AA">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县级部门对2024年度一般公共预算、政府性基金预算、国有资本经营预算安排的常年项目、阶段项目绩效目标完成情况，</w:t>
      </w:r>
    </w:p>
    <w:p w14:paraId="1686E61A">
      <w:pPr>
        <w:numPr>
          <w:ilvl w:val="0"/>
          <w:numId w:val="3"/>
        </w:numPr>
        <w:spacing w:line="550" w:lineRule="exact"/>
        <w:ind w:left="0" w:lef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绩效结果应用情况。</w:t>
      </w:r>
    </w:p>
    <w:p w14:paraId="375BDB97">
      <w:pPr>
        <w:numPr>
          <w:ilvl w:val="0"/>
          <w:numId w:val="0"/>
        </w:numPr>
        <w:spacing w:line="55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将自评结果与2025年预算编制直接挂钩，对完成率低、结余多的项目调减预算，建立绩效评价工作组，由单位主要负责人牵头整改，完善内控制度。</w:t>
      </w:r>
    </w:p>
    <w:p w14:paraId="1F6C74A0">
      <w:pPr>
        <w:pStyle w:val="14"/>
        <w:ind w:left="0" w:leftChars="0" w:firstLine="68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通过政府门户网站公开非涉密项目绩效自评报告及整改方案，接受社会监督。</w:t>
      </w:r>
    </w:p>
    <w:p w14:paraId="087BD9DC">
      <w:pPr>
        <w:ind w:firstLine="6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要求被评价项目相关股室限期提交整改报告，追踪落实整改情况。</w:t>
      </w:r>
    </w:p>
    <w:p w14:paraId="0F786ED2">
      <w:pPr>
        <w:spacing w:line="550" w:lineRule="exact"/>
        <w:ind w:firstLine="640" w:firstLineChars="200"/>
        <w:rPr>
          <w:rFonts w:hint="eastAsia" w:ascii="仿宋_GB2312" w:hAnsi="仿宋_GB2312" w:eastAsia="仿宋_GB2312" w:cs="仿宋_GB2312"/>
          <w:sz w:val="32"/>
          <w:szCs w:val="32"/>
        </w:rPr>
      </w:pPr>
      <w:bookmarkStart w:id="111" w:name="_Toc19348_WPSOffice_Level2"/>
      <w:r>
        <w:rPr>
          <w:rFonts w:hint="eastAsia" w:ascii="仿宋_GB2312" w:hAnsi="仿宋_GB2312" w:eastAsia="仿宋_GB2312" w:cs="仿宋_GB2312"/>
          <w:sz w:val="32"/>
          <w:szCs w:val="32"/>
        </w:rPr>
        <w:t>四、评价结论及建议</w:t>
      </w:r>
      <w:bookmarkEnd w:id="111"/>
    </w:p>
    <w:p w14:paraId="22C967B4">
      <w:pPr>
        <w:pStyle w:val="14"/>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（一）评价结论。</w:t>
      </w:r>
      <w:r>
        <w:rPr>
          <w:rFonts w:hint="eastAsia" w:ascii="仿宋_GB2312" w:hAnsi="仿宋_GB2312" w:eastAsia="仿宋_GB2312" w:cs="仿宋_GB2312"/>
          <w:sz w:val="32"/>
          <w:szCs w:val="32"/>
          <w:lang w:val="zh-CN"/>
        </w:rPr>
        <w:t>通过自评，</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zh-CN"/>
        </w:rPr>
        <w:t>年度县委组织部各项经费达到对应的绩效目标，完成了县委、县政府安排的各项工作任务，达到预期绩效目标，整体支出绩效结果良好。</w:t>
      </w:r>
      <w:r>
        <w:rPr>
          <w:rFonts w:hint="eastAsia" w:ascii="仿宋_GB2312" w:hAnsi="仿宋_GB2312" w:eastAsia="仿宋_GB2312" w:cs="仿宋_GB2312"/>
          <w:sz w:val="32"/>
          <w:szCs w:val="32"/>
          <w:lang w:val="en-US" w:eastAsia="zh-CN"/>
        </w:rPr>
        <w:t>部门自评得分91.84分（满分100分）。资金执行率达标项目占比81.8%。</w:t>
      </w:r>
    </w:p>
    <w:p w14:paraId="0142674D">
      <w:pPr>
        <w:spacing w:line="55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（二）存在问题。</w:t>
      </w:r>
    </w:p>
    <w:p w14:paraId="4C753AB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预算编制科学性不足，项目调整率较高</w:t>
      </w:r>
    </w:p>
    <w:p w14:paraId="535DAE94">
      <w:pPr>
        <w:pStyle w:val="14"/>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2.绩效跟踪机制不完善，</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rPr>
        <w:t>未能及时开展，部分资金未能</w:t>
      </w:r>
      <w:r>
        <w:rPr>
          <w:rFonts w:hint="eastAsia" w:ascii="仿宋_GB2312" w:hAnsi="仿宋_GB2312" w:eastAsia="仿宋_GB2312" w:cs="仿宋_GB2312"/>
          <w:sz w:val="32"/>
          <w:szCs w:val="32"/>
          <w:lang w:val="en-US" w:eastAsia="zh-CN"/>
        </w:rPr>
        <w:t>按计划完成支付</w:t>
      </w:r>
      <w:r>
        <w:rPr>
          <w:rFonts w:hint="eastAsia" w:ascii="仿宋_GB2312" w:hAnsi="仿宋_GB2312" w:eastAsia="仿宋_GB2312" w:cs="仿宋_GB2312"/>
          <w:sz w:val="32"/>
          <w:szCs w:val="32"/>
          <w:lang w:val="zh-CN"/>
        </w:rPr>
        <w:t>。</w:t>
      </w:r>
    </w:p>
    <w:p w14:paraId="2553B40C">
      <w:pPr>
        <w:pStyle w:val="14"/>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.预算支出绩效目标编制工作有待细化，合理性有待提高，预算执行力度还要进一步加强，同时执行过程的监督也</w:t>
      </w:r>
      <w:r>
        <w:rPr>
          <w:rFonts w:hint="eastAsia" w:hAnsi="仿宋_GB2312" w:eastAsia="仿宋_GB2312" w:cs="仿宋_GB2312"/>
          <w:sz w:val="32"/>
          <w:szCs w:val="32"/>
          <w:lang w:val="zh-CN"/>
        </w:rPr>
        <w:t>需要</w:t>
      </w:r>
      <w:r>
        <w:rPr>
          <w:rFonts w:hint="eastAsia" w:ascii="仿宋_GB2312" w:hAnsi="仿宋_GB2312" w:eastAsia="仿宋_GB2312" w:cs="仿宋_GB2312"/>
          <w:sz w:val="32"/>
          <w:szCs w:val="32"/>
          <w:lang w:val="zh-CN"/>
        </w:rPr>
        <w:t>加强。</w:t>
      </w:r>
    </w:p>
    <w:p w14:paraId="5F8545FE">
      <w:pPr>
        <w:spacing w:line="55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（三）改进建议。</w:t>
      </w:r>
      <w:r>
        <w:rPr>
          <w:rFonts w:hint="eastAsia" w:ascii="仿宋_GB2312" w:hAnsi="仿宋_GB2312" w:eastAsia="仿宋_GB2312" w:cs="仿宋_GB2312"/>
          <w:sz w:val="32"/>
          <w:szCs w:val="32"/>
        </w:rPr>
        <w:t>简要阐述</w:t>
      </w:r>
      <w:bookmarkStart w:id="112" w:name="_Hlk110546638"/>
      <w:r>
        <w:rPr>
          <w:rFonts w:hint="eastAsia" w:ascii="仿宋_GB2312" w:hAnsi="仿宋_GB2312" w:eastAsia="仿宋_GB2312" w:cs="仿宋_GB2312"/>
          <w:sz w:val="32"/>
          <w:szCs w:val="32"/>
        </w:rPr>
        <w:t>预算安排、完善政策、改进管理等方面的措施建议，其中必须</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评价发现的主要问题一一提出措施建议。</w:t>
      </w:r>
      <w:bookmarkEnd w:id="112"/>
    </w:p>
    <w:p w14:paraId="1482721E">
      <w:pPr>
        <w:pStyle w:val="14"/>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建立“预算编制-执行监控</w:t>
      </w:r>
      <w:r>
        <w:rPr>
          <w:rFonts w:hint="eastAsia"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评价应用”闭环，对连续两年低效项目取消预算。</w:t>
      </w:r>
    </w:p>
    <w:p w14:paraId="4BCB94C6">
      <w:pPr>
        <w:pStyle w:val="14"/>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 xml:space="preserve">遵循预算管理办法，从严控制年中追加预算规模。对于年度无法预计的临时追加的相关工作所需经费，严格按照预算调整追加程序，逐级申报报批，有效降低预算控制率。   </w:t>
      </w:r>
    </w:p>
    <w:p w14:paraId="34582A67">
      <w:pPr>
        <w:pStyle w:val="14"/>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加强资金使用过程的监管，就资金使用进度及时和</w:t>
      </w:r>
      <w:r>
        <w:rPr>
          <w:rFonts w:hint="eastAsia" w:ascii="仿宋_GB2312" w:hAnsi="仿宋_GB2312" w:eastAsia="仿宋_GB2312" w:cs="仿宋_GB2312"/>
          <w:sz w:val="32"/>
          <w:szCs w:val="32"/>
          <w:lang w:val="en-US" w:eastAsia="zh-CN"/>
        </w:rPr>
        <w:t>业务股室和</w:t>
      </w:r>
      <w:r>
        <w:rPr>
          <w:rFonts w:hint="eastAsia" w:ascii="仿宋_GB2312" w:hAnsi="仿宋_GB2312" w:eastAsia="仿宋_GB2312" w:cs="仿宋_GB2312"/>
          <w:sz w:val="32"/>
          <w:szCs w:val="32"/>
          <w:lang w:val="zh-CN"/>
        </w:rPr>
        <w:t>财</w:t>
      </w:r>
      <w:r>
        <w:rPr>
          <w:rFonts w:hint="eastAsia" w:hAnsi="仿宋_GB2312" w:eastAsia="仿宋_GB2312" w:cs="仿宋_GB2312"/>
          <w:sz w:val="32"/>
          <w:szCs w:val="32"/>
          <w:lang w:val="zh-CN"/>
        </w:rPr>
        <w:t>政部</w:t>
      </w:r>
      <w:r>
        <w:rPr>
          <w:rFonts w:hint="eastAsia" w:ascii="仿宋_GB2312" w:hAnsi="仿宋_GB2312" w:eastAsia="仿宋_GB2312" w:cs="仿宋_GB2312"/>
          <w:sz w:val="32"/>
          <w:szCs w:val="32"/>
          <w:lang w:val="zh-CN"/>
        </w:rPr>
        <w:t>沟通，将监控结果运用到项目执行过程中，及时调整项目、调整资金。</w:t>
      </w:r>
    </w:p>
    <w:p w14:paraId="5922A0EA">
      <w:pPr>
        <w:spacing w:line="550" w:lineRule="exact"/>
        <w:rPr>
          <w:rFonts w:hint="eastAsia" w:ascii="仿宋_GB2312" w:hAnsi="仿宋_GB2312" w:eastAsia="仿宋_GB2312" w:cs="仿宋_GB2312"/>
          <w:sz w:val="32"/>
          <w:szCs w:val="32"/>
        </w:rPr>
      </w:pPr>
    </w:p>
    <w:p w14:paraId="2D229BC2">
      <w:pPr>
        <w:pStyle w:val="14"/>
        <w:spacing w:line="560" w:lineRule="exact"/>
        <w:ind w:left="0" w:leftChars="0" w:firstLine="640"/>
        <w:rPr>
          <w:rFonts w:ascii="Times New Roman" w:eastAsia="仿宋_GB2312"/>
          <w:sz w:val="32"/>
          <w:lang w:val="zh-CN" w:bidi="ar"/>
        </w:rPr>
      </w:pPr>
    </w:p>
    <w:p w14:paraId="7ECCF210">
      <w:pPr>
        <w:pStyle w:val="14"/>
        <w:spacing w:line="560" w:lineRule="exact"/>
        <w:ind w:left="0" w:leftChars="0" w:firstLine="640"/>
        <w:rPr>
          <w:rFonts w:ascii="Times New Roman"/>
          <w:sz w:val="32"/>
          <w:highlight w:val="yellow"/>
          <w:lang w:val="zh-CN"/>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62A32D87">
      <w:pPr>
        <w:pStyle w:val="2"/>
        <w:spacing w:before="93"/>
        <w:rPr>
          <w:rFonts w:ascii="Times New Roman" w:cs="宋体"/>
          <w:sz w:val="32"/>
          <w:szCs w:val="32"/>
          <w:highlight w:val="yellow"/>
          <w:shd w:val="clear" w:color="auto" w:fill="FFFFFF"/>
          <w:lang w:val="zh-CN"/>
        </w:rPr>
      </w:pPr>
    </w:p>
    <w:p w14:paraId="5A57A9A4">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225C099A">
      <w:pPr>
        <w:pStyle w:val="2"/>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760CEEC1">
      <w:pPr>
        <w:pStyle w:val="36"/>
        <w:spacing w:line="578" w:lineRule="exact"/>
        <w:jc w:val="center"/>
        <w:rPr>
          <w:rFonts w:ascii="Times New Roman" w:hAnsi="Times New Roman" w:eastAsia="方正小标宋简体" w:cs="方正小标宋简体"/>
          <w:color w:val="auto"/>
          <w:kern w:val="2"/>
          <w:sz w:val="44"/>
          <w:szCs w:val="44"/>
          <w:lang w:val="en-US"/>
        </w:rPr>
      </w:pPr>
    </w:p>
    <w:p w14:paraId="56E4BA50">
      <w:pPr>
        <w:pStyle w:val="36"/>
        <w:spacing w:line="578" w:lineRule="exact"/>
        <w:jc w:val="center"/>
        <w:rPr>
          <w:rFonts w:ascii="Times New Roman" w:hAnsi="Times New Roman" w:eastAsia="方正小标宋简体" w:cs="方正小标宋简体"/>
          <w:color w:val="auto"/>
          <w:kern w:val="2"/>
          <w:sz w:val="44"/>
          <w:szCs w:val="44"/>
          <w:lang w:val="en-US"/>
        </w:rPr>
      </w:pPr>
      <w:bookmarkStart w:id="113" w:name="_Toc29973_WPSOffice_Level2"/>
      <w:r>
        <w:rPr>
          <w:rFonts w:hint="eastAsia" w:ascii="Times New Roman" w:hAnsi="Times New Roman" w:eastAsia="方正小标宋简体" w:cs="方正小标宋简体"/>
          <w:color w:val="auto"/>
          <w:kern w:val="2"/>
          <w:sz w:val="44"/>
          <w:szCs w:val="44"/>
          <w:lang w:val="en-US"/>
        </w:rPr>
        <w:t>专项预算项目绩效评价报告范本</w:t>
      </w:r>
      <w:bookmarkEnd w:id="113"/>
    </w:p>
    <w:p w14:paraId="29FBC027">
      <w:pPr>
        <w:pStyle w:val="36"/>
        <w:spacing w:line="578" w:lineRule="exact"/>
        <w:ind w:firstLine="640"/>
        <w:jc w:val="center"/>
        <w:rPr>
          <w:rFonts w:ascii="仿宋_GB2312" w:hAnsi="仿宋_GB2312" w:eastAsia="仿宋_GB2312" w:cs="仿宋_GB2312"/>
          <w:color w:val="auto"/>
          <w:kern w:val="2"/>
          <w:sz w:val="32"/>
          <w:szCs w:val="32"/>
        </w:rPr>
      </w:pPr>
    </w:p>
    <w:p w14:paraId="74C60C77">
      <w:pPr>
        <w:spacing w:line="578" w:lineRule="exact"/>
        <w:ind w:firstLine="64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（我单位无专项预算项目绩效评价报告）</w:t>
      </w:r>
    </w:p>
    <w:p w14:paraId="2D7D2318">
      <w:pPr>
        <w:spacing w:line="578" w:lineRule="exact"/>
        <w:ind w:firstLine="640"/>
        <w:rPr>
          <w:rFonts w:eastAsia="仿宋_GB2312" w:cs="仿宋_GB2312"/>
          <w:kern w:val="0"/>
          <w:sz w:val="32"/>
          <w:szCs w:val="32"/>
        </w:rPr>
      </w:pPr>
    </w:p>
    <w:p w14:paraId="69674AB8">
      <w:pPr>
        <w:spacing w:line="578" w:lineRule="exact"/>
        <w:ind w:firstLine="640"/>
        <w:rPr>
          <w:rFonts w:eastAsia="仿宋_GB2312" w:cs="仿宋_GB2312"/>
          <w:kern w:val="0"/>
          <w:sz w:val="32"/>
          <w:szCs w:val="32"/>
        </w:rPr>
      </w:pPr>
      <w:bookmarkStart w:id="114" w:name="_Toc15396618"/>
      <w:r>
        <w:rPr>
          <w:rFonts w:hint="eastAsia" w:eastAsia="仿宋_GB2312" w:cs="仿宋_GB2312"/>
          <w:kern w:val="0"/>
          <w:sz w:val="32"/>
          <w:szCs w:val="32"/>
        </w:rPr>
        <w:br w:type="page"/>
      </w:r>
    </w:p>
    <w:p w14:paraId="52A81561">
      <w:pPr>
        <w:widowControl/>
        <w:jc w:val="center"/>
        <w:rPr>
          <w:rFonts w:eastAsia="仿宋"/>
        </w:rPr>
      </w:pPr>
      <w:bookmarkStart w:id="115" w:name="_Toc7095_WPSOffice_Level1"/>
      <w:r>
        <w:rPr>
          <w:rFonts w:hint="eastAsia" w:eastAsia="黑体"/>
          <w:sz w:val="44"/>
          <w:szCs w:val="44"/>
        </w:rPr>
        <w:t>第</w:t>
      </w:r>
      <w:r>
        <w:rPr>
          <w:rStyle w:val="30"/>
          <w:rFonts w:hint="eastAsia" w:eastAsia="黑体"/>
          <w:b w:val="0"/>
        </w:rPr>
        <w:t>五部分 附表</w:t>
      </w:r>
      <w:bookmarkEnd w:id="98"/>
      <w:bookmarkEnd w:id="114"/>
      <w:bookmarkEnd w:id="115"/>
      <w:bookmarkStart w:id="116" w:name="_Toc15396619"/>
    </w:p>
    <w:p w14:paraId="3BFCCEFC">
      <w:pPr>
        <w:pStyle w:val="15"/>
        <w:adjustRightInd w:val="0"/>
        <w:snapToGrid w:val="0"/>
        <w:spacing w:line="560" w:lineRule="exact"/>
        <w:jc w:val="left"/>
        <w:rPr>
          <w:rFonts w:eastAsia="仿宋_GB2312" w:cs="仿宋_GB2312"/>
          <w:sz w:val="32"/>
          <w:szCs w:val="32"/>
        </w:rPr>
      </w:pPr>
    </w:p>
    <w:p w14:paraId="45E196FA">
      <w:pPr>
        <w:pStyle w:val="15"/>
        <w:adjustRightInd w:val="0"/>
        <w:snapToGrid w:val="0"/>
        <w:spacing w:line="560" w:lineRule="exact"/>
        <w:jc w:val="left"/>
        <w:rPr>
          <w:rFonts w:eastAsia="仿宋_GB2312" w:cs="仿宋_GB2312"/>
          <w:sz w:val="32"/>
          <w:szCs w:val="32"/>
        </w:rPr>
      </w:pPr>
      <w:bookmarkStart w:id="117" w:name="_Toc4001_WPSOffice_Level2"/>
      <w:r>
        <w:rPr>
          <w:rFonts w:hint="eastAsia" w:eastAsia="仿宋_GB2312" w:cs="仿宋_GB2312"/>
          <w:sz w:val="32"/>
          <w:szCs w:val="32"/>
        </w:rPr>
        <w:t>一、收入支出决算总表</w:t>
      </w:r>
      <w:bookmarkEnd w:id="116"/>
      <w:bookmarkEnd w:id="117"/>
    </w:p>
    <w:p w14:paraId="0D50649C">
      <w:pPr>
        <w:pStyle w:val="15"/>
        <w:adjustRightInd w:val="0"/>
        <w:snapToGrid w:val="0"/>
        <w:spacing w:line="560" w:lineRule="exact"/>
        <w:jc w:val="left"/>
        <w:rPr>
          <w:rFonts w:eastAsia="仿宋_GB2312" w:cs="仿宋_GB2312"/>
          <w:sz w:val="32"/>
          <w:szCs w:val="32"/>
        </w:rPr>
      </w:pPr>
      <w:bookmarkStart w:id="118" w:name="_Toc15396620"/>
      <w:bookmarkStart w:id="119" w:name="_Toc18372_WPSOffice_Level2"/>
      <w:r>
        <w:rPr>
          <w:rFonts w:hint="eastAsia" w:eastAsia="仿宋_GB2312" w:cs="仿宋_GB2312"/>
          <w:sz w:val="32"/>
          <w:szCs w:val="32"/>
        </w:rPr>
        <w:t>二、收入决算表</w:t>
      </w:r>
      <w:bookmarkEnd w:id="118"/>
      <w:bookmarkEnd w:id="119"/>
    </w:p>
    <w:p w14:paraId="736DCBE7">
      <w:pPr>
        <w:pStyle w:val="15"/>
        <w:adjustRightInd w:val="0"/>
        <w:snapToGrid w:val="0"/>
        <w:spacing w:line="560" w:lineRule="exact"/>
        <w:jc w:val="left"/>
        <w:rPr>
          <w:rFonts w:eastAsia="仿宋_GB2312" w:cs="仿宋_GB2312"/>
          <w:sz w:val="32"/>
          <w:szCs w:val="32"/>
        </w:rPr>
      </w:pPr>
      <w:bookmarkStart w:id="120" w:name="_Toc24893_WPSOffice_Level2"/>
      <w:bookmarkStart w:id="121" w:name="_Toc15396621"/>
      <w:r>
        <w:rPr>
          <w:rFonts w:hint="eastAsia" w:eastAsia="仿宋_GB2312" w:cs="仿宋_GB2312"/>
          <w:sz w:val="32"/>
          <w:szCs w:val="32"/>
        </w:rPr>
        <w:t>三、支出决算表</w:t>
      </w:r>
      <w:bookmarkEnd w:id="120"/>
      <w:bookmarkEnd w:id="121"/>
    </w:p>
    <w:p w14:paraId="39C4521B">
      <w:pPr>
        <w:pStyle w:val="15"/>
        <w:adjustRightInd w:val="0"/>
        <w:snapToGrid w:val="0"/>
        <w:spacing w:line="560" w:lineRule="exact"/>
        <w:jc w:val="left"/>
        <w:rPr>
          <w:rFonts w:eastAsia="仿宋_GB2312" w:cs="仿宋_GB2312"/>
          <w:sz w:val="32"/>
          <w:szCs w:val="32"/>
        </w:rPr>
      </w:pPr>
      <w:bookmarkStart w:id="122" w:name="_Toc922_WPSOffice_Level2"/>
      <w:bookmarkStart w:id="123" w:name="_Toc15396622"/>
      <w:r>
        <w:rPr>
          <w:rFonts w:hint="eastAsia" w:eastAsia="仿宋_GB2312" w:cs="仿宋_GB2312"/>
          <w:sz w:val="32"/>
          <w:szCs w:val="32"/>
        </w:rPr>
        <w:t>四、财政拨款收入支出决算总表</w:t>
      </w:r>
      <w:bookmarkEnd w:id="122"/>
      <w:bookmarkEnd w:id="123"/>
    </w:p>
    <w:p w14:paraId="68F48B18">
      <w:pPr>
        <w:pStyle w:val="15"/>
        <w:adjustRightInd w:val="0"/>
        <w:snapToGrid w:val="0"/>
        <w:spacing w:line="560" w:lineRule="exact"/>
        <w:jc w:val="left"/>
        <w:rPr>
          <w:rFonts w:eastAsia="仿宋_GB2312" w:cs="仿宋_GB2312"/>
          <w:sz w:val="32"/>
          <w:szCs w:val="32"/>
        </w:rPr>
      </w:pPr>
      <w:bookmarkStart w:id="124" w:name="_Toc29401_WPSOffice_Level2"/>
      <w:bookmarkStart w:id="125" w:name="_Toc15396623"/>
      <w:r>
        <w:rPr>
          <w:rFonts w:hint="eastAsia" w:eastAsia="仿宋_GB2312" w:cs="仿宋_GB2312"/>
          <w:sz w:val="32"/>
          <w:szCs w:val="32"/>
        </w:rPr>
        <w:t>五、财政拨款支出决算明细表</w:t>
      </w:r>
      <w:bookmarkEnd w:id="124"/>
      <w:bookmarkEnd w:id="125"/>
      <w:bookmarkStart w:id="126" w:name="_Toc15396624"/>
    </w:p>
    <w:p w14:paraId="314FCB02">
      <w:pPr>
        <w:pStyle w:val="15"/>
        <w:adjustRightInd w:val="0"/>
        <w:snapToGrid w:val="0"/>
        <w:spacing w:line="560" w:lineRule="exact"/>
        <w:jc w:val="left"/>
        <w:rPr>
          <w:rFonts w:eastAsia="仿宋_GB2312" w:cs="仿宋_GB2312"/>
          <w:sz w:val="32"/>
          <w:szCs w:val="32"/>
        </w:rPr>
      </w:pPr>
      <w:bookmarkStart w:id="127" w:name="_Toc31244_WPSOffice_Level2"/>
      <w:r>
        <w:rPr>
          <w:rFonts w:hint="eastAsia" w:eastAsia="仿宋_GB2312" w:cs="仿宋_GB2312"/>
          <w:sz w:val="32"/>
          <w:szCs w:val="32"/>
        </w:rPr>
        <w:t>六、一般公共预算财政拨款支出决算表</w:t>
      </w:r>
      <w:bookmarkEnd w:id="126"/>
      <w:bookmarkEnd w:id="127"/>
    </w:p>
    <w:p w14:paraId="02969EE1">
      <w:pPr>
        <w:pStyle w:val="15"/>
        <w:adjustRightInd w:val="0"/>
        <w:snapToGrid w:val="0"/>
        <w:spacing w:line="560" w:lineRule="exact"/>
        <w:jc w:val="left"/>
        <w:rPr>
          <w:rFonts w:eastAsia="仿宋_GB2312" w:cs="仿宋_GB2312"/>
          <w:sz w:val="32"/>
          <w:szCs w:val="32"/>
        </w:rPr>
      </w:pPr>
      <w:bookmarkStart w:id="128" w:name="_Toc7633_WPSOffice_Level2"/>
      <w:bookmarkStart w:id="129" w:name="_Toc15396625"/>
      <w:r>
        <w:rPr>
          <w:rFonts w:hint="eastAsia" w:eastAsia="仿宋_GB2312" w:cs="仿宋_GB2312"/>
          <w:sz w:val="32"/>
          <w:szCs w:val="32"/>
        </w:rPr>
        <w:t>七、一般公共预算财政拨款支出决算明细表</w:t>
      </w:r>
      <w:bookmarkEnd w:id="128"/>
      <w:bookmarkEnd w:id="129"/>
    </w:p>
    <w:p w14:paraId="43DC6EB2">
      <w:pPr>
        <w:pStyle w:val="15"/>
        <w:adjustRightInd w:val="0"/>
        <w:snapToGrid w:val="0"/>
        <w:spacing w:line="560" w:lineRule="exact"/>
        <w:jc w:val="left"/>
        <w:rPr>
          <w:rFonts w:eastAsia="仿宋_GB2312" w:cs="仿宋_GB2312"/>
          <w:sz w:val="32"/>
          <w:szCs w:val="32"/>
        </w:rPr>
      </w:pPr>
      <w:bookmarkStart w:id="130" w:name="_Toc15396626"/>
      <w:bookmarkStart w:id="131" w:name="_Toc7636_WPSOffice_Level2"/>
      <w:r>
        <w:rPr>
          <w:rFonts w:hint="eastAsia" w:eastAsia="仿宋_GB2312" w:cs="仿宋_GB2312"/>
          <w:sz w:val="32"/>
          <w:szCs w:val="32"/>
        </w:rPr>
        <w:t>八、一般公共预算财政拨款基本支出决算表</w:t>
      </w:r>
      <w:bookmarkEnd w:id="130"/>
      <w:bookmarkEnd w:id="131"/>
    </w:p>
    <w:p w14:paraId="50932327">
      <w:pPr>
        <w:pStyle w:val="15"/>
        <w:adjustRightInd w:val="0"/>
        <w:snapToGrid w:val="0"/>
        <w:spacing w:line="560" w:lineRule="exact"/>
        <w:jc w:val="left"/>
        <w:rPr>
          <w:rFonts w:eastAsia="仿宋_GB2312" w:cs="仿宋_GB2312"/>
          <w:sz w:val="32"/>
          <w:szCs w:val="32"/>
        </w:rPr>
      </w:pPr>
      <w:bookmarkStart w:id="132" w:name="_Toc15396627"/>
      <w:bookmarkStart w:id="133" w:name="_Toc21893_WPSOffice_Level2"/>
      <w:r>
        <w:rPr>
          <w:rFonts w:hint="eastAsia" w:eastAsia="仿宋_GB2312" w:cs="仿宋_GB2312"/>
          <w:sz w:val="32"/>
          <w:szCs w:val="32"/>
        </w:rPr>
        <w:t>九、一般公共预算财政拨款项目支出决算表</w:t>
      </w:r>
      <w:bookmarkEnd w:id="132"/>
      <w:bookmarkEnd w:id="133"/>
    </w:p>
    <w:p w14:paraId="3D79A618">
      <w:pPr>
        <w:pStyle w:val="15"/>
        <w:adjustRightInd w:val="0"/>
        <w:snapToGrid w:val="0"/>
        <w:spacing w:line="560" w:lineRule="exact"/>
        <w:jc w:val="left"/>
        <w:rPr>
          <w:rFonts w:eastAsia="仿宋_GB2312" w:cs="仿宋_GB2312"/>
          <w:sz w:val="32"/>
          <w:szCs w:val="32"/>
        </w:rPr>
      </w:pPr>
      <w:bookmarkStart w:id="134" w:name="_Toc15396628"/>
      <w:bookmarkStart w:id="135" w:name="_Toc23097_WPSOffice_Level2"/>
      <w:r>
        <w:rPr>
          <w:rFonts w:hint="eastAsia" w:eastAsia="仿宋_GB2312" w:cs="仿宋_GB2312"/>
          <w:sz w:val="32"/>
          <w:szCs w:val="32"/>
        </w:rPr>
        <w:t>十、</w:t>
      </w:r>
      <w:bookmarkEnd w:id="134"/>
      <w:r>
        <w:rPr>
          <w:rFonts w:hint="eastAsia" w:eastAsia="仿宋_GB2312" w:cs="仿宋_GB2312"/>
          <w:sz w:val="32"/>
          <w:szCs w:val="32"/>
        </w:rPr>
        <w:t>政府性基金预算财政拨款收入支出决算表</w:t>
      </w:r>
      <w:bookmarkEnd w:id="135"/>
    </w:p>
    <w:p w14:paraId="4F65F566">
      <w:pPr>
        <w:pStyle w:val="15"/>
        <w:adjustRightInd w:val="0"/>
        <w:snapToGrid w:val="0"/>
        <w:spacing w:line="560" w:lineRule="exact"/>
        <w:jc w:val="left"/>
        <w:rPr>
          <w:rFonts w:eastAsia="仿宋_GB2312" w:cs="仿宋_GB2312"/>
          <w:sz w:val="32"/>
          <w:szCs w:val="32"/>
        </w:rPr>
      </w:pPr>
      <w:bookmarkStart w:id="136" w:name="_Toc15396629"/>
      <w:bookmarkStart w:id="137" w:name="_Toc4085_WPSOffice_Level2"/>
      <w:r>
        <w:rPr>
          <w:rFonts w:hint="eastAsia" w:eastAsia="仿宋_GB2312" w:cs="仿宋_GB2312"/>
          <w:sz w:val="32"/>
          <w:szCs w:val="32"/>
        </w:rPr>
        <w:t>十一、</w:t>
      </w:r>
      <w:bookmarkEnd w:id="136"/>
      <w:r>
        <w:rPr>
          <w:rFonts w:hint="eastAsia" w:eastAsia="仿宋_GB2312" w:cs="仿宋_GB2312"/>
          <w:sz w:val="32"/>
          <w:szCs w:val="32"/>
        </w:rPr>
        <w:t>国有资本经营预算财政拨款收入支出决算表</w:t>
      </w:r>
      <w:bookmarkEnd w:id="137"/>
    </w:p>
    <w:p w14:paraId="44E0B1E7">
      <w:pPr>
        <w:pStyle w:val="15"/>
        <w:adjustRightInd w:val="0"/>
        <w:snapToGrid w:val="0"/>
        <w:spacing w:line="560" w:lineRule="exact"/>
        <w:jc w:val="left"/>
        <w:rPr>
          <w:rFonts w:eastAsia="仿宋_GB2312" w:cs="仿宋_GB2312"/>
          <w:sz w:val="32"/>
          <w:szCs w:val="32"/>
        </w:rPr>
      </w:pPr>
      <w:bookmarkStart w:id="138" w:name="_Toc15396630"/>
      <w:bookmarkStart w:id="139" w:name="_Toc3498_WPSOffice_Level2"/>
      <w:r>
        <w:rPr>
          <w:rFonts w:hint="eastAsia" w:eastAsia="仿宋_GB2312" w:cs="仿宋_GB2312"/>
          <w:sz w:val="32"/>
          <w:szCs w:val="32"/>
        </w:rPr>
        <w:t>十二、</w:t>
      </w:r>
      <w:bookmarkEnd w:id="138"/>
      <w:r>
        <w:rPr>
          <w:rFonts w:hint="eastAsia" w:eastAsia="仿宋_GB2312" w:cs="仿宋_GB2312"/>
          <w:sz w:val="32"/>
          <w:szCs w:val="32"/>
        </w:rPr>
        <w:t>国有资本经营预算财政拨款支出决算表</w:t>
      </w:r>
      <w:bookmarkEnd w:id="139"/>
    </w:p>
    <w:p w14:paraId="593A4E84">
      <w:pPr>
        <w:pStyle w:val="15"/>
        <w:adjustRightInd w:val="0"/>
        <w:snapToGrid w:val="0"/>
        <w:spacing w:line="560" w:lineRule="exact"/>
        <w:jc w:val="left"/>
        <w:rPr>
          <w:rFonts w:eastAsia="仿宋_GB2312" w:cs="仿宋_GB2312"/>
          <w:sz w:val="32"/>
          <w:szCs w:val="32"/>
        </w:rPr>
      </w:pPr>
      <w:bookmarkStart w:id="140" w:name="_Toc15396631"/>
      <w:bookmarkStart w:id="141" w:name="_Toc14466_WPSOffice_Level2"/>
      <w:r>
        <w:rPr>
          <w:rFonts w:hint="eastAsia" w:eastAsia="仿宋_GB2312" w:cs="仿宋_GB2312"/>
          <w:sz w:val="32"/>
          <w:szCs w:val="32"/>
        </w:rPr>
        <w:t>十三、</w:t>
      </w:r>
      <w:bookmarkEnd w:id="140"/>
      <w:r>
        <w:rPr>
          <w:rFonts w:hint="eastAsia" w:eastAsia="仿宋_GB2312" w:cs="仿宋_GB2312"/>
          <w:sz w:val="32"/>
          <w:szCs w:val="32"/>
        </w:rPr>
        <w:t>财政拨款“三公”经费支出决算表</w:t>
      </w:r>
      <w:bookmarkEnd w:id="141"/>
    </w:p>
    <w:p w14:paraId="2E249EF3"/>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401C2">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F0634">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47F0634">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28E645E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A32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5C321">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95C321">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0AD9E">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BB37F">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ABB37F">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097AD7B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F7CB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F982B">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ADF982B">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F5DC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FE8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670FD"/>
    <w:multiLevelType w:val="singleLevel"/>
    <w:tmpl w:val="847670FD"/>
    <w:lvl w:ilvl="0" w:tentative="0">
      <w:start w:val="2"/>
      <w:numFmt w:val="decimal"/>
      <w:lvlText w:val="%1."/>
      <w:lvlJc w:val="left"/>
      <w:pPr>
        <w:tabs>
          <w:tab w:val="left" w:pos="312"/>
        </w:tabs>
      </w:pPr>
    </w:lvl>
  </w:abstractNum>
  <w:abstractNum w:abstractNumId="1">
    <w:nsid w:val="9A5225A1"/>
    <w:multiLevelType w:val="singleLevel"/>
    <w:tmpl w:val="9A5225A1"/>
    <w:lvl w:ilvl="0" w:tentative="0">
      <w:start w:val="2"/>
      <w:numFmt w:val="chineseCounting"/>
      <w:suff w:val="nothing"/>
      <w:lvlText w:val="（%1）"/>
      <w:lvlJc w:val="left"/>
      <w:rPr>
        <w:rFonts w:hint="eastAsia"/>
      </w:rPr>
    </w:lvl>
  </w:abstractNum>
  <w:abstractNum w:abstractNumId="2">
    <w:nsid w:val="9B50D3F9"/>
    <w:multiLevelType w:val="singleLevel"/>
    <w:tmpl w:val="9B50D3F9"/>
    <w:lvl w:ilvl="0" w:tentative="0">
      <w:start w:val="1"/>
      <w:numFmt w:val="chineseCounting"/>
      <w:suff w:val="nothing"/>
      <w:lvlText w:val="%1、"/>
      <w:lvlJc w:val="left"/>
      <w:rPr>
        <w:rFonts w:hint="eastAsia"/>
      </w:rPr>
    </w:lvl>
  </w:abstractNum>
  <w:abstractNum w:abstractNumId="3">
    <w:nsid w:val="D0105C13"/>
    <w:multiLevelType w:val="singleLevel"/>
    <w:tmpl w:val="D0105C13"/>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CF3745"/>
    <w:rsid w:val="061E35DE"/>
    <w:rsid w:val="066E0107"/>
    <w:rsid w:val="07996F6E"/>
    <w:rsid w:val="07DFD8BA"/>
    <w:rsid w:val="097C5F75"/>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DBD2FE4"/>
    <w:rsid w:val="1E312DEB"/>
    <w:rsid w:val="1E740ACF"/>
    <w:rsid w:val="1F1D3013"/>
    <w:rsid w:val="1FF35744"/>
    <w:rsid w:val="1FF6BC77"/>
    <w:rsid w:val="210D7308"/>
    <w:rsid w:val="2186353C"/>
    <w:rsid w:val="23860B96"/>
    <w:rsid w:val="240371BF"/>
    <w:rsid w:val="244F3473"/>
    <w:rsid w:val="24C97D99"/>
    <w:rsid w:val="25A718F0"/>
    <w:rsid w:val="25BB59F6"/>
    <w:rsid w:val="25F87F2D"/>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C82EFE"/>
    <w:rsid w:val="43CC351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552D92"/>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075E29"/>
    <w:rsid w:val="73160E6D"/>
    <w:rsid w:val="7332FE48"/>
    <w:rsid w:val="73AB61DA"/>
    <w:rsid w:val="73AD73D5"/>
    <w:rsid w:val="73B6EB34"/>
    <w:rsid w:val="73FA497D"/>
    <w:rsid w:val="744731E5"/>
    <w:rsid w:val="74BBD01D"/>
    <w:rsid w:val="74ED5379"/>
    <w:rsid w:val="75DEEEC2"/>
    <w:rsid w:val="75E32345"/>
    <w:rsid w:val="76426482"/>
    <w:rsid w:val="76E3355F"/>
    <w:rsid w:val="76FD38C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link w:val="18"/>
    <w:semiHidden/>
    <w:unhideWhenUsed/>
    <w:qFormat/>
    <w:uiPriority w:val="1"/>
    <w:rPr>
      <w:rFonts w:ascii="Verdana" w:hAnsi="Verdana" w:eastAsia="仿宋_GB2312" w:cs="Verdana"/>
      <w:kern w:val="0"/>
      <w:sz w:val="24"/>
      <w:szCs w:val="24"/>
      <w:lang w:eastAsia="en-US"/>
    </w:rPr>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Salutation"/>
    <w:basedOn w:val="1"/>
    <w:next w:val="1"/>
    <w:qFormat/>
    <w:uiPriority w:val="0"/>
  </w:style>
  <w:style w:type="paragraph" w:styleId="7">
    <w:name w:val="Body Text Indent"/>
    <w:basedOn w:val="1"/>
    <w:next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next w:val="1"/>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paragraph" w:customStyle="1" w:styleId="18">
    <w:name w:val="_Style 4"/>
    <w:basedOn w:val="1"/>
    <w:link w:val="17"/>
    <w:qFormat/>
    <w:uiPriority w:val="99"/>
    <w:pPr>
      <w:widowControl/>
      <w:spacing w:after="160" w:line="240" w:lineRule="exact"/>
      <w:jc w:val="left"/>
    </w:pPr>
    <w:rPr>
      <w:rFonts w:ascii="Verdana" w:hAnsi="Verdana" w:eastAsia="仿宋_GB2312" w:cs="Verdana"/>
      <w:kern w:val="0"/>
      <w:sz w:val="24"/>
      <w:szCs w:val="24"/>
      <w:lang w:eastAsia="en-US"/>
    </w:rPr>
  </w:style>
  <w:style w:type="character" w:styleId="19">
    <w:name w:val="Strong"/>
    <w:basedOn w:val="17"/>
    <w:qFormat/>
    <w:uiPriority w:val="99"/>
    <w:rPr>
      <w:b/>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图1   收入、支出决算总计变动情况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[2021决算公开图表.xls]Sheet1!$A$58</c:f>
              <c:strCache>
                <c:ptCount val="1"/>
                <c:pt idx="0">
                  <c:v>收入、支出总计</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[2021决算公开图表.xls]Sheet1!$B$58:$C$58</c:f>
              <c:numCache>
                <c:formatCode>General</c:formatCode>
                <c:ptCount val="2"/>
                <c:pt idx="0">
                  <c:v>2024</c:v>
                </c:pt>
                <c:pt idx="1">
                  <c:v>2023</c:v>
                </c:pt>
              </c:numCache>
            </c:numRef>
          </c:cat>
          <c:val>
            <c:numRef>
              <c:f>[2021决算公开图表.xls]Sheet1!$B$59:$C$59</c:f>
              <c:numCache>
                <c:formatCode>General</c:formatCode>
                <c:ptCount val="2"/>
                <c:pt idx="0">
                  <c:v>1597.03</c:v>
                </c:pt>
                <c:pt idx="1" c:formatCode="0.00_ ">
                  <c:v>1321</c:v>
                </c:pt>
              </c:numCache>
            </c:numRef>
          </c:val>
        </c:ser>
        <c:dLbls>
          <c:showLegendKey val="0"/>
          <c:showVal val="0"/>
          <c:showCatName val="0"/>
          <c:showSerName val="0"/>
          <c:showPercent val="0"/>
          <c:showBubbleSize val="0"/>
        </c:dLbls>
        <c:gapWidth val="150"/>
        <c:overlap val="0"/>
        <c:axId val="219303661"/>
        <c:axId val="504734757"/>
      </c:barChart>
      <c:catAx>
        <c:axId val="219303661"/>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504734757"/>
        <c:crosses val="autoZero"/>
        <c:auto val="1"/>
        <c:lblAlgn val="ctr"/>
        <c:lblOffset val="100"/>
        <c:noMultiLvlLbl val="0"/>
      </c:catAx>
      <c:valAx>
        <c:axId val="504734757"/>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219303661"/>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83475"/>
          <c:y val="0.462"/>
          <c:w val="0.147236792652933"/>
          <c:h val="0.143472025747437"/>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4575e020-252b-4818-b52d-4707ab8cfca7}"/>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图2    收入决算结构图</a:t>
            </a:r>
            <a:endParaRPr sz="16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Pt>
            <c:idx val="4"/>
            <c:bubble3D val="0"/>
            <c:explosion val="0"/>
            <c:spPr>
              <a:solidFill>
                <a:srgbClr val="660066"/>
              </a:solidFill>
              <a:ln w="12700">
                <a:solidFill>
                  <a:srgbClr val="000000">
                    <a:alpha val="100000"/>
                  </a:srgbClr>
                </a:solidFill>
                <a:prstDash val="solid"/>
              </a:ln>
              <a:effectLst/>
            </c:spPr>
          </c:dPt>
          <c:dPt>
            <c:idx val="5"/>
            <c:bubble3D val="0"/>
            <c:explosion val="0"/>
            <c:spPr>
              <a:solidFill>
                <a:srgbClr val="FF8080"/>
              </a:solidFill>
              <a:ln w="12700">
                <a:solidFill>
                  <a:srgbClr val="000000">
                    <a:alpha val="100000"/>
                  </a:srgbClr>
                </a:solidFill>
                <a:prstDash val="solid"/>
              </a:ln>
              <a:effectLst/>
            </c:spPr>
          </c:dPt>
          <c:dLbls>
            <c:dLbl>
              <c:idx val="0"/>
              <c:layout>
                <c:manualLayout>
                  <c:x val="-0.239293919531704"/>
                  <c:y val="-0.166505429362887"/>
                </c:manualLayout>
              </c:layout>
              <c:tx>
                <c:rich>
                  <a:bodyPr rot="0" spcFirstLastPara="0" vertOverflow="ellipsis" vert="horz" wrap="square" lIns="38100" tIns="19050" rIns="38100" bIns="19050" anchor="ctr" anchorCtr="1"/>
                  <a:lstStyle/>
                  <a:p>
                    <a:pPr algn="ctr" defTabSz="914400">
                      <a:defRPr lang="zh-CN" sz="1000" b="0" i="0" u="none" strike="noStrike" kern="1200" baseline="0">
                        <a:solidFill>
                          <a:srgbClr val="000000">
                            <a:alpha val="100000"/>
                          </a:srgbClr>
                        </a:solidFill>
                        <a:latin typeface="+mn-lt"/>
                        <a:ea typeface="+mn-ea"/>
                        <a:cs typeface="+mn-cs"/>
                      </a:defRPr>
                    </a:pPr>
                    <a:r>
                      <a:rPr altLang="en-US" sz="1200" b="0" i="0" u="none" strike="noStrike" baseline="0">
                        <a:solidFill>
                          <a:srgbClr val="000000"/>
                        </a:solidFill>
                        <a:latin typeface="宋体" panose="02010600030101010101" charset="-122"/>
                        <a:ea typeface="宋体" panose="02010600030101010101" charset="-122"/>
                        <a:cs typeface="宋体" panose="02010600030101010101" charset="-122"/>
                      </a:rPr>
                      <a:t>一般公共预算财政拨款收入</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1306.26</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100</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alpha val="100000"/>
                        </a:srgb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lgn="ctr" defTabSz="914400">
                      <a:defRPr lang="zh-CN" sz="1000" b="0" i="0" u="none" strike="noStrike" kern="1200" baseline="0">
                        <a:solidFill>
                          <a:srgbClr val="000000">
                            <a:alpha val="100000"/>
                          </a:srgbClr>
                        </a:solidFill>
                        <a:latin typeface="+mn-lt"/>
                        <a:ea typeface="+mn-ea"/>
                        <a:cs typeface="+mn-cs"/>
                      </a:defRPr>
                    </a:pPr>
                    <a:r>
                      <a:rPr sz="1200" b="0" i="0" u="none" strike="noStrike" baseline="0">
                        <a:solidFill>
                          <a:srgbClr val="FF0000"/>
                        </a:solidFill>
                        <a:latin typeface="宋体" panose="02010600030101010101" charset="-122"/>
                        <a:ea typeface="宋体" panose="02010600030101010101" charset="-122"/>
                        <a:cs typeface="宋体" panose="02010600030101010101" charset="-122"/>
                      </a:rPr>
                      <a:t>27.08, </a:t>
                    </a:r>
                    <a:r>
                      <a:rPr lang="en-US" altLang="zh-CN" sz="1200" b="0" i="0" u="none" strike="noStrike" baseline="0">
                        <a:solidFill>
                          <a:srgbClr val="333333"/>
                        </a:solidFill>
                        <a:latin typeface="Arial" panose="020B0604020202020204" pitchFamily="2" charset="0"/>
                        <a:ea typeface="Arial" panose="020B0604020202020204" pitchFamily="2" charset="0"/>
                        <a:cs typeface="Arial" panose="020B0604020202020204" pitchFamily="2" charset="0"/>
                      </a:rPr>
                      <a:t>2.5</a:t>
                    </a:r>
                    <a:r>
                      <a:rPr sz="1200" b="0" i="0" u="none" strike="noStrike" baseline="0">
                        <a:solidFill>
                          <a:srgbClr val="FF0000"/>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alpha val="100000"/>
                        </a:srgb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extLst>
            </c:dLbl>
            <c:dLbl>
              <c:idx val="2"/>
              <c:layout>
                <c:manualLayout>
                  <c:x val="0.128553511705686"/>
                  <c:y val="0.19389829777791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国有资本经营预算财政拨款收入0, 0%</a:t>
                    </a:r>
                  </a:p>
                </c:rich>
              </c:tx>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0.137959866220736"/>
                  <c:y val="0.48804137039431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事业收入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p>
                </c:rich>
              </c:tx>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194397993311037"/>
                  <c:y val="0.2197802197802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附属单位上缴收入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p>
                </c:rich>
              </c:tx>
              <c:dLblPos val="bestFit"/>
              <c:showLegendKey val="1"/>
              <c:showVal val="1"/>
              <c:showCatName val="0"/>
              <c:showSerName val="0"/>
              <c:showPercent val="1"/>
              <c:showBubbleSize val="0"/>
              <c:extLst>
                <c:ext xmlns:c15="http://schemas.microsoft.com/office/drawing/2012/chart" uri="{CE6537A1-D6FC-4f65-9D91-7224C49458BB}">
                  <c15:layout>
                    <c:manualLayout>
                      <c:w val="0.201959866220736"/>
                      <c:h val="0.227321697909933"/>
                    </c:manualLayout>
                  </c15:layout>
                </c:ext>
              </c:extLst>
            </c:dLbl>
            <c:dLbl>
              <c:idx val="5"/>
              <c:layout>
                <c:manualLayout>
                  <c:x val="-0.237066183888095"/>
                  <c:y val="0.35226962852375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其他收入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p>
                </c:rich>
              </c:tx>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[2021决算公开图表.xls]Sheet1!$C$3:$C$8</c:f>
              <c:numCache>
                <c:formatCode>General</c:formatCode>
                <c:ptCount val="6"/>
                <c:pt idx="0">
                  <c:v>1306.26</c:v>
                </c:pt>
                <c:pt idx="2">
                  <c:v>0</c:v>
                </c:pt>
                <c:pt idx="3">
                  <c:v>0</c:v>
                </c:pt>
                <c:pt idx="4">
                  <c:v>0</c:v>
                </c:pt>
                <c:pt idx="5">
                  <c:v>0</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Pt>
            <c:idx val="4"/>
            <c:bubble3D val="0"/>
            <c:explosion val="0"/>
            <c:spPr>
              <a:solidFill>
                <a:srgbClr val="660066"/>
              </a:solidFill>
              <a:ln w="12700">
                <a:solidFill>
                  <a:srgbClr val="000000"/>
                </a:solidFill>
                <a:prstDash val="solid"/>
              </a:ln>
              <a:effectLst/>
            </c:spPr>
          </c:dPt>
          <c:dPt>
            <c:idx val="5"/>
            <c:bubble3D val="0"/>
            <c:explosion val="0"/>
            <c:spPr>
              <a:solidFill>
                <a:srgbClr val="FF8080"/>
              </a:solidFill>
              <a:ln w="12700">
                <a:solidFill>
                  <a:srgbClr val="000000"/>
                </a:solidFill>
                <a:prstDash val="solid"/>
              </a:ln>
              <a:effectLst/>
            </c:spPr>
          </c:dPt>
          <c:dLbls>
            <c:delete val="1"/>
          </c:dLbls>
          <c:cat>
            <c:strRef>
              <c:f>[2021决算公开图表.xls]Sheet1!$B$3:$B$8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[2021决算公开图表.xls]Sheet1!$D$3:$D$8</c:f>
              <c:numCache>
                <c:formatCode>0.00%</c:formatCode>
                <c:ptCount val="6"/>
                <c:pt idx="0">
                  <c:v>1</c:v>
                </c:pt>
                <c:pt idx="2" c:formatCode="0%">
                  <c:v>0</c:v>
                </c:pt>
                <c:pt idx="3" c:formatCode="0%">
                  <c:v>0</c:v>
                </c:pt>
                <c:pt idx="4" c:formatCode="0%">
                  <c:v>0</c:v>
                </c:pt>
                <c:pt idx="5"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91241638795987"/>
          <c:y val="0.153630683042448"/>
          <c:w val="0.332357859531773"/>
          <c:h val="0.730661495367378"/>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70ff00b-7d36-454f-93c1-bfc5f95e6555}"/>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图3    支出决算结构图</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Pt>
            <c:idx val="4"/>
            <c:bubble3D val="0"/>
            <c:explosion val="0"/>
            <c:spPr>
              <a:solidFill>
                <a:srgbClr val="660066"/>
              </a:solidFill>
              <a:ln w="12700">
                <a:solidFill>
                  <a:srgbClr val="000000">
                    <a:alpha val="100000"/>
                  </a:srgbClr>
                </a:solidFill>
                <a:prstDash val="solid"/>
              </a:ln>
              <a:effectLst/>
            </c:spPr>
          </c:dPt>
          <c:dLbls>
            <c:dLbl>
              <c:idx val="0"/>
              <c:layout>
                <c:manualLayout>
                  <c:x val="-0.119259541016863"/>
                  <c:y val="-0.029254223041751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基本支出, 878.05,</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54.98%</a:t>
                    </a: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191062727272727"/>
                      <c:h val="0.305826294130388"/>
                    </c:manualLayout>
                  </c15:layout>
                </c:ext>
              </c:extLst>
            </c:dLbl>
            <c:dLbl>
              <c:idx val="2"/>
              <c:layout>
                <c:manualLayout>
                  <c:x val="-0.278333308324179"/>
                  <c:y val="0.574473502962693"/>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179289495372131"/>
                  <c:y val="0.081424082832958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153077057182706"/>
                  <c:y val="0.202677592882143"/>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[2021决算公开图表.xls]Sheet1!$C$34:$C$38</c:f>
              <c:numCache>
                <c:formatCode>General</c:formatCode>
                <c:ptCount val="5"/>
                <c:pt idx="0">
                  <c:v>878.05</c:v>
                </c:pt>
                <c:pt idx="1">
                  <c:v>718.98</c:v>
                </c:pt>
                <c:pt idx="2">
                  <c:v>0</c:v>
                </c:pt>
                <c:pt idx="3">
                  <c:v>0</c:v>
                </c:pt>
                <c:pt idx="4">
                  <c:v>0</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Pt>
            <c:idx val="4"/>
            <c:bubble3D val="0"/>
            <c:explosion val="0"/>
            <c:spPr>
              <a:solidFill>
                <a:srgbClr val="660066"/>
              </a:solidFill>
              <a:ln w="12700">
                <a:solidFill>
                  <a:srgbClr val="000000"/>
                </a:solidFill>
                <a:prstDash val="solid"/>
              </a:ln>
              <a:effectLst/>
            </c:spPr>
          </c:dPt>
          <c:dLbls>
            <c:delete val="1"/>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[2021决算公开图表.xls]Sheet1!$D$34:$D$38</c:f>
              <c:numCache>
                <c:formatCode>0.00%</c:formatCode>
                <c:ptCount val="5"/>
                <c:pt idx="0">
                  <c:v>0.5498</c:v>
                </c:pt>
                <c:pt idx="1">
                  <c:v>0.4502</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78476741383466"/>
          <c:y val="0.118511713367019"/>
          <c:w val="0.204507110147023"/>
          <c:h val="0.703950390445567"/>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e672976c-65bf-4bf1-a271-1d7c076bf496}"/>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图4    财政拨款收、支总计决算变动情况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[2021决算公开图表.xls]Sheet1!$B$167:$C$167</c:f>
              <c:strCache>
                <c:ptCount val="2"/>
                <c:pt idx="0">
                  <c:v>2024年</c:v>
                </c:pt>
                <c:pt idx="1">
                  <c:v>2023年</c:v>
                </c:pt>
              </c:strCache>
            </c:strRef>
          </c:cat>
          <c:val>
            <c:numRef>
              <c:f>[2021决算公开图表.xls]Sheet1!$B$168:$C$168</c:f>
              <c:numCache>
                <c:formatCode>General</c:formatCode>
                <c:ptCount val="2"/>
                <c:pt idx="0">
                  <c:v>1597.03</c:v>
                </c:pt>
                <c:pt idx="1" c:formatCode="0.00_ ">
                  <c:v>1321</c:v>
                </c:pt>
              </c:numCache>
            </c:numRef>
          </c:val>
        </c:ser>
        <c:dLbls>
          <c:showLegendKey val="0"/>
          <c:showVal val="0"/>
          <c:showCatName val="0"/>
          <c:showSerName val="0"/>
          <c:showPercent val="0"/>
          <c:showBubbleSize val="0"/>
        </c:dLbls>
        <c:gapWidth val="150"/>
        <c:overlap val="0"/>
        <c:axId val="183867754"/>
        <c:axId val="413359409"/>
      </c:barChart>
      <c:catAx>
        <c:axId val="183867754"/>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413359409"/>
        <c:crosses val="autoZero"/>
        <c:auto val="1"/>
        <c:lblAlgn val="ctr"/>
        <c:lblOffset val="100"/>
        <c:noMultiLvlLbl val="0"/>
      </c:catAx>
      <c:valAx>
        <c:axId val="413359409"/>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18386775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945"/>
          <c:y val="0.49275"/>
          <c:w val="0.197636949516649"/>
          <c:h val="0.209221239502044"/>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74e76657-9a05-45eb-bc6e-d476e80fabd4}"/>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图5      一般公共预算财政拨款支出决算变动情况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[2021决算公开图表.xls]Sheet1!$B$84:$C$84</c:f>
              <c:strCache>
                <c:ptCount val="2"/>
                <c:pt idx="0">
                  <c:v>2024年</c:v>
                </c:pt>
                <c:pt idx="1">
                  <c:v>2023年</c:v>
                </c:pt>
              </c:strCache>
            </c:strRef>
          </c:cat>
          <c:val>
            <c:numRef>
              <c:f>[2021决算公开图表.xls]Sheet1!$B$85:$C$85</c:f>
              <c:numCache>
                <c:formatCode>General</c:formatCode>
                <c:ptCount val="2"/>
                <c:pt idx="0">
                  <c:v>1597.03</c:v>
                </c:pt>
                <c:pt idx="1" c:formatCode="0.00_ ">
                  <c:v>1321</c:v>
                </c:pt>
              </c:numCache>
            </c:numRef>
          </c:val>
        </c:ser>
        <c:dLbls>
          <c:showLegendKey val="0"/>
          <c:showVal val="0"/>
          <c:showCatName val="0"/>
          <c:showSerName val="0"/>
          <c:showPercent val="0"/>
          <c:showBubbleSize val="0"/>
        </c:dLbls>
        <c:gapWidth val="150"/>
        <c:overlap val="0"/>
        <c:axId val="374418063"/>
        <c:axId val="163797671"/>
      </c:barChart>
      <c:catAx>
        <c:axId val="374418063"/>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163797671"/>
        <c:crosses val="autoZero"/>
        <c:auto val="1"/>
        <c:lblAlgn val="ctr"/>
        <c:lblOffset val="100"/>
        <c:noMultiLvlLbl val="0"/>
      </c:catAx>
      <c:valAx>
        <c:axId val="163797671"/>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374418063"/>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830782210437508"/>
          <c:y val="0.391752577319588"/>
          <c:w val="0.165240448354827"/>
          <c:h val="0.381864085840522"/>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f5ed13ed-252e-4db8-b9da-c7fd0e006406}"/>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图6    一般公共预算财政拨款支出决算结构</a:t>
            </a:r>
            <a:endParaRPr sz="142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925479618915"/>
          <c:y val="0.0179802217560683"/>
        </c:manualLayout>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Lbls>
            <c:dLbl>
              <c:idx val="1"/>
              <c:layout>
                <c:manualLayout>
                  <c:x val="-0.0101732886863605"/>
                  <c:y val="0.308303465300505"/>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205801104972376"/>
                  <c:y val="0.0179802217560683"/>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162983425414365"/>
                  <c:y val="0.0532306483186371"/>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25"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[2021决算公开图表.xls]Sheet1!$A$110:$A$113</c:f>
              <c:strCache>
                <c:ptCount val="4"/>
                <c:pt idx="0">
                  <c:v>一般公共服务支出</c:v>
                </c:pt>
                <c:pt idx="1">
                  <c:v>社会保障和就业支出</c:v>
                </c:pt>
                <c:pt idx="2">
                  <c:v>住房保障支出</c:v>
                </c:pt>
                <c:pt idx="3">
                  <c:v>卫生健康支出</c:v>
                </c:pt>
              </c:strCache>
            </c:strRef>
          </c:cat>
          <c:val>
            <c:numRef>
              <c:f>[2021决算公开图表.xls]Sheet1!$B$110:$B$113</c:f>
              <c:numCache>
                <c:formatCode>General</c:formatCode>
                <c:ptCount val="4"/>
                <c:pt idx="0">
                  <c:v>1320.13</c:v>
                </c:pt>
                <c:pt idx="1">
                  <c:v>153.32</c:v>
                </c:pt>
                <c:pt idx="2">
                  <c:v>64.8</c:v>
                </c:pt>
                <c:pt idx="3">
                  <c:v>58.77</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Lbls>
            <c:delete val="1"/>
          </c:dLbls>
          <c:cat>
            <c:strRef>
              <c:f>[2021决算公开图表.xls]Sheet1!$A$110:$A$113</c:f>
              <c:strCache>
                <c:ptCount val="4"/>
                <c:pt idx="0">
                  <c:v>一般公共服务支出</c:v>
                </c:pt>
                <c:pt idx="1">
                  <c:v>社会保障和就业支出</c:v>
                </c:pt>
                <c:pt idx="2">
                  <c:v>住房保障支出</c:v>
                </c:pt>
                <c:pt idx="3">
                  <c:v>卫生健康支出</c:v>
                </c:pt>
              </c:strCache>
            </c:strRef>
          </c:cat>
          <c:val>
            <c:numRef>
              <c:f>[2021决算公开图表.xls]Sheet1!$C$110:$C$113</c:f>
              <c:numCache>
                <c:formatCode>0.00%</c:formatCode>
                <c:ptCount val="4"/>
                <c:pt idx="0">
                  <c:v>0.8266</c:v>
                </c:pt>
                <c:pt idx="1">
                  <c:v>0.096</c:v>
                </c:pt>
                <c:pt idx="2">
                  <c:v>0.0406</c:v>
                </c:pt>
                <c:pt idx="3">
                  <c:v>0.0368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569482945643"/>
          <c:y val="0.211451855028951"/>
          <c:w val="0.237555743039653"/>
          <c:h val="0.607977696761741"/>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255d5459-d015-4aa9-839e-12f70659d3e9}"/>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Arial" panose="020B0604020202020204" pitchFamily="2" charset="0"/>
                <a:ea typeface="Arial" panose="020B0604020202020204" pitchFamily="2" charset="0"/>
                <a:cs typeface="Arial" panose="020B0604020202020204" pitchFamily="2" charset="0"/>
              </a:rPr>
              <a:t>7</a:t>
            </a:r>
            <a:r>
              <a:rPr sz="1400" b="0" i="0" u="none" strike="noStrike" baseline="0">
                <a:solidFill>
                  <a:srgbClr val="000000"/>
                </a:solidFill>
                <a:latin typeface="宋体" panose="02010600030101010101" charset="-122"/>
                <a:ea typeface="宋体" panose="02010600030101010101" charset="-122"/>
                <a:cs typeface="宋体" panose="02010600030101010101" charset="-122"/>
              </a:rPr>
              <a:t>  “三公”经费财政拨款支出结构</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89846982383686"/>
          <c:y val="0.038781163434903"/>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Lbls>
            <c:dLbl>
              <c:idx val="0"/>
              <c:layout>
                <c:manualLayout>
                  <c:x val="-0.227665706051873"/>
                  <c:y val="0.282548476454294"/>
                </c:manualLayout>
              </c:layout>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31688820480667"/>
                  <c:y val="-0.285026794929251"/>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公务用车购置及运行维护费支出, 1.77, 9</a:t>
                    </a:r>
                    <a:r>
                      <a:rPr lang="en-US" altLang="zh-CN"/>
                      <a:t>3.65</a:t>
                    </a:r>
                    <a:r>
                      <a:t>%</a:t>
                    </a:r>
                  </a:p>
                </c:rich>
              </c:tx>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136401582257155"/>
                  <c:y val="0.01724764005993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公务接待费支出, 0.12, 6</a:t>
                    </a:r>
                    <a:r>
                      <a:rPr lang="en-US" altLang="zh-CN"/>
                      <a:t>.35</a:t>
                    </a:r>
                    <a:r>
                      <a:t>%</a:t>
                    </a:r>
                  </a:p>
                </c:rich>
              </c:tx>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[2021决算公开图表.xls]Sheet1!$B$136:$B$138</c:f>
              <c:strCache>
                <c:ptCount val="3"/>
                <c:pt idx="0">
                  <c:v>因公出国（境）费支出</c:v>
                </c:pt>
                <c:pt idx="1">
                  <c:v>公务用车购置及运行维护费支出</c:v>
                </c:pt>
                <c:pt idx="2">
                  <c:v>公务接待费支出</c:v>
                </c:pt>
              </c:strCache>
            </c:strRef>
          </c:cat>
          <c:val>
            <c:numRef>
              <c:f>[2021决算公开图表.xls]Sheet1!$C$136:$C$138</c:f>
              <c:numCache>
                <c:formatCode>General</c:formatCode>
                <c:ptCount val="3"/>
                <c:pt idx="0">
                  <c:v>0</c:v>
                </c:pt>
                <c:pt idx="1">
                  <c:v>1.77</c:v>
                </c:pt>
                <c:pt idx="2">
                  <c:v>0.12</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Lbls>
            <c:delete val="1"/>
          </c:dLbls>
          <c:cat>
            <c:strRef>
              <c:f>[2021决算公开图表.xls]Sheet1!$B$136:$B$138</c:f>
              <c:strCache>
                <c:ptCount val="3"/>
                <c:pt idx="0">
                  <c:v>因公出国（境）费支出</c:v>
                </c:pt>
                <c:pt idx="1">
                  <c:v>公务用车购置及运行维护费支出</c:v>
                </c:pt>
                <c:pt idx="2">
                  <c:v>公务接待费支出</c:v>
                </c:pt>
              </c:strCache>
            </c:strRef>
          </c:cat>
          <c:val>
            <c:numRef>
              <c:f>[2021决算公开图表.xls]Sheet1!$D$136:$D$138</c:f>
              <c:numCache>
                <c:formatCode>General</c:formatCode>
                <c:ptCount val="3"/>
                <c:pt idx="0">
                  <c:v>0</c:v>
                </c:pt>
                <c:pt idx="1" c:formatCode="0.00%">
                  <c:v>0.9365</c:v>
                </c:pt>
                <c:pt idx="2" c:formatCode="0.00%">
                  <c:v>0.0635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5538146317946"/>
          <c:y val="0.220806302131603"/>
          <c:w val="0.33626612028444"/>
          <c:h val="0.636005560704356"/>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5ac03c04-0b53-4f6a-adee-328d4849c68f}"/>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86b51d-a90a-456a-a275-7b30c40ed90f}"/>
        <w:style w:val=""/>
        <w:category>
          <w:name w:val="常规"/>
          <w:gallery w:val="placeholder"/>
        </w:category>
        <w:types>
          <w:type w:val="bbPlcHdr"/>
        </w:types>
        <w:behaviors>
          <w:behavior w:val="content"/>
        </w:behaviors>
        <w:description w:val=""/>
        <w:guid w:val="{d586b51d-a90a-456a-a275-7b30c40ed90f}"/>
      </w:docPartPr>
      <w:docPartBody>
        <w:p w14:paraId="740B769F">
          <w:r>
            <w:rPr>
              <w:color w:val="808080"/>
            </w:rPr>
            <w:t>单击此处输入文字。</w:t>
          </w:r>
        </w:p>
      </w:docPartBody>
    </w:docPart>
    <w:docPart>
      <w:docPartPr>
        <w:name w:val="{2da4d0b9-7d8c-4476-9ab1-47b039a946f0}"/>
        <w:style w:val=""/>
        <w:category>
          <w:name w:val="常规"/>
          <w:gallery w:val="placeholder"/>
        </w:category>
        <w:types>
          <w:type w:val="bbPlcHdr"/>
        </w:types>
        <w:behaviors>
          <w:behavior w:val="content"/>
        </w:behaviors>
        <w:description w:val=""/>
        <w:guid w:val="{2da4d0b9-7d8c-4476-9ab1-47b039a946f0}"/>
      </w:docPartPr>
      <w:docPartBody>
        <w:p w14:paraId="0BBBD3BB">
          <w:r>
            <w:rPr>
              <w:color w:val="808080"/>
            </w:rPr>
            <w:t>单击此处输入文字。</w:t>
          </w:r>
        </w:p>
      </w:docPartBody>
    </w:docPart>
    <w:docPart>
      <w:docPartPr>
        <w:name w:val="{0f9712d2-5ac9-4c60-95fa-63e6530900f4}"/>
        <w:style w:val=""/>
        <w:category>
          <w:name w:val="常规"/>
          <w:gallery w:val="placeholder"/>
        </w:category>
        <w:types>
          <w:type w:val="bbPlcHdr"/>
        </w:types>
        <w:behaviors>
          <w:behavior w:val="content"/>
        </w:behaviors>
        <w:description w:val=""/>
        <w:guid w:val="{0f9712d2-5ac9-4c60-95fa-63e6530900f4}"/>
      </w:docPartPr>
      <w:docPartBody>
        <w:p w14:paraId="36483C24">
          <w:r>
            <w:rPr>
              <w:color w:val="808080"/>
            </w:rPr>
            <w:t>单击此处输入文字。</w:t>
          </w:r>
        </w:p>
      </w:docPartBody>
    </w:docPart>
    <w:docPart>
      <w:docPartPr>
        <w:name w:val="{d78c1274-46cf-4051-8e50-a3b9bb159347}"/>
        <w:style w:val=""/>
        <w:category>
          <w:name w:val="常规"/>
          <w:gallery w:val="placeholder"/>
        </w:category>
        <w:types>
          <w:type w:val="bbPlcHdr"/>
        </w:types>
        <w:behaviors>
          <w:behavior w:val="content"/>
        </w:behaviors>
        <w:description w:val=""/>
        <w:guid w:val="{d78c1274-46cf-4051-8e50-a3b9bb159347}"/>
      </w:docPartPr>
      <w:docPartBody>
        <w:p w14:paraId="4506F2E4">
          <w:r>
            <w:rPr>
              <w:color w:val="808080"/>
            </w:rPr>
            <w:t>单击此处输入文字。</w:t>
          </w:r>
        </w:p>
      </w:docPartBody>
    </w:docPart>
    <w:docPart>
      <w:docPartPr>
        <w:name w:val="{43d98b87-09b3-46e2-a5e2-461626351e35}"/>
        <w:style w:val=""/>
        <w:category>
          <w:name w:val="常规"/>
          <w:gallery w:val="placeholder"/>
        </w:category>
        <w:types>
          <w:type w:val="bbPlcHdr"/>
        </w:types>
        <w:behaviors>
          <w:behavior w:val="content"/>
        </w:behaviors>
        <w:description w:val=""/>
        <w:guid w:val="{43d98b87-09b3-46e2-a5e2-461626351e35}"/>
      </w:docPartPr>
      <w:docPartBody>
        <w:p w14:paraId="2B413828">
          <w:r>
            <w:rPr>
              <w:color w:val="808080"/>
            </w:rPr>
            <w:t>单击此处输入文字。</w:t>
          </w:r>
        </w:p>
      </w:docPartBody>
    </w:docPart>
    <w:docPart>
      <w:docPartPr>
        <w:name w:val="{a47dab14-9a6f-49e4-bcf4-39ead71511c5}"/>
        <w:style w:val=""/>
        <w:category>
          <w:name w:val="常规"/>
          <w:gallery w:val="placeholder"/>
        </w:category>
        <w:types>
          <w:type w:val="bbPlcHdr"/>
        </w:types>
        <w:behaviors>
          <w:behavior w:val="content"/>
        </w:behaviors>
        <w:description w:val=""/>
        <w:guid w:val="{a47dab14-9a6f-49e4-bcf4-39ead71511c5}"/>
      </w:docPartPr>
      <w:docPartBody>
        <w:p w14:paraId="3A3F5183">
          <w:r>
            <w:rPr>
              <w:color w:val="808080"/>
            </w:rPr>
            <w:t>单击此处输入文字。</w:t>
          </w:r>
        </w:p>
      </w:docPartBody>
    </w:docPart>
    <w:docPart>
      <w:docPartPr>
        <w:name w:val="{0ce7b884-f0c2-4010-be73-e130a59e6cb5}"/>
        <w:style w:val=""/>
        <w:category>
          <w:name w:val="常规"/>
          <w:gallery w:val="placeholder"/>
        </w:category>
        <w:types>
          <w:type w:val="bbPlcHdr"/>
        </w:types>
        <w:behaviors>
          <w:behavior w:val="content"/>
        </w:behaviors>
        <w:description w:val=""/>
        <w:guid w:val="{0ce7b884-f0c2-4010-be73-e130a59e6cb5}"/>
      </w:docPartPr>
      <w:docPartBody>
        <w:p w14:paraId="10143610">
          <w:r>
            <w:rPr>
              <w:color w:val="808080"/>
            </w:rPr>
            <w:t>单击此处输入文字。</w:t>
          </w:r>
        </w:p>
      </w:docPartBody>
    </w:docPart>
    <w:docPart>
      <w:docPartPr>
        <w:name w:val="{d37fc917-0910-4e88-9f3d-0758a4bf0308}"/>
        <w:style w:val=""/>
        <w:category>
          <w:name w:val="常规"/>
          <w:gallery w:val="placeholder"/>
        </w:category>
        <w:types>
          <w:type w:val="bbPlcHdr"/>
        </w:types>
        <w:behaviors>
          <w:behavior w:val="content"/>
        </w:behaviors>
        <w:description w:val=""/>
        <w:guid w:val="{d37fc917-0910-4e88-9f3d-0758a4bf0308}"/>
      </w:docPartPr>
      <w:docPartBody>
        <w:p w14:paraId="32FDDB93">
          <w:r>
            <w:rPr>
              <w:color w:val="808080"/>
            </w:rPr>
            <w:t>单击此处输入文字。</w:t>
          </w:r>
        </w:p>
      </w:docPartBody>
    </w:docPart>
    <w:docPart>
      <w:docPartPr>
        <w:name w:val="{d720ed7e-950d-4274-9220-033ea2cf3188}"/>
        <w:style w:val=""/>
        <w:category>
          <w:name w:val="常规"/>
          <w:gallery w:val="placeholder"/>
        </w:category>
        <w:types>
          <w:type w:val="bbPlcHdr"/>
        </w:types>
        <w:behaviors>
          <w:behavior w:val="content"/>
        </w:behaviors>
        <w:description w:val=""/>
        <w:guid w:val="{d720ed7e-950d-4274-9220-033ea2cf3188}"/>
      </w:docPartPr>
      <w:docPartBody>
        <w:p w14:paraId="357BB352">
          <w:r>
            <w:rPr>
              <w:color w:val="808080"/>
            </w:rPr>
            <w:t>单击此处输入文字。</w:t>
          </w:r>
        </w:p>
      </w:docPartBody>
    </w:docPart>
    <w:docPart>
      <w:docPartPr>
        <w:name w:val="{614392d2-ac70-4cd2-ad50-77cb6c8116ac}"/>
        <w:style w:val=""/>
        <w:category>
          <w:name w:val="常规"/>
          <w:gallery w:val="placeholder"/>
        </w:category>
        <w:types>
          <w:type w:val="bbPlcHdr"/>
        </w:types>
        <w:behaviors>
          <w:behavior w:val="content"/>
        </w:behaviors>
        <w:description w:val=""/>
        <w:guid w:val="{614392d2-ac70-4cd2-ad50-77cb6c8116ac}"/>
      </w:docPartPr>
      <w:docPartBody>
        <w:p w14:paraId="62EC35FF">
          <w:r>
            <w:rPr>
              <w:color w:val="808080"/>
            </w:rPr>
            <w:t>单击此处输入文字。</w:t>
          </w:r>
        </w:p>
      </w:docPartBody>
    </w:docPart>
    <w:docPart>
      <w:docPartPr>
        <w:name w:val="{39b92f1c-20ee-42b1-bc4e-b0c818ca8ec1}"/>
        <w:style w:val=""/>
        <w:category>
          <w:name w:val="常规"/>
          <w:gallery w:val="placeholder"/>
        </w:category>
        <w:types>
          <w:type w:val="bbPlcHdr"/>
        </w:types>
        <w:behaviors>
          <w:behavior w:val="content"/>
        </w:behaviors>
        <w:description w:val=""/>
        <w:guid w:val="{39b92f1c-20ee-42b1-bc4e-b0c818ca8ec1}"/>
      </w:docPartPr>
      <w:docPartBody>
        <w:p w14:paraId="5664A900">
          <w:r>
            <w:rPr>
              <w:color w:val="808080"/>
            </w:rPr>
            <w:t>单击此处输入文字。</w:t>
          </w:r>
        </w:p>
      </w:docPartBody>
    </w:docPart>
    <w:docPart>
      <w:docPartPr>
        <w:name w:val="{97f0225b-77b7-42db-b5e0-47e972f52d5e}"/>
        <w:style w:val=""/>
        <w:category>
          <w:name w:val="常规"/>
          <w:gallery w:val="placeholder"/>
        </w:category>
        <w:types>
          <w:type w:val="bbPlcHdr"/>
        </w:types>
        <w:behaviors>
          <w:behavior w:val="content"/>
        </w:behaviors>
        <w:description w:val=""/>
        <w:guid w:val="{97f0225b-77b7-42db-b5e0-47e972f52d5e}"/>
      </w:docPartPr>
      <w:docPartBody>
        <w:p w14:paraId="3D9024E1">
          <w:r>
            <w:rPr>
              <w:color w:val="808080"/>
            </w:rPr>
            <w:t>单击此处输入文字。</w:t>
          </w:r>
        </w:p>
      </w:docPartBody>
    </w:docPart>
    <w:docPart>
      <w:docPartPr>
        <w:name w:val="{19a5fa73-1951-4403-94aa-5310ffe0cdb0}"/>
        <w:style w:val=""/>
        <w:category>
          <w:name w:val="常规"/>
          <w:gallery w:val="placeholder"/>
        </w:category>
        <w:types>
          <w:type w:val="bbPlcHdr"/>
        </w:types>
        <w:behaviors>
          <w:behavior w:val="content"/>
        </w:behaviors>
        <w:description w:val=""/>
        <w:guid w:val="{19a5fa73-1951-4403-94aa-5310ffe0cdb0}"/>
      </w:docPartPr>
      <w:docPartBody>
        <w:p w14:paraId="590F7D46">
          <w:r>
            <w:rPr>
              <w:color w:val="808080"/>
            </w:rPr>
            <w:t>单击此处输入文字。</w:t>
          </w:r>
        </w:p>
      </w:docPartBody>
    </w:docPart>
    <w:docPart>
      <w:docPartPr>
        <w:name w:val="{fc596f8b-b220-496d-aec6-0bdb6a4dea8e}"/>
        <w:style w:val=""/>
        <w:category>
          <w:name w:val="常规"/>
          <w:gallery w:val="placeholder"/>
        </w:category>
        <w:types>
          <w:type w:val="bbPlcHdr"/>
        </w:types>
        <w:behaviors>
          <w:behavior w:val="content"/>
        </w:behaviors>
        <w:description w:val=""/>
        <w:guid w:val="{fc596f8b-b220-496d-aec6-0bdb6a4dea8e}"/>
      </w:docPartPr>
      <w:docPartBody>
        <w:p w14:paraId="1AC96050">
          <w:r>
            <w:rPr>
              <w:color w:val="808080"/>
            </w:rPr>
            <w:t>单击此处输入文字。</w:t>
          </w:r>
        </w:p>
      </w:docPartBody>
    </w:docPart>
    <w:docPart>
      <w:docPartPr>
        <w:name w:val="{c7d51202-23a5-4b64-a9de-d5ef6dcc109d}"/>
        <w:style w:val=""/>
        <w:category>
          <w:name w:val="常规"/>
          <w:gallery w:val="placeholder"/>
        </w:category>
        <w:types>
          <w:type w:val="bbPlcHdr"/>
        </w:types>
        <w:behaviors>
          <w:behavior w:val="content"/>
        </w:behaviors>
        <w:description w:val=""/>
        <w:guid w:val="{c7d51202-23a5-4b64-a9de-d5ef6dcc109d}"/>
      </w:docPartPr>
      <w:docPartBody>
        <w:p w14:paraId="5E217FFA">
          <w:r>
            <w:rPr>
              <w:color w:val="808080"/>
            </w:rPr>
            <w:t>单击此处输入文字。</w:t>
          </w:r>
        </w:p>
      </w:docPartBody>
    </w:docPart>
    <w:docPart>
      <w:docPartPr>
        <w:name w:val="{fd70b7d7-f694-4bdc-9550-d5421ac50334}"/>
        <w:style w:val=""/>
        <w:category>
          <w:name w:val="常规"/>
          <w:gallery w:val="placeholder"/>
        </w:category>
        <w:types>
          <w:type w:val="bbPlcHdr"/>
        </w:types>
        <w:behaviors>
          <w:behavior w:val="content"/>
        </w:behaviors>
        <w:description w:val=""/>
        <w:guid w:val="{fd70b7d7-f694-4bdc-9550-d5421ac50334}"/>
      </w:docPartPr>
      <w:docPartBody>
        <w:p w14:paraId="074FFDDE">
          <w:r>
            <w:rPr>
              <w:color w:val="808080"/>
            </w:rPr>
            <w:t>单击此处输入文字。</w:t>
          </w:r>
        </w:p>
      </w:docPartBody>
    </w:docPart>
    <w:docPart>
      <w:docPartPr>
        <w:name w:val="{a6596081-c767-4923-92b7-3eebb3ca0a8f}"/>
        <w:style w:val=""/>
        <w:category>
          <w:name w:val="常规"/>
          <w:gallery w:val="placeholder"/>
        </w:category>
        <w:types>
          <w:type w:val="bbPlcHdr"/>
        </w:types>
        <w:behaviors>
          <w:behavior w:val="content"/>
        </w:behaviors>
        <w:description w:val=""/>
        <w:guid w:val="{a6596081-c767-4923-92b7-3eebb3ca0a8f}"/>
      </w:docPartPr>
      <w:docPartBody>
        <w:p w14:paraId="5B87ECB9">
          <w:r>
            <w:rPr>
              <w:color w:val="808080"/>
            </w:rPr>
            <w:t>单击此处输入文字。</w:t>
          </w:r>
        </w:p>
      </w:docPartBody>
    </w:docPart>
    <w:docPart>
      <w:docPartPr>
        <w:name w:val="{45f4e09c-f630-4551-82d9-253f4fc73ae8}"/>
        <w:style w:val=""/>
        <w:category>
          <w:name w:val="常规"/>
          <w:gallery w:val="placeholder"/>
        </w:category>
        <w:types>
          <w:type w:val="bbPlcHdr"/>
        </w:types>
        <w:behaviors>
          <w:behavior w:val="content"/>
        </w:behaviors>
        <w:description w:val=""/>
        <w:guid w:val="{45f4e09c-f630-4551-82d9-253f4fc73ae8}"/>
      </w:docPartPr>
      <w:docPartBody>
        <w:p w14:paraId="694D007A">
          <w:r>
            <w:rPr>
              <w:color w:val="808080"/>
            </w:rPr>
            <w:t>单击此处输入文字。</w:t>
          </w:r>
        </w:p>
      </w:docPartBody>
    </w:docPart>
    <w:docPart>
      <w:docPartPr>
        <w:name w:val="{281a2918-7d4a-459a-b4f7-727ff382d05f}"/>
        <w:style w:val=""/>
        <w:category>
          <w:name w:val="常规"/>
          <w:gallery w:val="placeholder"/>
        </w:category>
        <w:types>
          <w:type w:val="bbPlcHdr"/>
        </w:types>
        <w:behaviors>
          <w:behavior w:val="content"/>
        </w:behaviors>
        <w:description w:val=""/>
        <w:guid w:val="{281a2918-7d4a-459a-b4f7-727ff382d05f}"/>
      </w:docPartPr>
      <w:docPartBody>
        <w:p w14:paraId="027EA1BB">
          <w:r>
            <w:rPr>
              <w:color w:val="808080"/>
            </w:rPr>
            <w:t>单击此处输入文字。</w:t>
          </w:r>
        </w:p>
      </w:docPartBody>
    </w:docPart>
    <w:docPart>
      <w:docPartPr>
        <w:name w:val="{90585345-9b87-4173-95f2-6f88da51b5c8}"/>
        <w:style w:val=""/>
        <w:category>
          <w:name w:val="常规"/>
          <w:gallery w:val="placeholder"/>
        </w:category>
        <w:types>
          <w:type w:val="bbPlcHdr"/>
        </w:types>
        <w:behaviors>
          <w:behavior w:val="content"/>
        </w:behaviors>
        <w:description w:val=""/>
        <w:guid w:val="{90585345-9b87-4173-95f2-6f88da51b5c8}"/>
      </w:docPartPr>
      <w:docPartBody>
        <w:p w14:paraId="23F08FE6">
          <w:r>
            <w:rPr>
              <w:color w:val="808080"/>
            </w:rPr>
            <w:t>单击此处输入文字。</w:t>
          </w:r>
        </w:p>
      </w:docPartBody>
    </w:docPart>
    <w:docPart>
      <w:docPartPr>
        <w:name w:val="{31464f07-2e9b-403f-ade3-05dccf4e3992}"/>
        <w:style w:val=""/>
        <w:category>
          <w:name w:val="常规"/>
          <w:gallery w:val="placeholder"/>
        </w:category>
        <w:types>
          <w:type w:val="bbPlcHdr"/>
        </w:types>
        <w:behaviors>
          <w:behavior w:val="content"/>
        </w:behaviors>
        <w:description w:val=""/>
        <w:guid w:val="{31464f07-2e9b-403f-ade3-05dccf4e3992}"/>
      </w:docPartPr>
      <w:docPartBody>
        <w:p w14:paraId="7E660415">
          <w:r>
            <w:rPr>
              <w:color w:val="808080"/>
            </w:rPr>
            <w:t>单击此处输入文字。</w:t>
          </w:r>
        </w:p>
      </w:docPartBody>
    </w:docPart>
    <w:docPart>
      <w:docPartPr>
        <w:name w:val="{9d5b16eb-c2b0-4ecb-a1dc-4901edc877e6}"/>
        <w:style w:val=""/>
        <w:category>
          <w:name w:val="常规"/>
          <w:gallery w:val="placeholder"/>
        </w:category>
        <w:types>
          <w:type w:val="bbPlcHdr"/>
        </w:types>
        <w:behaviors>
          <w:behavior w:val="content"/>
        </w:behaviors>
        <w:description w:val=""/>
        <w:guid w:val="{9d5b16eb-c2b0-4ecb-a1dc-4901edc877e6}"/>
      </w:docPartPr>
      <w:docPartBody>
        <w:p w14:paraId="7EFB453D">
          <w:r>
            <w:rPr>
              <w:color w:val="808080"/>
            </w:rPr>
            <w:t>单击此处输入文字。</w:t>
          </w:r>
        </w:p>
      </w:docPartBody>
    </w:docPart>
    <w:docPart>
      <w:docPartPr>
        <w:name w:val="{f9672b06-22ce-41d0-b96c-2a6590171d19}"/>
        <w:style w:val=""/>
        <w:category>
          <w:name w:val="常规"/>
          <w:gallery w:val="placeholder"/>
        </w:category>
        <w:types>
          <w:type w:val="bbPlcHdr"/>
        </w:types>
        <w:behaviors>
          <w:behavior w:val="content"/>
        </w:behaviors>
        <w:description w:val=""/>
        <w:guid w:val="{f9672b06-22ce-41d0-b96c-2a6590171d19}"/>
      </w:docPartPr>
      <w:docPartBody>
        <w:p w14:paraId="036ADFBB">
          <w:r>
            <w:rPr>
              <w:color w:val="808080"/>
            </w:rPr>
            <w:t>单击此处输入文字。</w:t>
          </w:r>
        </w:p>
      </w:docPartBody>
    </w:docPart>
    <w:docPart>
      <w:docPartPr>
        <w:name w:val="{70a61d5b-a90e-4cee-a09c-48509e252044}"/>
        <w:style w:val=""/>
        <w:category>
          <w:name w:val="常规"/>
          <w:gallery w:val="placeholder"/>
        </w:category>
        <w:types>
          <w:type w:val="bbPlcHdr"/>
        </w:types>
        <w:behaviors>
          <w:behavior w:val="content"/>
        </w:behaviors>
        <w:description w:val=""/>
        <w:guid w:val="{70a61d5b-a90e-4cee-a09c-48509e252044}"/>
      </w:docPartPr>
      <w:docPartBody>
        <w:p w14:paraId="7EEF9DE2">
          <w:r>
            <w:rPr>
              <w:color w:val="808080"/>
            </w:rPr>
            <w:t>单击此处输入文字。</w:t>
          </w:r>
        </w:p>
      </w:docPartBody>
    </w:docPart>
    <w:docPart>
      <w:docPartPr>
        <w:name w:val="{f5c7e7d8-e406-4d2b-868d-273e76d1c39a}"/>
        <w:style w:val=""/>
        <w:category>
          <w:name w:val="常规"/>
          <w:gallery w:val="placeholder"/>
        </w:category>
        <w:types>
          <w:type w:val="bbPlcHdr"/>
        </w:types>
        <w:behaviors>
          <w:behavior w:val="content"/>
        </w:behaviors>
        <w:description w:val=""/>
        <w:guid w:val="{f5c7e7d8-e406-4d2b-868d-273e76d1c39a}"/>
      </w:docPartPr>
      <w:docPartBody>
        <w:p w14:paraId="6451E5F1">
          <w:r>
            <w:rPr>
              <w:color w:val="808080"/>
            </w:rPr>
            <w:t>单击此处输入文字。</w:t>
          </w:r>
        </w:p>
      </w:docPartBody>
    </w:docPart>
    <w:docPart>
      <w:docPartPr>
        <w:name w:val="{dc212f19-ba5f-4d5a-b2a3-bf147c00c463}"/>
        <w:style w:val=""/>
        <w:category>
          <w:name w:val="常规"/>
          <w:gallery w:val="placeholder"/>
        </w:category>
        <w:types>
          <w:type w:val="bbPlcHdr"/>
        </w:types>
        <w:behaviors>
          <w:behavior w:val="content"/>
        </w:behaviors>
        <w:description w:val=""/>
        <w:guid w:val="{dc212f19-ba5f-4d5a-b2a3-bf147c00c463}"/>
      </w:docPartPr>
      <w:docPartBody>
        <w:p w14:paraId="78278C73">
          <w:r>
            <w:rPr>
              <w:color w:val="808080"/>
            </w:rPr>
            <w:t>单击此处输入文字。</w:t>
          </w:r>
        </w:p>
      </w:docPartBody>
    </w:docPart>
    <w:docPart>
      <w:docPartPr>
        <w:name w:val="{fbeb92ff-50cc-4906-bc84-2436c90ff1c0}"/>
        <w:style w:val=""/>
        <w:category>
          <w:name w:val="常规"/>
          <w:gallery w:val="placeholder"/>
        </w:category>
        <w:types>
          <w:type w:val="bbPlcHdr"/>
        </w:types>
        <w:behaviors>
          <w:behavior w:val="content"/>
        </w:behaviors>
        <w:description w:val=""/>
        <w:guid w:val="{fbeb92ff-50cc-4906-bc84-2436c90ff1c0}"/>
      </w:docPartPr>
      <w:docPartBody>
        <w:p w14:paraId="11BD9F37">
          <w:r>
            <w:rPr>
              <w:color w:val="808080"/>
            </w:rPr>
            <w:t>单击此处输入文字。</w:t>
          </w:r>
        </w:p>
      </w:docPartBody>
    </w:docPart>
    <w:docPart>
      <w:docPartPr>
        <w:name w:val="{41165e54-9df2-4059-a143-0d5b7d869f89}"/>
        <w:style w:val=""/>
        <w:category>
          <w:name w:val="常规"/>
          <w:gallery w:val="placeholder"/>
        </w:category>
        <w:types>
          <w:type w:val="bbPlcHdr"/>
        </w:types>
        <w:behaviors>
          <w:behavior w:val="content"/>
        </w:behaviors>
        <w:description w:val=""/>
        <w:guid w:val="{41165e54-9df2-4059-a143-0d5b7d869f89}"/>
      </w:docPartPr>
      <w:docPartBody>
        <w:p w14:paraId="1D4BFA2F">
          <w:r>
            <w:rPr>
              <w:color w:val="808080"/>
            </w:rPr>
            <w:t>单击此处输入文字。</w:t>
          </w:r>
        </w:p>
      </w:docPartBody>
    </w:docPart>
    <w:docPart>
      <w:docPartPr>
        <w:name w:val="{58a93dda-bbce-4357-b91e-d6fab6307949}"/>
        <w:style w:val=""/>
        <w:category>
          <w:name w:val="常规"/>
          <w:gallery w:val="placeholder"/>
        </w:category>
        <w:types>
          <w:type w:val="bbPlcHdr"/>
        </w:types>
        <w:behaviors>
          <w:behavior w:val="content"/>
        </w:behaviors>
        <w:description w:val=""/>
        <w:guid w:val="{58a93dda-bbce-4357-b91e-d6fab6307949}"/>
      </w:docPartPr>
      <w:docPartBody>
        <w:p w14:paraId="6C4AB390">
          <w:r>
            <w:rPr>
              <w:color w:val="808080"/>
            </w:rPr>
            <w:t>单击此处输入文字。</w:t>
          </w:r>
        </w:p>
      </w:docPartBody>
    </w:docPart>
    <w:docPart>
      <w:docPartPr>
        <w:name w:val="{cf91b889-32f4-4823-9967-137a0de70a61}"/>
        <w:style w:val=""/>
        <w:category>
          <w:name w:val="常规"/>
          <w:gallery w:val="placeholder"/>
        </w:category>
        <w:types>
          <w:type w:val="bbPlcHdr"/>
        </w:types>
        <w:behaviors>
          <w:behavior w:val="content"/>
        </w:behaviors>
        <w:description w:val=""/>
        <w:guid w:val="{cf91b889-32f4-4823-9967-137a0de70a61}"/>
      </w:docPartPr>
      <w:docPartBody>
        <w:p w14:paraId="0AF5E6E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5960</Words>
  <Characters>6650</Characters>
  <Lines>63</Lines>
  <Paragraphs>17</Paragraphs>
  <TotalTime>225</TotalTime>
  <ScaleCrop>false</ScaleCrop>
  <LinksUpToDate>false</LinksUpToDate>
  <CharactersWithSpaces>6768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Just Do It</cp:lastModifiedBy>
  <cp:lastPrinted>2025-08-06T17:34:00Z</cp:lastPrinted>
  <dcterms:modified xsi:type="dcterms:W3CDTF">2025-10-28T09:26:51Z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04787F2533EB45DC91BCDE4AB213247F</vt:lpwstr>
  </property>
  <property fmtid="{D5CDD505-2E9C-101B-9397-08002B2CF9AE}" pid="4" name="KSOTemplateDocerSaveRecord">
    <vt:lpwstr>eyJoZGlkIjoiYzQ1MjBkYWYwYmJmNTk1MzllYjhkOTI4NDU2NTRhNjkiLCJ1c2VySWQiOiI0MDY1NzM3MDkifQ==</vt:lpwstr>
  </property>
</Properties>
</file>