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C62DB">
      <w:pPr>
        <w:spacing w:line="600" w:lineRule="exact"/>
        <w:jc w:val="left"/>
        <w:outlineLvl w:val="0"/>
        <w:rPr>
          <w:rFonts w:ascii="方正小标宋简体" w:hAnsi="宋体" w:eastAsia="方正小标宋简体"/>
          <w:szCs w:val="21"/>
        </w:rPr>
      </w:pPr>
      <w:bookmarkStart w:id="0" w:name="_Toc15306267"/>
    </w:p>
    <w:p w14:paraId="1C6A6AF7">
      <w:pPr>
        <w:pStyle w:val="5"/>
        <w:spacing w:before="93"/>
      </w:pPr>
    </w:p>
    <w:p w14:paraId="211D0760">
      <w:pPr>
        <w:spacing w:line="600" w:lineRule="exact"/>
        <w:jc w:val="center"/>
        <w:outlineLvl w:val="0"/>
        <w:rPr>
          <w:rFonts w:ascii="方正小标宋简体" w:hAnsi="宋体" w:eastAsia="方正小标宋简体"/>
          <w:sz w:val="72"/>
          <w:szCs w:val="72"/>
        </w:rPr>
      </w:pPr>
    </w:p>
    <w:p w14:paraId="3F33C3AB">
      <w:pPr>
        <w:spacing w:line="600" w:lineRule="exact"/>
        <w:jc w:val="center"/>
        <w:outlineLvl w:val="0"/>
        <w:rPr>
          <w:rFonts w:ascii="方正小标宋简体" w:hAnsi="宋体" w:eastAsia="方正小标宋简体"/>
          <w:sz w:val="72"/>
          <w:szCs w:val="72"/>
        </w:rPr>
      </w:pPr>
    </w:p>
    <w:p w14:paraId="00A014A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小标宋_GBK" w:cs="Times New Roman"/>
          <w:b/>
          <w:bCs/>
          <w:color w:val="auto"/>
          <w:sz w:val="44"/>
          <w:szCs w:val="44"/>
        </w:rPr>
      </w:pPr>
      <w:bookmarkStart w:id="1" w:name="_Toc15377425"/>
      <w:bookmarkStart w:id="2" w:name="_Toc15378441"/>
      <w:bookmarkStart w:id="3" w:name="_Toc15396597"/>
      <w:bookmarkStart w:id="4" w:name="_Toc15396475"/>
      <w:bookmarkStart w:id="5" w:name="_Toc15377193"/>
      <w:r>
        <w:rPr>
          <w:rFonts w:hint="eastAsia" w:ascii="Times New Roman" w:hAnsi="Times New Roman" w:eastAsia="方正小标宋_GBK" w:cs="Times New Roman"/>
          <w:b/>
          <w:bCs/>
          <w:color w:val="auto"/>
          <w:sz w:val="44"/>
          <w:szCs w:val="44"/>
        </w:rPr>
        <w:t>2024年度</w:t>
      </w:r>
      <w:bookmarkEnd w:id="1"/>
      <w:bookmarkEnd w:id="2"/>
      <w:bookmarkEnd w:id="3"/>
      <w:bookmarkEnd w:id="4"/>
      <w:bookmarkEnd w:id="5"/>
    </w:p>
    <w:bookmarkEnd w:id="0"/>
    <w:p w14:paraId="1335F27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小标宋_GBK" w:cs="Times New Roman"/>
          <w:b/>
          <w:bCs/>
          <w:color w:val="auto"/>
          <w:sz w:val="44"/>
          <w:szCs w:val="44"/>
        </w:rPr>
      </w:pPr>
      <w:bookmarkStart w:id="6" w:name="_Toc15306268"/>
      <w:bookmarkStart w:id="7" w:name="_Toc15377426"/>
      <w:bookmarkStart w:id="8" w:name="_Toc15396476"/>
      <w:bookmarkStart w:id="9" w:name="_Toc15396598"/>
      <w:bookmarkStart w:id="10" w:name="_Toc15377194"/>
      <w:bookmarkStart w:id="11" w:name="_Toc15378442"/>
      <w:r>
        <w:rPr>
          <w:rFonts w:hint="eastAsia" w:ascii="Times New Roman" w:hAnsi="Times New Roman" w:eastAsia="方正小标宋_GBK" w:cs="Times New Roman"/>
          <w:b/>
          <w:bCs/>
          <w:color w:val="auto"/>
          <w:sz w:val="44"/>
          <w:szCs w:val="44"/>
        </w:rPr>
        <w:t>盐边县退役军人事务局</w:t>
      </w:r>
    </w:p>
    <w:p w14:paraId="0951577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小标宋_GBK" w:cs="Times New Roman"/>
          <w:b/>
          <w:bCs/>
          <w:color w:val="auto"/>
          <w:sz w:val="44"/>
          <w:szCs w:val="44"/>
        </w:rPr>
      </w:pPr>
      <w:r>
        <w:rPr>
          <w:rFonts w:hint="eastAsia" w:ascii="Times New Roman" w:hAnsi="Times New Roman" w:eastAsia="方正小标宋_GBK" w:cs="Times New Roman"/>
          <w:b/>
          <w:bCs/>
          <w:color w:val="auto"/>
          <w:sz w:val="44"/>
          <w:szCs w:val="44"/>
        </w:rPr>
        <w:t>单位决算编制</w:t>
      </w:r>
      <w:bookmarkEnd w:id="6"/>
      <w:bookmarkEnd w:id="7"/>
      <w:bookmarkEnd w:id="8"/>
      <w:bookmarkEnd w:id="9"/>
      <w:bookmarkEnd w:id="10"/>
      <w:bookmarkEnd w:id="11"/>
      <w:r>
        <w:rPr>
          <w:rFonts w:hint="eastAsia" w:ascii="Times New Roman" w:hAnsi="Times New Roman" w:eastAsia="方正小标宋_GBK" w:cs="Times New Roman"/>
          <w:b/>
          <w:bCs/>
          <w:color w:val="auto"/>
          <w:sz w:val="44"/>
          <w:szCs w:val="44"/>
        </w:rPr>
        <w:t>说明</w:t>
      </w:r>
    </w:p>
    <w:p w14:paraId="182A65B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小标宋_GBK" w:cs="Times New Roman"/>
          <w:b/>
          <w:bCs/>
          <w:color w:val="auto"/>
          <w:sz w:val="44"/>
          <w:szCs w:val="44"/>
        </w:rPr>
        <w:sectPr>
          <w:headerReference r:id="rId3" w:type="default"/>
          <w:footerReference r:id="rId4" w:type="default"/>
          <w:pgSz w:w="11906" w:h="16838"/>
          <w:pgMar w:top="1440" w:right="1800" w:bottom="1440" w:left="1800" w:header="851" w:footer="992" w:gutter="0"/>
          <w:pgNumType w:start="3"/>
          <w:cols w:space="425" w:num="1"/>
          <w:titlePg/>
          <w:docGrid w:type="lines" w:linePitch="312" w:charSpace="0"/>
        </w:sectPr>
      </w:pPr>
    </w:p>
    <w:p w14:paraId="63B417C4">
      <w:pPr>
        <w:widowControl/>
        <w:jc w:val="center"/>
        <w:rPr>
          <w:rFonts w:ascii="黑体" w:hAnsi="黑体" w:eastAsia="黑体"/>
          <w:sz w:val="48"/>
          <w:szCs w:val="48"/>
        </w:rPr>
      </w:pPr>
      <w:bookmarkStart w:id="12" w:name="_Toc15396599"/>
      <w:bookmarkStart w:id="13" w:name="_Toc15377196"/>
      <w:r>
        <w:rPr>
          <w:rFonts w:hint="eastAsia" w:ascii="黑体" w:hAnsi="黑体" w:eastAsia="黑体"/>
          <w:sz w:val="48"/>
          <w:szCs w:val="48"/>
        </w:rPr>
        <w:t>目录</w:t>
      </w:r>
    </w:p>
    <w:p w14:paraId="34CADA49">
      <w:pPr>
        <w:widowControl/>
        <w:jc w:val="center"/>
        <w:rPr>
          <w:rFonts w:ascii="黑体" w:hAnsi="黑体" w:eastAsia="黑体" w:cstheme="minorBidi"/>
          <w:sz w:val="28"/>
          <w:szCs w:val="28"/>
        </w:rPr>
      </w:pPr>
    </w:p>
    <w:p w14:paraId="528F8216">
      <w:pPr>
        <w:pStyle w:val="11"/>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公开时间：2025年10月28日</w:t>
      </w:r>
    </w:p>
    <w:p w14:paraId="2B970E64">
      <w:pPr>
        <w:rPr>
          <w:sz w:val="24"/>
        </w:rPr>
      </w:pPr>
    </w:p>
    <w:p w14:paraId="378D364D">
      <w:pPr>
        <w:pStyle w:val="11"/>
        <w:adjustRightInd w:val="0"/>
        <w:snapToGrid w:val="0"/>
        <w:spacing w:before="0" w:line="440" w:lineRule="exact"/>
        <w:jc w:val="left"/>
        <w:rPr>
          <w:rFonts w:ascii="Times New Roman" w:hAnsi="Times New Roman" w:eastAsiaTheme="minorEastAsia"/>
        </w:rPr>
      </w:pPr>
      <w:r>
        <w:rPr>
          <w:rFonts w:hint="eastAsia" w:ascii="黑体" w:hAnsi="黑体" w:eastAsia="黑体"/>
        </w:rPr>
        <w:t>第一部分</w:t>
      </w:r>
      <w:r>
        <w:rPr>
          <w:rFonts w:ascii="黑体" w:hAnsi="黑体" w:eastAsia="黑体"/>
        </w:rPr>
        <w:t xml:space="preserve"> </w:t>
      </w:r>
      <w:r>
        <w:rPr>
          <w:rFonts w:hint="eastAsia" w:ascii="黑体" w:hAnsi="黑体" w:eastAsia="黑体"/>
        </w:rPr>
        <w:t>单位概况</w:t>
      </w:r>
      <w:r>
        <w:rPr>
          <w:rFonts w:ascii="Times New Roman" w:hAnsi="Times New Roman" w:eastAsiaTheme="minorEastAsia"/>
        </w:rPr>
        <w:ptab w:relativeTo="margin" w:alignment="right" w:leader="dot"/>
      </w:r>
      <w:r>
        <w:rPr>
          <w:rFonts w:hint="eastAsia" w:ascii="Times New Roman" w:hAnsi="Times New Roman" w:eastAsiaTheme="minorEastAsia"/>
        </w:rPr>
        <w:t>1</w:t>
      </w:r>
    </w:p>
    <w:p w14:paraId="7EA749D1">
      <w:pPr>
        <w:pStyle w:val="12"/>
        <w:adjustRightInd w:val="0"/>
        <w:snapToGrid w:val="0"/>
        <w:spacing w:line="440" w:lineRule="exact"/>
        <w:ind w:left="0" w:leftChars="0" w:firstLine="420" w:firstLineChars="175"/>
        <w:jc w:val="left"/>
        <w:rPr>
          <w:rFonts w:eastAsiaTheme="minorEastAsia"/>
          <w:sz w:val="24"/>
        </w:rPr>
      </w:pPr>
      <w:r>
        <w:rPr>
          <w:rFonts w:hint="eastAsia"/>
          <w:sz w:val="24"/>
        </w:rPr>
        <w:t>一、主要职责</w:t>
      </w:r>
      <w:r>
        <w:rPr>
          <w:rFonts w:eastAsiaTheme="minorEastAsia"/>
          <w:sz w:val="28"/>
          <w:szCs w:val="28"/>
        </w:rPr>
        <w:ptab w:relativeTo="margin" w:alignment="right" w:leader="dot"/>
      </w:r>
      <w:r>
        <w:rPr>
          <w:rFonts w:hint="eastAsia" w:eastAsiaTheme="minorEastAsia"/>
          <w:sz w:val="28"/>
          <w:szCs w:val="28"/>
        </w:rPr>
        <w:t>1</w:t>
      </w:r>
    </w:p>
    <w:p w14:paraId="48DE0DA4">
      <w:pPr>
        <w:pStyle w:val="12"/>
        <w:adjustRightInd w:val="0"/>
        <w:snapToGrid w:val="0"/>
        <w:spacing w:line="440" w:lineRule="exact"/>
        <w:jc w:val="left"/>
        <w:rPr>
          <w:rFonts w:hint="eastAsia" w:eastAsiaTheme="minorEastAsia"/>
          <w:sz w:val="24"/>
          <w:lang w:eastAsia="zh-CN"/>
        </w:rPr>
      </w:pPr>
      <w:r>
        <w:rPr>
          <w:rFonts w:hint="eastAsia"/>
          <w:sz w:val="24"/>
        </w:rPr>
        <w:t>二、机构设置</w:t>
      </w:r>
      <w:r>
        <w:rPr>
          <w:rFonts w:eastAsiaTheme="minorEastAsia"/>
          <w:sz w:val="28"/>
          <w:szCs w:val="28"/>
        </w:rPr>
        <w:ptab w:relativeTo="margin" w:alignment="right" w:leader="dot"/>
      </w:r>
      <w:r>
        <w:rPr>
          <w:rFonts w:hint="eastAsia" w:eastAsiaTheme="minorEastAsia"/>
          <w:sz w:val="28"/>
          <w:szCs w:val="28"/>
          <w:lang w:val="en-US" w:eastAsia="zh-CN"/>
        </w:rPr>
        <w:t>2</w:t>
      </w:r>
      <w:bookmarkStart w:id="67" w:name="_GoBack"/>
      <w:bookmarkEnd w:id="67"/>
    </w:p>
    <w:p w14:paraId="30875B64">
      <w:pPr>
        <w:pStyle w:val="11"/>
        <w:adjustRightInd w:val="0"/>
        <w:snapToGrid w:val="0"/>
        <w:spacing w:before="0" w:line="440" w:lineRule="exact"/>
        <w:jc w:val="left"/>
        <w:rPr>
          <w:rFonts w:hint="eastAsia" w:ascii="Times New Roman" w:hAnsi="Times New Roman" w:eastAsiaTheme="minorEastAsia"/>
          <w:sz w:val="24"/>
          <w:szCs w:val="24"/>
          <w:lang w:eastAsia="zh-CN"/>
        </w:rPr>
      </w:pPr>
      <w:r>
        <w:rPr>
          <w:rFonts w:hint="eastAsia" w:ascii="黑体" w:hAnsi="黑体" w:eastAsia="黑体"/>
        </w:rPr>
        <w:t>第二部分 202</w:t>
      </w:r>
      <w:r>
        <w:rPr>
          <w:rFonts w:ascii="黑体" w:hAnsi="黑体" w:eastAsia="黑体"/>
        </w:rPr>
        <w:t>4</w:t>
      </w:r>
      <w:r>
        <w:rPr>
          <w:rFonts w:hint="eastAsia" w:ascii="黑体" w:hAnsi="黑体" w:eastAsia="黑体"/>
        </w:rPr>
        <w:t>年度单位决算情况说明</w:t>
      </w:r>
      <w:r>
        <w:rPr>
          <w:rFonts w:ascii="Times New Roman" w:hAnsi="Times New Roman" w:eastAsiaTheme="minorEastAsia"/>
        </w:rPr>
        <w:ptab w:relativeTo="margin" w:alignment="right" w:leader="dot"/>
      </w:r>
      <w:r>
        <w:rPr>
          <w:rFonts w:hint="eastAsia" w:ascii="Times New Roman" w:hAnsi="Times New Roman" w:eastAsiaTheme="minorEastAsia"/>
          <w:lang w:val="en-US" w:eastAsia="zh-CN"/>
        </w:rPr>
        <w:t>3</w:t>
      </w:r>
    </w:p>
    <w:p w14:paraId="38DEAA4A">
      <w:pPr>
        <w:pStyle w:val="12"/>
        <w:adjustRightInd w:val="0"/>
        <w:snapToGrid w:val="0"/>
        <w:spacing w:line="440" w:lineRule="exact"/>
        <w:jc w:val="left"/>
        <w:rPr>
          <w:rFonts w:hint="eastAsia" w:ascii="仿宋" w:hAnsi="仿宋" w:eastAsiaTheme="minorEastAsia" w:cstheme="minorBidi"/>
          <w:sz w:val="24"/>
          <w:lang w:eastAsia="zh-CN"/>
        </w:rPr>
      </w:pPr>
      <w:r>
        <w:rPr>
          <w:rFonts w:hint="eastAsia"/>
          <w:sz w:val="24"/>
        </w:rPr>
        <w:t>一、收入支出决算总体情况说明</w:t>
      </w:r>
      <w:r>
        <w:rPr>
          <w:rFonts w:eastAsiaTheme="minorEastAsia"/>
          <w:sz w:val="28"/>
          <w:szCs w:val="28"/>
        </w:rPr>
        <w:ptab w:relativeTo="margin" w:alignment="right" w:leader="dot"/>
      </w:r>
      <w:r>
        <w:rPr>
          <w:rFonts w:hint="eastAsia" w:eastAsiaTheme="minorEastAsia"/>
          <w:sz w:val="28"/>
          <w:szCs w:val="28"/>
          <w:lang w:val="en-US" w:eastAsia="zh-CN"/>
        </w:rPr>
        <w:t>3</w:t>
      </w:r>
    </w:p>
    <w:p w14:paraId="2C691BEB">
      <w:pPr>
        <w:pStyle w:val="12"/>
        <w:adjustRightInd w:val="0"/>
        <w:snapToGrid w:val="0"/>
        <w:spacing w:line="440" w:lineRule="exact"/>
        <w:jc w:val="left"/>
        <w:rPr>
          <w:rFonts w:ascii="仿宋" w:hAnsi="仿宋" w:eastAsiaTheme="minorEastAsia" w:cstheme="minorBidi"/>
          <w:sz w:val="24"/>
        </w:rPr>
      </w:pPr>
      <w:r>
        <w:rPr>
          <w:rFonts w:hint="eastAsia"/>
          <w:sz w:val="24"/>
        </w:rPr>
        <w:t>二、收入决算情况说明</w:t>
      </w:r>
      <w:r>
        <w:rPr>
          <w:rFonts w:eastAsiaTheme="minorEastAsia"/>
          <w:sz w:val="28"/>
          <w:szCs w:val="28"/>
        </w:rPr>
        <w:ptab w:relativeTo="margin" w:alignment="right" w:leader="dot"/>
      </w:r>
      <w:r>
        <w:rPr>
          <w:rFonts w:hint="eastAsia" w:eastAsiaTheme="minorEastAsia"/>
          <w:sz w:val="28"/>
          <w:szCs w:val="28"/>
        </w:rPr>
        <w:t>4</w:t>
      </w:r>
    </w:p>
    <w:p w14:paraId="32376454">
      <w:pPr>
        <w:pStyle w:val="12"/>
        <w:adjustRightInd w:val="0"/>
        <w:snapToGrid w:val="0"/>
        <w:spacing w:line="440" w:lineRule="exact"/>
        <w:jc w:val="left"/>
        <w:rPr>
          <w:rFonts w:ascii="仿宋" w:hAnsi="仿宋" w:eastAsiaTheme="minorEastAsia" w:cstheme="minorBidi"/>
          <w:sz w:val="24"/>
        </w:rPr>
      </w:pPr>
      <w:r>
        <w:rPr>
          <w:rFonts w:hint="eastAsia"/>
          <w:sz w:val="24"/>
        </w:rPr>
        <w:t>三、支出决算情况说明</w:t>
      </w:r>
      <w:r>
        <w:rPr>
          <w:rFonts w:eastAsiaTheme="minorEastAsia"/>
          <w:sz w:val="28"/>
          <w:szCs w:val="28"/>
        </w:rPr>
        <w:ptab w:relativeTo="margin" w:alignment="right" w:leader="dot"/>
      </w:r>
      <w:r>
        <w:rPr>
          <w:rFonts w:hint="eastAsia" w:eastAsiaTheme="minorEastAsia"/>
          <w:sz w:val="28"/>
          <w:szCs w:val="28"/>
        </w:rPr>
        <w:t>5</w:t>
      </w:r>
    </w:p>
    <w:p w14:paraId="6B109431">
      <w:pPr>
        <w:pStyle w:val="12"/>
        <w:adjustRightInd w:val="0"/>
        <w:snapToGrid w:val="0"/>
        <w:spacing w:line="440" w:lineRule="exact"/>
        <w:jc w:val="left"/>
        <w:rPr>
          <w:rFonts w:ascii="仿宋" w:hAnsi="仿宋" w:eastAsiaTheme="minorEastAsia" w:cstheme="minorBidi"/>
          <w:sz w:val="24"/>
        </w:rPr>
      </w:pPr>
      <w:r>
        <w:rPr>
          <w:rFonts w:hint="eastAsia"/>
          <w:sz w:val="24"/>
        </w:rPr>
        <w:t>四、财政拨款收入支出决算总体情况说明</w:t>
      </w:r>
      <w:r>
        <w:rPr>
          <w:rFonts w:eastAsiaTheme="minorEastAsia"/>
          <w:sz w:val="28"/>
          <w:szCs w:val="28"/>
        </w:rPr>
        <w:ptab w:relativeTo="margin" w:alignment="right" w:leader="dot"/>
      </w:r>
      <w:r>
        <w:rPr>
          <w:rFonts w:hint="eastAsia" w:eastAsiaTheme="minorEastAsia"/>
          <w:sz w:val="28"/>
          <w:szCs w:val="28"/>
        </w:rPr>
        <w:t>6</w:t>
      </w:r>
    </w:p>
    <w:p w14:paraId="4EAA4D33">
      <w:pPr>
        <w:pStyle w:val="12"/>
        <w:adjustRightInd w:val="0"/>
        <w:snapToGrid w:val="0"/>
        <w:spacing w:line="440" w:lineRule="exact"/>
        <w:jc w:val="left"/>
        <w:rPr>
          <w:rFonts w:hint="eastAsia" w:ascii="仿宋" w:hAnsi="仿宋" w:eastAsiaTheme="minorEastAsia" w:cstheme="minorBidi"/>
          <w:sz w:val="24"/>
          <w:lang w:eastAsia="zh-CN"/>
        </w:rPr>
      </w:pPr>
      <w:r>
        <w:rPr>
          <w:rFonts w:hint="eastAsia"/>
          <w:sz w:val="24"/>
        </w:rPr>
        <w:t>五、一般公共预算财政拨款支出决算情况说明</w:t>
      </w:r>
      <w:r>
        <w:rPr>
          <w:rFonts w:eastAsiaTheme="minorEastAsia"/>
          <w:sz w:val="28"/>
          <w:szCs w:val="28"/>
        </w:rPr>
        <w:ptab w:relativeTo="margin" w:alignment="right" w:leader="dot"/>
      </w:r>
      <w:r>
        <w:rPr>
          <w:rFonts w:hint="eastAsia" w:eastAsiaTheme="minorEastAsia"/>
          <w:sz w:val="28"/>
          <w:szCs w:val="28"/>
          <w:lang w:val="en-US" w:eastAsia="zh-CN"/>
        </w:rPr>
        <w:t>6</w:t>
      </w:r>
    </w:p>
    <w:p w14:paraId="293A20B4">
      <w:pPr>
        <w:pStyle w:val="12"/>
        <w:adjustRightInd w:val="0"/>
        <w:snapToGrid w:val="0"/>
        <w:spacing w:line="440" w:lineRule="exact"/>
        <w:jc w:val="left"/>
        <w:rPr>
          <w:rFonts w:ascii="仿宋" w:hAnsi="仿宋" w:eastAsiaTheme="minorEastAsia" w:cstheme="minorBidi"/>
          <w:sz w:val="24"/>
        </w:rPr>
      </w:pPr>
      <w:r>
        <w:rPr>
          <w:rFonts w:hint="eastAsia"/>
          <w:sz w:val="24"/>
        </w:rPr>
        <w:t>六、一般公共预算财政拨款基本支出决算情况说明</w:t>
      </w:r>
      <w:r>
        <w:rPr>
          <w:rFonts w:eastAsiaTheme="minorEastAsia"/>
          <w:sz w:val="28"/>
          <w:szCs w:val="28"/>
        </w:rPr>
        <w:ptab w:relativeTo="margin" w:alignment="right" w:leader="dot"/>
      </w:r>
      <w:r>
        <w:rPr>
          <w:rFonts w:hint="eastAsia" w:eastAsiaTheme="minorEastAsia"/>
          <w:sz w:val="28"/>
          <w:szCs w:val="28"/>
        </w:rPr>
        <w:t>1</w:t>
      </w:r>
      <w:r>
        <w:rPr>
          <w:rFonts w:eastAsiaTheme="minorEastAsia"/>
          <w:sz w:val="28"/>
          <w:szCs w:val="28"/>
        </w:rPr>
        <w:t>1</w:t>
      </w:r>
    </w:p>
    <w:p w14:paraId="72FF8585">
      <w:pPr>
        <w:pStyle w:val="12"/>
        <w:adjustRightInd w:val="0"/>
        <w:snapToGrid w:val="0"/>
        <w:spacing w:line="440" w:lineRule="exact"/>
        <w:jc w:val="left"/>
        <w:rPr>
          <w:rFonts w:hint="eastAsia" w:ascii="仿宋" w:hAnsi="仿宋" w:eastAsiaTheme="minorEastAsia" w:cstheme="minorBidi"/>
          <w:sz w:val="24"/>
          <w:lang w:eastAsia="zh-CN"/>
        </w:rPr>
      </w:pPr>
      <w:r>
        <w:rPr>
          <w:rFonts w:hint="eastAsia"/>
          <w:sz w:val="24"/>
        </w:rPr>
        <w:t>七、财政拨款“三公”经费支出决算情况说明</w:t>
      </w:r>
      <w:r>
        <w:rPr>
          <w:rFonts w:eastAsiaTheme="minorEastAsia"/>
          <w:sz w:val="28"/>
          <w:szCs w:val="28"/>
        </w:rPr>
        <w:ptab w:relativeTo="margin" w:alignment="right" w:leader="dot"/>
      </w:r>
      <w:r>
        <w:rPr>
          <w:rFonts w:hint="eastAsia" w:eastAsiaTheme="minorEastAsia"/>
          <w:sz w:val="28"/>
          <w:szCs w:val="28"/>
        </w:rPr>
        <w:t>1</w:t>
      </w:r>
      <w:r>
        <w:rPr>
          <w:rFonts w:hint="eastAsia" w:eastAsiaTheme="minorEastAsia"/>
          <w:sz w:val="28"/>
          <w:szCs w:val="28"/>
          <w:lang w:val="en-US" w:eastAsia="zh-CN"/>
        </w:rPr>
        <w:t>1</w:t>
      </w:r>
    </w:p>
    <w:p w14:paraId="0DE044C4">
      <w:pPr>
        <w:pStyle w:val="12"/>
        <w:adjustRightInd w:val="0"/>
        <w:snapToGrid w:val="0"/>
        <w:spacing w:line="440" w:lineRule="exact"/>
        <w:jc w:val="left"/>
        <w:rPr>
          <w:rFonts w:hint="eastAsia" w:ascii="仿宋" w:hAnsi="仿宋" w:eastAsiaTheme="minorEastAsia" w:cstheme="minorBidi"/>
          <w:sz w:val="24"/>
          <w:lang w:eastAsia="zh-CN"/>
        </w:rPr>
      </w:pPr>
      <w:r>
        <w:rPr>
          <w:rFonts w:hint="eastAsia"/>
          <w:sz w:val="24"/>
        </w:rPr>
        <w:t>八、政府性基金预算支出决算情况说明</w:t>
      </w:r>
      <w:r>
        <w:rPr>
          <w:rFonts w:eastAsiaTheme="minorEastAsia"/>
          <w:sz w:val="28"/>
          <w:szCs w:val="28"/>
        </w:rPr>
        <w:ptab w:relativeTo="margin" w:alignment="right" w:leader="dot"/>
      </w:r>
      <w:r>
        <w:rPr>
          <w:rFonts w:hint="eastAsia" w:eastAsiaTheme="minorEastAsia"/>
          <w:sz w:val="28"/>
          <w:szCs w:val="28"/>
        </w:rPr>
        <w:t>1</w:t>
      </w:r>
      <w:r>
        <w:rPr>
          <w:rFonts w:hint="eastAsia" w:eastAsiaTheme="minorEastAsia"/>
          <w:sz w:val="28"/>
          <w:szCs w:val="28"/>
          <w:lang w:val="en-US" w:eastAsia="zh-CN"/>
        </w:rPr>
        <w:t>2</w:t>
      </w:r>
    </w:p>
    <w:p w14:paraId="5D797D51">
      <w:pPr>
        <w:pStyle w:val="12"/>
        <w:adjustRightInd w:val="0"/>
        <w:snapToGrid w:val="0"/>
        <w:spacing w:line="440" w:lineRule="exact"/>
        <w:jc w:val="left"/>
        <w:rPr>
          <w:rFonts w:hint="eastAsia" w:eastAsiaTheme="minorEastAsia"/>
          <w:sz w:val="24"/>
          <w:lang w:eastAsia="zh-CN"/>
        </w:rPr>
      </w:pPr>
      <w:r>
        <w:rPr>
          <w:rFonts w:hint="eastAsia"/>
          <w:sz w:val="24"/>
        </w:rPr>
        <w:t>九、国有资本经营预算支出决算情况说明</w:t>
      </w:r>
      <w:r>
        <w:rPr>
          <w:rFonts w:eastAsiaTheme="minorEastAsia"/>
          <w:sz w:val="28"/>
          <w:szCs w:val="28"/>
        </w:rPr>
        <w:ptab w:relativeTo="margin" w:alignment="right" w:leader="dot"/>
      </w:r>
      <w:r>
        <w:rPr>
          <w:rFonts w:hint="eastAsia" w:eastAsiaTheme="minorEastAsia"/>
          <w:sz w:val="28"/>
          <w:szCs w:val="28"/>
        </w:rPr>
        <w:t>1</w:t>
      </w:r>
      <w:r>
        <w:rPr>
          <w:rFonts w:hint="eastAsia" w:eastAsiaTheme="minorEastAsia"/>
          <w:sz w:val="28"/>
          <w:szCs w:val="28"/>
          <w:lang w:val="en-US" w:eastAsia="zh-CN"/>
        </w:rPr>
        <w:t>2</w:t>
      </w:r>
    </w:p>
    <w:p w14:paraId="55DC2B68">
      <w:pPr>
        <w:pStyle w:val="12"/>
        <w:adjustRightInd w:val="0"/>
        <w:snapToGrid w:val="0"/>
        <w:spacing w:line="440" w:lineRule="exact"/>
        <w:jc w:val="left"/>
        <w:rPr>
          <w:sz w:val="24"/>
        </w:rPr>
      </w:pPr>
      <w:r>
        <w:rPr>
          <w:rFonts w:hint="eastAsia"/>
          <w:sz w:val="24"/>
        </w:rPr>
        <w:t>十、其他重要事项的情况说明</w:t>
      </w:r>
      <w:r>
        <w:rPr>
          <w:rFonts w:eastAsiaTheme="minorEastAsia"/>
          <w:sz w:val="28"/>
          <w:szCs w:val="28"/>
        </w:rPr>
        <w:ptab w:relativeTo="margin" w:alignment="right" w:leader="dot"/>
      </w:r>
      <w:r>
        <w:rPr>
          <w:rFonts w:hint="eastAsia" w:eastAsiaTheme="minorEastAsia"/>
          <w:sz w:val="28"/>
          <w:szCs w:val="28"/>
        </w:rPr>
        <w:t>1</w:t>
      </w:r>
      <w:r>
        <w:rPr>
          <w:rFonts w:eastAsiaTheme="minorEastAsia"/>
          <w:sz w:val="28"/>
          <w:szCs w:val="28"/>
        </w:rPr>
        <w:t>3</w:t>
      </w:r>
    </w:p>
    <w:p w14:paraId="02853045">
      <w:pPr>
        <w:pStyle w:val="11"/>
        <w:adjustRightInd w:val="0"/>
        <w:snapToGrid w:val="0"/>
        <w:spacing w:before="0" w:line="440" w:lineRule="exact"/>
        <w:jc w:val="left"/>
        <w:rPr>
          <w:rFonts w:hint="eastAsia" w:ascii="Times New Roman" w:hAnsi="Times New Roman" w:eastAsiaTheme="minorEastAsia"/>
          <w:lang w:val="en-US" w:eastAsia="zh-CN"/>
        </w:rPr>
      </w:pPr>
      <w:r>
        <w:rPr>
          <w:rFonts w:hint="eastAsia" w:ascii="黑体" w:hAnsi="黑体" w:eastAsia="黑体"/>
        </w:rPr>
        <w:t>第三部分</w:t>
      </w:r>
      <w:r>
        <w:rPr>
          <w:rFonts w:ascii="黑体" w:hAnsi="黑体" w:eastAsia="黑体"/>
        </w:rPr>
        <w:t xml:space="preserve"> </w:t>
      </w:r>
      <w:r>
        <w:rPr>
          <w:rFonts w:hint="eastAsia" w:ascii="黑体" w:hAnsi="黑体" w:eastAsia="黑体"/>
        </w:rPr>
        <w:t>名词解释</w:t>
      </w:r>
      <w:r>
        <w:rPr>
          <w:rFonts w:ascii="Times New Roman" w:hAnsi="Times New Roman" w:eastAsiaTheme="minorEastAsia"/>
        </w:rPr>
        <w:ptab w:relativeTo="margin" w:alignment="right" w:leader="dot"/>
      </w:r>
      <w:r>
        <w:rPr>
          <w:rFonts w:hint="eastAsia" w:ascii="Times New Roman" w:hAnsi="Times New Roman" w:eastAsiaTheme="minorEastAsia"/>
        </w:rPr>
        <w:t>1</w:t>
      </w:r>
      <w:r>
        <w:rPr>
          <w:rFonts w:hint="eastAsia" w:ascii="Times New Roman" w:hAnsi="Times New Roman" w:eastAsiaTheme="minorEastAsia"/>
          <w:lang w:val="en-US" w:eastAsia="zh-CN"/>
        </w:rPr>
        <w:t>4</w:t>
      </w:r>
    </w:p>
    <w:p w14:paraId="2FF3038E">
      <w:pPr>
        <w:pStyle w:val="11"/>
        <w:adjustRightInd w:val="0"/>
        <w:snapToGrid w:val="0"/>
        <w:spacing w:before="0" w:line="440" w:lineRule="exact"/>
        <w:jc w:val="left"/>
        <w:rPr>
          <w:rFonts w:hint="default" w:eastAsiaTheme="minorEastAsia"/>
          <w:lang w:val="en-US" w:eastAsia="zh-CN"/>
        </w:rPr>
      </w:pPr>
      <w:r>
        <w:rPr>
          <w:rFonts w:hint="eastAsia" w:ascii="黑体" w:hAnsi="黑体" w:eastAsia="黑体"/>
        </w:rPr>
        <w:t>第四部分</w:t>
      </w:r>
      <w:r>
        <w:rPr>
          <w:rFonts w:ascii="黑体" w:hAnsi="黑体" w:eastAsia="黑体"/>
        </w:rPr>
        <w:t xml:space="preserve"> </w:t>
      </w:r>
      <w:r>
        <w:rPr>
          <w:rFonts w:hint="eastAsia" w:ascii="黑体" w:hAnsi="黑体" w:eastAsia="黑体"/>
        </w:rPr>
        <w:t>附件</w:t>
      </w:r>
      <w:r>
        <w:rPr>
          <w:rFonts w:ascii="Times New Roman" w:hAnsi="Times New Roman" w:eastAsiaTheme="minorEastAsia"/>
        </w:rPr>
        <w:ptab w:relativeTo="margin" w:alignment="right" w:leader="dot"/>
      </w:r>
      <w:r>
        <w:rPr>
          <w:rFonts w:hint="eastAsia" w:ascii="Times New Roman" w:hAnsi="Times New Roman" w:eastAsiaTheme="minorEastAsia"/>
          <w:lang w:val="en-US" w:eastAsia="zh-CN"/>
        </w:rPr>
        <w:t>19</w:t>
      </w:r>
    </w:p>
    <w:p w14:paraId="69C19B2C">
      <w:pPr>
        <w:pStyle w:val="11"/>
        <w:adjustRightInd w:val="0"/>
        <w:snapToGrid w:val="0"/>
        <w:spacing w:before="0" w:line="440" w:lineRule="exact"/>
        <w:jc w:val="left"/>
        <w:rPr>
          <w:rFonts w:hint="default" w:ascii="Times New Roman" w:hAnsi="Times New Roman" w:eastAsiaTheme="minorEastAsia"/>
          <w:lang w:val="en-US" w:eastAsia="zh-CN"/>
        </w:rPr>
      </w:pPr>
      <w:r>
        <w:rPr>
          <w:rFonts w:hint="eastAsia" w:ascii="黑体" w:hAnsi="黑体" w:eastAsia="黑体"/>
        </w:rPr>
        <w:t>第五部分</w:t>
      </w:r>
      <w:r>
        <w:rPr>
          <w:rFonts w:ascii="黑体" w:hAnsi="黑体" w:eastAsia="黑体"/>
        </w:rPr>
        <w:t xml:space="preserve"> </w:t>
      </w:r>
      <w:r>
        <w:rPr>
          <w:rFonts w:hint="eastAsia" w:ascii="黑体" w:hAnsi="黑体" w:eastAsia="黑体"/>
        </w:rPr>
        <w:t>附表</w:t>
      </w:r>
      <w:r>
        <w:rPr>
          <w:rFonts w:ascii="Times New Roman" w:hAnsi="Times New Roman" w:eastAsiaTheme="minorEastAsia"/>
        </w:rPr>
        <w:ptab w:relativeTo="margin" w:alignment="right" w:leader="dot"/>
      </w:r>
      <w:r>
        <w:rPr>
          <w:rFonts w:hint="eastAsia" w:ascii="Times New Roman" w:hAnsi="Times New Roman" w:eastAsiaTheme="minorEastAsia"/>
          <w:lang w:val="en-US" w:eastAsia="zh-CN"/>
        </w:rPr>
        <w:t>19</w:t>
      </w:r>
    </w:p>
    <w:p w14:paraId="011DE2F6">
      <w:pPr>
        <w:pStyle w:val="12"/>
        <w:adjustRightInd w:val="0"/>
        <w:snapToGrid w:val="0"/>
        <w:spacing w:line="440" w:lineRule="exact"/>
        <w:jc w:val="left"/>
        <w:rPr>
          <w:rFonts w:hint="default" w:eastAsiaTheme="minorEastAsia"/>
          <w:sz w:val="24"/>
          <w:lang w:val="en-US" w:eastAsia="zh-CN"/>
        </w:rPr>
      </w:pPr>
      <w:r>
        <w:rPr>
          <w:rFonts w:hint="eastAsia"/>
          <w:sz w:val="24"/>
        </w:rPr>
        <w:t>一、收入支出决算总表</w:t>
      </w:r>
      <w:r>
        <w:rPr>
          <w:rFonts w:eastAsiaTheme="minorEastAsia"/>
          <w:sz w:val="28"/>
          <w:szCs w:val="28"/>
        </w:rPr>
        <w:ptab w:relativeTo="margin" w:alignment="right" w:leader="dot"/>
      </w:r>
      <w:r>
        <w:rPr>
          <w:rFonts w:hint="eastAsia" w:eastAsiaTheme="minorEastAsia"/>
          <w:sz w:val="28"/>
          <w:szCs w:val="28"/>
          <w:lang w:val="en-US" w:eastAsia="zh-CN"/>
        </w:rPr>
        <w:t>20</w:t>
      </w:r>
    </w:p>
    <w:p w14:paraId="3A23B353">
      <w:pPr>
        <w:pStyle w:val="12"/>
        <w:adjustRightInd w:val="0"/>
        <w:snapToGrid w:val="0"/>
        <w:spacing w:line="440" w:lineRule="exact"/>
        <w:jc w:val="left"/>
        <w:rPr>
          <w:rFonts w:eastAsiaTheme="minorEastAsia"/>
          <w:sz w:val="24"/>
        </w:rPr>
      </w:pPr>
      <w:r>
        <w:rPr>
          <w:rFonts w:hint="eastAsia"/>
          <w:sz w:val="24"/>
        </w:rPr>
        <w:t>二、收入决算表</w:t>
      </w:r>
      <w:r>
        <w:rPr>
          <w:rFonts w:eastAsiaTheme="minorEastAsia"/>
          <w:sz w:val="28"/>
          <w:szCs w:val="28"/>
        </w:rPr>
        <w:ptab w:relativeTo="margin" w:alignment="right" w:leader="dot"/>
      </w:r>
      <w:r>
        <w:rPr>
          <w:rFonts w:hint="eastAsia" w:eastAsiaTheme="minorEastAsia"/>
          <w:sz w:val="28"/>
          <w:szCs w:val="28"/>
          <w:lang w:val="en-US" w:eastAsia="zh-CN"/>
        </w:rPr>
        <w:t>20</w:t>
      </w:r>
    </w:p>
    <w:p w14:paraId="59DC0DF1">
      <w:pPr>
        <w:pStyle w:val="12"/>
        <w:adjustRightInd w:val="0"/>
        <w:snapToGrid w:val="0"/>
        <w:spacing w:line="440" w:lineRule="exact"/>
        <w:jc w:val="left"/>
        <w:rPr>
          <w:sz w:val="24"/>
        </w:rPr>
      </w:pPr>
      <w:r>
        <w:rPr>
          <w:rFonts w:hint="eastAsia"/>
          <w:sz w:val="24"/>
        </w:rPr>
        <w:t>三、支出决算表</w:t>
      </w:r>
      <w:r>
        <w:rPr>
          <w:rFonts w:eastAsiaTheme="minorEastAsia"/>
          <w:sz w:val="28"/>
          <w:szCs w:val="28"/>
        </w:rPr>
        <w:ptab w:relativeTo="margin" w:alignment="right" w:leader="dot"/>
      </w:r>
      <w:r>
        <w:rPr>
          <w:rFonts w:hint="eastAsia" w:eastAsiaTheme="minorEastAsia"/>
          <w:sz w:val="28"/>
          <w:szCs w:val="28"/>
          <w:lang w:val="en-US" w:eastAsia="zh-CN"/>
        </w:rPr>
        <w:t>20</w:t>
      </w:r>
    </w:p>
    <w:p w14:paraId="43AE3499">
      <w:pPr>
        <w:pStyle w:val="12"/>
        <w:adjustRightInd w:val="0"/>
        <w:snapToGrid w:val="0"/>
        <w:spacing w:line="440" w:lineRule="exact"/>
        <w:jc w:val="left"/>
        <w:rPr>
          <w:sz w:val="24"/>
        </w:rPr>
      </w:pPr>
      <w:r>
        <w:rPr>
          <w:rFonts w:hint="eastAsia"/>
          <w:sz w:val="24"/>
        </w:rPr>
        <w:t>四、财政拨款收入支出决算总表</w:t>
      </w:r>
      <w:r>
        <w:rPr>
          <w:rFonts w:eastAsiaTheme="minorEastAsia"/>
          <w:sz w:val="28"/>
          <w:szCs w:val="28"/>
        </w:rPr>
        <w:ptab w:relativeTo="margin" w:alignment="right" w:leader="dot"/>
      </w:r>
      <w:r>
        <w:rPr>
          <w:rFonts w:hint="eastAsia" w:eastAsiaTheme="minorEastAsia"/>
          <w:sz w:val="28"/>
          <w:szCs w:val="28"/>
          <w:lang w:val="en-US" w:eastAsia="zh-CN"/>
        </w:rPr>
        <w:t>20</w:t>
      </w:r>
    </w:p>
    <w:p w14:paraId="6D07481D">
      <w:pPr>
        <w:pStyle w:val="12"/>
        <w:adjustRightInd w:val="0"/>
        <w:snapToGrid w:val="0"/>
        <w:spacing w:line="440" w:lineRule="exact"/>
        <w:jc w:val="left"/>
        <w:rPr>
          <w:sz w:val="24"/>
        </w:rPr>
      </w:pPr>
      <w:r>
        <w:rPr>
          <w:rFonts w:hint="eastAsia"/>
          <w:sz w:val="24"/>
        </w:rPr>
        <w:t>五、财政拨款支出决算明细表</w:t>
      </w:r>
      <w:r>
        <w:rPr>
          <w:rFonts w:eastAsiaTheme="minorEastAsia"/>
          <w:sz w:val="28"/>
          <w:szCs w:val="28"/>
        </w:rPr>
        <w:ptab w:relativeTo="margin" w:alignment="right" w:leader="dot"/>
      </w:r>
      <w:r>
        <w:rPr>
          <w:rFonts w:hint="eastAsia" w:eastAsiaTheme="minorEastAsia"/>
          <w:sz w:val="28"/>
          <w:szCs w:val="28"/>
          <w:lang w:val="en-US" w:eastAsia="zh-CN"/>
        </w:rPr>
        <w:t>20</w:t>
      </w:r>
    </w:p>
    <w:p w14:paraId="4E3DE133">
      <w:pPr>
        <w:pStyle w:val="12"/>
        <w:adjustRightInd w:val="0"/>
        <w:snapToGrid w:val="0"/>
        <w:spacing w:line="440" w:lineRule="exact"/>
        <w:jc w:val="left"/>
        <w:rPr>
          <w:sz w:val="24"/>
        </w:rPr>
      </w:pPr>
      <w:r>
        <w:rPr>
          <w:rFonts w:hint="eastAsia"/>
          <w:sz w:val="24"/>
        </w:rPr>
        <w:t>六、一般公共预算财政拨款支出决算表</w:t>
      </w:r>
      <w:r>
        <w:rPr>
          <w:rFonts w:eastAsiaTheme="minorEastAsia"/>
          <w:sz w:val="28"/>
          <w:szCs w:val="28"/>
        </w:rPr>
        <w:ptab w:relativeTo="margin" w:alignment="right" w:leader="dot"/>
      </w:r>
      <w:r>
        <w:rPr>
          <w:rFonts w:hint="eastAsia" w:eastAsiaTheme="minorEastAsia"/>
          <w:sz w:val="28"/>
          <w:szCs w:val="28"/>
          <w:lang w:val="en-US" w:eastAsia="zh-CN"/>
        </w:rPr>
        <w:t>20</w:t>
      </w:r>
    </w:p>
    <w:p w14:paraId="5AEBAA5C">
      <w:pPr>
        <w:pStyle w:val="12"/>
        <w:adjustRightInd w:val="0"/>
        <w:snapToGrid w:val="0"/>
        <w:spacing w:line="440" w:lineRule="exact"/>
        <w:jc w:val="left"/>
        <w:rPr>
          <w:sz w:val="24"/>
        </w:rPr>
      </w:pPr>
      <w:r>
        <w:rPr>
          <w:rFonts w:hint="eastAsia"/>
          <w:sz w:val="24"/>
        </w:rPr>
        <w:t>七、一般公共预算财政拨款支出决算明细表</w:t>
      </w:r>
      <w:r>
        <w:rPr>
          <w:rFonts w:eastAsiaTheme="minorEastAsia"/>
          <w:sz w:val="28"/>
          <w:szCs w:val="28"/>
        </w:rPr>
        <w:ptab w:relativeTo="margin" w:alignment="right" w:leader="dot"/>
      </w:r>
      <w:r>
        <w:rPr>
          <w:rFonts w:hint="eastAsia" w:eastAsiaTheme="minorEastAsia"/>
          <w:sz w:val="28"/>
          <w:szCs w:val="28"/>
          <w:lang w:val="en-US" w:eastAsia="zh-CN"/>
        </w:rPr>
        <w:t>20</w:t>
      </w:r>
    </w:p>
    <w:p w14:paraId="65FF2CB9">
      <w:pPr>
        <w:pStyle w:val="12"/>
        <w:adjustRightInd w:val="0"/>
        <w:snapToGrid w:val="0"/>
        <w:spacing w:line="440" w:lineRule="exact"/>
        <w:jc w:val="left"/>
        <w:rPr>
          <w:sz w:val="24"/>
        </w:rPr>
      </w:pPr>
      <w:r>
        <w:rPr>
          <w:rFonts w:hint="eastAsia"/>
          <w:sz w:val="24"/>
        </w:rPr>
        <w:t>八、一般公共预算财政拨款基本支出决算明细表</w:t>
      </w:r>
      <w:r>
        <w:rPr>
          <w:rFonts w:eastAsiaTheme="minorEastAsia"/>
          <w:sz w:val="28"/>
          <w:szCs w:val="28"/>
        </w:rPr>
        <w:ptab w:relativeTo="margin" w:alignment="right" w:leader="dot"/>
      </w:r>
      <w:r>
        <w:rPr>
          <w:rFonts w:hint="eastAsia" w:eastAsiaTheme="minorEastAsia"/>
          <w:sz w:val="28"/>
          <w:szCs w:val="28"/>
          <w:lang w:val="en-US" w:eastAsia="zh-CN"/>
        </w:rPr>
        <w:t>20</w:t>
      </w:r>
    </w:p>
    <w:p w14:paraId="34132A7E">
      <w:pPr>
        <w:pStyle w:val="12"/>
        <w:adjustRightInd w:val="0"/>
        <w:snapToGrid w:val="0"/>
        <w:spacing w:line="440" w:lineRule="exact"/>
        <w:jc w:val="left"/>
        <w:rPr>
          <w:rFonts w:hint="eastAsia" w:eastAsiaTheme="minorEastAsia"/>
          <w:sz w:val="28"/>
          <w:szCs w:val="28"/>
          <w:lang w:val="en-US" w:eastAsia="zh-CN"/>
        </w:rPr>
      </w:pPr>
      <w:r>
        <w:rPr>
          <w:rFonts w:hint="eastAsia"/>
          <w:sz w:val="24"/>
        </w:rPr>
        <w:t>九、一般公共预算财政拨款项目支出决算表</w:t>
      </w:r>
      <w:r>
        <w:rPr>
          <w:rFonts w:eastAsiaTheme="minorEastAsia"/>
          <w:sz w:val="28"/>
          <w:szCs w:val="28"/>
        </w:rPr>
        <w:ptab w:relativeTo="margin" w:alignment="right" w:leader="dot"/>
      </w:r>
      <w:r>
        <w:rPr>
          <w:rFonts w:hint="eastAsia" w:eastAsiaTheme="minorEastAsia"/>
          <w:sz w:val="28"/>
          <w:szCs w:val="28"/>
          <w:lang w:val="en-US" w:eastAsia="zh-CN"/>
        </w:rPr>
        <w:t>20</w:t>
      </w:r>
    </w:p>
    <w:p w14:paraId="76F879BB">
      <w:pPr>
        <w:pStyle w:val="12"/>
        <w:adjustRightInd w:val="0"/>
        <w:snapToGrid w:val="0"/>
        <w:spacing w:line="440" w:lineRule="exact"/>
        <w:jc w:val="left"/>
        <w:rPr>
          <w:sz w:val="24"/>
        </w:rPr>
      </w:pPr>
      <w:r>
        <w:rPr>
          <w:rFonts w:hint="eastAsia"/>
          <w:sz w:val="24"/>
        </w:rPr>
        <w:t>十、政府性基金预算财政拨款收入支出决算表</w:t>
      </w:r>
      <w:r>
        <w:rPr>
          <w:rFonts w:eastAsiaTheme="minorEastAsia"/>
          <w:sz w:val="28"/>
          <w:szCs w:val="28"/>
        </w:rPr>
        <w:ptab w:relativeTo="margin" w:alignment="right" w:leader="dot"/>
      </w:r>
      <w:r>
        <w:rPr>
          <w:rFonts w:hint="eastAsia" w:eastAsiaTheme="minorEastAsia"/>
          <w:sz w:val="28"/>
          <w:szCs w:val="28"/>
        </w:rPr>
        <w:t>2</w:t>
      </w:r>
      <w:r>
        <w:rPr>
          <w:rFonts w:eastAsiaTheme="minorEastAsia"/>
          <w:sz w:val="28"/>
          <w:szCs w:val="28"/>
        </w:rPr>
        <w:t>1</w:t>
      </w:r>
    </w:p>
    <w:p w14:paraId="14C14606">
      <w:pPr>
        <w:pStyle w:val="12"/>
        <w:adjustRightInd w:val="0"/>
        <w:snapToGrid w:val="0"/>
        <w:spacing w:line="440" w:lineRule="exact"/>
        <w:jc w:val="left"/>
        <w:rPr>
          <w:sz w:val="24"/>
        </w:rPr>
      </w:pPr>
      <w:r>
        <w:rPr>
          <w:rFonts w:hint="eastAsia"/>
          <w:sz w:val="24"/>
        </w:rPr>
        <w:t>十一、国有资本经营预算财政拨款收入支出决算表</w:t>
      </w:r>
      <w:r>
        <w:rPr>
          <w:rFonts w:eastAsiaTheme="minorEastAsia"/>
          <w:sz w:val="28"/>
          <w:szCs w:val="28"/>
        </w:rPr>
        <w:ptab w:relativeTo="margin" w:alignment="right" w:leader="dot"/>
      </w:r>
      <w:r>
        <w:rPr>
          <w:rFonts w:hint="eastAsia" w:eastAsiaTheme="minorEastAsia"/>
          <w:sz w:val="28"/>
          <w:szCs w:val="28"/>
        </w:rPr>
        <w:t>2</w:t>
      </w:r>
      <w:r>
        <w:rPr>
          <w:rFonts w:eastAsiaTheme="minorEastAsia"/>
          <w:sz w:val="28"/>
          <w:szCs w:val="28"/>
        </w:rPr>
        <w:t>1</w:t>
      </w:r>
    </w:p>
    <w:p w14:paraId="4BD0F87A">
      <w:pPr>
        <w:pStyle w:val="12"/>
        <w:adjustRightInd w:val="0"/>
        <w:snapToGrid w:val="0"/>
        <w:spacing w:line="440" w:lineRule="exact"/>
        <w:jc w:val="left"/>
        <w:rPr>
          <w:sz w:val="24"/>
        </w:rPr>
      </w:pPr>
      <w:r>
        <w:rPr>
          <w:rFonts w:hint="eastAsia"/>
          <w:sz w:val="24"/>
        </w:rPr>
        <w:t>十二、国有资本经营预算财政拨款支出决算表</w:t>
      </w:r>
      <w:r>
        <w:rPr>
          <w:rFonts w:eastAsiaTheme="minorEastAsia"/>
          <w:sz w:val="28"/>
          <w:szCs w:val="28"/>
        </w:rPr>
        <w:ptab w:relativeTo="margin" w:alignment="right" w:leader="dot"/>
      </w:r>
      <w:r>
        <w:rPr>
          <w:rFonts w:hint="eastAsia" w:eastAsiaTheme="minorEastAsia"/>
          <w:sz w:val="28"/>
          <w:szCs w:val="28"/>
        </w:rPr>
        <w:t>2</w:t>
      </w:r>
      <w:r>
        <w:rPr>
          <w:rFonts w:eastAsiaTheme="minorEastAsia"/>
          <w:sz w:val="28"/>
          <w:szCs w:val="28"/>
        </w:rPr>
        <w:t>1</w:t>
      </w:r>
    </w:p>
    <w:p w14:paraId="431C2B86">
      <w:pPr>
        <w:pStyle w:val="12"/>
        <w:adjustRightInd w:val="0"/>
        <w:snapToGrid w:val="0"/>
        <w:spacing w:line="440" w:lineRule="exact"/>
        <w:jc w:val="left"/>
        <w:rPr>
          <w:sz w:val="24"/>
        </w:rPr>
      </w:pPr>
      <w:r>
        <w:rPr>
          <w:rFonts w:hint="eastAsia"/>
          <w:sz w:val="24"/>
        </w:rPr>
        <w:t>十三、财政拨款“三公”经费支出决算表</w:t>
      </w:r>
      <w:r>
        <w:rPr>
          <w:rFonts w:eastAsiaTheme="minorEastAsia"/>
          <w:sz w:val="28"/>
          <w:szCs w:val="28"/>
        </w:rPr>
        <w:ptab w:relativeTo="margin" w:alignment="right" w:leader="dot"/>
      </w:r>
      <w:r>
        <w:rPr>
          <w:rFonts w:hint="eastAsia" w:eastAsiaTheme="minorEastAsia"/>
          <w:sz w:val="28"/>
          <w:szCs w:val="28"/>
        </w:rPr>
        <w:t>21</w:t>
      </w:r>
    </w:p>
    <w:p w14:paraId="34233EA9">
      <w:pPr>
        <w:pStyle w:val="2"/>
        <w:rPr>
          <w:rFonts w:ascii="黑体" w:hAnsi="黑体" w:eastAsia="黑体"/>
          <w:b w:val="0"/>
        </w:rPr>
      </w:pPr>
    </w:p>
    <w:p w14:paraId="1FECF567">
      <w:pPr>
        <w:pStyle w:val="2"/>
        <w:jc w:val="center"/>
        <w:rPr>
          <w:rFonts w:ascii="黑体" w:hAnsi="黑体" w:eastAsia="黑体"/>
          <w:b w:val="0"/>
        </w:rPr>
      </w:pPr>
    </w:p>
    <w:p w14:paraId="708B66DB">
      <w:pPr>
        <w:pStyle w:val="2"/>
        <w:jc w:val="center"/>
        <w:rPr>
          <w:rFonts w:ascii="黑体" w:hAnsi="黑体" w:eastAsia="黑体"/>
          <w:b w:val="0"/>
        </w:rPr>
      </w:pPr>
    </w:p>
    <w:p w14:paraId="31AACF32">
      <w:pPr>
        <w:pStyle w:val="2"/>
        <w:jc w:val="center"/>
        <w:rPr>
          <w:rFonts w:ascii="黑体" w:hAnsi="黑体" w:eastAsia="黑体"/>
          <w:b w:val="0"/>
        </w:rPr>
      </w:pPr>
    </w:p>
    <w:p w14:paraId="2891233D">
      <w:pPr>
        <w:pStyle w:val="2"/>
        <w:jc w:val="center"/>
        <w:rPr>
          <w:rFonts w:ascii="黑体" w:hAnsi="黑体" w:eastAsia="黑体"/>
          <w:b w:val="0"/>
        </w:rPr>
      </w:pPr>
    </w:p>
    <w:p w14:paraId="4E0E87C9"/>
    <w:p w14:paraId="4B97122B">
      <w:pPr>
        <w:pStyle w:val="18"/>
      </w:pPr>
    </w:p>
    <w:p w14:paraId="1277DE70">
      <w:pPr>
        <w:pStyle w:val="2"/>
        <w:rPr>
          <w:b w:val="0"/>
          <w:bCs w:val="0"/>
          <w:kern w:val="2"/>
          <w:sz w:val="21"/>
          <w:szCs w:val="24"/>
        </w:rPr>
      </w:pPr>
    </w:p>
    <w:p w14:paraId="1E4F7CF7"/>
    <w:p w14:paraId="403005EB">
      <w:pPr>
        <w:pStyle w:val="2"/>
        <w:jc w:val="center"/>
        <w:rPr>
          <w:rFonts w:ascii="黑体" w:hAnsi="黑体" w:eastAsia="黑体"/>
          <w:b w:val="0"/>
        </w:rPr>
        <w:sectPr>
          <w:footerReference r:id="rId5" w:type="default"/>
          <w:pgSz w:w="11906" w:h="16838"/>
          <w:pgMar w:top="1440" w:right="1800" w:bottom="1440" w:left="1800" w:header="851" w:footer="992" w:gutter="0"/>
          <w:pgNumType w:start="1"/>
          <w:cols w:space="425" w:num="1"/>
          <w:docGrid w:type="lines" w:linePitch="312" w:charSpace="0"/>
        </w:sectPr>
      </w:pPr>
    </w:p>
    <w:bookmarkEnd w:id="12"/>
    <w:bookmarkEnd w:id="13"/>
    <w:p w14:paraId="4DA1D61D">
      <w:pPr>
        <w:pStyle w:val="2"/>
        <w:pageBreakBefore w:val="0"/>
        <w:widowControl w:val="0"/>
        <w:kinsoku/>
        <w:wordWrap/>
        <w:overflowPunct/>
        <w:topLinePunct w:val="0"/>
        <w:bidi w:val="0"/>
        <w:snapToGrid/>
        <w:spacing w:before="0" w:after="0" w:line="240" w:lineRule="auto"/>
        <w:ind w:left="0" w:leftChars="0" w:right="0"/>
        <w:jc w:val="center"/>
        <w:textAlignment w:val="auto"/>
        <w:rPr>
          <w:rFonts w:hint="default" w:ascii="Times New Roman" w:hAnsi="Times New Roman" w:eastAsia="方正小标宋_GBK" w:cs="Times New Roman"/>
          <w:b w:val="0"/>
          <w:bCs w:val="0"/>
          <w:color w:val="auto"/>
          <w:kern w:val="2"/>
          <w:sz w:val="44"/>
          <w:szCs w:val="44"/>
          <w:lang w:val="en-US" w:eastAsia="zh-CN" w:bidi="ar-SA"/>
        </w:rPr>
      </w:pPr>
      <w:bookmarkStart w:id="14" w:name="_Toc15377197"/>
      <w:bookmarkStart w:id="15" w:name="_Toc15396600"/>
      <w:r>
        <w:rPr>
          <w:rFonts w:hint="eastAsia" w:ascii="Times New Roman" w:hAnsi="Times New Roman" w:eastAsia="方正小标宋_GBK" w:cs="Times New Roman"/>
          <w:b w:val="0"/>
          <w:bCs w:val="0"/>
          <w:color w:val="auto"/>
          <w:kern w:val="2"/>
          <w:sz w:val="44"/>
          <w:szCs w:val="44"/>
          <w:lang w:val="en-US" w:eastAsia="zh-CN" w:bidi="ar-SA"/>
        </w:rPr>
        <w:t>第一部分 单位概况</w:t>
      </w:r>
    </w:p>
    <w:p w14:paraId="276EA8B1">
      <w:pPr>
        <w:pStyle w:val="3"/>
        <w:pageBreakBefore w:val="0"/>
        <w:widowControl w:val="0"/>
        <w:numPr>
          <w:numId w:val="0"/>
        </w:numPr>
        <w:kinsoku/>
        <w:wordWrap/>
        <w:overflowPunct/>
        <w:topLinePunct w:val="0"/>
        <w:bidi w:val="0"/>
        <w:snapToGrid/>
        <w:spacing w:before="0" w:after="0" w:line="240" w:lineRule="auto"/>
        <w:ind w:leftChars="68" w:right="0" w:rightChars="0" w:firstLine="640" w:firstLineChars="200"/>
        <w:textAlignment w:val="auto"/>
        <w:rPr>
          <w:rStyle w:val="28"/>
          <w:rFonts w:hint="eastAsia" w:ascii="黑体" w:hAnsi="黑体" w:eastAsia="黑体"/>
          <w:b w:val="0"/>
          <w:bCs w:val="0"/>
          <w:lang w:val="en-US" w:eastAsia="zh-CN"/>
        </w:rPr>
      </w:pPr>
    </w:p>
    <w:p w14:paraId="3E62454A">
      <w:pPr>
        <w:pStyle w:val="3"/>
        <w:pageBreakBefore w:val="0"/>
        <w:widowControl w:val="0"/>
        <w:numPr>
          <w:numId w:val="0"/>
        </w:numPr>
        <w:kinsoku/>
        <w:wordWrap/>
        <w:overflowPunct/>
        <w:topLinePunct w:val="0"/>
        <w:bidi w:val="0"/>
        <w:snapToGrid/>
        <w:spacing w:before="0" w:after="0" w:line="240" w:lineRule="auto"/>
        <w:ind w:leftChars="68" w:right="0" w:rightChars="0" w:firstLine="640" w:firstLineChars="200"/>
        <w:textAlignment w:val="auto"/>
        <w:rPr>
          <w:rStyle w:val="28"/>
          <w:rFonts w:ascii="黑体" w:hAnsi="黑体" w:eastAsia="黑体"/>
          <w:b w:val="0"/>
          <w:bCs w:val="0"/>
        </w:rPr>
      </w:pPr>
      <w:r>
        <w:rPr>
          <w:rStyle w:val="28"/>
          <w:rFonts w:hint="eastAsia" w:ascii="黑体" w:hAnsi="黑体" w:eastAsia="黑体"/>
          <w:b w:val="0"/>
          <w:bCs w:val="0"/>
          <w:lang w:val="en-US" w:eastAsia="zh-CN"/>
        </w:rPr>
        <w:t>一、</w:t>
      </w:r>
      <w:r>
        <w:rPr>
          <w:rStyle w:val="28"/>
          <w:rFonts w:hint="eastAsia" w:ascii="黑体" w:hAnsi="黑体" w:eastAsia="黑体"/>
          <w:b w:val="0"/>
          <w:bCs w:val="0"/>
        </w:rPr>
        <w:t>主要职责</w:t>
      </w:r>
    </w:p>
    <w:p w14:paraId="77517571">
      <w:pPr>
        <w:pStyle w:val="26"/>
        <w:pageBreakBefore w:val="0"/>
        <w:kinsoku/>
        <w:wordWrap/>
        <w:overflowPunct/>
        <w:topLinePunct w:val="0"/>
        <w:bidi w:val="0"/>
        <w:snapToGrid/>
        <w:spacing w:line="240" w:lineRule="auto"/>
        <w:textAlignment w:val="auto"/>
        <w:rPr>
          <w:rFonts w:hint="default" w:ascii="Times New Roman" w:hAnsi="Times New Roman" w:eastAsia="仿宋" w:cs="Times New Roman"/>
          <w:sz w:val="32"/>
          <w:szCs w:val="32"/>
        </w:rPr>
      </w:pPr>
      <w:r>
        <w:rPr>
          <w:rFonts w:hint="default" w:ascii="Times New Roman" w:hAnsi="Times New Roman" w:eastAsia="方正楷体_GBK" w:cs="Times New Roman"/>
          <w:sz w:val="32"/>
          <w:szCs w:val="32"/>
        </w:rPr>
        <w:t>（一）</w:t>
      </w:r>
      <w:r>
        <w:rPr>
          <w:rFonts w:hint="default" w:ascii="Times New Roman" w:hAnsi="Times New Roman" w:eastAsia="方正仿宋_GBK" w:cs="Times New Roman"/>
          <w:kern w:val="2"/>
          <w:sz w:val="32"/>
          <w:szCs w:val="32"/>
          <w:lang w:val="en-US" w:eastAsia="zh-CN" w:bidi="ar-SA"/>
        </w:rPr>
        <w:t>落实退役军人思想政治、管理保障和安置优抚等政策并监督实施，拟订退役军人工作政策并组织实施，褒扬彰显退役军人为党、国家和人民牺牲奉献的精神风范和价值导向。</w:t>
      </w:r>
    </w:p>
    <w:p w14:paraId="6E82881F">
      <w:pPr>
        <w:pStyle w:val="26"/>
        <w:pageBreakBefore w:val="0"/>
        <w:kinsoku/>
        <w:wordWrap/>
        <w:overflowPunct/>
        <w:topLinePunct w:val="0"/>
        <w:bidi w:val="0"/>
        <w:snapToGrid/>
        <w:spacing w:line="240" w:lineRule="auto"/>
        <w:textAlignment w:val="auto"/>
        <w:rPr>
          <w:rFonts w:hint="default" w:ascii="Times New Roman" w:hAnsi="Times New Roman" w:eastAsia="仿宋" w:cs="Times New Roman"/>
          <w:sz w:val="32"/>
          <w:szCs w:val="32"/>
        </w:rPr>
      </w:pPr>
      <w:r>
        <w:rPr>
          <w:rFonts w:hint="default" w:ascii="Times New Roman" w:hAnsi="Times New Roman" w:eastAsia="方正楷体_GBK" w:cs="Times New Roman"/>
          <w:sz w:val="32"/>
          <w:szCs w:val="32"/>
        </w:rPr>
        <w:t>（二）</w:t>
      </w:r>
      <w:r>
        <w:rPr>
          <w:rFonts w:hint="default" w:ascii="Times New Roman" w:hAnsi="Times New Roman" w:eastAsia="方正仿宋_GBK" w:cs="Times New Roman"/>
          <w:kern w:val="2"/>
          <w:sz w:val="32"/>
          <w:szCs w:val="32"/>
          <w:lang w:val="en-US" w:eastAsia="zh-CN" w:bidi="ar-SA"/>
        </w:rPr>
        <w:t>负责军队转业干部、复员干部、离休退休干部、退役士兵和无军籍退休退职职工的移交安置和自主择业、就业退役军人服务管理工作。</w:t>
      </w:r>
    </w:p>
    <w:p w14:paraId="1FE804F4">
      <w:pPr>
        <w:pStyle w:val="26"/>
        <w:pageBreakBefore w:val="0"/>
        <w:kinsoku/>
        <w:wordWrap/>
        <w:overflowPunct/>
        <w:topLinePunct w:val="0"/>
        <w:bidi w:val="0"/>
        <w:snapToGrid/>
        <w:spacing w:line="240" w:lineRule="auto"/>
        <w:textAlignment w:val="auto"/>
        <w:rPr>
          <w:rFonts w:hint="default" w:ascii="Times New Roman" w:hAnsi="Times New Roman" w:eastAsia="仿宋" w:cs="Times New Roman"/>
          <w:sz w:val="32"/>
          <w:szCs w:val="32"/>
        </w:rPr>
      </w:pPr>
      <w:r>
        <w:rPr>
          <w:rFonts w:hint="default" w:ascii="Times New Roman" w:hAnsi="Times New Roman" w:eastAsia="方正楷体_GBK" w:cs="Times New Roman"/>
          <w:sz w:val="32"/>
          <w:szCs w:val="32"/>
        </w:rPr>
        <w:t>（三）</w:t>
      </w:r>
      <w:r>
        <w:rPr>
          <w:rFonts w:hint="default" w:ascii="Times New Roman" w:hAnsi="Times New Roman" w:eastAsia="方正仿宋_GBK" w:cs="Times New Roman"/>
          <w:kern w:val="2"/>
          <w:sz w:val="32"/>
          <w:szCs w:val="32"/>
          <w:lang w:val="en-US" w:eastAsia="zh-CN" w:bidi="ar-SA"/>
        </w:rPr>
        <w:t>组织、指导退役军人教育培训工作，承担退役军人和随军随调家属就业创业扶持工作。</w:t>
      </w:r>
    </w:p>
    <w:p w14:paraId="0E2E0521">
      <w:pPr>
        <w:pStyle w:val="26"/>
        <w:pageBreakBefore w:val="0"/>
        <w:kinsoku/>
        <w:wordWrap/>
        <w:overflowPunct/>
        <w:topLinePunct w:val="0"/>
        <w:bidi w:val="0"/>
        <w:snapToGrid/>
        <w:spacing w:line="240" w:lineRule="auto"/>
        <w:textAlignment w:val="auto"/>
        <w:rPr>
          <w:rFonts w:hint="default" w:ascii="Times New Roman" w:hAnsi="Times New Roman" w:eastAsia="仿宋" w:cs="Times New Roman"/>
          <w:sz w:val="32"/>
          <w:szCs w:val="32"/>
        </w:rPr>
      </w:pPr>
      <w:r>
        <w:rPr>
          <w:rFonts w:hint="default" w:ascii="Times New Roman" w:hAnsi="Times New Roman" w:eastAsia="方正楷体_GBK" w:cs="Times New Roman"/>
          <w:sz w:val="32"/>
          <w:szCs w:val="32"/>
        </w:rPr>
        <w:t>（四）</w:t>
      </w:r>
      <w:r>
        <w:rPr>
          <w:rFonts w:hint="default" w:ascii="Times New Roman" w:hAnsi="Times New Roman" w:eastAsia="方正仿宋_GBK" w:cs="Times New Roman"/>
          <w:kern w:val="2"/>
          <w:sz w:val="32"/>
          <w:szCs w:val="32"/>
          <w:lang w:val="en-US" w:eastAsia="zh-CN" w:bidi="ar-SA"/>
        </w:rPr>
        <w:t>贯彻执行国家有关退役军人特殊保障政策，拟订有关地方性政策并组织实施。</w:t>
      </w:r>
    </w:p>
    <w:p w14:paraId="19D42AED">
      <w:pPr>
        <w:pStyle w:val="26"/>
        <w:pageBreakBefore w:val="0"/>
        <w:kinsoku/>
        <w:wordWrap/>
        <w:overflowPunct/>
        <w:topLinePunct w:val="0"/>
        <w:bidi w:val="0"/>
        <w:snapToGrid/>
        <w:spacing w:line="240" w:lineRule="auto"/>
        <w:textAlignment w:val="auto"/>
        <w:rPr>
          <w:rFonts w:hint="default" w:ascii="Times New Roman" w:hAnsi="Times New Roman" w:eastAsia="仿宋" w:cs="Times New Roman"/>
          <w:sz w:val="32"/>
          <w:szCs w:val="32"/>
        </w:rPr>
      </w:pPr>
      <w:r>
        <w:rPr>
          <w:rFonts w:hint="default" w:ascii="Times New Roman" w:hAnsi="Times New Roman" w:eastAsia="方正楷体_GBK" w:cs="Times New Roman"/>
          <w:sz w:val="32"/>
          <w:szCs w:val="32"/>
        </w:rPr>
        <w:t>（五）</w:t>
      </w:r>
      <w:r>
        <w:rPr>
          <w:rFonts w:hint="default" w:ascii="Times New Roman" w:hAnsi="Times New Roman" w:eastAsia="方正仿宋_GBK" w:cs="Times New Roman"/>
          <w:kern w:val="2"/>
          <w:sz w:val="32"/>
          <w:szCs w:val="32"/>
          <w:lang w:val="en-US" w:eastAsia="zh-CN" w:bidi="ar-SA"/>
        </w:rPr>
        <w:t>组织、协调落实移交地方的离休退休军人、符合条件的其他退役军人和无军籍退休退职职工的住房保障工作，以及退役军人医疗保障、社会保险等待遇保障工作。</w:t>
      </w:r>
    </w:p>
    <w:p w14:paraId="78534A2E">
      <w:pPr>
        <w:pStyle w:val="26"/>
        <w:pageBreakBefore w:val="0"/>
        <w:kinsoku/>
        <w:wordWrap/>
        <w:overflowPunct/>
        <w:topLinePunct w:val="0"/>
        <w:bidi w:val="0"/>
        <w:snapToGrid/>
        <w:spacing w:line="240" w:lineRule="auto"/>
        <w:textAlignment w:val="auto"/>
        <w:rPr>
          <w:rFonts w:hint="default" w:ascii="Times New Roman" w:hAnsi="Times New Roman" w:eastAsia="仿宋" w:cs="Times New Roman"/>
          <w:sz w:val="32"/>
          <w:szCs w:val="32"/>
        </w:rPr>
      </w:pPr>
      <w:r>
        <w:rPr>
          <w:rFonts w:hint="default" w:ascii="Times New Roman" w:hAnsi="Times New Roman" w:eastAsia="方正楷体_GBK" w:cs="Times New Roman"/>
          <w:sz w:val="32"/>
          <w:szCs w:val="32"/>
        </w:rPr>
        <w:t>（六）</w:t>
      </w:r>
      <w:r>
        <w:rPr>
          <w:rFonts w:hint="default" w:ascii="Times New Roman" w:hAnsi="Times New Roman" w:eastAsia="方正仿宋_GBK" w:cs="Times New Roman"/>
          <w:kern w:val="2"/>
          <w:sz w:val="32"/>
          <w:szCs w:val="32"/>
          <w:lang w:val="en-US" w:eastAsia="zh-CN" w:bidi="ar-SA"/>
        </w:rPr>
        <w:t>负责伤病残退役军人服务管理和抚恤工作，贯彻执行国家有关退役军人医疗、疗养、养老等机构的规划政策。承担不适宜继续服役的伤病残军人移交安置、退休安置、供养等工作。</w:t>
      </w:r>
      <w:r>
        <w:rPr>
          <w:rFonts w:hint="eastAsia" w:ascii="Times New Roman" w:hAnsi="Times New Roman" w:eastAsia="方正仿宋_GBK" w:cs="Times New Roman"/>
          <w:kern w:val="2"/>
          <w:sz w:val="32"/>
          <w:szCs w:val="32"/>
          <w:lang w:val="en-US" w:eastAsia="zh-CN" w:bidi="ar-SA"/>
        </w:rPr>
        <w:t xml:space="preserve"> </w:t>
      </w:r>
      <w:r>
        <w:rPr>
          <w:rFonts w:hint="eastAsia" w:ascii="Times New Roman" w:hAnsi="Times New Roman" w:eastAsia="仿宋" w:cs="Times New Roman"/>
          <w:sz w:val="32"/>
          <w:szCs w:val="32"/>
        </w:rPr>
        <w:t xml:space="preserve"> </w:t>
      </w:r>
      <w:r>
        <w:rPr>
          <w:rFonts w:hint="default" w:ascii="Times New Roman" w:hAnsi="Times New Roman" w:eastAsia="仿宋" w:cs="Times New Roman"/>
          <w:sz w:val="32"/>
          <w:szCs w:val="32"/>
        </w:rPr>
        <w:t xml:space="preserve">  </w:t>
      </w:r>
    </w:p>
    <w:p w14:paraId="6BD41540">
      <w:pPr>
        <w:pStyle w:val="26"/>
        <w:pageBreakBefore w:val="0"/>
        <w:kinsoku/>
        <w:wordWrap/>
        <w:overflowPunct/>
        <w:topLinePunct w:val="0"/>
        <w:bidi w:val="0"/>
        <w:snapToGrid/>
        <w:spacing w:line="240" w:lineRule="auto"/>
        <w:ind w:left="0" w:leftChars="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方正楷体_GBK" w:cs="Times New Roman"/>
          <w:sz w:val="32"/>
          <w:szCs w:val="32"/>
        </w:rPr>
        <w:t>（七）</w:t>
      </w:r>
      <w:r>
        <w:rPr>
          <w:rFonts w:hint="default" w:ascii="Times New Roman" w:hAnsi="Times New Roman" w:eastAsia="方正仿宋_GBK" w:cs="Times New Roman"/>
          <w:kern w:val="2"/>
          <w:sz w:val="32"/>
          <w:szCs w:val="32"/>
          <w:lang w:val="en-US" w:eastAsia="zh-CN" w:bidi="ar-SA"/>
        </w:rPr>
        <w:t>组织、指导拥军优属工作，协调拥政爱民工作，承担现役军人、退役军人、军队文职人员和军属的优待、抚恤等工作。贯彻执行国家有关国民党抗战老兵等有关人员优待政策</w:t>
      </w:r>
      <w:r>
        <w:rPr>
          <w:rFonts w:hint="eastAsia" w:ascii="Times New Roman" w:hAnsi="Times New Roman" w:eastAsia="方正仿宋_GBK" w:cs="Times New Roman"/>
          <w:kern w:val="2"/>
          <w:sz w:val="32"/>
          <w:szCs w:val="32"/>
          <w:lang w:val="en-US" w:eastAsia="zh-CN" w:bidi="ar-SA"/>
        </w:rPr>
        <w:t>。</w:t>
      </w:r>
    </w:p>
    <w:p w14:paraId="1DA55B30">
      <w:pPr>
        <w:pStyle w:val="26"/>
        <w:pageBreakBefore w:val="0"/>
        <w:kinsoku/>
        <w:wordWrap/>
        <w:overflowPunct/>
        <w:topLinePunct w:val="0"/>
        <w:bidi w:val="0"/>
        <w:snapToGrid/>
        <w:spacing w:line="240" w:lineRule="auto"/>
        <w:textAlignment w:val="auto"/>
        <w:rPr>
          <w:rFonts w:hint="eastAsia" w:ascii="Times New Roman" w:hAnsi="Times New Roman" w:eastAsia="仿宋" w:cs="Times New Roman"/>
          <w:sz w:val="32"/>
          <w:szCs w:val="32"/>
          <w:lang w:eastAsia="zh-CN"/>
        </w:rPr>
      </w:pPr>
      <w:r>
        <w:rPr>
          <w:rFonts w:hint="default" w:ascii="Times New Roman" w:hAnsi="Times New Roman" w:eastAsia="方正楷体_GBK" w:cs="Times New Roman"/>
          <w:sz w:val="32"/>
          <w:szCs w:val="32"/>
        </w:rPr>
        <w:t>（八）</w:t>
      </w:r>
      <w:r>
        <w:rPr>
          <w:rFonts w:hint="default" w:ascii="Times New Roman" w:hAnsi="Times New Roman" w:eastAsia="方正仿宋_GBK" w:cs="Times New Roman"/>
          <w:kern w:val="2"/>
          <w:sz w:val="32"/>
          <w:szCs w:val="32"/>
          <w:lang w:val="en-US" w:eastAsia="zh-CN" w:bidi="ar-SA"/>
        </w:rPr>
        <w:t>负责烈士及退役军人荣誉奖励、军人公墓和烈士纪念设施的建设管理、纪念活动等工作，依法承担英雄烈士保护相关工作，审核拟列入全市重点保护单位的烈士纪念建筑物名录，总结表彰和宣扬退役军人、退役军人工作单位和个人先进典型事例</w:t>
      </w:r>
      <w:r>
        <w:rPr>
          <w:rFonts w:hint="eastAsia" w:ascii="Times New Roman" w:hAnsi="Times New Roman" w:eastAsia="方正仿宋_GBK" w:cs="Times New Roman"/>
          <w:kern w:val="2"/>
          <w:sz w:val="32"/>
          <w:szCs w:val="32"/>
          <w:lang w:val="en-US" w:eastAsia="zh-CN" w:bidi="ar-SA"/>
        </w:rPr>
        <w:t>。</w:t>
      </w:r>
    </w:p>
    <w:p w14:paraId="5A04E955">
      <w:pPr>
        <w:pStyle w:val="26"/>
        <w:pageBreakBefore w:val="0"/>
        <w:kinsoku/>
        <w:wordWrap/>
        <w:overflowPunct/>
        <w:topLinePunct w:val="0"/>
        <w:bidi w:val="0"/>
        <w:snapToGrid/>
        <w:spacing w:line="240" w:lineRule="auto"/>
        <w:textAlignment w:val="auto"/>
        <w:rPr>
          <w:rFonts w:hint="default" w:ascii="Times New Roman" w:hAnsi="Times New Roman" w:eastAsia="仿宋" w:cs="Times New Roman"/>
          <w:sz w:val="32"/>
          <w:szCs w:val="32"/>
        </w:rPr>
      </w:pPr>
      <w:r>
        <w:rPr>
          <w:rFonts w:hint="default" w:ascii="Times New Roman" w:hAnsi="Times New Roman" w:eastAsia="方正楷体_GBK" w:cs="Times New Roman"/>
          <w:sz w:val="32"/>
          <w:szCs w:val="32"/>
        </w:rPr>
        <w:t>（九）</w:t>
      </w:r>
      <w:r>
        <w:rPr>
          <w:rFonts w:hint="default" w:ascii="Times New Roman" w:hAnsi="Times New Roman" w:eastAsia="方正仿宋_GBK" w:cs="Times New Roman"/>
          <w:kern w:val="2"/>
          <w:sz w:val="32"/>
          <w:szCs w:val="32"/>
          <w:lang w:val="en-US" w:eastAsia="zh-CN" w:bidi="ar-SA"/>
        </w:rPr>
        <w:t>指导并监督检查退役军人相关法律法规和政策措施的落实，组织开展退役军人权益维护和有关人员的帮扶援助工作。</w:t>
      </w:r>
    </w:p>
    <w:p w14:paraId="7F5CEFE1">
      <w:pPr>
        <w:pStyle w:val="26"/>
        <w:pageBreakBefore w:val="0"/>
        <w:kinsoku/>
        <w:wordWrap/>
        <w:overflowPunct/>
        <w:topLinePunct w:val="0"/>
        <w:bidi w:val="0"/>
        <w:snapToGrid/>
        <w:spacing w:line="240" w:lineRule="auto"/>
        <w:textAlignment w:val="auto"/>
        <w:rPr>
          <w:rFonts w:hint="default" w:ascii="Times New Roman" w:hAnsi="Times New Roman" w:eastAsia="仿宋" w:cs="Times New Roman"/>
          <w:sz w:val="32"/>
          <w:szCs w:val="32"/>
        </w:rPr>
      </w:pPr>
      <w:r>
        <w:rPr>
          <w:rFonts w:hint="default" w:ascii="Times New Roman" w:hAnsi="Times New Roman" w:eastAsia="方正楷体_GBK" w:cs="Times New Roman"/>
          <w:sz w:val="32"/>
          <w:szCs w:val="32"/>
        </w:rPr>
        <w:t>（十）</w:t>
      </w:r>
      <w:r>
        <w:rPr>
          <w:rFonts w:hint="default" w:ascii="Times New Roman" w:hAnsi="Times New Roman" w:eastAsia="方正仿宋_GBK" w:cs="Times New Roman"/>
          <w:kern w:val="2"/>
          <w:sz w:val="32"/>
          <w:szCs w:val="32"/>
          <w:lang w:val="en-US" w:eastAsia="zh-CN" w:bidi="ar-SA"/>
        </w:rPr>
        <w:t>推动建立退役军人事务分级负责和突发事件应急联动机制，组织、指导退役军人综合服务体系建设。配合指导退役军人党建工作。</w:t>
      </w:r>
    </w:p>
    <w:p w14:paraId="5B79F0D5">
      <w:pPr>
        <w:pStyle w:val="26"/>
        <w:pageBreakBefore w:val="0"/>
        <w:kinsoku/>
        <w:wordWrap/>
        <w:overflowPunct/>
        <w:topLinePunct w:val="0"/>
        <w:bidi w:val="0"/>
        <w:snapToGrid/>
        <w:spacing w:line="240" w:lineRule="auto"/>
        <w:textAlignment w:val="auto"/>
        <w:rPr>
          <w:rFonts w:hint="default" w:ascii="Times New Roman" w:hAnsi="Times New Roman" w:eastAsia="仿宋" w:cs="Times New Roman"/>
          <w:sz w:val="32"/>
          <w:szCs w:val="32"/>
        </w:rPr>
      </w:pPr>
      <w:r>
        <w:rPr>
          <w:rFonts w:hint="default" w:ascii="Times New Roman" w:hAnsi="Times New Roman" w:eastAsia="方正楷体_GBK" w:cs="Times New Roman"/>
          <w:sz w:val="32"/>
          <w:szCs w:val="32"/>
        </w:rPr>
        <w:t>（十一）</w:t>
      </w:r>
      <w:r>
        <w:rPr>
          <w:rFonts w:hint="default" w:ascii="Times New Roman" w:hAnsi="Times New Roman" w:eastAsia="方正仿宋_GBK" w:cs="Times New Roman"/>
          <w:kern w:val="2"/>
          <w:sz w:val="32"/>
          <w:szCs w:val="32"/>
          <w:lang w:val="en-US" w:eastAsia="zh-CN" w:bidi="ar-SA"/>
        </w:rPr>
        <w:t>负责职责范围内的安全生产和职业健康、生态环境保护、审批服务便民化工作。</w:t>
      </w:r>
    </w:p>
    <w:p w14:paraId="09AF0AF7">
      <w:pPr>
        <w:pStyle w:val="26"/>
        <w:pageBreakBefore w:val="0"/>
        <w:kinsoku/>
        <w:wordWrap/>
        <w:overflowPunct/>
        <w:topLinePunct w:val="0"/>
        <w:bidi w:val="0"/>
        <w:snapToGrid/>
        <w:spacing w:line="240" w:lineRule="auto"/>
        <w:textAlignment w:val="auto"/>
        <w:rPr>
          <w:rFonts w:hint="default" w:ascii="Times New Roman" w:hAnsi="Times New Roman" w:eastAsia="仿宋" w:cs="Times New Roman"/>
          <w:sz w:val="32"/>
          <w:szCs w:val="32"/>
        </w:rPr>
      </w:pPr>
      <w:r>
        <w:rPr>
          <w:rFonts w:hint="default" w:ascii="Times New Roman" w:hAnsi="Times New Roman" w:eastAsia="方正楷体_GBK" w:cs="Times New Roman"/>
          <w:sz w:val="32"/>
          <w:szCs w:val="32"/>
        </w:rPr>
        <w:t>（十二）</w:t>
      </w:r>
      <w:r>
        <w:rPr>
          <w:rFonts w:hint="default" w:ascii="Times New Roman" w:hAnsi="Times New Roman" w:eastAsia="方正仿宋_GBK" w:cs="Times New Roman"/>
          <w:kern w:val="2"/>
          <w:sz w:val="32"/>
          <w:szCs w:val="32"/>
          <w:lang w:val="en-US" w:eastAsia="zh-CN" w:bidi="ar-SA"/>
        </w:rPr>
        <w:t>完成县委、县政府和军方交办的其他任务。</w:t>
      </w:r>
    </w:p>
    <w:p w14:paraId="3E31D97F">
      <w:pPr>
        <w:pStyle w:val="26"/>
        <w:pageBreakBefore w:val="0"/>
        <w:kinsoku/>
        <w:wordWrap/>
        <w:overflowPunct/>
        <w:topLinePunct w:val="0"/>
        <w:bidi w:val="0"/>
        <w:snapToGrid/>
        <w:spacing w:line="240" w:lineRule="auto"/>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sz w:val="32"/>
          <w:szCs w:val="32"/>
        </w:rPr>
        <w:t>（十三）</w:t>
      </w:r>
      <w:r>
        <w:rPr>
          <w:rFonts w:hint="default" w:ascii="Times New Roman" w:hAnsi="Times New Roman" w:eastAsia="方正仿宋_GBK" w:cs="Times New Roman"/>
          <w:kern w:val="2"/>
          <w:sz w:val="32"/>
          <w:szCs w:val="32"/>
          <w:lang w:val="en-US" w:eastAsia="zh-CN" w:bidi="ar-SA"/>
        </w:rPr>
        <w:t>职能转变。加强全县退役军人思想政治工作以及服务保障体系建设，建立健全集中统一、职责清晰的退役军人管理保障机制，协调各方力量更好为军人军属服务，维护军人军属合法权益，让军人成为全社会尊崇的职业，褒扬彰显退役军人为党、国家和人民牺牲奉献的精神风范和价值导向，更好地为增强部队战斗力和凝聚力做好组织保障。</w:t>
      </w:r>
    </w:p>
    <w:p w14:paraId="028BB4C2">
      <w:pPr>
        <w:pStyle w:val="26"/>
        <w:pageBreakBefore w:val="0"/>
        <w:kinsoku/>
        <w:wordWrap/>
        <w:overflowPunct/>
        <w:topLinePunct w:val="0"/>
        <w:bidi w:val="0"/>
        <w:snapToGrid/>
        <w:spacing w:line="240" w:lineRule="auto"/>
        <w:ind w:left="0" w:leftChars="0" w:firstLine="425" w:firstLineChars="133"/>
        <w:textAlignment w:val="auto"/>
        <w:rPr>
          <w:rFonts w:hint="default" w:ascii="Times New Roman" w:hAnsi="Times New Roman" w:eastAsia="黑体" w:cs="Times New Roman"/>
          <w:b w:val="0"/>
          <w:bCs/>
          <w:kern w:val="2"/>
          <w:sz w:val="32"/>
          <w:szCs w:val="32"/>
          <w:lang w:val="en-US" w:eastAsia="zh-CN" w:bidi="ar-SA"/>
        </w:rPr>
      </w:pPr>
      <w:r>
        <w:rPr>
          <w:rFonts w:hint="eastAsia" w:ascii="Times New Roman" w:hAnsi="Times New Roman" w:eastAsia="黑体" w:cs="Times New Roman"/>
          <w:b w:val="0"/>
          <w:bCs/>
          <w:kern w:val="2"/>
          <w:sz w:val="32"/>
          <w:szCs w:val="32"/>
          <w:lang w:val="en-US" w:eastAsia="zh-CN" w:bidi="ar-SA"/>
        </w:rPr>
        <w:t>二、机构设置</w:t>
      </w:r>
    </w:p>
    <w:p w14:paraId="07854AB0">
      <w:pPr>
        <w:pStyle w:val="26"/>
        <w:pageBreakBefore w:val="0"/>
        <w:kinsoku/>
        <w:wordWrap/>
        <w:overflowPunct/>
        <w:topLinePunct w:val="0"/>
        <w:bidi w:val="0"/>
        <w:snapToGrid/>
        <w:spacing w:line="240" w:lineRule="auto"/>
        <w:ind w:left="0" w:leftChars="0" w:firstLine="425" w:firstLineChars="133"/>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盐边县退役军人事务局挂牌成立，为正科级县政府组成部门。按照“三定”方案核定局机关行政编制3名，内设股室2个（办公室和业务股）；下设事业单位退役军人服务中心和烈保中心，其中服务中心核定事业编制7人（其中服务中心主任一名，按正科级领导配备，副主任二名，按副科级领导配备）；烈保中心核定事业编制1名（股所级）。2022年，协调周转行政编2名，增加党组书记1名。2024年5月核减行政编制和领导职数1名。我局现有行政编制4名，事业编制8名。在编在岗职工12人（行政编制4人，事业编制8人），在岗不在编行政人员1人，劳务承揽2人、自聘人员1名，实有在岗干部职工15名。</w:t>
      </w:r>
      <w:bookmarkEnd w:id="14"/>
      <w:bookmarkEnd w:id="15"/>
      <w:bookmarkStart w:id="16" w:name="_Toc15396602"/>
      <w:bookmarkStart w:id="17" w:name="_Toc15377204"/>
    </w:p>
    <w:p w14:paraId="6C0677DD">
      <w:pPr>
        <w:pStyle w:val="26"/>
        <w:pageBreakBefore w:val="0"/>
        <w:kinsoku/>
        <w:wordWrap/>
        <w:overflowPunct/>
        <w:topLinePunct w:val="0"/>
        <w:bidi w:val="0"/>
        <w:snapToGrid/>
        <w:spacing w:line="240" w:lineRule="auto"/>
        <w:ind w:left="0" w:leftChars="0" w:firstLine="585" w:firstLineChars="133"/>
        <w:textAlignment w:val="auto"/>
        <w:rPr>
          <w:rFonts w:hint="eastAsia" w:ascii="Times New Roman" w:hAnsi="Times New Roman" w:eastAsia="方正小标宋_GBK" w:cs="Times New Roman"/>
          <w:b w:val="0"/>
          <w:bCs w:val="0"/>
          <w:color w:val="auto"/>
          <w:kern w:val="2"/>
          <w:sz w:val="44"/>
          <w:szCs w:val="44"/>
          <w:lang w:val="en-US" w:eastAsia="zh-CN" w:bidi="ar-SA"/>
        </w:rPr>
      </w:pPr>
    </w:p>
    <w:bookmarkEnd w:id="16"/>
    <w:bookmarkEnd w:id="17"/>
    <w:p w14:paraId="1B8D688D">
      <w:pPr>
        <w:pStyle w:val="2"/>
        <w:pageBreakBefore w:val="0"/>
        <w:widowControl w:val="0"/>
        <w:kinsoku/>
        <w:wordWrap/>
        <w:overflowPunct/>
        <w:topLinePunct w:val="0"/>
        <w:bidi w:val="0"/>
        <w:snapToGrid/>
        <w:spacing w:before="0" w:after="0" w:line="240" w:lineRule="auto"/>
        <w:ind w:left="0" w:leftChars="0" w:right="0"/>
        <w:jc w:val="center"/>
        <w:textAlignment w:val="auto"/>
        <w:rPr>
          <w:rFonts w:hint="eastAsia" w:ascii="Times New Roman" w:hAnsi="Times New Roman" w:eastAsia="方正小标宋_GBK" w:cs="Times New Roman"/>
          <w:b w:val="0"/>
          <w:bCs w:val="0"/>
          <w:color w:val="auto"/>
          <w:kern w:val="2"/>
          <w:sz w:val="44"/>
          <w:szCs w:val="44"/>
          <w:lang w:val="en-US" w:eastAsia="zh-CN" w:bidi="ar-SA"/>
        </w:rPr>
      </w:pPr>
      <w:r>
        <w:rPr>
          <w:rFonts w:hint="eastAsia" w:ascii="Times New Roman" w:hAnsi="Times New Roman" w:eastAsia="方正小标宋_GBK" w:cs="Times New Roman"/>
          <w:b w:val="0"/>
          <w:bCs w:val="0"/>
          <w:color w:val="auto"/>
          <w:kern w:val="2"/>
          <w:sz w:val="44"/>
          <w:szCs w:val="44"/>
          <w:lang w:val="en-US" w:eastAsia="zh-CN" w:bidi="ar-SA"/>
        </w:rPr>
        <w:t>第二部分 202</w:t>
      </w:r>
      <w:r>
        <w:rPr>
          <w:rFonts w:hint="default" w:ascii="Times New Roman" w:hAnsi="Times New Roman" w:eastAsia="方正小标宋_GBK" w:cs="Times New Roman"/>
          <w:b w:val="0"/>
          <w:bCs w:val="0"/>
          <w:color w:val="auto"/>
          <w:kern w:val="2"/>
          <w:sz w:val="44"/>
          <w:szCs w:val="44"/>
          <w:lang w:val="en-US" w:eastAsia="zh-CN" w:bidi="ar-SA"/>
        </w:rPr>
        <w:t>4</w:t>
      </w:r>
      <w:r>
        <w:rPr>
          <w:rFonts w:hint="eastAsia" w:ascii="Times New Roman" w:hAnsi="Times New Roman" w:eastAsia="方正小标宋_GBK" w:cs="Times New Roman"/>
          <w:b w:val="0"/>
          <w:bCs w:val="0"/>
          <w:color w:val="auto"/>
          <w:kern w:val="2"/>
          <w:sz w:val="44"/>
          <w:szCs w:val="44"/>
          <w:lang w:val="en-US" w:eastAsia="zh-CN" w:bidi="ar-SA"/>
        </w:rPr>
        <w:t>年度单位决算情况说明</w:t>
      </w:r>
    </w:p>
    <w:p w14:paraId="5995E32F">
      <w:pPr>
        <w:pStyle w:val="26"/>
        <w:pageBreakBefore w:val="0"/>
        <w:numPr>
          <w:ilvl w:val="0"/>
          <w:numId w:val="0"/>
        </w:numPr>
        <w:kinsoku/>
        <w:wordWrap/>
        <w:overflowPunct/>
        <w:topLinePunct w:val="0"/>
        <w:bidi w:val="0"/>
        <w:snapToGrid/>
        <w:spacing w:line="240" w:lineRule="auto"/>
        <w:textAlignment w:val="auto"/>
        <w:outlineLvl w:val="1"/>
        <w:rPr>
          <w:rStyle w:val="28"/>
          <w:rFonts w:hint="eastAsia" w:ascii="Times New Roman" w:hAnsi="Times New Roman" w:eastAsia="黑体" w:cs="Times New Roman"/>
          <w:b w:val="0"/>
          <w:lang w:val="en-US" w:eastAsia="zh-CN"/>
        </w:rPr>
      </w:pPr>
      <w:bookmarkStart w:id="18" w:name="_Toc15377205"/>
      <w:bookmarkStart w:id="19" w:name="_Toc15396603"/>
    </w:p>
    <w:p w14:paraId="0F3D523A">
      <w:pPr>
        <w:pStyle w:val="26"/>
        <w:pageBreakBefore w:val="0"/>
        <w:numPr>
          <w:ilvl w:val="0"/>
          <w:numId w:val="0"/>
        </w:numPr>
        <w:kinsoku/>
        <w:wordWrap/>
        <w:overflowPunct/>
        <w:topLinePunct w:val="0"/>
        <w:bidi w:val="0"/>
        <w:snapToGrid/>
        <w:spacing w:line="240" w:lineRule="auto"/>
        <w:ind w:firstLine="640" w:firstLineChars="200"/>
        <w:textAlignment w:val="auto"/>
        <w:outlineLvl w:val="1"/>
        <w:rPr>
          <w:rStyle w:val="28"/>
          <w:rFonts w:hint="default" w:ascii="Times New Roman" w:hAnsi="Times New Roman" w:eastAsia="黑体" w:cs="Times New Roman"/>
          <w:b w:val="0"/>
        </w:rPr>
      </w:pPr>
      <w:r>
        <w:rPr>
          <w:rStyle w:val="28"/>
          <w:rFonts w:hint="eastAsia" w:ascii="Times New Roman" w:hAnsi="Times New Roman" w:eastAsia="黑体" w:cs="Times New Roman"/>
          <w:b w:val="0"/>
          <w:lang w:val="en-US" w:eastAsia="zh-CN"/>
        </w:rPr>
        <w:t>一、</w:t>
      </w:r>
      <w:r>
        <w:rPr>
          <w:rStyle w:val="28"/>
          <w:rFonts w:hint="eastAsia" w:ascii="Times New Roman" w:hAnsi="Times New Roman" w:eastAsia="黑体" w:cs="Times New Roman"/>
          <w:b w:val="0"/>
        </w:rPr>
        <w:t>收入支出决算总体情况说明</w:t>
      </w:r>
      <w:bookmarkEnd w:id="18"/>
      <w:bookmarkEnd w:id="19"/>
    </w:p>
    <w:p w14:paraId="7B04E6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eastAsia="zh-CN"/>
        </w:rPr>
        <w:t>4</w:t>
      </w:r>
      <w:r>
        <w:rPr>
          <w:rFonts w:hint="eastAsia" w:ascii="Times New Roman" w:hAnsi="Times New Roman" w:eastAsia="方正仿宋_GBK" w:cs="Times New Roman"/>
          <w:sz w:val="32"/>
          <w:szCs w:val="32"/>
          <w:lang w:eastAsia="zh-CN"/>
        </w:rPr>
        <w:t>年度收、支总计均为</w:t>
      </w:r>
      <w:r>
        <w:rPr>
          <w:rFonts w:hint="default" w:ascii="Times New Roman" w:hAnsi="Times New Roman" w:eastAsia="方正仿宋_GBK" w:cs="Times New Roman"/>
          <w:sz w:val="32"/>
          <w:szCs w:val="32"/>
          <w:lang w:eastAsia="zh-CN"/>
        </w:rPr>
        <w:t>2936.81</w:t>
      </w:r>
      <w:r>
        <w:rPr>
          <w:rFonts w:hint="eastAsia" w:ascii="Times New Roman" w:hAnsi="Times New Roman" w:eastAsia="方正仿宋_GBK" w:cs="Times New Roman"/>
          <w:sz w:val="32"/>
          <w:szCs w:val="32"/>
          <w:lang w:eastAsia="zh-CN"/>
        </w:rPr>
        <w:t>万元。与202</w:t>
      </w:r>
      <w:r>
        <w:rPr>
          <w:rFonts w:hint="default" w:ascii="Times New Roman" w:hAnsi="Times New Roman" w:eastAsia="方正仿宋_GBK" w:cs="Times New Roman"/>
          <w:sz w:val="32"/>
          <w:szCs w:val="32"/>
          <w:lang w:eastAsia="zh-CN"/>
        </w:rPr>
        <w:t>3</w:t>
      </w:r>
      <w:r>
        <w:rPr>
          <w:rFonts w:hint="eastAsia" w:ascii="Times New Roman" w:hAnsi="Times New Roman" w:eastAsia="方正仿宋_GBK" w:cs="Times New Roman"/>
          <w:sz w:val="32"/>
          <w:szCs w:val="32"/>
          <w:lang w:eastAsia="zh-CN"/>
        </w:rPr>
        <w:t>年度相比，收、支总计各增加</w:t>
      </w:r>
      <w:r>
        <w:rPr>
          <w:rFonts w:hint="default" w:ascii="Times New Roman" w:hAnsi="Times New Roman" w:eastAsia="方正仿宋_GBK" w:cs="Times New Roman"/>
          <w:sz w:val="32"/>
          <w:szCs w:val="32"/>
          <w:lang w:eastAsia="zh-CN"/>
        </w:rPr>
        <w:t>127.07</w:t>
      </w:r>
      <w:r>
        <w:rPr>
          <w:rFonts w:hint="eastAsia" w:ascii="Times New Roman" w:hAnsi="Times New Roman" w:eastAsia="方正仿宋_GBK" w:cs="Times New Roman"/>
          <w:sz w:val="32"/>
          <w:szCs w:val="32"/>
          <w:lang w:eastAsia="zh-CN"/>
        </w:rPr>
        <w:t>万元，同比增长</w:t>
      </w:r>
      <w:r>
        <w:rPr>
          <w:rFonts w:hint="default" w:ascii="Times New Roman" w:hAnsi="Times New Roman" w:eastAsia="方正仿宋_GBK" w:cs="Times New Roman"/>
          <w:sz w:val="32"/>
          <w:szCs w:val="32"/>
          <w:lang w:eastAsia="zh-CN"/>
        </w:rPr>
        <w:t>4.52%</w:t>
      </w:r>
      <w:r>
        <w:rPr>
          <w:rFonts w:hint="eastAsia" w:ascii="Times New Roman" w:hAnsi="Times New Roman" w:eastAsia="方正仿宋_GBK" w:cs="Times New Roman"/>
          <w:sz w:val="32"/>
          <w:szCs w:val="32"/>
          <w:lang w:eastAsia="zh-CN"/>
        </w:rPr>
        <w:t>。主要变动原因是项目资金</w:t>
      </w:r>
      <w:r>
        <w:rPr>
          <w:rFonts w:hint="default" w:ascii="Times New Roman" w:hAnsi="Times New Roman" w:eastAsia="方正仿宋_GBK" w:cs="Times New Roman"/>
          <w:sz w:val="32"/>
          <w:szCs w:val="32"/>
          <w:lang w:eastAsia="zh-CN"/>
        </w:rPr>
        <w:t>较上年增加。</w:t>
      </w:r>
    </w:p>
    <w:p w14:paraId="3CF49339">
      <w:pPr>
        <w:pStyle w:val="18"/>
        <w:pageBreakBefore w:val="0"/>
        <w:widowControl w:val="0"/>
        <w:kinsoku/>
        <w:wordWrap/>
        <w:overflowPunct/>
        <w:topLinePunct w:val="0"/>
        <w:bidi w:val="0"/>
        <w:snapToGrid/>
        <w:spacing w:before="0" w:after="0" w:line="240" w:lineRule="auto"/>
        <w:ind w:left="0" w:leftChars="0" w:right="0" w:firstLine="1446" w:firstLineChars="450"/>
        <w:textAlignment w:val="auto"/>
        <w:rPr>
          <w:rFonts w:ascii="仿宋_GB2312" w:eastAsia="仿宋_GB2312"/>
          <w:sz w:val="32"/>
          <w:szCs w:val="32"/>
        </w:rPr>
      </w:pPr>
      <w:r>
        <w:rPr>
          <w:rFonts w:hint="default" w:ascii="Times New Roman" w:hAnsi="Times New Roman" w:eastAsia="方正仿宋_GBK" w:cs="Times New Roman"/>
          <w:b/>
          <w:bCs/>
          <w:kern w:val="2"/>
          <w:sz w:val="32"/>
          <w:szCs w:val="32"/>
          <w:lang w:val="en-US" w:eastAsia="zh-CN" w:bidi="ar-SA"/>
        </w:rPr>
        <w:t>图1：收、支决算总计变动情况图（万元）</w:t>
      </w:r>
      <w:r>
        <w:rPr>
          <w:rFonts w:hint="eastAsia"/>
        </w:rPr>
        <w:drawing>
          <wp:inline distT="0" distB="0" distL="0" distR="0">
            <wp:extent cx="5612765" cy="3647440"/>
            <wp:effectExtent l="4445" t="4445" r="21590" b="571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57A22E8">
      <w:pPr>
        <w:pStyle w:val="26"/>
        <w:pageBreakBefore w:val="0"/>
        <w:widowControl w:val="0"/>
        <w:numPr>
          <w:numId w:val="0"/>
        </w:numPr>
        <w:kinsoku/>
        <w:wordWrap/>
        <w:overflowPunct/>
        <w:topLinePunct w:val="0"/>
        <w:bidi w:val="0"/>
        <w:snapToGrid/>
        <w:spacing w:line="240" w:lineRule="auto"/>
        <w:ind w:right="0" w:rightChars="0" w:firstLine="640" w:firstLineChars="200"/>
        <w:textAlignment w:val="auto"/>
        <w:outlineLvl w:val="1"/>
        <w:rPr>
          <w:rStyle w:val="28"/>
          <w:rFonts w:ascii="黑体" w:hAnsi="黑体" w:eastAsia="黑体"/>
          <w:b w:val="0"/>
        </w:rPr>
      </w:pPr>
      <w:bookmarkStart w:id="20" w:name="_Toc15396604"/>
      <w:bookmarkStart w:id="21" w:name="_Toc15377206"/>
      <w:r>
        <w:rPr>
          <w:rFonts w:hint="eastAsia" w:ascii="黑体" w:hAnsi="黑体" w:eastAsia="黑体"/>
          <w:sz w:val="32"/>
          <w:szCs w:val="32"/>
          <w:lang w:val="en-US" w:eastAsia="zh-CN"/>
        </w:rPr>
        <w:t>二、</w:t>
      </w:r>
      <w:r>
        <w:rPr>
          <w:rFonts w:hint="eastAsia" w:ascii="黑体" w:hAnsi="黑体" w:eastAsia="黑体"/>
          <w:sz w:val="32"/>
          <w:szCs w:val="32"/>
        </w:rPr>
        <w:t>收</w:t>
      </w:r>
      <w:r>
        <w:rPr>
          <w:rStyle w:val="28"/>
          <w:rFonts w:hint="eastAsia" w:ascii="黑体" w:hAnsi="黑体" w:eastAsia="黑体"/>
          <w:b w:val="0"/>
        </w:rPr>
        <w:t>入决算情况说明</w:t>
      </w:r>
      <w:bookmarkEnd w:id="20"/>
      <w:bookmarkEnd w:id="21"/>
    </w:p>
    <w:p w14:paraId="7A73A0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eastAsia="zh-CN"/>
        </w:rPr>
        <w:t>4</w:t>
      </w:r>
      <w:r>
        <w:rPr>
          <w:rFonts w:hint="eastAsia" w:ascii="Times New Roman" w:hAnsi="Times New Roman" w:eastAsia="方正仿宋_GBK" w:cs="Times New Roman"/>
          <w:sz w:val="32"/>
          <w:szCs w:val="32"/>
          <w:lang w:eastAsia="zh-CN"/>
        </w:rPr>
        <w:t>年度本年收入合计</w:t>
      </w:r>
      <w:r>
        <w:rPr>
          <w:rFonts w:hint="default" w:ascii="Times New Roman" w:hAnsi="Times New Roman" w:eastAsia="方正仿宋_GBK" w:cs="Times New Roman"/>
          <w:sz w:val="32"/>
          <w:szCs w:val="32"/>
          <w:lang w:eastAsia="zh-CN"/>
        </w:rPr>
        <w:t>2936.81</w:t>
      </w:r>
      <w:r>
        <w:rPr>
          <w:rFonts w:hint="eastAsia" w:ascii="Times New Roman" w:hAnsi="Times New Roman" w:eastAsia="方正仿宋_GBK" w:cs="Times New Roman"/>
          <w:sz w:val="32"/>
          <w:szCs w:val="32"/>
          <w:lang w:eastAsia="zh-CN"/>
        </w:rPr>
        <w:t>万元，其中：一般公共预算财政拨款收入</w:t>
      </w:r>
      <w:r>
        <w:rPr>
          <w:rFonts w:hint="default" w:ascii="Times New Roman" w:hAnsi="Times New Roman" w:eastAsia="方正仿宋_GBK" w:cs="Times New Roman"/>
          <w:sz w:val="32"/>
          <w:szCs w:val="32"/>
          <w:lang w:eastAsia="zh-CN"/>
        </w:rPr>
        <w:t>2828.93</w:t>
      </w:r>
      <w:r>
        <w:rPr>
          <w:rFonts w:hint="eastAsia" w:ascii="Times New Roman" w:hAnsi="Times New Roman" w:eastAsia="方正仿宋_GBK" w:cs="Times New Roman"/>
          <w:sz w:val="32"/>
          <w:szCs w:val="32"/>
          <w:lang w:eastAsia="zh-CN"/>
        </w:rPr>
        <w:t>万元，占</w:t>
      </w:r>
      <w:r>
        <w:rPr>
          <w:rFonts w:hint="default" w:ascii="Times New Roman" w:hAnsi="Times New Roman" w:eastAsia="方正仿宋_GBK" w:cs="Times New Roman"/>
          <w:sz w:val="32"/>
          <w:szCs w:val="32"/>
          <w:lang w:eastAsia="zh-CN"/>
        </w:rPr>
        <w:t>96.33%</w:t>
      </w:r>
      <w:r>
        <w:rPr>
          <w:rFonts w:hint="eastAsia" w:ascii="Times New Roman" w:hAnsi="Times New Roman" w:eastAsia="方正仿宋_GBK" w:cs="Times New Roman"/>
          <w:sz w:val="32"/>
          <w:szCs w:val="32"/>
          <w:lang w:eastAsia="zh-CN"/>
        </w:rPr>
        <w:t>；政府性基金预算财政拨款收入</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万元，占</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；国有资本经营预算财政拨款收入</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万元，占</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；上级补助收入</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万元，占</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；事业收入</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万元，占</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；经营收入</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万元，占</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；附属单位上缴收入</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万元，占</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；其他收入</w:t>
      </w:r>
      <w:r>
        <w:rPr>
          <w:rFonts w:hint="default" w:ascii="Times New Roman" w:hAnsi="Times New Roman" w:eastAsia="方正仿宋_GBK" w:cs="Times New Roman"/>
          <w:sz w:val="32"/>
          <w:szCs w:val="32"/>
          <w:lang w:eastAsia="zh-CN"/>
        </w:rPr>
        <w:t>107.88</w:t>
      </w:r>
      <w:r>
        <w:rPr>
          <w:rFonts w:hint="eastAsia" w:ascii="Times New Roman" w:hAnsi="Times New Roman" w:eastAsia="方正仿宋_GBK" w:cs="Times New Roman"/>
          <w:sz w:val="32"/>
          <w:szCs w:val="32"/>
          <w:lang w:eastAsia="zh-CN"/>
        </w:rPr>
        <w:t>万元，占</w:t>
      </w:r>
      <w:r>
        <w:rPr>
          <w:rFonts w:hint="default" w:ascii="Times New Roman" w:hAnsi="Times New Roman" w:eastAsia="方正仿宋_GBK" w:cs="Times New Roman"/>
          <w:sz w:val="32"/>
          <w:szCs w:val="32"/>
          <w:lang w:eastAsia="zh-CN"/>
        </w:rPr>
        <w:t>3.67%</w:t>
      </w:r>
    </w:p>
    <w:p w14:paraId="3869B66E">
      <w:pPr>
        <w:pageBreakBefore w:val="0"/>
        <w:widowControl w:val="0"/>
        <w:kinsoku/>
        <w:wordWrap/>
        <w:overflowPunct/>
        <w:topLinePunct w:val="0"/>
        <w:bidi w:val="0"/>
        <w:snapToGrid/>
        <w:spacing w:line="240" w:lineRule="auto"/>
        <w:ind w:left="0" w:leftChars="0" w:right="0" w:firstLine="2249" w:firstLineChars="700"/>
        <w:textAlignment w:val="auto"/>
        <w:rPr>
          <w:rFonts w:hint="eastAsia" w:hAnsi="Arial" w:eastAsia="仿宋"/>
          <w:b/>
          <w:sz w:val="32"/>
          <w:szCs w:val="32"/>
        </w:rPr>
      </w:pPr>
    </w:p>
    <w:p w14:paraId="583A72BF">
      <w:pPr>
        <w:pageBreakBefore w:val="0"/>
        <w:widowControl w:val="0"/>
        <w:kinsoku/>
        <w:wordWrap/>
        <w:overflowPunct/>
        <w:topLinePunct w:val="0"/>
        <w:bidi w:val="0"/>
        <w:snapToGrid/>
        <w:spacing w:line="240" w:lineRule="auto"/>
        <w:ind w:left="0" w:leftChars="0" w:right="0" w:firstLine="2249" w:firstLineChars="700"/>
        <w:textAlignment w:val="auto"/>
        <w:rPr>
          <w:rFonts w:hint="eastAsia" w:hAnsi="Arial" w:eastAsia="仿宋"/>
          <w:b/>
          <w:sz w:val="32"/>
          <w:szCs w:val="32"/>
        </w:rPr>
      </w:pPr>
    </w:p>
    <w:p w14:paraId="526F3137">
      <w:pPr>
        <w:pageBreakBefore w:val="0"/>
        <w:widowControl w:val="0"/>
        <w:kinsoku/>
        <w:wordWrap/>
        <w:overflowPunct/>
        <w:topLinePunct w:val="0"/>
        <w:bidi w:val="0"/>
        <w:snapToGrid/>
        <w:spacing w:line="240" w:lineRule="auto"/>
        <w:ind w:left="0" w:leftChars="0" w:right="0" w:firstLine="2249" w:firstLineChars="700"/>
        <w:textAlignment w:val="auto"/>
        <w:rPr>
          <w:rFonts w:hint="eastAsia" w:hAnsi="Arial" w:eastAsia="仿宋"/>
          <w:b/>
          <w:sz w:val="32"/>
          <w:szCs w:val="32"/>
        </w:rPr>
      </w:pPr>
    </w:p>
    <w:p w14:paraId="3AC4CE04">
      <w:pPr>
        <w:pageBreakBefore w:val="0"/>
        <w:widowControl w:val="0"/>
        <w:kinsoku/>
        <w:wordWrap/>
        <w:overflowPunct/>
        <w:topLinePunct w:val="0"/>
        <w:bidi w:val="0"/>
        <w:snapToGrid/>
        <w:spacing w:line="240" w:lineRule="auto"/>
        <w:ind w:right="0"/>
        <w:jc w:val="center"/>
        <w:textAlignment w:val="auto"/>
        <w:rPr>
          <w:rFonts w:hint="default" w:ascii="Times New Roman" w:hAnsi="Times New Roman" w:eastAsia="方正仿宋_GBK" w:cs="Times New Roman"/>
          <w:b/>
          <w:bCs/>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图2：收入决算结构图（万元）</w:t>
      </w:r>
    </w:p>
    <w:p w14:paraId="4065476F">
      <w:pPr>
        <w:pStyle w:val="18"/>
        <w:pageBreakBefore w:val="0"/>
        <w:widowControl w:val="0"/>
        <w:kinsoku/>
        <w:wordWrap/>
        <w:overflowPunct/>
        <w:topLinePunct w:val="0"/>
        <w:bidi w:val="0"/>
        <w:snapToGrid/>
        <w:spacing w:before="0" w:after="0" w:line="240" w:lineRule="auto"/>
        <w:ind w:left="0" w:leftChars="0" w:right="0"/>
        <w:textAlignment w:val="auto"/>
      </w:pPr>
      <w:r>
        <w:rPr>
          <w:rFonts w:hint="eastAsia"/>
        </w:rPr>
        <w:drawing>
          <wp:anchor distT="0" distB="0" distL="0" distR="0" simplePos="0" relativeHeight="251659264" behindDoc="1" locked="0" layoutInCell="1" allowOverlap="1">
            <wp:simplePos x="0" y="0"/>
            <wp:positionH relativeFrom="column">
              <wp:posOffset>334010</wp:posOffset>
            </wp:positionH>
            <wp:positionV relativeFrom="paragraph">
              <wp:posOffset>78740</wp:posOffset>
            </wp:positionV>
            <wp:extent cx="4876800" cy="2121535"/>
            <wp:effectExtent l="4445" t="4445" r="52705" b="45720"/>
            <wp:wrapTight wrapText="bothSides">
              <wp:wrapPolygon>
                <wp:start x="-20" y="-45"/>
                <wp:lineTo x="-20" y="21484"/>
                <wp:lineTo x="21580" y="21484"/>
                <wp:lineTo x="21580" y="-45"/>
                <wp:lineTo x="-20" y="-45"/>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24AEB655">
      <w:pPr>
        <w:pStyle w:val="26"/>
        <w:pageBreakBefore w:val="0"/>
        <w:widowControl w:val="0"/>
        <w:numPr>
          <w:numId w:val="0"/>
        </w:numPr>
        <w:kinsoku/>
        <w:wordWrap/>
        <w:overflowPunct/>
        <w:topLinePunct w:val="0"/>
        <w:bidi w:val="0"/>
        <w:snapToGrid/>
        <w:spacing w:line="240" w:lineRule="auto"/>
        <w:ind w:right="0" w:rightChars="0"/>
        <w:textAlignment w:val="auto"/>
        <w:outlineLvl w:val="1"/>
        <w:rPr>
          <w:rFonts w:hint="eastAsia" w:ascii="黑体" w:hAnsi="黑体" w:eastAsia="黑体"/>
          <w:sz w:val="32"/>
          <w:szCs w:val="32"/>
          <w:lang w:val="en-US" w:eastAsia="zh-CN"/>
        </w:rPr>
      </w:pPr>
      <w:bookmarkStart w:id="22" w:name="_Toc15377207"/>
      <w:bookmarkStart w:id="23" w:name="_Toc15396605"/>
    </w:p>
    <w:p w14:paraId="4014CB0A">
      <w:pPr>
        <w:pStyle w:val="26"/>
        <w:pageBreakBefore w:val="0"/>
        <w:widowControl w:val="0"/>
        <w:numPr>
          <w:numId w:val="0"/>
        </w:numPr>
        <w:kinsoku/>
        <w:wordWrap/>
        <w:overflowPunct/>
        <w:topLinePunct w:val="0"/>
        <w:bidi w:val="0"/>
        <w:snapToGrid/>
        <w:spacing w:line="240" w:lineRule="auto"/>
        <w:ind w:right="0" w:rightChars="0"/>
        <w:textAlignment w:val="auto"/>
        <w:outlineLvl w:val="1"/>
        <w:rPr>
          <w:rFonts w:hint="eastAsia" w:ascii="黑体" w:hAnsi="黑体" w:eastAsia="黑体"/>
          <w:sz w:val="32"/>
          <w:szCs w:val="32"/>
          <w:lang w:val="en-US" w:eastAsia="zh-CN"/>
        </w:rPr>
      </w:pPr>
    </w:p>
    <w:p w14:paraId="1E063D17">
      <w:pPr>
        <w:pStyle w:val="26"/>
        <w:pageBreakBefore w:val="0"/>
        <w:widowControl w:val="0"/>
        <w:numPr>
          <w:numId w:val="0"/>
        </w:numPr>
        <w:kinsoku/>
        <w:wordWrap/>
        <w:overflowPunct/>
        <w:topLinePunct w:val="0"/>
        <w:bidi w:val="0"/>
        <w:snapToGrid/>
        <w:spacing w:line="240" w:lineRule="auto"/>
        <w:ind w:right="0" w:rightChars="0"/>
        <w:textAlignment w:val="auto"/>
        <w:outlineLvl w:val="1"/>
        <w:rPr>
          <w:rFonts w:hint="eastAsia" w:ascii="黑体" w:hAnsi="黑体" w:eastAsia="黑体"/>
          <w:sz w:val="32"/>
          <w:szCs w:val="32"/>
          <w:lang w:val="en-US" w:eastAsia="zh-CN"/>
        </w:rPr>
      </w:pPr>
    </w:p>
    <w:p w14:paraId="5EB0BAEA">
      <w:pPr>
        <w:pStyle w:val="26"/>
        <w:pageBreakBefore w:val="0"/>
        <w:widowControl w:val="0"/>
        <w:numPr>
          <w:numId w:val="0"/>
        </w:numPr>
        <w:kinsoku/>
        <w:wordWrap/>
        <w:overflowPunct/>
        <w:topLinePunct w:val="0"/>
        <w:bidi w:val="0"/>
        <w:snapToGrid/>
        <w:spacing w:line="240" w:lineRule="auto"/>
        <w:ind w:right="0" w:rightChars="0"/>
        <w:textAlignment w:val="auto"/>
        <w:outlineLvl w:val="1"/>
        <w:rPr>
          <w:rFonts w:hint="eastAsia" w:ascii="黑体" w:hAnsi="黑体" w:eastAsia="黑体"/>
          <w:sz w:val="32"/>
          <w:szCs w:val="32"/>
          <w:lang w:val="en-US" w:eastAsia="zh-CN"/>
        </w:rPr>
      </w:pPr>
    </w:p>
    <w:p w14:paraId="23848E3D">
      <w:pPr>
        <w:pStyle w:val="26"/>
        <w:pageBreakBefore w:val="0"/>
        <w:widowControl w:val="0"/>
        <w:numPr>
          <w:numId w:val="0"/>
        </w:numPr>
        <w:kinsoku/>
        <w:wordWrap/>
        <w:overflowPunct/>
        <w:topLinePunct w:val="0"/>
        <w:bidi w:val="0"/>
        <w:snapToGrid/>
        <w:spacing w:line="240" w:lineRule="auto"/>
        <w:ind w:right="0" w:rightChars="0"/>
        <w:textAlignment w:val="auto"/>
        <w:outlineLvl w:val="1"/>
        <w:rPr>
          <w:rFonts w:hint="eastAsia" w:ascii="黑体" w:hAnsi="黑体" w:eastAsia="黑体"/>
          <w:sz w:val="32"/>
          <w:szCs w:val="32"/>
          <w:lang w:val="en-US" w:eastAsia="zh-CN"/>
        </w:rPr>
      </w:pPr>
    </w:p>
    <w:p w14:paraId="7838D01B">
      <w:pPr>
        <w:pStyle w:val="26"/>
        <w:pageBreakBefore w:val="0"/>
        <w:widowControl w:val="0"/>
        <w:numPr>
          <w:numId w:val="0"/>
        </w:numPr>
        <w:kinsoku/>
        <w:wordWrap/>
        <w:overflowPunct/>
        <w:topLinePunct w:val="0"/>
        <w:bidi w:val="0"/>
        <w:snapToGrid/>
        <w:spacing w:line="240" w:lineRule="auto"/>
        <w:ind w:right="0" w:rightChars="0" w:firstLine="640" w:firstLineChars="200"/>
        <w:textAlignment w:val="auto"/>
        <w:outlineLvl w:val="1"/>
        <w:rPr>
          <w:rStyle w:val="28"/>
          <w:rFonts w:ascii="黑体" w:hAnsi="黑体" w:eastAsia="黑体"/>
          <w:b w:val="0"/>
        </w:rPr>
      </w:pPr>
      <w:r>
        <w:rPr>
          <w:rFonts w:hint="eastAsia" w:ascii="黑体" w:hAnsi="黑体" w:eastAsia="黑体"/>
          <w:sz w:val="32"/>
          <w:szCs w:val="32"/>
          <w:lang w:val="en-US" w:eastAsia="zh-CN"/>
        </w:rPr>
        <w:t>三、</w:t>
      </w:r>
      <w:r>
        <w:rPr>
          <w:rFonts w:hint="eastAsia" w:ascii="黑体" w:hAnsi="黑体" w:eastAsia="黑体"/>
          <w:sz w:val="32"/>
          <w:szCs w:val="32"/>
        </w:rPr>
        <w:t>支</w:t>
      </w:r>
      <w:r>
        <w:rPr>
          <w:rStyle w:val="28"/>
          <w:rFonts w:hint="eastAsia" w:ascii="黑体" w:hAnsi="黑体" w:eastAsia="黑体"/>
          <w:b w:val="0"/>
        </w:rPr>
        <w:t>出决算情况说明</w:t>
      </w:r>
      <w:bookmarkEnd w:id="22"/>
      <w:bookmarkEnd w:id="23"/>
    </w:p>
    <w:p w14:paraId="36F6A2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eastAsia="zh-CN"/>
        </w:rPr>
        <w:t>4</w:t>
      </w:r>
      <w:r>
        <w:rPr>
          <w:rFonts w:hint="eastAsia" w:ascii="Times New Roman" w:hAnsi="Times New Roman" w:eastAsia="方正仿宋_GBK" w:cs="Times New Roman"/>
          <w:sz w:val="32"/>
          <w:szCs w:val="32"/>
          <w:lang w:eastAsia="zh-CN"/>
        </w:rPr>
        <w:t>年度本年支出合计</w:t>
      </w:r>
      <w:r>
        <w:rPr>
          <w:rFonts w:hint="default" w:ascii="Times New Roman" w:hAnsi="Times New Roman" w:eastAsia="方正仿宋_GBK" w:cs="Times New Roman"/>
          <w:sz w:val="32"/>
          <w:szCs w:val="32"/>
          <w:lang w:eastAsia="zh-CN"/>
        </w:rPr>
        <w:t>2889.71</w:t>
      </w:r>
      <w:r>
        <w:rPr>
          <w:rFonts w:hint="eastAsia" w:ascii="Times New Roman" w:hAnsi="Times New Roman" w:eastAsia="方正仿宋_GBK" w:cs="Times New Roman"/>
          <w:sz w:val="32"/>
          <w:szCs w:val="32"/>
          <w:lang w:eastAsia="zh-CN"/>
        </w:rPr>
        <w:t>万元，其中：基本支出</w:t>
      </w:r>
      <w:r>
        <w:rPr>
          <w:rFonts w:hint="default" w:ascii="Times New Roman" w:hAnsi="Times New Roman" w:eastAsia="方正仿宋_GBK" w:cs="Times New Roman"/>
          <w:sz w:val="32"/>
          <w:szCs w:val="32"/>
          <w:lang w:eastAsia="zh-CN"/>
        </w:rPr>
        <w:t>254.46</w:t>
      </w:r>
      <w:r>
        <w:rPr>
          <w:rFonts w:hint="eastAsia" w:ascii="Times New Roman" w:hAnsi="Times New Roman" w:eastAsia="方正仿宋_GBK" w:cs="Times New Roman"/>
          <w:sz w:val="32"/>
          <w:szCs w:val="32"/>
          <w:lang w:eastAsia="zh-CN"/>
        </w:rPr>
        <w:t>万元，占</w:t>
      </w:r>
      <w:r>
        <w:rPr>
          <w:rFonts w:hint="default" w:ascii="Times New Roman" w:hAnsi="Times New Roman" w:eastAsia="方正仿宋_GBK" w:cs="Times New Roman"/>
          <w:sz w:val="32"/>
          <w:szCs w:val="32"/>
          <w:lang w:eastAsia="zh-CN"/>
        </w:rPr>
        <w:t>8.81%</w:t>
      </w:r>
      <w:r>
        <w:rPr>
          <w:rFonts w:hint="eastAsia" w:ascii="Times New Roman" w:hAnsi="Times New Roman" w:eastAsia="方正仿宋_GBK" w:cs="Times New Roman"/>
          <w:sz w:val="32"/>
          <w:szCs w:val="32"/>
          <w:lang w:eastAsia="zh-CN"/>
        </w:rPr>
        <w:t>；项目支出</w:t>
      </w:r>
      <w:r>
        <w:rPr>
          <w:rFonts w:hint="default" w:ascii="Times New Roman" w:hAnsi="Times New Roman" w:eastAsia="方正仿宋_GBK" w:cs="Times New Roman"/>
          <w:sz w:val="32"/>
          <w:szCs w:val="32"/>
          <w:lang w:eastAsia="zh-CN"/>
        </w:rPr>
        <w:t>2635.24</w:t>
      </w:r>
      <w:r>
        <w:rPr>
          <w:rFonts w:hint="eastAsia" w:ascii="Times New Roman" w:hAnsi="Times New Roman" w:eastAsia="方正仿宋_GBK" w:cs="Times New Roman"/>
          <w:sz w:val="32"/>
          <w:szCs w:val="32"/>
          <w:lang w:eastAsia="zh-CN"/>
        </w:rPr>
        <w:t>万元，占</w:t>
      </w:r>
      <w:r>
        <w:rPr>
          <w:rFonts w:hint="default" w:ascii="Times New Roman" w:hAnsi="Times New Roman" w:eastAsia="方正仿宋_GBK" w:cs="Times New Roman"/>
          <w:sz w:val="32"/>
          <w:szCs w:val="32"/>
          <w:lang w:eastAsia="zh-CN"/>
        </w:rPr>
        <w:t>91.19%</w:t>
      </w:r>
      <w:r>
        <w:rPr>
          <w:rFonts w:hint="eastAsia" w:ascii="Times New Roman" w:hAnsi="Times New Roman" w:eastAsia="方正仿宋_GBK" w:cs="Times New Roman"/>
          <w:sz w:val="32"/>
          <w:szCs w:val="32"/>
          <w:lang w:eastAsia="zh-CN"/>
        </w:rPr>
        <w:t>；上缴上级支出</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万元，占0</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；经营支出</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万元，占</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；对附属单位补助支出</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万元，占</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w:t>
      </w:r>
    </w:p>
    <w:p w14:paraId="4C43252A">
      <w:pPr>
        <w:pageBreakBefore w:val="0"/>
        <w:widowControl w:val="0"/>
        <w:kinsoku/>
        <w:wordWrap/>
        <w:overflowPunct/>
        <w:topLinePunct w:val="0"/>
        <w:bidi w:val="0"/>
        <w:snapToGrid/>
        <w:spacing w:line="240" w:lineRule="auto"/>
        <w:ind w:right="0"/>
        <w:jc w:val="center"/>
        <w:textAlignment w:val="auto"/>
        <w:rPr>
          <w:rFonts w:hint="default" w:ascii="Times New Roman" w:hAnsi="Times New Roman" w:eastAsia="方正仿宋_GBK" w:cs="Times New Roman"/>
          <w:b/>
          <w:bCs/>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图3：支出决算结构图</w:t>
      </w:r>
    </w:p>
    <w:p w14:paraId="13C14148">
      <w:pPr>
        <w:pStyle w:val="18"/>
        <w:pageBreakBefore w:val="0"/>
        <w:widowControl w:val="0"/>
        <w:kinsoku/>
        <w:wordWrap/>
        <w:overflowPunct/>
        <w:topLinePunct w:val="0"/>
        <w:bidi w:val="0"/>
        <w:snapToGrid/>
        <w:spacing w:before="0" w:after="0" w:line="240" w:lineRule="auto"/>
        <w:ind w:left="0" w:leftChars="0" w:right="0"/>
        <w:jc w:val="center"/>
        <w:textAlignment w:val="auto"/>
      </w:pPr>
      <w:r>
        <w:drawing>
          <wp:inline distT="0" distB="0" distL="0" distR="0">
            <wp:extent cx="4769485" cy="2515870"/>
            <wp:effectExtent l="4445" t="5080" r="7620" b="1270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7873056">
      <w:pPr>
        <w:pageBreakBefore w:val="0"/>
        <w:widowControl w:val="0"/>
        <w:kinsoku/>
        <w:wordWrap/>
        <w:overflowPunct/>
        <w:topLinePunct w:val="0"/>
        <w:bidi w:val="0"/>
        <w:snapToGrid/>
        <w:spacing w:line="240" w:lineRule="auto"/>
        <w:ind w:left="0" w:leftChars="0" w:right="0" w:firstLine="640" w:firstLineChars="200"/>
        <w:textAlignment w:val="auto"/>
        <w:outlineLvl w:val="1"/>
        <w:rPr>
          <w:rFonts w:hint="eastAsia" w:ascii="黑体" w:hAnsi="黑体" w:eastAsia="黑体"/>
          <w:sz w:val="32"/>
          <w:szCs w:val="32"/>
        </w:rPr>
      </w:pPr>
      <w:bookmarkStart w:id="24" w:name="_Toc15377208"/>
      <w:bookmarkStart w:id="25" w:name="_Toc15396606"/>
    </w:p>
    <w:p w14:paraId="679054FC">
      <w:pPr>
        <w:pageBreakBefore w:val="0"/>
        <w:kinsoku/>
        <w:wordWrap/>
        <w:overflowPunct/>
        <w:topLinePunct w:val="0"/>
        <w:bidi w:val="0"/>
        <w:snapToGrid/>
        <w:spacing w:line="240" w:lineRule="auto"/>
        <w:ind w:left="0" w:leftChars="0" w:firstLine="640" w:firstLineChars="200"/>
        <w:textAlignment w:val="auto"/>
        <w:outlineLvl w:val="1"/>
        <w:rPr>
          <w:rStyle w:val="28"/>
          <w:rFonts w:hint="default" w:ascii="Times New Roman" w:hAnsi="Times New Roman" w:eastAsia="黑体" w:cs="Times New Roman"/>
          <w:b w:val="0"/>
          <w:lang w:val="en-US" w:eastAsia="zh-CN" w:bidi="ar-SA"/>
        </w:rPr>
      </w:pPr>
      <w:r>
        <w:rPr>
          <w:rStyle w:val="28"/>
          <w:rFonts w:hint="eastAsia" w:ascii="Times New Roman" w:hAnsi="Times New Roman" w:eastAsia="黑体" w:cs="Times New Roman"/>
          <w:b w:val="0"/>
          <w:lang w:val="en-US" w:eastAsia="zh-CN" w:bidi="ar-SA"/>
        </w:rPr>
        <w:t>四、财政拨款收入支出决算总体情况说明</w:t>
      </w:r>
      <w:bookmarkEnd w:id="24"/>
      <w:bookmarkEnd w:id="25"/>
    </w:p>
    <w:p w14:paraId="66E304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eastAsia="zh-CN"/>
        </w:rPr>
        <w:t>4</w:t>
      </w:r>
      <w:r>
        <w:rPr>
          <w:rFonts w:hint="eastAsia" w:ascii="Times New Roman" w:hAnsi="Times New Roman" w:eastAsia="方正仿宋_GBK" w:cs="Times New Roman"/>
          <w:sz w:val="32"/>
          <w:szCs w:val="32"/>
          <w:lang w:eastAsia="zh-CN"/>
        </w:rPr>
        <w:t>年度财政拨款收、支总计均为</w:t>
      </w:r>
      <w:r>
        <w:rPr>
          <w:rFonts w:hint="default" w:ascii="Times New Roman" w:hAnsi="Times New Roman" w:eastAsia="方正仿宋_GBK" w:cs="Times New Roman"/>
          <w:sz w:val="32"/>
          <w:szCs w:val="32"/>
          <w:lang w:eastAsia="zh-CN"/>
        </w:rPr>
        <w:t>2828.93</w:t>
      </w:r>
      <w:r>
        <w:rPr>
          <w:rFonts w:hint="eastAsia" w:ascii="Times New Roman" w:hAnsi="Times New Roman" w:eastAsia="方正仿宋_GBK" w:cs="Times New Roman"/>
          <w:sz w:val="32"/>
          <w:szCs w:val="32"/>
          <w:lang w:eastAsia="zh-CN"/>
        </w:rPr>
        <w:t>万元。与202</w:t>
      </w:r>
      <w:r>
        <w:rPr>
          <w:rFonts w:hint="default" w:ascii="Times New Roman" w:hAnsi="Times New Roman" w:eastAsia="方正仿宋_GBK" w:cs="Times New Roman"/>
          <w:sz w:val="32"/>
          <w:szCs w:val="32"/>
          <w:lang w:eastAsia="zh-CN"/>
        </w:rPr>
        <w:t>3</w:t>
      </w:r>
      <w:r>
        <w:rPr>
          <w:rFonts w:hint="eastAsia" w:ascii="Times New Roman" w:hAnsi="Times New Roman" w:eastAsia="方正仿宋_GBK" w:cs="Times New Roman"/>
          <w:sz w:val="32"/>
          <w:szCs w:val="32"/>
          <w:lang w:eastAsia="zh-CN"/>
        </w:rPr>
        <w:t>年度相比，财政拨款收、支总计各增加</w:t>
      </w:r>
      <w:r>
        <w:rPr>
          <w:rFonts w:hint="default" w:ascii="Times New Roman" w:hAnsi="Times New Roman" w:eastAsia="方正仿宋_GBK" w:cs="Times New Roman"/>
          <w:sz w:val="32"/>
          <w:szCs w:val="32"/>
          <w:lang w:eastAsia="zh-CN"/>
        </w:rPr>
        <w:t>19.19</w:t>
      </w:r>
      <w:r>
        <w:rPr>
          <w:rFonts w:hint="eastAsia" w:ascii="Times New Roman" w:hAnsi="Times New Roman" w:eastAsia="方正仿宋_GBK" w:cs="Times New Roman"/>
          <w:sz w:val="32"/>
          <w:szCs w:val="32"/>
          <w:lang w:eastAsia="zh-CN"/>
        </w:rPr>
        <w:t>万元，增长</w:t>
      </w:r>
      <w:r>
        <w:rPr>
          <w:rFonts w:hint="default" w:ascii="Times New Roman" w:hAnsi="Times New Roman" w:eastAsia="方正仿宋_GBK" w:cs="Times New Roman"/>
          <w:sz w:val="32"/>
          <w:szCs w:val="32"/>
          <w:lang w:eastAsia="zh-CN"/>
        </w:rPr>
        <w:t>0.68%</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主要变动原因是项目资金较上年度</w:t>
      </w:r>
      <w:r>
        <w:rPr>
          <w:rFonts w:hint="eastAsia"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eastAsia="zh-CN"/>
        </w:rPr>
        <w:t>。</w:t>
      </w:r>
    </w:p>
    <w:p w14:paraId="6E354A16">
      <w:pPr>
        <w:pageBreakBefore w:val="0"/>
        <w:kinsoku/>
        <w:wordWrap/>
        <w:overflowPunct/>
        <w:topLinePunct w:val="0"/>
        <w:bidi w:val="0"/>
        <w:snapToGrid/>
        <w:spacing w:line="240" w:lineRule="auto"/>
        <w:jc w:val="center"/>
        <w:textAlignment w:val="auto"/>
        <w:rPr>
          <w:rFonts w:hint="default" w:ascii="Times New Roman" w:hAnsi="Times New Roman" w:eastAsia="仿宋" w:cs="Times New Roman"/>
          <w:b/>
          <w:sz w:val="32"/>
          <w:szCs w:val="32"/>
        </w:rPr>
      </w:pPr>
      <w:r>
        <w:rPr>
          <w:rFonts w:hint="eastAsia" w:ascii="Times New Roman" w:hAnsi="Times New Roman" w:eastAsia="仿宋" w:cs="Times New Roman"/>
          <w:b/>
          <w:sz w:val="32"/>
          <w:szCs w:val="32"/>
        </w:rPr>
        <w:t>图4：财政拨款收、支决算总计变动情况（万元）</w:t>
      </w:r>
    </w:p>
    <w:p w14:paraId="275CF54A">
      <w:pPr>
        <w:pStyle w:val="18"/>
        <w:pageBreakBefore w:val="0"/>
        <w:widowControl w:val="0"/>
        <w:kinsoku/>
        <w:wordWrap/>
        <w:overflowPunct/>
        <w:topLinePunct w:val="0"/>
        <w:bidi w:val="0"/>
        <w:snapToGrid/>
        <w:spacing w:before="0" w:after="0" w:line="240" w:lineRule="auto"/>
        <w:ind w:left="0" w:leftChars="0" w:right="0"/>
        <w:jc w:val="center"/>
        <w:textAlignment w:val="auto"/>
        <w:rPr>
          <w:rFonts w:ascii="黑体" w:hAnsi="黑体" w:eastAsia="黑体"/>
          <w:sz w:val="32"/>
          <w:szCs w:val="32"/>
        </w:rPr>
      </w:pPr>
      <w:r>
        <w:drawing>
          <wp:inline distT="0" distB="0" distL="0" distR="0">
            <wp:extent cx="5700395" cy="2870835"/>
            <wp:effectExtent l="5080" t="4445" r="9525" b="2032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Start w:id="26" w:name="_Toc15396607"/>
      <w:bookmarkStart w:id="27" w:name="_Toc15377209"/>
    </w:p>
    <w:p w14:paraId="3AC849FA">
      <w:pPr>
        <w:pageBreakBefore w:val="0"/>
        <w:kinsoku/>
        <w:wordWrap/>
        <w:overflowPunct/>
        <w:topLinePunct w:val="0"/>
        <w:bidi w:val="0"/>
        <w:snapToGrid/>
        <w:spacing w:line="240" w:lineRule="auto"/>
        <w:ind w:left="0" w:leftChars="0" w:firstLine="640" w:firstLineChars="200"/>
        <w:textAlignment w:val="auto"/>
        <w:outlineLvl w:val="1"/>
        <w:rPr>
          <w:rStyle w:val="28"/>
          <w:rFonts w:hint="default" w:ascii="Times New Roman" w:hAnsi="Times New Roman" w:eastAsia="黑体" w:cs="Times New Roman"/>
          <w:b w:val="0"/>
          <w:lang w:val="en-US" w:eastAsia="zh-CN" w:bidi="ar-SA"/>
        </w:rPr>
      </w:pPr>
      <w:r>
        <w:rPr>
          <w:rStyle w:val="28"/>
          <w:rFonts w:hint="eastAsia" w:ascii="Times New Roman" w:hAnsi="Times New Roman" w:eastAsia="黑体" w:cs="Times New Roman"/>
          <w:b w:val="0"/>
          <w:lang w:val="en-US" w:eastAsia="zh-CN" w:bidi="ar-SA"/>
        </w:rPr>
        <w:t>五、一般公共预算财政拨款支出决算情况说明</w:t>
      </w:r>
      <w:bookmarkEnd w:id="26"/>
      <w:bookmarkEnd w:id="27"/>
    </w:p>
    <w:p w14:paraId="4B2B33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bookmarkStart w:id="28" w:name="_Toc15377210"/>
      <w:r>
        <w:rPr>
          <w:rFonts w:hint="eastAsia" w:ascii="Times New Roman" w:hAnsi="Times New Roman" w:eastAsia="方正仿宋_GBK" w:cs="Times New Roman"/>
          <w:sz w:val="32"/>
          <w:szCs w:val="32"/>
          <w:lang w:eastAsia="zh-CN"/>
        </w:rPr>
        <w:t>（一）一般公共预算财政拨款支出决算总体情况</w:t>
      </w:r>
      <w:bookmarkEnd w:id="28"/>
    </w:p>
    <w:p w14:paraId="16667B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eastAsia="zh-CN"/>
        </w:rPr>
        <w:t>4</w:t>
      </w:r>
      <w:r>
        <w:rPr>
          <w:rFonts w:hint="eastAsia" w:ascii="Times New Roman" w:hAnsi="Times New Roman" w:eastAsia="方正仿宋_GBK" w:cs="Times New Roman"/>
          <w:sz w:val="32"/>
          <w:szCs w:val="32"/>
          <w:lang w:eastAsia="zh-CN"/>
        </w:rPr>
        <w:t>年度一般公共预算财政拨款支出</w:t>
      </w:r>
      <w:r>
        <w:rPr>
          <w:rFonts w:hint="default" w:ascii="Times New Roman" w:hAnsi="Times New Roman" w:eastAsia="方正仿宋_GBK" w:cs="Times New Roman"/>
          <w:sz w:val="32"/>
          <w:szCs w:val="32"/>
          <w:lang w:eastAsia="zh-CN"/>
        </w:rPr>
        <w:t>2828.93</w:t>
      </w:r>
      <w:r>
        <w:rPr>
          <w:rFonts w:hint="eastAsia" w:ascii="Times New Roman" w:hAnsi="Times New Roman" w:eastAsia="方正仿宋_GBK" w:cs="Times New Roman"/>
          <w:sz w:val="32"/>
          <w:szCs w:val="32"/>
          <w:lang w:eastAsia="zh-CN"/>
        </w:rPr>
        <w:t>万元，占本年支出合计的</w:t>
      </w:r>
      <w:r>
        <w:rPr>
          <w:rFonts w:hint="default" w:ascii="Times New Roman" w:hAnsi="Times New Roman" w:eastAsia="方正仿宋_GBK" w:cs="Times New Roman"/>
          <w:sz w:val="32"/>
          <w:szCs w:val="32"/>
          <w:lang w:eastAsia="zh-CN"/>
        </w:rPr>
        <w:t>97.90%</w:t>
      </w:r>
      <w:r>
        <w:rPr>
          <w:rFonts w:hint="eastAsia" w:ascii="Times New Roman" w:hAnsi="Times New Roman" w:eastAsia="方正仿宋_GBK" w:cs="Times New Roman"/>
          <w:sz w:val="32"/>
          <w:szCs w:val="32"/>
          <w:lang w:eastAsia="zh-CN"/>
        </w:rPr>
        <w:t>。与202</w:t>
      </w:r>
      <w:r>
        <w:rPr>
          <w:rFonts w:hint="default" w:ascii="Times New Roman" w:hAnsi="Times New Roman" w:eastAsia="方正仿宋_GBK" w:cs="Times New Roman"/>
          <w:sz w:val="32"/>
          <w:szCs w:val="32"/>
          <w:lang w:eastAsia="zh-CN"/>
        </w:rPr>
        <w:t>3</w:t>
      </w:r>
      <w:r>
        <w:rPr>
          <w:rFonts w:hint="eastAsia" w:ascii="Times New Roman" w:hAnsi="Times New Roman" w:eastAsia="方正仿宋_GBK" w:cs="Times New Roman"/>
          <w:sz w:val="32"/>
          <w:szCs w:val="32"/>
          <w:lang w:eastAsia="zh-CN"/>
        </w:rPr>
        <w:t>年度相比，一般公共预算财政拨款支出增加</w:t>
      </w:r>
      <w:r>
        <w:rPr>
          <w:rFonts w:hint="default" w:ascii="Times New Roman" w:hAnsi="Times New Roman" w:eastAsia="方正仿宋_GBK" w:cs="Times New Roman"/>
          <w:sz w:val="32"/>
          <w:szCs w:val="32"/>
          <w:lang w:eastAsia="zh-CN"/>
        </w:rPr>
        <w:t>19.19</w:t>
      </w:r>
      <w:r>
        <w:rPr>
          <w:rFonts w:hint="eastAsia" w:ascii="Times New Roman" w:hAnsi="Times New Roman" w:eastAsia="方正仿宋_GBK" w:cs="Times New Roman"/>
          <w:sz w:val="32"/>
          <w:szCs w:val="32"/>
          <w:lang w:eastAsia="zh-CN"/>
        </w:rPr>
        <w:t>万元，增长</w:t>
      </w:r>
      <w:r>
        <w:rPr>
          <w:rFonts w:hint="default" w:ascii="Times New Roman" w:hAnsi="Times New Roman" w:eastAsia="方正仿宋_GBK" w:cs="Times New Roman"/>
          <w:sz w:val="32"/>
          <w:szCs w:val="32"/>
          <w:lang w:eastAsia="zh-CN"/>
        </w:rPr>
        <w:t>0.68%</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主要变动原因是项目资金较上年度</w:t>
      </w:r>
      <w:r>
        <w:rPr>
          <w:rFonts w:hint="eastAsia"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eastAsia="zh-CN"/>
        </w:rPr>
        <w:t>。</w:t>
      </w:r>
    </w:p>
    <w:p w14:paraId="234F3FEA">
      <w:pPr>
        <w:pageBreakBefore w:val="0"/>
        <w:widowControl w:val="0"/>
        <w:kinsoku/>
        <w:wordWrap/>
        <w:overflowPunct/>
        <w:topLinePunct w:val="0"/>
        <w:bidi w:val="0"/>
        <w:snapToGrid/>
        <w:spacing w:line="240" w:lineRule="auto"/>
        <w:ind w:left="0" w:leftChars="0" w:right="0"/>
        <w:jc w:val="center"/>
        <w:textAlignment w:val="auto"/>
        <w:rPr>
          <w:rFonts w:hint="eastAsia" w:hAnsi="Arial" w:eastAsia="仿宋"/>
          <w:b/>
          <w:sz w:val="32"/>
          <w:szCs w:val="32"/>
        </w:rPr>
      </w:pPr>
    </w:p>
    <w:p w14:paraId="2B457774">
      <w:pPr>
        <w:pageBreakBefore w:val="0"/>
        <w:widowControl w:val="0"/>
        <w:kinsoku/>
        <w:wordWrap/>
        <w:overflowPunct/>
        <w:topLinePunct w:val="0"/>
        <w:bidi w:val="0"/>
        <w:snapToGrid/>
        <w:spacing w:line="240" w:lineRule="auto"/>
        <w:ind w:left="0" w:leftChars="0" w:right="0"/>
        <w:jc w:val="center"/>
        <w:textAlignment w:val="auto"/>
        <w:rPr>
          <w:rFonts w:hint="eastAsia" w:hAnsi="Arial" w:eastAsia="仿宋"/>
          <w:b/>
          <w:sz w:val="32"/>
          <w:szCs w:val="32"/>
        </w:rPr>
      </w:pPr>
    </w:p>
    <w:p w14:paraId="0D4C5FBC">
      <w:pPr>
        <w:pageBreakBefore w:val="0"/>
        <w:kinsoku/>
        <w:wordWrap/>
        <w:overflowPunct/>
        <w:topLinePunct w:val="0"/>
        <w:bidi w:val="0"/>
        <w:snapToGrid/>
        <w:spacing w:line="240" w:lineRule="auto"/>
        <w:jc w:val="center"/>
        <w:textAlignment w:val="auto"/>
        <w:rPr>
          <w:rStyle w:val="28"/>
          <w:rFonts w:hint="default" w:ascii="Times New Roman" w:hAnsi="Times New Roman" w:eastAsia="黑体" w:cs="Times New Roman"/>
          <w:b w:val="0"/>
          <w:lang w:val="en-US" w:eastAsia="zh-CN" w:bidi="ar-SA"/>
        </w:rPr>
      </w:pPr>
      <w:r>
        <w:rPr>
          <w:rStyle w:val="28"/>
          <w:rFonts w:hint="eastAsia" w:ascii="Times New Roman" w:hAnsi="Times New Roman" w:eastAsia="黑体" w:cs="Times New Roman"/>
          <w:b w:val="0"/>
          <w:lang w:val="en-US" w:eastAsia="zh-CN" w:bidi="ar-SA"/>
        </w:rPr>
        <w:t>图5：一般公共预算财政拨款支出决算变动情况</w:t>
      </w:r>
    </w:p>
    <w:p w14:paraId="15479916">
      <w:pPr>
        <w:pStyle w:val="18"/>
        <w:pageBreakBefore w:val="0"/>
        <w:widowControl w:val="0"/>
        <w:kinsoku/>
        <w:wordWrap/>
        <w:overflowPunct/>
        <w:topLinePunct w:val="0"/>
        <w:bidi w:val="0"/>
        <w:snapToGrid/>
        <w:spacing w:before="0" w:after="0" w:line="240" w:lineRule="auto"/>
        <w:ind w:left="0" w:leftChars="0" w:right="0"/>
        <w:jc w:val="center"/>
        <w:textAlignment w:val="auto"/>
      </w:pPr>
      <w:r>
        <w:drawing>
          <wp:inline distT="0" distB="0" distL="0" distR="0">
            <wp:extent cx="4130040" cy="1564005"/>
            <wp:effectExtent l="4445" t="4445" r="18415" b="1270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0157D5A">
      <w:pPr>
        <w:pageBreakBefore w:val="0"/>
        <w:kinsoku/>
        <w:wordWrap/>
        <w:overflowPunct/>
        <w:topLinePunct w:val="0"/>
        <w:bidi w:val="0"/>
        <w:snapToGrid/>
        <w:spacing w:line="240" w:lineRule="auto"/>
        <w:ind w:left="0" w:leftChars="0" w:firstLine="640" w:firstLineChars="200"/>
        <w:textAlignment w:val="auto"/>
        <w:outlineLvl w:val="2"/>
        <w:rPr>
          <w:rFonts w:hint="eastAsia" w:ascii="Times New Roman" w:hAnsi="Times New Roman" w:eastAsia="方正楷体_GBK" w:cs="Times New Roman"/>
          <w:b w:val="0"/>
          <w:bCs/>
          <w:sz w:val="32"/>
          <w:szCs w:val="32"/>
        </w:rPr>
      </w:pPr>
      <w:bookmarkStart w:id="29" w:name="_Toc15377211"/>
      <w:r>
        <w:rPr>
          <w:rFonts w:hint="eastAsia" w:ascii="Times New Roman" w:hAnsi="Times New Roman" w:eastAsia="方正楷体_GBK" w:cs="Times New Roman"/>
          <w:b w:val="0"/>
          <w:bCs/>
          <w:sz w:val="32"/>
          <w:szCs w:val="32"/>
        </w:rPr>
        <w:t>（二）一般公共预算财政拨款支出决算结构情况</w:t>
      </w:r>
      <w:bookmarkEnd w:id="29"/>
    </w:p>
    <w:p w14:paraId="5F2221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2024年度一般公共预算财政拨款支出</w:t>
      </w:r>
      <w:r>
        <w:rPr>
          <w:rFonts w:hint="default" w:ascii="Times New Roman" w:hAnsi="Times New Roman" w:eastAsia="方正仿宋_GBK" w:cs="Times New Roman"/>
          <w:sz w:val="32"/>
          <w:szCs w:val="32"/>
          <w:lang w:eastAsia="zh-CN"/>
        </w:rPr>
        <w:t>2828.93</w:t>
      </w:r>
      <w:r>
        <w:rPr>
          <w:rFonts w:hint="eastAsia" w:ascii="Times New Roman" w:hAnsi="Times New Roman" w:eastAsia="方正仿宋_GBK" w:cs="Times New Roman"/>
          <w:sz w:val="32"/>
          <w:szCs w:val="32"/>
          <w:lang w:eastAsia="zh-CN"/>
        </w:rPr>
        <w:t>万元，主要用于以下方面</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一般公共服务支出0万元，占0</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；教育支出0万元，占0</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；科学技术支出0万元，占0</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；文化旅游体育与传媒支出0万元，占0</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；社会保障和就业支出</w:t>
      </w:r>
      <w:r>
        <w:rPr>
          <w:rFonts w:hint="default" w:ascii="Times New Roman" w:hAnsi="Times New Roman" w:eastAsia="方正仿宋_GBK" w:cs="Times New Roman"/>
          <w:sz w:val="32"/>
          <w:szCs w:val="32"/>
          <w:lang w:eastAsia="zh-CN"/>
        </w:rPr>
        <w:t>2744.23</w:t>
      </w:r>
      <w:r>
        <w:rPr>
          <w:rFonts w:hint="eastAsia" w:ascii="Times New Roman" w:hAnsi="Times New Roman" w:eastAsia="方正仿宋_GBK" w:cs="Times New Roman"/>
          <w:sz w:val="32"/>
          <w:szCs w:val="32"/>
          <w:lang w:eastAsia="zh-CN"/>
        </w:rPr>
        <w:t>万元，占</w:t>
      </w:r>
      <w:r>
        <w:rPr>
          <w:rFonts w:hint="default" w:ascii="Times New Roman" w:hAnsi="Times New Roman" w:eastAsia="方正仿宋_GBK" w:cs="Times New Roman"/>
          <w:sz w:val="32"/>
          <w:szCs w:val="32"/>
          <w:lang w:eastAsia="zh-CN"/>
        </w:rPr>
        <w:t>97.00%</w:t>
      </w:r>
      <w:r>
        <w:rPr>
          <w:rFonts w:hint="eastAsia" w:ascii="Times New Roman" w:hAnsi="Times New Roman" w:eastAsia="方正仿宋_GBK" w:cs="Times New Roman"/>
          <w:sz w:val="32"/>
          <w:szCs w:val="32"/>
          <w:lang w:eastAsia="zh-CN"/>
        </w:rPr>
        <w:t>；卫生健康支出</w:t>
      </w:r>
      <w:r>
        <w:rPr>
          <w:rFonts w:hint="default" w:ascii="Times New Roman" w:hAnsi="Times New Roman" w:eastAsia="方正仿宋_GBK" w:cs="Times New Roman"/>
          <w:sz w:val="32"/>
          <w:szCs w:val="32"/>
          <w:lang w:eastAsia="zh-CN"/>
        </w:rPr>
        <w:t>66.59</w:t>
      </w:r>
      <w:r>
        <w:rPr>
          <w:rFonts w:hint="eastAsia" w:ascii="Times New Roman" w:hAnsi="Times New Roman" w:eastAsia="方正仿宋_GBK" w:cs="Times New Roman"/>
          <w:sz w:val="32"/>
          <w:szCs w:val="32"/>
          <w:lang w:eastAsia="zh-CN"/>
        </w:rPr>
        <w:t>万元，占</w:t>
      </w:r>
      <w:r>
        <w:rPr>
          <w:rFonts w:hint="default" w:ascii="Times New Roman" w:hAnsi="Times New Roman" w:eastAsia="方正仿宋_GBK" w:cs="Times New Roman"/>
          <w:sz w:val="32"/>
          <w:szCs w:val="32"/>
          <w:lang w:eastAsia="zh-CN"/>
        </w:rPr>
        <w:t>2.35%</w:t>
      </w:r>
      <w:r>
        <w:rPr>
          <w:rFonts w:hint="eastAsia" w:ascii="Times New Roman" w:hAnsi="Times New Roman" w:eastAsia="方正仿宋_GBK" w:cs="Times New Roman"/>
          <w:sz w:val="32"/>
          <w:szCs w:val="32"/>
          <w:lang w:eastAsia="zh-CN"/>
        </w:rPr>
        <w:t>；住房保障支出</w:t>
      </w:r>
      <w:r>
        <w:rPr>
          <w:rFonts w:hint="default" w:ascii="Times New Roman" w:hAnsi="Times New Roman" w:eastAsia="方正仿宋_GBK" w:cs="Times New Roman"/>
          <w:sz w:val="32"/>
          <w:szCs w:val="32"/>
          <w:lang w:eastAsia="zh-CN"/>
        </w:rPr>
        <w:t>18.11</w:t>
      </w:r>
      <w:r>
        <w:rPr>
          <w:rFonts w:hint="eastAsia" w:ascii="Times New Roman" w:hAnsi="Times New Roman" w:eastAsia="方正仿宋_GBK" w:cs="Times New Roman"/>
          <w:sz w:val="32"/>
          <w:szCs w:val="32"/>
          <w:lang w:eastAsia="zh-CN"/>
        </w:rPr>
        <w:t>万元，占0.</w:t>
      </w:r>
      <w:r>
        <w:rPr>
          <w:rFonts w:hint="default" w:ascii="Times New Roman" w:hAnsi="Times New Roman" w:eastAsia="方正仿宋_GBK" w:cs="Times New Roman"/>
          <w:sz w:val="32"/>
          <w:szCs w:val="32"/>
          <w:lang w:eastAsia="zh-CN"/>
        </w:rPr>
        <w:t>64%</w:t>
      </w:r>
    </w:p>
    <w:p w14:paraId="3202FA6C">
      <w:pPr>
        <w:pageBreakBefore w:val="0"/>
        <w:kinsoku/>
        <w:wordWrap/>
        <w:overflowPunct/>
        <w:topLinePunct w:val="0"/>
        <w:bidi w:val="0"/>
        <w:snapToGrid/>
        <w:spacing w:line="240" w:lineRule="auto"/>
        <w:jc w:val="center"/>
        <w:textAlignment w:val="auto"/>
        <w:rPr>
          <w:rStyle w:val="28"/>
          <w:rFonts w:hint="default" w:ascii="Times New Roman" w:hAnsi="Times New Roman" w:eastAsia="黑体" w:cs="Times New Roman"/>
          <w:b w:val="0"/>
          <w:lang w:val="en-US" w:eastAsia="zh-CN" w:bidi="ar-SA"/>
        </w:rPr>
      </w:pPr>
      <w:r>
        <w:rPr>
          <w:rStyle w:val="28"/>
          <w:rFonts w:hint="eastAsia" w:ascii="Times New Roman" w:hAnsi="Times New Roman" w:eastAsia="黑体" w:cs="Times New Roman"/>
          <w:b w:val="0"/>
          <w:lang w:val="en-US" w:eastAsia="zh-CN" w:bidi="ar-SA"/>
        </w:rPr>
        <w:t>图6：一般公共预算财政拨款支出决算结构</w:t>
      </w:r>
    </w:p>
    <w:p w14:paraId="67723343">
      <w:pPr>
        <w:pStyle w:val="18"/>
        <w:pageBreakBefore w:val="0"/>
        <w:widowControl w:val="0"/>
        <w:kinsoku/>
        <w:wordWrap/>
        <w:overflowPunct/>
        <w:topLinePunct w:val="0"/>
        <w:bidi w:val="0"/>
        <w:snapToGrid/>
        <w:spacing w:before="0" w:after="0" w:line="240" w:lineRule="auto"/>
        <w:ind w:left="0" w:leftChars="0" w:right="0"/>
        <w:jc w:val="center"/>
        <w:textAlignment w:val="auto"/>
      </w:pPr>
      <w:r>
        <w:drawing>
          <wp:inline distT="0" distB="0" distL="0" distR="0">
            <wp:extent cx="4767580" cy="2536190"/>
            <wp:effectExtent l="4445" t="4445" r="9525" b="1206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D1C8A2C">
      <w:pPr>
        <w:pageBreakBefore w:val="0"/>
        <w:kinsoku/>
        <w:wordWrap/>
        <w:overflowPunct/>
        <w:topLinePunct w:val="0"/>
        <w:bidi w:val="0"/>
        <w:snapToGrid/>
        <w:spacing w:line="240" w:lineRule="auto"/>
        <w:ind w:left="0" w:leftChars="0" w:firstLine="640" w:firstLineChars="200"/>
        <w:textAlignment w:val="auto"/>
        <w:outlineLvl w:val="2"/>
        <w:rPr>
          <w:rFonts w:hint="eastAsia" w:ascii="Times New Roman" w:hAnsi="Times New Roman" w:eastAsia="方正楷体_GBK" w:cs="Times New Roman"/>
          <w:b w:val="0"/>
          <w:bCs/>
          <w:sz w:val="32"/>
          <w:szCs w:val="32"/>
        </w:rPr>
      </w:pPr>
      <w:bookmarkStart w:id="30" w:name="_Toc15377212"/>
    </w:p>
    <w:p w14:paraId="3627790F">
      <w:pPr>
        <w:pageBreakBefore w:val="0"/>
        <w:kinsoku/>
        <w:wordWrap/>
        <w:overflowPunct/>
        <w:topLinePunct w:val="0"/>
        <w:bidi w:val="0"/>
        <w:snapToGrid/>
        <w:spacing w:line="240" w:lineRule="auto"/>
        <w:ind w:left="0" w:leftChars="0" w:firstLine="640" w:firstLineChars="200"/>
        <w:textAlignment w:val="auto"/>
        <w:outlineLvl w:val="2"/>
        <w:rPr>
          <w:rFonts w:hint="eastAsia" w:ascii="Times New Roman" w:hAnsi="Times New Roman" w:eastAsia="方正楷体_GBK" w:cs="Times New Roman"/>
          <w:b w:val="0"/>
          <w:bCs/>
          <w:sz w:val="32"/>
          <w:szCs w:val="32"/>
        </w:rPr>
      </w:pPr>
      <w:r>
        <w:rPr>
          <w:rFonts w:hint="eastAsia" w:ascii="Times New Roman" w:hAnsi="Times New Roman" w:eastAsia="方正楷体_GBK" w:cs="Times New Roman"/>
          <w:b w:val="0"/>
          <w:bCs/>
          <w:sz w:val="32"/>
          <w:szCs w:val="32"/>
        </w:rPr>
        <w:t>（三）一般公共预算财政拨款支出决算具体情况</w:t>
      </w:r>
      <w:bookmarkEnd w:id="30"/>
    </w:p>
    <w:p w14:paraId="16D0DD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2024年一般公共预算支出决算数</w:t>
      </w:r>
      <w:bookmarkStart w:id="31" w:name="_Toc15378460"/>
      <w:bookmarkStart w:id="32" w:name="_Toc15377444"/>
      <w:bookmarkStart w:id="33" w:name="_Toc15377213"/>
      <w:r>
        <w:rPr>
          <w:rFonts w:hint="default" w:ascii="Times New Roman" w:hAnsi="Times New Roman" w:eastAsia="方正仿宋_GBK" w:cs="Times New Roman"/>
          <w:sz w:val="32"/>
          <w:szCs w:val="32"/>
          <w:lang w:eastAsia="zh-CN"/>
        </w:rPr>
        <w:t>为2828.93万元，完成预算100%。其中：</w:t>
      </w:r>
      <w:bookmarkEnd w:id="31"/>
      <w:bookmarkEnd w:id="32"/>
      <w:bookmarkEnd w:id="33"/>
    </w:p>
    <w:p w14:paraId="0083EB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1.社会保障和就业支出208（类）:支出决算为2744.23万元，完成预算100%。</w:t>
      </w:r>
    </w:p>
    <w:p w14:paraId="3BB96C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（1）社会保障和就业支出208（类）</w:t>
      </w:r>
      <w:r>
        <w:rPr>
          <w:rFonts w:hint="eastAsia" w:ascii="Times New Roman" w:hAnsi="Times New Roman" w:eastAsia="方正仿宋_GBK" w:cs="Times New Roman"/>
          <w:sz w:val="32"/>
          <w:szCs w:val="32"/>
          <w:lang w:eastAsia="zh-CN"/>
        </w:rPr>
        <w:t>行政事业单位养老支出</w:t>
      </w:r>
      <w:r>
        <w:rPr>
          <w:rFonts w:hint="default" w:ascii="Times New Roman" w:hAnsi="Times New Roman" w:eastAsia="方正仿宋_GBK" w:cs="Times New Roman"/>
          <w:sz w:val="32"/>
          <w:szCs w:val="32"/>
          <w:lang w:eastAsia="zh-CN"/>
        </w:rPr>
        <w:t>05（款）</w:t>
      </w:r>
      <w:r>
        <w:rPr>
          <w:rFonts w:hint="eastAsia" w:ascii="Times New Roman" w:hAnsi="Times New Roman" w:eastAsia="方正仿宋_GBK" w:cs="Times New Roman"/>
          <w:sz w:val="32"/>
          <w:szCs w:val="32"/>
          <w:lang w:eastAsia="zh-CN"/>
        </w:rPr>
        <w:t>行政单位离退休</w:t>
      </w:r>
      <w:r>
        <w:rPr>
          <w:rFonts w:hint="default" w:ascii="Times New Roman" w:hAnsi="Times New Roman" w:eastAsia="方正仿宋_GBK" w:cs="Times New Roman"/>
          <w:sz w:val="32"/>
          <w:szCs w:val="32"/>
          <w:lang w:eastAsia="zh-CN"/>
        </w:rPr>
        <w:t>01（项）:支出决算为5.4万元，完成预算100%。</w:t>
      </w:r>
    </w:p>
    <w:p w14:paraId="14FA40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社会保障和就业支出208（类）</w:t>
      </w:r>
      <w:r>
        <w:rPr>
          <w:rFonts w:hint="eastAsia" w:ascii="Times New Roman" w:hAnsi="Times New Roman" w:eastAsia="方正仿宋_GBK" w:cs="Times New Roman"/>
          <w:sz w:val="32"/>
          <w:szCs w:val="32"/>
          <w:lang w:eastAsia="zh-CN"/>
        </w:rPr>
        <w:t>行政事业单位养老支出</w:t>
      </w:r>
      <w:r>
        <w:rPr>
          <w:rFonts w:hint="default" w:ascii="Times New Roman" w:hAnsi="Times New Roman" w:eastAsia="方正仿宋_GBK" w:cs="Times New Roman"/>
          <w:sz w:val="32"/>
          <w:szCs w:val="32"/>
          <w:lang w:eastAsia="zh-CN"/>
        </w:rPr>
        <w:t>05（款）</w:t>
      </w:r>
      <w:r>
        <w:rPr>
          <w:rFonts w:hint="eastAsia" w:ascii="Times New Roman" w:hAnsi="Times New Roman" w:eastAsia="方正仿宋_GBK" w:cs="Times New Roman"/>
          <w:sz w:val="32"/>
          <w:szCs w:val="32"/>
          <w:lang w:eastAsia="zh-CN"/>
        </w:rPr>
        <w:t>事业单位离退休</w:t>
      </w:r>
      <w:r>
        <w:rPr>
          <w:rFonts w:hint="default" w:ascii="Times New Roman" w:hAnsi="Times New Roman" w:eastAsia="方正仿宋_GBK" w:cs="Times New Roman"/>
          <w:sz w:val="32"/>
          <w:szCs w:val="32"/>
          <w:lang w:eastAsia="zh-CN"/>
        </w:rPr>
        <w:t>02（项）:支出决算为0.15万元，完成预算100%。</w:t>
      </w:r>
    </w:p>
    <w:p w14:paraId="612304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（3）社会保障和就业支出208（类）行政事业单位养老支出05（款）</w:t>
      </w:r>
      <w:r>
        <w:rPr>
          <w:rFonts w:hint="eastAsia" w:ascii="Times New Roman" w:hAnsi="Times New Roman" w:eastAsia="方正仿宋_GBK" w:cs="Times New Roman"/>
          <w:sz w:val="32"/>
          <w:szCs w:val="32"/>
          <w:lang w:eastAsia="zh-CN"/>
        </w:rPr>
        <w:t>机关事业单位基本养老保险缴费支出</w:t>
      </w:r>
      <w:r>
        <w:rPr>
          <w:rFonts w:hint="default" w:ascii="Times New Roman" w:hAnsi="Times New Roman" w:eastAsia="方正仿宋_GBK" w:cs="Times New Roman"/>
          <w:sz w:val="32"/>
          <w:szCs w:val="32"/>
          <w:lang w:eastAsia="zh-CN"/>
        </w:rPr>
        <w:t>05（项）:支出决算为18.89万元，完成预算100%。</w:t>
      </w:r>
    </w:p>
    <w:p w14:paraId="547181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（4）社会保障和就业支出208（类）行政事业单位养老支出05（款）</w:t>
      </w:r>
      <w:r>
        <w:rPr>
          <w:rFonts w:hint="eastAsia" w:ascii="Times New Roman" w:hAnsi="Times New Roman" w:eastAsia="方正仿宋_GBK" w:cs="Times New Roman"/>
          <w:sz w:val="32"/>
          <w:szCs w:val="32"/>
          <w:lang w:eastAsia="zh-CN"/>
        </w:rPr>
        <w:t>机关事业单位职业年金缴费支出</w:t>
      </w:r>
      <w:r>
        <w:rPr>
          <w:rFonts w:hint="default" w:ascii="Times New Roman" w:hAnsi="Times New Roman" w:eastAsia="方正仿宋_GBK" w:cs="Times New Roman"/>
          <w:sz w:val="32"/>
          <w:szCs w:val="32"/>
          <w:lang w:eastAsia="zh-CN"/>
        </w:rPr>
        <w:t>06（项）:支出决算为7.22万元，完成预算100%。</w:t>
      </w:r>
    </w:p>
    <w:p w14:paraId="7CF593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（5）社会保障和就业支出208（类）抚恤08（款）伤残抚恤02（项）:支出决算为311.42万元，完成预算100%。</w:t>
      </w:r>
    </w:p>
    <w:p w14:paraId="41C309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（6）社会保障和就业支出208（类）抚恤08（款）在乡复员、退伍军人生活补助03（项）:支出决算为344.32万元，完成预算100%。</w:t>
      </w:r>
    </w:p>
    <w:p w14:paraId="5943F1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（7）社会保障和就业支出208（类）抚恤08（款）义务兵优待05（项）:支出决算为60.81万元，完成预算100%。</w:t>
      </w:r>
    </w:p>
    <w:p w14:paraId="005DF2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（8）社会保障和就业支出208（类）抚恤08（款）农村籍退役士兵老年生活补助06（项）:支出决算为164.21万元，完成预算100%。</w:t>
      </w:r>
    </w:p>
    <w:p w14:paraId="4C53A2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（9）社会保障和就业支出208（类）抚恤08（款）其他优抚支出99（项）:支出决算为297.09万元，完成预算100%。</w:t>
      </w:r>
    </w:p>
    <w:p w14:paraId="6221C6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w:t>
      </w:r>
      <w:r>
        <w:rPr>
          <w:rFonts w:hint="default" w:ascii="Times New Roman" w:hAnsi="Times New Roman" w:eastAsia="方正仿宋_GBK" w:cs="Times New Roman"/>
          <w:sz w:val="32"/>
          <w:szCs w:val="32"/>
          <w:lang w:eastAsia="zh-CN"/>
        </w:rPr>
        <w:t>（10）社会保障和就业支出208（类）抚恤08（款）</w:t>
      </w:r>
      <w:r>
        <w:rPr>
          <w:rFonts w:hint="eastAsia" w:ascii="Times New Roman" w:hAnsi="Times New Roman" w:eastAsia="方正仿宋_GBK" w:cs="Times New Roman"/>
          <w:sz w:val="32"/>
          <w:szCs w:val="32"/>
          <w:lang w:eastAsia="zh-CN"/>
        </w:rPr>
        <w:t>烈士纪念设施管理维护</w:t>
      </w:r>
      <w:r>
        <w:rPr>
          <w:rFonts w:hint="default" w:ascii="Times New Roman" w:hAnsi="Times New Roman" w:eastAsia="方正仿宋_GBK" w:cs="Times New Roman"/>
          <w:sz w:val="32"/>
          <w:szCs w:val="32"/>
          <w:lang w:eastAsia="zh-CN"/>
        </w:rPr>
        <w:t>08（项）:支出决算为594.14万元，完成预算100%。</w:t>
      </w:r>
    </w:p>
    <w:p w14:paraId="514201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（11）社会保障和就业支出208（类）退役安置09（款）</w:t>
      </w:r>
      <w:r>
        <w:rPr>
          <w:rFonts w:hint="eastAsia" w:ascii="Times New Roman" w:hAnsi="Times New Roman" w:eastAsia="方正仿宋_GBK" w:cs="Times New Roman"/>
          <w:sz w:val="32"/>
          <w:szCs w:val="32"/>
          <w:lang w:eastAsia="zh-CN"/>
        </w:rPr>
        <w:t>退役士兵安置</w:t>
      </w:r>
      <w:r>
        <w:rPr>
          <w:rFonts w:hint="default" w:ascii="Times New Roman" w:hAnsi="Times New Roman" w:eastAsia="方正仿宋_GBK" w:cs="Times New Roman"/>
          <w:sz w:val="32"/>
          <w:szCs w:val="32"/>
          <w:lang w:eastAsia="zh-CN"/>
        </w:rPr>
        <w:t>01（项）:支出决算为146.4万元，完成预算100%。</w:t>
      </w:r>
      <w:r>
        <w:rPr>
          <w:rFonts w:hint="eastAsia" w:ascii="Times New Roman" w:hAnsi="Times New Roman" w:eastAsia="方正仿宋_GBK" w:cs="Times New Roman"/>
          <w:sz w:val="32"/>
          <w:szCs w:val="32"/>
          <w:lang w:val="en-US" w:eastAsia="zh-CN"/>
        </w:rPr>
        <w:t xml:space="preserve">     </w:t>
      </w:r>
    </w:p>
    <w:p w14:paraId="4F2ED4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（12）社会保障和就业支出208（类）退役安置09（款）军队移交政府的离退休人员安置02（项）:支出决算为5.80万元，完成预算100%。</w:t>
      </w:r>
    </w:p>
    <w:p w14:paraId="756643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（13）社会保障和就业支出208（类）退役安置09（款）军队移交政府离退休干部管理机构03（项）:支出决算为106.25万元，完成预算100%。</w:t>
      </w:r>
    </w:p>
    <w:p w14:paraId="380E8E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（14）社会保障和就业支出208（类）退役安置09（款）军队转业干部安置05（项）:支出决算为27.44万元，完成预算100%。</w:t>
      </w:r>
    </w:p>
    <w:p w14:paraId="2645DF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（15）社会保障和就业支出208（类）退役安置09（款）其他退役安置支出99（项）:支出决算为64.55元，完成预算100%。</w:t>
      </w:r>
    </w:p>
    <w:p w14:paraId="2E211E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（16）社会保障和就业支出208（类）退役军人管理事务28（款）行政运行01（项）:支出决算为74.55万元，完成预算100%。</w:t>
      </w:r>
    </w:p>
    <w:p w14:paraId="6C59A1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（17）社会保障和就业支出208（类）退役军人管理事务28（款）一般行政管理事务02（项）:支出决算为32.86万元，完成预算100%。</w:t>
      </w:r>
    </w:p>
    <w:p w14:paraId="221CE0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（18）社会保障和就业支出208（类）退役军人管理事务28（款）拥军优属04（项）:支出决算为330.7万元，完成预算100%。</w:t>
      </w:r>
    </w:p>
    <w:p w14:paraId="6F00EF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（19）社会保障和就业支出208（类）退役军人管理事务28（款）事业运行50（项）:支出决算为110.08万元，完成预算100%。</w:t>
      </w:r>
    </w:p>
    <w:p w14:paraId="79E0DB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（20）社会保障和就业支出208（类）退役军人管理事务28（款）其他退役军人事务管理支出99（项）:支出决算为42万元，完成预算100%。</w:t>
      </w:r>
    </w:p>
    <w:p w14:paraId="6DDD12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2.卫生健康支出210（类）:支出决算为66.59万元，完成预算100%。</w:t>
      </w:r>
    </w:p>
    <w:p w14:paraId="7DD869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（1）卫生健康支出210（类）行政事业单位医疗11（款）行政单位医疗01（项）：支出决算为5.00万元，完成预算100%。</w:t>
      </w:r>
    </w:p>
    <w:p w14:paraId="4E4A6D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（2）卫生健康支出210（类）行政事业单位医疗11（款）事业单位医疗02（项）：支出决算为7.09万元，完成预算100%。</w:t>
      </w:r>
    </w:p>
    <w:p w14:paraId="32CAFB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（3）卫生健康支出210（类）行政事业单位医疗11（款）公务员医疗补助03（项）：支出决算为0.48万元，完成预算100%。</w:t>
      </w:r>
    </w:p>
    <w:p w14:paraId="3A8646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（4）卫生健康支出210（类）行政事业单位医疗11（款）其他行政事业单位医疗支出99（项）：支出决算为7.49万元，完成预算100%。</w:t>
      </w:r>
    </w:p>
    <w:p w14:paraId="4B44DC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（5）卫生健康支出210（类）优抚对象医疗14（款）优抚对象医疗补助01（项）：支出决算为46.53万元，完成预算100%。</w:t>
      </w:r>
    </w:p>
    <w:p w14:paraId="02B40D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3.住房保障支出221（类）住房改革支出02（款）住房公积金01（项）：支出决算为18.11万元，完成预算100%。</w:t>
      </w:r>
    </w:p>
    <w:p w14:paraId="51C475E5">
      <w:pPr>
        <w:pageBreakBefore w:val="0"/>
        <w:tabs>
          <w:tab w:val="right" w:pos="8306"/>
        </w:tabs>
        <w:kinsoku/>
        <w:wordWrap/>
        <w:overflowPunct/>
        <w:topLinePunct w:val="0"/>
        <w:bidi w:val="0"/>
        <w:snapToGrid/>
        <w:spacing w:line="240" w:lineRule="auto"/>
        <w:ind w:left="0" w:leftChars="0" w:firstLine="640"/>
        <w:textAlignment w:val="auto"/>
        <w:outlineLvl w:val="1"/>
        <w:rPr>
          <w:rStyle w:val="28"/>
          <w:rFonts w:hint="default" w:ascii="Times New Roman" w:hAnsi="Times New Roman" w:eastAsia="黑体" w:cs="Times New Roman"/>
          <w:b w:val="0"/>
          <w:lang w:val="en-US" w:eastAsia="zh-CN" w:bidi="ar-SA"/>
        </w:rPr>
      </w:pPr>
      <w:bookmarkStart w:id="34" w:name="_Toc15377214"/>
      <w:bookmarkStart w:id="35" w:name="_Toc15396608"/>
      <w:r>
        <w:rPr>
          <w:rStyle w:val="28"/>
          <w:rFonts w:hint="eastAsia" w:ascii="Times New Roman" w:hAnsi="Times New Roman" w:eastAsia="黑体" w:cs="Times New Roman"/>
          <w:b w:val="0"/>
          <w:lang w:val="en-US" w:eastAsia="zh-CN" w:bidi="ar-SA"/>
        </w:rPr>
        <w:t>六、一般公共预算财政拨款基本支出决算情况说明</w:t>
      </w:r>
      <w:bookmarkEnd w:id="34"/>
      <w:bookmarkEnd w:id="35"/>
      <w:r>
        <w:rPr>
          <w:rStyle w:val="28"/>
          <w:rFonts w:hint="default" w:ascii="Times New Roman" w:hAnsi="Times New Roman" w:eastAsia="黑体" w:cs="Times New Roman"/>
          <w:b w:val="0"/>
          <w:lang w:val="en-US" w:eastAsia="zh-CN" w:bidi="ar-SA"/>
        </w:rPr>
        <w:tab/>
      </w:r>
    </w:p>
    <w:p w14:paraId="789F8F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eastAsia="zh-CN"/>
        </w:rPr>
        <w:t>4</w:t>
      </w:r>
      <w:r>
        <w:rPr>
          <w:rFonts w:hint="eastAsia" w:ascii="Times New Roman" w:hAnsi="Times New Roman" w:eastAsia="方正仿宋_GBK" w:cs="Times New Roman"/>
          <w:sz w:val="32"/>
          <w:szCs w:val="32"/>
          <w:lang w:eastAsia="zh-CN"/>
        </w:rPr>
        <w:t>年度一般公共预算财政拨款基本支出</w:t>
      </w:r>
      <w:r>
        <w:rPr>
          <w:rFonts w:hint="default" w:ascii="Times New Roman" w:hAnsi="Times New Roman" w:eastAsia="方正仿宋_GBK" w:cs="Times New Roman"/>
          <w:sz w:val="32"/>
          <w:szCs w:val="32"/>
          <w:lang w:eastAsia="zh-CN"/>
        </w:rPr>
        <w:t>254.46</w:t>
      </w:r>
      <w:r>
        <w:rPr>
          <w:rFonts w:hint="eastAsia" w:ascii="Times New Roman" w:hAnsi="Times New Roman" w:eastAsia="方正仿宋_GBK" w:cs="Times New Roman"/>
          <w:sz w:val="32"/>
          <w:szCs w:val="32"/>
          <w:lang w:eastAsia="zh-CN"/>
        </w:rPr>
        <w:t>万元，其中：</w:t>
      </w:r>
    </w:p>
    <w:p w14:paraId="4B637F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人员经费</w:t>
      </w:r>
      <w:r>
        <w:rPr>
          <w:rFonts w:hint="default" w:ascii="Times New Roman" w:hAnsi="Times New Roman" w:eastAsia="方正仿宋_GBK" w:cs="Times New Roman"/>
          <w:sz w:val="32"/>
          <w:szCs w:val="32"/>
          <w:lang w:eastAsia="zh-CN"/>
        </w:rPr>
        <w:t>227.48</w:t>
      </w:r>
      <w:r>
        <w:rPr>
          <w:rFonts w:hint="eastAsia" w:ascii="Times New Roman" w:hAnsi="Times New Roman" w:eastAsia="方正仿宋_GBK" w:cs="Times New Roman"/>
          <w:sz w:val="32"/>
          <w:szCs w:val="32"/>
          <w:lang w:eastAsia="zh-CN"/>
        </w:rPr>
        <w:t>万元，主要包括：基本工资、津贴补贴、奖金、绩效工资、机关事业单位基本养老保险缴费、职业年金缴费、其他社会保障缴费、其他工资福利支出、离休费、退休费、抚恤金、生活补助、医疗费补助、奖励金、住房公积金、其他对个人和家庭的补助支出等。</w:t>
      </w:r>
      <w:r>
        <w:rPr>
          <w:rFonts w:hint="default" w:ascii="Times New Roman" w:hAnsi="Times New Roman" w:eastAsia="方正仿宋_GBK" w:cs="Times New Roman"/>
          <w:sz w:val="32"/>
          <w:szCs w:val="32"/>
          <w:lang w:eastAsia="zh-CN"/>
        </w:rPr>
        <w:br w:type="textWrapping"/>
      </w:r>
      <w:r>
        <w:rPr>
          <w:rFonts w:hint="default" w:ascii="Times New Roman" w:hAnsi="Times New Roman" w:eastAsia="方正仿宋_GBK" w:cs="Times New Roman"/>
          <w:sz w:val="32"/>
          <w:szCs w:val="32"/>
          <w:lang w:eastAsia="zh-CN"/>
        </w:rPr>
        <w:t xml:space="preserve">   </w:t>
      </w:r>
      <w:r>
        <w:rPr>
          <w:rFonts w:hint="eastAsia" w:ascii="Times New Roman" w:hAnsi="Times New Roman" w:eastAsia="方正仿宋_GBK" w:cs="Times New Roman"/>
          <w:sz w:val="32"/>
          <w:szCs w:val="32"/>
          <w:lang w:eastAsia="zh-CN"/>
        </w:rPr>
        <w:t>公用经费</w:t>
      </w:r>
      <w:r>
        <w:rPr>
          <w:rFonts w:hint="default" w:ascii="Times New Roman" w:hAnsi="Times New Roman" w:eastAsia="方正仿宋_GBK" w:cs="Times New Roman"/>
          <w:sz w:val="32"/>
          <w:szCs w:val="32"/>
          <w:lang w:eastAsia="zh-CN"/>
        </w:rPr>
        <w:t>19.79</w:t>
      </w:r>
      <w:r>
        <w:rPr>
          <w:rFonts w:hint="eastAsia" w:ascii="Times New Roman" w:hAnsi="Times New Roman" w:eastAsia="方正仿宋_GBK" w:cs="Times New Roman"/>
          <w:sz w:val="32"/>
          <w:szCs w:val="32"/>
          <w:lang w:eastAsia="zh-CN"/>
        </w:rPr>
        <w:t>万元，主要包括：办公费、印刷费、水费、电费、邮电费、差旅费、维修（护）费、租赁费、会议费、劳务费、委托业务费、工会经费、福利费、其他交通费、其他商品和服务支出、办公设备购置等。</w:t>
      </w:r>
    </w:p>
    <w:p w14:paraId="40BE2324">
      <w:pPr>
        <w:pageBreakBefore w:val="0"/>
        <w:tabs>
          <w:tab w:val="right" w:pos="8306"/>
        </w:tabs>
        <w:kinsoku/>
        <w:wordWrap/>
        <w:overflowPunct/>
        <w:topLinePunct w:val="0"/>
        <w:bidi w:val="0"/>
        <w:snapToGrid/>
        <w:spacing w:line="240" w:lineRule="auto"/>
        <w:ind w:left="0" w:leftChars="0" w:firstLine="640"/>
        <w:textAlignment w:val="auto"/>
        <w:outlineLvl w:val="1"/>
        <w:rPr>
          <w:rStyle w:val="28"/>
          <w:rFonts w:hint="default" w:ascii="Times New Roman" w:hAnsi="Times New Roman" w:eastAsia="黑体" w:cs="Times New Roman"/>
          <w:b w:val="0"/>
          <w:lang w:val="en-US" w:eastAsia="zh-CN" w:bidi="ar-SA"/>
        </w:rPr>
      </w:pPr>
      <w:bookmarkStart w:id="36" w:name="_Toc15396609"/>
      <w:bookmarkStart w:id="37" w:name="_Toc15377215"/>
      <w:r>
        <w:rPr>
          <w:rStyle w:val="28"/>
          <w:rFonts w:hint="eastAsia" w:ascii="Times New Roman" w:hAnsi="Times New Roman" w:eastAsia="黑体" w:cs="Times New Roman"/>
          <w:b w:val="0"/>
          <w:lang w:val="en-US" w:eastAsia="zh-CN" w:bidi="ar-SA"/>
        </w:rPr>
        <w:t>七、财政拨款“三公”经费支出决算情况说明</w:t>
      </w:r>
      <w:bookmarkEnd w:id="36"/>
      <w:bookmarkEnd w:id="37"/>
    </w:p>
    <w:p w14:paraId="651007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lang w:eastAsia="zh-CN"/>
        </w:rPr>
      </w:pPr>
      <w:bookmarkStart w:id="38" w:name="_Toc15377216"/>
      <w:r>
        <w:rPr>
          <w:rFonts w:hint="eastAsia" w:ascii="Times New Roman" w:hAnsi="Times New Roman" w:eastAsia="方正楷体_GBK" w:cs="Times New Roman"/>
          <w:sz w:val="32"/>
          <w:szCs w:val="32"/>
          <w:lang w:eastAsia="zh-CN"/>
        </w:rPr>
        <w:t>（一）“三公”经费财政拨款支出决算总体情况说明</w:t>
      </w:r>
      <w:bookmarkEnd w:id="38"/>
    </w:p>
    <w:p w14:paraId="3E6942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2024年“三公”经费财政拨款支出决算为0万元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 xml:space="preserve"> </w:t>
      </w:r>
    </w:p>
    <w:p w14:paraId="483071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lang w:eastAsia="zh-CN"/>
        </w:rPr>
      </w:pPr>
      <w:bookmarkStart w:id="39" w:name="_Toc15377217"/>
      <w:r>
        <w:rPr>
          <w:rFonts w:hint="eastAsia" w:ascii="Times New Roman" w:hAnsi="Times New Roman" w:eastAsia="方正楷体_GBK" w:cs="Times New Roman"/>
          <w:sz w:val="32"/>
          <w:szCs w:val="32"/>
          <w:lang w:eastAsia="zh-CN"/>
        </w:rPr>
        <w:t>（二）“三公”经费财政拨款支出决算具体情况说明</w:t>
      </w:r>
      <w:bookmarkEnd w:id="39"/>
    </w:p>
    <w:p w14:paraId="2A344E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eastAsia="zh-CN"/>
        </w:rPr>
        <w:t>4</w:t>
      </w:r>
      <w:r>
        <w:rPr>
          <w:rFonts w:hint="eastAsia" w:ascii="Times New Roman" w:hAnsi="Times New Roman" w:eastAsia="方正仿宋_GBK" w:cs="Times New Roman"/>
          <w:sz w:val="32"/>
          <w:szCs w:val="32"/>
          <w:lang w:eastAsia="zh-CN"/>
        </w:rPr>
        <w:t>年度“三公”经费财政拨款支出决算中，因公出国（境）费支出决算</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万元，占</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；公务用车购置及运行维护费支出决算</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万元，占</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；公务接待费支出决算</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万元，占</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。具体情况如下：</w:t>
      </w:r>
    </w:p>
    <w:p w14:paraId="0974FE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bookmarkStart w:id="40" w:name="_Toc15396610"/>
      <w:bookmarkStart w:id="41" w:name="_Toc15377218"/>
      <w:r>
        <w:rPr>
          <w:rFonts w:hint="default" w:ascii="Times New Roman" w:hAnsi="Times New Roman" w:eastAsia="方正仿宋_GBK" w:cs="Times New Roman"/>
          <w:sz w:val="32"/>
          <w:szCs w:val="32"/>
          <w:lang w:eastAsia="zh-CN"/>
        </w:rPr>
        <w:t>1.</w:t>
      </w:r>
      <w:r>
        <w:rPr>
          <w:rFonts w:hint="eastAsia" w:ascii="Times New Roman" w:hAnsi="Times New Roman" w:eastAsia="方正仿宋_GBK" w:cs="Times New Roman"/>
          <w:sz w:val="32"/>
          <w:szCs w:val="32"/>
          <w:lang w:eastAsia="zh-CN"/>
        </w:rPr>
        <w:t>因公出国（境）经费支出</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万元，完成预算</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。全年安排因公出国（境）团组</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次，出国（境）</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人。</w:t>
      </w:r>
    </w:p>
    <w:p w14:paraId="17AE84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w:t>
      </w:r>
      <w:r>
        <w:rPr>
          <w:rFonts w:hint="eastAsia" w:ascii="Times New Roman" w:hAnsi="Times New Roman" w:eastAsia="方正仿宋_GBK" w:cs="Times New Roman"/>
          <w:sz w:val="32"/>
          <w:szCs w:val="32"/>
          <w:lang w:eastAsia="zh-CN"/>
        </w:rPr>
        <w:t>公务用车购置及运行维护费支出</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万元,完成预算</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w:t>
      </w:r>
    </w:p>
    <w:p w14:paraId="0E428A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其中：公务用车购置支出</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万元。全年按规定更新购置公务用车</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辆，其中：轿车</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辆、金额</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万元，越野车</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辆、金额</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万元，载客汽车</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辆、金额0万元。截至20</w:t>
      </w:r>
      <w:r>
        <w:rPr>
          <w:rFonts w:hint="default" w:ascii="Times New Roman" w:hAnsi="Times New Roman" w:eastAsia="方正仿宋_GBK" w:cs="Times New Roman"/>
          <w:sz w:val="32"/>
          <w:szCs w:val="32"/>
          <w:lang w:eastAsia="zh-CN"/>
        </w:rPr>
        <w:t>24</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lang w:eastAsia="zh-CN"/>
        </w:rPr>
        <w:t>12</w:t>
      </w:r>
      <w:r>
        <w:rPr>
          <w:rFonts w:hint="eastAsia" w:ascii="Times New Roman" w:hAnsi="Times New Roman" w:eastAsia="方正仿宋_GBK" w:cs="Times New Roman"/>
          <w:sz w:val="32"/>
          <w:szCs w:val="32"/>
          <w:lang w:eastAsia="zh-CN"/>
        </w:rPr>
        <w:t>月31日，单位共有公务用车</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辆，其中：轿车</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辆、越野车</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辆、载客汽车</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辆。公务用车运行维护费支出</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万元。</w:t>
      </w:r>
    </w:p>
    <w:p w14:paraId="084311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w:t>
      </w:r>
      <w:r>
        <w:rPr>
          <w:rFonts w:hint="eastAsia" w:ascii="Times New Roman" w:hAnsi="Times New Roman" w:eastAsia="方正仿宋_GBK" w:cs="Times New Roman"/>
          <w:sz w:val="32"/>
          <w:szCs w:val="32"/>
          <w:lang w:eastAsia="zh-CN"/>
        </w:rPr>
        <w:t>公务接待费支出</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万元，完成预算</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。其中：</w:t>
      </w:r>
    </w:p>
    <w:p w14:paraId="72E84F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国内公务接待支出</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万元，</w:t>
      </w:r>
      <w:r>
        <w:rPr>
          <w:rFonts w:hint="default" w:ascii="Times New Roman" w:hAnsi="Times New Roman" w:eastAsia="方正仿宋_GBK" w:cs="Times New Roman"/>
          <w:sz w:val="32"/>
          <w:szCs w:val="32"/>
          <w:lang w:eastAsia="zh-CN"/>
        </w:rPr>
        <w:t xml:space="preserve"> </w:t>
      </w:r>
      <w:r>
        <w:rPr>
          <w:rFonts w:hint="eastAsia" w:ascii="Times New Roman" w:hAnsi="Times New Roman" w:eastAsia="方正仿宋_GBK" w:cs="Times New Roman"/>
          <w:sz w:val="32"/>
          <w:szCs w:val="32"/>
          <w:lang w:eastAsia="zh-CN"/>
        </w:rPr>
        <w:t>外事接待支出</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万元。</w:t>
      </w:r>
      <w:r>
        <w:rPr>
          <w:rFonts w:hint="default" w:ascii="Times New Roman" w:hAnsi="Times New Roman" w:eastAsia="方正仿宋_GBK" w:cs="Times New Roman"/>
          <w:sz w:val="32"/>
          <w:szCs w:val="32"/>
          <w:lang w:eastAsia="zh-CN"/>
        </w:rPr>
        <w:t xml:space="preserve"> </w:t>
      </w:r>
    </w:p>
    <w:p w14:paraId="5CA19F1B">
      <w:pPr>
        <w:pageBreakBefore w:val="0"/>
        <w:tabs>
          <w:tab w:val="right" w:pos="8306"/>
        </w:tabs>
        <w:kinsoku/>
        <w:wordWrap/>
        <w:overflowPunct/>
        <w:topLinePunct w:val="0"/>
        <w:bidi w:val="0"/>
        <w:snapToGrid/>
        <w:spacing w:line="240" w:lineRule="auto"/>
        <w:ind w:left="0" w:leftChars="0" w:firstLine="640"/>
        <w:textAlignment w:val="auto"/>
        <w:outlineLvl w:val="1"/>
        <w:rPr>
          <w:rStyle w:val="28"/>
          <w:rFonts w:hint="default" w:ascii="Times New Roman" w:hAnsi="Times New Roman" w:eastAsia="黑体" w:cs="Times New Roman"/>
          <w:b w:val="0"/>
          <w:lang w:val="en-US" w:eastAsia="zh-CN" w:bidi="ar-SA"/>
        </w:rPr>
      </w:pPr>
      <w:r>
        <w:rPr>
          <w:rStyle w:val="28"/>
          <w:rFonts w:hint="eastAsia" w:ascii="Times New Roman" w:hAnsi="Times New Roman" w:eastAsia="黑体" w:cs="Times New Roman"/>
          <w:b w:val="0"/>
          <w:lang w:val="en-US" w:eastAsia="zh-CN" w:bidi="ar-SA"/>
        </w:rPr>
        <w:t>八、政府性基金预算支出决算情况说明</w:t>
      </w:r>
      <w:bookmarkEnd w:id="40"/>
      <w:bookmarkEnd w:id="41"/>
    </w:p>
    <w:p w14:paraId="133ECF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eastAsia="zh-CN"/>
        </w:rPr>
        <w:t>4</w:t>
      </w:r>
      <w:r>
        <w:rPr>
          <w:rFonts w:hint="eastAsia" w:ascii="Times New Roman" w:hAnsi="Times New Roman" w:eastAsia="方正仿宋_GBK" w:cs="Times New Roman"/>
          <w:sz w:val="32"/>
          <w:szCs w:val="32"/>
          <w:lang w:eastAsia="zh-CN"/>
        </w:rPr>
        <w:t>年度政府性基金预算财政拨款支出</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万元。</w:t>
      </w:r>
    </w:p>
    <w:p w14:paraId="624E5E92">
      <w:pPr>
        <w:pageBreakBefore w:val="0"/>
        <w:tabs>
          <w:tab w:val="right" w:pos="8306"/>
        </w:tabs>
        <w:kinsoku/>
        <w:wordWrap/>
        <w:overflowPunct/>
        <w:topLinePunct w:val="0"/>
        <w:bidi w:val="0"/>
        <w:snapToGrid/>
        <w:spacing w:line="240" w:lineRule="auto"/>
        <w:ind w:left="0" w:leftChars="0" w:firstLine="640"/>
        <w:textAlignment w:val="auto"/>
        <w:outlineLvl w:val="1"/>
        <w:rPr>
          <w:rStyle w:val="28"/>
          <w:rFonts w:hint="default" w:ascii="Times New Roman" w:hAnsi="Times New Roman" w:eastAsia="黑体" w:cs="Times New Roman"/>
          <w:b w:val="0"/>
          <w:lang w:val="en-US" w:eastAsia="zh-CN" w:bidi="ar-SA"/>
        </w:rPr>
      </w:pPr>
      <w:bookmarkStart w:id="42" w:name="_Toc15377219"/>
      <w:bookmarkStart w:id="43" w:name="_Toc15396611"/>
      <w:r>
        <w:rPr>
          <w:rStyle w:val="28"/>
          <w:rFonts w:hint="eastAsia" w:ascii="Times New Roman" w:hAnsi="Times New Roman" w:eastAsia="黑体" w:cs="Times New Roman"/>
          <w:b w:val="0"/>
          <w:lang w:val="en-US" w:eastAsia="zh-CN" w:bidi="ar-SA"/>
        </w:rPr>
        <w:t>九、国有资本经营预算支出决算情况说明</w:t>
      </w:r>
      <w:bookmarkEnd w:id="42"/>
      <w:bookmarkEnd w:id="43"/>
    </w:p>
    <w:p w14:paraId="173369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eastAsia="zh-CN"/>
        </w:rPr>
        <w:t>4</w:t>
      </w:r>
      <w:r>
        <w:rPr>
          <w:rFonts w:hint="eastAsia" w:ascii="Times New Roman" w:hAnsi="Times New Roman" w:eastAsia="方正仿宋_GBK" w:cs="Times New Roman"/>
          <w:sz w:val="32"/>
          <w:szCs w:val="32"/>
          <w:lang w:eastAsia="zh-CN"/>
        </w:rPr>
        <w:t>年度国有资本经营预算财政拨款支出</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万元。</w:t>
      </w:r>
    </w:p>
    <w:p w14:paraId="722F7474">
      <w:pPr>
        <w:pageBreakBefore w:val="0"/>
        <w:tabs>
          <w:tab w:val="right" w:pos="8306"/>
        </w:tabs>
        <w:kinsoku/>
        <w:wordWrap/>
        <w:overflowPunct/>
        <w:topLinePunct w:val="0"/>
        <w:bidi w:val="0"/>
        <w:snapToGrid/>
        <w:spacing w:line="240" w:lineRule="auto"/>
        <w:ind w:left="0" w:leftChars="0" w:firstLine="640"/>
        <w:textAlignment w:val="auto"/>
        <w:outlineLvl w:val="1"/>
        <w:rPr>
          <w:rStyle w:val="28"/>
          <w:rFonts w:hint="default" w:ascii="Times New Roman" w:hAnsi="Times New Roman" w:eastAsia="黑体" w:cs="Times New Roman"/>
          <w:b w:val="0"/>
          <w:lang w:val="en-US" w:eastAsia="zh-CN" w:bidi="ar-SA"/>
        </w:rPr>
      </w:pPr>
      <w:bookmarkStart w:id="44" w:name="_Toc15377221"/>
      <w:bookmarkStart w:id="45" w:name="_Toc15396612"/>
      <w:r>
        <w:rPr>
          <w:rStyle w:val="28"/>
          <w:rFonts w:hint="eastAsia" w:ascii="Times New Roman" w:hAnsi="Times New Roman" w:eastAsia="黑体" w:cs="Times New Roman"/>
          <w:b w:val="0"/>
          <w:lang w:val="en-US" w:eastAsia="zh-CN" w:bidi="ar-SA"/>
        </w:rPr>
        <w:t>十、其他重要事项的情况说明</w:t>
      </w:r>
      <w:bookmarkEnd w:id="44"/>
      <w:bookmarkEnd w:id="45"/>
    </w:p>
    <w:p w14:paraId="2662B24B">
      <w:pPr>
        <w:pageBreakBefore w:val="0"/>
        <w:kinsoku/>
        <w:wordWrap/>
        <w:overflowPunct/>
        <w:topLinePunct w:val="0"/>
        <w:bidi w:val="0"/>
        <w:snapToGrid/>
        <w:spacing w:line="240" w:lineRule="auto"/>
        <w:ind w:left="0" w:leftChars="0" w:firstLine="640" w:firstLineChars="200"/>
        <w:textAlignment w:val="auto"/>
        <w:outlineLvl w:val="2"/>
        <w:rPr>
          <w:rFonts w:hint="default" w:ascii="Times New Roman" w:hAnsi="Times New Roman" w:eastAsia="方正楷体_GBK" w:cs="Times New Roman"/>
          <w:b w:val="0"/>
          <w:bCs/>
          <w:sz w:val="32"/>
          <w:szCs w:val="32"/>
          <w:lang w:eastAsia="zh-CN"/>
        </w:rPr>
      </w:pPr>
      <w:bookmarkStart w:id="46" w:name="_Toc15377222"/>
      <w:r>
        <w:rPr>
          <w:rFonts w:hint="eastAsia" w:ascii="Times New Roman" w:hAnsi="Times New Roman" w:eastAsia="方正楷体_GBK" w:cs="Times New Roman"/>
          <w:b w:val="0"/>
          <w:bCs/>
          <w:sz w:val="32"/>
          <w:szCs w:val="32"/>
          <w:lang w:eastAsia="zh-CN"/>
        </w:rPr>
        <w:t>（一）机关运行经费支出情况</w:t>
      </w:r>
      <w:bookmarkEnd w:id="46"/>
    </w:p>
    <w:p w14:paraId="00523F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eastAsia="zh-CN"/>
        </w:rPr>
        <w:t>4</w:t>
      </w:r>
      <w:r>
        <w:rPr>
          <w:rFonts w:hint="eastAsia" w:ascii="Times New Roman" w:hAnsi="Times New Roman" w:eastAsia="方正仿宋_GBK" w:cs="Times New Roman"/>
          <w:sz w:val="32"/>
          <w:szCs w:val="32"/>
          <w:lang w:eastAsia="zh-CN"/>
        </w:rPr>
        <w:t>年度，</w:t>
      </w:r>
      <w:r>
        <w:rPr>
          <w:rFonts w:hint="default" w:ascii="Times New Roman" w:hAnsi="Times New Roman" w:eastAsia="方正仿宋_GBK" w:cs="Times New Roman"/>
          <w:sz w:val="32"/>
          <w:szCs w:val="32"/>
          <w:lang w:eastAsia="zh-CN"/>
        </w:rPr>
        <w:t>盐边县退役军人事务局</w:t>
      </w:r>
      <w:r>
        <w:rPr>
          <w:rFonts w:hint="eastAsia" w:ascii="Times New Roman" w:hAnsi="Times New Roman" w:eastAsia="方正仿宋_GBK" w:cs="Times New Roman"/>
          <w:sz w:val="32"/>
          <w:szCs w:val="32"/>
          <w:lang w:eastAsia="zh-CN"/>
        </w:rPr>
        <w:t>机关运行经费支出</w:t>
      </w:r>
      <w:r>
        <w:rPr>
          <w:rFonts w:hint="default" w:ascii="Times New Roman" w:hAnsi="Times New Roman" w:eastAsia="方正仿宋_GBK" w:cs="Times New Roman"/>
          <w:sz w:val="32"/>
          <w:szCs w:val="32"/>
          <w:lang w:eastAsia="zh-CN"/>
        </w:rPr>
        <w:t>19.79</w:t>
      </w:r>
      <w:r>
        <w:rPr>
          <w:rFonts w:hint="eastAsia" w:ascii="Times New Roman" w:hAnsi="Times New Roman" w:eastAsia="方正仿宋_GBK" w:cs="Times New Roman"/>
          <w:sz w:val="32"/>
          <w:szCs w:val="32"/>
          <w:lang w:eastAsia="zh-CN"/>
        </w:rPr>
        <w:t>万元，比202</w:t>
      </w:r>
      <w:r>
        <w:rPr>
          <w:rFonts w:hint="default" w:ascii="Times New Roman" w:hAnsi="Times New Roman" w:eastAsia="方正仿宋_GBK" w:cs="Times New Roman"/>
          <w:sz w:val="32"/>
          <w:szCs w:val="32"/>
          <w:lang w:eastAsia="zh-CN"/>
        </w:rPr>
        <w:t>3</w:t>
      </w:r>
      <w:r>
        <w:rPr>
          <w:rFonts w:hint="eastAsia" w:ascii="Times New Roman" w:hAnsi="Times New Roman" w:eastAsia="方正仿宋_GBK" w:cs="Times New Roman"/>
          <w:sz w:val="32"/>
          <w:szCs w:val="32"/>
          <w:lang w:eastAsia="zh-CN"/>
        </w:rPr>
        <w:t>年度减少</w:t>
      </w:r>
      <w:r>
        <w:rPr>
          <w:rFonts w:hint="default" w:ascii="Times New Roman" w:hAnsi="Times New Roman" w:eastAsia="方正仿宋_GBK" w:cs="Times New Roman"/>
          <w:sz w:val="32"/>
          <w:szCs w:val="32"/>
          <w:lang w:eastAsia="zh-CN"/>
        </w:rPr>
        <w:t>0.05</w:t>
      </w:r>
      <w:r>
        <w:rPr>
          <w:rFonts w:hint="eastAsia" w:ascii="Times New Roman" w:hAnsi="Times New Roman" w:eastAsia="方正仿宋_GBK" w:cs="Times New Roman"/>
          <w:sz w:val="32"/>
          <w:szCs w:val="32"/>
          <w:lang w:eastAsia="zh-CN"/>
        </w:rPr>
        <w:t>万元，降低</w:t>
      </w:r>
      <w:r>
        <w:rPr>
          <w:rFonts w:hint="default" w:ascii="Times New Roman" w:hAnsi="Times New Roman" w:eastAsia="方正仿宋_GBK" w:cs="Times New Roman"/>
          <w:sz w:val="32"/>
          <w:szCs w:val="32"/>
          <w:lang w:eastAsia="zh-CN"/>
        </w:rPr>
        <w:t>51.45%</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是机关运行经费正常变化。</w:t>
      </w:r>
    </w:p>
    <w:p w14:paraId="75186651">
      <w:pPr>
        <w:pageBreakBefore w:val="0"/>
        <w:kinsoku/>
        <w:wordWrap/>
        <w:overflowPunct/>
        <w:topLinePunct w:val="0"/>
        <w:bidi w:val="0"/>
        <w:snapToGrid/>
        <w:spacing w:line="240" w:lineRule="auto"/>
        <w:ind w:left="0" w:leftChars="0" w:firstLine="640" w:firstLineChars="200"/>
        <w:textAlignment w:val="auto"/>
        <w:outlineLvl w:val="2"/>
        <w:rPr>
          <w:rFonts w:hint="default" w:ascii="Times New Roman" w:hAnsi="Times New Roman" w:eastAsia="方正楷体_GBK" w:cs="Times New Roman"/>
          <w:b w:val="0"/>
          <w:bCs/>
          <w:sz w:val="32"/>
          <w:szCs w:val="32"/>
          <w:lang w:eastAsia="zh-CN"/>
        </w:rPr>
      </w:pPr>
      <w:bookmarkStart w:id="47" w:name="_Toc15377223"/>
      <w:r>
        <w:rPr>
          <w:rFonts w:hint="eastAsia" w:ascii="Times New Roman" w:hAnsi="Times New Roman" w:eastAsia="方正楷体_GBK" w:cs="Times New Roman"/>
          <w:b w:val="0"/>
          <w:bCs/>
          <w:sz w:val="32"/>
          <w:szCs w:val="32"/>
          <w:lang w:eastAsia="zh-CN"/>
        </w:rPr>
        <w:t>（二）政府采购支出情况</w:t>
      </w:r>
      <w:bookmarkEnd w:id="47"/>
    </w:p>
    <w:p w14:paraId="70C0B9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eastAsia="zh-CN"/>
        </w:rPr>
        <w:t>4</w:t>
      </w:r>
      <w:r>
        <w:rPr>
          <w:rFonts w:hint="eastAsia" w:ascii="Times New Roman" w:hAnsi="Times New Roman" w:eastAsia="方正仿宋_GBK" w:cs="Times New Roman"/>
          <w:sz w:val="32"/>
          <w:szCs w:val="32"/>
          <w:lang w:eastAsia="zh-CN"/>
        </w:rPr>
        <w:t>年度，</w:t>
      </w:r>
      <w:r>
        <w:rPr>
          <w:rFonts w:hint="default" w:ascii="Times New Roman" w:hAnsi="Times New Roman" w:eastAsia="方正仿宋_GBK" w:cs="Times New Roman"/>
          <w:sz w:val="32"/>
          <w:szCs w:val="32"/>
          <w:lang w:eastAsia="zh-CN"/>
        </w:rPr>
        <w:t>盐边县退役军人事务局</w:t>
      </w:r>
      <w:r>
        <w:rPr>
          <w:rFonts w:hint="eastAsia" w:ascii="Times New Roman" w:hAnsi="Times New Roman" w:eastAsia="方正仿宋_GBK" w:cs="Times New Roman"/>
          <w:sz w:val="32"/>
          <w:szCs w:val="32"/>
          <w:lang w:eastAsia="zh-CN"/>
        </w:rPr>
        <w:t>政府采购支出总额</w:t>
      </w:r>
      <w:r>
        <w:rPr>
          <w:rFonts w:hint="default" w:ascii="Times New Roman" w:hAnsi="Times New Roman" w:eastAsia="方正仿宋_GBK" w:cs="Times New Roman"/>
          <w:sz w:val="32"/>
          <w:szCs w:val="32"/>
          <w:lang w:eastAsia="zh-CN"/>
        </w:rPr>
        <w:t>5.95</w:t>
      </w:r>
      <w:r>
        <w:rPr>
          <w:rFonts w:hint="eastAsia" w:ascii="Times New Roman" w:hAnsi="Times New Roman" w:eastAsia="方正仿宋_GBK" w:cs="Times New Roman"/>
          <w:sz w:val="32"/>
          <w:szCs w:val="32"/>
          <w:lang w:eastAsia="zh-CN"/>
        </w:rPr>
        <w:t>万元，其中：政府采购货物支出</w:t>
      </w:r>
      <w:r>
        <w:rPr>
          <w:rFonts w:hint="default" w:ascii="Times New Roman" w:hAnsi="Times New Roman" w:eastAsia="方正仿宋_GBK" w:cs="Times New Roman"/>
          <w:sz w:val="32"/>
          <w:szCs w:val="32"/>
          <w:lang w:eastAsia="zh-CN"/>
        </w:rPr>
        <w:t>5.95</w:t>
      </w:r>
      <w:r>
        <w:rPr>
          <w:rFonts w:hint="eastAsia" w:ascii="Times New Roman" w:hAnsi="Times New Roman" w:eastAsia="方正仿宋_GBK" w:cs="Times New Roman"/>
          <w:sz w:val="32"/>
          <w:szCs w:val="32"/>
          <w:lang w:eastAsia="zh-CN"/>
        </w:rPr>
        <w:t>万元、政府采购工程支出</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万元、政府采购服务支出</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万元，主要用于退役军人事务局烈士陵园</w:t>
      </w:r>
      <w:r>
        <w:rPr>
          <w:rFonts w:hint="default" w:ascii="Times New Roman" w:hAnsi="Times New Roman" w:eastAsia="方正仿宋_GBK" w:cs="Times New Roman"/>
          <w:sz w:val="32"/>
          <w:szCs w:val="32"/>
          <w:lang w:eastAsia="zh-CN"/>
        </w:rPr>
        <w:t>建设</w:t>
      </w:r>
      <w:r>
        <w:rPr>
          <w:rFonts w:hint="eastAsia" w:ascii="Times New Roman" w:hAnsi="Times New Roman" w:eastAsia="方正仿宋_GBK" w:cs="Times New Roman"/>
          <w:sz w:val="32"/>
          <w:szCs w:val="32"/>
          <w:lang w:eastAsia="zh-CN"/>
        </w:rPr>
        <w:t>。授予中小企业合同金额</w:t>
      </w:r>
      <w:r>
        <w:rPr>
          <w:rFonts w:hint="default" w:ascii="Times New Roman" w:hAnsi="Times New Roman" w:eastAsia="方正仿宋_GBK" w:cs="Times New Roman"/>
          <w:sz w:val="32"/>
          <w:szCs w:val="32"/>
          <w:lang w:eastAsia="zh-CN"/>
        </w:rPr>
        <w:t>5.95</w:t>
      </w:r>
      <w:r>
        <w:rPr>
          <w:rFonts w:hint="eastAsia" w:ascii="Times New Roman" w:hAnsi="Times New Roman" w:eastAsia="方正仿宋_GBK" w:cs="Times New Roman"/>
          <w:sz w:val="32"/>
          <w:szCs w:val="32"/>
          <w:lang w:eastAsia="zh-CN"/>
        </w:rPr>
        <w:t>元，占政府采购支出总额的</w:t>
      </w:r>
      <w:r>
        <w:rPr>
          <w:rFonts w:hint="default" w:ascii="Times New Roman" w:hAnsi="Times New Roman" w:eastAsia="方正仿宋_GBK" w:cs="Times New Roman"/>
          <w:sz w:val="32"/>
          <w:szCs w:val="32"/>
          <w:lang w:eastAsia="zh-CN"/>
        </w:rPr>
        <w:t>100%</w:t>
      </w:r>
      <w:r>
        <w:rPr>
          <w:rFonts w:hint="eastAsia" w:ascii="Times New Roman" w:hAnsi="Times New Roman" w:eastAsia="方正仿宋_GBK" w:cs="Times New Roman"/>
          <w:sz w:val="32"/>
          <w:szCs w:val="32"/>
          <w:lang w:eastAsia="zh-CN"/>
        </w:rPr>
        <w:t>，其中：授予小微企业合同金额</w:t>
      </w:r>
      <w:r>
        <w:rPr>
          <w:rFonts w:hint="default" w:ascii="Times New Roman" w:hAnsi="Times New Roman" w:eastAsia="方正仿宋_GBK" w:cs="Times New Roman"/>
          <w:sz w:val="32"/>
          <w:szCs w:val="32"/>
          <w:lang w:eastAsia="zh-CN"/>
        </w:rPr>
        <w:t>5.95</w:t>
      </w:r>
      <w:r>
        <w:rPr>
          <w:rFonts w:hint="eastAsia" w:ascii="Times New Roman" w:hAnsi="Times New Roman" w:eastAsia="方正仿宋_GBK" w:cs="Times New Roman"/>
          <w:sz w:val="32"/>
          <w:szCs w:val="32"/>
          <w:lang w:eastAsia="zh-CN"/>
        </w:rPr>
        <w:t>万元，占政府采购支出总额的</w:t>
      </w:r>
      <w:r>
        <w:rPr>
          <w:rFonts w:hint="default" w:ascii="Times New Roman" w:hAnsi="Times New Roman" w:eastAsia="方正仿宋_GBK" w:cs="Times New Roman"/>
          <w:sz w:val="32"/>
          <w:szCs w:val="32"/>
          <w:lang w:eastAsia="zh-CN"/>
        </w:rPr>
        <w:t>100%</w:t>
      </w:r>
      <w:r>
        <w:rPr>
          <w:rFonts w:hint="eastAsia" w:ascii="Times New Roman" w:hAnsi="Times New Roman" w:eastAsia="方正仿宋_GBK" w:cs="Times New Roman"/>
          <w:sz w:val="32"/>
          <w:szCs w:val="32"/>
          <w:lang w:eastAsia="zh-CN"/>
        </w:rPr>
        <w:t>。</w:t>
      </w:r>
    </w:p>
    <w:p w14:paraId="788EEB77">
      <w:pPr>
        <w:pageBreakBefore w:val="0"/>
        <w:kinsoku/>
        <w:wordWrap/>
        <w:overflowPunct/>
        <w:topLinePunct w:val="0"/>
        <w:bidi w:val="0"/>
        <w:snapToGrid/>
        <w:spacing w:line="240" w:lineRule="auto"/>
        <w:ind w:left="0" w:leftChars="0" w:firstLine="640" w:firstLineChars="200"/>
        <w:textAlignment w:val="auto"/>
        <w:outlineLvl w:val="2"/>
        <w:rPr>
          <w:rFonts w:hint="default" w:ascii="Times New Roman" w:hAnsi="Times New Roman" w:eastAsia="方正楷体_GBK" w:cs="Times New Roman"/>
          <w:b w:val="0"/>
          <w:bCs/>
          <w:sz w:val="32"/>
          <w:szCs w:val="32"/>
          <w:lang w:eastAsia="zh-CN"/>
        </w:rPr>
      </w:pPr>
      <w:bookmarkStart w:id="48" w:name="_Toc15377224"/>
      <w:r>
        <w:rPr>
          <w:rFonts w:hint="eastAsia" w:ascii="Times New Roman" w:hAnsi="Times New Roman" w:eastAsia="方正楷体_GBK" w:cs="Times New Roman"/>
          <w:b w:val="0"/>
          <w:bCs/>
          <w:sz w:val="32"/>
          <w:szCs w:val="32"/>
          <w:lang w:eastAsia="zh-CN"/>
        </w:rPr>
        <w:t>（三）国有资产占有使用情况</w:t>
      </w:r>
      <w:bookmarkEnd w:id="48"/>
    </w:p>
    <w:p w14:paraId="494887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截至202</w:t>
      </w:r>
      <w:r>
        <w:rPr>
          <w:rFonts w:hint="default" w:ascii="Times New Roman" w:hAnsi="Times New Roman" w:eastAsia="方正仿宋_GBK" w:cs="Times New Roman"/>
          <w:sz w:val="32"/>
          <w:szCs w:val="32"/>
          <w:lang w:eastAsia="zh-CN"/>
        </w:rPr>
        <w:t>4</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lang w:eastAsia="zh-CN"/>
        </w:rPr>
        <w:t>12</w:t>
      </w:r>
      <w:r>
        <w:rPr>
          <w:rFonts w:hint="eastAsia" w:ascii="Times New Roman" w:hAnsi="Times New Roman" w:eastAsia="方正仿宋_GBK" w:cs="Times New Roman"/>
          <w:sz w:val="32"/>
          <w:szCs w:val="32"/>
          <w:lang w:eastAsia="zh-CN"/>
        </w:rPr>
        <w:t>月</w:t>
      </w:r>
      <w:r>
        <w:rPr>
          <w:rFonts w:hint="default" w:ascii="Times New Roman" w:hAnsi="Times New Roman" w:eastAsia="方正仿宋_GBK" w:cs="Times New Roman"/>
          <w:sz w:val="32"/>
          <w:szCs w:val="32"/>
          <w:lang w:eastAsia="zh-CN"/>
        </w:rPr>
        <w:t>31</w:t>
      </w:r>
      <w:r>
        <w:rPr>
          <w:rFonts w:hint="eastAsia" w:ascii="Times New Roman" w:hAnsi="Times New Roman" w:eastAsia="方正仿宋_GBK" w:cs="Times New Roman"/>
          <w:sz w:val="32"/>
          <w:szCs w:val="32"/>
          <w:lang w:eastAsia="zh-CN"/>
        </w:rPr>
        <w:t>日，</w:t>
      </w:r>
      <w:r>
        <w:rPr>
          <w:rFonts w:hint="default" w:ascii="Times New Roman" w:hAnsi="Times New Roman" w:eastAsia="方正仿宋_GBK" w:cs="Times New Roman"/>
          <w:sz w:val="32"/>
          <w:szCs w:val="32"/>
          <w:lang w:eastAsia="zh-CN"/>
        </w:rPr>
        <w:t>盐边县退役军人事务局</w:t>
      </w:r>
      <w:r>
        <w:rPr>
          <w:rFonts w:hint="eastAsia" w:ascii="Times New Roman" w:hAnsi="Times New Roman" w:eastAsia="方正仿宋_GBK" w:cs="Times New Roman"/>
          <w:sz w:val="32"/>
          <w:szCs w:val="32"/>
          <w:lang w:eastAsia="zh-CN"/>
        </w:rPr>
        <w:t>共有车辆0辆，其中：主要领导干部用车</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辆、机要通信用车</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辆、应急保障用车</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辆、其他用车</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辆。单价</w:t>
      </w:r>
      <w:r>
        <w:rPr>
          <w:rFonts w:hint="default" w:ascii="Times New Roman" w:hAnsi="Times New Roman" w:eastAsia="方正仿宋_GBK" w:cs="Times New Roman"/>
          <w:sz w:val="32"/>
          <w:szCs w:val="32"/>
          <w:lang w:eastAsia="zh-CN"/>
        </w:rPr>
        <w:t>100</w:t>
      </w:r>
      <w:r>
        <w:rPr>
          <w:rFonts w:hint="eastAsia" w:ascii="Times New Roman" w:hAnsi="Times New Roman" w:eastAsia="方正仿宋_GBK" w:cs="Times New Roman"/>
          <w:sz w:val="32"/>
          <w:szCs w:val="32"/>
          <w:lang w:eastAsia="zh-CN"/>
        </w:rPr>
        <w:t>万元以上设备（不含车辆）</w:t>
      </w:r>
      <w:r>
        <w:rPr>
          <w:rFonts w:hint="default"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lang w:eastAsia="zh-CN"/>
        </w:rPr>
        <w:t>台。</w:t>
      </w:r>
    </w:p>
    <w:p w14:paraId="39E4566B">
      <w:pPr>
        <w:pageBreakBefore w:val="0"/>
        <w:kinsoku/>
        <w:wordWrap/>
        <w:overflowPunct/>
        <w:topLinePunct w:val="0"/>
        <w:bidi w:val="0"/>
        <w:snapToGrid/>
        <w:spacing w:line="240" w:lineRule="auto"/>
        <w:ind w:left="0" w:leftChars="0" w:firstLine="640" w:firstLineChars="200"/>
        <w:textAlignment w:val="auto"/>
        <w:outlineLvl w:val="2"/>
        <w:rPr>
          <w:rFonts w:hint="default" w:ascii="Times New Roman" w:hAnsi="Times New Roman" w:eastAsia="方正楷体_GBK" w:cs="Times New Roman"/>
          <w:b w:val="0"/>
          <w:bCs/>
          <w:sz w:val="32"/>
          <w:szCs w:val="32"/>
          <w:lang w:eastAsia="zh-CN"/>
        </w:rPr>
      </w:pPr>
      <w:r>
        <w:rPr>
          <w:rFonts w:hint="eastAsia" w:ascii="Times New Roman" w:hAnsi="Times New Roman" w:eastAsia="方正楷体_GBK" w:cs="Times New Roman"/>
          <w:b w:val="0"/>
          <w:bCs/>
          <w:sz w:val="32"/>
          <w:szCs w:val="32"/>
          <w:lang w:eastAsia="zh-CN"/>
        </w:rPr>
        <w:t>（四）预算绩效管理情况</w:t>
      </w:r>
    </w:p>
    <w:p w14:paraId="176B8C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根据预算绩效管理要求，本单位在2024年度预算编制阶段，组织对多个项目开展了预算事前绩效评估，对多个项目编制了绩效目标，预算执行过程中，选取多个项目开展绩效监控,组织对多个项目开展绩效自评，绩效自评表详见第四部分附件。</w:t>
      </w:r>
    </w:p>
    <w:p w14:paraId="2B560D1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方正小标宋_GBK" w:cs="Times New Roman"/>
          <w:b w:val="0"/>
          <w:bCs w:val="0"/>
          <w:color w:val="auto"/>
          <w:sz w:val="44"/>
          <w:szCs w:val="44"/>
          <w:lang w:eastAsia="zh-CN"/>
        </w:rPr>
      </w:pPr>
    </w:p>
    <w:p w14:paraId="7DE5AE46">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方正小标宋_GBK" w:cs="Times New Roman"/>
          <w:b w:val="0"/>
          <w:bCs w:val="0"/>
          <w:color w:val="auto"/>
          <w:sz w:val="44"/>
          <w:szCs w:val="44"/>
          <w:lang w:eastAsia="zh-CN"/>
        </w:rPr>
      </w:pPr>
      <w:bookmarkStart w:id="49" w:name="_Toc15396613"/>
      <w:bookmarkStart w:id="50" w:name="_Toc15377225"/>
      <w:r>
        <w:rPr>
          <w:rFonts w:hint="eastAsia" w:ascii="Times New Roman" w:hAnsi="Times New Roman" w:eastAsia="方正小标宋_GBK" w:cs="Times New Roman"/>
          <w:b w:val="0"/>
          <w:bCs w:val="0"/>
          <w:color w:val="auto"/>
          <w:sz w:val="44"/>
          <w:szCs w:val="44"/>
          <w:lang w:eastAsia="zh-CN"/>
        </w:rPr>
        <w:t>第三部分  名词解释</w:t>
      </w:r>
      <w:bookmarkEnd w:id="49"/>
      <w:bookmarkEnd w:id="50"/>
    </w:p>
    <w:p w14:paraId="222AFA06">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方正小标宋_GBK" w:cs="Times New Roman"/>
          <w:b w:val="0"/>
          <w:bCs w:val="0"/>
          <w:color w:val="auto"/>
          <w:sz w:val="44"/>
          <w:szCs w:val="44"/>
          <w:lang w:eastAsia="zh-CN"/>
        </w:rPr>
      </w:pPr>
    </w:p>
    <w:p w14:paraId="367D59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1.财政拨款收入：指单位从同级财政部门取得的财政预算资金。</w:t>
      </w:r>
    </w:p>
    <w:p w14:paraId="7662DE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2.事业收入：指事业单位开展专业业务活动及辅助活动取得的收入。</w:t>
      </w:r>
    </w:p>
    <w:p w14:paraId="1C2E68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3.其他收入：指单位取得的除上述收入以外的各项收入。</w:t>
      </w:r>
    </w:p>
    <w:p w14:paraId="195792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4.使用非财政拨款结余：指事业单位使用以前年度积累的非财政拨款结余弥补当年收支差额的金额。</w:t>
      </w:r>
    </w:p>
    <w:p w14:paraId="673639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5.年初结转和结余：指以前年度尚未完成、结转到本年按有关规定继续使用的资金。</w:t>
      </w:r>
    </w:p>
    <w:p w14:paraId="1CE828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6.结余分配：指事业单位按照会计制度规定缴纳的所得税、提取的专用结余以及转入非财政拨款结余的金额等。</w:t>
      </w:r>
    </w:p>
    <w:p w14:paraId="37742F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7.年末结转和结余：指单位按有关规定结转到下年或以后年度继续使用的资金。</w:t>
      </w:r>
    </w:p>
    <w:p w14:paraId="615C5B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color w:val="000000"/>
          <w:sz w:val="32"/>
          <w:szCs w:val="32"/>
        </w:rPr>
      </w:pPr>
      <w:r>
        <w:rPr>
          <w:rFonts w:hint="default" w:ascii="Times New Roman" w:hAnsi="Times New Roman" w:eastAsia="方正仿宋_GBK" w:cs="Times New Roman"/>
          <w:sz w:val="32"/>
          <w:szCs w:val="32"/>
          <w:lang w:eastAsia="zh-CN"/>
        </w:rPr>
        <w:t>8.社会保障和就业208（类）人力资源和社会</w:t>
      </w:r>
      <w:r>
        <w:rPr>
          <w:rFonts w:eastAsia="仿宋_GB2312"/>
          <w:color w:val="000000"/>
          <w:sz w:val="32"/>
          <w:szCs w:val="32"/>
        </w:rPr>
        <w:t>保障管理事务01（款）行政运行01（项）：指行政单位（包括实行公务员管理的事业单位）的基本支出。</w:t>
      </w:r>
    </w:p>
    <w:p w14:paraId="7F2F0094">
      <w:pPr>
        <w:pageBreakBefore w:val="0"/>
        <w:widowControl w:val="0"/>
        <w:kinsoku/>
        <w:wordWrap/>
        <w:overflowPunct/>
        <w:topLinePunct w:val="0"/>
        <w:bidi w:val="0"/>
        <w:snapToGrid/>
        <w:spacing w:line="240" w:lineRule="auto"/>
        <w:ind w:left="0" w:leftChars="0" w:right="0" w:firstLine="640" w:firstLineChars="200"/>
        <w:textAlignment w:val="auto"/>
        <w:rPr>
          <w:rFonts w:eastAsia="仿宋_GB2312"/>
          <w:color w:val="000000"/>
          <w:sz w:val="32"/>
          <w:szCs w:val="32"/>
        </w:rPr>
      </w:pPr>
      <w:r>
        <w:rPr>
          <w:rFonts w:eastAsia="仿宋_GB2312"/>
          <w:color w:val="000000"/>
          <w:sz w:val="32"/>
          <w:szCs w:val="32"/>
        </w:rPr>
        <w:t>9.社会保障和就业208（类）行政事业单位养老支出05（款）行政单位离退休01（项）：指行政单位（包括实行公务员管理的事业单位）开支的离退休经费。</w:t>
      </w:r>
    </w:p>
    <w:p w14:paraId="545BBCD2">
      <w:pPr>
        <w:pageBreakBefore w:val="0"/>
        <w:widowControl w:val="0"/>
        <w:kinsoku/>
        <w:wordWrap/>
        <w:overflowPunct/>
        <w:topLinePunct w:val="0"/>
        <w:bidi w:val="0"/>
        <w:snapToGrid/>
        <w:spacing w:line="240" w:lineRule="auto"/>
        <w:ind w:left="0" w:leftChars="0" w:right="0" w:firstLine="640" w:firstLineChars="200"/>
        <w:textAlignment w:val="auto"/>
        <w:rPr>
          <w:rFonts w:eastAsia="仿宋_GB2312"/>
          <w:color w:val="000000"/>
          <w:sz w:val="32"/>
          <w:szCs w:val="32"/>
        </w:rPr>
      </w:pPr>
      <w:r>
        <w:rPr>
          <w:rFonts w:eastAsia="仿宋_GB2312"/>
          <w:color w:val="000000"/>
          <w:sz w:val="32"/>
          <w:szCs w:val="32"/>
        </w:rPr>
        <w:t>10.社会保障和就业208（类）行政事业单位养老支出05（款）机关事业单位基本养老保险缴费支出（项）：指机关事业单位实施养老保险制度由单位缴纳的基本养老保险费支出。</w:t>
      </w:r>
    </w:p>
    <w:p w14:paraId="6FC3E55F">
      <w:pPr>
        <w:pageBreakBefore w:val="0"/>
        <w:widowControl w:val="0"/>
        <w:kinsoku/>
        <w:wordWrap/>
        <w:overflowPunct/>
        <w:topLinePunct w:val="0"/>
        <w:bidi w:val="0"/>
        <w:snapToGrid/>
        <w:spacing w:line="240" w:lineRule="auto"/>
        <w:ind w:left="0" w:leftChars="0" w:right="0" w:firstLine="640" w:firstLineChars="200"/>
        <w:textAlignment w:val="auto"/>
        <w:rPr>
          <w:rFonts w:eastAsia="仿宋_GB2312"/>
          <w:color w:val="000000"/>
          <w:sz w:val="32"/>
          <w:szCs w:val="32"/>
        </w:rPr>
      </w:pPr>
      <w:r>
        <w:rPr>
          <w:rFonts w:eastAsia="仿宋_GB2312"/>
          <w:color w:val="000000"/>
          <w:sz w:val="32"/>
          <w:szCs w:val="32"/>
        </w:rPr>
        <w:t>11.社会保障和就业208（类）抚恤08（款）伤残抚恤02（项）：指按规定用于伤残人员的抚恤金和按规定开支的各种伤残补助费。</w:t>
      </w:r>
    </w:p>
    <w:p w14:paraId="1026F0DF">
      <w:pPr>
        <w:pageBreakBefore w:val="0"/>
        <w:widowControl w:val="0"/>
        <w:kinsoku/>
        <w:wordWrap/>
        <w:overflowPunct/>
        <w:topLinePunct w:val="0"/>
        <w:bidi w:val="0"/>
        <w:snapToGrid/>
        <w:spacing w:line="240" w:lineRule="auto"/>
        <w:ind w:left="0" w:leftChars="0" w:right="0" w:firstLine="640" w:firstLineChars="200"/>
        <w:textAlignment w:val="auto"/>
        <w:rPr>
          <w:rFonts w:eastAsia="仿宋_GB2312"/>
          <w:color w:val="000000"/>
          <w:sz w:val="32"/>
          <w:szCs w:val="32"/>
        </w:rPr>
      </w:pPr>
      <w:r>
        <w:rPr>
          <w:rFonts w:eastAsia="仿宋_GB2312"/>
          <w:color w:val="000000"/>
          <w:sz w:val="32"/>
          <w:szCs w:val="32"/>
        </w:rPr>
        <w:t>12.社会保障和就业208（类）抚恤08（款）在乡复员、退伍军人生活补助03（项）：指在乡退伍红军老战士（含西路军红军老战士、红军失散人员）、1954年10月31日前入伍的在乡复员军人、按规定办理带病回乡手续的退伍军人、符合领取定期生活补助条件的“两参”人员生活补助。</w:t>
      </w:r>
    </w:p>
    <w:p w14:paraId="718CA77D">
      <w:pPr>
        <w:pageBreakBefore w:val="0"/>
        <w:widowControl w:val="0"/>
        <w:kinsoku/>
        <w:wordWrap/>
        <w:overflowPunct/>
        <w:topLinePunct w:val="0"/>
        <w:bidi w:val="0"/>
        <w:snapToGrid/>
        <w:spacing w:line="240" w:lineRule="auto"/>
        <w:ind w:left="0" w:leftChars="0" w:right="0" w:firstLine="640" w:firstLineChars="200"/>
        <w:textAlignment w:val="auto"/>
        <w:rPr>
          <w:rFonts w:eastAsia="仿宋_GB2312"/>
          <w:color w:val="000000"/>
          <w:sz w:val="32"/>
          <w:szCs w:val="32"/>
        </w:rPr>
      </w:pPr>
      <w:r>
        <w:rPr>
          <w:rFonts w:eastAsia="仿宋_GB2312"/>
          <w:color w:val="000000"/>
          <w:sz w:val="32"/>
          <w:szCs w:val="32"/>
        </w:rPr>
        <w:t>13.社会保障和就业208（类）抚恤08（款）义务军优待05（项）：指用于义务兵优待方面的支出。</w:t>
      </w:r>
    </w:p>
    <w:p w14:paraId="5CCBA14C">
      <w:pPr>
        <w:pageBreakBefore w:val="0"/>
        <w:widowControl w:val="0"/>
        <w:kinsoku/>
        <w:wordWrap/>
        <w:overflowPunct/>
        <w:topLinePunct w:val="0"/>
        <w:bidi w:val="0"/>
        <w:snapToGrid/>
        <w:spacing w:line="240" w:lineRule="auto"/>
        <w:ind w:left="0" w:leftChars="0" w:right="0" w:firstLine="640" w:firstLineChars="200"/>
        <w:textAlignment w:val="auto"/>
        <w:rPr>
          <w:rFonts w:eastAsia="仿宋_GB2312"/>
          <w:color w:val="000000"/>
          <w:sz w:val="32"/>
          <w:szCs w:val="32"/>
        </w:rPr>
      </w:pPr>
      <w:r>
        <w:rPr>
          <w:rFonts w:eastAsia="仿宋_GB2312"/>
          <w:color w:val="000000"/>
          <w:sz w:val="32"/>
          <w:szCs w:val="32"/>
        </w:rPr>
        <w:t>14.社会保障和就业208（类）抚恤08（款）农村籍退役士兵老年生活补助06（项）：指1954年11月1日试行义务兵役制后至《退役士兵安置条例》实施前入伍、年龄在60周岁以上（含60周岁）、未享受到国家定期抚恤补助的农村籍退役士兵的老年生活补助。</w:t>
      </w:r>
    </w:p>
    <w:p w14:paraId="26044BE5">
      <w:pPr>
        <w:pageBreakBefore w:val="0"/>
        <w:widowControl w:val="0"/>
        <w:kinsoku/>
        <w:wordWrap/>
        <w:overflowPunct/>
        <w:topLinePunct w:val="0"/>
        <w:bidi w:val="0"/>
        <w:snapToGrid/>
        <w:spacing w:line="240" w:lineRule="auto"/>
        <w:ind w:left="0" w:leftChars="0" w:right="0" w:firstLine="640" w:firstLineChars="200"/>
        <w:textAlignment w:val="auto"/>
        <w:rPr>
          <w:rFonts w:eastAsia="仿宋_GB2312"/>
          <w:color w:val="000000"/>
          <w:sz w:val="32"/>
          <w:szCs w:val="32"/>
        </w:rPr>
      </w:pPr>
      <w:r>
        <w:rPr>
          <w:rFonts w:eastAsia="仿宋_GB2312"/>
          <w:color w:val="000000"/>
          <w:sz w:val="32"/>
          <w:szCs w:val="32"/>
        </w:rPr>
        <w:t>15.社会保障和就业208（类）抚恤08（款）其他优抚支出99（项）：指反映除上述项目以外其他用于优抚方面的支出，包括向优抚对象发放的价格临时补贴、老烈士子女、老党员定期生活补助等支出。</w:t>
      </w:r>
    </w:p>
    <w:p w14:paraId="5F8A05B5">
      <w:pPr>
        <w:pageBreakBefore w:val="0"/>
        <w:widowControl w:val="0"/>
        <w:kinsoku/>
        <w:wordWrap/>
        <w:overflowPunct/>
        <w:topLinePunct w:val="0"/>
        <w:bidi w:val="0"/>
        <w:snapToGrid/>
        <w:spacing w:line="240" w:lineRule="auto"/>
        <w:ind w:left="0" w:leftChars="0" w:right="0" w:firstLine="640" w:firstLineChars="200"/>
        <w:textAlignment w:val="auto"/>
        <w:rPr>
          <w:rFonts w:eastAsia="仿宋_GB2312"/>
          <w:color w:val="000000"/>
          <w:sz w:val="32"/>
          <w:szCs w:val="32"/>
        </w:rPr>
      </w:pPr>
      <w:r>
        <w:rPr>
          <w:rFonts w:eastAsia="仿宋_GB2312"/>
          <w:color w:val="000000"/>
          <w:sz w:val="32"/>
          <w:szCs w:val="32"/>
        </w:rPr>
        <w:t>16.社会保障和就业208（类）退役安置09（款）军队移交政府的离退休人员安置02（项）：指反映移交政府的军队离退休人员安置支出。</w:t>
      </w:r>
    </w:p>
    <w:p w14:paraId="4A502DEF">
      <w:pPr>
        <w:pageBreakBefore w:val="0"/>
        <w:widowControl w:val="0"/>
        <w:kinsoku/>
        <w:wordWrap/>
        <w:overflowPunct/>
        <w:topLinePunct w:val="0"/>
        <w:bidi w:val="0"/>
        <w:snapToGrid/>
        <w:spacing w:line="240" w:lineRule="auto"/>
        <w:ind w:left="0" w:leftChars="0" w:right="0" w:firstLine="640" w:firstLineChars="200"/>
        <w:textAlignment w:val="auto"/>
        <w:rPr>
          <w:rFonts w:eastAsia="仿宋_GB2312"/>
          <w:color w:val="000000"/>
          <w:sz w:val="32"/>
          <w:szCs w:val="32"/>
        </w:rPr>
      </w:pPr>
      <w:r>
        <w:rPr>
          <w:rFonts w:eastAsia="仿宋_GB2312"/>
          <w:color w:val="000000"/>
          <w:sz w:val="32"/>
          <w:szCs w:val="32"/>
        </w:rPr>
        <w:t>17.社会保障和就业208（类）退役安置09（款）军队移交政府离退休干部管理机构03（项）：指反映退役军人事务部门管理的军队移交政府安置的离退休干部管理机构列入事业编制的人员经费、公用经费以及管理机构用房建设经费等支出。</w:t>
      </w:r>
    </w:p>
    <w:p w14:paraId="58E53BB2">
      <w:pPr>
        <w:pageBreakBefore w:val="0"/>
        <w:widowControl w:val="0"/>
        <w:kinsoku/>
        <w:wordWrap/>
        <w:overflowPunct/>
        <w:topLinePunct w:val="0"/>
        <w:bidi w:val="0"/>
        <w:snapToGrid/>
        <w:spacing w:line="240" w:lineRule="auto"/>
        <w:ind w:left="0" w:leftChars="0" w:right="0" w:firstLine="640" w:firstLineChars="200"/>
        <w:textAlignment w:val="auto"/>
        <w:rPr>
          <w:rFonts w:eastAsia="仿宋_GB2312"/>
          <w:color w:val="000000"/>
          <w:sz w:val="32"/>
          <w:szCs w:val="32"/>
        </w:rPr>
      </w:pPr>
      <w:r>
        <w:rPr>
          <w:rFonts w:eastAsia="仿宋_GB2312"/>
          <w:color w:val="000000"/>
          <w:sz w:val="32"/>
          <w:szCs w:val="32"/>
        </w:rPr>
        <w:t>18.社会保障和就业208（类）退役安置09（款）军队转业干部安置05（项）：指反映军队转业干部（含选择逐月领取退役金的军士）教育培训、管理事务、退役金等方面的支出。</w:t>
      </w:r>
    </w:p>
    <w:p w14:paraId="0043EA3D">
      <w:pPr>
        <w:pageBreakBefore w:val="0"/>
        <w:widowControl w:val="0"/>
        <w:kinsoku/>
        <w:wordWrap/>
        <w:overflowPunct/>
        <w:topLinePunct w:val="0"/>
        <w:bidi w:val="0"/>
        <w:snapToGrid/>
        <w:spacing w:line="240" w:lineRule="auto"/>
        <w:ind w:left="0" w:leftChars="0" w:right="0" w:firstLine="640" w:firstLineChars="200"/>
        <w:textAlignment w:val="auto"/>
        <w:rPr>
          <w:rFonts w:eastAsia="仿宋_GB2312"/>
          <w:color w:val="000000"/>
          <w:sz w:val="32"/>
          <w:szCs w:val="32"/>
        </w:rPr>
      </w:pPr>
      <w:r>
        <w:rPr>
          <w:rFonts w:eastAsia="仿宋_GB2312"/>
          <w:color w:val="000000"/>
          <w:sz w:val="32"/>
          <w:szCs w:val="32"/>
        </w:rPr>
        <w:t>19.社会保障和就业208（类）退役安置09（款）其他退役安置支出99（项）：指反映除上述项目以外其他用于退役安置方面的支出。</w:t>
      </w:r>
    </w:p>
    <w:p w14:paraId="069268CB">
      <w:pPr>
        <w:pageBreakBefore w:val="0"/>
        <w:widowControl w:val="0"/>
        <w:kinsoku/>
        <w:wordWrap/>
        <w:overflowPunct/>
        <w:topLinePunct w:val="0"/>
        <w:bidi w:val="0"/>
        <w:snapToGrid/>
        <w:spacing w:line="240" w:lineRule="auto"/>
        <w:ind w:left="0" w:leftChars="0" w:right="0" w:firstLine="640" w:firstLineChars="200"/>
        <w:textAlignment w:val="auto"/>
        <w:rPr>
          <w:rFonts w:eastAsia="仿宋_GB2312"/>
          <w:color w:val="000000"/>
          <w:sz w:val="32"/>
          <w:szCs w:val="32"/>
        </w:rPr>
      </w:pPr>
      <w:r>
        <w:rPr>
          <w:rFonts w:eastAsia="仿宋_GB2312"/>
          <w:color w:val="000000"/>
          <w:sz w:val="32"/>
          <w:szCs w:val="32"/>
        </w:rPr>
        <w:t>20.社会保障和就业208（类）退役军人管理事务28（款）行政运行01（项）：指反映行政单位（包括实行公务员管理的事业单位）的基本支出。</w:t>
      </w:r>
    </w:p>
    <w:p w14:paraId="0DE1743D">
      <w:pPr>
        <w:pageBreakBefore w:val="0"/>
        <w:widowControl w:val="0"/>
        <w:kinsoku/>
        <w:wordWrap/>
        <w:overflowPunct/>
        <w:topLinePunct w:val="0"/>
        <w:bidi w:val="0"/>
        <w:snapToGrid/>
        <w:spacing w:line="240" w:lineRule="auto"/>
        <w:ind w:left="0" w:leftChars="0" w:right="0" w:firstLine="640" w:firstLineChars="200"/>
        <w:textAlignment w:val="auto"/>
        <w:rPr>
          <w:rFonts w:eastAsia="仿宋_GB2312"/>
          <w:color w:val="000000"/>
          <w:sz w:val="32"/>
          <w:szCs w:val="32"/>
        </w:rPr>
      </w:pPr>
      <w:r>
        <w:rPr>
          <w:rFonts w:eastAsia="仿宋_GB2312"/>
          <w:color w:val="000000"/>
          <w:sz w:val="32"/>
          <w:szCs w:val="32"/>
        </w:rPr>
        <w:t>21.社会保障和就业208（类）退役军人管理事务28（款）一般行政管理事务02（项）：指反映行政单位（包括实行公务员管理的事业单位）未单独设置项级科目的其他项目支出。</w:t>
      </w:r>
    </w:p>
    <w:p w14:paraId="5C195560">
      <w:pPr>
        <w:pageBreakBefore w:val="0"/>
        <w:widowControl w:val="0"/>
        <w:kinsoku/>
        <w:wordWrap/>
        <w:overflowPunct/>
        <w:topLinePunct w:val="0"/>
        <w:bidi w:val="0"/>
        <w:snapToGrid/>
        <w:spacing w:line="240" w:lineRule="auto"/>
        <w:ind w:left="0" w:leftChars="0" w:right="0" w:firstLine="640" w:firstLineChars="200"/>
        <w:textAlignment w:val="auto"/>
        <w:rPr>
          <w:rFonts w:eastAsia="仿宋_GB2312"/>
          <w:color w:val="000000"/>
          <w:sz w:val="32"/>
          <w:szCs w:val="32"/>
        </w:rPr>
      </w:pPr>
      <w:r>
        <w:rPr>
          <w:rFonts w:eastAsia="仿宋_GB2312"/>
          <w:color w:val="000000"/>
          <w:sz w:val="32"/>
          <w:szCs w:val="32"/>
        </w:rPr>
        <w:t>22.社会保障和就业208（类）退役军人管理事务28（款）拥军优属04（项）：指反映开展拥军优属活动的支出。</w:t>
      </w:r>
    </w:p>
    <w:p w14:paraId="0B80CB72">
      <w:pPr>
        <w:pageBreakBefore w:val="0"/>
        <w:widowControl w:val="0"/>
        <w:kinsoku/>
        <w:wordWrap/>
        <w:overflowPunct/>
        <w:topLinePunct w:val="0"/>
        <w:bidi w:val="0"/>
        <w:snapToGrid/>
        <w:spacing w:line="240" w:lineRule="auto"/>
        <w:ind w:left="0" w:leftChars="0" w:right="0" w:firstLine="640" w:firstLineChars="200"/>
        <w:textAlignment w:val="auto"/>
        <w:rPr>
          <w:rFonts w:eastAsia="仿宋_GB2312"/>
          <w:color w:val="000000"/>
          <w:sz w:val="32"/>
          <w:szCs w:val="32"/>
        </w:rPr>
      </w:pPr>
      <w:r>
        <w:rPr>
          <w:rFonts w:eastAsia="仿宋_GB2312"/>
          <w:color w:val="000000"/>
          <w:sz w:val="32"/>
          <w:szCs w:val="32"/>
        </w:rPr>
        <w:t>23.社会保障和就业208（类）退役军人管理事务28（款）事业运行50（项）：指反映事业单位的基本支出，不包括行政单位（包括实行公务员管理的事业单位）后勤服务中心、医务室等附属事业单位。</w:t>
      </w:r>
    </w:p>
    <w:p w14:paraId="4D67A834">
      <w:pPr>
        <w:pageBreakBefore w:val="0"/>
        <w:widowControl w:val="0"/>
        <w:kinsoku/>
        <w:wordWrap/>
        <w:overflowPunct/>
        <w:topLinePunct w:val="0"/>
        <w:bidi w:val="0"/>
        <w:snapToGrid/>
        <w:spacing w:line="240" w:lineRule="auto"/>
        <w:ind w:left="0" w:leftChars="0" w:right="0" w:firstLine="640" w:firstLineChars="200"/>
        <w:textAlignment w:val="auto"/>
        <w:rPr>
          <w:rFonts w:eastAsia="仿宋_GB2312"/>
          <w:color w:val="000000"/>
          <w:sz w:val="32"/>
          <w:szCs w:val="32"/>
        </w:rPr>
      </w:pPr>
      <w:r>
        <w:rPr>
          <w:rFonts w:eastAsia="仿宋_GB2312"/>
          <w:color w:val="000000"/>
          <w:sz w:val="32"/>
          <w:szCs w:val="32"/>
        </w:rPr>
        <w:t>24.社会保障和就业208（类）退役军人管理事务28（款）其他退役军人事务管理支出99（项）：指反映除上述项目以外其他用于退役军人事务管理方面的支出。</w:t>
      </w:r>
    </w:p>
    <w:p w14:paraId="0D1F712A">
      <w:pPr>
        <w:pageBreakBefore w:val="0"/>
        <w:widowControl w:val="0"/>
        <w:kinsoku/>
        <w:wordWrap/>
        <w:overflowPunct/>
        <w:topLinePunct w:val="0"/>
        <w:bidi w:val="0"/>
        <w:snapToGrid/>
        <w:spacing w:line="240" w:lineRule="auto"/>
        <w:ind w:left="0" w:leftChars="0" w:right="0" w:firstLine="640" w:firstLineChars="200"/>
        <w:textAlignment w:val="auto"/>
        <w:rPr>
          <w:rFonts w:eastAsia="仿宋_GB2312"/>
          <w:color w:val="000000"/>
          <w:sz w:val="32"/>
          <w:szCs w:val="32"/>
        </w:rPr>
      </w:pPr>
      <w:r>
        <w:rPr>
          <w:rFonts w:eastAsia="仿宋_GB2312"/>
          <w:color w:val="000000"/>
          <w:sz w:val="32"/>
          <w:szCs w:val="32"/>
        </w:rPr>
        <w:t>25.卫生健康支出210（类）行政事业单位医疗11（款）行政单位医疗01（项）：指反映财政部门安排的行政单位（包括实行公务员管理的事业单位）基本医疗保险缴费经费，未参加医疗保险的行政单位的公费医疗经费，按国家规定享受离休人员、红军老战士待遇人员的医疗经费。</w:t>
      </w:r>
    </w:p>
    <w:p w14:paraId="6A89920C">
      <w:pPr>
        <w:pageBreakBefore w:val="0"/>
        <w:widowControl w:val="0"/>
        <w:kinsoku/>
        <w:wordWrap/>
        <w:overflowPunct/>
        <w:topLinePunct w:val="0"/>
        <w:bidi w:val="0"/>
        <w:snapToGrid/>
        <w:spacing w:line="240" w:lineRule="auto"/>
        <w:ind w:left="0" w:leftChars="0" w:right="0" w:firstLine="640" w:firstLineChars="200"/>
        <w:textAlignment w:val="auto"/>
        <w:rPr>
          <w:rFonts w:eastAsia="仿宋_GB2312"/>
          <w:color w:val="000000"/>
          <w:sz w:val="32"/>
          <w:szCs w:val="32"/>
        </w:rPr>
      </w:pPr>
      <w:r>
        <w:rPr>
          <w:rFonts w:eastAsia="仿宋_GB2312"/>
          <w:color w:val="000000"/>
          <w:sz w:val="32"/>
          <w:szCs w:val="32"/>
        </w:rPr>
        <w:t>26.卫生健康支出210（类）行政事业单位医疗11（款）事业单位医疗02（项）：指反映财政部门安排的事业单位基本医疗保险缴费经费，未参加医疗保险的事业单位的公费医疗经费，按国家规定享受离休人员待遇的医疗经费。</w:t>
      </w:r>
    </w:p>
    <w:p w14:paraId="5907E661">
      <w:pPr>
        <w:pageBreakBefore w:val="0"/>
        <w:widowControl w:val="0"/>
        <w:kinsoku/>
        <w:wordWrap/>
        <w:overflowPunct/>
        <w:topLinePunct w:val="0"/>
        <w:bidi w:val="0"/>
        <w:snapToGrid/>
        <w:spacing w:line="240" w:lineRule="auto"/>
        <w:ind w:left="0" w:leftChars="0" w:right="0" w:firstLine="640" w:firstLineChars="200"/>
        <w:textAlignment w:val="auto"/>
        <w:rPr>
          <w:rFonts w:eastAsia="仿宋_GB2312"/>
          <w:color w:val="000000"/>
          <w:sz w:val="32"/>
          <w:szCs w:val="32"/>
        </w:rPr>
      </w:pPr>
      <w:r>
        <w:rPr>
          <w:rFonts w:eastAsia="仿宋_GB2312"/>
          <w:color w:val="000000"/>
          <w:sz w:val="32"/>
          <w:szCs w:val="32"/>
        </w:rPr>
        <w:t>27.卫生健康支出210（类）行政事业单位医疗11（款）公务员医疗补助03（项）：指反映财政部门安排的公务员医疗补助经费。</w:t>
      </w:r>
    </w:p>
    <w:p w14:paraId="2A5E2B6E">
      <w:pPr>
        <w:pageBreakBefore w:val="0"/>
        <w:widowControl w:val="0"/>
        <w:kinsoku/>
        <w:wordWrap/>
        <w:overflowPunct/>
        <w:topLinePunct w:val="0"/>
        <w:bidi w:val="0"/>
        <w:snapToGrid/>
        <w:spacing w:line="240" w:lineRule="auto"/>
        <w:ind w:left="0" w:leftChars="0" w:right="0" w:firstLine="640" w:firstLineChars="200"/>
        <w:textAlignment w:val="auto"/>
        <w:rPr>
          <w:rFonts w:eastAsia="仿宋_GB2312"/>
          <w:color w:val="000000"/>
          <w:sz w:val="32"/>
          <w:szCs w:val="32"/>
        </w:rPr>
      </w:pPr>
      <w:r>
        <w:rPr>
          <w:rFonts w:eastAsia="仿宋_GB2312"/>
          <w:color w:val="000000"/>
          <w:sz w:val="32"/>
          <w:szCs w:val="32"/>
        </w:rPr>
        <w:t>28.卫生健康支出210（类）行政事业单位医疗11（款）其他行政事业单位医疗支出99（项）：指反映除上述项目以外的其他用于行政事业单位医疗方面的支出。</w:t>
      </w:r>
    </w:p>
    <w:p w14:paraId="49B72DB0">
      <w:pPr>
        <w:pageBreakBefore w:val="0"/>
        <w:widowControl w:val="0"/>
        <w:kinsoku/>
        <w:wordWrap/>
        <w:overflowPunct/>
        <w:topLinePunct w:val="0"/>
        <w:bidi w:val="0"/>
        <w:snapToGrid/>
        <w:spacing w:line="240" w:lineRule="auto"/>
        <w:ind w:left="0" w:leftChars="0" w:right="0" w:firstLine="640" w:firstLineChars="200"/>
        <w:textAlignment w:val="auto"/>
        <w:rPr>
          <w:rFonts w:eastAsia="仿宋_GB2312"/>
          <w:color w:val="000000"/>
          <w:sz w:val="32"/>
          <w:szCs w:val="32"/>
        </w:rPr>
      </w:pPr>
      <w:r>
        <w:rPr>
          <w:rFonts w:eastAsia="仿宋_GB2312"/>
          <w:color w:val="000000"/>
          <w:sz w:val="32"/>
          <w:szCs w:val="32"/>
        </w:rPr>
        <w:t>29．卫生健康支出210（类）优抚对象医疗14（款）优抚对象医疗补助01（项）：指反映按规定补助优抚对象的医疗经费。</w:t>
      </w:r>
    </w:p>
    <w:p w14:paraId="58F6494E">
      <w:pPr>
        <w:pageBreakBefore w:val="0"/>
        <w:widowControl w:val="0"/>
        <w:kinsoku/>
        <w:wordWrap/>
        <w:overflowPunct/>
        <w:topLinePunct w:val="0"/>
        <w:bidi w:val="0"/>
        <w:snapToGrid/>
        <w:spacing w:line="240" w:lineRule="auto"/>
        <w:ind w:left="0" w:leftChars="0" w:right="0" w:firstLine="640" w:firstLineChars="200"/>
        <w:textAlignment w:val="auto"/>
        <w:rPr>
          <w:rFonts w:eastAsia="仿宋_GB2312"/>
          <w:color w:val="000000"/>
          <w:sz w:val="32"/>
          <w:szCs w:val="32"/>
        </w:rPr>
      </w:pPr>
      <w:r>
        <w:rPr>
          <w:rFonts w:eastAsia="仿宋_GB2312"/>
          <w:color w:val="000000"/>
          <w:sz w:val="32"/>
          <w:szCs w:val="32"/>
        </w:rPr>
        <w:t>30.住房保障支出221（类）住房改革支出02（款）住房公积金01（项）：指反映行政事业单位按人力资源和社会保障部、财政部规定的基本工资和津贴补贴以及规定比例为职工缴纳的住房公积金。</w:t>
      </w:r>
    </w:p>
    <w:p w14:paraId="7BCE160A">
      <w:pPr>
        <w:pageBreakBefore w:val="0"/>
        <w:widowControl w:val="0"/>
        <w:kinsoku/>
        <w:wordWrap/>
        <w:overflowPunct/>
        <w:topLinePunct w:val="0"/>
        <w:bidi w:val="0"/>
        <w:snapToGrid/>
        <w:spacing w:line="240" w:lineRule="auto"/>
        <w:ind w:left="0" w:leftChars="0" w:right="0" w:firstLine="640" w:firstLineChars="200"/>
        <w:textAlignment w:val="auto"/>
        <w:rPr>
          <w:rFonts w:eastAsia="仿宋_GB2312"/>
          <w:color w:val="000000"/>
          <w:sz w:val="32"/>
          <w:szCs w:val="32"/>
        </w:rPr>
      </w:pPr>
      <w:r>
        <w:rPr>
          <w:rFonts w:eastAsia="仿宋_GB2312"/>
          <w:color w:val="000000"/>
          <w:sz w:val="32"/>
          <w:szCs w:val="32"/>
        </w:rPr>
        <w:t>31.基本支出：指为保障机构正常运转、完成日常工作任务而发生的人员支出和公用支出。</w:t>
      </w:r>
    </w:p>
    <w:p w14:paraId="1682504F">
      <w:pPr>
        <w:pageBreakBefore w:val="0"/>
        <w:widowControl w:val="0"/>
        <w:kinsoku/>
        <w:wordWrap/>
        <w:overflowPunct/>
        <w:topLinePunct w:val="0"/>
        <w:bidi w:val="0"/>
        <w:snapToGrid/>
        <w:spacing w:line="240" w:lineRule="auto"/>
        <w:ind w:left="0" w:leftChars="0" w:right="0" w:firstLine="640" w:firstLineChars="200"/>
        <w:textAlignment w:val="auto"/>
        <w:rPr>
          <w:rFonts w:eastAsia="仿宋_GB2312"/>
          <w:color w:val="000000"/>
          <w:sz w:val="32"/>
          <w:szCs w:val="32"/>
        </w:rPr>
      </w:pPr>
      <w:r>
        <w:rPr>
          <w:rFonts w:eastAsia="仿宋_GB2312"/>
          <w:color w:val="000000"/>
          <w:sz w:val="32"/>
          <w:szCs w:val="32"/>
        </w:rPr>
        <w:t>32.项目支出：指在基本支出之外为完成特定行政任务和事业发展目标所发生的支出。</w:t>
      </w:r>
    </w:p>
    <w:p w14:paraId="448A971B">
      <w:pPr>
        <w:pageBreakBefore w:val="0"/>
        <w:widowControl w:val="0"/>
        <w:kinsoku/>
        <w:wordWrap/>
        <w:overflowPunct/>
        <w:topLinePunct w:val="0"/>
        <w:bidi w:val="0"/>
        <w:snapToGrid/>
        <w:spacing w:line="240" w:lineRule="auto"/>
        <w:ind w:left="0" w:leftChars="0" w:right="0" w:firstLine="640" w:firstLineChars="200"/>
        <w:textAlignment w:val="auto"/>
        <w:rPr>
          <w:rFonts w:eastAsia="仿宋_GB2312"/>
          <w:color w:val="000000"/>
          <w:sz w:val="32"/>
          <w:szCs w:val="32"/>
        </w:rPr>
      </w:pPr>
      <w:r>
        <w:rPr>
          <w:rFonts w:eastAsia="仿宋_GB2312"/>
          <w:color w:val="000000"/>
          <w:sz w:val="32"/>
          <w:szCs w:val="32"/>
        </w:rPr>
        <w:t>33.“三公”经费：指部门用财政拨款安排的因公出国（境）费、公务用车购置及运行费和公务接待费。其中：（1）因公出国（境）费：反映单位公务出国（境）的国际旅费、国外城市间交通费、住宿费、伙食费、培训费、公杂费等支出。</w:t>
      </w:r>
      <w:r>
        <w:rPr>
          <w:rFonts w:hint="eastAsia" w:eastAsia="仿宋_GB2312"/>
          <w:color w:val="000000"/>
          <w:sz w:val="32"/>
          <w:szCs w:val="32"/>
        </w:rPr>
        <w:t xml:space="preserve">  </w:t>
      </w:r>
      <w:r>
        <w:rPr>
          <w:rFonts w:eastAsia="仿宋_GB2312"/>
          <w:color w:val="000000"/>
          <w:sz w:val="32"/>
          <w:szCs w:val="32"/>
        </w:rPr>
        <w:t xml:space="preserve">          （2）公务用车购置：反映单位公务用车购置支出（含车辆购置税、牌照费）。（3）公务用车运行维护费：反映单位按规定保留的公务用车燃料费、维修费、过桥过路费、保险费、安全奖励费用等支出。(4)公务接待费：反映单位按规定开支的各类公务接待（含外宾接待）费用。</w:t>
      </w:r>
    </w:p>
    <w:p w14:paraId="4C378BC0">
      <w:pPr>
        <w:pageBreakBefore w:val="0"/>
        <w:widowControl w:val="0"/>
        <w:kinsoku/>
        <w:wordWrap/>
        <w:overflowPunct/>
        <w:topLinePunct w:val="0"/>
        <w:bidi w:val="0"/>
        <w:snapToGrid/>
        <w:spacing w:line="240" w:lineRule="auto"/>
        <w:ind w:left="0" w:leftChars="0" w:right="0" w:firstLine="640" w:firstLineChars="200"/>
        <w:textAlignment w:val="auto"/>
        <w:rPr>
          <w:rFonts w:eastAsia="仿宋_GB2312"/>
          <w:color w:val="000000"/>
          <w:sz w:val="32"/>
          <w:szCs w:val="32"/>
        </w:rPr>
      </w:pPr>
      <w:r>
        <w:rPr>
          <w:rFonts w:eastAsia="仿宋_GB2312"/>
          <w:color w:val="000000"/>
          <w:sz w:val="32"/>
          <w:szCs w:val="32"/>
        </w:rPr>
        <w:t>34.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51" w:name="_Toc15396614"/>
      <w:bookmarkStart w:id="52" w:name="_Toc15377226"/>
    </w:p>
    <w:p w14:paraId="64DB2C69">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方正小标宋_GBK" w:cs="Times New Roman"/>
          <w:b w:val="0"/>
          <w:bCs w:val="0"/>
          <w:color w:val="auto"/>
          <w:sz w:val="44"/>
          <w:szCs w:val="44"/>
        </w:rPr>
      </w:pPr>
    </w:p>
    <w:p w14:paraId="4D3B8AE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方正小标宋_GBK" w:cs="Times New Roman"/>
          <w:b w:val="0"/>
          <w:bCs w:val="0"/>
          <w:color w:val="auto"/>
          <w:sz w:val="44"/>
          <w:szCs w:val="44"/>
        </w:rPr>
      </w:pPr>
      <w:r>
        <w:rPr>
          <w:rFonts w:hint="eastAsia" w:ascii="Times New Roman" w:hAnsi="Times New Roman" w:eastAsia="方正小标宋_GBK" w:cs="Times New Roman"/>
          <w:b w:val="0"/>
          <w:bCs w:val="0"/>
          <w:color w:val="auto"/>
          <w:sz w:val="44"/>
          <w:szCs w:val="44"/>
        </w:rPr>
        <w:t>第四部分 附件</w:t>
      </w:r>
      <w:bookmarkEnd w:id="51"/>
    </w:p>
    <w:p w14:paraId="4C38EBD5">
      <w:pPr>
        <w:pageBreakBefore w:val="0"/>
        <w:widowControl w:val="0"/>
        <w:kinsoku/>
        <w:wordWrap/>
        <w:overflowPunct/>
        <w:topLinePunct w:val="0"/>
        <w:bidi w:val="0"/>
        <w:snapToGrid/>
        <w:spacing w:line="240" w:lineRule="auto"/>
        <w:ind w:left="0" w:leftChars="0" w:right="0"/>
        <w:jc w:val="left"/>
        <w:textAlignment w:val="auto"/>
        <w:outlineLvl w:val="0"/>
        <w:rPr>
          <w:rFonts w:ascii="仿宋_GB2312" w:hAnsi="仿宋_GB2312" w:eastAsia="仿宋_GB2312" w:cs="仿宋_GB2312"/>
          <w:sz w:val="32"/>
          <w:szCs w:val="32"/>
        </w:rPr>
      </w:pPr>
    </w:p>
    <w:p w14:paraId="02840A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bookmarkStart w:id="53" w:name="_Toc15396618"/>
      <w:r>
        <w:rPr>
          <w:rFonts w:hint="eastAsia" w:ascii="Times New Roman" w:hAnsi="Times New Roman" w:eastAsia="方正仿宋_GBK" w:cs="Times New Roman"/>
          <w:sz w:val="32"/>
          <w:szCs w:val="32"/>
          <w:lang w:eastAsia="zh-CN"/>
        </w:rPr>
        <w:t>部门预算项目支出绩效自评表（202</w:t>
      </w:r>
      <w:r>
        <w:rPr>
          <w:rFonts w:hint="default" w:ascii="Times New Roman" w:hAnsi="Times New Roman" w:eastAsia="方正仿宋_GBK" w:cs="Times New Roman"/>
          <w:sz w:val="32"/>
          <w:szCs w:val="32"/>
          <w:lang w:eastAsia="zh-CN"/>
        </w:rPr>
        <w:t>4</w:t>
      </w:r>
      <w:r>
        <w:rPr>
          <w:rFonts w:hint="eastAsia" w:ascii="Times New Roman" w:hAnsi="Times New Roman" w:eastAsia="方正仿宋_GBK" w:cs="Times New Roman"/>
          <w:sz w:val="32"/>
          <w:szCs w:val="32"/>
          <w:lang w:eastAsia="zh-CN"/>
        </w:rPr>
        <w:t>年度项目</w:t>
      </w:r>
      <w:r>
        <w:rPr>
          <w:rFonts w:hint="default" w:ascii="Times New Roman" w:hAnsi="Times New Roman" w:eastAsia="方正仿宋_GBK" w:cs="Times New Roman"/>
          <w:sz w:val="32"/>
          <w:szCs w:val="32"/>
          <w:lang w:eastAsia="zh-CN"/>
        </w:rPr>
        <w:t>自评表</w:t>
      </w:r>
      <w:r>
        <w:rPr>
          <w:rFonts w:hint="eastAsia" w:ascii="Times New Roman" w:hAnsi="Times New Roman" w:eastAsia="方正仿宋_GBK" w:cs="Times New Roman"/>
          <w:sz w:val="32"/>
          <w:szCs w:val="32"/>
          <w:lang w:eastAsia="zh-CN"/>
        </w:rPr>
        <w:t>）</w:t>
      </w:r>
    </w:p>
    <w:p w14:paraId="31FD42D9">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方正小标宋_GBK" w:cs="Times New Roman"/>
          <w:b w:val="0"/>
          <w:bCs w:val="0"/>
          <w:color w:val="auto"/>
          <w:sz w:val="44"/>
          <w:szCs w:val="44"/>
        </w:rPr>
      </w:pPr>
    </w:p>
    <w:p w14:paraId="78FF612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方正小标宋_GBK" w:cs="Times New Roman"/>
          <w:b w:val="0"/>
          <w:bCs w:val="0"/>
          <w:color w:val="auto"/>
          <w:sz w:val="44"/>
          <w:szCs w:val="44"/>
        </w:rPr>
      </w:pPr>
      <w:r>
        <w:rPr>
          <w:rFonts w:hint="eastAsia" w:ascii="Times New Roman" w:hAnsi="Times New Roman" w:eastAsia="方正小标宋_GBK" w:cs="Times New Roman"/>
          <w:b w:val="0"/>
          <w:bCs w:val="0"/>
          <w:color w:val="auto"/>
          <w:sz w:val="44"/>
          <w:szCs w:val="44"/>
        </w:rPr>
        <w:t>第五部分 附表</w:t>
      </w:r>
      <w:bookmarkEnd w:id="52"/>
      <w:bookmarkEnd w:id="53"/>
      <w:bookmarkStart w:id="54" w:name="_Toc15396619"/>
    </w:p>
    <w:p w14:paraId="0AE3C84F">
      <w:pPr>
        <w:pStyle w:val="3"/>
        <w:pageBreakBefore w:val="0"/>
        <w:kinsoku/>
        <w:wordWrap/>
        <w:overflowPunct/>
        <w:topLinePunct w:val="0"/>
        <w:bidi w:val="0"/>
        <w:snapToGrid/>
        <w:spacing w:before="0" w:after="0" w:line="240" w:lineRule="auto"/>
        <w:ind w:left="0" w:leftChars="0"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一、收入支出决算总表</w:t>
      </w:r>
      <w:bookmarkEnd w:id="54"/>
    </w:p>
    <w:p w14:paraId="1E6D6AFC">
      <w:pPr>
        <w:pStyle w:val="3"/>
        <w:pageBreakBefore w:val="0"/>
        <w:kinsoku/>
        <w:wordWrap/>
        <w:overflowPunct/>
        <w:topLinePunct w:val="0"/>
        <w:bidi w:val="0"/>
        <w:snapToGrid/>
        <w:spacing w:before="0" w:after="0" w:line="240" w:lineRule="auto"/>
        <w:ind w:left="0" w:leftChars="0" w:firstLine="640" w:firstLineChars="200"/>
        <w:textAlignment w:val="auto"/>
        <w:rPr>
          <w:rFonts w:hint="default" w:ascii="Times New Roman" w:hAnsi="Times New Roman" w:eastAsia="方正仿宋_GBK" w:cs="Times New Roman"/>
          <w:b w:val="0"/>
          <w:bCs w:val="0"/>
          <w:kern w:val="2"/>
          <w:sz w:val="32"/>
          <w:szCs w:val="32"/>
          <w:lang w:val="en-US" w:eastAsia="zh-CN" w:bidi="ar-SA"/>
        </w:rPr>
      </w:pPr>
      <w:bookmarkStart w:id="55" w:name="_Toc15396620"/>
      <w:r>
        <w:rPr>
          <w:rFonts w:hint="eastAsia" w:ascii="Times New Roman" w:hAnsi="Times New Roman" w:eastAsia="方正仿宋_GBK" w:cs="Times New Roman"/>
          <w:b w:val="0"/>
          <w:bCs w:val="0"/>
          <w:kern w:val="2"/>
          <w:sz w:val="32"/>
          <w:szCs w:val="32"/>
          <w:lang w:val="en-US" w:eastAsia="zh-CN" w:bidi="ar-SA"/>
        </w:rPr>
        <w:t>二、收入决算表</w:t>
      </w:r>
      <w:bookmarkEnd w:id="55"/>
    </w:p>
    <w:p w14:paraId="34729411">
      <w:pPr>
        <w:pStyle w:val="3"/>
        <w:pageBreakBefore w:val="0"/>
        <w:kinsoku/>
        <w:wordWrap/>
        <w:overflowPunct/>
        <w:topLinePunct w:val="0"/>
        <w:bidi w:val="0"/>
        <w:snapToGrid/>
        <w:spacing w:before="0" w:after="0" w:line="240" w:lineRule="auto"/>
        <w:ind w:left="0" w:leftChars="0" w:firstLine="640" w:firstLineChars="200"/>
        <w:textAlignment w:val="auto"/>
        <w:rPr>
          <w:rFonts w:hint="default" w:ascii="Times New Roman" w:hAnsi="Times New Roman" w:eastAsia="方正仿宋_GBK" w:cs="Times New Roman"/>
          <w:b w:val="0"/>
          <w:bCs w:val="0"/>
          <w:kern w:val="2"/>
          <w:sz w:val="32"/>
          <w:szCs w:val="32"/>
          <w:lang w:val="en-US" w:eastAsia="zh-CN" w:bidi="ar-SA"/>
        </w:rPr>
      </w:pPr>
      <w:bookmarkStart w:id="56" w:name="_Toc15396621"/>
      <w:r>
        <w:rPr>
          <w:rFonts w:hint="eastAsia" w:ascii="Times New Roman" w:hAnsi="Times New Roman" w:eastAsia="方正仿宋_GBK" w:cs="Times New Roman"/>
          <w:b w:val="0"/>
          <w:bCs w:val="0"/>
          <w:kern w:val="2"/>
          <w:sz w:val="32"/>
          <w:szCs w:val="32"/>
          <w:lang w:val="en-US" w:eastAsia="zh-CN" w:bidi="ar-SA"/>
        </w:rPr>
        <w:t>三、支出决算表</w:t>
      </w:r>
      <w:bookmarkEnd w:id="56"/>
    </w:p>
    <w:p w14:paraId="34613856">
      <w:pPr>
        <w:pStyle w:val="3"/>
        <w:pageBreakBefore w:val="0"/>
        <w:kinsoku/>
        <w:wordWrap/>
        <w:overflowPunct/>
        <w:topLinePunct w:val="0"/>
        <w:bidi w:val="0"/>
        <w:snapToGrid/>
        <w:spacing w:before="0" w:after="0" w:line="240" w:lineRule="auto"/>
        <w:ind w:left="0" w:leftChars="0" w:firstLine="640" w:firstLineChars="200"/>
        <w:textAlignment w:val="auto"/>
        <w:rPr>
          <w:rFonts w:hint="default" w:ascii="Times New Roman" w:hAnsi="Times New Roman" w:eastAsia="方正仿宋_GBK" w:cs="Times New Roman"/>
          <w:b w:val="0"/>
          <w:bCs w:val="0"/>
          <w:kern w:val="2"/>
          <w:sz w:val="32"/>
          <w:szCs w:val="32"/>
          <w:lang w:val="en-US" w:eastAsia="zh-CN" w:bidi="ar-SA"/>
        </w:rPr>
      </w:pPr>
      <w:bookmarkStart w:id="57" w:name="_Toc15396622"/>
      <w:r>
        <w:rPr>
          <w:rFonts w:hint="eastAsia" w:ascii="Times New Roman" w:hAnsi="Times New Roman" w:eastAsia="方正仿宋_GBK" w:cs="Times New Roman"/>
          <w:b w:val="0"/>
          <w:bCs w:val="0"/>
          <w:kern w:val="2"/>
          <w:sz w:val="32"/>
          <w:szCs w:val="32"/>
          <w:lang w:val="en-US" w:eastAsia="zh-CN" w:bidi="ar-SA"/>
        </w:rPr>
        <w:t>四、财政拨款收入支出决算总表</w:t>
      </w:r>
      <w:bookmarkEnd w:id="57"/>
    </w:p>
    <w:p w14:paraId="117A40F5">
      <w:pPr>
        <w:pStyle w:val="3"/>
        <w:pageBreakBefore w:val="0"/>
        <w:kinsoku/>
        <w:wordWrap/>
        <w:overflowPunct/>
        <w:topLinePunct w:val="0"/>
        <w:bidi w:val="0"/>
        <w:snapToGrid/>
        <w:spacing w:before="0" w:after="0" w:line="240" w:lineRule="auto"/>
        <w:ind w:left="0" w:leftChars="0" w:firstLine="640" w:firstLineChars="200"/>
        <w:textAlignment w:val="auto"/>
        <w:rPr>
          <w:rFonts w:hint="default" w:ascii="Times New Roman" w:hAnsi="Times New Roman" w:eastAsia="方正仿宋_GBK" w:cs="Times New Roman"/>
          <w:b w:val="0"/>
          <w:bCs w:val="0"/>
          <w:kern w:val="2"/>
          <w:sz w:val="32"/>
          <w:szCs w:val="32"/>
          <w:lang w:val="en-US" w:eastAsia="zh-CN" w:bidi="ar-SA"/>
        </w:rPr>
      </w:pPr>
      <w:bookmarkStart w:id="58" w:name="_Toc15396623"/>
      <w:r>
        <w:rPr>
          <w:rFonts w:hint="eastAsia" w:ascii="Times New Roman" w:hAnsi="Times New Roman" w:eastAsia="方正仿宋_GBK" w:cs="Times New Roman"/>
          <w:b w:val="0"/>
          <w:bCs w:val="0"/>
          <w:kern w:val="2"/>
          <w:sz w:val="32"/>
          <w:szCs w:val="32"/>
          <w:lang w:val="en-US" w:eastAsia="zh-CN" w:bidi="ar-SA"/>
        </w:rPr>
        <w:t>五、财政拨款支出决算明细表</w:t>
      </w:r>
      <w:bookmarkEnd w:id="58"/>
      <w:bookmarkStart w:id="59" w:name="_Toc15396624"/>
    </w:p>
    <w:p w14:paraId="78000F8D">
      <w:pPr>
        <w:pStyle w:val="3"/>
        <w:pageBreakBefore w:val="0"/>
        <w:kinsoku/>
        <w:wordWrap/>
        <w:overflowPunct/>
        <w:topLinePunct w:val="0"/>
        <w:bidi w:val="0"/>
        <w:snapToGrid/>
        <w:spacing w:before="0" w:after="0" w:line="240" w:lineRule="auto"/>
        <w:ind w:left="0" w:leftChars="0"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六、一般公共预算财政拨款支出决算表</w:t>
      </w:r>
      <w:bookmarkEnd w:id="59"/>
    </w:p>
    <w:p w14:paraId="6E2E1396">
      <w:pPr>
        <w:pStyle w:val="3"/>
        <w:pageBreakBefore w:val="0"/>
        <w:kinsoku/>
        <w:wordWrap/>
        <w:overflowPunct/>
        <w:topLinePunct w:val="0"/>
        <w:bidi w:val="0"/>
        <w:snapToGrid/>
        <w:spacing w:before="0" w:after="0" w:line="240" w:lineRule="auto"/>
        <w:ind w:left="0" w:leftChars="0" w:firstLine="640" w:firstLineChars="200"/>
        <w:textAlignment w:val="auto"/>
        <w:rPr>
          <w:rFonts w:hint="default" w:ascii="Times New Roman" w:hAnsi="Times New Roman" w:eastAsia="方正仿宋_GBK" w:cs="Times New Roman"/>
          <w:b w:val="0"/>
          <w:bCs w:val="0"/>
          <w:kern w:val="2"/>
          <w:sz w:val="32"/>
          <w:szCs w:val="32"/>
          <w:lang w:val="en-US" w:eastAsia="zh-CN" w:bidi="ar-SA"/>
        </w:rPr>
      </w:pPr>
      <w:bookmarkStart w:id="60" w:name="_Toc15396625"/>
      <w:r>
        <w:rPr>
          <w:rFonts w:hint="eastAsia" w:ascii="Times New Roman" w:hAnsi="Times New Roman" w:eastAsia="方正仿宋_GBK" w:cs="Times New Roman"/>
          <w:b w:val="0"/>
          <w:bCs w:val="0"/>
          <w:kern w:val="2"/>
          <w:sz w:val="32"/>
          <w:szCs w:val="32"/>
          <w:lang w:val="en-US" w:eastAsia="zh-CN" w:bidi="ar-SA"/>
        </w:rPr>
        <w:t>七、一般公共预算财政拨款支出决算明细表</w:t>
      </w:r>
      <w:bookmarkEnd w:id="60"/>
    </w:p>
    <w:p w14:paraId="146D4A6C">
      <w:pPr>
        <w:pStyle w:val="3"/>
        <w:pageBreakBefore w:val="0"/>
        <w:kinsoku/>
        <w:wordWrap/>
        <w:overflowPunct/>
        <w:topLinePunct w:val="0"/>
        <w:bidi w:val="0"/>
        <w:snapToGrid/>
        <w:spacing w:before="0" w:after="0" w:line="240" w:lineRule="auto"/>
        <w:ind w:left="0" w:leftChars="0" w:firstLine="640" w:firstLineChars="200"/>
        <w:textAlignment w:val="auto"/>
        <w:rPr>
          <w:rFonts w:hint="default" w:ascii="Times New Roman" w:hAnsi="Times New Roman" w:eastAsia="方正仿宋_GBK" w:cs="Times New Roman"/>
          <w:b w:val="0"/>
          <w:bCs w:val="0"/>
          <w:kern w:val="2"/>
          <w:sz w:val="32"/>
          <w:szCs w:val="32"/>
          <w:lang w:val="en-US" w:eastAsia="zh-CN" w:bidi="ar-SA"/>
        </w:rPr>
      </w:pPr>
      <w:bookmarkStart w:id="61" w:name="_Toc15396626"/>
      <w:r>
        <w:rPr>
          <w:rFonts w:hint="eastAsia" w:ascii="Times New Roman" w:hAnsi="Times New Roman" w:eastAsia="方正仿宋_GBK" w:cs="Times New Roman"/>
          <w:b w:val="0"/>
          <w:bCs w:val="0"/>
          <w:kern w:val="2"/>
          <w:sz w:val="32"/>
          <w:szCs w:val="32"/>
          <w:lang w:val="en-US" w:eastAsia="zh-CN" w:bidi="ar-SA"/>
        </w:rPr>
        <w:t>八、一般公共预算财政拨款基本支出决算表</w:t>
      </w:r>
      <w:bookmarkEnd w:id="61"/>
    </w:p>
    <w:p w14:paraId="537FAFDA">
      <w:pPr>
        <w:pStyle w:val="3"/>
        <w:pageBreakBefore w:val="0"/>
        <w:kinsoku/>
        <w:wordWrap/>
        <w:overflowPunct/>
        <w:topLinePunct w:val="0"/>
        <w:bidi w:val="0"/>
        <w:snapToGrid/>
        <w:spacing w:before="0" w:after="0" w:line="240" w:lineRule="auto"/>
        <w:ind w:left="0" w:leftChars="0" w:firstLine="640" w:firstLineChars="200"/>
        <w:textAlignment w:val="auto"/>
        <w:rPr>
          <w:rFonts w:hint="default" w:ascii="Times New Roman" w:hAnsi="Times New Roman" w:eastAsia="方正仿宋_GBK" w:cs="Times New Roman"/>
          <w:b w:val="0"/>
          <w:bCs w:val="0"/>
          <w:kern w:val="2"/>
          <w:sz w:val="32"/>
          <w:szCs w:val="32"/>
          <w:lang w:val="en-US" w:eastAsia="zh-CN" w:bidi="ar-SA"/>
        </w:rPr>
      </w:pPr>
      <w:bookmarkStart w:id="62" w:name="_Toc15396627"/>
      <w:r>
        <w:rPr>
          <w:rFonts w:hint="eastAsia" w:ascii="Times New Roman" w:hAnsi="Times New Roman" w:eastAsia="方正仿宋_GBK" w:cs="Times New Roman"/>
          <w:b w:val="0"/>
          <w:bCs w:val="0"/>
          <w:kern w:val="2"/>
          <w:sz w:val="32"/>
          <w:szCs w:val="32"/>
          <w:lang w:val="en-US" w:eastAsia="zh-CN" w:bidi="ar-SA"/>
        </w:rPr>
        <w:t>九、一般公共预算财政拨款项目支出决算表</w:t>
      </w:r>
      <w:bookmarkEnd w:id="62"/>
    </w:p>
    <w:p w14:paraId="6C717792">
      <w:pPr>
        <w:pStyle w:val="3"/>
        <w:pageBreakBefore w:val="0"/>
        <w:kinsoku/>
        <w:wordWrap/>
        <w:overflowPunct/>
        <w:topLinePunct w:val="0"/>
        <w:bidi w:val="0"/>
        <w:snapToGrid/>
        <w:spacing w:before="0" w:after="0" w:line="240" w:lineRule="auto"/>
        <w:ind w:left="0" w:leftChars="0" w:firstLine="640" w:firstLineChars="200"/>
        <w:textAlignment w:val="auto"/>
        <w:rPr>
          <w:rFonts w:hint="default" w:ascii="Times New Roman" w:hAnsi="Times New Roman" w:eastAsia="方正仿宋_GBK" w:cs="Times New Roman"/>
          <w:b w:val="0"/>
          <w:bCs w:val="0"/>
          <w:kern w:val="2"/>
          <w:sz w:val="32"/>
          <w:szCs w:val="32"/>
          <w:lang w:val="en-US" w:eastAsia="zh-CN" w:bidi="ar-SA"/>
        </w:rPr>
      </w:pPr>
      <w:bookmarkStart w:id="63" w:name="_Toc15396628"/>
      <w:r>
        <w:rPr>
          <w:rFonts w:hint="eastAsia" w:ascii="Times New Roman" w:hAnsi="Times New Roman" w:eastAsia="方正仿宋_GBK" w:cs="Times New Roman"/>
          <w:b w:val="0"/>
          <w:bCs w:val="0"/>
          <w:kern w:val="2"/>
          <w:sz w:val="32"/>
          <w:szCs w:val="32"/>
          <w:lang w:val="en-US" w:eastAsia="zh-CN" w:bidi="ar-SA"/>
        </w:rPr>
        <w:t>十、</w:t>
      </w:r>
      <w:bookmarkEnd w:id="63"/>
      <w:r>
        <w:rPr>
          <w:rFonts w:hint="eastAsia" w:ascii="Times New Roman" w:hAnsi="Times New Roman" w:eastAsia="方正仿宋_GBK" w:cs="Times New Roman"/>
          <w:b w:val="0"/>
          <w:bCs w:val="0"/>
          <w:kern w:val="2"/>
          <w:sz w:val="32"/>
          <w:szCs w:val="32"/>
          <w:lang w:val="en-US" w:eastAsia="zh-CN" w:bidi="ar-SA"/>
        </w:rPr>
        <w:t>政府性基金预算财政拨款收入支出决算表</w:t>
      </w:r>
    </w:p>
    <w:p w14:paraId="381CDB71">
      <w:pPr>
        <w:pStyle w:val="3"/>
        <w:pageBreakBefore w:val="0"/>
        <w:kinsoku/>
        <w:wordWrap/>
        <w:overflowPunct/>
        <w:topLinePunct w:val="0"/>
        <w:bidi w:val="0"/>
        <w:snapToGrid/>
        <w:spacing w:before="0" w:after="0" w:line="240" w:lineRule="auto"/>
        <w:ind w:left="0" w:leftChars="0" w:firstLine="640" w:firstLineChars="200"/>
        <w:textAlignment w:val="auto"/>
        <w:rPr>
          <w:rFonts w:hint="default" w:ascii="Times New Roman" w:hAnsi="Times New Roman" w:eastAsia="方正仿宋_GBK" w:cs="Times New Roman"/>
          <w:b w:val="0"/>
          <w:bCs w:val="0"/>
          <w:kern w:val="2"/>
          <w:sz w:val="32"/>
          <w:szCs w:val="32"/>
          <w:lang w:val="en-US" w:eastAsia="zh-CN" w:bidi="ar-SA"/>
        </w:rPr>
      </w:pPr>
      <w:bookmarkStart w:id="64" w:name="_Toc15396629"/>
      <w:r>
        <w:rPr>
          <w:rFonts w:hint="eastAsia" w:ascii="Times New Roman" w:hAnsi="Times New Roman" w:eastAsia="方正仿宋_GBK" w:cs="Times New Roman"/>
          <w:b w:val="0"/>
          <w:bCs w:val="0"/>
          <w:kern w:val="2"/>
          <w:sz w:val="32"/>
          <w:szCs w:val="32"/>
          <w:lang w:val="en-US" w:eastAsia="zh-CN" w:bidi="ar-SA"/>
        </w:rPr>
        <w:t>十一、</w:t>
      </w:r>
      <w:bookmarkEnd w:id="64"/>
      <w:r>
        <w:rPr>
          <w:rFonts w:hint="eastAsia" w:ascii="Times New Roman" w:hAnsi="Times New Roman" w:eastAsia="方正仿宋_GBK" w:cs="Times New Roman"/>
          <w:b w:val="0"/>
          <w:bCs w:val="0"/>
          <w:kern w:val="2"/>
          <w:sz w:val="32"/>
          <w:szCs w:val="32"/>
          <w:lang w:val="en-US" w:eastAsia="zh-CN" w:bidi="ar-SA"/>
        </w:rPr>
        <w:t>国有资本经营预算财政拨款收入支出决算表</w:t>
      </w:r>
    </w:p>
    <w:p w14:paraId="5BC1169F">
      <w:pPr>
        <w:pStyle w:val="3"/>
        <w:pageBreakBefore w:val="0"/>
        <w:kinsoku/>
        <w:wordWrap/>
        <w:overflowPunct/>
        <w:topLinePunct w:val="0"/>
        <w:bidi w:val="0"/>
        <w:snapToGrid/>
        <w:spacing w:before="0" w:after="0" w:line="240" w:lineRule="auto"/>
        <w:ind w:left="0" w:leftChars="0" w:firstLine="640" w:firstLineChars="200"/>
        <w:textAlignment w:val="auto"/>
        <w:rPr>
          <w:rFonts w:hint="default" w:ascii="Times New Roman" w:hAnsi="Times New Roman" w:eastAsia="方正仿宋_GBK" w:cs="Times New Roman"/>
          <w:b w:val="0"/>
          <w:bCs w:val="0"/>
          <w:kern w:val="2"/>
          <w:sz w:val="32"/>
          <w:szCs w:val="32"/>
          <w:lang w:val="en-US" w:eastAsia="zh-CN" w:bidi="ar-SA"/>
        </w:rPr>
      </w:pPr>
      <w:bookmarkStart w:id="65" w:name="_Toc15396630"/>
      <w:r>
        <w:rPr>
          <w:rFonts w:hint="eastAsia" w:ascii="Times New Roman" w:hAnsi="Times New Roman" w:eastAsia="方正仿宋_GBK" w:cs="Times New Roman"/>
          <w:b w:val="0"/>
          <w:bCs w:val="0"/>
          <w:kern w:val="2"/>
          <w:sz w:val="32"/>
          <w:szCs w:val="32"/>
          <w:lang w:val="en-US" w:eastAsia="zh-CN" w:bidi="ar-SA"/>
        </w:rPr>
        <w:t>十二、</w:t>
      </w:r>
      <w:bookmarkEnd w:id="65"/>
      <w:r>
        <w:rPr>
          <w:rFonts w:hint="eastAsia" w:ascii="Times New Roman" w:hAnsi="Times New Roman" w:eastAsia="方正仿宋_GBK" w:cs="Times New Roman"/>
          <w:b w:val="0"/>
          <w:bCs w:val="0"/>
          <w:kern w:val="2"/>
          <w:sz w:val="32"/>
          <w:szCs w:val="32"/>
          <w:lang w:val="en-US" w:eastAsia="zh-CN" w:bidi="ar-SA"/>
        </w:rPr>
        <w:t>国有资本经营预算财政拨款支出决算表</w:t>
      </w:r>
    </w:p>
    <w:p w14:paraId="1010CFC8">
      <w:pPr>
        <w:pStyle w:val="3"/>
        <w:pageBreakBefore w:val="0"/>
        <w:kinsoku/>
        <w:wordWrap/>
        <w:overflowPunct/>
        <w:topLinePunct w:val="0"/>
        <w:bidi w:val="0"/>
        <w:snapToGrid/>
        <w:spacing w:before="0" w:after="0" w:line="240" w:lineRule="auto"/>
        <w:ind w:left="0" w:leftChars="0" w:firstLine="640" w:firstLineChars="200"/>
        <w:textAlignment w:val="auto"/>
        <w:rPr>
          <w:rFonts w:hint="default" w:ascii="Times New Roman" w:hAnsi="Times New Roman" w:eastAsia="方正仿宋_GBK" w:cs="Times New Roman"/>
          <w:b w:val="0"/>
          <w:bCs w:val="0"/>
          <w:kern w:val="2"/>
          <w:sz w:val="32"/>
          <w:szCs w:val="32"/>
          <w:lang w:val="en-US" w:eastAsia="zh-CN" w:bidi="ar-SA"/>
        </w:rPr>
      </w:pPr>
      <w:bookmarkStart w:id="66" w:name="_Toc15396631"/>
      <w:r>
        <w:rPr>
          <w:rFonts w:hint="eastAsia" w:ascii="Times New Roman" w:hAnsi="Times New Roman" w:eastAsia="方正仿宋_GBK" w:cs="Times New Roman"/>
          <w:b w:val="0"/>
          <w:bCs w:val="0"/>
          <w:kern w:val="2"/>
          <w:sz w:val="32"/>
          <w:szCs w:val="32"/>
          <w:lang w:val="en-US" w:eastAsia="zh-CN" w:bidi="ar-SA"/>
        </w:rPr>
        <w:t>十三、</w:t>
      </w:r>
      <w:bookmarkEnd w:id="66"/>
      <w:r>
        <w:rPr>
          <w:rFonts w:hint="eastAsia" w:ascii="Times New Roman" w:hAnsi="Times New Roman" w:eastAsia="方正仿宋_GBK" w:cs="Times New Roman"/>
          <w:b w:val="0"/>
          <w:bCs w:val="0"/>
          <w:kern w:val="2"/>
          <w:sz w:val="32"/>
          <w:szCs w:val="32"/>
          <w:lang w:val="en-US" w:eastAsia="zh-CN" w:bidi="ar-SA"/>
        </w:rPr>
        <w:t>财政拨款“三公”经费支出决算表</w:t>
      </w:r>
    </w:p>
    <w:sectPr>
      <w:footerReference r:id="rId7" w:type="first"/>
      <w:footerReference r:id="rId6" w:type="default"/>
      <w:pgSz w:w="11906" w:h="16838"/>
      <w:pgMar w:top="2098" w:right="1474" w:bottom="1984" w:left="1587" w:header="851" w:footer="1644"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5B02A">
    <w:pPr>
      <w:pStyle w:val="9"/>
      <w:ind w:firstLine="3600" w:firstLineChars="2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38B34">
    <w:pPr>
      <w:pStyle w:val="9"/>
      <w:ind w:firstLine="3600" w:firstLineChars="20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E1CCF">
    <w:pPr>
      <w:pStyle w:val="9"/>
      <w:ind w:firstLine="3600" w:firstLineChars="200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BE66F3">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39BE66F3">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EBA45">
    <w:pPr>
      <w:pStyle w:val="9"/>
    </w:pPr>
    <w:r>
      <mc:AlternateContent>
        <mc:Choice Requires="wps">
          <w:drawing>
            <wp:anchor distT="0" distB="0" distL="114300" distR="114300" simplePos="0" relativeHeight="251661312" behindDoc="0" locked="0" layoutInCell="1" allowOverlap="1">
              <wp:simplePos x="0" y="0"/>
              <wp:positionH relativeFrom="margin">
                <wp:posOffset>5019675</wp:posOffset>
              </wp:positionH>
              <wp:positionV relativeFrom="paragraph">
                <wp:posOffset>31115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CCFFC8">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95.25pt;margin-top:2.45pt;height:144pt;width:144pt;mso-position-horizontal-relative:margin;mso-wrap-style:none;z-index:251661312;mso-width-relative:page;mso-height-relative:page;" filled="f" stroked="f" coordsize="21600,21600" o:gfxdata="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t2loLXAAAACgEAAA8AAAAAAAAAAQAgAAAAIgAAAGRycy9kb3ducmV2LnhtbFBLAQIUABQA&#10;AAAIAIdO4kDK3dcMKgIAAFcEAAAOAAAAAAAAAAEAIAAAACYBAABkcnMvZTJvRG9jLnhtbFBLBQYA&#10;AAAABgAGAFkBAADCBQAAAAA=&#10;">
              <v:fill on="f" focussize="0,0"/>
              <v:stroke on="f" weight="0.5pt"/>
              <v:imagedata o:title=""/>
              <o:lock v:ext="edit" aspectratio="f"/>
              <v:textbox inset="0mm,0mm,0mm,0mm" style="mso-fit-shape-to-text:t;">
                <w:txbxContent>
                  <w:p w14:paraId="33CCFFC8">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FADDE">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xMjZlYTFiZDMyNTQ4NTdhZmIzZTJjYzdmOTcxNGYifQ=="/>
  </w:docVars>
  <w:rsids>
    <w:rsidRoot w:val="00F1361C"/>
    <w:rsid w:val="00002E5E"/>
    <w:rsid w:val="00011245"/>
    <w:rsid w:val="000222C6"/>
    <w:rsid w:val="00022F7D"/>
    <w:rsid w:val="0002549F"/>
    <w:rsid w:val="00036741"/>
    <w:rsid w:val="00042D91"/>
    <w:rsid w:val="000468DB"/>
    <w:rsid w:val="00061F7F"/>
    <w:rsid w:val="0006487A"/>
    <w:rsid w:val="00065F8F"/>
    <w:rsid w:val="00067938"/>
    <w:rsid w:val="00070A43"/>
    <w:rsid w:val="000768F2"/>
    <w:rsid w:val="0008137F"/>
    <w:rsid w:val="0009184B"/>
    <w:rsid w:val="00094236"/>
    <w:rsid w:val="0009593C"/>
    <w:rsid w:val="00097322"/>
    <w:rsid w:val="000A20A5"/>
    <w:rsid w:val="000A6A92"/>
    <w:rsid w:val="000B047F"/>
    <w:rsid w:val="000B12FC"/>
    <w:rsid w:val="000B185F"/>
    <w:rsid w:val="000B5923"/>
    <w:rsid w:val="000B5A48"/>
    <w:rsid w:val="000B6FF3"/>
    <w:rsid w:val="000C3467"/>
    <w:rsid w:val="000C3CA6"/>
    <w:rsid w:val="000D1267"/>
    <w:rsid w:val="000D1D50"/>
    <w:rsid w:val="000D5782"/>
    <w:rsid w:val="000E6613"/>
    <w:rsid w:val="000E7119"/>
    <w:rsid w:val="000F6E33"/>
    <w:rsid w:val="0010255A"/>
    <w:rsid w:val="00103FE2"/>
    <w:rsid w:val="00114E9B"/>
    <w:rsid w:val="001276AD"/>
    <w:rsid w:val="001312DF"/>
    <w:rsid w:val="00141F72"/>
    <w:rsid w:val="00142216"/>
    <w:rsid w:val="00144D6A"/>
    <w:rsid w:val="0014729F"/>
    <w:rsid w:val="00157BAB"/>
    <w:rsid w:val="00163753"/>
    <w:rsid w:val="001654D1"/>
    <w:rsid w:val="00174518"/>
    <w:rsid w:val="0018106D"/>
    <w:rsid w:val="001877A7"/>
    <w:rsid w:val="00191536"/>
    <w:rsid w:val="00196687"/>
    <w:rsid w:val="001A1DAD"/>
    <w:rsid w:val="001B1EF5"/>
    <w:rsid w:val="001B4CA2"/>
    <w:rsid w:val="001B5F97"/>
    <w:rsid w:val="001C0962"/>
    <w:rsid w:val="001D7531"/>
    <w:rsid w:val="001E1392"/>
    <w:rsid w:val="001E737D"/>
    <w:rsid w:val="001F0592"/>
    <w:rsid w:val="001F1273"/>
    <w:rsid w:val="001F5455"/>
    <w:rsid w:val="001F7506"/>
    <w:rsid w:val="002006CD"/>
    <w:rsid w:val="00202B36"/>
    <w:rsid w:val="00204B7A"/>
    <w:rsid w:val="00204CDE"/>
    <w:rsid w:val="00206907"/>
    <w:rsid w:val="00210B74"/>
    <w:rsid w:val="0021101A"/>
    <w:rsid w:val="0021135D"/>
    <w:rsid w:val="00211A4C"/>
    <w:rsid w:val="00212B4A"/>
    <w:rsid w:val="002161C4"/>
    <w:rsid w:val="00220536"/>
    <w:rsid w:val="002325D5"/>
    <w:rsid w:val="00235629"/>
    <w:rsid w:val="002553FD"/>
    <w:rsid w:val="00257424"/>
    <w:rsid w:val="00260C38"/>
    <w:rsid w:val="002616C0"/>
    <w:rsid w:val="00265372"/>
    <w:rsid w:val="002662AA"/>
    <w:rsid w:val="002770C2"/>
    <w:rsid w:val="00280496"/>
    <w:rsid w:val="00285523"/>
    <w:rsid w:val="00294DC9"/>
    <w:rsid w:val="00295495"/>
    <w:rsid w:val="002A095B"/>
    <w:rsid w:val="002A22AD"/>
    <w:rsid w:val="002A31DE"/>
    <w:rsid w:val="002A6583"/>
    <w:rsid w:val="002A76EE"/>
    <w:rsid w:val="002B032E"/>
    <w:rsid w:val="002B2613"/>
    <w:rsid w:val="002C4CB6"/>
    <w:rsid w:val="002C5004"/>
    <w:rsid w:val="002D2082"/>
    <w:rsid w:val="002D6D05"/>
    <w:rsid w:val="002E181F"/>
    <w:rsid w:val="002F033C"/>
    <w:rsid w:val="002F1818"/>
    <w:rsid w:val="002F567B"/>
    <w:rsid w:val="00302228"/>
    <w:rsid w:val="003033F7"/>
    <w:rsid w:val="00317C2B"/>
    <w:rsid w:val="003216A9"/>
    <w:rsid w:val="00335A74"/>
    <w:rsid w:val="0035035E"/>
    <w:rsid w:val="00360926"/>
    <w:rsid w:val="0036561B"/>
    <w:rsid w:val="0037013F"/>
    <w:rsid w:val="00380C92"/>
    <w:rsid w:val="003A2992"/>
    <w:rsid w:val="003A484F"/>
    <w:rsid w:val="003A4883"/>
    <w:rsid w:val="003A60BA"/>
    <w:rsid w:val="003B0BE0"/>
    <w:rsid w:val="003B0C1B"/>
    <w:rsid w:val="003B688C"/>
    <w:rsid w:val="003C0291"/>
    <w:rsid w:val="003C39AE"/>
    <w:rsid w:val="003C7B60"/>
    <w:rsid w:val="003D0C0F"/>
    <w:rsid w:val="003D1FB2"/>
    <w:rsid w:val="003D255F"/>
    <w:rsid w:val="003D66DA"/>
    <w:rsid w:val="003E1310"/>
    <w:rsid w:val="003E4523"/>
    <w:rsid w:val="003E6F55"/>
    <w:rsid w:val="003F12BC"/>
    <w:rsid w:val="004001BE"/>
    <w:rsid w:val="004018BF"/>
    <w:rsid w:val="00406254"/>
    <w:rsid w:val="00420676"/>
    <w:rsid w:val="004206D8"/>
    <w:rsid w:val="00421401"/>
    <w:rsid w:val="004223DE"/>
    <w:rsid w:val="00425B6F"/>
    <w:rsid w:val="00425C50"/>
    <w:rsid w:val="0043177C"/>
    <w:rsid w:val="0043200A"/>
    <w:rsid w:val="00434489"/>
    <w:rsid w:val="00437085"/>
    <w:rsid w:val="00443880"/>
    <w:rsid w:val="004464F4"/>
    <w:rsid w:val="004468BB"/>
    <w:rsid w:val="00447D72"/>
    <w:rsid w:val="0046049C"/>
    <w:rsid w:val="00466194"/>
    <w:rsid w:val="00471401"/>
    <w:rsid w:val="00472313"/>
    <w:rsid w:val="00473E1C"/>
    <w:rsid w:val="00473F31"/>
    <w:rsid w:val="00474B71"/>
    <w:rsid w:val="00474ECF"/>
    <w:rsid w:val="0048263A"/>
    <w:rsid w:val="00487E5D"/>
    <w:rsid w:val="0049293D"/>
    <w:rsid w:val="004A711F"/>
    <w:rsid w:val="004B199D"/>
    <w:rsid w:val="004B4690"/>
    <w:rsid w:val="004C0100"/>
    <w:rsid w:val="004E050B"/>
    <w:rsid w:val="004E0A2D"/>
    <w:rsid w:val="004E102D"/>
    <w:rsid w:val="004E206B"/>
    <w:rsid w:val="004E6DF7"/>
    <w:rsid w:val="004E774D"/>
    <w:rsid w:val="004F0FBD"/>
    <w:rsid w:val="004F4310"/>
    <w:rsid w:val="004F703F"/>
    <w:rsid w:val="005025B7"/>
    <w:rsid w:val="00505A47"/>
    <w:rsid w:val="00507B58"/>
    <w:rsid w:val="00512FDA"/>
    <w:rsid w:val="00520DA0"/>
    <w:rsid w:val="00524192"/>
    <w:rsid w:val="005247F1"/>
    <w:rsid w:val="00526DD8"/>
    <w:rsid w:val="00531865"/>
    <w:rsid w:val="00535A11"/>
    <w:rsid w:val="0055039D"/>
    <w:rsid w:val="005533CF"/>
    <w:rsid w:val="00553774"/>
    <w:rsid w:val="005579D1"/>
    <w:rsid w:val="005608D5"/>
    <w:rsid w:val="005664BB"/>
    <w:rsid w:val="00566FFA"/>
    <w:rsid w:val="00570753"/>
    <w:rsid w:val="0057481D"/>
    <w:rsid w:val="00580D21"/>
    <w:rsid w:val="005831A7"/>
    <w:rsid w:val="0058486E"/>
    <w:rsid w:val="005852CA"/>
    <w:rsid w:val="00585B33"/>
    <w:rsid w:val="0059014D"/>
    <w:rsid w:val="00597A29"/>
    <w:rsid w:val="005A3C5B"/>
    <w:rsid w:val="005A763A"/>
    <w:rsid w:val="005B1D6D"/>
    <w:rsid w:val="005B5C64"/>
    <w:rsid w:val="005B6E8A"/>
    <w:rsid w:val="005C5337"/>
    <w:rsid w:val="005C6BD0"/>
    <w:rsid w:val="005D0962"/>
    <w:rsid w:val="005D1C8B"/>
    <w:rsid w:val="005D3BDC"/>
    <w:rsid w:val="005D468D"/>
    <w:rsid w:val="005D5CED"/>
    <w:rsid w:val="005E23B6"/>
    <w:rsid w:val="005E4108"/>
    <w:rsid w:val="005E5DE2"/>
    <w:rsid w:val="005F0CE5"/>
    <w:rsid w:val="005F10BC"/>
    <w:rsid w:val="005F1A4C"/>
    <w:rsid w:val="005F7B5B"/>
    <w:rsid w:val="00605688"/>
    <w:rsid w:val="00606C1C"/>
    <w:rsid w:val="006070AF"/>
    <w:rsid w:val="00607E6C"/>
    <w:rsid w:val="006101B1"/>
    <w:rsid w:val="006135E3"/>
    <w:rsid w:val="00614E44"/>
    <w:rsid w:val="0062270A"/>
    <w:rsid w:val="00622830"/>
    <w:rsid w:val="00623DA0"/>
    <w:rsid w:val="00627E28"/>
    <w:rsid w:val="00630AEF"/>
    <w:rsid w:val="006325F8"/>
    <w:rsid w:val="00633463"/>
    <w:rsid w:val="00634C9A"/>
    <w:rsid w:val="006419E5"/>
    <w:rsid w:val="006440E4"/>
    <w:rsid w:val="00647978"/>
    <w:rsid w:val="00655FC5"/>
    <w:rsid w:val="00662B5A"/>
    <w:rsid w:val="0066343B"/>
    <w:rsid w:val="00664777"/>
    <w:rsid w:val="006748A4"/>
    <w:rsid w:val="00674A83"/>
    <w:rsid w:val="006769C6"/>
    <w:rsid w:val="00681A31"/>
    <w:rsid w:val="006826D7"/>
    <w:rsid w:val="00683E73"/>
    <w:rsid w:val="006913AE"/>
    <w:rsid w:val="006A3141"/>
    <w:rsid w:val="006A5E34"/>
    <w:rsid w:val="006B04DF"/>
    <w:rsid w:val="006B2422"/>
    <w:rsid w:val="006B2B9A"/>
    <w:rsid w:val="006C1937"/>
    <w:rsid w:val="006C27FA"/>
    <w:rsid w:val="006C5A58"/>
    <w:rsid w:val="006D07DB"/>
    <w:rsid w:val="006E1399"/>
    <w:rsid w:val="006E5AE0"/>
    <w:rsid w:val="006F020C"/>
    <w:rsid w:val="0071021A"/>
    <w:rsid w:val="007127B7"/>
    <w:rsid w:val="0071798E"/>
    <w:rsid w:val="00730075"/>
    <w:rsid w:val="007416B6"/>
    <w:rsid w:val="00746F48"/>
    <w:rsid w:val="0075404D"/>
    <w:rsid w:val="0076182A"/>
    <w:rsid w:val="00767B7E"/>
    <w:rsid w:val="007770C3"/>
    <w:rsid w:val="0077740A"/>
    <w:rsid w:val="00784D24"/>
    <w:rsid w:val="00785FBA"/>
    <w:rsid w:val="00786E4A"/>
    <w:rsid w:val="007875EB"/>
    <w:rsid w:val="0079426B"/>
    <w:rsid w:val="007A162E"/>
    <w:rsid w:val="007A5AF7"/>
    <w:rsid w:val="007A5D3C"/>
    <w:rsid w:val="007A6B24"/>
    <w:rsid w:val="007B5314"/>
    <w:rsid w:val="007C5570"/>
    <w:rsid w:val="007D0B8F"/>
    <w:rsid w:val="007D1682"/>
    <w:rsid w:val="007D1897"/>
    <w:rsid w:val="007D312A"/>
    <w:rsid w:val="007D3F19"/>
    <w:rsid w:val="007E23B0"/>
    <w:rsid w:val="007E23E5"/>
    <w:rsid w:val="007F03D7"/>
    <w:rsid w:val="007F1991"/>
    <w:rsid w:val="007F2C2F"/>
    <w:rsid w:val="007F55FC"/>
    <w:rsid w:val="007F5665"/>
    <w:rsid w:val="007F5C45"/>
    <w:rsid w:val="007F7803"/>
    <w:rsid w:val="00800112"/>
    <w:rsid w:val="00813102"/>
    <w:rsid w:val="00813348"/>
    <w:rsid w:val="008253BB"/>
    <w:rsid w:val="00826D84"/>
    <w:rsid w:val="00831631"/>
    <w:rsid w:val="0083706E"/>
    <w:rsid w:val="008408F6"/>
    <w:rsid w:val="008423A5"/>
    <w:rsid w:val="00843839"/>
    <w:rsid w:val="00850625"/>
    <w:rsid w:val="00853718"/>
    <w:rsid w:val="00855221"/>
    <w:rsid w:val="00856EF2"/>
    <w:rsid w:val="008577FB"/>
    <w:rsid w:val="00860645"/>
    <w:rsid w:val="00871A1F"/>
    <w:rsid w:val="00871F71"/>
    <w:rsid w:val="00872FD8"/>
    <w:rsid w:val="00873D7E"/>
    <w:rsid w:val="00876F17"/>
    <w:rsid w:val="00880F3A"/>
    <w:rsid w:val="00885AF4"/>
    <w:rsid w:val="008939CD"/>
    <w:rsid w:val="008A502F"/>
    <w:rsid w:val="008B2A9F"/>
    <w:rsid w:val="008B4800"/>
    <w:rsid w:val="008B768C"/>
    <w:rsid w:val="008C4DB1"/>
    <w:rsid w:val="008C4EAF"/>
    <w:rsid w:val="008C5176"/>
    <w:rsid w:val="008C7FD0"/>
    <w:rsid w:val="008C7FD8"/>
    <w:rsid w:val="008D371B"/>
    <w:rsid w:val="008D51D0"/>
    <w:rsid w:val="008D51F0"/>
    <w:rsid w:val="008E1DE7"/>
    <w:rsid w:val="008E707C"/>
    <w:rsid w:val="008F5384"/>
    <w:rsid w:val="008F6AF0"/>
    <w:rsid w:val="00900B08"/>
    <w:rsid w:val="00901C3F"/>
    <w:rsid w:val="00902155"/>
    <w:rsid w:val="00902FA3"/>
    <w:rsid w:val="009131AF"/>
    <w:rsid w:val="00923564"/>
    <w:rsid w:val="0092392E"/>
    <w:rsid w:val="009315F9"/>
    <w:rsid w:val="00933499"/>
    <w:rsid w:val="00935C98"/>
    <w:rsid w:val="00946945"/>
    <w:rsid w:val="00950AE7"/>
    <w:rsid w:val="00951248"/>
    <w:rsid w:val="0095152F"/>
    <w:rsid w:val="00954C49"/>
    <w:rsid w:val="00955E37"/>
    <w:rsid w:val="0097099F"/>
    <w:rsid w:val="00971997"/>
    <w:rsid w:val="00971FFC"/>
    <w:rsid w:val="00972FFF"/>
    <w:rsid w:val="0098660A"/>
    <w:rsid w:val="009931C3"/>
    <w:rsid w:val="009B2C43"/>
    <w:rsid w:val="009B4EAE"/>
    <w:rsid w:val="009B7573"/>
    <w:rsid w:val="009C22F4"/>
    <w:rsid w:val="009C2A41"/>
    <w:rsid w:val="009C2A4B"/>
    <w:rsid w:val="009C2E98"/>
    <w:rsid w:val="009D3447"/>
    <w:rsid w:val="009D35AD"/>
    <w:rsid w:val="009D4711"/>
    <w:rsid w:val="009E17CF"/>
    <w:rsid w:val="009E4446"/>
    <w:rsid w:val="009E5870"/>
    <w:rsid w:val="009F1185"/>
    <w:rsid w:val="009F18CD"/>
    <w:rsid w:val="009F2A13"/>
    <w:rsid w:val="009F7527"/>
    <w:rsid w:val="00A04EB0"/>
    <w:rsid w:val="00A1395F"/>
    <w:rsid w:val="00A13CC1"/>
    <w:rsid w:val="00A155CD"/>
    <w:rsid w:val="00A16847"/>
    <w:rsid w:val="00A21D08"/>
    <w:rsid w:val="00A237D8"/>
    <w:rsid w:val="00A253A9"/>
    <w:rsid w:val="00A26773"/>
    <w:rsid w:val="00A268C4"/>
    <w:rsid w:val="00A307CD"/>
    <w:rsid w:val="00A331C8"/>
    <w:rsid w:val="00A406DA"/>
    <w:rsid w:val="00A40A00"/>
    <w:rsid w:val="00A4142F"/>
    <w:rsid w:val="00A422EB"/>
    <w:rsid w:val="00A45BB7"/>
    <w:rsid w:val="00A5266F"/>
    <w:rsid w:val="00A56DF2"/>
    <w:rsid w:val="00A56E6E"/>
    <w:rsid w:val="00A6555C"/>
    <w:rsid w:val="00A655A0"/>
    <w:rsid w:val="00A67AB5"/>
    <w:rsid w:val="00A72951"/>
    <w:rsid w:val="00A733B2"/>
    <w:rsid w:val="00A741C2"/>
    <w:rsid w:val="00A8577D"/>
    <w:rsid w:val="00A91760"/>
    <w:rsid w:val="00A93B00"/>
    <w:rsid w:val="00A93C21"/>
    <w:rsid w:val="00AA0667"/>
    <w:rsid w:val="00AA53C5"/>
    <w:rsid w:val="00AB3316"/>
    <w:rsid w:val="00AB425F"/>
    <w:rsid w:val="00AB64C9"/>
    <w:rsid w:val="00AC19D1"/>
    <w:rsid w:val="00AC3C6A"/>
    <w:rsid w:val="00AD3DDF"/>
    <w:rsid w:val="00AD5620"/>
    <w:rsid w:val="00AD656B"/>
    <w:rsid w:val="00AD7C1B"/>
    <w:rsid w:val="00AE16BA"/>
    <w:rsid w:val="00AE1EBE"/>
    <w:rsid w:val="00AE60EF"/>
    <w:rsid w:val="00B03C9D"/>
    <w:rsid w:val="00B060AE"/>
    <w:rsid w:val="00B10517"/>
    <w:rsid w:val="00B11555"/>
    <w:rsid w:val="00B12750"/>
    <w:rsid w:val="00B14E76"/>
    <w:rsid w:val="00B161B8"/>
    <w:rsid w:val="00B2048C"/>
    <w:rsid w:val="00B2747E"/>
    <w:rsid w:val="00B310B9"/>
    <w:rsid w:val="00B35F3F"/>
    <w:rsid w:val="00B36CBB"/>
    <w:rsid w:val="00B42355"/>
    <w:rsid w:val="00B425E0"/>
    <w:rsid w:val="00B440AA"/>
    <w:rsid w:val="00B44B70"/>
    <w:rsid w:val="00B53C56"/>
    <w:rsid w:val="00B55386"/>
    <w:rsid w:val="00B57DAF"/>
    <w:rsid w:val="00B750E8"/>
    <w:rsid w:val="00B77EA6"/>
    <w:rsid w:val="00B81598"/>
    <w:rsid w:val="00B841F1"/>
    <w:rsid w:val="00B92D1A"/>
    <w:rsid w:val="00B944D6"/>
    <w:rsid w:val="00BA0A26"/>
    <w:rsid w:val="00BA596A"/>
    <w:rsid w:val="00BB0CBB"/>
    <w:rsid w:val="00BB4DF0"/>
    <w:rsid w:val="00BC289F"/>
    <w:rsid w:val="00BC2D50"/>
    <w:rsid w:val="00BC5361"/>
    <w:rsid w:val="00BC5460"/>
    <w:rsid w:val="00BC6B50"/>
    <w:rsid w:val="00BC7EE7"/>
    <w:rsid w:val="00BD0E25"/>
    <w:rsid w:val="00BD416A"/>
    <w:rsid w:val="00BD5C4A"/>
    <w:rsid w:val="00BE3D2F"/>
    <w:rsid w:val="00BE56B9"/>
    <w:rsid w:val="00BF5BD6"/>
    <w:rsid w:val="00C02DA5"/>
    <w:rsid w:val="00C03E31"/>
    <w:rsid w:val="00C33E72"/>
    <w:rsid w:val="00C354B2"/>
    <w:rsid w:val="00C35554"/>
    <w:rsid w:val="00C42709"/>
    <w:rsid w:val="00C51138"/>
    <w:rsid w:val="00C524F2"/>
    <w:rsid w:val="00C533CC"/>
    <w:rsid w:val="00C5751C"/>
    <w:rsid w:val="00C604A6"/>
    <w:rsid w:val="00C61BFC"/>
    <w:rsid w:val="00C62B85"/>
    <w:rsid w:val="00C65438"/>
    <w:rsid w:val="00C84DFE"/>
    <w:rsid w:val="00C87FD8"/>
    <w:rsid w:val="00C91381"/>
    <w:rsid w:val="00C91CBB"/>
    <w:rsid w:val="00CB4E70"/>
    <w:rsid w:val="00CC09B6"/>
    <w:rsid w:val="00CC666F"/>
    <w:rsid w:val="00CD1E3F"/>
    <w:rsid w:val="00CD3B35"/>
    <w:rsid w:val="00CE0D4F"/>
    <w:rsid w:val="00CE44F6"/>
    <w:rsid w:val="00CE49DA"/>
    <w:rsid w:val="00CE7B61"/>
    <w:rsid w:val="00CF3ADF"/>
    <w:rsid w:val="00CF462B"/>
    <w:rsid w:val="00D00095"/>
    <w:rsid w:val="00D04B09"/>
    <w:rsid w:val="00D114F0"/>
    <w:rsid w:val="00D20620"/>
    <w:rsid w:val="00D254F7"/>
    <w:rsid w:val="00D2555D"/>
    <w:rsid w:val="00D26091"/>
    <w:rsid w:val="00D2685C"/>
    <w:rsid w:val="00D31E6F"/>
    <w:rsid w:val="00D34E7C"/>
    <w:rsid w:val="00D35489"/>
    <w:rsid w:val="00D36AFE"/>
    <w:rsid w:val="00D41A9D"/>
    <w:rsid w:val="00D4207A"/>
    <w:rsid w:val="00D5073A"/>
    <w:rsid w:val="00D51276"/>
    <w:rsid w:val="00D610B9"/>
    <w:rsid w:val="00D65493"/>
    <w:rsid w:val="00D7035F"/>
    <w:rsid w:val="00D74760"/>
    <w:rsid w:val="00D8639F"/>
    <w:rsid w:val="00D97AD0"/>
    <w:rsid w:val="00D97AF2"/>
    <w:rsid w:val="00DA4825"/>
    <w:rsid w:val="00DA634F"/>
    <w:rsid w:val="00DA65AC"/>
    <w:rsid w:val="00DA6CDE"/>
    <w:rsid w:val="00DB1913"/>
    <w:rsid w:val="00DB784A"/>
    <w:rsid w:val="00DC3029"/>
    <w:rsid w:val="00DC410D"/>
    <w:rsid w:val="00DC45A1"/>
    <w:rsid w:val="00DC5A81"/>
    <w:rsid w:val="00DC68CA"/>
    <w:rsid w:val="00DC7CBA"/>
    <w:rsid w:val="00DD73B7"/>
    <w:rsid w:val="00DE0E07"/>
    <w:rsid w:val="00DF28BC"/>
    <w:rsid w:val="00DF34B9"/>
    <w:rsid w:val="00E01053"/>
    <w:rsid w:val="00E07ACF"/>
    <w:rsid w:val="00E11360"/>
    <w:rsid w:val="00E15178"/>
    <w:rsid w:val="00E30DFB"/>
    <w:rsid w:val="00E331A1"/>
    <w:rsid w:val="00E33202"/>
    <w:rsid w:val="00E336A9"/>
    <w:rsid w:val="00E3604C"/>
    <w:rsid w:val="00E46A32"/>
    <w:rsid w:val="00E472B1"/>
    <w:rsid w:val="00E50624"/>
    <w:rsid w:val="00E568DF"/>
    <w:rsid w:val="00E64269"/>
    <w:rsid w:val="00E82267"/>
    <w:rsid w:val="00E853CE"/>
    <w:rsid w:val="00E867B6"/>
    <w:rsid w:val="00EA010F"/>
    <w:rsid w:val="00EA1A1A"/>
    <w:rsid w:val="00EB0D36"/>
    <w:rsid w:val="00EB3DE7"/>
    <w:rsid w:val="00EB6754"/>
    <w:rsid w:val="00EC33DC"/>
    <w:rsid w:val="00EC4B32"/>
    <w:rsid w:val="00ED1B63"/>
    <w:rsid w:val="00ED3C1F"/>
    <w:rsid w:val="00ED4085"/>
    <w:rsid w:val="00ED420E"/>
    <w:rsid w:val="00ED6FBE"/>
    <w:rsid w:val="00EE2F57"/>
    <w:rsid w:val="00EF24F0"/>
    <w:rsid w:val="00EF4C34"/>
    <w:rsid w:val="00EF77C6"/>
    <w:rsid w:val="00F0335F"/>
    <w:rsid w:val="00F05438"/>
    <w:rsid w:val="00F1361C"/>
    <w:rsid w:val="00F156F0"/>
    <w:rsid w:val="00F160C7"/>
    <w:rsid w:val="00F2263A"/>
    <w:rsid w:val="00F2408F"/>
    <w:rsid w:val="00F240E9"/>
    <w:rsid w:val="00F33645"/>
    <w:rsid w:val="00F36461"/>
    <w:rsid w:val="00F36D8F"/>
    <w:rsid w:val="00F417B1"/>
    <w:rsid w:val="00F45853"/>
    <w:rsid w:val="00F4644A"/>
    <w:rsid w:val="00F544F6"/>
    <w:rsid w:val="00F54875"/>
    <w:rsid w:val="00F54DDB"/>
    <w:rsid w:val="00F5552E"/>
    <w:rsid w:val="00F602DF"/>
    <w:rsid w:val="00F63628"/>
    <w:rsid w:val="00F63DF5"/>
    <w:rsid w:val="00F67C44"/>
    <w:rsid w:val="00F70FB9"/>
    <w:rsid w:val="00F754A1"/>
    <w:rsid w:val="00F81FD9"/>
    <w:rsid w:val="00F835E7"/>
    <w:rsid w:val="00F841AA"/>
    <w:rsid w:val="00F84A94"/>
    <w:rsid w:val="00F87E96"/>
    <w:rsid w:val="00FA0A54"/>
    <w:rsid w:val="00FA23E8"/>
    <w:rsid w:val="00FB674C"/>
    <w:rsid w:val="00FC1C17"/>
    <w:rsid w:val="00FC257A"/>
    <w:rsid w:val="00FD3CC1"/>
    <w:rsid w:val="00FE12A6"/>
    <w:rsid w:val="00FF1E02"/>
    <w:rsid w:val="00FF30B4"/>
    <w:rsid w:val="03DC2831"/>
    <w:rsid w:val="054016A6"/>
    <w:rsid w:val="081B5E94"/>
    <w:rsid w:val="0A2032A3"/>
    <w:rsid w:val="0B8A37D8"/>
    <w:rsid w:val="0E456580"/>
    <w:rsid w:val="0F0D443D"/>
    <w:rsid w:val="0F5FFB2F"/>
    <w:rsid w:val="0FFFCF60"/>
    <w:rsid w:val="10C055FF"/>
    <w:rsid w:val="118107EC"/>
    <w:rsid w:val="11DD6519"/>
    <w:rsid w:val="16BB723D"/>
    <w:rsid w:val="18015F3F"/>
    <w:rsid w:val="199364EA"/>
    <w:rsid w:val="19FA3357"/>
    <w:rsid w:val="1BE8440E"/>
    <w:rsid w:val="1D155CEE"/>
    <w:rsid w:val="1EE45D3E"/>
    <w:rsid w:val="1FDBBF84"/>
    <w:rsid w:val="20780352"/>
    <w:rsid w:val="20F57F95"/>
    <w:rsid w:val="23BA3996"/>
    <w:rsid w:val="240371BF"/>
    <w:rsid w:val="25711CC6"/>
    <w:rsid w:val="25C527DA"/>
    <w:rsid w:val="25C741E6"/>
    <w:rsid w:val="276F80C0"/>
    <w:rsid w:val="27842671"/>
    <w:rsid w:val="29FD04D3"/>
    <w:rsid w:val="2ABE7A3E"/>
    <w:rsid w:val="2AFF09B6"/>
    <w:rsid w:val="2CA234A8"/>
    <w:rsid w:val="2EFA178C"/>
    <w:rsid w:val="2EFDF86C"/>
    <w:rsid w:val="2F9D17E1"/>
    <w:rsid w:val="307B00A5"/>
    <w:rsid w:val="30B46D73"/>
    <w:rsid w:val="31631CA3"/>
    <w:rsid w:val="319F7F4E"/>
    <w:rsid w:val="32340E61"/>
    <w:rsid w:val="326D5579"/>
    <w:rsid w:val="34573691"/>
    <w:rsid w:val="356A28F1"/>
    <w:rsid w:val="357C035A"/>
    <w:rsid w:val="368E000D"/>
    <w:rsid w:val="383D272C"/>
    <w:rsid w:val="391223B0"/>
    <w:rsid w:val="39AE70AB"/>
    <w:rsid w:val="3A4DCE41"/>
    <w:rsid w:val="3BCB56FA"/>
    <w:rsid w:val="3C0C0783"/>
    <w:rsid w:val="3EE7C2F4"/>
    <w:rsid w:val="3F371B56"/>
    <w:rsid w:val="3F792ED8"/>
    <w:rsid w:val="3F9F3A96"/>
    <w:rsid w:val="3FECA4B2"/>
    <w:rsid w:val="3FF58C48"/>
    <w:rsid w:val="42FF6694"/>
    <w:rsid w:val="465F70F1"/>
    <w:rsid w:val="46BB6839"/>
    <w:rsid w:val="48BF60AB"/>
    <w:rsid w:val="493C27E9"/>
    <w:rsid w:val="49404D46"/>
    <w:rsid w:val="496F39ED"/>
    <w:rsid w:val="49FF41D3"/>
    <w:rsid w:val="4BE068DB"/>
    <w:rsid w:val="4BF6002B"/>
    <w:rsid w:val="4BFFC6BE"/>
    <w:rsid w:val="4C3D4B25"/>
    <w:rsid w:val="4ECE2238"/>
    <w:rsid w:val="51DB4B86"/>
    <w:rsid w:val="51F64DB0"/>
    <w:rsid w:val="53F83AE8"/>
    <w:rsid w:val="55333C3E"/>
    <w:rsid w:val="55E23E6C"/>
    <w:rsid w:val="58CC0BE2"/>
    <w:rsid w:val="59AD5A69"/>
    <w:rsid w:val="5AA342DC"/>
    <w:rsid w:val="5B846E75"/>
    <w:rsid w:val="5ECD0023"/>
    <w:rsid w:val="5F67802D"/>
    <w:rsid w:val="5F7DC4F2"/>
    <w:rsid w:val="5FB36814"/>
    <w:rsid w:val="5FBB8E56"/>
    <w:rsid w:val="5FFB5535"/>
    <w:rsid w:val="642651E1"/>
    <w:rsid w:val="64CA39A1"/>
    <w:rsid w:val="659A10F2"/>
    <w:rsid w:val="69630ADE"/>
    <w:rsid w:val="69BD5F13"/>
    <w:rsid w:val="69FB0B4B"/>
    <w:rsid w:val="6BEC459F"/>
    <w:rsid w:val="6BFFE1FB"/>
    <w:rsid w:val="6C4A05C8"/>
    <w:rsid w:val="6D3B1A89"/>
    <w:rsid w:val="6DB7D8A3"/>
    <w:rsid w:val="6EC75ACC"/>
    <w:rsid w:val="6EC78701"/>
    <w:rsid w:val="6F7A5481"/>
    <w:rsid w:val="6FFE07A9"/>
    <w:rsid w:val="70F7004F"/>
    <w:rsid w:val="71BF4EC2"/>
    <w:rsid w:val="72734D90"/>
    <w:rsid w:val="728C7879"/>
    <w:rsid w:val="73E75B71"/>
    <w:rsid w:val="7412278C"/>
    <w:rsid w:val="75DDCDA9"/>
    <w:rsid w:val="75FF44B1"/>
    <w:rsid w:val="77670518"/>
    <w:rsid w:val="777FA627"/>
    <w:rsid w:val="77DF1B5F"/>
    <w:rsid w:val="77EF2D9D"/>
    <w:rsid w:val="79E7B28D"/>
    <w:rsid w:val="7ACFF0C2"/>
    <w:rsid w:val="7AFB9108"/>
    <w:rsid w:val="7BD5340C"/>
    <w:rsid w:val="7BFB19D2"/>
    <w:rsid w:val="7BFD1750"/>
    <w:rsid w:val="7BFDAA1B"/>
    <w:rsid w:val="7CDF9A82"/>
    <w:rsid w:val="7CFFA1BD"/>
    <w:rsid w:val="7D2E3F7A"/>
    <w:rsid w:val="7DED9490"/>
    <w:rsid w:val="7DFF4872"/>
    <w:rsid w:val="7E7487E6"/>
    <w:rsid w:val="7E7C2A54"/>
    <w:rsid w:val="7E8800BB"/>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2"/>
    <w:qFormat/>
    <w:uiPriority w:val="9"/>
    <w:rPr>
      <w:rFonts w:ascii="Times New Roman" w:hAnsi="Times New Roman"/>
      <w:b/>
      <w:bCs/>
      <w:kern w:val="44"/>
      <w:sz w:val="44"/>
      <w:szCs w:val="44"/>
    </w:rPr>
  </w:style>
  <w:style w:type="character" w:customStyle="1" w:styleId="28">
    <w:name w:val="标题 2 字符"/>
    <w:basedOn w:val="15"/>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4"/>
    <w:qFormat/>
    <w:uiPriority w:val="9"/>
    <w:rPr>
      <w:rFonts w:ascii="Times New Roman" w:hAnsi="Times New Roman"/>
      <w:b/>
      <w:bCs/>
      <w:kern w:val="2"/>
      <w:sz w:val="32"/>
      <w:szCs w:val="32"/>
    </w:rPr>
  </w:style>
  <w:style w:type="paragraph" w:customStyle="1" w:styleId="32">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2809.74</c:v>
                </c:pt>
                <c:pt idx="1">
                  <c:v>2936.81</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2023年</c:v>
                </c:pt>
                <c:pt idx="1">
                  <c:v>2024年</c:v>
                </c:pt>
              </c:strCache>
            </c:strRef>
          </c:cat>
          <c:val>
            <c:numRef>
              <c:f>Sheet1!$C$2:$C$3</c:f>
              <c:numCache>
                <c:formatCode>General</c:formatCode>
                <c:ptCount val="2"/>
                <c:pt idx="0">
                  <c:v>2809.74</c:v>
                </c:pt>
                <c:pt idx="1">
                  <c:v>2936.81</c:v>
                </c:pt>
              </c:numCache>
            </c:numRef>
          </c:val>
        </c:ser>
        <c:dLbls>
          <c:showLegendKey val="0"/>
          <c:showVal val="0"/>
          <c:showCatName val="0"/>
          <c:showSerName val="0"/>
          <c:showPercent val="0"/>
          <c:showBubbleSize val="0"/>
        </c:dLbls>
        <c:gapWidth val="219"/>
        <c:overlap val="-27"/>
        <c:axId val="144449920"/>
        <c:axId val="144451456"/>
      </c:barChart>
      <c:catAx>
        <c:axId val="144449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4451456"/>
        <c:crosses val="autoZero"/>
        <c:auto val="1"/>
        <c:lblAlgn val="ctr"/>
        <c:lblOffset val="100"/>
        <c:noMultiLvlLbl val="0"/>
      </c:catAx>
      <c:valAx>
        <c:axId val="14445145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4449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收入决算结构图</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dPt>
          <c:dLbls>
            <c:dLbl>
              <c:idx val="1"/>
              <c:delete val="1"/>
            </c:dLbl>
            <c:dLbl>
              <c:idx val="2"/>
              <c:delete val="1"/>
            </c:dLbl>
            <c:dLbl>
              <c:idx val="3"/>
              <c:delete val="1"/>
            </c:dLbl>
            <c:dLbl>
              <c:idx val="4"/>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3.6%</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5"/>
              <c:delete val="1"/>
            </c:dLbl>
            <c:dLbl>
              <c:idx val="6"/>
              <c:delete val="1"/>
            </c:dLbl>
            <c:dLbl>
              <c:idx val="7"/>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ext>
            </c:extLst>
          </c:dLbls>
          <c:cat>
            <c:strRef>
              <c:f>Sheet1!$A$2:$A$10</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Sheet1!$B$2:$B$10</c:f>
              <c:numCache>
                <c:formatCode>General</c:formatCode>
                <c:ptCount val="9"/>
                <c:pt idx="0">
                  <c:v>2828.93</c:v>
                </c:pt>
                <c:pt idx="1">
                  <c:v>0</c:v>
                </c:pt>
                <c:pt idx="2">
                  <c:v>0</c:v>
                </c:pt>
                <c:pt idx="3">
                  <c:v>0</c:v>
                </c:pt>
                <c:pt idx="4">
                  <c:v>0</c:v>
                </c:pt>
                <c:pt idx="5">
                  <c:v>0</c:v>
                </c:pt>
                <c:pt idx="6">
                  <c:v>0</c:v>
                </c:pt>
                <c:pt idx="7">
                  <c:v>107.88</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支出决算结构</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0.00%</c:formatCode>
                <c:ptCount val="2"/>
                <c:pt idx="0">
                  <c:v>0.0881</c:v>
                </c:pt>
                <c:pt idx="1">
                  <c:v>0.9119</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财政拨款收入</c:v>
                </c:pt>
                <c:pt idx="1">
                  <c:v>财政拨款支出</c:v>
                </c:pt>
              </c:strCache>
            </c:strRef>
          </c:cat>
          <c:val>
            <c:numRef>
              <c:f>Sheet1!$B$2:$B$3</c:f>
              <c:numCache>
                <c:formatCode>General</c:formatCode>
                <c:ptCount val="2"/>
                <c:pt idx="0">
                  <c:v>2809.74</c:v>
                </c:pt>
                <c:pt idx="1">
                  <c:v>2809.74</c:v>
                </c:pt>
              </c:numCache>
            </c:numRef>
          </c:val>
        </c:ser>
        <c:ser>
          <c:idx val="1"/>
          <c:order val="1"/>
          <c:tx>
            <c:strRef>
              <c:f>Sheet1!$C$1</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财政拨款收入</c:v>
                </c:pt>
                <c:pt idx="1">
                  <c:v>财政拨款支出</c:v>
                </c:pt>
              </c:strCache>
            </c:strRef>
          </c:cat>
          <c:val>
            <c:numRef>
              <c:f>Sheet1!$C$2:$C$3</c:f>
              <c:numCache>
                <c:formatCode>General</c:formatCode>
                <c:ptCount val="2"/>
                <c:pt idx="0">
                  <c:v>2828.93</c:v>
                </c:pt>
                <c:pt idx="1">
                  <c:v>2828.93</c:v>
                </c:pt>
              </c:numCache>
            </c:numRef>
          </c:val>
        </c:ser>
        <c:dLbls>
          <c:showLegendKey val="0"/>
          <c:showVal val="0"/>
          <c:showCatName val="0"/>
          <c:showSerName val="0"/>
          <c:showPercent val="0"/>
          <c:showBubbleSize val="0"/>
        </c:dLbls>
        <c:gapWidth val="150"/>
        <c:axId val="188337152"/>
        <c:axId val="188654336"/>
      </c:barChart>
      <c:catAx>
        <c:axId val="18833715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8654336"/>
        <c:crosses val="autoZero"/>
        <c:auto val="1"/>
        <c:lblAlgn val="ctr"/>
        <c:lblOffset val="100"/>
        <c:noMultiLvlLbl val="0"/>
      </c:catAx>
      <c:valAx>
        <c:axId val="18865433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833715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财政拨款支出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2024年</c:v>
                </c:pt>
              </c:strCache>
            </c:strRef>
          </c:cat>
          <c:val>
            <c:numRef>
              <c:f>Sheet1!$B$2:$B$3</c:f>
              <c:numCache>
                <c:formatCode>General</c:formatCode>
                <c:ptCount val="2"/>
                <c:pt idx="0">
                  <c:v>2809.74</c:v>
                </c:pt>
                <c:pt idx="1">
                  <c:v>2828.93</c:v>
                </c:pt>
              </c:numCache>
            </c:numRef>
          </c:val>
        </c:ser>
        <c:dLbls>
          <c:showLegendKey val="0"/>
          <c:showVal val="0"/>
          <c:showCatName val="0"/>
          <c:showSerName val="0"/>
          <c:showPercent val="0"/>
          <c:showBubbleSize val="0"/>
        </c:dLbls>
        <c:gapWidth val="150"/>
        <c:axId val="188379520"/>
        <c:axId val="188381056"/>
      </c:barChart>
      <c:catAx>
        <c:axId val="18837952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8381056"/>
        <c:crosses val="autoZero"/>
        <c:auto val="1"/>
        <c:lblAlgn val="ctr"/>
        <c:lblOffset val="100"/>
        <c:noMultiLvlLbl val="0"/>
      </c:catAx>
      <c:valAx>
        <c:axId val="18838105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837952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spPr>
              <a:solidFill>
                <a:srgbClr val="FFFF00"/>
              </a:solidFill>
            </c:spPr>
          </c:dPt>
          <c:dLbls>
            <c:dLbl>
              <c:idx val="0"/>
              <c:delete val="1"/>
            </c:dLbl>
            <c:dLbl>
              <c:idx val="1"/>
              <c:delete val="1"/>
            </c:dLbl>
            <c:dLbl>
              <c:idx val="2"/>
              <c:delete val="1"/>
            </c:dLbl>
            <c:dLbl>
              <c:idx val="3"/>
              <c:delete val="1"/>
            </c:dLbl>
            <c:dLbl>
              <c:idx val="5"/>
              <c:layout>
                <c:manualLayout>
                  <c:x val="0.0250732918313009"/>
                  <c:y val="0.172864305274534"/>
                </c:manualLayout>
              </c:layout>
              <c:dLblPos val="bestFit"/>
              <c:showLegendKey val="1"/>
              <c:showVal val="0"/>
              <c:showCatName val="0"/>
              <c:showSerName val="0"/>
              <c:showPercent val="1"/>
              <c:showBubbleSize val="0"/>
              <c:separator> </c:separator>
              <c:extLst>
                <c:ext xmlns:c15="http://schemas.microsoft.com/office/drawing/2012/chart" uri="{CE6537A1-D6FC-4f65-9D91-7224C49458BB}">
                  <c15:layout/>
                </c:ext>
              </c:extLst>
            </c:dLbl>
            <c:dLbl>
              <c:idx val="6"/>
              <c:layout>
                <c:manualLayout>
                  <c:x val="0.00589745776362792"/>
                  <c:y val="0.108594784785029"/>
                </c:manualLayout>
              </c:layout>
              <c:dLblPos val="bestFit"/>
              <c:showLegendKey val="1"/>
              <c:showVal val="0"/>
              <c:showCatName val="0"/>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1"/>
            <c:showVal val="0"/>
            <c:showCatName val="0"/>
            <c:showSerName val="0"/>
            <c:showPercent val="1"/>
            <c:showBubbleSize val="0"/>
            <c:separator> </c:separator>
            <c:showLeaderLines val="0"/>
            <c:extLst>
              <c:ext xmlns:c15="http://schemas.microsoft.com/office/drawing/2012/chart" uri="{CE6537A1-D6FC-4f65-9D91-7224C49458BB}">
                <c15:layout/>
                <c15:showLeaderLines val="0"/>
                <c15:leaderLines/>
              </c:ext>
            </c:extLst>
          </c:dLbls>
          <c:cat>
            <c:strRef>
              <c:f>Sheet1!$A$2:$A$8</c:f>
              <c:strCache>
                <c:ptCount val="7"/>
                <c:pt idx="0">
                  <c:v>一般公共服务支出</c:v>
                </c:pt>
                <c:pt idx="1">
                  <c:v>教育支出</c:v>
                </c:pt>
                <c:pt idx="2">
                  <c:v>科学技术支出</c:v>
                </c:pt>
                <c:pt idx="3">
                  <c:v>文化旅游体育与传媒支出</c:v>
                </c:pt>
                <c:pt idx="4">
                  <c:v>社会保障和就业支出</c:v>
                </c:pt>
                <c:pt idx="5">
                  <c:v>卫生健康支出</c:v>
                </c:pt>
                <c:pt idx="6">
                  <c:v>住房保障支出</c:v>
                </c:pt>
              </c:strCache>
            </c:strRef>
          </c:cat>
          <c:val>
            <c:numRef>
              <c:f>Sheet1!$B$2:$B$8</c:f>
              <c:numCache>
                <c:formatCode>General</c:formatCode>
                <c:ptCount val="7"/>
                <c:pt idx="0">
                  <c:v>0</c:v>
                </c:pt>
                <c:pt idx="1">
                  <c:v>0</c:v>
                </c:pt>
                <c:pt idx="2">
                  <c:v>0</c:v>
                </c:pt>
                <c:pt idx="3">
                  <c:v>0</c:v>
                </c:pt>
                <c:pt idx="4">
                  <c:v>2744.23</c:v>
                </c:pt>
                <c:pt idx="5">
                  <c:v>66.59</c:v>
                </c:pt>
                <c:pt idx="6">
                  <c:v>18.11</c:v>
                </c:pt>
              </c:numCache>
            </c:numRef>
          </c:val>
        </c:ser>
        <c:dLbls>
          <c:showLegendKey val="0"/>
          <c:showVal val="0"/>
          <c:showCatName val="0"/>
          <c:showSerName val="0"/>
          <c:showPercent val="0"/>
          <c:showBubbleSize val="0"/>
          <c:showLeaderLines val="0"/>
        </c:dLbls>
        <c:firstSliceAng val="0"/>
      </c:pieChart>
    </c:plotArea>
    <c:legend>
      <c:legendPos val="r"/>
      <c:layout/>
      <c:overlay val="0"/>
      <c:spPr>
        <a:noFill/>
      </c:spP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dataSourceCollection xmlns="http://www.yonyou.com/datasource"/>
</file>

<file path=customXml/item3.xml><?xml version="1.0" encoding="utf-8"?>
<relations xmlns="http://www.yonyou.com/relation"/>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A0B32A-EBA9-4FF0-9918-41E6AB616365}">
  <ds:schemaRefs/>
</ds:datastoreItem>
</file>

<file path=customXml/itemProps3.xml><?xml version="1.0" encoding="utf-8"?>
<ds:datastoreItem xmlns:ds="http://schemas.openxmlformats.org/officeDocument/2006/customXml" ds:itemID="{600FCB53-AC9C-427D-9D14-95DEEBD94773}">
  <ds:schemaRefs/>
</ds:datastoreItem>
</file>

<file path=customXml/itemProps4.xml><?xml version="1.0" encoding="utf-8"?>
<ds:datastoreItem xmlns:ds="http://schemas.openxmlformats.org/officeDocument/2006/customXml" ds:itemID="{597D6DF5-3163-4A08-98A3-9F206555675C}">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23</Pages>
  <Words>7811</Words>
  <Characters>8611</Characters>
  <Lines>63</Lines>
  <Paragraphs>17</Paragraphs>
  <TotalTime>4</TotalTime>
  <ScaleCrop>false</ScaleCrop>
  <LinksUpToDate>false</LinksUpToDate>
  <CharactersWithSpaces>8679</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2024-10-18T08:41:00Z</dcterms:created>
  <dc:creator>曹颖</dc:creator>
  <cp:lastModifiedBy>杨文广</cp:lastModifiedBy>
  <cp:lastPrinted>2025-10-24T09:40:03Z</cp:lastPrinted>
  <dcterms:modified xsi:type="dcterms:W3CDTF">2025-10-24T09:46:57Z</dcterms:modified>
  <dc:title>四川省***</dc:title>
  <cp:revision>230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15F86239267D454CAE25687E30657F3B_12</vt:lpwstr>
  </property>
  <property fmtid="{D5CDD505-2E9C-101B-9397-08002B2CF9AE}" pid="4" name="KSOTemplateDocerSaveRecord">
    <vt:lpwstr>eyJoZGlkIjoiMjY1YzkyZWJiNGI1ZTA2ZTcxNjYxZDMzZjU0YmU5MzEifQ==</vt:lpwstr>
  </property>
</Properties>
</file>