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4FEAB">
      <w:pPr>
        <w:pStyle w:val="8"/>
        <w:spacing w:before="93"/>
        <w:rPr>
          <w:rFonts w:ascii="Times New Roman" w:eastAsia="方正小标宋简体"/>
          <w:color w:val="auto"/>
          <w:kern w:val="2"/>
          <w:sz w:val="72"/>
          <w:szCs w:val="72"/>
        </w:rPr>
      </w:pPr>
      <w:bookmarkStart w:id="0" w:name="_Toc15377193"/>
      <w:bookmarkStart w:id="1" w:name="_Toc15377425"/>
      <w:bookmarkStart w:id="2" w:name="_Toc15306267"/>
      <w:bookmarkStart w:id="3" w:name="_Toc15378441"/>
      <w:bookmarkStart w:id="4" w:name="_Toc15396597"/>
      <w:bookmarkStart w:id="5" w:name="_Toc15396475"/>
    </w:p>
    <w:p w14:paraId="54157798">
      <w:pPr>
        <w:pStyle w:val="8"/>
        <w:spacing w:before="93"/>
        <w:rPr>
          <w:rFonts w:ascii="Times New Roman" w:eastAsia="方正小标宋简体"/>
          <w:color w:val="auto"/>
          <w:kern w:val="2"/>
          <w:sz w:val="72"/>
          <w:szCs w:val="72"/>
        </w:rPr>
      </w:pPr>
    </w:p>
    <w:p w14:paraId="7B646655">
      <w:pPr>
        <w:pStyle w:val="8"/>
        <w:spacing w:before="93"/>
        <w:rPr>
          <w:rFonts w:ascii="Times New Roman" w:eastAsia="方正小标宋简体"/>
          <w:color w:val="auto"/>
          <w:kern w:val="2"/>
          <w:sz w:val="72"/>
          <w:szCs w:val="72"/>
        </w:rPr>
      </w:pPr>
    </w:p>
    <w:p w14:paraId="19F24F56">
      <w:pPr>
        <w:pStyle w:val="8"/>
        <w:spacing w:before="93"/>
        <w:ind w:left="420" w:firstLine="1440"/>
        <w:rPr>
          <w:rFonts w:hint="eastAsia" w:ascii="方正小标宋简体" w:hAnsi="方正小标宋简体" w:eastAsia="方正小标宋简体" w:cs="方正小标宋简体"/>
          <w:color w:val="auto"/>
          <w:kern w:val="2"/>
          <w:sz w:val="72"/>
          <w:szCs w:val="72"/>
        </w:rPr>
      </w:pPr>
      <w:r>
        <w:rPr>
          <w:rFonts w:hint="eastAsia" w:ascii="Times New Roman" w:eastAsia="方正小标宋简体"/>
          <w:color w:val="auto"/>
          <w:kern w:val="2"/>
          <w:sz w:val="72"/>
          <w:szCs w:val="72"/>
        </w:rPr>
        <w:t xml:space="preserve">  2024</w:t>
      </w:r>
      <w:r>
        <w:rPr>
          <w:rFonts w:hint="eastAsia" w:ascii="方正小标宋简体" w:hAnsi="方正小标宋简体" w:eastAsia="方正小标宋简体" w:cs="方正小标宋简体"/>
          <w:color w:val="auto"/>
          <w:kern w:val="2"/>
          <w:sz w:val="72"/>
          <w:szCs w:val="72"/>
        </w:rPr>
        <w:t>年度</w:t>
      </w:r>
    </w:p>
    <w:p w14:paraId="0D03762C">
      <w:pPr>
        <w:pStyle w:val="8"/>
        <w:spacing w:before="93"/>
        <w:jc w:val="center"/>
        <w:rPr>
          <w:rFonts w:hint="eastAsia" w:ascii="方正小标宋简体" w:hAnsi="方正小标宋简体" w:eastAsia="方正小标宋简体" w:cs="方正小标宋简体"/>
          <w:color w:val="auto"/>
          <w:kern w:val="2"/>
          <w:sz w:val="72"/>
          <w:szCs w:val="72"/>
        </w:rPr>
      </w:pPr>
      <w:r>
        <w:rPr>
          <w:rFonts w:hint="eastAsia" w:ascii="方正小标宋简体" w:hAnsi="方正小标宋简体" w:eastAsia="方正小标宋简体" w:cs="方正小标宋简体"/>
          <w:color w:val="auto"/>
          <w:kern w:val="2"/>
          <w:sz w:val="72"/>
          <w:szCs w:val="72"/>
        </w:rPr>
        <w:t>盐边县</w:t>
      </w:r>
      <w:r>
        <w:rPr>
          <w:rFonts w:hint="eastAsia" w:ascii="方正小标宋简体" w:hAnsi="方正小标宋简体" w:eastAsia="方正小标宋简体" w:cs="方正小标宋简体"/>
          <w:color w:val="auto"/>
          <w:sz w:val="72"/>
          <w:szCs w:val="72"/>
        </w:rPr>
        <w:t>文化馆</w:t>
      </w:r>
      <w:r>
        <w:rPr>
          <w:rFonts w:hint="eastAsia" w:ascii="方正小标宋简体" w:hAnsi="方正小标宋简体" w:eastAsia="方正小标宋简体" w:cs="方正小标宋简体"/>
          <w:color w:val="auto"/>
          <w:kern w:val="2"/>
          <w:sz w:val="72"/>
          <w:szCs w:val="72"/>
        </w:rPr>
        <w:t>单位决算</w:t>
      </w:r>
    </w:p>
    <w:p w14:paraId="33F48497">
      <w:pPr>
        <w:pStyle w:val="8"/>
        <w:spacing w:before="93"/>
        <w:jc w:val="center"/>
        <w:rPr>
          <w:rFonts w:hint="eastAsia" w:ascii="方正小标宋简体" w:hAnsi="方正小标宋简体" w:eastAsia="方正小标宋简体" w:cs="方正小标宋简体"/>
          <w:color w:val="auto"/>
          <w:kern w:val="2"/>
          <w:sz w:val="72"/>
          <w:szCs w:val="72"/>
        </w:rPr>
      </w:pPr>
      <w:r>
        <w:rPr>
          <w:rFonts w:hint="eastAsia" w:ascii="方正小标宋简体" w:hAnsi="方正小标宋简体" w:eastAsia="方正小标宋简体" w:cs="方正小标宋简体"/>
          <w:color w:val="auto"/>
          <w:kern w:val="2"/>
          <w:sz w:val="72"/>
          <w:szCs w:val="72"/>
        </w:rPr>
        <w:t>公开编制说明</w:t>
      </w:r>
    </w:p>
    <w:p w14:paraId="64006A11">
      <w:pPr>
        <w:spacing w:line="600" w:lineRule="exact"/>
        <w:jc w:val="center"/>
        <w:outlineLvl w:val="0"/>
        <w:rPr>
          <w:rFonts w:eastAsia="方正小标宋简体"/>
          <w:color w:val="auto"/>
          <w:sz w:val="72"/>
          <w:szCs w:val="72"/>
        </w:rPr>
      </w:pPr>
    </w:p>
    <w:p w14:paraId="3A1FEA71">
      <w:pPr>
        <w:pStyle w:val="20"/>
        <w:rPr>
          <w:rFonts w:ascii="Times New Roman" w:hAnsi="Times New Roman"/>
          <w:color w:val="auto"/>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pPr>
    </w:p>
    <w:p w14:paraId="481A7F24">
      <w:pPr>
        <w:pStyle w:val="8"/>
        <w:spacing w:before="93"/>
        <w:rPr>
          <w:rFonts w:ascii="Times New Roman" w:eastAsia="方正小标宋简体"/>
          <w:color w:val="auto"/>
          <w:kern w:val="2"/>
          <w:sz w:val="44"/>
          <w:szCs w:val="44"/>
        </w:rPr>
      </w:pPr>
    </w:p>
    <w:bookmarkEnd w:id="0"/>
    <w:bookmarkEnd w:id="1"/>
    <w:bookmarkEnd w:id="2"/>
    <w:bookmarkEnd w:id="3"/>
    <w:bookmarkEnd w:id="4"/>
    <w:bookmarkEnd w:id="5"/>
    <w:p w14:paraId="3B2EFA28">
      <w:pPr>
        <w:widowControl/>
        <w:jc w:val="center"/>
        <w:rPr>
          <w:rFonts w:eastAsia="黑体"/>
          <w:color w:val="auto"/>
          <w:sz w:val="48"/>
          <w:szCs w:val="48"/>
        </w:rPr>
      </w:pPr>
      <w:r>
        <w:rPr>
          <w:rFonts w:hint="eastAsia" w:eastAsia="黑体"/>
          <w:color w:val="auto"/>
          <w:sz w:val="48"/>
          <w:szCs w:val="48"/>
        </w:rPr>
        <w:t>目录</w:t>
      </w:r>
    </w:p>
    <w:p w14:paraId="4CDB95C1">
      <w:pPr>
        <w:widowControl/>
        <w:jc w:val="center"/>
        <w:rPr>
          <w:rFonts w:eastAsia="黑体" w:cstheme="minorBidi"/>
          <w:color w:val="auto"/>
          <w:sz w:val="28"/>
          <w:szCs w:val="28"/>
        </w:rPr>
      </w:pPr>
    </w:p>
    <w:p w14:paraId="68DA7203">
      <w:pPr>
        <w:pStyle w:val="13"/>
        <w:keepNext w:val="0"/>
        <w:keepLines w:val="0"/>
        <w:pageBreakBefore w:val="0"/>
        <w:kinsoku/>
        <w:wordWrap/>
        <w:overflowPunct/>
        <w:topLinePunct w:val="0"/>
        <w:autoSpaceDE/>
        <w:autoSpaceDN/>
        <w:bidi w:val="0"/>
        <w:spacing w:before="0" w:line="590" w:lineRule="exact"/>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公开时间：2024年 10 月 28 日</w:t>
      </w:r>
    </w:p>
    <w:p w14:paraId="29528CA6">
      <w:pPr>
        <w:keepNext w:val="0"/>
        <w:keepLines w:val="0"/>
        <w:pageBreakBefore w:val="0"/>
        <w:kinsoku/>
        <w:wordWrap/>
        <w:overflowPunct/>
        <w:topLinePunct w:val="0"/>
        <w:autoSpaceDE/>
        <w:autoSpaceDN/>
        <w:bidi w:val="0"/>
        <w:spacing w:line="590" w:lineRule="exact"/>
        <w:textAlignment w:val="auto"/>
        <w:rPr>
          <w:color w:val="auto"/>
        </w:rPr>
      </w:pPr>
    </w:p>
    <w:p w14:paraId="2646DFAC">
      <w:pPr>
        <w:pStyle w:val="13"/>
        <w:keepNext w:val="0"/>
        <w:keepLines w:val="0"/>
        <w:pageBreakBefore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 xml:space="preserve">第一部分 </w:t>
      </w:r>
      <w:r>
        <w:rPr>
          <w:rFonts w:hint="eastAsia" w:ascii="Times New Roman" w:hAnsi="Times New Roman" w:eastAsia="黑体" w:cs="黑体"/>
          <w:color w:val="auto"/>
          <w:sz w:val="32"/>
          <w:szCs w:val="32"/>
          <w:lang w:eastAsia="zh-CN"/>
        </w:rPr>
        <w:t>单位</w:t>
      </w:r>
      <w:r>
        <w:rPr>
          <w:rFonts w:hint="eastAsia" w:ascii="Times New Roman" w:hAnsi="Times New Roman" w:eastAsia="黑体" w:cs="黑体"/>
          <w:color w:val="auto"/>
          <w:sz w:val="32"/>
          <w:szCs w:val="32"/>
        </w:rPr>
        <w:t>概况</w:t>
      </w:r>
      <w:r>
        <w:rPr>
          <w:rFonts w:hint="eastAsia" w:ascii="Times New Roman" w:hAnsi="Times New Roman" w:eastAsia="黑体" w:cs="黑体"/>
          <w:color w:val="auto"/>
          <w:sz w:val="32"/>
          <w:szCs w:val="32"/>
          <w:lang w:val="en-US" w:eastAsia="zh-CN"/>
        </w:rPr>
        <w:t>...................................................................1</w:t>
      </w:r>
    </w:p>
    <w:p w14:paraId="40A18671">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一、</w:t>
      </w:r>
      <w:r>
        <w:rPr>
          <w:rFonts w:hint="eastAsia" w:eastAsia="仿宋_GB2312" w:cs="仿宋_GB2312"/>
          <w:color w:val="auto"/>
          <w:sz w:val="32"/>
          <w:szCs w:val="32"/>
          <w:lang w:eastAsia="zh-CN"/>
        </w:rPr>
        <w:t>主要</w:t>
      </w:r>
      <w:r>
        <w:rPr>
          <w:rFonts w:hint="eastAsia" w:eastAsia="仿宋_GB2312" w:cs="仿宋_GB2312"/>
          <w:color w:val="auto"/>
          <w:sz w:val="32"/>
          <w:szCs w:val="32"/>
        </w:rPr>
        <w:t>职责</w:t>
      </w:r>
      <w:r>
        <w:rPr>
          <w:rFonts w:hint="eastAsia" w:eastAsia="仿宋_GB2312" w:cs="仿宋_GB2312"/>
          <w:color w:val="auto"/>
          <w:sz w:val="32"/>
          <w:szCs w:val="32"/>
          <w:lang w:val="en-US" w:eastAsia="zh-CN"/>
        </w:rPr>
        <w:t>.......................................................................1</w:t>
      </w:r>
    </w:p>
    <w:p w14:paraId="651868D5">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二、机构设置</w:t>
      </w:r>
      <w:r>
        <w:rPr>
          <w:rFonts w:hint="eastAsia" w:eastAsia="仿宋_GB2312" w:cs="仿宋_GB2312"/>
          <w:color w:val="auto"/>
          <w:sz w:val="32"/>
          <w:szCs w:val="32"/>
          <w:lang w:val="en-US" w:eastAsia="zh-CN"/>
        </w:rPr>
        <w:t>.......................................................................1</w:t>
      </w:r>
    </w:p>
    <w:p w14:paraId="77D0A39F">
      <w:pPr>
        <w:pStyle w:val="13"/>
        <w:keepNext w:val="0"/>
        <w:keepLines w:val="0"/>
        <w:pageBreakBefore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第二部分 2024年度部门决算情况说明</w:t>
      </w:r>
      <w:r>
        <w:rPr>
          <w:rFonts w:hint="eastAsia" w:ascii="Times New Roman" w:hAnsi="Times New Roman" w:eastAsia="黑体" w:cs="黑体"/>
          <w:color w:val="auto"/>
          <w:sz w:val="32"/>
          <w:szCs w:val="32"/>
          <w:lang w:val="en-US" w:eastAsia="zh-CN"/>
        </w:rPr>
        <w:t>...................................2</w:t>
      </w:r>
    </w:p>
    <w:p w14:paraId="6DD3F1D4">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一、收入支出决算总体情况说明</w:t>
      </w:r>
      <w:r>
        <w:rPr>
          <w:rFonts w:hint="eastAsia" w:eastAsia="仿宋_GB2312" w:cs="仿宋_GB2312"/>
          <w:color w:val="auto"/>
          <w:sz w:val="32"/>
          <w:szCs w:val="32"/>
          <w:lang w:val="en-US" w:eastAsia="zh-CN"/>
        </w:rPr>
        <w:t>.......................................2</w:t>
      </w:r>
    </w:p>
    <w:p w14:paraId="733A7CBB">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二、收入决算情况说明</w:t>
      </w:r>
      <w:r>
        <w:rPr>
          <w:rFonts w:hint="eastAsia" w:eastAsia="仿宋_GB2312" w:cs="仿宋_GB2312"/>
          <w:color w:val="auto"/>
          <w:sz w:val="32"/>
          <w:szCs w:val="32"/>
          <w:lang w:val="en-US" w:eastAsia="zh-CN"/>
        </w:rPr>
        <w:t>.......................................................2</w:t>
      </w:r>
    </w:p>
    <w:p w14:paraId="501318A3">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三、支出决算情况说明</w:t>
      </w:r>
      <w:r>
        <w:rPr>
          <w:rFonts w:hint="eastAsia" w:eastAsia="仿宋_GB2312" w:cs="仿宋_GB2312"/>
          <w:color w:val="auto"/>
          <w:sz w:val="32"/>
          <w:szCs w:val="32"/>
          <w:lang w:val="en-US" w:eastAsia="zh-CN"/>
        </w:rPr>
        <w:t>.......................................................3</w:t>
      </w:r>
    </w:p>
    <w:p w14:paraId="2029179E">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四、财政拨款收入支出决算总体情况说明</w:t>
      </w:r>
      <w:r>
        <w:rPr>
          <w:rFonts w:hint="eastAsia" w:eastAsia="仿宋_GB2312" w:cs="仿宋_GB2312"/>
          <w:color w:val="auto"/>
          <w:sz w:val="32"/>
          <w:szCs w:val="32"/>
          <w:lang w:val="en-US" w:eastAsia="zh-CN"/>
        </w:rPr>
        <w:t>.......................4</w:t>
      </w:r>
    </w:p>
    <w:p w14:paraId="4B3A629A">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五、一般公共预算财政拨款支出决算情况说明</w:t>
      </w:r>
      <w:r>
        <w:rPr>
          <w:rFonts w:hint="eastAsia" w:eastAsia="仿宋_GB2312" w:cs="仿宋_GB2312"/>
          <w:color w:val="auto"/>
          <w:sz w:val="32"/>
          <w:szCs w:val="32"/>
          <w:lang w:val="en-US" w:eastAsia="zh-CN"/>
        </w:rPr>
        <w:t>...............4</w:t>
      </w:r>
    </w:p>
    <w:p w14:paraId="2AA1321E">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六、一般公共预算财政拨款基本支出决算情况说明</w:t>
      </w:r>
      <w:r>
        <w:rPr>
          <w:rFonts w:hint="eastAsia" w:eastAsia="仿宋_GB2312" w:cs="仿宋_GB2312"/>
          <w:color w:val="auto"/>
          <w:sz w:val="32"/>
          <w:szCs w:val="32"/>
          <w:lang w:val="en-US" w:eastAsia="zh-CN"/>
        </w:rPr>
        <w:t>.......7</w:t>
      </w:r>
    </w:p>
    <w:p w14:paraId="193A973D">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七、财政拨款“三公”经费支出决算情况说明</w:t>
      </w:r>
      <w:r>
        <w:rPr>
          <w:rFonts w:hint="eastAsia" w:eastAsia="仿宋_GB2312" w:cs="仿宋_GB2312"/>
          <w:color w:val="auto"/>
          <w:sz w:val="32"/>
          <w:szCs w:val="32"/>
          <w:lang w:val="en-US" w:eastAsia="zh-CN"/>
        </w:rPr>
        <w:t>...................7</w:t>
      </w:r>
    </w:p>
    <w:p w14:paraId="37C220B4">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八、政府性基金预算支出决算情况说明</w:t>
      </w:r>
      <w:r>
        <w:rPr>
          <w:rFonts w:hint="eastAsia" w:eastAsia="仿宋_GB2312" w:cs="仿宋_GB2312"/>
          <w:color w:val="auto"/>
          <w:sz w:val="32"/>
          <w:szCs w:val="32"/>
          <w:lang w:val="en-US" w:eastAsia="zh-CN"/>
        </w:rPr>
        <w:t>...........................9</w:t>
      </w:r>
    </w:p>
    <w:p w14:paraId="4485E9AF">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九、国有资本经营预算支出决算情况说明</w:t>
      </w:r>
      <w:r>
        <w:rPr>
          <w:rFonts w:hint="eastAsia" w:eastAsia="仿宋_GB2312" w:cs="仿宋_GB2312"/>
          <w:color w:val="auto"/>
          <w:sz w:val="32"/>
          <w:szCs w:val="32"/>
          <w:lang w:val="en-US" w:eastAsia="zh-CN"/>
        </w:rPr>
        <w:t>.....................10</w:t>
      </w:r>
    </w:p>
    <w:p w14:paraId="5F5E54AD">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十、其他重要事项的情况说明</w:t>
      </w:r>
      <w:r>
        <w:rPr>
          <w:rFonts w:hint="eastAsia" w:eastAsia="仿宋_GB2312" w:cs="仿宋_GB2312"/>
          <w:color w:val="auto"/>
          <w:sz w:val="32"/>
          <w:szCs w:val="32"/>
          <w:lang w:val="en-US" w:eastAsia="zh-CN"/>
        </w:rPr>
        <w:t>.........................................10</w:t>
      </w:r>
    </w:p>
    <w:p w14:paraId="22EAB5CB">
      <w:pPr>
        <w:pStyle w:val="13"/>
        <w:keepNext w:val="0"/>
        <w:keepLines w:val="0"/>
        <w:pageBreakBefore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第三部分 名词解释</w:t>
      </w:r>
      <w:r>
        <w:rPr>
          <w:rFonts w:hint="eastAsia" w:ascii="Times New Roman" w:hAnsi="Times New Roman" w:eastAsia="黑体" w:cs="黑体"/>
          <w:color w:val="auto"/>
          <w:sz w:val="32"/>
          <w:szCs w:val="32"/>
          <w:lang w:val="en-US" w:eastAsia="zh-CN"/>
        </w:rPr>
        <w:t>.................................................................13</w:t>
      </w:r>
    </w:p>
    <w:p w14:paraId="4875129F">
      <w:pPr>
        <w:pStyle w:val="13"/>
        <w:keepNext w:val="0"/>
        <w:keepLines w:val="0"/>
        <w:pageBreakBefore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第四部分 附件</w:t>
      </w:r>
      <w:r>
        <w:rPr>
          <w:rFonts w:hint="eastAsia" w:ascii="Times New Roman" w:hAnsi="Times New Roman" w:eastAsia="黑体" w:cs="黑体"/>
          <w:color w:val="auto"/>
          <w:sz w:val="32"/>
          <w:szCs w:val="32"/>
          <w:lang w:val="en-US" w:eastAsia="zh-CN"/>
        </w:rPr>
        <w:t>.........................................................................16</w:t>
      </w:r>
    </w:p>
    <w:p w14:paraId="7E30F239">
      <w:pPr>
        <w:pStyle w:val="13"/>
        <w:keepNext w:val="0"/>
        <w:keepLines w:val="0"/>
        <w:pageBreakBefore w:val="0"/>
        <w:kinsoku/>
        <w:wordWrap/>
        <w:overflowPunct/>
        <w:topLinePunct w:val="0"/>
        <w:autoSpaceDE/>
        <w:autoSpaceDN/>
        <w:bidi w:val="0"/>
        <w:adjustRightInd w:val="0"/>
        <w:snapToGrid w:val="0"/>
        <w:spacing w:before="0" w:line="590" w:lineRule="exact"/>
        <w:jc w:val="left"/>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第五部分 附表</w:t>
      </w:r>
      <w:r>
        <w:rPr>
          <w:rFonts w:hint="eastAsia" w:ascii="Times New Roman" w:hAnsi="Times New Roman" w:eastAsia="黑体" w:cs="黑体"/>
          <w:color w:val="auto"/>
          <w:sz w:val="32"/>
          <w:szCs w:val="32"/>
          <w:lang w:val="en-US" w:eastAsia="zh-CN"/>
        </w:rPr>
        <w:t>.........................................................................17</w:t>
      </w:r>
    </w:p>
    <w:p w14:paraId="3B1D9A64">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rPr>
        <w:t>一、收入支出决算总表</w:t>
      </w:r>
      <w:r>
        <w:rPr>
          <w:rFonts w:hint="eastAsia" w:eastAsia="仿宋_GB2312" w:cs="仿宋_GB2312"/>
          <w:color w:val="auto"/>
          <w:sz w:val="32"/>
          <w:szCs w:val="32"/>
          <w:lang w:val="en-US" w:eastAsia="zh-CN"/>
        </w:rPr>
        <w:t xml:space="preserve">.....................................................17       </w:t>
      </w:r>
    </w:p>
    <w:p w14:paraId="24BB5C78">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二、收入决算表</w:t>
      </w:r>
      <w:r>
        <w:rPr>
          <w:rFonts w:hint="eastAsia" w:eastAsia="仿宋_GB2312" w:cs="仿宋_GB2312"/>
          <w:color w:val="auto"/>
          <w:sz w:val="32"/>
          <w:szCs w:val="32"/>
          <w:lang w:val="en-US" w:eastAsia="zh-CN"/>
        </w:rPr>
        <w:t>.................................................................17</w:t>
      </w:r>
    </w:p>
    <w:p w14:paraId="7DFC6307">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三、支出决算表</w:t>
      </w:r>
      <w:r>
        <w:rPr>
          <w:rFonts w:hint="eastAsia" w:eastAsia="仿宋_GB2312" w:cs="仿宋_GB2312"/>
          <w:color w:val="auto"/>
          <w:sz w:val="32"/>
          <w:szCs w:val="32"/>
          <w:lang w:val="en-US" w:eastAsia="zh-CN"/>
        </w:rPr>
        <w:t>.................................................................17</w:t>
      </w:r>
    </w:p>
    <w:p w14:paraId="66E5CD5B">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四、财政拨款收入支出决算总表</w:t>
      </w:r>
      <w:r>
        <w:rPr>
          <w:rFonts w:hint="eastAsia" w:eastAsia="仿宋_GB2312" w:cs="仿宋_GB2312"/>
          <w:color w:val="auto"/>
          <w:sz w:val="32"/>
          <w:szCs w:val="32"/>
          <w:lang w:val="en-US" w:eastAsia="zh-CN"/>
        </w:rPr>
        <w:t>.....................................17</w:t>
      </w:r>
    </w:p>
    <w:p w14:paraId="1E8FFE91">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五、财政拨款支出决算明细表</w:t>
      </w:r>
      <w:r>
        <w:rPr>
          <w:rFonts w:hint="eastAsia" w:eastAsia="仿宋_GB2312" w:cs="仿宋_GB2312"/>
          <w:color w:val="auto"/>
          <w:sz w:val="32"/>
          <w:szCs w:val="32"/>
          <w:lang w:val="en-US" w:eastAsia="zh-CN"/>
        </w:rPr>
        <w:t>.........................................17</w:t>
      </w:r>
    </w:p>
    <w:p w14:paraId="51D409DD">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六、一般公共预算财政拨款支出决算表</w:t>
      </w:r>
      <w:r>
        <w:rPr>
          <w:rFonts w:hint="eastAsia" w:eastAsia="仿宋_GB2312" w:cs="仿宋_GB2312"/>
          <w:color w:val="auto"/>
          <w:sz w:val="32"/>
          <w:szCs w:val="32"/>
          <w:lang w:val="en-US" w:eastAsia="zh-CN"/>
        </w:rPr>
        <w:t>.........................17</w:t>
      </w:r>
    </w:p>
    <w:p w14:paraId="6471B54A">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七、一般公共预算财政拨款支出决算明细表</w:t>
      </w:r>
      <w:r>
        <w:rPr>
          <w:rFonts w:hint="eastAsia" w:eastAsia="仿宋_GB2312" w:cs="仿宋_GB2312"/>
          <w:color w:val="auto"/>
          <w:sz w:val="32"/>
          <w:szCs w:val="32"/>
          <w:lang w:val="en-US" w:eastAsia="zh-CN"/>
        </w:rPr>
        <w:t>.................17</w:t>
      </w:r>
    </w:p>
    <w:p w14:paraId="2E0054C8">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八、一般公共预算财政拨款基本支出决算明细表</w:t>
      </w:r>
      <w:r>
        <w:rPr>
          <w:rFonts w:hint="eastAsia" w:eastAsia="仿宋_GB2312" w:cs="仿宋_GB2312"/>
          <w:color w:val="auto"/>
          <w:sz w:val="32"/>
          <w:szCs w:val="32"/>
          <w:lang w:val="en-US" w:eastAsia="zh-CN"/>
        </w:rPr>
        <w:t>.........17</w:t>
      </w:r>
    </w:p>
    <w:p w14:paraId="64DDE648">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九、一般公共预算财政拨款项目支出决算表</w:t>
      </w:r>
      <w:r>
        <w:rPr>
          <w:rFonts w:hint="eastAsia" w:eastAsia="仿宋_GB2312" w:cs="仿宋_GB2312"/>
          <w:color w:val="auto"/>
          <w:sz w:val="32"/>
          <w:szCs w:val="32"/>
          <w:lang w:val="en-US" w:eastAsia="zh-CN"/>
        </w:rPr>
        <w:t>.................17</w:t>
      </w:r>
    </w:p>
    <w:p w14:paraId="7C52770B">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十、政府性基金预算财政拨款收入支出决算表</w:t>
      </w:r>
      <w:r>
        <w:rPr>
          <w:rFonts w:hint="eastAsia" w:eastAsia="仿宋_GB2312" w:cs="仿宋_GB2312"/>
          <w:color w:val="auto"/>
          <w:sz w:val="32"/>
          <w:szCs w:val="32"/>
          <w:lang w:val="en-US" w:eastAsia="zh-CN"/>
        </w:rPr>
        <w:t>.............17</w:t>
      </w:r>
    </w:p>
    <w:p w14:paraId="4283D896">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十一、国有资本经营预算财政拨款收入支出决算表</w:t>
      </w:r>
      <w:r>
        <w:rPr>
          <w:rFonts w:hint="eastAsia" w:eastAsia="仿宋_GB2312" w:cs="仿宋_GB2312"/>
          <w:color w:val="auto"/>
          <w:sz w:val="32"/>
          <w:szCs w:val="32"/>
          <w:lang w:val="en-US" w:eastAsia="zh-CN"/>
        </w:rPr>
        <w:t>.....17</w:t>
      </w:r>
    </w:p>
    <w:p w14:paraId="2D192DB8">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十二、国有资本经营预算财政拨款支出决算表</w:t>
      </w:r>
      <w:r>
        <w:rPr>
          <w:rFonts w:hint="eastAsia" w:eastAsia="仿宋_GB2312" w:cs="仿宋_GB2312"/>
          <w:color w:val="auto"/>
          <w:sz w:val="32"/>
          <w:szCs w:val="32"/>
          <w:lang w:val="en-US" w:eastAsia="zh-CN"/>
        </w:rPr>
        <w:t>.............17</w:t>
      </w:r>
    </w:p>
    <w:p w14:paraId="04B06FB2">
      <w:pPr>
        <w:pStyle w:val="14"/>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hint="default" w:eastAsia="仿宋_GB2312" w:cs="仿宋_GB2312"/>
          <w:color w:val="auto"/>
          <w:sz w:val="32"/>
          <w:szCs w:val="32"/>
          <w:lang w:val="en-US" w:eastAsia="zh-CN"/>
        </w:rPr>
      </w:pPr>
      <w:r>
        <w:rPr>
          <w:rFonts w:hint="eastAsia" w:eastAsia="仿宋_GB2312" w:cs="仿宋_GB2312"/>
          <w:color w:val="auto"/>
          <w:sz w:val="32"/>
          <w:szCs w:val="32"/>
        </w:rPr>
        <w:t>十三、财政拨款“三公”经费支出决算表</w:t>
      </w:r>
      <w:r>
        <w:rPr>
          <w:rFonts w:hint="eastAsia" w:eastAsia="仿宋_GB2312" w:cs="仿宋_GB2312"/>
          <w:color w:val="auto"/>
          <w:sz w:val="32"/>
          <w:szCs w:val="32"/>
          <w:lang w:val="en-US" w:eastAsia="zh-CN"/>
        </w:rPr>
        <w:t>.........................17</w:t>
      </w:r>
    </w:p>
    <w:p w14:paraId="2AD8ACF5">
      <w:pPr>
        <w:pStyle w:val="5"/>
        <w:jc w:val="center"/>
        <w:rPr>
          <w:rFonts w:hint="eastAsia" w:eastAsia="方正小标宋简体" w:cs="方正小标宋简体"/>
          <w:b w:val="0"/>
          <w:color w:val="auto"/>
        </w:rPr>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pPr>
      <w:bookmarkStart w:id="6" w:name="_Toc15377196"/>
      <w:bookmarkStart w:id="7" w:name="_Toc15396599"/>
    </w:p>
    <w:p w14:paraId="15D03EA0">
      <w:pPr>
        <w:pStyle w:val="5"/>
        <w:jc w:val="center"/>
        <w:rPr>
          <w:rStyle w:val="29"/>
          <w:rFonts w:eastAsia="方正小标宋简体" w:cs="方正小标宋简体"/>
          <w:b/>
          <w:bCs w:val="0"/>
          <w:color w:val="auto"/>
        </w:rPr>
      </w:pPr>
      <w:r>
        <w:rPr>
          <w:rFonts w:hint="eastAsia" w:eastAsia="方正小标宋简体" w:cs="方正小标宋简体"/>
          <w:b w:val="0"/>
          <w:color w:val="auto"/>
        </w:rPr>
        <w:t xml:space="preserve">第一部分  </w:t>
      </w:r>
      <w:r>
        <w:rPr>
          <w:rStyle w:val="29"/>
          <w:rFonts w:hint="eastAsia" w:eastAsia="方正小标宋简体" w:cs="方正小标宋简体"/>
          <w:b w:val="0"/>
          <w:bCs w:val="0"/>
          <w:color w:val="auto"/>
          <w:lang w:eastAsia="zh-CN"/>
        </w:rPr>
        <w:t>单位</w:t>
      </w:r>
      <w:r>
        <w:rPr>
          <w:rStyle w:val="29"/>
          <w:rFonts w:hint="eastAsia" w:eastAsia="方正小标宋简体" w:cs="方正小标宋简体"/>
          <w:b w:val="0"/>
          <w:bCs w:val="0"/>
          <w:color w:val="auto"/>
        </w:rPr>
        <w:t>概况</w:t>
      </w:r>
      <w:bookmarkEnd w:id="6"/>
      <w:bookmarkEnd w:id="7"/>
    </w:p>
    <w:p w14:paraId="31F22DD9">
      <w:pPr>
        <w:widowControl/>
        <w:jc w:val="left"/>
        <w:rPr>
          <w:rFonts w:eastAsia="黑体"/>
          <w:color w:val="auto"/>
          <w:sz w:val="32"/>
          <w:szCs w:val="32"/>
        </w:rPr>
      </w:pPr>
    </w:p>
    <w:p w14:paraId="57DCD5C1">
      <w:pPr>
        <w:pStyle w:val="6"/>
        <w:pageBreakBefore w:val="0"/>
        <w:widowControl w:val="0"/>
        <w:numPr>
          <w:ilvl w:val="0"/>
          <w:numId w:val="0"/>
        </w:numPr>
        <w:kinsoku/>
        <w:wordWrap/>
        <w:overflowPunct/>
        <w:topLinePunct w:val="0"/>
        <w:autoSpaceDE/>
        <w:autoSpaceDN/>
        <w:bidi w:val="0"/>
        <w:adjustRightInd/>
        <w:snapToGrid/>
        <w:spacing w:before="0" w:after="0" w:line="590" w:lineRule="exact"/>
        <w:ind w:firstLine="640" w:firstLineChars="200"/>
        <w:textAlignment w:val="auto"/>
        <w:rPr>
          <w:rFonts w:ascii="Times New Roman" w:hAnsi="Times New Roman" w:eastAsia="黑体"/>
          <w:b w:val="0"/>
          <w:color w:val="auto"/>
        </w:rPr>
      </w:pPr>
      <w:r>
        <w:rPr>
          <w:rFonts w:hint="eastAsia" w:ascii="Times New Roman" w:hAnsi="Times New Roman" w:eastAsia="黑体"/>
          <w:b w:val="0"/>
          <w:color w:val="auto"/>
          <w:lang w:eastAsia="zh-CN"/>
        </w:rPr>
        <w:t>一、主要</w:t>
      </w:r>
      <w:r>
        <w:rPr>
          <w:rFonts w:hint="eastAsia" w:ascii="Times New Roman" w:hAnsi="Times New Roman" w:eastAsia="黑体"/>
          <w:b w:val="0"/>
          <w:color w:val="auto"/>
        </w:rPr>
        <w:t>职责</w:t>
      </w:r>
    </w:p>
    <w:p w14:paraId="03954EB9">
      <w:pPr>
        <w:pStyle w:val="6"/>
        <w:pageBreakBefore w:val="0"/>
        <w:widowControl w:val="0"/>
        <w:kinsoku/>
        <w:wordWrap/>
        <w:overflowPunct/>
        <w:topLinePunct w:val="0"/>
        <w:autoSpaceDE/>
        <w:autoSpaceDN/>
        <w:bidi w:val="0"/>
        <w:adjustRightInd/>
        <w:snapToGrid/>
        <w:spacing w:before="0" w:after="0" w:line="590" w:lineRule="exact"/>
        <w:ind w:firstLine="640" w:firstLineChars="200"/>
        <w:textAlignment w:val="auto"/>
        <w:rPr>
          <w:rStyle w:val="30"/>
          <w:rFonts w:ascii="Times New Roman" w:hAnsi="Times New Roman" w:eastAsia="黑体"/>
          <w:b w:val="0"/>
          <w:bCs w:val="0"/>
          <w:color w:val="auto"/>
        </w:rPr>
      </w:pPr>
      <w:r>
        <w:rPr>
          <w:rFonts w:hint="eastAsia" w:ascii="方正仿宋_GB2312" w:hAnsi="方正仿宋_GB2312" w:eastAsia="方正仿宋_GB2312" w:cs="方正仿宋_GB2312"/>
          <w:b w:val="0"/>
          <w:bCs w:val="0"/>
          <w:color w:val="auto"/>
        </w:rPr>
        <w:t>开展公益性文化艺术活动和社会公益培训，实行免费开放；组织指导和推广群众性文艺创作；对基层群众文化组织进行业务指导；组织开展群众文化理论研究和交流活动；收集、整理、研究非物质文化遗产，开展非物质文化遗产的普查、展示、宣传活动，指导传承人开展传习活动。</w:t>
      </w:r>
    </w:p>
    <w:p w14:paraId="5D3C44D9">
      <w:pPr>
        <w:pStyle w:val="6"/>
        <w:pageBreakBefore w:val="0"/>
        <w:widowControl w:val="0"/>
        <w:kinsoku/>
        <w:wordWrap/>
        <w:overflowPunct/>
        <w:topLinePunct w:val="0"/>
        <w:autoSpaceDE/>
        <w:autoSpaceDN/>
        <w:bidi w:val="0"/>
        <w:adjustRightInd/>
        <w:snapToGrid/>
        <w:spacing w:before="0" w:after="0" w:line="590" w:lineRule="exact"/>
        <w:ind w:left="0" w:firstLine="640" w:firstLineChars="200"/>
        <w:textAlignment w:val="auto"/>
        <w:rPr>
          <w:rStyle w:val="30"/>
          <w:rFonts w:ascii="Times New Roman" w:hAnsi="Times New Roman"/>
          <w:b w:val="0"/>
          <w:bCs w:val="0"/>
          <w:color w:val="auto"/>
        </w:rPr>
      </w:pPr>
      <w:bookmarkStart w:id="8" w:name="_Toc15396601"/>
      <w:bookmarkStart w:id="9" w:name="_Toc15377200"/>
      <w:r>
        <w:rPr>
          <w:rFonts w:hint="eastAsia" w:ascii="Times New Roman" w:hAnsi="Times New Roman" w:eastAsia="黑体"/>
          <w:b w:val="0"/>
          <w:color w:val="auto"/>
        </w:rPr>
        <w:t>二、机</w:t>
      </w:r>
      <w:r>
        <w:rPr>
          <w:rStyle w:val="30"/>
          <w:rFonts w:hint="eastAsia" w:ascii="Times New Roman" w:hAnsi="Times New Roman" w:eastAsia="黑体"/>
          <w:b w:val="0"/>
          <w:bCs w:val="0"/>
          <w:color w:val="auto"/>
        </w:rPr>
        <w:t>构设置</w:t>
      </w:r>
      <w:bookmarkEnd w:id="8"/>
      <w:bookmarkEnd w:id="9"/>
    </w:p>
    <w:p w14:paraId="75793C5B">
      <w:pPr>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仿宋_GB2312" w:cs="仿宋_GB2312"/>
          <w:color w:val="auto"/>
          <w:sz w:val="32"/>
          <w:szCs w:val="32"/>
        </w:rPr>
      </w:pPr>
      <w:r>
        <w:rPr>
          <w:rFonts w:hint="eastAsia" w:ascii="仿宋_GB2312" w:hAnsi="仿宋_GB2312" w:eastAsia="仿宋_GB2312" w:cs="仿宋_GB2312"/>
          <w:color w:val="auto"/>
          <w:sz w:val="32"/>
          <w:szCs w:val="32"/>
        </w:rPr>
        <w:t>盐边县文化馆是盐边县文化广播电视和旅游局下属公益一类事业单位，内设办公室、图书馆综合业务室、文化馆综合业务室、书法美术室、文化遗产保护室、财务室</w:t>
      </w:r>
      <w:r>
        <w:rPr>
          <w:rFonts w:hint="eastAsia" w:ascii="仿宋_GB2312" w:hAnsi="仿宋_GB2312" w:eastAsia="仿宋_GB2312" w:cs="仿宋_GB2312"/>
          <w:color w:val="auto"/>
          <w:sz w:val="32"/>
          <w:szCs w:val="32"/>
          <w:lang w:eastAsia="zh-CN"/>
        </w:rPr>
        <w:t>。</w:t>
      </w:r>
    </w:p>
    <w:p w14:paraId="457590B2">
      <w:pPr>
        <w:widowControl/>
        <w:jc w:val="left"/>
        <w:rPr>
          <w:rFonts w:eastAsia="仿宋"/>
          <w:color w:val="auto"/>
          <w:kern w:val="0"/>
          <w:sz w:val="32"/>
          <w:szCs w:val="32"/>
        </w:rPr>
      </w:pPr>
      <w:r>
        <w:rPr>
          <w:rFonts w:eastAsia="仿宋"/>
          <w:color w:val="auto"/>
          <w:sz w:val="32"/>
          <w:szCs w:val="32"/>
        </w:rPr>
        <w:br w:type="page"/>
      </w:r>
    </w:p>
    <w:p w14:paraId="2B6A5634">
      <w:pPr>
        <w:pStyle w:val="5"/>
        <w:jc w:val="center"/>
        <w:rPr>
          <w:rFonts w:eastAsia="方正小标宋简体" w:cs="方正小标宋简体"/>
          <w:b w:val="0"/>
          <w:color w:val="auto"/>
        </w:rPr>
      </w:pPr>
      <w:bookmarkStart w:id="10" w:name="_Toc15396602"/>
      <w:bookmarkStart w:id="11" w:name="_Toc15377204"/>
      <w:r>
        <w:rPr>
          <w:rFonts w:hint="eastAsia" w:eastAsia="方正小标宋简体" w:cs="方正小标宋简体"/>
          <w:b w:val="0"/>
          <w:color w:val="auto"/>
        </w:rPr>
        <w:t>第二部分  2024年度部门决算情况说明</w:t>
      </w:r>
      <w:bookmarkEnd w:id="10"/>
      <w:bookmarkEnd w:id="11"/>
    </w:p>
    <w:p w14:paraId="293B5DE1">
      <w:pPr>
        <w:rPr>
          <w:color w:val="auto"/>
        </w:rPr>
      </w:pPr>
    </w:p>
    <w:p w14:paraId="151D807D">
      <w:pPr>
        <w:pStyle w:val="28"/>
        <w:keepNext w:val="0"/>
        <w:keepLines w:val="0"/>
        <w:pageBreakBefore w:val="0"/>
        <w:widowControl w:val="0"/>
        <w:kinsoku/>
        <w:wordWrap/>
        <w:overflowPunct/>
        <w:topLinePunct w:val="0"/>
        <w:autoSpaceDE/>
        <w:autoSpaceDN/>
        <w:bidi w:val="0"/>
        <w:adjustRightInd/>
        <w:spacing w:line="590" w:lineRule="exact"/>
        <w:ind w:firstLine="640"/>
        <w:textAlignment w:val="auto"/>
        <w:outlineLvl w:val="1"/>
        <w:rPr>
          <w:rStyle w:val="30"/>
          <w:rFonts w:ascii="Times New Roman" w:hAnsi="Times New Roman" w:eastAsia="黑体"/>
          <w:b w:val="0"/>
          <w:color w:val="auto"/>
        </w:rPr>
      </w:pPr>
      <w:bookmarkStart w:id="12" w:name="_Toc15396603"/>
      <w:bookmarkStart w:id="13" w:name="_Toc15377205"/>
      <w:r>
        <w:rPr>
          <w:rFonts w:hint="eastAsia" w:eastAsia="黑体"/>
          <w:color w:val="auto"/>
          <w:sz w:val="32"/>
          <w:szCs w:val="32"/>
        </w:rPr>
        <w:t>一、收</w:t>
      </w:r>
      <w:r>
        <w:rPr>
          <w:rStyle w:val="30"/>
          <w:rFonts w:hint="eastAsia" w:ascii="Times New Roman" w:hAnsi="Times New Roman" w:eastAsia="黑体"/>
          <w:b w:val="0"/>
          <w:color w:val="auto"/>
        </w:rPr>
        <w:t>入支出决算总体情况说明</w:t>
      </w:r>
      <w:bookmarkEnd w:id="12"/>
      <w:bookmarkEnd w:id="13"/>
    </w:p>
    <w:p w14:paraId="74D95A7E">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2024年度收入、支出总计均为181.84万元。与2023年度相比，收入、支出总计各减少98.35万元，下降35.10%。主要变动原因是2024年预算项目减少，因此年初预算收入、支出比上年大幅减少。</w:t>
      </w:r>
    </w:p>
    <w:p w14:paraId="49E8BE81">
      <w:pPr>
        <w:pStyle w:val="28"/>
        <w:keepNext w:val="0"/>
        <w:keepLines w:val="0"/>
        <w:pageBreakBefore w:val="0"/>
        <w:widowControl w:val="0"/>
        <w:kinsoku/>
        <w:wordWrap/>
        <w:overflowPunct/>
        <w:topLinePunct w:val="0"/>
        <w:autoSpaceDE/>
        <w:autoSpaceDN/>
        <w:bidi w:val="0"/>
        <w:adjustRightInd/>
        <w:spacing w:line="590" w:lineRule="exact"/>
        <w:ind w:firstLine="640"/>
        <w:textAlignment w:val="auto"/>
        <w:outlineLvl w:val="1"/>
        <w:rPr>
          <w:rFonts w:eastAsia="仿宋_GB2312" w:cs="仿宋_GB2312"/>
          <w:color w:val="auto"/>
          <w:sz w:val="32"/>
          <w:szCs w:val="32"/>
        </w:rPr>
      </w:pPr>
      <w:r>
        <w:rPr>
          <w:rFonts w:hint="eastAsia" w:eastAsia="仿宋_GB2312" w:cs="仿宋_GB2312"/>
          <w:color w:val="auto"/>
          <w:sz w:val="32"/>
          <w:szCs w:val="32"/>
        </w:rPr>
        <w:t>（图1：收入、支出决算总计变动情况图）（柱状图）</w:t>
      </w:r>
    </w:p>
    <w:p w14:paraId="29D1BD45">
      <w:pPr>
        <w:rPr>
          <w:rFonts w:eastAsia="仿宋_GB2312" w:cs="仿宋_GB2312"/>
          <w:color w:val="auto"/>
          <w:sz w:val="32"/>
          <w:szCs w:val="32"/>
        </w:rPr>
      </w:pPr>
      <w:r>
        <w:rPr>
          <w:rFonts w:eastAsia="仿宋_GB2312" w:cs="仿宋_GB2312"/>
          <w:color w:val="auto"/>
          <w:sz w:val="32"/>
          <w:szCs w:val="32"/>
        </w:rPr>
        <w:drawing>
          <wp:anchor distT="0" distB="0" distL="0" distR="0" simplePos="0" relativeHeight="251662336" behindDoc="0" locked="0" layoutInCell="1" allowOverlap="1">
            <wp:simplePos x="0" y="0"/>
            <wp:positionH relativeFrom="column">
              <wp:posOffset>59690</wp:posOffset>
            </wp:positionH>
            <wp:positionV relativeFrom="paragraph">
              <wp:posOffset>175895</wp:posOffset>
            </wp:positionV>
            <wp:extent cx="5274310" cy="3076575"/>
            <wp:effectExtent l="19050" t="0" r="2159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9064E69">
      <w:pPr>
        <w:pStyle w:val="2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1"/>
        <w:rPr>
          <w:rFonts w:eastAsia="黑体"/>
          <w:color w:val="auto"/>
          <w:sz w:val="32"/>
          <w:szCs w:val="32"/>
        </w:rPr>
      </w:pPr>
      <w:bookmarkStart w:id="14" w:name="_Toc15377206"/>
      <w:bookmarkStart w:id="15" w:name="_Toc15396604"/>
      <w:r>
        <w:rPr>
          <w:rFonts w:hint="eastAsia" w:eastAsia="黑体"/>
          <w:color w:val="auto"/>
          <w:sz w:val="32"/>
          <w:szCs w:val="32"/>
        </w:rPr>
        <w:t>二、收入决算情况说明</w:t>
      </w:r>
      <w:bookmarkEnd w:id="14"/>
      <w:bookmarkEnd w:id="15"/>
    </w:p>
    <w:p w14:paraId="1FE976AD">
      <w:pPr>
        <w:pStyle w:val="2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1"/>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2024年度本年收入合计181.84万元，其中：一般公共预算财政拨款收入181.84万元，占100%；政府性基金预算财政拨款收入0万元，占0%；国有资本经营预算财政拨款收入0万元，占0%；上级补助收入0万元，占0%；事业收入0万元，占0%；经营收入0万元，占0%；附属单位上缴收入0万元，占0%；其他收入0万元，占0%。</w:t>
      </w:r>
    </w:p>
    <w:p w14:paraId="70A95241">
      <w:pPr>
        <w:keepNext w:val="0"/>
        <w:keepLines w:val="0"/>
        <w:pageBreakBefore w:val="0"/>
        <w:widowControl w:val="0"/>
        <w:kinsoku/>
        <w:wordWrap/>
        <w:overflowPunct/>
        <w:topLinePunct w:val="0"/>
        <w:autoSpaceDE/>
        <w:autoSpaceDN/>
        <w:bidi w:val="0"/>
        <w:adjustRightInd/>
        <w:snapToGrid/>
        <w:spacing w:line="590" w:lineRule="exact"/>
        <w:ind w:firstLine="800" w:firstLineChars="250"/>
        <w:textAlignment w:val="auto"/>
        <w:rPr>
          <w:rFonts w:eastAsia="仿宋_GB2312" w:cs="仿宋_GB2312"/>
          <w:color w:val="auto"/>
          <w:sz w:val="32"/>
          <w:szCs w:val="32"/>
        </w:rPr>
      </w:pPr>
      <w:r>
        <w:rPr>
          <w:rFonts w:hint="eastAsia" w:eastAsia="仿宋_GB2312" w:cs="仿宋_GB2312"/>
          <w:color w:val="auto"/>
          <w:sz w:val="32"/>
          <w:szCs w:val="32"/>
        </w:rPr>
        <w:t>（图2：收入决算结构图）（饼状图）</w:t>
      </w:r>
    </w:p>
    <w:p w14:paraId="7B36D14E">
      <w:pPr>
        <w:ind w:firstLine="800" w:firstLineChars="250"/>
        <w:rPr>
          <w:rFonts w:eastAsia="仿宋_GB2312" w:cs="仿宋_GB2312"/>
          <w:color w:val="auto"/>
          <w:sz w:val="32"/>
          <w:szCs w:val="32"/>
        </w:rPr>
      </w:pPr>
      <w:r>
        <w:rPr>
          <w:rFonts w:hint="eastAsia" w:eastAsia="仿宋_GB2312" w:cs="仿宋_GB2312"/>
          <w:color w:val="auto"/>
          <w:sz w:val="32"/>
          <w:szCs w:val="32"/>
        </w:rPr>
        <w:drawing>
          <wp:anchor distT="0" distB="0" distL="0" distR="0" simplePos="0" relativeHeight="251661312" behindDoc="0" locked="0" layoutInCell="1" allowOverlap="1">
            <wp:simplePos x="0" y="0"/>
            <wp:positionH relativeFrom="column">
              <wp:posOffset>25400</wp:posOffset>
            </wp:positionH>
            <wp:positionV relativeFrom="paragraph">
              <wp:posOffset>12065</wp:posOffset>
            </wp:positionV>
            <wp:extent cx="5274310" cy="3076575"/>
            <wp:effectExtent l="5080" t="4445" r="8890" b="1270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392B904">
      <w:pPr>
        <w:pStyle w:val="2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1"/>
        <w:rPr>
          <w:rStyle w:val="30"/>
          <w:rFonts w:ascii="Times New Roman" w:hAnsi="Times New Roman" w:eastAsia="黑体"/>
          <w:b w:val="0"/>
          <w:color w:val="auto"/>
        </w:rPr>
      </w:pPr>
      <w:bookmarkStart w:id="16" w:name="_Toc15377207"/>
      <w:bookmarkStart w:id="17" w:name="_Toc15396605"/>
      <w:r>
        <w:rPr>
          <w:rFonts w:hint="eastAsia" w:eastAsia="黑体"/>
          <w:color w:val="auto"/>
          <w:sz w:val="32"/>
          <w:szCs w:val="32"/>
        </w:rPr>
        <w:t>三、支</w:t>
      </w:r>
      <w:r>
        <w:rPr>
          <w:rStyle w:val="30"/>
          <w:rFonts w:hint="eastAsia" w:ascii="Times New Roman" w:hAnsi="Times New Roman" w:eastAsia="黑体"/>
          <w:b w:val="0"/>
          <w:color w:val="auto"/>
        </w:rPr>
        <w:t>出决算情况说明</w:t>
      </w:r>
      <w:bookmarkEnd w:id="16"/>
      <w:bookmarkEnd w:id="17"/>
    </w:p>
    <w:p w14:paraId="28108785">
      <w:pPr>
        <w:pStyle w:val="2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2024年度本年支出合计181.84万元，其中：基本支出139.91万元，占76.94%；项目支出41.93万元，占23.05%；上缴上级支出0万元，占0%；经营支出0万元，占0%；对附属单位补助支出0万元，占0%。</w:t>
      </w:r>
    </w:p>
    <w:p w14:paraId="06B350FB">
      <w:pPr>
        <w:keepNext w:val="0"/>
        <w:keepLines w:val="0"/>
        <w:pageBreakBefore w:val="0"/>
        <w:widowControl w:val="0"/>
        <w:kinsoku/>
        <w:wordWrap/>
        <w:overflowPunct/>
        <w:topLinePunct w:val="0"/>
        <w:autoSpaceDE/>
        <w:autoSpaceDN/>
        <w:bidi w:val="0"/>
        <w:adjustRightInd/>
        <w:snapToGrid/>
        <w:spacing w:line="590" w:lineRule="exact"/>
        <w:ind w:firstLine="800" w:firstLineChars="250"/>
        <w:textAlignment w:val="auto"/>
        <w:rPr>
          <w:rFonts w:eastAsia="仿宋_GB2312" w:cs="仿宋_GB2312"/>
          <w:color w:val="auto"/>
          <w:sz w:val="32"/>
          <w:szCs w:val="32"/>
        </w:rPr>
      </w:pPr>
      <w:r>
        <w:rPr>
          <w:rFonts w:hint="eastAsia" w:eastAsia="仿宋_GB2312" w:cs="仿宋_GB2312"/>
          <w:color w:val="auto"/>
          <w:sz w:val="32"/>
          <w:szCs w:val="32"/>
        </w:rPr>
        <w:drawing>
          <wp:anchor distT="0" distB="0" distL="114300" distR="114300" simplePos="0" relativeHeight="251660288" behindDoc="0" locked="0" layoutInCell="1" allowOverlap="1">
            <wp:simplePos x="0" y="0"/>
            <wp:positionH relativeFrom="column">
              <wp:posOffset>-13970</wp:posOffset>
            </wp:positionH>
            <wp:positionV relativeFrom="paragraph">
              <wp:posOffset>482600</wp:posOffset>
            </wp:positionV>
            <wp:extent cx="5274310" cy="1612900"/>
            <wp:effectExtent l="4445" t="4445" r="9525" b="1333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eastAsia="仿宋_GB2312" w:cs="仿宋_GB2312"/>
          <w:color w:val="auto"/>
          <w:sz w:val="32"/>
          <w:szCs w:val="32"/>
        </w:rPr>
        <w:t>（图3：支出决算结构图）（饼状图）</w:t>
      </w:r>
    </w:p>
    <w:p w14:paraId="2B74561C">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outlineLvl w:val="1"/>
        <w:rPr>
          <w:rStyle w:val="30"/>
          <w:rFonts w:ascii="Times New Roman" w:hAnsi="Times New Roman" w:eastAsia="黑体"/>
          <w:b w:val="0"/>
          <w:color w:val="auto"/>
        </w:rPr>
      </w:pPr>
      <w:bookmarkStart w:id="18" w:name="_Toc15396606"/>
      <w:bookmarkStart w:id="19" w:name="_Toc15377208"/>
      <w:r>
        <w:rPr>
          <w:rFonts w:hint="eastAsia" w:eastAsia="黑体"/>
          <w:color w:val="auto"/>
          <w:sz w:val="32"/>
          <w:szCs w:val="32"/>
        </w:rPr>
        <w:t>四、财</w:t>
      </w:r>
      <w:r>
        <w:rPr>
          <w:rStyle w:val="30"/>
          <w:rFonts w:hint="eastAsia" w:ascii="Times New Roman" w:hAnsi="Times New Roman" w:eastAsia="黑体"/>
          <w:b w:val="0"/>
          <w:color w:val="auto"/>
        </w:rPr>
        <w:t>政拨款收入支出决算总体情况说明</w:t>
      </w:r>
      <w:bookmarkEnd w:id="18"/>
      <w:bookmarkEnd w:id="19"/>
    </w:p>
    <w:p w14:paraId="42126605">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2024年度财政拨款收入、支出总计均为181.84万元。与2023年度相比，财政拨款收入总计、支出总计各减少98.35万元，下降35.10%。</w:t>
      </w:r>
      <w:r>
        <w:rPr>
          <w:rFonts w:hint="default" w:ascii="Times New Roman" w:hAnsi="Times New Roman" w:eastAsia="仿宋_GB2312" w:cs="Times New Roman"/>
          <w:b w:val="0"/>
          <w:bCs w:val="0"/>
          <w:color w:val="auto"/>
          <w:sz w:val="32"/>
          <w:szCs w:val="32"/>
        </w:rPr>
        <w:t>主要变动原因是2024年预算项目减少，因此年初预算收入、支出比上年大幅减少。</w:t>
      </w:r>
    </w:p>
    <w:p w14:paraId="6498F4FE">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eastAsia="仿宋_GB2312" w:cs="仿宋_GB2312"/>
          <w:color w:val="auto"/>
          <w:sz w:val="32"/>
          <w:szCs w:val="32"/>
        </w:rPr>
      </w:pPr>
      <w:r>
        <w:rPr>
          <w:rFonts w:hint="eastAsia" w:eastAsia="仿宋_GB2312" w:cs="仿宋_GB2312"/>
          <w:color w:val="auto"/>
          <w:sz w:val="32"/>
          <w:szCs w:val="32"/>
        </w:rPr>
        <w:t>（图4：财政拨款收、支决算总计变动情况）（柱状图）</w:t>
      </w:r>
    </w:p>
    <w:p w14:paraId="776AD9AC">
      <w:pPr>
        <w:pStyle w:val="3"/>
        <w:ind w:left="0" w:leftChars="0" w:firstLine="0" w:firstLineChars="0"/>
        <w:rPr>
          <w:color w:val="auto"/>
        </w:rPr>
      </w:pPr>
    </w:p>
    <w:p w14:paraId="6AED8838">
      <w:pPr>
        <w:pStyle w:val="3"/>
        <w:ind w:left="420"/>
        <w:rPr>
          <w:color w:val="auto"/>
        </w:rPr>
      </w:pPr>
      <w:r>
        <w:rPr>
          <w:color w:val="auto"/>
        </w:rPr>
        <w:drawing>
          <wp:anchor distT="0" distB="0" distL="0" distR="0" simplePos="0" relativeHeight="251659264" behindDoc="0" locked="0" layoutInCell="1" allowOverlap="1">
            <wp:simplePos x="0" y="0"/>
            <wp:positionH relativeFrom="column">
              <wp:posOffset>-21590</wp:posOffset>
            </wp:positionH>
            <wp:positionV relativeFrom="paragraph">
              <wp:posOffset>179070</wp:posOffset>
            </wp:positionV>
            <wp:extent cx="5276850" cy="3074670"/>
            <wp:effectExtent l="19050" t="0" r="19035" b="0"/>
            <wp:wrapSquare wrapText="bothSides"/>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06533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Style w:val="30"/>
          <w:rFonts w:ascii="Times New Roman" w:hAnsi="Times New Roman" w:eastAsia="黑体"/>
          <w:b w:val="0"/>
          <w:color w:val="auto"/>
        </w:rPr>
      </w:pPr>
      <w:bookmarkStart w:id="20" w:name="_Toc15396607"/>
      <w:bookmarkStart w:id="21" w:name="_Toc15377209"/>
      <w:r>
        <w:rPr>
          <w:rFonts w:hint="eastAsia" w:eastAsia="黑体"/>
          <w:color w:val="auto"/>
          <w:sz w:val="32"/>
          <w:szCs w:val="32"/>
        </w:rPr>
        <w:t>五、</w:t>
      </w:r>
      <w:r>
        <w:rPr>
          <w:rFonts w:hint="eastAsia" w:eastAsia="黑体"/>
          <w:b/>
          <w:color w:val="auto"/>
          <w:sz w:val="32"/>
          <w:szCs w:val="32"/>
        </w:rPr>
        <w:t>一</w:t>
      </w:r>
      <w:r>
        <w:rPr>
          <w:rStyle w:val="30"/>
          <w:rFonts w:hint="eastAsia" w:ascii="Times New Roman" w:hAnsi="Times New Roman" w:eastAsia="黑体"/>
          <w:b w:val="0"/>
          <w:color w:val="auto"/>
        </w:rPr>
        <w:t>般公共预算财政拨款支出决算情况说明</w:t>
      </w:r>
      <w:bookmarkEnd w:id="20"/>
      <w:bookmarkEnd w:id="21"/>
    </w:p>
    <w:p w14:paraId="6EF1403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eastAsia="楷体_GB2312" w:cs="楷体_GB2312"/>
          <w:b/>
          <w:color w:val="auto"/>
          <w:sz w:val="32"/>
          <w:szCs w:val="32"/>
        </w:rPr>
      </w:pPr>
      <w:bookmarkStart w:id="22" w:name="_Toc15377210"/>
      <w:r>
        <w:rPr>
          <w:rFonts w:hint="eastAsia" w:eastAsia="楷体_GB2312" w:cs="楷体_GB2312"/>
          <w:b/>
          <w:color w:val="auto"/>
          <w:sz w:val="32"/>
          <w:szCs w:val="32"/>
        </w:rPr>
        <w:t>（一）一般公共预算财政拨款支出决算总体情况</w:t>
      </w:r>
      <w:bookmarkEnd w:id="22"/>
    </w:p>
    <w:p w14:paraId="5960319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rPr>
        <w:t>2024年度一般公共预算财政拨款支出181.84万元，占本年支出合计的100%。与2023年度相比，一般公共预算财政拨款支出减少98.35万元，下降35.10%。主要变动原因是</w:t>
      </w:r>
      <w:r>
        <w:rPr>
          <w:rFonts w:hint="default" w:ascii="Times New Roman" w:hAnsi="Times New Roman" w:eastAsia="仿宋_GB2312" w:cs="Times New Roman"/>
          <w:b w:val="0"/>
          <w:bCs/>
          <w:color w:val="auto"/>
          <w:sz w:val="32"/>
          <w:szCs w:val="32"/>
        </w:rPr>
        <w:t>2024年预算项目减少，因此年初预算收入、支出比上年大幅减少。</w:t>
      </w:r>
    </w:p>
    <w:p w14:paraId="36E90961">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eastAsia="仿宋_GB2312" w:cs="仿宋_GB2312"/>
          <w:color w:val="auto"/>
          <w:sz w:val="32"/>
          <w:szCs w:val="32"/>
        </w:rPr>
      </w:pPr>
      <w:r>
        <w:rPr>
          <w:rFonts w:hint="eastAsia" w:eastAsia="仿宋_GB2312" w:cs="仿宋_GB2312"/>
          <w:color w:val="auto"/>
          <w:sz w:val="32"/>
          <w:szCs w:val="32"/>
        </w:rPr>
        <w:t>（图5：一般公共预算财政拨款支出决算变动情况）（柱状图）</w:t>
      </w:r>
    </w:p>
    <w:p w14:paraId="7E92C016">
      <w:pPr>
        <w:pStyle w:val="3"/>
        <w:ind w:left="420"/>
        <w:rPr>
          <w:color w:val="auto"/>
        </w:rPr>
      </w:pPr>
      <w:r>
        <w:rPr>
          <w:color w:val="auto"/>
        </w:rPr>
        <w:drawing>
          <wp:anchor distT="0" distB="0" distL="0" distR="0" simplePos="0" relativeHeight="251663360" behindDoc="0" locked="0" layoutInCell="1" allowOverlap="1">
            <wp:simplePos x="0" y="0"/>
            <wp:positionH relativeFrom="column">
              <wp:posOffset>-26670</wp:posOffset>
            </wp:positionH>
            <wp:positionV relativeFrom="paragraph">
              <wp:posOffset>27305</wp:posOffset>
            </wp:positionV>
            <wp:extent cx="5274310" cy="2749550"/>
            <wp:effectExtent l="19050" t="0" r="21590" b="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50D8EED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eastAsia="楷体_GB2312" w:cs="楷体_GB2312"/>
          <w:b/>
          <w:color w:val="auto"/>
          <w:sz w:val="32"/>
          <w:szCs w:val="32"/>
        </w:rPr>
      </w:pPr>
      <w:bookmarkStart w:id="23" w:name="_Toc15377211"/>
      <w:r>
        <w:rPr>
          <w:rFonts w:hint="eastAsia" w:eastAsia="楷体_GB2312" w:cs="楷体_GB2312"/>
          <w:b/>
          <w:color w:val="auto"/>
          <w:sz w:val="32"/>
          <w:szCs w:val="32"/>
        </w:rPr>
        <w:t>（二）一般公共预算财政拨款支出决算结构情况</w:t>
      </w:r>
      <w:bookmarkEnd w:id="23"/>
    </w:p>
    <w:p w14:paraId="3145FF2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2024年度一般公共预算财政拨款支出181.84万元，主要用于以下方面：文化旅游体育与传媒支出</w:t>
      </w:r>
      <w:r>
        <w:rPr>
          <w:rStyle w:val="18"/>
          <w:rFonts w:hint="default" w:ascii="Times New Roman" w:hAnsi="Times New Roman" w:eastAsia="方正仿宋_GB2312" w:cs="Times New Roman"/>
          <w:b w:val="0"/>
          <w:bCs w:val="0"/>
          <w:color w:val="auto"/>
          <w:sz w:val="32"/>
          <w:szCs w:val="32"/>
        </w:rPr>
        <w:t>127.02</w:t>
      </w:r>
      <w:r>
        <w:rPr>
          <w:rFonts w:hint="default" w:ascii="Times New Roman" w:hAnsi="Times New Roman" w:eastAsia="仿宋_GB2312" w:cs="Times New Roman"/>
          <w:color w:val="auto"/>
          <w:sz w:val="32"/>
          <w:szCs w:val="32"/>
        </w:rPr>
        <w:t>万元，占69.85%；社会保障和就业支出</w:t>
      </w:r>
      <w:r>
        <w:rPr>
          <w:rStyle w:val="18"/>
          <w:rFonts w:hint="default" w:ascii="Times New Roman" w:hAnsi="Times New Roman" w:eastAsia="方正仿宋_GB2312" w:cs="Times New Roman"/>
          <w:b w:val="0"/>
          <w:bCs w:val="0"/>
          <w:color w:val="auto"/>
          <w:sz w:val="32"/>
          <w:szCs w:val="32"/>
        </w:rPr>
        <w:t>35.95</w:t>
      </w:r>
      <w:r>
        <w:rPr>
          <w:rFonts w:hint="default" w:ascii="Times New Roman" w:hAnsi="Times New Roman" w:eastAsia="仿宋_GB2312" w:cs="Times New Roman"/>
          <w:color w:val="auto"/>
          <w:sz w:val="32"/>
          <w:szCs w:val="32"/>
        </w:rPr>
        <w:t>万元，占19.77%；卫生健康支出9.47万元，占5.21%；住房保障支出9.41万元，占5.17%。</w:t>
      </w:r>
    </w:p>
    <w:p w14:paraId="4566A1EB">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（图6：一般公共预算财政拨款支出决算结构）（饼状图）</w:t>
      </w:r>
    </w:p>
    <w:p w14:paraId="1872A2BA">
      <w:pPr>
        <w:pStyle w:val="3"/>
        <w:ind w:left="420"/>
        <w:rPr>
          <w:color w:val="auto"/>
        </w:rPr>
      </w:pPr>
      <w:r>
        <w:rPr>
          <w:color w:val="auto"/>
        </w:rPr>
        <w:drawing>
          <wp:anchor distT="0" distB="0" distL="0" distR="0" simplePos="0" relativeHeight="251664384" behindDoc="0" locked="0" layoutInCell="1" allowOverlap="1">
            <wp:simplePos x="0" y="0"/>
            <wp:positionH relativeFrom="column">
              <wp:posOffset>19685</wp:posOffset>
            </wp:positionH>
            <wp:positionV relativeFrom="paragraph">
              <wp:posOffset>65405</wp:posOffset>
            </wp:positionV>
            <wp:extent cx="5274310" cy="2045970"/>
            <wp:effectExtent l="5080" t="4445" r="8890" b="6985"/>
            <wp:wrapSquare wrapText="bothSides"/>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473DEFF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eastAsia="楷体_GB2312" w:cs="楷体_GB2312"/>
          <w:b/>
          <w:color w:val="auto"/>
          <w:sz w:val="32"/>
          <w:szCs w:val="32"/>
        </w:rPr>
      </w:pPr>
      <w:bookmarkStart w:id="24" w:name="_Toc15377212"/>
      <w:r>
        <w:rPr>
          <w:rFonts w:hint="eastAsia" w:eastAsia="楷体_GB2312" w:cs="楷体_GB2312"/>
          <w:b/>
          <w:color w:val="auto"/>
          <w:sz w:val="32"/>
          <w:szCs w:val="32"/>
        </w:rPr>
        <w:t>（三）一般公共预算财政拨款支出决算具体情况</w:t>
      </w:r>
      <w:bookmarkEnd w:id="24"/>
    </w:p>
    <w:p w14:paraId="2587A8E8">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bookmarkStart w:id="25" w:name="_Toc15378460"/>
      <w:bookmarkStart w:id="26" w:name="_Toc15377213"/>
      <w:bookmarkStart w:id="27" w:name="_Toc15377444"/>
      <w:r>
        <w:rPr>
          <w:rFonts w:hint="default" w:ascii="Times New Roman" w:hAnsi="Times New Roman" w:eastAsia="仿宋_GB2312" w:cs="Times New Roman"/>
          <w:color w:val="auto"/>
          <w:sz w:val="32"/>
          <w:szCs w:val="32"/>
        </w:rPr>
        <w:t>2024年度一般公共预算财政拨款支出决算数为181.84</w:t>
      </w:r>
      <w:r>
        <w:rPr>
          <w:rFonts w:hint="eastAsia"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，完成预算100%。其中：</w:t>
      </w:r>
      <w:bookmarkEnd w:id="25"/>
      <w:bookmarkEnd w:id="26"/>
      <w:bookmarkEnd w:id="27"/>
    </w:p>
    <w:p w14:paraId="7A2FEA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1</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文化旅游体育与传媒（类）文化和旅游（款）群众文化（项）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支出决算为89.89万元，完成预算100%，决算数等于预算数。</w:t>
      </w:r>
    </w:p>
    <w:p w14:paraId="36B02E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2.文化旅游体育与传媒（类）文化和旅游（款）其他文化和旅游支出（项）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支出决算为37.13万元，完成预算100%，决算数等于预算数。</w:t>
      </w:r>
    </w:p>
    <w:p w14:paraId="79A5F5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3.社会保障和就业（类）行政事业单位养老支出（款）行政单位离退休（项）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支出决算为4.04万元，完成预算100%，决算数等于预算数。</w:t>
      </w:r>
    </w:p>
    <w:p w14:paraId="0C9728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4.社会保障和就业（类）行政事业单位养老支出（款）事业单位离退休（项）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支出决算为18.38万元，完成预算100%，决算数等于预算数。</w:t>
      </w:r>
    </w:p>
    <w:p w14:paraId="136C0B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5.社会保障和就业（类）行政事业单位养老支出（款）机关事业单位基本养老保险缴费支出（项）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支出决算为11.13万元，完成预算100%，决算数等于预算数。</w:t>
      </w:r>
    </w:p>
    <w:p w14:paraId="595070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6.社会保障和就业（类）行政事业单位养老支出（款）机关事业单位职业年金缴费支出（项）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支出决算为2.39万元，完成预算100%，决算数等于预算数。</w:t>
      </w:r>
    </w:p>
    <w:p w14:paraId="201258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7.</w:t>
      </w:r>
      <w:r>
        <w:rPr>
          <w:rFonts w:hint="default" w:ascii="Times New Roman" w:hAnsi="Times New Roman" w:eastAsia="仿宋_GB2312" w:cs="Times New Roman"/>
          <w:b w:val="0"/>
          <w:bCs/>
          <w:color w:val="auto"/>
          <w:sz w:val="32"/>
          <w:szCs w:val="32"/>
        </w:rPr>
        <w:t>卫生健康</w:t>
      </w:r>
      <w:r>
        <w:rPr>
          <w:rStyle w:val="18"/>
          <w:rFonts w:hint="default" w:ascii="Times New Roman" w:hAnsi="Times New Roman" w:eastAsia="仿宋_GB2312" w:cs="Times New Roman"/>
          <w:b w:val="0"/>
          <w:bCs/>
          <w:color w:val="auto"/>
          <w:sz w:val="32"/>
          <w:szCs w:val="32"/>
        </w:rPr>
        <w:t>（类）行政事业单位医疗（款）事业单位医疗（项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支出决算为6.25万元，完成预算100%，决算数等于预算数。</w:t>
      </w:r>
    </w:p>
    <w:p w14:paraId="017A2D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8"/>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8.</w:t>
      </w:r>
      <w:r>
        <w:rPr>
          <w:rFonts w:hint="default" w:ascii="Times New Roman" w:hAnsi="Times New Roman" w:eastAsia="仿宋_GB2312" w:cs="Times New Roman"/>
          <w:b w:val="0"/>
          <w:bCs/>
          <w:color w:val="auto"/>
          <w:sz w:val="32"/>
          <w:szCs w:val="32"/>
        </w:rPr>
        <w:t>卫生健康</w:t>
      </w:r>
      <w:r>
        <w:rPr>
          <w:rStyle w:val="18"/>
          <w:rFonts w:hint="default" w:ascii="Times New Roman" w:hAnsi="Times New Roman" w:eastAsia="仿宋_GB2312" w:cs="Times New Roman"/>
          <w:b w:val="0"/>
          <w:bCs/>
          <w:color w:val="auto"/>
          <w:sz w:val="32"/>
          <w:szCs w:val="32"/>
        </w:rPr>
        <w:t>（类）行政事业单位医疗（款）其他行政事业单位医疗支出（项）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支出决算为3.22万元，完成预算100%，决算数等于预算数。</w:t>
      </w:r>
    </w:p>
    <w:p w14:paraId="5A518D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color w:val="auto"/>
          <w:sz w:val="32"/>
          <w:szCs w:val="32"/>
        </w:rPr>
      </w:pPr>
      <w:r>
        <w:rPr>
          <w:rStyle w:val="18"/>
          <w:rFonts w:hint="default" w:ascii="Times New Roman" w:hAnsi="Times New Roman" w:eastAsia="仿宋_GB2312" w:cs="Times New Roman"/>
          <w:b w:val="0"/>
          <w:bCs/>
          <w:color w:val="auto"/>
          <w:sz w:val="32"/>
          <w:szCs w:val="32"/>
        </w:rPr>
        <w:t>9.</w:t>
      </w:r>
      <w:r>
        <w:rPr>
          <w:rFonts w:hint="default" w:ascii="Times New Roman" w:hAnsi="Times New Roman" w:eastAsia="仿宋_GB2312" w:cs="Times New Roman"/>
          <w:b w:val="0"/>
          <w:bCs/>
          <w:color w:val="auto"/>
          <w:sz w:val="32"/>
          <w:szCs w:val="32"/>
        </w:rPr>
        <w:t>住房保障支出</w:t>
      </w:r>
      <w:r>
        <w:rPr>
          <w:rStyle w:val="18"/>
          <w:rFonts w:hint="default" w:ascii="Times New Roman" w:hAnsi="Times New Roman" w:eastAsia="仿宋_GB2312" w:cs="Times New Roman"/>
          <w:b w:val="0"/>
          <w:bCs/>
          <w:color w:val="auto"/>
          <w:sz w:val="32"/>
          <w:szCs w:val="32"/>
        </w:rPr>
        <w:t>（类）住房改革支出（款）住房公积金（项）</w:t>
      </w:r>
      <w:r>
        <w:rPr>
          <w:rStyle w:val="18"/>
          <w:rFonts w:hint="eastAsia" w:eastAsia="仿宋_GB2312" w:cs="Times New Roman"/>
          <w:b w:val="0"/>
          <w:bCs/>
          <w:color w:val="auto"/>
          <w:sz w:val="32"/>
          <w:szCs w:val="32"/>
          <w:lang w:eastAsia="zh-CN"/>
        </w:rPr>
        <w:t>：</w:t>
      </w:r>
      <w:r>
        <w:rPr>
          <w:rStyle w:val="18"/>
          <w:rFonts w:hint="default" w:ascii="Times New Roman" w:hAnsi="Times New Roman" w:eastAsia="仿宋_GB2312" w:cs="Times New Roman"/>
          <w:b w:val="0"/>
          <w:bCs/>
          <w:color w:val="auto"/>
          <w:sz w:val="32"/>
          <w:szCs w:val="32"/>
        </w:rPr>
        <w:t>支出决算为9.41万元，完成预算100%，决算数等于预算数。</w:t>
      </w:r>
    </w:p>
    <w:p w14:paraId="6A2AE1F2">
      <w:pPr>
        <w:keepNext w:val="0"/>
        <w:keepLines w:val="0"/>
        <w:pageBreakBefore w:val="0"/>
        <w:widowControl w:val="0"/>
        <w:tabs>
          <w:tab w:val="right" w:pos="8306"/>
        </w:tabs>
        <w:kinsoku/>
        <w:wordWrap/>
        <w:overflowPunct/>
        <w:topLinePunct w:val="0"/>
        <w:autoSpaceDE/>
        <w:autoSpaceDN/>
        <w:bidi w:val="0"/>
        <w:adjustRightInd/>
        <w:snapToGrid/>
        <w:spacing w:line="590" w:lineRule="exact"/>
        <w:ind w:firstLine="640"/>
        <w:textAlignment w:val="auto"/>
        <w:outlineLvl w:val="1"/>
        <w:rPr>
          <w:rStyle w:val="30"/>
          <w:rFonts w:ascii="Times New Roman" w:hAnsi="Times New Roman"/>
          <w:color w:val="auto"/>
        </w:rPr>
      </w:pPr>
      <w:bookmarkStart w:id="28" w:name="_Toc15396608"/>
      <w:bookmarkStart w:id="29" w:name="_Toc15377214"/>
      <w:r>
        <w:rPr>
          <w:rFonts w:hint="eastAsia" w:eastAsia="黑体"/>
          <w:color w:val="auto"/>
          <w:sz w:val="32"/>
          <w:szCs w:val="32"/>
        </w:rPr>
        <w:t>六</w:t>
      </w:r>
      <w:r>
        <w:rPr>
          <w:rFonts w:hint="eastAsia" w:eastAsia="黑体"/>
          <w:b/>
          <w:color w:val="auto"/>
          <w:sz w:val="32"/>
          <w:szCs w:val="32"/>
        </w:rPr>
        <w:t>、一</w:t>
      </w:r>
      <w:r>
        <w:rPr>
          <w:rStyle w:val="30"/>
          <w:rFonts w:hint="eastAsia" w:ascii="Times New Roman" w:hAnsi="Times New Roman" w:eastAsia="黑体"/>
          <w:b w:val="0"/>
          <w:color w:val="auto"/>
        </w:rPr>
        <w:t>般公共预算财政拨款基本支出决算情况说明</w:t>
      </w:r>
      <w:bookmarkEnd w:id="28"/>
      <w:bookmarkEnd w:id="29"/>
      <w:r>
        <w:rPr>
          <w:rStyle w:val="30"/>
          <w:rFonts w:ascii="Times New Roman" w:hAnsi="Times New Roman" w:eastAsia="黑体"/>
          <w:b w:val="0"/>
          <w:color w:val="auto"/>
        </w:rPr>
        <w:tab/>
      </w:r>
    </w:p>
    <w:p w14:paraId="7363F0F6">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2024年度一般公共预算财政拨款基本支出139.91万元，其中：</w:t>
      </w:r>
    </w:p>
    <w:p w14:paraId="0F9C7A6E">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人员经费134.33万元，主要包括：基本工资25.53万元、津贴补贴7.04万元、绩效工资45.46万元、机关事业单位基本养老保险缴费11.13万元、职业年金缴费2.39万元、职工基本医疗保险缴费6.24万元、公务员医疗补助缴费2.41万元、其他社会保障缴费0.53万元、住房公积金9.41万元、医疗费0.81万元</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其他工资福利支出1.85万元</w:t>
      </w:r>
      <w:r>
        <w:rPr>
          <w:rFonts w:hint="eastAsia" w:eastAsia="仿宋_GB2312" w:cs="Times New Roman"/>
          <w:color w:val="auto"/>
          <w:sz w:val="32"/>
          <w:szCs w:val="32"/>
          <w:lang w:eastAsia="zh-CN"/>
        </w:rPr>
        <w:t>、生活补助</w:t>
      </w:r>
      <w:r>
        <w:rPr>
          <w:rFonts w:hint="default" w:ascii="Times New Roman" w:hAnsi="Times New Roman" w:eastAsia="仿宋_GB2312" w:cs="Times New Roman"/>
          <w:color w:val="auto"/>
          <w:sz w:val="32"/>
          <w:szCs w:val="32"/>
        </w:rPr>
        <w:t>16.54万元、医疗费补助4.98万元。</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公用经费5.58万元，主要包括：办公费0.75万元、水费0.28万元、邮电费0.42万元、差旅费1.39万元、维修（护）费0.12万元、工会经费1.04万元、公务用车运行维护费0.68万元、其他商品和服务支出0.9万元。</w:t>
      </w:r>
    </w:p>
    <w:p w14:paraId="3A864291">
      <w:pPr>
        <w:keepNext w:val="0"/>
        <w:keepLines w:val="0"/>
        <w:pageBreakBefore w:val="0"/>
        <w:widowControl w:val="0"/>
        <w:kinsoku/>
        <w:wordWrap/>
        <w:overflowPunct/>
        <w:topLinePunct w:val="0"/>
        <w:autoSpaceDE/>
        <w:autoSpaceDN/>
        <w:bidi w:val="0"/>
        <w:adjustRightInd/>
        <w:snapToGrid/>
        <w:spacing w:line="590" w:lineRule="exact"/>
        <w:ind w:firstLine="640"/>
        <w:textAlignment w:val="auto"/>
        <w:outlineLvl w:val="1"/>
        <w:rPr>
          <w:rStyle w:val="30"/>
          <w:rFonts w:ascii="Times New Roman" w:hAnsi="Times New Roman" w:eastAsia="黑体"/>
          <w:b w:val="0"/>
          <w:color w:val="auto"/>
        </w:rPr>
      </w:pPr>
      <w:bookmarkStart w:id="30" w:name="_Toc15377215"/>
      <w:bookmarkStart w:id="31" w:name="_Toc15396609"/>
      <w:r>
        <w:rPr>
          <w:rFonts w:hint="eastAsia" w:eastAsia="黑体"/>
          <w:color w:val="auto"/>
          <w:sz w:val="32"/>
          <w:szCs w:val="32"/>
        </w:rPr>
        <w:t>七、</w:t>
      </w:r>
      <w:r>
        <w:rPr>
          <w:rStyle w:val="30"/>
          <w:rFonts w:hint="eastAsia" w:ascii="Times New Roman" w:hAnsi="Times New Roman" w:eastAsia="黑体"/>
          <w:b w:val="0"/>
          <w:color w:val="auto"/>
        </w:rPr>
        <w:t>财政拨款</w:t>
      </w:r>
      <w:r>
        <w:rPr>
          <w:rStyle w:val="30"/>
          <w:rFonts w:hint="eastAsia" w:ascii="Times New Roman" w:hAnsi="Times New Roman" w:eastAsia="黑体"/>
          <w:color w:val="auto"/>
        </w:rPr>
        <w:t>“</w:t>
      </w:r>
      <w:r>
        <w:rPr>
          <w:rStyle w:val="30"/>
          <w:rFonts w:hint="eastAsia" w:ascii="Times New Roman" w:hAnsi="Times New Roman" w:eastAsia="黑体"/>
          <w:b w:val="0"/>
          <w:color w:val="auto"/>
        </w:rPr>
        <w:t>三公”经费支出决算情况说明</w:t>
      </w:r>
      <w:bookmarkEnd w:id="30"/>
      <w:bookmarkEnd w:id="31"/>
    </w:p>
    <w:p w14:paraId="183C4C7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eastAsia="楷体_GB2312" w:cs="楷体_GB2312"/>
          <w:b/>
          <w:color w:val="auto"/>
          <w:sz w:val="32"/>
          <w:szCs w:val="32"/>
        </w:rPr>
      </w:pPr>
      <w:bookmarkStart w:id="32" w:name="_Toc15377216"/>
      <w:r>
        <w:rPr>
          <w:rFonts w:hint="eastAsia" w:eastAsia="楷体_GB2312" w:cs="楷体_GB2312"/>
          <w:b/>
          <w:color w:val="auto"/>
          <w:sz w:val="32"/>
          <w:szCs w:val="32"/>
        </w:rPr>
        <w:t>（一）“三公”经费财政拨款支出决算总体情况说明</w:t>
      </w:r>
      <w:bookmarkEnd w:id="32"/>
    </w:p>
    <w:p w14:paraId="217FEFFF">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rPr>
        <w:t>2024年度“三公”经费财政拨款支出决算为0.68万元，完成预算100%，较上年度增加0.68万元，增长100%。决算数与预算数持平</w:t>
      </w:r>
      <w:r>
        <w:rPr>
          <w:rFonts w:hint="eastAsia" w:eastAsia="仿宋_GB2312" w:cs="Times New Roman"/>
          <w:color w:val="auto"/>
          <w:sz w:val="32"/>
          <w:szCs w:val="32"/>
          <w:lang w:eastAsia="zh-CN"/>
        </w:rPr>
        <w:t>。</w:t>
      </w:r>
    </w:p>
    <w:p w14:paraId="6DEBDAD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eastAsia="楷体_GB2312" w:cs="楷体_GB2312"/>
          <w:b/>
          <w:color w:val="auto"/>
          <w:sz w:val="32"/>
          <w:szCs w:val="32"/>
        </w:rPr>
      </w:pPr>
      <w:bookmarkStart w:id="33" w:name="_Toc15377217"/>
      <w:r>
        <w:rPr>
          <w:rFonts w:hint="eastAsia" w:eastAsia="楷体_GB2312" w:cs="楷体_GB2312"/>
          <w:b/>
          <w:color w:val="auto"/>
          <w:sz w:val="32"/>
          <w:szCs w:val="32"/>
        </w:rPr>
        <w:t>（二）“三公”经费财政拨款支出决算具体情况说明</w:t>
      </w:r>
      <w:bookmarkEnd w:id="33"/>
    </w:p>
    <w:p w14:paraId="5CB6C88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eastAsia="仿宋_GB2312" w:cs="仿宋_GB2312"/>
          <w:color w:val="auto"/>
          <w:sz w:val="32"/>
          <w:szCs w:val="32"/>
        </w:rPr>
      </w:pPr>
      <w:r>
        <w:rPr>
          <w:rFonts w:hint="default" w:ascii="Times New Roman" w:hAnsi="Times New Roman" w:eastAsia="仿宋_GB2312" w:cs="Times New Roman"/>
          <w:color w:val="auto"/>
          <w:sz w:val="32"/>
          <w:szCs w:val="32"/>
        </w:rPr>
        <w:t>2024年度“三公”经费财政拨款支出决算中，因公出国（境）费支出决算0万元，占0%；公务用车购置及运行维护费支出决算0.68万元，占100%；公务接待费支出决算0万元，占0%。具体情况如下：</w:t>
      </w:r>
    </w:p>
    <w:p w14:paraId="1CB2908E">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eastAsia="仿宋_GB2312" w:cs="仿宋_GB2312"/>
          <w:color w:val="auto"/>
          <w:sz w:val="32"/>
          <w:szCs w:val="32"/>
        </w:rPr>
      </w:pPr>
      <w:r>
        <w:rPr>
          <w:rFonts w:hint="eastAsia" w:eastAsia="仿宋_GB2312" w:cs="仿宋_GB2312"/>
          <w:color w:val="auto"/>
          <w:sz w:val="32"/>
          <w:szCs w:val="32"/>
        </w:rPr>
        <w:t>（图7：“三公”经费财政拨款支出结构）（饼状图）</w:t>
      </w:r>
    </w:p>
    <w:p w14:paraId="101A368C">
      <w:pPr>
        <w:pStyle w:val="3"/>
        <w:ind w:left="420"/>
        <w:rPr>
          <w:color w:val="auto"/>
        </w:rPr>
      </w:pPr>
      <w:r>
        <w:rPr>
          <w:color w:val="auto"/>
        </w:rPr>
        <w:drawing>
          <wp:anchor distT="0" distB="0" distL="0" distR="0" simplePos="0" relativeHeight="251665408" behindDoc="0" locked="0" layoutInCell="1" allowOverlap="1">
            <wp:simplePos x="0" y="0"/>
            <wp:positionH relativeFrom="column">
              <wp:posOffset>-11430</wp:posOffset>
            </wp:positionH>
            <wp:positionV relativeFrom="paragraph">
              <wp:posOffset>76835</wp:posOffset>
            </wp:positionV>
            <wp:extent cx="5274310" cy="3183255"/>
            <wp:effectExtent l="19050" t="0" r="21590" b="0"/>
            <wp:wrapSquare wrapText="bothSides"/>
            <wp:docPr id="1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3A96F23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仿宋_GB2312"/>
          <w:b/>
          <w:bCs/>
          <w:color w:val="auto"/>
          <w:sz w:val="32"/>
          <w:szCs w:val="32"/>
        </w:rPr>
        <w:t>1.因公出国（境）经费支出0万元，完成预算0%。</w:t>
      </w:r>
      <w:r>
        <w:rPr>
          <w:rFonts w:hint="eastAsia" w:eastAsia="仿宋_GB2312" w:cs="仿宋_GB2312"/>
          <w:color w:val="auto"/>
          <w:sz w:val="32"/>
          <w:szCs w:val="32"/>
        </w:rPr>
        <w:t>全</w:t>
      </w:r>
      <w:r>
        <w:rPr>
          <w:rFonts w:hint="default" w:ascii="Times New Roman" w:hAnsi="Times New Roman" w:eastAsia="仿宋_GB2312" w:cs="Times New Roman"/>
          <w:color w:val="auto"/>
          <w:sz w:val="32"/>
          <w:szCs w:val="32"/>
        </w:rPr>
        <w:t>年安排因公出国（境）团组0次，出国（境）0人。因公出国（境）支出决算比2023年增加/减少0万元，增长/下降0%。主要原因是</w:t>
      </w:r>
      <w:r>
        <w:rPr>
          <w:rFonts w:hint="default" w:ascii="Times New Roman" w:hAnsi="Times New Roman" w:eastAsia="仿宋_GB2312" w:cs="Times New Roman"/>
          <w:b w:val="0"/>
          <w:bCs w:val="0"/>
          <w:color w:val="auto"/>
          <w:sz w:val="32"/>
          <w:szCs w:val="32"/>
        </w:rPr>
        <w:t>未安排因公出国（境）经费。</w:t>
      </w:r>
    </w:p>
    <w:p w14:paraId="63D0A8E8">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color w:val="auto"/>
          <w:sz w:val="32"/>
          <w:szCs w:val="32"/>
        </w:rPr>
        <w:t>2.公务用车购置及运行维护费支出0.68万元，完成预算100%。</w:t>
      </w:r>
      <w:r>
        <w:rPr>
          <w:rFonts w:hint="default" w:ascii="Times New Roman" w:hAnsi="Times New Roman" w:eastAsia="仿宋_GB2312" w:cs="Times New Roman"/>
          <w:color w:val="auto"/>
          <w:sz w:val="32"/>
          <w:szCs w:val="32"/>
        </w:rPr>
        <w:t>公务用车购置及运行维护费支出决算比2023年度增加0.68万元，增长100%。主要原因是</w:t>
      </w:r>
      <w:r>
        <w:rPr>
          <w:rFonts w:hint="default" w:ascii="Times New Roman" w:hAnsi="Times New Roman" w:eastAsia="仿宋_GB2312" w:cs="Times New Roman"/>
          <w:bCs/>
          <w:color w:val="auto"/>
          <w:sz w:val="32"/>
          <w:szCs w:val="32"/>
        </w:rPr>
        <w:t>2023年新购置1辆公务用车。</w:t>
      </w:r>
    </w:p>
    <w:p w14:paraId="4D429DAD">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公务用车购置支出0万元。全年按规定更新购置公务用车0辆，其中：轿车0辆、金额0万元，越野车0辆、金额0万元，载客汽车0辆、金额0万元。截至2024年12月31日，单位共有公务用车1辆，其中：轿车0辆、越野车1辆、载客汽车0辆。</w:t>
      </w:r>
    </w:p>
    <w:p w14:paraId="3C9C44C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公务用车运行维护费支出0.68万元。主要用于</w:t>
      </w:r>
      <w:r>
        <w:rPr>
          <w:rFonts w:hint="eastAsia" w:eastAsia="仿宋_GB2312" w:cs="Times New Roman"/>
          <w:color w:val="auto"/>
          <w:sz w:val="32"/>
          <w:szCs w:val="32"/>
          <w:lang w:eastAsia="zh-CN"/>
        </w:rPr>
        <w:t>文化馆、图书馆和文化遗产保护中心</w:t>
      </w:r>
      <w:r>
        <w:rPr>
          <w:rFonts w:hint="default" w:ascii="Times New Roman" w:hAnsi="Times New Roman" w:eastAsia="仿宋_GB2312" w:cs="Times New Roman"/>
          <w:bCs/>
          <w:color w:val="auto"/>
          <w:sz w:val="32"/>
          <w:szCs w:val="32"/>
        </w:rPr>
        <w:t>开展送文化下乡</w:t>
      </w:r>
      <w:r>
        <w:rPr>
          <w:rFonts w:hint="eastAsia" w:eastAsia="仿宋_GB2312" w:cs="Times New Roman"/>
          <w:bCs/>
          <w:color w:val="auto"/>
          <w:sz w:val="32"/>
          <w:szCs w:val="32"/>
          <w:lang w:eastAsia="zh-CN"/>
        </w:rPr>
        <w:t>、流动服务、展览、培训、文化遗产传承保护等</w:t>
      </w:r>
      <w:r>
        <w:rPr>
          <w:rFonts w:hint="default" w:ascii="Times New Roman" w:hAnsi="Times New Roman" w:eastAsia="仿宋_GB2312" w:cs="Times New Roman"/>
          <w:bCs/>
          <w:color w:val="auto"/>
          <w:sz w:val="32"/>
          <w:szCs w:val="32"/>
        </w:rPr>
        <w:t>工作</w:t>
      </w:r>
      <w:r>
        <w:rPr>
          <w:rFonts w:hint="default" w:ascii="Times New Roman" w:hAnsi="Times New Roman" w:eastAsia="仿宋_GB2312" w:cs="Times New Roman"/>
          <w:color w:val="auto"/>
          <w:sz w:val="32"/>
          <w:szCs w:val="32"/>
        </w:rPr>
        <w:t>所需的公务用车燃料费、维修费、过路过桥费、保险费等支出。</w:t>
      </w:r>
    </w:p>
    <w:p w14:paraId="78A97932">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3.公务接待费支出0万元，完成预算0%。</w:t>
      </w:r>
      <w:r>
        <w:rPr>
          <w:rFonts w:hint="default" w:ascii="Times New Roman" w:hAnsi="Times New Roman" w:eastAsia="仿宋_GB2312" w:cs="Times New Roman"/>
          <w:color w:val="auto"/>
          <w:sz w:val="32"/>
          <w:szCs w:val="32"/>
        </w:rPr>
        <w:t>公务接待费</w:t>
      </w:r>
      <w:r>
        <w:rPr>
          <w:rFonts w:hint="default" w:ascii="Times New Roman" w:hAnsi="Times New Roman" w:eastAsia="仿宋_GB2312" w:cs="Times New Roman"/>
          <w:b w:val="0"/>
          <w:bCs w:val="0"/>
          <w:color w:val="auto"/>
          <w:sz w:val="32"/>
          <w:szCs w:val="32"/>
        </w:rPr>
        <w:t>支出决算</w:t>
      </w:r>
      <w:r>
        <w:rPr>
          <w:rFonts w:hint="eastAsia" w:eastAsia="仿宋_GB2312" w:cs="Times New Roman"/>
          <w:b w:val="0"/>
          <w:bCs w:val="0"/>
          <w:color w:val="auto"/>
          <w:sz w:val="32"/>
          <w:szCs w:val="32"/>
          <w:lang w:eastAsia="zh-CN"/>
        </w:rPr>
        <w:t>与</w:t>
      </w:r>
      <w:r>
        <w:rPr>
          <w:rFonts w:hint="default" w:ascii="Times New Roman" w:hAnsi="Times New Roman" w:eastAsia="仿宋_GB2312" w:cs="Times New Roman"/>
          <w:b w:val="0"/>
          <w:bCs w:val="0"/>
          <w:color w:val="auto"/>
          <w:sz w:val="32"/>
          <w:szCs w:val="32"/>
        </w:rPr>
        <w:t>上年持平。主要原因是</w:t>
      </w:r>
      <w:r>
        <w:rPr>
          <w:rFonts w:hint="eastAsia" w:eastAsia="仿宋_GB2312" w:cs="Times New Roman"/>
          <w:b w:val="0"/>
          <w:bCs w:val="0"/>
          <w:color w:val="auto"/>
          <w:sz w:val="32"/>
          <w:szCs w:val="32"/>
          <w:lang w:eastAsia="zh-CN"/>
        </w:rPr>
        <w:t>文化馆</w:t>
      </w:r>
      <w:r>
        <w:rPr>
          <w:rFonts w:hint="eastAsia" w:eastAsia="仿宋_GB2312" w:cs="Times New Roman"/>
          <w:b w:val="0"/>
          <w:bCs w:val="0"/>
          <w:color w:val="auto"/>
          <w:sz w:val="32"/>
          <w:szCs w:val="32"/>
          <w:lang w:val="en-US" w:eastAsia="zh-CN"/>
        </w:rPr>
        <w:t>2024年</w:t>
      </w:r>
      <w:r>
        <w:rPr>
          <w:rFonts w:hint="eastAsia" w:eastAsia="仿宋_GB2312" w:cs="Times New Roman"/>
          <w:b w:val="0"/>
          <w:bCs w:val="0"/>
          <w:color w:val="auto"/>
          <w:sz w:val="32"/>
          <w:szCs w:val="32"/>
          <w:lang w:eastAsia="zh-CN"/>
        </w:rPr>
        <w:t>没有安排公务接待</w:t>
      </w:r>
      <w:r>
        <w:rPr>
          <w:rFonts w:hint="default" w:ascii="Times New Roman" w:hAnsi="Times New Roman" w:eastAsia="仿宋_GB2312" w:cs="Times New Roman"/>
          <w:b w:val="0"/>
          <w:bCs w:val="0"/>
          <w:color w:val="auto"/>
          <w:sz w:val="32"/>
          <w:szCs w:val="32"/>
        </w:rPr>
        <w:t>。其中：</w:t>
      </w:r>
    </w:p>
    <w:p w14:paraId="2FA036F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国内公务接待支出0万元，主要用于(执行公务、开展业务活动开支的交通费、住宿费、用餐费等)。国内公务接待0批次，0人次（不包括陪同人员），共计支出0万元。</w:t>
      </w:r>
    </w:p>
    <w:p w14:paraId="2749D03A">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外事接待支出0万元，外事接待0批次，0人次（不包括陪同人员），共计支出0万元。</w:t>
      </w:r>
      <w:bookmarkStart w:id="34" w:name="_Toc15377218"/>
      <w:bookmarkStart w:id="35" w:name="_Toc15396610"/>
    </w:p>
    <w:p w14:paraId="24554E10">
      <w:pPr>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outlineLvl w:val="1"/>
        <w:rPr>
          <w:rStyle w:val="30"/>
          <w:rFonts w:hint="default" w:ascii="Times New Roman" w:hAnsi="Times New Roman" w:eastAsia="黑体" w:cs="Times New Roman"/>
          <w:color w:val="auto"/>
        </w:rPr>
      </w:pPr>
      <w:r>
        <w:rPr>
          <w:rFonts w:hint="default" w:ascii="Times New Roman" w:hAnsi="Times New Roman" w:eastAsia="黑体" w:cs="Times New Roman"/>
          <w:color w:val="auto"/>
          <w:sz w:val="32"/>
          <w:szCs w:val="32"/>
        </w:rPr>
        <w:t>八、</w:t>
      </w:r>
      <w:r>
        <w:rPr>
          <w:rStyle w:val="30"/>
          <w:rFonts w:hint="default" w:ascii="Times New Roman" w:hAnsi="Times New Roman" w:eastAsia="黑体" w:cs="Times New Roman"/>
          <w:b w:val="0"/>
          <w:color w:val="auto"/>
        </w:rPr>
        <w:t>政府性基金预算支出决算情况说明</w:t>
      </w:r>
      <w:bookmarkEnd w:id="34"/>
      <w:bookmarkEnd w:id="35"/>
    </w:p>
    <w:p w14:paraId="35208B38">
      <w:pPr>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rPr>
        <w:t>2024年度政府性基金预算财政拨款支出0万元，占本年支出合计的0%。与2023年度相比，政府性基金预算财政拨款支出</w:t>
      </w:r>
      <w:r>
        <w:rPr>
          <w:rFonts w:hint="eastAsia" w:eastAsia="仿宋_GB2312" w:cs="Times New Roman"/>
          <w:b w:val="0"/>
          <w:bCs w:val="0"/>
          <w:color w:val="auto"/>
          <w:sz w:val="32"/>
          <w:szCs w:val="32"/>
          <w:lang w:eastAsia="zh-CN"/>
        </w:rPr>
        <w:t>与</w:t>
      </w:r>
      <w:r>
        <w:rPr>
          <w:rFonts w:hint="default" w:ascii="Times New Roman" w:hAnsi="Times New Roman" w:eastAsia="仿宋_GB2312" w:cs="Times New Roman"/>
          <w:b w:val="0"/>
          <w:bCs w:val="0"/>
          <w:color w:val="auto"/>
          <w:sz w:val="32"/>
          <w:szCs w:val="32"/>
        </w:rPr>
        <w:t>上年持平。主要原因是无政府性基金预算财政拨款支出。</w:t>
      </w:r>
    </w:p>
    <w:p w14:paraId="2F06090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1"/>
        <w:rPr>
          <w:rStyle w:val="30"/>
          <w:rFonts w:ascii="Times New Roman" w:hAnsi="Times New Roman" w:eastAsia="黑体"/>
          <w:b w:val="0"/>
          <w:color w:val="auto"/>
        </w:rPr>
      </w:pPr>
      <w:bookmarkStart w:id="36" w:name="_Toc15377219"/>
      <w:bookmarkStart w:id="37" w:name="_Toc15396611"/>
      <w:r>
        <w:rPr>
          <w:rStyle w:val="30"/>
          <w:rFonts w:hint="eastAsia" w:ascii="Times New Roman" w:hAnsi="Times New Roman" w:eastAsia="黑体"/>
          <w:b w:val="0"/>
          <w:color w:val="auto"/>
        </w:rPr>
        <w:t>九、国有资本经营预算支出决算情况说明</w:t>
      </w:r>
      <w:bookmarkEnd w:id="36"/>
      <w:bookmarkEnd w:id="37"/>
    </w:p>
    <w:p w14:paraId="423C765D">
      <w:pPr>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2024年度国有资本经营预算财政拨款支出0万元，占本年支出合计的0%。与2023年度相比，国有资本经营预算财政拨款支出</w:t>
      </w:r>
      <w:r>
        <w:rPr>
          <w:rFonts w:hint="eastAsia" w:eastAsia="仿宋_GB2312" w:cs="Times New Roman"/>
          <w:b w:val="0"/>
          <w:bCs w:val="0"/>
          <w:color w:val="auto"/>
          <w:sz w:val="32"/>
          <w:szCs w:val="32"/>
          <w:lang w:eastAsia="zh-CN"/>
        </w:rPr>
        <w:t>与</w:t>
      </w:r>
      <w:r>
        <w:rPr>
          <w:rFonts w:hint="default" w:ascii="Times New Roman" w:hAnsi="Times New Roman" w:eastAsia="仿宋_GB2312" w:cs="Times New Roman"/>
          <w:b w:val="0"/>
          <w:bCs w:val="0"/>
          <w:color w:val="auto"/>
          <w:sz w:val="32"/>
          <w:szCs w:val="32"/>
        </w:rPr>
        <w:t>上年持平。主要原因是无国有资本经营预算财政拨款支出。</w:t>
      </w:r>
    </w:p>
    <w:p w14:paraId="3FF0A3D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outlineLvl w:val="1"/>
        <w:rPr>
          <w:rStyle w:val="30"/>
          <w:rFonts w:ascii="Times New Roman" w:hAnsi="Times New Roman" w:eastAsia="黑体"/>
          <w:b w:val="0"/>
          <w:color w:val="auto"/>
        </w:rPr>
      </w:pPr>
      <w:bookmarkStart w:id="38" w:name="_Toc15396612"/>
      <w:bookmarkStart w:id="39" w:name="_Toc15377221"/>
      <w:r>
        <w:rPr>
          <w:rStyle w:val="30"/>
          <w:rFonts w:hint="eastAsia" w:ascii="Times New Roman" w:hAnsi="Times New Roman" w:eastAsia="黑体"/>
          <w:b w:val="0"/>
          <w:color w:val="auto"/>
        </w:rPr>
        <w:t>十、其他重要事项的情况说明</w:t>
      </w:r>
      <w:bookmarkEnd w:id="38"/>
      <w:bookmarkEnd w:id="39"/>
    </w:p>
    <w:p w14:paraId="4BEF6AFA">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textAlignment w:val="auto"/>
        <w:outlineLvl w:val="2"/>
        <w:rPr>
          <w:rFonts w:eastAsia="楷体_GB2312" w:cs="楷体_GB2312"/>
          <w:b/>
          <w:color w:val="auto"/>
          <w:sz w:val="32"/>
          <w:szCs w:val="32"/>
        </w:rPr>
      </w:pPr>
      <w:bookmarkStart w:id="40" w:name="_Toc15377222"/>
      <w:r>
        <w:rPr>
          <w:rFonts w:hint="eastAsia" w:eastAsia="楷体_GB2312" w:cs="楷体_GB2312"/>
          <w:b/>
          <w:color w:val="auto"/>
          <w:sz w:val="32"/>
          <w:szCs w:val="32"/>
        </w:rPr>
        <w:t>（一）机关运行经费支出情况</w:t>
      </w:r>
      <w:bookmarkEnd w:id="40"/>
    </w:p>
    <w:p w14:paraId="09E96D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2024年度，盐边县文化馆机关运行经费支出0万元，比2023年度增加/减少0万元，增长/下降0%。与2023年度决算数持平。</w:t>
      </w:r>
      <w:r>
        <w:rPr>
          <w:rFonts w:hint="eastAsia" w:eastAsia="仿宋_GB2312" w:cs="Times New Roman"/>
          <w:color w:val="auto"/>
          <w:sz w:val="32"/>
          <w:szCs w:val="32"/>
          <w:lang w:eastAsia="zh-CN"/>
        </w:rPr>
        <w:t>主要原因是</w:t>
      </w:r>
      <w:r>
        <w:rPr>
          <w:rFonts w:hint="eastAsia" w:eastAsia="方正仿宋_GB2312" w:cs="Times New Roman"/>
          <w:sz w:val="32"/>
          <w:szCs w:val="32"/>
          <w:lang w:eastAsia="zh-CN"/>
        </w:rPr>
        <w:t>文化馆</w:t>
      </w:r>
      <w:r>
        <w:rPr>
          <w:rFonts w:hint="default" w:ascii="Times New Roman" w:hAnsi="Times New Roman" w:eastAsia="方正仿宋_GB2312" w:cs="Times New Roman"/>
          <w:sz w:val="32"/>
          <w:szCs w:val="32"/>
          <w:lang w:eastAsia="zh-CN"/>
        </w:rPr>
        <w:t>属于事业单位，无机关运行经费</w:t>
      </w:r>
      <w:r>
        <w:rPr>
          <w:rFonts w:hint="default" w:ascii="Times New Roman" w:hAnsi="Times New Roman" w:eastAsia="方正仿宋_GB2312" w:cs="Times New Roman"/>
          <w:sz w:val="32"/>
          <w:szCs w:val="32"/>
        </w:rPr>
        <w:t>。</w:t>
      </w:r>
    </w:p>
    <w:p w14:paraId="7DAF2BCF">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textAlignment w:val="auto"/>
        <w:outlineLvl w:val="2"/>
        <w:rPr>
          <w:rFonts w:eastAsia="楷体_GB2312" w:cs="楷体_GB2312"/>
          <w:b/>
          <w:color w:val="auto"/>
          <w:sz w:val="32"/>
          <w:szCs w:val="32"/>
        </w:rPr>
      </w:pPr>
      <w:bookmarkStart w:id="41" w:name="_Toc15377223"/>
      <w:r>
        <w:rPr>
          <w:rFonts w:hint="eastAsia" w:eastAsia="楷体_GB2312" w:cs="楷体_GB2312"/>
          <w:b/>
          <w:color w:val="auto"/>
          <w:sz w:val="32"/>
          <w:szCs w:val="32"/>
        </w:rPr>
        <w:t>（二）政府采购支出情况</w:t>
      </w:r>
      <w:bookmarkEnd w:id="41"/>
    </w:p>
    <w:p w14:paraId="043B54C4">
      <w:pPr>
        <w:keepNext w:val="0"/>
        <w:keepLines w:val="0"/>
        <w:pageBreakBefore w:val="0"/>
        <w:widowControl w:val="0"/>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盐边县文化馆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E4B64E9">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textAlignment w:val="auto"/>
        <w:outlineLvl w:val="2"/>
        <w:rPr>
          <w:rFonts w:eastAsia="楷体_GB2312" w:cs="楷体_GB2312"/>
          <w:b/>
          <w:color w:val="auto"/>
          <w:sz w:val="32"/>
          <w:szCs w:val="32"/>
        </w:rPr>
      </w:pPr>
      <w:bookmarkStart w:id="42" w:name="_Toc15377224"/>
      <w:r>
        <w:rPr>
          <w:rFonts w:hint="eastAsia" w:eastAsia="楷体_GB2312" w:cs="楷体_GB2312"/>
          <w:b/>
          <w:color w:val="auto"/>
          <w:sz w:val="32"/>
          <w:szCs w:val="32"/>
        </w:rPr>
        <w:t>（三）国有资产占有使用情况</w:t>
      </w:r>
      <w:bookmarkEnd w:id="42"/>
    </w:p>
    <w:p w14:paraId="07125E4B">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截至2024年12月31日，盐边县文化馆共有车辆1辆，其中：主要负责人用车0辆、机要通信用车0辆、应急保障用车0辆、其他用车1辆，其他用车主要用于</w:t>
      </w:r>
      <w:r>
        <w:rPr>
          <w:rFonts w:hint="eastAsia" w:eastAsia="仿宋_GB2312" w:cs="Times New Roman"/>
          <w:color w:val="auto"/>
          <w:sz w:val="32"/>
          <w:szCs w:val="32"/>
          <w:lang w:eastAsia="zh-CN"/>
        </w:rPr>
        <w:t>文化馆、图书馆和文化遗产保护中心</w:t>
      </w:r>
      <w:r>
        <w:rPr>
          <w:rFonts w:hint="default" w:ascii="Times New Roman" w:hAnsi="Times New Roman" w:eastAsia="仿宋_GB2312" w:cs="Times New Roman"/>
          <w:bCs/>
          <w:color w:val="auto"/>
          <w:sz w:val="32"/>
          <w:szCs w:val="32"/>
        </w:rPr>
        <w:t>2024年度开展送文化下乡</w:t>
      </w:r>
      <w:r>
        <w:rPr>
          <w:rFonts w:hint="eastAsia" w:eastAsia="仿宋_GB2312" w:cs="Times New Roman"/>
          <w:bCs/>
          <w:color w:val="auto"/>
          <w:sz w:val="32"/>
          <w:szCs w:val="32"/>
          <w:lang w:eastAsia="zh-CN"/>
        </w:rPr>
        <w:t>、流动服务、展览、培训、文化遗产传承保护等</w:t>
      </w:r>
      <w:r>
        <w:rPr>
          <w:rFonts w:hint="default" w:ascii="Times New Roman" w:hAnsi="Times New Roman" w:eastAsia="仿宋_GB2312" w:cs="Times New Roman"/>
          <w:bCs/>
          <w:color w:val="auto"/>
          <w:sz w:val="32"/>
          <w:szCs w:val="32"/>
        </w:rPr>
        <w:t>工作</w:t>
      </w:r>
      <w:r>
        <w:rPr>
          <w:rFonts w:hint="eastAsia" w:eastAsia="仿宋_GB2312" w:cs="Times New Roman"/>
          <w:bCs/>
          <w:color w:val="auto"/>
          <w:sz w:val="32"/>
          <w:szCs w:val="32"/>
          <w:lang w:eastAsia="zh-CN"/>
        </w:rPr>
        <w:t>。</w:t>
      </w:r>
      <w:r>
        <w:rPr>
          <w:rFonts w:hint="default" w:ascii="Times New Roman" w:hAnsi="Times New Roman" w:eastAsia="仿宋_GB2312" w:cs="Times New Roman"/>
          <w:color w:val="auto"/>
          <w:sz w:val="32"/>
          <w:szCs w:val="32"/>
        </w:rPr>
        <w:t>单价100万元（含）以上设备（不含车辆）0台（套）。</w:t>
      </w:r>
    </w:p>
    <w:p w14:paraId="1B34A2C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eastAsia="楷体_GB2312" w:cs="楷体_GB2312"/>
          <w:b/>
          <w:color w:val="auto"/>
          <w:sz w:val="32"/>
          <w:szCs w:val="32"/>
        </w:rPr>
      </w:pPr>
      <w:r>
        <w:rPr>
          <w:rFonts w:hint="eastAsia" w:eastAsia="楷体_GB2312" w:cs="楷体_GB2312"/>
          <w:b/>
          <w:color w:val="auto"/>
          <w:sz w:val="32"/>
          <w:szCs w:val="32"/>
        </w:rPr>
        <w:t>（四）预算绩效管理情况</w:t>
      </w:r>
    </w:p>
    <w:p w14:paraId="34FF40D1">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预算绩效管理要求，盐边县文化馆在2024年度预算编制阶段，组织对文化馆、图书馆免费开放、省级非物质文化遗产保护项目代表性传承人补助项目等4个项目开展了预算事前绩效评估，对4个项目编制了绩效目标，预算执行过程中，选取4个项目开展绩效监控。</w:t>
      </w:r>
    </w:p>
    <w:p w14:paraId="55F9C8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组织对2024年度一般公共预算、政府性基金预算、国有资本经营预算、社会保险基金预算以及资本资产、债券资金等全面开展绩效自评，形成2024年部门整体（含部门预算项目）绩效自评报告、文化馆</w:t>
      </w:r>
      <w:r>
        <w:rPr>
          <w:rFonts w:hint="eastAsia"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rPr>
        <w:t>图书馆免费开放、省级非物质文化遗产保护项目代表性传承人补助项目等专项预算项目绩效自评报告，其中，2024年部门整体（含部门预算项目）绩效自评得分为9</w:t>
      </w:r>
      <w:r>
        <w:rPr>
          <w:rFonts w:hint="eastAsia"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分</w:t>
      </w:r>
      <w:r>
        <w:rPr>
          <w:rFonts w:hint="eastAsia"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kern w:val="0"/>
          <w:sz w:val="32"/>
          <w:szCs w:val="32"/>
          <w:shd w:val="clear" w:color="auto" w:fill="FFFFFF"/>
          <w:lang w:val="zh-CN"/>
        </w:rPr>
        <w:t>202</w:t>
      </w:r>
      <w:r>
        <w:rPr>
          <w:rFonts w:hint="default" w:ascii="Times New Roman" w:hAnsi="Times New Roman" w:eastAsia="仿宋_GB2312" w:cs="Times New Roman"/>
          <w:b w:val="0"/>
          <w:bCs w:val="0"/>
          <w:color w:val="auto"/>
          <w:kern w:val="0"/>
          <w:sz w:val="32"/>
          <w:szCs w:val="32"/>
          <w:shd w:val="clear" w:color="auto" w:fill="FFFFFF"/>
        </w:rPr>
        <w:t>4</w:t>
      </w:r>
      <w:r>
        <w:rPr>
          <w:rFonts w:hint="default" w:ascii="Times New Roman" w:hAnsi="Times New Roman" w:eastAsia="仿宋_GB2312" w:cs="Times New Roman"/>
          <w:b w:val="0"/>
          <w:bCs w:val="0"/>
          <w:color w:val="auto"/>
          <w:kern w:val="0"/>
          <w:sz w:val="32"/>
          <w:szCs w:val="32"/>
          <w:shd w:val="clear" w:color="auto" w:fill="FFFFFF"/>
          <w:lang w:val="zh-CN"/>
        </w:rPr>
        <w:t>年，我馆严格按照年初预算批复认真组织实施，严格执行财经纪律相关管理规定，做到各项收支安排使用符合事业发展计划和财政政策的要求，确保了单位正常运行和重大项目的实施，圆满完成了202</w:t>
      </w:r>
      <w:r>
        <w:rPr>
          <w:rFonts w:hint="default" w:ascii="Times New Roman" w:hAnsi="Times New Roman" w:eastAsia="仿宋_GB2312" w:cs="Times New Roman"/>
          <w:b w:val="0"/>
          <w:bCs w:val="0"/>
          <w:color w:val="auto"/>
          <w:kern w:val="0"/>
          <w:sz w:val="32"/>
          <w:szCs w:val="32"/>
          <w:shd w:val="clear" w:color="auto" w:fill="FFFFFF"/>
        </w:rPr>
        <w:t>4</w:t>
      </w:r>
      <w:r>
        <w:rPr>
          <w:rFonts w:hint="default" w:ascii="Times New Roman" w:hAnsi="Times New Roman" w:eastAsia="仿宋_GB2312" w:cs="Times New Roman"/>
          <w:b w:val="0"/>
          <w:bCs w:val="0"/>
          <w:color w:val="auto"/>
          <w:kern w:val="0"/>
          <w:sz w:val="32"/>
          <w:szCs w:val="32"/>
          <w:shd w:val="clear" w:color="auto" w:fill="FFFFFF"/>
          <w:lang w:val="zh-CN"/>
        </w:rPr>
        <w:t>年部门预算和决算编制工作。202</w:t>
      </w:r>
      <w:r>
        <w:rPr>
          <w:rFonts w:hint="default" w:ascii="Times New Roman" w:hAnsi="Times New Roman" w:eastAsia="仿宋_GB2312" w:cs="Times New Roman"/>
          <w:b w:val="0"/>
          <w:bCs w:val="0"/>
          <w:color w:val="auto"/>
          <w:kern w:val="0"/>
          <w:sz w:val="32"/>
          <w:szCs w:val="32"/>
          <w:shd w:val="clear" w:color="auto" w:fill="FFFFFF"/>
        </w:rPr>
        <w:t>4</w:t>
      </w:r>
      <w:r>
        <w:rPr>
          <w:rFonts w:hint="default" w:ascii="Times New Roman" w:hAnsi="Times New Roman" w:eastAsia="仿宋_GB2312" w:cs="Times New Roman"/>
          <w:b w:val="0"/>
          <w:bCs w:val="0"/>
          <w:color w:val="auto"/>
          <w:kern w:val="0"/>
          <w:sz w:val="32"/>
          <w:szCs w:val="32"/>
          <w:shd w:val="clear" w:color="auto" w:fill="FFFFFF"/>
          <w:lang w:val="zh-CN"/>
        </w:rPr>
        <w:t>年目标任务基本完成，预算执行情况较好。公共文化服务体系建设</w:t>
      </w:r>
      <w:r>
        <w:rPr>
          <w:rFonts w:hint="eastAsia" w:eastAsia="仿宋_GB2312" w:cs="Times New Roman"/>
          <w:b w:val="0"/>
          <w:bCs w:val="0"/>
          <w:color w:val="auto"/>
          <w:kern w:val="0"/>
          <w:sz w:val="32"/>
          <w:szCs w:val="32"/>
          <w:shd w:val="clear" w:color="auto" w:fill="FFFFFF"/>
          <w:lang w:val="zh-CN"/>
        </w:rPr>
        <w:t>、</w:t>
      </w:r>
      <w:r>
        <w:rPr>
          <w:rFonts w:hint="default" w:ascii="Times New Roman" w:hAnsi="Times New Roman" w:eastAsia="仿宋_GB2312" w:cs="Times New Roman"/>
          <w:b w:val="0"/>
          <w:bCs w:val="0"/>
          <w:color w:val="auto"/>
          <w:sz w:val="32"/>
          <w:szCs w:val="32"/>
        </w:rPr>
        <w:t>文化馆</w:t>
      </w:r>
      <w:r>
        <w:rPr>
          <w:rFonts w:hint="eastAsia"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rPr>
        <w:t>图书馆免费开放</w:t>
      </w:r>
      <w:r>
        <w:rPr>
          <w:rFonts w:hint="eastAsia" w:eastAsia="仿宋_GB2312" w:cs="Times New Roman"/>
          <w:b w:val="0"/>
          <w:bCs w:val="0"/>
          <w:color w:val="auto"/>
          <w:sz w:val="32"/>
          <w:szCs w:val="32"/>
          <w:lang w:eastAsia="zh-CN"/>
        </w:rPr>
        <w:t>项目</w:t>
      </w:r>
      <w:r>
        <w:rPr>
          <w:rFonts w:hint="default" w:ascii="Times New Roman" w:hAnsi="Times New Roman" w:eastAsia="仿宋_GB2312" w:cs="Times New Roman"/>
          <w:b w:val="0"/>
          <w:bCs w:val="0"/>
          <w:color w:val="auto"/>
          <w:sz w:val="32"/>
          <w:szCs w:val="32"/>
        </w:rPr>
        <w:t>绩效自评得分</w:t>
      </w:r>
      <w:r>
        <w:rPr>
          <w:rFonts w:hint="eastAsia" w:eastAsia="仿宋_GB2312" w:cs="Times New Roman"/>
          <w:b w:val="0"/>
          <w:bCs w:val="0"/>
          <w:color w:val="auto"/>
          <w:sz w:val="32"/>
          <w:szCs w:val="32"/>
          <w:lang w:eastAsia="zh-CN"/>
        </w:rPr>
        <w:t>均</w:t>
      </w:r>
      <w:r>
        <w:rPr>
          <w:rFonts w:hint="default" w:ascii="Times New Roman" w:hAnsi="Times New Roman" w:eastAsia="仿宋_GB2312" w:cs="Times New Roman"/>
          <w:b w:val="0"/>
          <w:bCs w:val="0"/>
          <w:color w:val="auto"/>
          <w:sz w:val="32"/>
          <w:szCs w:val="32"/>
        </w:rPr>
        <w:t>为</w:t>
      </w:r>
      <w:r>
        <w:rPr>
          <w:rFonts w:hint="eastAsia" w:eastAsia="仿宋_GB2312" w:cs="Times New Roman"/>
          <w:b w:val="0"/>
          <w:bCs w:val="0"/>
          <w:color w:val="auto"/>
          <w:sz w:val="32"/>
          <w:szCs w:val="32"/>
          <w:lang w:val="en-US" w:eastAsia="zh-CN"/>
        </w:rPr>
        <w:t>96</w:t>
      </w:r>
      <w:r>
        <w:rPr>
          <w:rFonts w:hint="default" w:ascii="Times New Roman" w:hAnsi="Times New Roman" w:eastAsia="仿宋_GB2312" w:cs="Times New Roman"/>
          <w:b w:val="0"/>
          <w:bCs w:val="0"/>
          <w:color w:val="auto"/>
          <w:sz w:val="32"/>
          <w:szCs w:val="32"/>
        </w:rPr>
        <w:t>分</w:t>
      </w:r>
      <w:r>
        <w:rPr>
          <w:rFonts w:hint="eastAsia" w:eastAsia="仿宋_GB2312" w:cs="Times New Roman"/>
          <w:b w:val="0"/>
          <w:bCs w:val="0"/>
          <w:color w:val="auto"/>
          <w:sz w:val="32"/>
          <w:szCs w:val="32"/>
          <w:lang w:eastAsia="zh-CN"/>
        </w:rPr>
        <w:t>。所有</w:t>
      </w:r>
      <w:r>
        <w:rPr>
          <w:rFonts w:hint="default" w:ascii="Times New Roman" w:hAnsi="Times New Roman" w:eastAsia="仿宋_GB2312" w:cs="Times New Roman"/>
          <w:b w:val="0"/>
          <w:bCs w:val="0"/>
          <w:color w:val="auto"/>
          <w:sz w:val="32"/>
          <w:szCs w:val="32"/>
        </w:rPr>
        <w:t>项目立项必要性和依据充分，绩效目标明确，具备实施条件，具有公共性，符合财政资金支持方向。我单位进一步优化完善实施方案和绩效目标，加强运行监控，节约财政资金并提升资金效益，提升预算绩效管理水平。</w:t>
      </w:r>
    </w:p>
    <w:p w14:paraId="6C9EDF97">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eastAsia="仿宋_GB2312" w:cs="仿宋_GB2312"/>
          <w:color w:val="auto"/>
          <w:sz w:val="32"/>
          <w:szCs w:val="32"/>
        </w:rPr>
      </w:pPr>
      <w:bookmarkStart w:id="61" w:name="_GoBack"/>
      <w:bookmarkEnd w:id="61"/>
    </w:p>
    <w:p w14:paraId="53A13605">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eastAsia="黑体"/>
          <w:color w:val="auto"/>
          <w:sz w:val="44"/>
          <w:szCs w:val="44"/>
        </w:rPr>
      </w:pPr>
      <w:bookmarkStart w:id="43" w:name="_Toc15396613"/>
      <w:bookmarkStart w:id="44" w:name="_Toc15377225"/>
    </w:p>
    <w:p w14:paraId="46EF964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eastAsia="黑体"/>
          <w:color w:val="auto"/>
          <w:sz w:val="44"/>
          <w:szCs w:val="44"/>
        </w:rPr>
      </w:pPr>
    </w:p>
    <w:p w14:paraId="1173239B">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eastAsia="黑体"/>
          <w:color w:val="auto"/>
          <w:sz w:val="44"/>
          <w:szCs w:val="44"/>
        </w:rPr>
      </w:pPr>
    </w:p>
    <w:p w14:paraId="2153B5F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eastAsia="黑体"/>
          <w:color w:val="auto"/>
          <w:sz w:val="44"/>
          <w:szCs w:val="44"/>
        </w:rPr>
      </w:pPr>
    </w:p>
    <w:p w14:paraId="6E0C84BF">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eastAsia="黑体"/>
          <w:color w:val="auto"/>
          <w:sz w:val="44"/>
          <w:szCs w:val="44"/>
        </w:rPr>
      </w:pPr>
    </w:p>
    <w:p w14:paraId="17B593C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eastAsia="黑体"/>
          <w:color w:val="auto"/>
          <w:sz w:val="44"/>
          <w:szCs w:val="44"/>
        </w:rPr>
      </w:pPr>
    </w:p>
    <w:p w14:paraId="198495E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47A8F5F6">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2BF69D1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79F05CA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543C07D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1181AA7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7E17AC96">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65F43CB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793D5AB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67B59050">
      <w:pPr>
        <w:pStyle w:val="2"/>
        <w:rPr>
          <w:rFonts w:hint="eastAsia" w:eastAsia="黑体"/>
          <w:color w:val="auto"/>
          <w:sz w:val="44"/>
          <w:szCs w:val="44"/>
        </w:rPr>
      </w:pPr>
    </w:p>
    <w:p w14:paraId="56BF1B0F">
      <w:pPr>
        <w:pStyle w:val="3"/>
        <w:rPr>
          <w:rFonts w:hint="eastAsia"/>
        </w:rPr>
      </w:pPr>
    </w:p>
    <w:p w14:paraId="7845C52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1440C84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eastAsia="黑体"/>
          <w:color w:val="auto"/>
          <w:sz w:val="44"/>
          <w:szCs w:val="44"/>
        </w:rPr>
      </w:pPr>
    </w:p>
    <w:p w14:paraId="77A1E882">
      <w:pPr>
        <w:spacing w:line="600" w:lineRule="exact"/>
        <w:jc w:val="both"/>
        <w:outlineLvl w:val="0"/>
        <w:rPr>
          <w:rFonts w:hint="eastAsia" w:eastAsia="黑体"/>
          <w:color w:val="auto"/>
          <w:sz w:val="44"/>
          <w:szCs w:val="44"/>
        </w:rPr>
      </w:pPr>
    </w:p>
    <w:p w14:paraId="18CB35BD">
      <w:pPr>
        <w:spacing w:line="600" w:lineRule="exact"/>
        <w:jc w:val="center"/>
        <w:outlineLvl w:val="0"/>
        <w:rPr>
          <w:rFonts w:eastAsia="黑体"/>
          <w:color w:val="auto"/>
          <w:sz w:val="44"/>
          <w:szCs w:val="44"/>
        </w:rPr>
      </w:pPr>
      <w:r>
        <w:rPr>
          <w:rFonts w:hint="eastAsia" w:eastAsia="黑体"/>
          <w:color w:val="auto"/>
          <w:sz w:val="44"/>
          <w:szCs w:val="44"/>
        </w:rPr>
        <w:t>第三部分  名词解释</w:t>
      </w:r>
      <w:bookmarkEnd w:id="43"/>
      <w:bookmarkEnd w:id="44"/>
    </w:p>
    <w:p w14:paraId="30878765">
      <w:pPr>
        <w:spacing w:line="600" w:lineRule="exact"/>
        <w:jc w:val="left"/>
        <w:rPr>
          <w:b/>
          <w:color w:val="auto"/>
          <w:sz w:val="44"/>
          <w:szCs w:val="44"/>
        </w:rPr>
      </w:pPr>
    </w:p>
    <w:p w14:paraId="272FE2DA">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1.财政拨款收入：指单位从同级财政部门取得的财政预算资金。</w:t>
      </w:r>
    </w:p>
    <w:p w14:paraId="77250425">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2.事业收入：指事业单位开展专业业务活动及辅助活动取得的收入</w:t>
      </w:r>
    </w:p>
    <w:p w14:paraId="5688D1BA">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3.经营收入：指事业单位在专业业务活动及其辅助活动之外开展非独立核算经营活动取得的收入。</w:t>
      </w:r>
    </w:p>
    <w:p w14:paraId="452A1068">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4.其他收入：指单位取得的除上述收入以外的各项收入。 </w:t>
      </w:r>
    </w:p>
    <w:p w14:paraId="6B38C286">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5.使用非财政拨款结余（含专用结余）：指事业单位使用以前年度积累的非财政拨款结余弥补当年收支差额的金额。 </w:t>
      </w:r>
    </w:p>
    <w:p w14:paraId="6F1FB1AA">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6.年初结转和结余：指以前年度尚未完成、结转到本年按有关规定继续使用的资金。 </w:t>
      </w:r>
    </w:p>
    <w:p w14:paraId="555CD03D">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7.结余分配：指事业单位按照会计制度规定缴纳的所得税、提取的专用结余以及转入非财政拨款结余的金额等。</w:t>
      </w:r>
    </w:p>
    <w:p w14:paraId="3059B320">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8.年末结转和结余：指单位按有关规定结转到下年或以后年度继续使用的资金。</w:t>
      </w:r>
    </w:p>
    <w:p w14:paraId="4C388299">
      <w:pPr>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9.文化旅游体育与传媒（207类）文化和旅游（01款）群众文化（09项）：反映群众文化方面的支出，包括基层文化馆（站）、群众艺术馆支出等。</w:t>
      </w:r>
    </w:p>
    <w:p w14:paraId="12FB038E">
      <w:pPr>
        <w:pStyle w:val="2"/>
        <w:keepNext w:val="0"/>
        <w:keepLines w:val="0"/>
        <w:pageBreakBefore w:val="0"/>
        <w:widowControl w:val="0"/>
        <w:kinsoku/>
        <w:wordWrap/>
        <w:overflowPunct/>
        <w:topLinePunct w:val="0"/>
        <w:autoSpaceDE/>
        <w:autoSpaceDN/>
        <w:bidi w:val="0"/>
        <w:adjustRightInd/>
        <w:spacing w:beforeAutospacing="0" w:afterAutospacing="0" w:line="590" w:lineRule="exact"/>
        <w:ind w:left="0" w:leftChars="0" w:firstLine="480" w:firstLineChars="15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10.文化旅游体育与传媒（207类）文化和旅游（01款）其他文化和旅游支出（99项）：反映上述项目以外其他用于文化和旅游方面的支出。</w:t>
      </w:r>
    </w:p>
    <w:p w14:paraId="30F51A66">
      <w:pPr>
        <w:pStyle w:val="15"/>
        <w:keepNext w:val="0"/>
        <w:keepLines w:val="0"/>
        <w:pageBreakBefore w:val="0"/>
        <w:kinsoku/>
        <w:wordWrap/>
        <w:overflowPunct/>
        <w:topLinePunct w:val="0"/>
        <w:autoSpaceDE/>
        <w:autoSpaceDN/>
        <w:bidi w:val="0"/>
        <w:adjustRightInd/>
        <w:spacing w:before="0" w:beforeAutospacing="0" w:after="0" w:afterAutospacing="0" w:line="590" w:lineRule="exact"/>
        <w:ind w:left="0" w:left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cs="Times New Roman"/>
          <w:b w:val="0"/>
          <w:bCs w:val="0"/>
          <w:color w:val="auto"/>
          <w:sz w:val="32"/>
          <w:szCs w:val="32"/>
          <w:lang w:val="en-US" w:eastAsia="zh-CN"/>
        </w:rPr>
        <w:t>1</w:t>
      </w:r>
      <w:r>
        <w:rPr>
          <w:rFonts w:hint="eastAsia"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社会保障和就业支出（类208）行政事业单位养老支出（款05）</w:t>
      </w:r>
      <w:r>
        <w:rPr>
          <w:rStyle w:val="18"/>
          <w:rFonts w:hint="default" w:ascii="Times New Roman" w:hAnsi="Times New Roman" w:eastAsia="仿宋_GB2312" w:cs="Times New Roman"/>
          <w:b w:val="0"/>
          <w:bCs w:val="0"/>
          <w:color w:val="auto"/>
          <w:sz w:val="32"/>
          <w:szCs w:val="32"/>
        </w:rPr>
        <w:t>事业单位离退休</w:t>
      </w:r>
      <w:r>
        <w:rPr>
          <w:rFonts w:hint="default" w:ascii="Times New Roman" w:hAnsi="Times New Roman" w:eastAsia="仿宋_GB2312" w:cs="Times New Roman"/>
          <w:b w:val="0"/>
          <w:bCs w:val="0"/>
          <w:color w:val="auto"/>
          <w:sz w:val="32"/>
          <w:szCs w:val="32"/>
        </w:rPr>
        <w:t>（项02），反映事业单位开支的</w:t>
      </w:r>
      <w:r>
        <w:rPr>
          <w:rStyle w:val="18"/>
          <w:rFonts w:hint="default" w:ascii="Times New Roman" w:hAnsi="Times New Roman" w:eastAsia="仿宋_GB2312" w:cs="Times New Roman"/>
          <w:b w:val="0"/>
          <w:bCs w:val="0"/>
          <w:color w:val="auto"/>
          <w:sz w:val="32"/>
          <w:szCs w:val="32"/>
        </w:rPr>
        <w:t>离退休经费。</w:t>
      </w:r>
    </w:p>
    <w:p w14:paraId="3BA29366">
      <w:pPr>
        <w:pStyle w:val="15"/>
        <w:keepNext w:val="0"/>
        <w:keepLines w:val="0"/>
        <w:pageBreakBefore w:val="0"/>
        <w:kinsoku/>
        <w:wordWrap/>
        <w:overflowPunct/>
        <w:topLinePunct w:val="0"/>
        <w:autoSpaceDE/>
        <w:autoSpaceDN/>
        <w:bidi w:val="0"/>
        <w:adjustRightInd/>
        <w:spacing w:before="0" w:beforeAutospacing="0" w:after="0" w:afterAutospacing="0" w:line="59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社会保障和就业支出（类208）行政事业单位养老支出（款05）机关事业单位基本养老保险缴费支出（项05），反映机关事业单位实施养老保险制度由单位缴纳的基本</w:t>
      </w:r>
      <w:r>
        <w:rPr>
          <w:rFonts w:hint="eastAsia" w:ascii="Times New Roman" w:hAnsi="Times New Roman" w:cs="Times New Roman"/>
          <w:b w:val="0"/>
          <w:bCs w:val="0"/>
          <w:color w:val="auto"/>
          <w:sz w:val="32"/>
          <w:szCs w:val="32"/>
          <w:lang w:eastAsia="zh-CN"/>
        </w:rPr>
        <w:t>养</w:t>
      </w:r>
      <w:r>
        <w:rPr>
          <w:rFonts w:hint="default" w:ascii="Times New Roman" w:hAnsi="Times New Roman" w:eastAsia="仿宋_GB2312" w:cs="Times New Roman"/>
          <w:b w:val="0"/>
          <w:bCs w:val="0"/>
          <w:color w:val="auto"/>
          <w:sz w:val="32"/>
          <w:szCs w:val="32"/>
        </w:rPr>
        <w:t>老保</w:t>
      </w:r>
      <w:r>
        <w:rPr>
          <w:rFonts w:hint="eastAsia" w:ascii="Times New Roman" w:hAnsi="Times New Roman" w:cs="Times New Roman"/>
          <w:b w:val="0"/>
          <w:bCs w:val="0"/>
          <w:color w:val="auto"/>
          <w:sz w:val="32"/>
          <w:szCs w:val="32"/>
          <w:lang w:eastAsia="zh-CN"/>
        </w:rPr>
        <w:t>险</w:t>
      </w:r>
      <w:r>
        <w:rPr>
          <w:rFonts w:hint="default" w:ascii="Times New Roman" w:hAnsi="Times New Roman" w:eastAsia="仿宋_GB2312" w:cs="Times New Roman"/>
          <w:b w:val="0"/>
          <w:bCs w:val="0"/>
          <w:color w:val="auto"/>
          <w:sz w:val="32"/>
          <w:szCs w:val="32"/>
        </w:rPr>
        <w:t>费支出。</w:t>
      </w:r>
    </w:p>
    <w:p w14:paraId="1CAC359C">
      <w:pPr>
        <w:pStyle w:val="15"/>
        <w:keepNext w:val="0"/>
        <w:keepLines w:val="0"/>
        <w:pageBreakBefore w:val="0"/>
        <w:kinsoku/>
        <w:wordWrap/>
        <w:overflowPunct/>
        <w:topLinePunct w:val="0"/>
        <w:autoSpaceDE/>
        <w:autoSpaceDN/>
        <w:bidi w:val="0"/>
        <w:adjustRightInd/>
        <w:spacing w:before="0" w:beforeAutospacing="0" w:after="0" w:afterAutospacing="0" w:line="590" w:lineRule="exact"/>
        <w:ind w:left="0" w:left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.社会保障和就业支出（类208）行政事业单位养老支出（款05）</w:t>
      </w:r>
      <w:r>
        <w:rPr>
          <w:rStyle w:val="18"/>
          <w:rFonts w:hint="default" w:ascii="Times New Roman" w:hAnsi="Times New Roman" w:eastAsia="仿宋_GB2312" w:cs="Times New Roman"/>
          <w:b w:val="0"/>
          <w:bCs w:val="0"/>
          <w:color w:val="auto"/>
          <w:sz w:val="32"/>
          <w:szCs w:val="32"/>
        </w:rPr>
        <w:t>机关事业单位职业年金缴费支出</w:t>
      </w:r>
      <w:r>
        <w:rPr>
          <w:rFonts w:hint="default" w:ascii="Times New Roman" w:hAnsi="Times New Roman" w:eastAsia="仿宋_GB2312" w:cs="Times New Roman"/>
          <w:b w:val="0"/>
          <w:bCs w:val="0"/>
          <w:color w:val="auto"/>
          <w:sz w:val="32"/>
          <w:szCs w:val="32"/>
        </w:rPr>
        <w:t>（项0</w:t>
      </w:r>
      <w:r>
        <w:rPr>
          <w:rFonts w:hint="eastAsia" w:ascii="Times New Roman" w:hAnsi="Times New Roman"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），反映机关事业单位实施养老保险制度由单位</w:t>
      </w:r>
      <w:r>
        <w:rPr>
          <w:rFonts w:hint="eastAsia" w:ascii="Times New Roman" w:hAnsi="Times New Roman" w:cs="Times New Roman"/>
          <w:b w:val="0"/>
          <w:bCs w:val="0"/>
          <w:color w:val="auto"/>
          <w:sz w:val="32"/>
          <w:szCs w:val="32"/>
          <w:lang w:eastAsia="zh-CN"/>
        </w:rPr>
        <w:t>实际</w:t>
      </w:r>
      <w:r>
        <w:rPr>
          <w:rFonts w:hint="default" w:ascii="Times New Roman" w:hAnsi="Times New Roman" w:eastAsia="仿宋_GB2312" w:cs="Times New Roman"/>
          <w:b w:val="0"/>
          <w:bCs w:val="0"/>
          <w:color w:val="auto"/>
          <w:sz w:val="32"/>
          <w:szCs w:val="32"/>
        </w:rPr>
        <w:t>缴纳的</w:t>
      </w:r>
      <w:r>
        <w:rPr>
          <w:rStyle w:val="18"/>
          <w:rFonts w:hint="default" w:ascii="Times New Roman" w:hAnsi="Times New Roman" w:eastAsia="仿宋_GB2312" w:cs="Times New Roman"/>
          <w:b w:val="0"/>
          <w:bCs w:val="0"/>
          <w:color w:val="auto"/>
          <w:sz w:val="32"/>
          <w:szCs w:val="32"/>
        </w:rPr>
        <w:t>职业年金支出（含职业年金补记支出）。</w:t>
      </w:r>
    </w:p>
    <w:p w14:paraId="727469E7">
      <w:pPr>
        <w:pStyle w:val="15"/>
        <w:keepNext w:val="0"/>
        <w:keepLines w:val="0"/>
        <w:pageBreakBefore w:val="0"/>
        <w:kinsoku/>
        <w:wordWrap/>
        <w:overflowPunct/>
        <w:topLinePunct w:val="0"/>
        <w:autoSpaceDE/>
        <w:autoSpaceDN/>
        <w:bidi w:val="0"/>
        <w:adjustRightInd/>
        <w:spacing w:before="0" w:beforeAutospacing="0" w:after="0" w:afterAutospacing="0" w:line="590" w:lineRule="exact"/>
        <w:ind w:left="0" w:left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卫生健康支出（类210）行政事业单位医疗（款11）事业单位医疗（项02），反映财政部门安排的事业单位基本医疗保险缴费经费，未参加医疗保险的事业单位的公费医疗经费，按国家规定享受离休人员待遇的医疗经费。</w:t>
      </w:r>
    </w:p>
    <w:p w14:paraId="2FA8FEA1">
      <w:pPr>
        <w:pStyle w:val="15"/>
        <w:keepNext w:val="0"/>
        <w:keepLines w:val="0"/>
        <w:pageBreakBefore w:val="0"/>
        <w:kinsoku/>
        <w:wordWrap/>
        <w:overflowPunct/>
        <w:topLinePunct w:val="0"/>
        <w:autoSpaceDE/>
        <w:autoSpaceDN/>
        <w:bidi w:val="0"/>
        <w:adjustRightInd/>
        <w:spacing w:before="0" w:beforeAutospacing="0" w:after="0" w:afterAutospacing="0" w:line="590" w:lineRule="exact"/>
        <w:ind w:left="0" w:left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.卫生健康支出（类210）行政事业单位医疗（款11）其他行政事业单位医疗支出（项99），反映出上述项目以外的其他用于行政事业单位医疗方面的支出。</w:t>
      </w:r>
    </w:p>
    <w:p w14:paraId="6BC39868">
      <w:pPr>
        <w:pStyle w:val="15"/>
        <w:keepNext w:val="0"/>
        <w:keepLines w:val="0"/>
        <w:pageBreakBefore w:val="0"/>
        <w:kinsoku/>
        <w:wordWrap/>
        <w:overflowPunct/>
        <w:topLinePunct w:val="0"/>
        <w:autoSpaceDE/>
        <w:autoSpaceDN/>
        <w:bidi w:val="0"/>
        <w:adjustRightInd/>
        <w:snapToGrid/>
        <w:spacing w:before="0" w:beforeAutospacing="0" w:after="0" w:afterAutospacing="0" w:line="590" w:lineRule="exact"/>
        <w:ind w:left="0" w:leftChars="0" w:firstLine="0" w:firstLineChars="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1</w:t>
      </w:r>
      <w:r>
        <w:rPr>
          <w:rFonts w:hint="eastAsia" w:ascii="Times New Roman" w:hAnsi="Times New Roman"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.住房保障支出（类221）住房改革支出（款02）住房公积金（项01），反映行政事业单位按人力资源和社会保障部、财政部规定的基本工资和津贴补贴以及规定比例为职工缴纳的住房公积金。</w:t>
      </w:r>
    </w:p>
    <w:p w14:paraId="4525AED5">
      <w:pPr>
        <w:keepNext w:val="0"/>
        <w:keepLines w:val="0"/>
        <w:pageBreakBefore w:val="0"/>
        <w:kinsoku/>
        <w:wordWrap/>
        <w:overflowPunct/>
        <w:topLinePunct w:val="0"/>
        <w:autoSpaceDE/>
        <w:autoSpaceDN/>
        <w:bidi w:val="0"/>
        <w:adjustRightInd/>
        <w:snapToGri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17</w:t>
      </w:r>
      <w:r>
        <w:rPr>
          <w:rFonts w:hint="default" w:ascii="Times New Roman" w:hAnsi="Times New Roman" w:eastAsia="仿宋_GB2312" w:cs="Times New Roman"/>
          <w:b w:val="0"/>
          <w:bCs w:val="0"/>
          <w:color w:val="auto"/>
          <w:sz w:val="32"/>
          <w:szCs w:val="32"/>
        </w:rPr>
        <w:t>.基本支出：指为保障机构正常运转、完成日常工作任务而发生的人员支出和公用支出。</w:t>
      </w:r>
    </w:p>
    <w:p w14:paraId="2660EC3D">
      <w:pPr>
        <w:keepNext w:val="0"/>
        <w:keepLines w:val="0"/>
        <w:pageBreakBefore w:val="0"/>
        <w:kinsoku/>
        <w:wordWrap/>
        <w:overflowPunct/>
        <w:topLinePunct w:val="0"/>
        <w:autoSpaceDE/>
        <w:autoSpaceDN/>
        <w:bidi w:val="0"/>
        <w:adjustRightInd/>
        <w:snapToGri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rPr>
        <w:t xml:space="preserve">.项目支出：指在基本支出之外为完成特定行政任务和事业发展目标所发生的支出。 </w:t>
      </w:r>
    </w:p>
    <w:p w14:paraId="158CF94E">
      <w:pPr>
        <w:keepNext w:val="0"/>
        <w:keepLines w:val="0"/>
        <w:pageBreakBefore w:val="0"/>
        <w:kinsoku/>
        <w:wordWrap/>
        <w:overflowPunct/>
        <w:topLinePunct w:val="0"/>
        <w:autoSpaceDE/>
        <w:autoSpaceDN/>
        <w:bidi w:val="0"/>
        <w:adjustRightInd/>
        <w:snapToGri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19</w:t>
      </w:r>
      <w:r>
        <w:rPr>
          <w:rFonts w:hint="default" w:ascii="Times New Roman" w:hAnsi="Times New Roman" w:eastAsia="仿宋_GB2312" w:cs="Times New Roman"/>
          <w:b w:val="0"/>
          <w:bCs w:val="0"/>
          <w:color w:val="auto"/>
          <w:sz w:val="32"/>
          <w:szCs w:val="32"/>
        </w:rPr>
        <w:t>.经营支出：指事业单位在专业业务活动及其辅助活动之外开展非独立核算经营活动发生的支出。</w:t>
      </w:r>
    </w:p>
    <w:p w14:paraId="19AE6817">
      <w:pPr>
        <w:keepNext w:val="0"/>
        <w:keepLines w:val="0"/>
        <w:pageBreakBefore w:val="0"/>
        <w:kinsoku/>
        <w:wordWrap/>
        <w:overflowPunct/>
        <w:topLinePunct w:val="0"/>
        <w:autoSpaceDE/>
        <w:autoSpaceDN/>
        <w:bidi w:val="0"/>
        <w:adjustRightInd/>
        <w:snapToGri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68E61F">
      <w:pPr>
        <w:keepNext w:val="0"/>
        <w:keepLines w:val="0"/>
        <w:pageBreakBefore w:val="0"/>
        <w:kinsoku/>
        <w:wordWrap/>
        <w:overflowPunct/>
        <w:topLinePunct w:val="0"/>
        <w:autoSpaceDE/>
        <w:autoSpaceDN/>
        <w:bidi w:val="0"/>
        <w:adjustRightInd/>
        <w:snapToGrid/>
        <w:spacing w:beforeAutospacing="0" w:afterAutospacing="0" w:line="590" w:lineRule="exact"/>
        <w:ind w:left="0" w:lef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E9C516">
      <w:pPr>
        <w:spacing w:line="600" w:lineRule="exact"/>
        <w:jc w:val="both"/>
        <w:rPr>
          <w:rFonts w:eastAsia="黑体"/>
          <w:color w:val="auto"/>
          <w:sz w:val="44"/>
          <w:szCs w:val="44"/>
        </w:rPr>
      </w:pPr>
      <w:bookmarkStart w:id="45" w:name="_Toc15396614"/>
      <w:bookmarkStart w:id="46" w:name="_Toc15377226"/>
    </w:p>
    <w:p w14:paraId="1A3D8A6C">
      <w:pPr>
        <w:spacing w:line="600" w:lineRule="exact"/>
        <w:jc w:val="center"/>
        <w:rPr>
          <w:rFonts w:hint="eastAsia" w:eastAsia="黑体"/>
          <w:color w:val="auto"/>
          <w:sz w:val="44"/>
          <w:szCs w:val="44"/>
        </w:rPr>
      </w:pPr>
    </w:p>
    <w:p w14:paraId="0446A32B">
      <w:pPr>
        <w:spacing w:line="600" w:lineRule="exact"/>
        <w:jc w:val="center"/>
        <w:rPr>
          <w:rFonts w:hint="eastAsia" w:eastAsia="黑体"/>
          <w:color w:val="auto"/>
          <w:sz w:val="44"/>
          <w:szCs w:val="44"/>
        </w:rPr>
      </w:pPr>
    </w:p>
    <w:p w14:paraId="45C3C65E">
      <w:pPr>
        <w:spacing w:line="600" w:lineRule="exact"/>
        <w:jc w:val="center"/>
        <w:rPr>
          <w:rFonts w:hint="eastAsia" w:eastAsia="黑体"/>
          <w:color w:val="auto"/>
          <w:sz w:val="44"/>
          <w:szCs w:val="44"/>
        </w:rPr>
      </w:pPr>
    </w:p>
    <w:p w14:paraId="1AD03EB8">
      <w:pPr>
        <w:numPr>
          <w:ilvl w:val="0"/>
          <w:numId w:val="1"/>
        </w:numPr>
        <w:spacing w:line="600" w:lineRule="exact"/>
        <w:jc w:val="center"/>
        <w:rPr>
          <w:rFonts w:hint="eastAsia" w:eastAsia="黑体"/>
          <w:color w:val="auto"/>
          <w:sz w:val="44"/>
          <w:szCs w:val="44"/>
        </w:rPr>
      </w:pPr>
      <w:r>
        <w:rPr>
          <w:rFonts w:hint="eastAsia" w:eastAsia="黑体"/>
          <w:color w:val="auto"/>
          <w:sz w:val="44"/>
          <w:szCs w:val="44"/>
        </w:rPr>
        <w:t xml:space="preserve"> 附件</w:t>
      </w:r>
      <w:bookmarkEnd w:id="45"/>
    </w:p>
    <w:p w14:paraId="4CF38999">
      <w:pPr>
        <w:pStyle w:val="2"/>
        <w:numPr>
          <w:ilvl w:val="0"/>
          <w:numId w:val="0"/>
        </w:numPr>
        <w:rPr>
          <w:rFonts w:hint="default" w:ascii="Times New Roman" w:hAnsi="Times New Roman" w:eastAsia="方正仿宋_GB2312" w:cs="Times New Roman"/>
          <w:sz w:val="32"/>
          <w:szCs w:val="32"/>
        </w:rPr>
      </w:pPr>
    </w:p>
    <w:p w14:paraId="47D22468">
      <w:pPr>
        <w:pStyle w:val="2"/>
        <w:numPr>
          <w:ilvl w:val="0"/>
          <w:numId w:val="0"/>
        </w:numPr>
        <w:rPr>
          <w:rFonts w:hint="default" w:ascii="Times New Roman" w:hAnsi="Times New Roman" w:eastAsia="方正仿宋_GB2312" w:cs="Times New Roman"/>
          <w:sz w:val="32"/>
          <w:szCs w:val="32"/>
        </w:rPr>
      </w:pPr>
    </w:p>
    <w:p w14:paraId="40B30210">
      <w:pPr>
        <w:pStyle w:val="2"/>
        <w:numPr>
          <w:ilvl w:val="0"/>
          <w:numId w:val="0"/>
        </w:numPr>
        <w:jc w:val="center"/>
      </w:pPr>
      <w:r>
        <w:rPr>
          <w:rFonts w:hint="default" w:ascii="Times New Roman" w:hAnsi="Times New Roman" w:eastAsia="方正仿宋_GB2312" w:cs="Times New Roman"/>
          <w:sz w:val="32"/>
          <w:szCs w:val="32"/>
        </w:rPr>
        <w:t>部门预算项目支出绩效自评表（202</w:t>
      </w:r>
      <w:r>
        <w:rPr>
          <w:rFonts w:hint="eastAsia" w:eastAsia="方正仿宋_GB2312" w:cs="Times New Roman"/>
          <w:sz w:val="32"/>
          <w:szCs w:val="32"/>
          <w:lang w:val="en-US" w:eastAsia="zh-CN"/>
        </w:rPr>
        <w:t>4</w:t>
      </w:r>
      <w:r>
        <w:rPr>
          <w:rFonts w:hint="default" w:ascii="Times New Roman" w:hAnsi="Times New Roman" w:eastAsia="方正仿宋_GB2312" w:cs="Times New Roman"/>
          <w:sz w:val="32"/>
          <w:szCs w:val="32"/>
        </w:rPr>
        <w:t>年度）</w:t>
      </w:r>
    </w:p>
    <w:p w14:paraId="0811D2AC">
      <w:pPr>
        <w:spacing w:line="572" w:lineRule="exact"/>
        <w:jc w:val="left"/>
        <w:outlineLvl w:val="0"/>
        <w:rPr>
          <w:rFonts w:eastAsia="黑体" w:cs="黑体"/>
          <w:color w:val="auto"/>
          <w:sz w:val="32"/>
          <w:szCs w:val="32"/>
        </w:rPr>
      </w:pPr>
    </w:p>
    <w:p w14:paraId="5626771F">
      <w:pPr>
        <w:spacing w:line="572" w:lineRule="exact"/>
        <w:jc w:val="left"/>
        <w:outlineLvl w:val="0"/>
        <w:rPr>
          <w:rFonts w:eastAsia="黑体" w:cs="方正小标宋简体"/>
          <w:color w:val="auto"/>
          <w:sz w:val="44"/>
          <w:szCs w:val="44"/>
        </w:rPr>
      </w:pPr>
    </w:p>
    <w:p w14:paraId="5EE993A4">
      <w:pPr>
        <w:widowControl/>
        <w:spacing w:line="578" w:lineRule="exact"/>
        <w:contextualSpacing/>
        <w:jc w:val="center"/>
        <w:rPr>
          <w:rFonts w:eastAsia="方正小标宋简体"/>
          <w:bCs/>
          <w:color w:val="auto"/>
          <w:sz w:val="44"/>
          <w:szCs w:val="44"/>
          <w:shd w:val="clear" w:color="auto" w:fill="FFFFFF"/>
        </w:rPr>
      </w:pPr>
    </w:p>
    <w:p w14:paraId="25002BDF">
      <w:pPr>
        <w:widowControl/>
        <w:adjustRightInd w:val="0"/>
        <w:snapToGrid w:val="0"/>
        <w:spacing w:line="578" w:lineRule="exact"/>
        <w:contextualSpacing/>
        <w:jc w:val="left"/>
        <w:rPr>
          <w:rFonts w:eastAsia="黑体"/>
          <w:color w:val="auto"/>
          <w:kern w:val="0"/>
          <w:sz w:val="24"/>
          <w:szCs w:val="32"/>
          <w:shd w:val="clear" w:color="auto" w:fill="FFFFFF"/>
        </w:rPr>
      </w:pPr>
    </w:p>
    <w:p w14:paraId="27B0B3BB">
      <w:pPr>
        <w:keepNext w:val="0"/>
        <w:keepLines w:val="0"/>
        <w:pageBreakBefore w:val="0"/>
        <w:kinsoku/>
        <w:wordWrap/>
        <w:overflowPunct/>
        <w:topLinePunct w:val="0"/>
        <w:autoSpaceDE/>
        <w:autoSpaceDN/>
        <w:bidi w:val="0"/>
        <w:spacing w:line="590" w:lineRule="exact"/>
        <w:ind w:left="0" w:leftChars="0" w:firstLine="420" w:firstLineChars="200"/>
        <w:textAlignment w:val="auto"/>
        <w:rPr>
          <w:color w:val="auto"/>
        </w:rPr>
        <w:sectPr>
          <w:footerReference r:id="rId11" w:type="first"/>
          <w:footerReference r:id="rId10" w:type="default"/>
          <w:pgSz w:w="11906" w:h="16838"/>
          <w:pgMar w:top="1440" w:right="1800" w:bottom="1440" w:left="1800" w:header="851" w:footer="992" w:gutter="0"/>
          <w:pgNumType w:fmt="numberInDash" w:start="1"/>
          <w:cols w:space="425" w:num="1"/>
          <w:docGrid w:type="lines" w:linePitch="312" w:charSpace="0"/>
        </w:sectPr>
      </w:pPr>
      <w:bookmarkStart w:id="47" w:name="_Toc15396618"/>
    </w:p>
    <w:p w14:paraId="0D0CEF2C">
      <w:pPr>
        <w:widowControl/>
        <w:jc w:val="center"/>
        <w:rPr>
          <w:rFonts w:eastAsia="仿宋"/>
          <w:color w:val="auto"/>
        </w:rPr>
      </w:pPr>
      <w:r>
        <w:rPr>
          <w:rFonts w:hint="eastAsia" w:eastAsia="黑体"/>
          <w:color w:val="auto"/>
          <w:sz w:val="44"/>
          <w:szCs w:val="44"/>
        </w:rPr>
        <w:t>第</w:t>
      </w:r>
      <w:r>
        <w:rPr>
          <w:rStyle w:val="29"/>
          <w:rFonts w:hint="eastAsia" w:eastAsia="黑体"/>
          <w:b w:val="0"/>
          <w:color w:val="auto"/>
        </w:rPr>
        <w:t>五部分 附表</w:t>
      </w:r>
      <w:bookmarkEnd w:id="46"/>
      <w:bookmarkEnd w:id="47"/>
      <w:bookmarkStart w:id="48" w:name="_Toc15396619"/>
    </w:p>
    <w:p w14:paraId="55E36AB4">
      <w:pPr>
        <w:pStyle w:val="14"/>
        <w:adjustRightInd w:val="0"/>
        <w:snapToGrid w:val="0"/>
        <w:spacing w:line="560" w:lineRule="exact"/>
        <w:jc w:val="left"/>
        <w:rPr>
          <w:rFonts w:eastAsia="仿宋_GB2312" w:cs="仿宋_GB2312"/>
          <w:color w:val="auto"/>
          <w:sz w:val="32"/>
          <w:szCs w:val="32"/>
        </w:rPr>
      </w:pPr>
    </w:p>
    <w:p w14:paraId="132FB9D3">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r>
        <w:rPr>
          <w:rFonts w:hint="eastAsia" w:eastAsia="仿宋_GB2312" w:cs="仿宋_GB2312"/>
          <w:color w:val="auto"/>
          <w:sz w:val="32"/>
          <w:szCs w:val="32"/>
        </w:rPr>
        <w:t>一、收入支出决算总表</w:t>
      </w:r>
      <w:bookmarkEnd w:id="48"/>
    </w:p>
    <w:p w14:paraId="2EA2D4C0">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49" w:name="_Toc15396620"/>
      <w:r>
        <w:rPr>
          <w:rFonts w:hint="eastAsia" w:eastAsia="仿宋_GB2312" w:cs="仿宋_GB2312"/>
          <w:color w:val="auto"/>
          <w:sz w:val="32"/>
          <w:szCs w:val="32"/>
        </w:rPr>
        <w:t>二、收入决算表</w:t>
      </w:r>
      <w:bookmarkEnd w:id="49"/>
    </w:p>
    <w:p w14:paraId="1478C1B2">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0" w:name="_Toc15396621"/>
      <w:r>
        <w:rPr>
          <w:rFonts w:hint="eastAsia" w:eastAsia="仿宋_GB2312" w:cs="仿宋_GB2312"/>
          <w:color w:val="auto"/>
          <w:sz w:val="32"/>
          <w:szCs w:val="32"/>
        </w:rPr>
        <w:t>三、支出决算表</w:t>
      </w:r>
      <w:bookmarkEnd w:id="50"/>
    </w:p>
    <w:p w14:paraId="6377A19D">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1" w:name="_Toc15396622"/>
      <w:r>
        <w:rPr>
          <w:rFonts w:hint="eastAsia" w:eastAsia="仿宋_GB2312" w:cs="仿宋_GB2312"/>
          <w:color w:val="auto"/>
          <w:sz w:val="32"/>
          <w:szCs w:val="32"/>
        </w:rPr>
        <w:t>四、财政拨款收入支出决算总表</w:t>
      </w:r>
      <w:bookmarkEnd w:id="51"/>
    </w:p>
    <w:p w14:paraId="0B2144C1">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2" w:name="_Toc15396623"/>
      <w:r>
        <w:rPr>
          <w:rFonts w:hint="eastAsia" w:eastAsia="仿宋_GB2312" w:cs="仿宋_GB2312"/>
          <w:color w:val="auto"/>
          <w:sz w:val="32"/>
          <w:szCs w:val="32"/>
        </w:rPr>
        <w:t>五、财政拨款支出决算明细表</w:t>
      </w:r>
      <w:bookmarkEnd w:id="52"/>
      <w:bookmarkStart w:id="53" w:name="_Toc15396624"/>
    </w:p>
    <w:p w14:paraId="59B95E20">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r>
        <w:rPr>
          <w:rFonts w:hint="eastAsia" w:eastAsia="仿宋_GB2312" w:cs="仿宋_GB2312"/>
          <w:color w:val="auto"/>
          <w:sz w:val="32"/>
          <w:szCs w:val="32"/>
        </w:rPr>
        <w:t>六、一般公共预算财政拨款支出决算表</w:t>
      </w:r>
      <w:bookmarkEnd w:id="53"/>
    </w:p>
    <w:p w14:paraId="2B8ED99A">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4" w:name="_Toc15396625"/>
      <w:r>
        <w:rPr>
          <w:rFonts w:hint="eastAsia" w:eastAsia="仿宋_GB2312" w:cs="仿宋_GB2312"/>
          <w:color w:val="auto"/>
          <w:sz w:val="32"/>
          <w:szCs w:val="32"/>
        </w:rPr>
        <w:t>七、一般公共预算财政拨款支出决算明细表</w:t>
      </w:r>
      <w:bookmarkEnd w:id="54"/>
    </w:p>
    <w:p w14:paraId="3333915D">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5" w:name="_Toc15396626"/>
      <w:r>
        <w:rPr>
          <w:rFonts w:hint="eastAsia" w:eastAsia="仿宋_GB2312" w:cs="仿宋_GB2312"/>
          <w:color w:val="auto"/>
          <w:sz w:val="32"/>
          <w:szCs w:val="32"/>
        </w:rPr>
        <w:t>八、一般公共预算财政拨款基本支出决算表</w:t>
      </w:r>
      <w:bookmarkEnd w:id="55"/>
    </w:p>
    <w:p w14:paraId="15388322">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6" w:name="_Toc15396627"/>
      <w:r>
        <w:rPr>
          <w:rFonts w:hint="eastAsia" w:eastAsia="仿宋_GB2312" w:cs="仿宋_GB2312"/>
          <w:color w:val="auto"/>
          <w:sz w:val="32"/>
          <w:szCs w:val="32"/>
        </w:rPr>
        <w:t>九、一般公共预算财政拨款项目支出决算表</w:t>
      </w:r>
      <w:bookmarkEnd w:id="56"/>
    </w:p>
    <w:p w14:paraId="448C698B">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7" w:name="_Toc15396628"/>
      <w:r>
        <w:rPr>
          <w:rFonts w:hint="eastAsia" w:eastAsia="仿宋_GB2312" w:cs="仿宋_GB2312"/>
          <w:color w:val="auto"/>
          <w:sz w:val="32"/>
          <w:szCs w:val="32"/>
        </w:rPr>
        <w:t>十、</w:t>
      </w:r>
      <w:bookmarkEnd w:id="57"/>
      <w:r>
        <w:rPr>
          <w:rFonts w:hint="eastAsia" w:eastAsia="仿宋_GB2312" w:cs="仿宋_GB2312"/>
          <w:color w:val="auto"/>
          <w:sz w:val="32"/>
          <w:szCs w:val="32"/>
        </w:rPr>
        <w:t>政府性基金预算财政拨款收入支出决算表</w:t>
      </w:r>
    </w:p>
    <w:p w14:paraId="7B8207E4">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8" w:name="_Toc15396629"/>
      <w:r>
        <w:rPr>
          <w:rFonts w:hint="eastAsia" w:eastAsia="仿宋_GB2312" w:cs="仿宋_GB2312"/>
          <w:color w:val="auto"/>
          <w:sz w:val="32"/>
          <w:szCs w:val="32"/>
        </w:rPr>
        <w:t>十一、</w:t>
      </w:r>
      <w:bookmarkEnd w:id="58"/>
      <w:r>
        <w:rPr>
          <w:rFonts w:hint="eastAsia" w:eastAsia="仿宋_GB2312" w:cs="仿宋_GB2312"/>
          <w:color w:val="auto"/>
          <w:sz w:val="32"/>
          <w:szCs w:val="32"/>
        </w:rPr>
        <w:t>国有资本经营预算财政拨款收入支出决算表</w:t>
      </w:r>
    </w:p>
    <w:p w14:paraId="6DF7F46E">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59" w:name="_Toc15396630"/>
      <w:r>
        <w:rPr>
          <w:rFonts w:hint="eastAsia" w:eastAsia="仿宋_GB2312" w:cs="仿宋_GB2312"/>
          <w:color w:val="auto"/>
          <w:sz w:val="32"/>
          <w:szCs w:val="32"/>
        </w:rPr>
        <w:t>十二、</w:t>
      </w:r>
      <w:bookmarkEnd w:id="59"/>
      <w:r>
        <w:rPr>
          <w:rFonts w:hint="eastAsia" w:eastAsia="仿宋_GB2312" w:cs="仿宋_GB2312"/>
          <w:color w:val="auto"/>
          <w:sz w:val="32"/>
          <w:szCs w:val="32"/>
        </w:rPr>
        <w:t>国有资本经营预算财政拨款支出决算表</w:t>
      </w:r>
    </w:p>
    <w:p w14:paraId="65447922">
      <w:pPr>
        <w:pStyle w:val="14"/>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left"/>
        <w:textAlignment w:val="auto"/>
        <w:rPr>
          <w:rFonts w:eastAsia="仿宋_GB2312" w:cs="仿宋_GB2312"/>
          <w:color w:val="auto"/>
          <w:sz w:val="32"/>
          <w:szCs w:val="32"/>
        </w:rPr>
      </w:pPr>
      <w:bookmarkStart w:id="60" w:name="_Toc15396631"/>
      <w:r>
        <w:rPr>
          <w:rFonts w:hint="eastAsia" w:eastAsia="仿宋_GB2312" w:cs="仿宋_GB2312"/>
          <w:color w:val="auto"/>
          <w:sz w:val="32"/>
          <w:szCs w:val="32"/>
        </w:rPr>
        <w:t>十三、</w:t>
      </w:r>
      <w:bookmarkEnd w:id="60"/>
      <w:r>
        <w:rPr>
          <w:rFonts w:hint="eastAsia" w:eastAsia="仿宋_GB2312" w:cs="仿宋_GB2312"/>
          <w:color w:val="auto"/>
          <w:sz w:val="32"/>
          <w:szCs w:val="32"/>
        </w:rPr>
        <w:t>财政拨款“三公”经费支出决算表</w:t>
      </w:r>
    </w:p>
    <w:p w14:paraId="41281684">
      <w:pPr>
        <w:keepNext w:val="0"/>
        <w:keepLines w:val="0"/>
        <w:pageBreakBefore w:val="0"/>
        <w:widowControl w:val="0"/>
        <w:kinsoku/>
        <w:wordWrap/>
        <w:overflowPunct/>
        <w:topLinePunct w:val="0"/>
        <w:autoSpaceDE/>
        <w:autoSpaceDN/>
        <w:bidi w:val="0"/>
        <w:spacing w:line="590" w:lineRule="exact"/>
        <w:ind w:left="0" w:leftChars="0"/>
        <w:textAlignment w:val="auto"/>
        <w:rPr>
          <w:color w:val="auto"/>
        </w:rPr>
      </w:pPr>
    </w:p>
    <w:sectPr>
      <w:footerReference r:id="rId13" w:type="first"/>
      <w:footerReference r:id="rId12"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EE4B98-1D77-475E-ABD0-AA554A7AC8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2CBF092-57AD-45D0-AF0A-77F891AA754A}"/>
  </w:font>
  <w:font w:name="Cambria">
    <w:panose1 w:val="02040503050406030204"/>
    <w:charset w:val="00"/>
    <w:family w:val="modern"/>
    <w:pitch w:val="default"/>
    <w:sig w:usb0="E00002FF" w:usb1="400004FF" w:usb2="00000000" w:usb3="00000000" w:csb0="2000019F" w:csb1="00000000"/>
  </w:font>
  <w:font w:name="仿宋_GB2312">
    <w:panose1 w:val="02010609030101010101"/>
    <w:charset w:val="86"/>
    <w:family w:val="decorative"/>
    <w:pitch w:val="default"/>
    <w:sig w:usb0="00000001" w:usb1="080E0000" w:usb2="00000000" w:usb3="00000000" w:csb0="00040000" w:csb1="00000000"/>
    <w:embedRegular r:id="rId3" w:fontKey="{35063B9F-F333-42FE-9607-4355FD9F9F36}"/>
  </w:font>
  <w:font w:name="仿宋">
    <w:panose1 w:val="02010609060101010101"/>
    <w:charset w:val="86"/>
    <w:family w:val="decorative"/>
    <w:pitch w:val="default"/>
    <w:sig w:usb0="800002BF" w:usb1="38CF7CFA" w:usb2="00000016" w:usb3="00000000" w:csb0="00040001" w:csb1="00000000"/>
    <w:embedRegular r:id="rId4" w:fontKey="{6C3001B6-8DB7-45C6-BC47-BF2FD7072FC2}"/>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5" w:fontKey="{5B5213F1-FBC4-40CE-BE0B-87F3215C0CB0}"/>
  </w:font>
  <w:font w:name="方正仿宋_GB2312">
    <w:panose1 w:val="02000000000000000000"/>
    <w:charset w:val="86"/>
    <w:family w:val="auto"/>
    <w:pitch w:val="default"/>
    <w:sig w:usb0="A00002BF" w:usb1="184F6CFA" w:usb2="00000012" w:usb3="00000000" w:csb0="00040001" w:csb1="00000000"/>
    <w:embedRegular r:id="rId6" w:fontKey="{437FDA3E-64DD-4378-B6B8-08F7A797F38E}"/>
  </w:font>
  <w:font w:name="楷体_GB2312">
    <w:panose1 w:val="02010609030101010101"/>
    <w:charset w:val="86"/>
    <w:family w:val="auto"/>
    <w:pitch w:val="default"/>
    <w:sig w:usb0="00000001" w:usb1="080E0000" w:usb2="00000000" w:usb3="00000000" w:csb0="00040000" w:csb1="00000000"/>
    <w:embedRegular r:id="rId7" w:fontKey="{ECD74F2B-8A57-4110-B75B-C255A95990D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7FDE8">
    <w:pPr>
      <w:pStyle w:val="11"/>
      <w:jc w:val="center"/>
    </w:pPr>
  </w:p>
  <w:p w14:paraId="79DA01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D80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41A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62467">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Of98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l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Y5/3yQEAAJoDAAAOAAAAAAAAAAEAIAAAAB4BAABkcnMvZTJvRG9j&#10;LnhtbFBLBQYAAAAABgAGAFkBAABZBQAAAAA=&#10;">
              <v:fill on="f" focussize="0,0"/>
              <v:stroke on="f"/>
              <v:imagedata o:title=""/>
              <o:lock v:ext="edit" aspectratio="f"/>
              <v:textbox inset="0mm,0mm,0mm,0mm" style="mso-fit-shape-to-text:t;">
                <w:txbxContent>
                  <w:p w14:paraId="484624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3A4">
    <w:pPr>
      <w:pStyle w:val="11"/>
      <w:jc w:val="center"/>
    </w:pPr>
  </w:p>
  <w:p w14:paraId="6DEAB120">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A76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CAA3">
    <w:pPr>
      <w:pStyle w:val="11"/>
      <w:jc w:val="center"/>
      <w:rPr>
        <w:sz w:val="21"/>
        <w:szCs w:val="21"/>
      </w:rPr>
    </w:pPr>
    <w:r>
      <w:rPr>
        <w:sz w:val="21"/>
        <w:szCs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E7A7CE">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RL7hx5wEAAMkD&#10;AAAOAAAAAAAAAAEAIAAAAB4BAABkcnMvZTJvRG9jLnhtbFBLBQYAAAAABgAGAFkBAAB3BQAAAAA=&#10;">
              <v:fill on="f" focussize="0,0"/>
              <v:stroke on="f"/>
              <v:imagedata o:title=""/>
              <o:lock v:ext="edit" aspectratio="f"/>
              <v:textbox inset="0mm,0mm,0mm,0mm" style="mso-fit-shape-to-text:t;">
                <w:txbxContent>
                  <w:p w14:paraId="34E7A7CE">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txbxContent>
              </v:textbox>
            </v:shape>
          </w:pict>
        </mc:Fallback>
      </mc:AlternateContent>
    </w:r>
  </w:p>
  <w:p w14:paraId="6B459B4F">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FB22">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1AF2380">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SOD15wEAAMkD&#10;AAAOAAAAAAAAAAEAIAAAAB4BAABkcnMvZTJvRG9jLnhtbFBLBQYAAAAABgAGAFkBAAB3BQAAAAA=&#10;">
              <v:fill on="f" focussize="0,0"/>
              <v:stroke on="f"/>
              <v:imagedata o:title=""/>
              <o:lock v:ext="edit" aspectratio="f"/>
              <v:textbox inset="0mm,0mm,0mm,0mm" style="mso-fit-shape-to-text:t;">
                <w:txbxContent>
                  <w:p w14:paraId="71AF238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8E24">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63217">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aj4zdAQAAvwMAAA4AAAAAAAAA&#10;AQAgAAAAHgEAAGRycy9lMm9Eb2MueG1sUEsFBgAAAAAGAAYAWQEAAG0FAAAAAA==&#10;">
              <v:fill on="f" focussize="0,0"/>
              <v:stroke on="f"/>
              <v:imagedata o:title=""/>
              <o:lock v:ext="edit" aspectratio="f"/>
              <v:textbox inset="0mm,0mm,0mm,0mm" style="mso-fit-shape-to-text:t;">
                <w:txbxContent>
                  <w:p w14:paraId="58263217">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3A1A014">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1D82">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B822C">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DW4ckBAACa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ENbhyQEAAJoDAAAOAAAAAAAAAAEAIAAAAB4BAABkcnMvZTJvRG9j&#10;LnhtbFBLBQYAAAAABgAGAFkBAABZBQAAAAA=&#10;">
              <v:fill on="f" focussize="0,0"/>
              <v:stroke on="f"/>
              <v:imagedata o:title=""/>
              <o:lock v:ext="edit" aspectratio="f"/>
              <v:textbox inset="0mm,0mm,0mm,0mm" style="mso-fit-shape-to-text:t;">
                <w:txbxContent>
                  <w:p w14:paraId="574B822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627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0EF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2BE8A"/>
    <w:multiLevelType w:val="singleLevel"/>
    <w:tmpl w:val="84C2BE8A"/>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80968"/>
    <w:rsid w:val="0009184B"/>
    <w:rsid w:val="00094236"/>
    <w:rsid w:val="0009593C"/>
    <w:rsid w:val="00097322"/>
    <w:rsid w:val="000A6A92"/>
    <w:rsid w:val="000B047F"/>
    <w:rsid w:val="000B5923"/>
    <w:rsid w:val="000B5A48"/>
    <w:rsid w:val="000B5AD6"/>
    <w:rsid w:val="000B6FF3"/>
    <w:rsid w:val="000C3467"/>
    <w:rsid w:val="000C3CA6"/>
    <w:rsid w:val="000D1267"/>
    <w:rsid w:val="000D1D50"/>
    <w:rsid w:val="000D3467"/>
    <w:rsid w:val="000D5782"/>
    <w:rsid w:val="000E3C86"/>
    <w:rsid w:val="000E6613"/>
    <w:rsid w:val="000E7119"/>
    <w:rsid w:val="00114E9B"/>
    <w:rsid w:val="00127215"/>
    <w:rsid w:val="00142216"/>
    <w:rsid w:val="00144D6A"/>
    <w:rsid w:val="0014729F"/>
    <w:rsid w:val="00157BAB"/>
    <w:rsid w:val="001654D1"/>
    <w:rsid w:val="00174518"/>
    <w:rsid w:val="0018106D"/>
    <w:rsid w:val="001877A7"/>
    <w:rsid w:val="00191536"/>
    <w:rsid w:val="00196687"/>
    <w:rsid w:val="001B4FFD"/>
    <w:rsid w:val="001B5060"/>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32E7"/>
    <w:rsid w:val="002C2D70"/>
    <w:rsid w:val="002D6D05"/>
    <w:rsid w:val="002F1818"/>
    <w:rsid w:val="002F567B"/>
    <w:rsid w:val="003216A9"/>
    <w:rsid w:val="00335A74"/>
    <w:rsid w:val="0036106C"/>
    <w:rsid w:val="003641CF"/>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2D8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5699"/>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C6CD7"/>
    <w:rsid w:val="005D1C8B"/>
    <w:rsid w:val="005D2D5E"/>
    <w:rsid w:val="005D468D"/>
    <w:rsid w:val="005D5CED"/>
    <w:rsid w:val="005E08C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4A2C"/>
    <w:rsid w:val="0066343B"/>
    <w:rsid w:val="00664777"/>
    <w:rsid w:val="006748A4"/>
    <w:rsid w:val="00681A31"/>
    <w:rsid w:val="00683E73"/>
    <w:rsid w:val="006953A5"/>
    <w:rsid w:val="006A3141"/>
    <w:rsid w:val="006A5E34"/>
    <w:rsid w:val="006B2422"/>
    <w:rsid w:val="006B2B9A"/>
    <w:rsid w:val="006C1937"/>
    <w:rsid w:val="006E4857"/>
    <w:rsid w:val="006F020C"/>
    <w:rsid w:val="006F3944"/>
    <w:rsid w:val="007127B7"/>
    <w:rsid w:val="0071798E"/>
    <w:rsid w:val="007416B6"/>
    <w:rsid w:val="00746F48"/>
    <w:rsid w:val="0075404D"/>
    <w:rsid w:val="0076182A"/>
    <w:rsid w:val="00767B7E"/>
    <w:rsid w:val="007770C3"/>
    <w:rsid w:val="00784D24"/>
    <w:rsid w:val="00785FBA"/>
    <w:rsid w:val="00786E4A"/>
    <w:rsid w:val="007875EB"/>
    <w:rsid w:val="0079426B"/>
    <w:rsid w:val="007B6B5C"/>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E4"/>
    <w:rsid w:val="00885AF4"/>
    <w:rsid w:val="008939CD"/>
    <w:rsid w:val="008B2816"/>
    <w:rsid w:val="008B768C"/>
    <w:rsid w:val="008C4DB1"/>
    <w:rsid w:val="008C4EAF"/>
    <w:rsid w:val="008C5176"/>
    <w:rsid w:val="008C7FD0"/>
    <w:rsid w:val="008E1DE7"/>
    <w:rsid w:val="008E707C"/>
    <w:rsid w:val="008F2D1B"/>
    <w:rsid w:val="00900B08"/>
    <w:rsid w:val="00902155"/>
    <w:rsid w:val="00902FA3"/>
    <w:rsid w:val="00923564"/>
    <w:rsid w:val="0092392E"/>
    <w:rsid w:val="009315F9"/>
    <w:rsid w:val="00933499"/>
    <w:rsid w:val="009339E3"/>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9A9"/>
    <w:rsid w:val="009C2A4B"/>
    <w:rsid w:val="009C2E98"/>
    <w:rsid w:val="009D3447"/>
    <w:rsid w:val="009D4711"/>
    <w:rsid w:val="009F1185"/>
    <w:rsid w:val="009F18CD"/>
    <w:rsid w:val="009F2A13"/>
    <w:rsid w:val="009F7527"/>
    <w:rsid w:val="00A04EB0"/>
    <w:rsid w:val="00A13CC1"/>
    <w:rsid w:val="00A16847"/>
    <w:rsid w:val="00A237D8"/>
    <w:rsid w:val="00A25BD2"/>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5ABD"/>
    <w:rsid w:val="00AB64C9"/>
    <w:rsid w:val="00AC3C6A"/>
    <w:rsid w:val="00AD5620"/>
    <w:rsid w:val="00AD656B"/>
    <w:rsid w:val="00AD7C1B"/>
    <w:rsid w:val="00AE16BA"/>
    <w:rsid w:val="00AE1EBE"/>
    <w:rsid w:val="00B03C9D"/>
    <w:rsid w:val="00B060AE"/>
    <w:rsid w:val="00B10517"/>
    <w:rsid w:val="00B11BCF"/>
    <w:rsid w:val="00B14E76"/>
    <w:rsid w:val="00B161B8"/>
    <w:rsid w:val="00B2048C"/>
    <w:rsid w:val="00B310B9"/>
    <w:rsid w:val="00B35F3F"/>
    <w:rsid w:val="00B36CBB"/>
    <w:rsid w:val="00B425E0"/>
    <w:rsid w:val="00B433D9"/>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C748A"/>
    <w:rsid w:val="00BD0E25"/>
    <w:rsid w:val="00BF4470"/>
    <w:rsid w:val="00BF5BD6"/>
    <w:rsid w:val="00C03E31"/>
    <w:rsid w:val="00C33E72"/>
    <w:rsid w:val="00C354B2"/>
    <w:rsid w:val="00C35554"/>
    <w:rsid w:val="00C42709"/>
    <w:rsid w:val="00C533CC"/>
    <w:rsid w:val="00C55D6E"/>
    <w:rsid w:val="00C5751C"/>
    <w:rsid w:val="00C61A8C"/>
    <w:rsid w:val="00C61BFC"/>
    <w:rsid w:val="00C62B85"/>
    <w:rsid w:val="00C65438"/>
    <w:rsid w:val="00C75CBB"/>
    <w:rsid w:val="00C87FD8"/>
    <w:rsid w:val="00C91381"/>
    <w:rsid w:val="00C91CBB"/>
    <w:rsid w:val="00CB4E70"/>
    <w:rsid w:val="00CC09B6"/>
    <w:rsid w:val="00CC666F"/>
    <w:rsid w:val="00CD1E3F"/>
    <w:rsid w:val="00CD46E3"/>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5861"/>
    <w:rsid w:val="00DA634F"/>
    <w:rsid w:val="00DA65AC"/>
    <w:rsid w:val="00DB1913"/>
    <w:rsid w:val="00DC410D"/>
    <w:rsid w:val="00DC5A81"/>
    <w:rsid w:val="00DC68CA"/>
    <w:rsid w:val="00DC6D62"/>
    <w:rsid w:val="00DC7CBA"/>
    <w:rsid w:val="00DD73B7"/>
    <w:rsid w:val="00DF28BC"/>
    <w:rsid w:val="00DF34B9"/>
    <w:rsid w:val="00E01053"/>
    <w:rsid w:val="00E07ACF"/>
    <w:rsid w:val="00E331A1"/>
    <w:rsid w:val="00E33202"/>
    <w:rsid w:val="00E336A9"/>
    <w:rsid w:val="00E45415"/>
    <w:rsid w:val="00E472B1"/>
    <w:rsid w:val="00E50624"/>
    <w:rsid w:val="00E54633"/>
    <w:rsid w:val="00E568DF"/>
    <w:rsid w:val="00E64269"/>
    <w:rsid w:val="00E82267"/>
    <w:rsid w:val="00E853CE"/>
    <w:rsid w:val="00E867B6"/>
    <w:rsid w:val="00EA010F"/>
    <w:rsid w:val="00EB6F66"/>
    <w:rsid w:val="00ED1B63"/>
    <w:rsid w:val="00ED3C1F"/>
    <w:rsid w:val="00ED4085"/>
    <w:rsid w:val="00ED420E"/>
    <w:rsid w:val="00ED6FBE"/>
    <w:rsid w:val="00EE2F57"/>
    <w:rsid w:val="00EE43CC"/>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900CBF"/>
    <w:rsid w:val="02FEBE30"/>
    <w:rsid w:val="04916F1E"/>
    <w:rsid w:val="061E35DE"/>
    <w:rsid w:val="062E5DAA"/>
    <w:rsid w:val="066E0107"/>
    <w:rsid w:val="07996F6E"/>
    <w:rsid w:val="07DFD8BA"/>
    <w:rsid w:val="09151F1E"/>
    <w:rsid w:val="09867E8F"/>
    <w:rsid w:val="0A2032A3"/>
    <w:rsid w:val="0A2D5046"/>
    <w:rsid w:val="0BC419DA"/>
    <w:rsid w:val="0C992E66"/>
    <w:rsid w:val="0CA8290A"/>
    <w:rsid w:val="0CC20345"/>
    <w:rsid w:val="0D35B1ED"/>
    <w:rsid w:val="0E254B6B"/>
    <w:rsid w:val="0F98263C"/>
    <w:rsid w:val="101860EC"/>
    <w:rsid w:val="101F47CC"/>
    <w:rsid w:val="10C055FF"/>
    <w:rsid w:val="11694EBD"/>
    <w:rsid w:val="11772AA4"/>
    <w:rsid w:val="118107EC"/>
    <w:rsid w:val="11D35690"/>
    <w:rsid w:val="12E24EE2"/>
    <w:rsid w:val="13370CE3"/>
    <w:rsid w:val="13D50BC4"/>
    <w:rsid w:val="14B17F78"/>
    <w:rsid w:val="16411C71"/>
    <w:rsid w:val="165E0673"/>
    <w:rsid w:val="16B831D5"/>
    <w:rsid w:val="16BB723D"/>
    <w:rsid w:val="17CE2DE2"/>
    <w:rsid w:val="17E50567"/>
    <w:rsid w:val="186504BB"/>
    <w:rsid w:val="18777FF9"/>
    <w:rsid w:val="19A445FC"/>
    <w:rsid w:val="1BE8440E"/>
    <w:rsid w:val="1C351F68"/>
    <w:rsid w:val="1D155CEE"/>
    <w:rsid w:val="1D1638FE"/>
    <w:rsid w:val="1D870FE7"/>
    <w:rsid w:val="1DC14F2C"/>
    <w:rsid w:val="1E312DEB"/>
    <w:rsid w:val="1E740ACF"/>
    <w:rsid w:val="1F9A5CC3"/>
    <w:rsid w:val="1FF35744"/>
    <w:rsid w:val="1FF6BC77"/>
    <w:rsid w:val="2186353C"/>
    <w:rsid w:val="2241392C"/>
    <w:rsid w:val="23860B96"/>
    <w:rsid w:val="240371BF"/>
    <w:rsid w:val="244F3473"/>
    <w:rsid w:val="24C97D99"/>
    <w:rsid w:val="25A718F0"/>
    <w:rsid w:val="25BB59F6"/>
    <w:rsid w:val="260F557C"/>
    <w:rsid w:val="26970054"/>
    <w:rsid w:val="281408E2"/>
    <w:rsid w:val="290C4E0F"/>
    <w:rsid w:val="29FD04D3"/>
    <w:rsid w:val="2BE9063E"/>
    <w:rsid w:val="2BFF7BC6"/>
    <w:rsid w:val="2C8A61B5"/>
    <w:rsid w:val="2CAB1634"/>
    <w:rsid w:val="2D371BB4"/>
    <w:rsid w:val="2DF04E50"/>
    <w:rsid w:val="2E586DFA"/>
    <w:rsid w:val="2F040D46"/>
    <w:rsid w:val="2F633134"/>
    <w:rsid w:val="2F6B035B"/>
    <w:rsid w:val="2FAE5751"/>
    <w:rsid w:val="2FB1A395"/>
    <w:rsid w:val="2FD9A7D8"/>
    <w:rsid w:val="2FDBF714"/>
    <w:rsid w:val="301E705B"/>
    <w:rsid w:val="307A4C3A"/>
    <w:rsid w:val="30AB6865"/>
    <w:rsid w:val="30CD57F0"/>
    <w:rsid w:val="3129686E"/>
    <w:rsid w:val="319F7F4E"/>
    <w:rsid w:val="31C3610C"/>
    <w:rsid w:val="32BD1EF1"/>
    <w:rsid w:val="3304709D"/>
    <w:rsid w:val="33A773CB"/>
    <w:rsid w:val="33A930DF"/>
    <w:rsid w:val="33BA709B"/>
    <w:rsid w:val="33E90B6F"/>
    <w:rsid w:val="349D6851"/>
    <w:rsid w:val="36193992"/>
    <w:rsid w:val="36AA5135"/>
    <w:rsid w:val="36BE0DA7"/>
    <w:rsid w:val="376B6AA6"/>
    <w:rsid w:val="376D39B2"/>
    <w:rsid w:val="37E16F03"/>
    <w:rsid w:val="37EB7A66"/>
    <w:rsid w:val="37F53A3B"/>
    <w:rsid w:val="389B6C89"/>
    <w:rsid w:val="38D469F0"/>
    <w:rsid w:val="39627CCD"/>
    <w:rsid w:val="397BAF1F"/>
    <w:rsid w:val="39BC27E3"/>
    <w:rsid w:val="3A3000B7"/>
    <w:rsid w:val="3AB79AF3"/>
    <w:rsid w:val="3AE834C0"/>
    <w:rsid w:val="3B7EF35A"/>
    <w:rsid w:val="3B9D725F"/>
    <w:rsid w:val="3B9FDB6C"/>
    <w:rsid w:val="3BF5BC2F"/>
    <w:rsid w:val="3C34628D"/>
    <w:rsid w:val="3C701E2D"/>
    <w:rsid w:val="3CEBA265"/>
    <w:rsid w:val="3D98207C"/>
    <w:rsid w:val="3DEE7CF3"/>
    <w:rsid w:val="3E740A63"/>
    <w:rsid w:val="3E78745D"/>
    <w:rsid w:val="3EE17838"/>
    <w:rsid w:val="3EE77A59"/>
    <w:rsid w:val="3F55381A"/>
    <w:rsid w:val="3F7F7599"/>
    <w:rsid w:val="3FF4CAE0"/>
    <w:rsid w:val="3FF7B227"/>
    <w:rsid w:val="443D011B"/>
    <w:rsid w:val="44E268DA"/>
    <w:rsid w:val="450D13D7"/>
    <w:rsid w:val="45506656"/>
    <w:rsid w:val="45E2495B"/>
    <w:rsid w:val="45E306D3"/>
    <w:rsid w:val="46BD7176"/>
    <w:rsid w:val="486A6C7A"/>
    <w:rsid w:val="4A0B0660"/>
    <w:rsid w:val="4A627F82"/>
    <w:rsid w:val="4B0E749A"/>
    <w:rsid w:val="4B2477C4"/>
    <w:rsid w:val="4B4F25DA"/>
    <w:rsid w:val="4BE068DB"/>
    <w:rsid w:val="4C137A41"/>
    <w:rsid w:val="4CEA2347"/>
    <w:rsid w:val="4D577224"/>
    <w:rsid w:val="4DBF1CEB"/>
    <w:rsid w:val="4DF0007C"/>
    <w:rsid w:val="4E5C1022"/>
    <w:rsid w:val="4EAB630A"/>
    <w:rsid w:val="4ECE2238"/>
    <w:rsid w:val="4F833267"/>
    <w:rsid w:val="4FE9BD67"/>
    <w:rsid w:val="4FFB052F"/>
    <w:rsid w:val="51C413B8"/>
    <w:rsid w:val="537E6D0A"/>
    <w:rsid w:val="53F74C96"/>
    <w:rsid w:val="55170BA8"/>
    <w:rsid w:val="553218C9"/>
    <w:rsid w:val="56586573"/>
    <w:rsid w:val="567E1AA5"/>
    <w:rsid w:val="56E47B74"/>
    <w:rsid w:val="57175D52"/>
    <w:rsid w:val="57BD3DD4"/>
    <w:rsid w:val="57D165F7"/>
    <w:rsid w:val="58AB6E2E"/>
    <w:rsid w:val="5AF92295"/>
    <w:rsid w:val="5B250254"/>
    <w:rsid w:val="5BDD79E6"/>
    <w:rsid w:val="5BF561CA"/>
    <w:rsid w:val="5BFF5DFC"/>
    <w:rsid w:val="5CD71FC4"/>
    <w:rsid w:val="5D1F11B5"/>
    <w:rsid w:val="5D695134"/>
    <w:rsid w:val="5DAE1B18"/>
    <w:rsid w:val="5DE7D9E5"/>
    <w:rsid w:val="5ECEC941"/>
    <w:rsid w:val="5F864B69"/>
    <w:rsid w:val="5FBF9FF3"/>
    <w:rsid w:val="5FCD4E2C"/>
    <w:rsid w:val="5FEF394A"/>
    <w:rsid w:val="5FF67715"/>
    <w:rsid w:val="62BF3928"/>
    <w:rsid w:val="63164419"/>
    <w:rsid w:val="63B3701E"/>
    <w:rsid w:val="64071988"/>
    <w:rsid w:val="647F5392"/>
    <w:rsid w:val="65E66580"/>
    <w:rsid w:val="664B1D71"/>
    <w:rsid w:val="664B4E8E"/>
    <w:rsid w:val="66F506B6"/>
    <w:rsid w:val="67277B67"/>
    <w:rsid w:val="67AA3209"/>
    <w:rsid w:val="67C938F0"/>
    <w:rsid w:val="698D0931"/>
    <w:rsid w:val="6A477A41"/>
    <w:rsid w:val="6A7FE5F3"/>
    <w:rsid w:val="6B053271"/>
    <w:rsid w:val="6BDD78B3"/>
    <w:rsid w:val="6C4A05C8"/>
    <w:rsid w:val="6C8742B8"/>
    <w:rsid w:val="6DBF5E93"/>
    <w:rsid w:val="6DFF077E"/>
    <w:rsid w:val="6E532166"/>
    <w:rsid w:val="6E714EF0"/>
    <w:rsid w:val="6E7E3605"/>
    <w:rsid w:val="6E7FDCC7"/>
    <w:rsid w:val="6E840423"/>
    <w:rsid w:val="6ED6A62E"/>
    <w:rsid w:val="6EE00B15"/>
    <w:rsid w:val="6F6FB3EB"/>
    <w:rsid w:val="6F8731EA"/>
    <w:rsid w:val="6FCE6052"/>
    <w:rsid w:val="6FD57C00"/>
    <w:rsid w:val="6FEFFFD8"/>
    <w:rsid w:val="6FF5CC65"/>
    <w:rsid w:val="6FFB47EC"/>
    <w:rsid w:val="6FFF034A"/>
    <w:rsid w:val="70484440"/>
    <w:rsid w:val="70754615"/>
    <w:rsid w:val="70CF1B70"/>
    <w:rsid w:val="712A28F1"/>
    <w:rsid w:val="715C0E4B"/>
    <w:rsid w:val="71992E7C"/>
    <w:rsid w:val="72233669"/>
    <w:rsid w:val="72734D90"/>
    <w:rsid w:val="73160E6D"/>
    <w:rsid w:val="7332FE48"/>
    <w:rsid w:val="73AB61DA"/>
    <w:rsid w:val="73AD73D5"/>
    <w:rsid w:val="73B6EB34"/>
    <w:rsid w:val="73FA497D"/>
    <w:rsid w:val="73FC4E8D"/>
    <w:rsid w:val="74257F85"/>
    <w:rsid w:val="744731E5"/>
    <w:rsid w:val="749B0247"/>
    <w:rsid w:val="74BBD01D"/>
    <w:rsid w:val="74ED5379"/>
    <w:rsid w:val="75AD65FF"/>
    <w:rsid w:val="75DEEEC2"/>
    <w:rsid w:val="75DF5F11"/>
    <w:rsid w:val="75E32345"/>
    <w:rsid w:val="76C21ABB"/>
    <w:rsid w:val="76E3355F"/>
    <w:rsid w:val="76FF5125"/>
    <w:rsid w:val="776F6FFA"/>
    <w:rsid w:val="778769C8"/>
    <w:rsid w:val="77A75DCA"/>
    <w:rsid w:val="77DC22F5"/>
    <w:rsid w:val="783E271A"/>
    <w:rsid w:val="784E1387"/>
    <w:rsid w:val="78616DE9"/>
    <w:rsid w:val="78E875D7"/>
    <w:rsid w:val="79086DAD"/>
    <w:rsid w:val="795A422D"/>
    <w:rsid w:val="79D7FD79"/>
    <w:rsid w:val="79EE5BA4"/>
    <w:rsid w:val="7A894339"/>
    <w:rsid w:val="7AD284E8"/>
    <w:rsid w:val="7AFF7572"/>
    <w:rsid w:val="7B6C7DFB"/>
    <w:rsid w:val="7B95779E"/>
    <w:rsid w:val="7BBFBED0"/>
    <w:rsid w:val="7BC3E394"/>
    <w:rsid w:val="7C1F3737"/>
    <w:rsid w:val="7C3074C7"/>
    <w:rsid w:val="7CBFC87B"/>
    <w:rsid w:val="7CFE0F48"/>
    <w:rsid w:val="7D272ABC"/>
    <w:rsid w:val="7D7EC23E"/>
    <w:rsid w:val="7DB75057"/>
    <w:rsid w:val="7E8ADEBF"/>
    <w:rsid w:val="7EEF11D3"/>
    <w:rsid w:val="7EFE4840"/>
    <w:rsid w:val="7EFE7D49"/>
    <w:rsid w:val="7F0971A6"/>
    <w:rsid w:val="7F1D62E7"/>
    <w:rsid w:val="7F3F679B"/>
    <w:rsid w:val="7F4FC4EF"/>
    <w:rsid w:val="7F5E4D54"/>
    <w:rsid w:val="7F6E0135"/>
    <w:rsid w:val="7F78365F"/>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ind w:firstLine="640" w:firstLineChars="200"/>
      <w:jc w:val="left"/>
    </w:pPr>
    <w:rPr>
      <w:rFonts w:ascii="仿宋_GB2312" w:hAnsi="仿宋_GB2312" w:eastAsia="仿宋_GB2312" w:cs="仿宋_GB2312"/>
      <w:color w:val="000000"/>
      <w:kern w:val="0"/>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link w:val="36"/>
    <w:qFormat/>
    <w:uiPriority w:val="0"/>
    <w:pPr>
      <w:spacing w:line="360" w:lineRule="auto"/>
    </w:pPr>
    <w:rPr>
      <w:rFonts w:ascii="??" w:hAnsi="??"/>
      <w:color w:val="000000"/>
      <w:kern w:val="0"/>
      <w:sz w:val="28"/>
      <w:szCs w:val="21"/>
      <w:lang w:val="zh-CN"/>
    </w:rPr>
  </w:style>
  <w:style w:type="character" w:customStyle="1" w:styleId="36">
    <w:name w:val="四号正文 Char"/>
    <w:basedOn w:val="17"/>
    <w:link w:val="35"/>
    <w:qFormat/>
    <w:uiPriority w:val="0"/>
    <w:rPr>
      <w:rFonts w:ascii="??" w:hAnsi="??" w:eastAsia="宋体" w:cs="Times New Roman"/>
      <w:color w:val="00000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oleObject" Target="file:///F:\2024&#24180;&#20915;&#31639;&#20844;&#24320;\2024&#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4&#24180;&#20915;&#31639;&#20844;&#24320;\2024&#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24&#24180;&#20915;&#31639;&#20844;&#24320;\202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cap="none" spc="20" baseline="0">
                <a:solidFill>
                  <a:schemeClr val="tx1">
                    <a:lumMod val="50000"/>
                    <a:lumOff val="50000"/>
                  </a:schemeClr>
                </a:solidFill>
                <a:latin typeface="+mn-lt"/>
                <a:ea typeface="+mn-ea"/>
                <a:cs typeface="+mn-cs"/>
              </a:defRPr>
            </a:pPr>
            <a:r>
              <a:rPr lang="zh-CN" altLang="zh-CN" sz="1400" b="0" i="0" u="none" strike="noStrike" cap="none" baseline="0">
                <a:effectLst/>
              </a:rPr>
              <a:t>收、支决算总计变动情况图</a:t>
            </a:r>
            <a:endParaRPr lang="zh-CN"/>
          </a:p>
        </c:rich>
      </c:tx>
      <c:layout>
        <c:manualLayout>
          <c:xMode val="edge"/>
          <c:yMode val="edge"/>
          <c:x val="0.19419696604864"/>
          <c:y val="0.0173374613003096"/>
        </c:manualLayout>
      </c:layout>
      <c:overlay val="0"/>
      <c:spPr>
        <a:noFill/>
        <a:ln>
          <a:noFill/>
        </a:ln>
        <a:effectLst/>
      </c:spPr>
    </c:title>
    <c:autoTitleDeleted val="0"/>
    <c:plotArea>
      <c:layout>
        <c:manualLayout>
          <c:layoutTarget val="inner"/>
          <c:xMode val="edge"/>
          <c:yMode val="edge"/>
          <c:x val="0.0564170479171683"/>
          <c:y val="0.129239820254663"/>
          <c:w val="0.926777910285897"/>
          <c:h val="0.649170912459475"/>
        </c:manualLayout>
      </c:layout>
      <c:barChart>
        <c:barDir val="col"/>
        <c:grouping val="clustered"/>
        <c:varyColors val="0"/>
        <c:ser>
          <c:idx val="0"/>
          <c:order val="0"/>
          <c:tx>
            <c:strRef>
              <c:f>Sheet1!$B$1</c:f>
              <c:strCache>
                <c:ptCount val="1"/>
                <c:pt idx="0">
                  <c:v>收入</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280.19</c:v>
                </c:pt>
                <c:pt idx="1">
                  <c:v>181.84</c:v>
                </c:pt>
              </c:numCache>
            </c:numRef>
          </c:val>
        </c:ser>
        <c:ser>
          <c:idx val="1"/>
          <c:order val="1"/>
          <c:tx>
            <c:strRef>
              <c:f>Sheet1!$C$1</c:f>
              <c:strCache>
                <c:ptCount val="1"/>
                <c:pt idx="0">
                  <c:v>支出</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Sheet1!$C$2:$C$5</c:f>
              <c:numCache>
                <c:formatCode>General</c:formatCode>
                <c:ptCount val="4"/>
                <c:pt idx="0">
                  <c:v>280.19</c:v>
                </c:pt>
                <c:pt idx="1">
                  <c:v>181.84</c:v>
                </c:pt>
              </c:numCache>
            </c:numRef>
          </c:val>
        </c:ser>
        <c:dLbls>
          <c:showLegendKey val="0"/>
          <c:showVal val="1"/>
          <c:showCatName val="0"/>
          <c:showSerName val="0"/>
          <c:showPercent val="0"/>
          <c:showBubbleSize val="0"/>
        </c:dLbls>
        <c:gapWidth val="100"/>
        <c:overlap val="-24"/>
        <c:axId val="365785088"/>
        <c:axId val="365814912"/>
      </c:barChart>
      <c:catAx>
        <c:axId val="36578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365814912"/>
        <c:crosses val="autoZero"/>
        <c:auto val="1"/>
        <c:lblAlgn val="ctr"/>
        <c:lblOffset val="100"/>
        <c:noMultiLvlLbl val="0"/>
      </c:catAx>
      <c:valAx>
        <c:axId val="365814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365785088"/>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21a095ae-ff39-4db3-bb32-0ecc5e45b358}"/>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a:effectLst/>
          </c:spPr>
          <c:explosion val="0"/>
          <c:dPt>
            <c:idx val="0"/>
            <c:bubble3D val="0"/>
            <c:explosion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explosion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explosion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explosion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Pt>
            <c:idx val="4"/>
            <c:bubble3D val="0"/>
            <c:explosion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Pt>
          <c:dPt>
            <c:idx val="5"/>
            <c:bubble3D val="0"/>
            <c:explosion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dPt>
          <c:dPt>
            <c:idx val="6"/>
            <c:bubble3D val="0"/>
            <c:explosion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dPt>
          <c:dPt>
            <c:idx val="7"/>
            <c:bubble3D val="0"/>
            <c:explosion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dPt>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zero"/>
    <c:showDLblsOverMax val="0"/>
    <c:extLst>
      <c:ext uri="{0b15fc19-7d7d-44ad-8c2d-2c3a37ce22c3}">
        <chartProps xmlns="https://web.wps.cn/et/2018/main" chartId="{33b5952d-e0b7-4222-a954-38ac829cddab}"/>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horzOverflow="overflow"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a:effectLst/>
          </c:spPr>
          <c:explosion val="0"/>
          <c:dPt>
            <c:idx val="0"/>
            <c:bubble3D val="0"/>
            <c:explosion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explosion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explosion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explosion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Pt>
            <c:idx val="4"/>
            <c:bubble3D val="0"/>
            <c:explosion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Pt>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0.769400000000001</c:v>
                </c:pt>
                <c:pt idx="1">
                  <c:v>0.2306</c:v>
                </c:pt>
                <c:pt idx="2" c:formatCode="General">
                  <c:v>0</c:v>
                </c:pt>
                <c:pt idx="3" c:formatCode="General">
                  <c:v>0</c:v>
                </c:pt>
                <c:pt idx="4" c:formatCode="General">
                  <c:v>0</c:v>
                </c:pt>
              </c:numCache>
            </c:numRef>
          </c:val>
        </c:ser>
        <c:ser>
          <c:idx val="1"/>
          <c:order val="1"/>
          <c:tx>
            <c:strRef>
              <c:f>Sheet1!$C$1</c:f>
              <c:strCache>
                <c:ptCount val="1"/>
                <c:pt idx="0">
                  <c:v>列1</c:v>
                </c:pt>
              </c:strCache>
            </c:strRef>
          </c:tx>
          <c:spPr>
            <a:effectLst/>
          </c:spPr>
          <c:explosion val="0"/>
          <c:dPt>
            <c:idx val="0"/>
            <c:bubble3D val="0"/>
            <c:explosion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explosion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explosion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explosion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Pt>
            <c:idx val="4"/>
            <c:bubble3D val="0"/>
            <c:explosion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Sheet1!$C$2:$C$6</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zero"/>
    <c:showDLblsOverMax val="0"/>
    <c:extLst>
      <c:ext uri="{0b15fc19-7d7d-44ad-8c2d-2c3a37ce22c3}">
        <chartProps xmlns="https://web.wps.cn/et/2018/main" chartId="{dcd5ac60-43ac-47bd-8f96-c61a69282a6f}"/>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cap="none" spc="20" baseline="0">
                <a:solidFill>
                  <a:schemeClr val="tx1">
                    <a:lumMod val="50000"/>
                    <a:lumOff val="50000"/>
                  </a:schemeClr>
                </a:solidFill>
                <a:latin typeface="+mn-lt"/>
                <a:ea typeface="+mn-ea"/>
                <a:cs typeface="+mn-cs"/>
              </a:defRPr>
            </a:pPr>
            <a:r>
              <a:rPr lang="zh-CN" altLang="en-US" sz="1400" b="0" i="0" u="none" strike="noStrike" cap="none" baseline="0"/>
              <a:t>财政拨款</a:t>
            </a:r>
            <a:r>
              <a:rPr lang="zh-CN" altLang="zh-CN" sz="1400" b="0" i="0" u="none" strike="noStrike" cap="none" baseline="0">
                <a:effectLst/>
              </a:rPr>
              <a:t>收、支决算总计变动情况图</a:t>
            </a:r>
            <a:endParaRPr lang="zh-CN"/>
          </a:p>
        </c:rich>
      </c:tx>
      <c:layout/>
      <c:overlay val="0"/>
      <c:spPr>
        <a:noFill/>
        <a:ln>
          <a:noFill/>
        </a:ln>
        <a:effectLst/>
      </c:spPr>
    </c:title>
    <c:autoTitleDeleted val="0"/>
    <c:plotArea>
      <c:layout>
        <c:manualLayout>
          <c:layoutTarget val="inner"/>
          <c:xMode val="edge"/>
          <c:yMode val="edge"/>
          <c:x val="0.0564170479171684"/>
          <c:y val="0.104437564499484"/>
          <c:w val="0.926777910285897"/>
          <c:h val="0.649170912459475"/>
        </c:manualLayout>
      </c:layout>
      <c:barChart>
        <c:barDir val="col"/>
        <c:grouping val="clustered"/>
        <c:varyColors val="0"/>
        <c:ser>
          <c:idx val="0"/>
          <c:order val="0"/>
          <c:tx>
            <c:strRef>
              <c:f>Sheet1!$B$1</c:f>
              <c:strCache>
                <c:ptCount val="1"/>
                <c:pt idx="0">
                  <c:v>收入</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Sheet1!$B$2:$B$5</c:f>
              <c:numCache>
                <c:formatCode>General</c:formatCode>
                <c:ptCount val="4"/>
                <c:pt idx="0">
                  <c:v>280.19</c:v>
                </c:pt>
                <c:pt idx="1">
                  <c:v>181.84</c:v>
                </c:pt>
              </c:numCache>
            </c:numRef>
          </c:val>
        </c:ser>
        <c:ser>
          <c:idx val="1"/>
          <c:order val="1"/>
          <c:tx>
            <c:strRef>
              <c:f>Sheet1!$C$1</c:f>
              <c:strCache>
                <c:ptCount val="1"/>
                <c:pt idx="0">
                  <c:v>支出</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pt idx="1">
                  <c:v>2024年</c:v>
                </c:pt>
              </c:strCache>
            </c:strRef>
          </c:cat>
          <c:val>
            <c:numRef>
              <c:f>Sheet1!$C$2:$C$5</c:f>
              <c:numCache>
                <c:formatCode>General</c:formatCode>
                <c:ptCount val="4"/>
                <c:pt idx="0">
                  <c:v>280.19</c:v>
                </c:pt>
                <c:pt idx="1">
                  <c:v>181.84</c:v>
                </c:pt>
              </c:numCache>
            </c:numRef>
          </c:val>
        </c:ser>
        <c:dLbls>
          <c:showLegendKey val="0"/>
          <c:showVal val="1"/>
          <c:showCatName val="0"/>
          <c:showSerName val="0"/>
          <c:showPercent val="0"/>
          <c:showBubbleSize val="0"/>
        </c:dLbls>
        <c:gapWidth val="100"/>
        <c:overlap val="-24"/>
        <c:axId val="154537344"/>
        <c:axId val="154555520"/>
      </c:barChart>
      <c:catAx>
        <c:axId val="15453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154555520"/>
        <c:crosses val="autoZero"/>
        <c:auto val="1"/>
        <c:lblAlgn val="ctr"/>
        <c:lblOffset val="100"/>
        <c:noMultiLvlLbl val="0"/>
      </c:catAx>
      <c:valAx>
        <c:axId val="154555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154537344"/>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bfbf847a-b655-4377-a04c-58955615f34a}"/>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5      </a:t>
            </a:r>
            <a:r>
              <a:rPr lang="zh-CN" altLang="en-US" sz="1200" b="0" i="0" u="none" strike="noStrike" baseline="0"/>
              <a:t>一般公共预算财政拨款支出决算变动情况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189818133885407"/>
          <c:y val="0.0332409865197446"/>
        </c:manualLayout>
      </c:layout>
      <c:overlay val="0"/>
      <c:spPr>
        <a:noFill/>
        <a:ln w="25400">
          <a:noFill/>
        </a:ln>
        <a:effectLst/>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a:effectLst/>
          </c:spPr>
          <c:invertIfNegative val="0"/>
          <c:dLbls>
            <c:numFmt formatCode="General" sourceLinked="1"/>
            <c:spPr>
              <a:noFill/>
              <a:ln w="25400">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390.68</c:v>
                </c:pt>
                <c:pt idx="1">
                  <c:v>446.88</c:v>
                </c:pt>
              </c:numCache>
            </c:numRef>
          </c:val>
        </c:ser>
        <c:dLbls>
          <c:showLegendKey val="0"/>
          <c:showVal val="1"/>
          <c:showCatName val="0"/>
          <c:showSerName val="0"/>
          <c:showPercent val="0"/>
          <c:showBubbleSize val="0"/>
        </c:dLbls>
        <c:gapWidth val="150"/>
        <c:axId val="154567808"/>
        <c:axId val="154569344"/>
      </c:barChart>
      <c:catAx>
        <c:axId val="154567808"/>
        <c:scaling>
          <c:orientation val="minMax"/>
        </c:scaling>
        <c:delete val="0"/>
        <c:axPos val="b"/>
        <c:numFmt formatCode="General" sourceLinked="1"/>
        <c:majorTickMark val="in"/>
        <c:minorTickMark val="none"/>
        <c:tickLblPos val="nextTo"/>
        <c:spPr>
          <a:noFill/>
          <a:ln w="3175" cap="flat" cmpd="sng" algn="ctr">
            <a:solidFill>
              <a:srgbClr val="000000"/>
            </a:solidFill>
            <a:prstDash val="solid"/>
            <a:round/>
          </a:ln>
          <a:effectLst/>
        </c:spPr>
        <c:txPr>
          <a:bodyPr rot="0" spcFirstLastPara="0" vertOverflow="ellipsis" horzOverflow="overflow"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4569344"/>
        <c:crosses val="autoZero"/>
        <c:auto val="1"/>
        <c:lblAlgn val="ctr"/>
        <c:lblOffset val="100"/>
        <c:tickLblSkip val="1"/>
        <c:noMultiLvlLbl val="0"/>
      </c:catAx>
      <c:valAx>
        <c:axId val="154569344"/>
        <c:scaling>
          <c:orientation val="minMax"/>
        </c:scaling>
        <c:delete val="0"/>
        <c:axPos val="l"/>
        <c:majorGridlines>
          <c:spPr>
            <a:ln w="3175" cap="flat" cmpd="sng" algn="ctr">
              <a:solidFill>
                <a:srgbClr val="000000"/>
              </a:solidFill>
              <a:prstDash val="solid"/>
              <a:round/>
            </a:ln>
            <a:effectLst/>
          </c:spPr>
        </c:majorGridlines>
        <c:numFmt formatCode="General" sourceLinked="1"/>
        <c:majorTickMark val="in"/>
        <c:minorTickMark val="none"/>
        <c:tickLblPos val="nextTo"/>
        <c:spPr>
          <a:no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456780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78749927307832"/>
          <c:y val="0.505499914493692"/>
          <c:w val="0.309591411856384"/>
          <c:h val="0.0575881272631289"/>
        </c:manualLayout>
      </c:layout>
      <c:overlay val="0"/>
      <c:spPr>
        <a:solidFill>
          <a:srgbClr val="FFFFFF">
            <a:alpha val="100000"/>
          </a:srgbClr>
        </a:solidFill>
        <a:ln w="3175">
          <a:solidFill>
            <a:srgbClr val="000000">
              <a:alpha val="100000"/>
            </a:srgbClr>
          </a:solidFill>
          <a:prstDash val="solid"/>
        </a:ln>
        <a:effectLst/>
      </c:spPr>
      <c:txPr>
        <a:bodyPr rot="0" spcFirstLastPara="0" vertOverflow="ellipsis" horzOverflow="overflow"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719e1c9-dcab-4544-918e-b4d9c168445d}"/>
      </c:ext>
    </c:extLst>
  </c:chart>
  <c:spPr>
    <a:solidFill>
      <a:srgbClr val="FFFFFF"/>
    </a:solidFill>
    <a:ln w="3175" cap="flat" cmpd="sng" algn="ctr">
      <a:solidFill>
        <a:srgbClr val="000000"/>
      </a:solidFill>
      <a:prstDash val="solid"/>
      <a:round/>
    </a:ln>
    <a:effectLst/>
  </c:spPr>
  <c:txPr>
    <a:bodyPr rot="0" spcFirstLastPara="0" vertOverflow="ellipsis" horzOverflow="overflow" vert="horz"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strike="noStrike">
                <a:solidFill>
                  <a:srgbClr val="000000"/>
                </a:solidFill>
                <a:latin typeface="宋体" panose="02010600030101010101" charset="-122"/>
                <a:ea typeface="宋体" panose="02010600030101010101" charset="-122"/>
              </a:rPr>
              <a:t>图</a:t>
            </a:r>
            <a:r>
              <a:rPr lang="en-US" altLang="zh-CN" sz="1425" b="0" i="0" strike="noStrike">
                <a:solidFill>
                  <a:srgbClr val="000000"/>
                </a:solidFill>
                <a:latin typeface="宋体" panose="02010600030101010101" charset="-122"/>
                <a:ea typeface="宋体" panose="02010600030101010101" charset="-122"/>
              </a:rPr>
              <a:t>6    </a:t>
            </a:r>
            <a:r>
              <a:rPr lang="zh-CN" altLang="en-US" sz="1425" b="0" i="0" strike="noStrike">
                <a:solidFill>
                  <a:srgbClr val="000000"/>
                </a:solidFill>
                <a:latin typeface="宋体" panose="02010600030101010101" charset="-122"/>
                <a:ea typeface="宋体" panose="02010600030101010101" charset="-122"/>
              </a:rPr>
              <a:t>一般公共预算财政拨款支出决算结构</a:t>
            </a:r>
            <a:endParaRPr lang="zh-CN" altLang="en-US" sz="1425" b="0" i="0" strike="noStrike">
              <a:solidFill>
                <a:srgbClr val="000000"/>
              </a:solidFill>
              <a:latin typeface="宋体" panose="02010600030101010101" charset="-122"/>
              <a:ea typeface="宋体" panose="02010600030101010101" charset="-122"/>
            </a:endParaRPr>
          </a:p>
        </c:rich>
      </c:tx>
      <c:layout>
        <c:manualLayout>
          <c:xMode val="edge"/>
          <c:yMode val="edge"/>
          <c:x val="0.235624160292166"/>
          <c:y val="0.0289854508927125"/>
        </c:manualLayout>
      </c:layout>
      <c:overlay val="0"/>
      <c:spPr>
        <a:noFill/>
        <a:ln w="25400">
          <a:noFill/>
        </a:ln>
        <a:effectLst/>
      </c:spPr>
    </c:title>
    <c:autoTitleDeleted val="0"/>
    <c:plotArea>
      <c:layout>
        <c:manualLayout>
          <c:layoutTarget val="inner"/>
          <c:xMode val="edge"/>
          <c:yMode val="edge"/>
          <c:x val="0.325179856115108"/>
          <c:y val="0.48630218305561"/>
          <c:w val="0.110791366906475"/>
          <c:h val="0.263699071093534"/>
        </c:manualLayout>
      </c:layout>
      <c:pieChart>
        <c:varyColors val="1"/>
        <c:ser>
          <c:idx val="0"/>
          <c:order val="0"/>
          <c:spPr>
            <a:solidFill>
              <a:srgbClr val="9999FF"/>
            </a:solidFill>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Lbls>
            <c:dLbl>
              <c:idx val="1"/>
              <c:layout>
                <c:manualLayout>
                  <c:x val="-0.0326534143218442"/>
                  <c:y val="0.051767946672727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0151264850677116"/>
                  <c:y val="-0.054739492358274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53033126263483"/>
                  <c:y val="0.0046950059443756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a:effectLst/>
                  </c:spPr>
                </c15:leaderLines>
              </c:ext>
            </c:extLst>
          </c:dLbls>
          <c:cat>
            <c:strRef>
              <c:f>Sheet1!$A$110:$A$113</c:f>
              <c:strCache>
                <c:ptCount val="4"/>
                <c:pt idx="0">
                  <c:v>文化旅游体育与传媒支出</c:v>
                </c:pt>
                <c:pt idx="1">
                  <c:v>卫生健康支出</c:v>
                </c:pt>
                <c:pt idx="2">
                  <c:v>社会保障和就业支出</c:v>
                </c:pt>
                <c:pt idx="3">
                  <c:v>住房保障支出</c:v>
                </c:pt>
              </c:strCache>
            </c:strRef>
          </c:cat>
          <c:val>
            <c:numRef>
              <c:f>Sheet1!$B$110:$B$113</c:f>
              <c:numCache>
                <c:formatCode>General</c:formatCode>
                <c:ptCount val="4"/>
                <c:pt idx="0">
                  <c:v>127.02</c:v>
                </c:pt>
                <c:pt idx="1">
                  <c:v>9.47</c:v>
                </c:pt>
                <c:pt idx="2">
                  <c:v>35.95</c:v>
                </c:pt>
                <c:pt idx="3">
                  <c:v>9.41</c:v>
                </c:pt>
              </c:numCache>
            </c:numRef>
          </c:val>
        </c:ser>
        <c:ser>
          <c:idx val="1"/>
          <c:order val="1"/>
          <c:spPr>
            <a:solidFill>
              <a:srgbClr val="993366"/>
            </a:solidFill>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Lbls>
            <c:delete val="1"/>
          </c:dLbls>
          <c:cat>
            <c:strRef>
              <c:f>Sheet1!$A$110:$A$113</c:f>
              <c:strCache>
                <c:ptCount val="4"/>
                <c:pt idx="0">
                  <c:v>文化旅游体育与传媒支出</c:v>
                </c:pt>
                <c:pt idx="1">
                  <c:v>卫生健康支出</c:v>
                </c:pt>
                <c:pt idx="2">
                  <c:v>社会保障和就业支出</c:v>
                </c:pt>
                <c:pt idx="3">
                  <c:v>住房保障支出</c:v>
                </c:pt>
              </c:strCache>
            </c:strRef>
          </c:cat>
          <c:val>
            <c:numRef>
              <c:f>Sheet1!$C$110:$C$113</c:f>
              <c:numCache>
                <c:formatCode>0.00%</c:formatCode>
                <c:ptCount val="4"/>
                <c:pt idx="0">
                  <c:v>0.698487764641188</c:v>
                </c:pt>
                <c:pt idx="1">
                  <c:v>0.052075886719824</c:v>
                </c:pt>
                <c:pt idx="2">
                  <c:v>0.197690404179269</c:v>
                </c:pt>
                <c:pt idx="3">
                  <c:v>0.0517459444597195</c:v>
                </c:pt>
              </c:numCache>
            </c:numRef>
          </c:val>
        </c:ser>
        <c:dLbls>
          <c:showLegendKey val="0"/>
          <c:showVal val="0"/>
          <c:showCatName val="0"/>
          <c:showSerName val="0"/>
          <c:showPercent val="0"/>
          <c:showBubbleSize val="0"/>
          <c:showLeaderLines val="1"/>
        </c:dLbls>
        <c:firstSliceAng val="0"/>
      </c:pieChart>
      <c:spPr>
        <a:noFill/>
        <a:ln w="25400">
          <a:noFill/>
        </a:ln>
        <a:effectLst/>
      </c:spPr>
    </c:plotArea>
    <c:legend>
      <c:legendPos val="r"/>
      <c:layout>
        <c:manualLayout>
          <c:xMode val="edge"/>
          <c:yMode val="edge"/>
          <c:x val="0.757189146919234"/>
          <c:y val="0.421750105310911"/>
          <c:w val="0.234867289766276"/>
          <c:h val="0.25928258967629"/>
        </c:manualLayout>
      </c:layout>
      <c:overlay val="0"/>
      <c:spPr>
        <a:solidFill>
          <a:srgbClr val="FFFFFF">
            <a:alpha val="100000"/>
          </a:srgbClr>
        </a:solidFill>
        <a:ln w="3175">
          <a:solidFill>
            <a:srgbClr val="000000">
              <a:alpha val="100000"/>
            </a:srgbClr>
          </a:solidFill>
          <a:prstDash val="solid"/>
        </a:ln>
        <a:effectLst/>
      </c:spPr>
      <c:txPr>
        <a:bodyPr rot="0" spcFirstLastPara="0" vertOverflow="ellipsis" horzOverflow="overflow"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7e04af5-b706-474b-8de8-843afdc65ec7}"/>
      </c:ext>
    </c:extLst>
  </c:chart>
  <c:spPr>
    <a:solidFill>
      <a:srgbClr val="FFFFFF"/>
    </a:solidFill>
    <a:ln w="3175" cap="flat" cmpd="sng" algn="ctr">
      <a:solidFill>
        <a:srgbClr val="000000"/>
      </a:solidFill>
      <a:prstDash val="solid"/>
      <a:round/>
    </a:ln>
    <a:effectLst/>
  </c:spPr>
  <c:txPr>
    <a:bodyPr rot="0" spcFirstLastPara="0" vertOverflow="ellipsis" horzOverflow="overflow" vert="horz"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7   “</a:t>
            </a:r>
            <a:r>
              <a:rPr lang="zh-CN" altLang="en-US" sz="1400" b="0" i="0" strike="noStrike">
                <a:solidFill>
                  <a:srgbClr val="000000"/>
                </a:solidFill>
                <a:latin typeface="宋体" panose="02010600030101010101" charset="-122"/>
                <a:ea typeface="宋体" panose="02010600030101010101" charset="-122"/>
              </a:rPr>
              <a:t>三公”经费财政拨款支出结构</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6224804121707"/>
          <c:y val="0.0332409972299169"/>
        </c:manualLayout>
      </c:layout>
      <c:overlay val="0"/>
      <c:spPr>
        <a:noFill/>
        <a:ln w="25400">
          <a:noFill/>
        </a:ln>
        <a:effectLst/>
      </c:spPr>
    </c:title>
    <c:autoTitleDeleted val="0"/>
    <c:plotArea>
      <c:layout>
        <c:manualLayout>
          <c:layoutTarget val="inner"/>
          <c:xMode val="edge"/>
          <c:yMode val="edge"/>
          <c:x val="0.272592986969021"/>
          <c:y val="0.501385719715362"/>
          <c:w val="0.121481657236194"/>
          <c:h val="0.227147121639004"/>
        </c:manualLayout>
      </c:layout>
      <c:pieChart>
        <c:varyColors val="1"/>
        <c:ser>
          <c:idx val="0"/>
          <c:order val="0"/>
          <c:spPr>
            <a:solidFill>
              <a:srgbClr val="9999FF"/>
            </a:solidFill>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Lbls>
            <c:dLbl>
              <c:idx val="2"/>
              <c:layout>
                <c:manualLayout>
                  <c:x val="-0.165045682287062"/>
                  <c:y val="0.111336032388664"/>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a:effectLst/>
                  </c:spPr>
                </c15:leaderLines>
              </c:ext>
            </c:extLst>
          </c:dLbls>
          <c:cat>
            <c:strRef>
              <c:f>Sheet1!$B$138:$B$140</c:f>
              <c:strCache>
                <c:ptCount val="3"/>
                <c:pt idx="0">
                  <c:v>因公出国（境）费支出</c:v>
                </c:pt>
                <c:pt idx="1">
                  <c:v>公务用车购置及运行维护费支出</c:v>
                </c:pt>
                <c:pt idx="2">
                  <c:v>公务接待费支出</c:v>
                </c:pt>
              </c:strCache>
            </c:strRef>
          </c:cat>
          <c:val>
            <c:numRef>
              <c:f>Sheet1!$C$138:$C$140</c:f>
              <c:numCache>
                <c:formatCode>General</c:formatCode>
                <c:ptCount val="3"/>
                <c:pt idx="0">
                  <c:v>0</c:v>
                </c:pt>
                <c:pt idx="1">
                  <c:v>0.68</c:v>
                </c:pt>
                <c:pt idx="2">
                  <c:v>0</c:v>
                </c:pt>
              </c:numCache>
            </c:numRef>
          </c:val>
        </c:ser>
        <c:ser>
          <c:idx val="1"/>
          <c:order val="1"/>
          <c:spPr>
            <a:solidFill>
              <a:srgbClr val="993366"/>
            </a:solidFill>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Lbls>
            <c:delete val="1"/>
          </c:dLbls>
          <c:cat>
            <c:strRef>
              <c:f>Sheet1!$B$138:$B$140</c:f>
              <c:strCache>
                <c:ptCount val="3"/>
                <c:pt idx="0">
                  <c:v>因公出国（境）费支出</c:v>
                </c:pt>
                <c:pt idx="1">
                  <c:v>公务用车购置及运行维护费支出</c:v>
                </c:pt>
                <c:pt idx="2">
                  <c:v>公务接待费支出</c:v>
                </c:pt>
              </c:strCache>
            </c:strRef>
          </c:cat>
          <c:val>
            <c:numRef>
              <c:f>Sheet1!$D$138:$D$140</c:f>
              <c:numCache>
                <c:formatCode>General</c:formatCode>
                <c:ptCount val="3"/>
                <c:pt idx="0">
                  <c:v>0</c:v>
                </c:pt>
                <c:pt idx="1" c:formatCode="0%">
                  <c:v>1</c:v>
                </c:pt>
                <c:pt idx="2" c:formatCode="0%">
                  <c:v>0</c:v>
                </c:pt>
              </c:numCache>
            </c:numRef>
          </c:val>
        </c:ser>
        <c:dLbls>
          <c:showLegendKey val="0"/>
          <c:showVal val="0"/>
          <c:showCatName val="0"/>
          <c:showSerName val="0"/>
          <c:showPercent val="0"/>
          <c:showBubbleSize val="0"/>
          <c:showLeaderLines val="1"/>
        </c:dLbls>
        <c:firstSliceAng val="0"/>
      </c:pieChart>
      <c:spPr>
        <a:noFill/>
        <a:ln w="25400">
          <a:noFill/>
        </a:ln>
        <a:effectLst/>
      </c:spPr>
    </c:plotArea>
    <c:legend>
      <c:legendPos val="r"/>
      <c:layout>
        <c:manualLayout>
          <c:xMode val="edge"/>
          <c:yMode val="edge"/>
          <c:x val="0.655499951394965"/>
          <c:y val="0.40025010724075"/>
          <c:w val="0.332056226305046"/>
          <c:h val="0.323886550192307"/>
        </c:manualLayout>
      </c:layout>
      <c:overlay val="0"/>
      <c:spPr>
        <a:solidFill>
          <a:srgbClr val="FFFFFF">
            <a:alpha val="100000"/>
          </a:srgbClr>
        </a:solidFill>
        <a:ln w="3175">
          <a:solidFill>
            <a:srgbClr val="000000">
              <a:alpha val="100000"/>
            </a:srgbClr>
          </a:solidFill>
          <a:prstDash val="solid"/>
        </a:ln>
        <a:effectLst/>
      </c:spPr>
      <c:txPr>
        <a:bodyPr rot="0" spcFirstLastPara="0" vertOverflow="ellipsis" horzOverflow="overflow"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c62794f-f130-496e-98f2-20404def2147}"/>
      </c:ext>
    </c:extLst>
  </c:chart>
  <c:spPr>
    <a:solidFill>
      <a:srgbClr val="FFFFFF"/>
    </a:solidFill>
    <a:ln w="3175" cap="flat" cmpd="sng" algn="ctr">
      <a:solidFill>
        <a:srgbClr val="000000"/>
      </a:solidFill>
      <a:prstDash val="solid"/>
      <a:round/>
    </a:ln>
    <a:effectLst/>
  </c:spPr>
  <c:txPr>
    <a:bodyPr rot="0" spcFirstLastPara="0" vertOverflow="ellipsis" horzOverflow="overflow" vert="horz"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5854</Words>
  <Characters>7550</Characters>
  <Lines>119</Lines>
  <Paragraphs>33</Paragraphs>
  <TotalTime>5</TotalTime>
  <ScaleCrop>false</ScaleCrop>
  <LinksUpToDate>false</LinksUpToDate>
  <CharactersWithSpaces>7585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2025-10-14T08:09:00Z</dcterms:created>
  <dc:creator>曹颖</dc:creator>
  <cp:lastModifiedBy>丫头</cp:lastModifiedBy>
  <cp:lastPrinted>2025-10-23T07:20:00Z</cp:lastPrinted>
  <dcterms:modified xsi:type="dcterms:W3CDTF">2025-10-28T01:53:21Z</dcterms:modified>
  <dc:title>四川省***</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A2B88490E5584741B4333BCF47899440_13</vt:lpwstr>
  </property>
  <property fmtid="{D5CDD505-2E9C-101B-9397-08002B2CF9AE}" pid="4" name="KSOTemplateDocerSaveRecord">
    <vt:lpwstr>eyJoZGlkIjoiMDBmMGQ0ZTdmOGEwODA0MTQ0NDFlYWVlZmY1NWY4MGIiLCJ1c2VySWQiOiI1NjU1MDc1MjkifQ==</vt:lpwstr>
  </property>
</Properties>
</file>