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F69D8">
      <w:pPr>
        <w:pStyle w:val="8"/>
        <w:spacing w:before="93"/>
        <w:rPr>
          <w:rFonts w:ascii="Times New Roman" w:eastAsia="方正小标宋简体"/>
          <w:kern w:val="2"/>
          <w:sz w:val="72"/>
          <w:szCs w:val="72"/>
        </w:rPr>
      </w:pPr>
      <w:bookmarkStart w:id="0" w:name="_Toc15396597"/>
      <w:bookmarkStart w:id="1" w:name="_Toc15378441"/>
      <w:bookmarkStart w:id="2" w:name="_Toc15377193"/>
      <w:bookmarkStart w:id="3" w:name="_Toc15306267"/>
      <w:bookmarkStart w:id="4" w:name="_Toc15396475"/>
      <w:bookmarkStart w:id="5" w:name="_Toc15377425"/>
    </w:p>
    <w:p w14:paraId="7D0FA091">
      <w:pPr>
        <w:pStyle w:val="8"/>
        <w:spacing w:before="93"/>
        <w:rPr>
          <w:rFonts w:ascii="Times New Roman" w:eastAsia="方正小标宋简体"/>
          <w:kern w:val="2"/>
          <w:sz w:val="72"/>
          <w:szCs w:val="72"/>
        </w:rPr>
      </w:pPr>
    </w:p>
    <w:p w14:paraId="67125983">
      <w:pPr>
        <w:pStyle w:val="8"/>
        <w:spacing w:before="93"/>
        <w:rPr>
          <w:rFonts w:ascii="Times New Roman" w:eastAsia="方正小标宋简体"/>
          <w:kern w:val="2"/>
          <w:sz w:val="72"/>
          <w:szCs w:val="72"/>
        </w:rPr>
      </w:pPr>
    </w:p>
    <w:p w14:paraId="7E388519">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60905A13">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中共盐边县委社会工作部单位决算公开编制说明</w:t>
      </w:r>
    </w:p>
    <w:p w14:paraId="1116F5B1">
      <w:pPr>
        <w:spacing w:line="600" w:lineRule="exact"/>
        <w:jc w:val="center"/>
        <w:outlineLvl w:val="0"/>
        <w:rPr>
          <w:rFonts w:eastAsia="方正小标宋简体"/>
          <w:sz w:val="72"/>
          <w:szCs w:val="72"/>
        </w:rPr>
      </w:pPr>
    </w:p>
    <w:p w14:paraId="09FB2088">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5A134DA"/>
    <w:bookmarkEnd w:id="0"/>
    <w:bookmarkEnd w:id="1"/>
    <w:bookmarkEnd w:id="2"/>
    <w:bookmarkEnd w:id="3"/>
    <w:bookmarkEnd w:id="4"/>
    <w:bookmarkEnd w:id="5"/>
    <w:p w14:paraId="5ACBD89D">
      <w:pPr>
        <w:widowControl/>
        <w:jc w:val="center"/>
        <w:rPr>
          <w:rFonts w:eastAsia="黑体"/>
          <w:sz w:val="48"/>
          <w:szCs w:val="48"/>
        </w:rPr>
      </w:pPr>
      <w:r>
        <w:rPr>
          <w:rFonts w:hint="eastAsia" w:eastAsia="黑体"/>
          <w:sz w:val="48"/>
          <w:szCs w:val="48"/>
        </w:rPr>
        <w:t>目录</w:t>
      </w:r>
    </w:p>
    <w:p w14:paraId="28CD3896">
      <w:pPr>
        <w:widowControl/>
        <w:jc w:val="center"/>
        <w:rPr>
          <w:rFonts w:eastAsia="黑体" w:cstheme="minorBidi"/>
          <w:sz w:val="28"/>
          <w:szCs w:val="28"/>
        </w:rPr>
      </w:pPr>
    </w:p>
    <w:p w14:paraId="66403270">
      <w:pPr>
        <w:pStyle w:val="13"/>
        <w:rPr>
          <w:rFonts w:ascii="Times New Roman" w:hAnsi="Times New Roman" w:eastAsia="仿宋_GB2312" w:cs="仿宋_GB2312"/>
        </w:rPr>
      </w:pPr>
      <w:r>
        <w:rPr>
          <w:rFonts w:hint="eastAsia" w:ascii="Times New Roman" w:hAnsi="Times New Roman" w:eastAsia="仿宋_GB2312" w:cs="仿宋_GB2312"/>
        </w:rPr>
        <w:t>公开时间：2025年10月28日</w:t>
      </w:r>
    </w:p>
    <w:p w14:paraId="73FC0464">
      <w:pPr>
        <w:rPr>
          <w:sz w:val="32"/>
          <w:szCs w:val="32"/>
        </w:rPr>
      </w:pPr>
    </w:p>
    <w:p w14:paraId="65CDD1E8">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第一部分 单位概况</w:t>
      </w:r>
      <w:r>
        <w:rPr>
          <w:rFonts w:hint="eastAsia" w:ascii="Times New Roman" w:hAnsi="Times New Roman" w:eastAsia="黑体" w:cs="黑体"/>
          <w:sz w:val="32"/>
          <w:szCs w:val="32"/>
          <w:lang w:val="en-US" w:eastAsia="zh-CN"/>
        </w:rPr>
        <w:t>...................................................................3</w:t>
      </w:r>
      <w:r>
        <w:rPr>
          <w:rFonts w:hint="eastAsia" w:ascii="Times New Roman" w:hAnsi="Times New Roman" w:eastAsia="黑体" w:cs="黑体"/>
        </w:rPr>
        <w:t xml:space="preserve">                                    </w:t>
      </w:r>
    </w:p>
    <w:p w14:paraId="5A17E1E6">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一、主要职责</w:t>
      </w:r>
      <w:r>
        <w:rPr>
          <w:rFonts w:hint="eastAsia" w:eastAsia="仿宋_GB2312" w:cs="仿宋_GB2312"/>
          <w:sz w:val="32"/>
          <w:szCs w:val="32"/>
          <w:lang w:val="en-US" w:eastAsia="zh-CN"/>
        </w:rPr>
        <w:t>......................................................................3</w:t>
      </w:r>
      <w:r>
        <w:rPr>
          <w:rFonts w:hint="eastAsia" w:eastAsia="仿宋_GB2312" w:cs="仿宋_GB2312"/>
          <w:sz w:val="28"/>
          <w:szCs w:val="28"/>
        </w:rPr>
        <w:t xml:space="preserve">                                         </w:t>
      </w:r>
    </w:p>
    <w:p w14:paraId="4C26EF14">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二、机构设置</w:t>
      </w:r>
      <w:r>
        <w:rPr>
          <w:rFonts w:hint="eastAsia" w:eastAsia="仿宋_GB2312" w:cs="仿宋_GB2312"/>
          <w:sz w:val="32"/>
          <w:szCs w:val="32"/>
          <w:lang w:val="en-US" w:eastAsia="zh-CN"/>
        </w:rPr>
        <w:t>.......................................................................</w:t>
      </w:r>
      <w:r>
        <w:rPr>
          <w:rFonts w:hint="eastAsia" w:eastAsia="仿宋_GB2312" w:cs="仿宋_GB2312"/>
          <w:sz w:val="28"/>
          <w:szCs w:val="28"/>
        </w:rPr>
        <w:t xml:space="preserve"> </w:t>
      </w:r>
      <w:r>
        <w:rPr>
          <w:rFonts w:hint="eastAsia" w:eastAsia="仿宋_GB2312" w:cs="仿宋_GB2312"/>
          <w:sz w:val="28"/>
          <w:szCs w:val="28"/>
          <w:lang w:val="en-US" w:eastAsia="zh-CN"/>
        </w:rPr>
        <w:t>4</w:t>
      </w:r>
      <w:r>
        <w:rPr>
          <w:rFonts w:hint="eastAsia" w:eastAsia="仿宋_GB2312" w:cs="仿宋_GB2312"/>
          <w:sz w:val="28"/>
          <w:szCs w:val="28"/>
        </w:rPr>
        <w:t xml:space="preserve">                                    </w:t>
      </w:r>
    </w:p>
    <w:p w14:paraId="346AE07F">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...................................4</w:t>
      </w:r>
      <w:r>
        <w:rPr>
          <w:rFonts w:hint="eastAsia" w:ascii="Times New Roman" w:hAnsi="Times New Roman" w:eastAsia="黑体" w:cs="黑体"/>
          <w:sz w:val="32"/>
          <w:szCs w:val="32"/>
        </w:rPr>
        <w:t xml:space="preserve">  </w:t>
      </w:r>
      <w:r>
        <w:rPr>
          <w:rFonts w:hint="eastAsia" w:ascii="Times New Roman" w:hAnsi="Times New Roman" w:eastAsia="黑体" w:cs="黑体"/>
        </w:rPr>
        <w:t xml:space="preserve">                  </w:t>
      </w:r>
    </w:p>
    <w:p w14:paraId="265717C7">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.......................................4</w:t>
      </w:r>
      <w:r>
        <w:rPr>
          <w:rFonts w:hint="eastAsia" w:eastAsia="仿宋_GB2312" w:cs="仿宋_GB2312"/>
          <w:sz w:val="28"/>
          <w:szCs w:val="28"/>
        </w:rPr>
        <w:t xml:space="preserve">                     </w:t>
      </w:r>
    </w:p>
    <w:p w14:paraId="3F79A511">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二、收入决算情况说明</w:t>
      </w:r>
      <w:r>
        <w:rPr>
          <w:rFonts w:hint="eastAsia" w:eastAsia="仿宋_GB2312" w:cs="仿宋_GB2312"/>
          <w:sz w:val="32"/>
          <w:szCs w:val="32"/>
          <w:lang w:val="en-US" w:eastAsia="zh-CN"/>
        </w:rPr>
        <w:t>.......................................................5</w:t>
      </w:r>
      <w:r>
        <w:rPr>
          <w:rFonts w:hint="eastAsia" w:eastAsia="仿宋_GB2312" w:cs="仿宋_GB2312"/>
          <w:sz w:val="32"/>
          <w:szCs w:val="32"/>
        </w:rPr>
        <w:t xml:space="preserve">  </w:t>
      </w:r>
      <w:r>
        <w:rPr>
          <w:rFonts w:hint="eastAsia" w:eastAsia="仿宋_GB2312" w:cs="仿宋_GB2312"/>
          <w:sz w:val="28"/>
          <w:szCs w:val="28"/>
        </w:rPr>
        <w:t xml:space="preserve">                             </w:t>
      </w:r>
    </w:p>
    <w:p w14:paraId="768D0563">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三、支出决算情况说明</w:t>
      </w:r>
      <w:r>
        <w:rPr>
          <w:rFonts w:hint="eastAsia" w:eastAsia="仿宋_GB2312" w:cs="仿宋_GB2312"/>
          <w:sz w:val="32"/>
          <w:szCs w:val="32"/>
          <w:lang w:val="en-US" w:eastAsia="zh-CN"/>
        </w:rPr>
        <w:t>.......................................................6</w:t>
      </w:r>
      <w:r>
        <w:rPr>
          <w:rFonts w:hint="eastAsia" w:eastAsia="仿宋_GB2312" w:cs="仿宋_GB2312"/>
          <w:sz w:val="32"/>
          <w:szCs w:val="32"/>
        </w:rPr>
        <w:t xml:space="preserve"> </w:t>
      </w:r>
      <w:r>
        <w:rPr>
          <w:rFonts w:hint="eastAsia" w:eastAsia="仿宋_GB2312" w:cs="仿宋_GB2312"/>
          <w:sz w:val="28"/>
          <w:szCs w:val="28"/>
        </w:rPr>
        <w:t xml:space="preserve">                              </w:t>
      </w:r>
    </w:p>
    <w:p w14:paraId="0F567FC5">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.......................7</w:t>
      </w:r>
      <w:r>
        <w:rPr>
          <w:rFonts w:hint="eastAsia" w:eastAsia="仿宋_GB2312" w:cs="仿宋_GB2312"/>
          <w:sz w:val="32"/>
          <w:szCs w:val="32"/>
        </w:rPr>
        <w:t xml:space="preserve">   </w:t>
      </w:r>
      <w:r>
        <w:rPr>
          <w:rFonts w:hint="eastAsia" w:eastAsia="仿宋_GB2312" w:cs="仿宋_GB2312"/>
          <w:sz w:val="28"/>
          <w:szCs w:val="28"/>
        </w:rPr>
        <w:t xml:space="preserve">          </w:t>
      </w:r>
    </w:p>
    <w:p w14:paraId="102F77C2">
      <w:pPr>
        <w:pStyle w:val="14"/>
        <w:adjustRightInd w:val="0"/>
        <w:snapToGrid w:val="0"/>
        <w:spacing w:line="560" w:lineRule="exact"/>
        <w:ind w:left="638" w:leftChars="304" w:firstLine="0" w:firstLineChars="0"/>
        <w:jc w:val="left"/>
        <w:rPr>
          <w:rFonts w:eastAsia="仿宋_GB2312" w:cs="仿宋_GB2312"/>
          <w:sz w:val="28"/>
          <w:szCs w:val="28"/>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...............7</w:t>
      </w:r>
      <w:r>
        <w:rPr>
          <w:rFonts w:hint="eastAsia" w:eastAsia="仿宋_GB2312" w:cs="仿宋_GB2312"/>
          <w:sz w:val="28"/>
          <w:szCs w:val="28"/>
        </w:rPr>
        <w:t xml:space="preserve">         </w:t>
      </w: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.....10</w:t>
      </w:r>
      <w:r>
        <w:rPr>
          <w:rFonts w:hint="eastAsia" w:eastAsia="仿宋_GB2312" w:cs="仿宋_GB2312"/>
          <w:sz w:val="28"/>
          <w:szCs w:val="28"/>
        </w:rPr>
        <w:t xml:space="preserve">  </w:t>
      </w:r>
    </w:p>
    <w:p w14:paraId="3F611E40">
      <w:pPr>
        <w:pStyle w:val="14"/>
        <w:adjustRightInd w:val="0"/>
        <w:snapToGrid w:val="0"/>
        <w:spacing w:line="560" w:lineRule="exact"/>
        <w:ind w:left="0" w:leftChars="0" w:firstLine="640" w:firstLineChars="200"/>
        <w:jc w:val="left"/>
        <w:rPr>
          <w:rFonts w:hint="eastAsia" w:eastAsia="仿宋_GB2312" w:cs="仿宋_GB2312"/>
          <w:sz w:val="28"/>
          <w:szCs w:val="28"/>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.................11</w:t>
      </w:r>
      <w:r>
        <w:rPr>
          <w:rFonts w:hint="eastAsia" w:eastAsia="仿宋_GB2312" w:cs="仿宋_GB2312"/>
          <w:sz w:val="32"/>
          <w:szCs w:val="32"/>
        </w:rPr>
        <w:t xml:space="preserve">  </w:t>
      </w:r>
      <w:r>
        <w:rPr>
          <w:rFonts w:hint="eastAsia" w:eastAsia="仿宋_GB2312" w:cs="仿宋_GB2312"/>
          <w:sz w:val="28"/>
          <w:szCs w:val="28"/>
        </w:rPr>
        <w:t xml:space="preserve">    </w:t>
      </w:r>
    </w:p>
    <w:p w14:paraId="6979229B">
      <w:pPr>
        <w:pStyle w:val="14"/>
        <w:adjustRightInd w:val="0"/>
        <w:snapToGrid w:val="0"/>
        <w:spacing w:line="560" w:lineRule="exact"/>
        <w:ind w:left="0" w:leftChars="0" w:firstLine="640" w:firstLineChars="200"/>
        <w:jc w:val="left"/>
        <w:rPr>
          <w:rFonts w:hint="eastAsia" w:eastAsia="仿宋_GB2312" w:cs="仿宋_GB2312"/>
          <w:sz w:val="28"/>
          <w:szCs w:val="28"/>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.........................12</w:t>
      </w:r>
      <w:r>
        <w:rPr>
          <w:rFonts w:hint="eastAsia" w:eastAsia="仿宋_GB2312" w:cs="仿宋_GB2312"/>
          <w:sz w:val="32"/>
          <w:szCs w:val="32"/>
        </w:rPr>
        <w:t xml:space="preserve"> </w:t>
      </w:r>
      <w:r>
        <w:rPr>
          <w:rFonts w:hint="eastAsia" w:eastAsia="仿宋_GB2312" w:cs="仿宋_GB2312"/>
          <w:sz w:val="28"/>
          <w:szCs w:val="28"/>
        </w:rPr>
        <w:t xml:space="preserve">             </w:t>
      </w:r>
    </w:p>
    <w:p w14:paraId="5609B7A3">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.....................12</w:t>
      </w:r>
      <w:r>
        <w:rPr>
          <w:rFonts w:hint="eastAsia" w:eastAsia="仿宋_GB2312" w:cs="仿宋_GB2312"/>
          <w:sz w:val="32"/>
          <w:szCs w:val="32"/>
        </w:rPr>
        <w:t xml:space="preserve">   </w:t>
      </w:r>
      <w:r>
        <w:rPr>
          <w:rFonts w:hint="eastAsia" w:eastAsia="仿宋_GB2312" w:cs="仿宋_GB2312"/>
          <w:sz w:val="28"/>
          <w:szCs w:val="28"/>
        </w:rPr>
        <w:t xml:space="preserve">         </w:t>
      </w:r>
    </w:p>
    <w:p w14:paraId="744FD72F">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.........................................12</w:t>
      </w:r>
      <w:r>
        <w:rPr>
          <w:rFonts w:hint="eastAsia" w:eastAsia="仿宋_GB2312" w:cs="仿宋_GB2312"/>
          <w:sz w:val="32"/>
          <w:szCs w:val="32"/>
        </w:rPr>
        <w:t xml:space="preserve">   </w:t>
      </w:r>
      <w:r>
        <w:rPr>
          <w:rFonts w:hint="eastAsia" w:eastAsia="仿宋_GB2312" w:cs="仿宋_GB2312"/>
          <w:sz w:val="28"/>
          <w:szCs w:val="28"/>
        </w:rPr>
        <w:t xml:space="preserve">                    </w:t>
      </w:r>
    </w:p>
    <w:p w14:paraId="6C9CFF99">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.................................................................14</w:t>
      </w:r>
      <w:r>
        <w:rPr>
          <w:rFonts w:hint="eastAsia" w:ascii="Times New Roman" w:hAnsi="Times New Roman" w:eastAsia="黑体" w:cs="黑体"/>
        </w:rPr>
        <w:t xml:space="preserve">                                     </w:t>
      </w:r>
    </w:p>
    <w:p w14:paraId="79DCB080">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.........................................................................17</w:t>
      </w:r>
      <w:r>
        <w:rPr>
          <w:rFonts w:hint="eastAsia" w:ascii="Times New Roman" w:hAnsi="Times New Roman" w:eastAsia="黑体" w:cs="黑体"/>
        </w:rPr>
        <w:t xml:space="preserve">                                          </w:t>
      </w:r>
    </w:p>
    <w:p w14:paraId="7F1AE94A">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.........................................................................18</w:t>
      </w:r>
      <w:r>
        <w:rPr>
          <w:rFonts w:hint="eastAsia" w:ascii="Times New Roman" w:hAnsi="Times New Roman" w:eastAsia="黑体" w:cs="黑体"/>
          <w:sz w:val="32"/>
          <w:szCs w:val="32"/>
        </w:rPr>
        <w:t xml:space="preserve"> </w:t>
      </w:r>
      <w:r>
        <w:rPr>
          <w:rFonts w:hint="eastAsia" w:ascii="Times New Roman" w:hAnsi="Times New Roman" w:eastAsia="黑体" w:cs="黑体"/>
        </w:rPr>
        <w:t xml:space="preserve">                                        </w:t>
      </w:r>
    </w:p>
    <w:p w14:paraId="7757E851">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一、收入支出决算总表</w:t>
      </w:r>
      <w:r>
        <w:rPr>
          <w:rFonts w:hint="eastAsia" w:eastAsia="仿宋_GB2312" w:cs="仿宋_GB2312"/>
          <w:sz w:val="32"/>
          <w:szCs w:val="32"/>
          <w:lang w:val="en-US" w:eastAsia="zh-CN"/>
        </w:rPr>
        <w:t>.....................................................18</w:t>
      </w:r>
      <w:r>
        <w:rPr>
          <w:rFonts w:hint="eastAsia" w:eastAsia="仿宋_GB2312" w:cs="仿宋_GB2312"/>
          <w:sz w:val="28"/>
          <w:szCs w:val="28"/>
        </w:rPr>
        <w:t xml:space="preserve">                               </w:t>
      </w:r>
    </w:p>
    <w:p w14:paraId="188ECE30">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二、收入决算表</w:t>
      </w:r>
      <w:r>
        <w:rPr>
          <w:rFonts w:hint="eastAsia" w:eastAsia="仿宋_GB2312" w:cs="仿宋_GB2312"/>
          <w:sz w:val="32"/>
          <w:szCs w:val="32"/>
          <w:lang w:val="en-US" w:eastAsia="zh-CN"/>
        </w:rPr>
        <w:t>.................................................................</w:t>
      </w:r>
      <w:bookmarkStart w:id="63" w:name="_GoBack"/>
      <w:r>
        <w:rPr>
          <w:rFonts w:hint="eastAsia" w:eastAsia="仿宋_GB2312" w:cs="仿宋_GB2312"/>
          <w:sz w:val="32"/>
          <w:szCs w:val="32"/>
          <w:lang w:val="en-US" w:eastAsia="zh-CN"/>
        </w:rPr>
        <w:t>18</w:t>
      </w:r>
      <w:bookmarkEnd w:id="63"/>
      <w:r>
        <w:rPr>
          <w:rFonts w:hint="eastAsia" w:eastAsia="仿宋_GB2312" w:cs="仿宋_GB2312"/>
          <w:sz w:val="32"/>
          <w:szCs w:val="32"/>
        </w:rPr>
        <w:t xml:space="preserve">  </w:t>
      </w:r>
      <w:r>
        <w:rPr>
          <w:rFonts w:hint="eastAsia" w:eastAsia="仿宋_GB2312" w:cs="仿宋_GB2312"/>
          <w:sz w:val="28"/>
          <w:szCs w:val="28"/>
        </w:rPr>
        <w:t xml:space="preserve">                                   </w:t>
      </w:r>
    </w:p>
    <w:p w14:paraId="12FDFBA1">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 xml:space="preserve">三、支出决算表 </w:t>
      </w:r>
      <w:r>
        <w:rPr>
          <w:rFonts w:hint="eastAsia" w:eastAsia="仿宋_GB2312" w:cs="仿宋_GB2312"/>
          <w:sz w:val="32"/>
          <w:szCs w:val="32"/>
          <w:lang w:val="en-US" w:eastAsia="zh-CN"/>
        </w:rPr>
        <w:t>...............................................................18</w:t>
      </w:r>
      <w:r>
        <w:rPr>
          <w:rFonts w:hint="eastAsia" w:eastAsia="仿宋_GB2312" w:cs="仿宋_GB2312"/>
          <w:sz w:val="32"/>
          <w:szCs w:val="32"/>
        </w:rPr>
        <w:t xml:space="preserve"> </w:t>
      </w:r>
      <w:r>
        <w:rPr>
          <w:rFonts w:hint="eastAsia" w:eastAsia="仿宋_GB2312" w:cs="仿宋_GB2312"/>
          <w:sz w:val="28"/>
          <w:szCs w:val="28"/>
        </w:rPr>
        <w:t xml:space="preserve">                                   </w:t>
      </w:r>
    </w:p>
    <w:p w14:paraId="7F469594">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.....................................18</w:t>
      </w:r>
      <w:r>
        <w:rPr>
          <w:rFonts w:hint="eastAsia" w:eastAsia="仿宋_GB2312" w:cs="仿宋_GB2312"/>
          <w:sz w:val="32"/>
          <w:szCs w:val="32"/>
        </w:rPr>
        <w:t xml:space="preserve">   </w:t>
      </w:r>
      <w:r>
        <w:rPr>
          <w:rFonts w:hint="eastAsia" w:eastAsia="仿宋_GB2312" w:cs="仿宋_GB2312"/>
          <w:sz w:val="28"/>
          <w:szCs w:val="28"/>
        </w:rPr>
        <w:t xml:space="preserve">                  </w:t>
      </w:r>
    </w:p>
    <w:p w14:paraId="5B9562EC">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.........................................18</w:t>
      </w:r>
      <w:r>
        <w:rPr>
          <w:rFonts w:hint="eastAsia" w:eastAsia="仿宋_GB2312" w:cs="仿宋_GB2312"/>
          <w:sz w:val="32"/>
          <w:szCs w:val="32"/>
        </w:rPr>
        <w:t xml:space="preserve">  </w:t>
      </w:r>
      <w:r>
        <w:rPr>
          <w:rFonts w:hint="eastAsia" w:eastAsia="仿宋_GB2312" w:cs="仿宋_GB2312"/>
          <w:sz w:val="28"/>
          <w:szCs w:val="28"/>
        </w:rPr>
        <w:t xml:space="preserve">                     </w:t>
      </w:r>
    </w:p>
    <w:p w14:paraId="2A103628">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.........................18</w:t>
      </w:r>
      <w:r>
        <w:rPr>
          <w:rFonts w:hint="eastAsia" w:eastAsia="仿宋_GB2312" w:cs="仿宋_GB2312"/>
          <w:sz w:val="32"/>
          <w:szCs w:val="32"/>
        </w:rPr>
        <w:t xml:space="preserve"> </w:t>
      </w:r>
      <w:r>
        <w:rPr>
          <w:rFonts w:hint="eastAsia" w:eastAsia="仿宋_GB2312" w:cs="仿宋_GB2312"/>
          <w:sz w:val="28"/>
          <w:szCs w:val="28"/>
        </w:rPr>
        <w:t xml:space="preserve">             </w:t>
      </w:r>
    </w:p>
    <w:p w14:paraId="600959DD">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.................18</w:t>
      </w:r>
      <w:r>
        <w:rPr>
          <w:rFonts w:hint="eastAsia" w:eastAsia="仿宋_GB2312" w:cs="仿宋_GB2312"/>
          <w:sz w:val="28"/>
          <w:szCs w:val="28"/>
        </w:rPr>
        <w:t xml:space="preserve">          </w:t>
      </w:r>
    </w:p>
    <w:p w14:paraId="09A30221">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.........18</w:t>
      </w:r>
      <w:r>
        <w:rPr>
          <w:rFonts w:hint="eastAsia" w:eastAsia="仿宋_GB2312" w:cs="仿宋_GB2312"/>
          <w:sz w:val="28"/>
          <w:szCs w:val="28"/>
        </w:rPr>
        <w:t xml:space="preserve">     </w:t>
      </w:r>
    </w:p>
    <w:p w14:paraId="76071E9D">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.................18</w:t>
      </w:r>
      <w:r>
        <w:rPr>
          <w:rFonts w:hint="eastAsia" w:eastAsia="仿宋_GB2312" w:cs="仿宋_GB2312"/>
          <w:sz w:val="32"/>
          <w:szCs w:val="32"/>
        </w:rPr>
        <w:t xml:space="preserve"> </w:t>
      </w:r>
      <w:r>
        <w:rPr>
          <w:rFonts w:hint="eastAsia" w:eastAsia="仿宋_GB2312" w:cs="仿宋_GB2312"/>
          <w:sz w:val="28"/>
          <w:szCs w:val="28"/>
        </w:rPr>
        <w:t xml:space="preserve">         </w:t>
      </w:r>
    </w:p>
    <w:p w14:paraId="75833A8C">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.............18</w:t>
      </w:r>
      <w:r>
        <w:rPr>
          <w:rFonts w:hint="eastAsia" w:eastAsia="仿宋_GB2312" w:cs="仿宋_GB2312"/>
          <w:sz w:val="32"/>
          <w:szCs w:val="32"/>
        </w:rPr>
        <w:t xml:space="preserve">   </w:t>
      </w:r>
      <w:r>
        <w:rPr>
          <w:rFonts w:hint="eastAsia" w:eastAsia="仿宋_GB2312" w:cs="仿宋_GB2312"/>
          <w:sz w:val="28"/>
          <w:szCs w:val="28"/>
        </w:rPr>
        <w:t xml:space="preserve">    </w:t>
      </w:r>
    </w:p>
    <w:p w14:paraId="2C9B031B">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.....18</w:t>
      </w:r>
      <w:r>
        <w:rPr>
          <w:rFonts w:hint="eastAsia" w:eastAsia="仿宋_GB2312" w:cs="仿宋_GB2312"/>
          <w:sz w:val="32"/>
          <w:szCs w:val="32"/>
        </w:rPr>
        <w:t xml:space="preserve"> </w:t>
      </w:r>
      <w:r>
        <w:rPr>
          <w:rFonts w:hint="eastAsia" w:eastAsia="仿宋_GB2312" w:cs="仿宋_GB2312"/>
          <w:sz w:val="28"/>
          <w:szCs w:val="28"/>
        </w:rPr>
        <w:t xml:space="preserve">  </w:t>
      </w:r>
    </w:p>
    <w:p w14:paraId="0AAC8F48">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.............18</w:t>
      </w:r>
      <w:r>
        <w:rPr>
          <w:rFonts w:hint="eastAsia" w:eastAsia="仿宋_GB2312" w:cs="仿宋_GB2312"/>
          <w:sz w:val="32"/>
          <w:szCs w:val="32"/>
        </w:rPr>
        <w:t xml:space="preserve"> </w:t>
      </w:r>
      <w:r>
        <w:rPr>
          <w:rFonts w:hint="eastAsia" w:eastAsia="仿宋_GB2312" w:cs="仿宋_GB2312"/>
          <w:sz w:val="28"/>
          <w:szCs w:val="28"/>
        </w:rPr>
        <w:t xml:space="preserve">       </w:t>
      </w:r>
    </w:p>
    <w:p w14:paraId="70CB2B6A">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.........................18</w:t>
      </w:r>
      <w:r>
        <w:rPr>
          <w:rFonts w:hint="eastAsia" w:eastAsia="仿宋_GB2312" w:cs="仿宋_GB2312"/>
          <w:sz w:val="32"/>
          <w:szCs w:val="32"/>
        </w:rPr>
        <w:t xml:space="preserve">    </w:t>
      </w:r>
      <w:r>
        <w:rPr>
          <w:rFonts w:hint="eastAsia" w:eastAsia="仿宋_GB2312" w:cs="仿宋_GB2312"/>
          <w:sz w:val="28"/>
          <w:szCs w:val="28"/>
        </w:rPr>
        <w:t xml:space="preserve">          </w:t>
      </w:r>
    </w:p>
    <w:p w14:paraId="3AAE5A29">
      <w:pPr>
        <w:widowControl/>
        <w:spacing w:line="560" w:lineRule="exact"/>
        <w:jc w:val="left"/>
        <w:rPr>
          <w:rFonts w:eastAsia="仿宋_GB2312" w:cs="仿宋_GB2312"/>
          <w:bCs/>
          <w:kern w:val="44"/>
          <w:sz w:val="24"/>
        </w:rPr>
      </w:pPr>
      <w:bookmarkStart w:id="6" w:name="_Toc15377196"/>
      <w:bookmarkStart w:id="7" w:name="_Toc15396599"/>
      <w:r>
        <w:rPr>
          <w:rFonts w:hint="eastAsia" w:eastAsia="仿宋_GB2312" w:cs="仿宋_GB2312"/>
          <w:b/>
          <w:sz w:val="24"/>
        </w:rPr>
        <w:br w:type="page"/>
      </w:r>
    </w:p>
    <w:p w14:paraId="6225DD96">
      <w:pPr>
        <w:pStyle w:val="5"/>
        <w:jc w:val="center"/>
        <w:rPr>
          <w:rStyle w:val="28"/>
          <w:rFonts w:hint="default" w:ascii="Times New Roman" w:hAnsi="Times New Roman" w:eastAsia="方正小标宋简体" w:cs="Times New Roman"/>
          <w:b/>
          <w:bCs w:val="0"/>
        </w:rPr>
      </w:pPr>
      <w:r>
        <w:rPr>
          <w:rFonts w:hint="default" w:ascii="Times New Roman" w:hAnsi="Times New Roman" w:eastAsia="方正小标宋简体" w:cs="Times New Roman"/>
          <w:b w:val="0"/>
        </w:rPr>
        <w:t xml:space="preserve">第一部分  </w:t>
      </w:r>
      <w:r>
        <w:rPr>
          <w:rStyle w:val="28"/>
          <w:rFonts w:hint="default" w:ascii="Times New Roman" w:hAnsi="Times New Roman" w:eastAsia="方正小标宋简体" w:cs="Times New Roman"/>
          <w:b w:val="0"/>
          <w:bCs w:val="0"/>
        </w:rPr>
        <w:t>单位概况</w:t>
      </w:r>
      <w:bookmarkEnd w:id="6"/>
      <w:bookmarkEnd w:id="7"/>
    </w:p>
    <w:p w14:paraId="1B8FECE6">
      <w:pPr>
        <w:pStyle w:val="6"/>
        <w:ind w:firstLine="640" w:firstLineChars="200"/>
        <w:rPr>
          <w:rFonts w:hint="default" w:ascii="Times New Roman" w:hAnsi="Times New Roman" w:eastAsia="黑体" w:cs="Times New Roman"/>
          <w:b w:val="0"/>
        </w:rPr>
      </w:pPr>
      <w:bookmarkStart w:id="8" w:name="_Toc15377197"/>
      <w:bookmarkStart w:id="9" w:name="_Toc15396600"/>
      <w:r>
        <w:rPr>
          <w:rFonts w:hint="default" w:ascii="Times New Roman" w:hAnsi="Times New Roman" w:eastAsia="黑体" w:cs="Times New Roman"/>
          <w:b w:val="0"/>
        </w:rPr>
        <w:t>一、</w:t>
      </w:r>
      <w:bookmarkEnd w:id="8"/>
      <w:bookmarkEnd w:id="9"/>
      <w:r>
        <w:rPr>
          <w:rFonts w:hint="default" w:ascii="Times New Roman" w:hAnsi="Times New Roman" w:eastAsia="黑体" w:cs="Times New Roman"/>
          <w:b w:val="0"/>
        </w:rPr>
        <w:t>主要职责</w:t>
      </w:r>
    </w:p>
    <w:p w14:paraId="4F4B3949">
      <w:pPr>
        <w:pStyle w:val="8"/>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（一）、研究相关理论、政策和规划、拟订相关规范性文件并组织实施。深入调查研究，及时向县委报告工作情况并提出建议。指导乡（镇）党委开展社会工作。</w:t>
      </w:r>
    </w:p>
    <w:p w14:paraId="4CAAA51B">
      <w:pPr>
        <w:pStyle w:val="8"/>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二）统筹指导全县群众利益协调、诉求表达、矛盾调处、权益保障等人民信访工作，协调解决人民群众急难愁盼的重大问题。指导人民建议征集工作，负责征集、办理公民、法人和其他组织提出的意见建议，向县委、县政府及时反映公民、法人和其他组织对党和国家事业发展提出的重要意见建议。</w:t>
      </w:r>
    </w:p>
    <w:p w14:paraId="4A0BBFDE">
      <w:pPr>
        <w:pStyle w:val="8"/>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（三）统筹推进党建引领基层治理和基层政权建设 ，协调推进城乡社会治理体系、服务体系和治理能力建设 ，推动基层民主政治建设，指导监督基层骄人自治制度的有效实施，健全基层群众自治机制。</w:t>
      </w:r>
    </w:p>
    <w:p w14:paraId="6B73ADDD">
      <w:pPr>
        <w:pStyle w:val="8"/>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（四）指导全县性社会组织党建工作，统一领导全县性行业协会商会负责人人选的审核。协调推动全县行业协会商会深化改革和转型发展，调查研究相关重大问题。</w:t>
      </w:r>
    </w:p>
    <w:p w14:paraId="1F6D6E8C">
      <w:pPr>
        <w:pStyle w:val="8"/>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（五）指导全县混合所有制企业 、非公有制企业和新经济组织、新社会组织、新就业群体（以下简称“两企三新”）党建工作，指导协调相关企业单位、社会组织、就业群体中党员的教育、管理、监督和服务工作，研究完善相关领域群众利益协调机制。</w:t>
      </w:r>
    </w:p>
    <w:p w14:paraId="64C645E9">
      <w:pPr>
        <w:pStyle w:val="8"/>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(六)负责全县志愿服务工作的统筹规划、协调指导、督促检查，指导推动社会工作人才队伍建设、志愿服务人才队伍建设和阵地建设，协调推动社会工作服务体系和志愿服务体系建设。</w:t>
      </w:r>
    </w:p>
    <w:p w14:paraId="1A237A83">
      <w:pPr>
        <w:pStyle w:val="8"/>
        <w:spacing w:before="93"/>
        <w:ind w:firstLine="480"/>
        <w:rPr>
          <w:rFonts w:hint="default" w:ascii="Times New Roman" w:hAnsi="Times New Roman" w:cs="Times New Roman"/>
        </w:rPr>
      </w:pPr>
      <w:r>
        <w:rPr>
          <w:rFonts w:hint="default" w:ascii="Times New Roman" w:hAnsi="Times New Roman" w:cs="Times New Roman"/>
          <w:kern w:val="2"/>
          <w:sz w:val="32"/>
          <w:szCs w:val="32"/>
        </w:rPr>
        <w:t>（七）完成县委交办的其他任务。</w:t>
      </w:r>
    </w:p>
    <w:p w14:paraId="5B914B5C">
      <w:pPr>
        <w:pStyle w:val="6"/>
        <w:rPr>
          <w:rStyle w:val="29"/>
          <w:rFonts w:hint="default" w:ascii="Times New Roman" w:hAnsi="Times New Roman" w:eastAsia="黑体" w:cs="Times New Roman"/>
          <w:b w:val="0"/>
          <w:bCs w:val="0"/>
        </w:rPr>
      </w:pPr>
      <w:bookmarkStart w:id="10" w:name="_Toc15396601"/>
      <w:bookmarkStart w:id="11" w:name="_Toc15377200"/>
      <w:r>
        <w:rPr>
          <w:rFonts w:hint="default" w:ascii="Times New Roman" w:hAnsi="Times New Roman" w:eastAsia="黑体" w:cs="Times New Roman"/>
          <w:b w:val="0"/>
        </w:rPr>
        <w:t>二、机</w:t>
      </w:r>
      <w:r>
        <w:rPr>
          <w:rStyle w:val="29"/>
          <w:rFonts w:hint="default" w:ascii="Times New Roman" w:hAnsi="Times New Roman" w:eastAsia="黑体" w:cs="Times New Roman"/>
          <w:b w:val="0"/>
          <w:bCs w:val="0"/>
        </w:rPr>
        <w:t>构设置</w:t>
      </w:r>
      <w:bookmarkEnd w:id="10"/>
      <w:bookmarkEnd w:id="11"/>
    </w:p>
    <w:p w14:paraId="2B67F09C">
      <w:pPr>
        <w:pStyle w:val="8"/>
        <w:spacing w:before="93"/>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中共盐边县委社会工作部内设股室4个，即办公室、一股、二股、三股。下属事业单位1个，盐边县社会工作服务中心。</w:t>
      </w:r>
    </w:p>
    <w:p w14:paraId="14D78B6E">
      <w:pPr>
        <w:pStyle w:val="5"/>
        <w:jc w:val="center"/>
        <w:rPr>
          <w:rFonts w:hint="default" w:ascii="Times New Roman" w:hAnsi="Times New Roman" w:eastAsia="方正小标宋简体" w:cs="Times New Roman"/>
          <w:b w:val="0"/>
        </w:rPr>
      </w:pPr>
      <w:bookmarkStart w:id="12" w:name="_Toc15396602"/>
      <w:bookmarkStart w:id="13" w:name="_Toc15377204"/>
      <w:r>
        <w:rPr>
          <w:rFonts w:hint="default" w:ascii="Times New Roman" w:hAnsi="Times New Roman" w:eastAsia="方正小标宋简体" w:cs="Times New Roman"/>
          <w:b w:val="0"/>
        </w:rPr>
        <w:t>第二部分  2024年度部门决算情况说明</w:t>
      </w:r>
      <w:bookmarkEnd w:id="12"/>
      <w:bookmarkEnd w:id="13"/>
    </w:p>
    <w:p w14:paraId="4477584F">
      <w:pPr>
        <w:pStyle w:val="27"/>
        <w:spacing w:line="600" w:lineRule="exact"/>
        <w:ind w:firstLine="640"/>
        <w:outlineLvl w:val="1"/>
        <w:rPr>
          <w:rStyle w:val="29"/>
          <w:rFonts w:hint="default" w:ascii="Times New Roman" w:hAnsi="Times New Roman" w:eastAsia="黑体" w:cs="Times New Roman"/>
          <w:b w:val="0"/>
        </w:rPr>
      </w:pPr>
      <w:bookmarkStart w:id="14" w:name="_Toc15396603"/>
      <w:bookmarkStart w:id="15" w:name="_Toc15377205"/>
      <w:r>
        <w:rPr>
          <w:rFonts w:hint="default" w:ascii="Times New Roman" w:hAnsi="Times New Roman" w:eastAsia="黑体" w:cs="Times New Roman"/>
          <w:sz w:val="32"/>
          <w:szCs w:val="32"/>
        </w:rPr>
        <w:t>一、收</w:t>
      </w:r>
      <w:r>
        <w:rPr>
          <w:rStyle w:val="29"/>
          <w:rFonts w:hint="default" w:ascii="Times New Roman" w:hAnsi="Times New Roman" w:eastAsia="黑体" w:cs="Times New Roman"/>
          <w:b w:val="0"/>
        </w:rPr>
        <w:t>入支出决算总体情况说明</w:t>
      </w:r>
      <w:bookmarkEnd w:id="14"/>
      <w:bookmarkEnd w:id="15"/>
    </w:p>
    <w:p w14:paraId="3AF2376A">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2024年度收入、支出总计均为108.55万元。该单位于2024年5月新成立，无2023年数据。</w:t>
      </w:r>
    </w:p>
    <w:p w14:paraId="721B8DDF">
      <w:pPr>
        <w:pStyle w:val="27"/>
        <w:spacing w:line="600" w:lineRule="exact"/>
        <w:ind w:firstLine="640"/>
        <w:outlineLvl w:val="1"/>
        <w:rPr>
          <w:rFonts w:hint="default" w:ascii="Times New Roman" w:hAnsi="Times New Roman" w:eastAsia="仿宋_GB2312" w:cs="Times New Roman"/>
          <w:sz w:val="32"/>
          <w:szCs w:val="32"/>
        </w:rPr>
      </w:pPr>
    </w:p>
    <w:p w14:paraId="5F761F12">
      <w:pPr>
        <w:pStyle w:val="27"/>
        <w:spacing w:line="600" w:lineRule="exact"/>
        <w:ind w:firstLine="640"/>
        <w:outlineLvl w:val="1"/>
        <w:rPr>
          <w:rFonts w:hint="default" w:ascii="Times New Roman" w:hAnsi="Times New Roman" w:eastAsia="仿宋_GB2312" w:cs="Times New Roman"/>
          <w:sz w:val="32"/>
          <w:szCs w:val="32"/>
        </w:rPr>
      </w:pPr>
    </w:p>
    <w:p w14:paraId="1640D925">
      <w:pPr>
        <w:pStyle w:val="27"/>
        <w:spacing w:line="600" w:lineRule="exact"/>
        <w:ind w:firstLine="640"/>
        <w:outlineLvl w:val="1"/>
        <w:rPr>
          <w:rFonts w:hint="default" w:ascii="Times New Roman" w:hAnsi="Times New Roman" w:eastAsia="仿宋_GB2312" w:cs="Times New Roman"/>
          <w:sz w:val="32"/>
          <w:szCs w:val="32"/>
        </w:rPr>
      </w:pPr>
    </w:p>
    <w:p w14:paraId="4EDA79A4">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1" locked="0" layoutInCell="1" allowOverlap="1">
            <wp:simplePos x="0" y="0"/>
            <wp:positionH relativeFrom="column">
              <wp:posOffset>428625</wp:posOffset>
            </wp:positionH>
            <wp:positionV relativeFrom="paragraph">
              <wp:posOffset>257175</wp:posOffset>
            </wp:positionV>
            <wp:extent cx="4810125" cy="3095625"/>
            <wp:effectExtent l="19050" t="0" r="9525" b="0"/>
            <wp:wrapTight wrapText="bothSides">
              <wp:wrapPolygon>
                <wp:start x="-86" y="0"/>
                <wp:lineTo x="-86" y="21534"/>
                <wp:lineTo x="21643" y="21534"/>
                <wp:lineTo x="21643" y="0"/>
                <wp:lineTo x="-86"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925195E">
      <w:pPr>
        <w:pStyle w:val="27"/>
        <w:spacing w:line="600" w:lineRule="exact"/>
        <w:ind w:firstLine="640"/>
        <w:outlineLvl w:val="1"/>
        <w:rPr>
          <w:rFonts w:hint="default" w:ascii="Times New Roman" w:hAnsi="Times New Roman" w:eastAsia="黑体" w:cs="Times New Roman"/>
          <w:sz w:val="32"/>
          <w:szCs w:val="32"/>
        </w:rPr>
      </w:pPr>
      <w:bookmarkStart w:id="16" w:name="_Toc15396604"/>
      <w:bookmarkStart w:id="17" w:name="_Toc15377206"/>
      <w:r>
        <w:rPr>
          <w:rFonts w:hint="default" w:ascii="Times New Roman" w:hAnsi="Times New Roman" w:eastAsia="黑体" w:cs="Times New Roman"/>
          <w:sz w:val="32"/>
          <w:szCs w:val="32"/>
        </w:rPr>
        <w:t>二、收入决算情况说明</w:t>
      </w:r>
      <w:bookmarkEnd w:id="16"/>
      <w:bookmarkEnd w:id="17"/>
    </w:p>
    <w:p w14:paraId="07F41720">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108.55万元，其中：一般公共预算财政拨款收入108.55万元，占100%；政府性基金预算财政拨款收入0万元，占0%；国有资本经营预算财政拨款收入0万元，占0%；上级补助收入0万元，占0%；事业收入0万元，占0%；经营收入0万元，占0%；附属单位上缴收入0万元，占0%；其他收入0万元，占0%。</w:t>
      </w:r>
    </w:p>
    <w:p w14:paraId="6C988C99">
      <w:pPr>
        <w:pStyle w:val="27"/>
        <w:spacing w:line="600" w:lineRule="exact"/>
        <w:ind w:firstLine="640"/>
        <w:jc w:val="left"/>
        <w:outlineLvl w:val="1"/>
        <w:rPr>
          <w:rFonts w:hint="default" w:ascii="Times New Roman" w:hAnsi="Times New Roman" w:eastAsia="仿宋_GB2312" w:cs="Times New Roman"/>
          <w:sz w:val="32"/>
          <w:szCs w:val="32"/>
        </w:rPr>
      </w:pPr>
    </w:p>
    <w:p w14:paraId="61AF42BA">
      <w:pPr>
        <w:pStyle w:val="27"/>
        <w:spacing w:line="600" w:lineRule="exact"/>
        <w:ind w:firstLine="640"/>
        <w:jc w:val="left"/>
        <w:outlineLvl w:val="1"/>
        <w:rPr>
          <w:rFonts w:hint="default" w:ascii="Times New Roman" w:hAnsi="Times New Roman" w:eastAsia="仿宋_GB2312" w:cs="Times New Roman"/>
          <w:sz w:val="32"/>
          <w:szCs w:val="32"/>
        </w:rPr>
      </w:pPr>
    </w:p>
    <w:p w14:paraId="1BF656D9">
      <w:pPr>
        <w:pStyle w:val="27"/>
        <w:spacing w:line="600" w:lineRule="exact"/>
        <w:ind w:firstLine="640"/>
        <w:jc w:val="left"/>
        <w:outlineLvl w:val="1"/>
        <w:rPr>
          <w:rFonts w:hint="default" w:ascii="Times New Roman" w:hAnsi="Times New Roman" w:eastAsia="仿宋_GB2312" w:cs="Times New Roman"/>
          <w:sz w:val="32"/>
          <w:szCs w:val="32"/>
        </w:rPr>
      </w:pPr>
    </w:p>
    <w:p w14:paraId="7CB13433">
      <w:pPr>
        <w:pStyle w:val="27"/>
        <w:spacing w:line="600" w:lineRule="exact"/>
        <w:ind w:firstLine="640"/>
        <w:jc w:val="left"/>
        <w:outlineLvl w:val="1"/>
        <w:rPr>
          <w:rFonts w:hint="default" w:ascii="Times New Roman" w:hAnsi="Times New Roman" w:eastAsia="仿宋_GB2312" w:cs="Times New Roman"/>
          <w:sz w:val="32"/>
          <w:szCs w:val="32"/>
        </w:rPr>
      </w:pPr>
    </w:p>
    <w:p w14:paraId="3AC1DF3D">
      <w:pPr>
        <w:pStyle w:val="27"/>
        <w:spacing w:line="600" w:lineRule="exact"/>
        <w:ind w:firstLine="640"/>
        <w:jc w:val="left"/>
        <w:outlineLvl w:val="1"/>
        <w:rPr>
          <w:rFonts w:hint="default" w:ascii="Times New Roman" w:hAnsi="Times New Roman" w:eastAsia="仿宋_GB2312" w:cs="Times New Roman"/>
          <w:sz w:val="32"/>
          <w:szCs w:val="32"/>
        </w:rPr>
      </w:pPr>
    </w:p>
    <w:p w14:paraId="21FCED4B">
      <w:pPr>
        <w:pStyle w:val="27"/>
        <w:spacing w:line="600" w:lineRule="exact"/>
        <w:ind w:firstLine="640"/>
        <w:jc w:val="left"/>
        <w:outlineLvl w:val="1"/>
        <w:rPr>
          <w:rFonts w:hint="default" w:ascii="Times New Roman" w:hAnsi="Times New Roman" w:eastAsia="仿宋_GB2312" w:cs="Times New Roman"/>
          <w:sz w:val="32"/>
          <w:szCs w:val="32"/>
        </w:rPr>
      </w:pPr>
    </w:p>
    <w:p w14:paraId="2A023E42">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0288" behindDoc="1" locked="0" layoutInCell="1" allowOverlap="1">
            <wp:simplePos x="0" y="0"/>
            <wp:positionH relativeFrom="column">
              <wp:posOffset>428625</wp:posOffset>
            </wp:positionH>
            <wp:positionV relativeFrom="paragraph">
              <wp:posOffset>180975</wp:posOffset>
            </wp:positionV>
            <wp:extent cx="4638675" cy="2786380"/>
            <wp:effectExtent l="19050" t="0" r="9525" b="0"/>
            <wp:wrapTight wrapText="bothSides">
              <wp:wrapPolygon>
                <wp:start x="-89" y="0"/>
                <wp:lineTo x="-89" y="21561"/>
                <wp:lineTo x="21644" y="21561"/>
                <wp:lineTo x="21644" y="0"/>
                <wp:lineTo x="-89"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30DDC05">
      <w:pPr>
        <w:pStyle w:val="27"/>
        <w:spacing w:line="600" w:lineRule="exact"/>
        <w:ind w:firstLine="640"/>
        <w:outlineLvl w:val="1"/>
        <w:rPr>
          <w:rStyle w:val="29"/>
          <w:rFonts w:hint="default" w:ascii="Times New Roman" w:hAnsi="Times New Roman" w:eastAsia="黑体" w:cs="Times New Roman"/>
          <w:b w:val="0"/>
        </w:rPr>
      </w:pPr>
      <w:bookmarkStart w:id="18" w:name="_Toc15396605"/>
      <w:bookmarkStart w:id="19" w:name="_Toc15377207"/>
      <w:r>
        <w:rPr>
          <w:rFonts w:hint="default" w:ascii="Times New Roman" w:hAnsi="Times New Roman" w:eastAsia="黑体" w:cs="Times New Roman"/>
          <w:sz w:val="32"/>
          <w:szCs w:val="32"/>
        </w:rPr>
        <w:t>三、支</w:t>
      </w:r>
      <w:r>
        <w:rPr>
          <w:rStyle w:val="29"/>
          <w:rFonts w:hint="default" w:ascii="Times New Roman" w:hAnsi="Times New Roman" w:eastAsia="黑体" w:cs="Times New Roman"/>
          <w:b w:val="0"/>
        </w:rPr>
        <w:t>出决算情况说明</w:t>
      </w:r>
      <w:bookmarkEnd w:id="18"/>
      <w:bookmarkEnd w:id="19"/>
    </w:p>
    <w:p w14:paraId="4EFBF849">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2024年度本年支出合计108.55万元，其中：基本支出102.7万元，占94.61%；项目支出5.85万元，占5.39%；上缴上级支出0万元，占0%；经营支出0万元，占0%；对附属单位补助支出0万元，占0%。</w:t>
      </w:r>
    </w:p>
    <w:p w14:paraId="1A357D9B">
      <w:pPr>
        <w:pStyle w:val="27"/>
        <w:spacing w:line="600" w:lineRule="exact"/>
        <w:ind w:firstLine="640"/>
        <w:jc w:val="left"/>
        <w:outlineLvl w:val="1"/>
        <w:rPr>
          <w:rFonts w:hint="default" w:ascii="Times New Roman" w:hAnsi="Times New Roman" w:eastAsia="仿宋_GB2312" w:cs="Times New Roman"/>
          <w:sz w:val="32"/>
          <w:szCs w:val="32"/>
        </w:rPr>
      </w:pPr>
    </w:p>
    <w:p w14:paraId="73AFFED2">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1312" behindDoc="1" locked="0" layoutInCell="1" allowOverlap="1">
            <wp:simplePos x="0" y="0"/>
            <wp:positionH relativeFrom="column">
              <wp:posOffset>428625</wp:posOffset>
            </wp:positionH>
            <wp:positionV relativeFrom="paragraph">
              <wp:posOffset>127000</wp:posOffset>
            </wp:positionV>
            <wp:extent cx="4695825" cy="2466975"/>
            <wp:effectExtent l="19050" t="0" r="9525" b="0"/>
            <wp:wrapTight wrapText="bothSides">
              <wp:wrapPolygon>
                <wp:start x="-88" y="0"/>
                <wp:lineTo x="-88" y="21517"/>
                <wp:lineTo x="21644" y="21517"/>
                <wp:lineTo x="21644" y="0"/>
                <wp:lineTo x="-88"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46ABD63">
      <w:pPr>
        <w:spacing w:line="600" w:lineRule="exact"/>
        <w:ind w:firstLine="640" w:firstLineChars="200"/>
        <w:outlineLvl w:val="1"/>
        <w:rPr>
          <w:rStyle w:val="29"/>
          <w:rFonts w:hint="default" w:ascii="Times New Roman" w:hAnsi="Times New Roman" w:eastAsia="黑体" w:cs="Times New Roman"/>
          <w:b w:val="0"/>
        </w:rPr>
      </w:pPr>
      <w:bookmarkStart w:id="20" w:name="_Toc15377208"/>
      <w:bookmarkStart w:id="21" w:name="_Toc15396606"/>
      <w:r>
        <w:rPr>
          <w:rFonts w:hint="default" w:ascii="Times New Roman" w:hAnsi="Times New Roman" w:eastAsia="黑体" w:cs="Times New Roman"/>
          <w:sz w:val="32"/>
          <w:szCs w:val="32"/>
        </w:rPr>
        <w:t>四、财</w:t>
      </w:r>
      <w:r>
        <w:rPr>
          <w:rStyle w:val="29"/>
          <w:rFonts w:hint="default" w:ascii="Times New Roman" w:hAnsi="Times New Roman" w:eastAsia="黑体" w:cs="Times New Roman"/>
          <w:b w:val="0"/>
        </w:rPr>
        <w:t>政拨款收入支出决算总体情况说明</w:t>
      </w:r>
      <w:bookmarkEnd w:id="20"/>
      <w:bookmarkEnd w:id="21"/>
    </w:p>
    <w:p w14:paraId="55B3FD10">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2024年度财政拨款收入、支出总计均为108.55万元。该单位于2024年5月新成立，无2023年数据。</w:t>
      </w:r>
    </w:p>
    <w:p w14:paraId="075F2EC9">
      <w:pPr>
        <w:pStyle w:val="27"/>
        <w:spacing w:line="600" w:lineRule="exact"/>
        <w:ind w:firstLine="640"/>
        <w:outlineLvl w:val="1"/>
        <w:rPr>
          <w:rFonts w:hint="default" w:ascii="Times New Roman" w:hAnsi="Times New Roman" w:eastAsia="仿宋_GB2312" w:cs="Times New Roman"/>
          <w:sz w:val="32"/>
          <w:szCs w:val="32"/>
        </w:rPr>
      </w:pPr>
    </w:p>
    <w:p w14:paraId="4BB6F7C7">
      <w:pPr>
        <w:pStyle w:val="27"/>
        <w:spacing w:line="600" w:lineRule="exact"/>
        <w:ind w:firstLine="640"/>
        <w:outlineLvl w:val="1"/>
        <w:rPr>
          <w:rFonts w:hint="default" w:ascii="Times New Roman" w:hAnsi="Times New Roman" w:eastAsia="仿宋_GB2312" w:cs="Times New Roman"/>
          <w:sz w:val="32"/>
          <w:szCs w:val="32"/>
        </w:rPr>
      </w:pPr>
    </w:p>
    <w:p w14:paraId="3354AC55">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2336" behindDoc="1" locked="0" layoutInCell="1" allowOverlap="1">
            <wp:simplePos x="0" y="0"/>
            <wp:positionH relativeFrom="column">
              <wp:posOffset>428625</wp:posOffset>
            </wp:positionH>
            <wp:positionV relativeFrom="paragraph">
              <wp:posOffset>8890</wp:posOffset>
            </wp:positionV>
            <wp:extent cx="4943475" cy="2962275"/>
            <wp:effectExtent l="19050" t="0" r="9525" b="0"/>
            <wp:wrapTight wrapText="bothSides">
              <wp:wrapPolygon>
                <wp:start x="-83" y="0"/>
                <wp:lineTo x="-83" y="21531"/>
                <wp:lineTo x="21642" y="21531"/>
                <wp:lineTo x="21642" y="0"/>
                <wp:lineTo x="-83"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20C8F11">
      <w:pPr>
        <w:spacing w:line="600" w:lineRule="exact"/>
        <w:ind w:firstLine="640" w:firstLineChars="200"/>
        <w:outlineLvl w:val="1"/>
        <w:rPr>
          <w:rStyle w:val="29"/>
          <w:rFonts w:hint="default" w:ascii="Times New Roman" w:hAnsi="Times New Roman" w:eastAsia="黑体" w:cs="Times New Roman"/>
          <w:b w:val="0"/>
        </w:rPr>
      </w:pPr>
      <w:bookmarkStart w:id="22" w:name="_Toc15377209"/>
      <w:bookmarkStart w:id="23"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般公共预算财政拨款支出决算情况说明</w:t>
      </w:r>
      <w:bookmarkEnd w:id="22"/>
      <w:bookmarkEnd w:id="23"/>
    </w:p>
    <w:p w14:paraId="704E584B">
      <w:pPr>
        <w:spacing w:line="600" w:lineRule="exact"/>
        <w:ind w:firstLine="643" w:firstLineChars="200"/>
        <w:outlineLvl w:val="2"/>
        <w:rPr>
          <w:rFonts w:hint="default" w:ascii="Times New Roman" w:hAnsi="Times New Roman" w:eastAsia="楷体_GB2312" w:cs="Times New Roman"/>
          <w:b/>
          <w:sz w:val="32"/>
          <w:szCs w:val="32"/>
        </w:rPr>
      </w:pPr>
      <w:bookmarkStart w:id="24" w:name="_Toc15377210"/>
      <w:r>
        <w:rPr>
          <w:rFonts w:hint="default" w:ascii="Times New Roman" w:hAnsi="Times New Roman" w:eastAsia="楷体_GB2312" w:cs="Times New Roman"/>
          <w:b/>
          <w:sz w:val="32"/>
          <w:szCs w:val="32"/>
        </w:rPr>
        <w:t>（一）一般公共预算财政拨款支出决算总体情况</w:t>
      </w:r>
      <w:bookmarkEnd w:id="24"/>
    </w:p>
    <w:p w14:paraId="793D6228">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2024年度一般公共预算财政拨款支出108.55万元，占本年支出合计的100%。该单位于2024年5月新成立，无2023年数据。</w:t>
      </w:r>
    </w:p>
    <w:p w14:paraId="1B2A022E">
      <w:pPr>
        <w:pStyle w:val="27"/>
        <w:spacing w:line="600" w:lineRule="exact"/>
        <w:ind w:firstLine="640"/>
        <w:outlineLvl w:val="1"/>
        <w:rPr>
          <w:rFonts w:hint="default" w:ascii="Times New Roman" w:hAnsi="Times New Roman" w:eastAsia="仿宋_GB2312" w:cs="Times New Roman"/>
          <w:sz w:val="32"/>
          <w:szCs w:val="32"/>
        </w:rPr>
      </w:pPr>
    </w:p>
    <w:p w14:paraId="15FE87AE">
      <w:pPr>
        <w:pStyle w:val="27"/>
        <w:spacing w:line="600" w:lineRule="exact"/>
        <w:ind w:firstLine="640"/>
        <w:outlineLvl w:val="1"/>
        <w:rPr>
          <w:rFonts w:hint="default" w:ascii="Times New Roman" w:hAnsi="Times New Roman" w:eastAsia="仿宋_GB2312" w:cs="Times New Roman"/>
          <w:sz w:val="32"/>
          <w:szCs w:val="32"/>
        </w:rPr>
      </w:pPr>
    </w:p>
    <w:p w14:paraId="227CF049">
      <w:pPr>
        <w:pStyle w:val="27"/>
        <w:spacing w:line="600" w:lineRule="exact"/>
        <w:ind w:firstLine="640"/>
        <w:outlineLvl w:val="1"/>
        <w:rPr>
          <w:rFonts w:hint="default" w:ascii="Times New Roman" w:hAnsi="Times New Roman" w:eastAsia="仿宋_GB2312" w:cs="Times New Roman"/>
          <w:sz w:val="32"/>
          <w:szCs w:val="32"/>
        </w:rPr>
      </w:pPr>
    </w:p>
    <w:p w14:paraId="2A2DF946">
      <w:pPr>
        <w:pStyle w:val="27"/>
        <w:spacing w:line="600" w:lineRule="exact"/>
        <w:ind w:firstLine="640"/>
        <w:outlineLvl w:val="1"/>
        <w:rPr>
          <w:rFonts w:hint="default" w:ascii="Times New Roman" w:hAnsi="Times New Roman" w:eastAsia="仿宋_GB2312" w:cs="Times New Roman"/>
          <w:sz w:val="32"/>
          <w:szCs w:val="32"/>
        </w:rPr>
      </w:pPr>
    </w:p>
    <w:p w14:paraId="67A11E75">
      <w:pPr>
        <w:pStyle w:val="27"/>
        <w:spacing w:line="600" w:lineRule="exact"/>
        <w:ind w:firstLine="640"/>
        <w:outlineLvl w:val="1"/>
        <w:rPr>
          <w:rFonts w:hint="default" w:ascii="Times New Roman" w:hAnsi="Times New Roman" w:eastAsia="仿宋_GB2312" w:cs="Times New Roman"/>
          <w:sz w:val="32"/>
          <w:szCs w:val="32"/>
        </w:rPr>
      </w:pPr>
    </w:p>
    <w:p w14:paraId="768A2DFF">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3360" behindDoc="1" locked="0" layoutInCell="1" allowOverlap="1">
            <wp:simplePos x="0" y="0"/>
            <wp:positionH relativeFrom="column">
              <wp:posOffset>428625</wp:posOffset>
            </wp:positionH>
            <wp:positionV relativeFrom="paragraph">
              <wp:posOffset>180975</wp:posOffset>
            </wp:positionV>
            <wp:extent cx="4581525" cy="2790825"/>
            <wp:effectExtent l="19050" t="0" r="9525" b="0"/>
            <wp:wrapTight wrapText="bothSides">
              <wp:wrapPolygon>
                <wp:start x="-90" y="0"/>
                <wp:lineTo x="-90" y="21526"/>
                <wp:lineTo x="21645" y="21526"/>
                <wp:lineTo x="21645" y="0"/>
                <wp:lineTo x="-90"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6AFF7EE">
      <w:pPr>
        <w:pStyle w:val="27"/>
        <w:spacing w:line="600" w:lineRule="exact"/>
        <w:ind w:firstLine="640"/>
        <w:outlineLvl w:val="1"/>
        <w:rPr>
          <w:rFonts w:hint="default" w:ascii="Times New Roman" w:hAnsi="Times New Roman" w:eastAsia="仿宋_GB2312" w:cs="Times New Roman"/>
          <w:sz w:val="32"/>
          <w:szCs w:val="32"/>
        </w:rPr>
      </w:pPr>
    </w:p>
    <w:p w14:paraId="4E520203">
      <w:pPr>
        <w:pStyle w:val="27"/>
        <w:spacing w:line="600" w:lineRule="exact"/>
        <w:ind w:firstLine="640"/>
        <w:outlineLvl w:val="1"/>
        <w:rPr>
          <w:rFonts w:hint="default" w:ascii="Times New Roman" w:hAnsi="Times New Roman" w:eastAsia="仿宋_GB2312" w:cs="Times New Roman"/>
          <w:sz w:val="32"/>
          <w:szCs w:val="32"/>
        </w:rPr>
      </w:pPr>
    </w:p>
    <w:p w14:paraId="09FF2FBF">
      <w:pPr>
        <w:pStyle w:val="27"/>
        <w:spacing w:line="600" w:lineRule="exact"/>
        <w:ind w:firstLine="640"/>
        <w:outlineLvl w:val="1"/>
        <w:rPr>
          <w:rFonts w:hint="default" w:ascii="Times New Roman" w:hAnsi="Times New Roman" w:eastAsia="仿宋_GB2312" w:cs="Times New Roman"/>
          <w:sz w:val="32"/>
          <w:szCs w:val="32"/>
        </w:rPr>
      </w:pPr>
    </w:p>
    <w:p w14:paraId="3B2ACCBE">
      <w:pPr>
        <w:pStyle w:val="27"/>
        <w:spacing w:line="600" w:lineRule="exact"/>
        <w:ind w:firstLine="640"/>
        <w:outlineLvl w:val="1"/>
        <w:rPr>
          <w:rFonts w:hint="default" w:ascii="Times New Roman" w:hAnsi="Times New Roman" w:eastAsia="仿宋_GB2312" w:cs="Times New Roman"/>
          <w:sz w:val="32"/>
          <w:szCs w:val="32"/>
        </w:rPr>
      </w:pPr>
    </w:p>
    <w:p w14:paraId="64EA13D3">
      <w:pPr>
        <w:pStyle w:val="27"/>
        <w:spacing w:line="600" w:lineRule="exact"/>
        <w:ind w:firstLine="640"/>
        <w:outlineLvl w:val="1"/>
        <w:rPr>
          <w:rFonts w:hint="default" w:ascii="Times New Roman" w:hAnsi="Times New Roman" w:eastAsia="仿宋_GB2312" w:cs="Times New Roman"/>
          <w:sz w:val="32"/>
          <w:szCs w:val="32"/>
        </w:rPr>
      </w:pPr>
    </w:p>
    <w:p w14:paraId="7B309CF7">
      <w:pPr>
        <w:pStyle w:val="27"/>
        <w:spacing w:line="600" w:lineRule="exact"/>
        <w:ind w:firstLine="640"/>
        <w:outlineLvl w:val="1"/>
        <w:rPr>
          <w:rFonts w:hint="default" w:ascii="Times New Roman" w:hAnsi="Times New Roman" w:eastAsia="仿宋_GB2312" w:cs="Times New Roman"/>
          <w:sz w:val="32"/>
          <w:szCs w:val="32"/>
        </w:rPr>
      </w:pPr>
    </w:p>
    <w:p w14:paraId="20111B73">
      <w:pPr>
        <w:pStyle w:val="27"/>
        <w:spacing w:line="600" w:lineRule="exact"/>
        <w:ind w:firstLine="640"/>
        <w:outlineLvl w:val="1"/>
        <w:rPr>
          <w:rFonts w:hint="default" w:ascii="Times New Roman" w:hAnsi="Times New Roman" w:eastAsia="仿宋_GB2312" w:cs="Times New Roman"/>
          <w:sz w:val="32"/>
          <w:szCs w:val="32"/>
        </w:rPr>
      </w:pPr>
    </w:p>
    <w:p w14:paraId="55E85A2D">
      <w:pPr>
        <w:spacing w:line="600" w:lineRule="exact"/>
        <w:ind w:firstLine="640"/>
        <w:rPr>
          <w:rFonts w:hint="default" w:ascii="Times New Roman" w:hAnsi="Times New Roman" w:eastAsia="仿宋_GB2312" w:cs="Times New Roman"/>
          <w:sz w:val="32"/>
          <w:szCs w:val="32"/>
        </w:rPr>
      </w:pPr>
    </w:p>
    <w:p w14:paraId="1D48D50A">
      <w:pPr>
        <w:spacing w:line="600" w:lineRule="exact"/>
        <w:ind w:firstLine="643" w:firstLineChars="200"/>
        <w:outlineLvl w:val="2"/>
        <w:rPr>
          <w:rFonts w:hint="default" w:ascii="Times New Roman" w:hAnsi="Times New Roman" w:eastAsia="楷体_GB2312" w:cs="Times New Roman"/>
          <w:b/>
          <w:sz w:val="32"/>
          <w:szCs w:val="32"/>
        </w:rPr>
      </w:pPr>
      <w:bookmarkStart w:id="25" w:name="_Toc15377211"/>
      <w:r>
        <w:rPr>
          <w:rFonts w:hint="default" w:ascii="Times New Roman" w:hAnsi="Times New Roman" w:eastAsia="楷体_GB2312" w:cs="Times New Roman"/>
          <w:b/>
          <w:sz w:val="32"/>
          <w:szCs w:val="32"/>
        </w:rPr>
        <w:t>（二）一般公共预算财政拨款支出决算结构情况</w:t>
      </w:r>
      <w:bookmarkEnd w:id="25"/>
    </w:p>
    <w:p w14:paraId="7BC9D07A">
      <w:pPr>
        <w:spacing w:line="600" w:lineRule="exact"/>
        <w:ind w:firstLine="640"/>
        <w:rPr>
          <w:rFonts w:hint="default" w:ascii="Times New Roman" w:hAnsi="Times New Roman" w:cs="Times New Roman"/>
        </w:rPr>
      </w:pPr>
      <w:r>
        <w:rPr>
          <w:rFonts w:hint="default" w:ascii="Times New Roman" w:hAnsi="Times New Roman" w:eastAsia="仿宋_GB2312" w:cs="Times New Roman"/>
          <w:sz w:val="32"/>
          <w:szCs w:val="32"/>
        </w:rPr>
        <w:t>2024年度一般公共预算财政拨款支出108.55万元，主要用于以下方面：一般公共服务支出84.35万元，占77.71%；社会保障和就业支出9.66万元，占8.9%；卫生健康支出6.12万元，占5.64%；住房保障支出8.42万元，占7.76%；</w:t>
      </w:r>
    </w:p>
    <w:p w14:paraId="32EFEA45">
      <w:pPr>
        <w:pStyle w:val="3"/>
        <w:ind w:left="420"/>
        <w:rPr>
          <w:rFonts w:hint="default" w:ascii="Times New Roman" w:hAnsi="Times New Roman" w:cs="Times New Roman"/>
        </w:rPr>
      </w:pPr>
    </w:p>
    <w:p w14:paraId="3A4420DC">
      <w:pPr>
        <w:pStyle w:val="3"/>
        <w:ind w:left="420"/>
        <w:rPr>
          <w:rFonts w:hint="default" w:ascii="Times New Roman" w:hAnsi="Times New Roman" w:cs="Times New Roman"/>
        </w:rPr>
      </w:pPr>
    </w:p>
    <w:p w14:paraId="2B2A35E5">
      <w:pPr>
        <w:pStyle w:val="3"/>
        <w:ind w:left="420"/>
        <w:rPr>
          <w:rFonts w:hint="default" w:ascii="Times New Roman" w:hAnsi="Times New Roman" w:cs="Times New Roman"/>
        </w:rPr>
      </w:pPr>
    </w:p>
    <w:p w14:paraId="50254C81">
      <w:pPr>
        <w:pStyle w:val="3"/>
        <w:ind w:left="420"/>
        <w:rPr>
          <w:rFonts w:hint="default" w:ascii="Times New Roman" w:hAnsi="Times New Roman" w:cs="Times New Roman"/>
        </w:rPr>
      </w:pPr>
      <w:r>
        <w:rPr>
          <w:rFonts w:hint="default" w:ascii="Times New Roman" w:hAnsi="Times New Roman" w:cs="Times New Roman"/>
        </w:rPr>
        <w:drawing>
          <wp:inline distT="0" distB="0" distL="0" distR="0">
            <wp:extent cx="4572000" cy="33147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9DC208">
      <w:pPr>
        <w:spacing w:line="600" w:lineRule="exact"/>
        <w:ind w:firstLine="643" w:firstLineChars="200"/>
        <w:outlineLvl w:val="2"/>
        <w:rPr>
          <w:rFonts w:hint="default" w:ascii="Times New Roman" w:hAnsi="Times New Roman" w:eastAsia="楷体_GB2312" w:cs="Times New Roman"/>
          <w:b/>
          <w:sz w:val="32"/>
          <w:szCs w:val="32"/>
        </w:rPr>
      </w:pPr>
      <w:bookmarkStart w:id="26" w:name="_Toc15377212"/>
      <w:r>
        <w:rPr>
          <w:rFonts w:hint="default" w:ascii="Times New Roman" w:hAnsi="Times New Roman" w:eastAsia="楷体_GB2312" w:cs="Times New Roman"/>
          <w:b/>
          <w:sz w:val="32"/>
          <w:szCs w:val="32"/>
        </w:rPr>
        <w:t>（三）一般公共预算财政拨款支出决算具体情况</w:t>
      </w:r>
      <w:bookmarkEnd w:id="26"/>
    </w:p>
    <w:p w14:paraId="26A8C11A">
      <w:pPr>
        <w:spacing w:line="600" w:lineRule="exact"/>
        <w:ind w:firstLine="640"/>
        <w:rPr>
          <w:rFonts w:hint="default" w:ascii="Times New Roman" w:hAnsi="Times New Roman" w:eastAsia="仿宋_GB2312" w:cs="Times New Roman"/>
          <w:sz w:val="32"/>
          <w:szCs w:val="32"/>
        </w:rPr>
      </w:pPr>
      <w:bookmarkStart w:id="27" w:name="_Toc15377444"/>
      <w:bookmarkStart w:id="28" w:name="_Toc15377213"/>
      <w:bookmarkStart w:id="29" w:name="_Toc15378460"/>
      <w:r>
        <w:rPr>
          <w:rFonts w:hint="default" w:ascii="Times New Roman" w:hAnsi="Times New Roman" w:eastAsia="仿宋_GB2312" w:cs="Times New Roman"/>
          <w:sz w:val="32"/>
          <w:szCs w:val="32"/>
        </w:rPr>
        <w:t>2024年度一般公共预算财政拨款支出决算数为108.55万元，完成预算100%。其中：</w:t>
      </w:r>
      <w:bookmarkEnd w:id="27"/>
      <w:bookmarkEnd w:id="28"/>
      <w:bookmarkEnd w:id="29"/>
    </w:p>
    <w:p w14:paraId="7F9C982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1.一般公共服务支出（类）社会工作事务（款）行政运行（项）：支出决算为47.98万元，完成预算100%，决算数与预算数持平。</w:t>
      </w:r>
    </w:p>
    <w:p w14:paraId="3FC8EC13">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一般公共服务支出（类）社会工作事务（款）事业运行（项）：支出决算为30.52万元，完成预算100%，决算数与预算数持平。</w:t>
      </w:r>
    </w:p>
    <w:p w14:paraId="226D1B23">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一般公共服务支出（类）社会工作事务（款）其他社会工作事务支出（项）：支出决算为5.85万元，完成预算100%，决算数与预算数持平。</w:t>
      </w:r>
    </w:p>
    <w:p w14:paraId="1CCB7FF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4.社会保障和就业支出（类）行政事业单位养老支出（款）机关事业单位基本养老保险缴费支出（项）：支出决算为9.66万元，完成预算100%，决算数与预算数持平。</w:t>
      </w:r>
    </w:p>
    <w:p w14:paraId="30394A0D">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5.卫生健康支出（类）行政事业单位医疗（款）行政单位医疗（项）：支出决算为3.06万元，完成预算100%，决算数与预算数持平。</w:t>
      </w:r>
    </w:p>
    <w:p w14:paraId="5369B33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6.卫生健康支出（类）行政事业单位医疗（款）事业单位医疗（项）：支出决算为2.36万元，完成预算100%，决算数与预算数持平。</w:t>
      </w:r>
    </w:p>
    <w:p w14:paraId="00BD313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7.卫生健康支出（类）行政事业单位医疗（款）公务员医疗补助（项）：支出决算为0.35万元，完成预算100%，决算数与预算数持平。</w:t>
      </w:r>
    </w:p>
    <w:p w14:paraId="59C5986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8.卫生健康支出（类）行政事业单位医疗（款）其他行政事业单位医疗支出（项）：支出决算为0.35万元，完成预算100%，决算数与预算数持平。</w:t>
      </w:r>
    </w:p>
    <w:p w14:paraId="002144B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9.住房保障支出（类）住房改革支出（款）住房公积金（项）：支出决算为8.42万元，完成预算100%，决算数与预算数持平。</w:t>
      </w:r>
    </w:p>
    <w:p w14:paraId="7A9C2506">
      <w:pPr>
        <w:tabs>
          <w:tab w:val="right" w:pos="8306"/>
        </w:tabs>
        <w:spacing w:line="600" w:lineRule="exact"/>
        <w:ind w:firstLine="640"/>
        <w:outlineLvl w:val="1"/>
        <w:rPr>
          <w:rStyle w:val="29"/>
          <w:rFonts w:hint="default" w:ascii="Times New Roman" w:hAnsi="Times New Roman" w:cs="Times New Roman"/>
        </w:rPr>
      </w:pPr>
      <w:bookmarkStart w:id="30" w:name="_Toc15396608"/>
      <w:bookmarkStart w:id="31"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般公共预算财政拨款基本支出决算情况说明</w:t>
      </w:r>
      <w:bookmarkEnd w:id="30"/>
      <w:bookmarkEnd w:id="31"/>
      <w:r>
        <w:rPr>
          <w:rStyle w:val="29"/>
          <w:rFonts w:hint="default" w:ascii="Times New Roman" w:hAnsi="Times New Roman" w:eastAsia="黑体" w:cs="Times New Roman"/>
          <w:b w:val="0"/>
        </w:rPr>
        <w:tab/>
      </w:r>
    </w:p>
    <w:p w14:paraId="1B0AB7C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2024年度一般公共预算财政拨款基本支出102.7万元，其中：</w:t>
      </w:r>
    </w:p>
    <w:p w14:paraId="4C964E4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人员经费93.54万元，主要包括：基本工资、津贴补贴、奖金、绩效工资、机关事业单位基本养老保险缴费、其他社会保障缴费、职工基本医疗保险缴费、公务员医疗补助缴费、医疗费、住房公积金支出等。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公用经费9.16万元，主要包括：办公费、邮电费、差旅费、其他交通费支出等。</w:t>
      </w:r>
    </w:p>
    <w:p w14:paraId="28208C81">
      <w:pPr>
        <w:spacing w:line="600" w:lineRule="exact"/>
        <w:ind w:firstLine="640"/>
        <w:outlineLvl w:val="1"/>
        <w:rPr>
          <w:rStyle w:val="29"/>
          <w:rFonts w:hint="default" w:ascii="Times New Roman" w:hAnsi="Times New Roman" w:eastAsia="黑体" w:cs="Times New Roman"/>
          <w:b w:val="0"/>
        </w:rPr>
      </w:pPr>
      <w:bookmarkStart w:id="32" w:name="_Toc15396609"/>
      <w:bookmarkStart w:id="33" w:name="_Toc15377215"/>
      <w:r>
        <w:rPr>
          <w:rFonts w:hint="default" w:ascii="Times New Roman" w:hAnsi="Times New Roman" w:eastAsia="黑体" w:cs="Times New Roman"/>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32"/>
      <w:bookmarkEnd w:id="33"/>
    </w:p>
    <w:p w14:paraId="2417A3C9">
      <w:pPr>
        <w:spacing w:line="600" w:lineRule="exact"/>
        <w:ind w:firstLine="643" w:firstLineChars="200"/>
        <w:outlineLvl w:val="2"/>
        <w:rPr>
          <w:rFonts w:hint="default" w:ascii="Times New Roman" w:hAnsi="Times New Roman" w:eastAsia="楷体_GB2312" w:cs="Times New Roman"/>
          <w:b/>
          <w:sz w:val="32"/>
          <w:szCs w:val="32"/>
        </w:rPr>
      </w:pPr>
      <w:bookmarkStart w:id="34" w:name="_Toc15377216"/>
      <w:r>
        <w:rPr>
          <w:rFonts w:hint="default" w:ascii="Times New Roman" w:hAnsi="Times New Roman" w:eastAsia="楷体_GB2312" w:cs="Times New Roman"/>
          <w:b/>
          <w:sz w:val="32"/>
          <w:szCs w:val="32"/>
        </w:rPr>
        <w:t>（一）“三公”经费财政拨款支出决算总体情况说明</w:t>
      </w:r>
      <w:bookmarkEnd w:id="34"/>
    </w:p>
    <w:p w14:paraId="0D4D97C3">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2024年度“三公”经费财政拨款支出决算为0万元，完成预算100%，该单位于2024年5月成立，2023年度无数据。</w:t>
      </w:r>
    </w:p>
    <w:p w14:paraId="32A0C43A">
      <w:pPr>
        <w:spacing w:line="600" w:lineRule="exact"/>
        <w:ind w:firstLine="643" w:firstLineChars="200"/>
        <w:outlineLvl w:val="2"/>
        <w:rPr>
          <w:rFonts w:hint="default" w:ascii="Times New Roman" w:hAnsi="Times New Roman" w:eastAsia="楷体_GB2312" w:cs="Times New Roman"/>
          <w:b/>
          <w:sz w:val="32"/>
          <w:szCs w:val="32"/>
        </w:rPr>
      </w:pPr>
      <w:bookmarkStart w:id="35" w:name="_Toc15377217"/>
      <w:r>
        <w:rPr>
          <w:rFonts w:hint="default" w:ascii="Times New Roman" w:hAnsi="Times New Roman" w:eastAsia="楷体_GB2312" w:cs="Times New Roman"/>
          <w:b/>
          <w:sz w:val="32"/>
          <w:szCs w:val="32"/>
        </w:rPr>
        <w:t>（二）“三公”经费财政拨款支出决算具体情况说明</w:t>
      </w:r>
      <w:bookmarkEnd w:id="35"/>
    </w:p>
    <w:p w14:paraId="4486B59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2024年度“三公”经费财政拨款支出决算中，因公出国（境）费支出决算0万元，占0%；公务用车购置及运行维护费支出决算0万元，占0%；公务接待费支出决算0万元，占0%。具体情况如下：</w:t>
      </w:r>
    </w:p>
    <w:p w14:paraId="37314425">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1.因公出国（境）经费支出0万元，完成预算0%。</w:t>
      </w:r>
      <w:r>
        <w:rPr>
          <w:rFonts w:hint="default" w:ascii="Times New Roman" w:hAnsi="Times New Roman" w:eastAsia="仿宋_GB2312" w:cs="Times New Roman"/>
          <w:sz w:val="32"/>
          <w:szCs w:val="32"/>
        </w:rPr>
        <w:t>全年安排因公出国（境）团组0次，出国（境0人。</w:t>
      </w:r>
    </w:p>
    <w:p w14:paraId="60EA7FC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2024年度我单位无因公出国（境）工作安排。</w:t>
      </w:r>
    </w:p>
    <w:p w14:paraId="5DE86967">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2.公务用车购置及运行维护费支出0万元，完成预算0%。</w:t>
      </w:r>
      <w:r>
        <w:rPr>
          <w:rFonts w:hint="default" w:ascii="Times New Roman" w:hAnsi="Times New Roman" w:eastAsia="仿宋_GB2312" w:cs="Times New Roman"/>
          <w:sz w:val="32"/>
          <w:szCs w:val="32"/>
        </w:rPr>
        <w:t>该单位于2024年5月成立，2023年度无数据。</w:t>
      </w:r>
    </w:p>
    <w:p w14:paraId="4F348C6D">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0辆。</w:t>
      </w:r>
    </w:p>
    <w:p w14:paraId="3245B21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公务用车运行维护费支出0万元。主</w:t>
      </w:r>
    </w:p>
    <w:p w14:paraId="1302968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3.公务接待费支出0万元，完成预算100%。</w:t>
      </w:r>
      <w:r>
        <w:rPr>
          <w:rFonts w:hint="default" w:ascii="Times New Roman" w:hAnsi="Times New Roman" w:eastAsia="仿宋_GB2312" w:cs="Times New Roman"/>
          <w:sz w:val="32"/>
          <w:szCs w:val="32"/>
        </w:rPr>
        <w:t>该单位于2024年5月成立，2023年度无数据。</w:t>
      </w:r>
    </w:p>
    <w:p w14:paraId="3F0F43D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国内公务接待支出0万元。</w:t>
      </w:r>
    </w:p>
    <w:p w14:paraId="7878E9E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w:t>
      </w:r>
      <w:bookmarkStart w:id="36" w:name="_Toc15377218"/>
      <w:bookmarkStart w:id="37" w:name="_Toc15396610"/>
    </w:p>
    <w:p w14:paraId="6103D0C7">
      <w:pPr>
        <w:spacing w:line="600" w:lineRule="exact"/>
        <w:ind w:firstLine="640"/>
        <w:outlineLvl w:val="1"/>
        <w:rPr>
          <w:rStyle w:val="29"/>
          <w:rFonts w:hint="default" w:ascii="Times New Roman" w:hAnsi="Times New Roman" w:eastAsia="黑体" w:cs="Times New Roman"/>
        </w:rPr>
      </w:pPr>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36"/>
      <w:bookmarkEnd w:id="37"/>
    </w:p>
    <w:p w14:paraId="283BA415">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2024年度政府性基金预算财政拨款支出0万元，占本年支出合计的0%。该单位于2024年5月新成立，2023年度无数据。</w:t>
      </w:r>
    </w:p>
    <w:p w14:paraId="4858133D">
      <w:pPr>
        <w:spacing w:line="600" w:lineRule="exact"/>
        <w:ind w:left="630"/>
        <w:outlineLvl w:val="1"/>
        <w:rPr>
          <w:rStyle w:val="29"/>
          <w:rFonts w:hint="default" w:ascii="Times New Roman" w:hAnsi="Times New Roman" w:eastAsia="黑体" w:cs="Times New Roman"/>
          <w:b w:val="0"/>
        </w:rPr>
      </w:pPr>
      <w:bookmarkStart w:id="38" w:name="_Toc15377219"/>
      <w:bookmarkStart w:id="39" w:name="_Toc15396611"/>
      <w:r>
        <w:rPr>
          <w:rStyle w:val="29"/>
          <w:rFonts w:hint="default" w:ascii="Times New Roman" w:hAnsi="Times New Roman" w:eastAsia="黑体" w:cs="Times New Roman"/>
          <w:b w:val="0"/>
        </w:rPr>
        <w:t>九、国有资本经营预算支出决算情况说明</w:t>
      </w:r>
      <w:bookmarkEnd w:id="38"/>
      <w:bookmarkEnd w:id="39"/>
    </w:p>
    <w:p w14:paraId="41C40E42">
      <w:p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2024年度国有资本经营预算财政拨款支出0万元，</w:t>
      </w:r>
      <w:r>
        <w:rPr>
          <w:rFonts w:hint="default" w:ascii="Times New Roman" w:hAnsi="Times New Roman" w:eastAsia="仿宋_GB2312" w:cs="Times New Roman"/>
          <w:kern w:val="0"/>
          <w:sz w:val="32"/>
          <w:szCs w:val="32"/>
        </w:rPr>
        <w:t>本部门没有国有资本经营预算拔款收入，也没有使用国有资本经营预算拔款安排的支出。</w:t>
      </w:r>
      <w:bookmarkStart w:id="40" w:name="_Toc15396612"/>
      <w:bookmarkStart w:id="41" w:name="_Toc15377221"/>
    </w:p>
    <w:p w14:paraId="0AB688CA">
      <w:pPr>
        <w:pBdr>
          <w:bottom w:val="single" w:color="FFFFFF" w:sz="4" w:space="31"/>
        </w:pBdr>
        <w:shd w:val="clear" w:color="auto" w:fill="FFFFFF"/>
        <w:tabs>
          <w:tab w:val="left" w:pos="1440"/>
        </w:tabs>
        <w:adjustRightInd w:val="0"/>
        <w:snapToGrid w:val="0"/>
        <w:spacing w:line="560" w:lineRule="exact"/>
        <w:ind w:firstLine="640" w:firstLineChars="200"/>
        <w:rPr>
          <w:rStyle w:val="29"/>
          <w:rFonts w:hint="default" w:ascii="Times New Roman" w:hAnsi="Times New Roman" w:eastAsia="黑体" w:cs="Times New Roman"/>
          <w:b w:val="0"/>
        </w:rPr>
      </w:pPr>
      <w:r>
        <w:rPr>
          <w:rStyle w:val="29"/>
          <w:rFonts w:hint="default" w:ascii="Times New Roman" w:hAnsi="Times New Roman" w:eastAsia="黑体" w:cs="Times New Roman"/>
          <w:b w:val="0"/>
        </w:rPr>
        <w:t>十、其他重要事项的情况说明</w:t>
      </w:r>
      <w:bookmarkEnd w:id="40"/>
      <w:bookmarkEnd w:id="41"/>
      <w:bookmarkStart w:id="42" w:name="_Toc15377222"/>
    </w:p>
    <w:p w14:paraId="5335FAEB">
      <w:pPr>
        <w:pBdr>
          <w:bottom w:val="single" w:color="FFFFFF" w:sz="4" w:space="31"/>
        </w:pBdr>
        <w:shd w:val="clear" w:color="auto" w:fill="FFFFFF"/>
        <w:tabs>
          <w:tab w:val="left" w:pos="1440"/>
        </w:tabs>
        <w:adjustRightInd w:val="0"/>
        <w:snapToGrid w:val="0"/>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（一）机关运行经费支出情况</w:t>
      </w:r>
      <w:bookmarkEnd w:id="42"/>
    </w:p>
    <w:p w14:paraId="6405C5F8">
      <w:p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2024年度，中共盐边县委社会工作部机关运行经费支出9.16万元，该单位于2024年5月新成立，2023年度无数据。</w:t>
      </w:r>
      <w:bookmarkStart w:id="43" w:name="_Toc15377223"/>
      <w:r>
        <w:rPr>
          <w:rFonts w:hint="default" w:ascii="Times New Roman" w:hAnsi="Times New Roman" w:eastAsia="仿宋_GB2312" w:cs="Times New Roman"/>
          <w:sz w:val="32"/>
          <w:szCs w:val="32"/>
          <w:lang w:val="en-US" w:eastAsia="zh-CN"/>
        </w:rPr>
        <w:t xml:space="preserve">      </w:t>
      </w:r>
    </w:p>
    <w:p w14:paraId="79935ECA">
      <w:pPr>
        <w:numPr>
          <w:ilvl w:val="0"/>
          <w:numId w:val="1"/>
        </w:numPr>
        <w:pBdr>
          <w:bottom w:val="single" w:color="FFFFFF" w:sz="4" w:space="31"/>
        </w:pBdr>
        <w:shd w:val="clear" w:color="auto" w:fill="FFFFFF"/>
        <w:tabs>
          <w:tab w:val="left" w:pos="1440"/>
        </w:tabs>
        <w:adjustRightInd w:val="0"/>
        <w:snapToGrid w:val="0"/>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政府采购支出情况</w:t>
      </w:r>
      <w:bookmarkEnd w:id="43"/>
    </w:p>
    <w:p w14:paraId="0C1701F0">
      <w:pPr>
        <w:numPr>
          <w:numId w:val="0"/>
        </w:num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中共盐边县委社会工作部政府采购支出总额4.9万元，其中：政府采购货物支出4.9万元、政府采购工程支出0万元、政府采购服务支出0万元。主要用于购置办公设备。授予中小企业合同金额0万元，占政府采购支出总额的0%，其中：授予小微企业合同金额4.9万元，占政府采购支出总额的100%。</w:t>
      </w:r>
      <w:bookmarkStart w:id="44" w:name="_Toc15377224"/>
    </w:p>
    <w:p w14:paraId="1E88D4AF">
      <w:pPr>
        <w:numPr>
          <w:numId w:val="0"/>
        </w:numPr>
        <w:pBdr>
          <w:bottom w:val="single" w:color="FFFFFF" w:sz="4" w:space="31"/>
        </w:pBdr>
        <w:shd w:val="clear" w:color="auto" w:fill="FFFFFF"/>
        <w:tabs>
          <w:tab w:val="left" w:pos="1440"/>
        </w:tabs>
        <w:adjustRightInd w:val="0"/>
        <w:snapToGrid w:val="0"/>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（三）国有资产占有使用情况</w:t>
      </w:r>
      <w:bookmarkEnd w:id="44"/>
    </w:p>
    <w:p w14:paraId="271907A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截至2024年12月31日，中共盐边县委社会工作部共有车辆0辆，其中：主要负责人用车0辆、机要通信用车0辆、应急保障用车0辆、其他用车0辆。单价100万元（含）以上设备（不含车辆）0台（套）。</w:t>
      </w:r>
    </w:p>
    <w:p w14:paraId="2FDF778A">
      <w:pPr>
        <w:spacing w:line="600" w:lineRule="exact"/>
        <w:ind w:firstLine="643" w:firstLineChars="200"/>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14:paraId="25071E7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根据预算绩效管理要求，预算执行过程中，选取设施设备购置经费1个项目开展绩效监控。</w:t>
      </w:r>
    </w:p>
    <w:p w14:paraId="79BEDC8E">
      <w:pPr>
        <w:widowControl/>
        <w:adjustRightInd w:val="0"/>
        <w:snapToGrid w:val="0"/>
        <w:spacing w:line="580" w:lineRule="exact"/>
        <w:ind w:firstLine="640" w:firstLineChars="200"/>
        <w:contextualSpacing/>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组织对2024年度一般公共预算、政府性基金预算等全面开展绩效自评，形成中共盐边县委社会工作部部门整体（含部门预算项目）绩效自评报告，其中，中共盐边县委社会工作部部门整体（含部门预算项目）绩效自评得分为95分，绩效自评综述：根据绩效目标，按照经费管理使用要求和相应项目实施方案要求进行收支管理，做到专款专用，投入到位，发挥效益。围绕预算编制、预算执行、支出绩效三个方面对2024年度预算绩效进行了认真自评，完成较好；设施设备购置经费专项预算项目绩效自评得分为95分，绩效自评综述：主是购置办公电脑和其他办公设备，项目完成较好。绩效自评报告详见附件。</w:t>
      </w:r>
    </w:p>
    <w:p w14:paraId="776D9CA1">
      <w:pPr>
        <w:spacing w:line="600" w:lineRule="exact"/>
        <w:ind w:firstLine="640"/>
        <w:rPr>
          <w:rFonts w:hint="default" w:ascii="Times New Roman" w:hAnsi="Times New Roman" w:eastAsia="仿宋_GB2312" w:cs="Times New Roman"/>
          <w:sz w:val="32"/>
          <w:szCs w:val="32"/>
        </w:rPr>
      </w:pPr>
    </w:p>
    <w:p w14:paraId="0392F99E">
      <w:pPr>
        <w:spacing w:line="600" w:lineRule="exact"/>
        <w:ind w:firstLine="640"/>
        <w:rPr>
          <w:rFonts w:hint="default" w:ascii="Times New Roman" w:hAnsi="Times New Roman" w:eastAsia="仿宋_GB2312" w:cs="Times New Roman"/>
          <w:sz w:val="32"/>
          <w:szCs w:val="32"/>
        </w:rPr>
      </w:pPr>
    </w:p>
    <w:p w14:paraId="30552287">
      <w:pPr>
        <w:pStyle w:val="2"/>
        <w:rPr>
          <w:rFonts w:hint="default" w:ascii="Times New Roman" w:hAnsi="Times New Roman" w:cs="Times New Roman"/>
        </w:rPr>
      </w:pPr>
    </w:p>
    <w:p w14:paraId="23E461D2">
      <w:pPr>
        <w:pStyle w:val="3"/>
        <w:ind w:left="420"/>
        <w:rPr>
          <w:rFonts w:hint="default" w:ascii="Times New Roman" w:hAnsi="Times New Roman" w:cs="Times New Roman"/>
        </w:rPr>
      </w:pPr>
    </w:p>
    <w:p w14:paraId="5F0007D2">
      <w:pPr>
        <w:spacing w:line="600" w:lineRule="exact"/>
        <w:jc w:val="center"/>
        <w:outlineLvl w:val="0"/>
        <w:rPr>
          <w:rFonts w:hint="default" w:ascii="Times New Roman" w:hAnsi="Times New Roman" w:eastAsia="黑体" w:cs="Times New Roman"/>
          <w:sz w:val="44"/>
          <w:szCs w:val="44"/>
        </w:rPr>
      </w:pPr>
      <w:bookmarkStart w:id="45" w:name="_Toc15377225"/>
      <w:bookmarkStart w:id="46" w:name="_Toc15396613"/>
    </w:p>
    <w:p w14:paraId="14DF72F4">
      <w:pPr>
        <w:spacing w:line="600" w:lineRule="exact"/>
        <w:jc w:val="center"/>
        <w:outlineLvl w:val="0"/>
        <w:rPr>
          <w:rFonts w:hint="default" w:ascii="Times New Roman" w:hAnsi="Times New Roman" w:eastAsia="黑体" w:cs="Times New Roman"/>
          <w:sz w:val="44"/>
          <w:szCs w:val="44"/>
        </w:rPr>
      </w:pPr>
    </w:p>
    <w:p w14:paraId="18C552E1">
      <w:pPr>
        <w:spacing w:line="600" w:lineRule="exact"/>
        <w:jc w:val="center"/>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  名词解释</w:t>
      </w:r>
      <w:bookmarkEnd w:id="45"/>
      <w:bookmarkEnd w:id="46"/>
    </w:p>
    <w:p w14:paraId="5C3FB788">
      <w:pPr>
        <w:spacing w:line="600" w:lineRule="exact"/>
        <w:jc w:val="left"/>
        <w:rPr>
          <w:rFonts w:hint="default" w:ascii="Times New Roman" w:hAnsi="Times New Roman" w:cs="Times New Roman"/>
          <w:b/>
          <w:sz w:val="44"/>
          <w:szCs w:val="44"/>
        </w:rPr>
      </w:pPr>
    </w:p>
    <w:p w14:paraId="145E0AD5">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14:paraId="391E7405">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w:t>
      </w:r>
    </w:p>
    <w:p w14:paraId="4A993D15">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3.年初结转和结余：指以前年度尚未完成、结转到本年按有关规定继续使用的资金。 </w:t>
      </w:r>
    </w:p>
    <w:p w14:paraId="727A243B">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4.年末结转和结余：指单位按有关规定结转到下年或以后年度继续使用的资金。</w:t>
      </w:r>
    </w:p>
    <w:p w14:paraId="026650AF">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5.一般公共服务支出（类）社会工作事务支出(款)行政运行（项）指反映行政单位（包括实行公务员管理的事业单位）的基本支出。</w:t>
      </w:r>
    </w:p>
    <w:p w14:paraId="6786BD4B">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6.一般公共服务支出（类）社会工作事务支出(款)事业运行（项）指反映事业单位的基本支出，不包括行政单位（包括实行公务员管理的事业单位）后勤服务中心、医务室等附属事业单位。</w:t>
      </w:r>
    </w:p>
    <w:p w14:paraId="098D86C9">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 一般公共服务支出（类）社会工作事务支出(款)其他社会工作事务支出（项）指反映除上述项目以外其他用于社会工作事务的支出。</w:t>
      </w:r>
    </w:p>
    <w:p w14:paraId="2996A2EF">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 社会保障和就业支出（类）行政事业单位养老支出（款）机关事业单位基本养老保险缴费支出指反映机关事业单位实施养老保险制度由单位缴纳的基本养老保险费支出。</w:t>
      </w:r>
    </w:p>
    <w:p w14:paraId="6F42B2B3">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卫生健康支出（类）行政事业单位医疗（款）行政单位医疗（款）指反映财政部门安排的行政单位（包括实行公务员管理的事业单位，下同）基本医疗保险缴费经费，未参加医疗保险的行政单位的公费医疗经费，按国家规定享受离休人员、红军才战士待遇人员的医疗经费。</w:t>
      </w:r>
    </w:p>
    <w:p w14:paraId="1F736149">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 卫生健康支出（类）行政事业单位医疗（款）事业单位医疗（款）指反映财政部门安排的事业单位基本医疗保险缴费经费，未参加医疗保险的事业单位的公费医疗经费，按国家规定享受离休人员待遇的医疗经费。</w:t>
      </w:r>
    </w:p>
    <w:p w14:paraId="625499A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 卫生健康支出（类）行政事业单位医疗（款）公务员医疗补助（款）指反映财政部门安排的公务员医疗补助经费。</w:t>
      </w:r>
    </w:p>
    <w:p w14:paraId="394D414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 卫生健康支出（类）行政事业单位医疗（款）其他行政事业单位医疗支出（款）指反映除上述项目以外的其他用于行政事业单位医疗方面的支出。</w:t>
      </w:r>
    </w:p>
    <w:p w14:paraId="6BB60525">
      <w:pPr>
        <w:pStyle w:val="8"/>
        <w:spacing w:before="93"/>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13.住房保障支出（类）住房改革支出（款）住房公积金（项）指反映行政事业单位按人力资源的社会保障部、财政部规定的基本工资和津贴补贴以及规定比例为职工缴纳的住房公积金。</w:t>
      </w:r>
    </w:p>
    <w:p w14:paraId="41BE5F6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14.基本支出：指为保障机构正常运转、完成日常工作任务而发生的人员支出和公用支出。</w:t>
      </w:r>
    </w:p>
    <w:p w14:paraId="6D0B7D26">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15.项目支出：指在基本支出之外为完成特定行政任务和事业发展目标所发生的支出。 </w:t>
      </w:r>
    </w:p>
    <w:p w14:paraId="07B968DE">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16.“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费用。</w:t>
      </w:r>
    </w:p>
    <w:p w14:paraId="62D71160">
      <w:pPr>
        <w:pStyle w:val="26"/>
        <w:spacing w:line="560" w:lineRule="exact"/>
        <w:ind w:firstLine="640" w:firstLineChars="200"/>
        <w:rPr>
          <w:rFonts w:hint="default" w:ascii="Times New Roman" w:hAnsi="Times New Roman" w:eastAsia="黑体" w:cs="Times New Roman"/>
          <w:sz w:val="44"/>
          <w:szCs w:val="44"/>
        </w:rPr>
      </w:pPr>
      <w:r>
        <w:rPr>
          <w:rFonts w:hint="default" w:ascii="Times New Roman" w:hAnsi="Times New Roman" w:eastAsia="仿宋_GB2312" w:cs="Times New Roman"/>
          <w:color w:val="auto"/>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BBF6442">
      <w:pPr>
        <w:spacing w:line="600" w:lineRule="exact"/>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page"/>
      </w:r>
    </w:p>
    <w:p w14:paraId="483316DB">
      <w:pPr>
        <w:spacing w:line="600" w:lineRule="exact"/>
        <w:jc w:val="center"/>
        <w:rPr>
          <w:rStyle w:val="28"/>
          <w:rFonts w:hint="default" w:ascii="Times New Roman" w:hAnsi="Times New Roman" w:eastAsia="黑体" w:cs="Times New Roman"/>
          <w:b w:val="0"/>
        </w:rPr>
      </w:pPr>
      <w:bookmarkStart w:id="47" w:name="_Toc15396614"/>
      <w:bookmarkStart w:id="48" w:name="_Toc15377226"/>
      <w:r>
        <w:rPr>
          <w:rFonts w:hint="default" w:ascii="Times New Roman" w:hAnsi="Times New Roman" w:eastAsia="黑体" w:cs="Times New Roman"/>
          <w:sz w:val="44"/>
          <w:szCs w:val="44"/>
        </w:rPr>
        <w:t>四部分  附件</w:t>
      </w:r>
      <w:bookmarkEnd w:id="47"/>
    </w:p>
    <w:p w14:paraId="43271DEB">
      <w:pPr>
        <w:spacing w:line="572" w:lineRule="exact"/>
        <w:jc w:val="left"/>
        <w:outlineLvl w:val="0"/>
        <w:rPr>
          <w:rFonts w:hint="default" w:ascii="Times New Roman" w:hAnsi="Times New Roman" w:eastAsia="黑体" w:cs="Times New Roman"/>
          <w:sz w:val="32"/>
          <w:szCs w:val="32"/>
        </w:rPr>
      </w:pPr>
    </w:p>
    <w:p w14:paraId="409C3F8D">
      <w:pPr>
        <w:widowControl/>
        <w:spacing w:line="578" w:lineRule="exact"/>
        <w:contextualSpacing/>
        <w:jc w:val="center"/>
        <w:rPr>
          <w:rFonts w:hint="default" w:ascii="Times New Roman" w:hAnsi="Times New Roman" w:cs="Times New Roman"/>
        </w:rPr>
      </w:pPr>
      <w:r>
        <w:rPr>
          <w:rFonts w:hint="default" w:ascii="Times New Roman" w:hAnsi="Times New Roman" w:eastAsia="黑体" w:cs="Times New Roman"/>
          <w:sz w:val="32"/>
          <w:szCs w:val="32"/>
        </w:rPr>
        <w:t>部门预算项目支出绩效评价表（2024年度）</w:t>
      </w:r>
    </w:p>
    <w:p w14:paraId="5BCF046B">
      <w:pPr>
        <w:pStyle w:val="3"/>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w:t>
      </w:r>
      <w:r>
        <w:rPr>
          <w:rFonts w:hint="default" w:ascii="Times New Roman" w:hAnsi="Times New Roman" w:cs="Times New Roman"/>
        </w:rPr>
        <w:t xml:space="preserve"> </w:t>
      </w:r>
      <w:r>
        <w:rPr>
          <w:rFonts w:hint="default" w:ascii="Times New Roman" w:hAnsi="Times New Roman" w:eastAsia="仿宋_GB2312" w:cs="Times New Roman"/>
          <w:kern w:val="0"/>
          <w:sz w:val="32"/>
        </w:rPr>
        <w:t>设施设备购置经费项目自评表</w:t>
      </w:r>
    </w:p>
    <w:p w14:paraId="76EB88B7">
      <w:pPr>
        <w:spacing w:line="578" w:lineRule="exact"/>
        <w:ind w:firstLine="640"/>
        <w:rPr>
          <w:rFonts w:hint="default" w:ascii="Times New Roman" w:hAnsi="Times New Roman" w:eastAsia="仿宋_GB2312" w:cs="Times New Roman"/>
          <w:kern w:val="0"/>
          <w:sz w:val="32"/>
          <w:szCs w:val="32"/>
        </w:rPr>
      </w:pPr>
      <w:bookmarkStart w:id="49" w:name="_Toc15396618"/>
      <w:r>
        <w:rPr>
          <w:rFonts w:hint="default" w:ascii="Times New Roman" w:hAnsi="Times New Roman" w:eastAsia="仿宋_GB2312" w:cs="Times New Roman"/>
          <w:kern w:val="0"/>
          <w:sz w:val="32"/>
          <w:szCs w:val="32"/>
        </w:rPr>
        <w:br w:type="page"/>
      </w:r>
    </w:p>
    <w:p w14:paraId="1929DA08">
      <w:pPr>
        <w:widowControl/>
        <w:jc w:val="center"/>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28"/>
          <w:rFonts w:hint="default" w:ascii="Times New Roman" w:hAnsi="Times New Roman" w:eastAsia="黑体" w:cs="Times New Roman"/>
          <w:b w:val="0"/>
        </w:rPr>
        <w:t>五部分 附表</w:t>
      </w:r>
      <w:bookmarkEnd w:id="48"/>
      <w:bookmarkEnd w:id="49"/>
      <w:bookmarkStart w:id="50" w:name="_Toc15396619"/>
    </w:p>
    <w:p w14:paraId="7EED3264">
      <w:pPr>
        <w:pStyle w:val="14"/>
        <w:adjustRightInd w:val="0"/>
        <w:snapToGrid w:val="0"/>
        <w:spacing w:line="560" w:lineRule="exact"/>
        <w:jc w:val="left"/>
        <w:rPr>
          <w:rFonts w:hint="default" w:ascii="Times New Roman" w:hAnsi="Times New Roman" w:eastAsia="仿宋_GB2312" w:cs="Times New Roman"/>
          <w:sz w:val="32"/>
          <w:szCs w:val="32"/>
        </w:rPr>
      </w:pPr>
    </w:p>
    <w:p w14:paraId="5DF1ECDB">
      <w:pPr>
        <w:pStyle w:val="14"/>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0"/>
    </w:p>
    <w:p w14:paraId="290432D2">
      <w:pPr>
        <w:pStyle w:val="14"/>
        <w:adjustRightInd w:val="0"/>
        <w:snapToGrid w:val="0"/>
        <w:spacing w:line="560" w:lineRule="exact"/>
        <w:jc w:val="left"/>
        <w:rPr>
          <w:rFonts w:hint="default" w:ascii="Times New Roman" w:hAnsi="Times New Roman" w:eastAsia="仿宋_GB2312" w:cs="Times New Roman"/>
          <w:sz w:val="32"/>
          <w:szCs w:val="32"/>
        </w:rPr>
      </w:pPr>
      <w:bookmarkStart w:id="51" w:name="_Toc15396620"/>
      <w:r>
        <w:rPr>
          <w:rFonts w:hint="default" w:ascii="Times New Roman" w:hAnsi="Times New Roman" w:eastAsia="仿宋_GB2312" w:cs="Times New Roman"/>
          <w:sz w:val="32"/>
          <w:szCs w:val="32"/>
        </w:rPr>
        <w:t>二、收入决算表</w:t>
      </w:r>
      <w:bookmarkEnd w:id="51"/>
    </w:p>
    <w:p w14:paraId="5A7DF89D">
      <w:pPr>
        <w:pStyle w:val="14"/>
        <w:adjustRightInd w:val="0"/>
        <w:snapToGrid w:val="0"/>
        <w:spacing w:line="560" w:lineRule="exact"/>
        <w:jc w:val="left"/>
        <w:rPr>
          <w:rFonts w:hint="default" w:ascii="Times New Roman" w:hAnsi="Times New Roman" w:eastAsia="仿宋_GB2312" w:cs="Times New Roman"/>
          <w:sz w:val="32"/>
          <w:szCs w:val="32"/>
        </w:rPr>
      </w:pPr>
      <w:bookmarkStart w:id="52" w:name="_Toc15396621"/>
      <w:r>
        <w:rPr>
          <w:rFonts w:hint="default" w:ascii="Times New Roman" w:hAnsi="Times New Roman" w:eastAsia="仿宋_GB2312" w:cs="Times New Roman"/>
          <w:sz w:val="32"/>
          <w:szCs w:val="32"/>
        </w:rPr>
        <w:t>三、支出决算表</w:t>
      </w:r>
      <w:bookmarkEnd w:id="52"/>
    </w:p>
    <w:p w14:paraId="07556845">
      <w:pPr>
        <w:pStyle w:val="14"/>
        <w:adjustRightInd w:val="0"/>
        <w:snapToGrid w:val="0"/>
        <w:spacing w:line="560" w:lineRule="exact"/>
        <w:jc w:val="left"/>
        <w:rPr>
          <w:rFonts w:hint="default" w:ascii="Times New Roman" w:hAnsi="Times New Roman" w:eastAsia="仿宋_GB2312" w:cs="Times New Roman"/>
          <w:sz w:val="32"/>
          <w:szCs w:val="32"/>
        </w:rPr>
      </w:pPr>
      <w:bookmarkStart w:id="53" w:name="_Toc15396622"/>
      <w:r>
        <w:rPr>
          <w:rFonts w:hint="default" w:ascii="Times New Roman" w:hAnsi="Times New Roman" w:eastAsia="仿宋_GB2312" w:cs="Times New Roman"/>
          <w:sz w:val="32"/>
          <w:szCs w:val="32"/>
        </w:rPr>
        <w:t>四、财政拨款收入支出决算总表</w:t>
      </w:r>
      <w:bookmarkEnd w:id="53"/>
    </w:p>
    <w:p w14:paraId="116038F2">
      <w:pPr>
        <w:pStyle w:val="14"/>
        <w:adjustRightInd w:val="0"/>
        <w:snapToGrid w:val="0"/>
        <w:spacing w:line="560" w:lineRule="exact"/>
        <w:jc w:val="left"/>
        <w:rPr>
          <w:rFonts w:hint="default" w:ascii="Times New Roman" w:hAnsi="Times New Roman" w:eastAsia="仿宋_GB2312" w:cs="Times New Roman"/>
          <w:sz w:val="32"/>
          <w:szCs w:val="32"/>
        </w:rPr>
      </w:pPr>
      <w:bookmarkStart w:id="54" w:name="_Toc15396623"/>
      <w:r>
        <w:rPr>
          <w:rFonts w:hint="default" w:ascii="Times New Roman" w:hAnsi="Times New Roman" w:eastAsia="仿宋_GB2312" w:cs="Times New Roman"/>
          <w:sz w:val="32"/>
          <w:szCs w:val="32"/>
        </w:rPr>
        <w:t>五、财政拨款支出决算明细表</w:t>
      </w:r>
      <w:bookmarkEnd w:id="54"/>
      <w:bookmarkStart w:id="55" w:name="_Toc15396624"/>
    </w:p>
    <w:p w14:paraId="0488ECC6">
      <w:pPr>
        <w:pStyle w:val="14"/>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55"/>
    </w:p>
    <w:p w14:paraId="2754D1A0">
      <w:pPr>
        <w:pStyle w:val="14"/>
        <w:adjustRightInd w:val="0"/>
        <w:snapToGrid w:val="0"/>
        <w:spacing w:line="560" w:lineRule="exact"/>
        <w:jc w:val="left"/>
        <w:rPr>
          <w:rFonts w:hint="default" w:ascii="Times New Roman" w:hAnsi="Times New Roman" w:eastAsia="仿宋_GB2312" w:cs="Times New Roman"/>
          <w:sz w:val="32"/>
          <w:szCs w:val="32"/>
        </w:rPr>
      </w:pPr>
      <w:bookmarkStart w:id="56" w:name="_Toc15396625"/>
      <w:r>
        <w:rPr>
          <w:rFonts w:hint="default" w:ascii="Times New Roman" w:hAnsi="Times New Roman" w:eastAsia="仿宋_GB2312" w:cs="Times New Roman"/>
          <w:sz w:val="32"/>
          <w:szCs w:val="32"/>
        </w:rPr>
        <w:t>七、一般公共预算财政拨款支出决算明细表</w:t>
      </w:r>
      <w:bookmarkEnd w:id="56"/>
    </w:p>
    <w:p w14:paraId="3F1E6365">
      <w:pPr>
        <w:pStyle w:val="14"/>
        <w:adjustRightInd w:val="0"/>
        <w:snapToGrid w:val="0"/>
        <w:spacing w:line="560" w:lineRule="exact"/>
        <w:jc w:val="left"/>
        <w:rPr>
          <w:rFonts w:hint="default" w:ascii="Times New Roman" w:hAnsi="Times New Roman" w:eastAsia="仿宋_GB2312" w:cs="Times New Roman"/>
          <w:sz w:val="32"/>
          <w:szCs w:val="32"/>
        </w:rPr>
      </w:pPr>
      <w:bookmarkStart w:id="57" w:name="_Toc15396626"/>
      <w:r>
        <w:rPr>
          <w:rFonts w:hint="default" w:ascii="Times New Roman" w:hAnsi="Times New Roman" w:eastAsia="仿宋_GB2312" w:cs="Times New Roman"/>
          <w:sz w:val="32"/>
          <w:szCs w:val="32"/>
        </w:rPr>
        <w:t>八、一般公共预算财政拨款基本支出决算表</w:t>
      </w:r>
      <w:bookmarkEnd w:id="57"/>
    </w:p>
    <w:p w14:paraId="095704B9">
      <w:pPr>
        <w:pStyle w:val="14"/>
        <w:adjustRightInd w:val="0"/>
        <w:snapToGrid w:val="0"/>
        <w:spacing w:line="560" w:lineRule="exact"/>
        <w:jc w:val="left"/>
        <w:rPr>
          <w:rFonts w:hint="default" w:ascii="Times New Roman" w:hAnsi="Times New Roman" w:eastAsia="仿宋_GB2312" w:cs="Times New Roman"/>
          <w:sz w:val="32"/>
          <w:szCs w:val="32"/>
        </w:rPr>
      </w:pPr>
      <w:bookmarkStart w:id="58" w:name="_Toc15396627"/>
      <w:r>
        <w:rPr>
          <w:rFonts w:hint="default" w:ascii="Times New Roman" w:hAnsi="Times New Roman" w:eastAsia="仿宋_GB2312" w:cs="Times New Roman"/>
          <w:sz w:val="32"/>
          <w:szCs w:val="32"/>
        </w:rPr>
        <w:t>九、一般公共预算财政拨款项目支出决算表</w:t>
      </w:r>
      <w:bookmarkEnd w:id="58"/>
    </w:p>
    <w:p w14:paraId="3AF57F4B">
      <w:pPr>
        <w:pStyle w:val="14"/>
        <w:adjustRightInd w:val="0"/>
        <w:snapToGrid w:val="0"/>
        <w:spacing w:line="560" w:lineRule="exact"/>
        <w:jc w:val="left"/>
        <w:rPr>
          <w:rFonts w:hint="default" w:ascii="Times New Roman" w:hAnsi="Times New Roman" w:eastAsia="仿宋_GB2312" w:cs="Times New Roman"/>
          <w:sz w:val="32"/>
          <w:szCs w:val="32"/>
        </w:rPr>
      </w:pPr>
      <w:bookmarkStart w:id="59" w:name="_Toc15396628"/>
      <w:r>
        <w:rPr>
          <w:rFonts w:hint="default" w:ascii="Times New Roman" w:hAnsi="Times New Roman" w:eastAsia="仿宋_GB2312" w:cs="Times New Roman"/>
          <w:sz w:val="32"/>
          <w:szCs w:val="32"/>
        </w:rPr>
        <w:t>十、</w:t>
      </w:r>
      <w:bookmarkEnd w:id="59"/>
      <w:r>
        <w:rPr>
          <w:rFonts w:hint="default" w:ascii="Times New Roman" w:hAnsi="Times New Roman" w:eastAsia="仿宋_GB2312" w:cs="Times New Roman"/>
          <w:sz w:val="32"/>
          <w:szCs w:val="32"/>
        </w:rPr>
        <w:t>政府性基金预算财政拨款收入支出决算表</w:t>
      </w:r>
    </w:p>
    <w:p w14:paraId="47D731C7">
      <w:pPr>
        <w:pStyle w:val="14"/>
        <w:adjustRightInd w:val="0"/>
        <w:snapToGrid w:val="0"/>
        <w:spacing w:line="560" w:lineRule="exact"/>
        <w:jc w:val="left"/>
        <w:rPr>
          <w:rFonts w:hint="default" w:ascii="Times New Roman" w:hAnsi="Times New Roman" w:eastAsia="仿宋_GB2312" w:cs="Times New Roman"/>
          <w:sz w:val="32"/>
          <w:szCs w:val="32"/>
        </w:rPr>
      </w:pPr>
      <w:bookmarkStart w:id="60" w:name="_Toc15396629"/>
      <w:r>
        <w:rPr>
          <w:rFonts w:hint="default" w:ascii="Times New Roman" w:hAnsi="Times New Roman" w:eastAsia="仿宋_GB2312" w:cs="Times New Roman"/>
          <w:sz w:val="32"/>
          <w:szCs w:val="32"/>
        </w:rPr>
        <w:t>十一、</w:t>
      </w:r>
      <w:bookmarkEnd w:id="60"/>
      <w:r>
        <w:rPr>
          <w:rFonts w:hint="default" w:ascii="Times New Roman" w:hAnsi="Times New Roman" w:eastAsia="仿宋_GB2312" w:cs="Times New Roman"/>
          <w:sz w:val="32"/>
          <w:szCs w:val="32"/>
        </w:rPr>
        <w:t>国有资本经营预算财政拨款收入支出决算表</w:t>
      </w:r>
    </w:p>
    <w:p w14:paraId="399F777B">
      <w:pPr>
        <w:pStyle w:val="14"/>
        <w:adjustRightInd w:val="0"/>
        <w:snapToGrid w:val="0"/>
        <w:spacing w:line="560" w:lineRule="exact"/>
        <w:jc w:val="left"/>
        <w:rPr>
          <w:rFonts w:hint="default" w:ascii="Times New Roman" w:hAnsi="Times New Roman" w:eastAsia="仿宋_GB2312" w:cs="Times New Roman"/>
          <w:sz w:val="32"/>
          <w:szCs w:val="32"/>
        </w:rPr>
      </w:pPr>
      <w:bookmarkStart w:id="61" w:name="_Toc15396630"/>
      <w:r>
        <w:rPr>
          <w:rFonts w:hint="default" w:ascii="Times New Roman" w:hAnsi="Times New Roman" w:eastAsia="仿宋_GB2312" w:cs="Times New Roman"/>
          <w:sz w:val="32"/>
          <w:szCs w:val="32"/>
        </w:rPr>
        <w:t>十二、</w:t>
      </w:r>
      <w:bookmarkEnd w:id="61"/>
      <w:r>
        <w:rPr>
          <w:rFonts w:hint="default" w:ascii="Times New Roman" w:hAnsi="Times New Roman" w:eastAsia="仿宋_GB2312" w:cs="Times New Roman"/>
          <w:sz w:val="32"/>
          <w:szCs w:val="32"/>
        </w:rPr>
        <w:t>国有资本经营预算财政拨款支出决算表</w:t>
      </w:r>
    </w:p>
    <w:p w14:paraId="38984AD1">
      <w:pPr>
        <w:pStyle w:val="14"/>
        <w:adjustRightInd w:val="0"/>
        <w:snapToGrid w:val="0"/>
        <w:spacing w:line="560" w:lineRule="exact"/>
        <w:jc w:val="left"/>
        <w:rPr>
          <w:rFonts w:hint="default" w:ascii="Times New Roman" w:hAnsi="Times New Roman" w:eastAsia="仿宋_GB2312" w:cs="Times New Roman"/>
          <w:sz w:val="32"/>
          <w:szCs w:val="32"/>
        </w:rPr>
      </w:pPr>
      <w:bookmarkStart w:id="62" w:name="_Toc15396631"/>
      <w:r>
        <w:rPr>
          <w:rFonts w:hint="default" w:ascii="Times New Roman" w:hAnsi="Times New Roman" w:eastAsia="仿宋_GB2312" w:cs="Times New Roman"/>
          <w:sz w:val="32"/>
          <w:szCs w:val="32"/>
        </w:rPr>
        <w:t>十三、</w:t>
      </w:r>
      <w:bookmarkEnd w:id="62"/>
      <w:r>
        <w:rPr>
          <w:rFonts w:hint="default" w:ascii="Times New Roman" w:hAnsi="Times New Roman" w:eastAsia="仿宋_GB2312" w:cs="Times New Roman"/>
          <w:sz w:val="32"/>
          <w:szCs w:val="32"/>
        </w:rPr>
        <w:t>财政拨款“三公”经费支出决算表</w:t>
      </w:r>
    </w:p>
    <w:p w14:paraId="277BFD2E"/>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D87D">
    <w:pPr>
      <w:pStyle w:val="11"/>
      <w:jc w:val="center"/>
    </w:pPr>
  </w:p>
  <w:p w14:paraId="74F5630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49274"/>
      <w:docPartObj>
        <w:docPartGallery w:val="AutoText"/>
      </w:docPartObj>
    </w:sdtPr>
    <w:sdtContent>
      <w:p w14:paraId="236D103B">
        <w:pPr>
          <w:pStyle w:val="11"/>
          <w:jc w:val="right"/>
        </w:pPr>
        <w:r>
          <w:fldChar w:fldCharType="begin"/>
        </w:r>
        <w:r>
          <w:instrText xml:space="preserve"> PAGE   \* MERGEFORMAT </w:instrText>
        </w:r>
        <w:r>
          <w:fldChar w:fldCharType="separate"/>
        </w:r>
        <w:r>
          <w:rPr>
            <w:lang w:val="zh-CN"/>
          </w:rPr>
          <w:t>-</w:t>
        </w:r>
        <w:r>
          <w:t xml:space="preserve"> 2 -</w:t>
        </w:r>
        <w:r>
          <w:fldChar w:fldCharType="end"/>
        </w:r>
      </w:p>
    </w:sdtContent>
  </w:sdt>
  <w:p w14:paraId="2D29145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49275"/>
      <w:docPartObj>
        <w:docPartGallery w:val="AutoText"/>
      </w:docPartObj>
    </w:sdtPr>
    <w:sdtContent>
      <w:p w14:paraId="2EB3AFF7">
        <w:pPr>
          <w:pStyle w:val="11"/>
          <w:jc w:val="right"/>
        </w:pPr>
        <w:r>
          <w:fldChar w:fldCharType="begin"/>
        </w:r>
        <w:r>
          <w:instrText xml:space="preserve"> PAGE   \* MERGEFORMAT </w:instrText>
        </w:r>
        <w:r>
          <w:fldChar w:fldCharType="separate"/>
        </w:r>
        <w:r>
          <w:rPr>
            <w:lang w:val="zh-CN"/>
          </w:rPr>
          <w:t>-</w:t>
        </w:r>
        <w:r>
          <w:t xml:space="preserve"> 1 -</w:t>
        </w:r>
        <w:r>
          <w:fldChar w:fldCharType="end"/>
        </w:r>
      </w:p>
    </w:sdtContent>
  </w:sdt>
  <w:p w14:paraId="6B86F4A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880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4FE7C"/>
    <w:multiLevelType w:val="singleLevel"/>
    <w:tmpl w:val="5A74FE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0AB"/>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A530D"/>
    <w:rsid w:val="001C0962"/>
    <w:rsid w:val="001D1255"/>
    <w:rsid w:val="001D7531"/>
    <w:rsid w:val="001E737D"/>
    <w:rsid w:val="001F0592"/>
    <w:rsid w:val="001F7506"/>
    <w:rsid w:val="002006CD"/>
    <w:rsid w:val="00202B36"/>
    <w:rsid w:val="00204B7A"/>
    <w:rsid w:val="00204CDE"/>
    <w:rsid w:val="0021101A"/>
    <w:rsid w:val="00220536"/>
    <w:rsid w:val="00235629"/>
    <w:rsid w:val="00244A5A"/>
    <w:rsid w:val="00260C38"/>
    <w:rsid w:val="002616C0"/>
    <w:rsid w:val="00265372"/>
    <w:rsid w:val="002662AA"/>
    <w:rsid w:val="00280496"/>
    <w:rsid w:val="00294DC9"/>
    <w:rsid w:val="00295495"/>
    <w:rsid w:val="002A0B6A"/>
    <w:rsid w:val="002A31DE"/>
    <w:rsid w:val="002A77D0"/>
    <w:rsid w:val="002B2613"/>
    <w:rsid w:val="002D6D05"/>
    <w:rsid w:val="002F1818"/>
    <w:rsid w:val="002F567B"/>
    <w:rsid w:val="003103EF"/>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56E0"/>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42FD7"/>
    <w:rsid w:val="00564D69"/>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4F0D"/>
    <w:rsid w:val="00767B7E"/>
    <w:rsid w:val="007770C3"/>
    <w:rsid w:val="00784D24"/>
    <w:rsid w:val="00785FBA"/>
    <w:rsid w:val="00786E4A"/>
    <w:rsid w:val="007875EB"/>
    <w:rsid w:val="0079426B"/>
    <w:rsid w:val="00794D28"/>
    <w:rsid w:val="007D1682"/>
    <w:rsid w:val="007D312A"/>
    <w:rsid w:val="007D3F19"/>
    <w:rsid w:val="007E23B0"/>
    <w:rsid w:val="007E23E5"/>
    <w:rsid w:val="007F1991"/>
    <w:rsid w:val="007F2C2F"/>
    <w:rsid w:val="007F55FC"/>
    <w:rsid w:val="007F5665"/>
    <w:rsid w:val="007F592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17AA"/>
    <w:rsid w:val="00A67AB5"/>
    <w:rsid w:val="00A733B2"/>
    <w:rsid w:val="00A741C2"/>
    <w:rsid w:val="00A8103C"/>
    <w:rsid w:val="00A91760"/>
    <w:rsid w:val="00A93B00"/>
    <w:rsid w:val="00A93C21"/>
    <w:rsid w:val="00AB64C9"/>
    <w:rsid w:val="00AC3C6A"/>
    <w:rsid w:val="00AD5620"/>
    <w:rsid w:val="00AD656B"/>
    <w:rsid w:val="00AD7385"/>
    <w:rsid w:val="00AD7C1B"/>
    <w:rsid w:val="00AE0373"/>
    <w:rsid w:val="00AE16BA"/>
    <w:rsid w:val="00AE1EBE"/>
    <w:rsid w:val="00B03C9D"/>
    <w:rsid w:val="00B060AE"/>
    <w:rsid w:val="00B10517"/>
    <w:rsid w:val="00B11025"/>
    <w:rsid w:val="00B130BB"/>
    <w:rsid w:val="00B14E76"/>
    <w:rsid w:val="00B161B8"/>
    <w:rsid w:val="00B2048C"/>
    <w:rsid w:val="00B310B9"/>
    <w:rsid w:val="00B35F3F"/>
    <w:rsid w:val="00B36CBB"/>
    <w:rsid w:val="00B425E0"/>
    <w:rsid w:val="00B440AA"/>
    <w:rsid w:val="00B44B70"/>
    <w:rsid w:val="00B53C56"/>
    <w:rsid w:val="00B57740"/>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67C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C13"/>
    <w:rsid w:val="00D34E7C"/>
    <w:rsid w:val="00D35489"/>
    <w:rsid w:val="00D36AFE"/>
    <w:rsid w:val="00D51276"/>
    <w:rsid w:val="00D7035F"/>
    <w:rsid w:val="00D7247A"/>
    <w:rsid w:val="00D929DB"/>
    <w:rsid w:val="00DA634F"/>
    <w:rsid w:val="00DA65AC"/>
    <w:rsid w:val="00DB1913"/>
    <w:rsid w:val="00DB59D9"/>
    <w:rsid w:val="00DC410D"/>
    <w:rsid w:val="00DC5A81"/>
    <w:rsid w:val="00DC68CA"/>
    <w:rsid w:val="00DC7CBA"/>
    <w:rsid w:val="00DD73B7"/>
    <w:rsid w:val="00DF28BC"/>
    <w:rsid w:val="00DF34B9"/>
    <w:rsid w:val="00E01053"/>
    <w:rsid w:val="00E03E10"/>
    <w:rsid w:val="00E07ACF"/>
    <w:rsid w:val="00E331A1"/>
    <w:rsid w:val="00E33202"/>
    <w:rsid w:val="00E336A9"/>
    <w:rsid w:val="00E472B1"/>
    <w:rsid w:val="00E50624"/>
    <w:rsid w:val="00E54633"/>
    <w:rsid w:val="00E568DF"/>
    <w:rsid w:val="00E64269"/>
    <w:rsid w:val="00E649B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6BE25FA"/>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383AF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收入、支出决算总计变动情况</a:t>
            </a:r>
            <a:endParaRPr lang="zh-CN" altLang="en-US"/>
          </a:p>
        </c:rich>
      </c:tx>
      <c:layout>
        <c:manualLayout>
          <c:xMode val="edge"/>
          <c:yMode val="edge"/>
          <c:x val="0.275216243593654"/>
          <c:y val="0.0317848410757946"/>
        </c:manualLayout>
      </c:layout>
      <c:overlay val="0"/>
      <c:spPr>
        <a:noFill/>
        <a:ln w="25400">
          <a:noFill/>
        </a:ln>
      </c:spPr>
    </c:title>
    <c:autoTitleDeleted val="0"/>
    <c:plotArea>
      <c:layout>
        <c:manualLayout>
          <c:layoutTarget val="inner"/>
          <c:xMode val="edge"/>
          <c:yMode val="edge"/>
          <c:x val="0.0763689298119835"/>
          <c:y val="0.183374302049471"/>
          <c:w val="0.700288677143849"/>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0</c:v>
                </c:pt>
                <c:pt idx="1">
                  <c:v>108.55</c:v>
                </c:pt>
              </c:numCache>
            </c:numRef>
          </c:val>
        </c:ser>
        <c:dLbls>
          <c:showLegendKey val="0"/>
          <c:showVal val="1"/>
          <c:showCatName val="0"/>
          <c:showSerName val="0"/>
          <c:showPercent val="0"/>
          <c:showBubbleSize val="0"/>
        </c:dLbls>
        <c:gapWidth val="150"/>
        <c:axId val="45816064"/>
        <c:axId val="45828352"/>
      </c:barChart>
      <c:catAx>
        <c:axId val="45816064"/>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5828352"/>
        <c:crosses val="autoZero"/>
        <c:auto val="1"/>
        <c:lblAlgn val="ctr"/>
        <c:lblOffset val="100"/>
        <c:tickLblSkip val="1"/>
        <c:noMultiLvlLbl val="0"/>
      </c:catAx>
      <c:valAx>
        <c:axId val="45828352"/>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5816064"/>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23179204"/>
          <c:y val="0.508557970595974"/>
          <c:w val="0.195965611902529"/>
          <c:h val="0.0537897310513448"/>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bc3b9330-a62e-438e-8366-bf6c40704e25}"/>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收入决算结构图</a:t>
            </a:r>
            <a:endParaRPr lang="zh-CN" altLang="en-US"/>
          </a:p>
        </c:rich>
      </c:tx>
      <c:layout>
        <c:manualLayout>
          <c:xMode val="edge"/>
          <c:yMode val="edge"/>
          <c:x val="0.33760726717671"/>
          <c:y val="0.0332409972299169"/>
        </c:manualLayout>
      </c:layout>
      <c:overlay val="0"/>
      <c:spPr>
        <a:noFill/>
        <a:ln w="25400">
          <a:noFill/>
        </a:ln>
      </c:spPr>
    </c:title>
    <c:autoTitleDeleted val="0"/>
    <c:plotArea>
      <c:layout>
        <c:manualLayout>
          <c:layoutTarget val="inner"/>
          <c:xMode val="edge"/>
          <c:yMode val="edge"/>
          <c:x val="0.209402000703905"/>
          <c:y val="0.329640335061482"/>
          <c:w val="0.245014585857631"/>
          <c:h val="0.476454938072058"/>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numFmt formatCode="0%" sourceLinked="0"/>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108.55</c:v>
                </c:pt>
                <c:pt idx="1">
                  <c:v>0</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8120585990581"/>
          <c:y val="0.243767603841764"/>
          <c:w val="0.330484838331379"/>
          <c:h val="0.650970401552992"/>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3b7d7afd-db16-4b95-ac45-5f4473599713}"/>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支出决算结构图</a:t>
            </a:r>
            <a:endParaRPr lang="zh-CN" altLang="en-US"/>
          </a:p>
        </c:rich>
      </c:tx>
      <c:layout>
        <c:manualLayout>
          <c:xMode val="edge"/>
          <c:yMode val="edge"/>
          <c:x val="0.355648974840488"/>
          <c:y val="0.0332409972299169"/>
        </c:manualLayout>
      </c:layout>
      <c:overlay val="0"/>
      <c:spPr>
        <a:noFill/>
        <a:ln w="25400">
          <a:noFill/>
        </a:ln>
      </c:spPr>
    </c:title>
    <c:autoTitleDeleted val="0"/>
    <c:plotArea>
      <c:layout>
        <c:manualLayout>
          <c:layoutTarget val="inner"/>
          <c:xMode val="edge"/>
          <c:yMode val="edge"/>
          <c:x val="0.262203983345296"/>
          <c:y val="0.335180508759994"/>
          <c:w val="0.232915240524811"/>
          <c:h val="0.462604503825777"/>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numFmt formatCode="0.00%" sourceLinked="0"/>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Sheet1!$B$34:$B$38</c:f>
              <c:strCache>
                <c:ptCount val="5"/>
                <c:pt idx="0">
                  <c:v>基本支出</c:v>
                </c:pt>
                <c:pt idx="1">
                  <c:v>项目支出</c:v>
                </c:pt>
                <c:pt idx="2">
                  <c:v>上缴上级支出</c:v>
                </c:pt>
                <c:pt idx="3">
                  <c:v>经营支出</c:v>
                </c:pt>
                <c:pt idx="4">
                  <c:v>对附属单位补助支出</c:v>
                </c:pt>
              </c:strCache>
            </c:strRef>
          </c:cat>
          <c:val>
            <c:numRef>
              <c:f>Sheet1!$C$34:$C$38</c:f>
              <c:numCache>
                <c:formatCode>General</c:formatCode>
                <c:ptCount val="5"/>
                <c:pt idx="0">
                  <c:v>102.7</c:v>
                </c:pt>
                <c:pt idx="1">
                  <c:v>5.85</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elete val="1"/>
          </c:dLbls>
          <c:cat>
            <c:strRef>
              <c:f>Sheet1!$B$34:$B$38</c:f>
              <c:strCache>
                <c:ptCount val="5"/>
                <c:pt idx="0">
                  <c:v>基本支出</c:v>
                </c:pt>
                <c:pt idx="1">
                  <c:v>项目支出</c:v>
                </c:pt>
                <c:pt idx="2">
                  <c:v>上缴上级支出</c:v>
                </c:pt>
                <c:pt idx="3">
                  <c:v>经营支出</c:v>
                </c:pt>
                <c:pt idx="4">
                  <c:v>对附属单位补助支出</c:v>
                </c:pt>
              </c:strCache>
            </c:strRef>
          </c:cat>
          <c:val>
            <c:numRef>
              <c:f>Sheet1!$D$34:$D$38</c:f>
              <c:numCache>
                <c:formatCode>0.00%</c:formatCode>
                <c:ptCount val="5"/>
                <c:pt idx="0">
                  <c:v>0.9461</c:v>
                </c:pt>
                <c:pt idx="1">
                  <c:v>0.0539</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4533800429758"/>
          <c:y val="0.421053213223693"/>
          <c:w val="0.234309916281385"/>
          <c:h val="0.29362909968663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d3d43d6-16e5-4fc2-8048-d15f1d46065a}"/>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收入、支出决算总计变动情况</a:t>
            </a:r>
            <a:endParaRPr lang="zh-CN" altLang="en-US"/>
          </a:p>
        </c:rich>
      </c:tx>
      <c:layout>
        <c:manualLayout>
          <c:xMode val="edge"/>
          <c:yMode val="edge"/>
          <c:x val="0.275216243593654"/>
          <c:y val="0.0317848410757946"/>
        </c:manualLayout>
      </c:layout>
      <c:overlay val="0"/>
      <c:spPr>
        <a:noFill/>
        <a:ln w="25400">
          <a:noFill/>
        </a:ln>
      </c:spPr>
    </c:title>
    <c:autoTitleDeleted val="0"/>
    <c:plotArea>
      <c:layout>
        <c:manualLayout>
          <c:layoutTarget val="inner"/>
          <c:xMode val="edge"/>
          <c:yMode val="edge"/>
          <c:x val="0.0763689298119835"/>
          <c:y val="0.183374302049471"/>
          <c:w val="0.700288677143849"/>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0</c:v>
                </c:pt>
                <c:pt idx="1">
                  <c:v>108.55</c:v>
                </c:pt>
              </c:numCache>
            </c:numRef>
          </c:val>
        </c:ser>
        <c:dLbls>
          <c:showLegendKey val="0"/>
          <c:showVal val="1"/>
          <c:showCatName val="0"/>
          <c:showSerName val="0"/>
          <c:showPercent val="0"/>
          <c:showBubbleSize val="0"/>
        </c:dLbls>
        <c:gapWidth val="150"/>
        <c:axId val="97757824"/>
        <c:axId val="99062144"/>
      </c:barChart>
      <c:catAx>
        <c:axId val="97757824"/>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9062144"/>
        <c:crosses val="autoZero"/>
        <c:auto val="1"/>
        <c:lblAlgn val="ctr"/>
        <c:lblOffset val="100"/>
        <c:tickLblSkip val="1"/>
        <c:noMultiLvlLbl val="0"/>
      </c:catAx>
      <c:valAx>
        <c:axId val="99062144"/>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7757824"/>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23179204"/>
          <c:y val="0.508557970595974"/>
          <c:w val="0.195965611902529"/>
          <c:h val="0.0537897310513448"/>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129b6e51-9121-41fe-8a52-bfba6c8275e2}"/>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5      </a:t>
            </a:r>
            <a:r>
              <a:rPr lang="zh-CN" altLang="en-US" sz="1400" b="0" i="0" u="none" strike="noStrike" baseline="0">
                <a:solidFill>
                  <a:srgbClr val="000000"/>
                </a:solidFill>
                <a:latin typeface="宋体" panose="02010600030101010101" charset="-122"/>
                <a:ea typeface="宋体" panose="02010600030101010101" charset="-122"/>
              </a:rPr>
              <a:t>一般公共预算财政拨款支出决算变动情况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18587903915167"/>
          <c:y val="0.0332409972299169"/>
        </c:manualLayout>
      </c:layout>
      <c:overlay val="0"/>
      <c:spPr>
        <a:noFill/>
        <a:ln w="25400">
          <a:noFill/>
        </a:ln>
      </c:spPr>
    </c:title>
    <c:autoTitleDeleted val="0"/>
    <c:plotArea>
      <c:layout>
        <c:manualLayout>
          <c:layoutTarget val="inner"/>
          <c:xMode val="edge"/>
          <c:yMode val="edge"/>
          <c:x val="0.0763689298119835"/>
          <c:y val="0.202216339995699"/>
          <c:w val="0.585014820823873"/>
          <c:h val="0.667590930670732"/>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0</c:v>
                </c:pt>
                <c:pt idx="1">
                  <c:v>108.55</c:v>
                </c:pt>
              </c:numCache>
            </c:numRef>
          </c:val>
        </c:ser>
        <c:dLbls>
          <c:showLegendKey val="0"/>
          <c:showVal val="1"/>
          <c:showCatName val="0"/>
          <c:showSerName val="0"/>
          <c:showPercent val="0"/>
          <c:showBubbleSize val="0"/>
        </c:dLbls>
        <c:gapWidth val="150"/>
        <c:axId val="101107968"/>
        <c:axId val="116359168"/>
      </c:barChart>
      <c:catAx>
        <c:axId val="10110796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6359168"/>
        <c:crosses val="autoZero"/>
        <c:auto val="1"/>
        <c:lblAlgn val="ctr"/>
        <c:lblOffset val="100"/>
        <c:tickLblSkip val="1"/>
        <c:noMultiLvlLbl val="0"/>
      </c:catAx>
      <c:valAx>
        <c:axId val="116359168"/>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1107968"/>
        <c:crosses val="autoZero"/>
        <c:crossBetween val="between"/>
      </c:valAx>
      <c:spPr>
        <a:solidFill>
          <a:srgbClr val="C0C0C0"/>
        </a:solidFill>
        <a:ln w="12700">
          <a:solidFill>
            <a:srgbClr val="808080"/>
          </a:solidFill>
          <a:prstDash val="solid"/>
        </a:ln>
      </c:spPr>
    </c:plotArea>
    <c:legend>
      <c:legendPos val="r"/>
      <c:layout>
        <c:manualLayout>
          <c:xMode val="edge"/>
          <c:yMode val="edge"/>
          <c:x val="0.677233889522777"/>
          <c:y val="0.506925789400979"/>
          <c:w val="0.311239394932161"/>
          <c:h val="0.0609418282548476"/>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2c899fb-6d12-40c6-b0a2-9d5991e1993b}"/>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25" b="0" i="0" u="none" strike="noStrike" baseline="0">
                <a:solidFill>
                  <a:srgbClr val="000000"/>
                </a:solidFill>
                <a:latin typeface="宋体" panose="02010600030101010101" charset="-122"/>
                <a:ea typeface="宋体" panose="02010600030101010101" charset="-122"/>
              </a:rPr>
              <a:t>图</a:t>
            </a:r>
            <a:r>
              <a:rPr lang="en-US" altLang="zh-CN" sz="1425" b="0" i="0" u="none" strike="noStrike" baseline="0">
                <a:solidFill>
                  <a:srgbClr val="000000"/>
                </a:solidFill>
                <a:latin typeface="宋体" panose="02010600030101010101" charset="-122"/>
                <a:ea typeface="宋体" panose="02010600030101010101" charset="-122"/>
              </a:rPr>
              <a:t>6    </a:t>
            </a:r>
            <a:r>
              <a:rPr lang="zh-CN" altLang="en-US" sz="1425" b="0" i="0" u="none" strike="noStrike" baseline="0">
                <a:solidFill>
                  <a:srgbClr val="000000"/>
                </a:solidFill>
                <a:latin typeface="宋体" panose="02010600030101010101" charset="-122"/>
                <a:ea typeface="宋体" panose="02010600030101010101" charset="-122"/>
              </a:rPr>
              <a:t>一般公共预算财政拨款支出决算结构</a:t>
            </a:r>
            <a:endParaRPr lang="zh-CN" altLang="en-US" sz="1425"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35624129386061"/>
          <c:y val="0.0289855072463768"/>
        </c:manualLayout>
      </c:layout>
      <c:overlay val="0"/>
      <c:spPr>
        <a:noFill/>
        <a:ln w="25400">
          <a:noFill/>
        </a:ln>
      </c:spPr>
    </c:title>
    <c:autoTitleDeleted val="0"/>
    <c:plotArea>
      <c:layout>
        <c:manualLayout>
          <c:layoutTarget val="inner"/>
          <c:xMode val="edge"/>
          <c:yMode val="edge"/>
          <c:x val="0.255259467040673"/>
          <c:y val="0.372671560946317"/>
          <c:w val="0.246844319775596"/>
          <c:h val="0.364389970703066"/>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9999FF"/>
              </a:solidFill>
              <a:ln w="12700">
                <a:solidFill>
                  <a:srgbClr val="000000"/>
                </a:solidFill>
                <a:prstDash val="solid"/>
              </a:ln>
            </c:spPr>
          </c:dPt>
          <c:dLbls>
            <c:numFmt formatCode="0.00%" sourceLinked="0"/>
            <c:spPr>
              <a:noFill/>
              <a:ln w="25400">
                <a:noFill/>
              </a:ln>
              <a:effectLst/>
            </c:spPr>
            <c:txPr>
              <a:bodyPr rot="0" spcFirstLastPara="0" vertOverflow="ellipsis"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Sheet1!$A$110:$A$116</c:f>
              <c:strCache>
                <c:ptCount val="5"/>
                <c:pt idx="0">
                  <c:v>一般公共服务支出</c:v>
                </c:pt>
                <c:pt idx="1">
                  <c:v>卫生健康支出</c:v>
                </c:pt>
                <c:pt idx="2">
                  <c:v>社会保障和就业支出</c:v>
                </c:pt>
                <c:pt idx="4">
                  <c:v>住房保障支出</c:v>
                </c:pt>
              </c:strCache>
            </c:strRef>
          </c:cat>
          <c:val>
            <c:numRef>
              <c:f>Sheet1!$B$110:$B$116</c:f>
              <c:numCache>
                <c:formatCode>General</c:formatCode>
                <c:ptCount val="7"/>
                <c:pt idx="0">
                  <c:v>84.35</c:v>
                </c:pt>
                <c:pt idx="1">
                  <c:v>6.12</c:v>
                </c:pt>
                <c:pt idx="2">
                  <c:v>9.66</c:v>
                </c:pt>
                <c:pt idx="3">
                  <c:v>0</c:v>
                </c:pt>
                <c:pt idx="4">
                  <c:v>8.42</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Sheet1!$A$111:$A$116</c:f>
              <c:strCache>
                <c:ptCount val="5"/>
                <c:pt idx="0">
                  <c:v>一般公共服务支出</c:v>
                </c:pt>
                <c:pt idx="1">
                  <c:v>卫生健康支出</c:v>
                </c:pt>
                <c:pt idx="2">
                  <c:v>社会保障和就业支出</c:v>
                </c:pt>
                <c:pt idx="4">
                  <c:v>住房保障支出</c:v>
                </c:pt>
              </c:strCache>
            </c:strRef>
          </c:cat>
          <c:val>
            <c:numRef>
              <c:f>Sheet1!$C$111:$C$116</c:f>
              <c:numCache>
                <c:formatCode>0.00%</c:formatCode>
                <c:ptCount val="6"/>
                <c:pt idx="0">
                  <c:v>0.0564</c:v>
                </c:pt>
                <c:pt idx="1">
                  <c:v>0.089</c:v>
                </c:pt>
                <c:pt idx="2">
                  <c:v>0</c:v>
                </c:pt>
                <c:pt idx="3">
                  <c:v>0.0776</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3155618117568"/>
          <c:y val="0.424431511278482"/>
          <c:w val="0.235624129386061"/>
          <c:h val="0.2629403933204"/>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692ce548-20db-4716-826a-a57b5dca38b2}"/>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5187</Words>
  <Characters>5572</Characters>
  <Lines>47</Lines>
  <Paragraphs>13</Paragraphs>
  <TotalTime>135</TotalTime>
  <ScaleCrop>false</ScaleCrop>
  <LinksUpToDate>false</LinksUpToDate>
  <CharactersWithSpaces>6397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Owner</cp:lastModifiedBy>
  <cp:lastPrinted>2025-10-10T03:06:00Z</cp:lastPrinted>
  <dcterms:modified xsi:type="dcterms:W3CDTF">2025-10-21T10:29:29Z</dcterms:modified>
  <dc:title>四川省***</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eyJoZGlkIjoiYWUwMjNjMGMwYmExYTdmY2I5ZDg5ZmJlMTFhNGViNGQifQ==</vt:lpwstr>
  </property>
</Properties>
</file>