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96597"/>
      <w:bookmarkStart w:id="1" w:name="_Toc15377193"/>
      <w:bookmarkStart w:id="2" w:name="_Toc15377425"/>
      <w:bookmarkStart w:id="3" w:name="_Toc15378441"/>
      <w:bookmarkStart w:id="4" w:name="_Toc15396475"/>
      <w:bookmarkStart w:id="5" w:name="_Toc15306267"/>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44"/>
          <w:szCs w:val="44"/>
        </w:rPr>
      </w:pPr>
    </w:p>
    <w:p>
      <w:pPr>
        <w:pStyle w:val="6"/>
        <w:spacing w:before="93"/>
        <w:jc w:val="center"/>
        <w:rPr>
          <w:rFonts w:ascii="Times New Roman" w:eastAsia="方正小标宋简体"/>
          <w:kern w:val="2"/>
          <w:sz w:val="44"/>
          <w:szCs w:val="44"/>
        </w:rPr>
      </w:pPr>
    </w:p>
    <w:p>
      <w:pPr>
        <w:pStyle w:val="6"/>
        <w:spacing w:before="93"/>
        <w:jc w:val="center"/>
        <w:rPr>
          <w:rFonts w:ascii="Times New Roman" w:eastAsia="方正小标宋简体"/>
          <w:kern w:val="2"/>
          <w:sz w:val="44"/>
          <w:szCs w:val="44"/>
        </w:rPr>
      </w:pPr>
    </w:p>
    <w:p>
      <w:pPr>
        <w:pStyle w:val="6"/>
        <w:spacing w:before="93"/>
        <w:jc w:val="center"/>
        <w:rPr>
          <w:rFonts w:ascii="Times New Roman" w:eastAsia="方正小标宋简体"/>
          <w:kern w:val="2"/>
          <w:sz w:val="44"/>
          <w:szCs w:val="44"/>
        </w:rPr>
      </w:pPr>
    </w:p>
    <w:bookmarkEnd w:id="0"/>
    <w:bookmarkEnd w:id="1"/>
    <w:bookmarkEnd w:id="2"/>
    <w:bookmarkEnd w:id="3"/>
    <w:bookmarkEnd w:id="4"/>
    <w:p>
      <w:pPr>
        <w:pStyle w:val="6"/>
        <w:spacing w:before="93"/>
        <w:jc w:val="center"/>
        <w:rPr>
          <w:rFonts w:ascii="Times New Roman" w:eastAsia="方正小标宋简体"/>
          <w:kern w:val="2"/>
          <w:sz w:val="72"/>
          <w:szCs w:val="72"/>
        </w:rPr>
      </w:pPr>
      <w:bookmarkStart w:id="6" w:name="_Toc15377426"/>
      <w:bookmarkStart w:id="7" w:name="_Toc15396476"/>
      <w:bookmarkStart w:id="8" w:name="_Toc15396598"/>
      <w:bookmarkStart w:id="9" w:name="_Toc15378442"/>
      <w:bookmarkStart w:id="10" w:name="_Toc15377194"/>
      <w:r>
        <w:rPr>
          <w:rFonts w:hint="eastAsia" w:ascii="Times New Roman" w:eastAsia="方正小标宋简体"/>
          <w:kern w:val="2"/>
          <w:sz w:val="72"/>
          <w:szCs w:val="72"/>
        </w:rPr>
        <w:t>2024年度</w:t>
      </w:r>
    </w:p>
    <w:bookmarkEnd w:id="5"/>
    <w:p>
      <w:pPr>
        <w:pStyle w:val="6"/>
        <w:spacing w:before="93"/>
        <w:jc w:val="center"/>
        <w:rPr>
          <w:rFonts w:ascii="Times New Roman" w:eastAsia="方正小标宋简体"/>
          <w:kern w:val="2"/>
          <w:sz w:val="72"/>
          <w:szCs w:val="72"/>
        </w:rPr>
      </w:pPr>
      <w:bookmarkStart w:id="11" w:name="_Toc15306268"/>
      <w:r>
        <w:rPr>
          <w:rFonts w:hint="eastAsia" w:ascii="Times New Roman" w:eastAsia="方正小标宋简体"/>
          <w:kern w:val="2"/>
          <w:sz w:val="72"/>
          <w:szCs w:val="72"/>
        </w:rPr>
        <w:t>盐边县综合行政执法局单位决算</w:t>
      </w:r>
      <w:bookmarkEnd w:id="6"/>
      <w:bookmarkEnd w:id="7"/>
      <w:bookmarkEnd w:id="8"/>
      <w:bookmarkEnd w:id="9"/>
      <w:bookmarkEnd w:id="10"/>
      <w:bookmarkEnd w:id="11"/>
      <w:r>
        <w:rPr>
          <w:rFonts w:hint="eastAsia" w:ascii="Times New Roman" w:eastAsia="方正小标宋简体"/>
          <w:kern w:val="2"/>
          <w:sz w:val="72"/>
          <w:szCs w:val="72"/>
        </w:rPr>
        <w:t>公开编制说明</w:t>
      </w:r>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32"/>
          <w:szCs w:val="32"/>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10月 28 日</w:t>
      </w:r>
    </w:p>
    <w:p>
      <w:pPr>
        <w:rPr>
          <w:rFonts w:hint="default" w:ascii="Times New Roman" w:hAnsi="Times New Roman" w:cs="Times New Roman"/>
        </w:rPr>
      </w:pPr>
    </w:p>
    <w:sdt>
      <w:sdtPr>
        <w:rPr>
          <w:rFonts w:hint="default" w:ascii="Times New Roman" w:hAnsi="Times New Roman" w:eastAsia="黑体" w:cs="Times New Roman"/>
          <w:color w:val="auto"/>
          <w:sz w:val="32"/>
          <w:szCs w:val="32"/>
          <w:highlight w:val="none"/>
          <w:lang w:val="zh-CN"/>
        </w:rPr>
        <w:id w:val="92448612"/>
        <w:docPartObj>
          <w:docPartGallery w:val="Table of Contents"/>
          <w:docPartUnique/>
        </w:docPartObj>
      </w:sdtPr>
      <w:sdtEndPr>
        <w:rPr>
          <w:rFonts w:hint="default" w:ascii="Times New Roman" w:hAnsi="Times New Roman" w:eastAsia="仿宋_GB2312" w:cs="仿宋_GB2312"/>
          <w:color w:val="auto"/>
          <w:kern w:val="2"/>
          <w:sz w:val="32"/>
          <w:szCs w:val="32"/>
          <w:highlight w:val="none"/>
          <w:lang w:val="en-US" w:eastAsia="zh-CN" w:bidi="ar-SA"/>
        </w:rPr>
      </w:sdtEndPr>
      <w:sdtContent>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bookmarkStart w:id="12" w:name="_Toc15377196"/>
          <w:bookmarkStart w:id="13" w:name="_Toc15396599"/>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TOC \o "1-3" \h \z \u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"_Toc211940837"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第一部分  部门概况</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_Toc211940837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- 4 -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"_Toc211940838"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一、 部门职责</w:t>
          </w:r>
          <w:bookmarkStart w:id="14" w:name="OLE_LINK1"/>
          <w:bookmarkStart w:id="15" w:name="OLE_LINK2"/>
          <w:r>
            <w:rPr>
              <w:rFonts w:hint="default" w:ascii="Times New Roman" w:hAnsi="Times New Roman" w:eastAsia="仿宋_GB2312" w:cs="仿宋_GB2312"/>
              <w:color w:val="auto"/>
              <w:kern w:val="2"/>
              <w:sz w:val="32"/>
              <w:szCs w:val="32"/>
              <w:highlight w:val="none"/>
              <w:lang w:val="en-US" w:eastAsia="zh-CN" w:bidi="ar-SA"/>
            </w:rPr>
            <w:tab/>
          </w:r>
          <w:bookmarkEnd w:id="14"/>
          <w:bookmarkEnd w:id="15"/>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_Toc211940838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- 4 -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"_Toc211940839"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二、</w:t>
          </w:r>
          <w:r>
            <w:rPr>
              <w:rFonts w:hint="eastAsia" w:ascii="Times New Roman" w:hAnsi="Times New Roman" w:eastAsia="仿宋_GB2312" w:cs="仿宋_GB2312"/>
              <w:color w:val="auto"/>
              <w:kern w:val="2"/>
              <w:sz w:val="32"/>
              <w:szCs w:val="32"/>
              <w:highlight w:val="none"/>
              <w:lang w:val="en-US" w:eastAsia="zh-CN" w:bidi="ar-SA"/>
            </w:rPr>
            <w:t xml:space="preserve"> </w:t>
          </w:r>
          <w:r>
            <w:rPr>
              <w:rFonts w:hint="default" w:ascii="Times New Roman" w:hAnsi="Times New Roman" w:eastAsia="仿宋_GB2312" w:cs="仿宋_GB2312"/>
              <w:color w:val="auto"/>
              <w:kern w:val="2"/>
              <w:sz w:val="32"/>
              <w:szCs w:val="32"/>
              <w:highlight w:val="none"/>
              <w:lang w:val="en-US" w:eastAsia="zh-CN" w:bidi="ar-SA"/>
            </w:rPr>
            <w:t>机构设置</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_Toc211940839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- 5 -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"_Toc211940842"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第二部分  2024年度部门决算情况说明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_Toc211940842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- 7 -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"_Toc211940843"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一、收入支出决算总体情况说明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_Toc211940843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- 7 -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"_Toc211940845"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二、收入决算情况说明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_Toc211940845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- 7 -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"_Toc211940847"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三、支出决算情况说明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_Toc211940847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- 8 -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"_Toc211940849"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四、财政拨款收入支出决算总体情况说明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_Toc211940849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- 8 -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"_Toc211940850"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五、一般公共预算财政拨款支出决算情况说明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_Toc211940850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"_Toc211940854"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六、一般公共预算财政拨款基本支出决算情况说明</w:t>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_Toc211940854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- 14 -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"_Toc211940856"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七、财政拨款“三公”经费支出决算情况说明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_Toc211940856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- 14 -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"_Toc211940859"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八、政府性基金预算支出决算情况说明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_Toc211940859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- 16 -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"_Toc211940860"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九、国有资本经营预算支出决算情况说明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_Toc211940860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- 16 -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"_Toc211940861"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十、其他重要事项的情况说明</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_Toc211940861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- 16 -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"_Toc211940866"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第三部分  名词解释</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_Toc211940866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- 18 -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"_Toc211940867"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第四部分  附件</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_Toc211940867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- 22 -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"_Toc211940869"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第五部分 附表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_Toc211940869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"_Toc211940870"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一、收入支出决算总表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_Toc211940870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"_Toc211940871"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二、收入决算表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_Toc211940871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"_Toc211940872"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三、支出决算表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_Toc211940872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"_Toc211940873"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四、财政拨款收入支出决算总表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_Toc211940873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"_Toc211940874"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五、财政拨款支出决算明细表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_Toc211940874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"_Toc211940875"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六、一般公共预算财政拨款支出决算表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_Toc211940875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"_Toc211940876"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七、一般公共预算财政拨款支出决算明细表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_Toc211940876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"_Toc211940877"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八、一般公共预算财政拨款基本支出决算表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_Toc211940877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"_Toc211940878"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九、一般公共预算财政拨款项目支出决算表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_Toc211940878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"_Toc211940879"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十、政府性基金预算财政拨款收入支出决算表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_Toc211940879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"_Toc211940880"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十一、国有资本经营预算财政拨款收入支出决算表</w:t>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_Toc211940880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"_Toc211940881"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十二、国有资本经营预算财政拨款支出决算表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_Toc211940881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HYPERLINK \l "_Toc211940882"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十三、财政拨款“三公”经费支出决算表</w:t>
          </w:r>
          <w:r>
            <w:rPr>
              <w:rFonts w:hint="default" w:ascii="Times New Roman" w:hAnsi="Times New Roman" w:eastAsia="仿宋_GB2312" w:cs="仿宋_GB2312"/>
              <w:color w:val="auto"/>
              <w:kern w:val="2"/>
              <w:sz w:val="32"/>
              <w:szCs w:val="32"/>
              <w:highlight w:val="none"/>
              <w:lang w:val="en-US" w:eastAsia="zh-CN" w:bidi="ar-SA"/>
            </w:rPr>
            <w:tab/>
          </w:r>
          <w:r>
            <w:rPr>
              <w:rFonts w:hint="default" w:ascii="Times New Roman" w:hAnsi="Times New Roman" w:eastAsia="仿宋_GB2312" w:cs="仿宋_GB2312"/>
              <w:color w:val="auto"/>
              <w:kern w:val="2"/>
              <w:sz w:val="32"/>
              <w:szCs w:val="32"/>
              <w:highlight w:val="none"/>
              <w:lang w:val="en-US" w:eastAsia="zh-CN" w:bidi="ar-SA"/>
            </w:rPr>
            <w:fldChar w:fldCharType="begin"/>
          </w:r>
          <w:r>
            <w:rPr>
              <w:rFonts w:hint="default" w:ascii="Times New Roman" w:hAnsi="Times New Roman" w:eastAsia="仿宋_GB2312" w:cs="仿宋_GB2312"/>
              <w:color w:val="auto"/>
              <w:kern w:val="2"/>
              <w:sz w:val="32"/>
              <w:szCs w:val="32"/>
              <w:highlight w:val="none"/>
              <w:lang w:val="en-US" w:eastAsia="zh-CN" w:bidi="ar-SA"/>
            </w:rPr>
            <w:instrText xml:space="preserve"> PAGEREF _Toc211940882 \h </w:instrText>
          </w:r>
          <w:r>
            <w:rPr>
              <w:rFonts w:hint="default" w:ascii="Times New Roman" w:hAnsi="Times New Roman" w:eastAsia="仿宋_GB2312" w:cs="仿宋_GB2312"/>
              <w:color w:val="auto"/>
              <w:kern w:val="2"/>
              <w:sz w:val="32"/>
              <w:szCs w:val="32"/>
              <w:highlight w:val="none"/>
              <w:lang w:val="en-US" w:eastAsia="zh-CN" w:bidi="ar-SA"/>
            </w:rPr>
            <w:fldChar w:fldCharType="separate"/>
          </w:r>
          <w:r>
            <w:rPr>
              <w:rFonts w:hint="default" w:ascii="Times New Roman" w:hAnsi="Times New Roman" w:eastAsia="仿宋_GB2312" w:cs="仿宋_GB2312"/>
              <w:color w:val="auto"/>
              <w:kern w:val="2"/>
              <w:sz w:val="32"/>
              <w:szCs w:val="32"/>
              <w:highlight w:val="none"/>
              <w:lang w:val="en-US" w:eastAsia="zh-CN" w:bidi="ar-SA"/>
            </w:rPr>
            <w:t>- 29 -</w:t>
          </w:r>
          <w:r>
            <w:rPr>
              <w:rFonts w:hint="default" w:ascii="Times New Roman" w:hAnsi="Times New Roman" w:eastAsia="仿宋_GB2312" w:cs="仿宋_GB2312"/>
              <w:color w:val="auto"/>
              <w:kern w:val="2"/>
              <w:sz w:val="32"/>
              <w:szCs w:val="32"/>
              <w:highlight w:val="none"/>
              <w:lang w:val="en-US" w:eastAsia="zh-CN" w:bidi="ar-SA"/>
            </w:rPr>
            <w:fldChar w:fldCharType="end"/>
          </w:r>
          <w:r>
            <w:rPr>
              <w:rFonts w:hint="default" w:ascii="Times New Roman" w:hAnsi="Times New Roman" w:eastAsia="仿宋_GB2312" w:cs="仿宋_GB2312"/>
              <w:color w:val="auto"/>
              <w:kern w:val="2"/>
              <w:sz w:val="32"/>
              <w:szCs w:val="32"/>
              <w:highlight w:val="none"/>
              <w:lang w:val="en-US" w:eastAsia="zh-CN" w:bidi="ar-SA"/>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fldChar w:fldCharType="end"/>
          </w:r>
          <w:bookmarkStart w:id="16" w:name="_Toc211940837"/>
        </w:p>
      </w:sdtContent>
    </w:sdt>
    <w:p>
      <w:pPr>
        <w:pStyle w:val="3"/>
        <w:jc w:val="center"/>
        <w:rPr>
          <w:rFonts w:hint="eastAsia" w:eastAsia="方正小标宋简体" w:cs="方正小标宋简体"/>
          <w:b w:val="0"/>
        </w:rPr>
      </w:pPr>
    </w:p>
    <w:p>
      <w:pPr>
        <w:pStyle w:val="3"/>
        <w:jc w:val="center"/>
        <w:rPr>
          <w:rFonts w:hint="eastAsia" w:eastAsia="方正小标宋简体" w:cs="方正小标宋简体"/>
          <w:b w:val="0"/>
        </w:rPr>
      </w:pPr>
    </w:p>
    <w:p>
      <w:pPr>
        <w:pStyle w:val="3"/>
        <w:jc w:val="center"/>
        <w:rPr>
          <w:rFonts w:hint="eastAsia" w:eastAsia="方正小标宋简体" w:cs="方正小标宋简体"/>
          <w:b w:val="0"/>
        </w:rPr>
      </w:pPr>
    </w:p>
    <w:p>
      <w:pPr>
        <w:rPr>
          <w:rFonts w:hint="eastAsia" w:eastAsia="方正小标宋简体" w:cs="方正小标宋简体"/>
          <w:b w:val="0"/>
        </w:rPr>
      </w:pPr>
    </w:p>
    <w:p>
      <w:pPr>
        <w:pStyle w:val="2"/>
        <w:rPr>
          <w:rFonts w:hint="eastAsia" w:eastAsia="方正小标宋简体" w:cs="方正小标宋简体"/>
          <w:b w:val="0"/>
        </w:rPr>
      </w:pPr>
    </w:p>
    <w:p>
      <w:pPr>
        <w:rPr>
          <w:rFonts w:hint="eastAsia"/>
        </w:rPr>
      </w:pPr>
    </w:p>
    <w:p>
      <w:pPr>
        <w:pStyle w:val="3"/>
        <w:tabs>
          <w:tab w:val="left" w:pos="1446"/>
          <w:tab w:val="center" w:pos="4213"/>
        </w:tabs>
        <w:jc w:val="left"/>
        <w:rPr>
          <w:rStyle w:val="29"/>
          <w:rFonts w:eastAsia="方正小标宋简体" w:cs="方正小标宋简体"/>
          <w:b/>
          <w:bCs w:val="0"/>
        </w:rPr>
      </w:pPr>
      <w:r>
        <w:rPr>
          <w:rFonts w:hint="eastAsia" w:eastAsia="方正小标宋简体" w:cs="方正小标宋简体"/>
          <w:b w:val="0"/>
          <w:lang w:eastAsia="zh-CN"/>
        </w:rPr>
        <w:tab/>
      </w:r>
      <w:r>
        <w:rPr>
          <w:rFonts w:hint="eastAsia" w:eastAsia="方正小标宋简体" w:cs="方正小标宋简体"/>
          <w:b w:val="0"/>
          <w:lang w:eastAsia="zh-CN"/>
        </w:rPr>
        <w:tab/>
      </w: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bookmarkEnd w:id="16"/>
    </w:p>
    <w:p>
      <w:pPr>
        <w:pStyle w:val="4"/>
        <w:numPr>
          <w:ilvl w:val="0"/>
          <w:numId w:val="1"/>
        </w:numPr>
        <w:rPr>
          <w:rFonts w:ascii="Times New Roman" w:hAnsi="Times New Roman" w:eastAsia="黑体"/>
          <w:b w:val="0"/>
        </w:rPr>
      </w:pPr>
      <w:bookmarkStart w:id="17" w:name="_Toc211940838"/>
      <w:r>
        <w:rPr>
          <w:rFonts w:hint="eastAsia" w:ascii="Times New Roman" w:hAnsi="Times New Roman" w:eastAsia="黑体"/>
          <w:b w:val="0"/>
        </w:rPr>
        <w:t>部门职责</w:t>
      </w:r>
      <w:bookmarkEnd w:id="17"/>
    </w:p>
    <w:p>
      <w:pPr>
        <w:ind w:firstLine="640" w:firstLineChars="200"/>
        <w:rPr>
          <w:rFonts w:ascii="仿宋" w:hAnsi="仿宋" w:eastAsia="仿宋"/>
          <w:sz w:val="32"/>
          <w:szCs w:val="32"/>
        </w:rPr>
      </w:pPr>
      <w:r>
        <w:rPr>
          <w:rFonts w:hint="eastAsia" w:ascii="仿宋" w:hAnsi="仿宋" w:eastAsia="仿宋"/>
          <w:sz w:val="32"/>
          <w:szCs w:val="32"/>
        </w:rPr>
        <w:t>参与拟订城市管理地方性法规、规章草案。拟订全县综合行政执法和城市管理发展规划、实施计划、管理标准等规范性文件。会同相关部门拟订综合行政执法和城市管理工作目标并组织实施。负责综合行政执法工作。行使市容环境卫生管理、城市绿化管理行政处罚权。根据省、市部署和要求，推进综合执法改革，改进城市管理工作。负责城市市容环境卫生综合管理工作。依法对城市市容环境卫生实施监督检查和考核。负责环境卫生作业企业的行业管理。负责城市建城区户外广告和招牌的监督管理。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负责城市规划区古树名木的保护管理工作。负责对权限内园林绿化企业监督管理工作。负责燃气行业综合管理工作。拟订燃气行业发展规划并组织实施。监督指导燃气经营单位落实行业规范、标准。监督指导燃气工程建设及备案工作。负责推进数字化城市管理和信息化建设，负责民生服务热线12345的建设和管理工作。拟定综合行政执法和城市管理工作经费的中长期计划和年度计划，会同有关部门对使用情况实施监督管理。参与城市新建、改扩建项目中涉及市容环境卫生、园林绿化项目的规划、方案审查、综合验收。承担职责范围内的安全生产和职业健康、生态环境保护、审批服务便民化等工作。完成县委、县政府交办的其他任务。职能转变。根据“放管服”改革和政府职能转变的要求，推动“最多跑一次”“互联网+政务服务”等改革事项取得重大突破，推进线上线下深度融合。运用大数据精准分析和评估审批服务办件情况，有针对性地改进办理流程，让办事更便捷、服务更优质。强化行业监管和社会监督，解决办事手续繁、效率低问题，提高服务质量。行政处罚权划转后有关职责分工：有关行政处罚权划转后，原行政管理部门的行业监管主体责任不变，继续履行管理事项的日常监督检查、监测、违法行为发现等行政管理职能。城市管理综合行政执法部门定期将执行行政处罚或行政强制的情况反馈相关部门，实现末端执法与源头治理有机结合。</w:t>
      </w:r>
    </w:p>
    <w:p>
      <w:pPr>
        <w:pStyle w:val="4"/>
        <w:rPr>
          <w:rStyle w:val="30"/>
          <w:rFonts w:ascii="Times New Roman" w:hAnsi="Times New Roman"/>
          <w:b w:val="0"/>
          <w:bCs w:val="0"/>
        </w:rPr>
      </w:pPr>
      <w:bookmarkStart w:id="18" w:name="_Toc15377200"/>
      <w:bookmarkStart w:id="19" w:name="_Toc211940839"/>
      <w:bookmarkStart w:id="20"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8"/>
      <w:bookmarkEnd w:id="19"/>
      <w:bookmarkEnd w:id="20"/>
    </w:p>
    <w:p>
      <w:pPr>
        <w:pStyle w:val="20"/>
        <w:ind w:firstLine="640" w:firstLineChars="200"/>
        <w:rPr>
          <w:lang w:val="zh-CN"/>
        </w:rPr>
      </w:pPr>
      <w:r>
        <w:rPr>
          <w:rFonts w:hint="eastAsia" w:ascii="仿宋_GB2312" w:hAnsi="宋体" w:eastAsia="仿宋_GB2312" w:cs="仿宋_GB2312"/>
          <w:kern w:val="0"/>
          <w:sz w:val="32"/>
          <w:szCs w:val="32"/>
          <w:shd w:val="clear" w:color="auto" w:fill="FFFFFF"/>
          <w:lang w:val="zh-CN"/>
        </w:rPr>
        <w:t>盐边县综合行政执法局下设股室：办公室、业务股，下属事业单位：盐边县城市管理综合行政执法大队、盐边县数字化城市联动指挥中心。</w:t>
      </w:r>
    </w:p>
    <w:p>
      <w:pPr>
        <w:pStyle w:val="6"/>
        <w:adjustRightInd w:val="0"/>
        <w:snapToGrid w:val="0"/>
        <w:spacing w:before="93" w:line="600" w:lineRule="exact"/>
        <w:ind w:firstLine="1120" w:firstLineChars="350"/>
        <w:rPr>
          <w:rFonts w:ascii="Times New Roman" w:cs="仿宋_GB2312"/>
          <w:sz w:val="32"/>
          <w:szCs w:val="32"/>
        </w:rPr>
      </w:pP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21" w:name="_Toc211940842"/>
      <w:bookmarkStart w:id="22" w:name="_Toc15377204"/>
      <w:bookmarkStart w:id="23" w:name="_Toc15396602"/>
      <w:r>
        <w:rPr>
          <w:rFonts w:hint="eastAsia" w:eastAsia="方正小标宋简体" w:cs="方正小标宋简体"/>
          <w:b w:val="0"/>
        </w:rPr>
        <w:t>第二部分  2024年度部门决算情况说明</w:t>
      </w:r>
      <w:bookmarkEnd w:id="21"/>
      <w:bookmarkEnd w:id="22"/>
      <w:bookmarkEnd w:id="23"/>
    </w:p>
    <w:p/>
    <w:p>
      <w:pPr>
        <w:pStyle w:val="28"/>
        <w:spacing w:line="600" w:lineRule="exact"/>
        <w:ind w:firstLine="640"/>
        <w:outlineLvl w:val="1"/>
        <w:rPr>
          <w:rStyle w:val="30"/>
          <w:rFonts w:ascii="Times New Roman" w:hAnsi="Times New Roman" w:eastAsia="黑体"/>
          <w:b w:val="0"/>
        </w:rPr>
      </w:pPr>
      <w:bookmarkStart w:id="24" w:name="_Toc211940843"/>
      <w:bookmarkStart w:id="25" w:name="_Toc15377205"/>
      <w:bookmarkStart w:id="26"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24"/>
      <w:bookmarkEnd w:id="25"/>
      <w:bookmarkEnd w:id="26"/>
    </w:p>
    <w:p>
      <w:pPr>
        <w:pStyle w:val="28"/>
        <w:spacing w:line="600" w:lineRule="exact"/>
        <w:ind w:firstLine="640"/>
        <w:outlineLvl w:val="1"/>
        <w:rPr>
          <w:rFonts w:eastAsia="仿宋_GB2312" w:cs="仿宋_GB2312"/>
          <w:sz w:val="32"/>
          <w:szCs w:val="32"/>
        </w:rPr>
      </w:pPr>
      <w:bookmarkStart w:id="27" w:name="_Toc211940844"/>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7413.25</w:t>
      </w:r>
      <w:r>
        <w:rPr>
          <w:rFonts w:hint="eastAsia" w:eastAsia="仿宋_GB2312" w:cs="仿宋_GB2312"/>
          <w:sz w:val="32"/>
          <w:szCs w:val="32"/>
        </w:rPr>
        <w:t>万元。与2023年度相比，收入、支出总计各增加98.29万元，增长1.34%。主要变动原因是人员新增调入产生的正常变动。</w:t>
      </w:r>
      <w:bookmarkEnd w:id="27"/>
    </w:p>
    <w:p>
      <w:pPr>
        <w:pStyle w:val="28"/>
        <w:spacing w:line="600" w:lineRule="exact"/>
        <w:ind w:firstLine="640"/>
        <w:outlineLvl w:val="1"/>
        <w:rPr>
          <w:rFonts w:eastAsia="仿宋_GB2312" w:cs="仿宋_GB2312"/>
          <w:sz w:val="32"/>
          <w:szCs w:val="32"/>
        </w:rPr>
      </w:pPr>
    </w:p>
    <w:p>
      <w:pPr>
        <w:pStyle w:val="28"/>
        <w:spacing w:line="600" w:lineRule="exact"/>
        <w:ind w:firstLine="640"/>
        <w:outlineLvl w:val="1"/>
        <w:rPr>
          <w:rFonts w:eastAsia="仿宋_GB2312" w:cs="仿宋_GB2312"/>
          <w:sz w:val="32"/>
          <w:szCs w:val="32"/>
        </w:rPr>
      </w:pPr>
    </w:p>
    <w:p>
      <w:pPr>
        <w:pStyle w:val="28"/>
        <w:spacing w:line="600" w:lineRule="exact"/>
        <w:ind w:firstLine="640"/>
        <w:outlineLvl w:val="1"/>
        <w:rPr>
          <w:rFonts w:eastAsia="仿宋_GB2312" w:cs="仿宋_GB2312"/>
          <w:sz w:val="32"/>
          <w:szCs w:val="32"/>
        </w:rPr>
      </w:pPr>
    </w:p>
    <w:p>
      <w:pPr>
        <w:pStyle w:val="28"/>
        <w:spacing w:line="600" w:lineRule="exact"/>
        <w:ind w:firstLine="640"/>
        <w:outlineLvl w:val="1"/>
        <w:rPr>
          <w:rFonts w:eastAsia="仿宋_GB2312" w:cs="仿宋_GB2312"/>
          <w:sz w:val="32"/>
          <w:szCs w:val="32"/>
        </w:rPr>
      </w:pPr>
    </w:p>
    <w:p>
      <w:pPr>
        <w:pStyle w:val="28"/>
        <w:spacing w:line="600" w:lineRule="exact"/>
        <w:ind w:firstLine="640"/>
        <w:outlineLvl w:val="1"/>
        <w:rPr>
          <w:rFonts w:eastAsia="仿宋_GB2312" w:cs="仿宋_GB2312"/>
          <w:sz w:val="32"/>
          <w:szCs w:val="32"/>
        </w:rPr>
      </w:pPr>
    </w:p>
    <w:p>
      <w:pPr>
        <w:pStyle w:val="28"/>
        <w:spacing w:line="600" w:lineRule="exact"/>
        <w:ind w:firstLine="640"/>
        <w:outlineLvl w:val="1"/>
        <w:rPr>
          <w:rFonts w:eastAsia="仿宋_GB2312" w:cs="仿宋_GB2312"/>
          <w:sz w:val="32"/>
          <w:szCs w:val="32"/>
        </w:rPr>
      </w:pPr>
    </w:p>
    <w:p>
      <w:pPr>
        <w:pStyle w:val="28"/>
        <w:spacing w:line="600" w:lineRule="exact"/>
        <w:ind w:firstLine="640"/>
        <w:outlineLvl w:val="1"/>
        <w:rPr>
          <w:rFonts w:eastAsia="仿宋_GB2312" w:cs="仿宋_GB2312"/>
          <w:sz w:val="32"/>
          <w:szCs w:val="32"/>
        </w:rPr>
      </w:pPr>
      <w:r>
        <w:rPr>
          <w:rFonts w:hint="eastAsia" w:eastAsia="仿宋_GB2312" w:cs="仿宋_GB2312"/>
          <w:sz w:val="32"/>
          <w:szCs w:val="32"/>
        </w:rPr>
        <w:drawing>
          <wp:anchor distT="0" distB="0" distL="114300" distR="114300" simplePos="0" relativeHeight="251659264" behindDoc="0" locked="0" layoutInCell="1" allowOverlap="1">
            <wp:simplePos x="0" y="0"/>
            <wp:positionH relativeFrom="column">
              <wp:posOffset>410845</wp:posOffset>
            </wp:positionH>
            <wp:positionV relativeFrom="paragraph">
              <wp:posOffset>-2129155</wp:posOffset>
            </wp:positionV>
            <wp:extent cx="4391025" cy="2413000"/>
            <wp:effectExtent l="4445" t="4445" r="5080" b="2095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pStyle w:val="28"/>
        <w:spacing w:line="600" w:lineRule="exact"/>
        <w:ind w:firstLine="640"/>
        <w:outlineLvl w:val="1"/>
        <w:rPr>
          <w:rFonts w:eastAsia="黑体"/>
          <w:sz w:val="32"/>
          <w:szCs w:val="32"/>
        </w:rPr>
      </w:pPr>
      <w:bookmarkStart w:id="28" w:name="_Toc15377206"/>
      <w:bookmarkStart w:id="29" w:name="_Toc211940845"/>
      <w:bookmarkStart w:id="30" w:name="_Toc15396604"/>
      <w:r>
        <w:rPr>
          <w:rFonts w:hint="eastAsia" w:eastAsia="黑体"/>
          <w:sz w:val="32"/>
          <w:szCs w:val="32"/>
        </w:rPr>
        <w:t>二、收入决算情况说明</w:t>
      </w:r>
      <w:bookmarkEnd w:id="28"/>
      <w:bookmarkEnd w:id="29"/>
      <w:bookmarkEnd w:id="30"/>
    </w:p>
    <w:p>
      <w:pPr>
        <w:pStyle w:val="28"/>
        <w:spacing w:line="600" w:lineRule="exact"/>
        <w:ind w:firstLine="640"/>
        <w:jc w:val="left"/>
        <w:outlineLvl w:val="1"/>
        <w:rPr>
          <w:rFonts w:ascii="仿宋_GB2312" w:hAnsi="仿宋_GB2312" w:eastAsia="仿宋_GB2312" w:cs="仿宋_GB2312"/>
          <w:sz w:val="32"/>
          <w:szCs w:val="32"/>
        </w:rPr>
      </w:pPr>
      <w:bookmarkStart w:id="31" w:name="_Toc211940846"/>
      <w:r>
        <w:rPr>
          <w:rFonts w:hint="eastAsia" w:ascii="仿宋_GB2312" w:hAnsi="仿宋_GB2312" w:eastAsia="仿宋_GB2312" w:cs="仿宋_GB2312"/>
          <w:sz w:val="32"/>
          <w:szCs w:val="32"/>
        </w:rPr>
        <w:t>2024年度本年收入合计7382.85万元，其中：一般公共预算财政拨款收入6812.85万元，占92.27%；政府性基金预算财政拨款收入547.2万元，占7.41%%；国有资本经营预算财政拨款收入0万元，占0%；上级补助收入0万元，占0%；事业收入0万元，占0%；经营收入0万元，占0%；附属单位上缴收入0万元，占0%；其他收入22.8万元，占0.3%。</w:t>
      </w:r>
      <w:bookmarkEnd w:id="31"/>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410845</wp:posOffset>
            </wp:positionH>
            <wp:positionV relativeFrom="paragraph">
              <wp:posOffset>-2624455</wp:posOffset>
            </wp:positionV>
            <wp:extent cx="3929380" cy="2912745"/>
            <wp:effectExtent l="4445" t="4445" r="9525" b="1651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pStyle w:val="28"/>
        <w:spacing w:line="600" w:lineRule="exact"/>
        <w:ind w:firstLine="640"/>
        <w:outlineLvl w:val="1"/>
        <w:rPr>
          <w:rStyle w:val="30"/>
          <w:rFonts w:ascii="Times New Roman" w:hAnsi="Times New Roman" w:eastAsia="黑体"/>
          <w:b w:val="0"/>
        </w:rPr>
      </w:pPr>
      <w:bookmarkStart w:id="32" w:name="_Toc15377207"/>
      <w:bookmarkStart w:id="33" w:name="_Toc15396605"/>
      <w:bookmarkStart w:id="34" w:name="_Toc211940847"/>
      <w:r>
        <w:rPr>
          <w:rFonts w:hint="eastAsia" w:eastAsia="黑体"/>
          <w:sz w:val="32"/>
          <w:szCs w:val="32"/>
        </w:rPr>
        <w:t>三、支</w:t>
      </w:r>
      <w:r>
        <w:rPr>
          <w:rStyle w:val="30"/>
          <w:rFonts w:hint="eastAsia" w:ascii="Times New Roman" w:hAnsi="Times New Roman" w:eastAsia="黑体"/>
          <w:b w:val="0"/>
        </w:rPr>
        <w:t>出决算情况说明</w:t>
      </w:r>
      <w:bookmarkEnd w:id="32"/>
      <w:bookmarkEnd w:id="33"/>
      <w:bookmarkEnd w:id="34"/>
    </w:p>
    <w:p>
      <w:pPr>
        <w:pStyle w:val="28"/>
        <w:spacing w:line="600" w:lineRule="exact"/>
        <w:ind w:firstLine="640"/>
        <w:jc w:val="left"/>
        <w:outlineLvl w:val="1"/>
        <w:rPr>
          <w:rFonts w:ascii="仿宋_GB2312" w:hAnsi="仿宋_GB2312" w:eastAsia="仿宋_GB2312" w:cs="仿宋_GB2312"/>
          <w:sz w:val="32"/>
          <w:szCs w:val="32"/>
        </w:rPr>
      </w:pPr>
      <w:bookmarkStart w:id="35" w:name="_Toc211940848"/>
      <w:r>
        <w:rPr>
          <w:rFonts w:hint="eastAsia" w:ascii="仿宋_GB2312" w:hAnsi="仿宋_GB2312" w:eastAsia="仿宋_GB2312" w:cs="仿宋_GB2312"/>
          <w:sz w:val="32"/>
          <w:szCs w:val="32"/>
        </w:rPr>
        <w:t>2024年度本年支出合计7413.25万元，其中：基本支出680.59万元，占9.18%；项目支出6732.66万元，占90.81%；上缴上级支出0万元，占0%；经营支出0万元，占0%；对附属单位补助支出0万元，占0%。</w:t>
      </w:r>
      <w:bookmarkEnd w:id="35"/>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p>
    <w:p>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410845</wp:posOffset>
            </wp:positionH>
            <wp:positionV relativeFrom="paragraph">
              <wp:posOffset>-2091055</wp:posOffset>
            </wp:positionV>
            <wp:extent cx="4091305" cy="2386330"/>
            <wp:effectExtent l="4445" t="4445" r="19050" b="952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spacing w:line="600" w:lineRule="exact"/>
        <w:ind w:firstLine="640" w:firstLineChars="200"/>
        <w:outlineLvl w:val="1"/>
        <w:rPr>
          <w:rStyle w:val="30"/>
          <w:rFonts w:ascii="Times New Roman" w:hAnsi="Times New Roman" w:eastAsia="黑体"/>
          <w:b w:val="0"/>
        </w:rPr>
      </w:pPr>
      <w:bookmarkStart w:id="36" w:name="_Toc211940849"/>
      <w:bookmarkStart w:id="37" w:name="_Toc15396606"/>
      <w:bookmarkStart w:id="38"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36"/>
      <w:bookmarkEnd w:id="37"/>
      <w:bookmarkEnd w:id="38"/>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7390.45</w:t>
      </w:r>
      <w:r>
        <w:rPr>
          <w:rFonts w:hint="eastAsia" w:eastAsia="仿宋_GB2312" w:cs="仿宋_GB2312"/>
          <w:sz w:val="32"/>
          <w:szCs w:val="32"/>
        </w:rPr>
        <w:t>万元。与2023年度相比，财政拨款收入总计、支出总计各增加75.49万元，增长1.03%。属于正常变动。</w:t>
      </w:r>
    </w:p>
    <w:p>
      <w:pPr>
        <w:rPr>
          <w:rFonts w:eastAsia="仿宋_GB2312" w:cs="仿宋_GB2312"/>
          <w:sz w:val="32"/>
          <w:szCs w:val="32"/>
        </w:rPr>
      </w:pPr>
      <w:r>
        <w:rPr>
          <w:rFonts w:hint="eastAsia" w:eastAsia="仿宋_GB2312" w:cs="仿宋_GB2312"/>
          <w:sz w:val="32"/>
          <w:szCs w:val="32"/>
        </w:rPr>
        <w:drawing>
          <wp:inline distT="0" distB="0" distL="114300" distR="114300">
            <wp:extent cx="4953000" cy="3447415"/>
            <wp:effectExtent l="4445" t="4445" r="1460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Style w:val="30"/>
          <w:rFonts w:ascii="Times New Roman" w:hAnsi="Times New Roman" w:eastAsia="黑体"/>
          <w:b w:val="0"/>
        </w:rPr>
      </w:pPr>
      <w:bookmarkStart w:id="39" w:name="_Toc15396607"/>
      <w:bookmarkStart w:id="40" w:name="_Toc211940850"/>
      <w:bookmarkStart w:id="41"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9"/>
      <w:bookmarkEnd w:id="40"/>
      <w:bookmarkEnd w:id="41"/>
    </w:p>
    <w:p>
      <w:pPr>
        <w:spacing w:line="600" w:lineRule="exact"/>
        <w:ind w:firstLine="643" w:firstLineChars="200"/>
        <w:outlineLvl w:val="2"/>
        <w:rPr>
          <w:rFonts w:eastAsia="楷体_GB2312" w:cs="楷体_GB2312"/>
          <w:b/>
          <w:sz w:val="32"/>
          <w:szCs w:val="32"/>
        </w:rPr>
      </w:pPr>
      <w:bookmarkStart w:id="42" w:name="_Toc15377210"/>
      <w:bookmarkStart w:id="43" w:name="_Toc211940851"/>
      <w:r>
        <w:rPr>
          <w:rFonts w:hint="eastAsia" w:eastAsia="楷体_GB2312" w:cs="楷体_GB2312"/>
          <w:b/>
          <w:sz w:val="32"/>
          <w:szCs w:val="32"/>
        </w:rPr>
        <w:t>（一）一般公共预算财政拨款支出决算总体情况</w:t>
      </w:r>
      <w:bookmarkEnd w:id="42"/>
      <w:bookmarkEnd w:id="4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2024年度一般公共预算财政拨款支出6812.85万元，占本年支出合计的91.9%。与2023年度相比，一般公共预算财政拨款支出增加1327.98万元，增长24.21%。主要变动原因是燃气二期项目开始实施。</w:t>
      </w:r>
    </w:p>
    <w:p>
      <w:pPr>
        <w:pStyle w:val="20"/>
        <w:rPr>
          <w:rFonts w:ascii="仿宋_GB2312" w:hAnsi="仿宋_GB2312" w:eastAsia="仿宋_GB2312" w:cs="仿宋_GB2312"/>
          <w:color w:val="auto"/>
          <w:sz w:val="32"/>
          <w:szCs w:val="32"/>
        </w:rPr>
      </w:pPr>
    </w:p>
    <w:p>
      <w:pPr>
        <w:rPr>
          <w:rFonts w:ascii="仿宋_GB2312" w:hAnsi="仿宋_GB2312" w:eastAsia="仿宋_GB2312" w:cs="仿宋_GB2312"/>
          <w:sz w:val="32"/>
          <w:szCs w:val="32"/>
        </w:rPr>
      </w:pPr>
    </w:p>
    <w:p>
      <w:pPr>
        <w:pStyle w:val="20"/>
        <w:rPr>
          <w:rFonts w:ascii="仿宋_GB2312" w:hAnsi="仿宋_GB2312" w:eastAsia="仿宋_GB2312" w:cs="仿宋_GB2312"/>
          <w:color w:val="auto"/>
          <w:sz w:val="32"/>
          <w:szCs w:val="32"/>
        </w:rPr>
      </w:pPr>
    </w:p>
    <w:p>
      <w:pPr>
        <w:rPr>
          <w:rFonts w:ascii="仿宋_GB2312" w:hAnsi="仿宋_GB2312" w:eastAsia="仿宋_GB2312" w:cs="仿宋_GB2312"/>
          <w:sz w:val="32"/>
          <w:szCs w:val="32"/>
        </w:rPr>
      </w:pPr>
    </w:p>
    <w:p>
      <w:pPr>
        <w:pStyle w:val="20"/>
        <w:rPr>
          <w:rFonts w:ascii="仿宋_GB2312" w:hAnsi="仿宋_GB2312" w:eastAsia="仿宋_GB2312" w:cs="仿宋_GB2312"/>
          <w:color w:val="auto"/>
          <w:sz w:val="32"/>
          <w:szCs w:val="32"/>
        </w:rPr>
      </w:pPr>
    </w:p>
    <w:p>
      <w:r>
        <w:rPr>
          <w:rFonts w:hint="eastAsi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3" w:firstLineChars="200"/>
        <w:outlineLvl w:val="2"/>
        <w:rPr>
          <w:rFonts w:eastAsia="楷体_GB2312" w:cs="楷体_GB2312"/>
          <w:b/>
          <w:sz w:val="32"/>
          <w:szCs w:val="32"/>
        </w:rPr>
      </w:pPr>
      <w:bookmarkStart w:id="44" w:name="_Toc211940852"/>
      <w:bookmarkStart w:id="45" w:name="_Toc15377211"/>
      <w:r>
        <w:rPr>
          <w:rFonts w:hint="eastAsia" w:eastAsia="楷体_GB2312" w:cs="楷体_GB2312"/>
          <w:b/>
          <w:sz w:val="32"/>
          <w:szCs w:val="32"/>
        </w:rPr>
        <w:t>（二）一般公共预算财政拨款支出决算结构情况</w:t>
      </w:r>
      <w:bookmarkEnd w:id="44"/>
      <w:bookmarkEnd w:id="45"/>
    </w:p>
    <w:p>
      <w:pPr>
        <w:spacing w:line="600" w:lineRule="exact"/>
        <w:ind w:firstLine="640"/>
        <w:rPr>
          <w:rFonts w:ascii="仿宋" w:hAnsi="仿宋" w:eastAsia="仿宋"/>
          <w:color w:val="000000"/>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6812.85万元</w:t>
      </w:r>
      <w:r>
        <w:rPr>
          <w:rFonts w:hint="eastAsia" w:eastAsia="仿宋_GB2312" w:cs="仿宋_GB2312"/>
          <w:sz w:val="32"/>
          <w:szCs w:val="32"/>
        </w:rPr>
        <w:t>，主要用于以下方面：</w:t>
      </w:r>
      <w:r>
        <w:rPr>
          <w:rFonts w:hint="eastAsia" w:ascii="仿宋" w:hAnsi="仿宋" w:eastAsia="仿宋"/>
          <w:b/>
          <w:sz w:val="32"/>
          <w:szCs w:val="32"/>
        </w:rPr>
        <w:t>社会保障和就业支出</w:t>
      </w:r>
      <w:r>
        <w:rPr>
          <w:rFonts w:hint="eastAsia" w:ascii="仿宋" w:hAnsi="仿宋" w:eastAsia="仿宋"/>
          <w:color w:val="000000"/>
          <w:sz w:val="32"/>
          <w:szCs w:val="32"/>
        </w:rPr>
        <w:t>101.75万元，占1.49%；</w:t>
      </w:r>
      <w:r>
        <w:rPr>
          <w:rFonts w:hint="eastAsia" w:ascii="仿宋" w:hAnsi="仿宋" w:eastAsia="仿宋"/>
          <w:b/>
          <w:sz w:val="32"/>
          <w:szCs w:val="32"/>
        </w:rPr>
        <w:t>卫生健康支出</w:t>
      </w:r>
      <w:r>
        <w:rPr>
          <w:rFonts w:hint="eastAsia" w:ascii="仿宋" w:hAnsi="仿宋" w:eastAsia="仿宋"/>
          <w:color w:val="000000"/>
          <w:sz w:val="32"/>
          <w:szCs w:val="32"/>
        </w:rPr>
        <w:t>55.7万元，占0.82%；</w:t>
      </w:r>
      <w:r>
        <w:rPr>
          <w:rFonts w:hint="eastAsia" w:ascii="仿宋" w:hAnsi="仿宋" w:eastAsia="仿宋"/>
          <w:b/>
          <w:sz w:val="32"/>
          <w:szCs w:val="32"/>
        </w:rPr>
        <w:t>节能环保支出</w:t>
      </w:r>
      <w:r>
        <w:rPr>
          <w:rFonts w:hint="eastAsia" w:ascii="仿宋" w:hAnsi="仿宋" w:eastAsia="仿宋"/>
          <w:color w:val="000000"/>
          <w:sz w:val="32"/>
          <w:szCs w:val="32"/>
        </w:rPr>
        <w:t>38.07万元，占0.56%；</w:t>
      </w:r>
      <w:r>
        <w:rPr>
          <w:rFonts w:hint="eastAsia" w:ascii="仿宋" w:hAnsi="仿宋" w:eastAsia="仿宋"/>
          <w:b/>
          <w:sz w:val="32"/>
          <w:szCs w:val="32"/>
        </w:rPr>
        <w:t>城乡社区支出</w:t>
      </w:r>
      <w:r>
        <w:rPr>
          <w:rFonts w:hint="eastAsia" w:ascii="仿宋" w:hAnsi="仿宋" w:eastAsia="仿宋"/>
          <w:bCs/>
          <w:sz w:val="32"/>
          <w:szCs w:val="32"/>
        </w:rPr>
        <w:t>4056.43</w:t>
      </w:r>
      <w:r>
        <w:rPr>
          <w:rFonts w:hint="eastAsia" w:ascii="仿宋" w:hAnsi="仿宋" w:eastAsia="仿宋"/>
          <w:color w:val="000000"/>
          <w:sz w:val="32"/>
          <w:szCs w:val="32"/>
        </w:rPr>
        <w:t>万元，占59.54%；</w:t>
      </w:r>
      <w:r>
        <w:rPr>
          <w:rFonts w:hint="eastAsia" w:ascii="仿宋" w:hAnsi="仿宋" w:eastAsia="仿宋"/>
          <w:b/>
          <w:sz w:val="32"/>
          <w:szCs w:val="32"/>
        </w:rPr>
        <w:t>住房保障支出</w:t>
      </w:r>
      <w:r>
        <w:rPr>
          <w:rFonts w:hint="eastAsia" w:ascii="仿宋" w:hAnsi="仿宋" w:eastAsia="仿宋" w:cs="Arial"/>
          <w:color w:val="000000"/>
          <w:sz w:val="32"/>
          <w:szCs w:val="32"/>
        </w:rPr>
        <w:t>2560.89</w:t>
      </w:r>
      <w:r>
        <w:rPr>
          <w:rFonts w:hint="eastAsia" w:ascii="仿宋" w:hAnsi="仿宋" w:eastAsia="仿宋"/>
          <w:color w:val="000000"/>
          <w:sz w:val="32"/>
          <w:szCs w:val="32"/>
        </w:rPr>
        <w:t>万元，占37.59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eastAsia="仿宋_GB2312" w:cs="仿宋_GB2312"/>
          <w:sz w:val="32"/>
          <w:szCs w:val="32"/>
        </w:rPr>
      </w:pPr>
    </w:p>
    <w:p>
      <w:pPr>
        <w:pStyle w:val="20"/>
        <w:rPr>
          <w:rFonts w:ascii="Times New Roman" w:hAnsi="Times New Roman" w:eastAsia="仿宋_GB2312" w:cs="仿宋_GB2312"/>
          <w:color w:val="auto"/>
          <w:sz w:val="32"/>
          <w:szCs w:val="32"/>
        </w:rPr>
      </w:pPr>
    </w:p>
    <w:p>
      <w:pPr>
        <w:rPr>
          <w:rFonts w:eastAsia="仿宋_GB2312" w:cs="仿宋_GB2312"/>
          <w:sz w:val="32"/>
          <w:szCs w:val="32"/>
        </w:rPr>
      </w:pPr>
    </w:p>
    <w:p>
      <w:pPr>
        <w:pStyle w:val="20"/>
        <w:rPr>
          <w:rFonts w:ascii="Times New Roman" w:hAnsi="Times New Roman" w:eastAsia="仿宋_GB2312" w:cs="仿宋_GB2312"/>
          <w:color w:val="auto"/>
          <w:sz w:val="32"/>
          <w:szCs w:val="32"/>
        </w:rPr>
      </w:pPr>
    </w:p>
    <w:p>
      <w:pPr>
        <w:pStyle w:val="20"/>
      </w:pPr>
      <w:r>
        <w:rPr>
          <w:rFonts w:hint="eastAsia" w:eastAsia="仿宋_GB2312"/>
        </w:rPr>
        <w:object>
          <v:shape id="_x0000_i1025" o:spt="75" type="#_x0000_t75" style="height:292.5pt;width:309pt;" o:ole="t" filled="f" o:preferrelative="t" stroked="f" coordsize="21600,21600">
            <v:path/>
            <v:fill on="f" focussize="0,0"/>
            <v:stroke on="f" joinstyle="miter"/>
            <v:imagedata r:id="rId12" o:title=""/>
            <o:lock v:ext="edit" aspectratio="t"/>
            <w10:wrap type="none"/>
            <w10:anchorlock/>
          </v:shape>
          <o:OLEObject Type="Embed" ProgID="Excel.Chart.8" ShapeID="_x0000_i1025" DrawAspect="Content" ObjectID="_1468075725" r:id="rId11">
            <o:LockedField>false</o:LockedField>
          </o:OLEObject>
        </w:object>
      </w:r>
    </w:p>
    <w:p>
      <w:pPr>
        <w:spacing w:line="600" w:lineRule="exact"/>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3" w:firstLineChars="200"/>
        <w:outlineLvl w:val="2"/>
        <w:rPr>
          <w:rFonts w:eastAsia="楷体_GB2312" w:cs="楷体_GB2312"/>
          <w:b/>
          <w:sz w:val="32"/>
          <w:szCs w:val="32"/>
        </w:rPr>
      </w:pPr>
      <w:bookmarkStart w:id="46" w:name="_Toc211940853"/>
      <w:bookmarkStart w:id="47" w:name="_Toc15377212"/>
      <w:r>
        <w:rPr>
          <w:rFonts w:hint="eastAsia" w:eastAsia="楷体_GB2312" w:cs="楷体_GB2312"/>
          <w:b/>
          <w:sz w:val="32"/>
          <w:szCs w:val="32"/>
        </w:rPr>
        <w:t>（三）一般公共预算财政拨款支出决算具体情况</w:t>
      </w:r>
      <w:bookmarkEnd w:id="46"/>
      <w:bookmarkEnd w:id="47"/>
    </w:p>
    <w:p>
      <w:pPr>
        <w:spacing w:line="600" w:lineRule="exact"/>
        <w:ind w:firstLine="640"/>
        <w:rPr>
          <w:rFonts w:eastAsia="仿宋_GB2312" w:cs="仿宋_GB2312"/>
          <w:sz w:val="32"/>
          <w:szCs w:val="32"/>
        </w:rPr>
      </w:pPr>
      <w:bookmarkStart w:id="48" w:name="_Toc15377444"/>
      <w:bookmarkStart w:id="49" w:name="_Toc15378460"/>
      <w:bookmarkStart w:id="50"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6812.85万元，</w:t>
      </w:r>
      <w:r>
        <w:rPr>
          <w:rFonts w:hint="eastAsia" w:eastAsia="仿宋_GB2312" w:cs="仿宋_GB2312"/>
          <w:sz w:val="32"/>
          <w:szCs w:val="32"/>
        </w:rPr>
        <w:t>完成预算100%。其中：</w:t>
      </w:r>
      <w:bookmarkEnd w:id="48"/>
      <w:bookmarkEnd w:id="49"/>
      <w:bookmarkEnd w:id="50"/>
    </w:p>
    <w:p>
      <w:pPr>
        <w:ind w:firstLine="643" w:firstLineChars="200"/>
        <w:rPr>
          <w:rFonts w:ascii="仿宋" w:hAnsi="仿宋" w:eastAsia="仿宋" w:cs="Arial"/>
          <w:color w:val="000000"/>
          <w:sz w:val="32"/>
          <w:szCs w:val="32"/>
        </w:rPr>
      </w:pPr>
      <w:r>
        <w:rPr>
          <w:rStyle w:val="18"/>
          <w:rFonts w:ascii="仿宋" w:hAnsi="仿宋" w:eastAsia="仿宋"/>
          <w:bCs/>
          <w:sz w:val="32"/>
          <w:szCs w:val="32"/>
        </w:rPr>
        <w:t>1.</w:t>
      </w:r>
      <w:r>
        <w:rPr>
          <w:rFonts w:hint="eastAsia" w:ascii="仿宋" w:hAnsi="仿宋" w:eastAsia="仿宋"/>
          <w:b/>
          <w:sz w:val="32"/>
          <w:szCs w:val="32"/>
        </w:rPr>
        <w:t>社会保障和就业支出</w:t>
      </w:r>
      <w:r>
        <w:rPr>
          <w:rFonts w:hint="eastAsia" w:ascii="仿宋" w:hAnsi="仿宋" w:eastAsia="仿宋"/>
          <w:b/>
          <w:color w:val="000000"/>
          <w:sz w:val="32"/>
          <w:szCs w:val="32"/>
        </w:rPr>
        <w:t>（类）行政事业单位养老支出（款）行政单位离退休（项）</w:t>
      </w:r>
      <w:r>
        <w:rPr>
          <w:rStyle w:val="18"/>
          <w:rFonts w:ascii="仿宋" w:hAnsi="仿宋" w:eastAsia="仿宋"/>
          <w:bCs/>
          <w:color w:val="000000"/>
          <w:sz w:val="32"/>
          <w:szCs w:val="32"/>
        </w:rPr>
        <w:t>:</w:t>
      </w:r>
      <w:r>
        <w:rPr>
          <w:rStyle w:val="18"/>
          <w:rFonts w:hint="eastAsia" w:ascii="仿宋" w:hAnsi="仿宋" w:eastAsia="仿宋"/>
          <w:b w:val="0"/>
          <w:bCs/>
          <w:sz w:val="32"/>
          <w:szCs w:val="32"/>
        </w:rPr>
        <w:t>支出决算为</w:t>
      </w:r>
      <w:r>
        <w:rPr>
          <w:rFonts w:hint="eastAsia" w:ascii="仿宋" w:hAnsi="仿宋" w:eastAsia="仿宋" w:cs="Arial"/>
          <w:color w:val="000000"/>
          <w:sz w:val="32"/>
          <w:szCs w:val="32"/>
        </w:rPr>
        <w:t>10.09</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Fonts w:ascii="仿宋" w:hAnsi="仿宋" w:eastAsia="仿宋" w:cs="Arial"/>
          <w:color w:val="000000"/>
          <w:sz w:val="32"/>
          <w:szCs w:val="32"/>
        </w:rPr>
      </w:pPr>
      <w:r>
        <w:rPr>
          <w:rStyle w:val="18"/>
          <w:rFonts w:ascii="仿宋" w:hAnsi="仿宋" w:eastAsia="仿宋"/>
          <w:bCs/>
          <w:sz w:val="32"/>
          <w:szCs w:val="32"/>
        </w:rPr>
        <w:t>2.</w:t>
      </w:r>
      <w:r>
        <w:rPr>
          <w:rFonts w:hint="eastAsia" w:ascii="仿宋" w:hAnsi="仿宋" w:eastAsia="仿宋"/>
          <w:b/>
          <w:sz w:val="32"/>
          <w:szCs w:val="32"/>
        </w:rPr>
        <w:t>社会保障和就业支出（类）行政事业单位养老支出（款）机关事业单位基本养老保险缴费支出（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cs="Arial"/>
          <w:color w:val="000000"/>
          <w:sz w:val="32"/>
          <w:szCs w:val="32"/>
        </w:rPr>
        <w:t>58.9</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b w:val="0"/>
          <w:bCs/>
          <w:sz w:val="32"/>
          <w:szCs w:val="32"/>
        </w:rPr>
      </w:pPr>
      <w:r>
        <w:rPr>
          <w:rStyle w:val="18"/>
          <w:rFonts w:ascii="仿宋" w:hAnsi="仿宋" w:eastAsia="仿宋"/>
          <w:bCs/>
          <w:sz w:val="32"/>
          <w:szCs w:val="32"/>
        </w:rPr>
        <w:t>3.</w:t>
      </w:r>
      <w:r>
        <w:rPr>
          <w:rFonts w:hint="eastAsia" w:ascii="仿宋" w:hAnsi="仿宋" w:eastAsia="仿宋"/>
          <w:b/>
          <w:sz w:val="32"/>
          <w:szCs w:val="32"/>
        </w:rPr>
        <w:t>社会保障和就业支出（类）行政事业单位养老支出（款）机关事业单位职业年金缴费支出（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cs="Arial"/>
          <w:color w:val="000000"/>
          <w:sz w:val="32"/>
          <w:szCs w:val="32"/>
        </w:rPr>
        <w:t>28.97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0" w:firstLineChars="200"/>
        <w:rPr>
          <w:rFonts w:ascii="仿宋" w:hAnsi="仿宋" w:eastAsia="仿宋" w:cs="Arial"/>
          <w:color w:val="000000"/>
          <w:sz w:val="32"/>
          <w:szCs w:val="32"/>
        </w:rPr>
      </w:pPr>
      <w:r>
        <w:rPr>
          <w:rStyle w:val="18"/>
          <w:rFonts w:hint="eastAsia" w:ascii="仿宋" w:hAnsi="仿宋" w:eastAsia="仿宋"/>
          <w:b w:val="0"/>
          <w:bCs/>
          <w:sz w:val="32"/>
          <w:szCs w:val="32"/>
        </w:rPr>
        <w:t>4</w:t>
      </w:r>
      <w:r>
        <w:rPr>
          <w:rStyle w:val="18"/>
          <w:rFonts w:ascii="仿宋" w:hAnsi="仿宋" w:eastAsia="仿宋"/>
          <w:bCs/>
          <w:sz w:val="32"/>
          <w:szCs w:val="32"/>
        </w:rPr>
        <w:t>.</w:t>
      </w:r>
      <w:r>
        <w:rPr>
          <w:rFonts w:hint="eastAsia" w:ascii="仿宋" w:hAnsi="仿宋" w:eastAsia="仿宋"/>
          <w:b/>
          <w:sz w:val="32"/>
          <w:szCs w:val="32"/>
        </w:rPr>
        <w:t>社会保障和就业支出（类）抚恤（款）伤残抚恤</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支出决算为3.8万元，完成预算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Fonts w:ascii="仿宋" w:hAnsi="仿宋" w:eastAsia="仿宋" w:cs="Arial"/>
          <w:color w:val="000000"/>
          <w:sz w:val="32"/>
          <w:szCs w:val="32"/>
        </w:rPr>
      </w:pPr>
      <w:r>
        <w:rPr>
          <w:rStyle w:val="18"/>
          <w:rFonts w:hint="eastAsia" w:ascii="仿宋" w:hAnsi="仿宋" w:eastAsia="仿宋"/>
          <w:bCs/>
          <w:sz w:val="32"/>
          <w:szCs w:val="32"/>
        </w:rPr>
        <w:t>5</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hint="eastAsia" w:ascii="仿宋" w:hAnsi="仿宋" w:eastAsia="仿宋"/>
          <w:b/>
          <w:sz w:val="32"/>
          <w:szCs w:val="32"/>
        </w:rPr>
        <w:t>行政事业单位医疗（款）行政单位医疗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支出决算为29.21万元，完成预算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Fonts w:ascii="仿宋" w:hAnsi="仿宋" w:eastAsia="仿宋" w:cs="Arial"/>
          <w:color w:val="000000"/>
          <w:sz w:val="32"/>
          <w:szCs w:val="32"/>
        </w:rPr>
      </w:pPr>
      <w:r>
        <w:rPr>
          <w:rStyle w:val="18"/>
          <w:rFonts w:hint="eastAsia" w:ascii="仿宋" w:hAnsi="仿宋" w:eastAsia="仿宋"/>
          <w:bCs/>
          <w:sz w:val="32"/>
          <w:szCs w:val="32"/>
        </w:rPr>
        <w:t>6</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hint="eastAsia" w:ascii="仿宋" w:hAnsi="仿宋" w:eastAsia="仿宋"/>
          <w:b/>
          <w:sz w:val="32"/>
          <w:szCs w:val="32"/>
        </w:rPr>
        <w:t>行政事业单位医疗（款）事业单位医疗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支出决算为3.02万元，完成预算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7</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hint="eastAsia" w:ascii="仿宋" w:hAnsi="仿宋" w:eastAsia="仿宋"/>
          <w:b/>
          <w:bCs/>
          <w:sz w:val="32"/>
          <w:szCs w:val="32"/>
        </w:rPr>
        <w:t>行政事业单位医疗（款）公务员医疗补助</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支出决算为3.62万元，完成预算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b w:val="0"/>
          <w:bCs/>
          <w:sz w:val="32"/>
          <w:szCs w:val="32"/>
        </w:rPr>
      </w:pPr>
      <w:r>
        <w:rPr>
          <w:rStyle w:val="18"/>
          <w:rFonts w:hint="eastAsia" w:ascii="仿宋" w:hAnsi="仿宋" w:eastAsia="仿宋"/>
          <w:sz w:val="32"/>
          <w:szCs w:val="32"/>
        </w:rPr>
        <w:t>8</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（类）行政事业单位医疗（款）其他行政事业单位医疗支出（项）</w:t>
      </w:r>
      <w:r>
        <w:rPr>
          <w:rStyle w:val="18"/>
          <w:rFonts w:ascii="仿宋" w:hAnsi="仿宋" w:eastAsia="仿宋"/>
          <w:bCs/>
          <w:sz w:val="32"/>
          <w:szCs w:val="32"/>
        </w:rPr>
        <w:t>:</w:t>
      </w:r>
      <w:r>
        <w:rPr>
          <w:rStyle w:val="18"/>
          <w:rFonts w:hint="eastAsia" w:ascii="仿宋" w:hAnsi="仿宋" w:eastAsia="仿宋"/>
          <w:b w:val="0"/>
          <w:bCs/>
          <w:sz w:val="32"/>
          <w:szCs w:val="32"/>
        </w:rPr>
        <w:t>支出决算为16.98万元，完成预算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pStyle w:val="20"/>
        <w:ind w:firstLine="643" w:firstLineChars="200"/>
      </w:pPr>
      <w:r>
        <w:rPr>
          <w:rStyle w:val="18"/>
          <w:rFonts w:hint="eastAsia" w:ascii="仿宋" w:hAnsi="仿宋" w:eastAsia="仿宋"/>
          <w:sz w:val="32"/>
          <w:szCs w:val="32"/>
        </w:rPr>
        <w:t>9</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（类）其他卫生健康支出（款）其他卫生健康支出（项）</w:t>
      </w:r>
      <w:r>
        <w:rPr>
          <w:rStyle w:val="18"/>
          <w:rFonts w:ascii="仿宋" w:hAnsi="仿宋" w:eastAsia="仿宋"/>
          <w:bCs/>
          <w:sz w:val="32"/>
          <w:szCs w:val="32"/>
        </w:rPr>
        <w:t>:</w:t>
      </w:r>
      <w:r>
        <w:rPr>
          <w:rStyle w:val="18"/>
          <w:rFonts w:hint="eastAsia" w:ascii="仿宋" w:hAnsi="仿宋" w:eastAsia="仿宋"/>
          <w:b w:val="0"/>
          <w:bCs/>
          <w:sz w:val="32"/>
          <w:szCs w:val="32"/>
        </w:rPr>
        <w:t>支出决算为2.88万元，完成预算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10</w:t>
      </w:r>
      <w:r>
        <w:rPr>
          <w:rStyle w:val="18"/>
          <w:rFonts w:ascii="仿宋" w:hAnsi="仿宋" w:eastAsia="仿宋"/>
          <w:bCs/>
          <w:color w:val="000000"/>
          <w:sz w:val="32"/>
          <w:szCs w:val="32"/>
        </w:rPr>
        <w:t>.</w:t>
      </w:r>
      <w:r>
        <w:rPr>
          <w:rStyle w:val="18"/>
          <w:rFonts w:hint="eastAsia" w:ascii="仿宋" w:hAnsi="仿宋" w:eastAsia="仿宋"/>
          <w:bCs/>
          <w:sz w:val="32"/>
          <w:szCs w:val="32"/>
        </w:rPr>
        <w:t>节能环保支出（类）污染防治（款）水体</w:t>
      </w:r>
      <w:r>
        <w:rPr>
          <w:rStyle w:val="18"/>
          <w:rFonts w:hint="eastAsia" w:ascii="仿宋" w:hAnsi="仿宋" w:eastAsia="仿宋"/>
          <w:bCs/>
          <w:color w:val="000000"/>
          <w:sz w:val="32"/>
          <w:szCs w:val="32"/>
        </w:rPr>
        <w:t>（项）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支出决算为33.07万元，完成预算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，决算数等于预算数。</w:t>
      </w:r>
    </w:p>
    <w:p>
      <w:pPr>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11</w:t>
      </w:r>
      <w:r>
        <w:rPr>
          <w:rStyle w:val="18"/>
          <w:rFonts w:ascii="仿宋" w:hAnsi="仿宋" w:eastAsia="仿宋"/>
          <w:bCs/>
          <w:color w:val="000000"/>
          <w:sz w:val="32"/>
          <w:szCs w:val="32"/>
        </w:rPr>
        <w:t>.</w:t>
      </w:r>
      <w:r>
        <w:rPr>
          <w:rStyle w:val="18"/>
          <w:rFonts w:hint="eastAsia" w:ascii="仿宋" w:hAnsi="仿宋" w:eastAsia="仿宋"/>
          <w:bCs/>
          <w:sz w:val="32"/>
          <w:szCs w:val="32"/>
        </w:rPr>
        <w:t>节能环保支出（类）其他节能环保支出（款）其他节能环保支出</w:t>
      </w:r>
      <w:r>
        <w:rPr>
          <w:rStyle w:val="18"/>
          <w:rFonts w:hint="eastAsia" w:ascii="仿宋" w:hAnsi="仿宋" w:eastAsia="仿宋"/>
          <w:bCs/>
          <w:color w:val="000000"/>
          <w:sz w:val="32"/>
          <w:szCs w:val="32"/>
        </w:rPr>
        <w:t>（项）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支出决算为5万元，完成预算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，决算数等于预算数。</w:t>
      </w:r>
    </w:p>
    <w:p>
      <w:pPr>
        <w:ind w:firstLine="643" w:firstLineChars="200"/>
        <w:rPr>
          <w:rStyle w:val="18"/>
          <w:rFonts w:ascii="仿宋" w:hAnsi="仿宋" w:eastAsia="仿宋"/>
          <w:b w:val="0"/>
          <w:bCs/>
          <w:sz w:val="32"/>
          <w:szCs w:val="32"/>
        </w:rPr>
      </w:pPr>
      <w:r>
        <w:rPr>
          <w:rFonts w:hint="eastAsia" w:ascii="仿宋" w:hAnsi="仿宋" w:eastAsia="仿宋"/>
          <w:b/>
          <w:bCs/>
          <w:sz w:val="32"/>
          <w:szCs w:val="32"/>
        </w:rPr>
        <w:t>12</w:t>
      </w:r>
      <w:r>
        <w:rPr>
          <w:rStyle w:val="18"/>
          <w:rFonts w:ascii="仿宋" w:hAnsi="仿宋" w:eastAsia="仿宋"/>
          <w:bCs/>
          <w:sz w:val="32"/>
          <w:szCs w:val="32"/>
        </w:rPr>
        <w:t>.</w:t>
      </w:r>
      <w:r>
        <w:rPr>
          <w:rStyle w:val="18"/>
          <w:rFonts w:hint="eastAsia" w:ascii="仿宋" w:hAnsi="仿宋" w:eastAsia="仿宋"/>
          <w:bCs/>
          <w:sz w:val="32"/>
          <w:szCs w:val="32"/>
        </w:rPr>
        <w:t>城乡社区支出（类）城乡社区管理事务（款）行政运行（项）</w:t>
      </w:r>
      <w:r>
        <w:rPr>
          <w:rStyle w:val="18"/>
          <w:rFonts w:ascii="仿宋" w:hAnsi="仿宋" w:eastAsia="仿宋"/>
          <w:bCs/>
          <w:sz w:val="32"/>
          <w:szCs w:val="32"/>
        </w:rPr>
        <w:t>:</w:t>
      </w:r>
      <w:r>
        <w:rPr>
          <w:rStyle w:val="18"/>
          <w:rFonts w:hint="eastAsia" w:ascii="仿宋" w:hAnsi="仿宋" w:eastAsia="仿宋"/>
          <w:b w:val="0"/>
          <w:bCs/>
          <w:sz w:val="32"/>
          <w:szCs w:val="32"/>
        </w:rPr>
        <w:t>支出决算为432万元，完成预算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pStyle w:val="20"/>
        <w:rPr>
          <w:rFonts w:ascii="仿宋" w:hAnsi="仿宋" w:eastAsia="仿宋" w:cs="Arial"/>
          <w:sz w:val="32"/>
          <w:szCs w:val="32"/>
        </w:rPr>
      </w:pPr>
      <w:r>
        <w:rPr>
          <w:rStyle w:val="18"/>
          <w:rFonts w:hint="eastAsia" w:ascii="仿宋" w:hAnsi="仿宋" w:eastAsia="仿宋"/>
          <w:b w:val="0"/>
          <w:bCs/>
          <w:sz w:val="32"/>
          <w:szCs w:val="32"/>
        </w:rPr>
        <w:t xml:space="preserve">    </w:t>
      </w:r>
      <w:r>
        <w:rPr>
          <w:rFonts w:hint="eastAsia" w:ascii="仿宋" w:hAnsi="仿宋" w:eastAsia="仿宋"/>
          <w:b/>
          <w:bCs/>
          <w:sz w:val="32"/>
          <w:szCs w:val="32"/>
        </w:rPr>
        <w:t>13</w:t>
      </w:r>
      <w:r>
        <w:rPr>
          <w:rStyle w:val="18"/>
          <w:rFonts w:ascii="仿宋" w:hAnsi="仿宋" w:eastAsia="仿宋"/>
          <w:bCs/>
          <w:sz w:val="32"/>
          <w:szCs w:val="32"/>
        </w:rPr>
        <w:t>.</w:t>
      </w:r>
      <w:r>
        <w:rPr>
          <w:rStyle w:val="18"/>
          <w:rFonts w:hint="eastAsia" w:ascii="仿宋" w:hAnsi="仿宋" w:eastAsia="仿宋"/>
          <w:bCs/>
          <w:sz w:val="32"/>
          <w:szCs w:val="32"/>
        </w:rPr>
        <w:t>城乡社区支出（类）城乡社区管理事务（款）城管执法（项）</w:t>
      </w:r>
      <w:r>
        <w:rPr>
          <w:rStyle w:val="18"/>
          <w:rFonts w:ascii="仿宋" w:hAnsi="仿宋" w:eastAsia="仿宋"/>
          <w:bCs/>
          <w:sz w:val="32"/>
          <w:szCs w:val="32"/>
        </w:rPr>
        <w:t>:</w:t>
      </w:r>
      <w:r>
        <w:rPr>
          <w:rStyle w:val="18"/>
          <w:rFonts w:hint="eastAsia" w:ascii="仿宋" w:hAnsi="仿宋" w:eastAsia="仿宋"/>
          <w:b w:val="0"/>
          <w:bCs/>
          <w:sz w:val="32"/>
          <w:szCs w:val="32"/>
        </w:rPr>
        <w:t>支出决算为71.19万元，完成预算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b w:val="0"/>
          <w:bCs/>
          <w:sz w:val="32"/>
          <w:szCs w:val="32"/>
        </w:rPr>
      </w:pPr>
      <w:r>
        <w:rPr>
          <w:rFonts w:ascii="仿宋" w:hAnsi="仿宋" w:eastAsia="仿宋"/>
          <w:b/>
          <w:bCs/>
          <w:sz w:val="32"/>
          <w:szCs w:val="32"/>
        </w:rPr>
        <w:t>1</w:t>
      </w:r>
      <w:r>
        <w:rPr>
          <w:rFonts w:hint="eastAsia" w:ascii="仿宋" w:hAnsi="仿宋" w:eastAsia="仿宋"/>
          <w:b/>
          <w:bCs/>
          <w:sz w:val="32"/>
          <w:szCs w:val="32"/>
        </w:rPr>
        <w:t>4</w:t>
      </w:r>
      <w:r>
        <w:rPr>
          <w:rStyle w:val="18"/>
          <w:rFonts w:ascii="仿宋" w:hAnsi="仿宋" w:eastAsia="仿宋"/>
          <w:bCs/>
          <w:sz w:val="32"/>
          <w:szCs w:val="32"/>
        </w:rPr>
        <w:t>.</w:t>
      </w:r>
      <w:r>
        <w:rPr>
          <w:rStyle w:val="18"/>
          <w:rFonts w:hint="eastAsia" w:ascii="仿宋" w:hAnsi="仿宋" w:eastAsia="仿宋"/>
          <w:bCs/>
          <w:sz w:val="32"/>
          <w:szCs w:val="32"/>
        </w:rPr>
        <w:t>城乡社区支出（类）城乡社区管理事务（款）其他城乡社区管理事务支出（项）</w:t>
      </w:r>
      <w:r>
        <w:rPr>
          <w:rStyle w:val="18"/>
          <w:rFonts w:ascii="仿宋" w:hAnsi="仿宋" w:eastAsia="仿宋"/>
          <w:bCs/>
          <w:sz w:val="32"/>
          <w:szCs w:val="32"/>
        </w:rPr>
        <w:t>:</w:t>
      </w:r>
      <w:r>
        <w:rPr>
          <w:rStyle w:val="18"/>
          <w:rFonts w:hint="eastAsia" w:ascii="仿宋" w:hAnsi="仿宋" w:eastAsia="仿宋"/>
          <w:b w:val="0"/>
          <w:bCs/>
          <w:sz w:val="32"/>
          <w:szCs w:val="32"/>
        </w:rPr>
        <w:t>支出决算为47.43万元，完成预算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pStyle w:val="20"/>
        <w:ind w:firstLine="643" w:firstLineChars="200"/>
      </w:pPr>
      <w:r>
        <w:rPr>
          <w:rFonts w:ascii="仿宋" w:hAnsi="仿宋" w:eastAsia="仿宋"/>
          <w:b/>
          <w:bCs/>
          <w:sz w:val="32"/>
          <w:szCs w:val="32"/>
        </w:rPr>
        <w:t>1</w:t>
      </w:r>
      <w:r>
        <w:rPr>
          <w:rFonts w:hint="eastAsia" w:ascii="仿宋" w:hAnsi="仿宋" w:eastAsia="仿宋"/>
          <w:b/>
          <w:bCs/>
          <w:sz w:val="32"/>
          <w:szCs w:val="32"/>
        </w:rPr>
        <w:t>5</w:t>
      </w:r>
      <w:r>
        <w:rPr>
          <w:rStyle w:val="18"/>
          <w:rFonts w:ascii="仿宋" w:hAnsi="仿宋" w:eastAsia="仿宋"/>
          <w:bCs/>
          <w:sz w:val="32"/>
          <w:szCs w:val="32"/>
        </w:rPr>
        <w:t>.</w:t>
      </w:r>
      <w:r>
        <w:rPr>
          <w:rStyle w:val="18"/>
          <w:rFonts w:hint="eastAsia" w:ascii="仿宋" w:hAnsi="仿宋" w:eastAsia="仿宋"/>
          <w:bCs/>
          <w:sz w:val="32"/>
          <w:szCs w:val="32"/>
        </w:rPr>
        <w:t>城乡社区支出（类）城乡社区管理事务（款）一般行政管理事务（项）</w:t>
      </w:r>
      <w:r>
        <w:rPr>
          <w:rStyle w:val="18"/>
          <w:rFonts w:ascii="仿宋" w:hAnsi="仿宋" w:eastAsia="仿宋"/>
          <w:bCs/>
          <w:sz w:val="32"/>
          <w:szCs w:val="32"/>
        </w:rPr>
        <w:t>:</w:t>
      </w:r>
      <w:r>
        <w:rPr>
          <w:rStyle w:val="18"/>
          <w:rFonts w:hint="eastAsia" w:ascii="仿宋" w:hAnsi="仿宋" w:eastAsia="仿宋"/>
          <w:b w:val="0"/>
          <w:bCs/>
          <w:sz w:val="32"/>
          <w:szCs w:val="32"/>
        </w:rPr>
        <w:t>支出决算为1.65万元，完成预算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cs="Arial"/>
          <w:b w:val="0"/>
          <w:color w:val="000000"/>
          <w:sz w:val="32"/>
          <w:szCs w:val="32"/>
        </w:rPr>
      </w:pPr>
      <w:r>
        <w:rPr>
          <w:rFonts w:ascii="仿宋" w:hAnsi="仿宋" w:eastAsia="仿宋"/>
          <w:b/>
          <w:bCs/>
          <w:sz w:val="32"/>
          <w:szCs w:val="32"/>
        </w:rPr>
        <w:t>1</w:t>
      </w:r>
      <w:r>
        <w:rPr>
          <w:rFonts w:hint="eastAsia" w:ascii="仿宋" w:hAnsi="仿宋" w:eastAsia="仿宋"/>
          <w:b/>
          <w:bCs/>
          <w:sz w:val="32"/>
          <w:szCs w:val="32"/>
        </w:rPr>
        <w:t>6</w:t>
      </w:r>
      <w:r>
        <w:rPr>
          <w:rStyle w:val="18"/>
          <w:rFonts w:ascii="仿宋" w:hAnsi="仿宋" w:eastAsia="仿宋"/>
          <w:bCs/>
          <w:sz w:val="32"/>
          <w:szCs w:val="32"/>
        </w:rPr>
        <w:t>.</w:t>
      </w:r>
      <w:r>
        <w:rPr>
          <w:rStyle w:val="18"/>
          <w:rFonts w:hint="eastAsia" w:ascii="仿宋" w:hAnsi="仿宋" w:eastAsia="仿宋"/>
          <w:bCs/>
          <w:sz w:val="32"/>
          <w:szCs w:val="32"/>
        </w:rPr>
        <w:t>城乡社区支出（类）城乡社区规划与管理（款）城乡社区规划与管理（项）</w:t>
      </w:r>
      <w:r>
        <w:rPr>
          <w:rStyle w:val="18"/>
          <w:rFonts w:ascii="仿宋" w:hAnsi="仿宋" w:eastAsia="仿宋"/>
          <w:bCs/>
          <w:sz w:val="32"/>
          <w:szCs w:val="32"/>
        </w:rPr>
        <w:t>:</w:t>
      </w:r>
      <w:r>
        <w:rPr>
          <w:rStyle w:val="18"/>
          <w:rFonts w:hint="eastAsia" w:ascii="仿宋" w:hAnsi="仿宋" w:eastAsia="仿宋"/>
          <w:b w:val="0"/>
          <w:bCs/>
          <w:sz w:val="32"/>
          <w:szCs w:val="32"/>
        </w:rPr>
        <w:t>支出决算为12万元，完成预算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pStyle w:val="6"/>
        <w:spacing w:before="93"/>
        <w:ind w:firstLine="643" w:firstLineChars="200"/>
        <w:rPr>
          <w:rStyle w:val="18"/>
          <w:rFonts w:ascii="仿宋" w:hAnsi="仿宋" w:eastAsia="仿宋"/>
          <w:b w:val="0"/>
          <w:sz w:val="32"/>
          <w:szCs w:val="32"/>
        </w:rPr>
      </w:pPr>
      <w:r>
        <w:rPr>
          <w:rFonts w:ascii="仿宋" w:hAnsi="仿宋" w:eastAsia="仿宋"/>
          <w:b/>
          <w:bCs/>
          <w:sz w:val="32"/>
          <w:szCs w:val="32"/>
        </w:rPr>
        <w:t>1</w:t>
      </w:r>
      <w:r>
        <w:rPr>
          <w:rFonts w:hint="eastAsia" w:ascii="仿宋" w:hAnsi="仿宋" w:eastAsia="仿宋"/>
          <w:b/>
          <w:bCs/>
          <w:sz w:val="32"/>
          <w:szCs w:val="32"/>
        </w:rPr>
        <w:t>7</w:t>
      </w:r>
      <w:r>
        <w:rPr>
          <w:rStyle w:val="18"/>
          <w:rFonts w:ascii="仿宋" w:hAnsi="仿宋" w:eastAsia="仿宋"/>
          <w:bCs/>
          <w:sz w:val="32"/>
          <w:szCs w:val="32"/>
        </w:rPr>
        <w:t>.</w:t>
      </w:r>
      <w:r>
        <w:rPr>
          <w:rStyle w:val="18"/>
          <w:rFonts w:hint="eastAsia" w:ascii="仿宋" w:hAnsi="仿宋" w:eastAsia="仿宋"/>
          <w:bCs/>
          <w:kern w:val="2"/>
          <w:sz w:val="32"/>
          <w:szCs w:val="32"/>
        </w:rPr>
        <w:t>城乡社区支出（类） 城乡社区环境卫生（款）  其他城乡社区支出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支出决算为338.32万元，完成预算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ind w:firstLine="643" w:firstLineChars="200"/>
        <w:rPr>
          <w:rStyle w:val="18"/>
          <w:rFonts w:ascii="仿宋" w:hAnsi="仿宋" w:eastAsia="仿宋" w:cs="Arial"/>
          <w:b w:val="0"/>
          <w:color w:val="000000"/>
          <w:sz w:val="32"/>
          <w:szCs w:val="32"/>
        </w:rPr>
      </w:pPr>
      <w:r>
        <w:rPr>
          <w:rFonts w:hint="eastAsia" w:ascii="仿宋" w:hAnsi="仿宋" w:eastAsia="仿宋"/>
          <w:b/>
          <w:bCs/>
          <w:sz w:val="32"/>
          <w:szCs w:val="32"/>
        </w:rPr>
        <w:t>18</w:t>
      </w:r>
      <w:r>
        <w:rPr>
          <w:rStyle w:val="18"/>
          <w:rFonts w:ascii="仿宋" w:hAnsi="仿宋" w:eastAsia="仿宋"/>
          <w:bCs/>
          <w:sz w:val="32"/>
          <w:szCs w:val="32"/>
        </w:rPr>
        <w:t>.</w:t>
      </w:r>
      <w:r>
        <w:rPr>
          <w:rStyle w:val="18"/>
          <w:rFonts w:hint="eastAsia" w:ascii="仿宋" w:hAnsi="仿宋" w:eastAsia="仿宋"/>
          <w:bCs/>
          <w:sz w:val="32"/>
          <w:szCs w:val="32"/>
        </w:rPr>
        <w:t>城乡社区支出（类）城乡社区公共基础设施（款）其他城乡社区公共基础设施（项）</w:t>
      </w:r>
      <w:r>
        <w:rPr>
          <w:rStyle w:val="18"/>
          <w:rFonts w:ascii="仿宋" w:hAnsi="仿宋" w:eastAsia="仿宋"/>
          <w:bCs/>
          <w:sz w:val="32"/>
          <w:szCs w:val="32"/>
        </w:rPr>
        <w:t>:</w:t>
      </w:r>
      <w:r>
        <w:rPr>
          <w:rStyle w:val="18"/>
          <w:rFonts w:hint="eastAsia" w:ascii="仿宋" w:hAnsi="仿宋" w:eastAsia="仿宋"/>
          <w:b w:val="0"/>
          <w:bCs/>
          <w:sz w:val="32"/>
          <w:szCs w:val="32"/>
        </w:rPr>
        <w:t>支出决算为15万元，完成预算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Fonts w:ascii="仿宋" w:hAnsi="仿宋" w:eastAsia="仿宋"/>
          <w:b/>
          <w:bCs/>
          <w:sz w:val="32"/>
          <w:szCs w:val="32"/>
        </w:rPr>
        <w:t>1</w:t>
      </w:r>
      <w:r>
        <w:rPr>
          <w:rFonts w:hint="eastAsia" w:ascii="仿宋" w:hAnsi="仿宋" w:eastAsia="仿宋"/>
          <w:b/>
          <w:bCs/>
          <w:sz w:val="32"/>
          <w:szCs w:val="32"/>
        </w:rPr>
        <w:t>9</w:t>
      </w:r>
      <w:r>
        <w:rPr>
          <w:rStyle w:val="18"/>
          <w:rFonts w:ascii="仿宋" w:hAnsi="仿宋" w:eastAsia="仿宋"/>
          <w:bCs/>
          <w:sz w:val="32"/>
          <w:szCs w:val="32"/>
        </w:rPr>
        <w:t>.</w:t>
      </w:r>
      <w:r>
        <w:rPr>
          <w:rStyle w:val="18"/>
          <w:rFonts w:hint="eastAsia" w:ascii="仿宋" w:hAnsi="仿宋" w:eastAsia="仿宋"/>
          <w:bCs/>
          <w:sz w:val="32"/>
          <w:szCs w:val="32"/>
        </w:rPr>
        <w:t>住房保障支出（类）住房改革支出（款）住房公积金（项）</w:t>
      </w:r>
      <w:r>
        <w:rPr>
          <w:rStyle w:val="18"/>
          <w:rFonts w:ascii="仿宋" w:hAnsi="仿宋" w:eastAsia="仿宋"/>
          <w:bCs/>
          <w:sz w:val="32"/>
          <w:szCs w:val="32"/>
        </w:rPr>
        <w:t>:</w:t>
      </w:r>
      <w:r>
        <w:rPr>
          <w:rStyle w:val="18"/>
          <w:rFonts w:hint="eastAsia" w:ascii="仿宋" w:hAnsi="仿宋" w:eastAsia="仿宋"/>
          <w:b w:val="0"/>
          <w:bCs/>
          <w:sz w:val="32"/>
          <w:szCs w:val="32"/>
        </w:rPr>
        <w:t>支出决算为48.36万元，完成预算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pStyle w:val="20"/>
        <w:ind w:firstLine="643" w:firstLineChars="200"/>
      </w:pPr>
      <w:r>
        <w:rPr>
          <w:rFonts w:hint="eastAsia" w:ascii="仿宋" w:hAnsi="仿宋" w:eastAsia="仿宋"/>
          <w:b/>
          <w:bCs/>
          <w:sz w:val="32"/>
          <w:szCs w:val="32"/>
        </w:rPr>
        <w:t>20</w:t>
      </w:r>
      <w:r>
        <w:rPr>
          <w:rStyle w:val="18"/>
          <w:rFonts w:ascii="仿宋" w:hAnsi="仿宋" w:eastAsia="仿宋"/>
          <w:bCs/>
          <w:sz w:val="32"/>
          <w:szCs w:val="32"/>
        </w:rPr>
        <w:t>.</w:t>
      </w:r>
      <w:r>
        <w:rPr>
          <w:rStyle w:val="18"/>
          <w:rFonts w:hint="eastAsia" w:ascii="仿宋" w:hAnsi="仿宋" w:eastAsia="仿宋"/>
          <w:bCs/>
          <w:sz w:val="32"/>
          <w:szCs w:val="32"/>
        </w:rPr>
        <w:t>住房保障支出（类）保障性安居工程支出（款）老旧小区改造（项）</w:t>
      </w:r>
      <w:r>
        <w:rPr>
          <w:rStyle w:val="18"/>
          <w:rFonts w:ascii="仿宋" w:hAnsi="仿宋" w:eastAsia="仿宋"/>
          <w:bCs/>
          <w:sz w:val="32"/>
          <w:szCs w:val="32"/>
        </w:rPr>
        <w:t>:</w:t>
      </w:r>
      <w:r>
        <w:rPr>
          <w:rStyle w:val="18"/>
          <w:rFonts w:hint="eastAsia" w:ascii="仿宋" w:hAnsi="仿宋" w:eastAsia="仿宋"/>
          <w:b w:val="0"/>
          <w:bCs/>
          <w:sz w:val="32"/>
          <w:szCs w:val="32"/>
        </w:rPr>
        <w:t>支出决算为2512.53万元，完成预算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30"/>
          <w:rFonts w:ascii="Times New Roman" w:hAnsi="Times New Roman"/>
        </w:rPr>
      </w:pPr>
      <w:bookmarkStart w:id="51" w:name="_Toc15396608"/>
      <w:bookmarkStart w:id="52" w:name="_Toc211940854"/>
      <w:bookmarkStart w:id="53"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51"/>
      <w:bookmarkEnd w:id="52"/>
      <w:bookmarkEnd w:id="53"/>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680.59万</w:t>
      </w:r>
      <w:r>
        <w:rPr>
          <w:rFonts w:hint="eastAsia" w:eastAsia="仿宋_GB2312" w:cs="仿宋_GB2312"/>
          <w:sz w:val="32"/>
          <w:szCs w:val="32"/>
        </w:rPr>
        <w:t>元，其中：</w:t>
      </w:r>
    </w:p>
    <w:p>
      <w:pPr>
        <w:spacing w:line="600" w:lineRule="exact"/>
        <w:ind w:firstLine="640"/>
        <w:outlineLvl w:val="1"/>
        <w:rPr>
          <w:rFonts w:eastAsia="仿宋_GB2312" w:cs="仿宋_GB2312"/>
          <w:sz w:val="32"/>
          <w:szCs w:val="32"/>
        </w:rPr>
      </w:pPr>
      <w:bookmarkStart w:id="54" w:name="_Toc211940855"/>
      <w:r>
        <w:rPr>
          <w:rFonts w:hint="eastAsia" w:eastAsia="仿宋_GB2312" w:cs="仿宋_GB2312"/>
          <w:sz w:val="32"/>
          <w:szCs w:val="32"/>
        </w:rPr>
        <w:t>人员经费</w:t>
      </w:r>
      <w:r>
        <w:rPr>
          <w:rFonts w:hint="eastAsia" w:ascii="仿宋_GB2312" w:hAnsi="仿宋_GB2312" w:eastAsia="仿宋_GB2312" w:cs="仿宋_GB2312"/>
          <w:sz w:val="32"/>
          <w:szCs w:val="32"/>
        </w:rPr>
        <w:t>625.26万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55.33万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End w:id="54"/>
      <w:bookmarkStart w:id="55" w:name="_Toc15377215"/>
      <w:bookmarkStart w:id="56" w:name="_Toc15396609"/>
    </w:p>
    <w:p>
      <w:pPr>
        <w:spacing w:line="600" w:lineRule="exact"/>
        <w:ind w:firstLine="640"/>
        <w:outlineLvl w:val="1"/>
        <w:rPr>
          <w:rStyle w:val="30"/>
          <w:rFonts w:ascii="Times New Roman" w:hAnsi="Times New Roman" w:eastAsia="黑体"/>
          <w:b w:val="0"/>
        </w:rPr>
      </w:pPr>
      <w:bookmarkStart w:id="57" w:name="_Toc211940856"/>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55"/>
      <w:bookmarkEnd w:id="56"/>
      <w:bookmarkEnd w:id="57"/>
    </w:p>
    <w:p>
      <w:pPr>
        <w:spacing w:line="600" w:lineRule="exact"/>
        <w:ind w:firstLine="643" w:firstLineChars="200"/>
        <w:outlineLvl w:val="2"/>
        <w:rPr>
          <w:rFonts w:eastAsia="楷体_GB2312" w:cs="楷体_GB2312"/>
          <w:b/>
          <w:sz w:val="32"/>
          <w:szCs w:val="32"/>
        </w:rPr>
      </w:pPr>
      <w:bookmarkStart w:id="58" w:name="_Toc15377216"/>
      <w:bookmarkStart w:id="59" w:name="_Toc211940857"/>
      <w:r>
        <w:rPr>
          <w:rFonts w:hint="eastAsia" w:eastAsia="楷体_GB2312" w:cs="楷体_GB2312"/>
          <w:b/>
          <w:sz w:val="32"/>
          <w:szCs w:val="32"/>
        </w:rPr>
        <w:t>（一）“三公”经费财政拨款支出决算总体情况说明</w:t>
      </w:r>
      <w:bookmarkEnd w:id="58"/>
      <w:bookmarkEnd w:id="59"/>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0.13万元，完成预算100%，</w:t>
      </w:r>
      <w:r>
        <w:rPr>
          <w:rFonts w:hint="eastAsia" w:eastAsia="仿宋_GB2312" w:cs="仿宋_GB2312"/>
          <w:sz w:val="32"/>
          <w:szCs w:val="32"/>
        </w:rPr>
        <w:t>与上年度无变化。</w:t>
      </w:r>
      <w:r>
        <w:rPr>
          <w:rFonts w:hint="eastAsia" w:ascii="仿宋" w:hAnsi="仿宋" w:eastAsia="仿宋"/>
          <w:sz w:val="32"/>
          <w:szCs w:val="32"/>
        </w:rPr>
        <w:t>决算数与预算数持平。</w:t>
      </w:r>
    </w:p>
    <w:p>
      <w:pPr>
        <w:spacing w:line="600" w:lineRule="exact"/>
        <w:ind w:firstLine="643" w:firstLineChars="200"/>
        <w:outlineLvl w:val="2"/>
        <w:rPr>
          <w:rFonts w:eastAsia="楷体_GB2312" w:cs="楷体_GB2312"/>
          <w:b/>
          <w:sz w:val="32"/>
          <w:szCs w:val="32"/>
        </w:rPr>
      </w:pPr>
      <w:bookmarkStart w:id="60" w:name="_Toc15377217"/>
      <w:bookmarkStart w:id="61" w:name="_Toc211940858"/>
      <w:r>
        <w:rPr>
          <w:rFonts w:hint="eastAsia" w:eastAsia="楷体_GB2312" w:cs="楷体_GB2312"/>
          <w:b/>
          <w:sz w:val="32"/>
          <w:szCs w:val="32"/>
        </w:rPr>
        <w:t>（二）“三公”经费财政拨款支出决算具体情况说明</w:t>
      </w:r>
      <w:bookmarkEnd w:id="60"/>
      <w:bookmarkEnd w:id="6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2024年度“三公”经费财政拨款支出决算中，因公出国（境）费支出决算0万元，占0%；公务用车购置及运行维护费支出决算0万元，占0%；公务接待费支出决算0.13万元，占100%。具体情况如下：</w:t>
      </w:r>
    </w:p>
    <w:p>
      <w:pPr>
        <w:pStyle w:val="20"/>
      </w:pPr>
      <w:r>
        <w:rPr>
          <w:rFonts w:hint="eastAsia" w:ascii="仿宋" w:hAnsi="仿宋" w:eastAsia="仿宋"/>
          <w:sz w:val="32"/>
          <w:szCs w:val="32"/>
        </w:rPr>
        <w:object>
          <v:shape id="_x0000_i1026" o:spt="75" type="#_x0000_t75" style="height:222.75pt;width:366.75pt;" o:ole="t" filled="f" o:preferrelative="t" stroked="f" coordsize="21600,21600">
            <v:path/>
            <v:fill on="f" focussize="0,0"/>
            <v:stroke on="f" joinstyle="miter"/>
            <v:imagedata r:id="rId14" o:title=""/>
            <o:lock v:ext="edit" aspectratio="t"/>
            <w10:wrap type="none"/>
            <w10:anchorlock/>
          </v:shape>
          <o:OLEObject Type="Embed" ProgID="Excel.Chart.8" ShapeID="_x0000_i1026" DrawAspect="Content" ObjectID="_1468075726" r:id="rId13">
            <o:LockedField>false</o:LockedField>
          </o:OLEObject>
        </w:objec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完成预算10</w:t>
      </w:r>
      <w:r>
        <w:rPr>
          <w:rFonts w:hint="eastAsia" w:ascii="仿宋_GB2312" w:eastAsia="仿宋_GB2312"/>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全年安排因公出国（境）团组0次，出国（境）0人。因公出国（境）支出决算与2023年度持平。</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开支内容包括：无。</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公务用车购置及运行维护费支出决算比2023年度持平。</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 辆，其中：轿车0 辆、金额0 万元，越野车0 辆、金额0万元，载客汽车0辆、金额0万元。截至2024年12月31日，单位共有公务用车0辆，其中：轿车0辆、越野车0辆、载客汽车0辆。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0.13万</w:t>
      </w:r>
      <w:r>
        <w:rPr>
          <w:rFonts w:hint="eastAsia" w:eastAsia="仿宋_GB2312" w:cs="仿宋_GB2312"/>
          <w:b/>
          <w:bCs/>
          <w:sz w:val="32"/>
          <w:szCs w:val="32"/>
        </w:rPr>
        <w:t>元，完成预算100%。</w:t>
      </w:r>
      <w:r>
        <w:rPr>
          <w:rFonts w:hint="eastAsia" w:eastAsia="仿宋_GB2312" w:cs="仿宋_GB2312"/>
          <w:sz w:val="32"/>
          <w:szCs w:val="32"/>
        </w:rPr>
        <w:t>公务接待费支出决算与2023年度持平。其中：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出0.13万</w:t>
      </w:r>
      <w:r>
        <w:rPr>
          <w:rFonts w:hint="eastAsia" w:eastAsia="仿宋_GB2312" w:cs="仿宋_GB2312"/>
          <w:sz w:val="32"/>
          <w:szCs w:val="32"/>
        </w:rPr>
        <w:t>元，主要用于执行公务产生的用餐费。国内公务接</w:t>
      </w:r>
      <w:r>
        <w:rPr>
          <w:rFonts w:hint="eastAsia" w:ascii="仿宋_GB2312" w:hAnsi="仿宋_GB2312" w:eastAsia="仿宋_GB2312" w:cs="仿宋_GB2312"/>
          <w:sz w:val="32"/>
          <w:szCs w:val="32"/>
        </w:rPr>
        <w:t>待2批次，15</w:t>
      </w:r>
      <w:r>
        <w:rPr>
          <w:rFonts w:hint="eastAsia" w:eastAsia="仿宋_GB2312" w:cs="仿宋_GB2312"/>
          <w:sz w:val="32"/>
          <w:szCs w:val="32"/>
        </w:rPr>
        <w:t>人次（不包括陪同人员），共计支出0.13万元，具体内容包括：接待市城管局来盐边检查行政处罚办理案件0.069万元；接待四川建筑职业学院开展燃气检查0.065万元。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p>
    <w:p>
      <w:pPr>
        <w:spacing w:line="600" w:lineRule="exact"/>
        <w:ind w:firstLine="640"/>
        <w:outlineLvl w:val="1"/>
        <w:rPr>
          <w:rStyle w:val="30"/>
          <w:rFonts w:ascii="Times New Roman" w:hAnsi="Times New Roman" w:eastAsia="黑体"/>
        </w:rPr>
      </w:pPr>
      <w:bookmarkStart w:id="62" w:name="_Toc15377218"/>
      <w:bookmarkStart w:id="63" w:name="_Toc211940859"/>
      <w:bookmarkStart w:id="64" w:name="_Toc15396610"/>
      <w:r>
        <w:rPr>
          <w:rFonts w:hint="eastAsia" w:eastAsia="黑体"/>
          <w:sz w:val="32"/>
          <w:szCs w:val="32"/>
        </w:rPr>
        <w:t>八、</w:t>
      </w:r>
      <w:r>
        <w:rPr>
          <w:rStyle w:val="30"/>
          <w:rFonts w:hint="eastAsia" w:ascii="Times New Roman" w:hAnsi="Times New Roman" w:eastAsia="黑体"/>
          <w:b w:val="0"/>
        </w:rPr>
        <w:t>政府性基金预算支出决算情况说明</w:t>
      </w:r>
      <w:bookmarkEnd w:id="62"/>
      <w:bookmarkEnd w:id="63"/>
      <w:bookmarkEnd w:id="64"/>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2024年度政府性基金预算财政拨款支出577.6万元，占本年支出合计的7.79%</w:t>
      </w:r>
      <w:r>
        <w:rPr>
          <w:rFonts w:hint="eastAsia" w:eastAsia="仿宋_GB2312" w:cs="仿宋_GB2312"/>
          <w:sz w:val="32"/>
          <w:szCs w:val="32"/>
        </w:rPr>
        <w:t>。与2023年度相比，政府性基金预算财政拨款支出减少1252.49万元，下降68.44%。主要变动原因是盐边县城镇垃圾综合处理建设项目建设已完工，2024年支付剩余尾款。</w:t>
      </w:r>
    </w:p>
    <w:p>
      <w:pPr>
        <w:spacing w:line="600" w:lineRule="exact"/>
        <w:ind w:left="630"/>
        <w:outlineLvl w:val="1"/>
        <w:rPr>
          <w:rStyle w:val="30"/>
          <w:rFonts w:ascii="Times New Roman" w:hAnsi="Times New Roman" w:eastAsia="黑体"/>
          <w:b w:val="0"/>
        </w:rPr>
      </w:pPr>
      <w:bookmarkStart w:id="65" w:name="_Toc211940860"/>
      <w:bookmarkStart w:id="66" w:name="_Toc15377219"/>
      <w:bookmarkStart w:id="67" w:name="_Toc15396611"/>
      <w:r>
        <w:rPr>
          <w:rStyle w:val="30"/>
          <w:rFonts w:hint="eastAsia" w:ascii="Times New Roman" w:hAnsi="Times New Roman" w:eastAsia="黑体"/>
          <w:b w:val="0"/>
        </w:rPr>
        <w:t>九、国有资本经营预算支出决算情况说明</w:t>
      </w:r>
      <w:bookmarkEnd w:id="65"/>
      <w:bookmarkEnd w:id="66"/>
      <w:bookmarkEnd w:id="6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eastAsia="仿宋_GB2312" w:cs="仿宋_GB2312"/>
          <w:sz w:val="32"/>
          <w:szCs w:val="32"/>
        </w:rPr>
        <w:t>。</w:t>
      </w:r>
    </w:p>
    <w:p>
      <w:pPr>
        <w:spacing w:line="600" w:lineRule="exact"/>
        <w:ind w:left="630"/>
        <w:outlineLvl w:val="1"/>
        <w:rPr>
          <w:rStyle w:val="30"/>
          <w:rFonts w:ascii="Times New Roman" w:hAnsi="Times New Roman" w:eastAsia="黑体"/>
          <w:b w:val="0"/>
        </w:rPr>
      </w:pPr>
      <w:bookmarkStart w:id="68" w:name="_Toc15377221"/>
      <w:bookmarkStart w:id="69" w:name="_Toc15396612"/>
      <w:bookmarkStart w:id="70" w:name="_Toc211940861"/>
      <w:r>
        <w:rPr>
          <w:rStyle w:val="30"/>
          <w:rFonts w:hint="eastAsia" w:ascii="Times New Roman" w:hAnsi="Times New Roman" w:eastAsia="黑体"/>
          <w:b w:val="0"/>
        </w:rPr>
        <w:t>十、其他重要事项的情况说明</w:t>
      </w:r>
      <w:bookmarkEnd w:id="68"/>
      <w:bookmarkEnd w:id="69"/>
      <w:bookmarkEnd w:id="70"/>
    </w:p>
    <w:p>
      <w:pPr>
        <w:spacing w:line="600" w:lineRule="exact"/>
        <w:ind w:firstLine="643" w:firstLineChars="200"/>
        <w:outlineLvl w:val="2"/>
        <w:rPr>
          <w:rFonts w:eastAsia="楷体_GB2312" w:cs="楷体_GB2312"/>
          <w:b/>
          <w:sz w:val="32"/>
          <w:szCs w:val="32"/>
        </w:rPr>
      </w:pPr>
      <w:bookmarkStart w:id="71" w:name="_Toc15377222"/>
      <w:bookmarkStart w:id="72" w:name="_Toc211940862"/>
      <w:r>
        <w:rPr>
          <w:rFonts w:hint="eastAsia" w:eastAsia="楷体_GB2312" w:cs="楷体_GB2312"/>
          <w:b/>
          <w:sz w:val="32"/>
          <w:szCs w:val="32"/>
        </w:rPr>
        <w:t>（一）机关运行经费支出情况</w:t>
      </w:r>
      <w:bookmarkEnd w:id="71"/>
      <w:bookmarkEnd w:id="72"/>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，盐边县综合行政执法局机关运行经费支出55.33万</w:t>
      </w:r>
      <w:r>
        <w:rPr>
          <w:rFonts w:hint="eastAsia" w:eastAsia="仿宋_GB2312" w:cs="仿宋_GB2312"/>
          <w:sz w:val="32"/>
          <w:szCs w:val="32"/>
        </w:rPr>
        <w:t>元，比2023年度减少4.04万元，下降6.8%。属正常变动。</w:t>
      </w:r>
    </w:p>
    <w:p>
      <w:pPr>
        <w:spacing w:line="600" w:lineRule="exact"/>
        <w:ind w:firstLine="643" w:firstLineChars="200"/>
        <w:outlineLvl w:val="2"/>
        <w:rPr>
          <w:rFonts w:eastAsia="楷体_GB2312" w:cs="楷体_GB2312"/>
          <w:b/>
          <w:sz w:val="32"/>
          <w:szCs w:val="32"/>
        </w:rPr>
      </w:pPr>
      <w:bookmarkStart w:id="73" w:name="_Toc211940863"/>
      <w:bookmarkStart w:id="74" w:name="_Toc15377223"/>
      <w:r>
        <w:rPr>
          <w:rFonts w:hint="eastAsia" w:eastAsia="楷体_GB2312" w:cs="楷体_GB2312"/>
          <w:b/>
          <w:sz w:val="32"/>
          <w:szCs w:val="32"/>
        </w:rPr>
        <w:t>（二）政府采购支出情况</w:t>
      </w:r>
      <w:bookmarkEnd w:id="73"/>
      <w:bookmarkEnd w:id="7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盐边县综合行政执法局政府采购支出总额4088.2万元，其中：政府采购货物支出90.73万元、政府采购工程支出0万元、政府采购服务支出3997.47万元。主要用于环卫绿化一体化采购以及燃气二期招标采购项目。授予中小企业合同金额4087.56万元，占政府采购支出总额的99.98%，其中：授予小微企业合同金额4087.56万元，占政府采购支出总额的99.98%。</w:t>
      </w:r>
    </w:p>
    <w:p>
      <w:pPr>
        <w:spacing w:line="600" w:lineRule="exact"/>
        <w:ind w:firstLine="643" w:firstLineChars="200"/>
        <w:outlineLvl w:val="2"/>
        <w:rPr>
          <w:rFonts w:eastAsia="楷体_GB2312" w:cs="楷体_GB2312"/>
          <w:b/>
          <w:sz w:val="32"/>
          <w:szCs w:val="32"/>
        </w:rPr>
      </w:pPr>
      <w:bookmarkStart w:id="75" w:name="_Toc211940864"/>
      <w:bookmarkStart w:id="76" w:name="_Toc15377224"/>
      <w:r>
        <w:rPr>
          <w:rFonts w:hint="eastAsia" w:eastAsia="楷体_GB2312" w:cs="楷体_GB2312"/>
          <w:b/>
          <w:sz w:val="32"/>
          <w:szCs w:val="32"/>
        </w:rPr>
        <w:t>（三）国有资产占有使用情况</w:t>
      </w:r>
      <w:bookmarkEnd w:id="75"/>
      <w:bookmarkEnd w:id="76"/>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盐边县综合行政执法局共有车辆25辆，其中：主要负责人用车0辆、机要通信用车0辆、应急保障用车0辆、其他用车25辆，其他用车主要是用于垃圾清运、街道清洗、执法用车。单价100万元（含）以上设备（不含车辆）0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77" w:name="_Toc211940865"/>
      <w:r>
        <w:rPr>
          <w:rFonts w:hint="eastAsia" w:eastAsia="楷体_GB2312" w:cs="楷体_GB2312"/>
          <w:b/>
          <w:sz w:val="32"/>
          <w:szCs w:val="32"/>
        </w:rPr>
        <w:t>（四）预算绩效管理情况</w:t>
      </w:r>
      <w:bookmarkEnd w:id="77"/>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根据预算绩效管理要求，本部门在2024年度预算编制阶段，组织对盐边县城乡环卫一体化项目等11个项目开展了预算事前绩效评估，对11个项目编制了绩效目标，预算执行过程中，选取3个项目开展绩效监控。</w:t>
      </w:r>
    </w:p>
    <w:p>
      <w:pPr>
        <w:spacing w:line="580" w:lineRule="exact"/>
        <w:ind w:firstLine="640" w:firstLineChars="200"/>
        <w:rPr>
          <w:rFonts w:ascii="仿宋_GB2312" w:hAnsi="仿宋_GB2312"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组织对2024年度一般公共预算、政府性基金预算、国有资本经营预算、社会保险基金预算以及资本资产、债券资金等全面开展绩效自评，形成盐边县综合行政执法局部门整体（含部门预算项目）绩效自评报告、</w:t>
      </w:r>
      <w:r>
        <w:rPr>
          <w:rFonts w:hint="eastAsia" w:ascii="仿宋_GB2312" w:hAnsi="仿宋_GB2312" w:eastAsia="仿宋_GB2312" w:cs="仿宋_GB2312"/>
          <w:sz w:val="32"/>
          <w:szCs w:val="32"/>
        </w:rPr>
        <w:t>形成盐边县综合行政执法局部门整体绩效自评报告、盐边县城乡环卫一体化项目、</w:t>
      </w: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sz w:val="32"/>
          <w:szCs w:val="32"/>
        </w:rPr>
        <w:t>盐边县城管执法工作经费项目、</w:t>
      </w:r>
      <w:r>
        <w:rPr>
          <w:rFonts w:hint="eastAsia" w:ascii="仿宋_GB2312" w:hAnsi="仿宋_GB2312" w:eastAsia="仿宋_GB2312" w:cs="仿宋_GB2312"/>
          <w:kern w:val="0"/>
          <w:sz w:val="32"/>
          <w:szCs w:val="32"/>
          <w:shd w:val="clear" w:color="auto" w:fill="FFFFFF"/>
        </w:rPr>
        <w:t>盐边县政务服务便民热线平台2024年运行维护服务业务项目经费</w:t>
      </w:r>
      <w:r>
        <w:rPr>
          <w:rFonts w:hint="eastAsia" w:ascii="仿宋_GB2312" w:hAnsi="仿宋_GB2312" w:eastAsia="仿宋_GB2312" w:cs="仿宋_GB2312"/>
          <w:sz w:val="32"/>
          <w:szCs w:val="32"/>
        </w:rPr>
        <w:t>专项预算项目绩效自评报告，其中，盐边县城乡环卫一体化项目绩效自评得分为91分； 盐边县政务服务便民热线平台2024年运行维护服务业务项目绩效自评得分为92分；盐边县城管执法工作经费项目绩效自评得分为93分，绩效自评报告详见附件。</w:t>
      </w: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78" w:name="_Toc15377225"/>
      <w:bookmarkStart w:id="79" w:name="_Toc15396613"/>
      <w:bookmarkStart w:id="80" w:name="_Toc211940866"/>
      <w:r>
        <w:rPr>
          <w:rFonts w:hint="eastAsia" w:eastAsia="黑体"/>
          <w:sz w:val="44"/>
          <w:szCs w:val="44"/>
        </w:rPr>
        <w:t>第三部分  名词解释</w:t>
      </w:r>
      <w:bookmarkEnd w:id="78"/>
      <w:bookmarkEnd w:id="79"/>
      <w:bookmarkEnd w:id="80"/>
    </w:p>
    <w:p>
      <w:pPr>
        <w:spacing w:line="560" w:lineRule="exact"/>
        <w:ind w:firstLine="643" w:firstLineChars="200"/>
        <w:rPr>
          <w:rFonts w:eastAsia="仿宋_GB2312"/>
          <w:sz w:val="32"/>
          <w:szCs w:val="32"/>
        </w:rPr>
      </w:pPr>
      <w:bookmarkStart w:id="81" w:name="_Toc15396614"/>
      <w:bookmarkStart w:id="82" w:name="_Toc15377226"/>
      <w:r>
        <w:rPr>
          <w:rFonts w:eastAsia="仿宋_GB2312"/>
          <w:b/>
          <w:sz w:val="32"/>
          <w:szCs w:val="32"/>
        </w:rPr>
        <w:t>1.财政拨款收入：</w:t>
      </w:r>
      <w:r>
        <w:rPr>
          <w:rFonts w:eastAsia="仿宋_GB2312"/>
          <w:sz w:val="32"/>
          <w:szCs w:val="32"/>
        </w:rPr>
        <w:t>指单位从同级财政部门取得的财政预算资金。</w:t>
      </w:r>
    </w:p>
    <w:p>
      <w:pPr>
        <w:spacing w:line="56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.年初结转和结余：</w:t>
      </w:r>
      <w:r>
        <w:rPr>
          <w:rFonts w:eastAsia="仿宋_GB2312"/>
          <w:sz w:val="32"/>
          <w:szCs w:val="32"/>
        </w:rPr>
        <w:t xml:space="preserve">指以前年度尚未完成、结转到本年按有关规定继续使用的资金。 </w:t>
      </w:r>
    </w:p>
    <w:p>
      <w:pPr>
        <w:ind w:firstLine="643" w:firstLineChars="200"/>
        <w:rPr>
          <w:rFonts w:ascii="仿宋_GB2312" w:eastAsia="仿宋_GB2312"/>
          <w:sz w:val="32"/>
          <w:szCs w:val="32"/>
        </w:rPr>
      </w:pPr>
      <w:r>
        <w:rPr>
          <w:rFonts w:hint="eastAsia" w:eastAsia="仿宋_GB2312"/>
          <w:b/>
          <w:sz w:val="32"/>
          <w:szCs w:val="32"/>
        </w:rPr>
        <w:t>3</w:t>
      </w:r>
      <w:r>
        <w:rPr>
          <w:rFonts w:eastAsia="仿宋_GB2312"/>
          <w:b/>
          <w:sz w:val="32"/>
          <w:szCs w:val="32"/>
        </w:rPr>
        <w:t>.</w:t>
      </w:r>
      <w:r>
        <w:rPr>
          <w:rFonts w:hint="eastAsia" w:eastAsia="仿宋_GB2312"/>
          <w:b/>
          <w:sz w:val="32"/>
          <w:szCs w:val="32"/>
        </w:rPr>
        <w:t>社会保障和就业支出（类）行政事业单位养老支出（款）行政单位离退休（项）：</w:t>
      </w:r>
      <w:r>
        <w:rPr>
          <w:rFonts w:hint="eastAsia" w:ascii="仿宋_GB2312" w:eastAsia="仿宋_GB2312"/>
          <w:sz w:val="32"/>
          <w:szCs w:val="32"/>
        </w:rPr>
        <w:t>指反映行政单位（包括实行公务员管理的事业单位）开支的离退休经费。</w:t>
      </w:r>
    </w:p>
    <w:p>
      <w:pPr>
        <w:ind w:firstLine="643" w:firstLineChars="200"/>
        <w:rPr>
          <w:rFonts w:ascii="仿宋_GB2312" w:eastAsia="仿宋_GB2312"/>
          <w:color w:val="000000"/>
          <w:sz w:val="32"/>
          <w:szCs w:val="32"/>
        </w:rPr>
      </w:pPr>
      <w:r>
        <w:rPr>
          <w:rFonts w:hint="eastAsia" w:eastAsia="仿宋_GB2312"/>
          <w:b/>
          <w:sz w:val="32"/>
          <w:szCs w:val="32"/>
        </w:rPr>
        <w:t>4</w:t>
      </w:r>
      <w:r>
        <w:rPr>
          <w:rFonts w:eastAsia="仿宋_GB2312"/>
          <w:b/>
          <w:sz w:val="32"/>
          <w:szCs w:val="32"/>
        </w:rPr>
        <w:t>.</w:t>
      </w:r>
      <w:r>
        <w:rPr>
          <w:rFonts w:hint="eastAsia" w:eastAsia="仿宋_GB2312"/>
          <w:b/>
          <w:sz w:val="32"/>
          <w:szCs w:val="32"/>
        </w:rPr>
        <w:t>社会保障和就业支出（类）行政事业单位养老支出（款）机关事业单位基本养老保险缴费支出（项）</w:t>
      </w:r>
      <w:r>
        <w:rPr>
          <w:rFonts w:hint="eastAsia" w:ascii="仿宋_GB2312" w:eastAsia="仿宋_GB2312"/>
          <w:color w:val="000000"/>
          <w:sz w:val="32"/>
          <w:szCs w:val="32"/>
        </w:rPr>
        <w:t>：指反映机关事业单位实施养老保险制度由单位缴纳的基本养老保险支出。</w:t>
      </w:r>
    </w:p>
    <w:p>
      <w:pPr>
        <w:ind w:firstLine="643" w:firstLineChars="200"/>
        <w:rPr>
          <w:rFonts w:ascii="仿宋_GB2312" w:hAnsi="仿宋_GB2312" w:eastAsia="仿宋_GB2312" w:cs="仿宋_GB2312"/>
          <w:sz w:val="32"/>
          <w:szCs w:val="32"/>
        </w:rPr>
      </w:pPr>
      <w:r>
        <w:rPr>
          <w:rFonts w:hint="eastAsia" w:eastAsia="仿宋_GB2312"/>
          <w:b/>
          <w:sz w:val="32"/>
          <w:szCs w:val="32"/>
        </w:rPr>
        <w:t>5.城乡社区支出（类）城乡社区管理事务（款）行政运行（项）：</w:t>
      </w:r>
      <w:r>
        <w:rPr>
          <w:rFonts w:hint="eastAsia" w:ascii="仿宋_GB2312" w:eastAsia="仿宋_GB2312"/>
          <w:color w:val="000000"/>
          <w:sz w:val="32"/>
          <w:szCs w:val="32"/>
        </w:rPr>
        <w:t>指反映行政单位（包括实行公务员管理的事业单位）的基本支出。</w:t>
      </w:r>
    </w:p>
    <w:p>
      <w:pPr>
        <w:pStyle w:val="6"/>
        <w:spacing w:before="93"/>
        <w:ind w:firstLine="643" w:firstLineChars="200"/>
        <w:rPr>
          <w:rFonts w:ascii="Times New Roman"/>
          <w:sz w:val="32"/>
          <w:szCs w:val="32"/>
        </w:rPr>
      </w:pPr>
      <w:r>
        <w:rPr>
          <w:rFonts w:hint="eastAsia"/>
          <w:b/>
          <w:sz w:val="32"/>
          <w:szCs w:val="32"/>
        </w:rPr>
        <w:t>6.</w:t>
      </w:r>
      <w:r>
        <w:rPr>
          <w:rFonts w:hint="eastAsia" w:ascii="Calibri" w:hAnsi="Calibri"/>
          <w:b/>
          <w:kern w:val="2"/>
          <w:sz w:val="32"/>
          <w:szCs w:val="32"/>
        </w:rPr>
        <w:t>卫生健康支出（类）行政事业单位医疗（款） 行政单位医疗（项）</w:t>
      </w:r>
      <w:r>
        <w:rPr>
          <w:rFonts w:hint="eastAsia"/>
          <w:b/>
          <w:sz w:val="32"/>
          <w:szCs w:val="32"/>
        </w:rPr>
        <w:t>:</w:t>
      </w:r>
      <w:r>
        <w:rPr>
          <w:rFonts w:hint="eastAsia" w:hAnsi="Calibri"/>
          <w:color w:val="000000"/>
          <w:kern w:val="2"/>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pPr>
        <w:pStyle w:val="6"/>
        <w:spacing w:before="93"/>
        <w:ind w:firstLine="643" w:firstLineChars="200"/>
        <w:rPr>
          <w:rFonts w:ascii="Times New Roman"/>
        </w:rPr>
      </w:pPr>
      <w:r>
        <w:rPr>
          <w:rFonts w:hint="eastAsia"/>
          <w:b/>
          <w:sz w:val="32"/>
          <w:szCs w:val="32"/>
        </w:rPr>
        <w:t>7.</w:t>
      </w:r>
      <w:r>
        <w:rPr>
          <w:rFonts w:hint="eastAsia" w:ascii="Calibri" w:hAnsi="Calibri"/>
          <w:b/>
          <w:kern w:val="2"/>
          <w:sz w:val="32"/>
          <w:szCs w:val="32"/>
        </w:rPr>
        <w:t>卫生健康支出（类）行政事业单位医疗（款） 公务员医疗补助（项）</w:t>
      </w:r>
      <w:r>
        <w:rPr>
          <w:rFonts w:hint="eastAsia"/>
          <w:b/>
          <w:sz w:val="32"/>
          <w:szCs w:val="32"/>
        </w:rPr>
        <w:t>:</w:t>
      </w:r>
      <w:r>
        <w:rPr>
          <w:rFonts w:hint="eastAsia" w:hAnsi="Calibri"/>
          <w:color w:val="000000"/>
          <w:kern w:val="2"/>
          <w:sz w:val="32"/>
          <w:szCs w:val="32"/>
        </w:rPr>
        <w:t>反映财政部门安排的公务员医疗补助经费</w:t>
      </w:r>
      <w:r>
        <w:rPr>
          <w:rFonts w:ascii="Times New Roman"/>
          <w:sz w:val="32"/>
          <w:szCs w:val="32"/>
        </w:rPr>
        <w:t>。</w:t>
      </w:r>
    </w:p>
    <w:p>
      <w:pPr>
        <w:ind w:firstLine="643" w:firstLineChars="200"/>
        <w:rPr>
          <w:rFonts w:ascii="仿宋_GB2312" w:eastAsia="仿宋_GB2312"/>
          <w:color w:val="000000"/>
          <w:sz w:val="32"/>
          <w:szCs w:val="32"/>
        </w:rPr>
      </w:pPr>
      <w:r>
        <w:rPr>
          <w:rFonts w:hint="eastAsia" w:eastAsia="仿宋_GB2312"/>
          <w:b/>
          <w:sz w:val="32"/>
          <w:szCs w:val="32"/>
        </w:rPr>
        <w:t>8.住房保障支出（类）住房改革支出（款）住房公积金（项）：</w:t>
      </w:r>
      <w:r>
        <w:rPr>
          <w:rFonts w:hint="eastAsia" w:ascii="仿宋_GB2312" w:eastAsia="仿宋_GB2312"/>
          <w:color w:val="000000"/>
          <w:sz w:val="32"/>
          <w:szCs w:val="32"/>
        </w:rPr>
        <w:t>指反映行政事业单位按人力资源和社会保障部、财政部规定的基本工资和津贴补贴以及规定比例为职工缴纳的住房公积金。</w:t>
      </w:r>
    </w:p>
    <w:p>
      <w:pPr>
        <w:ind w:firstLine="643" w:firstLineChars="200"/>
        <w:rPr>
          <w:rFonts w:eastAsia="仿宋_GB2312"/>
          <w:b/>
          <w:sz w:val="32"/>
          <w:szCs w:val="32"/>
        </w:rPr>
      </w:pPr>
      <w:r>
        <w:rPr>
          <w:rFonts w:hint="eastAsia" w:eastAsia="仿宋_GB2312"/>
          <w:b/>
          <w:sz w:val="32"/>
          <w:szCs w:val="32"/>
        </w:rPr>
        <w:t>9.城乡社区支出（类）城乡社区管理事务（款）城管执法（项）:</w:t>
      </w:r>
      <w:r>
        <w:rPr>
          <w:rFonts w:hint="eastAsia" w:ascii="仿宋_GB2312" w:eastAsia="仿宋_GB2312"/>
          <w:color w:val="000000"/>
          <w:sz w:val="32"/>
          <w:szCs w:val="32"/>
        </w:rPr>
        <w:t>反映城市管理综合行政执法、加强城市市容和环境卫生管理等方面的支出。</w:t>
      </w:r>
    </w:p>
    <w:p>
      <w:pPr>
        <w:ind w:firstLine="643" w:firstLineChars="200"/>
        <w:rPr>
          <w:rFonts w:ascii="仿宋" w:hAnsi="仿宋" w:eastAsia="仿宋"/>
          <w:bCs/>
          <w:sz w:val="32"/>
          <w:szCs w:val="32"/>
        </w:rPr>
      </w:pPr>
      <w:r>
        <w:rPr>
          <w:rFonts w:hint="eastAsia" w:eastAsia="仿宋_GB2312"/>
          <w:b/>
          <w:sz w:val="32"/>
          <w:szCs w:val="32"/>
        </w:rPr>
        <w:t>10. 城乡社区支出（类）城乡社区管理事务（款）  其他城乡社区管理事务支出（项）:</w:t>
      </w:r>
      <w:r>
        <w:rPr>
          <w:rStyle w:val="18"/>
          <w:rFonts w:hint="eastAsia" w:ascii="仿宋" w:hAnsi="仿宋" w:eastAsia="仿宋"/>
          <w:b w:val="0"/>
          <w:bCs/>
          <w:sz w:val="32"/>
          <w:szCs w:val="32"/>
        </w:rPr>
        <w:t>反映其他用于城乡社区管理事务方面的支出。</w:t>
      </w:r>
    </w:p>
    <w:p>
      <w:pPr>
        <w:ind w:firstLine="482" w:firstLineChars="150"/>
        <w:rPr>
          <w:rStyle w:val="18"/>
          <w:rFonts w:ascii="仿宋" w:hAnsi="仿宋" w:eastAsia="仿宋" w:cs="Arial"/>
          <w:b w:val="0"/>
          <w:color w:val="000000"/>
          <w:sz w:val="32"/>
          <w:szCs w:val="32"/>
        </w:rPr>
      </w:pPr>
      <w:r>
        <w:rPr>
          <w:rFonts w:hint="eastAsia" w:eastAsia="仿宋_GB2312"/>
          <w:b/>
          <w:sz w:val="32"/>
          <w:szCs w:val="32"/>
        </w:rPr>
        <w:t>11. 城乡社区支出（类）城乡社区规划与管理（款）  城乡社区规划与管理（项）</w:t>
      </w:r>
      <w:r>
        <w:rPr>
          <w:rStyle w:val="18"/>
          <w:rFonts w:ascii="仿宋" w:hAnsi="仿宋" w:eastAsia="仿宋"/>
          <w:bCs/>
          <w:sz w:val="32"/>
          <w:szCs w:val="32"/>
        </w:rPr>
        <w:t>:</w:t>
      </w:r>
      <w:r>
        <w:rPr>
          <w:rStyle w:val="18"/>
          <w:rFonts w:hint="eastAsia" w:ascii="仿宋" w:hAnsi="仿宋" w:eastAsia="仿宋"/>
          <w:b w:val="0"/>
          <w:bCs/>
          <w:sz w:val="32"/>
          <w:szCs w:val="32"/>
        </w:rPr>
        <w:t>反映社区、防灾减灾、历史名城规划制定与管理等方面的支出。</w:t>
      </w:r>
    </w:p>
    <w:p>
      <w:pPr>
        <w:pStyle w:val="6"/>
        <w:spacing w:before="93"/>
        <w:ind w:firstLine="643" w:firstLineChars="200"/>
        <w:rPr>
          <w:rStyle w:val="18"/>
          <w:rFonts w:ascii="仿宋" w:hAnsi="仿宋" w:eastAsia="仿宋"/>
          <w:b w:val="0"/>
          <w:sz w:val="32"/>
          <w:szCs w:val="32"/>
        </w:rPr>
      </w:pPr>
      <w:r>
        <w:rPr>
          <w:rFonts w:hint="eastAsia" w:ascii="Times New Roman"/>
          <w:b/>
          <w:kern w:val="2"/>
          <w:sz w:val="32"/>
          <w:szCs w:val="32"/>
        </w:rPr>
        <w:t xml:space="preserve">12. </w:t>
      </w:r>
      <w:r>
        <w:rPr>
          <w:rFonts w:hint="eastAsia" w:ascii="Calibri" w:hAnsi="Calibri"/>
          <w:b/>
          <w:kern w:val="2"/>
          <w:sz w:val="32"/>
          <w:szCs w:val="32"/>
        </w:rPr>
        <w:t>城乡社区支出（类）城乡社区公共设施（款）小城镇基础设施建设（项）</w:t>
      </w:r>
      <w:r>
        <w:rPr>
          <w:rFonts w:hint="eastAsia" w:ascii="Times New Roman"/>
          <w:b/>
          <w:kern w:val="2"/>
          <w:sz w:val="32"/>
          <w:szCs w:val="32"/>
        </w:rPr>
        <w:t>:</w:t>
      </w:r>
      <w:r>
        <w:rPr>
          <w:rStyle w:val="18"/>
          <w:rFonts w:hint="eastAsia" w:ascii="仿宋" w:hAnsi="仿宋" w:eastAsia="仿宋"/>
          <w:b w:val="0"/>
          <w:bCs/>
          <w:sz w:val="32"/>
          <w:szCs w:val="32"/>
        </w:rPr>
        <w:t>反映用于小城镇路、气、水、电等基础建设方面的支出</w:t>
      </w:r>
    </w:p>
    <w:p>
      <w:pPr>
        <w:ind w:firstLine="643" w:firstLineChars="200"/>
        <w:rPr>
          <w:rStyle w:val="18"/>
          <w:rFonts w:ascii="仿宋" w:hAnsi="仿宋" w:eastAsia="仿宋"/>
          <w:b w:val="0"/>
          <w:bCs/>
          <w:sz w:val="32"/>
          <w:szCs w:val="32"/>
        </w:rPr>
      </w:pPr>
      <w:r>
        <w:rPr>
          <w:rFonts w:hint="eastAsia" w:eastAsia="仿宋_GB2312"/>
          <w:b/>
          <w:sz w:val="32"/>
          <w:szCs w:val="32"/>
        </w:rPr>
        <w:t>13. 城乡社区支出（类）城乡社区环境卫生（款）城乡社区环境卫生（项）:</w:t>
      </w:r>
      <w:r>
        <w:rPr>
          <w:rStyle w:val="18"/>
          <w:rFonts w:hint="eastAsia" w:ascii="仿宋" w:hAnsi="仿宋" w:eastAsia="仿宋"/>
          <w:b w:val="0"/>
          <w:bCs/>
          <w:sz w:val="32"/>
          <w:szCs w:val="32"/>
        </w:rPr>
        <w:t>反映城乡社区道路清扫、垃圾清运与处理、公厕建设与维护、园林绿化等方面的支出。</w:t>
      </w:r>
    </w:p>
    <w:p>
      <w:pPr>
        <w:pStyle w:val="27"/>
        <w:rPr>
          <w:rStyle w:val="18"/>
          <w:rFonts w:hAnsi="仿宋" w:cs="Times New Roman"/>
          <w:b w:val="0"/>
          <w:bCs/>
          <w:color w:val="auto"/>
          <w:kern w:val="2"/>
          <w:sz w:val="32"/>
          <w:szCs w:val="32"/>
        </w:rPr>
      </w:pPr>
      <w:r>
        <w:rPr>
          <w:rStyle w:val="18"/>
          <w:rFonts w:hint="eastAsia" w:hAnsi="仿宋"/>
          <w:b w:val="0"/>
          <w:bCs/>
          <w:sz w:val="32"/>
          <w:szCs w:val="32"/>
        </w:rPr>
        <w:t xml:space="preserve">  </w:t>
      </w:r>
      <w:r>
        <w:rPr>
          <w:rFonts w:hint="eastAsia" w:ascii="Calibri" w:eastAsia="仿宋_GB2312" w:cs="Times New Roman"/>
          <w:b/>
          <w:color w:val="auto"/>
          <w:kern w:val="2"/>
          <w:sz w:val="32"/>
          <w:szCs w:val="32"/>
        </w:rPr>
        <w:t xml:space="preserve">  14.</w:t>
      </w:r>
      <w:r>
        <w:rPr>
          <w:rFonts w:hint="eastAsia" w:eastAsia="仿宋_GB2312"/>
          <w:b/>
          <w:sz w:val="32"/>
          <w:szCs w:val="32"/>
        </w:rPr>
        <w:t>城乡社区支出</w:t>
      </w:r>
      <w:r>
        <w:rPr>
          <w:rFonts w:hint="eastAsia" w:hAnsi="仿宋"/>
          <w:b/>
          <w:sz w:val="32"/>
          <w:szCs w:val="32"/>
        </w:rPr>
        <w:t>（类）城乡社区管理事务（款）一般行政管理事务</w:t>
      </w:r>
      <w:r>
        <w:rPr>
          <w:rStyle w:val="18"/>
          <w:rFonts w:hint="eastAsia" w:hAnsi="仿宋"/>
          <w:bCs/>
          <w:sz w:val="32"/>
          <w:szCs w:val="32"/>
        </w:rPr>
        <w:t>（项）：</w:t>
      </w:r>
      <w:r>
        <w:rPr>
          <w:rStyle w:val="18"/>
          <w:rFonts w:hint="eastAsia" w:hAnsi="仿宋" w:cs="Times New Roman"/>
          <w:b w:val="0"/>
          <w:bCs/>
          <w:color w:val="auto"/>
          <w:kern w:val="2"/>
          <w:sz w:val="32"/>
          <w:szCs w:val="32"/>
        </w:rPr>
        <w:t>反映行政单位（包括实施公务员管理的事业单位）未单独设置项级科目的其他项目支出。</w:t>
      </w:r>
    </w:p>
    <w:p>
      <w:pPr>
        <w:pStyle w:val="27"/>
        <w:ind w:firstLine="643" w:firstLineChars="200"/>
        <w:rPr>
          <w:rStyle w:val="18"/>
          <w:rFonts w:hAnsi="仿宋" w:cs="Times New Roman"/>
          <w:b w:val="0"/>
          <w:bCs/>
          <w:color w:val="auto"/>
          <w:kern w:val="2"/>
          <w:sz w:val="32"/>
          <w:szCs w:val="32"/>
        </w:rPr>
      </w:pPr>
      <w:r>
        <w:rPr>
          <w:rFonts w:hint="eastAsia" w:eastAsia="仿宋_GB2312"/>
          <w:b/>
          <w:sz w:val="32"/>
          <w:szCs w:val="32"/>
        </w:rPr>
        <w:t>15.住房保障支出（类）保障性安居工程支出（款）老旧小区改造（项）：</w:t>
      </w:r>
      <w:r>
        <w:rPr>
          <w:rFonts w:hint="eastAsia" w:ascii="仿宋_GB2312" w:eastAsia="仿宋_GB2312"/>
          <w:sz w:val="32"/>
          <w:szCs w:val="32"/>
        </w:rPr>
        <w:t>反映用于老旧小区改造方面的支出。</w:t>
      </w:r>
    </w:p>
    <w:p>
      <w:pPr>
        <w:spacing w:line="560" w:lineRule="exact"/>
        <w:ind w:firstLine="643" w:firstLineChars="200"/>
        <w:rPr>
          <w:rFonts w:eastAsia="仿宋_GB2312"/>
          <w:sz w:val="32"/>
          <w:szCs w:val="32"/>
        </w:rPr>
      </w:pPr>
      <w:r>
        <w:rPr>
          <w:rFonts w:hint="eastAsia" w:eastAsia="仿宋_GB2312"/>
          <w:b/>
          <w:sz w:val="32"/>
          <w:szCs w:val="32"/>
        </w:rPr>
        <w:t>16</w:t>
      </w:r>
      <w:r>
        <w:rPr>
          <w:rFonts w:eastAsia="仿宋_GB2312"/>
          <w:b/>
          <w:sz w:val="32"/>
          <w:szCs w:val="32"/>
        </w:rPr>
        <w:t>.基本支出：</w:t>
      </w:r>
      <w:r>
        <w:rPr>
          <w:rFonts w:eastAsia="仿宋_GB2312"/>
          <w:sz w:val="32"/>
          <w:szCs w:val="32"/>
        </w:rPr>
        <w:t>指为保障机构正常运转、完成日常工作任务而发生的人员支出和公用支出。</w:t>
      </w:r>
    </w:p>
    <w:p>
      <w:pPr>
        <w:spacing w:line="560" w:lineRule="exact"/>
        <w:ind w:firstLine="643" w:firstLineChars="200"/>
        <w:rPr>
          <w:rFonts w:eastAsia="仿宋_GB2312"/>
          <w:sz w:val="32"/>
          <w:szCs w:val="32"/>
        </w:rPr>
      </w:pPr>
      <w:r>
        <w:rPr>
          <w:rFonts w:hint="eastAsia" w:eastAsia="仿宋_GB2312"/>
          <w:b/>
          <w:sz w:val="32"/>
          <w:szCs w:val="32"/>
        </w:rPr>
        <w:t>17</w:t>
      </w:r>
      <w:r>
        <w:rPr>
          <w:rFonts w:eastAsia="仿宋_GB2312"/>
          <w:b/>
          <w:sz w:val="32"/>
          <w:szCs w:val="32"/>
        </w:rPr>
        <w:t>.项目支出：</w:t>
      </w:r>
      <w:r>
        <w:rPr>
          <w:rFonts w:eastAsia="仿宋_GB2312"/>
          <w:sz w:val="32"/>
          <w:szCs w:val="32"/>
        </w:rPr>
        <w:t xml:space="preserve">指在基本支出之外为完成特定行政任务和事业发展目标所发生的支出。 </w:t>
      </w:r>
    </w:p>
    <w:p>
      <w:pPr>
        <w:spacing w:line="560" w:lineRule="exact"/>
        <w:ind w:firstLine="643" w:firstLineChars="200"/>
        <w:rPr>
          <w:rFonts w:eastAsia="仿宋_GB2312"/>
          <w:sz w:val="32"/>
          <w:szCs w:val="32"/>
        </w:rPr>
      </w:pPr>
      <w:r>
        <w:rPr>
          <w:rFonts w:hint="eastAsia" w:eastAsia="仿宋_GB2312"/>
          <w:b/>
          <w:sz w:val="32"/>
          <w:szCs w:val="32"/>
        </w:rPr>
        <w:t>18</w:t>
      </w:r>
      <w:r>
        <w:rPr>
          <w:rFonts w:eastAsia="仿宋_GB2312"/>
          <w:b/>
          <w:sz w:val="32"/>
          <w:szCs w:val="32"/>
        </w:rPr>
        <w:t>.“三公”经费：</w:t>
      </w:r>
      <w:r>
        <w:rPr>
          <w:rFonts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w:t>
      </w:r>
      <w:r>
        <w:rPr>
          <w:rFonts w:hint="eastAsia" w:eastAsia="仿宋_GB2312"/>
          <w:sz w:val="32"/>
          <w:szCs w:val="32"/>
        </w:rPr>
        <w:t>、安全奖励费用</w:t>
      </w:r>
      <w:r>
        <w:rPr>
          <w:rFonts w:eastAsia="仿宋_GB2312"/>
          <w:sz w:val="32"/>
          <w:szCs w:val="32"/>
        </w:rPr>
        <w:t>等支出；公务接待费反映单位按规定开支的各类公务接待（含外宾接待）支出。</w:t>
      </w:r>
    </w:p>
    <w:p>
      <w:pPr>
        <w:spacing w:line="600" w:lineRule="exact"/>
        <w:ind w:firstLine="640"/>
        <w:rPr>
          <w:rFonts w:eastAsia="仿宋_GB2312"/>
          <w:sz w:val="32"/>
          <w:szCs w:val="32"/>
        </w:rPr>
      </w:pPr>
      <w:r>
        <w:rPr>
          <w:rFonts w:hint="eastAsia" w:eastAsia="仿宋_GB2312"/>
          <w:b/>
          <w:sz w:val="32"/>
          <w:szCs w:val="32"/>
        </w:rPr>
        <w:t>18</w:t>
      </w:r>
      <w:r>
        <w:rPr>
          <w:rFonts w:eastAsia="仿宋_GB2312"/>
          <w:b/>
          <w:sz w:val="32"/>
          <w:szCs w:val="32"/>
        </w:rPr>
        <w:t>.机关运行经费：</w:t>
      </w:r>
      <w:r>
        <w:rPr>
          <w:rFonts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pStyle w:val="3"/>
        <w:jc w:val="center"/>
      </w:pPr>
      <w:bookmarkStart w:id="83" w:name="_Toc211940867"/>
      <w:r>
        <w:rPr>
          <w:rFonts w:hint="eastAsia"/>
        </w:rPr>
        <w:t>第四部分  附件</w:t>
      </w:r>
      <w:bookmarkEnd w:id="81"/>
      <w:bookmarkEnd w:id="83"/>
    </w:p>
    <w:p>
      <w:pPr>
        <w:spacing w:line="572" w:lineRule="exact"/>
        <w:jc w:val="left"/>
        <w:outlineLvl w:val="0"/>
        <w:rPr>
          <w:rFonts w:eastAsia="黑体" w:cs="黑体"/>
          <w:color w:val="FF0000"/>
          <w:sz w:val="32"/>
          <w:szCs w:val="32"/>
        </w:rPr>
      </w:pPr>
    </w:p>
    <w:p>
      <w:pPr>
        <w:spacing w:line="572" w:lineRule="exact"/>
        <w:jc w:val="left"/>
        <w:outlineLvl w:val="0"/>
        <w:rPr>
          <w:rFonts w:eastAsia="黑体" w:cs="方正小标宋简体"/>
          <w:sz w:val="44"/>
          <w:szCs w:val="44"/>
        </w:rPr>
      </w:pPr>
      <w:bookmarkStart w:id="84" w:name="_Toc211940868"/>
      <w:r>
        <w:rPr>
          <w:rFonts w:hint="eastAsia" w:eastAsia="黑体" w:cs="黑体"/>
          <w:sz w:val="32"/>
          <w:szCs w:val="32"/>
        </w:rPr>
        <w:t>附件1</w:t>
      </w:r>
      <w:bookmarkEnd w:id="84"/>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rPr>
        <w:t>盐边县综合行政执法局</w:t>
      </w:r>
    </w:p>
    <w:p>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rPr>
        <w:t>2024年</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pStyle w:val="20"/>
        <w:ind w:firstLine="643" w:firstLineChars="200"/>
        <w:rPr>
          <w:rFonts w:ascii="Times New Roman" w:hAnsi="Times New Roman" w:eastAsia="楷体_GB2312" w:cs="楷体_GB2312"/>
          <w:b/>
          <w:color w:val="auto"/>
          <w:sz w:val="32"/>
          <w:szCs w:val="32"/>
          <w:lang w:val="zh-CN"/>
        </w:rPr>
      </w:pPr>
      <w:r>
        <w:rPr>
          <w:rFonts w:hint="eastAsia" w:ascii="Times New Roman" w:hAnsi="Times New Roman" w:eastAsia="楷体_GB2312" w:cs="楷体_GB2312"/>
          <w:b/>
          <w:color w:val="auto"/>
          <w:sz w:val="32"/>
          <w:szCs w:val="32"/>
          <w:lang w:val="zh-CN"/>
        </w:rPr>
        <w:t>（一）</w:t>
      </w:r>
      <w:r>
        <w:rPr>
          <w:rFonts w:ascii="Times New Roman" w:hAnsi="Times New Roman" w:eastAsia="楷体_GB2312" w:cs="楷体_GB2312"/>
          <w:b/>
          <w:color w:val="auto"/>
          <w:sz w:val="32"/>
          <w:szCs w:val="32"/>
          <w:lang w:val="zh-CN"/>
        </w:rPr>
        <w:t>机构组成。</w:t>
      </w:r>
    </w:p>
    <w:p>
      <w:pPr>
        <w:pStyle w:val="20"/>
        <w:ind w:firstLine="640" w:firstLineChars="200"/>
        <w:rPr>
          <w:lang w:val="zh-CN"/>
        </w:rPr>
      </w:pPr>
      <w:r>
        <w:rPr>
          <w:rFonts w:hint="eastAsia" w:ascii="仿宋_GB2312" w:hAnsi="宋体" w:eastAsia="仿宋_GB2312" w:cs="仿宋_GB2312"/>
          <w:kern w:val="0"/>
          <w:sz w:val="32"/>
          <w:szCs w:val="32"/>
          <w:shd w:val="clear" w:color="auto" w:fill="FFFFFF"/>
          <w:lang w:val="zh-CN"/>
        </w:rPr>
        <w:t>盐边县综合行政执法局下设股室：办公室、业务股，下属事业单位：盐边县城市管理综合行政执法大队、盐边县数字化城市联动指挥中心。</w:t>
      </w:r>
    </w:p>
    <w:p>
      <w:pPr>
        <w:widowControl/>
        <w:adjustRightInd w:val="0"/>
        <w:snapToGrid w:val="0"/>
        <w:spacing w:line="560" w:lineRule="exact"/>
        <w:ind w:firstLine="643" w:firstLineChars="200"/>
        <w:contextualSpacing/>
        <w:rPr>
          <w:rFonts w:eastAsia="楷体_GB2312"/>
          <w:color w:val="000000"/>
          <w:kern w:val="0"/>
          <w:szCs w:val="32"/>
          <w:shd w:val="clear" w:color="auto" w:fill="FFFFFF"/>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ascii="仿宋_GB2312" w:hAnsi="宋体" w:eastAsia="仿宋_GB2312" w:cs="仿宋_GB2312"/>
          <w:sz w:val="32"/>
          <w:szCs w:val="32"/>
          <w:shd w:val="clear" w:color="auto" w:fill="FFFFFF"/>
          <w:lang w:val="zh-CN"/>
        </w:rPr>
        <w:t>参与拟订城市管理地方性法规、规章草案。拟订全县综合行政执法和城市管理发展规划、实施计划、管理标准等规范性文件。会同相关部门拟订综合行政执法和城市管理工作目标并组织实施。负责综合行政执法工作。行使市容环境卫生管理、城市绿化管理、市政设施管理、公用事业管理方面的行政处罚权。根据省、市部署和要求，推进综合执法改革，改进城市管理工作。负责城市市容环境卫生综合管理工作。依法对城市市容环境卫生实施监督检查和考核。负责环境卫生作业企业的行业管理。负责城市建城区户外广告和招牌的监督管理。负责全县市政公用设施综合管理工作。拟订市政公用设施发展计划并组织实施。负责对城市道路、城市道路桥涵、隧洞、城市照明及其附属设施等市政基础设施的行业指导及监督管理工作。参与临时占用城市道路的机动车、非机动车停车场（点）的规划定点工作。负责事权内建成区城市主干道、城市主干道桥涵、隧道、城市照明、景观照明及其附属设施和城市雕塑的维护和管理工作。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负责城市规划区古树名木的保护管理工作。负责对权限内园林绿化企业监督管理工作。负责城市供水、城市排水、城市节约用水、污水处理和再生水利用的行业指导和监督管理工作。组织协调拟订城市供水、城市排水、污水处理和再生水利用规划。拟订城市供排水行业的服务标准并监督实施。负责城市供水、城市排水管网的监督管理。参与城市建设中供排水管线改（扩）建项目的规划及审批工作。（七）负责燃气行业综合管理工作。拟订燃气行业发展规划并组织实施。监督指导燃气经营单位落实行业规范、标准。监督指导燃气工程建设及备案工作。负责推进数字化城市管理和信息化建设，负责民生服务热线12345</w:t>
      </w:r>
      <w:r>
        <w:rPr>
          <w:rFonts w:hint="eastAsia" w:ascii="仿宋_GB2312" w:hAnsi="宋体" w:eastAsia="仿宋_GB2312" w:cs="仿宋_GB2312"/>
          <w:sz w:val="32"/>
          <w:szCs w:val="32"/>
          <w:shd w:val="clear" w:color="auto" w:fill="FFFFFF"/>
          <w:lang w:val="zh-CN"/>
        </w:rPr>
        <w:t>以及多多码</w:t>
      </w:r>
      <w:r>
        <w:rPr>
          <w:rFonts w:ascii="仿宋_GB2312" w:hAnsi="宋体" w:eastAsia="仿宋_GB2312" w:cs="仿宋_GB2312"/>
          <w:sz w:val="32"/>
          <w:szCs w:val="32"/>
          <w:shd w:val="clear" w:color="auto" w:fill="FFFFFF"/>
          <w:lang w:val="zh-CN"/>
        </w:rPr>
        <w:t>的建设和管理工作。拟定综合行政执法和城市管理工作经费的中长期计划和年度计划，会同有关部门对使用情况实施监督管理。参与城市新建、改扩建项目中涉及市容环境卫生、园林绿化、市政公用设施建设项目的规划、方案审查、综合验收。承担职责范围内的安全生产和职业健康、生态环境保护、审批服务便民化等工作。完成县委、县政府交办的其他任务。职能转变。根据“放管服”改革和政府职能转变的要求，推动“最多跑一次”“互联网+政务服务”等改革事项取得重大突破，推进线上线下深度融合。运用大数据精准分析和评估审批服务办件情况，有针对性地改进办理流程，让办事更便捷、服务更优质。强化行业监管和社会监督，解决办事手续繁、效率低问题，提高服务质量。行政处罚权划转后有关职责分工：有关行政处罚权划转后，原行政管理部门的行业监管主体责任不变，继续履行管理事项的日常监督检查、监测、违法行为发现等行政管理职能。城市管理综合行政执法部门定期将执行行政处罚或行政强制的情况反馈相关部门，实现末端执法与源头治理有机结合。</w:t>
      </w:r>
    </w:p>
    <w:p>
      <w:pPr>
        <w:spacing w:line="600" w:lineRule="exact"/>
        <w:ind w:firstLine="643" w:firstLineChars="200"/>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ascii="仿宋_GB2312" w:hAnsi="宋体" w:eastAsia="仿宋_GB2312" w:cs="仿宋_GB2312"/>
          <w:sz w:val="32"/>
          <w:szCs w:val="32"/>
          <w:shd w:val="clear" w:color="auto" w:fill="FFFFFF"/>
          <w:lang w:val="zh-CN"/>
        </w:rPr>
        <w:t>截至2024年末，盐边县综合行政执法局：公务员编制</w:t>
      </w:r>
      <w:r>
        <w:rPr>
          <w:rFonts w:ascii="仿宋_GB2312" w:hAnsi="宋体" w:eastAsia="仿宋_GB2312" w:cs="仿宋_GB2312"/>
          <w:sz w:val="32"/>
          <w:szCs w:val="32"/>
          <w:shd w:val="clear" w:color="auto" w:fill="FFFFFF"/>
        </w:rPr>
        <w:t>4</w:t>
      </w:r>
      <w:r>
        <w:rPr>
          <w:rFonts w:ascii="仿宋_GB2312" w:hAnsi="宋体" w:eastAsia="仿宋_GB2312" w:cs="仿宋_GB2312"/>
          <w:sz w:val="32"/>
          <w:szCs w:val="32"/>
          <w:shd w:val="clear" w:color="auto" w:fill="FFFFFF"/>
          <w:lang w:val="zh-CN"/>
        </w:rPr>
        <w:t>人，实有</w:t>
      </w:r>
      <w:r>
        <w:rPr>
          <w:rFonts w:ascii="仿宋_GB2312" w:hAnsi="宋体" w:eastAsia="仿宋_GB2312" w:cs="仿宋_GB2312"/>
          <w:sz w:val="32"/>
          <w:szCs w:val="32"/>
          <w:shd w:val="clear" w:color="auto" w:fill="FFFFFF"/>
        </w:rPr>
        <w:t>4</w:t>
      </w:r>
      <w:r>
        <w:rPr>
          <w:rFonts w:ascii="仿宋_GB2312" w:hAnsi="宋体" w:eastAsia="仿宋_GB2312" w:cs="仿宋_GB2312"/>
          <w:sz w:val="32"/>
          <w:szCs w:val="32"/>
          <w:shd w:val="clear" w:color="auto" w:fill="FFFFFF"/>
          <w:lang w:val="zh-CN"/>
        </w:rPr>
        <w:t>人（领导班子</w:t>
      </w:r>
      <w:r>
        <w:rPr>
          <w:rFonts w:ascii="仿宋_GB2312" w:hAnsi="宋体" w:eastAsia="仿宋_GB2312" w:cs="仿宋_GB2312"/>
          <w:sz w:val="32"/>
          <w:szCs w:val="32"/>
          <w:shd w:val="clear" w:color="auto" w:fill="FFFFFF"/>
        </w:rPr>
        <w:t>2</w:t>
      </w:r>
      <w:r>
        <w:rPr>
          <w:rFonts w:ascii="仿宋_GB2312" w:hAnsi="宋体" w:eastAsia="仿宋_GB2312" w:cs="仿宋_GB2312"/>
          <w:sz w:val="32"/>
          <w:szCs w:val="32"/>
          <w:shd w:val="clear" w:color="auto" w:fill="FFFFFF"/>
          <w:lang w:val="zh-CN"/>
        </w:rPr>
        <w:t>人、工作人员2人）。下属事业单位：盐边县城市管理综合行政执法大队参公编制</w:t>
      </w:r>
      <w:r>
        <w:rPr>
          <w:rFonts w:ascii="仿宋_GB2312" w:hAnsi="宋体" w:eastAsia="仿宋_GB2312" w:cs="仿宋_GB2312"/>
          <w:sz w:val="32"/>
          <w:szCs w:val="32"/>
          <w:shd w:val="clear" w:color="auto" w:fill="FFFFFF"/>
        </w:rPr>
        <w:t>47人</w:t>
      </w:r>
      <w:r>
        <w:rPr>
          <w:rFonts w:ascii="仿宋_GB2312" w:hAnsi="宋体" w:eastAsia="仿宋_GB2312" w:cs="仿宋_GB2312"/>
          <w:sz w:val="32"/>
          <w:szCs w:val="32"/>
          <w:shd w:val="clear" w:color="auto" w:fill="FFFFFF"/>
          <w:lang w:val="zh-CN"/>
        </w:rPr>
        <w:t>，实有</w:t>
      </w:r>
      <w:r>
        <w:rPr>
          <w:rFonts w:ascii="仿宋_GB2312" w:hAnsi="宋体" w:eastAsia="仿宋_GB2312" w:cs="仿宋_GB2312"/>
          <w:sz w:val="32"/>
          <w:szCs w:val="32"/>
          <w:shd w:val="clear" w:color="auto" w:fill="FFFFFF"/>
        </w:rPr>
        <w:t>42</w:t>
      </w:r>
      <w:r>
        <w:rPr>
          <w:rFonts w:ascii="仿宋_GB2312" w:hAnsi="宋体" w:eastAsia="仿宋_GB2312" w:cs="仿宋_GB2312"/>
          <w:sz w:val="32"/>
          <w:szCs w:val="32"/>
          <w:shd w:val="clear" w:color="auto" w:fill="FFFFFF"/>
          <w:lang w:val="zh-CN"/>
        </w:rPr>
        <w:t>人；盐边县数字化城市联动指挥中心事业编制6人，实有5人（其中2人工勤）。</w:t>
      </w:r>
      <w:r>
        <w:rPr>
          <w:rFonts w:hint="eastAsia" w:eastAsia="仿宋_GB2312"/>
          <w:sz w:val="32"/>
          <w:szCs w:val="32"/>
        </w:rPr>
        <w:t>。</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2024年部门预算安排收入9017.96万元，当</w:t>
      </w:r>
      <w:r>
        <w:rPr>
          <w:rFonts w:hint="eastAsia" w:ascii="仿宋_GB2312" w:hAnsi="宋体" w:eastAsia="仿宋_GB2312" w:cs="仿宋_GB2312"/>
          <w:color w:val="000000"/>
          <w:sz w:val="32"/>
          <w:szCs w:val="32"/>
          <w:shd w:val="clear" w:color="auto" w:fill="FFFFFF"/>
          <w:lang w:val="zh-CN"/>
        </w:rPr>
        <w:t>年实际调增调减后</w:t>
      </w:r>
      <w:r>
        <w:rPr>
          <w:rFonts w:hint="eastAsia" w:ascii="仿宋_GB2312" w:hAnsi="宋体" w:eastAsia="仿宋_GB2312" w:cs="仿宋_GB2312"/>
          <w:color w:val="000000"/>
          <w:sz w:val="32"/>
          <w:szCs w:val="32"/>
          <w:shd w:val="clear" w:color="auto" w:fill="FFFFFF"/>
        </w:rPr>
        <w:t>财政</w:t>
      </w:r>
      <w:r>
        <w:rPr>
          <w:rFonts w:hint="eastAsia" w:ascii="仿宋_GB2312" w:hAnsi="宋体" w:eastAsia="仿宋_GB2312" w:cs="仿宋_GB2312"/>
          <w:color w:val="000000"/>
          <w:sz w:val="32"/>
          <w:szCs w:val="32"/>
          <w:shd w:val="clear" w:color="auto" w:fill="FFFFFF"/>
          <w:lang w:val="zh-CN"/>
        </w:rPr>
        <w:t>资金收入为</w:t>
      </w:r>
      <w:r>
        <w:rPr>
          <w:rFonts w:hint="eastAsia" w:ascii="仿宋_GB2312" w:hAnsi="宋体" w:eastAsia="仿宋_GB2312" w:cs="仿宋_GB2312"/>
          <w:color w:val="000000"/>
          <w:sz w:val="32"/>
          <w:szCs w:val="32"/>
          <w:shd w:val="clear" w:color="auto" w:fill="FFFFFF"/>
        </w:rPr>
        <w:t>7413.25</w:t>
      </w:r>
      <w:r>
        <w:rPr>
          <w:rFonts w:hint="eastAsia" w:ascii="仿宋_GB2312" w:hAnsi="宋体" w:eastAsia="仿宋_GB2312" w:cs="仿宋_GB2312"/>
          <w:color w:val="000000"/>
          <w:sz w:val="32"/>
          <w:szCs w:val="32"/>
          <w:shd w:val="clear" w:color="auto" w:fill="FFFFFF"/>
          <w:lang w:val="zh-CN"/>
        </w:rPr>
        <w:t>万元</w:t>
      </w:r>
      <w:r>
        <w:rPr>
          <w:rFonts w:hint="eastAsia" w:ascii="仿宋_GB2312" w:hAnsi="宋体" w:eastAsia="仿宋_GB2312" w:cs="仿宋_GB2312"/>
          <w:color w:val="000000"/>
          <w:sz w:val="32"/>
          <w:szCs w:val="32"/>
          <w:shd w:val="clear" w:color="auto" w:fill="FFFFFF"/>
        </w:rPr>
        <w:t>。</w:t>
      </w:r>
    </w:p>
    <w:p>
      <w:pPr>
        <w:widowControl/>
        <w:numPr>
          <w:ilvl w:val="0"/>
          <w:numId w:val="3"/>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ascii="仿宋_GB2312" w:hAnsi="仿宋_GB2312" w:eastAsia="仿宋_GB2312"/>
          <w:color w:val="000000"/>
          <w:sz w:val="32"/>
          <w:szCs w:val="32"/>
        </w:rPr>
      </w:pPr>
      <w:r>
        <w:rPr>
          <w:rFonts w:hint="eastAsia" w:ascii="仿宋_GB2312" w:hAnsi="仿宋_GB2312" w:eastAsia="仿宋_GB2312"/>
          <w:color w:val="000000"/>
          <w:sz w:val="32"/>
          <w:szCs w:val="32"/>
        </w:rPr>
        <w:t>20</w:t>
      </w:r>
      <w:r>
        <w:rPr>
          <w:rFonts w:hint="eastAsia" w:ascii="仿宋_GB2312" w:hAnsi="仿宋_GB2312"/>
          <w:color w:val="000000"/>
          <w:sz w:val="32"/>
          <w:szCs w:val="32"/>
        </w:rPr>
        <w:t>24</w:t>
      </w:r>
      <w:r>
        <w:rPr>
          <w:rFonts w:hint="eastAsia" w:ascii="仿宋_GB2312" w:hAnsi="仿宋_GB2312" w:eastAsia="仿宋_GB2312"/>
          <w:color w:val="000000"/>
          <w:sz w:val="32"/>
          <w:szCs w:val="32"/>
        </w:rPr>
        <w:t>年全年部门财政资金支出</w:t>
      </w:r>
      <w:r>
        <w:rPr>
          <w:rFonts w:hint="eastAsia" w:ascii="仿宋" w:hAnsi="仿宋" w:eastAsia="仿宋" w:cs="仿宋"/>
          <w:sz w:val="32"/>
          <w:szCs w:val="32"/>
        </w:rPr>
        <w:t>7413.25</w:t>
      </w:r>
      <w:r>
        <w:rPr>
          <w:rFonts w:hint="eastAsia" w:ascii="仿宋_GB2312" w:hAnsi="仿宋_GB2312" w:eastAsia="仿宋_GB2312"/>
          <w:color w:val="000000"/>
          <w:sz w:val="32"/>
          <w:szCs w:val="32"/>
        </w:rPr>
        <w:t>万元.</w:t>
      </w:r>
    </w:p>
    <w:p>
      <w:pPr>
        <w:widowControl/>
        <w:numPr>
          <w:ilvl w:val="0"/>
          <w:numId w:val="3"/>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eastAsia="仿宋_GB2312"/>
          <w:color w:val="000000" w:themeColor="text1"/>
          <w:kern w:val="0"/>
          <w:szCs w:val="32"/>
          <w:shd w:val="clear" w:color="auto" w:fill="FFFFFF"/>
          <w:lang w:val="zh-CN"/>
        </w:rPr>
      </w:pPr>
      <w:r>
        <w:rPr>
          <w:rFonts w:hint="eastAsia" w:ascii="仿宋_GB2312" w:hAnsi="宋体" w:eastAsia="仿宋_GB2312" w:cs="仿宋_GB2312"/>
          <w:color w:val="000000"/>
          <w:sz w:val="32"/>
          <w:szCs w:val="32"/>
          <w:shd w:val="clear" w:color="auto" w:fill="FFFFFF"/>
        </w:rPr>
        <w:t>2024年我单位无</w:t>
      </w:r>
      <w:r>
        <w:rPr>
          <w:rFonts w:ascii="仿宋_GB2312" w:hAnsi="宋体" w:eastAsia="仿宋_GB2312" w:cs="仿宋_GB2312"/>
          <w:color w:val="000000"/>
          <w:sz w:val="32"/>
          <w:szCs w:val="32"/>
          <w:shd w:val="clear" w:color="auto" w:fill="FFFFFF"/>
        </w:rPr>
        <w:t>结转结余。</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pPr>
        <w:widowControl/>
        <w:adjustRightInd w:val="0"/>
        <w:snapToGrid w:val="0"/>
        <w:spacing w:line="560" w:lineRule="exact"/>
        <w:ind w:firstLine="640" w:firstLineChars="200"/>
        <w:contextualSpacing/>
        <w:jc w:val="left"/>
        <w:rPr>
          <w:rFonts w:eastAsia="仿宋_GB2312"/>
          <w:sz w:val="32"/>
          <w:szCs w:val="32"/>
        </w:rPr>
      </w:pPr>
      <w:r>
        <w:rPr>
          <w:rFonts w:hint="eastAsia" w:eastAsia="仿宋_GB2312" w:cs="仿宋_GB2312"/>
          <w:sz w:val="32"/>
          <w:szCs w:val="32"/>
        </w:rPr>
        <w:t>1.</w:t>
      </w:r>
      <w:r>
        <w:rPr>
          <w:rFonts w:hint="eastAsia" w:eastAsia="仿宋_GB2312" w:cs="仿宋_GB2312"/>
          <w:sz w:val="32"/>
          <w:szCs w:val="32"/>
          <w:lang w:val="zh-CN"/>
        </w:rPr>
        <w:t>履职效能。</w:t>
      </w:r>
      <w:r>
        <w:rPr>
          <w:rFonts w:hint="eastAsia" w:eastAsia="仿宋_GB2312"/>
          <w:sz w:val="32"/>
          <w:szCs w:val="32"/>
        </w:rPr>
        <w:t>2024年</w:t>
      </w:r>
      <w:r>
        <w:rPr>
          <w:rFonts w:hint="eastAsia" w:eastAsia="仿宋_GB2312"/>
          <w:sz w:val="32"/>
          <w:szCs w:val="32"/>
          <w:lang w:val="zh-CN"/>
        </w:rPr>
        <w:t>预算资金项目支出</w:t>
      </w:r>
      <w:r>
        <w:rPr>
          <w:rFonts w:hint="eastAsia" w:eastAsia="仿宋_GB2312"/>
          <w:sz w:val="32"/>
          <w:szCs w:val="32"/>
        </w:rPr>
        <w:t>6709.86</w:t>
      </w:r>
      <w:r>
        <w:rPr>
          <w:rFonts w:hint="eastAsia" w:eastAsia="仿宋_GB2312"/>
          <w:sz w:val="32"/>
          <w:szCs w:val="32"/>
          <w:lang w:val="zh-CN"/>
        </w:rPr>
        <w:t>万元，</w:t>
      </w:r>
      <w:r>
        <w:rPr>
          <w:rFonts w:hint="eastAsia" w:eastAsia="仿宋_GB2312"/>
          <w:sz w:val="32"/>
          <w:szCs w:val="32"/>
        </w:rPr>
        <w:t>有力保障了市容环境卫生管理、绿化监督管理、燃气管道建设，发挥执法优势、强化担当，为实现共同富裕提供了坚强后备保证。</w:t>
      </w:r>
    </w:p>
    <w:p>
      <w:pPr>
        <w:widowControl/>
        <w:adjustRightInd w:val="0"/>
        <w:snapToGrid w:val="0"/>
        <w:spacing w:line="560" w:lineRule="exact"/>
        <w:ind w:firstLine="640" w:firstLineChars="200"/>
        <w:contextualSpacing/>
        <w:jc w:val="left"/>
        <w:rPr>
          <w:rFonts w:eastAsia="仿宋_GB2312"/>
          <w:sz w:val="32"/>
          <w:szCs w:val="32"/>
        </w:rPr>
      </w:pPr>
      <w:r>
        <w:rPr>
          <w:rFonts w:hint="eastAsia" w:eastAsia="仿宋_GB2312" w:cs="仿宋_GB2312"/>
          <w:sz w:val="32"/>
          <w:szCs w:val="32"/>
        </w:rPr>
        <w:t>2.</w:t>
      </w:r>
      <w:r>
        <w:rPr>
          <w:rFonts w:hint="eastAsia" w:eastAsia="仿宋_GB2312" w:cs="仿宋_GB2312"/>
          <w:sz w:val="32"/>
          <w:szCs w:val="32"/>
          <w:lang w:val="zh-CN"/>
        </w:rPr>
        <w:t>预算管理。</w:t>
      </w:r>
      <w:r>
        <w:rPr>
          <w:rFonts w:hint="eastAsia" w:eastAsia="仿宋_GB2312"/>
          <w:sz w:val="32"/>
          <w:szCs w:val="32"/>
          <w:lang w:val="zh-CN"/>
        </w:rPr>
        <w:t>根据单位</w:t>
      </w:r>
      <w:r>
        <w:rPr>
          <w:rFonts w:hint="eastAsia" w:eastAsia="仿宋_GB2312"/>
          <w:sz w:val="32"/>
          <w:szCs w:val="32"/>
        </w:rPr>
        <w:t>2024年</w:t>
      </w:r>
      <w:r>
        <w:rPr>
          <w:rFonts w:hint="eastAsia" w:eastAsia="仿宋_GB2312"/>
          <w:sz w:val="32"/>
          <w:szCs w:val="32"/>
          <w:lang w:val="zh-CN"/>
        </w:rPr>
        <w:t>工作计划以及维持单位基本运转情况，科学预算编制，收入统筹兼顾，严格控制一般性支出，</w:t>
      </w:r>
      <w:r>
        <w:rPr>
          <w:rFonts w:hint="eastAsia" w:eastAsia="仿宋_GB2312"/>
          <w:sz w:val="32"/>
          <w:szCs w:val="32"/>
        </w:rPr>
        <w:t>预算执行进度与各项工作进度适时跟进，有效配合，努力实现了资金效率的最大化。</w:t>
      </w:r>
    </w:p>
    <w:p>
      <w:pPr>
        <w:adjustRightInd w:val="0"/>
        <w:snapToGrid w:val="0"/>
        <w:spacing w:line="578" w:lineRule="exact"/>
        <w:ind w:firstLine="640" w:firstLineChars="200"/>
        <w:contextualSpacing/>
        <w:jc w:val="left"/>
        <w:rPr>
          <w:rFonts w:eastAsia="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财务管理。</w:t>
      </w:r>
      <w:r>
        <w:rPr>
          <w:rFonts w:hint="eastAsia" w:eastAsia="仿宋_GB2312"/>
          <w:sz w:val="32"/>
          <w:szCs w:val="32"/>
          <w:lang w:val="zh-CN"/>
        </w:rPr>
        <w:t>严格执行部机关财务管理制度，全面、正确、及时反映资金使用情况，适时分析财务计划和预算执行情况，合理使用资金，厉行节约，加强会计核算工作，保证资金安全完整，严格执行《会计法》，严格执行财务岗位设置不相容原则。</w:t>
      </w:r>
    </w:p>
    <w:p>
      <w:pPr>
        <w:widowControl/>
        <w:overflowPunct w:val="0"/>
        <w:adjustRightInd w:val="0"/>
        <w:snapToGrid w:val="0"/>
        <w:spacing w:line="600" w:lineRule="exact"/>
        <w:ind w:firstLine="640" w:firstLineChars="200"/>
        <w:contextualSpacing/>
        <w:jc w:val="left"/>
        <w:rPr>
          <w:rFonts w:eastAsia="仿宋_GB2312"/>
          <w:sz w:val="32"/>
          <w:szCs w:val="32"/>
        </w:rPr>
      </w:pPr>
      <w:r>
        <w:rPr>
          <w:rFonts w:hint="eastAsia" w:eastAsia="仿宋_GB2312" w:cs="仿宋_GB2312"/>
          <w:sz w:val="32"/>
          <w:szCs w:val="32"/>
        </w:rPr>
        <w:t>4.</w:t>
      </w:r>
      <w:r>
        <w:rPr>
          <w:rFonts w:hint="eastAsia" w:eastAsia="仿宋_GB2312" w:cs="仿宋_GB2312"/>
          <w:sz w:val="32"/>
          <w:szCs w:val="32"/>
          <w:lang w:val="zh-CN"/>
        </w:rPr>
        <w:t>资产管理。</w:t>
      </w:r>
      <w:r>
        <w:rPr>
          <w:rFonts w:eastAsia="仿宋_GB2312"/>
          <w:sz w:val="32"/>
          <w:szCs w:val="32"/>
        </w:rPr>
        <w:t>2024年末，我局资产合计</w:t>
      </w:r>
      <w:r>
        <w:rPr>
          <w:rFonts w:hint="eastAsia" w:eastAsia="仿宋_GB2312"/>
          <w:sz w:val="32"/>
          <w:szCs w:val="32"/>
        </w:rPr>
        <w:t>666.67</w:t>
      </w:r>
      <w:r>
        <w:rPr>
          <w:rFonts w:eastAsia="仿宋_GB2312"/>
          <w:sz w:val="32"/>
          <w:szCs w:val="32"/>
        </w:rPr>
        <w:t>万元，在职人数</w:t>
      </w:r>
      <w:r>
        <w:rPr>
          <w:rFonts w:hint="eastAsia" w:eastAsia="仿宋_GB2312"/>
          <w:sz w:val="32"/>
          <w:szCs w:val="32"/>
        </w:rPr>
        <w:t>51</w:t>
      </w:r>
      <w:r>
        <w:rPr>
          <w:rFonts w:eastAsia="仿宋_GB2312"/>
          <w:sz w:val="32"/>
          <w:szCs w:val="32"/>
        </w:rPr>
        <w:t>人，人均资产为</w:t>
      </w:r>
      <w:r>
        <w:rPr>
          <w:rFonts w:hint="eastAsia" w:eastAsia="仿宋_GB2312"/>
          <w:sz w:val="32"/>
          <w:szCs w:val="32"/>
        </w:rPr>
        <w:t>13.07</w:t>
      </w:r>
      <w:r>
        <w:rPr>
          <w:rFonts w:eastAsia="仿宋_GB2312"/>
          <w:sz w:val="32"/>
          <w:szCs w:val="32"/>
        </w:rPr>
        <w:t>万元；2023年末资产合计</w:t>
      </w:r>
      <w:r>
        <w:rPr>
          <w:rFonts w:hint="eastAsia" w:eastAsia="仿宋_GB2312"/>
          <w:sz w:val="32"/>
          <w:szCs w:val="32"/>
        </w:rPr>
        <w:t>661.6</w:t>
      </w:r>
      <w:r>
        <w:rPr>
          <w:rFonts w:eastAsia="仿宋_GB2312"/>
          <w:sz w:val="32"/>
          <w:szCs w:val="32"/>
        </w:rPr>
        <w:t>万元，在职人数</w:t>
      </w:r>
      <w:r>
        <w:rPr>
          <w:rFonts w:hint="eastAsia" w:eastAsia="仿宋_GB2312"/>
          <w:sz w:val="32"/>
          <w:szCs w:val="32"/>
        </w:rPr>
        <w:t>35</w:t>
      </w:r>
      <w:r>
        <w:rPr>
          <w:rFonts w:eastAsia="仿宋_GB2312"/>
          <w:sz w:val="32"/>
          <w:szCs w:val="32"/>
        </w:rPr>
        <w:t>人；</w:t>
      </w:r>
      <w:r>
        <w:rPr>
          <w:rFonts w:hint="eastAsia" w:eastAsia="仿宋_GB2312"/>
          <w:sz w:val="32"/>
          <w:szCs w:val="32"/>
        </w:rPr>
        <w:t>人均资产为18.9万元。</w:t>
      </w:r>
      <w:r>
        <w:rPr>
          <w:rFonts w:eastAsia="仿宋_GB2312"/>
          <w:sz w:val="32"/>
          <w:szCs w:val="32"/>
        </w:rPr>
        <w:t>人均资产变化率为-</w:t>
      </w:r>
      <w:r>
        <w:rPr>
          <w:rFonts w:hint="eastAsia" w:eastAsia="仿宋_GB2312"/>
          <w:sz w:val="32"/>
          <w:szCs w:val="32"/>
        </w:rPr>
        <w:t>30.85</w:t>
      </w:r>
      <w:r>
        <w:rPr>
          <w:rFonts w:eastAsia="仿宋_GB2312"/>
          <w:sz w:val="32"/>
          <w:szCs w:val="32"/>
        </w:rPr>
        <w:t>%，反映人均资产较上年有所下降。主要原因：2024年机构改革，原</w:t>
      </w:r>
      <w:r>
        <w:rPr>
          <w:rFonts w:hint="eastAsia" w:eastAsia="仿宋_GB2312"/>
          <w:sz w:val="32"/>
          <w:szCs w:val="32"/>
        </w:rPr>
        <w:t>经信局、卫健局、自规局执法大队人员</w:t>
      </w:r>
      <w:r>
        <w:rPr>
          <w:rFonts w:eastAsia="仿宋_GB2312"/>
          <w:sz w:val="32"/>
          <w:szCs w:val="32"/>
        </w:rPr>
        <w:t>并入我局，使得人员增加，导致人均资产</w:t>
      </w:r>
      <w:r>
        <w:rPr>
          <w:rFonts w:hint="eastAsia" w:eastAsia="仿宋_GB2312"/>
          <w:sz w:val="32"/>
          <w:szCs w:val="32"/>
        </w:rPr>
        <w:t>降</w:t>
      </w:r>
      <w:r>
        <w:rPr>
          <w:rFonts w:eastAsia="仿宋_GB2312"/>
          <w:sz w:val="32"/>
          <w:szCs w:val="32"/>
        </w:rPr>
        <w:t>低。</w:t>
      </w:r>
    </w:p>
    <w:p>
      <w:pPr>
        <w:adjustRightInd w:val="0"/>
        <w:snapToGrid w:val="0"/>
        <w:spacing w:line="578" w:lineRule="exact"/>
        <w:ind w:firstLine="640" w:firstLineChars="200"/>
        <w:contextualSpacing/>
        <w:jc w:val="left"/>
        <w:rPr>
          <w:rFonts w:eastAsia="仿宋_GB2312"/>
          <w:color w:val="000000"/>
          <w:kern w:val="0"/>
          <w:szCs w:val="32"/>
          <w:shd w:val="clear" w:color="auto" w:fill="FFFFFF"/>
          <w:lang w:val="zh-CN"/>
        </w:rPr>
      </w:pPr>
      <w:r>
        <w:rPr>
          <w:rFonts w:hint="eastAsia" w:eastAsia="仿宋_GB2312"/>
          <w:sz w:val="32"/>
          <w:szCs w:val="32"/>
        </w:rPr>
        <w:t>5.</w:t>
      </w:r>
      <w:r>
        <w:rPr>
          <w:rFonts w:hint="eastAsia" w:eastAsia="仿宋_GB2312"/>
          <w:sz w:val="32"/>
          <w:szCs w:val="32"/>
          <w:lang w:val="zh-CN"/>
        </w:rPr>
        <w:t>采购管理。</w:t>
      </w:r>
      <w:r>
        <w:rPr>
          <w:rFonts w:eastAsia="仿宋_GB2312"/>
          <w:sz w:val="32"/>
          <w:szCs w:val="32"/>
        </w:rPr>
        <w:t>2024年，我局严格遵循《政府采购法》及相关规定，采购流程规范，采购资金及时支付</w:t>
      </w:r>
      <w:r>
        <w:rPr>
          <w:rFonts w:hint="eastAsia" w:eastAsia="仿宋_GB2312"/>
          <w:sz w:val="32"/>
          <w:szCs w:val="32"/>
        </w:rPr>
        <w:t>。</w:t>
      </w:r>
    </w:p>
    <w:p>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 xml:space="preserve">该类项目总数 </w:t>
      </w:r>
      <w:r>
        <w:rPr>
          <w:rFonts w:eastAsia="仿宋_GB2312" w:cs="仿宋_GB2312"/>
          <w:sz w:val="32"/>
          <w:szCs w:val="32"/>
        </w:rPr>
        <w:t>6</w:t>
      </w:r>
      <w:r>
        <w:rPr>
          <w:rFonts w:eastAsia="仿宋_GB2312" w:cs="仿宋_GB2312"/>
          <w:sz w:val="32"/>
          <w:szCs w:val="32"/>
          <w:lang w:val="zh-CN"/>
        </w:rPr>
        <w:t xml:space="preserve"> 个，涉及预算总金额</w:t>
      </w:r>
      <w:r>
        <w:rPr>
          <w:rFonts w:eastAsia="仿宋_GB2312" w:cs="仿宋_GB2312"/>
          <w:sz w:val="32"/>
          <w:szCs w:val="32"/>
        </w:rPr>
        <w:t>2970.41</w:t>
      </w:r>
      <w:r>
        <w:rPr>
          <w:rFonts w:eastAsia="仿宋_GB2312" w:cs="仿宋_GB2312"/>
          <w:sz w:val="32"/>
          <w:szCs w:val="32"/>
          <w:lang w:val="zh-CN"/>
        </w:rPr>
        <w:t>万元，1—12月预算执行总体进度为</w:t>
      </w:r>
      <w:r>
        <w:rPr>
          <w:rFonts w:eastAsia="仿宋_GB2312" w:cs="仿宋_GB2312"/>
          <w:sz w:val="32"/>
          <w:szCs w:val="32"/>
        </w:rPr>
        <w:t>100</w:t>
      </w:r>
      <w:r>
        <w:rPr>
          <w:rFonts w:eastAsia="仿宋_GB2312" w:cs="仿宋_GB2312"/>
          <w:sz w:val="32"/>
          <w:szCs w:val="32"/>
          <w:lang w:val="zh-CN"/>
        </w:rPr>
        <w:t xml:space="preserve"> %，其中：预算结余率大于10%的项目共计 </w:t>
      </w:r>
      <w:r>
        <w:rPr>
          <w:rFonts w:eastAsia="仿宋_GB2312" w:cs="仿宋_GB2312"/>
          <w:sz w:val="32"/>
          <w:szCs w:val="32"/>
        </w:rPr>
        <w:t>0</w:t>
      </w:r>
      <w:r>
        <w:rPr>
          <w:rFonts w:eastAsia="仿宋_GB2312" w:cs="仿宋_GB2312"/>
          <w:sz w:val="32"/>
          <w:szCs w:val="32"/>
          <w:lang w:val="zh-CN"/>
        </w:rPr>
        <w:t xml:space="preserve"> 个</w:t>
      </w:r>
      <w:r>
        <w:rPr>
          <w:rFonts w:eastAsia="方正仿宋_GBK"/>
          <w:sz w:val="32"/>
          <w:szCs w:val="32"/>
          <w:lang w:val="zh-CN"/>
        </w:rPr>
        <w:t>。</w:t>
      </w:r>
      <w:r>
        <w:rPr>
          <w:rFonts w:eastAsia="仿宋_GB2312" w:cs="仿宋_GB2312"/>
          <w:sz w:val="32"/>
          <w:szCs w:val="32"/>
          <w:lang w:val="zh-CN"/>
        </w:rPr>
        <w:t>。</w:t>
      </w:r>
    </w:p>
    <w:p>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eastAsia="仿宋_GB2312" w:cs="仿宋_GB2312"/>
          <w:sz w:val="32"/>
          <w:szCs w:val="32"/>
        </w:rPr>
        <w:t>16</w:t>
      </w:r>
      <w:r>
        <w:rPr>
          <w:rFonts w:eastAsia="仿宋_GB2312" w:cs="仿宋_GB2312"/>
          <w:sz w:val="32"/>
          <w:szCs w:val="32"/>
          <w:lang w:val="zh-CN"/>
        </w:rPr>
        <w:t xml:space="preserve">个，涉及预算总金额  </w:t>
      </w:r>
      <w:r>
        <w:rPr>
          <w:rFonts w:eastAsia="仿宋_GB2312" w:cs="仿宋_GB2312"/>
          <w:sz w:val="32"/>
          <w:szCs w:val="32"/>
        </w:rPr>
        <w:t>3762.25</w:t>
      </w:r>
      <w:r>
        <w:rPr>
          <w:rFonts w:eastAsia="仿宋_GB2312" w:cs="仿宋_GB2312"/>
          <w:sz w:val="32"/>
          <w:szCs w:val="32"/>
          <w:lang w:val="zh-CN"/>
        </w:rPr>
        <w:t xml:space="preserve"> 万元，1—12月预算执行总体进度为 </w:t>
      </w:r>
      <w:r>
        <w:rPr>
          <w:rFonts w:eastAsia="仿宋_GB2312" w:cs="仿宋_GB2312"/>
          <w:sz w:val="32"/>
          <w:szCs w:val="32"/>
        </w:rPr>
        <w:t>98.63</w:t>
      </w:r>
      <w:r>
        <w:rPr>
          <w:rFonts w:eastAsia="仿宋_GB2312" w:cs="仿宋_GB2312"/>
          <w:sz w:val="32"/>
          <w:szCs w:val="32"/>
          <w:lang w:val="zh-CN"/>
        </w:rPr>
        <w:t xml:space="preserve"> %，其中：预算结余率大于10%的项目共计  </w:t>
      </w:r>
      <w:r>
        <w:rPr>
          <w:rFonts w:eastAsia="仿宋_GB2312" w:cs="仿宋_GB2312"/>
          <w:sz w:val="32"/>
          <w:szCs w:val="32"/>
        </w:rPr>
        <w:t>2</w:t>
      </w:r>
      <w:r>
        <w:rPr>
          <w:rFonts w:eastAsia="仿宋_GB2312" w:cs="仿宋_GB2312"/>
          <w:sz w:val="32"/>
          <w:szCs w:val="32"/>
          <w:lang w:val="zh-CN"/>
        </w:rPr>
        <w:t xml:space="preserve"> 个（其中两个项目均为燃气一期、二期项目）。</w:t>
      </w:r>
    </w:p>
    <w:p>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w:t>
      </w:r>
      <w:r>
        <w:rPr>
          <w:rFonts w:eastAsia="仿宋_GB2312"/>
          <w:sz w:val="32"/>
          <w:szCs w:val="32"/>
        </w:rPr>
        <w:t>在项目决算程序方面严格遵循既定流程，从项目提议、需求调研到预算申报、审批，各环节完整规范，确保决策过程合规。同时通过专业分析与数据支撑，对项目的必要性、可行性及成本效益进行充分论证，例如</w:t>
      </w:r>
      <w:r>
        <w:rPr>
          <w:rFonts w:hint="eastAsia" w:eastAsia="仿宋_GB2312"/>
          <w:sz w:val="32"/>
          <w:szCs w:val="32"/>
        </w:rPr>
        <w:t>环卫绿化一体化招标考虑现有管护面积以及前期管护范围</w:t>
      </w:r>
      <w:r>
        <w:rPr>
          <w:rFonts w:eastAsia="仿宋_GB2312"/>
          <w:sz w:val="32"/>
          <w:szCs w:val="32"/>
        </w:rPr>
        <w:t>，</w:t>
      </w:r>
      <w:r>
        <w:rPr>
          <w:rFonts w:hint="eastAsia" w:eastAsia="仿宋_GB2312"/>
          <w:sz w:val="32"/>
          <w:szCs w:val="32"/>
        </w:rPr>
        <w:t>执法拆除过程的合规性和合法性</w:t>
      </w:r>
      <w:r>
        <w:rPr>
          <w:rFonts w:hint="eastAsia" w:eastAsia="仿宋_GB2312" w:cs="仿宋_GB2312"/>
          <w:sz w:val="32"/>
          <w:szCs w:val="32"/>
          <w:lang w:val="zh-CN"/>
        </w:rPr>
        <w:t>。</w:t>
      </w:r>
    </w:p>
    <w:p>
      <w:pPr>
        <w:adjustRightInd w:val="0"/>
        <w:snapToGrid w:val="0"/>
        <w:spacing w:line="578" w:lineRule="exact"/>
        <w:ind w:firstLine="640" w:firstLineChars="200"/>
        <w:contextualSpacing/>
        <w:rPr>
          <w:rFonts w:eastAsia="仿宋_GB2312"/>
          <w:sz w:val="32"/>
          <w:szCs w:val="32"/>
        </w:rPr>
      </w:pPr>
      <w:r>
        <w:rPr>
          <w:rFonts w:hint="eastAsia" w:eastAsia="仿宋_GB2312" w:cs="仿宋_GB2312"/>
          <w:sz w:val="32"/>
          <w:szCs w:val="32"/>
        </w:rPr>
        <w:t>2.项目执行</w:t>
      </w:r>
      <w:r>
        <w:rPr>
          <w:rFonts w:hint="eastAsia" w:eastAsia="仿宋_GB2312" w:cs="仿宋_GB2312"/>
          <w:sz w:val="32"/>
          <w:szCs w:val="32"/>
          <w:lang w:val="zh-CN"/>
        </w:rPr>
        <w:t>。</w:t>
      </w:r>
      <w:r>
        <w:rPr>
          <w:rFonts w:eastAsia="仿宋_GB2312"/>
          <w:sz w:val="32"/>
          <w:szCs w:val="32"/>
        </w:rPr>
        <w:t>在目标设置上，各项目均制定了明确、可衡量、相关且可行的目标</w:t>
      </w:r>
      <w:r>
        <w:rPr>
          <w:rFonts w:hint="eastAsia" w:eastAsia="仿宋_GB2312"/>
          <w:sz w:val="32"/>
          <w:szCs w:val="32"/>
        </w:rPr>
        <w:t>。</w:t>
      </w:r>
    </w:p>
    <w:p>
      <w:pPr>
        <w:widowControl/>
        <w:overflowPunct w:val="0"/>
        <w:adjustRightInd w:val="0"/>
        <w:snapToGrid w:val="0"/>
        <w:spacing w:line="600" w:lineRule="exact"/>
        <w:ind w:firstLine="640" w:firstLineChars="200"/>
        <w:contextualSpacing/>
        <w:jc w:val="left"/>
        <w:rPr>
          <w:rFonts w:eastAsia="仿宋_GB2312"/>
          <w:sz w:val="32"/>
          <w:szCs w:val="32"/>
        </w:rPr>
      </w:pPr>
      <w:r>
        <w:rPr>
          <w:rFonts w:hint="eastAsia" w:eastAsia="仿宋_GB2312" w:cs="仿宋_GB2312"/>
          <w:sz w:val="32"/>
          <w:szCs w:val="32"/>
        </w:rPr>
        <w:t>3.</w:t>
      </w:r>
      <w:r>
        <w:rPr>
          <w:rFonts w:hint="eastAsia" w:eastAsia="仿宋_GB2312" w:cs="仿宋_GB2312"/>
          <w:sz w:val="32"/>
          <w:szCs w:val="32"/>
          <w:lang w:val="zh-CN"/>
        </w:rPr>
        <w:t>目标实现。</w:t>
      </w:r>
      <w:r>
        <w:rPr>
          <w:rFonts w:eastAsia="仿宋_GB2312"/>
          <w:sz w:val="32"/>
          <w:szCs w:val="32"/>
        </w:rPr>
        <w:t>2024年，我局项目既定任务均按计划推进，大部分项目在预定时间内完成，有效保障了项目的整体进度，目标完成情况良好。经全面复盘，少数项目存在一定程度目标偏离情况。如国库运行维护费等项目因外部不可抗力因素，导致实际进度较计划延迟。针对此类偏离，将优化实施方案，尽量降低偏离对项目最终成效的影响。项目实现效果显著，在社会效益上，例如干部异地体检项目增强了干部群体的健康保障，提升了工作积极性，社会反响良好。从长期影响看，这些项目为单位的可持续发展和社会形象塑造奠定了基础，综合实现效果的各方面表现良好。</w:t>
      </w:r>
    </w:p>
    <w:p>
      <w:pPr>
        <w:overflowPunct w:val="0"/>
        <w:adjustRightInd w:val="0"/>
        <w:snapToGrid w:val="0"/>
        <w:spacing w:line="600" w:lineRule="exact"/>
        <w:ind w:firstLine="640" w:firstLineChars="200"/>
        <w:contextualSpacing/>
        <w:jc w:val="left"/>
        <w:rPr>
          <w:rFonts w:eastAsia="仿宋_GB2312"/>
          <w:sz w:val="32"/>
          <w:szCs w:val="32"/>
        </w:rPr>
      </w:pPr>
      <w:r>
        <w:rPr>
          <w:rFonts w:eastAsia="仿宋_GB2312"/>
          <w:sz w:val="32"/>
          <w:szCs w:val="32"/>
        </w:rPr>
        <w:t>我局2024年度不涉及国有资本经营预算。</w:t>
      </w:r>
    </w:p>
    <w:p>
      <w:pPr>
        <w:overflowPunct w:val="0"/>
        <w:adjustRightInd w:val="0"/>
        <w:snapToGrid w:val="0"/>
        <w:spacing w:line="600"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pPr>
        <w:overflowPunct w:val="0"/>
        <w:adjustRightInd w:val="0"/>
        <w:snapToGrid w:val="0"/>
        <w:spacing w:line="600" w:lineRule="exact"/>
        <w:ind w:firstLine="640" w:firstLineChars="200"/>
        <w:contextualSpacing/>
        <w:jc w:val="left"/>
        <w:rPr>
          <w:rFonts w:eastAsia="仿宋_GB2312"/>
          <w:sz w:val="32"/>
          <w:szCs w:val="32"/>
        </w:rPr>
      </w:pPr>
      <w:r>
        <w:rPr>
          <w:rFonts w:eastAsia="仿宋_GB2312"/>
          <w:sz w:val="32"/>
          <w:szCs w:val="32"/>
        </w:rPr>
        <w:t>1. 内部应用情况。将绩效结果用于优化内部运作流程，依据绩效表现，评估各项业务活动的有效性，识别效率低下的环节，针对性地调整工作程序与方法。同时，在资源配置上，根据绩效结果确定不同业务板块、项目的资源分配权重，优先保障绩效良好、对单位核心目标贡献大的领域，促进资源的高效利用，提升单位整体运行效能。</w:t>
      </w:r>
    </w:p>
    <w:p>
      <w:pPr>
        <w:overflowPunct w:val="0"/>
        <w:adjustRightInd w:val="0"/>
        <w:snapToGrid w:val="0"/>
        <w:spacing w:line="600" w:lineRule="exact"/>
        <w:ind w:firstLine="640" w:firstLineChars="200"/>
        <w:contextualSpacing/>
        <w:jc w:val="left"/>
        <w:rPr>
          <w:rFonts w:eastAsia="仿宋_GB2312"/>
          <w:color w:val="000000" w:themeColor="text1"/>
          <w:sz w:val="32"/>
          <w:szCs w:val="32"/>
        </w:rPr>
      </w:pPr>
      <w:r>
        <w:rPr>
          <w:rFonts w:eastAsia="仿宋_GB2312"/>
          <w:sz w:val="32"/>
          <w:szCs w:val="32"/>
        </w:rPr>
        <w:t xml:space="preserve">2. </w:t>
      </w:r>
      <w:r>
        <w:rPr>
          <w:rFonts w:eastAsia="仿宋_GB2312"/>
          <w:color w:val="000000" w:themeColor="text1"/>
          <w:sz w:val="32"/>
          <w:szCs w:val="32"/>
        </w:rPr>
        <w:t>信息公开情况。我局将支出科室预算项目绩效目标编制情况、全年预算执行情况和年中项目预算金额调整情况纳入局机关绩效管理考评。在信息公开实践中，按照财政部门统一部署，公开了2025年部门预算编制说明</w:t>
      </w:r>
      <w:r>
        <w:rPr>
          <w:rFonts w:hint="eastAsia" w:eastAsia="仿宋_GB2312"/>
          <w:color w:val="000000" w:themeColor="text1"/>
          <w:sz w:val="32"/>
          <w:szCs w:val="32"/>
        </w:rPr>
        <w:t>。</w:t>
      </w:r>
      <w:r>
        <w:rPr>
          <w:rFonts w:eastAsia="仿宋_GB2312"/>
          <w:color w:val="000000" w:themeColor="text1"/>
          <w:sz w:val="32"/>
          <w:szCs w:val="32"/>
        </w:rPr>
        <w:t>主动接受公众监督，不断提升财政资金管理的公开性与透明度。</w:t>
      </w:r>
    </w:p>
    <w:p>
      <w:pPr>
        <w:snapToGrid w:val="0"/>
        <w:spacing w:line="600" w:lineRule="exact"/>
        <w:ind w:firstLine="640" w:firstLineChars="200"/>
        <w:rPr>
          <w:rFonts w:eastAsia="仿宋_GB2312"/>
          <w:sz w:val="32"/>
          <w:szCs w:val="32"/>
        </w:rPr>
      </w:pPr>
      <w:r>
        <w:rPr>
          <w:rFonts w:eastAsia="仿宋_GB2312"/>
          <w:sz w:val="32"/>
          <w:szCs w:val="32"/>
        </w:rPr>
        <w:t>3. 整改反馈情况。针对绩效评中发现的问题，及时梳理分析，制定整改措施。明确责任主体，推进问题整改落实。</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spacing w:line="560" w:lineRule="exact"/>
        <w:ind w:firstLine="643" w:firstLineChars="200"/>
        <w:rPr>
          <w:rFonts w:ascii="仿宋_GB2312" w:eastAsia="仿宋_GB2312"/>
          <w:sz w:val="32"/>
          <w:szCs w:val="32"/>
        </w:rPr>
      </w:pPr>
      <w:r>
        <w:rPr>
          <w:rFonts w:eastAsia="楷体_GB2312"/>
          <w:b/>
          <w:bCs/>
          <w:color w:val="000000"/>
          <w:kern w:val="0"/>
          <w:sz w:val="32"/>
          <w:szCs w:val="32"/>
          <w:shd w:val="clear" w:color="auto" w:fill="FFFFFF"/>
          <w:lang w:val="zh-CN"/>
        </w:rPr>
        <w:t>（一）评价结论。</w:t>
      </w:r>
      <w:r>
        <w:rPr>
          <w:rFonts w:hint="eastAsia" w:ascii="仿宋_GB2312" w:eastAsia="仿宋_GB2312"/>
          <w:sz w:val="32"/>
          <w:szCs w:val="32"/>
        </w:rPr>
        <w:t>预算编制情况较好，但项目实际推进较慢，预算执行进度受到一定的影响。</w:t>
      </w:r>
    </w:p>
    <w:p>
      <w:pPr>
        <w:spacing w:line="560" w:lineRule="exact"/>
        <w:ind w:firstLine="643" w:firstLineChars="200"/>
        <w:rPr>
          <w:rFonts w:eastAsia="楷体_GB2312"/>
          <w:sz w:val="32"/>
          <w:szCs w:val="32"/>
        </w:rPr>
      </w:pPr>
      <w:r>
        <w:rPr>
          <w:rFonts w:eastAsia="楷体_GB2312"/>
          <w:b/>
          <w:bCs/>
          <w:color w:val="000000"/>
          <w:kern w:val="0"/>
          <w:sz w:val="32"/>
          <w:szCs w:val="32"/>
          <w:shd w:val="clear" w:color="auto" w:fill="FFFFFF"/>
          <w:lang w:val="zh-CN"/>
        </w:rPr>
        <w:t>（二）存在问题。</w:t>
      </w:r>
      <w:r>
        <w:rPr>
          <w:rFonts w:hint="eastAsia" w:ascii="仿宋_GB2312" w:hAnsi="仿宋" w:eastAsia="仿宋_GB2312"/>
          <w:sz w:val="32"/>
          <w:szCs w:val="32"/>
        </w:rPr>
        <w:t>一是年初设置绩效目标不够科学，项目实际实施中存在些许变动、目标设立不够明确、细化和量化；二是预算执行有待进一步严格，预算编制与实际支出项目有的仍存在差异。三是</w:t>
      </w:r>
      <w:r>
        <w:rPr>
          <w:rFonts w:hint="eastAsia" w:ascii="仿宋_GB2312" w:hAnsi="仿宋_GB2312" w:eastAsia="仿宋_GB2312" w:cs="仿宋_GB2312"/>
          <w:sz w:val="32"/>
          <w:szCs w:val="32"/>
        </w:rPr>
        <w:t>城市管理基础设施薄弱，日常管理维护人力物力和经费投入不够。</w:t>
      </w:r>
    </w:p>
    <w:p>
      <w:pPr>
        <w:widowControl/>
        <w:adjustRightInd w:val="0"/>
        <w:snapToGrid w:val="0"/>
        <w:spacing w:line="578" w:lineRule="exact"/>
        <w:ind w:firstLine="643" w:firstLineChars="200"/>
        <w:contextualSpacing/>
        <w:jc w:val="left"/>
        <w:rPr>
          <w:rFonts w:eastAsia="仿宋_GB2312"/>
          <w:sz w:val="32"/>
          <w:szCs w:val="32"/>
        </w:rPr>
      </w:pPr>
      <w:r>
        <w:rPr>
          <w:rFonts w:eastAsia="楷体_GB2312"/>
          <w:b/>
          <w:bCs/>
          <w:color w:val="000000"/>
          <w:kern w:val="0"/>
          <w:sz w:val="32"/>
          <w:szCs w:val="32"/>
          <w:shd w:val="clear" w:color="auto" w:fill="FFFFFF"/>
          <w:lang w:val="zh-CN"/>
        </w:rPr>
        <w:t>（三）改进建议。</w:t>
      </w:r>
      <w:bookmarkStart w:id="85" w:name="_Hlk110546638"/>
      <w:r>
        <w:rPr>
          <w:rFonts w:hint="eastAsia" w:ascii="仿宋_GB2312" w:hAnsi="仿宋" w:eastAsia="仿宋_GB2312"/>
          <w:sz w:val="32"/>
          <w:szCs w:val="32"/>
        </w:rPr>
        <w:t>一是加强绩效评价相关文件和知识的学习，提升绩效自评能力，结合单位实际和项目资金科学、合理设置绩效目标，尽可能细化、量化；二是加强预算编制的合理性，细化预算编制，严格预算执行。进一步加强单位内部机构各科室的预算管理意识，严格按照预算编制的相关制度和要求进行预算编制。严格按照预算规定的项目和用途抓好财务审核关，强化财务核算，切实提高部门预算收支管理水平。三是</w:t>
      </w:r>
      <w:r>
        <w:rPr>
          <w:rFonts w:hint="eastAsia" w:ascii="仿宋_GB2312" w:hAnsi="仿宋_GB2312" w:eastAsia="仿宋_GB2312" w:cs="仿宋_GB2312"/>
          <w:sz w:val="32"/>
          <w:szCs w:val="32"/>
        </w:rPr>
        <w:t>建立从根本上解决问题的长效机制，加强建设基础设施薄弱环节，及时解决问题。</w:t>
      </w:r>
    </w:p>
    <w:bookmarkEnd w:id="85"/>
    <w:p>
      <w:pPr>
        <w:pStyle w:val="8"/>
        <w:spacing w:line="560" w:lineRule="exact"/>
        <w:ind w:left="0" w:leftChars="0" w:firstLine="640"/>
        <w:rPr>
          <w:rFonts w:ascii="Times New Roman" w:eastAsia="仿宋_GB2312"/>
          <w:sz w:val="32"/>
          <w:lang w:val="zh-CN"/>
        </w:rPr>
      </w:pPr>
    </w:p>
    <w:p>
      <w:pPr>
        <w:pStyle w:val="8"/>
        <w:spacing w:line="560" w:lineRule="exact"/>
        <w:ind w:left="0" w:leftChars="0" w:firstLine="64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pPr>
        <w:pStyle w:val="6"/>
        <w:spacing w:before="93"/>
        <w:rPr>
          <w:rFonts w:ascii="Times New Roman" w:cs="宋体"/>
          <w:color w:val="FF0000"/>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bookmarkStart w:id="86" w:name="_Toc15396618"/>
    </w:p>
    <w:p>
      <w:pPr>
        <w:pStyle w:val="4"/>
        <w:jc w:val="center"/>
        <w:rPr>
          <w:rFonts w:eastAsia="仿宋"/>
        </w:rPr>
      </w:pPr>
      <w:bookmarkStart w:id="87" w:name="_Toc211940869"/>
      <w:r>
        <w:rPr>
          <w:rStyle w:val="29"/>
          <w:rFonts w:hint="eastAsia" w:eastAsia="黑体"/>
          <w:b w:val="0"/>
          <w:bCs w:val="0"/>
        </w:rPr>
        <w:t>第五部分 附表</w:t>
      </w:r>
      <w:bookmarkEnd w:id="82"/>
      <w:bookmarkEnd w:id="86"/>
      <w:bookmarkEnd w:id="87"/>
      <w:bookmarkStart w:id="88" w:name="_Toc15396619"/>
    </w:p>
    <w:p>
      <w:pPr>
        <w:pStyle w:val="15"/>
        <w:adjustRightInd w:val="0"/>
        <w:snapToGrid w:val="0"/>
        <w:spacing w:line="560" w:lineRule="exact"/>
        <w:jc w:val="left"/>
        <w:rPr>
          <w:rFonts w:eastAsia="仿宋_GB2312" w:cs="仿宋_GB2312"/>
          <w:sz w:val="32"/>
          <w:szCs w:val="32"/>
        </w:rPr>
      </w:pPr>
      <w:bookmarkStart w:id="114" w:name="_GoBack"/>
      <w:bookmarkEnd w:id="114"/>
    </w:p>
    <w:p>
      <w:pPr>
        <w:pStyle w:val="4"/>
        <w:rPr>
          <w:rFonts w:hint="eastAsia" w:ascii="方正仿宋_GBK" w:eastAsia="方正仿宋_GBK"/>
          <w:b w:val="0"/>
        </w:rPr>
      </w:pPr>
      <w:bookmarkStart w:id="89" w:name="_Toc211940870"/>
      <w:r>
        <w:rPr>
          <w:rFonts w:hint="eastAsia" w:ascii="方正仿宋_GBK" w:eastAsia="方正仿宋_GBK"/>
          <w:b w:val="0"/>
        </w:rPr>
        <w:t>一、收入支出决算总表</w:t>
      </w:r>
      <w:bookmarkEnd w:id="88"/>
      <w:bookmarkEnd w:id="89"/>
    </w:p>
    <w:p>
      <w:pPr>
        <w:pStyle w:val="4"/>
        <w:rPr>
          <w:rFonts w:hint="eastAsia" w:ascii="方正仿宋_GBK" w:eastAsia="方正仿宋_GBK"/>
          <w:b w:val="0"/>
        </w:rPr>
      </w:pPr>
      <w:bookmarkStart w:id="90" w:name="_Toc15396620"/>
      <w:bookmarkStart w:id="91" w:name="_Toc211940871"/>
      <w:r>
        <w:rPr>
          <w:rFonts w:hint="eastAsia" w:ascii="方正仿宋_GBK" w:eastAsia="方正仿宋_GBK"/>
          <w:b w:val="0"/>
        </w:rPr>
        <w:t>二、收入决算表</w:t>
      </w:r>
      <w:bookmarkEnd w:id="90"/>
      <w:bookmarkEnd w:id="91"/>
    </w:p>
    <w:p>
      <w:pPr>
        <w:pStyle w:val="4"/>
        <w:rPr>
          <w:rFonts w:hint="eastAsia" w:ascii="方正仿宋_GBK" w:eastAsia="方正仿宋_GBK"/>
          <w:b w:val="0"/>
        </w:rPr>
      </w:pPr>
      <w:bookmarkStart w:id="92" w:name="_Toc15396621"/>
      <w:bookmarkStart w:id="93" w:name="_Toc211940872"/>
      <w:r>
        <w:rPr>
          <w:rFonts w:hint="eastAsia" w:ascii="方正仿宋_GBK" w:eastAsia="方正仿宋_GBK"/>
          <w:b w:val="0"/>
        </w:rPr>
        <w:t>三、支出决算表</w:t>
      </w:r>
      <w:bookmarkEnd w:id="92"/>
      <w:bookmarkEnd w:id="93"/>
    </w:p>
    <w:p>
      <w:pPr>
        <w:pStyle w:val="4"/>
        <w:rPr>
          <w:rFonts w:hint="eastAsia" w:ascii="方正仿宋_GBK" w:eastAsia="方正仿宋_GBK"/>
          <w:b w:val="0"/>
        </w:rPr>
      </w:pPr>
      <w:bookmarkStart w:id="94" w:name="_Toc15396622"/>
      <w:bookmarkStart w:id="95" w:name="_Toc211940873"/>
      <w:r>
        <w:rPr>
          <w:rFonts w:hint="eastAsia" w:ascii="方正仿宋_GBK" w:eastAsia="方正仿宋_GBK"/>
          <w:b w:val="0"/>
        </w:rPr>
        <w:t>四、财政拨款收入支出决算总表</w:t>
      </w:r>
      <w:bookmarkEnd w:id="94"/>
      <w:bookmarkEnd w:id="95"/>
    </w:p>
    <w:p>
      <w:pPr>
        <w:pStyle w:val="4"/>
        <w:rPr>
          <w:rFonts w:hint="eastAsia" w:ascii="方正仿宋_GBK" w:eastAsia="方正仿宋_GBK"/>
          <w:b w:val="0"/>
        </w:rPr>
      </w:pPr>
      <w:bookmarkStart w:id="96" w:name="_Toc15396623"/>
      <w:bookmarkStart w:id="97" w:name="_Toc211940874"/>
      <w:r>
        <w:rPr>
          <w:rFonts w:hint="eastAsia" w:ascii="方正仿宋_GBK" w:eastAsia="方正仿宋_GBK"/>
          <w:b w:val="0"/>
        </w:rPr>
        <w:t>五、财政拨款支出决算明细表</w:t>
      </w:r>
      <w:bookmarkEnd w:id="96"/>
      <w:bookmarkEnd w:id="97"/>
      <w:bookmarkStart w:id="98" w:name="_Toc15396624"/>
    </w:p>
    <w:p>
      <w:pPr>
        <w:pStyle w:val="4"/>
        <w:rPr>
          <w:rFonts w:hint="eastAsia" w:ascii="方正仿宋_GBK" w:eastAsia="方正仿宋_GBK"/>
          <w:b w:val="0"/>
        </w:rPr>
      </w:pPr>
      <w:bookmarkStart w:id="99" w:name="_Toc211940875"/>
      <w:r>
        <w:rPr>
          <w:rFonts w:hint="eastAsia" w:ascii="方正仿宋_GBK" w:eastAsia="方正仿宋_GBK"/>
          <w:b w:val="0"/>
        </w:rPr>
        <w:t>六、一般公共预算财政拨款支出决算表</w:t>
      </w:r>
      <w:bookmarkEnd w:id="98"/>
      <w:bookmarkEnd w:id="99"/>
    </w:p>
    <w:p>
      <w:pPr>
        <w:pStyle w:val="4"/>
        <w:rPr>
          <w:rFonts w:hint="eastAsia" w:ascii="方正仿宋_GBK" w:eastAsia="方正仿宋_GBK"/>
          <w:b w:val="0"/>
        </w:rPr>
      </w:pPr>
      <w:bookmarkStart w:id="100" w:name="_Toc15396625"/>
      <w:bookmarkStart w:id="101" w:name="_Toc211940876"/>
      <w:r>
        <w:rPr>
          <w:rFonts w:hint="eastAsia" w:ascii="方正仿宋_GBK" w:eastAsia="方正仿宋_GBK"/>
          <w:b w:val="0"/>
        </w:rPr>
        <w:t>七、一般公共预算财政拨款支出决算明细表</w:t>
      </w:r>
      <w:bookmarkEnd w:id="100"/>
      <w:bookmarkEnd w:id="101"/>
    </w:p>
    <w:p>
      <w:pPr>
        <w:pStyle w:val="4"/>
        <w:rPr>
          <w:rFonts w:hint="eastAsia" w:ascii="方正仿宋_GBK" w:eastAsia="方正仿宋_GBK"/>
          <w:b w:val="0"/>
        </w:rPr>
      </w:pPr>
      <w:bookmarkStart w:id="102" w:name="_Toc15396626"/>
      <w:bookmarkStart w:id="103" w:name="_Toc211940877"/>
      <w:r>
        <w:rPr>
          <w:rFonts w:hint="eastAsia" w:ascii="方正仿宋_GBK" w:eastAsia="方正仿宋_GBK"/>
          <w:b w:val="0"/>
        </w:rPr>
        <w:t>八、一般公共预算财政拨款基本支出决算表</w:t>
      </w:r>
      <w:bookmarkEnd w:id="102"/>
      <w:bookmarkEnd w:id="103"/>
    </w:p>
    <w:p>
      <w:pPr>
        <w:pStyle w:val="4"/>
        <w:rPr>
          <w:rFonts w:hint="eastAsia" w:ascii="方正仿宋_GBK" w:eastAsia="方正仿宋_GBK"/>
          <w:b w:val="0"/>
        </w:rPr>
      </w:pPr>
      <w:bookmarkStart w:id="104" w:name="_Toc211940878"/>
      <w:bookmarkStart w:id="105" w:name="_Toc15396627"/>
      <w:r>
        <w:rPr>
          <w:rFonts w:hint="eastAsia" w:ascii="方正仿宋_GBK" w:eastAsia="方正仿宋_GBK"/>
          <w:b w:val="0"/>
        </w:rPr>
        <w:t>九、一般公共预算财政拨款项目支出决算表</w:t>
      </w:r>
      <w:bookmarkEnd w:id="104"/>
      <w:bookmarkEnd w:id="105"/>
    </w:p>
    <w:p>
      <w:pPr>
        <w:pStyle w:val="4"/>
        <w:rPr>
          <w:rFonts w:hint="eastAsia" w:ascii="方正仿宋_GBK" w:eastAsia="方正仿宋_GBK"/>
          <w:b w:val="0"/>
        </w:rPr>
      </w:pPr>
      <w:bookmarkStart w:id="106" w:name="_Toc15396628"/>
      <w:bookmarkStart w:id="107" w:name="_Toc211940879"/>
      <w:r>
        <w:rPr>
          <w:rFonts w:hint="eastAsia" w:ascii="方正仿宋_GBK" w:eastAsia="方正仿宋_GBK"/>
          <w:b w:val="0"/>
        </w:rPr>
        <w:t>十、</w:t>
      </w:r>
      <w:bookmarkEnd w:id="106"/>
      <w:r>
        <w:rPr>
          <w:rFonts w:hint="eastAsia" w:ascii="方正仿宋_GBK" w:eastAsia="方正仿宋_GBK"/>
          <w:b w:val="0"/>
        </w:rPr>
        <w:t>政府性基金预算财政拨款收入支出决算表</w:t>
      </w:r>
      <w:bookmarkEnd w:id="107"/>
    </w:p>
    <w:p>
      <w:pPr>
        <w:pStyle w:val="4"/>
        <w:rPr>
          <w:rFonts w:hint="eastAsia" w:ascii="方正仿宋_GBK" w:eastAsia="方正仿宋_GBK"/>
          <w:b w:val="0"/>
        </w:rPr>
      </w:pPr>
      <w:bookmarkStart w:id="108" w:name="_Toc15396629"/>
      <w:bookmarkStart w:id="109" w:name="_Toc211940880"/>
      <w:r>
        <w:rPr>
          <w:rFonts w:hint="eastAsia" w:ascii="方正仿宋_GBK" w:eastAsia="方正仿宋_GBK"/>
          <w:b w:val="0"/>
        </w:rPr>
        <w:t>十一、</w:t>
      </w:r>
      <w:bookmarkEnd w:id="108"/>
      <w:r>
        <w:rPr>
          <w:rFonts w:hint="eastAsia" w:ascii="方正仿宋_GBK" w:eastAsia="方正仿宋_GBK"/>
          <w:b w:val="0"/>
        </w:rPr>
        <w:t>国有资本经营预算财政拨款收入支出决算表</w:t>
      </w:r>
      <w:bookmarkEnd w:id="109"/>
    </w:p>
    <w:p>
      <w:pPr>
        <w:pStyle w:val="4"/>
        <w:rPr>
          <w:rFonts w:hint="eastAsia" w:ascii="方正仿宋_GBK" w:eastAsia="方正仿宋_GBK"/>
          <w:b w:val="0"/>
        </w:rPr>
      </w:pPr>
      <w:bookmarkStart w:id="110" w:name="_Toc15396630"/>
      <w:bookmarkStart w:id="111" w:name="_Toc211940881"/>
      <w:r>
        <w:rPr>
          <w:rFonts w:hint="eastAsia" w:ascii="方正仿宋_GBK" w:eastAsia="方正仿宋_GBK"/>
          <w:b w:val="0"/>
        </w:rPr>
        <w:t>十二、</w:t>
      </w:r>
      <w:bookmarkEnd w:id="110"/>
      <w:r>
        <w:rPr>
          <w:rFonts w:hint="eastAsia" w:ascii="方正仿宋_GBK" w:eastAsia="方正仿宋_GBK"/>
          <w:b w:val="0"/>
        </w:rPr>
        <w:t>国有资本经营预算财政拨款支出决算表</w:t>
      </w:r>
      <w:bookmarkEnd w:id="111"/>
    </w:p>
    <w:p>
      <w:pPr>
        <w:pStyle w:val="4"/>
        <w:rPr>
          <w:rFonts w:hint="eastAsia" w:ascii="方正仿宋_GBK" w:eastAsia="方正仿宋_GBK"/>
          <w:b w:val="0"/>
        </w:rPr>
      </w:pPr>
      <w:bookmarkStart w:id="112" w:name="_Toc15396631"/>
      <w:bookmarkStart w:id="113" w:name="_Toc211940882"/>
      <w:r>
        <w:rPr>
          <w:rFonts w:hint="eastAsia" w:ascii="方正仿宋_GBK" w:eastAsia="方正仿宋_GBK"/>
          <w:b w:val="0"/>
        </w:rPr>
        <w:t>十三、</w:t>
      </w:r>
      <w:bookmarkEnd w:id="112"/>
      <w:r>
        <w:rPr>
          <w:rFonts w:hint="eastAsia" w:ascii="方正仿宋_GBK" w:eastAsia="方正仿宋_GBK"/>
          <w:b w:val="0"/>
        </w:rPr>
        <w:t>财政拨款“三公”经费支出决算表</w:t>
      </w:r>
      <w:bookmarkEnd w:id="113"/>
    </w:p>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48611"/>
      <w:docPartObj>
        <w:docPartGallery w:val="autotext"/>
      </w:docPartObj>
    </w:sdtPr>
    <w:sdtContent>
      <w:p>
        <w:pPr>
          <w:pStyle w:val="11"/>
        </w:pPr>
        <w:r>
          <w:fldChar w:fldCharType="begin"/>
        </w:r>
        <w:r>
          <w:instrText xml:space="preserve"> PAGE   \* MERGEFORMAT </w:instrText>
        </w:r>
        <w:r>
          <w:fldChar w:fldCharType="separate"/>
        </w:r>
        <w:r>
          <w:rPr>
            <w:lang w:val="zh-CN"/>
          </w:rPr>
          <w:t>-</w:t>
        </w:r>
        <w:r>
          <w:t xml:space="preserve"> 2 -</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DC6A5"/>
    <w:multiLevelType w:val="singleLevel"/>
    <w:tmpl w:val="90ADC6A5"/>
    <w:lvl w:ilvl="0" w:tentative="0">
      <w:start w:val="2"/>
      <w:numFmt w:val="chineseCounting"/>
      <w:suff w:val="nothing"/>
      <w:lvlText w:val="（%1）"/>
      <w:lvlJc w:val="left"/>
      <w:rPr>
        <w:rFonts w:hint="eastAsia"/>
      </w:rPr>
    </w:lvl>
  </w:abstractNum>
  <w:abstractNum w:abstractNumId="1">
    <w:nsid w:val="D349832F"/>
    <w:multiLevelType w:val="singleLevel"/>
    <w:tmpl w:val="D349832F"/>
    <w:lvl w:ilvl="0" w:tentative="0">
      <w:start w:val="1"/>
      <w:numFmt w:val="decimal"/>
      <w:lvlText w:val="%1."/>
      <w:lvlJc w:val="left"/>
      <w:pPr>
        <w:tabs>
          <w:tab w:val="left" w:pos="312"/>
        </w:tabs>
      </w:pPr>
    </w:lvl>
  </w:abstractNum>
  <w:abstractNum w:abstractNumId="2">
    <w:nsid w:val="706DDA9F"/>
    <w:multiLevelType w:val="singleLevel"/>
    <w:tmpl w:val="706DDA9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E74D7"/>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1D4F"/>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7F86"/>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357"/>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A1D54"/>
    <w:rsid w:val="02FEBE30"/>
    <w:rsid w:val="047F469A"/>
    <w:rsid w:val="04916F1E"/>
    <w:rsid w:val="04971891"/>
    <w:rsid w:val="04C82250"/>
    <w:rsid w:val="061E35DE"/>
    <w:rsid w:val="066E0107"/>
    <w:rsid w:val="07697CBD"/>
    <w:rsid w:val="07996F6E"/>
    <w:rsid w:val="07DFD8BA"/>
    <w:rsid w:val="09355C16"/>
    <w:rsid w:val="09867E8F"/>
    <w:rsid w:val="0A2032A3"/>
    <w:rsid w:val="0CA8290A"/>
    <w:rsid w:val="0D35B1ED"/>
    <w:rsid w:val="0DC043A0"/>
    <w:rsid w:val="0E254B6B"/>
    <w:rsid w:val="0F98263C"/>
    <w:rsid w:val="101860EC"/>
    <w:rsid w:val="101F47CC"/>
    <w:rsid w:val="10C055FF"/>
    <w:rsid w:val="11694EBD"/>
    <w:rsid w:val="11772AA4"/>
    <w:rsid w:val="118107EC"/>
    <w:rsid w:val="11930937"/>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4C3540"/>
    <w:rsid w:val="2186353C"/>
    <w:rsid w:val="23860B96"/>
    <w:rsid w:val="240371BF"/>
    <w:rsid w:val="244F3473"/>
    <w:rsid w:val="24C97D99"/>
    <w:rsid w:val="25A718F0"/>
    <w:rsid w:val="25BB59F6"/>
    <w:rsid w:val="260F557C"/>
    <w:rsid w:val="26970054"/>
    <w:rsid w:val="281408E2"/>
    <w:rsid w:val="29FD04D3"/>
    <w:rsid w:val="2B5E4FB5"/>
    <w:rsid w:val="2BFF7BC6"/>
    <w:rsid w:val="2C8A61B5"/>
    <w:rsid w:val="2DF04E50"/>
    <w:rsid w:val="2E586DFA"/>
    <w:rsid w:val="2F040D46"/>
    <w:rsid w:val="2F6B035B"/>
    <w:rsid w:val="2FAE5751"/>
    <w:rsid w:val="2FB1A395"/>
    <w:rsid w:val="2FD9A7D8"/>
    <w:rsid w:val="2FDBF714"/>
    <w:rsid w:val="30AB6865"/>
    <w:rsid w:val="312F795B"/>
    <w:rsid w:val="319F7F4E"/>
    <w:rsid w:val="32BD1EF1"/>
    <w:rsid w:val="3304709D"/>
    <w:rsid w:val="33A773CB"/>
    <w:rsid w:val="33D86CB1"/>
    <w:rsid w:val="349D6851"/>
    <w:rsid w:val="36AA5135"/>
    <w:rsid w:val="36BE0DA7"/>
    <w:rsid w:val="376B6AA6"/>
    <w:rsid w:val="376D39B2"/>
    <w:rsid w:val="37E16F03"/>
    <w:rsid w:val="37F53A3B"/>
    <w:rsid w:val="389B6C89"/>
    <w:rsid w:val="38AD6B5B"/>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9E91F98"/>
    <w:rsid w:val="4A627F82"/>
    <w:rsid w:val="4B0E749A"/>
    <w:rsid w:val="4B2477C4"/>
    <w:rsid w:val="4B4F25DA"/>
    <w:rsid w:val="4BE068DB"/>
    <w:rsid w:val="4D435C9D"/>
    <w:rsid w:val="4D577224"/>
    <w:rsid w:val="4DBF1CEB"/>
    <w:rsid w:val="4DF0007C"/>
    <w:rsid w:val="4E184A62"/>
    <w:rsid w:val="4EAB630A"/>
    <w:rsid w:val="4ECE2238"/>
    <w:rsid w:val="4F833267"/>
    <w:rsid w:val="4FE9BD67"/>
    <w:rsid w:val="4FFB052F"/>
    <w:rsid w:val="537E6D0A"/>
    <w:rsid w:val="53907E88"/>
    <w:rsid w:val="53F74C96"/>
    <w:rsid w:val="55170BA8"/>
    <w:rsid w:val="553218C9"/>
    <w:rsid w:val="567E1AA5"/>
    <w:rsid w:val="56E47B74"/>
    <w:rsid w:val="57175D52"/>
    <w:rsid w:val="577532E4"/>
    <w:rsid w:val="57BD3DD4"/>
    <w:rsid w:val="595C0636"/>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0717B3"/>
    <w:rsid w:val="63B3701E"/>
    <w:rsid w:val="647F5392"/>
    <w:rsid w:val="65E66580"/>
    <w:rsid w:val="664B1D71"/>
    <w:rsid w:val="664B4E8E"/>
    <w:rsid w:val="67277B67"/>
    <w:rsid w:val="67AA3209"/>
    <w:rsid w:val="698D0931"/>
    <w:rsid w:val="6A7FE5F3"/>
    <w:rsid w:val="6B053271"/>
    <w:rsid w:val="6BDD78B3"/>
    <w:rsid w:val="6C4A05C8"/>
    <w:rsid w:val="6C8742B8"/>
    <w:rsid w:val="6CC63B5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39017B"/>
    <w:rsid w:val="715C0E4B"/>
    <w:rsid w:val="71992E7C"/>
    <w:rsid w:val="72233669"/>
    <w:rsid w:val="72734D90"/>
    <w:rsid w:val="73160E6D"/>
    <w:rsid w:val="7332FE48"/>
    <w:rsid w:val="738A1C32"/>
    <w:rsid w:val="73AB61DA"/>
    <w:rsid w:val="73AD73D5"/>
    <w:rsid w:val="73B6EB34"/>
    <w:rsid w:val="73FA497D"/>
    <w:rsid w:val="744731E5"/>
    <w:rsid w:val="74BBD01D"/>
    <w:rsid w:val="74D31E5C"/>
    <w:rsid w:val="74ED5379"/>
    <w:rsid w:val="75DEEEC2"/>
    <w:rsid w:val="75E32345"/>
    <w:rsid w:val="76E3355F"/>
    <w:rsid w:val="76FF5125"/>
    <w:rsid w:val="773F5589"/>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默认"/>
    <w:basedOn w:val="1"/>
    <w:next w:val="1"/>
    <w:qFormat/>
    <w:uiPriority w:val="0"/>
    <w:rPr>
      <w:rFonts w:ascii="Helvetica Neue" w:hAnsi="Helvetica Neue" w:eastAsia="Arial Unicode MS" w:cs="Arial Unicode MS"/>
      <w:color w:val="000000"/>
      <w:sz w:val="22"/>
      <w:szCs w:val="22"/>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7314.96</c:v>
                </c:pt>
                <c:pt idx="1">
                  <c:v>7314.96</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7413.25</c:v>
                </c:pt>
                <c:pt idx="1">
                  <c:v>7413.25</c:v>
                </c:pt>
              </c:numCache>
            </c:numRef>
          </c:val>
        </c:ser>
        <c:dLbls>
          <c:showLegendKey val="0"/>
          <c:showVal val="0"/>
          <c:showCatName val="0"/>
          <c:showSerName val="0"/>
          <c:showPercent val="0"/>
          <c:showBubbleSize val="0"/>
        </c:dLbls>
        <c:gapWidth val="219"/>
        <c:overlap val="-27"/>
        <c:axId val="188480512"/>
        <c:axId val="22259865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884805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598656"/>
        <c:crosses val="autoZero"/>
        <c:auto val="1"/>
        <c:lblAlgn val="ctr"/>
        <c:lblOffset val="100"/>
        <c:noMultiLvlLbl val="0"/>
      </c:catAx>
      <c:valAx>
        <c:axId val="222598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4805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Sheet1!$A$2:$A$4</c15:sqref>
                  </c15:fullRef>
                </c:ext>
              </c:extLst>
              <c:f>Sheet1!$A$2:$A$4</c:f>
              <c:strCache>
                <c:ptCount val="3"/>
                <c:pt idx="0">
                  <c:v>一般公共预算财政拨款收入</c:v>
                </c:pt>
                <c:pt idx="1">
                  <c:v>政府性基金预算财政拨款收入</c:v>
                </c:pt>
                <c:pt idx="2">
                  <c:v>其他收入</c:v>
                </c:pt>
              </c:strCache>
            </c:strRef>
          </c:cat>
          <c:val>
            <c:numRef>
              <c:extLst>
                <c:ext xmlns:c15="http://schemas.microsoft.com/office/drawing/2012/chart" uri="{02D57815-91ED-43cb-92C2-25804820EDAC}">
                  <c15:fullRef>
                    <c15:sqref>Sheet1!$B$2:$B$4</c15:sqref>
                  </c15:fullRef>
                </c:ext>
              </c:extLst>
              <c:f>Sheet1!$B$2:$B$4</c:f>
              <c:numCache>
                <c:formatCode>General</c:formatCode>
                <c:ptCount val="3"/>
                <c:pt idx="0">
                  <c:v>6812.85</c:v>
                </c:pt>
                <c:pt idx="1">
                  <c:v>547.2</c:v>
                </c:pt>
                <c:pt idx="2">
                  <c:v>22.8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680.59</c:v>
                </c:pt>
                <c:pt idx="1">
                  <c:v>6732.66</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财政拨款收、支决算总计变动情况</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财政拨款收入</c:v>
                </c:pt>
                <c:pt idx="1">
                  <c:v>财政拨款支出</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7314.96</c:v>
                </c:pt>
                <c:pt idx="1">
                  <c:v>7314.96</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财政拨款收入</c:v>
                </c:pt>
                <c:pt idx="1">
                  <c:v>财政拨款支出</c:v>
                </c:pt>
              </c:strCache>
            </c:strRef>
          </c:cat>
          <c:val>
            <c:numRef>
              <c:extLst>
                <c:ext xmlns:c15="http://schemas.microsoft.com/office/drawing/2012/chart" uri="{02D57815-91ED-43cb-92C2-25804820EDAC}">
                  <c15:fullRef>
                    <c15:sqref>Sheet1!$C$2:$C$3</c15:sqref>
                  </c15:fullRef>
                </c:ext>
              </c:extLst>
              <c:f>Sheet1!$C$2:$C$3</c:f>
              <c:numCache>
                <c:formatCode>General</c:formatCode>
                <c:ptCount val="2"/>
                <c:pt idx="0">
                  <c:v>7390.45</c:v>
                </c:pt>
                <c:pt idx="1">
                  <c:v>7390.45</c:v>
                </c:pt>
              </c:numCache>
            </c:numRef>
          </c:val>
        </c:ser>
        <c:dLbls>
          <c:showLegendKey val="0"/>
          <c:showVal val="0"/>
          <c:showCatName val="0"/>
          <c:showSerName val="0"/>
          <c:showPercent val="0"/>
          <c:showBubbleSize val="0"/>
        </c:dLbls>
        <c:gapWidth val="219"/>
        <c:overlap val="-27"/>
        <c:axId val="203462528"/>
        <c:axId val="20346406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财政拨款收入</c:v>
                      </c:pt>
                      <c:pt idx="1">
                        <c:v>财政拨款支出</c:v>
                      </c:pt>
                    </c:strCache>
                  </c:strRef>
                </c:cat>
              </c15:ser>
            </c15:filteredBarSeries>
          </c:ext>
        </c:extLst>
      </c:barChart>
      <c:catAx>
        <c:axId val="2034625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464064"/>
        <c:crosses val="autoZero"/>
        <c:auto val="1"/>
        <c:lblAlgn val="ctr"/>
        <c:lblOffset val="100"/>
        <c:noMultiLvlLbl val="0"/>
      </c:catAx>
      <c:valAx>
        <c:axId val="203464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46252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c15:sqref>
                  </c15:fullRef>
                </c:ext>
              </c:extLst>
              <c:f>Sheet1!$A$2</c:f>
              <c:strCache>
                <c:ptCount val="1"/>
                <c:pt idx="0">
                  <c:v>一般公共预算财政拨款支出</c:v>
                </c:pt>
              </c:strCache>
            </c:strRef>
          </c:cat>
          <c:val>
            <c:numRef>
              <c:extLst>
                <c:ext xmlns:c15="http://schemas.microsoft.com/office/drawing/2012/chart" uri="{02D57815-91ED-43cb-92C2-25804820EDAC}">
                  <c15:fullRef>
                    <c15:sqref>Sheet1!$B$2</c15:sqref>
                  </c15:fullRef>
                </c:ext>
              </c:extLst>
              <c:f>Sheet1!$B$2</c:f>
              <c:numCache>
                <c:formatCode>General</c:formatCode>
                <c:ptCount val="1"/>
                <c:pt idx="0">
                  <c:v>5484.87</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c15:sqref>
                  </c15:fullRef>
                </c:ext>
              </c:extLst>
              <c:f>Sheet1!$A$2</c:f>
              <c:strCache>
                <c:ptCount val="1"/>
                <c:pt idx="0">
                  <c:v>一般公共预算财政拨款支出</c:v>
                </c:pt>
              </c:strCache>
            </c:strRef>
          </c:cat>
          <c:val>
            <c:numRef>
              <c:extLst>
                <c:ext xmlns:c15="http://schemas.microsoft.com/office/drawing/2012/chart" uri="{02D57815-91ED-43cb-92C2-25804820EDAC}">
                  <c15:fullRef>
                    <c15:sqref>Sheet1!$C$2</c15:sqref>
                  </c15:fullRef>
                </c:ext>
              </c:extLst>
              <c:f>Sheet1!$C$2</c:f>
              <c:numCache>
                <c:formatCode>General</c:formatCode>
                <c:ptCount val="1"/>
                <c:pt idx="0">
                  <c:v>6812.85</c:v>
                </c:pt>
              </c:numCache>
            </c:numRef>
          </c:val>
        </c:ser>
        <c:dLbls>
          <c:showLegendKey val="0"/>
          <c:showVal val="1"/>
          <c:showCatName val="0"/>
          <c:showSerName val="0"/>
          <c:showPercent val="0"/>
          <c:showBubbleSize val="0"/>
        </c:dLbls>
        <c:gapWidth val="150"/>
        <c:overlap val="-25"/>
        <c:axId val="217148032"/>
        <c:axId val="21716211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Sheet1!$A$2</c15:sqref>
                        </c15:fullRef>
                        <c15:formulaRef>
                          <c15:sqref>Sheet1!$A$2</c15:sqref>
                        </c15:formulaRef>
                      </c:ext>
                    </c:extLst>
                    <c:strCache>
                      <c:ptCount val="1"/>
                      <c:pt idx="0">
                        <c:v>一般公共预算财政拨款支出</c:v>
                      </c:pt>
                    </c:strCache>
                  </c:strRef>
                </c:cat>
              </c15:ser>
            </c15:filteredBarSeries>
          </c:ext>
        </c:extLst>
      </c:barChart>
      <c:catAx>
        <c:axId val="2171480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162112"/>
        <c:crosses val="autoZero"/>
        <c:auto val="1"/>
        <c:lblAlgn val="ctr"/>
        <c:lblOffset val="100"/>
        <c:noMultiLvlLbl val="0"/>
      </c:catAx>
      <c:valAx>
        <c:axId val="217162112"/>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714803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7A473-FE1B-4D1E-8C7D-C7AD62DD687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2163</Words>
  <Characters>12331</Characters>
  <Lines>102</Lines>
  <Paragraphs>28</Paragraphs>
  <TotalTime>1</TotalTime>
  <ScaleCrop>false</ScaleCrop>
  <LinksUpToDate>false</LinksUpToDate>
  <CharactersWithSpaces>14466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2025-10-21T04:11:00Z</dcterms:created>
  <dc:creator>曹颖</dc:creator>
  <cp:lastModifiedBy>盐边县综合行政执法局</cp:lastModifiedBy>
  <cp:lastPrinted>2025-10-14T02:16:00Z</cp:lastPrinted>
  <dcterms:modified xsi:type="dcterms:W3CDTF">2025-10-28T01:07:59Z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04787F2533EB45DC91BCDE4AB213247F</vt:lpwstr>
  </property>
  <property fmtid="{D5CDD505-2E9C-101B-9397-08002B2CF9AE}" pid="4" name="KSOTemplateDocerSaveRecord">
    <vt:lpwstr>eyJoZGlkIjoiNTdkYmIyOWNmZDQ5NzFjMTAwNWRmODE5MjU5MzQ2M2MiLCJ1c2VySWQiOiI0NTcxOTkwNzcifQ==</vt:lpwstr>
  </property>
</Properties>
</file>