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95936">
      <w:pPr>
        <w:pStyle w:val="2"/>
        <w:spacing w:before="93"/>
        <w:rPr>
          <w:rFonts w:ascii="Times New Roman" w:eastAsia="方正小标宋简体"/>
          <w:kern w:val="2"/>
          <w:sz w:val="72"/>
          <w:szCs w:val="72"/>
        </w:rPr>
      </w:pPr>
      <w:bookmarkStart w:id="0" w:name="_Toc15377193"/>
      <w:bookmarkStart w:id="1" w:name="_Toc15396597"/>
      <w:bookmarkStart w:id="2" w:name="_Toc15306267"/>
      <w:bookmarkStart w:id="3" w:name="_Toc15378441"/>
      <w:bookmarkStart w:id="4" w:name="_Toc15377425"/>
      <w:bookmarkStart w:id="5" w:name="_Toc15396475"/>
    </w:p>
    <w:p w14:paraId="550E2604">
      <w:pPr>
        <w:pStyle w:val="2"/>
        <w:spacing w:before="93"/>
        <w:rPr>
          <w:rFonts w:ascii="Times New Roman" w:eastAsia="方正小标宋简体"/>
          <w:kern w:val="2"/>
          <w:sz w:val="72"/>
          <w:szCs w:val="72"/>
        </w:rPr>
      </w:pPr>
    </w:p>
    <w:p w14:paraId="091B168F">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7C162879">
      <w:pPr>
        <w:pStyle w:val="2"/>
        <w:spacing w:before="93"/>
        <w:jc w:val="center"/>
        <w:rPr>
          <w:rFonts w:hint="eastAsia" w:ascii="Times New Roman" w:eastAsia="方正小标宋简体"/>
          <w:kern w:val="2"/>
          <w:sz w:val="72"/>
          <w:szCs w:val="72"/>
          <w:lang w:val="en-US" w:eastAsia="zh-CN"/>
        </w:rPr>
      </w:pPr>
      <w:r>
        <w:rPr>
          <w:rFonts w:hint="eastAsia" w:ascii="Times New Roman" w:eastAsia="方正小标宋简体"/>
          <w:kern w:val="2"/>
          <w:sz w:val="72"/>
          <w:szCs w:val="72"/>
        </w:rPr>
        <w:t>盐边县</w:t>
      </w:r>
      <w:r>
        <w:rPr>
          <w:rFonts w:hint="eastAsia" w:ascii="Times New Roman" w:eastAsia="方正小标宋简体"/>
          <w:kern w:val="2"/>
          <w:sz w:val="72"/>
          <w:szCs w:val="72"/>
          <w:lang w:val="en-US" w:eastAsia="zh-CN"/>
        </w:rPr>
        <w:t>残疾人联合会</w:t>
      </w:r>
    </w:p>
    <w:p w14:paraId="5D91985C">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单位决算</w:t>
      </w:r>
    </w:p>
    <w:p w14:paraId="38D4FB26">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14:paraId="18C7C72D">
      <w:pPr>
        <w:spacing w:line="600" w:lineRule="exact"/>
        <w:jc w:val="center"/>
        <w:outlineLvl w:val="0"/>
        <w:rPr>
          <w:rFonts w:eastAsia="方正小标宋简体"/>
          <w:sz w:val="72"/>
          <w:szCs w:val="72"/>
        </w:rPr>
      </w:pPr>
    </w:p>
    <w:p w14:paraId="13B50AF4">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4F7D1782"/>
    <w:bookmarkEnd w:id="0"/>
    <w:bookmarkEnd w:id="1"/>
    <w:bookmarkEnd w:id="2"/>
    <w:bookmarkEnd w:id="3"/>
    <w:bookmarkEnd w:id="4"/>
    <w:bookmarkEnd w:id="5"/>
    <w:p w14:paraId="64D15BF1">
      <w:pPr>
        <w:widowControl/>
        <w:jc w:val="center"/>
        <w:rPr>
          <w:rFonts w:eastAsia="黑体"/>
          <w:sz w:val="48"/>
          <w:szCs w:val="48"/>
        </w:rPr>
      </w:pPr>
      <w:r>
        <w:rPr>
          <w:rFonts w:hint="eastAsia" w:eastAsia="黑体"/>
          <w:sz w:val="48"/>
          <w:szCs w:val="48"/>
        </w:rPr>
        <w:t>目录</w:t>
      </w:r>
    </w:p>
    <w:p w14:paraId="2B7B6172">
      <w:pPr>
        <w:widowControl/>
        <w:jc w:val="center"/>
        <w:rPr>
          <w:rFonts w:eastAsia="黑体" w:cstheme="minorBidi"/>
          <w:sz w:val="28"/>
          <w:szCs w:val="28"/>
        </w:rPr>
      </w:pPr>
    </w:p>
    <w:p w14:paraId="016F0D68">
      <w:pPr>
        <w:pStyle w:val="12"/>
        <w:rPr>
          <w:rFonts w:ascii="Times New Roman" w:hAnsi="Times New Roman" w:eastAsia="仿宋_GB2312" w:cs="仿宋_GB2312"/>
        </w:rPr>
      </w:pPr>
      <w:r>
        <w:rPr>
          <w:rFonts w:hint="eastAsia" w:ascii="Times New Roman" w:hAnsi="Times New Roman" w:eastAsia="仿宋_GB2312" w:cs="仿宋_GB2312"/>
        </w:rPr>
        <w:t xml:space="preserve">公开时间：2025年10月 </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 xml:space="preserve"> 日</w:t>
      </w:r>
    </w:p>
    <w:p w14:paraId="33D1AE7A">
      <w:pPr>
        <w:rPr>
          <w:sz w:val="28"/>
          <w:szCs w:val="28"/>
        </w:rPr>
      </w:pPr>
    </w:p>
    <w:p w14:paraId="56844778">
      <w:pPr>
        <w:pStyle w:val="12"/>
        <w:adjustRightInd w:val="0"/>
        <w:snapToGrid w:val="0"/>
        <w:spacing w:before="0" w:line="560" w:lineRule="exact"/>
        <w:jc w:val="left"/>
        <w:rPr>
          <w:rFonts w:hint="default" w:ascii="Times New Roman" w:hAnsi="Times New Roman" w:eastAsia="黑体" w:cs="黑体"/>
          <w:lang w:val="en-US" w:eastAsia="zh-CN"/>
        </w:rPr>
      </w:pPr>
      <w:r>
        <w:rPr>
          <w:rFonts w:hint="eastAsia" w:ascii="Times New Roman" w:hAnsi="Times New Roman" w:eastAsia="黑体" w:cs="黑体"/>
        </w:rPr>
        <w:t>第一部分 单位概况</w:t>
      </w:r>
      <w:r>
        <w:rPr>
          <w:rFonts w:hint="eastAsia" w:ascii="Times New Roman" w:hAnsi="Times New Roman" w:eastAsia="黑体" w:cs="黑体"/>
          <w:lang w:val="en-US" w:eastAsia="zh-CN"/>
        </w:rPr>
        <w:t>..................................................................................3</w:t>
      </w:r>
    </w:p>
    <w:p w14:paraId="48012027">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一、主要职责</w:t>
      </w:r>
      <w:r>
        <w:rPr>
          <w:rFonts w:hint="eastAsia" w:eastAsia="仿宋_GB2312" w:cs="仿宋_GB2312"/>
          <w:sz w:val="28"/>
          <w:szCs w:val="28"/>
          <w:lang w:val="en-US" w:eastAsia="zh-CN"/>
        </w:rPr>
        <w:t>.....................................................................................3</w:t>
      </w:r>
    </w:p>
    <w:p w14:paraId="3D608932">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二、机构设置</w:t>
      </w:r>
      <w:r>
        <w:rPr>
          <w:rFonts w:hint="eastAsia" w:eastAsia="仿宋_GB2312" w:cs="仿宋_GB2312"/>
          <w:sz w:val="28"/>
          <w:szCs w:val="28"/>
          <w:lang w:val="en-US" w:eastAsia="zh-CN"/>
        </w:rPr>
        <w:t>......................................................................................4</w:t>
      </w:r>
    </w:p>
    <w:p w14:paraId="3264F752">
      <w:pPr>
        <w:pStyle w:val="12"/>
        <w:adjustRightInd w:val="0"/>
        <w:snapToGrid w:val="0"/>
        <w:spacing w:before="0" w:line="560" w:lineRule="exact"/>
        <w:jc w:val="left"/>
        <w:rPr>
          <w:rFonts w:hint="default" w:ascii="Times New Roman" w:hAnsi="Times New Roman" w:eastAsia="黑体" w:cs="黑体"/>
          <w:lang w:val="en-US" w:eastAsia="zh-CN"/>
        </w:rPr>
      </w:pPr>
      <w:r>
        <w:rPr>
          <w:rFonts w:hint="eastAsia" w:ascii="Times New Roman" w:hAnsi="Times New Roman" w:eastAsia="黑体" w:cs="黑体"/>
        </w:rPr>
        <w:t>第二部分 2024年度部门决算情况说明</w:t>
      </w:r>
      <w:r>
        <w:rPr>
          <w:rFonts w:hint="eastAsia" w:ascii="Times New Roman" w:hAnsi="Times New Roman" w:eastAsia="黑体" w:cs="黑体"/>
          <w:lang w:val="en-US" w:eastAsia="zh-CN"/>
        </w:rPr>
        <w:t>..................................................5</w:t>
      </w:r>
    </w:p>
    <w:p w14:paraId="59378CD9">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一、收入支出决算总体情况说明</w:t>
      </w:r>
      <w:r>
        <w:rPr>
          <w:rFonts w:hint="eastAsia" w:eastAsia="仿宋_GB2312" w:cs="仿宋_GB2312"/>
          <w:sz w:val="28"/>
          <w:szCs w:val="28"/>
          <w:lang w:val="en-US" w:eastAsia="zh-CN"/>
        </w:rPr>
        <w:t>......................................................5</w:t>
      </w:r>
    </w:p>
    <w:p w14:paraId="3FA479BB">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二、收入决算情况说明</w:t>
      </w:r>
      <w:r>
        <w:rPr>
          <w:rFonts w:hint="eastAsia" w:eastAsia="仿宋_GB2312" w:cs="仿宋_GB2312"/>
          <w:sz w:val="28"/>
          <w:szCs w:val="28"/>
          <w:lang w:val="en-US" w:eastAsia="zh-CN"/>
        </w:rPr>
        <w:t>.....................................................................5</w:t>
      </w:r>
    </w:p>
    <w:p w14:paraId="4AAD2CBE">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三、支出决算情况说明</w:t>
      </w:r>
      <w:r>
        <w:rPr>
          <w:rFonts w:hint="eastAsia" w:eastAsia="仿宋_GB2312" w:cs="仿宋_GB2312"/>
          <w:sz w:val="28"/>
          <w:szCs w:val="28"/>
          <w:lang w:val="en-US" w:eastAsia="zh-CN"/>
        </w:rPr>
        <w:t>....................................................................6</w:t>
      </w:r>
    </w:p>
    <w:p w14:paraId="6AAAC672">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四、财政拨款收入支出决算总体情况说明</w:t>
      </w:r>
      <w:r>
        <w:rPr>
          <w:rFonts w:hint="eastAsia" w:eastAsia="仿宋_GB2312" w:cs="仿宋_GB2312"/>
          <w:sz w:val="28"/>
          <w:szCs w:val="28"/>
          <w:lang w:val="en-US" w:eastAsia="zh-CN"/>
        </w:rPr>
        <w:t>.....................................7</w:t>
      </w:r>
    </w:p>
    <w:p w14:paraId="40649526">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五、一般公共预算财政拨款支出决算情况说明</w:t>
      </w:r>
      <w:r>
        <w:rPr>
          <w:rFonts w:hint="eastAsia" w:eastAsia="仿宋_GB2312" w:cs="仿宋_GB2312"/>
          <w:sz w:val="28"/>
          <w:szCs w:val="28"/>
          <w:lang w:val="en-US" w:eastAsia="zh-CN"/>
        </w:rPr>
        <w:t>.............................7</w:t>
      </w:r>
    </w:p>
    <w:p w14:paraId="156787C9">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六、一般公共预算财政拨款基本支出决算情况说明</w:t>
      </w:r>
      <w:r>
        <w:rPr>
          <w:rFonts w:hint="eastAsia" w:eastAsia="仿宋_GB2312" w:cs="仿宋_GB2312"/>
          <w:sz w:val="28"/>
          <w:szCs w:val="28"/>
          <w:lang w:val="en-US" w:eastAsia="zh-CN"/>
        </w:rPr>
        <w:t>....................10</w:t>
      </w:r>
    </w:p>
    <w:p w14:paraId="1F088B0A">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七、财政拨款“三公”经费支出决算情况说明</w:t>
      </w:r>
      <w:r>
        <w:rPr>
          <w:rFonts w:hint="eastAsia" w:eastAsia="仿宋_GB2312" w:cs="仿宋_GB2312"/>
          <w:sz w:val="28"/>
          <w:szCs w:val="28"/>
          <w:lang w:val="en-US" w:eastAsia="zh-CN"/>
        </w:rPr>
        <w:t>.............................11</w:t>
      </w:r>
    </w:p>
    <w:p w14:paraId="3115B526">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八、政府性基金预算支出决算情况说明</w:t>
      </w:r>
      <w:r>
        <w:rPr>
          <w:rFonts w:hint="eastAsia" w:eastAsia="仿宋_GB2312" w:cs="仿宋_GB2312"/>
          <w:sz w:val="28"/>
          <w:szCs w:val="28"/>
          <w:lang w:val="en-US" w:eastAsia="zh-CN"/>
        </w:rPr>
        <w:t>........................................13</w:t>
      </w:r>
    </w:p>
    <w:p w14:paraId="3FBCEBAA">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九、国有资本经营预算支出决算情况说明</w:t>
      </w:r>
      <w:r>
        <w:rPr>
          <w:rFonts w:hint="eastAsia" w:eastAsia="仿宋_GB2312" w:cs="仿宋_GB2312"/>
          <w:sz w:val="28"/>
          <w:szCs w:val="28"/>
          <w:lang w:val="en-US" w:eastAsia="zh-CN"/>
        </w:rPr>
        <w:t>...................................13</w:t>
      </w:r>
    </w:p>
    <w:p w14:paraId="7D7601B0">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十、其他重要事项的情况说明</w:t>
      </w:r>
      <w:r>
        <w:rPr>
          <w:rFonts w:hint="eastAsia" w:eastAsia="仿宋_GB2312" w:cs="仿宋_GB2312"/>
          <w:sz w:val="28"/>
          <w:szCs w:val="28"/>
          <w:lang w:val="en-US" w:eastAsia="zh-CN"/>
        </w:rPr>
        <w:t>.......................................................13</w:t>
      </w:r>
    </w:p>
    <w:p w14:paraId="2A0D6E30">
      <w:pPr>
        <w:pStyle w:val="12"/>
        <w:adjustRightInd w:val="0"/>
        <w:snapToGrid w:val="0"/>
        <w:spacing w:before="0" w:line="560" w:lineRule="exact"/>
        <w:jc w:val="left"/>
        <w:rPr>
          <w:rFonts w:hint="default" w:ascii="Times New Roman" w:hAnsi="Times New Roman" w:eastAsia="黑体" w:cs="黑体"/>
          <w:lang w:val="en-US" w:eastAsia="zh-CN"/>
        </w:rPr>
      </w:pPr>
      <w:r>
        <w:rPr>
          <w:rFonts w:hint="eastAsia" w:ascii="Times New Roman" w:hAnsi="Times New Roman" w:eastAsia="黑体" w:cs="黑体"/>
        </w:rPr>
        <w:t>第三部分 名词解释</w:t>
      </w:r>
      <w:r>
        <w:rPr>
          <w:rFonts w:hint="eastAsia" w:ascii="Times New Roman" w:hAnsi="Times New Roman" w:eastAsia="黑体" w:cs="黑体"/>
          <w:lang w:val="en-US" w:eastAsia="zh-CN"/>
        </w:rPr>
        <w:t>................................................................................16</w:t>
      </w:r>
    </w:p>
    <w:p w14:paraId="67DE85C2">
      <w:pPr>
        <w:pStyle w:val="12"/>
        <w:adjustRightInd w:val="0"/>
        <w:snapToGrid w:val="0"/>
        <w:spacing w:before="0" w:line="560" w:lineRule="exact"/>
        <w:jc w:val="left"/>
        <w:rPr>
          <w:rFonts w:hint="default" w:ascii="Times New Roman" w:hAnsi="Times New Roman" w:eastAsia="黑体" w:cs="黑体"/>
          <w:lang w:val="en-US" w:eastAsia="zh-CN"/>
        </w:rPr>
      </w:pPr>
      <w:r>
        <w:rPr>
          <w:rFonts w:hint="eastAsia" w:ascii="Times New Roman" w:hAnsi="Times New Roman" w:eastAsia="黑体" w:cs="黑体"/>
        </w:rPr>
        <w:t>第四部分 附件</w:t>
      </w:r>
      <w:r>
        <w:rPr>
          <w:rFonts w:hint="eastAsia" w:ascii="Times New Roman" w:hAnsi="Times New Roman" w:eastAsia="黑体" w:cs="黑体"/>
          <w:lang w:val="en-US" w:eastAsia="zh-CN"/>
        </w:rPr>
        <w:t>........................................................................................21</w:t>
      </w:r>
    </w:p>
    <w:p w14:paraId="6288A8D2">
      <w:pPr>
        <w:pStyle w:val="12"/>
        <w:adjustRightInd w:val="0"/>
        <w:snapToGrid w:val="0"/>
        <w:spacing w:before="0" w:line="560" w:lineRule="exact"/>
        <w:jc w:val="left"/>
        <w:rPr>
          <w:rFonts w:hint="default" w:ascii="Times New Roman" w:hAnsi="Times New Roman" w:eastAsia="黑体" w:cs="黑体"/>
          <w:lang w:val="en-US" w:eastAsia="zh-CN"/>
        </w:rPr>
      </w:pPr>
      <w:r>
        <w:rPr>
          <w:rFonts w:hint="eastAsia" w:ascii="Times New Roman" w:hAnsi="Times New Roman" w:eastAsia="黑体" w:cs="黑体"/>
        </w:rPr>
        <w:t>第五部分 附表</w:t>
      </w:r>
      <w:r>
        <w:rPr>
          <w:rFonts w:hint="eastAsia" w:ascii="Times New Roman" w:hAnsi="Times New Roman" w:eastAsia="黑体" w:cs="黑体"/>
          <w:lang w:val="en-US" w:eastAsia="zh-CN"/>
        </w:rPr>
        <w:t>........................................................................................22</w:t>
      </w:r>
    </w:p>
    <w:p w14:paraId="1F38391A">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一、收入支出决算总表</w:t>
      </w:r>
      <w:r>
        <w:rPr>
          <w:rFonts w:hint="eastAsia" w:eastAsia="仿宋_GB2312" w:cs="仿宋_GB2312"/>
          <w:sz w:val="28"/>
          <w:szCs w:val="28"/>
          <w:lang w:val="en-US" w:eastAsia="zh-CN"/>
        </w:rPr>
        <w:t>...................................................................21</w:t>
      </w:r>
    </w:p>
    <w:p w14:paraId="0BB90FA8">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二、收入决算表</w:t>
      </w:r>
      <w:r>
        <w:rPr>
          <w:rFonts w:hint="eastAsia" w:eastAsia="仿宋_GB2312" w:cs="仿宋_GB2312"/>
          <w:sz w:val="28"/>
          <w:szCs w:val="28"/>
          <w:lang w:val="en-US" w:eastAsia="zh-CN"/>
        </w:rPr>
        <w:t>................................................................................22</w:t>
      </w:r>
    </w:p>
    <w:p w14:paraId="60A4501C">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三、支出决算表</w:t>
      </w:r>
      <w:r>
        <w:rPr>
          <w:rFonts w:hint="eastAsia" w:eastAsia="仿宋_GB2312" w:cs="仿宋_GB2312"/>
          <w:sz w:val="28"/>
          <w:szCs w:val="28"/>
          <w:lang w:val="en-US" w:eastAsia="zh-CN"/>
        </w:rPr>
        <w:t>.............................................................................22</w:t>
      </w:r>
    </w:p>
    <w:p w14:paraId="20A20B58">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四、财政拨款收入支出决算总表</w:t>
      </w:r>
      <w:r>
        <w:rPr>
          <w:rFonts w:hint="eastAsia" w:eastAsia="仿宋_GB2312" w:cs="仿宋_GB2312"/>
          <w:sz w:val="28"/>
          <w:szCs w:val="28"/>
          <w:lang w:val="en-US" w:eastAsia="zh-CN"/>
        </w:rPr>
        <w:t>.................................................22</w:t>
      </w:r>
    </w:p>
    <w:p w14:paraId="6D96CDEB">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五、财政拨款支出决算明细表</w:t>
      </w:r>
      <w:r>
        <w:rPr>
          <w:rFonts w:hint="eastAsia" w:eastAsia="仿宋_GB2312" w:cs="仿宋_GB2312"/>
          <w:sz w:val="28"/>
          <w:szCs w:val="28"/>
          <w:lang w:val="en-US" w:eastAsia="zh-CN"/>
        </w:rPr>
        <w:t>.....................................................22</w:t>
      </w:r>
    </w:p>
    <w:p w14:paraId="0CD9FAAD">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六、一般公共预算财政拨款支出决算表</w:t>
      </w:r>
      <w:r>
        <w:rPr>
          <w:rFonts w:hint="eastAsia" w:eastAsia="仿宋_GB2312" w:cs="仿宋_GB2312"/>
          <w:sz w:val="28"/>
          <w:szCs w:val="28"/>
          <w:lang w:val="en-US" w:eastAsia="zh-CN"/>
        </w:rPr>
        <w:t>.....................................22</w:t>
      </w:r>
    </w:p>
    <w:p w14:paraId="46DA453D">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七、一般公共预算财政拨款支出决算明细表</w:t>
      </w:r>
      <w:r>
        <w:rPr>
          <w:rFonts w:hint="eastAsia" w:eastAsia="仿宋_GB2312" w:cs="仿宋_GB2312"/>
          <w:sz w:val="28"/>
          <w:szCs w:val="28"/>
          <w:lang w:val="en-US" w:eastAsia="zh-CN"/>
        </w:rPr>
        <w:t>.............................22</w:t>
      </w:r>
    </w:p>
    <w:p w14:paraId="29B65216">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八、一般公共预算财政拨款基本支出决算明细表</w:t>
      </w:r>
      <w:r>
        <w:rPr>
          <w:rFonts w:hint="eastAsia" w:eastAsia="仿宋_GB2312" w:cs="仿宋_GB2312"/>
          <w:sz w:val="28"/>
          <w:szCs w:val="28"/>
          <w:lang w:val="en-US" w:eastAsia="zh-CN"/>
        </w:rPr>
        <w:t>.....................22</w:t>
      </w:r>
    </w:p>
    <w:p w14:paraId="1050C1F5">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九、一般公共预算财政拨款项目支出决算表</w:t>
      </w:r>
      <w:r>
        <w:rPr>
          <w:rFonts w:hint="eastAsia" w:eastAsia="仿宋_GB2312" w:cs="仿宋_GB2312"/>
          <w:sz w:val="28"/>
          <w:szCs w:val="28"/>
          <w:lang w:val="en-US" w:eastAsia="zh-CN"/>
        </w:rPr>
        <w:t>.............................22</w:t>
      </w:r>
    </w:p>
    <w:p w14:paraId="347CB8B4">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十、政府性基金预算财政拨款收入支出决算表</w:t>
      </w:r>
      <w:r>
        <w:rPr>
          <w:rFonts w:hint="eastAsia" w:eastAsia="仿宋_GB2312" w:cs="仿宋_GB2312"/>
          <w:sz w:val="28"/>
          <w:szCs w:val="28"/>
          <w:lang w:val="en-US" w:eastAsia="zh-CN"/>
        </w:rPr>
        <w:t>........................22</w:t>
      </w:r>
    </w:p>
    <w:p w14:paraId="1B4E14D7">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十一、国有资本经营预算财政拨款收入支出决算表</w:t>
      </w:r>
      <w:r>
        <w:rPr>
          <w:rFonts w:hint="eastAsia" w:eastAsia="仿宋_GB2312" w:cs="仿宋_GB2312"/>
          <w:sz w:val="28"/>
          <w:szCs w:val="28"/>
          <w:lang w:val="en-US" w:eastAsia="zh-CN"/>
        </w:rPr>
        <w:t>................22</w:t>
      </w:r>
    </w:p>
    <w:p w14:paraId="6F4D8B4B">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十二、国有资本经营预算财政拨款支出决算表</w:t>
      </w:r>
      <w:r>
        <w:rPr>
          <w:rFonts w:hint="eastAsia" w:eastAsia="仿宋_GB2312" w:cs="仿宋_GB2312"/>
          <w:sz w:val="28"/>
          <w:szCs w:val="28"/>
          <w:lang w:val="en-US" w:eastAsia="zh-CN"/>
        </w:rPr>
        <w:t>.........................22</w:t>
      </w:r>
    </w:p>
    <w:p w14:paraId="6063A4C2">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十三、财政拨款“三公”经费支出决算表</w:t>
      </w:r>
      <w:r>
        <w:rPr>
          <w:rFonts w:hint="eastAsia" w:eastAsia="仿宋_GB2312" w:cs="仿宋_GB2312"/>
          <w:sz w:val="28"/>
          <w:szCs w:val="28"/>
          <w:lang w:val="en-US" w:eastAsia="zh-CN"/>
        </w:rPr>
        <w:t>.................................22</w:t>
      </w:r>
    </w:p>
    <w:p w14:paraId="165200F3">
      <w:pPr>
        <w:widowControl/>
        <w:spacing w:line="560" w:lineRule="exact"/>
        <w:jc w:val="left"/>
        <w:rPr>
          <w:rFonts w:eastAsia="仿宋_GB2312" w:cs="仿宋_GB2312"/>
          <w:bCs/>
          <w:kern w:val="44"/>
          <w:sz w:val="24"/>
        </w:rPr>
      </w:pPr>
      <w:bookmarkStart w:id="6" w:name="_Toc15377196"/>
      <w:bookmarkStart w:id="7" w:name="_Toc15396599"/>
      <w:r>
        <w:rPr>
          <w:rFonts w:hint="eastAsia" w:eastAsia="仿宋_GB2312" w:cs="仿宋_GB2312"/>
          <w:b/>
          <w:sz w:val="24"/>
        </w:rPr>
        <w:br w:type="page"/>
      </w:r>
    </w:p>
    <w:p w14:paraId="4E511AE1">
      <w:pPr>
        <w:pStyle w:val="3"/>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p>
    <w:p w14:paraId="15F715F6">
      <w:pPr>
        <w:widowControl/>
        <w:jc w:val="left"/>
        <w:rPr>
          <w:rFonts w:eastAsia="黑体"/>
          <w:sz w:val="32"/>
          <w:szCs w:val="32"/>
        </w:rPr>
      </w:pPr>
    </w:p>
    <w:p w14:paraId="6067026E">
      <w:pPr>
        <w:pStyle w:val="4"/>
        <w:numPr>
          <w:ilvl w:val="0"/>
          <w:numId w:val="1"/>
        </w:numPr>
        <w:rPr>
          <w:rFonts w:hint="eastAsia" w:ascii="Times New Roman" w:hAnsi="Times New Roman" w:eastAsia="黑体"/>
          <w:b w:val="0"/>
        </w:rPr>
      </w:pPr>
      <w:r>
        <w:rPr>
          <w:rFonts w:hint="eastAsia" w:ascii="Times New Roman" w:hAnsi="Times New Roman" w:eastAsia="黑体"/>
          <w:b w:val="0"/>
        </w:rPr>
        <w:t>主要职责</w:t>
      </w:r>
    </w:p>
    <w:p w14:paraId="4149FC64">
      <w:pPr>
        <w:autoSpaceDE w:val="0"/>
        <w:autoSpaceDN w:val="0"/>
        <w:ind w:firstLine="420" w:firstLineChars="200"/>
        <w:rPr>
          <w:rFonts w:hint="eastAsia" w:ascii="仿宋" w:hAnsi="仿宋" w:eastAsia="仿宋" w:cs="仿宋"/>
          <w:sz w:val="33"/>
          <w:szCs w:val="33"/>
        </w:rPr>
      </w:pPr>
      <w:r>
        <w:rPr>
          <w:rFonts w:hint="eastAsia"/>
          <w:lang w:val="en-US" w:eastAsia="zh-CN"/>
        </w:rPr>
        <w:t xml:space="preserve">    </w:t>
      </w:r>
      <w:r>
        <w:rPr>
          <w:rFonts w:hint="eastAsia" w:ascii="仿宋" w:hAnsi="仿宋" w:eastAsia="仿宋" w:cs="仿宋"/>
          <w:lang w:val="en-US" w:eastAsia="zh-CN"/>
        </w:rPr>
        <w:t xml:space="preserve">   </w:t>
      </w:r>
      <w:r>
        <w:rPr>
          <w:rFonts w:hint="eastAsia" w:ascii="仿宋" w:hAnsi="仿宋" w:eastAsia="仿宋" w:cs="仿宋"/>
          <w:sz w:val="33"/>
          <w:szCs w:val="33"/>
        </w:rPr>
        <w:t>盐边县残疾人联合会是中国残疾人联合会的地方组织，是将残疾人自身代表组织、社会福利团体和事业管理机构融为一体的残疾人群众团体。盐边县残疾人联合会由县委、县政府领导，业务上接受市残疾人联合会和县政府有关部门的对口指导，其主要工作任务是</w:t>
      </w:r>
      <w:r>
        <w:rPr>
          <w:rFonts w:hint="eastAsia" w:ascii="仿宋" w:hAnsi="仿宋" w:eastAsia="仿宋" w:cs="仿宋"/>
          <w:sz w:val="33"/>
          <w:szCs w:val="33"/>
          <w:lang w:eastAsia="zh-CN"/>
        </w:rPr>
        <w:t>：</w:t>
      </w:r>
    </w:p>
    <w:p w14:paraId="79F4EA9A">
      <w:pPr>
        <w:autoSpaceDE w:val="0"/>
        <w:autoSpaceDN w:val="0"/>
        <w:ind w:firstLine="660" w:firstLineChars="200"/>
        <w:rPr>
          <w:rFonts w:hint="eastAsia" w:ascii="仿宋" w:hAnsi="仿宋" w:eastAsia="仿宋" w:cs="仿宋"/>
          <w:sz w:val="33"/>
          <w:szCs w:val="33"/>
        </w:rPr>
      </w:pPr>
      <w:r>
        <w:rPr>
          <w:rFonts w:hint="eastAsia" w:ascii="仿宋" w:hAnsi="仿宋" w:eastAsia="仿宋" w:cs="仿宋"/>
          <w:sz w:val="33"/>
          <w:szCs w:val="33"/>
        </w:rPr>
        <w:t>（一）听取残疾人意见，反映残疾人要求，维护残疾人的合法权益，为残疾人服务。</w:t>
      </w:r>
    </w:p>
    <w:p w14:paraId="2FA40BA4">
      <w:pPr>
        <w:autoSpaceDE w:val="0"/>
        <w:autoSpaceDN w:val="0"/>
        <w:ind w:firstLine="660" w:firstLineChars="200"/>
        <w:rPr>
          <w:rFonts w:hint="eastAsia" w:ascii="仿宋" w:hAnsi="仿宋" w:eastAsia="仿宋" w:cs="仿宋"/>
          <w:sz w:val="33"/>
          <w:szCs w:val="33"/>
        </w:rPr>
      </w:pPr>
      <w:r>
        <w:rPr>
          <w:rFonts w:hint="eastAsia" w:ascii="仿宋" w:hAnsi="仿宋" w:eastAsia="仿宋" w:cs="仿宋"/>
          <w:sz w:val="33"/>
          <w:szCs w:val="33"/>
        </w:rPr>
        <w:t>（二）团结、教育残疾人遵纪守法，履行应尽的义务，发扬乐观进取精神，自尊、自信、自强、自立，为社会主义建设贡献力量。</w:t>
      </w:r>
    </w:p>
    <w:p w14:paraId="688710B9">
      <w:pPr>
        <w:autoSpaceDE w:val="0"/>
        <w:autoSpaceDN w:val="0"/>
        <w:ind w:firstLine="660" w:firstLineChars="200"/>
        <w:rPr>
          <w:rFonts w:hint="eastAsia" w:ascii="仿宋" w:hAnsi="仿宋" w:eastAsia="仿宋" w:cs="仿宋"/>
          <w:sz w:val="33"/>
          <w:szCs w:val="33"/>
        </w:rPr>
      </w:pPr>
      <w:r>
        <w:rPr>
          <w:rFonts w:hint="eastAsia" w:ascii="仿宋" w:hAnsi="仿宋" w:eastAsia="仿宋" w:cs="仿宋"/>
          <w:sz w:val="33"/>
          <w:szCs w:val="33"/>
        </w:rPr>
        <w:t>（三）弘扬人道主义，宣传残疾人事业，沟通政府、社会与残疾人之间的联系，动员全社会理解、尊重、关心、帮助残疾人。</w:t>
      </w:r>
    </w:p>
    <w:p w14:paraId="09F0E29F">
      <w:pPr>
        <w:autoSpaceDE w:val="0"/>
        <w:autoSpaceDN w:val="0"/>
        <w:ind w:firstLine="660" w:firstLineChars="200"/>
        <w:rPr>
          <w:rFonts w:hint="eastAsia" w:ascii="仿宋" w:hAnsi="仿宋" w:eastAsia="仿宋" w:cs="仿宋"/>
          <w:sz w:val="33"/>
          <w:szCs w:val="33"/>
        </w:rPr>
      </w:pPr>
      <w:r>
        <w:rPr>
          <w:rFonts w:hint="eastAsia" w:ascii="仿宋" w:hAnsi="仿宋" w:eastAsia="仿宋" w:cs="仿宋"/>
          <w:sz w:val="33"/>
          <w:szCs w:val="33"/>
        </w:rPr>
        <w:t>（四）开展残疾人康复、扶贫、教育、劳动就业、职业培训、文化体育、福利、社会服务、维权、无障碍设施和残疾预防工作，创造良好的社会环境和条件，扶助残疾人平等参与社会生活。</w:t>
      </w:r>
    </w:p>
    <w:p w14:paraId="4FD06523">
      <w:pPr>
        <w:numPr>
          <w:ilvl w:val="0"/>
          <w:numId w:val="0"/>
        </w:numPr>
        <w:rPr>
          <w:rFonts w:hint="default" w:eastAsia="宋体"/>
          <w:lang w:val="en-US" w:eastAsia="zh-CN"/>
        </w:rPr>
      </w:pPr>
    </w:p>
    <w:p w14:paraId="05A3871B">
      <w:pPr>
        <w:pStyle w:val="4"/>
        <w:numPr>
          <w:ilvl w:val="0"/>
          <w:numId w:val="1"/>
        </w:numPr>
        <w:ind w:left="0" w:leftChars="0" w:firstLine="0" w:firstLineChars="0"/>
        <w:rPr>
          <w:rStyle w:val="29"/>
          <w:rFonts w:hint="eastAsia" w:ascii="Times New Roman" w:hAnsi="Times New Roman" w:eastAsia="黑体"/>
          <w:b w:val="0"/>
          <w:bCs w:val="0"/>
        </w:rPr>
      </w:pPr>
      <w:bookmarkStart w:id="8" w:name="_Toc15396601"/>
      <w:bookmarkStart w:id="9" w:name="_Toc15377200"/>
      <w:r>
        <w:rPr>
          <w:rFonts w:hint="eastAsia" w:ascii="Times New Roman" w:hAnsi="Times New Roman" w:eastAsia="黑体"/>
          <w:b w:val="0"/>
        </w:rPr>
        <w:t>机</w:t>
      </w:r>
      <w:r>
        <w:rPr>
          <w:rStyle w:val="29"/>
          <w:rFonts w:hint="eastAsia" w:ascii="Times New Roman" w:hAnsi="Times New Roman" w:eastAsia="黑体"/>
          <w:b w:val="0"/>
          <w:bCs w:val="0"/>
        </w:rPr>
        <w:t>构设置</w:t>
      </w:r>
      <w:bookmarkEnd w:id="8"/>
      <w:bookmarkEnd w:id="9"/>
    </w:p>
    <w:p w14:paraId="3D2CD1A4">
      <w:pPr>
        <w:autoSpaceDE w:val="0"/>
        <w:autoSpaceDN w:val="0"/>
        <w:ind w:firstLine="420" w:firstLineChars="200"/>
        <w:rPr>
          <w:rFonts w:hint="eastAsia"/>
          <w:sz w:val="30"/>
          <w:szCs w:val="30"/>
          <w:lang w:val="en-US" w:eastAsia="zh-CN"/>
        </w:rPr>
      </w:pPr>
      <w:r>
        <w:rPr>
          <w:rFonts w:hint="eastAsia"/>
          <w:lang w:val="en-US" w:eastAsia="zh-CN"/>
        </w:rPr>
        <w:t xml:space="preserve">     </w:t>
      </w:r>
      <w:r>
        <w:rPr>
          <w:rFonts w:hint="eastAsia"/>
          <w:sz w:val="30"/>
          <w:szCs w:val="30"/>
          <w:lang w:val="en-US" w:eastAsia="zh-CN"/>
        </w:rPr>
        <w:t xml:space="preserve"> 盐边县残疾人联合会单位机构设置：内设办公室，残疾人服务大厅（残疾证办证室）、康复股、教就股。</w:t>
      </w:r>
    </w:p>
    <w:p w14:paraId="11333601">
      <w:pPr>
        <w:pStyle w:val="2"/>
        <w:rPr>
          <w:rFonts w:hint="default"/>
          <w:b/>
          <w:bCs/>
          <w:lang w:val="en-US" w:eastAsia="zh-CN"/>
        </w:rPr>
      </w:pPr>
      <w:r>
        <w:rPr>
          <w:rFonts w:hint="eastAsia"/>
          <w:b/>
          <w:bCs/>
          <w:sz w:val="30"/>
          <w:szCs w:val="30"/>
          <w:lang w:val="en-US" w:eastAsia="zh-CN"/>
        </w:rPr>
        <w:t>三、人员情况</w:t>
      </w:r>
    </w:p>
    <w:p w14:paraId="0D383A2A">
      <w:pPr>
        <w:pStyle w:val="2"/>
        <w:rPr>
          <w:rFonts w:hint="eastAsia" w:asciiTheme="majorEastAsia" w:hAnsiTheme="majorEastAsia" w:eastAsiaTheme="majorEastAsia" w:cstheme="majorEastAsia"/>
          <w:lang w:val="en-US" w:eastAsia="zh-CN"/>
        </w:rPr>
      </w:pPr>
      <w:r>
        <w:rPr>
          <w:rFonts w:hint="eastAsia"/>
          <w:lang w:val="en-US" w:eastAsia="zh-CN"/>
        </w:rPr>
        <w:t xml:space="preserve">        </w:t>
      </w:r>
      <w:r>
        <w:rPr>
          <w:rFonts w:hint="eastAsia" w:asciiTheme="majorEastAsia" w:hAnsiTheme="majorEastAsia" w:eastAsiaTheme="majorEastAsia" w:cstheme="majorEastAsia"/>
          <w:sz w:val="30"/>
          <w:szCs w:val="30"/>
          <w:lang w:val="en-US" w:eastAsia="zh-CN"/>
        </w:rPr>
        <w:t xml:space="preserve"> 盐边县残疾人联合会2024年末，在职6人，退休4人。</w:t>
      </w:r>
    </w:p>
    <w:p w14:paraId="70BF40CA">
      <w:pPr>
        <w:numPr>
          <w:ilvl w:val="0"/>
          <w:numId w:val="0"/>
        </w:numPr>
        <w:ind w:leftChars="0"/>
        <w:rPr>
          <w:rFonts w:hint="eastAsia" w:asciiTheme="majorEastAsia" w:hAnsiTheme="majorEastAsia" w:eastAsiaTheme="majorEastAsia" w:cstheme="majorEastAsia"/>
          <w:sz w:val="30"/>
          <w:szCs w:val="30"/>
          <w:lang w:val="en-US" w:eastAsia="zh-CN"/>
        </w:rPr>
      </w:pPr>
    </w:p>
    <w:p w14:paraId="0999312F">
      <w:pPr>
        <w:rPr>
          <w:rFonts w:hint="default" w:eastAsia="黑体"/>
          <w:sz w:val="30"/>
          <w:szCs w:val="30"/>
          <w:lang w:val="en-US" w:eastAsia="zh-CN"/>
        </w:rPr>
      </w:pPr>
      <w:r>
        <w:rPr>
          <w:rFonts w:hint="eastAsia" w:eastAsia="黑体"/>
          <w:sz w:val="30"/>
          <w:szCs w:val="30"/>
          <w:lang w:val="en-US" w:eastAsia="zh-CN"/>
        </w:rPr>
        <w:t xml:space="preserve">  </w:t>
      </w:r>
    </w:p>
    <w:p w14:paraId="010684B9">
      <w:pPr>
        <w:ind w:firstLine="750" w:firstLineChars="250"/>
        <w:rPr>
          <w:rFonts w:eastAsia="仿宋_GB2312" w:cs="仿宋_GB2312"/>
          <w:sz w:val="30"/>
          <w:szCs w:val="30"/>
        </w:rPr>
      </w:pPr>
    </w:p>
    <w:p w14:paraId="75746A57">
      <w:pPr>
        <w:pStyle w:val="13"/>
      </w:pPr>
    </w:p>
    <w:p w14:paraId="3A2D4C54">
      <w:pPr>
        <w:pStyle w:val="7"/>
        <w:ind w:left="420"/>
      </w:pPr>
    </w:p>
    <w:p w14:paraId="53D726E3">
      <w:pPr>
        <w:pStyle w:val="7"/>
        <w:ind w:left="420"/>
      </w:pPr>
    </w:p>
    <w:p w14:paraId="110F1E8A">
      <w:pPr>
        <w:pStyle w:val="7"/>
        <w:ind w:left="420"/>
      </w:pPr>
    </w:p>
    <w:p w14:paraId="66999CB8">
      <w:pPr>
        <w:pStyle w:val="7"/>
        <w:ind w:left="420"/>
      </w:pPr>
    </w:p>
    <w:p w14:paraId="5C79AE36">
      <w:pPr>
        <w:pStyle w:val="7"/>
        <w:ind w:left="420"/>
      </w:pPr>
    </w:p>
    <w:p w14:paraId="51CB8B65">
      <w:pPr>
        <w:pStyle w:val="7"/>
        <w:ind w:left="420"/>
      </w:pPr>
    </w:p>
    <w:p w14:paraId="074E57B4">
      <w:pPr>
        <w:pStyle w:val="7"/>
        <w:ind w:left="420"/>
      </w:pPr>
    </w:p>
    <w:p w14:paraId="04DFB6B6">
      <w:pPr>
        <w:pStyle w:val="7"/>
        <w:ind w:left="420"/>
      </w:pPr>
    </w:p>
    <w:p w14:paraId="512446A0">
      <w:pPr>
        <w:pStyle w:val="7"/>
        <w:ind w:left="420"/>
      </w:pPr>
    </w:p>
    <w:p w14:paraId="307CBDB8">
      <w:pPr>
        <w:pStyle w:val="7"/>
        <w:ind w:left="420"/>
      </w:pPr>
    </w:p>
    <w:p w14:paraId="235BBD41">
      <w:pPr>
        <w:pStyle w:val="7"/>
        <w:ind w:left="420"/>
      </w:pPr>
    </w:p>
    <w:p w14:paraId="263CCE88">
      <w:pPr>
        <w:pStyle w:val="7"/>
        <w:ind w:left="420"/>
      </w:pPr>
    </w:p>
    <w:p w14:paraId="63FD4FA6">
      <w:pPr>
        <w:pStyle w:val="7"/>
        <w:ind w:left="420"/>
      </w:pPr>
    </w:p>
    <w:p w14:paraId="128BB572">
      <w:pPr>
        <w:pStyle w:val="7"/>
        <w:ind w:left="420"/>
      </w:pPr>
    </w:p>
    <w:p w14:paraId="15B07A2F">
      <w:pPr>
        <w:pStyle w:val="7"/>
        <w:ind w:left="420"/>
      </w:pPr>
    </w:p>
    <w:p w14:paraId="61AE88DA">
      <w:pPr>
        <w:pStyle w:val="7"/>
        <w:ind w:left="420"/>
      </w:pPr>
    </w:p>
    <w:p w14:paraId="78595C40">
      <w:pPr>
        <w:pStyle w:val="7"/>
        <w:ind w:left="420"/>
      </w:pPr>
    </w:p>
    <w:p w14:paraId="44101BA1">
      <w:pPr>
        <w:pStyle w:val="7"/>
        <w:ind w:left="420"/>
      </w:pPr>
    </w:p>
    <w:p w14:paraId="7C1F7E47">
      <w:pPr>
        <w:pStyle w:val="3"/>
        <w:jc w:val="center"/>
        <w:rPr>
          <w:rFonts w:hint="eastAsia" w:eastAsia="方正小标宋简体" w:cs="方正小标宋简体"/>
          <w:b w:val="0"/>
        </w:rPr>
      </w:pPr>
      <w:bookmarkStart w:id="10" w:name="_Toc15377204"/>
      <w:bookmarkStart w:id="11" w:name="_Toc15396602"/>
    </w:p>
    <w:p w14:paraId="38A80F5D">
      <w:pPr>
        <w:pStyle w:val="3"/>
        <w:jc w:val="center"/>
      </w:pPr>
      <w:r>
        <w:rPr>
          <w:rFonts w:hint="eastAsia" w:eastAsia="方正小标宋简体" w:cs="方正小标宋简体"/>
          <w:b w:val="0"/>
        </w:rPr>
        <w:t>第二部分  2024年度部门决算情况说明</w:t>
      </w:r>
      <w:bookmarkEnd w:id="10"/>
      <w:bookmarkEnd w:id="11"/>
    </w:p>
    <w:p w14:paraId="144FA9A3">
      <w:pPr>
        <w:pStyle w:val="27"/>
        <w:spacing w:line="600" w:lineRule="exact"/>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14:paraId="3272F524">
      <w:pPr>
        <w:pStyle w:val="27"/>
        <w:spacing w:line="600" w:lineRule="exact"/>
        <w:ind w:firstLine="640"/>
        <w:outlineLvl w:val="1"/>
        <w:rPr>
          <w:rFonts w:ascii="仿宋_GB2312" w:hAnsi="仿宋" w:eastAsia="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831.26</w:t>
      </w:r>
      <w:r>
        <w:rPr>
          <w:rFonts w:hint="eastAsia" w:eastAsia="仿宋_GB2312" w:cs="仿宋_GB2312"/>
          <w:sz w:val="32"/>
          <w:szCs w:val="32"/>
        </w:rPr>
        <w:t>万元。与2023年度相比，收入、支出总计各减少53.15万元，下</w:t>
      </w:r>
      <w:r>
        <w:rPr>
          <w:rFonts w:hint="eastAsia" w:ascii="仿宋_GB2312" w:hAnsi="仿宋_GB2312" w:eastAsia="仿宋_GB2312" w:cs="仿宋_GB2312"/>
          <w:sz w:val="32"/>
          <w:szCs w:val="32"/>
        </w:rPr>
        <w:t>降</w:t>
      </w:r>
      <w:r>
        <w:rPr>
          <w:rFonts w:hint="eastAsia" w:eastAsia="仿宋_GB2312" w:cs="仿宋_GB2312"/>
          <w:sz w:val="32"/>
          <w:szCs w:val="32"/>
        </w:rPr>
        <w:t>6.01%。主要变动原因是</w:t>
      </w:r>
      <w:r>
        <w:rPr>
          <w:rFonts w:hint="eastAsia" w:ascii="仿宋_GB2312" w:hAnsi="仿宋" w:eastAsia="仿宋_GB2312"/>
          <w:sz w:val="32"/>
          <w:szCs w:val="32"/>
        </w:rPr>
        <w:t>2024年残疾人事业发展补助资金县级配套减少。</w:t>
      </w:r>
    </w:p>
    <w:p w14:paraId="488FD95E">
      <w:pPr>
        <w:pStyle w:val="27"/>
        <w:spacing w:line="600" w:lineRule="exact"/>
        <w:ind w:firstLine="640"/>
        <w:outlineLvl w:val="1"/>
        <w:rPr>
          <w:rFonts w:eastAsia="仿宋_GB2312" w:cs="仿宋_GB2312"/>
          <w:sz w:val="32"/>
          <w:szCs w:val="32"/>
        </w:rPr>
      </w:pPr>
      <w:r>
        <w:rPr>
          <w:rFonts w:hint="eastAsia" w:eastAsia="仿宋_GB2312" w:cs="仿宋_GB2312"/>
          <w:sz w:val="32"/>
          <w:szCs w:val="32"/>
        </w:rPr>
        <w:t>（图1：收入、支出决算总计变动情况图）（柱状图）</w:t>
      </w:r>
    </w:p>
    <w:p w14:paraId="793C5B52">
      <w:pPr>
        <w:pStyle w:val="13"/>
      </w:pPr>
    </w:p>
    <w:p w14:paraId="024D289A">
      <w:pPr>
        <w:ind w:firstLine="420" w:firstLineChars="200"/>
        <w:rPr>
          <w:rFonts w:eastAsia="仿宋_GB2312" w:cs="仿宋_GB2312"/>
          <w:sz w:val="32"/>
          <w:szCs w:val="32"/>
        </w:rPr>
      </w:pPr>
      <w:r>
        <w:drawing>
          <wp:inline distT="0" distB="0" distL="0" distR="0">
            <wp:extent cx="5274310" cy="3181350"/>
            <wp:effectExtent l="5080" t="4445" r="16510"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D60AA5">
      <w:pPr>
        <w:ind w:firstLine="640" w:firstLineChars="200"/>
        <w:rPr>
          <w:rFonts w:eastAsia="仿宋_GB2312" w:cs="仿宋_GB2312"/>
          <w:sz w:val="32"/>
          <w:szCs w:val="32"/>
        </w:rPr>
      </w:pPr>
    </w:p>
    <w:p w14:paraId="4155E0A2">
      <w:pPr>
        <w:pStyle w:val="27"/>
        <w:spacing w:line="600" w:lineRule="exact"/>
        <w:ind w:firstLine="640"/>
        <w:outlineLvl w:val="1"/>
        <w:rPr>
          <w:rFonts w:eastAsia="黑体"/>
          <w:sz w:val="32"/>
          <w:szCs w:val="32"/>
        </w:rPr>
      </w:pPr>
      <w:bookmarkStart w:id="14" w:name="_Toc15396604"/>
      <w:bookmarkStart w:id="15" w:name="_Toc15377206"/>
      <w:r>
        <w:rPr>
          <w:rFonts w:hint="eastAsia" w:eastAsia="黑体"/>
          <w:sz w:val="32"/>
          <w:szCs w:val="32"/>
        </w:rPr>
        <w:t>二、收入决算情况说明</w:t>
      </w:r>
      <w:bookmarkEnd w:id="14"/>
      <w:bookmarkEnd w:id="15"/>
    </w:p>
    <w:p w14:paraId="567D0A44">
      <w:pPr>
        <w:pStyle w:val="27"/>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831.26万元，其中：一般公共预算财政拨款收入769.86万元，占92.61%；政府性基金预算财政拨款收入61.4万元，占7.38%%；国有资本经营预算财政拨款收入0万元，占0%；上级补助收入0万元，占0%；事业收入0万元，占0%；经营收入0万元，占0%；附属单位上缴收入0万元，占0%；其他收入0万元，占0%。</w:t>
      </w:r>
    </w:p>
    <w:p w14:paraId="7E411953">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5601CF6E">
      <w:pPr>
        <w:ind w:firstLine="525" w:firstLineChars="250"/>
        <w:rPr>
          <w:rFonts w:eastAsia="仿宋_GB2312" w:cs="仿宋_GB2312"/>
          <w:sz w:val="32"/>
          <w:szCs w:val="32"/>
        </w:rPr>
      </w:pPr>
      <w:r>
        <w:drawing>
          <wp:inline distT="0" distB="0" distL="0" distR="0">
            <wp:extent cx="5267325" cy="1852295"/>
            <wp:effectExtent l="4445" t="4445" r="5080" b="1016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688B01">
      <w:pPr>
        <w:pStyle w:val="27"/>
        <w:spacing w:line="600" w:lineRule="exact"/>
        <w:ind w:firstLine="640"/>
        <w:outlineLvl w:val="1"/>
        <w:rPr>
          <w:rStyle w:val="29"/>
          <w:rFonts w:ascii="Times New Roman" w:hAnsi="Times New Roman" w:eastAsia="黑体"/>
          <w:b w:val="0"/>
        </w:rPr>
      </w:pPr>
      <w:bookmarkStart w:id="16" w:name="_Toc15396605"/>
      <w:bookmarkStart w:id="17" w:name="_Toc15377207"/>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14:paraId="1425FA80">
      <w:pPr>
        <w:pStyle w:val="27"/>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2024年度本年支出合计831.26万元，其中：基本支出141.08万元，占16.97%；项目支出690.18万元，占83.02%；上缴上级支出0万元，占0%；经营支出0万元，占0%；对附属单位补助支出0万元，占</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w:t>
      </w:r>
    </w:p>
    <w:p w14:paraId="1696F736">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0E5F8A7E">
      <w:pPr>
        <w:ind w:firstLine="527" w:firstLineChars="250"/>
        <w:rPr>
          <w:rFonts w:eastAsia="仿宋_GB2312" w:cs="仿宋_GB2312"/>
          <w:sz w:val="32"/>
          <w:szCs w:val="32"/>
        </w:rPr>
      </w:pPr>
      <w:r>
        <w:rPr>
          <w:b/>
        </w:rPr>
        <w:drawing>
          <wp:inline distT="0" distB="0" distL="0" distR="0">
            <wp:extent cx="5270500" cy="192405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DC5807">
      <w:pPr>
        <w:ind w:firstLine="800" w:firstLineChars="250"/>
        <w:rPr>
          <w:rFonts w:eastAsia="仿宋_GB2312" w:cs="仿宋_GB2312"/>
          <w:sz w:val="32"/>
          <w:szCs w:val="32"/>
        </w:rPr>
      </w:pPr>
    </w:p>
    <w:p w14:paraId="21BB790A">
      <w:pPr>
        <w:pStyle w:val="2"/>
      </w:pPr>
    </w:p>
    <w:p w14:paraId="17716AC9">
      <w:pPr>
        <w:spacing w:line="600" w:lineRule="exact"/>
        <w:ind w:firstLine="640" w:firstLineChars="200"/>
        <w:outlineLvl w:val="1"/>
        <w:rPr>
          <w:rStyle w:val="29"/>
          <w:rFonts w:ascii="Times New Roman" w:hAnsi="Times New Roman" w:eastAsia="黑体"/>
          <w:b w:val="0"/>
        </w:rPr>
      </w:pPr>
      <w:bookmarkStart w:id="18" w:name="_Toc15396606"/>
      <w:bookmarkStart w:id="19"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14:paraId="0345694A">
      <w:pPr>
        <w:spacing w:line="600" w:lineRule="exact"/>
        <w:ind w:firstLine="640"/>
        <w:rPr>
          <w:rFonts w:ascii="仿宋_GB2312" w:hAnsi="仿宋" w:eastAsia="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831.26</w:t>
      </w:r>
      <w:r>
        <w:rPr>
          <w:rFonts w:hint="eastAsia" w:eastAsia="仿宋_GB2312" w:cs="仿宋_GB2312"/>
          <w:sz w:val="32"/>
          <w:szCs w:val="32"/>
        </w:rPr>
        <w:t>万元。与2023年度相比，财政拨款收入总计、支出总计各减少53.15万元，</w:t>
      </w:r>
      <w:r>
        <w:rPr>
          <w:rFonts w:hint="eastAsia" w:ascii="仿宋_GB2312" w:hAnsi="仿宋_GB2312" w:eastAsia="仿宋_GB2312" w:cs="仿宋_GB2312"/>
          <w:sz w:val="32"/>
          <w:szCs w:val="32"/>
        </w:rPr>
        <w:t>下降</w:t>
      </w:r>
      <w:r>
        <w:rPr>
          <w:rFonts w:hint="eastAsia" w:eastAsia="仿宋_GB2312" w:cs="仿宋_GB2312"/>
          <w:sz w:val="32"/>
          <w:szCs w:val="32"/>
        </w:rPr>
        <w:t>6.01%。主要变动原因是</w:t>
      </w:r>
      <w:r>
        <w:rPr>
          <w:rFonts w:hint="eastAsia" w:ascii="仿宋_GB2312" w:hAnsi="仿宋" w:eastAsia="仿宋_GB2312"/>
          <w:sz w:val="32"/>
          <w:szCs w:val="32"/>
        </w:rPr>
        <w:t>2024年残疾人事业发展补助资金县级配套减少。</w:t>
      </w:r>
    </w:p>
    <w:p w14:paraId="40C95389">
      <w:pPr>
        <w:spacing w:line="600" w:lineRule="exact"/>
        <w:ind w:firstLine="640"/>
        <w:rPr>
          <w:rFonts w:eastAsia="仿宋_GB2312" w:cs="仿宋_GB2312"/>
          <w:sz w:val="32"/>
          <w:szCs w:val="32"/>
        </w:rPr>
      </w:pPr>
      <w:r>
        <w:rPr>
          <w:rFonts w:hint="eastAsia" w:eastAsia="仿宋_GB2312" w:cs="仿宋_GB2312"/>
          <w:sz w:val="32"/>
          <w:szCs w:val="32"/>
        </w:rPr>
        <w:t>（图4：财政拨款收、支决算总计变动情况）（柱状图）</w:t>
      </w:r>
    </w:p>
    <w:p w14:paraId="6B06A5F7">
      <w:pPr>
        <w:pStyle w:val="13"/>
      </w:pPr>
    </w:p>
    <w:p w14:paraId="70B385E6">
      <w:pPr>
        <w:pStyle w:val="7"/>
        <w:ind w:left="420"/>
        <w:rPr>
          <w:rFonts w:eastAsia="仿宋_GB2312" w:cs="仿宋_GB2312"/>
          <w:sz w:val="32"/>
          <w:szCs w:val="32"/>
        </w:rPr>
      </w:pPr>
      <w:r>
        <w:drawing>
          <wp:inline distT="0" distB="0" distL="0" distR="0">
            <wp:extent cx="5267325" cy="1876425"/>
            <wp:effectExtent l="4445" t="4445" r="5080"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3CE97B">
      <w:pPr>
        <w:spacing w:line="600" w:lineRule="exact"/>
        <w:ind w:firstLine="640" w:firstLineChars="200"/>
        <w:outlineLvl w:val="1"/>
        <w:rPr>
          <w:rStyle w:val="29"/>
          <w:rFonts w:ascii="Times New Roman" w:hAnsi="Times New Roman" w:eastAsia="黑体"/>
          <w:b w:val="0"/>
        </w:rPr>
      </w:pPr>
      <w:bookmarkStart w:id="20" w:name="_Toc15377209"/>
      <w:bookmarkStart w:id="21"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14:paraId="3ABB9FAA">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78623FAB">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2024年度一般公共预算财政拨款支出769.86万元，占本年支出合计的92.61%。与2023年度相比，一般公共预算财政拨款支出减少63.55万元，下降7.62%。主要变动原因是</w:t>
      </w:r>
      <w:r>
        <w:rPr>
          <w:rFonts w:hint="eastAsia" w:ascii="仿宋_GB2312" w:hAnsi="仿宋" w:eastAsia="仿宋_GB2312"/>
          <w:sz w:val="32"/>
          <w:szCs w:val="32"/>
        </w:rPr>
        <w:t>2024年残疾人事业发展补助资金县级配套减少。</w:t>
      </w:r>
    </w:p>
    <w:p w14:paraId="71C4F2CD">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61E49A63">
      <w:pPr>
        <w:pStyle w:val="13"/>
      </w:pPr>
    </w:p>
    <w:p w14:paraId="60F4E86F">
      <w:pPr>
        <w:pStyle w:val="2"/>
        <w:rPr>
          <w:rFonts w:eastAsia="仿宋_GB2312" w:cs="仿宋_GB2312"/>
          <w:sz w:val="32"/>
          <w:szCs w:val="32"/>
        </w:rPr>
      </w:pPr>
      <w:r>
        <w:drawing>
          <wp:inline distT="0" distB="0" distL="0" distR="0">
            <wp:extent cx="5270500" cy="2082800"/>
            <wp:effectExtent l="4445" t="4445" r="20955" b="825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CCFED9">
      <w:pPr>
        <w:pStyle w:val="2"/>
        <w:rPr>
          <w:rFonts w:eastAsia="仿宋_GB2312" w:cs="仿宋_GB2312"/>
          <w:sz w:val="32"/>
          <w:szCs w:val="32"/>
        </w:rPr>
      </w:pPr>
    </w:p>
    <w:p w14:paraId="1682ABC9">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14:paraId="2A7A077C">
      <w:pPr>
        <w:spacing w:line="600" w:lineRule="exact"/>
        <w:ind w:firstLine="640"/>
        <w:rPr>
          <w:rFonts w:eastAsia="仿宋_GB2312" w:cs="仿宋_GB2312"/>
          <w:b/>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769.86万元</w:t>
      </w:r>
      <w:r>
        <w:rPr>
          <w:rFonts w:hint="eastAsia" w:eastAsia="仿宋_GB2312" w:cs="仿宋_GB2312"/>
          <w:sz w:val="32"/>
          <w:szCs w:val="32"/>
        </w:rPr>
        <w:t>，主要用于以下方面：社会保障和就业支出</w:t>
      </w:r>
      <w:r>
        <w:rPr>
          <w:rFonts w:hint="eastAsia"/>
          <w:sz w:val="32"/>
          <w:szCs w:val="32"/>
        </w:rPr>
        <w:t>748.80</w:t>
      </w:r>
      <w:r>
        <w:rPr>
          <w:rFonts w:hint="eastAsia" w:eastAsia="仿宋_GB2312" w:cs="仿宋_GB2312"/>
          <w:sz w:val="32"/>
          <w:szCs w:val="32"/>
        </w:rPr>
        <w:t>万元，占97.26%</w:t>
      </w:r>
      <w:r>
        <w:rPr>
          <w:rFonts w:hint="eastAsia" w:eastAsia="仿宋_GB2312" w:cs="仿宋_GB2312"/>
          <w:sz w:val="32"/>
          <w:szCs w:val="32"/>
          <w:lang w:eastAsia="zh-CN"/>
        </w:rPr>
        <w:t>；</w:t>
      </w:r>
      <w:bookmarkStart w:id="57" w:name="_GoBack"/>
      <w:bookmarkEnd w:id="57"/>
      <w:r>
        <w:rPr>
          <w:rFonts w:hint="eastAsia" w:eastAsia="仿宋_GB2312" w:cs="仿宋_GB2312"/>
          <w:sz w:val="32"/>
          <w:szCs w:val="32"/>
        </w:rPr>
        <w:t>卫生健康支出11.05万元，占1.44%；住房保障支出10.01万元，占1.30%。</w:t>
      </w:r>
    </w:p>
    <w:p w14:paraId="5FE09DE8">
      <w:pPr>
        <w:spacing w:line="600" w:lineRule="exact"/>
        <w:ind w:firstLine="640"/>
        <w:rPr>
          <w:rFonts w:eastAsia="仿宋_GB2312" w:cs="仿宋_GB2312"/>
          <w:sz w:val="32"/>
          <w:szCs w:val="32"/>
        </w:rPr>
      </w:pPr>
      <w:r>
        <w:rPr>
          <w:rFonts w:hint="eastAsia" w:eastAsia="仿宋_GB2312" w:cs="仿宋_GB2312"/>
          <w:b/>
          <w:sz w:val="32"/>
          <w:szCs w:val="32"/>
        </w:rPr>
        <w:t>（图6：一般公共预算</w:t>
      </w:r>
      <w:r>
        <w:rPr>
          <w:rFonts w:hint="eastAsia" w:eastAsia="仿宋_GB2312" w:cs="仿宋_GB2312"/>
          <w:sz w:val="32"/>
          <w:szCs w:val="32"/>
        </w:rPr>
        <w:t>财政拨款支出决算结构）（饼状图）</w:t>
      </w:r>
    </w:p>
    <w:p w14:paraId="477BEB45">
      <w:pPr>
        <w:pStyle w:val="7"/>
        <w:ind w:left="420"/>
      </w:pPr>
      <w:r>
        <w:drawing>
          <wp:inline distT="0" distB="0" distL="0" distR="0">
            <wp:extent cx="5274310" cy="2482215"/>
            <wp:effectExtent l="4445" t="4445" r="17145" b="889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8ADA4A">
      <w:pPr>
        <w:spacing w:line="600" w:lineRule="exact"/>
        <w:ind w:firstLine="640"/>
        <w:rPr>
          <w:rFonts w:eastAsia="仿宋_GB2312" w:cs="仿宋_GB2312"/>
          <w:sz w:val="32"/>
          <w:szCs w:val="32"/>
        </w:rPr>
      </w:pPr>
    </w:p>
    <w:p w14:paraId="352E7C67">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2EF98D70">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769.86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完成预算100%。其中：</w:t>
      </w:r>
    </w:p>
    <w:p w14:paraId="233DD3D7">
      <w:pPr>
        <w:spacing w:line="600" w:lineRule="exact"/>
        <w:ind w:firstLine="640"/>
        <w:rPr>
          <w:rFonts w:ascii="仿宋_GB2312" w:eastAsia="仿宋_GB2312" w:cs="仿宋_GB2312"/>
          <w:b/>
          <w:bCs/>
          <w:sz w:val="32"/>
          <w:szCs w:val="32"/>
        </w:rPr>
      </w:pPr>
      <w:r>
        <w:rPr>
          <w:rFonts w:hint="eastAsia" w:eastAsia="仿宋_GB2312" w:cs="仿宋_GB2312"/>
          <w:sz w:val="32"/>
          <w:szCs w:val="32"/>
        </w:rPr>
        <w:t>1.</w:t>
      </w:r>
      <w:r>
        <w:rPr>
          <w:rFonts w:hint="eastAsia" w:ascii="仿宋_GB2312" w:eastAsia="仿宋_GB2312" w:cs="仿宋_GB2312"/>
          <w:sz w:val="32"/>
          <w:szCs w:val="32"/>
        </w:rPr>
        <w:t xml:space="preserve"> 社会保障和就业（类）</w:t>
      </w:r>
      <w:r>
        <w:rPr>
          <w:rFonts w:hint="eastAsia" w:ascii="仿宋_GB2312" w:eastAsia="仿宋_GB2312"/>
          <w:sz w:val="32"/>
          <w:szCs w:val="32"/>
        </w:rPr>
        <w:t>行政事业单位养老支出</w:t>
      </w:r>
      <w:r>
        <w:rPr>
          <w:rFonts w:hint="eastAsia" w:ascii="仿宋_GB2312" w:eastAsia="仿宋_GB2312" w:cs="仿宋_GB2312"/>
          <w:sz w:val="32"/>
          <w:szCs w:val="32"/>
        </w:rPr>
        <w:t>（款）</w:t>
      </w:r>
      <w:r>
        <w:rPr>
          <w:rFonts w:hint="eastAsia" w:ascii="仿宋_GB2312" w:eastAsia="仿宋_GB2312"/>
          <w:sz w:val="32"/>
          <w:szCs w:val="32"/>
        </w:rPr>
        <w:t>行政单位离退休</w:t>
      </w:r>
      <w:r>
        <w:rPr>
          <w:rFonts w:hint="eastAsia" w:ascii="仿宋_GB2312" w:eastAsia="仿宋_GB2312" w:cs="仿宋_GB2312"/>
          <w:sz w:val="32"/>
          <w:szCs w:val="32"/>
        </w:rPr>
        <w:t>（项）：支出决算为5.70万元，完成预算100%，</w:t>
      </w:r>
      <w:r>
        <w:rPr>
          <w:rFonts w:hint="eastAsia" w:eastAsia="仿宋_GB2312" w:cs="仿宋_GB2312"/>
          <w:sz w:val="32"/>
          <w:szCs w:val="32"/>
        </w:rPr>
        <w:t>决算数</w:t>
      </w:r>
      <w:r>
        <w:rPr>
          <w:rFonts w:hint="eastAsia" w:ascii="仿宋_GB2312" w:eastAsia="仿宋_GB2312" w:cs="仿宋_GB2312"/>
          <w:b/>
          <w:bCs/>
          <w:sz w:val="32"/>
          <w:szCs w:val="32"/>
        </w:rPr>
        <w:t>与预算数持平。</w:t>
      </w:r>
    </w:p>
    <w:p w14:paraId="04F6772D">
      <w:pPr>
        <w:spacing w:line="600" w:lineRule="exact"/>
        <w:ind w:firstLine="640"/>
        <w:rPr>
          <w:rFonts w:ascii="仿宋_GB2312" w:eastAsia="仿宋_GB2312" w:cs="仿宋_GB2312"/>
          <w:sz w:val="32"/>
          <w:szCs w:val="32"/>
        </w:rPr>
      </w:pPr>
      <w:r>
        <w:rPr>
          <w:rFonts w:hint="eastAsia" w:ascii="仿宋_GB2312" w:eastAsia="仿宋_GB2312" w:cs="仿宋_GB2312"/>
          <w:sz w:val="32"/>
          <w:szCs w:val="32"/>
        </w:rPr>
        <w:t>2. 社会保障和就业（类）</w:t>
      </w:r>
      <w:r>
        <w:rPr>
          <w:rFonts w:hint="eastAsia" w:ascii="仿宋_GB2312" w:eastAsia="仿宋_GB2312"/>
          <w:sz w:val="32"/>
          <w:szCs w:val="32"/>
        </w:rPr>
        <w:t>行政事业单位养老支出</w:t>
      </w:r>
      <w:r>
        <w:rPr>
          <w:rFonts w:hint="eastAsia" w:ascii="仿宋_GB2312" w:eastAsia="仿宋_GB2312" w:cs="仿宋_GB2312"/>
          <w:sz w:val="32"/>
          <w:szCs w:val="32"/>
        </w:rPr>
        <w:t>（款）</w:t>
      </w:r>
    </w:p>
    <w:p w14:paraId="393992A9">
      <w:pPr>
        <w:spacing w:line="600" w:lineRule="exact"/>
        <w:rPr>
          <w:rFonts w:ascii="仿宋_GB2312" w:eastAsia="仿宋_GB2312" w:cs="仿宋_GB2312"/>
          <w:b/>
          <w:bCs/>
          <w:sz w:val="32"/>
          <w:szCs w:val="32"/>
        </w:rPr>
      </w:pPr>
      <w:r>
        <w:rPr>
          <w:rFonts w:hint="eastAsia" w:ascii="仿宋_GB2312" w:eastAsia="仿宋_GB2312"/>
          <w:sz w:val="32"/>
          <w:szCs w:val="32"/>
        </w:rPr>
        <w:t>事业单位离退休</w:t>
      </w:r>
      <w:r>
        <w:rPr>
          <w:rFonts w:hint="eastAsia" w:ascii="仿宋_GB2312" w:eastAsia="仿宋_GB2312" w:cs="仿宋_GB2312"/>
          <w:sz w:val="32"/>
          <w:szCs w:val="32"/>
        </w:rPr>
        <w:t>（项）：支出决算为1.93万元，完成预算100%，决算数</w:t>
      </w:r>
      <w:r>
        <w:rPr>
          <w:rFonts w:hint="eastAsia" w:ascii="仿宋_GB2312" w:eastAsia="仿宋_GB2312" w:cs="仿宋_GB2312"/>
          <w:b/>
          <w:bCs/>
          <w:sz w:val="32"/>
          <w:szCs w:val="32"/>
        </w:rPr>
        <w:t>与预算数持平。</w:t>
      </w:r>
    </w:p>
    <w:p w14:paraId="04B85E7F">
      <w:pPr>
        <w:spacing w:line="600" w:lineRule="exact"/>
        <w:ind w:firstLine="640"/>
        <w:rPr>
          <w:rFonts w:ascii="仿宋_GB2312" w:eastAsia="仿宋_GB2312" w:cs="仿宋_GB2312"/>
          <w:b/>
          <w:bCs/>
          <w:sz w:val="32"/>
          <w:szCs w:val="32"/>
        </w:rPr>
      </w:pPr>
      <w:r>
        <w:rPr>
          <w:rFonts w:hint="eastAsia" w:ascii="仿宋_GB2312" w:eastAsia="仿宋_GB2312" w:cs="仿宋_GB2312"/>
          <w:sz w:val="32"/>
          <w:szCs w:val="32"/>
        </w:rPr>
        <w:t>3. 社会保障和就业（类）</w:t>
      </w:r>
      <w:r>
        <w:rPr>
          <w:rFonts w:hint="eastAsia" w:ascii="仿宋_GB2312" w:eastAsia="仿宋_GB2312"/>
          <w:sz w:val="32"/>
          <w:szCs w:val="32"/>
        </w:rPr>
        <w:t>行政事业单位养老支出</w:t>
      </w:r>
      <w:r>
        <w:rPr>
          <w:rFonts w:hint="eastAsia" w:ascii="仿宋_GB2312" w:eastAsia="仿宋_GB2312" w:cs="仿宋_GB2312"/>
          <w:sz w:val="32"/>
          <w:szCs w:val="32"/>
        </w:rPr>
        <w:t>（款）</w:t>
      </w:r>
      <w:r>
        <w:rPr>
          <w:rFonts w:hint="eastAsia" w:ascii="仿宋_GB2312" w:eastAsia="仿宋_GB2312"/>
          <w:sz w:val="32"/>
          <w:szCs w:val="32"/>
        </w:rPr>
        <w:t>机关事业单位基本养老保险缴费支</w:t>
      </w:r>
      <w:r>
        <w:rPr>
          <w:rFonts w:hint="eastAsia" w:ascii="仿宋_GB2312" w:eastAsia="仿宋_GB2312" w:cs="仿宋_GB2312"/>
          <w:sz w:val="32"/>
          <w:szCs w:val="32"/>
        </w:rPr>
        <w:t>（项）：支出决算为12.06万元，完成预算100%，决算数</w:t>
      </w:r>
      <w:r>
        <w:rPr>
          <w:rFonts w:hint="eastAsia" w:ascii="仿宋_GB2312" w:eastAsia="仿宋_GB2312" w:cs="仿宋_GB2312"/>
          <w:b/>
          <w:bCs/>
          <w:sz w:val="32"/>
          <w:szCs w:val="32"/>
        </w:rPr>
        <w:t>与预算数持平。</w:t>
      </w:r>
    </w:p>
    <w:p w14:paraId="4601B846">
      <w:pPr>
        <w:spacing w:line="600" w:lineRule="exact"/>
        <w:ind w:firstLine="640"/>
        <w:rPr>
          <w:rFonts w:ascii="仿宋_GB2312" w:eastAsia="仿宋_GB2312" w:cs="仿宋_GB2312"/>
          <w:sz w:val="32"/>
          <w:szCs w:val="32"/>
        </w:rPr>
      </w:pPr>
      <w:r>
        <w:rPr>
          <w:rFonts w:hint="eastAsia" w:ascii="仿宋_GB2312" w:eastAsia="仿宋_GB2312" w:cs="仿宋_GB2312"/>
          <w:sz w:val="32"/>
          <w:szCs w:val="32"/>
        </w:rPr>
        <w:t>4. 社会保障和就业（类）</w:t>
      </w:r>
      <w:r>
        <w:rPr>
          <w:rFonts w:hint="eastAsia" w:ascii="仿宋_GB2312" w:eastAsia="仿宋_GB2312"/>
          <w:sz w:val="32"/>
          <w:szCs w:val="32"/>
        </w:rPr>
        <w:t>残疾人事业</w:t>
      </w:r>
      <w:r>
        <w:rPr>
          <w:rFonts w:hint="eastAsia" w:ascii="仿宋_GB2312" w:eastAsia="仿宋_GB2312" w:cs="仿宋_GB2312"/>
          <w:sz w:val="32"/>
          <w:szCs w:val="32"/>
        </w:rPr>
        <w:t>（款）</w:t>
      </w:r>
      <w:r>
        <w:rPr>
          <w:rFonts w:hint="eastAsia" w:ascii="仿宋_GB2312" w:eastAsia="仿宋_GB2312"/>
          <w:sz w:val="32"/>
          <w:szCs w:val="32"/>
        </w:rPr>
        <w:t>行政运行</w:t>
      </w:r>
      <w:r>
        <w:rPr>
          <w:rFonts w:hint="eastAsia" w:ascii="仿宋_GB2312" w:eastAsia="仿宋_GB2312" w:cs="仿宋_GB2312"/>
          <w:sz w:val="32"/>
          <w:szCs w:val="32"/>
        </w:rPr>
        <w:t>（项）：支出决算为87万元，完成预算100%，决算数</w:t>
      </w:r>
      <w:r>
        <w:rPr>
          <w:rFonts w:hint="eastAsia" w:ascii="仿宋_GB2312" w:eastAsia="仿宋_GB2312" w:cs="仿宋_GB2312"/>
          <w:b/>
          <w:bCs/>
          <w:sz w:val="32"/>
          <w:szCs w:val="32"/>
        </w:rPr>
        <w:t>与预算数持平。</w:t>
      </w:r>
    </w:p>
    <w:p w14:paraId="5D97534C">
      <w:pPr>
        <w:spacing w:line="600" w:lineRule="exact"/>
        <w:ind w:firstLine="640"/>
        <w:rPr>
          <w:rFonts w:ascii="仿宋_GB2312" w:eastAsia="仿宋_GB2312" w:cs="仿宋_GB2312"/>
          <w:b/>
          <w:bCs/>
          <w:sz w:val="32"/>
          <w:szCs w:val="32"/>
        </w:rPr>
      </w:pPr>
      <w:r>
        <w:rPr>
          <w:rFonts w:hint="eastAsia" w:ascii="仿宋_GB2312" w:eastAsia="仿宋_GB2312" w:cs="仿宋_GB2312"/>
          <w:sz w:val="32"/>
          <w:szCs w:val="32"/>
        </w:rPr>
        <w:t xml:space="preserve"> 5.社会保障和就业（类）</w:t>
      </w:r>
      <w:r>
        <w:rPr>
          <w:rFonts w:hint="eastAsia" w:ascii="仿宋_GB2312" w:eastAsia="仿宋_GB2312"/>
          <w:sz w:val="32"/>
          <w:szCs w:val="32"/>
        </w:rPr>
        <w:t>残疾人事业</w:t>
      </w:r>
      <w:r>
        <w:rPr>
          <w:rFonts w:hint="eastAsia" w:ascii="仿宋_GB2312" w:eastAsia="仿宋_GB2312" w:cs="仿宋_GB2312"/>
          <w:sz w:val="32"/>
          <w:szCs w:val="32"/>
        </w:rPr>
        <w:t>（款）</w:t>
      </w:r>
      <w:r>
        <w:rPr>
          <w:rFonts w:hint="eastAsia" w:ascii="仿宋_GB2312" w:eastAsia="仿宋_GB2312"/>
          <w:sz w:val="32"/>
          <w:szCs w:val="32"/>
        </w:rPr>
        <w:t>其他残疾人事业支出</w:t>
      </w:r>
      <w:r>
        <w:rPr>
          <w:rFonts w:hint="eastAsia" w:ascii="仿宋_GB2312" w:eastAsia="仿宋_GB2312" w:cs="仿宋_GB2312"/>
          <w:sz w:val="32"/>
          <w:szCs w:val="32"/>
        </w:rPr>
        <w:t>（项）：支出决算为642.11万元，完成预算100%，决算数</w:t>
      </w:r>
      <w:r>
        <w:rPr>
          <w:rFonts w:hint="eastAsia" w:ascii="仿宋_GB2312" w:eastAsia="仿宋_GB2312" w:cs="仿宋_GB2312"/>
          <w:b/>
          <w:bCs/>
          <w:sz w:val="32"/>
          <w:szCs w:val="32"/>
        </w:rPr>
        <w:t>与预算数持平。</w:t>
      </w:r>
    </w:p>
    <w:p w14:paraId="1BE1A5ED">
      <w:pPr>
        <w:spacing w:line="600" w:lineRule="exact"/>
        <w:ind w:firstLine="640"/>
        <w:rPr>
          <w:rFonts w:ascii="仿宋_GB2312" w:eastAsia="仿宋_GB2312" w:cs="仿宋_GB2312"/>
          <w:b/>
          <w:bCs/>
          <w:sz w:val="30"/>
          <w:szCs w:val="30"/>
        </w:rPr>
      </w:pPr>
      <w:r>
        <w:rPr>
          <w:rFonts w:hint="eastAsia" w:ascii="仿宋_GB2312" w:eastAsia="仿宋_GB2312" w:cs="仿宋_GB2312"/>
          <w:sz w:val="30"/>
          <w:szCs w:val="30"/>
        </w:rPr>
        <w:t>6.卫生健康（类）</w:t>
      </w:r>
      <w:r>
        <w:rPr>
          <w:rFonts w:hint="eastAsia" w:ascii="仿宋_GB2312" w:eastAsia="仿宋_GB2312"/>
          <w:sz w:val="30"/>
          <w:szCs w:val="30"/>
        </w:rPr>
        <w:t>行政事业单位医疗</w:t>
      </w:r>
      <w:r>
        <w:rPr>
          <w:rFonts w:hint="eastAsia" w:ascii="仿宋_GB2312" w:eastAsia="仿宋_GB2312" w:cs="仿宋_GB2312"/>
          <w:sz w:val="30"/>
          <w:szCs w:val="30"/>
        </w:rPr>
        <w:t>（款）</w:t>
      </w:r>
      <w:r>
        <w:rPr>
          <w:sz w:val="30"/>
          <w:szCs w:val="30"/>
        </w:rPr>
        <w:t>行政单位医疗</w:t>
      </w:r>
      <w:r>
        <w:rPr>
          <w:rFonts w:hint="eastAsia" w:ascii="仿宋_GB2312" w:eastAsia="仿宋_GB2312" w:cs="仿宋_GB2312"/>
          <w:sz w:val="30"/>
          <w:szCs w:val="30"/>
        </w:rPr>
        <w:t>（项）：支出决算为5.86万元，完成预算100%，决算数</w:t>
      </w:r>
      <w:r>
        <w:rPr>
          <w:rFonts w:hint="eastAsia" w:ascii="仿宋_GB2312" w:eastAsia="仿宋_GB2312" w:cs="仿宋_GB2312"/>
          <w:b/>
          <w:bCs/>
          <w:sz w:val="30"/>
          <w:szCs w:val="30"/>
        </w:rPr>
        <w:t>与预算数持平。</w:t>
      </w:r>
    </w:p>
    <w:p w14:paraId="2AF16959">
      <w:pPr>
        <w:spacing w:line="600" w:lineRule="exact"/>
        <w:ind w:firstLine="640"/>
        <w:rPr>
          <w:rFonts w:ascii="仿宋_GB2312" w:eastAsia="仿宋_GB2312" w:cs="仿宋_GB2312"/>
          <w:b/>
          <w:bCs/>
          <w:sz w:val="30"/>
          <w:szCs w:val="30"/>
        </w:rPr>
      </w:pPr>
      <w:r>
        <w:rPr>
          <w:rFonts w:hint="eastAsia" w:ascii="仿宋_GB2312" w:eastAsia="仿宋_GB2312" w:cs="仿宋_GB2312"/>
          <w:sz w:val="30"/>
          <w:szCs w:val="30"/>
        </w:rPr>
        <w:t>7.卫生健康（类）</w:t>
      </w:r>
      <w:r>
        <w:rPr>
          <w:rFonts w:hint="eastAsia" w:ascii="仿宋_GB2312" w:eastAsia="仿宋_GB2312"/>
          <w:sz w:val="30"/>
          <w:szCs w:val="30"/>
        </w:rPr>
        <w:t>行政事业单位医疗</w:t>
      </w:r>
      <w:r>
        <w:rPr>
          <w:rFonts w:hint="eastAsia" w:ascii="仿宋_GB2312" w:eastAsia="仿宋_GB2312" w:cs="仿宋_GB2312"/>
          <w:sz w:val="30"/>
          <w:szCs w:val="30"/>
        </w:rPr>
        <w:t>（款）</w:t>
      </w:r>
      <w:r>
        <w:rPr>
          <w:sz w:val="30"/>
          <w:szCs w:val="30"/>
        </w:rPr>
        <w:t>事业单位医疗</w:t>
      </w:r>
      <w:r>
        <w:rPr>
          <w:rFonts w:hint="eastAsia" w:ascii="仿宋_GB2312" w:eastAsia="仿宋_GB2312" w:cs="仿宋_GB2312"/>
          <w:sz w:val="30"/>
          <w:szCs w:val="30"/>
        </w:rPr>
        <w:t>（项）：支出决算为0.91万元，完成预算100%，决算数</w:t>
      </w:r>
      <w:r>
        <w:rPr>
          <w:rFonts w:hint="eastAsia" w:ascii="仿宋_GB2312" w:eastAsia="仿宋_GB2312" w:cs="仿宋_GB2312"/>
          <w:b/>
          <w:bCs/>
          <w:sz w:val="30"/>
          <w:szCs w:val="30"/>
        </w:rPr>
        <w:t>与预算数持平。</w:t>
      </w:r>
    </w:p>
    <w:p w14:paraId="2FB53A5C">
      <w:pPr>
        <w:spacing w:line="600" w:lineRule="exact"/>
        <w:ind w:firstLine="640" w:firstLineChars="200"/>
        <w:rPr>
          <w:rFonts w:ascii="仿宋_GB2312" w:eastAsia="仿宋_GB2312" w:cs="仿宋_GB2312"/>
          <w:b/>
          <w:bCs/>
          <w:sz w:val="32"/>
          <w:szCs w:val="32"/>
        </w:rPr>
      </w:pPr>
      <w:r>
        <w:rPr>
          <w:rFonts w:hint="eastAsia" w:ascii="仿宋_GB2312" w:eastAsia="仿宋_GB2312"/>
          <w:sz w:val="32"/>
          <w:szCs w:val="32"/>
        </w:rPr>
        <w:t xml:space="preserve"> </w:t>
      </w:r>
      <w:r>
        <w:rPr>
          <w:rFonts w:hint="eastAsia" w:ascii="仿宋_GB2312" w:eastAsia="仿宋_GB2312" w:cs="仿宋_GB2312"/>
          <w:sz w:val="32"/>
          <w:szCs w:val="32"/>
        </w:rPr>
        <w:t>8.卫生健康（类）</w:t>
      </w:r>
      <w:r>
        <w:rPr>
          <w:rFonts w:hint="eastAsia" w:ascii="仿宋_GB2312" w:eastAsia="仿宋_GB2312"/>
          <w:sz w:val="32"/>
          <w:szCs w:val="32"/>
        </w:rPr>
        <w:t>行政事业单位医疗</w:t>
      </w:r>
      <w:r>
        <w:rPr>
          <w:rFonts w:hint="eastAsia" w:ascii="仿宋_GB2312" w:eastAsia="仿宋_GB2312" w:cs="仿宋_GB2312"/>
          <w:sz w:val="32"/>
          <w:szCs w:val="32"/>
        </w:rPr>
        <w:t>（款）</w:t>
      </w:r>
      <w:r>
        <w:rPr>
          <w:rFonts w:hint="eastAsia" w:ascii="仿宋_GB2312" w:eastAsia="仿宋_GB2312"/>
          <w:sz w:val="32"/>
          <w:szCs w:val="32"/>
        </w:rPr>
        <w:t>公务员医疗补助</w:t>
      </w:r>
      <w:r>
        <w:rPr>
          <w:rFonts w:hint="eastAsia" w:ascii="仿宋_GB2312" w:eastAsia="仿宋_GB2312" w:cs="仿宋_GB2312"/>
          <w:sz w:val="32"/>
          <w:szCs w:val="32"/>
        </w:rPr>
        <w:t>（项）：支出决算为0.58万元，完成预算100%，决算数</w:t>
      </w:r>
      <w:r>
        <w:rPr>
          <w:rFonts w:hint="eastAsia" w:ascii="仿宋_GB2312" w:eastAsia="仿宋_GB2312" w:cs="仿宋_GB2312"/>
          <w:b/>
          <w:bCs/>
          <w:sz w:val="32"/>
          <w:szCs w:val="32"/>
        </w:rPr>
        <w:t>与预算数持平。</w:t>
      </w:r>
    </w:p>
    <w:p w14:paraId="509EEDB5">
      <w:pPr>
        <w:spacing w:line="600" w:lineRule="exact"/>
        <w:ind w:firstLine="640"/>
        <w:rPr>
          <w:rFonts w:ascii="仿宋_GB2312" w:eastAsia="仿宋_GB2312" w:cs="仿宋_GB2312"/>
          <w:b/>
          <w:bCs/>
          <w:sz w:val="32"/>
          <w:szCs w:val="32"/>
        </w:rPr>
      </w:pPr>
      <w:r>
        <w:rPr>
          <w:rFonts w:hint="eastAsia" w:ascii="仿宋_GB2312" w:eastAsia="仿宋_GB2312" w:cs="仿宋_GB2312"/>
          <w:sz w:val="32"/>
          <w:szCs w:val="32"/>
        </w:rPr>
        <w:t>9.卫生健康（类）</w:t>
      </w:r>
      <w:r>
        <w:rPr>
          <w:rFonts w:hint="eastAsia" w:ascii="仿宋_GB2312" w:eastAsia="仿宋_GB2312"/>
          <w:sz w:val="32"/>
          <w:szCs w:val="32"/>
        </w:rPr>
        <w:t>行政事业单位医疗</w:t>
      </w:r>
      <w:r>
        <w:rPr>
          <w:rFonts w:hint="eastAsia" w:ascii="仿宋_GB2312" w:eastAsia="仿宋_GB2312" w:cs="仿宋_GB2312"/>
          <w:sz w:val="32"/>
          <w:szCs w:val="32"/>
        </w:rPr>
        <w:t>（款）</w:t>
      </w:r>
      <w:r>
        <w:rPr>
          <w:rFonts w:hint="eastAsia" w:ascii="仿宋_GB2312" w:eastAsia="仿宋_GB2312"/>
          <w:sz w:val="32"/>
          <w:szCs w:val="32"/>
        </w:rPr>
        <w:t>其他行政事业单位医疗支出</w:t>
      </w:r>
      <w:r>
        <w:rPr>
          <w:rFonts w:hint="eastAsia" w:ascii="仿宋_GB2312" w:eastAsia="仿宋_GB2312" w:cs="仿宋_GB2312"/>
          <w:sz w:val="32"/>
          <w:szCs w:val="32"/>
        </w:rPr>
        <w:t>（项）：支出决算为3.71万元，完成预算100%，决算数</w:t>
      </w:r>
      <w:r>
        <w:rPr>
          <w:rFonts w:hint="eastAsia" w:ascii="仿宋_GB2312" w:eastAsia="仿宋_GB2312" w:cs="仿宋_GB2312"/>
          <w:b/>
          <w:bCs/>
          <w:sz w:val="32"/>
          <w:szCs w:val="32"/>
        </w:rPr>
        <w:t>与预算数持平。</w:t>
      </w:r>
    </w:p>
    <w:p w14:paraId="0B90D5BB">
      <w:pPr>
        <w:spacing w:line="600" w:lineRule="exact"/>
        <w:rPr>
          <w:rFonts w:ascii="仿宋_GB2312" w:eastAsia="仿宋_GB2312" w:cs="仿宋_GB2312"/>
          <w:sz w:val="32"/>
          <w:szCs w:val="32"/>
        </w:rPr>
      </w:pPr>
      <w:r>
        <w:rPr>
          <w:rFonts w:hint="eastAsia" w:ascii="仿宋_GB2312" w:eastAsia="仿宋_GB2312"/>
          <w:sz w:val="32"/>
          <w:szCs w:val="32"/>
        </w:rPr>
        <w:t xml:space="preserve">     </w:t>
      </w:r>
      <w:r>
        <w:rPr>
          <w:rFonts w:hint="eastAsia" w:ascii="仿宋_GB2312" w:eastAsia="仿宋_GB2312" w:cs="仿宋_GB2312"/>
          <w:sz w:val="32"/>
          <w:szCs w:val="32"/>
        </w:rPr>
        <w:t>10.</w:t>
      </w:r>
      <w:r>
        <w:rPr>
          <w:rFonts w:hint="eastAsia" w:ascii="仿宋_GB2312" w:eastAsia="仿宋_GB2312"/>
          <w:sz w:val="32"/>
          <w:szCs w:val="32"/>
        </w:rPr>
        <w:t xml:space="preserve"> 住房保障支出</w:t>
      </w:r>
      <w:r>
        <w:rPr>
          <w:rFonts w:hint="eastAsia" w:ascii="仿宋_GB2312" w:eastAsia="仿宋_GB2312" w:cs="仿宋_GB2312"/>
          <w:sz w:val="32"/>
          <w:szCs w:val="32"/>
        </w:rPr>
        <w:t>（类）</w:t>
      </w:r>
      <w:r>
        <w:rPr>
          <w:rFonts w:hint="eastAsia" w:ascii="仿宋_GB2312" w:eastAsia="仿宋_GB2312"/>
          <w:sz w:val="32"/>
          <w:szCs w:val="32"/>
        </w:rPr>
        <w:t>住房改革支出</w:t>
      </w:r>
      <w:r>
        <w:rPr>
          <w:rFonts w:hint="eastAsia" w:ascii="仿宋_GB2312" w:eastAsia="仿宋_GB2312" w:cs="仿宋_GB2312"/>
          <w:sz w:val="32"/>
          <w:szCs w:val="32"/>
        </w:rPr>
        <w:t>（款）</w:t>
      </w:r>
    </w:p>
    <w:p w14:paraId="2A30762D">
      <w:pPr>
        <w:spacing w:line="600" w:lineRule="exact"/>
        <w:rPr>
          <w:rFonts w:ascii="仿宋_GB2312" w:eastAsia="仿宋_GB2312" w:cs="仿宋_GB2312"/>
          <w:b/>
          <w:bCs/>
          <w:sz w:val="32"/>
          <w:szCs w:val="32"/>
        </w:rPr>
      </w:pPr>
      <w:r>
        <w:rPr>
          <w:rFonts w:hint="eastAsia" w:ascii="仿宋_GB2312" w:eastAsia="仿宋_GB2312" w:cs="仿宋_GB2312"/>
          <w:sz w:val="32"/>
          <w:szCs w:val="32"/>
        </w:rPr>
        <w:t>住房公积金（项）：支出决算为10.01万元，完成预算100%，决算数</w:t>
      </w:r>
      <w:r>
        <w:rPr>
          <w:rFonts w:hint="eastAsia" w:ascii="仿宋_GB2312" w:eastAsia="仿宋_GB2312" w:cs="仿宋_GB2312"/>
          <w:b/>
          <w:bCs/>
          <w:sz w:val="32"/>
          <w:szCs w:val="32"/>
        </w:rPr>
        <w:t>与预算数持平。</w:t>
      </w:r>
    </w:p>
    <w:p w14:paraId="34CAF245">
      <w:pPr>
        <w:pStyle w:val="13"/>
        <w:rPr>
          <w:rFonts w:eastAsia="仿宋_GB2312" w:cs="仿宋_GB2312"/>
          <w:sz w:val="32"/>
          <w:szCs w:val="32"/>
        </w:rPr>
      </w:pPr>
      <w:r>
        <w:rPr>
          <w:rFonts w:hint="eastAsia"/>
        </w:rPr>
        <w:t xml:space="preserve">    </w:t>
      </w:r>
    </w:p>
    <w:p w14:paraId="3B7EA8B8">
      <w:pPr>
        <w:tabs>
          <w:tab w:val="right" w:pos="8306"/>
        </w:tabs>
        <w:spacing w:line="600" w:lineRule="exact"/>
        <w:ind w:firstLine="640"/>
        <w:outlineLvl w:val="1"/>
        <w:rPr>
          <w:rStyle w:val="29"/>
          <w:rFonts w:ascii="Times New Roman" w:hAnsi="Times New Roman"/>
        </w:rPr>
      </w:pPr>
      <w:bookmarkStart w:id="25" w:name="_Toc15377214"/>
      <w:bookmarkStart w:id="26"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5"/>
      <w:bookmarkEnd w:id="26"/>
      <w:r>
        <w:rPr>
          <w:rStyle w:val="29"/>
          <w:rFonts w:ascii="Times New Roman" w:hAnsi="Times New Roman" w:eastAsia="黑体"/>
          <w:b w:val="0"/>
        </w:rPr>
        <w:tab/>
      </w:r>
    </w:p>
    <w:p w14:paraId="5D8D21AF">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141.08万</w:t>
      </w:r>
      <w:r>
        <w:rPr>
          <w:rFonts w:hint="eastAsia" w:eastAsia="仿宋_GB2312" w:cs="仿宋_GB2312"/>
          <w:sz w:val="32"/>
          <w:szCs w:val="32"/>
        </w:rPr>
        <w:t>元，其中：</w:t>
      </w:r>
    </w:p>
    <w:p w14:paraId="1D8CCFF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宋体" w:hAnsi="宋体" w:cs="宋体"/>
          <w:kern w:val="0"/>
          <w:sz w:val="18"/>
          <w:szCs w:val="18"/>
        </w:rPr>
      </w:pPr>
      <w:r>
        <w:rPr>
          <w:rFonts w:hint="eastAsia" w:eastAsia="仿宋_GB2312" w:cs="仿宋_GB2312"/>
          <w:sz w:val="32"/>
          <w:szCs w:val="32"/>
        </w:rPr>
        <w:t>人员经费</w:t>
      </w:r>
      <w:r>
        <w:rPr>
          <w:rFonts w:hint="eastAsia" w:ascii="仿宋_GB2312" w:hAnsi="仿宋_GB2312" w:eastAsia="仿宋_GB2312" w:cs="仿宋_GB2312"/>
          <w:sz w:val="32"/>
          <w:szCs w:val="32"/>
        </w:rPr>
        <w:t>128.95万</w:t>
      </w:r>
      <w:r>
        <w:rPr>
          <w:rFonts w:hint="eastAsia" w:eastAsia="仿宋_GB2312" w:cs="仿宋_GB2312"/>
          <w:sz w:val="32"/>
          <w:szCs w:val="32"/>
        </w:rPr>
        <w:t>元，主要包括：基本工资</w:t>
      </w:r>
      <w:r>
        <w:rPr>
          <w:rFonts w:eastAsia="仿宋_GB2312" w:cs="仿宋_GB2312"/>
          <w:sz w:val="32"/>
          <w:szCs w:val="32"/>
        </w:rPr>
        <w:t>29.47</w:t>
      </w:r>
      <w:r>
        <w:rPr>
          <w:rFonts w:hint="eastAsia" w:eastAsia="仿宋_GB2312" w:cs="仿宋_GB2312"/>
          <w:sz w:val="32"/>
          <w:szCs w:val="32"/>
        </w:rPr>
        <w:t>万元、津贴补贴22.87万元、奖金</w:t>
      </w:r>
      <w:r>
        <w:rPr>
          <w:rFonts w:eastAsia="仿宋_GB2312" w:cs="仿宋_GB2312"/>
          <w:sz w:val="32"/>
          <w:szCs w:val="32"/>
        </w:rPr>
        <w:t>25.07</w:t>
      </w:r>
      <w:r>
        <w:rPr>
          <w:rFonts w:hint="eastAsia" w:eastAsia="仿宋_GB2312" w:cs="仿宋_GB2312"/>
          <w:sz w:val="32"/>
          <w:szCs w:val="32"/>
        </w:rPr>
        <w:t>、绩效工资6.80万元、机关事业单位基本养老保险缴费12.06万元、职工基本医疗保险缴费6.76万元、公务员医疗补助缴费4.17万元、其他社会保障缴费0.19万元、住房公积金10.01万元、医疗费0.12万元、其他工资福利支出4.21万元、生活补助5.15万元、医疗费补助2.08万元。</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12.13万</w:t>
      </w:r>
      <w:r>
        <w:rPr>
          <w:rFonts w:hint="eastAsia" w:eastAsia="仿宋_GB2312" w:cs="仿宋_GB2312"/>
          <w:sz w:val="32"/>
          <w:szCs w:val="32"/>
        </w:rPr>
        <w:t>元，主要包括：办公费1.51万元、印刷费0.07万元、水费0.21万元、电费0.29万元、邮电费0.24万元、差旅费2.01万元、维修（护）费0.12万元、工会经费1.71万元、福利费1.19万元、公务用车运行维护费0.40万元、其他交通费4.29万元。</w:t>
      </w:r>
    </w:p>
    <w:p w14:paraId="42B00AAC">
      <w:pPr>
        <w:spacing w:line="600" w:lineRule="exact"/>
        <w:ind w:firstLine="640"/>
        <w:rPr>
          <w:rFonts w:eastAsia="仿宋_GB2312" w:cs="仿宋_GB2312"/>
          <w:sz w:val="32"/>
          <w:szCs w:val="32"/>
        </w:rPr>
      </w:pPr>
    </w:p>
    <w:p w14:paraId="5E32CE78">
      <w:pPr>
        <w:spacing w:line="600" w:lineRule="exact"/>
        <w:ind w:firstLine="640"/>
        <w:outlineLvl w:val="1"/>
        <w:rPr>
          <w:rStyle w:val="29"/>
          <w:rFonts w:ascii="Times New Roman" w:hAnsi="Times New Roman" w:eastAsia="黑体"/>
          <w:b w:val="0"/>
        </w:rPr>
      </w:pPr>
      <w:bookmarkStart w:id="27" w:name="_Toc15377215"/>
      <w:bookmarkStart w:id="28"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27"/>
      <w:bookmarkEnd w:id="28"/>
    </w:p>
    <w:p w14:paraId="6085BA0E">
      <w:pPr>
        <w:spacing w:line="600" w:lineRule="exact"/>
        <w:ind w:firstLine="643" w:firstLineChars="200"/>
        <w:outlineLvl w:val="2"/>
        <w:rPr>
          <w:rFonts w:eastAsia="楷体_GB2312" w:cs="楷体_GB2312"/>
          <w:b/>
          <w:sz w:val="32"/>
          <w:szCs w:val="32"/>
        </w:rPr>
      </w:pPr>
      <w:bookmarkStart w:id="29" w:name="_Toc15377216"/>
      <w:r>
        <w:rPr>
          <w:rFonts w:hint="eastAsia" w:eastAsia="楷体_GB2312" w:cs="楷体_GB2312"/>
          <w:b/>
          <w:sz w:val="32"/>
          <w:szCs w:val="32"/>
        </w:rPr>
        <w:t>（一）“三公”经费财政拨款支出决算总体情况说明</w:t>
      </w:r>
      <w:bookmarkEnd w:id="29"/>
    </w:p>
    <w:p w14:paraId="0BE96104">
      <w:pPr>
        <w:spacing w:line="600" w:lineRule="exact"/>
        <w:ind w:firstLine="640"/>
        <w:rPr>
          <w:rFonts w:eastAsia="仿宋_GB2312" w:cs="仿宋_GB2312"/>
          <w:b/>
          <w:bCs/>
          <w:sz w:val="32"/>
          <w:szCs w:val="32"/>
        </w:rPr>
      </w:pPr>
      <w:bookmarkStart w:id="30" w:name="_Toc15377217"/>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1.10万元，完成预算100%，</w:t>
      </w:r>
      <w:r>
        <w:rPr>
          <w:rFonts w:hint="eastAsia" w:eastAsia="仿宋_GB2312" w:cs="仿宋_GB2312"/>
          <w:sz w:val="32"/>
          <w:szCs w:val="32"/>
        </w:rPr>
        <w:t>较上年度减少0.31万元，下降21.94%。决算数与预算数持平。</w:t>
      </w:r>
    </w:p>
    <w:p w14:paraId="5BC57F49">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（二）“三公”经费财政拨款支出决算具体情况说明</w:t>
      </w:r>
      <w:bookmarkEnd w:id="30"/>
    </w:p>
    <w:p w14:paraId="426A3963">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2024年度“三公”经费财政拨款支出决算中，因公出国（境）费支出决算0万元，占0%；公务用车购置及运行维护费支出决算1万元，占90.91%；公务接待费支出决算0.1万元，占9.09%。具体情况如下：</w:t>
      </w:r>
    </w:p>
    <w:p w14:paraId="046BFFBA">
      <w:pPr>
        <w:spacing w:line="600" w:lineRule="exact"/>
        <w:ind w:firstLine="640"/>
        <w:rPr>
          <w:rFonts w:hint="eastAsia" w:eastAsia="仿宋_GB2312" w:cs="仿宋_GB2312"/>
          <w:sz w:val="32"/>
          <w:szCs w:val="32"/>
        </w:rPr>
      </w:pPr>
      <w:r>
        <w:rPr>
          <w:rFonts w:hint="eastAsia" w:eastAsia="仿宋_GB2312" w:cs="仿宋_GB2312"/>
          <w:sz w:val="32"/>
          <w:szCs w:val="32"/>
        </w:rPr>
        <w:t>（图7：“三公”经费财政拨款支出结构）（饼状图）</w:t>
      </w:r>
    </w:p>
    <w:p w14:paraId="6A34E2DB">
      <w:pPr>
        <w:pStyle w:val="2"/>
        <w:rPr>
          <w:rFonts w:hint="eastAsia" w:eastAsia="仿宋_GB2312" w:cs="仿宋_GB2312"/>
          <w:sz w:val="32"/>
          <w:szCs w:val="32"/>
        </w:rPr>
      </w:pPr>
      <w:r>
        <w:drawing>
          <wp:inline distT="0" distB="0" distL="0" distR="0">
            <wp:extent cx="5274310" cy="3183255"/>
            <wp:effectExtent l="4445" t="4445" r="17145" b="1270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BA237E">
      <w:pPr>
        <w:numPr>
          <w:ilvl w:val="0"/>
          <w:numId w:val="2"/>
        </w:numPr>
        <w:spacing w:line="600" w:lineRule="exact"/>
        <w:ind w:firstLine="640"/>
        <w:rPr>
          <w:rFonts w:hint="eastAsia" w:eastAsia="仿宋_GB2312" w:cs="仿宋_GB2312"/>
          <w:sz w:val="32"/>
          <w:szCs w:val="32"/>
          <w:lang w:val="en-US" w:eastAsia="zh-CN"/>
        </w:rPr>
      </w:pPr>
      <w:r>
        <w:rPr>
          <w:rFonts w:hint="eastAsia" w:eastAsia="仿宋_GB2312" w:cs="仿宋_GB2312"/>
          <w:b/>
          <w:bCs/>
          <w:sz w:val="32"/>
          <w:szCs w:val="32"/>
        </w:rPr>
        <w:t>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w:t>
      </w:r>
      <w:r>
        <w:rPr>
          <w:rFonts w:hint="eastAsia" w:eastAsia="仿宋_GB2312" w:cs="仿宋_GB2312"/>
          <w:sz w:val="32"/>
          <w:szCs w:val="32"/>
          <w:lang w:val="en-US" w:eastAsia="zh-CN"/>
        </w:rPr>
        <w:t>与</w:t>
      </w:r>
      <w:r>
        <w:rPr>
          <w:rFonts w:hint="eastAsia" w:eastAsia="仿宋_GB2312" w:cs="仿宋_GB2312"/>
          <w:sz w:val="32"/>
          <w:szCs w:val="32"/>
        </w:rPr>
        <w:t>2023年</w:t>
      </w:r>
      <w:r>
        <w:rPr>
          <w:rFonts w:hint="eastAsia" w:eastAsia="仿宋_GB2312" w:cs="仿宋_GB2312"/>
          <w:sz w:val="32"/>
          <w:szCs w:val="32"/>
          <w:lang w:val="en-US" w:eastAsia="zh-CN"/>
        </w:rPr>
        <w:t xml:space="preserve">持平，2024年无因公出国出境  </w:t>
      </w:r>
    </w:p>
    <w:p w14:paraId="4357AC75">
      <w:pPr>
        <w:numPr>
          <w:ilvl w:val="0"/>
          <w:numId w:val="2"/>
        </w:numPr>
        <w:spacing w:line="600" w:lineRule="exact"/>
        <w:ind w:firstLine="640"/>
        <w:rPr>
          <w:rFonts w:eastAsia="仿宋_GB2312" w:cs="仿宋_GB2312"/>
          <w:sz w:val="32"/>
          <w:szCs w:val="32"/>
        </w:rPr>
      </w:pPr>
      <w:r>
        <w:rPr>
          <w:rFonts w:hint="eastAsia" w:eastAsia="仿宋_GB2312" w:cs="仿宋_GB2312"/>
          <w:b/>
          <w:bCs/>
          <w:sz w:val="32"/>
          <w:szCs w:val="32"/>
        </w:rPr>
        <w:t>公务用车购置及运行维护费支出</w:t>
      </w:r>
      <w:r>
        <w:rPr>
          <w:rFonts w:hint="eastAsia" w:ascii="仿宋_GB2312" w:hAnsi="仿宋_GB2312" w:eastAsia="仿宋_GB2312" w:cs="仿宋_GB2312"/>
          <w:b/>
          <w:bCs/>
          <w:sz w:val="32"/>
          <w:szCs w:val="32"/>
          <w:lang w:val="en-US" w:eastAsia="zh-CN"/>
        </w:rPr>
        <w:t>1.00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公务用车购置及运行维护费支出决算比2023年度减少0.33万元，下降24.87%。主要原因是</w:t>
      </w:r>
      <w:r>
        <w:rPr>
          <w:rFonts w:hint="eastAsia" w:ascii="仿宋_GB2312" w:hAnsi="仿宋" w:eastAsia="仿宋_GB2312"/>
          <w:sz w:val="32"/>
          <w:szCs w:val="32"/>
        </w:rPr>
        <w:t>遵循</w:t>
      </w:r>
      <w:r>
        <w:rPr>
          <w:rFonts w:hint="eastAsia" w:ascii="仿宋_GB2312" w:hAnsi="仿宋" w:eastAsia="仿宋_GB2312"/>
          <w:sz w:val="32"/>
          <w:szCs w:val="32"/>
          <w:lang w:eastAsia="zh-CN"/>
        </w:rPr>
        <w:t>厉行节约</w:t>
      </w:r>
      <w:r>
        <w:rPr>
          <w:rFonts w:hint="eastAsia" w:ascii="仿宋_GB2312" w:hAnsi="仿宋" w:eastAsia="仿宋_GB2312"/>
          <w:sz w:val="32"/>
          <w:szCs w:val="32"/>
        </w:rPr>
        <w:t>原则。</w:t>
      </w: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w:t>
      </w:r>
      <w:r>
        <w:rPr>
          <w:rFonts w:hint="eastAsia" w:eastAsia="仿宋_GB2312" w:cs="仿宋_GB2312"/>
          <w:sz w:val="32"/>
          <w:szCs w:val="32"/>
          <w:lang w:eastAsia="zh-CN"/>
        </w:rPr>
        <w:t>。</w:t>
      </w:r>
    </w:p>
    <w:p w14:paraId="137FF338">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w:t>
      </w:r>
      <w:r>
        <w:rPr>
          <w:rFonts w:hint="eastAsia" w:eastAsia="仿宋_GB2312" w:cs="仿宋_GB2312"/>
          <w:sz w:val="32"/>
          <w:szCs w:val="32"/>
          <w:lang w:eastAsia="zh-CN"/>
        </w:rPr>
        <w:t>。</w:t>
      </w:r>
      <w:r>
        <w:rPr>
          <w:rFonts w:hint="eastAsia" w:eastAsia="仿宋_GB2312" w:cs="仿宋_GB2312"/>
          <w:sz w:val="32"/>
          <w:szCs w:val="32"/>
        </w:rPr>
        <w:t>截至2024年12月31日，单位共有公务用车</w:t>
      </w:r>
      <w:r>
        <w:rPr>
          <w:rFonts w:hint="eastAsia" w:eastAsia="仿宋_GB2312" w:cs="仿宋_GB2312"/>
          <w:sz w:val="32"/>
          <w:szCs w:val="32"/>
          <w:lang w:val="en-US" w:eastAsia="zh-CN"/>
        </w:rPr>
        <w:t>1</w:t>
      </w:r>
      <w:r>
        <w:rPr>
          <w:rFonts w:hint="eastAsia" w:eastAsia="仿宋_GB2312" w:cs="仿宋_GB2312"/>
          <w:sz w:val="32"/>
          <w:szCs w:val="32"/>
        </w:rPr>
        <w:t>辆，其中：轿车</w:t>
      </w:r>
      <w:r>
        <w:rPr>
          <w:rFonts w:hint="eastAsia" w:eastAsia="仿宋_GB2312" w:cs="仿宋_GB2312"/>
          <w:sz w:val="32"/>
          <w:szCs w:val="32"/>
          <w:lang w:val="en-US" w:eastAsia="zh-CN"/>
        </w:rPr>
        <w:t>1</w:t>
      </w:r>
      <w:r>
        <w:rPr>
          <w:rFonts w:hint="eastAsia" w:eastAsia="仿宋_GB2312" w:cs="仿宋_GB2312"/>
          <w:sz w:val="32"/>
          <w:szCs w:val="32"/>
        </w:rPr>
        <w:t>辆、越野车</w:t>
      </w:r>
      <w:r>
        <w:rPr>
          <w:rFonts w:hint="eastAsia" w:eastAsia="仿宋_GB2312" w:cs="仿宋_GB2312"/>
          <w:sz w:val="32"/>
          <w:szCs w:val="32"/>
          <w:lang w:val="en-US" w:eastAsia="zh-CN"/>
        </w:rPr>
        <w:t>1</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2AFAE4FF">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1.00</w:t>
      </w:r>
      <w:r>
        <w:rPr>
          <w:rFonts w:hint="eastAsia" w:eastAsia="仿宋_GB2312" w:cs="仿宋_GB2312"/>
          <w:sz w:val="32"/>
          <w:szCs w:val="32"/>
        </w:rPr>
        <w:t>万元。主要用于</w:t>
      </w:r>
      <w:r>
        <w:rPr>
          <w:rFonts w:hint="eastAsia" w:ascii="仿宋_GB2312" w:hAnsi="仿宋" w:eastAsia="仿宋_GB2312"/>
          <w:sz w:val="32"/>
          <w:szCs w:val="32"/>
        </w:rPr>
        <w:t>“温暖万家行”春节走访慰问</w:t>
      </w:r>
      <w:r>
        <w:rPr>
          <w:rFonts w:hint="eastAsia" w:ascii="仿宋_GB2312" w:hAnsi="仿宋" w:eastAsia="仿宋_GB2312"/>
          <w:sz w:val="32"/>
          <w:szCs w:val="32"/>
          <w:lang w:val="en-US" w:eastAsia="zh-CN"/>
        </w:rPr>
        <w:t>困难残疾人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残疾人无障碍改造、森林草原防灭火下乡、上门办理残疾证、</w:t>
      </w:r>
      <w:r>
        <w:rPr>
          <w:rFonts w:hint="eastAsia" w:eastAsia="仿宋_GB2312" w:cs="仿宋_GB2312"/>
          <w:sz w:val="32"/>
          <w:szCs w:val="32"/>
        </w:rPr>
        <w:t>所需的公务用车燃料费、维修费、过路过桥费、保险费等支出。</w:t>
      </w:r>
    </w:p>
    <w:p w14:paraId="09FBF433">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0.1</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公务接待费支出决算比2023年度增加0.02万元，增长28.21%。主要原因是</w:t>
      </w:r>
      <w:r>
        <w:rPr>
          <w:rFonts w:hint="eastAsia" w:eastAsia="仿宋_GB2312" w:cs="仿宋_GB2312"/>
          <w:sz w:val="32"/>
          <w:szCs w:val="32"/>
          <w:lang w:val="en-US" w:eastAsia="zh-CN"/>
        </w:rPr>
        <w:t>接待人数增加</w:t>
      </w:r>
      <w:r>
        <w:rPr>
          <w:rFonts w:hint="eastAsia" w:eastAsia="仿宋_GB2312" w:cs="仿宋_GB2312"/>
          <w:sz w:val="32"/>
          <w:szCs w:val="32"/>
        </w:rPr>
        <w:t>。其中：</w:t>
      </w:r>
    </w:p>
    <w:p w14:paraId="7BE7C50C">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出0.100万</w:t>
      </w:r>
      <w:r>
        <w:rPr>
          <w:rFonts w:hint="eastAsia" w:eastAsia="仿宋_GB2312" w:cs="仿宋_GB2312"/>
          <w:sz w:val="32"/>
          <w:szCs w:val="32"/>
        </w:rPr>
        <w:t>元，主要用于</w:t>
      </w:r>
      <w:r>
        <w:rPr>
          <w:rFonts w:hint="eastAsia" w:ascii="仿宋_GB2312" w:hAnsi="仿宋" w:eastAsia="仿宋_GB2312"/>
          <w:sz w:val="32"/>
          <w:szCs w:val="32"/>
        </w:rPr>
        <w:t>调研工作</w:t>
      </w:r>
      <w:r>
        <w:rPr>
          <w:rFonts w:hint="eastAsia" w:eastAsia="仿宋_GB2312" w:cs="仿宋_GB2312"/>
          <w:sz w:val="32"/>
          <w:szCs w:val="32"/>
        </w:rPr>
        <w:t>用餐费等。国内公务接</w:t>
      </w:r>
      <w:r>
        <w:rPr>
          <w:rFonts w:hint="eastAsia" w:ascii="仿宋_GB2312" w:hAnsi="仿宋_GB2312" w:eastAsia="仿宋_GB2312" w:cs="仿宋_GB2312"/>
          <w:sz w:val="32"/>
          <w:szCs w:val="32"/>
        </w:rPr>
        <w:t>待1批次，14</w:t>
      </w:r>
      <w:r>
        <w:rPr>
          <w:rFonts w:hint="eastAsia" w:eastAsia="仿宋_GB2312" w:cs="仿宋_GB2312"/>
          <w:sz w:val="32"/>
          <w:szCs w:val="32"/>
        </w:rPr>
        <w:t>人次（不包括陪同人员），共计支出0.10万元，具体内容包括：</w:t>
      </w:r>
      <w:r>
        <w:rPr>
          <w:rFonts w:hint="eastAsia" w:ascii="仿宋_GB2312" w:hAnsi="仿宋" w:eastAsia="仿宋_GB2312"/>
          <w:sz w:val="32"/>
          <w:szCs w:val="32"/>
        </w:rPr>
        <w:t>2024年1月18</w:t>
      </w:r>
      <w:r>
        <w:rPr>
          <w:rFonts w:hint="eastAsia" w:ascii="仿宋_GB2312" w:hAnsi="仿宋" w:eastAsia="仿宋_GB2312"/>
          <w:sz w:val="32"/>
          <w:szCs w:val="32"/>
          <w:lang w:eastAsia="zh-CN"/>
        </w:rPr>
        <w:t>日</w:t>
      </w:r>
      <w:r>
        <w:rPr>
          <w:rFonts w:hint="eastAsia" w:ascii="仿宋_GB2312" w:hAnsi="仿宋" w:eastAsia="仿宋_GB2312"/>
          <w:sz w:val="32"/>
          <w:szCs w:val="32"/>
        </w:rPr>
        <w:t>接待市残联柳瑛理事长陪同南开大学残疾人事业发展研究中心特约研究员广东省残疾人事业发展研究会秘书长严国威一行来盐边调研工作。用餐一次，人数14人，来宾12人，陪同2人。</w:t>
      </w:r>
    </w:p>
    <w:p w14:paraId="31E67FDC">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bookmarkStart w:id="31" w:name="_Toc15377218"/>
      <w:bookmarkStart w:id="32" w:name="_Toc15396610"/>
    </w:p>
    <w:p w14:paraId="179EDB8F">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1"/>
      <w:bookmarkEnd w:id="32"/>
    </w:p>
    <w:p w14:paraId="6EBEA037">
      <w:pPr>
        <w:spacing w:line="600" w:lineRule="exact"/>
        <w:ind w:firstLine="640"/>
        <w:rPr>
          <w:rFonts w:ascii="仿宋_GB2312" w:hAnsi="仿宋_GB2312" w:eastAsia="仿宋_GB2312"/>
          <w:sz w:val="32"/>
          <w:szCs w:val="32"/>
        </w:rPr>
      </w:pPr>
      <w:bookmarkStart w:id="33" w:name="_Toc15396611"/>
      <w:bookmarkStart w:id="34" w:name="_Toc15377219"/>
      <w:r>
        <w:rPr>
          <w:rFonts w:hint="eastAsia" w:ascii="仿宋_GB2312" w:hAnsi="仿宋_GB2312" w:eastAsia="仿宋_GB2312" w:cs="仿宋_GB2312"/>
          <w:sz w:val="32"/>
          <w:szCs w:val="32"/>
        </w:rPr>
        <w:t>2024年度政府性基金预算财政拨款支出61.4万元，占本年支出合计的7.38%</w:t>
      </w:r>
      <w:r>
        <w:rPr>
          <w:rFonts w:hint="eastAsia" w:eastAsia="仿宋_GB2312" w:cs="仿宋_GB2312"/>
          <w:sz w:val="32"/>
          <w:szCs w:val="32"/>
        </w:rPr>
        <w:t>。与2023年度相比，政府性基金预算财政拨款支出增加10.40万元，增长20.39%。主要变动原因是</w:t>
      </w:r>
      <w:r>
        <w:rPr>
          <w:rFonts w:hint="eastAsia" w:ascii="仿宋_GB2312" w:hAnsi="仿宋_GB2312" w:eastAsia="仿宋_GB2312"/>
          <w:sz w:val="32"/>
          <w:szCs w:val="32"/>
        </w:rPr>
        <w:t>2024年项目增加。</w:t>
      </w:r>
    </w:p>
    <w:p w14:paraId="581C45B0">
      <w:pPr>
        <w:spacing w:line="600" w:lineRule="exact"/>
        <w:ind w:left="630"/>
        <w:outlineLvl w:val="1"/>
        <w:rPr>
          <w:rStyle w:val="29"/>
          <w:rFonts w:ascii="Times New Roman" w:hAnsi="Times New Roman" w:eastAsia="黑体"/>
          <w:b w:val="0"/>
        </w:rPr>
      </w:pPr>
      <w:r>
        <w:rPr>
          <w:rStyle w:val="29"/>
          <w:rFonts w:hint="eastAsia" w:ascii="Times New Roman" w:hAnsi="Times New Roman" w:eastAsia="黑体"/>
          <w:b w:val="0"/>
        </w:rPr>
        <w:t>九、国有资本经营预算支出决算情况说明</w:t>
      </w:r>
      <w:bookmarkEnd w:id="33"/>
      <w:bookmarkEnd w:id="34"/>
    </w:p>
    <w:p w14:paraId="5ADE7EDC">
      <w:pPr>
        <w:spacing w:line="600" w:lineRule="exact"/>
        <w:ind w:firstLine="640"/>
        <w:rPr>
          <w:rFonts w:eastAsia="仿宋_GB2312" w:cs="仿宋_GB2312"/>
          <w:b w:val="0"/>
          <w:bCs w:val="0"/>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。与2023年度相比，国有资本经营预算财政拨款支出增加/减少0万元，增长/下降0%。</w:t>
      </w:r>
      <w:r>
        <w:rPr>
          <w:rFonts w:hint="eastAsia" w:eastAsia="仿宋_GB2312" w:cs="仿宋_GB2312"/>
          <w:b w:val="0"/>
          <w:bCs w:val="0"/>
          <w:sz w:val="32"/>
          <w:szCs w:val="32"/>
        </w:rPr>
        <w:t>支出数与上年持平。</w:t>
      </w:r>
    </w:p>
    <w:p w14:paraId="1E837EEF">
      <w:pPr>
        <w:spacing w:line="600" w:lineRule="exact"/>
        <w:ind w:left="630"/>
        <w:outlineLvl w:val="1"/>
        <w:rPr>
          <w:rStyle w:val="29"/>
          <w:rFonts w:ascii="Times New Roman" w:hAnsi="Times New Roman" w:eastAsia="黑体"/>
          <w:b w:val="0"/>
        </w:rPr>
      </w:pPr>
      <w:bookmarkStart w:id="35" w:name="_Toc15396612"/>
      <w:bookmarkStart w:id="36" w:name="_Toc15377221"/>
      <w:r>
        <w:rPr>
          <w:rStyle w:val="29"/>
          <w:rFonts w:hint="eastAsia" w:ascii="Times New Roman" w:hAnsi="Times New Roman" w:eastAsia="黑体"/>
          <w:b w:val="0"/>
        </w:rPr>
        <w:t>十、其他重要事项的情况说明</w:t>
      </w:r>
      <w:bookmarkEnd w:id="35"/>
      <w:bookmarkEnd w:id="36"/>
    </w:p>
    <w:p w14:paraId="049F1EFE">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（一）机关运行经费支出情况</w:t>
      </w:r>
    </w:p>
    <w:p w14:paraId="5354CAAF">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，盐边县残疾人联合会机关运行经费支出12.13万</w:t>
      </w:r>
      <w:r>
        <w:rPr>
          <w:rFonts w:hint="eastAsia" w:eastAsia="仿宋_GB2312" w:cs="仿宋_GB2312"/>
          <w:sz w:val="32"/>
          <w:szCs w:val="32"/>
        </w:rPr>
        <w:t>元，比2023年度减少0.07万元，下降0.59%。主要原因是</w:t>
      </w:r>
      <w:r>
        <w:rPr>
          <w:rFonts w:hint="eastAsia" w:ascii="仿宋_GB2312" w:hAnsi="仿宋" w:eastAsia="仿宋_GB2312"/>
          <w:sz w:val="32"/>
          <w:szCs w:val="32"/>
        </w:rPr>
        <w:t>遵循</w:t>
      </w:r>
      <w:r>
        <w:rPr>
          <w:rFonts w:hint="eastAsia" w:ascii="仿宋_GB2312" w:hAnsi="仿宋" w:eastAsia="仿宋_GB2312"/>
          <w:sz w:val="32"/>
          <w:szCs w:val="32"/>
          <w:lang w:eastAsia="zh-CN"/>
        </w:rPr>
        <w:t>厉行节约</w:t>
      </w:r>
      <w:r>
        <w:rPr>
          <w:rFonts w:hint="eastAsia" w:ascii="仿宋_GB2312" w:hAnsi="仿宋" w:eastAsia="仿宋_GB2312"/>
          <w:sz w:val="32"/>
          <w:szCs w:val="32"/>
        </w:rPr>
        <w:t>原则。</w:t>
      </w:r>
    </w:p>
    <w:p w14:paraId="19A4BC78">
      <w:pPr>
        <w:spacing w:line="600" w:lineRule="exact"/>
        <w:ind w:firstLine="643" w:firstLineChars="200"/>
        <w:outlineLvl w:val="2"/>
        <w:rPr>
          <w:rFonts w:eastAsia="楷体_GB2312" w:cs="楷体_GB2312"/>
          <w:b/>
          <w:sz w:val="32"/>
          <w:szCs w:val="32"/>
        </w:rPr>
      </w:pPr>
      <w:bookmarkStart w:id="37" w:name="_Toc15377223"/>
      <w:r>
        <w:rPr>
          <w:rFonts w:hint="eastAsia" w:eastAsia="楷体_GB2312" w:cs="楷体_GB2312"/>
          <w:b/>
          <w:sz w:val="32"/>
          <w:szCs w:val="32"/>
        </w:rPr>
        <w:t>（二）政府采购支出情况</w:t>
      </w:r>
      <w:bookmarkEnd w:id="37"/>
    </w:p>
    <w:p w14:paraId="7DC17FD1">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2024年度，盐边县残疾人联合会政府采购支出总额92.6万元，其中：政府采购货物支出2.43万元、政府采购工程支出0万元、政府采购服务支出90.18万元。主要用于</w:t>
      </w:r>
      <w:r>
        <w:rPr>
          <w:rFonts w:hint="eastAsia" w:ascii="仿宋" w:hAnsi="仿宋" w:eastAsia="仿宋" w:cs="仿宋"/>
          <w:sz w:val="32"/>
          <w:szCs w:val="32"/>
        </w:rPr>
        <w:t>残疾人居家托养45.00万元，农村困难残疾人实用技术培训</w:t>
      </w:r>
      <w:r>
        <w:rPr>
          <w:rFonts w:hint="eastAsia" w:ascii="仿宋" w:hAnsi="仿宋" w:eastAsia="仿宋" w:cs="仿宋"/>
          <w:sz w:val="32"/>
          <w:szCs w:val="32"/>
          <w:lang w:eastAsia="zh-CN"/>
        </w:rPr>
        <w:t>（</w:t>
      </w:r>
      <w:r>
        <w:rPr>
          <w:rFonts w:hint="eastAsia" w:ascii="仿宋" w:hAnsi="仿宋" w:eastAsia="仿宋" w:cs="仿宋"/>
          <w:sz w:val="32"/>
          <w:szCs w:val="32"/>
        </w:rPr>
        <w:t>二次</w:t>
      </w:r>
      <w:r>
        <w:rPr>
          <w:rFonts w:hint="eastAsia" w:ascii="仿宋" w:hAnsi="仿宋" w:eastAsia="仿宋" w:cs="仿宋"/>
          <w:sz w:val="32"/>
          <w:szCs w:val="32"/>
          <w:lang w:eastAsia="zh-CN"/>
        </w:rPr>
        <w:t>）</w:t>
      </w:r>
      <w:r>
        <w:rPr>
          <w:rFonts w:hint="eastAsia" w:ascii="仿宋" w:hAnsi="仿宋" w:eastAsia="仿宋" w:cs="仿宋"/>
          <w:sz w:val="32"/>
          <w:szCs w:val="32"/>
        </w:rPr>
        <w:t>45万元</w:t>
      </w:r>
      <w:r>
        <w:rPr>
          <w:rFonts w:hint="eastAsia" w:ascii="仿宋_GB2312" w:hAnsi="仿宋_GB2312" w:eastAsia="仿宋_GB2312" w:cs="仿宋_GB2312"/>
          <w:sz w:val="32"/>
          <w:szCs w:val="32"/>
        </w:rPr>
        <w:t>。授予中小企业合同金额47.43万元，占政府采购支出总额的51.21%，其中：授予小微企业合同金额47.43万元，占政府采购支出总额的51.21%。</w:t>
      </w:r>
    </w:p>
    <w:p w14:paraId="57D1B7EC">
      <w:pPr>
        <w:spacing w:line="600" w:lineRule="exact"/>
        <w:ind w:firstLine="643" w:firstLineChars="200"/>
        <w:outlineLvl w:val="2"/>
        <w:rPr>
          <w:rFonts w:eastAsia="楷体_GB2312" w:cs="楷体_GB2312"/>
          <w:b/>
          <w:sz w:val="32"/>
          <w:szCs w:val="32"/>
        </w:rPr>
      </w:pPr>
      <w:bookmarkStart w:id="38" w:name="_Toc15377224"/>
      <w:r>
        <w:rPr>
          <w:rFonts w:hint="eastAsia" w:eastAsia="楷体_GB2312" w:cs="楷体_GB2312"/>
          <w:b/>
          <w:sz w:val="32"/>
          <w:szCs w:val="32"/>
        </w:rPr>
        <w:t>（三）国有资产占有使用情况</w:t>
      </w:r>
      <w:bookmarkEnd w:id="38"/>
    </w:p>
    <w:p w14:paraId="2AFD227A">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截至2024年12月31日，盐边县残疾人联合会共有车辆1辆，其中：主要负责人用车0辆、机要通信用车0辆、应急保障用车0辆、其他用车1辆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单价100万元（含）以上设备（不含车辆）0台（套）</w:t>
      </w:r>
      <w:r>
        <w:rPr>
          <w:rFonts w:hint="eastAsia" w:eastAsia="仿宋_GB2312" w:cs="仿宋_GB2312"/>
          <w:sz w:val="32"/>
          <w:szCs w:val="32"/>
        </w:rPr>
        <w:t>。</w:t>
      </w:r>
    </w:p>
    <w:p w14:paraId="5C497F35">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0C03FC8D">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rPr>
        <w:t>盐边县残疾人联合会</w:t>
      </w:r>
      <w:r>
        <w:rPr>
          <w:rFonts w:hint="eastAsia" w:eastAsia="仿宋_GB2312" w:cs="仿宋_GB2312"/>
          <w:sz w:val="32"/>
          <w:szCs w:val="32"/>
        </w:rPr>
        <w:t>在2024年度预算编制阶段，组织对</w:t>
      </w:r>
      <w:r>
        <w:rPr>
          <w:rFonts w:hint="eastAsia" w:ascii="仿宋_GB2312" w:hAnsi="仿宋" w:eastAsia="仿宋_GB2312"/>
          <w:sz w:val="32"/>
          <w:szCs w:val="32"/>
        </w:rPr>
        <w:t>残疾人</w:t>
      </w:r>
      <w:r>
        <w:rPr>
          <w:rFonts w:hint="eastAsia" w:ascii="仿宋_GB2312" w:hAnsi="仿宋" w:eastAsia="仿宋_GB2312"/>
          <w:sz w:val="32"/>
          <w:szCs w:val="32"/>
          <w:lang w:eastAsia="zh-CN"/>
        </w:rPr>
        <w:t>“</w:t>
      </w:r>
      <w:r>
        <w:rPr>
          <w:rFonts w:hint="eastAsia" w:ascii="仿宋_GB2312" w:hAnsi="仿宋" w:eastAsia="仿宋_GB2312"/>
          <w:sz w:val="32"/>
          <w:szCs w:val="32"/>
        </w:rPr>
        <w:t>量体裁衣</w:t>
      </w:r>
      <w:r>
        <w:rPr>
          <w:rFonts w:hint="eastAsia" w:ascii="仿宋_GB2312" w:hAnsi="仿宋" w:eastAsia="仿宋_GB2312"/>
          <w:sz w:val="32"/>
          <w:szCs w:val="32"/>
          <w:lang w:eastAsia="zh-CN"/>
        </w:rPr>
        <w:t>”</w:t>
      </w:r>
      <w:r>
        <w:rPr>
          <w:rFonts w:hint="eastAsia" w:ascii="仿宋_GB2312" w:hAnsi="仿宋" w:eastAsia="仿宋_GB2312"/>
          <w:sz w:val="32"/>
          <w:szCs w:val="32"/>
        </w:rPr>
        <w:t>服务工作、残疾人无障碍改造</w:t>
      </w:r>
      <w:r>
        <w:rPr>
          <w:rFonts w:hint="eastAsia" w:eastAsia="仿宋_GB2312" w:cs="仿宋_GB2312"/>
          <w:sz w:val="32"/>
          <w:szCs w:val="32"/>
        </w:rPr>
        <w:t>等10个项目开展了预算事前绩效评估，对10个项目编制了绩效目标</w:t>
      </w:r>
      <w:r>
        <w:rPr>
          <w:rFonts w:hint="eastAsia" w:eastAsia="仿宋_GB2312" w:cs="仿宋_GB2312"/>
          <w:sz w:val="32"/>
          <w:szCs w:val="32"/>
          <w:lang w:eastAsia="zh-CN"/>
        </w:rPr>
        <w:t>，在</w:t>
      </w:r>
      <w:r>
        <w:rPr>
          <w:rFonts w:hint="eastAsia" w:eastAsia="仿宋_GB2312" w:cs="仿宋_GB2312"/>
          <w:sz w:val="32"/>
          <w:szCs w:val="32"/>
        </w:rPr>
        <w:t>预算执行过程中，选取10个项目开展绩效监控。</w:t>
      </w:r>
    </w:p>
    <w:p w14:paraId="5CE8AF52">
      <w:pPr>
        <w:pStyle w:val="2"/>
        <w:keepNext w:val="0"/>
        <w:keepLines w:val="0"/>
        <w:pageBreakBefore w:val="0"/>
        <w:widowControl w:val="0"/>
        <w:kinsoku/>
        <w:wordWrap/>
        <w:overflowPunct/>
        <w:topLinePunct w:val="0"/>
        <w:autoSpaceDE/>
        <w:autoSpaceDN/>
        <w:bidi w:val="0"/>
        <w:adjustRightInd/>
        <w:snapToGrid/>
        <w:spacing w:before="72" w:line="480" w:lineRule="auto"/>
        <w:ind w:left="17" w:right="17" w:firstLine="652"/>
        <w:textAlignment w:val="auto"/>
      </w:pPr>
      <w:r>
        <w:rPr>
          <w:rFonts w:hint="eastAsia" w:ascii="仿宋" w:hAnsi="仿宋" w:eastAsia="仿宋" w:cs="仿宋"/>
          <w:kern w:val="2"/>
          <w:sz w:val="32"/>
          <w:szCs w:val="32"/>
        </w:rPr>
        <w:t>组织对2024年度一般公共预算、政府性基金预算等全面开展绩效自评，形成</w:t>
      </w:r>
      <w:r>
        <w:rPr>
          <w:rFonts w:hint="eastAsia" w:ascii="仿宋" w:hAnsi="仿宋" w:eastAsia="仿宋" w:cs="仿宋"/>
          <w:sz w:val="32"/>
          <w:szCs w:val="32"/>
        </w:rPr>
        <w:t>盐边县残疾人联合会2024</w:t>
      </w:r>
      <w:r>
        <w:rPr>
          <w:rFonts w:hint="eastAsia" w:ascii="仿宋" w:hAnsi="仿宋" w:eastAsia="仿宋" w:cs="仿宋"/>
          <w:sz w:val="32"/>
          <w:szCs w:val="32"/>
          <w:lang w:eastAsia="zh-CN"/>
        </w:rPr>
        <w:t>年度</w:t>
      </w:r>
      <w:r>
        <w:rPr>
          <w:rFonts w:hint="eastAsia" w:ascii="仿宋" w:hAnsi="仿宋" w:eastAsia="仿宋" w:cs="仿宋"/>
          <w:kern w:val="2"/>
          <w:sz w:val="32"/>
          <w:szCs w:val="32"/>
        </w:rPr>
        <w:t>部门整体（含部门预算项目）绩效自评报告、</w:t>
      </w:r>
      <w:r>
        <w:rPr>
          <w:rFonts w:hint="eastAsia" w:ascii="仿宋" w:hAnsi="仿宋" w:eastAsia="仿宋" w:cs="仿宋"/>
          <w:sz w:val="32"/>
          <w:szCs w:val="32"/>
        </w:rPr>
        <w:t>残疾人</w:t>
      </w:r>
      <w:r>
        <w:rPr>
          <w:rFonts w:hint="eastAsia" w:ascii="仿宋" w:hAnsi="仿宋" w:eastAsia="仿宋" w:cs="仿宋"/>
          <w:sz w:val="32"/>
          <w:szCs w:val="32"/>
          <w:lang w:eastAsia="zh-CN"/>
        </w:rPr>
        <w:t>“</w:t>
      </w:r>
      <w:r>
        <w:rPr>
          <w:rFonts w:hint="eastAsia" w:ascii="仿宋" w:hAnsi="仿宋" w:eastAsia="仿宋" w:cs="仿宋"/>
          <w:sz w:val="32"/>
          <w:szCs w:val="32"/>
        </w:rPr>
        <w:t>量体裁衣</w:t>
      </w:r>
      <w:r>
        <w:rPr>
          <w:rFonts w:hint="eastAsia" w:ascii="仿宋" w:hAnsi="仿宋" w:eastAsia="仿宋" w:cs="仿宋"/>
          <w:sz w:val="32"/>
          <w:szCs w:val="32"/>
          <w:lang w:eastAsia="zh-CN"/>
        </w:rPr>
        <w:t>”</w:t>
      </w:r>
      <w:r>
        <w:rPr>
          <w:rFonts w:hint="eastAsia" w:ascii="仿宋" w:hAnsi="仿宋" w:eastAsia="仿宋" w:cs="仿宋"/>
          <w:sz w:val="32"/>
          <w:szCs w:val="32"/>
        </w:rPr>
        <w:t>服务工作、残疾人无障碍改造</w:t>
      </w:r>
      <w:r>
        <w:rPr>
          <w:rFonts w:hint="eastAsia" w:ascii="仿宋" w:hAnsi="仿宋" w:eastAsia="仿宋" w:cs="仿宋"/>
          <w:kern w:val="2"/>
          <w:sz w:val="32"/>
          <w:szCs w:val="32"/>
        </w:rPr>
        <w:t>等专项预算项目绩效自评报告，其中，</w:t>
      </w:r>
      <w:r>
        <w:rPr>
          <w:rFonts w:hint="eastAsia" w:ascii="仿宋" w:hAnsi="仿宋" w:eastAsia="仿宋" w:cs="仿宋"/>
          <w:sz w:val="32"/>
          <w:szCs w:val="32"/>
        </w:rPr>
        <w:t>盐边县残疾人联合会2024年</w:t>
      </w:r>
      <w:r>
        <w:rPr>
          <w:rFonts w:hint="eastAsia" w:ascii="仿宋" w:hAnsi="仿宋" w:eastAsia="仿宋" w:cs="仿宋"/>
          <w:kern w:val="2"/>
          <w:sz w:val="32"/>
          <w:szCs w:val="32"/>
        </w:rPr>
        <w:t>部门整体（含部门预算项目）绩效自评得分为</w:t>
      </w:r>
      <w:r>
        <w:rPr>
          <w:rFonts w:hint="eastAsia" w:ascii="仿宋" w:hAnsi="仿宋" w:eastAsia="仿宋" w:cs="仿宋"/>
          <w:sz w:val="32"/>
          <w:szCs w:val="32"/>
        </w:rPr>
        <w:t>99</w:t>
      </w:r>
      <w:r>
        <w:rPr>
          <w:rFonts w:hint="eastAsia" w:ascii="仿宋" w:hAnsi="仿宋" w:eastAsia="仿宋" w:cs="仿宋"/>
          <w:kern w:val="2"/>
          <w:sz w:val="32"/>
          <w:szCs w:val="32"/>
        </w:rPr>
        <w:t>分，绩效自评综述</w:t>
      </w:r>
      <w:r>
        <w:rPr>
          <w:rFonts w:hint="eastAsia" w:ascii="仿宋" w:hAnsi="仿宋" w:eastAsia="仿宋" w:cs="仿宋"/>
          <w:sz w:val="32"/>
          <w:szCs w:val="32"/>
          <w:shd w:val="clear" w:color="auto" w:fill="FFFFFF"/>
        </w:rPr>
        <w:t>2024年度全年资金拨付和使用均按计划进度完成，全年经费的拨付和使用均及时、合理，按照项目资金管理办法实行专款专用，未发生因经费影响工作的情况。坚决执行国家有关</w:t>
      </w:r>
      <w:r>
        <w:rPr>
          <w:rFonts w:hint="eastAsia" w:ascii="仿宋" w:hAnsi="仿宋" w:eastAsia="仿宋" w:cs="仿宋"/>
          <w:sz w:val="32"/>
          <w:szCs w:val="32"/>
          <w:shd w:val="clear" w:color="auto" w:fill="FFFFFF"/>
          <w:lang w:eastAsia="zh-CN"/>
        </w:rPr>
        <w:t>法律法规</w:t>
      </w:r>
      <w:r>
        <w:rPr>
          <w:rFonts w:hint="eastAsia" w:ascii="仿宋" w:hAnsi="仿宋" w:eastAsia="仿宋" w:cs="仿宋"/>
          <w:sz w:val="32"/>
          <w:szCs w:val="32"/>
          <w:shd w:val="clear" w:color="auto" w:fill="FFFFFF"/>
        </w:rPr>
        <w:t>和财务规章制度，厉行节约，制止奢侈浪费，量入为出，保证重点，兼顾一般，严格专款专用，</w:t>
      </w:r>
      <w:r>
        <w:rPr>
          <w:rFonts w:hint="eastAsia" w:ascii="仿宋" w:hAnsi="仿宋" w:eastAsia="仿宋" w:cs="仿宋"/>
          <w:sz w:val="32"/>
          <w:szCs w:val="32"/>
          <w:shd w:val="clear" w:color="auto" w:fill="FFFFFF"/>
          <w:lang w:eastAsia="zh-CN"/>
        </w:rPr>
        <w:t>防止</w:t>
      </w:r>
      <w:r>
        <w:rPr>
          <w:rFonts w:hint="eastAsia" w:ascii="仿宋" w:hAnsi="仿宋" w:eastAsia="仿宋" w:cs="仿宋"/>
          <w:sz w:val="32"/>
          <w:szCs w:val="32"/>
          <w:shd w:val="clear" w:color="auto" w:fill="FFFFFF"/>
        </w:rPr>
        <w:t>截留、挤占、挪用等问题发生，确保资金安全、规范、有效使用</w:t>
      </w:r>
      <w:r>
        <w:rPr>
          <w:rFonts w:hint="eastAsia" w:ascii="仿宋" w:hAnsi="仿宋" w:eastAsia="仿宋" w:cs="仿宋"/>
          <w:kern w:val="2"/>
          <w:sz w:val="32"/>
          <w:szCs w:val="32"/>
        </w:rPr>
        <w:t>；</w:t>
      </w:r>
      <w:r>
        <w:rPr>
          <w:rFonts w:hint="eastAsia" w:ascii="仿宋" w:hAnsi="仿宋" w:eastAsia="仿宋" w:cs="仿宋"/>
          <w:sz w:val="32"/>
          <w:szCs w:val="32"/>
        </w:rPr>
        <w:t>残疾人</w:t>
      </w:r>
      <w:r>
        <w:rPr>
          <w:rFonts w:hint="eastAsia" w:ascii="仿宋" w:hAnsi="仿宋" w:eastAsia="仿宋" w:cs="仿宋"/>
          <w:sz w:val="32"/>
          <w:szCs w:val="32"/>
          <w:lang w:eastAsia="zh-CN"/>
        </w:rPr>
        <w:t>“</w:t>
      </w:r>
      <w:r>
        <w:rPr>
          <w:rFonts w:hint="eastAsia" w:ascii="仿宋" w:hAnsi="仿宋" w:eastAsia="仿宋" w:cs="仿宋"/>
          <w:sz w:val="32"/>
          <w:szCs w:val="32"/>
        </w:rPr>
        <w:t>量体裁衣</w:t>
      </w:r>
      <w:r>
        <w:rPr>
          <w:rFonts w:hint="eastAsia" w:ascii="仿宋" w:hAnsi="仿宋" w:eastAsia="仿宋" w:cs="仿宋"/>
          <w:sz w:val="32"/>
          <w:szCs w:val="32"/>
          <w:lang w:eastAsia="zh-CN"/>
        </w:rPr>
        <w:t>”</w:t>
      </w:r>
      <w:r>
        <w:rPr>
          <w:rFonts w:hint="eastAsia" w:ascii="仿宋" w:hAnsi="仿宋" w:eastAsia="仿宋" w:cs="仿宋"/>
          <w:sz w:val="32"/>
          <w:szCs w:val="32"/>
        </w:rPr>
        <w:t>服务工作、残疾人无障碍改造</w:t>
      </w:r>
      <w:r>
        <w:rPr>
          <w:rFonts w:hint="eastAsia" w:ascii="仿宋" w:hAnsi="仿宋" w:eastAsia="仿宋" w:cs="仿宋"/>
          <w:kern w:val="2"/>
          <w:sz w:val="32"/>
          <w:szCs w:val="32"/>
        </w:rPr>
        <w:t>专项预算项目绩效自评得分为100分，绩效自评综述</w:t>
      </w:r>
      <w:r>
        <w:rPr>
          <w:rFonts w:hint="eastAsia" w:ascii="仿宋" w:hAnsi="仿宋" w:eastAsia="仿宋" w:cs="仿宋"/>
          <w:spacing w:val="8"/>
          <w:sz w:val="32"/>
          <w:szCs w:val="32"/>
        </w:rPr>
        <w:t>县残联项目的实施减轻了残疾人家庭负担，改善残疾人居家环</w:t>
      </w:r>
      <w:r>
        <w:rPr>
          <w:rFonts w:hint="eastAsia" w:ascii="仿宋" w:hAnsi="仿宋" w:eastAsia="仿宋" w:cs="仿宋"/>
          <w:spacing w:val="9"/>
          <w:sz w:val="32"/>
          <w:szCs w:val="32"/>
        </w:rPr>
        <w:t>境，提高残疾人融入社会能力，改善残疾人生活状况，提高残疾人生活质量，保障残疾人的合法权益，圆满</w:t>
      </w:r>
      <w:r>
        <w:rPr>
          <w:rFonts w:hint="eastAsia" w:ascii="仿宋" w:hAnsi="仿宋" w:eastAsia="仿宋" w:cs="仿宋"/>
          <w:spacing w:val="4"/>
          <w:sz w:val="32"/>
          <w:szCs w:val="32"/>
        </w:rPr>
        <w:t>完成了目标任务</w:t>
      </w:r>
      <w:r>
        <w:rPr>
          <w:rFonts w:hint="eastAsia" w:ascii="仿宋" w:hAnsi="仿宋" w:eastAsia="仿宋" w:cs="仿宋"/>
          <w:kern w:val="2"/>
          <w:sz w:val="32"/>
          <w:szCs w:val="32"/>
        </w:rPr>
        <w:t>。</w:t>
      </w:r>
    </w:p>
    <w:p w14:paraId="75369FC5">
      <w:pPr>
        <w:pStyle w:val="7"/>
        <w:ind w:left="420"/>
      </w:pPr>
    </w:p>
    <w:p w14:paraId="6D6926AB">
      <w:pPr>
        <w:pStyle w:val="7"/>
        <w:ind w:left="420"/>
      </w:pPr>
    </w:p>
    <w:p w14:paraId="4D78B7A3">
      <w:pPr>
        <w:pStyle w:val="7"/>
        <w:ind w:left="420"/>
      </w:pPr>
    </w:p>
    <w:p w14:paraId="2B26576C">
      <w:pPr>
        <w:pStyle w:val="7"/>
        <w:ind w:left="420"/>
      </w:pPr>
    </w:p>
    <w:p w14:paraId="75303D8F">
      <w:pPr>
        <w:pStyle w:val="7"/>
        <w:ind w:left="420"/>
      </w:pPr>
    </w:p>
    <w:p w14:paraId="6E45D776">
      <w:pPr>
        <w:pStyle w:val="7"/>
        <w:ind w:left="420"/>
      </w:pPr>
    </w:p>
    <w:p w14:paraId="3BE3B7EC">
      <w:pPr>
        <w:pStyle w:val="7"/>
        <w:ind w:left="420"/>
      </w:pPr>
    </w:p>
    <w:p w14:paraId="23BB38D9">
      <w:pPr>
        <w:pStyle w:val="7"/>
        <w:ind w:left="420"/>
      </w:pPr>
    </w:p>
    <w:p w14:paraId="72F1EEE6">
      <w:pPr>
        <w:pStyle w:val="7"/>
        <w:ind w:left="420"/>
      </w:pPr>
    </w:p>
    <w:p w14:paraId="1F5B3A2C">
      <w:pPr>
        <w:pStyle w:val="7"/>
        <w:ind w:left="420"/>
      </w:pPr>
    </w:p>
    <w:p w14:paraId="74482C93">
      <w:pPr>
        <w:pStyle w:val="7"/>
        <w:ind w:left="420"/>
      </w:pPr>
    </w:p>
    <w:p w14:paraId="01C90B60">
      <w:pPr>
        <w:pStyle w:val="7"/>
        <w:ind w:left="420"/>
      </w:pPr>
    </w:p>
    <w:p w14:paraId="3FE31B76">
      <w:pPr>
        <w:pStyle w:val="7"/>
        <w:ind w:left="420"/>
      </w:pPr>
    </w:p>
    <w:p w14:paraId="67A72E24">
      <w:pPr>
        <w:pStyle w:val="7"/>
        <w:ind w:left="420"/>
      </w:pPr>
    </w:p>
    <w:p w14:paraId="66D4A3DA">
      <w:pPr>
        <w:pStyle w:val="7"/>
        <w:ind w:left="420"/>
      </w:pPr>
    </w:p>
    <w:p w14:paraId="79ACB21E">
      <w:pPr>
        <w:pStyle w:val="7"/>
        <w:ind w:left="420"/>
      </w:pPr>
    </w:p>
    <w:p w14:paraId="0ECA5089">
      <w:pPr>
        <w:pStyle w:val="7"/>
        <w:ind w:left="420"/>
      </w:pPr>
    </w:p>
    <w:p w14:paraId="02D0F264">
      <w:pPr>
        <w:pStyle w:val="7"/>
        <w:ind w:left="420"/>
      </w:pPr>
    </w:p>
    <w:p w14:paraId="29149ECF">
      <w:pPr>
        <w:spacing w:line="600" w:lineRule="exact"/>
        <w:jc w:val="center"/>
        <w:outlineLvl w:val="0"/>
        <w:rPr>
          <w:rFonts w:eastAsia="黑体"/>
          <w:sz w:val="44"/>
          <w:szCs w:val="44"/>
        </w:rPr>
      </w:pPr>
      <w:bookmarkStart w:id="39" w:name="_Toc15396613"/>
      <w:bookmarkStart w:id="40" w:name="_Toc15377225"/>
      <w:r>
        <w:rPr>
          <w:rFonts w:hint="eastAsia" w:eastAsia="黑体"/>
          <w:sz w:val="44"/>
          <w:szCs w:val="44"/>
        </w:rPr>
        <w:t>第三部分  名词解释</w:t>
      </w:r>
      <w:bookmarkEnd w:id="39"/>
      <w:bookmarkEnd w:id="40"/>
    </w:p>
    <w:p w14:paraId="24BFAA81">
      <w:pPr>
        <w:spacing w:line="600" w:lineRule="exact"/>
        <w:jc w:val="left"/>
        <w:rPr>
          <w:b/>
          <w:sz w:val="44"/>
          <w:szCs w:val="44"/>
        </w:rPr>
      </w:pPr>
    </w:p>
    <w:p w14:paraId="479A9AFA">
      <w:pPr>
        <w:pStyle w:val="26"/>
        <w:keepNext w:val="0"/>
        <w:keepLines w:val="0"/>
        <w:pageBreakBefore w:val="0"/>
        <w:widowControl w:val="0"/>
        <w:spacing w:line="600" w:lineRule="exact"/>
        <w:ind w:firstLine="640"/>
        <w:rPr>
          <w:rFonts w:ascii="仿宋_GB2312" w:eastAsia="仿宋_GB2312"/>
          <w:color w:val="auto"/>
          <w:sz w:val="32"/>
          <w:szCs w:val="32"/>
        </w:rPr>
      </w:pPr>
      <w:bookmarkStart w:id="41" w:name="_Toc15396614"/>
      <w:bookmarkStart w:id="42"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D83B950">
      <w:pPr>
        <w:pStyle w:val="26"/>
        <w:keepNext w:val="0"/>
        <w:keepLines w:val="0"/>
        <w:pageBreakBefore w:val="0"/>
        <w:widowControl w:val="0"/>
        <w:spacing w:line="600" w:lineRule="exact"/>
        <w:ind w:firstLine="64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79C29681">
      <w:pPr>
        <w:pStyle w:val="26"/>
        <w:keepNext w:val="0"/>
        <w:keepLines w:val="0"/>
        <w:pageBreakBefore w:val="0"/>
        <w:widowControl w:val="0"/>
        <w:spacing w:line="600" w:lineRule="exact"/>
        <w:ind w:firstLine="64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7B423174">
      <w:pPr>
        <w:pStyle w:val="26"/>
        <w:keepNext w:val="0"/>
        <w:keepLines w:val="0"/>
        <w:pageBreakBefore w:val="0"/>
        <w:widowControl w:val="0"/>
        <w:spacing w:line="600" w:lineRule="exact"/>
        <w:ind w:firstLine="64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4B771721">
      <w:pPr>
        <w:pStyle w:val="26"/>
        <w:keepNext w:val="0"/>
        <w:keepLines w:val="0"/>
        <w:pageBreakBefore w:val="0"/>
        <w:widowControl w:val="0"/>
        <w:spacing w:line="600" w:lineRule="exact"/>
        <w:ind w:firstLine="64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p>
    <w:p w14:paraId="158957F1">
      <w:pPr>
        <w:pStyle w:val="26"/>
        <w:keepNext w:val="0"/>
        <w:keepLines w:val="0"/>
        <w:pageBreakBefore w:val="0"/>
        <w:widowControl w:val="0"/>
        <w:spacing w:line="600" w:lineRule="exact"/>
        <w:ind w:firstLine="64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23A4DE2C">
      <w:pPr>
        <w:pStyle w:val="26"/>
        <w:keepNext w:val="0"/>
        <w:keepLines w:val="0"/>
        <w:pageBreakBefore w:val="0"/>
        <w:widowControl w:val="0"/>
        <w:spacing w:line="600" w:lineRule="exact"/>
        <w:ind w:firstLine="64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0F445314">
      <w:pPr>
        <w:pStyle w:val="26"/>
        <w:keepNext w:val="0"/>
        <w:keepLines w:val="0"/>
        <w:pageBreakBefore w:val="0"/>
        <w:widowControl w:val="0"/>
        <w:spacing w:line="600" w:lineRule="exact"/>
        <w:ind w:firstLine="64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066ACE40">
      <w:pPr>
        <w:keepNext w:val="0"/>
        <w:keepLines w:val="0"/>
        <w:pageBreakBefore w:val="0"/>
        <w:widowControl w:val="0"/>
        <w:tabs>
          <w:tab w:val="left" w:pos="3200"/>
        </w:tabs>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.社会保障与就业支出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：行政事业养老支出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行政单位离退休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：反映行政事业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包括实行公务员管理的事业单位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开支的离退休经费</w:t>
      </w:r>
      <w:r>
        <w:rPr>
          <w:rFonts w:hint="eastAsia" w:ascii="仿宋_GB2312" w:hAnsi="仿宋_GB2312" w:eastAsia="仿宋_GB2312" w:cs="仿宋_GB2312"/>
          <w:sz w:val="32"/>
          <w:szCs w:val="32"/>
        </w:rPr>
        <w:t>。</w:t>
      </w:r>
    </w:p>
    <w:p w14:paraId="42C85136">
      <w:pPr>
        <w:pStyle w:val="2"/>
        <w:keepNext w:val="0"/>
        <w:keepLines w:val="0"/>
        <w:pageBreakBefore w:val="0"/>
        <w:widowControl w:val="0"/>
        <w:spacing w:line="600" w:lineRule="exact"/>
        <w:ind w:firstLine="640"/>
        <w:rPr>
          <w:rFonts w:hint="eastAsia" w:eastAsia="仿宋_GB2312"/>
          <w:lang w:val="en-US" w:eastAsia="zh-CN"/>
        </w:rPr>
      </w:pPr>
      <w:r>
        <w:rPr>
          <w:rFonts w:hint="eastAsia" w:hAnsi="仿宋_GB2312" w:cs="仿宋_GB2312"/>
          <w:sz w:val="32"/>
          <w:szCs w:val="32"/>
          <w:lang w:val="en-US" w:eastAsia="zh-CN"/>
        </w:rPr>
        <w:t>10.</w:t>
      </w:r>
      <w:r>
        <w:rPr>
          <w:rFonts w:hint="eastAsia" w:ascii="仿宋_GB2312" w:hAnsi="仿宋_GB2312" w:eastAsia="仿宋_GB2312" w:cs="仿宋_GB2312"/>
          <w:color w:val="000000"/>
          <w:sz w:val="32"/>
          <w:szCs w:val="32"/>
        </w:rPr>
        <w:t>社会保障与就业支出</w:t>
      </w:r>
      <w:r>
        <w:rPr>
          <w:rFonts w:hint="eastAsia" w:hAnsi="仿宋_GB2312" w:cs="仿宋_GB2312"/>
          <w:color w:val="000000"/>
          <w:sz w:val="32"/>
          <w:szCs w:val="32"/>
          <w:lang w:eastAsia="zh-CN"/>
        </w:rPr>
        <w:t>（</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val="en-US" w:eastAsia="zh-CN"/>
        </w:rPr>
        <w:t>208</w:t>
      </w:r>
      <w:r>
        <w:rPr>
          <w:rFonts w:hint="eastAsia" w:hAnsi="仿宋_GB2312" w:cs="仿宋_GB2312"/>
          <w:color w:val="000000"/>
          <w:sz w:val="32"/>
          <w:szCs w:val="32"/>
          <w:lang w:val="en-US" w:eastAsia="zh-CN"/>
        </w:rPr>
        <w:t>）</w:t>
      </w:r>
      <w:r>
        <w:rPr>
          <w:rFonts w:hint="eastAsia" w:ascii="仿宋_GB2312" w:hAnsi="仿宋_GB2312" w:eastAsia="仿宋_GB2312" w:cs="仿宋_GB2312"/>
          <w:color w:val="000000"/>
          <w:sz w:val="32"/>
          <w:szCs w:val="32"/>
        </w:rPr>
        <w:t>：行政事业养老支出</w:t>
      </w:r>
      <w:r>
        <w:rPr>
          <w:rFonts w:hint="eastAsia" w:hAnsi="仿宋_GB2312" w:cs="仿宋_GB2312"/>
          <w:color w:val="000000"/>
          <w:sz w:val="32"/>
          <w:szCs w:val="32"/>
          <w:lang w:eastAsia="zh-CN"/>
        </w:rPr>
        <w:t>（</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05</w:t>
      </w:r>
      <w:r>
        <w:rPr>
          <w:rFonts w:hint="eastAsia" w:hAnsi="仿宋_GB2312" w:cs="仿宋_GB2312"/>
          <w:color w:val="000000"/>
          <w:sz w:val="32"/>
          <w:szCs w:val="32"/>
          <w:lang w:val="en-US" w:eastAsia="zh-CN"/>
        </w:rPr>
        <w:t>）事业</w:t>
      </w:r>
      <w:r>
        <w:rPr>
          <w:rFonts w:hint="eastAsia" w:ascii="仿宋_GB2312" w:hAnsi="仿宋_GB2312" w:eastAsia="仿宋_GB2312" w:cs="仿宋_GB2312"/>
          <w:color w:val="000000"/>
          <w:sz w:val="32"/>
          <w:szCs w:val="32"/>
        </w:rPr>
        <w:t>单位离退休</w:t>
      </w:r>
      <w:r>
        <w:rPr>
          <w:rFonts w:hint="eastAsia" w:hAnsi="仿宋_GB2312" w:cs="仿宋_GB2312"/>
          <w:color w:val="000000"/>
          <w:sz w:val="32"/>
          <w:szCs w:val="32"/>
          <w:lang w:eastAsia="zh-CN"/>
        </w:rPr>
        <w:t>（</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02</w:t>
      </w:r>
      <w:r>
        <w:rPr>
          <w:rFonts w:hint="eastAsia" w:hAnsi="仿宋_GB2312" w:cs="仿宋_GB2312"/>
          <w:color w:val="000000"/>
          <w:sz w:val="32"/>
          <w:szCs w:val="32"/>
          <w:lang w:val="en-US" w:eastAsia="zh-CN"/>
        </w:rPr>
        <w:t>）</w:t>
      </w:r>
      <w:r>
        <w:rPr>
          <w:rFonts w:hint="eastAsia" w:ascii="仿宋_GB2312" w:hAnsi="仿宋_GB2312" w:eastAsia="仿宋_GB2312" w:cs="仿宋_GB2312"/>
          <w:color w:val="000000"/>
          <w:sz w:val="32"/>
          <w:szCs w:val="32"/>
        </w:rPr>
        <w:t>：反映事业开支的离退休经费</w:t>
      </w:r>
      <w:r>
        <w:rPr>
          <w:rFonts w:hint="eastAsia" w:hAnsi="仿宋_GB2312" w:cs="仿宋_GB2312"/>
          <w:color w:val="000000"/>
          <w:sz w:val="32"/>
          <w:szCs w:val="32"/>
          <w:lang w:eastAsia="zh-CN"/>
        </w:rPr>
        <w:t>。</w:t>
      </w:r>
    </w:p>
    <w:p w14:paraId="4F1F9552">
      <w:pPr>
        <w:keepNext w:val="0"/>
        <w:keepLines w:val="0"/>
        <w:pageBreakBefore w:val="0"/>
        <w:widowControl w:val="0"/>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社会保障与就业支出（类</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）行政事业单位养老支出（款</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）机关事业单位基本养老保险缴费支出（项</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 xml:space="preserve"> 反映机关事业单位实施养老保险制度由单位缴纳的基本养老保险费支出。</w:t>
      </w:r>
    </w:p>
    <w:p w14:paraId="0FC1A1C5">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.卫生健康支出（类</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）行政事业单位医疗（款</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）行政单位医疗（项</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反映财政部门安排的行政单位（包括实行公务员管理的事业单位，下同）基本医疗保险缴费经费，未参加医疗保险的行政单位的公费医疗经费，按国家规定享受离休人员、红军老战士待遇人员的医疗经费。</w:t>
      </w:r>
    </w:p>
    <w:p w14:paraId="28544FC5">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.卫生健康支出（类</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）行政事业单位医疗（款</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）事业单位医疗（项</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反映财政部门安排的事业单位基本医疗保险缴费经费，未参加医疗保险的事业单位的公费医疗经费，按国家规定享受离休人员待遇的医疗经费</w:t>
      </w:r>
      <w:r>
        <w:rPr>
          <w:rFonts w:hint="eastAsia" w:ascii="仿宋_GB2312" w:hAnsi="仿宋_GB2312" w:eastAsia="仿宋_GB2312" w:cs="仿宋_GB2312"/>
          <w:sz w:val="32"/>
          <w:szCs w:val="32"/>
        </w:rPr>
        <w:t>。</w:t>
      </w:r>
    </w:p>
    <w:p w14:paraId="329A951E">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default" w:eastAsia="仿宋_GB2312"/>
          <w:lang w:val="en-US" w:eastAsia="zh-CN"/>
        </w:rPr>
      </w:pPr>
      <w:r>
        <w:rPr>
          <w:rFonts w:hint="eastAsia" w:ascii="仿宋" w:hAnsi="仿宋" w:eastAsia="仿宋" w:cs="仿宋"/>
          <w:sz w:val="32"/>
          <w:szCs w:val="32"/>
          <w:lang w:val="en-US" w:eastAsia="zh-CN"/>
        </w:rPr>
        <w:t>14.</w:t>
      </w:r>
      <w:r>
        <w:rPr>
          <w:rFonts w:hint="eastAsia" w:ascii="仿宋_GB2312" w:hAnsi="仿宋_GB2312" w:eastAsia="仿宋_GB2312" w:cs="仿宋_GB2312"/>
          <w:sz w:val="32"/>
          <w:szCs w:val="32"/>
        </w:rPr>
        <w:t>卫生健康支出（类</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）行政事业单位医疗（款</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）公务员医疗补助（项</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反映财政部门安排的</w:t>
      </w:r>
      <w:r>
        <w:rPr>
          <w:rFonts w:hint="eastAsia" w:ascii="仿宋_GB2312" w:hAnsi="仿宋_GB2312" w:eastAsia="仿宋_GB2312" w:cs="仿宋_GB2312"/>
          <w:color w:val="000000"/>
          <w:sz w:val="32"/>
          <w:szCs w:val="32"/>
          <w:lang w:val="en-US" w:eastAsia="zh-CN"/>
        </w:rPr>
        <w:t>公务员医疗补助经费。</w:t>
      </w:r>
    </w:p>
    <w:p w14:paraId="3FA49CCA">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.卫生健康支出（类</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）行政事业单位医疗（款</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）其他行政事业单位医疗支出（项</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反映</w:t>
      </w:r>
      <w:r>
        <w:rPr>
          <w:rFonts w:hint="eastAsia" w:ascii="仿宋_GB2312" w:hAnsi="仿宋_GB2312" w:eastAsia="仿宋_GB2312" w:cs="仿宋_GB2312"/>
          <w:color w:val="000000"/>
          <w:sz w:val="32"/>
          <w:szCs w:val="32"/>
          <w:lang w:eastAsia="zh-CN"/>
        </w:rPr>
        <w:t>除</w:t>
      </w:r>
      <w:r>
        <w:rPr>
          <w:rFonts w:hint="eastAsia" w:ascii="仿宋_GB2312" w:hAnsi="仿宋_GB2312" w:eastAsia="仿宋_GB2312" w:cs="仿宋_GB2312"/>
          <w:color w:val="000000"/>
          <w:sz w:val="32"/>
          <w:szCs w:val="32"/>
        </w:rPr>
        <w:t>上述项目以外的其他用于行政事业单位医疗方面的支出。</w:t>
      </w:r>
    </w:p>
    <w:p w14:paraId="6D4CA76D">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.住房保障支出（类</w:t>
      </w:r>
      <w:r>
        <w:rPr>
          <w:rFonts w:hint="eastAsia"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rPr>
        <w:t>）住房改革支出（款</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）住房公积金（项</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 xml:space="preserve"> 反映行政事业单位按人力资源和社会保障部、财政部规定的基本工资和津贴补贴以及规定比例为职工缴纳的住房公积金。</w:t>
      </w:r>
    </w:p>
    <w:p w14:paraId="2B86D52A">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残疾人事业</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行政运行</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：反映行政单位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包括实行公务员管理的事业单位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的基本支出。</w:t>
      </w:r>
    </w:p>
    <w:p w14:paraId="310B7D2D">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残疾人事业</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其他残疾人事业支出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反映：除</w:t>
      </w:r>
      <w:r>
        <w:rPr>
          <w:rFonts w:hint="eastAsia" w:ascii="仿宋_GB2312" w:hAnsi="仿宋_GB2312" w:eastAsia="仿宋_GB2312" w:cs="仿宋_GB2312"/>
          <w:color w:val="000000"/>
          <w:sz w:val="32"/>
          <w:szCs w:val="32"/>
          <w:lang w:val="en-US" w:eastAsia="zh-CN"/>
        </w:rPr>
        <w:t>上述</w:t>
      </w:r>
      <w:r>
        <w:rPr>
          <w:rFonts w:hint="eastAsia" w:ascii="仿宋_GB2312" w:hAnsi="仿宋_GB2312" w:eastAsia="仿宋_GB2312" w:cs="仿宋_GB2312"/>
          <w:color w:val="000000"/>
          <w:sz w:val="32"/>
          <w:szCs w:val="32"/>
        </w:rPr>
        <w:t>项目以外的其他</w:t>
      </w:r>
      <w:r>
        <w:rPr>
          <w:rFonts w:hint="eastAsia" w:ascii="仿宋_GB2312" w:hAnsi="仿宋_GB2312" w:eastAsia="仿宋_GB2312" w:cs="仿宋_GB2312"/>
          <w:color w:val="000000"/>
          <w:sz w:val="32"/>
          <w:szCs w:val="32"/>
          <w:lang w:val="en-US" w:eastAsia="zh-CN"/>
        </w:rPr>
        <w:t>用于</w:t>
      </w:r>
      <w:r>
        <w:rPr>
          <w:rFonts w:hint="eastAsia" w:ascii="仿宋_GB2312" w:hAnsi="仿宋_GB2312" w:eastAsia="仿宋_GB2312" w:cs="仿宋_GB2312"/>
          <w:color w:val="000000"/>
          <w:sz w:val="32"/>
          <w:szCs w:val="32"/>
        </w:rPr>
        <w:t>残疾人事业方面的支出</w:t>
      </w:r>
      <w:r>
        <w:rPr>
          <w:rFonts w:hint="eastAsia" w:ascii="仿宋_GB2312" w:hAnsi="仿宋_GB2312" w:eastAsia="仿宋_GB2312" w:cs="仿宋_GB2312"/>
          <w:sz w:val="32"/>
          <w:szCs w:val="32"/>
        </w:rPr>
        <w:t>等。</w:t>
      </w:r>
    </w:p>
    <w:p w14:paraId="613EBDB9">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w:t>
      </w:r>
      <w:r>
        <w:rPr>
          <w:rFonts w:hint="eastAsia" w:ascii="仿宋_GB2312" w:eastAsia="仿宋_GB2312"/>
          <w:color w:val="auto"/>
          <w:sz w:val="32"/>
          <w:szCs w:val="32"/>
        </w:rPr>
        <w:t>其他</w:t>
      </w:r>
      <w:r>
        <w:rPr>
          <w:rFonts w:hint="eastAsia" w:ascii="仿宋_GB2312" w:eastAsia="仿宋_GB2312"/>
          <w:color w:val="auto"/>
          <w:sz w:val="32"/>
          <w:szCs w:val="32"/>
          <w:lang w:val="en-US" w:eastAsia="zh-CN"/>
        </w:rPr>
        <w:t>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val="en-US" w:eastAsia="zh-CN"/>
        </w:rPr>
        <w:t>229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彩票公益金安排的支出</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用于社会福利的彩票公益金支出（项02）：反映用于社会福利和社会救助的彩票公益金支出。</w:t>
      </w:r>
    </w:p>
    <w:p w14:paraId="08D2002F">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w:t>
      </w:r>
      <w:r>
        <w:rPr>
          <w:rFonts w:hint="eastAsia" w:ascii="仿宋_GB2312" w:eastAsia="仿宋_GB2312"/>
          <w:color w:val="auto"/>
          <w:sz w:val="32"/>
          <w:szCs w:val="32"/>
        </w:rPr>
        <w:t>其他</w:t>
      </w:r>
      <w:r>
        <w:rPr>
          <w:rFonts w:hint="eastAsia" w:ascii="仿宋_GB2312" w:eastAsia="仿宋_GB2312"/>
          <w:color w:val="auto"/>
          <w:sz w:val="32"/>
          <w:szCs w:val="32"/>
          <w:lang w:val="en-US" w:eastAsia="zh-CN"/>
        </w:rPr>
        <w:t>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val="en-US" w:eastAsia="zh-CN"/>
        </w:rPr>
        <w:t>229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彩票公益金安排的支出</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用于体育事业的彩票公益金支出项03）：反映用于体育事业的彩票公益金支出。</w:t>
      </w:r>
    </w:p>
    <w:p w14:paraId="098E6057">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其他</w:t>
      </w:r>
      <w:r>
        <w:rPr>
          <w:rFonts w:hint="eastAsia" w:ascii="仿宋_GB2312" w:eastAsia="仿宋_GB2312"/>
          <w:color w:val="000000"/>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229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彩票公益金安排的支出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用于残疾人事业的彩票公益金支出（项06）支出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反映用于残疾人事业的彩票公益金支出</w:t>
      </w:r>
      <w:r>
        <w:rPr>
          <w:rFonts w:hint="eastAsia" w:ascii="仿宋_GB2312" w:eastAsia="仿宋_GB2312"/>
          <w:color w:val="000000"/>
          <w:sz w:val="32"/>
          <w:szCs w:val="32"/>
          <w:lang w:eastAsia="zh-CN"/>
        </w:rPr>
        <w:t>。</w:t>
      </w:r>
    </w:p>
    <w:p w14:paraId="7BF01B0D">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基本支出：指为保障机构正常运转、完成日常工作任务而</w:t>
      </w:r>
      <w:r>
        <w:rPr>
          <w:rFonts w:hint="eastAsia" w:ascii="仿宋_GB2312" w:eastAsia="仿宋_GB2312"/>
          <w:sz w:val="32"/>
          <w:szCs w:val="32"/>
          <w:lang w:val="en-US" w:eastAsia="zh-CN"/>
        </w:rPr>
        <w:t>产</w:t>
      </w:r>
      <w:r>
        <w:rPr>
          <w:rFonts w:hint="eastAsia" w:ascii="仿宋_GB2312" w:eastAsia="仿宋_GB2312"/>
          <w:sz w:val="32"/>
          <w:szCs w:val="32"/>
        </w:rPr>
        <w:t>生的人员支出和公用支出。</w:t>
      </w:r>
    </w:p>
    <w:p w14:paraId="0DF639CE">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w:t>
      </w:r>
      <w:r>
        <w:rPr>
          <w:rFonts w:hint="eastAsia" w:ascii="仿宋_GB2312" w:eastAsia="仿宋_GB2312"/>
          <w:sz w:val="32"/>
          <w:szCs w:val="32"/>
          <w:lang w:val="en-US" w:eastAsia="zh-CN"/>
        </w:rPr>
        <w:t>产</w:t>
      </w:r>
      <w:r>
        <w:rPr>
          <w:rFonts w:hint="eastAsia" w:ascii="仿宋_GB2312" w:eastAsia="仿宋_GB2312"/>
          <w:sz w:val="32"/>
          <w:szCs w:val="32"/>
        </w:rPr>
        <w:t>生的支出。</w:t>
      </w:r>
    </w:p>
    <w:p w14:paraId="7BB73984">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24</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4A26BD1F">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25</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w:t>
      </w:r>
      <w:r>
        <w:rPr>
          <w:rFonts w:hint="eastAsia" w:ascii="仿宋_GB2312" w:eastAsia="仿宋_GB2312"/>
          <w:color w:val="auto"/>
          <w:sz w:val="32"/>
          <w:szCs w:val="32"/>
          <w:lang w:val="en-US" w:eastAsia="zh-CN"/>
        </w:rPr>
        <w:t>反映公务用车购置支出（含车辆购置税、牌照费），</w:t>
      </w:r>
      <w:r>
        <w:rPr>
          <w:rFonts w:hint="eastAsia" w:ascii="仿宋_GB2312" w:eastAsia="仿宋_GB2312"/>
          <w:color w:val="auto"/>
          <w:sz w:val="32"/>
          <w:szCs w:val="32"/>
        </w:rPr>
        <w:t>公务用车运行</w:t>
      </w:r>
      <w:r>
        <w:rPr>
          <w:rFonts w:hint="eastAsia" w:ascii="仿宋_GB2312" w:eastAsia="仿宋_GB2312"/>
          <w:color w:val="auto"/>
          <w:sz w:val="32"/>
          <w:szCs w:val="32"/>
          <w:lang w:val="en-US" w:eastAsia="zh-CN"/>
        </w:rPr>
        <w:t>维护</w:t>
      </w:r>
      <w:r>
        <w:rPr>
          <w:rFonts w:hint="eastAsia" w:ascii="仿宋_GB2312" w:eastAsia="仿宋_GB2312"/>
          <w:color w:val="auto"/>
          <w:sz w:val="32"/>
          <w:szCs w:val="32"/>
        </w:rPr>
        <w:t>费反映单位</w:t>
      </w:r>
      <w:r>
        <w:rPr>
          <w:rFonts w:hint="eastAsia" w:ascii="仿宋_GB2312" w:eastAsia="仿宋_GB2312"/>
          <w:color w:val="auto"/>
          <w:sz w:val="32"/>
          <w:szCs w:val="32"/>
          <w:lang w:val="en-US" w:eastAsia="zh-CN"/>
        </w:rPr>
        <w:t>按照规定保留的公务用车</w:t>
      </w:r>
      <w:r>
        <w:rPr>
          <w:rFonts w:hint="eastAsia" w:ascii="仿宋_GB2312" w:eastAsia="仿宋_GB2312"/>
          <w:color w:val="auto"/>
          <w:sz w:val="32"/>
          <w:szCs w:val="32"/>
        </w:rPr>
        <w:t>燃料费、维修费、过路过桥费、保险费</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安全奖励费用</w:t>
      </w:r>
      <w:r>
        <w:rPr>
          <w:rFonts w:hint="eastAsia" w:ascii="仿宋_GB2312" w:eastAsia="仿宋_GB2312"/>
          <w:color w:val="auto"/>
          <w:sz w:val="32"/>
          <w:szCs w:val="32"/>
        </w:rPr>
        <w:t>等支出；</w:t>
      </w:r>
      <w:r>
        <w:rPr>
          <w:rFonts w:hint="eastAsia" w:ascii="仿宋_GB2312" w:eastAsia="仿宋_GB2312"/>
          <w:color w:val="auto"/>
          <w:sz w:val="32"/>
          <w:szCs w:val="32"/>
          <w:lang w:val="en-US" w:eastAsia="zh-CN"/>
        </w:rPr>
        <w:t>公务</w:t>
      </w:r>
      <w:r>
        <w:rPr>
          <w:rFonts w:hint="eastAsia" w:ascii="仿宋_GB2312" w:eastAsia="仿宋_GB2312"/>
          <w:color w:val="auto"/>
          <w:sz w:val="32"/>
          <w:szCs w:val="32"/>
        </w:rPr>
        <w:t>接待费反映单位按规定开支的各类公务接待（含外宾接待）支出。</w:t>
      </w:r>
    </w:p>
    <w:p w14:paraId="011C6FB4">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26</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16D124F">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基本支出：指为保障机构正常运转、完成日常工作任务而</w:t>
      </w:r>
      <w:r>
        <w:rPr>
          <w:rFonts w:hint="eastAsia" w:ascii="仿宋_GB2312" w:eastAsia="仿宋_GB2312"/>
          <w:sz w:val="32"/>
          <w:szCs w:val="32"/>
          <w:lang w:val="en-US" w:eastAsia="zh-CN"/>
        </w:rPr>
        <w:t>产</w:t>
      </w:r>
      <w:r>
        <w:rPr>
          <w:rFonts w:hint="eastAsia" w:ascii="仿宋_GB2312" w:eastAsia="仿宋_GB2312"/>
          <w:sz w:val="32"/>
          <w:szCs w:val="32"/>
        </w:rPr>
        <w:t>生的人员支出和公用支出。</w:t>
      </w:r>
    </w:p>
    <w:p w14:paraId="514C6878">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w:t>
      </w:r>
      <w:r>
        <w:rPr>
          <w:rFonts w:hint="eastAsia" w:ascii="仿宋_GB2312" w:eastAsia="仿宋_GB2312"/>
          <w:sz w:val="32"/>
          <w:szCs w:val="32"/>
          <w:lang w:val="en-US" w:eastAsia="zh-CN"/>
        </w:rPr>
        <w:t>产</w:t>
      </w:r>
      <w:r>
        <w:rPr>
          <w:rFonts w:hint="eastAsia" w:ascii="仿宋_GB2312" w:eastAsia="仿宋_GB2312"/>
          <w:sz w:val="32"/>
          <w:szCs w:val="32"/>
        </w:rPr>
        <w:t>生的支出。</w:t>
      </w:r>
    </w:p>
    <w:p w14:paraId="663C94E3">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w:t>
      </w:r>
      <w:r>
        <w:rPr>
          <w:rFonts w:hint="eastAsia" w:ascii="仿宋_GB2312" w:eastAsia="仿宋_GB2312"/>
          <w:sz w:val="32"/>
          <w:szCs w:val="32"/>
          <w:lang w:val="en-US" w:eastAsia="zh-CN"/>
        </w:rPr>
        <w:t>产</w:t>
      </w:r>
      <w:r>
        <w:rPr>
          <w:rFonts w:hint="eastAsia" w:ascii="仿宋_GB2312" w:eastAsia="仿宋_GB2312"/>
          <w:sz w:val="32"/>
          <w:szCs w:val="32"/>
        </w:rPr>
        <w:t>生的支出。</w:t>
      </w:r>
    </w:p>
    <w:p w14:paraId="5455FB85">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30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C05CDA5">
      <w:pPr>
        <w:pStyle w:val="2"/>
        <w:rPr>
          <w:rFonts w:hint="eastAsia" w:ascii="仿宋_GB2312" w:eastAsia="仿宋_GB2312"/>
          <w:color w:val="auto"/>
          <w:sz w:val="32"/>
          <w:szCs w:val="32"/>
        </w:rPr>
      </w:pPr>
    </w:p>
    <w:p w14:paraId="0B42F214">
      <w:pPr>
        <w:pStyle w:val="2"/>
        <w:rPr>
          <w:rFonts w:hint="eastAsia" w:ascii="仿宋_GB2312" w:eastAsia="仿宋_GB2312"/>
          <w:color w:val="auto"/>
          <w:sz w:val="32"/>
          <w:szCs w:val="32"/>
        </w:rPr>
      </w:pPr>
    </w:p>
    <w:p w14:paraId="08570A41">
      <w:pPr>
        <w:pStyle w:val="2"/>
        <w:rPr>
          <w:rFonts w:hint="eastAsia" w:ascii="仿宋_GB2312" w:eastAsia="仿宋_GB2312"/>
          <w:color w:val="auto"/>
          <w:sz w:val="32"/>
          <w:szCs w:val="32"/>
        </w:rPr>
      </w:pPr>
    </w:p>
    <w:p w14:paraId="03C83CB7">
      <w:pPr>
        <w:pStyle w:val="2"/>
        <w:rPr>
          <w:rFonts w:hint="eastAsia" w:ascii="仿宋_GB2312" w:eastAsia="仿宋_GB2312"/>
          <w:color w:val="auto"/>
          <w:sz w:val="32"/>
          <w:szCs w:val="32"/>
        </w:rPr>
      </w:pPr>
    </w:p>
    <w:p w14:paraId="26B0CA4C">
      <w:pPr>
        <w:pStyle w:val="2"/>
        <w:rPr>
          <w:rFonts w:hint="eastAsia" w:ascii="仿宋_GB2312" w:eastAsia="仿宋_GB2312"/>
          <w:color w:val="auto"/>
          <w:sz w:val="32"/>
          <w:szCs w:val="32"/>
        </w:rPr>
      </w:pPr>
    </w:p>
    <w:p w14:paraId="3100296D">
      <w:pPr>
        <w:pStyle w:val="2"/>
        <w:rPr>
          <w:rFonts w:hint="eastAsia" w:ascii="仿宋_GB2312" w:eastAsia="仿宋_GB2312"/>
          <w:color w:val="auto"/>
          <w:sz w:val="32"/>
          <w:szCs w:val="32"/>
        </w:rPr>
      </w:pPr>
    </w:p>
    <w:p w14:paraId="4D024564">
      <w:pPr>
        <w:pStyle w:val="2"/>
        <w:rPr>
          <w:rFonts w:hint="eastAsia" w:ascii="仿宋_GB2312" w:eastAsia="仿宋_GB2312"/>
          <w:color w:val="auto"/>
          <w:sz w:val="32"/>
          <w:szCs w:val="32"/>
        </w:rPr>
      </w:pPr>
    </w:p>
    <w:p w14:paraId="5C3D9EF7">
      <w:pPr>
        <w:pStyle w:val="2"/>
        <w:rPr>
          <w:rFonts w:hint="eastAsia" w:ascii="仿宋_GB2312" w:eastAsia="仿宋_GB2312"/>
          <w:color w:val="auto"/>
          <w:sz w:val="32"/>
          <w:szCs w:val="32"/>
        </w:rPr>
      </w:pPr>
    </w:p>
    <w:p w14:paraId="1521555E">
      <w:pPr>
        <w:pStyle w:val="2"/>
        <w:rPr>
          <w:rFonts w:hint="eastAsia" w:ascii="仿宋_GB2312" w:eastAsia="仿宋_GB2312"/>
          <w:color w:val="auto"/>
          <w:sz w:val="32"/>
          <w:szCs w:val="32"/>
        </w:rPr>
      </w:pPr>
    </w:p>
    <w:p w14:paraId="2F747F47">
      <w:pPr>
        <w:pStyle w:val="2"/>
        <w:rPr>
          <w:rFonts w:hint="eastAsia" w:ascii="仿宋_GB2312" w:eastAsia="仿宋_GB2312"/>
          <w:color w:val="auto"/>
          <w:sz w:val="32"/>
          <w:szCs w:val="32"/>
        </w:rPr>
      </w:pPr>
    </w:p>
    <w:p w14:paraId="7957595D">
      <w:pPr>
        <w:pStyle w:val="2"/>
        <w:rPr>
          <w:rFonts w:hint="eastAsia" w:ascii="仿宋_GB2312" w:eastAsia="仿宋_GB2312"/>
          <w:color w:val="auto"/>
          <w:sz w:val="32"/>
          <w:szCs w:val="32"/>
        </w:rPr>
      </w:pPr>
    </w:p>
    <w:p w14:paraId="4192D206">
      <w:pPr>
        <w:pStyle w:val="2"/>
        <w:rPr>
          <w:rFonts w:hint="eastAsia" w:ascii="仿宋_GB2312" w:eastAsia="仿宋_GB2312"/>
          <w:color w:val="auto"/>
          <w:sz w:val="32"/>
          <w:szCs w:val="32"/>
        </w:rPr>
      </w:pPr>
    </w:p>
    <w:p w14:paraId="2C584140">
      <w:pPr>
        <w:pStyle w:val="2"/>
        <w:rPr>
          <w:rFonts w:hint="eastAsia" w:ascii="仿宋_GB2312" w:eastAsia="仿宋_GB2312"/>
          <w:color w:val="auto"/>
          <w:sz w:val="32"/>
          <w:szCs w:val="32"/>
        </w:rPr>
      </w:pPr>
    </w:p>
    <w:p w14:paraId="4B91EF26">
      <w:pPr>
        <w:pStyle w:val="2"/>
        <w:rPr>
          <w:rFonts w:hint="eastAsia" w:ascii="仿宋_GB2312" w:eastAsia="仿宋_GB2312"/>
          <w:color w:val="auto"/>
          <w:sz w:val="32"/>
          <w:szCs w:val="32"/>
        </w:rPr>
      </w:pPr>
    </w:p>
    <w:p w14:paraId="33B4DFC6">
      <w:pPr>
        <w:pStyle w:val="2"/>
        <w:rPr>
          <w:rFonts w:hint="eastAsia" w:ascii="仿宋_GB2312" w:eastAsia="仿宋_GB2312"/>
          <w:color w:val="auto"/>
          <w:sz w:val="32"/>
          <w:szCs w:val="32"/>
        </w:rPr>
      </w:pPr>
    </w:p>
    <w:p w14:paraId="726D5536">
      <w:pPr>
        <w:pStyle w:val="2"/>
        <w:rPr>
          <w:rFonts w:hint="eastAsia" w:ascii="仿宋_GB2312" w:eastAsia="仿宋_GB2312"/>
          <w:color w:val="auto"/>
          <w:sz w:val="32"/>
          <w:szCs w:val="32"/>
        </w:rPr>
      </w:pPr>
    </w:p>
    <w:p w14:paraId="5D108B92">
      <w:pPr>
        <w:pStyle w:val="2"/>
        <w:rPr>
          <w:rFonts w:hint="eastAsia" w:ascii="仿宋_GB2312" w:eastAsia="仿宋_GB2312"/>
          <w:color w:val="auto"/>
          <w:sz w:val="32"/>
          <w:szCs w:val="32"/>
        </w:rPr>
      </w:pPr>
    </w:p>
    <w:p w14:paraId="2A25364F">
      <w:pPr>
        <w:spacing w:line="600" w:lineRule="exact"/>
        <w:jc w:val="center"/>
        <w:rPr>
          <w:rStyle w:val="28"/>
          <w:rFonts w:eastAsia="黑体"/>
          <w:b w:val="0"/>
        </w:rPr>
      </w:pPr>
      <w:r>
        <w:rPr>
          <w:rFonts w:hint="eastAsia" w:eastAsia="黑体"/>
          <w:sz w:val="44"/>
          <w:szCs w:val="44"/>
        </w:rPr>
        <w:t>第四部分  附件</w:t>
      </w:r>
      <w:bookmarkEnd w:id="41"/>
    </w:p>
    <w:p w14:paraId="63379A51">
      <w:pPr>
        <w:spacing w:line="572" w:lineRule="exact"/>
        <w:jc w:val="left"/>
        <w:outlineLvl w:val="0"/>
        <w:rPr>
          <w:rFonts w:eastAsia="黑体" w:cs="黑体"/>
          <w:sz w:val="32"/>
          <w:szCs w:val="32"/>
        </w:rPr>
      </w:pPr>
    </w:p>
    <w:p w14:paraId="60554CDF">
      <w:pPr>
        <w:widowControl/>
        <w:spacing w:line="578" w:lineRule="exact"/>
        <w:contextualSpacing/>
        <w:jc w:val="center"/>
      </w:pPr>
      <w:r>
        <w:rPr>
          <w:rFonts w:hint="eastAsia" w:eastAsia="黑体" w:cs="黑体"/>
          <w:sz w:val="32"/>
          <w:szCs w:val="32"/>
        </w:rPr>
        <w:t>部门预算项目支出绩效评价表（2024年度）</w:t>
      </w:r>
    </w:p>
    <w:p w14:paraId="5A8C754C">
      <w:pPr>
        <w:pStyle w:val="7"/>
        <w:spacing w:line="560" w:lineRule="exact"/>
        <w:ind w:left="0" w:leftChars="0" w:firstLine="640"/>
        <w:rPr>
          <w:rFonts w:ascii="Times New Roman" w:eastAsia="仿宋_GB2312" w:cs="仿宋_GB2312"/>
          <w:kern w:val="0"/>
          <w:sz w:val="32"/>
        </w:rPr>
      </w:pPr>
    </w:p>
    <w:p w14:paraId="5EA4BF3D">
      <w:pPr>
        <w:spacing w:line="578" w:lineRule="exact"/>
        <w:ind w:firstLine="640"/>
        <w:rPr>
          <w:rFonts w:eastAsia="仿宋_GB2312" w:cs="仿宋_GB2312"/>
          <w:kern w:val="0"/>
          <w:sz w:val="32"/>
          <w:szCs w:val="32"/>
        </w:rPr>
      </w:pPr>
      <w:bookmarkStart w:id="43" w:name="_Toc15396618"/>
      <w:r>
        <w:rPr>
          <w:rFonts w:hint="eastAsia" w:eastAsia="仿宋_GB2312" w:cs="仿宋_GB2312"/>
          <w:kern w:val="0"/>
          <w:sz w:val="32"/>
          <w:szCs w:val="32"/>
        </w:rPr>
        <w:br w:type="page"/>
      </w:r>
    </w:p>
    <w:p w14:paraId="3F9CAF32">
      <w:pPr>
        <w:widowControl/>
        <w:jc w:val="center"/>
        <w:rPr>
          <w:rFonts w:eastAsia="仿宋"/>
        </w:rPr>
      </w:pPr>
      <w:r>
        <w:rPr>
          <w:rFonts w:hint="eastAsia" w:eastAsia="黑体"/>
          <w:sz w:val="44"/>
          <w:szCs w:val="44"/>
        </w:rPr>
        <w:t>第</w:t>
      </w:r>
      <w:r>
        <w:rPr>
          <w:rStyle w:val="28"/>
          <w:rFonts w:hint="eastAsia" w:eastAsia="黑体"/>
          <w:b w:val="0"/>
        </w:rPr>
        <w:t>五部分 附表</w:t>
      </w:r>
      <w:bookmarkEnd w:id="42"/>
      <w:bookmarkEnd w:id="43"/>
      <w:bookmarkStart w:id="44" w:name="_Toc15396619"/>
    </w:p>
    <w:p w14:paraId="67863875">
      <w:pPr>
        <w:pStyle w:val="14"/>
        <w:adjustRightInd w:val="0"/>
        <w:snapToGrid w:val="0"/>
        <w:spacing w:line="560" w:lineRule="exact"/>
        <w:jc w:val="left"/>
        <w:rPr>
          <w:rFonts w:eastAsia="仿宋_GB2312" w:cs="仿宋_GB2312"/>
          <w:sz w:val="32"/>
          <w:szCs w:val="32"/>
        </w:rPr>
      </w:pPr>
    </w:p>
    <w:p w14:paraId="3FDC3FAB">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4"/>
    </w:p>
    <w:p w14:paraId="5EA82FEC">
      <w:pPr>
        <w:pStyle w:val="14"/>
        <w:adjustRightInd w:val="0"/>
        <w:snapToGrid w:val="0"/>
        <w:spacing w:line="560" w:lineRule="exact"/>
        <w:jc w:val="left"/>
        <w:rPr>
          <w:rFonts w:eastAsia="仿宋_GB2312" w:cs="仿宋_GB2312"/>
          <w:sz w:val="32"/>
          <w:szCs w:val="32"/>
        </w:rPr>
      </w:pPr>
      <w:bookmarkStart w:id="45" w:name="_Toc15396620"/>
      <w:r>
        <w:rPr>
          <w:rFonts w:hint="eastAsia" w:eastAsia="仿宋_GB2312" w:cs="仿宋_GB2312"/>
          <w:sz w:val="32"/>
          <w:szCs w:val="32"/>
        </w:rPr>
        <w:t>二、收入决算表</w:t>
      </w:r>
      <w:bookmarkEnd w:id="45"/>
    </w:p>
    <w:p w14:paraId="6EA476CD">
      <w:pPr>
        <w:pStyle w:val="14"/>
        <w:adjustRightInd w:val="0"/>
        <w:snapToGrid w:val="0"/>
        <w:spacing w:line="560" w:lineRule="exact"/>
        <w:jc w:val="left"/>
        <w:rPr>
          <w:rFonts w:eastAsia="仿宋_GB2312" w:cs="仿宋_GB2312"/>
          <w:sz w:val="32"/>
          <w:szCs w:val="32"/>
        </w:rPr>
      </w:pPr>
      <w:bookmarkStart w:id="46" w:name="_Toc15396621"/>
      <w:r>
        <w:rPr>
          <w:rFonts w:hint="eastAsia" w:eastAsia="仿宋_GB2312" w:cs="仿宋_GB2312"/>
          <w:sz w:val="32"/>
          <w:szCs w:val="32"/>
        </w:rPr>
        <w:t>三、支出决算表</w:t>
      </w:r>
      <w:bookmarkEnd w:id="46"/>
    </w:p>
    <w:p w14:paraId="2728F490">
      <w:pPr>
        <w:pStyle w:val="14"/>
        <w:adjustRightInd w:val="0"/>
        <w:snapToGrid w:val="0"/>
        <w:spacing w:line="560" w:lineRule="exact"/>
        <w:jc w:val="left"/>
        <w:rPr>
          <w:rFonts w:eastAsia="仿宋_GB2312" w:cs="仿宋_GB2312"/>
          <w:sz w:val="32"/>
          <w:szCs w:val="32"/>
        </w:rPr>
      </w:pPr>
      <w:bookmarkStart w:id="47" w:name="_Toc15396622"/>
      <w:r>
        <w:rPr>
          <w:rFonts w:hint="eastAsia" w:eastAsia="仿宋_GB2312" w:cs="仿宋_GB2312"/>
          <w:sz w:val="32"/>
          <w:szCs w:val="32"/>
        </w:rPr>
        <w:t>四、财政拨款收入支出决算总表</w:t>
      </w:r>
      <w:bookmarkEnd w:id="47"/>
    </w:p>
    <w:p w14:paraId="21806910">
      <w:pPr>
        <w:pStyle w:val="14"/>
        <w:adjustRightInd w:val="0"/>
        <w:snapToGrid w:val="0"/>
        <w:spacing w:line="560" w:lineRule="exact"/>
        <w:jc w:val="left"/>
        <w:rPr>
          <w:rFonts w:eastAsia="仿宋_GB2312" w:cs="仿宋_GB2312"/>
          <w:sz w:val="32"/>
          <w:szCs w:val="32"/>
        </w:rPr>
      </w:pPr>
      <w:bookmarkStart w:id="48" w:name="_Toc15396623"/>
      <w:r>
        <w:rPr>
          <w:rFonts w:hint="eastAsia" w:eastAsia="仿宋_GB2312" w:cs="仿宋_GB2312"/>
          <w:sz w:val="32"/>
          <w:szCs w:val="32"/>
        </w:rPr>
        <w:t>五、财政拨款支出决算明细表</w:t>
      </w:r>
      <w:bookmarkEnd w:id="48"/>
      <w:bookmarkStart w:id="49" w:name="_Toc15396624"/>
    </w:p>
    <w:p w14:paraId="3B67FDE9">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49"/>
    </w:p>
    <w:p w14:paraId="5D3551BB">
      <w:pPr>
        <w:pStyle w:val="14"/>
        <w:adjustRightInd w:val="0"/>
        <w:snapToGrid w:val="0"/>
        <w:spacing w:line="560" w:lineRule="exact"/>
        <w:jc w:val="left"/>
        <w:rPr>
          <w:rFonts w:eastAsia="仿宋_GB2312" w:cs="仿宋_GB2312"/>
          <w:sz w:val="32"/>
          <w:szCs w:val="32"/>
        </w:rPr>
      </w:pPr>
      <w:bookmarkStart w:id="50" w:name="_Toc15396625"/>
      <w:r>
        <w:rPr>
          <w:rFonts w:hint="eastAsia" w:eastAsia="仿宋_GB2312" w:cs="仿宋_GB2312"/>
          <w:sz w:val="32"/>
          <w:szCs w:val="32"/>
        </w:rPr>
        <w:t>七、一般公共预算财政拨款支出决算明细表</w:t>
      </w:r>
      <w:bookmarkEnd w:id="50"/>
    </w:p>
    <w:p w14:paraId="3438B236">
      <w:pPr>
        <w:pStyle w:val="14"/>
        <w:adjustRightInd w:val="0"/>
        <w:snapToGrid w:val="0"/>
        <w:spacing w:line="560" w:lineRule="exact"/>
        <w:jc w:val="left"/>
        <w:rPr>
          <w:rFonts w:eastAsia="仿宋_GB2312" w:cs="仿宋_GB2312"/>
          <w:sz w:val="32"/>
          <w:szCs w:val="32"/>
        </w:rPr>
      </w:pPr>
      <w:bookmarkStart w:id="51" w:name="_Toc15396626"/>
      <w:r>
        <w:rPr>
          <w:rFonts w:hint="eastAsia" w:eastAsia="仿宋_GB2312" w:cs="仿宋_GB2312"/>
          <w:sz w:val="32"/>
          <w:szCs w:val="32"/>
        </w:rPr>
        <w:t>八、一般公共预算财政拨款基本支出决算表</w:t>
      </w:r>
      <w:bookmarkEnd w:id="51"/>
    </w:p>
    <w:p w14:paraId="59C87CCF">
      <w:pPr>
        <w:pStyle w:val="14"/>
        <w:adjustRightInd w:val="0"/>
        <w:snapToGrid w:val="0"/>
        <w:spacing w:line="560" w:lineRule="exact"/>
        <w:jc w:val="left"/>
        <w:rPr>
          <w:rFonts w:eastAsia="仿宋_GB2312" w:cs="仿宋_GB2312"/>
          <w:sz w:val="32"/>
          <w:szCs w:val="32"/>
        </w:rPr>
      </w:pPr>
      <w:bookmarkStart w:id="52" w:name="_Toc15396627"/>
      <w:r>
        <w:rPr>
          <w:rFonts w:hint="eastAsia" w:eastAsia="仿宋_GB2312" w:cs="仿宋_GB2312"/>
          <w:sz w:val="32"/>
          <w:szCs w:val="32"/>
        </w:rPr>
        <w:t>九、一般公共预算财政拨款项目支出决算表</w:t>
      </w:r>
      <w:bookmarkEnd w:id="52"/>
    </w:p>
    <w:p w14:paraId="5E8669AE">
      <w:pPr>
        <w:pStyle w:val="14"/>
        <w:adjustRightInd w:val="0"/>
        <w:snapToGrid w:val="0"/>
        <w:spacing w:line="560" w:lineRule="exact"/>
        <w:jc w:val="left"/>
        <w:rPr>
          <w:rFonts w:eastAsia="仿宋_GB2312" w:cs="仿宋_GB2312"/>
          <w:sz w:val="32"/>
          <w:szCs w:val="32"/>
        </w:rPr>
      </w:pPr>
      <w:bookmarkStart w:id="53" w:name="_Toc15396628"/>
      <w:r>
        <w:rPr>
          <w:rFonts w:hint="eastAsia" w:eastAsia="仿宋_GB2312" w:cs="仿宋_GB2312"/>
          <w:sz w:val="32"/>
          <w:szCs w:val="32"/>
        </w:rPr>
        <w:t>十、</w:t>
      </w:r>
      <w:bookmarkEnd w:id="53"/>
      <w:r>
        <w:rPr>
          <w:rFonts w:hint="eastAsia" w:eastAsia="仿宋_GB2312" w:cs="仿宋_GB2312"/>
          <w:sz w:val="32"/>
          <w:szCs w:val="32"/>
        </w:rPr>
        <w:t>政府性基金预算财政拨款收入支出决算表</w:t>
      </w:r>
    </w:p>
    <w:p w14:paraId="0C7BEF47">
      <w:pPr>
        <w:pStyle w:val="14"/>
        <w:adjustRightInd w:val="0"/>
        <w:snapToGrid w:val="0"/>
        <w:spacing w:line="560" w:lineRule="exact"/>
        <w:jc w:val="left"/>
        <w:rPr>
          <w:rFonts w:eastAsia="仿宋_GB2312" w:cs="仿宋_GB2312"/>
          <w:sz w:val="32"/>
          <w:szCs w:val="32"/>
        </w:rPr>
      </w:pPr>
      <w:bookmarkStart w:id="54" w:name="_Toc15396629"/>
      <w:r>
        <w:rPr>
          <w:rFonts w:hint="eastAsia" w:eastAsia="仿宋_GB2312" w:cs="仿宋_GB2312"/>
          <w:sz w:val="32"/>
          <w:szCs w:val="32"/>
        </w:rPr>
        <w:t>十一、</w:t>
      </w:r>
      <w:bookmarkEnd w:id="54"/>
      <w:r>
        <w:rPr>
          <w:rFonts w:hint="eastAsia" w:eastAsia="仿宋_GB2312" w:cs="仿宋_GB2312"/>
          <w:sz w:val="32"/>
          <w:szCs w:val="32"/>
        </w:rPr>
        <w:t>国有资本经营预算财政拨款收入支出决算表</w:t>
      </w:r>
    </w:p>
    <w:p w14:paraId="2C37C1F1">
      <w:pPr>
        <w:pStyle w:val="14"/>
        <w:adjustRightInd w:val="0"/>
        <w:snapToGrid w:val="0"/>
        <w:spacing w:line="560" w:lineRule="exact"/>
        <w:jc w:val="left"/>
        <w:rPr>
          <w:rFonts w:eastAsia="仿宋_GB2312" w:cs="仿宋_GB2312"/>
          <w:sz w:val="32"/>
          <w:szCs w:val="32"/>
        </w:rPr>
      </w:pPr>
      <w:bookmarkStart w:id="55" w:name="_Toc15396630"/>
      <w:r>
        <w:rPr>
          <w:rFonts w:hint="eastAsia" w:eastAsia="仿宋_GB2312" w:cs="仿宋_GB2312"/>
          <w:sz w:val="32"/>
          <w:szCs w:val="32"/>
        </w:rPr>
        <w:t>十二、</w:t>
      </w:r>
      <w:bookmarkEnd w:id="55"/>
      <w:r>
        <w:rPr>
          <w:rFonts w:hint="eastAsia" w:eastAsia="仿宋_GB2312" w:cs="仿宋_GB2312"/>
          <w:sz w:val="32"/>
          <w:szCs w:val="32"/>
        </w:rPr>
        <w:t>国有资本经营预算财政拨款支出决算表</w:t>
      </w:r>
    </w:p>
    <w:p w14:paraId="1ADB190D">
      <w:pPr>
        <w:pStyle w:val="14"/>
        <w:adjustRightInd w:val="0"/>
        <w:snapToGrid w:val="0"/>
        <w:spacing w:line="560" w:lineRule="exact"/>
        <w:jc w:val="left"/>
        <w:rPr>
          <w:rFonts w:eastAsia="仿宋_GB2312" w:cs="仿宋_GB2312"/>
          <w:sz w:val="32"/>
          <w:szCs w:val="32"/>
        </w:rPr>
      </w:pPr>
      <w:bookmarkStart w:id="56" w:name="_Toc15396631"/>
      <w:r>
        <w:rPr>
          <w:rFonts w:hint="eastAsia" w:eastAsia="仿宋_GB2312" w:cs="仿宋_GB2312"/>
          <w:sz w:val="32"/>
          <w:szCs w:val="32"/>
        </w:rPr>
        <w:t>十三、</w:t>
      </w:r>
      <w:bookmarkEnd w:id="56"/>
      <w:r>
        <w:rPr>
          <w:rFonts w:hint="eastAsia" w:eastAsia="仿宋_GB2312" w:cs="仿宋_GB2312"/>
          <w:sz w:val="32"/>
          <w:szCs w:val="32"/>
        </w:rPr>
        <w:t>财政拨款“三公”经费支出决算表</w:t>
      </w:r>
    </w:p>
    <w:p w14:paraId="2FE2FC18"/>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C6C53">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56AB">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9B56AB">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241B068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2311">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19BAC">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D19BAC">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F09F">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87073">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E87073">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330C139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527D5">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44846">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0944846">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9542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47479E"/>
    <w:multiLevelType w:val="singleLevel"/>
    <w:tmpl w:val="F647479E"/>
    <w:lvl w:ilvl="0" w:tentative="0">
      <w:start w:val="1"/>
      <w:numFmt w:val="decimal"/>
      <w:lvlText w:val="%1."/>
      <w:lvlJc w:val="left"/>
      <w:pPr>
        <w:tabs>
          <w:tab w:val="left" w:pos="312"/>
        </w:tabs>
      </w:pPr>
    </w:lvl>
  </w:abstractNum>
  <w:abstractNum w:abstractNumId="1">
    <w:nsid w:val="23A29A4B"/>
    <w:multiLevelType w:val="singleLevel"/>
    <w:tmpl w:val="23A29A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DVmMTI1ZWI2YWFjMjQ1MzJhMzY5MTg2YjQ2O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566D2A"/>
    <w:rsid w:val="04750EB5"/>
    <w:rsid w:val="04916F1E"/>
    <w:rsid w:val="04D24F61"/>
    <w:rsid w:val="05040DC1"/>
    <w:rsid w:val="057E2D24"/>
    <w:rsid w:val="061E35DE"/>
    <w:rsid w:val="066E0107"/>
    <w:rsid w:val="07996F6E"/>
    <w:rsid w:val="07DFD8BA"/>
    <w:rsid w:val="09867E8F"/>
    <w:rsid w:val="0A2032A3"/>
    <w:rsid w:val="0BAE4630"/>
    <w:rsid w:val="0CA8290A"/>
    <w:rsid w:val="0D35B1ED"/>
    <w:rsid w:val="0E254B6B"/>
    <w:rsid w:val="0E401C8B"/>
    <w:rsid w:val="0F98263C"/>
    <w:rsid w:val="101860EC"/>
    <w:rsid w:val="101F47CC"/>
    <w:rsid w:val="10C055FF"/>
    <w:rsid w:val="11694EBD"/>
    <w:rsid w:val="11772AA4"/>
    <w:rsid w:val="118107EC"/>
    <w:rsid w:val="12E24EE2"/>
    <w:rsid w:val="13D50BC4"/>
    <w:rsid w:val="140C6863"/>
    <w:rsid w:val="14B17F78"/>
    <w:rsid w:val="15210EAC"/>
    <w:rsid w:val="165E0673"/>
    <w:rsid w:val="16B831D5"/>
    <w:rsid w:val="16BB723D"/>
    <w:rsid w:val="17BE4708"/>
    <w:rsid w:val="17E50567"/>
    <w:rsid w:val="186504BB"/>
    <w:rsid w:val="196D53EC"/>
    <w:rsid w:val="19A445FC"/>
    <w:rsid w:val="1BE8440E"/>
    <w:rsid w:val="1CC6347C"/>
    <w:rsid w:val="1D155CEE"/>
    <w:rsid w:val="1D1638FE"/>
    <w:rsid w:val="1E312DEB"/>
    <w:rsid w:val="1E740ACF"/>
    <w:rsid w:val="1FF35744"/>
    <w:rsid w:val="1FF6BC77"/>
    <w:rsid w:val="2186353C"/>
    <w:rsid w:val="22BA064C"/>
    <w:rsid w:val="23860B96"/>
    <w:rsid w:val="240371BF"/>
    <w:rsid w:val="243D02CE"/>
    <w:rsid w:val="244F3473"/>
    <w:rsid w:val="245E0468"/>
    <w:rsid w:val="24C97D99"/>
    <w:rsid w:val="25A718F0"/>
    <w:rsid w:val="25BB59F6"/>
    <w:rsid w:val="260F557C"/>
    <w:rsid w:val="26970054"/>
    <w:rsid w:val="26FA1BCA"/>
    <w:rsid w:val="281408E2"/>
    <w:rsid w:val="29FD04D3"/>
    <w:rsid w:val="2A0C3978"/>
    <w:rsid w:val="2BFF7BC6"/>
    <w:rsid w:val="2C3477A3"/>
    <w:rsid w:val="2C8A61B5"/>
    <w:rsid w:val="2DF04E50"/>
    <w:rsid w:val="2E586DFA"/>
    <w:rsid w:val="2F040D46"/>
    <w:rsid w:val="2F6B035B"/>
    <w:rsid w:val="2FAE5751"/>
    <w:rsid w:val="2FB1A395"/>
    <w:rsid w:val="2FD9A7D8"/>
    <w:rsid w:val="2FDBF714"/>
    <w:rsid w:val="308830B3"/>
    <w:rsid w:val="30AB6865"/>
    <w:rsid w:val="319F7F4E"/>
    <w:rsid w:val="32BD1EF1"/>
    <w:rsid w:val="3304709D"/>
    <w:rsid w:val="338029F7"/>
    <w:rsid w:val="33A773CB"/>
    <w:rsid w:val="349D6851"/>
    <w:rsid w:val="34A25CB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E67CBE"/>
    <w:rsid w:val="413541A5"/>
    <w:rsid w:val="42F23A13"/>
    <w:rsid w:val="44E268DA"/>
    <w:rsid w:val="450D13D7"/>
    <w:rsid w:val="45506656"/>
    <w:rsid w:val="458B14F7"/>
    <w:rsid w:val="47095C93"/>
    <w:rsid w:val="486A6C7A"/>
    <w:rsid w:val="4A627F82"/>
    <w:rsid w:val="4B0E749A"/>
    <w:rsid w:val="4B2477C4"/>
    <w:rsid w:val="4B4F25DA"/>
    <w:rsid w:val="4BE068DB"/>
    <w:rsid w:val="4C1D602C"/>
    <w:rsid w:val="4D251EF3"/>
    <w:rsid w:val="4D577224"/>
    <w:rsid w:val="4DBF1CEB"/>
    <w:rsid w:val="4DF0007C"/>
    <w:rsid w:val="4EAB630A"/>
    <w:rsid w:val="4ECE2238"/>
    <w:rsid w:val="4F833267"/>
    <w:rsid w:val="4FE9BD67"/>
    <w:rsid w:val="4FFB052F"/>
    <w:rsid w:val="51DC34A9"/>
    <w:rsid w:val="537E6D0A"/>
    <w:rsid w:val="53F74C96"/>
    <w:rsid w:val="55170BA8"/>
    <w:rsid w:val="55192A36"/>
    <w:rsid w:val="553218C9"/>
    <w:rsid w:val="567E1AA5"/>
    <w:rsid w:val="56E47B74"/>
    <w:rsid w:val="57175D52"/>
    <w:rsid w:val="572A3BF5"/>
    <w:rsid w:val="57BD3DD4"/>
    <w:rsid w:val="594B6822"/>
    <w:rsid w:val="5AF92295"/>
    <w:rsid w:val="5B250254"/>
    <w:rsid w:val="5BB3539D"/>
    <w:rsid w:val="5BDD79E6"/>
    <w:rsid w:val="5BE252C3"/>
    <w:rsid w:val="5BF561CA"/>
    <w:rsid w:val="5BFF5DFC"/>
    <w:rsid w:val="5CD71FC4"/>
    <w:rsid w:val="5D1F11B5"/>
    <w:rsid w:val="5D695134"/>
    <w:rsid w:val="5DAE1B18"/>
    <w:rsid w:val="5DE7D9E5"/>
    <w:rsid w:val="5ECEC941"/>
    <w:rsid w:val="5FBF9FF3"/>
    <w:rsid w:val="5FCD4E2C"/>
    <w:rsid w:val="5FEF394A"/>
    <w:rsid w:val="5FF67715"/>
    <w:rsid w:val="62BF3928"/>
    <w:rsid w:val="62FD48FF"/>
    <w:rsid w:val="63B3701E"/>
    <w:rsid w:val="63C6484A"/>
    <w:rsid w:val="647F5392"/>
    <w:rsid w:val="65E66580"/>
    <w:rsid w:val="664B1D71"/>
    <w:rsid w:val="664B4E8E"/>
    <w:rsid w:val="67277B67"/>
    <w:rsid w:val="67AA3209"/>
    <w:rsid w:val="698D0931"/>
    <w:rsid w:val="6A7FE5F3"/>
    <w:rsid w:val="6B053271"/>
    <w:rsid w:val="6BDD78B3"/>
    <w:rsid w:val="6C4A05C8"/>
    <w:rsid w:val="6C4D3E47"/>
    <w:rsid w:val="6C5648C6"/>
    <w:rsid w:val="6C8742B8"/>
    <w:rsid w:val="6DBF5E93"/>
    <w:rsid w:val="6DFF077E"/>
    <w:rsid w:val="6E714EF0"/>
    <w:rsid w:val="6E7E3605"/>
    <w:rsid w:val="6E7FDCC7"/>
    <w:rsid w:val="6ED6A62E"/>
    <w:rsid w:val="6EE00B15"/>
    <w:rsid w:val="6EFA4B70"/>
    <w:rsid w:val="6F6FB3EB"/>
    <w:rsid w:val="6F8731EA"/>
    <w:rsid w:val="6FCE6052"/>
    <w:rsid w:val="6FD57C00"/>
    <w:rsid w:val="6FEFFFD8"/>
    <w:rsid w:val="6FF5CC65"/>
    <w:rsid w:val="6FFB47EC"/>
    <w:rsid w:val="6FFF034A"/>
    <w:rsid w:val="70484440"/>
    <w:rsid w:val="712A28F1"/>
    <w:rsid w:val="713E3FC7"/>
    <w:rsid w:val="715C0E4B"/>
    <w:rsid w:val="71992E7C"/>
    <w:rsid w:val="72233669"/>
    <w:rsid w:val="722F0350"/>
    <w:rsid w:val="72734D90"/>
    <w:rsid w:val="73160E6D"/>
    <w:rsid w:val="7332FE48"/>
    <w:rsid w:val="73AB61DA"/>
    <w:rsid w:val="73AD73D5"/>
    <w:rsid w:val="73B6EB34"/>
    <w:rsid w:val="73FA497D"/>
    <w:rsid w:val="744731E5"/>
    <w:rsid w:val="74BBD01D"/>
    <w:rsid w:val="74ED5379"/>
    <w:rsid w:val="75B82721"/>
    <w:rsid w:val="75DEEEC2"/>
    <w:rsid w:val="75E32345"/>
    <w:rsid w:val="76E3355F"/>
    <w:rsid w:val="76FF5125"/>
    <w:rsid w:val="776F6FFA"/>
    <w:rsid w:val="778769C8"/>
    <w:rsid w:val="77A75DCA"/>
    <w:rsid w:val="77DC22F5"/>
    <w:rsid w:val="77E776FB"/>
    <w:rsid w:val="783E271A"/>
    <w:rsid w:val="78616DE9"/>
    <w:rsid w:val="78E875D7"/>
    <w:rsid w:val="79086DAD"/>
    <w:rsid w:val="79731F5E"/>
    <w:rsid w:val="79D7FD79"/>
    <w:rsid w:val="79EE5BA4"/>
    <w:rsid w:val="7A0A2A6F"/>
    <w:rsid w:val="7A894339"/>
    <w:rsid w:val="7AD284E8"/>
    <w:rsid w:val="7AFF7572"/>
    <w:rsid w:val="7B6C7DFB"/>
    <w:rsid w:val="7BBFBED0"/>
    <w:rsid w:val="7BC3E394"/>
    <w:rsid w:val="7BD90591"/>
    <w:rsid w:val="7C1F3737"/>
    <w:rsid w:val="7C4A1CFD"/>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579DA"/>
    <w:rsid w:val="7FC96657"/>
    <w:rsid w:val="7FDA9588"/>
    <w:rsid w:val="7FDF220F"/>
    <w:rsid w:val="7FEDC5F7"/>
    <w:rsid w:val="7FEDD9DE"/>
    <w:rsid w:val="7FEF5623"/>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4212;&#24613;&#23616;2024&#24180;&#20915;&#31639;\504\2024&#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4212;&#24613;&#23616;2024&#24180;&#20915;&#31639;\504\2024&#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4212;&#24613;&#23616;2024&#24180;&#20915;&#31639;\504\2024&#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4212;&#24613;&#23616;2024&#24180;&#20915;&#31639;\504\2024&#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4212;&#24613;&#23616;2024&#24180;&#20915;&#31639;\504\2024&#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4212;&#24613;&#23616;2024&#24180;&#20915;&#31639;\504\2024&#20915;&#31639;&#20844;&#24320;&#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24212;&#24613;&#23616;2024&#24180;&#20915;&#31639;\504\2024&#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strike="noStrike">
                <a:solidFill>
                  <a:srgbClr val="000000"/>
                </a:solidFill>
                <a:latin typeface="宋体" panose="02010600030101010101" charset="-122"/>
                <a:ea typeface="宋体" panose="02010600030101010101" charset="-122"/>
              </a:rPr>
              <a:t>图</a:t>
            </a:r>
            <a:r>
              <a:rPr lang="en-US" altLang="zh-CN" sz="1400" b="0" i="0" strike="noStrike">
                <a:solidFill>
                  <a:srgbClr val="000000"/>
                </a:solidFill>
                <a:latin typeface="宋体" panose="02010600030101010101" charset="-122"/>
                <a:ea typeface="宋体" panose="02010600030101010101" charset="-122"/>
              </a:rPr>
              <a:t>1   </a:t>
            </a:r>
            <a:r>
              <a:rPr lang="zh-CN" altLang="en-US" sz="1400" b="0" i="0" strike="noStrike">
                <a:solidFill>
                  <a:srgbClr val="000000"/>
                </a:solidFill>
                <a:latin typeface="宋体" panose="02010600030101010101" charset="-122"/>
                <a:ea typeface="宋体" panose="02010600030101010101" charset="-122"/>
              </a:rPr>
              <a:t>收入、支出决算总计变动情况</a:t>
            </a:r>
            <a:endParaRPr lang="zh-CN" altLang="en-US" sz="1400" b="0" i="0" strike="noStrike">
              <a:solidFill>
                <a:srgbClr val="000000"/>
              </a:solidFill>
              <a:latin typeface="宋体" panose="02010600030101010101" charset="-122"/>
              <a:ea typeface="宋体" panose="02010600030101010101" charset="-122"/>
            </a:endParaRPr>
          </a:p>
        </c:rich>
      </c:tx>
      <c:layout>
        <c:manualLayout>
          <c:xMode val="edge"/>
          <c:yMode val="edge"/>
          <c:x val="0.275216283805233"/>
          <c:y val="0.0317848410757947"/>
        </c:manualLayout>
      </c:layout>
      <c:overlay val="0"/>
      <c:spPr>
        <a:noFill/>
        <a:ln w="25400">
          <a:noFill/>
        </a:ln>
      </c:spPr>
    </c:title>
    <c:autoTitleDeleted val="0"/>
    <c:plotArea>
      <c:layout>
        <c:manualLayout>
          <c:layoutTarget val="inner"/>
          <c:xMode val="edge"/>
          <c:yMode val="edge"/>
          <c:x val="0.169616763482847"/>
          <c:y val="0.317848790219083"/>
          <c:w val="0.610620348538252"/>
          <c:h val="0.491443129492581"/>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2024</c:v>
                </c:pt>
                <c:pt idx="1">
                  <c:v>2023</c:v>
                </c:pt>
              </c:numCache>
            </c:numRef>
          </c:cat>
          <c:val>
            <c:numRef>
              <c:f>Sheet1!$B$59:$C$59</c:f>
              <c:numCache>
                <c:formatCode>General</c:formatCode>
                <c:ptCount val="2"/>
                <c:pt idx="0">
                  <c:v>831.26</c:v>
                </c:pt>
                <c:pt idx="1">
                  <c:v>884.41</c:v>
                </c:pt>
              </c:numCache>
            </c:numRef>
          </c:val>
        </c:ser>
        <c:dLbls>
          <c:showLegendKey val="0"/>
          <c:showVal val="1"/>
          <c:showCatName val="0"/>
          <c:showSerName val="0"/>
          <c:showPercent val="0"/>
          <c:showBubbleSize val="0"/>
        </c:dLbls>
        <c:gapWidth val="150"/>
        <c:axId val="155421696"/>
        <c:axId val="155920640"/>
      </c:barChart>
      <c:catAx>
        <c:axId val="15542169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55920640"/>
        <c:crosses val="autoZero"/>
        <c:auto val="1"/>
        <c:lblAlgn val="ctr"/>
        <c:lblOffset val="100"/>
        <c:tickLblSkip val="1"/>
        <c:noMultiLvlLbl val="0"/>
      </c:catAx>
      <c:valAx>
        <c:axId val="155920640"/>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55421696"/>
        <c:crosses val="autoZero"/>
        <c:crossBetween val="between"/>
      </c:valAx>
      <c:spPr>
        <a:solidFill>
          <a:srgbClr val="C0C0C0"/>
        </a:solidFill>
        <a:ln w="12700">
          <a:solidFill>
            <a:srgbClr val="808080"/>
          </a:solidFill>
          <a:prstDash val="solid"/>
        </a:ln>
      </c:spPr>
    </c:plotArea>
    <c:legend>
      <c:legendPos val="r"/>
      <c:layout>
        <c:manualLayout>
          <c:xMode val="edge"/>
          <c:yMode val="edge"/>
          <c:x val="0.795499965159222"/>
          <c:y val="0.507000109093942"/>
          <c:w val="0.193832562965028"/>
          <c:h val="0.0513516739502917"/>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13a84084-badd-4d61-a5ef-c91795d20c48}"/>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600" b="0" i="0" strike="noStrike">
                <a:solidFill>
                  <a:srgbClr val="000000"/>
                </a:solidFill>
                <a:latin typeface="宋体" panose="02010600030101010101" charset="-122"/>
                <a:ea typeface="宋体" panose="02010600030101010101" charset="-122"/>
              </a:rPr>
              <a:t>图</a:t>
            </a:r>
            <a:r>
              <a:rPr lang="en-US" altLang="zh-CN" sz="1600" b="0" i="0" strike="noStrike">
                <a:solidFill>
                  <a:srgbClr val="000000"/>
                </a:solidFill>
                <a:latin typeface="宋体" panose="02010600030101010101" charset="-122"/>
                <a:ea typeface="宋体" panose="02010600030101010101" charset="-122"/>
              </a:rPr>
              <a:t>2    </a:t>
            </a:r>
            <a:r>
              <a:rPr lang="zh-CN" altLang="en-US" sz="1600" b="0" i="0" strike="noStrike">
                <a:solidFill>
                  <a:srgbClr val="000000"/>
                </a:solidFill>
                <a:latin typeface="宋体" panose="02010600030101010101" charset="-122"/>
                <a:ea typeface="宋体" panose="02010600030101010101" charset="-122"/>
              </a:rPr>
              <a:t>收入决算结构图</a:t>
            </a:r>
            <a:endParaRPr lang="zh-CN" altLang="en-US" sz="1600" b="0" i="0" strike="noStrike">
              <a:solidFill>
                <a:srgbClr val="000000"/>
              </a:solidFill>
              <a:latin typeface="宋体" panose="02010600030101010101" charset="-122"/>
              <a:ea typeface="宋体" panose="02010600030101010101" charset="-122"/>
            </a:endParaRPr>
          </a:p>
        </c:rich>
      </c:tx>
      <c:layout>
        <c:manualLayout>
          <c:xMode val="edge"/>
          <c:yMode val="edge"/>
          <c:x val="0.33760725084803"/>
          <c:y val="0.0332409972299169"/>
        </c:manualLayout>
      </c:layout>
      <c:overlay val="0"/>
      <c:spPr>
        <a:noFill/>
        <a:ln w="25400">
          <a:noFill/>
        </a:ln>
      </c:spPr>
    </c:title>
    <c:autoTitleDeleted val="0"/>
    <c:plotArea>
      <c:layout>
        <c:manualLayout>
          <c:layoutTarget val="inner"/>
          <c:xMode val="edge"/>
          <c:yMode val="edge"/>
          <c:x val="0.23538045301714"/>
          <c:y val="0.437673722182472"/>
          <c:w val="0.195906712449048"/>
          <c:h val="0.371191637800324"/>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Lbl>
              <c:idx val="1"/>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a:t>61.4, 7.39%</a:t>
                    </a:r>
                    <a:endParaRPr lang="en-US" altLang="en-US"/>
                  </a:p>
                </c:rich>
              </c:tx>
              <c:dLblPos val="bestFit"/>
              <c:showLegendKey val="1"/>
              <c:showVal val="1"/>
              <c:showCatName val="0"/>
              <c:showSerName val="0"/>
              <c:showPercent val="1"/>
              <c:showBubbleSize val="0"/>
              <c:extLst>
                <c:ext xmlns:c15="http://schemas.microsoft.com/office/drawing/2012/chart" uri="{CE6537A1-D6FC-4f65-9D91-7224C49458BB}"/>
              </c:extLst>
            </c:dLbl>
            <c:dLbl>
              <c:idx val="2"/>
              <c:layout>
                <c:manualLayout>
                  <c:x val="0.0244091437427354"/>
                  <c:y val="-0.159919028340081"/>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3"/>
              <c:layout>
                <c:manualLayout>
                  <c:x val="0.222006974041069"/>
                  <c:y val="0.255060728744939"/>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4"/>
              <c:layout>
                <c:manualLayout>
                  <c:x val="0.259201859744285"/>
                  <c:y val="-0.0485829959514171"/>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5"/>
              <c:layout>
                <c:manualLayout>
                  <c:x val="-0.169701666020922"/>
                  <c:y val="-0.097165991902834"/>
                </c:manualLayout>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0, 0%</a:t>
                    </a:r>
                    <a:endParaRPr lang="en-US" altLang="zh-CN"/>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0"/>
              <c:showCatName val="0"/>
              <c:showSerName val="0"/>
              <c:showPercent val="0"/>
              <c:showBubbleSize val="0"/>
              <c:extLst>
                <c:ext xmlns:c15="http://schemas.microsoft.com/office/drawing/2012/chart" uri="{CE6537A1-D6FC-4f65-9D91-7224C49458BB}">
                  <c15:layout/>
                </c:ext>
              </c:extLst>
            </c:dLbl>
            <c:numFmt formatCode="0%" sourceLinked="0"/>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Sheet1!$C$3:$C$8</c:f>
              <c:numCache>
                <c:formatCode>General</c:formatCode>
                <c:ptCount val="6"/>
                <c:pt idx="0">
                  <c:v>769.86</c:v>
                </c:pt>
                <c:pt idx="1">
                  <c:v>61.4</c:v>
                </c:pt>
                <c:pt idx="2">
                  <c:v>0</c:v>
                </c:pt>
                <c:pt idx="3">
                  <c:v>0</c:v>
                </c:pt>
                <c:pt idx="4">
                  <c:v>0</c:v>
                </c:pt>
                <c:pt idx="5">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Sheet1!$D$3:$D$8</c:f>
              <c:numCache>
                <c:formatCode>0.00%</c:formatCode>
                <c:ptCount val="6"/>
                <c:pt idx="0">
                  <c:v>0.926136226932608</c:v>
                </c:pt>
                <c:pt idx="1">
                  <c:v>0.0738637730673917</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9749965464845"/>
          <c:y val="0.23550010542311"/>
          <c:w val="0.329329710979111"/>
          <c:h val="0.647773391206986"/>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6668146d-b44c-47c9-98c4-a6ecdcae8a0b}"/>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strike="noStrike">
                <a:solidFill>
                  <a:srgbClr val="000000"/>
                </a:solidFill>
                <a:latin typeface="宋体" panose="02010600030101010101" charset="-122"/>
                <a:ea typeface="宋体" panose="02010600030101010101" charset="-122"/>
              </a:rPr>
              <a:t>图</a:t>
            </a:r>
            <a:r>
              <a:rPr lang="en-US" altLang="zh-CN" sz="1400" b="0" i="0" strike="noStrike">
                <a:solidFill>
                  <a:srgbClr val="000000"/>
                </a:solidFill>
                <a:latin typeface="宋体" panose="02010600030101010101" charset="-122"/>
                <a:ea typeface="宋体" panose="02010600030101010101" charset="-122"/>
              </a:rPr>
              <a:t>3    </a:t>
            </a:r>
            <a:r>
              <a:rPr lang="zh-CN" altLang="en-US" sz="1400" b="0" i="0" strike="noStrike">
                <a:solidFill>
                  <a:srgbClr val="000000"/>
                </a:solidFill>
                <a:latin typeface="宋体" panose="02010600030101010101" charset="-122"/>
                <a:ea typeface="宋体" panose="02010600030101010101" charset="-122"/>
              </a:rPr>
              <a:t>支出决算结构图</a:t>
            </a:r>
            <a:endParaRPr lang="zh-CN" altLang="en-US" sz="1400" b="0" i="0" strike="noStrike">
              <a:solidFill>
                <a:srgbClr val="000000"/>
              </a:solidFill>
              <a:latin typeface="宋体" panose="02010600030101010101" charset="-122"/>
              <a:ea typeface="宋体" panose="02010600030101010101" charset="-122"/>
            </a:endParaRPr>
          </a:p>
        </c:rich>
      </c:tx>
      <c:layout>
        <c:manualLayout>
          <c:xMode val="edge"/>
          <c:yMode val="edge"/>
          <c:x val="0.371793508560609"/>
          <c:y val="0.0099009900990099"/>
        </c:manualLayout>
      </c:layout>
      <c:overlay val="0"/>
      <c:spPr>
        <a:noFill/>
        <a:ln w="25400">
          <a:noFill/>
        </a:ln>
      </c:spPr>
    </c:title>
    <c:autoTitleDeleted val="0"/>
    <c:plotArea>
      <c:layout>
        <c:manualLayout>
          <c:layoutTarget val="inner"/>
          <c:xMode val="edge"/>
          <c:yMode val="edge"/>
          <c:x val="0.300000443892703"/>
          <c:y val="0.462026030375468"/>
          <c:w val="0.162121452002622"/>
          <c:h val="0.338608118151884"/>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dLbl>
              <c:idx val="0"/>
              <c:layout>
                <c:manualLayout>
                  <c:x val="-0.0281964440918051"/>
                  <c:y val="-0.158457344887285"/>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130602409638554"/>
                  <c:y val="0.115511551155116"/>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262432252543501"/>
                  <c:y val="-0.00834347297062403"/>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220214890177808"/>
                  <c:y val="-0.0458891013384321"/>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Sheet1!$B$34:$B$38</c:f>
              <c:strCache>
                <c:ptCount val="5"/>
                <c:pt idx="0">
                  <c:v>基本支出</c:v>
                </c:pt>
                <c:pt idx="1">
                  <c:v>项目支出</c:v>
                </c:pt>
                <c:pt idx="2">
                  <c:v>上缴上级支出</c:v>
                </c:pt>
                <c:pt idx="3">
                  <c:v>经营支出</c:v>
                </c:pt>
                <c:pt idx="4">
                  <c:v>对附属单位补助支出</c:v>
                </c:pt>
              </c:strCache>
            </c:strRef>
          </c:cat>
          <c:val>
            <c:numRef>
              <c:f>Sheet1!$C$34:$C$38</c:f>
              <c:numCache>
                <c:formatCode>General</c:formatCode>
                <c:ptCount val="5"/>
                <c:pt idx="0">
                  <c:v>141.08</c:v>
                </c:pt>
                <c:pt idx="1">
                  <c:v>690.18</c:v>
                </c:pt>
                <c:pt idx="2">
                  <c:v>0</c:v>
                </c:pt>
                <c:pt idx="3">
                  <c:v>0</c:v>
                </c:pt>
                <c:pt idx="4">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delete val="1"/>
          </c:dLbls>
          <c:cat>
            <c:strRef>
              <c:f>Sheet1!$B$34:$B$38</c:f>
              <c:strCache>
                <c:ptCount val="5"/>
                <c:pt idx="0">
                  <c:v>基本支出</c:v>
                </c:pt>
                <c:pt idx="1">
                  <c:v>项目支出</c:v>
                </c:pt>
                <c:pt idx="2">
                  <c:v>上缴上级支出</c:v>
                </c:pt>
                <c:pt idx="3">
                  <c:v>经营支出</c:v>
                </c:pt>
                <c:pt idx="4">
                  <c:v>对附属单位补助支出</c:v>
                </c:pt>
              </c:strCache>
            </c:strRef>
          </c:cat>
          <c:val>
            <c:numRef>
              <c:f>Sheet1!$D$34:$D$38</c:f>
              <c:numCache>
                <c:formatCode>0.00%</c:formatCode>
                <c:ptCount val="5"/>
                <c:pt idx="0">
                  <c:v>0.169718259028463</c:v>
                </c:pt>
                <c:pt idx="1">
                  <c:v>0.830281740971537</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7000079535514"/>
          <c:y val="0.417499916940762"/>
          <c:w val="0.232005249343832"/>
          <c:h val="0.288545134389847"/>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f1dde4f8-43f3-4494-a3cb-a70883cf7814}"/>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strike="noStrike">
                <a:solidFill>
                  <a:srgbClr val="000000"/>
                </a:solidFill>
                <a:latin typeface="宋体" panose="02010600030101010101" charset="-122"/>
                <a:ea typeface="宋体" panose="02010600030101010101" charset="-122"/>
              </a:rPr>
              <a:t>图</a:t>
            </a:r>
            <a:r>
              <a:rPr lang="en-US" altLang="zh-CN" sz="1400" b="0" i="0" strike="noStrike">
                <a:solidFill>
                  <a:srgbClr val="000000"/>
                </a:solidFill>
                <a:latin typeface="宋体" panose="02010600030101010101" charset="-122"/>
                <a:ea typeface="宋体" panose="02010600030101010101" charset="-122"/>
              </a:rPr>
              <a:t>4    </a:t>
            </a:r>
            <a:r>
              <a:rPr lang="zh-CN" altLang="en-US" sz="1400" b="0" i="0" strike="noStrike">
                <a:solidFill>
                  <a:srgbClr val="000000"/>
                </a:solidFill>
                <a:latin typeface="宋体" panose="02010600030101010101" charset="-122"/>
                <a:ea typeface="宋体" panose="02010600030101010101" charset="-122"/>
              </a:rPr>
              <a:t>财政拨款收、支总计决算变动情况</a:t>
            </a:r>
            <a:endParaRPr lang="zh-CN" altLang="en-US" sz="1400" b="0" i="0" strike="noStrike">
              <a:solidFill>
                <a:srgbClr val="000000"/>
              </a:solidFill>
              <a:latin typeface="宋体" panose="02010600030101010101" charset="-122"/>
              <a:ea typeface="宋体" panose="02010600030101010101" charset="-122"/>
            </a:endParaRPr>
          </a:p>
        </c:rich>
      </c:tx>
      <c:layout>
        <c:manualLayout>
          <c:xMode val="edge"/>
          <c:yMode val="edge"/>
          <c:x val="0.241726606396423"/>
          <c:y val="0.0331491712707182"/>
        </c:manualLayout>
      </c:layout>
      <c:overlay val="0"/>
      <c:spPr>
        <a:noFill/>
        <a:ln w="25400">
          <a:noFill/>
        </a:ln>
      </c:spPr>
    </c:title>
    <c:autoTitleDeleted val="0"/>
    <c:plotArea>
      <c:layout>
        <c:manualLayout>
          <c:layoutTarget val="inner"/>
          <c:xMode val="edge"/>
          <c:yMode val="edge"/>
          <c:x val="0.139259460734174"/>
          <c:y val="0.348066298342542"/>
          <c:w val="0.54370449031321"/>
          <c:h val="0.436464088397791"/>
        </c:manualLayout>
      </c:layout>
      <c:barChart>
        <c:barDir val="col"/>
        <c:grouping val="clustered"/>
        <c:varyColors val="0"/>
        <c:ser>
          <c:idx val="0"/>
          <c:order val="0"/>
          <c:tx>
            <c:strRef>
              <c:f>Sheet1!$A$167</c:f>
              <c:strCache>
                <c:ptCount val="1"/>
                <c:pt idx="0">
                  <c:v>财政拨款收入、支出总计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Sheet1!$B$166:$C$166</c:f>
              <c:numCache>
                <c:formatCode>General</c:formatCode>
                <c:ptCount val="2"/>
                <c:pt idx="0">
                  <c:v>2024</c:v>
                </c:pt>
                <c:pt idx="1">
                  <c:v>2023</c:v>
                </c:pt>
              </c:numCache>
            </c:numRef>
          </c:cat>
          <c:val>
            <c:numRef>
              <c:f>Sheet1!$B$167:$C$167</c:f>
              <c:numCache>
                <c:formatCode>General</c:formatCode>
                <c:ptCount val="2"/>
                <c:pt idx="0">
                  <c:v>831.26</c:v>
                </c:pt>
                <c:pt idx="1">
                  <c:v>884.41</c:v>
                </c:pt>
              </c:numCache>
            </c:numRef>
          </c:val>
        </c:ser>
        <c:dLbls>
          <c:showLegendKey val="0"/>
          <c:showVal val="1"/>
          <c:showCatName val="0"/>
          <c:showSerName val="0"/>
          <c:showPercent val="0"/>
          <c:showBubbleSize val="0"/>
        </c:dLbls>
        <c:gapWidth val="150"/>
        <c:axId val="216226048"/>
        <c:axId val="216251008"/>
      </c:barChart>
      <c:catAx>
        <c:axId val="216226048"/>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16251008"/>
        <c:crosses val="autoZero"/>
        <c:auto val="1"/>
        <c:lblAlgn val="ctr"/>
        <c:lblOffset val="100"/>
        <c:tickLblSkip val="1"/>
        <c:noMultiLvlLbl val="0"/>
      </c:catAx>
      <c:valAx>
        <c:axId val="216251008"/>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16226048"/>
        <c:crosses val="autoZero"/>
        <c:crossBetween val="between"/>
      </c:valAx>
      <c:spPr>
        <a:solidFill>
          <a:srgbClr val="C0C0C0"/>
        </a:solidFill>
        <a:ln w="12700">
          <a:solidFill>
            <a:srgbClr val="808080"/>
          </a:solidFill>
          <a:prstDash val="solid"/>
        </a:ln>
      </c:spPr>
    </c:plotArea>
    <c:legend>
      <c:legendPos val="r"/>
      <c:layout>
        <c:manualLayout>
          <c:xMode val="edge"/>
          <c:yMode val="edge"/>
          <c:x val="0.702500009721007"/>
          <c:y val="0.504499934745726"/>
          <c:w val="0.286471080003889"/>
          <c:h val="0.0572294485288787"/>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76782463-f465-4671-8cbb-98916d9106fd}"/>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strike="noStrike">
                <a:solidFill>
                  <a:srgbClr val="000000"/>
                </a:solidFill>
                <a:latin typeface="宋体" panose="02010600030101010101" charset="-122"/>
                <a:ea typeface="宋体" panose="02010600030101010101" charset="-122"/>
              </a:rPr>
              <a:t>图</a:t>
            </a:r>
            <a:r>
              <a:rPr lang="en-US" altLang="zh-CN" sz="1400" b="0" i="0" strike="noStrike">
                <a:solidFill>
                  <a:srgbClr val="000000"/>
                </a:solidFill>
                <a:latin typeface="宋体" panose="02010600030101010101" charset="-122"/>
                <a:ea typeface="宋体" panose="02010600030101010101" charset="-122"/>
              </a:rPr>
              <a:t>5      </a:t>
            </a:r>
            <a:r>
              <a:rPr lang="zh-CN" altLang="en-US" sz="1200" b="0" i="0" u="none" strike="noStrike" baseline="0"/>
              <a:t>一般公共预算财政拨款支出决算变动情况</a:t>
            </a:r>
            <a:endParaRPr lang="zh-CN" altLang="en-US" sz="1400" b="0" i="0" strike="noStrike">
              <a:solidFill>
                <a:srgbClr val="000000"/>
              </a:solidFill>
              <a:latin typeface="宋体" panose="02010600030101010101" charset="-122"/>
              <a:ea typeface="宋体" panose="02010600030101010101" charset="-122"/>
            </a:endParaRPr>
          </a:p>
        </c:rich>
      </c:tx>
      <c:layout>
        <c:manualLayout>
          <c:xMode val="edge"/>
          <c:yMode val="edge"/>
          <c:x val="0.189818133885407"/>
          <c:y val="0.0332409865197446"/>
        </c:manualLayout>
      </c:layout>
      <c:overlay val="0"/>
      <c:spPr>
        <a:noFill/>
        <a:ln w="25400">
          <a:noFill/>
        </a:ln>
      </c:spPr>
    </c:title>
    <c:autoTitleDeleted val="0"/>
    <c:plotArea>
      <c:layout>
        <c:manualLayout>
          <c:layoutTarget val="inner"/>
          <c:xMode val="edge"/>
          <c:yMode val="edge"/>
          <c:x val="0.138847858197932"/>
          <c:y val="0.351274787535411"/>
          <c:w val="0.521418020679468"/>
          <c:h val="0.430594900849859"/>
        </c:manualLayout>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Sheet1!$B$84:$C$84</c:f>
              <c:numCache>
                <c:formatCode>General</c:formatCode>
                <c:ptCount val="2"/>
                <c:pt idx="0">
                  <c:v>2023</c:v>
                </c:pt>
                <c:pt idx="1">
                  <c:v>2024</c:v>
                </c:pt>
              </c:numCache>
            </c:numRef>
          </c:cat>
          <c:val>
            <c:numRef>
              <c:f>Sheet1!$B$85:$C$85</c:f>
              <c:numCache>
                <c:formatCode>General</c:formatCode>
                <c:ptCount val="2"/>
                <c:pt idx="0">
                  <c:v>833.41</c:v>
                </c:pt>
                <c:pt idx="1">
                  <c:v>769.86</c:v>
                </c:pt>
              </c:numCache>
            </c:numRef>
          </c:val>
        </c:ser>
        <c:dLbls>
          <c:showLegendKey val="0"/>
          <c:showVal val="1"/>
          <c:showCatName val="0"/>
          <c:showSerName val="0"/>
          <c:showPercent val="0"/>
          <c:showBubbleSize val="0"/>
        </c:dLbls>
        <c:gapWidth val="150"/>
        <c:axId val="149998208"/>
        <c:axId val="150016384"/>
      </c:barChart>
      <c:catAx>
        <c:axId val="149998208"/>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50016384"/>
        <c:crosses val="autoZero"/>
        <c:auto val="1"/>
        <c:lblAlgn val="ctr"/>
        <c:lblOffset val="100"/>
        <c:tickLblSkip val="1"/>
        <c:noMultiLvlLbl val="0"/>
      </c:catAx>
      <c:valAx>
        <c:axId val="150016384"/>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9998208"/>
        <c:crosses val="autoZero"/>
        <c:crossBetween val="between"/>
      </c:valAx>
      <c:spPr>
        <a:solidFill>
          <a:srgbClr val="C0C0C0"/>
        </a:solidFill>
        <a:ln w="12700">
          <a:solidFill>
            <a:srgbClr val="808080"/>
          </a:solidFill>
          <a:prstDash val="solid"/>
        </a:ln>
      </c:spPr>
    </c:plotArea>
    <c:legend>
      <c:legendPos val="r"/>
      <c:layout>
        <c:manualLayout>
          <c:xMode val="edge"/>
          <c:yMode val="edge"/>
          <c:x val="0.678749927307832"/>
          <c:y val="0.505499914493692"/>
          <c:w val="0.309591411856384"/>
          <c:h val="0.0575881272631289"/>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32e54c39-58fa-454b-a36d-c7a32584908e}"/>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25" b="0" i="0" strike="noStrike">
                <a:solidFill>
                  <a:srgbClr val="000000"/>
                </a:solidFill>
                <a:latin typeface="宋体" panose="02010600030101010101" charset="-122"/>
                <a:ea typeface="宋体" panose="02010600030101010101" charset="-122"/>
              </a:rPr>
              <a:t>图</a:t>
            </a:r>
            <a:r>
              <a:rPr lang="en-US" altLang="zh-CN" sz="1425" b="0" i="0" strike="noStrike">
                <a:solidFill>
                  <a:srgbClr val="000000"/>
                </a:solidFill>
                <a:latin typeface="宋体" panose="02010600030101010101" charset="-122"/>
                <a:ea typeface="宋体" panose="02010600030101010101" charset="-122"/>
              </a:rPr>
              <a:t>6    </a:t>
            </a:r>
            <a:r>
              <a:rPr lang="zh-CN" altLang="en-US" sz="1425" b="0" i="0" strike="noStrike">
                <a:solidFill>
                  <a:srgbClr val="000000"/>
                </a:solidFill>
                <a:latin typeface="宋体" panose="02010600030101010101" charset="-122"/>
                <a:ea typeface="宋体" panose="02010600030101010101" charset="-122"/>
              </a:rPr>
              <a:t>一般公共预算财政拨款支出决算结构</a:t>
            </a:r>
            <a:endParaRPr lang="zh-CN" altLang="en-US" sz="1425" b="0" i="0" strike="noStrike">
              <a:solidFill>
                <a:srgbClr val="000000"/>
              </a:solidFill>
              <a:latin typeface="宋体" panose="02010600030101010101" charset="-122"/>
              <a:ea typeface="宋体" panose="02010600030101010101" charset="-122"/>
            </a:endParaRPr>
          </a:p>
        </c:rich>
      </c:tx>
      <c:layout>
        <c:manualLayout>
          <c:xMode val="edge"/>
          <c:yMode val="edge"/>
          <c:x val="0.235624160292166"/>
          <c:y val="0.0289854229759742"/>
        </c:manualLayout>
      </c:layout>
      <c:overlay val="0"/>
      <c:spPr>
        <a:noFill/>
        <a:ln w="25400">
          <a:noFill/>
        </a:ln>
      </c:spPr>
    </c:title>
    <c:autoTitleDeleted val="0"/>
    <c:plotArea>
      <c:layout>
        <c:manualLayout>
          <c:layoutTarget val="inner"/>
          <c:xMode val="edge"/>
          <c:yMode val="edge"/>
          <c:x val="0.325179856115108"/>
          <c:y val="0.48630218305561"/>
          <c:w val="0.110791366906475"/>
          <c:h val="0.263699071093534"/>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Lbl>
              <c:idx val="1"/>
              <c:layout>
                <c:manualLayout>
                  <c:x val="-0.0326534143218442"/>
                  <c:y val="0.0517679466727275"/>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0851223945659726"/>
                  <c:y val="-0.0592288590188853"/>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25400">
                <a:noFill/>
              </a:ln>
              <a:effectLst/>
            </c:spPr>
            <c:txPr>
              <a:bodyPr rot="0" spcFirstLastPara="0" vertOverflow="ellipsis" vert="horz" wrap="square" lIns="38100" tIns="19050" rIns="38100" bIns="19050"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Sheet1!$A$110:$A$112</c:f>
              <c:strCache>
                <c:ptCount val="3"/>
                <c:pt idx="0">
                  <c:v>社会保障和就业支出</c:v>
                </c:pt>
                <c:pt idx="1">
                  <c:v>卫生健康支出</c:v>
                </c:pt>
                <c:pt idx="2">
                  <c:v>住房保障支出</c:v>
                </c:pt>
              </c:strCache>
            </c:strRef>
          </c:cat>
          <c:val>
            <c:numRef>
              <c:f>Sheet1!$B$110:$B$112</c:f>
              <c:numCache>
                <c:formatCode>General</c:formatCode>
                <c:ptCount val="3"/>
                <c:pt idx="0">
                  <c:v>748.8</c:v>
                </c:pt>
                <c:pt idx="1">
                  <c:v>11.05</c:v>
                </c:pt>
                <c:pt idx="2">
                  <c:v>10.01</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elete val="1"/>
          </c:dLbls>
          <c:cat>
            <c:strRef>
              <c:f>Sheet1!$A$110:$A$112</c:f>
              <c:strCache>
                <c:ptCount val="3"/>
                <c:pt idx="0">
                  <c:v>社会保障和就业支出</c:v>
                </c:pt>
                <c:pt idx="1">
                  <c:v>卫生健康支出</c:v>
                </c:pt>
                <c:pt idx="2">
                  <c:v>住房保障支出</c:v>
                </c:pt>
              </c:strCache>
            </c:strRef>
          </c:cat>
          <c:val>
            <c:numRef>
              <c:f>Sheet1!$C$110:$C$112</c:f>
              <c:numCache>
                <c:formatCode>0.00%</c:formatCode>
                <c:ptCount val="3"/>
                <c:pt idx="0">
                  <c:v>0.972644376899697</c:v>
                </c:pt>
                <c:pt idx="1">
                  <c:v>0.0143532590341101</c:v>
                </c:pt>
                <c:pt idx="2">
                  <c:v>0.0130023640661939</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7189146919234"/>
          <c:y val="0.42175005047446"/>
          <c:w val="0.234867289766276"/>
          <c:h val="0.259282697355138"/>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69358bbb-0d7b-48d3-a3ed-cefc0f37887e}"/>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strike="noStrike">
                <a:solidFill>
                  <a:srgbClr val="000000"/>
                </a:solidFill>
                <a:latin typeface="宋体" panose="02010600030101010101" charset="-122"/>
                <a:ea typeface="宋体" panose="02010600030101010101" charset="-122"/>
              </a:rPr>
              <a:t>图</a:t>
            </a:r>
            <a:r>
              <a:rPr lang="en-US" altLang="zh-CN" sz="1400" b="0" i="0" strike="noStrike">
                <a:solidFill>
                  <a:srgbClr val="000000"/>
                </a:solidFill>
                <a:latin typeface="宋体" panose="02010600030101010101" charset="-122"/>
                <a:ea typeface="宋体" panose="02010600030101010101" charset="-122"/>
              </a:rPr>
              <a:t>7   “</a:t>
            </a:r>
            <a:r>
              <a:rPr lang="zh-CN" altLang="en-US" sz="1400" b="0" i="0" strike="noStrike">
                <a:solidFill>
                  <a:srgbClr val="000000"/>
                </a:solidFill>
                <a:latin typeface="宋体" panose="02010600030101010101" charset="-122"/>
                <a:ea typeface="宋体" panose="02010600030101010101" charset="-122"/>
              </a:rPr>
              <a:t>三公”经费财政拨款支出结构</a:t>
            </a:r>
            <a:endParaRPr lang="zh-CN" altLang="en-US" sz="1400" b="0" i="0" strike="noStrike">
              <a:solidFill>
                <a:srgbClr val="000000"/>
              </a:solidFill>
              <a:latin typeface="宋体" panose="02010600030101010101" charset="-122"/>
              <a:ea typeface="宋体" panose="02010600030101010101" charset="-122"/>
            </a:endParaRPr>
          </a:p>
        </c:rich>
      </c:tx>
      <c:layout>
        <c:manualLayout>
          <c:xMode val="edge"/>
          <c:yMode val="edge"/>
          <c:x val="0.262248112791211"/>
          <c:y val="0.0332411234519439"/>
        </c:manualLayout>
      </c:layout>
      <c:overlay val="0"/>
      <c:spPr>
        <a:noFill/>
        <a:ln w="25400">
          <a:noFill/>
        </a:ln>
      </c:spPr>
    </c:title>
    <c:autoTitleDeleted val="0"/>
    <c:plotArea>
      <c:layout>
        <c:manualLayout>
          <c:layoutTarget val="inner"/>
          <c:xMode val="edge"/>
          <c:yMode val="edge"/>
          <c:x val="0.272592986969021"/>
          <c:y val="0.501385719715362"/>
          <c:w val="0.121481657236194"/>
          <c:h val="0.227147121639004"/>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Lbl>
              <c:idx val="1"/>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公务用车购置及运行维护费支出
</a:t>
                    </a:r>
                    <a:r>
                      <a:rPr lang="en-US" altLang="zh-CN"/>
                      <a:t>1.00 
90.91%</a:t>
                    </a:r>
                    <a:endParaRPr lang="en-US" altLang="zh-CN"/>
                  </a:p>
                </c:rich>
              </c:tx>
              <c:dLblPos val="bestFit"/>
              <c:showLegendKey val="1"/>
              <c:showVal val="1"/>
              <c:showCatName val="1"/>
              <c:showSerName val="0"/>
              <c:showPercent val="1"/>
              <c:showBubbleSize val="0"/>
              <c:extLst>
                <c:ext xmlns:c15="http://schemas.microsoft.com/office/drawing/2012/chart" uri="{CE6537A1-D6FC-4f65-9D91-7224C49458BB}"/>
              </c:extLst>
            </c:dLbl>
            <c:dLbl>
              <c:idx val="2"/>
              <c:layout>
                <c:manualLayout>
                  <c:x val="-0.165045682287062"/>
                  <c:y val="0.111336032388664"/>
                </c:manualLayout>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公务接待费支出
</a:t>
                    </a:r>
                    <a:r>
                      <a:rPr lang="en-US" altLang="zh-CN"/>
                      <a:t>0.10 
9.09%</a:t>
                    </a:r>
                    <a:endParaRPr lang="zh-CN" altLang="en-US"/>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Sheet1!$B$137:$B$139</c:f>
              <c:strCache>
                <c:ptCount val="3"/>
                <c:pt idx="0">
                  <c:v>因公出国（境）费支出</c:v>
                </c:pt>
                <c:pt idx="1">
                  <c:v>公务用车购置及运行维护费支出</c:v>
                </c:pt>
                <c:pt idx="2">
                  <c:v>公务接待费支出</c:v>
                </c:pt>
              </c:strCache>
            </c:strRef>
          </c:cat>
          <c:val>
            <c:numRef>
              <c:f>Sheet1!$C$137:$C$139</c:f>
              <c:numCache>
                <c:formatCode>General</c:formatCode>
                <c:ptCount val="3"/>
                <c:pt idx="0">
                  <c:v>0</c:v>
                </c:pt>
                <c:pt idx="1" c:formatCode="0.00_ ">
                  <c:v>1</c:v>
                </c:pt>
                <c:pt idx="2" c:formatCode="0.00_ ">
                  <c:v>0.1</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elete val="1"/>
          </c:dLbls>
          <c:cat>
            <c:strRef>
              <c:f>Sheet1!$B$137:$B$139</c:f>
              <c:strCache>
                <c:ptCount val="3"/>
                <c:pt idx="0">
                  <c:v>因公出国（境）费支出</c:v>
                </c:pt>
                <c:pt idx="1">
                  <c:v>公务用车购置及运行维护费支出</c:v>
                </c:pt>
                <c:pt idx="2">
                  <c:v>公务接待费支出</c:v>
                </c:pt>
              </c:strCache>
            </c:strRef>
          </c:cat>
          <c:val>
            <c:numRef>
              <c:f>Sheet1!$D$137:$D$139</c:f>
              <c:numCache>
                <c:formatCode>General</c:formatCode>
                <c:ptCount val="3"/>
                <c:pt idx="0">
                  <c:v>0</c:v>
                </c:pt>
                <c:pt idx="1" c:formatCode="0.00%">
                  <c:v>0.909090909090909</c:v>
                </c:pt>
                <c:pt idx="2" c:formatCode="0.00%">
                  <c:v>0.090909090909091</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5499965159223"/>
          <c:y val="0.400249998075754"/>
          <c:w val="0.332056209787936"/>
          <c:h val="0.323886669591522"/>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b1e2d5b3-2e0b-4b7e-aee6-79f051b52d34}"/>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927</Words>
  <Characters>2497</Characters>
  <Lines>44</Lines>
  <Paragraphs>12</Paragraphs>
  <TotalTime>3</TotalTime>
  <ScaleCrop>false</ScaleCrop>
  <LinksUpToDate>false</LinksUpToDate>
  <CharactersWithSpaces>2530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Just Do It</cp:lastModifiedBy>
  <cp:lastPrinted>2025-10-27T23:39:00Z</cp:lastPrinted>
  <dcterms:modified xsi:type="dcterms:W3CDTF">2025-10-28T08:03:56Z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04787F2533EB45DC91BCDE4AB213247F</vt:lpwstr>
  </property>
</Properties>
</file>