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A3BE0">
      <w:pPr>
        <w:pStyle w:val="8"/>
        <w:spacing w:before="93"/>
        <w:rPr>
          <w:rFonts w:ascii="Times New Roman" w:eastAsia="方正小标宋简体"/>
          <w:kern w:val="2"/>
          <w:sz w:val="72"/>
          <w:szCs w:val="72"/>
        </w:rPr>
      </w:pPr>
      <w:bookmarkStart w:id="0" w:name="_Toc15377425"/>
      <w:bookmarkStart w:id="1" w:name="_Toc15306267"/>
      <w:bookmarkStart w:id="2" w:name="_Toc15377193"/>
      <w:bookmarkStart w:id="3" w:name="_Toc15396475"/>
      <w:bookmarkStart w:id="4" w:name="_Toc15396597"/>
      <w:bookmarkStart w:id="5" w:name="_Toc15378441"/>
    </w:p>
    <w:p w14:paraId="0C306E11">
      <w:pPr>
        <w:pStyle w:val="8"/>
        <w:spacing w:before="93"/>
        <w:rPr>
          <w:rFonts w:ascii="Times New Roman" w:eastAsia="方正小标宋简体"/>
          <w:kern w:val="2"/>
          <w:sz w:val="72"/>
          <w:szCs w:val="72"/>
        </w:rPr>
      </w:pPr>
    </w:p>
    <w:p w14:paraId="54538D2E">
      <w:pPr>
        <w:pStyle w:val="8"/>
        <w:spacing w:before="93"/>
        <w:rPr>
          <w:rFonts w:ascii="Times New Roman" w:eastAsia="方正小标宋简体"/>
          <w:kern w:val="2"/>
          <w:sz w:val="72"/>
          <w:szCs w:val="72"/>
        </w:rPr>
      </w:pPr>
    </w:p>
    <w:p w14:paraId="0F594E09">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3EAFE945">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盐边县交通运输服务中心单位决算公开编制说明</w:t>
      </w:r>
    </w:p>
    <w:p w14:paraId="001623CE">
      <w:pPr>
        <w:spacing w:line="600" w:lineRule="exact"/>
        <w:jc w:val="center"/>
        <w:outlineLvl w:val="0"/>
        <w:rPr>
          <w:rFonts w:eastAsia="方正小标宋简体"/>
          <w:sz w:val="72"/>
          <w:szCs w:val="72"/>
        </w:rPr>
      </w:pPr>
    </w:p>
    <w:p w14:paraId="116FEC79">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48F3773C"/>
    <w:bookmarkEnd w:id="0"/>
    <w:bookmarkEnd w:id="1"/>
    <w:bookmarkEnd w:id="2"/>
    <w:bookmarkEnd w:id="3"/>
    <w:bookmarkEnd w:id="4"/>
    <w:bookmarkEnd w:id="5"/>
    <w:p w14:paraId="6486C94C">
      <w:pPr>
        <w:widowControl/>
        <w:jc w:val="center"/>
        <w:rPr>
          <w:rFonts w:eastAsia="黑体"/>
          <w:sz w:val="48"/>
          <w:szCs w:val="48"/>
        </w:rPr>
      </w:pPr>
      <w:r>
        <w:rPr>
          <w:rFonts w:hint="eastAsia" w:eastAsia="黑体"/>
          <w:sz w:val="48"/>
          <w:szCs w:val="48"/>
        </w:rPr>
        <w:t>目录</w:t>
      </w:r>
    </w:p>
    <w:p w14:paraId="19439C87">
      <w:pPr>
        <w:widowControl/>
        <w:jc w:val="center"/>
        <w:rPr>
          <w:rFonts w:eastAsia="黑体" w:cstheme="minorBidi"/>
          <w:sz w:val="28"/>
          <w:szCs w:val="28"/>
        </w:rPr>
      </w:pPr>
    </w:p>
    <w:p w14:paraId="7B733477">
      <w:pPr>
        <w:pStyle w:val="13"/>
        <w:rPr>
          <w:rFonts w:ascii="Times New Roman" w:hAnsi="Times New Roman" w:eastAsia="仿宋_GB2312" w:cs="仿宋_GB2312"/>
        </w:rPr>
      </w:pPr>
      <w:r>
        <w:rPr>
          <w:rFonts w:hint="eastAsia" w:ascii="Times New Roman" w:hAnsi="Times New Roman" w:eastAsia="仿宋_GB2312" w:cs="仿宋_GB2312"/>
        </w:rPr>
        <w:t>公开时间：2025年10月 28 日</w:t>
      </w:r>
    </w:p>
    <w:p w14:paraId="7DA8826E">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第一部分 单位概况</w:t>
      </w:r>
      <w:r>
        <w:rPr>
          <w:rFonts w:hint="eastAsia" w:ascii="Times New Roman" w:hAnsi="Times New Roman" w:eastAsia="黑体" w:cs="黑体"/>
          <w:lang w:eastAsia="zh-CN"/>
        </w:rPr>
        <w:t>……………………………………………………（</w:t>
      </w:r>
      <w:r>
        <w:rPr>
          <w:rFonts w:hint="eastAsia" w:ascii="Times New Roman" w:hAnsi="Times New Roman" w:eastAsia="黑体" w:cs="黑体"/>
          <w:lang w:val="en-US" w:eastAsia="zh-CN"/>
        </w:rPr>
        <w:t>1</w:t>
      </w:r>
      <w:r>
        <w:rPr>
          <w:rFonts w:hint="eastAsia" w:ascii="Times New Roman" w:hAnsi="Times New Roman" w:eastAsia="黑体" w:cs="黑体"/>
          <w:lang w:eastAsia="zh-CN"/>
        </w:rPr>
        <w:t>）</w:t>
      </w:r>
    </w:p>
    <w:p w14:paraId="1E8E6147">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一、主要职责</w:t>
      </w:r>
      <w:r>
        <w:rPr>
          <w:rFonts w:hint="eastAsia" w:eastAsia="黑体" w:cs="黑体"/>
          <w:lang w:eastAsia="zh-CN"/>
        </w:rPr>
        <w:t>…………………………………………………………………………（</w:t>
      </w:r>
      <w:r>
        <w:rPr>
          <w:rFonts w:hint="eastAsia" w:eastAsia="黑体" w:cs="黑体"/>
          <w:lang w:val="en-US" w:eastAsia="zh-CN"/>
        </w:rPr>
        <w:t>1</w:t>
      </w:r>
      <w:r>
        <w:rPr>
          <w:rFonts w:hint="eastAsia" w:eastAsia="黑体" w:cs="黑体"/>
          <w:lang w:eastAsia="zh-CN"/>
        </w:rPr>
        <w:t>）</w:t>
      </w:r>
    </w:p>
    <w:p w14:paraId="102C1556">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eastAsia" w:eastAsia="黑体" w:cs="黑体"/>
          <w:lang w:eastAsia="zh-CN"/>
        </w:rPr>
        <w:t>…………………………………………………………………………（</w:t>
      </w:r>
      <w:r>
        <w:rPr>
          <w:rFonts w:hint="eastAsia" w:eastAsia="黑体" w:cs="黑体"/>
          <w:lang w:val="en-US" w:eastAsia="zh-CN"/>
        </w:rPr>
        <w:t>1</w:t>
      </w:r>
      <w:r>
        <w:rPr>
          <w:rFonts w:hint="eastAsia" w:eastAsia="黑体" w:cs="黑体"/>
          <w:lang w:eastAsia="zh-CN"/>
        </w:rPr>
        <w:t>）</w:t>
      </w:r>
    </w:p>
    <w:p w14:paraId="4463472E">
      <w:pPr>
        <w:pStyle w:val="13"/>
        <w:adjustRightInd w:val="0"/>
        <w:snapToGrid w:val="0"/>
        <w:spacing w:before="0" w:line="560" w:lineRule="exact"/>
        <w:jc w:val="left"/>
        <w:rPr>
          <w:rFonts w:hint="eastAsia" w:ascii="Times New Roman" w:hAnsi="Times New Roman" w:eastAsia="黑体" w:cs="仿宋_GB2312"/>
          <w:lang w:eastAsia="zh-CN"/>
        </w:rPr>
      </w:pPr>
      <w:r>
        <w:rPr>
          <w:rFonts w:hint="eastAsia" w:ascii="Times New Roman" w:hAnsi="Times New Roman" w:eastAsia="黑体" w:cs="黑体"/>
        </w:rPr>
        <w:t>第二部分 2024年度部门决算情况说明</w:t>
      </w:r>
      <w:r>
        <w:rPr>
          <w:rFonts w:hint="eastAsia" w:ascii="Times New Roman" w:hAnsi="Times New Roman" w:eastAsia="黑体" w:cs="黑体"/>
          <w:lang w:eastAsia="zh-CN"/>
        </w:rPr>
        <w:t>………………………………（</w:t>
      </w:r>
      <w:r>
        <w:rPr>
          <w:rFonts w:hint="eastAsia" w:ascii="Times New Roman" w:hAnsi="Times New Roman" w:eastAsia="黑体" w:cs="黑体"/>
          <w:lang w:val="en-US" w:eastAsia="zh-CN"/>
        </w:rPr>
        <w:t>2</w:t>
      </w:r>
      <w:r>
        <w:rPr>
          <w:rFonts w:hint="eastAsia" w:ascii="Times New Roman" w:hAnsi="Times New Roman" w:eastAsia="黑体" w:cs="黑体"/>
          <w:lang w:eastAsia="zh-CN"/>
        </w:rPr>
        <w:t>）</w:t>
      </w:r>
    </w:p>
    <w:p w14:paraId="418884FA">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一、收入支出决算总体情况说明</w:t>
      </w:r>
      <w:r>
        <w:rPr>
          <w:rFonts w:hint="eastAsia" w:eastAsia="黑体" w:cs="黑体"/>
          <w:lang w:eastAsia="zh-CN"/>
        </w:rPr>
        <w:t>…………………………………………（</w:t>
      </w:r>
      <w:r>
        <w:rPr>
          <w:rFonts w:hint="eastAsia" w:eastAsia="黑体" w:cs="黑体"/>
          <w:lang w:val="en-US" w:eastAsia="zh-CN"/>
        </w:rPr>
        <w:t>2</w:t>
      </w:r>
      <w:r>
        <w:rPr>
          <w:rFonts w:hint="eastAsia" w:eastAsia="黑体" w:cs="黑体"/>
          <w:lang w:eastAsia="zh-CN"/>
        </w:rPr>
        <w:t>）</w:t>
      </w:r>
    </w:p>
    <w:p w14:paraId="4384AD44">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二、收入决算情况说明</w:t>
      </w:r>
      <w:r>
        <w:rPr>
          <w:rFonts w:hint="eastAsia" w:eastAsia="黑体" w:cs="黑体"/>
          <w:lang w:eastAsia="zh-CN"/>
        </w:rPr>
        <w:t>…………………………………………………………（</w:t>
      </w:r>
      <w:r>
        <w:rPr>
          <w:rFonts w:hint="eastAsia" w:eastAsia="黑体" w:cs="黑体"/>
          <w:lang w:val="en-US" w:eastAsia="zh-CN"/>
        </w:rPr>
        <w:t>2</w:t>
      </w:r>
      <w:r>
        <w:rPr>
          <w:rFonts w:hint="eastAsia" w:eastAsia="黑体" w:cs="黑体"/>
          <w:lang w:eastAsia="zh-CN"/>
        </w:rPr>
        <w:t>）</w:t>
      </w:r>
    </w:p>
    <w:p w14:paraId="0916D4C8">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三、支出决算情况说明</w:t>
      </w:r>
      <w:r>
        <w:rPr>
          <w:rFonts w:hint="eastAsia" w:eastAsia="黑体" w:cs="黑体"/>
          <w:lang w:eastAsia="zh-CN"/>
        </w:rPr>
        <w:t>…………………………………………………………（</w:t>
      </w:r>
      <w:r>
        <w:rPr>
          <w:rFonts w:hint="eastAsia" w:eastAsia="黑体" w:cs="黑体"/>
          <w:lang w:val="en-US" w:eastAsia="zh-CN"/>
        </w:rPr>
        <w:t>3</w:t>
      </w:r>
      <w:r>
        <w:rPr>
          <w:rFonts w:hint="eastAsia" w:eastAsia="黑体" w:cs="黑体"/>
          <w:lang w:eastAsia="zh-CN"/>
        </w:rPr>
        <w:t>）</w:t>
      </w:r>
    </w:p>
    <w:p w14:paraId="61737E7C">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四、财政拨款收入支出决算总体情况说明</w:t>
      </w:r>
      <w:r>
        <w:rPr>
          <w:rFonts w:hint="eastAsia" w:eastAsia="黑体" w:cs="黑体"/>
          <w:lang w:eastAsia="zh-CN"/>
        </w:rPr>
        <w:t>………………………………（</w:t>
      </w:r>
      <w:r>
        <w:rPr>
          <w:rFonts w:hint="eastAsia" w:eastAsia="黑体" w:cs="黑体"/>
          <w:lang w:val="en-US" w:eastAsia="zh-CN"/>
        </w:rPr>
        <w:t>4</w:t>
      </w:r>
      <w:r>
        <w:rPr>
          <w:rFonts w:hint="eastAsia" w:eastAsia="黑体" w:cs="黑体"/>
          <w:lang w:eastAsia="zh-CN"/>
        </w:rPr>
        <w:t>）</w:t>
      </w:r>
    </w:p>
    <w:p w14:paraId="7FA62894">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五、一般公共预算财政拨款支出决算情况说明</w:t>
      </w:r>
      <w:r>
        <w:rPr>
          <w:rFonts w:hint="eastAsia" w:eastAsia="黑体" w:cs="黑体"/>
          <w:lang w:eastAsia="zh-CN"/>
        </w:rPr>
        <w:t>………………………（</w:t>
      </w:r>
      <w:r>
        <w:rPr>
          <w:rFonts w:hint="eastAsia" w:eastAsia="黑体" w:cs="黑体"/>
          <w:lang w:val="en-US" w:eastAsia="zh-CN"/>
        </w:rPr>
        <w:t>4</w:t>
      </w:r>
      <w:r>
        <w:rPr>
          <w:rFonts w:hint="eastAsia" w:eastAsia="黑体" w:cs="黑体"/>
          <w:lang w:eastAsia="zh-CN"/>
        </w:rPr>
        <w:t>）</w:t>
      </w:r>
    </w:p>
    <w:p w14:paraId="7DA94F05">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六、一般公共预算财政拨款基本支出决算情况说明</w:t>
      </w:r>
      <w:r>
        <w:rPr>
          <w:rFonts w:hint="eastAsia" w:eastAsia="黑体" w:cs="黑体"/>
          <w:lang w:eastAsia="zh-CN"/>
        </w:rPr>
        <w:t>………………（</w:t>
      </w:r>
      <w:r>
        <w:rPr>
          <w:rFonts w:hint="eastAsia" w:eastAsia="黑体" w:cs="黑体"/>
          <w:lang w:val="en-US" w:eastAsia="zh-CN"/>
        </w:rPr>
        <w:t>7</w:t>
      </w:r>
      <w:r>
        <w:rPr>
          <w:rFonts w:hint="eastAsia" w:eastAsia="黑体" w:cs="黑体"/>
          <w:lang w:eastAsia="zh-CN"/>
        </w:rPr>
        <w:t>）</w:t>
      </w:r>
    </w:p>
    <w:p w14:paraId="0D2634EA">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七、财政拨款“三公”经费支出决算情况说明</w:t>
      </w:r>
      <w:r>
        <w:rPr>
          <w:rFonts w:hint="eastAsia" w:eastAsia="黑体" w:cs="黑体"/>
          <w:lang w:eastAsia="zh-CN"/>
        </w:rPr>
        <w:t>………………………（</w:t>
      </w:r>
      <w:r>
        <w:rPr>
          <w:rFonts w:hint="eastAsia" w:eastAsia="黑体" w:cs="黑体"/>
          <w:lang w:val="en-US" w:eastAsia="zh-CN"/>
        </w:rPr>
        <w:t>7</w:t>
      </w:r>
      <w:r>
        <w:rPr>
          <w:rFonts w:hint="eastAsia" w:eastAsia="黑体" w:cs="黑体"/>
          <w:lang w:eastAsia="zh-CN"/>
        </w:rPr>
        <w:t>）</w:t>
      </w:r>
    </w:p>
    <w:p w14:paraId="12B05691">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八、政府性基金预算支出决算情况说明</w:t>
      </w:r>
      <w:r>
        <w:rPr>
          <w:rFonts w:hint="eastAsia" w:eastAsia="黑体" w:cs="黑体"/>
          <w:lang w:eastAsia="zh-CN"/>
        </w:rPr>
        <w:t>…………………………………（</w:t>
      </w:r>
      <w:r>
        <w:rPr>
          <w:rFonts w:hint="eastAsia" w:eastAsia="黑体" w:cs="黑体"/>
          <w:lang w:val="en-US" w:eastAsia="zh-CN"/>
        </w:rPr>
        <w:t>9</w:t>
      </w:r>
      <w:r>
        <w:rPr>
          <w:rFonts w:hint="eastAsia" w:eastAsia="黑体" w:cs="黑体"/>
          <w:lang w:eastAsia="zh-CN"/>
        </w:rPr>
        <w:t>）</w:t>
      </w:r>
    </w:p>
    <w:p w14:paraId="215367A0">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九、国有资本经营预算支出决算情况说明</w:t>
      </w:r>
      <w:r>
        <w:rPr>
          <w:rFonts w:hint="eastAsia" w:eastAsia="黑体" w:cs="黑体"/>
          <w:lang w:eastAsia="zh-CN"/>
        </w:rPr>
        <w:t>………………………………（</w:t>
      </w:r>
      <w:r>
        <w:rPr>
          <w:rFonts w:hint="eastAsia" w:eastAsia="黑体" w:cs="黑体"/>
          <w:lang w:val="en-US" w:eastAsia="zh-CN"/>
        </w:rPr>
        <w:t>9</w:t>
      </w:r>
      <w:r>
        <w:rPr>
          <w:rFonts w:hint="eastAsia" w:eastAsia="黑体" w:cs="黑体"/>
          <w:lang w:eastAsia="zh-CN"/>
        </w:rPr>
        <w:t>）</w:t>
      </w:r>
    </w:p>
    <w:p w14:paraId="52C47289">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十、其他重要事项的情况说明</w:t>
      </w:r>
      <w:r>
        <w:rPr>
          <w:rFonts w:hint="eastAsia" w:eastAsia="黑体" w:cs="黑体"/>
          <w:lang w:eastAsia="zh-CN"/>
        </w:rPr>
        <w:t>………………………………………………（</w:t>
      </w:r>
      <w:r>
        <w:rPr>
          <w:rFonts w:hint="eastAsia" w:eastAsia="黑体" w:cs="黑体"/>
          <w:lang w:val="en-US" w:eastAsia="zh-CN"/>
        </w:rPr>
        <w:t>9</w:t>
      </w:r>
      <w:r>
        <w:rPr>
          <w:rFonts w:hint="eastAsia" w:eastAsia="黑体" w:cs="黑体"/>
          <w:lang w:eastAsia="zh-CN"/>
        </w:rPr>
        <w:t>）</w:t>
      </w:r>
    </w:p>
    <w:p w14:paraId="5B2B8722">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第三部分 名词解释</w:t>
      </w:r>
      <w:r>
        <w:rPr>
          <w:rFonts w:hint="eastAsia" w:ascii="Times New Roman" w:hAnsi="Times New Roman" w:eastAsia="黑体" w:cs="黑体"/>
          <w:lang w:eastAsia="zh-CN"/>
        </w:rPr>
        <w:t>…………………………………………………（</w:t>
      </w:r>
      <w:r>
        <w:rPr>
          <w:rFonts w:hint="eastAsia" w:ascii="Times New Roman" w:hAnsi="Times New Roman" w:eastAsia="黑体" w:cs="黑体"/>
          <w:lang w:val="en-US" w:eastAsia="zh-CN"/>
        </w:rPr>
        <w:t>11</w:t>
      </w:r>
      <w:r>
        <w:rPr>
          <w:rFonts w:hint="eastAsia" w:ascii="Times New Roman" w:hAnsi="Times New Roman" w:eastAsia="黑体" w:cs="黑体"/>
          <w:lang w:eastAsia="zh-CN"/>
        </w:rPr>
        <w:t>）</w:t>
      </w:r>
    </w:p>
    <w:p w14:paraId="77698021">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第四部分 附件</w:t>
      </w:r>
      <w:r>
        <w:rPr>
          <w:rFonts w:hint="eastAsia" w:ascii="Times New Roman" w:hAnsi="Times New Roman" w:eastAsia="黑体" w:cs="黑体"/>
          <w:lang w:eastAsia="zh-CN"/>
        </w:rPr>
        <w:t>………………………………………………………（</w:t>
      </w:r>
      <w:r>
        <w:rPr>
          <w:rFonts w:hint="eastAsia" w:ascii="Times New Roman" w:hAnsi="Times New Roman" w:eastAsia="黑体" w:cs="黑体"/>
          <w:lang w:val="en-US" w:eastAsia="zh-CN"/>
        </w:rPr>
        <w:t>14</w:t>
      </w:r>
      <w:r>
        <w:rPr>
          <w:rFonts w:hint="eastAsia" w:ascii="Times New Roman" w:hAnsi="Times New Roman" w:eastAsia="黑体" w:cs="黑体"/>
          <w:lang w:eastAsia="zh-CN"/>
        </w:rPr>
        <w:t>）</w:t>
      </w:r>
    </w:p>
    <w:p w14:paraId="30677C88">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第五部分 附表</w:t>
      </w:r>
      <w:r>
        <w:rPr>
          <w:rFonts w:hint="eastAsia" w:ascii="Times New Roman" w:hAnsi="Times New Roman" w:eastAsia="黑体" w:cs="黑体"/>
          <w:lang w:eastAsia="zh-CN"/>
        </w:rPr>
        <w:t>………………………………………………………（</w:t>
      </w:r>
      <w:r>
        <w:rPr>
          <w:rFonts w:hint="eastAsia" w:ascii="Times New Roman" w:hAnsi="Times New Roman" w:eastAsia="黑体" w:cs="黑体"/>
          <w:lang w:val="en-US" w:eastAsia="zh-CN"/>
        </w:rPr>
        <w:t>15</w:t>
      </w:r>
      <w:r>
        <w:rPr>
          <w:rFonts w:hint="eastAsia" w:ascii="Times New Roman" w:hAnsi="Times New Roman" w:eastAsia="黑体" w:cs="黑体"/>
          <w:lang w:eastAsia="zh-CN"/>
        </w:rPr>
        <w:t>）</w:t>
      </w:r>
    </w:p>
    <w:p w14:paraId="7AF6E883">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一、收入支出决算总表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0A9C8BF9">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仿宋_GB2312" w:cs="仿宋_GB2312"/>
          <w:sz w:val="28"/>
          <w:szCs w:val="28"/>
        </w:rPr>
        <w:t>二、收入决算表</w:t>
      </w:r>
      <w:r>
        <w:rPr>
          <w:rFonts w:hint="eastAsia" w:eastAsia="仿宋_GB2312" w:cs="仿宋_GB2312"/>
          <w:sz w:val="28"/>
          <w:szCs w:val="28"/>
          <w:lang w:eastAsia="zh-CN"/>
        </w:rPr>
        <w:t>…………………………………………………（</w:t>
      </w:r>
      <w:r>
        <w:rPr>
          <w:rFonts w:hint="eastAsia" w:eastAsia="仿宋_GB2312" w:cs="仿宋_GB2312"/>
          <w:sz w:val="28"/>
          <w:szCs w:val="28"/>
          <w:lang w:val="en-US" w:eastAsia="zh-CN"/>
        </w:rPr>
        <w:t>15</w:t>
      </w:r>
      <w:r>
        <w:rPr>
          <w:rFonts w:hint="eastAsia" w:eastAsia="仿宋_GB2312" w:cs="仿宋_GB2312"/>
          <w:sz w:val="28"/>
          <w:szCs w:val="28"/>
          <w:lang w:eastAsia="zh-CN"/>
        </w:rPr>
        <w:t>）</w:t>
      </w:r>
    </w:p>
    <w:p w14:paraId="4CB867FF">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三、支出决算表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2829E956">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四、财政拨款收入支出决算总表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20687055">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五、财政拨款支出决算明细表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1489CAED">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六、一般公共预算财政拨款支出决算表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4F544F85">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七、一般公共预算财政拨款支出决算明细表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48394D7A">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八、一般公共预算财政拨款基本支出决算明细表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4C2C55AD">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九、一般公共预算财政拨款项目支出决算表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11C2E9B2">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十、政府性基金预算财政拨款收入支出决算表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2E4DA665">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十一、国有资本经营预算财政拨款收入支出决算表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24B6A57D">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十二、国有资本经营预算财政拨款支出决算表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616CDDBD">
      <w:pPr>
        <w:pStyle w:val="14"/>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十三、财政拨款“三公”经费支出决算表</w:t>
      </w:r>
      <w:r>
        <w:rPr>
          <w:rFonts w:hint="eastAsia" w:eastAsia="黑体" w:cs="黑体"/>
          <w:lang w:eastAsia="zh-CN"/>
        </w:rPr>
        <w:t>………………………………（</w:t>
      </w:r>
      <w:r>
        <w:rPr>
          <w:rFonts w:hint="eastAsia" w:eastAsia="黑体" w:cs="黑体"/>
          <w:lang w:val="en-US" w:eastAsia="zh-CN"/>
        </w:rPr>
        <w:t>15</w:t>
      </w:r>
      <w:r>
        <w:rPr>
          <w:rFonts w:hint="eastAsia" w:eastAsia="黑体" w:cs="黑体"/>
          <w:lang w:eastAsia="zh-CN"/>
        </w:rPr>
        <w:t>）</w:t>
      </w:r>
    </w:p>
    <w:p w14:paraId="6A171623">
      <w:pPr>
        <w:pStyle w:val="5"/>
        <w:jc w:val="center"/>
        <w:rPr>
          <w:rFonts w:hint="eastAsia" w:eastAsia="方正小标宋简体" w:cs="方正小标宋简体"/>
          <w:b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14:paraId="08FAAD02">
      <w:pPr>
        <w:pStyle w:val="5"/>
        <w:jc w:val="center"/>
        <w:rPr>
          <w:rFonts w:eastAsia="方正小标宋简体" w:cs="方正小标宋简体"/>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4D11D312">
      <w:pPr>
        <w:pStyle w:val="6"/>
        <w:numPr>
          <w:ilvl w:val="0"/>
          <w:numId w:val="1"/>
        </w:numPr>
        <w:rPr>
          <w:rFonts w:hint="eastAsia" w:ascii="Times New Roman" w:hAnsi="Times New Roman" w:eastAsia="黑体"/>
          <w:b w:val="0"/>
        </w:rPr>
      </w:pPr>
      <w:r>
        <w:rPr>
          <w:rFonts w:hint="eastAsia" w:ascii="Times New Roman" w:hAnsi="Times New Roman" w:eastAsia="黑体"/>
          <w:b w:val="0"/>
        </w:rPr>
        <w:t>主要职责</w:t>
      </w:r>
    </w:p>
    <w:p w14:paraId="08FAD372">
      <w:pPr>
        <w:spacing w:line="600" w:lineRule="exact"/>
        <w:ind w:firstLine="210" w:firstLineChars="100"/>
        <w:rPr>
          <w:rFonts w:ascii="仿宋_GB2312" w:hAnsi="仿宋_GB2312" w:eastAsia="仿宋_GB2312" w:cs="仿宋_GB2312"/>
          <w:sz w:val="32"/>
          <w:szCs w:val="32"/>
        </w:rPr>
      </w:pPr>
      <w:r>
        <w:rPr>
          <w:rFonts w:hint="eastAsia"/>
        </w:rPr>
        <w:t xml:space="preserve">  </w:t>
      </w:r>
      <w:r>
        <w:rPr>
          <w:rFonts w:hint="eastAsia" w:ascii="仿宋_GB2312" w:hAnsi="仿宋" w:eastAsia="仿宋_GB2312"/>
          <w:sz w:val="32"/>
          <w:szCs w:val="32"/>
        </w:rPr>
        <w:t>（1）</w:t>
      </w:r>
      <w:r>
        <w:rPr>
          <w:rFonts w:hint="eastAsia" w:ascii="仿宋_GB2312" w:hAnsi="仿宋_GB2312" w:eastAsia="仿宋_GB2312" w:cs="仿宋_GB2312"/>
          <w:sz w:val="32"/>
          <w:szCs w:val="32"/>
        </w:rPr>
        <w:t>贯彻落实国家和省、市、县有关道路运输的方针政策和法律法规，参与拟订地方性行业政策、标准并协助实施。</w:t>
      </w:r>
    </w:p>
    <w:p w14:paraId="28CF4E38">
      <w:pPr>
        <w:spacing w:line="600" w:lineRule="exact"/>
        <w:ind w:firstLine="320" w:firstLineChars="100"/>
        <w:rPr>
          <w:rFonts w:ascii="仿宋_GB2312" w:hAnsi="仿宋_GB2312" w:eastAsia="仿宋_GB2312" w:cs="仿宋_GB2312"/>
          <w:sz w:val="32"/>
          <w:szCs w:val="32"/>
        </w:rPr>
      </w:pPr>
      <w:r>
        <w:rPr>
          <w:rFonts w:hint="eastAsia" w:ascii="仿宋_GB2312" w:hAnsi="仿宋" w:eastAsia="仿宋_GB2312"/>
          <w:sz w:val="32"/>
          <w:szCs w:val="32"/>
        </w:rPr>
        <w:t>（2）</w:t>
      </w:r>
      <w:r>
        <w:rPr>
          <w:rFonts w:hint="eastAsia" w:ascii="仿宋_GB2312" w:hAnsi="仿宋_GB2312" w:eastAsia="仿宋_GB2312" w:cs="仿宋_GB2312"/>
          <w:sz w:val="32"/>
          <w:szCs w:val="32"/>
        </w:rPr>
        <w:t>参与编制、修订全县道路运输行业发展规划、中长期计划并协助实施。</w:t>
      </w:r>
    </w:p>
    <w:p w14:paraId="6C5CCEF9">
      <w:pPr>
        <w:spacing w:line="600" w:lineRule="exact"/>
        <w:ind w:firstLine="320" w:firstLineChars="100"/>
        <w:rPr>
          <w:rFonts w:ascii="仿宋_GB2312" w:hAnsi="仿宋_GB2312" w:eastAsia="仿宋_GB2312" w:cs="仿宋_GB2312"/>
          <w:sz w:val="32"/>
          <w:szCs w:val="32"/>
        </w:rPr>
      </w:pPr>
      <w:r>
        <w:rPr>
          <w:rFonts w:hint="eastAsia" w:ascii="仿宋_GB2312" w:hAnsi="仿宋" w:eastAsia="仿宋_GB2312"/>
          <w:sz w:val="32"/>
          <w:szCs w:val="32"/>
        </w:rPr>
        <w:t>（3）</w:t>
      </w:r>
      <w:r>
        <w:rPr>
          <w:rFonts w:hint="eastAsia" w:ascii="仿宋_GB2312" w:hAnsi="仿宋_GB2312" w:eastAsia="仿宋_GB2312" w:cs="仿宋_GB2312"/>
          <w:sz w:val="32"/>
          <w:szCs w:val="32"/>
        </w:rPr>
        <w:t>承担全县道路旅客运输、城市公交客运、出租汽车客运、道路货物运输、道路运输站场、机动车维修和驾驶员培训等行业监督管理的行政辅助工作。</w:t>
      </w:r>
    </w:p>
    <w:p w14:paraId="354627CF">
      <w:pPr>
        <w:spacing w:line="600" w:lineRule="exact"/>
        <w:ind w:firstLine="320" w:firstLineChars="100"/>
        <w:rPr>
          <w:rFonts w:ascii="仿宋_GB2312" w:hAnsi="仿宋_GB2312" w:eastAsia="仿宋_GB2312" w:cs="仿宋_GB2312"/>
          <w:sz w:val="32"/>
          <w:szCs w:val="32"/>
        </w:rPr>
      </w:pPr>
      <w:r>
        <w:rPr>
          <w:rFonts w:hint="eastAsia" w:ascii="仿宋_GB2312" w:hAnsi="仿宋" w:eastAsia="仿宋_GB2312"/>
          <w:sz w:val="32"/>
          <w:szCs w:val="32"/>
        </w:rPr>
        <w:t>（4）</w:t>
      </w:r>
      <w:r>
        <w:rPr>
          <w:rFonts w:hint="eastAsia" w:ascii="仿宋_GB2312" w:hAnsi="仿宋_GB2312" w:eastAsia="仿宋_GB2312" w:cs="仿宋_GB2312"/>
          <w:sz w:val="32"/>
          <w:szCs w:val="32"/>
        </w:rPr>
        <w:t>承担全县道路运输企业源头安全、环保监督管理的行政辅助工作。</w:t>
      </w:r>
    </w:p>
    <w:p w14:paraId="75BF78CD">
      <w:pPr>
        <w:spacing w:line="600" w:lineRule="exact"/>
        <w:ind w:firstLine="320" w:firstLineChars="100"/>
        <w:rPr>
          <w:rFonts w:ascii="仿宋_GB2312" w:hAnsi="仿宋_GB2312" w:eastAsia="仿宋_GB2312" w:cs="仿宋_GB2312"/>
          <w:sz w:val="32"/>
          <w:szCs w:val="32"/>
        </w:rPr>
      </w:pPr>
      <w:r>
        <w:rPr>
          <w:rFonts w:hint="eastAsia" w:ascii="仿宋_GB2312" w:hAnsi="仿宋" w:eastAsia="仿宋_GB2312"/>
          <w:sz w:val="32"/>
          <w:szCs w:val="32"/>
        </w:rPr>
        <w:t>（5）</w:t>
      </w:r>
      <w:r>
        <w:rPr>
          <w:rFonts w:hint="eastAsia" w:ascii="仿宋_GB2312" w:hAnsi="仿宋_GB2312" w:eastAsia="仿宋_GB2312" w:cs="仿宋_GB2312"/>
          <w:sz w:val="32"/>
          <w:szCs w:val="32"/>
        </w:rPr>
        <w:t>承担全县道路运输行业市场运行情况监测、统计分析、信用体系建设指导和节能减排的行政辅助工作。</w:t>
      </w:r>
    </w:p>
    <w:p w14:paraId="64BB5697">
      <w:pPr>
        <w:spacing w:line="600" w:lineRule="exact"/>
        <w:ind w:firstLine="320" w:firstLineChars="100"/>
        <w:rPr>
          <w:rFonts w:ascii="仿宋_GB2312" w:hAnsi="仿宋_GB2312" w:eastAsia="仿宋_GB2312" w:cs="仿宋_GB2312"/>
          <w:sz w:val="32"/>
          <w:szCs w:val="32"/>
        </w:rPr>
      </w:pPr>
      <w:r>
        <w:rPr>
          <w:rFonts w:hint="eastAsia" w:ascii="仿宋_GB2312" w:hAnsi="仿宋" w:eastAsia="仿宋_GB2312"/>
          <w:sz w:val="32"/>
          <w:szCs w:val="32"/>
        </w:rPr>
        <w:t>（6）</w:t>
      </w:r>
      <w:r>
        <w:rPr>
          <w:rFonts w:hint="eastAsia" w:ascii="仿宋_GB2312" w:hAnsi="仿宋_GB2312" w:eastAsia="仿宋_GB2312" w:cs="仿宋_GB2312"/>
          <w:sz w:val="32"/>
          <w:szCs w:val="32"/>
        </w:rPr>
        <w:t>协助实施交通战备、抢险救灾等人员和重点物资应急运输保障工作。</w:t>
      </w:r>
    </w:p>
    <w:p w14:paraId="0A35DF61">
      <w:pPr>
        <w:spacing w:line="600" w:lineRule="exact"/>
        <w:ind w:firstLine="320" w:firstLineChars="100"/>
        <w:rPr>
          <w:rFonts w:eastAsia="方正楷体_GBK"/>
          <w:b/>
          <w:bCs/>
          <w:sz w:val="33"/>
          <w:szCs w:val="33"/>
        </w:rPr>
      </w:pPr>
      <w:r>
        <w:rPr>
          <w:rFonts w:hint="eastAsia" w:ascii="仿宋_GB2312" w:hAnsi="仿宋" w:eastAsia="仿宋_GB2312"/>
          <w:sz w:val="32"/>
          <w:szCs w:val="32"/>
        </w:rPr>
        <w:t>（7）</w:t>
      </w:r>
      <w:r>
        <w:rPr>
          <w:rFonts w:hint="eastAsia" w:ascii="仿宋_GB2312" w:hAnsi="仿宋_GB2312" w:eastAsia="仿宋_GB2312" w:cs="仿宋_GB2312"/>
          <w:sz w:val="32"/>
          <w:szCs w:val="32"/>
        </w:rPr>
        <w:t>完成县交通运输局交办的其他事项。</w:t>
      </w:r>
    </w:p>
    <w:p w14:paraId="4BEF0302">
      <w:pPr>
        <w:pStyle w:val="6"/>
        <w:rPr>
          <w:rStyle w:val="29"/>
          <w:rFonts w:ascii="Times New Roman" w:hAnsi="Times New Roman" w:eastAsia="黑体"/>
          <w:b w:val="0"/>
          <w:bCs w:val="0"/>
        </w:rPr>
      </w:pPr>
      <w:bookmarkStart w:id="8" w:name="_Toc15396601"/>
      <w:bookmarkStart w:id="9"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6EB782E9">
      <w:pPr>
        <w:pStyle w:val="35"/>
        <w:spacing w:line="600" w:lineRule="exact"/>
        <w:ind w:firstLine="420"/>
        <w:rPr>
          <w:rFonts w:hint="eastAsia"/>
        </w:rPr>
      </w:pPr>
      <w:r>
        <w:rPr>
          <w:rFonts w:hint="eastAsia" w:eastAsia="黑体"/>
        </w:rPr>
        <w:t xml:space="preserve">   </w:t>
      </w:r>
      <w:r>
        <w:rPr>
          <w:rFonts w:hint="eastAsia" w:ascii="仿宋_GB2312" w:hAnsi="仿宋" w:eastAsia="仿宋_GB2312"/>
          <w:sz w:val="32"/>
          <w:szCs w:val="32"/>
        </w:rPr>
        <w:t>盐边县交通运输服务中心为参照公务员法管理的事业单位1个。</w:t>
      </w:r>
    </w:p>
    <w:p w14:paraId="26AB9FB9">
      <w:pPr>
        <w:rPr>
          <w:rFonts w:eastAsia="黑体"/>
        </w:rPr>
      </w:pPr>
    </w:p>
    <w:p w14:paraId="2AF1241D">
      <w:pPr>
        <w:pStyle w:val="2"/>
      </w:pPr>
    </w:p>
    <w:p w14:paraId="00DB0E32">
      <w:pPr>
        <w:pStyle w:val="3"/>
        <w:ind w:left="420"/>
      </w:pPr>
    </w:p>
    <w:p w14:paraId="51959DA5">
      <w:pPr>
        <w:pStyle w:val="5"/>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501E1E40"/>
    <w:p w14:paraId="3CA5E9FB">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62827097">
      <w:pPr>
        <w:pStyle w:val="27"/>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218.39</w:t>
      </w:r>
      <w:r>
        <w:rPr>
          <w:rFonts w:hint="eastAsia" w:eastAsia="仿宋_GB2312" w:cs="仿宋_GB2312"/>
          <w:sz w:val="32"/>
          <w:szCs w:val="32"/>
        </w:rPr>
        <w:t>万元。与2023年度相比，收入、支出总计各减少25.3万元，下降10.38%。主要变动原因是2024年减少了项目资金支出。</w:t>
      </w:r>
    </w:p>
    <w:p w14:paraId="5FD7F286">
      <w:pPr>
        <w:pStyle w:val="27"/>
        <w:spacing w:line="600" w:lineRule="exact"/>
        <w:ind w:firstLine="640"/>
        <w:outlineLvl w:val="1"/>
        <w:rPr>
          <w:rFonts w:hint="eastAsia" w:eastAsia="仿宋_GB2312" w:cs="仿宋_GB2312"/>
          <w:sz w:val="32"/>
          <w:szCs w:val="32"/>
        </w:rPr>
      </w:pPr>
      <w:r>
        <w:rPr>
          <w:rFonts w:hint="eastAsia" w:eastAsia="仿宋_GB2312" w:cs="仿宋_GB2312"/>
          <w:sz w:val="32"/>
          <w:szCs w:val="32"/>
        </w:rPr>
        <w:drawing>
          <wp:anchor distT="0" distB="0" distL="114300" distR="114300" simplePos="0" relativeHeight="251659264" behindDoc="1" locked="0" layoutInCell="1" allowOverlap="1">
            <wp:simplePos x="0" y="0"/>
            <wp:positionH relativeFrom="column">
              <wp:posOffset>114300</wp:posOffset>
            </wp:positionH>
            <wp:positionV relativeFrom="paragraph">
              <wp:posOffset>80010</wp:posOffset>
            </wp:positionV>
            <wp:extent cx="5524500" cy="34112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24500" cy="3411220"/>
                    </a:xfrm>
                    <a:prstGeom prst="rect">
                      <a:avLst/>
                    </a:prstGeom>
                    <a:noFill/>
                    <a:ln>
                      <a:noFill/>
                    </a:ln>
                  </pic:spPr>
                </pic:pic>
              </a:graphicData>
            </a:graphic>
          </wp:anchor>
        </w:drawing>
      </w:r>
    </w:p>
    <w:p w14:paraId="74A9CD21">
      <w:pPr>
        <w:pStyle w:val="27"/>
        <w:spacing w:line="600" w:lineRule="exact"/>
        <w:ind w:firstLine="640"/>
        <w:outlineLvl w:val="1"/>
        <w:rPr>
          <w:rFonts w:hint="eastAsia" w:eastAsia="仿宋_GB2312" w:cs="仿宋_GB2312"/>
          <w:sz w:val="32"/>
          <w:szCs w:val="32"/>
        </w:rPr>
      </w:pPr>
    </w:p>
    <w:p w14:paraId="43C4CF4B">
      <w:pPr>
        <w:pStyle w:val="27"/>
        <w:spacing w:line="600" w:lineRule="exact"/>
        <w:ind w:firstLine="640"/>
        <w:outlineLvl w:val="1"/>
        <w:rPr>
          <w:rFonts w:hint="eastAsia" w:eastAsia="仿宋_GB2312" w:cs="仿宋_GB2312"/>
          <w:sz w:val="32"/>
          <w:szCs w:val="32"/>
        </w:rPr>
      </w:pPr>
    </w:p>
    <w:p w14:paraId="7760EF47">
      <w:pPr>
        <w:pStyle w:val="27"/>
        <w:spacing w:line="600" w:lineRule="exact"/>
        <w:ind w:firstLine="640"/>
        <w:outlineLvl w:val="1"/>
        <w:rPr>
          <w:rFonts w:hint="eastAsia" w:eastAsia="仿宋_GB2312" w:cs="仿宋_GB2312"/>
          <w:sz w:val="32"/>
          <w:szCs w:val="32"/>
        </w:rPr>
      </w:pPr>
    </w:p>
    <w:p w14:paraId="0C05587A">
      <w:pPr>
        <w:pStyle w:val="27"/>
        <w:spacing w:line="600" w:lineRule="exact"/>
        <w:ind w:firstLine="640"/>
        <w:outlineLvl w:val="1"/>
        <w:rPr>
          <w:rFonts w:hint="eastAsia" w:eastAsia="仿宋_GB2312" w:cs="仿宋_GB2312"/>
          <w:sz w:val="32"/>
          <w:szCs w:val="32"/>
        </w:rPr>
      </w:pPr>
    </w:p>
    <w:p w14:paraId="617F0144">
      <w:pPr>
        <w:pStyle w:val="27"/>
        <w:spacing w:line="600" w:lineRule="exact"/>
        <w:ind w:firstLine="640"/>
        <w:outlineLvl w:val="1"/>
        <w:rPr>
          <w:rFonts w:hint="eastAsia" w:eastAsia="仿宋_GB2312" w:cs="仿宋_GB2312"/>
          <w:sz w:val="32"/>
          <w:szCs w:val="32"/>
        </w:rPr>
      </w:pPr>
    </w:p>
    <w:p w14:paraId="1B97FFC8">
      <w:pPr>
        <w:pStyle w:val="27"/>
        <w:spacing w:line="600" w:lineRule="exact"/>
        <w:ind w:firstLine="640"/>
        <w:outlineLvl w:val="1"/>
        <w:rPr>
          <w:rFonts w:hint="eastAsia" w:eastAsia="仿宋_GB2312" w:cs="仿宋_GB2312"/>
          <w:sz w:val="32"/>
          <w:szCs w:val="32"/>
        </w:rPr>
      </w:pPr>
    </w:p>
    <w:p w14:paraId="4C0A4DE4">
      <w:pPr>
        <w:pStyle w:val="27"/>
        <w:spacing w:line="600" w:lineRule="exact"/>
        <w:ind w:firstLine="640"/>
        <w:outlineLvl w:val="1"/>
        <w:rPr>
          <w:rFonts w:hint="eastAsia" w:eastAsia="仿宋_GB2312" w:cs="仿宋_GB2312"/>
          <w:sz w:val="32"/>
          <w:szCs w:val="32"/>
        </w:rPr>
      </w:pPr>
    </w:p>
    <w:p w14:paraId="302055CA">
      <w:pPr>
        <w:spacing w:line="600" w:lineRule="exact"/>
        <w:outlineLvl w:val="1"/>
        <w:rPr>
          <w:rFonts w:eastAsia="仿宋_GB2312" w:cs="仿宋_GB2312"/>
          <w:sz w:val="32"/>
          <w:szCs w:val="32"/>
        </w:rPr>
      </w:pPr>
    </w:p>
    <w:p w14:paraId="1FEE041B">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402E71AB">
      <w:pPr>
        <w:pStyle w:val="27"/>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0514A5B6">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2024年度本年收入合计218.39万元，其中：一般公共预算财政拨款收入218.39万元，占100%。</w:t>
      </w:r>
    </w:p>
    <w:p w14:paraId="160932F2">
      <w:pPr>
        <w:pStyle w:val="27"/>
        <w:spacing w:line="600" w:lineRule="exact"/>
        <w:ind w:firstLine="640"/>
        <w:jc w:val="left"/>
        <w:outlineLvl w:val="1"/>
        <w:rPr>
          <w:rFonts w:hint="eastAsia" w:ascii="仿宋_GB2312" w:hAnsi="仿宋_GB2312" w:eastAsia="仿宋_GB2312" w:cs="仿宋_GB2312"/>
          <w:sz w:val="32"/>
          <w:szCs w:val="32"/>
        </w:rPr>
      </w:pPr>
    </w:p>
    <w:p w14:paraId="7E3D50B5">
      <w:pPr>
        <w:pStyle w:val="27"/>
        <w:spacing w:line="600" w:lineRule="exact"/>
        <w:ind w:firstLine="640"/>
        <w:jc w:val="left"/>
        <w:outlineLvl w:val="1"/>
        <w:rPr>
          <w:rFonts w:hint="eastAsia" w:ascii="仿宋_GB2312" w:hAnsi="仿宋_GB2312" w:eastAsia="仿宋_GB2312" w:cs="仿宋_GB2312"/>
          <w:sz w:val="32"/>
          <w:szCs w:val="32"/>
        </w:rPr>
      </w:pPr>
    </w:p>
    <w:p w14:paraId="188950F1">
      <w:pPr>
        <w:pStyle w:val="27"/>
        <w:spacing w:line="600" w:lineRule="exact"/>
        <w:ind w:firstLine="640"/>
        <w:jc w:val="left"/>
        <w:outlineLvl w:val="1"/>
        <w:rPr>
          <w:rFonts w:hint="eastAsia" w:ascii="仿宋_GB2312" w:hAnsi="仿宋_GB2312" w:eastAsia="仿宋_GB2312" w:cs="仿宋_GB2312"/>
          <w:sz w:val="32"/>
          <w:szCs w:val="32"/>
        </w:rPr>
      </w:pPr>
    </w:p>
    <w:p w14:paraId="12441805">
      <w:pPr>
        <w:pStyle w:val="27"/>
        <w:spacing w:line="600" w:lineRule="exact"/>
        <w:jc w:val="left"/>
        <w:outlineLvl w:val="1"/>
        <w:rPr>
          <w:rFonts w:hint="eastAsia" w:ascii="仿宋_GB2312" w:hAnsi="仿宋_GB2312" w:eastAsia="仿宋_GB2312" w:cs="仿宋_GB2312"/>
          <w:sz w:val="32"/>
          <w:szCs w:val="32"/>
        </w:rPr>
      </w:pPr>
      <w:r>
        <w:drawing>
          <wp:anchor distT="0" distB="0" distL="114300" distR="114300" simplePos="0" relativeHeight="251660288" behindDoc="1" locked="0" layoutInCell="1" allowOverlap="1">
            <wp:simplePos x="0" y="0"/>
            <wp:positionH relativeFrom="column">
              <wp:posOffset>-47625</wp:posOffset>
            </wp:positionH>
            <wp:positionV relativeFrom="paragraph">
              <wp:posOffset>28575</wp:posOffset>
            </wp:positionV>
            <wp:extent cx="5534025" cy="3181350"/>
            <wp:effectExtent l="0" t="0" r="9525" b="1905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B393947">
      <w:pPr>
        <w:pStyle w:val="27"/>
        <w:spacing w:line="600" w:lineRule="exact"/>
        <w:ind w:firstLine="640"/>
        <w:jc w:val="left"/>
        <w:outlineLvl w:val="1"/>
        <w:rPr>
          <w:rFonts w:hint="eastAsia" w:ascii="仿宋_GB2312" w:hAnsi="仿宋_GB2312" w:eastAsia="仿宋_GB2312" w:cs="仿宋_GB2312"/>
          <w:sz w:val="32"/>
          <w:szCs w:val="32"/>
        </w:rPr>
      </w:pPr>
    </w:p>
    <w:p w14:paraId="60A3B0CB">
      <w:pPr>
        <w:pStyle w:val="27"/>
        <w:spacing w:line="600" w:lineRule="exact"/>
        <w:ind w:firstLine="640"/>
        <w:jc w:val="left"/>
        <w:outlineLvl w:val="1"/>
        <w:rPr>
          <w:rFonts w:hint="eastAsia" w:ascii="仿宋_GB2312" w:hAnsi="仿宋_GB2312" w:eastAsia="仿宋_GB2312" w:cs="仿宋_GB2312"/>
          <w:sz w:val="32"/>
          <w:szCs w:val="32"/>
        </w:rPr>
      </w:pPr>
    </w:p>
    <w:p w14:paraId="7DCD78C5">
      <w:pPr>
        <w:pStyle w:val="27"/>
        <w:spacing w:line="600" w:lineRule="exact"/>
        <w:ind w:firstLine="640"/>
        <w:jc w:val="left"/>
        <w:outlineLvl w:val="1"/>
        <w:rPr>
          <w:rFonts w:hint="eastAsia" w:ascii="仿宋_GB2312" w:hAnsi="仿宋_GB2312" w:eastAsia="仿宋_GB2312" w:cs="仿宋_GB2312"/>
          <w:sz w:val="32"/>
          <w:szCs w:val="32"/>
        </w:rPr>
      </w:pPr>
    </w:p>
    <w:p w14:paraId="0DF3160E">
      <w:pPr>
        <w:pStyle w:val="27"/>
        <w:spacing w:line="600" w:lineRule="exact"/>
        <w:ind w:firstLine="640"/>
        <w:jc w:val="left"/>
        <w:outlineLvl w:val="1"/>
        <w:rPr>
          <w:rFonts w:hint="eastAsia" w:ascii="仿宋_GB2312" w:hAnsi="仿宋_GB2312" w:eastAsia="仿宋_GB2312" w:cs="仿宋_GB2312"/>
          <w:sz w:val="32"/>
          <w:szCs w:val="32"/>
        </w:rPr>
      </w:pPr>
    </w:p>
    <w:p w14:paraId="44007203">
      <w:pPr>
        <w:pStyle w:val="27"/>
        <w:spacing w:line="600" w:lineRule="exact"/>
        <w:ind w:firstLine="640"/>
        <w:jc w:val="left"/>
        <w:outlineLvl w:val="1"/>
        <w:rPr>
          <w:rFonts w:hint="eastAsia" w:ascii="仿宋_GB2312" w:hAnsi="仿宋_GB2312" w:eastAsia="仿宋_GB2312" w:cs="仿宋_GB2312"/>
          <w:sz w:val="32"/>
          <w:szCs w:val="32"/>
        </w:rPr>
      </w:pPr>
    </w:p>
    <w:p w14:paraId="71536BF0">
      <w:pPr>
        <w:pStyle w:val="27"/>
        <w:spacing w:line="600" w:lineRule="exact"/>
        <w:ind w:firstLine="640"/>
        <w:jc w:val="left"/>
        <w:outlineLvl w:val="1"/>
        <w:rPr>
          <w:rFonts w:hint="eastAsia" w:ascii="仿宋_GB2312" w:hAnsi="仿宋_GB2312" w:eastAsia="仿宋_GB2312" w:cs="仿宋_GB2312"/>
          <w:sz w:val="32"/>
          <w:szCs w:val="32"/>
        </w:rPr>
      </w:pPr>
    </w:p>
    <w:p w14:paraId="436B3B9D">
      <w:pPr>
        <w:spacing w:line="600" w:lineRule="exact"/>
        <w:jc w:val="left"/>
        <w:outlineLvl w:val="1"/>
        <w:rPr>
          <w:rFonts w:hint="eastAsia" w:ascii="仿宋_GB2312" w:hAnsi="仿宋_GB2312" w:eastAsia="仿宋_GB2312" w:cs="仿宋_GB2312"/>
          <w:sz w:val="32"/>
          <w:szCs w:val="32"/>
        </w:rPr>
      </w:pPr>
    </w:p>
    <w:p w14:paraId="10CB8949">
      <w:pPr>
        <w:pStyle w:val="2"/>
      </w:pPr>
    </w:p>
    <w:p w14:paraId="108D31BE">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7C5C0A76">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4FF85D65">
      <w:pPr>
        <w:pStyle w:val="27"/>
        <w:spacing w:line="600" w:lineRule="exact"/>
        <w:ind w:firstLine="640"/>
        <w:jc w:val="left"/>
        <w:outlineLvl w:val="1"/>
        <w:rPr>
          <w:rFonts w:hint="eastAsia" w:eastAsia="仿宋_GB2312" w:cs="仿宋_GB2312"/>
          <w:b/>
          <w:bCs/>
          <w:sz w:val="32"/>
          <w:szCs w:val="32"/>
        </w:rPr>
      </w:pPr>
      <w:r>
        <w:rPr>
          <w:rFonts w:hint="eastAsia" w:ascii="仿宋_GB2312" w:hAnsi="仿宋_GB2312" w:eastAsia="仿宋_GB2312" w:cs="仿宋_GB2312"/>
          <w:sz w:val="32"/>
          <w:szCs w:val="32"/>
        </w:rPr>
        <w:t>2024年度本年支出合计218.39万元，其中：基本支出218.39万元，占100%。</w:t>
      </w:r>
    </w:p>
    <w:p w14:paraId="3C02D88A">
      <w:pPr>
        <w:pStyle w:val="27"/>
        <w:tabs>
          <w:tab w:val="center" w:pos="4363"/>
        </w:tabs>
        <w:spacing w:line="600" w:lineRule="exact"/>
        <w:jc w:val="left"/>
        <w:outlineLvl w:val="1"/>
        <w:rPr>
          <w:rFonts w:hint="eastAsia" w:eastAsia="仿宋_GB2312" w:cs="仿宋_GB2312"/>
          <w:b/>
          <w:bCs/>
          <w:sz w:val="32"/>
          <w:szCs w:val="32"/>
        </w:rPr>
      </w:pPr>
      <w:r>
        <w:drawing>
          <wp:anchor distT="0" distB="0" distL="114300" distR="114300" simplePos="0" relativeHeight="251661312" behindDoc="1" locked="0" layoutInCell="1" allowOverlap="1">
            <wp:simplePos x="0" y="0"/>
            <wp:positionH relativeFrom="column">
              <wp:posOffset>-47625</wp:posOffset>
            </wp:positionH>
            <wp:positionV relativeFrom="paragraph">
              <wp:posOffset>148590</wp:posOffset>
            </wp:positionV>
            <wp:extent cx="5648325" cy="3114675"/>
            <wp:effectExtent l="0" t="0" r="9525" b="952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eastAsia="仿宋_GB2312" w:cs="仿宋_GB2312"/>
          <w:b/>
          <w:bCs/>
          <w:sz w:val="32"/>
          <w:szCs w:val="32"/>
        </w:rPr>
        <w:tab/>
      </w:r>
    </w:p>
    <w:p w14:paraId="4DAAFDC3">
      <w:pPr>
        <w:pStyle w:val="27"/>
        <w:spacing w:line="600" w:lineRule="exact"/>
        <w:ind w:firstLine="643"/>
        <w:jc w:val="left"/>
        <w:outlineLvl w:val="1"/>
        <w:rPr>
          <w:rFonts w:hint="eastAsia" w:eastAsia="仿宋_GB2312" w:cs="仿宋_GB2312"/>
          <w:b/>
          <w:bCs/>
          <w:sz w:val="32"/>
          <w:szCs w:val="32"/>
        </w:rPr>
      </w:pPr>
    </w:p>
    <w:p w14:paraId="0E5CA987">
      <w:pPr>
        <w:pStyle w:val="27"/>
        <w:spacing w:line="600" w:lineRule="exact"/>
        <w:ind w:firstLine="643"/>
        <w:jc w:val="left"/>
        <w:outlineLvl w:val="1"/>
        <w:rPr>
          <w:rFonts w:hint="eastAsia" w:eastAsia="仿宋_GB2312" w:cs="仿宋_GB2312"/>
          <w:b/>
          <w:bCs/>
          <w:sz w:val="32"/>
          <w:szCs w:val="32"/>
        </w:rPr>
      </w:pPr>
    </w:p>
    <w:p w14:paraId="7090A536">
      <w:pPr>
        <w:pStyle w:val="27"/>
        <w:spacing w:line="600" w:lineRule="exact"/>
        <w:ind w:firstLine="643"/>
        <w:jc w:val="left"/>
        <w:outlineLvl w:val="1"/>
        <w:rPr>
          <w:rFonts w:hint="eastAsia" w:eastAsia="仿宋_GB2312" w:cs="仿宋_GB2312"/>
          <w:b/>
          <w:bCs/>
          <w:sz w:val="32"/>
          <w:szCs w:val="32"/>
        </w:rPr>
      </w:pPr>
    </w:p>
    <w:p w14:paraId="24565BD8">
      <w:pPr>
        <w:pStyle w:val="27"/>
        <w:spacing w:line="600" w:lineRule="exact"/>
        <w:ind w:firstLine="643"/>
        <w:jc w:val="left"/>
        <w:outlineLvl w:val="1"/>
        <w:rPr>
          <w:rFonts w:hint="eastAsia" w:eastAsia="仿宋_GB2312" w:cs="仿宋_GB2312"/>
          <w:b/>
          <w:bCs/>
          <w:sz w:val="32"/>
          <w:szCs w:val="32"/>
        </w:rPr>
      </w:pPr>
    </w:p>
    <w:p w14:paraId="59FCE874">
      <w:pPr>
        <w:pStyle w:val="27"/>
        <w:spacing w:line="600" w:lineRule="exact"/>
        <w:ind w:firstLine="643"/>
        <w:jc w:val="left"/>
        <w:outlineLvl w:val="1"/>
        <w:rPr>
          <w:rFonts w:hint="eastAsia" w:eastAsia="仿宋_GB2312" w:cs="仿宋_GB2312"/>
          <w:b/>
          <w:bCs/>
          <w:sz w:val="32"/>
          <w:szCs w:val="32"/>
        </w:rPr>
      </w:pPr>
    </w:p>
    <w:p w14:paraId="5195B1F4">
      <w:pPr>
        <w:pStyle w:val="27"/>
        <w:spacing w:line="600" w:lineRule="exact"/>
        <w:ind w:firstLine="643"/>
        <w:jc w:val="left"/>
        <w:outlineLvl w:val="1"/>
        <w:rPr>
          <w:rFonts w:hint="eastAsia" w:eastAsia="仿宋_GB2312" w:cs="仿宋_GB2312"/>
          <w:b/>
          <w:bCs/>
          <w:sz w:val="32"/>
          <w:szCs w:val="32"/>
        </w:rPr>
      </w:pPr>
    </w:p>
    <w:p w14:paraId="45666295">
      <w:pPr>
        <w:pStyle w:val="27"/>
        <w:spacing w:line="600" w:lineRule="exact"/>
        <w:ind w:firstLine="643"/>
        <w:jc w:val="left"/>
        <w:outlineLvl w:val="1"/>
        <w:rPr>
          <w:rFonts w:hint="eastAsia" w:eastAsia="仿宋_GB2312" w:cs="仿宋_GB2312"/>
          <w:b/>
          <w:bCs/>
          <w:sz w:val="32"/>
          <w:szCs w:val="32"/>
        </w:rPr>
      </w:pPr>
    </w:p>
    <w:p w14:paraId="50663CAD">
      <w:pPr>
        <w:pStyle w:val="27"/>
        <w:spacing w:line="600" w:lineRule="exact"/>
        <w:ind w:firstLine="640"/>
        <w:jc w:val="left"/>
        <w:outlineLvl w:val="1"/>
        <w:rPr>
          <w:rFonts w:eastAsia="仿宋_GB2312" w:cs="仿宋_GB2312"/>
          <w:sz w:val="32"/>
          <w:szCs w:val="32"/>
        </w:rPr>
      </w:pPr>
    </w:p>
    <w:p w14:paraId="2C1EF459">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4B464AD5">
      <w:pPr>
        <w:ind w:firstLine="800" w:firstLineChars="250"/>
        <w:rPr>
          <w:rFonts w:eastAsia="仿宋_GB2312" w:cs="仿宋_GB2312"/>
          <w:sz w:val="32"/>
          <w:szCs w:val="32"/>
        </w:rPr>
      </w:pPr>
    </w:p>
    <w:p w14:paraId="251CCE4F">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5A5AF582">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218.39</w:t>
      </w:r>
      <w:r>
        <w:rPr>
          <w:rFonts w:hint="eastAsia" w:eastAsia="仿宋_GB2312" w:cs="仿宋_GB2312"/>
          <w:sz w:val="32"/>
          <w:szCs w:val="32"/>
        </w:rPr>
        <w:t>万元。与2023年度相比，财政拨款收入总计、支出总计各减少25.3万元，下降10.38%。主要变动原因是2024年没有项目资金支出。</w:t>
      </w:r>
    </w:p>
    <w:p w14:paraId="6D198A78">
      <w:pPr>
        <w:pStyle w:val="2"/>
        <w:rPr>
          <w:rFonts w:hint="eastAsia"/>
        </w:rPr>
      </w:pPr>
      <w:r>
        <w:rPr>
          <w:rFonts w:hint="eastAsia"/>
        </w:rPr>
        <w:drawing>
          <wp:anchor distT="0" distB="0" distL="114300" distR="114300" simplePos="0" relativeHeight="251662336" behindDoc="1" locked="0" layoutInCell="1" allowOverlap="1">
            <wp:simplePos x="0" y="0"/>
            <wp:positionH relativeFrom="column">
              <wp:posOffset>0</wp:posOffset>
            </wp:positionH>
            <wp:positionV relativeFrom="paragraph">
              <wp:posOffset>65405</wp:posOffset>
            </wp:positionV>
            <wp:extent cx="5524500" cy="34112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24500" cy="3411220"/>
                    </a:xfrm>
                    <a:prstGeom prst="rect">
                      <a:avLst/>
                    </a:prstGeom>
                    <a:noFill/>
                    <a:ln>
                      <a:noFill/>
                    </a:ln>
                  </pic:spPr>
                </pic:pic>
              </a:graphicData>
            </a:graphic>
          </wp:anchor>
        </w:drawing>
      </w:r>
    </w:p>
    <w:p w14:paraId="62403EF3">
      <w:pPr>
        <w:pStyle w:val="3"/>
        <w:ind w:left="420"/>
        <w:rPr>
          <w:rFonts w:hint="eastAsia"/>
        </w:rPr>
      </w:pPr>
    </w:p>
    <w:p w14:paraId="36CC9800">
      <w:pPr>
        <w:pStyle w:val="3"/>
        <w:ind w:left="420"/>
        <w:rPr>
          <w:rFonts w:hint="eastAsia"/>
        </w:rPr>
      </w:pPr>
    </w:p>
    <w:p w14:paraId="78026CA4">
      <w:pPr>
        <w:pStyle w:val="3"/>
        <w:ind w:left="420"/>
        <w:rPr>
          <w:rFonts w:hint="eastAsia"/>
        </w:rPr>
      </w:pPr>
    </w:p>
    <w:p w14:paraId="5ECDA77B">
      <w:pPr>
        <w:pStyle w:val="3"/>
        <w:ind w:left="420"/>
        <w:rPr>
          <w:rFonts w:hint="eastAsia"/>
        </w:rPr>
      </w:pPr>
    </w:p>
    <w:p w14:paraId="2A0EB3A3">
      <w:pPr>
        <w:pStyle w:val="3"/>
        <w:ind w:left="420"/>
        <w:rPr>
          <w:rFonts w:hint="eastAsia"/>
        </w:rPr>
      </w:pPr>
    </w:p>
    <w:p w14:paraId="37C39024">
      <w:pPr>
        <w:pStyle w:val="3"/>
        <w:ind w:left="420"/>
        <w:rPr>
          <w:rFonts w:hint="eastAsia"/>
        </w:rPr>
      </w:pPr>
    </w:p>
    <w:p w14:paraId="625BEF0E">
      <w:pPr>
        <w:pStyle w:val="3"/>
        <w:ind w:left="420"/>
        <w:rPr>
          <w:rFonts w:hint="eastAsia"/>
        </w:rPr>
      </w:pPr>
    </w:p>
    <w:p w14:paraId="5AE9AF32">
      <w:pPr>
        <w:pStyle w:val="3"/>
        <w:ind w:left="420"/>
        <w:rPr>
          <w:rFonts w:hint="eastAsia"/>
        </w:rPr>
      </w:pPr>
    </w:p>
    <w:p w14:paraId="70CAC82A">
      <w:pPr>
        <w:pStyle w:val="3"/>
        <w:ind w:left="420"/>
        <w:rPr>
          <w:rFonts w:hint="eastAsia"/>
        </w:rPr>
      </w:pPr>
    </w:p>
    <w:p w14:paraId="71EC6F4F">
      <w:pPr>
        <w:pStyle w:val="3"/>
        <w:ind w:left="420"/>
        <w:rPr>
          <w:rFonts w:hint="eastAsia"/>
        </w:rPr>
      </w:pPr>
    </w:p>
    <w:p w14:paraId="79AF811B">
      <w:pPr>
        <w:pStyle w:val="3"/>
        <w:ind w:left="420"/>
        <w:rPr>
          <w:rFonts w:hint="eastAsia"/>
        </w:rPr>
      </w:pPr>
    </w:p>
    <w:p w14:paraId="056203B8">
      <w:pPr>
        <w:pStyle w:val="3"/>
        <w:ind w:left="420"/>
      </w:pPr>
    </w:p>
    <w:p w14:paraId="77C38D43">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2CBDC606">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5C1B8196">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5A63B77A">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2024年度一般公共预算财政拨款支出218.39万元，占本年支出合计的100%。与2023年度相比，一般公共预算财政拨款支出减少25.3万元，下降10.38%。主要变动原因是2024年没有项目资金支出。</w:t>
      </w:r>
    </w:p>
    <w:p w14:paraId="10A087C7">
      <w:pPr>
        <w:pStyle w:val="2"/>
        <w:rPr>
          <w:rFonts w:hint="eastAsia"/>
        </w:rPr>
      </w:pPr>
    </w:p>
    <w:p w14:paraId="5FA802CD">
      <w:pPr>
        <w:pStyle w:val="3"/>
        <w:ind w:left="420"/>
        <w:rPr>
          <w:rFonts w:hint="eastAsia"/>
        </w:rPr>
      </w:pPr>
    </w:p>
    <w:p w14:paraId="0AADAFCA">
      <w:pPr>
        <w:pStyle w:val="3"/>
        <w:ind w:left="420"/>
        <w:rPr>
          <w:rFonts w:hint="eastAsia"/>
        </w:rPr>
      </w:pPr>
    </w:p>
    <w:p w14:paraId="67D64397">
      <w:pPr>
        <w:pStyle w:val="3"/>
        <w:ind w:left="420"/>
        <w:rPr>
          <w:rFonts w:hint="eastAsia"/>
        </w:rPr>
      </w:pPr>
    </w:p>
    <w:p w14:paraId="1366AADC">
      <w:pPr>
        <w:pStyle w:val="3"/>
        <w:ind w:left="0" w:leftChars="0" w:firstLine="0" w:firstLineChars="0"/>
      </w:pPr>
      <w:r>
        <w:drawing>
          <wp:inline distT="0" distB="0" distL="0" distR="0">
            <wp:extent cx="5276850" cy="2924175"/>
            <wp:effectExtent l="0" t="0" r="1905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E33816">
      <w:pPr>
        <w:spacing w:line="600" w:lineRule="exact"/>
        <w:rPr>
          <w:rFonts w:eastAsia="仿宋_GB2312" w:cs="仿宋_GB2312"/>
          <w:sz w:val="32"/>
          <w:szCs w:val="32"/>
        </w:rPr>
      </w:pPr>
      <w:r>
        <w:rPr>
          <w:rFonts w:hint="eastAsia" w:eastAsia="仿宋_GB2312" w:cs="仿宋_GB2312"/>
          <w:sz w:val="32"/>
          <w:szCs w:val="32"/>
        </w:rPr>
        <w:t>（图5：一般公共预算财政拨款支出决算变动情况）（柱状图）</w:t>
      </w:r>
    </w:p>
    <w:p w14:paraId="0598F1B2">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32DF0665">
      <w:pPr>
        <w:snapToGrid w:val="0"/>
        <w:spacing w:line="600" w:lineRule="exact"/>
        <w:ind w:firstLine="640" w:firstLineChars="200"/>
        <w:rPr>
          <w:rFonts w:hint="eastAsia" w:ascii="仿宋_GB2312" w:hAnsi="仿宋" w:eastAsia="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218.39万元</w:t>
      </w:r>
      <w:r>
        <w:rPr>
          <w:rFonts w:hint="eastAsia" w:eastAsia="仿宋_GB2312" w:cs="仿宋_GB2312"/>
          <w:sz w:val="32"/>
          <w:szCs w:val="32"/>
        </w:rPr>
        <w:t>，主要用于以下方面：</w:t>
      </w:r>
      <w:r>
        <w:rPr>
          <w:rFonts w:ascii="仿宋_GB2312" w:hAnsi="仿宋" w:eastAsia="仿宋_GB2312"/>
          <w:sz w:val="32"/>
          <w:szCs w:val="32"/>
        </w:rPr>
        <w:t>社会保障和就业支出</w:t>
      </w:r>
      <w:r>
        <w:rPr>
          <w:rFonts w:hint="eastAsia" w:ascii="仿宋_GB2312" w:hAnsi="仿宋" w:eastAsia="仿宋_GB2312"/>
          <w:sz w:val="32"/>
          <w:szCs w:val="32"/>
        </w:rPr>
        <w:t>34.57</w:t>
      </w:r>
      <w:r>
        <w:rPr>
          <w:rFonts w:ascii="仿宋_GB2312" w:hAnsi="仿宋" w:eastAsia="仿宋_GB2312"/>
          <w:sz w:val="32"/>
          <w:szCs w:val="32"/>
        </w:rPr>
        <w:t>万元，占</w:t>
      </w:r>
      <w:r>
        <w:rPr>
          <w:rFonts w:hint="eastAsia" w:ascii="仿宋_GB2312" w:hAnsi="仿宋" w:eastAsia="仿宋_GB2312"/>
          <w:sz w:val="32"/>
          <w:szCs w:val="32"/>
        </w:rPr>
        <w:t>15.83</w:t>
      </w:r>
      <w:r>
        <w:rPr>
          <w:rFonts w:ascii="仿宋_GB2312" w:hAnsi="仿宋" w:eastAsia="仿宋_GB2312"/>
          <w:sz w:val="32"/>
          <w:szCs w:val="32"/>
        </w:rPr>
        <w:t>%；卫生健康支出</w:t>
      </w:r>
      <w:r>
        <w:rPr>
          <w:rFonts w:hint="eastAsia" w:ascii="仿宋_GB2312" w:hAnsi="仿宋" w:eastAsia="仿宋_GB2312"/>
          <w:sz w:val="32"/>
          <w:szCs w:val="32"/>
        </w:rPr>
        <w:t>16.45</w:t>
      </w:r>
      <w:r>
        <w:rPr>
          <w:rFonts w:ascii="仿宋_GB2312" w:hAnsi="仿宋" w:eastAsia="仿宋_GB2312"/>
          <w:sz w:val="32"/>
          <w:szCs w:val="32"/>
        </w:rPr>
        <w:t>万元，占</w:t>
      </w:r>
      <w:r>
        <w:rPr>
          <w:rFonts w:hint="eastAsia" w:ascii="仿宋_GB2312" w:hAnsi="仿宋" w:eastAsia="仿宋_GB2312"/>
          <w:sz w:val="32"/>
          <w:szCs w:val="32"/>
        </w:rPr>
        <w:t>7.53</w:t>
      </w:r>
      <w:r>
        <w:rPr>
          <w:rFonts w:ascii="仿宋_GB2312" w:hAnsi="仿宋" w:eastAsia="仿宋_GB2312"/>
          <w:sz w:val="32"/>
          <w:szCs w:val="32"/>
        </w:rPr>
        <w:t>%；住房保障支出</w:t>
      </w:r>
      <w:r>
        <w:rPr>
          <w:rFonts w:hint="eastAsia" w:ascii="仿宋_GB2312" w:hAnsi="仿宋" w:eastAsia="仿宋_GB2312"/>
          <w:sz w:val="32"/>
          <w:szCs w:val="32"/>
        </w:rPr>
        <w:t>15.26</w:t>
      </w:r>
      <w:r>
        <w:rPr>
          <w:rFonts w:ascii="仿宋_GB2312" w:hAnsi="仿宋" w:eastAsia="仿宋_GB2312"/>
          <w:sz w:val="32"/>
          <w:szCs w:val="32"/>
        </w:rPr>
        <w:t>万元，占</w:t>
      </w:r>
      <w:r>
        <w:rPr>
          <w:rFonts w:hint="eastAsia" w:ascii="仿宋_GB2312" w:hAnsi="仿宋" w:eastAsia="仿宋_GB2312"/>
          <w:sz w:val="32"/>
          <w:szCs w:val="32"/>
        </w:rPr>
        <w:t>6.99</w:t>
      </w:r>
      <w:r>
        <w:rPr>
          <w:rFonts w:ascii="仿宋_GB2312" w:hAnsi="仿宋" w:eastAsia="仿宋_GB2312"/>
          <w:sz w:val="32"/>
          <w:szCs w:val="32"/>
        </w:rPr>
        <w:t>%；交通运输支出</w:t>
      </w:r>
      <w:r>
        <w:rPr>
          <w:rFonts w:hint="eastAsia" w:ascii="仿宋_GB2312" w:hAnsi="仿宋" w:eastAsia="仿宋_GB2312"/>
          <w:sz w:val="32"/>
          <w:szCs w:val="32"/>
        </w:rPr>
        <w:t>152.1</w:t>
      </w:r>
      <w:r>
        <w:rPr>
          <w:rFonts w:ascii="仿宋_GB2312" w:hAnsi="仿宋" w:eastAsia="仿宋_GB2312"/>
          <w:sz w:val="32"/>
          <w:szCs w:val="32"/>
        </w:rPr>
        <w:t>万元，占</w:t>
      </w:r>
      <w:r>
        <w:rPr>
          <w:rFonts w:hint="eastAsia" w:ascii="仿宋_GB2312" w:hAnsi="仿宋" w:eastAsia="仿宋_GB2312"/>
          <w:sz w:val="32"/>
          <w:szCs w:val="32"/>
        </w:rPr>
        <w:t>69.65</w:t>
      </w:r>
      <w:r>
        <w:rPr>
          <w:rFonts w:ascii="仿宋_GB2312" w:hAnsi="仿宋" w:eastAsia="仿宋_GB2312"/>
          <w:sz w:val="32"/>
          <w:szCs w:val="32"/>
        </w:rPr>
        <w:t>%。</w:t>
      </w:r>
    </w:p>
    <w:p w14:paraId="5E765ADE">
      <w:pPr>
        <w:spacing w:line="600" w:lineRule="exact"/>
        <w:ind w:firstLine="640"/>
        <w:rPr>
          <w:rFonts w:hint="eastAsia" w:eastAsia="仿宋_GB2312" w:cs="仿宋_GB2312"/>
          <w:b/>
          <w:bCs/>
          <w:sz w:val="32"/>
          <w:szCs w:val="32"/>
        </w:rPr>
      </w:pPr>
      <w:r>
        <w:rPr>
          <w:rFonts w:hint="eastAsia" w:eastAsia="仿宋_GB2312" w:cs="仿宋_GB2312"/>
          <w:b/>
          <w:bCs/>
          <w:sz w:val="32"/>
          <w:szCs w:val="32"/>
        </w:rPr>
        <w:drawing>
          <wp:anchor distT="0" distB="0" distL="114300" distR="114300" simplePos="0" relativeHeight="251663360" behindDoc="1" locked="0" layoutInCell="1" allowOverlap="1">
            <wp:simplePos x="0" y="0"/>
            <wp:positionH relativeFrom="column">
              <wp:posOffset>133350</wp:posOffset>
            </wp:positionH>
            <wp:positionV relativeFrom="paragraph">
              <wp:posOffset>104775</wp:posOffset>
            </wp:positionV>
            <wp:extent cx="5295900" cy="307657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99603" cy="3078726"/>
                    </a:xfrm>
                    <a:prstGeom prst="rect">
                      <a:avLst/>
                    </a:prstGeom>
                    <a:noFill/>
                    <a:ln>
                      <a:noFill/>
                    </a:ln>
                    <a:effectLst/>
                  </pic:spPr>
                </pic:pic>
              </a:graphicData>
            </a:graphic>
          </wp:anchor>
        </w:drawing>
      </w:r>
    </w:p>
    <w:p w14:paraId="09E7A0AD">
      <w:pPr>
        <w:pStyle w:val="2"/>
        <w:rPr>
          <w:rFonts w:hint="eastAsia"/>
        </w:rPr>
      </w:pPr>
    </w:p>
    <w:p w14:paraId="7D435232">
      <w:pPr>
        <w:pStyle w:val="3"/>
        <w:ind w:left="420"/>
        <w:rPr>
          <w:rFonts w:hint="eastAsia"/>
        </w:rPr>
      </w:pPr>
    </w:p>
    <w:p w14:paraId="70219AB3">
      <w:pPr>
        <w:pStyle w:val="3"/>
        <w:ind w:left="420"/>
        <w:rPr>
          <w:rFonts w:hint="eastAsia"/>
        </w:rPr>
      </w:pPr>
    </w:p>
    <w:p w14:paraId="4D847B57">
      <w:pPr>
        <w:pStyle w:val="3"/>
        <w:ind w:left="420"/>
        <w:rPr>
          <w:rFonts w:hint="eastAsia"/>
        </w:rPr>
      </w:pPr>
    </w:p>
    <w:p w14:paraId="7B49B4F4">
      <w:pPr>
        <w:pStyle w:val="3"/>
        <w:ind w:left="420"/>
        <w:rPr>
          <w:rFonts w:hint="eastAsia"/>
        </w:rPr>
      </w:pPr>
    </w:p>
    <w:p w14:paraId="0B5712C4">
      <w:pPr>
        <w:pStyle w:val="3"/>
        <w:ind w:left="420"/>
        <w:rPr>
          <w:rFonts w:hint="eastAsia"/>
        </w:rPr>
      </w:pPr>
    </w:p>
    <w:p w14:paraId="7A268559">
      <w:pPr>
        <w:pStyle w:val="2"/>
        <w:rPr>
          <w:rFonts w:hint="eastAsia"/>
        </w:rPr>
      </w:pPr>
    </w:p>
    <w:p w14:paraId="2923F648">
      <w:pPr>
        <w:pStyle w:val="3"/>
        <w:ind w:left="420"/>
        <w:rPr>
          <w:rFonts w:hint="eastAsia"/>
        </w:rPr>
      </w:pPr>
    </w:p>
    <w:p w14:paraId="3A1500E8">
      <w:pPr>
        <w:pStyle w:val="3"/>
        <w:ind w:left="420"/>
        <w:rPr>
          <w:rFonts w:hint="eastAsia"/>
        </w:rPr>
      </w:pPr>
    </w:p>
    <w:p w14:paraId="6A486429">
      <w:pPr>
        <w:pStyle w:val="3"/>
        <w:ind w:left="420"/>
        <w:rPr>
          <w:rFonts w:hint="eastAsia"/>
        </w:rPr>
      </w:pPr>
    </w:p>
    <w:p w14:paraId="169D3FD3">
      <w:pPr>
        <w:pStyle w:val="3"/>
        <w:ind w:left="420"/>
      </w:pPr>
    </w:p>
    <w:p w14:paraId="1D242BD2">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791440E1">
      <w:pPr>
        <w:spacing w:line="600" w:lineRule="exact"/>
        <w:ind w:firstLine="640"/>
        <w:rPr>
          <w:rFonts w:eastAsia="仿宋_GB2312" w:cs="仿宋_GB2312"/>
          <w:sz w:val="32"/>
          <w:szCs w:val="32"/>
        </w:rPr>
      </w:pPr>
    </w:p>
    <w:p w14:paraId="3DBF2BD4">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24B04769">
      <w:pPr>
        <w:spacing w:line="600" w:lineRule="exact"/>
        <w:ind w:firstLine="640"/>
        <w:rPr>
          <w:rFonts w:eastAsia="仿宋_GB2312" w:cs="仿宋_GB2312"/>
          <w:sz w:val="32"/>
          <w:szCs w:val="32"/>
        </w:rPr>
      </w:pPr>
      <w:bookmarkStart w:id="25" w:name="_Toc15378460"/>
      <w:bookmarkStart w:id="26" w:name="_Toc15377213"/>
      <w:bookmarkStart w:id="27"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218.39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25"/>
      <w:bookmarkEnd w:id="26"/>
      <w:bookmarkEnd w:id="27"/>
    </w:p>
    <w:p w14:paraId="7187AE26">
      <w:pPr>
        <w:spacing w:line="600" w:lineRule="exact"/>
        <w:ind w:firstLine="640" w:firstLineChars="200"/>
        <w:rPr>
          <w:rFonts w:ascii="仿宋_GB2312" w:eastAsia="仿宋_GB2312" w:cs="仿宋_GB2312"/>
          <w:bCs/>
          <w:color w:val="000000"/>
          <w:sz w:val="32"/>
          <w:szCs w:val="32"/>
        </w:rPr>
      </w:pPr>
      <w:r>
        <w:rPr>
          <w:rFonts w:ascii="仿宋_GB2312" w:eastAsia="仿宋_GB2312" w:cs="仿宋_GB2312"/>
          <w:bCs/>
          <w:color w:val="000000"/>
          <w:sz w:val="32"/>
          <w:szCs w:val="32"/>
        </w:rPr>
        <w:t>1.</w:t>
      </w:r>
      <w:r>
        <w:rPr>
          <w:rFonts w:hint="eastAsia" w:ascii="仿宋_GB2312" w:eastAsia="仿宋_GB2312" w:cs="仿宋_GB2312"/>
          <w:bCs/>
          <w:color w:val="000000"/>
          <w:sz w:val="32"/>
          <w:szCs w:val="32"/>
        </w:rPr>
        <w:t>社会保障和就业支出（208类）行政事业单位养老支出（05款）行政单位离退休（01项）</w:t>
      </w:r>
      <w:r>
        <w:rPr>
          <w:rFonts w:ascii="仿宋_GB2312" w:eastAsia="仿宋_GB2312" w:cs="仿宋_GB2312"/>
          <w:bCs/>
          <w:color w:val="000000"/>
          <w:sz w:val="32"/>
          <w:szCs w:val="32"/>
        </w:rPr>
        <w:t>:</w:t>
      </w:r>
      <w:r>
        <w:rPr>
          <w:rFonts w:hint="eastAsia" w:ascii="仿宋" w:eastAsia="仿宋" w:cs="仿宋"/>
          <w:sz w:val="32"/>
          <w:szCs w:val="32"/>
        </w:rPr>
        <w:t>支出决算为16.12万元，完成预算</w:t>
      </w:r>
      <w:r>
        <w:rPr>
          <w:rFonts w:ascii="仿宋" w:eastAsia="仿宋" w:cs="仿宋"/>
          <w:sz w:val="32"/>
          <w:szCs w:val="32"/>
        </w:rPr>
        <w:t>100%</w:t>
      </w:r>
      <w:r>
        <w:rPr>
          <w:rFonts w:hint="eastAsia" w:ascii="仿宋" w:eastAsia="仿宋" w:cs="仿宋"/>
          <w:sz w:val="32"/>
          <w:szCs w:val="32"/>
        </w:rPr>
        <w:t>，</w:t>
      </w:r>
      <w:r>
        <w:rPr>
          <w:rFonts w:hint="eastAsia" w:ascii="仿宋" w:eastAsia="仿宋" w:cs="仿宋"/>
          <w:sz w:val="32"/>
          <w:szCs w:val="32"/>
          <w:lang w:val="en-US" w:eastAsia="zh-CN"/>
        </w:rPr>
        <w:t>决算数等于预算数</w:t>
      </w:r>
      <w:r>
        <w:rPr>
          <w:rFonts w:hint="eastAsia" w:ascii="仿宋" w:eastAsia="仿宋" w:cs="仿宋"/>
          <w:sz w:val="32"/>
          <w:szCs w:val="32"/>
        </w:rPr>
        <w:t>。</w:t>
      </w:r>
    </w:p>
    <w:p w14:paraId="3FA0A0E5">
      <w:pPr>
        <w:spacing w:line="600" w:lineRule="exact"/>
        <w:ind w:firstLine="640" w:firstLineChars="200"/>
        <w:rPr>
          <w:rFonts w:ascii="仿宋_GB2312" w:eastAsia="仿宋" w:cs="仿宋_GB2312"/>
          <w:bCs/>
          <w:color w:val="000000"/>
          <w:sz w:val="32"/>
          <w:szCs w:val="32"/>
        </w:rPr>
      </w:pPr>
      <w:r>
        <w:rPr>
          <w:rFonts w:hint="eastAsia" w:ascii="仿宋_GB2312" w:eastAsia="仿宋_GB2312" w:cs="仿宋_GB2312"/>
          <w:bCs/>
          <w:color w:val="000000"/>
          <w:sz w:val="32"/>
          <w:szCs w:val="32"/>
        </w:rPr>
        <w:t>2</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社会保障和就业支出（类208）行政事业单位养老支出（05款）机关事业单位基本养老保险缴费（05项）</w:t>
      </w:r>
      <w:r>
        <w:rPr>
          <w:rFonts w:ascii="仿宋_GB2312" w:eastAsia="仿宋_GB2312" w:cs="仿宋_GB2312"/>
          <w:bCs/>
          <w:color w:val="000000"/>
          <w:sz w:val="32"/>
          <w:szCs w:val="32"/>
        </w:rPr>
        <w:t>:</w:t>
      </w:r>
      <w:r>
        <w:rPr>
          <w:rFonts w:hint="eastAsia" w:ascii="仿宋" w:eastAsia="仿宋" w:cs="仿宋"/>
          <w:sz w:val="32"/>
          <w:szCs w:val="32"/>
        </w:rPr>
        <w:t>支出决算为18.45万元，完成预算</w:t>
      </w:r>
      <w:r>
        <w:rPr>
          <w:rFonts w:ascii="仿宋" w:eastAsia="仿宋" w:cs="仿宋"/>
          <w:sz w:val="32"/>
          <w:szCs w:val="32"/>
        </w:rPr>
        <w:t>100%，</w:t>
      </w:r>
      <w:r>
        <w:rPr>
          <w:rFonts w:hint="eastAsia" w:ascii="仿宋" w:eastAsia="仿宋" w:cs="仿宋"/>
          <w:sz w:val="32"/>
          <w:szCs w:val="32"/>
          <w:lang w:val="en-US" w:eastAsia="zh-CN"/>
        </w:rPr>
        <w:t>决算数等于预算数</w:t>
      </w:r>
      <w:r>
        <w:rPr>
          <w:rFonts w:hint="eastAsia" w:ascii="仿宋" w:eastAsia="仿宋" w:cs="仿宋"/>
          <w:sz w:val="32"/>
          <w:szCs w:val="32"/>
        </w:rPr>
        <w:t>。</w:t>
      </w:r>
    </w:p>
    <w:p w14:paraId="779F025F">
      <w:pPr>
        <w:spacing w:line="600" w:lineRule="exact"/>
        <w:ind w:firstLine="640" w:firstLineChars="200"/>
        <w:rPr>
          <w:rFonts w:ascii="仿宋" w:eastAsia="仿宋" w:cs="仿宋"/>
          <w:sz w:val="32"/>
          <w:szCs w:val="32"/>
        </w:rPr>
      </w:pPr>
      <w:r>
        <w:rPr>
          <w:rFonts w:hint="eastAsia" w:ascii="仿宋_GB2312" w:eastAsia="仿宋_GB2312" w:cs="仿宋_GB2312"/>
          <w:bCs/>
          <w:color w:val="000000"/>
          <w:sz w:val="32"/>
          <w:szCs w:val="32"/>
        </w:rPr>
        <w:t>3.卫生健康支出（210类）行政事业单位医疗（11款）行政单位医疗（01项）</w:t>
      </w:r>
      <w:r>
        <w:rPr>
          <w:rFonts w:ascii="仿宋_GB2312" w:eastAsia="仿宋_GB2312" w:cs="仿宋_GB2312"/>
          <w:bCs/>
          <w:color w:val="000000"/>
          <w:sz w:val="32"/>
          <w:szCs w:val="32"/>
        </w:rPr>
        <w:t>:</w:t>
      </w:r>
      <w:r>
        <w:rPr>
          <w:rFonts w:hint="eastAsia" w:ascii="仿宋" w:eastAsia="仿宋" w:cs="仿宋"/>
          <w:sz w:val="32"/>
          <w:szCs w:val="32"/>
        </w:rPr>
        <w:t>支出决算为10.24万元，完成预算</w:t>
      </w:r>
      <w:r>
        <w:rPr>
          <w:rFonts w:ascii="仿宋" w:eastAsia="仿宋" w:cs="仿宋"/>
          <w:sz w:val="32"/>
          <w:szCs w:val="32"/>
        </w:rPr>
        <w:t>100%，</w:t>
      </w:r>
      <w:r>
        <w:rPr>
          <w:rFonts w:hint="eastAsia" w:ascii="仿宋" w:eastAsia="仿宋" w:cs="仿宋"/>
          <w:sz w:val="32"/>
          <w:szCs w:val="32"/>
          <w:lang w:val="en-US" w:eastAsia="zh-CN"/>
        </w:rPr>
        <w:t>决算数等于预算数</w:t>
      </w:r>
      <w:r>
        <w:rPr>
          <w:rFonts w:hint="eastAsia" w:ascii="仿宋" w:eastAsia="仿宋" w:cs="仿宋"/>
          <w:sz w:val="32"/>
          <w:szCs w:val="32"/>
        </w:rPr>
        <w:t>。</w:t>
      </w:r>
    </w:p>
    <w:p w14:paraId="0E6FD67C">
      <w:pPr>
        <w:spacing w:line="600" w:lineRule="exact"/>
        <w:ind w:firstLine="640" w:firstLineChars="200"/>
        <w:rPr>
          <w:rFonts w:ascii="仿宋" w:eastAsia="仿宋" w:cs="仿宋"/>
          <w:sz w:val="32"/>
          <w:szCs w:val="32"/>
        </w:rPr>
      </w:pPr>
      <w:r>
        <w:rPr>
          <w:rFonts w:hint="eastAsia" w:ascii="仿宋_GB2312" w:eastAsia="仿宋_GB2312" w:cs="仿宋_GB2312"/>
          <w:bCs/>
          <w:color w:val="000000"/>
          <w:sz w:val="32"/>
          <w:szCs w:val="32"/>
        </w:rPr>
        <w:t>4.卫生健康支出（210类）行政事业单位医疗（11款）公务员医疗补助（03项）</w:t>
      </w:r>
      <w:r>
        <w:rPr>
          <w:rFonts w:ascii="仿宋_GB2312" w:eastAsia="仿宋_GB2312" w:cs="仿宋_GB2312"/>
          <w:bCs/>
          <w:color w:val="000000"/>
          <w:sz w:val="32"/>
          <w:szCs w:val="32"/>
        </w:rPr>
        <w:t>:</w:t>
      </w:r>
      <w:r>
        <w:rPr>
          <w:rFonts w:hint="eastAsia" w:ascii="仿宋" w:eastAsia="仿宋" w:cs="仿宋"/>
          <w:sz w:val="32"/>
          <w:szCs w:val="32"/>
        </w:rPr>
        <w:t>支出决算为1.12万元，完成预算</w:t>
      </w:r>
      <w:r>
        <w:rPr>
          <w:rFonts w:ascii="仿宋" w:eastAsia="仿宋" w:cs="仿宋"/>
          <w:sz w:val="32"/>
          <w:szCs w:val="32"/>
        </w:rPr>
        <w:t>100%，</w:t>
      </w:r>
      <w:r>
        <w:rPr>
          <w:rFonts w:hint="eastAsia" w:ascii="仿宋" w:eastAsia="仿宋" w:cs="仿宋"/>
          <w:sz w:val="32"/>
          <w:szCs w:val="32"/>
          <w:lang w:val="en-US" w:eastAsia="zh-CN"/>
        </w:rPr>
        <w:t>决算数等于预算数</w:t>
      </w:r>
      <w:r>
        <w:rPr>
          <w:rFonts w:hint="eastAsia" w:ascii="仿宋" w:eastAsia="仿宋" w:cs="仿宋"/>
          <w:sz w:val="32"/>
          <w:szCs w:val="32"/>
        </w:rPr>
        <w:t>。</w:t>
      </w:r>
    </w:p>
    <w:p w14:paraId="4DDAA649">
      <w:pPr>
        <w:spacing w:line="600" w:lineRule="exact"/>
        <w:ind w:firstLine="640" w:firstLineChars="200"/>
        <w:rPr>
          <w:rFonts w:ascii="仿宋_GB2312" w:eastAsia="仿宋_GB2312" w:cs="仿宋_GB2312"/>
          <w:bCs/>
          <w:color w:val="000000"/>
          <w:sz w:val="32"/>
          <w:szCs w:val="32"/>
        </w:rPr>
      </w:pPr>
      <w:r>
        <w:rPr>
          <w:rFonts w:hint="eastAsia" w:ascii="仿宋_GB2312" w:eastAsia="仿宋_GB2312" w:cs="仿宋_GB2312"/>
          <w:bCs/>
          <w:color w:val="000000"/>
          <w:sz w:val="32"/>
          <w:szCs w:val="32"/>
        </w:rPr>
        <w:t>5.卫生健康支出（210类）行政事业单位医疗（11款）其他行政事业单位医疗支出（99项）</w:t>
      </w:r>
      <w:r>
        <w:rPr>
          <w:rFonts w:ascii="仿宋_GB2312" w:eastAsia="仿宋_GB2312" w:cs="仿宋_GB2312"/>
          <w:bCs/>
          <w:color w:val="000000"/>
          <w:sz w:val="32"/>
          <w:szCs w:val="32"/>
        </w:rPr>
        <w:t>:</w:t>
      </w:r>
      <w:r>
        <w:rPr>
          <w:rFonts w:hint="eastAsia" w:ascii="仿宋" w:eastAsia="仿宋" w:cs="仿宋"/>
          <w:sz w:val="32"/>
          <w:szCs w:val="32"/>
        </w:rPr>
        <w:t>支出决算为5.09万元，完成预算</w:t>
      </w:r>
      <w:r>
        <w:rPr>
          <w:rFonts w:ascii="仿宋" w:eastAsia="仿宋" w:cs="仿宋"/>
          <w:sz w:val="32"/>
          <w:szCs w:val="32"/>
        </w:rPr>
        <w:t>100%，</w:t>
      </w:r>
      <w:r>
        <w:rPr>
          <w:rFonts w:hint="eastAsia" w:ascii="仿宋" w:eastAsia="仿宋" w:cs="仿宋"/>
          <w:sz w:val="32"/>
          <w:szCs w:val="32"/>
          <w:lang w:val="en-US" w:eastAsia="zh-CN"/>
        </w:rPr>
        <w:t>决算数等于预算数</w:t>
      </w:r>
      <w:r>
        <w:rPr>
          <w:rFonts w:hint="eastAsia" w:ascii="仿宋" w:eastAsia="仿宋" w:cs="仿宋"/>
          <w:sz w:val="32"/>
          <w:szCs w:val="32"/>
        </w:rPr>
        <w:t>。</w:t>
      </w:r>
    </w:p>
    <w:p w14:paraId="75218858">
      <w:pPr>
        <w:spacing w:line="600" w:lineRule="exact"/>
        <w:ind w:firstLine="640" w:firstLineChars="200"/>
        <w:rPr>
          <w:rFonts w:ascii="仿宋" w:eastAsia="仿宋" w:cs="仿宋"/>
          <w:sz w:val="32"/>
          <w:szCs w:val="32"/>
        </w:rPr>
      </w:pPr>
      <w:r>
        <w:rPr>
          <w:rStyle w:val="17"/>
          <w:rFonts w:hint="eastAsia" w:ascii="仿宋" w:hAnsi="仿宋" w:eastAsia="仿宋"/>
          <w:b w:val="0"/>
          <w:bCs/>
          <w:sz w:val="32"/>
          <w:szCs w:val="32"/>
        </w:rPr>
        <w:t>6</w:t>
      </w:r>
      <w:r>
        <w:rPr>
          <w:rStyle w:val="17"/>
          <w:rFonts w:ascii="仿宋" w:hAnsi="仿宋" w:eastAsia="仿宋"/>
          <w:b w:val="0"/>
          <w:bCs/>
          <w:sz w:val="32"/>
          <w:szCs w:val="32"/>
        </w:rPr>
        <w:t>.</w:t>
      </w:r>
      <w:r>
        <w:rPr>
          <w:rStyle w:val="17"/>
          <w:rFonts w:hint="eastAsia" w:ascii="仿宋" w:hAnsi="仿宋" w:eastAsia="仿宋"/>
          <w:b w:val="0"/>
          <w:bCs/>
          <w:sz w:val="32"/>
          <w:szCs w:val="32"/>
        </w:rPr>
        <w:t>交通运输（214类）</w:t>
      </w:r>
      <w:r>
        <w:rPr>
          <w:rStyle w:val="17"/>
          <w:rFonts w:ascii="仿宋" w:hAnsi="仿宋" w:eastAsia="仿宋"/>
          <w:b w:val="0"/>
          <w:bCs/>
          <w:sz w:val="32"/>
          <w:szCs w:val="32"/>
        </w:rPr>
        <w:t>公路水路运输</w:t>
      </w:r>
      <w:r>
        <w:rPr>
          <w:rStyle w:val="17"/>
          <w:rFonts w:hint="eastAsia" w:ascii="仿宋" w:hAnsi="仿宋" w:eastAsia="仿宋"/>
          <w:b w:val="0"/>
          <w:bCs/>
          <w:sz w:val="32"/>
          <w:szCs w:val="32"/>
        </w:rPr>
        <w:t>（01款）</w:t>
      </w:r>
      <w:r>
        <w:rPr>
          <w:rStyle w:val="17"/>
          <w:rFonts w:ascii="仿宋" w:hAnsi="仿宋" w:eastAsia="仿宋"/>
          <w:b w:val="0"/>
          <w:bCs/>
          <w:sz w:val="32"/>
          <w:szCs w:val="32"/>
        </w:rPr>
        <w:t>行政运行</w:t>
      </w:r>
      <w:r>
        <w:rPr>
          <w:rStyle w:val="17"/>
          <w:rFonts w:hint="eastAsia" w:ascii="仿宋" w:hAnsi="仿宋" w:eastAsia="仿宋"/>
          <w:b w:val="0"/>
          <w:bCs/>
          <w:sz w:val="32"/>
          <w:szCs w:val="32"/>
        </w:rPr>
        <w:t>（01项）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支出决算为152.1万元，</w:t>
      </w:r>
      <w:r>
        <w:rPr>
          <w:rFonts w:hint="eastAsia" w:ascii="仿宋" w:eastAsia="仿宋" w:cs="仿宋"/>
          <w:sz w:val="32"/>
          <w:szCs w:val="32"/>
        </w:rPr>
        <w:t>完成预算100%，</w:t>
      </w:r>
      <w:r>
        <w:rPr>
          <w:rFonts w:hint="eastAsia" w:ascii="仿宋" w:eastAsia="仿宋" w:cs="仿宋"/>
          <w:sz w:val="32"/>
          <w:szCs w:val="32"/>
          <w:lang w:val="en-US" w:eastAsia="zh-CN"/>
        </w:rPr>
        <w:t>决算数等于预算数</w:t>
      </w:r>
      <w:r>
        <w:rPr>
          <w:rFonts w:hint="eastAsia" w:ascii="仿宋" w:eastAsia="仿宋" w:cs="仿宋"/>
          <w:sz w:val="32"/>
          <w:szCs w:val="32"/>
        </w:rPr>
        <w:t>。</w:t>
      </w:r>
    </w:p>
    <w:p w14:paraId="2B228849">
      <w:pPr>
        <w:spacing w:line="600" w:lineRule="exact"/>
        <w:ind w:firstLine="640" w:firstLineChars="200"/>
        <w:rPr>
          <w:rFonts w:ascii="仿宋" w:hAnsi="仿宋" w:eastAsia="仿宋"/>
          <w:bCs/>
          <w:sz w:val="32"/>
          <w:szCs w:val="32"/>
        </w:rPr>
      </w:pPr>
      <w:r>
        <w:rPr>
          <w:rStyle w:val="17"/>
          <w:rFonts w:hint="eastAsia" w:ascii="仿宋" w:hAnsi="仿宋" w:eastAsia="仿宋"/>
          <w:b w:val="0"/>
          <w:bCs/>
          <w:sz w:val="32"/>
          <w:szCs w:val="32"/>
        </w:rPr>
        <w:t>7</w:t>
      </w:r>
      <w:r>
        <w:rPr>
          <w:rStyle w:val="17"/>
          <w:rFonts w:ascii="仿宋" w:hAnsi="仿宋" w:eastAsia="仿宋"/>
          <w:b w:val="0"/>
          <w:bCs/>
          <w:sz w:val="32"/>
          <w:szCs w:val="32"/>
        </w:rPr>
        <w:t>.</w:t>
      </w:r>
      <w:r>
        <w:rPr>
          <w:rStyle w:val="17"/>
          <w:rFonts w:hint="eastAsia" w:ascii="仿宋" w:hAnsi="仿宋" w:eastAsia="仿宋"/>
          <w:b w:val="0"/>
          <w:bCs/>
          <w:sz w:val="32"/>
          <w:szCs w:val="32"/>
        </w:rPr>
        <w:t>住房保障（221类）</w:t>
      </w:r>
      <w:r>
        <w:rPr>
          <w:rStyle w:val="17"/>
          <w:rFonts w:ascii="仿宋" w:hAnsi="仿宋" w:eastAsia="仿宋"/>
          <w:b w:val="0"/>
          <w:bCs/>
          <w:sz w:val="32"/>
          <w:szCs w:val="32"/>
        </w:rPr>
        <w:t>住房改革支出</w:t>
      </w:r>
      <w:r>
        <w:rPr>
          <w:rStyle w:val="17"/>
          <w:rFonts w:hint="eastAsia" w:ascii="仿宋" w:hAnsi="仿宋" w:eastAsia="仿宋"/>
          <w:b w:val="0"/>
          <w:bCs/>
          <w:sz w:val="32"/>
          <w:szCs w:val="32"/>
        </w:rPr>
        <w:t>（02款）</w:t>
      </w:r>
      <w:r>
        <w:rPr>
          <w:rStyle w:val="17"/>
          <w:rFonts w:ascii="仿宋" w:hAnsi="仿宋" w:eastAsia="仿宋"/>
          <w:b w:val="0"/>
          <w:bCs/>
          <w:sz w:val="32"/>
          <w:szCs w:val="32"/>
        </w:rPr>
        <w:t>住房公积金</w:t>
      </w:r>
      <w:r>
        <w:rPr>
          <w:rStyle w:val="17"/>
          <w:rFonts w:hint="eastAsia" w:ascii="仿宋" w:hAnsi="仿宋" w:eastAsia="仿宋"/>
          <w:b w:val="0"/>
          <w:bCs/>
          <w:sz w:val="32"/>
          <w:szCs w:val="32"/>
        </w:rPr>
        <w:t>（01项）</w:t>
      </w:r>
      <w:r>
        <w:rPr>
          <w:rStyle w:val="17"/>
          <w:rFonts w:ascii="仿宋" w:hAnsi="仿宋" w:eastAsia="仿宋"/>
          <w:b w:val="0"/>
          <w:bCs/>
          <w:sz w:val="32"/>
          <w:szCs w:val="32"/>
        </w:rPr>
        <w:t xml:space="preserve">: </w:t>
      </w:r>
      <w:r>
        <w:rPr>
          <w:rFonts w:hint="eastAsia" w:ascii="仿宋" w:eastAsia="仿宋" w:cs="仿宋"/>
          <w:sz w:val="32"/>
          <w:szCs w:val="32"/>
        </w:rPr>
        <w:t>支出决算为15.26万元，完成预算100%，</w:t>
      </w:r>
      <w:r>
        <w:rPr>
          <w:rFonts w:hint="eastAsia" w:ascii="仿宋" w:eastAsia="仿宋" w:cs="仿宋"/>
          <w:sz w:val="32"/>
          <w:szCs w:val="32"/>
          <w:lang w:val="en-US" w:eastAsia="zh-CN"/>
        </w:rPr>
        <w:t>决算数等于预算数</w:t>
      </w:r>
      <w:r>
        <w:rPr>
          <w:rStyle w:val="17"/>
          <w:rFonts w:hint="eastAsia" w:ascii="仿宋" w:hAnsi="仿宋" w:eastAsia="仿宋"/>
          <w:b w:val="0"/>
          <w:bCs/>
          <w:sz w:val="32"/>
          <w:szCs w:val="32"/>
        </w:rPr>
        <w:t>。</w:t>
      </w:r>
    </w:p>
    <w:p w14:paraId="5AC5AA60">
      <w:pPr>
        <w:tabs>
          <w:tab w:val="right" w:pos="8306"/>
        </w:tabs>
        <w:spacing w:line="600" w:lineRule="exact"/>
        <w:ind w:firstLine="640"/>
        <w:outlineLvl w:val="1"/>
        <w:rPr>
          <w:rStyle w:val="29"/>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6D35B943">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218.39万</w:t>
      </w:r>
      <w:r>
        <w:rPr>
          <w:rFonts w:hint="eastAsia" w:eastAsia="仿宋_GB2312" w:cs="仿宋_GB2312"/>
          <w:sz w:val="32"/>
          <w:szCs w:val="32"/>
        </w:rPr>
        <w:t>元，其中：</w:t>
      </w:r>
    </w:p>
    <w:p w14:paraId="158994B8">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200.02万</w:t>
      </w:r>
      <w:r>
        <w:rPr>
          <w:rFonts w:hint="eastAsia" w:eastAsia="仿宋_GB2312" w:cs="仿宋_GB2312"/>
          <w:sz w:val="32"/>
          <w:szCs w:val="32"/>
        </w:rPr>
        <w:t>元，主要包括：基本工资、津贴补贴、奖金、机关事业单位基本养老保险缴费、职业年金缴费、其他社会保障缴费、其他工资福利支出、生活补助、医疗费补助、奖励金、住房公积金。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18.37万</w:t>
      </w:r>
      <w:r>
        <w:rPr>
          <w:rFonts w:hint="eastAsia" w:eastAsia="仿宋_GB2312" w:cs="仿宋_GB2312"/>
          <w:sz w:val="32"/>
          <w:szCs w:val="32"/>
        </w:rPr>
        <w:t>元，主要包括：办公费、印刷费、水费、电费、邮电费、差旅费、维修（护）费、会议费、工会经费、福利费、其他交通费、其他商品和服务支出等。</w:t>
      </w:r>
    </w:p>
    <w:p w14:paraId="344F7CE9">
      <w:pPr>
        <w:spacing w:line="600" w:lineRule="exact"/>
        <w:ind w:firstLine="640"/>
        <w:outlineLvl w:val="1"/>
        <w:rPr>
          <w:rStyle w:val="29"/>
          <w:rFonts w:ascii="Times New Roman" w:hAnsi="Times New Roman" w:eastAsia="黑体"/>
          <w:b w:val="0"/>
        </w:rPr>
      </w:pPr>
      <w:bookmarkStart w:id="30" w:name="_Toc15377215"/>
      <w:bookmarkStart w:id="3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3F19B731">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6A855665">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与2023年持平。</w:t>
      </w:r>
    </w:p>
    <w:p w14:paraId="4C54A5E7">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51147C5D">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791A9088">
      <w:pPr>
        <w:pStyle w:val="2"/>
        <w:rPr>
          <w:rFonts w:hint="eastAsia"/>
        </w:rPr>
      </w:pPr>
    </w:p>
    <w:p w14:paraId="7FC3BE63">
      <w:pPr>
        <w:pStyle w:val="2"/>
      </w:pPr>
      <w:r>
        <w:drawing>
          <wp:inline distT="0" distB="0" distL="0" distR="0">
            <wp:extent cx="5495925" cy="2990850"/>
            <wp:effectExtent l="0" t="0" r="9525"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2C0CB8">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3EAD0BDA">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w:t>
      </w:r>
      <w:r>
        <w:rPr>
          <w:rFonts w:hint="eastAsia" w:eastAsia="仿宋_GB2312" w:cs="仿宋_GB2312"/>
          <w:sz w:val="32"/>
          <w:szCs w:val="32"/>
          <w:lang w:val="en-US" w:eastAsia="zh-CN"/>
        </w:rPr>
        <w:t>与</w:t>
      </w:r>
      <w:bookmarkStart w:id="61" w:name="_GoBack"/>
      <w:bookmarkEnd w:id="61"/>
      <w:r>
        <w:rPr>
          <w:rFonts w:hint="eastAsia" w:eastAsia="仿宋_GB2312" w:cs="仿宋_GB2312"/>
          <w:sz w:val="32"/>
          <w:szCs w:val="32"/>
        </w:rPr>
        <w:t>2023年持平。</w:t>
      </w:r>
    </w:p>
    <w:p w14:paraId="704063AD">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w:t>
      </w:r>
      <w:r>
        <w:rPr>
          <w:rFonts w:hint="eastAsia" w:eastAsia="仿宋_GB2312" w:cs="仿宋_GB2312"/>
          <w:sz w:val="32"/>
          <w:szCs w:val="32"/>
          <w:lang w:val="en-US" w:eastAsia="zh-CN"/>
        </w:rPr>
        <w:t>与</w:t>
      </w:r>
      <w:r>
        <w:rPr>
          <w:rFonts w:hint="eastAsia" w:eastAsia="仿宋_GB2312" w:cs="仿宋_GB2312"/>
          <w:sz w:val="32"/>
          <w:szCs w:val="32"/>
        </w:rPr>
        <w:t>2023年度持平。</w:t>
      </w:r>
    </w:p>
    <w:p w14:paraId="677F9E92">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57331A6C">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6662923C">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公务接待费支出决算与2023年度持平。其中：</w:t>
      </w:r>
    </w:p>
    <w:p w14:paraId="332025A6">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人次（不包括陪同人员），共计支出0万元。</w:t>
      </w:r>
    </w:p>
    <w:p w14:paraId="29D01760">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34" w:name="_Toc15377218"/>
      <w:bookmarkStart w:id="35" w:name="_Toc15396610"/>
    </w:p>
    <w:p w14:paraId="64E41772">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541FF8AB">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。与2023年度持平。</w:t>
      </w:r>
    </w:p>
    <w:p w14:paraId="1870A246">
      <w:pPr>
        <w:spacing w:line="600" w:lineRule="exact"/>
        <w:ind w:left="630"/>
        <w:outlineLvl w:val="1"/>
        <w:rPr>
          <w:rStyle w:val="29"/>
          <w:rFonts w:ascii="Times New Roman" w:hAnsi="Times New Roman" w:eastAsia="黑体"/>
          <w:b w:val="0"/>
        </w:rPr>
      </w:pPr>
      <w:bookmarkStart w:id="36" w:name="_Toc15396611"/>
      <w:bookmarkStart w:id="37" w:name="_Toc15377219"/>
      <w:r>
        <w:rPr>
          <w:rStyle w:val="29"/>
          <w:rFonts w:hint="eastAsia" w:ascii="Times New Roman" w:hAnsi="Times New Roman" w:eastAsia="黑体"/>
          <w:b w:val="0"/>
        </w:rPr>
        <w:t>九、国有资本经营预算支出决算情况说明</w:t>
      </w:r>
      <w:bookmarkEnd w:id="36"/>
      <w:bookmarkEnd w:id="37"/>
    </w:p>
    <w:p w14:paraId="10EA3BAF">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。与2023年度持平。</w:t>
      </w:r>
    </w:p>
    <w:p w14:paraId="663F345A">
      <w:pPr>
        <w:spacing w:line="600" w:lineRule="exact"/>
        <w:ind w:left="630"/>
        <w:outlineLvl w:val="1"/>
        <w:rPr>
          <w:rStyle w:val="29"/>
          <w:rFonts w:ascii="Times New Roman" w:hAnsi="Times New Roman" w:eastAsia="黑体"/>
          <w:b w:val="0"/>
        </w:rPr>
      </w:pPr>
      <w:bookmarkStart w:id="38" w:name="_Toc15396612"/>
      <w:bookmarkStart w:id="39" w:name="_Toc15377221"/>
      <w:r>
        <w:rPr>
          <w:rStyle w:val="29"/>
          <w:rFonts w:hint="eastAsia" w:ascii="Times New Roman" w:hAnsi="Times New Roman" w:eastAsia="黑体"/>
          <w:b w:val="0"/>
        </w:rPr>
        <w:t>十、其他重要事项的情况说明</w:t>
      </w:r>
      <w:bookmarkEnd w:id="38"/>
      <w:bookmarkEnd w:id="39"/>
    </w:p>
    <w:p w14:paraId="36AD9D50">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4B6DB17D">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，盐边县交通运输服务中心机关运行经费支出18.37万</w:t>
      </w:r>
      <w:r>
        <w:rPr>
          <w:rFonts w:hint="eastAsia" w:eastAsia="仿宋_GB2312" w:cs="仿宋_GB2312"/>
          <w:sz w:val="32"/>
          <w:szCs w:val="32"/>
        </w:rPr>
        <w:t>元，比2023年度增加1.51万元，增长8.96%。主要原因是正常增涨。</w:t>
      </w:r>
    </w:p>
    <w:p w14:paraId="61CF676F">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4240E97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盐边县交通运输服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A42D225">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0A03653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截至2024年12月31日，盐边县交通运输服务中心共有车辆0辆，其中：主要负责人用车0辆、机要通信用车0辆、应急保障用车0辆、其他用车0辆。单价100万元（含）以上设备（不含车辆）0台（套）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2FD86BB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D110B4C">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盐边县交通运输服务中心</w:t>
      </w:r>
      <w:r>
        <w:rPr>
          <w:rFonts w:hint="eastAsia" w:eastAsia="仿宋_GB2312" w:cs="仿宋_GB2312"/>
          <w:sz w:val="32"/>
          <w:szCs w:val="32"/>
        </w:rPr>
        <w:t>在2024年度预算编制阶段，</w:t>
      </w:r>
      <w:r>
        <w:rPr>
          <w:rFonts w:hint="eastAsia" w:ascii="仿宋_GB2312" w:eastAsia="仿宋_GB2312"/>
          <w:sz w:val="32"/>
          <w:szCs w:val="32"/>
        </w:rPr>
        <w:t>本单位2024年只有基本支出，无项目支出。无项目绩效目标。</w:t>
      </w:r>
    </w:p>
    <w:p w14:paraId="5BA1C681">
      <w:pPr>
        <w:pStyle w:val="2"/>
      </w:pPr>
    </w:p>
    <w:p w14:paraId="088FCCD2">
      <w:pPr>
        <w:pStyle w:val="3"/>
        <w:ind w:left="420"/>
      </w:pPr>
    </w:p>
    <w:p w14:paraId="4636DCDF">
      <w:pPr>
        <w:pStyle w:val="3"/>
        <w:ind w:left="420"/>
      </w:pPr>
    </w:p>
    <w:p w14:paraId="2F832F26">
      <w:pPr>
        <w:pStyle w:val="3"/>
        <w:ind w:left="420"/>
      </w:pPr>
    </w:p>
    <w:p w14:paraId="2D242FF2">
      <w:pPr>
        <w:pStyle w:val="3"/>
        <w:ind w:left="420"/>
      </w:pPr>
    </w:p>
    <w:p w14:paraId="14D4C87F">
      <w:pPr>
        <w:pStyle w:val="3"/>
        <w:ind w:left="420"/>
        <w:rPr>
          <w:rFonts w:hint="eastAsia"/>
        </w:rPr>
      </w:pPr>
    </w:p>
    <w:p w14:paraId="3150AD6B">
      <w:pPr>
        <w:pStyle w:val="3"/>
        <w:ind w:left="420"/>
        <w:rPr>
          <w:rFonts w:hint="eastAsia"/>
        </w:rPr>
      </w:pPr>
    </w:p>
    <w:p w14:paraId="40BA0431">
      <w:pPr>
        <w:pStyle w:val="3"/>
        <w:ind w:left="420"/>
        <w:rPr>
          <w:rFonts w:hint="eastAsia"/>
        </w:rPr>
      </w:pPr>
    </w:p>
    <w:p w14:paraId="1851CCC3">
      <w:pPr>
        <w:pStyle w:val="3"/>
        <w:ind w:left="420"/>
        <w:rPr>
          <w:rFonts w:hint="eastAsia"/>
        </w:rPr>
      </w:pPr>
    </w:p>
    <w:p w14:paraId="1657F7FC">
      <w:pPr>
        <w:pStyle w:val="3"/>
        <w:ind w:left="420"/>
        <w:rPr>
          <w:rFonts w:hint="eastAsia"/>
        </w:rPr>
      </w:pPr>
    </w:p>
    <w:p w14:paraId="72D52752">
      <w:pPr>
        <w:pStyle w:val="3"/>
        <w:ind w:left="420"/>
        <w:rPr>
          <w:rFonts w:hint="eastAsia"/>
        </w:rPr>
      </w:pPr>
    </w:p>
    <w:p w14:paraId="02888078">
      <w:pPr>
        <w:pStyle w:val="3"/>
        <w:ind w:left="420"/>
        <w:rPr>
          <w:rFonts w:hint="eastAsia"/>
        </w:rPr>
      </w:pPr>
    </w:p>
    <w:p w14:paraId="63470C08">
      <w:pPr>
        <w:pStyle w:val="3"/>
        <w:ind w:left="420"/>
        <w:rPr>
          <w:rFonts w:hint="eastAsia"/>
        </w:rPr>
      </w:pPr>
    </w:p>
    <w:p w14:paraId="582DC2E2">
      <w:pPr>
        <w:pStyle w:val="3"/>
        <w:ind w:left="420"/>
        <w:rPr>
          <w:rFonts w:hint="eastAsia"/>
        </w:rPr>
      </w:pPr>
    </w:p>
    <w:p w14:paraId="5D556C3F">
      <w:pPr>
        <w:pStyle w:val="3"/>
        <w:ind w:left="420"/>
        <w:rPr>
          <w:rFonts w:hint="eastAsia"/>
        </w:rPr>
      </w:pPr>
    </w:p>
    <w:p w14:paraId="4929821B">
      <w:pPr>
        <w:pStyle w:val="3"/>
        <w:ind w:left="420"/>
        <w:rPr>
          <w:rFonts w:hint="eastAsia"/>
        </w:rPr>
      </w:pPr>
    </w:p>
    <w:p w14:paraId="12B54ECD">
      <w:pPr>
        <w:pStyle w:val="3"/>
        <w:ind w:left="420"/>
        <w:rPr>
          <w:rFonts w:hint="eastAsia"/>
        </w:rPr>
      </w:pPr>
    </w:p>
    <w:p w14:paraId="42B8873F">
      <w:pPr>
        <w:pStyle w:val="3"/>
        <w:ind w:left="420"/>
        <w:rPr>
          <w:rFonts w:hint="eastAsia"/>
        </w:rPr>
      </w:pPr>
    </w:p>
    <w:p w14:paraId="4EA342EA">
      <w:pPr>
        <w:pStyle w:val="3"/>
        <w:ind w:left="420"/>
      </w:pPr>
    </w:p>
    <w:p w14:paraId="613A6DCF">
      <w:pPr>
        <w:rPr>
          <w:rFonts w:hint="eastAsia" w:eastAsia="黑体"/>
          <w:sz w:val="44"/>
          <w:szCs w:val="44"/>
        </w:rPr>
      </w:pPr>
      <w:bookmarkStart w:id="43" w:name="_Toc15377225"/>
      <w:bookmarkStart w:id="44" w:name="_Toc15396613"/>
      <w:r>
        <w:rPr>
          <w:rFonts w:hint="eastAsia" w:eastAsia="黑体"/>
          <w:sz w:val="44"/>
          <w:szCs w:val="44"/>
        </w:rPr>
        <w:br w:type="page"/>
      </w:r>
    </w:p>
    <w:p w14:paraId="2C9535D8">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14:paraId="661A72CB">
      <w:pPr>
        <w:spacing w:line="600" w:lineRule="exact"/>
        <w:jc w:val="left"/>
        <w:rPr>
          <w:b/>
          <w:sz w:val="44"/>
          <w:szCs w:val="44"/>
        </w:rPr>
      </w:pPr>
    </w:p>
    <w:p w14:paraId="22D3E9D0">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118BE509">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478BB487">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31E3CD84">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 </w:t>
      </w:r>
    </w:p>
    <w:p w14:paraId="631D47B6">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25D40BEC">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59BECC92">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60CC2E0B">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725B89EC">
      <w:pPr>
        <w:ind w:firstLine="640" w:firstLineChars="200"/>
        <w:rPr>
          <w:rFonts w:eastAsia="仿宋_GB2312"/>
          <w:sz w:val="32"/>
          <w:szCs w:val="32"/>
        </w:rPr>
      </w:pPr>
      <w:r>
        <w:rPr>
          <w:rFonts w:eastAsia="仿宋_GB2312"/>
          <w:sz w:val="32"/>
          <w:szCs w:val="32"/>
        </w:rPr>
        <w:t>9.社会保障和就业（208类）</w:t>
      </w:r>
      <w:r>
        <w:rPr>
          <w:rFonts w:eastAsia="仿宋_GB2312"/>
          <w:color w:val="000000"/>
          <w:sz w:val="32"/>
          <w:szCs w:val="32"/>
        </w:rPr>
        <w:t>行政事业单位养老支出</w:t>
      </w:r>
      <w:r>
        <w:rPr>
          <w:rFonts w:eastAsia="仿宋_GB2312"/>
          <w:sz w:val="32"/>
          <w:szCs w:val="32"/>
        </w:rPr>
        <w:t>（05款）</w:t>
      </w:r>
      <w:r>
        <w:rPr>
          <w:rFonts w:eastAsia="仿宋_GB2312"/>
          <w:color w:val="000000"/>
          <w:sz w:val="32"/>
          <w:szCs w:val="32"/>
        </w:rPr>
        <w:t>行政单位离退休</w:t>
      </w:r>
      <w:r>
        <w:rPr>
          <w:rFonts w:eastAsia="仿宋_GB2312"/>
          <w:sz w:val="32"/>
          <w:szCs w:val="32"/>
        </w:rPr>
        <w:t>（01项）：</w:t>
      </w:r>
      <w:r>
        <w:rPr>
          <w:rFonts w:eastAsia="仿宋_GB2312"/>
          <w:color w:val="000000"/>
          <w:sz w:val="32"/>
          <w:szCs w:val="32"/>
        </w:rPr>
        <w:t>指行政单位（包括实行公务员管理的事业单位）开支的离退休经费</w:t>
      </w:r>
      <w:r>
        <w:rPr>
          <w:rFonts w:eastAsia="仿宋_GB2312"/>
          <w:sz w:val="32"/>
          <w:szCs w:val="32"/>
        </w:rPr>
        <w:t>。</w:t>
      </w:r>
    </w:p>
    <w:p w14:paraId="4AA3E76B">
      <w:pPr>
        <w:spacing w:line="600" w:lineRule="exact"/>
        <w:ind w:firstLine="64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0</w:t>
      </w:r>
      <w:r>
        <w:rPr>
          <w:rFonts w:eastAsia="仿宋_GB2312"/>
          <w:color w:val="000000"/>
          <w:sz w:val="32"/>
          <w:szCs w:val="32"/>
        </w:rPr>
        <w:t>.社会保障和就业（208类）行政事业单位养老支出（05款）机关事业单位基本养老保险缴费支出（05项）：指机关事业单位实施养老保险制度由单位缴纳的基本养老保险费支出。</w:t>
      </w:r>
    </w:p>
    <w:p w14:paraId="6B23F36D">
      <w:pPr>
        <w:spacing w:line="600" w:lineRule="exact"/>
        <w:ind w:firstLine="64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1</w:t>
      </w:r>
      <w:r>
        <w:rPr>
          <w:rFonts w:eastAsia="仿宋_GB2312"/>
          <w:color w:val="000000"/>
          <w:sz w:val="32"/>
          <w:szCs w:val="32"/>
        </w:rPr>
        <w:t>.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387E66AE">
      <w:pPr>
        <w:spacing w:line="600" w:lineRule="exact"/>
        <w:ind w:firstLine="64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2</w:t>
      </w:r>
      <w:r>
        <w:rPr>
          <w:rFonts w:eastAsia="仿宋_GB2312"/>
          <w:color w:val="000000"/>
          <w:sz w:val="32"/>
          <w:szCs w:val="32"/>
        </w:rPr>
        <w:t>.卫生健康（210类）行政事业单位医疗（11款）公务员医疗补助（03项）：指财政部门安排的公务员医疗补助经费。</w:t>
      </w:r>
    </w:p>
    <w:p w14:paraId="6D8D0A53">
      <w:pPr>
        <w:spacing w:line="600" w:lineRule="exact"/>
        <w:ind w:firstLine="64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.卫生健康（210类）行政事业单位医疗（11款）其他行政事业单位医疗支出（99项）：其他用于行政事业单位医疗方面的支出。</w:t>
      </w:r>
    </w:p>
    <w:p w14:paraId="7B88FF55">
      <w:pPr>
        <w:spacing w:line="600" w:lineRule="exact"/>
        <w:ind w:firstLine="640"/>
        <w:rPr>
          <w:rFonts w:eastAsia="仿宋_GB2312" w:cs="仿宋_GB2312"/>
          <w:sz w:val="32"/>
          <w:szCs w:val="32"/>
        </w:rPr>
      </w:pPr>
      <w:r>
        <w:rPr>
          <w:rFonts w:hint="eastAsia" w:eastAsia="仿宋_GB2312" w:cs="仿宋_GB2312"/>
          <w:sz w:val="32"/>
          <w:szCs w:val="32"/>
        </w:rPr>
        <w:t>14.交通运输支出（214类）公路水路运输（01款）行政运行（01项）：指反映行政单位（包括实行公务员管理的事业单位）的基本支出。</w:t>
      </w:r>
    </w:p>
    <w:p w14:paraId="6A93F89A">
      <w:pPr>
        <w:spacing w:line="520" w:lineRule="exact"/>
        <w:ind w:firstLine="640" w:firstLineChars="200"/>
        <w:rPr>
          <w:rFonts w:eastAsia="仿宋_GB2312"/>
          <w:color w:val="000000"/>
          <w:sz w:val="32"/>
          <w:szCs w:val="32"/>
        </w:rPr>
      </w:pPr>
      <w:r>
        <w:rPr>
          <w:rFonts w:hint="eastAsia" w:eastAsia="仿宋_GB2312" w:cs="仿宋_GB2312"/>
          <w:sz w:val="32"/>
          <w:szCs w:val="32"/>
        </w:rPr>
        <w:t>15.</w:t>
      </w:r>
      <w:r>
        <w:rPr>
          <w:rFonts w:eastAsia="仿宋_GB2312"/>
          <w:color w:val="000000"/>
          <w:sz w:val="32"/>
          <w:szCs w:val="32"/>
        </w:rPr>
        <w:t>住房保障支出（221类）住房改革支出（02款）住房公积金。住房补贴（01项）：指行政事业单位按人力资源和社会保障部、财政部规定的基本工资和津贴补贴以及规定比例为职工缴纳的住房公积金。</w:t>
      </w:r>
    </w:p>
    <w:p w14:paraId="4CB2F18B">
      <w:pPr>
        <w:spacing w:line="600" w:lineRule="exact"/>
        <w:ind w:firstLine="640"/>
        <w:rPr>
          <w:rFonts w:eastAsia="仿宋_GB2312" w:cs="仿宋_GB2312"/>
          <w:sz w:val="32"/>
          <w:szCs w:val="32"/>
        </w:rPr>
      </w:pPr>
      <w:r>
        <w:rPr>
          <w:rFonts w:hint="eastAsia" w:eastAsia="仿宋_GB2312" w:cs="仿宋_GB2312"/>
          <w:sz w:val="32"/>
          <w:szCs w:val="32"/>
        </w:rPr>
        <w:t>16.基本支出：指为保障机构正常运转、完成日常工作任务而发生的人员支出和公用支出。</w:t>
      </w:r>
    </w:p>
    <w:p w14:paraId="2C867CB6">
      <w:pPr>
        <w:spacing w:line="600" w:lineRule="exact"/>
        <w:ind w:firstLine="640"/>
        <w:rPr>
          <w:rFonts w:eastAsia="仿宋_GB2312" w:cs="仿宋_GB2312"/>
          <w:sz w:val="32"/>
          <w:szCs w:val="32"/>
        </w:rPr>
      </w:pPr>
      <w:r>
        <w:rPr>
          <w:rFonts w:hint="eastAsia" w:eastAsia="仿宋_GB2312" w:cs="仿宋_GB2312"/>
          <w:sz w:val="32"/>
          <w:szCs w:val="32"/>
        </w:rPr>
        <w:t xml:space="preserve">17.项目支出：指在基本支出之外为完成特定行政任务和事业发展目标所发生的支出。 </w:t>
      </w:r>
    </w:p>
    <w:p w14:paraId="6954700D">
      <w:pPr>
        <w:spacing w:line="600" w:lineRule="exact"/>
        <w:ind w:firstLine="640"/>
        <w:rPr>
          <w:rFonts w:eastAsia="仿宋_GB2312" w:cs="仿宋_GB2312"/>
          <w:sz w:val="32"/>
          <w:szCs w:val="32"/>
        </w:rPr>
      </w:pPr>
      <w:r>
        <w:rPr>
          <w:rFonts w:hint="eastAsia" w:eastAsia="仿宋_GB2312" w:cs="仿宋_GB2312"/>
          <w:sz w:val="32"/>
          <w:szCs w:val="32"/>
        </w:rPr>
        <w:t>18.经营支出：指事业单位在专业业务活动及其辅助活动之外开展非独立核算经营活动发生的支出。</w:t>
      </w:r>
    </w:p>
    <w:p w14:paraId="4A2F5DD9">
      <w:pPr>
        <w:spacing w:line="600" w:lineRule="exact"/>
        <w:ind w:firstLine="640"/>
        <w:rPr>
          <w:rFonts w:eastAsia="仿宋_GB2312" w:cs="仿宋_GB2312"/>
          <w:sz w:val="32"/>
          <w:szCs w:val="32"/>
        </w:rPr>
      </w:pPr>
      <w:r>
        <w:rPr>
          <w:rFonts w:hint="eastAsia" w:eastAsia="仿宋_GB2312" w:cs="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C9D169">
      <w:pPr>
        <w:spacing w:line="600" w:lineRule="exact"/>
        <w:ind w:firstLine="640"/>
        <w:rPr>
          <w:rFonts w:eastAsia="仿宋_GB2312" w:cs="仿宋_GB2312"/>
          <w:sz w:val="32"/>
          <w:szCs w:val="32"/>
        </w:rPr>
      </w:pPr>
      <w:r>
        <w:rPr>
          <w:rFonts w:hint="eastAsia" w:eastAsia="仿宋_GB2312" w:cs="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07B67A">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47D4C0F2">
      <w:pPr>
        <w:spacing w:line="572" w:lineRule="exact"/>
        <w:jc w:val="left"/>
        <w:outlineLvl w:val="0"/>
        <w:rPr>
          <w:rFonts w:eastAsia="黑体" w:cs="黑体"/>
          <w:sz w:val="32"/>
          <w:szCs w:val="32"/>
        </w:rPr>
      </w:pPr>
    </w:p>
    <w:p w14:paraId="6C271B17">
      <w:pPr>
        <w:widowControl/>
        <w:spacing w:line="578" w:lineRule="exact"/>
        <w:contextualSpacing/>
        <w:jc w:val="center"/>
      </w:pPr>
      <w:r>
        <w:rPr>
          <w:rFonts w:hint="eastAsia" w:eastAsia="黑体" w:cs="黑体"/>
          <w:sz w:val="32"/>
          <w:szCs w:val="32"/>
        </w:rPr>
        <w:t>部门预算项目支出绩效评价表（2024年度）</w:t>
      </w:r>
    </w:p>
    <w:p w14:paraId="78862089">
      <w:pPr>
        <w:pStyle w:val="3"/>
        <w:spacing w:line="560" w:lineRule="exact"/>
        <w:ind w:left="0" w:leftChars="0" w:firstLine="640"/>
        <w:rPr>
          <w:rFonts w:eastAsia="仿宋_GB2312" w:cs="仿宋_GB2312"/>
          <w:kern w:val="0"/>
          <w:sz w:val="32"/>
        </w:rPr>
      </w:pPr>
      <w:r>
        <w:rPr>
          <w:rFonts w:ascii="Times New Roman" w:eastAsia="仿宋_GB2312" w:cs="仿宋_GB2312"/>
          <w:kern w:val="0"/>
          <w:sz w:val="32"/>
        </w:rPr>
        <w:t>盐边县交通运输服务中心</w:t>
      </w:r>
      <w:r>
        <w:rPr>
          <w:rFonts w:hint="eastAsia" w:ascii="Times New Roman" w:eastAsia="仿宋_GB2312" w:cs="仿宋_GB2312"/>
          <w:kern w:val="0"/>
          <w:sz w:val="32"/>
        </w:rPr>
        <w:t>2024年只有基本支出，无项目支出。</w:t>
      </w:r>
    </w:p>
    <w:p w14:paraId="4C0C9633">
      <w:pPr>
        <w:spacing w:line="578" w:lineRule="exact"/>
        <w:ind w:firstLine="640"/>
        <w:rPr>
          <w:rFonts w:eastAsia="仿宋_GB2312" w:cs="仿宋_GB2312"/>
          <w:kern w:val="0"/>
          <w:sz w:val="32"/>
          <w:szCs w:val="32"/>
        </w:rPr>
      </w:pPr>
      <w:bookmarkStart w:id="47" w:name="_Toc15396618"/>
      <w:r>
        <w:rPr>
          <w:rFonts w:hint="eastAsia" w:eastAsia="仿宋_GB2312" w:cs="仿宋_GB2312"/>
          <w:kern w:val="0"/>
          <w:sz w:val="32"/>
          <w:szCs w:val="32"/>
        </w:rPr>
        <w:br w:type="page"/>
      </w:r>
    </w:p>
    <w:p w14:paraId="78EF10F6">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14:paraId="684DD291">
      <w:pPr>
        <w:pStyle w:val="14"/>
        <w:adjustRightInd w:val="0"/>
        <w:snapToGrid w:val="0"/>
        <w:spacing w:line="560" w:lineRule="exact"/>
        <w:jc w:val="left"/>
        <w:rPr>
          <w:rFonts w:eastAsia="仿宋_GB2312" w:cs="仿宋_GB2312"/>
          <w:sz w:val="32"/>
          <w:szCs w:val="32"/>
        </w:rPr>
      </w:pPr>
    </w:p>
    <w:p w14:paraId="4711EB84">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50157D6B">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483CC581">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0E17C1FA">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1C269B45">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3F93D210">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64FFB1B0">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62BFAA0A">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5E0F6672">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39FC65E4">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6ACFF2C4">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3CA0952A">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65649DB6">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73F1D88D"/>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BF6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1237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81237C">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6F49766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0D2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BE814">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4BE814">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4DFF">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E722F">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F0E722F">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E580C1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06D3">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B588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0B5880">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1420">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4D311">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A04D311">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9EE7508">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0B74">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9F339">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E9F339">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A627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22E2"/>
    <w:multiLevelType w:val="multilevel"/>
    <w:tmpl w:val="608922E2"/>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2983"/>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2DFC"/>
    <w:rsid w:val="004E383C"/>
    <w:rsid w:val="004E6DF7"/>
    <w:rsid w:val="004F0FBD"/>
    <w:rsid w:val="00505A47"/>
    <w:rsid w:val="00511378"/>
    <w:rsid w:val="00512FDA"/>
    <w:rsid w:val="00520DA0"/>
    <w:rsid w:val="005664BB"/>
    <w:rsid w:val="00566FFA"/>
    <w:rsid w:val="0057481D"/>
    <w:rsid w:val="005817F3"/>
    <w:rsid w:val="0058486E"/>
    <w:rsid w:val="00585B33"/>
    <w:rsid w:val="0059014D"/>
    <w:rsid w:val="005A16A7"/>
    <w:rsid w:val="005B5C64"/>
    <w:rsid w:val="005C5337"/>
    <w:rsid w:val="005C6BD0"/>
    <w:rsid w:val="005D1C8B"/>
    <w:rsid w:val="005D468D"/>
    <w:rsid w:val="005D5CED"/>
    <w:rsid w:val="005F1A4C"/>
    <w:rsid w:val="005F6F8D"/>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54BA8"/>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47F7"/>
    <w:rsid w:val="00D51276"/>
    <w:rsid w:val="00D7035F"/>
    <w:rsid w:val="00D877B6"/>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2F6E"/>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45FA"/>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BD5910"/>
    <w:rsid w:val="02FEBE30"/>
    <w:rsid w:val="04916F1E"/>
    <w:rsid w:val="061E35DE"/>
    <w:rsid w:val="066E0107"/>
    <w:rsid w:val="07996F6E"/>
    <w:rsid w:val="07DFD8BA"/>
    <w:rsid w:val="09867E8F"/>
    <w:rsid w:val="0A2032A3"/>
    <w:rsid w:val="0AE8582E"/>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8B49A8"/>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5132B1"/>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AA780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正文-公1"/>
    <w:basedOn w:val="1"/>
    <w:next w:val="1"/>
    <w:qFormat/>
    <w:uiPriority w:val="0"/>
    <w:pPr>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4.xml"/><Relationship Id="rId15" Type="http://schemas.openxmlformats.org/officeDocument/2006/relationships/image" Target="media/image2.png"/><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b="0" i="0" u="none" strike="noStrike" baseline="0">
                <a:solidFill>
                  <a:srgbClr val="000000"/>
                </a:solidFill>
                <a:latin typeface="宋体" panose="02010600030101010101" charset="-122"/>
                <a:ea typeface="宋体" panose="02010600030101010101" charset="-122"/>
              </a:rPr>
              <a:t>图</a:t>
            </a:r>
            <a:r>
              <a:rPr lang="en-US" altLang="zh-CN" sz="1600" b="0" i="0" u="none" strike="noStrike" baseline="0">
                <a:solidFill>
                  <a:srgbClr val="000000"/>
                </a:solidFill>
                <a:latin typeface="宋体" panose="02010600030101010101" charset="-122"/>
                <a:ea typeface="宋体" panose="02010600030101010101" charset="-122"/>
              </a:rPr>
              <a:t>2    </a:t>
            </a:r>
            <a:r>
              <a:rPr lang="zh-CN" altLang="en-US" sz="1600" b="0" i="0" u="none" strike="noStrike" baseline="0">
                <a:solidFill>
                  <a:srgbClr val="000000"/>
                </a:solidFill>
                <a:latin typeface="宋体" panose="02010600030101010101" charset="-122"/>
                <a:ea typeface="宋体" panose="02010600030101010101" charset="-122"/>
              </a:rPr>
              <a:t>收入决算结构图</a:t>
            </a:r>
            <a:endParaRPr lang="zh-CN" altLang="en-US" sz="16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manualLayout>
          <c:layoutTarget val="inner"/>
          <c:xMode val="edge"/>
          <c:yMode val="edge"/>
          <c:x val="0.110703200987428"/>
          <c:y val="0.241617122473246"/>
          <c:w val="0.381531423067662"/>
          <c:h val="0.753626634958383"/>
        </c:manualLayout>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Pt>
            <c:idx val="5"/>
            <c:bubble3D val="0"/>
            <c:spPr>
              <a:solidFill>
                <a:srgbClr val="FF8080"/>
              </a:solidFill>
              <a:ln w="12700">
                <a:solidFill>
                  <a:srgbClr val="000000">
                    <a:alpha val="100000"/>
                  </a:srgbClr>
                </a:solidFill>
                <a:prstDash val="solid"/>
              </a:ln>
              <a:effectLst/>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218.39</c:v>
                </c:pt>
                <c:pt idx="1">
                  <c:v>0</c:v>
                </c:pt>
                <c:pt idx="2">
                  <c:v>0</c:v>
                </c:pt>
                <c:pt idx="3">
                  <c:v>0</c:v>
                </c:pt>
                <c:pt idx="4">
                  <c:v>0</c:v>
                </c:pt>
                <c:pt idx="5">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500023927584"/>
          <c:y val="0.235749921841487"/>
          <c:w val="0.334499968710082"/>
          <c:h val="0.664749856406453"/>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d458f73-4683-4c59-a7c1-ae4dd2754064}"/>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  支出决算结构图</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36779089376054"/>
          <c:y val="0.0214067278287462"/>
        </c:manualLayout>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Lbls>
            <c:dLbl>
              <c:idx val="0"/>
              <c:layout>
                <c:manualLayout>
                  <c:x val="-0.013617663562162"/>
                  <c:y val="-0.25076452599388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268593230830376"/>
                  <c:y val="0.14728358817281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Sheet1!$B$34:$B$35</c:f>
              <c:strCache>
                <c:ptCount val="2"/>
                <c:pt idx="0">
                  <c:v>基本支出</c:v>
                </c:pt>
                <c:pt idx="1">
                  <c:v>项目支出</c:v>
                </c:pt>
              </c:strCache>
            </c:strRef>
          </c:cat>
          <c:val>
            <c:numRef>
              <c:f>Sheet1!$C$34:$C$35</c:f>
              <c:numCache>
                <c:formatCode>General</c:formatCode>
                <c:ptCount val="2"/>
                <c:pt idx="0">
                  <c:v>218.39</c:v>
                </c:pt>
                <c:pt idx="1">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Sheet1!$B$34:$B$35</c:f>
              <c:strCache>
                <c:ptCount val="2"/>
                <c:pt idx="0">
                  <c:v>基本支出</c:v>
                </c:pt>
                <c:pt idx="1">
                  <c:v>项目支出</c:v>
                </c:pt>
              </c:strCache>
            </c:strRef>
          </c:cat>
          <c:val>
            <c:numRef>
              <c:f>Sheet1!$D$34:$D$35</c:f>
              <c:numCache>
                <c:formatCode>0.00%</c:formatCode>
                <c:ptCount val="2"/>
                <c:pt idx="0">
                  <c:v>1</c:v>
                </c:pt>
                <c:pt idx="1">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40266933"/>
          <c:y val="0.4175000973543"/>
          <c:w val="0.237249988102952"/>
          <c:h val="0.29824995911119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82870029-a2c0-4418-ae02-3ce891beae34}"/>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Sheet1!$B$81:$C$81</c:f>
              <c:strCache>
                <c:ptCount val="2"/>
                <c:pt idx="0">
                  <c:v>2023年</c:v>
                </c:pt>
                <c:pt idx="1">
                  <c:v>2024年</c:v>
                </c:pt>
              </c:strCache>
            </c:strRef>
          </c:cat>
          <c:val>
            <c:numRef>
              <c:f>Sheet1!$B$82:$C$82</c:f>
              <c:numCache>
                <c:formatCode>General</c:formatCode>
                <c:ptCount val="2"/>
                <c:pt idx="0">
                  <c:v>243.69</c:v>
                </c:pt>
                <c:pt idx="1">
                  <c:v>218.39</c:v>
                </c:pt>
              </c:numCache>
            </c:numRef>
          </c:val>
        </c:ser>
        <c:dLbls>
          <c:showLegendKey val="0"/>
          <c:showVal val="0"/>
          <c:showCatName val="0"/>
          <c:showSerName val="0"/>
          <c:showPercent val="0"/>
          <c:showBubbleSize val="0"/>
        </c:dLbls>
        <c:gapWidth val="150"/>
        <c:axId val="315495936"/>
        <c:axId val="253208256"/>
      </c:barChart>
      <c:catAx>
        <c:axId val="31549593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53208256"/>
        <c:crosses val="autoZero"/>
        <c:auto val="1"/>
        <c:lblAlgn val="ctr"/>
        <c:lblOffset val="100"/>
        <c:noMultiLvlLbl val="0"/>
      </c:catAx>
      <c:valAx>
        <c:axId val="25320825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1549593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9"/>
          <c:y val="0.505750039035489"/>
          <c:w val="0.315249976731632"/>
          <c:h val="0.21175887216052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95411a9-7f77-4ec5-a4d4-48a2f12da979}"/>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38243789716927"/>
          <c:y val="0.0276453994869537"/>
        </c:manualLayout>
      </c:layout>
      <c:overlay val="0"/>
    </c:title>
    <c:autoTitleDeleted val="0"/>
    <c:plotArea>
      <c:layout>
        <c:manualLayout>
          <c:layoutTarget val="inner"/>
          <c:xMode val="edge"/>
          <c:yMode val="edge"/>
          <c:x val="0.136975836783289"/>
          <c:y val="0.231481481481481"/>
          <c:w val="0.393676975945017"/>
          <c:h val="0.662962962962963"/>
        </c:manualLayout>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179258711710677"/>
                  <c:y val="0.448365298092701"/>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28249566724437"/>
                  <c:y val="0.15605095541401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159445407279029"/>
                  <c:y val="0.49681528662420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0</c:v>
                </c:pt>
                <c:pt idx="1">
                  <c:v>0</c:v>
                </c:pt>
                <c:pt idx="2">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Sheet1!$B$135:$B$137</c:f>
              <c:strCache>
                <c:ptCount val="3"/>
                <c:pt idx="0">
                  <c:v>因公出国（境）费支出</c:v>
                </c:pt>
                <c:pt idx="1">
                  <c:v>公务用车购置及运行维护费支出</c:v>
                </c:pt>
                <c:pt idx="2">
                  <c:v>公务接待费支出</c:v>
                </c:pt>
              </c:strCache>
            </c:strRef>
          </c:cat>
          <c:val>
            <c:numRef>
              <c:f>Sheet1!$D$135:$D$137</c:f>
              <c:numCache>
                <c:formatCode>General</c:formatCode>
                <c:ptCount val="3"/>
                <c:pt idx="0">
                  <c:v>0</c:v>
                </c:pt>
                <c:pt idx="1" c:formatCode="0%">
                  <c:v>0</c:v>
                </c:pt>
                <c:pt idx="2" c:formatCode="0%">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38499928142988"/>
          <c:h val="0.33250012723478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c742b9b-be35-4465-b7dd-7114c9b285a4}"/>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5213</Words>
  <Characters>5672</Characters>
  <Lines>10</Lines>
  <Paragraphs>11</Paragraphs>
  <TotalTime>2</TotalTime>
  <ScaleCrop>false</ScaleCrop>
  <LinksUpToDate>false</LinksUpToDate>
  <CharactersWithSpaces>5703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茉莉飘香</cp:lastModifiedBy>
  <cp:lastPrinted>2025-10-10T03:06:00Z</cp:lastPrinted>
  <dcterms:modified xsi:type="dcterms:W3CDTF">2025-10-19T03:29:24Z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eyJoZGlkIjoiMWRlZGMxZTNiYWExNzIyOTVmNTE0MjU4NjVhYWRiMjAiLCJ1c2VySWQiOiI3NzM0OTYzMDYifQ==</vt:lpwstr>
  </property>
</Properties>
</file>