
<file path=[Content_Types].xml><?xml version="1.0" encoding="utf-8"?>
<Types xmlns="http://schemas.openxmlformats.org/package/2006/content-types">
  <Default Extension="xml" ContentType="application/xml"/>
  <Default Extension="xlsx" ContentType="application/vnd.openxmlformats-officedocument.spreadsheetml.shee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68664">
      <w:pPr>
        <w:pStyle w:val="8"/>
        <w:spacing w:before="93"/>
        <w:rPr>
          <w:rFonts w:ascii="Times New Roman" w:eastAsia="方正小标宋简体"/>
          <w:kern w:val="2"/>
          <w:sz w:val="72"/>
          <w:szCs w:val="72"/>
        </w:rPr>
      </w:pPr>
      <w:bookmarkStart w:id="0" w:name="_Toc15306267"/>
      <w:bookmarkStart w:id="1" w:name="_Toc15378441"/>
      <w:bookmarkStart w:id="2" w:name="_Toc15396597"/>
      <w:bookmarkStart w:id="3" w:name="_Toc15377193"/>
      <w:bookmarkStart w:id="4" w:name="_Toc15377425"/>
      <w:bookmarkStart w:id="5" w:name="_Toc15396475"/>
    </w:p>
    <w:p w14:paraId="040EC1F4">
      <w:pPr>
        <w:pStyle w:val="8"/>
        <w:spacing w:before="93"/>
        <w:rPr>
          <w:rFonts w:ascii="Times New Roman" w:eastAsia="方正小标宋简体"/>
          <w:kern w:val="2"/>
          <w:sz w:val="72"/>
          <w:szCs w:val="72"/>
        </w:rPr>
      </w:pPr>
    </w:p>
    <w:p w14:paraId="0EA50C9E">
      <w:pPr>
        <w:pStyle w:val="8"/>
        <w:spacing w:before="93"/>
        <w:rPr>
          <w:rFonts w:ascii="Times New Roman" w:eastAsia="方正小标宋简体"/>
          <w:kern w:val="2"/>
          <w:sz w:val="72"/>
          <w:szCs w:val="72"/>
        </w:rPr>
      </w:pPr>
    </w:p>
    <w:p w14:paraId="105C9073">
      <w:pPr>
        <w:pStyle w:val="8"/>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14:paraId="3D52F523">
      <w:pPr>
        <w:pStyle w:val="8"/>
        <w:spacing w:before="93"/>
        <w:jc w:val="center"/>
        <w:rPr>
          <w:rFonts w:ascii="Times New Roman" w:eastAsia="方正小标宋简体"/>
          <w:kern w:val="2"/>
          <w:sz w:val="72"/>
          <w:szCs w:val="72"/>
        </w:rPr>
      </w:pPr>
      <w:r>
        <w:rPr>
          <w:rFonts w:hint="eastAsia" w:ascii="Times New Roman" w:eastAsia="方正小标宋简体"/>
          <w:kern w:val="2"/>
          <w:sz w:val="72"/>
          <w:szCs w:val="72"/>
        </w:rPr>
        <w:t>盐边县航务海事中心单位决算公开编制说明</w:t>
      </w:r>
    </w:p>
    <w:p w14:paraId="7D7DD54B">
      <w:pPr>
        <w:spacing w:line="600" w:lineRule="exact"/>
        <w:jc w:val="center"/>
        <w:outlineLvl w:val="0"/>
        <w:rPr>
          <w:rFonts w:eastAsia="方正小标宋简体"/>
          <w:sz w:val="72"/>
          <w:szCs w:val="72"/>
        </w:rPr>
      </w:pPr>
    </w:p>
    <w:p w14:paraId="0BC60E3F">
      <w:p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7FE59EB2"/>
    <w:bookmarkEnd w:id="0"/>
    <w:bookmarkEnd w:id="1"/>
    <w:bookmarkEnd w:id="2"/>
    <w:bookmarkEnd w:id="3"/>
    <w:bookmarkEnd w:id="4"/>
    <w:bookmarkEnd w:id="5"/>
    <w:p w14:paraId="0BA993D7">
      <w:pPr>
        <w:widowControl/>
        <w:jc w:val="center"/>
        <w:rPr>
          <w:rFonts w:eastAsia="黑体"/>
          <w:sz w:val="48"/>
          <w:szCs w:val="48"/>
        </w:rPr>
      </w:pPr>
      <w:r>
        <w:rPr>
          <w:rFonts w:hint="eastAsia" w:eastAsia="黑体"/>
          <w:sz w:val="48"/>
          <w:szCs w:val="48"/>
        </w:rPr>
        <w:t>目</w:t>
      </w:r>
      <w:r>
        <w:rPr>
          <w:rFonts w:hint="eastAsia" w:eastAsia="黑体"/>
          <w:sz w:val="48"/>
          <w:szCs w:val="48"/>
          <w:lang w:val="en-US" w:eastAsia="zh-CN"/>
        </w:rPr>
        <w:t xml:space="preserve">   </w:t>
      </w:r>
      <w:r>
        <w:rPr>
          <w:rFonts w:hint="eastAsia" w:eastAsia="黑体"/>
          <w:sz w:val="48"/>
          <w:szCs w:val="48"/>
        </w:rPr>
        <w:t>录</w:t>
      </w:r>
    </w:p>
    <w:p w14:paraId="4333E1A3">
      <w:pPr>
        <w:widowControl/>
        <w:jc w:val="center"/>
        <w:rPr>
          <w:rFonts w:eastAsia="黑体" w:cstheme="minorBidi"/>
          <w:sz w:val="28"/>
          <w:szCs w:val="28"/>
        </w:rPr>
      </w:pPr>
    </w:p>
    <w:p w14:paraId="0D614B6F">
      <w:pPr>
        <w:pStyle w:val="13"/>
        <w:rPr>
          <w:rFonts w:ascii="Times New Roman" w:hAnsi="Times New Roman" w:eastAsia="仿宋_GB2312" w:cs="仿宋_GB2312"/>
        </w:rPr>
      </w:pPr>
      <w:r>
        <w:rPr>
          <w:rFonts w:hint="eastAsia" w:ascii="Times New Roman" w:hAnsi="Times New Roman" w:eastAsia="仿宋_GB2312" w:cs="仿宋_GB2312"/>
        </w:rPr>
        <w:t>公开时间：2025年10月28日</w:t>
      </w:r>
    </w:p>
    <w:p w14:paraId="55F175C5">
      <w:pPr>
        <w:rPr>
          <w:sz w:val="28"/>
          <w:szCs w:val="28"/>
        </w:rPr>
      </w:pPr>
    </w:p>
    <w:p w14:paraId="016DFA97">
      <w:pPr>
        <w:pStyle w:val="13"/>
        <w:tabs>
          <w:tab w:val="left" w:pos="7980"/>
        </w:tabs>
        <w:adjustRightInd w:val="0"/>
        <w:snapToGrid w:val="0"/>
        <w:spacing w:before="0" w:line="560" w:lineRule="exact"/>
        <w:jc w:val="left"/>
        <w:rPr>
          <w:rFonts w:ascii="Times New Roman" w:hAnsi="Times New Roman" w:eastAsia="黑体" w:cs="黑体"/>
        </w:rPr>
      </w:pPr>
      <w:r>
        <w:rPr>
          <w:rFonts w:hint="eastAsia" w:ascii="Times New Roman" w:hAnsi="Times New Roman" w:eastAsia="黑体" w:cs="黑体"/>
        </w:rPr>
        <w:t>第一部分 单位概况</w:t>
      </w:r>
      <w:r>
        <w:rPr>
          <w:rFonts w:hint="eastAsia" w:ascii="Times New Roman" w:hAnsi="Times New Roman" w:eastAsia="黑体"/>
          <w:lang w:eastAsia="zh-CN"/>
        </w:rPr>
        <w:t>……………………………………………………（</w:t>
      </w:r>
      <w:r>
        <w:rPr>
          <w:rFonts w:hint="eastAsia" w:ascii="Times New Roman" w:hAnsi="Times New Roman" w:eastAsia="黑体"/>
          <w:lang w:val="en-US" w:eastAsia="zh-CN"/>
        </w:rPr>
        <w:t>1</w:t>
      </w:r>
      <w:r>
        <w:rPr>
          <w:rFonts w:hint="eastAsia" w:ascii="Times New Roman" w:hAnsi="Times New Roman" w:eastAsia="黑体"/>
          <w:lang w:eastAsia="zh-CN"/>
        </w:rPr>
        <w:t>）</w:t>
      </w:r>
    </w:p>
    <w:p w14:paraId="40E25823">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一、主要职责</w:t>
      </w:r>
      <w:r>
        <w:rPr>
          <w:rFonts w:hint="eastAsia" w:ascii="Times New Roman" w:hAnsi="Times New Roman" w:eastAsia="黑体"/>
          <w:lang w:eastAsia="zh-CN"/>
        </w:rPr>
        <w:t>………………………………………………………………………</w:t>
      </w:r>
      <w:r>
        <w:rPr>
          <w:rFonts w:hint="eastAsia" w:eastAsia="黑体"/>
          <w:lang w:eastAsia="zh-CN"/>
        </w:rPr>
        <w:t>（</w:t>
      </w:r>
      <w:r>
        <w:rPr>
          <w:rFonts w:hint="eastAsia" w:eastAsia="黑体"/>
          <w:lang w:val="en-US" w:eastAsia="zh-CN"/>
        </w:rPr>
        <w:t>1</w:t>
      </w:r>
      <w:r>
        <w:rPr>
          <w:rFonts w:hint="eastAsia" w:eastAsia="黑体"/>
          <w:lang w:eastAsia="zh-CN"/>
        </w:rPr>
        <w:t>）</w:t>
      </w:r>
      <w:bookmarkStart w:id="65" w:name="_GoBack"/>
      <w:bookmarkEnd w:id="65"/>
    </w:p>
    <w:p w14:paraId="0418282E">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二、机构设置</w:t>
      </w:r>
      <w:r>
        <w:rPr>
          <w:rFonts w:hint="eastAsia" w:ascii="Times New Roman" w:hAnsi="Times New Roman" w:eastAsia="黑体"/>
          <w:lang w:eastAsia="zh-CN"/>
        </w:rPr>
        <w:t>……………………………………………………………</w:t>
      </w:r>
      <w:r>
        <w:rPr>
          <w:rFonts w:hint="eastAsia" w:eastAsia="黑体"/>
          <w:lang w:eastAsia="zh-CN"/>
        </w:rPr>
        <w:t>……</w:t>
      </w:r>
      <w:r>
        <w:rPr>
          <w:rFonts w:hint="eastAsia" w:ascii="Times New Roman" w:hAnsi="Times New Roman" w:eastAsia="黑体"/>
          <w:lang w:eastAsia="zh-CN"/>
        </w:rPr>
        <w:t>………</w:t>
      </w:r>
      <w:r>
        <w:rPr>
          <w:rFonts w:hint="eastAsia" w:eastAsia="黑体"/>
          <w:lang w:eastAsia="zh-CN"/>
        </w:rPr>
        <w:t>（</w:t>
      </w:r>
      <w:r>
        <w:rPr>
          <w:rFonts w:hint="eastAsia" w:eastAsia="黑体"/>
          <w:lang w:val="en-US" w:eastAsia="zh-CN"/>
        </w:rPr>
        <w:t>2</w:t>
      </w:r>
      <w:r>
        <w:rPr>
          <w:rFonts w:hint="eastAsia" w:eastAsia="黑体"/>
          <w:lang w:eastAsia="zh-CN"/>
        </w:rPr>
        <w:t>）</w:t>
      </w:r>
    </w:p>
    <w:p w14:paraId="72C170E0">
      <w:pPr>
        <w:pStyle w:val="13"/>
        <w:adjustRightInd w:val="0"/>
        <w:snapToGrid w:val="0"/>
        <w:spacing w:before="0" w:line="560" w:lineRule="exact"/>
        <w:jc w:val="left"/>
        <w:rPr>
          <w:rFonts w:hint="default" w:ascii="Times New Roman" w:hAnsi="Times New Roman" w:eastAsia="黑体" w:cs="黑体"/>
          <w:lang w:val="en-US"/>
        </w:rPr>
      </w:pPr>
      <w:r>
        <w:rPr>
          <w:rFonts w:hint="eastAsia" w:ascii="Times New Roman" w:hAnsi="Times New Roman" w:eastAsia="黑体" w:cs="黑体"/>
        </w:rPr>
        <w:t>第二部分 2024年度部门决算情况说明</w:t>
      </w:r>
      <w:r>
        <w:rPr>
          <w:rFonts w:hint="eastAsia" w:ascii="Times New Roman" w:hAnsi="Times New Roman" w:eastAsia="黑体"/>
          <w:lang w:eastAsia="zh-CN"/>
        </w:rPr>
        <w:t>…………………</w:t>
      </w:r>
      <w:r>
        <w:rPr>
          <w:rFonts w:hint="eastAsia" w:ascii="Times New Roman" w:hAnsi="Times New Roman" w:eastAsia="黑体" w:cs="黑体"/>
          <w:lang w:eastAsia="zh-CN"/>
        </w:rPr>
        <w:t>……………</w:t>
      </w:r>
      <w:r>
        <w:rPr>
          <w:rFonts w:hint="eastAsia" w:ascii="Times New Roman" w:hAnsi="Times New Roman" w:eastAsia="黑体" w:cs="黑体"/>
          <w:lang w:val="en-US" w:eastAsia="zh-CN"/>
        </w:rPr>
        <w:t>（3）</w:t>
      </w:r>
    </w:p>
    <w:p w14:paraId="5625BD7D">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一、收入支出决算总体情况说明</w:t>
      </w:r>
      <w:r>
        <w:rPr>
          <w:rFonts w:hint="eastAsia" w:ascii="Times New Roman" w:hAnsi="Times New Roman" w:eastAsia="黑体"/>
          <w:lang w:eastAsia="zh-CN"/>
        </w:rPr>
        <w:t>……………………………………</w:t>
      </w:r>
      <w:r>
        <w:rPr>
          <w:rFonts w:hint="eastAsia" w:eastAsia="黑体"/>
          <w:lang w:eastAsia="zh-CN"/>
        </w:rPr>
        <w:t>…</w:t>
      </w:r>
      <w:r>
        <w:rPr>
          <w:rFonts w:hint="eastAsia" w:ascii="Times New Roman" w:hAnsi="Times New Roman" w:eastAsia="黑体"/>
          <w:lang w:eastAsia="zh-CN"/>
        </w:rPr>
        <w:t>……</w:t>
      </w:r>
      <w:r>
        <w:rPr>
          <w:rFonts w:hint="eastAsia" w:eastAsia="黑体"/>
          <w:lang w:eastAsia="zh-CN"/>
        </w:rPr>
        <w:t>（</w:t>
      </w:r>
      <w:r>
        <w:rPr>
          <w:rFonts w:hint="eastAsia" w:eastAsia="黑体"/>
          <w:lang w:val="en-US" w:eastAsia="zh-CN"/>
        </w:rPr>
        <w:t>3</w:t>
      </w:r>
      <w:r>
        <w:rPr>
          <w:rFonts w:hint="eastAsia" w:eastAsia="黑体"/>
          <w:lang w:eastAsia="zh-CN"/>
        </w:rPr>
        <w:t>）</w:t>
      </w:r>
    </w:p>
    <w:p w14:paraId="1273906A">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二、收入决算情况说明</w:t>
      </w:r>
      <w:r>
        <w:rPr>
          <w:rFonts w:hint="eastAsia" w:ascii="Times New Roman" w:hAnsi="Times New Roman" w:eastAsia="黑体"/>
          <w:lang w:eastAsia="zh-CN"/>
        </w:rPr>
        <w:t>………………………………………………</w:t>
      </w:r>
      <w:r>
        <w:rPr>
          <w:rFonts w:hint="eastAsia" w:eastAsia="黑体"/>
          <w:lang w:eastAsia="zh-CN"/>
        </w:rPr>
        <w:t>……</w:t>
      </w:r>
      <w:r>
        <w:rPr>
          <w:rFonts w:hint="eastAsia" w:ascii="Times New Roman" w:hAnsi="Times New Roman" w:eastAsia="黑体"/>
          <w:lang w:eastAsia="zh-CN"/>
        </w:rPr>
        <w:t>………</w:t>
      </w:r>
      <w:r>
        <w:rPr>
          <w:rFonts w:hint="eastAsia" w:eastAsia="黑体"/>
          <w:lang w:eastAsia="zh-CN"/>
        </w:rPr>
        <w:t>（</w:t>
      </w:r>
      <w:r>
        <w:rPr>
          <w:rFonts w:hint="eastAsia" w:eastAsia="黑体"/>
          <w:lang w:val="en-US" w:eastAsia="zh-CN"/>
        </w:rPr>
        <w:t>3</w:t>
      </w:r>
      <w:r>
        <w:rPr>
          <w:rFonts w:hint="eastAsia" w:eastAsia="黑体"/>
          <w:lang w:eastAsia="zh-CN"/>
        </w:rPr>
        <w:t>）</w:t>
      </w:r>
    </w:p>
    <w:p w14:paraId="0579DE41">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三、支出决算情况说明</w:t>
      </w:r>
      <w:r>
        <w:rPr>
          <w:rFonts w:hint="eastAsia" w:ascii="Times New Roman" w:hAnsi="Times New Roman" w:eastAsia="黑体"/>
          <w:lang w:eastAsia="zh-CN"/>
        </w:rPr>
        <w:t>…………………………………………………</w:t>
      </w:r>
      <w:r>
        <w:rPr>
          <w:rFonts w:hint="eastAsia" w:eastAsia="黑体"/>
          <w:lang w:eastAsia="zh-CN"/>
        </w:rPr>
        <w:t>……</w:t>
      </w:r>
      <w:r>
        <w:rPr>
          <w:rFonts w:hint="eastAsia" w:ascii="Times New Roman" w:hAnsi="Times New Roman" w:eastAsia="黑体"/>
          <w:lang w:eastAsia="zh-CN"/>
        </w:rPr>
        <w:t>……</w:t>
      </w:r>
      <w:r>
        <w:rPr>
          <w:rFonts w:hint="eastAsia" w:eastAsia="黑体"/>
          <w:lang w:eastAsia="zh-CN"/>
        </w:rPr>
        <w:t>（</w:t>
      </w:r>
      <w:r>
        <w:rPr>
          <w:rFonts w:hint="eastAsia" w:eastAsia="黑体"/>
          <w:lang w:val="en-US" w:eastAsia="zh-CN"/>
        </w:rPr>
        <w:t>4</w:t>
      </w:r>
      <w:r>
        <w:rPr>
          <w:rFonts w:hint="eastAsia" w:eastAsia="黑体"/>
          <w:lang w:eastAsia="zh-CN"/>
        </w:rPr>
        <w:t>）</w:t>
      </w:r>
    </w:p>
    <w:p w14:paraId="1DD5C2D2">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四、财政拨款收入支出决算总体情况说明</w:t>
      </w:r>
      <w:r>
        <w:rPr>
          <w:rFonts w:hint="eastAsia" w:ascii="Times New Roman" w:hAnsi="Times New Roman" w:eastAsia="黑体"/>
          <w:lang w:eastAsia="zh-CN"/>
        </w:rPr>
        <w:t>………………</w:t>
      </w:r>
      <w:r>
        <w:rPr>
          <w:rFonts w:hint="eastAsia" w:eastAsia="黑体"/>
          <w:lang w:eastAsia="zh-CN"/>
        </w:rPr>
        <w:t>……</w:t>
      </w:r>
      <w:r>
        <w:rPr>
          <w:rFonts w:hint="eastAsia" w:ascii="Times New Roman" w:hAnsi="Times New Roman" w:eastAsia="黑体"/>
          <w:lang w:eastAsia="zh-CN"/>
        </w:rPr>
        <w:t>…………</w:t>
      </w:r>
      <w:r>
        <w:rPr>
          <w:rFonts w:hint="eastAsia" w:eastAsia="黑体"/>
          <w:lang w:val="en-US" w:eastAsia="zh-CN"/>
        </w:rPr>
        <w:t>（5）</w:t>
      </w:r>
    </w:p>
    <w:p w14:paraId="3ABE2AFE">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五、一般公共预算财政拨款支出决算情况说明</w:t>
      </w:r>
      <w:r>
        <w:rPr>
          <w:rFonts w:hint="eastAsia" w:ascii="Times New Roman" w:hAnsi="Times New Roman" w:eastAsia="黑体"/>
          <w:lang w:eastAsia="zh-CN"/>
        </w:rPr>
        <w:t>…………</w:t>
      </w:r>
      <w:r>
        <w:rPr>
          <w:rFonts w:hint="eastAsia" w:eastAsia="黑体"/>
          <w:lang w:eastAsia="zh-CN"/>
        </w:rPr>
        <w:t>……</w:t>
      </w:r>
      <w:r>
        <w:rPr>
          <w:rFonts w:hint="eastAsia" w:ascii="Times New Roman" w:hAnsi="Times New Roman" w:eastAsia="黑体"/>
          <w:lang w:eastAsia="zh-CN"/>
        </w:rPr>
        <w:t>………</w:t>
      </w:r>
      <w:r>
        <w:rPr>
          <w:rFonts w:hint="eastAsia" w:eastAsia="黑体"/>
          <w:lang w:val="en-US" w:eastAsia="zh-CN"/>
        </w:rPr>
        <w:t xml:space="preserve"> （5）</w:t>
      </w:r>
    </w:p>
    <w:p w14:paraId="69D4715C">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六、一般公共预算财政拨款基本支出决算情况说明</w:t>
      </w:r>
      <w:r>
        <w:rPr>
          <w:rFonts w:hint="eastAsia" w:ascii="Times New Roman" w:hAnsi="Times New Roman" w:eastAsia="黑体"/>
          <w:lang w:eastAsia="zh-CN"/>
        </w:rPr>
        <w:t>………………</w:t>
      </w:r>
      <w:r>
        <w:rPr>
          <w:rFonts w:hint="eastAsia" w:eastAsia="黑体"/>
          <w:lang w:val="en-US" w:eastAsia="zh-CN"/>
        </w:rPr>
        <w:t>（8）</w:t>
      </w:r>
    </w:p>
    <w:p w14:paraId="50A4E6C0">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七、财政拨款“三公”经费支出决算情况说明</w:t>
      </w:r>
      <w:r>
        <w:rPr>
          <w:rFonts w:hint="eastAsia" w:ascii="Times New Roman" w:hAnsi="Times New Roman" w:eastAsia="黑体"/>
          <w:lang w:eastAsia="zh-CN"/>
        </w:rPr>
        <w:t>………………………</w:t>
      </w:r>
      <w:r>
        <w:rPr>
          <w:rFonts w:hint="eastAsia" w:eastAsia="黑体"/>
          <w:lang w:val="en-US" w:eastAsia="zh-CN"/>
        </w:rPr>
        <w:t>（8）</w:t>
      </w:r>
    </w:p>
    <w:p w14:paraId="2308189E">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八、政府性基金预算支出决算情况说明</w:t>
      </w:r>
      <w:r>
        <w:rPr>
          <w:rFonts w:hint="eastAsia" w:ascii="Times New Roman" w:hAnsi="Times New Roman" w:eastAsia="黑体"/>
          <w:lang w:eastAsia="zh-CN"/>
        </w:rPr>
        <w:t>…………………………………</w:t>
      </w:r>
      <w:r>
        <w:rPr>
          <w:rFonts w:hint="eastAsia" w:eastAsia="黑体"/>
          <w:lang w:val="en-US" w:eastAsia="zh-CN"/>
        </w:rPr>
        <w:t>（10）</w:t>
      </w:r>
    </w:p>
    <w:p w14:paraId="4F21A391">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九、国有资本经营预算支出决算情况说明</w:t>
      </w:r>
      <w:r>
        <w:rPr>
          <w:rFonts w:hint="eastAsia" w:ascii="Times New Roman" w:hAnsi="Times New Roman" w:eastAsia="黑体"/>
          <w:lang w:eastAsia="zh-CN"/>
        </w:rPr>
        <w:t>………………………………</w:t>
      </w:r>
      <w:r>
        <w:rPr>
          <w:rFonts w:hint="eastAsia" w:eastAsia="黑体"/>
          <w:lang w:val="en-US" w:eastAsia="zh-CN"/>
        </w:rPr>
        <w:t>（10）</w:t>
      </w:r>
    </w:p>
    <w:p w14:paraId="5F908B0D">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十、其他重要事项的情况说明</w:t>
      </w:r>
      <w:r>
        <w:rPr>
          <w:rFonts w:hint="eastAsia" w:ascii="Times New Roman" w:hAnsi="Times New Roman" w:eastAsia="黑体"/>
          <w:lang w:eastAsia="zh-CN"/>
        </w:rPr>
        <w:t>………………………………………………</w:t>
      </w:r>
      <w:r>
        <w:rPr>
          <w:rFonts w:hint="eastAsia" w:eastAsia="黑体"/>
          <w:lang w:val="en-US" w:eastAsia="zh-CN"/>
        </w:rPr>
        <w:t>（10）</w:t>
      </w:r>
    </w:p>
    <w:p w14:paraId="0CF8B80F">
      <w:pPr>
        <w:pStyle w:val="13"/>
        <w:adjustRightInd w:val="0"/>
        <w:snapToGrid w:val="0"/>
        <w:spacing w:before="0" w:line="560" w:lineRule="exact"/>
        <w:jc w:val="left"/>
        <w:rPr>
          <w:rFonts w:hint="default" w:ascii="Times New Roman" w:hAnsi="Times New Roman" w:eastAsia="黑体" w:cs="黑体"/>
          <w:lang w:val="en-US"/>
        </w:rPr>
      </w:pPr>
      <w:r>
        <w:rPr>
          <w:rFonts w:hint="eastAsia" w:ascii="Times New Roman" w:hAnsi="Times New Roman" w:eastAsia="黑体" w:cs="黑体"/>
        </w:rPr>
        <w:t>第三部分 名词解释</w:t>
      </w:r>
      <w:r>
        <w:rPr>
          <w:rFonts w:hint="eastAsia" w:ascii="Times New Roman" w:hAnsi="Times New Roman" w:eastAsia="黑体"/>
          <w:lang w:eastAsia="zh-CN"/>
        </w:rPr>
        <w:t>…………………………………………………</w:t>
      </w:r>
      <w:r>
        <w:rPr>
          <w:rFonts w:hint="eastAsia" w:ascii="Times New Roman" w:hAnsi="Times New Roman" w:eastAsia="黑体"/>
          <w:lang w:val="en-US" w:eastAsia="zh-CN"/>
        </w:rPr>
        <w:t>（12）</w:t>
      </w:r>
    </w:p>
    <w:p w14:paraId="3F636118">
      <w:pPr>
        <w:pStyle w:val="13"/>
        <w:adjustRightInd w:val="0"/>
        <w:snapToGrid w:val="0"/>
        <w:spacing w:before="0" w:line="560" w:lineRule="exact"/>
        <w:jc w:val="left"/>
        <w:rPr>
          <w:rFonts w:hint="default" w:ascii="Times New Roman" w:hAnsi="Times New Roman" w:eastAsia="黑体" w:cs="黑体"/>
          <w:lang w:val="en-US"/>
        </w:rPr>
      </w:pPr>
      <w:r>
        <w:rPr>
          <w:rFonts w:hint="eastAsia" w:ascii="Times New Roman" w:hAnsi="Times New Roman" w:eastAsia="黑体" w:cs="黑体"/>
        </w:rPr>
        <w:t>第四部分 附件</w:t>
      </w:r>
      <w:r>
        <w:rPr>
          <w:rFonts w:hint="eastAsia" w:ascii="Times New Roman" w:hAnsi="Times New Roman" w:eastAsia="黑体"/>
          <w:lang w:eastAsia="zh-CN"/>
        </w:rPr>
        <w:t>………………………………………………………（</w:t>
      </w:r>
      <w:r>
        <w:rPr>
          <w:rFonts w:hint="eastAsia" w:ascii="Times New Roman" w:hAnsi="Times New Roman" w:eastAsia="黑体"/>
          <w:lang w:val="en-US" w:eastAsia="zh-CN"/>
        </w:rPr>
        <w:t>15</w:t>
      </w:r>
      <w:r>
        <w:rPr>
          <w:rFonts w:hint="eastAsia" w:ascii="Times New Roman" w:hAnsi="Times New Roman" w:eastAsia="黑体"/>
          <w:lang w:eastAsia="zh-CN"/>
        </w:rPr>
        <w:t>）</w:t>
      </w:r>
    </w:p>
    <w:p w14:paraId="52737160">
      <w:pPr>
        <w:pStyle w:val="13"/>
        <w:adjustRightInd w:val="0"/>
        <w:snapToGrid w:val="0"/>
        <w:spacing w:before="0" w:line="560" w:lineRule="exact"/>
        <w:jc w:val="left"/>
        <w:rPr>
          <w:rFonts w:hint="default" w:ascii="Times New Roman" w:hAnsi="Times New Roman" w:eastAsia="黑体" w:cs="黑体"/>
          <w:lang w:val="en-US"/>
        </w:rPr>
      </w:pPr>
      <w:r>
        <w:rPr>
          <w:rFonts w:hint="eastAsia" w:ascii="Times New Roman" w:hAnsi="Times New Roman" w:eastAsia="黑体" w:cs="黑体"/>
        </w:rPr>
        <w:t>第五部分 附表</w:t>
      </w:r>
      <w:r>
        <w:rPr>
          <w:rFonts w:hint="eastAsia" w:ascii="Times New Roman" w:hAnsi="Times New Roman" w:eastAsia="黑体"/>
          <w:lang w:eastAsia="zh-CN"/>
        </w:rPr>
        <w:t>………………………………………………………（</w:t>
      </w:r>
      <w:r>
        <w:rPr>
          <w:rFonts w:hint="eastAsia" w:ascii="Times New Roman" w:hAnsi="Times New Roman" w:eastAsia="黑体"/>
          <w:lang w:val="en-US" w:eastAsia="zh-CN"/>
        </w:rPr>
        <w:t>16</w:t>
      </w:r>
      <w:r>
        <w:rPr>
          <w:rFonts w:hint="eastAsia" w:ascii="Times New Roman" w:hAnsi="Times New Roman" w:eastAsia="黑体"/>
          <w:lang w:eastAsia="zh-CN"/>
        </w:rPr>
        <w:t>）</w:t>
      </w:r>
    </w:p>
    <w:p w14:paraId="003C5A89">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一、收入支出决算总表</w:t>
      </w:r>
      <w:r>
        <w:rPr>
          <w:rFonts w:hint="eastAsia" w:ascii="Times New Roman" w:hAnsi="Times New Roman" w:eastAsia="黑体"/>
          <w:lang w:eastAsia="zh-CN"/>
        </w:rPr>
        <w:t>…………………………………………………………</w:t>
      </w:r>
      <w:r>
        <w:rPr>
          <w:rFonts w:hint="eastAsia" w:eastAsia="黑体"/>
          <w:lang w:eastAsia="zh-CN"/>
        </w:rPr>
        <w:t>（</w:t>
      </w:r>
      <w:r>
        <w:rPr>
          <w:rFonts w:hint="eastAsia" w:eastAsia="黑体"/>
          <w:lang w:val="en-US" w:eastAsia="zh-CN"/>
        </w:rPr>
        <w:t>16</w:t>
      </w:r>
      <w:r>
        <w:rPr>
          <w:rFonts w:hint="eastAsia" w:eastAsia="黑体"/>
          <w:lang w:eastAsia="zh-CN"/>
        </w:rPr>
        <w:t>）</w:t>
      </w:r>
    </w:p>
    <w:p w14:paraId="5C4413A2">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二、收入决算表</w:t>
      </w:r>
      <w:r>
        <w:rPr>
          <w:rFonts w:hint="eastAsia" w:ascii="Times New Roman" w:hAnsi="Times New Roman" w:eastAsia="黑体"/>
          <w:lang w:eastAsia="zh-CN"/>
        </w:rPr>
        <w:t>……………………………………………………………………</w:t>
      </w:r>
      <w:r>
        <w:rPr>
          <w:rFonts w:hint="eastAsia" w:eastAsia="黑体"/>
          <w:lang w:eastAsia="zh-CN"/>
        </w:rPr>
        <w:t>（</w:t>
      </w:r>
      <w:r>
        <w:rPr>
          <w:rFonts w:hint="eastAsia" w:eastAsia="黑体"/>
          <w:lang w:val="en-US" w:eastAsia="zh-CN"/>
        </w:rPr>
        <w:t>16</w:t>
      </w:r>
      <w:r>
        <w:rPr>
          <w:rFonts w:hint="eastAsia" w:eastAsia="黑体"/>
          <w:lang w:eastAsia="zh-CN"/>
        </w:rPr>
        <w:t>）</w:t>
      </w:r>
    </w:p>
    <w:p w14:paraId="4A7051D4">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三、支出决算表</w:t>
      </w:r>
      <w:r>
        <w:rPr>
          <w:rFonts w:hint="eastAsia" w:ascii="Times New Roman" w:hAnsi="Times New Roman" w:eastAsia="黑体"/>
          <w:lang w:eastAsia="zh-CN"/>
        </w:rPr>
        <w:t>……………………………………………………………………</w:t>
      </w:r>
      <w:r>
        <w:rPr>
          <w:rFonts w:hint="eastAsia" w:eastAsia="黑体"/>
          <w:lang w:eastAsia="zh-CN"/>
        </w:rPr>
        <w:t>（</w:t>
      </w:r>
      <w:r>
        <w:rPr>
          <w:rFonts w:hint="eastAsia" w:eastAsia="黑体"/>
          <w:lang w:val="en-US" w:eastAsia="zh-CN"/>
        </w:rPr>
        <w:t>16</w:t>
      </w:r>
      <w:r>
        <w:rPr>
          <w:rFonts w:hint="eastAsia" w:eastAsia="黑体"/>
          <w:lang w:eastAsia="zh-CN"/>
        </w:rPr>
        <w:t>）</w:t>
      </w:r>
    </w:p>
    <w:p w14:paraId="6F8CDD65">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四、财政拨款收入支出决算总表</w:t>
      </w:r>
      <w:r>
        <w:rPr>
          <w:rFonts w:hint="eastAsia" w:ascii="Times New Roman" w:hAnsi="Times New Roman" w:eastAsia="黑体"/>
          <w:lang w:eastAsia="zh-CN"/>
        </w:rPr>
        <w:t>…………………………………………</w:t>
      </w:r>
      <w:r>
        <w:rPr>
          <w:rFonts w:hint="eastAsia" w:eastAsia="黑体"/>
          <w:lang w:eastAsia="zh-CN"/>
        </w:rPr>
        <w:t>（</w:t>
      </w:r>
      <w:r>
        <w:rPr>
          <w:rFonts w:hint="eastAsia" w:eastAsia="黑体"/>
          <w:lang w:val="en-US" w:eastAsia="zh-CN"/>
        </w:rPr>
        <w:t>16</w:t>
      </w:r>
      <w:r>
        <w:rPr>
          <w:rFonts w:hint="eastAsia" w:eastAsia="黑体"/>
          <w:lang w:eastAsia="zh-CN"/>
        </w:rPr>
        <w:t>）</w:t>
      </w:r>
    </w:p>
    <w:p w14:paraId="403C2A1F">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五、财政拨款支出决算明细表</w:t>
      </w:r>
      <w:r>
        <w:rPr>
          <w:rFonts w:hint="eastAsia" w:ascii="Times New Roman" w:hAnsi="Times New Roman" w:eastAsia="黑体"/>
          <w:lang w:eastAsia="zh-CN"/>
        </w:rPr>
        <w:t>……………………………………………</w:t>
      </w:r>
      <w:r>
        <w:rPr>
          <w:rFonts w:hint="eastAsia" w:eastAsia="黑体"/>
          <w:lang w:eastAsia="zh-CN"/>
        </w:rPr>
        <w:t>（</w:t>
      </w:r>
      <w:r>
        <w:rPr>
          <w:rFonts w:hint="eastAsia" w:eastAsia="黑体"/>
          <w:lang w:val="en-US" w:eastAsia="zh-CN"/>
        </w:rPr>
        <w:t>16</w:t>
      </w:r>
      <w:r>
        <w:rPr>
          <w:rFonts w:hint="eastAsia" w:eastAsia="黑体"/>
          <w:lang w:eastAsia="zh-CN"/>
        </w:rPr>
        <w:t>）</w:t>
      </w:r>
    </w:p>
    <w:p w14:paraId="0D0DE355">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六、一般公共预算财政拨款支出决算表</w:t>
      </w:r>
      <w:r>
        <w:rPr>
          <w:rFonts w:hint="eastAsia" w:ascii="Times New Roman" w:hAnsi="Times New Roman" w:eastAsia="黑体"/>
          <w:lang w:eastAsia="zh-CN"/>
        </w:rPr>
        <w:t>………………………………</w:t>
      </w:r>
      <w:r>
        <w:rPr>
          <w:rFonts w:hint="eastAsia" w:eastAsia="黑体"/>
          <w:lang w:val="en-US" w:eastAsia="zh-CN"/>
        </w:rPr>
        <w:t>（16）</w:t>
      </w:r>
    </w:p>
    <w:p w14:paraId="1C4FFBA3">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七、一般公共预算财政拨款支出决算明细表</w:t>
      </w:r>
      <w:r>
        <w:rPr>
          <w:rFonts w:hint="eastAsia" w:ascii="Times New Roman" w:hAnsi="Times New Roman" w:eastAsia="黑体"/>
          <w:lang w:eastAsia="zh-CN"/>
        </w:rPr>
        <w:t>…………………………</w:t>
      </w:r>
      <w:r>
        <w:rPr>
          <w:rFonts w:hint="eastAsia" w:eastAsia="黑体"/>
          <w:lang w:val="en-US" w:eastAsia="zh-CN"/>
        </w:rPr>
        <w:t>（16）</w:t>
      </w:r>
    </w:p>
    <w:p w14:paraId="2848866A">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八、一般公共预算财政拨款基本支出决算明细表</w:t>
      </w:r>
      <w:r>
        <w:rPr>
          <w:rFonts w:hint="eastAsia" w:ascii="Times New Roman" w:hAnsi="Times New Roman" w:eastAsia="黑体"/>
          <w:lang w:eastAsia="zh-CN"/>
        </w:rPr>
        <w:t>……………………</w:t>
      </w:r>
      <w:r>
        <w:rPr>
          <w:rFonts w:hint="eastAsia" w:eastAsia="黑体"/>
          <w:lang w:val="en-US" w:eastAsia="zh-CN"/>
        </w:rPr>
        <w:t>（16）</w:t>
      </w:r>
    </w:p>
    <w:p w14:paraId="0B64103A">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九、一般公共预算财政拨款项目支出决算表</w:t>
      </w:r>
      <w:r>
        <w:rPr>
          <w:rFonts w:hint="eastAsia" w:ascii="Times New Roman" w:hAnsi="Times New Roman" w:eastAsia="黑体"/>
          <w:lang w:eastAsia="zh-CN"/>
        </w:rPr>
        <w:t>…………………………</w:t>
      </w:r>
      <w:r>
        <w:rPr>
          <w:rFonts w:hint="eastAsia" w:eastAsia="黑体"/>
          <w:lang w:val="en-US" w:eastAsia="zh-CN"/>
        </w:rPr>
        <w:t>（16）</w:t>
      </w:r>
    </w:p>
    <w:p w14:paraId="6150CA6F">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十、政府性基金预算财政拨款收入支出决算表</w:t>
      </w:r>
      <w:r>
        <w:rPr>
          <w:rFonts w:hint="eastAsia" w:ascii="Times New Roman" w:hAnsi="Times New Roman" w:eastAsia="黑体"/>
          <w:lang w:eastAsia="zh-CN"/>
        </w:rPr>
        <w:t>……………………</w:t>
      </w:r>
      <w:r>
        <w:rPr>
          <w:rFonts w:hint="eastAsia" w:eastAsia="黑体"/>
          <w:lang w:val="en-US" w:eastAsia="zh-CN"/>
        </w:rPr>
        <w:t>（16）</w:t>
      </w:r>
    </w:p>
    <w:p w14:paraId="0742D21D">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十一、国有资本经营预算财政拨款收入支出决算表</w:t>
      </w:r>
      <w:r>
        <w:rPr>
          <w:rFonts w:hint="eastAsia" w:ascii="Times New Roman" w:hAnsi="Times New Roman" w:eastAsia="黑体"/>
          <w:lang w:eastAsia="zh-CN"/>
        </w:rPr>
        <w:t>………………</w:t>
      </w:r>
      <w:r>
        <w:rPr>
          <w:rFonts w:hint="eastAsia" w:eastAsia="黑体"/>
          <w:lang w:val="en-US" w:eastAsia="zh-CN"/>
        </w:rPr>
        <w:t>（16）</w:t>
      </w:r>
    </w:p>
    <w:p w14:paraId="64E399DD">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十二、国有资本经营预算财政拨款支出决算表</w:t>
      </w:r>
      <w:r>
        <w:rPr>
          <w:rFonts w:hint="eastAsia" w:ascii="Times New Roman" w:hAnsi="Times New Roman" w:eastAsia="黑体"/>
          <w:lang w:eastAsia="zh-CN"/>
        </w:rPr>
        <w:t>……………………</w:t>
      </w:r>
      <w:r>
        <w:rPr>
          <w:rFonts w:hint="eastAsia" w:eastAsia="黑体"/>
          <w:lang w:val="en-US" w:eastAsia="zh-CN"/>
        </w:rPr>
        <w:t>（16）</w:t>
      </w:r>
    </w:p>
    <w:p w14:paraId="12295F62">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十三、财政拨款“三公”经费支出决算表</w:t>
      </w:r>
      <w:r>
        <w:rPr>
          <w:rFonts w:hint="eastAsia" w:ascii="Times New Roman" w:hAnsi="Times New Roman" w:eastAsia="黑体"/>
          <w:lang w:eastAsia="zh-CN"/>
        </w:rPr>
        <w:t>…………………………</w:t>
      </w:r>
      <w:r>
        <w:rPr>
          <w:rFonts w:hint="eastAsia" w:eastAsia="黑体"/>
          <w:lang w:eastAsia="zh-CN"/>
        </w:rPr>
        <w:t>……</w:t>
      </w:r>
      <w:r>
        <w:rPr>
          <w:rFonts w:hint="eastAsia" w:eastAsia="黑体"/>
          <w:lang w:val="en-US" w:eastAsia="zh-CN"/>
        </w:rPr>
        <w:t>（16）</w:t>
      </w:r>
    </w:p>
    <w:p w14:paraId="33CACD31">
      <w:pPr>
        <w:rPr>
          <w:rFonts w:hint="eastAsia" w:eastAsia="仿宋_GB2312" w:cs="仿宋_GB2312"/>
          <w:b/>
          <w:sz w:val="24"/>
        </w:rPr>
      </w:pPr>
      <w:bookmarkStart w:id="6" w:name="_Toc15396599"/>
      <w:bookmarkStart w:id="7" w:name="_Toc15377196"/>
    </w:p>
    <w:p w14:paraId="2B22221F">
      <w:pPr>
        <w:rPr>
          <w:rFonts w:hint="eastAsia" w:eastAsia="仿宋_GB2312" w:cs="仿宋_GB2312"/>
          <w:b/>
          <w:sz w:val="24"/>
        </w:rPr>
      </w:pPr>
    </w:p>
    <w:p w14:paraId="06C398EB">
      <w:pPr>
        <w:rPr>
          <w:rFonts w:hint="eastAsia" w:eastAsia="仿宋_GB2312" w:cs="仿宋_GB2312"/>
          <w:b/>
          <w:sz w:val="24"/>
        </w:rPr>
      </w:pPr>
    </w:p>
    <w:p w14:paraId="48E111B9">
      <w:pPr>
        <w:pStyle w:val="2"/>
        <w:sectPr>
          <w:footerReference r:id="rId6" w:type="first"/>
          <w:footerReference r:id="rId5" w:type="default"/>
          <w:pgSz w:w="11906" w:h="16838"/>
          <w:pgMar w:top="1440" w:right="1800" w:bottom="1440" w:left="1800" w:header="851" w:footer="992" w:gutter="0"/>
          <w:pgNumType w:fmt="numberInDash" w:start="1"/>
          <w:cols w:space="425" w:num="1"/>
          <w:docGrid w:type="lines" w:linePitch="312" w:charSpace="0"/>
        </w:sectPr>
      </w:pPr>
    </w:p>
    <w:p w14:paraId="5D32B72C">
      <w:pPr>
        <w:pStyle w:val="5"/>
        <w:keepNext/>
        <w:keepLines/>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rPr>
      </w:pPr>
      <w:r>
        <w:rPr>
          <w:rFonts w:hint="eastAsia" w:ascii="方正小标宋_GBK" w:hAnsi="方正小标宋_GBK" w:eastAsia="方正小标宋_GBK" w:cs="方正小标宋_GBK"/>
          <w:b w:val="0"/>
          <w:bCs/>
        </w:rPr>
        <w:t xml:space="preserve">第一部分  </w:t>
      </w:r>
      <w:r>
        <w:rPr>
          <w:rStyle w:val="29"/>
          <w:rFonts w:hint="eastAsia" w:ascii="方正小标宋_GBK" w:hAnsi="方正小标宋_GBK" w:eastAsia="方正小标宋_GBK" w:cs="方正小标宋_GBK"/>
          <w:b w:val="0"/>
          <w:bCs/>
        </w:rPr>
        <w:t>单位概况</w:t>
      </w:r>
      <w:bookmarkEnd w:id="6"/>
      <w:bookmarkEnd w:id="7"/>
    </w:p>
    <w:p w14:paraId="7F633928">
      <w:pPr>
        <w:pStyle w:val="6"/>
        <w:keepNext/>
        <w:keepLines/>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方正黑体_GBK" w:hAnsi="方正黑体_GBK" w:eastAsia="方正黑体_GBK" w:cs="方正黑体_GBK"/>
          <w:b w:val="0"/>
        </w:rPr>
      </w:pPr>
      <w:r>
        <w:rPr>
          <w:rFonts w:hint="eastAsia" w:ascii="方正黑体_GBK" w:hAnsi="方正黑体_GBK" w:eastAsia="方正黑体_GBK" w:cs="方正黑体_GBK"/>
          <w:b w:val="0"/>
          <w:bCs/>
          <w:kern w:val="2"/>
          <w:sz w:val="32"/>
          <w:szCs w:val="32"/>
          <w:lang w:val="en-US" w:eastAsia="zh-CN" w:bidi="ar-SA"/>
        </w:rPr>
        <w:t>一、</w:t>
      </w:r>
      <w:r>
        <w:rPr>
          <w:rFonts w:hint="eastAsia" w:ascii="方正黑体_GBK" w:hAnsi="方正黑体_GBK" w:eastAsia="方正黑体_GBK" w:cs="方正黑体_GBK"/>
          <w:b w:val="0"/>
        </w:rPr>
        <w:t>主要职责</w:t>
      </w:r>
    </w:p>
    <w:p w14:paraId="067E5ABC">
      <w:pPr>
        <w:pStyle w:val="15"/>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sz w:val="32"/>
          <w:szCs w:val="32"/>
        </w:rPr>
        <w:t xml:space="preserve"> （一）</w:t>
      </w:r>
      <w:r>
        <w:rPr>
          <w:rFonts w:hint="eastAsia" w:ascii="方正仿宋_GBK" w:hAnsi="方正仿宋_GBK" w:eastAsia="方正仿宋_GBK" w:cs="方正仿宋_GBK"/>
          <w:color w:val="333333"/>
          <w:sz w:val="32"/>
          <w:szCs w:val="32"/>
        </w:rPr>
        <w:t>认真宣传贯彻、执行国家有关水上交通安全的政策、法规，贯彻执行“安全第一、预防为主”的方针，制定贯彻执行的具体措施，</w:t>
      </w:r>
      <w:r>
        <w:rPr>
          <w:rFonts w:hint="eastAsia" w:ascii="方正仿宋_GBK" w:hAnsi="方正仿宋_GBK" w:eastAsia="方正仿宋_GBK" w:cs="方正仿宋_GBK"/>
          <w:color w:val="333333"/>
          <w:sz w:val="32"/>
          <w:szCs w:val="32"/>
          <w:lang w:eastAsia="zh-CN"/>
        </w:rPr>
        <w:t>传播</w:t>
      </w:r>
      <w:r>
        <w:rPr>
          <w:rFonts w:hint="eastAsia" w:ascii="方正仿宋_GBK" w:hAnsi="方正仿宋_GBK" w:eastAsia="方正仿宋_GBK" w:cs="方正仿宋_GBK"/>
          <w:color w:val="333333"/>
          <w:sz w:val="32"/>
          <w:szCs w:val="32"/>
        </w:rPr>
        <w:t>水上交通安全的经验和教训，严格遵守海事行政执法守则。</w:t>
      </w:r>
    </w:p>
    <w:p w14:paraId="717D6BF6">
      <w:pPr>
        <w:pStyle w:val="15"/>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（二）严格按照海事法律法规开展日常工作的检查，发现违法行为，按照相关规定移交执法大队，由执法大队按照相关</w:t>
      </w:r>
      <w:r>
        <w:rPr>
          <w:rFonts w:hint="eastAsia" w:ascii="方正仿宋_GBK" w:hAnsi="方正仿宋_GBK" w:eastAsia="方正仿宋_GBK" w:cs="方正仿宋_GBK"/>
          <w:sz w:val="32"/>
          <w:szCs w:val="32"/>
          <w:lang w:eastAsia="zh-CN"/>
        </w:rPr>
        <w:t>法律依法</w:t>
      </w:r>
      <w:r>
        <w:rPr>
          <w:rFonts w:hint="eastAsia" w:ascii="方正仿宋_GBK" w:hAnsi="方正仿宋_GBK" w:eastAsia="方正仿宋_GBK" w:cs="方正仿宋_GBK"/>
          <w:sz w:val="32"/>
          <w:szCs w:val="32"/>
        </w:rPr>
        <w:t>进行查处。</w:t>
      </w:r>
    </w:p>
    <w:p w14:paraId="50B86A07">
      <w:pPr>
        <w:pStyle w:val="15"/>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color w:val="333333"/>
          <w:sz w:val="32"/>
          <w:szCs w:val="32"/>
        </w:rPr>
        <w:t>维护水上交通秩序，保障人民群众生命、财产安全。监督船舶的船员配备，对船舶进出港口进行安全检查及签证工作，查出安全隐患督促整改。</w:t>
      </w:r>
    </w:p>
    <w:p w14:paraId="3CD39F87">
      <w:pPr>
        <w:pStyle w:val="15"/>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color w:val="333333"/>
          <w:sz w:val="32"/>
          <w:szCs w:val="32"/>
        </w:rPr>
        <w:t>指导乡（镇）船管机构的业务工作，定期对船管员开展业务培训，并对船员进行法规宣传教育。</w:t>
      </w:r>
    </w:p>
    <w:p w14:paraId="38969224">
      <w:pPr>
        <w:pStyle w:val="15"/>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sz w:val="32"/>
          <w:szCs w:val="32"/>
        </w:rPr>
        <w:t>（五）</w:t>
      </w:r>
      <w:r>
        <w:rPr>
          <w:rFonts w:hint="eastAsia" w:ascii="方正仿宋_GBK" w:hAnsi="方正仿宋_GBK" w:eastAsia="方正仿宋_GBK" w:cs="方正仿宋_GBK"/>
          <w:color w:val="333333"/>
          <w:sz w:val="32"/>
          <w:szCs w:val="32"/>
        </w:rPr>
        <w:t>负责辖区内水上交通事故的现场组织施救，并及时、认真、公正</w:t>
      </w:r>
      <w:r>
        <w:rPr>
          <w:rFonts w:hint="eastAsia" w:ascii="方正仿宋_GBK" w:hAnsi="方正仿宋_GBK" w:eastAsia="方正仿宋_GBK" w:cs="方正仿宋_GBK"/>
          <w:color w:val="333333"/>
          <w:sz w:val="32"/>
          <w:szCs w:val="32"/>
          <w:lang w:eastAsia="zh-CN"/>
        </w:rPr>
        <w:t>地</w:t>
      </w:r>
      <w:r>
        <w:rPr>
          <w:rFonts w:hint="eastAsia" w:ascii="方正仿宋_GBK" w:hAnsi="方正仿宋_GBK" w:eastAsia="方正仿宋_GBK" w:cs="方正仿宋_GBK"/>
          <w:color w:val="333333"/>
          <w:sz w:val="32"/>
          <w:szCs w:val="32"/>
        </w:rPr>
        <w:t>调查处理水上交通事故及船舶污染水域事故。办理船舶交通事故的统计，编制报表。</w:t>
      </w:r>
    </w:p>
    <w:p w14:paraId="1E28EF7E">
      <w:pPr>
        <w:pStyle w:val="15"/>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sz w:val="32"/>
          <w:szCs w:val="32"/>
        </w:rPr>
        <w:t>（六）</w:t>
      </w:r>
      <w:r>
        <w:rPr>
          <w:rFonts w:hint="eastAsia" w:ascii="方正仿宋_GBK" w:hAnsi="方正仿宋_GBK" w:eastAsia="方正仿宋_GBK" w:cs="方正仿宋_GBK"/>
          <w:color w:val="333333"/>
          <w:sz w:val="32"/>
          <w:szCs w:val="32"/>
        </w:rPr>
        <w:t>负责海事各项基础工作的原始资料、报表、</w:t>
      </w:r>
      <w:r>
        <w:rPr>
          <w:rFonts w:hint="eastAsia" w:ascii="方正仿宋_GBK" w:hAnsi="方正仿宋_GBK" w:eastAsia="方正仿宋_GBK" w:cs="方正仿宋_GBK"/>
          <w:color w:val="333333"/>
          <w:sz w:val="32"/>
          <w:szCs w:val="32"/>
          <w:lang w:eastAsia="zh-CN"/>
        </w:rPr>
        <w:t>台账</w:t>
      </w:r>
      <w:r>
        <w:rPr>
          <w:rFonts w:hint="eastAsia" w:ascii="方正仿宋_GBK" w:hAnsi="方正仿宋_GBK" w:eastAsia="方正仿宋_GBK" w:cs="方正仿宋_GBK"/>
          <w:color w:val="333333"/>
          <w:sz w:val="32"/>
          <w:szCs w:val="32"/>
        </w:rPr>
        <w:t>、档案的健全和管理工作。</w:t>
      </w:r>
    </w:p>
    <w:p w14:paraId="74F2BB95">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sz w:val="32"/>
          <w:szCs w:val="32"/>
        </w:rPr>
        <w:t>（七）</w:t>
      </w:r>
      <w:r>
        <w:rPr>
          <w:rFonts w:hint="eastAsia" w:ascii="方正仿宋_GBK" w:hAnsi="方正仿宋_GBK" w:eastAsia="方正仿宋_GBK" w:cs="方正仿宋_GBK"/>
          <w:color w:val="333333"/>
          <w:kern w:val="0"/>
          <w:sz w:val="32"/>
          <w:szCs w:val="32"/>
        </w:rPr>
        <w:t>完成上级交办的</w:t>
      </w:r>
      <w:r>
        <w:rPr>
          <w:rFonts w:hint="eastAsia" w:ascii="方正仿宋_GBK" w:hAnsi="方正仿宋_GBK" w:eastAsia="方正仿宋_GBK" w:cs="方正仿宋_GBK"/>
          <w:color w:val="333333"/>
          <w:kern w:val="0"/>
          <w:sz w:val="32"/>
          <w:szCs w:val="32"/>
          <w:lang w:eastAsia="zh-CN"/>
        </w:rPr>
        <w:t>其他</w:t>
      </w:r>
      <w:r>
        <w:rPr>
          <w:rFonts w:hint="eastAsia" w:ascii="方正仿宋_GBK" w:hAnsi="方正仿宋_GBK" w:eastAsia="方正仿宋_GBK" w:cs="方正仿宋_GBK"/>
          <w:color w:val="333333"/>
          <w:kern w:val="0"/>
          <w:sz w:val="32"/>
          <w:szCs w:val="32"/>
        </w:rPr>
        <w:t>工作。</w:t>
      </w:r>
    </w:p>
    <w:p w14:paraId="54C450C4">
      <w:pPr>
        <w:pStyle w:val="6"/>
        <w:keepNext/>
        <w:keepLines/>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方正黑体_GBK" w:hAnsi="方正黑体_GBK" w:eastAsia="方正黑体_GBK" w:cs="方正黑体_GBK"/>
          <w:b w:val="0"/>
          <w:bCs/>
          <w:kern w:val="2"/>
          <w:sz w:val="32"/>
          <w:szCs w:val="32"/>
          <w:lang w:val="en-US" w:eastAsia="zh-CN" w:bidi="ar-SA"/>
        </w:rPr>
      </w:pPr>
      <w:bookmarkStart w:id="8" w:name="_Toc15377200"/>
      <w:bookmarkStart w:id="9" w:name="_Toc15396601"/>
      <w:r>
        <w:rPr>
          <w:rFonts w:hint="eastAsia" w:ascii="方正黑体_GBK" w:hAnsi="方正黑体_GBK" w:eastAsia="方正黑体_GBK" w:cs="方正黑体_GBK"/>
          <w:b w:val="0"/>
          <w:bCs/>
          <w:kern w:val="2"/>
          <w:sz w:val="32"/>
          <w:szCs w:val="32"/>
          <w:lang w:val="en-US" w:eastAsia="zh-CN" w:bidi="ar-SA"/>
        </w:rPr>
        <w:t>二、机构设置</w:t>
      </w:r>
      <w:bookmarkEnd w:id="8"/>
      <w:bookmarkEnd w:id="9"/>
    </w:p>
    <w:p w14:paraId="3A7BDDBD">
      <w:pPr>
        <w:pStyle w:val="36"/>
        <w:spacing w:line="600" w:lineRule="exact"/>
        <w:ind w:firstLine="640"/>
        <w:rPr>
          <w:rFonts w:hint="default" w:ascii="Times New Roman" w:hAnsi="Times New Roman" w:eastAsia="方正仿宋_GBK" w:cs="Times New Roman"/>
          <w:sz w:val="32"/>
          <w:szCs w:val="32"/>
        </w:rPr>
      </w:pPr>
      <w:bookmarkStart w:id="10" w:name="_Toc15306275"/>
      <w:bookmarkStart w:id="11" w:name="_Toc15377432"/>
      <w:bookmarkStart w:id="12" w:name="_Toc15378448"/>
      <w:bookmarkStart w:id="13" w:name="_Toc15377201"/>
      <w:r>
        <w:rPr>
          <w:rFonts w:hint="default" w:ascii="Times New Roman" w:hAnsi="Times New Roman" w:eastAsia="方正仿宋_GBK" w:cs="Times New Roman"/>
          <w:color w:val="333333"/>
          <w:kern w:val="0"/>
          <w:sz w:val="32"/>
          <w:szCs w:val="32"/>
        </w:rPr>
        <w:t>盐边县航务海事中心为参照公务员法管理的事业单位1个。</w:t>
      </w:r>
      <w:bookmarkEnd w:id="10"/>
      <w:bookmarkEnd w:id="11"/>
      <w:bookmarkEnd w:id="12"/>
      <w:bookmarkEnd w:id="13"/>
    </w:p>
    <w:p w14:paraId="0841E6A9">
      <w:pPr>
        <w:ind w:firstLine="800" w:firstLineChars="250"/>
        <w:rPr>
          <w:rFonts w:eastAsia="仿宋_GB2312" w:cs="仿宋_GB2312"/>
          <w:sz w:val="32"/>
          <w:szCs w:val="32"/>
        </w:rPr>
      </w:pPr>
    </w:p>
    <w:p w14:paraId="0A102D3C">
      <w:pPr>
        <w:pStyle w:val="2"/>
      </w:pPr>
    </w:p>
    <w:p w14:paraId="679556B4">
      <w:pPr>
        <w:pStyle w:val="3"/>
        <w:ind w:left="420"/>
      </w:pPr>
    </w:p>
    <w:p w14:paraId="5B690BF4">
      <w:pPr>
        <w:pStyle w:val="3"/>
        <w:ind w:left="420"/>
      </w:pPr>
    </w:p>
    <w:p w14:paraId="2C26F1E5">
      <w:pPr>
        <w:pStyle w:val="3"/>
        <w:ind w:left="420"/>
      </w:pPr>
    </w:p>
    <w:p w14:paraId="4F20CD79">
      <w:pPr>
        <w:pStyle w:val="3"/>
        <w:ind w:left="420"/>
      </w:pPr>
    </w:p>
    <w:p w14:paraId="07EA6185">
      <w:pPr>
        <w:pStyle w:val="3"/>
        <w:ind w:left="420"/>
      </w:pPr>
    </w:p>
    <w:p w14:paraId="7BE116AE">
      <w:pPr>
        <w:pStyle w:val="3"/>
        <w:ind w:left="420"/>
      </w:pPr>
    </w:p>
    <w:p w14:paraId="077D0D3F">
      <w:pPr>
        <w:pStyle w:val="3"/>
        <w:ind w:left="420"/>
      </w:pPr>
    </w:p>
    <w:p w14:paraId="307D832F">
      <w:pPr>
        <w:pStyle w:val="3"/>
        <w:ind w:left="420"/>
      </w:pPr>
    </w:p>
    <w:p w14:paraId="791032CF">
      <w:pPr>
        <w:pStyle w:val="3"/>
        <w:ind w:left="420"/>
      </w:pPr>
    </w:p>
    <w:p w14:paraId="4DC107EB">
      <w:pPr>
        <w:pStyle w:val="3"/>
        <w:ind w:left="420"/>
      </w:pPr>
    </w:p>
    <w:p w14:paraId="388ECAA1">
      <w:pPr>
        <w:pStyle w:val="3"/>
        <w:ind w:left="420"/>
      </w:pPr>
    </w:p>
    <w:p w14:paraId="70AAD0E9">
      <w:pPr>
        <w:pStyle w:val="3"/>
        <w:ind w:left="420"/>
      </w:pPr>
    </w:p>
    <w:p w14:paraId="686CC713">
      <w:pPr>
        <w:pStyle w:val="3"/>
        <w:ind w:left="420"/>
      </w:pPr>
    </w:p>
    <w:p w14:paraId="5DF6E9AC">
      <w:pPr>
        <w:pStyle w:val="3"/>
        <w:ind w:left="420"/>
      </w:pPr>
    </w:p>
    <w:p w14:paraId="33C7BC8A">
      <w:pPr>
        <w:pStyle w:val="3"/>
        <w:ind w:left="420"/>
      </w:pPr>
    </w:p>
    <w:p w14:paraId="02434E69">
      <w:pPr>
        <w:pStyle w:val="3"/>
        <w:ind w:left="420"/>
      </w:pPr>
    </w:p>
    <w:p w14:paraId="0C9603AB">
      <w:pPr>
        <w:pStyle w:val="3"/>
        <w:ind w:left="420"/>
      </w:pPr>
    </w:p>
    <w:p w14:paraId="4B57D6C7">
      <w:pPr>
        <w:pStyle w:val="3"/>
        <w:ind w:left="420"/>
      </w:pPr>
    </w:p>
    <w:p w14:paraId="5260419D">
      <w:pPr>
        <w:pStyle w:val="3"/>
        <w:ind w:left="420"/>
        <w:rPr>
          <w:rFonts w:hint="eastAsia"/>
        </w:rPr>
      </w:pPr>
    </w:p>
    <w:p w14:paraId="42A7AEE4">
      <w:pPr>
        <w:pStyle w:val="3"/>
        <w:ind w:left="420"/>
        <w:rPr>
          <w:rFonts w:hint="eastAsia"/>
        </w:rPr>
      </w:pPr>
    </w:p>
    <w:p w14:paraId="113BF9D8">
      <w:pPr>
        <w:pStyle w:val="3"/>
        <w:ind w:left="420"/>
        <w:rPr>
          <w:rFonts w:hint="eastAsia"/>
        </w:rPr>
      </w:pPr>
    </w:p>
    <w:p w14:paraId="6A660D3F">
      <w:pPr>
        <w:pStyle w:val="3"/>
        <w:ind w:left="420"/>
        <w:rPr>
          <w:rFonts w:hint="eastAsia"/>
        </w:rPr>
      </w:pPr>
    </w:p>
    <w:p w14:paraId="08BCC7DB">
      <w:pPr>
        <w:pStyle w:val="3"/>
        <w:ind w:left="420"/>
      </w:pPr>
    </w:p>
    <w:p w14:paraId="312438FE">
      <w:pPr>
        <w:pStyle w:val="5"/>
        <w:keepNext/>
        <w:keepLines/>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sz w:val="44"/>
          <w:szCs w:val="44"/>
        </w:rPr>
      </w:pPr>
      <w:bookmarkStart w:id="14" w:name="_Toc15377204"/>
      <w:bookmarkStart w:id="15" w:name="_Toc15396602"/>
      <w:r>
        <w:rPr>
          <w:rFonts w:hint="eastAsia" w:ascii="方正小标宋_GBK" w:hAnsi="方正小标宋_GBK" w:eastAsia="方正小标宋_GBK" w:cs="方正小标宋_GBK"/>
          <w:b w:val="0"/>
          <w:sz w:val="44"/>
          <w:szCs w:val="44"/>
        </w:rPr>
        <w:t>第二部分  2024年度部门决算情况说明</w:t>
      </w:r>
      <w:bookmarkEnd w:id="14"/>
      <w:bookmarkEnd w:id="15"/>
    </w:p>
    <w:p w14:paraId="0D591710"/>
    <w:p w14:paraId="0B8150E0">
      <w:pPr>
        <w:pStyle w:val="28"/>
        <w:spacing w:line="600" w:lineRule="exact"/>
        <w:ind w:firstLine="640"/>
        <w:outlineLvl w:val="1"/>
        <w:rPr>
          <w:rStyle w:val="30"/>
          <w:rFonts w:hint="eastAsia" w:ascii="方正黑体_GBK" w:hAnsi="方正黑体_GBK" w:eastAsia="方正黑体_GBK" w:cs="方正黑体_GBK"/>
          <w:b w:val="0"/>
        </w:rPr>
      </w:pPr>
      <w:bookmarkStart w:id="16" w:name="_Toc15396603"/>
      <w:bookmarkStart w:id="17" w:name="_Toc15377205"/>
      <w:r>
        <w:rPr>
          <w:rFonts w:hint="eastAsia" w:ascii="方正黑体_GBK" w:hAnsi="方正黑体_GBK" w:eastAsia="方正黑体_GBK" w:cs="方正黑体_GBK"/>
          <w:sz w:val="32"/>
          <w:szCs w:val="32"/>
        </w:rPr>
        <w:t>一、收</w:t>
      </w:r>
      <w:r>
        <w:rPr>
          <w:rStyle w:val="30"/>
          <w:rFonts w:hint="eastAsia" w:ascii="方正黑体_GBK" w:hAnsi="方正黑体_GBK" w:eastAsia="方正黑体_GBK" w:cs="方正黑体_GBK"/>
          <w:b w:val="0"/>
        </w:rPr>
        <w:t>入支出决算总体情况说明</w:t>
      </w:r>
      <w:bookmarkEnd w:id="16"/>
      <w:bookmarkEnd w:id="17"/>
    </w:p>
    <w:p w14:paraId="467437A0">
      <w:pPr>
        <w:pStyle w:val="28"/>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2024年度收入、支出总计均为120.54万元。与2023年度相比，收入、支出总计各增加4.85万元，增长4.19%。主要变动原因是</w:t>
      </w:r>
      <w:r>
        <w:rPr>
          <w:rFonts w:hint="default" w:ascii="Times New Roman" w:hAnsi="Times New Roman" w:eastAsia="方正仿宋_GBK" w:cs="Times New Roman"/>
          <w:sz w:val="32"/>
          <w:szCs w:val="32"/>
          <w:lang w:val="en-US" w:eastAsia="zh-CN"/>
        </w:rPr>
        <w:t>人员工资正常晋升</w:t>
      </w:r>
      <w:r>
        <w:rPr>
          <w:rFonts w:hint="default" w:ascii="Times New Roman" w:hAnsi="Times New Roman" w:eastAsia="方正仿宋_GBK" w:cs="Times New Roman"/>
          <w:sz w:val="32"/>
          <w:szCs w:val="32"/>
        </w:rPr>
        <w:t>。</w:t>
      </w:r>
    </w:p>
    <w:p w14:paraId="74D7F968">
      <w:pPr>
        <w:pStyle w:val="28"/>
        <w:spacing w:line="600" w:lineRule="exact"/>
        <w:outlineLvl w:val="1"/>
        <w:rPr>
          <w:rFonts w:hint="eastAsia" w:eastAsia="仿宋_GB2312" w:cs="仿宋_GB2312"/>
          <w:sz w:val="32"/>
          <w:szCs w:val="32"/>
        </w:rPr>
      </w:pPr>
      <w:r>
        <w:drawing>
          <wp:anchor distT="0" distB="0" distL="114300" distR="114300" simplePos="0" relativeHeight="251660288" behindDoc="0" locked="0" layoutInCell="1" allowOverlap="1">
            <wp:simplePos x="0" y="0"/>
            <wp:positionH relativeFrom="column">
              <wp:posOffset>28575</wp:posOffset>
            </wp:positionH>
            <wp:positionV relativeFrom="paragraph">
              <wp:posOffset>93345</wp:posOffset>
            </wp:positionV>
            <wp:extent cx="5485130" cy="318452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485130" cy="3184525"/>
                    </a:xfrm>
                    <a:prstGeom prst="rect">
                      <a:avLst/>
                    </a:prstGeom>
                    <a:noFill/>
                    <a:ln>
                      <a:noFill/>
                    </a:ln>
                  </pic:spPr>
                </pic:pic>
              </a:graphicData>
            </a:graphic>
          </wp:anchor>
        </w:drawing>
      </w:r>
    </w:p>
    <w:p w14:paraId="426C9F85">
      <w:pPr>
        <w:pStyle w:val="28"/>
        <w:spacing w:line="600" w:lineRule="exact"/>
        <w:ind w:firstLine="640"/>
        <w:outlineLvl w:val="1"/>
        <w:rPr>
          <w:rFonts w:hint="eastAsia" w:eastAsia="仿宋_GB2312" w:cs="仿宋_GB2312"/>
          <w:sz w:val="32"/>
          <w:szCs w:val="32"/>
        </w:rPr>
      </w:pPr>
    </w:p>
    <w:p w14:paraId="6236C79A">
      <w:pPr>
        <w:pStyle w:val="28"/>
        <w:spacing w:line="600" w:lineRule="exact"/>
        <w:ind w:firstLine="640"/>
        <w:outlineLvl w:val="1"/>
        <w:rPr>
          <w:rFonts w:hint="eastAsia" w:eastAsia="仿宋_GB2312" w:cs="仿宋_GB2312"/>
          <w:sz w:val="32"/>
          <w:szCs w:val="32"/>
        </w:rPr>
      </w:pPr>
    </w:p>
    <w:p w14:paraId="33E4165B">
      <w:pPr>
        <w:pStyle w:val="28"/>
        <w:spacing w:line="600" w:lineRule="exact"/>
        <w:ind w:firstLine="640"/>
        <w:outlineLvl w:val="1"/>
        <w:rPr>
          <w:rFonts w:hint="eastAsia" w:eastAsia="仿宋_GB2312" w:cs="仿宋_GB2312"/>
          <w:sz w:val="32"/>
          <w:szCs w:val="32"/>
        </w:rPr>
      </w:pPr>
    </w:p>
    <w:p w14:paraId="79D6C350">
      <w:pPr>
        <w:pStyle w:val="28"/>
        <w:spacing w:line="600" w:lineRule="exact"/>
        <w:ind w:firstLine="640"/>
        <w:outlineLvl w:val="1"/>
        <w:rPr>
          <w:rFonts w:hint="eastAsia" w:eastAsia="仿宋_GB2312" w:cs="仿宋_GB2312"/>
          <w:sz w:val="32"/>
          <w:szCs w:val="32"/>
        </w:rPr>
      </w:pPr>
    </w:p>
    <w:p w14:paraId="1305273B">
      <w:pPr>
        <w:pStyle w:val="28"/>
        <w:spacing w:line="600" w:lineRule="exact"/>
        <w:ind w:firstLine="640"/>
        <w:outlineLvl w:val="1"/>
        <w:rPr>
          <w:rFonts w:hint="eastAsia" w:eastAsia="仿宋_GB2312" w:cs="仿宋_GB2312"/>
          <w:sz w:val="32"/>
          <w:szCs w:val="32"/>
        </w:rPr>
      </w:pPr>
    </w:p>
    <w:p w14:paraId="17159291">
      <w:pPr>
        <w:pStyle w:val="28"/>
        <w:spacing w:line="600" w:lineRule="exact"/>
        <w:ind w:firstLine="640"/>
        <w:outlineLvl w:val="1"/>
        <w:rPr>
          <w:rFonts w:hint="eastAsia" w:eastAsia="仿宋_GB2312" w:cs="仿宋_GB2312"/>
          <w:sz w:val="32"/>
          <w:szCs w:val="32"/>
        </w:rPr>
      </w:pPr>
    </w:p>
    <w:p w14:paraId="0272ADE5">
      <w:pPr>
        <w:pStyle w:val="28"/>
        <w:spacing w:line="600" w:lineRule="exact"/>
        <w:ind w:firstLine="640"/>
        <w:outlineLvl w:val="1"/>
        <w:rPr>
          <w:rFonts w:hint="eastAsia" w:eastAsia="仿宋_GB2312" w:cs="仿宋_GB2312"/>
          <w:sz w:val="32"/>
          <w:szCs w:val="32"/>
        </w:rPr>
      </w:pPr>
    </w:p>
    <w:p w14:paraId="1981A0B6">
      <w:pPr>
        <w:spacing w:line="600" w:lineRule="exact"/>
        <w:outlineLvl w:val="1"/>
        <w:rPr>
          <w:rFonts w:eastAsia="仿宋_GB2312" w:cs="仿宋_GB2312"/>
          <w:sz w:val="32"/>
          <w:szCs w:val="32"/>
        </w:rPr>
      </w:pPr>
    </w:p>
    <w:p w14:paraId="134667AA">
      <w:pPr>
        <w:pStyle w:val="28"/>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1"/>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（图1：收入、支出决算总计变动情况图）（柱状图）</w:t>
      </w:r>
    </w:p>
    <w:p w14:paraId="1DDA71A1">
      <w:pPr>
        <w:pStyle w:val="28"/>
        <w:spacing w:line="600" w:lineRule="exact"/>
        <w:ind w:firstLine="640"/>
        <w:outlineLvl w:val="1"/>
        <w:rPr>
          <w:rFonts w:eastAsia="黑体"/>
          <w:sz w:val="32"/>
          <w:szCs w:val="32"/>
        </w:rPr>
      </w:pPr>
      <w:bookmarkStart w:id="18" w:name="_Toc15377206"/>
      <w:bookmarkStart w:id="19" w:name="_Toc15396604"/>
      <w:r>
        <w:rPr>
          <w:rFonts w:hint="eastAsia" w:eastAsia="黑体"/>
          <w:sz w:val="32"/>
          <w:szCs w:val="32"/>
        </w:rPr>
        <w:t>二、收入决算情况说明</w:t>
      </w:r>
      <w:bookmarkEnd w:id="18"/>
      <w:bookmarkEnd w:id="19"/>
    </w:p>
    <w:p w14:paraId="725B836E">
      <w:pPr>
        <w:pStyle w:val="28"/>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1"/>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2024年度本年收入合计120.54万元，其中：一般公共预算财政拨款收入120.54万元，占100%。</w:t>
      </w:r>
    </w:p>
    <w:p w14:paraId="16ED5325">
      <w:pPr>
        <w:pStyle w:val="28"/>
        <w:spacing w:line="600" w:lineRule="exact"/>
        <w:ind w:firstLine="640"/>
        <w:jc w:val="left"/>
        <w:outlineLvl w:val="1"/>
        <w:rPr>
          <w:rFonts w:hint="eastAsia" w:ascii="仿宋_GB2312" w:hAnsi="仿宋_GB2312" w:eastAsia="仿宋_GB2312" w:cs="仿宋_GB2312"/>
          <w:sz w:val="32"/>
          <w:szCs w:val="32"/>
        </w:rPr>
      </w:pPr>
    </w:p>
    <w:p w14:paraId="3B415CE9">
      <w:pPr>
        <w:pStyle w:val="28"/>
        <w:spacing w:line="600" w:lineRule="exact"/>
        <w:ind w:left="0" w:leftChars="0" w:firstLine="0" w:firstLineChars="0"/>
        <w:jc w:val="left"/>
        <w:outlineLvl w:val="1"/>
        <w:rPr>
          <w:rFonts w:hint="eastAsia" w:ascii="仿宋_GB2312" w:hAnsi="仿宋_GB2312" w:eastAsia="仿宋_GB2312" w:cs="仿宋_GB2312"/>
          <w:sz w:val="32"/>
          <w:szCs w:val="32"/>
          <w:lang w:val="en-US" w:eastAsia="zh-CN"/>
        </w:rPr>
      </w:pPr>
    </w:p>
    <w:p w14:paraId="0DBFC2F0">
      <w:pPr>
        <w:pStyle w:val="28"/>
        <w:spacing w:line="600" w:lineRule="exact"/>
        <w:ind w:left="0" w:leftChars="0" w:firstLine="0" w:firstLineChars="0"/>
        <w:jc w:val="left"/>
        <w:outlineLvl w:val="1"/>
        <w:rPr>
          <w:rFonts w:hint="eastAsia" w:ascii="仿宋_GB2312" w:hAnsi="仿宋_GB2312" w:eastAsia="仿宋_GB2312" w:cs="仿宋_GB2312"/>
          <w:sz w:val="32"/>
          <w:szCs w:val="32"/>
          <w:lang w:val="en-US" w:eastAsia="zh-CN"/>
        </w:rPr>
      </w:pPr>
    </w:p>
    <w:p w14:paraId="2FC2D055">
      <w:pPr>
        <w:pStyle w:val="28"/>
        <w:spacing w:line="600" w:lineRule="exact"/>
        <w:ind w:firstLine="640"/>
        <w:jc w:val="left"/>
        <w:outlineLvl w:val="1"/>
        <w:rPr>
          <w:rFonts w:hint="eastAsia" w:ascii="仿宋_GB2312" w:hAnsi="仿宋_GB2312" w:eastAsia="仿宋_GB2312" w:cs="仿宋_GB2312"/>
          <w:sz w:val="32"/>
          <w:szCs w:val="32"/>
        </w:rPr>
      </w:pPr>
    </w:p>
    <w:p w14:paraId="159682B2">
      <w:pPr>
        <w:pStyle w:val="28"/>
        <w:spacing w:line="600" w:lineRule="exact"/>
        <w:jc w:val="left"/>
        <w:outlineLvl w:val="1"/>
        <w:rPr>
          <w:rFonts w:hint="eastAsia" w:ascii="仿宋_GB2312" w:hAnsi="仿宋_GB2312" w:eastAsia="仿宋_GB2312" w:cs="仿宋_GB2312"/>
          <w:sz w:val="32"/>
          <w:szCs w:val="32"/>
        </w:rPr>
      </w:pPr>
      <w:r>
        <w:drawing>
          <wp:anchor distT="0" distB="0" distL="114300" distR="114300" simplePos="0" relativeHeight="251661312" behindDoc="1" locked="0" layoutInCell="1" allowOverlap="1">
            <wp:simplePos x="0" y="0"/>
            <wp:positionH relativeFrom="column">
              <wp:posOffset>18415</wp:posOffset>
            </wp:positionH>
            <wp:positionV relativeFrom="paragraph">
              <wp:posOffset>28575</wp:posOffset>
            </wp:positionV>
            <wp:extent cx="5476875" cy="3009900"/>
            <wp:effectExtent l="0" t="0" r="9525" b="1905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217BF8F2">
      <w:pPr>
        <w:pStyle w:val="28"/>
        <w:spacing w:line="600" w:lineRule="exact"/>
        <w:ind w:firstLine="640"/>
        <w:jc w:val="left"/>
        <w:outlineLvl w:val="1"/>
        <w:rPr>
          <w:rFonts w:hint="eastAsia" w:ascii="仿宋_GB2312" w:hAnsi="仿宋_GB2312" w:eastAsia="仿宋_GB2312" w:cs="仿宋_GB2312"/>
          <w:sz w:val="32"/>
          <w:szCs w:val="32"/>
        </w:rPr>
      </w:pPr>
    </w:p>
    <w:p w14:paraId="35C315F5">
      <w:pPr>
        <w:pStyle w:val="28"/>
        <w:spacing w:line="600" w:lineRule="exact"/>
        <w:ind w:firstLine="640"/>
        <w:jc w:val="left"/>
        <w:outlineLvl w:val="1"/>
        <w:rPr>
          <w:rFonts w:hint="eastAsia" w:ascii="仿宋_GB2312" w:hAnsi="仿宋_GB2312" w:eastAsia="仿宋_GB2312" w:cs="仿宋_GB2312"/>
          <w:sz w:val="32"/>
          <w:szCs w:val="32"/>
        </w:rPr>
      </w:pPr>
    </w:p>
    <w:p w14:paraId="29201254">
      <w:pPr>
        <w:pStyle w:val="28"/>
        <w:spacing w:line="600" w:lineRule="exact"/>
        <w:ind w:firstLine="640"/>
        <w:jc w:val="left"/>
        <w:outlineLvl w:val="1"/>
        <w:rPr>
          <w:rFonts w:hint="eastAsia" w:ascii="仿宋_GB2312" w:hAnsi="仿宋_GB2312" w:eastAsia="仿宋_GB2312" w:cs="仿宋_GB2312"/>
          <w:sz w:val="32"/>
          <w:szCs w:val="32"/>
        </w:rPr>
      </w:pPr>
    </w:p>
    <w:p w14:paraId="1F80280D">
      <w:pPr>
        <w:pStyle w:val="28"/>
        <w:spacing w:line="600" w:lineRule="exact"/>
        <w:ind w:firstLine="640"/>
        <w:jc w:val="left"/>
        <w:outlineLvl w:val="1"/>
        <w:rPr>
          <w:rFonts w:hint="eastAsia" w:ascii="仿宋_GB2312" w:hAnsi="仿宋_GB2312" w:eastAsia="仿宋_GB2312" w:cs="仿宋_GB2312"/>
          <w:sz w:val="32"/>
          <w:szCs w:val="32"/>
        </w:rPr>
      </w:pPr>
    </w:p>
    <w:p w14:paraId="03AB1254">
      <w:pPr>
        <w:pStyle w:val="28"/>
        <w:spacing w:line="600" w:lineRule="exact"/>
        <w:ind w:firstLine="640"/>
        <w:jc w:val="left"/>
        <w:outlineLvl w:val="1"/>
        <w:rPr>
          <w:rFonts w:hint="eastAsia" w:ascii="仿宋_GB2312" w:hAnsi="仿宋_GB2312" w:eastAsia="仿宋_GB2312" w:cs="仿宋_GB2312"/>
          <w:sz w:val="32"/>
          <w:szCs w:val="32"/>
        </w:rPr>
      </w:pPr>
    </w:p>
    <w:p w14:paraId="1F3FF100">
      <w:pPr>
        <w:pStyle w:val="28"/>
        <w:spacing w:line="600" w:lineRule="exact"/>
        <w:ind w:firstLine="643"/>
        <w:jc w:val="left"/>
        <w:outlineLvl w:val="1"/>
        <w:rPr>
          <w:rFonts w:eastAsia="仿宋_GB2312" w:cs="仿宋_GB2312"/>
          <w:b/>
          <w:bCs/>
          <w:sz w:val="32"/>
          <w:szCs w:val="32"/>
        </w:rPr>
      </w:pPr>
    </w:p>
    <w:p w14:paraId="09A8E3DD">
      <w:pPr>
        <w:ind w:firstLine="800" w:firstLineChars="250"/>
        <w:rPr>
          <w:rFonts w:hint="eastAsia" w:eastAsia="仿宋_GB2312" w:cs="仿宋_GB2312"/>
          <w:sz w:val="32"/>
          <w:szCs w:val="32"/>
        </w:rPr>
      </w:pPr>
    </w:p>
    <w:p w14:paraId="2F49B29F">
      <w:pPr>
        <w:pStyle w:val="28"/>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1"/>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（图2：收入决算结构图）（饼状图）</w:t>
      </w:r>
    </w:p>
    <w:p w14:paraId="1DA36441">
      <w:pPr>
        <w:pStyle w:val="28"/>
        <w:spacing w:line="600" w:lineRule="exact"/>
        <w:ind w:firstLine="640"/>
        <w:outlineLvl w:val="1"/>
        <w:rPr>
          <w:rStyle w:val="30"/>
          <w:rFonts w:hint="eastAsia" w:ascii="方正黑体_GBK" w:hAnsi="方正黑体_GBK" w:eastAsia="方正黑体_GBK" w:cs="方正黑体_GBK"/>
          <w:b w:val="0"/>
        </w:rPr>
      </w:pPr>
      <w:bookmarkStart w:id="20" w:name="_Toc15377207"/>
      <w:bookmarkStart w:id="21" w:name="_Toc15396605"/>
      <w:r>
        <w:rPr>
          <w:rFonts w:hint="eastAsia" w:ascii="方正黑体_GBK" w:hAnsi="方正黑体_GBK" w:eastAsia="方正黑体_GBK" w:cs="方正黑体_GBK"/>
          <w:sz w:val="32"/>
          <w:szCs w:val="32"/>
        </w:rPr>
        <w:t>三、支</w:t>
      </w:r>
      <w:r>
        <w:rPr>
          <w:rStyle w:val="30"/>
          <w:rFonts w:hint="eastAsia" w:ascii="方正黑体_GBK" w:hAnsi="方正黑体_GBK" w:eastAsia="方正黑体_GBK" w:cs="方正黑体_GBK"/>
          <w:b w:val="0"/>
        </w:rPr>
        <w:t>出决算情况说明</w:t>
      </w:r>
      <w:bookmarkEnd w:id="20"/>
      <w:bookmarkEnd w:id="21"/>
    </w:p>
    <w:p w14:paraId="2791F609">
      <w:pPr>
        <w:pStyle w:val="28"/>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1"/>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2024年度本年支出合计120.54万元，其中：基本支出120.54万元，占100%。</w:t>
      </w:r>
    </w:p>
    <w:p w14:paraId="0F71F908">
      <w:pPr>
        <w:pStyle w:val="28"/>
        <w:spacing w:line="600" w:lineRule="exact"/>
        <w:jc w:val="left"/>
        <w:outlineLvl w:val="1"/>
        <w:rPr>
          <w:rFonts w:hint="eastAsia" w:eastAsia="仿宋_GB2312" w:cs="仿宋_GB2312"/>
          <w:b/>
          <w:bCs/>
          <w:sz w:val="32"/>
          <w:szCs w:val="32"/>
        </w:rPr>
      </w:pPr>
      <w:r>
        <w:drawing>
          <wp:anchor distT="0" distB="0" distL="114300" distR="114300" simplePos="0" relativeHeight="251662336" behindDoc="1" locked="0" layoutInCell="1" allowOverlap="1">
            <wp:simplePos x="0" y="0"/>
            <wp:positionH relativeFrom="column">
              <wp:posOffset>114300</wp:posOffset>
            </wp:positionH>
            <wp:positionV relativeFrom="paragraph">
              <wp:posOffset>102870</wp:posOffset>
            </wp:positionV>
            <wp:extent cx="5448300" cy="3076575"/>
            <wp:effectExtent l="0" t="0" r="19050" b="952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3EC4CAA7">
      <w:pPr>
        <w:pStyle w:val="28"/>
        <w:spacing w:line="600" w:lineRule="exact"/>
        <w:ind w:firstLine="643"/>
        <w:jc w:val="left"/>
        <w:outlineLvl w:val="1"/>
        <w:rPr>
          <w:rFonts w:hint="eastAsia" w:eastAsia="仿宋_GB2312" w:cs="仿宋_GB2312"/>
          <w:b/>
          <w:bCs/>
          <w:sz w:val="32"/>
          <w:szCs w:val="32"/>
        </w:rPr>
      </w:pPr>
    </w:p>
    <w:p w14:paraId="00D37729">
      <w:pPr>
        <w:pStyle w:val="28"/>
        <w:spacing w:line="600" w:lineRule="exact"/>
        <w:ind w:firstLine="643"/>
        <w:jc w:val="left"/>
        <w:outlineLvl w:val="1"/>
        <w:rPr>
          <w:rFonts w:hint="eastAsia" w:eastAsia="仿宋_GB2312" w:cs="仿宋_GB2312"/>
          <w:b/>
          <w:bCs/>
          <w:sz w:val="32"/>
          <w:szCs w:val="32"/>
        </w:rPr>
      </w:pPr>
    </w:p>
    <w:p w14:paraId="31379BF0">
      <w:pPr>
        <w:pStyle w:val="28"/>
        <w:spacing w:line="600" w:lineRule="exact"/>
        <w:ind w:firstLine="643"/>
        <w:jc w:val="left"/>
        <w:outlineLvl w:val="1"/>
        <w:rPr>
          <w:rFonts w:hint="eastAsia" w:eastAsia="仿宋_GB2312" w:cs="仿宋_GB2312"/>
          <w:b/>
          <w:bCs/>
          <w:sz w:val="32"/>
          <w:szCs w:val="32"/>
        </w:rPr>
      </w:pPr>
    </w:p>
    <w:p w14:paraId="59BCC34F">
      <w:pPr>
        <w:pStyle w:val="28"/>
        <w:spacing w:line="600" w:lineRule="exact"/>
        <w:ind w:firstLine="643"/>
        <w:jc w:val="left"/>
        <w:outlineLvl w:val="1"/>
        <w:rPr>
          <w:rFonts w:hint="eastAsia" w:eastAsia="仿宋_GB2312" w:cs="仿宋_GB2312"/>
          <w:b/>
          <w:bCs/>
          <w:sz w:val="32"/>
          <w:szCs w:val="32"/>
        </w:rPr>
      </w:pPr>
    </w:p>
    <w:p w14:paraId="0C656825">
      <w:pPr>
        <w:pStyle w:val="28"/>
        <w:spacing w:line="600" w:lineRule="exact"/>
        <w:ind w:firstLine="643"/>
        <w:jc w:val="left"/>
        <w:outlineLvl w:val="1"/>
        <w:rPr>
          <w:rFonts w:hint="eastAsia" w:eastAsia="仿宋_GB2312" w:cs="仿宋_GB2312"/>
          <w:b/>
          <w:bCs/>
          <w:sz w:val="32"/>
          <w:szCs w:val="32"/>
        </w:rPr>
      </w:pPr>
    </w:p>
    <w:p w14:paraId="06B10989">
      <w:pPr>
        <w:pStyle w:val="28"/>
        <w:spacing w:line="600" w:lineRule="exact"/>
        <w:ind w:firstLine="643"/>
        <w:jc w:val="left"/>
        <w:outlineLvl w:val="1"/>
        <w:rPr>
          <w:rFonts w:hint="eastAsia" w:eastAsia="仿宋_GB2312" w:cs="仿宋_GB2312"/>
          <w:b/>
          <w:bCs/>
          <w:sz w:val="32"/>
          <w:szCs w:val="32"/>
        </w:rPr>
      </w:pPr>
    </w:p>
    <w:p w14:paraId="00B30043">
      <w:pPr>
        <w:spacing w:line="600" w:lineRule="exact"/>
        <w:jc w:val="left"/>
        <w:outlineLvl w:val="1"/>
        <w:rPr>
          <w:rFonts w:hint="eastAsia" w:eastAsia="仿宋_GB2312" w:cs="仿宋_GB2312"/>
          <w:b/>
          <w:bCs/>
          <w:sz w:val="32"/>
          <w:szCs w:val="32"/>
        </w:rPr>
      </w:pPr>
    </w:p>
    <w:p w14:paraId="40838BA6">
      <w:pPr>
        <w:pStyle w:val="2"/>
      </w:pPr>
    </w:p>
    <w:p w14:paraId="091589AC">
      <w:pPr>
        <w:pStyle w:val="28"/>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1"/>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（图3：支出决算结构图）（饼状图）</w:t>
      </w:r>
    </w:p>
    <w:p w14:paraId="753E0C1F">
      <w:pPr>
        <w:spacing w:line="600" w:lineRule="exact"/>
        <w:ind w:firstLine="640" w:firstLineChars="200"/>
        <w:outlineLvl w:val="1"/>
        <w:rPr>
          <w:rFonts w:hint="eastAsia" w:eastAsia="黑体"/>
          <w:sz w:val="32"/>
          <w:szCs w:val="32"/>
        </w:rPr>
      </w:pPr>
      <w:bookmarkStart w:id="22" w:name="_Toc15396606"/>
      <w:bookmarkStart w:id="23" w:name="_Toc15377208"/>
    </w:p>
    <w:p w14:paraId="2D92617F">
      <w:pPr>
        <w:pStyle w:val="2"/>
        <w:rPr>
          <w:rFonts w:hint="eastAsia"/>
        </w:rPr>
      </w:pPr>
    </w:p>
    <w:p w14:paraId="482A2A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方正黑体_GBK" w:hAnsi="方正黑体_GBK" w:eastAsia="方正黑体_GBK" w:cs="方正黑体_GBK"/>
          <w:b w:val="0"/>
        </w:rPr>
      </w:pPr>
      <w:r>
        <w:rPr>
          <w:rFonts w:hint="eastAsia" w:ascii="方正黑体_GBK" w:hAnsi="方正黑体_GBK" w:eastAsia="方正黑体_GBK" w:cs="方正黑体_GBK"/>
          <w:sz w:val="32"/>
          <w:szCs w:val="32"/>
        </w:rPr>
        <w:t>四、财</w:t>
      </w:r>
      <w:r>
        <w:rPr>
          <w:rStyle w:val="30"/>
          <w:rFonts w:hint="eastAsia" w:ascii="方正黑体_GBK" w:hAnsi="方正黑体_GBK" w:eastAsia="方正黑体_GBK" w:cs="方正黑体_GBK"/>
          <w:b w:val="0"/>
        </w:rPr>
        <w:t>政拨款收入支出决算总体情况说明</w:t>
      </w:r>
      <w:bookmarkEnd w:id="22"/>
      <w:bookmarkEnd w:id="23"/>
    </w:p>
    <w:p w14:paraId="5EFBE6B8">
      <w:pPr>
        <w:spacing w:line="600" w:lineRule="exact"/>
        <w:ind w:firstLine="640"/>
        <w:rPr>
          <w:rFonts w:hint="eastAsia" w:eastAsia="仿宋_GB2312" w:cs="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120.54</w:t>
      </w:r>
      <w:r>
        <w:rPr>
          <w:rFonts w:hint="eastAsia" w:eastAsia="仿宋_GB2312" w:cs="仿宋_GB2312"/>
          <w:sz w:val="32"/>
          <w:szCs w:val="32"/>
        </w:rPr>
        <w:t>万元。与2023年度相比，财政拨款收入总计、支出总计各增加4.85万元，增长4.19%。主要变动原因是</w:t>
      </w:r>
      <w:r>
        <w:rPr>
          <w:rFonts w:hint="eastAsia" w:eastAsia="仿宋_GB2312" w:cs="仿宋_GB2312"/>
          <w:sz w:val="32"/>
          <w:szCs w:val="32"/>
          <w:lang w:val="en-US" w:eastAsia="zh-CN"/>
        </w:rPr>
        <w:t>人员工资正常晋升</w:t>
      </w:r>
      <w:r>
        <w:rPr>
          <w:rFonts w:hint="eastAsia" w:eastAsia="仿宋_GB2312" w:cs="仿宋_GB2312"/>
          <w:sz w:val="32"/>
          <w:szCs w:val="32"/>
        </w:rPr>
        <w:t>。</w:t>
      </w:r>
    </w:p>
    <w:p w14:paraId="5D6CAC8E">
      <w:pPr>
        <w:pStyle w:val="2"/>
        <w:rPr>
          <w:rFonts w:hint="eastAsia"/>
        </w:rPr>
      </w:pPr>
      <w:r>
        <w:rPr>
          <w:rFonts w:hint="eastAsia"/>
        </w:rPr>
        <w:drawing>
          <wp:anchor distT="0" distB="0" distL="114300" distR="114300" simplePos="0" relativeHeight="251663360" behindDoc="1" locked="0" layoutInCell="1" allowOverlap="1">
            <wp:simplePos x="0" y="0"/>
            <wp:positionH relativeFrom="column">
              <wp:posOffset>9525</wp:posOffset>
            </wp:positionH>
            <wp:positionV relativeFrom="paragraph">
              <wp:posOffset>0</wp:posOffset>
            </wp:positionV>
            <wp:extent cx="5695950" cy="318135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701635" cy="3184525"/>
                    </a:xfrm>
                    <a:prstGeom prst="rect">
                      <a:avLst/>
                    </a:prstGeom>
                    <a:noFill/>
                    <a:ln>
                      <a:noFill/>
                    </a:ln>
                  </pic:spPr>
                </pic:pic>
              </a:graphicData>
            </a:graphic>
          </wp:anchor>
        </w:drawing>
      </w:r>
    </w:p>
    <w:p w14:paraId="24E98472">
      <w:pPr>
        <w:pStyle w:val="3"/>
        <w:ind w:left="420"/>
        <w:rPr>
          <w:rFonts w:hint="eastAsia"/>
        </w:rPr>
      </w:pPr>
    </w:p>
    <w:p w14:paraId="2947BE03">
      <w:pPr>
        <w:pStyle w:val="3"/>
        <w:ind w:left="420"/>
        <w:rPr>
          <w:rFonts w:hint="eastAsia"/>
        </w:rPr>
      </w:pPr>
    </w:p>
    <w:p w14:paraId="3DB8D51E">
      <w:pPr>
        <w:pStyle w:val="3"/>
        <w:ind w:left="420"/>
        <w:rPr>
          <w:rFonts w:hint="eastAsia"/>
        </w:rPr>
      </w:pPr>
    </w:p>
    <w:p w14:paraId="3FF802B7">
      <w:pPr>
        <w:pStyle w:val="3"/>
        <w:ind w:left="420"/>
        <w:rPr>
          <w:rFonts w:hint="eastAsia"/>
        </w:rPr>
      </w:pPr>
    </w:p>
    <w:p w14:paraId="42A911CA">
      <w:pPr>
        <w:pStyle w:val="3"/>
        <w:ind w:left="420"/>
        <w:rPr>
          <w:rFonts w:hint="eastAsia"/>
        </w:rPr>
      </w:pPr>
    </w:p>
    <w:p w14:paraId="61ADA17F">
      <w:pPr>
        <w:pStyle w:val="3"/>
        <w:ind w:left="420"/>
        <w:rPr>
          <w:rFonts w:hint="eastAsia"/>
        </w:rPr>
      </w:pPr>
    </w:p>
    <w:p w14:paraId="7A1A42C5">
      <w:pPr>
        <w:pStyle w:val="3"/>
        <w:ind w:left="420"/>
        <w:rPr>
          <w:rFonts w:hint="eastAsia"/>
        </w:rPr>
      </w:pPr>
    </w:p>
    <w:p w14:paraId="61D024D2">
      <w:pPr>
        <w:pStyle w:val="3"/>
        <w:ind w:left="420"/>
        <w:rPr>
          <w:rFonts w:hint="eastAsia"/>
        </w:rPr>
      </w:pPr>
    </w:p>
    <w:p w14:paraId="1F08E4C7">
      <w:pPr>
        <w:pStyle w:val="3"/>
        <w:ind w:left="420"/>
        <w:rPr>
          <w:rFonts w:hint="eastAsia"/>
        </w:rPr>
      </w:pPr>
    </w:p>
    <w:p w14:paraId="13C55EDE">
      <w:pPr>
        <w:pStyle w:val="3"/>
        <w:ind w:left="420"/>
      </w:pPr>
    </w:p>
    <w:p w14:paraId="4903C2CC">
      <w:pPr>
        <w:spacing w:line="600" w:lineRule="exact"/>
        <w:ind w:firstLine="640" w:firstLineChars="200"/>
        <w:rPr>
          <w:rFonts w:hint="eastAsia" w:eastAsia="仿宋_GB2312" w:cs="仿宋_GB2312"/>
          <w:sz w:val="32"/>
          <w:szCs w:val="32"/>
        </w:rPr>
      </w:pPr>
    </w:p>
    <w:p w14:paraId="4E16C169">
      <w:pPr>
        <w:spacing w:line="600" w:lineRule="exact"/>
        <w:ind w:firstLine="320" w:firstLineChars="100"/>
        <w:rPr>
          <w:rFonts w:eastAsia="仿宋_GB2312" w:cs="仿宋_GB2312"/>
          <w:sz w:val="32"/>
          <w:szCs w:val="32"/>
        </w:rPr>
      </w:pPr>
      <w:r>
        <w:rPr>
          <w:rFonts w:hint="eastAsia" w:eastAsia="仿宋_GB2312" w:cs="仿宋_GB2312"/>
          <w:sz w:val="32"/>
          <w:szCs w:val="32"/>
        </w:rPr>
        <w:t>（图4：财政拨款收、支决算总计变动情况）（柱状图）</w:t>
      </w:r>
    </w:p>
    <w:p w14:paraId="13B7C481">
      <w:pPr>
        <w:spacing w:line="600" w:lineRule="exact"/>
        <w:ind w:firstLine="640" w:firstLineChars="200"/>
        <w:outlineLvl w:val="1"/>
        <w:rPr>
          <w:rStyle w:val="30"/>
          <w:rFonts w:ascii="Times New Roman" w:hAnsi="Times New Roman" w:eastAsia="黑体"/>
          <w:b w:val="0"/>
        </w:rPr>
      </w:pPr>
      <w:bookmarkStart w:id="24" w:name="_Toc15377209"/>
      <w:bookmarkStart w:id="25" w:name="_Toc15396607"/>
      <w:r>
        <w:rPr>
          <w:rFonts w:hint="eastAsia" w:eastAsia="黑体"/>
          <w:sz w:val="32"/>
          <w:szCs w:val="32"/>
        </w:rPr>
        <w:t>五、</w:t>
      </w:r>
      <w:r>
        <w:rPr>
          <w:rFonts w:hint="eastAsia" w:eastAsia="黑体"/>
          <w:b/>
          <w:sz w:val="32"/>
          <w:szCs w:val="32"/>
        </w:rPr>
        <w:t>一</w:t>
      </w:r>
      <w:r>
        <w:rPr>
          <w:rStyle w:val="30"/>
          <w:rFonts w:hint="eastAsia" w:ascii="Times New Roman" w:hAnsi="Times New Roman" w:eastAsia="黑体"/>
          <w:b w:val="0"/>
        </w:rPr>
        <w:t>般公共预算财政拨款支出决算情况说明</w:t>
      </w:r>
      <w:bookmarkEnd w:id="24"/>
      <w:bookmarkEnd w:id="25"/>
    </w:p>
    <w:p w14:paraId="4D711B9A">
      <w:pPr>
        <w:spacing w:line="600" w:lineRule="exact"/>
        <w:ind w:firstLine="643" w:firstLineChars="200"/>
        <w:outlineLvl w:val="2"/>
        <w:rPr>
          <w:rFonts w:eastAsia="楷体_GB2312" w:cs="楷体_GB2312"/>
          <w:b/>
          <w:sz w:val="32"/>
          <w:szCs w:val="32"/>
        </w:rPr>
      </w:pPr>
      <w:bookmarkStart w:id="26" w:name="_Toc15377210"/>
      <w:r>
        <w:rPr>
          <w:rFonts w:hint="eastAsia" w:eastAsia="楷体_GB2312" w:cs="楷体_GB2312"/>
          <w:b/>
          <w:sz w:val="32"/>
          <w:szCs w:val="32"/>
        </w:rPr>
        <w:t>（一）一般公共预算财政拨款支出决算总体情况</w:t>
      </w:r>
      <w:bookmarkEnd w:id="26"/>
    </w:p>
    <w:p w14:paraId="4190468E">
      <w:pPr>
        <w:spacing w:line="600" w:lineRule="exact"/>
        <w:ind w:firstLine="640"/>
        <w:rPr>
          <w:rFonts w:hint="eastAsia" w:eastAsia="仿宋_GB2312" w:cs="仿宋_GB2312"/>
          <w:sz w:val="32"/>
          <w:szCs w:val="32"/>
        </w:rPr>
      </w:pPr>
      <w:r>
        <w:rPr>
          <w:rFonts w:hint="eastAsia" w:ascii="仿宋_GB2312" w:hAnsi="仿宋_GB2312" w:eastAsia="仿宋_GB2312" w:cs="仿宋_GB2312"/>
          <w:sz w:val="32"/>
          <w:szCs w:val="32"/>
        </w:rPr>
        <w:t>2024年度一般公共预算财政拨款支出120.54万元，占本年支出合计的100%。与2023年度相比，一般公共预算财政拨款支出增加4.85万元，增长4.19%。主要变动原因是</w:t>
      </w:r>
      <w:r>
        <w:rPr>
          <w:rFonts w:hint="eastAsia" w:eastAsia="仿宋_GB2312" w:cs="仿宋_GB2312"/>
          <w:sz w:val="32"/>
          <w:szCs w:val="32"/>
          <w:lang w:val="en-US" w:eastAsia="zh-CN"/>
        </w:rPr>
        <w:t>人员工资正常晋升</w:t>
      </w:r>
      <w:r>
        <w:rPr>
          <w:rFonts w:hint="eastAsia" w:eastAsia="仿宋_GB2312" w:cs="仿宋_GB2312"/>
          <w:sz w:val="32"/>
          <w:szCs w:val="32"/>
        </w:rPr>
        <w:t>。</w:t>
      </w:r>
    </w:p>
    <w:p w14:paraId="1C98E678">
      <w:pPr>
        <w:pStyle w:val="2"/>
        <w:rPr>
          <w:rFonts w:hint="eastAsia"/>
        </w:rPr>
      </w:pPr>
    </w:p>
    <w:p w14:paraId="003B8BD2">
      <w:pPr>
        <w:pStyle w:val="3"/>
        <w:ind w:left="420"/>
        <w:rPr>
          <w:rFonts w:hint="eastAsia"/>
        </w:rPr>
      </w:pPr>
    </w:p>
    <w:p w14:paraId="3EA68FE5">
      <w:pPr>
        <w:pStyle w:val="3"/>
        <w:ind w:left="420"/>
        <w:rPr>
          <w:rFonts w:hint="eastAsia"/>
        </w:rPr>
      </w:pPr>
    </w:p>
    <w:p w14:paraId="4216A8FD">
      <w:pPr>
        <w:pStyle w:val="3"/>
        <w:ind w:left="420"/>
        <w:rPr>
          <w:rFonts w:hint="eastAsia"/>
        </w:rPr>
      </w:pPr>
    </w:p>
    <w:p w14:paraId="535DE604">
      <w:pPr>
        <w:pStyle w:val="3"/>
        <w:ind w:left="420"/>
        <w:rPr>
          <w:rFonts w:hint="eastAsia"/>
        </w:rPr>
      </w:pPr>
    </w:p>
    <w:p w14:paraId="3783A788">
      <w:pPr>
        <w:pStyle w:val="3"/>
        <w:ind w:left="420"/>
        <w:rPr>
          <w:rFonts w:hint="eastAsia"/>
        </w:rPr>
      </w:pPr>
    </w:p>
    <w:p w14:paraId="598D3DCC">
      <w:pPr>
        <w:pStyle w:val="3"/>
        <w:ind w:left="420"/>
        <w:rPr>
          <w:rFonts w:hint="eastAsia"/>
        </w:rPr>
      </w:pPr>
    </w:p>
    <w:p w14:paraId="4FE6C88A">
      <w:pPr>
        <w:pStyle w:val="3"/>
        <w:ind w:left="0" w:leftChars="0" w:firstLine="0" w:firstLineChars="0"/>
        <w:rPr>
          <w:rFonts w:hint="eastAsia"/>
        </w:rPr>
      </w:pPr>
      <w:r>
        <w:drawing>
          <wp:inline distT="0" distB="0" distL="0" distR="0">
            <wp:extent cx="5476875" cy="3048000"/>
            <wp:effectExtent l="0" t="0" r="9525" b="1905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A320D08">
      <w:pPr>
        <w:spacing w:line="600" w:lineRule="exact"/>
        <w:rPr>
          <w:rFonts w:eastAsia="仿宋_GB2312" w:cs="仿宋_GB2312"/>
          <w:sz w:val="32"/>
          <w:szCs w:val="32"/>
        </w:rPr>
      </w:pPr>
      <w:r>
        <w:rPr>
          <w:rFonts w:hint="eastAsia" w:eastAsia="仿宋_GB2312" w:cs="仿宋_GB2312"/>
          <w:sz w:val="32"/>
          <w:szCs w:val="32"/>
        </w:rPr>
        <w:t>（图5：一般公共预算财政拨款支出决算变动情况）（柱状图）</w:t>
      </w:r>
    </w:p>
    <w:p w14:paraId="37632A9C">
      <w:pPr>
        <w:spacing w:line="600" w:lineRule="exact"/>
        <w:ind w:firstLine="643" w:firstLineChars="200"/>
        <w:outlineLvl w:val="2"/>
        <w:rPr>
          <w:rFonts w:eastAsia="楷体_GB2312" w:cs="楷体_GB2312"/>
          <w:b/>
          <w:sz w:val="32"/>
          <w:szCs w:val="32"/>
        </w:rPr>
      </w:pPr>
      <w:bookmarkStart w:id="27" w:name="_Toc15377211"/>
      <w:r>
        <w:rPr>
          <w:rFonts w:hint="eastAsia" w:eastAsia="楷体_GB2312" w:cs="楷体_GB2312"/>
          <w:b/>
          <w:sz w:val="32"/>
          <w:szCs w:val="32"/>
        </w:rPr>
        <w:t>（二）一般公共预算财政拨款支出决算结构情况</w:t>
      </w:r>
      <w:bookmarkEnd w:id="27"/>
    </w:p>
    <w:p w14:paraId="71618D3E">
      <w:pPr>
        <w:spacing w:line="600" w:lineRule="exact"/>
        <w:ind w:firstLine="640"/>
        <w:rPr>
          <w:rFonts w:hint="eastAsia" w:ascii="仿宋_GB2312" w:hAnsi="仿宋" w:eastAsia="仿宋_GB2312"/>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120.54万元</w:t>
      </w:r>
      <w:r>
        <w:rPr>
          <w:rFonts w:hint="eastAsia" w:eastAsia="仿宋_GB2312" w:cs="仿宋_GB2312"/>
          <w:sz w:val="32"/>
          <w:szCs w:val="32"/>
        </w:rPr>
        <w:t>，主要用于以下方面：</w:t>
      </w:r>
      <w:r>
        <w:rPr>
          <w:rFonts w:ascii="仿宋_GB2312" w:hAnsi="仿宋" w:eastAsia="仿宋_GB2312"/>
          <w:sz w:val="32"/>
          <w:szCs w:val="32"/>
        </w:rPr>
        <w:t>社会保障和就业支出</w:t>
      </w:r>
      <w:r>
        <w:rPr>
          <w:rFonts w:hint="eastAsia" w:ascii="仿宋_GB2312" w:hAnsi="仿宋" w:eastAsia="仿宋_GB2312"/>
          <w:sz w:val="32"/>
          <w:szCs w:val="32"/>
        </w:rPr>
        <w:t>13.58</w:t>
      </w:r>
      <w:r>
        <w:rPr>
          <w:rFonts w:ascii="仿宋_GB2312" w:hAnsi="仿宋" w:eastAsia="仿宋_GB2312"/>
          <w:sz w:val="32"/>
          <w:szCs w:val="32"/>
        </w:rPr>
        <w:t>万元，占</w:t>
      </w:r>
      <w:r>
        <w:rPr>
          <w:rFonts w:hint="eastAsia" w:ascii="仿宋_GB2312" w:hAnsi="仿宋" w:eastAsia="仿宋_GB2312"/>
          <w:sz w:val="32"/>
          <w:szCs w:val="32"/>
        </w:rPr>
        <w:t>11.27</w:t>
      </w:r>
      <w:r>
        <w:rPr>
          <w:rFonts w:ascii="仿宋_GB2312" w:hAnsi="仿宋" w:eastAsia="仿宋_GB2312"/>
          <w:sz w:val="32"/>
          <w:szCs w:val="32"/>
        </w:rPr>
        <w:t>%；卫生健康支出</w:t>
      </w:r>
      <w:r>
        <w:rPr>
          <w:rFonts w:hint="eastAsia" w:ascii="仿宋_GB2312" w:hAnsi="仿宋" w:eastAsia="仿宋_GB2312"/>
          <w:sz w:val="32"/>
          <w:szCs w:val="32"/>
        </w:rPr>
        <w:t>9.63</w:t>
      </w:r>
      <w:r>
        <w:rPr>
          <w:rFonts w:ascii="仿宋_GB2312" w:hAnsi="仿宋" w:eastAsia="仿宋_GB2312"/>
          <w:sz w:val="32"/>
          <w:szCs w:val="32"/>
        </w:rPr>
        <w:t>万元，占</w:t>
      </w:r>
      <w:r>
        <w:rPr>
          <w:rFonts w:hint="eastAsia" w:ascii="仿宋_GB2312" w:hAnsi="仿宋" w:eastAsia="仿宋_GB2312"/>
          <w:sz w:val="32"/>
          <w:szCs w:val="32"/>
        </w:rPr>
        <w:t>7.99</w:t>
      </w:r>
      <w:r>
        <w:rPr>
          <w:rFonts w:ascii="仿宋_GB2312" w:hAnsi="仿宋" w:eastAsia="仿宋_GB2312"/>
          <w:sz w:val="32"/>
          <w:szCs w:val="32"/>
        </w:rPr>
        <w:t>%；住房保障支出</w:t>
      </w:r>
      <w:r>
        <w:rPr>
          <w:rFonts w:hint="eastAsia" w:ascii="仿宋_GB2312" w:hAnsi="仿宋" w:eastAsia="仿宋_GB2312"/>
          <w:sz w:val="32"/>
          <w:szCs w:val="32"/>
        </w:rPr>
        <w:t>8.88</w:t>
      </w:r>
      <w:r>
        <w:rPr>
          <w:rFonts w:ascii="仿宋_GB2312" w:hAnsi="仿宋" w:eastAsia="仿宋_GB2312"/>
          <w:sz w:val="32"/>
          <w:szCs w:val="32"/>
        </w:rPr>
        <w:t>万元，占</w:t>
      </w:r>
      <w:r>
        <w:rPr>
          <w:rFonts w:hint="eastAsia" w:ascii="仿宋_GB2312" w:hAnsi="仿宋" w:eastAsia="仿宋_GB2312"/>
          <w:sz w:val="32"/>
          <w:szCs w:val="32"/>
        </w:rPr>
        <w:t>7.37</w:t>
      </w:r>
      <w:r>
        <w:rPr>
          <w:rFonts w:ascii="仿宋_GB2312" w:hAnsi="仿宋" w:eastAsia="仿宋_GB2312"/>
          <w:sz w:val="32"/>
          <w:szCs w:val="32"/>
        </w:rPr>
        <w:t>%；交通运输支出</w:t>
      </w:r>
      <w:r>
        <w:rPr>
          <w:rFonts w:hint="eastAsia" w:ascii="仿宋_GB2312" w:hAnsi="仿宋" w:eastAsia="仿宋_GB2312"/>
          <w:sz w:val="32"/>
          <w:szCs w:val="32"/>
        </w:rPr>
        <w:t>88.45</w:t>
      </w:r>
      <w:r>
        <w:rPr>
          <w:rFonts w:ascii="仿宋_GB2312" w:hAnsi="仿宋" w:eastAsia="仿宋_GB2312"/>
          <w:sz w:val="32"/>
          <w:szCs w:val="32"/>
        </w:rPr>
        <w:t>万元，占</w:t>
      </w:r>
      <w:r>
        <w:rPr>
          <w:rFonts w:hint="eastAsia" w:ascii="仿宋_GB2312" w:hAnsi="仿宋" w:eastAsia="仿宋_GB2312"/>
          <w:sz w:val="32"/>
          <w:szCs w:val="32"/>
        </w:rPr>
        <w:t>73.37</w:t>
      </w:r>
      <w:r>
        <w:rPr>
          <w:rFonts w:ascii="仿宋_GB2312" w:hAnsi="仿宋" w:eastAsia="仿宋_GB2312"/>
          <w:sz w:val="32"/>
          <w:szCs w:val="32"/>
        </w:rPr>
        <w:t>%。</w:t>
      </w:r>
    </w:p>
    <w:p w14:paraId="39FCA1D6">
      <w:pPr>
        <w:pStyle w:val="2"/>
        <w:rPr>
          <w:rFonts w:hint="eastAsia"/>
        </w:rPr>
      </w:pPr>
      <w:r>
        <w:rPr>
          <w:rFonts w:hint="eastAsia"/>
        </w:rPr>
        <w:drawing>
          <wp:anchor distT="5080" distB="4445" distL="120015" distR="120015" simplePos="0" relativeHeight="251664384" behindDoc="1" locked="0" layoutInCell="1" allowOverlap="1">
            <wp:simplePos x="0" y="0"/>
            <wp:positionH relativeFrom="column">
              <wp:posOffset>-47625</wp:posOffset>
            </wp:positionH>
            <wp:positionV relativeFrom="paragraph">
              <wp:posOffset>106680</wp:posOffset>
            </wp:positionV>
            <wp:extent cx="5753100" cy="2895600"/>
            <wp:effectExtent l="4445" t="4445" r="14605" b="1460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461296D4">
      <w:pPr>
        <w:pStyle w:val="3"/>
        <w:ind w:left="420"/>
        <w:rPr>
          <w:rFonts w:hint="eastAsia"/>
        </w:rPr>
      </w:pPr>
    </w:p>
    <w:p w14:paraId="4B3C2AA3">
      <w:pPr>
        <w:pStyle w:val="3"/>
        <w:ind w:left="420"/>
        <w:rPr>
          <w:rFonts w:hint="eastAsia"/>
        </w:rPr>
      </w:pPr>
    </w:p>
    <w:p w14:paraId="6B3C1C11">
      <w:pPr>
        <w:pStyle w:val="3"/>
        <w:ind w:left="420"/>
        <w:rPr>
          <w:rFonts w:hint="eastAsia"/>
        </w:rPr>
      </w:pPr>
    </w:p>
    <w:p w14:paraId="716BE53B">
      <w:pPr>
        <w:pStyle w:val="3"/>
        <w:ind w:left="420"/>
        <w:rPr>
          <w:rFonts w:hint="eastAsia"/>
        </w:rPr>
      </w:pPr>
    </w:p>
    <w:p w14:paraId="2411D143">
      <w:pPr>
        <w:pStyle w:val="3"/>
        <w:ind w:left="420"/>
        <w:rPr>
          <w:rFonts w:hint="eastAsia"/>
        </w:rPr>
      </w:pPr>
    </w:p>
    <w:p w14:paraId="5D57ED92">
      <w:pPr>
        <w:pStyle w:val="3"/>
        <w:ind w:left="420"/>
        <w:rPr>
          <w:rFonts w:hint="eastAsia"/>
        </w:rPr>
      </w:pPr>
    </w:p>
    <w:p w14:paraId="3213FAFA">
      <w:pPr>
        <w:pStyle w:val="3"/>
        <w:ind w:left="420"/>
        <w:rPr>
          <w:rFonts w:hint="eastAsia"/>
        </w:rPr>
      </w:pPr>
    </w:p>
    <w:p w14:paraId="1E932642">
      <w:pPr>
        <w:pStyle w:val="3"/>
        <w:ind w:left="420"/>
        <w:rPr>
          <w:rFonts w:hint="eastAsia"/>
        </w:rPr>
      </w:pPr>
    </w:p>
    <w:p w14:paraId="46E372A5">
      <w:pPr>
        <w:pStyle w:val="3"/>
        <w:ind w:left="420"/>
        <w:rPr>
          <w:rFonts w:hint="eastAsia"/>
        </w:rPr>
      </w:pPr>
    </w:p>
    <w:p w14:paraId="6F98939D">
      <w:pPr>
        <w:pStyle w:val="3"/>
        <w:ind w:left="420"/>
        <w:rPr>
          <w:rFonts w:hint="eastAsia"/>
        </w:rPr>
      </w:pPr>
    </w:p>
    <w:p w14:paraId="4BA0CF88">
      <w:pPr>
        <w:pStyle w:val="3"/>
        <w:ind w:left="420"/>
      </w:pPr>
    </w:p>
    <w:p w14:paraId="4C16D21D">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（图6：一般公共预算财政拨款支出决算结构）（饼状图）</w:t>
      </w:r>
    </w:p>
    <w:p w14:paraId="5506FFD4">
      <w:pPr>
        <w:spacing w:line="600" w:lineRule="exact"/>
        <w:ind w:firstLine="643" w:firstLineChars="200"/>
        <w:outlineLvl w:val="2"/>
        <w:rPr>
          <w:rFonts w:eastAsia="楷体_GB2312" w:cs="楷体_GB2312"/>
          <w:b/>
          <w:sz w:val="32"/>
          <w:szCs w:val="32"/>
        </w:rPr>
      </w:pPr>
      <w:bookmarkStart w:id="28" w:name="_Toc15377212"/>
      <w:r>
        <w:rPr>
          <w:rFonts w:hint="eastAsia" w:eastAsia="楷体_GB2312" w:cs="楷体_GB2312"/>
          <w:b/>
          <w:sz w:val="32"/>
          <w:szCs w:val="32"/>
        </w:rPr>
        <w:t>（三）一般公共预算财政拨款支出决算具体情况</w:t>
      </w:r>
      <w:bookmarkEnd w:id="28"/>
    </w:p>
    <w:p w14:paraId="29799B65">
      <w:pPr>
        <w:spacing w:line="600" w:lineRule="exact"/>
        <w:ind w:firstLine="640"/>
        <w:rPr>
          <w:rFonts w:eastAsia="仿宋_GB2312" w:cs="仿宋_GB2312"/>
          <w:sz w:val="32"/>
          <w:szCs w:val="32"/>
        </w:rPr>
      </w:pPr>
      <w:bookmarkStart w:id="29" w:name="_Toc15377444"/>
      <w:bookmarkStart w:id="30" w:name="_Toc15378460"/>
      <w:bookmarkStart w:id="31" w:name="_Toc15377213"/>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120.54</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w:t>
      </w:r>
      <w:r>
        <w:rPr>
          <w:rFonts w:hint="eastAsia" w:eastAsia="仿宋_GB2312" w:cs="仿宋_GB2312"/>
          <w:sz w:val="32"/>
          <w:szCs w:val="32"/>
        </w:rPr>
        <w:t>完成预算100%。其中：</w:t>
      </w:r>
      <w:bookmarkEnd w:id="29"/>
      <w:bookmarkEnd w:id="30"/>
      <w:bookmarkEnd w:id="31"/>
    </w:p>
    <w:p w14:paraId="7D8EEC5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1.社会保障和就业支出（208类）行政事业单位养老支出（05款）行政单位离退休（01项）</w:t>
      </w: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sz w:val="32"/>
          <w:szCs w:val="32"/>
        </w:rPr>
        <w:t>支出决算为1.84万元，完成预算100%，</w:t>
      </w:r>
      <w:r>
        <w:rPr>
          <w:rFonts w:hint="default" w:ascii="Times New Roman" w:hAnsi="Times New Roman" w:eastAsia="方正仿宋_GBK" w:cs="Times New Roman"/>
          <w:sz w:val="32"/>
          <w:szCs w:val="32"/>
          <w:lang w:val="en-US" w:eastAsia="zh-CN"/>
        </w:rPr>
        <w:t>决算数等于预算数</w:t>
      </w:r>
      <w:r>
        <w:rPr>
          <w:rFonts w:hint="default" w:ascii="Times New Roman" w:hAnsi="Times New Roman" w:eastAsia="方正仿宋_GBK" w:cs="Times New Roman"/>
          <w:sz w:val="32"/>
          <w:szCs w:val="32"/>
        </w:rPr>
        <w:t>。</w:t>
      </w:r>
    </w:p>
    <w:p w14:paraId="3B8F71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 w:cs="仿宋_GB2312"/>
          <w:bCs/>
          <w:color w:val="000000"/>
          <w:sz w:val="32"/>
          <w:szCs w:val="32"/>
        </w:rPr>
      </w:pPr>
      <w:r>
        <w:rPr>
          <w:rFonts w:hint="default" w:ascii="Times New Roman" w:hAnsi="Times New Roman" w:eastAsia="方正仿宋_GBK" w:cs="Times New Roman"/>
          <w:bCs/>
          <w:color w:val="000000"/>
          <w:sz w:val="32"/>
          <w:szCs w:val="32"/>
        </w:rPr>
        <w:t>2.社会保障和就业支出（类208）行政事业单位养老支出（05款）机关事业单位基本养老保险缴费（05项）</w:t>
      </w: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sz w:val="32"/>
          <w:szCs w:val="32"/>
        </w:rPr>
        <w:t>支出决算为10.61万元，完成预算100%，</w:t>
      </w:r>
      <w:r>
        <w:rPr>
          <w:rFonts w:hint="default" w:ascii="Times New Roman" w:hAnsi="Times New Roman" w:eastAsia="方正仿宋_GBK" w:cs="Times New Roman"/>
          <w:sz w:val="32"/>
          <w:szCs w:val="32"/>
          <w:lang w:val="en-US" w:eastAsia="zh-CN"/>
        </w:rPr>
        <w:t>决算数等于预算数</w:t>
      </w:r>
      <w:r>
        <w:rPr>
          <w:rFonts w:hint="default" w:ascii="Times New Roman" w:hAnsi="Times New Roman" w:eastAsia="方正仿宋_GBK" w:cs="Times New Roman"/>
          <w:sz w:val="32"/>
          <w:szCs w:val="32"/>
        </w:rPr>
        <w:t>。</w:t>
      </w:r>
    </w:p>
    <w:p w14:paraId="5BA9EB0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3.卫生健康支出（210类）行政事业单位医疗（11款）行政单位医疗（01项）</w:t>
      </w:r>
      <w:r>
        <w:rPr>
          <w:rFonts w:hint="eastAsia" w:eastAsia="方正仿宋_GBK" w:cs="Times New Roman"/>
          <w:bCs/>
          <w:color w:val="000000"/>
          <w:sz w:val="32"/>
          <w:szCs w:val="32"/>
          <w:lang w:eastAsia="zh-CN"/>
        </w:rPr>
        <w:t>：</w:t>
      </w:r>
      <w:r>
        <w:rPr>
          <w:rFonts w:hint="eastAsia" w:ascii="Times New Roman" w:hAnsi="Times New Roman" w:eastAsia="方正仿宋_GBK" w:cs="Times New Roman"/>
          <w:bCs/>
          <w:color w:val="000000"/>
          <w:sz w:val="32"/>
          <w:szCs w:val="32"/>
        </w:rPr>
        <w:t>支出决算为5.87万元，完成预算</w:t>
      </w:r>
      <w:r>
        <w:rPr>
          <w:rFonts w:hint="default" w:ascii="Times New Roman" w:hAnsi="Times New Roman" w:eastAsia="方正仿宋_GBK" w:cs="Times New Roman"/>
          <w:bCs/>
          <w:color w:val="000000"/>
          <w:sz w:val="32"/>
          <w:szCs w:val="32"/>
        </w:rPr>
        <w:t>100%，</w:t>
      </w:r>
      <w:r>
        <w:rPr>
          <w:rFonts w:hint="eastAsia" w:ascii="Times New Roman" w:hAnsi="Times New Roman" w:eastAsia="方正仿宋_GBK" w:cs="Times New Roman"/>
          <w:bCs/>
          <w:color w:val="000000"/>
          <w:sz w:val="32"/>
          <w:szCs w:val="32"/>
          <w:lang w:val="en-US" w:eastAsia="zh-CN"/>
        </w:rPr>
        <w:t>决算数等于预算数</w:t>
      </w:r>
      <w:r>
        <w:rPr>
          <w:rFonts w:hint="eastAsia" w:ascii="Times New Roman" w:hAnsi="Times New Roman" w:eastAsia="方正仿宋_GBK" w:cs="Times New Roman"/>
          <w:bCs/>
          <w:color w:val="000000"/>
          <w:sz w:val="32"/>
          <w:szCs w:val="32"/>
        </w:rPr>
        <w:t>。</w:t>
      </w:r>
    </w:p>
    <w:p w14:paraId="47730A6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4.卫生健康支出（210类）行政事业单位医疗（11款）公务员医疗补助（03项）</w:t>
      </w:r>
      <w:r>
        <w:rPr>
          <w:rFonts w:hint="eastAsia" w:eastAsia="方正仿宋_GBK" w:cs="Times New Roman"/>
          <w:bCs/>
          <w:color w:val="000000"/>
          <w:sz w:val="32"/>
          <w:szCs w:val="32"/>
          <w:lang w:eastAsia="zh-CN"/>
        </w:rPr>
        <w:t>：</w:t>
      </w:r>
      <w:r>
        <w:rPr>
          <w:rFonts w:hint="eastAsia" w:ascii="Times New Roman" w:hAnsi="Times New Roman" w:eastAsia="方正仿宋_GBK" w:cs="Times New Roman"/>
          <w:bCs/>
          <w:color w:val="000000"/>
          <w:sz w:val="32"/>
          <w:szCs w:val="32"/>
        </w:rPr>
        <w:t>支出决算为0.72万元，完成预算</w:t>
      </w:r>
      <w:r>
        <w:rPr>
          <w:rFonts w:hint="default" w:ascii="Times New Roman" w:hAnsi="Times New Roman" w:eastAsia="方正仿宋_GBK" w:cs="Times New Roman"/>
          <w:bCs/>
          <w:color w:val="000000"/>
          <w:sz w:val="32"/>
          <w:szCs w:val="32"/>
        </w:rPr>
        <w:t>100%，</w:t>
      </w:r>
      <w:r>
        <w:rPr>
          <w:rFonts w:hint="eastAsia" w:ascii="Times New Roman" w:hAnsi="Times New Roman" w:eastAsia="方正仿宋_GBK" w:cs="Times New Roman"/>
          <w:bCs/>
          <w:color w:val="000000"/>
          <w:sz w:val="32"/>
          <w:szCs w:val="32"/>
          <w:lang w:val="en-US" w:eastAsia="zh-CN"/>
        </w:rPr>
        <w:t>决算数等于预算数</w:t>
      </w:r>
      <w:r>
        <w:rPr>
          <w:rFonts w:hint="eastAsia" w:ascii="Times New Roman" w:hAnsi="Times New Roman" w:eastAsia="方正仿宋_GBK" w:cs="Times New Roman"/>
          <w:bCs/>
          <w:color w:val="000000"/>
          <w:sz w:val="32"/>
          <w:szCs w:val="32"/>
        </w:rPr>
        <w:t>。</w:t>
      </w:r>
    </w:p>
    <w:p w14:paraId="283C487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5.卫生健康支出（210类）行政事业单位医疗（11款）其他行政事业单位医疗支出（99项）</w:t>
      </w:r>
      <w:r>
        <w:rPr>
          <w:rFonts w:hint="eastAsia" w:ascii="Times New Roman" w:hAnsi="Times New Roman" w:eastAsia="方正仿宋_GBK" w:cs="Times New Roman"/>
          <w:bCs/>
          <w:color w:val="000000"/>
          <w:sz w:val="32"/>
          <w:szCs w:val="32"/>
          <w:lang w:eastAsia="zh-CN"/>
        </w:rPr>
        <w:t>：</w:t>
      </w:r>
      <w:r>
        <w:rPr>
          <w:rFonts w:hint="eastAsia" w:ascii="Times New Roman" w:hAnsi="Times New Roman" w:eastAsia="方正仿宋_GBK" w:cs="Times New Roman"/>
          <w:bCs/>
          <w:color w:val="000000"/>
          <w:sz w:val="32"/>
          <w:szCs w:val="32"/>
        </w:rPr>
        <w:t>支出决算为3.05万元，完成预算</w:t>
      </w:r>
      <w:r>
        <w:rPr>
          <w:rFonts w:hint="default" w:ascii="Times New Roman" w:hAnsi="Times New Roman" w:eastAsia="方正仿宋_GBK" w:cs="Times New Roman"/>
          <w:bCs/>
          <w:color w:val="000000"/>
          <w:sz w:val="32"/>
          <w:szCs w:val="32"/>
        </w:rPr>
        <w:t>100%，</w:t>
      </w:r>
      <w:r>
        <w:rPr>
          <w:rFonts w:hint="eastAsia" w:ascii="Times New Roman" w:hAnsi="Times New Roman" w:eastAsia="方正仿宋_GBK" w:cs="Times New Roman"/>
          <w:bCs/>
          <w:color w:val="000000"/>
          <w:sz w:val="32"/>
          <w:szCs w:val="32"/>
          <w:lang w:val="en-US" w:eastAsia="zh-CN"/>
        </w:rPr>
        <w:t>决算数等于预算数</w:t>
      </w:r>
      <w:r>
        <w:rPr>
          <w:rFonts w:hint="eastAsia" w:ascii="Times New Roman" w:hAnsi="Times New Roman" w:eastAsia="方正仿宋_GBK" w:cs="Times New Roman"/>
          <w:bCs/>
          <w:color w:val="000000"/>
          <w:sz w:val="32"/>
          <w:szCs w:val="32"/>
        </w:rPr>
        <w:t>。</w:t>
      </w:r>
    </w:p>
    <w:p w14:paraId="4459BE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6.交通运输（214类）公路水路运输（01款）行政运行（01项）</w:t>
      </w: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支出决算为88.45万元，完成预算100%，</w:t>
      </w:r>
      <w:r>
        <w:rPr>
          <w:rFonts w:hint="default" w:ascii="Times New Roman" w:hAnsi="Times New Roman" w:eastAsia="方正仿宋_GBK" w:cs="Times New Roman"/>
          <w:bCs/>
          <w:color w:val="000000"/>
          <w:sz w:val="32"/>
          <w:szCs w:val="32"/>
          <w:lang w:val="en-US" w:eastAsia="zh-CN"/>
        </w:rPr>
        <w:t>决算数等于预算数</w:t>
      </w:r>
      <w:r>
        <w:rPr>
          <w:rFonts w:hint="default" w:ascii="Times New Roman" w:hAnsi="Times New Roman" w:eastAsia="方正仿宋_GBK" w:cs="Times New Roman"/>
          <w:bCs/>
          <w:color w:val="000000"/>
          <w:sz w:val="32"/>
          <w:szCs w:val="32"/>
        </w:rPr>
        <w:t>。</w:t>
      </w:r>
    </w:p>
    <w:p w14:paraId="0592DA2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color w:val="000000"/>
          <w:sz w:val="32"/>
          <w:szCs w:val="32"/>
        </w:rPr>
        <w:t>7.住房保障（221类）住房改革支出（02款）住房公积金（01项）</w:t>
      </w: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支出决算为8.88万元，完成预算100%，</w:t>
      </w:r>
      <w:r>
        <w:rPr>
          <w:rFonts w:hint="default" w:ascii="Times New Roman" w:hAnsi="Times New Roman" w:eastAsia="方正仿宋_GBK" w:cs="Times New Roman"/>
          <w:bCs/>
          <w:color w:val="000000"/>
          <w:sz w:val="32"/>
          <w:szCs w:val="32"/>
          <w:lang w:val="en-US" w:eastAsia="zh-CN"/>
        </w:rPr>
        <w:t>决算数等于预算数</w:t>
      </w:r>
      <w:r>
        <w:rPr>
          <w:rFonts w:hint="default" w:ascii="Times New Roman" w:hAnsi="Times New Roman" w:eastAsia="方正仿宋_GBK" w:cs="Times New Roman"/>
          <w:bCs/>
          <w:color w:val="000000"/>
          <w:sz w:val="32"/>
          <w:szCs w:val="32"/>
        </w:rPr>
        <w:t>。</w:t>
      </w:r>
    </w:p>
    <w:p w14:paraId="1C3A191C">
      <w:pPr>
        <w:tabs>
          <w:tab w:val="right" w:pos="8306"/>
        </w:tabs>
        <w:spacing w:line="600" w:lineRule="exact"/>
        <w:ind w:firstLine="640"/>
        <w:outlineLvl w:val="1"/>
        <w:rPr>
          <w:rStyle w:val="30"/>
          <w:rFonts w:ascii="Times New Roman" w:hAnsi="Times New Roman"/>
        </w:rPr>
      </w:pPr>
      <w:bookmarkStart w:id="32" w:name="_Toc15396608"/>
      <w:bookmarkStart w:id="33" w:name="_Toc15377214"/>
      <w:r>
        <w:rPr>
          <w:rFonts w:hint="eastAsia" w:eastAsia="黑体"/>
          <w:sz w:val="32"/>
          <w:szCs w:val="32"/>
        </w:rPr>
        <w:t>六</w:t>
      </w:r>
      <w:r>
        <w:rPr>
          <w:rFonts w:hint="eastAsia" w:eastAsia="黑体"/>
          <w:b/>
          <w:sz w:val="32"/>
          <w:szCs w:val="32"/>
        </w:rPr>
        <w:t>、一</w:t>
      </w:r>
      <w:r>
        <w:rPr>
          <w:rStyle w:val="30"/>
          <w:rFonts w:hint="eastAsia" w:ascii="Times New Roman" w:hAnsi="Times New Roman" w:eastAsia="黑体"/>
          <w:b w:val="0"/>
        </w:rPr>
        <w:t>般公共预算财政拨款基本支出决算情况说明</w:t>
      </w:r>
      <w:bookmarkEnd w:id="32"/>
      <w:bookmarkEnd w:id="33"/>
      <w:r>
        <w:rPr>
          <w:rStyle w:val="30"/>
          <w:rFonts w:ascii="Times New Roman" w:hAnsi="Times New Roman" w:eastAsia="黑体"/>
          <w:b w:val="0"/>
        </w:rPr>
        <w:tab/>
      </w:r>
    </w:p>
    <w:p w14:paraId="1EEDEF8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2024年度一般公共预算财政拨款基本支出120.54万元，其中：</w:t>
      </w:r>
    </w:p>
    <w:p w14:paraId="18EE90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人员经费109.53万元，主要包括：基本工资、津贴补贴、奖金、机关事业单位基本养老保险缴费、其他社会保障缴费、其他工资福利支出、抚恤金、生活补助、医疗费补助、奖励金、住房公积金等。</w:t>
      </w:r>
    </w:p>
    <w:p w14:paraId="2C4D9E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公用经费11.01万元，主要包括：办公费、水费、电费、差旅费、维修（护）费、工会经费、福利费、其他交通费、其他商品和服务支出等。</w:t>
      </w:r>
    </w:p>
    <w:p w14:paraId="643ACF1F">
      <w:pPr>
        <w:spacing w:line="600" w:lineRule="exact"/>
        <w:ind w:firstLine="640"/>
        <w:outlineLvl w:val="1"/>
        <w:rPr>
          <w:rStyle w:val="30"/>
          <w:rFonts w:ascii="Times New Roman" w:hAnsi="Times New Roman" w:eastAsia="黑体"/>
          <w:b w:val="0"/>
        </w:rPr>
      </w:pPr>
      <w:bookmarkStart w:id="34" w:name="_Toc15377215"/>
      <w:bookmarkStart w:id="35" w:name="_Toc15396609"/>
      <w:r>
        <w:rPr>
          <w:rFonts w:hint="eastAsia" w:eastAsia="黑体"/>
          <w:sz w:val="32"/>
          <w:szCs w:val="32"/>
        </w:rPr>
        <w:t>七、</w:t>
      </w:r>
      <w:r>
        <w:rPr>
          <w:rStyle w:val="30"/>
          <w:rFonts w:hint="eastAsia" w:ascii="Times New Roman" w:hAnsi="Times New Roman" w:eastAsia="黑体"/>
          <w:b w:val="0"/>
        </w:rPr>
        <w:t>财政拨款</w:t>
      </w:r>
      <w:r>
        <w:rPr>
          <w:rStyle w:val="30"/>
          <w:rFonts w:hint="eastAsia" w:ascii="Times New Roman" w:hAnsi="Times New Roman" w:eastAsia="黑体"/>
        </w:rPr>
        <w:t>“</w:t>
      </w:r>
      <w:r>
        <w:rPr>
          <w:rStyle w:val="30"/>
          <w:rFonts w:hint="eastAsia" w:ascii="Times New Roman" w:hAnsi="Times New Roman" w:eastAsia="黑体"/>
          <w:b w:val="0"/>
        </w:rPr>
        <w:t>三公”经费支出决算情况说明</w:t>
      </w:r>
      <w:bookmarkEnd w:id="34"/>
      <w:bookmarkEnd w:id="35"/>
    </w:p>
    <w:p w14:paraId="7B20442A">
      <w:pPr>
        <w:spacing w:line="600" w:lineRule="exact"/>
        <w:ind w:firstLine="643" w:firstLineChars="200"/>
        <w:outlineLvl w:val="2"/>
        <w:rPr>
          <w:rFonts w:eastAsia="楷体_GB2312" w:cs="楷体_GB2312"/>
          <w:b/>
          <w:sz w:val="32"/>
          <w:szCs w:val="32"/>
        </w:rPr>
      </w:pPr>
      <w:bookmarkStart w:id="36" w:name="_Toc15377216"/>
      <w:r>
        <w:rPr>
          <w:rFonts w:hint="eastAsia" w:ascii="方正楷体_GBK" w:hAnsi="方正楷体_GBK" w:eastAsia="方正楷体_GBK" w:cs="方正楷体_GBK"/>
          <w:b/>
          <w:sz w:val="32"/>
          <w:szCs w:val="32"/>
        </w:rPr>
        <w:t>（一）“三公”经费财政拨款支出决算总体情况说明</w:t>
      </w:r>
      <w:bookmarkEnd w:id="36"/>
    </w:p>
    <w:p w14:paraId="33626C80">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2024年度“三公”经费财政拨款支出决算为0万元，完成预算0%，较上年度持平。</w:t>
      </w:r>
    </w:p>
    <w:p w14:paraId="1D281DCB">
      <w:pPr>
        <w:spacing w:line="600" w:lineRule="exact"/>
        <w:ind w:firstLine="643" w:firstLineChars="200"/>
        <w:outlineLvl w:val="2"/>
        <w:rPr>
          <w:rFonts w:hint="eastAsia" w:ascii="方正楷体_GBK" w:hAnsi="方正楷体_GBK" w:eastAsia="方正楷体_GBK" w:cs="方正楷体_GBK"/>
          <w:b/>
          <w:sz w:val="32"/>
          <w:szCs w:val="32"/>
        </w:rPr>
      </w:pPr>
      <w:bookmarkStart w:id="37" w:name="_Toc15377217"/>
      <w:r>
        <w:rPr>
          <w:rFonts w:hint="eastAsia" w:ascii="方正楷体_GBK" w:hAnsi="方正楷体_GBK" w:eastAsia="方正楷体_GBK" w:cs="方正楷体_GBK"/>
          <w:b/>
          <w:sz w:val="32"/>
          <w:szCs w:val="32"/>
        </w:rPr>
        <w:t>（二）“三公”经费财政拨款支出决算具体情况说明</w:t>
      </w:r>
      <w:bookmarkEnd w:id="37"/>
    </w:p>
    <w:p w14:paraId="6762DE40">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2024年度“三公”经费财政拨款支出决算中，因公出国（境）费支出决算0万元，占0%；公务用车购置及运行维护费支出决算0万元，占0%；公务接待费支出决算0万元，占0%。具体情况如下：</w:t>
      </w:r>
    </w:p>
    <w:p w14:paraId="14DB065C">
      <w:pPr>
        <w:pStyle w:val="2"/>
        <w:rPr>
          <w:rFonts w:hint="default" w:ascii="Times New Roman" w:hAnsi="Times New Roman" w:eastAsia="方正仿宋_GBK" w:cs="Times New Roman"/>
          <w:sz w:val="32"/>
          <w:szCs w:val="32"/>
        </w:rPr>
      </w:pPr>
    </w:p>
    <w:p w14:paraId="5F4148B8">
      <w:pPr>
        <w:pStyle w:val="3"/>
        <w:ind w:left="420"/>
        <w:rPr>
          <w:rFonts w:hint="eastAsia"/>
        </w:rPr>
      </w:pPr>
    </w:p>
    <w:p w14:paraId="7E81D1A4">
      <w:pPr>
        <w:pStyle w:val="3"/>
        <w:ind w:left="0" w:leftChars="0" w:firstLine="0" w:firstLineChars="0"/>
        <w:rPr>
          <w:rFonts w:hint="eastAsia"/>
        </w:rPr>
      </w:pPr>
    </w:p>
    <w:p w14:paraId="443A7592">
      <w:pPr>
        <w:pStyle w:val="3"/>
        <w:ind w:left="0" w:leftChars="0" w:firstLine="0" w:firstLineChars="0"/>
      </w:pPr>
      <w:r>
        <w:drawing>
          <wp:inline distT="0" distB="0" distL="0" distR="0">
            <wp:extent cx="5276850" cy="2933700"/>
            <wp:effectExtent l="5080" t="4445" r="13970" b="1460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1F533BE">
      <w:pPr>
        <w:spacing w:line="600" w:lineRule="exact"/>
        <w:ind w:firstLine="640"/>
        <w:rPr>
          <w:rFonts w:eastAsia="仿宋_GB2312" w:cs="仿宋_GB2312"/>
          <w:sz w:val="32"/>
          <w:szCs w:val="32"/>
        </w:rPr>
      </w:pPr>
      <w:r>
        <w:rPr>
          <w:rFonts w:hint="eastAsia" w:eastAsia="仿宋_GB2312" w:cs="仿宋_GB2312"/>
          <w:sz w:val="32"/>
          <w:szCs w:val="32"/>
        </w:rPr>
        <w:t>（图7：“三公”经费财政拨款支出结构）（饼状图）</w:t>
      </w:r>
    </w:p>
    <w:p w14:paraId="01563515">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1.因公出国（境）经费支出0万元，完成预算0%。</w:t>
      </w:r>
      <w:r>
        <w:rPr>
          <w:rFonts w:hint="default" w:ascii="Times New Roman" w:hAnsi="Times New Roman" w:eastAsia="方正仿宋_GBK" w:cs="Times New Roman"/>
          <w:sz w:val="32"/>
          <w:szCs w:val="32"/>
        </w:rPr>
        <w:t>全年安排因公出国（境）团组0次，出国（境）0人。因公出国（境）支出决算与2023年持平。</w:t>
      </w:r>
    </w:p>
    <w:p w14:paraId="124476E3">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2.公务用车购置及运行维护费支出0万元，完成预算0%。</w:t>
      </w:r>
      <w:r>
        <w:rPr>
          <w:rFonts w:hint="default" w:ascii="Times New Roman" w:hAnsi="Times New Roman" w:eastAsia="方正仿宋_GBK" w:cs="Times New Roman"/>
          <w:sz w:val="32"/>
          <w:szCs w:val="32"/>
        </w:rPr>
        <w:t>公务用车购置及运行维护费支出决算</w:t>
      </w:r>
      <w:r>
        <w:rPr>
          <w:rFonts w:hint="default" w:ascii="Times New Roman" w:hAnsi="Times New Roman" w:eastAsia="方正仿宋_GBK" w:cs="Times New Roman"/>
          <w:sz w:val="32"/>
          <w:szCs w:val="32"/>
          <w:lang w:val="en-US" w:eastAsia="zh-CN"/>
        </w:rPr>
        <w:t>与</w:t>
      </w:r>
      <w:r>
        <w:rPr>
          <w:rFonts w:hint="default" w:ascii="Times New Roman" w:hAnsi="Times New Roman" w:eastAsia="方正仿宋_GBK" w:cs="Times New Roman"/>
          <w:sz w:val="32"/>
          <w:szCs w:val="32"/>
        </w:rPr>
        <w:t>2023年度持平。</w:t>
      </w:r>
    </w:p>
    <w:p w14:paraId="2BE6FB0C">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14:paraId="25C6E640">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公务用车运行维护费支出0万元。</w:t>
      </w:r>
    </w:p>
    <w:p w14:paraId="40B23340">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3.公务接待费支出0万元，完成预算0%。</w:t>
      </w:r>
      <w:r>
        <w:rPr>
          <w:rFonts w:hint="default" w:ascii="Times New Roman" w:hAnsi="Times New Roman" w:eastAsia="方正仿宋_GBK" w:cs="Times New Roman"/>
          <w:sz w:val="32"/>
          <w:szCs w:val="32"/>
        </w:rPr>
        <w:t>公务接待费支出决算</w:t>
      </w:r>
      <w:r>
        <w:rPr>
          <w:rFonts w:hint="default" w:ascii="Times New Roman" w:hAnsi="Times New Roman" w:eastAsia="方正仿宋_GBK" w:cs="Times New Roman"/>
          <w:sz w:val="32"/>
          <w:szCs w:val="32"/>
          <w:lang w:val="en-US" w:eastAsia="zh-CN"/>
        </w:rPr>
        <w:t>与</w:t>
      </w:r>
      <w:r>
        <w:rPr>
          <w:rFonts w:hint="default" w:ascii="Times New Roman" w:hAnsi="Times New Roman" w:eastAsia="方正仿宋_GBK" w:cs="Times New Roman"/>
          <w:sz w:val="32"/>
          <w:szCs w:val="32"/>
        </w:rPr>
        <w:t>2023年度持平。其中：</w:t>
      </w:r>
    </w:p>
    <w:p w14:paraId="0D86BE18">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国内公务接待支出0万元，国内公务接待0批次，0人次（不包括陪同人员），共计支出0万元。</w:t>
      </w:r>
    </w:p>
    <w:p w14:paraId="0EA6D024">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外事接待支出0万元，外事接待0批次，0人次（不包括陪同人员），共计支出0万元。</w:t>
      </w:r>
      <w:bookmarkStart w:id="38" w:name="_Toc15396610"/>
      <w:bookmarkStart w:id="39" w:name="_Toc15377218"/>
    </w:p>
    <w:p w14:paraId="2B51296B">
      <w:pPr>
        <w:spacing w:line="600" w:lineRule="exact"/>
        <w:ind w:firstLine="640"/>
        <w:outlineLvl w:val="1"/>
        <w:rPr>
          <w:rStyle w:val="30"/>
          <w:rFonts w:hint="eastAsia" w:ascii="方正黑体_GBK" w:hAnsi="方正黑体_GBK" w:eastAsia="方正黑体_GBK" w:cs="方正黑体_GBK"/>
        </w:rPr>
      </w:pPr>
      <w:r>
        <w:rPr>
          <w:rFonts w:hint="eastAsia" w:ascii="方正黑体_GBK" w:hAnsi="方正黑体_GBK" w:eastAsia="方正黑体_GBK" w:cs="方正黑体_GBK"/>
          <w:sz w:val="32"/>
          <w:szCs w:val="32"/>
        </w:rPr>
        <w:t>八、</w:t>
      </w:r>
      <w:r>
        <w:rPr>
          <w:rStyle w:val="30"/>
          <w:rFonts w:hint="eastAsia" w:ascii="方正黑体_GBK" w:hAnsi="方正黑体_GBK" w:eastAsia="方正黑体_GBK" w:cs="方正黑体_GBK"/>
          <w:b w:val="0"/>
        </w:rPr>
        <w:t>政府性基金预算支出决算情况说明</w:t>
      </w:r>
      <w:bookmarkEnd w:id="38"/>
      <w:bookmarkEnd w:id="39"/>
    </w:p>
    <w:p w14:paraId="5B044A87">
      <w:pPr>
        <w:spacing w:line="600" w:lineRule="exact"/>
        <w:ind w:firstLine="640"/>
        <w:rPr>
          <w:rFonts w:eastAsia="仿宋_GB2312" w:cs="仿宋_GB2312"/>
          <w:sz w:val="32"/>
          <w:szCs w:val="32"/>
        </w:rPr>
      </w:pPr>
      <w:r>
        <w:rPr>
          <w:rFonts w:hint="eastAsia" w:ascii="Times New Roman" w:hAnsi="Times New Roman" w:eastAsia="方正仿宋_GBK" w:cs="Times New Roman"/>
          <w:sz w:val="32"/>
          <w:szCs w:val="32"/>
        </w:rPr>
        <w:t>2024年度政府性基金预算财政拨款支出0万元，占本年支出合计的0%。与2023年度持平。</w:t>
      </w:r>
    </w:p>
    <w:p w14:paraId="39269AED">
      <w:pPr>
        <w:spacing w:line="600" w:lineRule="exact"/>
        <w:ind w:firstLine="640"/>
        <w:outlineLvl w:val="1"/>
        <w:rPr>
          <w:rFonts w:hint="eastAsia" w:ascii="方正黑体_GBK" w:hAnsi="方正黑体_GBK" w:eastAsia="方正黑体_GBK" w:cs="方正黑体_GBK"/>
          <w:sz w:val="32"/>
          <w:szCs w:val="32"/>
        </w:rPr>
      </w:pPr>
      <w:bookmarkStart w:id="40" w:name="_Toc15396611"/>
      <w:bookmarkStart w:id="41" w:name="_Toc15377219"/>
      <w:r>
        <w:rPr>
          <w:rFonts w:hint="eastAsia" w:ascii="方正黑体_GBK" w:hAnsi="方正黑体_GBK" w:eastAsia="方正黑体_GBK" w:cs="方正黑体_GBK"/>
          <w:sz w:val="32"/>
          <w:szCs w:val="32"/>
        </w:rPr>
        <w:t>九、国有资本经营预算支出决算情况说明</w:t>
      </w:r>
      <w:bookmarkEnd w:id="40"/>
      <w:bookmarkEnd w:id="41"/>
    </w:p>
    <w:p w14:paraId="08D79F6D">
      <w:pPr>
        <w:spacing w:line="600" w:lineRule="exact"/>
        <w:ind w:firstLine="640"/>
        <w:rPr>
          <w:rFonts w:eastAsia="仿宋_GB2312" w:cs="仿宋_GB2312"/>
          <w:sz w:val="32"/>
          <w:szCs w:val="32"/>
        </w:rPr>
      </w:pPr>
      <w:r>
        <w:rPr>
          <w:rFonts w:hint="eastAsia" w:ascii="Times New Roman" w:hAnsi="Times New Roman" w:eastAsia="方正仿宋_GBK" w:cs="Times New Roman"/>
          <w:sz w:val="32"/>
          <w:szCs w:val="32"/>
        </w:rPr>
        <w:t>2024年度国有资本经营预算财政拨款支出0万元，占本年支出合计的0%。与2023年度持平。</w:t>
      </w:r>
    </w:p>
    <w:p w14:paraId="35945BBD">
      <w:pPr>
        <w:spacing w:line="600" w:lineRule="exact"/>
        <w:ind w:left="630"/>
        <w:outlineLvl w:val="1"/>
        <w:rPr>
          <w:rStyle w:val="30"/>
          <w:rFonts w:hint="eastAsia" w:ascii="方正黑体_GBK" w:hAnsi="方正黑体_GBK" w:eastAsia="方正黑体_GBK" w:cs="方正黑体_GBK"/>
          <w:b w:val="0"/>
        </w:rPr>
      </w:pPr>
      <w:bookmarkStart w:id="42" w:name="_Toc15396612"/>
      <w:bookmarkStart w:id="43" w:name="_Toc15377221"/>
      <w:r>
        <w:rPr>
          <w:rStyle w:val="30"/>
          <w:rFonts w:hint="eastAsia" w:ascii="方正黑体_GBK" w:hAnsi="方正黑体_GBK" w:eastAsia="方正黑体_GBK" w:cs="方正黑体_GBK"/>
          <w:b w:val="0"/>
        </w:rPr>
        <w:t>十、其他重要事项的情况说明</w:t>
      </w:r>
      <w:bookmarkEnd w:id="42"/>
      <w:bookmarkEnd w:id="43"/>
    </w:p>
    <w:p w14:paraId="31F1F09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楷体_GBK" w:hAnsi="方正楷体_GBK" w:eastAsia="方正楷体_GBK" w:cs="方正楷体_GBK"/>
          <w:b/>
          <w:bCs/>
          <w:sz w:val="32"/>
          <w:szCs w:val="32"/>
        </w:rPr>
      </w:pPr>
      <w:bookmarkStart w:id="44" w:name="_Toc15377222"/>
      <w:r>
        <w:rPr>
          <w:rFonts w:hint="eastAsia" w:ascii="方正楷体_GBK" w:hAnsi="方正楷体_GBK" w:eastAsia="方正楷体_GBK" w:cs="方正楷体_GBK"/>
          <w:b/>
          <w:bCs/>
          <w:sz w:val="32"/>
          <w:szCs w:val="32"/>
        </w:rPr>
        <w:t>（一）机关运行经费支出情况</w:t>
      </w:r>
      <w:bookmarkEnd w:id="44"/>
    </w:p>
    <w:p w14:paraId="7E17D97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2024年度，盐边县航务海事中心机关运行经费支出11.01万元，比2023年度增加0.69万元，增长6.69%。主要原因是</w:t>
      </w:r>
      <w:r>
        <w:rPr>
          <w:rFonts w:hint="default" w:ascii="Times New Roman" w:hAnsi="Times New Roman" w:eastAsia="方正仿宋_GBK" w:cs="Times New Roman"/>
          <w:sz w:val="32"/>
          <w:szCs w:val="32"/>
          <w:lang w:val="en-US" w:eastAsia="zh-CN"/>
        </w:rPr>
        <w:t>人员工资正常晋升</w:t>
      </w:r>
      <w:r>
        <w:rPr>
          <w:rFonts w:hint="default" w:ascii="Times New Roman" w:hAnsi="Times New Roman" w:eastAsia="方正仿宋_GBK" w:cs="Times New Roman"/>
          <w:sz w:val="32"/>
          <w:szCs w:val="32"/>
        </w:rPr>
        <w:t>。</w:t>
      </w:r>
    </w:p>
    <w:p w14:paraId="2071650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楷体_GBK" w:hAnsi="方正楷体_GBK" w:eastAsia="方正楷体_GBK" w:cs="方正楷体_GBK"/>
          <w:b/>
          <w:bCs/>
          <w:sz w:val="32"/>
          <w:szCs w:val="32"/>
        </w:rPr>
      </w:pPr>
      <w:bookmarkStart w:id="45" w:name="_Toc15377223"/>
      <w:r>
        <w:rPr>
          <w:rFonts w:hint="eastAsia" w:ascii="方正楷体_GBK" w:hAnsi="方正楷体_GBK" w:eastAsia="方正楷体_GBK" w:cs="方正楷体_GBK"/>
          <w:b/>
          <w:bCs/>
          <w:sz w:val="32"/>
          <w:szCs w:val="32"/>
        </w:rPr>
        <w:t>（二）政府采购支出情况</w:t>
      </w:r>
      <w:bookmarkEnd w:id="45"/>
    </w:p>
    <w:p w14:paraId="68B204E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2024年度，盐边县航务海事中心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62DCA31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方正楷体_GBK" w:hAnsi="方正楷体_GBK" w:eastAsia="方正楷体_GBK" w:cs="方正楷体_GBK"/>
          <w:b/>
          <w:sz w:val="32"/>
          <w:szCs w:val="32"/>
        </w:rPr>
      </w:pPr>
      <w:bookmarkStart w:id="46" w:name="_Toc15377224"/>
      <w:r>
        <w:rPr>
          <w:rFonts w:hint="eastAsia" w:ascii="方正楷体_GBK" w:hAnsi="方正楷体_GBK" w:eastAsia="方正楷体_GBK" w:cs="方正楷体_GBK"/>
          <w:b/>
          <w:sz w:val="32"/>
          <w:szCs w:val="32"/>
        </w:rPr>
        <w:t>（三）国有资产占有使用情况</w:t>
      </w:r>
      <w:bookmarkEnd w:id="46"/>
    </w:p>
    <w:p w14:paraId="661F7EF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截至2024年12月31日，盐边县航务海事中心共有车辆0辆，其中：主要负责人用车0辆、机要通信用车0辆、应急保障用车0辆、其他用车0辆。单价100万元（含）以上设备（不含车辆）0台（套）。</w:t>
      </w:r>
    </w:p>
    <w:p w14:paraId="28967A4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（四）预算绩效管理情况</w:t>
      </w:r>
    </w:p>
    <w:p w14:paraId="5116935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根据预算绩效管理要求，盐边县航务海事中心在2024年度预算编制阶段，本单位2024年只有基本支出，无项目支出。无项目绩效目标。</w:t>
      </w:r>
    </w:p>
    <w:p w14:paraId="02A430BB">
      <w:pPr>
        <w:spacing w:line="600" w:lineRule="exact"/>
        <w:ind w:firstLine="640"/>
        <w:rPr>
          <w:rFonts w:eastAsia="仿宋_GB2312" w:cs="仿宋_GB2312"/>
          <w:sz w:val="32"/>
          <w:szCs w:val="32"/>
        </w:rPr>
      </w:pPr>
    </w:p>
    <w:p w14:paraId="42B694CF">
      <w:pPr>
        <w:pStyle w:val="2"/>
      </w:pPr>
    </w:p>
    <w:p w14:paraId="33132893">
      <w:pPr>
        <w:pStyle w:val="3"/>
        <w:ind w:left="420"/>
      </w:pPr>
    </w:p>
    <w:p w14:paraId="41780095">
      <w:pPr>
        <w:pStyle w:val="3"/>
        <w:ind w:left="420"/>
      </w:pPr>
    </w:p>
    <w:p w14:paraId="2A1E8ABA">
      <w:pPr>
        <w:pStyle w:val="3"/>
        <w:ind w:left="420"/>
      </w:pPr>
    </w:p>
    <w:p w14:paraId="3CAB07A5">
      <w:pPr>
        <w:pStyle w:val="3"/>
        <w:ind w:left="420"/>
      </w:pPr>
    </w:p>
    <w:p w14:paraId="0C15DDA9">
      <w:pPr>
        <w:pStyle w:val="3"/>
        <w:ind w:left="420"/>
        <w:rPr>
          <w:rFonts w:hint="eastAsia"/>
        </w:rPr>
      </w:pPr>
    </w:p>
    <w:p w14:paraId="2AA42F98">
      <w:pPr>
        <w:pStyle w:val="3"/>
        <w:ind w:left="420"/>
        <w:rPr>
          <w:rFonts w:hint="eastAsia"/>
        </w:rPr>
      </w:pPr>
    </w:p>
    <w:p w14:paraId="6964DE5D">
      <w:pPr>
        <w:pStyle w:val="3"/>
        <w:ind w:left="420"/>
        <w:rPr>
          <w:rFonts w:hint="eastAsia"/>
        </w:rPr>
      </w:pPr>
    </w:p>
    <w:p w14:paraId="048F22D6">
      <w:pPr>
        <w:pStyle w:val="3"/>
        <w:ind w:left="420"/>
        <w:rPr>
          <w:rFonts w:hint="eastAsia"/>
        </w:rPr>
      </w:pPr>
    </w:p>
    <w:p w14:paraId="608E8DB6">
      <w:pPr>
        <w:pStyle w:val="3"/>
        <w:ind w:left="420"/>
        <w:rPr>
          <w:rFonts w:hint="eastAsia"/>
        </w:rPr>
      </w:pPr>
    </w:p>
    <w:p w14:paraId="3E0116F2">
      <w:pPr>
        <w:pStyle w:val="3"/>
        <w:ind w:left="420"/>
        <w:rPr>
          <w:rFonts w:hint="eastAsia"/>
        </w:rPr>
      </w:pPr>
    </w:p>
    <w:p w14:paraId="793203A7">
      <w:pPr>
        <w:pStyle w:val="3"/>
        <w:ind w:left="420"/>
        <w:rPr>
          <w:rFonts w:hint="eastAsia"/>
        </w:rPr>
      </w:pPr>
    </w:p>
    <w:p w14:paraId="3E08E3B9">
      <w:pPr>
        <w:pStyle w:val="3"/>
        <w:ind w:left="420"/>
        <w:rPr>
          <w:rFonts w:hint="eastAsia"/>
        </w:rPr>
      </w:pPr>
    </w:p>
    <w:p w14:paraId="22B14B64">
      <w:pPr>
        <w:pStyle w:val="3"/>
        <w:ind w:left="420"/>
        <w:rPr>
          <w:rFonts w:hint="eastAsia"/>
        </w:rPr>
      </w:pPr>
    </w:p>
    <w:p w14:paraId="5F1CA25C">
      <w:pPr>
        <w:pStyle w:val="3"/>
        <w:ind w:left="420"/>
        <w:rPr>
          <w:rFonts w:hint="eastAsia"/>
        </w:rPr>
      </w:pPr>
    </w:p>
    <w:p w14:paraId="04BC5DD9">
      <w:pPr>
        <w:pStyle w:val="3"/>
        <w:ind w:left="420"/>
        <w:rPr>
          <w:rFonts w:hint="eastAsia"/>
        </w:rPr>
      </w:pPr>
    </w:p>
    <w:p w14:paraId="3F93B291">
      <w:pPr>
        <w:pStyle w:val="3"/>
        <w:ind w:left="420"/>
        <w:rPr>
          <w:rFonts w:hint="eastAsia"/>
        </w:rPr>
      </w:pPr>
    </w:p>
    <w:p w14:paraId="7517102A">
      <w:pPr>
        <w:pStyle w:val="3"/>
        <w:ind w:left="420"/>
        <w:rPr>
          <w:rFonts w:hint="eastAsia"/>
        </w:rPr>
      </w:pPr>
    </w:p>
    <w:p w14:paraId="6D6E7AA4">
      <w:pPr>
        <w:pStyle w:val="3"/>
        <w:ind w:left="420"/>
        <w:rPr>
          <w:rFonts w:hint="eastAsia"/>
        </w:rPr>
      </w:pPr>
    </w:p>
    <w:p w14:paraId="50A8AD39">
      <w:pPr>
        <w:pStyle w:val="3"/>
        <w:ind w:left="420"/>
        <w:rPr>
          <w:rFonts w:hint="eastAsia"/>
        </w:rPr>
      </w:pPr>
    </w:p>
    <w:p w14:paraId="17D77A8F">
      <w:pPr>
        <w:pStyle w:val="3"/>
        <w:ind w:left="420"/>
        <w:rPr>
          <w:rFonts w:hint="eastAsia"/>
        </w:rPr>
      </w:pPr>
    </w:p>
    <w:p w14:paraId="6705BB65">
      <w:pPr>
        <w:pStyle w:val="3"/>
        <w:ind w:left="420"/>
        <w:rPr>
          <w:rFonts w:hint="eastAsia"/>
        </w:rPr>
      </w:pPr>
    </w:p>
    <w:p w14:paraId="4831F5DF">
      <w:pPr>
        <w:pStyle w:val="3"/>
        <w:ind w:left="420"/>
      </w:pPr>
    </w:p>
    <w:p w14:paraId="12FB092F">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eastAsia" w:ascii="方正小标宋_GBK" w:hAnsi="方正小标宋_GBK" w:eastAsia="方正小标宋_GBK" w:cs="方正小标宋_GBK"/>
          <w:b/>
          <w:bCs/>
          <w:sz w:val="44"/>
          <w:szCs w:val="44"/>
        </w:rPr>
      </w:pPr>
      <w:bookmarkStart w:id="47" w:name="_Toc15396613"/>
      <w:bookmarkStart w:id="48" w:name="_Toc15377225"/>
      <w:r>
        <w:rPr>
          <w:rFonts w:hint="eastAsia" w:ascii="方正小标宋_GBK" w:hAnsi="方正小标宋_GBK" w:eastAsia="方正小标宋_GBK" w:cs="方正小标宋_GBK"/>
          <w:b/>
          <w:bCs/>
          <w:sz w:val="44"/>
          <w:szCs w:val="44"/>
        </w:rPr>
        <w:t>第三部分  名词解释</w:t>
      </w:r>
      <w:bookmarkEnd w:id="47"/>
      <w:bookmarkEnd w:id="48"/>
    </w:p>
    <w:p w14:paraId="61EDB597">
      <w:pPr>
        <w:spacing w:line="600" w:lineRule="exact"/>
        <w:jc w:val="left"/>
        <w:rPr>
          <w:b/>
          <w:sz w:val="44"/>
          <w:szCs w:val="44"/>
        </w:rPr>
      </w:pPr>
    </w:p>
    <w:p w14:paraId="2C68705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1.财政拨款收入：指单位从同级财政部门取得的财政预算资金。</w:t>
      </w:r>
    </w:p>
    <w:p w14:paraId="51183AD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2.事业收入：指事业单位开展专业业务活动及辅助活动取得的收入。</w:t>
      </w:r>
    </w:p>
    <w:p w14:paraId="717EAA0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3.经营收入：指事业单位在专业业务活动及其辅助活动之外开展非独立核算经营活动取得的收入。</w:t>
      </w:r>
    </w:p>
    <w:p w14:paraId="5713C7B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4.其他收入：指单位取得的除上述收入以外的各项收入。 </w:t>
      </w:r>
    </w:p>
    <w:p w14:paraId="4245B30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5.使用非财政拨款结余（含专用结余）：指事业单位使用以前年度积累的非财政拨款结余弥补当年收支差额的金额。 </w:t>
      </w:r>
    </w:p>
    <w:p w14:paraId="2ADF189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6.年初结转和结余：指以前年度尚未完成、结转到本年按有关规定继续使用的资金。 </w:t>
      </w:r>
    </w:p>
    <w:p w14:paraId="21BB978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7.结余分配：指事业单位按照会计制度规定缴纳的所得税、提取的专用结余以及转入非财政拨款结余的金额等。</w:t>
      </w:r>
    </w:p>
    <w:p w14:paraId="121C621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8.年末结转和结余：指单位按有关规定结转到下年或以后年度继续使用的资金。</w:t>
      </w:r>
    </w:p>
    <w:p w14:paraId="0EAF8F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9.社会保障和就业（208类）</w:t>
      </w:r>
      <w:r>
        <w:rPr>
          <w:rFonts w:hint="default" w:ascii="Times New Roman" w:hAnsi="Times New Roman" w:eastAsia="方正仿宋_GBK" w:cs="Times New Roman"/>
          <w:color w:val="000000"/>
          <w:sz w:val="32"/>
          <w:szCs w:val="32"/>
        </w:rPr>
        <w:t>行政事业单位养老支出</w:t>
      </w:r>
      <w:r>
        <w:rPr>
          <w:rFonts w:hint="default" w:ascii="Times New Roman" w:hAnsi="Times New Roman" w:eastAsia="方正仿宋_GBK" w:cs="Times New Roman"/>
          <w:sz w:val="32"/>
          <w:szCs w:val="32"/>
        </w:rPr>
        <w:t>（05款）</w:t>
      </w:r>
      <w:r>
        <w:rPr>
          <w:rFonts w:hint="default" w:ascii="Times New Roman" w:hAnsi="Times New Roman" w:eastAsia="方正仿宋_GBK" w:cs="Times New Roman"/>
          <w:color w:val="000000"/>
          <w:sz w:val="32"/>
          <w:szCs w:val="32"/>
        </w:rPr>
        <w:t>行政单位离退休</w:t>
      </w:r>
      <w:r>
        <w:rPr>
          <w:rFonts w:hint="default" w:ascii="Times New Roman" w:hAnsi="Times New Roman" w:eastAsia="方正仿宋_GBK" w:cs="Times New Roman"/>
          <w:sz w:val="32"/>
          <w:szCs w:val="32"/>
        </w:rPr>
        <w:t>（01项）：</w:t>
      </w:r>
      <w:r>
        <w:rPr>
          <w:rFonts w:hint="default" w:ascii="Times New Roman" w:hAnsi="Times New Roman" w:eastAsia="方正仿宋_GBK" w:cs="Times New Roman"/>
          <w:color w:val="000000"/>
          <w:sz w:val="32"/>
          <w:szCs w:val="32"/>
        </w:rPr>
        <w:t>指行政单位（包括实行公务员管理的事业单位）开支的离退休经费</w:t>
      </w:r>
      <w:r>
        <w:rPr>
          <w:rFonts w:hint="default" w:ascii="Times New Roman" w:hAnsi="Times New Roman" w:eastAsia="方正仿宋_GBK" w:cs="Times New Roman"/>
          <w:sz w:val="32"/>
          <w:szCs w:val="32"/>
        </w:rPr>
        <w:t>。</w:t>
      </w:r>
    </w:p>
    <w:p w14:paraId="00725D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10.社会保障和就业（208类）行政事业单位养老支出（05款）机关事业单位基本养老保险缴费支出（05项）：指机关事业单位实施养老保险制度由单位缴纳的基本养老保险费支出。</w:t>
      </w:r>
    </w:p>
    <w:p w14:paraId="2DE7908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11.社会保障和就业（208类）行政事业单位养老支出（08款）伤残抚恤（02项）：指按规定用于伤残人员的抚恤金和按规定开支的各种伤残补助费。</w:t>
      </w:r>
    </w:p>
    <w:p w14:paraId="3B7B219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12.卫生健康（210类）行政事业单位医疗（11款）行政单位医疗（01项）：指财政部门安排的行政单位（包括实行公务员管理的事业单位）基本医疗保险缴费经费，未参加医疗保险的行政单位的公费医疗经费，按国家规定享受离休人员、红军老战士待遇人员的医疗经费。</w:t>
      </w:r>
    </w:p>
    <w:p w14:paraId="7F7009B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13.卫生健康（210类）行政事业单位医疗（11款）公务员医疗补助（03项）：指财政部门安排的公务员医疗补助经费。</w:t>
      </w:r>
    </w:p>
    <w:p w14:paraId="336424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14.卫生健康（210类）行政事业单位医疗（11款）其他行政事业单位医疗支出（99项）：其他用于行政事业单位医疗方面的支出。</w:t>
      </w:r>
    </w:p>
    <w:p w14:paraId="4C81BD5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15.交通运输支出（214类）公路水路运输（01款）行政运行（01项）：指反映行政单位（包括实行公务员管理的事业单位）的基本支出。</w:t>
      </w:r>
    </w:p>
    <w:p w14:paraId="61D4C11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16.</w:t>
      </w:r>
      <w:r>
        <w:rPr>
          <w:rFonts w:hint="default" w:ascii="Times New Roman" w:hAnsi="Times New Roman" w:eastAsia="方正仿宋_GBK" w:cs="Times New Roman"/>
          <w:color w:val="000000"/>
          <w:sz w:val="32"/>
          <w:szCs w:val="32"/>
        </w:rPr>
        <w:t>住房保障支出（221类）住房改革支出（02款）住房公积金。住房补贴（01项）：指行政事业单位按人力资源和社会保障部、财政部规定的基本工资和津贴补贴以及规定比例为职工缴纳的住房公积金。</w:t>
      </w:r>
    </w:p>
    <w:p w14:paraId="22939CF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17.基本支出：指为保障机构正常运转、完成日常工作任务而发生的人员支出和公用支出。</w:t>
      </w:r>
    </w:p>
    <w:p w14:paraId="01A3BB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18.项目支出：指在基本支出之外为完成特定行政任务和事业发展目标所发生的支出。 </w:t>
      </w:r>
    </w:p>
    <w:p w14:paraId="6D0A8E2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19.经营支出：指事业单位在专业业务活动及其辅助活动之外开展非独立核算经营活动发生的支出。</w:t>
      </w:r>
    </w:p>
    <w:p w14:paraId="2AB05C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C75C94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40DCCAE">
      <w:pPr>
        <w:spacing w:line="600" w:lineRule="exact"/>
        <w:jc w:val="center"/>
        <w:rPr>
          <w:rFonts w:hint="eastAsia" w:eastAsia="黑体"/>
          <w:sz w:val="44"/>
          <w:szCs w:val="44"/>
        </w:rPr>
      </w:pPr>
      <w:bookmarkStart w:id="49" w:name="_Toc15396614"/>
      <w:bookmarkStart w:id="50" w:name="_Toc15377226"/>
    </w:p>
    <w:p w14:paraId="56C5C804">
      <w:pPr>
        <w:spacing w:line="600" w:lineRule="exact"/>
        <w:jc w:val="center"/>
        <w:rPr>
          <w:rFonts w:hint="eastAsia" w:eastAsia="黑体"/>
          <w:sz w:val="44"/>
          <w:szCs w:val="44"/>
        </w:rPr>
      </w:pPr>
    </w:p>
    <w:p w14:paraId="5125C9A5">
      <w:pPr>
        <w:pStyle w:val="2"/>
        <w:rPr>
          <w:rFonts w:hint="eastAsia" w:eastAsia="黑体"/>
          <w:sz w:val="44"/>
          <w:szCs w:val="44"/>
        </w:rPr>
      </w:pPr>
    </w:p>
    <w:p w14:paraId="600A5508">
      <w:pPr>
        <w:pStyle w:val="3"/>
        <w:rPr>
          <w:rFonts w:hint="eastAsia" w:eastAsia="黑体"/>
          <w:sz w:val="44"/>
          <w:szCs w:val="44"/>
        </w:rPr>
      </w:pPr>
    </w:p>
    <w:p w14:paraId="775F5219">
      <w:pPr>
        <w:pStyle w:val="3"/>
        <w:rPr>
          <w:rFonts w:hint="eastAsia" w:eastAsia="黑体"/>
          <w:sz w:val="44"/>
          <w:szCs w:val="44"/>
        </w:rPr>
      </w:pPr>
    </w:p>
    <w:p w14:paraId="095EA93D">
      <w:pPr>
        <w:spacing w:line="600" w:lineRule="exact"/>
        <w:jc w:val="center"/>
        <w:rPr>
          <w:rFonts w:hint="eastAsia" w:eastAsia="黑体"/>
          <w:sz w:val="44"/>
          <w:szCs w:val="44"/>
        </w:rPr>
      </w:pPr>
    </w:p>
    <w:p w14:paraId="0DC7C5CA">
      <w:pPr>
        <w:spacing w:line="600" w:lineRule="exact"/>
        <w:jc w:val="center"/>
        <w:rPr>
          <w:rFonts w:hint="eastAsia" w:eastAsia="黑体"/>
          <w:sz w:val="44"/>
          <w:szCs w:val="44"/>
        </w:rPr>
      </w:pPr>
    </w:p>
    <w:p w14:paraId="1DA710A0">
      <w:pPr>
        <w:spacing w:line="600" w:lineRule="exact"/>
        <w:jc w:val="center"/>
        <w:rPr>
          <w:rStyle w:val="29"/>
          <w:rFonts w:eastAsia="黑体"/>
          <w:b w:val="0"/>
        </w:rPr>
      </w:pPr>
      <w:r>
        <w:rPr>
          <w:rFonts w:hint="eastAsia" w:eastAsia="黑体"/>
          <w:sz w:val="44"/>
          <w:szCs w:val="44"/>
        </w:rPr>
        <w:t>第四部分  附件</w:t>
      </w:r>
      <w:bookmarkEnd w:id="49"/>
    </w:p>
    <w:p w14:paraId="43CC2EC4">
      <w:pPr>
        <w:spacing w:line="572" w:lineRule="exact"/>
        <w:jc w:val="left"/>
        <w:outlineLvl w:val="0"/>
        <w:rPr>
          <w:rFonts w:eastAsia="黑体" w:cs="黑体"/>
          <w:sz w:val="32"/>
          <w:szCs w:val="32"/>
        </w:rPr>
      </w:pPr>
    </w:p>
    <w:p w14:paraId="67415753">
      <w:pPr>
        <w:keepNext w:val="0"/>
        <w:keepLines w:val="0"/>
        <w:pageBreakBefore w:val="0"/>
        <w:widowControl/>
        <w:kinsoku/>
        <w:wordWrap/>
        <w:overflowPunct/>
        <w:topLinePunct w:val="0"/>
        <w:autoSpaceDE/>
        <w:autoSpaceDN/>
        <w:bidi w:val="0"/>
        <w:adjustRightInd/>
        <w:snapToGrid/>
        <w:spacing w:line="576" w:lineRule="exact"/>
        <w:ind w:firstLine="640" w:firstLineChars="200"/>
        <w:contextualSpacing/>
        <w:jc w:val="both"/>
        <w:textAlignment w:val="auto"/>
      </w:pPr>
      <w:r>
        <w:rPr>
          <w:rFonts w:hint="eastAsia" w:eastAsia="黑体" w:cs="黑体"/>
          <w:sz w:val="32"/>
          <w:szCs w:val="32"/>
        </w:rPr>
        <w:t>部门预算项目支出绩效评价表（2024年度）</w:t>
      </w:r>
    </w:p>
    <w:p w14:paraId="2E9BDACA">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textAlignment w:val="auto"/>
        <w:rPr>
          <w:rFonts w:hint="default" w:ascii="Times New Roman" w:hAnsi="Times New Roman" w:eastAsia="方正仿宋_GBK" w:cs="Times New Roman"/>
          <w:kern w:val="0"/>
          <w:sz w:val="32"/>
        </w:rPr>
      </w:pPr>
      <w:r>
        <w:rPr>
          <w:rFonts w:hint="default" w:ascii="Times New Roman" w:hAnsi="Times New Roman" w:eastAsia="方正仿宋_GBK" w:cs="Times New Roman"/>
          <w:kern w:val="0"/>
          <w:sz w:val="32"/>
        </w:rPr>
        <w:t>盐边县航务海事中心2024年只有基本支出，无项目支出。</w:t>
      </w:r>
    </w:p>
    <w:p w14:paraId="061E8D6B">
      <w:pPr>
        <w:pStyle w:val="3"/>
        <w:spacing w:line="560" w:lineRule="exact"/>
        <w:rPr>
          <w:rFonts w:eastAsia="仿宋_GB2312" w:cs="仿宋_GB2312"/>
          <w:kern w:val="0"/>
          <w:sz w:val="32"/>
        </w:rPr>
      </w:pPr>
    </w:p>
    <w:p w14:paraId="145F396F">
      <w:pPr>
        <w:spacing w:line="578" w:lineRule="exact"/>
        <w:ind w:firstLine="640"/>
        <w:rPr>
          <w:rFonts w:eastAsia="仿宋_GB2312" w:cs="仿宋_GB2312"/>
          <w:kern w:val="0"/>
          <w:sz w:val="32"/>
          <w:szCs w:val="32"/>
        </w:rPr>
      </w:pPr>
      <w:bookmarkStart w:id="51" w:name="_Toc15396618"/>
      <w:r>
        <w:rPr>
          <w:rFonts w:hint="eastAsia" w:eastAsia="仿宋_GB2312" w:cs="仿宋_GB2312"/>
          <w:kern w:val="0"/>
          <w:sz w:val="32"/>
          <w:szCs w:val="32"/>
        </w:rPr>
        <w:br w:type="page"/>
      </w:r>
    </w:p>
    <w:p w14:paraId="4FA49F2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w:t>
      </w:r>
      <w:r>
        <w:rPr>
          <w:rStyle w:val="29"/>
          <w:rFonts w:hint="eastAsia" w:ascii="方正小标宋_GBK" w:hAnsi="方正小标宋_GBK" w:eastAsia="方正小标宋_GBK" w:cs="方正小标宋_GBK"/>
          <w:b w:val="0"/>
          <w:sz w:val="44"/>
          <w:szCs w:val="44"/>
        </w:rPr>
        <w:t>五部分 附表</w:t>
      </w:r>
      <w:bookmarkEnd w:id="50"/>
      <w:bookmarkEnd w:id="51"/>
      <w:bookmarkStart w:id="52" w:name="_Toc15396619"/>
    </w:p>
    <w:p w14:paraId="54E00668">
      <w:pPr>
        <w:pStyle w:val="14"/>
        <w:adjustRightInd w:val="0"/>
        <w:snapToGrid w:val="0"/>
        <w:spacing w:line="560" w:lineRule="exact"/>
        <w:jc w:val="left"/>
        <w:rPr>
          <w:rFonts w:eastAsia="仿宋_GB2312" w:cs="仿宋_GB2312"/>
          <w:sz w:val="32"/>
          <w:szCs w:val="32"/>
        </w:rPr>
      </w:pPr>
    </w:p>
    <w:p w14:paraId="1CBE505B">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一、收入支出决算总表</w:t>
      </w:r>
      <w:bookmarkEnd w:id="52"/>
      <w:bookmarkStart w:id="53" w:name="_Toc15396620"/>
    </w:p>
    <w:p w14:paraId="27555A53">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二、收入决算表</w:t>
      </w:r>
      <w:bookmarkEnd w:id="53"/>
      <w:bookmarkStart w:id="54" w:name="_Toc15396621"/>
    </w:p>
    <w:p w14:paraId="79AA2B09">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三、支出决算表</w:t>
      </w:r>
      <w:bookmarkEnd w:id="54"/>
      <w:bookmarkStart w:id="55" w:name="_Toc15396622"/>
    </w:p>
    <w:p w14:paraId="19B3505A">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四、财政拨款收入支出决算总表</w:t>
      </w:r>
      <w:bookmarkEnd w:id="55"/>
      <w:bookmarkStart w:id="56" w:name="_Toc15396623"/>
    </w:p>
    <w:p w14:paraId="563EF9FA">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五、财政拨款支出决算明细表</w:t>
      </w:r>
      <w:bookmarkEnd w:id="56"/>
      <w:bookmarkStart w:id="57" w:name="_Toc15396624"/>
    </w:p>
    <w:p w14:paraId="1F0850BB">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六、一般公共预算财政拨款支出决算表</w:t>
      </w:r>
      <w:bookmarkEnd w:id="57"/>
      <w:bookmarkStart w:id="58" w:name="_Toc15396625"/>
    </w:p>
    <w:p w14:paraId="02DDC2CD">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七、一般公共预算财政拨款支出决算明细表</w:t>
      </w:r>
      <w:bookmarkEnd w:id="58"/>
      <w:bookmarkStart w:id="59" w:name="_Toc15396626"/>
    </w:p>
    <w:p w14:paraId="258F735E">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八、一般公共预算财政拨款基本支出决算表</w:t>
      </w:r>
      <w:bookmarkEnd w:id="59"/>
      <w:bookmarkStart w:id="60" w:name="_Toc15396627"/>
    </w:p>
    <w:p w14:paraId="31A8FFEE">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九、一般公共预算财政拨款项目支出决算表</w:t>
      </w:r>
      <w:bookmarkEnd w:id="60"/>
      <w:bookmarkStart w:id="61" w:name="_Toc15396628"/>
    </w:p>
    <w:p w14:paraId="3F8ECBEE">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w:t>
      </w:r>
      <w:bookmarkEnd w:id="61"/>
      <w:r>
        <w:rPr>
          <w:rFonts w:hint="eastAsia" w:ascii="方正仿宋_GBK" w:hAnsi="方正仿宋_GBK" w:eastAsia="方正仿宋_GBK" w:cs="方正仿宋_GBK"/>
          <w:sz w:val="32"/>
          <w:szCs w:val="32"/>
        </w:rPr>
        <w:t>政府性基金预算财政拨款收入支出决算表</w:t>
      </w:r>
      <w:bookmarkStart w:id="62" w:name="_Toc15396629"/>
    </w:p>
    <w:p w14:paraId="3281FB29">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十一、</w:t>
      </w:r>
      <w:bookmarkEnd w:id="62"/>
      <w:r>
        <w:rPr>
          <w:rFonts w:hint="eastAsia" w:ascii="方正仿宋_GBK" w:hAnsi="方正仿宋_GBK" w:eastAsia="方正仿宋_GBK" w:cs="方正仿宋_GBK"/>
          <w:sz w:val="32"/>
          <w:szCs w:val="32"/>
        </w:rPr>
        <w:t>国有资本经营预算财政拨款收入支出决算表</w:t>
      </w:r>
      <w:bookmarkStart w:id="63" w:name="_Toc15396630"/>
    </w:p>
    <w:p w14:paraId="10B5C91D">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十二、</w:t>
      </w:r>
      <w:bookmarkEnd w:id="63"/>
      <w:r>
        <w:rPr>
          <w:rFonts w:hint="eastAsia" w:ascii="方正仿宋_GBK" w:hAnsi="方正仿宋_GBK" w:eastAsia="方正仿宋_GBK" w:cs="方正仿宋_GBK"/>
          <w:sz w:val="32"/>
          <w:szCs w:val="32"/>
        </w:rPr>
        <w:t>国有资本经营预算财政拨款支出决算表</w:t>
      </w:r>
      <w:bookmarkStart w:id="64" w:name="_Toc15396631"/>
    </w:p>
    <w:p w14:paraId="1B5F89BC">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十三、</w:t>
      </w:r>
      <w:bookmarkEnd w:id="64"/>
      <w:r>
        <w:rPr>
          <w:rFonts w:hint="eastAsia" w:ascii="方正仿宋_GBK" w:hAnsi="方正仿宋_GBK" w:eastAsia="方正仿宋_GBK" w:cs="方正仿宋_GBK"/>
          <w:sz w:val="32"/>
          <w:szCs w:val="32"/>
        </w:rPr>
        <w:t>财政拨款“三公”经费支出决算表</w:t>
      </w:r>
    </w:p>
    <w:p w14:paraId="02383172"/>
    <w:sectPr>
      <w:footerReference r:id="rId7"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00A9B">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AD3B4E">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DAD3B4E">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14:paraId="7A442C27">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6FFBE">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165CE0">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4165CE0">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60B2581F">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7D514">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6FDFA">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9B6FDFA">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C9340">
    <w:pPr>
      <w:pStyle w:val="11"/>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316BFA">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316BFA">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395C2CDF">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A351A">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441E"/>
    <w:rsid w:val="000E6613"/>
    <w:rsid w:val="000E7119"/>
    <w:rsid w:val="00114E9B"/>
    <w:rsid w:val="00142216"/>
    <w:rsid w:val="00144D6A"/>
    <w:rsid w:val="0014729F"/>
    <w:rsid w:val="00157BAB"/>
    <w:rsid w:val="001654D1"/>
    <w:rsid w:val="00174518"/>
    <w:rsid w:val="0018106D"/>
    <w:rsid w:val="001877A7"/>
    <w:rsid w:val="00191536"/>
    <w:rsid w:val="00196687"/>
    <w:rsid w:val="001A43E3"/>
    <w:rsid w:val="001C0962"/>
    <w:rsid w:val="001D7531"/>
    <w:rsid w:val="001E737D"/>
    <w:rsid w:val="001F0592"/>
    <w:rsid w:val="001F7506"/>
    <w:rsid w:val="002006CD"/>
    <w:rsid w:val="00202B36"/>
    <w:rsid w:val="00204B7A"/>
    <w:rsid w:val="00204CDE"/>
    <w:rsid w:val="0021101A"/>
    <w:rsid w:val="00220536"/>
    <w:rsid w:val="00224947"/>
    <w:rsid w:val="00235629"/>
    <w:rsid w:val="00260C38"/>
    <w:rsid w:val="002616C0"/>
    <w:rsid w:val="00265372"/>
    <w:rsid w:val="002662AA"/>
    <w:rsid w:val="00280496"/>
    <w:rsid w:val="00294DC9"/>
    <w:rsid w:val="00295495"/>
    <w:rsid w:val="002A31DE"/>
    <w:rsid w:val="002A77D0"/>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374F"/>
    <w:rsid w:val="004953E7"/>
    <w:rsid w:val="004A711F"/>
    <w:rsid w:val="004B199D"/>
    <w:rsid w:val="004B4690"/>
    <w:rsid w:val="004E0A2D"/>
    <w:rsid w:val="004E206B"/>
    <w:rsid w:val="004E383C"/>
    <w:rsid w:val="004E6DF7"/>
    <w:rsid w:val="004F0FBD"/>
    <w:rsid w:val="00505A47"/>
    <w:rsid w:val="00512FDA"/>
    <w:rsid w:val="00520DA0"/>
    <w:rsid w:val="005664BB"/>
    <w:rsid w:val="00566FFA"/>
    <w:rsid w:val="0057481D"/>
    <w:rsid w:val="005817F3"/>
    <w:rsid w:val="0058486E"/>
    <w:rsid w:val="00585B33"/>
    <w:rsid w:val="0059014D"/>
    <w:rsid w:val="005B5C64"/>
    <w:rsid w:val="005C5337"/>
    <w:rsid w:val="005C6BD0"/>
    <w:rsid w:val="005D1C8B"/>
    <w:rsid w:val="005D468D"/>
    <w:rsid w:val="005D5CED"/>
    <w:rsid w:val="005F18E3"/>
    <w:rsid w:val="005F1A4C"/>
    <w:rsid w:val="00605688"/>
    <w:rsid w:val="006070AF"/>
    <w:rsid w:val="00607712"/>
    <w:rsid w:val="00607E6C"/>
    <w:rsid w:val="006101B1"/>
    <w:rsid w:val="00614E44"/>
    <w:rsid w:val="0062270A"/>
    <w:rsid w:val="00622830"/>
    <w:rsid w:val="00623DA0"/>
    <w:rsid w:val="00630AEF"/>
    <w:rsid w:val="006325F8"/>
    <w:rsid w:val="00633463"/>
    <w:rsid w:val="00634C9A"/>
    <w:rsid w:val="006440E4"/>
    <w:rsid w:val="0066343B"/>
    <w:rsid w:val="00664777"/>
    <w:rsid w:val="00672AB7"/>
    <w:rsid w:val="006748A4"/>
    <w:rsid w:val="00681A31"/>
    <w:rsid w:val="00683E73"/>
    <w:rsid w:val="006A0156"/>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5E4"/>
    <w:rsid w:val="00871F71"/>
    <w:rsid w:val="00872FD8"/>
    <w:rsid w:val="00885AF4"/>
    <w:rsid w:val="008939CD"/>
    <w:rsid w:val="008B768C"/>
    <w:rsid w:val="008C4DB1"/>
    <w:rsid w:val="008C4EAF"/>
    <w:rsid w:val="008C5176"/>
    <w:rsid w:val="008C7FD0"/>
    <w:rsid w:val="008D7AC1"/>
    <w:rsid w:val="008E1DE7"/>
    <w:rsid w:val="008E707C"/>
    <w:rsid w:val="008F7702"/>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5F90"/>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30BB"/>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4402E"/>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787721"/>
    <w:rsid w:val="09867E8F"/>
    <w:rsid w:val="0A2032A3"/>
    <w:rsid w:val="0CA8290A"/>
    <w:rsid w:val="0D35B1ED"/>
    <w:rsid w:val="0E254B6B"/>
    <w:rsid w:val="0F98263C"/>
    <w:rsid w:val="101860EC"/>
    <w:rsid w:val="101F47CC"/>
    <w:rsid w:val="10C055FF"/>
    <w:rsid w:val="11694EBD"/>
    <w:rsid w:val="11772AA4"/>
    <w:rsid w:val="118107EC"/>
    <w:rsid w:val="12E24EE2"/>
    <w:rsid w:val="13D50BC4"/>
    <w:rsid w:val="140138C1"/>
    <w:rsid w:val="14B17F78"/>
    <w:rsid w:val="165E0673"/>
    <w:rsid w:val="16B831D5"/>
    <w:rsid w:val="16BB723D"/>
    <w:rsid w:val="17E50567"/>
    <w:rsid w:val="186504BB"/>
    <w:rsid w:val="19A445FC"/>
    <w:rsid w:val="1BE8440E"/>
    <w:rsid w:val="1CC6347C"/>
    <w:rsid w:val="1D155CEE"/>
    <w:rsid w:val="1D1638FE"/>
    <w:rsid w:val="1E312DEB"/>
    <w:rsid w:val="1E740ACF"/>
    <w:rsid w:val="1FF35744"/>
    <w:rsid w:val="1FF6BC77"/>
    <w:rsid w:val="2131250B"/>
    <w:rsid w:val="2186353C"/>
    <w:rsid w:val="23860B96"/>
    <w:rsid w:val="240371BF"/>
    <w:rsid w:val="244F3473"/>
    <w:rsid w:val="24C97D99"/>
    <w:rsid w:val="25A718F0"/>
    <w:rsid w:val="25BB59F6"/>
    <w:rsid w:val="260F557C"/>
    <w:rsid w:val="26970054"/>
    <w:rsid w:val="281408E2"/>
    <w:rsid w:val="29FD04D3"/>
    <w:rsid w:val="2A6D1762"/>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164F30"/>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A2751D"/>
    <w:rsid w:val="3DEE7CF3"/>
    <w:rsid w:val="3E740A63"/>
    <w:rsid w:val="3E78745D"/>
    <w:rsid w:val="3EE17838"/>
    <w:rsid w:val="3F55381A"/>
    <w:rsid w:val="3F7F7599"/>
    <w:rsid w:val="3FF4CAE0"/>
    <w:rsid w:val="3FF7B227"/>
    <w:rsid w:val="44E268DA"/>
    <w:rsid w:val="450D13D7"/>
    <w:rsid w:val="45506656"/>
    <w:rsid w:val="45937C79"/>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8E6122"/>
    <w:rsid w:val="53F74C96"/>
    <w:rsid w:val="55170BA8"/>
    <w:rsid w:val="553218C9"/>
    <w:rsid w:val="565F3DA6"/>
    <w:rsid w:val="567E1AA5"/>
    <w:rsid w:val="56E47B74"/>
    <w:rsid w:val="57175D52"/>
    <w:rsid w:val="57BD3DD4"/>
    <w:rsid w:val="5AF92295"/>
    <w:rsid w:val="5B250254"/>
    <w:rsid w:val="5BDD79E6"/>
    <w:rsid w:val="5BF561CA"/>
    <w:rsid w:val="5BFF5DFC"/>
    <w:rsid w:val="5CD71FC4"/>
    <w:rsid w:val="5D1F11B5"/>
    <w:rsid w:val="5D695134"/>
    <w:rsid w:val="5DAE1B18"/>
    <w:rsid w:val="5DE7D9E5"/>
    <w:rsid w:val="5E9C089F"/>
    <w:rsid w:val="5ECEC941"/>
    <w:rsid w:val="5FBF9FF3"/>
    <w:rsid w:val="5FCD4E2C"/>
    <w:rsid w:val="5FEF394A"/>
    <w:rsid w:val="5FF67715"/>
    <w:rsid w:val="60A46F85"/>
    <w:rsid w:val="62BF3928"/>
    <w:rsid w:val="63B3701E"/>
    <w:rsid w:val="647F5392"/>
    <w:rsid w:val="65E66580"/>
    <w:rsid w:val="664B1D71"/>
    <w:rsid w:val="664B4E8E"/>
    <w:rsid w:val="67277B67"/>
    <w:rsid w:val="67AA3209"/>
    <w:rsid w:val="698D0931"/>
    <w:rsid w:val="6A7FE5F3"/>
    <w:rsid w:val="6B053271"/>
    <w:rsid w:val="6B474CB8"/>
    <w:rsid w:val="6BDD78B3"/>
    <w:rsid w:val="6C4A05C8"/>
    <w:rsid w:val="6C5648C6"/>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4F5849"/>
    <w:rsid w:val="776F6FFA"/>
    <w:rsid w:val="778769C8"/>
    <w:rsid w:val="77A75DCA"/>
    <w:rsid w:val="77DC22F5"/>
    <w:rsid w:val="783E271A"/>
    <w:rsid w:val="78616DE9"/>
    <w:rsid w:val="78E875D7"/>
    <w:rsid w:val="79086DAD"/>
    <w:rsid w:val="79731F5E"/>
    <w:rsid w:val="79D7FD79"/>
    <w:rsid w:val="79EE5BA4"/>
    <w:rsid w:val="7A894339"/>
    <w:rsid w:val="7AD284E8"/>
    <w:rsid w:val="7AFF7572"/>
    <w:rsid w:val="7B6C7DFB"/>
    <w:rsid w:val="7BBFBED0"/>
    <w:rsid w:val="7BC3E394"/>
    <w:rsid w:val="7C1F3737"/>
    <w:rsid w:val="7CBFC87B"/>
    <w:rsid w:val="7CFE0F48"/>
    <w:rsid w:val="7D272ABC"/>
    <w:rsid w:val="7D7EC23E"/>
    <w:rsid w:val="7E105802"/>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widowControl/>
      <w:jc w:val="left"/>
    </w:pPr>
    <w:rPr>
      <w:rFonts w:ascii="宋体" w:hAnsi="宋体" w:cs="宋体"/>
      <w:kern w:val="0"/>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5"/>
    <w:qFormat/>
    <w:uiPriority w:val="9"/>
    <w:rPr>
      <w:rFonts w:ascii="Times New Roman" w:hAnsi="Times New Roman"/>
      <w:b/>
      <w:bCs/>
      <w:kern w:val="44"/>
      <w:sz w:val="44"/>
      <w:szCs w:val="44"/>
    </w:rPr>
  </w:style>
  <w:style w:type="character" w:customStyle="1" w:styleId="30">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7"/>
    <w:qFormat/>
    <w:uiPriority w:val="9"/>
    <w:rPr>
      <w:rFonts w:ascii="Times New Roman" w:hAnsi="Times New Roman"/>
      <w:b/>
      <w:bCs/>
      <w:kern w:val="2"/>
      <w:sz w:val="32"/>
      <w:szCs w:val="32"/>
    </w:rPr>
  </w:style>
  <w:style w:type="paragraph" w:customStyle="1" w:styleId="34">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正文-公1"/>
    <w:basedOn w:val="1"/>
    <w:next w:val="1"/>
    <w:qFormat/>
    <w:uiPriority w:val="0"/>
    <w:pPr>
      <w:ind w:firstLine="20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image" Target="media/image2.emf"/><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themeOverride" Target="../theme/themeOverride4.xml"/><Relationship Id="rId1" Type="http://schemas.openxmlformats.org/officeDocument/2006/relationships/oleObject" Target="file:///E:\&#26700;&#38754;\2019&#20915;&#31639;&#20844;&#24320;&#22270;&#34920;.xls" TargetMode="External"/></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5.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600" b="0" i="0" u="none" strike="noStrike" baseline="0">
                <a:solidFill>
                  <a:srgbClr val="000000"/>
                </a:solidFill>
                <a:latin typeface="宋体" panose="02010600030101010101" charset="-122"/>
                <a:ea typeface="宋体" panose="02010600030101010101" charset="-122"/>
              </a:rPr>
              <a:t>图</a:t>
            </a:r>
            <a:r>
              <a:rPr lang="en-US" altLang="zh-CN" sz="1600" b="0" i="0" u="none" strike="noStrike" baseline="0">
                <a:solidFill>
                  <a:srgbClr val="000000"/>
                </a:solidFill>
                <a:latin typeface="宋体" panose="02010600030101010101" charset="-122"/>
                <a:ea typeface="宋体" panose="02010600030101010101" charset="-122"/>
              </a:rPr>
              <a:t>2    </a:t>
            </a:r>
            <a:r>
              <a:rPr lang="zh-CN" altLang="en-US" sz="1600" b="0" i="0" u="none" strike="noStrike" baseline="0">
                <a:solidFill>
                  <a:srgbClr val="000000"/>
                </a:solidFill>
                <a:latin typeface="宋体" panose="02010600030101010101" charset="-122"/>
                <a:ea typeface="宋体" panose="02010600030101010101" charset="-122"/>
              </a:rPr>
              <a:t>收入决算结构图</a:t>
            </a:r>
            <a:endParaRPr lang="zh-CN" altLang="en-US" sz="1600" b="0" i="0" u="none" strike="noStrike" baseline="0">
              <a:solidFill>
                <a:srgbClr val="000000"/>
              </a:solidFill>
              <a:latin typeface="宋体" panose="02010600030101010101" charset="-122"/>
              <a:ea typeface="宋体" panose="02010600030101010101" charset="-122"/>
            </a:endParaRPr>
          </a:p>
        </c:rich>
      </c:tx>
      <c:layout/>
      <c:overlay val="0"/>
      <c:spPr>
        <a:noFill/>
        <a:ln w="25400">
          <a:noFill/>
        </a:ln>
      </c:spPr>
    </c:title>
    <c:autoTitleDeleted val="0"/>
    <c:plotArea>
      <c:layout/>
      <c:pieChart>
        <c:varyColors val="1"/>
        <c:ser>
          <c:idx val="0"/>
          <c:order val="0"/>
          <c:spPr>
            <a:solidFill>
              <a:srgbClr val="9999FF"/>
            </a:solidFill>
            <a:ln w="12700">
              <a:solidFill>
                <a:srgbClr val="000000">
                  <a:alpha val="100000"/>
                </a:srgbClr>
              </a:solidFill>
              <a:prstDash val="solid"/>
            </a:ln>
            <a:effectLst/>
          </c:spPr>
          <c:explosion val="0"/>
          <c:dPt>
            <c:idx val="0"/>
            <c:bubble3D val="0"/>
            <c:spPr>
              <a:solidFill>
                <a:srgbClr val="9999FF"/>
              </a:solidFill>
              <a:ln w="12700">
                <a:solidFill>
                  <a:srgbClr val="000000">
                    <a:alpha val="100000"/>
                  </a:srgbClr>
                </a:solidFill>
                <a:prstDash val="solid"/>
              </a:ln>
              <a:effectLst/>
            </c:spPr>
          </c:dPt>
          <c:dPt>
            <c:idx val="1"/>
            <c:bubble3D val="0"/>
            <c:spPr>
              <a:solidFill>
                <a:srgbClr val="993366"/>
              </a:solidFill>
              <a:ln w="12700">
                <a:solidFill>
                  <a:srgbClr val="000000">
                    <a:alpha val="100000"/>
                  </a:srgbClr>
                </a:solidFill>
                <a:prstDash val="solid"/>
              </a:ln>
              <a:effectLst/>
            </c:spPr>
          </c:dPt>
          <c:dPt>
            <c:idx val="2"/>
            <c:bubble3D val="0"/>
            <c:spPr>
              <a:solidFill>
                <a:srgbClr val="FFFFCC"/>
              </a:solidFill>
              <a:ln w="12700">
                <a:solidFill>
                  <a:srgbClr val="000000">
                    <a:alpha val="100000"/>
                  </a:srgbClr>
                </a:solidFill>
                <a:prstDash val="solid"/>
              </a:ln>
              <a:effectLst/>
            </c:spPr>
          </c:dPt>
          <c:dPt>
            <c:idx val="3"/>
            <c:bubble3D val="0"/>
            <c:spPr>
              <a:solidFill>
                <a:srgbClr val="CCFFFF"/>
              </a:solidFill>
              <a:ln w="12700">
                <a:solidFill>
                  <a:srgbClr val="000000">
                    <a:alpha val="100000"/>
                  </a:srgbClr>
                </a:solidFill>
                <a:prstDash val="solid"/>
              </a:ln>
              <a:effectLst/>
            </c:spPr>
          </c:dPt>
          <c:dPt>
            <c:idx val="4"/>
            <c:bubble3D val="0"/>
            <c:spPr>
              <a:solidFill>
                <a:srgbClr val="660066"/>
              </a:solidFill>
              <a:ln w="12700">
                <a:solidFill>
                  <a:srgbClr val="000000">
                    <a:alpha val="100000"/>
                  </a:srgbClr>
                </a:solidFill>
                <a:prstDash val="solid"/>
              </a:ln>
              <a:effectLst/>
            </c:spPr>
          </c:dPt>
          <c:dPt>
            <c:idx val="5"/>
            <c:bubble3D val="0"/>
            <c:spPr>
              <a:solidFill>
                <a:srgbClr val="FF8080"/>
              </a:solidFill>
              <a:ln w="12700">
                <a:solidFill>
                  <a:srgbClr val="000000">
                    <a:alpha val="100000"/>
                  </a:srgbClr>
                </a:solidFill>
                <a:prstDash val="solid"/>
              </a:ln>
              <a:effectLst/>
            </c:spPr>
          </c:dPt>
          <c:dLbls>
            <c:delete val="1"/>
          </c:dLbls>
          <c:cat>
            <c:strRef>
              <c:f>Sheet1!$B$3:$B$8</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其他收入</c:v>
                </c:pt>
              </c:strCache>
            </c:strRef>
          </c:cat>
          <c:val>
            <c:numRef>
              <c:f>Sheet1!$C$3:$C$8</c:f>
              <c:numCache>
                <c:formatCode>General</c:formatCode>
                <c:ptCount val="6"/>
                <c:pt idx="0">
                  <c:v>120.54</c:v>
                </c:pt>
                <c:pt idx="1">
                  <c:v>0</c:v>
                </c:pt>
                <c:pt idx="2">
                  <c:v>0</c:v>
                </c:pt>
                <c:pt idx="3">
                  <c:v>0</c:v>
                </c:pt>
                <c:pt idx="4">
                  <c:v>0</c:v>
                </c:pt>
                <c:pt idx="5">
                  <c:v>0</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Lbls>
            <c:delete val="1"/>
          </c:dLbls>
          <c:cat>
            <c:strRef>
              <c:f>Sheet1!$B$3:$B$8</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其他收入</c:v>
                </c:pt>
              </c:strCache>
            </c:strRef>
          </c:cat>
          <c:val>
            <c:numRef>
              <c:f>Sheet1!$D$3:$D$8</c:f>
              <c:numCache>
                <c:formatCode>0.00%</c:formatCode>
                <c:ptCount val="6"/>
                <c:pt idx="0">
                  <c:v>1</c:v>
                </c:pt>
                <c:pt idx="1">
                  <c:v>0</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59500023927584"/>
          <c:y val="0.235749921841487"/>
          <c:w val="0.334499968710082"/>
          <c:h val="0.664749856406453"/>
        </c:manualLayout>
      </c:layout>
      <c:overlay val="0"/>
      <c:spPr>
        <a:solidFill>
          <a:srgbClr val="FFFFFF"/>
        </a:solidFill>
        <a:ln w="12700">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8a3701e3-aad0-411a-9bda-4b35fb22717b}"/>
      </c:ext>
    </c:extLst>
  </c:chart>
  <c:spPr>
    <a:solidFill>
      <a:srgbClr val="FFFFFF"/>
    </a:solidFill>
    <a:ln w="3175" cap="flat" cmpd="sng" algn="ctr">
      <a:solidFill>
        <a:srgbClr val="000000">
          <a:alpha val="100000"/>
        </a:srgbClr>
      </a:solidFill>
      <a:prstDash val="solid"/>
      <a:round/>
    </a:ln>
    <a:effectLst/>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00" b="0" i="0" u="none" strike="noStrike" baseline="0">
                <a:solidFill>
                  <a:srgbClr val="000000"/>
                </a:solidFill>
                <a:latin typeface="宋体" panose="02010600030101010101" charset="-122"/>
                <a:ea typeface="宋体" panose="02010600030101010101" charset="-122"/>
              </a:rPr>
              <a:t>  支出决算结构图</a:t>
            </a:r>
            <a:endParaRPr lang="zh-CN" altLang="en-US" sz="1400" b="0" i="0" u="none" strike="noStrike" baseline="0">
              <a:solidFill>
                <a:srgbClr val="000000"/>
              </a:solidFill>
              <a:latin typeface="宋体" panose="02010600030101010101" charset="-122"/>
              <a:ea typeface="宋体" panose="02010600030101010101" charset="-122"/>
            </a:endParaRPr>
          </a:p>
        </c:rich>
      </c:tx>
      <c:layout>
        <c:manualLayout>
          <c:xMode val="edge"/>
          <c:yMode val="edge"/>
          <c:x val="0.310320707819472"/>
          <c:y val="0.0237388724035608"/>
        </c:manualLayout>
      </c:layout>
      <c:overlay val="0"/>
      <c:spPr>
        <a:noFill/>
        <a:ln w="25400">
          <a:noFill/>
        </a:ln>
      </c:spPr>
    </c:title>
    <c:autoTitleDeleted val="0"/>
    <c:plotArea>
      <c:layout/>
      <c:pieChart>
        <c:varyColors val="1"/>
        <c:ser>
          <c:idx val="0"/>
          <c:order val="0"/>
          <c:spPr>
            <a:solidFill>
              <a:srgbClr val="9999FF"/>
            </a:solidFill>
            <a:ln w="12700">
              <a:solidFill>
                <a:srgbClr val="000000">
                  <a:alpha val="100000"/>
                </a:srgbClr>
              </a:solidFill>
              <a:prstDash val="solid"/>
            </a:ln>
            <a:effectLst/>
          </c:spPr>
          <c:explosion val="0"/>
          <c:dPt>
            <c:idx val="0"/>
            <c:bubble3D val="0"/>
            <c:spPr>
              <a:solidFill>
                <a:srgbClr val="9999FF"/>
              </a:solidFill>
              <a:ln w="12700">
                <a:solidFill>
                  <a:srgbClr val="000000">
                    <a:alpha val="100000"/>
                  </a:srgbClr>
                </a:solidFill>
                <a:prstDash val="solid"/>
              </a:ln>
              <a:effectLst/>
            </c:spPr>
          </c:dPt>
          <c:dPt>
            <c:idx val="1"/>
            <c:bubble3D val="0"/>
            <c:spPr>
              <a:solidFill>
                <a:srgbClr val="993366"/>
              </a:solidFill>
              <a:ln w="12700">
                <a:solidFill>
                  <a:srgbClr val="000000">
                    <a:alpha val="100000"/>
                  </a:srgbClr>
                </a:solidFill>
                <a:prstDash val="solid"/>
              </a:ln>
              <a:effectLst/>
            </c:spPr>
          </c:dPt>
          <c:dLbls>
            <c:dLbl>
              <c:idx val="0"/>
              <c:layout>
                <c:manualLayout>
                  <c:x val="-0.0861303111169681"/>
                  <c:y val="0.151595815066053"/>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dLbl>
              <c:idx val="1"/>
              <c:layout>
                <c:manualLayout>
                  <c:x val="0.192638765342617"/>
                  <c:y val="-0.0229070772681605"/>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Sheet1!$B$34:$B$35</c:f>
              <c:strCache>
                <c:ptCount val="2"/>
                <c:pt idx="0">
                  <c:v>基本支出</c:v>
                </c:pt>
                <c:pt idx="1">
                  <c:v>项目支出</c:v>
                </c:pt>
              </c:strCache>
            </c:strRef>
          </c:cat>
          <c:val>
            <c:numRef>
              <c:f>Sheet1!$C$34:$C$35</c:f>
              <c:numCache>
                <c:formatCode>General</c:formatCode>
                <c:ptCount val="2"/>
                <c:pt idx="0">
                  <c:v>120.54</c:v>
                </c:pt>
                <c:pt idx="1">
                  <c:v>0</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Lbls>
            <c:delete val="1"/>
          </c:dLbls>
          <c:cat>
            <c:strRef>
              <c:f>Sheet1!$B$34:$B$35</c:f>
              <c:strCache>
                <c:ptCount val="2"/>
                <c:pt idx="0">
                  <c:v>基本支出</c:v>
                </c:pt>
                <c:pt idx="1">
                  <c:v>项目支出</c:v>
                </c:pt>
              </c:strCache>
            </c:strRef>
          </c:cat>
          <c:val>
            <c:numRef>
              <c:f>Sheet1!$D$34:$D$35</c:f>
              <c:numCache>
                <c:formatCode>0.00%</c:formatCode>
                <c:ptCount val="2"/>
                <c:pt idx="0">
                  <c:v>1</c:v>
                </c:pt>
                <c:pt idx="1">
                  <c:v>0</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757000040266933"/>
          <c:y val="0.4175000973543"/>
          <c:w val="0.237249988102952"/>
          <c:h val="0.298249959111194"/>
        </c:manualLayout>
      </c:layout>
      <c:overlay val="0"/>
      <c:spPr>
        <a:solidFill>
          <a:srgbClr val="FFFFFF"/>
        </a:solidFill>
        <a:ln w="12700">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2a9cc2da-4b6c-4101-b3c0-d8bccfa77979}"/>
      </c:ext>
    </c:extLst>
  </c:chart>
  <c:spPr>
    <a:solidFill>
      <a:srgbClr val="FFFFFF"/>
    </a:solidFill>
    <a:ln w="3175" cap="flat" cmpd="sng" algn="ctr">
      <a:solidFill>
        <a:srgbClr val="000000">
          <a:alpha val="100000"/>
        </a:srgbClr>
      </a:solidFill>
      <a:prstDash val="solid"/>
      <a:round/>
    </a:ln>
    <a:effectLst/>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Sheet1!$A$85</c:f>
              <c:strCache>
                <c:ptCount val="1"/>
                <c:pt idx="0">
                  <c:v>一般公共预算财政拨款支出</c:v>
                </c:pt>
              </c:strCache>
            </c:strRef>
          </c:tx>
          <c:spPr>
            <a:solidFill>
              <a:srgbClr val="9999FF"/>
            </a:solidFill>
            <a:ln w="12700">
              <a:solidFill>
                <a:srgbClr val="000000">
                  <a:alpha val="100000"/>
                </a:srgbClr>
              </a:solidFill>
              <a:prstDash val="solid"/>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Sheet1!$B$81:$C$81</c:f>
              <c:strCache>
                <c:ptCount val="2"/>
                <c:pt idx="0">
                  <c:v>2023年</c:v>
                </c:pt>
                <c:pt idx="1">
                  <c:v>2024年</c:v>
                </c:pt>
              </c:strCache>
            </c:strRef>
          </c:cat>
          <c:val>
            <c:numRef>
              <c:f>Sheet1!$B$82:$C$82</c:f>
              <c:numCache>
                <c:formatCode>General</c:formatCode>
                <c:ptCount val="2"/>
                <c:pt idx="0">
                  <c:v>115.69</c:v>
                </c:pt>
                <c:pt idx="1">
                  <c:v>120.54</c:v>
                </c:pt>
              </c:numCache>
            </c:numRef>
          </c:val>
        </c:ser>
        <c:dLbls>
          <c:showLegendKey val="0"/>
          <c:showVal val="0"/>
          <c:showCatName val="0"/>
          <c:showSerName val="0"/>
          <c:showPercent val="0"/>
          <c:showBubbleSize val="0"/>
        </c:dLbls>
        <c:gapWidth val="150"/>
        <c:axId val="257278976"/>
        <c:axId val="358921280"/>
      </c:barChart>
      <c:catAx>
        <c:axId val="257278976"/>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358921280"/>
        <c:crosses val="autoZero"/>
        <c:auto val="1"/>
        <c:lblAlgn val="ctr"/>
        <c:lblOffset val="100"/>
        <c:noMultiLvlLbl val="0"/>
      </c:catAx>
      <c:valAx>
        <c:axId val="358921280"/>
        <c:scaling>
          <c:orientation val="minMax"/>
        </c:scaling>
        <c:delete val="0"/>
        <c:axPos val="l"/>
        <c:majorGridlines>
          <c:spPr>
            <a:ln w="3175" cap="flat" cmpd="sng" algn="ctr">
              <a:solidFill>
                <a:srgbClr val="000000">
                  <a:alpha val="100000"/>
                </a:srgbClr>
              </a:solidFill>
              <a:prstDash val="solid"/>
              <a:round/>
            </a:ln>
            <a:effectLst/>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257278976"/>
        <c:crosses val="autoZero"/>
        <c:crossBetween val="between"/>
      </c:valAx>
      <c:spPr>
        <a:solidFill>
          <a:srgbClr val="C0C0C0">
            <a:alpha val="100000"/>
          </a:srgbClr>
        </a:solidFill>
        <a:ln w="12700">
          <a:solidFill>
            <a:srgbClr val="808080">
              <a:alpha val="100000"/>
            </a:srgbClr>
          </a:solidFill>
          <a:prstDash val="solid"/>
        </a:ln>
        <a:effectLst/>
      </c:spPr>
    </c:plotArea>
    <c:legend>
      <c:legendPos val="r"/>
      <c:layout>
        <c:manualLayout>
          <c:xMode val="edge"/>
          <c:yMode val="edge"/>
          <c:x val="0.678749986038979"/>
          <c:y val="0.505750039035489"/>
          <c:w val="0.315249976731632"/>
          <c:h val="0.143083333333333"/>
        </c:manualLayout>
      </c:layout>
      <c:overlay val="0"/>
      <c:spPr>
        <a:solidFill>
          <a:srgbClr val="FFFFFF"/>
        </a:solidFill>
        <a:ln w="12700">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793c7df9-c66a-40f4-84fa-8f66316c64ae}"/>
      </c:ext>
    </c:extLst>
  </c:chart>
  <c:spPr>
    <a:solidFill>
      <a:srgbClr val="FFFFFF"/>
    </a:solidFill>
    <a:ln w="3175" cap="flat" cmpd="sng" algn="ctr">
      <a:solidFill>
        <a:srgbClr val="000000">
          <a:alpha val="100000"/>
        </a:srgbClr>
      </a:solidFill>
      <a:prstDash val="solid"/>
      <a:round/>
    </a:ln>
    <a:effectLst/>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830682577721263"/>
          <c:y val="0.299912586520637"/>
          <c:w val="0.467445754063351"/>
          <c:h val="0.650183727034121"/>
        </c:manualLayout>
      </c:layout>
      <c:pieChart>
        <c:varyColors val="1"/>
        <c:ser>
          <c:idx val="0"/>
          <c:order val="0"/>
          <c:explosion val="0"/>
          <c:dPt>
            <c:idx val="0"/>
            <c:bubble3D val="0"/>
          </c:dPt>
          <c:dPt>
            <c:idx val="1"/>
            <c:bubble3D val="0"/>
          </c:dPt>
          <c:dPt>
            <c:idx val="2"/>
            <c:bubble3D val="0"/>
          </c:dPt>
          <c:dPt>
            <c:idx val="3"/>
            <c:bubble3D val="0"/>
          </c:dPt>
          <c:dLbls>
            <c:delete val="1"/>
          </c:dLbls>
          <c:cat>
            <c:strRef>
              <c:f>Sheet1!$A$111:$A$114</c:f>
              <c:strCache>
                <c:ptCount val="4"/>
                <c:pt idx="0">
                  <c:v>社会保障和就业支出</c:v>
                </c:pt>
                <c:pt idx="1">
                  <c:v>住房保障支出</c:v>
                </c:pt>
                <c:pt idx="2">
                  <c:v>卫生健康支出</c:v>
                </c:pt>
                <c:pt idx="3">
                  <c:v>交通运输支出</c:v>
                </c:pt>
              </c:strCache>
            </c:strRef>
          </c:cat>
          <c:val>
            <c:numRef>
              <c:f>Sheet1!$B$111:$B$114</c:f>
              <c:numCache>
                <c:formatCode>General</c:formatCode>
                <c:ptCount val="4"/>
                <c:pt idx="0">
                  <c:v>13.58</c:v>
                </c:pt>
                <c:pt idx="1">
                  <c:v>8.88</c:v>
                </c:pt>
                <c:pt idx="2">
                  <c:v>9.63</c:v>
                </c:pt>
                <c:pt idx="3">
                  <c:v>88.45</c:v>
                </c:pt>
              </c:numCache>
            </c:numRef>
          </c:val>
        </c:ser>
        <c:ser>
          <c:idx val="1"/>
          <c:order val="1"/>
          <c:explosion val="0"/>
          <c:dPt>
            <c:idx val="0"/>
            <c:bubble3D val="0"/>
          </c:dPt>
          <c:dPt>
            <c:idx val="1"/>
            <c:bubble3D val="0"/>
          </c:dPt>
          <c:dPt>
            <c:idx val="2"/>
            <c:bubble3D val="0"/>
          </c:dPt>
          <c:dPt>
            <c:idx val="3"/>
            <c:bubble3D val="0"/>
          </c:dPt>
          <c:dLbls>
            <c:delete val="1"/>
          </c:dLbls>
          <c:cat>
            <c:strRef>
              <c:f>Sheet1!$A$111:$A$114</c:f>
              <c:strCache>
                <c:ptCount val="4"/>
                <c:pt idx="0">
                  <c:v>社会保障和就业支出</c:v>
                </c:pt>
                <c:pt idx="1">
                  <c:v>住房保障支出</c:v>
                </c:pt>
                <c:pt idx="2">
                  <c:v>卫生健康支出</c:v>
                </c:pt>
                <c:pt idx="3">
                  <c:v>交通运输支出</c:v>
                </c:pt>
              </c:strCache>
            </c:strRef>
          </c:cat>
          <c:val>
            <c:numRef>
              <c:f>Sheet1!$C$111:$C$114</c:f>
              <c:numCache>
                <c:formatCode>0.00%</c:formatCode>
                <c:ptCount val="4"/>
                <c:pt idx="0">
                  <c:v>0.112659698025552</c:v>
                </c:pt>
                <c:pt idx="1">
                  <c:v>0.0736684917869587</c:v>
                </c:pt>
                <c:pt idx="2">
                  <c:v>0.0798904927824789</c:v>
                </c:pt>
                <c:pt idx="3">
                  <c:v>0.733781317405011</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380e84fc-360a-4fda-9adb-287335971e40}"/>
      </c:ext>
    </c:extLst>
  </c:chart>
  <c:txPr>
    <a:bodyPr/>
    <a:lstStyle/>
    <a:p>
      <a:pPr>
        <a:defRPr lang="zh-CN"/>
      </a:pPr>
    </a:p>
  </c:txPr>
  <c:externalData r:id="rId1">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00" b="0" i="0" u="none" strike="noStrike" baseline="0">
                <a:solidFill>
                  <a:srgbClr val="000000"/>
                </a:solidFill>
                <a:latin typeface="宋体" panose="02010600030101010101" charset="-122"/>
                <a:ea typeface="宋体" panose="02010600030101010101" charset="-122"/>
              </a:rPr>
              <a:t>图</a:t>
            </a:r>
            <a:r>
              <a:rPr lang="en-US" altLang="zh-CN" sz="1400" b="0" i="0" u="none" strike="noStrike" baseline="0">
                <a:solidFill>
                  <a:srgbClr val="333333"/>
                </a:solidFill>
                <a:latin typeface="Arial" panose="020B0604020202020204" pitchFamily="2"/>
                <a:cs typeface="Arial" panose="020B0604020202020204" pitchFamily="2"/>
              </a:rPr>
              <a:t>7</a:t>
            </a:r>
            <a:r>
              <a:rPr lang="en-US" altLang="zh-CN" sz="1400" b="0" i="0" u="none" strike="noStrike" baseline="0">
                <a:solidFill>
                  <a:srgbClr val="000000"/>
                </a:solidFill>
                <a:latin typeface="宋体" panose="02010600030101010101" charset="-122"/>
                <a:ea typeface="宋体" panose="02010600030101010101" charset="-122"/>
              </a:rPr>
              <a:t>  “</a:t>
            </a:r>
            <a:r>
              <a:rPr lang="zh-CN" altLang="en-US" sz="1400" b="0" i="0" u="none" strike="noStrike" baseline="0">
                <a:solidFill>
                  <a:srgbClr val="000000"/>
                </a:solidFill>
                <a:latin typeface="宋体" panose="02010600030101010101" charset="-122"/>
                <a:ea typeface="宋体" panose="02010600030101010101" charset="-122"/>
              </a:rPr>
              <a:t>三公”经费财政拨款支出结构</a:t>
            </a:r>
            <a:endParaRPr lang="zh-CN" altLang="en-US" sz="1400" b="0" i="0" u="none" strike="noStrike" baseline="0">
              <a:solidFill>
                <a:srgbClr val="000000"/>
              </a:solidFill>
              <a:latin typeface="宋体" panose="02010600030101010101" charset="-122"/>
              <a:ea typeface="宋体" panose="02010600030101010101" charset="-122"/>
            </a:endParaRPr>
          </a:p>
        </c:rich>
      </c:tx>
      <c:layout>
        <c:manualLayout>
          <c:xMode val="edge"/>
          <c:yMode val="edge"/>
          <c:x val="0.267368596216539"/>
          <c:y val="0.0221606648199446"/>
        </c:manualLayout>
      </c:layout>
      <c:overlay val="0"/>
    </c:title>
    <c:autoTitleDeleted val="0"/>
    <c:plotArea>
      <c:layout>
        <c:manualLayout>
          <c:layoutTarget val="inner"/>
          <c:xMode val="edge"/>
          <c:yMode val="edge"/>
          <c:x val="0.133487364620939"/>
          <c:y val="0.218675324675324"/>
          <c:w val="0.385251504211793"/>
          <c:h val="0.692952380952381"/>
        </c:manualLayout>
      </c:layout>
      <c:pieChart>
        <c:varyColors val="1"/>
        <c:ser>
          <c:idx val="0"/>
          <c:order val="0"/>
          <c:spPr>
            <a:solidFill>
              <a:srgbClr val="9999FF"/>
            </a:solidFill>
            <a:ln w="12700">
              <a:solidFill>
                <a:srgbClr val="000000">
                  <a:alpha val="100000"/>
                </a:srgbClr>
              </a:solidFill>
              <a:prstDash val="solid"/>
            </a:ln>
            <a:effectLst/>
          </c:spPr>
          <c:explosion val="0"/>
          <c:dPt>
            <c:idx val="0"/>
            <c:bubble3D val="0"/>
            <c:spPr>
              <a:solidFill>
                <a:srgbClr val="9999FF"/>
              </a:solidFill>
              <a:ln w="12700">
                <a:solidFill>
                  <a:srgbClr val="000000">
                    <a:alpha val="100000"/>
                  </a:srgbClr>
                </a:solidFill>
                <a:prstDash val="solid"/>
              </a:ln>
              <a:effectLst/>
            </c:spPr>
          </c:dPt>
          <c:dPt>
            <c:idx val="1"/>
            <c:bubble3D val="0"/>
            <c:spPr>
              <a:solidFill>
                <a:srgbClr val="993366"/>
              </a:solidFill>
              <a:ln w="12700">
                <a:solidFill>
                  <a:srgbClr val="000000">
                    <a:alpha val="100000"/>
                  </a:srgbClr>
                </a:solidFill>
                <a:prstDash val="solid"/>
              </a:ln>
              <a:effectLst/>
            </c:spPr>
          </c:dPt>
          <c:dPt>
            <c:idx val="2"/>
            <c:bubble3D val="0"/>
            <c:spPr>
              <a:solidFill>
                <a:srgbClr val="FFFFCC"/>
              </a:solidFill>
              <a:ln w="12700">
                <a:solidFill>
                  <a:srgbClr val="000000">
                    <a:alpha val="100000"/>
                  </a:srgbClr>
                </a:solidFill>
                <a:prstDash val="solid"/>
              </a:ln>
              <a:effectLst/>
            </c:spPr>
          </c:dPt>
          <c:dLbls>
            <c:dLbl>
              <c:idx val="0"/>
              <c:layout>
                <c:manualLayout>
                  <c:x val="-0.168572290598113"/>
                  <c:y val="0.186701802352772"/>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dLbl>
              <c:idx val="1"/>
              <c:layout>
                <c:manualLayout>
                  <c:x val="0.153627918170878"/>
                  <c:y val="0.295588252928974"/>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dLbl>
              <c:idx val="2"/>
              <c:layout>
                <c:manualLayout>
                  <c:x val="-0.127960529482551"/>
                  <c:y val="0.427264443405205"/>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Sheet1!$B$135:$B$137</c:f>
              <c:strCache>
                <c:ptCount val="3"/>
                <c:pt idx="0">
                  <c:v>因公出国（境）费支出</c:v>
                </c:pt>
                <c:pt idx="1">
                  <c:v>公务用车购置及运行维护费支出</c:v>
                </c:pt>
                <c:pt idx="2">
                  <c:v>公务接待费支出</c:v>
                </c:pt>
              </c:strCache>
            </c:strRef>
          </c:cat>
          <c:val>
            <c:numRef>
              <c:f>Sheet1!$C$135:$C$137</c:f>
              <c:numCache>
                <c:formatCode>General</c:formatCode>
                <c:ptCount val="3"/>
                <c:pt idx="0">
                  <c:v>0</c:v>
                </c:pt>
                <c:pt idx="1">
                  <c:v>0</c:v>
                </c:pt>
                <c:pt idx="2">
                  <c:v>0</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Lbls>
            <c:delete val="1"/>
          </c:dLbls>
          <c:cat>
            <c:strRef>
              <c:f>Sheet1!$B$135:$B$137</c:f>
              <c:strCache>
                <c:ptCount val="3"/>
                <c:pt idx="0">
                  <c:v>因公出国（境）费支出</c:v>
                </c:pt>
                <c:pt idx="1">
                  <c:v>公务用车购置及运行维护费支出</c:v>
                </c:pt>
                <c:pt idx="2">
                  <c:v>公务接待费支出</c:v>
                </c:pt>
              </c:strCache>
            </c:strRef>
          </c:cat>
          <c:val>
            <c:numRef>
              <c:f>Sheet1!$D$135:$D$137</c:f>
              <c:numCache>
                <c:formatCode>General</c:formatCode>
                <c:ptCount val="3"/>
                <c:pt idx="0">
                  <c:v>0</c:v>
                </c:pt>
                <c:pt idx="1" c:formatCode="0%">
                  <c:v>0</c:v>
                </c:pt>
                <c:pt idx="2" c:formatCode="0%">
                  <c:v>0</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55499935706884"/>
          <c:y val="0.400499923659127"/>
          <c:w val="0.338499928142988"/>
          <c:h val="0.332500127234788"/>
        </c:manualLayout>
      </c:layout>
      <c:overlay val="0"/>
      <c:spPr>
        <a:solidFill>
          <a:srgbClr val="FFFFFF"/>
        </a:solidFill>
        <a:ln w="12700">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faa16dc2-cbd1-4d8f-971d-00f2970383e9}"/>
      </c:ext>
    </c:extLst>
  </c:chart>
  <c:spPr>
    <a:solidFill>
      <a:srgbClr val="FFFFFF"/>
    </a:solidFill>
    <a:ln w="3175" cap="flat" cmpd="sng" algn="ctr">
      <a:solidFill>
        <a:srgbClr val="000000">
          <a:alpha val="100000"/>
        </a:srgbClr>
      </a:solidFill>
      <a:prstDash val="solid"/>
      <a:round/>
    </a:ln>
    <a:effectLst/>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0.38872</cdr:x>
      <cdr:y>0.27214</cdr:y>
    </cdr:from>
    <cdr:to>
      <cdr:x>0.46894</cdr:x>
      <cdr:y>0.35493</cdr:y>
    </cdr:to>
    <cdr:cxnSp>
      <cdr:nvCxnSpPr>
        <cdr:cNvPr id="2" name="直接连接符 1"/>
        <cdr:cNvCxnSpPr/>
      </cdr:nvCxnSpPr>
      <cdr:spPr xmlns:a="http://schemas.openxmlformats.org/drawingml/2006/main">
        <a:xfrm xmlns:a="http://schemas.openxmlformats.org/drawingml/2006/main" flipH="1">
          <a:off x="2384425" y="1200150"/>
          <a:ext cx="492125" cy="365120"/>
        </a:xfrm>
        <a:prstGeom xmlns:a="http://schemas.openxmlformats.org/drawingml/2006/main" prst="line">
          <a:avLst/>
        </a:prstGeom>
        <a:l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0.45186</cdr:x>
      <cdr:y>0.34557</cdr:y>
    </cdr:from>
    <cdr:to>
      <cdr:x>0.60093</cdr:x>
      <cdr:y>0.527</cdr:y>
    </cdr:to>
    <cdr:cxnSp>
      <cdr:nvCxnSpPr>
        <cdr:cNvPr id="3" name="直接连接符 2"/>
        <cdr:cNvCxnSpPr/>
      </cdr:nvCxnSpPr>
      <cdr:spPr xmlns:a="http://schemas.openxmlformats.org/drawingml/2006/main">
        <a:xfrm xmlns:a="http://schemas.openxmlformats.org/drawingml/2006/main" flipH="1">
          <a:off x="2771775" y="1523990"/>
          <a:ext cx="914391" cy="800110"/>
        </a:xfrm>
        <a:prstGeom xmlns:a="http://schemas.openxmlformats.org/drawingml/2006/main" prst="line">
          <a:avLst/>
        </a:prstGeom>
        <a:l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0.47671</cdr:x>
      <cdr:y>0.53037</cdr:y>
    </cdr:from>
    <cdr:to>
      <cdr:x>0.60455</cdr:x>
      <cdr:y>0.58531</cdr:y>
    </cdr:to>
    <cdr:cxnSp>
      <cdr:nvCxnSpPr>
        <cdr:cNvPr id="4" name="直接连接符 3"/>
        <cdr:cNvCxnSpPr>
          <a:stCxn xmlns:a="http://schemas.openxmlformats.org/drawingml/2006/main" id="8" idx="1"/>
        </cdr:cNvCxnSpPr>
      </cdr:nvCxnSpPr>
      <cdr:spPr xmlns:a="http://schemas.openxmlformats.org/drawingml/2006/main">
        <a:xfrm xmlns:a="http://schemas.openxmlformats.org/drawingml/2006/main" flipH="1">
          <a:off x="2924175" y="2338989"/>
          <a:ext cx="784225" cy="242286"/>
        </a:xfrm>
        <a:prstGeom xmlns:a="http://schemas.openxmlformats.org/drawingml/2006/main" prst="line">
          <a:avLst/>
        </a:prstGeom>
        <a:l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0.4472</cdr:x>
      <cdr:y>0.76026</cdr:y>
    </cdr:from>
    <cdr:to>
      <cdr:x>0.60611</cdr:x>
      <cdr:y>0.80273</cdr:y>
    </cdr:to>
    <cdr:cxnSp>
      <cdr:nvCxnSpPr>
        <cdr:cNvPr id="5" name="直接连接符 4"/>
        <cdr:cNvCxnSpPr>
          <a:stCxn xmlns:a="http://schemas.openxmlformats.org/drawingml/2006/main" id="9" idx="1"/>
        </cdr:cNvCxnSpPr>
      </cdr:nvCxnSpPr>
      <cdr:spPr xmlns:a="http://schemas.openxmlformats.org/drawingml/2006/main">
        <a:xfrm xmlns:a="http://schemas.openxmlformats.org/drawingml/2006/main" flipH="1" flipV="1">
          <a:off x="2743200" y="3352800"/>
          <a:ext cx="974725" cy="187294"/>
        </a:xfrm>
        <a:prstGeom xmlns:a="http://schemas.openxmlformats.org/drawingml/2006/main" prst="line">
          <a:avLst/>
        </a:prstGeom>
        <a:l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0.5735</cdr:x>
      <cdr:y>0.30742</cdr:y>
    </cdr:from>
    <cdr:to>
      <cdr:x>0.75041</cdr:x>
      <cdr:y>0.41057</cdr:y>
    </cdr:to>
    <cdr:sp>
      <cdr:nvSpPr>
        <cdr:cNvPr id="6" name="矩形 5"/>
        <cdr:cNvSpPr/>
      </cdr:nvSpPr>
      <cdr:spPr xmlns:a="http://schemas.openxmlformats.org/drawingml/2006/main">
        <a:xfrm xmlns:a="http://schemas.openxmlformats.org/drawingml/2006/main">
          <a:off x="3517900" y="1355725"/>
          <a:ext cx="1085162" cy="454913"/>
        </a:xfrm>
        <a:prstGeom xmlns:a="http://schemas.openxmlformats.org/drawingml/2006/main" prst="rect">
          <a:avLst/>
        </a:prstGeom>
        <a:solidFill>
          <a:schemeClr val="lt1"/>
        </a:solidFill>
        <a:l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xmlns:a="http://schemas.openxmlformats.org/drawingml/2006/main">
        <a:bodyPr vert="horz" wrap="square" lIns="45720" tIns="45720" rIns="45720" bIns="45720" rtlCol="0" anchor="t" anchorCtr="0">
          <a:normAutofit/>
        </a:bodyP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r>
            <a:rPr lang="zh-CN" altLang="en-US" sz="1100"/>
            <a:t>住房保障支出</a:t>
          </a:r>
          <a:r>
            <a:rPr lang="en-US" altLang="zh-CN" sz="1100"/>
            <a:t>8.88  7.37%</a:t>
          </a:r>
          <a:endParaRPr lang="zh-CN" altLang="en-US" sz="1100"/>
        </a:p>
      </cdr:txBody>
    </cdr:sp>
  </cdr:relSizeAnchor>
  <cdr:relSizeAnchor xmlns:cdr="http://schemas.openxmlformats.org/drawingml/2006/chartDrawing">
    <cdr:from>
      <cdr:x>0.45549</cdr:x>
      <cdr:y>0.17567</cdr:y>
    </cdr:from>
    <cdr:to>
      <cdr:x>0.70031</cdr:x>
      <cdr:y>0.26565</cdr:y>
    </cdr:to>
    <cdr:sp>
      <cdr:nvSpPr>
        <cdr:cNvPr id="7" name="矩形 6"/>
        <cdr:cNvSpPr/>
      </cdr:nvSpPr>
      <cdr:spPr xmlns:a="http://schemas.openxmlformats.org/drawingml/2006/main">
        <a:xfrm xmlns:a="http://schemas.openxmlformats.org/drawingml/2006/main">
          <a:off x="2794000" y="774700"/>
          <a:ext cx="1501757" cy="396843"/>
        </a:xfrm>
        <a:prstGeom xmlns:a="http://schemas.openxmlformats.org/drawingml/2006/main" prst="rect">
          <a:avLst/>
        </a:prstGeom>
        <a:solidFill>
          <a:schemeClr val="lt1"/>
        </a:solidFill>
        <a:l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xmlns:a="http://schemas.openxmlformats.org/drawingml/2006/main">
        <a:bodyPr vert="horz" wrap="square" lIns="45720" tIns="45720" rIns="45720" bIns="45720" rtlCol="0" anchor="t" anchorCtr="0">
          <a:normAutofit/>
        </a:bodyP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r>
            <a:rPr lang="zh-CN" altLang="en-US" sz="1100"/>
            <a:t>社会保障和就业支出</a:t>
          </a:r>
          <a:r>
            <a:rPr lang="en-US" altLang="zh-CN" sz="1100"/>
            <a:t>13.58 11.27%</a:t>
          </a:r>
          <a:endParaRPr lang="zh-CN" altLang="en-US" sz="1100"/>
        </a:p>
      </cdr:txBody>
    </cdr:sp>
  </cdr:relSizeAnchor>
  <cdr:relSizeAnchor xmlns:cdr="http://schemas.openxmlformats.org/drawingml/2006/chartDrawing">
    <cdr:from>
      <cdr:x>0.60455</cdr:x>
      <cdr:y>0.48668</cdr:y>
    </cdr:from>
    <cdr:to>
      <cdr:x>0.77128</cdr:x>
      <cdr:y>0.57407</cdr:y>
    </cdr:to>
    <cdr:sp>
      <cdr:nvSpPr>
        <cdr:cNvPr id="8" name="矩形 7"/>
        <cdr:cNvSpPr/>
      </cdr:nvSpPr>
      <cdr:spPr xmlns:a="http://schemas.openxmlformats.org/drawingml/2006/main">
        <a:xfrm xmlns:a="http://schemas.openxmlformats.org/drawingml/2006/main">
          <a:off x="3708400" y="2146300"/>
          <a:ext cx="1022708" cy="385377"/>
        </a:xfrm>
        <a:prstGeom xmlns:a="http://schemas.openxmlformats.org/drawingml/2006/main" prst="rect">
          <a:avLst/>
        </a:prstGeom>
        <a:solidFill>
          <a:schemeClr val="lt1"/>
        </a:solidFill>
        <a:l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xmlns:a="http://schemas.openxmlformats.org/drawingml/2006/main">
        <a:bodyPr vert="horz" wrap="square" lIns="45720" tIns="45720" rIns="45720" bIns="45720" rtlCol="0" anchor="t" anchorCtr="0">
          <a:normAutofit/>
        </a:bodyP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r>
            <a:rPr lang="zh-CN" altLang="en-US" sz="1100"/>
            <a:t>卫生健康支出      </a:t>
          </a:r>
          <a:r>
            <a:rPr lang="en-US" altLang="zh-CN" sz="1100"/>
            <a:t>9.63   7.99%</a:t>
          </a:r>
          <a:endParaRPr lang="zh-CN" altLang="en-US" sz="1100"/>
        </a:p>
      </cdr:txBody>
    </cdr:sp>
  </cdr:relSizeAnchor>
  <cdr:relSizeAnchor xmlns:cdr="http://schemas.openxmlformats.org/drawingml/2006/chartDrawing">
    <cdr:from>
      <cdr:x>0.60611</cdr:x>
      <cdr:y>0.75234</cdr:y>
    </cdr:from>
    <cdr:to>
      <cdr:x>0.81447</cdr:x>
      <cdr:y>0.85312</cdr:y>
    </cdr:to>
    <cdr:sp>
      <cdr:nvSpPr>
        <cdr:cNvPr id="9" name="矩形 8"/>
        <cdr:cNvSpPr/>
      </cdr:nvSpPr>
      <cdr:spPr xmlns:a="http://schemas.openxmlformats.org/drawingml/2006/main">
        <a:xfrm xmlns:a="http://schemas.openxmlformats.org/drawingml/2006/main">
          <a:off x="3717925" y="3317875"/>
          <a:ext cx="1278099" cy="444437"/>
        </a:xfrm>
        <a:prstGeom xmlns:a="http://schemas.openxmlformats.org/drawingml/2006/main" prst="rect">
          <a:avLst/>
        </a:prstGeom>
        <a:solidFill>
          <a:schemeClr val="lt1"/>
        </a:solidFill>
        <a:l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xmlns:a="http://schemas.openxmlformats.org/drawingml/2006/main">
        <a:bodyPr vert="horz" wrap="square" lIns="45720" tIns="45720" rIns="45720" bIns="45720" rtlCol="0" anchor="t" anchorCtr="0">
          <a:normAutofit/>
        </a:bodyP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r>
            <a:rPr lang="zh-CN" altLang="en-US" sz="1100"/>
            <a:t>交通运输支出</a:t>
          </a:r>
          <a:r>
            <a:rPr lang="en-US" altLang="zh-CN" sz="1100"/>
            <a:t>88.45  73.38%</a:t>
          </a:r>
          <a:endParaRPr lang="zh-CN" alt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5362</Words>
  <Characters>5781</Characters>
  <Lines>10</Lines>
  <Paragraphs>12</Paragraphs>
  <TotalTime>48</TotalTime>
  <ScaleCrop>false</ScaleCrop>
  <LinksUpToDate>false</LinksUpToDate>
  <CharactersWithSpaces>5809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好好</cp:lastModifiedBy>
  <cp:lastPrinted>2025-10-10T03:06:00Z</cp:lastPrinted>
  <dcterms:modified xsi:type="dcterms:W3CDTF">2025-10-27T10:27:18Z</dcterms:modified>
  <dc:title>四川省***</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04787F2533EB45DC91BCDE4AB213247F</vt:lpwstr>
  </property>
  <property fmtid="{D5CDD505-2E9C-101B-9397-08002B2CF9AE}" pid="4" name="KSOTemplateDocerSaveRecord">
    <vt:lpwstr>eyJoZGlkIjoiZjVkMDIyM2E3ZjQ2NmM2YjBkMGQyMTJiNzAxMDU0YmQiLCJ1c2VySWQiOiI1ODU3MjA0MDYifQ==</vt:lpwstr>
  </property>
</Properties>
</file>